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B17E" w14:textId="196C47BB" w:rsidR="0054167F" w:rsidRPr="000A505D" w:rsidRDefault="0054167F" w:rsidP="0054167F">
      <w:pPr>
        <w:jc w:val="center"/>
        <w:rPr>
          <w:rFonts w:ascii="MetaPro-Norm" w:hAnsi="MetaPro-Norm"/>
          <w:b/>
          <w:bCs/>
          <w:sz w:val="26"/>
          <w:szCs w:val="26"/>
        </w:rPr>
      </w:pPr>
      <w:r w:rsidRPr="000A505D">
        <w:rPr>
          <w:rFonts w:ascii="MetaPro-Norm" w:hAnsi="MetaPro-Norm"/>
          <w:b/>
          <w:bCs/>
          <w:sz w:val="26"/>
          <w:szCs w:val="26"/>
        </w:rPr>
        <w:t xml:space="preserve">Submission to the </w:t>
      </w:r>
      <w:r w:rsidR="00F73451" w:rsidRPr="000A505D">
        <w:rPr>
          <w:rFonts w:ascii="MetaPro-Norm" w:hAnsi="MetaPro-Norm"/>
          <w:b/>
          <w:bCs/>
          <w:sz w:val="26"/>
          <w:szCs w:val="26"/>
        </w:rPr>
        <w:t>Committee on the Rights of Persons with Disabilities</w:t>
      </w:r>
      <w:r w:rsidRPr="000A505D">
        <w:rPr>
          <w:rFonts w:ascii="MetaPro-Norm" w:hAnsi="MetaPro-Norm"/>
          <w:b/>
          <w:bCs/>
          <w:sz w:val="26"/>
          <w:szCs w:val="26"/>
        </w:rPr>
        <w:t xml:space="preserve"> </w:t>
      </w:r>
      <w:r w:rsidR="00F73451" w:rsidRPr="000A505D">
        <w:rPr>
          <w:rFonts w:ascii="MetaPro-Norm" w:hAnsi="MetaPro-Norm"/>
          <w:b/>
          <w:bCs/>
          <w:sz w:val="26"/>
          <w:szCs w:val="26"/>
        </w:rPr>
        <w:t>Regarding Article 11 of the CRPD</w:t>
      </w:r>
    </w:p>
    <w:p w14:paraId="3BD0EFF6" w14:textId="5EE60EAF" w:rsidR="0054167F" w:rsidRPr="000A505D" w:rsidRDefault="00F73451" w:rsidP="0054167F">
      <w:pPr>
        <w:jc w:val="center"/>
        <w:rPr>
          <w:rFonts w:ascii="MetaPro-Norm" w:hAnsi="MetaPro-Norm"/>
          <w:b/>
          <w:bCs/>
          <w:sz w:val="24"/>
          <w:szCs w:val="24"/>
        </w:rPr>
      </w:pPr>
      <w:r w:rsidRPr="000A505D">
        <w:rPr>
          <w:rFonts w:ascii="MetaPro-Norm" w:hAnsi="MetaPro-Norm"/>
          <w:b/>
          <w:bCs/>
          <w:sz w:val="24"/>
          <w:szCs w:val="24"/>
        </w:rPr>
        <w:t xml:space="preserve">February </w:t>
      </w:r>
      <w:r w:rsidR="00286918" w:rsidRPr="000A505D">
        <w:rPr>
          <w:rFonts w:ascii="MetaPro-Norm" w:hAnsi="MetaPro-Norm"/>
          <w:b/>
          <w:bCs/>
          <w:sz w:val="24"/>
          <w:szCs w:val="24"/>
        </w:rPr>
        <w:t>22</w:t>
      </w:r>
      <w:r w:rsidRPr="000A505D">
        <w:rPr>
          <w:rFonts w:ascii="MetaPro-Norm" w:hAnsi="MetaPro-Norm"/>
          <w:b/>
          <w:bCs/>
          <w:sz w:val="24"/>
          <w:szCs w:val="24"/>
        </w:rPr>
        <w:t>, 2023</w:t>
      </w:r>
    </w:p>
    <w:p w14:paraId="59928B41" w14:textId="2156E5B0" w:rsidR="0054167F" w:rsidRDefault="0054167F" w:rsidP="0054167F">
      <w:pPr>
        <w:rPr>
          <w:rFonts w:ascii="MetaPro-Medi" w:hAnsi="MetaPro-Medi"/>
          <w:b/>
          <w:bCs/>
        </w:rPr>
      </w:pPr>
    </w:p>
    <w:p w14:paraId="65F5231D" w14:textId="24594572" w:rsidR="0054167F" w:rsidRDefault="0054167F" w:rsidP="0054167F">
      <w:pPr>
        <w:rPr>
          <w:rFonts w:ascii="MetaPro-Norm" w:hAnsi="MetaPro-Norm"/>
        </w:rPr>
      </w:pPr>
      <w:r w:rsidRPr="4F79B632">
        <w:rPr>
          <w:rFonts w:ascii="MetaPro-Norm" w:hAnsi="MetaPro-Norm"/>
        </w:rPr>
        <w:t xml:space="preserve">Human Rights Watch welcomes the </w:t>
      </w:r>
      <w:r w:rsidRPr="00B62FEF">
        <w:rPr>
          <w:rFonts w:ascii="MetaPro-Norm" w:hAnsi="MetaPro-Norm"/>
        </w:rPr>
        <w:t>opportunity to provide input</w:t>
      </w:r>
      <w:r w:rsidRPr="4F79B632">
        <w:rPr>
          <w:rFonts w:ascii="MetaPro-Norm" w:hAnsi="MetaPro-Norm"/>
        </w:rPr>
        <w:t xml:space="preserve"> to the</w:t>
      </w:r>
      <w:r w:rsidR="00AC1527" w:rsidRPr="4F79B632">
        <w:rPr>
          <w:rFonts w:ascii="MetaPro-Norm" w:hAnsi="MetaPro-Norm"/>
        </w:rPr>
        <w:t xml:space="preserve"> Committee on the Rights of Persons with Disabilities</w:t>
      </w:r>
      <w:r w:rsidRPr="4F79B632">
        <w:rPr>
          <w:rFonts w:ascii="MetaPro-Norm" w:hAnsi="MetaPro-Norm"/>
        </w:rPr>
        <w:t xml:space="preserve"> </w:t>
      </w:r>
      <w:r w:rsidR="00925122" w:rsidRPr="4F79B632">
        <w:rPr>
          <w:rFonts w:ascii="MetaPro-Norm" w:hAnsi="MetaPro-Norm"/>
        </w:rPr>
        <w:t xml:space="preserve">ahead of its upcoming Day of General </w:t>
      </w:r>
      <w:r w:rsidR="004F022A" w:rsidRPr="4F79B632">
        <w:rPr>
          <w:rFonts w:ascii="MetaPro-Norm" w:hAnsi="MetaPro-Norm"/>
        </w:rPr>
        <w:t>Discussion regarding persons with disabilities in situations of risk and humanitarian emergencies</w:t>
      </w:r>
      <w:r w:rsidR="00830859" w:rsidRPr="4F79B632">
        <w:rPr>
          <w:rFonts w:ascii="MetaPro-Norm" w:hAnsi="MetaPro-Norm"/>
        </w:rPr>
        <w:t>.</w:t>
      </w:r>
      <w:r w:rsidR="00187C47">
        <w:rPr>
          <w:rStyle w:val="FootnoteReference"/>
          <w:rFonts w:ascii="MetaPro-Norm" w:hAnsi="MetaPro-Norm"/>
        </w:rPr>
        <w:footnoteReference w:id="2"/>
      </w:r>
      <w:r w:rsidR="003804C5" w:rsidRPr="4F79B632">
        <w:rPr>
          <w:rFonts w:ascii="MetaPro-Norm" w:hAnsi="MetaPro-Norm"/>
        </w:rPr>
        <w:t xml:space="preserve"> </w:t>
      </w:r>
    </w:p>
    <w:p w14:paraId="5A7D2F3E" w14:textId="62B64940" w:rsidR="004F022A" w:rsidRDefault="004F022A" w:rsidP="0054167F">
      <w:pPr>
        <w:rPr>
          <w:rFonts w:ascii="MetaPro-Norm" w:hAnsi="MetaPro-Norm"/>
        </w:rPr>
      </w:pPr>
      <w:r>
        <w:rPr>
          <w:rFonts w:ascii="MetaPro-Norm" w:hAnsi="MetaPro-Norm"/>
        </w:rPr>
        <w:t>Human Rights Watch</w:t>
      </w:r>
      <w:r w:rsidR="005F014E">
        <w:rPr>
          <w:rFonts w:ascii="MetaPro-Norm" w:hAnsi="MetaPro-Norm"/>
        </w:rPr>
        <w:t xml:space="preserve"> </w:t>
      </w:r>
      <w:r w:rsidR="00A70E37">
        <w:rPr>
          <w:rFonts w:ascii="MetaPro-Norm" w:hAnsi="MetaPro-Norm"/>
        </w:rPr>
        <w:t xml:space="preserve">is an </w:t>
      </w:r>
      <w:r w:rsidR="005F014E">
        <w:rPr>
          <w:rFonts w:ascii="MetaPro-Norm" w:hAnsi="MetaPro-Norm"/>
        </w:rPr>
        <w:t>independent nongovernmental organization</w:t>
      </w:r>
      <w:r w:rsidR="007C72FF">
        <w:rPr>
          <w:rFonts w:ascii="MetaPro-Norm" w:hAnsi="MetaPro-Norm"/>
        </w:rPr>
        <w:t xml:space="preserve"> that monitors and reports</w:t>
      </w:r>
      <w:r w:rsidR="00A47D63">
        <w:rPr>
          <w:rFonts w:ascii="MetaPro-Norm" w:hAnsi="MetaPro-Norm"/>
        </w:rPr>
        <w:t xml:space="preserve"> </w:t>
      </w:r>
      <w:r w:rsidR="00032A48">
        <w:rPr>
          <w:rFonts w:ascii="MetaPro-Norm" w:hAnsi="MetaPro-Norm"/>
        </w:rPr>
        <w:t xml:space="preserve">on human rights in more than 100 countries around the world. Human Rights Watch has documented the impact of situations of risk and humanitarian emergencies on the rights of </w:t>
      </w:r>
      <w:r w:rsidR="00EA7392">
        <w:rPr>
          <w:rFonts w:ascii="MetaPro-Norm" w:hAnsi="MetaPro-Norm"/>
        </w:rPr>
        <w:t xml:space="preserve">people with disabilities, </w:t>
      </w:r>
      <w:r w:rsidR="00B66F53">
        <w:rPr>
          <w:rFonts w:ascii="MetaPro-Norm" w:hAnsi="MetaPro-Norm"/>
        </w:rPr>
        <w:t xml:space="preserve">including </w:t>
      </w:r>
      <w:r w:rsidR="00F60031">
        <w:rPr>
          <w:rFonts w:ascii="MetaPro-Norm" w:hAnsi="MetaPro-Norm"/>
        </w:rPr>
        <w:t>women, persons residing in institutions, children, older persons, and internally displaced</w:t>
      </w:r>
      <w:r w:rsidR="0013699E">
        <w:rPr>
          <w:rFonts w:ascii="MetaPro-Norm" w:hAnsi="MetaPro-Norm"/>
        </w:rPr>
        <w:t xml:space="preserve"> persons</w:t>
      </w:r>
      <w:r w:rsidR="00F60031">
        <w:rPr>
          <w:rFonts w:ascii="MetaPro-Norm" w:hAnsi="MetaPro-Norm"/>
        </w:rPr>
        <w:t>, asylum</w:t>
      </w:r>
      <w:r w:rsidR="00036BAC">
        <w:rPr>
          <w:rFonts w:ascii="MetaPro-Norm" w:hAnsi="MetaPro-Norm"/>
        </w:rPr>
        <w:t xml:space="preserve"> </w:t>
      </w:r>
      <w:r w:rsidR="00F60031">
        <w:rPr>
          <w:rFonts w:ascii="MetaPro-Norm" w:hAnsi="MetaPro-Norm"/>
        </w:rPr>
        <w:t>seek</w:t>
      </w:r>
      <w:r w:rsidR="00036BAC">
        <w:rPr>
          <w:rFonts w:ascii="MetaPro-Norm" w:hAnsi="MetaPro-Norm"/>
        </w:rPr>
        <w:t>ers</w:t>
      </w:r>
      <w:r w:rsidR="00F33503">
        <w:rPr>
          <w:rFonts w:ascii="MetaPro-Norm" w:hAnsi="MetaPro-Norm"/>
        </w:rPr>
        <w:t>,</w:t>
      </w:r>
      <w:r w:rsidR="00F60031">
        <w:rPr>
          <w:rFonts w:ascii="MetaPro-Norm" w:hAnsi="MetaPro-Norm"/>
        </w:rPr>
        <w:t xml:space="preserve"> and refugee</w:t>
      </w:r>
      <w:r w:rsidR="00626F81">
        <w:rPr>
          <w:rFonts w:ascii="MetaPro-Norm" w:hAnsi="MetaPro-Norm"/>
        </w:rPr>
        <w:t>s</w:t>
      </w:r>
      <w:r w:rsidR="00F60031">
        <w:rPr>
          <w:rFonts w:ascii="MetaPro-Norm" w:hAnsi="MetaPro-Norm"/>
        </w:rPr>
        <w:t xml:space="preserve"> with disabilities.</w:t>
      </w:r>
      <w:r w:rsidR="00FD4DDB">
        <w:rPr>
          <w:rStyle w:val="FootnoteReference"/>
          <w:rFonts w:ascii="MetaPro-Norm" w:hAnsi="MetaPro-Norm"/>
        </w:rPr>
        <w:footnoteReference w:id="3"/>
      </w:r>
      <w:r w:rsidR="00626F81">
        <w:rPr>
          <w:rFonts w:ascii="MetaPro-Norm" w:hAnsi="MetaPro-Norm"/>
        </w:rPr>
        <w:t xml:space="preserve"> </w:t>
      </w:r>
    </w:p>
    <w:p w14:paraId="2BE9B9A1" w14:textId="77777777" w:rsidR="00E86C63" w:rsidRDefault="003F145F" w:rsidP="00C836B9">
      <w:pPr>
        <w:rPr>
          <w:rFonts w:ascii="MetaPro-Norm" w:hAnsi="MetaPro-Norm"/>
        </w:rPr>
      </w:pPr>
      <w:r w:rsidRPr="003F145F">
        <w:rPr>
          <w:rFonts w:ascii="MetaPro-Norm" w:hAnsi="MetaPro-Norm"/>
        </w:rPr>
        <w:t xml:space="preserve">Human Rights Watch analyzes </w:t>
      </w:r>
      <w:r w:rsidR="00036BAC">
        <w:rPr>
          <w:rFonts w:ascii="MetaPro-Norm" w:hAnsi="MetaPro-Norm"/>
        </w:rPr>
        <w:t>s</w:t>
      </w:r>
      <w:r w:rsidRPr="003F145F">
        <w:rPr>
          <w:rFonts w:ascii="MetaPro-Norm" w:hAnsi="MetaPro-Norm"/>
        </w:rPr>
        <w:t xml:space="preserve">tates’ obligations to situations of risk and humanitarian emergencies within the context of the </w:t>
      </w:r>
      <w:r w:rsidR="00036BAC">
        <w:rPr>
          <w:rFonts w:ascii="MetaPro-Norm" w:hAnsi="MetaPro-Norm"/>
        </w:rPr>
        <w:t>general obligations (art</w:t>
      </w:r>
      <w:r w:rsidR="001E6496">
        <w:rPr>
          <w:rFonts w:ascii="MetaPro-Norm" w:hAnsi="MetaPro-Norm"/>
        </w:rPr>
        <w:t>icle</w:t>
      </w:r>
      <w:r w:rsidR="00036BAC">
        <w:rPr>
          <w:rFonts w:ascii="MetaPro-Norm" w:hAnsi="MetaPro-Norm"/>
        </w:rPr>
        <w:t xml:space="preserve"> 4) of the </w:t>
      </w:r>
      <w:r w:rsidRPr="003F145F">
        <w:rPr>
          <w:rFonts w:ascii="MetaPro-Norm" w:hAnsi="MetaPro-Norm"/>
        </w:rPr>
        <w:t>C</w:t>
      </w:r>
      <w:r w:rsidR="00EF3222">
        <w:rPr>
          <w:rFonts w:ascii="MetaPro-Norm" w:hAnsi="MetaPro-Norm"/>
        </w:rPr>
        <w:t xml:space="preserve">onvention on the </w:t>
      </w:r>
      <w:r w:rsidRPr="003F145F">
        <w:rPr>
          <w:rFonts w:ascii="MetaPro-Norm" w:hAnsi="MetaPro-Norm"/>
        </w:rPr>
        <w:t>R</w:t>
      </w:r>
      <w:r w:rsidR="00EF3222">
        <w:rPr>
          <w:rFonts w:ascii="MetaPro-Norm" w:hAnsi="MetaPro-Norm"/>
        </w:rPr>
        <w:t xml:space="preserve">ights of </w:t>
      </w:r>
      <w:r w:rsidRPr="003F145F">
        <w:rPr>
          <w:rFonts w:ascii="MetaPro-Norm" w:hAnsi="MetaPro-Norm"/>
        </w:rPr>
        <w:t>P</w:t>
      </w:r>
      <w:r w:rsidR="00EF3222">
        <w:rPr>
          <w:rFonts w:ascii="MetaPro-Norm" w:hAnsi="MetaPro-Norm"/>
        </w:rPr>
        <w:t xml:space="preserve">ersons with </w:t>
      </w:r>
      <w:r w:rsidRPr="003F145F">
        <w:rPr>
          <w:rFonts w:ascii="MetaPro-Norm" w:hAnsi="MetaPro-Norm"/>
        </w:rPr>
        <w:t>D</w:t>
      </w:r>
      <w:r w:rsidR="00EF3222">
        <w:rPr>
          <w:rFonts w:ascii="MetaPro-Norm" w:hAnsi="MetaPro-Norm"/>
        </w:rPr>
        <w:t>isabilities</w:t>
      </w:r>
      <w:r w:rsidRPr="003F145F">
        <w:rPr>
          <w:rFonts w:ascii="MetaPro-Norm" w:hAnsi="MetaPro-Norm"/>
        </w:rPr>
        <w:t>’</w:t>
      </w:r>
      <w:r w:rsidR="00EF3222">
        <w:rPr>
          <w:rFonts w:ascii="MetaPro-Norm" w:hAnsi="MetaPro-Norm"/>
        </w:rPr>
        <w:t xml:space="preserve"> (CRPD)</w:t>
      </w:r>
      <w:r w:rsidR="001A3594">
        <w:rPr>
          <w:rFonts w:ascii="MetaPro-Norm" w:hAnsi="MetaPro-Norm"/>
        </w:rPr>
        <w:t>.</w:t>
      </w:r>
      <w:r w:rsidR="00924712">
        <w:rPr>
          <w:rStyle w:val="FootnoteReference"/>
          <w:rFonts w:ascii="MetaPro-Norm" w:hAnsi="MetaPro-Norm"/>
        </w:rPr>
        <w:footnoteReference w:id="4"/>
      </w:r>
      <w:r w:rsidRPr="003F145F">
        <w:rPr>
          <w:rFonts w:ascii="MetaPro-Norm" w:hAnsi="MetaPro-Norm"/>
        </w:rPr>
        <w:t xml:space="preserve"> We list below some recommendations </w:t>
      </w:r>
      <w:r w:rsidR="00795F76">
        <w:rPr>
          <w:rFonts w:ascii="MetaPro-Norm" w:hAnsi="MetaPro-Norm"/>
        </w:rPr>
        <w:t xml:space="preserve">and </w:t>
      </w:r>
      <w:r w:rsidRPr="003F145F">
        <w:rPr>
          <w:rFonts w:ascii="MetaPro-Norm" w:hAnsi="MetaPro-Norm"/>
        </w:rPr>
        <w:t>contextual information from Human Rights Watch research that contribute to this end.</w:t>
      </w:r>
    </w:p>
    <w:p w14:paraId="3D8C52E2" w14:textId="77777777" w:rsidR="00906CA6" w:rsidRDefault="00906CA6" w:rsidP="00C836B9">
      <w:pPr>
        <w:rPr>
          <w:rFonts w:ascii="MetaPro-Norm" w:hAnsi="MetaPro-Norm"/>
        </w:rPr>
      </w:pPr>
    </w:p>
    <w:p w14:paraId="713F30E3" w14:textId="423726D5" w:rsidR="005B2857" w:rsidRPr="000A505D" w:rsidRDefault="005B2857" w:rsidP="000A505D">
      <w:pPr>
        <w:pStyle w:val="ListParagraph"/>
        <w:numPr>
          <w:ilvl w:val="0"/>
          <w:numId w:val="7"/>
        </w:numPr>
        <w:rPr>
          <w:rFonts w:ascii="MetaPro-Norm" w:hAnsi="MetaPro-Norm"/>
        </w:rPr>
      </w:pPr>
      <w:r w:rsidRPr="000A505D">
        <w:rPr>
          <w:rFonts w:ascii="MetaPro-Norm" w:hAnsi="MetaPro-Norm"/>
          <w:b/>
          <w:bCs/>
        </w:rPr>
        <w:t>Armed Conflict</w:t>
      </w:r>
    </w:p>
    <w:p w14:paraId="080FC490" w14:textId="47553664" w:rsidR="003E1BC9" w:rsidRPr="00BA2CF0" w:rsidRDefault="003E1BC9" w:rsidP="00BA2CF0">
      <w:pPr>
        <w:pStyle w:val="ListParagraph"/>
        <w:numPr>
          <w:ilvl w:val="0"/>
          <w:numId w:val="10"/>
        </w:numPr>
        <w:rPr>
          <w:rFonts w:ascii="MetaPro-Norm" w:hAnsi="MetaPro-Norm"/>
          <w:i/>
          <w:iCs/>
        </w:rPr>
      </w:pPr>
      <w:r w:rsidRPr="00BA2CF0">
        <w:rPr>
          <w:rFonts w:ascii="MetaPro-Norm" w:hAnsi="MetaPro-Norm"/>
          <w:i/>
          <w:iCs/>
        </w:rPr>
        <w:t xml:space="preserve">Taking measures in accordance with obligations under international law to ensure protection and </w:t>
      </w:r>
      <w:proofErr w:type="gramStart"/>
      <w:r w:rsidRPr="00BA2CF0">
        <w:rPr>
          <w:rFonts w:ascii="MetaPro-Norm" w:hAnsi="MetaPro-Norm"/>
          <w:i/>
          <w:iCs/>
        </w:rPr>
        <w:t>safety</w:t>
      </w:r>
      <w:proofErr w:type="gramEnd"/>
      <w:r w:rsidR="00BF53FC" w:rsidRPr="00BA2CF0">
        <w:rPr>
          <w:rFonts w:ascii="MetaPro-Norm" w:hAnsi="MetaPro-Norm"/>
          <w:i/>
          <w:iCs/>
        </w:rPr>
        <w:t xml:space="preserve"> </w:t>
      </w:r>
    </w:p>
    <w:p w14:paraId="5FF48467" w14:textId="0A17C202" w:rsidR="003E1BC9" w:rsidRDefault="00036BAC" w:rsidP="003E1BC9">
      <w:pPr>
        <w:rPr>
          <w:rFonts w:ascii="MetaPro-Norm" w:hAnsi="MetaPro-Norm"/>
        </w:rPr>
      </w:pPr>
      <w:r>
        <w:rPr>
          <w:rFonts w:ascii="MetaPro-Norm" w:hAnsi="MetaPro-Norm"/>
        </w:rPr>
        <w:t>I</w:t>
      </w:r>
      <w:r w:rsidR="0054B0D9">
        <w:rPr>
          <w:rFonts w:ascii="MetaPro-Norm" w:hAnsi="MetaPro-Norm"/>
        </w:rPr>
        <w:t>nternational humanitarian law applies to all parties to a</w:t>
      </w:r>
      <w:r>
        <w:rPr>
          <w:rFonts w:ascii="MetaPro-Norm" w:hAnsi="MetaPro-Norm"/>
        </w:rPr>
        <w:t>n armed</w:t>
      </w:r>
      <w:r w:rsidR="0054B0D9">
        <w:rPr>
          <w:rFonts w:ascii="MetaPro-Norm" w:hAnsi="MetaPro-Norm"/>
        </w:rPr>
        <w:t xml:space="preserve"> conflict, </w:t>
      </w:r>
      <w:r w:rsidR="0A98852E">
        <w:rPr>
          <w:rFonts w:ascii="MetaPro-Norm" w:hAnsi="MetaPro-Norm"/>
        </w:rPr>
        <w:t xml:space="preserve">to </w:t>
      </w:r>
      <w:r w:rsidR="0054B0D9">
        <w:rPr>
          <w:rFonts w:ascii="MetaPro-Norm" w:hAnsi="MetaPro-Norm"/>
        </w:rPr>
        <w:t>both state and non-state actors</w:t>
      </w:r>
      <w:r w:rsidR="17F2A3D8">
        <w:rPr>
          <w:rFonts w:ascii="MetaPro-Norm" w:hAnsi="MetaPro-Norm"/>
        </w:rPr>
        <w:t>,</w:t>
      </w:r>
      <w:r w:rsidR="0054B0D9">
        <w:rPr>
          <w:rFonts w:ascii="MetaPro-Norm" w:hAnsi="MetaPro-Norm"/>
        </w:rPr>
        <w:t xml:space="preserve"> and protects civilians in times of war.</w:t>
      </w:r>
      <w:r w:rsidR="00365877">
        <w:rPr>
          <w:rStyle w:val="FootnoteReference"/>
          <w:rFonts w:ascii="MetaPro-Norm" w:hAnsi="MetaPro-Norm"/>
        </w:rPr>
        <w:footnoteReference w:id="5"/>
      </w:r>
      <w:r w:rsidR="0054B0D9">
        <w:rPr>
          <w:rFonts w:ascii="MetaPro-Norm" w:hAnsi="MetaPro-Norm"/>
        </w:rPr>
        <w:t xml:space="preserve"> International human rights law </w:t>
      </w:r>
      <w:proofErr w:type="gramStart"/>
      <w:r w:rsidR="0054B0D9">
        <w:rPr>
          <w:rFonts w:ascii="MetaPro-Norm" w:hAnsi="MetaPro-Norm"/>
        </w:rPr>
        <w:t>applies at all times</w:t>
      </w:r>
      <w:proofErr w:type="gramEnd"/>
      <w:r w:rsidR="0054B0D9">
        <w:rPr>
          <w:rFonts w:ascii="MetaPro-Norm" w:hAnsi="MetaPro-Norm"/>
        </w:rPr>
        <w:t>.</w:t>
      </w:r>
      <w:r w:rsidR="00A34959">
        <w:rPr>
          <w:rStyle w:val="FootnoteReference"/>
          <w:rFonts w:ascii="MetaPro-Norm" w:hAnsi="MetaPro-Norm"/>
        </w:rPr>
        <w:footnoteReference w:id="6"/>
      </w:r>
      <w:r w:rsidR="0054B0D9">
        <w:rPr>
          <w:rFonts w:ascii="MetaPro-Norm" w:hAnsi="MetaPro-Norm"/>
        </w:rPr>
        <w:t xml:space="preserve"> The CRPD </w:t>
      </w:r>
      <w:r>
        <w:rPr>
          <w:rFonts w:ascii="MetaPro-Norm" w:hAnsi="MetaPro-Norm"/>
        </w:rPr>
        <w:t>obligates</w:t>
      </w:r>
      <w:r w:rsidR="0054B0D9">
        <w:rPr>
          <w:rFonts w:ascii="MetaPro-Norm" w:hAnsi="MetaPro-Norm"/>
        </w:rPr>
        <w:t xml:space="preserve"> the U</w:t>
      </w:r>
      <w:r w:rsidR="14319117">
        <w:rPr>
          <w:rFonts w:ascii="MetaPro-Norm" w:hAnsi="MetaPro-Norm"/>
        </w:rPr>
        <w:t xml:space="preserve">nited </w:t>
      </w:r>
      <w:r w:rsidR="0054B0D9">
        <w:rPr>
          <w:rFonts w:ascii="MetaPro-Norm" w:hAnsi="MetaPro-Norm"/>
        </w:rPr>
        <w:t>N</w:t>
      </w:r>
      <w:r w:rsidR="14319117">
        <w:rPr>
          <w:rFonts w:ascii="MetaPro-Norm" w:hAnsi="MetaPro-Norm"/>
        </w:rPr>
        <w:t>ations</w:t>
      </w:r>
      <w:r w:rsidR="00F33503">
        <w:rPr>
          <w:rFonts w:ascii="MetaPro-Norm" w:hAnsi="MetaPro-Norm"/>
        </w:rPr>
        <w:t xml:space="preserve"> (UN)</w:t>
      </w:r>
      <w:r w:rsidR="0054B0D9">
        <w:rPr>
          <w:rFonts w:ascii="MetaPro-Norm" w:hAnsi="MetaPro-Norm"/>
        </w:rPr>
        <w:t xml:space="preserve"> and </w:t>
      </w:r>
      <w:r>
        <w:rPr>
          <w:rFonts w:ascii="MetaPro-Norm" w:hAnsi="MetaPro-Norm"/>
        </w:rPr>
        <w:t xml:space="preserve">states parties </w:t>
      </w:r>
      <w:r w:rsidR="0054B0D9">
        <w:rPr>
          <w:rFonts w:ascii="MetaPro-Norm" w:hAnsi="MetaPro-Norm"/>
        </w:rPr>
        <w:t>to apply a disability rights-centered approach to civilian protection. This includes being cognizant of the experiences and rights of persons with disabilities during attacks and evacuations, in accessing protection, shelter, basic necessities, education, and humanitarian services; and during recovery and peace processes</w:t>
      </w:r>
      <w:r w:rsidR="7D8E820D">
        <w:rPr>
          <w:rFonts w:ascii="MetaPro-Norm" w:hAnsi="MetaPro-Norm"/>
        </w:rPr>
        <w:t>.</w:t>
      </w:r>
      <w:r w:rsidR="0054B0D9">
        <w:rPr>
          <w:rFonts w:ascii="MetaPro-Norm" w:hAnsi="MetaPro-Norm"/>
        </w:rPr>
        <w:t xml:space="preserve"> </w:t>
      </w:r>
      <w:r w:rsidR="7D8E820D">
        <w:rPr>
          <w:rFonts w:ascii="MetaPro-Norm" w:hAnsi="MetaPro-Norm"/>
        </w:rPr>
        <w:t>T</w:t>
      </w:r>
      <w:r w:rsidR="0054B0D9">
        <w:rPr>
          <w:rFonts w:ascii="MetaPro-Norm" w:hAnsi="MetaPro-Norm"/>
        </w:rPr>
        <w:t xml:space="preserve">hese experiences </w:t>
      </w:r>
      <w:r w:rsidR="7D8E820D">
        <w:rPr>
          <w:rFonts w:ascii="MetaPro-Norm" w:hAnsi="MetaPro-Norm"/>
        </w:rPr>
        <w:t xml:space="preserve">should be factored </w:t>
      </w:r>
      <w:r w:rsidR="0054B0D9">
        <w:rPr>
          <w:rFonts w:ascii="MetaPro-Norm" w:hAnsi="MetaPro-Norm"/>
        </w:rPr>
        <w:t>into</w:t>
      </w:r>
      <w:r>
        <w:rPr>
          <w:rFonts w:ascii="MetaPro-Norm" w:hAnsi="MetaPro-Norm"/>
        </w:rPr>
        <w:t xml:space="preserve"> governments’</w:t>
      </w:r>
      <w:r w:rsidR="0054B0D9">
        <w:rPr>
          <w:rFonts w:ascii="MetaPro-Norm" w:hAnsi="MetaPro-Norm"/>
        </w:rPr>
        <w:t xml:space="preserve"> targeted protocols, rules, and approaches to civilian protection.</w:t>
      </w:r>
    </w:p>
    <w:p w14:paraId="4288572F" w14:textId="77777777" w:rsidR="003E1BC9" w:rsidRDefault="003E1BC9" w:rsidP="003E1BC9">
      <w:pPr>
        <w:rPr>
          <w:rFonts w:ascii="MetaPro-Norm" w:hAnsi="MetaPro-Norm"/>
        </w:rPr>
      </w:pPr>
      <w:r>
        <w:rPr>
          <w:rFonts w:ascii="MetaPro-Norm" w:hAnsi="MetaPro-Norm"/>
        </w:rPr>
        <w:t>Human Rights Watch research and reporting has observed the failure of humanitarian operations to identify and address the rights and needs of persons with disabilities during situations of risk.</w:t>
      </w:r>
    </w:p>
    <w:p w14:paraId="038571E8" w14:textId="1363D8B9" w:rsidR="003E1BC9" w:rsidRDefault="003E1BC9" w:rsidP="003E1BC9">
      <w:pPr>
        <w:rPr>
          <w:rFonts w:ascii="MetaPro-Norm" w:hAnsi="MetaPro-Norm"/>
        </w:rPr>
      </w:pPr>
      <w:r>
        <w:rPr>
          <w:rFonts w:ascii="MetaPro-Norm" w:hAnsi="MetaPro-Norm"/>
        </w:rPr>
        <w:t xml:space="preserve">To ensure that </w:t>
      </w:r>
      <w:r w:rsidR="00036BAC">
        <w:rPr>
          <w:rFonts w:ascii="MetaPro-Norm" w:hAnsi="MetaPro-Norm"/>
        </w:rPr>
        <w:t>s</w:t>
      </w:r>
      <w:r>
        <w:rPr>
          <w:rFonts w:ascii="MetaPro-Norm" w:hAnsi="MetaPro-Norm"/>
        </w:rPr>
        <w:t>tates’ measures are in accordance with their obligations under international law, governments, the UN, and donor entities should invest resources to better identify and report on the unique challenges that people with disabilities face during situations of conflict.</w:t>
      </w:r>
    </w:p>
    <w:p w14:paraId="15E143B8" w14:textId="787DF636" w:rsidR="00DE613E" w:rsidRDefault="0054B0D9" w:rsidP="003E1BC9">
      <w:pPr>
        <w:rPr>
          <w:rFonts w:ascii="MetaPro-Norm" w:hAnsi="MetaPro-Norm"/>
        </w:rPr>
      </w:pPr>
      <w:r>
        <w:rPr>
          <w:rFonts w:ascii="MetaPro-Norm" w:hAnsi="MetaPro-Norm"/>
        </w:rPr>
        <w:t>In Syria, Human Rights Watch reported</w:t>
      </w:r>
      <w:r w:rsidR="0EB7A871">
        <w:rPr>
          <w:rFonts w:ascii="MetaPro-Norm" w:hAnsi="MetaPro-Norm"/>
        </w:rPr>
        <w:t xml:space="preserve"> that children with disabilities </w:t>
      </w:r>
      <w:r w:rsidR="376AFC99">
        <w:rPr>
          <w:rFonts w:ascii="MetaPro-Norm" w:hAnsi="MetaPro-Norm"/>
        </w:rPr>
        <w:t>experience greater risks during attacks</w:t>
      </w:r>
      <w:r w:rsidR="426B0D53">
        <w:rPr>
          <w:rFonts w:ascii="MetaPro-Norm" w:hAnsi="MetaPro-Norm"/>
        </w:rPr>
        <w:t xml:space="preserve"> and </w:t>
      </w:r>
      <w:r w:rsidR="376AFC99">
        <w:rPr>
          <w:rFonts w:ascii="MetaPro-Norm" w:hAnsi="MetaPro-Norm"/>
        </w:rPr>
        <w:t>lack access to basic services</w:t>
      </w:r>
      <w:r w:rsidR="426B0D53">
        <w:rPr>
          <w:rFonts w:ascii="MetaPro-Norm" w:hAnsi="MetaPro-Norm"/>
        </w:rPr>
        <w:t xml:space="preserve"> due to</w:t>
      </w:r>
      <w:r>
        <w:rPr>
          <w:rFonts w:ascii="MetaPro-Norm" w:hAnsi="MetaPro-Norm"/>
        </w:rPr>
        <w:t xml:space="preserve"> the failure of humanitarian </w:t>
      </w:r>
      <w:r w:rsidR="00036BAC">
        <w:rPr>
          <w:rFonts w:ascii="MetaPro-Norm" w:hAnsi="MetaPro-Norm"/>
        </w:rPr>
        <w:t xml:space="preserve">agencies </w:t>
      </w:r>
      <w:r>
        <w:rPr>
          <w:rFonts w:ascii="MetaPro-Norm" w:hAnsi="MetaPro-Norm"/>
        </w:rPr>
        <w:t>to sufficiently identify and address the rights and needs of children with disabilities.</w:t>
      </w:r>
      <w:r w:rsidR="00B678C8">
        <w:rPr>
          <w:rStyle w:val="FootnoteReference"/>
          <w:rFonts w:ascii="MetaPro-Norm" w:hAnsi="MetaPro-Norm"/>
        </w:rPr>
        <w:footnoteReference w:id="7"/>
      </w:r>
      <w:r>
        <w:rPr>
          <w:rFonts w:ascii="MetaPro-Norm" w:hAnsi="MetaPro-Norm"/>
        </w:rPr>
        <w:t xml:space="preserve"> UN monitoring and reporting paid less attention to children with disabilities, compared with other children. And in the few instances in which children with disabilities </w:t>
      </w:r>
      <w:r w:rsidR="5E280C75">
        <w:rPr>
          <w:rFonts w:ascii="MetaPro-Norm" w:hAnsi="MetaPro-Norm"/>
        </w:rPr>
        <w:t>were</w:t>
      </w:r>
      <w:r>
        <w:rPr>
          <w:rFonts w:ascii="MetaPro-Norm" w:hAnsi="MetaPro-Norm"/>
        </w:rPr>
        <w:t xml:space="preserve"> mentioned, data was provided on children who have been injured or “maimed,” but d</w:t>
      </w:r>
      <w:r w:rsidR="5E280C75">
        <w:rPr>
          <w:rFonts w:ascii="MetaPro-Norm" w:hAnsi="MetaPro-Norm"/>
        </w:rPr>
        <w:t>id</w:t>
      </w:r>
      <w:r>
        <w:rPr>
          <w:rFonts w:ascii="MetaPro-Norm" w:hAnsi="MetaPro-Norm"/>
        </w:rPr>
        <w:t xml:space="preserve"> not frame concerns or responses in the context of the rights of children with disabilities.</w:t>
      </w:r>
      <w:r w:rsidR="003E1BC9">
        <w:rPr>
          <w:rStyle w:val="FootnoteReference"/>
          <w:rFonts w:ascii="MetaPro-Norm" w:hAnsi="MetaPro-Norm"/>
        </w:rPr>
        <w:footnoteReference w:id="8"/>
      </w:r>
    </w:p>
    <w:p w14:paraId="1D3C640D" w14:textId="58128D1C" w:rsidR="003E1BC9" w:rsidRDefault="003E1BC9" w:rsidP="003E1BC9">
      <w:pPr>
        <w:rPr>
          <w:rFonts w:ascii="MetaPro-Norm" w:hAnsi="MetaPro-Norm"/>
        </w:rPr>
      </w:pPr>
      <w:r>
        <w:rPr>
          <w:rFonts w:ascii="MetaPro-Norm" w:hAnsi="MetaPro-Norm"/>
        </w:rPr>
        <w:t xml:space="preserve">A January 2022 study commissioned by the </w:t>
      </w:r>
      <w:r w:rsidR="001E6496">
        <w:rPr>
          <w:rFonts w:ascii="MetaPro-Norm" w:hAnsi="MetaPro-Norm"/>
        </w:rPr>
        <w:t>O</w:t>
      </w:r>
      <w:r>
        <w:rPr>
          <w:rFonts w:ascii="MetaPro-Norm" w:hAnsi="MetaPro-Norm"/>
        </w:rPr>
        <w:t xml:space="preserve">ffice of the </w:t>
      </w:r>
      <w:r w:rsidR="001E6496">
        <w:rPr>
          <w:rFonts w:ascii="MetaPro-Norm" w:hAnsi="MetaPro-Norm"/>
        </w:rPr>
        <w:t>S</w:t>
      </w:r>
      <w:r>
        <w:rPr>
          <w:rFonts w:ascii="MetaPro-Norm" w:hAnsi="MetaPro-Norm"/>
        </w:rPr>
        <w:t xml:space="preserve">pecial </w:t>
      </w:r>
      <w:r w:rsidR="001E6496">
        <w:rPr>
          <w:rFonts w:ascii="MetaPro-Norm" w:hAnsi="MetaPro-Norm"/>
        </w:rPr>
        <w:t>R</w:t>
      </w:r>
      <w:r>
        <w:rPr>
          <w:rFonts w:ascii="MetaPro-Norm" w:hAnsi="MetaPro-Norm"/>
        </w:rPr>
        <w:t xml:space="preserve">epresentative of the </w:t>
      </w:r>
      <w:r w:rsidR="001E6496">
        <w:rPr>
          <w:rFonts w:ascii="MetaPro-Norm" w:hAnsi="MetaPro-Norm"/>
        </w:rPr>
        <w:t>S</w:t>
      </w:r>
      <w:r>
        <w:rPr>
          <w:rFonts w:ascii="MetaPro-Norm" w:hAnsi="MetaPro-Norm"/>
        </w:rPr>
        <w:t>ecretary-</w:t>
      </w:r>
      <w:r w:rsidR="001E6496">
        <w:rPr>
          <w:rFonts w:ascii="MetaPro-Norm" w:hAnsi="MetaPro-Norm"/>
        </w:rPr>
        <w:t>G</w:t>
      </w:r>
      <w:r>
        <w:rPr>
          <w:rFonts w:ascii="MetaPro-Norm" w:hAnsi="MetaPro-Norm"/>
        </w:rPr>
        <w:t xml:space="preserve">eneral for </w:t>
      </w:r>
      <w:r w:rsidR="001E6496">
        <w:rPr>
          <w:rFonts w:ascii="MetaPro-Norm" w:hAnsi="MetaPro-Norm"/>
        </w:rPr>
        <w:t>C</w:t>
      </w:r>
      <w:r>
        <w:rPr>
          <w:rFonts w:ascii="MetaPro-Norm" w:hAnsi="MetaPro-Norm"/>
        </w:rPr>
        <w:t xml:space="preserve">hildren and </w:t>
      </w:r>
      <w:r w:rsidR="001E6496">
        <w:rPr>
          <w:rFonts w:ascii="MetaPro-Norm" w:hAnsi="MetaPro-Norm"/>
        </w:rPr>
        <w:t>A</w:t>
      </w:r>
      <w:r>
        <w:rPr>
          <w:rFonts w:ascii="MetaPro-Norm" w:hAnsi="MetaPro-Norm"/>
        </w:rPr>
        <w:t xml:space="preserve">rmed </w:t>
      </w:r>
      <w:r w:rsidR="001E6496">
        <w:rPr>
          <w:rFonts w:ascii="MetaPro-Norm" w:hAnsi="MetaPro-Norm"/>
        </w:rPr>
        <w:t>C</w:t>
      </w:r>
      <w:r>
        <w:rPr>
          <w:rFonts w:ascii="MetaPro-Norm" w:hAnsi="MetaPro-Norm"/>
        </w:rPr>
        <w:t xml:space="preserve">onflict found that children with disabilities have been overwhelmingly left out of 25 years of UN action to help children caught </w:t>
      </w:r>
      <w:r w:rsidR="001E6496">
        <w:rPr>
          <w:rFonts w:ascii="MetaPro-Norm" w:hAnsi="MetaPro-Norm"/>
        </w:rPr>
        <w:t xml:space="preserve">up </w:t>
      </w:r>
      <w:r>
        <w:rPr>
          <w:rFonts w:ascii="MetaPro-Norm" w:hAnsi="MetaPro-Norm"/>
        </w:rPr>
        <w:t>in armed conflict.</w:t>
      </w:r>
      <w:r w:rsidR="00E21B78">
        <w:rPr>
          <w:rStyle w:val="FootnoteReference"/>
          <w:rFonts w:ascii="MetaPro-Norm" w:hAnsi="MetaPro-Norm"/>
        </w:rPr>
        <w:footnoteReference w:id="9"/>
      </w:r>
    </w:p>
    <w:p w14:paraId="30D6F541" w14:textId="5ABC62D5" w:rsidR="003E1BC9" w:rsidRDefault="003E1BC9" w:rsidP="003E1BC9">
      <w:pPr>
        <w:rPr>
          <w:rFonts w:ascii="MetaPro-Norm" w:hAnsi="MetaPro-Norm"/>
        </w:rPr>
      </w:pPr>
      <w:r>
        <w:rPr>
          <w:rFonts w:ascii="MetaPro-Norm" w:hAnsi="MetaPro-Norm"/>
        </w:rPr>
        <w:t>The secretary-general’s reports on Afghanistan, the Central African Republic, Palestine, South Sudan, and Syria either did not mention the conflicts’ impact on people with disabilities at all or made only brief reference.</w:t>
      </w:r>
      <w:r>
        <w:rPr>
          <w:rStyle w:val="FootnoteReference"/>
          <w:rFonts w:ascii="MetaPro-Norm" w:hAnsi="MetaPro-Norm"/>
        </w:rPr>
        <w:footnoteReference w:id="10"/>
      </w:r>
      <w:r>
        <w:rPr>
          <w:rFonts w:ascii="MetaPro-Norm" w:hAnsi="MetaPro-Norm"/>
        </w:rPr>
        <w:t xml:space="preserve"> Only one of the nine reports on </w:t>
      </w:r>
      <w:r w:rsidR="001E6496">
        <w:rPr>
          <w:rFonts w:ascii="MetaPro-Norm" w:hAnsi="MetaPro-Norm"/>
        </w:rPr>
        <w:t xml:space="preserve">the </w:t>
      </w:r>
      <w:r>
        <w:rPr>
          <w:rFonts w:ascii="MetaPro-Norm" w:hAnsi="MetaPro-Norm"/>
        </w:rPr>
        <w:t xml:space="preserve">humanitarian situation in Syria since 2019 mentions the specific needs of people with disabilities and </w:t>
      </w:r>
      <w:r w:rsidR="001E6496">
        <w:rPr>
          <w:rFonts w:ascii="MetaPro-Norm" w:hAnsi="MetaPro-Norm"/>
        </w:rPr>
        <w:t xml:space="preserve">just </w:t>
      </w:r>
      <w:r>
        <w:rPr>
          <w:rFonts w:ascii="MetaPro-Norm" w:hAnsi="MetaPro-Norm"/>
        </w:rPr>
        <w:t>two mention people with disabilities who had been killed.</w:t>
      </w:r>
      <w:r w:rsidR="00360599">
        <w:rPr>
          <w:rStyle w:val="FootnoteReference"/>
          <w:rFonts w:ascii="MetaPro-Norm" w:hAnsi="MetaPro-Norm"/>
        </w:rPr>
        <w:footnoteReference w:id="11"/>
      </w:r>
    </w:p>
    <w:p w14:paraId="418B90BC" w14:textId="020D60D7" w:rsidR="003E1BC9" w:rsidRDefault="003E1BC9" w:rsidP="003E1BC9">
      <w:pPr>
        <w:rPr>
          <w:rFonts w:ascii="MetaPro-Norm" w:hAnsi="MetaPro-Norm"/>
        </w:rPr>
      </w:pPr>
      <w:r>
        <w:rPr>
          <w:rFonts w:ascii="MetaPro-Norm" w:hAnsi="MetaPro-Norm"/>
        </w:rPr>
        <w:t>Without detailed and careful monitoring and reporting on the experiences of persons with disabilities, the full impact of conflicts on them and their rights will remain unclear. Consequently, all necessary measures to ensure the protection and safety of persons with disabilities may miss or underserve them.</w:t>
      </w:r>
    </w:p>
    <w:p w14:paraId="706D19BA" w14:textId="5A27D916" w:rsidR="00B67079" w:rsidRPr="00BA2CF0" w:rsidRDefault="4DBC9F79" w:rsidP="005B1541">
      <w:pPr>
        <w:rPr>
          <w:rFonts w:ascii="MetaPro-Norm" w:hAnsi="MetaPro-Norm"/>
        </w:rPr>
      </w:pPr>
      <w:r w:rsidRPr="464C3A2F">
        <w:rPr>
          <w:rFonts w:ascii="MetaPro-Norm" w:hAnsi="MetaPro-Norm"/>
        </w:rPr>
        <w:t>The protection of persons with disabilities is essential to the comprehensive protection of all</w:t>
      </w:r>
      <w:r w:rsidR="72DB1CF2" w:rsidRPr="464C3A2F">
        <w:rPr>
          <w:rFonts w:ascii="MetaPro-Norm" w:hAnsi="MetaPro-Norm"/>
        </w:rPr>
        <w:t xml:space="preserve"> civilians affected by armed conflict. The UN, governments, and humanitarian actors should promote a </w:t>
      </w:r>
      <w:r w:rsidR="4530C594" w:rsidRPr="464C3A2F">
        <w:rPr>
          <w:rFonts w:ascii="MetaPro-Norm" w:hAnsi="MetaPro-Norm"/>
        </w:rPr>
        <w:t xml:space="preserve">more concerted and coordinated protection response in </w:t>
      </w:r>
      <w:r w:rsidR="12B82D9A" w:rsidRPr="464C3A2F">
        <w:rPr>
          <w:rFonts w:ascii="MetaPro-Norm" w:hAnsi="MetaPro-Norm"/>
        </w:rPr>
        <w:t>armed conflict</w:t>
      </w:r>
      <w:r w:rsidR="4530C594" w:rsidRPr="464C3A2F">
        <w:rPr>
          <w:rFonts w:ascii="MetaPro-Norm" w:hAnsi="MetaPro-Norm"/>
        </w:rPr>
        <w:t xml:space="preserve"> by </w:t>
      </w:r>
      <w:r w:rsidR="12B82D9A" w:rsidRPr="464C3A2F">
        <w:rPr>
          <w:rFonts w:ascii="MetaPro-Norm" w:hAnsi="MetaPro-Norm"/>
        </w:rPr>
        <w:t>focusing on</w:t>
      </w:r>
      <w:r w:rsidR="4530C594" w:rsidRPr="464C3A2F">
        <w:rPr>
          <w:rFonts w:ascii="MetaPro-Norm" w:hAnsi="MetaPro-Norm"/>
        </w:rPr>
        <w:t xml:space="preserve"> the rights and situational needs of people with disabilities, including their right to be safe and protected, right to education, and access to humanitarian assistance, health care, assistive devices, and mental health and psychosocial support services.</w:t>
      </w:r>
      <w:r w:rsidR="006D1705">
        <w:rPr>
          <w:rFonts w:ascii="MetaPro-Norm" w:hAnsi="MetaPro-Norm"/>
        </w:rPr>
        <w:t xml:space="preserve"> </w:t>
      </w:r>
      <w:r w:rsidR="00C25179">
        <w:rPr>
          <w:rFonts w:ascii="MetaPro-Norm" w:hAnsi="MetaPro-Norm"/>
        </w:rPr>
        <w:t xml:space="preserve">They should also </w:t>
      </w:r>
      <w:r w:rsidR="00EE365F">
        <w:rPr>
          <w:rFonts w:ascii="MetaPro-Norm" w:hAnsi="MetaPro-Norm"/>
        </w:rPr>
        <w:t>focus on persons with disabilities who face discrimination due to their intersectional identities, such as women and girls with disabilities</w:t>
      </w:r>
      <w:r w:rsidR="00832554">
        <w:rPr>
          <w:rFonts w:ascii="MetaPro-Norm" w:hAnsi="MetaPro-Norm"/>
        </w:rPr>
        <w:t xml:space="preserve"> and</w:t>
      </w:r>
      <w:r w:rsidR="00EE365F">
        <w:rPr>
          <w:rFonts w:ascii="MetaPro-Norm" w:hAnsi="MetaPro-Norm"/>
        </w:rPr>
        <w:t xml:space="preserve"> </w:t>
      </w:r>
      <w:r w:rsidR="00B73CBE">
        <w:rPr>
          <w:rFonts w:ascii="MetaPro-Norm" w:hAnsi="MetaPro-Norm"/>
        </w:rPr>
        <w:t>racial</w:t>
      </w:r>
      <w:r w:rsidR="00832554">
        <w:rPr>
          <w:rFonts w:ascii="MetaPro-Norm" w:hAnsi="MetaPro-Norm"/>
        </w:rPr>
        <w:t>, religious,</w:t>
      </w:r>
      <w:r w:rsidR="00FC0F08">
        <w:rPr>
          <w:rFonts w:ascii="MetaPro-Norm" w:hAnsi="MetaPro-Norm"/>
        </w:rPr>
        <w:t xml:space="preserve"> and</w:t>
      </w:r>
      <w:r w:rsidR="00832554">
        <w:rPr>
          <w:rFonts w:ascii="MetaPro-Norm" w:hAnsi="MetaPro-Norm"/>
        </w:rPr>
        <w:t xml:space="preserve"> </w:t>
      </w:r>
      <w:r w:rsidR="00B73CBE">
        <w:rPr>
          <w:rFonts w:ascii="MetaPro-Norm" w:hAnsi="MetaPro-Norm"/>
        </w:rPr>
        <w:t>ethnic minorities with disabilities</w:t>
      </w:r>
      <w:r w:rsidR="001E6496">
        <w:rPr>
          <w:rFonts w:ascii="MetaPro-Norm" w:hAnsi="MetaPro-Norm"/>
        </w:rPr>
        <w:t>.</w:t>
      </w:r>
      <w:r w:rsidR="00832554">
        <w:rPr>
          <w:rFonts w:ascii="MetaPro-Norm" w:hAnsi="MetaPro-Norm"/>
        </w:rPr>
        <w:t xml:space="preserve"> </w:t>
      </w:r>
    </w:p>
    <w:p w14:paraId="12EDF38A" w14:textId="04A09C24" w:rsidR="005B1541" w:rsidRPr="00BA2CF0" w:rsidRDefault="00502A6F" w:rsidP="00BA2CF0">
      <w:pPr>
        <w:pStyle w:val="ListParagraph"/>
        <w:numPr>
          <w:ilvl w:val="0"/>
          <w:numId w:val="10"/>
        </w:numPr>
        <w:rPr>
          <w:rFonts w:ascii="MetaPro-Norm" w:hAnsi="MetaPro-Norm"/>
          <w:i/>
          <w:iCs/>
        </w:rPr>
      </w:pPr>
      <w:r w:rsidRPr="00BA2CF0">
        <w:rPr>
          <w:rFonts w:ascii="MetaPro-Norm" w:hAnsi="MetaPro-Norm"/>
          <w:i/>
          <w:iCs/>
        </w:rPr>
        <w:t xml:space="preserve">Taking </w:t>
      </w:r>
      <w:r w:rsidR="005B1541" w:rsidRPr="00BA2CF0">
        <w:rPr>
          <w:rFonts w:ascii="MetaPro-Norm" w:hAnsi="MetaPro-Norm"/>
          <w:i/>
          <w:iCs/>
        </w:rPr>
        <w:t xml:space="preserve">measures to stop discrimination </w:t>
      </w:r>
      <w:proofErr w:type="gramStart"/>
      <w:r w:rsidR="005B1541" w:rsidRPr="00BA2CF0">
        <w:rPr>
          <w:rFonts w:ascii="MetaPro-Norm" w:hAnsi="MetaPro-Norm"/>
          <w:i/>
          <w:iCs/>
        </w:rPr>
        <w:t>on the basis of</w:t>
      </w:r>
      <w:proofErr w:type="gramEnd"/>
      <w:r w:rsidR="005B1541" w:rsidRPr="00BA2CF0">
        <w:rPr>
          <w:rFonts w:ascii="MetaPro-Norm" w:hAnsi="MetaPro-Norm"/>
          <w:i/>
          <w:iCs/>
        </w:rPr>
        <w:t xml:space="preserve"> disability</w:t>
      </w:r>
      <w:r w:rsidRPr="00BA2CF0">
        <w:rPr>
          <w:rFonts w:ascii="MetaPro-Norm" w:hAnsi="MetaPro-Norm"/>
          <w:i/>
          <w:iCs/>
        </w:rPr>
        <w:t xml:space="preserve"> (Article 4(1)(e)</w:t>
      </w:r>
      <w:r w:rsidR="00C44700" w:rsidRPr="00BA2CF0">
        <w:rPr>
          <w:rFonts w:ascii="MetaPro-Norm" w:hAnsi="MetaPro-Norm"/>
          <w:i/>
          <w:iCs/>
        </w:rPr>
        <w:t>)</w:t>
      </w:r>
    </w:p>
    <w:p w14:paraId="4DA4B592" w14:textId="4662A312" w:rsidR="005B1541" w:rsidRDefault="005B1541" w:rsidP="005B1541">
      <w:pPr>
        <w:rPr>
          <w:rFonts w:ascii="MetaPro-Norm" w:hAnsi="MetaPro-Norm"/>
        </w:rPr>
      </w:pPr>
      <w:r>
        <w:rPr>
          <w:rFonts w:ascii="MetaPro-Norm" w:hAnsi="MetaPro-Norm"/>
        </w:rPr>
        <w:t xml:space="preserve">Under international humanitarian law, </w:t>
      </w:r>
      <w:r w:rsidR="00516A3B">
        <w:rPr>
          <w:rFonts w:ascii="MetaPro-Norm" w:hAnsi="MetaPro-Norm"/>
        </w:rPr>
        <w:t>parties</w:t>
      </w:r>
      <w:r>
        <w:rPr>
          <w:rFonts w:ascii="MetaPro-Norm" w:hAnsi="MetaPro-Norm"/>
        </w:rPr>
        <w:t xml:space="preserve"> who exercise effective control over an area have obligations to respect and protect rights, including of persons with disabilities, by providing services or facilitating the work of humanitarian agencies.</w:t>
      </w:r>
      <w:r w:rsidR="00843EFF">
        <w:rPr>
          <w:rStyle w:val="FootnoteReference"/>
          <w:rFonts w:ascii="MetaPro-Norm" w:hAnsi="MetaPro-Norm"/>
        </w:rPr>
        <w:footnoteReference w:id="12"/>
      </w:r>
      <w:r>
        <w:rPr>
          <w:rFonts w:ascii="MetaPro-Norm" w:hAnsi="MetaPro-Norm"/>
        </w:rPr>
        <w:t xml:space="preserve"> In humanitarian settings, donors and organizations fill gaps in delivery and provision of services and basic needs, including rights to food, adequate housing, rehabilitation services, health care, mental health and psychosocial support services, and education.</w:t>
      </w:r>
    </w:p>
    <w:p w14:paraId="42D683F8" w14:textId="77777777" w:rsidR="005B1541" w:rsidRDefault="005B1541" w:rsidP="005B1541">
      <w:pPr>
        <w:rPr>
          <w:rFonts w:ascii="MetaPro-Norm" w:hAnsi="MetaPro-Norm"/>
        </w:rPr>
      </w:pPr>
      <w:r>
        <w:rPr>
          <w:rFonts w:ascii="MetaPro-Norm" w:hAnsi="MetaPro-Norm"/>
        </w:rPr>
        <w:t>According to the UN Humanitarian Needs Overview 2021 report, people with disabilities “face systematic challenges in accessing humanitarian services on an equal basis with others.”</w:t>
      </w:r>
      <w:r>
        <w:rPr>
          <w:rStyle w:val="FootnoteReference"/>
          <w:rFonts w:ascii="MetaPro-Norm" w:hAnsi="MetaPro-Norm"/>
        </w:rPr>
        <w:footnoteReference w:id="13"/>
      </w:r>
    </w:p>
    <w:p w14:paraId="3A91AA72" w14:textId="77777777" w:rsidR="005B1541" w:rsidRDefault="04842498" w:rsidP="005B1541">
      <w:pPr>
        <w:rPr>
          <w:rFonts w:ascii="MetaPro-Norm" w:hAnsi="MetaPro-Norm"/>
        </w:rPr>
      </w:pPr>
      <w:r w:rsidRPr="464C3A2F">
        <w:rPr>
          <w:rFonts w:ascii="MetaPro-Norm" w:hAnsi="MetaPro-Norm"/>
        </w:rPr>
        <w:t>In Syria, Human Rights Watch found that international and local humanitarian organizations that provide services to children with disabilities either do so in so-called special settings or separated from other children. Sometimes, only disability-focused organizations provide such services. Although targeted services provision is important, they should be provided alongside inclusive and universal programs.</w:t>
      </w:r>
    </w:p>
    <w:p w14:paraId="014499BB" w14:textId="30845489" w:rsidR="005B1541" w:rsidRDefault="04842498" w:rsidP="005B1541">
      <w:pPr>
        <w:rPr>
          <w:rFonts w:ascii="MetaPro-Norm" w:hAnsi="MetaPro-Norm"/>
        </w:rPr>
      </w:pPr>
      <w:r>
        <w:rPr>
          <w:rFonts w:ascii="MetaPro-Norm" w:hAnsi="MetaPro-Norm"/>
        </w:rPr>
        <w:t xml:space="preserve">Representatives of several international and Syrian humanitarian organizations </w:t>
      </w:r>
      <w:r w:rsidR="00181C53">
        <w:rPr>
          <w:rFonts w:ascii="MetaPro-Norm" w:hAnsi="MetaPro-Norm"/>
        </w:rPr>
        <w:t xml:space="preserve">told Human Rights Watch that </w:t>
      </w:r>
      <w:r>
        <w:rPr>
          <w:rFonts w:ascii="MetaPro-Norm" w:hAnsi="MetaPro-Norm"/>
        </w:rPr>
        <w:t>some organizations</w:t>
      </w:r>
      <w:r w:rsidR="00181C53">
        <w:rPr>
          <w:rFonts w:ascii="MetaPro-Norm" w:hAnsi="MetaPro-Norm"/>
        </w:rPr>
        <w:t xml:space="preserve"> believed</w:t>
      </w:r>
      <w:r>
        <w:rPr>
          <w:rFonts w:ascii="MetaPro-Norm" w:hAnsi="MetaPro-Norm"/>
        </w:rPr>
        <w:t xml:space="preserve"> that children with disabilities should be provided services either in segregated settings or by organizations solely focusing on people with disabilities.</w:t>
      </w:r>
      <w:r w:rsidR="005B1541">
        <w:rPr>
          <w:rStyle w:val="FootnoteReference"/>
          <w:rFonts w:ascii="MetaPro-Norm" w:hAnsi="MetaPro-Norm"/>
        </w:rPr>
        <w:footnoteReference w:id="14"/>
      </w:r>
      <w:r w:rsidR="60A54689">
        <w:rPr>
          <w:rFonts w:ascii="MetaPro-Norm" w:hAnsi="MetaPro-Norm"/>
        </w:rPr>
        <w:t xml:space="preserve"> Two organizations said they were unable to include children with different types of disabilities in their programs</w:t>
      </w:r>
      <w:r w:rsidR="08B7CAEC">
        <w:rPr>
          <w:rFonts w:ascii="MetaPro-Norm" w:hAnsi="MetaPro-Norm"/>
        </w:rPr>
        <w:t xml:space="preserve">. In some instances, </w:t>
      </w:r>
      <w:r w:rsidR="7A6AD972">
        <w:rPr>
          <w:rFonts w:ascii="MetaPro-Norm" w:hAnsi="MetaPro-Norm"/>
        </w:rPr>
        <w:t xml:space="preserve">children with physical disabilities were included in education and psychosocial programs, whereas children with other types of disabilities, </w:t>
      </w:r>
      <w:r w:rsidR="0A726DA1">
        <w:rPr>
          <w:rFonts w:ascii="MetaPro-Norm" w:hAnsi="MetaPro-Norm"/>
        </w:rPr>
        <w:t xml:space="preserve">particularly developmental, </w:t>
      </w:r>
      <w:r w:rsidR="21726411">
        <w:rPr>
          <w:rFonts w:ascii="MetaPro-Norm" w:hAnsi="MetaPro-Norm"/>
        </w:rPr>
        <w:t>we</w:t>
      </w:r>
      <w:r w:rsidR="0A726DA1">
        <w:rPr>
          <w:rFonts w:ascii="MetaPro-Norm" w:hAnsi="MetaPro-Norm"/>
        </w:rPr>
        <w:t>re left out of programs or referred to “specialized” organizations as general humanitarian organizations d</w:t>
      </w:r>
      <w:r w:rsidR="1AF6868F">
        <w:rPr>
          <w:rFonts w:ascii="MetaPro-Norm" w:hAnsi="MetaPro-Norm"/>
        </w:rPr>
        <w:t>id</w:t>
      </w:r>
      <w:r w:rsidR="0A726DA1">
        <w:rPr>
          <w:rFonts w:ascii="MetaPro-Norm" w:hAnsi="MetaPro-Norm"/>
        </w:rPr>
        <w:t xml:space="preserve"> not feel qualified to provide </w:t>
      </w:r>
      <w:r w:rsidR="3D21DE81">
        <w:rPr>
          <w:rFonts w:ascii="MetaPro-Norm" w:hAnsi="MetaPro-Norm"/>
        </w:rPr>
        <w:t>such support to children with developmental disabilities.</w:t>
      </w:r>
      <w:r w:rsidR="00A40877">
        <w:rPr>
          <w:rStyle w:val="FootnoteReference"/>
          <w:rFonts w:ascii="MetaPro-Norm" w:hAnsi="MetaPro-Norm"/>
        </w:rPr>
        <w:footnoteReference w:id="15"/>
      </w:r>
    </w:p>
    <w:p w14:paraId="42757CD1" w14:textId="1F653D01" w:rsidR="00264567" w:rsidRDefault="00264567" w:rsidP="005B1541">
      <w:pPr>
        <w:rPr>
          <w:rFonts w:ascii="MetaPro-Norm" w:hAnsi="MetaPro-Norm"/>
        </w:rPr>
      </w:pPr>
      <w:r>
        <w:rPr>
          <w:rFonts w:ascii="MetaPro-Norm" w:hAnsi="MetaPro-Norm"/>
        </w:rPr>
        <w:t xml:space="preserve">The intersections of poverty and inequality on access to basic services </w:t>
      </w:r>
      <w:r w:rsidR="0030010D">
        <w:rPr>
          <w:rFonts w:ascii="MetaPro-Norm" w:hAnsi="MetaPro-Norm"/>
        </w:rPr>
        <w:t>can have</w:t>
      </w:r>
      <w:r w:rsidR="00CB4CE9">
        <w:rPr>
          <w:rFonts w:ascii="MetaPro-Norm" w:hAnsi="MetaPro-Norm"/>
        </w:rPr>
        <w:t xml:space="preserve"> a </w:t>
      </w:r>
      <w:r w:rsidR="00B16C53">
        <w:rPr>
          <w:rFonts w:ascii="MetaPro-Norm" w:hAnsi="MetaPro-Norm"/>
        </w:rPr>
        <w:t xml:space="preserve">disproportionate </w:t>
      </w:r>
      <w:r w:rsidR="00E45F78">
        <w:rPr>
          <w:rFonts w:ascii="MetaPro-Norm" w:hAnsi="MetaPro-Norm"/>
        </w:rPr>
        <w:t xml:space="preserve">impact on </w:t>
      </w:r>
      <w:r w:rsidR="005C25FD">
        <w:rPr>
          <w:rFonts w:ascii="MetaPro-Norm" w:hAnsi="MetaPro-Norm"/>
        </w:rPr>
        <w:t>women and girls with disabilities.</w:t>
      </w:r>
      <w:r w:rsidR="00B02F7A">
        <w:rPr>
          <w:rFonts w:ascii="MetaPro-Norm" w:hAnsi="MetaPro-Norm"/>
        </w:rPr>
        <w:t xml:space="preserve"> </w:t>
      </w:r>
      <w:r w:rsidR="00BE69AE">
        <w:rPr>
          <w:rFonts w:ascii="MetaPro-Norm" w:hAnsi="MetaPro-Norm"/>
        </w:rPr>
        <w:t xml:space="preserve">Girls with disabilities </w:t>
      </w:r>
      <w:r w:rsidR="00854E5B">
        <w:rPr>
          <w:rFonts w:ascii="MetaPro-Norm" w:hAnsi="MetaPro-Norm"/>
        </w:rPr>
        <w:t xml:space="preserve">can be at risk of child marriage due to </w:t>
      </w:r>
      <w:r w:rsidR="004946D8">
        <w:rPr>
          <w:rFonts w:ascii="MetaPro-Norm" w:hAnsi="MetaPro-Norm"/>
        </w:rPr>
        <w:t>poverty, as families often see marrying off their daughters as a way to alleviate financial pressures.</w:t>
      </w:r>
      <w:r w:rsidR="00FB1057">
        <w:rPr>
          <w:rFonts w:ascii="MetaPro-Norm" w:hAnsi="MetaPro-Norm"/>
        </w:rPr>
        <w:t xml:space="preserve"> The UN Syria Commission of Inquiry</w:t>
      </w:r>
      <w:r w:rsidR="00E344B4">
        <w:rPr>
          <w:rFonts w:ascii="MetaPro-Norm" w:hAnsi="MetaPro-Norm"/>
        </w:rPr>
        <w:t xml:space="preserve"> noted that the fragile economic situation, among other factors, contributed to child marriage. The Commission reported that </w:t>
      </w:r>
      <w:r w:rsidR="0006108C">
        <w:rPr>
          <w:rFonts w:ascii="MetaPro-Norm" w:hAnsi="MetaPro-Norm"/>
        </w:rPr>
        <w:t xml:space="preserve">a 12-year-old girl with physical disabilities </w:t>
      </w:r>
      <w:r w:rsidR="00826796">
        <w:rPr>
          <w:rFonts w:ascii="MetaPro-Norm" w:hAnsi="MetaPro-Norm"/>
        </w:rPr>
        <w:t xml:space="preserve">was married off in </w:t>
      </w:r>
      <w:proofErr w:type="spellStart"/>
      <w:r w:rsidR="00826796">
        <w:rPr>
          <w:rFonts w:ascii="MetaPro-Norm" w:hAnsi="MetaPro-Norm"/>
        </w:rPr>
        <w:t>Douma</w:t>
      </w:r>
      <w:proofErr w:type="spellEnd"/>
      <w:r w:rsidR="00826796">
        <w:rPr>
          <w:rFonts w:ascii="MetaPro-Norm" w:hAnsi="MetaPro-Norm"/>
        </w:rPr>
        <w:t xml:space="preserve">, Damascus </w:t>
      </w:r>
      <w:r w:rsidR="00351486">
        <w:rPr>
          <w:rFonts w:ascii="MetaPro-Norm" w:hAnsi="MetaPro-Norm"/>
        </w:rPr>
        <w:t>governorate, for these reasons.</w:t>
      </w:r>
      <w:r w:rsidR="00714386">
        <w:rPr>
          <w:rStyle w:val="FootnoteReference"/>
          <w:rFonts w:ascii="MetaPro-Norm" w:hAnsi="MetaPro-Norm"/>
        </w:rPr>
        <w:footnoteReference w:id="16"/>
      </w:r>
    </w:p>
    <w:p w14:paraId="3FCA44E5" w14:textId="77777777" w:rsidR="005B1541" w:rsidRDefault="005B1541" w:rsidP="005B1541">
      <w:pPr>
        <w:rPr>
          <w:rFonts w:ascii="MetaPro-Norm" w:hAnsi="MetaPro-Norm"/>
        </w:rPr>
      </w:pPr>
      <w:r>
        <w:rPr>
          <w:rFonts w:ascii="MetaPro-Norm" w:hAnsi="MetaPro-Norm"/>
        </w:rPr>
        <w:t>Parties to conflicts should allow prompt and unhindered humanitarian access to UN agencies and humanitarian organizations to deliver impartial assistance to civilians in need.</w:t>
      </w:r>
    </w:p>
    <w:p w14:paraId="2691B546" w14:textId="6743089C" w:rsidR="007843F8" w:rsidRPr="00BA2CF0" w:rsidRDefault="006F5B4C" w:rsidP="00BA2CF0">
      <w:pPr>
        <w:pStyle w:val="ListParagraph"/>
        <w:numPr>
          <w:ilvl w:val="0"/>
          <w:numId w:val="10"/>
        </w:numPr>
        <w:rPr>
          <w:rFonts w:ascii="MetaPro-Norm" w:hAnsi="MetaPro-Norm"/>
          <w:i/>
          <w:iCs/>
        </w:rPr>
      </w:pPr>
      <w:r w:rsidRPr="00BA2CF0">
        <w:rPr>
          <w:rFonts w:ascii="MetaPro-Norm" w:hAnsi="MetaPro-Norm"/>
          <w:i/>
          <w:iCs/>
        </w:rPr>
        <w:t xml:space="preserve">Taking measures to promote </w:t>
      </w:r>
      <w:r w:rsidR="007843F8" w:rsidRPr="00BA2CF0">
        <w:rPr>
          <w:rFonts w:ascii="MetaPro-Norm" w:hAnsi="MetaPro-Norm"/>
          <w:i/>
          <w:iCs/>
        </w:rPr>
        <w:t xml:space="preserve">the availability </w:t>
      </w:r>
      <w:r w:rsidR="001510D0" w:rsidRPr="00BA2CF0">
        <w:rPr>
          <w:rFonts w:ascii="MetaPro-Norm" w:hAnsi="MetaPro-Norm"/>
          <w:i/>
          <w:iCs/>
        </w:rPr>
        <w:t xml:space="preserve">and use </w:t>
      </w:r>
      <w:r w:rsidR="007843F8" w:rsidRPr="00BA2CF0">
        <w:rPr>
          <w:rFonts w:ascii="MetaPro-Norm" w:hAnsi="MetaPro-Norm"/>
          <w:i/>
          <w:iCs/>
        </w:rPr>
        <w:t>of new technologies, including assistive devices</w:t>
      </w:r>
      <w:r w:rsidR="001510D0" w:rsidRPr="00BA2CF0">
        <w:rPr>
          <w:rFonts w:ascii="MetaPro-Norm" w:hAnsi="MetaPro-Norm"/>
          <w:i/>
          <w:iCs/>
        </w:rPr>
        <w:t xml:space="preserve"> (Article 4(1)(g)</w:t>
      </w:r>
      <w:r w:rsidR="00BF53FC" w:rsidRPr="00BA2CF0">
        <w:rPr>
          <w:rFonts w:ascii="MetaPro-Norm" w:hAnsi="MetaPro-Norm"/>
          <w:i/>
          <w:iCs/>
        </w:rPr>
        <w:t>)</w:t>
      </w:r>
    </w:p>
    <w:p w14:paraId="009E2F2E" w14:textId="04F74358" w:rsidR="00876C74" w:rsidRDefault="00876C74" w:rsidP="007843F8">
      <w:pPr>
        <w:rPr>
          <w:rFonts w:ascii="MetaPro-Norm" w:hAnsi="MetaPro-Norm"/>
        </w:rPr>
      </w:pPr>
      <w:r w:rsidRPr="464C3A2F">
        <w:rPr>
          <w:rFonts w:ascii="MetaPro-Norm" w:hAnsi="MetaPro-Norm"/>
        </w:rPr>
        <w:t xml:space="preserve">In armed conflicts, </w:t>
      </w:r>
      <w:r>
        <w:rPr>
          <w:rFonts w:ascii="MetaPro-Norm" w:hAnsi="MetaPro-Norm"/>
        </w:rPr>
        <w:t>people with disabilities</w:t>
      </w:r>
      <w:r w:rsidRPr="464C3A2F">
        <w:rPr>
          <w:rFonts w:ascii="MetaPro-Norm" w:hAnsi="MetaPro-Norm"/>
        </w:rPr>
        <w:t xml:space="preserve"> face barriers to fleeing attacks without assistance. A key challenge for escaping hostilities is the absence of assistive devices—such as wheelchairs, prostheses, or hearing aids—that are largely unavailable. </w:t>
      </w:r>
      <w:r>
        <w:rPr>
          <w:rFonts w:ascii="MetaPro-Norm" w:hAnsi="MetaPro-Norm"/>
        </w:rPr>
        <w:t>People</w:t>
      </w:r>
      <w:r w:rsidRPr="464C3A2F">
        <w:rPr>
          <w:rFonts w:ascii="MetaPro-Norm" w:hAnsi="MetaPro-Norm"/>
        </w:rPr>
        <w:t xml:space="preserve"> with a hearing disability or developmental or intellectual disabilities may not hear, know, or understand what is happening during an attack. </w:t>
      </w:r>
    </w:p>
    <w:p w14:paraId="3EE3FFD8" w14:textId="57E29D5C" w:rsidR="007843F8" w:rsidRDefault="7C2E80DE" w:rsidP="007843F8">
      <w:pPr>
        <w:rPr>
          <w:rFonts w:ascii="MetaPro-Norm" w:hAnsi="MetaPro-Norm"/>
        </w:rPr>
      </w:pPr>
      <w:r>
        <w:rPr>
          <w:rFonts w:ascii="MetaPro-Norm" w:hAnsi="MetaPro-Norm"/>
        </w:rPr>
        <w:t>In Gaza, sweeping Israeli restrictions on the movement of people and goods, at times exacerbated by restrictive policies by Palestinian authorities, curb access to and availability of assistive devices, health care, and electricity essential to many people with disabilities.</w:t>
      </w:r>
      <w:r w:rsidR="00105788">
        <w:rPr>
          <w:rStyle w:val="FootnoteReference"/>
          <w:rFonts w:ascii="MetaPro-Norm" w:hAnsi="MetaPro-Norm"/>
        </w:rPr>
        <w:footnoteReference w:id="17"/>
      </w:r>
      <w:r>
        <w:rPr>
          <w:rFonts w:ascii="MetaPro-Norm" w:hAnsi="MetaPro-Norm"/>
        </w:rPr>
        <w:t xml:space="preserve"> People with disabilities in Gaza told Human Rights Watch they faced difficulties accessing assistive devices, such as wheelchairs and hearing aids, due largely to Israeli import restrictions on “dual-use” items, shortfalls in local authorities’ and aid groups’ provision of necessary devices, and a lack of expertise in Gaza to repai</w:t>
      </w:r>
      <w:r w:rsidR="74EDB6A7">
        <w:rPr>
          <w:rFonts w:ascii="MetaPro-Norm" w:hAnsi="MetaPro-Norm"/>
        </w:rPr>
        <w:t>r</w:t>
      </w:r>
      <w:r>
        <w:rPr>
          <w:rFonts w:ascii="MetaPro-Norm" w:hAnsi="MetaPro-Norm"/>
        </w:rPr>
        <w:t xml:space="preserve"> damaged devices. According to Gisha, an Israeli rights group, Israel restricts the entry of spare parts and batteries for assistive devices. Medical Aid for Palestinians further documented that Israel’s restrictions on dual-use items, including carbon fiber components used to stabilize and treat limb injuries, and carbon fiber and epoxy resins used to produce artificial limbs, resulted in patients being fitted with heavier, more uncomfortable alternatives.</w:t>
      </w:r>
    </w:p>
    <w:p w14:paraId="4BDACAE6" w14:textId="69398D84" w:rsidR="007843F8" w:rsidRDefault="007843F8" w:rsidP="007843F8">
      <w:pPr>
        <w:rPr>
          <w:rFonts w:ascii="MetaPro-Norm" w:hAnsi="MetaPro-Norm"/>
        </w:rPr>
      </w:pPr>
      <w:r>
        <w:rPr>
          <w:rFonts w:ascii="MetaPro-Norm" w:hAnsi="MetaPro-Norm"/>
        </w:rPr>
        <w:t xml:space="preserve">When Gaza residents </w:t>
      </w:r>
      <w:proofErr w:type="gramStart"/>
      <w:r>
        <w:rPr>
          <w:rFonts w:ascii="MetaPro-Norm" w:hAnsi="MetaPro-Norm"/>
        </w:rPr>
        <w:t>are able to</w:t>
      </w:r>
      <w:proofErr w:type="gramEnd"/>
      <w:r>
        <w:rPr>
          <w:rFonts w:ascii="MetaPro-Norm" w:hAnsi="MetaPro-Norm"/>
        </w:rPr>
        <w:t xml:space="preserve"> access working assistive devices, especially wheelchairs, they cannot access many buildings because they lack ramps or elevators.</w:t>
      </w:r>
    </w:p>
    <w:p w14:paraId="3CC1D5EF" w14:textId="2BBBB002" w:rsidR="00505164" w:rsidRDefault="2D45FC1B" w:rsidP="00505164">
      <w:pPr>
        <w:rPr>
          <w:rFonts w:ascii="MetaPro-Norm" w:hAnsi="MetaPro-Norm"/>
        </w:rPr>
      </w:pPr>
      <w:r>
        <w:rPr>
          <w:rFonts w:ascii="MetaPro-Norm" w:hAnsi="MetaPro-Norm"/>
        </w:rPr>
        <w:t>H</w:t>
      </w:r>
      <w:r w:rsidR="71476D37">
        <w:rPr>
          <w:rFonts w:ascii="MetaPro-Norm" w:hAnsi="MetaPro-Norm"/>
        </w:rPr>
        <w:t xml:space="preserve">omes and property </w:t>
      </w:r>
      <w:r>
        <w:rPr>
          <w:rFonts w:ascii="MetaPro-Norm" w:hAnsi="MetaPro-Norm"/>
        </w:rPr>
        <w:t xml:space="preserve">are often destroyed </w:t>
      </w:r>
      <w:proofErr w:type="gramStart"/>
      <w:r w:rsidR="71476D37">
        <w:rPr>
          <w:rFonts w:ascii="MetaPro-Norm" w:hAnsi="MetaPro-Norm"/>
        </w:rPr>
        <w:t>as a result of</w:t>
      </w:r>
      <w:proofErr w:type="gramEnd"/>
      <w:r w:rsidR="71476D37">
        <w:rPr>
          <w:rFonts w:ascii="MetaPro-Norm" w:hAnsi="MetaPro-Norm"/>
        </w:rPr>
        <w:t xml:space="preserve"> war. This destruction has a </w:t>
      </w:r>
      <w:r w:rsidR="7D8E820D">
        <w:rPr>
          <w:rFonts w:ascii="MetaPro-Norm" w:hAnsi="MetaPro-Norm"/>
        </w:rPr>
        <w:t>disproportionate impact</w:t>
      </w:r>
      <w:r w:rsidR="71476D37">
        <w:rPr>
          <w:rFonts w:ascii="MetaPro-Norm" w:hAnsi="MetaPro-Norm"/>
        </w:rPr>
        <w:t xml:space="preserve"> on people with disabilities. In Cameroon, Human Rights Watch documented numerous cases of people with disabilities whose homes were burned by the security forces, leaving them without accessible and familiar home environments, shelter, and assistive devices, and forcibly displacing them.</w:t>
      </w:r>
      <w:r w:rsidR="00505164">
        <w:rPr>
          <w:rStyle w:val="FootnoteReference"/>
          <w:rFonts w:ascii="MetaPro-Norm" w:hAnsi="MetaPro-Norm"/>
        </w:rPr>
        <w:footnoteReference w:id="18"/>
      </w:r>
      <w:r w:rsidR="71476D37">
        <w:rPr>
          <w:rFonts w:ascii="MetaPro-Norm" w:hAnsi="MetaPro-Norm"/>
        </w:rPr>
        <w:t xml:space="preserve"> A 41-year-old man with a physical disability said that he lost his wheelchair after soldiers burned his home in </w:t>
      </w:r>
      <w:proofErr w:type="spellStart"/>
      <w:r w:rsidR="71476D37">
        <w:rPr>
          <w:rFonts w:ascii="MetaPro-Norm" w:hAnsi="MetaPro-Norm"/>
        </w:rPr>
        <w:t>Kumbo</w:t>
      </w:r>
      <w:proofErr w:type="spellEnd"/>
      <w:r w:rsidR="71476D37">
        <w:rPr>
          <w:rFonts w:ascii="MetaPro-Norm" w:hAnsi="MetaPro-Norm"/>
        </w:rPr>
        <w:t xml:space="preserve">, in the North-West region. He </w:t>
      </w:r>
      <w:r w:rsidR="00BF53FC">
        <w:rPr>
          <w:rFonts w:ascii="MetaPro-Norm" w:hAnsi="MetaPro-Norm"/>
        </w:rPr>
        <w:t>said</w:t>
      </w:r>
      <w:r w:rsidR="71476D37">
        <w:rPr>
          <w:rFonts w:ascii="MetaPro-Norm" w:hAnsi="MetaPro-Norm"/>
        </w:rPr>
        <w:t>, “My house was razed…. But I lost everything, including my wheelchair, and now I have no means to move myself around independently.”</w:t>
      </w:r>
      <w:r w:rsidR="00F6308F">
        <w:rPr>
          <w:rStyle w:val="FootnoteReference"/>
          <w:rFonts w:ascii="MetaPro-Norm" w:hAnsi="MetaPro-Norm"/>
        </w:rPr>
        <w:footnoteReference w:id="19"/>
      </w:r>
    </w:p>
    <w:p w14:paraId="23A6B3B2" w14:textId="5A5C118B" w:rsidR="007843F8" w:rsidRPr="00BA2CF0" w:rsidRDefault="005E484A" w:rsidP="00BA2CF0">
      <w:pPr>
        <w:pStyle w:val="ListParagraph"/>
        <w:numPr>
          <w:ilvl w:val="0"/>
          <w:numId w:val="10"/>
        </w:numPr>
        <w:rPr>
          <w:rFonts w:ascii="MetaPro-Norm" w:hAnsi="MetaPro-Norm"/>
          <w:i/>
          <w:iCs/>
        </w:rPr>
      </w:pPr>
      <w:r w:rsidRPr="00BA2CF0">
        <w:rPr>
          <w:rFonts w:ascii="MetaPro-Norm" w:hAnsi="MetaPro-Norm"/>
          <w:i/>
          <w:iCs/>
        </w:rPr>
        <w:t xml:space="preserve">Taking measures to </w:t>
      </w:r>
      <w:r w:rsidR="007843F8" w:rsidRPr="00BA2CF0">
        <w:rPr>
          <w:rFonts w:ascii="MetaPro-Norm" w:hAnsi="MetaPro-Norm"/>
          <w:i/>
          <w:iCs/>
        </w:rPr>
        <w:t xml:space="preserve">promote the training of professionals working with persons with disabilities on the rights enshrined </w:t>
      </w:r>
      <w:r w:rsidR="00BF53FC" w:rsidRPr="00BA2CF0">
        <w:rPr>
          <w:rFonts w:ascii="MetaPro-Norm" w:hAnsi="MetaPro-Norm"/>
          <w:i/>
          <w:iCs/>
        </w:rPr>
        <w:t>in</w:t>
      </w:r>
      <w:r w:rsidR="007843F8" w:rsidRPr="00BA2CF0">
        <w:rPr>
          <w:rFonts w:ascii="MetaPro-Norm" w:hAnsi="MetaPro-Norm"/>
          <w:i/>
          <w:iCs/>
        </w:rPr>
        <w:t xml:space="preserve"> the CRPD to enhance service provision guaranteed by these rights</w:t>
      </w:r>
      <w:r w:rsidRPr="00BA2CF0">
        <w:rPr>
          <w:rFonts w:ascii="MetaPro-Norm" w:hAnsi="MetaPro-Norm"/>
          <w:i/>
          <w:iCs/>
        </w:rPr>
        <w:t xml:space="preserve"> (Article 4(1)(i)</w:t>
      </w:r>
      <w:r w:rsidR="00BF53FC" w:rsidRPr="00BA2CF0">
        <w:rPr>
          <w:rFonts w:ascii="MetaPro-Norm" w:hAnsi="MetaPro-Norm"/>
          <w:i/>
          <w:iCs/>
        </w:rPr>
        <w:t>)</w:t>
      </w:r>
    </w:p>
    <w:p w14:paraId="4D487AD8" w14:textId="77777777" w:rsidR="007843F8" w:rsidRDefault="007843F8" w:rsidP="007843F8">
      <w:pPr>
        <w:rPr>
          <w:rFonts w:ascii="MetaPro-Norm" w:hAnsi="MetaPro-Norm"/>
        </w:rPr>
      </w:pPr>
      <w:r>
        <w:rPr>
          <w:rFonts w:ascii="MetaPro-Norm" w:hAnsi="MetaPro-Norm"/>
        </w:rPr>
        <w:t>More than three million people with disabilities ages 12 and older require humanitarian assistance in Syria.</w:t>
      </w:r>
      <w:r>
        <w:rPr>
          <w:rStyle w:val="FootnoteReference"/>
          <w:rFonts w:ascii="MetaPro-Norm" w:hAnsi="MetaPro-Norm"/>
        </w:rPr>
        <w:footnoteReference w:id="20"/>
      </w:r>
      <w:r>
        <w:rPr>
          <w:rFonts w:ascii="MetaPro-Norm" w:hAnsi="MetaPro-Norm"/>
        </w:rPr>
        <w:t xml:space="preserve"> Human Rights Watch has documented how people with disabilities are affected by armed conflict in humanitarian settings and are often overlooked by humanitarian assistance efforts. This is attributable to a variety of factors, including a lack of awareness and capacity on the part of the service provider, inaccessible assistance, stigma, and discrimination.</w:t>
      </w:r>
    </w:p>
    <w:p w14:paraId="709D9FBC" w14:textId="1919F304" w:rsidR="007843F8" w:rsidRDefault="007843F8" w:rsidP="007843F8">
      <w:pPr>
        <w:rPr>
          <w:rFonts w:ascii="MetaPro-Norm" w:hAnsi="MetaPro-Norm"/>
        </w:rPr>
      </w:pPr>
      <w:r>
        <w:rPr>
          <w:rFonts w:ascii="MetaPro-Norm" w:hAnsi="MetaPro-Norm"/>
        </w:rPr>
        <w:t xml:space="preserve">Three humanitarian workers in Syria highlighted some reasons for the limited inclusion of people with disabilities in </w:t>
      </w:r>
      <w:r w:rsidR="00BF53FC">
        <w:rPr>
          <w:rFonts w:ascii="MetaPro-Norm" w:hAnsi="MetaPro-Norm"/>
        </w:rPr>
        <w:t xml:space="preserve">the </w:t>
      </w:r>
      <w:r>
        <w:rPr>
          <w:rFonts w:ascii="MetaPro-Norm" w:hAnsi="MetaPro-Norm"/>
        </w:rPr>
        <w:t>humanitarian response, including a lack of awareness and training.</w:t>
      </w:r>
      <w:r w:rsidR="002B1D4D">
        <w:rPr>
          <w:rStyle w:val="FootnoteReference"/>
          <w:rFonts w:ascii="MetaPro-Norm" w:hAnsi="MetaPro-Norm"/>
        </w:rPr>
        <w:footnoteReference w:id="21"/>
      </w:r>
      <w:r>
        <w:rPr>
          <w:rFonts w:ascii="MetaPro-Norm" w:hAnsi="MetaPro-Norm"/>
        </w:rPr>
        <w:t xml:space="preserve"> “When the Syrian conflict started, the focus was on children and women, without any specific responses to people with disabilities,” said one humanitarian worker. An advocacy worker working for an international children’s rights organization </w:t>
      </w:r>
      <w:r w:rsidR="00BF53FC">
        <w:rPr>
          <w:rFonts w:ascii="MetaPro-Norm" w:hAnsi="MetaPro-Norm"/>
        </w:rPr>
        <w:t>said</w:t>
      </w:r>
      <w:r>
        <w:rPr>
          <w:rFonts w:ascii="MetaPro-Norm" w:hAnsi="MetaPro-Norm"/>
        </w:rPr>
        <w:t>:</w:t>
      </w:r>
    </w:p>
    <w:p w14:paraId="6A05E562" w14:textId="7E7AF0AF" w:rsidR="007843F8" w:rsidRDefault="7C2E80DE" w:rsidP="007843F8">
      <w:pPr>
        <w:ind w:left="720"/>
        <w:rPr>
          <w:rFonts w:ascii="MetaPro-Norm" w:hAnsi="MetaPro-Norm"/>
        </w:rPr>
      </w:pPr>
      <w:r>
        <w:rPr>
          <w:rFonts w:ascii="MetaPro-Norm" w:hAnsi="MetaPro-Norm"/>
        </w:rPr>
        <w:t>Children with disabilities is not something I hear about from our colleagues. We talk about reaching the most vulnerable children, but I haven’t seen anything targeting children with disabilities. We assume Humanity and Inclusion</w:t>
      </w:r>
      <w:r w:rsidR="00192608">
        <w:rPr>
          <w:rFonts w:ascii="MetaPro-Norm" w:hAnsi="MetaPro-Norm"/>
        </w:rPr>
        <w:t xml:space="preserve"> [</w:t>
      </w:r>
      <w:r w:rsidR="002A7A54">
        <w:rPr>
          <w:rFonts w:ascii="MetaPro-Norm" w:hAnsi="MetaPro-Norm"/>
        </w:rPr>
        <w:t>an aid organization primarily serving people with disabilities</w:t>
      </w:r>
      <w:r w:rsidR="00192608">
        <w:rPr>
          <w:rFonts w:ascii="MetaPro-Norm" w:hAnsi="MetaPro-Norm"/>
        </w:rPr>
        <w:t>]</w:t>
      </w:r>
      <w:r>
        <w:rPr>
          <w:rFonts w:ascii="MetaPro-Norm" w:hAnsi="MetaPro-Norm"/>
        </w:rPr>
        <w:t xml:space="preserve"> is covering it. It doesn’t come up in advocacy.</w:t>
      </w:r>
      <w:r w:rsidR="007843F8">
        <w:rPr>
          <w:rStyle w:val="FootnoteReference"/>
          <w:rFonts w:ascii="MetaPro-Norm" w:hAnsi="MetaPro-Norm"/>
        </w:rPr>
        <w:footnoteReference w:id="22"/>
      </w:r>
    </w:p>
    <w:p w14:paraId="0A18C289" w14:textId="77777777" w:rsidR="000A505D" w:rsidRDefault="007843F8" w:rsidP="000A505D">
      <w:pPr>
        <w:rPr>
          <w:rFonts w:ascii="MetaPro-Norm" w:hAnsi="MetaPro-Norm"/>
        </w:rPr>
      </w:pPr>
      <w:r>
        <w:rPr>
          <w:rFonts w:ascii="MetaPro-Norm" w:hAnsi="MetaPro-Norm"/>
        </w:rPr>
        <w:t>Deliberate and proactive action is needed by both donors and humanitarian agencies to ensure persons with disabilities are systematically included in all humanitarian response, including through the provision of tailored interventions and the implementation of I</w:t>
      </w:r>
      <w:r w:rsidR="008D6509">
        <w:rPr>
          <w:rFonts w:ascii="MetaPro-Norm" w:hAnsi="MetaPro-Norm"/>
        </w:rPr>
        <w:t>nter</w:t>
      </w:r>
      <w:r w:rsidR="004876F5">
        <w:rPr>
          <w:rFonts w:ascii="MetaPro-Norm" w:hAnsi="MetaPro-Norm"/>
        </w:rPr>
        <w:t>-</w:t>
      </w:r>
      <w:r>
        <w:rPr>
          <w:rFonts w:ascii="MetaPro-Norm" w:hAnsi="MetaPro-Norm"/>
        </w:rPr>
        <w:t>A</w:t>
      </w:r>
      <w:r w:rsidR="004876F5">
        <w:rPr>
          <w:rFonts w:ascii="MetaPro-Norm" w:hAnsi="MetaPro-Norm"/>
        </w:rPr>
        <w:t xml:space="preserve">gency </w:t>
      </w:r>
      <w:r>
        <w:rPr>
          <w:rFonts w:ascii="MetaPro-Norm" w:hAnsi="MetaPro-Norm"/>
        </w:rPr>
        <w:t>S</w:t>
      </w:r>
      <w:r w:rsidR="004876F5">
        <w:rPr>
          <w:rFonts w:ascii="MetaPro-Norm" w:hAnsi="MetaPro-Norm"/>
        </w:rPr>
        <w:t xml:space="preserve">tanding </w:t>
      </w:r>
      <w:r>
        <w:rPr>
          <w:rFonts w:ascii="MetaPro-Norm" w:hAnsi="MetaPro-Norm"/>
        </w:rPr>
        <w:t>C</w:t>
      </w:r>
      <w:r w:rsidR="004876F5">
        <w:rPr>
          <w:rFonts w:ascii="MetaPro-Norm" w:hAnsi="MetaPro-Norm"/>
        </w:rPr>
        <w:t>ommittee (IASC)</w:t>
      </w:r>
      <w:r>
        <w:rPr>
          <w:rFonts w:ascii="MetaPro-Norm" w:hAnsi="MetaPro-Norm"/>
        </w:rPr>
        <w:t xml:space="preserve"> guidelines.</w:t>
      </w:r>
      <w:r w:rsidR="008A2874">
        <w:rPr>
          <w:rStyle w:val="FootnoteReference"/>
          <w:rFonts w:ascii="MetaPro-Norm" w:hAnsi="MetaPro-Norm"/>
        </w:rPr>
        <w:footnoteReference w:id="23"/>
      </w:r>
      <w:r>
        <w:rPr>
          <w:rFonts w:ascii="MetaPro-Norm" w:hAnsi="MetaPro-Norm"/>
        </w:rPr>
        <w:t xml:space="preserve"> UN agencies and humanitarian organizations should provide trainings on the rights of people with disabilities and disability inclusive approaches to humanitarian staff working with people with disabilities.</w:t>
      </w:r>
    </w:p>
    <w:p w14:paraId="29802A72" w14:textId="77777777" w:rsidR="001A4A50" w:rsidRDefault="001A4A50" w:rsidP="000A505D">
      <w:pPr>
        <w:rPr>
          <w:rFonts w:ascii="MetaPro-Norm" w:hAnsi="MetaPro-Norm"/>
        </w:rPr>
      </w:pPr>
    </w:p>
    <w:p w14:paraId="495A29BC" w14:textId="1EF3158B" w:rsidR="00D912E7" w:rsidRPr="000A505D" w:rsidRDefault="00D912E7" w:rsidP="000A505D">
      <w:pPr>
        <w:pStyle w:val="ListParagraph"/>
        <w:numPr>
          <w:ilvl w:val="0"/>
          <w:numId w:val="7"/>
        </w:numPr>
        <w:rPr>
          <w:rFonts w:ascii="MetaPro-Norm" w:hAnsi="MetaPro-Norm"/>
        </w:rPr>
      </w:pPr>
      <w:r w:rsidRPr="000A505D">
        <w:rPr>
          <w:rFonts w:ascii="MetaPro-Norm" w:hAnsi="MetaPro-Norm"/>
          <w:b/>
          <w:bCs/>
        </w:rPr>
        <w:t>Climate Change</w:t>
      </w:r>
    </w:p>
    <w:p w14:paraId="59CEBDEA" w14:textId="77777777" w:rsidR="00D67764" w:rsidRPr="00BA2CF0" w:rsidRDefault="00D67764" w:rsidP="00BA2CF0">
      <w:pPr>
        <w:pStyle w:val="ListParagraph"/>
        <w:numPr>
          <w:ilvl w:val="0"/>
          <w:numId w:val="11"/>
        </w:numPr>
        <w:rPr>
          <w:rFonts w:ascii="MetaPro-Norm" w:hAnsi="MetaPro-Norm"/>
        </w:rPr>
      </w:pPr>
      <w:r w:rsidRPr="00BA2CF0">
        <w:rPr>
          <w:rFonts w:ascii="MetaPro-Norm" w:hAnsi="MetaPro-Norm"/>
          <w:i/>
          <w:iCs/>
        </w:rPr>
        <w:t>Occurrence of natural disasters and extreme climate events as situations of risk</w:t>
      </w:r>
    </w:p>
    <w:p w14:paraId="6B58A2FB" w14:textId="4ED27866" w:rsidR="00D67764" w:rsidRDefault="3D7EE440" w:rsidP="00D67764">
      <w:pPr>
        <w:rPr>
          <w:rFonts w:ascii="MetaPro-Norm" w:eastAsia="MetaPro-Norm" w:hAnsi="MetaPro-Norm" w:cs="MetaPro-Norm"/>
        </w:rPr>
      </w:pPr>
      <w:r>
        <w:rPr>
          <w:rFonts w:ascii="MetaPro-Norm" w:hAnsi="MetaPro-Norm"/>
        </w:rPr>
        <w:t xml:space="preserve">An emerging issue within situations of risk and humanitarian emergencies is the occurrence of   extreme </w:t>
      </w:r>
      <w:r w:rsidR="24DAB50B" w:rsidRPr="2E4D2AE3">
        <w:rPr>
          <w:rFonts w:ascii="MetaPro-Norm" w:hAnsi="MetaPro-Norm"/>
        </w:rPr>
        <w:t xml:space="preserve">weather </w:t>
      </w:r>
      <w:r>
        <w:rPr>
          <w:rFonts w:ascii="MetaPro-Norm" w:hAnsi="MetaPro-Norm"/>
        </w:rPr>
        <w:t>events</w:t>
      </w:r>
      <w:r w:rsidR="48D07E26">
        <w:rPr>
          <w:rFonts w:ascii="MetaPro-Norm" w:hAnsi="MetaPro-Norm"/>
        </w:rPr>
        <w:t xml:space="preserve"> exacerbated by climate change</w:t>
      </w:r>
      <w:r>
        <w:rPr>
          <w:rFonts w:ascii="MetaPro-Norm" w:hAnsi="MetaPro-Norm"/>
        </w:rPr>
        <w:t xml:space="preserve">. The </w:t>
      </w:r>
      <w:r w:rsidR="7C986574">
        <w:rPr>
          <w:rFonts w:ascii="MetaPro-Norm" w:hAnsi="MetaPro-Norm"/>
        </w:rPr>
        <w:t xml:space="preserve">World </w:t>
      </w:r>
      <w:r w:rsidR="04A2D78F" w:rsidRPr="2E4D2AE3">
        <w:rPr>
          <w:rFonts w:ascii="MetaPro-Norm" w:hAnsi="MetaPro-Norm"/>
        </w:rPr>
        <w:t>Meteorological</w:t>
      </w:r>
      <w:r w:rsidR="7C986574">
        <w:rPr>
          <w:rFonts w:ascii="MetaPro-Norm" w:hAnsi="MetaPro-Norm"/>
        </w:rPr>
        <w:t xml:space="preserve"> Organization</w:t>
      </w:r>
      <w:r>
        <w:rPr>
          <w:rFonts w:ascii="MetaPro-Norm" w:hAnsi="MetaPro-Norm"/>
        </w:rPr>
        <w:t xml:space="preserve"> estimates that the number of climate-related emergencies </w:t>
      </w:r>
      <w:r w:rsidR="7E44595D">
        <w:rPr>
          <w:rFonts w:ascii="MetaPro-Norm" w:hAnsi="MetaPro-Norm"/>
        </w:rPr>
        <w:t>has increased fivefold</w:t>
      </w:r>
      <w:r>
        <w:rPr>
          <w:rFonts w:ascii="MetaPro-Norm" w:hAnsi="MetaPro-Norm"/>
        </w:rPr>
        <w:t xml:space="preserve"> </w:t>
      </w:r>
      <w:r w:rsidR="0E2C566C">
        <w:rPr>
          <w:rFonts w:ascii="MetaPro-Norm" w:hAnsi="MetaPro-Norm"/>
        </w:rPr>
        <w:t>over the past 50 years</w:t>
      </w:r>
      <w:r w:rsidR="4504469B">
        <w:rPr>
          <w:rFonts w:ascii="MetaPro-Norm" w:hAnsi="MetaPro-Norm"/>
        </w:rPr>
        <w:t xml:space="preserve"> and will continue to increase as the planet warm</w:t>
      </w:r>
      <w:r w:rsidR="52FE4B0B">
        <w:rPr>
          <w:rFonts w:ascii="MetaPro-Norm" w:hAnsi="MetaPro-Norm"/>
        </w:rPr>
        <w:t>s</w:t>
      </w:r>
      <w:r>
        <w:rPr>
          <w:rFonts w:ascii="MetaPro-Norm" w:hAnsi="MetaPro-Norm"/>
        </w:rPr>
        <w:t>.</w:t>
      </w:r>
      <w:r w:rsidR="004A42CC">
        <w:rPr>
          <w:rStyle w:val="FootnoteReference"/>
          <w:rFonts w:ascii="MetaPro-Norm" w:hAnsi="MetaPro-Norm"/>
        </w:rPr>
        <w:footnoteReference w:id="24"/>
      </w:r>
      <w:r w:rsidR="426E9478">
        <w:rPr>
          <w:rFonts w:ascii="MetaPro-Norm" w:hAnsi="MetaPro-Norm"/>
        </w:rPr>
        <w:t xml:space="preserve"> </w:t>
      </w:r>
      <w:r w:rsidR="5DACD772" w:rsidRPr="2E4D2AE3">
        <w:rPr>
          <w:rFonts w:ascii="MetaPro-Norm" w:hAnsi="MetaPro-Norm"/>
        </w:rPr>
        <w:t xml:space="preserve"> </w:t>
      </w:r>
      <w:r w:rsidR="2448665F" w:rsidRPr="2E4D2AE3">
        <w:rPr>
          <w:rFonts w:ascii="MetaPro-Norm" w:hAnsi="MetaPro-Norm"/>
        </w:rPr>
        <w:t xml:space="preserve">Without </w:t>
      </w:r>
      <w:r w:rsidR="418ED631" w:rsidRPr="2E4D2AE3">
        <w:rPr>
          <w:rFonts w:ascii="MetaPro-Norm" w:hAnsi="MetaPro-Norm"/>
        </w:rPr>
        <w:t xml:space="preserve">greater emissions reductions, the </w:t>
      </w:r>
      <w:r w:rsidR="2448665F" w:rsidRPr="2E4D2AE3">
        <w:rPr>
          <w:rFonts w:ascii="MetaPro-Norm" w:eastAsia="MetaPro-Norm" w:hAnsi="MetaPro-Norm" w:cs="MetaPro-Norm"/>
        </w:rPr>
        <w:t>World</w:t>
      </w:r>
      <w:r w:rsidR="5DACD772" w:rsidRPr="2E4D2AE3">
        <w:rPr>
          <w:rFonts w:ascii="MetaPro-Norm" w:eastAsia="MetaPro-Norm" w:hAnsi="MetaPro-Norm" w:cs="MetaPro-Norm"/>
        </w:rPr>
        <w:t xml:space="preserve"> </w:t>
      </w:r>
      <w:r w:rsidR="2448665F" w:rsidRPr="2E4D2AE3">
        <w:rPr>
          <w:rFonts w:ascii="MetaPro-Norm" w:eastAsia="MetaPro-Norm" w:hAnsi="MetaPro-Norm" w:cs="MetaPro-Norm"/>
        </w:rPr>
        <w:t>Bank</w:t>
      </w:r>
      <w:r w:rsidR="01600CF7" w:rsidRPr="2E4D2AE3">
        <w:rPr>
          <w:rFonts w:ascii="MetaPro-Norm" w:eastAsia="MetaPro-Norm" w:hAnsi="MetaPro-Norm" w:cs="MetaPro-Norm"/>
        </w:rPr>
        <w:t xml:space="preserve"> fin</w:t>
      </w:r>
      <w:r w:rsidR="2448665F" w:rsidRPr="2E4D2AE3">
        <w:rPr>
          <w:rFonts w:ascii="MetaPro-Norm" w:eastAsia="MetaPro-Norm" w:hAnsi="MetaPro-Norm" w:cs="MetaPro-Norm"/>
        </w:rPr>
        <w:t>ds</w:t>
      </w:r>
      <w:r w:rsidR="5DACD772" w:rsidRPr="2E4D2AE3">
        <w:rPr>
          <w:rFonts w:ascii="MetaPro-Norm" w:eastAsia="MetaPro-Norm" w:hAnsi="MetaPro-Norm" w:cs="MetaPro-Norm"/>
        </w:rPr>
        <w:t xml:space="preserve"> that climate change could force 216 million people across six world regions to move within their countries by 2050.</w:t>
      </w:r>
      <w:r w:rsidR="000D16FA">
        <w:rPr>
          <w:rStyle w:val="FootnoteReference"/>
          <w:rFonts w:ascii="MetaPro-Norm" w:eastAsia="MetaPro-Norm" w:hAnsi="MetaPro-Norm" w:cs="MetaPro-Norm"/>
        </w:rPr>
        <w:footnoteReference w:id="25"/>
      </w:r>
    </w:p>
    <w:p w14:paraId="537BB3D9" w14:textId="1424F6DA" w:rsidR="00BE5580" w:rsidRDefault="00BE5580" w:rsidP="00D67764">
      <w:pPr>
        <w:rPr>
          <w:rFonts w:ascii="MetaPro-Norm" w:eastAsia="MetaPro-Norm" w:hAnsi="MetaPro-Norm" w:cs="MetaPro-Norm"/>
        </w:rPr>
      </w:pPr>
      <w:r>
        <w:rPr>
          <w:rFonts w:ascii="MetaPro-Norm" w:eastAsia="MetaPro-Norm" w:hAnsi="MetaPro-Norm" w:cs="MetaPro-Norm"/>
        </w:rPr>
        <w:t xml:space="preserve">Extreme weather events can take a heavy toll on </w:t>
      </w:r>
      <w:r w:rsidR="00BF53FC">
        <w:rPr>
          <w:rFonts w:ascii="MetaPro-Norm" w:eastAsia="MetaPro-Norm" w:hAnsi="MetaPro-Norm" w:cs="MetaPro-Norm"/>
        </w:rPr>
        <w:t>an individual’s</w:t>
      </w:r>
      <w:r>
        <w:rPr>
          <w:rFonts w:ascii="MetaPro-Norm" w:eastAsia="MetaPro-Norm" w:hAnsi="MetaPro-Norm" w:cs="MetaPro-Norm"/>
        </w:rPr>
        <w:t xml:space="preserve"> physical and mental health</w:t>
      </w:r>
      <w:r w:rsidR="00023A15">
        <w:rPr>
          <w:rFonts w:ascii="MetaPro-Norm" w:eastAsia="MetaPro-Norm" w:hAnsi="MetaPro-Norm" w:cs="MetaPro-Norm"/>
        </w:rPr>
        <w:t>.</w:t>
      </w:r>
    </w:p>
    <w:p w14:paraId="39E8F649" w14:textId="19BBF80C" w:rsidR="00BF4997" w:rsidRDefault="00D67764" w:rsidP="00C836B9">
      <w:pPr>
        <w:rPr>
          <w:rFonts w:ascii="MetaPro-Norm" w:hAnsi="MetaPro-Norm"/>
        </w:rPr>
      </w:pPr>
      <w:r>
        <w:rPr>
          <w:rFonts w:ascii="MetaPro-Norm" w:hAnsi="MetaPro-Norm"/>
        </w:rPr>
        <w:t>Human Rights Watch research</w:t>
      </w:r>
      <w:r w:rsidR="00C03A89">
        <w:rPr>
          <w:rFonts w:ascii="MetaPro-Norm" w:hAnsi="MetaPro-Norm"/>
        </w:rPr>
        <w:t xml:space="preserve"> has shown that while climate-related disasters </w:t>
      </w:r>
      <w:r w:rsidR="006E480A">
        <w:rPr>
          <w:rFonts w:ascii="MetaPro-Norm" w:hAnsi="MetaPro-Norm"/>
        </w:rPr>
        <w:t xml:space="preserve">impact everyone, they are especially detrimental to the health and well-being of people who are already </w:t>
      </w:r>
      <w:proofErr w:type="gramStart"/>
      <w:r w:rsidR="006E480A">
        <w:rPr>
          <w:rFonts w:ascii="MetaPro-Norm" w:hAnsi="MetaPro-Norm"/>
        </w:rPr>
        <w:t>at</w:t>
      </w:r>
      <w:r w:rsidR="00BF53FC">
        <w:rPr>
          <w:rFonts w:ascii="MetaPro-Norm" w:hAnsi="MetaPro-Norm"/>
        </w:rPr>
        <w:t xml:space="preserve"> </w:t>
      </w:r>
      <w:r w:rsidR="006E480A">
        <w:rPr>
          <w:rFonts w:ascii="MetaPro-Norm" w:hAnsi="MetaPro-Norm"/>
        </w:rPr>
        <w:t>risk</w:t>
      </w:r>
      <w:r w:rsidR="11308A0C">
        <w:rPr>
          <w:rFonts w:ascii="MetaPro-Norm" w:hAnsi="MetaPro-Norm"/>
        </w:rPr>
        <w:t>,</w:t>
      </w:r>
      <w:r w:rsidR="006E480A">
        <w:rPr>
          <w:rFonts w:ascii="MetaPro-Norm" w:hAnsi="MetaPro-Norm"/>
        </w:rPr>
        <w:t xml:space="preserve"> live in</w:t>
      </w:r>
      <w:proofErr w:type="gramEnd"/>
      <w:r w:rsidR="006E480A">
        <w:rPr>
          <w:rFonts w:ascii="MetaPro-Norm" w:hAnsi="MetaPro-Norm"/>
        </w:rPr>
        <w:t xml:space="preserve"> poverty</w:t>
      </w:r>
      <w:r w:rsidR="0EA464F3">
        <w:rPr>
          <w:rFonts w:ascii="MetaPro-Norm" w:hAnsi="MetaPro-Norm"/>
        </w:rPr>
        <w:t>,</w:t>
      </w:r>
      <w:r w:rsidR="006E480A">
        <w:rPr>
          <w:rFonts w:ascii="MetaPro-Norm" w:hAnsi="MetaPro-Norm"/>
        </w:rPr>
        <w:t xml:space="preserve"> and face marginalization</w:t>
      </w:r>
      <w:r w:rsidR="00B17BC0">
        <w:rPr>
          <w:rFonts w:ascii="MetaPro-Norm" w:hAnsi="MetaPro-Norm"/>
        </w:rPr>
        <w:t>.</w:t>
      </w:r>
      <w:r w:rsidR="00586E61">
        <w:rPr>
          <w:rStyle w:val="FootnoteReference"/>
          <w:rFonts w:ascii="MetaPro-Norm" w:hAnsi="MetaPro-Norm"/>
        </w:rPr>
        <w:footnoteReference w:id="26"/>
      </w:r>
      <w:r w:rsidR="006E480A">
        <w:rPr>
          <w:rFonts w:ascii="MetaPro-Norm" w:hAnsi="MetaPro-Norm"/>
        </w:rPr>
        <w:t xml:space="preserve"> </w:t>
      </w:r>
      <w:r w:rsidR="7608CA57">
        <w:rPr>
          <w:rFonts w:ascii="MetaPro-Norm" w:hAnsi="MetaPro-Norm"/>
        </w:rPr>
        <w:t>These include</w:t>
      </w:r>
      <w:r w:rsidR="67A4F03E">
        <w:rPr>
          <w:rFonts w:ascii="MetaPro-Norm" w:hAnsi="MetaPro-Norm"/>
        </w:rPr>
        <w:t xml:space="preserve"> </w:t>
      </w:r>
      <w:r w:rsidR="006E480A">
        <w:rPr>
          <w:rFonts w:ascii="MetaPro-Norm" w:hAnsi="MetaPro-Norm"/>
        </w:rPr>
        <w:t xml:space="preserve">people with disabilities, older </w:t>
      </w:r>
      <w:r w:rsidR="00FF0DC7">
        <w:rPr>
          <w:rFonts w:ascii="MetaPro-Norm" w:hAnsi="MetaPro-Norm"/>
        </w:rPr>
        <w:t>persons</w:t>
      </w:r>
      <w:r w:rsidR="009E4025">
        <w:rPr>
          <w:rFonts w:ascii="MetaPro-Norm" w:hAnsi="MetaPro-Norm"/>
        </w:rPr>
        <w:t xml:space="preserve"> (including older persons with disabilities)</w:t>
      </w:r>
      <w:r w:rsidR="006E480A">
        <w:rPr>
          <w:rFonts w:ascii="MetaPro-Norm" w:hAnsi="MetaPro-Norm"/>
        </w:rPr>
        <w:t>, Indigenous peoples, pregnant people, women, and children.</w:t>
      </w:r>
      <w:r>
        <w:rPr>
          <w:rFonts w:ascii="MetaPro-Norm" w:hAnsi="MetaPro-Norm"/>
        </w:rPr>
        <w:t xml:space="preserve"> </w:t>
      </w:r>
      <w:r w:rsidR="00E371C6">
        <w:rPr>
          <w:rFonts w:ascii="MetaPro-Norm" w:hAnsi="MetaPro-Norm"/>
        </w:rPr>
        <w:t>T</w:t>
      </w:r>
      <w:r>
        <w:rPr>
          <w:rFonts w:ascii="MetaPro-Norm" w:hAnsi="MetaPro-Norm"/>
        </w:rPr>
        <w:t>he impact of heatwaves, floods, and other extreme climate events on persons with disabilities</w:t>
      </w:r>
      <w:r w:rsidR="00E47E77">
        <w:rPr>
          <w:rFonts w:ascii="MetaPro-Norm" w:hAnsi="MetaPro-Norm"/>
        </w:rPr>
        <w:t xml:space="preserve">, including </w:t>
      </w:r>
      <w:r>
        <w:rPr>
          <w:rFonts w:ascii="MetaPro-Norm" w:hAnsi="MetaPro-Norm"/>
        </w:rPr>
        <w:t xml:space="preserve">older </w:t>
      </w:r>
      <w:r w:rsidR="00E47E77">
        <w:rPr>
          <w:rFonts w:ascii="MetaPro-Norm" w:hAnsi="MetaPro-Norm"/>
        </w:rPr>
        <w:t xml:space="preserve">persons with disabilities, </w:t>
      </w:r>
      <w:r>
        <w:rPr>
          <w:rFonts w:ascii="MetaPro-Norm" w:hAnsi="MetaPro-Norm"/>
        </w:rPr>
        <w:t>has shown that they are excluded from climate change prevention and mitigation strategies.</w:t>
      </w:r>
      <w:r w:rsidR="006E480A">
        <w:rPr>
          <w:rStyle w:val="FootnoteReference"/>
          <w:rFonts w:ascii="MetaPro-Norm" w:hAnsi="MetaPro-Norm"/>
        </w:rPr>
        <w:footnoteReference w:id="27"/>
      </w:r>
      <w:r w:rsidR="00E3768E">
        <w:rPr>
          <w:rFonts w:ascii="MetaPro-Norm" w:hAnsi="MetaPro-Norm"/>
        </w:rPr>
        <w:t xml:space="preserve"> </w:t>
      </w:r>
      <w:r w:rsidR="006612AE">
        <w:rPr>
          <w:rFonts w:ascii="MetaPro-Norm" w:hAnsi="MetaPro-Norm"/>
        </w:rPr>
        <w:t xml:space="preserve">Yet, they also are at a greater risk of experiencing </w:t>
      </w:r>
      <w:r w:rsidR="005175BB">
        <w:rPr>
          <w:rFonts w:ascii="MetaPro-Norm" w:hAnsi="MetaPro-Norm"/>
        </w:rPr>
        <w:t xml:space="preserve">the </w:t>
      </w:r>
      <w:r w:rsidR="000F2290">
        <w:rPr>
          <w:rFonts w:ascii="MetaPro-Norm" w:hAnsi="MetaPro-Norm"/>
        </w:rPr>
        <w:t>adverse impacts of climate change and other extreme weather events</w:t>
      </w:r>
      <w:r w:rsidR="005175BB">
        <w:rPr>
          <w:rFonts w:ascii="MetaPro-Norm" w:hAnsi="MetaPro-Norm"/>
        </w:rPr>
        <w:t>.</w:t>
      </w:r>
    </w:p>
    <w:p w14:paraId="198CDF4F" w14:textId="600DC20E" w:rsidR="00D912E7" w:rsidRDefault="001C455B" w:rsidP="00C836B9">
      <w:pPr>
        <w:rPr>
          <w:rFonts w:ascii="MetaPro-Norm" w:hAnsi="MetaPro-Norm"/>
        </w:rPr>
      </w:pPr>
      <w:r>
        <w:rPr>
          <w:rFonts w:ascii="MetaPro-Norm" w:hAnsi="MetaPro-Norm"/>
        </w:rPr>
        <w:t xml:space="preserve">In northeastern Bangladesh, flash flooding between May 17 and June 28, 2022, killed more than 100 people and severely affected over 7 million </w:t>
      </w:r>
      <w:r w:rsidR="00CD2C8F">
        <w:rPr>
          <w:rFonts w:ascii="MetaPro-Norm" w:hAnsi="MetaPro-Norm"/>
        </w:rPr>
        <w:t>others</w:t>
      </w:r>
      <w:r>
        <w:rPr>
          <w:rFonts w:ascii="MetaPro-Norm" w:hAnsi="MetaPro-Norm"/>
        </w:rPr>
        <w:t xml:space="preserve">. </w:t>
      </w:r>
      <w:r w:rsidR="005A5BBC">
        <w:rPr>
          <w:rFonts w:ascii="MetaPro-Norm" w:hAnsi="MetaPro-Norm"/>
        </w:rPr>
        <w:t xml:space="preserve">Thousands became homeless and had to move to shelters. </w:t>
      </w:r>
      <w:r w:rsidR="007B03A4">
        <w:rPr>
          <w:rFonts w:ascii="MetaPro-Norm" w:hAnsi="MetaPro-Norm"/>
        </w:rPr>
        <w:t xml:space="preserve">Our research indicates that in situations of risk, people with disabilities and older </w:t>
      </w:r>
      <w:r w:rsidR="00436191" w:rsidRPr="2E4D2AE3">
        <w:rPr>
          <w:rFonts w:ascii="MetaPro-Norm" w:hAnsi="MetaPro-Norm"/>
        </w:rPr>
        <w:t>persons</w:t>
      </w:r>
      <w:r w:rsidR="009015D8">
        <w:rPr>
          <w:rFonts w:ascii="MetaPro-Norm" w:hAnsi="MetaPro-Norm"/>
        </w:rPr>
        <w:t xml:space="preserve"> with disabilities</w:t>
      </w:r>
      <w:r w:rsidR="00436191" w:rsidRPr="2E4D2AE3">
        <w:rPr>
          <w:rFonts w:ascii="MetaPro-Norm" w:hAnsi="MetaPro-Norm"/>
        </w:rPr>
        <w:t xml:space="preserve"> </w:t>
      </w:r>
      <w:r w:rsidR="007B03A4">
        <w:rPr>
          <w:rFonts w:ascii="MetaPro-Norm" w:hAnsi="MetaPro-Norm"/>
        </w:rPr>
        <w:t xml:space="preserve">were at higher risk of death, as well as physical and mental health impacts, which were compounded </w:t>
      </w:r>
      <w:r w:rsidR="00E3768E">
        <w:rPr>
          <w:rFonts w:ascii="MetaPro-Norm" w:hAnsi="MetaPro-Norm"/>
        </w:rPr>
        <w:t xml:space="preserve">by experiences of poverty and isolation. People with disabilities and older </w:t>
      </w:r>
      <w:r w:rsidR="00436191" w:rsidRPr="2E4D2AE3">
        <w:rPr>
          <w:rFonts w:ascii="MetaPro-Norm" w:hAnsi="MetaPro-Norm"/>
        </w:rPr>
        <w:t>persons</w:t>
      </w:r>
      <w:r w:rsidR="009015D8">
        <w:rPr>
          <w:rFonts w:ascii="MetaPro-Norm" w:hAnsi="MetaPro-Norm"/>
        </w:rPr>
        <w:t xml:space="preserve"> with disabilities</w:t>
      </w:r>
      <w:r w:rsidR="00436191" w:rsidRPr="2E4D2AE3">
        <w:rPr>
          <w:rFonts w:ascii="MetaPro-Norm" w:hAnsi="MetaPro-Norm"/>
        </w:rPr>
        <w:t xml:space="preserve"> </w:t>
      </w:r>
      <w:r w:rsidR="00E3768E">
        <w:rPr>
          <w:rFonts w:ascii="MetaPro-Norm" w:hAnsi="MetaPro-Norm"/>
        </w:rPr>
        <w:t>faced greater issues accessing warnings and emergency information, as well as reaching humanitarian support in the aftermath.</w:t>
      </w:r>
      <w:r w:rsidR="004A7982">
        <w:rPr>
          <w:rStyle w:val="FootnoteReference"/>
          <w:rFonts w:ascii="MetaPro-Norm" w:hAnsi="MetaPro-Norm"/>
        </w:rPr>
        <w:footnoteReference w:id="28"/>
      </w:r>
    </w:p>
    <w:p w14:paraId="144242BF" w14:textId="207BE3FA" w:rsidR="00A11225" w:rsidRDefault="00BA4B66" w:rsidP="00F33503">
      <w:pPr>
        <w:rPr>
          <w:rFonts w:ascii="MetaPro-Norm" w:hAnsi="MetaPro-Norm"/>
        </w:rPr>
      </w:pPr>
      <w:r>
        <w:rPr>
          <w:rFonts w:ascii="MetaPro-Norm" w:hAnsi="MetaPro-Norm"/>
        </w:rPr>
        <w:t xml:space="preserve">Mohammad </w:t>
      </w:r>
      <w:proofErr w:type="spellStart"/>
      <w:r>
        <w:rPr>
          <w:rFonts w:ascii="MetaPro-Norm" w:hAnsi="MetaPro-Norm"/>
        </w:rPr>
        <w:t>Montaz</w:t>
      </w:r>
      <w:proofErr w:type="spellEnd"/>
      <w:r>
        <w:rPr>
          <w:rFonts w:ascii="MetaPro-Norm" w:hAnsi="MetaPro-Norm"/>
        </w:rPr>
        <w:t xml:space="preserve">, a resident of </w:t>
      </w:r>
      <w:proofErr w:type="spellStart"/>
      <w:r>
        <w:rPr>
          <w:rFonts w:ascii="MetaPro-Norm" w:hAnsi="MetaPro-Norm"/>
        </w:rPr>
        <w:t>Sunamganj</w:t>
      </w:r>
      <w:proofErr w:type="spellEnd"/>
      <w:r>
        <w:rPr>
          <w:rFonts w:ascii="MetaPro-Norm" w:hAnsi="MetaPro-Norm"/>
        </w:rPr>
        <w:t>,</w:t>
      </w:r>
      <w:r w:rsidR="00BE4EF7">
        <w:rPr>
          <w:rFonts w:ascii="MetaPro-Norm" w:hAnsi="MetaPro-Norm"/>
        </w:rPr>
        <w:t xml:space="preserve"> told Human Rights Watch </w:t>
      </w:r>
      <w:r w:rsidR="00A11225">
        <w:rPr>
          <w:rFonts w:ascii="MetaPro-Norm" w:hAnsi="MetaPro-Norm"/>
        </w:rPr>
        <w:t xml:space="preserve">that his 20-year-old daughter, </w:t>
      </w:r>
      <w:proofErr w:type="spellStart"/>
      <w:r w:rsidR="00A11225">
        <w:rPr>
          <w:rFonts w:ascii="MetaPro-Norm" w:hAnsi="MetaPro-Norm"/>
        </w:rPr>
        <w:t>Taslima</w:t>
      </w:r>
      <w:proofErr w:type="spellEnd"/>
      <w:r w:rsidR="00A11225">
        <w:rPr>
          <w:rFonts w:ascii="MetaPro-Norm" w:hAnsi="MetaPro-Norm"/>
        </w:rPr>
        <w:t>, who had multiple disabilities, died because of the flooding</w:t>
      </w:r>
      <w:r w:rsidR="00236809">
        <w:rPr>
          <w:rFonts w:ascii="MetaPro-Norm" w:hAnsi="MetaPro-Norm"/>
        </w:rPr>
        <w:t>:</w:t>
      </w:r>
      <w:r w:rsidR="00CD2C8F">
        <w:rPr>
          <w:rFonts w:ascii="MetaPro-Norm" w:hAnsi="MetaPro-Norm"/>
        </w:rPr>
        <w:t xml:space="preserve"> “</w:t>
      </w:r>
      <w:proofErr w:type="spellStart"/>
      <w:r w:rsidR="00BE7FC3">
        <w:rPr>
          <w:rFonts w:ascii="MetaPro-Norm" w:hAnsi="MetaPro-Norm"/>
        </w:rPr>
        <w:t>Taslima</w:t>
      </w:r>
      <w:proofErr w:type="spellEnd"/>
      <w:r w:rsidR="00BE7FC3">
        <w:rPr>
          <w:rFonts w:ascii="MetaPro-Norm" w:hAnsi="MetaPro-Norm"/>
        </w:rPr>
        <w:t xml:space="preserve"> had stumbled into a hole while coming out of the flooded toilet…. She was </w:t>
      </w:r>
      <w:r w:rsidR="00EE3DBE">
        <w:rPr>
          <w:rFonts w:ascii="MetaPro-Norm" w:hAnsi="MetaPro-Norm"/>
        </w:rPr>
        <w:t>drowning when we found her and had already swallowed a lot of the dirty water. I pulled her out, but she lost consciousness.</w:t>
      </w:r>
      <w:r w:rsidR="00CD2C8F">
        <w:rPr>
          <w:rFonts w:ascii="MetaPro-Norm" w:hAnsi="MetaPro-Norm"/>
        </w:rPr>
        <w:t>”</w:t>
      </w:r>
    </w:p>
    <w:p w14:paraId="405D681D" w14:textId="50D9150E" w:rsidR="0011772D" w:rsidRPr="006E480A" w:rsidRDefault="00153C21" w:rsidP="0011772D">
      <w:pPr>
        <w:rPr>
          <w:rFonts w:ascii="MetaPro-Norm" w:hAnsi="MetaPro-Norm"/>
        </w:rPr>
      </w:pPr>
      <w:r>
        <w:rPr>
          <w:rFonts w:ascii="MetaPro-Norm" w:hAnsi="MetaPro-Norm"/>
        </w:rPr>
        <w:t xml:space="preserve">Although </w:t>
      </w:r>
      <w:proofErr w:type="spellStart"/>
      <w:r>
        <w:rPr>
          <w:rFonts w:ascii="MetaPro-Norm" w:hAnsi="MetaPro-Norm"/>
        </w:rPr>
        <w:t>Taslima</w:t>
      </w:r>
      <w:proofErr w:type="spellEnd"/>
      <w:r>
        <w:rPr>
          <w:rFonts w:ascii="MetaPro-Norm" w:hAnsi="MetaPro-Norm"/>
        </w:rPr>
        <w:t xml:space="preserve"> later regained consciousness, the family could not find a boat to take her to a major </w:t>
      </w:r>
      <w:r w:rsidR="006A5803">
        <w:rPr>
          <w:rFonts w:ascii="MetaPro-Norm" w:hAnsi="MetaPro-Norm"/>
        </w:rPr>
        <w:t>hospital or money for further local treatment, and she died 10 days later.</w:t>
      </w:r>
    </w:p>
    <w:p w14:paraId="5620B6EC" w14:textId="7DA7EB86" w:rsidR="002D7DB5" w:rsidRPr="00BA2CF0" w:rsidRDefault="00BB378B" w:rsidP="00BA2CF0">
      <w:pPr>
        <w:pStyle w:val="ListParagraph"/>
        <w:numPr>
          <w:ilvl w:val="0"/>
          <w:numId w:val="11"/>
        </w:numPr>
        <w:rPr>
          <w:rFonts w:ascii="MetaPro-Norm" w:hAnsi="MetaPro-Norm"/>
          <w:i/>
          <w:iCs/>
        </w:rPr>
      </w:pPr>
      <w:r w:rsidRPr="00BA2CF0">
        <w:rPr>
          <w:rFonts w:ascii="MetaPro-Norm" w:hAnsi="MetaPro-Norm"/>
          <w:i/>
          <w:iCs/>
        </w:rPr>
        <w:t>E</w:t>
      </w:r>
      <w:r w:rsidR="002D7DB5" w:rsidRPr="00BA2CF0">
        <w:rPr>
          <w:rFonts w:ascii="MetaPro-Norm" w:hAnsi="MetaPro-Norm"/>
          <w:i/>
          <w:iCs/>
        </w:rPr>
        <w:t>nsur</w:t>
      </w:r>
      <w:r w:rsidRPr="00BA2CF0">
        <w:rPr>
          <w:rFonts w:ascii="MetaPro-Norm" w:hAnsi="MetaPro-Norm"/>
          <w:i/>
          <w:iCs/>
        </w:rPr>
        <w:t>ing</w:t>
      </w:r>
      <w:r w:rsidR="002D7DB5" w:rsidRPr="00BA2CF0">
        <w:rPr>
          <w:rFonts w:ascii="MetaPro-Norm" w:hAnsi="MetaPro-Norm"/>
          <w:i/>
          <w:iCs/>
        </w:rPr>
        <w:t xml:space="preserve"> the protection and promotion of the human rights of persons with disabilities in all policies and programs</w:t>
      </w:r>
      <w:r w:rsidRPr="00BA2CF0">
        <w:rPr>
          <w:rFonts w:ascii="MetaPro-Norm" w:hAnsi="MetaPro-Norm"/>
          <w:i/>
          <w:iCs/>
        </w:rPr>
        <w:t xml:space="preserve"> (Article 4(1)(c)</w:t>
      </w:r>
      <w:r w:rsidR="00CD2C8F" w:rsidRPr="00BA2CF0">
        <w:rPr>
          <w:rFonts w:ascii="MetaPro-Norm" w:hAnsi="MetaPro-Norm"/>
          <w:i/>
          <w:iCs/>
        </w:rPr>
        <w:t>)</w:t>
      </w:r>
      <w:r w:rsidRPr="00BA2CF0">
        <w:rPr>
          <w:rFonts w:ascii="MetaPro-Norm" w:hAnsi="MetaPro-Norm"/>
          <w:i/>
          <w:iCs/>
        </w:rPr>
        <w:t xml:space="preserve"> </w:t>
      </w:r>
      <w:r w:rsidR="002D7DB5" w:rsidRPr="00BA2CF0">
        <w:rPr>
          <w:rFonts w:ascii="MetaPro-Norm" w:hAnsi="MetaPro-Norm"/>
          <w:i/>
          <w:iCs/>
        </w:rPr>
        <w:t xml:space="preserve"> </w:t>
      </w:r>
    </w:p>
    <w:p w14:paraId="79CC40FA" w14:textId="21893C18" w:rsidR="003357B8" w:rsidRDefault="2C9C7059" w:rsidP="002D7DB5">
      <w:pPr>
        <w:rPr>
          <w:rFonts w:ascii="MetaPro-Norm" w:hAnsi="MetaPro-Norm"/>
        </w:rPr>
      </w:pPr>
      <w:r w:rsidRPr="7BDA02D5">
        <w:rPr>
          <w:rFonts w:ascii="MetaPro-Norm" w:hAnsi="MetaPro-Norm"/>
        </w:rPr>
        <w:t>Climate impacts affect everyone but especially the health and well</w:t>
      </w:r>
      <w:r w:rsidR="00CD2C8F">
        <w:rPr>
          <w:rFonts w:ascii="MetaPro-Norm" w:hAnsi="MetaPro-Norm"/>
        </w:rPr>
        <w:t>-</w:t>
      </w:r>
      <w:r w:rsidRPr="7BDA02D5">
        <w:rPr>
          <w:rFonts w:ascii="MetaPro-Norm" w:hAnsi="MetaPro-Norm"/>
        </w:rPr>
        <w:t xml:space="preserve">being of people who </w:t>
      </w:r>
      <w:r w:rsidR="5E195C9E" w:rsidRPr="7BDA02D5">
        <w:rPr>
          <w:rFonts w:ascii="MetaPro-Norm" w:hAnsi="MetaPro-Norm"/>
        </w:rPr>
        <w:t>face</w:t>
      </w:r>
      <w:r w:rsidRPr="7BDA02D5">
        <w:rPr>
          <w:rFonts w:ascii="MetaPro-Norm" w:hAnsi="MetaPro-Norm"/>
        </w:rPr>
        <w:t xml:space="preserve"> marginaliz</w:t>
      </w:r>
      <w:r w:rsidR="5B5D0799" w:rsidRPr="7BDA02D5">
        <w:rPr>
          <w:rFonts w:ascii="MetaPro-Norm" w:hAnsi="MetaPro-Norm"/>
        </w:rPr>
        <w:t>ation</w:t>
      </w:r>
      <w:r w:rsidRPr="7BDA02D5">
        <w:rPr>
          <w:rFonts w:ascii="MetaPro-Norm" w:hAnsi="MetaPro-Norm"/>
        </w:rPr>
        <w:t xml:space="preserve"> or</w:t>
      </w:r>
      <w:r w:rsidR="65F8444A" w:rsidRPr="7BDA02D5">
        <w:rPr>
          <w:rFonts w:ascii="MetaPro-Norm" w:hAnsi="MetaPro-Norm"/>
        </w:rPr>
        <w:t xml:space="preserve"> are</w:t>
      </w:r>
      <w:r w:rsidRPr="7BDA02D5">
        <w:rPr>
          <w:rFonts w:ascii="MetaPro-Norm" w:hAnsi="MetaPro-Norm"/>
        </w:rPr>
        <w:t xml:space="preserve"> at</w:t>
      </w:r>
      <w:r w:rsidR="00CD2C8F">
        <w:rPr>
          <w:rFonts w:ascii="MetaPro-Norm" w:hAnsi="MetaPro-Norm"/>
        </w:rPr>
        <w:t xml:space="preserve"> </w:t>
      </w:r>
      <w:r w:rsidRPr="7BDA02D5">
        <w:rPr>
          <w:rFonts w:ascii="MetaPro-Norm" w:hAnsi="MetaPro-Norm"/>
        </w:rPr>
        <w:t>risk. In 2020 and 2021, the UN issue</w:t>
      </w:r>
      <w:r w:rsidR="19FF8ACC" w:rsidRPr="7BDA02D5">
        <w:rPr>
          <w:rFonts w:ascii="MetaPro-Norm" w:hAnsi="MetaPro-Norm"/>
        </w:rPr>
        <w:t>d</w:t>
      </w:r>
      <w:r w:rsidRPr="7BDA02D5">
        <w:rPr>
          <w:rFonts w:ascii="MetaPro-Norm" w:hAnsi="MetaPro-Norm"/>
        </w:rPr>
        <w:t xml:space="preserve"> reports warning that people with disabilities and older </w:t>
      </w:r>
      <w:r w:rsidR="5ED8A911" w:rsidRPr="7BDA02D5">
        <w:rPr>
          <w:rFonts w:ascii="MetaPro-Norm" w:hAnsi="MetaPro-Norm"/>
        </w:rPr>
        <w:t>persons</w:t>
      </w:r>
      <w:r w:rsidR="006B7145">
        <w:rPr>
          <w:rFonts w:ascii="MetaPro-Norm" w:hAnsi="MetaPro-Norm"/>
        </w:rPr>
        <w:t xml:space="preserve"> with disabilities</w:t>
      </w:r>
      <w:r w:rsidR="5ED8A911" w:rsidRPr="7BDA02D5">
        <w:rPr>
          <w:rFonts w:ascii="MetaPro-Norm" w:hAnsi="MetaPro-Norm"/>
        </w:rPr>
        <w:t xml:space="preserve"> </w:t>
      </w:r>
      <w:r w:rsidRPr="7BDA02D5">
        <w:rPr>
          <w:rFonts w:ascii="MetaPro-Norm" w:hAnsi="MetaPro-Norm"/>
        </w:rPr>
        <w:t>are at increased risk of adverse climate impacts.</w:t>
      </w:r>
      <w:r w:rsidR="00887FA6">
        <w:rPr>
          <w:rStyle w:val="FootnoteReference"/>
          <w:rFonts w:ascii="MetaPro-Norm" w:hAnsi="MetaPro-Norm"/>
        </w:rPr>
        <w:footnoteReference w:id="29"/>
      </w:r>
      <w:r w:rsidRPr="7BDA02D5">
        <w:rPr>
          <w:rFonts w:ascii="MetaPro-Norm" w:hAnsi="MetaPro-Norm"/>
        </w:rPr>
        <w:t xml:space="preserve"> </w:t>
      </w:r>
    </w:p>
    <w:p w14:paraId="5EE8480B" w14:textId="5AC60575" w:rsidR="00FF128D" w:rsidRDefault="00FF128D" w:rsidP="002D7DB5">
      <w:pPr>
        <w:rPr>
          <w:rFonts w:ascii="MetaPro-Norm" w:hAnsi="MetaPro-Norm"/>
        </w:rPr>
      </w:pPr>
      <w:r>
        <w:rPr>
          <w:rFonts w:ascii="MetaPro-Norm" w:hAnsi="MetaPro-Norm"/>
        </w:rPr>
        <w:t>For example, people with psychosocial disabilities, or mental health conditions, have a two to three times higher risk of death from heat, in part because of the impact of certain medications on the body’s ability to regulate its temperature, but also because people with mental health conditions might have limited access to coping mechanisms when facing high temperatures.</w:t>
      </w:r>
      <w:r>
        <w:rPr>
          <w:rStyle w:val="FootnoteReference"/>
          <w:rFonts w:ascii="MetaPro-Norm" w:hAnsi="MetaPro-Norm"/>
        </w:rPr>
        <w:footnoteReference w:id="30"/>
      </w:r>
      <w:r w:rsidR="00037363">
        <w:rPr>
          <w:rFonts w:ascii="MetaPro-Norm" w:hAnsi="MetaPro-Norm"/>
        </w:rPr>
        <w:t xml:space="preserve"> Some people with physical disabilities are prone to experience greater pain and fatigue on hot days, and some people with spinal cord and traumatic brain injuries are at higher risk of heat-related illnesses because of their limited capacity to sweat, the body’s primary mechanism </w:t>
      </w:r>
      <w:r w:rsidR="003357B8">
        <w:rPr>
          <w:rFonts w:ascii="MetaPro-Norm" w:hAnsi="MetaPro-Norm"/>
        </w:rPr>
        <w:t xml:space="preserve">for cooling down. </w:t>
      </w:r>
    </w:p>
    <w:p w14:paraId="3442558C" w14:textId="52668340" w:rsidR="002D7DB5" w:rsidRDefault="60002C0E" w:rsidP="002D7DB5">
      <w:pPr>
        <w:rPr>
          <w:rFonts w:ascii="MetaPro-Norm" w:hAnsi="MetaPro-Norm"/>
        </w:rPr>
      </w:pPr>
      <w:r>
        <w:rPr>
          <w:rFonts w:ascii="MetaPro-Norm" w:hAnsi="MetaPro-Norm"/>
        </w:rPr>
        <w:t xml:space="preserve">In Canada, inadequate government support compounded risks for people with disabilities and older </w:t>
      </w:r>
      <w:r w:rsidR="6C8BC938" w:rsidRPr="2E4D2AE3">
        <w:rPr>
          <w:rFonts w:ascii="MetaPro-Norm" w:hAnsi="MetaPro-Norm"/>
        </w:rPr>
        <w:t>persons</w:t>
      </w:r>
      <w:r w:rsidR="15E57C71" w:rsidRPr="2E4D2AE3">
        <w:rPr>
          <w:rFonts w:ascii="MetaPro-Norm" w:hAnsi="MetaPro-Norm"/>
        </w:rPr>
        <w:t xml:space="preserve"> with disabilities</w:t>
      </w:r>
      <w:r w:rsidR="6C8BC938" w:rsidRPr="2E4D2AE3">
        <w:rPr>
          <w:rFonts w:ascii="MetaPro-Norm" w:hAnsi="MetaPro-Norm"/>
        </w:rPr>
        <w:t xml:space="preserve"> </w:t>
      </w:r>
      <w:r>
        <w:rPr>
          <w:rFonts w:ascii="MetaPro-Norm" w:hAnsi="MetaPro-Norm"/>
        </w:rPr>
        <w:t xml:space="preserve">during the summer heatwave </w:t>
      </w:r>
      <w:r w:rsidR="34D0ADFB" w:rsidRPr="2E4D2AE3">
        <w:rPr>
          <w:rFonts w:ascii="MetaPro-Norm" w:hAnsi="MetaPro-Norm"/>
        </w:rPr>
        <w:t xml:space="preserve">in </w:t>
      </w:r>
      <w:r w:rsidR="6291F788" w:rsidRPr="2E4D2AE3">
        <w:rPr>
          <w:rFonts w:ascii="MetaPro-Norm" w:hAnsi="MetaPro-Norm"/>
        </w:rPr>
        <w:t>2021</w:t>
      </w:r>
      <w:r w:rsidR="34D0ADFB" w:rsidRPr="2E4D2AE3">
        <w:rPr>
          <w:rFonts w:ascii="MetaPro-Norm" w:hAnsi="MetaPro-Norm"/>
        </w:rPr>
        <w:t xml:space="preserve"> </w:t>
      </w:r>
      <w:r>
        <w:rPr>
          <w:rFonts w:ascii="MetaPro-Norm" w:hAnsi="MetaPro-Norm"/>
        </w:rPr>
        <w:t>in British Columbia.</w:t>
      </w:r>
      <w:r w:rsidR="00345984">
        <w:rPr>
          <w:rStyle w:val="FootnoteReference"/>
          <w:rFonts w:ascii="MetaPro-Norm" w:hAnsi="MetaPro-Norm"/>
        </w:rPr>
        <w:footnoteReference w:id="31"/>
      </w:r>
      <w:r>
        <w:rPr>
          <w:rFonts w:ascii="MetaPro-Norm" w:hAnsi="MetaPro-Norm"/>
        </w:rPr>
        <w:t xml:space="preserve"> The province did not have a heat action plan, and a lack of access to cooling and targeted support for at-risk groups contributed to unnecessary suffering and possibly deaths.</w:t>
      </w:r>
    </w:p>
    <w:p w14:paraId="6FD8BE76" w14:textId="2DDBD08D" w:rsidR="002D7DB5" w:rsidRDefault="002D7DB5" w:rsidP="002D7DB5">
      <w:pPr>
        <w:rPr>
          <w:rFonts w:ascii="MetaPro-Norm" w:hAnsi="MetaPro-Norm"/>
        </w:rPr>
      </w:pPr>
      <w:r>
        <w:rPr>
          <w:rFonts w:ascii="MetaPro-Norm" w:hAnsi="MetaPro-Norm"/>
        </w:rPr>
        <w:t>The incident prompted the provincial government to overhaul emergency response to medical emergencies and future heatwaves.</w:t>
      </w:r>
      <w:r w:rsidR="008361B5">
        <w:rPr>
          <w:rStyle w:val="FootnoteReference"/>
          <w:rFonts w:ascii="MetaPro-Norm" w:hAnsi="MetaPro-Norm"/>
        </w:rPr>
        <w:footnoteReference w:id="32"/>
      </w:r>
      <w:r>
        <w:rPr>
          <w:rFonts w:ascii="MetaPro-Norm" w:hAnsi="MetaPro-Norm"/>
        </w:rPr>
        <w:t xml:space="preserve"> However, without including people with disabilities and older </w:t>
      </w:r>
      <w:r w:rsidR="00E84E67" w:rsidRPr="2E4D2AE3">
        <w:rPr>
          <w:rFonts w:ascii="MetaPro-Norm" w:hAnsi="MetaPro-Norm"/>
        </w:rPr>
        <w:t xml:space="preserve">persons </w:t>
      </w:r>
      <w:r w:rsidR="005F6F5F" w:rsidRPr="2E4D2AE3">
        <w:rPr>
          <w:rFonts w:ascii="MetaPro-Norm" w:hAnsi="MetaPro-Norm"/>
        </w:rPr>
        <w:t xml:space="preserve">with disabilities </w:t>
      </w:r>
      <w:r>
        <w:rPr>
          <w:rFonts w:ascii="MetaPro-Norm" w:hAnsi="MetaPro-Norm"/>
        </w:rPr>
        <w:t xml:space="preserve">in protection and response, the government risks repeating the same mistakes. The </w:t>
      </w:r>
      <w:r w:rsidR="00D57646">
        <w:rPr>
          <w:rFonts w:ascii="MetaPro-Norm" w:hAnsi="MetaPro-Norm"/>
        </w:rPr>
        <w:t>2021</w:t>
      </w:r>
      <w:r>
        <w:rPr>
          <w:rFonts w:ascii="MetaPro-Norm" w:hAnsi="MetaPro-Norm"/>
        </w:rPr>
        <w:t xml:space="preserve"> “Climate Preparedness and Adaptation Strategy” does not mention heat-related impacts on older </w:t>
      </w:r>
      <w:r w:rsidR="0030000D" w:rsidRPr="2E4D2AE3">
        <w:rPr>
          <w:rFonts w:ascii="MetaPro-Norm" w:hAnsi="MetaPro-Norm"/>
        </w:rPr>
        <w:t>persons</w:t>
      </w:r>
      <w:r w:rsidR="005F6F5F" w:rsidRPr="2E4D2AE3">
        <w:rPr>
          <w:rFonts w:ascii="MetaPro-Norm" w:hAnsi="MetaPro-Norm"/>
        </w:rPr>
        <w:t xml:space="preserve"> with disabilities</w:t>
      </w:r>
      <w:r w:rsidR="0030000D" w:rsidRPr="2E4D2AE3">
        <w:rPr>
          <w:rFonts w:ascii="MetaPro-Norm" w:hAnsi="MetaPro-Norm"/>
        </w:rPr>
        <w:t xml:space="preserve"> </w:t>
      </w:r>
      <w:r>
        <w:rPr>
          <w:rFonts w:ascii="MetaPro-Norm" w:hAnsi="MetaPro-Norm"/>
        </w:rPr>
        <w:t>and people with disabilities and an official at the B</w:t>
      </w:r>
      <w:r w:rsidR="00CD2C8F">
        <w:rPr>
          <w:rFonts w:ascii="MetaPro-Norm" w:hAnsi="MetaPro-Norm"/>
        </w:rPr>
        <w:t xml:space="preserve">ritish </w:t>
      </w:r>
      <w:r>
        <w:rPr>
          <w:rFonts w:ascii="MetaPro-Norm" w:hAnsi="MetaPro-Norm"/>
        </w:rPr>
        <w:t>C</w:t>
      </w:r>
      <w:r w:rsidR="00CD2C8F">
        <w:rPr>
          <w:rFonts w:ascii="MetaPro-Norm" w:hAnsi="MetaPro-Norm"/>
        </w:rPr>
        <w:t>olumbia</w:t>
      </w:r>
      <w:r>
        <w:rPr>
          <w:rFonts w:ascii="MetaPro-Norm" w:hAnsi="MetaPro-Norm"/>
        </w:rPr>
        <w:t xml:space="preserve"> Environment Ministry acknowledged to Human Rights Watch that these at-risk groups have not been at the center of past consultation efforts.</w:t>
      </w:r>
      <w:r w:rsidR="001F1B3F">
        <w:rPr>
          <w:rStyle w:val="FootnoteReference"/>
          <w:rFonts w:ascii="MetaPro-Norm" w:hAnsi="MetaPro-Norm"/>
        </w:rPr>
        <w:footnoteReference w:id="33"/>
      </w:r>
      <w:r>
        <w:rPr>
          <w:rFonts w:ascii="MetaPro-Norm" w:hAnsi="MetaPro-Norm"/>
        </w:rPr>
        <w:t xml:space="preserve"> </w:t>
      </w:r>
    </w:p>
    <w:p w14:paraId="59BB4D07" w14:textId="77777777" w:rsidR="00D912E7" w:rsidRDefault="00D912E7" w:rsidP="00C836B9">
      <w:pPr>
        <w:rPr>
          <w:rFonts w:ascii="MetaPro-Norm" w:hAnsi="MetaPro-Norm"/>
          <w:i/>
          <w:iCs/>
        </w:rPr>
      </w:pPr>
    </w:p>
    <w:p w14:paraId="7F1D21BA" w14:textId="4D683267" w:rsidR="003659C3" w:rsidRPr="000A505D" w:rsidRDefault="003659C3" w:rsidP="000A505D">
      <w:pPr>
        <w:pStyle w:val="ListParagraph"/>
        <w:numPr>
          <w:ilvl w:val="0"/>
          <w:numId w:val="7"/>
        </w:numPr>
        <w:rPr>
          <w:rFonts w:ascii="MetaPro-Norm" w:hAnsi="MetaPro-Norm"/>
          <w:b/>
          <w:bCs/>
        </w:rPr>
      </w:pPr>
      <w:r w:rsidRPr="000A505D">
        <w:rPr>
          <w:rFonts w:ascii="MetaPro-Norm" w:hAnsi="MetaPro-Norm"/>
          <w:b/>
          <w:bCs/>
        </w:rPr>
        <w:t xml:space="preserve">Persons with disabilities disproportionately affected and experiencing particular disadvantages in situations of </w:t>
      </w:r>
      <w:proofErr w:type="gramStart"/>
      <w:r w:rsidRPr="000A505D">
        <w:rPr>
          <w:rFonts w:ascii="MetaPro-Norm" w:hAnsi="MetaPro-Norm"/>
          <w:b/>
          <w:bCs/>
        </w:rPr>
        <w:t>risk</w:t>
      </w:r>
      <w:proofErr w:type="gramEnd"/>
    </w:p>
    <w:p w14:paraId="0E6AC4CE" w14:textId="0CA9A028" w:rsidR="00EE2335" w:rsidRPr="00BA2CF0" w:rsidRDefault="00EE2335" w:rsidP="00BA2CF0">
      <w:pPr>
        <w:pStyle w:val="ListParagraph"/>
        <w:numPr>
          <w:ilvl w:val="0"/>
          <w:numId w:val="12"/>
        </w:numPr>
        <w:rPr>
          <w:rFonts w:ascii="MetaPro-Norm" w:hAnsi="MetaPro-Norm"/>
        </w:rPr>
      </w:pPr>
      <w:r w:rsidRPr="00BA2CF0">
        <w:rPr>
          <w:rFonts w:ascii="MetaPro-Norm" w:hAnsi="MetaPro-Norm"/>
          <w:i/>
          <w:iCs/>
        </w:rPr>
        <w:t>Women with disabilities</w:t>
      </w:r>
    </w:p>
    <w:p w14:paraId="3DA51058" w14:textId="33017B80" w:rsidR="00DF471B" w:rsidRDefault="5BE34919" w:rsidP="00195193">
      <w:pPr>
        <w:rPr>
          <w:rFonts w:ascii="MetaPro-Norm" w:hAnsi="MetaPro-Norm"/>
        </w:rPr>
      </w:pPr>
      <w:r>
        <w:rPr>
          <w:rFonts w:ascii="MetaPro-Norm" w:hAnsi="MetaPro-Norm"/>
        </w:rPr>
        <w:t>Crises have gendered and disproportionate impact</w:t>
      </w:r>
      <w:r w:rsidR="00CD2C8F">
        <w:rPr>
          <w:rFonts w:ascii="MetaPro-Norm" w:hAnsi="MetaPro-Norm"/>
        </w:rPr>
        <w:t>s</w:t>
      </w:r>
      <w:r>
        <w:rPr>
          <w:rFonts w:ascii="MetaPro-Norm" w:hAnsi="MetaPro-Norm"/>
        </w:rPr>
        <w:t xml:space="preserve"> on women and girls, including women with disabilities.</w:t>
      </w:r>
      <w:r w:rsidR="00B53594">
        <w:rPr>
          <w:rStyle w:val="FootnoteReference"/>
          <w:rFonts w:ascii="MetaPro-Norm" w:hAnsi="MetaPro-Norm"/>
        </w:rPr>
        <w:footnoteReference w:id="34"/>
      </w:r>
      <w:r>
        <w:rPr>
          <w:rFonts w:ascii="MetaPro-Norm" w:hAnsi="MetaPro-Norm"/>
        </w:rPr>
        <w:t xml:space="preserve"> </w:t>
      </w:r>
      <w:r w:rsidR="5C3476B1">
        <w:rPr>
          <w:rFonts w:ascii="MetaPro-Norm" w:hAnsi="MetaPro-Norm"/>
        </w:rPr>
        <w:t xml:space="preserve">Women with disabilities </w:t>
      </w:r>
      <w:r w:rsidR="62EC1D88">
        <w:rPr>
          <w:rFonts w:ascii="MetaPro-Norm" w:hAnsi="MetaPro-Norm"/>
        </w:rPr>
        <w:t xml:space="preserve">may </w:t>
      </w:r>
      <w:r w:rsidR="7E785DF4">
        <w:rPr>
          <w:rFonts w:ascii="MetaPro-Norm" w:hAnsi="MetaPro-Norm"/>
        </w:rPr>
        <w:t xml:space="preserve">experience </w:t>
      </w:r>
      <w:r w:rsidR="51B5E463">
        <w:rPr>
          <w:rFonts w:ascii="MetaPro-Norm" w:hAnsi="MetaPro-Norm"/>
        </w:rPr>
        <w:t>heightened</w:t>
      </w:r>
      <w:r w:rsidR="7E785DF4">
        <w:rPr>
          <w:rFonts w:ascii="MetaPro-Norm" w:hAnsi="MetaPro-Norm"/>
        </w:rPr>
        <w:t xml:space="preserve"> risks due to unique barriers to escaping and staying out of harm’s way, as well as the degradation of support structures</w:t>
      </w:r>
      <w:r w:rsidR="003E7351">
        <w:rPr>
          <w:rFonts w:ascii="MetaPro-Norm" w:hAnsi="MetaPro-Norm"/>
        </w:rPr>
        <w:t xml:space="preserve"> due to a lack of targeted </w:t>
      </w:r>
      <w:r w:rsidR="007C5262">
        <w:rPr>
          <w:rFonts w:ascii="MetaPro-Norm" w:hAnsi="MetaPro-Norm"/>
        </w:rPr>
        <w:t>services to women and girls with disabilities</w:t>
      </w:r>
      <w:r w:rsidR="02733AC3">
        <w:rPr>
          <w:rFonts w:ascii="MetaPro-Norm" w:hAnsi="MetaPro-Norm"/>
        </w:rPr>
        <w:t>.</w:t>
      </w:r>
    </w:p>
    <w:p w14:paraId="0D7BC99A" w14:textId="698F89F5" w:rsidR="0014491A" w:rsidRDefault="02733AC3" w:rsidP="00195193">
      <w:pPr>
        <w:rPr>
          <w:rFonts w:ascii="MetaPro-Norm" w:hAnsi="MetaPro-Norm"/>
        </w:rPr>
      </w:pPr>
      <w:r>
        <w:rPr>
          <w:rFonts w:ascii="MetaPro-Norm" w:hAnsi="MetaPro-Norm"/>
        </w:rPr>
        <w:t xml:space="preserve">Human Rights Watch’s research has found that </w:t>
      </w:r>
      <w:r w:rsidR="444B5074" w:rsidRPr="004B27BB">
        <w:rPr>
          <w:rFonts w:ascii="MetaPro-Norm" w:hAnsi="MetaPro-Norm"/>
        </w:rPr>
        <w:t xml:space="preserve">government forces and non-state armed groups </w:t>
      </w:r>
      <w:r w:rsidR="444B5074">
        <w:rPr>
          <w:rFonts w:ascii="MetaPro-Norm" w:hAnsi="MetaPro-Norm"/>
        </w:rPr>
        <w:t xml:space="preserve">have committed </w:t>
      </w:r>
      <w:r w:rsidR="2F62C3DC">
        <w:rPr>
          <w:rFonts w:ascii="MetaPro-Norm" w:hAnsi="MetaPro-Norm"/>
        </w:rPr>
        <w:t>serious abuses again</w:t>
      </w:r>
      <w:r w:rsidR="00E6157A">
        <w:rPr>
          <w:rFonts w:ascii="MetaPro-Norm" w:hAnsi="MetaPro-Norm"/>
        </w:rPr>
        <w:t>st</w:t>
      </w:r>
      <w:r w:rsidR="2F62C3DC">
        <w:rPr>
          <w:rFonts w:ascii="MetaPro-Norm" w:hAnsi="MetaPro-Norm"/>
        </w:rPr>
        <w:t xml:space="preserve"> </w:t>
      </w:r>
      <w:r>
        <w:rPr>
          <w:rFonts w:ascii="MetaPro-Norm" w:hAnsi="MetaPro-Norm"/>
        </w:rPr>
        <w:t xml:space="preserve">women with disabilities </w:t>
      </w:r>
      <w:r w:rsidR="2F62C3DC">
        <w:rPr>
          <w:rFonts w:ascii="MetaPro-Norm" w:hAnsi="MetaPro-Norm"/>
        </w:rPr>
        <w:t>during armed conflicts</w:t>
      </w:r>
      <w:r w:rsidR="2CA21920" w:rsidRPr="00040419">
        <w:rPr>
          <w:rFonts w:ascii="MetaPro-Norm" w:hAnsi="MetaPro-Norm"/>
        </w:rPr>
        <w:t xml:space="preserve"> in many countries including Armenia, Cameroon, the Central African Republic, Ethiopia, Guinea, Mali, Myanmar, and South Sudan.</w:t>
      </w:r>
      <w:r w:rsidR="00040419" w:rsidRPr="00040419">
        <w:rPr>
          <w:rFonts w:ascii="MetaPro-Norm" w:hAnsi="MetaPro-Norm"/>
          <w:vertAlign w:val="superscript"/>
        </w:rPr>
        <w:footnoteReference w:id="35"/>
      </w:r>
      <w:r w:rsidR="2F62C3DC">
        <w:rPr>
          <w:rFonts w:ascii="MetaPro-Norm" w:hAnsi="MetaPro-Norm"/>
        </w:rPr>
        <w:t xml:space="preserve"> </w:t>
      </w:r>
      <w:r w:rsidR="2CA21920">
        <w:rPr>
          <w:rFonts w:ascii="MetaPro-Norm" w:hAnsi="MetaPro-Norm"/>
        </w:rPr>
        <w:t xml:space="preserve"> </w:t>
      </w:r>
    </w:p>
    <w:p w14:paraId="29301CAE" w14:textId="57D8A1DD" w:rsidR="008E7AC1" w:rsidRDefault="4BE9EDAC" w:rsidP="00195193">
      <w:pPr>
        <w:rPr>
          <w:rFonts w:ascii="MetaPro-Norm" w:hAnsi="MetaPro-Norm"/>
        </w:rPr>
      </w:pPr>
      <w:r w:rsidRPr="464C3A2F">
        <w:rPr>
          <w:rFonts w:ascii="MetaPro-Norm" w:hAnsi="MetaPro-Norm"/>
        </w:rPr>
        <w:t>In</w:t>
      </w:r>
      <w:r w:rsidR="51977E20" w:rsidRPr="464C3A2F">
        <w:rPr>
          <w:rFonts w:ascii="MetaPro-Norm" w:hAnsi="MetaPro-Norm"/>
        </w:rPr>
        <w:t xml:space="preserve"> Tigray in Ethiopia, Human Rights Watch received reports of concerns from service providers and</w:t>
      </w:r>
      <w:r w:rsidR="7E16C2E7" w:rsidRPr="464C3A2F">
        <w:rPr>
          <w:rFonts w:ascii="MetaPro-Norm" w:hAnsi="MetaPro-Norm"/>
        </w:rPr>
        <w:t xml:space="preserve"> </w:t>
      </w:r>
      <w:r w:rsidR="005C2388">
        <w:rPr>
          <w:rFonts w:ascii="MetaPro-Norm" w:hAnsi="MetaPro-Norm"/>
        </w:rPr>
        <w:t>medical personnel</w:t>
      </w:r>
      <w:r w:rsidR="7E16C2E7" w:rsidRPr="464C3A2F">
        <w:rPr>
          <w:rFonts w:ascii="MetaPro-Norm" w:hAnsi="MetaPro-Norm"/>
        </w:rPr>
        <w:t xml:space="preserve"> about</w:t>
      </w:r>
      <w:r w:rsidR="08ADF828" w:rsidRPr="464C3A2F">
        <w:rPr>
          <w:rFonts w:ascii="MetaPro-Norm" w:hAnsi="MetaPro-Norm"/>
        </w:rPr>
        <w:t xml:space="preserve"> women and girls with disabilities who had been raped by soldiers and faced barriers to travel to health facilities due to inaccessible roads and lack of accessible transportation when roads </w:t>
      </w:r>
      <w:r w:rsidR="7BF9C46B" w:rsidRPr="464C3A2F">
        <w:rPr>
          <w:rFonts w:ascii="MetaPro-Norm" w:hAnsi="MetaPro-Norm"/>
        </w:rPr>
        <w:t>were open.</w:t>
      </w:r>
      <w:r w:rsidR="008F6A4C">
        <w:rPr>
          <w:rStyle w:val="FootnoteReference"/>
          <w:rFonts w:ascii="MetaPro-Norm" w:hAnsi="MetaPro-Norm"/>
        </w:rPr>
        <w:footnoteReference w:id="36"/>
      </w:r>
      <w:r w:rsidR="2320C82A" w:rsidRPr="464C3A2F">
        <w:rPr>
          <w:rStyle w:val="FootnoteReference"/>
          <w:rFonts w:ascii="MetaPro-Norm" w:hAnsi="MetaPro-Norm"/>
        </w:rPr>
        <w:t xml:space="preserve"> </w:t>
      </w:r>
    </w:p>
    <w:p w14:paraId="446FBE71" w14:textId="0BB0E478" w:rsidR="00EE2335" w:rsidRPr="00BA2CF0" w:rsidRDefault="00EE2335" w:rsidP="00BA2CF0">
      <w:pPr>
        <w:pStyle w:val="ListParagraph"/>
        <w:numPr>
          <w:ilvl w:val="0"/>
          <w:numId w:val="12"/>
        </w:numPr>
        <w:rPr>
          <w:rFonts w:ascii="MetaPro-Norm" w:hAnsi="MetaPro-Norm"/>
        </w:rPr>
      </w:pPr>
      <w:r w:rsidRPr="00BA2CF0">
        <w:rPr>
          <w:rFonts w:ascii="MetaPro-Norm" w:hAnsi="MetaPro-Norm"/>
          <w:i/>
          <w:iCs/>
        </w:rPr>
        <w:t>Children with disabilities</w:t>
      </w:r>
    </w:p>
    <w:p w14:paraId="23CA1262" w14:textId="471BED6C" w:rsidR="00824D53" w:rsidRDefault="467D8272" w:rsidP="00195193">
      <w:pPr>
        <w:rPr>
          <w:rFonts w:ascii="MetaPro-Norm" w:hAnsi="MetaPro-Norm"/>
        </w:rPr>
      </w:pPr>
      <w:r w:rsidRPr="464C3A2F">
        <w:rPr>
          <w:rFonts w:ascii="MetaPro-Norm" w:hAnsi="MetaPro-Norm"/>
        </w:rPr>
        <w:t>Children with different types of disabilities are at risk of abandonment if their families feel unable to meet their needs or to bring them to safety.</w:t>
      </w:r>
    </w:p>
    <w:p w14:paraId="59C29744" w14:textId="4CE38C3B" w:rsidR="00F72C0E" w:rsidRDefault="00567318" w:rsidP="00195193">
      <w:pPr>
        <w:rPr>
          <w:rFonts w:ascii="MetaPro-Norm" w:hAnsi="MetaPro-Norm"/>
        </w:rPr>
      </w:pPr>
      <w:r>
        <w:rPr>
          <w:rFonts w:ascii="MetaPro-Norm" w:hAnsi="MetaPro-Norm"/>
        </w:rPr>
        <w:t>In Syria, families of children with disabilities told Human Rights Watch that they were often unable to afford basic necessities, such as food and shelter, let alon</w:t>
      </w:r>
      <w:r w:rsidR="00B864ED">
        <w:rPr>
          <w:rFonts w:ascii="MetaPro-Norm" w:hAnsi="MetaPro-Norm"/>
        </w:rPr>
        <w:t>e the necessities a child with a disability might require, such as therapies and assistive devices.</w:t>
      </w:r>
      <w:r w:rsidR="00916920">
        <w:rPr>
          <w:rStyle w:val="FootnoteReference"/>
          <w:rFonts w:ascii="MetaPro-Norm" w:hAnsi="MetaPro-Norm"/>
        </w:rPr>
        <w:footnoteReference w:id="37"/>
      </w:r>
      <w:r w:rsidR="00B864ED">
        <w:rPr>
          <w:rFonts w:ascii="MetaPro-Norm" w:hAnsi="MetaPro-Norm"/>
        </w:rPr>
        <w:t xml:space="preserve"> Parents of children with disabilities struggled to access health care for their children, information about their children’s disabilities, and early intervention services for children with developmental conditions and disabilities. </w:t>
      </w:r>
      <w:r w:rsidR="00425D1B">
        <w:rPr>
          <w:rFonts w:ascii="MetaPro-Norm" w:hAnsi="MetaPro-Norm"/>
        </w:rPr>
        <w:t xml:space="preserve">Mental health and psychosocial support </w:t>
      </w:r>
      <w:r w:rsidR="00DB3381">
        <w:rPr>
          <w:rFonts w:ascii="MetaPro-Norm" w:hAnsi="MetaPro-Norm"/>
        </w:rPr>
        <w:t xml:space="preserve">services were either lacking, generally not inclusive of, or inaccessible to, children with disabilities. </w:t>
      </w:r>
    </w:p>
    <w:p w14:paraId="0F2C1912" w14:textId="257E50A2" w:rsidR="00AD1D4D" w:rsidRPr="00824D53" w:rsidRDefault="00DB3381" w:rsidP="00195193">
      <w:pPr>
        <w:rPr>
          <w:rFonts w:ascii="MetaPro-Norm" w:hAnsi="MetaPro-Norm"/>
        </w:rPr>
      </w:pPr>
      <w:r>
        <w:rPr>
          <w:rFonts w:ascii="MetaPro-Norm" w:hAnsi="MetaPro-Norm"/>
        </w:rPr>
        <w:t xml:space="preserve">Children with disabilities </w:t>
      </w:r>
      <w:r w:rsidR="00F72C0E">
        <w:rPr>
          <w:rFonts w:ascii="MetaPro-Norm" w:hAnsi="MetaPro-Norm"/>
        </w:rPr>
        <w:t xml:space="preserve">in Syria also faced increased barriers to accessing public schools and educational services provided by humanitarian organizations. Inaccessible roads, inaccessible school facilities, and a lack of assistive devices pose challenges for children with physical disabilities. A lack of trained teachers, inclusive curricula, and stigma impede the </w:t>
      </w:r>
      <w:r w:rsidR="00FB799B">
        <w:rPr>
          <w:rFonts w:ascii="MetaPro-Norm" w:hAnsi="MetaPro-Norm"/>
        </w:rPr>
        <w:t>right to education of children with sensory, intellectual, and psychosocial disabilities.</w:t>
      </w:r>
    </w:p>
    <w:p w14:paraId="2D208C89" w14:textId="77777777" w:rsidR="00105E15" w:rsidRPr="00BA2CF0" w:rsidRDefault="6611E310" w:rsidP="00BA2CF0">
      <w:pPr>
        <w:pStyle w:val="ListParagraph"/>
        <w:numPr>
          <w:ilvl w:val="0"/>
          <w:numId w:val="12"/>
        </w:numPr>
        <w:rPr>
          <w:rFonts w:ascii="MetaPro-Norm" w:hAnsi="MetaPro-Norm"/>
        </w:rPr>
      </w:pPr>
      <w:r w:rsidRPr="00BA2CF0">
        <w:rPr>
          <w:rFonts w:ascii="MetaPro-Norm" w:hAnsi="MetaPro-Norm"/>
          <w:i/>
          <w:iCs/>
        </w:rPr>
        <w:t>Older persons with disabilities</w:t>
      </w:r>
      <w:r w:rsidR="00105E15" w:rsidRPr="00BA2CF0">
        <w:rPr>
          <w:rFonts w:ascii="MetaPro-Norm" w:hAnsi="MetaPro-Norm"/>
          <w:i/>
          <w:iCs/>
        </w:rPr>
        <w:t xml:space="preserve"> </w:t>
      </w:r>
    </w:p>
    <w:p w14:paraId="4ECBC972" w14:textId="470EC9D5" w:rsidR="00B975F0" w:rsidRPr="00BB0A94" w:rsidRDefault="00EA02AD" w:rsidP="00195193">
      <w:pPr>
        <w:rPr>
          <w:rFonts w:ascii="MetaPro-Norm" w:hAnsi="MetaPro-Norm"/>
        </w:rPr>
      </w:pPr>
      <w:r>
        <w:rPr>
          <w:rFonts w:ascii="MetaPro-Norm" w:hAnsi="MetaPro-Norm"/>
        </w:rPr>
        <w:t xml:space="preserve">Human Rights Watch research from 2013 to 2021 in 15 countries found that older </w:t>
      </w:r>
      <w:r w:rsidR="00363570">
        <w:rPr>
          <w:rFonts w:ascii="MetaPro-Norm" w:hAnsi="MetaPro-Norm"/>
        </w:rPr>
        <w:t xml:space="preserve">persons with disabilities </w:t>
      </w:r>
      <w:r>
        <w:rPr>
          <w:rFonts w:ascii="MetaPro-Norm" w:hAnsi="MetaPro-Norm"/>
        </w:rPr>
        <w:t xml:space="preserve">experience </w:t>
      </w:r>
      <w:r w:rsidR="00684806">
        <w:rPr>
          <w:rFonts w:ascii="MetaPro-Norm" w:hAnsi="MetaPro-Norm"/>
        </w:rPr>
        <w:t>abuses during armed conflict and other large-scale violence.</w:t>
      </w:r>
      <w:r w:rsidR="006A110D">
        <w:rPr>
          <w:rStyle w:val="FootnoteReference"/>
          <w:rFonts w:ascii="MetaPro-Norm" w:hAnsi="MetaPro-Norm"/>
        </w:rPr>
        <w:footnoteReference w:id="38"/>
      </w:r>
      <w:r w:rsidR="00684806">
        <w:rPr>
          <w:rFonts w:ascii="MetaPro-Norm" w:hAnsi="MetaPro-Norm"/>
        </w:rPr>
        <w:t xml:space="preserve"> </w:t>
      </w:r>
      <w:r w:rsidR="00CD2C8F">
        <w:rPr>
          <w:rFonts w:ascii="MetaPro-Norm" w:hAnsi="MetaPro-Norm"/>
        </w:rPr>
        <w:t>O</w:t>
      </w:r>
      <w:r w:rsidR="00902C1E" w:rsidRPr="00BB0A94">
        <w:rPr>
          <w:rFonts w:ascii="MetaPro-Norm" w:hAnsi="MetaPro-Norm"/>
        </w:rPr>
        <w:t>ur research</w:t>
      </w:r>
      <w:r w:rsidR="00CD2C8F">
        <w:rPr>
          <w:rFonts w:ascii="MetaPro-Norm" w:hAnsi="MetaPro-Norm"/>
        </w:rPr>
        <w:t xml:space="preserve"> found that</w:t>
      </w:r>
      <w:r w:rsidR="00902C1E" w:rsidRPr="00BB0A94">
        <w:rPr>
          <w:rFonts w:ascii="MetaPro-Norm" w:hAnsi="MetaPro-Norm"/>
        </w:rPr>
        <w:t xml:space="preserve"> </w:t>
      </w:r>
      <w:r w:rsidR="00BF2C5E" w:rsidRPr="00BB0A94">
        <w:rPr>
          <w:rFonts w:ascii="MetaPro-Norm" w:hAnsi="MetaPro-Norm"/>
        </w:rPr>
        <w:t>i</w:t>
      </w:r>
      <w:r w:rsidR="00AB04B2" w:rsidRPr="00BB0A94">
        <w:rPr>
          <w:rFonts w:ascii="MetaPro-Norm" w:hAnsi="MetaPro-Norm"/>
        </w:rPr>
        <w:t xml:space="preserve">n many instances, older </w:t>
      </w:r>
      <w:r w:rsidR="00BF2C5E" w:rsidRPr="00BB0A94">
        <w:rPr>
          <w:rFonts w:ascii="MetaPro-Norm" w:hAnsi="MetaPro-Norm"/>
        </w:rPr>
        <w:t xml:space="preserve">persons with disabilities </w:t>
      </w:r>
      <w:r w:rsidR="00AB04B2" w:rsidRPr="00BB0A94">
        <w:rPr>
          <w:rFonts w:ascii="MetaPro-Norm" w:hAnsi="MetaPro-Norm"/>
        </w:rPr>
        <w:t xml:space="preserve">have been unable to flee </w:t>
      </w:r>
      <w:r w:rsidR="00CD2C8F">
        <w:rPr>
          <w:rFonts w:ascii="MetaPro-Norm" w:hAnsi="MetaPro-Norm"/>
        </w:rPr>
        <w:t xml:space="preserve">fighting </w:t>
      </w:r>
      <w:r w:rsidR="00AB04B2" w:rsidRPr="00BB0A94">
        <w:rPr>
          <w:rFonts w:ascii="MetaPro-Norm" w:hAnsi="MetaPro-Norm"/>
        </w:rPr>
        <w:t>because of limited mobility, disability</w:t>
      </w:r>
      <w:r w:rsidR="00D10BCE" w:rsidRPr="00BB0A94">
        <w:rPr>
          <w:rFonts w:ascii="MetaPro-Norm" w:hAnsi="MetaPro-Norm"/>
        </w:rPr>
        <w:t>, or because families could not assist their flight.</w:t>
      </w:r>
      <w:r w:rsidR="009F37C5" w:rsidRPr="00BB0A94">
        <w:rPr>
          <w:rStyle w:val="FootnoteReference"/>
          <w:rFonts w:ascii="MetaPro-Norm" w:hAnsi="MetaPro-Norm"/>
        </w:rPr>
        <w:footnoteReference w:id="39"/>
      </w:r>
    </w:p>
    <w:p w14:paraId="31B73656" w14:textId="5B27A5B2" w:rsidR="00BB0A94" w:rsidRPr="00BB0A94" w:rsidRDefault="001474D2" w:rsidP="00983489">
      <w:r w:rsidRPr="00BB0A94">
        <w:rPr>
          <w:rFonts w:ascii="MetaPro-Norm" w:hAnsi="MetaPro-Norm"/>
        </w:rPr>
        <w:t xml:space="preserve">In South Sudan, a displaced older woman described government and militia attacks on the village where she lived in </w:t>
      </w:r>
      <w:proofErr w:type="spellStart"/>
      <w:r w:rsidRPr="00BB0A94">
        <w:rPr>
          <w:rFonts w:ascii="MetaPro-Norm" w:hAnsi="MetaPro-Norm"/>
        </w:rPr>
        <w:t>Mayendit</w:t>
      </w:r>
      <w:proofErr w:type="spellEnd"/>
      <w:r w:rsidRPr="00BB0A94">
        <w:rPr>
          <w:rFonts w:ascii="MetaPro-Norm" w:hAnsi="MetaPro-Norm"/>
        </w:rPr>
        <w:t xml:space="preserve"> county, saying that no civilians were off limits in the attacks:</w:t>
      </w:r>
      <w:r w:rsidR="00CD2C8F">
        <w:rPr>
          <w:rFonts w:ascii="MetaPro-Norm" w:hAnsi="MetaPro-Norm"/>
        </w:rPr>
        <w:t xml:space="preserve"> </w:t>
      </w:r>
      <w:r w:rsidR="00CD2C8F" w:rsidRPr="00CD2C8F">
        <w:rPr>
          <w:rFonts w:ascii="MetaPro-Norm" w:hAnsi="MetaPro-Norm"/>
        </w:rPr>
        <w:t>“</w:t>
      </w:r>
      <w:r w:rsidRPr="00F33503">
        <w:rPr>
          <w:rFonts w:ascii="MetaPro-Norm" w:hAnsi="MetaPro-Norm"/>
        </w:rPr>
        <w:t xml:space="preserve">The first time the government soldiers and militias came to my village in 2015, the old men and women who could not run were killed. There was </w:t>
      </w:r>
      <w:proofErr w:type="spellStart"/>
      <w:r w:rsidRPr="00F33503">
        <w:rPr>
          <w:rFonts w:ascii="MetaPro-Norm" w:hAnsi="MetaPro-Norm"/>
        </w:rPr>
        <w:t>Gatpan</w:t>
      </w:r>
      <w:proofErr w:type="spellEnd"/>
      <w:r w:rsidRPr="00F33503">
        <w:rPr>
          <w:rFonts w:ascii="MetaPro-Norm" w:hAnsi="MetaPro-Norm"/>
        </w:rPr>
        <w:t xml:space="preserve"> Mut, for example, who was a little old, and </w:t>
      </w:r>
      <w:proofErr w:type="spellStart"/>
      <w:r w:rsidRPr="00F33503">
        <w:rPr>
          <w:rFonts w:ascii="MetaPro-Norm" w:hAnsi="MetaPro-Norm"/>
        </w:rPr>
        <w:t>Gatkui</w:t>
      </w:r>
      <w:proofErr w:type="spellEnd"/>
      <w:r w:rsidRPr="00F33503">
        <w:rPr>
          <w:rFonts w:ascii="MetaPro-Norm" w:hAnsi="MetaPro-Norm"/>
        </w:rPr>
        <w:t xml:space="preserve"> </w:t>
      </w:r>
      <w:proofErr w:type="spellStart"/>
      <w:r w:rsidRPr="00F33503">
        <w:rPr>
          <w:rFonts w:ascii="MetaPro-Norm" w:hAnsi="MetaPro-Norm"/>
        </w:rPr>
        <w:t>Jich</w:t>
      </w:r>
      <w:proofErr w:type="spellEnd"/>
      <w:r w:rsidRPr="00F33503">
        <w:rPr>
          <w:rFonts w:ascii="MetaPro-Norm" w:hAnsi="MetaPro-Norm"/>
        </w:rPr>
        <w:t>, who couldn’t move, and many, many more whose names I can’t remember.</w:t>
      </w:r>
      <w:r w:rsidRPr="00F33503">
        <w:rPr>
          <w:rStyle w:val="FootnoteReference"/>
          <w:rFonts w:ascii="MetaPro-Norm" w:hAnsi="MetaPro-Norm"/>
        </w:rPr>
        <w:t xml:space="preserve"> </w:t>
      </w:r>
      <w:r w:rsidR="00CD2C8F">
        <w:rPr>
          <w:rFonts w:ascii="MetaPro-Norm" w:hAnsi="MetaPro-Norm"/>
        </w:rPr>
        <w:t>“</w:t>
      </w:r>
      <w:r w:rsidRPr="00F33503">
        <w:rPr>
          <w:rStyle w:val="FootnoteReference"/>
          <w:rFonts w:ascii="MetaPro-Norm" w:hAnsi="MetaPro-Norm"/>
        </w:rPr>
        <w:footnoteReference w:id="40"/>
      </w:r>
    </w:p>
    <w:p w14:paraId="346A0ED7" w14:textId="6A0DE00F" w:rsidR="000C5B1C" w:rsidRDefault="4F780E70" w:rsidP="00050641">
      <w:pPr>
        <w:rPr>
          <w:rFonts w:ascii="MetaPro-Norm" w:hAnsi="MetaPro-Norm"/>
        </w:rPr>
      </w:pPr>
      <w:r w:rsidRPr="464C3A2F">
        <w:rPr>
          <w:rFonts w:ascii="MetaPro-Norm" w:hAnsi="MetaPro-Norm"/>
        </w:rPr>
        <w:t xml:space="preserve">In the Central African Republic, in 2016, armed groups destroyed the </w:t>
      </w:r>
      <w:proofErr w:type="spellStart"/>
      <w:r w:rsidRPr="464C3A2F">
        <w:rPr>
          <w:rFonts w:ascii="MetaPro-Norm" w:hAnsi="MetaPro-Norm"/>
        </w:rPr>
        <w:t>l’Évêché</w:t>
      </w:r>
      <w:proofErr w:type="spellEnd"/>
      <w:r w:rsidRPr="464C3A2F">
        <w:rPr>
          <w:rFonts w:ascii="MetaPro-Norm" w:hAnsi="MetaPro-Norm"/>
        </w:rPr>
        <w:t xml:space="preserve"> camp for displaced people in </w:t>
      </w:r>
      <w:proofErr w:type="spellStart"/>
      <w:r w:rsidRPr="464C3A2F">
        <w:rPr>
          <w:rFonts w:ascii="MetaPro-Norm" w:hAnsi="MetaPro-Norm"/>
        </w:rPr>
        <w:t>Kaga</w:t>
      </w:r>
      <w:proofErr w:type="spellEnd"/>
      <w:r w:rsidR="4B43A0FF" w:rsidRPr="464C3A2F">
        <w:rPr>
          <w:rFonts w:ascii="MetaPro-Norm" w:hAnsi="MetaPro-Norm"/>
        </w:rPr>
        <w:t xml:space="preserve"> </w:t>
      </w:r>
      <w:proofErr w:type="spellStart"/>
      <w:r w:rsidRPr="464C3A2F">
        <w:rPr>
          <w:rFonts w:ascii="MetaPro-Norm" w:hAnsi="MetaPro-Norm"/>
        </w:rPr>
        <w:t>Bandoro</w:t>
      </w:r>
      <w:proofErr w:type="spellEnd"/>
      <w:r w:rsidRPr="464C3A2F">
        <w:rPr>
          <w:rFonts w:ascii="MetaPro-Norm" w:hAnsi="MetaPro-Norm"/>
        </w:rPr>
        <w:t xml:space="preserve">, forcing thousands of people to flee. Survivors told Human Rights Watch that at least three older people with disabilities could not flee on their own and family members could </w:t>
      </w:r>
      <w:r w:rsidR="001E52CF">
        <w:rPr>
          <w:rFonts w:ascii="MetaPro-Norm" w:hAnsi="MetaPro-Norm"/>
        </w:rPr>
        <w:t xml:space="preserve">not </w:t>
      </w:r>
      <w:r w:rsidRPr="464C3A2F">
        <w:rPr>
          <w:rFonts w:ascii="MetaPro-Norm" w:hAnsi="MetaPro-Norm"/>
        </w:rPr>
        <w:t>assist in their flight.</w:t>
      </w:r>
      <w:r w:rsidR="000C5B1C">
        <w:rPr>
          <w:rStyle w:val="FootnoteReference"/>
          <w:rFonts w:ascii="MetaPro-Norm" w:hAnsi="MetaPro-Norm"/>
        </w:rPr>
        <w:footnoteReference w:id="41"/>
      </w:r>
      <w:r w:rsidRPr="464C3A2F">
        <w:rPr>
          <w:rFonts w:ascii="MetaPro-Norm" w:hAnsi="MetaPro-Norm"/>
        </w:rPr>
        <w:t xml:space="preserve"> </w:t>
      </w:r>
    </w:p>
    <w:p w14:paraId="418B037C" w14:textId="3728D83C" w:rsidR="0013699E" w:rsidRDefault="00DF727B" w:rsidP="00195193">
      <w:pPr>
        <w:rPr>
          <w:rFonts w:ascii="MetaPro-Norm" w:hAnsi="MetaPro-Norm"/>
        </w:rPr>
      </w:pPr>
      <w:r>
        <w:rPr>
          <w:rFonts w:ascii="MetaPro-Norm" w:hAnsi="MetaPro-Norm"/>
        </w:rPr>
        <w:t xml:space="preserve">Although older </w:t>
      </w:r>
      <w:r w:rsidR="008253FE">
        <w:rPr>
          <w:rFonts w:ascii="MetaPro-Norm" w:hAnsi="MetaPro-Norm"/>
        </w:rPr>
        <w:t xml:space="preserve">persons with disabilities </w:t>
      </w:r>
      <w:r>
        <w:rPr>
          <w:rFonts w:ascii="MetaPro-Norm" w:hAnsi="MetaPro-Norm"/>
        </w:rPr>
        <w:t>are protected by international</w:t>
      </w:r>
      <w:r w:rsidR="00EA3367">
        <w:rPr>
          <w:rFonts w:ascii="MetaPro-Norm" w:hAnsi="MetaPro-Norm"/>
        </w:rPr>
        <w:t xml:space="preserve"> </w:t>
      </w:r>
      <w:r w:rsidR="00B9674D">
        <w:rPr>
          <w:rFonts w:ascii="MetaPro-Norm" w:hAnsi="MetaPro-Norm"/>
        </w:rPr>
        <w:t xml:space="preserve">humanitarian law and international human rights law during armed conflict, in practice their </w:t>
      </w:r>
      <w:r w:rsidR="008615E3">
        <w:rPr>
          <w:rFonts w:ascii="MetaPro-Norm" w:hAnsi="MetaPro-Norm"/>
        </w:rPr>
        <w:t xml:space="preserve">rights </w:t>
      </w:r>
      <w:r w:rsidR="00B9674D">
        <w:rPr>
          <w:rFonts w:ascii="MetaPro-Norm" w:hAnsi="MetaPro-Norm"/>
        </w:rPr>
        <w:t xml:space="preserve">and </w:t>
      </w:r>
      <w:r w:rsidR="004C3A70">
        <w:rPr>
          <w:rFonts w:ascii="MetaPro-Norm" w:hAnsi="MetaPro-Norm"/>
        </w:rPr>
        <w:t>needs</w:t>
      </w:r>
      <w:r w:rsidR="00B9674D">
        <w:rPr>
          <w:rFonts w:ascii="MetaPro-Norm" w:hAnsi="MetaPro-Norm"/>
        </w:rPr>
        <w:t xml:space="preserve"> are often disregarded by </w:t>
      </w:r>
      <w:r w:rsidR="0013699E">
        <w:rPr>
          <w:rFonts w:ascii="MetaPro-Norm" w:hAnsi="MetaPro-Norm"/>
        </w:rPr>
        <w:t xml:space="preserve">the </w:t>
      </w:r>
      <w:r w:rsidR="006755ED">
        <w:rPr>
          <w:rFonts w:ascii="MetaPro-Norm" w:hAnsi="MetaPro-Norm"/>
        </w:rPr>
        <w:t xml:space="preserve">parties to </w:t>
      </w:r>
      <w:r w:rsidR="0013699E">
        <w:rPr>
          <w:rFonts w:ascii="MetaPro-Norm" w:hAnsi="MetaPro-Norm"/>
        </w:rPr>
        <w:t>the</w:t>
      </w:r>
      <w:r w:rsidR="006755ED">
        <w:rPr>
          <w:rFonts w:ascii="MetaPro-Norm" w:hAnsi="MetaPro-Norm"/>
        </w:rPr>
        <w:t xml:space="preserve"> conflict. </w:t>
      </w:r>
    </w:p>
    <w:p w14:paraId="4022087A" w14:textId="471330C0" w:rsidR="00EE2335" w:rsidRPr="00BA2CF0" w:rsidRDefault="00EE2335" w:rsidP="00BA2CF0">
      <w:pPr>
        <w:pStyle w:val="ListParagraph"/>
        <w:numPr>
          <w:ilvl w:val="0"/>
          <w:numId w:val="12"/>
        </w:numPr>
        <w:rPr>
          <w:rFonts w:ascii="MetaPro-Norm" w:hAnsi="MetaPro-Norm"/>
          <w:i/>
          <w:iCs/>
        </w:rPr>
      </w:pPr>
      <w:r w:rsidRPr="00BA2CF0">
        <w:rPr>
          <w:rFonts w:ascii="MetaPro-Norm" w:hAnsi="MetaPro-Norm"/>
          <w:i/>
          <w:iCs/>
        </w:rPr>
        <w:t>Internally displaced persons</w:t>
      </w:r>
      <w:r w:rsidR="00015B35" w:rsidRPr="00BA2CF0">
        <w:rPr>
          <w:rFonts w:ascii="MetaPro-Norm" w:hAnsi="MetaPro-Norm"/>
          <w:i/>
          <w:iCs/>
        </w:rPr>
        <w:t>, asylum</w:t>
      </w:r>
      <w:r w:rsidR="0013699E" w:rsidRPr="00BA2CF0">
        <w:rPr>
          <w:rFonts w:ascii="MetaPro-Norm" w:hAnsi="MetaPro-Norm"/>
          <w:i/>
          <w:iCs/>
        </w:rPr>
        <w:t xml:space="preserve"> </w:t>
      </w:r>
      <w:r w:rsidR="00015B35" w:rsidRPr="00BA2CF0">
        <w:rPr>
          <w:rFonts w:ascii="MetaPro-Norm" w:hAnsi="MetaPro-Norm"/>
          <w:i/>
          <w:iCs/>
        </w:rPr>
        <w:t>seek</w:t>
      </w:r>
      <w:r w:rsidR="0013699E" w:rsidRPr="00BA2CF0">
        <w:rPr>
          <w:rFonts w:ascii="MetaPro-Norm" w:hAnsi="MetaPro-Norm"/>
          <w:i/>
          <w:iCs/>
        </w:rPr>
        <w:t>ers</w:t>
      </w:r>
      <w:r w:rsidR="00015B35" w:rsidRPr="00BA2CF0">
        <w:rPr>
          <w:rFonts w:ascii="MetaPro-Norm" w:hAnsi="MetaPro-Norm"/>
          <w:i/>
          <w:iCs/>
        </w:rPr>
        <w:t xml:space="preserve"> and refugee</w:t>
      </w:r>
      <w:r w:rsidR="0013699E" w:rsidRPr="00BA2CF0">
        <w:rPr>
          <w:rFonts w:ascii="MetaPro-Norm" w:hAnsi="MetaPro-Norm"/>
          <w:i/>
          <w:iCs/>
        </w:rPr>
        <w:t>s</w:t>
      </w:r>
      <w:r w:rsidR="00015B35" w:rsidRPr="00BA2CF0">
        <w:rPr>
          <w:rFonts w:ascii="MetaPro-Norm" w:hAnsi="MetaPro-Norm"/>
          <w:i/>
          <w:iCs/>
        </w:rPr>
        <w:t xml:space="preserve"> with disabilities</w:t>
      </w:r>
    </w:p>
    <w:p w14:paraId="0D1E2252" w14:textId="6D771B62" w:rsidR="00C0585A" w:rsidRDefault="1AA70175" w:rsidP="00195193">
      <w:pPr>
        <w:rPr>
          <w:rFonts w:ascii="MetaPro-Norm" w:hAnsi="MetaPro-Norm"/>
        </w:rPr>
      </w:pPr>
      <w:r>
        <w:rPr>
          <w:rFonts w:ascii="MetaPro-Norm" w:hAnsi="MetaPro-Norm"/>
        </w:rPr>
        <w:t xml:space="preserve">People with disabilities who become internally displaced due to natural disasters </w:t>
      </w:r>
      <w:r w:rsidR="66A06D89">
        <w:rPr>
          <w:rFonts w:ascii="MetaPro-Norm" w:hAnsi="MetaPro-Norm"/>
        </w:rPr>
        <w:t xml:space="preserve">in humanitarian settings are often overlooked in </w:t>
      </w:r>
      <w:r w:rsidR="0013699E">
        <w:rPr>
          <w:rFonts w:ascii="MetaPro-Norm" w:hAnsi="MetaPro-Norm"/>
        </w:rPr>
        <w:t xml:space="preserve">the </w:t>
      </w:r>
      <w:r w:rsidR="66A06D89">
        <w:rPr>
          <w:rFonts w:ascii="MetaPro-Norm" w:hAnsi="MetaPro-Norm"/>
        </w:rPr>
        <w:t>humanitarian response.</w:t>
      </w:r>
      <w:r w:rsidR="00426F1E">
        <w:rPr>
          <w:rStyle w:val="FootnoteReference"/>
          <w:rFonts w:ascii="MetaPro-Norm" w:hAnsi="MetaPro-Norm"/>
        </w:rPr>
        <w:footnoteReference w:id="42"/>
      </w:r>
      <w:r w:rsidR="66A06D89">
        <w:rPr>
          <w:rFonts w:ascii="MetaPro-Norm" w:hAnsi="MetaPro-Norm"/>
        </w:rPr>
        <w:t xml:space="preserve"> </w:t>
      </w:r>
      <w:r w:rsidR="2B4EAC9B">
        <w:rPr>
          <w:rFonts w:ascii="MetaPro-Norm" w:hAnsi="MetaPro-Norm"/>
        </w:rPr>
        <w:t xml:space="preserve">In June 2022 in eastern Afghanistan, an earthquake killed at least 1,000 people, compounding the </w:t>
      </w:r>
      <w:r w:rsidR="183B5F4A">
        <w:rPr>
          <w:rFonts w:ascii="MetaPro-Norm" w:hAnsi="MetaPro-Norm"/>
        </w:rPr>
        <w:t>humanitarian crisis since the takeover by the Taliban in August 2021. Afghanistan is prone to earthquakes, with estimates</w:t>
      </w:r>
      <w:r w:rsidR="6FC1E084">
        <w:rPr>
          <w:rFonts w:ascii="MetaPro-Norm" w:hAnsi="MetaPro-Norm"/>
        </w:rPr>
        <w:t xml:space="preserve"> of</w:t>
      </w:r>
      <w:r w:rsidR="183B5F4A">
        <w:rPr>
          <w:rFonts w:ascii="MetaPro-Norm" w:hAnsi="MetaPro-Norm"/>
        </w:rPr>
        <w:t xml:space="preserve"> over 7,000 people </w:t>
      </w:r>
      <w:r w:rsidR="6FC1E084">
        <w:rPr>
          <w:rFonts w:ascii="MetaPro-Norm" w:hAnsi="MetaPro-Norm"/>
        </w:rPr>
        <w:t xml:space="preserve">killed in the past decade. Food insecurity and malnutrition </w:t>
      </w:r>
      <w:r w:rsidR="3EEEC007">
        <w:rPr>
          <w:rFonts w:ascii="MetaPro-Norm" w:hAnsi="MetaPro-Norm"/>
        </w:rPr>
        <w:t xml:space="preserve">had already affected Afghanistan prior to the </w:t>
      </w:r>
      <w:proofErr w:type="gramStart"/>
      <w:r w:rsidR="3EEEC007">
        <w:rPr>
          <w:rFonts w:ascii="MetaPro-Norm" w:hAnsi="MetaPro-Norm"/>
        </w:rPr>
        <w:t>earthquake, but</w:t>
      </w:r>
      <w:proofErr w:type="gramEnd"/>
      <w:r w:rsidR="3EEEC007">
        <w:rPr>
          <w:rFonts w:ascii="MetaPro-Norm" w:hAnsi="MetaPro-Norm"/>
        </w:rPr>
        <w:t xml:space="preserve"> </w:t>
      </w:r>
      <w:r w:rsidR="29E9388A">
        <w:rPr>
          <w:rFonts w:ascii="MetaPro-Norm" w:hAnsi="MetaPro-Norm"/>
        </w:rPr>
        <w:t>has no</w:t>
      </w:r>
      <w:r w:rsidR="2BE78EB4">
        <w:rPr>
          <w:rFonts w:ascii="MetaPro-Norm" w:hAnsi="MetaPro-Norm"/>
        </w:rPr>
        <w:t xml:space="preserve">w </w:t>
      </w:r>
      <w:r w:rsidR="29E9388A">
        <w:rPr>
          <w:rFonts w:ascii="MetaPro-Norm" w:hAnsi="MetaPro-Norm"/>
        </w:rPr>
        <w:t xml:space="preserve">become a matter of even greater urgency. </w:t>
      </w:r>
    </w:p>
    <w:p w14:paraId="7F40408A" w14:textId="40BD97F7" w:rsidR="00FD0290" w:rsidRPr="00C0585A" w:rsidRDefault="00FD0290" w:rsidP="00195193">
      <w:pPr>
        <w:rPr>
          <w:rFonts w:ascii="MetaPro-Norm" w:hAnsi="MetaPro-Norm"/>
        </w:rPr>
      </w:pPr>
      <w:r>
        <w:rPr>
          <w:rFonts w:ascii="MetaPro-Norm" w:hAnsi="MetaPro-Norm"/>
        </w:rPr>
        <w:t>People with disabilities often face barriers to accessing humanitarian support, such as food, sanitation, and medical assistance</w:t>
      </w:r>
      <w:r w:rsidR="00461346">
        <w:rPr>
          <w:rFonts w:ascii="MetaPro-Norm" w:hAnsi="MetaPro-Norm"/>
        </w:rPr>
        <w:t xml:space="preserve">, although they are often deemed as an at-risk group. </w:t>
      </w:r>
      <w:r w:rsidR="00EA6DB8">
        <w:rPr>
          <w:rFonts w:ascii="MetaPro-Norm" w:hAnsi="MetaPro-Norm"/>
        </w:rPr>
        <w:t>In Afghanistan, post-earthquake data on the humanitarian needs of people with disabilities is lacking and many have already been left out of the delivery of aid.</w:t>
      </w:r>
    </w:p>
    <w:p w14:paraId="3D80B8F7" w14:textId="0D6CDCE7" w:rsidR="00AC292E" w:rsidRDefault="00AC292E"/>
    <w:sectPr w:rsidR="00AC29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1E54" w14:textId="77777777" w:rsidR="006014CF" w:rsidRDefault="006014CF" w:rsidP="00BB33A3">
      <w:pPr>
        <w:spacing w:after="0" w:line="240" w:lineRule="auto"/>
      </w:pPr>
      <w:r>
        <w:separator/>
      </w:r>
    </w:p>
  </w:endnote>
  <w:endnote w:type="continuationSeparator" w:id="0">
    <w:p w14:paraId="0ADEDA29" w14:textId="77777777" w:rsidR="006014CF" w:rsidRDefault="006014CF" w:rsidP="00BB33A3">
      <w:pPr>
        <w:spacing w:after="0" w:line="240" w:lineRule="auto"/>
      </w:pPr>
      <w:r>
        <w:continuationSeparator/>
      </w:r>
    </w:p>
  </w:endnote>
  <w:endnote w:type="continuationNotice" w:id="1">
    <w:p w14:paraId="764189E6" w14:textId="77777777" w:rsidR="006014CF" w:rsidRDefault="00601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Norm">
    <w:panose1 w:val="00000000000000000000"/>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taPro-Medi">
    <w:panose1 w:val="00000000000000000000"/>
    <w:charset w:val="00"/>
    <w:family w:val="swiss"/>
    <w:notTrueType/>
    <w:pitch w:val="variable"/>
    <w:sig w:usb0="A00002F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aPro-Norm" w:hAnsi="MetaPro-Norm"/>
      </w:rPr>
      <w:id w:val="-402448330"/>
      <w:docPartObj>
        <w:docPartGallery w:val="Page Numbers (Bottom of Page)"/>
        <w:docPartUnique/>
      </w:docPartObj>
    </w:sdtPr>
    <w:sdtEndPr>
      <w:rPr>
        <w:noProof/>
      </w:rPr>
    </w:sdtEndPr>
    <w:sdtContent>
      <w:p w14:paraId="7F8FC47B" w14:textId="0EAF3E9F" w:rsidR="00B62FEF" w:rsidRPr="00B62FEF" w:rsidRDefault="00B62FEF">
        <w:pPr>
          <w:pStyle w:val="Footer"/>
          <w:jc w:val="center"/>
          <w:rPr>
            <w:rFonts w:ascii="MetaPro-Norm" w:hAnsi="MetaPro-Norm"/>
          </w:rPr>
        </w:pPr>
        <w:r w:rsidRPr="00B62FEF">
          <w:rPr>
            <w:rFonts w:ascii="MetaPro-Norm" w:hAnsi="MetaPro-Norm"/>
          </w:rPr>
          <w:fldChar w:fldCharType="begin"/>
        </w:r>
        <w:r w:rsidRPr="00B62FEF">
          <w:rPr>
            <w:rFonts w:ascii="MetaPro-Norm" w:hAnsi="MetaPro-Norm"/>
          </w:rPr>
          <w:instrText xml:space="preserve"> PAGE   \* MERGEFORMAT </w:instrText>
        </w:r>
        <w:r w:rsidRPr="00B62FEF">
          <w:rPr>
            <w:rFonts w:ascii="MetaPro-Norm" w:hAnsi="MetaPro-Norm"/>
          </w:rPr>
          <w:fldChar w:fldCharType="separate"/>
        </w:r>
        <w:r w:rsidRPr="00B62FEF">
          <w:rPr>
            <w:rFonts w:ascii="MetaPro-Norm" w:hAnsi="MetaPro-Norm"/>
            <w:noProof/>
          </w:rPr>
          <w:t>2</w:t>
        </w:r>
        <w:r w:rsidRPr="00B62FEF">
          <w:rPr>
            <w:rFonts w:ascii="MetaPro-Norm" w:hAnsi="MetaPro-Norm"/>
            <w:noProof/>
          </w:rPr>
          <w:fldChar w:fldCharType="end"/>
        </w:r>
      </w:p>
    </w:sdtContent>
  </w:sdt>
  <w:p w14:paraId="3E10AB94" w14:textId="77777777" w:rsidR="00B62FEF" w:rsidRPr="00B62FEF" w:rsidRDefault="00B62FEF">
    <w:pPr>
      <w:pStyle w:val="Footer"/>
      <w:rPr>
        <w:rFonts w:ascii="MetaPro-Norm" w:hAnsi="MetaPro-Nor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37D5" w14:textId="77777777" w:rsidR="006014CF" w:rsidRDefault="006014CF" w:rsidP="00BB33A3">
      <w:pPr>
        <w:spacing w:after="0" w:line="240" w:lineRule="auto"/>
      </w:pPr>
      <w:r>
        <w:separator/>
      </w:r>
    </w:p>
  </w:footnote>
  <w:footnote w:type="continuationSeparator" w:id="0">
    <w:p w14:paraId="2B8D81DC" w14:textId="77777777" w:rsidR="006014CF" w:rsidRDefault="006014CF" w:rsidP="00BB33A3">
      <w:pPr>
        <w:spacing w:after="0" w:line="240" w:lineRule="auto"/>
      </w:pPr>
      <w:r>
        <w:continuationSeparator/>
      </w:r>
    </w:p>
  </w:footnote>
  <w:footnote w:type="continuationNotice" w:id="1">
    <w:p w14:paraId="2F77542C" w14:textId="77777777" w:rsidR="006014CF" w:rsidRDefault="006014CF">
      <w:pPr>
        <w:spacing w:after="0" w:line="240" w:lineRule="auto"/>
      </w:pPr>
    </w:p>
  </w:footnote>
  <w:footnote w:id="2">
    <w:p w14:paraId="271F8901" w14:textId="5EC342E1" w:rsidR="00187C47" w:rsidRPr="00187C47" w:rsidRDefault="00187C47">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Pr>
          <w:rFonts w:ascii="MetaPro-Norm" w:hAnsi="MetaPro-Norm"/>
          <w:sz w:val="16"/>
          <w:szCs w:val="16"/>
        </w:rPr>
        <w:t xml:space="preserve">United Nations Office </w:t>
      </w:r>
      <w:r w:rsidR="00603474">
        <w:rPr>
          <w:rFonts w:ascii="MetaPro-Norm" w:hAnsi="MetaPro-Norm"/>
          <w:sz w:val="16"/>
          <w:szCs w:val="16"/>
        </w:rPr>
        <w:t xml:space="preserve">of the High Commissioner for Human Rights, “Call for Input: Day of General Discussion and Call for Written Submission on Article 11 of the Convention,” </w:t>
      </w:r>
      <w:r w:rsidR="00580FED">
        <w:rPr>
          <w:rFonts w:ascii="MetaPro-Norm" w:hAnsi="MetaPro-Norm"/>
          <w:sz w:val="16"/>
          <w:szCs w:val="16"/>
        </w:rPr>
        <w:t xml:space="preserve">undated, </w:t>
      </w:r>
      <w:r w:rsidR="00DD6327" w:rsidRPr="00DD6327">
        <w:rPr>
          <w:rFonts w:ascii="MetaPro-Norm" w:hAnsi="MetaPro-Norm"/>
          <w:sz w:val="16"/>
          <w:szCs w:val="16"/>
        </w:rPr>
        <w:t>https://www.ohchr.org/en/calls-for-input/2023/day-general-discussion-and-call-written-submissions-article-11-convention</w:t>
      </w:r>
      <w:r w:rsidR="00DD6327">
        <w:rPr>
          <w:rFonts w:ascii="MetaPro-Norm" w:hAnsi="MetaPro-Norm"/>
          <w:sz w:val="16"/>
          <w:szCs w:val="16"/>
        </w:rPr>
        <w:t>.</w:t>
      </w:r>
    </w:p>
  </w:footnote>
  <w:footnote w:id="3">
    <w:p w14:paraId="669F3FDD" w14:textId="6DEE9363" w:rsidR="00FD4DDB" w:rsidRPr="00187C47" w:rsidRDefault="00FD4DDB">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For more information on Human Rights Watch’s reporting on people with disabilities, please see: https://www.hrw.org/topic/disability-rights.</w:t>
      </w:r>
    </w:p>
  </w:footnote>
  <w:footnote w:id="4">
    <w:p w14:paraId="5E2DCB14" w14:textId="798E7F30" w:rsidR="00924712" w:rsidRPr="00187C47" w:rsidRDefault="00924712">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1A3594" w:rsidRPr="00187C47">
        <w:rPr>
          <w:rFonts w:ascii="MetaPro-Norm" w:hAnsi="MetaPro-Norm"/>
          <w:sz w:val="16"/>
          <w:szCs w:val="16"/>
        </w:rPr>
        <w:t>UN Convention on the Rights of Persons with Disabilities (CRPD), General Assembly Resolution 61/106, Annex I, UN GAOR, 61st Session, Supp. (No. 49) at 65, UN Doc. A/61/49 (2006), December 2006 (entered into force 3 May 2008), arts. 4 and 11.</w:t>
      </w:r>
    </w:p>
  </w:footnote>
  <w:footnote w:id="5">
    <w:p w14:paraId="08EA231B" w14:textId="53FBDEF3" w:rsidR="00365877" w:rsidRPr="00187C47" w:rsidRDefault="00365877">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DF09BD" w:rsidRPr="00187C47">
        <w:rPr>
          <w:rFonts w:ascii="MetaPro-Norm" w:hAnsi="MetaPro-Norm"/>
          <w:sz w:val="16"/>
          <w:szCs w:val="16"/>
        </w:rPr>
        <w:t>Geneva</w:t>
      </w:r>
      <w:r w:rsidR="00931B59" w:rsidRPr="00187C47">
        <w:rPr>
          <w:rFonts w:ascii="MetaPro-Norm" w:hAnsi="MetaPro-Norm"/>
          <w:sz w:val="16"/>
          <w:szCs w:val="16"/>
        </w:rPr>
        <w:t xml:space="preserve"> Convention for the Amelioration of the Condition of the Wounded and Sick in Armed Forces in the Field, adopted August 12, 1949, 75 U.N.T.S. 31, entered into force October 21, 1950</w:t>
      </w:r>
      <w:r w:rsidR="009C4994" w:rsidRPr="00187C47">
        <w:rPr>
          <w:rFonts w:ascii="MetaPro-Norm" w:hAnsi="MetaPro-Norm"/>
          <w:sz w:val="16"/>
          <w:szCs w:val="16"/>
        </w:rPr>
        <w:t xml:space="preserve">, art. </w:t>
      </w:r>
      <w:r w:rsidR="00E374CA" w:rsidRPr="00187C47">
        <w:rPr>
          <w:rFonts w:ascii="MetaPro-Norm" w:hAnsi="MetaPro-Norm"/>
          <w:sz w:val="16"/>
          <w:szCs w:val="16"/>
        </w:rPr>
        <w:t>2.</w:t>
      </w:r>
    </w:p>
  </w:footnote>
  <w:footnote w:id="6">
    <w:p w14:paraId="3CB7B677" w14:textId="23BE683F" w:rsidR="00A34959" w:rsidRPr="00187C47" w:rsidRDefault="00A34959">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Universal Declaration of Human Rights (UDHR), adopted December 10, 1948, G.A. Res. 217A(III), U.N. Doc. A/810 at 71 (1948); </w:t>
      </w:r>
      <w:r w:rsidR="00B86964" w:rsidRPr="00187C47">
        <w:rPr>
          <w:rFonts w:ascii="MetaPro-Norm" w:hAnsi="MetaPro-Norm"/>
          <w:sz w:val="16"/>
          <w:szCs w:val="16"/>
        </w:rPr>
        <w:t>International Covenant on Economic, Social and Cultural Rights (ICESCR), adopted December 16, 1966, G.A. Res. 2200A (XXI), 21 U.N. GAOR Supp. (No. 16) at 49, U.N. Doc. A/6316 (1966), 993 U.N.T.S. 3, entered into force January 3, 1976; and the International Covenant on Civil and Political Rights (ICCPR), adopted December 16, 1966, G.A. Res. 2200A (XXI), 21 U.N. GAOR Supp. (No. 16) at 52, U.N. Doc. A/6316 (1966), 999 U.N.T.S. 171, entered into force March 23, 1976.</w:t>
      </w:r>
    </w:p>
  </w:footnote>
  <w:footnote w:id="7">
    <w:p w14:paraId="2D2617BC" w14:textId="2E9DC04E" w:rsidR="00B678C8" w:rsidRPr="00187C47" w:rsidRDefault="00B678C8">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DE159E" w:rsidRPr="00187C47">
        <w:rPr>
          <w:rFonts w:ascii="MetaPro-Norm" w:hAnsi="MetaPro-Norm"/>
          <w:sz w:val="16"/>
          <w:szCs w:val="16"/>
        </w:rPr>
        <w:t>Human Rights Watch</w:t>
      </w:r>
      <w:r w:rsidR="00B20221" w:rsidRPr="00187C47">
        <w:rPr>
          <w:rFonts w:ascii="MetaPro-Norm" w:hAnsi="MetaPro-Norm"/>
          <w:sz w:val="16"/>
          <w:szCs w:val="16"/>
        </w:rPr>
        <w:t>,</w:t>
      </w:r>
      <w:r w:rsidR="006C3480" w:rsidRPr="00187C47">
        <w:rPr>
          <w:rFonts w:ascii="MetaPro-Norm" w:hAnsi="MetaPro-Norm"/>
          <w:sz w:val="16"/>
          <w:szCs w:val="16"/>
        </w:rPr>
        <w:t xml:space="preserve"> </w:t>
      </w:r>
      <w:r w:rsidR="006C3480" w:rsidRPr="00187C47">
        <w:rPr>
          <w:rFonts w:ascii="MetaPro-Norm" w:hAnsi="MetaPro-Norm"/>
          <w:i/>
          <w:iCs/>
          <w:sz w:val="16"/>
          <w:szCs w:val="16"/>
        </w:rPr>
        <w:t>It Was Really Hard to Protect Myself: Impact of Armed Conflict in Syria on Children with Disabiliti</w:t>
      </w:r>
      <w:r w:rsidR="002B100A" w:rsidRPr="00187C47">
        <w:rPr>
          <w:rFonts w:ascii="MetaPro-Norm" w:hAnsi="MetaPro-Norm"/>
          <w:i/>
          <w:iCs/>
          <w:sz w:val="16"/>
          <w:szCs w:val="16"/>
        </w:rPr>
        <w:t>es</w:t>
      </w:r>
      <w:r w:rsidR="002B100A" w:rsidRPr="00187C47">
        <w:rPr>
          <w:rFonts w:ascii="MetaPro-Norm" w:hAnsi="MetaPro-Norm"/>
          <w:sz w:val="16"/>
          <w:szCs w:val="16"/>
        </w:rPr>
        <w:t xml:space="preserve"> (Human Rights Watch</w:t>
      </w:r>
      <w:r w:rsidR="0049646E" w:rsidRPr="00187C47">
        <w:rPr>
          <w:rFonts w:ascii="MetaPro-Norm" w:hAnsi="MetaPro-Norm"/>
          <w:sz w:val="16"/>
          <w:szCs w:val="16"/>
        </w:rPr>
        <w:t>, 2022</w:t>
      </w:r>
      <w:r w:rsidR="002B100A" w:rsidRPr="00187C47">
        <w:rPr>
          <w:rFonts w:ascii="MetaPro-Norm" w:hAnsi="MetaPro-Norm"/>
          <w:sz w:val="16"/>
          <w:szCs w:val="16"/>
        </w:rPr>
        <w:t>)</w:t>
      </w:r>
      <w:r w:rsidR="0049646E" w:rsidRPr="00187C47">
        <w:rPr>
          <w:rFonts w:ascii="MetaPro-Norm" w:hAnsi="MetaPro-Norm"/>
          <w:sz w:val="16"/>
          <w:szCs w:val="16"/>
        </w:rPr>
        <w:t>,</w:t>
      </w:r>
      <w:r w:rsidR="00B20221" w:rsidRPr="00187C47">
        <w:rPr>
          <w:rFonts w:ascii="MetaPro-Norm" w:hAnsi="MetaPro-Norm"/>
          <w:sz w:val="16"/>
          <w:szCs w:val="16"/>
        </w:rPr>
        <w:t xml:space="preserve"> </w:t>
      </w:r>
      <w:r w:rsidR="00D937D9" w:rsidRPr="00187C47">
        <w:rPr>
          <w:rFonts w:ascii="MetaPro-Norm" w:hAnsi="MetaPro-Norm"/>
          <w:sz w:val="16"/>
          <w:szCs w:val="16"/>
        </w:rPr>
        <w:t xml:space="preserve">https://www.hrw.org/report/2022/09/08/it-was-really-hard-protect-myself/impact-armed-conflict-syria-children; </w:t>
      </w:r>
      <w:r w:rsidR="00C32AB0">
        <w:rPr>
          <w:rFonts w:ascii="MetaPro-Norm" w:hAnsi="MetaPro-Norm"/>
          <w:sz w:val="16"/>
          <w:szCs w:val="16"/>
        </w:rPr>
        <w:t xml:space="preserve">and </w:t>
      </w:r>
      <w:r w:rsidR="00D937D9" w:rsidRPr="00187C47">
        <w:rPr>
          <w:rFonts w:ascii="MetaPro-Norm" w:hAnsi="MetaPro-Norm"/>
          <w:sz w:val="16"/>
          <w:szCs w:val="16"/>
        </w:rPr>
        <w:t>“UN: High Risk in Conflicts for Children with Disabilities,” Human Rights Watch news release, February 2, 2022, https://www.hrw.org/news/2022/02/02/un-high-risk-conflicts-children-disabilities.</w:t>
      </w:r>
    </w:p>
  </w:footnote>
  <w:footnote w:id="8">
    <w:p w14:paraId="4B6BCA65" w14:textId="7C342627" w:rsidR="003E1BC9" w:rsidRPr="00187C47" w:rsidRDefault="003E1BC9" w:rsidP="003E1BC9">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C91098" w:rsidRPr="00187C47">
        <w:rPr>
          <w:rFonts w:ascii="MetaPro-Norm" w:hAnsi="MetaPro-Norm"/>
          <w:sz w:val="16"/>
          <w:szCs w:val="16"/>
        </w:rPr>
        <w:t>Ibid.</w:t>
      </w:r>
    </w:p>
  </w:footnote>
  <w:footnote w:id="9">
    <w:p w14:paraId="32470E95" w14:textId="66242F07" w:rsidR="00E21B78" w:rsidRPr="00187C47" w:rsidRDefault="00E21B78">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D8529C" w:rsidRPr="00187C47">
        <w:rPr>
          <w:rFonts w:ascii="MetaPro-Norm" w:hAnsi="MetaPro-Norm"/>
          <w:sz w:val="16"/>
          <w:szCs w:val="16"/>
        </w:rPr>
        <w:t>United Nations Office of the Special Representative of the Secretary-General for Children and Armed Conflict, “Study on the Evolution of the Children and Armed Conflict Mandate 1996-2021,” January 2022, https://childrenandarmedconflict.un.org/wp-content/uploads/2022/01/Study-on-the-evolution-of-the-Children-and-Armed-Conflict-mandate-1996-2021.pdf.</w:t>
      </w:r>
    </w:p>
  </w:footnote>
  <w:footnote w:id="10">
    <w:p w14:paraId="01406B6C" w14:textId="77A8B19B" w:rsidR="003E1BC9" w:rsidRPr="00187C47" w:rsidRDefault="003E1BC9" w:rsidP="003E1BC9">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4870B0" w:rsidRPr="00187C47">
        <w:rPr>
          <w:rFonts w:ascii="MetaPro-Norm" w:hAnsi="MetaPro-Norm"/>
          <w:sz w:val="16"/>
          <w:szCs w:val="16"/>
        </w:rPr>
        <w:t xml:space="preserve">Human Rights Watch, </w:t>
      </w:r>
      <w:r w:rsidR="00375E74" w:rsidRPr="00187C47">
        <w:rPr>
          <w:rFonts w:ascii="MetaPro-Norm" w:hAnsi="MetaPro-Norm"/>
          <w:sz w:val="16"/>
          <w:szCs w:val="16"/>
        </w:rPr>
        <w:t>“UN: High Risk in Conflicts for Children with Disabilities</w:t>
      </w:r>
      <w:r w:rsidR="00D937D9" w:rsidRPr="00187C47">
        <w:rPr>
          <w:rFonts w:ascii="MetaPro-Norm" w:hAnsi="MetaPro-Norm"/>
          <w:sz w:val="16"/>
          <w:szCs w:val="16"/>
        </w:rPr>
        <w:t>.</w:t>
      </w:r>
      <w:r w:rsidR="00375E74" w:rsidRPr="00187C47">
        <w:rPr>
          <w:rFonts w:ascii="MetaPro-Norm" w:hAnsi="MetaPro-Norm"/>
          <w:sz w:val="16"/>
          <w:szCs w:val="16"/>
        </w:rPr>
        <w:t>”</w:t>
      </w:r>
    </w:p>
  </w:footnote>
  <w:footnote w:id="11">
    <w:p w14:paraId="0C4CE52E" w14:textId="3C1C634D" w:rsidR="00360599" w:rsidRPr="00187C47" w:rsidRDefault="00360599">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p>
  </w:footnote>
  <w:footnote w:id="12">
    <w:p w14:paraId="0631E917" w14:textId="75243A6D" w:rsidR="00843EFF" w:rsidRPr="00187C47" w:rsidRDefault="00843EFF">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684879" w:rsidRPr="00187C47">
        <w:rPr>
          <w:rFonts w:ascii="MetaPro-Norm" w:hAnsi="MetaPro-Norm"/>
          <w:sz w:val="16"/>
          <w:szCs w:val="16"/>
        </w:rPr>
        <w:t>Geneva Convention (IV) relative to the Protection of Civilian Persons in Time of War</w:t>
      </w:r>
      <w:r w:rsidR="008E64BA" w:rsidRPr="00187C47">
        <w:rPr>
          <w:rFonts w:ascii="MetaPro-Norm" w:hAnsi="MetaPro-Norm"/>
          <w:sz w:val="16"/>
          <w:szCs w:val="16"/>
        </w:rPr>
        <w:t>, adopted August 12</w:t>
      </w:r>
      <w:r w:rsidR="00CA6779" w:rsidRPr="00187C47">
        <w:rPr>
          <w:rFonts w:ascii="MetaPro-Norm" w:hAnsi="MetaPro-Norm"/>
          <w:sz w:val="16"/>
          <w:szCs w:val="16"/>
        </w:rPr>
        <w:t>, 1949, 75</w:t>
      </w:r>
      <w:r w:rsidR="00F00329" w:rsidRPr="00187C47">
        <w:rPr>
          <w:rFonts w:ascii="MetaPro-Norm" w:hAnsi="MetaPro-Norm"/>
          <w:sz w:val="16"/>
          <w:szCs w:val="16"/>
        </w:rPr>
        <w:t xml:space="preserve"> U.N.T.S. 287, entered into force October 21, 1950, </w:t>
      </w:r>
      <w:r w:rsidRPr="00187C47">
        <w:rPr>
          <w:rFonts w:ascii="MetaPro-Norm" w:hAnsi="MetaPro-Norm"/>
          <w:sz w:val="16"/>
          <w:szCs w:val="16"/>
        </w:rPr>
        <w:t xml:space="preserve">arts. </w:t>
      </w:r>
      <w:r w:rsidR="007E2FEF" w:rsidRPr="00187C47">
        <w:rPr>
          <w:rFonts w:ascii="MetaPro-Norm" w:hAnsi="MetaPro-Norm"/>
          <w:sz w:val="16"/>
          <w:szCs w:val="16"/>
        </w:rPr>
        <w:t xml:space="preserve">55, </w:t>
      </w:r>
      <w:r w:rsidR="006E63D9" w:rsidRPr="00187C47">
        <w:rPr>
          <w:rFonts w:ascii="MetaPro-Norm" w:hAnsi="MetaPro-Norm"/>
          <w:sz w:val="16"/>
          <w:szCs w:val="16"/>
        </w:rPr>
        <w:t xml:space="preserve">56, </w:t>
      </w:r>
      <w:r w:rsidR="00853834" w:rsidRPr="00187C47">
        <w:rPr>
          <w:rFonts w:ascii="MetaPro-Norm" w:hAnsi="MetaPro-Norm"/>
          <w:sz w:val="16"/>
          <w:szCs w:val="16"/>
        </w:rPr>
        <w:t xml:space="preserve">59, </w:t>
      </w:r>
      <w:r w:rsidR="00FD3E11" w:rsidRPr="00187C47">
        <w:rPr>
          <w:rFonts w:ascii="MetaPro-Norm" w:hAnsi="MetaPro-Norm"/>
          <w:sz w:val="16"/>
          <w:szCs w:val="16"/>
        </w:rPr>
        <w:t xml:space="preserve">60, </w:t>
      </w:r>
      <w:r w:rsidR="00832991" w:rsidRPr="00187C47">
        <w:rPr>
          <w:rFonts w:ascii="MetaPro-Norm" w:hAnsi="MetaPro-Norm"/>
          <w:sz w:val="16"/>
          <w:szCs w:val="16"/>
        </w:rPr>
        <w:t xml:space="preserve">63, </w:t>
      </w:r>
      <w:r w:rsidR="00FD3E11" w:rsidRPr="00187C47">
        <w:rPr>
          <w:rFonts w:ascii="MetaPro-Norm" w:hAnsi="MetaPro-Norm"/>
          <w:sz w:val="16"/>
          <w:szCs w:val="16"/>
        </w:rPr>
        <w:t xml:space="preserve">and </w:t>
      </w:r>
      <w:r w:rsidRPr="00187C47">
        <w:rPr>
          <w:rFonts w:ascii="MetaPro-Norm" w:hAnsi="MetaPro-Norm"/>
          <w:sz w:val="16"/>
          <w:szCs w:val="16"/>
        </w:rPr>
        <w:t>142</w:t>
      </w:r>
      <w:r w:rsidR="00FD3E11" w:rsidRPr="00187C47">
        <w:rPr>
          <w:rFonts w:ascii="MetaPro-Norm" w:hAnsi="MetaPro-Norm"/>
          <w:sz w:val="16"/>
          <w:szCs w:val="16"/>
        </w:rPr>
        <w:t>.</w:t>
      </w:r>
    </w:p>
  </w:footnote>
  <w:footnote w:id="13">
    <w:p w14:paraId="4DC1D43E" w14:textId="1DB288DD" w:rsidR="005B1541" w:rsidRPr="00187C47" w:rsidRDefault="005B1541" w:rsidP="005B1541">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375E74" w:rsidRPr="00187C47">
        <w:rPr>
          <w:rFonts w:ascii="MetaPro-Norm" w:hAnsi="MetaPro-Norm"/>
          <w:sz w:val="16"/>
          <w:szCs w:val="16"/>
        </w:rPr>
        <w:t xml:space="preserve">Human Rights Watch, </w:t>
      </w:r>
      <w:r w:rsidR="00375E74" w:rsidRPr="00187C47">
        <w:rPr>
          <w:rFonts w:ascii="MetaPro-Norm" w:hAnsi="MetaPro-Norm"/>
          <w:i/>
          <w:iCs/>
          <w:sz w:val="16"/>
          <w:szCs w:val="16"/>
        </w:rPr>
        <w:t>It Was Really Hard to Protect Myself: Impact of Armed Conflict in Syria on Children with Disabilities</w:t>
      </w:r>
      <w:r w:rsidR="000376CD" w:rsidRPr="00187C47">
        <w:rPr>
          <w:rFonts w:ascii="MetaPro-Norm" w:hAnsi="MetaPro-Norm"/>
          <w:sz w:val="16"/>
          <w:szCs w:val="16"/>
        </w:rPr>
        <w:t xml:space="preserve">; </w:t>
      </w:r>
      <w:r w:rsidR="00443D32" w:rsidRPr="00187C47">
        <w:rPr>
          <w:rFonts w:ascii="MetaPro-Norm" w:hAnsi="MetaPro-Norm"/>
          <w:sz w:val="16"/>
          <w:szCs w:val="16"/>
        </w:rPr>
        <w:t xml:space="preserve">and </w:t>
      </w:r>
      <w:r w:rsidR="000376CD" w:rsidRPr="00187C47">
        <w:rPr>
          <w:rFonts w:ascii="MetaPro-Norm" w:hAnsi="MetaPro-Norm"/>
          <w:sz w:val="16"/>
          <w:szCs w:val="16"/>
        </w:rPr>
        <w:t xml:space="preserve">United Nations Office for </w:t>
      </w:r>
      <w:r w:rsidR="00F5084A" w:rsidRPr="00187C47">
        <w:rPr>
          <w:rFonts w:ascii="MetaPro-Norm" w:hAnsi="MetaPro-Norm"/>
          <w:sz w:val="16"/>
          <w:szCs w:val="16"/>
        </w:rPr>
        <w:t>the Coordination of Humanitarian Affairs</w:t>
      </w:r>
      <w:r w:rsidR="005700F8" w:rsidRPr="00187C47">
        <w:rPr>
          <w:rFonts w:ascii="MetaPro-Norm" w:hAnsi="MetaPro-Norm"/>
          <w:sz w:val="16"/>
          <w:szCs w:val="16"/>
        </w:rPr>
        <w:t xml:space="preserve"> (OCHA), “2021 Humanitarian Needs Overview: Syrian Arab Republic,” March 2021, https://reliefweb.int/report/syrian-arab-republic/2021-humanitarian-needs-overview-syrian-arab-republic-march-2021-enar, p. 57.</w:t>
      </w:r>
      <w:r w:rsidR="005700F8" w:rsidRPr="00187C47" w:rsidDel="00375E74">
        <w:rPr>
          <w:rFonts w:ascii="MetaPro-Norm" w:hAnsi="MetaPro-Norm"/>
          <w:sz w:val="16"/>
          <w:szCs w:val="16"/>
        </w:rPr>
        <w:t xml:space="preserve"> </w:t>
      </w:r>
    </w:p>
  </w:footnote>
  <w:footnote w:id="14">
    <w:p w14:paraId="1FF825AB" w14:textId="65393C02" w:rsidR="005B1541" w:rsidRPr="00187C47" w:rsidRDefault="005B1541" w:rsidP="005B1541">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9E7C13" w:rsidRPr="00187C47">
        <w:rPr>
          <w:rFonts w:ascii="MetaPro-Norm" w:hAnsi="MetaPro-Norm"/>
          <w:sz w:val="16"/>
          <w:szCs w:val="16"/>
        </w:rPr>
        <w:t>Ibid</w:t>
      </w:r>
      <w:r w:rsidR="00375E74" w:rsidRPr="00187C47">
        <w:rPr>
          <w:rFonts w:ascii="MetaPro-Norm" w:hAnsi="MetaPro-Norm"/>
          <w:sz w:val="16"/>
          <w:szCs w:val="16"/>
        </w:rPr>
        <w:t>.</w:t>
      </w:r>
    </w:p>
  </w:footnote>
  <w:footnote w:id="15">
    <w:p w14:paraId="17603B4D" w14:textId="5FBFFBA1" w:rsidR="00A40877" w:rsidRPr="00187C47" w:rsidRDefault="00A40877">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375E74" w:rsidRPr="00187C47">
        <w:rPr>
          <w:rFonts w:ascii="MetaPro-Norm" w:hAnsi="MetaPro-Norm"/>
          <w:sz w:val="16"/>
          <w:szCs w:val="16"/>
        </w:rPr>
        <w:t>Ibid.</w:t>
      </w:r>
    </w:p>
  </w:footnote>
  <w:footnote w:id="16">
    <w:p w14:paraId="09E2046B" w14:textId="6DACB656" w:rsidR="00714386" w:rsidRPr="00187C47" w:rsidRDefault="00714386">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7A12BC" w:rsidRPr="00187C47">
        <w:rPr>
          <w:rFonts w:ascii="MetaPro-Norm" w:hAnsi="MetaPro-Norm"/>
          <w:sz w:val="16"/>
          <w:szCs w:val="16"/>
        </w:rPr>
        <w:t>Ibid.</w:t>
      </w:r>
    </w:p>
  </w:footnote>
  <w:footnote w:id="17">
    <w:p w14:paraId="1FF82610" w14:textId="27A67766" w:rsidR="00105788" w:rsidRPr="00187C47" w:rsidRDefault="00105788">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3041AE" w:rsidRPr="00187C47">
        <w:rPr>
          <w:rFonts w:ascii="MetaPro-Norm" w:hAnsi="MetaPro-Norm"/>
          <w:sz w:val="16"/>
          <w:szCs w:val="16"/>
        </w:rPr>
        <w:t>Human Rights Watch, “Gaza: Israeli Restrictions Harm People with Disabilities,” Human Rights Watch news release, December 3, 2020, https://www.hrw.org/news/2020/12/03/gaza-israeli-restrictions-harm-people-disabilities.</w:t>
      </w:r>
    </w:p>
  </w:footnote>
  <w:footnote w:id="18">
    <w:p w14:paraId="3174DC6B" w14:textId="19F3A531" w:rsidR="00AE5969" w:rsidRPr="00187C47" w:rsidRDefault="00505164" w:rsidP="00AE5969">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AE5969" w:rsidRPr="00187C47">
        <w:rPr>
          <w:rFonts w:ascii="MetaPro-Norm" w:hAnsi="MetaPro-Norm"/>
          <w:sz w:val="16"/>
          <w:szCs w:val="16"/>
        </w:rPr>
        <w:t>Human Rights Watch, “Cameroon: People with Disabilities Caught in Crisis,” Human Rights Watch news release, April 5, 2019,</w:t>
      </w:r>
    </w:p>
    <w:p w14:paraId="73390A76" w14:textId="4DCD9413" w:rsidR="00505164" w:rsidRPr="00187C47" w:rsidRDefault="00325CE5" w:rsidP="00AE5969">
      <w:pPr>
        <w:pStyle w:val="FootnoteText"/>
        <w:rPr>
          <w:rFonts w:ascii="MetaPro-Norm" w:hAnsi="MetaPro-Norm"/>
          <w:sz w:val="16"/>
          <w:szCs w:val="16"/>
        </w:rPr>
      </w:pPr>
      <w:r w:rsidRPr="00187C47">
        <w:rPr>
          <w:rFonts w:ascii="MetaPro-Norm" w:hAnsi="MetaPro-Norm"/>
          <w:sz w:val="16"/>
          <w:szCs w:val="16"/>
        </w:rPr>
        <w:t>https://www.hrw.org/news/2019/08/05/cameroon-people-disabilities-caught-crisis; and “Cameroon: Make Humanitarian Response More Inclusive,” Human Rights Watch news release, December 10, 2019, https://www.hrw.org/news/2019/12/10/cameroon-make-humanitarian-response-more-inclusive.</w:t>
      </w:r>
    </w:p>
  </w:footnote>
  <w:footnote w:id="19">
    <w:p w14:paraId="18C8D890" w14:textId="70171E3D" w:rsidR="00F6308F" w:rsidRPr="00187C47" w:rsidRDefault="00F6308F">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p>
  </w:footnote>
  <w:footnote w:id="20">
    <w:p w14:paraId="7FAD4121" w14:textId="28161A7E" w:rsidR="007843F8" w:rsidRPr="00187C47" w:rsidRDefault="007843F8" w:rsidP="007843F8">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AE5969" w:rsidRPr="00187C47">
        <w:rPr>
          <w:rFonts w:ascii="MetaPro-Norm" w:hAnsi="MetaPro-Norm"/>
          <w:sz w:val="16"/>
          <w:szCs w:val="16"/>
        </w:rPr>
        <w:t xml:space="preserve">Human Rights Watch, </w:t>
      </w:r>
      <w:r w:rsidR="00AE5969" w:rsidRPr="00187C47">
        <w:rPr>
          <w:rFonts w:ascii="MetaPro-Norm" w:hAnsi="MetaPro-Norm"/>
          <w:i/>
          <w:iCs/>
          <w:sz w:val="16"/>
          <w:szCs w:val="16"/>
        </w:rPr>
        <w:t>It Was Really Hard to Protect Myself: Impact of Armed Conflict in Syria on Children with Disabilities</w:t>
      </w:r>
      <w:r w:rsidR="00AE5969" w:rsidRPr="00187C47">
        <w:rPr>
          <w:rFonts w:ascii="MetaPro-Norm" w:hAnsi="MetaPro-Norm"/>
          <w:sz w:val="16"/>
          <w:szCs w:val="16"/>
        </w:rPr>
        <w:t>.</w:t>
      </w:r>
    </w:p>
  </w:footnote>
  <w:footnote w:id="21">
    <w:p w14:paraId="0411F015" w14:textId="30872788" w:rsidR="002B1D4D" w:rsidRPr="00187C47" w:rsidRDefault="002B1D4D">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BC1254" w:rsidRPr="00187C47">
        <w:rPr>
          <w:rFonts w:ascii="MetaPro-Norm" w:hAnsi="MetaPro-Norm"/>
          <w:sz w:val="16"/>
          <w:szCs w:val="16"/>
        </w:rPr>
        <w:t>Ibid.</w:t>
      </w:r>
    </w:p>
  </w:footnote>
  <w:footnote w:id="22">
    <w:p w14:paraId="34A89DE1" w14:textId="730328F7" w:rsidR="007843F8" w:rsidRPr="00187C47" w:rsidRDefault="007843F8" w:rsidP="007843F8">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AE5969" w:rsidRPr="00187C47">
        <w:rPr>
          <w:rFonts w:ascii="MetaPro-Norm" w:hAnsi="MetaPro-Norm"/>
          <w:sz w:val="16"/>
          <w:szCs w:val="16"/>
        </w:rPr>
        <w:t>Ibid.</w:t>
      </w:r>
    </w:p>
  </w:footnote>
  <w:footnote w:id="23">
    <w:p w14:paraId="4CF718DE" w14:textId="2A8D3A5B" w:rsidR="008A2874" w:rsidRPr="00187C47" w:rsidRDefault="008A2874">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BD08EA" w:rsidRPr="00187C47">
        <w:rPr>
          <w:rFonts w:ascii="MetaPro-Norm" w:hAnsi="MetaPro-Norm"/>
          <w:sz w:val="16"/>
          <w:szCs w:val="16"/>
        </w:rPr>
        <w:t xml:space="preserve">IASC Task Team on Inclusion of Persons with Disabilities in Humanitarian </w:t>
      </w:r>
      <w:r w:rsidR="00F12B55" w:rsidRPr="00187C47">
        <w:rPr>
          <w:rFonts w:ascii="MetaPro-Norm" w:hAnsi="MetaPro-Norm"/>
          <w:sz w:val="16"/>
          <w:szCs w:val="16"/>
        </w:rPr>
        <w:t>Action</w:t>
      </w:r>
      <w:r w:rsidR="00B122A2" w:rsidRPr="00187C47">
        <w:rPr>
          <w:rFonts w:ascii="MetaPro-Norm" w:hAnsi="MetaPro-Norm"/>
          <w:sz w:val="16"/>
          <w:szCs w:val="16"/>
        </w:rPr>
        <w:t>, “Guidelines</w:t>
      </w:r>
      <w:r w:rsidR="00C40B6E" w:rsidRPr="00187C47">
        <w:rPr>
          <w:rFonts w:ascii="MetaPro-Norm" w:hAnsi="MetaPro-Norm"/>
          <w:sz w:val="16"/>
          <w:szCs w:val="16"/>
        </w:rPr>
        <w:t>: Inclusion of Persons with Disabilities in Humanitarian Action,</w:t>
      </w:r>
      <w:r w:rsidR="00B122A2" w:rsidRPr="00187C47">
        <w:rPr>
          <w:rFonts w:ascii="MetaPro-Norm" w:hAnsi="MetaPro-Norm"/>
          <w:sz w:val="16"/>
          <w:szCs w:val="16"/>
        </w:rPr>
        <w:t>”</w:t>
      </w:r>
      <w:r w:rsidR="00C40B6E" w:rsidRPr="00187C47">
        <w:rPr>
          <w:rFonts w:ascii="MetaPro-Norm" w:hAnsi="MetaPro-Norm"/>
          <w:sz w:val="16"/>
          <w:szCs w:val="16"/>
        </w:rPr>
        <w:t xml:space="preserve"> July 2019, https://interagencystandingcommittee.org/system/files/2020-11/IASC%20Guidelines%20on%20the%20Inclusion%20of%20Persons%20with%20Disabilities%20in%20Humanitarian%20Action%2C%202019_0.pdf.</w:t>
      </w:r>
    </w:p>
  </w:footnote>
  <w:footnote w:id="24">
    <w:p w14:paraId="04AC9F9A" w14:textId="261ABFFB" w:rsidR="004A42CC" w:rsidRPr="00187C47" w:rsidRDefault="004A42CC">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E81569" w:rsidRPr="00187C47">
        <w:rPr>
          <w:rFonts w:ascii="MetaPro-Norm" w:hAnsi="MetaPro-Norm"/>
          <w:sz w:val="16"/>
          <w:szCs w:val="16"/>
        </w:rPr>
        <w:t xml:space="preserve">Eric McDaniel, “Weather Disasters Have Become 5 Times </w:t>
      </w:r>
      <w:proofErr w:type="gramStart"/>
      <w:r w:rsidR="00E81569" w:rsidRPr="00187C47">
        <w:rPr>
          <w:rFonts w:ascii="MetaPro-Norm" w:hAnsi="MetaPro-Norm"/>
          <w:sz w:val="16"/>
          <w:szCs w:val="16"/>
        </w:rPr>
        <w:t>As</w:t>
      </w:r>
      <w:proofErr w:type="gramEnd"/>
      <w:r w:rsidR="00E81569" w:rsidRPr="00187C47">
        <w:rPr>
          <w:rFonts w:ascii="MetaPro-Norm" w:hAnsi="MetaPro-Norm"/>
          <w:sz w:val="16"/>
          <w:szCs w:val="16"/>
        </w:rPr>
        <w:t xml:space="preserve"> Common, Thanks In Part to Climate Change,” September 7, 2021, </w:t>
      </w:r>
      <w:r w:rsidR="000F0C5F" w:rsidRPr="00187C47">
        <w:rPr>
          <w:rFonts w:ascii="MetaPro-Norm" w:hAnsi="MetaPro-Norm"/>
          <w:sz w:val="16"/>
          <w:szCs w:val="16"/>
        </w:rPr>
        <w:t xml:space="preserve">https://www.npr.org/2021/09/07/1034607602/weather-disasters-have-become-five-times-as-common-thanks-in-part-to-climate-cha. </w:t>
      </w:r>
    </w:p>
  </w:footnote>
  <w:footnote w:id="25">
    <w:p w14:paraId="698E554B" w14:textId="78093D46" w:rsidR="000D16FA" w:rsidRPr="00187C47" w:rsidRDefault="000D16FA">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The World Bank, “Climate</w:t>
      </w:r>
      <w:r w:rsidR="00CD0CAC" w:rsidRPr="00187C47">
        <w:rPr>
          <w:rFonts w:ascii="MetaPro-Norm" w:hAnsi="MetaPro-Norm"/>
          <w:sz w:val="16"/>
          <w:szCs w:val="16"/>
        </w:rPr>
        <w:t xml:space="preserve"> Change Could Force 216 </w:t>
      </w:r>
      <w:proofErr w:type="gramStart"/>
      <w:r w:rsidR="00CD0CAC" w:rsidRPr="00187C47">
        <w:rPr>
          <w:rFonts w:ascii="MetaPro-Norm" w:hAnsi="MetaPro-Norm"/>
          <w:sz w:val="16"/>
          <w:szCs w:val="16"/>
        </w:rPr>
        <w:t>Million</w:t>
      </w:r>
      <w:proofErr w:type="gramEnd"/>
      <w:r w:rsidR="00CD0CAC" w:rsidRPr="00187C47">
        <w:rPr>
          <w:rFonts w:ascii="MetaPro-Norm" w:hAnsi="MetaPro-Norm"/>
          <w:sz w:val="16"/>
          <w:szCs w:val="16"/>
        </w:rPr>
        <w:t xml:space="preserve"> People to Migrate Within Their Own Countries by 2050,</w:t>
      </w:r>
      <w:r w:rsidRPr="00187C47">
        <w:rPr>
          <w:rFonts w:ascii="MetaPro-Norm" w:hAnsi="MetaPro-Norm"/>
          <w:sz w:val="16"/>
          <w:szCs w:val="16"/>
        </w:rPr>
        <w:t>”</w:t>
      </w:r>
      <w:r w:rsidR="00CD0CAC" w:rsidRPr="00187C47">
        <w:rPr>
          <w:rFonts w:ascii="MetaPro-Norm" w:hAnsi="MetaPro-Norm"/>
          <w:sz w:val="16"/>
          <w:szCs w:val="16"/>
        </w:rPr>
        <w:t xml:space="preserve"> September 13, 2021, https://www.worldbank.org/en/news/press-release/2021/09/13/climate-change-could-force-216-million-people-to-migrate-within-their-own-countries-by-2050.</w:t>
      </w:r>
    </w:p>
  </w:footnote>
  <w:footnote w:id="26">
    <w:p w14:paraId="1D421015" w14:textId="5B71F8C1" w:rsidR="00586E61" w:rsidRPr="00187C47" w:rsidRDefault="00586E61">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2C6C7A" w:rsidRPr="00187C47">
        <w:rPr>
          <w:rFonts w:ascii="MetaPro-Norm" w:hAnsi="MetaPro-Norm"/>
          <w:sz w:val="16"/>
          <w:szCs w:val="16"/>
        </w:rPr>
        <w:t xml:space="preserve">For more information on Human Rights Watch’s reporting on </w:t>
      </w:r>
      <w:r w:rsidR="00D5281A" w:rsidRPr="00187C47">
        <w:rPr>
          <w:rFonts w:ascii="MetaPro-Norm" w:hAnsi="MetaPro-Norm"/>
          <w:sz w:val="16"/>
          <w:szCs w:val="16"/>
        </w:rPr>
        <w:t>climate change, please see: https://www.hrw.org/topic/environment.</w:t>
      </w:r>
    </w:p>
  </w:footnote>
  <w:footnote w:id="27">
    <w:p w14:paraId="4B61CEC8" w14:textId="0BEF5108" w:rsidR="006E480A" w:rsidRPr="00187C47" w:rsidRDefault="006E480A">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F777EF" w:rsidRPr="00187C47">
        <w:rPr>
          <w:rFonts w:ascii="MetaPro-Norm" w:hAnsi="MetaPro-Norm"/>
          <w:sz w:val="16"/>
          <w:szCs w:val="16"/>
        </w:rPr>
        <w:t xml:space="preserve">Human Rights Watch, </w:t>
      </w:r>
      <w:r w:rsidR="00F777EF" w:rsidRPr="00187C47">
        <w:rPr>
          <w:rFonts w:ascii="MetaPro-Norm" w:hAnsi="MetaPro-Norm"/>
          <w:i/>
          <w:iCs/>
          <w:sz w:val="16"/>
          <w:szCs w:val="16"/>
        </w:rPr>
        <w:t>Leave No One Behind: People with Disabilities in Climate-Related Disasters</w:t>
      </w:r>
      <w:r w:rsidR="00F777EF" w:rsidRPr="00187C47">
        <w:rPr>
          <w:rFonts w:ascii="MetaPro-Norm" w:hAnsi="MetaPro-Norm"/>
          <w:sz w:val="16"/>
          <w:szCs w:val="16"/>
        </w:rPr>
        <w:t xml:space="preserve"> (New York: Human Rights Watch, 2022), </w:t>
      </w:r>
      <w:r w:rsidRPr="00187C47">
        <w:rPr>
          <w:rFonts w:ascii="MetaPro-Norm" w:hAnsi="MetaPro-Norm"/>
          <w:sz w:val="16"/>
          <w:szCs w:val="16"/>
        </w:rPr>
        <w:t>https://www.hrw.org/news/2022/11/07/leave-no-one-behind</w:t>
      </w:r>
      <w:r w:rsidR="00F777EF" w:rsidRPr="00187C47">
        <w:rPr>
          <w:rFonts w:ascii="MetaPro-Norm" w:hAnsi="MetaPro-Norm"/>
          <w:sz w:val="16"/>
          <w:szCs w:val="16"/>
        </w:rPr>
        <w:t>.</w:t>
      </w:r>
    </w:p>
  </w:footnote>
  <w:footnote w:id="28">
    <w:p w14:paraId="6DF25C4D" w14:textId="307357F2" w:rsidR="004A7982" w:rsidRPr="00187C47" w:rsidRDefault="004A7982">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p>
  </w:footnote>
  <w:footnote w:id="29">
    <w:p w14:paraId="47B2043E" w14:textId="76DEE0F3" w:rsidR="00887FA6" w:rsidRPr="00187C47" w:rsidRDefault="00887FA6">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r w:rsidR="00281210" w:rsidRPr="00187C47">
        <w:rPr>
          <w:rFonts w:ascii="MetaPro-Norm" w:hAnsi="MetaPro-Norm"/>
          <w:sz w:val="16"/>
          <w:szCs w:val="16"/>
        </w:rPr>
        <w:t xml:space="preserve"> United Nations Human Rights Council, Report of the Office of the United Nations High Commissioner for Human Rights, Analytical Study on the Promotion</w:t>
      </w:r>
      <w:r w:rsidR="00975AE8" w:rsidRPr="00187C47">
        <w:rPr>
          <w:rFonts w:ascii="MetaPro-Norm" w:hAnsi="MetaPro-Norm"/>
          <w:sz w:val="16"/>
          <w:szCs w:val="16"/>
        </w:rPr>
        <w:t xml:space="preserve"> and Protection of the Rights of Persons with Disabilities in the Context of Climate Change</w:t>
      </w:r>
      <w:r w:rsidR="00F10650" w:rsidRPr="00187C47">
        <w:rPr>
          <w:rFonts w:ascii="MetaPro-Norm" w:hAnsi="MetaPro-Norm"/>
          <w:sz w:val="16"/>
          <w:szCs w:val="16"/>
        </w:rPr>
        <w:t>, A/HRC/44/30</w:t>
      </w:r>
      <w:r w:rsidR="003F1E54" w:rsidRPr="00187C47">
        <w:rPr>
          <w:rFonts w:ascii="MetaPro-Norm" w:hAnsi="MetaPro-Norm"/>
          <w:sz w:val="16"/>
          <w:szCs w:val="16"/>
        </w:rPr>
        <w:t>, April 22, 2020</w:t>
      </w:r>
      <w:r w:rsidR="00C7290C" w:rsidRPr="00187C47">
        <w:rPr>
          <w:rFonts w:ascii="MetaPro-Norm" w:hAnsi="MetaPro-Norm"/>
          <w:sz w:val="16"/>
          <w:szCs w:val="16"/>
        </w:rPr>
        <w:t xml:space="preserve">, </w:t>
      </w:r>
      <w:r w:rsidR="00197F22" w:rsidRPr="00187C47">
        <w:rPr>
          <w:rFonts w:ascii="MetaPro-Norm" w:hAnsi="MetaPro-Norm"/>
          <w:sz w:val="16"/>
          <w:szCs w:val="16"/>
        </w:rPr>
        <w:t>https://undocs.org/Home/Mobile?FinalSymbol=A%2FHRC%2F44%2F30&amp;Language=E&amp;DeviceType=Desktop&amp;LangRequested=False</w:t>
      </w:r>
      <w:r w:rsidR="00C7290C" w:rsidRPr="00187C47">
        <w:rPr>
          <w:rFonts w:ascii="MetaPro-Norm" w:hAnsi="MetaPro-Norm"/>
          <w:sz w:val="16"/>
          <w:szCs w:val="16"/>
        </w:rPr>
        <w:t xml:space="preserve">, para. </w:t>
      </w:r>
      <w:r w:rsidR="005F024D" w:rsidRPr="00187C47">
        <w:rPr>
          <w:rFonts w:ascii="MetaPro-Norm" w:hAnsi="MetaPro-Norm"/>
          <w:sz w:val="16"/>
          <w:szCs w:val="16"/>
        </w:rPr>
        <w:t xml:space="preserve">4; </w:t>
      </w:r>
      <w:r w:rsidR="00197F22" w:rsidRPr="00187C47">
        <w:rPr>
          <w:rFonts w:ascii="MetaPro-Norm" w:hAnsi="MetaPro-Norm"/>
          <w:sz w:val="16"/>
          <w:szCs w:val="16"/>
        </w:rPr>
        <w:t xml:space="preserve">and </w:t>
      </w:r>
      <w:r w:rsidR="00EB11CC" w:rsidRPr="00187C47">
        <w:rPr>
          <w:rFonts w:ascii="MetaPro-Norm" w:hAnsi="MetaPro-Norm"/>
          <w:sz w:val="16"/>
          <w:szCs w:val="16"/>
        </w:rPr>
        <w:t xml:space="preserve">Analytical Study on the Promotion and Protection of the Rights of Older Persons in the Context of Climate Change, </w:t>
      </w:r>
      <w:r w:rsidR="00067750" w:rsidRPr="00187C47">
        <w:rPr>
          <w:rFonts w:ascii="MetaPro-Norm" w:hAnsi="MetaPro-Norm"/>
          <w:sz w:val="16"/>
          <w:szCs w:val="16"/>
        </w:rPr>
        <w:t>A/HRC/47/46</w:t>
      </w:r>
      <w:r w:rsidR="00A8181C" w:rsidRPr="00187C47">
        <w:rPr>
          <w:rFonts w:ascii="MetaPro-Norm" w:hAnsi="MetaPro-Norm"/>
          <w:sz w:val="16"/>
          <w:szCs w:val="16"/>
        </w:rPr>
        <w:t>, April 30, 2021,</w:t>
      </w:r>
      <w:r w:rsidR="004A095B" w:rsidRPr="00187C47">
        <w:rPr>
          <w:rFonts w:ascii="MetaPro-Norm" w:hAnsi="MetaPro-Norm"/>
          <w:sz w:val="16"/>
          <w:szCs w:val="16"/>
        </w:rPr>
        <w:t xml:space="preserve"> </w:t>
      </w:r>
      <w:r w:rsidR="00197F22" w:rsidRPr="00187C47">
        <w:rPr>
          <w:rFonts w:ascii="MetaPro-Norm" w:hAnsi="MetaPro-Norm"/>
          <w:sz w:val="16"/>
          <w:szCs w:val="16"/>
        </w:rPr>
        <w:t>https://undocs.org/Home/Mobile?FinalSymbol=A%2FHRC%2F47%2F46&amp;Language=E&amp;DeviceType=Desktop&amp;LangRequested=False</w:t>
      </w:r>
      <w:r w:rsidR="006B53CE" w:rsidRPr="00187C47">
        <w:rPr>
          <w:rFonts w:ascii="MetaPro-Norm" w:hAnsi="MetaPro-Norm"/>
          <w:sz w:val="16"/>
          <w:szCs w:val="16"/>
        </w:rPr>
        <w:t>, para</w:t>
      </w:r>
      <w:r w:rsidR="00197F22" w:rsidRPr="00187C47">
        <w:rPr>
          <w:rFonts w:ascii="MetaPro-Norm" w:hAnsi="MetaPro-Norm"/>
          <w:sz w:val="16"/>
          <w:szCs w:val="16"/>
        </w:rPr>
        <w:t>s. 7 and 9.</w:t>
      </w:r>
    </w:p>
  </w:footnote>
  <w:footnote w:id="30">
    <w:p w14:paraId="51EA365C" w14:textId="5B4779B9" w:rsidR="00FF128D" w:rsidRPr="00187C47" w:rsidRDefault="00FF128D">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B6739A" w:rsidRPr="00187C47">
        <w:rPr>
          <w:rFonts w:ascii="MetaPro-Norm" w:hAnsi="MetaPro-Norm"/>
          <w:sz w:val="16"/>
          <w:szCs w:val="16"/>
        </w:rPr>
        <w:t xml:space="preserve">Human Rights Watch, </w:t>
      </w:r>
      <w:r w:rsidR="00B6739A" w:rsidRPr="00187C47">
        <w:rPr>
          <w:rFonts w:ascii="MetaPro-Norm" w:hAnsi="MetaPro-Norm"/>
          <w:i/>
          <w:iCs/>
          <w:sz w:val="16"/>
          <w:szCs w:val="16"/>
        </w:rPr>
        <w:t>Leave No One Behind: People with Disabilities in Climate-Related Disasters</w:t>
      </w:r>
      <w:r w:rsidR="00B6739A" w:rsidRPr="00187C47">
        <w:rPr>
          <w:rFonts w:ascii="MetaPro-Norm" w:hAnsi="MetaPro-Norm"/>
          <w:sz w:val="16"/>
          <w:szCs w:val="16"/>
        </w:rPr>
        <w:t>.</w:t>
      </w:r>
    </w:p>
  </w:footnote>
  <w:footnote w:id="31">
    <w:p w14:paraId="33203FD5" w14:textId="4DF83D8D" w:rsidR="00345984" w:rsidRPr="00187C47" w:rsidRDefault="00345984">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Human Rights Watch, “Canada: Disastrous Impact of Extreme Heat,” Human Rights Watch news release, October 5, 2021, https://www.hrw.org/news/2021/10/05/canada-disastrous-impact-extreme-heat.</w:t>
      </w:r>
    </w:p>
  </w:footnote>
  <w:footnote w:id="32">
    <w:p w14:paraId="45898398" w14:textId="1C2A0E9B" w:rsidR="008361B5" w:rsidRPr="00187C47" w:rsidRDefault="008361B5">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p>
  </w:footnote>
  <w:footnote w:id="33">
    <w:p w14:paraId="1578539C" w14:textId="5820E85A" w:rsidR="001F1B3F" w:rsidRPr="00187C47" w:rsidRDefault="001F1B3F">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Ibid.;</w:t>
      </w:r>
      <w:r w:rsidR="00F33503" w:rsidRPr="00187C47">
        <w:rPr>
          <w:rFonts w:ascii="MetaPro-Norm" w:hAnsi="MetaPro-Norm"/>
          <w:sz w:val="16"/>
          <w:szCs w:val="16"/>
        </w:rPr>
        <w:t xml:space="preserve"> and</w:t>
      </w:r>
      <w:r w:rsidRPr="00187C47">
        <w:rPr>
          <w:rFonts w:ascii="MetaPro-Norm" w:hAnsi="MetaPro-Norm"/>
          <w:sz w:val="16"/>
          <w:szCs w:val="16"/>
        </w:rPr>
        <w:t xml:space="preserve"> British Columbia</w:t>
      </w:r>
      <w:r w:rsidR="008B0B86" w:rsidRPr="00187C47">
        <w:rPr>
          <w:rFonts w:ascii="MetaPro-Norm" w:hAnsi="MetaPro-Norm"/>
          <w:sz w:val="16"/>
          <w:szCs w:val="16"/>
        </w:rPr>
        <w:t xml:space="preserve"> Public Service, “Climate Preparedness and Adaptation Strategy: Draft Strategy and Phase 1 Actions for </w:t>
      </w:r>
      <w:r w:rsidR="00861856" w:rsidRPr="00187C47">
        <w:rPr>
          <w:rFonts w:ascii="MetaPro-Norm" w:hAnsi="MetaPro-Norm"/>
          <w:sz w:val="16"/>
          <w:szCs w:val="16"/>
        </w:rPr>
        <w:t>2021 – 2022,</w:t>
      </w:r>
      <w:r w:rsidR="008B0B86" w:rsidRPr="00187C47">
        <w:rPr>
          <w:rFonts w:ascii="MetaPro-Norm" w:hAnsi="MetaPro-Norm"/>
          <w:sz w:val="16"/>
          <w:szCs w:val="16"/>
        </w:rPr>
        <w:t>”</w:t>
      </w:r>
      <w:r w:rsidR="004F744B" w:rsidRPr="00187C47">
        <w:rPr>
          <w:rFonts w:ascii="MetaPro-Norm" w:hAnsi="MetaPro-Norm"/>
          <w:sz w:val="16"/>
          <w:szCs w:val="16"/>
        </w:rPr>
        <w:t xml:space="preserve"> </w:t>
      </w:r>
      <w:r w:rsidR="00500B48" w:rsidRPr="00187C47">
        <w:rPr>
          <w:rFonts w:ascii="MetaPro-Norm" w:hAnsi="MetaPro-Norm"/>
          <w:sz w:val="16"/>
          <w:szCs w:val="16"/>
        </w:rPr>
        <w:t xml:space="preserve">June 2021, </w:t>
      </w:r>
      <w:r w:rsidR="00DC11F5" w:rsidRPr="00187C47">
        <w:rPr>
          <w:rFonts w:ascii="MetaPro-Norm" w:hAnsi="MetaPro-Norm"/>
          <w:sz w:val="16"/>
          <w:szCs w:val="16"/>
        </w:rPr>
        <w:t>https://www2.gov.bc.ca/assets/gov/environment/climate-change/adaptation/cpas_2021.pdf.</w:t>
      </w:r>
    </w:p>
  </w:footnote>
  <w:footnote w:id="34">
    <w:p w14:paraId="11FA80A1" w14:textId="15F6FB2F" w:rsidR="00B53594" w:rsidRPr="00187C47" w:rsidRDefault="00B53594">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DF69F3" w:rsidRPr="00187C47">
        <w:rPr>
          <w:rFonts w:ascii="MetaPro-Norm" w:hAnsi="MetaPro-Norm"/>
          <w:sz w:val="16"/>
          <w:szCs w:val="16"/>
        </w:rPr>
        <w:t xml:space="preserve">Submission from Human Rights Watch to </w:t>
      </w:r>
      <w:r w:rsidR="00C21F93" w:rsidRPr="00187C47">
        <w:rPr>
          <w:rFonts w:ascii="MetaPro-Norm" w:hAnsi="MetaPro-Norm"/>
          <w:sz w:val="16"/>
          <w:szCs w:val="16"/>
        </w:rPr>
        <w:t>the UN Independent Expert on the enjoyment of all human rights by older persons</w:t>
      </w:r>
      <w:r w:rsidR="00C54054" w:rsidRPr="00187C47">
        <w:rPr>
          <w:rFonts w:ascii="MetaPro-Norm" w:hAnsi="MetaPro-Norm"/>
          <w:sz w:val="16"/>
          <w:szCs w:val="16"/>
        </w:rPr>
        <w:t xml:space="preserve">, “The Human Rights of Older Women,” April 16, 2021, </w:t>
      </w:r>
      <w:r w:rsidRPr="00187C47">
        <w:rPr>
          <w:rFonts w:ascii="MetaPro-Norm" w:hAnsi="MetaPro-Norm"/>
          <w:sz w:val="16"/>
          <w:szCs w:val="16"/>
        </w:rPr>
        <w:t>https://www.hrw.org/news/2021/04/16/human-rights-older-women</w:t>
      </w:r>
      <w:r w:rsidR="00C54054" w:rsidRPr="00187C47">
        <w:rPr>
          <w:rFonts w:ascii="MetaPro-Norm" w:hAnsi="MetaPro-Norm"/>
          <w:sz w:val="16"/>
          <w:szCs w:val="16"/>
        </w:rPr>
        <w:t>.</w:t>
      </w:r>
    </w:p>
  </w:footnote>
  <w:footnote w:id="35">
    <w:p w14:paraId="1043705E" w14:textId="17B0702B" w:rsidR="00040419" w:rsidRPr="00187C47" w:rsidRDefault="00040419" w:rsidP="00F33503">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F33503" w:rsidRPr="00187C47">
        <w:rPr>
          <w:rFonts w:ascii="MetaPro-Norm" w:hAnsi="MetaPro-Norm"/>
          <w:sz w:val="16"/>
          <w:szCs w:val="16"/>
        </w:rPr>
        <w:t>Ibid.</w:t>
      </w:r>
    </w:p>
  </w:footnote>
  <w:footnote w:id="36">
    <w:p w14:paraId="0CEBFCF4" w14:textId="5ABE9268" w:rsidR="008F6A4C" w:rsidRPr="00187C47" w:rsidRDefault="008F6A4C">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2C4F65" w:rsidRPr="00187C47">
        <w:rPr>
          <w:rFonts w:ascii="MetaPro-Norm" w:hAnsi="MetaPro-Norm"/>
          <w:i/>
          <w:iCs/>
          <w:sz w:val="16"/>
          <w:szCs w:val="16"/>
        </w:rPr>
        <w:t>I Always Remember That Day: Access to Services for Survivors of Gender-Based Violence in Ethiopia’s Tigray Region</w:t>
      </w:r>
      <w:r w:rsidR="002C4F65" w:rsidRPr="00187C47">
        <w:rPr>
          <w:rFonts w:ascii="MetaPro-Norm" w:hAnsi="MetaPro-Norm"/>
          <w:sz w:val="16"/>
          <w:szCs w:val="16"/>
        </w:rPr>
        <w:t xml:space="preserve"> </w:t>
      </w:r>
      <w:r w:rsidR="00773779" w:rsidRPr="00187C47">
        <w:rPr>
          <w:rFonts w:ascii="MetaPro-Norm" w:hAnsi="MetaPro-Norm"/>
          <w:sz w:val="16"/>
          <w:szCs w:val="16"/>
        </w:rPr>
        <w:t xml:space="preserve">(New York: Human Rights Watch, </w:t>
      </w:r>
      <w:r w:rsidR="00232C24" w:rsidRPr="00187C47">
        <w:rPr>
          <w:rFonts w:ascii="MetaPro-Norm" w:hAnsi="MetaPro-Norm"/>
          <w:sz w:val="16"/>
          <w:szCs w:val="16"/>
        </w:rPr>
        <w:t>2021</w:t>
      </w:r>
      <w:r w:rsidR="00773779" w:rsidRPr="00187C47">
        <w:rPr>
          <w:rFonts w:ascii="MetaPro-Norm" w:hAnsi="MetaPro-Norm"/>
          <w:sz w:val="16"/>
          <w:szCs w:val="16"/>
        </w:rPr>
        <w:t>)</w:t>
      </w:r>
      <w:r w:rsidR="00321A08" w:rsidRPr="00187C47">
        <w:rPr>
          <w:rFonts w:ascii="MetaPro-Norm" w:hAnsi="MetaPro-Norm"/>
          <w:sz w:val="16"/>
          <w:szCs w:val="16"/>
        </w:rPr>
        <w:t>,</w:t>
      </w:r>
      <w:r w:rsidR="002C4F65" w:rsidRPr="00187C47">
        <w:rPr>
          <w:rFonts w:ascii="MetaPro-Norm" w:hAnsi="MetaPro-Norm"/>
          <w:sz w:val="16"/>
          <w:szCs w:val="16"/>
        </w:rPr>
        <w:t xml:space="preserve"> </w:t>
      </w:r>
      <w:r w:rsidRPr="00187C47">
        <w:rPr>
          <w:rFonts w:ascii="MetaPro-Norm" w:hAnsi="MetaPro-Norm"/>
          <w:sz w:val="16"/>
          <w:szCs w:val="16"/>
        </w:rPr>
        <w:t>https://www.hrw.org/sites/default/files/media_2021/11/ethiopia1121_web_0.pdf</w:t>
      </w:r>
      <w:r w:rsidR="00321A08" w:rsidRPr="00187C47">
        <w:rPr>
          <w:rFonts w:ascii="MetaPro-Norm" w:hAnsi="MetaPro-Norm"/>
          <w:sz w:val="16"/>
          <w:szCs w:val="16"/>
        </w:rPr>
        <w:t>.</w:t>
      </w:r>
    </w:p>
  </w:footnote>
  <w:footnote w:id="37">
    <w:p w14:paraId="508786D4" w14:textId="390D9FF7" w:rsidR="00916920" w:rsidRPr="00187C47" w:rsidRDefault="00916920">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C54054" w:rsidRPr="00187C47">
        <w:rPr>
          <w:rFonts w:ascii="MetaPro-Norm" w:hAnsi="MetaPro-Norm"/>
          <w:i/>
          <w:iCs/>
          <w:sz w:val="16"/>
          <w:szCs w:val="16"/>
        </w:rPr>
        <w:t>It Was Really Hard to Protect Myself: Impact of Armed Conflict in Syria on Children with Disabilities</w:t>
      </w:r>
      <w:r w:rsidR="00C54054" w:rsidRPr="00187C47">
        <w:rPr>
          <w:rFonts w:ascii="MetaPro-Norm" w:hAnsi="MetaPro-Norm"/>
          <w:sz w:val="16"/>
          <w:szCs w:val="16"/>
        </w:rPr>
        <w:t>.</w:t>
      </w:r>
    </w:p>
  </w:footnote>
  <w:footnote w:id="38">
    <w:p w14:paraId="54138E5F" w14:textId="2CF88F90" w:rsidR="006A110D" w:rsidRPr="00187C47" w:rsidRDefault="006A110D">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C54054" w:rsidRPr="00187C47">
        <w:rPr>
          <w:rFonts w:ascii="MetaPro-Norm" w:hAnsi="MetaPro-Norm"/>
          <w:sz w:val="16"/>
          <w:szCs w:val="16"/>
        </w:rPr>
        <w:t xml:space="preserve">Human Rights Watch, </w:t>
      </w:r>
      <w:r w:rsidR="005148A2" w:rsidRPr="00187C47">
        <w:rPr>
          <w:rFonts w:ascii="MetaPro-Norm" w:hAnsi="MetaPro-Norm"/>
          <w:i/>
          <w:iCs/>
          <w:sz w:val="16"/>
          <w:szCs w:val="16"/>
        </w:rPr>
        <w:t xml:space="preserve">No One is Spared: Abuses Against Older People in Armed Conflict </w:t>
      </w:r>
      <w:r w:rsidR="005148A2" w:rsidRPr="00187C47">
        <w:rPr>
          <w:rFonts w:ascii="MetaPro-Norm" w:hAnsi="MetaPro-Norm"/>
          <w:sz w:val="16"/>
          <w:szCs w:val="16"/>
        </w:rPr>
        <w:t xml:space="preserve">(New York: Human Rights Watch, 2022), </w:t>
      </w:r>
      <w:r w:rsidRPr="00187C47">
        <w:rPr>
          <w:rFonts w:ascii="MetaPro-Norm" w:hAnsi="MetaPro-Norm"/>
          <w:sz w:val="16"/>
          <w:szCs w:val="16"/>
        </w:rPr>
        <w:t>https://www.hrw.org/report/2022/02/23/no-one-spared/abuses-against-older-people-armed-conflict</w:t>
      </w:r>
      <w:r w:rsidR="005148A2" w:rsidRPr="00187C47">
        <w:rPr>
          <w:rFonts w:ascii="MetaPro-Norm" w:hAnsi="MetaPro-Norm"/>
          <w:sz w:val="16"/>
          <w:szCs w:val="16"/>
        </w:rPr>
        <w:t>.</w:t>
      </w:r>
    </w:p>
  </w:footnote>
  <w:footnote w:id="39">
    <w:p w14:paraId="3AF59A19" w14:textId="6A841245" w:rsidR="009F37C5" w:rsidRPr="00187C47" w:rsidRDefault="009F37C5">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8F0060" w:rsidRPr="00187C47">
        <w:rPr>
          <w:rFonts w:ascii="MetaPro-Norm" w:hAnsi="MetaPro-Norm"/>
          <w:sz w:val="16"/>
          <w:szCs w:val="16"/>
        </w:rPr>
        <w:t>Ibid.</w:t>
      </w:r>
    </w:p>
  </w:footnote>
  <w:footnote w:id="40">
    <w:p w14:paraId="5BA5327E" w14:textId="77777777" w:rsidR="001474D2" w:rsidRPr="00187C47" w:rsidRDefault="001474D2" w:rsidP="001474D2">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“South Sudan: People with Disabilities, Older People Face Danger,” Human Rights Watch news release, May 31, 2017, https://www.hrw.org/news/2017/05/31/south-sudan-people-disabilities-older-people-face-danger.</w:t>
      </w:r>
    </w:p>
  </w:footnote>
  <w:footnote w:id="41">
    <w:p w14:paraId="563E9BB5" w14:textId="66CBF1F1" w:rsidR="000C5B1C" w:rsidRPr="00187C47" w:rsidRDefault="000C5B1C" w:rsidP="000C5B1C">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6E2A34" w:rsidRPr="00187C47">
        <w:rPr>
          <w:rFonts w:ascii="MetaPro-Norm" w:hAnsi="MetaPro-Norm"/>
          <w:i/>
          <w:iCs/>
          <w:sz w:val="16"/>
          <w:szCs w:val="16"/>
        </w:rPr>
        <w:t>No One is Spared: Abuses Against Older People in Armed Conflict</w:t>
      </w:r>
      <w:r w:rsidR="006E2A34" w:rsidRPr="00187C47">
        <w:rPr>
          <w:rFonts w:ascii="MetaPro-Norm" w:hAnsi="MetaPro-Norm"/>
          <w:sz w:val="16"/>
          <w:szCs w:val="16"/>
        </w:rPr>
        <w:t>.</w:t>
      </w:r>
    </w:p>
  </w:footnote>
  <w:footnote w:id="42">
    <w:p w14:paraId="20ABC6E4" w14:textId="5941078C" w:rsidR="00426F1E" w:rsidRPr="00187C47" w:rsidRDefault="00426F1E">
      <w:pPr>
        <w:pStyle w:val="FootnoteText"/>
        <w:rPr>
          <w:rFonts w:ascii="MetaPro-Norm" w:hAnsi="MetaPro-Norm"/>
          <w:sz w:val="16"/>
          <w:szCs w:val="16"/>
        </w:rPr>
      </w:pPr>
      <w:r w:rsidRPr="00187C47">
        <w:rPr>
          <w:rStyle w:val="FootnoteReference"/>
          <w:rFonts w:ascii="MetaPro-Norm" w:hAnsi="MetaPro-Norm"/>
          <w:sz w:val="16"/>
          <w:szCs w:val="16"/>
        </w:rPr>
        <w:footnoteRef/>
      </w:r>
      <w:r w:rsidRPr="00187C47">
        <w:rPr>
          <w:rFonts w:ascii="MetaPro-Norm" w:hAnsi="MetaPro-Norm"/>
          <w:sz w:val="16"/>
          <w:szCs w:val="16"/>
        </w:rPr>
        <w:t xml:space="preserve"> </w:t>
      </w:r>
      <w:r w:rsidR="00515160" w:rsidRPr="00187C47">
        <w:rPr>
          <w:rFonts w:ascii="MetaPro-Norm" w:hAnsi="MetaPro-Norm"/>
          <w:sz w:val="16"/>
          <w:szCs w:val="16"/>
        </w:rPr>
        <w:t xml:space="preserve">Jonas Bull, “Afghanistan Earthquake Response Overlooks People with Disabilities,” Human Rights Watch Dispatch, July 10, 2022, </w:t>
      </w:r>
      <w:r w:rsidRPr="00187C47">
        <w:rPr>
          <w:rFonts w:ascii="MetaPro-Norm" w:hAnsi="MetaPro-Norm"/>
          <w:sz w:val="16"/>
          <w:szCs w:val="16"/>
        </w:rPr>
        <w:t>https://www.hrw.org/news/2022/07/10/afghanistan-earthquake-response-overlooks-people-disabilities</w:t>
      </w:r>
      <w:r w:rsidR="00515160" w:rsidRPr="00187C47">
        <w:rPr>
          <w:rFonts w:ascii="MetaPro-Norm" w:hAnsi="MetaPro-Norm"/>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DED" w14:textId="73DB356D" w:rsidR="00906CA6" w:rsidRDefault="00906CA6">
    <w:pPr>
      <w:pStyle w:val="Header"/>
    </w:pPr>
    <w:r w:rsidRPr="00FA761A">
      <w:rPr>
        <w:rFonts w:ascii="MetaPro-Norm" w:hAnsi="MetaPro-Norm" w:cs="Times New Roman"/>
        <w:noProof/>
        <w:color w:val="000000" w:themeColor="text1"/>
        <w:shd w:val="clear" w:color="auto" w:fill="E6E6E6"/>
      </w:rPr>
      <w:drawing>
        <wp:anchor distT="0" distB="0" distL="114300" distR="114300" simplePos="0" relativeHeight="251658240" behindDoc="1" locked="0" layoutInCell="1" allowOverlap="1" wp14:anchorId="3B9D8F15" wp14:editId="6CC0E9EF">
          <wp:simplePos x="0" y="0"/>
          <wp:positionH relativeFrom="page">
            <wp:align>right</wp:align>
          </wp:positionH>
          <wp:positionV relativeFrom="paragraph">
            <wp:posOffset>-457200</wp:posOffset>
          </wp:positionV>
          <wp:extent cx="914400" cy="914400"/>
          <wp:effectExtent l="0" t="0" r="0" b="0"/>
          <wp:wrapNone/>
          <wp:docPr id="1" name="officeArt object" descr="HRWLogo"/>
          <wp:cNvGraphicFramePr/>
          <a:graphic xmlns:a="http://schemas.openxmlformats.org/drawingml/2006/main">
            <a:graphicData uri="http://schemas.openxmlformats.org/drawingml/2006/picture">
              <pic:pic xmlns:pic="http://schemas.openxmlformats.org/drawingml/2006/picture">
                <pic:nvPicPr>
                  <pic:cNvPr id="1073741825" name="image1.jpg" descr="HRWLogo"/>
                  <pic:cNvPicPr/>
                </pic:nvPicPr>
                <pic:blipFill>
                  <a:blip r:embed="rId1"/>
                  <a:stretch>
                    <a:fillRect/>
                  </a:stretch>
                </pic:blipFill>
                <pic:spPr>
                  <a:xfrm>
                    <a:off x="0" y="0"/>
                    <a:ext cx="914400" cy="9144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2B3C"/>
    <w:multiLevelType w:val="hybridMultilevel"/>
    <w:tmpl w:val="D5A4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2188"/>
    <w:multiLevelType w:val="hybridMultilevel"/>
    <w:tmpl w:val="7D5A8C60"/>
    <w:lvl w:ilvl="0" w:tplc="04090013">
      <w:start w:val="1"/>
      <w:numFmt w:val="upperRoman"/>
      <w:lvlText w:val="%1."/>
      <w:lvlJc w:val="righ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8A5218"/>
    <w:multiLevelType w:val="hybridMultilevel"/>
    <w:tmpl w:val="75C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1487B"/>
    <w:multiLevelType w:val="hybridMultilevel"/>
    <w:tmpl w:val="48C40A28"/>
    <w:lvl w:ilvl="0" w:tplc="371EE79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A27263"/>
    <w:multiLevelType w:val="hybridMultilevel"/>
    <w:tmpl w:val="46F81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26DDD"/>
    <w:multiLevelType w:val="hybridMultilevel"/>
    <w:tmpl w:val="92BE28CE"/>
    <w:lvl w:ilvl="0" w:tplc="547C6BD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A0AE5"/>
    <w:multiLevelType w:val="hybridMultilevel"/>
    <w:tmpl w:val="3E58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76110"/>
    <w:multiLevelType w:val="hybridMultilevel"/>
    <w:tmpl w:val="ECCCD2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494348"/>
    <w:multiLevelType w:val="hybridMultilevel"/>
    <w:tmpl w:val="E18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C2F50"/>
    <w:multiLevelType w:val="hybridMultilevel"/>
    <w:tmpl w:val="520ADD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71B70"/>
    <w:multiLevelType w:val="hybridMultilevel"/>
    <w:tmpl w:val="29DEB762"/>
    <w:lvl w:ilvl="0" w:tplc="7892D3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F1021C"/>
    <w:multiLevelType w:val="hybridMultilevel"/>
    <w:tmpl w:val="0CA42FE0"/>
    <w:lvl w:ilvl="0" w:tplc="E3B6418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154318">
    <w:abstractNumId w:val="4"/>
  </w:num>
  <w:num w:numId="2" w16cid:durableId="2111776254">
    <w:abstractNumId w:val="10"/>
  </w:num>
  <w:num w:numId="3" w16cid:durableId="147602163">
    <w:abstractNumId w:val="8"/>
  </w:num>
  <w:num w:numId="4" w16cid:durableId="1217547902">
    <w:abstractNumId w:val="0"/>
  </w:num>
  <w:num w:numId="5" w16cid:durableId="1778597813">
    <w:abstractNumId w:val="6"/>
  </w:num>
  <w:num w:numId="6" w16cid:durableId="317154574">
    <w:abstractNumId w:val="1"/>
  </w:num>
  <w:num w:numId="7" w16cid:durableId="1745955045">
    <w:abstractNumId w:val="3"/>
  </w:num>
  <w:num w:numId="8" w16cid:durableId="443353983">
    <w:abstractNumId w:val="7"/>
  </w:num>
  <w:num w:numId="9" w16cid:durableId="1523325953">
    <w:abstractNumId w:val="2"/>
  </w:num>
  <w:num w:numId="10" w16cid:durableId="111753704">
    <w:abstractNumId w:val="9"/>
  </w:num>
  <w:num w:numId="11" w16cid:durableId="1739746744">
    <w:abstractNumId w:val="11"/>
  </w:num>
  <w:num w:numId="12" w16cid:durableId="189191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ED"/>
    <w:rsid w:val="00003DFC"/>
    <w:rsid w:val="00004564"/>
    <w:rsid w:val="0000642B"/>
    <w:rsid w:val="00011956"/>
    <w:rsid w:val="0001332D"/>
    <w:rsid w:val="00015B35"/>
    <w:rsid w:val="00015C0E"/>
    <w:rsid w:val="00023A15"/>
    <w:rsid w:val="00027196"/>
    <w:rsid w:val="0003081F"/>
    <w:rsid w:val="00032A48"/>
    <w:rsid w:val="00032AFD"/>
    <w:rsid w:val="0003432D"/>
    <w:rsid w:val="00036235"/>
    <w:rsid w:val="00036BAC"/>
    <w:rsid w:val="00036BF2"/>
    <w:rsid w:val="00037363"/>
    <w:rsid w:val="000376CD"/>
    <w:rsid w:val="00040419"/>
    <w:rsid w:val="000411E8"/>
    <w:rsid w:val="00043CA7"/>
    <w:rsid w:val="0004683D"/>
    <w:rsid w:val="00050641"/>
    <w:rsid w:val="0006108C"/>
    <w:rsid w:val="00061D4A"/>
    <w:rsid w:val="00062065"/>
    <w:rsid w:val="000651C5"/>
    <w:rsid w:val="00067750"/>
    <w:rsid w:val="00072822"/>
    <w:rsid w:val="00072BD5"/>
    <w:rsid w:val="00073211"/>
    <w:rsid w:val="0007662E"/>
    <w:rsid w:val="00077198"/>
    <w:rsid w:val="000860E9"/>
    <w:rsid w:val="000864EE"/>
    <w:rsid w:val="00087307"/>
    <w:rsid w:val="00090D6F"/>
    <w:rsid w:val="00091B00"/>
    <w:rsid w:val="000925C1"/>
    <w:rsid w:val="00093CFA"/>
    <w:rsid w:val="00093FF4"/>
    <w:rsid w:val="00096CD6"/>
    <w:rsid w:val="000A084B"/>
    <w:rsid w:val="000A2742"/>
    <w:rsid w:val="000A2820"/>
    <w:rsid w:val="000A2A40"/>
    <w:rsid w:val="000A505D"/>
    <w:rsid w:val="000A7340"/>
    <w:rsid w:val="000B0FBB"/>
    <w:rsid w:val="000B2FD5"/>
    <w:rsid w:val="000B4370"/>
    <w:rsid w:val="000B5152"/>
    <w:rsid w:val="000B54CA"/>
    <w:rsid w:val="000B5FB8"/>
    <w:rsid w:val="000C2F4A"/>
    <w:rsid w:val="000C5B1C"/>
    <w:rsid w:val="000D16FA"/>
    <w:rsid w:val="000D3042"/>
    <w:rsid w:val="000D5C41"/>
    <w:rsid w:val="000E2462"/>
    <w:rsid w:val="000E3FEF"/>
    <w:rsid w:val="000F0C5F"/>
    <w:rsid w:val="000F1134"/>
    <w:rsid w:val="000F2290"/>
    <w:rsid w:val="000F67BB"/>
    <w:rsid w:val="000F7D67"/>
    <w:rsid w:val="00105788"/>
    <w:rsid w:val="001057E7"/>
    <w:rsid w:val="00105E15"/>
    <w:rsid w:val="00113588"/>
    <w:rsid w:val="0011521A"/>
    <w:rsid w:val="00115698"/>
    <w:rsid w:val="0011706F"/>
    <w:rsid w:val="0011772D"/>
    <w:rsid w:val="00117874"/>
    <w:rsid w:val="00120384"/>
    <w:rsid w:val="00120A8F"/>
    <w:rsid w:val="00121948"/>
    <w:rsid w:val="0013699E"/>
    <w:rsid w:val="00141DD7"/>
    <w:rsid w:val="0014491A"/>
    <w:rsid w:val="00144E72"/>
    <w:rsid w:val="00145259"/>
    <w:rsid w:val="001474D2"/>
    <w:rsid w:val="00150133"/>
    <w:rsid w:val="001510D0"/>
    <w:rsid w:val="0015175F"/>
    <w:rsid w:val="00153C21"/>
    <w:rsid w:val="00155610"/>
    <w:rsid w:val="00157E2B"/>
    <w:rsid w:val="00181C53"/>
    <w:rsid w:val="001877FE"/>
    <w:rsid w:val="00187C47"/>
    <w:rsid w:val="0019203A"/>
    <w:rsid w:val="00192608"/>
    <w:rsid w:val="00193773"/>
    <w:rsid w:val="00195193"/>
    <w:rsid w:val="001973A3"/>
    <w:rsid w:val="00197F22"/>
    <w:rsid w:val="001A18A0"/>
    <w:rsid w:val="001A26BB"/>
    <w:rsid w:val="001A3594"/>
    <w:rsid w:val="001A38F9"/>
    <w:rsid w:val="001A4A50"/>
    <w:rsid w:val="001A4FDB"/>
    <w:rsid w:val="001A58A2"/>
    <w:rsid w:val="001A7F28"/>
    <w:rsid w:val="001B471D"/>
    <w:rsid w:val="001B68E7"/>
    <w:rsid w:val="001B7A83"/>
    <w:rsid w:val="001C0CD1"/>
    <w:rsid w:val="001C455B"/>
    <w:rsid w:val="001C4C74"/>
    <w:rsid w:val="001D04A2"/>
    <w:rsid w:val="001D50EB"/>
    <w:rsid w:val="001E27D0"/>
    <w:rsid w:val="001E52CF"/>
    <w:rsid w:val="001E6496"/>
    <w:rsid w:val="001E73DE"/>
    <w:rsid w:val="001F1B3F"/>
    <w:rsid w:val="001F2A7C"/>
    <w:rsid w:val="001F4BBF"/>
    <w:rsid w:val="001F5177"/>
    <w:rsid w:val="00203652"/>
    <w:rsid w:val="002038BE"/>
    <w:rsid w:val="0021494A"/>
    <w:rsid w:val="0022083A"/>
    <w:rsid w:val="002243D0"/>
    <w:rsid w:val="00231C81"/>
    <w:rsid w:val="00232C24"/>
    <w:rsid w:val="0023333B"/>
    <w:rsid w:val="002341ED"/>
    <w:rsid w:val="00234DEE"/>
    <w:rsid w:val="00236809"/>
    <w:rsid w:val="002431F9"/>
    <w:rsid w:val="002460F5"/>
    <w:rsid w:val="0024760A"/>
    <w:rsid w:val="0026262E"/>
    <w:rsid w:val="00263486"/>
    <w:rsid w:val="00263C83"/>
    <w:rsid w:val="00264567"/>
    <w:rsid w:val="00266D75"/>
    <w:rsid w:val="00270ED8"/>
    <w:rsid w:val="0027409F"/>
    <w:rsid w:val="002767E3"/>
    <w:rsid w:val="00280CE1"/>
    <w:rsid w:val="00281081"/>
    <w:rsid w:val="00281210"/>
    <w:rsid w:val="00286918"/>
    <w:rsid w:val="00292B12"/>
    <w:rsid w:val="00294A68"/>
    <w:rsid w:val="002A0096"/>
    <w:rsid w:val="002A4792"/>
    <w:rsid w:val="002A6B7A"/>
    <w:rsid w:val="002A7A54"/>
    <w:rsid w:val="002B100A"/>
    <w:rsid w:val="002B1D4D"/>
    <w:rsid w:val="002B46FE"/>
    <w:rsid w:val="002C084E"/>
    <w:rsid w:val="002C0F90"/>
    <w:rsid w:val="002C4C6B"/>
    <w:rsid w:val="002C4F65"/>
    <w:rsid w:val="002C6C7A"/>
    <w:rsid w:val="002D7DB5"/>
    <w:rsid w:val="002E0ACB"/>
    <w:rsid w:val="002E0AE9"/>
    <w:rsid w:val="002E1CC3"/>
    <w:rsid w:val="002E5163"/>
    <w:rsid w:val="002E53DE"/>
    <w:rsid w:val="002F19E4"/>
    <w:rsid w:val="002F7784"/>
    <w:rsid w:val="0030000D"/>
    <w:rsid w:val="0030010D"/>
    <w:rsid w:val="003013F1"/>
    <w:rsid w:val="003041AE"/>
    <w:rsid w:val="00304EEB"/>
    <w:rsid w:val="003162B9"/>
    <w:rsid w:val="0032191A"/>
    <w:rsid w:val="00321A08"/>
    <w:rsid w:val="003227DF"/>
    <w:rsid w:val="00322F48"/>
    <w:rsid w:val="00325724"/>
    <w:rsid w:val="00325CE5"/>
    <w:rsid w:val="00331174"/>
    <w:rsid w:val="00332721"/>
    <w:rsid w:val="00334BE2"/>
    <w:rsid w:val="003357B8"/>
    <w:rsid w:val="00341CE1"/>
    <w:rsid w:val="00343E1A"/>
    <w:rsid w:val="00345984"/>
    <w:rsid w:val="00346B57"/>
    <w:rsid w:val="003471FC"/>
    <w:rsid w:val="003506EE"/>
    <w:rsid w:val="00351486"/>
    <w:rsid w:val="00356413"/>
    <w:rsid w:val="00360599"/>
    <w:rsid w:val="00363570"/>
    <w:rsid w:val="00365877"/>
    <w:rsid w:val="003659C3"/>
    <w:rsid w:val="003668C2"/>
    <w:rsid w:val="00370D00"/>
    <w:rsid w:val="003722CA"/>
    <w:rsid w:val="00375E74"/>
    <w:rsid w:val="003763B5"/>
    <w:rsid w:val="003766F4"/>
    <w:rsid w:val="003804C5"/>
    <w:rsid w:val="00381AEA"/>
    <w:rsid w:val="003841D1"/>
    <w:rsid w:val="00391349"/>
    <w:rsid w:val="00391A86"/>
    <w:rsid w:val="00396D90"/>
    <w:rsid w:val="003A037B"/>
    <w:rsid w:val="003A0FED"/>
    <w:rsid w:val="003A74B3"/>
    <w:rsid w:val="003B13F3"/>
    <w:rsid w:val="003B151E"/>
    <w:rsid w:val="003B2A1C"/>
    <w:rsid w:val="003B3C59"/>
    <w:rsid w:val="003D27D5"/>
    <w:rsid w:val="003E1BC9"/>
    <w:rsid w:val="003E7351"/>
    <w:rsid w:val="003F0AED"/>
    <w:rsid w:val="003F145F"/>
    <w:rsid w:val="003F18CE"/>
    <w:rsid w:val="003F1E54"/>
    <w:rsid w:val="003F4E99"/>
    <w:rsid w:val="003F61FE"/>
    <w:rsid w:val="003F7291"/>
    <w:rsid w:val="00400CB4"/>
    <w:rsid w:val="00402FF5"/>
    <w:rsid w:val="004103DA"/>
    <w:rsid w:val="00415B0E"/>
    <w:rsid w:val="00415D7D"/>
    <w:rsid w:val="00417FDC"/>
    <w:rsid w:val="00422544"/>
    <w:rsid w:val="0042321F"/>
    <w:rsid w:val="00424774"/>
    <w:rsid w:val="00425D1B"/>
    <w:rsid w:val="00426F1E"/>
    <w:rsid w:val="00434947"/>
    <w:rsid w:val="00435CEC"/>
    <w:rsid w:val="00436191"/>
    <w:rsid w:val="0044090E"/>
    <w:rsid w:val="00441CF5"/>
    <w:rsid w:val="00443D32"/>
    <w:rsid w:val="00453221"/>
    <w:rsid w:val="00453788"/>
    <w:rsid w:val="004549D4"/>
    <w:rsid w:val="0045550E"/>
    <w:rsid w:val="004603DD"/>
    <w:rsid w:val="00461346"/>
    <w:rsid w:val="00466CE6"/>
    <w:rsid w:val="00471F7B"/>
    <w:rsid w:val="0047203D"/>
    <w:rsid w:val="004746DB"/>
    <w:rsid w:val="00475735"/>
    <w:rsid w:val="00475915"/>
    <w:rsid w:val="004772E7"/>
    <w:rsid w:val="00477761"/>
    <w:rsid w:val="00481322"/>
    <w:rsid w:val="00483C8C"/>
    <w:rsid w:val="004845A6"/>
    <w:rsid w:val="00486F91"/>
    <w:rsid w:val="004870B0"/>
    <w:rsid w:val="004876F5"/>
    <w:rsid w:val="00487E86"/>
    <w:rsid w:val="004906A1"/>
    <w:rsid w:val="004909B0"/>
    <w:rsid w:val="004946D8"/>
    <w:rsid w:val="0049646E"/>
    <w:rsid w:val="004A0932"/>
    <w:rsid w:val="004A095B"/>
    <w:rsid w:val="004A0BCD"/>
    <w:rsid w:val="004A1DAB"/>
    <w:rsid w:val="004A327B"/>
    <w:rsid w:val="004A3F01"/>
    <w:rsid w:val="004A4086"/>
    <w:rsid w:val="004A42CC"/>
    <w:rsid w:val="004A7982"/>
    <w:rsid w:val="004B27BB"/>
    <w:rsid w:val="004B2D70"/>
    <w:rsid w:val="004B47E9"/>
    <w:rsid w:val="004B5517"/>
    <w:rsid w:val="004B6217"/>
    <w:rsid w:val="004C15FE"/>
    <w:rsid w:val="004C2792"/>
    <w:rsid w:val="004C3A70"/>
    <w:rsid w:val="004D0369"/>
    <w:rsid w:val="004D0AE9"/>
    <w:rsid w:val="004D2747"/>
    <w:rsid w:val="004D53AB"/>
    <w:rsid w:val="004E0997"/>
    <w:rsid w:val="004E7BAA"/>
    <w:rsid w:val="004F022A"/>
    <w:rsid w:val="004F744B"/>
    <w:rsid w:val="004F779E"/>
    <w:rsid w:val="00500B48"/>
    <w:rsid w:val="00502A6F"/>
    <w:rsid w:val="00505164"/>
    <w:rsid w:val="00505206"/>
    <w:rsid w:val="00505BC3"/>
    <w:rsid w:val="00506DE3"/>
    <w:rsid w:val="00510096"/>
    <w:rsid w:val="00512457"/>
    <w:rsid w:val="005136C2"/>
    <w:rsid w:val="005148A2"/>
    <w:rsid w:val="00515160"/>
    <w:rsid w:val="00516A3B"/>
    <w:rsid w:val="005175BB"/>
    <w:rsid w:val="005268F1"/>
    <w:rsid w:val="00532DCF"/>
    <w:rsid w:val="005349F0"/>
    <w:rsid w:val="005354B4"/>
    <w:rsid w:val="00537AE4"/>
    <w:rsid w:val="0054167F"/>
    <w:rsid w:val="005418AC"/>
    <w:rsid w:val="00542E1B"/>
    <w:rsid w:val="00545D9C"/>
    <w:rsid w:val="0054B0D9"/>
    <w:rsid w:val="00553E8C"/>
    <w:rsid w:val="005617AC"/>
    <w:rsid w:val="00567318"/>
    <w:rsid w:val="005700F8"/>
    <w:rsid w:val="00571222"/>
    <w:rsid w:val="005756AC"/>
    <w:rsid w:val="00580FED"/>
    <w:rsid w:val="00583B76"/>
    <w:rsid w:val="00586E61"/>
    <w:rsid w:val="00587ED4"/>
    <w:rsid w:val="00596868"/>
    <w:rsid w:val="005A128C"/>
    <w:rsid w:val="005A1720"/>
    <w:rsid w:val="005A1B24"/>
    <w:rsid w:val="005A24AB"/>
    <w:rsid w:val="005A3157"/>
    <w:rsid w:val="005A5BBC"/>
    <w:rsid w:val="005B1541"/>
    <w:rsid w:val="005B1BD4"/>
    <w:rsid w:val="005B2857"/>
    <w:rsid w:val="005B3B80"/>
    <w:rsid w:val="005B569A"/>
    <w:rsid w:val="005B56A2"/>
    <w:rsid w:val="005BD158"/>
    <w:rsid w:val="005C0F97"/>
    <w:rsid w:val="005C1004"/>
    <w:rsid w:val="005C2388"/>
    <w:rsid w:val="005C25FD"/>
    <w:rsid w:val="005C2D02"/>
    <w:rsid w:val="005C50ED"/>
    <w:rsid w:val="005C568D"/>
    <w:rsid w:val="005D4AA2"/>
    <w:rsid w:val="005E00B6"/>
    <w:rsid w:val="005E285B"/>
    <w:rsid w:val="005E484A"/>
    <w:rsid w:val="005F014E"/>
    <w:rsid w:val="005F024D"/>
    <w:rsid w:val="005F222F"/>
    <w:rsid w:val="005F37AF"/>
    <w:rsid w:val="005F6F5F"/>
    <w:rsid w:val="006014CF"/>
    <w:rsid w:val="00603474"/>
    <w:rsid w:val="00603743"/>
    <w:rsid w:val="00604DF8"/>
    <w:rsid w:val="00607975"/>
    <w:rsid w:val="006118C0"/>
    <w:rsid w:val="0062243F"/>
    <w:rsid w:val="00624748"/>
    <w:rsid w:val="00626F81"/>
    <w:rsid w:val="006324CE"/>
    <w:rsid w:val="006342ED"/>
    <w:rsid w:val="00637E0A"/>
    <w:rsid w:val="00640244"/>
    <w:rsid w:val="0064165D"/>
    <w:rsid w:val="00641C29"/>
    <w:rsid w:val="00642AC2"/>
    <w:rsid w:val="00642D89"/>
    <w:rsid w:val="00642EEE"/>
    <w:rsid w:val="00654EBF"/>
    <w:rsid w:val="00654F4E"/>
    <w:rsid w:val="00655149"/>
    <w:rsid w:val="00655ABB"/>
    <w:rsid w:val="00656EEC"/>
    <w:rsid w:val="006612AE"/>
    <w:rsid w:val="0066254A"/>
    <w:rsid w:val="00662E13"/>
    <w:rsid w:val="00663589"/>
    <w:rsid w:val="006668C1"/>
    <w:rsid w:val="006750CE"/>
    <w:rsid w:val="006755ED"/>
    <w:rsid w:val="00684806"/>
    <w:rsid w:val="00684879"/>
    <w:rsid w:val="00686A3F"/>
    <w:rsid w:val="00687E55"/>
    <w:rsid w:val="006A0304"/>
    <w:rsid w:val="006A110D"/>
    <w:rsid w:val="006A5803"/>
    <w:rsid w:val="006B53CE"/>
    <w:rsid w:val="006B7145"/>
    <w:rsid w:val="006C298E"/>
    <w:rsid w:val="006C3480"/>
    <w:rsid w:val="006C425E"/>
    <w:rsid w:val="006C6C33"/>
    <w:rsid w:val="006D1705"/>
    <w:rsid w:val="006D2FB0"/>
    <w:rsid w:val="006E2044"/>
    <w:rsid w:val="006E2A34"/>
    <w:rsid w:val="006E3B15"/>
    <w:rsid w:val="006E4526"/>
    <w:rsid w:val="006E47FF"/>
    <w:rsid w:val="006E480A"/>
    <w:rsid w:val="006E63D9"/>
    <w:rsid w:val="006E7BBA"/>
    <w:rsid w:val="006F14ED"/>
    <w:rsid w:val="006F2DA8"/>
    <w:rsid w:val="006F5B4C"/>
    <w:rsid w:val="006F5CF4"/>
    <w:rsid w:val="00704808"/>
    <w:rsid w:val="00714386"/>
    <w:rsid w:val="00717851"/>
    <w:rsid w:val="007214B0"/>
    <w:rsid w:val="0072184E"/>
    <w:rsid w:val="00722E07"/>
    <w:rsid w:val="0072484F"/>
    <w:rsid w:val="00727DF4"/>
    <w:rsid w:val="00740928"/>
    <w:rsid w:val="007412FC"/>
    <w:rsid w:val="00742309"/>
    <w:rsid w:val="007425BB"/>
    <w:rsid w:val="00747D0C"/>
    <w:rsid w:val="0075714F"/>
    <w:rsid w:val="00757252"/>
    <w:rsid w:val="00761D92"/>
    <w:rsid w:val="00764524"/>
    <w:rsid w:val="00773068"/>
    <w:rsid w:val="00773779"/>
    <w:rsid w:val="00776CFE"/>
    <w:rsid w:val="007805A7"/>
    <w:rsid w:val="007831FB"/>
    <w:rsid w:val="007843F8"/>
    <w:rsid w:val="00790645"/>
    <w:rsid w:val="00795F76"/>
    <w:rsid w:val="007974BD"/>
    <w:rsid w:val="007A0894"/>
    <w:rsid w:val="007A12BC"/>
    <w:rsid w:val="007A4768"/>
    <w:rsid w:val="007A6A9B"/>
    <w:rsid w:val="007B03A4"/>
    <w:rsid w:val="007B0CD9"/>
    <w:rsid w:val="007B0E85"/>
    <w:rsid w:val="007C1FAD"/>
    <w:rsid w:val="007C419F"/>
    <w:rsid w:val="007C5262"/>
    <w:rsid w:val="007C72FF"/>
    <w:rsid w:val="007C7BCA"/>
    <w:rsid w:val="007D3049"/>
    <w:rsid w:val="007D4A20"/>
    <w:rsid w:val="007D5F55"/>
    <w:rsid w:val="007E2FEF"/>
    <w:rsid w:val="007E4291"/>
    <w:rsid w:val="007E5279"/>
    <w:rsid w:val="00801508"/>
    <w:rsid w:val="008031B6"/>
    <w:rsid w:val="00806D23"/>
    <w:rsid w:val="00824D53"/>
    <w:rsid w:val="008253FE"/>
    <w:rsid w:val="00825A4E"/>
    <w:rsid w:val="00826796"/>
    <w:rsid w:val="00830859"/>
    <w:rsid w:val="00832554"/>
    <w:rsid w:val="00832991"/>
    <w:rsid w:val="008350AE"/>
    <w:rsid w:val="008361B5"/>
    <w:rsid w:val="00842522"/>
    <w:rsid w:val="00843411"/>
    <w:rsid w:val="00843EFF"/>
    <w:rsid w:val="00844FC0"/>
    <w:rsid w:val="00847304"/>
    <w:rsid w:val="00847479"/>
    <w:rsid w:val="00853834"/>
    <w:rsid w:val="00854E5B"/>
    <w:rsid w:val="008615E3"/>
    <w:rsid w:val="00861856"/>
    <w:rsid w:val="00864303"/>
    <w:rsid w:val="00865A3C"/>
    <w:rsid w:val="00865E60"/>
    <w:rsid w:val="00871283"/>
    <w:rsid w:val="00875C40"/>
    <w:rsid w:val="00876C74"/>
    <w:rsid w:val="00880C76"/>
    <w:rsid w:val="008811DF"/>
    <w:rsid w:val="00886D3B"/>
    <w:rsid w:val="00887FA6"/>
    <w:rsid w:val="00890B2A"/>
    <w:rsid w:val="00897370"/>
    <w:rsid w:val="00897FBE"/>
    <w:rsid w:val="008A2874"/>
    <w:rsid w:val="008A4861"/>
    <w:rsid w:val="008B0B86"/>
    <w:rsid w:val="008B1914"/>
    <w:rsid w:val="008B61B3"/>
    <w:rsid w:val="008C3179"/>
    <w:rsid w:val="008C526A"/>
    <w:rsid w:val="008D106F"/>
    <w:rsid w:val="008D2F86"/>
    <w:rsid w:val="008D3CE0"/>
    <w:rsid w:val="008D6509"/>
    <w:rsid w:val="008D7309"/>
    <w:rsid w:val="008E0215"/>
    <w:rsid w:val="008E1441"/>
    <w:rsid w:val="008E443B"/>
    <w:rsid w:val="008E64BA"/>
    <w:rsid w:val="008E7AC1"/>
    <w:rsid w:val="008E7D80"/>
    <w:rsid w:val="008F0060"/>
    <w:rsid w:val="008F6A4C"/>
    <w:rsid w:val="008F6DF6"/>
    <w:rsid w:val="008F7EE3"/>
    <w:rsid w:val="00900FA0"/>
    <w:rsid w:val="009015D8"/>
    <w:rsid w:val="00901FB4"/>
    <w:rsid w:val="0090208C"/>
    <w:rsid w:val="00902C1E"/>
    <w:rsid w:val="00905318"/>
    <w:rsid w:val="00905C42"/>
    <w:rsid w:val="00906CA6"/>
    <w:rsid w:val="00916920"/>
    <w:rsid w:val="00920B76"/>
    <w:rsid w:val="00921597"/>
    <w:rsid w:val="00922B92"/>
    <w:rsid w:val="00922DE0"/>
    <w:rsid w:val="00924712"/>
    <w:rsid w:val="00925122"/>
    <w:rsid w:val="00931272"/>
    <w:rsid w:val="00931B59"/>
    <w:rsid w:val="0093233F"/>
    <w:rsid w:val="00935A79"/>
    <w:rsid w:val="00936529"/>
    <w:rsid w:val="009537A8"/>
    <w:rsid w:val="00956155"/>
    <w:rsid w:val="009565A5"/>
    <w:rsid w:val="0096067E"/>
    <w:rsid w:val="009621EC"/>
    <w:rsid w:val="0096783B"/>
    <w:rsid w:val="009723C3"/>
    <w:rsid w:val="00973F32"/>
    <w:rsid w:val="00975AE8"/>
    <w:rsid w:val="00982B44"/>
    <w:rsid w:val="00983489"/>
    <w:rsid w:val="00987DE3"/>
    <w:rsid w:val="00987FEA"/>
    <w:rsid w:val="009A2B43"/>
    <w:rsid w:val="009A7103"/>
    <w:rsid w:val="009B226A"/>
    <w:rsid w:val="009B4B86"/>
    <w:rsid w:val="009B532D"/>
    <w:rsid w:val="009C3313"/>
    <w:rsid w:val="009C4994"/>
    <w:rsid w:val="009C68EB"/>
    <w:rsid w:val="009D2A9C"/>
    <w:rsid w:val="009D6933"/>
    <w:rsid w:val="009E005B"/>
    <w:rsid w:val="009E063B"/>
    <w:rsid w:val="009E4025"/>
    <w:rsid w:val="009E705A"/>
    <w:rsid w:val="009E79DA"/>
    <w:rsid w:val="009E7C13"/>
    <w:rsid w:val="009F141E"/>
    <w:rsid w:val="009F37C5"/>
    <w:rsid w:val="009F3C54"/>
    <w:rsid w:val="00A00ED0"/>
    <w:rsid w:val="00A0183E"/>
    <w:rsid w:val="00A055F8"/>
    <w:rsid w:val="00A07094"/>
    <w:rsid w:val="00A07BD2"/>
    <w:rsid w:val="00A10D96"/>
    <w:rsid w:val="00A11225"/>
    <w:rsid w:val="00A131FE"/>
    <w:rsid w:val="00A22818"/>
    <w:rsid w:val="00A2430F"/>
    <w:rsid w:val="00A30CBB"/>
    <w:rsid w:val="00A34959"/>
    <w:rsid w:val="00A36795"/>
    <w:rsid w:val="00A40877"/>
    <w:rsid w:val="00A47D63"/>
    <w:rsid w:val="00A51748"/>
    <w:rsid w:val="00A5185B"/>
    <w:rsid w:val="00A542B7"/>
    <w:rsid w:val="00A56BE3"/>
    <w:rsid w:val="00A70E37"/>
    <w:rsid w:val="00A70E43"/>
    <w:rsid w:val="00A72E44"/>
    <w:rsid w:val="00A73BF0"/>
    <w:rsid w:val="00A77018"/>
    <w:rsid w:val="00A8181C"/>
    <w:rsid w:val="00A8527A"/>
    <w:rsid w:val="00A85A8A"/>
    <w:rsid w:val="00A85E24"/>
    <w:rsid w:val="00A92B67"/>
    <w:rsid w:val="00A9584E"/>
    <w:rsid w:val="00AA0B87"/>
    <w:rsid w:val="00AA1A32"/>
    <w:rsid w:val="00AA5810"/>
    <w:rsid w:val="00AA5F9A"/>
    <w:rsid w:val="00AA74BF"/>
    <w:rsid w:val="00AA7725"/>
    <w:rsid w:val="00AB04B2"/>
    <w:rsid w:val="00AB0BBE"/>
    <w:rsid w:val="00AB0F13"/>
    <w:rsid w:val="00AB5F9B"/>
    <w:rsid w:val="00AC1527"/>
    <w:rsid w:val="00AC292E"/>
    <w:rsid w:val="00AC6379"/>
    <w:rsid w:val="00AD1D4D"/>
    <w:rsid w:val="00AD1E0A"/>
    <w:rsid w:val="00AD2374"/>
    <w:rsid w:val="00AD27BE"/>
    <w:rsid w:val="00AD4453"/>
    <w:rsid w:val="00AD6C80"/>
    <w:rsid w:val="00AD701E"/>
    <w:rsid w:val="00AE1CDC"/>
    <w:rsid w:val="00AE345D"/>
    <w:rsid w:val="00AE5969"/>
    <w:rsid w:val="00AE5E59"/>
    <w:rsid w:val="00AE60FA"/>
    <w:rsid w:val="00AE6468"/>
    <w:rsid w:val="00AF2835"/>
    <w:rsid w:val="00AF5A31"/>
    <w:rsid w:val="00B000FC"/>
    <w:rsid w:val="00B01D07"/>
    <w:rsid w:val="00B023CC"/>
    <w:rsid w:val="00B02600"/>
    <w:rsid w:val="00B02F7A"/>
    <w:rsid w:val="00B1052B"/>
    <w:rsid w:val="00B11DC3"/>
    <w:rsid w:val="00B121C0"/>
    <w:rsid w:val="00B122A2"/>
    <w:rsid w:val="00B13B35"/>
    <w:rsid w:val="00B16C53"/>
    <w:rsid w:val="00B17BC0"/>
    <w:rsid w:val="00B20221"/>
    <w:rsid w:val="00B20FD5"/>
    <w:rsid w:val="00B22895"/>
    <w:rsid w:val="00B22BA8"/>
    <w:rsid w:val="00B2373D"/>
    <w:rsid w:val="00B239FE"/>
    <w:rsid w:val="00B244EF"/>
    <w:rsid w:val="00B2685F"/>
    <w:rsid w:val="00B276D3"/>
    <w:rsid w:val="00B27B66"/>
    <w:rsid w:val="00B31F1D"/>
    <w:rsid w:val="00B33451"/>
    <w:rsid w:val="00B4656C"/>
    <w:rsid w:val="00B51419"/>
    <w:rsid w:val="00B53594"/>
    <w:rsid w:val="00B5642D"/>
    <w:rsid w:val="00B577CF"/>
    <w:rsid w:val="00B62FEF"/>
    <w:rsid w:val="00B66F53"/>
    <w:rsid w:val="00B67079"/>
    <w:rsid w:val="00B6739A"/>
    <w:rsid w:val="00B678C8"/>
    <w:rsid w:val="00B7192A"/>
    <w:rsid w:val="00B73CBE"/>
    <w:rsid w:val="00B751B5"/>
    <w:rsid w:val="00B76442"/>
    <w:rsid w:val="00B80421"/>
    <w:rsid w:val="00B82361"/>
    <w:rsid w:val="00B82451"/>
    <w:rsid w:val="00B8331E"/>
    <w:rsid w:val="00B864ED"/>
    <w:rsid w:val="00B86964"/>
    <w:rsid w:val="00B9646D"/>
    <w:rsid w:val="00B9674D"/>
    <w:rsid w:val="00B975F0"/>
    <w:rsid w:val="00BA1603"/>
    <w:rsid w:val="00BA2CF0"/>
    <w:rsid w:val="00BA44BA"/>
    <w:rsid w:val="00BA4B66"/>
    <w:rsid w:val="00BA58C8"/>
    <w:rsid w:val="00BA6C66"/>
    <w:rsid w:val="00BB0A94"/>
    <w:rsid w:val="00BB107B"/>
    <w:rsid w:val="00BB33A3"/>
    <w:rsid w:val="00BB378B"/>
    <w:rsid w:val="00BC1254"/>
    <w:rsid w:val="00BC180B"/>
    <w:rsid w:val="00BC27E7"/>
    <w:rsid w:val="00BD08EA"/>
    <w:rsid w:val="00BD765C"/>
    <w:rsid w:val="00BE05F6"/>
    <w:rsid w:val="00BE11D8"/>
    <w:rsid w:val="00BE349B"/>
    <w:rsid w:val="00BE4EF7"/>
    <w:rsid w:val="00BE5580"/>
    <w:rsid w:val="00BE69AE"/>
    <w:rsid w:val="00BE7A5F"/>
    <w:rsid w:val="00BE7FC3"/>
    <w:rsid w:val="00BF0979"/>
    <w:rsid w:val="00BF2C5E"/>
    <w:rsid w:val="00BF4997"/>
    <w:rsid w:val="00BF53FC"/>
    <w:rsid w:val="00BF700B"/>
    <w:rsid w:val="00C03A89"/>
    <w:rsid w:val="00C0585A"/>
    <w:rsid w:val="00C05D9A"/>
    <w:rsid w:val="00C06933"/>
    <w:rsid w:val="00C07FD9"/>
    <w:rsid w:val="00C1029C"/>
    <w:rsid w:val="00C15BDD"/>
    <w:rsid w:val="00C20F41"/>
    <w:rsid w:val="00C21F93"/>
    <w:rsid w:val="00C21FAE"/>
    <w:rsid w:val="00C22ACD"/>
    <w:rsid w:val="00C25179"/>
    <w:rsid w:val="00C2687C"/>
    <w:rsid w:val="00C32AB0"/>
    <w:rsid w:val="00C3500E"/>
    <w:rsid w:val="00C37C7F"/>
    <w:rsid w:val="00C40B6E"/>
    <w:rsid w:val="00C44700"/>
    <w:rsid w:val="00C4674A"/>
    <w:rsid w:val="00C5274E"/>
    <w:rsid w:val="00C54054"/>
    <w:rsid w:val="00C614CD"/>
    <w:rsid w:val="00C63916"/>
    <w:rsid w:val="00C666C5"/>
    <w:rsid w:val="00C67F67"/>
    <w:rsid w:val="00C7290C"/>
    <w:rsid w:val="00C760E9"/>
    <w:rsid w:val="00C76C1F"/>
    <w:rsid w:val="00C836B9"/>
    <w:rsid w:val="00C86E44"/>
    <w:rsid w:val="00C91098"/>
    <w:rsid w:val="00C91655"/>
    <w:rsid w:val="00C916E2"/>
    <w:rsid w:val="00C9187A"/>
    <w:rsid w:val="00CA332E"/>
    <w:rsid w:val="00CA6779"/>
    <w:rsid w:val="00CA7794"/>
    <w:rsid w:val="00CB1F5E"/>
    <w:rsid w:val="00CB48EA"/>
    <w:rsid w:val="00CB4CE9"/>
    <w:rsid w:val="00CB52F7"/>
    <w:rsid w:val="00CB6540"/>
    <w:rsid w:val="00CC06C5"/>
    <w:rsid w:val="00CC143C"/>
    <w:rsid w:val="00CC260F"/>
    <w:rsid w:val="00CC4BF1"/>
    <w:rsid w:val="00CD0CAC"/>
    <w:rsid w:val="00CD0E04"/>
    <w:rsid w:val="00CD14F9"/>
    <w:rsid w:val="00CD2C8F"/>
    <w:rsid w:val="00CE1671"/>
    <w:rsid w:val="00CE4393"/>
    <w:rsid w:val="00CE6B3B"/>
    <w:rsid w:val="00CE7F4C"/>
    <w:rsid w:val="00CF04DE"/>
    <w:rsid w:val="00CF1211"/>
    <w:rsid w:val="00CF278A"/>
    <w:rsid w:val="00CF3BB1"/>
    <w:rsid w:val="00D03009"/>
    <w:rsid w:val="00D10BCE"/>
    <w:rsid w:val="00D1784C"/>
    <w:rsid w:val="00D20AD2"/>
    <w:rsid w:val="00D21674"/>
    <w:rsid w:val="00D2169C"/>
    <w:rsid w:val="00D241BE"/>
    <w:rsid w:val="00D3189F"/>
    <w:rsid w:val="00D33FEE"/>
    <w:rsid w:val="00D34CFA"/>
    <w:rsid w:val="00D458DB"/>
    <w:rsid w:val="00D51F64"/>
    <w:rsid w:val="00D5281A"/>
    <w:rsid w:val="00D54551"/>
    <w:rsid w:val="00D57646"/>
    <w:rsid w:val="00D57808"/>
    <w:rsid w:val="00D621C1"/>
    <w:rsid w:val="00D636A8"/>
    <w:rsid w:val="00D65BA3"/>
    <w:rsid w:val="00D67764"/>
    <w:rsid w:val="00D71873"/>
    <w:rsid w:val="00D74526"/>
    <w:rsid w:val="00D74A52"/>
    <w:rsid w:val="00D83A13"/>
    <w:rsid w:val="00D8529C"/>
    <w:rsid w:val="00D9111B"/>
    <w:rsid w:val="00D912E7"/>
    <w:rsid w:val="00D9260D"/>
    <w:rsid w:val="00D937D9"/>
    <w:rsid w:val="00D93FEE"/>
    <w:rsid w:val="00D958C8"/>
    <w:rsid w:val="00DA2427"/>
    <w:rsid w:val="00DB216A"/>
    <w:rsid w:val="00DB3381"/>
    <w:rsid w:val="00DB4D2E"/>
    <w:rsid w:val="00DB5030"/>
    <w:rsid w:val="00DC11F5"/>
    <w:rsid w:val="00DC2158"/>
    <w:rsid w:val="00DC2F39"/>
    <w:rsid w:val="00DC544F"/>
    <w:rsid w:val="00DC565D"/>
    <w:rsid w:val="00DD6327"/>
    <w:rsid w:val="00DE159E"/>
    <w:rsid w:val="00DE2E45"/>
    <w:rsid w:val="00DE3446"/>
    <w:rsid w:val="00DE38D9"/>
    <w:rsid w:val="00DE45E7"/>
    <w:rsid w:val="00DE613E"/>
    <w:rsid w:val="00DE7D01"/>
    <w:rsid w:val="00DF05F1"/>
    <w:rsid w:val="00DF09BD"/>
    <w:rsid w:val="00DF25AF"/>
    <w:rsid w:val="00DF314B"/>
    <w:rsid w:val="00DF471B"/>
    <w:rsid w:val="00DF69F3"/>
    <w:rsid w:val="00DF727B"/>
    <w:rsid w:val="00E01DDA"/>
    <w:rsid w:val="00E16144"/>
    <w:rsid w:val="00E21B78"/>
    <w:rsid w:val="00E243F6"/>
    <w:rsid w:val="00E2605B"/>
    <w:rsid w:val="00E26F24"/>
    <w:rsid w:val="00E344B4"/>
    <w:rsid w:val="00E371C6"/>
    <w:rsid w:val="00E374CA"/>
    <w:rsid w:val="00E3768E"/>
    <w:rsid w:val="00E45F78"/>
    <w:rsid w:val="00E4606A"/>
    <w:rsid w:val="00E46521"/>
    <w:rsid w:val="00E47E77"/>
    <w:rsid w:val="00E51887"/>
    <w:rsid w:val="00E51E39"/>
    <w:rsid w:val="00E52C2C"/>
    <w:rsid w:val="00E6157A"/>
    <w:rsid w:val="00E6425D"/>
    <w:rsid w:val="00E6461F"/>
    <w:rsid w:val="00E73E44"/>
    <w:rsid w:val="00E74FD1"/>
    <w:rsid w:val="00E750FD"/>
    <w:rsid w:val="00E81569"/>
    <w:rsid w:val="00E84E67"/>
    <w:rsid w:val="00E86C63"/>
    <w:rsid w:val="00E87746"/>
    <w:rsid w:val="00E91A8E"/>
    <w:rsid w:val="00EA02AD"/>
    <w:rsid w:val="00EA3367"/>
    <w:rsid w:val="00EA469A"/>
    <w:rsid w:val="00EA47DB"/>
    <w:rsid w:val="00EA6DB8"/>
    <w:rsid w:val="00EA7392"/>
    <w:rsid w:val="00EB074C"/>
    <w:rsid w:val="00EB11CC"/>
    <w:rsid w:val="00EB5498"/>
    <w:rsid w:val="00EB6358"/>
    <w:rsid w:val="00EB69BD"/>
    <w:rsid w:val="00EB76A7"/>
    <w:rsid w:val="00EC49C8"/>
    <w:rsid w:val="00ED01C5"/>
    <w:rsid w:val="00ED222B"/>
    <w:rsid w:val="00ED2DB4"/>
    <w:rsid w:val="00ED65F0"/>
    <w:rsid w:val="00EE2335"/>
    <w:rsid w:val="00EE365F"/>
    <w:rsid w:val="00EE39B4"/>
    <w:rsid w:val="00EE3C95"/>
    <w:rsid w:val="00EE3DBE"/>
    <w:rsid w:val="00EF1296"/>
    <w:rsid w:val="00EF3222"/>
    <w:rsid w:val="00EF44E5"/>
    <w:rsid w:val="00EF7E0A"/>
    <w:rsid w:val="00F00329"/>
    <w:rsid w:val="00F0404D"/>
    <w:rsid w:val="00F10650"/>
    <w:rsid w:val="00F119BE"/>
    <w:rsid w:val="00F11DE1"/>
    <w:rsid w:val="00F12B55"/>
    <w:rsid w:val="00F209F2"/>
    <w:rsid w:val="00F21ACF"/>
    <w:rsid w:val="00F26012"/>
    <w:rsid w:val="00F27830"/>
    <w:rsid w:val="00F31700"/>
    <w:rsid w:val="00F33503"/>
    <w:rsid w:val="00F35C1D"/>
    <w:rsid w:val="00F41CCD"/>
    <w:rsid w:val="00F439D7"/>
    <w:rsid w:val="00F43A74"/>
    <w:rsid w:val="00F44624"/>
    <w:rsid w:val="00F5084A"/>
    <w:rsid w:val="00F512BF"/>
    <w:rsid w:val="00F523F9"/>
    <w:rsid w:val="00F53524"/>
    <w:rsid w:val="00F60031"/>
    <w:rsid w:val="00F62AE9"/>
    <w:rsid w:val="00F6308F"/>
    <w:rsid w:val="00F72C0E"/>
    <w:rsid w:val="00F73451"/>
    <w:rsid w:val="00F74273"/>
    <w:rsid w:val="00F758EA"/>
    <w:rsid w:val="00F777EF"/>
    <w:rsid w:val="00F80B5F"/>
    <w:rsid w:val="00F848CA"/>
    <w:rsid w:val="00F91476"/>
    <w:rsid w:val="00F94AFB"/>
    <w:rsid w:val="00F950F3"/>
    <w:rsid w:val="00FA073D"/>
    <w:rsid w:val="00FA6C7E"/>
    <w:rsid w:val="00FB0D4E"/>
    <w:rsid w:val="00FB1057"/>
    <w:rsid w:val="00FB182D"/>
    <w:rsid w:val="00FB5457"/>
    <w:rsid w:val="00FB799B"/>
    <w:rsid w:val="00FB7ABB"/>
    <w:rsid w:val="00FC0F08"/>
    <w:rsid w:val="00FC33E5"/>
    <w:rsid w:val="00FC710C"/>
    <w:rsid w:val="00FD0290"/>
    <w:rsid w:val="00FD3E11"/>
    <w:rsid w:val="00FD4DDB"/>
    <w:rsid w:val="00FE1ABE"/>
    <w:rsid w:val="00FE6C43"/>
    <w:rsid w:val="00FE76AD"/>
    <w:rsid w:val="00FF0DC7"/>
    <w:rsid w:val="00FF128D"/>
    <w:rsid w:val="00FF2C5C"/>
    <w:rsid w:val="00FF39A9"/>
    <w:rsid w:val="00FF7A55"/>
    <w:rsid w:val="01600CF7"/>
    <w:rsid w:val="017A0DAA"/>
    <w:rsid w:val="02733AC3"/>
    <w:rsid w:val="02EB64AC"/>
    <w:rsid w:val="035C68C0"/>
    <w:rsid w:val="0470F4E2"/>
    <w:rsid w:val="04842498"/>
    <w:rsid w:val="0487350D"/>
    <w:rsid w:val="04A2D78F"/>
    <w:rsid w:val="04B4DDC8"/>
    <w:rsid w:val="054348A5"/>
    <w:rsid w:val="05AF4B90"/>
    <w:rsid w:val="05B453C2"/>
    <w:rsid w:val="05C40858"/>
    <w:rsid w:val="06B4E9C7"/>
    <w:rsid w:val="06D5BD80"/>
    <w:rsid w:val="074B0DD0"/>
    <w:rsid w:val="0823E3D3"/>
    <w:rsid w:val="08394A4B"/>
    <w:rsid w:val="08ADF828"/>
    <w:rsid w:val="08B7CAEC"/>
    <w:rsid w:val="09DBD014"/>
    <w:rsid w:val="0A726DA1"/>
    <w:rsid w:val="0A98852E"/>
    <w:rsid w:val="0B4B50E8"/>
    <w:rsid w:val="0CE70719"/>
    <w:rsid w:val="0DB8E717"/>
    <w:rsid w:val="0E2C566C"/>
    <w:rsid w:val="0EA464F3"/>
    <w:rsid w:val="0EB7A871"/>
    <w:rsid w:val="0F3606EC"/>
    <w:rsid w:val="0F3D0579"/>
    <w:rsid w:val="106BC54F"/>
    <w:rsid w:val="11308A0C"/>
    <w:rsid w:val="1169BEE8"/>
    <w:rsid w:val="11A97E32"/>
    <w:rsid w:val="11E64A81"/>
    <w:rsid w:val="11F9DEB1"/>
    <w:rsid w:val="12B82D9A"/>
    <w:rsid w:val="12D18876"/>
    <w:rsid w:val="14319117"/>
    <w:rsid w:val="14F05649"/>
    <w:rsid w:val="15E57C71"/>
    <w:rsid w:val="17F2A3D8"/>
    <w:rsid w:val="183B5F4A"/>
    <w:rsid w:val="19FF8ACC"/>
    <w:rsid w:val="1A62B95F"/>
    <w:rsid w:val="1A9D62F9"/>
    <w:rsid w:val="1AA70175"/>
    <w:rsid w:val="1AF6868F"/>
    <w:rsid w:val="1B4DF754"/>
    <w:rsid w:val="1BE3A91C"/>
    <w:rsid w:val="1C27F704"/>
    <w:rsid w:val="1C99CB6E"/>
    <w:rsid w:val="1CC355F8"/>
    <w:rsid w:val="1DF7C889"/>
    <w:rsid w:val="1F1ED5B3"/>
    <w:rsid w:val="216AA108"/>
    <w:rsid w:val="21726411"/>
    <w:rsid w:val="231C366B"/>
    <w:rsid w:val="2320C82A"/>
    <w:rsid w:val="2448665F"/>
    <w:rsid w:val="24DAB50B"/>
    <w:rsid w:val="25E93405"/>
    <w:rsid w:val="29E9388A"/>
    <w:rsid w:val="2A9D23D7"/>
    <w:rsid w:val="2AF5C7F0"/>
    <w:rsid w:val="2B4EAC9B"/>
    <w:rsid w:val="2BB6698E"/>
    <w:rsid w:val="2BE78EB4"/>
    <w:rsid w:val="2C9C7059"/>
    <w:rsid w:val="2CA21920"/>
    <w:rsid w:val="2CFB73D1"/>
    <w:rsid w:val="2D2DE61B"/>
    <w:rsid w:val="2D45FC1B"/>
    <w:rsid w:val="2E4D2AE3"/>
    <w:rsid w:val="2F62C3DC"/>
    <w:rsid w:val="2F642D8B"/>
    <w:rsid w:val="3027762C"/>
    <w:rsid w:val="30CC41D9"/>
    <w:rsid w:val="3166799E"/>
    <w:rsid w:val="34D0ADFB"/>
    <w:rsid w:val="34DF3626"/>
    <w:rsid w:val="373AEBF6"/>
    <w:rsid w:val="3747F8E8"/>
    <w:rsid w:val="376AFC99"/>
    <w:rsid w:val="37885B88"/>
    <w:rsid w:val="3B1540B0"/>
    <w:rsid w:val="3B8E87D0"/>
    <w:rsid w:val="3D21DE81"/>
    <w:rsid w:val="3D4021F8"/>
    <w:rsid w:val="3D7EE440"/>
    <w:rsid w:val="3DCCC8D3"/>
    <w:rsid w:val="3E09C2FF"/>
    <w:rsid w:val="3EEEC007"/>
    <w:rsid w:val="3F3F1462"/>
    <w:rsid w:val="40D5B2D1"/>
    <w:rsid w:val="40E78D86"/>
    <w:rsid w:val="4118F411"/>
    <w:rsid w:val="418ED631"/>
    <w:rsid w:val="41ED9C43"/>
    <w:rsid w:val="426B0D53"/>
    <w:rsid w:val="426E9478"/>
    <w:rsid w:val="429B519E"/>
    <w:rsid w:val="42A62E43"/>
    <w:rsid w:val="4337A405"/>
    <w:rsid w:val="43B0ED89"/>
    <w:rsid w:val="444B5074"/>
    <w:rsid w:val="44B069CE"/>
    <w:rsid w:val="4504469B"/>
    <w:rsid w:val="4530C594"/>
    <w:rsid w:val="4572CB00"/>
    <w:rsid w:val="464C3A2F"/>
    <w:rsid w:val="465981AB"/>
    <w:rsid w:val="46674090"/>
    <w:rsid w:val="467D8272"/>
    <w:rsid w:val="468D76FC"/>
    <w:rsid w:val="469215B8"/>
    <w:rsid w:val="46A2FFE4"/>
    <w:rsid w:val="47E4FA6E"/>
    <w:rsid w:val="48D07E26"/>
    <w:rsid w:val="48D6D1CC"/>
    <w:rsid w:val="4923509F"/>
    <w:rsid w:val="4AE6B4F7"/>
    <w:rsid w:val="4B421E72"/>
    <w:rsid w:val="4B43A0FF"/>
    <w:rsid w:val="4BE9EDAC"/>
    <w:rsid w:val="4CB406BB"/>
    <w:rsid w:val="4CFCA20C"/>
    <w:rsid w:val="4DBC235F"/>
    <w:rsid w:val="4DBC9F79"/>
    <w:rsid w:val="4DEF39DE"/>
    <w:rsid w:val="4F1F6EC2"/>
    <w:rsid w:val="4F780E70"/>
    <w:rsid w:val="4F79B632"/>
    <w:rsid w:val="51977E20"/>
    <w:rsid w:val="51B5E463"/>
    <w:rsid w:val="51F6E60C"/>
    <w:rsid w:val="52D7CED8"/>
    <w:rsid w:val="52FE4B0B"/>
    <w:rsid w:val="531AE231"/>
    <w:rsid w:val="535D68AF"/>
    <w:rsid w:val="53C6C49A"/>
    <w:rsid w:val="54292BB3"/>
    <w:rsid w:val="54F12D3A"/>
    <w:rsid w:val="56248B15"/>
    <w:rsid w:val="56B71184"/>
    <w:rsid w:val="57342988"/>
    <w:rsid w:val="589CF814"/>
    <w:rsid w:val="5938C3BB"/>
    <w:rsid w:val="5A9AA667"/>
    <w:rsid w:val="5B5D0799"/>
    <w:rsid w:val="5BAF9864"/>
    <w:rsid w:val="5BE34919"/>
    <w:rsid w:val="5C3476B1"/>
    <w:rsid w:val="5D9E93D8"/>
    <w:rsid w:val="5DACD772"/>
    <w:rsid w:val="5E0B91EC"/>
    <w:rsid w:val="5E195C9E"/>
    <w:rsid w:val="5E280C75"/>
    <w:rsid w:val="5ED8A911"/>
    <w:rsid w:val="60002C0E"/>
    <w:rsid w:val="60A54689"/>
    <w:rsid w:val="611EDEDA"/>
    <w:rsid w:val="61D29EA7"/>
    <w:rsid w:val="6291F788"/>
    <w:rsid w:val="62EC1D88"/>
    <w:rsid w:val="634E4C1C"/>
    <w:rsid w:val="646DB7D1"/>
    <w:rsid w:val="656CA7EE"/>
    <w:rsid w:val="65A581B9"/>
    <w:rsid w:val="65F8444A"/>
    <w:rsid w:val="6611E310"/>
    <w:rsid w:val="6689BA0C"/>
    <w:rsid w:val="66A06D89"/>
    <w:rsid w:val="67A4F03E"/>
    <w:rsid w:val="68C4E107"/>
    <w:rsid w:val="698BB9EB"/>
    <w:rsid w:val="69B15C23"/>
    <w:rsid w:val="6B6ED622"/>
    <w:rsid w:val="6C28E7D3"/>
    <w:rsid w:val="6C8BC938"/>
    <w:rsid w:val="6C8D6013"/>
    <w:rsid w:val="6D842584"/>
    <w:rsid w:val="6E943479"/>
    <w:rsid w:val="6FC1E084"/>
    <w:rsid w:val="71476D37"/>
    <w:rsid w:val="718A0F03"/>
    <w:rsid w:val="72DB1CF2"/>
    <w:rsid w:val="746D8C13"/>
    <w:rsid w:val="74EDB6A7"/>
    <w:rsid w:val="7536CC73"/>
    <w:rsid w:val="7608CA57"/>
    <w:rsid w:val="78C57A10"/>
    <w:rsid w:val="79713FF0"/>
    <w:rsid w:val="7A02B5B2"/>
    <w:rsid w:val="7A048CD3"/>
    <w:rsid w:val="7A3D46D4"/>
    <w:rsid w:val="7A53D532"/>
    <w:rsid w:val="7A55B962"/>
    <w:rsid w:val="7A6AD972"/>
    <w:rsid w:val="7A6DE17B"/>
    <w:rsid w:val="7B0ACC25"/>
    <w:rsid w:val="7B186EE9"/>
    <w:rsid w:val="7B5A9964"/>
    <w:rsid w:val="7BDA02D5"/>
    <w:rsid w:val="7BF9C46B"/>
    <w:rsid w:val="7C2E80DE"/>
    <w:rsid w:val="7C986574"/>
    <w:rsid w:val="7D8E820D"/>
    <w:rsid w:val="7DD7B31B"/>
    <w:rsid w:val="7E16C2E7"/>
    <w:rsid w:val="7E44595D"/>
    <w:rsid w:val="7E785DF4"/>
    <w:rsid w:val="7EA1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2119"/>
  <w15:chartTrackingRefBased/>
  <w15:docId w15:val="{9C6121E3-7598-4312-BAC3-C2CA6F50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67F"/>
    <w:rPr>
      <w:color w:val="0563C1" w:themeColor="hyperlink"/>
      <w:u w:val="single"/>
    </w:rPr>
  </w:style>
  <w:style w:type="paragraph" w:styleId="ListParagraph">
    <w:name w:val="List Paragraph"/>
    <w:basedOn w:val="Normal"/>
    <w:uiPriority w:val="34"/>
    <w:qFormat/>
    <w:rsid w:val="005C2D02"/>
    <w:pPr>
      <w:ind w:left="720"/>
      <w:contextualSpacing/>
    </w:pPr>
  </w:style>
  <w:style w:type="paragraph" w:styleId="FootnoteText">
    <w:name w:val="footnote text"/>
    <w:basedOn w:val="Normal"/>
    <w:link w:val="FootnoteTextChar"/>
    <w:uiPriority w:val="99"/>
    <w:unhideWhenUsed/>
    <w:rsid w:val="00BB33A3"/>
    <w:pPr>
      <w:spacing w:after="0" w:line="240" w:lineRule="auto"/>
    </w:pPr>
    <w:rPr>
      <w:sz w:val="20"/>
      <w:szCs w:val="20"/>
    </w:rPr>
  </w:style>
  <w:style w:type="character" w:customStyle="1" w:styleId="FootnoteTextChar">
    <w:name w:val="Footnote Text Char"/>
    <w:basedOn w:val="DefaultParagraphFont"/>
    <w:link w:val="FootnoteText"/>
    <w:uiPriority w:val="99"/>
    <w:rsid w:val="00BB33A3"/>
    <w:rPr>
      <w:sz w:val="20"/>
      <w:szCs w:val="20"/>
    </w:rPr>
  </w:style>
  <w:style w:type="character" w:styleId="FootnoteReference">
    <w:name w:val="footnote reference"/>
    <w:basedOn w:val="DefaultParagraphFont"/>
    <w:uiPriority w:val="99"/>
    <w:unhideWhenUsed/>
    <w:rsid w:val="00BB33A3"/>
    <w:rPr>
      <w:vertAlign w:val="superscript"/>
    </w:rPr>
  </w:style>
  <w:style w:type="character" w:styleId="UnresolvedMention">
    <w:name w:val="Unresolved Mention"/>
    <w:basedOn w:val="DefaultParagraphFont"/>
    <w:uiPriority w:val="99"/>
    <w:semiHidden/>
    <w:unhideWhenUsed/>
    <w:rsid w:val="00BB33A3"/>
    <w:rPr>
      <w:color w:val="605E5C"/>
      <w:shd w:val="clear" w:color="auto" w:fill="E1DFDD"/>
    </w:rPr>
  </w:style>
  <w:style w:type="paragraph" w:styleId="Header">
    <w:name w:val="header"/>
    <w:basedOn w:val="Normal"/>
    <w:link w:val="HeaderChar"/>
    <w:uiPriority w:val="99"/>
    <w:unhideWhenUsed/>
    <w:rsid w:val="00655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149"/>
  </w:style>
  <w:style w:type="paragraph" w:styleId="Footer">
    <w:name w:val="footer"/>
    <w:basedOn w:val="Normal"/>
    <w:link w:val="FooterChar"/>
    <w:uiPriority w:val="99"/>
    <w:unhideWhenUsed/>
    <w:rsid w:val="00655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149"/>
  </w:style>
  <w:style w:type="character" w:styleId="CommentReference">
    <w:name w:val="annotation reference"/>
    <w:basedOn w:val="DefaultParagraphFont"/>
    <w:uiPriority w:val="99"/>
    <w:semiHidden/>
    <w:unhideWhenUsed/>
    <w:rsid w:val="00F512BF"/>
    <w:rPr>
      <w:sz w:val="16"/>
      <w:szCs w:val="16"/>
    </w:rPr>
  </w:style>
  <w:style w:type="paragraph" w:styleId="CommentText">
    <w:name w:val="annotation text"/>
    <w:basedOn w:val="Normal"/>
    <w:link w:val="CommentTextChar"/>
    <w:uiPriority w:val="99"/>
    <w:unhideWhenUsed/>
    <w:rsid w:val="00F512BF"/>
    <w:pPr>
      <w:spacing w:line="240" w:lineRule="auto"/>
    </w:pPr>
    <w:rPr>
      <w:sz w:val="20"/>
      <w:szCs w:val="20"/>
    </w:rPr>
  </w:style>
  <w:style w:type="character" w:customStyle="1" w:styleId="CommentTextChar">
    <w:name w:val="Comment Text Char"/>
    <w:basedOn w:val="DefaultParagraphFont"/>
    <w:link w:val="CommentText"/>
    <w:uiPriority w:val="99"/>
    <w:rsid w:val="00F512BF"/>
    <w:rPr>
      <w:sz w:val="20"/>
      <w:szCs w:val="20"/>
    </w:rPr>
  </w:style>
  <w:style w:type="paragraph" w:styleId="CommentSubject">
    <w:name w:val="annotation subject"/>
    <w:basedOn w:val="CommentText"/>
    <w:next w:val="CommentText"/>
    <w:link w:val="CommentSubjectChar"/>
    <w:uiPriority w:val="99"/>
    <w:semiHidden/>
    <w:unhideWhenUsed/>
    <w:rsid w:val="00F512BF"/>
    <w:rPr>
      <w:b/>
      <w:bCs/>
    </w:rPr>
  </w:style>
  <w:style w:type="character" w:customStyle="1" w:styleId="CommentSubjectChar">
    <w:name w:val="Comment Subject Char"/>
    <w:basedOn w:val="CommentTextChar"/>
    <w:link w:val="CommentSubject"/>
    <w:uiPriority w:val="99"/>
    <w:semiHidden/>
    <w:rsid w:val="00F512BF"/>
    <w:rPr>
      <w:b/>
      <w:bCs/>
      <w:sz w:val="20"/>
      <w:szCs w:val="20"/>
    </w:rPr>
  </w:style>
  <w:style w:type="paragraph" w:styleId="Revision">
    <w:name w:val="Revision"/>
    <w:hidden/>
    <w:uiPriority w:val="99"/>
    <w:semiHidden/>
    <w:rsid w:val="00F512BF"/>
    <w:pPr>
      <w:spacing w:after="0" w:line="240" w:lineRule="auto"/>
    </w:pPr>
  </w:style>
  <w:style w:type="character" w:styleId="FollowedHyperlink">
    <w:name w:val="FollowedHyperlink"/>
    <w:basedOn w:val="DefaultParagraphFont"/>
    <w:uiPriority w:val="99"/>
    <w:semiHidden/>
    <w:unhideWhenUsed/>
    <w:rsid w:val="003804C5"/>
    <w:rPr>
      <w:color w:val="954F72" w:themeColor="followedHyperlink"/>
      <w:u w:val="single"/>
    </w:rPr>
  </w:style>
  <w:style w:type="character" w:styleId="Strong">
    <w:name w:val="Strong"/>
    <w:basedOn w:val="DefaultParagraphFont"/>
    <w:uiPriority w:val="22"/>
    <w:qFormat/>
    <w:rsid w:val="00C91655"/>
    <w:rPr>
      <w:b/>
      <w:bCs/>
    </w:rPr>
  </w:style>
  <w:style w:type="character" w:styleId="Mention">
    <w:name w:val="Mention"/>
    <w:basedOn w:val="DefaultParagraphFont"/>
    <w:uiPriority w:val="99"/>
    <w:unhideWhenUsed/>
    <w:rsid w:val="00757252"/>
    <w:rPr>
      <w:color w:val="2B579A"/>
      <w:shd w:val="clear" w:color="auto" w:fill="E1DFDD"/>
    </w:rPr>
  </w:style>
  <w:style w:type="paragraph" w:customStyle="1" w:styleId="blockquote">
    <w:name w:val="blockquote"/>
    <w:basedOn w:val="Normal"/>
    <w:rsid w:val="001474D2"/>
    <w:pPr>
      <w:spacing w:before="20" w:after="20" w:line="264" w:lineRule="auto"/>
      <w:ind w:left="720" w:right="720"/>
    </w:pPr>
    <w:rPr>
      <w:rFonts w:ascii="MetaPro-Norm" w:eastAsia="SimSun" w:hAnsi="MetaPro-Norm"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1956">
      <w:bodyDiv w:val="1"/>
      <w:marLeft w:val="0"/>
      <w:marRight w:val="0"/>
      <w:marTop w:val="0"/>
      <w:marBottom w:val="0"/>
      <w:divBdr>
        <w:top w:val="none" w:sz="0" w:space="0" w:color="auto"/>
        <w:left w:val="none" w:sz="0" w:space="0" w:color="auto"/>
        <w:bottom w:val="none" w:sz="0" w:space="0" w:color="auto"/>
        <w:right w:val="none" w:sz="0" w:space="0" w:color="auto"/>
      </w:divBdr>
    </w:div>
    <w:div w:id="708383474">
      <w:bodyDiv w:val="1"/>
      <w:marLeft w:val="0"/>
      <w:marRight w:val="0"/>
      <w:marTop w:val="0"/>
      <w:marBottom w:val="0"/>
      <w:divBdr>
        <w:top w:val="none" w:sz="0" w:space="0" w:color="auto"/>
        <w:left w:val="none" w:sz="0" w:space="0" w:color="auto"/>
        <w:bottom w:val="none" w:sz="0" w:space="0" w:color="auto"/>
        <w:right w:val="none" w:sz="0" w:space="0" w:color="auto"/>
      </w:divBdr>
    </w:div>
    <w:div w:id="11978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AA1900F481E4BA12F41BA77C27400" ma:contentTypeVersion="16" ma:contentTypeDescription="Create a new document." ma:contentTypeScope="" ma:versionID="00eb49603d3274a265777ebc59a16487">
  <xsd:schema xmlns:xsd="http://www.w3.org/2001/XMLSchema" xmlns:xs="http://www.w3.org/2001/XMLSchema" xmlns:p="http://schemas.microsoft.com/office/2006/metadata/properties" xmlns:ns2="ea9d0fa6-b667-49da-a549-51ffb1fdd950" xmlns:ns3="7055a24c-d926-4c59-aca0-8287c86e700b" targetNamespace="http://schemas.microsoft.com/office/2006/metadata/properties" ma:root="true" ma:fieldsID="afd9a081ce19b9cb562938f7d47c2d2d" ns2:_="" ns3:_="">
    <xsd:import namespace="ea9d0fa6-b667-49da-a549-51ffb1fdd950"/>
    <xsd:import namespace="7055a24c-d926-4c59-aca0-8287c86e7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d0fa6-b667-49da-a549-51ffb1fdd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1fdafe-9854-4240-ab20-80134166ca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55a24c-d926-4c59-aca0-8287c86e7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b5b90-6c9e-4a75-8774-e0c3b153f266}" ma:internalName="TaxCatchAll" ma:showField="CatchAllData" ma:web="7055a24c-d926-4c59-aca0-8287c86e7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d0fa6-b667-49da-a549-51ffb1fdd950">
      <Terms xmlns="http://schemas.microsoft.com/office/infopath/2007/PartnerControls"/>
    </lcf76f155ced4ddcb4097134ff3c332f>
    <TaxCatchAll xmlns="7055a24c-d926-4c59-aca0-8287c86e700b" xsi:nil="true"/>
    <SharedWithUsers xmlns="7055a24c-d926-4c59-aca0-8287c86e700b">
      <UserInfo>
        <DisplayName>Emina Cerimovic</DisplayName>
        <AccountId>26</AccountId>
        <AccountType/>
      </UserInfo>
      <UserInfo>
        <DisplayName>Elizabeth Kamundia</DisplayName>
        <AccountId>626</AccountId>
        <AccountType/>
      </UserInfo>
      <UserInfo>
        <DisplayName>Subhajit Saha</DisplayName>
        <AccountId>68</AccountId>
        <AccountType/>
      </UserInfo>
      <UserInfo>
        <DisplayName>Samer Muscati</DisplayName>
        <AccountId>15</AccountId>
        <AccountType/>
      </UserInfo>
      <UserInfo>
        <DisplayName>Hiba Zayadin</DisplayName>
        <AccountId>719</AccountId>
        <AccountType/>
      </UserInfo>
      <UserInfo>
        <DisplayName>Abier Almasri</DisplayName>
        <AccountId>193</AccountId>
        <AccountType/>
      </UserInfo>
      <UserInfo>
        <DisplayName>Omar Shakir</DisplayName>
        <AccountId>490</AccountId>
        <AccountType/>
      </UserInfo>
      <UserInfo>
        <DisplayName>Farida Deif</DisplayName>
        <AccountId>383</AccountId>
        <AccountType/>
      </UserInfo>
      <UserInfo>
        <DisplayName>Anahit Chilingaryan</DisplayName>
        <AccountId>489</AccountId>
        <AccountType/>
      </UserInfo>
      <UserInfo>
        <DisplayName>Giorgi Gogia</DisplayName>
        <AccountId>312</AccountId>
        <AccountType/>
      </UserInfo>
      <UserInfo>
        <DisplayName>Patti Gossman</DisplayName>
        <AccountId>450</AccountId>
        <AccountType/>
      </UserInfo>
      <UserInfo>
        <DisplayName>Adil Sakhawat</DisplayName>
        <AccountId>768</AccountId>
        <AccountType/>
      </UserInfo>
    </SharedWithUsers>
  </documentManagement>
</p:properties>
</file>

<file path=customXml/itemProps1.xml><?xml version="1.0" encoding="utf-8"?>
<ds:datastoreItem xmlns:ds="http://schemas.openxmlformats.org/officeDocument/2006/customXml" ds:itemID="{916E7B0D-C54B-40A2-AB11-2A7E4589E520}">
  <ds:schemaRefs>
    <ds:schemaRef ds:uri="http://schemas.microsoft.com/sharepoint/v3/contenttype/forms"/>
  </ds:schemaRefs>
</ds:datastoreItem>
</file>

<file path=customXml/itemProps2.xml><?xml version="1.0" encoding="utf-8"?>
<ds:datastoreItem xmlns:ds="http://schemas.openxmlformats.org/officeDocument/2006/customXml" ds:itemID="{3796015E-1D9A-4682-A667-8F03D4769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d0fa6-b667-49da-a549-51ffb1fdd950"/>
    <ds:schemaRef ds:uri="7055a24c-d926-4c59-aca0-8287c86e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A5060-E0A7-4FD6-8393-45B894C97FC1}">
  <ds:schemaRefs>
    <ds:schemaRef ds:uri="http://schemas.openxmlformats.org/officeDocument/2006/bibliography"/>
  </ds:schemaRefs>
</ds:datastoreItem>
</file>

<file path=customXml/itemProps4.xml><?xml version="1.0" encoding="utf-8"?>
<ds:datastoreItem xmlns:ds="http://schemas.openxmlformats.org/officeDocument/2006/customXml" ds:itemID="{45ACFA98-8073-4EAD-AEC4-DBF6B298224B}">
  <ds:schemaRefs>
    <ds:schemaRef ds:uri="http://schemas.microsoft.com/office/2006/metadata/properties"/>
    <ds:schemaRef ds:uri="http://schemas.microsoft.com/office/infopath/2007/PartnerControls"/>
    <ds:schemaRef ds:uri="ea9d0fa6-b667-49da-a549-51ffb1fdd950"/>
    <ds:schemaRef ds:uri="7055a24c-d926-4c59-aca0-8287c86e700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3231</Words>
  <Characters>18418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Subhajit Saha</dc:creator>
  <cp:keywords/>
  <dc:description/>
  <cp:lastModifiedBy>Subhajit Saha</cp:lastModifiedBy>
  <cp:revision>19</cp:revision>
  <dcterms:created xsi:type="dcterms:W3CDTF">2023-02-22T19:19:00Z</dcterms:created>
  <dcterms:modified xsi:type="dcterms:W3CDTF">2023-02-22T19:39:00Z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0x010100296AA1900F481E4BA12F41BA77C27400</vt:lpwstr>
  </property>
  <property fmtid="{D5CDD505-2E9C-101B-9397-08002B2CF9AE}" pid="3" name="MediaServiceImageTags">
    <vt:lpwstr/>
  </property>
</Properties>
</file>