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5A8E" w14:textId="1DCE1C28" w:rsidR="00E95676" w:rsidRPr="00D2382C" w:rsidRDefault="00E95676" w:rsidP="000B56A3">
      <w:pPr>
        <w:tabs>
          <w:tab w:val="left" w:pos="1896"/>
        </w:tabs>
        <w:spacing w:line="276" w:lineRule="auto"/>
        <w:jc w:val="right"/>
        <w:rPr>
          <w:sz w:val="24"/>
          <w:szCs w:val="24"/>
          <w:lang w:val="en-GB"/>
        </w:rPr>
      </w:pPr>
      <w:r w:rsidRPr="00D2382C">
        <w:rPr>
          <w:sz w:val="20"/>
          <w:szCs w:val="24"/>
          <w:lang w:val="en-GB"/>
        </w:rPr>
        <w:t xml:space="preserve">Strasbourg, </w:t>
      </w:r>
      <w:r w:rsidR="00D55EAD">
        <w:rPr>
          <w:sz w:val="20"/>
          <w:szCs w:val="24"/>
          <w:lang w:val="en-GB"/>
        </w:rPr>
        <w:t>15</w:t>
      </w:r>
      <w:r w:rsidR="003827ED" w:rsidRPr="00D2382C">
        <w:rPr>
          <w:sz w:val="20"/>
          <w:szCs w:val="24"/>
          <w:lang w:val="en-GB"/>
        </w:rPr>
        <w:t xml:space="preserve"> </w:t>
      </w:r>
      <w:r w:rsidR="00D55EAD">
        <w:rPr>
          <w:sz w:val="20"/>
          <w:szCs w:val="24"/>
          <w:lang w:val="en-GB"/>
        </w:rPr>
        <w:t>February</w:t>
      </w:r>
      <w:r w:rsidR="003827ED" w:rsidRPr="00D2382C">
        <w:rPr>
          <w:sz w:val="20"/>
          <w:szCs w:val="24"/>
          <w:lang w:val="en-GB"/>
        </w:rPr>
        <w:t xml:space="preserve"> 202</w:t>
      </w:r>
      <w:r w:rsidR="00D55EAD">
        <w:rPr>
          <w:sz w:val="20"/>
          <w:szCs w:val="24"/>
          <w:lang w:val="en-GB"/>
        </w:rPr>
        <w:t>3</w:t>
      </w:r>
    </w:p>
    <w:p w14:paraId="3077CF74" w14:textId="2D3F20E5" w:rsidR="00E95676" w:rsidRPr="00D2382C" w:rsidRDefault="00E95676" w:rsidP="000B56A3">
      <w:pPr>
        <w:tabs>
          <w:tab w:val="left" w:pos="5985"/>
        </w:tabs>
        <w:spacing w:after="0" w:line="276" w:lineRule="auto"/>
        <w:jc w:val="center"/>
        <w:rPr>
          <w:b/>
          <w:sz w:val="24"/>
          <w:szCs w:val="24"/>
          <w:lang w:val="en-GB"/>
        </w:rPr>
      </w:pPr>
      <w:r w:rsidRPr="00D2382C">
        <w:rPr>
          <w:b/>
          <w:sz w:val="24"/>
          <w:szCs w:val="24"/>
          <w:lang w:val="en-GB"/>
        </w:rPr>
        <w:t>Comments</w:t>
      </w:r>
      <w:r w:rsidR="00F2410A" w:rsidRPr="00D2382C">
        <w:rPr>
          <w:b/>
          <w:sz w:val="24"/>
          <w:szCs w:val="24"/>
          <w:lang w:val="en-GB"/>
        </w:rPr>
        <w:t xml:space="preserve"> </w:t>
      </w:r>
      <w:r w:rsidRPr="00D2382C">
        <w:rPr>
          <w:b/>
          <w:sz w:val="24"/>
          <w:szCs w:val="24"/>
          <w:lang w:val="en-GB"/>
        </w:rPr>
        <w:t xml:space="preserve">submitted by the </w:t>
      </w:r>
      <w:r w:rsidR="00572B8B">
        <w:rPr>
          <w:b/>
          <w:sz w:val="24"/>
          <w:szCs w:val="24"/>
          <w:lang w:val="en-GB"/>
        </w:rPr>
        <w:t>Secretariat</w:t>
      </w:r>
      <w:r w:rsidRPr="00D2382C">
        <w:rPr>
          <w:b/>
          <w:sz w:val="24"/>
          <w:szCs w:val="24"/>
          <w:lang w:val="en-GB"/>
        </w:rPr>
        <w:t xml:space="preserve"> of the Council of Europe</w:t>
      </w:r>
    </w:p>
    <w:p w14:paraId="7F5E751F" w14:textId="2B21E7BF" w:rsidR="00E95676" w:rsidRPr="00D2382C" w:rsidRDefault="00E2487F" w:rsidP="000B56A3">
      <w:pPr>
        <w:tabs>
          <w:tab w:val="left" w:pos="5985"/>
        </w:tabs>
        <w:spacing w:line="276" w:lineRule="auto"/>
        <w:jc w:val="center"/>
        <w:rPr>
          <w:b/>
          <w:sz w:val="24"/>
          <w:szCs w:val="24"/>
          <w:lang w:val="en-GB"/>
        </w:rPr>
      </w:pPr>
      <w:r w:rsidRPr="00D2382C">
        <w:rPr>
          <w:b/>
          <w:sz w:val="24"/>
          <w:szCs w:val="24"/>
          <w:lang w:val="en-GB"/>
        </w:rPr>
        <w:t>o</w:t>
      </w:r>
      <w:r w:rsidR="00E95676" w:rsidRPr="00D2382C">
        <w:rPr>
          <w:b/>
          <w:sz w:val="24"/>
          <w:szCs w:val="24"/>
          <w:lang w:val="en-GB"/>
        </w:rPr>
        <w:t>n the UN Committee on the Rights of the Child</w:t>
      </w:r>
      <w:r w:rsidR="00AA1DC4">
        <w:rPr>
          <w:b/>
          <w:sz w:val="24"/>
          <w:szCs w:val="24"/>
          <w:lang w:val="en-GB"/>
        </w:rPr>
        <w:t>’s</w:t>
      </w:r>
      <w:r w:rsidR="00E95676" w:rsidRPr="00D2382C">
        <w:rPr>
          <w:b/>
          <w:sz w:val="24"/>
          <w:szCs w:val="24"/>
          <w:lang w:val="en-GB"/>
        </w:rPr>
        <w:t xml:space="preserve"> </w:t>
      </w:r>
      <w:r w:rsidR="001F6813" w:rsidRPr="00D2382C">
        <w:rPr>
          <w:b/>
          <w:sz w:val="24"/>
          <w:szCs w:val="24"/>
          <w:lang w:val="en-GB"/>
        </w:rPr>
        <w:t>draft</w:t>
      </w:r>
      <w:r w:rsidR="00E95676" w:rsidRPr="00D2382C">
        <w:rPr>
          <w:b/>
          <w:sz w:val="24"/>
          <w:szCs w:val="24"/>
          <w:lang w:val="en-GB"/>
        </w:rPr>
        <w:t xml:space="preserve"> General Comment</w:t>
      </w:r>
      <w:r w:rsidR="00E57786">
        <w:rPr>
          <w:b/>
          <w:sz w:val="24"/>
          <w:szCs w:val="24"/>
          <w:lang w:val="en-GB"/>
        </w:rPr>
        <w:t xml:space="preserve"> no.26</w:t>
      </w:r>
      <w:r w:rsidR="00E95676" w:rsidRPr="00D2382C">
        <w:rPr>
          <w:b/>
          <w:sz w:val="24"/>
          <w:szCs w:val="24"/>
          <w:lang w:val="en-GB"/>
        </w:rPr>
        <w:t xml:space="preserve"> on children’s rights </w:t>
      </w:r>
      <w:r w:rsidR="00354066">
        <w:rPr>
          <w:b/>
          <w:sz w:val="24"/>
          <w:szCs w:val="24"/>
          <w:lang w:val="en-GB"/>
        </w:rPr>
        <w:t>and the</w:t>
      </w:r>
      <w:r w:rsidR="00E95676" w:rsidRPr="00D2382C">
        <w:rPr>
          <w:b/>
          <w:sz w:val="24"/>
          <w:szCs w:val="24"/>
          <w:lang w:val="en-GB"/>
        </w:rPr>
        <w:t xml:space="preserve"> </w:t>
      </w:r>
      <w:r w:rsidR="00354066">
        <w:rPr>
          <w:b/>
          <w:sz w:val="24"/>
          <w:szCs w:val="24"/>
          <w:lang w:val="en-GB"/>
        </w:rPr>
        <w:t>environment with a special focus on climate change</w:t>
      </w:r>
    </w:p>
    <w:p w14:paraId="65C01A40" w14:textId="692811B8" w:rsidR="00E95676" w:rsidRPr="00AA1DC4" w:rsidRDefault="00E95676" w:rsidP="000B56A3">
      <w:pPr>
        <w:spacing w:line="276" w:lineRule="auto"/>
        <w:jc w:val="both"/>
        <w:rPr>
          <w:sz w:val="21"/>
          <w:szCs w:val="21"/>
          <w:lang w:val="en-GB"/>
        </w:rPr>
      </w:pPr>
      <w:r w:rsidRPr="00D2382C">
        <w:rPr>
          <w:sz w:val="21"/>
          <w:szCs w:val="21"/>
          <w:lang w:val="en-GB"/>
        </w:rPr>
        <w:t xml:space="preserve">The </w:t>
      </w:r>
      <w:r w:rsidR="00195A36">
        <w:rPr>
          <w:sz w:val="21"/>
          <w:szCs w:val="21"/>
          <w:lang w:val="en-GB"/>
        </w:rPr>
        <w:t xml:space="preserve">Secretariat of the </w:t>
      </w:r>
      <w:r w:rsidRPr="00D2382C">
        <w:rPr>
          <w:sz w:val="21"/>
          <w:szCs w:val="21"/>
          <w:lang w:val="en-GB"/>
        </w:rPr>
        <w:t>Council of Europe extends its gratitude to the UN Committee o</w:t>
      </w:r>
      <w:r w:rsidR="001A6510" w:rsidRPr="00D2382C">
        <w:rPr>
          <w:sz w:val="21"/>
          <w:szCs w:val="21"/>
          <w:lang w:val="en-GB"/>
        </w:rPr>
        <w:t>n</w:t>
      </w:r>
      <w:r w:rsidRPr="00D2382C">
        <w:rPr>
          <w:sz w:val="21"/>
          <w:szCs w:val="21"/>
          <w:lang w:val="en-GB"/>
        </w:rPr>
        <w:t xml:space="preserve"> the Rights of the Child for the opportunity to submit comments on the </w:t>
      </w:r>
      <w:r w:rsidR="00570CC4" w:rsidRPr="00D2382C">
        <w:rPr>
          <w:sz w:val="21"/>
          <w:szCs w:val="21"/>
          <w:lang w:val="en-GB"/>
        </w:rPr>
        <w:t xml:space="preserve">draft </w:t>
      </w:r>
      <w:r w:rsidRPr="00D2382C">
        <w:rPr>
          <w:sz w:val="21"/>
          <w:szCs w:val="21"/>
          <w:lang w:val="en-GB"/>
        </w:rPr>
        <w:t>General Comment</w:t>
      </w:r>
      <w:r w:rsidR="00E57786">
        <w:rPr>
          <w:sz w:val="21"/>
          <w:szCs w:val="21"/>
          <w:lang w:val="en-GB"/>
        </w:rPr>
        <w:t xml:space="preserve"> no.26</w:t>
      </w:r>
      <w:r w:rsidRPr="00D2382C">
        <w:rPr>
          <w:sz w:val="21"/>
          <w:szCs w:val="21"/>
          <w:lang w:val="en-GB"/>
        </w:rPr>
        <w:t xml:space="preserve"> on children’s rights </w:t>
      </w:r>
      <w:r w:rsidR="00354066">
        <w:rPr>
          <w:sz w:val="21"/>
          <w:szCs w:val="21"/>
          <w:lang w:val="en-GB"/>
        </w:rPr>
        <w:t>and</w:t>
      </w:r>
      <w:r w:rsidRPr="00D2382C">
        <w:rPr>
          <w:sz w:val="21"/>
          <w:szCs w:val="21"/>
          <w:lang w:val="en-GB"/>
        </w:rPr>
        <w:t xml:space="preserve"> the</w:t>
      </w:r>
      <w:r w:rsidR="00D55EAD">
        <w:rPr>
          <w:sz w:val="21"/>
          <w:szCs w:val="21"/>
          <w:lang w:val="en-GB"/>
        </w:rPr>
        <w:t xml:space="preserve"> environment with a special focus on climate change</w:t>
      </w:r>
      <w:r w:rsidRPr="00D2382C">
        <w:rPr>
          <w:sz w:val="21"/>
          <w:szCs w:val="21"/>
          <w:lang w:val="en-GB"/>
        </w:rPr>
        <w:t xml:space="preserve">. These comments reflect the views of the Secretariat of the Council of Europe and do not necessarily reflect the official position of its member </w:t>
      </w:r>
      <w:r w:rsidR="0053190C">
        <w:rPr>
          <w:sz w:val="21"/>
          <w:szCs w:val="21"/>
          <w:lang w:val="en-GB"/>
        </w:rPr>
        <w:t>S</w:t>
      </w:r>
      <w:r w:rsidRPr="00D2382C">
        <w:rPr>
          <w:sz w:val="21"/>
          <w:szCs w:val="21"/>
          <w:lang w:val="en-GB"/>
        </w:rPr>
        <w:t xml:space="preserve">tates. </w:t>
      </w:r>
    </w:p>
    <w:p w14:paraId="273B505F" w14:textId="705C5FC6" w:rsidR="001E54B3" w:rsidRDefault="00F2410A" w:rsidP="000B56A3">
      <w:pPr>
        <w:spacing w:line="276" w:lineRule="auto"/>
        <w:jc w:val="both"/>
        <w:rPr>
          <w:sz w:val="21"/>
          <w:szCs w:val="21"/>
          <w:lang w:val="en-GB"/>
        </w:rPr>
      </w:pPr>
      <w:r w:rsidRPr="00D2382C">
        <w:rPr>
          <w:sz w:val="21"/>
          <w:szCs w:val="21"/>
          <w:lang w:val="en-GB"/>
        </w:rPr>
        <w:t>The</w:t>
      </w:r>
      <w:r w:rsidR="00E95676" w:rsidRPr="00D2382C">
        <w:rPr>
          <w:sz w:val="21"/>
          <w:szCs w:val="21"/>
          <w:lang w:val="en-GB"/>
        </w:rPr>
        <w:t xml:space="preserve"> Council of Europe</w:t>
      </w:r>
      <w:r w:rsidR="00DB305C">
        <w:rPr>
          <w:sz w:val="21"/>
          <w:szCs w:val="21"/>
          <w:lang w:val="en-GB"/>
        </w:rPr>
        <w:t>’s</w:t>
      </w:r>
      <w:r w:rsidR="00E95676" w:rsidRPr="00D2382C">
        <w:rPr>
          <w:sz w:val="21"/>
          <w:szCs w:val="21"/>
          <w:lang w:val="en-GB"/>
        </w:rPr>
        <w:t xml:space="preserve"> work on </w:t>
      </w:r>
      <w:r w:rsidR="001F4D63">
        <w:rPr>
          <w:sz w:val="21"/>
          <w:szCs w:val="21"/>
          <w:lang w:val="en-GB"/>
        </w:rPr>
        <w:t xml:space="preserve">the rights of the child </w:t>
      </w:r>
      <w:r w:rsidR="00354066">
        <w:rPr>
          <w:sz w:val="21"/>
          <w:szCs w:val="21"/>
          <w:lang w:val="en-GB"/>
        </w:rPr>
        <w:t>and the</w:t>
      </w:r>
      <w:r w:rsidR="00E95676" w:rsidRPr="00D2382C">
        <w:rPr>
          <w:sz w:val="21"/>
          <w:szCs w:val="21"/>
          <w:lang w:val="en-GB"/>
        </w:rPr>
        <w:t xml:space="preserve"> environment is strongly grounded in the UN Convention on the Rights of the Child and its Optional </w:t>
      </w:r>
      <w:r w:rsidR="00E95676" w:rsidRPr="009964DA">
        <w:rPr>
          <w:sz w:val="21"/>
          <w:szCs w:val="21"/>
          <w:lang w:val="en-GB"/>
        </w:rPr>
        <w:t xml:space="preserve">Protocols. The standards developed by the Council of Europe provide further guidance to its member </w:t>
      </w:r>
      <w:r w:rsidR="0053190C">
        <w:rPr>
          <w:sz w:val="21"/>
          <w:szCs w:val="21"/>
          <w:lang w:val="en-GB"/>
        </w:rPr>
        <w:t>S</w:t>
      </w:r>
      <w:r w:rsidR="00E95676" w:rsidRPr="009964DA">
        <w:rPr>
          <w:sz w:val="21"/>
          <w:szCs w:val="21"/>
          <w:lang w:val="en-GB"/>
        </w:rPr>
        <w:t>tates</w:t>
      </w:r>
      <w:r w:rsidR="00A03707" w:rsidRPr="009964DA">
        <w:rPr>
          <w:sz w:val="21"/>
          <w:szCs w:val="21"/>
          <w:lang w:val="en-GB"/>
        </w:rPr>
        <w:t>,</w:t>
      </w:r>
      <w:r w:rsidR="00E95676" w:rsidRPr="009964DA">
        <w:rPr>
          <w:sz w:val="21"/>
          <w:szCs w:val="21"/>
          <w:lang w:val="en-GB"/>
        </w:rPr>
        <w:t xml:space="preserve"> thus complementing the efforts at global level. </w:t>
      </w:r>
    </w:p>
    <w:p w14:paraId="2A307459" w14:textId="1B66C09F" w:rsidR="001E54B3" w:rsidRDefault="001E54B3" w:rsidP="001E54B3">
      <w:pPr>
        <w:spacing w:line="276" w:lineRule="auto"/>
        <w:jc w:val="both"/>
        <w:rPr>
          <w:sz w:val="21"/>
          <w:szCs w:val="21"/>
          <w:lang w:val="en-GB"/>
        </w:rPr>
      </w:pPr>
      <w:r w:rsidRPr="001E54B3">
        <w:rPr>
          <w:sz w:val="21"/>
          <w:szCs w:val="21"/>
          <w:lang w:val="en-GB"/>
        </w:rPr>
        <w:t>The E</w:t>
      </w:r>
      <w:r>
        <w:rPr>
          <w:sz w:val="21"/>
          <w:szCs w:val="21"/>
          <w:lang w:val="en-GB"/>
        </w:rPr>
        <w:t xml:space="preserve">uropean </w:t>
      </w:r>
      <w:r w:rsidR="00A6278F">
        <w:rPr>
          <w:sz w:val="21"/>
          <w:szCs w:val="21"/>
          <w:lang w:val="en-GB"/>
        </w:rPr>
        <w:t>Convention of Human Rights</w:t>
      </w:r>
      <w:r w:rsidRPr="001E54B3">
        <w:rPr>
          <w:sz w:val="21"/>
          <w:szCs w:val="21"/>
          <w:lang w:val="en-GB"/>
        </w:rPr>
        <w:t xml:space="preserve"> does not specifically include the right to a healthy environment</w:t>
      </w:r>
      <w:r>
        <w:rPr>
          <w:rStyle w:val="FootnoteReference"/>
          <w:sz w:val="21"/>
          <w:szCs w:val="21"/>
          <w:lang w:val="en-GB"/>
        </w:rPr>
        <w:footnoteReference w:id="1"/>
      </w:r>
      <w:r w:rsidRPr="001E54B3">
        <w:rPr>
          <w:sz w:val="21"/>
          <w:szCs w:val="21"/>
          <w:lang w:val="en-GB"/>
        </w:rPr>
        <w:t>.</w:t>
      </w:r>
      <w:r>
        <w:rPr>
          <w:sz w:val="21"/>
          <w:szCs w:val="21"/>
          <w:lang w:val="en-GB"/>
        </w:rPr>
        <w:t xml:space="preserve"> Therefore, it</w:t>
      </w:r>
      <w:r w:rsidRPr="001E54B3">
        <w:rPr>
          <w:sz w:val="21"/>
          <w:szCs w:val="21"/>
          <w:lang w:val="en-GB"/>
        </w:rPr>
        <w:t xml:space="preserve"> does not protect the environment but the effects of its degradation on people.</w:t>
      </w:r>
      <w:r>
        <w:rPr>
          <w:sz w:val="21"/>
          <w:szCs w:val="21"/>
          <w:lang w:val="en-GB"/>
        </w:rPr>
        <w:t xml:space="preserve"> The </w:t>
      </w:r>
      <w:r w:rsidR="00A6278F">
        <w:rPr>
          <w:sz w:val="21"/>
          <w:szCs w:val="21"/>
          <w:lang w:val="en-GB"/>
        </w:rPr>
        <w:t xml:space="preserve">European </w:t>
      </w:r>
      <w:r>
        <w:rPr>
          <w:sz w:val="21"/>
          <w:szCs w:val="21"/>
          <w:lang w:val="en-GB"/>
        </w:rPr>
        <w:t>Court</w:t>
      </w:r>
      <w:r w:rsidR="00A6278F">
        <w:rPr>
          <w:sz w:val="21"/>
          <w:szCs w:val="21"/>
          <w:lang w:val="en-GB"/>
        </w:rPr>
        <w:t xml:space="preserve"> of Human Rights (ECtHR)</w:t>
      </w:r>
      <w:r>
        <w:rPr>
          <w:sz w:val="21"/>
          <w:szCs w:val="21"/>
          <w:lang w:val="en-GB"/>
        </w:rPr>
        <w:t xml:space="preserve"> has dealt with more than</w:t>
      </w:r>
      <w:r w:rsidRPr="001E54B3">
        <w:rPr>
          <w:sz w:val="21"/>
          <w:szCs w:val="21"/>
          <w:lang w:val="en-GB"/>
        </w:rPr>
        <w:t xml:space="preserve"> 300 complaints related to this </w:t>
      </w:r>
      <w:r>
        <w:rPr>
          <w:sz w:val="21"/>
          <w:szCs w:val="21"/>
          <w:lang w:val="en-GB"/>
        </w:rPr>
        <w:t xml:space="preserve">under </w:t>
      </w:r>
      <w:r w:rsidRPr="001E54B3">
        <w:rPr>
          <w:sz w:val="21"/>
          <w:szCs w:val="21"/>
          <w:lang w:val="en-GB"/>
        </w:rPr>
        <w:t>arts. 2, 3, 6, 8, 10, 11 ECHR and art. 1 P.1.</w:t>
      </w:r>
      <w:r>
        <w:rPr>
          <w:sz w:val="21"/>
          <w:szCs w:val="21"/>
          <w:lang w:val="en-GB"/>
        </w:rPr>
        <w:t xml:space="preserve"> For more information about the ECtHR please see the</w:t>
      </w:r>
      <w:r w:rsidRPr="001E54B3">
        <w:rPr>
          <w:sz w:val="21"/>
          <w:szCs w:val="21"/>
          <w:lang w:val="en-GB"/>
        </w:rPr>
        <w:t xml:space="preserve"> </w:t>
      </w:r>
      <w:hyperlink r:id="rId11" w:history="1">
        <w:r w:rsidRPr="001E54B3">
          <w:rPr>
            <w:rStyle w:val="Hyperlink"/>
            <w:sz w:val="21"/>
            <w:szCs w:val="21"/>
            <w:lang w:val="en-GB"/>
          </w:rPr>
          <w:t>Factsheet on the environment</w:t>
        </w:r>
        <w:r>
          <w:rPr>
            <w:rStyle w:val="Hyperlink"/>
            <w:sz w:val="21"/>
            <w:szCs w:val="21"/>
            <w:lang w:val="en-GB"/>
          </w:rPr>
          <w:t xml:space="preserve">, </w:t>
        </w:r>
        <w:r w:rsidRPr="001E54B3">
          <w:rPr>
            <w:rStyle w:val="Hyperlink"/>
            <w:sz w:val="21"/>
            <w:szCs w:val="21"/>
            <w:lang w:val="en-GB"/>
          </w:rPr>
          <w:t>the ECHR</w:t>
        </w:r>
      </w:hyperlink>
      <w:r w:rsidRPr="001E54B3">
        <w:rPr>
          <w:sz w:val="21"/>
          <w:szCs w:val="21"/>
          <w:lang w:val="en-GB"/>
        </w:rPr>
        <w:t xml:space="preserve"> and </w:t>
      </w:r>
      <w:hyperlink r:id="rId12" w:history="1">
        <w:r w:rsidRPr="001E54B3">
          <w:rPr>
            <w:rStyle w:val="Hyperlink"/>
            <w:sz w:val="21"/>
            <w:szCs w:val="21"/>
            <w:lang w:val="en-GB"/>
          </w:rPr>
          <w:t>Factsheet on the execution of ECtHR judgments</w:t>
        </w:r>
      </w:hyperlink>
      <w:r>
        <w:rPr>
          <w:sz w:val="21"/>
          <w:szCs w:val="21"/>
          <w:lang w:val="en-GB"/>
        </w:rPr>
        <w:t xml:space="preserve"> and the </w:t>
      </w:r>
      <w:hyperlink r:id="rId13" w:history="1">
        <w:r w:rsidR="00A6278F" w:rsidRPr="00A6278F">
          <w:rPr>
            <w:rStyle w:val="Hyperlink"/>
            <w:sz w:val="21"/>
            <w:szCs w:val="21"/>
            <w:lang w:val="en-US"/>
          </w:rPr>
          <w:t>3rd edition of its Manual on Human Rights and the Environment</w:t>
        </w:r>
      </w:hyperlink>
      <w:r w:rsidR="00A6278F">
        <w:rPr>
          <w:sz w:val="21"/>
          <w:szCs w:val="21"/>
          <w:lang w:val="en-GB"/>
        </w:rPr>
        <w:t>. There is currently a pending case on c</w:t>
      </w:r>
      <w:r w:rsidR="00A6278F" w:rsidRPr="00A6278F">
        <w:rPr>
          <w:sz w:val="21"/>
          <w:szCs w:val="21"/>
          <w:lang w:val="en-GB"/>
        </w:rPr>
        <w:t>limate change and children’s rights</w:t>
      </w:r>
      <w:r w:rsidR="00A6278F">
        <w:rPr>
          <w:sz w:val="21"/>
          <w:szCs w:val="21"/>
          <w:lang w:val="en-GB"/>
        </w:rPr>
        <w:t>, which has been given priority status</w:t>
      </w:r>
      <w:r w:rsidR="00A6278F">
        <w:rPr>
          <w:rStyle w:val="FootnoteReference"/>
          <w:sz w:val="21"/>
          <w:szCs w:val="21"/>
          <w:lang w:val="en-GB"/>
        </w:rPr>
        <w:footnoteReference w:id="2"/>
      </w:r>
      <w:r w:rsidR="00A6278F">
        <w:rPr>
          <w:sz w:val="21"/>
          <w:szCs w:val="21"/>
          <w:lang w:val="en-GB"/>
        </w:rPr>
        <w:t>.</w:t>
      </w:r>
    </w:p>
    <w:p w14:paraId="15BBE9FC" w14:textId="6D6190CF" w:rsidR="00E95676" w:rsidRDefault="00A6278F" w:rsidP="001E54B3">
      <w:pPr>
        <w:spacing w:line="276" w:lineRule="auto"/>
        <w:jc w:val="both"/>
        <w:rPr>
          <w:sz w:val="21"/>
          <w:szCs w:val="21"/>
          <w:lang w:val="en-GB"/>
        </w:rPr>
      </w:pPr>
      <w:r>
        <w:rPr>
          <w:sz w:val="21"/>
          <w:szCs w:val="21"/>
          <w:lang w:val="en-GB"/>
        </w:rPr>
        <w:t>In addition, t</w:t>
      </w:r>
      <w:r w:rsidR="002B606E" w:rsidRPr="009964DA">
        <w:rPr>
          <w:sz w:val="21"/>
          <w:szCs w:val="21"/>
          <w:lang w:val="en-GB"/>
        </w:rPr>
        <w:t>he</w:t>
      </w:r>
      <w:r w:rsidR="003371ED" w:rsidRPr="009964DA">
        <w:rPr>
          <w:sz w:val="21"/>
          <w:szCs w:val="21"/>
          <w:lang w:val="en-GB"/>
        </w:rPr>
        <w:t xml:space="preserve"> </w:t>
      </w:r>
      <w:r w:rsidR="002B606E" w:rsidRPr="009964DA">
        <w:rPr>
          <w:sz w:val="21"/>
          <w:szCs w:val="21"/>
          <w:lang w:val="en-GB"/>
        </w:rPr>
        <w:t>recommendations</w:t>
      </w:r>
      <w:r w:rsidR="00C70141">
        <w:rPr>
          <w:sz w:val="21"/>
          <w:szCs w:val="21"/>
          <w:lang w:val="en-GB"/>
        </w:rPr>
        <w:t xml:space="preserve">, resolutions and declaration </w:t>
      </w:r>
      <w:r w:rsidR="002B606E" w:rsidRPr="009964DA">
        <w:rPr>
          <w:sz w:val="21"/>
          <w:szCs w:val="21"/>
          <w:lang w:val="en-GB"/>
        </w:rPr>
        <w:t>of the Committee of Ministers</w:t>
      </w:r>
      <w:r w:rsidR="00C70141">
        <w:rPr>
          <w:sz w:val="21"/>
          <w:szCs w:val="21"/>
          <w:lang w:val="en-GB"/>
        </w:rPr>
        <w:t xml:space="preserve">, the Parliamentary Assembly and the Congress of local and regional authorities, </w:t>
      </w:r>
      <w:r w:rsidR="002B606E" w:rsidRPr="009964DA">
        <w:rPr>
          <w:sz w:val="21"/>
          <w:szCs w:val="21"/>
          <w:lang w:val="en-GB"/>
        </w:rPr>
        <w:t>in this field,</w:t>
      </w:r>
      <w:r w:rsidR="00401231" w:rsidRPr="009964DA">
        <w:rPr>
          <w:sz w:val="21"/>
          <w:szCs w:val="21"/>
          <w:lang w:val="en-GB"/>
        </w:rPr>
        <w:t xml:space="preserve"> </w:t>
      </w:r>
      <w:r w:rsidR="00E95676" w:rsidRPr="009964DA">
        <w:rPr>
          <w:sz w:val="21"/>
          <w:szCs w:val="21"/>
          <w:lang w:val="en-GB"/>
        </w:rPr>
        <w:t>form a solid set</w:t>
      </w:r>
      <w:r w:rsidR="00E95676" w:rsidRPr="00D2382C">
        <w:rPr>
          <w:sz w:val="21"/>
          <w:szCs w:val="21"/>
          <w:lang w:val="en-GB"/>
        </w:rPr>
        <w:t xml:space="preserve"> of rules</w:t>
      </w:r>
      <w:r w:rsidR="001518A7" w:rsidRPr="00D2382C">
        <w:rPr>
          <w:sz w:val="21"/>
          <w:szCs w:val="21"/>
          <w:lang w:val="en-GB"/>
        </w:rPr>
        <w:t>, standards</w:t>
      </w:r>
      <w:r w:rsidR="00401231" w:rsidRPr="00D2382C">
        <w:rPr>
          <w:sz w:val="21"/>
          <w:szCs w:val="21"/>
          <w:lang w:val="en-GB"/>
        </w:rPr>
        <w:t xml:space="preserve">, principles and information </w:t>
      </w:r>
      <w:r w:rsidR="00E95676" w:rsidRPr="00D2382C">
        <w:rPr>
          <w:sz w:val="21"/>
          <w:szCs w:val="21"/>
          <w:lang w:val="en-GB"/>
        </w:rPr>
        <w:t xml:space="preserve">which can assist states in providing the necessary basis for looking after </w:t>
      </w:r>
      <w:r w:rsidR="00C70141">
        <w:rPr>
          <w:sz w:val="21"/>
          <w:szCs w:val="21"/>
          <w:lang w:val="en-GB"/>
        </w:rPr>
        <w:t xml:space="preserve">the protection of children’s rights in the context of the environment </w:t>
      </w:r>
      <w:r w:rsidR="00E95676" w:rsidRPr="00D2382C">
        <w:rPr>
          <w:sz w:val="21"/>
          <w:szCs w:val="21"/>
          <w:lang w:val="en-GB"/>
        </w:rPr>
        <w:t>across the 4</w:t>
      </w:r>
      <w:r w:rsidR="00C70141">
        <w:rPr>
          <w:sz w:val="21"/>
          <w:szCs w:val="21"/>
          <w:lang w:val="en-GB"/>
        </w:rPr>
        <w:t>6</w:t>
      </w:r>
      <w:r w:rsidR="00E95676" w:rsidRPr="00D2382C">
        <w:rPr>
          <w:sz w:val="21"/>
          <w:szCs w:val="21"/>
          <w:lang w:val="en-GB"/>
        </w:rPr>
        <w:t xml:space="preserve"> member </w:t>
      </w:r>
      <w:r w:rsidR="0053190C">
        <w:rPr>
          <w:sz w:val="21"/>
          <w:szCs w:val="21"/>
          <w:lang w:val="en-GB"/>
        </w:rPr>
        <w:t>S</w:t>
      </w:r>
      <w:r w:rsidR="00E95676" w:rsidRPr="00D2382C">
        <w:rPr>
          <w:sz w:val="21"/>
          <w:szCs w:val="21"/>
          <w:lang w:val="en-GB"/>
        </w:rPr>
        <w:t>tates of the Council of Europe.</w:t>
      </w:r>
      <w:r w:rsidR="0029592A">
        <w:rPr>
          <w:sz w:val="21"/>
          <w:szCs w:val="21"/>
          <w:lang w:val="en-GB"/>
        </w:rPr>
        <w:t xml:space="preserve"> </w:t>
      </w:r>
      <w:r w:rsidR="0029592A">
        <w:rPr>
          <w:rFonts w:ascii="Calibri" w:eastAsia="Times New Roman" w:hAnsi="Calibri" w:cs="Calibri"/>
          <w:color w:val="000000"/>
          <w:sz w:val="21"/>
          <w:szCs w:val="21"/>
          <w:shd w:val="clear" w:color="auto" w:fill="FFFFFF"/>
          <w:lang w:val="en-US" w:eastAsia="es-ES_tradnl"/>
        </w:rPr>
        <w:t>From</w:t>
      </w:r>
      <w:r w:rsidR="0029592A" w:rsidRPr="007C0E8E">
        <w:rPr>
          <w:rFonts w:ascii="Calibri" w:eastAsia="Times New Roman" w:hAnsi="Calibri" w:cs="Calibri"/>
          <w:color w:val="000000"/>
          <w:sz w:val="21"/>
          <w:szCs w:val="21"/>
          <w:shd w:val="clear" w:color="auto" w:fill="FFFFFF"/>
          <w:lang w:val="en-US" w:eastAsia="es-ES_tradnl"/>
        </w:rPr>
        <w:t xml:space="preserve"> 1999 the PACE has recommended several times to the Committee of Ministers to draw up an additional Protocol to the ECHR on the right to a safe, clean, healthy and sustainable environment</w:t>
      </w:r>
      <w:r w:rsidR="0029592A">
        <w:rPr>
          <w:rStyle w:val="FootnoteReference"/>
          <w:rFonts w:ascii="Calibri" w:eastAsia="Times New Roman" w:hAnsi="Calibri" w:cs="Calibri"/>
          <w:color w:val="000000"/>
          <w:sz w:val="21"/>
          <w:szCs w:val="21"/>
          <w:shd w:val="clear" w:color="auto" w:fill="FFFFFF"/>
          <w:lang w:val="en-US" w:eastAsia="es-ES_tradnl"/>
        </w:rPr>
        <w:footnoteReference w:id="3"/>
      </w:r>
      <w:r w:rsidR="0029592A" w:rsidRPr="007C0E8E">
        <w:rPr>
          <w:rFonts w:ascii="Calibri" w:eastAsia="Times New Roman" w:hAnsi="Calibri" w:cs="Calibri"/>
          <w:color w:val="000000"/>
          <w:sz w:val="21"/>
          <w:szCs w:val="21"/>
          <w:shd w:val="clear" w:color="auto" w:fill="FFFFFF"/>
          <w:lang w:val="en-US" w:eastAsia="es-ES_tradnl"/>
        </w:rPr>
        <w:t>.</w:t>
      </w:r>
      <w:r w:rsidR="00E95676" w:rsidRPr="00D2382C">
        <w:rPr>
          <w:sz w:val="21"/>
          <w:szCs w:val="21"/>
          <w:lang w:val="en-GB"/>
        </w:rPr>
        <w:t xml:space="preserve"> </w:t>
      </w:r>
    </w:p>
    <w:p w14:paraId="070CAC5E" w14:textId="3CA84B60" w:rsidR="007807F1" w:rsidRDefault="007807F1" w:rsidP="007807F1">
      <w:pPr>
        <w:spacing w:line="276" w:lineRule="auto"/>
        <w:jc w:val="both"/>
        <w:rPr>
          <w:sz w:val="21"/>
          <w:szCs w:val="21"/>
          <w:lang w:val="en-GB"/>
        </w:rPr>
      </w:pPr>
      <w:r>
        <w:rPr>
          <w:sz w:val="21"/>
          <w:szCs w:val="21"/>
          <w:lang w:val="en-GB"/>
        </w:rPr>
        <w:t xml:space="preserve">It is important to highlight that </w:t>
      </w:r>
      <w:r w:rsidRPr="007807F1">
        <w:rPr>
          <w:sz w:val="21"/>
          <w:szCs w:val="21"/>
          <w:lang w:val="en-GB"/>
        </w:rPr>
        <w:t xml:space="preserve">the </w:t>
      </w:r>
      <w:hyperlink r:id="rId14" w:history="1">
        <w:r w:rsidRPr="001001F8">
          <w:rPr>
            <w:rStyle w:val="Hyperlink"/>
            <w:sz w:val="21"/>
            <w:szCs w:val="21"/>
            <w:lang w:val="en-GB"/>
          </w:rPr>
          <w:t>Council of Europe Strategy for the Rights of the Child (2022-2027)</w:t>
        </w:r>
      </w:hyperlink>
      <w:r>
        <w:rPr>
          <w:sz w:val="21"/>
          <w:szCs w:val="21"/>
          <w:lang w:val="en-GB"/>
        </w:rPr>
        <w:t xml:space="preserve"> </w:t>
      </w:r>
      <w:r w:rsidRPr="007807F1">
        <w:rPr>
          <w:sz w:val="21"/>
          <w:szCs w:val="21"/>
          <w:lang w:val="en-GB"/>
        </w:rPr>
        <w:t>include</w:t>
      </w:r>
      <w:r>
        <w:rPr>
          <w:sz w:val="21"/>
          <w:szCs w:val="21"/>
          <w:lang w:val="en-GB"/>
        </w:rPr>
        <w:t>s</w:t>
      </w:r>
      <w:r w:rsidRPr="007807F1">
        <w:rPr>
          <w:sz w:val="21"/>
          <w:szCs w:val="21"/>
          <w:lang w:val="en-GB"/>
        </w:rPr>
        <w:t xml:space="preserve"> a number of measures to protect and promote children’s environmental rights</w:t>
      </w:r>
      <w:r>
        <w:rPr>
          <w:sz w:val="21"/>
          <w:szCs w:val="21"/>
          <w:lang w:val="en-GB"/>
        </w:rPr>
        <w:t xml:space="preserve">, dedicating for the first time one if its </w:t>
      </w:r>
      <w:r w:rsidRPr="007807F1">
        <w:rPr>
          <w:sz w:val="21"/>
          <w:szCs w:val="21"/>
          <w:lang w:val="en-GB"/>
        </w:rPr>
        <w:t>strategic objectives</w:t>
      </w:r>
      <w:r>
        <w:rPr>
          <w:sz w:val="21"/>
          <w:szCs w:val="21"/>
          <w:lang w:val="en-GB"/>
        </w:rPr>
        <w:t xml:space="preserve"> (the sixth) to children’s rights in crisis and emergency situations. As the Strategy </w:t>
      </w:r>
      <w:r w:rsidR="00A243A7">
        <w:rPr>
          <w:sz w:val="21"/>
          <w:szCs w:val="21"/>
          <w:lang w:val="en-GB"/>
        </w:rPr>
        <w:t>indicates</w:t>
      </w:r>
      <w:r>
        <w:rPr>
          <w:sz w:val="21"/>
          <w:szCs w:val="21"/>
          <w:lang w:val="en-GB"/>
        </w:rPr>
        <w:t xml:space="preserve">, the </w:t>
      </w:r>
      <w:r w:rsidR="00A243A7">
        <w:rPr>
          <w:sz w:val="21"/>
          <w:szCs w:val="21"/>
          <w:lang w:val="en-GB"/>
        </w:rPr>
        <w:t xml:space="preserve">current </w:t>
      </w:r>
      <w:r>
        <w:rPr>
          <w:sz w:val="21"/>
          <w:szCs w:val="21"/>
          <w:lang w:val="en-GB"/>
        </w:rPr>
        <w:t xml:space="preserve">environmental crisis puts children at particular risk of harm, given both the short and the long-term consequences, climate change and environmental degradation will have on migration movements as well as on children’s enjoyment of the highest attainable standard of physical and </w:t>
      </w:r>
      <w:r>
        <w:rPr>
          <w:sz w:val="21"/>
          <w:szCs w:val="21"/>
          <w:lang w:val="en-GB"/>
        </w:rPr>
        <w:lastRenderedPageBreak/>
        <w:t>mental health. It outlines the importance of r</w:t>
      </w:r>
      <w:r w:rsidRPr="007807F1">
        <w:rPr>
          <w:sz w:val="21"/>
          <w:szCs w:val="21"/>
          <w:lang w:val="en-GB"/>
        </w:rPr>
        <w:t xml:space="preserve">ecognising the human rights obligations as they relate to the enjoyment of a safe, clean, healthy and sustainable environment. </w:t>
      </w:r>
      <w:r>
        <w:rPr>
          <w:sz w:val="21"/>
          <w:szCs w:val="21"/>
          <w:lang w:val="en-GB"/>
        </w:rPr>
        <w:t>As a result, references to this Council of Europe key policy instrument on children’s rights will be found th</w:t>
      </w:r>
      <w:r w:rsidR="00A243A7">
        <w:rPr>
          <w:sz w:val="21"/>
          <w:szCs w:val="21"/>
          <w:lang w:val="en-GB"/>
        </w:rPr>
        <w:t>r</w:t>
      </w:r>
      <w:r>
        <w:rPr>
          <w:sz w:val="21"/>
          <w:szCs w:val="21"/>
          <w:lang w:val="en-GB"/>
        </w:rPr>
        <w:t>ough</w:t>
      </w:r>
      <w:r w:rsidR="00A243A7">
        <w:rPr>
          <w:sz w:val="21"/>
          <w:szCs w:val="21"/>
          <w:lang w:val="en-GB"/>
        </w:rPr>
        <w:t>ou</w:t>
      </w:r>
      <w:r>
        <w:rPr>
          <w:sz w:val="21"/>
          <w:szCs w:val="21"/>
          <w:lang w:val="en-GB"/>
        </w:rPr>
        <w:t>t this document.</w:t>
      </w:r>
    </w:p>
    <w:p w14:paraId="388594EF" w14:textId="18AD3AD2" w:rsidR="007807F1" w:rsidRPr="007807F1" w:rsidRDefault="007807F1" w:rsidP="007807F1">
      <w:pPr>
        <w:spacing w:line="276" w:lineRule="auto"/>
        <w:jc w:val="both"/>
        <w:rPr>
          <w:sz w:val="21"/>
          <w:szCs w:val="21"/>
          <w:lang w:val="en-GB"/>
        </w:rPr>
      </w:pPr>
      <w:r w:rsidRPr="007807F1">
        <w:rPr>
          <w:sz w:val="21"/>
          <w:szCs w:val="21"/>
          <w:lang w:val="en-GB"/>
        </w:rPr>
        <w:t>During the Launching Conference of the Strategy, held in Rome in April 2022, the deep dive conversation “</w:t>
      </w:r>
      <w:r w:rsidRPr="00753A5B">
        <w:rPr>
          <w:sz w:val="21"/>
          <w:szCs w:val="21"/>
          <w:lang w:val="en-GB"/>
        </w:rPr>
        <w:t>Recognising and enforcing children’s environmental rights” took place</w:t>
      </w:r>
      <w:r>
        <w:rPr>
          <w:sz w:val="21"/>
          <w:szCs w:val="21"/>
          <w:lang w:val="en-GB"/>
        </w:rPr>
        <w:t xml:space="preserve">. </w:t>
      </w:r>
      <w:r w:rsidR="00A243A7">
        <w:rPr>
          <w:sz w:val="21"/>
          <w:szCs w:val="21"/>
          <w:lang w:val="en-GB"/>
        </w:rPr>
        <w:t>The importance of i</w:t>
      </w:r>
      <w:r w:rsidRPr="007807F1">
        <w:rPr>
          <w:sz w:val="21"/>
          <w:szCs w:val="21"/>
          <w:lang w:val="en-GB"/>
        </w:rPr>
        <w:t xml:space="preserve">nternational standards </w:t>
      </w:r>
      <w:proofErr w:type="gramStart"/>
      <w:r w:rsidRPr="007807F1">
        <w:rPr>
          <w:sz w:val="21"/>
          <w:szCs w:val="21"/>
          <w:lang w:val="en-GB"/>
        </w:rPr>
        <w:t>were</w:t>
      </w:r>
      <w:proofErr w:type="gramEnd"/>
      <w:r w:rsidRPr="007807F1">
        <w:rPr>
          <w:sz w:val="21"/>
          <w:szCs w:val="21"/>
          <w:lang w:val="en-GB"/>
        </w:rPr>
        <w:t xml:space="preserve"> considered </w:t>
      </w:r>
      <w:r w:rsidR="00A243A7">
        <w:rPr>
          <w:sz w:val="21"/>
          <w:szCs w:val="21"/>
          <w:lang w:val="en-GB"/>
        </w:rPr>
        <w:t>crucial</w:t>
      </w:r>
      <w:r w:rsidRPr="007807F1">
        <w:rPr>
          <w:sz w:val="21"/>
          <w:szCs w:val="21"/>
          <w:lang w:val="en-GB"/>
        </w:rPr>
        <w:t xml:space="preserve"> to settle an environmental agenda from a child-rights approach.</w:t>
      </w:r>
      <w:r>
        <w:rPr>
          <w:sz w:val="21"/>
          <w:szCs w:val="21"/>
          <w:lang w:val="en-GB"/>
        </w:rPr>
        <w:t xml:space="preserve"> </w:t>
      </w:r>
      <w:r w:rsidRPr="007807F1">
        <w:rPr>
          <w:sz w:val="21"/>
          <w:szCs w:val="21"/>
          <w:lang w:val="en-GB"/>
        </w:rPr>
        <w:t>All panellists and participants recogni</w:t>
      </w:r>
      <w:r w:rsidR="00A243A7">
        <w:rPr>
          <w:sz w:val="21"/>
          <w:szCs w:val="21"/>
          <w:lang w:val="en-GB"/>
        </w:rPr>
        <w:t>s</w:t>
      </w:r>
      <w:r w:rsidRPr="007807F1">
        <w:rPr>
          <w:sz w:val="21"/>
          <w:szCs w:val="21"/>
          <w:lang w:val="en-GB"/>
        </w:rPr>
        <w:t xml:space="preserve">ed children and young activists as a group particularly </w:t>
      </w:r>
      <w:r w:rsidR="00A243A7">
        <w:rPr>
          <w:sz w:val="21"/>
          <w:szCs w:val="21"/>
          <w:lang w:val="en-GB"/>
        </w:rPr>
        <w:t>concerned</w:t>
      </w:r>
      <w:r>
        <w:rPr>
          <w:sz w:val="21"/>
          <w:szCs w:val="21"/>
          <w:lang w:val="en-GB"/>
        </w:rPr>
        <w:t xml:space="preserve"> </w:t>
      </w:r>
      <w:r w:rsidRPr="007807F1">
        <w:rPr>
          <w:sz w:val="21"/>
          <w:szCs w:val="21"/>
          <w:lang w:val="en-GB"/>
        </w:rPr>
        <w:t>by environmental harm but also key players in the action against climate change. They have proven</w:t>
      </w:r>
      <w:r>
        <w:rPr>
          <w:sz w:val="21"/>
          <w:szCs w:val="21"/>
          <w:lang w:val="en-GB"/>
        </w:rPr>
        <w:t xml:space="preserve"> </w:t>
      </w:r>
      <w:r w:rsidRPr="007807F1">
        <w:rPr>
          <w:sz w:val="21"/>
          <w:szCs w:val="21"/>
          <w:lang w:val="en-GB"/>
        </w:rPr>
        <w:t>to be deeply concerned (eco-anxiety) about the urgent need for effective action and want to be part</w:t>
      </w:r>
      <w:r>
        <w:rPr>
          <w:sz w:val="21"/>
          <w:szCs w:val="21"/>
          <w:lang w:val="en-GB"/>
        </w:rPr>
        <w:t xml:space="preserve"> </w:t>
      </w:r>
      <w:r w:rsidRPr="007807F1">
        <w:rPr>
          <w:sz w:val="21"/>
          <w:szCs w:val="21"/>
          <w:lang w:val="en-GB"/>
        </w:rPr>
        <w:t>of the solution. In order to tackle climate change and environmental degradation, it was</w:t>
      </w:r>
      <w:r>
        <w:rPr>
          <w:sz w:val="21"/>
          <w:szCs w:val="21"/>
          <w:lang w:val="en-GB"/>
        </w:rPr>
        <w:t xml:space="preserve"> </w:t>
      </w:r>
      <w:r w:rsidRPr="007807F1">
        <w:rPr>
          <w:sz w:val="21"/>
          <w:szCs w:val="21"/>
          <w:lang w:val="en-GB"/>
        </w:rPr>
        <w:t>overwhelmingly agreed that human and societal structures, behaviours and mind-sets must change,</w:t>
      </w:r>
      <w:r>
        <w:rPr>
          <w:sz w:val="21"/>
          <w:szCs w:val="21"/>
          <w:lang w:val="en-GB"/>
        </w:rPr>
        <w:t xml:space="preserve"> </w:t>
      </w:r>
      <w:r w:rsidRPr="007807F1">
        <w:rPr>
          <w:sz w:val="21"/>
          <w:szCs w:val="21"/>
          <w:lang w:val="en-GB"/>
        </w:rPr>
        <w:t>that environmental education is needed at schools and finally that children must have their voices</w:t>
      </w:r>
      <w:r>
        <w:rPr>
          <w:sz w:val="21"/>
          <w:szCs w:val="21"/>
          <w:lang w:val="en-GB"/>
        </w:rPr>
        <w:t xml:space="preserve"> </w:t>
      </w:r>
      <w:r w:rsidRPr="007807F1">
        <w:rPr>
          <w:sz w:val="21"/>
          <w:szCs w:val="21"/>
          <w:lang w:val="en-GB"/>
        </w:rPr>
        <w:t>heard without fear of reprisals.</w:t>
      </w:r>
      <w:r>
        <w:rPr>
          <w:sz w:val="21"/>
          <w:szCs w:val="21"/>
          <w:lang w:val="en-GB"/>
        </w:rPr>
        <w:t xml:space="preserve"> </w:t>
      </w:r>
      <w:r w:rsidRPr="007807F1">
        <w:rPr>
          <w:sz w:val="21"/>
          <w:szCs w:val="21"/>
          <w:lang w:val="en-GB"/>
        </w:rPr>
        <w:t>Children participating in the discussions expressed their</w:t>
      </w:r>
      <w:r w:rsidR="00A243A7">
        <w:rPr>
          <w:sz w:val="21"/>
          <w:szCs w:val="21"/>
          <w:lang w:val="en-GB"/>
        </w:rPr>
        <w:t xml:space="preserve"> concerns</w:t>
      </w:r>
      <w:r w:rsidRPr="007807F1">
        <w:rPr>
          <w:sz w:val="21"/>
          <w:szCs w:val="21"/>
          <w:lang w:val="en-GB"/>
        </w:rPr>
        <w:t xml:space="preserve"> and posed the following key</w:t>
      </w:r>
      <w:r>
        <w:rPr>
          <w:sz w:val="21"/>
          <w:szCs w:val="21"/>
          <w:lang w:val="en-GB"/>
        </w:rPr>
        <w:t xml:space="preserve"> </w:t>
      </w:r>
      <w:r w:rsidRPr="007807F1">
        <w:rPr>
          <w:sz w:val="21"/>
          <w:szCs w:val="21"/>
          <w:lang w:val="en-GB"/>
        </w:rPr>
        <w:t>questions: How much are we ready to give up (in standard of living and lifestyles) to save our planet?</w:t>
      </w:r>
      <w:r>
        <w:rPr>
          <w:sz w:val="21"/>
          <w:szCs w:val="21"/>
          <w:lang w:val="en-GB"/>
        </w:rPr>
        <w:t xml:space="preserve"> </w:t>
      </w:r>
      <w:r w:rsidRPr="007807F1">
        <w:rPr>
          <w:sz w:val="21"/>
          <w:szCs w:val="21"/>
          <w:lang w:val="en-GB"/>
        </w:rPr>
        <w:t>Are we ready to give up technology and resources we don’t need? Is society ready for a change? They</w:t>
      </w:r>
      <w:r>
        <w:rPr>
          <w:sz w:val="21"/>
          <w:szCs w:val="21"/>
          <w:lang w:val="en-GB"/>
        </w:rPr>
        <w:t xml:space="preserve"> </w:t>
      </w:r>
      <w:r w:rsidRPr="007807F1">
        <w:rPr>
          <w:sz w:val="21"/>
          <w:szCs w:val="21"/>
          <w:lang w:val="en-GB"/>
        </w:rPr>
        <w:t>called for an urgent</w:t>
      </w:r>
      <w:r w:rsidR="00A243A7">
        <w:rPr>
          <w:sz w:val="21"/>
          <w:szCs w:val="21"/>
          <w:lang w:val="en-GB"/>
        </w:rPr>
        <w:t xml:space="preserve"> change of</w:t>
      </w:r>
      <w:r w:rsidRPr="007807F1">
        <w:rPr>
          <w:sz w:val="21"/>
          <w:szCs w:val="21"/>
          <w:lang w:val="en-GB"/>
        </w:rPr>
        <w:t xml:space="preserve"> mindset and for implementing small changes in our daily lives.</w:t>
      </w:r>
    </w:p>
    <w:p w14:paraId="30B7B45F" w14:textId="77777777" w:rsidR="0053190C" w:rsidRDefault="0053190C" w:rsidP="000B56A3">
      <w:pPr>
        <w:spacing w:line="276" w:lineRule="auto"/>
        <w:jc w:val="both"/>
        <w:rPr>
          <w:sz w:val="21"/>
          <w:szCs w:val="21"/>
          <w:lang w:val="en-GB"/>
        </w:rPr>
      </w:pPr>
    </w:p>
    <w:p w14:paraId="33E7B335" w14:textId="1816E2CD" w:rsidR="00570CC4" w:rsidRPr="00D2382C" w:rsidRDefault="00570CC4" w:rsidP="000B56A3">
      <w:pPr>
        <w:pStyle w:val="ListParagraph"/>
        <w:numPr>
          <w:ilvl w:val="0"/>
          <w:numId w:val="22"/>
        </w:numPr>
        <w:spacing w:line="276" w:lineRule="auto"/>
        <w:jc w:val="both"/>
        <w:rPr>
          <w:b/>
          <w:bCs/>
          <w:sz w:val="21"/>
          <w:szCs w:val="21"/>
          <w:lang w:val="en-GB"/>
        </w:rPr>
      </w:pPr>
      <w:r w:rsidRPr="00D2382C">
        <w:rPr>
          <w:b/>
          <w:bCs/>
          <w:sz w:val="21"/>
          <w:szCs w:val="21"/>
          <w:lang w:val="en-GB"/>
        </w:rPr>
        <w:t>GENERAL REMARK</w:t>
      </w:r>
      <w:r w:rsidR="00ED04AA" w:rsidRPr="00D2382C">
        <w:rPr>
          <w:b/>
          <w:bCs/>
          <w:sz w:val="21"/>
          <w:szCs w:val="21"/>
          <w:lang w:val="en-GB"/>
        </w:rPr>
        <w:t>S</w:t>
      </w:r>
    </w:p>
    <w:p w14:paraId="4C404D39" w14:textId="21B3FB80" w:rsidR="00570CC4" w:rsidRPr="00D2382C" w:rsidRDefault="00570CC4" w:rsidP="000B56A3">
      <w:pPr>
        <w:spacing w:line="276" w:lineRule="auto"/>
        <w:jc w:val="both"/>
        <w:rPr>
          <w:sz w:val="21"/>
          <w:szCs w:val="21"/>
          <w:lang w:val="en-GB"/>
        </w:rPr>
      </w:pPr>
      <w:r w:rsidRPr="00D2382C">
        <w:rPr>
          <w:sz w:val="21"/>
          <w:szCs w:val="21"/>
          <w:lang w:val="en-GB"/>
        </w:rPr>
        <w:t>We warmly welcome</w:t>
      </w:r>
      <w:r w:rsidR="001E4A3A" w:rsidRPr="00D2382C">
        <w:rPr>
          <w:sz w:val="21"/>
          <w:szCs w:val="21"/>
          <w:lang w:val="en-GB"/>
        </w:rPr>
        <w:t xml:space="preserve"> the inclusion in the draft General Comment of the majority of the children’s rights standards </w:t>
      </w:r>
      <w:r w:rsidR="00ED04AA" w:rsidRPr="00080467">
        <w:rPr>
          <w:sz w:val="21"/>
          <w:szCs w:val="21"/>
          <w:lang w:val="en-GB"/>
        </w:rPr>
        <w:t>enshrined</w:t>
      </w:r>
      <w:r w:rsidR="001E4A3A" w:rsidRPr="00080467">
        <w:rPr>
          <w:sz w:val="21"/>
          <w:szCs w:val="21"/>
          <w:lang w:val="en-GB"/>
        </w:rPr>
        <w:t xml:space="preserve"> in</w:t>
      </w:r>
      <w:r w:rsidR="0053190C">
        <w:rPr>
          <w:sz w:val="21"/>
          <w:szCs w:val="21"/>
          <w:lang w:val="en-GB"/>
        </w:rPr>
        <w:t xml:space="preserve"> the UN Convention on the Rights of the Child</w:t>
      </w:r>
      <w:r w:rsidR="001E4A3A" w:rsidRPr="00080467">
        <w:rPr>
          <w:sz w:val="21"/>
          <w:szCs w:val="21"/>
          <w:lang w:val="en-GB"/>
        </w:rPr>
        <w:t xml:space="preserve">. </w:t>
      </w:r>
      <w:r w:rsidR="00ED04AA" w:rsidRPr="00080467">
        <w:rPr>
          <w:sz w:val="21"/>
          <w:szCs w:val="21"/>
          <w:lang w:val="en-GB"/>
        </w:rPr>
        <w:t>As</w:t>
      </w:r>
      <w:r w:rsidR="00387A15" w:rsidRPr="00080467">
        <w:rPr>
          <w:sz w:val="21"/>
          <w:szCs w:val="21"/>
          <w:lang w:val="en-GB"/>
        </w:rPr>
        <w:t xml:space="preserve"> the Council of Europe tools and standards are readily applicable beyond the </w:t>
      </w:r>
      <w:r w:rsidR="001F4D63" w:rsidRPr="00080467">
        <w:rPr>
          <w:sz w:val="21"/>
          <w:szCs w:val="21"/>
          <w:lang w:val="en-GB"/>
        </w:rPr>
        <w:t>p</w:t>
      </w:r>
      <w:r w:rsidR="00387A15" w:rsidRPr="00080467">
        <w:rPr>
          <w:sz w:val="21"/>
          <w:szCs w:val="21"/>
          <w:lang w:val="en-GB"/>
        </w:rPr>
        <w:t>an-European region</w:t>
      </w:r>
      <w:r w:rsidR="00ED04AA" w:rsidRPr="00080467">
        <w:rPr>
          <w:sz w:val="21"/>
          <w:szCs w:val="21"/>
          <w:lang w:val="en-GB"/>
        </w:rPr>
        <w:t>, i</w:t>
      </w:r>
      <w:r w:rsidR="00387A15" w:rsidRPr="00080467">
        <w:rPr>
          <w:sz w:val="21"/>
          <w:szCs w:val="21"/>
          <w:lang w:val="en-GB"/>
        </w:rPr>
        <w:t xml:space="preserve">t would be relevant and useful to reference </w:t>
      </w:r>
      <w:r w:rsidR="003E287D">
        <w:rPr>
          <w:sz w:val="21"/>
          <w:szCs w:val="21"/>
          <w:lang w:val="en-GB"/>
        </w:rPr>
        <w:t>these</w:t>
      </w:r>
      <w:r w:rsidR="00387A15" w:rsidRPr="00080467">
        <w:rPr>
          <w:sz w:val="21"/>
          <w:szCs w:val="21"/>
          <w:lang w:val="en-GB"/>
        </w:rPr>
        <w:t xml:space="preserve"> standards as part of </w:t>
      </w:r>
      <w:r w:rsidR="00ED04AA" w:rsidRPr="00080467">
        <w:rPr>
          <w:sz w:val="21"/>
          <w:szCs w:val="21"/>
          <w:lang w:val="en-GB"/>
        </w:rPr>
        <w:t>the</w:t>
      </w:r>
      <w:r w:rsidR="00387A15" w:rsidRPr="00080467">
        <w:rPr>
          <w:sz w:val="21"/>
          <w:szCs w:val="21"/>
          <w:lang w:val="en-GB"/>
        </w:rPr>
        <w:t xml:space="preserve"> General Comment </w:t>
      </w:r>
      <w:r w:rsidR="003E287D" w:rsidRPr="00D2382C">
        <w:rPr>
          <w:sz w:val="21"/>
          <w:szCs w:val="21"/>
          <w:lang w:val="en-GB"/>
        </w:rPr>
        <w:t xml:space="preserve">on children’s rights </w:t>
      </w:r>
      <w:r w:rsidR="003E287D">
        <w:rPr>
          <w:sz w:val="21"/>
          <w:szCs w:val="21"/>
          <w:lang w:val="en-GB"/>
        </w:rPr>
        <w:t>and</w:t>
      </w:r>
      <w:r w:rsidR="003E287D" w:rsidRPr="00D2382C">
        <w:rPr>
          <w:sz w:val="21"/>
          <w:szCs w:val="21"/>
          <w:lang w:val="en-GB"/>
        </w:rPr>
        <w:t xml:space="preserve"> the</w:t>
      </w:r>
      <w:r w:rsidR="003E287D">
        <w:rPr>
          <w:sz w:val="21"/>
          <w:szCs w:val="21"/>
          <w:lang w:val="en-GB"/>
        </w:rPr>
        <w:t xml:space="preserve"> environment</w:t>
      </w:r>
      <w:r w:rsidR="00387A15" w:rsidRPr="00080467">
        <w:rPr>
          <w:sz w:val="21"/>
          <w:szCs w:val="21"/>
          <w:lang w:val="en-GB"/>
        </w:rPr>
        <w:t>.</w:t>
      </w:r>
      <w:r w:rsidR="00387A15" w:rsidRPr="00D2382C">
        <w:rPr>
          <w:sz w:val="21"/>
          <w:szCs w:val="21"/>
          <w:lang w:val="en-GB"/>
        </w:rPr>
        <w:t xml:space="preserve">  </w:t>
      </w:r>
    </w:p>
    <w:p w14:paraId="7E956105" w14:textId="1B472B82" w:rsidR="00F21E00" w:rsidRPr="00D2382C" w:rsidRDefault="00925E34" w:rsidP="000B56A3">
      <w:pPr>
        <w:spacing w:line="276" w:lineRule="auto"/>
        <w:jc w:val="both"/>
        <w:rPr>
          <w:sz w:val="21"/>
          <w:szCs w:val="21"/>
          <w:lang w:val="en-GB"/>
        </w:rPr>
      </w:pPr>
      <w:r w:rsidRPr="00D2382C">
        <w:rPr>
          <w:sz w:val="21"/>
          <w:szCs w:val="21"/>
          <w:lang w:val="en-GB"/>
        </w:rPr>
        <w:t xml:space="preserve">Even though the draft General Comment already includes </w:t>
      </w:r>
      <w:r w:rsidR="003D656D" w:rsidRPr="00D2382C">
        <w:rPr>
          <w:sz w:val="21"/>
          <w:szCs w:val="21"/>
          <w:lang w:val="en-GB"/>
        </w:rPr>
        <w:t>most of the principles to protect and fulfil the rights of the chil</w:t>
      </w:r>
      <w:r w:rsidR="00D1472D">
        <w:rPr>
          <w:sz w:val="21"/>
          <w:szCs w:val="21"/>
          <w:lang w:val="en-GB"/>
        </w:rPr>
        <w:t>d and the environment with a special focus on climate change</w:t>
      </w:r>
      <w:r w:rsidR="003D656D" w:rsidRPr="00D2382C">
        <w:rPr>
          <w:sz w:val="21"/>
          <w:szCs w:val="21"/>
          <w:lang w:val="en-GB"/>
        </w:rPr>
        <w:t xml:space="preserve">, the Council of Europe invites the Committee to consider </w:t>
      </w:r>
      <w:r w:rsidR="00245112" w:rsidRPr="00D2382C">
        <w:rPr>
          <w:sz w:val="21"/>
          <w:szCs w:val="21"/>
          <w:lang w:val="en-GB"/>
        </w:rPr>
        <w:t>the following comment</w:t>
      </w:r>
      <w:r w:rsidR="00080467">
        <w:rPr>
          <w:sz w:val="21"/>
          <w:szCs w:val="21"/>
          <w:lang w:val="en-GB"/>
        </w:rPr>
        <w:t>s</w:t>
      </w:r>
      <w:r w:rsidR="000B56A3">
        <w:rPr>
          <w:sz w:val="21"/>
          <w:szCs w:val="21"/>
          <w:lang w:val="en-GB"/>
        </w:rPr>
        <w:t>, which follow the structure of the draft General Comment</w:t>
      </w:r>
      <w:r w:rsidR="00045CB5">
        <w:rPr>
          <w:sz w:val="21"/>
          <w:szCs w:val="21"/>
          <w:lang w:val="en-GB"/>
        </w:rPr>
        <w:t>.</w:t>
      </w:r>
    </w:p>
    <w:p w14:paraId="5BEF7E4E" w14:textId="77777777" w:rsidR="000A75AB" w:rsidRPr="00D2382C" w:rsidRDefault="000A75AB" w:rsidP="000B56A3">
      <w:pPr>
        <w:pStyle w:val="ListParagraph"/>
        <w:spacing w:line="276" w:lineRule="auto"/>
        <w:jc w:val="both"/>
        <w:rPr>
          <w:rFonts w:ascii="Calibri" w:eastAsia="Times New Roman" w:hAnsi="Calibri" w:cs="Calibri"/>
          <w:color w:val="000000"/>
          <w:sz w:val="21"/>
          <w:szCs w:val="21"/>
          <w:shd w:val="clear" w:color="auto" w:fill="FFFFFF"/>
          <w:lang w:val="en-GB" w:eastAsia="es-ES_tradnl"/>
        </w:rPr>
      </w:pPr>
    </w:p>
    <w:p w14:paraId="0243AE51" w14:textId="1E95A03E" w:rsidR="000A75AB" w:rsidRPr="00D2382C" w:rsidRDefault="003C3700" w:rsidP="000B56A3">
      <w:pPr>
        <w:pStyle w:val="ListParagraph"/>
        <w:numPr>
          <w:ilvl w:val="0"/>
          <w:numId w:val="22"/>
        </w:numPr>
        <w:spacing w:line="276" w:lineRule="auto"/>
        <w:jc w:val="both"/>
        <w:rPr>
          <w:rFonts w:ascii="Calibri" w:eastAsia="Times New Roman" w:hAnsi="Calibri" w:cs="Calibri"/>
          <w:b/>
          <w:bCs/>
          <w:color w:val="000000"/>
          <w:sz w:val="21"/>
          <w:szCs w:val="21"/>
          <w:shd w:val="clear" w:color="auto" w:fill="FFFFFF"/>
          <w:lang w:val="en-GB" w:eastAsia="es-ES_tradnl"/>
        </w:rPr>
      </w:pPr>
      <w:r>
        <w:rPr>
          <w:rFonts w:ascii="Calibri" w:eastAsia="Times New Roman" w:hAnsi="Calibri" w:cs="Calibri"/>
          <w:b/>
          <w:bCs/>
          <w:color w:val="000000"/>
          <w:sz w:val="21"/>
          <w:szCs w:val="21"/>
          <w:shd w:val="clear" w:color="auto" w:fill="FFFFFF"/>
          <w:lang w:val="en-GB" w:eastAsia="es-ES_tradnl"/>
        </w:rPr>
        <w:t xml:space="preserve">SPECIFIC RIGHTS OF THE CONVENTION AS THEY RELATE TO THE ENVIRONMENT </w:t>
      </w:r>
      <w:r w:rsidR="000B56A3">
        <w:rPr>
          <w:rFonts w:ascii="Calibri" w:eastAsia="Times New Roman" w:hAnsi="Calibri" w:cs="Calibri"/>
          <w:b/>
          <w:bCs/>
          <w:color w:val="000000"/>
          <w:sz w:val="21"/>
          <w:szCs w:val="21"/>
          <w:shd w:val="clear" w:color="auto" w:fill="FFFFFF"/>
          <w:lang w:val="en-GB" w:eastAsia="es-ES_tradnl"/>
        </w:rPr>
        <w:t>(Section III)</w:t>
      </w:r>
    </w:p>
    <w:p w14:paraId="10B79368" w14:textId="77777777" w:rsidR="000B56A3" w:rsidRDefault="002E41DF" w:rsidP="000B56A3">
      <w:pPr>
        <w:spacing w:line="276" w:lineRule="auto"/>
        <w:jc w:val="both"/>
        <w:rPr>
          <w:rFonts w:ascii="Calibri" w:eastAsia="Times New Roman" w:hAnsi="Calibri" w:cs="Calibri"/>
          <w:b/>
          <w:bCs/>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 xml:space="preserve">A. </w:t>
      </w:r>
      <w:r w:rsidR="00617C32">
        <w:rPr>
          <w:rFonts w:ascii="Calibri" w:eastAsia="Times New Roman" w:hAnsi="Calibri" w:cs="Calibri"/>
          <w:b/>
          <w:bCs/>
          <w:color w:val="000000"/>
          <w:sz w:val="21"/>
          <w:szCs w:val="21"/>
          <w:shd w:val="clear" w:color="auto" w:fill="FFFFFF"/>
          <w:lang w:val="en-GB" w:eastAsia="es-ES_tradnl"/>
        </w:rPr>
        <w:t xml:space="preserve">The right to life, survival and development (Art. 6). </w:t>
      </w:r>
    </w:p>
    <w:p w14:paraId="75D7D5BA" w14:textId="76F7691C" w:rsidR="00283F4F" w:rsidRDefault="006F7468" w:rsidP="000B56A3">
      <w:pPr>
        <w:spacing w:line="276"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 xml:space="preserve">With respect to the right to life, the Council of Europe </w:t>
      </w:r>
      <w:r w:rsidR="00E56B8B">
        <w:rPr>
          <w:rFonts w:ascii="Calibri" w:eastAsia="Times New Roman" w:hAnsi="Calibri" w:cs="Calibri"/>
          <w:color w:val="000000"/>
          <w:sz w:val="21"/>
          <w:szCs w:val="21"/>
          <w:shd w:val="clear" w:color="auto" w:fill="FFFFFF"/>
          <w:lang w:val="en-GB" w:eastAsia="es-ES_tradnl"/>
        </w:rPr>
        <w:t xml:space="preserve">shares the view </w:t>
      </w:r>
      <w:r w:rsidR="0053190C">
        <w:rPr>
          <w:rFonts w:ascii="Calibri" w:eastAsia="Times New Roman" w:hAnsi="Calibri" w:cs="Calibri"/>
          <w:color w:val="000000"/>
          <w:sz w:val="21"/>
          <w:szCs w:val="21"/>
          <w:shd w:val="clear" w:color="auto" w:fill="FFFFFF"/>
          <w:lang w:val="en-GB" w:eastAsia="es-ES_tradnl"/>
        </w:rPr>
        <w:t>of</w:t>
      </w:r>
      <w:r w:rsidR="00E56B8B">
        <w:rPr>
          <w:rFonts w:ascii="Calibri" w:eastAsia="Times New Roman" w:hAnsi="Calibri" w:cs="Calibri"/>
          <w:color w:val="000000"/>
          <w:sz w:val="21"/>
          <w:szCs w:val="21"/>
          <w:shd w:val="clear" w:color="auto" w:fill="FFFFFF"/>
          <w:lang w:val="en-GB" w:eastAsia="es-ES_tradnl"/>
        </w:rPr>
        <w:t xml:space="preserve"> the</w:t>
      </w:r>
      <w:r>
        <w:rPr>
          <w:rFonts w:ascii="Calibri" w:eastAsia="Times New Roman" w:hAnsi="Calibri" w:cs="Calibri"/>
          <w:color w:val="000000"/>
          <w:sz w:val="21"/>
          <w:szCs w:val="21"/>
          <w:shd w:val="clear" w:color="auto" w:fill="FFFFFF"/>
          <w:lang w:val="en-GB" w:eastAsia="es-ES_tradnl"/>
        </w:rPr>
        <w:t xml:space="preserve"> Committee</w:t>
      </w:r>
      <w:r w:rsidR="00E56B8B">
        <w:rPr>
          <w:rFonts w:ascii="Calibri" w:eastAsia="Times New Roman" w:hAnsi="Calibri" w:cs="Calibri"/>
          <w:color w:val="000000"/>
          <w:sz w:val="21"/>
          <w:szCs w:val="21"/>
          <w:shd w:val="clear" w:color="auto" w:fill="FFFFFF"/>
          <w:lang w:val="en-GB" w:eastAsia="es-ES_tradnl"/>
        </w:rPr>
        <w:t xml:space="preserve"> that the right to life is threatened by avoidable environmental impacts, which are closely linked to other fundamental challenges impeding </w:t>
      </w:r>
      <w:r w:rsidR="006118E9">
        <w:rPr>
          <w:rFonts w:ascii="Calibri" w:eastAsia="Times New Roman" w:hAnsi="Calibri" w:cs="Calibri"/>
          <w:color w:val="000000"/>
          <w:sz w:val="21"/>
          <w:szCs w:val="21"/>
          <w:shd w:val="clear" w:color="auto" w:fill="FFFFFF"/>
          <w:lang w:val="en-GB" w:eastAsia="es-ES_tradnl"/>
        </w:rPr>
        <w:t>on its realisation</w:t>
      </w:r>
      <w:r w:rsidR="00E56B8B">
        <w:rPr>
          <w:rFonts w:ascii="Calibri" w:eastAsia="Times New Roman" w:hAnsi="Calibri" w:cs="Calibri"/>
          <w:color w:val="000000"/>
          <w:sz w:val="21"/>
          <w:szCs w:val="21"/>
          <w:shd w:val="clear" w:color="auto" w:fill="FFFFFF"/>
          <w:lang w:val="en-GB" w:eastAsia="es-ES_tradnl"/>
        </w:rPr>
        <w:t xml:space="preserve">, such as poverty, inequality, and conflict. </w:t>
      </w:r>
      <w:r w:rsidR="007F7E30">
        <w:rPr>
          <w:rFonts w:ascii="Calibri" w:eastAsia="Times New Roman" w:hAnsi="Calibri" w:cs="Calibri"/>
          <w:color w:val="000000"/>
          <w:sz w:val="21"/>
          <w:szCs w:val="21"/>
          <w:shd w:val="clear" w:color="auto" w:fill="FFFFFF"/>
          <w:lang w:val="en-GB" w:eastAsia="es-ES_tradnl"/>
        </w:rPr>
        <w:t>Though the Committee has, in t</w:t>
      </w:r>
      <w:r w:rsidR="00A243A7">
        <w:rPr>
          <w:rFonts w:ascii="Calibri" w:eastAsia="Times New Roman" w:hAnsi="Calibri" w:cs="Calibri"/>
          <w:color w:val="000000"/>
          <w:sz w:val="21"/>
          <w:szCs w:val="21"/>
          <w:shd w:val="clear" w:color="auto" w:fill="FFFFFF"/>
          <w:lang w:val="en-GB" w:eastAsia="es-ES_tradnl"/>
        </w:rPr>
        <w:t>he draft</w:t>
      </w:r>
      <w:r w:rsidR="007F7E30">
        <w:rPr>
          <w:rFonts w:ascii="Calibri" w:eastAsia="Times New Roman" w:hAnsi="Calibri" w:cs="Calibri"/>
          <w:color w:val="000000"/>
          <w:sz w:val="21"/>
          <w:szCs w:val="21"/>
          <w:shd w:val="clear" w:color="auto" w:fill="FFFFFF"/>
          <w:lang w:val="en-GB" w:eastAsia="es-ES_tradnl"/>
        </w:rPr>
        <w:t xml:space="preserve"> General Comment, included </w:t>
      </w:r>
      <w:r w:rsidR="006118E9">
        <w:rPr>
          <w:rFonts w:ascii="Calibri" w:eastAsia="Times New Roman" w:hAnsi="Calibri" w:cs="Calibri"/>
          <w:color w:val="000000"/>
          <w:sz w:val="21"/>
          <w:szCs w:val="21"/>
          <w:shd w:val="clear" w:color="auto" w:fill="FFFFFF"/>
          <w:lang w:val="en-GB" w:eastAsia="es-ES_tradnl"/>
        </w:rPr>
        <w:t>two sections on the responsibilities of businesses in relation to the environment and children’s rights,</w:t>
      </w:r>
      <w:r w:rsidR="007F7E30">
        <w:rPr>
          <w:rFonts w:ascii="Calibri" w:eastAsia="Times New Roman" w:hAnsi="Calibri" w:cs="Calibri"/>
          <w:color w:val="000000"/>
          <w:sz w:val="21"/>
          <w:szCs w:val="21"/>
          <w:shd w:val="clear" w:color="auto" w:fill="FFFFFF"/>
          <w:lang w:val="en-GB" w:eastAsia="es-ES_tradnl"/>
        </w:rPr>
        <w:t xml:space="preserve"> </w:t>
      </w:r>
      <w:r w:rsidR="00BB4104">
        <w:rPr>
          <w:rFonts w:ascii="Calibri" w:eastAsia="Times New Roman" w:hAnsi="Calibri" w:cs="Calibri"/>
          <w:color w:val="000000"/>
          <w:sz w:val="21"/>
          <w:szCs w:val="21"/>
          <w:shd w:val="clear" w:color="auto" w:fill="FFFFFF"/>
          <w:lang w:val="en-GB" w:eastAsia="es-ES_tradnl"/>
        </w:rPr>
        <w:t>we would propose to add a</w:t>
      </w:r>
      <w:r w:rsidR="006118E9">
        <w:rPr>
          <w:rFonts w:ascii="Calibri" w:eastAsia="Times New Roman" w:hAnsi="Calibri" w:cs="Calibri"/>
          <w:color w:val="000000"/>
          <w:sz w:val="21"/>
          <w:szCs w:val="21"/>
          <w:shd w:val="clear" w:color="auto" w:fill="FFFFFF"/>
          <w:lang w:val="en-GB" w:eastAsia="es-ES_tradnl"/>
        </w:rPr>
        <w:t xml:space="preserve">lready </w:t>
      </w:r>
      <w:r w:rsidR="0053190C">
        <w:rPr>
          <w:rFonts w:ascii="Calibri" w:eastAsia="Times New Roman" w:hAnsi="Calibri" w:cs="Calibri"/>
          <w:color w:val="000000"/>
          <w:sz w:val="21"/>
          <w:szCs w:val="21"/>
          <w:shd w:val="clear" w:color="auto" w:fill="FFFFFF"/>
          <w:lang w:val="en-GB" w:eastAsia="es-ES_tradnl"/>
        </w:rPr>
        <w:t xml:space="preserve">a </w:t>
      </w:r>
      <w:r w:rsidR="00BB4104">
        <w:rPr>
          <w:rFonts w:ascii="Calibri" w:eastAsia="Times New Roman" w:hAnsi="Calibri" w:cs="Calibri"/>
          <w:color w:val="000000"/>
          <w:sz w:val="21"/>
          <w:szCs w:val="21"/>
          <w:shd w:val="clear" w:color="auto" w:fill="FFFFFF"/>
          <w:lang w:val="en-GB" w:eastAsia="es-ES_tradnl"/>
        </w:rPr>
        <w:t xml:space="preserve">general mention that states responsibilities in the protection of the right to life </w:t>
      </w:r>
      <w:r w:rsidR="00FB0A1C">
        <w:rPr>
          <w:rFonts w:ascii="Calibri" w:eastAsia="Times New Roman" w:hAnsi="Calibri" w:cs="Calibri"/>
          <w:color w:val="000000"/>
          <w:sz w:val="21"/>
          <w:szCs w:val="21"/>
          <w:shd w:val="clear" w:color="auto" w:fill="FFFFFF"/>
          <w:lang w:val="en-GB" w:eastAsia="es-ES_tradnl"/>
        </w:rPr>
        <w:t>extend</w:t>
      </w:r>
      <w:r w:rsidR="006118E9">
        <w:rPr>
          <w:rFonts w:ascii="Calibri" w:eastAsia="Times New Roman" w:hAnsi="Calibri" w:cs="Calibri"/>
          <w:color w:val="000000"/>
          <w:sz w:val="21"/>
          <w:szCs w:val="21"/>
          <w:shd w:val="clear" w:color="auto" w:fill="FFFFFF"/>
          <w:lang w:val="en-GB" w:eastAsia="es-ES_tradnl"/>
        </w:rPr>
        <w:t>s</w:t>
      </w:r>
      <w:r w:rsidR="00BB4104">
        <w:rPr>
          <w:rFonts w:ascii="Calibri" w:eastAsia="Times New Roman" w:hAnsi="Calibri" w:cs="Calibri"/>
          <w:color w:val="000000"/>
          <w:sz w:val="21"/>
          <w:szCs w:val="21"/>
          <w:shd w:val="clear" w:color="auto" w:fill="FFFFFF"/>
          <w:lang w:val="en-GB" w:eastAsia="es-ES_tradnl"/>
        </w:rPr>
        <w:t xml:space="preserve"> beyond the management of </w:t>
      </w:r>
      <w:r w:rsidR="00FB0A1C">
        <w:rPr>
          <w:rFonts w:ascii="Calibri" w:eastAsia="Times New Roman" w:hAnsi="Calibri" w:cs="Calibri"/>
          <w:color w:val="000000"/>
          <w:sz w:val="21"/>
          <w:szCs w:val="21"/>
          <w:shd w:val="clear" w:color="auto" w:fill="FFFFFF"/>
          <w:lang w:val="en-GB" w:eastAsia="es-ES_tradnl"/>
        </w:rPr>
        <w:t xml:space="preserve">a </w:t>
      </w:r>
      <w:r w:rsidR="00BB4104">
        <w:rPr>
          <w:rFonts w:ascii="Calibri" w:eastAsia="Times New Roman" w:hAnsi="Calibri" w:cs="Calibri"/>
          <w:color w:val="000000"/>
          <w:sz w:val="21"/>
          <w:szCs w:val="21"/>
          <w:shd w:val="clear" w:color="auto" w:fill="FFFFFF"/>
          <w:lang w:val="en-GB" w:eastAsia="es-ES_tradnl"/>
        </w:rPr>
        <w:t xml:space="preserve">state’s activities </w:t>
      </w:r>
      <w:proofErr w:type="gramStart"/>
      <w:r w:rsidR="00BB4104">
        <w:rPr>
          <w:rFonts w:ascii="Calibri" w:eastAsia="Times New Roman" w:hAnsi="Calibri" w:cs="Calibri"/>
          <w:color w:val="000000"/>
          <w:sz w:val="21"/>
          <w:szCs w:val="21"/>
          <w:shd w:val="clear" w:color="auto" w:fill="FFFFFF"/>
          <w:lang w:val="en-GB" w:eastAsia="es-ES_tradnl"/>
        </w:rPr>
        <w:t xml:space="preserve">and </w:t>
      </w:r>
      <w:r w:rsidR="00283F4F" w:rsidRPr="00FB0A1C">
        <w:rPr>
          <w:rFonts w:ascii="Calibri" w:eastAsia="Times New Roman" w:hAnsi="Calibri" w:cs="Calibri"/>
          <w:color w:val="000000"/>
          <w:sz w:val="21"/>
          <w:szCs w:val="21"/>
          <w:u w:val="single"/>
          <w:shd w:val="clear" w:color="auto" w:fill="FFFFFF"/>
          <w:lang w:val="en-GB" w:eastAsia="es-ES_tradnl"/>
        </w:rPr>
        <w:t>also</w:t>
      </w:r>
      <w:proofErr w:type="gramEnd"/>
      <w:r w:rsidR="00283F4F" w:rsidRPr="00FB0A1C">
        <w:rPr>
          <w:rFonts w:ascii="Calibri" w:eastAsia="Times New Roman" w:hAnsi="Calibri" w:cs="Calibri"/>
          <w:color w:val="000000"/>
          <w:sz w:val="21"/>
          <w:szCs w:val="21"/>
          <w:u w:val="single"/>
          <w:shd w:val="clear" w:color="auto" w:fill="FFFFFF"/>
          <w:lang w:val="en-GB" w:eastAsia="es-ES_tradnl"/>
        </w:rPr>
        <w:t xml:space="preserve"> </w:t>
      </w:r>
      <w:r w:rsidR="00BB4104" w:rsidRPr="00FB0A1C">
        <w:rPr>
          <w:rFonts w:ascii="Calibri" w:eastAsia="Times New Roman" w:hAnsi="Calibri" w:cs="Calibri"/>
          <w:color w:val="000000"/>
          <w:sz w:val="21"/>
          <w:szCs w:val="21"/>
          <w:u w:val="single"/>
          <w:shd w:val="clear" w:color="auto" w:fill="FFFFFF"/>
          <w:lang w:val="en-GB" w:eastAsia="es-ES_tradnl"/>
        </w:rPr>
        <w:t>encompass the actions of non-state actors.</w:t>
      </w:r>
      <w:r w:rsidR="00BB4104">
        <w:rPr>
          <w:rFonts w:ascii="Calibri" w:eastAsia="Times New Roman" w:hAnsi="Calibri" w:cs="Calibri"/>
          <w:color w:val="000000"/>
          <w:sz w:val="21"/>
          <w:szCs w:val="21"/>
          <w:shd w:val="clear" w:color="auto" w:fill="FFFFFF"/>
          <w:lang w:val="en-GB" w:eastAsia="es-ES_tradnl"/>
        </w:rPr>
        <w:t xml:space="preserve"> </w:t>
      </w:r>
      <w:r w:rsidR="00283F4F">
        <w:rPr>
          <w:rFonts w:ascii="Calibri" w:eastAsia="Times New Roman" w:hAnsi="Calibri" w:cs="Calibri"/>
          <w:color w:val="000000"/>
          <w:sz w:val="21"/>
          <w:szCs w:val="21"/>
          <w:shd w:val="clear" w:color="auto" w:fill="FFFFFF"/>
          <w:lang w:val="en-GB" w:eastAsia="es-ES_tradnl"/>
        </w:rPr>
        <w:t>Accordingly, states should provide safeguards for all</w:t>
      </w:r>
      <w:r w:rsidR="009A2426">
        <w:rPr>
          <w:rFonts w:ascii="Calibri" w:eastAsia="Times New Roman" w:hAnsi="Calibri" w:cs="Calibri"/>
          <w:color w:val="000000"/>
          <w:sz w:val="21"/>
          <w:szCs w:val="21"/>
          <w:shd w:val="clear" w:color="auto" w:fill="FFFFFF"/>
          <w:lang w:val="en-GB" w:eastAsia="es-ES_tradnl"/>
        </w:rPr>
        <w:t xml:space="preserve"> environmental threats to the life, survival and development of children, and such measures should </w:t>
      </w:r>
      <w:r w:rsidR="00FB0A1C" w:rsidRPr="00FB0A1C">
        <w:rPr>
          <w:rFonts w:ascii="Calibri" w:eastAsia="Times New Roman" w:hAnsi="Calibri" w:cs="Calibri"/>
          <w:color w:val="000000"/>
          <w:sz w:val="21"/>
          <w:szCs w:val="21"/>
          <w:u w:val="single"/>
          <w:shd w:val="clear" w:color="auto" w:fill="FFFFFF"/>
          <w:lang w:val="en-GB" w:eastAsia="es-ES_tradnl"/>
        </w:rPr>
        <w:t xml:space="preserve">extend </w:t>
      </w:r>
      <w:r w:rsidR="009A2426" w:rsidRPr="00FB0A1C">
        <w:rPr>
          <w:rFonts w:ascii="Calibri" w:eastAsia="Times New Roman" w:hAnsi="Calibri" w:cs="Calibri"/>
          <w:color w:val="000000"/>
          <w:sz w:val="21"/>
          <w:szCs w:val="21"/>
          <w:u w:val="single"/>
          <w:shd w:val="clear" w:color="auto" w:fill="FFFFFF"/>
          <w:lang w:val="en-GB" w:eastAsia="es-ES_tradnl"/>
        </w:rPr>
        <w:t>to all sectors of governance and all sectors of the economy</w:t>
      </w:r>
      <w:r w:rsidR="009A2426">
        <w:rPr>
          <w:rFonts w:ascii="Calibri" w:eastAsia="Times New Roman" w:hAnsi="Calibri" w:cs="Calibri"/>
          <w:color w:val="000000"/>
          <w:sz w:val="21"/>
          <w:szCs w:val="21"/>
          <w:shd w:val="clear" w:color="auto" w:fill="FFFFFF"/>
          <w:lang w:val="en-GB" w:eastAsia="es-ES_tradnl"/>
        </w:rPr>
        <w:t xml:space="preserve"> (</w:t>
      </w:r>
      <w:r w:rsidR="009A2426" w:rsidRPr="00D2382C">
        <w:rPr>
          <w:rFonts w:ascii="Calibri" w:eastAsia="Times New Roman" w:hAnsi="Calibri" w:cs="Calibri"/>
          <w:color w:val="000000"/>
          <w:sz w:val="21"/>
          <w:szCs w:val="21"/>
          <w:shd w:val="clear" w:color="auto" w:fill="FFFFFF"/>
          <w:lang w:val="en-GB" w:eastAsia="es-ES_tradnl"/>
        </w:rPr>
        <w:t>§</w:t>
      </w:r>
      <w:r w:rsidR="009A2426">
        <w:rPr>
          <w:rFonts w:ascii="Calibri" w:eastAsia="Times New Roman" w:hAnsi="Calibri" w:cs="Calibri"/>
          <w:color w:val="000000"/>
          <w:sz w:val="21"/>
          <w:szCs w:val="21"/>
          <w:shd w:val="clear" w:color="auto" w:fill="FFFFFF"/>
          <w:lang w:val="en-GB" w:eastAsia="es-ES_tradnl"/>
        </w:rPr>
        <w:t xml:space="preserve">16-17). </w:t>
      </w:r>
    </w:p>
    <w:p w14:paraId="2E115935" w14:textId="6791865E" w:rsidR="009A2426" w:rsidRDefault="00FB0A1C" w:rsidP="000B56A3">
      <w:pPr>
        <w:spacing w:line="276"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Furthermore,</w:t>
      </w:r>
      <w:r w:rsidR="00B9363F">
        <w:rPr>
          <w:rFonts w:ascii="Calibri" w:eastAsia="Times New Roman" w:hAnsi="Calibri" w:cs="Calibri"/>
          <w:color w:val="000000"/>
          <w:sz w:val="21"/>
          <w:szCs w:val="21"/>
          <w:shd w:val="clear" w:color="auto" w:fill="FFFFFF"/>
          <w:lang w:val="en-GB" w:eastAsia="es-ES_tradnl"/>
        </w:rPr>
        <w:t xml:space="preserve"> the</w:t>
      </w:r>
      <w:r w:rsidR="00A243A7">
        <w:rPr>
          <w:rFonts w:ascii="Calibri" w:eastAsia="Times New Roman" w:hAnsi="Calibri" w:cs="Calibri"/>
          <w:color w:val="000000"/>
          <w:sz w:val="21"/>
          <w:szCs w:val="21"/>
          <w:shd w:val="clear" w:color="auto" w:fill="FFFFFF"/>
          <w:lang w:val="en-GB" w:eastAsia="es-ES_tradnl"/>
        </w:rPr>
        <w:t xml:space="preserve"> Secretariat </w:t>
      </w:r>
      <w:r w:rsidR="0074679F">
        <w:rPr>
          <w:rFonts w:ascii="Calibri" w:eastAsia="Times New Roman" w:hAnsi="Calibri" w:cs="Calibri"/>
          <w:color w:val="000000"/>
          <w:sz w:val="21"/>
          <w:szCs w:val="21"/>
          <w:shd w:val="clear" w:color="auto" w:fill="FFFFFF"/>
          <w:lang w:val="en-GB" w:eastAsia="es-ES_tradnl"/>
        </w:rPr>
        <w:t>appreciates</w:t>
      </w:r>
      <w:r w:rsidR="00E867CD">
        <w:rPr>
          <w:rFonts w:ascii="Calibri" w:eastAsia="Times New Roman" w:hAnsi="Calibri" w:cs="Calibri"/>
          <w:color w:val="000000"/>
          <w:sz w:val="21"/>
          <w:szCs w:val="21"/>
          <w:shd w:val="clear" w:color="auto" w:fill="FFFFFF"/>
          <w:lang w:val="en-GB" w:eastAsia="es-ES_tradnl"/>
        </w:rPr>
        <w:t xml:space="preserve"> the view of the Committee tha</w:t>
      </w:r>
      <w:r w:rsidR="0074679F">
        <w:rPr>
          <w:rFonts w:ascii="Calibri" w:eastAsia="Times New Roman" w:hAnsi="Calibri" w:cs="Calibri"/>
          <w:color w:val="000000"/>
          <w:sz w:val="21"/>
          <w:szCs w:val="21"/>
          <w:shd w:val="clear" w:color="auto" w:fill="FFFFFF"/>
          <w:lang w:val="en-GB" w:eastAsia="es-ES_tradnl"/>
        </w:rPr>
        <w:t>t, in safeguarding children’s rights to survival and development, states should implement laws and policies that ensure children’s survival and physical, mental, spiritual, moral, psychological, and social development</w:t>
      </w:r>
      <w:r w:rsidR="00A243A7">
        <w:rPr>
          <w:rFonts w:ascii="Calibri" w:eastAsia="Times New Roman" w:hAnsi="Calibri" w:cs="Calibri"/>
          <w:color w:val="000000"/>
          <w:sz w:val="21"/>
          <w:szCs w:val="21"/>
          <w:shd w:val="clear" w:color="auto" w:fill="FFFFFF"/>
          <w:lang w:val="en-GB" w:eastAsia="es-ES_tradnl"/>
        </w:rPr>
        <w:t xml:space="preserve"> as well as </w:t>
      </w:r>
      <w:r w:rsidR="003957B6">
        <w:rPr>
          <w:rFonts w:ascii="Calibri" w:eastAsia="Times New Roman" w:hAnsi="Calibri" w:cs="Calibri"/>
          <w:color w:val="000000"/>
          <w:sz w:val="21"/>
          <w:szCs w:val="21"/>
          <w:shd w:val="clear" w:color="auto" w:fill="FFFFFF"/>
          <w:lang w:val="en-GB" w:eastAsia="es-ES_tradnl"/>
        </w:rPr>
        <w:t xml:space="preserve"> the inclusion of the life-course perspective, which is a necessary consideration for states</w:t>
      </w:r>
      <w:r w:rsidR="00C03119">
        <w:rPr>
          <w:rFonts w:ascii="Calibri" w:eastAsia="Times New Roman" w:hAnsi="Calibri" w:cs="Calibri"/>
          <w:color w:val="000000"/>
          <w:sz w:val="21"/>
          <w:szCs w:val="21"/>
          <w:shd w:val="clear" w:color="auto" w:fill="FFFFFF"/>
          <w:lang w:val="en-GB" w:eastAsia="es-ES_tradnl"/>
        </w:rPr>
        <w:t xml:space="preserve"> in their environmental decisions,</w:t>
      </w:r>
      <w:r w:rsidR="003957B6">
        <w:rPr>
          <w:rFonts w:ascii="Calibri" w:eastAsia="Times New Roman" w:hAnsi="Calibri" w:cs="Calibri"/>
          <w:color w:val="000000"/>
          <w:sz w:val="21"/>
          <w:szCs w:val="21"/>
          <w:shd w:val="clear" w:color="auto" w:fill="FFFFFF"/>
          <w:lang w:val="en-GB" w:eastAsia="es-ES_tradnl"/>
        </w:rPr>
        <w:t xml:space="preserve"> to determine all factors </w:t>
      </w:r>
      <w:r w:rsidR="00C03119">
        <w:rPr>
          <w:rFonts w:ascii="Calibri" w:eastAsia="Times New Roman" w:hAnsi="Calibri" w:cs="Calibri"/>
          <w:color w:val="000000"/>
          <w:sz w:val="21"/>
          <w:szCs w:val="21"/>
          <w:shd w:val="clear" w:color="auto" w:fill="FFFFFF"/>
          <w:lang w:val="en-GB" w:eastAsia="es-ES_tradnl"/>
        </w:rPr>
        <w:t>required for children’s right to survival, growth and to develop to reach their full potential according to their varying needs at different stages of their maturation and development</w:t>
      </w:r>
      <w:r w:rsidR="00FD40FB">
        <w:rPr>
          <w:rFonts w:ascii="Calibri" w:eastAsia="Times New Roman" w:hAnsi="Calibri" w:cs="Calibri"/>
          <w:color w:val="000000"/>
          <w:sz w:val="21"/>
          <w:szCs w:val="21"/>
          <w:shd w:val="clear" w:color="auto" w:fill="FFFFFF"/>
          <w:lang w:val="en-GB" w:eastAsia="es-ES_tradnl"/>
        </w:rPr>
        <w:t xml:space="preserve">. </w:t>
      </w:r>
      <w:r w:rsidRPr="00A62F5A">
        <w:rPr>
          <w:rFonts w:ascii="Calibri" w:eastAsia="Times New Roman" w:hAnsi="Calibri" w:cs="Calibri"/>
          <w:color w:val="000000"/>
          <w:sz w:val="21"/>
          <w:szCs w:val="21"/>
          <w:highlight w:val="green"/>
          <w:shd w:val="clear" w:color="auto" w:fill="FFFFFF"/>
          <w:lang w:val="en-GB" w:eastAsia="es-ES_tradnl"/>
        </w:rPr>
        <w:t xml:space="preserve"> </w:t>
      </w:r>
    </w:p>
    <w:p w14:paraId="47554EE9" w14:textId="77777777" w:rsidR="009465A2" w:rsidRPr="00D2382C" w:rsidRDefault="009465A2" w:rsidP="000B56A3">
      <w:pPr>
        <w:spacing w:line="276" w:lineRule="auto"/>
        <w:jc w:val="both"/>
        <w:rPr>
          <w:rFonts w:ascii="Calibri" w:eastAsia="Times New Roman" w:hAnsi="Calibri" w:cs="Calibri"/>
          <w:color w:val="000000"/>
          <w:sz w:val="21"/>
          <w:szCs w:val="21"/>
          <w:shd w:val="clear" w:color="auto" w:fill="FFFFFF"/>
          <w:lang w:val="en-GB" w:eastAsia="es-ES_tradnl"/>
        </w:rPr>
      </w:pPr>
    </w:p>
    <w:p w14:paraId="7240354B" w14:textId="77777777" w:rsidR="000B56A3" w:rsidRDefault="003358DE" w:rsidP="000B56A3">
      <w:pPr>
        <w:spacing w:line="276"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 xml:space="preserve">B. </w:t>
      </w:r>
      <w:r w:rsidR="00622B4B">
        <w:rPr>
          <w:rFonts w:ascii="Calibri" w:eastAsia="Times New Roman" w:hAnsi="Calibri" w:cs="Calibri"/>
          <w:b/>
          <w:bCs/>
          <w:color w:val="000000"/>
          <w:sz w:val="21"/>
          <w:szCs w:val="21"/>
          <w:shd w:val="clear" w:color="auto" w:fill="FFFFFF"/>
          <w:lang w:val="en-GB" w:eastAsia="es-ES_tradnl"/>
        </w:rPr>
        <w:t>The right to the highest attainable standard of health (Art. 24).</w:t>
      </w:r>
      <w:r w:rsidR="000915EA" w:rsidRPr="00D2382C">
        <w:rPr>
          <w:rFonts w:ascii="Calibri" w:eastAsia="Times New Roman" w:hAnsi="Calibri" w:cs="Calibri"/>
          <w:color w:val="000000"/>
          <w:sz w:val="21"/>
          <w:szCs w:val="21"/>
          <w:shd w:val="clear" w:color="auto" w:fill="FFFFFF"/>
          <w:lang w:val="en-GB" w:eastAsia="es-ES_tradnl"/>
        </w:rPr>
        <w:t xml:space="preserve"> </w:t>
      </w:r>
    </w:p>
    <w:p w14:paraId="1F4D6E0C" w14:textId="11F6A190" w:rsidR="007807F1" w:rsidRDefault="00A243A7" w:rsidP="000B56A3">
      <w:pPr>
        <w:spacing w:line="276"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T</w:t>
      </w:r>
      <w:r w:rsidR="004C7B95">
        <w:rPr>
          <w:rFonts w:ascii="Calibri" w:eastAsia="Times New Roman" w:hAnsi="Calibri" w:cs="Calibri"/>
          <w:color w:val="000000"/>
          <w:sz w:val="21"/>
          <w:szCs w:val="21"/>
          <w:shd w:val="clear" w:color="auto" w:fill="FFFFFF"/>
          <w:lang w:val="en-GB" w:eastAsia="es-ES_tradnl"/>
        </w:rPr>
        <w:t xml:space="preserve">he </w:t>
      </w:r>
      <w:proofErr w:type="gramStart"/>
      <w:r w:rsidR="004C7B95">
        <w:rPr>
          <w:rFonts w:ascii="Calibri" w:eastAsia="Times New Roman" w:hAnsi="Calibri" w:cs="Calibri"/>
          <w:color w:val="000000"/>
          <w:sz w:val="21"/>
          <w:szCs w:val="21"/>
          <w:shd w:val="clear" w:color="auto" w:fill="FFFFFF"/>
          <w:lang w:val="en-GB" w:eastAsia="es-ES_tradnl"/>
        </w:rPr>
        <w:t>Committee</w:t>
      </w:r>
      <w:r>
        <w:rPr>
          <w:rFonts w:ascii="Calibri" w:eastAsia="Times New Roman" w:hAnsi="Calibri" w:cs="Calibri"/>
          <w:color w:val="000000"/>
          <w:sz w:val="21"/>
          <w:szCs w:val="21"/>
          <w:shd w:val="clear" w:color="auto" w:fill="FFFFFF"/>
          <w:lang w:val="en-GB" w:eastAsia="es-ES_tradnl"/>
        </w:rPr>
        <w:t xml:space="preserve">’s </w:t>
      </w:r>
      <w:r w:rsidR="004C7B95">
        <w:rPr>
          <w:rFonts w:ascii="Calibri" w:eastAsia="Times New Roman" w:hAnsi="Calibri" w:cs="Calibri"/>
          <w:color w:val="000000"/>
          <w:sz w:val="21"/>
          <w:szCs w:val="21"/>
          <w:shd w:val="clear" w:color="auto" w:fill="FFFFFF"/>
          <w:lang w:val="en-GB" w:eastAsia="es-ES_tradnl"/>
        </w:rPr>
        <w:t xml:space="preserve"> view</w:t>
      </w:r>
      <w:proofErr w:type="gramEnd"/>
      <w:r w:rsidR="001C76E5">
        <w:rPr>
          <w:rFonts w:ascii="Calibri" w:eastAsia="Times New Roman" w:hAnsi="Calibri" w:cs="Calibri"/>
          <w:color w:val="000000"/>
          <w:sz w:val="21"/>
          <w:szCs w:val="21"/>
          <w:shd w:val="clear" w:color="auto" w:fill="FFFFFF"/>
          <w:lang w:val="en-GB" w:eastAsia="es-ES_tradnl"/>
        </w:rPr>
        <w:t xml:space="preserve"> that the realisation of the right to the highest attainable standard of health requires proper resourcing </w:t>
      </w:r>
      <w:r w:rsidR="00E54B62">
        <w:rPr>
          <w:rFonts w:ascii="Calibri" w:eastAsia="Times New Roman" w:hAnsi="Calibri" w:cs="Calibri"/>
          <w:color w:val="000000"/>
          <w:sz w:val="21"/>
          <w:szCs w:val="21"/>
          <w:shd w:val="clear" w:color="auto" w:fill="FFFFFF"/>
          <w:lang w:val="en-GB" w:eastAsia="es-ES_tradnl"/>
        </w:rPr>
        <w:t>of environmental policy and programming to ensure the specific needs of children are met and adequately addressed</w:t>
      </w:r>
      <w:r>
        <w:rPr>
          <w:rFonts w:ascii="Calibri" w:eastAsia="Times New Roman" w:hAnsi="Calibri" w:cs="Calibri"/>
          <w:color w:val="000000"/>
          <w:sz w:val="21"/>
          <w:szCs w:val="21"/>
          <w:shd w:val="clear" w:color="auto" w:fill="FFFFFF"/>
          <w:lang w:val="en-GB" w:eastAsia="es-ES_tradnl"/>
        </w:rPr>
        <w:t xml:space="preserve"> is welcomed</w:t>
      </w:r>
      <w:r w:rsidR="00E54B62">
        <w:rPr>
          <w:rFonts w:ascii="Calibri" w:eastAsia="Times New Roman" w:hAnsi="Calibri" w:cs="Calibri"/>
          <w:color w:val="000000"/>
          <w:sz w:val="21"/>
          <w:szCs w:val="21"/>
          <w:shd w:val="clear" w:color="auto" w:fill="FFFFFF"/>
          <w:lang w:val="en-GB" w:eastAsia="es-ES_tradnl"/>
        </w:rPr>
        <w:t>.</w:t>
      </w:r>
      <w:r w:rsidR="00D66286">
        <w:rPr>
          <w:rFonts w:ascii="Calibri" w:eastAsia="Times New Roman" w:hAnsi="Calibri" w:cs="Calibri"/>
          <w:color w:val="000000"/>
          <w:sz w:val="21"/>
          <w:szCs w:val="21"/>
          <w:shd w:val="clear" w:color="auto" w:fill="FFFFFF"/>
          <w:lang w:val="en-GB" w:eastAsia="es-ES_tradnl"/>
        </w:rPr>
        <w:t xml:space="preserve"> </w:t>
      </w:r>
      <w:r w:rsidR="00F756D9">
        <w:rPr>
          <w:rFonts w:ascii="Calibri" w:eastAsia="Times New Roman" w:hAnsi="Calibri" w:cs="Calibri"/>
          <w:color w:val="000000"/>
          <w:sz w:val="21"/>
          <w:szCs w:val="21"/>
          <w:shd w:val="clear" w:color="auto" w:fill="FFFFFF"/>
          <w:lang w:val="en-GB" w:eastAsia="es-ES_tradnl"/>
        </w:rPr>
        <w:t>We share the view</w:t>
      </w:r>
      <w:r w:rsidR="00622B4B">
        <w:rPr>
          <w:rFonts w:ascii="Calibri" w:eastAsia="Times New Roman" w:hAnsi="Calibri" w:cs="Calibri"/>
          <w:color w:val="000000"/>
          <w:sz w:val="21"/>
          <w:szCs w:val="21"/>
          <w:shd w:val="clear" w:color="auto" w:fill="FFFFFF"/>
          <w:lang w:val="en-GB" w:eastAsia="es-ES_tradnl"/>
        </w:rPr>
        <w:t xml:space="preserve"> </w:t>
      </w:r>
      <w:r w:rsidR="003E287D">
        <w:rPr>
          <w:rFonts w:ascii="Calibri" w:eastAsia="Times New Roman" w:hAnsi="Calibri" w:cs="Calibri"/>
          <w:color w:val="000000"/>
          <w:sz w:val="21"/>
          <w:szCs w:val="21"/>
          <w:shd w:val="clear" w:color="auto" w:fill="FFFFFF"/>
          <w:lang w:val="en-GB" w:eastAsia="es-ES_tradnl"/>
        </w:rPr>
        <w:t>of</w:t>
      </w:r>
      <w:r w:rsidR="00622B4B">
        <w:rPr>
          <w:rFonts w:ascii="Calibri" w:eastAsia="Times New Roman" w:hAnsi="Calibri" w:cs="Calibri"/>
          <w:color w:val="000000"/>
          <w:sz w:val="21"/>
          <w:szCs w:val="21"/>
          <w:shd w:val="clear" w:color="auto" w:fill="FFFFFF"/>
          <w:lang w:val="en-GB" w:eastAsia="es-ES_tradnl"/>
        </w:rPr>
        <w:t xml:space="preserve"> the Commit</w:t>
      </w:r>
      <w:r w:rsidR="00803410">
        <w:rPr>
          <w:rFonts w:ascii="Calibri" w:eastAsia="Times New Roman" w:hAnsi="Calibri" w:cs="Calibri"/>
          <w:color w:val="000000"/>
          <w:sz w:val="21"/>
          <w:szCs w:val="21"/>
          <w:shd w:val="clear" w:color="auto" w:fill="FFFFFF"/>
          <w:lang w:val="en-GB" w:eastAsia="es-ES_tradnl"/>
        </w:rPr>
        <w:t>t</w:t>
      </w:r>
      <w:r w:rsidR="00622B4B">
        <w:rPr>
          <w:rFonts w:ascii="Calibri" w:eastAsia="Times New Roman" w:hAnsi="Calibri" w:cs="Calibri"/>
          <w:color w:val="000000"/>
          <w:sz w:val="21"/>
          <w:szCs w:val="21"/>
          <w:shd w:val="clear" w:color="auto" w:fill="FFFFFF"/>
          <w:lang w:val="en-GB" w:eastAsia="es-ES_tradnl"/>
        </w:rPr>
        <w:t>ee</w:t>
      </w:r>
      <w:r w:rsidR="00803410">
        <w:rPr>
          <w:rFonts w:ascii="Calibri" w:eastAsia="Times New Roman" w:hAnsi="Calibri" w:cs="Calibri"/>
          <w:color w:val="000000"/>
          <w:sz w:val="21"/>
          <w:szCs w:val="21"/>
          <w:shd w:val="clear" w:color="auto" w:fill="FFFFFF"/>
          <w:lang w:val="en-GB" w:eastAsia="es-ES_tradnl"/>
        </w:rPr>
        <w:t xml:space="preserve"> that th</w:t>
      </w:r>
      <w:r w:rsidR="003E287D">
        <w:rPr>
          <w:rFonts w:ascii="Calibri" w:eastAsia="Times New Roman" w:hAnsi="Calibri" w:cs="Calibri"/>
          <w:color w:val="000000"/>
          <w:sz w:val="21"/>
          <w:szCs w:val="21"/>
          <w:shd w:val="clear" w:color="auto" w:fill="FFFFFF"/>
          <w:lang w:val="en-GB" w:eastAsia="es-ES_tradnl"/>
        </w:rPr>
        <w:t>is</w:t>
      </w:r>
      <w:r w:rsidR="00803410">
        <w:rPr>
          <w:rFonts w:ascii="Calibri" w:eastAsia="Times New Roman" w:hAnsi="Calibri" w:cs="Calibri"/>
          <w:color w:val="000000"/>
          <w:sz w:val="21"/>
          <w:szCs w:val="21"/>
          <w:shd w:val="clear" w:color="auto" w:fill="FFFFFF"/>
          <w:lang w:val="en-GB" w:eastAsia="es-ES_tradnl"/>
        </w:rPr>
        <w:t xml:space="preserve"> right includes</w:t>
      </w:r>
      <w:r w:rsidR="001C76E5">
        <w:rPr>
          <w:rFonts w:ascii="Calibri" w:eastAsia="Times New Roman" w:hAnsi="Calibri" w:cs="Calibri"/>
          <w:color w:val="000000"/>
          <w:sz w:val="21"/>
          <w:szCs w:val="21"/>
          <w:shd w:val="clear" w:color="auto" w:fill="FFFFFF"/>
          <w:lang w:val="en-GB" w:eastAsia="es-ES_tradnl"/>
        </w:rPr>
        <w:t xml:space="preserve"> the access of children affected by environmental harm to</w:t>
      </w:r>
      <w:r w:rsidR="004C7B95">
        <w:rPr>
          <w:rFonts w:ascii="Calibri" w:eastAsia="Times New Roman" w:hAnsi="Calibri" w:cs="Calibri"/>
          <w:color w:val="000000"/>
          <w:sz w:val="21"/>
          <w:szCs w:val="21"/>
          <w:shd w:val="clear" w:color="auto" w:fill="FFFFFF"/>
          <w:lang w:val="en-GB" w:eastAsia="es-ES_tradnl"/>
        </w:rPr>
        <w:t xml:space="preserve"> </w:t>
      </w:r>
      <w:r w:rsidR="001C76E5">
        <w:rPr>
          <w:rFonts w:ascii="Calibri" w:eastAsia="Times New Roman" w:hAnsi="Calibri" w:cs="Calibri"/>
          <w:color w:val="000000"/>
          <w:sz w:val="21"/>
          <w:szCs w:val="21"/>
          <w:shd w:val="clear" w:color="auto" w:fill="FFFFFF"/>
          <w:lang w:val="en-GB" w:eastAsia="es-ES_tradnl"/>
        </w:rPr>
        <w:t xml:space="preserve">functioning public health and health-care facilities, </w:t>
      </w:r>
      <w:proofErr w:type="gramStart"/>
      <w:r w:rsidR="001C76E5">
        <w:rPr>
          <w:rFonts w:ascii="Calibri" w:eastAsia="Times New Roman" w:hAnsi="Calibri" w:cs="Calibri"/>
          <w:color w:val="000000"/>
          <w:sz w:val="21"/>
          <w:szCs w:val="21"/>
          <w:shd w:val="clear" w:color="auto" w:fill="FFFFFF"/>
          <w:lang w:val="en-GB" w:eastAsia="es-ES_tradnl"/>
        </w:rPr>
        <w:t>goods</w:t>
      </w:r>
      <w:proofErr w:type="gramEnd"/>
      <w:r w:rsidR="001C76E5">
        <w:rPr>
          <w:rFonts w:ascii="Calibri" w:eastAsia="Times New Roman" w:hAnsi="Calibri" w:cs="Calibri"/>
          <w:color w:val="000000"/>
          <w:sz w:val="21"/>
          <w:szCs w:val="21"/>
          <w:shd w:val="clear" w:color="auto" w:fill="FFFFFF"/>
          <w:lang w:val="en-GB" w:eastAsia="es-ES_tradnl"/>
        </w:rPr>
        <w:t xml:space="preserve"> and services, with particular attention being drawn for access to particular groups of children</w:t>
      </w:r>
      <w:r w:rsidR="007807F1">
        <w:rPr>
          <w:rFonts w:ascii="Calibri" w:eastAsia="Times New Roman" w:hAnsi="Calibri" w:cs="Calibri"/>
          <w:color w:val="000000"/>
          <w:sz w:val="21"/>
          <w:szCs w:val="21"/>
          <w:shd w:val="clear" w:color="auto" w:fill="FFFFFF"/>
          <w:lang w:val="en-GB" w:eastAsia="es-ES_tradnl"/>
        </w:rPr>
        <w:t xml:space="preserve"> in vulnerable situations</w:t>
      </w:r>
      <w:r>
        <w:rPr>
          <w:rFonts w:ascii="Calibri" w:eastAsia="Times New Roman" w:hAnsi="Calibri" w:cs="Calibri"/>
          <w:color w:val="000000"/>
          <w:sz w:val="21"/>
          <w:szCs w:val="21"/>
          <w:shd w:val="clear" w:color="auto" w:fill="FFFFFF"/>
          <w:lang w:val="en-GB" w:eastAsia="es-ES_tradnl"/>
        </w:rPr>
        <w:t>.</w:t>
      </w:r>
      <w:r w:rsidR="002C7990">
        <w:rPr>
          <w:rFonts w:ascii="Calibri" w:eastAsia="Times New Roman" w:hAnsi="Calibri" w:cs="Calibri"/>
          <w:color w:val="000000"/>
          <w:sz w:val="21"/>
          <w:szCs w:val="21"/>
          <w:shd w:val="clear" w:color="auto" w:fill="FFFFFF"/>
          <w:lang w:val="en-GB" w:eastAsia="es-ES_tradnl"/>
        </w:rPr>
        <w:t xml:space="preserve"> </w:t>
      </w:r>
    </w:p>
    <w:p w14:paraId="12619E5C" w14:textId="24313DE6" w:rsidR="007807F1" w:rsidRDefault="007807F1" w:rsidP="000B56A3">
      <w:pPr>
        <w:spacing w:line="276"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As regards mental health, the second strategic objective of the Council of Europe’s Strategy for the rights of the Child (2022-2027) affirms that c</w:t>
      </w:r>
      <w:r w:rsidRPr="007807F1">
        <w:rPr>
          <w:rFonts w:ascii="Calibri" w:eastAsia="Times New Roman" w:hAnsi="Calibri" w:cs="Calibri"/>
          <w:color w:val="000000"/>
          <w:sz w:val="21"/>
          <w:szCs w:val="21"/>
          <w:shd w:val="clear" w:color="auto" w:fill="FFFFFF"/>
          <w:lang w:val="en-GB" w:eastAsia="es-ES_tradnl"/>
        </w:rPr>
        <w:t>hildren are experiencing mental health difficulties, while at the same time lack access to mental health services</w:t>
      </w:r>
      <w:r>
        <w:rPr>
          <w:rFonts w:ascii="Calibri" w:eastAsia="Times New Roman" w:hAnsi="Calibri" w:cs="Calibri"/>
          <w:color w:val="000000"/>
          <w:sz w:val="21"/>
          <w:szCs w:val="21"/>
          <w:shd w:val="clear" w:color="auto" w:fill="FFFFFF"/>
          <w:lang w:val="en-GB" w:eastAsia="es-ES_tradnl"/>
        </w:rPr>
        <w:t xml:space="preserve">. Its innovation objective </w:t>
      </w:r>
      <w:r w:rsidRPr="007807F1">
        <w:rPr>
          <w:rFonts w:ascii="Calibri" w:eastAsia="Times New Roman" w:hAnsi="Calibri" w:cs="Calibri"/>
          <w:color w:val="000000"/>
          <w:sz w:val="21"/>
          <w:szCs w:val="21"/>
          <w:shd w:val="clear" w:color="auto" w:fill="FFFFFF"/>
          <w:lang w:val="en-GB" w:eastAsia="es-ES_tradnl"/>
        </w:rPr>
        <w:t>2.2.10</w:t>
      </w:r>
      <w:r>
        <w:rPr>
          <w:rFonts w:ascii="Calibri" w:eastAsia="Times New Roman" w:hAnsi="Calibri" w:cs="Calibri"/>
          <w:color w:val="000000"/>
          <w:sz w:val="21"/>
          <w:szCs w:val="21"/>
          <w:shd w:val="clear" w:color="auto" w:fill="FFFFFF"/>
          <w:lang w:val="en-GB" w:eastAsia="es-ES_tradnl"/>
        </w:rPr>
        <w:t xml:space="preserve"> aims to foster </w:t>
      </w:r>
      <w:r w:rsidRPr="007807F1">
        <w:rPr>
          <w:rFonts w:ascii="Calibri" w:eastAsia="Times New Roman" w:hAnsi="Calibri" w:cs="Calibri"/>
          <w:color w:val="000000"/>
          <w:sz w:val="21"/>
          <w:szCs w:val="21"/>
          <w:shd w:val="clear" w:color="auto" w:fill="FFFFFF"/>
          <w:lang w:val="en-GB" w:eastAsia="es-ES_tradnl"/>
        </w:rPr>
        <w:t>children’s access to mental health support, dealing with the root causes of children’s mental health difficulties, and promoting children’s mental well-being, including through support for parents, carers, professionals and volunteers working with children to raise awareness and fight taboos about children’s mental health</w:t>
      </w:r>
      <w:r>
        <w:rPr>
          <w:rFonts w:ascii="Calibri" w:eastAsia="Times New Roman" w:hAnsi="Calibri" w:cs="Calibri"/>
          <w:color w:val="000000"/>
          <w:sz w:val="21"/>
          <w:szCs w:val="21"/>
          <w:shd w:val="clear" w:color="auto" w:fill="FFFFFF"/>
          <w:lang w:val="en-GB" w:eastAsia="es-ES_tradnl"/>
        </w:rPr>
        <w:t>.</w:t>
      </w:r>
    </w:p>
    <w:p w14:paraId="141F3556" w14:textId="1B3E0ADB" w:rsidR="002C7990" w:rsidRDefault="007807F1" w:rsidP="000B56A3">
      <w:pPr>
        <w:spacing w:line="276" w:lineRule="auto"/>
        <w:jc w:val="both"/>
        <w:rPr>
          <w:rFonts w:ascii="Calibri" w:eastAsia="Times New Roman" w:hAnsi="Calibri" w:cs="Calibri"/>
          <w:color w:val="000000"/>
          <w:sz w:val="21"/>
          <w:szCs w:val="21"/>
          <w:u w:val="single"/>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I</w:t>
      </w:r>
      <w:r w:rsidR="002C7990">
        <w:rPr>
          <w:rFonts w:ascii="Calibri" w:eastAsia="Times New Roman" w:hAnsi="Calibri" w:cs="Calibri"/>
          <w:color w:val="000000"/>
          <w:sz w:val="21"/>
          <w:szCs w:val="21"/>
          <w:shd w:val="clear" w:color="auto" w:fill="FFFFFF"/>
          <w:lang w:val="en-GB" w:eastAsia="es-ES_tradnl"/>
        </w:rPr>
        <w:t xml:space="preserve">n accordance with the interpretation </w:t>
      </w:r>
      <w:r w:rsidR="001F24C1">
        <w:rPr>
          <w:rFonts w:ascii="Calibri" w:eastAsia="Times New Roman" w:hAnsi="Calibri" w:cs="Calibri"/>
          <w:color w:val="000000"/>
          <w:sz w:val="21"/>
          <w:szCs w:val="21"/>
          <w:shd w:val="clear" w:color="auto" w:fill="FFFFFF"/>
          <w:lang w:val="en-GB" w:eastAsia="es-ES_tradnl"/>
        </w:rPr>
        <w:t xml:space="preserve">by </w:t>
      </w:r>
      <w:r w:rsidR="002C7990">
        <w:rPr>
          <w:rFonts w:ascii="Calibri" w:eastAsia="Times New Roman" w:hAnsi="Calibri" w:cs="Calibri"/>
          <w:color w:val="000000"/>
          <w:sz w:val="21"/>
          <w:szCs w:val="21"/>
          <w:shd w:val="clear" w:color="auto" w:fill="FFFFFF"/>
          <w:lang w:val="en-GB" w:eastAsia="es-ES_tradnl"/>
        </w:rPr>
        <w:t>the European Committee for Social Rights, health systems must be prepared to respond appropriately to avoidable health risks</w:t>
      </w:r>
      <w:r w:rsidR="001F24C1">
        <w:rPr>
          <w:rFonts w:ascii="Calibri" w:eastAsia="Times New Roman" w:hAnsi="Calibri" w:cs="Calibri"/>
          <w:color w:val="000000"/>
          <w:sz w:val="21"/>
          <w:szCs w:val="21"/>
          <w:shd w:val="clear" w:color="auto" w:fill="FFFFFF"/>
          <w:lang w:val="en-GB" w:eastAsia="es-ES_tradnl"/>
        </w:rPr>
        <w:t xml:space="preserve">; </w:t>
      </w:r>
      <w:r w:rsidR="002C7990">
        <w:rPr>
          <w:rFonts w:ascii="Calibri" w:eastAsia="Times New Roman" w:hAnsi="Calibri" w:cs="Calibri"/>
          <w:color w:val="000000"/>
          <w:sz w:val="21"/>
          <w:szCs w:val="21"/>
          <w:shd w:val="clear" w:color="auto" w:fill="FFFFFF"/>
          <w:lang w:val="en-GB" w:eastAsia="es-ES_tradnl"/>
        </w:rPr>
        <w:t xml:space="preserve">risks that can be controlled by human actions. </w:t>
      </w:r>
      <w:r w:rsidR="001F24C1">
        <w:rPr>
          <w:rFonts w:ascii="Calibri" w:eastAsia="Times New Roman" w:hAnsi="Calibri" w:cs="Calibri"/>
          <w:color w:val="000000"/>
          <w:sz w:val="21"/>
          <w:szCs w:val="21"/>
          <w:shd w:val="clear" w:color="auto" w:fill="FFFFFF"/>
          <w:lang w:val="en-GB" w:eastAsia="es-ES_tradnl"/>
        </w:rPr>
        <w:t>Since avoidable risks also include those which result from environmental threats,</w:t>
      </w:r>
      <w:r w:rsidR="001F24C1">
        <w:rPr>
          <w:rStyle w:val="FootnoteReference"/>
          <w:rFonts w:ascii="Calibri" w:eastAsia="Times New Roman" w:hAnsi="Calibri" w:cs="Calibri"/>
          <w:color w:val="000000"/>
          <w:sz w:val="21"/>
          <w:szCs w:val="21"/>
          <w:shd w:val="clear" w:color="auto" w:fill="FFFFFF"/>
          <w:lang w:val="en-GB" w:eastAsia="es-ES_tradnl"/>
        </w:rPr>
        <w:footnoteReference w:id="4"/>
      </w:r>
      <w:r w:rsidR="001F24C1">
        <w:rPr>
          <w:rFonts w:ascii="Calibri" w:eastAsia="Times New Roman" w:hAnsi="Calibri" w:cs="Calibri"/>
          <w:color w:val="000000"/>
          <w:sz w:val="21"/>
          <w:szCs w:val="21"/>
          <w:shd w:val="clear" w:color="auto" w:fill="FFFFFF"/>
          <w:lang w:val="en-GB" w:eastAsia="es-ES_tradnl"/>
        </w:rPr>
        <w:t xml:space="preserve"> we would propose to elaborate at this stage (</w:t>
      </w:r>
      <w:r w:rsidR="001F24C1" w:rsidRPr="001F24C1">
        <w:rPr>
          <w:rFonts w:ascii="Calibri" w:eastAsia="Times New Roman" w:hAnsi="Calibri" w:cs="Calibri"/>
          <w:color w:val="000000"/>
          <w:sz w:val="21"/>
          <w:szCs w:val="21"/>
          <w:shd w:val="clear" w:color="auto" w:fill="FFFFFF"/>
          <w:lang w:val="en-GB" w:eastAsia="es-ES_tradnl"/>
        </w:rPr>
        <w:t>§</w:t>
      </w:r>
      <w:r w:rsidR="001F24C1">
        <w:rPr>
          <w:rFonts w:ascii="Calibri" w:eastAsia="Times New Roman" w:hAnsi="Calibri" w:cs="Calibri"/>
          <w:color w:val="000000"/>
          <w:sz w:val="21"/>
          <w:szCs w:val="21"/>
          <w:shd w:val="clear" w:color="auto" w:fill="FFFFFF"/>
          <w:lang w:val="en-GB" w:eastAsia="es-ES_tradnl"/>
        </w:rPr>
        <w:t xml:space="preserve">29) on </w:t>
      </w:r>
      <w:r w:rsidR="001F24C1" w:rsidRPr="001F24C1">
        <w:rPr>
          <w:rFonts w:ascii="Calibri" w:eastAsia="Times New Roman" w:hAnsi="Calibri" w:cs="Calibri"/>
          <w:color w:val="000000"/>
          <w:sz w:val="21"/>
          <w:szCs w:val="21"/>
          <w:u w:val="single"/>
          <w:shd w:val="clear" w:color="auto" w:fill="FFFFFF"/>
          <w:lang w:val="en-GB" w:eastAsia="es-ES_tradnl"/>
        </w:rPr>
        <w:t>states’ obligation with respect of taking every step to eliminate avoidable risks</w:t>
      </w:r>
      <w:r w:rsidR="001F24C1">
        <w:rPr>
          <w:rFonts w:ascii="Calibri" w:eastAsia="Times New Roman" w:hAnsi="Calibri" w:cs="Calibri"/>
          <w:color w:val="000000"/>
          <w:sz w:val="21"/>
          <w:szCs w:val="21"/>
          <w:u w:val="single"/>
          <w:shd w:val="clear" w:color="auto" w:fill="FFFFFF"/>
          <w:lang w:val="en-GB" w:eastAsia="es-ES_tradnl"/>
        </w:rPr>
        <w:t xml:space="preserve"> resulting from environmental threats. Indicators such as infant mortality are good indicators of </w:t>
      </w:r>
      <w:r w:rsidR="00AC0C62">
        <w:rPr>
          <w:rFonts w:ascii="Calibri" w:eastAsia="Times New Roman" w:hAnsi="Calibri" w:cs="Calibri"/>
          <w:color w:val="000000"/>
          <w:sz w:val="21"/>
          <w:szCs w:val="21"/>
          <w:u w:val="single"/>
          <w:shd w:val="clear" w:color="auto" w:fill="FFFFFF"/>
          <w:lang w:val="en-GB" w:eastAsia="es-ES_tradnl"/>
        </w:rPr>
        <w:t xml:space="preserve">measuring </w:t>
      </w:r>
      <w:r w:rsidR="001F24C1">
        <w:rPr>
          <w:rFonts w:ascii="Calibri" w:eastAsia="Times New Roman" w:hAnsi="Calibri" w:cs="Calibri"/>
          <w:color w:val="000000"/>
          <w:sz w:val="21"/>
          <w:szCs w:val="21"/>
          <w:u w:val="single"/>
          <w:shd w:val="clear" w:color="auto" w:fill="FFFFFF"/>
          <w:lang w:val="en-GB" w:eastAsia="es-ES_tradnl"/>
        </w:rPr>
        <w:t xml:space="preserve">how well a particular country’s overall health system is operating. </w:t>
      </w:r>
      <w:r w:rsidR="00B6538D">
        <w:rPr>
          <w:rFonts w:ascii="Calibri" w:eastAsia="Times New Roman" w:hAnsi="Calibri" w:cs="Calibri"/>
          <w:color w:val="000000"/>
          <w:sz w:val="21"/>
          <w:szCs w:val="21"/>
          <w:shd w:val="clear" w:color="auto" w:fill="FFFFFF"/>
          <w:lang w:val="en-GB" w:eastAsia="es-ES_tradnl"/>
        </w:rPr>
        <w:t>As an</w:t>
      </w:r>
      <w:r w:rsidR="001F24C1" w:rsidRPr="001F24C1">
        <w:rPr>
          <w:rFonts w:ascii="Calibri" w:eastAsia="Times New Roman" w:hAnsi="Calibri" w:cs="Calibri"/>
          <w:color w:val="000000"/>
          <w:sz w:val="21"/>
          <w:szCs w:val="21"/>
          <w:shd w:val="clear" w:color="auto" w:fill="FFFFFF"/>
          <w:lang w:val="en-GB" w:eastAsia="es-ES_tradnl"/>
        </w:rPr>
        <w:t xml:space="preserve"> avoidable risk</w:t>
      </w:r>
      <w:r w:rsidR="00B6538D">
        <w:rPr>
          <w:rFonts w:ascii="Calibri" w:eastAsia="Times New Roman" w:hAnsi="Calibri" w:cs="Calibri"/>
          <w:color w:val="000000"/>
          <w:sz w:val="21"/>
          <w:szCs w:val="21"/>
          <w:shd w:val="clear" w:color="auto" w:fill="FFFFFF"/>
          <w:lang w:val="en-GB" w:eastAsia="es-ES_tradnl"/>
        </w:rPr>
        <w:t>,</w:t>
      </w:r>
      <w:r w:rsidR="001F24C1" w:rsidRPr="001F24C1">
        <w:rPr>
          <w:rFonts w:ascii="Calibri" w:eastAsia="Times New Roman" w:hAnsi="Calibri" w:cs="Calibri"/>
          <w:color w:val="000000"/>
          <w:sz w:val="21"/>
          <w:szCs w:val="21"/>
          <w:shd w:val="clear" w:color="auto" w:fill="FFFFFF"/>
          <w:lang w:val="en-GB" w:eastAsia="es-ES_tradnl"/>
        </w:rPr>
        <w:t xml:space="preserve"> every step should be taken, particularly in highly developed health care systems, to reduce these rates to as close as zero as possible,</w:t>
      </w:r>
      <w:r w:rsidR="00AC0C62">
        <w:rPr>
          <w:rFonts w:ascii="Calibri" w:eastAsia="Times New Roman" w:hAnsi="Calibri" w:cs="Calibri"/>
          <w:color w:val="000000"/>
          <w:sz w:val="21"/>
          <w:szCs w:val="21"/>
          <w:shd w:val="clear" w:color="auto" w:fill="FFFFFF"/>
          <w:lang w:val="en-GB" w:eastAsia="es-ES_tradnl"/>
        </w:rPr>
        <w:t xml:space="preserve"> and this</w:t>
      </w:r>
      <w:r w:rsidR="001F24C1" w:rsidRPr="001F24C1">
        <w:rPr>
          <w:rFonts w:ascii="Calibri" w:eastAsia="Times New Roman" w:hAnsi="Calibri" w:cs="Calibri"/>
          <w:color w:val="000000"/>
          <w:sz w:val="21"/>
          <w:szCs w:val="21"/>
          <w:shd w:val="clear" w:color="auto" w:fill="FFFFFF"/>
          <w:lang w:val="en-GB" w:eastAsia="es-ES_tradnl"/>
        </w:rPr>
        <w:t xml:space="preserve"> includ</w:t>
      </w:r>
      <w:r w:rsidR="00AC0C62">
        <w:rPr>
          <w:rFonts w:ascii="Calibri" w:eastAsia="Times New Roman" w:hAnsi="Calibri" w:cs="Calibri"/>
          <w:color w:val="000000"/>
          <w:sz w:val="21"/>
          <w:szCs w:val="21"/>
          <w:shd w:val="clear" w:color="auto" w:fill="FFFFFF"/>
          <w:lang w:val="en-GB" w:eastAsia="es-ES_tradnl"/>
        </w:rPr>
        <w:t>es</w:t>
      </w:r>
      <w:r w:rsidR="001F24C1" w:rsidRPr="001F24C1">
        <w:rPr>
          <w:rFonts w:ascii="Calibri" w:eastAsia="Times New Roman" w:hAnsi="Calibri" w:cs="Calibri"/>
          <w:color w:val="000000"/>
          <w:sz w:val="21"/>
          <w:szCs w:val="21"/>
          <w:shd w:val="clear" w:color="auto" w:fill="FFFFFF"/>
          <w:lang w:val="en-GB" w:eastAsia="es-ES_tradnl"/>
        </w:rPr>
        <w:t xml:space="preserve"> when they stem from environmental threats.</w:t>
      </w:r>
      <w:r w:rsidR="001F24C1">
        <w:rPr>
          <w:rStyle w:val="FootnoteReference"/>
          <w:rFonts w:ascii="Calibri" w:eastAsia="Times New Roman" w:hAnsi="Calibri" w:cs="Calibri"/>
          <w:color w:val="000000"/>
          <w:sz w:val="21"/>
          <w:szCs w:val="21"/>
          <w:shd w:val="clear" w:color="auto" w:fill="FFFFFF"/>
          <w:lang w:val="en-GB" w:eastAsia="es-ES_tradnl"/>
        </w:rPr>
        <w:footnoteReference w:id="5"/>
      </w:r>
      <w:r w:rsidR="001F24C1">
        <w:rPr>
          <w:rFonts w:ascii="Calibri" w:eastAsia="Times New Roman" w:hAnsi="Calibri" w:cs="Calibri"/>
          <w:color w:val="000000"/>
          <w:sz w:val="21"/>
          <w:szCs w:val="21"/>
          <w:u w:val="single"/>
          <w:shd w:val="clear" w:color="auto" w:fill="FFFFFF"/>
          <w:lang w:val="en-GB" w:eastAsia="es-ES_tradnl"/>
        </w:rPr>
        <w:t xml:space="preserve"> </w:t>
      </w:r>
    </w:p>
    <w:p w14:paraId="4554AC3B" w14:textId="466B3BAD" w:rsidR="00B6538D" w:rsidRDefault="00B6538D" w:rsidP="000B56A3">
      <w:pPr>
        <w:spacing w:line="276"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 xml:space="preserve">The issue of </w:t>
      </w:r>
      <w:r w:rsidRPr="0053190C">
        <w:rPr>
          <w:rFonts w:ascii="Calibri" w:eastAsia="Times New Roman" w:hAnsi="Calibri" w:cs="Calibri"/>
          <w:color w:val="000000"/>
          <w:sz w:val="21"/>
          <w:szCs w:val="21"/>
          <w:u w:val="single"/>
          <w:shd w:val="clear" w:color="auto" w:fill="FFFFFF"/>
          <w:lang w:val="en-GB" w:eastAsia="es-ES_tradnl"/>
        </w:rPr>
        <w:t>air pollution</w:t>
      </w:r>
      <w:r>
        <w:rPr>
          <w:rFonts w:ascii="Calibri" w:eastAsia="Times New Roman" w:hAnsi="Calibri" w:cs="Calibri"/>
          <w:color w:val="000000"/>
          <w:sz w:val="21"/>
          <w:szCs w:val="21"/>
          <w:shd w:val="clear" w:color="auto" w:fill="FFFFFF"/>
          <w:lang w:val="en-GB" w:eastAsia="es-ES_tradnl"/>
        </w:rPr>
        <w:t xml:space="preserve"> can also be elaborated upon here in this respect. We agree with the Committee that under-five mortality and disease can be prevented through the reduction of air and other forms of pollution (</w:t>
      </w:r>
      <w:r w:rsidRPr="00B6538D">
        <w:rPr>
          <w:rFonts w:ascii="Calibri" w:eastAsia="Times New Roman" w:hAnsi="Calibri" w:cs="Calibri"/>
          <w:color w:val="000000"/>
          <w:sz w:val="21"/>
          <w:szCs w:val="21"/>
          <w:shd w:val="clear" w:color="auto" w:fill="FFFFFF"/>
          <w:lang w:val="en-GB" w:eastAsia="es-ES_tradnl"/>
        </w:rPr>
        <w:t>§29</w:t>
      </w:r>
      <w:r>
        <w:rPr>
          <w:rFonts w:ascii="Calibri" w:eastAsia="Times New Roman" w:hAnsi="Calibri" w:cs="Calibri"/>
          <w:color w:val="000000"/>
          <w:sz w:val="21"/>
          <w:szCs w:val="21"/>
          <w:shd w:val="clear" w:color="auto" w:fill="FFFFFF"/>
          <w:lang w:val="en-GB" w:eastAsia="es-ES_tradnl"/>
        </w:rPr>
        <w:t xml:space="preserve">). Recalling the </w:t>
      </w:r>
      <w:hyperlink r:id="rId15" w:history="1">
        <w:r w:rsidRPr="00B6538D">
          <w:rPr>
            <w:rStyle w:val="Hyperlink"/>
            <w:rFonts w:ascii="Calibri" w:eastAsia="Times New Roman" w:hAnsi="Calibri" w:cs="Calibri"/>
            <w:sz w:val="21"/>
            <w:szCs w:val="21"/>
            <w:shd w:val="clear" w:color="auto" w:fill="FFFFFF"/>
            <w:lang w:val="en-GB" w:eastAsia="es-ES_tradnl"/>
          </w:rPr>
          <w:t>Council of Europe Parliamentary Assembly Resolution 2286 (1019)</w:t>
        </w:r>
        <w:r>
          <w:rPr>
            <w:rStyle w:val="Hyperlink"/>
            <w:rFonts w:ascii="Calibri" w:eastAsia="Times New Roman" w:hAnsi="Calibri" w:cs="Calibri"/>
            <w:sz w:val="21"/>
            <w:szCs w:val="21"/>
            <w:shd w:val="clear" w:color="auto" w:fill="FFFFFF"/>
            <w:lang w:val="en-GB" w:eastAsia="es-ES_tradnl"/>
          </w:rPr>
          <w:t xml:space="preserve"> “</w:t>
        </w:r>
        <w:r w:rsidRPr="00B6538D">
          <w:rPr>
            <w:rStyle w:val="Hyperlink"/>
            <w:rFonts w:ascii="Calibri" w:eastAsia="Times New Roman" w:hAnsi="Calibri" w:cs="Calibri"/>
            <w:sz w:val="21"/>
            <w:szCs w:val="21"/>
            <w:shd w:val="clear" w:color="auto" w:fill="FFFFFF"/>
            <w:lang w:val="en-GB" w:eastAsia="es-ES_tradnl"/>
          </w:rPr>
          <w:t>Air pollution: a challenge for public health in Europe</w:t>
        </w:r>
      </w:hyperlink>
      <w:r>
        <w:rPr>
          <w:rFonts w:ascii="Calibri" w:eastAsia="Times New Roman" w:hAnsi="Calibri" w:cs="Calibri"/>
          <w:color w:val="000000"/>
          <w:sz w:val="21"/>
          <w:szCs w:val="21"/>
          <w:shd w:val="clear" w:color="auto" w:fill="FFFFFF"/>
          <w:lang w:val="en-GB" w:eastAsia="es-ES_tradnl"/>
        </w:rPr>
        <w:t>”, we invite the Committee to consider including the recommendation for states to establish clean air/zero-emissions zones around schools and institutions ensuring full-time care of children.</w:t>
      </w:r>
      <w:r>
        <w:rPr>
          <w:rStyle w:val="FootnoteReference"/>
          <w:rFonts w:ascii="Calibri" w:eastAsia="Times New Roman" w:hAnsi="Calibri" w:cs="Calibri"/>
          <w:color w:val="000000"/>
          <w:sz w:val="21"/>
          <w:szCs w:val="21"/>
          <w:shd w:val="clear" w:color="auto" w:fill="FFFFFF"/>
          <w:lang w:val="en-GB" w:eastAsia="es-ES_tradnl"/>
        </w:rPr>
        <w:footnoteReference w:id="6"/>
      </w:r>
      <w:r>
        <w:rPr>
          <w:rFonts w:ascii="Calibri" w:eastAsia="Times New Roman" w:hAnsi="Calibri" w:cs="Calibri"/>
          <w:color w:val="000000"/>
          <w:sz w:val="21"/>
          <w:szCs w:val="21"/>
          <w:shd w:val="clear" w:color="auto" w:fill="FFFFFF"/>
          <w:lang w:val="en-GB" w:eastAsia="es-ES_tradnl"/>
        </w:rPr>
        <w:t xml:space="preserve"> </w:t>
      </w:r>
    </w:p>
    <w:p w14:paraId="1ADD3CF5" w14:textId="77777777" w:rsidR="0077534D" w:rsidRPr="00B6538D" w:rsidRDefault="0077534D" w:rsidP="000B56A3">
      <w:pPr>
        <w:spacing w:line="276" w:lineRule="auto"/>
        <w:jc w:val="both"/>
        <w:rPr>
          <w:rFonts w:ascii="Calibri" w:eastAsia="Times New Roman" w:hAnsi="Calibri" w:cs="Calibri"/>
          <w:color w:val="000000"/>
          <w:sz w:val="21"/>
          <w:szCs w:val="21"/>
          <w:shd w:val="clear" w:color="auto" w:fill="FFFFFF"/>
          <w:lang w:val="en-GB" w:eastAsia="es-ES_tradnl"/>
        </w:rPr>
      </w:pPr>
    </w:p>
    <w:p w14:paraId="336C3C11" w14:textId="7E9E5DAC" w:rsidR="002F540E" w:rsidRPr="00753A5B" w:rsidRDefault="007807F1" w:rsidP="00753A5B">
      <w:pPr>
        <w:pStyle w:val="Default"/>
        <w:spacing w:line="276" w:lineRule="auto"/>
        <w:jc w:val="both"/>
        <w:rPr>
          <w:rFonts w:ascii="Calibri" w:eastAsia="Times New Roman" w:hAnsi="Calibri" w:cs="Calibri"/>
          <w:b/>
          <w:bCs/>
          <w:sz w:val="21"/>
          <w:szCs w:val="21"/>
          <w:shd w:val="clear" w:color="auto" w:fill="FFFFFF"/>
          <w:lang w:val="en-GB" w:eastAsia="es-ES_tradnl"/>
        </w:rPr>
      </w:pPr>
      <w:r w:rsidRPr="00753A5B">
        <w:rPr>
          <w:rFonts w:ascii="Calibri" w:eastAsia="Times New Roman" w:hAnsi="Calibri" w:cs="Calibri"/>
          <w:b/>
          <w:bCs/>
          <w:sz w:val="21"/>
          <w:szCs w:val="21"/>
          <w:shd w:val="clear" w:color="auto" w:fill="FFFFFF"/>
          <w:lang w:val="en-GB" w:eastAsia="es-ES_tradnl"/>
        </w:rPr>
        <w:t>C. The right to education</w:t>
      </w:r>
    </w:p>
    <w:p w14:paraId="452EAA6B" w14:textId="3390CBF0" w:rsidR="007807F1" w:rsidRDefault="007807F1" w:rsidP="000B56A3">
      <w:pPr>
        <w:spacing w:line="276"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 xml:space="preserve">The Council of Europe agrees that </w:t>
      </w:r>
      <w:r>
        <w:rPr>
          <w:lang w:val="en-GB"/>
        </w:rPr>
        <w:t>e</w:t>
      </w:r>
      <w:r w:rsidRPr="00753A5B">
        <w:rPr>
          <w:lang w:val="en-GB"/>
        </w:rPr>
        <w:t>ducation is one of the cornerstones of a child rights-based approach to the environment</w:t>
      </w:r>
      <w:r>
        <w:rPr>
          <w:rFonts w:ascii="Calibri" w:eastAsia="Times New Roman" w:hAnsi="Calibri" w:cs="Calibri"/>
          <w:color w:val="000000"/>
          <w:sz w:val="21"/>
          <w:szCs w:val="21"/>
          <w:shd w:val="clear" w:color="auto" w:fill="FFFFFF"/>
          <w:lang w:val="en-GB" w:eastAsia="es-ES_tradnl"/>
        </w:rPr>
        <w:t xml:space="preserve">. </w:t>
      </w:r>
      <w:r w:rsidR="00DB305C">
        <w:rPr>
          <w:rFonts w:ascii="Calibri" w:eastAsia="Times New Roman" w:hAnsi="Calibri" w:cs="Calibri"/>
          <w:color w:val="000000"/>
          <w:sz w:val="21"/>
          <w:szCs w:val="21"/>
          <w:shd w:val="clear" w:color="auto" w:fill="FFFFFF"/>
          <w:lang w:val="en-GB" w:eastAsia="es-ES_tradnl"/>
        </w:rPr>
        <w:t xml:space="preserve">In </w:t>
      </w:r>
      <w:r>
        <w:rPr>
          <w:rFonts w:ascii="Calibri" w:eastAsia="Times New Roman" w:hAnsi="Calibri" w:cs="Calibri"/>
          <w:color w:val="000000"/>
          <w:sz w:val="21"/>
          <w:szCs w:val="21"/>
          <w:shd w:val="clear" w:color="auto" w:fill="FFFFFF"/>
          <w:lang w:val="en-GB" w:eastAsia="es-ES_tradnl"/>
        </w:rPr>
        <w:t xml:space="preserve">this regard, the sixth strategic objective of the Strategy for the </w:t>
      </w:r>
      <w:r>
        <w:rPr>
          <w:rFonts w:ascii="Calibri" w:eastAsia="Times New Roman" w:hAnsi="Calibri" w:cs="Calibri"/>
          <w:sz w:val="21"/>
          <w:szCs w:val="21"/>
          <w:shd w:val="clear" w:color="auto" w:fill="FFFFFF"/>
          <w:lang w:val="en-GB" w:eastAsia="es-ES_tradnl"/>
        </w:rPr>
        <w:t>R</w:t>
      </w:r>
      <w:r>
        <w:rPr>
          <w:rFonts w:ascii="Calibri" w:eastAsia="Times New Roman" w:hAnsi="Calibri" w:cs="Calibri"/>
          <w:color w:val="000000"/>
          <w:sz w:val="21"/>
          <w:szCs w:val="21"/>
          <w:shd w:val="clear" w:color="auto" w:fill="FFFFFF"/>
          <w:lang w:val="en-GB" w:eastAsia="es-ES_tradnl"/>
        </w:rPr>
        <w:t>ights of the Child (2022-2027)</w:t>
      </w:r>
      <w:r>
        <w:rPr>
          <w:rFonts w:ascii="Calibri" w:eastAsia="Times New Roman" w:hAnsi="Calibri" w:cs="Calibri"/>
          <w:sz w:val="21"/>
          <w:szCs w:val="21"/>
          <w:shd w:val="clear" w:color="auto" w:fill="FFFFFF"/>
          <w:lang w:val="en-GB" w:eastAsia="es-ES_tradnl"/>
        </w:rPr>
        <w:t xml:space="preserve"> recognises the importance of u</w:t>
      </w:r>
      <w:r w:rsidRPr="007807F1">
        <w:rPr>
          <w:rFonts w:ascii="Calibri" w:eastAsia="Times New Roman" w:hAnsi="Calibri" w:cs="Calibri"/>
          <w:sz w:val="21"/>
          <w:szCs w:val="21"/>
          <w:shd w:val="clear" w:color="auto" w:fill="FFFFFF"/>
          <w:lang w:val="en-GB" w:eastAsia="es-ES_tradnl"/>
        </w:rPr>
        <w:t>pholding the right to an education with respect for nature and which raises awareness of natural hazards and environmental risks</w:t>
      </w:r>
      <w:r>
        <w:rPr>
          <w:rFonts w:ascii="Calibri" w:eastAsia="Times New Roman" w:hAnsi="Calibri" w:cs="Calibri"/>
          <w:sz w:val="21"/>
          <w:szCs w:val="21"/>
          <w:shd w:val="clear" w:color="auto" w:fill="FFFFFF"/>
          <w:lang w:val="en-GB" w:eastAsia="es-ES_tradnl"/>
        </w:rPr>
        <w:t>.</w:t>
      </w:r>
    </w:p>
    <w:p w14:paraId="635AE672" w14:textId="77777777" w:rsidR="007807F1" w:rsidRDefault="007807F1" w:rsidP="000B56A3">
      <w:pPr>
        <w:spacing w:line="276" w:lineRule="auto"/>
        <w:jc w:val="both"/>
        <w:rPr>
          <w:rFonts w:ascii="Calibri" w:eastAsia="Times New Roman" w:hAnsi="Calibri" w:cs="Calibri"/>
          <w:color w:val="000000"/>
          <w:sz w:val="21"/>
          <w:szCs w:val="21"/>
          <w:shd w:val="clear" w:color="auto" w:fill="FFFFFF"/>
          <w:lang w:val="en-GB" w:eastAsia="es-ES_tradnl"/>
        </w:rPr>
      </w:pPr>
    </w:p>
    <w:p w14:paraId="7C48FDCF" w14:textId="77777777" w:rsidR="000B56A3" w:rsidRDefault="00663229" w:rsidP="000B56A3">
      <w:pPr>
        <w:pStyle w:val="Default"/>
        <w:spacing w:line="276" w:lineRule="auto"/>
        <w:jc w:val="both"/>
        <w:rPr>
          <w:rFonts w:ascii="Calibri" w:eastAsia="Times New Roman" w:hAnsi="Calibri" w:cs="Calibri"/>
          <w:b/>
          <w:bCs/>
          <w:sz w:val="21"/>
          <w:szCs w:val="21"/>
          <w:shd w:val="clear" w:color="auto" w:fill="FFFFFF"/>
          <w:lang w:val="en-GB" w:eastAsia="es-ES_tradnl"/>
        </w:rPr>
      </w:pPr>
      <w:r w:rsidRPr="00D2382C">
        <w:rPr>
          <w:rFonts w:ascii="Calibri" w:eastAsia="Times New Roman" w:hAnsi="Calibri" w:cs="Calibri"/>
          <w:b/>
          <w:bCs/>
          <w:sz w:val="21"/>
          <w:szCs w:val="21"/>
          <w:shd w:val="clear" w:color="auto" w:fill="FFFFFF"/>
          <w:lang w:val="en-GB" w:eastAsia="es-ES_tradnl"/>
        </w:rPr>
        <w:t xml:space="preserve">D. </w:t>
      </w:r>
      <w:r w:rsidR="00BE7C74" w:rsidRPr="0009450E">
        <w:rPr>
          <w:rFonts w:ascii="Calibri" w:eastAsia="Times New Roman" w:hAnsi="Calibri" w:cs="Calibri"/>
          <w:b/>
          <w:bCs/>
          <w:sz w:val="21"/>
          <w:szCs w:val="21"/>
          <w:shd w:val="clear" w:color="auto" w:fill="FFFFFF"/>
          <w:lang w:val="en-GB" w:eastAsia="es-ES_tradnl"/>
        </w:rPr>
        <w:t xml:space="preserve">The Right to an Adequate Standard of Living (Art. 27). </w:t>
      </w:r>
    </w:p>
    <w:p w14:paraId="3AEA7A07" w14:textId="77777777" w:rsidR="000B56A3" w:rsidRDefault="000B56A3" w:rsidP="000B56A3">
      <w:pPr>
        <w:pStyle w:val="Default"/>
        <w:spacing w:line="276" w:lineRule="auto"/>
        <w:jc w:val="both"/>
        <w:rPr>
          <w:rFonts w:ascii="Calibri" w:eastAsia="Times New Roman" w:hAnsi="Calibri" w:cs="Calibri"/>
          <w:b/>
          <w:bCs/>
          <w:sz w:val="21"/>
          <w:szCs w:val="21"/>
          <w:shd w:val="clear" w:color="auto" w:fill="FFFFFF"/>
          <w:lang w:val="en-GB" w:eastAsia="es-ES_tradnl"/>
        </w:rPr>
      </w:pPr>
    </w:p>
    <w:p w14:paraId="3EACC6DB" w14:textId="6F8C7D3F" w:rsidR="00B6538D" w:rsidRDefault="007807F1" w:rsidP="000B56A3">
      <w:pPr>
        <w:pStyle w:val="Default"/>
        <w:spacing w:line="276" w:lineRule="auto"/>
        <w:jc w:val="both"/>
        <w:rPr>
          <w:rFonts w:ascii="Calibri" w:hAnsi="Calibri" w:cs="Calibri"/>
          <w:sz w:val="21"/>
          <w:szCs w:val="21"/>
          <w:lang w:val="en-GB"/>
        </w:rPr>
      </w:pPr>
      <w:r>
        <w:rPr>
          <w:rFonts w:ascii="Calibri" w:eastAsia="Times New Roman" w:hAnsi="Calibri" w:cs="Calibri"/>
          <w:sz w:val="21"/>
          <w:szCs w:val="21"/>
          <w:shd w:val="clear" w:color="auto" w:fill="FFFFFF"/>
          <w:lang w:val="en-GB" w:eastAsia="es-ES_tradnl"/>
        </w:rPr>
        <w:t>As recognised in the second strategic objective of the Council of Europe’s Strategy for the Rights of the Child (2022-2027), c</w:t>
      </w:r>
      <w:r w:rsidRPr="007807F1">
        <w:rPr>
          <w:rFonts w:ascii="Calibri" w:eastAsia="Times New Roman" w:hAnsi="Calibri" w:cs="Calibri"/>
          <w:sz w:val="21"/>
          <w:szCs w:val="21"/>
          <w:shd w:val="clear" w:color="auto" w:fill="FFFFFF"/>
          <w:lang w:val="en-GB" w:eastAsia="es-ES_tradnl"/>
        </w:rPr>
        <w:t xml:space="preserve">limate change, environmental degradation, forced displacement, migration and conflicts are </w:t>
      </w:r>
      <w:r w:rsidRPr="007807F1">
        <w:rPr>
          <w:rFonts w:ascii="Calibri" w:eastAsia="Times New Roman" w:hAnsi="Calibri" w:cs="Calibri"/>
          <w:sz w:val="21"/>
          <w:szCs w:val="21"/>
          <w:shd w:val="clear" w:color="auto" w:fill="FFFFFF"/>
          <w:lang w:val="en-GB" w:eastAsia="es-ES_tradnl"/>
        </w:rPr>
        <w:lastRenderedPageBreak/>
        <w:t>also causing inequalities and poverty among children</w:t>
      </w:r>
      <w:r>
        <w:rPr>
          <w:rFonts w:ascii="Calibri" w:eastAsia="Times New Roman" w:hAnsi="Calibri" w:cs="Calibri"/>
          <w:sz w:val="21"/>
          <w:szCs w:val="21"/>
          <w:shd w:val="clear" w:color="auto" w:fill="FFFFFF"/>
          <w:lang w:val="en-GB" w:eastAsia="es-ES_tradnl"/>
        </w:rPr>
        <w:t>. The Strategy therefore insists in the importance of</w:t>
      </w:r>
      <w:r w:rsidRPr="00753A5B">
        <w:rPr>
          <w:rFonts w:asciiTheme="minorHAnsi" w:hAnsiTheme="minorHAnsi" w:cstheme="minorBidi"/>
          <w:color w:val="auto"/>
          <w:sz w:val="22"/>
          <w:szCs w:val="22"/>
          <w:lang w:val="en-GB"/>
        </w:rPr>
        <w:t xml:space="preserve"> </w:t>
      </w:r>
      <w:r w:rsidRPr="007807F1">
        <w:rPr>
          <w:rFonts w:ascii="Calibri" w:eastAsia="Times New Roman" w:hAnsi="Calibri" w:cs="Calibri"/>
          <w:sz w:val="21"/>
          <w:szCs w:val="21"/>
          <w:shd w:val="clear" w:color="auto" w:fill="FFFFFF"/>
          <w:lang w:val="en-GB" w:eastAsia="es-ES_tradnl"/>
        </w:rPr>
        <w:t>tackling poverty caused by environmental degradation</w:t>
      </w:r>
      <w:r>
        <w:rPr>
          <w:rFonts w:ascii="Calibri" w:eastAsia="Times New Roman" w:hAnsi="Calibri" w:cs="Calibri"/>
          <w:sz w:val="21"/>
          <w:szCs w:val="21"/>
          <w:shd w:val="clear" w:color="auto" w:fill="FFFFFF"/>
          <w:lang w:val="en-GB" w:eastAsia="es-ES_tradnl"/>
        </w:rPr>
        <w:t xml:space="preserve">. </w:t>
      </w:r>
      <w:r w:rsidR="00080467">
        <w:rPr>
          <w:rFonts w:ascii="Calibri" w:eastAsia="Times New Roman" w:hAnsi="Calibri" w:cs="Calibri"/>
          <w:sz w:val="21"/>
          <w:szCs w:val="21"/>
          <w:shd w:val="clear" w:color="auto" w:fill="FFFFFF"/>
          <w:lang w:val="en-GB" w:eastAsia="es-ES_tradnl"/>
        </w:rPr>
        <w:t xml:space="preserve">Indeed, children affected by environmental degradation should not be subjected to forced evictions without prior provision of adequate alternative accommodation. </w:t>
      </w:r>
      <w:r w:rsidR="00B6538D">
        <w:rPr>
          <w:rFonts w:ascii="Calibri" w:eastAsia="Times New Roman" w:hAnsi="Calibri" w:cs="Calibri"/>
          <w:sz w:val="21"/>
          <w:szCs w:val="21"/>
          <w:shd w:val="clear" w:color="auto" w:fill="FFFFFF"/>
          <w:lang w:val="en-GB" w:eastAsia="es-ES_tradnl"/>
        </w:rPr>
        <w:t>At the same time, the reality demonstrates that children are being forced to flee their homes as a result of climate-change induced events.</w:t>
      </w:r>
      <w:r w:rsidR="00080467">
        <w:rPr>
          <w:rFonts w:ascii="Calibri" w:eastAsia="Times New Roman" w:hAnsi="Calibri" w:cs="Calibri"/>
          <w:sz w:val="21"/>
          <w:szCs w:val="21"/>
          <w:shd w:val="clear" w:color="auto" w:fill="FFFFFF"/>
          <w:lang w:val="en-GB" w:eastAsia="es-ES_tradnl"/>
        </w:rPr>
        <w:t xml:space="preserve"> W</w:t>
      </w:r>
      <w:r w:rsidR="00ED21B8" w:rsidRPr="0009450E">
        <w:rPr>
          <w:rFonts w:ascii="Calibri" w:eastAsia="Times New Roman" w:hAnsi="Calibri" w:cs="Calibri"/>
          <w:sz w:val="21"/>
          <w:szCs w:val="21"/>
          <w:shd w:val="clear" w:color="auto" w:fill="FFFFFF"/>
          <w:lang w:val="en-GB" w:eastAsia="es-ES_tradnl"/>
        </w:rPr>
        <w:t>e agree with the Committee that in situations of cross-border displacement and migration linked to climate- and environment-related events, the importance of international cooperation and that states should undertake all appropriate measures to ensure the rights covered by the Convention apply to all children within their jurisdiction</w:t>
      </w:r>
      <w:r w:rsidR="0009450E" w:rsidRPr="0009450E">
        <w:rPr>
          <w:rFonts w:ascii="Calibri" w:eastAsia="Times New Roman" w:hAnsi="Calibri" w:cs="Calibri"/>
          <w:sz w:val="21"/>
          <w:szCs w:val="21"/>
          <w:shd w:val="clear" w:color="auto" w:fill="FFFFFF"/>
          <w:lang w:val="en-GB" w:eastAsia="es-ES_tradnl"/>
        </w:rPr>
        <w:t xml:space="preserve"> (§44)</w:t>
      </w:r>
      <w:r w:rsidR="00ED21B8" w:rsidRPr="0009450E">
        <w:rPr>
          <w:rFonts w:ascii="Calibri" w:eastAsia="Times New Roman" w:hAnsi="Calibri" w:cs="Calibri"/>
          <w:sz w:val="21"/>
          <w:szCs w:val="21"/>
          <w:shd w:val="clear" w:color="auto" w:fill="FFFFFF"/>
          <w:lang w:val="en-GB" w:eastAsia="es-ES_tradnl"/>
        </w:rPr>
        <w:t xml:space="preserve">. </w:t>
      </w:r>
      <w:r w:rsidR="0009450E">
        <w:rPr>
          <w:rFonts w:ascii="Calibri" w:eastAsia="Times New Roman" w:hAnsi="Calibri" w:cs="Calibri"/>
          <w:sz w:val="21"/>
          <w:szCs w:val="21"/>
          <w:shd w:val="clear" w:color="auto" w:fill="FFFFFF"/>
          <w:lang w:val="en-GB" w:eastAsia="es-ES_tradnl"/>
        </w:rPr>
        <w:t>However, a</w:t>
      </w:r>
      <w:r w:rsidR="0009450E" w:rsidRPr="0009450E">
        <w:rPr>
          <w:rFonts w:ascii="Calibri" w:eastAsia="Times New Roman" w:hAnsi="Calibri" w:cs="Calibri"/>
          <w:sz w:val="21"/>
          <w:szCs w:val="21"/>
          <w:shd w:val="clear" w:color="auto" w:fill="FFFFFF"/>
          <w:lang w:val="en-GB" w:eastAsia="es-ES_tradnl"/>
        </w:rPr>
        <w:t xml:space="preserve">s has been iterated in the </w:t>
      </w:r>
      <w:hyperlink r:id="rId16" w:history="1">
        <w:r w:rsidR="0009450E" w:rsidRPr="004F13E1">
          <w:rPr>
            <w:rStyle w:val="Hyperlink"/>
            <w:rFonts w:ascii="Calibri" w:eastAsia="Times New Roman" w:hAnsi="Calibri" w:cs="Calibri"/>
            <w:sz w:val="21"/>
            <w:szCs w:val="21"/>
            <w:shd w:val="clear" w:color="auto" w:fill="FFFFFF"/>
            <w:lang w:val="en-GB" w:eastAsia="es-ES_tradnl"/>
          </w:rPr>
          <w:t xml:space="preserve">Council of Europe Parliamentary Assembly </w:t>
        </w:r>
        <w:r w:rsidR="0009450E" w:rsidRPr="004F13E1">
          <w:rPr>
            <w:rStyle w:val="Hyperlink"/>
            <w:rFonts w:ascii="Calibri" w:hAnsi="Calibri" w:cs="Calibri"/>
            <w:sz w:val="21"/>
            <w:szCs w:val="21"/>
            <w:lang w:val="en-GB"/>
          </w:rPr>
          <w:t>Resolution 2415 (2022) “Inaction on climate change – a violation of children’s rights”</w:t>
        </w:r>
      </w:hyperlink>
      <w:r w:rsidR="00B6538D">
        <w:rPr>
          <w:rFonts w:ascii="Calibri" w:hAnsi="Calibri" w:cs="Calibri"/>
          <w:sz w:val="21"/>
          <w:szCs w:val="21"/>
          <w:lang w:val="en-GB"/>
        </w:rPr>
        <w:t xml:space="preserve"> recalling </w:t>
      </w:r>
      <w:hyperlink r:id="rId17" w:history="1">
        <w:r w:rsidR="00B6538D" w:rsidRPr="00B6538D">
          <w:rPr>
            <w:rStyle w:val="Hyperlink"/>
            <w:rFonts w:ascii="Calibri" w:hAnsi="Calibri" w:cs="Calibri"/>
            <w:sz w:val="21"/>
            <w:szCs w:val="21"/>
          </w:rPr>
          <w:t>P</w:t>
        </w:r>
        <w:r w:rsidR="00B6538D">
          <w:rPr>
            <w:rStyle w:val="Hyperlink"/>
            <w:rFonts w:ascii="Calibri" w:hAnsi="Calibri" w:cs="Calibri"/>
            <w:sz w:val="21"/>
            <w:szCs w:val="21"/>
          </w:rPr>
          <w:t>arliamentary Assembly</w:t>
        </w:r>
        <w:r w:rsidR="00B6538D" w:rsidRPr="00B6538D">
          <w:rPr>
            <w:rStyle w:val="Hyperlink"/>
            <w:rFonts w:ascii="Calibri" w:hAnsi="Calibri" w:cs="Calibri"/>
            <w:sz w:val="21"/>
            <w:szCs w:val="21"/>
          </w:rPr>
          <w:t xml:space="preserve"> Resolution 2307 (2019) “A legal status for “climate refugees”</w:t>
        </w:r>
      </w:hyperlink>
      <w:r w:rsidR="00B6538D">
        <w:rPr>
          <w:rFonts w:ascii="Calibri" w:hAnsi="Calibri" w:cs="Calibri"/>
          <w:sz w:val="21"/>
          <w:szCs w:val="21"/>
        </w:rPr>
        <w:t xml:space="preserve">, </w:t>
      </w:r>
      <w:r w:rsidR="0009450E">
        <w:rPr>
          <w:rFonts w:ascii="Calibri" w:hAnsi="Calibri" w:cs="Calibri"/>
          <w:sz w:val="21"/>
          <w:szCs w:val="21"/>
          <w:lang w:val="en-GB"/>
        </w:rPr>
        <w:t xml:space="preserve">we recommend including in this section </w:t>
      </w:r>
      <w:r w:rsidR="0009450E" w:rsidRPr="004F13E1">
        <w:rPr>
          <w:rFonts w:ascii="Calibri" w:hAnsi="Calibri" w:cs="Calibri"/>
          <w:sz w:val="21"/>
          <w:szCs w:val="21"/>
          <w:u w:val="single"/>
          <w:lang w:val="en-GB"/>
        </w:rPr>
        <w:t xml:space="preserve">the necessity for </w:t>
      </w:r>
      <w:r w:rsidR="004F13E1" w:rsidRPr="004F13E1">
        <w:rPr>
          <w:rFonts w:ascii="Calibri" w:hAnsi="Calibri" w:cs="Calibri"/>
          <w:sz w:val="21"/>
          <w:szCs w:val="21"/>
          <w:u w:val="single"/>
          <w:lang w:val="en-GB"/>
        </w:rPr>
        <w:t>states'</w:t>
      </w:r>
      <w:r w:rsidR="0009450E" w:rsidRPr="004F13E1">
        <w:rPr>
          <w:rFonts w:ascii="Calibri" w:hAnsi="Calibri" w:cs="Calibri"/>
          <w:sz w:val="21"/>
          <w:szCs w:val="21"/>
          <w:u w:val="single"/>
          <w:lang w:val="en-GB"/>
        </w:rPr>
        <w:t xml:space="preserve"> collaboration </w:t>
      </w:r>
      <w:r w:rsidR="004F13E1" w:rsidRPr="004F13E1">
        <w:rPr>
          <w:rFonts w:ascii="Calibri" w:hAnsi="Calibri" w:cs="Calibri"/>
          <w:sz w:val="21"/>
          <w:szCs w:val="21"/>
          <w:u w:val="single"/>
          <w:lang w:val="en-GB"/>
        </w:rPr>
        <w:t xml:space="preserve">with a view </w:t>
      </w:r>
      <w:r w:rsidR="00DB305C">
        <w:rPr>
          <w:rFonts w:ascii="Calibri" w:hAnsi="Calibri" w:cs="Calibri"/>
          <w:sz w:val="21"/>
          <w:szCs w:val="21"/>
          <w:u w:val="single"/>
          <w:lang w:val="en-GB"/>
        </w:rPr>
        <w:t>to</w:t>
      </w:r>
      <w:r w:rsidR="00DB305C" w:rsidRPr="004F13E1">
        <w:rPr>
          <w:rFonts w:ascii="Calibri" w:hAnsi="Calibri" w:cs="Calibri"/>
          <w:sz w:val="21"/>
          <w:szCs w:val="21"/>
          <w:u w:val="single"/>
          <w:lang w:val="en-GB"/>
        </w:rPr>
        <w:t xml:space="preserve"> </w:t>
      </w:r>
      <w:r w:rsidR="004F13E1" w:rsidRPr="004F13E1">
        <w:rPr>
          <w:rFonts w:ascii="Calibri" w:hAnsi="Calibri" w:cs="Calibri"/>
          <w:sz w:val="21"/>
          <w:szCs w:val="21"/>
          <w:u w:val="single"/>
          <w:lang w:val="en-GB"/>
        </w:rPr>
        <w:t>establish an international legal status for environmental refugees</w:t>
      </w:r>
      <w:r w:rsidR="004F13E1">
        <w:rPr>
          <w:rFonts w:ascii="Calibri" w:hAnsi="Calibri" w:cs="Calibri"/>
          <w:sz w:val="21"/>
          <w:szCs w:val="21"/>
          <w:lang w:val="en-GB"/>
        </w:rPr>
        <w:t xml:space="preserve"> and protecting the victims of forced migration due to climate change and environmental degradation, in particular children.</w:t>
      </w:r>
      <w:r w:rsidR="00345CEE">
        <w:rPr>
          <w:rFonts w:ascii="Calibri" w:hAnsi="Calibri" w:cs="Calibri"/>
          <w:sz w:val="21"/>
          <w:szCs w:val="21"/>
          <w:lang w:val="en-GB"/>
        </w:rPr>
        <w:t xml:space="preserve"> </w:t>
      </w:r>
    </w:p>
    <w:p w14:paraId="3D80AB88" w14:textId="77777777" w:rsidR="00B6538D" w:rsidRDefault="00B6538D" w:rsidP="000B56A3">
      <w:pPr>
        <w:pStyle w:val="Default"/>
        <w:spacing w:line="276" w:lineRule="auto"/>
        <w:jc w:val="both"/>
        <w:rPr>
          <w:rFonts w:ascii="Calibri" w:hAnsi="Calibri" w:cs="Calibri"/>
          <w:sz w:val="21"/>
          <w:szCs w:val="21"/>
          <w:lang w:val="en-GB"/>
        </w:rPr>
      </w:pPr>
    </w:p>
    <w:p w14:paraId="07AEE8A9" w14:textId="4611C884" w:rsidR="003C0A79" w:rsidRDefault="00B6538D" w:rsidP="000B56A3">
      <w:pPr>
        <w:pStyle w:val="Default"/>
        <w:spacing w:line="276" w:lineRule="auto"/>
        <w:jc w:val="both"/>
        <w:rPr>
          <w:rFonts w:ascii="Calibri" w:hAnsi="Calibri" w:cs="Calibri"/>
          <w:sz w:val="21"/>
          <w:szCs w:val="21"/>
        </w:rPr>
      </w:pPr>
      <w:r>
        <w:rPr>
          <w:rFonts w:ascii="Calibri" w:hAnsi="Calibri" w:cs="Calibri"/>
          <w:sz w:val="21"/>
          <w:szCs w:val="21"/>
          <w:lang w:val="en-GB"/>
        </w:rPr>
        <w:t xml:space="preserve">Additionally, it </w:t>
      </w:r>
      <w:r w:rsidR="00392764">
        <w:rPr>
          <w:rFonts w:ascii="Calibri" w:hAnsi="Calibri" w:cs="Calibri"/>
          <w:sz w:val="21"/>
          <w:szCs w:val="21"/>
          <w:lang w:val="en-GB"/>
        </w:rPr>
        <w:t xml:space="preserve">would also be useful to add </w:t>
      </w:r>
      <w:r w:rsidR="0053190C">
        <w:rPr>
          <w:rFonts w:ascii="Calibri" w:hAnsi="Calibri" w:cs="Calibri"/>
          <w:sz w:val="21"/>
          <w:szCs w:val="21"/>
          <w:lang w:val="en-GB"/>
        </w:rPr>
        <w:t xml:space="preserve">a </w:t>
      </w:r>
      <w:r w:rsidR="00392764">
        <w:rPr>
          <w:rFonts w:ascii="Calibri" w:hAnsi="Calibri" w:cs="Calibri"/>
          <w:sz w:val="21"/>
          <w:szCs w:val="21"/>
          <w:lang w:val="en-GB"/>
        </w:rPr>
        <w:t xml:space="preserve">reference to </w:t>
      </w:r>
      <w:hyperlink r:id="rId18" w:history="1">
        <w:r w:rsidR="00392764" w:rsidRPr="006823DD">
          <w:rPr>
            <w:rStyle w:val="Hyperlink"/>
            <w:rFonts w:ascii="Calibri" w:hAnsi="Calibri" w:cs="Calibri"/>
            <w:sz w:val="21"/>
            <w:szCs w:val="21"/>
            <w:lang w:val="en-GB"/>
          </w:rPr>
          <w:t xml:space="preserve">Council of Europe Parliamentary </w:t>
        </w:r>
        <w:r>
          <w:rPr>
            <w:rStyle w:val="Hyperlink"/>
            <w:rFonts w:ascii="Calibri" w:hAnsi="Calibri" w:cs="Calibri"/>
            <w:sz w:val="21"/>
            <w:szCs w:val="21"/>
            <w:lang w:val="en-GB"/>
          </w:rPr>
          <w:t xml:space="preserve">Assembly </w:t>
        </w:r>
        <w:r w:rsidR="00392764" w:rsidRPr="006823DD">
          <w:rPr>
            <w:rStyle w:val="Hyperlink"/>
            <w:rFonts w:ascii="Calibri" w:hAnsi="Calibri" w:cs="Calibri"/>
            <w:sz w:val="21"/>
            <w:szCs w:val="21"/>
            <w:lang w:val="en-GB"/>
          </w:rPr>
          <w:t xml:space="preserve">Resolution </w:t>
        </w:r>
        <w:r w:rsidR="00392764" w:rsidRPr="006823DD">
          <w:rPr>
            <w:rStyle w:val="Hyperlink"/>
            <w:rFonts w:ascii="Calibri" w:hAnsi="Calibri" w:cs="Calibri"/>
            <w:sz w:val="21"/>
            <w:szCs w:val="21"/>
          </w:rPr>
          <w:t>Resolution 2401 (2021) “Climate and migration”</w:t>
        </w:r>
      </w:hyperlink>
      <w:r>
        <w:rPr>
          <w:rFonts w:ascii="Calibri" w:hAnsi="Calibri" w:cs="Calibri"/>
          <w:sz w:val="21"/>
          <w:szCs w:val="21"/>
        </w:rPr>
        <w:t xml:space="preserve">, </w:t>
      </w:r>
      <w:r w:rsidR="006823DD">
        <w:rPr>
          <w:rFonts w:ascii="Calibri" w:hAnsi="Calibri" w:cs="Calibri"/>
          <w:sz w:val="21"/>
          <w:szCs w:val="21"/>
        </w:rPr>
        <w:t xml:space="preserve"> to include in this section </w:t>
      </w:r>
      <w:r w:rsidR="002D7BE4">
        <w:rPr>
          <w:rFonts w:ascii="Calibri" w:hAnsi="Calibri" w:cs="Calibri"/>
          <w:sz w:val="21"/>
          <w:szCs w:val="21"/>
        </w:rPr>
        <w:t>a</w:t>
      </w:r>
      <w:r w:rsidR="006823DD">
        <w:rPr>
          <w:rFonts w:ascii="Calibri" w:hAnsi="Calibri" w:cs="Calibri"/>
          <w:sz w:val="21"/>
          <w:szCs w:val="21"/>
        </w:rPr>
        <w:t xml:space="preserve"> call upon states</w:t>
      </w:r>
      <w:r w:rsidR="006823DD" w:rsidRPr="006823DD">
        <w:rPr>
          <w:rFonts w:ascii="Calibri" w:hAnsi="Calibri" w:cs="Calibri"/>
          <w:sz w:val="21"/>
          <w:szCs w:val="21"/>
        </w:rPr>
        <w:t xml:space="preserve"> for the better use of science and technology to improve communication on and predictability of migration trends.</w:t>
      </w:r>
      <w:r w:rsidR="002D7BE4">
        <w:rPr>
          <w:rFonts w:ascii="Calibri" w:hAnsi="Calibri" w:cs="Calibri"/>
          <w:sz w:val="21"/>
          <w:szCs w:val="21"/>
        </w:rPr>
        <w:t xml:space="preserve"> In doing so,</w:t>
      </w:r>
      <w:r w:rsidR="006823DD" w:rsidRPr="006823DD">
        <w:rPr>
          <w:rFonts w:ascii="Calibri" w:hAnsi="Calibri" w:cs="Calibri"/>
          <w:sz w:val="21"/>
          <w:szCs w:val="21"/>
        </w:rPr>
        <w:t xml:space="preserve"> </w:t>
      </w:r>
      <w:r w:rsidR="002D7BE4">
        <w:rPr>
          <w:rFonts w:ascii="Calibri" w:hAnsi="Calibri" w:cs="Calibri"/>
          <w:sz w:val="21"/>
          <w:szCs w:val="21"/>
        </w:rPr>
        <w:t>s</w:t>
      </w:r>
      <w:r w:rsidR="006823DD" w:rsidRPr="006823DD">
        <w:rPr>
          <w:rFonts w:ascii="Calibri" w:hAnsi="Calibri" w:cs="Calibri"/>
          <w:sz w:val="21"/>
          <w:szCs w:val="21"/>
        </w:rPr>
        <w:t xml:space="preserve">tates should undertake, both nationally and internationally, </w:t>
      </w:r>
      <w:r w:rsidR="006823DD" w:rsidRPr="002D51A8">
        <w:rPr>
          <w:rFonts w:ascii="Calibri" w:hAnsi="Calibri" w:cs="Calibri"/>
          <w:sz w:val="21"/>
          <w:szCs w:val="21"/>
          <w:u w:val="single"/>
        </w:rPr>
        <w:t>a side-by</w:t>
      </w:r>
      <w:r w:rsidR="002D7BE4" w:rsidRPr="002D51A8">
        <w:rPr>
          <w:rFonts w:ascii="Calibri" w:hAnsi="Calibri" w:cs="Calibri"/>
          <w:sz w:val="21"/>
          <w:szCs w:val="21"/>
          <w:u w:val="single"/>
        </w:rPr>
        <w:t>-</w:t>
      </w:r>
      <w:r w:rsidR="006823DD" w:rsidRPr="002D51A8">
        <w:rPr>
          <w:rFonts w:ascii="Calibri" w:hAnsi="Calibri" w:cs="Calibri"/>
          <w:sz w:val="21"/>
          <w:szCs w:val="21"/>
          <w:u w:val="single"/>
        </w:rPr>
        <w:t>side mapping of climate change and migration, using the latest developments in science and technology.</w:t>
      </w:r>
      <w:r w:rsidR="002D7BE4">
        <w:rPr>
          <w:rFonts w:ascii="Calibri" w:hAnsi="Calibri" w:cs="Calibri"/>
          <w:sz w:val="21"/>
          <w:szCs w:val="21"/>
        </w:rPr>
        <w:t xml:space="preserve"> Since m</w:t>
      </w:r>
      <w:r w:rsidR="002D7BE4" w:rsidRPr="002D7BE4">
        <w:rPr>
          <w:rFonts w:ascii="Calibri" w:hAnsi="Calibri" w:cs="Calibri"/>
          <w:sz w:val="21"/>
          <w:szCs w:val="21"/>
        </w:rPr>
        <w:t>erging dynamic mapping of climate change with dynamic mapping of migration would help determine migration trends and build reliable predictions</w:t>
      </w:r>
      <w:r w:rsidR="002D7BE4">
        <w:rPr>
          <w:rFonts w:ascii="Calibri" w:hAnsi="Calibri" w:cs="Calibri"/>
          <w:sz w:val="21"/>
          <w:szCs w:val="21"/>
        </w:rPr>
        <w:t>;</w:t>
      </w:r>
      <w:r w:rsidR="002D7BE4" w:rsidRPr="002D7BE4">
        <w:rPr>
          <w:rFonts w:ascii="Calibri" w:hAnsi="Calibri" w:cs="Calibri"/>
          <w:sz w:val="21"/>
          <w:szCs w:val="21"/>
        </w:rPr>
        <w:t xml:space="preserve"> </w:t>
      </w:r>
      <w:r w:rsidR="00B74A74">
        <w:rPr>
          <w:rFonts w:ascii="Calibri" w:hAnsi="Calibri" w:cs="Calibri"/>
          <w:sz w:val="21"/>
          <w:szCs w:val="21"/>
        </w:rPr>
        <w:t>policymakers</w:t>
      </w:r>
      <w:r w:rsidR="002D7BE4" w:rsidRPr="002D7BE4">
        <w:rPr>
          <w:rFonts w:ascii="Calibri" w:hAnsi="Calibri" w:cs="Calibri"/>
          <w:sz w:val="21"/>
          <w:szCs w:val="21"/>
        </w:rPr>
        <w:t xml:space="preserve"> would have a clearer picture of where people are likely to move from (regions/countries), where they are likely to go, in what numbers and when</w:t>
      </w:r>
      <w:r w:rsidR="002D7BE4">
        <w:rPr>
          <w:rFonts w:ascii="Calibri" w:hAnsi="Calibri" w:cs="Calibri"/>
          <w:sz w:val="21"/>
          <w:szCs w:val="21"/>
        </w:rPr>
        <w:t>.</w:t>
      </w:r>
    </w:p>
    <w:p w14:paraId="4C08A70B" w14:textId="77777777" w:rsidR="009465A2" w:rsidRPr="00080467" w:rsidRDefault="009465A2" w:rsidP="000B56A3">
      <w:pPr>
        <w:pStyle w:val="Default"/>
        <w:spacing w:line="276" w:lineRule="auto"/>
        <w:jc w:val="both"/>
        <w:rPr>
          <w:rFonts w:ascii="Calibri" w:eastAsia="Times New Roman" w:hAnsi="Calibri" w:cs="Calibri"/>
          <w:sz w:val="21"/>
          <w:szCs w:val="21"/>
          <w:shd w:val="clear" w:color="auto" w:fill="FFFFFF"/>
          <w:lang w:val="en-GB" w:eastAsia="es-ES_tradnl"/>
        </w:rPr>
      </w:pPr>
    </w:p>
    <w:p w14:paraId="1D3B16F3" w14:textId="77777777" w:rsidR="0009450E" w:rsidRPr="0009450E" w:rsidRDefault="0009450E" w:rsidP="000B56A3">
      <w:pPr>
        <w:pStyle w:val="Default"/>
        <w:spacing w:line="276" w:lineRule="auto"/>
        <w:rPr>
          <w:rFonts w:ascii="Arial" w:hAnsi="Arial" w:cs="Arial"/>
          <w:sz w:val="21"/>
          <w:szCs w:val="21"/>
          <w:lang w:val="en-GB"/>
        </w:rPr>
      </w:pPr>
    </w:p>
    <w:p w14:paraId="1EF5BD39" w14:textId="64B474AC" w:rsidR="0032592E" w:rsidRPr="007D1F2E" w:rsidRDefault="002D09B1" w:rsidP="000B56A3">
      <w:pPr>
        <w:spacing w:line="276" w:lineRule="auto"/>
        <w:jc w:val="both"/>
        <w:rPr>
          <w:rFonts w:ascii="Calibri" w:eastAsia="Times New Roman" w:hAnsi="Calibri" w:cs="Calibri"/>
          <w:color w:val="000000"/>
          <w:sz w:val="21"/>
          <w:szCs w:val="21"/>
          <w:shd w:val="clear" w:color="auto" w:fill="FFFFFF"/>
          <w:lang w:val="en-GB" w:eastAsia="es-ES_tradnl"/>
        </w:rPr>
      </w:pPr>
      <w:r w:rsidRPr="007D1F2E">
        <w:rPr>
          <w:rFonts w:ascii="Calibri" w:eastAsia="Times New Roman" w:hAnsi="Calibri" w:cs="Calibri"/>
          <w:b/>
          <w:bCs/>
          <w:color w:val="000000"/>
          <w:sz w:val="21"/>
          <w:szCs w:val="21"/>
          <w:shd w:val="clear" w:color="auto" w:fill="FFFFFF"/>
          <w:lang w:val="en-GB" w:eastAsia="es-ES_tradnl"/>
        </w:rPr>
        <w:t xml:space="preserve">E. </w:t>
      </w:r>
      <w:r w:rsidR="002D7BE4" w:rsidRPr="007D1F2E">
        <w:rPr>
          <w:rFonts w:ascii="Calibri" w:eastAsia="Times New Roman" w:hAnsi="Calibri" w:cs="Calibri"/>
          <w:b/>
          <w:bCs/>
          <w:color w:val="000000"/>
          <w:sz w:val="21"/>
          <w:szCs w:val="21"/>
          <w:shd w:val="clear" w:color="auto" w:fill="FFFFFF"/>
          <w:lang w:val="en-GB" w:eastAsia="es-ES_tradnl"/>
        </w:rPr>
        <w:t>The right to rest, play, leisure, recreation and cultural and artistic activities (Art. 31)</w:t>
      </w:r>
      <w:r w:rsidRPr="007D1F2E">
        <w:rPr>
          <w:rFonts w:ascii="Calibri" w:eastAsia="Times New Roman" w:hAnsi="Calibri" w:cs="Calibri"/>
          <w:b/>
          <w:bCs/>
          <w:color w:val="000000"/>
          <w:sz w:val="21"/>
          <w:szCs w:val="21"/>
          <w:shd w:val="clear" w:color="auto" w:fill="FFFFFF"/>
          <w:lang w:val="en-GB" w:eastAsia="es-ES_tradnl"/>
        </w:rPr>
        <w:t>.</w:t>
      </w:r>
      <w:r w:rsidRPr="007D1F2E">
        <w:rPr>
          <w:rFonts w:ascii="Calibri" w:eastAsia="Times New Roman" w:hAnsi="Calibri" w:cs="Calibri"/>
          <w:color w:val="000000"/>
          <w:sz w:val="21"/>
          <w:szCs w:val="21"/>
          <w:shd w:val="clear" w:color="auto" w:fill="FFFFFF"/>
          <w:lang w:val="en-GB" w:eastAsia="es-ES_tradnl"/>
        </w:rPr>
        <w:t xml:space="preserve"> </w:t>
      </w:r>
    </w:p>
    <w:p w14:paraId="06F9AA14" w14:textId="0EC1FE26" w:rsidR="00B6538D" w:rsidRDefault="00B6538D" w:rsidP="000B56A3">
      <w:pPr>
        <w:spacing w:line="276" w:lineRule="auto"/>
        <w:jc w:val="both"/>
        <w:rPr>
          <w:rFonts w:ascii="Calibri" w:eastAsia="Times New Roman" w:hAnsi="Calibri" w:cs="Calibri"/>
          <w:color w:val="000000"/>
          <w:sz w:val="21"/>
          <w:szCs w:val="21"/>
          <w:u w:val="single"/>
          <w:shd w:val="clear" w:color="auto" w:fill="FFFFFF"/>
          <w:lang w:val="en-GB" w:eastAsia="es-ES_tradnl"/>
        </w:rPr>
      </w:pPr>
      <w:r w:rsidRPr="007D1F2E">
        <w:rPr>
          <w:rFonts w:ascii="Calibri" w:eastAsia="Times New Roman" w:hAnsi="Calibri" w:cs="Calibri"/>
          <w:color w:val="000000"/>
          <w:sz w:val="21"/>
          <w:szCs w:val="21"/>
          <w:shd w:val="clear" w:color="auto" w:fill="FFFFFF"/>
          <w:lang w:val="en-GB" w:eastAsia="es-ES_tradnl"/>
        </w:rPr>
        <w:t>Play and recreation are indeed an essential aspect to the health, well-being and development of children in promoting creativity, imagination, self-confidence, self-efficacy, as well as physical, social, cognitive and emotional strength on skills. We agree with the wording of the Committee in this section (§45</w:t>
      </w:r>
      <w:proofErr w:type="gramStart"/>
      <w:r w:rsidRPr="007D1F2E">
        <w:rPr>
          <w:rFonts w:ascii="Calibri" w:eastAsia="Times New Roman" w:hAnsi="Calibri" w:cs="Calibri"/>
          <w:color w:val="000000"/>
          <w:sz w:val="21"/>
          <w:szCs w:val="21"/>
          <w:shd w:val="clear" w:color="auto" w:fill="FFFFFF"/>
          <w:lang w:val="en-GB" w:eastAsia="es-ES_tradnl"/>
        </w:rPr>
        <w:t>),</w:t>
      </w:r>
      <w:proofErr w:type="gramEnd"/>
      <w:r w:rsidRPr="007D1F2E">
        <w:rPr>
          <w:rFonts w:ascii="Calibri" w:eastAsia="Times New Roman" w:hAnsi="Calibri" w:cs="Calibri"/>
          <w:color w:val="000000"/>
          <w:sz w:val="21"/>
          <w:szCs w:val="21"/>
          <w:shd w:val="clear" w:color="auto" w:fill="FFFFFF"/>
          <w:lang w:val="en-GB" w:eastAsia="es-ES_tradnl"/>
        </w:rPr>
        <w:t xml:space="preserve"> however we would like to propose to include a special reference to the </w:t>
      </w:r>
      <w:r w:rsidRPr="00753A5B">
        <w:rPr>
          <w:rFonts w:ascii="Calibri" w:eastAsia="Times New Roman" w:hAnsi="Calibri" w:cs="Calibri"/>
          <w:color w:val="000000"/>
          <w:sz w:val="21"/>
          <w:szCs w:val="21"/>
          <w:shd w:val="clear" w:color="auto" w:fill="FFFFFF"/>
          <w:lang w:val="en-GB" w:eastAsia="es-ES_tradnl"/>
        </w:rPr>
        <w:t>cultural heritage dynamics that nature may especially hold and serve in respect of some places and some cultures.</w:t>
      </w:r>
      <w:r w:rsidRPr="007D1F2E">
        <w:rPr>
          <w:rFonts w:ascii="Calibri" w:eastAsia="Times New Roman" w:hAnsi="Calibri" w:cs="Calibri"/>
          <w:color w:val="000000"/>
          <w:sz w:val="21"/>
          <w:szCs w:val="21"/>
          <w:u w:val="single"/>
          <w:shd w:val="clear" w:color="auto" w:fill="FFFFFF"/>
          <w:lang w:val="en-GB" w:eastAsia="es-ES_tradnl"/>
        </w:rPr>
        <w:t xml:space="preserve"> </w:t>
      </w:r>
    </w:p>
    <w:p w14:paraId="433F9F71" w14:textId="77777777" w:rsidR="007D1F2E" w:rsidRPr="007D1F2E" w:rsidRDefault="007D1F2E" w:rsidP="000B56A3">
      <w:pPr>
        <w:spacing w:line="276" w:lineRule="auto"/>
        <w:jc w:val="both"/>
        <w:rPr>
          <w:rFonts w:ascii="Calibri" w:eastAsia="Times New Roman" w:hAnsi="Calibri" w:cs="Calibri"/>
          <w:color w:val="000000"/>
          <w:sz w:val="21"/>
          <w:szCs w:val="21"/>
          <w:u w:val="single"/>
          <w:shd w:val="clear" w:color="auto" w:fill="FFFFFF"/>
          <w:lang w:val="en-GB" w:eastAsia="es-ES_tradnl"/>
        </w:rPr>
      </w:pPr>
    </w:p>
    <w:p w14:paraId="27E08112" w14:textId="77777777" w:rsidR="0053190C" w:rsidRDefault="00480681" w:rsidP="000B56A3">
      <w:pPr>
        <w:spacing w:line="276" w:lineRule="auto"/>
        <w:jc w:val="both"/>
        <w:rPr>
          <w:rFonts w:ascii="Calibri" w:eastAsia="Times New Roman" w:hAnsi="Calibri" w:cs="Calibri"/>
          <w:b/>
          <w:bCs/>
          <w:color w:val="000000"/>
          <w:sz w:val="21"/>
          <w:szCs w:val="21"/>
          <w:shd w:val="clear" w:color="auto" w:fill="FFFFFF"/>
          <w:lang w:val="en-GB" w:eastAsia="es-ES_tradnl"/>
        </w:rPr>
      </w:pPr>
      <w:r w:rsidRPr="00DB01AC">
        <w:rPr>
          <w:rFonts w:ascii="Calibri" w:eastAsia="Times New Roman" w:hAnsi="Calibri" w:cs="Calibri"/>
          <w:b/>
          <w:bCs/>
          <w:color w:val="000000"/>
          <w:sz w:val="21"/>
          <w:szCs w:val="21"/>
          <w:shd w:val="clear" w:color="auto" w:fill="FFFFFF"/>
          <w:lang w:val="en-GB" w:eastAsia="es-ES_tradnl"/>
        </w:rPr>
        <w:t xml:space="preserve">F. </w:t>
      </w:r>
      <w:r w:rsidR="004C7B95" w:rsidRPr="00DB01AC">
        <w:rPr>
          <w:rFonts w:ascii="Calibri" w:eastAsia="Times New Roman" w:hAnsi="Calibri" w:cs="Calibri"/>
          <w:b/>
          <w:bCs/>
          <w:color w:val="000000"/>
          <w:sz w:val="21"/>
          <w:szCs w:val="21"/>
          <w:shd w:val="clear" w:color="auto" w:fill="FFFFFF"/>
          <w:lang w:val="en-GB" w:eastAsia="es-ES_tradnl"/>
        </w:rPr>
        <w:t xml:space="preserve">The right of indigenous children (Art. 30). </w:t>
      </w:r>
      <w:r w:rsidR="005757D0" w:rsidRPr="00DB01AC">
        <w:rPr>
          <w:rFonts w:ascii="Calibri" w:eastAsia="Times New Roman" w:hAnsi="Calibri" w:cs="Calibri"/>
          <w:b/>
          <w:bCs/>
          <w:color w:val="000000"/>
          <w:sz w:val="21"/>
          <w:szCs w:val="21"/>
          <w:shd w:val="clear" w:color="auto" w:fill="FFFFFF"/>
          <w:lang w:val="en-GB" w:eastAsia="es-ES_tradnl"/>
        </w:rPr>
        <w:t xml:space="preserve"> </w:t>
      </w:r>
    </w:p>
    <w:p w14:paraId="40A1748F" w14:textId="7BADC99A" w:rsidR="00A6278F" w:rsidRDefault="00A243A7" w:rsidP="000B56A3">
      <w:pPr>
        <w:spacing w:line="276" w:lineRule="auto"/>
        <w:jc w:val="both"/>
        <w:rPr>
          <w:rFonts w:cstheme="minorHAnsi"/>
          <w:color w:val="333333"/>
          <w:sz w:val="21"/>
          <w:szCs w:val="21"/>
          <w:shd w:val="clear" w:color="auto" w:fill="FFFFFF"/>
          <w:lang w:val="en-GB"/>
        </w:rPr>
      </w:pPr>
      <w:r>
        <w:rPr>
          <w:rFonts w:cstheme="minorHAnsi"/>
          <w:color w:val="333333"/>
          <w:sz w:val="21"/>
          <w:szCs w:val="21"/>
          <w:shd w:val="clear" w:color="auto" w:fill="FFFFFF"/>
          <w:lang w:val="en-GB"/>
        </w:rPr>
        <w:t xml:space="preserve">The focus </w:t>
      </w:r>
      <w:proofErr w:type="gramStart"/>
      <w:r>
        <w:rPr>
          <w:rFonts w:cstheme="minorHAnsi"/>
          <w:color w:val="333333"/>
          <w:sz w:val="21"/>
          <w:szCs w:val="21"/>
          <w:shd w:val="clear" w:color="auto" w:fill="FFFFFF"/>
          <w:lang w:val="en-GB"/>
        </w:rPr>
        <w:t xml:space="preserve">on </w:t>
      </w:r>
      <w:r w:rsidR="004D0C2D" w:rsidRPr="00DB01AC">
        <w:rPr>
          <w:rFonts w:cstheme="minorHAnsi"/>
          <w:color w:val="333333"/>
          <w:sz w:val="21"/>
          <w:szCs w:val="21"/>
          <w:shd w:val="clear" w:color="auto" w:fill="FFFFFF"/>
          <w:lang w:val="en-GB"/>
        </w:rPr>
        <w:t xml:space="preserve"> indigenous</w:t>
      </w:r>
      <w:proofErr w:type="gramEnd"/>
      <w:r w:rsidR="004D0C2D" w:rsidRPr="00DB01AC">
        <w:rPr>
          <w:rFonts w:cstheme="minorHAnsi"/>
          <w:color w:val="333333"/>
          <w:sz w:val="21"/>
          <w:szCs w:val="21"/>
          <w:shd w:val="clear" w:color="auto" w:fill="FFFFFF"/>
          <w:lang w:val="en-GB"/>
        </w:rPr>
        <w:t xml:space="preserve"> children</w:t>
      </w:r>
      <w:r w:rsidR="00E56F8A">
        <w:rPr>
          <w:rFonts w:cstheme="minorHAnsi"/>
          <w:color w:val="333333"/>
          <w:sz w:val="21"/>
          <w:szCs w:val="21"/>
          <w:shd w:val="clear" w:color="auto" w:fill="FFFFFF"/>
          <w:lang w:val="en-GB"/>
        </w:rPr>
        <w:t xml:space="preserve"> being</w:t>
      </w:r>
      <w:r w:rsidR="004D0C2D" w:rsidRPr="00DB01AC">
        <w:rPr>
          <w:rFonts w:cstheme="minorHAnsi"/>
          <w:color w:val="333333"/>
          <w:sz w:val="21"/>
          <w:szCs w:val="21"/>
          <w:shd w:val="clear" w:color="auto" w:fill="FFFFFF"/>
          <w:lang w:val="en-GB"/>
        </w:rPr>
        <w:t xml:space="preserve"> particularly disproportionately affected as a result of environmental degradation, pollution and climate change</w:t>
      </w:r>
      <w:r w:rsidR="00E56F8A">
        <w:rPr>
          <w:rFonts w:cstheme="minorHAnsi"/>
          <w:color w:val="333333"/>
          <w:sz w:val="21"/>
          <w:szCs w:val="21"/>
          <w:shd w:val="clear" w:color="auto" w:fill="FFFFFF"/>
          <w:lang w:val="en-GB"/>
        </w:rPr>
        <w:t xml:space="preserve"> is welcomed</w:t>
      </w:r>
      <w:r w:rsidR="004D0C2D" w:rsidRPr="00DB01AC">
        <w:rPr>
          <w:rFonts w:cstheme="minorHAnsi"/>
          <w:color w:val="333333"/>
          <w:sz w:val="21"/>
          <w:szCs w:val="21"/>
          <w:shd w:val="clear" w:color="auto" w:fill="FFFFFF"/>
          <w:lang w:val="en-GB"/>
        </w:rPr>
        <w:t xml:space="preserve">. In accordance with </w:t>
      </w:r>
      <w:hyperlink r:id="rId19" w:history="1">
        <w:r w:rsidR="00AC0C62" w:rsidRPr="00AC0C62">
          <w:rPr>
            <w:rStyle w:val="Hyperlink"/>
            <w:rFonts w:cstheme="minorHAnsi"/>
            <w:sz w:val="21"/>
            <w:szCs w:val="21"/>
            <w:shd w:val="clear" w:color="auto" w:fill="FFFFFF"/>
            <w:lang w:val="en-GB"/>
          </w:rPr>
          <w:t>Explanatory Memorandum to Recommendation CM/Rec(2022)20 of the Committee of Ministers to member States on human rights and the protection of the environment</w:t>
        </w:r>
      </w:hyperlink>
      <w:r w:rsidR="004D0C2D" w:rsidRPr="00DB01AC">
        <w:rPr>
          <w:rFonts w:cstheme="minorHAnsi"/>
          <w:color w:val="333333"/>
          <w:sz w:val="21"/>
          <w:szCs w:val="21"/>
          <w:shd w:val="clear" w:color="auto" w:fill="FFFFFF"/>
          <w:lang w:val="en-GB"/>
        </w:rPr>
        <w:t xml:space="preserve">, </w:t>
      </w:r>
      <w:r w:rsidR="007E19C5">
        <w:rPr>
          <w:rFonts w:cstheme="minorHAnsi"/>
          <w:color w:val="333333"/>
          <w:sz w:val="21"/>
          <w:szCs w:val="21"/>
          <w:shd w:val="clear" w:color="auto" w:fill="FFFFFF"/>
          <w:lang w:val="en-GB"/>
        </w:rPr>
        <w:t>attention</w:t>
      </w:r>
      <w:r w:rsidR="00E56F8A">
        <w:rPr>
          <w:rFonts w:cstheme="minorHAnsi"/>
          <w:color w:val="333333"/>
          <w:sz w:val="21"/>
          <w:szCs w:val="21"/>
          <w:shd w:val="clear" w:color="auto" w:fill="FFFFFF"/>
          <w:lang w:val="en-GB"/>
        </w:rPr>
        <w:t xml:space="preserve"> is drawn to paragraph</w:t>
      </w:r>
      <w:r w:rsidR="004D0C2D" w:rsidRPr="00DB01AC">
        <w:rPr>
          <w:rFonts w:cstheme="minorHAnsi"/>
          <w:color w:val="333333"/>
          <w:sz w:val="21"/>
          <w:szCs w:val="21"/>
          <w:shd w:val="clear" w:color="auto" w:fill="FFFFFF"/>
          <w:lang w:val="en-GB"/>
        </w:rPr>
        <w:t>49</w:t>
      </w:r>
      <w:r w:rsidR="00AC0C62">
        <w:rPr>
          <w:rFonts w:cstheme="minorHAnsi"/>
          <w:color w:val="333333"/>
          <w:sz w:val="21"/>
          <w:szCs w:val="21"/>
          <w:shd w:val="clear" w:color="auto" w:fill="FFFFFF"/>
          <w:lang w:val="en-GB"/>
        </w:rPr>
        <w:t xml:space="preserve">, in protecting the rights of indigenous children, </w:t>
      </w:r>
      <w:r w:rsidR="004D0C2D" w:rsidRPr="00DB01AC">
        <w:rPr>
          <w:rFonts w:cstheme="minorHAnsi"/>
          <w:color w:val="333333"/>
          <w:sz w:val="21"/>
          <w:szCs w:val="21"/>
          <w:shd w:val="clear" w:color="auto" w:fill="FFFFFF"/>
          <w:lang w:val="en-GB"/>
        </w:rPr>
        <w:t>s</w:t>
      </w:r>
      <w:r w:rsidR="005757D0" w:rsidRPr="00DB01AC">
        <w:rPr>
          <w:rFonts w:cstheme="minorHAnsi"/>
          <w:color w:val="333333"/>
          <w:sz w:val="21"/>
          <w:szCs w:val="21"/>
          <w:shd w:val="clear" w:color="auto" w:fill="FFFFFF"/>
          <w:lang w:val="en-GB"/>
        </w:rPr>
        <w:t xml:space="preserve">tates should take measures to respect, preserve and maintain knowledge, innovations and practices of indigenous peoples and local communities embodying traditional lifestyles relevant for the conservation and sustainable use of biological diversity. </w:t>
      </w:r>
      <w:r w:rsidR="004D0C2D" w:rsidRPr="00DB01AC">
        <w:rPr>
          <w:rFonts w:cstheme="minorHAnsi"/>
          <w:color w:val="333333"/>
          <w:sz w:val="21"/>
          <w:szCs w:val="21"/>
          <w:shd w:val="clear" w:color="auto" w:fill="FFFFFF"/>
          <w:lang w:val="en-GB"/>
        </w:rPr>
        <w:t xml:space="preserve">To do so, </w:t>
      </w:r>
      <w:r w:rsidR="004D0C2D" w:rsidRPr="00DB01AC">
        <w:rPr>
          <w:rFonts w:cstheme="minorHAnsi"/>
          <w:color w:val="333333"/>
          <w:sz w:val="21"/>
          <w:szCs w:val="21"/>
          <w:u w:val="single"/>
          <w:shd w:val="clear" w:color="auto" w:fill="FFFFFF"/>
          <w:lang w:val="en-GB"/>
        </w:rPr>
        <w:t>s</w:t>
      </w:r>
      <w:r w:rsidR="005757D0" w:rsidRPr="00DB01AC">
        <w:rPr>
          <w:rFonts w:cstheme="minorHAnsi"/>
          <w:color w:val="333333"/>
          <w:sz w:val="21"/>
          <w:szCs w:val="21"/>
          <w:u w:val="single"/>
          <w:shd w:val="clear" w:color="auto" w:fill="FFFFFF"/>
          <w:lang w:val="en-GB"/>
        </w:rPr>
        <w:t>tates should also promote their wider application with the approval and involvement of the holders of such knowledge, innovations and practices, and encourage the equitable sharing of the benefits arising from the utilisation of such knowledge, innovations and practice</w:t>
      </w:r>
      <w:r w:rsidR="004D0C2D" w:rsidRPr="00DB01AC">
        <w:rPr>
          <w:rFonts w:cstheme="minorHAnsi"/>
          <w:color w:val="333333"/>
          <w:sz w:val="21"/>
          <w:szCs w:val="21"/>
          <w:u w:val="single"/>
          <w:shd w:val="clear" w:color="auto" w:fill="FFFFFF"/>
          <w:lang w:val="en-GB"/>
        </w:rPr>
        <w:t>s</w:t>
      </w:r>
      <w:r w:rsidR="00FD40FB">
        <w:rPr>
          <w:rFonts w:cstheme="minorHAnsi"/>
          <w:color w:val="333333"/>
          <w:sz w:val="21"/>
          <w:szCs w:val="21"/>
          <w:shd w:val="clear" w:color="auto" w:fill="FFFFFF"/>
          <w:lang w:val="en-GB"/>
        </w:rPr>
        <w:t xml:space="preserve"> of indigenous communities. Additionally, in application of the precautionary principle in this respect, states need to also ensure that measures taken in the protection of the environment (such as wind farms or green constructions) do not negatively affect the lives and livelihood of indigenous children living in their communities. </w:t>
      </w:r>
    </w:p>
    <w:p w14:paraId="36350CAE" w14:textId="77777777" w:rsidR="0077534D" w:rsidRDefault="0077534D" w:rsidP="000B56A3">
      <w:pPr>
        <w:spacing w:line="276" w:lineRule="auto"/>
        <w:jc w:val="both"/>
        <w:rPr>
          <w:rFonts w:cstheme="minorHAnsi"/>
          <w:color w:val="333333"/>
          <w:sz w:val="21"/>
          <w:szCs w:val="21"/>
          <w:shd w:val="clear" w:color="auto" w:fill="FFFFFF"/>
          <w:lang w:val="en-GB"/>
        </w:rPr>
      </w:pPr>
    </w:p>
    <w:p w14:paraId="1A8AF899" w14:textId="7D8A6068" w:rsidR="004C7B95" w:rsidRPr="00A5336B" w:rsidRDefault="004C7B95" w:rsidP="000B56A3">
      <w:pPr>
        <w:spacing w:line="276" w:lineRule="auto"/>
        <w:jc w:val="both"/>
        <w:rPr>
          <w:rFonts w:ascii="Calibri" w:eastAsia="Times New Roman" w:hAnsi="Calibri" w:cs="Calibri"/>
          <w:b/>
          <w:bCs/>
          <w:color w:val="000000"/>
          <w:sz w:val="21"/>
          <w:szCs w:val="21"/>
          <w:shd w:val="clear" w:color="auto" w:fill="FFFFFF"/>
          <w:lang w:val="en-GB" w:eastAsia="es-ES_tradnl"/>
        </w:rPr>
      </w:pPr>
      <w:r w:rsidRPr="00A5336B">
        <w:rPr>
          <w:rFonts w:ascii="Calibri" w:eastAsia="Times New Roman" w:hAnsi="Calibri" w:cs="Calibri"/>
          <w:b/>
          <w:bCs/>
          <w:color w:val="000000"/>
          <w:sz w:val="21"/>
          <w:szCs w:val="21"/>
          <w:shd w:val="clear" w:color="auto" w:fill="FFFFFF"/>
          <w:lang w:val="en-GB" w:eastAsia="es-ES_tradnl"/>
        </w:rPr>
        <w:t xml:space="preserve">G. The right to non-discrimination (Art. 2). </w:t>
      </w:r>
    </w:p>
    <w:p w14:paraId="5B7F34CD" w14:textId="47F09168" w:rsidR="00A5336B" w:rsidRDefault="00CA45C0" w:rsidP="000B56A3">
      <w:pPr>
        <w:spacing w:line="276"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 xml:space="preserve">As highlighted by </w:t>
      </w:r>
      <w:r w:rsidR="00A5336B" w:rsidRPr="00A5336B">
        <w:rPr>
          <w:rFonts w:ascii="Calibri" w:eastAsia="Times New Roman" w:hAnsi="Calibri" w:cs="Calibri"/>
          <w:color w:val="000000"/>
          <w:sz w:val="21"/>
          <w:szCs w:val="21"/>
          <w:shd w:val="clear" w:color="auto" w:fill="FFFFFF"/>
          <w:lang w:val="en-GB" w:eastAsia="es-ES_tradnl"/>
        </w:rPr>
        <w:t xml:space="preserve">the Committee certain groups of children face heightened barriers to the enjoyment of their rights in relation to the environment due to multiple and intersecting forms of discrimination. As adopting a children’s rights approach means looking holistically at the factors that affect </w:t>
      </w:r>
      <w:r w:rsidR="00A8279D">
        <w:rPr>
          <w:rFonts w:ascii="Calibri" w:eastAsia="Times New Roman" w:hAnsi="Calibri" w:cs="Calibri"/>
          <w:color w:val="000000"/>
          <w:sz w:val="21"/>
          <w:szCs w:val="21"/>
          <w:shd w:val="clear" w:color="auto" w:fill="FFFFFF"/>
          <w:lang w:val="en-GB" w:eastAsia="es-ES_tradnl"/>
        </w:rPr>
        <w:t xml:space="preserve">each individual </w:t>
      </w:r>
      <w:proofErr w:type="gramStart"/>
      <w:r w:rsidR="00A8279D">
        <w:rPr>
          <w:rFonts w:ascii="Calibri" w:eastAsia="Times New Roman" w:hAnsi="Calibri" w:cs="Calibri"/>
          <w:color w:val="000000"/>
          <w:sz w:val="21"/>
          <w:szCs w:val="21"/>
          <w:shd w:val="clear" w:color="auto" w:fill="FFFFFF"/>
          <w:lang w:val="en-GB" w:eastAsia="es-ES_tradnl"/>
        </w:rPr>
        <w:t>child</w:t>
      </w:r>
      <w:r w:rsidR="00A5336B" w:rsidRPr="00A5336B">
        <w:rPr>
          <w:rFonts w:ascii="Calibri" w:eastAsia="Times New Roman" w:hAnsi="Calibri" w:cs="Calibri"/>
          <w:color w:val="000000"/>
          <w:sz w:val="21"/>
          <w:szCs w:val="21"/>
          <w:shd w:val="clear" w:color="auto" w:fill="FFFFFF"/>
          <w:lang w:val="en-GB" w:eastAsia="es-ES_tradnl"/>
        </w:rPr>
        <w:t>,  the</w:t>
      </w:r>
      <w:proofErr w:type="gramEnd"/>
      <w:r w:rsidR="00A5336B" w:rsidRPr="00A5336B">
        <w:rPr>
          <w:rFonts w:ascii="Calibri" w:eastAsia="Times New Roman" w:hAnsi="Calibri" w:cs="Calibri"/>
          <w:color w:val="000000"/>
          <w:sz w:val="21"/>
          <w:szCs w:val="21"/>
          <w:shd w:val="clear" w:color="auto" w:fill="FFFFFF"/>
          <w:lang w:val="en-GB" w:eastAsia="es-ES_tradnl"/>
        </w:rPr>
        <w:t xml:space="preserve"> </w:t>
      </w:r>
      <w:r>
        <w:rPr>
          <w:rFonts w:ascii="Calibri" w:eastAsia="Times New Roman" w:hAnsi="Calibri" w:cs="Calibri"/>
          <w:color w:val="000000"/>
          <w:sz w:val="21"/>
          <w:szCs w:val="21"/>
          <w:shd w:val="clear" w:color="auto" w:fill="FFFFFF"/>
          <w:lang w:val="en-GB" w:eastAsia="es-ES_tradnl"/>
        </w:rPr>
        <w:t xml:space="preserve">support for the </w:t>
      </w:r>
      <w:r w:rsidR="00A5336B" w:rsidRPr="00A5336B">
        <w:rPr>
          <w:rFonts w:ascii="Calibri" w:eastAsia="Times New Roman" w:hAnsi="Calibri" w:cs="Calibri"/>
          <w:color w:val="000000"/>
          <w:sz w:val="21"/>
          <w:szCs w:val="21"/>
          <w:shd w:val="clear" w:color="auto" w:fill="FFFFFF"/>
          <w:lang w:val="en-GB" w:eastAsia="es-ES_tradnl"/>
        </w:rPr>
        <w:t xml:space="preserve">inclusion of identifying </w:t>
      </w:r>
      <w:r w:rsidR="00A8279D">
        <w:rPr>
          <w:rFonts w:ascii="Calibri" w:eastAsia="Times New Roman" w:hAnsi="Calibri" w:cs="Calibri"/>
          <w:color w:val="000000"/>
          <w:sz w:val="21"/>
          <w:szCs w:val="21"/>
          <w:shd w:val="clear" w:color="auto" w:fill="FFFFFF"/>
          <w:lang w:val="en-GB" w:eastAsia="es-ES_tradnl"/>
        </w:rPr>
        <w:t xml:space="preserve">examples of </w:t>
      </w:r>
      <w:r w:rsidR="00A5336B" w:rsidRPr="00A5336B">
        <w:rPr>
          <w:rFonts w:ascii="Calibri" w:eastAsia="Times New Roman" w:hAnsi="Calibri" w:cs="Calibri"/>
          <w:color w:val="000000"/>
          <w:sz w:val="21"/>
          <w:szCs w:val="21"/>
          <w:shd w:val="clear" w:color="auto" w:fill="FFFFFF"/>
          <w:lang w:val="en-GB" w:eastAsia="es-ES_tradnl"/>
        </w:rPr>
        <w:t>certain groups of children that may be disproportionately affected as a result of environmental degradation and climate change</w:t>
      </w:r>
      <w:r>
        <w:rPr>
          <w:rFonts w:ascii="Calibri" w:eastAsia="Times New Roman" w:hAnsi="Calibri" w:cs="Calibri"/>
          <w:color w:val="000000"/>
          <w:sz w:val="21"/>
          <w:szCs w:val="21"/>
          <w:shd w:val="clear" w:color="auto" w:fill="FFFFFF"/>
          <w:lang w:val="en-GB" w:eastAsia="es-ES_tradnl"/>
        </w:rPr>
        <w:t xml:space="preserve"> is welcomed.</w:t>
      </w:r>
    </w:p>
    <w:p w14:paraId="682B1193" w14:textId="75020192" w:rsidR="009E4527" w:rsidRDefault="00CA45C0" w:rsidP="000B56A3">
      <w:pPr>
        <w:spacing w:line="276"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T</w:t>
      </w:r>
      <w:r w:rsidR="00753A5B">
        <w:rPr>
          <w:rFonts w:ascii="Calibri" w:eastAsia="Times New Roman" w:hAnsi="Calibri" w:cs="Calibri"/>
          <w:color w:val="000000"/>
          <w:sz w:val="21"/>
          <w:szCs w:val="21"/>
          <w:shd w:val="clear" w:color="auto" w:fill="FFFFFF"/>
          <w:lang w:val="en-GB" w:eastAsia="es-ES_tradnl"/>
        </w:rPr>
        <w:t>h</w:t>
      </w:r>
      <w:r>
        <w:rPr>
          <w:rFonts w:ascii="Calibri" w:eastAsia="Times New Roman" w:hAnsi="Calibri" w:cs="Calibri"/>
          <w:color w:val="000000"/>
          <w:sz w:val="21"/>
          <w:szCs w:val="21"/>
          <w:shd w:val="clear" w:color="auto" w:fill="FFFFFF"/>
          <w:lang w:val="en-GB" w:eastAsia="es-ES_tradnl"/>
        </w:rPr>
        <w:t>e Committee might wish to</w:t>
      </w:r>
      <w:r w:rsidR="000C22F3" w:rsidRPr="000C22F3">
        <w:rPr>
          <w:rFonts w:ascii="Calibri" w:eastAsia="Times New Roman" w:hAnsi="Calibri" w:cs="Calibri"/>
          <w:color w:val="000000"/>
          <w:sz w:val="21"/>
          <w:szCs w:val="21"/>
          <w:shd w:val="clear" w:color="auto" w:fill="FFFFFF"/>
          <w:lang w:val="en-GB" w:eastAsia="es-ES_tradnl"/>
        </w:rPr>
        <w:t xml:space="preserve"> include </w:t>
      </w:r>
      <w:r>
        <w:rPr>
          <w:rFonts w:ascii="Calibri" w:eastAsia="Times New Roman" w:hAnsi="Calibri" w:cs="Calibri"/>
          <w:color w:val="000000"/>
          <w:sz w:val="21"/>
          <w:szCs w:val="21"/>
          <w:shd w:val="clear" w:color="auto" w:fill="FFFFFF"/>
          <w:lang w:val="en-GB" w:eastAsia="es-ES_tradnl"/>
        </w:rPr>
        <w:t xml:space="preserve">a stronger </w:t>
      </w:r>
      <w:r w:rsidR="000C22F3" w:rsidRPr="000C22F3">
        <w:rPr>
          <w:rFonts w:ascii="Calibri" w:eastAsia="Times New Roman" w:hAnsi="Calibri" w:cs="Calibri"/>
          <w:color w:val="000000"/>
          <w:sz w:val="21"/>
          <w:szCs w:val="21"/>
          <w:shd w:val="clear" w:color="auto" w:fill="FFFFFF"/>
          <w:lang w:val="en-GB" w:eastAsia="es-ES_tradnl"/>
        </w:rPr>
        <w:t xml:space="preserve">emphasis on the intersectional forms of discrimination being a “vicious circle”. As is recognised by </w:t>
      </w:r>
      <w:hyperlink r:id="rId20" w:history="1">
        <w:r w:rsidR="000C22F3" w:rsidRPr="000C22F3">
          <w:rPr>
            <w:rStyle w:val="Hyperlink"/>
            <w:rFonts w:ascii="Calibri" w:eastAsia="Times New Roman" w:hAnsi="Calibri" w:cs="Calibri"/>
            <w:sz w:val="21"/>
            <w:szCs w:val="21"/>
            <w:shd w:val="clear" w:color="auto" w:fill="FFFFFF"/>
            <w:lang w:val="en-GB" w:eastAsia="es-ES_tradnl"/>
          </w:rPr>
          <w:t>Council of Europe Parliamentary Assembly Resolution 2400 (2021) “Combating inequalities in the right to a safe, healthy and clean environment”,</w:t>
        </w:r>
      </w:hyperlink>
      <w:r w:rsidR="000C22F3" w:rsidRPr="000C22F3">
        <w:rPr>
          <w:rFonts w:ascii="Calibri" w:eastAsia="Times New Roman" w:hAnsi="Calibri" w:cs="Calibri"/>
          <w:color w:val="000000"/>
          <w:sz w:val="21"/>
          <w:szCs w:val="21"/>
          <w:shd w:val="clear" w:color="auto" w:fill="FFFFFF"/>
          <w:lang w:val="en-GB" w:eastAsia="es-ES_tradnl"/>
        </w:rPr>
        <w:t xml:space="preserve"> children affected by inequalities in access to environmental rights are often caught in this vicious circle of multiple discrimination. Those already affected by racisms are harder hit by climate change, for instance, and the same goes for the poorest groups, as adaptation to climate change depends largely on household wealth. Disadvantaged groups of children are consequentially more exposed to the adverse effects of climate change, which in turn increases</w:t>
      </w:r>
      <w:r w:rsidR="000C22F3">
        <w:rPr>
          <w:rFonts w:ascii="Calibri" w:eastAsia="Times New Roman" w:hAnsi="Calibri" w:cs="Calibri"/>
          <w:color w:val="000000"/>
          <w:sz w:val="21"/>
          <w:szCs w:val="21"/>
          <w:shd w:val="clear" w:color="auto" w:fill="FFFFFF"/>
          <w:lang w:val="en-GB" w:eastAsia="es-ES_tradnl"/>
        </w:rPr>
        <w:t xml:space="preserve"> their</w:t>
      </w:r>
      <w:r w:rsidR="00A6278F">
        <w:rPr>
          <w:rFonts w:ascii="Calibri" w:eastAsia="Times New Roman" w:hAnsi="Calibri" w:cs="Calibri"/>
          <w:color w:val="000000"/>
          <w:sz w:val="21"/>
          <w:szCs w:val="21"/>
          <w:shd w:val="clear" w:color="auto" w:fill="FFFFFF"/>
          <w:lang w:val="en-GB" w:eastAsia="es-ES_tradnl"/>
        </w:rPr>
        <w:t xml:space="preserve"> situation of</w:t>
      </w:r>
      <w:r w:rsidR="000C22F3">
        <w:rPr>
          <w:rFonts w:ascii="Calibri" w:eastAsia="Times New Roman" w:hAnsi="Calibri" w:cs="Calibri"/>
          <w:color w:val="000000"/>
          <w:sz w:val="21"/>
          <w:szCs w:val="21"/>
          <w:shd w:val="clear" w:color="auto" w:fill="FFFFFF"/>
          <w:lang w:val="en-GB" w:eastAsia="es-ES_tradnl"/>
        </w:rPr>
        <w:t xml:space="preserve"> vulnerability to damage caused by natural hazards and lowers their capacity to cope and recover. </w:t>
      </w:r>
    </w:p>
    <w:p w14:paraId="5C1ED97E" w14:textId="77777777" w:rsidR="000C22F3" w:rsidRPr="00A5336B" w:rsidRDefault="000C22F3" w:rsidP="000B56A3">
      <w:pPr>
        <w:spacing w:line="276" w:lineRule="auto"/>
        <w:jc w:val="both"/>
        <w:rPr>
          <w:rFonts w:ascii="Calibri" w:eastAsia="Times New Roman" w:hAnsi="Calibri" w:cs="Calibri"/>
          <w:color w:val="000000"/>
          <w:sz w:val="21"/>
          <w:szCs w:val="21"/>
          <w:shd w:val="clear" w:color="auto" w:fill="FFFFFF"/>
          <w:lang w:val="en-GB" w:eastAsia="es-ES_tradnl"/>
        </w:rPr>
      </w:pPr>
    </w:p>
    <w:p w14:paraId="1C34D816" w14:textId="2315EA5A" w:rsidR="004C7B95" w:rsidRPr="00473396" w:rsidRDefault="004C7B95" w:rsidP="000B56A3">
      <w:pPr>
        <w:spacing w:line="276" w:lineRule="auto"/>
        <w:jc w:val="both"/>
        <w:rPr>
          <w:rFonts w:ascii="Calibri" w:eastAsia="Times New Roman" w:hAnsi="Calibri" w:cs="Calibri"/>
          <w:b/>
          <w:bCs/>
          <w:color w:val="000000"/>
          <w:sz w:val="21"/>
          <w:szCs w:val="21"/>
          <w:shd w:val="clear" w:color="auto" w:fill="FFFFFF"/>
          <w:lang w:val="en-GB" w:eastAsia="es-ES_tradnl"/>
        </w:rPr>
      </w:pPr>
      <w:r w:rsidRPr="00473396">
        <w:rPr>
          <w:rFonts w:ascii="Calibri" w:eastAsia="Times New Roman" w:hAnsi="Calibri" w:cs="Calibri"/>
          <w:b/>
          <w:bCs/>
          <w:color w:val="000000"/>
          <w:sz w:val="21"/>
          <w:szCs w:val="21"/>
          <w:shd w:val="clear" w:color="auto" w:fill="FFFFFF"/>
          <w:lang w:val="en-GB" w:eastAsia="es-ES_tradnl"/>
        </w:rPr>
        <w:t>H. The best interests of the child (Art. 3)</w:t>
      </w:r>
    </w:p>
    <w:p w14:paraId="1ACC4F9F" w14:textId="71B08F12" w:rsidR="00B6538D" w:rsidRPr="00473396" w:rsidRDefault="00CA45C0" w:rsidP="000B56A3">
      <w:pPr>
        <w:spacing w:line="276" w:lineRule="auto"/>
        <w:jc w:val="both"/>
        <w:rPr>
          <w:rFonts w:cstheme="minorHAnsi"/>
          <w:color w:val="161616"/>
          <w:sz w:val="21"/>
          <w:szCs w:val="21"/>
          <w:shd w:val="clear" w:color="auto" w:fill="FFFFFF"/>
          <w:lang w:val="en-GB"/>
        </w:rPr>
      </w:pPr>
      <w:r>
        <w:rPr>
          <w:rFonts w:cstheme="minorHAnsi"/>
          <w:color w:val="161616"/>
          <w:sz w:val="21"/>
          <w:szCs w:val="21"/>
          <w:shd w:val="clear" w:color="auto" w:fill="FFFFFF"/>
          <w:lang w:val="en-GB"/>
        </w:rPr>
        <w:t>It is furthermore welcomed that the</w:t>
      </w:r>
      <w:r w:rsidR="00473396" w:rsidRPr="00473396">
        <w:rPr>
          <w:rFonts w:cstheme="minorHAnsi"/>
          <w:color w:val="161616"/>
          <w:sz w:val="21"/>
          <w:szCs w:val="21"/>
          <w:shd w:val="clear" w:color="auto" w:fill="FFFFFF"/>
          <w:lang w:val="en-GB"/>
        </w:rPr>
        <w:t xml:space="preserve"> Committee </w:t>
      </w:r>
      <w:r>
        <w:rPr>
          <w:rFonts w:cstheme="minorHAnsi"/>
          <w:color w:val="161616"/>
          <w:sz w:val="21"/>
          <w:szCs w:val="21"/>
          <w:shd w:val="clear" w:color="auto" w:fill="FFFFFF"/>
          <w:lang w:val="en-GB"/>
        </w:rPr>
        <w:t>calls</w:t>
      </w:r>
      <w:r w:rsidR="00473396" w:rsidRPr="00473396">
        <w:rPr>
          <w:rFonts w:cstheme="minorHAnsi"/>
          <w:color w:val="161616"/>
          <w:sz w:val="21"/>
          <w:szCs w:val="21"/>
          <w:shd w:val="clear" w:color="auto" w:fill="FFFFFF"/>
          <w:lang w:val="en-GB"/>
        </w:rPr>
        <w:t xml:space="preserve"> </w:t>
      </w:r>
      <w:r w:rsidR="000B56A3">
        <w:rPr>
          <w:rFonts w:cstheme="minorHAnsi"/>
          <w:color w:val="161616"/>
          <w:sz w:val="21"/>
          <w:szCs w:val="21"/>
          <w:shd w:val="clear" w:color="auto" w:fill="FFFFFF"/>
          <w:lang w:val="en-GB"/>
        </w:rPr>
        <w:t xml:space="preserve">on </w:t>
      </w:r>
      <w:r w:rsidR="00473396" w:rsidRPr="00473396">
        <w:rPr>
          <w:rFonts w:cstheme="minorHAnsi"/>
          <w:color w:val="161616"/>
          <w:sz w:val="21"/>
          <w:szCs w:val="21"/>
          <w:shd w:val="clear" w:color="auto" w:fill="FFFFFF"/>
          <w:lang w:val="en-GB"/>
        </w:rPr>
        <w:t xml:space="preserve">member States to </w:t>
      </w:r>
      <w:r w:rsidR="00B6538D" w:rsidRPr="00473396">
        <w:rPr>
          <w:rFonts w:cstheme="minorHAnsi"/>
          <w:color w:val="161616"/>
          <w:sz w:val="21"/>
          <w:szCs w:val="21"/>
          <w:shd w:val="clear" w:color="auto" w:fill="FFFFFF"/>
          <w:lang w:val="en-GB"/>
        </w:rPr>
        <w:t>take immediate action in the face of the climate crisis, according to national capacities, in the interest of the rights of the child and of future generations, including by systematically assessing the impact of relevant legislation and policies on children and future generations in terms of the right to a safe, clean, healthy and sustainable environment</w:t>
      </w:r>
      <w:r w:rsidR="00473396" w:rsidRPr="00473396">
        <w:rPr>
          <w:rFonts w:cstheme="minorHAnsi"/>
          <w:color w:val="161616"/>
          <w:sz w:val="21"/>
          <w:szCs w:val="21"/>
          <w:shd w:val="clear" w:color="auto" w:fill="FFFFFF"/>
          <w:lang w:val="en-GB"/>
        </w:rPr>
        <w:t xml:space="preserve"> (see </w:t>
      </w:r>
      <w:hyperlink r:id="rId21" w:history="1">
        <w:r w:rsidR="00473396" w:rsidRPr="00473396">
          <w:rPr>
            <w:rStyle w:val="Hyperlink"/>
            <w:rFonts w:cstheme="minorHAnsi"/>
            <w:sz w:val="21"/>
            <w:szCs w:val="21"/>
            <w:shd w:val="clear" w:color="auto" w:fill="FFFFFF"/>
            <w:lang w:val="en-GB"/>
          </w:rPr>
          <w:t>Council of Europe Parliamentary Assembly Resolution 2415 (2022) “Inaction on climate change – a violation of children’s rights</w:t>
        </w:r>
      </w:hyperlink>
      <w:r w:rsidR="00473396" w:rsidRPr="00473396">
        <w:rPr>
          <w:rFonts w:cstheme="minorHAnsi"/>
          <w:color w:val="161616"/>
          <w:sz w:val="21"/>
          <w:szCs w:val="21"/>
          <w:shd w:val="clear" w:color="auto" w:fill="FFFFFF"/>
          <w:lang w:val="en-GB"/>
        </w:rPr>
        <w:t>”</w:t>
      </w:r>
      <w:r w:rsidR="00473396">
        <w:rPr>
          <w:rFonts w:cstheme="minorHAnsi"/>
          <w:color w:val="161616"/>
          <w:sz w:val="21"/>
          <w:szCs w:val="21"/>
          <w:shd w:val="clear" w:color="auto" w:fill="FFFFFF"/>
          <w:lang w:val="en-GB"/>
        </w:rPr>
        <w:t>)</w:t>
      </w:r>
      <w:r w:rsidR="00473396" w:rsidRPr="00473396">
        <w:rPr>
          <w:rFonts w:cstheme="minorHAnsi"/>
          <w:color w:val="161616"/>
          <w:sz w:val="21"/>
          <w:szCs w:val="21"/>
          <w:shd w:val="clear" w:color="auto" w:fill="FFFFFF"/>
          <w:lang w:val="en-GB"/>
        </w:rPr>
        <w:t>.</w:t>
      </w:r>
    </w:p>
    <w:p w14:paraId="17C0B004" w14:textId="77777777" w:rsidR="00473396" w:rsidRPr="007D1F2E" w:rsidRDefault="00473396" w:rsidP="000B56A3">
      <w:pPr>
        <w:spacing w:line="276" w:lineRule="auto"/>
        <w:jc w:val="both"/>
        <w:rPr>
          <w:rFonts w:cstheme="minorHAnsi"/>
          <w:color w:val="161616"/>
          <w:sz w:val="21"/>
          <w:szCs w:val="21"/>
          <w:shd w:val="clear" w:color="auto" w:fill="FFFFFF"/>
          <w:lang w:val="en-GB"/>
        </w:rPr>
      </w:pPr>
    </w:p>
    <w:p w14:paraId="4E4A943E" w14:textId="51A0DC12" w:rsidR="004C7B95" w:rsidRDefault="004C7B95" w:rsidP="000B56A3">
      <w:pPr>
        <w:spacing w:line="276" w:lineRule="auto"/>
        <w:jc w:val="both"/>
        <w:rPr>
          <w:rFonts w:ascii="Calibri" w:eastAsia="Times New Roman" w:hAnsi="Calibri" w:cs="Calibri"/>
          <w:b/>
          <w:bCs/>
          <w:color w:val="000000"/>
          <w:sz w:val="21"/>
          <w:szCs w:val="21"/>
          <w:shd w:val="clear" w:color="auto" w:fill="FFFFFF"/>
          <w:lang w:val="en-GB" w:eastAsia="es-ES_tradnl"/>
        </w:rPr>
      </w:pPr>
      <w:r w:rsidRPr="00A46853">
        <w:rPr>
          <w:rFonts w:ascii="Calibri" w:eastAsia="Times New Roman" w:hAnsi="Calibri" w:cs="Calibri"/>
          <w:b/>
          <w:bCs/>
          <w:color w:val="000000"/>
          <w:sz w:val="21"/>
          <w:szCs w:val="21"/>
          <w:shd w:val="clear" w:color="auto" w:fill="FFFFFF"/>
          <w:lang w:val="en-GB" w:eastAsia="es-ES_tradnl"/>
        </w:rPr>
        <w:t>I. The right of the child to be heard (Art. 12).</w:t>
      </w:r>
      <w:r>
        <w:rPr>
          <w:rFonts w:ascii="Calibri" w:eastAsia="Times New Roman" w:hAnsi="Calibri" w:cs="Calibri"/>
          <w:b/>
          <w:bCs/>
          <w:color w:val="000000"/>
          <w:sz w:val="21"/>
          <w:szCs w:val="21"/>
          <w:shd w:val="clear" w:color="auto" w:fill="FFFFFF"/>
          <w:lang w:val="en-GB" w:eastAsia="es-ES_tradnl"/>
        </w:rPr>
        <w:t xml:space="preserve"> </w:t>
      </w:r>
    </w:p>
    <w:p w14:paraId="07AD3BBD" w14:textId="31DE9980" w:rsidR="007807F1" w:rsidRDefault="0024348B" w:rsidP="000B56A3">
      <w:pPr>
        <w:spacing w:line="276"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When discussing the topic of environment-related matters and climate change, the involvement of children and youth organisations and other children and young people in the design of any new legally binding framework for environmental rights is necessary and prerequisite to conditions for success.</w:t>
      </w:r>
      <w:r w:rsidR="007807F1">
        <w:rPr>
          <w:rFonts w:ascii="Calibri" w:eastAsia="Times New Roman" w:hAnsi="Calibri" w:cs="Calibri"/>
          <w:color w:val="000000"/>
          <w:sz w:val="21"/>
          <w:szCs w:val="21"/>
          <w:shd w:val="clear" w:color="auto" w:fill="FFFFFF"/>
          <w:lang w:val="en-GB" w:eastAsia="es-ES_tradnl"/>
        </w:rPr>
        <w:t xml:space="preserve">  To this end, the fifth strategic objective of the Council of Europe Strategy for the Rights of the Child (2022-2027) highlights the importance of e</w:t>
      </w:r>
      <w:r w:rsidR="007807F1" w:rsidRPr="007807F1">
        <w:rPr>
          <w:rFonts w:ascii="Calibri" w:eastAsia="Times New Roman" w:hAnsi="Calibri" w:cs="Calibri"/>
          <w:color w:val="000000"/>
          <w:sz w:val="21"/>
          <w:szCs w:val="21"/>
          <w:shd w:val="clear" w:color="auto" w:fill="FFFFFF"/>
          <w:lang w:val="en-GB" w:eastAsia="es-ES_tradnl"/>
        </w:rPr>
        <w:t>mpowering children to access information and to participate in decisions related to the environment, at different levels of decision making, leading to the co-designing of environmental policies.</w:t>
      </w:r>
    </w:p>
    <w:p w14:paraId="04C491EA" w14:textId="3F460B2B" w:rsidR="007C0E8E" w:rsidRPr="007C0E8E" w:rsidRDefault="007C0E8E" w:rsidP="000B56A3">
      <w:pPr>
        <w:spacing w:line="276"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 xml:space="preserve">More generally, this has also been outlined in the </w:t>
      </w:r>
      <w:hyperlink r:id="rId22" w:history="1">
        <w:r w:rsidRPr="007C0E8E">
          <w:rPr>
            <w:rStyle w:val="Hyperlink"/>
            <w:rFonts w:ascii="Calibri" w:eastAsia="Times New Roman" w:hAnsi="Calibri" w:cs="Calibri"/>
            <w:sz w:val="21"/>
            <w:szCs w:val="21"/>
            <w:shd w:val="clear" w:color="auto" w:fill="FFFFFF"/>
            <w:lang w:val="en-GB" w:eastAsia="es-ES_tradnl"/>
          </w:rPr>
          <w:t>Recommendation 2218 (2022) “The right to be heard – Child participation: a foundation for democratic societies”</w:t>
        </w:r>
      </w:hyperlink>
      <w:r>
        <w:rPr>
          <w:rFonts w:ascii="Calibri" w:eastAsia="Times New Roman" w:hAnsi="Calibri" w:cs="Calibri"/>
          <w:color w:val="000000"/>
          <w:sz w:val="21"/>
          <w:szCs w:val="21"/>
          <w:shd w:val="clear" w:color="auto" w:fill="FFFFFF"/>
          <w:lang w:val="en-GB" w:eastAsia="es-ES_tradnl"/>
        </w:rPr>
        <w:t xml:space="preserve">, where the Parliamentary </w:t>
      </w:r>
      <w:r w:rsidRPr="007C0E8E">
        <w:rPr>
          <w:rFonts w:ascii="Calibri" w:eastAsia="Times New Roman" w:hAnsi="Calibri" w:cs="Calibri"/>
          <w:color w:val="000000"/>
          <w:sz w:val="21"/>
          <w:szCs w:val="21"/>
          <w:shd w:val="clear" w:color="auto" w:fill="FFFFFF"/>
          <w:lang w:val="en-GB" w:eastAsia="es-ES_tradnl"/>
        </w:rPr>
        <w:t xml:space="preserve">Assembly </w:t>
      </w:r>
      <w:r w:rsidR="00CA45C0">
        <w:rPr>
          <w:rFonts w:ascii="Calibri" w:eastAsia="Times New Roman" w:hAnsi="Calibri" w:cs="Calibri"/>
          <w:color w:val="000000"/>
          <w:sz w:val="21"/>
          <w:szCs w:val="21"/>
          <w:shd w:val="clear" w:color="auto" w:fill="FFFFFF"/>
          <w:lang w:val="en-GB" w:eastAsia="es-ES_tradnl"/>
        </w:rPr>
        <w:t xml:space="preserve">underlined </w:t>
      </w:r>
      <w:r w:rsidRPr="007C0E8E">
        <w:rPr>
          <w:rFonts w:ascii="Calibri" w:eastAsia="Times New Roman" w:hAnsi="Calibri" w:cs="Calibri"/>
          <w:color w:val="000000"/>
          <w:sz w:val="21"/>
          <w:szCs w:val="21"/>
          <w:shd w:val="clear" w:color="auto" w:fill="FFFFFF"/>
          <w:lang w:val="en-GB" w:eastAsia="es-ES_tradnl"/>
        </w:rPr>
        <w:t xml:space="preserve"> that considering children’s views on any decisions affecting their lives is an essential precondition for building democratic societies. </w:t>
      </w:r>
    </w:p>
    <w:p w14:paraId="232774DC" w14:textId="26BC2F34" w:rsidR="00E36AF1" w:rsidRPr="00A46853" w:rsidRDefault="0024348B" w:rsidP="000B56A3">
      <w:pPr>
        <w:spacing w:line="276" w:lineRule="auto"/>
        <w:jc w:val="both"/>
        <w:rPr>
          <w:rFonts w:ascii="Calibri" w:eastAsia="Times New Roman" w:hAnsi="Calibri" w:cs="Calibri"/>
          <w:b/>
          <w:bCs/>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 xml:space="preserve"> It is undeniable that children and young people are acutely more aware of the state in which previous generations are leaving the planet</w:t>
      </w:r>
      <w:r w:rsidR="000B56A3">
        <w:rPr>
          <w:rFonts w:ascii="Calibri" w:eastAsia="Times New Roman" w:hAnsi="Calibri" w:cs="Calibri"/>
          <w:color w:val="000000"/>
          <w:sz w:val="21"/>
          <w:szCs w:val="21"/>
          <w:shd w:val="clear" w:color="auto" w:fill="FFFFFF"/>
          <w:lang w:val="en-GB" w:eastAsia="es-ES_tradnl"/>
        </w:rPr>
        <w:t xml:space="preserve">; </w:t>
      </w:r>
      <w:r>
        <w:rPr>
          <w:rFonts w:ascii="Calibri" w:eastAsia="Times New Roman" w:hAnsi="Calibri" w:cs="Calibri"/>
          <w:color w:val="000000"/>
          <w:sz w:val="21"/>
          <w:szCs w:val="21"/>
          <w:shd w:val="clear" w:color="auto" w:fill="FFFFFF"/>
          <w:lang w:val="en-GB" w:eastAsia="es-ES_tradnl"/>
        </w:rPr>
        <w:t xml:space="preserve">are </w:t>
      </w:r>
      <w:proofErr w:type="gramStart"/>
      <w:r>
        <w:rPr>
          <w:rFonts w:ascii="Calibri" w:eastAsia="Times New Roman" w:hAnsi="Calibri" w:cs="Calibri"/>
          <w:color w:val="000000"/>
          <w:sz w:val="21"/>
          <w:szCs w:val="21"/>
          <w:shd w:val="clear" w:color="auto" w:fill="FFFFFF"/>
          <w:lang w:val="en-GB" w:eastAsia="es-ES_tradnl"/>
        </w:rPr>
        <w:t>on the whole</w:t>
      </w:r>
      <w:proofErr w:type="gramEnd"/>
      <w:r>
        <w:rPr>
          <w:rFonts w:ascii="Calibri" w:eastAsia="Times New Roman" w:hAnsi="Calibri" w:cs="Calibri"/>
          <w:color w:val="000000"/>
          <w:sz w:val="21"/>
          <w:szCs w:val="21"/>
          <w:shd w:val="clear" w:color="auto" w:fill="FFFFFF"/>
          <w:lang w:val="en-GB" w:eastAsia="es-ES_tradnl"/>
        </w:rPr>
        <w:t xml:space="preserve"> more respectful of the need to end wasteful and damaging practices</w:t>
      </w:r>
      <w:r w:rsidR="000B56A3">
        <w:rPr>
          <w:rFonts w:ascii="Calibri" w:eastAsia="Times New Roman" w:hAnsi="Calibri" w:cs="Calibri"/>
          <w:color w:val="000000"/>
          <w:sz w:val="21"/>
          <w:szCs w:val="21"/>
          <w:shd w:val="clear" w:color="auto" w:fill="FFFFFF"/>
          <w:lang w:val="en-GB" w:eastAsia="es-ES_tradnl"/>
        </w:rPr>
        <w:t xml:space="preserve">; </w:t>
      </w:r>
      <w:r>
        <w:rPr>
          <w:rFonts w:ascii="Calibri" w:eastAsia="Times New Roman" w:hAnsi="Calibri" w:cs="Calibri"/>
          <w:color w:val="000000"/>
          <w:sz w:val="21"/>
          <w:szCs w:val="21"/>
          <w:shd w:val="clear" w:color="auto" w:fill="FFFFFF"/>
          <w:lang w:val="en-GB" w:eastAsia="es-ES_tradnl"/>
        </w:rPr>
        <w:t>and have shown their power to exert pressure on governments and decision makers.</w:t>
      </w:r>
      <w:r w:rsidR="00A46853">
        <w:rPr>
          <w:rFonts w:ascii="Calibri" w:eastAsia="Times New Roman" w:hAnsi="Calibri" w:cs="Calibri"/>
          <w:color w:val="000000"/>
          <w:sz w:val="21"/>
          <w:szCs w:val="21"/>
          <w:shd w:val="clear" w:color="auto" w:fill="FFFFFF"/>
          <w:lang w:val="en-GB" w:eastAsia="es-ES_tradnl"/>
        </w:rPr>
        <w:t xml:space="preserve"> </w:t>
      </w:r>
      <w:r w:rsidR="00CA45C0">
        <w:rPr>
          <w:rFonts w:ascii="Calibri" w:eastAsia="Times New Roman" w:hAnsi="Calibri" w:cs="Calibri"/>
          <w:color w:val="000000"/>
          <w:sz w:val="21"/>
          <w:szCs w:val="21"/>
          <w:shd w:val="clear" w:color="auto" w:fill="FFFFFF"/>
          <w:lang w:val="en-GB" w:eastAsia="es-ES_tradnl"/>
        </w:rPr>
        <w:t>It should be added</w:t>
      </w:r>
      <w:r w:rsidR="00A46853">
        <w:rPr>
          <w:rFonts w:ascii="Calibri" w:eastAsia="Times New Roman" w:hAnsi="Calibri" w:cs="Calibri"/>
          <w:color w:val="000000"/>
          <w:sz w:val="21"/>
          <w:szCs w:val="21"/>
          <w:shd w:val="clear" w:color="auto" w:fill="FFFFFF"/>
          <w:lang w:val="en-GB" w:eastAsia="es-ES_tradnl"/>
        </w:rPr>
        <w:t xml:space="preserve"> that</w:t>
      </w:r>
      <w:r>
        <w:rPr>
          <w:rFonts w:ascii="Calibri" w:eastAsia="Times New Roman" w:hAnsi="Calibri" w:cs="Calibri"/>
          <w:color w:val="000000"/>
          <w:sz w:val="21"/>
          <w:szCs w:val="21"/>
          <w:shd w:val="clear" w:color="auto" w:fill="FFFFFF"/>
          <w:lang w:val="en-GB" w:eastAsia="es-ES_tradnl"/>
        </w:rPr>
        <w:t xml:space="preserve"> States should actively</w:t>
      </w:r>
      <w:r w:rsidR="00CA45C0">
        <w:rPr>
          <w:rFonts w:ascii="Calibri" w:eastAsia="Times New Roman" w:hAnsi="Calibri" w:cs="Calibri"/>
          <w:color w:val="000000"/>
          <w:sz w:val="21"/>
          <w:szCs w:val="21"/>
          <w:shd w:val="clear" w:color="auto" w:fill="FFFFFF"/>
          <w:lang w:val="en-GB" w:eastAsia="es-ES_tradnl"/>
        </w:rPr>
        <w:t xml:space="preserve"> consider </w:t>
      </w:r>
      <w:proofErr w:type="gramStart"/>
      <w:r w:rsidR="00CA45C0">
        <w:rPr>
          <w:rFonts w:ascii="Calibri" w:eastAsia="Times New Roman" w:hAnsi="Calibri" w:cs="Calibri"/>
          <w:color w:val="000000"/>
          <w:sz w:val="21"/>
          <w:szCs w:val="21"/>
          <w:shd w:val="clear" w:color="auto" w:fill="FFFFFF"/>
          <w:lang w:val="en-GB" w:eastAsia="es-ES_tradnl"/>
        </w:rPr>
        <w:t>to</w:t>
      </w:r>
      <w:r>
        <w:rPr>
          <w:rFonts w:ascii="Calibri" w:eastAsia="Times New Roman" w:hAnsi="Calibri" w:cs="Calibri"/>
          <w:color w:val="000000"/>
          <w:sz w:val="21"/>
          <w:szCs w:val="21"/>
          <w:shd w:val="clear" w:color="auto" w:fill="FFFFFF"/>
          <w:lang w:val="en-GB" w:eastAsia="es-ES_tradnl"/>
        </w:rPr>
        <w:t xml:space="preserve"> seek</w:t>
      </w:r>
      <w:proofErr w:type="gramEnd"/>
      <w:r>
        <w:rPr>
          <w:rFonts w:ascii="Calibri" w:eastAsia="Times New Roman" w:hAnsi="Calibri" w:cs="Calibri"/>
          <w:color w:val="000000"/>
          <w:sz w:val="21"/>
          <w:szCs w:val="21"/>
          <w:shd w:val="clear" w:color="auto" w:fill="FFFFFF"/>
          <w:lang w:val="en-GB" w:eastAsia="es-ES_tradnl"/>
        </w:rPr>
        <w:t xml:space="preserve"> to include youth representatives more systematically in their legislative and policy decision-making processes, and to do so may req</w:t>
      </w:r>
      <w:r w:rsidR="00A46853">
        <w:rPr>
          <w:rFonts w:ascii="Calibri" w:eastAsia="Times New Roman" w:hAnsi="Calibri" w:cs="Calibri"/>
          <w:color w:val="000000"/>
          <w:sz w:val="21"/>
          <w:szCs w:val="21"/>
          <w:shd w:val="clear" w:color="auto" w:fill="FFFFFF"/>
          <w:lang w:val="en-GB" w:eastAsia="es-ES_tradnl"/>
        </w:rPr>
        <w:t>uire states preparedness to reform national decision-making processes to involve children’s participatio</w:t>
      </w:r>
      <w:r w:rsidR="00A46853" w:rsidRPr="00A46853">
        <w:rPr>
          <w:rFonts w:ascii="Calibri" w:eastAsia="Times New Roman" w:hAnsi="Calibri" w:cs="Calibri"/>
          <w:color w:val="000000"/>
          <w:sz w:val="21"/>
          <w:szCs w:val="21"/>
          <w:shd w:val="clear" w:color="auto" w:fill="FFFFFF"/>
          <w:lang w:val="en-GB" w:eastAsia="es-ES_tradnl"/>
        </w:rPr>
        <w:t xml:space="preserve">n. States </w:t>
      </w:r>
      <w:r w:rsidR="00A46853" w:rsidRPr="00A46853">
        <w:rPr>
          <w:rFonts w:ascii="Calibri" w:eastAsia="Times New Roman" w:hAnsi="Calibri" w:cs="Calibri"/>
          <w:color w:val="000000"/>
          <w:sz w:val="21"/>
          <w:szCs w:val="21"/>
          <w:shd w:val="clear" w:color="auto" w:fill="FFFFFF"/>
          <w:lang w:val="en-GB" w:eastAsia="es-ES_tradnl"/>
        </w:rPr>
        <w:lastRenderedPageBreak/>
        <w:t>should seek to include c</w:t>
      </w:r>
      <w:r w:rsidR="00B6538D" w:rsidRPr="00A46853">
        <w:rPr>
          <w:rFonts w:ascii="Calibri" w:eastAsia="Times New Roman" w:hAnsi="Calibri" w:cs="Calibri"/>
          <w:color w:val="000000"/>
          <w:sz w:val="21"/>
          <w:szCs w:val="21"/>
          <w:shd w:val="clear" w:color="auto" w:fill="FFFFFF"/>
          <w:lang w:val="en-GB" w:eastAsia="es-ES_tradnl"/>
        </w:rPr>
        <w:t xml:space="preserve">hild participation and consultation mechanisms or to set up new ones, as appropriate, </w:t>
      </w:r>
      <w:proofErr w:type="gramStart"/>
      <w:r w:rsidR="00B6538D" w:rsidRPr="00A46853">
        <w:rPr>
          <w:rFonts w:ascii="Calibri" w:eastAsia="Times New Roman" w:hAnsi="Calibri" w:cs="Calibri"/>
          <w:color w:val="000000"/>
          <w:sz w:val="21"/>
          <w:szCs w:val="21"/>
          <w:shd w:val="clear" w:color="auto" w:fill="FFFFFF"/>
          <w:lang w:val="en-GB" w:eastAsia="es-ES_tradnl"/>
        </w:rPr>
        <w:t>in order to</w:t>
      </w:r>
      <w:proofErr w:type="gramEnd"/>
      <w:r w:rsidR="00B6538D" w:rsidRPr="00A46853">
        <w:rPr>
          <w:rFonts w:ascii="Calibri" w:eastAsia="Times New Roman" w:hAnsi="Calibri" w:cs="Calibri"/>
          <w:color w:val="000000"/>
          <w:sz w:val="21"/>
          <w:szCs w:val="21"/>
          <w:shd w:val="clear" w:color="auto" w:fill="FFFFFF"/>
          <w:lang w:val="en-GB" w:eastAsia="es-ES_tradnl"/>
        </w:rPr>
        <w:t xml:space="preserve"> ensure that children can contribute meaningfully to the drafting of policies and legislation so as to mainstream climate change action throughout various sectors.</w:t>
      </w:r>
      <w:r w:rsidR="00B6538D" w:rsidRPr="00A46853">
        <w:rPr>
          <w:rFonts w:ascii="Calibri" w:eastAsia="Times New Roman" w:hAnsi="Calibri" w:cs="Calibri"/>
          <w:b/>
          <w:bCs/>
          <w:color w:val="000000"/>
          <w:sz w:val="21"/>
          <w:szCs w:val="21"/>
          <w:shd w:val="clear" w:color="auto" w:fill="FFFFFF"/>
          <w:lang w:val="en-GB" w:eastAsia="es-ES_tradnl"/>
        </w:rPr>
        <w:t xml:space="preserve"> </w:t>
      </w:r>
    </w:p>
    <w:p w14:paraId="5D4D9595" w14:textId="4ADFD5F6" w:rsidR="00A46853" w:rsidRDefault="00A46853" w:rsidP="000B56A3">
      <w:pPr>
        <w:spacing w:line="276" w:lineRule="auto"/>
        <w:jc w:val="both"/>
        <w:rPr>
          <w:rFonts w:ascii="Calibri" w:hAnsi="Calibri" w:cs="Calibri"/>
          <w:sz w:val="21"/>
          <w:szCs w:val="21"/>
          <w:lang w:val="en-GB"/>
        </w:rPr>
      </w:pPr>
      <w:r w:rsidRPr="00A46853">
        <w:rPr>
          <w:rFonts w:ascii="Calibri" w:eastAsia="Times New Roman" w:hAnsi="Calibri" w:cs="Calibri"/>
          <w:color w:val="000000"/>
          <w:sz w:val="21"/>
          <w:szCs w:val="21"/>
          <w:shd w:val="clear" w:color="auto" w:fill="FFFFFF"/>
          <w:lang w:val="en-GB" w:eastAsia="es-ES_tradnl"/>
        </w:rPr>
        <w:t>The Council of Europe has also developed</w:t>
      </w:r>
      <w:r w:rsidRPr="00A46853">
        <w:rPr>
          <w:rFonts w:ascii="Calibri" w:hAnsi="Calibri" w:cs="Calibri"/>
          <w:sz w:val="21"/>
          <w:szCs w:val="21"/>
          <w:lang w:val="en-GB"/>
        </w:rPr>
        <w:t xml:space="preserve"> </w:t>
      </w:r>
      <w:r w:rsidR="00000000">
        <w:fldChar w:fldCharType="begin"/>
      </w:r>
      <w:r w:rsidR="00000000" w:rsidRPr="000E7CCF">
        <w:rPr>
          <w:lang w:val="en-US"/>
        </w:rPr>
        <w:instrText xml:space="preserve"> HYPERLINK "https://rm.coe.int/CoERMPublicCommonSearchServices/DisplayDCTMContent?documentId=09000016806482d9" </w:instrText>
      </w:r>
      <w:r w:rsidR="00000000">
        <w:fldChar w:fldCharType="separate"/>
      </w:r>
      <w:r w:rsidR="00D13234" w:rsidRPr="00D13234">
        <w:rPr>
          <w:rFonts w:eastAsia="Times New Roman"/>
          <w:color w:val="000000"/>
          <w:shd w:val="clear" w:color="auto" w:fill="FFFFFF"/>
          <w:lang w:val="en-US" w:eastAsia="es-ES_tradnl"/>
        </w:rPr>
        <w:t>a</w:t>
      </w:r>
      <w:r w:rsidR="00D13234" w:rsidRPr="00D13234">
        <w:rPr>
          <w:rStyle w:val="Hyperlink"/>
          <w:rFonts w:ascii="Calibri" w:hAnsi="Calibri" w:cs="Calibri"/>
          <w:sz w:val="21"/>
          <w:szCs w:val="21"/>
          <w:u w:val="none"/>
          <w:lang w:val="en-GB"/>
        </w:rPr>
        <w:t xml:space="preserve"> </w:t>
      </w:r>
      <w:r w:rsidRPr="00A46853">
        <w:rPr>
          <w:rStyle w:val="Hyperlink"/>
          <w:rFonts w:ascii="Calibri" w:hAnsi="Calibri" w:cs="Calibri"/>
          <w:sz w:val="21"/>
          <w:szCs w:val="21"/>
          <w:lang w:val="en-GB"/>
        </w:rPr>
        <w:t>Child Participation Assessment Tool</w:t>
      </w:r>
      <w:r w:rsidR="00000000">
        <w:rPr>
          <w:rStyle w:val="Hyperlink"/>
          <w:rFonts w:ascii="Calibri" w:hAnsi="Calibri" w:cs="Calibri"/>
          <w:sz w:val="21"/>
          <w:szCs w:val="21"/>
          <w:lang w:val="en-GB"/>
        </w:rPr>
        <w:fldChar w:fldCharType="end"/>
      </w:r>
      <w:r w:rsidRPr="00A46853">
        <w:rPr>
          <w:rFonts w:ascii="Calibri" w:hAnsi="Calibri" w:cs="Calibri"/>
          <w:sz w:val="21"/>
          <w:szCs w:val="21"/>
          <w:lang w:val="en-GB"/>
        </w:rPr>
        <w:t xml:space="preserve"> </w:t>
      </w:r>
      <w:r>
        <w:rPr>
          <w:rFonts w:ascii="Calibri" w:hAnsi="Calibri" w:cs="Calibri"/>
          <w:sz w:val="21"/>
          <w:szCs w:val="21"/>
          <w:lang w:val="en-GB"/>
        </w:rPr>
        <w:t>which could be utilised by states seeking</w:t>
      </w:r>
      <w:r w:rsidR="000C22F3">
        <w:rPr>
          <w:rFonts w:ascii="Calibri" w:hAnsi="Calibri" w:cs="Calibri"/>
          <w:sz w:val="21"/>
          <w:szCs w:val="21"/>
          <w:lang w:val="en-GB"/>
        </w:rPr>
        <w:t xml:space="preserve"> to</w:t>
      </w:r>
      <w:r>
        <w:rPr>
          <w:rFonts w:ascii="Calibri" w:hAnsi="Calibri" w:cs="Calibri"/>
          <w:sz w:val="21"/>
          <w:szCs w:val="21"/>
          <w:lang w:val="en-GB"/>
        </w:rPr>
        <w:t xml:space="preserve"> adopt child participation measures. The assessment tool p</w:t>
      </w:r>
      <w:r w:rsidRPr="00A46853">
        <w:rPr>
          <w:rFonts w:ascii="Calibri" w:hAnsi="Calibri" w:cs="Calibri"/>
          <w:sz w:val="21"/>
          <w:szCs w:val="21"/>
          <w:lang w:val="en-GB"/>
        </w:rPr>
        <w:t xml:space="preserve">rovides 10 specific and measurable indicators for measuring the national progress in implementing </w:t>
      </w:r>
      <w:hyperlink r:id="rId23" w:history="1">
        <w:r w:rsidRPr="00A46853">
          <w:rPr>
            <w:rStyle w:val="Hyperlink"/>
            <w:rFonts w:ascii="Calibri" w:hAnsi="Calibri" w:cs="Calibri"/>
            <w:sz w:val="21"/>
            <w:szCs w:val="21"/>
            <w:lang w:val="en-GB"/>
          </w:rPr>
          <w:t>Recommendation CM/</w:t>
        </w:r>
        <w:proofErr w:type="gramStart"/>
        <w:r w:rsidRPr="00A46853">
          <w:rPr>
            <w:rStyle w:val="Hyperlink"/>
            <w:rFonts w:ascii="Calibri" w:hAnsi="Calibri" w:cs="Calibri"/>
            <w:sz w:val="21"/>
            <w:szCs w:val="21"/>
            <w:lang w:val="en-GB"/>
          </w:rPr>
          <w:t>Rec(</w:t>
        </w:r>
        <w:proofErr w:type="gramEnd"/>
        <w:r w:rsidRPr="00A46853">
          <w:rPr>
            <w:rStyle w:val="Hyperlink"/>
            <w:rFonts w:ascii="Calibri" w:hAnsi="Calibri" w:cs="Calibri"/>
            <w:sz w:val="21"/>
            <w:szCs w:val="21"/>
            <w:lang w:val="en-GB"/>
          </w:rPr>
          <w:t>2012)2 on participation of children and young people under the age of 18</w:t>
        </w:r>
      </w:hyperlink>
      <w:r w:rsidRPr="00A46853">
        <w:rPr>
          <w:rFonts w:ascii="Calibri" w:hAnsi="Calibri" w:cs="Calibri"/>
          <w:sz w:val="21"/>
          <w:szCs w:val="21"/>
          <w:lang w:val="en-GB"/>
        </w:rPr>
        <w:t xml:space="preserve">, and Article 12 </w:t>
      </w:r>
      <w:r w:rsidR="000B56A3">
        <w:rPr>
          <w:rFonts w:ascii="Calibri" w:hAnsi="Calibri" w:cs="Calibri"/>
          <w:sz w:val="21"/>
          <w:szCs w:val="21"/>
          <w:lang w:val="en-GB"/>
        </w:rPr>
        <w:t xml:space="preserve">of the </w:t>
      </w:r>
      <w:r w:rsidRPr="00A46853">
        <w:rPr>
          <w:rFonts w:ascii="Calibri" w:hAnsi="Calibri" w:cs="Calibri"/>
          <w:sz w:val="21"/>
          <w:szCs w:val="21"/>
          <w:lang w:val="en-GB"/>
        </w:rPr>
        <w:t xml:space="preserve">UNCRC. These indicators are split into three cross-cutting groups of protecting the right to participate, promoting awareness and creating spaces for participation, and can be applied to policy and decision-making on matters </w:t>
      </w:r>
      <w:r>
        <w:rPr>
          <w:rFonts w:ascii="Calibri" w:hAnsi="Calibri" w:cs="Calibri"/>
          <w:sz w:val="21"/>
          <w:szCs w:val="21"/>
          <w:lang w:val="en-GB"/>
        </w:rPr>
        <w:t>concerning children’s rights in the context of environmental and climate change laws, policies and measures</w:t>
      </w:r>
      <w:r w:rsidRPr="00A46853">
        <w:rPr>
          <w:rFonts w:ascii="Calibri" w:hAnsi="Calibri" w:cs="Calibri"/>
          <w:sz w:val="21"/>
          <w:szCs w:val="21"/>
          <w:lang w:val="en-GB"/>
        </w:rPr>
        <w:t xml:space="preserve"> (see also the </w:t>
      </w:r>
      <w:hyperlink r:id="rId24" w:history="1">
        <w:r w:rsidRPr="00A46853">
          <w:rPr>
            <w:rStyle w:val="Hyperlink"/>
            <w:rFonts w:ascii="Calibri" w:hAnsi="Calibri" w:cs="Calibri"/>
            <w:i/>
            <w:sz w:val="21"/>
            <w:szCs w:val="21"/>
            <w:lang w:val="en-GB"/>
          </w:rPr>
          <w:t>Implementation Guide</w:t>
        </w:r>
      </w:hyperlink>
      <w:r w:rsidRPr="00A46853">
        <w:rPr>
          <w:rFonts w:ascii="Calibri" w:hAnsi="Calibri" w:cs="Calibri"/>
          <w:sz w:val="21"/>
          <w:szCs w:val="21"/>
          <w:lang w:val="en-GB"/>
        </w:rPr>
        <w:t>).</w:t>
      </w:r>
    </w:p>
    <w:p w14:paraId="0794AF45" w14:textId="77777777" w:rsidR="000B56A3" w:rsidRDefault="000B56A3" w:rsidP="000B56A3">
      <w:pPr>
        <w:spacing w:line="276" w:lineRule="auto"/>
        <w:jc w:val="both"/>
        <w:rPr>
          <w:rFonts w:ascii="Calibri" w:eastAsia="Times New Roman" w:hAnsi="Calibri" w:cs="Calibri"/>
          <w:b/>
          <w:bCs/>
          <w:color w:val="000000"/>
          <w:sz w:val="21"/>
          <w:szCs w:val="21"/>
          <w:shd w:val="clear" w:color="auto" w:fill="FFFFFF"/>
          <w:lang w:val="en-GB" w:eastAsia="es-ES_tradnl"/>
        </w:rPr>
      </w:pPr>
    </w:p>
    <w:p w14:paraId="32CFF6F4" w14:textId="6F949703" w:rsidR="0024348B" w:rsidRDefault="0024348B" w:rsidP="000B56A3">
      <w:pPr>
        <w:spacing w:line="276" w:lineRule="auto"/>
        <w:jc w:val="both"/>
        <w:rPr>
          <w:rFonts w:ascii="Calibri" w:eastAsia="Times New Roman" w:hAnsi="Calibri" w:cs="Calibri"/>
          <w:b/>
          <w:bCs/>
          <w:color w:val="000000"/>
          <w:sz w:val="21"/>
          <w:szCs w:val="21"/>
          <w:shd w:val="clear" w:color="auto" w:fill="FFFFFF"/>
          <w:lang w:val="en-GB" w:eastAsia="es-ES_tradnl"/>
        </w:rPr>
      </w:pPr>
      <w:r>
        <w:rPr>
          <w:rFonts w:ascii="Calibri" w:eastAsia="Times New Roman" w:hAnsi="Calibri" w:cs="Calibri"/>
          <w:b/>
          <w:bCs/>
          <w:color w:val="000000"/>
          <w:sz w:val="21"/>
          <w:szCs w:val="21"/>
          <w:shd w:val="clear" w:color="auto" w:fill="FFFFFF"/>
          <w:lang w:val="en-GB" w:eastAsia="es-ES_tradnl"/>
        </w:rPr>
        <w:t>J. Freedom of expression, association and peaceful assembly (</w:t>
      </w:r>
      <w:r w:rsidR="000B56A3">
        <w:rPr>
          <w:rFonts w:ascii="Calibri" w:eastAsia="Times New Roman" w:hAnsi="Calibri" w:cs="Calibri"/>
          <w:b/>
          <w:bCs/>
          <w:color w:val="000000"/>
          <w:sz w:val="21"/>
          <w:szCs w:val="21"/>
          <w:shd w:val="clear" w:color="auto" w:fill="FFFFFF"/>
          <w:lang w:val="en-GB" w:eastAsia="es-ES_tradnl"/>
        </w:rPr>
        <w:t>A</w:t>
      </w:r>
      <w:r>
        <w:rPr>
          <w:rFonts w:ascii="Calibri" w:eastAsia="Times New Roman" w:hAnsi="Calibri" w:cs="Calibri"/>
          <w:b/>
          <w:bCs/>
          <w:color w:val="000000"/>
          <w:sz w:val="21"/>
          <w:szCs w:val="21"/>
          <w:shd w:val="clear" w:color="auto" w:fill="FFFFFF"/>
          <w:lang w:val="en-GB" w:eastAsia="es-ES_tradnl"/>
        </w:rPr>
        <w:t xml:space="preserve">rts. 13 and 15) </w:t>
      </w:r>
    </w:p>
    <w:p w14:paraId="2E195DEC" w14:textId="08794160" w:rsidR="007807F1" w:rsidRDefault="00CA45C0" w:rsidP="000B56A3">
      <w:pPr>
        <w:spacing w:line="276"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The Committee’s emphasis on</w:t>
      </w:r>
      <w:r w:rsidR="0024348B">
        <w:rPr>
          <w:rFonts w:ascii="Calibri" w:eastAsia="Times New Roman" w:hAnsi="Calibri" w:cs="Calibri"/>
          <w:color w:val="000000"/>
          <w:sz w:val="21"/>
          <w:szCs w:val="21"/>
          <w:shd w:val="clear" w:color="auto" w:fill="FFFFFF"/>
          <w:lang w:val="en-GB" w:eastAsia="es-ES_tradnl"/>
        </w:rPr>
        <w:t xml:space="preserve"> children’s rights to freedom of expression, association and peaceful assembly should not be subjected to restrictions other than those that are lawful, </w:t>
      </w:r>
      <w:r w:rsidR="00F95277">
        <w:rPr>
          <w:rFonts w:ascii="Calibri" w:eastAsia="Times New Roman" w:hAnsi="Calibri" w:cs="Calibri"/>
          <w:color w:val="000000"/>
          <w:sz w:val="21"/>
          <w:szCs w:val="21"/>
          <w:shd w:val="clear" w:color="auto" w:fill="FFFFFF"/>
          <w:lang w:val="en-GB" w:eastAsia="es-ES_tradnl"/>
        </w:rPr>
        <w:t>necessary,</w:t>
      </w:r>
      <w:r w:rsidR="0024348B">
        <w:rPr>
          <w:rFonts w:ascii="Calibri" w:eastAsia="Times New Roman" w:hAnsi="Calibri" w:cs="Calibri"/>
          <w:color w:val="000000"/>
          <w:sz w:val="21"/>
          <w:szCs w:val="21"/>
          <w:shd w:val="clear" w:color="auto" w:fill="FFFFFF"/>
          <w:lang w:val="en-GB" w:eastAsia="es-ES_tradnl"/>
        </w:rPr>
        <w:t xml:space="preserve"> and proportionate</w:t>
      </w:r>
      <w:r>
        <w:rPr>
          <w:rFonts w:ascii="Calibri" w:eastAsia="Times New Roman" w:hAnsi="Calibri" w:cs="Calibri"/>
          <w:color w:val="000000"/>
          <w:sz w:val="21"/>
          <w:szCs w:val="21"/>
          <w:shd w:val="clear" w:color="auto" w:fill="FFFFFF"/>
          <w:lang w:val="en-GB" w:eastAsia="es-ES_tradnl"/>
        </w:rPr>
        <w:t xml:space="preserve"> is welcomed</w:t>
      </w:r>
      <w:r w:rsidR="0024348B">
        <w:rPr>
          <w:rFonts w:ascii="Calibri" w:eastAsia="Times New Roman" w:hAnsi="Calibri" w:cs="Calibri"/>
          <w:color w:val="000000"/>
          <w:sz w:val="21"/>
          <w:szCs w:val="21"/>
          <w:shd w:val="clear" w:color="auto" w:fill="FFFFFF"/>
          <w:lang w:val="en-GB" w:eastAsia="es-ES_tradnl"/>
        </w:rPr>
        <w:t xml:space="preserve">. </w:t>
      </w:r>
      <w:r w:rsidR="007807F1">
        <w:rPr>
          <w:rFonts w:ascii="Calibri" w:eastAsia="Times New Roman" w:hAnsi="Calibri" w:cs="Calibri"/>
          <w:color w:val="000000"/>
          <w:sz w:val="21"/>
          <w:szCs w:val="21"/>
          <w:shd w:val="clear" w:color="auto" w:fill="FFFFFF"/>
          <w:lang w:val="en-GB" w:eastAsia="es-ES_tradnl"/>
        </w:rPr>
        <w:t xml:space="preserve"> T</w:t>
      </w:r>
      <w:r w:rsidR="007807F1" w:rsidRPr="007807F1">
        <w:rPr>
          <w:rFonts w:ascii="Calibri" w:eastAsia="Times New Roman" w:hAnsi="Calibri" w:cs="Calibri"/>
          <w:color w:val="000000"/>
          <w:sz w:val="21"/>
          <w:szCs w:val="21"/>
          <w:shd w:val="clear" w:color="auto" w:fill="FFFFFF"/>
          <w:lang w:val="en-GB" w:eastAsia="es-ES_tradnl"/>
        </w:rPr>
        <w:t xml:space="preserve">he fifth strategic objective of the Council of Europe Strategy for the Rights of the Child (2022-2027) </w:t>
      </w:r>
      <w:r w:rsidR="007807F1">
        <w:rPr>
          <w:rFonts w:ascii="Calibri" w:eastAsia="Times New Roman" w:hAnsi="Calibri" w:cs="Calibri"/>
          <w:color w:val="000000"/>
          <w:sz w:val="21"/>
          <w:szCs w:val="21"/>
          <w:shd w:val="clear" w:color="auto" w:fill="FFFFFF"/>
          <w:lang w:val="en-GB" w:eastAsia="es-ES_tradnl"/>
        </w:rPr>
        <w:t>recognises that c</w:t>
      </w:r>
      <w:r w:rsidR="007807F1" w:rsidRPr="007807F1">
        <w:rPr>
          <w:rFonts w:ascii="Calibri" w:eastAsia="Times New Roman" w:hAnsi="Calibri" w:cs="Calibri"/>
          <w:color w:val="000000"/>
          <w:sz w:val="21"/>
          <w:szCs w:val="21"/>
          <w:shd w:val="clear" w:color="auto" w:fill="FFFFFF"/>
          <w:lang w:val="en-GB" w:eastAsia="es-ES_tradnl"/>
        </w:rPr>
        <w:t xml:space="preserve">hildren as defenders of human rights face challenges in standing up for their own rights and in being taken seriously. </w:t>
      </w:r>
      <w:r w:rsidR="007807F1">
        <w:rPr>
          <w:rFonts w:ascii="Calibri" w:eastAsia="Times New Roman" w:hAnsi="Calibri" w:cs="Calibri"/>
          <w:color w:val="000000"/>
          <w:sz w:val="21"/>
          <w:szCs w:val="21"/>
          <w:shd w:val="clear" w:color="auto" w:fill="FFFFFF"/>
          <w:lang w:val="en-GB" w:eastAsia="es-ES_tradnl"/>
        </w:rPr>
        <w:t xml:space="preserve">In this sense, its innovation objective </w:t>
      </w:r>
      <w:r w:rsidR="007807F1" w:rsidRPr="007807F1">
        <w:rPr>
          <w:rFonts w:ascii="Calibri" w:eastAsia="Times New Roman" w:hAnsi="Calibri" w:cs="Calibri"/>
          <w:color w:val="000000"/>
          <w:sz w:val="21"/>
          <w:szCs w:val="21"/>
          <w:shd w:val="clear" w:color="auto" w:fill="FFFFFF"/>
          <w:lang w:val="en-GB" w:eastAsia="es-ES_tradnl"/>
        </w:rPr>
        <w:t>5.2.6</w:t>
      </w:r>
      <w:r w:rsidR="007807F1">
        <w:rPr>
          <w:rFonts w:ascii="Calibri" w:eastAsia="Times New Roman" w:hAnsi="Calibri" w:cs="Calibri"/>
          <w:color w:val="000000"/>
          <w:sz w:val="21"/>
          <w:szCs w:val="21"/>
          <w:shd w:val="clear" w:color="auto" w:fill="FFFFFF"/>
          <w:lang w:val="en-GB" w:eastAsia="es-ES_tradnl"/>
        </w:rPr>
        <w:t xml:space="preserve"> aims at p</w:t>
      </w:r>
      <w:r w:rsidR="007807F1" w:rsidRPr="007807F1">
        <w:rPr>
          <w:rFonts w:ascii="Calibri" w:eastAsia="Times New Roman" w:hAnsi="Calibri" w:cs="Calibri"/>
          <w:color w:val="000000"/>
          <w:sz w:val="21"/>
          <w:szCs w:val="21"/>
          <w:shd w:val="clear" w:color="auto" w:fill="FFFFFF"/>
          <w:lang w:val="en-GB" w:eastAsia="es-ES_tradnl"/>
        </w:rPr>
        <w:t>rotecting and empowering children acting as defenders of human rights and of the environment</w:t>
      </w:r>
      <w:r w:rsidR="007807F1">
        <w:rPr>
          <w:rFonts w:ascii="Calibri" w:eastAsia="Times New Roman" w:hAnsi="Calibri" w:cs="Calibri"/>
          <w:color w:val="000000"/>
          <w:sz w:val="21"/>
          <w:szCs w:val="21"/>
          <w:shd w:val="clear" w:color="auto" w:fill="FFFFFF"/>
          <w:lang w:val="en-GB" w:eastAsia="es-ES_tradnl"/>
        </w:rPr>
        <w:t>.</w:t>
      </w:r>
    </w:p>
    <w:p w14:paraId="27C750DA" w14:textId="6267D227" w:rsidR="000B56A3" w:rsidRPr="0024348B" w:rsidRDefault="007807F1" w:rsidP="000B56A3">
      <w:pPr>
        <w:spacing w:line="276"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 xml:space="preserve">Therefore, </w:t>
      </w:r>
      <w:r w:rsidR="006C75C7">
        <w:rPr>
          <w:rFonts w:ascii="Calibri" w:eastAsia="Times New Roman" w:hAnsi="Calibri" w:cs="Calibri"/>
          <w:color w:val="000000"/>
          <w:sz w:val="21"/>
          <w:szCs w:val="21"/>
          <w:shd w:val="clear" w:color="auto" w:fill="FFFFFF"/>
          <w:lang w:val="en-GB" w:eastAsia="es-ES_tradnl"/>
        </w:rPr>
        <w:t>the inclusion of the requirement for States to specifically protect the rights of environmental child rights defenders</w:t>
      </w:r>
      <w:r w:rsidR="00CA45C0">
        <w:rPr>
          <w:rFonts w:ascii="Calibri" w:eastAsia="Times New Roman" w:hAnsi="Calibri" w:cs="Calibri"/>
          <w:color w:val="000000"/>
          <w:sz w:val="21"/>
          <w:szCs w:val="21"/>
          <w:shd w:val="clear" w:color="auto" w:fill="FFFFFF"/>
          <w:lang w:val="en-GB" w:eastAsia="es-ES_tradnl"/>
        </w:rPr>
        <w:t xml:space="preserve"> is very positive</w:t>
      </w:r>
      <w:r w:rsidR="006C75C7">
        <w:rPr>
          <w:rFonts w:ascii="Calibri" w:eastAsia="Times New Roman" w:hAnsi="Calibri" w:cs="Calibri"/>
          <w:color w:val="000000"/>
          <w:sz w:val="21"/>
          <w:szCs w:val="21"/>
          <w:shd w:val="clear" w:color="auto" w:fill="FFFFFF"/>
          <w:lang w:val="en-GB" w:eastAsia="es-ES_tradnl"/>
        </w:rPr>
        <w:t xml:space="preserve">. In this regard, the Committee of Ministers adopted in 2008 a </w:t>
      </w:r>
      <w:hyperlink r:id="rId25" w:history="1">
        <w:r w:rsidR="006C75C7" w:rsidRPr="00AF29F0">
          <w:rPr>
            <w:rStyle w:val="Hyperlink"/>
            <w:rFonts w:ascii="Calibri" w:eastAsia="Times New Roman" w:hAnsi="Calibri" w:cs="Calibri"/>
            <w:sz w:val="21"/>
            <w:szCs w:val="21"/>
            <w:shd w:val="clear" w:color="auto" w:fill="FFFFFF"/>
            <w:lang w:val="en-GB" w:eastAsia="es-ES_tradnl"/>
          </w:rPr>
          <w:t>Declaration on Council of Europe action to improve the protection of human rights defenders and promote their activities</w:t>
        </w:r>
      </w:hyperlink>
      <w:r w:rsidR="006C75C7">
        <w:rPr>
          <w:rFonts w:ascii="Calibri" w:eastAsia="Times New Roman" w:hAnsi="Calibri" w:cs="Calibri"/>
          <w:color w:val="000000"/>
          <w:sz w:val="21"/>
          <w:szCs w:val="21"/>
          <w:shd w:val="clear" w:color="auto" w:fill="FFFFFF"/>
          <w:lang w:val="en-GB" w:eastAsia="es-ES_tradnl"/>
        </w:rPr>
        <w:t xml:space="preserve">, and the Steering Committee for Human Rights adopted an </w:t>
      </w:r>
      <w:hyperlink r:id="rId26" w:history="1">
        <w:r w:rsidR="006C75C7" w:rsidRPr="006C75C7">
          <w:rPr>
            <w:rStyle w:val="Hyperlink"/>
            <w:rFonts w:ascii="Calibri" w:eastAsia="Times New Roman" w:hAnsi="Calibri" w:cs="Calibri"/>
            <w:sz w:val="21"/>
            <w:szCs w:val="21"/>
            <w:shd w:val="clear" w:color="auto" w:fill="FFFFFF"/>
            <w:lang w:val="en-GB" w:eastAsia="es-ES_tradnl"/>
          </w:rPr>
          <w:t>Activity report</w:t>
        </w:r>
      </w:hyperlink>
      <w:r w:rsidR="006C75C7">
        <w:rPr>
          <w:rFonts w:ascii="Calibri" w:eastAsia="Times New Roman" w:hAnsi="Calibri" w:cs="Calibri"/>
          <w:color w:val="000000"/>
          <w:sz w:val="21"/>
          <w:szCs w:val="21"/>
          <w:shd w:val="clear" w:color="auto" w:fill="FFFFFF"/>
          <w:lang w:val="en-GB" w:eastAsia="es-ES_tradnl"/>
        </w:rPr>
        <w:t xml:space="preserve"> on the same topic. They might be useful as an inspiration to develop this section in the draft General Comment.</w:t>
      </w:r>
    </w:p>
    <w:p w14:paraId="0F26E046" w14:textId="77777777" w:rsidR="009465A2" w:rsidRPr="000C22F3" w:rsidRDefault="004C7B95" w:rsidP="000B56A3">
      <w:pPr>
        <w:spacing w:line="276" w:lineRule="auto"/>
        <w:jc w:val="both"/>
        <w:rPr>
          <w:rFonts w:ascii="Calibri" w:eastAsia="Times New Roman" w:hAnsi="Calibri" w:cs="Calibri"/>
          <w:b/>
          <w:bCs/>
          <w:color w:val="000000"/>
          <w:sz w:val="21"/>
          <w:szCs w:val="21"/>
          <w:shd w:val="clear" w:color="auto" w:fill="FFFFFF"/>
          <w:lang w:val="en-GB" w:eastAsia="es-ES_tradnl"/>
        </w:rPr>
      </w:pPr>
      <w:r w:rsidRPr="000C22F3">
        <w:rPr>
          <w:rFonts w:ascii="Calibri" w:eastAsia="Times New Roman" w:hAnsi="Calibri" w:cs="Calibri"/>
          <w:b/>
          <w:bCs/>
          <w:color w:val="000000"/>
          <w:sz w:val="21"/>
          <w:szCs w:val="21"/>
          <w:shd w:val="clear" w:color="auto" w:fill="FFFFFF"/>
          <w:lang w:val="en-GB" w:eastAsia="es-ES_tradnl"/>
        </w:rPr>
        <w:t xml:space="preserve">K. Access to remedies and justice (Art. 4). </w:t>
      </w:r>
    </w:p>
    <w:p w14:paraId="5B49B3C5" w14:textId="6A0F7593" w:rsidR="007807F1" w:rsidRPr="007807F1" w:rsidRDefault="007807F1" w:rsidP="007807F1">
      <w:pPr>
        <w:spacing w:line="276" w:lineRule="auto"/>
        <w:jc w:val="both"/>
        <w:rPr>
          <w:rFonts w:ascii="Calibri" w:eastAsia="Times New Roman" w:hAnsi="Calibri" w:cs="Calibri"/>
          <w:sz w:val="21"/>
          <w:szCs w:val="21"/>
          <w:shd w:val="clear" w:color="auto" w:fill="FFFFFF"/>
          <w:lang w:val="en-US" w:eastAsia="es-ES_tradnl"/>
        </w:rPr>
      </w:pPr>
      <w:r>
        <w:rPr>
          <w:rFonts w:ascii="Calibri" w:eastAsia="Times New Roman" w:hAnsi="Calibri" w:cs="Calibri"/>
          <w:sz w:val="21"/>
          <w:szCs w:val="21"/>
          <w:shd w:val="clear" w:color="auto" w:fill="FFFFFF"/>
          <w:lang w:val="en-GB" w:eastAsia="es-ES_tradnl"/>
        </w:rPr>
        <w:t>The fourth</w:t>
      </w:r>
      <w:r>
        <w:rPr>
          <w:rFonts w:ascii="Calibri" w:eastAsia="Times New Roman" w:hAnsi="Calibri" w:cs="Calibri"/>
          <w:color w:val="000000"/>
          <w:sz w:val="21"/>
          <w:szCs w:val="21"/>
          <w:shd w:val="clear" w:color="auto" w:fill="FFFFFF"/>
          <w:lang w:val="en-GB" w:eastAsia="es-ES_tradnl"/>
        </w:rPr>
        <w:t xml:space="preserve"> strategic objective of the Council of Europe’s Strategy for the rights of the Child (2022-2027)</w:t>
      </w:r>
      <w:r>
        <w:rPr>
          <w:rFonts w:ascii="Calibri" w:eastAsia="Times New Roman" w:hAnsi="Calibri" w:cs="Calibri"/>
          <w:sz w:val="21"/>
          <w:szCs w:val="21"/>
          <w:shd w:val="clear" w:color="auto" w:fill="FFFFFF"/>
          <w:lang w:val="en-GB" w:eastAsia="es-ES_tradnl"/>
        </w:rPr>
        <w:t xml:space="preserve"> recognises that </w:t>
      </w:r>
      <w:r>
        <w:rPr>
          <w:rFonts w:ascii="Calibri" w:eastAsia="Times New Roman" w:hAnsi="Calibri" w:cs="Calibri"/>
          <w:sz w:val="21"/>
          <w:szCs w:val="21"/>
          <w:shd w:val="clear" w:color="auto" w:fill="FFFFFF"/>
          <w:lang w:val="en-US" w:eastAsia="es-ES_tradnl"/>
        </w:rPr>
        <w:t>c</w:t>
      </w:r>
      <w:r w:rsidRPr="007807F1">
        <w:rPr>
          <w:rFonts w:ascii="Calibri" w:eastAsia="Times New Roman" w:hAnsi="Calibri" w:cs="Calibri"/>
          <w:sz w:val="21"/>
          <w:szCs w:val="21"/>
          <w:shd w:val="clear" w:color="auto" w:fill="FFFFFF"/>
          <w:lang w:val="en-US" w:eastAsia="es-ES_tradnl"/>
        </w:rPr>
        <w:t xml:space="preserve">hildren are not always provided with </w:t>
      </w:r>
      <w:r w:rsidRPr="00753A5B">
        <w:rPr>
          <w:rFonts w:ascii="Calibri" w:eastAsia="Times New Roman" w:hAnsi="Calibri" w:cs="Calibri"/>
          <w:sz w:val="21"/>
          <w:szCs w:val="21"/>
          <w:shd w:val="clear" w:color="auto" w:fill="FFFFFF"/>
          <w:lang w:val="en-US" w:eastAsia="es-ES_tradnl"/>
        </w:rPr>
        <w:t xml:space="preserve">access to the justice system </w:t>
      </w:r>
      <w:r w:rsidRPr="007807F1">
        <w:rPr>
          <w:rFonts w:ascii="Calibri" w:eastAsia="Times New Roman" w:hAnsi="Calibri" w:cs="Calibri"/>
          <w:sz w:val="21"/>
          <w:szCs w:val="21"/>
          <w:shd w:val="clear" w:color="auto" w:fill="FFFFFF"/>
          <w:lang w:val="en-US" w:eastAsia="es-ES_tradnl"/>
        </w:rPr>
        <w:t xml:space="preserve">and are not always </w:t>
      </w:r>
      <w:r w:rsidRPr="00753A5B">
        <w:rPr>
          <w:rFonts w:ascii="Calibri" w:eastAsia="Times New Roman" w:hAnsi="Calibri" w:cs="Calibri"/>
          <w:sz w:val="21"/>
          <w:szCs w:val="21"/>
          <w:shd w:val="clear" w:color="auto" w:fill="FFFFFF"/>
          <w:lang w:val="en-US" w:eastAsia="es-ES_tradnl"/>
        </w:rPr>
        <w:t>informed in a child-friendly manner</w:t>
      </w:r>
      <w:r w:rsidRPr="007807F1">
        <w:rPr>
          <w:rFonts w:ascii="Calibri" w:eastAsia="Times New Roman" w:hAnsi="Calibri" w:cs="Calibri"/>
          <w:sz w:val="21"/>
          <w:szCs w:val="21"/>
          <w:shd w:val="clear" w:color="auto" w:fill="FFFFFF"/>
          <w:lang w:val="en-US" w:eastAsia="es-ES_tradnl"/>
        </w:rPr>
        <w:t xml:space="preserve">, of their rights, the steps of the proceedings, their </w:t>
      </w:r>
      <w:proofErr w:type="gramStart"/>
      <w:r w:rsidRPr="007807F1">
        <w:rPr>
          <w:rFonts w:ascii="Calibri" w:eastAsia="Times New Roman" w:hAnsi="Calibri" w:cs="Calibri"/>
          <w:sz w:val="21"/>
          <w:szCs w:val="21"/>
          <w:shd w:val="clear" w:color="auto" w:fill="FFFFFF"/>
          <w:lang w:val="en-US" w:eastAsia="es-ES_tradnl"/>
        </w:rPr>
        <w:t>particular role</w:t>
      </w:r>
      <w:proofErr w:type="gramEnd"/>
      <w:r w:rsidRPr="007807F1">
        <w:rPr>
          <w:rFonts w:ascii="Calibri" w:eastAsia="Times New Roman" w:hAnsi="Calibri" w:cs="Calibri"/>
          <w:sz w:val="21"/>
          <w:szCs w:val="21"/>
          <w:shd w:val="clear" w:color="auto" w:fill="FFFFFF"/>
          <w:lang w:val="en-US" w:eastAsia="es-ES_tradnl"/>
        </w:rPr>
        <w:t xml:space="preserve"> in them or the legal decisions which affect them</w:t>
      </w:r>
      <w:r>
        <w:rPr>
          <w:rFonts w:ascii="Calibri" w:eastAsia="Times New Roman" w:hAnsi="Calibri" w:cs="Calibri"/>
          <w:sz w:val="21"/>
          <w:szCs w:val="21"/>
          <w:shd w:val="clear" w:color="auto" w:fill="FFFFFF"/>
          <w:lang w:val="en-US" w:eastAsia="es-ES_tradnl"/>
        </w:rPr>
        <w:t>. Therefore, its objectives include the need of improving c</w:t>
      </w:r>
      <w:r w:rsidRPr="007807F1">
        <w:rPr>
          <w:rFonts w:ascii="Calibri" w:eastAsia="Times New Roman" w:hAnsi="Calibri" w:cs="Calibri"/>
          <w:sz w:val="21"/>
          <w:szCs w:val="21"/>
          <w:shd w:val="clear" w:color="auto" w:fill="FFFFFF"/>
          <w:lang w:val="en-US" w:eastAsia="es-ES_tradnl"/>
        </w:rPr>
        <w:t>hildren’s access to justice in relation to environmental harm</w:t>
      </w:r>
      <w:r>
        <w:rPr>
          <w:rFonts w:ascii="Calibri" w:eastAsia="Times New Roman" w:hAnsi="Calibri" w:cs="Calibri"/>
          <w:sz w:val="21"/>
          <w:szCs w:val="21"/>
          <w:shd w:val="clear" w:color="auto" w:fill="FFFFFF"/>
          <w:lang w:val="en-US" w:eastAsia="es-ES_tradnl"/>
        </w:rPr>
        <w:t xml:space="preserve"> and particularly </w:t>
      </w:r>
      <w:r w:rsidRPr="007807F1">
        <w:rPr>
          <w:rFonts w:ascii="Calibri" w:eastAsia="Times New Roman" w:hAnsi="Calibri" w:cs="Calibri"/>
          <w:sz w:val="21"/>
          <w:szCs w:val="21"/>
          <w:shd w:val="clear" w:color="auto" w:fill="FFFFFF"/>
          <w:lang w:val="en-US" w:eastAsia="es-ES_tradnl"/>
        </w:rPr>
        <w:t>children’s access to the European Court of Human Rights.</w:t>
      </w:r>
      <w:r>
        <w:rPr>
          <w:rFonts w:ascii="Calibri" w:eastAsia="Times New Roman" w:hAnsi="Calibri" w:cs="Calibri"/>
          <w:sz w:val="21"/>
          <w:szCs w:val="21"/>
          <w:shd w:val="clear" w:color="auto" w:fill="FFFFFF"/>
          <w:lang w:val="en-US" w:eastAsia="es-ES_tradnl"/>
        </w:rPr>
        <w:t xml:space="preserve"> </w:t>
      </w:r>
    </w:p>
    <w:p w14:paraId="02530AF4" w14:textId="7144707A" w:rsidR="004C7B95" w:rsidRPr="000C22F3" w:rsidRDefault="004C7B95" w:rsidP="000B56A3">
      <w:pPr>
        <w:spacing w:line="276" w:lineRule="auto"/>
        <w:jc w:val="both"/>
        <w:rPr>
          <w:rFonts w:ascii="Calibri" w:eastAsia="Times New Roman" w:hAnsi="Calibri" w:cs="Calibri"/>
          <w:b/>
          <w:bCs/>
          <w:color w:val="000000"/>
          <w:sz w:val="21"/>
          <w:szCs w:val="21"/>
          <w:shd w:val="clear" w:color="auto" w:fill="FFFFFF"/>
          <w:lang w:val="en-GB" w:eastAsia="es-ES_tradnl"/>
        </w:rPr>
      </w:pPr>
      <w:r w:rsidRPr="000C22F3">
        <w:rPr>
          <w:rFonts w:ascii="Calibri" w:eastAsia="Times New Roman" w:hAnsi="Calibri" w:cs="Calibri"/>
          <w:color w:val="000000"/>
          <w:sz w:val="21"/>
          <w:szCs w:val="21"/>
          <w:shd w:val="clear" w:color="auto" w:fill="FFFFFF"/>
          <w:lang w:val="en-GB" w:eastAsia="es-ES_tradnl"/>
        </w:rPr>
        <w:t>The section on remedies could be further improved by adding the following considerations</w:t>
      </w:r>
      <w:r w:rsidR="004A0423">
        <w:rPr>
          <w:rFonts w:ascii="Calibri" w:eastAsia="Times New Roman" w:hAnsi="Calibri" w:cs="Calibri"/>
          <w:color w:val="000000"/>
          <w:sz w:val="21"/>
          <w:szCs w:val="21"/>
          <w:shd w:val="clear" w:color="auto" w:fill="FFFFFF"/>
          <w:lang w:val="en-GB" w:eastAsia="es-ES_tradnl"/>
        </w:rPr>
        <w:t xml:space="preserve">, emanating from the </w:t>
      </w:r>
      <w:hyperlink r:id="rId27" w:history="1">
        <w:r w:rsidR="004A0423" w:rsidRPr="00FD035A">
          <w:rPr>
            <w:rStyle w:val="Hyperlink"/>
            <w:rFonts w:ascii="Calibri" w:eastAsia="Times New Roman" w:hAnsi="Calibri" w:cs="Calibri"/>
            <w:sz w:val="21"/>
            <w:szCs w:val="21"/>
            <w:shd w:val="clear" w:color="auto" w:fill="FFFFFF"/>
            <w:lang w:val="en-GB" w:eastAsia="es-ES_tradnl"/>
          </w:rPr>
          <w:t>Guidelines of the Committee of Ministers of the Council of Europe on child-friendly justice (2010)</w:t>
        </w:r>
      </w:hyperlink>
      <w:r w:rsidRPr="000C22F3">
        <w:rPr>
          <w:rFonts w:ascii="Calibri" w:eastAsia="Times New Roman" w:hAnsi="Calibri" w:cs="Calibri"/>
          <w:color w:val="000000"/>
          <w:sz w:val="21"/>
          <w:szCs w:val="21"/>
          <w:shd w:val="clear" w:color="auto" w:fill="FFFFFF"/>
          <w:lang w:val="en-GB" w:eastAsia="es-ES_tradnl"/>
        </w:rPr>
        <w:t>:</w:t>
      </w:r>
    </w:p>
    <w:p w14:paraId="46D7E597" w14:textId="1B4D6035" w:rsidR="004C7B95" w:rsidRPr="00FD035A" w:rsidRDefault="004C7B95" w:rsidP="000B56A3">
      <w:pPr>
        <w:pStyle w:val="ListParagraph"/>
        <w:numPr>
          <w:ilvl w:val="0"/>
          <w:numId w:val="21"/>
        </w:numPr>
        <w:spacing w:line="276" w:lineRule="auto"/>
        <w:jc w:val="both"/>
        <w:rPr>
          <w:rFonts w:ascii="Calibri" w:eastAsia="Times New Roman" w:hAnsi="Calibri" w:cs="Calibri"/>
          <w:color w:val="000000"/>
          <w:sz w:val="21"/>
          <w:szCs w:val="21"/>
          <w:shd w:val="clear" w:color="auto" w:fill="FFFFFF"/>
          <w:lang w:val="en-GB" w:eastAsia="es-ES_tradnl"/>
        </w:rPr>
      </w:pPr>
      <w:r w:rsidRPr="000C22F3">
        <w:rPr>
          <w:rFonts w:ascii="Calibri" w:eastAsia="Times New Roman" w:hAnsi="Calibri" w:cs="Calibri"/>
          <w:color w:val="000000"/>
          <w:sz w:val="21"/>
          <w:szCs w:val="21"/>
          <w:shd w:val="clear" w:color="auto" w:fill="FFFFFF"/>
          <w:lang w:val="en-GB" w:eastAsia="es-ES_tradnl"/>
        </w:rPr>
        <w:t>Remedial judicial and non-judicial mechanisms referred to in §</w:t>
      </w:r>
      <w:r w:rsidR="000B56A3">
        <w:rPr>
          <w:rFonts w:ascii="Calibri" w:eastAsia="Times New Roman" w:hAnsi="Calibri" w:cs="Calibri"/>
          <w:color w:val="000000"/>
          <w:sz w:val="21"/>
          <w:szCs w:val="21"/>
          <w:shd w:val="clear" w:color="auto" w:fill="FFFFFF"/>
          <w:lang w:val="en-GB" w:eastAsia="es-ES_tradnl"/>
        </w:rPr>
        <w:t>64</w:t>
      </w:r>
      <w:r w:rsidRPr="000C22F3">
        <w:rPr>
          <w:rFonts w:ascii="Calibri" w:eastAsia="Times New Roman" w:hAnsi="Calibri" w:cs="Calibri"/>
          <w:color w:val="000000"/>
          <w:sz w:val="21"/>
          <w:szCs w:val="21"/>
          <w:shd w:val="clear" w:color="auto" w:fill="FFFFFF"/>
          <w:lang w:val="en-GB" w:eastAsia="es-ES_tradnl"/>
        </w:rPr>
        <w:t xml:space="preserve"> should comply with the </w:t>
      </w:r>
      <w:r w:rsidRPr="000C22F3">
        <w:rPr>
          <w:rFonts w:ascii="Calibri" w:eastAsia="Times New Roman" w:hAnsi="Calibri" w:cs="Calibri"/>
          <w:color w:val="000000"/>
          <w:sz w:val="21"/>
          <w:szCs w:val="21"/>
          <w:u w:val="single"/>
          <w:shd w:val="clear" w:color="auto" w:fill="FFFFFF"/>
          <w:lang w:val="en-GB" w:eastAsia="es-ES_tradnl"/>
        </w:rPr>
        <w:t>principles o</w:t>
      </w:r>
      <w:r w:rsidR="000B56A3">
        <w:rPr>
          <w:rFonts w:ascii="Calibri" w:eastAsia="Times New Roman" w:hAnsi="Calibri" w:cs="Calibri"/>
          <w:color w:val="000000"/>
          <w:sz w:val="21"/>
          <w:szCs w:val="21"/>
          <w:u w:val="single"/>
          <w:shd w:val="clear" w:color="auto" w:fill="FFFFFF"/>
          <w:lang w:val="en-GB" w:eastAsia="es-ES_tradnl"/>
        </w:rPr>
        <w:t>f</w:t>
      </w:r>
      <w:r w:rsidRPr="000C22F3">
        <w:rPr>
          <w:rFonts w:ascii="Calibri" w:eastAsia="Times New Roman" w:hAnsi="Calibri" w:cs="Calibri"/>
          <w:color w:val="000000"/>
          <w:sz w:val="21"/>
          <w:szCs w:val="21"/>
          <w:u w:val="single"/>
          <w:shd w:val="clear" w:color="auto" w:fill="FFFFFF"/>
          <w:lang w:val="en-GB" w:eastAsia="es-ES_tradnl"/>
        </w:rPr>
        <w:t xml:space="preserve"> </w:t>
      </w:r>
      <w:r w:rsidRPr="00FD035A">
        <w:rPr>
          <w:rFonts w:ascii="Calibri" w:eastAsia="Times New Roman" w:hAnsi="Calibri" w:cs="Calibri"/>
          <w:color w:val="000000"/>
          <w:sz w:val="21"/>
          <w:szCs w:val="21"/>
          <w:u w:val="single"/>
          <w:shd w:val="clear" w:color="auto" w:fill="FFFFFF"/>
          <w:lang w:val="en-GB" w:eastAsia="es-ES_tradnl"/>
        </w:rPr>
        <w:t>child-friendly justice</w:t>
      </w:r>
      <w:r w:rsidR="004A0423">
        <w:rPr>
          <w:rFonts w:ascii="Calibri" w:eastAsia="Times New Roman" w:hAnsi="Calibri" w:cs="Calibri"/>
          <w:color w:val="000000"/>
          <w:sz w:val="21"/>
          <w:szCs w:val="21"/>
          <w:shd w:val="clear" w:color="auto" w:fill="FFFFFF"/>
          <w:lang w:val="en-GB" w:eastAsia="es-ES_tradnl"/>
        </w:rPr>
        <w:t>.</w:t>
      </w:r>
    </w:p>
    <w:p w14:paraId="5B3DB829" w14:textId="762F6D0C" w:rsidR="0080328D" w:rsidRPr="0080328D" w:rsidRDefault="004C7B95" w:rsidP="0080328D">
      <w:pPr>
        <w:pStyle w:val="ListParagraph"/>
        <w:numPr>
          <w:ilvl w:val="0"/>
          <w:numId w:val="21"/>
        </w:numPr>
        <w:spacing w:line="276" w:lineRule="auto"/>
        <w:jc w:val="both"/>
        <w:rPr>
          <w:rFonts w:ascii="Calibri" w:eastAsia="Times New Roman" w:hAnsi="Calibri" w:cs="Calibri"/>
          <w:color w:val="000000"/>
          <w:sz w:val="21"/>
          <w:szCs w:val="21"/>
          <w:u w:val="single"/>
          <w:shd w:val="clear" w:color="auto" w:fill="FFFFFF"/>
          <w:lang w:val="en-GB" w:eastAsia="es-ES_tradnl"/>
        </w:rPr>
      </w:pPr>
      <w:r w:rsidRPr="00FD035A">
        <w:rPr>
          <w:rFonts w:ascii="Calibri" w:eastAsia="Times New Roman" w:hAnsi="Calibri" w:cs="Calibri"/>
          <w:color w:val="000000"/>
          <w:sz w:val="21"/>
          <w:szCs w:val="21"/>
          <w:shd w:val="clear" w:color="auto" w:fill="FFFFFF"/>
          <w:lang w:val="en-GB" w:eastAsia="es-ES_tradnl"/>
        </w:rPr>
        <w:t>In order to ensure appropriate reparation through restitution, compensation and satisfaction (§47) consideration</w:t>
      </w:r>
      <w:r w:rsidR="0080328D">
        <w:rPr>
          <w:rFonts w:ascii="Calibri" w:eastAsia="Times New Roman" w:hAnsi="Calibri" w:cs="Calibri"/>
          <w:color w:val="000000"/>
          <w:sz w:val="21"/>
          <w:szCs w:val="21"/>
          <w:shd w:val="clear" w:color="auto" w:fill="FFFFFF"/>
          <w:lang w:val="en-GB" w:eastAsia="es-ES_tradnl"/>
        </w:rPr>
        <w:t xml:space="preserve"> could</w:t>
      </w:r>
      <w:r w:rsidRPr="00FD035A">
        <w:rPr>
          <w:rFonts w:ascii="Calibri" w:eastAsia="Times New Roman" w:hAnsi="Calibri" w:cs="Calibri"/>
          <w:color w:val="000000"/>
          <w:sz w:val="21"/>
          <w:szCs w:val="21"/>
          <w:shd w:val="clear" w:color="auto" w:fill="FFFFFF"/>
          <w:lang w:val="en-GB" w:eastAsia="es-ES_tradnl"/>
        </w:rPr>
        <w:t xml:space="preserve"> be given to</w:t>
      </w:r>
      <w:r w:rsidR="0080328D">
        <w:rPr>
          <w:rFonts w:ascii="Calibri" w:eastAsia="Times New Roman" w:hAnsi="Calibri" w:cs="Calibri"/>
          <w:color w:val="000000"/>
          <w:sz w:val="21"/>
          <w:szCs w:val="21"/>
          <w:shd w:val="clear" w:color="auto" w:fill="FFFFFF"/>
          <w:lang w:val="en-GB" w:eastAsia="es-ES_tradnl"/>
        </w:rPr>
        <w:t xml:space="preserve"> strengthen this even further </w:t>
      </w:r>
      <w:proofErr w:type="gramStart"/>
      <w:r w:rsidR="0080328D">
        <w:rPr>
          <w:rFonts w:ascii="Calibri" w:eastAsia="Times New Roman" w:hAnsi="Calibri" w:cs="Calibri"/>
          <w:color w:val="000000"/>
          <w:sz w:val="21"/>
          <w:szCs w:val="21"/>
          <w:shd w:val="clear" w:color="auto" w:fill="FFFFFF"/>
          <w:lang w:val="en-GB" w:eastAsia="es-ES_tradnl"/>
        </w:rPr>
        <w:t xml:space="preserve">through </w:t>
      </w:r>
      <w:r w:rsidRPr="00FD035A">
        <w:rPr>
          <w:rFonts w:ascii="Calibri" w:eastAsia="Times New Roman" w:hAnsi="Calibri" w:cs="Calibri"/>
          <w:color w:val="000000"/>
          <w:sz w:val="21"/>
          <w:szCs w:val="21"/>
          <w:shd w:val="clear" w:color="auto" w:fill="FFFFFF"/>
          <w:lang w:val="en-GB" w:eastAsia="es-ES_tradnl"/>
        </w:rPr>
        <w:t xml:space="preserve"> the</w:t>
      </w:r>
      <w:proofErr w:type="gramEnd"/>
      <w:r w:rsidRPr="00FD035A">
        <w:rPr>
          <w:rFonts w:ascii="Calibri" w:eastAsia="Times New Roman" w:hAnsi="Calibri" w:cs="Calibri"/>
          <w:color w:val="000000"/>
          <w:sz w:val="21"/>
          <w:szCs w:val="21"/>
          <w:shd w:val="clear" w:color="auto" w:fill="FFFFFF"/>
          <w:lang w:val="en-GB" w:eastAsia="es-ES_tradnl"/>
        </w:rPr>
        <w:t xml:space="preserve"> </w:t>
      </w:r>
      <w:r w:rsidRPr="00FD035A">
        <w:rPr>
          <w:rFonts w:ascii="Calibri" w:eastAsia="Times New Roman" w:hAnsi="Calibri" w:cs="Calibri"/>
          <w:color w:val="000000"/>
          <w:sz w:val="21"/>
          <w:szCs w:val="21"/>
          <w:u w:val="single"/>
          <w:shd w:val="clear" w:color="auto" w:fill="FFFFFF"/>
          <w:lang w:val="en-GB" w:eastAsia="es-ES_tradnl"/>
        </w:rPr>
        <w:t>establishment of funds for the compensation of child victims</w:t>
      </w:r>
      <w:r w:rsidRPr="00FD035A">
        <w:rPr>
          <w:rFonts w:ascii="Calibri" w:eastAsia="Times New Roman" w:hAnsi="Calibri" w:cs="Calibri"/>
          <w:color w:val="000000"/>
          <w:sz w:val="21"/>
          <w:szCs w:val="21"/>
          <w:shd w:val="clear" w:color="auto" w:fill="FFFFFF"/>
          <w:lang w:val="en-GB" w:eastAsia="es-ES_tradnl"/>
        </w:rPr>
        <w:t xml:space="preserve"> or measures or programmes aimed at providing </w:t>
      </w:r>
      <w:r w:rsidRPr="00FD035A">
        <w:rPr>
          <w:rFonts w:ascii="Calibri" w:eastAsia="Times New Roman" w:hAnsi="Calibri" w:cs="Calibri"/>
          <w:color w:val="000000"/>
          <w:sz w:val="21"/>
          <w:szCs w:val="21"/>
          <w:u w:val="single"/>
          <w:shd w:val="clear" w:color="auto" w:fill="FFFFFF"/>
          <w:lang w:val="en-GB" w:eastAsia="es-ES_tradnl"/>
        </w:rPr>
        <w:t>therapeutic or other support</w:t>
      </w:r>
      <w:r w:rsidRPr="00FD035A">
        <w:rPr>
          <w:rFonts w:ascii="Calibri" w:eastAsia="Times New Roman" w:hAnsi="Calibri" w:cs="Calibri"/>
          <w:color w:val="000000"/>
          <w:sz w:val="21"/>
          <w:szCs w:val="21"/>
          <w:shd w:val="clear" w:color="auto" w:fill="FFFFFF"/>
          <w:lang w:val="en-GB" w:eastAsia="es-ES_tradnl"/>
        </w:rPr>
        <w:t>.</w:t>
      </w:r>
    </w:p>
    <w:p w14:paraId="63427110" w14:textId="4E6030D2" w:rsidR="004C7B95" w:rsidRPr="00753A5B" w:rsidRDefault="009701BA" w:rsidP="0080328D">
      <w:pPr>
        <w:spacing w:line="276" w:lineRule="auto"/>
        <w:jc w:val="both"/>
        <w:rPr>
          <w:rFonts w:ascii="Calibri" w:eastAsia="Times New Roman" w:hAnsi="Calibri" w:cs="Calibri"/>
          <w:color w:val="000000"/>
          <w:sz w:val="21"/>
          <w:szCs w:val="21"/>
          <w:u w:val="single"/>
          <w:shd w:val="clear" w:color="auto" w:fill="FFFFFF"/>
          <w:lang w:val="en-GB" w:eastAsia="es-ES_tradnl"/>
        </w:rPr>
      </w:pPr>
      <w:r w:rsidRPr="0080328D">
        <w:rPr>
          <w:rFonts w:ascii="Calibri" w:eastAsia="Times New Roman" w:hAnsi="Calibri" w:cs="Calibri"/>
          <w:color w:val="000000"/>
          <w:sz w:val="21"/>
          <w:szCs w:val="21"/>
          <w:shd w:val="clear" w:color="auto" w:fill="FFFFFF"/>
          <w:lang w:val="en-GB" w:eastAsia="es-ES_tradnl"/>
        </w:rPr>
        <w:t>Businesses also need to provide effective complaints mechanism</w:t>
      </w:r>
      <w:r w:rsidR="00FD035A" w:rsidRPr="0080328D">
        <w:rPr>
          <w:rFonts w:ascii="Calibri" w:eastAsia="Times New Roman" w:hAnsi="Calibri" w:cs="Calibri"/>
          <w:color w:val="000000"/>
          <w:sz w:val="21"/>
          <w:szCs w:val="21"/>
          <w:shd w:val="clear" w:color="auto" w:fill="FFFFFF"/>
          <w:lang w:val="en-GB" w:eastAsia="es-ES_tradnl"/>
        </w:rPr>
        <w:t xml:space="preserve">s and </w:t>
      </w:r>
      <w:r w:rsidR="004C7B95" w:rsidRPr="0080328D">
        <w:rPr>
          <w:rFonts w:ascii="Calibri" w:eastAsia="Times New Roman" w:hAnsi="Calibri" w:cs="Calibri"/>
          <w:color w:val="000000"/>
          <w:sz w:val="21"/>
          <w:szCs w:val="21"/>
          <w:shd w:val="clear" w:color="auto" w:fill="FFFFFF"/>
          <w:lang w:val="en-GB" w:eastAsia="es-ES_tradnl"/>
        </w:rPr>
        <w:t xml:space="preserve">also </w:t>
      </w:r>
      <w:proofErr w:type="gramStart"/>
      <w:r w:rsidR="004C7B95" w:rsidRPr="0080328D">
        <w:rPr>
          <w:rFonts w:ascii="Calibri" w:eastAsia="Times New Roman" w:hAnsi="Calibri" w:cs="Calibri"/>
          <w:color w:val="000000"/>
          <w:sz w:val="21"/>
          <w:szCs w:val="21"/>
          <w:u w:val="single"/>
          <w:shd w:val="clear" w:color="auto" w:fill="FFFFFF"/>
          <w:lang w:val="en-GB" w:eastAsia="es-ES_tradnl"/>
        </w:rPr>
        <w:t>information</w:t>
      </w:r>
      <w:proofErr w:type="gramEnd"/>
      <w:r w:rsidR="004C7B95" w:rsidRPr="0080328D">
        <w:rPr>
          <w:rFonts w:ascii="Calibri" w:eastAsia="Times New Roman" w:hAnsi="Calibri" w:cs="Calibri"/>
          <w:color w:val="000000"/>
          <w:sz w:val="21"/>
          <w:szCs w:val="21"/>
          <w:shd w:val="clear" w:color="auto" w:fill="FFFFFF"/>
          <w:lang w:val="en-GB" w:eastAsia="es-ES_tradnl"/>
        </w:rPr>
        <w:t xml:space="preserve"> which is accessible, age-appropriate and available in the language of the child </w:t>
      </w:r>
      <w:r w:rsidR="004C7B95" w:rsidRPr="0080328D">
        <w:rPr>
          <w:rFonts w:ascii="Calibri" w:eastAsia="Times New Roman" w:hAnsi="Calibri" w:cs="Calibri"/>
          <w:color w:val="000000"/>
          <w:sz w:val="21"/>
          <w:szCs w:val="21"/>
          <w:u w:val="single"/>
          <w:shd w:val="clear" w:color="auto" w:fill="FFFFFF"/>
          <w:lang w:val="en-GB" w:eastAsia="es-ES_tradnl"/>
        </w:rPr>
        <w:t>about how to introduce such complaints and seek redress</w:t>
      </w:r>
      <w:r w:rsidR="004C7B95" w:rsidRPr="0080328D">
        <w:rPr>
          <w:rFonts w:ascii="Calibri" w:eastAsia="Times New Roman" w:hAnsi="Calibri" w:cs="Calibri"/>
          <w:color w:val="000000"/>
          <w:sz w:val="21"/>
          <w:szCs w:val="21"/>
          <w:shd w:val="clear" w:color="auto" w:fill="FFFFFF"/>
          <w:lang w:val="en-GB" w:eastAsia="es-ES_tradnl"/>
        </w:rPr>
        <w:t xml:space="preserve">. States </w:t>
      </w:r>
      <w:r w:rsidR="0080328D" w:rsidRPr="0080328D">
        <w:rPr>
          <w:rFonts w:ascii="Calibri" w:eastAsia="Times New Roman" w:hAnsi="Calibri" w:cs="Calibri"/>
          <w:color w:val="000000"/>
          <w:sz w:val="21"/>
          <w:szCs w:val="21"/>
          <w:shd w:val="clear" w:color="auto" w:fill="FFFFFF"/>
          <w:lang w:val="en-GB" w:eastAsia="es-ES_tradnl"/>
        </w:rPr>
        <w:t>c</w:t>
      </w:r>
      <w:r w:rsidR="004C7B95" w:rsidRPr="0080328D">
        <w:rPr>
          <w:rFonts w:ascii="Calibri" w:eastAsia="Times New Roman" w:hAnsi="Calibri" w:cs="Calibri"/>
          <w:color w:val="000000"/>
          <w:sz w:val="21"/>
          <w:szCs w:val="21"/>
          <w:shd w:val="clear" w:color="auto" w:fill="FFFFFF"/>
          <w:lang w:val="en-GB" w:eastAsia="es-ES_tradnl"/>
        </w:rPr>
        <w:t xml:space="preserve">ould also </w:t>
      </w:r>
      <w:r w:rsidR="0080328D" w:rsidRPr="0080328D">
        <w:rPr>
          <w:rFonts w:ascii="Calibri" w:eastAsia="Times New Roman" w:hAnsi="Calibri" w:cs="Calibri"/>
          <w:color w:val="000000"/>
          <w:sz w:val="21"/>
          <w:szCs w:val="21"/>
          <w:shd w:val="clear" w:color="auto" w:fill="FFFFFF"/>
          <w:lang w:val="en-GB" w:eastAsia="es-ES_tradnl"/>
        </w:rPr>
        <w:t xml:space="preserve">be invited to </w:t>
      </w:r>
      <w:r w:rsidR="004C7B95" w:rsidRPr="0080328D">
        <w:rPr>
          <w:rFonts w:ascii="Calibri" w:eastAsia="Times New Roman" w:hAnsi="Calibri" w:cs="Calibri"/>
          <w:color w:val="000000"/>
          <w:sz w:val="21"/>
          <w:szCs w:val="21"/>
          <w:shd w:val="clear" w:color="auto" w:fill="FFFFFF"/>
          <w:lang w:val="en-GB" w:eastAsia="es-ES_tradnl"/>
        </w:rPr>
        <w:t xml:space="preserve">ensure that reports received through these mechanisms are dealt with </w:t>
      </w:r>
      <w:r w:rsidR="004C7B95" w:rsidRPr="0080328D">
        <w:rPr>
          <w:rFonts w:ascii="Calibri" w:eastAsia="Times New Roman" w:hAnsi="Calibri" w:cs="Calibri"/>
          <w:color w:val="000000"/>
          <w:sz w:val="21"/>
          <w:szCs w:val="21"/>
          <w:u w:val="single"/>
          <w:shd w:val="clear" w:color="auto" w:fill="FFFFFF"/>
          <w:lang w:val="en-GB" w:eastAsia="es-ES_tradnl"/>
        </w:rPr>
        <w:t xml:space="preserve">efficiently and within reasonable time. </w:t>
      </w:r>
    </w:p>
    <w:p w14:paraId="0604AB81" w14:textId="06F8580B" w:rsidR="00480681" w:rsidRPr="004256B3" w:rsidRDefault="00480681" w:rsidP="000B56A3">
      <w:pPr>
        <w:spacing w:line="276" w:lineRule="auto"/>
        <w:jc w:val="both"/>
        <w:rPr>
          <w:rFonts w:ascii="Calibri" w:eastAsia="Times New Roman" w:hAnsi="Calibri" w:cs="Calibri"/>
          <w:color w:val="000000"/>
          <w:sz w:val="21"/>
          <w:szCs w:val="21"/>
          <w:shd w:val="clear" w:color="auto" w:fill="FFFFFF"/>
          <w:lang w:val="en-GB" w:eastAsia="es-ES_tradnl"/>
        </w:rPr>
      </w:pPr>
    </w:p>
    <w:p w14:paraId="7D15F2D4" w14:textId="38D623A5" w:rsidR="007E0E58" w:rsidRPr="00D2382C" w:rsidRDefault="004C7B95" w:rsidP="000B56A3">
      <w:pPr>
        <w:pStyle w:val="ListParagraph"/>
        <w:numPr>
          <w:ilvl w:val="0"/>
          <w:numId w:val="22"/>
        </w:numPr>
        <w:spacing w:line="276" w:lineRule="auto"/>
        <w:jc w:val="both"/>
        <w:rPr>
          <w:rFonts w:ascii="Calibri" w:eastAsia="Times New Roman" w:hAnsi="Calibri" w:cs="Calibri"/>
          <w:b/>
          <w:bCs/>
          <w:color w:val="000000"/>
          <w:sz w:val="21"/>
          <w:szCs w:val="21"/>
          <w:shd w:val="clear" w:color="auto" w:fill="FFFFFF"/>
          <w:lang w:val="en-GB" w:eastAsia="es-ES_tradnl"/>
        </w:rPr>
      </w:pPr>
      <w:r>
        <w:rPr>
          <w:rFonts w:ascii="Calibri" w:eastAsia="Times New Roman" w:hAnsi="Calibri" w:cs="Calibri"/>
          <w:b/>
          <w:bCs/>
          <w:color w:val="000000"/>
          <w:sz w:val="21"/>
          <w:szCs w:val="21"/>
          <w:shd w:val="clear" w:color="auto" w:fill="FFFFFF"/>
          <w:lang w:val="en-GB" w:eastAsia="es-ES_tradnl"/>
        </w:rPr>
        <w:t>THE RIGHT TO A CLEAN, HEALTHY AND SUSTAINABLE ENVIRONMENT</w:t>
      </w:r>
      <w:r w:rsidR="000B56A3">
        <w:rPr>
          <w:rFonts w:ascii="Calibri" w:eastAsia="Times New Roman" w:hAnsi="Calibri" w:cs="Calibri"/>
          <w:b/>
          <w:bCs/>
          <w:color w:val="000000"/>
          <w:sz w:val="21"/>
          <w:szCs w:val="21"/>
          <w:shd w:val="clear" w:color="auto" w:fill="FFFFFF"/>
          <w:lang w:val="en-GB" w:eastAsia="es-ES_tradnl"/>
        </w:rPr>
        <w:t xml:space="preserve"> (Section IV)</w:t>
      </w:r>
    </w:p>
    <w:p w14:paraId="122B9B43" w14:textId="36AB8607" w:rsidR="002A1DD3" w:rsidRDefault="000B56A3" w:rsidP="000B56A3">
      <w:pPr>
        <w:spacing w:line="276" w:lineRule="auto"/>
        <w:jc w:val="both"/>
        <w:rPr>
          <w:bCs/>
          <w:sz w:val="21"/>
          <w:szCs w:val="21"/>
          <w:lang w:val="en-GB"/>
        </w:rPr>
      </w:pPr>
      <w:r>
        <w:rPr>
          <w:bCs/>
          <w:sz w:val="21"/>
          <w:szCs w:val="21"/>
          <w:lang w:val="en-GB"/>
        </w:rPr>
        <w:t xml:space="preserve">The </w:t>
      </w:r>
      <w:r w:rsidR="00CB5D1D" w:rsidRPr="00CB5D1D">
        <w:rPr>
          <w:bCs/>
          <w:sz w:val="21"/>
          <w:szCs w:val="21"/>
          <w:lang w:val="en-GB"/>
        </w:rPr>
        <w:t>Council of Europe standards offer valuable benchmarks</w:t>
      </w:r>
      <w:r w:rsidR="002A1DD3">
        <w:rPr>
          <w:bCs/>
          <w:sz w:val="21"/>
          <w:szCs w:val="21"/>
          <w:lang w:val="en-GB"/>
        </w:rPr>
        <w:t xml:space="preserve"> and guidance </w:t>
      </w:r>
      <w:r w:rsidR="00CB5D1D" w:rsidRPr="00CB5D1D">
        <w:rPr>
          <w:bCs/>
          <w:sz w:val="21"/>
          <w:szCs w:val="21"/>
          <w:lang w:val="en-GB"/>
        </w:rPr>
        <w:t xml:space="preserve">to states in </w:t>
      </w:r>
      <w:r w:rsidR="002A1DD3">
        <w:rPr>
          <w:bCs/>
          <w:sz w:val="21"/>
          <w:szCs w:val="21"/>
          <w:lang w:val="en-GB"/>
        </w:rPr>
        <w:t xml:space="preserve">ensuring that children’s right to a clean, healthy, and sustainable environment is adequately safeguarded. </w:t>
      </w:r>
      <w:r w:rsidR="002A1DD3" w:rsidRPr="002A1DD3">
        <w:rPr>
          <w:bCs/>
          <w:sz w:val="21"/>
          <w:szCs w:val="21"/>
          <w:lang w:val="en-GB"/>
        </w:rPr>
        <w:t>As per the content of the draft General Comment, we welcome the mention of both substantive and procedural elements</w:t>
      </w:r>
      <w:r w:rsidR="002A1DD3">
        <w:rPr>
          <w:bCs/>
          <w:sz w:val="21"/>
          <w:szCs w:val="21"/>
          <w:lang w:val="en-GB"/>
        </w:rPr>
        <w:t xml:space="preserve"> towards state’s realisation of the right to a clean, healthy, and sustainable environment. Under the </w:t>
      </w:r>
      <w:r w:rsidR="004A0423">
        <w:fldChar w:fldCharType="begin"/>
      </w:r>
      <w:r w:rsidR="004A0423">
        <w:fldChar w:fldCharType="separate"/>
      </w:r>
      <w:r w:rsidR="002A1DD3" w:rsidRPr="005F2A6F">
        <w:rPr>
          <w:rStyle w:val="Hyperlink"/>
          <w:bCs/>
          <w:sz w:val="21"/>
          <w:szCs w:val="21"/>
          <w:lang w:val="en-GB"/>
        </w:rPr>
        <w:t>European Social Charter</w:t>
      </w:r>
      <w:r w:rsidR="004A0423">
        <w:rPr>
          <w:rStyle w:val="Hyperlink"/>
          <w:bCs/>
          <w:sz w:val="21"/>
          <w:szCs w:val="21"/>
          <w:lang w:val="en-GB"/>
        </w:rPr>
        <w:fldChar w:fldCharType="end"/>
      </w:r>
      <w:r w:rsidR="002A1DD3">
        <w:rPr>
          <w:bCs/>
          <w:sz w:val="21"/>
          <w:szCs w:val="21"/>
          <w:lang w:val="en-GB"/>
        </w:rPr>
        <w:t xml:space="preserve">, overcoming pollution also accounts as a primary objective to be achieved gradually </w:t>
      </w:r>
      <w:proofErr w:type="gramStart"/>
      <w:r w:rsidR="002A1DD3">
        <w:rPr>
          <w:bCs/>
          <w:sz w:val="21"/>
          <w:szCs w:val="21"/>
          <w:lang w:val="en-GB"/>
        </w:rPr>
        <w:t>in order to</w:t>
      </w:r>
      <w:proofErr w:type="gramEnd"/>
      <w:r w:rsidR="002A1DD3">
        <w:rPr>
          <w:bCs/>
          <w:sz w:val="21"/>
          <w:szCs w:val="21"/>
          <w:lang w:val="en-GB"/>
        </w:rPr>
        <w:t xml:space="preserve"> fulfil the right to a healthy environment. In order to ensure that states strive to attain this objective within a reasonable time, by showing measurable progress and making the best possible use of the resources at their disposal, we believe it would be appropriate to build on this provision (</w:t>
      </w:r>
      <w:r w:rsidR="002A1DD3" w:rsidRPr="002A1DD3">
        <w:rPr>
          <w:bCs/>
          <w:sz w:val="21"/>
          <w:szCs w:val="21"/>
          <w:lang w:val="en-GB"/>
        </w:rPr>
        <w:t>§</w:t>
      </w:r>
      <w:r w:rsidR="002A1DD3">
        <w:rPr>
          <w:bCs/>
          <w:sz w:val="21"/>
          <w:szCs w:val="21"/>
          <w:lang w:val="en-GB"/>
        </w:rPr>
        <w:t>73). We suggest the following guarantees should be considered in relation to states obligations and the right to a healthy environment:</w:t>
      </w:r>
    </w:p>
    <w:p w14:paraId="7BFF903B" w14:textId="6FACFFB4" w:rsidR="00CB5D1D" w:rsidRPr="002A1DD3" w:rsidRDefault="002A1DD3" w:rsidP="000B56A3">
      <w:pPr>
        <w:spacing w:line="276" w:lineRule="auto"/>
        <w:jc w:val="both"/>
        <w:rPr>
          <w:bCs/>
          <w:sz w:val="21"/>
          <w:szCs w:val="21"/>
          <w:u w:val="single"/>
          <w:lang w:val="en-GB"/>
        </w:rPr>
      </w:pPr>
      <w:r w:rsidRPr="002A1DD3">
        <w:rPr>
          <w:bCs/>
          <w:sz w:val="21"/>
          <w:szCs w:val="21"/>
          <w:u w:val="single"/>
          <w:lang w:val="en-GB"/>
        </w:rPr>
        <w:t>Air pollution</w:t>
      </w:r>
      <w:r w:rsidR="000B56A3">
        <w:rPr>
          <w:bCs/>
          <w:sz w:val="21"/>
          <w:szCs w:val="21"/>
          <w:u w:val="single"/>
          <w:lang w:val="en-GB"/>
        </w:rPr>
        <w:t>:</w:t>
      </w:r>
    </w:p>
    <w:p w14:paraId="72A422ED" w14:textId="113AAE4E" w:rsidR="002A1DD3" w:rsidRDefault="002A1DD3" w:rsidP="000B56A3">
      <w:pPr>
        <w:pStyle w:val="ListParagraph"/>
        <w:numPr>
          <w:ilvl w:val="0"/>
          <w:numId w:val="34"/>
        </w:numPr>
        <w:spacing w:line="276" w:lineRule="auto"/>
        <w:jc w:val="both"/>
        <w:rPr>
          <w:sz w:val="21"/>
          <w:szCs w:val="21"/>
          <w:lang w:val="en-GB"/>
        </w:rPr>
      </w:pPr>
      <w:r>
        <w:rPr>
          <w:sz w:val="21"/>
          <w:szCs w:val="21"/>
          <w:lang w:val="en-GB"/>
        </w:rPr>
        <w:t>Develop and regularly update sufficiently comprehensive environmental legislation and regulations;</w:t>
      </w:r>
      <w:r>
        <w:rPr>
          <w:rStyle w:val="FootnoteReference"/>
          <w:sz w:val="21"/>
          <w:szCs w:val="21"/>
          <w:lang w:val="en-GB"/>
        </w:rPr>
        <w:footnoteReference w:id="7"/>
      </w:r>
      <w:r>
        <w:rPr>
          <w:sz w:val="21"/>
          <w:szCs w:val="21"/>
          <w:lang w:val="en-GB"/>
        </w:rPr>
        <w:t xml:space="preserve"> </w:t>
      </w:r>
    </w:p>
    <w:p w14:paraId="19CAB97D" w14:textId="4403E8A0" w:rsidR="002A1DD3" w:rsidRDefault="002A1DD3" w:rsidP="000B56A3">
      <w:pPr>
        <w:pStyle w:val="ListParagraph"/>
        <w:numPr>
          <w:ilvl w:val="0"/>
          <w:numId w:val="34"/>
        </w:numPr>
        <w:spacing w:line="276" w:lineRule="auto"/>
        <w:jc w:val="both"/>
        <w:rPr>
          <w:sz w:val="21"/>
          <w:szCs w:val="21"/>
          <w:lang w:val="en-GB"/>
        </w:rPr>
      </w:pPr>
      <w:r>
        <w:rPr>
          <w:sz w:val="21"/>
          <w:szCs w:val="21"/>
          <w:lang w:val="en-GB"/>
        </w:rPr>
        <w:t>Take specific steps, such as modifying equipment, introducing threshold values for emissions and measuring air quality, to prevent air pollution at local level</w:t>
      </w:r>
      <w:r>
        <w:rPr>
          <w:rStyle w:val="FootnoteReference"/>
          <w:sz w:val="21"/>
          <w:szCs w:val="21"/>
          <w:lang w:val="en-GB"/>
        </w:rPr>
        <w:footnoteReference w:id="8"/>
      </w:r>
      <w:r>
        <w:rPr>
          <w:sz w:val="21"/>
          <w:szCs w:val="21"/>
          <w:lang w:val="en-GB"/>
        </w:rPr>
        <w:t xml:space="preserve"> and to help to reduce it on a global </w:t>
      </w:r>
      <w:proofErr w:type="gramStart"/>
      <w:r>
        <w:rPr>
          <w:sz w:val="21"/>
          <w:szCs w:val="21"/>
          <w:lang w:val="en-GB"/>
        </w:rPr>
        <w:t>scale;</w:t>
      </w:r>
      <w:proofErr w:type="gramEnd"/>
    </w:p>
    <w:p w14:paraId="24E481CD" w14:textId="250791EE" w:rsidR="002A1DD3" w:rsidRDefault="002A1DD3" w:rsidP="000B56A3">
      <w:pPr>
        <w:pStyle w:val="ListParagraph"/>
        <w:numPr>
          <w:ilvl w:val="0"/>
          <w:numId w:val="34"/>
        </w:numPr>
        <w:spacing w:line="276" w:lineRule="auto"/>
        <w:jc w:val="both"/>
        <w:rPr>
          <w:sz w:val="21"/>
          <w:szCs w:val="21"/>
          <w:lang w:val="en-GB"/>
        </w:rPr>
      </w:pPr>
      <w:r>
        <w:rPr>
          <w:sz w:val="21"/>
          <w:szCs w:val="21"/>
          <w:lang w:val="en-GB"/>
        </w:rPr>
        <w:t>In the case of global pollution, emission control is assessed with reference to the objective set for implementation of the United Nations Framework Convention on Climate Change, and of the Kyoto Protocol to the UNFCC;</w:t>
      </w:r>
      <w:r w:rsidR="00293DF6">
        <w:rPr>
          <w:rStyle w:val="FootnoteReference"/>
          <w:sz w:val="21"/>
          <w:szCs w:val="21"/>
          <w:lang w:val="en-GB"/>
        </w:rPr>
        <w:footnoteReference w:id="9"/>
      </w:r>
    </w:p>
    <w:p w14:paraId="35A8DD88" w14:textId="1EEE8C52" w:rsidR="002A1DD3" w:rsidRDefault="002A1DD3" w:rsidP="000B56A3">
      <w:pPr>
        <w:pStyle w:val="ListParagraph"/>
        <w:numPr>
          <w:ilvl w:val="0"/>
          <w:numId w:val="34"/>
        </w:numPr>
        <w:spacing w:line="276" w:lineRule="auto"/>
        <w:jc w:val="both"/>
        <w:rPr>
          <w:sz w:val="21"/>
          <w:szCs w:val="21"/>
          <w:lang w:val="en-GB"/>
        </w:rPr>
      </w:pPr>
      <w:r>
        <w:rPr>
          <w:sz w:val="21"/>
          <w:szCs w:val="21"/>
          <w:lang w:val="en-GB"/>
        </w:rPr>
        <w:t>Ensure that environmental standards and rules are properly applied, through appropriate supervisory machinery, effective and efficient, that is comprising measures which have been established to be sufficiently dissuasive and have a direct effect on polluting emission levels;</w:t>
      </w:r>
      <w:r w:rsidR="00293DF6">
        <w:rPr>
          <w:rStyle w:val="FootnoteReference"/>
          <w:sz w:val="21"/>
          <w:szCs w:val="21"/>
          <w:lang w:val="en-GB"/>
        </w:rPr>
        <w:footnoteReference w:id="10"/>
      </w:r>
      <w:r>
        <w:rPr>
          <w:sz w:val="21"/>
          <w:szCs w:val="21"/>
          <w:lang w:val="en-GB"/>
        </w:rPr>
        <w:t xml:space="preserve"> </w:t>
      </w:r>
    </w:p>
    <w:p w14:paraId="18BA2AB6" w14:textId="796A4E8B" w:rsidR="002A1DD3" w:rsidRDefault="002A1DD3" w:rsidP="000B56A3">
      <w:pPr>
        <w:pStyle w:val="ListParagraph"/>
        <w:numPr>
          <w:ilvl w:val="0"/>
          <w:numId w:val="34"/>
        </w:numPr>
        <w:spacing w:line="276" w:lineRule="auto"/>
        <w:jc w:val="both"/>
        <w:rPr>
          <w:sz w:val="21"/>
          <w:szCs w:val="21"/>
          <w:lang w:val="en-GB"/>
        </w:rPr>
      </w:pPr>
      <w:r>
        <w:rPr>
          <w:sz w:val="21"/>
          <w:szCs w:val="21"/>
          <w:lang w:val="en-GB"/>
        </w:rPr>
        <w:t>Access health risks through epidemiological monitoring of the groups concerned.</w:t>
      </w:r>
      <w:r w:rsidR="00293DF6">
        <w:rPr>
          <w:rStyle w:val="FootnoteReference"/>
          <w:sz w:val="21"/>
          <w:szCs w:val="21"/>
          <w:lang w:val="en-GB"/>
        </w:rPr>
        <w:footnoteReference w:id="11"/>
      </w:r>
      <w:r>
        <w:rPr>
          <w:sz w:val="21"/>
          <w:szCs w:val="21"/>
          <w:lang w:val="en-GB"/>
        </w:rPr>
        <w:t xml:space="preserve"> </w:t>
      </w:r>
    </w:p>
    <w:p w14:paraId="7E5419D6" w14:textId="77777777" w:rsidR="00293DF6" w:rsidRDefault="00293DF6" w:rsidP="000B56A3">
      <w:pPr>
        <w:pStyle w:val="ListParagraph"/>
        <w:spacing w:line="276" w:lineRule="auto"/>
        <w:jc w:val="both"/>
        <w:rPr>
          <w:sz w:val="21"/>
          <w:szCs w:val="21"/>
          <w:lang w:val="en-GB"/>
        </w:rPr>
      </w:pPr>
    </w:p>
    <w:p w14:paraId="14AB67B2" w14:textId="77777777" w:rsidR="005F2A6F" w:rsidRPr="002A1DD3" w:rsidRDefault="005F2A6F" w:rsidP="000B56A3">
      <w:pPr>
        <w:pStyle w:val="ListParagraph"/>
        <w:spacing w:line="276" w:lineRule="auto"/>
        <w:jc w:val="both"/>
        <w:rPr>
          <w:sz w:val="21"/>
          <w:szCs w:val="21"/>
          <w:lang w:val="en-GB"/>
        </w:rPr>
      </w:pPr>
    </w:p>
    <w:p w14:paraId="3D99636B" w14:textId="59FBD24D" w:rsidR="00A45542" w:rsidRPr="00D2382C" w:rsidRDefault="004C7B95" w:rsidP="000B56A3">
      <w:pPr>
        <w:pStyle w:val="ListParagraph"/>
        <w:numPr>
          <w:ilvl w:val="0"/>
          <w:numId w:val="22"/>
        </w:numPr>
        <w:spacing w:line="276" w:lineRule="auto"/>
        <w:jc w:val="both"/>
        <w:rPr>
          <w:rFonts w:ascii="Calibri" w:eastAsia="Times New Roman" w:hAnsi="Calibri" w:cs="Calibri"/>
          <w:b/>
          <w:bCs/>
          <w:color w:val="000000"/>
          <w:sz w:val="21"/>
          <w:szCs w:val="21"/>
          <w:shd w:val="clear" w:color="auto" w:fill="FFFFFF"/>
          <w:lang w:val="en-GB" w:eastAsia="es-ES_tradnl"/>
        </w:rPr>
      </w:pPr>
      <w:r>
        <w:rPr>
          <w:rFonts w:ascii="Calibri" w:eastAsia="Times New Roman" w:hAnsi="Calibri" w:cs="Calibri"/>
          <w:b/>
          <w:bCs/>
          <w:color w:val="000000"/>
          <w:sz w:val="21"/>
          <w:szCs w:val="21"/>
          <w:shd w:val="clear" w:color="auto" w:fill="FFFFFF"/>
          <w:lang w:val="en-GB" w:eastAsia="es-ES_tradnl"/>
        </w:rPr>
        <w:t>GENERAL OBLIGATIONS OF STATES</w:t>
      </w:r>
      <w:r w:rsidR="000B56A3">
        <w:rPr>
          <w:rFonts w:ascii="Calibri" w:eastAsia="Times New Roman" w:hAnsi="Calibri" w:cs="Calibri"/>
          <w:b/>
          <w:bCs/>
          <w:color w:val="000000"/>
          <w:sz w:val="21"/>
          <w:szCs w:val="21"/>
          <w:shd w:val="clear" w:color="auto" w:fill="FFFFFF"/>
          <w:lang w:val="en-GB" w:eastAsia="es-ES_tradnl"/>
        </w:rPr>
        <w:t xml:space="preserve"> (Section V)</w:t>
      </w:r>
    </w:p>
    <w:p w14:paraId="085A23FA" w14:textId="7EDED687" w:rsidR="000B56A3" w:rsidRPr="000B56A3" w:rsidRDefault="000B56A3" w:rsidP="000B56A3">
      <w:pPr>
        <w:spacing w:line="276" w:lineRule="auto"/>
        <w:jc w:val="both"/>
        <w:rPr>
          <w:rFonts w:ascii="Calibri" w:eastAsia="Times New Roman" w:hAnsi="Calibri" w:cs="Calibri"/>
          <w:b/>
          <w:bCs/>
          <w:color w:val="000000"/>
          <w:sz w:val="21"/>
          <w:szCs w:val="21"/>
          <w:shd w:val="clear" w:color="auto" w:fill="FFFFFF"/>
          <w:lang w:val="en-GB" w:eastAsia="es-ES_tradnl"/>
        </w:rPr>
      </w:pPr>
      <w:r w:rsidRPr="000B56A3">
        <w:rPr>
          <w:rFonts w:ascii="Calibri" w:eastAsia="Times New Roman" w:hAnsi="Calibri" w:cs="Calibri"/>
          <w:b/>
          <w:bCs/>
          <w:color w:val="000000"/>
          <w:sz w:val="21"/>
          <w:szCs w:val="21"/>
          <w:shd w:val="clear" w:color="auto" w:fill="FFFFFF"/>
          <w:lang w:val="en-GB" w:eastAsia="es-ES_tradnl"/>
        </w:rPr>
        <w:t>F. Children’s rights and the business sector</w:t>
      </w:r>
    </w:p>
    <w:p w14:paraId="7E343458" w14:textId="1655BE5C" w:rsidR="00427832" w:rsidRDefault="000B56A3" w:rsidP="000B56A3">
      <w:pPr>
        <w:spacing w:line="276"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I</w:t>
      </w:r>
      <w:r w:rsidR="00FD035A">
        <w:rPr>
          <w:rFonts w:ascii="Calibri" w:eastAsia="Times New Roman" w:hAnsi="Calibri" w:cs="Calibri"/>
          <w:color w:val="000000"/>
          <w:sz w:val="21"/>
          <w:szCs w:val="21"/>
          <w:shd w:val="clear" w:color="auto" w:fill="FFFFFF"/>
          <w:lang w:val="en-GB" w:eastAsia="es-ES_tradnl"/>
        </w:rPr>
        <w:t xml:space="preserve">n terms of states obligations with respect of businesses and enterprises, </w:t>
      </w:r>
      <w:r w:rsidR="00427832">
        <w:rPr>
          <w:rFonts w:ascii="Calibri" w:eastAsia="Times New Roman" w:hAnsi="Calibri" w:cs="Calibri"/>
          <w:color w:val="000000"/>
          <w:sz w:val="21"/>
          <w:szCs w:val="21"/>
          <w:shd w:val="clear" w:color="auto" w:fill="FFFFFF"/>
          <w:lang w:val="en-GB" w:eastAsia="es-ES_tradnl"/>
        </w:rPr>
        <w:t xml:space="preserve">the </w:t>
      </w:r>
      <w:hyperlink r:id="rId28" w:history="1">
        <w:r w:rsidR="00427832">
          <w:rPr>
            <w:rStyle w:val="Hyperlink"/>
            <w:rFonts w:cstheme="minorHAnsi"/>
            <w:sz w:val="21"/>
            <w:szCs w:val="21"/>
            <w:shd w:val="clear" w:color="auto" w:fill="FFFFFF"/>
            <w:lang w:val="en-GB"/>
          </w:rPr>
          <w:t>Council of Europe</w:t>
        </w:r>
        <w:r w:rsidR="00427832" w:rsidRPr="00AC0C62">
          <w:rPr>
            <w:rStyle w:val="Hyperlink"/>
            <w:rFonts w:cstheme="minorHAnsi"/>
            <w:sz w:val="21"/>
            <w:szCs w:val="21"/>
            <w:shd w:val="clear" w:color="auto" w:fill="FFFFFF"/>
            <w:lang w:val="en-GB"/>
          </w:rPr>
          <w:t xml:space="preserve"> Recommendation CM/Rec(2022)20 of the Committee of Ministers to member States on human rights and the protection of the environment</w:t>
        </w:r>
      </w:hyperlink>
      <w:r w:rsidR="00427832">
        <w:rPr>
          <w:rFonts w:cstheme="minorHAnsi"/>
          <w:color w:val="333333"/>
          <w:sz w:val="21"/>
          <w:szCs w:val="21"/>
          <w:shd w:val="clear" w:color="auto" w:fill="FFFFFF"/>
          <w:lang w:val="en-GB"/>
        </w:rPr>
        <w:t xml:space="preserve"> affirms that member S</w:t>
      </w:r>
      <w:r w:rsidR="00FD035A">
        <w:rPr>
          <w:rFonts w:ascii="Calibri" w:eastAsia="Times New Roman" w:hAnsi="Calibri" w:cs="Calibri"/>
          <w:color w:val="000000"/>
          <w:sz w:val="21"/>
          <w:szCs w:val="21"/>
          <w:shd w:val="clear" w:color="auto" w:fill="FFFFFF"/>
          <w:lang w:val="en-GB" w:eastAsia="es-ES_tradnl"/>
        </w:rPr>
        <w:t>tates should require business enterprises to act in compliance with their human rights responsibilities related to the environment, including by applying a smart mix of measures – national and international, mandatory and voluntary.</w:t>
      </w:r>
      <w:r w:rsidR="00427832">
        <w:rPr>
          <w:rFonts w:ascii="Calibri" w:eastAsia="Times New Roman" w:hAnsi="Calibri" w:cs="Calibri"/>
          <w:color w:val="000000"/>
          <w:sz w:val="21"/>
          <w:szCs w:val="21"/>
          <w:shd w:val="clear" w:color="auto" w:fill="FFFFFF"/>
          <w:lang w:val="en-GB" w:eastAsia="es-ES_tradnl"/>
        </w:rPr>
        <w:t xml:space="preserve"> The </w:t>
      </w:r>
      <w:hyperlink r:id="rId29" w:history="1">
        <w:r w:rsidR="00427832" w:rsidRPr="00427832">
          <w:rPr>
            <w:rStyle w:val="Hyperlink"/>
            <w:rFonts w:ascii="Calibri" w:eastAsia="Times New Roman" w:hAnsi="Calibri" w:cs="Calibri"/>
            <w:sz w:val="21"/>
            <w:szCs w:val="21"/>
            <w:shd w:val="clear" w:color="auto" w:fill="FFFFFF"/>
            <w:lang w:val="en-GB" w:eastAsia="es-ES_tradnl"/>
          </w:rPr>
          <w:t>Explanatory Memorandum</w:t>
        </w:r>
      </w:hyperlink>
      <w:r w:rsidR="00427832">
        <w:rPr>
          <w:rFonts w:ascii="Calibri" w:eastAsia="Times New Roman" w:hAnsi="Calibri" w:cs="Calibri"/>
          <w:color w:val="000000"/>
          <w:sz w:val="21"/>
          <w:szCs w:val="21"/>
          <w:shd w:val="clear" w:color="auto" w:fill="FFFFFF"/>
          <w:lang w:val="en-GB" w:eastAsia="es-ES_tradnl"/>
        </w:rPr>
        <w:t xml:space="preserve"> of </w:t>
      </w:r>
      <w:r w:rsidR="006C75C7">
        <w:rPr>
          <w:rFonts w:ascii="Calibri" w:eastAsia="Times New Roman" w:hAnsi="Calibri" w:cs="Calibri"/>
          <w:color w:val="000000"/>
          <w:sz w:val="21"/>
          <w:szCs w:val="21"/>
          <w:shd w:val="clear" w:color="auto" w:fill="FFFFFF"/>
          <w:lang w:val="en-GB" w:eastAsia="es-ES_tradnl"/>
        </w:rPr>
        <w:t>CM/Rec(2022)20 specifies this Recommendation, which is also applicable to children’s rights and would translate in recommending member States</w:t>
      </w:r>
      <w:r w:rsidR="00427832">
        <w:rPr>
          <w:rFonts w:ascii="Calibri" w:eastAsia="Times New Roman" w:hAnsi="Calibri" w:cs="Calibri"/>
          <w:color w:val="000000"/>
          <w:sz w:val="21"/>
          <w:szCs w:val="21"/>
          <w:shd w:val="clear" w:color="auto" w:fill="FFFFFF"/>
          <w:lang w:val="en-GB" w:eastAsia="es-ES_tradnl"/>
        </w:rPr>
        <w:t>:</w:t>
      </w:r>
    </w:p>
    <w:p w14:paraId="27E6F800" w14:textId="5EBA62A7" w:rsidR="00FD035A" w:rsidRPr="006C75C7" w:rsidRDefault="00427832" w:rsidP="00427832">
      <w:pPr>
        <w:pStyle w:val="ListParagraph"/>
        <w:numPr>
          <w:ilvl w:val="0"/>
          <w:numId w:val="38"/>
        </w:numPr>
        <w:spacing w:line="276" w:lineRule="auto"/>
        <w:jc w:val="both"/>
        <w:rPr>
          <w:rFonts w:eastAsia="Times New Roman" w:cstheme="minorHAnsi"/>
          <w:sz w:val="21"/>
          <w:szCs w:val="21"/>
          <w:shd w:val="clear" w:color="auto" w:fill="FFFFFF"/>
          <w:lang w:val="en-GB" w:eastAsia="es-ES_tradnl"/>
        </w:rPr>
      </w:pPr>
      <w:r w:rsidRPr="006C75C7">
        <w:rPr>
          <w:rFonts w:ascii="Calibri" w:eastAsia="Times New Roman" w:hAnsi="Calibri" w:cs="Calibri"/>
          <w:sz w:val="21"/>
          <w:szCs w:val="21"/>
          <w:shd w:val="clear" w:color="auto" w:fill="FFFFFF"/>
          <w:lang w:val="en-GB" w:eastAsia="es-ES_tradnl"/>
        </w:rPr>
        <w:t>to incorporate t</w:t>
      </w:r>
      <w:r w:rsidR="00FD035A" w:rsidRPr="006C75C7">
        <w:rPr>
          <w:rFonts w:ascii="Calibri" w:eastAsia="Times New Roman" w:hAnsi="Calibri" w:cs="Calibri"/>
          <w:sz w:val="21"/>
          <w:szCs w:val="21"/>
          <w:shd w:val="clear" w:color="auto" w:fill="FFFFFF"/>
          <w:lang w:val="en-GB" w:eastAsia="es-ES_tradnl"/>
        </w:rPr>
        <w:t xml:space="preserve">he environmental dimension of business responsibilities with respect of children’s </w:t>
      </w:r>
      <w:r w:rsidR="00FD035A" w:rsidRPr="006C75C7">
        <w:rPr>
          <w:rFonts w:eastAsia="Times New Roman" w:cstheme="minorHAnsi"/>
          <w:sz w:val="21"/>
          <w:szCs w:val="21"/>
          <w:shd w:val="clear" w:color="auto" w:fill="FFFFFF"/>
          <w:lang w:val="en-GB" w:eastAsia="es-ES_tradnl"/>
        </w:rPr>
        <w:t xml:space="preserve">rights into national policies and strategies, including in national action plans dealing with children’s rights in the context of the </w:t>
      </w:r>
      <w:proofErr w:type="gramStart"/>
      <w:r w:rsidR="00FD035A" w:rsidRPr="006C75C7">
        <w:rPr>
          <w:rFonts w:eastAsia="Times New Roman" w:cstheme="minorHAnsi"/>
          <w:sz w:val="21"/>
          <w:szCs w:val="21"/>
          <w:shd w:val="clear" w:color="auto" w:fill="FFFFFF"/>
          <w:lang w:val="en-GB" w:eastAsia="es-ES_tradnl"/>
        </w:rPr>
        <w:t>environment</w:t>
      </w:r>
      <w:r w:rsidRPr="006C75C7">
        <w:rPr>
          <w:rFonts w:eastAsia="Times New Roman" w:cstheme="minorHAnsi"/>
          <w:sz w:val="21"/>
          <w:szCs w:val="21"/>
          <w:shd w:val="clear" w:color="auto" w:fill="FFFFFF"/>
          <w:lang w:val="en-GB" w:eastAsia="es-ES_tradnl"/>
        </w:rPr>
        <w:t>;</w:t>
      </w:r>
      <w:proofErr w:type="gramEnd"/>
      <w:r w:rsidRPr="006C75C7">
        <w:rPr>
          <w:rFonts w:eastAsia="Times New Roman" w:cstheme="minorHAnsi"/>
          <w:sz w:val="21"/>
          <w:szCs w:val="21"/>
          <w:shd w:val="clear" w:color="auto" w:fill="FFFFFF"/>
          <w:lang w:val="en-GB" w:eastAsia="es-ES_tradnl"/>
        </w:rPr>
        <w:t xml:space="preserve"> </w:t>
      </w:r>
    </w:p>
    <w:p w14:paraId="2890D20C" w14:textId="66BDEED0" w:rsidR="003D78F3" w:rsidRPr="006C75C7" w:rsidRDefault="00427832" w:rsidP="00427832">
      <w:pPr>
        <w:pStyle w:val="ListParagraph"/>
        <w:numPr>
          <w:ilvl w:val="0"/>
          <w:numId w:val="38"/>
        </w:numPr>
        <w:spacing w:line="276" w:lineRule="auto"/>
        <w:jc w:val="both"/>
        <w:rPr>
          <w:rFonts w:eastAsia="Times New Roman" w:cstheme="minorHAnsi"/>
          <w:color w:val="333333"/>
          <w:sz w:val="21"/>
          <w:szCs w:val="21"/>
          <w:lang w:val="en-GB" w:eastAsia="en-GB"/>
        </w:rPr>
      </w:pPr>
      <w:r w:rsidRPr="006C75C7">
        <w:rPr>
          <w:rFonts w:eastAsia="Times New Roman" w:cstheme="minorHAnsi"/>
          <w:sz w:val="21"/>
          <w:szCs w:val="21"/>
          <w:shd w:val="clear" w:color="auto" w:fill="FFFFFF"/>
          <w:lang w:val="en-GB" w:eastAsia="es-ES_tradnl"/>
        </w:rPr>
        <w:lastRenderedPageBreak/>
        <w:t xml:space="preserve">to </w:t>
      </w:r>
      <w:r w:rsidR="003D78F3" w:rsidRPr="006C75C7">
        <w:rPr>
          <w:rFonts w:eastAsia="Times New Roman" w:cstheme="minorHAnsi"/>
          <w:sz w:val="21"/>
          <w:szCs w:val="21"/>
          <w:lang w:val="en-GB" w:eastAsia="en-GB"/>
        </w:rPr>
        <w:t xml:space="preserve">apply </w:t>
      </w:r>
      <w:r w:rsidRPr="006C75C7">
        <w:rPr>
          <w:rFonts w:eastAsia="Times New Roman" w:cstheme="minorHAnsi"/>
          <w:sz w:val="21"/>
          <w:szCs w:val="21"/>
          <w:lang w:val="en-GB" w:eastAsia="en-GB"/>
        </w:rPr>
        <w:t>the necessary</w:t>
      </w:r>
      <w:r w:rsidR="003D78F3" w:rsidRPr="006C75C7">
        <w:rPr>
          <w:rFonts w:eastAsia="Times New Roman" w:cstheme="minorHAnsi"/>
          <w:sz w:val="21"/>
          <w:szCs w:val="21"/>
          <w:lang w:val="en-GB" w:eastAsia="en-GB"/>
        </w:rPr>
        <w:t xml:space="preserve"> measures to encourage or, where appropriate, require business enterprises that are domiciled within their jurisdiction to apply </w:t>
      </w:r>
      <w:r w:rsidR="006C75C7" w:rsidRPr="006C75C7">
        <w:rPr>
          <w:rFonts w:eastAsia="Times New Roman" w:cstheme="minorHAnsi"/>
          <w:sz w:val="21"/>
          <w:szCs w:val="21"/>
          <w:lang w:val="en-GB" w:eastAsia="en-GB"/>
        </w:rPr>
        <w:t xml:space="preserve">children and </w:t>
      </w:r>
      <w:r w:rsidR="003D78F3" w:rsidRPr="006C75C7">
        <w:rPr>
          <w:rFonts w:eastAsia="Times New Roman" w:cstheme="minorHAnsi"/>
          <w:sz w:val="21"/>
          <w:szCs w:val="21"/>
          <w:lang w:val="en-GB" w:eastAsia="en-GB"/>
        </w:rPr>
        <w:t xml:space="preserve">human rights due diligence throughout their operations, and those that conduct substantial activities within their territory to carry out human </w:t>
      </w:r>
      <w:proofErr w:type="gramStart"/>
      <w:r w:rsidR="003D78F3" w:rsidRPr="006C75C7">
        <w:rPr>
          <w:rFonts w:eastAsia="Times New Roman" w:cstheme="minorHAnsi"/>
          <w:sz w:val="21"/>
          <w:szCs w:val="21"/>
          <w:lang w:val="en-GB" w:eastAsia="en-GB"/>
        </w:rPr>
        <w:t>rights</w:t>
      </w:r>
      <w:proofErr w:type="gramEnd"/>
      <w:r w:rsidR="003D78F3" w:rsidRPr="006C75C7">
        <w:rPr>
          <w:rFonts w:eastAsia="Times New Roman" w:cstheme="minorHAnsi"/>
          <w:sz w:val="21"/>
          <w:szCs w:val="21"/>
          <w:lang w:val="en-GB" w:eastAsia="en-GB"/>
        </w:rPr>
        <w:t xml:space="preserve"> due diligence in respect of such activities, as appropriate to the size of the business enterprise and the nature and context of the operations. In doing so, businesses should avoid causing or contributing to adverse human rights impacts through environmental harm, address such impacts when they occur, and seek to prevent or mitigate adverse human rights impacts that are directly linked to their business activities</w:t>
      </w:r>
      <w:r w:rsidRPr="006C75C7">
        <w:rPr>
          <w:rFonts w:eastAsia="Times New Roman" w:cstheme="minorHAnsi"/>
          <w:sz w:val="21"/>
          <w:szCs w:val="21"/>
          <w:lang w:val="en-GB" w:eastAsia="en-GB"/>
        </w:rPr>
        <w:t xml:space="preserve">, as recommended by </w:t>
      </w:r>
      <w:hyperlink r:id="rId30" w:history="1">
        <w:r w:rsidRPr="006C75C7">
          <w:rPr>
            <w:rStyle w:val="Hyperlink"/>
            <w:rFonts w:eastAsia="Times New Roman" w:cstheme="minorHAnsi"/>
            <w:sz w:val="21"/>
            <w:szCs w:val="21"/>
            <w:lang w:val="en-GB" w:eastAsia="en-GB"/>
          </w:rPr>
          <w:t xml:space="preserve">CM/Rec(2016)3 on human rights and business; </w:t>
        </w:r>
      </w:hyperlink>
      <w:r w:rsidR="006C75C7">
        <w:rPr>
          <w:rFonts w:eastAsia="Times New Roman" w:cstheme="minorHAnsi"/>
          <w:sz w:val="21"/>
          <w:szCs w:val="21"/>
          <w:lang w:val="en-GB" w:eastAsia="en-GB"/>
        </w:rPr>
        <w:t>and</w:t>
      </w:r>
    </w:p>
    <w:p w14:paraId="303E43AF" w14:textId="77777777" w:rsidR="001E54B3" w:rsidRDefault="006C75C7" w:rsidP="001E54B3">
      <w:pPr>
        <w:pStyle w:val="ListParagraph"/>
        <w:numPr>
          <w:ilvl w:val="0"/>
          <w:numId w:val="38"/>
        </w:numPr>
        <w:spacing w:line="276" w:lineRule="auto"/>
        <w:jc w:val="both"/>
        <w:rPr>
          <w:rFonts w:eastAsia="Times New Roman" w:cstheme="minorHAnsi"/>
          <w:sz w:val="21"/>
          <w:szCs w:val="21"/>
          <w:lang w:val="en-GB" w:eastAsia="en-GB"/>
        </w:rPr>
      </w:pPr>
      <w:r>
        <w:rPr>
          <w:rFonts w:eastAsia="Times New Roman" w:cstheme="minorHAnsi"/>
          <w:sz w:val="21"/>
          <w:szCs w:val="21"/>
          <w:lang w:val="en-GB" w:eastAsia="en-GB"/>
        </w:rPr>
        <w:t xml:space="preserve">to </w:t>
      </w:r>
      <w:r w:rsidR="003D78F3" w:rsidRPr="006C75C7">
        <w:rPr>
          <w:rFonts w:eastAsia="Times New Roman" w:cstheme="minorHAnsi"/>
          <w:sz w:val="21"/>
          <w:szCs w:val="21"/>
          <w:lang w:val="en-GB" w:eastAsia="en-GB"/>
        </w:rPr>
        <w:t xml:space="preserve">take appropriate steps, in accordance with their international obligations, to ensure that when such </w:t>
      </w:r>
      <w:r w:rsidRPr="006C75C7">
        <w:rPr>
          <w:rFonts w:eastAsia="Times New Roman" w:cstheme="minorHAnsi"/>
          <w:sz w:val="21"/>
          <w:szCs w:val="21"/>
          <w:lang w:val="en-GB" w:eastAsia="en-GB"/>
        </w:rPr>
        <w:t xml:space="preserve">business-related human rights abuses resulting from environmental harm </w:t>
      </w:r>
      <w:r w:rsidR="003D78F3" w:rsidRPr="006C75C7">
        <w:rPr>
          <w:rFonts w:eastAsia="Times New Roman" w:cstheme="minorHAnsi"/>
          <w:sz w:val="21"/>
          <w:szCs w:val="21"/>
          <w:lang w:val="en-GB" w:eastAsia="en-GB"/>
        </w:rPr>
        <w:t>abuses occur, those affected</w:t>
      </w:r>
      <w:r>
        <w:rPr>
          <w:rFonts w:eastAsia="Times New Roman" w:cstheme="minorHAnsi"/>
          <w:sz w:val="21"/>
          <w:szCs w:val="21"/>
          <w:lang w:val="en-GB" w:eastAsia="en-GB"/>
        </w:rPr>
        <w:t>, including children,</w:t>
      </w:r>
      <w:r w:rsidR="003D78F3" w:rsidRPr="006C75C7">
        <w:rPr>
          <w:rFonts w:eastAsia="Times New Roman" w:cstheme="minorHAnsi"/>
          <w:sz w:val="21"/>
          <w:szCs w:val="21"/>
          <w:lang w:val="en-GB" w:eastAsia="en-GB"/>
        </w:rPr>
        <w:t xml:space="preserve"> have access to effective judicial and non-judicial remedies</w:t>
      </w:r>
      <w:r w:rsidR="00021E63">
        <w:rPr>
          <w:rFonts w:eastAsia="Times New Roman" w:cstheme="minorHAnsi"/>
          <w:sz w:val="21"/>
          <w:szCs w:val="21"/>
          <w:lang w:val="en-GB" w:eastAsia="en-GB"/>
        </w:rPr>
        <w:t>.</w:t>
      </w:r>
    </w:p>
    <w:p w14:paraId="565C534C" w14:textId="2AAAACF9" w:rsidR="001E54B3" w:rsidRDefault="001E54B3" w:rsidP="001E54B3">
      <w:pPr>
        <w:spacing w:line="276" w:lineRule="auto"/>
        <w:jc w:val="both"/>
        <w:rPr>
          <w:rFonts w:eastAsia="Times New Roman" w:cstheme="minorHAnsi"/>
          <w:sz w:val="21"/>
          <w:szCs w:val="21"/>
          <w:lang w:val="en-GB" w:eastAsia="en-GB"/>
        </w:rPr>
      </w:pPr>
      <w:proofErr w:type="gramStart"/>
      <w:r>
        <w:rPr>
          <w:rFonts w:eastAsia="Times New Roman" w:cstheme="minorHAnsi"/>
          <w:sz w:val="21"/>
          <w:szCs w:val="21"/>
          <w:lang w:val="en-GB" w:eastAsia="en-GB"/>
        </w:rPr>
        <w:t>Last but not least</w:t>
      </w:r>
      <w:proofErr w:type="gramEnd"/>
      <w:r>
        <w:rPr>
          <w:rFonts w:eastAsia="Times New Roman" w:cstheme="minorHAnsi"/>
          <w:sz w:val="21"/>
          <w:szCs w:val="21"/>
          <w:lang w:val="en-GB" w:eastAsia="en-GB"/>
        </w:rPr>
        <w:t xml:space="preserve">, it is relevant to mention that during the </w:t>
      </w:r>
      <w:r w:rsidRPr="001E54B3">
        <w:rPr>
          <w:rFonts w:eastAsia="Times New Roman" w:cstheme="minorHAnsi"/>
          <w:sz w:val="21"/>
          <w:szCs w:val="21"/>
          <w:lang w:val="en-GB" w:eastAsia="en-GB"/>
        </w:rPr>
        <w:t>deep dive conversation “Recognising and enforcing children’s environmental rights”</w:t>
      </w:r>
      <w:r>
        <w:rPr>
          <w:rFonts w:eastAsia="Times New Roman" w:cstheme="minorHAnsi"/>
          <w:sz w:val="21"/>
          <w:szCs w:val="21"/>
          <w:lang w:val="en-GB" w:eastAsia="en-GB"/>
        </w:rPr>
        <w:t xml:space="preserve">, which took place in Rome during the Launching Conference of the new Strategy for the Rights of the Child, it was concluded that Governments should: </w:t>
      </w:r>
    </w:p>
    <w:p w14:paraId="343638DD" w14:textId="77777777" w:rsidR="001E54B3" w:rsidRDefault="001E54B3" w:rsidP="001E54B3">
      <w:pPr>
        <w:pStyle w:val="ListParagraph"/>
        <w:numPr>
          <w:ilvl w:val="0"/>
          <w:numId w:val="38"/>
        </w:numPr>
        <w:spacing w:line="276" w:lineRule="auto"/>
        <w:jc w:val="both"/>
        <w:rPr>
          <w:rFonts w:eastAsia="Times New Roman" w:cstheme="minorHAnsi"/>
          <w:sz w:val="21"/>
          <w:szCs w:val="21"/>
          <w:lang w:val="en-GB" w:eastAsia="en-GB"/>
        </w:rPr>
      </w:pPr>
      <w:r w:rsidRPr="00753A5B">
        <w:rPr>
          <w:rFonts w:eastAsia="Times New Roman" w:cstheme="minorHAnsi"/>
          <w:sz w:val="21"/>
          <w:szCs w:val="21"/>
          <w:lang w:val="en-GB" w:eastAsia="en-GB"/>
        </w:rPr>
        <w:t>Enact national legal and policy frameworks which address climate change and environmental protection from a child-rights approach.</w:t>
      </w:r>
    </w:p>
    <w:p w14:paraId="4BDBFF1B" w14:textId="77777777" w:rsidR="001E54B3" w:rsidRDefault="001E54B3" w:rsidP="001E54B3">
      <w:pPr>
        <w:pStyle w:val="ListParagraph"/>
        <w:numPr>
          <w:ilvl w:val="0"/>
          <w:numId w:val="38"/>
        </w:numPr>
        <w:spacing w:line="276" w:lineRule="auto"/>
        <w:jc w:val="both"/>
        <w:rPr>
          <w:rFonts w:eastAsia="Times New Roman" w:cstheme="minorHAnsi"/>
          <w:sz w:val="21"/>
          <w:szCs w:val="21"/>
          <w:lang w:val="en-GB" w:eastAsia="en-GB"/>
        </w:rPr>
      </w:pPr>
      <w:r w:rsidRPr="00753A5B">
        <w:rPr>
          <w:rFonts w:eastAsia="Times New Roman" w:cstheme="minorHAnsi"/>
          <w:sz w:val="21"/>
          <w:szCs w:val="21"/>
          <w:lang w:val="en-GB" w:eastAsia="en-GB"/>
        </w:rPr>
        <w:t xml:space="preserve">Create safe spaces for children to express themselves, protecting children and adult human rights defenders from </w:t>
      </w:r>
      <w:proofErr w:type="gramStart"/>
      <w:r w:rsidRPr="00753A5B">
        <w:rPr>
          <w:rFonts w:eastAsia="Times New Roman" w:cstheme="minorHAnsi"/>
          <w:sz w:val="21"/>
          <w:szCs w:val="21"/>
          <w:lang w:val="en-GB" w:eastAsia="en-GB"/>
        </w:rPr>
        <w:t>reprisals;</w:t>
      </w:r>
      <w:proofErr w:type="gramEnd"/>
    </w:p>
    <w:p w14:paraId="560B561D" w14:textId="77777777" w:rsidR="001E54B3" w:rsidRDefault="001E54B3" w:rsidP="001E54B3">
      <w:pPr>
        <w:pStyle w:val="ListParagraph"/>
        <w:numPr>
          <w:ilvl w:val="0"/>
          <w:numId w:val="38"/>
        </w:numPr>
        <w:spacing w:line="276" w:lineRule="auto"/>
        <w:jc w:val="both"/>
        <w:rPr>
          <w:rFonts w:eastAsia="Times New Roman" w:cstheme="minorHAnsi"/>
          <w:sz w:val="21"/>
          <w:szCs w:val="21"/>
          <w:lang w:val="en-GB" w:eastAsia="en-GB"/>
        </w:rPr>
      </w:pPr>
      <w:r w:rsidRPr="00753A5B">
        <w:rPr>
          <w:rFonts w:eastAsia="Times New Roman" w:cstheme="minorHAnsi"/>
          <w:sz w:val="21"/>
          <w:szCs w:val="21"/>
          <w:lang w:val="en-GB" w:eastAsia="en-GB"/>
        </w:rPr>
        <w:t xml:space="preserve">Ensure access to justice for children in climate </w:t>
      </w:r>
      <w:proofErr w:type="gramStart"/>
      <w:r w:rsidRPr="00753A5B">
        <w:rPr>
          <w:rFonts w:eastAsia="Times New Roman" w:cstheme="minorHAnsi"/>
          <w:sz w:val="21"/>
          <w:szCs w:val="21"/>
          <w:lang w:val="en-GB" w:eastAsia="en-GB"/>
        </w:rPr>
        <w:t>cases;</w:t>
      </w:r>
      <w:proofErr w:type="gramEnd"/>
    </w:p>
    <w:p w14:paraId="0077153B" w14:textId="2CA1D2B1" w:rsidR="001E54B3" w:rsidRDefault="001E54B3" w:rsidP="001E54B3">
      <w:pPr>
        <w:pStyle w:val="ListParagraph"/>
        <w:numPr>
          <w:ilvl w:val="0"/>
          <w:numId w:val="38"/>
        </w:numPr>
        <w:spacing w:line="276" w:lineRule="auto"/>
        <w:jc w:val="both"/>
        <w:rPr>
          <w:rFonts w:eastAsia="Times New Roman" w:cstheme="minorHAnsi"/>
          <w:sz w:val="21"/>
          <w:szCs w:val="21"/>
          <w:lang w:val="en-GB" w:eastAsia="en-GB"/>
        </w:rPr>
      </w:pPr>
      <w:r w:rsidRPr="00753A5B">
        <w:rPr>
          <w:rFonts w:eastAsia="Times New Roman" w:cstheme="minorHAnsi"/>
          <w:sz w:val="21"/>
          <w:szCs w:val="21"/>
          <w:lang w:val="en-GB" w:eastAsia="en-GB"/>
        </w:rPr>
        <w:t>Ensure that environmental education happens at all levels, both for children and professionals (</w:t>
      </w:r>
      <w:proofErr w:type="gramStart"/>
      <w:r w:rsidRPr="00753A5B">
        <w:rPr>
          <w:rFonts w:eastAsia="Times New Roman" w:cstheme="minorHAnsi"/>
          <w:sz w:val="21"/>
          <w:szCs w:val="21"/>
          <w:lang w:val="en-GB" w:eastAsia="en-GB"/>
        </w:rPr>
        <w:t>e.g.</w:t>
      </w:r>
      <w:proofErr w:type="gramEnd"/>
      <w:r w:rsidRPr="00753A5B">
        <w:rPr>
          <w:rFonts w:eastAsia="Times New Roman" w:cstheme="minorHAnsi"/>
          <w:sz w:val="21"/>
          <w:szCs w:val="21"/>
          <w:lang w:val="en-GB" w:eastAsia="en-GB"/>
        </w:rPr>
        <w:t xml:space="preserve"> prescribing it through law)</w:t>
      </w:r>
      <w:r>
        <w:rPr>
          <w:rFonts w:eastAsia="Times New Roman" w:cstheme="minorHAnsi"/>
          <w:sz w:val="21"/>
          <w:szCs w:val="21"/>
          <w:lang w:val="en-GB" w:eastAsia="en-GB"/>
        </w:rPr>
        <w:t>;</w:t>
      </w:r>
    </w:p>
    <w:p w14:paraId="7AD04712" w14:textId="6CF03DC8" w:rsidR="001E54B3" w:rsidRPr="00753A5B" w:rsidRDefault="001E54B3" w:rsidP="001E54B3">
      <w:pPr>
        <w:pStyle w:val="ListParagraph"/>
        <w:numPr>
          <w:ilvl w:val="0"/>
          <w:numId w:val="38"/>
        </w:numPr>
        <w:spacing w:line="276" w:lineRule="auto"/>
        <w:jc w:val="both"/>
        <w:rPr>
          <w:rFonts w:eastAsia="Times New Roman" w:cstheme="minorHAnsi"/>
          <w:sz w:val="21"/>
          <w:szCs w:val="21"/>
          <w:lang w:val="en-GB" w:eastAsia="en-GB"/>
        </w:rPr>
      </w:pPr>
      <w:r w:rsidRPr="00753A5B">
        <w:rPr>
          <w:rFonts w:eastAsia="Times New Roman" w:cstheme="minorHAnsi"/>
          <w:sz w:val="21"/>
          <w:szCs w:val="21"/>
          <w:lang w:val="en-GB" w:eastAsia="en-GB"/>
        </w:rPr>
        <w:t>Raise awareness of children and adults to induce new behaviours and mind-sets (inter-generational justice)</w:t>
      </w:r>
    </w:p>
    <w:p w14:paraId="6E43A814" w14:textId="77777777" w:rsidR="0018098E" w:rsidRDefault="0018098E" w:rsidP="000B56A3">
      <w:pPr>
        <w:spacing w:line="276" w:lineRule="auto"/>
        <w:jc w:val="both"/>
        <w:rPr>
          <w:rFonts w:ascii="Calibri" w:eastAsia="Times New Roman" w:hAnsi="Calibri" w:cs="Calibri"/>
          <w:b/>
          <w:bCs/>
          <w:color w:val="000000"/>
          <w:sz w:val="21"/>
          <w:szCs w:val="21"/>
          <w:shd w:val="clear" w:color="auto" w:fill="FFFFFF"/>
          <w:lang w:val="en-GB" w:eastAsia="es-ES_tradnl"/>
        </w:rPr>
      </w:pPr>
    </w:p>
    <w:p w14:paraId="164D3E6F" w14:textId="0EC88D83" w:rsidR="00744555" w:rsidRDefault="004E4186" w:rsidP="000B56A3">
      <w:pPr>
        <w:pStyle w:val="ListParagraph"/>
        <w:numPr>
          <w:ilvl w:val="0"/>
          <w:numId w:val="22"/>
        </w:numPr>
        <w:spacing w:line="276" w:lineRule="auto"/>
        <w:jc w:val="both"/>
        <w:rPr>
          <w:b/>
          <w:bCs/>
          <w:sz w:val="21"/>
          <w:szCs w:val="21"/>
          <w:lang w:val="en-GB"/>
        </w:rPr>
      </w:pPr>
      <w:r w:rsidRPr="004E4186">
        <w:rPr>
          <w:b/>
          <w:bCs/>
          <w:sz w:val="21"/>
          <w:szCs w:val="21"/>
          <w:lang w:val="en-GB"/>
        </w:rPr>
        <w:t xml:space="preserve">CLIMATE CHANGE </w:t>
      </w:r>
      <w:r w:rsidR="000B56A3">
        <w:rPr>
          <w:b/>
          <w:bCs/>
          <w:sz w:val="21"/>
          <w:szCs w:val="21"/>
          <w:lang w:val="en-GB"/>
        </w:rPr>
        <w:t>(Section VI)</w:t>
      </w:r>
    </w:p>
    <w:p w14:paraId="3FCABCF5" w14:textId="4A24EAA7" w:rsidR="00473396" w:rsidRDefault="00473396" w:rsidP="000B56A3">
      <w:pPr>
        <w:spacing w:line="276" w:lineRule="auto"/>
        <w:jc w:val="both"/>
        <w:rPr>
          <w:rFonts w:cstheme="minorHAnsi"/>
          <w:color w:val="161616"/>
          <w:sz w:val="21"/>
          <w:szCs w:val="21"/>
          <w:shd w:val="clear" w:color="auto" w:fill="FFFFFF"/>
          <w:lang w:val="en-GB"/>
        </w:rPr>
      </w:pPr>
      <w:r>
        <w:rPr>
          <w:sz w:val="21"/>
          <w:szCs w:val="21"/>
          <w:lang w:val="en-GB"/>
        </w:rPr>
        <w:t>In line with the draft General Comment</w:t>
      </w:r>
      <w:r w:rsidR="000B56A3">
        <w:rPr>
          <w:sz w:val="21"/>
          <w:szCs w:val="21"/>
          <w:lang w:val="en-GB"/>
        </w:rPr>
        <w:t xml:space="preserve"> (</w:t>
      </w:r>
      <w:r w:rsidR="000B56A3" w:rsidRPr="002A1DD3">
        <w:rPr>
          <w:bCs/>
          <w:sz w:val="21"/>
          <w:szCs w:val="21"/>
          <w:lang w:val="en-GB"/>
        </w:rPr>
        <w:t>§</w:t>
      </w:r>
      <w:r w:rsidR="000B56A3">
        <w:rPr>
          <w:bCs/>
          <w:sz w:val="21"/>
          <w:szCs w:val="21"/>
          <w:lang w:val="en-GB"/>
        </w:rPr>
        <w:t>101)</w:t>
      </w:r>
      <w:r>
        <w:rPr>
          <w:sz w:val="21"/>
          <w:szCs w:val="21"/>
          <w:lang w:val="en-GB"/>
        </w:rPr>
        <w:t xml:space="preserve">, the </w:t>
      </w:r>
      <w:hyperlink r:id="rId31" w:history="1">
        <w:r w:rsidRPr="00473396">
          <w:rPr>
            <w:rStyle w:val="Hyperlink"/>
            <w:rFonts w:cstheme="minorHAnsi"/>
            <w:sz w:val="21"/>
            <w:szCs w:val="21"/>
            <w:shd w:val="clear" w:color="auto" w:fill="FFFFFF"/>
            <w:lang w:val="en-GB"/>
          </w:rPr>
          <w:t>Council of Europe Parliamentary Assembly Resolution 2415 (2022) “Inaction on climate change – a violation of children’s rights</w:t>
        </w:r>
      </w:hyperlink>
      <w:r>
        <w:rPr>
          <w:rFonts w:cstheme="minorHAnsi"/>
          <w:color w:val="161616"/>
          <w:sz w:val="21"/>
          <w:szCs w:val="21"/>
          <w:shd w:val="clear" w:color="auto" w:fill="FFFFFF"/>
          <w:lang w:val="en-GB"/>
        </w:rPr>
        <w:t xml:space="preserve"> has also called on </w:t>
      </w:r>
      <w:r w:rsidR="00021E63">
        <w:rPr>
          <w:rFonts w:cstheme="minorHAnsi"/>
          <w:color w:val="161616"/>
          <w:sz w:val="21"/>
          <w:szCs w:val="21"/>
          <w:shd w:val="clear" w:color="auto" w:fill="FFFFFF"/>
          <w:lang w:val="en-GB"/>
        </w:rPr>
        <w:t>s</w:t>
      </w:r>
      <w:r>
        <w:rPr>
          <w:rFonts w:cstheme="minorHAnsi"/>
          <w:color w:val="161616"/>
          <w:sz w:val="21"/>
          <w:szCs w:val="21"/>
          <w:shd w:val="clear" w:color="auto" w:fill="FFFFFF"/>
          <w:lang w:val="en-GB"/>
        </w:rPr>
        <w:t>tates, in the best interests of children,</w:t>
      </w:r>
      <w:r w:rsidRPr="00473396">
        <w:rPr>
          <w:rFonts w:cstheme="minorHAnsi"/>
          <w:color w:val="161616"/>
          <w:sz w:val="21"/>
          <w:szCs w:val="21"/>
          <w:shd w:val="clear" w:color="auto" w:fill="FFFFFF"/>
          <w:lang w:val="en-GB"/>
        </w:rPr>
        <w:t xml:space="preserve"> </w:t>
      </w:r>
      <w:r>
        <w:rPr>
          <w:rFonts w:cstheme="minorHAnsi"/>
          <w:color w:val="161616"/>
          <w:sz w:val="21"/>
          <w:szCs w:val="21"/>
          <w:shd w:val="clear" w:color="auto" w:fill="FFFFFF"/>
          <w:lang w:val="en-GB"/>
        </w:rPr>
        <w:t>to</w:t>
      </w:r>
      <w:r w:rsidRPr="00473396">
        <w:rPr>
          <w:rFonts w:cstheme="minorHAnsi"/>
          <w:color w:val="161616"/>
          <w:sz w:val="21"/>
          <w:szCs w:val="21"/>
          <w:shd w:val="clear" w:color="auto" w:fill="FFFFFF"/>
          <w:lang w:val="en-GB"/>
        </w:rPr>
        <w:t xml:space="preserve"> give priority to climate change adaptation policies favouring the resilience of children to climate change and initiative</w:t>
      </w:r>
      <w:r>
        <w:rPr>
          <w:rFonts w:cstheme="minorHAnsi"/>
          <w:color w:val="161616"/>
          <w:sz w:val="21"/>
          <w:szCs w:val="21"/>
          <w:shd w:val="clear" w:color="auto" w:fill="FFFFFF"/>
          <w:lang w:val="en-GB"/>
        </w:rPr>
        <w:t>s</w:t>
      </w:r>
      <w:r w:rsidRPr="00473396">
        <w:rPr>
          <w:rFonts w:cstheme="minorHAnsi"/>
          <w:color w:val="161616"/>
          <w:sz w:val="21"/>
          <w:szCs w:val="21"/>
          <w:shd w:val="clear" w:color="auto" w:fill="FFFFFF"/>
          <w:lang w:val="en-GB"/>
        </w:rPr>
        <w:t xml:space="preserve"> to improve the quality of the life and health of children, notably via the development of resilient and green infrastructures in schools, the obligation to use short supply routes for food products and the promotion of “good for the planet” meals in schools.</w:t>
      </w:r>
      <w:r>
        <w:rPr>
          <w:rFonts w:cstheme="minorHAnsi"/>
          <w:color w:val="161616"/>
          <w:sz w:val="21"/>
          <w:szCs w:val="21"/>
          <w:shd w:val="clear" w:color="auto" w:fill="FFFFFF"/>
          <w:lang w:val="en-GB"/>
        </w:rPr>
        <w:t xml:space="preserve"> </w:t>
      </w:r>
      <w:r w:rsidR="000B56A3">
        <w:rPr>
          <w:rFonts w:cstheme="minorHAnsi"/>
          <w:color w:val="161616"/>
          <w:sz w:val="21"/>
          <w:szCs w:val="21"/>
          <w:shd w:val="clear" w:color="auto" w:fill="FFFFFF"/>
          <w:lang w:val="en-GB"/>
        </w:rPr>
        <w:t xml:space="preserve">These examples could be added to the </w:t>
      </w:r>
      <w:r w:rsidR="00427832">
        <w:rPr>
          <w:rFonts w:cstheme="minorHAnsi"/>
          <w:color w:val="161616"/>
          <w:sz w:val="21"/>
          <w:szCs w:val="21"/>
          <w:shd w:val="clear" w:color="auto" w:fill="FFFFFF"/>
          <w:lang w:val="en-GB"/>
        </w:rPr>
        <w:t>General Comment</w:t>
      </w:r>
      <w:r w:rsidR="000B56A3">
        <w:rPr>
          <w:rFonts w:cstheme="minorHAnsi"/>
          <w:color w:val="161616"/>
          <w:sz w:val="21"/>
          <w:szCs w:val="21"/>
          <w:shd w:val="clear" w:color="auto" w:fill="FFFFFF"/>
          <w:lang w:val="en-GB"/>
        </w:rPr>
        <w:t xml:space="preserve">. </w:t>
      </w:r>
    </w:p>
    <w:p w14:paraId="77FD23A4" w14:textId="77777777" w:rsidR="00473396" w:rsidRPr="00D2382C" w:rsidRDefault="00473396" w:rsidP="000B56A3">
      <w:pPr>
        <w:spacing w:line="276" w:lineRule="auto"/>
        <w:jc w:val="both"/>
        <w:rPr>
          <w:sz w:val="21"/>
          <w:szCs w:val="21"/>
          <w:lang w:val="en-GB"/>
        </w:rPr>
      </w:pPr>
    </w:p>
    <w:sectPr w:rsidR="00473396" w:rsidRPr="00D2382C" w:rsidSect="005672CE">
      <w:footerReference w:type="default" r:id="rId32"/>
      <w:headerReference w:type="first" r:id="rId33"/>
      <w:footerReference w:type="first" r:id="rId34"/>
      <w:endnotePr>
        <w:numFmt w:val="decimal"/>
      </w:endnotePr>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E928" w14:textId="77777777" w:rsidR="00500FF5" w:rsidRDefault="00500FF5" w:rsidP="008C6367">
      <w:pPr>
        <w:spacing w:after="0" w:line="240" w:lineRule="auto"/>
      </w:pPr>
      <w:r>
        <w:separator/>
      </w:r>
    </w:p>
  </w:endnote>
  <w:endnote w:type="continuationSeparator" w:id="0">
    <w:p w14:paraId="51EBF7B3" w14:textId="77777777" w:rsidR="00500FF5" w:rsidRDefault="00500FF5" w:rsidP="008C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553414"/>
      <w:docPartObj>
        <w:docPartGallery w:val="Page Numbers (Bottom of Page)"/>
        <w:docPartUnique/>
      </w:docPartObj>
    </w:sdtPr>
    <w:sdtContent>
      <w:p w14:paraId="1579214E" w14:textId="78DBCC9F" w:rsidR="00A03707" w:rsidRDefault="00A03707">
        <w:pPr>
          <w:pStyle w:val="Footer"/>
          <w:jc w:val="right"/>
        </w:pPr>
        <w:r>
          <w:fldChar w:fldCharType="begin"/>
        </w:r>
        <w:r>
          <w:instrText>PAGE   \* MERGEFORMAT</w:instrText>
        </w:r>
        <w:r>
          <w:fldChar w:fldCharType="separate"/>
        </w:r>
        <w:r>
          <w:t>2</w:t>
        </w:r>
        <w:r>
          <w:fldChar w:fldCharType="end"/>
        </w:r>
      </w:p>
    </w:sdtContent>
  </w:sdt>
  <w:p w14:paraId="738561C2" w14:textId="77777777" w:rsidR="00A03707" w:rsidRDefault="00A03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101767"/>
      <w:docPartObj>
        <w:docPartGallery w:val="Page Numbers (Bottom of Page)"/>
        <w:docPartUnique/>
      </w:docPartObj>
    </w:sdtPr>
    <w:sdtContent>
      <w:p w14:paraId="5944CBDD" w14:textId="26D8515F" w:rsidR="00A03707" w:rsidRDefault="00A03707">
        <w:pPr>
          <w:pStyle w:val="Footer"/>
          <w:jc w:val="right"/>
        </w:pPr>
        <w:r>
          <w:fldChar w:fldCharType="begin"/>
        </w:r>
        <w:r>
          <w:instrText>PAGE   \* MERGEFORMAT</w:instrText>
        </w:r>
        <w:r>
          <w:fldChar w:fldCharType="separate"/>
        </w:r>
        <w:r>
          <w:t>2</w:t>
        </w:r>
        <w:r>
          <w:fldChar w:fldCharType="end"/>
        </w:r>
      </w:p>
    </w:sdtContent>
  </w:sdt>
  <w:p w14:paraId="3F8944F7" w14:textId="77777777" w:rsidR="00A03707" w:rsidRDefault="00A0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4199" w14:textId="77777777" w:rsidR="00500FF5" w:rsidRDefault="00500FF5" w:rsidP="008C6367">
      <w:pPr>
        <w:spacing w:after="0" w:line="240" w:lineRule="auto"/>
      </w:pPr>
      <w:r>
        <w:separator/>
      </w:r>
    </w:p>
  </w:footnote>
  <w:footnote w:type="continuationSeparator" w:id="0">
    <w:p w14:paraId="11CA6EC6" w14:textId="77777777" w:rsidR="00500FF5" w:rsidRDefault="00500FF5" w:rsidP="008C6367">
      <w:pPr>
        <w:spacing w:after="0" w:line="240" w:lineRule="auto"/>
      </w:pPr>
      <w:r>
        <w:continuationSeparator/>
      </w:r>
    </w:p>
  </w:footnote>
  <w:footnote w:id="1">
    <w:p w14:paraId="679A700D" w14:textId="10B7C34F" w:rsidR="001E54B3" w:rsidRPr="00753A5B" w:rsidRDefault="001E54B3">
      <w:pPr>
        <w:pStyle w:val="FootnoteText"/>
        <w:rPr>
          <w:sz w:val="18"/>
          <w:szCs w:val="18"/>
        </w:rPr>
      </w:pPr>
      <w:r w:rsidRPr="00753A5B">
        <w:rPr>
          <w:rStyle w:val="FootnoteReference"/>
          <w:sz w:val="18"/>
          <w:szCs w:val="18"/>
        </w:rPr>
        <w:footnoteRef/>
      </w:r>
      <w:r w:rsidRPr="00753A5B">
        <w:rPr>
          <w:rStyle w:val="FootnoteReference"/>
          <w:sz w:val="18"/>
          <w:szCs w:val="18"/>
        </w:rPr>
        <w:t xml:space="preserve"> “</w:t>
      </w:r>
      <w:r w:rsidRPr="00753A5B">
        <w:t xml:space="preserve">Neither Article 8 nor any of the other Articles of the Convention are specifically designed to provide general protection of the environment as such; to that effect, other international instruments and domestic legislation are more pertinent in dealing with this </w:t>
      </w:r>
      <w:proofErr w:type="gramStart"/>
      <w:r w:rsidRPr="00753A5B">
        <w:t>particular aspect</w:t>
      </w:r>
      <w:proofErr w:type="gramEnd"/>
      <w:r w:rsidRPr="00753A5B">
        <w:t xml:space="preserve">” </w:t>
      </w:r>
      <w:proofErr w:type="spellStart"/>
      <w:r w:rsidRPr="00753A5B">
        <w:t>Kyrtatos</w:t>
      </w:r>
      <w:proofErr w:type="spellEnd"/>
      <w:r w:rsidRPr="00753A5B">
        <w:t xml:space="preserve"> v. Greece, 2003</w:t>
      </w:r>
    </w:p>
  </w:footnote>
  <w:footnote w:id="2">
    <w:p w14:paraId="5C9BC670" w14:textId="67C83D33" w:rsidR="00A6278F" w:rsidRPr="00A6278F" w:rsidRDefault="00A6278F">
      <w:pPr>
        <w:pStyle w:val="FootnoteText"/>
      </w:pPr>
      <w:r>
        <w:rPr>
          <w:rStyle w:val="FootnoteReference"/>
        </w:rPr>
        <w:footnoteRef/>
      </w:r>
      <w:r>
        <w:t xml:space="preserve"> </w:t>
      </w:r>
      <w:r w:rsidRPr="00A6278F">
        <w:rPr>
          <w:lang w:val="en-GB"/>
        </w:rPr>
        <w:t>Duarte Agostinho and others v. Portugal y other 32 States</w:t>
      </w:r>
      <w:r>
        <w:rPr>
          <w:lang w:val="en-GB"/>
        </w:rPr>
        <w:t>.</w:t>
      </w:r>
    </w:p>
  </w:footnote>
  <w:footnote w:id="3">
    <w:p w14:paraId="7C35066D" w14:textId="77777777" w:rsidR="0029592A" w:rsidRPr="00340A34" w:rsidRDefault="0029592A" w:rsidP="0029592A">
      <w:pPr>
        <w:pStyle w:val="FootnoteText"/>
        <w:rPr>
          <w:lang w:val="en-GB"/>
        </w:rPr>
      </w:pPr>
      <w:r>
        <w:rPr>
          <w:rStyle w:val="FootnoteReference"/>
        </w:rPr>
        <w:footnoteRef/>
      </w:r>
      <w:r>
        <w:t xml:space="preserve"> </w:t>
      </w:r>
      <w:r w:rsidRPr="00340A34">
        <w:rPr>
          <w:lang w:val="en-GB"/>
        </w:rPr>
        <w:t>Recommendation 2211 (2021</w:t>
      </w:r>
      <w:proofErr w:type="gramStart"/>
      <w:r w:rsidRPr="00340A34">
        <w:rPr>
          <w:lang w:val="en-GB"/>
        </w:rPr>
        <w:t>)  and</w:t>
      </w:r>
      <w:proofErr w:type="gramEnd"/>
      <w:r w:rsidRPr="00340A34">
        <w:rPr>
          <w:lang w:val="en-GB"/>
        </w:rPr>
        <w:t xml:space="preserve"> Resolution 2396 (2021) on “Anchoring the right to a healthy environment: need for enhanced action by the Council of Europe”</w:t>
      </w:r>
      <w:r>
        <w:rPr>
          <w:lang w:val="en-GB"/>
        </w:rPr>
        <w:t>.</w:t>
      </w:r>
    </w:p>
  </w:footnote>
  <w:footnote w:id="4">
    <w:p w14:paraId="72954226" w14:textId="66F58EF8" w:rsidR="001F24C1" w:rsidRPr="000B56A3" w:rsidRDefault="001F24C1" w:rsidP="001F24C1">
      <w:pPr>
        <w:pStyle w:val="FootnoteText"/>
        <w:rPr>
          <w:sz w:val="18"/>
          <w:szCs w:val="18"/>
        </w:rPr>
      </w:pPr>
      <w:r w:rsidRPr="000B56A3">
        <w:rPr>
          <w:rStyle w:val="FootnoteReference"/>
          <w:sz w:val="18"/>
          <w:szCs w:val="18"/>
        </w:rPr>
        <w:footnoteRef/>
      </w:r>
      <w:r w:rsidRPr="000B56A3">
        <w:rPr>
          <w:sz w:val="18"/>
          <w:szCs w:val="18"/>
        </w:rPr>
        <w:t xml:space="preserve"> </w:t>
      </w:r>
      <w:proofErr w:type="spellStart"/>
      <w:r w:rsidRPr="000B56A3">
        <w:rPr>
          <w:sz w:val="18"/>
          <w:szCs w:val="18"/>
        </w:rPr>
        <w:t>Marangopoulos</w:t>
      </w:r>
      <w:proofErr w:type="spellEnd"/>
      <w:r w:rsidRPr="000B56A3">
        <w:rPr>
          <w:sz w:val="18"/>
          <w:szCs w:val="18"/>
        </w:rPr>
        <w:t xml:space="preserve"> Foundation for Human Rights (MFHR) v. Greece, complaint No.30/2005, decision on the merits of 6 December 2006, §§ 194-195, §202</w:t>
      </w:r>
    </w:p>
  </w:footnote>
  <w:footnote w:id="5">
    <w:p w14:paraId="2719E47E" w14:textId="1028C32E" w:rsidR="001F24C1" w:rsidRPr="000B56A3" w:rsidRDefault="001F24C1">
      <w:pPr>
        <w:pStyle w:val="FootnoteText"/>
        <w:rPr>
          <w:sz w:val="18"/>
          <w:szCs w:val="18"/>
        </w:rPr>
      </w:pPr>
      <w:r w:rsidRPr="000B56A3">
        <w:rPr>
          <w:rStyle w:val="FootnoteReference"/>
          <w:sz w:val="18"/>
          <w:szCs w:val="18"/>
        </w:rPr>
        <w:footnoteRef/>
      </w:r>
      <w:r w:rsidRPr="000B56A3">
        <w:rPr>
          <w:sz w:val="18"/>
          <w:szCs w:val="18"/>
        </w:rPr>
        <w:t xml:space="preserve"> Conclusions 2003, France. </w:t>
      </w:r>
    </w:p>
  </w:footnote>
  <w:footnote w:id="6">
    <w:p w14:paraId="7A34861F" w14:textId="01B26B78" w:rsidR="00B6538D" w:rsidRPr="000B56A3" w:rsidRDefault="00B6538D">
      <w:pPr>
        <w:pStyle w:val="FootnoteText"/>
        <w:rPr>
          <w:sz w:val="18"/>
          <w:szCs w:val="18"/>
          <w:lang w:val="en-GB"/>
        </w:rPr>
      </w:pPr>
      <w:r w:rsidRPr="000B56A3">
        <w:rPr>
          <w:rStyle w:val="FootnoteReference"/>
          <w:sz w:val="18"/>
          <w:szCs w:val="18"/>
        </w:rPr>
        <w:footnoteRef/>
      </w:r>
      <w:r w:rsidRPr="000B56A3">
        <w:rPr>
          <w:sz w:val="18"/>
          <w:szCs w:val="18"/>
        </w:rPr>
        <w:t xml:space="preserve"> Council of Europe Parliamentary Assembly Resolution 2415 (2022) Inaction on climate change – a violation of children’s rights. 8.7.</w:t>
      </w:r>
    </w:p>
  </w:footnote>
  <w:footnote w:id="7">
    <w:p w14:paraId="133D9B2A" w14:textId="17475095" w:rsidR="002A1DD3" w:rsidRPr="000B56A3" w:rsidRDefault="002A1DD3">
      <w:pPr>
        <w:pStyle w:val="FootnoteText"/>
        <w:rPr>
          <w:sz w:val="18"/>
          <w:szCs w:val="18"/>
          <w:lang w:val="en-GB"/>
        </w:rPr>
      </w:pPr>
      <w:r w:rsidRPr="000B56A3">
        <w:rPr>
          <w:rStyle w:val="FootnoteReference"/>
          <w:sz w:val="18"/>
          <w:szCs w:val="18"/>
        </w:rPr>
        <w:footnoteRef/>
      </w:r>
      <w:r w:rsidRPr="000B56A3">
        <w:rPr>
          <w:sz w:val="18"/>
          <w:szCs w:val="18"/>
        </w:rPr>
        <w:t xml:space="preserve"> </w:t>
      </w:r>
      <w:r w:rsidRPr="000B56A3">
        <w:rPr>
          <w:sz w:val="18"/>
          <w:szCs w:val="18"/>
          <w:lang w:val="en-GB"/>
        </w:rPr>
        <w:t>Conclusions XV-2(2001), Addendum, Slovak Republic</w:t>
      </w:r>
    </w:p>
  </w:footnote>
  <w:footnote w:id="8">
    <w:p w14:paraId="7E2C5D3B" w14:textId="49C1B05A" w:rsidR="002A1DD3" w:rsidRPr="000B56A3" w:rsidRDefault="002A1DD3">
      <w:pPr>
        <w:pStyle w:val="FootnoteText"/>
        <w:rPr>
          <w:sz w:val="18"/>
          <w:szCs w:val="18"/>
          <w:lang w:val="en-GB"/>
        </w:rPr>
      </w:pPr>
      <w:r w:rsidRPr="000B56A3">
        <w:rPr>
          <w:rStyle w:val="FootnoteReference"/>
          <w:sz w:val="18"/>
          <w:szCs w:val="18"/>
        </w:rPr>
        <w:footnoteRef/>
      </w:r>
      <w:r w:rsidRPr="000B56A3">
        <w:rPr>
          <w:sz w:val="18"/>
          <w:szCs w:val="18"/>
        </w:rPr>
        <w:t xml:space="preserve"> </w:t>
      </w:r>
      <w:proofErr w:type="spellStart"/>
      <w:r w:rsidR="00293DF6" w:rsidRPr="000B56A3">
        <w:rPr>
          <w:sz w:val="18"/>
          <w:szCs w:val="18"/>
        </w:rPr>
        <w:t>Marangopoulos</w:t>
      </w:r>
      <w:proofErr w:type="spellEnd"/>
      <w:r w:rsidR="00293DF6" w:rsidRPr="000B56A3">
        <w:rPr>
          <w:sz w:val="18"/>
          <w:szCs w:val="18"/>
        </w:rPr>
        <w:t xml:space="preserve"> Foundation for Human Rights (MFHR) v. Greece, Complaint No. 30/2005, decision on the merits of 6 December 2006, §203</w:t>
      </w:r>
    </w:p>
  </w:footnote>
  <w:footnote w:id="9">
    <w:p w14:paraId="2E76295C" w14:textId="312A6F7D" w:rsidR="00293DF6" w:rsidRPr="000B56A3" w:rsidRDefault="00293DF6">
      <w:pPr>
        <w:pStyle w:val="FootnoteText"/>
        <w:rPr>
          <w:sz w:val="18"/>
          <w:szCs w:val="18"/>
          <w:lang w:val="en-GB"/>
        </w:rPr>
      </w:pPr>
      <w:r w:rsidRPr="000B56A3">
        <w:rPr>
          <w:rStyle w:val="FootnoteReference"/>
          <w:sz w:val="18"/>
          <w:szCs w:val="18"/>
        </w:rPr>
        <w:footnoteRef/>
      </w:r>
      <w:r w:rsidRPr="000B56A3">
        <w:rPr>
          <w:sz w:val="18"/>
          <w:szCs w:val="18"/>
        </w:rPr>
        <w:t xml:space="preserve"> Conclusions XV-2 (2001), Italy.</w:t>
      </w:r>
    </w:p>
  </w:footnote>
  <w:footnote w:id="10">
    <w:p w14:paraId="4089F9C9" w14:textId="03A73BED" w:rsidR="00293DF6" w:rsidRPr="000B56A3" w:rsidRDefault="00293DF6">
      <w:pPr>
        <w:pStyle w:val="FootnoteText"/>
        <w:rPr>
          <w:sz w:val="18"/>
          <w:szCs w:val="18"/>
        </w:rPr>
      </w:pPr>
      <w:r w:rsidRPr="000B56A3">
        <w:rPr>
          <w:rStyle w:val="FootnoteReference"/>
          <w:sz w:val="18"/>
          <w:szCs w:val="18"/>
        </w:rPr>
        <w:footnoteRef/>
      </w:r>
      <w:r w:rsidRPr="000B56A3">
        <w:rPr>
          <w:sz w:val="18"/>
          <w:szCs w:val="18"/>
        </w:rPr>
        <w:t xml:space="preserve"> </w:t>
      </w:r>
      <w:proofErr w:type="spellStart"/>
      <w:r w:rsidRPr="000B56A3">
        <w:rPr>
          <w:sz w:val="18"/>
          <w:szCs w:val="18"/>
        </w:rPr>
        <w:t>Marangopoulos</w:t>
      </w:r>
      <w:proofErr w:type="spellEnd"/>
      <w:r w:rsidRPr="000B56A3">
        <w:rPr>
          <w:sz w:val="18"/>
          <w:szCs w:val="18"/>
        </w:rPr>
        <w:t xml:space="preserve"> Foundation for Human Rights (MFHR) v. Greece, Complaint No. 30/2005, decision on the merits of 6 December 2006, §203, 209-210, and 215.</w:t>
      </w:r>
    </w:p>
  </w:footnote>
  <w:footnote w:id="11">
    <w:p w14:paraId="63F76D0A" w14:textId="7BE7A4E5" w:rsidR="00293DF6" w:rsidRPr="000B56A3" w:rsidRDefault="00293DF6">
      <w:pPr>
        <w:pStyle w:val="FootnoteText"/>
        <w:rPr>
          <w:sz w:val="18"/>
          <w:szCs w:val="18"/>
          <w:lang w:val="en-GB"/>
        </w:rPr>
      </w:pPr>
      <w:r w:rsidRPr="000B56A3">
        <w:rPr>
          <w:rStyle w:val="FootnoteReference"/>
          <w:sz w:val="18"/>
          <w:szCs w:val="18"/>
        </w:rPr>
        <w:footnoteRef/>
      </w:r>
      <w:r w:rsidRPr="000B56A3">
        <w:rPr>
          <w:sz w:val="18"/>
          <w:szCs w:val="18"/>
        </w:rPr>
        <w:t xml:space="preserve"> </w:t>
      </w:r>
      <w:r w:rsidRPr="000B56A3">
        <w:rPr>
          <w:sz w:val="18"/>
          <w:szCs w:val="18"/>
          <w:lang w:val="en-GB"/>
        </w:rPr>
        <w:t xml:space="preserve">Ibid. </w:t>
      </w:r>
      <w:r w:rsidRPr="000B56A3">
        <w:rPr>
          <w:bCs/>
          <w:sz w:val="18"/>
          <w:szCs w:val="18"/>
          <w:lang w:val="en-GB"/>
        </w:rPr>
        <w:t xml:space="preserve">§203 and 220.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3460" w14:textId="35789C34" w:rsidR="00A27778" w:rsidRDefault="00A27778" w:rsidP="00667EFF">
    <w:pPr>
      <w:spacing w:after="0" w:line="240" w:lineRule="auto"/>
      <w:rPr>
        <w:rFonts w:ascii="Times New Roman" w:eastAsia="Times New Roman" w:hAnsi="Times New Roman" w:cs="Times New Roman"/>
        <w:sz w:val="24"/>
        <w:szCs w:val="24"/>
        <w:lang w:val="es-ES" w:eastAsia="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374"/>
    </w:tblGrid>
    <w:tr w:rsidR="00667EFF" w14:paraId="2DC316FD" w14:textId="77777777" w:rsidTr="00667EFF">
      <w:tc>
        <w:tcPr>
          <w:tcW w:w="4530" w:type="dxa"/>
        </w:tcPr>
        <w:p w14:paraId="004C1BD6" w14:textId="40C585B5" w:rsidR="00667EFF" w:rsidRDefault="00667EFF" w:rsidP="00667EFF">
          <w:pPr>
            <w:rPr>
              <w:rFonts w:ascii="Times New Roman" w:eastAsia="Times New Roman" w:hAnsi="Times New Roman" w:cs="Times New Roman"/>
              <w:sz w:val="24"/>
              <w:szCs w:val="24"/>
              <w:lang w:val="es-ES" w:eastAsia="es-ES_tradnl"/>
            </w:rPr>
          </w:pPr>
          <w:r w:rsidRPr="00667EFF">
            <w:rPr>
              <w:rFonts w:ascii="Times New Roman" w:eastAsia="Times New Roman" w:hAnsi="Times New Roman" w:cs="Times New Roman"/>
              <w:noProof/>
              <w:sz w:val="24"/>
              <w:szCs w:val="24"/>
              <w:lang w:val="es-ES" w:eastAsia="es-ES_tradnl"/>
            </w:rPr>
            <w:drawing>
              <wp:inline distT="0" distB="0" distL="0" distR="0" wp14:anchorId="74A74AE4" wp14:editId="633BAB70">
                <wp:extent cx="2838648" cy="1311275"/>
                <wp:effectExtent l="0" t="0" r="635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6296" cy="1347144"/>
                        </a:xfrm>
                        <a:prstGeom prst="rect">
                          <a:avLst/>
                        </a:prstGeom>
                        <a:noFill/>
                        <a:ln>
                          <a:noFill/>
                        </a:ln>
                      </pic:spPr>
                    </pic:pic>
                  </a:graphicData>
                </a:graphic>
              </wp:inline>
            </w:drawing>
          </w:r>
        </w:p>
      </w:tc>
      <w:tc>
        <w:tcPr>
          <w:tcW w:w="4530" w:type="dxa"/>
        </w:tcPr>
        <w:p w14:paraId="02D48370" w14:textId="2768A600" w:rsidR="00667EFF" w:rsidRDefault="00667EFF" w:rsidP="00667EFF">
          <w:pPr>
            <w:jc w:val="right"/>
            <w:rPr>
              <w:rFonts w:ascii="Times New Roman" w:eastAsia="Times New Roman" w:hAnsi="Times New Roman" w:cs="Times New Roman"/>
              <w:sz w:val="24"/>
              <w:szCs w:val="24"/>
              <w:lang w:val="es-ES" w:eastAsia="es-ES_tradnl"/>
            </w:rPr>
          </w:pPr>
          <w:r w:rsidRPr="00A27778">
            <w:rPr>
              <w:noProof/>
            </w:rPr>
            <w:drawing>
              <wp:inline distT="0" distB="0" distL="0" distR="0" wp14:anchorId="74B52810" wp14:editId="64CED463">
                <wp:extent cx="1642188" cy="1311756"/>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454" cy="1328743"/>
                        </a:xfrm>
                        <a:prstGeom prst="rect">
                          <a:avLst/>
                        </a:prstGeom>
                        <a:noFill/>
                        <a:ln>
                          <a:noFill/>
                        </a:ln>
                      </pic:spPr>
                    </pic:pic>
                  </a:graphicData>
                </a:graphic>
              </wp:inline>
            </w:drawing>
          </w:r>
        </w:p>
      </w:tc>
    </w:tr>
  </w:tbl>
  <w:p w14:paraId="6F3F8B31" w14:textId="77777777" w:rsidR="00667EFF" w:rsidRPr="00A27778" w:rsidRDefault="00667EFF" w:rsidP="00667EFF">
    <w:pPr>
      <w:spacing w:after="0" w:line="240" w:lineRule="auto"/>
      <w:rPr>
        <w:rFonts w:ascii="Times New Roman" w:eastAsia="Times New Roman" w:hAnsi="Times New Roman" w:cs="Times New Roman"/>
        <w:sz w:val="24"/>
        <w:szCs w:val="24"/>
        <w:lang w:val="es-ES" w:eastAsia="es-ES_tradnl"/>
      </w:rPr>
    </w:pPr>
  </w:p>
  <w:p w14:paraId="29C01F87" w14:textId="5C36FE73" w:rsidR="0039364E" w:rsidRDefault="00393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in;height:3in" o:bullet="t"/>
    </w:pict>
  </w:numPicBullet>
  <w:abstractNum w:abstractNumId="0" w15:restartNumberingAfterBreak="0">
    <w:nsid w:val="0429553F"/>
    <w:multiLevelType w:val="hybridMultilevel"/>
    <w:tmpl w:val="811A3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FA107E"/>
    <w:multiLevelType w:val="multilevel"/>
    <w:tmpl w:val="A2648536"/>
    <w:lvl w:ilvl="0">
      <w:start w:val="1"/>
      <w:numFmt w:val="decimal"/>
      <w:lvlText w:val="%1."/>
      <w:lvlJc w:val="left"/>
      <w:pPr>
        <w:ind w:left="360" w:hanging="360"/>
      </w:pPr>
      <w:rPr>
        <w:rFonts w:ascii="Arial" w:eastAsiaTheme="minorHAnsi" w:hAnsi="Arial" w:cs="Arial"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22AFC"/>
    <w:multiLevelType w:val="hybridMultilevel"/>
    <w:tmpl w:val="7696CE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7A2F3C"/>
    <w:multiLevelType w:val="hybridMultilevel"/>
    <w:tmpl w:val="80FA9D5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A807122"/>
    <w:multiLevelType w:val="hybridMultilevel"/>
    <w:tmpl w:val="3BA45AF0"/>
    <w:lvl w:ilvl="0" w:tplc="E8BCF0A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D325D30"/>
    <w:multiLevelType w:val="hybridMultilevel"/>
    <w:tmpl w:val="160C44A0"/>
    <w:lvl w:ilvl="0" w:tplc="6DF6E3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05DEE"/>
    <w:multiLevelType w:val="hybridMultilevel"/>
    <w:tmpl w:val="5A946FAE"/>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187B62"/>
    <w:multiLevelType w:val="hybridMultilevel"/>
    <w:tmpl w:val="603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D1D05"/>
    <w:multiLevelType w:val="hybridMultilevel"/>
    <w:tmpl w:val="044E6480"/>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32873AA"/>
    <w:multiLevelType w:val="hybridMultilevel"/>
    <w:tmpl w:val="3996A594"/>
    <w:lvl w:ilvl="0" w:tplc="307437C0">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52C52"/>
    <w:multiLevelType w:val="hybridMultilevel"/>
    <w:tmpl w:val="A9329316"/>
    <w:lvl w:ilvl="0" w:tplc="13003C3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F3620"/>
    <w:multiLevelType w:val="hybridMultilevel"/>
    <w:tmpl w:val="33BC0F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B87FF5"/>
    <w:multiLevelType w:val="hybridMultilevel"/>
    <w:tmpl w:val="5022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64576"/>
    <w:multiLevelType w:val="hybridMultilevel"/>
    <w:tmpl w:val="18C828D2"/>
    <w:lvl w:ilvl="0" w:tplc="0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84B54A5"/>
    <w:multiLevelType w:val="hybridMultilevel"/>
    <w:tmpl w:val="199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43436"/>
    <w:multiLevelType w:val="hybridMultilevel"/>
    <w:tmpl w:val="54EC7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E1647"/>
    <w:multiLevelType w:val="hybridMultilevel"/>
    <w:tmpl w:val="D07A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D35BB"/>
    <w:multiLevelType w:val="hybridMultilevel"/>
    <w:tmpl w:val="168C7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B72145"/>
    <w:multiLevelType w:val="hybridMultilevel"/>
    <w:tmpl w:val="1C4ABF34"/>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1075898"/>
    <w:multiLevelType w:val="hybridMultilevel"/>
    <w:tmpl w:val="F64C480A"/>
    <w:lvl w:ilvl="0" w:tplc="2CF046E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3555EB8"/>
    <w:multiLevelType w:val="hybridMultilevel"/>
    <w:tmpl w:val="1C4ABF34"/>
    <w:lvl w:ilvl="0" w:tplc="040A001B">
      <w:start w:val="1"/>
      <w:numFmt w:val="low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661474B"/>
    <w:multiLevelType w:val="hybridMultilevel"/>
    <w:tmpl w:val="B0BA7482"/>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6A149C8"/>
    <w:multiLevelType w:val="hybridMultilevel"/>
    <w:tmpl w:val="96F60B4E"/>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55755F"/>
    <w:multiLevelType w:val="hybridMultilevel"/>
    <w:tmpl w:val="3A1CC20A"/>
    <w:lvl w:ilvl="0" w:tplc="B96E59B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52112C"/>
    <w:multiLevelType w:val="hybridMultilevel"/>
    <w:tmpl w:val="1C4ABF34"/>
    <w:lvl w:ilvl="0" w:tplc="040A001B">
      <w:start w:val="1"/>
      <w:numFmt w:val="low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2B1842"/>
    <w:multiLevelType w:val="hybridMultilevel"/>
    <w:tmpl w:val="9CAA8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322899"/>
    <w:multiLevelType w:val="hybridMultilevel"/>
    <w:tmpl w:val="CE343DC4"/>
    <w:lvl w:ilvl="0" w:tplc="42CC1CC8">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C23A43"/>
    <w:multiLevelType w:val="hybridMultilevel"/>
    <w:tmpl w:val="AA88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B4EB3"/>
    <w:multiLevelType w:val="hybridMultilevel"/>
    <w:tmpl w:val="5A946FAE"/>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6C61111"/>
    <w:multiLevelType w:val="hybridMultilevel"/>
    <w:tmpl w:val="E8C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663AA"/>
    <w:multiLevelType w:val="hybridMultilevel"/>
    <w:tmpl w:val="833070D0"/>
    <w:lvl w:ilvl="0" w:tplc="42CC1C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24605"/>
    <w:multiLevelType w:val="hybridMultilevel"/>
    <w:tmpl w:val="03A4FF10"/>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2"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619733F"/>
    <w:multiLevelType w:val="hybridMultilevel"/>
    <w:tmpl w:val="2834A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544393"/>
    <w:multiLevelType w:val="multilevel"/>
    <w:tmpl w:val="4DEE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957A6D"/>
    <w:multiLevelType w:val="hybridMultilevel"/>
    <w:tmpl w:val="91840F22"/>
    <w:lvl w:ilvl="0" w:tplc="301E736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DE33088"/>
    <w:multiLevelType w:val="multilevel"/>
    <w:tmpl w:val="34C0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4E40F4"/>
    <w:multiLevelType w:val="hybridMultilevel"/>
    <w:tmpl w:val="18C828D2"/>
    <w:lvl w:ilvl="0" w:tplc="0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644240655">
    <w:abstractNumId w:val="3"/>
  </w:num>
  <w:num w:numId="2" w16cid:durableId="1631010244">
    <w:abstractNumId w:val="2"/>
  </w:num>
  <w:num w:numId="3" w16cid:durableId="142619690">
    <w:abstractNumId w:val="11"/>
  </w:num>
  <w:num w:numId="4" w16cid:durableId="733240767">
    <w:abstractNumId w:val="17"/>
  </w:num>
  <w:num w:numId="5" w16cid:durableId="1301687626">
    <w:abstractNumId w:val="16"/>
  </w:num>
  <w:num w:numId="6" w16cid:durableId="470253230">
    <w:abstractNumId w:val="14"/>
  </w:num>
  <w:num w:numId="7" w16cid:durableId="1147164016">
    <w:abstractNumId w:val="27"/>
  </w:num>
  <w:num w:numId="8" w16cid:durableId="2095086044">
    <w:abstractNumId w:val="7"/>
  </w:num>
  <w:num w:numId="9" w16cid:durableId="1398091526">
    <w:abstractNumId w:val="29"/>
  </w:num>
  <w:num w:numId="10" w16cid:durableId="1475021066">
    <w:abstractNumId w:val="22"/>
  </w:num>
  <w:num w:numId="11" w16cid:durableId="1356233353">
    <w:abstractNumId w:val="36"/>
  </w:num>
  <w:num w:numId="12" w16cid:durableId="297341508">
    <w:abstractNumId w:val="34"/>
  </w:num>
  <w:num w:numId="13" w16cid:durableId="1972592233">
    <w:abstractNumId w:val="10"/>
  </w:num>
  <w:num w:numId="14" w16cid:durableId="809250819">
    <w:abstractNumId w:val="25"/>
  </w:num>
  <w:num w:numId="15" w16cid:durableId="1772781021">
    <w:abstractNumId w:val="12"/>
  </w:num>
  <w:num w:numId="16" w16cid:durableId="456918789">
    <w:abstractNumId w:val="5"/>
  </w:num>
  <w:num w:numId="17" w16cid:durableId="261954785">
    <w:abstractNumId w:val="15"/>
  </w:num>
  <w:num w:numId="18" w16cid:durableId="876040450">
    <w:abstractNumId w:val="0"/>
  </w:num>
  <w:num w:numId="19" w16cid:durableId="1297294431">
    <w:abstractNumId w:val="37"/>
  </w:num>
  <w:num w:numId="20" w16cid:durableId="275216611">
    <w:abstractNumId w:val="13"/>
  </w:num>
  <w:num w:numId="21" w16cid:durableId="389963333">
    <w:abstractNumId w:val="6"/>
  </w:num>
  <w:num w:numId="22" w16cid:durableId="2138331051">
    <w:abstractNumId w:val="19"/>
  </w:num>
  <w:num w:numId="23" w16cid:durableId="1061295545">
    <w:abstractNumId w:val="8"/>
  </w:num>
  <w:num w:numId="24" w16cid:durableId="815999855">
    <w:abstractNumId w:val="28"/>
  </w:num>
  <w:num w:numId="25" w16cid:durableId="1842087467">
    <w:abstractNumId w:val="20"/>
  </w:num>
  <w:num w:numId="26" w16cid:durableId="134682575">
    <w:abstractNumId w:val="18"/>
  </w:num>
  <w:num w:numId="27" w16cid:durableId="321855451">
    <w:abstractNumId w:val="21"/>
  </w:num>
  <w:num w:numId="28" w16cid:durableId="1984196133">
    <w:abstractNumId w:val="35"/>
  </w:num>
  <w:num w:numId="29" w16cid:durableId="31610787">
    <w:abstractNumId w:val="4"/>
  </w:num>
  <w:num w:numId="30" w16cid:durableId="1369137513">
    <w:abstractNumId w:val="24"/>
  </w:num>
  <w:num w:numId="31" w16cid:durableId="426468843">
    <w:abstractNumId w:val="32"/>
  </w:num>
  <w:num w:numId="32" w16cid:durableId="531116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6208390">
    <w:abstractNumId w:val="31"/>
  </w:num>
  <w:num w:numId="34" w16cid:durableId="1396709519">
    <w:abstractNumId w:val="23"/>
  </w:num>
  <w:num w:numId="35" w16cid:durableId="1086074206">
    <w:abstractNumId w:val="9"/>
  </w:num>
  <w:num w:numId="36" w16cid:durableId="1106461312">
    <w:abstractNumId w:val="33"/>
  </w:num>
  <w:num w:numId="37" w16cid:durableId="222715784">
    <w:abstractNumId w:val="30"/>
  </w:num>
  <w:num w:numId="38" w16cid:durableId="9132726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7E"/>
    <w:rsid w:val="000013F9"/>
    <w:rsid w:val="00013C49"/>
    <w:rsid w:val="000152D4"/>
    <w:rsid w:val="000202F7"/>
    <w:rsid w:val="00021E63"/>
    <w:rsid w:val="0002549F"/>
    <w:rsid w:val="00027A4B"/>
    <w:rsid w:val="00033D87"/>
    <w:rsid w:val="00035070"/>
    <w:rsid w:val="00036F5E"/>
    <w:rsid w:val="00037053"/>
    <w:rsid w:val="000370D0"/>
    <w:rsid w:val="0004362F"/>
    <w:rsid w:val="00045CB5"/>
    <w:rsid w:val="00052A38"/>
    <w:rsid w:val="00052A94"/>
    <w:rsid w:val="00055283"/>
    <w:rsid w:val="00060422"/>
    <w:rsid w:val="00060FA5"/>
    <w:rsid w:val="00061BED"/>
    <w:rsid w:val="00065FB5"/>
    <w:rsid w:val="00070828"/>
    <w:rsid w:val="00073424"/>
    <w:rsid w:val="00080467"/>
    <w:rsid w:val="000859DE"/>
    <w:rsid w:val="00087893"/>
    <w:rsid w:val="000915EA"/>
    <w:rsid w:val="0009450E"/>
    <w:rsid w:val="000A0BF0"/>
    <w:rsid w:val="000A75AB"/>
    <w:rsid w:val="000B30AE"/>
    <w:rsid w:val="000B56A3"/>
    <w:rsid w:val="000B7376"/>
    <w:rsid w:val="000C22F3"/>
    <w:rsid w:val="000C5236"/>
    <w:rsid w:val="000C5CE4"/>
    <w:rsid w:val="000D3F69"/>
    <w:rsid w:val="000D42F9"/>
    <w:rsid w:val="000D670A"/>
    <w:rsid w:val="000E0419"/>
    <w:rsid w:val="000E3CB0"/>
    <w:rsid w:val="000E48C7"/>
    <w:rsid w:val="000E65A5"/>
    <w:rsid w:val="000E7CCF"/>
    <w:rsid w:val="000F28B3"/>
    <w:rsid w:val="000F3F48"/>
    <w:rsid w:val="000F4E2A"/>
    <w:rsid w:val="000F716D"/>
    <w:rsid w:val="001001F8"/>
    <w:rsid w:val="00102E2F"/>
    <w:rsid w:val="0010696E"/>
    <w:rsid w:val="00111F43"/>
    <w:rsid w:val="00113C28"/>
    <w:rsid w:val="00115265"/>
    <w:rsid w:val="00116177"/>
    <w:rsid w:val="0011621A"/>
    <w:rsid w:val="00122637"/>
    <w:rsid w:val="00124835"/>
    <w:rsid w:val="00131C4C"/>
    <w:rsid w:val="00131E9C"/>
    <w:rsid w:val="00137A77"/>
    <w:rsid w:val="001518A7"/>
    <w:rsid w:val="001523EC"/>
    <w:rsid w:val="00152C75"/>
    <w:rsid w:val="001544E2"/>
    <w:rsid w:val="00157961"/>
    <w:rsid w:val="0016231C"/>
    <w:rsid w:val="001714E1"/>
    <w:rsid w:val="00173A21"/>
    <w:rsid w:val="00177ECA"/>
    <w:rsid w:val="0018098E"/>
    <w:rsid w:val="00181AFD"/>
    <w:rsid w:val="0018205E"/>
    <w:rsid w:val="00183F8F"/>
    <w:rsid w:val="00187D94"/>
    <w:rsid w:val="00195A36"/>
    <w:rsid w:val="0019608D"/>
    <w:rsid w:val="001A210C"/>
    <w:rsid w:val="001A6510"/>
    <w:rsid w:val="001B06E3"/>
    <w:rsid w:val="001B12D9"/>
    <w:rsid w:val="001C1D82"/>
    <w:rsid w:val="001C59CE"/>
    <w:rsid w:val="001C6966"/>
    <w:rsid w:val="001C76E5"/>
    <w:rsid w:val="001D153F"/>
    <w:rsid w:val="001D4AB1"/>
    <w:rsid w:val="001D69F3"/>
    <w:rsid w:val="001D70F9"/>
    <w:rsid w:val="001E13B3"/>
    <w:rsid w:val="001E4A3A"/>
    <w:rsid w:val="001E54B3"/>
    <w:rsid w:val="001E629B"/>
    <w:rsid w:val="001F19D3"/>
    <w:rsid w:val="001F24C1"/>
    <w:rsid w:val="001F25B7"/>
    <w:rsid w:val="001F409D"/>
    <w:rsid w:val="001F4D63"/>
    <w:rsid w:val="001F6813"/>
    <w:rsid w:val="001F7513"/>
    <w:rsid w:val="00200BC4"/>
    <w:rsid w:val="002029CC"/>
    <w:rsid w:val="00210E3C"/>
    <w:rsid w:val="00223E57"/>
    <w:rsid w:val="0022499D"/>
    <w:rsid w:val="00232F2A"/>
    <w:rsid w:val="0024348B"/>
    <w:rsid w:val="00245112"/>
    <w:rsid w:val="002517A1"/>
    <w:rsid w:val="002521FD"/>
    <w:rsid w:val="002557B6"/>
    <w:rsid w:val="00260489"/>
    <w:rsid w:val="00260901"/>
    <w:rsid w:val="002610C7"/>
    <w:rsid w:val="002707A1"/>
    <w:rsid w:val="00271148"/>
    <w:rsid w:val="002729CE"/>
    <w:rsid w:val="00272B13"/>
    <w:rsid w:val="00272BF5"/>
    <w:rsid w:val="002764CF"/>
    <w:rsid w:val="00283D0C"/>
    <w:rsid w:val="00283F4F"/>
    <w:rsid w:val="00284C5B"/>
    <w:rsid w:val="00293DF6"/>
    <w:rsid w:val="00295788"/>
    <w:rsid w:val="0029592A"/>
    <w:rsid w:val="002A1DD3"/>
    <w:rsid w:val="002A6021"/>
    <w:rsid w:val="002B25B4"/>
    <w:rsid w:val="002B56E2"/>
    <w:rsid w:val="002B606E"/>
    <w:rsid w:val="002C3733"/>
    <w:rsid w:val="002C7990"/>
    <w:rsid w:val="002D09B1"/>
    <w:rsid w:val="002D51A8"/>
    <w:rsid w:val="002D7BE4"/>
    <w:rsid w:val="002E41DF"/>
    <w:rsid w:val="002F136E"/>
    <w:rsid w:val="002F540E"/>
    <w:rsid w:val="002F5644"/>
    <w:rsid w:val="00301ECA"/>
    <w:rsid w:val="00313AE1"/>
    <w:rsid w:val="00315698"/>
    <w:rsid w:val="003201E6"/>
    <w:rsid w:val="003218A1"/>
    <w:rsid w:val="00322250"/>
    <w:rsid w:val="0032592E"/>
    <w:rsid w:val="00334333"/>
    <w:rsid w:val="003358DE"/>
    <w:rsid w:val="003371ED"/>
    <w:rsid w:val="00344EC9"/>
    <w:rsid w:val="00345CEE"/>
    <w:rsid w:val="00345FF4"/>
    <w:rsid w:val="00346583"/>
    <w:rsid w:val="00351C0B"/>
    <w:rsid w:val="00351E25"/>
    <w:rsid w:val="00354066"/>
    <w:rsid w:val="00355CF3"/>
    <w:rsid w:val="00361D61"/>
    <w:rsid w:val="0037101D"/>
    <w:rsid w:val="003711FD"/>
    <w:rsid w:val="00373731"/>
    <w:rsid w:val="00374FFC"/>
    <w:rsid w:val="00381BB7"/>
    <w:rsid w:val="003827D1"/>
    <w:rsid w:val="003827ED"/>
    <w:rsid w:val="00382892"/>
    <w:rsid w:val="00385AEE"/>
    <w:rsid w:val="003869BD"/>
    <w:rsid w:val="00387A15"/>
    <w:rsid w:val="00390BD3"/>
    <w:rsid w:val="00391D0D"/>
    <w:rsid w:val="00392764"/>
    <w:rsid w:val="0039364E"/>
    <w:rsid w:val="003957B6"/>
    <w:rsid w:val="003A4E5F"/>
    <w:rsid w:val="003B4EA6"/>
    <w:rsid w:val="003C0A79"/>
    <w:rsid w:val="003C2526"/>
    <w:rsid w:val="003C3700"/>
    <w:rsid w:val="003C37AA"/>
    <w:rsid w:val="003C3C37"/>
    <w:rsid w:val="003C6A73"/>
    <w:rsid w:val="003D0FEA"/>
    <w:rsid w:val="003D25CA"/>
    <w:rsid w:val="003D656D"/>
    <w:rsid w:val="003D760F"/>
    <w:rsid w:val="003D78F3"/>
    <w:rsid w:val="003E287D"/>
    <w:rsid w:val="003F651E"/>
    <w:rsid w:val="00401231"/>
    <w:rsid w:val="00402361"/>
    <w:rsid w:val="00404E7B"/>
    <w:rsid w:val="00413BBC"/>
    <w:rsid w:val="004256B3"/>
    <w:rsid w:val="00427832"/>
    <w:rsid w:val="00432086"/>
    <w:rsid w:val="00435569"/>
    <w:rsid w:val="00435938"/>
    <w:rsid w:val="00440972"/>
    <w:rsid w:val="00441E72"/>
    <w:rsid w:val="0044407C"/>
    <w:rsid w:val="00444FEC"/>
    <w:rsid w:val="00447E52"/>
    <w:rsid w:val="00451C47"/>
    <w:rsid w:val="00452F97"/>
    <w:rsid w:val="004564BF"/>
    <w:rsid w:val="004579C6"/>
    <w:rsid w:val="004651EE"/>
    <w:rsid w:val="00465621"/>
    <w:rsid w:val="00473396"/>
    <w:rsid w:val="00480681"/>
    <w:rsid w:val="00481F39"/>
    <w:rsid w:val="004821A8"/>
    <w:rsid w:val="0048367C"/>
    <w:rsid w:val="0049277E"/>
    <w:rsid w:val="004959C2"/>
    <w:rsid w:val="004A0423"/>
    <w:rsid w:val="004A19C2"/>
    <w:rsid w:val="004A217F"/>
    <w:rsid w:val="004A58B0"/>
    <w:rsid w:val="004A6D42"/>
    <w:rsid w:val="004A725C"/>
    <w:rsid w:val="004B1038"/>
    <w:rsid w:val="004B225A"/>
    <w:rsid w:val="004C2E52"/>
    <w:rsid w:val="004C7B95"/>
    <w:rsid w:val="004D0C2D"/>
    <w:rsid w:val="004D173C"/>
    <w:rsid w:val="004D41E9"/>
    <w:rsid w:val="004D5B41"/>
    <w:rsid w:val="004D6C52"/>
    <w:rsid w:val="004D79FE"/>
    <w:rsid w:val="004D7B02"/>
    <w:rsid w:val="004D7EEB"/>
    <w:rsid w:val="004E32AF"/>
    <w:rsid w:val="004E4186"/>
    <w:rsid w:val="004F13E1"/>
    <w:rsid w:val="004F28E8"/>
    <w:rsid w:val="00500FF5"/>
    <w:rsid w:val="005023C4"/>
    <w:rsid w:val="00517BCF"/>
    <w:rsid w:val="00517ECE"/>
    <w:rsid w:val="005201A5"/>
    <w:rsid w:val="005224F6"/>
    <w:rsid w:val="00524709"/>
    <w:rsid w:val="005256AE"/>
    <w:rsid w:val="0053190C"/>
    <w:rsid w:val="005351D7"/>
    <w:rsid w:val="00537E91"/>
    <w:rsid w:val="00545AEA"/>
    <w:rsid w:val="00547AD9"/>
    <w:rsid w:val="005520C7"/>
    <w:rsid w:val="00552385"/>
    <w:rsid w:val="00552738"/>
    <w:rsid w:val="00553DF6"/>
    <w:rsid w:val="005543D3"/>
    <w:rsid w:val="00555A67"/>
    <w:rsid w:val="00561BF4"/>
    <w:rsid w:val="00562BEE"/>
    <w:rsid w:val="005672CE"/>
    <w:rsid w:val="00570CC4"/>
    <w:rsid w:val="00572B8B"/>
    <w:rsid w:val="005733FC"/>
    <w:rsid w:val="005757D0"/>
    <w:rsid w:val="00583076"/>
    <w:rsid w:val="00592D6C"/>
    <w:rsid w:val="005949E4"/>
    <w:rsid w:val="005A1CAC"/>
    <w:rsid w:val="005A703F"/>
    <w:rsid w:val="005B15A9"/>
    <w:rsid w:val="005B40F8"/>
    <w:rsid w:val="005C226A"/>
    <w:rsid w:val="005C2887"/>
    <w:rsid w:val="005C3FEB"/>
    <w:rsid w:val="005D1E99"/>
    <w:rsid w:val="005D2377"/>
    <w:rsid w:val="005E3308"/>
    <w:rsid w:val="005E730A"/>
    <w:rsid w:val="005F2A6F"/>
    <w:rsid w:val="005F64FF"/>
    <w:rsid w:val="005F7254"/>
    <w:rsid w:val="006118E9"/>
    <w:rsid w:val="00617C32"/>
    <w:rsid w:val="00622440"/>
    <w:rsid w:val="0062245D"/>
    <w:rsid w:val="00622B4B"/>
    <w:rsid w:val="006316BC"/>
    <w:rsid w:val="0063287A"/>
    <w:rsid w:val="0063315A"/>
    <w:rsid w:val="00642655"/>
    <w:rsid w:val="00643906"/>
    <w:rsid w:val="006441C3"/>
    <w:rsid w:val="0064660A"/>
    <w:rsid w:val="0065330C"/>
    <w:rsid w:val="00654143"/>
    <w:rsid w:val="006550A2"/>
    <w:rsid w:val="00655FA3"/>
    <w:rsid w:val="00662F6B"/>
    <w:rsid w:val="00663229"/>
    <w:rsid w:val="00664B83"/>
    <w:rsid w:val="00665F93"/>
    <w:rsid w:val="0066744A"/>
    <w:rsid w:val="00667EFF"/>
    <w:rsid w:val="0067224E"/>
    <w:rsid w:val="0067650A"/>
    <w:rsid w:val="006823DD"/>
    <w:rsid w:val="00691BEF"/>
    <w:rsid w:val="00697DAE"/>
    <w:rsid w:val="006B662D"/>
    <w:rsid w:val="006B68BF"/>
    <w:rsid w:val="006B69AD"/>
    <w:rsid w:val="006C0F07"/>
    <w:rsid w:val="006C74E5"/>
    <w:rsid w:val="006C75C7"/>
    <w:rsid w:val="006D0F9C"/>
    <w:rsid w:val="006D152F"/>
    <w:rsid w:val="006D1DC6"/>
    <w:rsid w:val="006D20E1"/>
    <w:rsid w:val="006D4332"/>
    <w:rsid w:val="006D7CC4"/>
    <w:rsid w:val="006E0451"/>
    <w:rsid w:val="006E13DE"/>
    <w:rsid w:val="006E37A9"/>
    <w:rsid w:val="006F3C51"/>
    <w:rsid w:val="006F53D9"/>
    <w:rsid w:val="006F64A3"/>
    <w:rsid w:val="006F7468"/>
    <w:rsid w:val="00703529"/>
    <w:rsid w:val="0070494B"/>
    <w:rsid w:val="007101AF"/>
    <w:rsid w:val="00710E08"/>
    <w:rsid w:val="007123B4"/>
    <w:rsid w:val="0071281E"/>
    <w:rsid w:val="007176C8"/>
    <w:rsid w:val="00724BFE"/>
    <w:rsid w:val="007304A6"/>
    <w:rsid w:val="0073149E"/>
    <w:rsid w:val="007343A2"/>
    <w:rsid w:val="00735C4D"/>
    <w:rsid w:val="00737B6D"/>
    <w:rsid w:val="007428A8"/>
    <w:rsid w:val="00742F0E"/>
    <w:rsid w:val="00744555"/>
    <w:rsid w:val="0074679F"/>
    <w:rsid w:val="00753A5B"/>
    <w:rsid w:val="00757F44"/>
    <w:rsid w:val="00762D0A"/>
    <w:rsid w:val="007673BD"/>
    <w:rsid w:val="00767C2E"/>
    <w:rsid w:val="007701F8"/>
    <w:rsid w:val="007707F9"/>
    <w:rsid w:val="00772B95"/>
    <w:rsid w:val="0077390E"/>
    <w:rsid w:val="0077534D"/>
    <w:rsid w:val="007807F1"/>
    <w:rsid w:val="007935BA"/>
    <w:rsid w:val="00795D30"/>
    <w:rsid w:val="007A616A"/>
    <w:rsid w:val="007A6498"/>
    <w:rsid w:val="007C00CD"/>
    <w:rsid w:val="007C0E8E"/>
    <w:rsid w:val="007C3F03"/>
    <w:rsid w:val="007D1F2E"/>
    <w:rsid w:val="007D2B41"/>
    <w:rsid w:val="007D2CB3"/>
    <w:rsid w:val="007D4BBB"/>
    <w:rsid w:val="007E0E58"/>
    <w:rsid w:val="007E19C5"/>
    <w:rsid w:val="007E4C3A"/>
    <w:rsid w:val="007F7E30"/>
    <w:rsid w:val="0080328D"/>
    <w:rsid w:val="00803410"/>
    <w:rsid w:val="0080619B"/>
    <w:rsid w:val="00810932"/>
    <w:rsid w:val="00816383"/>
    <w:rsid w:val="00820241"/>
    <w:rsid w:val="00826433"/>
    <w:rsid w:val="00826C37"/>
    <w:rsid w:val="00831363"/>
    <w:rsid w:val="00840884"/>
    <w:rsid w:val="008421D8"/>
    <w:rsid w:val="00851262"/>
    <w:rsid w:val="0086103C"/>
    <w:rsid w:val="00861E5C"/>
    <w:rsid w:val="0086367F"/>
    <w:rsid w:val="00867E7E"/>
    <w:rsid w:val="00870D6B"/>
    <w:rsid w:val="008732F5"/>
    <w:rsid w:val="00876266"/>
    <w:rsid w:val="00880B2E"/>
    <w:rsid w:val="00880F33"/>
    <w:rsid w:val="00883F6F"/>
    <w:rsid w:val="0089080B"/>
    <w:rsid w:val="00893E23"/>
    <w:rsid w:val="00894275"/>
    <w:rsid w:val="008A2E41"/>
    <w:rsid w:val="008A6289"/>
    <w:rsid w:val="008A672B"/>
    <w:rsid w:val="008B0451"/>
    <w:rsid w:val="008B0656"/>
    <w:rsid w:val="008B27D8"/>
    <w:rsid w:val="008B3851"/>
    <w:rsid w:val="008B5339"/>
    <w:rsid w:val="008C3575"/>
    <w:rsid w:val="008C4C8B"/>
    <w:rsid w:val="008C6367"/>
    <w:rsid w:val="008D5565"/>
    <w:rsid w:val="008D58F3"/>
    <w:rsid w:val="008F0DF8"/>
    <w:rsid w:val="008F41A6"/>
    <w:rsid w:val="008F5502"/>
    <w:rsid w:val="00904C8B"/>
    <w:rsid w:val="00907F67"/>
    <w:rsid w:val="00910CB0"/>
    <w:rsid w:val="0091146D"/>
    <w:rsid w:val="009140C2"/>
    <w:rsid w:val="009148C5"/>
    <w:rsid w:val="00922839"/>
    <w:rsid w:val="00924829"/>
    <w:rsid w:val="00925E34"/>
    <w:rsid w:val="00926910"/>
    <w:rsid w:val="00927893"/>
    <w:rsid w:val="009344E0"/>
    <w:rsid w:val="00936C8C"/>
    <w:rsid w:val="009373AA"/>
    <w:rsid w:val="009417F8"/>
    <w:rsid w:val="00942B84"/>
    <w:rsid w:val="00946416"/>
    <w:rsid w:val="009465A2"/>
    <w:rsid w:val="0095272D"/>
    <w:rsid w:val="009529AA"/>
    <w:rsid w:val="00955F40"/>
    <w:rsid w:val="00957346"/>
    <w:rsid w:val="00963D8C"/>
    <w:rsid w:val="009701BA"/>
    <w:rsid w:val="00971636"/>
    <w:rsid w:val="009731E9"/>
    <w:rsid w:val="0098068C"/>
    <w:rsid w:val="00983D89"/>
    <w:rsid w:val="0098452C"/>
    <w:rsid w:val="00986A36"/>
    <w:rsid w:val="00987441"/>
    <w:rsid w:val="00987AF6"/>
    <w:rsid w:val="0099458E"/>
    <w:rsid w:val="009964DA"/>
    <w:rsid w:val="009A2426"/>
    <w:rsid w:val="009A6B6A"/>
    <w:rsid w:val="009B0F12"/>
    <w:rsid w:val="009B137F"/>
    <w:rsid w:val="009B2CCB"/>
    <w:rsid w:val="009B5956"/>
    <w:rsid w:val="009C1A62"/>
    <w:rsid w:val="009D2C0C"/>
    <w:rsid w:val="009D33CD"/>
    <w:rsid w:val="009E0C7B"/>
    <w:rsid w:val="009E4527"/>
    <w:rsid w:val="009E6D7D"/>
    <w:rsid w:val="009F2160"/>
    <w:rsid w:val="009F71E2"/>
    <w:rsid w:val="00A031D0"/>
    <w:rsid w:val="00A03707"/>
    <w:rsid w:val="00A03F7B"/>
    <w:rsid w:val="00A1323D"/>
    <w:rsid w:val="00A13FA7"/>
    <w:rsid w:val="00A22D13"/>
    <w:rsid w:val="00A243A7"/>
    <w:rsid w:val="00A27778"/>
    <w:rsid w:val="00A27D02"/>
    <w:rsid w:val="00A45542"/>
    <w:rsid w:val="00A462FE"/>
    <w:rsid w:val="00A46853"/>
    <w:rsid w:val="00A5336B"/>
    <w:rsid w:val="00A6029B"/>
    <w:rsid w:val="00A6278F"/>
    <w:rsid w:val="00A62F5A"/>
    <w:rsid w:val="00A75F03"/>
    <w:rsid w:val="00A76528"/>
    <w:rsid w:val="00A76E99"/>
    <w:rsid w:val="00A822CB"/>
    <w:rsid w:val="00A8279D"/>
    <w:rsid w:val="00A838E1"/>
    <w:rsid w:val="00AA1DC4"/>
    <w:rsid w:val="00AA4845"/>
    <w:rsid w:val="00AA5762"/>
    <w:rsid w:val="00AA65DC"/>
    <w:rsid w:val="00AB1E5C"/>
    <w:rsid w:val="00AB2970"/>
    <w:rsid w:val="00AB4C5B"/>
    <w:rsid w:val="00AB4E5A"/>
    <w:rsid w:val="00AC0C62"/>
    <w:rsid w:val="00AC2B25"/>
    <w:rsid w:val="00AC331F"/>
    <w:rsid w:val="00AD75C5"/>
    <w:rsid w:val="00AF2232"/>
    <w:rsid w:val="00AF29F0"/>
    <w:rsid w:val="00AF44F3"/>
    <w:rsid w:val="00AF4A89"/>
    <w:rsid w:val="00AF56C1"/>
    <w:rsid w:val="00AF7A45"/>
    <w:rsid w:val="00B03D9B"/>
    <w:rsid w:val="00B06556"/>
    <w:rsid w:val="00B16C96"/>
    <w:rsid w:val="00B17192"/>
    <w:rsid w:val="00B2094D"/>
    <w:rsid w:val="00B30982"/>
    <w:rsid w:val="00B3233E"/>
    <w:rsid w:val="00B41740"/>
    <w:rsid w:val="00B50733"/>
    <w:rsid w:val="00B510BC"/>
    <w:rsid w:val="00B605FE"/>
    <w:rsid w:val="00B6137B"/>
    <w:rsid w:val="00B6298D"/>
    <w:rsid w:val="00B64990"/>
    <w:rsid w:val="00B6538D"/>
    <w:rsid w:val="00B66DA4"/>
    <w:rsid w:val="00B70083"/>
    <w:rsid w:val="00B70DA9"/>
    <w:rsid w:val="00B71423"/>
    <w:rsid w:val="00B73DFD"/>
    <w:rsid w:val="00B74A74"/>
    <w:rsid w:val="00B77016"/>
    <w:rsid w:val="00B81522"/>
    <w:rsid w:val="00B82CE8"/>
    <w:rsid w:val="00B83E3B"/>
    <w:rsid w:val="00B9363F"/>
    <w:rsid w:val="00BA1213"/>
    <w:rsid w:val="00BA4E3F"/>
    <w:rsid w:val="00BA583D"/>
    <w:rsid w:val="00BB023D"/>
    <w:rsid w:val="00BB066D"/>
    <w:rsid w:val="00BB4104"/>
    <w:rsid w:val="00BB6F45"/>
    <w:rsid w:val="00BD00BF"/>
    <w:rsid w:val="00BE7C74"/>
    <w:rsid w:val="00BF0774"/>
    <w:rsid w:val="00BF0D26"/>
    <w:rsid w:val="00BF1D13"/>
    <w:rsid w:val="00BF6CCA"/>
    <w:rsid w:val="00C03119"/>
    <w:rsid w:val="00C07DF9"/>
    <w:rsid w:val="00C148D5"/>
    <w:rsid w:val="00C15E87"/>
    <w:rsid w:val="00C178FA"/>
    <w:rsid w:val="00C201A9"/>
    <w:rsid w:val="00C2156F"/>
    <w:rsid w:val="00C217B8"/>
    <w:rsid w:val="00C36ED9"/>
    <w:rsid w:val="00C45E12"/>
    <w:rsid w:val="00C70141"/>
    <w:rsid w:val="00C7377F"/>
    <w:rsid w:val="00C757E5"/>
    <w:rsid w:val="00C77814"/>
    <w:rsid w:val="00C8163E"/>
    <w:rsid w:val="00C87B14"/>
    <w:rsid w:val="00CA45C0"/>
    <w:rsid w:val="00CA5550"/>
    <w:rsid w:val="00CA5C89"/>
    <w:rsid w:val="00CB5D1D"/>
    <w:rsid w:val="00CB737E"/>
    <w:rsid w:val="00CC1541"/>
    <w:rsid w:val="00CC3A35"/>
    <w:rsid w:val="00CD049F"/>
    <w:rsid w:val="00CF0151"/>
    <w:rsid w:val="00CF32DA"/>
    <w:rsid w:val="00CF3F63"/>
    <w:rsid w:val="00CF77B2"/>
    <w:rsid w:val="00CF7D59"/>
    <w:rsid w:val="00D13234"/>
    <w:rsid w:val="00D1472D"/>
    <w:rsid w:val="00D226E6"/>
    <w:rsid w:val="00D2382C"/>
    <w:rsid w:val="00D239EE"/>
    <w:rsid w:val="00D2771E"/>
    <w:rsid w:val="00D277A4"/>
    <w:rsid w:val="00D34620"/>
    <w:rsid w:val="00D37DFC"/>
    <w:rsid w:val="00D505A7"/>
    <w:rsid w:val="00D50841"/>
    <w:rsid w:val="00D52B38"/>
    <w:rsid w:val="00D53125"/>
    <w:rsid w:val="00D55EAD"/>
    <w:rsid w:val="00D56471"/>
    <w:rsid w:val="00D60B1F"/>
    <w:rsid w:val="00D66286"/>
    <w:rsid w:val="00D70791"/>
    <w:rsid w:val="00D70925"/>
    <w:rsid w:val="00D757D3"/>
    <w:rsid w:val="00D768F4"/>
    <w:rsid w:val="00D9032F"/>
    <w:rsid w:val="00D9312D"/>
    <w:rsid w:val="00D93CAC"/>
    <w:rsid w:val="00DA6819"/>
    <w:rsid w:val="00DB01AC"/>
    <w:rsid w:val="00DB1D64"/>
    <w:rsid w:val="00DB1F98"/>
    <w:rsid w:val="00DB305C"/>
    <w:rsid w:val="00DB4BBF"/>
    <w:rsid w:val="00DC14AC"/>
    <w:rsid w:val="00DC21F1"/>
    <w:rsid w:val="00DC2EBD"/>
    <w:rsid w:val="00DC3A7E"/>
    <w:rsid w:val="00DC48C8"/>
    <w:rsid w:val="00DC6439"/>
    <w:rsid w:val="00DC6DFF"/>
    <w:rsid w:val="00DD2B6E"/>
    <w:rsid w:val="00DD4DD5"/>
    <w:rsid w:val="00DD61B6"/>
    <w:rsid w:val="00DE3778"/>
    <w:rsid w:val="00DE5A6B"/>
    <w:rsid w:val="00DF03CA"/>
    <w:rsid w:val="00DF250B"/>
    <w:rsid w:val="00E00688"/>
    <w:rsid w:val="00E00BD8"/>
    <w:rsid w:val="00E01073"/>
    <w:rsid w:val="00E01BC3"/>
    <w:rsid w:val="00E02D67"/>
    <w:rsid w:val="00E063D9"/>
    <w:rsid w:val="00E07F06"/>
    <w:rsid w:val="00E15800"/>
    <w:rsid w:val="00E1582F"/>
    <w:rsid w:val="00E21027"/>
    <w:rsid w:val="00E22C1F"/>
    <w:rsid w:val="00E23CD6"/>
    <w:rsid w:val="00E2487F"/>
    <w:rsid w:val="00E25C54"/>
    <w:rsid w:val="00E33ACE"/>
    <w:rsid w:val="00E36667"/>
    <w:rsid w:val="00E36AF1"/>
    <w:rsid w:val="00E4474A"/>
    <w:rsid w:val="00E46771"/>
    <w:rsid w:val="00E52C0F"/>
    <w:rsid w:val="00E54B62"/>
    <w:rsid w:val="00E56B8B"/>
    <w:rsid w:val="00E56F8A"/>
    <w:rsid w:val="00E57786"/>
    <w:rsid w:val="00E62BF2"/>
    <w:rsid w:val="00E7314E"/>
    <w:rsid w:val="00E734D2"/>
    <w:rsid w:val="00E73A43"/>
    <w:rsid w:val="00E756B7"/>
    <w:rsid w:val="00E769E5"/>
    <w:rsid w:val="00E77D03"/>
    <w:rsid w:val="00E8266A"/>
    <w:rsid w:val="00E84DC8"/>
    <w:rsid w:val="00E867CD"/>
    <w:rsid w:val="00E94F24"/>
    <w:rsid w:val="00E95676"/>
    <w:rsid w:val="00EA1CE8"/>
    <w:rsid w:val="00EA2C80"/>
    <w:rsid w:val="00EA5A10"/>
    <w:rsid w:val="00EA623B"/>
    <w:rsid w:val="00EB10CC"/>
    <w:rsid w:val="00EB3E84"/>
    <w:rsid w:val="00EB63A2"/>
    <w:rsid w:val="00EC1266"/>
    <w:rsid w:val="00EC4C4B"/>
    <w:rsid w:val="00ED04AA"/>
    <w:rsid w:val="00ED21B8"/>
    <w:rsid w:val="00ED7753"/>
    <w:rsid w:val="00EE2A90"/>
    <w:rsid w:val="00EF398D"/>
    <w:rsid w:val="00EF7E3F"/>
    <w:rsid w:val="00EF7F06"/>
    <w:rsid w:val="00F06FAD"/>
    <w:rsid w:val="00F111E1"/>
    <w:rsid w:val="00F11430"/>
    <w:rsid w:val="00F11728"/>
    <w:rsid w:val="00F11EBD"/>
    <w:rsid w:val="00F1390E"/>
    <w:rsid w:val="00F209B8"/>
    <w:rsid w:val="00F21E00"/>
    <w:rsid w:val="00F22427"/>
    <w:rsid w:val="00F2410A"/>
    <w:rsid w:val="00F27B4F"/>
    <w:rsid w:val="00F3785C"/>
    <w:rsid w:val="00F544A8"/>
    <w:rsid w:val="00F57C6E"/>
    <w:rsid w:val="00F62244"/>
    <w:rsid w:val="00F62905"/>
    <w:rsid w:val="00F70028"/>
    <w:rsid w:val="00F723E6"/>
    <w:rsid w:val="00F756D9"/>
    <w:rsid w:val="00F807CB"/>
    <w:rsid w:val="00F810EE"/>
    <w:rsid w:val="00F86028"/>
    <w:rsid w:val="00F903F7"/>
    <w:rsid w:val="00F92835"/>
    <w:rsid w:val="00F949A5"/>
    <w:rsid w:val="00F95277"/>
    <w:rsid w:val="00FA0A22"/>
    <w:rsid w:val="00FA657E"/>
    <w:rsid w:val="00FA70C3"/>
    <w:rsid w:val="00FB0A1C"/>
    <w:rsid w:val="00FB1473"/>
    <w:rsid w:val="00FB2F5C"/>
    <w:rsid w:val="00FB54BE"/>
    <w:rsid w:val="00FC048B"/>
    <w:rsid w:val="00FC1925"/>
    <w:rsid w:val="00FC195B"/>
    <w:rsid w:val="00FD035A"/>
    <w:rsid w:val="00FD40FB"/>
    <w:rsid w:val="00FD4CA3"/>
    <w:rsid w:val="00FE3770"/>
    <w:rsid w:val="00FF086B"/>
    <w:rsid w:val="00FF2D4D"/>
    <w:rsid w:val="00FF5B4A"/>
    <w:rsid w:val="00FF6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3FD2"/>
  <w15:docId w15:val="{DC07AA5F-87E7-485C-A082-387B5A91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277E"/>
    <w:pPr>
      <w:ind w:left="720"/>
      <w:contextualSpacing/>
    </w:pPr>
  </w:style>
  <w:style w:type="paragraph" w:styleId="Header">
    <w:name w:val="header"/>
    <w:basedOn w:val="Normal"/>
    <w:link w:val="HeaderChar"/>
    <w:uiPriority w:val="99"/>
    <w:unhideWhenUsed/>
    <w:rsid w:val="008C6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367"/>
  </w:style>
  <w:style w:type="paragraph" w:styleId="Footer">
    <w:name w:val="footer"/>
    <w:basedOn w:val="Normal"/>
    <w:link w:val="FooterChar"/>
    <w:uiPriority w:val="99"/>
    <w:unhideWhenUsed/>
    <w:rsid w:val="008C6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67"/>
  </w:style>
  <w:style w:type="character" w:styleId="Hyperlink">
    <w:name w:val="Hyperlink"/>
    <w:basedOn w:val="DefaultParagraphFont"/>
    <w:uiPriority w:val="99"/>
    <w:unhideWhenUsed/>
    <w:rsid w:val="003B4EA6"/>
    <w:rPr>
      <w:color w:val="0563C1" w:themeColor="hyperlink"/>
      <w:u w:val="single"/>
    </w:rPr>
  </w:style>
  <w:style w:type="paragraph" w:styleId="FootnoteText">
    <w:name w:val="footnote text"/>
    <w:basedOn w:val="Normal"/>
    <w:link w:val="FootnoteTextChar"/>
    <w:uiPriority w:val="99"/>
    <w:semiHidden/>
    <w:unhideWhenUsed/>
    <w:rsid w:val="003B4EA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B4EA6"/>
    <w:rPr>
      <w:sz w:val="20"/>
      <w:szCs w:val="20"/>
      <w:lang w:val="en-US"/>
    </w:rPr>
  </w:style>
  <w:style w:type="character" w:styleId="FootnoteReference">
    <w:name w:val="footnote reference"/>
    <w:basedOn w:val="DefaultParagraphFont"/>
    <w:uiPriority w:val="99"/>
    <w:semiHidden/>
    <w:unhideWhenUsed/>
    <w:rsid w:val="003B4EA6"/>
    <w:rPr>
      <w:vertAlign w:val="superscript"/>
    </w:rPr>
  </w:style>
  <w:style w:type="character" w:customStyle="1" w:styleId="ListParagraphChar">
    <w:name w:val="List Paragraph Char"/>
    <w:basedOn w:val="DefaultParagraphFont"/>
    <w:link w:val="ListParagraph"/>
    <w:uiPriority w:val="34"/>
    <w:locked/>
    <w:rsid w:val="003B4EA6"/>
  </w:style>
  <w:style w:type="character" w:styleId="FollowedHyperlink">
    <w:name w:val="FollowedHyperlink"/>
    <w:basedOn w:val="DefaultParagraphFont"/>
    <w:uiPriority w:val="99"/>
    <w:semiHidden/>
    <w:unhideWhenUsed/>
    <w:rsid w:val="003B4EA6"/>
    <w:rPr>
      <w:color w:val="954F72" w:themeColor="followedHyperlink"/>
      <w:u w:val="single"/>
    </w:rPr>
  </w:style>
  <w:style w:type="paragraph" w:styleId="BalloonText">
    <w:name w:val="Balloon Text"/>
    <w:basedOn w:val="Normal"/>
    <w:link w:val="BalloonTextChar"/>
    <w:uiPriority w:val="99"/>
    <w:semiHidden/>
    <w:unhideWhenUsed/>
    <w:rsid w:val="003B4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A6"/>
    <w:rPr>
      <w:rFonts w:ascii="Tahoma" w:hAnsi="Tahoma" w:cs="Tahoma"/>
      <w:sz w:val="16"/>
      <w:szCs w:val="16"/>
    </w:rPr>
  </w:style>
  <w:style w:type="paragraph" w:customStyle="1" w:styleId="Default">
    <w:name w:val="Default"/>
    <w:rsid w:val="009B2CCB"/>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Heading2Char">
    <w:name w:val="Heading 2 Char"/>
    <w:basedOn w:val="DefaultParagraphFont"/>
    <w:link w:val="Heading2"/>
    <w:uiPriority w:val="9"/>
    <w:rsid w:val="00E9567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9567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95676"/>
    <w:rPr>
      <w:sz w:val="16"/>
      <w:szCs w:val="16"/>
    </w:rPr>
  </w:style>
  <w:style w:type="paragraph" w:styleId="CommentText">
    <w:name w:val="annotation text"/>
    <w:basedOn w:val="Normal"/>
    <w:link w:val="CommentTextChar"/>
    <w:uiPriority w:val="99"/>
    <w:unhideWhenUsed/>
    <w:rsid w:val="00E95676"/>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E95676"/>
    <w:rPr>
      <w:sz w:val="20"/>
      <w:szCs w:val="20"/>
      <w:lang w:val="en-US"/>
    </w:rPr>
  </w:style>
  <w:style w:type="paragraph" w:styleId="CommentSubject">
    <w:name w:val="annotation subject"/>
    <w:basedOn w:val="CommentText"/>
    <w:next w:val="CommentText"/>
    <w:link w:val="CommentSubjectChar"/>
    <w:uiPriority w:val="99"/>
    <w:semiHidden/>
    <w:unhideWhenUsed/>
    <w:rsid w:val="00AA65DC"/>
    <w:pPr>
      <w:spacing w:after="160"/>
    </w:pPr>
    <w:rPr>
      <w:b/>
      <w:bCs/>
      <w:lang w:val="fr-FR"/>
    </w:rPr>
  </w:style>
  <w:style w:type="character" w:customStyle="1" w:styleId="CommentSubjectChar">
    <w:name w:val="Comment Subject Char"/>
    <w:basedOn w:val="CommentTextChar"/>
    <w:link w:val="CommentSubject"/>
    <w:uiPriority w:val="99"/>
    <w:semiHidden/>
    <w:rsid w:val="00AA65DC"/>
    <w:rPr>
      <w:b/>
      <w:bCs/>
      <w:sz w:val="20"/>
      <w:szCs w:val="20"/>
      <w:lang w:val="en-US"/>
    </w:rPr>
  </w:style>
  <w:style w:type="character" w:styleId="UnresolvedMention">
    <w:name w:val="Unresolved Mention"/>
    <w:basedOn w:val="DefaultParagraphFont"/>
    <w:uiPriority w:val="99"/>
    <w:semiHidden/>
    <w:unhideWhenUsed/>
    <w:rsid w:val="0063287A"/>
    <w:rPr>
      <w:color w:val="605E5C"/>
      <w:shd w:val="clear" w:color="auto" w:fill="E1DFDD"/>
    </w:rPr>
  </w:style>
  <w:style w:type="paragraph" w:styleId="EndnoteText">
    <w:name w:val="endnote text"/>
    <w:basedOn w:val="Normal"/>
    <w:link w:val="EndnoteTextChar"/>
    <w:uiPriority w:val="99"/>
    <w:semiHidden/>
    <w:unhideWhenUsed/>
    <w:rsid w:val="003C25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526"/>
    <w:rPr>
      <w:sz w:val="20"/>
      <w:szCs w:val="20"/>
    </w:rPr>
  </w:style>
  <w:style w:type="character" w:styleId="EndnoteReference">
    <w:name w:val="endnote reference"/>
    <w:basedOn w:val="DefaultParagraphFont"/>
    <w:uiPriority w:val="99"/>
    <w:semiHidden/>
    <w:unhideWhenUsed/>
    <w:rsid w:val="003C2526"/>
    <w:rPr>
      <w:vertAlign w:val="superscript"/>
    </w:rPr>
  </w:style>
  <w:style w:type="table" w:styleId="TableGrid">
    <w:name w:val="Table Grid"/>
    <w:basedOn w:val="TableNormal"/>
    <w:uiPriority w:val="39"/>
    <w:rsid w:val="0066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ar"/>
    <w:qFormat/>
    <w:rsid w:val="00BB066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ar">
    <w:name w:val="_ Single Txt_G Car"/>
    <w:link w:val="SingleTxtG"/>
    <w:rsid w:val="00BB066D"/>
    <w:rPr>
      <w:rFonts w:ascii="Times New Roman" w:eastAsia="Times New Roman" w:hAnsi="Times New Roman" w:cs="Times New Roman"/>
      <w:sz w:val="20"/>
      <w:szCs w:val="20"/>
      <w:lang w:val="en-GB"/>
    </w:rPr>
  </w:style>
  <w:style w:type="paragraph" w:styleId="Revision">
    <w:name w:val="Revision"/>
    <w:hidden/>
    <w:uiPriority w:val="99"/>
    <w:semiHidden/>
    <w:rsid w:val="00D55E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3357">
      <w:bodyDiv w:val="1"/>
      <w:marLeft w:val="0"/>
      <w:marRight w:val="0"/>
      <w:marTop w:val="0"/>
      <w:marBottom w:val="0"/>
      <w:divBdr>
        <w:top w:val="none" w:sz="0" w:space="0" w:color="auto"/>
        <w:left w:val="none" w:sz="0" w:space="0" w:color="auto"/>
        <w:bottom w:val="none" w:sz="0" w:space="0" w:color="auto"/>
        <w:right w:val="none" w:sz="0" w:space="0" w:color="auto"/>
      </w:divBdr>
      <w:divsChild>
        <w:div w:id="1296645003">
          <w:marLeft w:val="274"/>
          <w:marRight w:val="0"/>
          <w:marTop w:val="0"/>
          <w:marBottom w:val="0"/>
          <w:divBdr>
            <w:top w:val="none" w:sz="0" w:space="0" w:color="auto"/>
            <w:left w:val="none" w:sz="0" w:space="0" w:color="auto"/>
            <w:bottom w:val="none" w:sz="0" w:space="0" w:color="auto"/>
            <w:right w:val="none" w:sz="0" w:space="0" w:color="auto"/>
          </w:divBdr>
        </w:div>
        <w:div w:id="1174759857">
          <w:marLeft w:val="274"/>
          <w:marRight w:val="0"/>
          <w:marTop w:val="0"/>
          <w:marBottom w:val="0"/>
          <w:divBdr>
            <w:top w:val="none" w:sz="0" w:space="0" w:color="auto"/>
            <w:left w:val="none" w:sz="0" w:space="0" w:color="auto"/>
            <w:bottom w:val="none" w:sz="0" w:space="0" w:color="auto"/>
            <w:right w:val="none" w:sz="0" w:space="0" w:color="auto"/>
          </w:divBdr>
        </w:div>
        <w:div w:id="1944191730">
          <w:marLeft w:val="274"/>
          <w:marRight w:val="0"/>
          <w:marTop w:val="0"/>
          <w:marBottom w:val="0"/>
          <w:divBdr>
            <w:top w:val="none" w:sz="0" w:space="0" w:color="auto"/>
            <w:left w:val="none" w:sz="0" w:space="0" w:color="auto"/>
            <w:bottom w:val="none" w:sz="0" w:space="0" w:color="auto"/>
            <w:right w:val="none" w:sz="0" w:space="0" w:color="auto"/>
          </w:divBdr>
        </w:div>
      </w:divsChild>
    </w:div>
    <w:div w:id="272173962">
      <w:bodyDiv w:val="1"/>
      <w:marLeft w:val="0"/>
      <w:marRight w:val="0"/>
      <w:marTop w:val="0"/>
      <w:marBottom w:val="0"/>
      <w:divBdr>
        <w:top w:val="none" w:sz="0" w:space="0" w:color="auto"/>
        <w:left w:val="none" w:sz="0" w:space="0" w:color="auto"/>
        <w:bottom w:val="none" w:sz="0" w:space="0" w:color="auto"/>
        <w:right w:val="none" w:sz="0" w:space="0" w:color="auto"/>
      </w:divBdr>
      <w:divsChild>
        <w:div w:id="13312793">
          <w:marLeft w:val="331"/>
          <w:marRight w:val="0"/>
          <w:marTop w:val="60"/>
          <w:marBottom w:val="60"/>
          <w:divBdr>
            <w:top w:val="none" w:sz="0" w:space="0" w:color="auto"/>
            <w:left w:val="none" w:sz="0" w:space="0" w:color="auto"/>
            <w:bottom w:val="none" w:sz="0" w:space="0" w:color="auto"/>
            <w:right w:val="none" w:sz="0" w:space="0" w:color="auto"/>
          </w:divBdr>
        </w:div>
      </w:divsChild>
    </w:div>
    <w:div w:id="419109546">
      <w:bodyDiv w:val="1"/>
      <w:marLeft w:val="0"/>
      <w:marRight w:val="0"/>
      <w:marTop w:val="0"/>
      <w:marBottom w:val="0"/>
      <w:divBdr>
        <w:top w:val="none" w:sz="0" w:space="0" w:color="auto"/>
        <w:left w:val="none" w:sz="0" w:space="0" w:color="auto"/>
        <w:bottom w:val="none" w:sz="0" w:space="0" w:color="auto"/>
        <w:right w:val="none" w:sz="0" w:space="0" w:color="auto"/>
      </w:divBdr>
    </w:div>
    <w:div w:id="499003601">
      <w:bodyDiv w:val="1"/>
      <w:marLeft w:val="0"/>
      <w:marRight w:val="0"/>
      <w:marTop w:val="0"/>
      <w:marBottom w:val="0"/>
      <w:divBdr>
        <w:top w:val="none" w:sz="0" w:space="0" w:color="auto"/>
        <w:left w:val="none" w:sz="0" w:space="0" w:color="auto"/>
        <w:bottom w:val="none" w:sz="0" w:space="0" w:color="auto"/>
        <w:right w:val="none" w:sz="0" w:space="0" w:color="auto"/>
      </w:divBdr>
      <w:divsChild>
        <w:div w:id="1885143751">
          <w:marLeft w:val="202"/>
          <w:marRight w:val="0"/>
          <w:marTop w:val="60"/>
          <w:marBottom w:val="60"/>
          <w:divBdr>
            <w:top w:val="none" w:sz="0" w:space="0" w:color="auto"/>
            <w:left w:val="none" w:sz="0" w:space="0" w:color="auto"/>
            <w:bottom w:val="none" w:sz="0" w:space="0" w:color="auto"/>
            <w:right w:val="none" w:sz="0" w:space="0" w:color="auto"/>
          </w:divBdr>
        </w:div>
      </w:divsChild>
    </w:div>
    <w:div w:id="503742335">
      <w:bodyDiv w:val="1"/>
      <w:marLeft w:val="0"/>
      <w:marRight w:val="0"/>
      <w:marTop w:val="0"/>
      <w:marBottom w:val="0"/>
      <w:divBdr>
        <w:top w:val="none" w:sz="0" w:space="0" w:color="auto"/>
        <w:left w:val="none" w:sz="0" w:space="0" w:color="auto"/>
        <w:bottom w:val="none" w:sz="0" w:space="0" w:color="auto"/>
        <w:right w:val="none" w:sz="0" w:space="0" w:color="auto"/>
      </w:divBdr>
    </w:div>
    <w:div w:id="560752890">
      <w:bodyDiv w:val="1"/>
      <w:marLeft w:val="0"/>
      <w:marRight w:val="0"/>
      <w:marTop w:val="0"/>
      <w:marBottom w:val="0"/>
      <w:divBdr>
        <w:top w:val="none" w:sz="0" w:space="0" w:color="auto"/>
        <w:left w:val="none" w:sz="0" w:space="0" w:color="auto"/>
        <w:bottom w:val="none" w:sz="0" w:space="0" w:color="auto"/>
        <w:right w:val="none" w:sz="0" w:space="0" w:color="auto"/>
      </w:divBdr>
    </w:div>
    <w:div w:id="621225096">
      <w:bodyDiv w:val="1"/>
      <w:marLeft w:val="0"/>
      <w:marRight w:val="0"/>
      <w:marTop w:val="0"/>
      <w:marBottom w:val="0"/>
      <w:divBdr>
        <w:top w:val="none" w:sz="0" w:space="0" w:color="auto"/>
        <w:left w:val="none" w:sz="0" w:space="0" w:color="auto"/>
        <w:bottom w:val="none" w:sz="0" w:space="0" w:color="auto"/>
        <w:right w:val="none" w:sz="0" w:space="0" w:color="auto"/>
      </w:divBdr>
    </w:div>
    <w:div w:id="640036901">
      <w:bodyDiv w:val="1"/>
      <w:marLeft w:val="0"/>
      <w:marRight w:val="0"/>
      <w:marTop w:val="0"/>
      <w:marBottom w:val="0"/>
      <w:divBdr>
        <w:top w:val="none" w:sz="0" w:space="0" w:color="auto"/>
        <w:left w:val="none" w:sz="0" w:space="0" w:color="auto"/>
        <w:bottom w:val="none" w:sz="0" w:space="0" w:color="auto"/>
        <w:right w:val="none" w:sz="0" w:space="0" w:color="auto"/>
      </w:divBdr>
    </w:div>
    <w:div w:id="678656037">
      <w:bodyDiv w:val="1"/>
      <w:marLeft w:val="0"/>
      <w:marRight w:val="0"/>
      <w:marTop w:val="0"/>
      <w:marBottom w:val="0"/>
      <w:divBdr>
        <w:top w:val="none" w:sz="0" w:space="0" w:color="auto"/>
        <w:left w:val="none" w:sz="0" w:space="0" w:color="auto"/>
        <w:bottom w:val="none" w:sz="0" w:space="0" w:color="auto"/>
        <w:right w:val="none" w:sz="0" w:space="0" w:color="auto"/>
      </w:divBdr>
      <w:divsChild>
        <w:div w:id="1097097300">
          <w:marLeft w:val="202"/>
          <w:marRight w:val="0"/>
          <w:marTop w:val="60"/>
          <w:marBottom w:val="60"/>
          <w:divBdr>
            <w:top w:val="none" w:sz="0" w:space="0" w:color="auto"/>
            <w:left w:val="none" w:sz="0" w:space="0" w:color="auto"/>
            <w:bottom w:val="none" w:sz="0" w:space="0" w:color="auto"/>
            <w:right w:val="none" w:sz="0" w:space="0" w:color="auto"/>
          </w:divBdr>
        </w:div>
      </w:divsChild>
    </w:div>
    <w:div w:id="748427307">
      <w:bodyDiv w:val="1"/>
      <w:marLeft w:val="0"/>
      <w:marRight w:val="0"/>
      <w:marTop w:val="0"/>
      <w:marBottom w:val="0"/>
      <w:divBdr>
        <w:top w:val="none" w:sz="0" w:space="0" w:color="auto"/>
        <w:left w:val="none" w:sz="0" w:space="0" w:color="auto"/>
        <w:bottom w:val="none" w:sz="0" w:space="0" w:color="auto"/>
        <w:right w:val="none" w:sz="0" w:space="0" w:color="auto"/>
      </w:divBdr>
    </w:div>
    <w:div w:id="1039402805">
      <w:bodyDiv w:val="1"/>
      <w:marLeft w:val="0"/>
      <w:marRight w:val="0"/>
      <w:marTop w:val="0"/>
      <w:marBottom w:val="0"/>
      <w:divBdr>
        <w:top w:val="none" w:sz="0" w:space="0" w:color="auto"/>
        <w:left w:val="none" w:sz="0" w:space="0" w:color="auto"/>
        <w:bottom w:val="none" w:sz="0" w:space="0" w:color="auto"/>
        <w:right w:val="none" w:sz="0" w:space="0" w:color="auto"/>
      </w:divBdr>
      <w:divsChild>
        <w:div w:id="1916546119">
          <w:marLeft w:val="274"/>
          <w:marRight w:val="0"/>
          <w:marTop w:val="0"/>
          <w:marBottom w:val="0"/>
          <w:divBdr>
            <w:top w:val="none" w:sz="0" w:space="0" w:color="auto"/>
            <w:left w:val="none" w:sz="0" w:space="0" w:color="auto"/>
            <w:bottom w:val="none" w:sz="0" w:space="0" w:color="auto"/>
            <w:right w:val="none" w:sz="0" w:space="0" w:color="auto"/>
          </w:divBdr>
        </w:div>
      </w:divsChild>
    </w:div>
    <w:div w:id="1456754359">
      <w:bodyDiv w:val="1"/>
      <w:marLeft w:val="0"/>
      <w:marRight w:val="0"/>
      <w:marTop w:val="0"/>
      <w:marBottom w:val="0"/>
      <w:divBdr>
        <w:top w:val="none" w:sz="0" w:space="0" w:color="auto"/>
        <w:left w:val="none" w:sz="0" w:space="0" w:color="auto"/>
        <w:bottom w:val="none" w:sz="0" w:space="0" w:color="auto"/>
        <w:right w:val="none" w:sz="0" w:space="0" w:color="auto"/>
      </w:divBdr>
      <w:divsChild>
        <w:div w:id="1975601763">
          <w:marLeft w:val="274"/>
          <w:marRight w:val="0"/>
          <w:marTop w:val="0"/>
          <w:marBottom w:val="0"/>
          <w:divBdr>
            <w:top w:val="none" w:sz="0" w:space="0" w:color="auto"/>
            <w:left w:val="none" w:sz="0" w:space="0" w:color="auto"/>
            <w:bottom w:val="none" w:sz="0" w:space="0" w:color="auto"/>
            <w:right w:val="none" w:sz="0" w:space="0" w:color="auto"/>
          </w:divBdr>
        </w:div>
      </w:divsChild>
    </w:div>
    <w:div w:id="1540900647">
      <w:bodyDiv w:val="1"/>
      <w:marLeft w:val="0"/>
      <w:marRight w:val="0"/>
      <w:marTop w:val="0"/>
      <w:marBottom w:val="0"/>
      <w:divBdr>
        <w:top w:val="none" w:sz="0" w:space="0" w:color="auto"/>
        <w:left w:val="none" w:sz="0" w:space="0" w:color="auto"/>
        <w:bottom w:val="none" w:sz="0" w:space="0" w:color="auto"/>
        <w:right w:val="none" w:sz="0" w:space="0" w:color="auto"/>
      </w:divBdr>
      <w:divsChild>
        <w:div w:id="1394960554">
          <w:marLeft w:val="274"/>
          <w:marRight w:val="0"/>
          <w:marTop w:val="0"/>
          <w:marBottom w:val="0"/>
          <w:divBdr>
            <w:top w:val="none" w:sz="0" w:space="0" w:color="auto"/>
            <w:left w:val="none" w:sz="0" w:space="0" w:color="auto"/>
            <w:bottom w:val="none" w:sz="0" w:space="0" w:color="auto"/>
            <w:right w:val="none" w:sz="0" w:space="0" w:color="auto"/>
          </w:divBdr>
        </w:div>
      </w:divsChild>
    </w:div>
    <w:div w:id="1750495344">
      <w:bodyDiv w:val="1"/>
      <w:marLeft w:val="0"/>
      <w:marRight w:val="0"/>
      <w:marTop w:val="0"/>
      <w:marBottom w:val="0"/>
      <w:divBdr>
        <w:top w:val="none" w:sz="0" w:space="0" w:color="auto"/>
        <w:left w:val="none" w:sz="0" w:space="0" w:color="auto"/>
        <w:bottom w:val="none" w:sz="0" w:space="0" w:color="auto"/>
        <w:right w:val="none" w:sz="0" w:space="0" w:color="auto"/>
      </w:divBdr>
    </w:div>
    <w:div w:id="1966305589">
      <w:bodyDiv w:val="1"/>
      <w:marLeft w:val="0"/>
      <w:marRight w:val="0"/>
      <w:marTop w:val="0"/>
      <w:marBottom w:val="0"/>
      <w:divBdr>
        <w:top w:val="none" w:sz="0" w:space="0" w:color="auto"/>
        <w:left w:val="none" w:sz="0" w:space="0" w:color="auto"/>
        <w:bottom w:val="none" w:sz="0" w:space="0" w:color="auto"/>
        <w:right w:val="none" w:sz="0" w:space="0" w:color="auto"/>
      </w:divBdr>
      <w:divsChild>
        <w:div w:id="1479616370">
          <w:marLeft w:val="1526"/>
          <w:marRight w:val="0"/>
          <w:marTop w:val="60"/>
          <w:marBottom w:val="60"/>
          <w:divBdr>
            <w:top w:val="none" w:sz="0" w:space="0" w:color="auto"/>
            <w:left w:val="none" w:sz="0" w:space="0" w:color="auto"/>
            <w:bottom w:val="none" w:sz="0" w:space="0" w:color="auto"/>
            <w:right w:val="none" w:sz="0" w:space="0" w:color="auto"/>
          </w:divBdr>
        </w:div>
        <w:div w:id="917986020">
          <w:marLeft w:val="1526"/>
          <w:marRight w:val="0"/>
          <w:marTop w:val="60"/>
          <w:marBottom w:val="60"/>
          <w:divBdr>
            <w:top w:val="none" w:sz="0" w:space="0" w:color="auto"/>
            <w:left w:val="none" w:sz="0" w:space="0" w:color="auto"/>
            <w:bottom w:val="none" w:sz="0" w:space="0" w:color="auto"/>
            <w:right w:val="none" w:sz="0" w:space="0" w:color="auto"/>
          </w:divBdr>
        </w:div>
        <w:div w:id="613102457">
          <w:marLeft w:val="1526"/>
          <w:marRight w:val="0"/>
          <w:marTop w:val="60"/>
          <w:marBottom w:val="60"/>
          <w:divBdr>
            <w:top w:val="none" w:sz="0" w:space="0" w:color="auto"/>
            <w:left w:val="none" w:sz="0" w:space="0" w:color="auto"/>
            <w:bottom w:val="none" w:sz="0" w:space="0" w:color="auto"/>
            <w:right w:val="none" w:sz="0" w:space="0" w:color="auto"/>
          </w:divBdr>
        </w:div>
        <w:div w:id="1768689684">
          <w:marLeft w:val="1526"/>
          <w:marRight w:val="0"/>
          <w:marTop w:val="60"/>
          <w:marBottom w:val="60"/>
          <w:divBdr>
            <w:top w:val="none" w:sz="0" w:space="0" w:color="auto"/>
            <w:left w:val="none" w:sz="0" w:space="0" w:color="auto"/>
            <w:bottom w:val="none" w:sz="0" w:space="0" w:color="auto"/>
            <w:right w:val="none" w:sz="0" w:space="0" w:color="auto"/>
          </w:divBdr>
        </w:div>
        <w:div w:id="524440735">
          <w:marLeft w:val="1526"/>
          <w:marRight w:val="0"/>
          <w:marTop w:val="60"/>
          <w:marBottom w:val="60"/>
          <w:divBdr>
            <w:top w:val="none" w:sz="0" w:space="0" w:color="auto"/>
            <w:left w:val="none" w:sz="0" w:space="0" w:color="auto"/>
            <w:bottom w:val="none" w:sz="0" w:space="0" w:color="auto"/>
            <w:right w:val="none" w:sz="0" w:space="0" w:color="auto"/>
          </w:divBdr>
        </w:div>
      </w:divsChild>
    </w:div>
    <w:div w:id="2036617909">
      <w:bodyDiv w:val="1"/>
      <w:marLeft w:val="0"/>
      <w:marRight w:val="0"/>
      <w:marTop w:val="0"/>
      <w:marBottom w:val="0"/>
      <w:divBdr>
        <w:top w:val="none" w:sz="0" w:space="0" w:color="auto"/>
        <w:left w:val="none" w:sz="0" w:space="0" w:color="auto"/>
        <w:bottom w:val="none" w:sz="0" w:space="0" w:color="auto"/>
        <w:right w:val="none" w:sz="0" w:space="0" w:color="auto"/>
      </w:divBdr>
      <w:divsChild>
        <w:div w:id="1915160666">
          <w:marLeft w:val="202"/>
          <w:marRight w:val="0"/>
          <w:marTop w:val="60"/>
          <w:marBottom w:val="60"/>
          <w:divBdr>
            <w:top w:val="none" w:sz="0" w:space="0" w:color="auto"/>
            <w:left w:val="none" w:sz="0" w:space="0" w:color="auto"/>
            <w:bottom w:val="none" w:sz="0" w:space="0" w:color="auto"/>
            <w:right w:val="none" w:sz="0" w:space="0" w:color="auto"/>
          </w:divBdr>
        </w:div>
      </w:divsChild>
    </w:div>
    <w:div w:id="2059820546">
      <w:bodyDiv w:val="1"/>
      <w:marLeft w:val="0"/>
      <w:marRight w:val="0"/>
      <w:marTop w:val="0"/>
      <w:marBottom w:val="0"/>
      <w:divBdr>
        <w:top w:val="none" w:sz="0" w:space="0" w:color="auto"/>
        <w:left w:val="none" w:sz="0" w:space="0" w:color="auto"/>
        <w:bottom w:val="none" w:sz="0" w:space="0" w:color="auto"/>
        <w:right w:val="none" w:sz="0" w:space="0" w:color="auto"/>
      </w:divBdr>
    </w:div>
    <w:div w:id="2065054477">
      <w:bodyDiv w:val="1"/>
      <w:marLeft w:val="0"/>
      <w:marRight w:val="0"/>
      <w:marTop w:val="0"/>
      <w:marBottom w:val="0"/>
      <w:divBdr>
        <w:top w:val="none" w:sz="0" w:space="0" w:color="auto"/>
        <w:left w:val="none" w:sz="0" w:space="0" w:color="auto"/>
        <w:bottom w:val="none" w:sz="0" w:space="0" w:color="auto"/>
        <w:right w:val="none" w:sz="0" w:space="0" w:color="auto"/>
      </w:divBdr>
    </w:div>
    <w:div w:id="21151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519271">
          <w:marLeft w:val="331"/>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manual-environment-3rd-edition/1680a56197" TargetMode="External"/><Relationship Id="rId18" Type="http://schemas.openxmlformats.org/officeDocument/2006/relationships/hyperlink" Target="https://pace.coe.int/en/files/29524/html" TargetMode="External"/><Relationship Id="rId26" Type="http://schemas.openxmlformats.org/officeDocument/2006/relationships/hyperlink" Target="https://search.coe.int/cm/Pages/result_details.aspx?ObjectId=09000016805d4449" TargetMode="External"/><Relationship Id="rId3" Type="http://schemas.openxmlformats.org/officeDocument/2006/relationships/customXml" Target="../customXml/item3.xml"/><Relationship Id="rId21" Type="http://schemas.openxmlformats.org/officeDocument/2006/relationships/hyperlink" Target="https://pace.coe.int/en/files/29688/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m.coe.int/thematic-factsheet-environment-eng/1680a00c09" TargetMode="External"/><Relationship Id="rId17" Type="http://schemas.openxmlformats.org/officeDocument/2006/relationships/hyperlink" Target="https://pace.coe.int/en/files/28239/html" TargetMode="External"/><Relationship Id="rId25" Type="http://schemas.openxmlformats.org/officeDocument/2006/relationships/hyperlink" Target="https://search.coe.int/cm/Pages/result_details.aspx?ObjectID=09000016805d3e52"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ace.coe.int/en/files/29688/html" TargetMode="External"/><Relationship Id="rId20" Type="http://schemas.openxmlformats.org/officeDocument/2006/relationships/hyperlink" Target="https://pace.coe.int/en/files/29523/html" TargetMode="External"/><Relationship Id="rId29" Type="http://schemas.openxmlformats.org/officeDocument/2006/relationships/hyperlink" Target="https://search.coe.int/cm/Pages/result_details.aspx?ObjectId=0900001680a7b73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hr.coe.int/Documents/FS_Environment_ENG.pdf" TargetMode="External"/><Relationship Id="rId24" Type="http://schemas.openxmlformats.org/officeDocument/2006/relationships/hyperlink" Target="https://rm.coe.int/CoERMPublicCommonSearchServices/DisplayDCTMContent?documentId=09000016806482d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ace.coe.int/en/files/27716/html" TargetMode="External"/><Relationship Id="rId23" Type="http://schemas.openxmlformats.org/officeDocument/2006/relationships/hyperlink" Target="https://rm.coe.int/168046c478" TargetMode="External"/><Relationship Id="rId28" Type="http://schemas.openxmlformats.org/officeDocument/2006/relationships/hyperlink" Target="https://search.coe.int/cm/Pages/result_details.aspx?ObjectID=0900001680a83df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earch.coe.int/cm/Pages/result_details.aspx?ObjectId=0900001680a7b73e" TargetMode="External"/><Relationship Id="rId31" Type="http://schemas.openxmlformats.org/officeDocument/2006/relationships/hyperlink" Target="https://pace.coe.int/en/files/2968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m.coe.int/council-of-europe-strategy-for-the-rights-of-the-child-2022-2027-child/1680a5ef27" TargetMode="External"/><Relationship Id="rId22" Type="http://schemas.openxmlformats.org/officeDocument/2006/relationships/hyperlink" Target="https://rm.coe.int/thematic-factsheet-environment-eng/1680a00c09" TargetMode="External"/><Relationship Id="rId27" Type="http://schemas.openxmlformats.org/officeDocument/2006/relationships/hyperlink" Target="https://search.coe.int/cm/Pages/result_details.aspx?ObjectID=09000016804b2cf3" TargetMode="External"/><Relationship Id="rId30" Type="http://schemas.openxmlformats.org/officeDocument/2006/relationships/hyperlink" Target="https://search.coe.int/cm/Pages/result_details.aspx?Reference=CM/Rec(2016)3"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968E5-5C8A-423A-9B81-44D407D0B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98778-5573-4666-A8CD-8824DA6A97C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550CD56-3AB0-405C-81B4-EA5B923BE3FD}">
  <ds:schemaRefs>
    <ds:schemaRef ds:uri="http://schemas.openxmlformats.org/officeDocument/2006/bibliography"/>
  </ds:schemaRefs>
</ds:datastoreItem>
</file>

<file path=customXml/itemProps4.xml><?xml version="1.0" encoding="utf-8"?>
<ds:datastoreItem xmlns:ds="http://schemas.openxmlformats.org/officeDocument/2006/customXml" ds:itemID="{7A0ABDE0-2D88-4B3A-9FF9-351533F95E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4516</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BEATTIE Tara</dc:creator>
  <cp:lastModifiedBy>GIRET Valerie</cp:lastModifiedBy>
  <cp:revision>2</cp:revision>
  <cp:lastPrinted>2023-02-14T16:31:00Z</cp:lastPrinted>
  <dcterms:created xsi:type="dcterms:W3CDTF">2023-02-15T16:01:00Z</dcterms:created>
  <dcterms:modified xsi:type="dcterms:W3CDTF">2023-02-15T16:01:00Z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