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C63E" w14:textId="77777777" w:rsidR="00910B92" w:rsidRPr="00071164" w:rsidRDefault="00910B92" w:rsidP="000D3B37">
      <w:pPr>
        <w:ind w:right="1"/>
        <w:rPr>
          <w:rFonts w:ascii="Times New Roman" w:hAnsi="Times New Roman"/>
          <w:szCs w:val="24"/>
          <w:lang w:val="en-GB"/>
        </w:rPr>
      </w:pPr>
      <w:r w:rsidRPr="00B95AEB">
        <w:rPr>
          <w:rFonts w:ascii="Times New Roman" w:hAnsi="Times New Roman"/>
          <w:noProof/>
          <w:szCs w:val="24"/>
        </w:rPr>
        <mc:AlternateContent>
          <mc:Choice Requires="wps">
            <w:drawing>
              <wp:anchor distT="0" distB="0" distL="114300" distR="114300" simplePos="0" relativeHeight="251670528" behindDoc="0" locked="1" layoutInCell="1" allowOverlap="1" wp14:anchorId="760DE01C" wp14:editId="0D5B9BBE">
                <wp:simplePos x="0" y="0"/>
                <wp:positionH relativeFrom="column">
                  <wp:posOffset>6823075</wp:posOffset>
                </wp:positionH>
                <wp:positionV relativeFrom="topMargin">
                  <wp:posOffset>3222625</wp:posOffset>
                </wp:positionV>
                <wp:extent cx="208800" cy="262800"/>
                <wp:effectExtent l="0" t="0" r="1270" b="4445"/>
                <wp:wrapNone/>
                <wp:docPr id="6" name="Szövegdoboz 6"/>
                <wp:cNvGraphicFramePr/>
                <a:graphic xmlns:a="http://schemas.openxmlformats.org/drawingml/2006/main">
                  <a:graphicData uri="http://schemas.microsoft.com/office/word/2010/wordprocessingShape">
                    <wps:wsp>
                      <wps:cNvSpPr txBox="1"/>
                      <wps:spPr>
                        <a:xfrm>
                          <a:off x="0" y="0"/>
                          <a:ext cx="208800" cy="262800"/>
                        </a:xfrm>
                        <a:prstGeom prst="rect">
                          <a:avLst/>
                        </a:prstGeom>
                        <a:solidFill>
                          <a:sysClr val="window" lastClr="FFFFFF"/>
                        </a:solidFill>
                        <a:ln w="6350">
                          <a:noFill/>
                        </a:ln>
                        <a:effectLst/>
                      </wps:spPr>
                      <wps:txbx>
                        <w:txbxContent>
                          <w:p w14:paraId="19B6A01C" w14:textId="77777777" w:rsidR="00342F4C" w:rsidRPr="005B3CFE" w:rsidRDefault="00342F4C" w:rsidP="00910B92">
                            <w:pPr>
                              <w:rPr>
                                <w:sz w:val="16"/>
                                <w:szCs w:val="16"/>
                              </w:rPr>
                            </w:pPr>
                            <w:r>
                              <w:rPr>
                                <w:sz w:val="16"/>
                                <w:szCs w:val="16"/>
                              </w:rPr>
                              <w:noBreak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DE01C" id="_x0000_t202" coordsize="21600,21600" o:spt="202" path="m,l,21600r21600,l21600,xe">
                <v:stroke joinstyle="miter"/>
                <v:path gradientshapeok="t" o:connecttype="rect"/>
              </v:shapetype>
              <v:shape id="Szövegdoboz 6" o:spid="_x0000_s1026" type="#_x0000_t202" style="position:absolute;margin-left:537.25pt;margin-top:253.75pt;width:16.4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" fillcolor="window" stroked="f" strokeweight=".5pt">
                <v:textbox>
                  <w:txbxContent>
                    <w:p w14:paraId="19B6A01C" w14:textId="77777777" w:rsidR="00342F4C" w:rsidRPr="005B3CFE" w:rsidRDefault="00342F4C" w:rsidP="00910B92">
                      <w:pPr>
                        <w:rPr>
                          <w:sz w:val="16"/>
                          <w:szCs w:val="16"/>
                        </w:rPr>
                      </w:pPr>
                      <w:r>
                        <w:rPr>
                          <w:sz w:val="16"/>
                          <w:szCs w:val="16"/>
                        </w:rPr>
                        <w:noBreakHyphen/>
                      </w:r>
                    </w:p>
                  </w:txbxContent>
                </v:textbox>
                <w10:wrap anchory="margin"/>
                <w10:anchorlock/>
              </v:shape>
            </w:pict>
          </mc:Fallback>
        </mc:AlternateContent>
      </w:r>
    </w:p>
    <w:p w14:paraId="0F4621A7" w14:textId="6627120F" w:rsidR="00910B92" w:rsidRPr="00071164" w:rsidRDefault="00910B92" w:rsidP="000D3B37">
      <w:pPr>
        <w:ind w:right="1"/>
        <w:rPr>
          <w:rFonts w:ascii="Times New Roman" w:hAnsi="Times New Roman"/>
          <w:szCs w:val="24"/>
          <w:lang w:val="en-GB"/>
        </w:rPr>
      </w:pPr>
    </w:p>
    <w:tbl>
      <w:tblPr>
        <w:tblpPr w:leftFromText="141" w:rightFromText="141" w:vertAnchor="text" w:horzAnchor="margin" w:tblpY="-30"/>
        <w:tblOverlap w:val="never"/>
        <w:tblW w:w="3539" w:type="dxa"/>
        <w:tblLayout w:type="fixed"/>
        <w:tblLook w:val="0160" w:firstRow="1" w:lastRow="1" w:firstColumn="0" w:lastColumn="1" w:noHBand="0" w:noVBand="0"/>
      </w:tblPr>
      <w:tblGrid>
        <w:gridCol w:w="1397"/>
        <w:gridCol w:w="2142"/>
      </w:tblGrid>
      <w:tr w:rsidR="00910B92" w:rsidRPr="00561F8C" w14:paraId="20801585" w14:textId="77777777" w:rsidTr="005115CD">
        <w:trPr>
          <w:cantSplit/>
          <w:trHeight w:hRule="exact" w:val="269"/>
        </w:trPr>
        <w:tc>
          <w:tcPr>
            <w:tcW w:w="1397" w:type="dxa"/>
            <w:shd w:val="clear" w:color="auto" w:fill="auto"/>
            <w:vAlign w:val="center"/>
          </w:tcPr>
          <w:tbl>
            <w:tblPr>
              <w:tblpPr w:leftFromText="141" w:rightFromText="141" w:vertAnchor="text" w:horzAnchor="margin" w:tblpY="-30"/>
              <w:tblOverlap w:val="never"/>
              <w:tblW w:w="4501" w:type="dxa"/>
              <w:tblLayout w:type="fixed"/>
              <w:tblLook w:val="0160" w:firstRow="1" w:lastRow="1" w:firstColumn="0" w:lastColumn="1" w:noHBand="0" w:noVBand="0"/>
            </w:tblPr>
            <w:tblGrid>
              <w:gridCol w:w="4501"/>
            </w:tblGrid>
            <w:tr w:rsidR="00910B92" w:rsidRPr="00561F8C" w14:paraId="73E70296" w14:textId="77777777" w:rsidTr="00A23069">
              <w:trPr>
                <w:cantSplit/>
                <w:trHeight w:hRule="exact" w:val="269"/>
              </w:trPr>
              <w:tc>
                <w:tcPr>
                  <w:tcW w:w="4501" w:type="dxa"/>
                  <w:shd w:val="clear" w:color="auto" w:fill="auto"/>
                  <w:vAlign w:val="center"/>
                </w:tcPr>
                <w:p w14:paraId="1085B114" w14:textId="77777777" w:rsidR="00910B92" w:rsidRPr="00071164" w:rsidRDefault="00A23069" w:rsidP="000D3B37">
                  <w:pPr>
                    <w:ind w:right="1"/>
                    <w:rPr>
                      <w:rFonts w:ascii="Times New Roman" w:hAnsi="Times New Roman"/>
                      <w:b/>
                      <w:sz w:val="16"/>
                      <w:szCs w:val="16"/>
                      <w:lang w:val="en-GB"/>
                    </w:rPr>
                  </w:pPr>
                  <w:r w:rsidRPr="00CB6CB2">
                    <w:rPr>
                      <w:rFonts w:ascii="Times New Roman" w:hAnsi="Times New Roman"/>
                      <w:b/>
                      <w:sz w:val="16"/>
                      <w:szCs w:val="16"/>
                      <w:lang w:val="en-GB"/>
                    </w:rPr>
                    <w:t>Reference</w:t>
                  </w:r>
                  <w:r w:rsidR="00910B92" w:rsidRPr="00CB6CB2">
                    <w:rPr>
                      <w:rFonts w:ascii="Times New Roman" w:hAnsi="Times New Roman"/>
                      <w:b/>
                      <w:sz w:val="16"/>
                      <w:szCs w:val="16"/>
                      <w:lang w:val="en-GB"/>
                    </w:rPr>
                    <w:t xml:space="preserve"> </w:t>
                  </w:r>
                  <w:r w:rsidR="00910B92" w:rsidRPr="00071164">
                    <w:rPr>
                      <w:rFonts w:ascii="Times New Roman" w:hAnsi="Times New Roman"/>
                      <w:b/>
                      <w:sz w:val="16"/>
                      <w:szCs w:val="16"/>
                      <w:lang w:val="en-GB"/>
                    </w:rPr>
                    <w:t>No.:</w:t>
                  </w:r>
                </w:p>
              </w:tc>
            </w:tr>
            <w:tr w:rsidR="00910B92" w:rsidRPr="00561F8C" w14:paraId="443856E6" w14:textId="77777777" w:rsidTr="00A23069">
              <w:trPr>
                <w:cantSplit/>
                <w:trHeight w:hRule="exact" w:val="269"/>
              </w:trPr>
              <w:tc>
                <w:tcPr>
                  <w:tcW w:w="4501" w:type="dxa"/>
                  <w:shd w:val="clear" w:color="auto" w:fill="auto"/>
                  <w:vAlign w:val="center"/>
                </w:tcPr>
                <w:p w14:paraId="005B28C9" w14:textId="77777777" w:rsidR="00910B92" w:rsidRPr="00071164" w:rsidRDefault="00910B92" w:rsidP="000D3B37">
                  <w:pPr>
                    <w:ind w:right="1"/>
                    <w:rPr>
                      <w:rFonts w:ascii="Times New Roman" w:hAnsi="Times New Roman"/>
                      <w:b/>
                      <w:sz w:val="16"/>
                      <w:szCs w:val="16"/>
                      <w:lang w:val="en-GB"/>
                    </w:rPr>
                  </w:pPr>
                  <w:r w:rsidRPr="00CB6CB2">
                    <w:rPr>
                      <w:rFonts w:ascii="Times New Roman" w:hAnsi="Times New Roman"/>
                      <w:b/>
                      <w:sz w:val="16"/>
                      <w:szCs w:val="16"/>
                      <w:lang w:val="en-GB"/>
                    </w:rPr>
                    <w:t>Case officer</w:t>
                  </w:r>
                  <w:r w:rsidRPr="00071164">
                    <w:rPr>
                      <w:rFonts w:ascii="Times New Roman" w:hAnsi="Times New Roman"/>
                      <w:b/>
                      <w:sz w:val="16"/>
                      <w:szCs w:val="16"/>
                      <w:lang w:val="en-GB"/>
                    </w:rPr>
                    <w:t>:</w:t>
                  </w:r>
                </w:p>
              </w:tc>
            </w:tr>
          </w:tbl>
          <w:p w14:paraId="406A9205" w14:textId="77777777" w:rsidR="00910B92" w:rsidRPr="00071164" w:rsidRDefault="00910B92" w:rsidP="000D3B37">
            <w:pPr>
              <w:ind w:right="1"/>
              <w:rPr>
                <w:rFonts w:ascii="Times New Roman" w:hAnsi="Times New Roman"/>
                <w:b/>
                <w:sz w:val="16"/>
                <w:szCs w:val="16"/>
                <w:lang w:val="en-GB"/>
              </w:rPr>
            </w:pPr>
          </w:p>
        </w:tc>
        <w:tc>
          <w:tcPr>
            <w:tcW w:w="2142" w:type="dxa"/>
            <w:shd w:val="clear" w:color="auto" w:fill="auto"/>
            <w:noWrap/>
            <w:vAlign w:val="center"/>
          </w:tcPr>
          <w:p w14:paraId="53709139" w14:textId="75D445FF" w:rsidR="00910B92" w:rsidRPr="00071164" w:rsidRDefault="00A92CCD" w:rsidP="000D3B37">
            <w:pPr>
              <w:ind w:right="1"/>
              <w:jc w:val="center"/>
              <w:rPr>
                <w:rFonts w:ascii="Times New Roman" w:hAnsi="Times New Roman"/>
                <w:sz w:val="16"/>
                <w:szCs w:val="16"/>
                <w:lang w:val="en-GB"/>
              </w:rPr>
            </w:pPr>
            <w:r w:rsidRPr="00A92CCD">
              <w:rPr>
                <w:rFonts w:ascii="Times New Roman" w:hAnsi="Times New Roman"/>
                <w:sz w:val="16"/>
                <w:szCs w:val="16"/>
                <w:lang w:val="en-GB"/>
              </w:rPr>
              <w:t>AJB-1113/2023</w:t>
            </w:r>
          </w:p>
        </w:tc>
      </w:tr>
    </w:tbl>
    <w:p w14:paraId="681BAEEF" w14:textId="77777777" w:rsidR="00C05790" w:rsidRDefault="00C05790" w:rsidP="000D3B37">
      <w:pPr>
        <w:ind w:right="1"/>
        <w:rPr>
          <w:rFonts w:eastAsia="Calibri"/>
          <w:lang w:val="en-GB" w:eastAsia="en-US"/>
        </w:rPr>
      </w:pPr>
    </w:p>
    <w:p w14:paraId="5A7EC08B" w14:textId="77777777" w:rsidR="00C05790" w:rsidRPr="00B95AEB" w:rsidRDefault="00C05790" w:rsidP="000D3B37">
      <w:pPr>
        <w:ind w:right="1"/>
        <w:rPr>
          <w:rFonts w:ascii="Times New Roman" w:eastAsia="Calibri" w:hAnsi="Times New Roman"/>
          <w:sz w:val="28"/>
          <w:szCs w:val="28"/>
          <w:lang w:val="en-GB" w:eastAsia="en-US"/>
        </w:rPr>
      </w:pPr>
    </w:p>
    <w:p w14:paraId="2DDA498B" w14:textId="6A83C3DB" w:rsidR="00C56C0A" w:rsidRPr="00071164" w:rsidRDefault="00C56C0A" w:rsidP="000D3B37">
      <w:pPr>
        <w:pStyle w:val="Cmsor1"/>
        <w:spacing w:before="120"/>
        <w:ind w:right="1"/>
        <w:jc w:val="center"/>
        <w:rPr>
          <w:rFonts w:ascii="Times New Roman" w:hAnsi="Times New Roman" w:cs="Times New Roman"/>
          <w:b/>
          <w:color w:val="auto"/>
          <w:sz w:val="28"/>
          <w:szCs w:val="28"/>
          <w:lang w:val="en-GB"/>
        </w:rPr>
      </w:pPr>
      <w:r w:rsidRPr="00071164">
        <w:rPr>
          <w:rFonts w:ascii="Times New Roman" w:hAnsi="Times New Roman" w:cs="Times New Roman"/>
          <w:b/>
          <w:color w:val="auto"/>
          <w:sz w:val="28"/>
          <w:szCs w:val="28"/>
          <w:lang w:val="en-GB"/>
        </w:rPr>
        <w:t xml:space="preserve">The Hungarian National Human Rights Institution’s </w:t>
      </w:r>
      <w:r w:rsidR="00DB24F2" w:rsidRPr="00071164">
        <w:rPr>
          <w:rFonts w:ascii="Times New Roman" w:hAnsi="Times New Roman" w:cs="Times New Roman"/>
          <w:b/>
          <w:color w:val="auto"/>
          <w:sz w:val="28"/>
          <w:szCs w:val="28"/>
          <w:lang w:val="en-GB"/>
        </w:rPr>
        <w:t xml:space="preserve">Comment </w:t>
      </w:r>
    </w:p>
    <w:p w14:paraId="580605EC" w14:textId="6FB0E55C" w:rsidR="00C56C0A" w:rsidRDefault="00DB24F2" w:rsidP="000D3B37">
      <w:pPr>
        <w:pStyle w:val="Cmsor1"/>
        <w:spacing w:before="120"/>
        <w:ind w:right="1"/>
        <w:jc w:val="center"/>
        <w:rPr>
          <w:rFonts w:ascii="Times New Roman" w:hAnsi="Times New Roman" w:cs="Times New Roman"/>
          <w:color w:val="auto"/>
          <w:sz w:val="28"/>
          <w:szCs w:val="28"/>
          <w:lang w:val="en-GB"/>
        </w:rPr>
      </w:pPr>
      <w:proofErr w:type="gramStart"/>
      <w:r w:rsidRPr="00071164">
        <w:rPr>
          <w:rFonts w:ascii="Times New Roman" w:hAnsi="Times New Roman" w:cs="Times New Roman"/>
          <w:b/>
          <w:color w:val="auto"/>
          <w:sz w:val="28"/>
          <w:szCs w:val="28"/>
          <w:lang w:val="en-GB"/>
        </w:rPr>
        <w:t>on</w:t>
      </w:r>
      <w:proofErr w:type="gramEnd"/>
      <w:r w:rsidRPr="00071164">
        <w:rPr>
          <w:rFonts w:ascii="Times New Roman" w:hAnsi="Times New Roman" w:cs="Times New Roman"/>
          <w:b/>
          <w:color w:val="auto"/>
          <w:sz w:val="28"/>
          <w:szCs w:val="28"/>
          <w:lang w:val="en-GB"/>
        </w:rPr>
        <w:t xml:space="preserve"> the </w:t>
      </w:r>
      <w:r w:rsidR="000046FB">
        <w:rPr>
          <w:rFonts w:ascii="Times New Roman" w:hAnsi="Times New Roman" w:cs="Times New Roman"/>
          <w:b/>
          <w:color w:val="auto"/>
          <w:sz w:val="28"/>
          <w:szCs w:val="28"/>
          <w:lang w:val="en-GB"/>
        </w:rPr>
        <w:t xml:space="preserve">CRC’s </w:t>
      </w:r>
      <w:r w:rsidRPr="00071164">
        <w:rPr>
          <w:rFonts w:ascii="Times New Roman" w:hAnsi="Times New Roman" w:cs="Times New Roman"/>
          <w:b/>
          <w:color w:val="auto"/>
          <w:sz w:val="28"/>
          <w:szCs w:val="28"/>
          <w:lang w:val="en-GB"/>
        </w:rPr>
        <w:t>Draft General Comment No. 26</w:t>
      </w:r>
      <w:r w:rsidR="00C56C0A" w:rsidRPr="00071164">
        <w:rPr>
          <w:rFonts w:ascii="Times New Roman" w:hAnsi="Times New Roman" w:cs="Times New Roman"/>
          <w:color w:val="auto"/>
          <w:sz w:val="28"/>
          <w:szCs w:val="28"/>
          <w:lang w:val="en-GB"/>
        </w:rPr>
        <w:t xml:space="preserve"> </w:t>
      </w:r>
    </w:p>
    <w:p w14:paraId="16B547FE" w14:textId="77777777" w:rsidR="000D3B37" w:rsidRPr="000D3B37" w:rsidRDefault="000D3B37" w:rsidP="000D3B37">
      <w:pPr>
        <w:rPr>
          <w:lang w:val="en-GB" w:eastAsia="en-US"/>
        </w:rPr>
      </w:pPr>
    </w:p>
    <w:p w14:paraId="23521595" w14:textId="1D64C276" w:rsidR="00DB24F2" w:rsidRPr="00071164" w:rsidRDefault="00C56C0A" w:rsidP="000D3B37">
      <w:pPr>
        <w:pStyle w:val="Cmsor1"/>
        <w:spacing w:before="120"/>
        <w:ind w:right="1"/>
        <w:jc w:val="center"/>
        <w:rPr>
          <w:rFonts w:ascii="Times New Roman" w:hAnsi="Times New Roman"/>
          <w:lang w:val="en-GB"/>
        </w:rPr>
      </w:pPr>
      <w:r w:rsidRPr="00071164">
        <w:rPr>
          <w:rFonts w:ascii="Times New Roman" w:hAnsi="Times New Roman"/>
          <w:color w:val="auto"/>
          <w:sz w:val="28"/>
          <w:szCs w:val="28"/>
          <w:lang w:val="en-GB"/>
        </w:rPr>
        <w:t>(</w:t>
      </w:r>
      <w:r w:rsidRPr="00071164">
        <w:rPr>
          <w:rFonts w:ascii="Times New Roman" w:hAnsi="Times New Roman"/>
          <w:i/>
          <w:color w:val="auto"/>
          <w:sz w:val="28"/>
          <w:szCs w:val="28"/>
          <w:lang w:val="en-GB"/>
        </w:rPr>
        <w:t>Children’s rights and the environment with a special focus on climate change</w:t>
      </w:r>
      <w:r w:rsidRPr="00071164">
        <w:rPr>
          <w:rFonts w:ascii="Times New Roman" w:hAnsi="Times New Roman"/>
          <w:color w:val="auto"/>
          <w:sz w:val="28"/>
          <w:szCs w:val="28"/>
          <w:lang w:val="en-GB"/>
        </w:rPr>
        <w:t>)</w:t>
      </w:r>
      <w:r w:rsidR="00DB24F2" w:rsidRPr="00071164">
        <w:rPr>
          <w:rFonts w:ascii="Times New Roman" w:hAnsi="Times New Roman" w:cs="Times New Roman"/>
          <w:color w:val="auto"/>
          <w:lang w:val="en-GB"/>
        </w:rPr>
        <w:t xml:space="preserve"> </w:t>
      </w:r>
      <w:r w:rsidR="00DB24F2" w:rsidRPr="00071164">
        <w:rPr>
          <w:rFonts w:ascii="Times New Roman" w:hAnsi="Times New Roman" w:cs="Times New Roman"/>
          <w:color w:val="auto"/>
          <w:lang w:val="en-GB"/>
        </w:rPr>
        <w:br/>
      </w:r>
    </w:p>
    <w:p w14:paraId="1F12ADDA" w14:textId="77777777" w:rsidR="00DB24F2" w:rsidRPr="00071164" w:rsidRDefault="00DB24F2" w:rsidP="000D3B37">
      <w:pPr>
        <w:ind w:right="1"/>
        <w:rPr>
          <w:rFonts w:ascii="Times New Roman" w:hAnsi="Times New Roman"/>
          <w:lang w:val="en-GB"/>
        </w:rPr>
      </w:pPr>
    </w:p>
    <w:p w14:paraId="2AA44AEE" w14:textId="2D33462D" w:rsidR="00DB24F2" w:rsidRPr="00CB6CB2" w:rsidRDefault="00DB24F2" w:rsidP="000D3B37">
      <w:pPr>
        <w:pStyle w:val="Listaszerbekezds"/>
        <w:ind w:left="0" w:right="1"/>
        <w:contextualSpacing/>
        <w:jc w:val="both"/>
        <w:rPr>
          <w:lang w:val="en-GB"/>
        </w:rPr>
      </w:pPr>
      <w:r w:rsidRPr="00CB6CB2">
        <w:rPr>
          <w:lang w:val="en-GB"/>
        </w:rPr>
        <w:t xml:space="preserve">The </w:t>
      </w:r>
      <w:r w:rsidR="00F11F4F" w:rsidRPr="0062629D">
        <w:rPr>
          <w:lang w:val="en-GB"/>
        </w:rPr>
        <w:t>Office of the C</w:t>
      </w:r>
      <w:r w:rsidR="00F11F4F" w:rsidRPr="00CB6CB2">
        <w:rPr>
          <w:lang w:val="en-GB"/>
        </w:rPr>
        <w:t xml:space="preserve">ommissioner for Fundamental Rights is the </w:t>
      </w:r>
      <w:r w:rsidRPr="00CB6CB2">
        <w:rPr>
          <w:lang w:val="en-GB"/>
        </w:rPr>
        <w:t xml:space="preserve">Hungarian National Human Rights Institution </w:t>
      </w:r>
      <w:r w:rsidR="00A27E43" w:rsidRPr="00CB6CB2">
        <w:rPr>
          <w:lang w:val="en-GB"/>
        </w:rPr>
        <w:t xml:space="preserve">(HNHRI) </w:t>
      </w:r>
      <w:r w:rsidR="00F11F4F" w:rsidRPr="00071164">
        <w:rPr>
          <w:lang w:val="en-GB"/>
        </w:rPr>
        <w:t xml:space="preserve">accredited by the Global Alliance of National Human Rights Institutions in accordance with the Paris Principles defined by United Nations General Assembly. The </w:t>
      </w:r>
      <w:r w:rsidR="007032B7" w:rsidRPr="00071164">
        <w:rPr>
          <w:lang w:val="en-GB"/>
        </w:rPr>
        <w:t xml:space="preserve">work of the </w:t>
      </w:r>
      <w:r w:rsidR="00F11F4F" w:rsidRPr="00071164">
        <w:rPr>
          <w:lang w:val="en-GB"/>
        </w:rPr>
        <w:t>Commissioner for Fundamental Rights (“Commissioner”)</w:t>
      </w:r>
      <w:r w:rsidR="007032B7" w:rsidRPr="00071164">
        <w:rPr>
          <w:lang w:val="en-GB"/>
        </w:rPr>
        <w:t xml:space="preserve"> is assisted by </w:t>
      </w:r>
      <w:r w:rsidR="00F11F4F" w:rsidRPr="00071164">
        <w:rPr>
          <w:lang w:val="en-GB"/>
        </w:rPr>
        <w:t>two Deputies, one responsible</w:t>
      </w:r>
      <w:r w:rsidR="00A27E43" w:rsidRPr="00071164">
        <w:rPr>
          <w:lang w:val="en-GB"/>
        </w:rPr>
        <w:t xml:space="preserve"> for the protection of the inter</w:t>
      </w:r>
      <w:r w:rsidR="00F11F4F" w:rsidRPr="00071164">
        <w:rPr>
          <w:lang w:val="en-GB"/>
        </w:rPr>
        <w:t xml:space="preserve">est </w:t>
      </w:r>
      <w:r w:rsidR="00A27E43" w:rsidRPr="00071164">
        <w:rPr>
          <w:lang w:val="en-GB"/>
        </w:rPr>
        <w:t>of Future Generations</w:t>
      </w:r>
      <w:r w:rsidR="003E6714" w:rsidRPr="00071164">
        <w:rPr>
          <w:lang w:val="en-GB"/>
        </w:rPr>
        <w:t xml:space="preserve"> (Ombudsman for Future Generations</w:t>
      </w:r>
      <w:r w:rsidR="00CB7831">
        <w:rPr>
          <w:lang w:val="en-GB"/>
        </w:rPr>
        <w:t>,</w:t>
      </w:r>
      <w:r w:rsidR="006B7F99" w:rsidRPr="00071164">
        <w:rPr>
          <w:lang w:val="en-GB"/>
        </w:rPr>
        <w:t xml:space="preserve"> „FGO</w:t>
      </w:r>
      <w:r w:rsidR="003E6714" w:rsidRPr="00071164">
        <w:rPr>
          <w:lang w:val="en-GB"/>
        </w:rPr>
        <w:t>”)</w:t>
      </w:r>
      <w:r w:rsidR="007032B7" w:rsidRPr="00071164">
        <w:rPr>
          <w:lang w:val="en-GB"/>
        </w:rPr>
        <w:t>, an</w:t>
      </w:r>
      <w:r w:rsidR="00A27E43" w:rsidRPr="00071164">
        <w:rPr>
          <w:lang w:val="en-GB"/>
        </w:rPr>
        <w:t xml:space="preserve">other for the interests of nationalities living in Hungary. </w:t>
      </w:r>
      <w:r w:rsidR="00A27E43" w:rsidRPr="00CB6CB2">
        <w:rPr>
          <w:lang w:val="en-GB"/>
        </w:rPr>
        <w:t>The</w:t>
      </w:r>
      <w:r w:rsidR="00F11F4F" w:rsidRPr="00071164">
        <w:rPr>
          <w:lang w:val="en-GB"/>
        </w:rPr>
        <w:t xml:space="preserve"> </w:t>
      </w:r>
      <w:r w:rsidR="00CB6CB2" w:rsidRPr="00CB6CB2">
        <w:rPr>
          <w:lang w:val="en-GB"/>
        </w:rPr>
        <w:t>predec</w:t>
      </w:r>
      <w:r w:rsidR="00A27E43" w:rsidRPr="00071164">
        <w:rPr>
          <w:lang w:val="en-GB"/>
        </w:rPr>
        <w:t>e</w:t>
      </w:r>
      <w:r w:rsidR="00CB6CB2">
        <w:rPr>
          <w:lang w:val="en-GB"/>
        </w:rPr>
        <w:t>s</w:t>
      </w:r>
      <w:r w:rsidR="00A27E43" w:rsidRPr="00071164">
        <w:rPr>
          <w:lang w:val="en-GB"/>
        </w:rPr>
        <w:t>sor of the current HNH</w:t>
      </w:r>
      <w:r w:rsidR="007032B7" w:rsidRPr="00071164">
        <w:rPr>
          <w:lang w:val="en-GB"/>
        </w:rPr>
        <w:t>R</w:t>
      </w:r>
      <w:r w:rsidR="00A27E43" w:rsidRPr="00071164">
        <w:rPr>
          <w:lang w:val="en-GB"/>
        </w:rPr>
        <w:t>I</w:t>
      </w:r>
      <w:r w:rsidR="00FC1DCD" w:rsidRPr="00071164">
        <w:rPr>
          <w:lang w:val="en-GB"/>
        </w:rPr>
        <w:t xml:space="preserve"> was </w:t>
      </w:r>
      <w:r w:rsidR="00A27E43" w:rsidRPr="00071164">
        <w:rPr>
          <w:lang w:val="en-GB"/>
        </w:rPr>
        <w:t xml:space="preserve">established </w:t>
      </w:r>
      <w:r w:rsidR="00FC1DCD" w:rsidRPr="00071164">
        <w:rPr>
          <w:lang w:val="en-GB"/>
        </w:rPr>
        <w:t>in 1995 as an independent parliamentary</w:t>
      </w:r>
      <w:r w:rsidR="00A27E43" w:rsidRPr="00071164">
        <w:rPr>
          <w:lang w:val="en-GB"/>
        </w:rPr>
        <w:t xml:space="preserve"> institution, with the rights of the child being one of its </w:t>
      </w:r>
      <w:r w:rsidR="007032B7" w:rsidRPr="00071164">
        <w:rPr>
          <w:lang w:val="en-GB"/>
        </w:rPr>
        <w:t>main focal points</w:t>
      </w:r>
      <w:r w:rsidR="00A27E43" w:rsidRPr="00071164">
        <w:rPr>
          <w:lang w:val="en-GB"/>
        </w:rPr>
        <w:t xml:space="preserve"> from the </w:t>
      </w:r>
      <w:r w:rsidR="007032B7" w:rsidRPr="00071164">
        <w:rPr>
          <w:lang w:val="en-GB"/>
        </w:rPr>
        <w:t>outset</w:t>
      </w:r>
      <w:r w:rsidR="00A27E43" w:rsidRPr="00071164">
        <w:rPr>
          <w:lang w:val="en-GB"/>
        </w:rPr>
        <w:t xml:space="preserve">, while the institutional </w:t>
      </w:r>
      <w:r w:rsidR="00FC1DCD" w:rsidRPr="00071164">
        <w:rPr>
          <w:lang w:val="en-GB"/>
        </w:rPr>
        <w:t xml:space="preserve">protection </w:t>
      </w:r>
      <w:r w:rsidR="00A27E43" w:rsidRPr="00071164">
        <w:rPr>
          <w:lang w:val="en-GB"/>
        </w:rPr>
        <w:t>of future generations</w:t>
      </w:r>
      <w:r w:rsidR="007032B7" w:rsidRPr="00071164">
        <w:rPr>
          <w:lang w:val="en-GB"/>
        </w:rPr>
        <w:t xml:space="preserve"> </w:t>
      </w:r>
      <w:r w:rsidR="00A27E43" w:rsidRPr="00071164">
        <w:rPr>
          <w:lang w:val="en-GB"/>
        </w:rPr>
        <w:t xml:space="preserve">dates back to 2008. </w:t>
      </w:r>
      <w:r w:rsidR="007032B7" w:rsidRPr="00071164">
        <w:rPr>
          <w:lang w:val="en-GB"/>
        </w:rPr>
        <w:t xml:space="preserve">Whereas the mandate of the Commissioner encompasses a broad range of fundamental rights, the </w:t>
      </w:r>
      <w:r w:rsidR="00F11F4F" w:rsidRPr="00071164">
        <w:rPr>
          <w:lang w:val="en-GB"/>
        </w:rPr>
        <w:t>founding act</w:t>
      </w:r>
      <w:r w:rsidR="007032B7" w:rsidRPr="00071164">
        <w:rPr>
          <w:lang w:val="en-GB"/>
        </w:rPr>
        <w:t xml:space="preserve"> stipulates four areas with special focus:</w:t>
      </w:r>
      <w:r w:rsidR="00F11F4F" w:rsidRPr="00071164">
        <w:rPr>
          <w:lang w:val="en-GB"/>
        </w:rPr>
        <w:t xml:space="preserve"> </w:t>
      </w:r>
      <w:r w:rsidR="00A27E43" w:rsidRPr="00071164">
        <w:rPr>
          <w:lang w:val="en-GB"/>
        </w:rPr>
        <w:t xml:space="preserve">the </w:t>
      </w:r>
      <w:r w:rsidR="00F11F4F" w:rsidRPr="00071164">
        <w:rPr>
          <w:i/>
          <w:lang w:val="en-GB"/>
        </w:rPr>
        <w:t>Commissioner pays special attention to the protection of the rights of the child, and to the interests of future generations</w:t>
      </w:r>
      <w:r w:rsidR="007032B7" w:rsidRPr="00071164">
        <w:rPr>
          <w:lang w:val="en-GB"/>
        </w:rPr>
        <w:t xml:space="preserve"> besides the rights of most vulnerable social groups and the rights of nationalities living in Hungary</w:t>
      </w:r>
      <w:r w:rsidR="007032B7" w:rsidRPr="00071164">
        <w:rPr>
          <w:rStyle w:val="Lbjegyzet-hivatkozs"/>
          <w:lang w:val="en-GB"/>
        </w:rPr>
        <w:footnoteReference w:id="1"/>
      </w:r>
      <w:r w:rsidR="00A27E43" w:rsidRPr="00071164">
        <w:rPr>
          <w:lang w:val="en-GB"/>
        </w:rPr>
        <w:t>.</w:t>
      </w:r>
      <w:r w:rsidRPr="00CB6CB2">
        <w:rPr>
          <w:lang w:val="en-GB"/>
        </w:rPr>
        <w:t xml:space="preserve"> </w:t>
      </w:r>
    </w:p>
    <w:p w14:paraId="7BDB51EB" w14:textId="77777777" w:rsidR="00DB24F2" w:rsidRPr="00CB6CB2" w:rsidRDefault="00DB24F2" w:rsidP="000D3B37">
      <w:pPr>
        <w:pStyle w:val="Listaszerbekezds"/>
        <w:ind w:left="0" w:right="1"/>
        <w:jc w:val="both"/>
        <w:rPr>
          <w:lang w:val="en-GB"/>
        </w:rPr>
      </w:pPr>
    </w:p>
    <w:p w14:paraId="2B6B4979" w14:textId="055AD081" w:rsidR="000D3B37" w:rsidRDefault="00561F8C" w:rsidP="000D3B37">
      <w:pPr>
        <w:pStyle w:val="Listaszerbekezds"/>
        <w:ind w:left="0" w:right="1"/>
        <w:contextualSpacing/>
        <w:jc w:val="both"/>
      </w:pPr>
      <w:r>
        <w:rPr>
          <w:lang w:val="en-GB"/>
        </w:rPr>
        <w:t>The HNHRI’s competencies in relation to protecting the rights of the child and the interests of future generation</w:t>
      </w:r>
      <w:r w:rsidR="000046FB">
        <w:rPr>
          <w:lang w:val="en-GB"/>
        </w:rPr>
        <w:t>s</w:t>
      </w:r>
      <w:r>
        <w:rPr>
          <w:lang w:val="en-GB"/>
        </w:rPr>
        <w:t xml:space="preserve"> are </w:t>
      </w:r>
      <w:proofErr w:type="spellStart"/>
      <w:r>
        <w:rPr>
          <w:lang w:val="en-GB"/>
        </w:rPr>
        <w:t>multifold</w:t>
      </w:r>
      <w:proofErr w:type="spellEnd"/>
      <w:r>
        <w:rPr>
          <w:lang w:val="en-GB"/>
        </w:rPr>
        <w:t xml:space="preserve">: whereas investigations are conducted </w:t>
      </w:r>
      <w:r w:rsidR="008A4068">
        <w:rPr>
          <w:lang w:val="en-GB"/>
        </w:rPr>
        <w:t xml:space="preserve">both </w:t>
      </w:r>
      <w:r>
        <w:rPr>
          <w:lang w:val="en-GB"/>
        </w:rPr>
        <w:t>based on incoming complaints and ex officio, the HN</w:t>
      </w:r>
      <w:r w:rsidR="005645E4">
        <w:rPr>
          <w:lang w:val="en-GB"/>
        </w:rPr>
        <w:t>H</w:t>
      </w:r>
      <w:r>
        <w:rPr>
          <w:lang w:val="en-GB"/>
        </w:rPr>
        <w:t>RI also functions as an advisory body, recommending specific measures for public bodies, commenting on legislative drafts and submitting specific legislative proposals with relevance for fundamental rights. In the international arena the HNHRI is an active member of various umbrella organisations</w:t>
      </w:r>
      <w:r w:rsidR="00C05790">
        <w:rPr>
          <w:lang w:val="en-GB"/>
        </w:rPr>
        <w:t xml:space="preserve"> (GANHRI and ENNHRI)</w:t>
      </w:r>
      <w:r w:rsidR="008A4068">
        <w:rPr>
          <w:lang w:val="en-GB"/>
        </w:rPr>
        <w:t xml:space="preserve">, responding to enquiries from </w:t>
      </w:r>
      <w:r w:rsidR="00CB6CB2">
        <w:rPr>
          <w:lang w:val="en-GB"/>
        </w:rPr>
        <w:t xml:space="preserve">UNCRC, </w:t>
      </w:r>
      <w:r w:rsidR="008A4068">
        <w:rPr>
          <w:lang w:val="en-GB"/>
        </w:rPr>
        <w:t>ENOC, EUROCHILD, the Special Rap</w:t>
      </w:r>
      <w:r w:rsidR="00621A2E">
        <w:rPr>
          <w:lang w:val="en-GB"/>
        </w:rPr>
        <w:t>porteur</w:t>
      </w:r>
      <w:r w:rsidR="008A4068">
        <w:rPr>
          <w:lang w:val="en-GB"/>
        </w:rPr>
        <w:t xml:space="preserve"> for Human Rights and the Environment, </w:t>
      </w:r>
      <w:r w:rsidR="00621A2E">
        <w:rPr>
          <w:lang w:val="en-GB"/>
        </w:rPr>
        <w:t xml:space="preserve">and the Special Rapporteur </w:t>
      </w:r>
      <w:r w:rsidR="008A4068">
        <w:rPr>
          <w:lang w:val="en-GB"/>
        </w:rPr>
        <w:t xml:space="preserve">for Climate Change. </w:t>
      </w:r>
      <w:r w:rsidR="00621A2E" w:rsidRPr="00014E55">
        <w:t xml:space="preserve">The HNHRI is </w:t>
      </w:r>
      <w:proofErr w:type="spellStart"/>
      <w:r w:rsidR="00621A2E">
        <w:t>also</w:t>
      </w:r>
      <w:proofErr w:type="spellEnd"/>
      <w:r w:rsidR="00621A2E">
        <w:t xml:space="preserve"> </w:t>
      </w:r>
      <w:r w:rsidR="00621A2E" w:rsidRPr="00014E55">
        <w:t xml:space="preserve">a </w:t>
      </w:r>
      <w:proofErr w:type="spellStart"/>
      <w:r w:rsidR="00621A2E" w:rsidRPr="00014E55">
        <w:t>member</w:t>
      </w:r>
      <w:proofErr w:type="spellEnd"/>
      <w:r w:rsidR="00621A2E" w:rsidRPr="00014E55">
        <w:t xml:space="preserve"> of </w:t>
      </w:r>
      <w:proofErr w:type="spellStart"/>
      <w:r w:rsidR="00621A2E" w:rsidRPr="00014E55">
        <w:t>the</w:t>
      </w:r>
      <w:proofErr w:type="spellEnd"/>
      <w:r w:rsidR="00621A2E" w:rsidRPr="00014E55">
        <w:t xml:space="preserve"> Network of </w:t>
      </w:r>
      <w:proofErr w:type="spellStart"/>
      <w:r w:rsidR="00621A2E" w:rsidRPr="00014E55">
        <w:t>Institutions</w:t>
      </w:r>
      <w:proofErr w:type="spellEnd"/>
      <w:r w:rsidR="00621A2E" w:rsidRPr="00014E55">
        <w:t xml:space="preserve"> </w:t>
      </w:r>
      <w:proofErr w:type="spellStart"/>
      <w:r w:rsidR="00621A2E" w:rsidRPr="00014E55">
        <w:t>for</w:t>
      </w:r>
      <w:proofErr w:type="spellEnd"/>
      <w:r w:rsidR="00621A2E" w:rsidRPr="00014E55">
        <w:t xml:space="preserve"> Future </w:t>
      </w:r>
      <w:proofErr w:type="spellStart"/>
      <w:r w:rsidR="00621A2E" w:rsidRPr="00014E55">
        <w:t>Generatio</w:t>
      </w:r>
      <w:r w:rsidR="00621A2E">
        <w:t>ns</w:t>
      </w:r>
      <w:proofErr w:type="spellEnd"/>
      <w:r w:rsidR="00621A2E" w:rsidRPr="00014E55">
        <w:t xml:space="preserve"> </w:t>
      </w:r>
      <w:proofErr w:type="spellStart"/>
      <w:r w:rsidR="00621A2E" w:rsidRPr="00014E55">
        <w:t>via</w:t>
      </w:r>
      <w:proofErr w:type="spellEnd"/>
      <w:r w:rsidR="00621A2E" w:rsidRPr="00014E55">
        <w:t xml:space="preserve"> </w:t>
      </w:r>
      <w:proofErr w:type="spellStart"/>
      <w:r w:rsidR="00621A2E" w:rsidRPr="00014E55">
        <w:t>the</w:t>
      </w:r>
      <w:proofErr w:type="spellEnd"/>
      <w:r w:rsidR="00621A2E" w:rsidRPr="00014E55">
        <w:t xml:space="preserve"> </w:t>
      </w:r>
      <w:r w:rsidR="00621A2E">
        <w:t>FGO</w:t>
      </w:r>
      <w:r w:rsidR="00621A2E">
        <w:rPr>
          <w:rStyle w:val="Lbjegyzet-hivatkozs"/>
        </w:rPr>
        <w:footnoteReference w:id="2"/>
      </w:r>
      <w:r w:rsidR="00621A2E">
        <w:t xml:space="preserve">. </w:t>
      </w:r>
    </w:p>
    <w:p w14:paraId="4CC81DB8" w14:textId="77777777" w:rsidR="000D3B37" w:rsidRDefault="000D3B37" w:rsidP="000D3B37">
      <w:pPr>
        <w:pStyle w:val="Listaszerbekezds"/>
        <w:ind w:left="0" w:right="1"/>
        <w:contextualSpacing/>
        <w:jc w:val="both"/>
      </w:pPr>
    </w:p>
    <w:p w14:paraId="5181D298" w14:textId="4DEE5F3A" w:rsidR="000046FB" w:rsidRDefault="000046FB" w:rsidP="000D3B37">
      <w:pPr>
        <w:pStyle w:val="Listaszerbekezds"/>
        <w:ind w:left="0" w:right="1"/>
        <w:contextualSpacing/>
        <w:jc w:val="both"/>
        <w:rPr>
          <w:lang w:val="en-GB"/>
        </w:rPr>
      </w:pPr>
      <w:r>
        <w:rPr>
          <w:lang w:val="en-GB"/>
        </w:rPr>
        <w:t>Based on the</w:t>
      </w:r>
      <w:r w:rsidR="00CB6CB2" w:rsidRPr="00CB6CB2">
        <w:rPr>
          <w:lang w:val="en-GB"/>
        </w:rPr>
        <w:t xml:space="preserve"> </w:t>
      </w:r>
      <w:r w:rsidR="00DB24F2" w:rsidRPr="00CB6CB2">
        <w:rPr>
          <w:lang w:val="en-GB"/>
        </w:rPr>
        <w:t>Hungarian NHRI</w:t>
      </w:r>
      <w:r>
        <w:rPr>
          <w:lang w:val="en-GB"/>
        </w:rPr>
        <w:t>’s</w:t>
      </w:r>
      <w:r w:rsidR="00DB24F2" w:rsidRPr="00CB6CB2">
        <w:rPr>
          <w:lang w:val="en-GB"/>
        </w:rPr>
        <w:t xml:space="preserve"> long experience in promoting </w:t>
      </w:r>
      <w:r w:rsidR="007C5DFC" w:rsidRPr="00CB6CB2">
        <w:rPr>
          <w:lang w:val="en-GB"/>
        </w:rPr>
        <w:t xml:space="preserve">and advocating </w:t>
      </w:r>
      <w:r w:rsidR="009850A6" w:rsidRPr="00CB6CB2">
        <w:rPr>
          <w:lang w:val="en-GB"/>
        </w:rPr>
        <w:t xml:space="preserve">both </w:t>
      </w:r>
      <w:r w:rsidR="007C5DFC" w:rsidRPr="00CB6CB2">
        <w:rPr>
          <w:lang w:val="en-GB"/>
        </w:rPr>
        <w:t xml:space="preserve">for </w:t>
      </w:r>
      <w:r w:rsidR="00DB24F2" w:rsidRPr="00CB6CB2">
        <w:rPr>
          <w:lang w:val="en-GB"/>
        </w:rPr>
        <w:t xml:space="preserve">the rights of children and inter-generational equity, </w:t>
      </w:r>
      <w:r w:rsidR="00CB6CB2">
        <w:rPr>
          <w:lang w:val="en-GB"/>
        </w:rPr>
        <w:t>we</w:t>
      </w:r>
      <w:r w:rsidR="007C5DFC" w:rsidRPr="00CB6CB2">
        <w:rPr>
          <w:lang w:val="en-GB"/>
        </w:rPr>
        <w:t xml:space="preserve"> </w:t>
      </w:r>
      <w:r w:rsidR="009850A6">
        <w:rPr>
          <w:lang w:val="en-GB"/>
        </w:rPr>
        <w:t xml:space="preserve">trust we </w:t>
      </w:r>
      <w:r w:rsidR="00DB24F2" w:rsidRPr="00CB6CB2">
        <w:rPr>
          <w:lang w:val="en-GB"/>
        </w:rPr>
        <w:t xml:space="preserve">can </w:t>
      </w:r>
      <w:r w:rsidR="007C5DFC" w:rsidRPr="00CB6CB2">
        <w:rPr>
          <w:lang w:val="en-GB"/>
        </w:rPr>
        <w:t xml:space="preserve">offer </w:t>
      </w:r>
      <w:r w:rsidR="00DB24F2" w:rsidRPr="00CB6CB2">
        <w:rPr>
          <w:lang w:val="en-GB"/>
        </w:rPr>
        <w:t xml:space="preserve">relevant insights for the Committee in the process of finalizing General Comment No. 26 (“GC”). </w:t>
      </w:r>
      <w:r w:rsidR="00DB24F2" w:rsidRPr="00071164">
        <w:rPr>
          <w:i/>
          <w:lang w:val="en-GB"/>
        </w:rPr>
        <w:t xml:space="preserve">We </w:t>
      </w:r>
      <w:r w:rsidR="009850A6" w:rsidRPr="00071164">
        <w:rPr>
          <w:i/>
          <w:lang w:val="en-GB"/>
        </w:rPr>
        <w:t xml:space="preserve">strongly </w:t>
      </w:r>
      <w:r w:rsidR="00DB24F2" w:rsidRPr="00071164">
        <w:rPr>
          <w:i/>
          <w:lang w:val="en-GB"/>
        </w:rPr>
        <w:t>applaud that the Committee recognizes the principle of inter-generational equity and the interests of future generations</w:t>
      </w:r>
      <w:r w:rsidR="009850A6" w:rsidRPr="00071164">
        <w:rPr>
          <w:i/>
          <w:lang w:val="en-GB"/>
        </w:rPr>
        <w:t xml:space="preserve"> and </w:t>
      </w:r>
      <w:r w:rsidR="00622B44" w:rsidRPr="00071164">
        <w:rPr>
          <w:i/>
          <w:lang w:val="en-GB"/>
        </w:rPr>
        <w:t xml:space="preserve">believe that building on essential linkages and synergies between protecting the rights of children and future generations can result in an even more holistic and future oriented </w:t>
      </w:r>
      <w:r w:rsidR="005F3014">
        <w:rPr>
          <w:i/>
          <w:lang w:val="en-GB"/>
        </w:rPr>
        <w:t>approach</w:t>
      </w:r>
      <w:r w:rsidR="00622B44" w:rsidRPr="00071164">
        <w:rPr>
          <w:i/>
          <w:lang w:val="en-GB"/>
        </w:rPr>
        <w:t xml:space="preserve"> when it comes to ensuring the best interests of children of the present and of the future</w:t>
      </w:r>
      <w:r w:rsidR="00DB24F2" w:rsidRPr="00CB6CB2">
        <w:rPr>
          <w:lang w:val="en-GB"/>
        </w:rPr>
        <w:t xml:space="preserve">. </w:t>
      </w:r>
    </w:p>
    <w:p w14:paraId="210F0294" w14:textId="77777777" w:rsidR="00C05790" w:rsidRPr="00CB6CB2" w:rsidRDefault="00C05790" w:rsidP="000D3B37">
      <w:pPr>
        <w:pStyle w:val="Listaszerbekezds"/>
        <w:ind w:left="0" w:right="1"/>
        <w:contextualSpacing/>
        <w:jc w:val="both"/>
        <w:rPr>
          <w:lang w:val="en-GB"/>
        </w:rPr>
      </w:pPr>
    </w:p>
    <w:p w14:paraId="15C9EBB2" w14:textId="01055CD8" w:rsidR="00DB24F2" w:rsidRPr="00CB6CB2" w:rsidRDefault="00DB24F2" w:rsidP="000D3B37">
      <w:pPr>
        <w:pStyle w:val="Listaszerbekezds"/>
        <w:ind w:left="0" w:right="1"/>
        <w:contextualSpacing/>
        <w:jc w:val="both"/>
        <w:rPr>
          <w:lang w:val="en-GB"/>
        </w:rPr>
      </w:pPr>
      <w:r w:rsidRPr="00CB6CB2">
        <w:rPr>
          <w:lang w:val="en-GB"/>
        </w:rPr>
        <w:t>Our comment therefore provides suggestions on how the GC could further clari</w:t>
      </w:r>
      <w:r w:rsidR="00A27E43" w:rsidRPr="00CB6CB2">
        <w:rPr>
          <w:lang w:val="en-GB"/>
        </w:rPr>
        <w:t>f</w:t>
      </w:r>
      <w:r w:rsidRPr="00CB6CB2">
        <w:rPr>
          <w:lang w:val="en-GB"/>
        </w:rPr>
        <w:t xml:space="preserve">y the normative content of the inter-generational equity principle, drawing on the principle’s interpretation </w:t>
      </w:r>
      <w:r w:rsidR="00474CD2">
        <w:rPr>
          <w:lang w:val="en-GB"/>
        </w:rPr>
        <w:t xml:space="preserve">in international soft law documents </w:t>
      </w:r>
      <w:r w:rsidR="003E6714" w:rsidRPr="00CB6CB2">
        <w:rPr>
          <w:lang w:val="en-GB"/>
        </w:rPr>
        <w:t xml:space="preserve">and the case law of the </w:t>
      </w:r>
      <w:r w:rsidR="000046FB">
        <w:rPr>
          <w:lang w:val="en-GB"/>
        </w:rPr>
        <w:t xml:space="preserve">Hungarian </w:t>
      </w:r>
      <w:r w:rsidR="003E6714" w:rsidRPr="00CB6CB2">
        <w:rPr>
          <w:lang w:val="en-GB"/>
        </w:rPr>
        <w:t>Constitutional Court</w:t>
      </w:r>
      <w:r w:rsidRPr="00CB6CB2">
        <w:rPr>
          <w:lang w:val="en-GB"/>
        </w:rPr>
        <w:t>. Specifically, our input will:</w:t>
      </w:r>
    </w:p>
    <w:p w14:paraId="7E63CDF9" w14:textId="77777777" w:rsidR="00DB24F2" w:rsidRPr="00CB6CB2" w:rsidRDefault="00DB24F2" w:rsidP="000D3B37">
      <w:pPr>
        <w:pStyle w:val="Listaszerbekezds"/>
        <w:ind w:left="0" w:right="1"/>
        <w:rPr>
          <w:lang w:val="en-GB"/>
        </w:rPr>
      </w:pPr>
    </w:p>
    <w:p w14:paraId="55E1C024" w14:textId="0BD00EBD" w:rsidR="00DB24F2" w:rsidRPr="00CB6CB2" w:rsidRDefault="00C05790" w:rsidP="000D3B37">
      <w:pPr>
        <w:pStyle w:val="Listaszerbekezds"/>
        <w:ind w:left="0" w:right="1" w:hanging="567"/>
        <w:contextualSpacing/>
        <w:jc w:val="both"/>
        <w:rPr>
          <w:lang w:val="en-GB"/>
        </w:rPr>
      </w:pPr>
      <w:r>
        <w:rPr>
          <w:lang w:val="en-GB"/>
        </w:rPr>
        <w:t xml:space="preserve">I. </w:t>
      </w:r>
      <w:r>
        <w:rPr>
          <w:lang w:val="en-GB"/>
        </w:rPr>
        <w:tab/>
      </w:r>
      <w:r w:rsidR="00DB24F2" w:rsidRPr="00CB6CB2">
        <w:rPr>
          <w:lang w:val="en-GB"/>
        </w:rPr>
        <w:t>point out the specificities of protecting long-term interests of future generations that can inform the efficient advocacy for children’s rights in the context of environmental protection and climate change;</w:t>
      </w:r>
    </w:p>
    <w:p w14:paraId="50951A7D" w14:textId="0D7682C4" w:rsidR="00DB24F2" w:rsidRPr="00CB6CB2" w:rsidRDefault="00C05790" w:rsidP="000D3B37">
      <w:pPr>
        <w:pStyle w:val="Listaszerbekezds"/>
        <w:ind w:left="0" w:right="1" w:hanging="567"/>
        <w:contextualSpacing/>
        <w:jc w:val="both"/>
        <w:rPr>
          <w:lang w:val="en-GB"/>
        </w:rPr>
      </w:pPr>
      <w:r>
        <w:rPr>
          <w:lang w:val="en-GB"/>
        </w:rPr>
        <w:t xml:space="preserve">II. </w:t>
      </w:r>
      <w:r>
        <w:rPr>
          <w:lang w:val="en-GB"/>
        </w:rPr>
        <w:tab/>
      </w:r>
      <w:proofErr w:type="gramStart"/>
      <w:r w:rsidR="00DB24F2" w:rsidRPr="00CB6CB2">
        <w:rPr>
          <w:lang w:val="en-GB"/>
        </w:rPr>
        <w:t>suggest</w:t>
      </w:r>
      <w:proofErr w:type="gramEnd"/>
      <w:r w:rsidR="00DB24F2" w:rsidRPr="00CB6CB2">
        <w:rPr>
          <w:lang w:val="en-GB"/>
        </w:rPr>
        <w:t xml:space="preserve"> additional text elaborating on the normative meaning of the inter-generational equity principle;</w:t>
      </w:r>
    </w:p>
    <w:p w14:paraId="03261F74" w14:textId="3A9E4058" w:rsidR="00DB24F2" w:rsidRPr="00C05790" w:rsidRDefault="00C05790" w:rsidP="000D3B37">
      <w:pPr>
        <w:ind w:right="1" w:hanging="567"/>
        <w:contextualSpacing/>
        <w:jc w:val="both"/>
        <w:rPr>
          <w:lang w:val="en-GB"/>
        </w:rPr>
      </w:pPr>
      <w:r>
        <w:rPr>
          <w:lang w:val="en-GB"/>
        </w:rPr>
        <w:t xml:space="preserve">III. </w:t>
      </w:r>
      <w:r>
        <w:rPr>
          <w:lang w:val="en-GB"/>
        </w:rPr>
        <w:tab/>
      </w:r>
      <w:proofErr w:type="gramStart"/>
      <w:r w:rsidR="00DB24F2" w:rsidRPr="00C05790">
        <w:rPr>
          <w:lang w:val="en-GB"/>
        </w:rPr>
        <w:t>advocate</w:t>
      </w:r>
      <w:proofErr w:type="gramEnd"/>
      <w:r w:rsidR="00DB24F2" w:rsidRPr="00C05790">
        <w:rPr>
          <w:lang w:val="en-GB"/>
        </w:rPr>
        <w:t xml:space="preserve"> for endorsing the non-retrogression principle as part of the inter-generational equity principle; and</w:t>
      </w:r>
    </w:p>
    <w:p w14:paraId="68916A26" w14:textId="09BC255C" w:rsidR="00DB24F2" w:rsidRDefault="00C05790" w:rsidP="000D3B37">
      <w:pPr>
        <w:pStyle w:val="Listaszerbekezds"/>
        <w:ind w:left="0" w:right="1" w:hanging="567"/>
        <w:contextualSpacing/>
        <w:jc w:val="both"/>
        <w:rPr>
          <w:lang w:val="en-GB"/>
        </w:rPr>
      </w:pPr>
      <w:r>
        <w:rPr>
          <w:lang w:val="en-GB"/>
        </w:rPr>
        <w:t xml:space="preserve">IV. </w:t>
      </w:r>
      <w:r>
        <w:rPr>
          <w:lang w:val="en-GB"/>
        </w:rPr>
        <w:tab/>
      </w:r>
      <w:proofErr w:type="gramStart"/>
      <w:r w:rsidR="00DB24F2" w:rsidRPr="00CB6CB2">
        <w:rPr>
          <w:lang w:val="en-GB"/>
        </w:rPr>
        <w:t>argue</w:t>
      </w:r>
      <w:proofErr w:type="gramEnd"/>
      <w:r w:rsidR="00DB24F2" w:rsidRPr="00CB6CB2">
        <w:rPr>
          <w:lang w:val="en-GB"/>
        </w:rPr>
        <w:t xml:space="preserve"> for adopting a language, which clearly commits to a strong interpretation of the precautionary principle.</w:t>
      </w:r>
    </w:p>
    <w:p w14:paraId="3428FA08" w14:textId="77777777" w:rsidR="000D3B37" w:rsidRPr="00CB6CB2" w:rsidRDefault="000D3B37" w:rsidP="000D3B37">
      <w:pPr>
        <w:pStyle w:val="Listaszerbekezds"/>
        <w:ind w:left="0" w:right="1" w:hanging="567"/>
        <w:contextualSpacing/>
        <w:jc w:val="both"/>
        <w:rPr>
          <w:lang w:val="en-GB"/>
        </w:rPr>
      </w:pPr>
    </w:p>
    <w:p w14:paraId="2DA218D0" w14:textId="77777777" w:rsidR="00DB24F2" w:rsidRPr="00071164" w:rsidRDefault="00DB24F2" w:rsidP="000D3B37">
      <w:pPr>
        <w:ind w:right="1"/>
        <w:jc w:val="both"/>
        <w:rPr>
          <w:rFonts w:ascii="Times New Roman" w:hAnsi="Times New Roman"/>
          <w:lang w:val="en-GB"/>
        </w:rPr>
      </w:pPr>
    </w:p>
    <w:p w14:paraId="3E9EA859" w14:textId="0C7746D8" w:rsidR="00DB24F2" w:rsidRPr="00071164" w:rsidRDefault="007C5DFC" w:rsidP="000D3B37">
      <w:pPr>
        <w:pStyle w:val="Cmsor2"/>
        <w:numPr>
          <w:ilvl w:val="0"/>
          <w:numId w:val="5"/>
        </w:numPr>
        <w:ind w:left="0" w:right="1"/>
        <w:jc w:val="both"/>
        <w:rPr>
          <w:rFonts w:ascii="Times New Roman" w:hAnsi="Times New Roman" w:cs="Times New Roman"/>
          <w:b/>
          <w:color w:val="auto"/>
          <w:lang w:val="en-GB"/>
        </w:rPr>
      </w:pPr>
      <w:r w:rsidRPr="00071164">
        <w:rPr>
          <w:rFonts w:ascii="Times New Roman" w:hAnsi="Times New Roman" w:cs="Times New Roman"/>
          <w:b/>
          <w:color w:val="auto"/>
          <w:lang w:val="en-GB"/>
        </w:rPr>
        <w:t>Synergies and l</w:t>
      </w:r>
      <w:r w:rsidR="00DB24F2" w:rsidRPr="00071164">
        <w:rPr>
          <w:rFonts w:ascii="Times New Roman" w:hAnsi="Times New Roman" w:cs="Times New Roman"/>
          <w:b/>
          <w:color w:val="auto"/>
          <w:lang w:val="en-GB"/>
        </w:rPr>
        <w:t>essons to be learned from future generations advocacy for safeguarding the environmental rights of children in the future</w:t>
      </w:r>
    </w:p>
    <w:p w14:paraId="67AD2E6E" w14:textId="77777777" w:rsidR="00DB24F2" w:rsidRPr="00071164" w:rsidRDefault="00DB24F2" w:rsidP="000D3B37">
      <w:pPr>
        <w:ind w:right="1"/>
        <w:rPr>
          <w:rFonts w:ascii="Times New Roman" w:hAnsi="Times New Roman"/>
          <w:b/>
          <w:lang w:val="en-GB"/>
        </w:rPr>
      </w:pPr>
    </w:p>
    <w:p w14:paraId="79DB1277" w14:textId="73935027" w:rsidR="00DB24F2" w:rsidRPr="00CB6CB2" w:rsidRDefault="00DB24F2" w:rsidP="000D3B37">
      <w:pPr>
        <w:pStyle w:val="Listaszerbekezds"/>
        <w:ind w:left="0" w:right="1"/>
        <w:contextualSpacing/>
        <w:jc w:val="both"/>
        <w:rPr>
          <w:lang w:val="en-GB"/>
        </w:rPr>
      </w:pPr>
      <w:r w:rsidRPr="00CB6CB2">
        <w:rPr>
          <w:lang w:val="en-GB"/>
        </w:rPr>
        <w:t>It is highly laudable that the principle of inter-generati</w:t>
      </w:r>
      <w:r w:rsidR="005645E4">
        <w:rPr>
          <w:lang w:val="en-GB"/>
        </w:rPr>
        <w:t>onal equity is featured in the d</w:t>
      </w:r>
      <w:r w:rsidRPr="00CB6CB2">
        <w:rPr>
          <w:lang w:val="en-GB"/>
        </w:rPr>
        <w:t xml:space="preserve">raft GC as a conceptual cornerstone of States’ long-term obligations to protect the rights of children in the context of environmental and climate risks or harm. Indeed, some of the core interests of posterity overlap with those of present-day children with respect to the quality and quantity of resources as well as flourishing ecosystems. </w:t>
      </w:r>
    </w:p>
    <w:p w14:paraId="64605DA2" w14:textId="77777777" w:rsidR="00DB24F2" w:rsidRPr="00CB6CB2" w:rsidRDefault="00DB24F2" w:rsidP="000D3B37">
      <w:pPr>
        <w:pStyle w:val="Listaszerbekezds"/>
        <w:ind w:left="0" w:right="1"/>
        <w:jc w:val="both"/>
        <w:rPr>
          <w:lang w:val="en-GB"/>
        </w:rPr>
      </w:pPr>
    </w:p>
    <w:p w14:paraId="5FF4FA2C" w14:textId="2E450C24" w:rsidR="00DB24F2" w:rsidRPr="00CB6CB2" w:rsidRDefault="00C05790" w:rsidP="000D3B37">
      <w:pPr>
        <w:pStyle w:val="Listaszerbekezds"/>
        <w:ind w:left="0" w:right="1"/>
        <w:contextualSpacing/>
        <w:jc w:val="both"/>
        <w:rPr>
          <w:lang w:val="en-GB"/>
        </w:rPr>
      </w:pPr>
      <w:r>
        <w:rPr>
          <w:lang w:val="en-GB"/>
        </w:rPr>
        <w:t>At the same time</w:t>
      </w:r>
      <w:r w:rsidR="00DB24F2" w:rsidRPr="00CB6CB2">
        <w:rPr>
          <w:lang w:val="en-GB"/>
        </w:rPr>
        <w:t xml:space="preserve">, it is also important to acknowledge that the yardstick of “the best interest of the child” is </w:t>
      </w:r>
      <w:r w:rsidR="007C5DFC" w:rsidRPr="00CB6CB2">
        <w:rPr>
          <w:lang w:val="en-GB"/>
        </w:rPr>
        <w:t xml:space="preserve">somewhat </w:t>
      </w:r>
      <w:r w:rsidR="00DB24F2" w:rsidRPr="00CB6CB2">
        <w:rPr>
          <w:lang w:val="en-GB"/>
        </w:rPr>
        <w:t xml:space="preserve">different from that of the “interests of future generations”, as the latter captures the vital needs of future individuals (children and adults alike). This means that while children’s rights tackle the special vulnerabilities of present-day children, the principle of inter-generational equity requires a more future-oriented approach. Protecting the rights and interests of children in the future therefore necessitates focusing on longer timescales. The experience of spokespersons of future generations can have important lessons for putting the inter-generational equity principle into practice in the context of promoting children’s rights in the future. </w:t>
      </w:r>
    </w:p>
    <w:p w14:paraId="542E6085" w14:textId="77777777" w:rsidR="00DB24F2" w:rsidRPr="00071164" w:rsidRDefault="00DB24F2" w:rsidP="000D3B37">
      <w:pPr>
        <w:ind w:right="1"/>
        <w:jc w:val="both"/>
        <w:rPr>
          <w:rFonts w:ascii="Times New Roman" w:hAnsi="Times New Roman"/>
          <w:lang w:val="en-GB"/>
        </w:rPr>
      </w:pPr>
    </w:p>
    <w:p w14:paraId="4367CC83" w14:textId="4840B074" w:rsidR="00DB24F2" w:rsidRPr="00CB6CB2" w:rsidRDefault="00DB24F2" w:rsidP="000D3B37">
      <w:pPr>
        <w:pStyle w:val="Listaszerbekezds"/>
        <w:ind w:left="0" w:right="1"/>
        <w:contextualSpacing/>
        <w:jc w:val="both"/>
        <w:rPr>
          <w:lang w:val="en-GB"/>
        </w:rPr>
      </w:pPr>
      <w:r w:rsidRPr="00CB6CB2">
        <w:rPr>
          <w:lang w:val="en-GB"/>
        </w:rPr>
        <w:t xml:space="preserve">The more than a decade-long history of the </w:t>
      </w:r>
      <w:r w:rsidR="00C04A9E">
        <w:rPr>
          <w:lang w:val="en-GB"/>
        </w:rPr>
        <w:t>H</w:t>
      </w:r>
      <w:r w:rsidRPr="00CB6CB2">
        <w:rPr>
          <w:lang w:val="en-GB"/>
        </w:rPr>
        <w:t xml:space="preserve">NHRI with promoting inter-generational equity suggests that protecting the needs of future generations (including children) </w:t>
      </w:r>
      <w:r w:rsidR="00753E2D">
        <w:rPr>
          <w:lang w:val="en-GB"/>
        </w:rPr>
        <w:t>necessitates</w:t>
      </w:r>
      <w:r w:rsidR="00753E2D" w:rsidRPr="00CB6CB2">
        <w:rPr>
          <w:lang w:val="en-GB"/>
        </w:rPr>
        <w:t xml:space="preserve"> </w:t>
      </w:r>
      <w:r w:rsidRPr="00CB6CB2">
        <w:rPr>
          <w:lang w:val="en-GB"/>
        </w:rPr>
        <w:t xml:space="preserve">a specific set of expertise, an interdisciplinary working method, and the utilization of specific principles. With regard to the specific expertise, </w:t>
      </w:r>
      <w:r w:rsidR="00474CD2">
        <w:rPr>
          <w:lang w:val="en-GB"/>
        </w:rPr>
        <w:t xml:space="preserve">a </w:t>
      </w:r>
      <w:r w:rsidR="003E6714" w:rsidRPr="00CB6CB2">
        <w:rPr>
          <w:lang w:val="en-GB"/>
        </w:rPr>
        <w:t>different background is needed for defining the best interest of the child and the interests of future generations</w:t>
      </w:r>
      <w:r w:rsidR="00474CD2">
        <w:rPr>
          <w:lang w:val="en-GB"/>
        </w:rPr>
        <w:t>, as the latter requires</w:t>
      </w:r>
      <w:r w:rsidR="003E6714" w:rsidRPr="00CB6CB2">
        <w:rPr>
          <w:lang w:val="en-GB"/>
        </w:rPr>
        <w:t xml:space="preserve"> expertise in environmental and climate law</w:t>
      </w:r>
      <w:r w:rsidRPr="00CB6CB2">
        <w:rPr>
          <w:lang w:val="en-GB"/>
        </w:rPr>
        <w:t xml:space="preserve">. </w:t>
      </w:r>
      <w:r w:rsidR="00474CD2">
        <w:rPr>
          <w:lang w:val="en-GB"/>
        </w:rPr>
        <w:t>Furthermore, d</w:t>
      </w:r>
      <w:r w:rsidRPr="00CB6CB2">
        <w:rPr>
          <w:lang w:val="en-GB"/>
        </w:rPr>
        <w:t>efining what lies in the environmental interests of future generations is often an interpretative exercise, requir</w:t>
      </w:r>
      <w:r w:rsidR="00D772C9">
        <w:rPr>
          <w:lang w:val="en-GB"/>
        </w:rPr>
        <w:t>ing</w:t>
      </w:r>
      <w:r w:rsidRPr="00CB6CB2">
        <w:rPr>
          <w:lang w:val="en-GB"/>
        </w:rPr>
        <w:t xml:space="preserve"> consulting scientific reports </w:t>
      </w:r>
      <w:r w:rsidR="00753E2D">
        <w:rPr>
          <w:lang w:val="en-GB"/>
        </w:rPr>
        <w:t xml:space="preserve">and experts </w:t>
      </w:r>
      <w:r w:rsidRPr="00CB6CB2">
        <w:rPr>
          <w:lang w:val="en-GB"/>
        </w:rPr>
        <w:t>concerning environmental risks</w:t>
      </w:r>
      <w:r w:rsidR="00C05790">
        <w:rPr>
          <w:lang w:val="en-GB"/>
        </w:rPr>
        <w:t xml:space="preserve"> </w:t>
      </w:r>
      <w:r w:rsidR="00753E2D" w:rsidRPr="00CB6CB2">
        <w:rPr>
          <w:lang w:val="en-GB"/>
        </w:rPr>
        <w:t xml:space="preserve">to incorporate such expertise in the </w:t>
      </w:r>
      <w:r w:rsidR="00753E2D">
        <w:rPr>
          <w:lang w:val="en-GB"/>
        </w:rPr>
        <w:t xml:space="preserve">relevant </w:t>
      </w:r>
      <w:r w:rsidR="00753E2D" w:rsidRPr="00CB6CB2">
        <w:rPr>
          <w:lang w:val="en-GB"/>
        </w:rPr>
        <w:t>advocacy</w:t>
      </w:r>
      <w:r w:rsidRPr="00CB6CB2">
        <w:rPr>
          <w:lang w:val="en-GB"/>
        </w:rPr>
        <w:t xml:space="preserve">. </w:t>
      </w:r>
      <w:r w:rsidR="00474CD2">
        <w:rPr>
          <w:lang w:val="en-GB"/>
        </w:rPr>
        <w:t>Similarly</w:t>
      </w:r>
      <w:r w:rsidR="00C05790">
        <w:rPr>
          <w:lang w:val="en-GB"/>
        </w:rPr>
        <w:t>,</w:t>
      </w:r>
      <w:r w:rsidRPr="00CB6CB2">
        <w:rPr>
          <w:lang w:val="en-GB"/>
        </w:rPr>
        <w:t xml:space="preserve"> the colleagues work</w:t>
      </w:r>
      <w:r w:rsidR="00C05790">
        <w:rPr>
          <w:lang w:val="en-GB"/>
        </w:rPr>
        <w:t>ing</w:t>
      </w:r>
      <w:r w:rsidRPr="00CB6CB2">
        <w:rPr>
          <w:lang w:val="en-GB"/>
        </w:rPr>
        <w:t xml:space="preserve"> in the field of protecting children’s rights often rely on expertise from public health professionals, p</w:t>
      </w:r>
      <w:r w:rsidR="00753E2D">
        <w:rPr>
          <w:lang w:val="en-GB"/>
        </w:rPr>
        <w:t>s</w:t>
      </w:r>
      <w:r w:rsidRPr="00CB6CB2">
        <w:rPr>
          <w:lang w:val="en-GB"/>
        </w:rPr>
        <w:t>yc</w:t>
      </w:r>
      <w:r w:rsidR="00753E2D">
        <w:rPr>
          <w:lang w:val="en-GB"/>
        </w:rPr>
        <w:t>h</w:t>
      </w:r>
      <w:r w:rsidRPr="00CB6CB2">
        <w:rPr>
          <w:lang w:val="en-GB"/>
        </w:rPr>
        <w:t>ologists and pedagog</w:t>
      </w:r>
      <w:r w:rsidR="00C04A9E">
        <w:rPr>
          <w:lang w:val="en-GB"/>
        </w:rPr>
        <w:t>ues</w:t>
      </w:r>
      <w:r w:rsidRPr="00CB6CB2">
        <w:rPr>
          <w:lang w:val="en-GB"/>
        </w:rPr>
        <w:t xml:space="preserve">. </w:t>
      </w:r>
      <w:r w:rsidR="00753E2D">
        <w:rPr>
          <w:lang w:val="en-GB"/>
        </w:rPr>
        <w:t>Both types of</w:t>
      </w:r>
      <w:r w:rsidRPr="00CB6CB2">
        <w:rPr>
          <w:lang w:val="en-GB"/>
        </w:rPr>
        <w:t xml:space="preserve"> advocacy is deeply interdisciplinary in nature, </w:t>
      </w:r>
      <w:r w:rsidR="00753E2D">
        <w:rPr>
          <w:lang w:val="en-GB"/>
        </w:rPr>
        <w:t>and</w:t>
      </w:r>
      <w:r w:rsidRPr="00CB6CB2">
        <w:rPr>
          <w:lang w:val="en-GB"/>
        </w:rPr>
        <w:t xml:space="preserve"> necessitates getting insights from </w:t>
      </w:r>
      <w:r w:rsidR="00753E2D">
        <w:rPr>
          <w:lang w:val="en-GB"/>
        </w:rPr>
        <w:t>other experts</w:t>
      </w:r>
      <w:r w:rsidR="00A92CCD">
        <w:rPr>
          <w:lang w:val="en-GB"/>
        </w:rPr>
        <w:t>’</w:t>
      </w:r>
      <w:r w:rsidR="00753E2D">
        <w:rPr>
          <w:lang w:val="en-GB"/>
        </w:rPr>
        <w:t xml:space="preserve"> fields</w:t>
      </w:r>
      <w:r w:rsidRPr="00CB6CB2">
        <w:rPr>
          <w:lang w:val="en-GB"/>
        </w:rPr>
        <w:t>.</w:t>
      </w:r>
      <w:r w:rsidR="00AB518D">
        <w:rPr>
          <w:lang w:val="en-GB"/>
        </w:rPr>
        <w:t xml:space="preserve"> </w:t>
      </w:r>
      <w:r w:rsidRPr="00CB6CB2">
        <w:rPr>
          <w:lang w:val="en-GB"/>
        </w:rPr>
        <w:t xml:space="preserve">In </w:t>
      </w:r>
      <w:r w:rsidR="00474CD2">
        <w:rPr>
          <w:lang w:val="en-GB"/>
        </w:rPr>
        <w:t>this vein</w:t>
      </w:r>
      <w:r w:rsidRPr="00CB6CB2">
        <w:rPr>
          <w:lang w:val="en-GB"/>
        </w:rPr>
        <w:t xml:space="preserve"> institutions that seek to promote long-term environmental interests of children in the future are likely to have to forge alliance with scientists. </w:t>
      </w:r>
    </w:p>
    <w:p w14:paraId="001D9303" w14:textId="77777777" w:rsidR="00DB24F2" w:rsidRPr="00071164" w:rsidRDefault="00DB24F2" w:rsidP="000D3B37">
      <w:pPr>
        <w:ind w:right="1"/>
        <w:rPr>
          <w:rFonts w:ascii="Times New Roman" w:hAnsi="Times New Roman"/>
          <w:lang w:val="en-GB"/>
        </w:rPr>
      </w:pPr>
    </w:p>
    <w:p w14:paraId="099D9044" w14:textId="550A9EB9" w:rsidR="00DB24F2" w:rsidRPr="00CB6CB2" w:rsidRDefault="00DB24F2" w:rsidP="000D3B37">
      <w:pPr>
        <w:pStyle w:val="Listaszerbekezds"/>
        <w:ind w:left="0" w:right="1"/>
        <w:contextualSpacing/>
        <w:jc w:val="both"/>
        <w:rPr>
          <w:lang w:val="en-GB"/>
        </w:rPr>
      </w:pPr>
      <w:r w:rsidRPr="00CB6CB2">
        <w:rPr>
          <w:lang w:val="en-GB"/>
        </w:rPr>
        <w:t xml:space="preserve">Such an interdisciplinary working method also requires building on specific rules and principles. The precautionary principle is an established and vital part of translating probabilistic scientific results into protective action in an effective way. In order to claim protection for the long-term viability of natural resources and ecosystems, advocates of inter-generational equity have to inject long-term planning and thinking into the necessarily myopic approach of present-day stakeholders. Democratically elected officials tend to focus on satisfying the short-term preferences of their constituencies by sacrificing long-term assets. Efficient future </w:t>
      </w:r>
      <w:proofErr w:type="gramStart"/>
      <w:r w:rsidRPr="00CB6CB2">
        <w:rPr>
          <w:lang w:val="en-GB"/>
        </w:rPr>
        <w:t>generations</w:t>
      </w:r>
      <w:proofErr w:type="gramEnd"/>
      <w:r w:rsidRPr="00CB6CB2">
        <w:rPr>
          <w:lang w:val="en-GB"/>
        </w:rPr>
        <w:t xml:space="preserve"> advocacy therefore necessitates legal doctrines that impose constraints on the freedom of the present generations to exhaust vital resources in order to spare them for generations to come.  </w:t>
      </w:r>
    </w:p>
    <w:p w14:paraId="7CB440B1" w14:textId="77777777" w:rsidR="00DB24F2" w:rsidRPr="00CB6CB2" w:rsidRDefault="00DB24F2" w:rsidP="000D3B37">
      <w:pPr>
        <w:pStyle w:val="Listaszerbekezds"/>
        <w:ind w:left="0" w:right="1"/>
        <w:jc w:val="both"/>
        <w:rPr>
          <w:lang w:val="en-GB"/>
        </w:rPr>
      </w:pPr>
    </w:p>
    <w:p w14:paraId="2A22B32A" w14:textId="0B768171" w:rsidR="00DB24F2" w:rsidRDefault="00DB24F2" w:rsidP="000D3B37">
      <w:pPr>
        <w:pStyle w:val="Listaszerbekezds"/>
        <w:ind w:left="0" w:right="1"/>
        <w:contextualSpacing/>
        <w:jc w:val="both"/>
        <w:rPr>
          <w:lang w:val="en-GB"/>
        </w:rPr>
      </w:pPr>
      <w:r w:rsidRPr="00CB6CB2">
        <w:rPr>
          <w:lang w:val="en-GB"/>
        </w:rPr>
        <w:t xml:space="preserve">For these reasons, we believe the </w:t>
      </w:r>
      <w:r w:rsidRPr="00071164">
        <w:rPr>
          <w:i/>
          <w:lang w:val="en-GB"/>
        </w:rPr>
        <w:t xml:space="preserve">text of the GC </w:t>
      </w:r>
      <w:r w:rsidR="007C5DFC" w:rsidRPr="00CB6CB2">
        <w:rPr>
          <w:i/>
          <w:lang w:val="en-GB"/>
        </w:rPr>
        <w:t>c</w:t>
      </w:r>
      <w:r w:rsidRPr="00071164">
        <w:rPr>
          <w:i/>
          <w:lang w:val="en-GB"/>
        </w:rPr>
        <w:t>ould address the principle of inter</w:t>
      </w:r>
      <w:r w:rsidR="00474CD2">
        <w:rPr>
          <w:i/>
          <w:lang w:val="en-GB"/>
        </w:rPr>
        <w:t>-</w:t>
      </w:r>
      <w:r w:rsidRPr="00071164">
        <w:rPr>
          <w:i/>
          <w:lang w:val="en-GB"/>
        </w:rPr>
        <w:t>generational equity more in depth to highlight the specific legal tools that are necessary to implement the principle in protecting the rights of future children</w:t>
      </w:r>
      <w:r w:rsidRPr="00CB6CB2">
        <w:rPr>
          <w:lang w:val="en-GB"/>
        </w:rPr>
        <w:t xml:space="preserve">. Our comments below propose some amendments with which the GC could clarify the normative implications of inter-generational equity.  </w:t>
      </w:r>
    </w:p>
    <w:p w14:paraId="230CC4BF" w14:textId="77777777" w:rsidR="000D3B37" w:rsidRPr="00CB6CB2" w:rsidRDefault="000D3B37" w:rsidP="000D3B37">
      <w:pPr>
        <w:pStyle w:val="Listaszerbekezds"/>
        <w:ind w:left="0" w:right="1"/>
        <w:contextualSpacing/>
        <w:jc w:val="both"/>
        <w:rPr>
          <w:lang w:val="en-GB"/>
        </w:rPr>
      </w:pPr>
    </w:p>
    <w:p w14:paraId="104019F8" w14:textId="77777777" w:rsidR="00DB24F2" w:rsidRPr="00071164" w:rsidRDefault="00DB24F2" w:rsidP="000D3B37">
      <w:pPr>
        <w:ind w:right="1"/>
        <w:rPr>
          <w:rFonts w:ascii="Times New Roman" w:hAnsi="Times New Roman"/>
          <w:b/>
          <w:lang w:val="en-GB"/>
        </w:rPr>
      </w:pPr>
    </w:p>
    <w:p w14:paraId="0630EC0E" w14:textId="2B54A3CE" w:rsidR="00DB24F2" w:rsidRPr="00071164" w:rsidRDefault="00DB24F2" w:rsidP="000D3B37">
      <w:pPr>
        <w:pStyle w:val="Cmsor2"/>
        <w:numPr>
          <w:ilvl w:val="0"/>
          <w:numId w:val="4"/>
        </w:numPr>
        <w:ind w:left="0" w:right="1"/>
        <w:jc w:val="both"/>
        <w:rPr>
          <w:rFonts w:ascii="Times New Roman" w:hAnsi="Times New Roman" w:cs="Times New Roman"/>
          <w:b/>
          <w:color w:val="auto"/>
          <w:lang w:val="en-GB"/>
        </w:rPr>
      </w:pPr>
      <w:r w:rsidRPr="00071164">
        <w:rPr>
          <w:rFonts w:ascii="Times New Roman" w:hAnsi="Times New Roman" w:cs="Times New Roman"/>
          <w:b/>
          <w:color w:val="auto"/>
          <w:lang w:val="en-GB"/>
        </w:rPr>
        <w:t xml:space="preserve">The content of the inter-generational equity principle: binding constraints on States’ freedom to neglect long-term risks of harm </w:t>
      </w:r>
    </w:p>
    <w:p w14:paraId="1DDC87F7" w14:textId="77777777" w:rsidR="00DB24F2" w:rsidRPr="00071164" w:rsidRDefault="00DB24F2" w:rsidP="000D3B37">
      <w:pPr>
        <w:ind w:right="1"/>
        <w:rPr>
          <w:rFonts w:ascii="Times New Roman" w:hAnsi="Times New Roman"/>
          <w:lang w:val="en-GB"/>
        </w:rPr>
      </w:pPr>
    </w:p>
    <w:p w14:paraId="3058CF05" w14:textId="356C385B" w:rsidR="00DB24F2" w:rsidRPr="00CB6CB2" w:rsidRDefault="00DB24F2" w:rsidP="000D3B37">
      <w:pPr>
        <w:pStyle w:val="Listaszerbekezds"/>
        <w:ind w:left="0" w:right="1"/>
        <w:contextualSpacing/>
        <w:jc w:val="both"/>
        <w:rPr>
          <w:lang w:val="en-GB"/>
        </w:rPr>
      </w:pPr>
      <w:r w:rsidRPr="00CB6CB2">
        <w:rPr>
          <w:lang w:val="en-GB"/>
        </w:rPr>
        <w:t xml:space="preserve">The recent wave in climate change and environmental litigation suggests that inter-generational equity is increasingly deemed by domestic courts as imposing binding obligations on States. </w:t>
      </w:r>
      <w:r w:rsidR="00694C76" w:rsidRPr="00CB6CB2">
        <w:rPr>
          <w:lang w:val="en-GB"/>
        </w:rPr>
        <w:t>In accordance with this legal development, t</w:t>
      </w:r>
      <w:r w:rsidRPr="00CB6CB2">
        <w:rPr>
          <w:lang w:val="en-GB"/>
        </w:rPr>
        <w:t xml:space="preserve">he GC </w:t>
      </w:r>
      <w:r w:rsidR="00694C76" w:rsidRPr="00CB6CB2">
        <w:rPr>
          <w:lang w:val="en-GB"/>
        </w:rPr>
        <w:t>c</w:t>
      </w:r>
      <w:r w:rsidRPr="00CB6CB2">
        <w:rPr>
          <w:lang w:val="en-GB"/>
        </w:rPr>
        <w:t xml:space="preserve">ould </w:t>
      </w:r>
      <w:r w:rsidR="00694C76" w:rsidRPr="00CB6CB2">
        <w:rPr>
          <w:lang w:val="en-GB"/>
        </w:rPr>
        <w:t xml:space="preserve">reinforce </w:t>
      </w:r>
      <w:r w:rsidRPr="00CB6CB2">
        <w:rPr>
          <w:lang w:val="en-GB"/>
        </w:rPr>
        <w:t xml:space="preserve">that the principle is more than a symbolic, aspirational clause, </w:t>
      </w:r>
      <w:r w:rsidR="006E7921" w:rsidRPr="00CB6CB2">
        <w:rPr>
          <w:lang w:val="en-GB"/>
        </w:rPr>
        <w:t>stressing that it should have a</w:t>
      </w:r>
      <w:r w:rsidRPr="00CB6CB2">
        <w:rPr>
          <w:lang w:val="en-GB"/>
        </w:rPr>
        <w:t xml:space="preserve"> direct bearing on the law-making and administrative decision-making of public authorities. </w:t>
      </w:r>
      <w:r w:rsidR="00AB518D">
        <w:rPr>
          <w:lang w:val="en-GB"/>
        </w:rPr>
        <w:t xml:space="preserve">Although utilised mostly in future </w:t>
      </w:r>
      <w:proofErr w:type="gramStart"/>
      <w:r w:rsidR="00AB518D">
        <w:rPr>
          <w:lang w:val="en-GB"/>
        </w:rPr>
        <w:t>generations</w:t>
      </w:r>
      <w:proofErr w:type="gramEnd"/>
      <w:r w:rsidR="00AB518D">
        <w:rPr>
          <w:lang w:val="en-GB"/>
        </w:rPr>
        <w:t xml:space="preserve"> advocacy, giving more weight to the principle of inter</w:t>
      </w:r>
      <w:r w:rsidR="00474CD2">
        <w:rPr>
          <w:lang w:val="en-GB"/>
        </w:rPr>
        <w:t>-</w:t>
      </w:r>
      <w:r w:rsidR="00AB518D">
        <w:rPr>
          <w:lang w:val="en-GB"/>
        </w:rPr>
        <w:t xml:space="preserve">generational equity and </w:t>
      </w:r>
      <w:r w:rsidR="00474CD2">
        <w:rPr>
          <w:lang w:val="en-GB"/>
        </w:rPr>
        <w:t xml:space="preserve">thereby shaping </w:t>
      </w:r>
      <w:r w:rsidR="00AB518D">
        <w:rPr>
          <w:lang w:val="en-GB"/>
        </w:rPr>
        <w:t xml:space="preserve">decisions </w:t>
      </w:r>
      <w:r w:rsidR="00474CD2">
        <w:rPr>
          <w:lang w:val="en-GB"/>
        </w:rPr>
        <w:t xml:space="preserve">made in the present </w:t>
      </w:r>
      <w:r w:rsidR="00AB518D">
        <w:rPr>
          <w:lang w:val="en-GB"/>
        </w:rPr>
        <w:t>will certainly benefit children of all generations to come.</w:t>
      </w:r>
    </w:p>
    <w:p w14:paraId="5A0AC6CF" w14:textId="77777777" w:rsidR="00DB24F2" w:rsidRPr="00CB6CB2" w:rsidRDefault="00DB24F2" w:rsidP="000D3B37">
      <w:pPr>
        <w:pStyle w:val="Listaszerbekezds"/>
        <w:ind w:left="0" w:right="1"/>
        <w:jc w:val="both"/>
        <w:rPr>
          <w:lang w:val="en-GB"/>
        </w:rPr>
      </w:pPr>
    </w:p>
    <w:p w14:paraId="6A79E4CA" w14:textId="13BAC158" w:rsidR="00DB24F2" w:rsidRPr="00CB6CB2" w:rsidRDefault="00DB24F2" w:rsidP="000D3B37">
      <w:pPr>
        <w:pStyle w:val="Listaszerbekezds"/>
        <w:ind w:left="0" w:right="1"/>
        <w:contextualSpacing/>
        <w:jc w:val="both"/>
        <w:rPr>
          <w:lang w:val="en-GB"/>
        </w:rPr>
      </w:pPr>
      <w:r w:rsidRPr="00CB6CB2">
        <w:rPr>
          <w:lang w:val="en-GB"/>
        </w:rPr>
        <w:t>In a growing number of States worldwide, the interests of future generations are protected through normative constitutional safeguards. In Hungary, for instance the principle of inter-generational equity i</w:t>
      </w:r>
      <w:r w:rsidR="00AB518D">
        <w:rPr>
          <w:lang w:val="en-GB"/>
        </w:rPr>
        <w:t>s</w:t>
      </w:r>
      <w:r w:rsidRPr="00CB6CB2">
        <w:rPr>
          <w:lang w:val="en-GB"/>
        </w:rPr>
        <w:t xml:space="preserve"> embedded in Article P) of the </w:t>
      </w:r>
      <w:r w:rsidR="00474CD2">
        <w:rPr>
          <w:lang w:val="en-GB"/>
        </w:rPr>
        <w:t>Fundamental Law</w:t>
      </w:r>
      <w:r w:rsidRPr="00CB6CB2">
        <w:rPr>
          <w:lang w:val="en-GB"/>
        </w:rPr>
        <w:t xml:space="preserve">, which obliges the State and every individual to maintain, protect and preserve the natural and cultural heritage, including biodiversity, freshwater resources, arable land, and forests, for the benefit of future generations. This provision has been consistently interpreted by the Constitutional Court as imposing binding obligations on the State. The Court has </w:t>
      </w:r>
      <w:r w:rsidR="00474CD2">
        <w:rPr>
          <w:lang w:val="en-GB"/>
        </w:rPr>
        <w:t xml:space="preserve">also </w:t>
      </w:r>
      <w:r w:rsidRPr="00CB6CB2">
        <w:rPr>
          <w:lang w:val="en-GB"/>
        </w:rPr>
        <w:t xml:space="preserve">nullified acts, which were found to be in breach of </w:t>
      </w:r>
      <w:r w:rsidR="00474CD2">
        <w:rPr>
          <w:lang w:val="en-GB"/>
        </w:rPr>
        <w:t xml:space="preserve">these </w:t>
      </w:r>
      <w:r w:rsidRPr="00CB6CB2">
        <w:rPr>
          <w:lang w:val="en-GB"/>
        </w:rPr>
        <w:t>inter-generational obligations as defined by the Court.</w:t>
      </w:r>
    </w:p>
    <w:p w14:paraId="614B014F" w14:textId="77777777" w:rsidR="00DB24F2" w:rsidRPr="00CB6CB2" w:rsidRDefault="00DB24F2" w:rsidP="000D3B37">
      <w:pPr>
        <w:pStyle w:val="Listaszerbekezds"/>
        <w:ind w:left="0" w:right="1"/>
        <w:rPr>
          <w:lang w:val="en-GB"/>
        </w:rPr>
      </w:pPr>
    </w:p>
    <w:p w14:paraId="157E0B12" w14:textId="3334EA3B" w:rsidR="00DB24F2" w:rsidRPr="00CB6CB2" w:rsidRDefault="00DB24F2" w:rsidP="000D3B37">
      <w:pPr>
        <w:pStyle w:val="Listaszerbekezds"/>
        <w:ind w:left="0" w:right="1"/>
        <w:contextualSpacing/>
        <w:jc w:val="both"/>
        <w:rPr>
          <w:lang w:val="en-GB"/>
        </w:rPr>
      </w:pPr>
      <w:r w:rsidRPr="00CB6CB2">
        <w:rPr>
          <w:lang w:val="en-GB"/>
        </w:rPr>
        <w:t xml:space="preserve">Specifically, the Constitutional Court </w:t>
      </w:r>
      <w:r w:rsidR="00A92CCD">
        <w:rPr>
          <w:lang w:val="en-GB"/>
        </w:rPr>
        <w:t xml:space="preserve">has </w:t>
      </w:r>
      <w:r w:rsidRPr="00CB6CB2">
        <w:rPr>
          <w:lang w:val="en-GB"/>
        </w:rPr>
        <w:t>ruled that the legislature is obliged to engage in long-term planning when it designs laws that affect biodiversity and the natural resources and hence it has to consider the impacts of its policies even beyond the government’s election cycles.</w:t>
      </w:r>
      <w:r w:rsidRPr="00CB6CB2">
        <w:rPr>
          <w:rStyle w:val="Lbjegyzet-hivatkozs"/>
          <w:lang w:val="en-GB"/>
        </w:rPr>
        <w:footnoteReference w:id="3"/>
      </w:r>
      <w:r w:rsidRPr="00CB6CB2">
        <w:rPr>
          <w:lang w:val="en-GB"/>
        </w:rPr>
        <w:t xml:space="preserve"> Furthermore, laws must not incentivize the wasteful use of natural resources</w:t>
      </w:r>
      <w:r w:rsidR="00474CD2">
        <w:rPr>
          <w:lang w:val="en-GB"/>
        </w:rPr>
        <w:t>,</w:t>
      </w:r>
      <w:r w:rsidRPr="00CB6CB2">
        <w:rPr>
          <w:rStyle w:val="Lbjegyzet-hivatkozs"/>
          <w:lang w:val="en-GB"/>
        </w:rPr>
        <w:footnoteReference w:id="4"/>
      </w:r>
      <w:r w:rsidRPr="00CB6CB2">
        <w:rPr>
          <w:lang w:val="en-GB"/>
        </w:rPr>
        <w:t xml:space="preserve"> and must not </w:t>
      </w:r>
      <w:r w:rsidRPr="00CB6CB2">
        <w:rPr>
          <w:lang w:val="en-GB"/>
        </w:rPr>
        <w:lastRenderedPageBreak/>
        <w:t>permit members of the current generation to exhaust such resources.</w:t>
      </w:r>
      <w:r w:rsidRPr="00CB6CB2">
        <w:rPr>
          <w:rStyle w:val="Lbjegyzet-hivatkozs"/>
          <w:lang w:val="en-GB"/>
        </w:rPr>
        <w:footnoteReference w:id="5"/>
      </w:r>
      <w:r w:rsidRPr="00CB6CB2">
        <w:rPr>
          <w:lang w:val="en-GB"/>
        </w:rPr>
        <w:t xml:space="preserve"> In the same vein, </w:t>
      </w:r>
      <w:r w:rsidR="00474CD2">
        <w:rPr>
          <w:lang w:val="en-GB"/>
        </w:rPr>
        <w:t xml:space="preserve">the Court stressed that </w:t>
      </w:r>
      <w:r w:rsidRPr="00CB6CB2">
        <w:rPr>
          <w:lang w:val="en-GB"/>
        </w:rPr>
        <w:t xml:space="preserve">the State may only </w:t>
      </w:r>
      <w:r w:rsidRPr="00071164">
        <w:rPr>
          <w:bCs/>
          <w:lang w:val="en-GB"/>
        </w:rPr>
        <w:t>allow the exercise of property rights by current rights-holders to the extent that doing so does not jeopardize the long-term viability of the natural and cultural heritage.</w:t>
      </w:r>
      <w:r w:rsidRPr="00071164">
        <w:rPr>
          <w:bCs/>
          <w:vertAlign w:val="superscript"/>
          <w:lang w:val="en-GB"/>
        </w:rPr>
        <w:footnoteReference w:id="6"/>
      </w:r>
      <w:r w:rsidRPr="00CB6CB2">
        <w:rPr>
          <w:lang w:val="en-GB"/>
        </w:rPr>
        <w:t xml:space="preserve"> In sum, the principle of inter-generational equity compels the legislature to take into </w:t>
      </w:r>
      <w:r w:rsidRPr="00071164">
        <w:rPr>
          <w:bCs/>
          <w:lang w:val="en-GB"/>
        </w:rPr>
        <w:t>account the interests of future generations with equal weight, in a fair and equitable manner when it enacts laws governing the use of natural resources.</w:t>
      </w:r>
      <w:r w:rsidRPr="00071164">
        <w:rPr>
          <w:bCs/>
          <w:vertAlign w:val="superscript"/>
          <w:lang w:val="en-GB"/>
        </w:rPr>
        <w:footnoteReference w:id="7"/>
      </w:r>
      <w:r w:rsidRPr="00071164">
        <w:rPr>
          <w:bCs/>
          <w:lang w:val="en-GB"/>
        </w:rPr>
        <w:t xml:space="preserve"> </w:t>
      </w:r>
    </w:p>
    <w:p w14:paraId="1F7B5D13" w14:textId="77777777" w:rsidR="00DB24F2" w:rsidRPr="00CB6CB2" w:rsidRDefault="00DB24F2" w:rsidP="000D3B37">
      <w:pPr>
        <w:pStyle w:val="Listaszerbekezds"/>
        <w:ind w:left="0" w:right="1"/>
        <w:jc w:val="both"/>
        <w:rPr>
          <w:lang w:val="en-GB"/>
        </w:rPr>
      </w:pPr>
    </w:p>
    <w:p w14:paraId="5AAE69D5" w14:textId="0B37EA07" w:rsidR="00DB24F2" w:rsidRPr="00CB6CB2" w:rsidRDefault="00DB24F2" w:rsidP="000D3B37">
      <w:pPr>
        <w:pStyle w:val="Listaszerbekezds"/>
        <w:ind w:left="0" w:right="1"/>
        <w:contextualSpacing/>
        <w:jc w:val="both"/>
        <w:rPr>
          <w:lang w:val="en-GB"/>
        </w:rPr>
      </w:pPr>
      <w:r w:rsidRPr="00CB6CB2">
        <w:rPr>
          <w:lang w:val="en-GB"/>
        </w:rPr>
        <w:t>We believe therefore that the current landscape of domestic laws as well as international principles make it possible to provide a more detail</w:t>
      </w:r>
      <w:r w:rsidR="006B7F99" w:rsidRPr="00CB6CB2">
        <w:rPr>
          <w:lang w:val="en-GB"/>
        </w:rPr>
        <w:t>ed</w:t>
      </w:r>
      <w:r w:rsidRPr="00CB6CB2">
        <w:rPr>
          <w:lang w:val="en-GB"/>
        </w:rPr>
        <w:t xml:space="preserve"> definition on the content of the principle of inter-generational equity. </w:t>
      </w:r>
      <w:r w:rsidRPr="00071164">
        <w:rPr>
          <w:bCs/>
          <w:lang w:val="en-GB"/>
        </w:rPr>
        <w:t xml:space="preserve">A </w:t>
      </w:r>
      <w:r w:rsidRPr="00CB6CB2">
        <w:rPr>
          <w:lang w:val="en-GB"/>
        </w:rPr>
        <w:t xml:space="preserve">key feature of the principle lies in limiting the unfettered discretion of the State to pursue policies that clearly prioritize immediate economic benefits at the expense of sacrificing long-term interests. We therefore recommend expanding on the principle’s content by amending the end of paragraph 13 with the following sentences: </w:t>
      </w:r>
    </w:p>
    <w:p w14:paraId="701EF89A" w14:textId="77777777" w:rsidR="00DB24F2" w:rsidRPr="00CB6CB2" w:rsidRDefault="00DB24F2" w:rsidP="000D3B37">
      <w:pPr>
        <w:pStyle w:val="Listaszerbekezds"/>
        <w:ind w:left="0" w:right="1"/>
        <w:rPr>
          <w:lang w:val="en-GB"/>
        </w:rPr>
      </w:pPr>
    </w:p>
    <w:p w14:paraId="303CA570" w14:textId="77777777" w:rsidR="00C129D6" w:rsidRDefault="00C129D6" w:rsidP="000D3B37">
      <w:pPr>
        <w:pStyle w:val="Listaszerbekezds"/>
        <w:ind w:left="0" w:right="1"/>
        <w:jc w:val="both"/>
        <w:rPr>
          <w:b/>
          <w:bCs/>
          <w:i/>
          <w:iCs/>
          <w:lang w:val="en-GB"/>
        </w:rPr>
      </w:pPr>
    </w:p>
    <w:p w14:paraId="21A38A9D" w14:textId="77777777" w:rsidR="00C129D6" w:rsidRPr="00052277" w:rsidRDefault="00C129D6" w:rsidP="000D3B37">
      <w:pPr>
        <w:pStyle w:val="Listaszerbekezds"/>
        <w:ind w:left="0" w:right="1"/>
        <w:jc w:val="both"/>
        <w:rPr>
          <w:b/>
          <w:bCs/>
          <w:i/>
          <w:iCs/>
          <w:lang w:val="en-GB"/>
        </w:rPr>
      </w:pPr>
      <w:r w:rsidRPr="00052277">
        <w:rPr>
          <w:b/>
          <w:bCs/>
          <w:i/>
          <w:iCs/>
          <w:lang w:val="en-GB"/>
        </w:rPr>
        <w:t>The inter-generational equity principle is understood as requiring the conservation of options, the conservation of quality, and the conservation of access to natural resources for future generations.</w:t>
      </w:r>
      <w:r w:rsidRPr="00052277">
        <w:rPr>
          <w:rStyle w:val="Lbjegyzet-hivatkozs"/>
          <w:b/>
          <w:bCs/>
          <w:i/>
          <w:iCs/>
          <w:lang w:val="en-GB"/>
        </w:rPr>
        <w:footnoteReference w:id="8"/>
      </w:r>
      <w:r w:rsidRPr="00052277">
        <w:rPr>
          <w:b/>
          <w:bCs/>
          <w:i/>
          <w:iCs/>
          <w:lang w:val="en-GB"/>
        </w:rPr>
        <w:t xml:space="preserve"> Current generations ought to pass on the Earth’s resources to their children in no worse condition than they received them.</w:t>
      </w:r>
      <w:r w:rsidRPr="00052277">
        <w:rPr>
          <w:rStyle w:val="Lbjegyzet-hivatkozs"/>
          <w:b/>
          <w:bCs/>
          <w:i/>
          <w:iCs/>
          <w:lang w:val="en-GB"/>
        </w:rPr>
        <w:footnoteReference w:id="9"/>
      </w:r>
      <w:r w:rsidRPr="00052277">
        <w:rPr>
          <w:b/>
          <w:bCs/>
          <w:i/>
          <w:iCs/>
          <w:lang w:val="en-GB"/>
        </w:rPr>
        <w:t xml:space="preserve"> These inter-generational obligations limit the unfettered discretion of the State, both the legislative and the executive branch, in adopting laws and policies that may have trans- and multigenerational adverse impact on the climate system, the ecosystem and natural resources, undermining the life opportunities and the quality of life of children in the future. </w:t>
      </w:r>
      <w:r w:rsidRPr="00D45483">
        <w:rPr>
          <w:b/>
          <w:bCs/>
          <w:i/>
          <w:iCs/>
          <w:lang w:val="en-GB"/>
        </w:rPr>
        <w:t xml:space="preserve">Policies pursued in the present ought </w:t>
      </w:r>
      <w:proofErr w:type="gramStart"/>
      <w:r w:rsidRPr="00D45483">
        <w:rPr>
          <w:b/>
          <w:bCs/>
          <w:i/>
          <w:iCs/>
          <w:lang w:val="en-GB"/>
        </w:rPr>
        <w:t>not</w:t>
      </w:r>
      <w:proofErr w:type="gramEnd"/>
      <w:r w:rsidRPr="00D45483">
        <w:rPr>
          <w:b/>
          <w:bCs/>
          <w:i/>
          <w:iCs/>
          <w:lang w:val="en-GB"/>
        </w:rPr>
        <w:t xml:space="preserve"> put future generations on path-dependency</w:t>
      </w:r>
      <w:r w:rsidRPr="00052277">
        <w:rPr>
          <w:b/>
          <w:bCs/>
          <w:i/>
          <w:iCs/>
          <w:lang w:val="en-GB"/>
        </w:rPr>
        <w:t>. The principle of inter-generational equity also requires States to adopt a long-term planning horizon in designing environmental and climate measures.</w:t>
      </w:r>
    </w:p>
    <w:p w14:paraId="3D9D3600" w14:textId="77777777" w:rsidR="00DB24F2" w:rsidRPr="00CB6CB2" w:rsidRDefault="00DB24F2" w:rsidP="000D3B37">
      <w:pPr>
        <w:pStyle w:val="Listaszerbekezds"/>
        <w:ind w:left="0" w:right="1"/>
        <w:jc w:val="both"/>
        <w:rPr>
          <w:lang w:val="en-GB"/>
        </w:rPr>
      </w:pPr>
    </w:p>
    <w:p w14:paraId="532D7571" w14:textId="77777777" w:rsidR="00DB24F2" w:rsidRPr="00071164" w:rsidRDefault="00DB24F2" w:rsidP="000D3B37">
      <w:pPr>
        <w:ind w:right="1"/>
        <w:rPr>
          <w:rFonts w:ascii="Times New Roman" w:hAnsi="Times New Roman"/>
          <w:lang w:val="en-GB"/>
        </w:rPr>
      </w:pPr>
    </w:p>
    <w:p w14:paraId="11FF48EB" w14:textId="19FF06E6" w:rsidR="00DB24F2" w:rsidRPr="00CB6CB2" w:rsidRDefault="00DB24F2" w:rsidP="000D3B37">
      <w:pPr>
        <w:pStyle w:val="Cmsor2"/>
        <w:numPr>
          <w:ilvl w:val="0"/>
          <w:numId w:val="4"/>
        </w:numPr>
        <w:ind w:left="0" w:right="1"/>
        <w:rPr>
          <w:rFonts w:ascii="Times New Roman" w:hAnsi="Times New Roman" w:cs="Times New Roman"/>
          <w:b/>
          <w:color w:val="auto"/>
          <w:lang w:val="en-GB"/>
        </w:rPr>
      </w:pPr>
      <w:r w:rsidRPr="00071164">
        <w:rPr>
          <w:rFonts w:ascii="Times New Roman" w:hAnsi="Times New Roman" w:cs="Times New Roman"/>
          <w:b/>
          <w:color w:val="auto"/>
          <w:lang w:val="en-GB"/>
        </w:rPr>
        <w:t xml:space="preserve">Endorsing the non-retrogression principle as a core obligation flowing from inter-generational equity </w:t>
      </w:r>
    </w:p>
    <w:p w14:paraId="2CE93EEE" w14:textId="77777777" w:rsidR="000F6552" w:rsidRPr="00B95AEB" w:rsidRDefault="000F6552" w:rsidP="000D3B37">
      <w:pPr>
        <w:pStyle w:val="Listaszerbekezds"/>
        <w:ind w:left="0" w:right="1"/>
        <w:rPr>
          <w:lang w:val="en-GB"/>
        </w:rPr>
      </w:pPr>
    </w:p>
    <w:p w14:paraId="6C5B844F" w14:textId="77777777" w:rsidR="00DB24F2" w:rsidRPr="00CB6CB2" w:rsidRDefault="00DB24F2" w:rsidP="000D3B37">
      <w:pPr>
        <w:pStyle w:val="Listaszerbekezds"/>
        <w:ind w:left="0" w:right="1"/>
        <w:contextualSpacing/>
        <w:jc w:val="both"/>
        <w:rPr>
          <w:lang w:val="en-GB"/>
        </w:rPr>
      </w:pPr>
      <w:r w:rsidRPr="00CB6CB2">
        <w:rPr>
          <w:lang w:val="en-GB"/>
        </w:rPr>
        <w:t>As mentioned above, we believe it is important to highlight the obligation that “</w:t>
      </w:r>
      <w:r w:rsidRPr="00CB6CB2">
        <w:rPr>
          <w:b/>
          <w:bCs/>
          <w:i/>
          <w:iCs/>
          <w:lang w:val="en-GB"/>
        </w:rPr>
        <w:t xml:space="preserve">current generations ought to pass on the Earth’s resources to their children in no worse condition than they received them” </w:t>
      </w:r>
      <w:r w:rsidRPr="00CB6CB2">
        <w:rPr>
          <w:lang w:val="en-GB"/>
        </w:rPr>
        <w:t>as a key component of the principle of inter-generational equity. Such an obligation was first proposed by international soft law documents</w:t>
      </w:r>
      <w:r w:rsidRPr="00CB6CB2">
        <w:rPr>
          <w:rStyle w:val="Lbjegyzet-hivatkozs"/>
          <w:lang w:val="en-GB"/>
        </w:rPr>
        <w:footnoteReference w:id="10"/>
      </w:r>
      <w:r w:rsidRPr="00CB6CB2">
        <w:rPr>
          <w:lang w:val="en-GB"/>
        </w:rPr>
        <w:t xml:space="preserve"> and scholarly positions</w:t>
      </w:r>
      <w:r w:rsidRPr="00CB6CB2">
        <w:rPr>
          <w:rStyle w:val="Lbjegyzet-hivatkozs"/>
          <w:lang w:val="en-GB"/>
        </w:rPr>
        <w:footnoteReference w:id="11"/>
      </w:r>
      <w:r w:rsidRPr="00CB6CB2">
        <w:rPr>
          <w:lang w:val="en-GB"/>
        </w:rPr>
        <w:t xml:space="preserve"> as part of the principle. </w:t>
      </w:r>
    </w:p>
    <w:p w14:paraId="0DEFBA6C" w14:textId="77777777" w:rsidR="00DB24F2" w:rsidRPr="00CB6CB2" w:rsidRDefault="00DB24F2" w:rsidP="000D3B37">
      <w:pPr>
        <w:pStyle w:val="Listaszerbekezds"/>
        <w:ind w:left="0" w:right="1"/>
        <w:jc w:val="both"/>
        <w:rPr>
          <w:lang w:val="en-GB"/>
        </w:rPr>
      </w:pPr>
    </w:p>
    <w:p w14:paraId="40CF6E1E" w14:textId="3AD30972" w:rsidR="00DB24F2" w:rsidRPr="00CB6CB2" w:rsidRDefault="00DB24F2" w:rsidP="000D3B37">
      <w:pPr>
        <w:pStyle w:val="Listaszerbekezds"/>
        <w:ind w:left="0" w:right="1"/>
        <w:contextualSpacing/>
        <w:jc w:val="both"/>
        <w:rPr>
          <w:lang w:val="en-GB"/>
        </w:rPr>
      </w:pPr>
      <w:r w:rsidRPr="00CB6CB2">
        <w:rPr>
          <w:lang w:val="en-GB"/>
        </w:rPr>
        <w:t xml:space="preserve">The Hungarian experience with a constitutionally mandated principle of inter-generational equity under Article P) suggests that it is feasible to compel the legislative and executive branches not to allow the deterioration of key natural resources in order to protect the vital </w:t>
      </w:r>
      <w:r w:rsidRPr="00CB6CB2">
        <w:rPr>
          <w:lang w:val="en-GB"/>
        </w:rPr>
        <w:lastRenderedPageBreak/>
        <w:t>needs of posterity. In the Constitutional Court’s interpretation, the principle of intergenerational equity imposes a two-fold obligation on the State. On the one hand, under the so-called non-retrogression principle,</w:t>
      </w:r>
      <w:r w:rsidRPr="00CB6CB2">
        <w:rPr>
          <w:rStyle w:val="Lbjegyzet-hivatkozs"/>
          <w:lang w:val="en-GB"/>
        </w:rPr>
        <w:footnoteReference w:id="12"/>
      </w:r>
      <w:r w:rsidRPr="00CB6CB2">
        <w:rPr>
          <w:lang w:val="en-GB"/>
        </w:rPr>
        <w:t xml:space="preserve"> the State cannot withdraw, or step back from, the statutory protection afforded to the natural and cultural heritage of future generations. On the other hand, the State is also obliged to take positive steps, by passing the necessary statutory safeguards,</w:t>
      </w:r>
      <w:r w:rsidRPr="00071164">
        <w:rPr>
          <w:vertAlign w:val="superscript"/>
          <w:lang w:val="en-GB"/>
        </w:rPr>
        <w:t xml:space="preserve"> </w:t>
      </w:r>
      <w:r w:rsidRPr="00071164">
        <w:rPr>
          <w:vertAlign w:val="superscript"/>
          <w:lang w:val="en-GB"/>
        </w:rPr>
        <w:footnoteReference w:id="13"/>
      </w:r>
      <w:r w:rsidRPr="00CB6CB2">
        <w:rPr>
          <w:lang w:val="en-GB"/>
        </w:rPr>
        <w:t xml:space="preserve"> to pass </w:t>
      </w:r>
      <w:r w:rsidR="000F6552" w:rsidRPr="00CB6CB2">
        <w:rPr>
          <w:lang w:val="en-GB"/>
        </w:rPr>
        <w:t xml:space="preserve">on </w:t>
      </w:r>
      <w:r w:rsidRPr="00CB6CB2">
        <w:rPr>
          <w:lang w:val="en-GB"/>
        </w:rPr>
        <w:t>the Earth</w:t>
      </w:r>
      <w:r w:rsidR="000F6552" w:rsidRPr="00CB6CB2">
        <w:rPr>
          <w:lang w:val="en-GB"/>
        </w:rPr>
        <w:t>’s</w:t>
      </w:r>
      <w:r w:rsidRPr="00CB6CB2">
        <w:rPr>
          <w:lang w:val="en-GB"/>
        </w:rPr>
        <w:t xml:space="preserve"> resources to their descendants in at least the same condition </w:t>
      </w:r>
      <w:r w:rsidR="000F6552" w:rsidRPr="00CB6CB2">
        <w:rPr>
          <w:lang w:val="en-GB"/>
        </w:rPr>
        <w:t>as they</w:t>
      </w:r>
      <w:r w:rsidRPr="00CB6CB2">
        <w:rPr>
          <w:lang w:val="en-GB"/>
        </w:rPr>
        <w:t xml:space="preserve"> w</w:t>
      </w:r>
      <w:r w:rsidR="000F6552" w:rsidRPr="00CB6CB2">
        <w:rPr>
          <w:lang w:val="en-GB"/>
        </w:rPr>
        <w:t>ere</w:t>
      </w:r>
      <w:r w:rsidRPr="00CB6CB2">
        <w:rPr>
          <w:lang w:val="en-GB"/>
        </w:rPr>
        <w:t xml:space="preserve"> received. </w:t>
      </w:r>
    </w:p>
    <w:p w14:paraId="70C0472B" w14:textId="77777777" w:rsidR="00DB24F2" w:rsidRDefault="00DB24F2" w:rsidP="000D3B37">
      <w:pPr>
        <w:pStyle w:val="Listaszerbekezds"/>
        <w:ind w:left="0" w:right="1"/>
        <w:jc w:val="both"/>
        <w:rPr>
          <w:lang w:val="en-GB"/>
        </w:rPr>
      </w:pPr>
    </w:p>
    <w:p w14:paraId="3BE4A3EF" w14:textId="77777777" w:rsidR="000D3B37" w:rsidRPr="00CB6CB2" w:rsidRDefault="000D3B37" w:rsidP="000D3B37">
      <w:pPr>
        <w:pStyle w:val="Listaszerbekezds"/>
        <w:ind w:left="0" w:right="1"/>
        <w:jc w:val="both"/>
        <w:rPr>
          <w:lang w:val="en-GB"/>
        </w:rPr>
      </w:pPr>
    </w:p>
    <w:p w14:paraId="1B772765" w14:textId="36FA6231" w:rsidR="00DB24F2" w:rsidRPr="00071164" w:rsidRDefault="000F6552" w:rsidP="000D3B37">
      <w:pPr>
        <w:pStyle w:val="Cmsor2"/>
        <w:ind w:right="1"/>
        <w:jc w:val="both"/>
        <w:rPr>
          <w:rFonts w:ascii="Times New Roman" w:hAnsi="Times New Roman" w:cs="Times New Roman"/>
          <w:b/>
          <w:color w:val="auto"/>
          <w:lang w:val="en-GB"/>
        </w:rPr>
      </w:pPr>
      <w:r w:rsidRPr="00071164">
        <w:rPr>
          <w:rFonts w:ascii="Times New Roman" w:hAnsi="Times New Roman" w:cs="Times New Roman"/>
          <w:b/>
          <w:color w:val="auto"/>
          <w:lang w:val="en-GB"/>
        </w:rPr>
        <w:t xml:space="preserve">IV. </w:t>
      </w:r>
      <w:r w:rsidR="00DB24F2" w:rsidRPr="00071164">
        <w:rPr>
          <w:rFonts w:ascii="Times New Roman" w:hAnsi="Times New Roman" w:cs="Times New Roman"/>
          <w:b/>
          <w:color w:val="auto"/>
          <w:lang w:val="en-GB"/>
        </w:rPr>
        <w:t xml:space="preserve">On the need </w:t>
      </w:r>
      <w:r w:rsidRPr="00CB6CB2">
        <w:rPr>
          <w:rFonts w:ascii="Times New Roman" w:hAnsi="Times New Roman" w:cs="Times New Roman"/>
          <w:b/>
          <w:color w:val="auto"/>
          <w:lang w:val="en-GB"/>
        </w:rPr>
        <w:t>for</w:t>
      </w:r>
      <w:r w:rsidR="00DB24F2" w:rsidRPr="00071164">
        <w:rPr>
          <w:rFonts w:ascii="Times New Roman" w:hAnsi="Times New Roman" w:cs="Times New Roman"/>
          <w:b/>
          <w:color w:val="auto"/>
          <w:lang w:val="en-GB"/>
        </w:rPr>
        <w:t xml:space="preserve"> a strong interpretation of the precautionary principle</w:t>
      </w:r>
    </w:p>
    <w:p w14:paraId="452F2163" w14:textId="77777777" w:rsidR="00DB24F2" w:rsidRPr="00071164" w:rsidRDefault="00DB24F2" w:rsidP="000D3B37">
      <w:pPr>
        <w:ind w:right="1"/>
        <w:rPr>
          <w:rFonts w:ascii="Times New Roman" w:hAnsi="Times New Roman"/>
          <w:lang w:val="en-GB"/>
        </w:rPr>
      </w:pPr>
    </w:p>
    <w:p w14:paraId="3C20A8AF" w14:textId="77777777" w:rsidR="00DB24F2" w:rsidRPr="00CB6CB2" w:rsidRDefault="00DB24F2" w:rsidP="000D3B37">
      <w:pPr>
        <w:pStyle w:val="Listaszerbekezds"/>
        <w:ind w:left="0" w:right="1"/>
        <w:contextualSpacing/>
        <w:jc w:val="both"/>
        <w:rPr>
          <w:lang w:val="en-GB"/>
        </w:rPr>
      </w:pPr>
      <w:r w:rsidRPr="00CB6CB2">
        <w:rPr>
          <w:lang w:val="en-GB"/>
        </w:rPr>
        <w:t xml:space="preserve">We welcome that the precautionary principle is referenced as a key concept in the GC. However, the text should also make clear the normative content of the principle, as it is still subject to entrenched debates. In some jurisdictions, it is called as a mere “approach”, and even where it is treated as a normative principle, its strict implementation is often impeded by the reluctance of authorities to act upon uncertain, statistical evidence on a precautionary basis. </w:t>
      </w:r>
    </w:p>
    <w:p w14:paraId="4BF4139F" w14:textId="77777777" w:rsidR="00DB24F2" w:rsidRPr="00CB6CB2" w:rsidRDefault="00DB24F2" w:rsidP="000D3B37">
      <w:pPr>
        <w:pStyle w:val="Listaszerbekezds"/>
        <w:ind w:left="0" w:right="1"/>
        <w:jc w:val="both"/>
        <w:rPr>
          <w:lang w:val="en-GB"/>
        </w:rPr>
      </w:pPr>
    </w:p>
    <w:p w14:paraId="25E015BD" w14:textId="2A838E00" w:rsidR="00DB24F2" w:rsidRPr="00CB6CB2" w:rsidRDefault="006B7F99" w:rsidP="000D3B37">
      <w:pPr>
        <w:pStyle w:val="Listaszerbekezds"/>
        <w:ind w:left="0" w:right="1"/>
        <w:contextualSpacing/>
        <w:jc w:val="both"/>
        <w:rPr>
          <w:lang w:val="en-GB"/>
        </w:rPr>
      </w:pPr>
      <w:r w:rsidRPr="00CB6CB2">
        <w:rPr>
          <w:lang w:val="en-GB"/>
        </w:rPr>
        <w:t>T</w:t>
      </w:r>
      <w:r w:rsidR="00DB24F2" w:rsidRPr="00CB6CB2">
        <w:rPr>
          <w:lang w:val="en-GB"/>
        </w:rPr>
        <w:t xml:space="preserve">he precautionary principle is an established principle both under </w:t>
      </w:r>
      <w:r w:rsidRPr="00CB6CB2">
        <w:rPr>
          <w:lang w:val="en-GB"/>
        </w:rPr>
        <w:t xml:space="preserve">EU legislation and </w:t>
      </w:r>
      <w:r w:rsidR="00DB24F2" w:rsidRPr="00CB6CB2">
        <w:rPr>
          <w:lang w:val="en-GB"/>
        </w:rPr>
        <w:t xml:space="preserve">domestic environmental law. Nevertheless, during its more than a decade-long history, the </w:t>
      </w:r>
      <w:r w:rsidRPr="00CB6CB2">
        <w:rPr>
          <w:lang w:val="en-GB"/>
        </w:rPr>
        <w:t xml:space="preserve">HNHRI </w:t>
      </w:r>
      <w:r w:rsidR="00DB24F2" w:rsidRPr="00CB6CB2">
        <w:rPr>
          <w:lang w:val="en-GB"/>
        </w:rPr>
        <w:t xml:space="preserve">has </w:t>
      </w:r>
      <w:r w:rsidRPr="00CB6CB2">
        <w:rPr>
          <w:lang w:val="en-GB"/>
        </w:rPr>
        <w:t>witnessed</w:t>
      </w:r>
      <w:r w:rsidR="00DB24F2" w:rsidRPr="00CB6CB2">
        <w:rPr>
          <w:lang w:val="en-GB"/>
        </w:rPr>
        <w:t xml:space="preserve"> </w:t>
      </w:r>
      <w:r w:rsidR="00A92CCD">
        <w:rPr>
          <w:lang w:val="en-GB"/>
        </w:rPr>
        <w:t>certain</w:t>
      </w:r>
      <w:r w:rsidR="00A92CCD" w:rsidRPr="00CB6CB2">
        <w:rPr>
          <w:lang w:val="en-GB"/>
        </w:rPr>
        <w:t xml:space="preserve"> </w:t>
      </w:r>
      <w:r w:rsidR="00DB24F2" w:rsidRPr="00CB6CB2">
        <w:rPr>
          <w:lang w:val="en-GB"/>
        </w:rPr>
        <w:t xml:space="preserve">legislative initiatives, which went against the precautionary principle by tolerating or even generating environmental risks for key natural resources, such as drinking water reservoirs, or biodiversity. The </w:t>
      </w:r>
      <w:r w:rsidRPr="00CB6CB2">
        <w:rPr>
          <w:lang w:val="en-GB"/>
        </w:rPr>
        <w:t>HNHRI, through the FGO,</w:t>
      </w:r>
      <w:r w:rsidR="00DB24F2" w:rsidRPr="00CB6CB2">
        <w:rPr>
          <w:lang w:val="en-GB"/>
        </w:rPr>
        <w:t xml:space="preserve"> regularly spoke up against such a narrow reading of the principle. In 2017, the Parliament adopted a legislative amendment abolish</w:t>
      </w:r>
      <w:r w:rsidRPr="00CB6CB2">
        <w:rPr>
          <w:lang w:val="en-GB"/>
        </w:rPr>
        <w:t>ing</w:t>
      </w:r>
      <w:r w:rsidR="00DB24F2" w:rsidRPr="00CB6CB2">
        <w:rPr>
          <w:lang w:val="en-GB"/>
        </w:rPr>
        <w:t xml:space="preserve"> all permitting requirements for drilling new wells for household water withdrawal purposes</w:t>
      </w:r>
      <w:r w:rsidR="0063771B">
        <w:rPr>
          <w:lang w:val="en-GB"/>
        </w:rPr>
        <w:t>, thereby endangering the quality and quantity of groundwater resources</w:t>
      </w:r>
      <w:r w:rsidR="00DB24F2" w:rsidRPr="00CB6CB2">
        <w:rPr>
          <w:lang w:val="en-GB"/>
        </w:rPr>
        <w:t xml:space="preserve">. The act was challenged before the Constitutional Court </w:t>
      </w:r>
      <w:r w:rsidRPr="00CB6CB2">
        <w:rPr>
          <w:lang w:val="en-GB"/>
        </w:rPr>
        <w:t xml:space="preserve">by the Head of State </w:t>
      </w:r>
      <w:r w:rsidR="00DB24F2" w:rsidRPr="00CB6CB2">
        <w:rPr>
          <w:lang w:val="en-GB"/>
        </w:rPr>
        <w:t xml:space="preserve">and the </w:t>
      </w:r>
      <w:r w:rsidRPr="00CB6CB2">
        <w:rPr>
          <w:lang w:val="en-GB"/>
        </w:rPr>
        <w:t>FGO</w:t>
      </w:r>
      <w:r w:rsidR="00DB24F2" w:rsidRPr="00CB6CB2">
        <w:rPr>
          <w:lang w:val="en-GB"/>
        </w:rPr>
        <w:t xml:space="preserve"> successfully intervened in the proceedings through </w:t>
      </w:r>
      <w:r w:rsidRPr="00CB6CB2">
        <w:rPr>
          <w:lang w:val="en-GB"/>
        </w:rPr>
        <w:t>an amicus brief</w:t>
      </w:r>
      <w:r w:rsidR="00DB24F2" w:rsidRPr="00CB6CB2">
        <w:rPr>
          <w:lang w:val="en-GB"/>
        </w:rPr>
        <w:t>, argu</w:t>
      </w:r>
      <w:r w:rsidRPr="00CB6CB2">
        <w:rPr>
          <w:lang w:val="en-GB"/>
        </w:rPr>
        <w:t>ing</w:t>
      </w:r>
      <w:r w:rsidR="00DB24F2" w:rsidRPr="00CB6CB2">
        <w:rPr>
          <w:lang w:val="en-GB"/>
        </w:rPr>
        <w:t xml:space="preserve"> that the amendment r</w:t>
      </w:r>
      <w:r w:rsidRPr="00CB6CB2">
        <w:rPr>
          <w:lang w:val="en-GB"/>
        </w:rPr>
        <w:t>a</w:t>
      </w:r>
      <w:r w:rsidR="00DB24F2" w:rsidRPr="00CB6CB2">
        <w:rPr>
          <w:lang w:val="en-GB"/>
        </w:rPr>
        <w:t xml:space="preserve">n against the precautionary principle as the legislature neglected several scientific reports substantiating the risk that wells drilled without public agencies’ oversight are likely to pollute the finite groundwater reservoirs and thereby harm the interests of future generations. </w:t>
      </w:r>
    </w:p>
    <w:p w14:paraId="20AEBA79" w14:textId="77777777" w:rsidR="00DB24F2" w:rsidRPr="00CB6CB2" w:rsidRDefault="00DB24F2" w:rsidP="000D3B37">
      <w:pPr>
        <w:pStyle w:val="Listaszerbekezds"/>
        <w:ind w:left="0" w:right="1"/>
        <w:rPr>
          <w:lang w:val="en-GB"/>
        </w:rPr>
      </w:pPr>
    </w:p>
    <w:p w14:paraId="6A347105" w14:textId="77777777" w:rsidR="00DB24F2" w:rsidRPr="00CB6CB2" w:rsidRDefault="00DB24F2" w:rsidP="000D3B37">
      <w:pPr>
        <w:pStyle w:val="Listaszerbekezds"/>
        <w:ind w:left="0" w:right="1"/>
        <w:contextualSpacing/>
        <w:jc w:val="both"/>
        <w:rPr>
          <w:lang w:val="en-GB"/>
        </w:rPr>
      </w:pPr>
      <w:r w:rsidRPr="00CB6CB2">
        <w:rPr>
          <w:lang w:val="en-GB"/>
        </w:rPr>
        <w:t>For all these reasons, we believe it is instrumental to preclude the narrow and weak interpretation of the principle and to ensure that the text of the GC clearly and unambiguously compels States to take protective action on the basis of uncertain, inconclusive scientific evidence suggesting grave risks concerning the long-term viability of key natural resources, assets, and ecosystems. For this reason, we think the GC should make the implications of the precautionary principle even more explicit, by adding the following sentence to the end of paragraph 76:</w:t>
      </w:r>
    </w:p>
    <w:p w14:paraId="5BB3FB14" w14:textId="77777777" w:rsidR="000D3B37" w:rsidRDefault="000D3B37" w:rsidP="000D3B37">
      <w:pPr>
        <w:pStyle w:val="SingleTxtG"/>
        <w:tabs>
          <w:tab w:val="clear" w:pos="1701"/>
          <w:tab w:val="clear" w:pos="2268"/>
          <w:tab w:val="clear" w:pos="2835"/>
        </w:tabs>
        <w:suppressAutoHyphens w:val="0"/>
        <w:kinsoku/>
        <w:overflowPunct/>
        <w:autoSpaceDE/>
        <w:autoSpaceDN/>
        <w:adjustRightInd/>
        <w:snapToGrid/>
        <w:ind w:left="0" w:right="1"/>
        <w:rPr>
          <w:b/>
          <w:i/>
          <w:iCs/>
          <w:sz w:val="24"/>
          <w:szCs w:val="24"/>
        </w:rPr>
      </w:pPr>
    </w:p>
    <w:p w14:paraId="69477480" w14:textId="77EFA0A2" w:rsidR="000D3B37" w:rsidRPr="000D3B37" w:rsidRDefault="000D3B37" w:rsidP="000D3B37">
      <w:pPr>
        <w:pStyle w:val="SingleTxtG"/>
        <w:tabs>
          <w:tab w:val="clear" w:pos="1701"/>
          <w:tab w:val="clear" w:pos="2268"/>
          <w:tab w:val="clear" w:pos="2835"/>
        </w:tabs>
        <w:suppressAutoHyphens w:val="0"/>
        <w:kinsoku/>
        <w:overflowPunct/>
        <w:autoSpaceDE/>
        <w:autoSpaceDN/>
        <w:adjustRightInd/>
        <w:snapToGrid/>
        <w:ind w:left="0" w:right="1"/>
        <w:rPr>
          <w:b/>
          <w:i/>
          <w:iCs/>
          <w:sz w:val="24"/>
          <w:szCs w:val="24"/>
        </w:rPr>
      </w:pPr>
      <w:r w:rsidRPr="000D3B37">
        <w:rPr>
          <w:b/>
          <w:i/>
          <w:iCs/>
          <w:sz w:val="24"/>
          <w:szCs w:val="24"/>
        </w:rPr>
        <w:t>The serious risk of such harm should be deemed sufficient basis for States to pass protective measures in harmony with the precautionary principle.</w:t>
      </w:r>
    </w:p>
    <w:p w14:paraId="74A712CB" w14:textId="220A1DC3" w:rsidR="00DB24F2" w:rsidRPr="00071164" w:rsidRDefault="00DB24F2" w:rsidP="000D3B37">
      <w:pPr>
        <w:pStyle w:val="SingleTxtG"/>
        <w:tabs>
          <w:tab w:val="clear" w:pos="1701"/>
          <w:tab w:val="clear" w:pos="2268"/>
          <w:tab w:val="clear" w:pos="2835"/>
        </w:tabs>
        <w:suppressAutoHyphens w:val="0"/>
        <w:kinsoku/>
        <w:overflowPunct/>
        <w:autoSpaceDE/>
        <w:autoSpaceDN/>
        <w:adjustRightInd/>
        <w:snapToGrid/>
        <w:ind w:left="0" w:right="1"/>
      </w:pPr>
    </w:p>
    <w:p w14:paraId="4888F86C" w14:textId="77777777" w:rsidR="00DB24F2" w:rsidRDefault="00DB24F2" w:rsidP="000D3B37">
      <w:pPr>
        <w:pStyle w:val="Listaszerbekezds"/>
        <w:ind w:left="0" w:right="1"/>
        <w:rPr>
          <w:lang w:val="en-GB"/>
        </w:rPr>
      </w:pPr>
    </w:p>
    <w:p w14:paraId="4D71EBC7" w14:textId="77777777" w:rsidR="000D3B37" w:rsidRDefault="000D3B37" w:rsidP="000D3B37">
      <w:pPr>
        <w:pStyle w:val="Listaszerbekezds"/>
        <w:ind w:left="0" w:right="1"/>
        <w:rPr>
          <w:lang w:val="en-GB"/>
        </w:rPr>
      </w:pPr>
    </w:p>
    <w:p w14:paraId="266F16F9" w14:textId="77777777" w:rsidR="000D3B37" w:rsidRPr="00CB6CB2" w:rsidRDefault="000D3B37" w:rsidP="000D3B37">
      <w:pPr>
        <w:pStyle w:val="Listaszerbekezds"/>
        <w:ind w:left="0" w:right="1"/>
        <w:rPr>
          <w:lang w:val="en-GB"/>
        </w:rPr>
      </w:pPr>
    </w:p>
    <w:p w14:paraId="49AF18AE" w14:textId="5BF8AA4A" w:rsidR="00A733D6" w:rsidRDefault="00C56C0A" w:rsidP="000D3B37">
      <w:pPr>
        <w:overflowPunct/>
        <w:autoSpaceDE/>
        <w:autoSpaceDN/>
        <w:adjustRightInd/>
        <w:spacing w:line="360" w:lineRule="auto"/>
        <w:ind w:right="1" w:firstLine="709"/>
        <w:jc w:val="both"/>
        <w:textAlignment w:val="auto"/>
        <w:rPr>
          <w:rFonts w:ascii="Times New Roman" w:eastAsia="Calibri" w:hAnsi="Times New Roman"/>
          <w:b/>
          <w:szCs w:val="24"/>
          <w:lang w:val="en-GB" w:eastAsia="en-US"/>
        </w:rPr>
      </w:pPr>
      <w:r w:rsidRPr="00071164">
        <w:rPr>
          <w:rFonts w:ascii="Times New Roman" w:eastAsia="Calibri" w:hAnsi="Times New Roman"/>
          <w:b/>
          <w:szCs w:val="24"/>
          <w:lang w:val="en-GB" w:eastAsia="en-US"/>
        </w:rPr>
        <w:lastRenderedPageBreak/>
        <w:t>Conclusion</w:t>
      </w:r>
    </w:p>
    <w:p w14:paraId="67D9C2CE" w14:textId="77777777" w:rsidR="001E639E" w:rsidRPr="00071164" w:rsidRDefault="001E639E" w:rsidP="000D3B37">
      <w:pPr>
        <w:overflowPunct/>
        <w:autoSpaceDE/>
        <w:autoSpaceDN/>
        <w:adjustRightInd/>
        <w:spacing w:line="360" w:lineRule="auto"/>
        <w:ind w:right="1" w:firstLine="709"/>
        <w:jc w:val="both"/>
        <w:textAlignment w:val="auto"/>
        <w:rPr>
          <w:rFonts w:ascii="Times New Roman" w:eastAsia="Calibri" w:hAnsi="Times New Roman"/>
          <w:b/>
          <w:szCs w:val="24"/>
          <w:lang w:val="en-GB" w:eastAsia="en-US"/>
        </w:rPr>
      </w:pPr>
    </w:p>
    <w:p w14:paraId="19FAA098" w14:textId="07B098CD" w:rsidR="00071164" w:rsidRDefault="0063771B" w:rsidP="000D3B37">
      <w:pPr>
        <w:pStyle w:val="Listaszerbekezds"/>
        <w:ind w:left="0" w:right="1"/>
        <w:contextualSpacing/>
        <w:jc w:val="both"/>
        <w:rPr>
          <w:lang w:val="en-GB"/>
        </w:rPr>
      </w:pPr>
      <w:r>
        <w:rPr>
          <w:lang w:val="en-GB"/>
        </w:rPr>
        <w:t xml:space="preserve">It is in the best interest </w:t>
      </w:r>
      <w:r w:rsidRPr="0025038F">
        <w:rPr>
          <w:lang w:val="en-GB"/>
        </w:rPr>
        <w:t xml:space="preserve">of both current children and of future generations to </w:t>
      </w:r>
      <w:r w:rsidR="00CB7831">
        <w:rPr>
          <w:lang w:val="en-GB"/>
        </w:rPr>
        <w:t xml:space="preserve">live in </w:t>
      </w:r>
      <w:r w:rsidRPr="0025038F">
        <w:rPr>
          <w:lang w:val="en-GB"/>
        </w:rPr>
        <w:t xml:space="preserve">a society that is able to place </w:t>
      </w:r>
      <w:r w:rsidR="00B44C16">
        <w:rPr>
          <w:lang w:val="en-GB"/>
        </w:rPr>
        <w:t>effective constraints</w:t>
      </w:r>
      <w:r w:rsidRPr="0025038F">
        <w:rPr>
          <w:lang w:val="en-GB"/>
        </w:rPr>
        <w:t xml:space="preserve"> on </w:t>
      </w:r>
      <w:r w:rsidR="00B44C16">
        <w:rPr>
          <w:lang w:val="en-GB"/>
        </w:rPr>
        <w:t xml:space="preserve">the ability of </w:t>
      </w:r>
      <w:r>
        <w:rPr>
          <w:lang w:val="en-GB"/>
        </w:rPr>
        <w:t>current generation,</w:t>
      </w:r>
      <w:r w:rsidR="00B44C16">
        <w:rPr>
          <w:lang w:val="en-GB"/>
        </w:rPr>
        <w:t xml:space="preserve"> including</w:t>
      </w:r>
      <w:r>
        <w:rPr>
          <w:lang w:val="en-GB"/>
        </w:rPr>
        <w:t xml:space="preserve"> </w:t>
      </w:r>
      <w:r w:rsidRPr="0025038F">
        <w:rPr>
          <w:lang w:val="en-GB"/>
        </w:rPr>
        <w:t>economic actors</w:t>
      </w:r>
      <w:r>
        <w:rPr>
          <w:lang w:val="en-GB"/>
        </w:rPr>
        <w:t xml:space="preserve"> and </w:t>
      </w:r>
      <w:r w:rsidR="00B44C16">
        <w:rPr>
          <w:lang w:val="en-GB"/>
        </w:rPr>
        <w:t xml:space="preserve">governmental </w:t>
      </w:r>
      <w:r>
        <w:rPr>
          <w:lang w:val="en-GB"/>
        </w:rPr>
        <w:t>decision-makers</w:t>
      </w:r>
      <w:r w:rsidR="00B44C16">
        <w:rPr>
          <w:lang w:val="en-GB"/>
        </w:rPr>
        <w:t>,</w:t>
      </w:r>
      <w:r>
        <w:rPr>
          <w:lang w:val="en-GB"/>
        </w:rPr>
        <w:t xml:space="preserve"> </w:t>
      </w:r>
      <w:r w:rsidR="00B44C16">
        <w:rPr>
          <w:lang w:val="en-GB"/>
        </w:rPr>
        <w:t xml:space="preserve">to </w:t>
      </w:r>
      <w:r w:rsidRPr="0025038F">
        <w:rPr>
          <w:lang w:val="en-GB"/>
        </w:rPr>
        <w:t xml:space="preserve">exploit natural resources and </w:t>
      </w:r>
      <w:r w:rsidR="00B44C16">
        <w:rPr>
          <w:lang w:val="en-GB"/>
        </w:rPr>
        <w:t>generate excessive</w:t>
      </w:r>
      <w:r w:rsidR="00CB7831">
        <w:rPr>
          <w:lang w:val="en-GB"/>
        </w:rPr>
        <w:t xml:space="preserve"> </w:t>
      </w:r>
      <w:r w:rsidR="00B44C16">
        <w:rPr>
          <w:lang w:val="en-GB"/>
        </w:rPr>
        <w:t xml:space="preserve">GHG </w:t>
      </w:r>
      <w:r w:rsidR="00342F4C">
        <w:rPr>
          <w:lang w:val="en-GB"/>
        </w:rPr>
        <w:t xml:space="preserve">emissions </w:t>
      </w:r>
      <w:r w:rsidR="00B44C16">
        <w:rPr>
          <w:lang w:val="en-GB"/>
        </w:rPr>
        <w:t>that drive dangerous levels of</w:t>
      </w:r>
      <w:r w:rsidR="00342F4C">
        <w:rPr>
          <w:lang w:val="en-GB"/>
        </w:rPr>
        <w:t xml:space="preserve"> climate change</w:t>
      </w:r>
      <w:r w:rsidRPr="0025038F">
        <w:rPr>
          <w:lang w:val="en-GB"/>
        </w:rPr>
        <w:t>.</w:t>
      </w:r>
      <w:r>
        <w:rPr>
          <w:lang w:val="en-GB"/>
        </w:rPr>
        <w:t xml:space="preserve"> </w:t>
      </w:r>
      <w:r w:rsidR="00342F4C">
        <w:rPr>
          <w:lang w:val="en-GB"/>
        </w:rPr>
        <w:t>Having experience r</w:t>
      </w:r>
      <w:r>
        <w:rPr>
          <w:lang w:val="en-GB"/>
        </w:rPr>
        <w:t>epresenting the interest</w:t>
      </w:r>
      <w:r w:rsidR="00342F4C">
        <w:rPr>
          <w:lang w:val="en-GB"/>
        </w:rPr>
        <w:t>s</w:t>
      </w:r>
      <w:r>
        <w:rPr>
          <w:lang w:val="en-GB"/>
        </w:rPr>
        <w:t xml:space="preserve"> </w:t>
      </w:r>
      <w:r w:rsidR="00342F4C">
        <w:rPr>
          <w:lang w:val="en-GB"/>
        </w:rPr>
        <w:t xml:space="preserve">of </w:t>
      </w:r>
      <w:r>
        <w:rPr>
          <w:lang w:val="en-GB"/>
        </w:rPr>
        <w:t xml:space="preserve">both </w:t>
      </w:r>
      <w:r w:rsidR="00B44C16">
        <w:rPr>
          <w:lang w:val="en-GB"/>
        </w:rPr>
        <w:t xml:space="preserve">vulnerable </w:t>
      </w:r>
      <w:r>
        <w:rPr>
          <w:lang w:val="en-GB"/>
        </w:rPr>
        <w:t xml:space="preserve">groups, we believe that </w:t>
      </w:r>
      <w:r w:rsidR="00342F4C">
        <w:rPr>
          <w:lang w:val="en-GB"/>
        </w:rPr>
        <w:t xml:space="preserve">strengthening the current wording of the GC with more emphasis on intergenerational equity, non-retrogression and precautionary principles can offer further </w:t>
      </w:r>
      <w:r w:rsidR="00A92CCD">
        <w:rPr>
          <w:lang w:val="en-GB"/>
        </w:rPr>
        <w:t xml:space="preserve">reinforcement for </w:t>
      </w:r>
      <w:r w:rsidR="00342F4C">
        <w:rPr>
          <w:lang w:val="en-GB"/>
        </w:rPr>
        <w:t>the application of a child rights-based approach in the environmental context</w:t>
      </w:r>
      <w:r w:rsidR="00770A66">
        <w:rPr>
          <w:lang w:val="en-GB"/>
        </w:rPr>
        <w:t xml:space="preserve"> </w:t>
      </w:r>
      <w:r w:rsidR="00F179FD">
        <w:rPr>
          <w:lang w:val="en-GB"/>
        </w:rPr>
        <w:t>o</w:t>
      </w:r>
      <w:r w:rsidR="00770A66">
        <w:rPr>
          <w:lang w:val="en-GB"/>
        </w:rPr>
        <w:t>n a longer timescale</w:t>
      </w:r>
      <w:r w:rsidR="00342F4C">
        <w:rPr>
          <w:lang w:val="en-GB"/>
        </w:rPr>
        <w:t xml:space="preserve">.  </w:t>
      </w:r>
    </w:p>
    <w:p w14:paraId="0861F819" w14:textId="77777777" w:rsidR="00071164" w:rsidRDefault="00071164" w:rsidP="000D3B37">
      <w:pPr>
        <w:pStyle w:val="Listaszerbekezds"/>
        <w:ind w:left="0" w:right="1"/>
        <w:contextualSpacing/>
        <w:jc w:val="both"/>
        <w:rPr>
          <w:lang w:val="en-GB"/>
        </w:rPr>
      </w:pPr>
    </w:p>
    <w:p w14:paraId="31779B31" w14:textId="77777777" w:rsidR="00071164" w:rsidRDefault="00071164" w:rsidP="000D3B37">
      <w:pPr>
        <w:pStyle w:val="Listaszerbekezds"/>
        <w:ind w:left="0" w:right="1"/>
        <w:contextualSpacing/>
        <w:jc w:val="both"/>
        <w:rPr>
          <w:lang w:val="en-GB"/>
        </w:rPr>
      </w:pPr>
    </w:p>
    <w:p w14:paraId="1CE2B15D" w14:textId="77777777" w:rsidR="001E639E" w:rsidRDefault="001E639E" w:rsidP="000D3B37">
      <w:pPr>
        <w:pStyle w:val="Listaszerbekezds"/>
        <w:ind w:left="0" w:right="1"/>
        <w:contextualSpacing/>
        <w:jc w:val="both"/>
        <w:rPr>
          <w:lang w:val="en-GB"/>
        </w:rPr>
      </w:pPr>
    </w:p>
    <w:p w14:paraId="3FBAFBCD" w14:textId="77777777" w:rsidR="001E639E" w:rsidRDefault="001E639E" w:rsidP="000D3B37">
      <w:pPr>
        <w:pStyle w:val="Listaszerbekezds"/>
        <w:ind w:left="0" w:right="1"/>
        <w:contextualSpacing/>
        <w:jc w:val="both"/>
        <w:rPr>
          <w:lang w:val="en-GB"/>
        </w:rPr>
      </w:pPr>
    </w:p>
    <w:p w14:paraId="4E2655AB" w14:textId="0981A36E" w:rsidR="00C05790" w:rsidRDefault="00C05790" w:rsidP="000D3B37">
      <w:pPr>
        <w:pStyle w:val="Listaszerbekezds"/>
        <w:ind w:left="0" w:right="1"/>
        <w:contextualSpacing/>
        <w:jc w:val="both"/>
        <w:rPr>
          <w:lang w:val="en-GB" w:eastAsia="en-US"/>
        </w:rPr>
      </w:pPr>
      <w:r w:rsidRPr="00014E55">
        <w:rPr>
          <w:lang w:val="en-GB" w:eastAsia="en-US"/>
        </w:rPr>
        <w:t xml:space="preserve">Budapest, </w:t>
      </w:r>
      <w:r w:rsidR="001E639E">
        <w:rPr>
          <w:lang w:val="en-GB" w:eastAsia="en-US"/>
        </w:rPr>
        <w:t>14 February, 2023.</w:t>
      </w:r>
    </w:p>
    <w:p w14:paraId="6559A2CC" w14:textId="77777777" w:rsidR="00200942" w:rsidRPr="00014E55" w:rsidRDefault="00200942" w:rsidP="000D3B37">
      <w:pPr>
        <w:pStyle w:val="Listaszerbekezds"/>
        <w:ind w:left="0" w:right="1"/>
        <w:contextualSpacing/>
        <w:jc w:val="both"/>
        <w:rPr>
          <w:lang w:val="en-GB"/>
        </w:rPr>
      </w:pPr>
      <w:bookmarkStart w:id="0" w:name="_GoBack"/>
      <w:bookmarkEnd w:id="0"/>
    </w:p>
    <w:p w14:paraId="692C4DB4" w14:textId="77777777" w:rsidR="00A733D6" w:rsidRPr="00071164" w:rsidRDefault="00A733D6" w:rsidP="000D3B37">
      <w:pPr>
        <w:overflowPunct/>
        <w:autoSpaceDE/>
        <w:autoSpaceDN/>
        <w:adjustRightInd/>
        <w:spacing w:line="360" w:lineRule="auto"/>
        <w:ind w:right="1" w:firstLine="709"/>
        <w:jc w:val="both"/>
        <w:textAlignment w:val="auto"/>
        <w:rPr>
          <w:rFonts w:ascii="Times New Roman" w:eastAsia="Calibri" w:hAnsi="Times New Roman"/>
          <w:szCs w:val="24"/>
          <w:lang w:val="en-GB" w:eastAsia="en-US"/>
        </w:rPr>
      </w:pPr>
    </w:p>
    <w:p w14:paraId="24713CAC" w14:textId="77777777" w:rsidR="008D7B38" w:rsidRDefault="008D7B38" w:rsidP="000D3B37">
      <w:pPr>
        <w:tabs>
          <w:tab w:val="center" w:pos="7088"/>
        </w:tabs>
        <w:overflowPunct/>
        <w:autoSpaceDE/>
        <w:autoSpaceDN/>
        <w:adjustRightInd/>
        <w:ind w:right="1"/>
        <w:jc w:val="center"/>
        <w:textAlignment w:val="auto"/>
        <w:rPr>
          <w:rFonts w:ascii="Times New Roman" w:eastAsia="Calibri" w:hAnsi="Times New Roman"/>
          <w:szCs w:val="24"/>
          <w:lang w:val="en-US" w:eastAsia="en-US"/>
        </w:rPr>
      </w:pPr>
      <w:r w:rsidRPr="003000F0">
        <w:rPr>
          <w:rFonts w:ascii="Times New Roman" w:eastAsia="Calibri" w:hAnsi="Times New Roman"/>
          <w:szCs w:val="24"/>
          <w:lang w:val="en-US" w:eastAsia="en-US"/>
        </w:rPr>
        <w:t>Yours faithfully,</w:t>
      </w:r>
    </w:p>
    <w:p w14:paraId="035AB819" w14:textId="77777777" w:rsidR="001E639E" w:rsidRPr="003000F0" w:rsidRDefault="001E639E" w:rsidP="000D3B37">
      <w:pPr>
        <w:tabs>
          <w:tab w:val="center" w:pos="7088"/>
        </w:tabs>
        <w:overflowPunct/>
        <w:autoSpaceDE/>
        <w:autoSpaceDN/>
        <w:adjustRightInd/>
        <w:ind w:right="1"/>
        <w:jc w:val="center"/>
        <w:textAlignment w:val="auto"/>
        <w:rPr>
          <w:rFonts w:ascii="Times New Roman" w:eastAsia="Calibri" w:hAnsi="Times New Roman"/>
          <w:szCs w:val="24"/>
          <w:lang w:val="en-US" w:eastAsia="en-US"/>
        </w:rPr>
      </w:pPr>
    </w:p>
    <w:p w14:paraId="63ADF3F1" w14:textId="6E9443F8" w:rsidR="00A733D6" w:rsidRPr="00071164" w:rsidRDefault="00071164" w:rsidP="000D3B37">
      <w:pPr>
        <w:overflowPunct/>
        <w:autoSpaceDE/>
        <w:autoSpaceDN/>
        <w:adjustRightInd/>
        <w:spacing w:line="360" w:lineRule="auto"/>
        <w:ind w:right="1" w:firstLine="709"/>
        <w:jc w:val="both"/>
        <w:textAlignment w:val="auto"/>
        <w:rPr>
          <w:rFonts w:ascii="Times New Roman" w:eastAsia="Calibri" w:hAnsi="Times New Roman"/>
          <w:szCs w:val="24"/>
          <w:lang w:val="en-GB" w:eastAsia="en-US"/>
        </w:rPr>
      </w:pPr>
      <w:r w:rsidRPr="00B95AEB">
        <w:rPr>
          <w:rFonts w:ascii="Times New Roman" w:eastAsia="Calibri" w:hAnsi="Times New Roman"/>
          <w:noProof/>
          <w:szCs w:val="24"/>
        </w:rPr>
        <mc:AlternateContent>
          <mc:Choice Requires="wps">
            <w:drawing>
              <wp:anchor distT="0" distB="0" distL="114300" distR="114300" simplePos="0" relativeHeight="251662336" behindDoc="0" locked="0" layoutInCell="1" allowOverlap="1" wp14:anchorId="64B540D2" wp14:editId="53990521">
                <wp:simplePos x="0" y="0"/>
                <wp:positionH relativeFrom="margin">
                  <wp:align>right</wp:align>
                </wp:positionH>
                <wp:positionV relativeFrom="paragraph">
                  <wp:posOffset>48127</wp:posOffset>
                </wp:positionV>
                <wp:extent cx="5859780" cy="853440"/>
                <wp:effectExtent l="0" t="0" r="0" b="3810"/>
                <wp:wrapNone/>
                <wp:docPr id="3" name="Szövegdoboz 3"/>
                <wp:cNvGraphicFramePr/>
                <a:graphic xmlns:a="http://schemas.openxmlformats.org/drawingml/2006/main">
                  <a:graphicData uri="http://schemas.microsoft.com/office/word/2010/wordprocessingShape">
                    <wps:wsp>
                      <wps:cNvSpPr txBox="1"/>
                      <wps:spPr>
                        <a:xfrm>
                          <a:off x="0" y="0"/>
                          <a:ext cx="5859780" cy="853440"/>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06DF0306" w14:textId="77777777" w:rsidR="00342F4C" w:rsidRPr="003000F0" w:rsidRDefault="00342F4C" w:rsidP="00453B04">
                            <w:pPr>
                              <w:tabs>
                                <w:tab w:val="center" w:pos="7088"/>
                              </w:tabs>
                              <w:overflowPunct/>
                              <w:autoSpaceDE/>
                              <w:autoSpaceDN/>
                              <w:adjustRightInd/>
                              <w:textAlignment w:val="auto"/>
                              <w:rPr>
                                <w:rFonts w:ascii="Times New Roman" w:eastAsia="Calibri" w:hAnsi="Times New Roman"/>
                                <w:szCs w:val="24"/>
                                <w:lang w:val="en-US" w:eastAsia="en-US"/>
                              </w:rPr>
                            </w:pPr>
                          </w:p>
                          <w:p w14:paraId="3483BB99" w14:textId="77777777" w:rsidR="00342F4C" w:rsidRPr="003000F0" w:rsidRDefault="00342F4C" w:rsidP="00453B04">
                            <w:pPr>
                              <w:tabs>
                                <w:tab w:val="center" w:pos="7088"/>
                              </w:tabs>
                              <w:overflowPunct/>
                              <w:autoSpaceDE/>
                              <w:autoSpaceDN/>
                              <w:adjustRightInd/>
                              <w:textAlignment w:val="auto"/>
                              <w:rPr>
                                <w:rFonts w:ascii="Times New Roman" w:eastAsia="Calibri" w:hAnsi="Times New Roman"/>
                                <w:szCs w:val="24"/>
                                <w:lang w:val="en-US" w:eastAsia="en-US"/>
                              </w:rPr>
                            </w:pPr>
                          </w:p>
                          <w:p w14:paraId="3CC09BD2" w14:textId="7506BBA1" w:rsidR="00342F4C" w:rsidRPr="003000F0" w:rsidRDefault="008D7B38" w:rsidP="008D7B38">
                            <w:pPr>
                              <w:tabs>
                                <w:tab w:val="center" w:pos="1701"/>
                                <w:tab w:val="center" w:pos="7088"/>
                              </w:tabs>
                              <w:overflowPunct/>
                              <w:autoSpaceDE/>
                              <w:autoSpaceDN/>
                              <w:adjustRightInd/>
                              <w:ind w:right="-30"/>
                              <w:textAlignment w:val="auto"/>
                              <w:rPr>
                                <w:rFonts w:ascii="Times New Roman" w:eastAsia="Calibri" w:hAnsi="Times New Roman"/>
                                <w:szCs w:val="24"/>
                                <w:lang w:val="en-US" w:eastAsia="en-US"/>
                              </w:rPr>
                            </w:pPr>
                            <w:r>
                              <w:rPr>
                                <w:rFonts w:ascii="Times New Roman" w:eastAsia="Calibri" w:hAnsi="Times New Roman"/>
                                <w:szCs w:val="24"/>
                                <w:lang w:val="en-US" w:eastAsia="en-US"/>
                              </w:rPr>
                              <w:tab/>
                              <w:t>Dr. Gyula Bándi</w:t>
                            </w:r>
                            <w:r>
                              <w:rPr>
                                <w:rFonts w:ascii="Times New Roman" w:eastAsia="Calibri" w:hAnsi="Times New Roman"/>
                                <w:szCs w:val="24"/>
                                <w:lang w:val="en-US" w:eastAsia="en-US"/>
                              </w:rPr>
                              <w:tab/>
                            </w:r>
                            <w:r w:rsidR="00342F4C" w:rsidRPr="003000F0">
                              <w:rPr>
                                <w:rFonts w:ascii="Times New Roman" w:eastAsia="Calibri" w:hAnsi="Times New Roman"/>
                                <w:szCs w:val="24"/>
                                <w:lang w:val="en-US" w:eastAsia="en-US"/>
                              </w:rPr>
                              <w:t xml:space="preserve">Dr. Ákos </w:t>
                            </w:r>
                            <w:r w:rsidR="00342F4C" w:rsidRPr="003000F0">
                              <w:rPr>
                                <w:rFonts w:ascii="Times New Roman" w:eastAsia="Calibri" w:hAnsi="Times New Roman"/>
                                <w:noProof/>
                                <w:szCs w:val="24"/>
                                <w:lang w:val="en-US" w:eastAsia="en-US"/>
                              </w:rPr>
                              <w:t>Kozma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540D2" id="Szövegdoboz 3" o:spid="_x0000_s1027" type="#_x0000_t202" style="position:absolute;left:0;text-align:left;margin-left:410.2pt;margin-top:3.8pt;width:461.4pt;height:67.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" filled="f" stroked="f" strokeweight=".5pt">
                <v:stroke dashstyle="dash"/>
                <v:textbox>
                  <w:txbxContent>
                    <w:p w14:paraId="06DF0306" w14:textId="77777777" w:rsidR="00342F4C" w:rsidRPr="003000F0" w:rsidRDefault="00342F4C" w:rsidP="00453B04">
                      <w:pPr>
                        <w:tabs>
                          <w:tab w:val="center" w:pos="7088"/>
                        </w:tabs>
                        <w:overflowPunct/>
                        <w:autoSpaceDE/>
                        <w:autoSpaceDN/>
                        <w:adjustRightInd/>
                        <w:textAlignment w:val="auto"/>
                        <w:rPr>
                          <w:rFonts w:ascii="Times New Roman" w:eastAsia="Calibri" w:hAnsi="Times New Roman"/>
                          <w:szCs w:val="24"/>
                          <w:lang w:val="en-US" w:eastAsia="en-US"/>
                        </w:rPr>
                      </w:pPr>
                    </w:p>
                    <w:p w14:paraId="3483BB99" w14:textId="77777777" w:rsidR="00342F4C" w:rsidRPr="003000F0" w:rsidRDefault="00342F4C" w:rsidP="00453B04">
                      <w:pPr>
                        <w:tabs>
                          <w:tab w:val="center" w:pos="7088"/>
                        </w:tabs>
                        <w:overflowPunct/>
                        <w:autoSpaceDE/>
                        <w:autoSpaceDN/>
                        <w:adjustRightInd/>
                        <w:textAlignment w:val="auto"/>
                        <w:rPr>
                          <w:rFonts w:ascii="Times New Roman" w:eastAsia="Calibri" w:hAnsi="Times New Roman"/>
                          <w:szCs w:val="24"/>
                          <w:lang w:val="en-US" w:eastAsia="en-US"/>
                        </w:rPr>
                      </w:pPr>
                    </w:p>
                    <w:p w14:paraId="3CC09BD2" w14:textId="7506BBA1" w:rsidR="00342F4C" w:rsidRPr="003000F0" w:rsidRDefault="008D7B38" w:rsidP="008D7B38">
                      <w:pPr>
                        <w:tabs>
                          <w:tab w:val="center" w:pos="1701"/>
                          <w:tab w:val="center" w:pos="7088"/>
                        </w:tabs>
                        <w:overflowPunct/>
                        <w:autoSpaceDE/>
                        <w:autoSpaceDN/>
                        <w:adjustRightInd/>
                        <w:ind w:right="-30"/>
                        <w:textAlignment w:val="auto"/>
                        <w:rPr>
                          <w:rFonts w:ascii="Times New Roman" w:eastAsia="Calibri" w:hAnsi="Times New Roman"/>
                          <w:szCs w:val="24"/>
                          <w:lang w:val="en-US" w:eastAsia="en-US"/>
                        </w:rPr>
                      </w:pPr>
                      <w:r>
                        <w:rPr>
                          <w:rFonts w:ascii="Times New Roman" w:eastAsia="Calibri" w:hAnsi="Times New Roman"/>
                          <w:szCs w:val="24"/>
                          <w:lang w:val="en-US" w:eastAsia="en-US"/>
                        </w:rPr>
                        <w:tab/>
                        <w:t>Dr. Gyula Bándi</w:t>
                      </w:r>
                      <w:r>
                        <w:rPr>
                          <w:rFonts w:ascii="Times New Roman" w:eastAsia="Calibri" w:hAnsi="Times New Roman"/>
                          <w:szCs w:val="24"/>
                          <w:lang w:val="en-US" w:eastAsia="en-US"/>
                        </w:rPr>
                        <w:tab/>
                      </w:r>
                      <w:r w:rsidR="00342F4C" w:rsidRPr="003000F0">
                        <w:rPr>
                          <w:rFonts w:ascii="Times New Roman" w:eastAsia="Calibri" w:hAnsi="Times New Roman"/>
                          <w:szCs w:val="24"/>
                          <w:lang w:val="en-US" w:eastAsia="en-US"/>
                        </w:rPr>
                        <w:t xml:space="preserve">Dr. Ákos </w:t>
                      </w:r>
                      <w:r w:rsidR="00342F4C" w:rsidRPr="003000F0">
                        <w:rPr>
                          <w:rFonts w:ascii="Times New Roman" w:eastAsia="Calibri" w:hAnsi="Times New Roman"/>
                          <w:noProof/>
                          <w:szCs w:val="24"/>
                          <w:lang w:val="en-US" w:eastAsia="en-US"/>
                        </w:rPr>
                        <w:t>Kozma</w:t>
                      </w:r>
                    </w:p>
                  </w:txbxContent>
                </v:textbox>
                <w10:wrap anchorx="margin"/>
              </v:shape>
            </w:pict>
          </mc:Fallback>
        </mc:AlternateContent>
      </w:r>
    </w:p>
    <w:p w14:paraId="5441A96F" w14:textId="64065A42" w:rsidR="00687923" w:rsidRPr="00071164" w:rsidRDefault="00687923" w:rsidP="000D3B37">
      <w:pPr>
        <w:overflowPunct/>
        <w:autoSpaceDE/>
        <w:autoSpaceDN/>
        <w:adjustRightInd/>
        <w:ind w:right="1"/>
        <w:jc w:val="both"/>
        <w:textAlignment w:val="auto"/>
        <w:rPr>
          <w:rFonts w:ascii="Times New Roman" w:eastAsia="Calibri" w:hAnsi="Times New Roman"/>
          <w:szCs w:val="24"/>
          <w:lang w:val="en-GB" w:eastAsia="en-US"/>
        </w:rPr>
      </w:pPr>
    </w:p>
    <w:sectPr w:rsidR="00687923" w:rsidRPr="00071164" w:rsidSect="003000F0">
      <w:footerReference w:type="default" r:id="rId8"/>
      <w:headerReference w:type="first" r:id="rId9"/>
      <w:footerReference w:type="first" r:id="rId10"/>
      <w:pgSz w:w="11907" w:h="16839" w:code="9"/>
      <w:pgMar w:top="1417" w:right="1417" w:bottom="1417" w:left="1417" w:header="170" w:footer="283"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9384" w16cex:dateUtc="2023-02-08T20:32:00Z"/>
  <w16cex:commentExtensible w16cex:durableId="278E9380" w16cex:dateUtc="2023-02-08T20:32:00Z"/>
  <w16cex:commentExtensible w16cex:durableId="278E95AB" w16cex:dateUtc="2023-02-08T20:42:00Z"/>
  <w16cex:commentExtensible w16cex:durableId="278E97C5" w16cex:dateUtc="2023-02-08T20:51:00Z"/>
  <w16cex:commentExtensible w16cex:durableId="278E9981" w16cex:dateUtc="2023-02-08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E9397" w16cid:durableId="278E933C"/>
  <w16cid:commentId w16cid:paraId="59D0D9D3" w16cid:durableId="278E933D"/>
  <w16cid:commentId w16cid:paraId="7D26D796" w16cid:durableId="278E933E"/>
  <w16cid:commentId w16cid:paraId="14DC03FA" w16cid:durableId="278E933F"/>
  <w16cid:commentId w16cid:paraId="2E11E40F" w16cid:durableId="278E9340"/>
  <w16cid:commentId w16cid:paraId="45D9FABD" w16cid:durableId="278E9384"/>
  <w16cid:commentId w16cid:paraId="43B64DAE" w16cid:durableId="278E9380"/>
  <w16cid:commentId w16cid:paraId="064B177B" w16cid:durableId="278E9341"/>
  <w16cid:commentId w16cid:paraId="45957E95" w16cid:durableId="278E95AB"/>
  <w16cid:commentId w16cid:paraId="67856C65" w16cid:durableId="278E9342"/>
  <w16cid:commentId w16cid:paraId="19E35AED" w16cid:durableId="278E9343"/>
  <w16cid:commentId w16cid:paraId="76A84D0A" w16cid:durableId="278E97C5"/>
  <w16cid:commentId w16cid:paraId="5E0336FB" w16cid:durableId="278E9344"/>
  <w16cid:commentId w16cid:paraId="2D0A5243" w16cid:durableId="278E9345"/>
  <w16cid:commentId w16cid:paraId="7137E9AB" w16cid:durableId="278E99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FB5E" w14:textId="77777777" w:rsidR="0047564E" w:rsidRDefault="0047564E">
      <w:r>
        <w:separator/>
      </w:r>
    </w:p>
  </w:endnote>
  <w:endnote w:type="continuationSeparator" w:id="0">
    <w:p w14:paraId="7D582EA0" w14:textId="77777777" w:rsidR="0047564E" w:rsidRDefault="0047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F47C" w14:textId="77777777" w:rsidR="00342F4C" w:rsidRDefault="00342F4C" w:rsidP="00753E2D">
    <w:pPr>
      <w:pStyle w:val="llb"/>
      <w:jc w:val="center"/>
    </w:pPr>
    <w:r>
      <w:fldChar w:fldCharType="begin"/>
    </w:r>
    <w:r>
      <w:instrText>PAGE   \* MERGEFORMAT</w:instrText>
    </w:r>
    <w:r>
      <w:fldChar w:fldCharType="separate"/>
    </w:r>
    <w:r w:rsidR="0020094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9706" w14:textId="77777777" w:rsidR="00342F4C" w:rsidRPr="00873E4E" w:rsidRDefault="00342F4C" w:rsidP="0046428E">
    <w:pPr>
      <w:pBdr>
        <w:top w:val="single" w:sz="4" w:space="1" w:color="auto"/>
        <w:left w:val="single" w:sz="4" w:space="0" w:color="auto"/>
        <w:bottom w:val="single" w:sz="4" w:space="1" w:color="auto"/>
        <w:right w:val="single" w:sz="4" w:space="4" w:color="auto"/>
      </w:pBdr>
      <w:jc w:val="center"/>
      <w:rPr>
        <w:rFonts w:ascii="Garamond" w:hAnsi="Garamond"/>
        <w:b/>
        <w:spacing w:val="-10"/>
        <w:sz w:val="18"/>
        <w:szCs w:val="18"/>
        <w:lang w:val="en-US"/>
      </w:rPr>
    </w:pPr>
    <w:r w:rsidRPr="00873E4E">
      <w:rPr>
        <w:rFonts w:ascii="Garamond" w:hAnsi="Garamond"/>
        <w:b/>
        <w:spacing w:val="-10"/>
        <w:sz w:val="18"/>
        <w:szCs w:val="18"/>
        <w:lang w:val="en-US"/>
      </w:rPr>
      <w:t>H-10</w:t>
    </w:r>
    <w:r>
      <w:rPr>
        <w:rFonts w:ascii="Garamond" w:hAnsi="Garamond"/>
        <w:b/>
        <w:spacing w:val="-10"/>
        <w:sz w:val="18"/>
        <w:szCs w:val="18"/>
        <w:lang w:val="en-US"/>
      </w:rPr>
      <w:t>55</w:t>
    </w:r>
    <w:r w:rsidRPr="00873E4E">
      <w:rPr>
        <w:rFonts w:ascii="Garamond" w:hAnsi="Garamond"/>
        <w:b/>
        <w:spacing w:val="-10"/>
        <w:sz w:val="18"/>
        <w:szCs w:val="18"/>
        <w:lang w:val="en-US"/>
      </w:rPr>
      <w:t xml:space="preserve"> Budapest, </w:t>
    </w:r>
    <w:r>
      <w:rPr>
        <w:rFonts w:ascii="Garamond" w:hAnsi="Garamond"/>
        <w:b/>
        <w:spacing w:val="-10"/>
        <w:sz w:val="18"/>
        <w:szCs w:val="18"/>
        <w:lang w:val="en-US"/>
      </w:rPr>
      <w:t>9-11</w:t>
    </w:r>
    <w:r w:rsidRPr="00873E4E">
      <w:rPr>
        <w:rFonts w:ascii="Garamond" w:hAnsi="Garamond"/>
        <w:b/>
        <w:spacing w:val="-10"/>
        <w:sz w:val="18"/>
        <w:szCs w:val="18"/>
        <w:lang w:val="en-US"/>
      </w:rPr>
      <w:t xml:space="preserve"> </w:t>
    </w:r>
    <w:r>
      <w:rPr>
        <w:rFonts w:ascii="Garamond" w:hAnsi="Garamond"/>
        <w:b/>
        <w:noProof/>
        <w:spacing w:val="-10"/>
        <w:sz w:val="18"/>
        <w:szCs w:val="18"/>
        <w:lang w:val="en-US"/>
      </w:rPr>
      <w:t>Falk Miksa</w:t>
    </w:r>
    <w:r w:rsidRPr="00873E4E">
      <w:rPr>
        <w:rFonts w:ascii="Garamond" w:hAnsi="Garamond"/>
        <w:b/>
        <w:spacing w:val="-10"/>
        <w:sz w:val="18"/>
        <w:szCs w:val="18"/>
        <w:lang w:val="en-US"/>
      </w:rPr>
      <w:t xml:space="preserve"> Street; Postal address: H-1387 Budapest, Pf. 40. Phone: (+36) 1 475-7100; </w:t>
    </w:r>
  </w:p>
  <w:p w14:paraId="7A05AEA6" w14:textId="77777777" w:rsidR="00342F4C" w:rsidRPr="00873E4E" w:rsidRDefault="00342F4C" w:rsidP="0046428E">
    <w:pPr>
      <w:pBdr>
        <w:top w:val="single" w:sz="4" w:space="1" w:color="auto"/>
        <w:left w:val="single" w:sz="4" w:space="0" w:color="auto"/>
        <w:bottom w:val="single" w:sz="4" w:space="1" w:color="auto"/>
        <w:right w:val="single" w:sz="4" w:space="4" w:color="auto"/>
      </w:pBdr>
      <w:jc w:val="center"/>
      <w:rPr>
        <w:rFonts w:ascii="Garamond" w:hAnsi="Garamond"/>
        <w:b/>
        <w:spacing w:val="-10"/>
        <w:sz w:val="18"/>
        <w:szCs w:val="18"/>
        <w:lang w:val="en-US"/>
      </w:rPr>
    </w:pPr>
    <w:r w:rsidRPr="00873E4E">
      <w:rPr>
        <w:rFonts w:ascii="Garamond" w:hAnsi="Garamond"/>
        <w:b/>
        <w:spacing w:val="-10"/>
        <w:sz w:val="18"/>
        <w:szCs w:val="18"/>
        <w:lang w:val="en-US"/>
      </w:rPr>
      <w:t>Fax: (+36) 1 269-1615</w:t>
    </w:r>
    <w:r>
      <w:rPr>
        <w:rFonts w:ascii="Garamond" w:hAnsi="Garamond"/>
        <w:b/>
        <w:spacing w:val="-10"/>
        <w:sz w:val="18"/>
        <w:szCs w:val="18"/>
        <w:lang w:val="en-US"/>
      </w:rPr>
      <w:t xml:space="preserve"> </w:t>
    </w:r>
    <w:r w:rsidRPr="00873E4E">
      <w:rPr>
        <w:rFonts w:ascii="Garamond" w:hAnsi="Garamond"/>
        <w:b/>
        <w:spacing w:val="-10"/>
        <w:sz w:val="18"/>
        <w:szCs w:val="18"/>
        <w:lang w:val="en-US"/>
      </w:rPr>
      <w:t xml:space="preserve">E-mail: </w:t>
    </w:r>
    <w:r>
      <w:rPr>
        <w:rStyle w:val="Hiperhivatkozs"/>
        <w:rFonts w:ascii="Garamond" w:hAnsi="Garamond"/>
        <w:b/>
        <w:spacing w:val="-10"/>
        <w:sz w:val="18"/>
        <w:szCs w:val="18"/>
        <w:lang w:val="en-US"/>
      </w:rPr>
      <w:t>panasz@ajbh.hu</w:t>
    </w:r>
    <w:r w:rsidRPr="00873E4E">
      <w:rPr>
        <w:rFonts w:ascii="Garamond" w:hAnsi="Garamond"/>
        <w:b/>
        <w:spacing w:val="-10"/>
        <w:sz w:val="18"/>
        <w:szCs w:val="18"/>
        <w:lang w:val="en-US"/>
      </w:rPr>
      <w:t xml:space="preserve">; Website: </w:t>
    </w:r>
    <w:hyperlink r:id="rId1" w:history="1">
      <w:r w:rsidRPr="00873E4E">
        <w:rPr>
          <w:rStyle w:val="Hiperhivatkozs"/>
          <w:rFonts w:ascii="Garamond" w:hAnsi="Garamond"/>
          <w:b/>
          <w:spacing w:val="-10"/>
          <w:sz w:val="18"/>
          <w:szCs w:val="18"/>
          <w:lang w:val="en-US"/>
        </w:rPr>
        <w:t>www.ajbh.hu</w:t>
      </w:r>
    </w:hyperlink>
    <w:r w:rsidRPr="00873E4E">
      <w:rPr>
        <w:rFonts w:ascii="Garamond" w:hAnsi="Garamond"/>
        <w:b/>
        <w:spacing w:val="-1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680C" w14:textId="77777777" w:rsidR="0047564E" w:rsidRDefault="0047564E">
      <w:r>
        <w:separator/>
      </w:r>
    </w:p>
  </w:footnote>
  <w:footnote w:type="continuationSeparator" w:id="0">
    <w:p w14:paraId="17E8C01E" w14:textId="77777777" w:rsidR="0047564E" w:rsidRDefault="0047564E">
      <w:r>
        <w:continuationSeparator/>
      </w:r>
    </w:p>
  </w:footnote>
  <w:footnote w:id="1">
    <w:p w14:paraId="26AC9156" w14:textId="58E76615" w:rsidR="00342F4C" w:rsidRPr="00AA6D42" w:rsidRDefault="00342F4C" w:rsidP="007032B7">
      <w:pPr>
        <w:pStyle w:val="Lbjegyzetszveg"/>
        <w:rPr>
          <w:rFonts w:ascii="Times New Roman" w:hAnsi="Times New Roman" w:cs="Times New Roman"/>
        </w:rPr>
      </w:pPr>
      <w:r>
        <w:rPr>
          <w:rStyle w:val="Lbjegyzet-hivatkozs"/>
        </w:rPr>
        <w:footnoteRef/>
      </w:r>
      <w:r>
        <w:t xml:space="preserve"> </w:t>
      </w:r>
      <w:proofErr w:type="spellStart"/>
      <w:r w:rsidRPr="00AA6D42">
        <w:rPr>
          <w:rFonts w:ascii="Times New Roman" w:hAnsi="Times New Roman" w:cs="Times New Roman"/>
        </w:rPr>
        <w:t>Act</w:t>
      </w:r>
      <w:proofErr w:type="spellEnd"/>
      <w:r w:rsidRPr="00AA6D42">
        <w:rPr>
          <w:rFonts w:ascii="Times New Roman" w:hAnsi="Times New Roman" w:cs="Times New Roman"/>
        </w:rPr>
        <w:t xml:space="preserve"> CXI of 2011on </w:t>
      </w:r>
      <w:proofErr w:type="spellStart"/>
      <w:r w:rsidRPr="00AA6D42">
        <w:rPr>
          <w:rFonts w:ascii="Times New Roman" w:hAnsi="Times New Roman" w:cs="Times New Roman"/>
        </w:rPr>
        <w:t>the</w:t>
      </w:r>
      <w:proofErr w:type="spellEnd"/>
      <w:r w:rsidRPr="00AA6D42">
        <w:rPr>
          <w:rFonts w:ascii="Times New Roman" w:hAnsi="Times New Roman" w:cs="Times New Roman"/>
        </w:rPr>
        <w:t xml:space="preserve"> </w:t>
      </w:r>
      <w:proofErr w:type="spellStart"/>
      <w:r w:rsidRPr="00AA6D42">
        <w:rPr>
          <w:rFonts w:ascii="Times New Roman" w:hAnsi="Times New Roman" w:cs="Times New Roman"/>
        </w:rPr>
        <w:t>Commissioner</w:t>
      </w:r>
      <w:proofErr w:type="spellEnd"/>
      <w:r w:rsidRPr="00AA6D42">
        <w:rPr>
          <w:rFonts w:ascii="Times New Roman" w:hAnsi="Times New Roman" w:cs="Times New Roman"/>
        </w:rPr>
        <w:t xml:space="preserve"> </w:t>
      </w:r>
      <w:proofErr w:type="spellStart"/>
      <w:r w:rsidRPr="00AA6D42">
        <w:rPr>
          <w:rFonts w:ascii="Times New Roman" w:hAnsi="Times New Roman" w:cs="Times New Roman"/>
        </w:rPr>
        <w:t>for</w:t>
      </w:r>
      <w:proofErr w:type="spellEnd"/>
      <w:r w:rsidRPr="00AA6D42">
        <w:rPr>
          <w:rFonts w:ascii="Times New Roman" w:hAnsi="Times New Roman" w:cs="Times New Roman"/>
        </w:rPr>
        <w:t xml:space="preserve"> </w:t>
      </w:r>
      <w:proofErr w:type="spellStart"/>
      <w:r w:rsidRPr="00AA6D42">
        <w:rPr>
          <w:rFonts w:ascii="Times New Roman" w:hAnsi="Times New Roman" w:cs="Times New Roman"/>
        </w:rPr>
        <w:t>Fundamental</w:t>
      </w:r>
      <w:proofErr w:type="spellEnd"/>
      <w:r w:rsidRPr="00AA6D42">
        <w:rPr>
          <w:rFonts w:ascii="Times New Roman" w:hAnsi="Times New Roman" w:cs="Times New Roman"/>
        </w:rPr>
        <w:t xml:space="preserve"> </w:t>
      </w:r>
      <w:proofErr w:type="spellStart"/>
      <w:r w:rsidRPr="00AA6D42">
        <w:rPr>
          <w:rFonts w:ascii="Times New Roman" w:hAnsi="Times New Roman" w:cs="Times New Roman"/>
        </w:rPr>
        <w:t>Rights</w:t>
      </w:r>
      <w:proofErr w:type="spellEnd"/>
      <w:r>
        <w:rPr>
          <w:rFonts w:ascii="Times New Roman" w:hAnsi="Times New Roman" w:cs="Times New Roman"/>
        </w:rPr>
        <w:t>, 1§.(2)</w:t>
      </w:r>
    </w:p>
  </w:footnote>
  <w:footnote w:id="2">
    <w:p w14:paraId="3E89DFD4" w14:textId="27D56740" w:rsidR="00342F4C" w:rsidRPr="00071164" w:rsidRDefault="00342F4C">
      <w:pPr>
        <w:pStyle w:val="Lbjegyzetszveg"/>
        <w:rPr>
          <w:rFonts w:ascii="Times New Roman" w:hAnsi="Times New Roman" w:cs="Times New Roman"/>
        </w:rPr>
      </w:pPr>
      <w:r>
        <w:rPr>
          <w:rStyle w:val="Lbjegyzet-hivatkozs"/>
        </w:rPr>
        <w:footnoteRef/>
      </w:r>
      <w:r>
        <w:t xml:space="preserve"> </w:t>
      </w:r>
      <w:r w:rsidRPr="00071164">
        <w:rPr>
          <w:rFonts w:ascii="Times New Roman" w:hAnsi="Times New Roman" w:cs="Times New Roman"/>
        </w:rPr>
        <w:t xml:space="preserve">The Network of </w:t>
      </w:r>
      <w:proofErr w:type="spellStart"/>
      <w:r w:rsidRPr="00071164">
        <w:rPr>
          <w:rFonts w:ascii="Times New Roman" w:hAnsi="Times New Roman" w:cs="Times New Roman"/>
        </w:rPr>
        <w:t>Institutions</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for</w:t>
      </w:r>
      <w:proofErr w:type="spellEnd"/>
      <w:r w:rsidRPr="00071164">
        <w:rPr>
          <w:rFonts w:ascii="Times New Roman" w:hAnsi="Times New Roman" w:cs="Times New Roman"/>
        </w:rPr>
        <w:t xml:space="preserve"> Future </w:t>
      </w:r>
      <w:proofErr w:type="spellStart"/>
      <w:r w:rsidRPr="00071164">
        <w:rPr>
          <w:rFonts w:ascii="Times New Roman" w:hAnsi="Times New Roman" w:cs="Times New Roman"/>
        </w:rPr>
        <w:t>Generations</w:t>
      </w:r>
      <w:proofErr w:type="spellEnd"/>
      <w:r w:rsidRPr="00071164">
        <w:rPr>
          <w:rFonts w:ascii="Times New Roman" w:hAnsi="Times New Roman" w:cs="Times New Roman"/>
        </w:rPr>
        <w:t xml:space="preserve"> (NIFG) is an </w:t>
      </w:r>
      <w:proofErr w:type="spellStart"/>
      <w:r w:rsidRPr="00071164">
        <w:rPr>
          <w:rFonts w:ascii="Times New Roman" w:hAnsi="Times New Roman" w:cs="Times New Roman"/>
        </w:rPr>
        <w:t>independent</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non-formal</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network</w:t>
      </w:r>
      <w:proofErr w:type="spellEnd"/>
      <w:r w:rsidRPr="00071164">
        <w:rPr>
          <w:rFonts w:ascii="Times New Roman" w:hAnsi="Times New Roman" w:cs="Times New Roman"/>
        </w:rPr>
        <w:t xml:space="preserve"> of </w:t>
      </w:r>
      <w:proofErr w:type="spellStart"/>
      <w:r w:rsidRPr="00071164">
        <w:rPr>
          <w:rFonts w:ascii="Times New Roman" w:hAnsi="Times New Roman" w:cs="Times New Roman"/>
        </w:rPr>
        <w:t>national</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institutions</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mentioned</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in</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the</w:t>
      </w:r>
      <w:proofErr w:type="spellEnd"/>
      <w:r w:rsidRPr="00071164">
        <w:rPr>
          <w:rFonts w:ascii="Times New Roman" w:hAnsi="Times New Roman" w:cs="Times New Roman"/>
        </w:rPr>
        <w:t xml:space="preserve"> UN </w:t>
      </w:r>
      <w:proofErr w:type="spellStart"/>
      <w:r w:rsidRPr="00071164">
        <w:rPr>
          <w:rFonts w:ascii="Times New Roman" w:hAnsi="Times New Roman" w:cs="Times New Roman"/>
        </w:rPr>
        <w:t>Secretary</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General’s</w:t>
      </w:r>
      <w:proofErr w:type="spellEnd"/>
      <w:r w:rsidRPr="00071164">
        <w:rPr>
          <w:rFonts w:ascii="Times New Roman" w:hAnsi="Times New Roman" w:cs="Times New Roman"/>
        </w:rPr>
        <w:t xml:space="preserve"> 2013 </w:t>
      </w:r>
      <w:proofErr w:type="spellStart"/>
      <w:r w:rsidRPr="00071164">
        <w:rPr>
          <w:rFonts w:ascii="Times New Roman" w:hAnsi="Times New Roman" w:cs="Times New Roman"/>
        </w:rPr>
        <w:t>report</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Intergenerational</w:t>
      </w:r>
      <w:proofErr w:type="spellEnd"/>
      <w:r w:rsidRPr="00071164">
        <w:rPr>
          <w:rFonts w:ascii="Times New Roman" w:hAnsi="Times New Roman" w:cs="Times New Roman"/>
        </w:rPr>
        <w:t xml:space="preserve"> </w:t>
      </w:r>
      <w:proofErr w:type="spellStart"/>
      <w:r w:rsidR="00B95AEB">
        <w:rPr>
          <w:rFonts w:ascii="Times New Roman" w:hAnsi="Times New Roman" w:cs="Times New Roman"/>
        </w:rPr>
        <w:t>Solidarity</w:t>
      </w:r>
      <w:proofErr w:type="spellEnd"/>
      <w:r w:rsidR="00B95AEB">
        <w:rPr>
          <w:rFonts w:ascii="Times New Roman" w:hAnsi="Times New Roman" w:cs="Times New Roman"/>
        </w:rPr>
        <w:t xml:space="preserve"> and </w:t>
      </w:r>
      <w:proofErr w:type="spellStart"/>
      <w:r w:rsidR="00B95AEB">
        <w:rPr>
          <w:rFonts w:ascii="Times New Roman" w:hAnsi="Times New Roman" w:cs="Times New Roman"/>
        </w:rPr>
        <w:t>the</w:t>
      </w:r>
      <w:proofErr w:type="spellEnd"/>
      <w:r w:rsidR="00B95AEB">
        <w:rPr>
          <w:rFonts w:ascii="Times New Roman" w:hAnsi="Times New Roman" w:cs="Times New Roman"/>
        </w:rPr>
        <w:t xml:space="preserve"> </w:t>
      </w:r>
      <w:proofErr w:type="spellStart"/>
      <w:r w:rsidR="00B95AEB">
        <w:rPr>
          <w:rFonts w:ascii="Times New Roman" w:hAnsi="Times New Roman" w:cs="Times New Roman"/>
        </w:rPr>
        <w:t>Needs</w:t>
      </w:r>
      <w:proofErr w:type="spellEnd"/>
      <w:r w:rsidR="00B95AEB">
        <w:rPr>
          <w:rFonts w:ascii="Times New Roman" w:hAnsi="Times New Roman" w:cs="Times New Roman"/>
        </w:rPr>
        <w:t xml:space="preserve"> of </w:t>
      </w:r>
      <w:r w:rsidRPr="00071164">
        <w:rPr>
          <w:rFonts w:ascii="Times New Roman" w:hAnsi="Times New Roman" w:cs="Times New Roman"/>
        </w:rPr>
        <w:t xml:space="preserve">Future </w:t>
      </w:r>
      <w:proofErr w:type="spellStart"/>
      <w:r w:rsidRPr="00071164">
        <w:rPr>
          <w:rFonts w:ascii="Times New Roman" w:hAnsi="Times New Roman" w:cs="Times New Roman"/>
        </w:rPr>
        <w:t>Generati</w:t>
      </w:r>
      <w:r w:rsidR="00B95AEB">
        <w:rPr>
          <w:rFonts w:ascii="Times New Roman" w:hAnsi="Times New Roman" w:cs="Times New Roman"/>
        </w:rPr>
        <w:t>ons</w:t>
      </w:r>
      <w:proofErr w:type="spellEnd"/>
      <w:r w:rsidR="00B95AEB">
        <w:rPr>
          <w:rFonts w:ascii="Times New Roman" w:hAnsi="Times New Roman" w:cs="Times New Roman"/>
        </w:rPr>
        <w:t>”</w:t>
      </w:r>
      <w:r w:rsidRPr="00071164">
        <w:rPr>
          <w:rFonts w:ascii="Times New Roman" w:hAnsi="Times New Roman" w:cs="Times New Roman"/>
        </w:rPr>
        <w:t xml:space="preserve">. </w:t>
      </w:r>
      <w:r w:rsidRPr="00CB6CB2">
        <w:rPr>
          <w:rFonts w:ascii="Times New Roman" w:hAnsi="Times New Roman" w:cs="Times New Roman"/>
        </w:rPr>
        <w:t xml:space="preserve">The FGO </w:t>
      </w:r>
      <w:r>
        <w:rPr>
          <w:rFonts w:ascii="Times New Roman" w:hAnsi="Times New Roman" w:cs="Times New Roman"/>
        </w:rPr>
        <w:t xml:space="preserve">has </w:t>
      </w:r>
      <w:proofErr w:type="spellStart"/>
      <w:r>
        <w:rPr>
          <w:rFonts w:ascii="Times New Roman" w:hAnsi="Times New Roman" w:cs="Times New Roman"/>
        </w:rPr>
        <w:t>also</w:t>
      </w:r>
      <w:proofErr w:type="spellEnd"/>
      <w:r>
        <w:rPr>
          <w:rFonts w:ascii="Times New Roman" w:hAnsi="Times New Roman" w:cs="Times New Roman"/>
        </w:rPr>
        <w:t xml:space="preserve"> </w:t>
      </w:r>
      <w:proofErr w:type="spellStart"/>
      <w:r w:rsidRPr="00CB6CB2">
        <w:rPr>
          <w:rFonts w:ascii="Times New Roman" w:hAnsi="Times New Roman" w:cs="Times New Roman"/>
        </w:rPr>
        <w:t>contributed</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to</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the</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separate</w:t>
      </w:r>
      <w:proofErr w:type="spellEnd"/>
      <w:r w:rsidRPr="00CB6CB2">
        <w:rPr>
          <w:rFonts w:ascii="Times New Roman" w:hAnsi="Times New Roman" w:cs="Times New Roman"/>
        </w:rPr>
        <w:t xml:space="preserve"> NIFG </w:t>
      </w:r>
      <w:proofErr w:type="spellStart"/>
      <w:r w:rsidRPr="00CB6CB2">
        <w:rPr>
          <w:rFonts w:ascii="Times New Roman" w:hAnsi="Times New Roman" w:cs="Times New Roman"/>
        </w:rPr>
        <w:t>position</w:t>
      </w:r>
      <w:proofErr w:type="spellEnd"/>
      <w:r w:rsidRPr="00CB6CB2">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sidRPr="00CB6CB2">
        <w:rPr>
          <w:rFonts w:ascii="Times New Roman" w:hAnsi="Times New Roman" w:cs="Times New Roman"/>
        </w:rPr>
        <w:t>prepared</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to</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the</w:t>
      </w:r>
      <w:proofErr w:type="spellEnd"/>
      <w:r w:rsidRPr="00CB6CB2">
        <w:rPr>
          <w:rFonts w:ascii="Times New Roman" w:hAnsi="Times New Roman" w:cs="Times New Roman"/>
        </w:rPr>
        <w:t xml:space="preserve"> General </w:t>
      </w:r>
      <w:proofErr w:type="gramStart"/>
      <w:r w:rsidRPr="00CB6CB2">
        <w:rPr>
          <w:rFonts w:ascii="Times New Roman" w:hAnsi="Times New Roman" w:cs="Times New Roman"/>
        </w:rPr>
        <w:t>Comment</w:t>
      </w:r>
      <w:proofErr w:type="gramEnd"/>
      <w:r>
        <w:rPr>
          <w:rFonts w:ascii="Times New Roman" w:hAnsi="Times New Roman" w:cs="Times New Roman"/>
        </w:rPr>
        <w:t xml:space="preserve"> No 26</w:t>
      </w:r>
      <w:r w:rsidRPr="00CB6CB2">
        <w:rPr>
          <w:rFonts w:ascii="Times New Roman" w:hAnsi="Times New Roman" w:cs="Times New Roman"/>
        </w:rPr>
        <w:t xml:space="preserve">.  </w:t>
      </w:r>
    </w:p>
  </w:footnote>
  <w:footnote w:id="3">
    <w:p w14:paraId="2D729E33" w14:textId="7A93EB9A" w:rsidR="00342F4C" w:rsidRPr="00071164" w:rsidRDefault="00342F4C" w:rsidP="00DB24F2">
      <w:pPr>
        <w:pStyle w:val="Lbjegyzetszveg"/>
        <w:rPr>
          <w:rFonts w:ascii="Times New Roman" w:hAnsi="Times New Roman" w:cs="Times New Roman"/>
        </w:rPr>
      </w:pPr>
      <w:r>
        <w:rPr>
          <w:rStyle w:val="Lbjegyzet-hivatkozs"/>
        </w:rPr>
        <w:footnoteRef/>
      </w:r>
      <w:r>
        <w:t xml:space="preserve"> </w:t>
      </w:r>
      <w:r w:rsidRPr="00071164">
        <w:rPr>
          <w:rFonts w:ascii="Times New Roman" w:hAnsi="Times New Roman" w:cs="Times New Roman"/>
        </w:rPr>
        <w:t xml:space="preserve">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14/2020. (VI.7.)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[36], </w:t>
      </w:r>
      <w:r w:rsidRPr="00071164">
        <w:rPr>
          <w:rFonts w:ascii="Times New Roman" w:hAnsi="Times New Roman" w:cs="Times New Roman"/>
        </w:rPr>
        <w:t xml:space="preserve">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28/2017. (X.25.)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[34], </w:t>
      </w:r>
      <w:r w:rsidRPr="00071164">
        <w:rPr>
          <w:rFonts w:ascii="Times New Roman" w:hAnsi="Times New Roman" w:cs="Times New Roman"/>
        </w:rPr>
        <w:t xml:space="preserve">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17/2018. (X.10.)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[96], </w:t>
      </w:r>
      <w:r w:rsidRPr="00071164">
        <w:rPr>
          <w:rFonts w:ascii="Times New Roman" w:hAnsi="Times New Roman" w:cs="Times New Roman"/>
        </w:rPr>
        <w:t xml:space="preserve">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3223/2017. (IX.25.)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[28]</w:t>
      </w:r>
    </w:p>
  </w:footnote>
  <w:footnote w:id="4">
    <w:p w14:paraId="212BC413" w14:textId="2DC52B38" w:rsidR="00342F4C" w:rsidRPr="00071164" w:rsidRDefault="00342F4C" w:rsidP="00DB24F2">
      <w:pPr>
        <w:pStyle w:val="Lbjegyzetszveg"/>
        <w:rPr>
          <w:rFonts w:ascii="Times New Roman" w:hAnsi="Times New Roman" w:cs="Times New Roman"/>
        </w:rPr>
      </w:pPr>
      <w:r w:rsidRPr="00071164">
        <w:rPr>
          <w:rStyle w:val="Lbjegyzet-hivatkozs"/>
          <w:rFonts w:ascii="Times New Roman" w:hAnsi="Times New Roman" w:cs="Times New Roman"/>
        </w:rPr>
        <w:footnoteRef/>
      </w:r>
      <w:r w:rsidRPr="00071164">
        <w:rPr>
          <w:rFonts w:ascii="Times New Roman" w:hAnsi="Times New Roman" w:cs="Times New Roman"/>
        </w:rPr>
        <w:t xml:space="preserve"> </w:t>
      </w:r>
      <w:r w:rsidRPr="00CB6CB2">
        <w:rPr>
          <w:rFonts w:ascii="Times New Roman" w:hAnsi="Times New Roman" w:cs="Times New Roman"/>
        </w:rPr>
        <w:t xml:space="preserve">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071164">
        <w:rPr>
          <w:rFonts w:ascii="Times New Roman" w:hAnsi="Times New Roman" w:cs="Times New Roman"/>
        </w:rPr>
        <w:t>Decision</w:t>
      </w:r>
      <w:proofErr w:type="spellEnd"/>
      <w:r w:rsidRPr="00071164">
        <w:rPr>
          <w:rFonts w:ascii="Times New Roman" w:hAnsi="Times New Roman" w:cs="Times New Roman"/>
        </w:rPr>
        <w:t xml:space="preserve"> No. 13/2018.</w:t>
      </w:r>
      <w:r w:rsidR="00474CD2">
        <w:rPr>
          <w:rFonts w:ascii="Times New Roman" w:hAnsi="Times New Roman" w:cs="Times New Roman"/>
        </w:rPr>
        <w:t xml:space="preserve"> </w:t>
      </w:r>
      <w:r w:rsidRPr="00071164">
        <w:rPr>
          <w:rFonts w:ascii="Times New Roman" w:hAnsi="Times New Roman" w:cs="Times New Roman"/>
        </w:rPr>
        <w:t xml:space="preserve">(IX.4)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[13]</w:t>
      </w:r>
    </w:p>
  </w:footnote>
  <w:footnote w:id="5">
    <w:p w14:paraId="270DD390" w14:textId="4453443D" w:rsidR="00342F4C" w:rsidRPr="00071164" w:rsidRDefault="00342F4C" w:rsidP="00DB24F2">
      <w:pPr>
        <w:pStyle w:val="Lbjegyzetszveg"/>
        <w:jc w:val="both"/>
        <w:rPr>
          <w:rFonts w:ascii="Times New Roman" w:hAnsi="Times New Roman" w:cs="Times New Roman"/>
        </w:rPr>
      </w:pPr>
      <w:r w:rsidRPr="00071164">
        <w:rPr>
          <w:rStyle w:val="Lbjegyzet-hivatkozs"/>
          <w:rFonts w:ascii="Times New Roman" w:hAnsi="Times New Roman" w:cs="Times New Roman"/>
        </w:rPr>
        <w:footnoteRef/>
      </w:r>
      <w:r w:rsidRPr="00071164">
        <w:rPr>
          <w:rFonts w:ascii="Times New Roman" w:hAnsi="Times New Roman" w:cs="Times New Roman"/>
        </w:rPr>
        <w:t xml:space="preserve"> Hungarian </w:t>
      </w:r>
      <w:proofErr w:type="spellStart"/>
      <w:r w:rsidRPr="00071164">
        <w:rPr>
          <w:rFonts w:ascii="Times New Roman" w:hAnsi="Times New Roman" w:cs="Times New Roman"/>
        </w:rPr>
        <w:t>Constitutional</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Court</w:t>
      </w:r>
      <w:proofErr w:type="spellEnd"/>
      <w:r w:rsidRPr="00071164">
        <w:rPr>
          <w:rFonts w:ascii="Times New Roman" w:hAnsi="Times New Roman" w:cs="Times New Roman"/>
        </w:rPr>
        <w:t xml:space="preserve"> </w:t>
      </w:r>
      <w:proofErr w:type="spellStart"/>
      <w:r w:rsidRPr="00071164">
        <w:rPr>
          <w:rFonts w:ascii="Times New Roman" w:hAnsi="Times New Roman" w:cs="Times New Roman"/>
        </w:rPr>
        <w:t>Decision</w:t>
      </w:r>
      <w:proofErr w:type="spellEnd"/>
      <w:r w:rsidRPr="00071164">
        <w:rPr>
          <w:rFonts w:ascii="Times New Roman" w:hAnsi="Times New Roman" w:cs="Times New Roman"/>
        </w:rPr>
        <w:t xml:space="preserve"> No. 28/2017. (X.25.)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[43]</w:t>
      </w:r>
      <w:r w:rsidRPr="00071164">
        <w:rPr>
          <w:rFonts w:ascii="Times New Roman" w:hAnsi="Times New Roman" w:cs="Times New Roman"/>
        </w:rPr>
        <w:t xml:space="preserve">, 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w:t>
      </w:r>
      <w:r w:rsidRPr="00071164">
        <w:rPr>
          <w:rFonts w:ascii="Times New Roman" w:hAnsi="Times New Roman" w:cs="Times New Roman"/>
        </w:rPr>
        <w:t>No. 17/2018. (X.10.)</w:t>
      </w:r>
      <w:r w:rsidRPr="00CB6CB2">
        <w:rPr>
          <w:rFonts w:ascii="Times New Roman" w:hAnsi="Times New Roman" w:cs="Times New Roman"/>
        </w:rPr>
        <w:t xml:space="preserve">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[84]-[85]</w:t>
      </w:r>
      <w:r w:rsidRPr="00071164">
        <w:rPr>
          <w:rFonts w:ascii="Times New Roman" w:hAnsi="Times New Roman" w:cs="Times New Roman"/>
        </w:rPr>
        <w:t xml:space="preserve"> </w:t>
      </w:r>
    </w:p>
  </w:footnote>
  <w:footnote w:id="6">
    <w:p w14:paraId="5879F9CD" w14:textId="4C2D042F" w:rsidR="00342F4C" w:rsidRPr="00CB6CB2" w:rsidRDefault="00342F4C" w:rsidP="00DB24F2">
      <w:pPr>
        <w:pStyle w:val="Lbjegyzetszveg"/>
        <w:jc w:val="both"/>
        <w:rPr>
          <w:rFonts w:ascii="Times New Roman" w:hAnsi="Times New Roman" w:cs="Times New Roman"/>
        </w:rPr>
      </w:pPr>
      <w:r w:rsidRPr="00CB6CB2">
        <w:rPr>
          <w:rStyle w:val="Lbjegyzet-hivatkozs"/>
          <w:rFonts w:ascii="Times New Roman" w:hAnsi="Times New Roman" w:cs="Times New Roman"/>
        </w:rPr>
        <w:footnoteRef/>
      </w:r>
      <w:r w:rsidRPr="00CB6CB2">
        <w:rPr>
          <w:rFonts w:ascii="Times New Roman" w:hAnsi="Times New Roman" w:cs="Times New Roman"/>
        </w:rPr>
        <w:t xml:space="preserve"> 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14/2020. (VI.7.) AB,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w:t>
      </w:r>
      <w:r w:rsidRPr="00CB6CB2">
        <w:rPr>
          <w:rFonts w:ascii="Times New Roman" w:hAnsi="Times New Roman" w:cs="Times New Roman"/>
        </w:rPr>
        <w:sym w:font="Symbol" w:char="F05B"/>
      </w:r>
      <w:r w:rsidRPr="00CB6CB2">
        <w:rPr>
          <w:rFonts w:ascii="Times New Roman" w:hAnsi="Times New Roman" w:cs="Times New Roman"/>
        </w:rPr>
        <w:t>22</w:t>
      </w:r>
      <w:r w:rsidRPr="00CB6CB2">
        <w:rPr>
          <w:rFonts w:ascii="Times New Roman" w:hAnsi="Times New Roman" w:cs="Times New Roman"/>
        </w:rPr>
        <w:sym w:font="Symbol" w:char="F05D"/>
      </w:r>
      <w:r w:rsidRPr="00CB6CB2">
        <w:rPr>
          <w:rFonts w:ascii="Times New Roman" w:hAnsi="Times New Roman" w:cs="Times New Roman"/>
        </w:rPr>
        <w:t xml:space="preserve">. </w:t>
      </w:r>
    </w:p>
  </w:footnote>
  <w:footnote w:id="7">
    <w:p w14:paraId="5A711A0B" w14:textId="76066E57" w:rsidR="00342F4C" w:rsidRPr="00CB6CB2" w:rsidRDefault="00342F4C" w:rsidP="00DB24F2">
      <w:pPr>
        <w:pStyle w:val="Lbjegyzetszveg"/>
        <w:jc w:val="both"/>
        <w:rPr>
          <w:rFonts w:ascii="Times New Roman" w:hAnsi="Times New Roman" w:cs="Times New Roman"/>
        </w:rPr>
      </w:pPr>
      <w:r w:rsidRPr="00CB6CB2">
        <w:rPr>
          <w:rStyle w:val="Lbjegyzet-hivatkozs"/>
          <w:rFonts w:ascii="Times New Roman" w:hAnsi="Times New Roman" w:cs="Times New Roman"/>
        </w:rPr>
        <w:footnoteRef/>
      </w:r>
      <w:r w:rsidRPr="00CB6CB2">
        <w:rPr>
          <w:rFonts w:ascii="Times New Roman" w:hAnsi="Times New Roman" w:cs="Times New Roman"/>
        </w:rPr>
        <w:t xml:space="preserve"> Hungarian </w:t>
      </w:r>
      <w:proofErr w:type="spellStart"/>
      <w:r w:rsidRPr="00CB6CB2">
        <w:rPr>
          <w:rFonts w:ascii="Times New Roman" w:hAnsi="Times New Roman" w:cs="Times New Roman"/>
        </w:rPr>
        <w:t>Constitutional</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Court</w:t>
      </w:r>
      <w:proofErr w:type="spellEnd"/>
      <w:r w:rsidRPr="00CB6CB2">
        <w:rPr>
          <w:rFonts w:ascii="Times New Roman" w:hAnsi="Times New Roman" w:cs="Times New Roman"/>
        </w:rPr>
        <w:t xml:space="preserve"> </w:t>
      </w:r>
      <w:proofErr w:type="spellStart"/>
      <w:r w:rsidRPr="00CB6CB2">
        <w:rPr>
          <w:rFonts w:ascii="Times New Roman" w:hAnsi="Times New Roman" w:cs="Times New Roman"/>
        </w:rPr>
        <w:t>Decision</w:t>
      </w:r>
      <w:proofErr w:type="spellEnd"/>
      <w:r w:rsidRPr="00CB6CB2">
        <w:rPr>
          <w:rFonts w:ascii="Times New Roman" w:hAnsi="Times New Roman" w:cs="Times New Roman"/>
        </w:rPr>
        <w:t xml:space="preserve"> No. 14/2020.(VI. 7) AB, </w:t>
      </w:r>
      <w:proofErr w:type="spellStart"/>
      <w:r w:rsidRPr="00CB6CB2">
        <w:rPr>
          <w:rFonts w:ascii="Times New Roman" w:hAnsi="Times New Roman" w:cs="Times New Roman"/>
        </w:rPr>
        <w:t>Reasoning</w:t>
      </w:r>
      <w:proofErr w:type="spellEnd"/>
      <w:r w:rsidRPr="00CB6CB2">
        <w:rPr>
          <w:rFonts w:ascii="Times New Roman" w:hAnsi="Times New Roman" w:cs="Times New Roman"/>
        </w:rPr>
        <w:t xml:space="preserve"> </w:t>
      </w:r>
      <w:r w:rsidRPr="00CB6CB2">
        <w:rPr>
          <w:rFonts w:ascii="Times New Roman" w:hAnsi="Times New Roman" w:cs="Times New Roman"/>
        </w:rPr>
        <w:sym w:font="Symbol" w:char="F05B"/>
      </w:r>
      <w:r w:rsidRPr="00CB6CB2">
        <w:rPr>
          <w:rFonts w:ascii="Times New Roman" w:hAnsi="Times New Roman" w:cs="Times New Roman"/>
        </w:rPr>
        <w:t>22</w:t>
      </w:r>
      <w:r w:rsidRPr="00CB6CB2">
        <w:rPr>
          <w:rFonts w:ascii="Times New Roman" w:hAnsi="Times New Roman" w:cs="Times New Roman"/>
        </w:rPr>
        <w:sym w:font="Symbol" w:char="F05D"/>
      </w:r>
      <w:r w:rsidRPr="00CB6CB2">
        <w:rPr>
          <w:rFonts w:ascii="Times New Roman" w:hAnsi="Times New Roman" w:cs="Times New Roman"/>
        </w:rPr>
        <w:t>.</w:t>
      </w:r>
    </w:p>
  </w:footnote>
  <w:footnote w:id="8">
    <w:p w14:paraId="1A09631B" w14:textId="0C472D33" w:rsidR="00C129D6" w:rsidRPr="003F20E3" w:rsidRDefault="00C129D6" w:rsidP="00C129D6">
      <w:pPr>
        <w:pStyle w:val="Lbjegyzetszveg"/>
        <w:jc w:val="both"/>
        <w:rPr>
          <w:rFonts w:ascii="Times New Roman" w:hAnsi="Times New Roman" w:cs="Times New Roman"/>
        </w:rPr>
      </w:pPr>
      <w:r w:rsidRPr="003F20E3">
        <w:rPr>
          <w:rStyle w:val="Lbjegyzet-hivatkozs"/>
          <w:rFonts w:ascii="Times New Roman" w:hAnsi="Times New Roman" w:cs="Times New Roman"/>
        </w:rPr>
        <w:footnoteRef/>
      </w:r>
      <w:r w:rsidRPr="003F20E3">
        <w:rPr>
          <w:rFonts w:ascii="Times New Roman" w:hAnsi="Times New Roman" w:cs="Times New Roman"/>
        </w:rPr>
        <w:t xml:space="preserve"> </w:t>
      </w:r>
      <w:proofErr w:type="spellStart"/>
      <w:r w:rsidR="00C04A9E" w:rsidRPr="00CB6CB2">
        <w:rPr>
          <w:rFonts w:ascii="Times New Roman" w:hAnsi="Times New Roman" w:cs="Times New Roman"/>
        </w:rPr>
        <w:t>Edith</w:t>
      </w:r>
      <w:proofErr w:type="spellEnd"/>
      <w:r w:rsidR="00C04A9E" w:rsidRPr="00CB6CB2">
        <w:rPr>
          <w:rFonts w:ascii="Times New Roman" w:hAnsi="Times New Roman" w:cs="Times New Roman"/>
        </w:rPr>
        <w:t xml:space="preserve"> Brown Weiss: </w:t>
      </w:r>
      <w:proofErr w:type="spellStart"/>
      <w:r w:rsidR="00C04A9E" w:rsidRPr="00CB6CB2">
        <w:rPr>
          <w:rFonts w:ascii="Times New Roman" w:hAnsi="Times New Roman" w:cs="Times New Roman"/>
        </w:rPr>
        <w:t>In</w:t>
      </w:r>
      <w:proofErr w:type="spellEnd"/>
      <w:r w:rsidR="00C04A9E" w:rsidRPr="00CB6CB2">
        <w:rPr>
          <w:rFonts w:ascii="Times New Roman" w:hAnsi="Times New Roman" w:cs="Times New Roman"/>
        </w:rPr>
        <w:t xml:space="preserve"> </w:t>
      </w:r>
      <w:proofErr w:type="spellStart"/>
      <w:r w:rsidR="00C04A9E" w:rsidRPr="00CB6CB2">
        <w:rPr>
          <w:rFonts w:ascii="Times New Roman" w:hAnsi="Times New Roman" w:cs="Times New Roman"/>
        </w:rPr>
        <w:t>Fairness</w:t>
      </w:r>
      <w:proofErr w:type="spellEnd"/>
      <w:r w:rsidR="00C04A9E" w:rsidRPr="00CB6CB2">
        <w:rPr>
          <w:rFonts w:ascii="Times New Roman" w:hAnsi="Times New Roman" w:cs="Times New Roman"/>
        </w:rPr>
        <w:t xml:space="preserve"> </w:t>
      </w:r>
      <w:proofErr w:type="spellStart"/>
      <w:r w:rsidR="00C04A9E" w:rsidRPr="00CB6CB2">
        <w:rPr>
          <w:rFonts w:ascii="Times New Roman" w:hAnsi="Times New Roman" w:cs="Times New Roman"/>
        </w:rPr>
        <w:t>to</w:t>
      </w:r>
      <w:proofErr w:type="spellEnd"/>
      <w:r w:rsidR="00C04A9E" w:rsidRPr="00CB6CB2">
        <w:rPr>
          <w:rFonts w:ascii="Times New Roman" w:hAnsi="Times New Roman" w:cs="Times New Roman"/>
        </w:rPr>
        <w:t xml:space="preserve"> Future </w:t>
      </w:r>
      <w:proofErr w:type="spellStart"/>
      <w:r w:rsidR="00C04A9E" w:rsidRPr="00CB6CB2">
        <w:rPr>
          <w:rFonts w:ascii="Times New Roman" w:hAnsi="Times New Roman" w:cs="Times New Roman"/>
        </w:rPr>
        <w:t>Generations</w:t>
      </w:r>
      <w:proofErr w:type="spellEnd"/>
      <w:r w:rsidR="00C04A9E" w:rsidRPr="00CB6CB2">
        <w:rPr>
          <w:rFonts w:ascii="Times New Roman" w:hAnsi="Times New Roman" w:cs="Times New Roman"/>
        </w:rPr>
        <w:t xml:space="preserve">: International Law, </w:t>
      </w:r>
      <w:proofErr w:type="spellStart"/>
      <w:r w:rsidR="00C04A9E" w:rsidRPr="00CB6CB2">
        <w:rPr>
          <w:rFonts w:ascii="Times New Roman" w:hAnsi="Times New Roman" w:cs="Times New Roman"/>
        </w:rPr>
        <w:t>Common</w:t>
      </w:r>
      <w:proofErr w:type="spellEnd"/>
      <w:r w:rsidR="00C04A9E" w:rsidRPr="00CB6CB2">
        <w:rPr>
          <w:rFonts w:ascii="Times New Roman" w:hAnsi="Times New Roman" w:cs="Times New Roman"/>
        </w:rPr>
        <w:t xml:space="preserve"> </w:t>
      </w:r>
      <w:proofErr w:type="spellStart"/>
      <w:r w:rsidR="00C04A9E" w:rsidRPr="00CB6CB2">
        <w:rPr>
          <w:rFonts w:ascii="Times New Roman" w:hAnsi="Times New Roman" w:cs="Times New Roman"/>
        </w:rPr>
        <w:t>Patrimony</w:t>
      </w:r>
      <w:proofErr w:type="spellEnd"/>
      <w:r w:rsidR="00C04A9E" w:rsidRPr="00CB6CB2">
        <w:rPr>
          <w:rFonts w:ascii="Times New Roman" w:hAnsi="Times New Roman" w:cs="Times New Roman"/>
        </w:rPr>
        <w:t xml:space="preserve">, and </w:t>
      </w:r>
      <w:proofErr w:type="spellStart"/>
      <w:r w:rsidR="00C04A9E" w:rsidRPr="00CB6CB2">
        <w:rPr>
          <w:rFonts w:ascii="Times New Roman" w:hAnsi="Times New Roman" w:cs="Times New Roman"/>
        </w:rPr>
        <w:t>Intergenerational</w:t>
      </w:r>
      <w:proofErr w:type="spellEnd"/>
      <w:r w:rsidR="00C04A9E" w:rsidRPr="00CB6CB2">
        <w:rPr>
          <w:rFonts w:ascii="Times New Roman" w:hAnsi="Times New Roman" w:cs="Times New Roman"/>
        </w:rPr>
        <w:t xml:space="preserve"> Equity, </w:t>
      </w:r>
      <w:proofErr w:type="spellStart"/>
      <w:r w:rsidR="00C04A9E" w:rsidRPr="00CB6CB2">
        <w:rPr>
          <w:rFonts w:ascii="Times New Roman" w:hAnsi="Times New Roman" w:cs="Times New Roman"/>
        </w:rPr>
        <w:t>Transnational</w:t>
      </w:r>
      <w:proofErr w:type="spellEnd"/>
      <w:r w:rsidR="00C04A9E" w:rsidRPr="00CB6CB2">
        <w:rPr>
          <w:rFonts w:ascii="Times New Roman" w:hAnsi="Times New Roman" w:cs="Times New Roman"/>
        </w:rPr>
        <w:t xml:space="preserve"> </w:t>
      </w:r>
      <w:proofErr w:type="spellStart"/>
      <w:r w:rsidR="00C04A9E" w:rsidRPr="00CB6CB2">
        <w:rPr>
          <w:rFonts w:ascii="Times New Roman" w:hAnsi="Times New Roman" w:cs="Times New Roman"/>
        </w:rPr>
        <w:t>Publishers</w:t>
      </w:r>
      <w:proofErr w:type="spellEnd"/>
      <w:r w:rsidR="00C04A9E" w:rsidRPr="00CB6CB2">
        <w:rPr>
          <w:rFonts w:ascii="Times New Roman" w:hAnsi="Times New Roman" w:cs="Times New Roman"/>
        </w:rPr>
        <w:t xml:space="preserve"> Inc</w:t>
      </w:r>
      <w:proofErr w:type="gramStart"/>
      <w:r w:rsidR="00C04A9E" w:rsidRPr="00CB6CB2">
        <w:rPr>
          <w:rFonts w:ascii="Times New Roman" w:hAnsi="Times New Roman" w:cs="Times New Roman"/>
        </w:rPr>
        <w:t>.,</w:t>
      </w:r>
      <w:proofErr w:type="gramEnd"/>
      <w:r w:rsidR="00C04A9E" w:rsidRPr="00CB6CB2">
        <w:rPr>
          <w:rFonts w:ascii="Times New Roman" w:hAnsi="Times New Roman" w:cs="Times New Roman"/>
        </w:rPr>
        <w:t xml:space="preserve"> New York, 1988.</w:t>
      </w:r>
    </w:p>
  </w:footnote>
  <w:footnote w:id="9">
    <w:p w14:paraId="752BD3E1" w14:textId="77777777" w:rsidR="00C129D6" w:rsidRPr="003F20E3" w:rsidRDefault="00C129D6" w:rsidP="00C129D6">
      <w:pPr>
        <w:pStyle w:val="Lbjegyzetszveg"/>
        <w:jc w:val="both"/>
        <w:rPr>
          <w:rFonts w:ascii="Times New Roman" w:hAnsi="Times New Roman" w:cs="Times New Roman"/>
        </w:rPr>
      </w:pPr>
      <w:r w:rsidRPr="003F20E3">
        <w:rPr>
          <w:rStyle w:val="Lbjegyzet-hivatkozs"/>
          <w:rFonts w:ascii="Times New Roman" w:hAnsi="Times New Roman" w:cs="Times New Roman"/>
        </w:rPr>
        <w:footnoteRef/>
      </w:r>
      <w:r w:rsidRPr="003F20E3">
        <w:rPr>
          <w:rFonts w:ascii="Times New Roman" w:hAnsi="Times New Roman" w:cs="Times New Roman"/>
        </w:rPr>
        <w:t xml:space="preserve"> 1988 </w:t>
      </w:r>
      <w:proofErr w:type="spellStart"/>
      <w:r w:rsidRPr="003F20E3">
        <w:rPr>
          <w:rFonts w:ascii="Times New Roman" w:hAnsi="Times New Roman" w:cs="Times New Roman"/>
        </w:rPr>
        <w:t>Goa</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Guidelines</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on</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Intergenerational</w:t>
      </w:r>
      <w:proofErr w:type="spellEnd"/>
      <w:r w:rsidRPr="003F20E3">
        <w:rPr>
          <w:rFonts w:ascii="Times New Roman" w:hAnsi="Times New Roman" w:cs="Times New Roman"/>
        </w:rPr>
        <w:t xml:space="preserve"> Equity </w:t>
      </w:r>
      <w:proofErr w:type="spellStart"/>
      <w:r w:rsidRPr="003F20E3">
        <w:rPr>
          <w:rFonts w:ascii="Times New Roman" w:hAnsi="Times New Roman" w:cs="Times New Roman"/>
        </w:rPr>
        <w:t>drafted</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by</w:t>
      </w:r>
      <w:proofErr w:type="spellEnd"/>
      <w:r w:rsidRPr="003F20E3">
        <w:rPr>
          <w:rFonts w:ascii="Times New Roman" w:hAnsi="Times New Roman" w:cs="Times New Roman"/>
        </w:rPr>
        <w:t xml:space="preserve"> an </w:t>
      </w:r>
      <w:proofErr w:type="spellStart"/>
      <w:r w:rsidRPr="003F20E3">
        <w:rPr>
          <w:rFonts w:ascii="Times New Roman" w:hAnsi="Times New Roman" w:cs="Times New Roman"/>
        </w:rPr>
        <w:t>advisory</w:t>
      </w:r>
      <w:proofErr w:type="spellEnd"/>
      <w:r w:rsidRPr="003F20E3">
        <w:rPr>
          <w:rFonts w:ascii="Times New Roman" w:hAnsi="Times New Roman" w:cs="Times New Roman"/>
        </w:rPr>
        <w:t xml:space="preserve"> body </w:t>
      </w:r>
      <w:proofErr w:type="spellStart"/>
      <w:r w:rsidRPr="003F20E3">
        <w:rPr>
          <w:rFonts w:ascii="Times New Roman" w:hAnsi="Times New Roman" w:cs="Times New Roman"/>
        </w:rPr>
        <w:t>for</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the</w:t>
      </w:r>
      <w:proofErr w:type="spellEnd"/>
      <w:r w:rsidRPr="003F20E3">
        <w:rPr>
          <w:rFonts w:ascii="Times New Roman" w:hAnsi="Times New Roman" w:cs="Times New Roman"/>
        </w:rPr>
        <w:t xml:space="preserve"> project </w:t>
      </w:r>
      <w:proofErr w:type="spellStart"/>
      <w:r w:rsidRPr="003F20E3">
        <w:rPr>
          <w:rFonts w:ascii="Times New Roman" w:hAnsi="Times New Roman" w:cs="Times New Roman"/>
        </w:rPr>
        <w:t>on</w:t>
      </w:r>
      <w:proofErr w:type="spellEnd"/>
      <w:r w:rsidRPr="003F20E3">
        <w:rPr>
          <w:rFonts w:ascii="Times New Roman" w:hAnsi="Times New Roman" w:cs="Times New Roman"/>
        </w:rPr>
        <w:t xml:space="preserve"> International Law and </w:t>
      </w:r>
      <w:proofErr w:type="spellStart"/>
      <w:r w:rsidRPr="003F20E3">
        <w:rPr>
          <w:rFonts w:ascii="Times New Roman" w:hAnsi="Times New Roman" w:cs="Times New Roman"/>
        </w:rPr>
        <w:t>Intergenerational</w:t>
      </w:r>
      <w:proofErr w:type="spellEnd"/>
      <w:r w:rsidRPr="003F20E3">
        <w:rPr>
          <w:rFonts w:ascii="Times New Roman" w:hAnsi="Times New Roman" w:cs="Times New Roman"/>
        </w:rPr>
        <w:t xml:space="preserve"> Equity </w:t>
      </w:r>
      <w:proofErr w:type="spellStart"/>
      <w:r w:rsidRPr="003F20E3">
        <w:rPr>
          <w:rFonts w:ascii="Times New Roman" w:hAnsi="Times New Roman" w:cs="Times New Roman"/>
        </w:rPr>
        <w:t>with</w:t>
      </w:r>
      <w:proofErr w:type="spellEnd"/>
      <w:r w:rsidRPr="003F20E3">
        <w:rPr>
          <w:rFonts w:ascii="Times New Roman" w:hAnsi="Times New Roman" w:cs="Times New Roman"/>
        </w:rPr>
        <w:t xml:space="preserve"> </w:t>
      </w:r>
      <w:proofErr w:type="spellStart"/>
      <w:r w:rsidRPr="003F20E3">
        <w:rPr>
          <w:rFonts w:ascii="Times New Roman" w:hAnsi="Times New Roman" w:cs="Times New Roman"/>
        </w:rPr>
        <w:t>the</w:t>
      </w:r>
      <w:proofErr w:type="spellEnd"/>
      <w:r w:rsidRPr="003F20E3">
        <w:rPr>
          <w:rFonts w:ascii="Times New Roman" w:hAnsi="Times New Roman" w:cs="Times New Roman"/>
        </w:rPr>
        <w:t xml:space="preserve"> United </w:t>
      </w:r>
      <w:proofErr w:type="spellStart"/>
      <w:r w:rsidRPr="003F20E3">
        <w:rPr>
          <w:rFonts w:ascii="Times New Roman" w:hAnsi="Times New Roman" w:cs="Times New Roman"/>
        </w:rPr>
        <w:t>Nations</w:t>
      </w:r>
      <w:proofErr w:type="spellEnd"/>
      <w:r w:rsidRPr="003F20E3">
        <w:rPr>
          <w:rFonts w:ascii="Times New Roman" w:hAnsi="Times New Roman" w:cs="Times New Roman"/>
        </w:rPr>
        <w:t xml:space="preserve"> University.</w:t>
      </w:r>
    </w:p>
  </w:footnote>
  <w:footnote w:id="10">
    <w:p w14:paraId="678F32DA" w14:textId="77777777" w:rsidR="00342F4C" w:rsidRPr="00071164" w:rsidRDefault="00342F4C" w:rsidP="00DB24F2">
      <w:pPr>
        <w:pStyle w:val="Lbjegyzetszveg"/>
        <w:rPr>
          <w:rFonts w:ascii="Times New Roman" w:hAnsi="Times New Roman" w:cs="Times New Roman"/>
        </w:rPr>
      </w:pPr>
      <w:r w:rsidRPr="00071164">
        <w:rPr>
          <w:rStyle w:val="Lbjegyzet-hivatkozs"/>
          <w:rFonts w:ascii="Times New Roman" w:hAnsi="Times New Roman" w:cs="Times New Roman"/>
        </w:rPr>
        <w:footnoteRef/>
      </w:r>
      <w:r w:rsidRPr="00071164">
        <w:rPr>
          <w:rFonts w:ascii="Times New Roman" w:hAnsi="Times New Roman" w:cs="Times New Roman"/>
        </w:rPr>
        <w:t xml:space="preserve"> Ibid.</w:t>
      </w:r>
    </w:p>
  </w:footnote>
  <w:footnote w:id="11">
    <w:p w14:paraId="7B9EC942" w14:textId="3B11F439" w:rsidR="00342F4C" w:rsidRPr="00071164" w:rsidRDefault="00342F4C" w:rsidP="00071164">
      <w:pPr>
        <w:pStyle w:val="Lbjegyzetszveg"/>
        <w:jc w:val="both"/>
        <w:rPr>
          <w:rFonts w:ascii="Times New Roman" w:hAnsi="Times New Roman" w:cs="Times New Roman"/>
        </w:rPr>
      </w:pPr>
      <w:r w:rsidRPr="00071164">
        <w:rPr>
          <w:rStyle w:val="Lbjegyzet-hivatkozs"/>
          <w:rFonts w:ascii="Times New Roman" w:hAnsi="Times New Roman" w:cs="Times New Roman"/>
        </w:rPr>
        <w:footnoteRef/>
      </w:r>
      <w:r w:rsidRPr="00071164">
        <w:rPr>
          <w:rFonts w:ascii="Times New Roman" w:hAnsi="Times New Roman" w:cs="Times New Roman"/>
        </w:rPr>
        <w:t xml:space="preserve"> </w:t>
      </w:r>
      <w:proofErr w:type="spellStart"/>
      <w:r w:rsidR="00C04A9E">
        <w:rPr>
          <w:rFonts w:ascii="Times New Roman" w:hAnsi="Times New Roman" w:cs="Times New Roman"/>
        </w:rPr>
        <w:t>See</w:t>
      </w:r>
      <w:proofErr w:type="spellEnd"/>
      <w:r w:rsidR="00C04A9E">
        <w:rPr>
          <w:rFonts w:ascii="Times New Roman" w:hAnsi="Times New Roman" w:cs="Times New Roman"/>
        </w:rPr>
        <w:t xml:space="preserve"> </w:t>
      </w:r>
      <w:proofErr w:type="gramStart"/>
      <w:r w:rsidR="00C04A9E">
        <w:rPr>
          <w:rFonts w:ascii="Times New Roman" w:hAnsi="Times New Roman" w:cs="Times New Roman"/>
        </w:rPr>
        <w:t>no</w:t>
      </w:r>
      <w:proofErr w:type="gramEnd"/>
      <w:r w:rsidR="00C04A9E">
        <w:rPr>
          <w:rFonts w:ascii="Times New Roman" w:hAnsi="Times New Roman" w:cs="Times New Roman"/>
        </w:rPr>
        <w:t xml:space="preserve"> 8 </w:t>
      </w:r>
      <w:proofErr w:type="spellStart"/>
      <w:r w:rsidR="00C04A9E">
        <w:rPr>
          <w:rFonts w:ascii="Times New Roman" w:hAnsi="Times New Roman" w:cs="Times New Roman"/>
        </w:rPr>
        <w:t>above</w:t>
      </w:r>
      <w:proofErr w:type="spellEnd"/>
    </w:p>
  </w:footnote>
  <w:footnote w:id="12">
    <w:p w14:paraId="159BDC25" w14:textId="4C4A4381" w:rsidR="00342F4C" w:rsidRPr="00071164" w:rsidRDefault="00342F4C" w:rsidP="00071164">
      <w:pPr>
        <w:rPr>
          <w:rFonts w:ascii="Times New Roman" w:hAnsi="Times New Roman"/>
        </w:rPr>
      </w:pPr>
      <w:r w:rsidRPr="00071164">
        <w:rPr>
          <w:rStyle w:val="Lbjegyzet-hivatkozs"/>
          <w:rFonts w:ascii="Times New Roman" w:hAnsi="Times New Roman"/>
          <w:sz w:val="20"/>
        </w:rPr>
        <w:footnoteRef/>
      </w:r>
      <w:r w:rsidRPr="00071164">
        <w:rPr>
          <w:rFonts w:ascii="Times New Roman" w:hAnsi="Times New Roman"/>
          <w:sz w:val="20"/>
        </w:rPr>
        <w:t xml:space="preserve"> </w:t>
      </w:r>
      <w:r w:rsidRPr="003E5383">
        <w:rPr>
          <w:rFonts w:ascii="Times New Roman" w:hAnsi="Times New Roman"/>
          <w:color w:val="000000"/>
          <w:sz w:val="20"/>
        </w:rPr>
        <w:t xml:space="preserve">Gyula </w:t>
      </w:r>
      <w:hyperlink r:id="rId1" w:history="1">
        <w:r w:rsidRPr="003E5383">
          <w:rPr>
            <w:rFonts w:ascii="Times New Roman" w:hAnsi="Times New Roman"/>
            <w:color w:val="000000"/>
            <w:sz w:val="20"/>
          </w:rPr>
          <w:t>B</w:t>
        </w:r>
        <w:r w:rsidRPr="003E5383">
          <w:rPr>
            <w:rFonts w:ascii="Times New Roman" w:hAnsi="Times New Roman" w:hint="eastAsia"/>
            <w:color w:val="000000"/>
            <w:sz w:val="20"/>
          </w:rPr>
          <w:t>á</w:t>
        </w:r>
        <w:r w:rsidRPr="003E5383">
          <w:rPr>
            <w:rFonts w:ascii="Times New Roman" w:hAnsi="Times New Roman"/>
            <w:color w:val="000000"/>
            <w:sz w:val="20"/>
          </w:rPr>
          <w:t xml:space="preserve">ndi: </w:t>
        </w:r>
      </w:hyperlink>
      <w:proofErr w:type="spellStart"/>
      <w:r w:rsidRPr="003E5383">
        <w:rPr>
          <w:rFonts w:ascii="Times New Roman" w:hAnsi="Times New Roman"/>
          <w:color w:val="000000"/>
          <w:sz w:val="20"/>
        </w:rPr>
        <w:t>Harnessing</w:t>
      </w:r>
      <w:proofErr w:type="spellEnd"/>
      <w:r w:rsidRPr="00A366CA">
        <w:rPr>
          <w:rFonts w:ascii="Times New Roman" w:hAnsi="Times New Roman"/>
          <w:sz w:val="20"/>
        </w:rPr>
        <w:t xml:space="preserve"> </w:t>
      </w:r>
      <w:proofErr w:type="spellStart"/>
      <w:r w:rsidRPr="00A366CA">
        <w:rPr>
          <w:rFonts w:ascii="Times New Roman" w:hAnsi="Times New Roman"/>
          <w:sz w:val="20"/>
        </w:rPr>
        <w:t>the</w:t>
      </w:r>
      <w:proofErr w:type="spellEnd"/>
      <w:r w:rsidRPr="00A366CA">
        <w:rPr>
          <w:rFonts w:ascii="Times New Roman" w:hAnsi="Times New Roman"/>
          <w:sz w:val="20"/>
        </w:rPr>
        <w:t xml:space="preserve"> </w:t>
      </w:r>
      <w:proofErr w:type="spellStart"/>
      <w:r w:rsidRPr="00A366CA">
        <w:rPr>
          <w:rFonts w:ascii="Times New Roman" w:hAnsi="Times New Roman"/>
          <w:sz w:val="20"/>
        </w:rPr>
        <w:t>non-retrogression</w:t>
      </w:r>
      <w:proofErr w:type="spellEnd"/>
      <w:r w:rsidRPr="00A366CA">
        <w:rPr>
          <w:rFonts w:ascii="Times New Roman" w:hAnsi="Times New Roman"/>
          <w:sz w:val="20"/>
        </w:rPr>
        <w:t xml:space="preserve"> </w:t>
      </w:r>
      <w:proofErr w:type="spellStart"/>
      <w:r w:rsidRPr="00A366CA">
        <w:rPr>
          <w:rFonts w:ascii="Times New Roman" w:hAnsi="Times New Roman"/>
          <w:sz w:val="20"/>
        </w:rPr>
        <w:t>principle</w:t>
      </w:r>
      <w:proofErr w:type="spellEnd"/>
      <w:r w:rsidRPr="00A366CA">
        <w:rPr>
          <w:rFonts w:ascii="Times New Roman" w:hAnsi="Times New Roman"/>
          <w:sz w:val="20"/>
        </w:rPr>
        <w:t xml:space="preserve"> </w:t>
      </w:r>
      <w:proofErr w:type="spellStart"/>
      <w:r w:rsidRPr="00A366CA">
        <w:rPr>
          <w:rFonts w:ascii="Times New Roman" w:hAnsi="Times New Roman"/>
          <w:sz w:val="20"/>
        </w:rPr>
        <w:t>for</w:t>
      </w:r>
      <w:proofErr w:type="spellEnd"/>
      <w:r w:rsidRPr="00A366CA">
        <w:rPr>
          <w:rFonts w:ascii="Times New Roman" w:hAnsi="Times New Roman"/>
          <w:sz w:val="20"/>
        </w:rPr>
        <w:t xml:space="preserve"> </w:t>
      </w:r>
      <w:proofErr w:type="spellStart"/>
      <w:r w:rsidRPr="00A366CA">
        <w:rPr>
          <w:rFonts w:ascii="Times New Roman" w:hAnsi="Times New Roman"/>
          <w:sz w:val="20"/>
        </w:rPr>
        <w:t>setting</w:t>
      </w:r>
      <w:proofErr w:type="spellEnd"/>
      <w:r w:rsidRPr="00A366CA">
        <w:rPr>
          <w:rFonts w:ascii="Times New Roman" w:hAnsi="Times New Roman"/>
          <w:sz w:val="20"/>
        </w:rPr>
        <w:t xml:space="preserve"> </w:t>
      </w:r>
      <w:proofErr w:type="spellStart"/>
      <w:r w:rsidRPr="00A366CA">
        <w:rPr>
          <w:rFonts w:ascii="Times New Roman" w:hAnsi="Times New Roman"/>
          <w:sz w:val="20"/>
        </w:rPr>
        <w:t>environmental</w:t>
      </w:r>
      <w:proofErr w:type="spellEnd"/>
      <w:r w:rsidRPr="00A366CA">
        <w:rPr>
          <w:rFonts w:ascii="Times New Roman" w:hAnsi="Times New Roman"/>
          <w:sz w:val="20"/>
        </w:rPr>
        <w:t xml:space="preserve"> </w:t>
      </w:r>
      <w:proofErr w:type="spellStart"/>
      <w:r w:rsidRPr="00A366CA">
        <w:rPr>
          <w:rFonts w:ascii="Times New Roman" w:hAnsi="Times New Roman"/>
          <w:sz w:val="20"/>
        </w:rPr>
        <w:t>thresholds</w:t>
      </w:r>
      <w:proofErr w:type="spellEnd"/>
      <w:r>
        <w:rPr>
          <w:rFonts w:ascii="Times New Roman" w:hAnsi="Times New Roman"/>
          <w:color w:val="222222"/>
          <w:sz w:val="20"/>
        </w:rPr>
        <w:t xml:space="preserve">: </w:t>
      </w:r>
      <w:proofErr w:type="spellStart"/>
      <w:r>
        <w:rPr>
          <w:rFonts w:ascii="Times New Roman" w:hAnsi="Times New Roman"/>
          <w:color w:val="222222"/>
          <w:sz w:val="20"/>
        </w:rPr>
        <w:t>Rivista</w:t>
      </w:r>
      <w:proofErr w:type="spellEnd"/>
      <w:r>
        <w:rPr>
          <w:rFonts w:ascii="Times New Roman" w:hAnsi="Times New Roman"/>
          <w:color w:val="222222"/>
          <w:sz w:val="20"/>
        </w:rPr>
        <w:t xml:space="preserve"> </w:t>
      </w:r>
      <w:proofErr w:type="spellStart"/>
      <w:r>
        <w:rPr>
          <w:rFonts w:ascii="Times New Roman" w:hAnsi="Times New Roman"/>
          <w:color w:val="222222"/>
          <w:sz w:val="20"/>
        </w:rPr>
        <w:t>Quadrimestrale</w:t>
      </w:r>
      <w:proofErr w:type="spellEnd"/>
      <w:r>
        <w:rPr>
          <w:rFonts w:ascii="Times New Roman" w:hAnsi="Times New Roman"/>
          <w:color w:val="222222"/>
          <w:sz w:val="20"/>
        </w:rPr>
        <w:t xml:space="preserve"> Di </w:t>
      </w:r>
      <w:proofErr w:type="spellStart"/>
      <w:r>
        <w:rPr>
          <w:rFonts w:ascii="Times New Roman" w:hAnsi="Times New Roman"/>
          <w:color w:val="222222"/>
          <w:sz w:val="20"/>
        </w:rPr>
        <w:t>Diritto</w:t>
      </w:r>
      <w:proofErr w:type="spellEnd"/>
      <w:r>
        <w:rPr>
          <w:rFonts w:ascii="Times New Roman" w:hAnsi="Times New Roman"/>
          <w:color w:val="222222"/>
          <w:sz w:val="20"/>
        </w:rPr>
        <w:t xml:space="preserve"> </w:t>
      </w:r>
      <w:proofErr w:type="spellStart"/>
      <w:r>
        <w:rPr>
          <w:rFonts w:ascii="Times New Roman" w:hAnsi="Times New Roman"/>
          <w:color w:val="222222"/>
          <w:sz w:val="20"/>
        </w:rPr>
        <w:t>Dell’Ambiente</w:t>
      </w:r>
      <w:proofErr w:type="spellEnd"/>
      <w:r>
        <w:rPr>
          <w:rFonts w:ascii="Times New Roman" w:hAnsi="Times New Roman"/>
          <w:sz w:val="20"/>
        </w:rPr>
        <w:t xml:space="preserve"> </w:t>
      </w:r>
      <w:r w:rsidRPr="00071164">
        <w:rPr>
          <w:rStyle w:val="journal-volume"/>
          <w:rFonts w:ascii="Times New Roman" w:hAnsi="Times New Roman"/>
          <w:color w:val="222222"/>
          <w:sz w:val="20"/>
        </w:rPr>
        <w:t>2021</w:t>
      </w:r>
      <w:r w:rsidRPr="00071164">
        <w:rPr>
          <w:rFonts w:ascii="Times New Roman" w:hAnsi="Times New Roman" w:hint="eastAsia"/>
          <w:color w:val="222222"/>
          <w:sz w:val="20"/>
        </w:rPr>
        <w:t> </w:t>
      </w:r>
      <w:r w:rsidRPr="00071164">
        <w:rPr>
          <w:rFonts w:ascii="Times New Roman" w:hAnsi="Times New Roman"/>
          <w:color w:val="222222"/>
          <w:sz w:val="20"/>
        </w:rPr>
        <w:t>:</w:t>
      </w:r>
      <w:r w:rsidRPr="00071164">
        <w:rPr>
          <w:rFonts w:ascii="Times New Roman" w:hAnsi="Times New Roman" w:hint="eastAsia"/>
          <w:color w:val="222222"/>
          <w:sz w:val="20"/>
        </w:rPr>
        <w:t> </w:t>
      </w:r>
      <w:r w:rsidRPr="00071164">
        <w:rPr>
          <w:rStyle w:val="journal-issue"/>
          <w:rFonts w:ascii="Times New Roman" w:hAnsi="Times New Roman"/>
          <w:color w:val="222222"/>
          <w:sz w:val="20"/>
        </w:rPr>
        <w:t>2</w:t>
      </w:r>
      <w:r w:rsidRPr="00071164">
        <w:rPr>
          <w:rFonts w:ascii="Times New Roman" w:hAnsi="Times New Roman" w:hint="eastAsia"/>
          <w:color w:val="222222"/>
          <w:sz w:val="20"/>
        </w:rPr>
        <w:t> </w:t>
      </w:r>
      <w:r w:rsidRPr="00CB6CB2">
        <w:rPr>
          <w:rStyle w:val="page"/>
          <w:rFonts w:ascii="Times New Roman" w:hAnsi="Times New Roman"/>
          <w:color w:val="222222"/>
          <w:sz w:val="20"/>
        </w:rPr>
        <w:t xml:space="preserve">pp. </w:t>
      </w:r>
      <w:proofErr w:type="gramStart"/>
      <w:r w:rsidRPr="00CB6CB2">
        <w:rPr>
          <w:rStyle w:val="page"/>
          <w:rFonts w:ascii="Times New Roman" w:hAnsi="Times New Roman"/>
          <w:color w:val="222222"/>
          <w:sz w:val="20"/>
        </w:rPr>
        <w:t>103-133. ,</w:t>
      </w:r>
      <w:r w:rsidRPr="00071164">
        <w:rPr>
          <w:rStyle w:val="page"/>
          <w:rFonts w:ascii="Times New Roman" w:hAnsi="Times New Roman"/>
          <w:color w:val="222222"/>
          <w:sz w:val="20"/>
        </w:rPr>
        <w:t>.</w:t>
      </w:r>
      <w:proofErr w:type="gramEnd"/>
      <w:r w:rsidRPr="00071164">
        <w:rPr>
          <w:rStyle w:val="page"/>
          <w:rFonts w:ascii="Times New Roman" w:hAnsi="Times New Roman" w:hint="eastAsia"/>
          <w:color w:val="222222"/>
          <w:sz w:val="20"/>
        </w:rPr>
        <w:t> </w:t>
      </w:r>
      <w:r w:rsidRPr="00071164">
        <w:rPr>
          <w:rStyle w:val="year"/>
          <w:rFonts w:ascii="Times New Roman" w:hAnsi="Times New Roman"/>
          <w:color w:val="222222"/>
          <w:sz w:val="20"/>
        </w:rPr>
        <w:t>(2022)</w:t>
      </w:r>
    </w:p>
  </w:footnote>
  <w:footnote w:id="13">
    <w:p w14:paraId="175931F7" w14:textId="2F6FE3D8" w:rsidR="00342F4C" w:rsidRDefault="00342F4C" w:rsidP="00DB24F2">
      <w:pPr>
        <w:pBdr>
          <w:top w:val="nil"/>
          <w:left w:val="nil"/>
          <w:bottom w:val="nil"/>
          <w:right w:val="nil"/>
          <w:between w:val="nil"/>
        </w:pBdr>
        <w:rPr>
          <w:rFonts w:ascii="Times New Roman" w:hAnsi="Times New Roman"/>
          <w:color w:val="000000"/>
          <w:sz w:val="20"/>
        </w:rPr>
      </w:pPr>
      <w:r>
        <w:rPr>
          <w:vertAlign w:val="superscript"/>
        </w:rPr>
        <w:footnoteRef/>
      </w:r>
      <w:r>
        <w:rPr>
          <w:rFonts w:ascii="Times New Roman" w:hAnsi="Times New Roman"/>
          <w:color w:val="000000"/>
          <w:sz w:val="20"/>
        </w:rPr>
        <w:t xml:space="preserve"> Hungarian </w:t>
      </w:r>
      <w:proofErr w:type="spellStart"/>
      <w:r>
        <w:rPr>
          <w:rFonts w:ascii="Times New Roman" w:hAnsi="Times New Roman"/>
          <w:color w:val="000000"/>
          <w:sz w:val="20"/>
        </w:rPr>
        <w:t>Constitutional</w:t>
      </w:r>
      <w:proofErr w:type="spellEnd"/>
      <w:r>
        <w:rPr>
          <w:rFonts w:ascii="Times New Roman" w:hAnsi="Times New Roman"/>
          <w:color w:val="000000"/>
          <w:sz w:val="20"/>
        </w:rPr>
        <w:t xml:space="preserve"> </w:t>
      </w:r>
      <w:proofErr w:type="spellStart"/>
      <w:r>
        <w:rPr>
          <w:rFonts w:ascii="Times New Roman" w:hAnsi="Times New Roman"/>
          <w:color w:val="000000"/>
          <w:sz w:val="20"/>
        </w:rPr>
        <w:t>Court</w:t>
      </w:r>
      <w:proofErr w:type="spellEnd"/>
      <w:r>
        <w:rPr>
          <w:rFonts w:ascii="Times New Roman" w:hAnsi="Times New Roman"/>
          <w:color w:val="000000"/>
          <w:sz w:val="20"/>
        </w:rPr>
        <w:t xml:space="preserve"> </w:t>
      </w:r>
      <w:proofErr w:type="spellStart"/>
      <w:r>
        <w:rPr>
          <w:color w:val="000000"/>
          <w:sz w:val="20"/>
        </w:rPr>
        <w:t>Decision</w:t>
      </w:r>
      <w:proofErr w:type="spellEnd"/>
      <w:r>
        <w:rPr>
          <w:color w:val="000000"/>
          <w:sz w:val="20"/>
        </w:rPr>
        <w:t xml:space="preserve"> </w:t>
      </w:r>
      <w:r>
        <w:rPr>
          <w:rFonts w:ascii="Times New Roman" w:hAnsi="Times New Roman"/>
          <w:color w:val="000000"/>
          <w:sz w:val="20"/>
        </w:rPr>
        <w:t>28/2017. (X. 25.) AB</w:t>
      </w:r>
      <w:r>
        <w:rPr>
          <w:color w:val="000000"/>
          <w:sz w:val="20"/>
        </w:rPr>
        <w:t>,</w:t>
      </w:r>
      <w:r>
        <w:rPr>
          <w:rFonts w:ascii="Times New Roman" w:hAnsi="Times New Roman"/>
          <w:color w:val="000000"/>
          <w:sz w:val="20"/>
        </w:rPr>
        <w:t xml:space="preserve"> </w:t>
      </w:r>
      <w:proofErr w:type="spellStart"/>
      <w:r>
        <w:rPr>
          <w:color w:val="000000"/>
          <w:sz w:val="20"/>
        </w:rPr>
        <w:t>Reasoning</w:t>
      </w:r>
      <w:proofErr w:type="spellEnd"/>
      <w:r>
        <w:rPr>
          <w:rFonts w:ascii="Times New Roman" w:hAnsi="Times New Roman"/>
          <w:color w:val="000000"/>
          <w:sz w:val="20"/>
        </w:rPr>
        <w:t xml:space="preserve"> </w:t>
      </w:r>
      <w:r>
        <w:rPr>
          <w:rFonts w:ascii="Symbol" w:eastAsia="Symbol" w:hAnsi="Symbol" w:cs="Symbol"/>
          <w:color w:val="000000"/>
          <w:sz w:val="20"/>
        </w:rPr>
        <w:t></w:t>
      </w:r>
      <w:r>
        <w:rPr>
          <w:rFonts w:ascii="Times New Roman" w:hAnsi="Times New Roman"/>
          <w:color w:val="000000"/>
          <w:sz w:val="20"/>
        </w:rPr>
        <w:t>44</w:t>
      </w:r>
      <w:r>
        <w:rPr>
          <w:rFonts w:ascii="Symbol" w:eastAsia="Symbol" w:hAnsi="Symbol" w:cs="Symbol"/>
          <w:color w:val="000000"/>
          <w:sz w:val="20"/>
        </w:rPr>
        <w:t></w:t>
      </w:r>
      <w:r>
        <w:rPr>
          <w:rFonts w:ascii="Times New Roman" w:hAnsi="Times New Roman"/>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3D11" w14:textId="77777777" w:rsidR="008D7B38" w:rsidRDefault="008D7B38" w:rsidP="00753E2D">
    <w:pPr>
      <w:jc w:val="center"/>
      <w:rPr>
        <w:color w:val="000000"/>
        <w:sz w:val="16"/>
        <w:szCs w:val="16"/>
      </w:rPr>
    </w:pPr>
  </w:p>
  <w:p w14:paraId="14409BAE" w14:textId="77777777" w:rsidR="008D7B38" w:rsidRDefault="008D7B38" w:rsidP="00753E2D">
    <w:pPr>
      <w:jc w:val="center"/>
      <w:rPr>
        <w:color w:val="000000"/>
        <w:sz w:val="16"/>
        <w:szCs w:val="16"/>
      </w:rPr>
    </w:pPr>
  </w:p>
  <w:p w14:paraId="6D7D01DF" w14:textId="2A954263" w:rsidR="00342F4C" w:rsidRPr="00F36A70" w:rsidRDefault="008D7B38" w:rsidP="00753E2D">
    <w:pPr>
      <w:jc w:val="center"/>
      <w:rPr>
        <w:color w:val="000000"/>
        <w:sz w:val="16"/>
        <w:szCs w:val="16"/>
      </w:rPr>
    </w:pPr>
    <w:r>
      <w:rPr>
        <w:rFonts w:ascii="Garamond" w:hAnsi="Garamond" w:cs="Arial"/>
        <w:b/>
        <w:bCs/>
        <w:noProof/>
        <w:sz w:val="20"/>
      </w:rPr>
      <w:drawing>
        <wp:anchor distT="0" distB="0" distL="114300" distR="114300" simplePos="0" relativeHeight="251658240" behindDoc="0" locked="0" layoutInCell="1" allowOverlap="1" wp14:anchorId="10BA2FD3" wp14:editId="45ECD53D">
          <wp:simplePos x="0" y="0"/>
          <wp:positionH relativeFrom="margin">
            <wp:align>right</wp:align>
          </wp:positionH>
          <wp:positionV relativeFrom="paragraph">
            <wp:posOffset>-105410</wp:posOffset>
          </wp:positionV>
          <wp:extent cx="2196465" cy="640715"/>
          <wp:effectExtent l="0" t="0" r="0" b="698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ztoshelyettesAngolFejlecre.JPG"/>
                  <pic:cNvPicPr/>
                </pic:nvPicPr>
                <pic:blipFill rotWithShape="1">
                  <a:blip r:embed="rId1" cstate="print">
                    <a:extLst>
                      <a:ext uri="{28A0092B-C50C-407E-A947-70E740481C1C}">
                        <a14:useLocalDpi xmlns:a14="http://schemas.microsoft.com/office/drawing/2010/main" val="0"/>
                      </a:ext>
                    </a:extLst>
                  </a:blip>
                  <a:srcRect b="1090"/>
                  <a:stretch/>
                </pic:blipFill>
                <pic:spPr bwMode="auto">
                  <a:xfrm>
                    <a:off x="0" y="0"/>
                    <a:ext cx="2196465" cy="6407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Garamond" w:hAnsi="Garamond" w:cs="Arial"/>
        <w:b/>
        <w:bCs/>
        <w:noProof/>
        <w:sz w:val="20"/>
      </w:rPr>
      <w:drawing>
        <wp:anchor distT="0" distB="0" distL="114300" distR="114300" simplePos="0" relativeHeight="251659264" behindDoc="0" locked="0" layoutInCell="1" allowOverlap="1" wp14:anchorId="321D5051" wp14:editId="3B20A443">
          <wp:simplePos x="0" y="0"/>
          <wp:positionH relativeFrom="margin">
            <wp:align>left</wp:align>
          </wp:positionH>
          <wp:positionV relativeFrom="paragraph">
            <wp:posOffset>-107950</wp:posOffset>
          </wp:positionV>
          <wp:extent cx="2530475" cy="636905"/>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ztosAngolFejlec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0475" cy="636905"/>
                  </a:xfrm>
                  <a:prstGeom prst="rect">
                    <a:avLst/>
                  </a:prstGeom>
                </pic:spPr>
              </pic:pic>
            </a:graphicData>
          </a:graphic>
          <wp14:sizeRelH relativeFrom="margin">
            <wp14:pctWidth>0</wp14:pctWidth>
          </wp14:sizeRelH>
          <wp14:sizeRelV relativeFrom="margin">
            <wp14:pctHeight>0</wp14:pctHeight>
          </wp14:sizeRelV>
        </wp:anchor>
      </w:drawing>
    </w:r>
  </w:p>
  <w:p w14:paraId="3C5C67D1" w14:textId="47EACFDC" w:rsidR="007C4D80" w:rsidRDefault="007C4D80" w:rsidP="007C4D80">
    <w:pPr>
      <w:pStyle w:val="lfej"/>
      <w:pBdr>
        <w:bottom w:val="single" w:sz="4" w:space="0" w:color="auto"/>
      </w:pBdr>
      <w:jc w:val="both"/>
      <w:rPr>
        <w:rFonts w:ascii="Garamond" w:hAnsi="Garamond" w:cs="Arial"/>
        <w:b/>
        <w:bCs/>
        <w:sz w:val="20"/>
        <w:lang w:val="en-US"/>
      </w:rPr>
    </w:pPr>
    <w:r>
      <w:rPr>
        <w:rFonts w:ascii="Garamond" w:hAnsi="Garamond" w:cs="Arial"/>
        <w:b/>
        <w:bCs/>
        <w:sz w:val="20"/>
        <w:lang w:val="en-US"/>
      </w:rPr>
      <w:t xml:space="preserve"> </w:t>
    </w:r>
  </w:p>
  <w:p w14:paraId="4007860E" w14:textId="206CAD2A" w:rsidR="007C4D80" w:rsidRDefault="007C4D80" w:rsidP="006B3214">
    <w:pPr>
      <w:pStyle w:val="lfej"/>
      <w:pBdr>
        <w:bottom w:val="single" w:sz="4" w:space="0" w:color="auto"/>
      </w:pBdr>
      <w:jc w:val="center"/>
      <w:rPr>
        <w:rFonts w:ascii="Garamond" w:hAnsi="Garamond" w:cs="Arial"/>
        <w:b/>
        <w:bCs/>
        <w:sz w:val="20"/>
        <w:lang w:val="en-US"/>
      </w:rPr>
    </w:pPr>
  </w:p>
  <w:p w14:paraId="7BAEABB6" w14:textId="536923C9" w:rsidR="007C4D80" w:rsidRDefault="007C4D80" w:rsidP="006B3214">
    <w:pPr>
      <w:pStyle w:val="lfej"/>
      <w:pBdr>
        <w:bottom w:val="single" w:sz="4" w:space="0" w:color="auto"/>
      </w:pBdr>
      <w:jc w:val="center"/>
      <w:rPr>
        <w:rFonts w:ascii="Garamond" w:hAnsi="Garamond" w:cs="Arial"/>
        <w:b/>
        <w:bCs/>
        <w:sz w:val="20"/>
        <w:lang w:val="en-US"/>
      </w:rPr>
    </w:pPr>
  </w:p>
  <w:p w14:paraId="6EC93483" w14:textId="77777777" w:rsidR="008D7B38" w:rsidRPr="00D018E4" w:rsidRDefault="008D7B38" w:rsidP="006B3214">
    <w:pPr>
      <w:pStyle w:val="lfej"/>
      <w:pBdr>
        <w:bottom w:val="single" w:sz="4" w:space="0" w:color="auto"/>
      </w:pBdr>
      <w:jc w:val="center"/>
      <w:rPr>
        <w:rFonts w:ascii="Garamond" w:hAnsi="Garamond" w:cs="Arial"/>
        <w:b/>
        <w:bCs/>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4F"/>
    <w:multiLevelType w:val="hybridMultilevel"/>
    <w:tmpl w:val="E0C20638"/>
    <w:lvl w:ilvl="0" w:tplc="A0CE9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BA1A6D"/>
    <w:multiLevelType w:val="hybridMultilevel"/>
    <w:tmpl w:val="E7929088"/>
    <w:lvl w:ilvl="0" w:tplc="040E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A6814"/>
    <w:multiLevelType w:val="hybridMultilevel"/>
    <w:tmpl w:val="45A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02907"/>
    <w:multiLevelType w:val="hybridMultilevel"/>
    <w:tmpl w:val="4462C0D2"/>
    <w:lvl w:ilvl="0" w:tplc="040E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644B2A"/>
    <w:multiLevelType w:val="hybridMultilevel"/>
    <w:tmpl w:val="78FCFAE2"/>
    <w:lvl w:ilvl="0" w:tplc="040E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B1127"/>
    <w:multiLevelType w:val="hybridMultilevel"/>
    <w:tmpl w:val="B69063B8"/>
    <w:lvl w:ilvl="0" w:tplc="351860C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605F36"/>
    <w:multiLevelType w:val="hybridMultilevel"/>
    <w:tmpl w:val="BF769A5C"/>
    <w:lvl w:ilvl="0" w:tplc="1CA688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96243"/>
    <w:multiLevelType w:val="hybridMultilevel"/>
    <w:tmpl w:val="E6DA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FD"/>
    <w:rsid w:val="000046FB"/>
    <w:rsid w:val="00031D2D"/>
    <w:rsid w:val="00046F44"/>
    <w:rsid w:val="00071164"/>
    <w:rsid w:val="000A4C1E"/>
    <w:rsid w:val="000B57A5"/>
    <w:rsid w:val="000C26B8"/>
    <w:rsid w:val="000D3B37"/>
    <w:rsid w:val="000D4112"/>
    <w:rsid w:val="000E5D23"/>
    <w:rsid w:val="000F425A"/>
    <w:rsid w:val="000F6552"/>
    <w:rsid w:val="001110EA"/>
    <w:rsid w:val="00156878"/>
    <w:rsid w:val="00185D7D"/>
    <w:rsid w:val="001C4453"/>
    <w:rsid w:val="001E639E"/>
    <w:rsid w:val="00200942"/>
    <w:rsid w:val="00226DD4"/>
    <w:rsid w:val="00252612"/>
    <w:rsid w:val="00265D62"/>
    <w:rsid w:val="002A13C7"/>
    <w:rsid w:val="002B1352"/>
    <w:rsid w:val="002D1ED7"/>
    <w:rsid w:val="003000F0"/>
    <w:rsid w:val="00306D5E"/>
    <w:rsid w:val="00313DDC"/>
    <w:rsid w:val="00325E34"/>
    <w:rsid w:val="00342F4C"/>
    <w:rsid w:val="0035225C"/>
    <w:rsid w:val="003B3AD1"/>
    <w:rsid w:val="003B55EB"/>
    <w:rsid w:val="003B5B0A"/>
    <w:rsid w:val="003E35E9"/>
    <w:rsid w:val="003E5383"/>
    <w:rsid w:val="003E6714"/>
    <w:rsid w:val="00440B1C"/>
    <w:rsid w:val="00453B04"/>
    <w:rsid w:val="0046428E"/>
    <w:rsid w:val="00474CD2"/>
    <w:rsid w:val="0047564E"/>
    <w:rsid w:val="004F7002"/>
    <w:rsid w:val="005115CD"/>
    <w:rsid w:val="00531F3F"/>
    <w:rsid w:val="00561F8C"/>
    <w:rsid w:val="005645E4"/>
    <w:rsid w:val="00565201"/>
    <w:rsid w:val="005E3639"/>
    <w:rsid w:val="005F3014"/>
    <w:rsid w:val="00621A2E"/>
    <w:rsid w:val="00622B44"/>
    <w:rsid w:val="0063771B"/>
    <w:rsid w:val="00641ACE"/>
    <w:rsid w:val="00667FFE"/>
    <w:rsid w:val="00687923"/>
    <w:rsid w:val="00694C76"/>
    <w:rsid w:val="006B3214"/>
    <w:rsid w:val="006B7F99"/>
    <w:rsid w:val="006D7DF6"/>
    <w:rsid w:val="006E7921"/>
    <w:rsid w:val="007032B7"/>
    <w:rsid w:val="00750E52"/>
    <w:rsid w:val="00753E2D"/>
    <w:rsid w:val="0075768C"/>
    <w:rsid w:val="00764082"/>
    <w:rsid w:val="00766F17"/>
    <w:rsid w:val="0077019D"/>
    <w:rsid w:val="00770A66"/>
    <w:rsid w:val="007761F7"/>
    <w:rsid w:val="007A0B4F"/>
    <w:rsid w:val="007C4D80"/>
    <w:rsid w:val="007C5DFC"/>
    <w:rsid w:val="00800A9E"/>
    <w:rsid w:val="00812F33"/>
    <w:rsid w:val="00832739"/>
    <w:rsid w:val="00873E4E"/>
    <w:rsid w:val="00897B42"/>
    <w:rsid w:val="008A4068"/>
    <w:rsid w:val="008D70F5"/>
    <w:rsid w:val="008D7B38"/>
    <w:rsid w:val="008E7D2E"/>
    <w:rsid w:val="00910B92"/>
    <w:rsid w:val="00952EFF"/>
    <w:rsid w:val="0097027D"/>
    <w:rsid w:val="009850A6"/>
    <w:rsid w:val="009B1E0F"/>
    <w:rsid w:val="009B3DC6"/>
    <w:rsid w:val="009D7CDD"/>
    <w:rsid w:val="00A01D16"/>
    <w:rsid w:val="00A23069"/>
    <w:rsid w:val="00A27E43"/>
    <w:rsid w:val="00A366CA"/>
    <w:rsid w:val="00A449D6"/>
    <w:rsid w:val="00A638DC"/>
    <w:rsid w:val="00A733D6"/>
    <w:rsid w:val="00A7495B"/>
    <w:rsid w:val="00A90D42"/>
    <w:rsid w:val="00A92CCD"/>
    <w:rsid w:val="00A955C2"/>
    <w:rsid w:val="00AB518D"/>
    <w:rsid w:val="00AC1548"/>
    <w:rsid w:val="00B44C16"/>
    <w:rsid w:val="00B8082D"/>
    <w:rsid w:val="00B95AEB"/>
    <w:rsid w:val="00BD7F23"/>
    <w:rsid w:val="00BF4EBE"/>
    <w:rsid w:val="00C04A9E"/>
    <w:rsid w:val="00C05790"/>
    <w:rsid w:val="00C129D6"/>
    <w:rsid w:val="00C46A27"/>
    <w:rsid w:val="00C56C0A"/>
    <w:rsid w:val="00C57F47"/>
    <w:rsid w:val="00C97DD1"/>
    <w:rsid w:val="00CB6CB2"/>
    <w:rsid w:val="00CB7831"/>
    <w:rsid w:val="00CD0DF8"/>
    <w:rsid w:val="00CD62F5"/>
    <w:rsid w:val="00D018E4"/>
    <w:rsid w:val="00D43D8B"/>
    <w:rsid w:val="00D55070"/>
    <w:rsid w:val="00D772C9"/>
    <w:rsid w:val="00DB24F2"/>
    <w:rsid w:val="00E53BA1"/>
    <w:rsid w:val="00E81BA4"/>
    <w:rsid w:val="00ED2E77"/>
    <w:rsid w:val="00F019FD"/>
    <w:rsid w:val="00F11F4F"/>
    <w:rsid w:val="00F16BB9"/>
    <w:rsid w:val="00F179FD"/>
    <w:rsid w:val="00F66A43"/>
    <w:rsid w:val="00F67B09"/>
    <w:rsid w:val="00F743D2"/>
    <w:rsid w:val="00FC1DCD"/>
    <w:rsid w:val="00FD4DD3"/>
    <w:rsid w:val="00FE22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41039"/>
  <w15:docId w15:val="{6456A6B5-0879-4287-BA86-4E275829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7923"/>
    <w:pPr>
      <w:overflowPunct w:val="0"/>
      <w:autoSpaceDE w:val="0"/>
      <w:autoSpaceDN w:val="0"/>
      <w:adjustRightInd w:val="0"/>
      <w:textAlignment w:val="baseline"/>
    </w:pPr>
    <w:rPr>
      <w:rFonts w:ascii="New York" w:hAnsi="New York"/>
      <w:sz w:val="24"/>
      <w:lang w:eastAsia="hu-HU"/>
    </w:rPr>
  </w:style>
  <w:style w:type="paragraph" w:styleId="Cmsor1">
    <w:name w:val="heading 1"/>
    <w:basedOn w:val="Norml"/>
    <w:next w:val="Norml"/>
    <w:link w:val="Cmsor1Char"/>
    <w:uiPriority w:val="9"/>
    <w:qFormat/>
    <w:rsid w:val="00DB24F2"/>
    <w:pPr>
      <w:keepNext/>
      <w:keepLines/>
      <w:overflowPunct/>
      <w:autoSpaceDE/>
      <w:autoSpaceDN/>
      <w:adjustRightInd/>
      <w:spacing w:before="240"/>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Cmsor2">
    <w:name w:val="heading 2"/>
    <w:basedOn w:val="Norml"/>
    <w:next w:val="Norml"/>
    <w:link w:val="Cmsor2Char"/>
    <w:uiPriority w:val="9"/>
    <w:unhideWhenUsed/>
    <w:qFormat/>
    <w:rsid w:val="00DB24F2"/>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Cmsor4">
    <w:name w:val="heading 4"/>
    <w:basedOn w:val="Norml"/>
    <w:next w:val="Norml"/>
    <w:link w:val="Cmsor4Char"/>
    <w:semiHidden/>
    <w:unhideWhenUsed/>
    <w:qFormat/>
    <w:rsid w:val="0075768C"/>
    <w:pPr>
      <w:keepNext/>
      <w:overflowPunct/>
      <w:autoSpaceDE/>
      <w:autoSpaceDN/>
      <w:adjustRightInd/>
      <w:spacing w:before="240" w:after="60"/>
      <w:textAlignment w:val="auto"/>
      <w:outlineLvl w:val="3"/>
    </w:pPr>
    <w:rPr>
      <w:rFonts w:ascii="Calibri" w:hAnsi="Calibri"/>
      <w:b/>
      <w:bCs/>
      <w:sz w:val="28"/>
      <w:szCs w:val="2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semiHidden/>
    <w:rsid w:val="0075768C"/>
    <w:rPr>
      <w:rFonts w:ascii="Calibri" w:hAnsi="Calibri"/>
      <w:b/>
      <w:bCs/>
      <w:sz w:val="28"/>
      <w:szCs w:val="28"/>
    </w:rPr>
  </w:style>
  <w:style w:type="paragraph" w:styleId="Listaszerbekezds">
    <w:name w:val="List Paragraph"/>
    <w:basedOn w:val="Norml"/>
    <w:uiPriority w:val="34"/>
    <w:qFormat/>
    <w:rsid w:val="0075768C"/>
    <w:pPr>
      <w:overflowPunct/>
      <w:autoSpaceDE/>
      <w:autoSpaceDN/>
      <w:adjustRightInd/>
      <w:ind w:left="708"/>
      <w:textAlignment w:val="auto"/>
    </w:pPr>
    <w:rPr>
      <w:rFonts w:ascii="Times New Roman" w:eastAsia="Calibri" w:hAnsi="Times New Roman"/>
      <w:szCs w:val="24"/>
    </w:rPr>
  </w:style>
  <w:style w:type="paragraph" w:styleId="lfej">
    <w:name w:val="header"/>
    <w:basedOn w:val="Norml"/>
    <w:link w:val="lfejChar"/>
    <w:rsid w:val="00687923"/>
    <w:pPr>
      <w:tabs>
        <w:tab w:val="center" w:pos="4536"/>
        <w:tab w:val="right" w:pos="9072"/>
      </w:tabs>
    </w:pPr>
  </w:style>
  <w:style w:type="character" w:customStyle="1" w:styleId="lfejChar">
    <w:name w:val="Élőfej Char"/>
    <w:basedOn w:val="Bekezdsalapbettpusa"/>
    <w:link w:val="lfej"/>
    <w:rsid w:val="00687923"/>
    <w:rPr>
      <w:rFonts w:ascii="New York" w:hAnsi="New York"/>
      <w:sz w:val="24"/>
      <w:lang w:eastAsia="hu-HU"/>
    </w:rPr>
  </w:style>
  <w:style w:type="paragraph" w:styleId="llb">
    <w:name w:val="footer"/>
    <w:basedOn w:val="Norml"/>
    <w:link w:val="llbChar"/>
    <w:uiPriority w:val="99"/>
    <w:rsid w:val="00687923"/>
    <w:pPr>
      <w:tabs>
        <w:tab w:val="center" w:pos="4536"/>
        <w:tab w:val="right" w:pos="9072"/>
      </w:tabs>
    </w:pPr>
  </w:style>
  <w:style w:type="character" w:customStyle="1" w:styleId="llbChar">
    <w:name w:val="Élőláb Char"/>
    <w:basedOn w:val="Bekezdsalapbettpusa"/>
    <w:link w:val="llb"/>
    <w:uiPriority w:val="99"/>
    <w:rsid w:val="00687923"/>
    <w:rPr>
      <w:rFonts w:ascii="New York" w:hAnsi="New York"/>
      <w:sz w:val="24"/>
      <w:lang w:eastAsia="hu-HU"/>
    </w:rPr>
  </w:style>
  <w:style w:type="character" w:styleId="Hiperhivatkozs">
    <w:name w:val="Hyperlink"/>
    <w:uiPriority w:val="99"/>
    <w:rsid w:val="00687923"/>
    <w:rPr>
      <w:color w:val="0000FF"/>
      <w:u w:val="single"/>
    </w:rPr>
  </w:style>
  <w:style w:type="paragraph" w:styleId="Buborkszveg">
    <w:name w:val="Balloon Text"/>
    <w:basedOn w:val="Norml"/>
    <w:link w:val="BuborkszvegChar"/>
    <w:uiPriority w:val="99"/>
    <w:semiHidden/>
    <w:unhideWhenUsed/>
    <w:rsid w:val="00687923"/>
    <w:rPr>
      <w:rFonts w:ascii="Tahoma" w:hAnsi="Tahoma" w:cs="Tahoma"/>
      <w:sz w:val="16"/>
      <w:szCs w:val="16"/>
    </w:rPr>
  </w:style>
  <w:style w:type="character" w:customStyle="1" w:styleId="BuborkszvegChar">
    <w:name w:val="Buborékszöveg Char"/>
    <w:basedOn w:val="Bekezdsalapbettpusa"/>
    <w:link w:val="Buborkszveg"/>
    <w:uiPriority w:val="99"/>
    <w:semiHidden/>
    <w:rsid w:val="00687923"/>
    <w:rPr>
      <w:rFonts w:ascii="Tahoma" w:hAnsi="Tahoma" w:cs="Tahoma"/>
      <w:sz w:val="16"/>
      <w:szCs w:val="16"/>
      <w:lang w:eastAsia="hu-HU"/>
    </w:rPr>
  </w:style>
  <w:style w:type="character" w:customStyle="1" w:styleId="Cmsor1Char">
    <w:name w:val="Címsor 1 Char"/>
    <w:basedOn w:val="Bekezdsalapbettpusa"/>
    <w:link w:val="Cmsor1"/>
    <w:uiPriority w:val="9"/>
    <w:rsid w:val="00DB24F2"/>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DB24F2"/>
    <w:rPr>
      <w:rFonts w:asciiTheme="majorHAnsi" w:eastAsiaTheme="majorEastAsia" w:hAnsiTheme="majorHAnsi" w:cstheme="majorBidi"/>
      <w:color w:val="365F91" w:themeColor="accent1" w:themeShade="BF"/>
      <w:sz w:val="26"/>
      <w:szCs w:val="26"/>
    </w:rPr>
  </w:style>
  <w:style w:type="paragraph" w:styleId="Lbjegyzetszveg">
    <w:name w:val="footnote text"/>
    <w:aliases w:val="5_G,Footnote Text Char1,Footnote Text Char Char,Footnote Text Char1 Char Char,Footnote Text Char Char Char Char,Footnote Text Char1 Char Char1 Char Char,Footnote Text Char Char Char Char1 Char Char,ft Char Char Char Char Char Char"/>
    <w:basedOn w:val="Norml"/>
    <w:link w:val="LbjegyzetszvegChar"/>
    <w:uiPriority w:val="99"/>
    <w:unhideWhenUsed/>
    <w:qFormat/>
    <w:rsid w:val="00DB24F2"/>
    <w:pPr>
      <w:overflowPunct/>
      <w:autoSpaceDE/>
      <w:autoSpaceDN/>
      <w:adjustRightInd/>
      <w:textAlignment w:val="auto"/>
    </w:pPr>
    <w:rPr>
      <w:rFonts w:asciiTheme="minorHAnsi" w:eastAsiaTheme="minorHAnsi" w:hAnsiTheme="minorHAnsi" w:cstheme="minorBidi"/>
      <w:sz w:val="20"/>
      <w:lang w:eastAsia="en-US"/>
    </w:rPr>
  </w:style>
  <w:style w:type="character" w:customStyle="1" w:styleId="LbjegyzetszvegChar">
    <w:name w:val="Lábjegyzetszöveg Char"/>
    <w:aliases w:val="5_G Char,Footnote Text Char1 Char,Footnote Text Char Char Char,Footnote Text Char1 Char Char Char,Footnote Text Char Char Char Char Char,Footnote Text Char1 Char Char1 Char Char Char,ft Char Char Char Char Char Char Char"/>
    <w:basedOn w:val="Bekezdsalapbettpusa"/>
    <w:link w:val="Lbjegyzetszveg"/>
    <w:uiPriority w:val="99"/>
    <w:rsid w:val="00DB24F2"/>
    <w:rPr>
      <w:rFonts w:asciiTheme="minorHAnsi" w:eastAsiaTheme="minorHAnsi" w:hAnsiTheme="minorHAnsi" w:cstheme="minorBidi"/>
    </w:rPr>
  </w:style>
  <w:style w:type="character" w:styleId="Lbjegyzet-hivatkozs">
    <w:name w:val="footnote reference"/>
    <w:aliases w:val="4_G,Footnotes refss,Footnote Ref,16 Point,Superscript 6 Point,Footnote Refernece,Footnote number,ftref,a Footnote Reference,FZ,Appel note de bas de page,4_G Char,Footnotes refss Char,ftref Char,BVI fnr Char,Ref,Footnote Reference/"/>
    <w:basedOn w:val="Bekezdsalapbettpusa"/>
    <w:link w:val="BVIfnr"/>
    <w:unhideWhenUsed/>
    <w:qFormat/>
    <w:rsid w:val="00DB24F2"/>
    <w:rPr>
      <w:vertAlign w:val="superscript"/>
    </w:rPr>
  </w:style>
  <w:style w:type="paragraph" w:customStyle="1" w:styleId="SingleTxtG">
    <w:name w:val="_ Single Txt_G"/>
    <w:basedOn w:val="Norml"/>
    <w:link w:val="SingleTxtGChar"/>
    <w:qFormat/>
    <w:rsid w:val="00DB24F2"/>
    <w:pPr>
      <w:tabs>
        <w:tab w:val="left" w:pos="1701"/>
        <w:tab w:val="left" w:pos="2268"/>
        <w:tab w:val="left" w:pos="2835"/>
      </w:tabs>
      <w:suppressAutoHyphens/>
      <w:kinsoku w:val="0"/>
      <w:snapToGrid w:val="0"/>
      <w:spacing w:after="120" w:line="240" w:lineRule="atLeast"/>
      <w:ind w:left="1134" w:right="1134"/>
      <w:jc w:val="both"/>
      <w:textAlignment w:val="auto"/>
    </w:pPr>
    <w:rPr>
      <w:rFonts w:ascii="Times New Roman" w:eastAsiaTheme="minorHAnsi" w:hAnsi="Times New Roman"/>
      <w:sz w:val="20"/>
      <w:lang w:val="en-GB" w:eastAsia="en-US"/>
    </w:rPr>
  </w:style>
  <w:style w:type="character" w:customStyle="1" w:styleId="SingleTxtGChar">
    <w:name w:val="_ Single Txt_G Char"/>
    <w:link w:val="SingleTxtG"/>
    <w:locked/>
    <w:rsid w:val="00DB24F2"/>
    <w:rPr>
      <w:rFonts w:eastAsiaTheme="minorHAnsi"/>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l"/>
    <w:link w:val="Lbjegyzet-hivatkozs"/>
    <w:rsid w:val="00DB24F2"/>
    <w:pPr>
      <w:overflowPunct/>
      <w:autoSpaceDE/>
      <w:autoSpaceDN/>
      <w:adjustRightInd/>
      <w:spacing w:after="160" w:line="240" w:lineRule="exact"/>
      <w:jc w:val="both"/>
      <w:textAlignment w:val="auto"/>
    </w:pPr>
    <w:rPr>
      <w:rFonts w:ascii="Times New Roman" w:hAnsi="Times New Roman"/>
      <w:sz w:val="20"/>
      <w:vertAlign w:val="superscript"/>
      <w:lang w:eastAsia="en-US"/>
    </w:rPr>
  </w:style>
  <w:style w:type="character" w:styleId="Jegyzethivatkozs">
    <w:name w:val="annotation reference"/>
    <w:basedOn w:val="Bekezdsalapbettpusa"/>
    <w:uiPriority w:val="99"/>
    <w:semiHidden/>
    <w:unhideWhenUsed/>
    <w:rsid w:val="00DB24F2"/>
    <w:rPr>
      <w:sz w:val="16"/>
      <w:szCs w:val="16"/>
    </w:rPr>
  </w:style>
  <w:style w:type="paragraph" w:styleId="Jegyzetszveg">
    <w:name w:val="annotation text"/>
    <w:basedOn w:val="Norml"/>
    <w:link w:val="JegyzetszvegChar"/>
    <w:uiPriority w:val="99"/>
    <w:semiHidden/>
    <w:unhideWhenUsed/>
    <w:rPr>
      <w:sz w:val="20"/>
    </w:rPr>
  </w:style>
  <w:style w:type="character" w:customStyle="1" w:styleId="JegyzetszvegChar">
    <w:name w:val="Jegyzetszöveg Char"/>
    <w:basedOn w:val="Bekezdsalapbettpusa"/>
    <w:link w:val="Jegyzetszveg"/>
    <w:uiPriority w:val="99"/>
    <w:semiHidden/>
    <w:rPr>
      <w:rFonts w:ascii="New York" w:hAnsi="New York"/>
      <w:lang w:eastAsia="hu-HU"/>
    </w:rPr>
  </w:style>
  <w:style w:type="paragraph" w:styleId="Megjegyzstrgya">
    <w:name w:val="annotation subject"/>
    <w:basedOn w:val="Jegyzetszveg"/>
    <w:next w:val="Jegyzetszveg"/>
    <w:link w:val="MegjegyzstrgyaChar"/>
    <w:uiPriority w:val="99"/>
    <w:semiHidden/>
    <w:unhideWhenUsed/>
    <w:rsid w:val="00A27E43"/>
    <w:rPr>
      <w:b/>
      <w:bCs/>
    </w:rPr>
  </w:style>
  <w:style w:type="character" w:customStyle="1" w:styleId="MegjegyzstrgyaChar">
    <w:name w:val="Megjegyzés tárgya Char"/>
    <w:basedOn w:val="JegyzetszvegChar"/>
    <w:link w:val="Megjegyzstrgya"/>
    <w:uiPriority w:val="99"/>
    <w:semiHidden/>
    <w:rsid w:val="00A27E43"/>
    <w:rPr>
      <w:rFonts w:ascii="New York" w:hAnsi="New York"/>
      <w:b/>
      <w:bCs/>
      <w:lang w:eastAsia="hu-HU"/>
    </w:rPr>
  </w:style>
  <w:style w:type="character" w:customStyle="1" w:styleId="journal-title">
    <w:name w:val="journal-title"/>
    <w:basedOn w:val="Bekezdsalapbettpusa"/>
    <w:rsid w:val="000F6552"/>
  </w:style>
  <w:style w:type="character" w:customStyle="1" w:styleId="journal-volume">
    <w:name w:val="journal-volume"/>
    <w:basedOn w:val="Bekezdsalapbettpusa"/>
    <w:rsid w:val="000F6552"/>
  </w:style>
  <w:style w:type="character" w:customStyle="1" w:styleId="journal-issue">
    <w:name w:val="journal-issue"/>
    <w:basedOn w:val="Bekezdsalapbettpusa"/>
    <w:rsid w:val="000F6552"/>
  </w:style>
  <w:style w:type="character" w:customStyle="1" w:styleId="page">
    <w:name w:val="page"/>
    <w:basedOn w:val="Bekezdsalapbettpusa"/>
    <w:rsid w:val="000F6552"/>
  </w:style>
  <w:style w:type="character" w:customStyle="1" w:styleId="year">
    <w:name w:val="year"/>
    <w:basedOn w:val="Bekezdsalapbettpusa"/>
    <w:rsid w:val="000F6552"/>
  </w:style>
  <w:style w:type="paragraph" w:styleId="Vltozat">
    <w:name w:val="Revision"/>
    <w:hidden/>
    <w:uiPriority w:val="99"/>
    <w:semiHidden/>
    <w:rsid w:val="00CB6CB2"/>
    <w:rPr>
      <w:rFonts w:ascii="New York" w:hAnsi="New York"/>
      <w:sz w:val="24"/>
      <w:lang w:eastAsia="hu-HU"/>
    </w:rPr>
  </w:style>
  <w:style w:type="character" w:styleId="Mrltotthiperhivatkozs">
    <w:name w:val="FollowedHyperlink"/>
    <w:basedOn w:val="Bekezdsalapbettpusa"/>
    <w:uiPriority w:val="99"/>
    <w:semiHidden/>
    <w:unhideWhenUsed/>
    <w:rsid w:val="00A36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5622">
      <w:bodyDiv w:val="1"/>
      <w:marLeft w:val="0"/>
      <w:marRight w:val="0"/>
      <w:marTop w:val="0"/>
      <w:marBottom w:val="0"/>
      <w:divBdr>
        <w:top w:val="none" w:sz="0" w:space="0" w:color="auto"/>
        <w:left w:val="none" w:sz="0" w:space="0" w:color="auto"/>
        <w:bottom w:val="none" w:sz="0" w:space="0" w:color="auto"/>
        <w:right w:val="none" w:sz="0" w:space="0" w:color="auto"/>
      </w:divBdr>
    </w:div>
    <w:div w:id="912738567">
      <w:bodyDiv w:val="1"/>
      <w:marLeft w:val="0"/>
      <w:marRight w:val="0"/>
      <w:marTop w:val="0"/>
      <w:marBottom w:val="0"/>
      <w:divBdr>
        <w:top w:val="none" w:sz="0" w:space="0" w:color="auto"/>
        <w:left w:val="none" w:sz="0" w:space="0" w:color="auto"/>
        <w:bottom w:val="none" w:sz="0" w:space="0" w:color="auto"/>
        <w:right w:val="none" w:sz="0" w:space="0" w:color="auto"/>
      </w:divBdr>
    </w:div>
    <w:div w:id="1067149669">
      <w:bodyDiv w:val="1"/>
      <w:marLeft w:val="0"/>
      <w:marRight w:val="0"/>
      <w:marTop w:val="0"/>
      <w:marBottom w:val="0"/>
      <w:divBdr>
        <w:top w:val="none" w:sz="0" w:space="0" w:color="auto"/>
        <w:left w:val="none" w:sz="0" w:space="0" w:color="auto"/>
        <w:bottom w:val="none" w:sz="0" w:space="0" w:color="auto"/>
        <w:right w:val="none" w:sz="0" w:space="0" w:color="auto"/>
      </w:divBdr>
      <w:divsChild>
        <w:div w:id="90513005">
          <w:marLeft w:val="0"/>
          <w:marRight w:val="0"/>
          <w:marTop w:val="0"/>
          <w:marBottom w:val="0"/>
          <w:divBdr>
            <w:top w:val="none" w:sz="0" w:space="0" w:color="auto"/>
            <w:left w:val="none" w:sz="0" w:space="0" w:color="auto"/>
            <w:bottom w:val="none" w:sz="0" w:space="0" w:color="auto"/>
            <w:right w:val="none" w:sz="0" w:space="0" w:color="auto"/>
          </w:divBdr>
          <w:divsChild>
            <w:div w:id="1081413470">
              <w:marLeft w:val="0"/>
              <w:marRight w:val="0"/>
              <w:marTop w:val="0"/>
              <w:marBottom w:val="0"/>
              <w:divBdr>
                <w:top w:val="none" w:sz="0" w:space="0" w:color="auto"/>
                <w:left w:val="none" w:sz="0" w:space="0" w:color="auto"/>
                <w:bottom w:val="none" w:sz="0" w:space="0" w:color="auto"/>
                <w:right w:val="none" w:sz="0" w:space="0" w:color="auto"/>
              </w:divBdr>
            </w:div>
            <w:div w:id="365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jb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2.mtmt.hu/gui2/?type=authors&amp;mode=browse&amp;sel=100042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ezzemplen\AppData\Local\Microsoft\Windows\INetCache\Content.Outlook\K106D9V2\Biztosi%20angol%20lev&#233;lminta%202021%20postai.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1107-6418-4F7E-BC94-492BC6B1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Biztosi angol levélminta 2021 postai</Template>
  <TotalTime>14</TotalTime>
  <Pages>6</Pages>
  <Words>2049</Words>
  <Characters>14142</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Martinez-Zemplén Anna dr.</dc:creator>
  <cp:lastModifiedBy>Martinez-Zemplén Anna dr.</cp:lastModifiedBy>
  <cp:revision>6</cp:revision>
  <cp:lastPrinted>2023-02-08T09:12:00Z</cp:lastPrinted>
  <dcterms:created xsi:type="dcterms:W3CDTF">2023-02-14T11:49:00Z</dcterms:created>
  <dcterms:modified xsi:type="dcterms:W3CDTF">2023-02-14T12:05:00Z</dcterms:modified>
</cp:coreProperties>
</file>