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B8ECF" w14:textId="77777777" w:rsidR="000D51E9" w:rsidRDefault="000D51E9" w:rsidP="008B4CF7">
      <w:pPr>
        <w:spacing w:after="0" w:line="240" w:lineRule="auto"/>
        <w:jc w:val="center"/>
        <w:rPr>
          <w:rFonts w:ascii="Times New Roman" w:hAnsi="Times New Roman" w:cs="Times New Roman"/>
          <w:b/>
          <w:lang w:val="en-GB"/>
        </w:rPr>
      </w:pPr>
    </w:p>
    <w:p w14:paraId="6209A3D3" w14:textId="77777777" w:rsidR="000D51E9" w:rsidRDefault="000D51E9" w:rsidP="000D51E9">
      <w:pPr>
        <w:spacing w:after="0" w:line="360" w:lineRule="auto"/>
        <w:jc w:val="both"/>
        <w:rPr>
          <w:rFonts w:ascii="Times New Roman" w:hAnsi="Times New Roman" w:cs="Times New Roman"/>
          <w:b/>
          <w:bCs/>
          <w:lang w:val="en-US"/>
        </w:rPr>
      </w:pPr>
    </w:p>
    <w:p w14:paraId="26DEB56A" w14:textId="1CC3F44D" w:rsidR="000D51E9" w:rsidRPr="005621C3" w:rsidRDefault="000D51E9" w:rsidP="000D51E9">
      <w:pPr>
        <w:spacing w:after="0" w:line="360" w:lineRule="auto"/>
        <w:jc w:val="right"/>
        <w:rPr>
          <w:rFonts w:ascii="Times New Roman" w:hAnsi="Times New Roman" w:cs="Times New Roman"/>
          <w:bCs/>
          <w:lang w:val="en-US"/>
        </w:rPr>
      </w:pPr>
      <w:r w:rsidRPr="005621C3">
        <w:rPr>
          <w:rFonts w:ascii="Times New Roman" w:hAnsi="Times New Roman" w:cs="Times New Roman"/>
          <w:bCs/>
          <w:lang w:val="en-US"/>
        </w:rPr>
        <w:t>Venice/Bern</w:t>
      </w:r>
      <w:r w:rsidR="005E684A">
        <w:rPr>
          <w:rFonts w:ascii="Times New Roman" w:hAnsi="Times New Roman" w:cs="Times New Roman"/>
          <w:bCs/>
          <w:lang w:val="en-US"/>
        </w:rPr>
        <w:t>,</w:t>
      </w:r>
      <w:r w:rsidRPr="005621C3">
        <w:rPr>
          <w:rFonts w:ascii="Times New Roman" w:hAnsi="Times New Roman" w:cs="Times New Roman"/>
          <w:bCs/>
          <w:lang w:val="en-US"/>
        </w:rPr>
        <w:t xml:space="preserve"> </w:t>
      </w:r>
      <w:r w:rsidR="003B56F5">
        <w:rPr>
          <w:rFonts w:ascii="Times New Roman" w:hAnsi="Times New Roman" w:cs="Times New Roman"/>
          <w:bCs/>
          <w:lang w:val="en-US"/>
        </w:rPr>
        <w:t>6</w:t>
      </w:r>
      <w:r w:rsidRPr="005621C3">
        <w:rPr>
          <w:rFonts w:ascii="Times New Roman" w:hAnsi="Times New Roman" w:cs="Times New Roman"/>
          <w:bCs/>
          <w:lang w:val="en-US"/>
        </w:rPr>
        <w:t xml:space="preserve"> February 2023</w:t>
      </w:r>
    </w:p>
    <w:p w14:paraId="71A16144" w14:textId="77777777" w:rsidR="000D51E9" w:rsidRPr="000D51E9" w:rsidRDefault="000D51E9" w:rsidP="000D51E9">
      <w:pPr>
        <w:spacing w:after="0" w:line="360" w:lineRule="auto"/>
        <w:jc w:val="right"/>
        <w:rPr>
          <w:rFonts w:ascii="Times New Roman" w:hAnsi="Times New Roman" w:cs="Times New Roman"/>
          <w:bCs/>
          <w:sz w:val="28"/>
          <w:szCs w:val="28"/>
          <w:lang w:val="en-US"/>
        </w:rPr>
      </w:pPr>
    </w:p>
    <w:p w14:paraId="48E25C3A" w14:textId="38153FBE" w:rsidR="000D51E9" w:rsidRPr="000D51E9" w:rsidRDefault="000D51E9" w:rsidP="000D51E9">
      <w:pPr>
        <w:spacing w:after="0" w:line="360" w:lineRule="auto"/>
        <w:jc w:val="both"/>
        <w:rPr>
          <w:rFonts w:ascii="Times New Roman" w:hAnsi="Times New Roman" w:cs="Times New Roman"/>
          <w:b/>
          <w:bCs/>
          <w:sz w:val="28"/>
          <w:szCs w:val="28"/>
          <w:lang w:val="en-US"/>
        </w:rPr>
      </w:pPr>
      <w:r w:rsidRPr="000D51E9">
        <w:rPr>
          <w:rFonts w:ascii="Times New Roman" w:hAnsi="Times New Roman" w:cs="Times New Roman"/>
          <w:b/>
          <w:bCs/>
          <w:sz w:val="28"/>
          <w:szCs w:val="28"/>
          <w:lang w:val="en-US"/>
        </w:rPr>
        <w:t xml:space="preserve">Submission </w:t>
      </w:r>
      <w:proofErr w:type="gramStart"/>
      <w:r w:rsidRPr="000D51E9">
        <w:rPr>
          <w:rFonts w:ascii="Times New Roman" w:hAnsi="Times New Roman" w:cs="Times New Roman"/>
          <w:b/>
          <w:bCs/>
          <w:sz w:val="28"/>
          <w:szCs w:val="28"/>
          <w:lang w:val="en-US"/>
        </w:rPr>
        <w:t>for the ‘Call for comments on the draft general comment on children’s rights and the environment with a special focus on climate change’</w:t>
      </w:r>
      <w:proofErr w:type="gramEnd"/>
      <w:r>
        <w:rPr>
          <w:rStyle w:val="FootnoteReference"/>
          <w:rFonts w:ascii="Times New Roman" w:hAnsi="Times New Roman"/>
          <w:b/>
          <w:bCs/>
          <w:sz w:val="28"/>
          <w:szCs w:val="28"/>
          <w:lang w:val="en-US"/>
        </w:rPr>
        <w:footnoteReference w:id="1"/>
      </w:r>
    </w:p>
    <w:p w14:paraId="7BEBA687" w14:textId="77777777" w:rsidR="000D51E9" w:rsidRPr="005A4824" w:rsidRDefault="000D51E9" w:rsidP="000D51E9">
      <w:pPr>
        <w:spacing w:after="0" w:line="360" w:lineRule="auto"/>
        <w:jc w:val="both"/>
        <w:rPr>
          <w:rFonts w:ascii="Times New Roman" w:hAnsi="Times New Roman" w:cs="Times New Roman"/>
          <w:bCs/>
          <w:lang w:val="en-GB"/>
        </w:rPr>
      </w:pPr>
    </w:p>
    <w:p w14:paraId="1A6088B9" w14:textId="77777777" w:rsidR="000D51E9" w:rsidRPr="00B20004" w:rsidRDefault="000D51E9" w:rsidP="000D51E9">
      <w:pPr>
        <w:spacing w:after="0" w:line="360" w:lineRule="auto"/>
        <w:jc w:val="both"/>
        <w:rPr>
          <w:rFonts w:ascii="Times New Roman" w:hAnsi="Times New Roman" w:cs="Times New Roman"/>
          <w:b/>
          <w:bCs/>
          <w:lang w:val="en-US"/>
        </w:rPr>
      </w:pPr>
      <w:proofErr w:type="spellStart"/>
      <w:r w:rsidRPr="005A4824">
        <w:rPr>
          <w:rFonts w:ascii="Times New Roman" w:hAnsi="Times New Roman" w:cs="Times New Roman"/>
          <w:b/>
          <w:bCs/>
          <w:lang w:val="es-ES"/>
        </w:rPr>
        <w:t>About</w:t>
      </w:r>
      <w:proofErr w:type="spellEnd"/>
      <w:r w:rsidRPr="005A4824">
        <w:rPr>
          <w:rFonts w:ascii="Times New Roman" w:hAnsi="Times New Roman" w:cs="Times New Roman"/>
          <w:b/>
          <w:bCs/>
          <w:lang w:val="es-ES"/>
        </w:rPr>
        <w:t xml:space="preserve"> para. 13, para. 76 and para. </w:t>
      </w:r>
      <w:r w:rsidRPr="00B20004">
        <w:rPr>
          <w:rFonts w:ascii="Times New Roman" w:hAnsi="Times New Roman" w:cs="Times New Roman"/>
          <w:b/>
          <w:bCs/>
          <w:lang w:val="en-US"/>
        </w:rPr>
        <w:t>88.</w:t>
      </w:r>
    </w:p>
    <w:p w14:paraId="0469E878" w14:textId="77777777" w:rsidR="000D51E9" w:rsidRPr="00B20004" w:rsidRDefault="000D51E9" w:rsidP="000D51E9">
      <w:pPr>
        <w:spacing w:after="0" w:line="360" w:lineRule="auto"/>
        <w:jc w:val="both"/>
        <w:rPr>
          <w:rFonts w:ascii="Times New Roman" w:hAnsi="Times New Roman" w:cs="Times New Roman"/>
          <w:lang w:val="en-US"/>
        </w:rPr>
      </w:pPr>
      <w:r w:rsidRPr="00B20004">
        <w:rPr>
          <w:rFonts w:ascii="Times New Roman" w:hAnsi="Times New Roman" w:cs="Times New Roman"/>
          <w:lang w:val="en-US"/>
        </w:rPr>
        <w:t xml:space="preserve">Intergenerational equity is </w:t>
      </w:r>
      <w:r>
        <w:rPr>
          <w:rFonts w:ascii="Times New Roman" w:hAnsi="Times New Roman" w:cs="Times New Roman"/>
          <w:lang w:val="en-US"/>
        </w:rPr>
        <w:t xml:space="preserve">a </w:t>
      </w:r>
      <w:r w:rsidRPr="00B20004">
        <w:rPr>
          <w:rFonts w:ascii="Times New Roman" w:hAnsi="Times New Roman" w:cs="Times New Roman"/>
          <w:lang w:val="en-US"/>
        </w:rPr>
        <w:t xml:space="preserve">fundamental </w:t>
      </w:r>
      <w:r>
        <w:rPr>
          <w:rFonts w:ascii="Times New Roman" w:hAnsi="Times New Roman" w:cs="Times New Roman"/>
          <w:lang w:val="en-US"/>
        </w:rPr>
        <w:t xml:space="preserve">principle </w:t>
      </w:r>
      <w:r w:rsidRPr="00B20004">
        <w:rPr>
          <w:rFonts w:ascii="Times New Roman" w:hAnsi="Times New Roman" w:cs="Times New Roman"/>
          <w:lang w:val="en-US"/>
        </w:rPr>
        <w:t>while dealing with the concept of time</w:t>
      </w:r>
      <w:r>
        <w:rPr>
          <w:rFonts w:ascii="Times New Roman" w:hAnsi="Times New Roman" w:cs="Times New Roman"/>
          <w:lang w:val="en-US"/>
        </w:rPr>
        <w:t xml:space="preserve"> and temporalities</w:t>
      </w:r>
      <w:r w:rsidRPr="00B20004">
        <w:rPr>
          <w:rFonts w:ascii="Times New Roman" w:hAnsi="Times New Roman" w:cs="Times New Roman"/>
          <w:lang w:val="en-US"/>
        </w:rPr>
        <w:t xml:space="preserve"> in international human rights law</w:t>
      </w:r>
      <w:r>
        <w:rPr>
          <w:rFonts w:ascii="Times New Roman" w:hAnsi="Times New Roman" w:cs="Times New Roman"/>
          <w:lang w:val="en-US"/>
        </w:rPr>
        <w:t>,</w:t>
      </w:r>
      <w:r w:rsidRPr="00B20004">
        <w:rPr>
          <w:rStyle w:val="FootnoteReference"/>
        </w:rPr>
        <w:footnoteReference w:id="2"/>
      </w:r>
      <w:r>
        <w:rPr>
          <w:rFonts w:ascii="Times New Roman" w:hAnsi="Times New Roman" w:cs="Times New Roman"/>
          <w:lang w:val="en-US"/>
        </w:rPr>
        <w:t xml:space="preserve"> and with the compelling issues emerging in international environmental and climate change law.</w:t>
      </w:r>
      <w:r w:rsidRPr="00B20004">
        <w:rPr>
          <w:rFonts w:ascii="Times New Roman" w:hAnsi="Times New Roman" w:cs="Times New Roman"/>
          <w:lang w:val="en-US"/>
        </w:rPr>
        <w:t xml:space="preserve"> The legal reasoning that</w:t>
      </w:r>
      <w:r>
        <w:rPr>
          <w:rFonts w:ascii="Times New Roman" w:hAnsi="Times New Roman" w:cs="Times New Roman"/>
          <w:lang w:val="en-US"/>
        </w:rPr>
        <w:t xml:space="preserve"> </w:t>
      </w:r>
      <w:r w:rsidRPr="00B20004">
        <w:rPr>
          <w:rFonts w:ascii="Times New Roman" w:hAnsi="Times New Roman" w:cs="Times New Roman"/>
          <w:lang w:val="en-US"/>
        </w:rPr>
        <w:t xml:space="preserve">underlies the </w:t>
      </w:r>
      <w:r>
        <w:rPr>
          <w:rFonts w:ascii="Times New Roman" w:hAnsi="Times New Roman" w:cs="Times New Roman"/>
          <w:lang w:val="en-US"/>
        </w:rPr>
        <w:t>D</w:t>
      </w:r>
      <w:r w:rsidRPr="00B20004">
        <w:rPr>
          <w:rFonts w:ascii="Times New Roman" w:hAnsi="Times New Roman" w:cs="Times New Roman"/>
          <w:lang w:val="en-US"/>
        </w:rPr>
        <w:t xml:space="preserve">raft GC </w:t>
      </w:r>
      <w:r>
        <w:rPr>
          <w:rFonts w:ascii="Times New Roman" w:hAnsi="Times New Roman" w:cs="Times New Roman"/>
          <w:lang w:val="en-US"/>
        </w:rPr>
        <w:t xml:space="preserve">duly </w:t>
      </w:r>
      <w:r w:rsidRPr="00B20004">
        <w:rPr>
          <w:rFonts w:ascii="Times New Roman" w:hAnsi="Times New Roman" w:cs="Times New Roman"/>
          <w:lang w:val="en-US"/>
        </w:rPr>
        <w:t xml:space="preserve">takes into account both present and future generations. Children are the future, both those that are already born and those that will be born in the years to come. </w:t>
      </w:r>
    </w:p>
    <w:p w14:paraId="6E07ED1A" w14:textId="77777777" w:rsidR="000D51E9" w:rsidRPr="00B20004" w:rsidRDefault="000D51E9" w:rsidP="000D51E9">
      <w:pPr>
        <w:spacing w:after="0" w:line="360" w:lineRule="auto"/>
        <w:jc w:val="both"/>
        <w:rPr>
          <w:rFonts w:ascii="Times New Roman" w:hAnsi="Times New Roman" w:cs="Times New Roman"/>
          <w:lang w:val="en-US"/>
        </w:rPr>
      </w:pPr>
      <w:r>
        <w:rPr>
          <w:rFonts w:ascii="Times New Roman" w:hAnsi="Times New Roman" w:cs="Times New Roman"/>
          <w:lang w:val="en-US"/>
        </w:rPr>
        <w:t>Concerning</w:t>
      </w:r>
      <w:r w:rsidRPr="00B20004">
        <w:rPr>
          <w:rFonts w:ascii="Times New Roman" w:hAnsi="Times New Roman" w:cs="Times New Roman"/>
          <w:lang w:val="en-US"/>
        </w:rPr>
        <w:t xml:space="preserve"> the protection of the environment for present and future generations, </w:t>
      </w:r>
      <w:r>
        <w:rPr>
          <w:rFonts w:ascii="Times New Roman" w:hAnsi="Times New Roman" w:cs="Times New Roman"/>
          <w:lang w:val="en-US"/>
        </w:rPr>
        <w:t>both</w:t>
      </w:r>
      <w:r w:rsidRPr="00B20004">
        <w:rPr>
          <w:rFonts w:ascii="Times New Roman" w:hAnsi="Times New Roman" w:cs="Times New Roman"/>
          <w:lang w:val="en-US"/>
        </w:rPr>
        <w:t xml:space="preserve"> natural major disasters and slow-onset emergencies, or, better – to transfer a non-legal concept to legal arguments – </w:t>
      </w:r>
      <w:r>
        <w:rPr>
          <w:rFonts w:ascii="Times New Roman" w:hAnsi="Times New Roman" w:cs="Times New Roman"/>
          <w:lang w:val="en-US"/>
        </w:rPr>
        <w:t>“</w:t>
      </w:r>
      <w:r w:rsidRPr="00B20004">
        <w:rPr>
          <w:rFonts w:ascii="Times New Roman" w:hAnsi="Times New Roman" w:cs="Times New Roman"/>
          <w:lang w:val="en-US"/>
        </w:rPr>
        <w:t>slow violence</w:t>
      </w:r>
      <w:r>
        <w:rPr>
          <w:rFonts w:ascii="Times New Roman" w:hAnsi="Times New Roman" w:cs="Times New Roman"/>
          <w:lang w:val="en-US"/>
        </w:rPr>
        <w:t>”</w:t>
      </w:r>
      <w:r>
        <w:rPr>
          <w:rStyle w:val="FootnoteReference"/>
        </w:rPr>
        <w:footnoteReference w:id="3"/>
      </w:r>
      <w:r>
        <w:rPr>
          <w:rFonts w:ascii="Times New Roman" w:hAnsi="Times New Roman" w:cs="Times New Roman"/>
          <w:lang w:val="en-US"/>
        </w:rPr>
        <w:t xml:space="preserve"> are relevant</w:t>
      </w:r>
      <w:r w:rsidRPr="00B20004">
        <w:rPr>
          <w:rFonts w:ascii="Times New Roman" w:hAnsi="Times New Roman" w:cs="Times New Roman"/>
          <w:lang w:val="en-US"/>
        </w:rPr>
        <w:t>. The phenomena are different: major disasters erupt in a precise moment of time, and their effects are</w:t>
      </w:r>
      <w:r>
        <w:rPr>
          <w:rFonts w:ascii="Times New Roman" w:hAnsi="Times New Roman" w:cs="Times New Roman"/>
          <w:lang w:val="en-US"/>
        </w:rPr>
        <w:t xml:space="preserve"> clearly</w:t>
      </w:r>
      <w:r w:rsidRPr="00B20004">
        <w:rPr>
          <w:rFonts w:ascii="Times New Roman" w:hAnsi="Times New Roman" w:cs="Times New Roman"/>
          <w:lang w:val="en-US"/>
        </w:rPr>
        <w:t xml:space="preserve"> immediate</w:t>
      </w:r>
      <w:r>
        <w:rPr>
          <w:rFonts w:ascii="Times New Roman" w:hAnsi="Times New Roman" w:cs="Times New Roman"/>
          <w:lang w:val="en-US"/>
        </w:rPr>
        <w:t>, medium</w:t>
      </w:r>
      <w:r w:rsidRPr="00B20004">
        <w:rPr>
          <w:rFonts w:ascii="Times New Roman" w:hAnsi="Times New Roman" w:cs="Times New Roman"/>
          <w:lang w:val="en-US"/>
        </w:rPr>
        <w:t xml:space="preserve"> and long-term</w:t>
      </w:r>
      <w:r>
        <w:rPr>
          <w:rFonts w:ascii="Times New Roman" w:hAnsi="Times New Roman" w:cs="Times New Roman"/>
          <w:lang w:val="en-US"/>
        </w:rPr>
        <w:t>, but the present dimension usually prevail in the adoption of policies aimed at responding to the emergency</w:t>
      </w:r>
      <w:r w:rsidRPr="00B20004">
        <w:rPr>
          <w:rFonts w:ascii="Times New Roman" w:hAnsi="Times New Roman" w:cs="Times New Roman"/>
          <w:lang w:val="en-US"/>
        </w:rPr>
        <w:t>. Slow violence</w:t>
      </w:r>
      <w:r>
        <w:rPr>
          <w:rFonts w:ascii="Times New Roman" w:hAnsi="Times New Roman" w:cs="Times New Roman"/>
          <w:lang w:val="en-US"/>
        </w:rPr>
        <w:t>, on the contrary,</w:t>
      </w:r>
      <w:r w:rsidRPr="00B20004">
        <w:rPr>
          <w:rFonts w:ascii="Times New Roman" w:hAnsi="Times New Roman" w:cs="Times New Roman"/>
          <w:lang w:val="en-US"/>
        </w:rPr>
        <w:t xml:space="preserve"> might or might not lead to major environmental disasters. Several bodies have acknowledged this twofold dimension in the protection of the environment. For example, the Human Rights Committee, in </w:t>
      </w:r>
      <w:r w:rsidRPr="00B20004">
        <w:rPr>
          <w:rFonts w:ascii="Times New Roman" w:hAnsi="Times New Roman" w:cs="Times New Roman"/>
          <w:i/>
          <w:iCs/>
          <w:lang w:val="en-US"/>
        </w:rPr>
        <w:t>Daniel Billy et al. v. Australia</w:t>
      </w:r>
      <w:r w:rsidRPr="00B20004">
        <w:rPr>
          <w:rFonts w:ascii="Times New Roman" w:hAnsi="Times New Roman" w:cs="Times New Roman"/>
          <w:lang w:val="en-US"/>
        </w:rPr>
        <w:t xml:space="preserve"> (views of 21 July 2022), confirmed the affirmation already included in </w:t>
      </w:r>
      <w:r w:rsidRPr="00B20004">
        <w:rPr>
          <w:rFonts w:ascii="Times New Roman" w:hAnsi="Times New Roman" w:cs="Times New Roman"/>
          <w:i/>
          <w:iCs/>
          <w:lang w:val="en-US"/>
        </w:rPr>
        <w:t>General Comment No. 36</w:t>
      </w:r>
      <w:r w:rsidRPr="00B20004">
        <w:rPr>
          <w:rFonts w:ascii="Times New Roman" w:hAnsi="Times New Roman" w:cs="Times New Roman"/>
          <w:lang w:val="en-US"/>
        </w:rPr>
        <w:t xml:space="preserve"> that “environmental degradation, climate change and unsustainable development constitute some of the most pressing and serious threats to the ability of present and future generations to enjoy the right to life.”</w:t>
      </w:r>
      <w:r w:rsidRPr="00B20004">
        <w:rPr>
          <w:rStyle w:val="FootnoteReference"/>
        </w:rPr>
        <w:footnoteReference w:id="4"/>
      </w:r>
    </w:p>
    <w:p w14:paraId="411FF069" w14:textId="77777777" w:rsidR="000D51E9" w:rsidRPr="00B20004" w:rsidRDefault="000D51E9" w:rsidP="000D51E9">
      <w:pPr>
        <w:spacing w:after="0" w:line="360" w:lineRule="auto"/>
        <w:jc w:val="both"/>
        <w:rPr>
          <w:rFonts w:ascii="Times New Roman" w:hAnsi="Times New Roman" w:cs="Times New Roman"/>
          <w:lang w:val="en-US"/>
        </w:rPr>
      </w:pPr>
      <w:r w:rsidRPr="00B20004">
        <w:rPr>
          <w:rFonts w:ascii="Times New Roman" w:hAnsi="Times New Roman" w:cs="Times New Roman"/>
          <w:lang w:val="en-US"/>
        </w:rPr>
        <w:t>The suggestion we make</w:t>
      </w:r>
      <w:r>
        <w:rPr>
          <w:rFonts w:ascii="Times New Roman" w:hAnsi="Times New Roman" w:cs="Times New Roman"/>
          <w:lang w:val="en-US"/>
        </w:rPr>
        <w:t xml:space="preserve"> in these pages</w:t>
      </w:r>
      <w:r w:rsidRPr="00B20004">
        <w:rPr>
          <w:rFonts w:ascii="Times New Roman" w:hAnsi="Times New Roman" w:cs="Times New Roman"/>
          <w:lang w:val="en-US"/>
        </w:rPr>
        <w:t xml:space="preserve"> is to push for </w:t>
      </w:r>
      <w:proofErr w:type="gramStart"/>
      <w:r w:rsidRPr="00B20004">
        <w:rPr>
          <w:rFonts w:ascii="Times New Roman" w:hAnsi="Times New Roman" w:cs="Times New Roman"/>
          <w:lang w:val="en-US"/>
        </w:rPr>
        <w:t>a</w:t>
      </w:r>
      <w:proofErr w:type="gramEnd"/>
      <w:r w:rsidRPr="00B20004">
        <w:rPr>
          <w:rFonts w:ascii="Times New Roman" w:hAnsi="Times New Roman" w:cs="Times New Roman"/>
          <w:lang w:val="en-US"/>
        </w:rPr>
        <w:t xml:space="preserve"> inchoate principle: </w:t>
      </w:r>
      <w:r w:rsidRPr="00B20004">
        <w:rPr>
          <w:rFonts w:ascii="Times New Roman" w:hAnsi="Times New Roman" w:cs="Times New Roman"/>
          <w:i/>
          <w:iCs/>
          <w:lang w:val="en-US"/>
        </w:rPr>
        <w:t xml:space="preserve">in </w:t>
      </w:r>
      <w:proofErr w:type="spellStart"/>
      <w:r w:rsidRPr="00B20004">
        <w:rPr>
          <w:rFonts w:ascii="Times New Roman" w:hAnsi="Times New Roman" w:cs="Times New Roman"/>
          <w:i/>
          <w:iCs/>
          <w:lang w:val="en-US"/>
        </w:rPr>
        <w:t>dubio</w:t>
      </w:r>
      <w:proofErr w:type="spellEnd"/>
      <w:r w:rsidRPr="00B20004">
        <w:rPr>
          <w:rFonts w:ascii="Times New Roman" w:hAnsi="Times New Roman" w:cs="Times New Roman"/>
          <w:i/>
          <w:iCs/>
          <w:lang w:val="en-US"/>
        </w:rPr>
        <w:t xml:space="preserve"> pro </w:t>
      </w:r>
      <w:proofErr w:type="spellStart"/>
      <w:r w:rsidRPr="00B20004">
        <w:rPr>
          <w:rFonts w:ascii="Times New Roman" w:hAnsi="Times New Roman" w:cs="Times New Roman"/>
          <w:i/>
          <w:iCs/>
          <w:lang w:val="en-US"/>
        </w:rPr>
        <w:t>futuris</w:t>
      </w:r>
      <w:proofErr w:type="spellEnd"/>
      <w:r w:rsidRPr="00B20004">
        <w:rPr>
          <w:rFonts w:ascii="Times New Roman" w:hAnsi="Times New Roman" w:cs="Times New Roman"/>
          <w:i/>
          <w:iCs/>
          <w:lang w:val="en-US"/>
        </w:rPr>
        <w:t xml:space="preserve"> </w:t>
      </w:r>
      <w:proofErr w:type="spellStart"/>
      <w:r w:rsidRPr="00B20004">
        <w:rPr>
          <w:rFonts w:ascii="Times New Roman" w:hAnsi="Times New Roman" w:cs="Times New Roman"/>
          <w:i/>
          <w:iCs/>
          <w:lang w:val="en-US"/>
        </w:rPr>
        <w:t>generationibus</w:t>
      </w:r>
      <w:proofErr w:type="spellEnd"/>
      <w:r w:rsidRPr="00B20004">
        <w:rPr>
          <w:rFonts w:ascii="Times New Roman" w:hAnsi="Times New Roman" w:cs="Times New Roman"/>
          <w:lang w:val="en-US"/>
        </w:rPr>
        <w:t xml:space="preserve">, which draws from the principle </w:t>
      </w:r>
      <w:r w:rsidRPr="00B20004">
        <w:rPr>
          <w:rFonts w:ascii="Times New Roman" w:hAnsi="Times New Roman" w:cs="Times New Roman"/>
          <w:i/>
          <w:iCs/>
          <w:lang w:val="en-US"/>
        </w:rPr>
        <w:t xml:space="preserve">in </w:t>
      </w:r>
      <w:proofErr w:type="spellStart"/>
      <w:r w:rsidRPr="00B20004">
        <w:rPr>
          <w:rFonts w:ascii="Times New Roman" w:hAnsi="Times New Roman" w:cs="Times New Roman"/>
          <w:i/>
          <w:iCs/>
          <w:lang w:val="en-US"/>
        </w:rPr>
        <w:t>dubio</w:t>
      </w:r>
      <w:proofErr w:type="spellEnd"/>
      <w:r w:rsidRPr="00B20004">
        <w:rPr>
          <w:rFonts w:ascii="Times New Roman" w:hAnsi="Times New Roman" w:cs="Times New Roman"/>
          <w:i/>
          <w:iCs/>
          <w:lang w:val="en-US"/>
        </w:rPr>
        <w:t xml:space="preserve"> pro </w:t>
      </w:r>
      <w:proofErr w:type="spellStart"/>
      <w:r w:rsidRPr="00B20004">
        <w:rPr>
          <w:rFonts w:ascii="Times New Roman" w:hAnsi="Times New Roman" w:cs="Times New Roman"/>
          <w:i/>
          <w:iCs/>
          <w:lang w:val="en-US"/>
        </w:rPr>
        <w:t>natura</w:t>
      </w:r>
      <w:proofErr w:type="spellEnd"/>
      <w:r>
        <w:rPr>
          <w:rFonts w:ascii="Times New Roman" w:hAnsi="Times New Roman" w:cs="Times New Roman"/>
          <w:lang w:val="en-US"/>
        </w:rPr>
        <w:t xml:space="preserve"> and explains in operative terms the </w:t>
      </w:r>
      <w:r>
        <w:rPr>
          <w:rFonts w:ascii="Times New Roman" w:hAnsi="Times New Roman" w:cs="Times New Roman"/>
          <w:lang w:val="en-US"/>
        </w:rPr>
        <w:lastRenderedPageBreak/>
        <w:t>principle of intergenerational equity,</w:t>
      </w:r>
      <w:r w:rsidRPr="00B20004">
        <w:rPr>
          <w:rFonts w:ascii="Times New Roman" w:hAnsi="Times New Roman" w:cs="Times New Roman"/>
          <w:lang w:val="en-US"/>
        </w:rPr>
        <w:t xml:space="preserve"> entails a consideration of the interests of future generations in all actions undertaken by States.</w:t>
      </w:r>
      <w:r w:rsidRPr="00B20004">
        <w:rPr>
          <w:rStyle w:val="FootnoteReference"/>
        </w:rPr>
        <w:footnoteReference w:id="5"/>
      </w:r>
      <w:r w:rsidRPr="00B20004">
        <w:rPr>
          <w:rFonts w:ascii="Times New Roman" w:hAnsi="Times New Roman" w:cs="Times New Roman"/>
          <w:lang w:val="en-US"/>
        </w:rPr>
        <w:t xml:space="preserve"> The perspective is </w:t>
      </w:r>
      <w:r>
        <w:rPr>
          <w:rFonts w:ascii="Times New Roman" w:hAnsi="Times New Roman" w:cs="Times New Roman"/>
          <w:lang w:val="en-US"/>
        </w:rPr>
        <w:t>eco-centric</w:t>
      </w:r>
      <w:r w:rsidRPr="00B20004">
        <w:rPr>
          <w:rFonts w:ascii="Times New Roman" w:hAnsi="Times New Roman" w:cs="Times New Roman"/>
          <w:lang w:val="en-US"/>
        </w:rPr>
        <w:t>, because it appreciates the environment as a whole, composed of human and non-human beings, as well as natural objects, including present and future generations</w:t>
      </w:r>
      <w:r>
        <w:rPr>
          <w:rFonts w:ascii="Times New Roman" w:hAnsi="Times New Roman" w:cs="Times New Roman"/>
          <w:lang w:val="en-US"/>
        </w:rPr>
        <w:t>.</w:t>
      </w:r>
      <w:r w:rsidRPr="00B20004">
        <w:rPr>
          <w:rStyle w:val="FootnoteReference"/>
        </w:rPr>
        <w:footnoteReference w:id="6"/>
      </w:r>
      <w:r w:rsidRPr="00B20004">
        <w:rPr>
          <w:rFonts w:ascii="Times New Roman" w:hAnsi="Times New Roman" w:cs="Times New Roman"/>
          <w:lang w:val="en-US"/>
        </w:rPr>
        <w:t xml:space="preserve"> </w:t>
      </w:r>
      <w:r>
        <w:rPr>
          <w:rFonts w:ascii="Times New Roman" w:hAnsi="Times New Roman" w:cs="Times New Roman"/>
          <w:lang w:val="en-US"/>
        </w:rPr>
        <w:t>What we suggest is that t</w:t>
      </w:r>
      <w:r w:rsidRPr="00B20004">
        <w:rPr>
          <w:rFonts w:ascii="Times New Roman" w:hAnsi="Times New Roman" w:cs="Times New Roman"/>
          <w:lang w:val="en-US"/>
        </w:rPr>
        <w:t xml:space="preserve">he environment does not need to </w:t>
      </w:r>
      <w:proofErr w:type="gramStart"/>
      <w:r w:rsidRPr="00B20004">
        <w:rPr>
          <w:rFonts w:ascii="Times New Roman" w:hAnsi="Times New Roman" w:cs="Times New Roman"/>
          <w:lang w:val="en-US"/>
        </w:rPr>
        <w:t>be protected</w:t>
      </w:r>
      <w:proofErr w:type="gramEnd"/>
      <w:r w:rsidRPr="00B20004">
        <w:rPr>
          <w:rFonts w:ascii="Times New Roman" w:hAnsi="Times New Roman" w:cs="Times New Roman"/>
          <w:lang w:val="en-US"/>
        </w:rPr>
        <w:t xml:space="preserve"> </w:t>
      </w:r>
      <w:r w:rsidRPr="00B20004">
        <w:rPr>
          <w:rFonts w:ascii="Times New Roman" w:hAnsi="Times New Roman" w:cs="Times New Roman"/>
          <w:i/>
          <w:iCs/>
          <w:lang w:val="en-US"/>
        </w:rPr>
        <w:t xml:space="preserve">in </w:t>
      </w:r>
      <w:proofErr w:type="spellStart"/>
      <w:r w:rsidRPr="00B20004">
        <w:rPr>
          <w:rFonts w:ascii="Times New Roman" w:hAnsi="Times New Roman" w:cs="Times New Roman"/>
          <w:i/>
          <w:iCs/>
          <w:lang w:val="en-US"/>
        </w:rPr>
        <w:t>favour</w:t>
      </w:r>
      <w:proofErr w:type="spellEnd"/>
      <w:r w:rsidRPr="00B20004">
        <w:rPr>
          <w:rFonts w:ascii="Times New Roman" w:hAnsi="Times New Roman" w:cs="Times New Roman"/>
          <w:lang w:val="en-US"/>
        </w:rPr>
        <w:t xml:space="preserve"> of present and future generations, but the protection of the environment </w:t>
      </w:r>
      <w:r w:rsidRPr="00B20004">
        <w:rPr>
          <w:rFonts w:ascii="Times New Roman" w:hAnsi="Times New Roman" w:cs="Times New Roman"/>
          <w:i/>
          <w:iCs/>
          <w:lang w:val="en-US"/>
        </w:rPr>
        <w:t>in itself</w:t>
      </w:r>
      <w:r w:rsidRPr="00B20004">
        <w:rPr>
          <w:rFonts w:ascii="Times New Roman" w:hAnsi="Times New Roman" w:cs="Times New Roman"/>
          <w:lang w:val="en-US"/>
        </w:rPr>
        <w:t xml:space="preserve"> contains the protection of the interests of both the present and the future generations. </w:t>
      </w:r>
      <w:proofErr w:type="gramStart"/>
      <w:r w:rsidRPr="00B20004">
        <w:rPr>
          <w:rFonts w:ascii="Times New Roman" w:hAnsi="Times New Roman" w:cs="Times New Roman"/>
          <w:lang w:val="en-US"/>
        </w:rPr>
        <w:t xml:space="preserve">As a consequence, the </w:t>
      </w:r>
      <w:r w:rsidRPr="00B20004">
        <w:rPr>
          <w:rFonts w:ascii="Times New Roman" w:hAnsi="Times New Roman" w:cs="Times New Roman"/>
          <w:i/>
          <w:iCs/>
          <w:lang w:val="en-US"/>
        </w:rPr>
        <w:t xml:space="preserve">in </w:t>
      </w:r>
      <w:proofErr w:type="spellStart"/>
      <w:r w:rsidRPr="00B20004">
        <w:rPr>
          <w:rFonts w:ascii="Times New Roman" w:hAnsi="Times New Roman" w:cs="Times New Roman"/>
          <w:i/>
          <w:iCs/>
          <w:lang w:val="en-US"/>
        </w:rPr>
        <w:t>dubio</w:t>
      </w:r>
      <w:proofErr w:type="spellEnd"/>
      <w:r w:rsidRPr="00B20004">
        <w:rPr>
          <w:rFonts w:ascii="Times New Roman" w:hAnsi="Times New Roman" w:cs="Times New Roman"/>
          <w:i/>
          <w:iCs/>
          <w:lang w:val="en-US"/>
        </w:rPr>
        <w:t xml:space="preserve"> pro </w:t>
      </w:r>
      <w:proofErr w:type="spellStart"/>
      <w:r w:rsidRPr="00B20004">
        <w:rPr>
          <w:rFonts w:ascii="Times New Roman" w:hAnsi="Times New Roman" w:cs="Times New Roman"/>
          <w:i/>
          <w:iCs/>
          <w:lang w:val="en-US"/>
        </w:rPr>
        <w:t>natura</w:t>
      </w:r>
      <w:proofErr w:type="spellEnd"/>
      <w:r w:rsidRPr="00B20004">
        <w:rPr>
          <w:rFonts w:ascii="Times New Roman" w:hAnsi="Times New Roman" w:cs="Times New Roman"/>
          <w:lang w:val="en-US"/>
        </w:rPr>
        <w:t xml:space="preserve"> </w:t>
      </w:r>
      <w:proofErr w:type="spellStart"/>
      <w:r w:rsidRPr="00B20004">
        <w:rPr>
          <w:rFonts w:ascii="Times New Roman" w:hAnsi="Times New Roman" w:cs="Times New Roman"/>
          <w:lang w:val="en-US"/>
        </w:rPr>
        <w:t>brocardo</w:t>
      </w:r>
      <w:proofErr w:type="spellEnd"/>
      <w:r w:rsidRPr="00B20004">
        <w:rPr>
          <w:rFonts w:ascii="Times New Roman" w:hAnsi="Times New Roman" w:cs="Times New Roman"/>
          <w:lang w:val="en-US"/>
        </w:rPr>
        <w:t xml:space="preserve"> can be read and interpreted as </w:t>
      </w:r>
      <w:r w:rsidRPr="00B20004">
        <w:rPr>
          <w:rFonts w:ascii="Times New Roman" w:hAnsi="Times New Roman" w:cs="Times New Roman"/>
          <w:i/>
          <w:iCs/>
          <w:lang w:val="en-US"/>
        </w:rPr>
        <w:t xml:space="preserve">in </w:t>
      </w:r>
      <w:proofErr w:type="spellStart"/>
      <w:r w:rsidRPr="00B20004">
        <w:rPr>
          <w:rFonts w:ascii="Times New Roman" w:hAnsi="Times New Roman" w:cs="Times New Roman"/>
          <w:i/>
          <w:iCs/>
          <w:lang w:val="en-US"/>
        </w:rPr>
        <w:t>dubio</w:t>
      </w:r>
      <w:proofErr w:type="spellEnd"/>
      <w:r w:rsidRPr="00B20004">
        <w:rPr>
          <w:rFonts w:ascii="Times New Roman" w:hAnsi="Times New Roman" w:cs="Times New Roman"/>
          <w:i/>
          <w:iCs/>
          <w:lang w:val="en-US"/>
        </w:rPr>
        <w:t xml:space="preserve"> pro </w:t>
      </w:r>
      <w:proofErr w:type="spellStart"/>
      <w:r w:rsidRPr="00B20004">
        <w:rPr>
          <w:rFonts w:ascii="Times New Roman" w:hAnsi="Times New Roman" w:cs="Times New Roman"/>
          <w:i/>
          <w:iCs/>
          <w:lang w:val="en-US"/>
        </w:rPr>
        <w:t>futuris</w:t>
      </w:r>
      <w:proofErr w:type="spellEnd"/>
      <w:r w:rsidRPr="00B20004">
        <w:rPr>
          <w:rFonts w:ascii="Times New Roman" w:hAnsi="Times New Roman" w:cs="Times New Roman"/>
          <w:i/>
          <w:iCs/>
          <w:lang w:val="en-US"/>
        </w:rPr>
        <w:t xml:space="preserve"> </w:t>
      </w:r>
      <w:proofErr w:type="spellStart"/>
      <w:r w:rsidRPr="00B20004">
        <w:rPr>
          <w:rFonts w:ascii="Times New Roman" w:hAnsi="Times New Roman" w:cs="Times New Roman"/>
          <w:i/>
          <w:iCs/>
          <w:lang w:val="en-US"/>
        </w:rPr>
        <w:t>generationibus</w:t>
      </w:r>
      <w:proofErr w:type="spellEnd"/>
      <w:r w:rsidRPr="00B20004">
        <w:rPr>
          <w:rFonts w:ascii="Times New Roman" w:hAnsi="Times New Roman" w:cs="Times New Roman"/>
          <w:lang w:val="en-US"/>
        </w:rPr>
        <w:t xml:space="preserve">, meaning that, when there is an uncertain situation or a conflict of interest, or the state of the art of science does not allow to solve the doubt of whether there might be irreparable effects for future generations, the doubt must be solved </w:t>
      </w:r>
      <w:r w:rsidRPr="00B20004">
        <w:rPr>
          <w:rFonts w:ascii="Times New Roman" w:hAnsi="Times New Roman" w:cs="Times New Roman"/>
          <w:i/>
          <w:iCs/>
          <w:lang w:val="en-US"/>
        </w:rPr>
        <w:t xml:space="preserve">in </w:t>
      </w:r>
      <w:proofErr w:type="spellStart"/>
      <w:r w:rsidRPr="00B20004">
        <w:rPr>
          <w:rFonts w:ascii="Times New Roman" w:hAnsi="Times New Roman" w:cs="Times New Roman"/>
          <w:i/>
          <w:iCs/>
          <w:lang w:val="en-US"/>
        </w:rPr>
        <w:t>dubio</w:t>
      </w:r>
      <w:proofErr w:type="spellEnd"/>
      <w:r w:rsidRPr="00B20004">
        <w:rPr>
          <w:rFonts w:ascii="Times New Roman" w:hAnsi="Times New Roman" w:cs="Times New Roman"/>
          <w:i/>
          <w:iCs/>
          <w:lang w:val="en-US"/>
        </w:rPr>
        <w:t xml:space="preserve"> pro </w:t>
      </w:r>
      <w:proofErr w:type="spellStart"/>
      <w:r w:rsidRPr="00B20004">
        <w:rPr>
          <w:rFonts w:ascii="Times New Roman" w:hAnsi="Times New Roman" w:cs="Times New Roman"/>
          <w:i/>
          <w:iCs/>
          <w:lang w:val="en-US"/>
        </w:rPr>
        <w:t>futuris</w:t>
      </w:r>
      <w:proofErr w:type="spellEnd"/>
      <w:r w:rsidRPr="00B20004">
        <w:rPr>
          <w:rFonts w:ascii="Times New Roman" w:hAnsi="Times New Roman" w:cs="Times New Roman"/>
          <w:i/>
          <w:iCs/>
          <w:lang w:val="en-US"/>
        </w:rPr>
        <w:t xml:space="preserve"> </w:t>
      </w:r>
      <w:proofErr w:type="spellStart"/>
      <w:r w:rsidRPr="00B20004">
        <w:rPr>
          <w:rFonts w:ascii="Times New Roman" w:hAnsi="Times New Roman" w:cs="Times New Roman"/>
          <w:i/>
          <w:iCs/>
          <w:lang w:val="en-US"/>
        </w:rPr>
        <w:t>generationibus</w:t>
      </w:r>
      <w:proofErr w:type="spellEnd"/>
      <w:r w:rsidRPr="00B20004">
        <w:rPr>
          <w:rFonts w:ascii="Times New Roman" w:hAnsi="Times New Roman" w:cs="Times New Roman"/>
          <w:lang w:val="en-US"/>
        </w:rPr>
        <w:t>.</w:t>
      </w:r>
      <w:proofErr w:type="gramEnd"/>
      <w:r w:rsidRPr="00B20004">
        <w:rPr>
          <w:rFonts w:ascii="Times New Roman" w:hAnsi="Times New Roman" w:cs="Times New Roman"/>
          <w:lang w:val="en-US"/>
        </w:rPr>
        <w:t xml:space="preserve"> This formula, which is strongly inspired by the precautionary principle, can be used as interpretative tool or as </w:t>
      </w:r>
      <w:r>
        <w:rPr>
          <w:rFonts w:ascii="Times New Roman" w:hAnsi="Times New Roman" w:cs="Times New Roman"/>
          <w:lang w:val="en-US"/>
        </w:rPr>
        <w:t>“</w:t>
      </w:r>
      <w:r w:rsidRPr="00B20004">
        <w:rPr>
          <w:rFonts w:ascii="Times New Roman" w:hAnsi="Times New Roman" w:cs="Times New Roman"/>
          <w:lang w:val="en-US"/>
        </w:rPr>
        <w:t>interstitial</w:t>
      </w:r>
      <w:r>
        <w:rPr>
          <w:rFonts w:ascii="Times New Roman" w:hAnsi="Times New Roman" w:cs="Times New Roman"/>
          <w:lang w:val="en-US"/>
        </w:rPr>
        <w:t>”</w:t>
      </w:r>
      <w:r w:rsidRPr="00B20004">
        <w:rPr>
          <w:rFonts w:ascii="Times New Roman" w:hAnsi="Times New Roman" w:cs="Times New Roman"/>
          <w:lang w:val="en-US"/>
        </w:rPr>
        <w:t xml:space="preserve"> norm, as prof. Lowe argued many years ago with regard to the precautionary principle.</w:t>
      </w:r>
      <w:r>
        <w:rPr>
          <w:rStyle w:val="FootnoteReference"/>
        </w:rPr>
        <w:footnoteReference w:id="7"/>
      </w:r>
      <w:r w:rsidRPr="00B20004">
        <w:rPr>
          <w:rFonts w:ascii="Times New Roman" w:hAnsi="Times New Roman" w:cs="Times New Roman"/>
          <w:lang w:val="en-US"/>
        </w:rPr>
        <w:t xml:space="preserve"> </w:t>
      </w:r>
    </w:p>
    <w:p w14:paraId="0156D0A1" w14:textId="77777777" w:rsidR="000D51E9" w:rsidRPr="00B20004" w:rsidRDefault="000D51E9" w:rsidP="000D51E9">
      <w:pPr>
        <w:spacing w:after="0" w:line="360" w:lineRule="auto"/>
        <w:jc w:val="both"/>
        <w:rPr>
          <w:rFonts w:ascii="Times New Roman" w:hAnsi="Times New Roman" w:cs="Times New Roman"/>
          <w:lang w:val="en-US"/>
        </w:rPr>
      </w:pPr>
      <w:r w:rsidRPr="00B20004">
        <w:rPr>
          <w:rFonts w:ascii="Times New Roman" w:hAnsi="Times New Roman" w:cs="Times New Roman"/>
          <w:lang w:val="en-US"/>
        </w:rPr>
        <w:t xml:space="preserve">This principle is also relevant for the part of the </w:t>
      </w:r>
      <w:r>
        <w:rPr>
          <w:rFonts w:ascii="Times New Roman" w:hAnsi="Times New Roman" w:cs="Times New Roman"/>
          <w:lang w:val="en-US"/>
        </w:rPr>
        <w:t>D</w:t>
      </w:r>
      <w:r w:rsidRPr="00B20004">
        <w:rPr>
          <w:rFonts w:ascii="Times New Roman" w:hAnsi="Times New Roman" w:cs="Times New Roman"/>
          <w:lang w:val="en-US"/>
        </w:rPr>
        <w:t xml:space="preserve">raft General Comment that deals with the child rights impact assessment. In para. </w:t>
      </w:r>
      <w:proofErr w:type="gramStart"/>
      <w:r w:rsidRPr="00B20004">
        <w:rPr>
          <w:rFonts w:ascii="Times New Roman" w:hAnsi="Times New Roman" w:cs="Times New Roman"/>
          <w:lang w:val="en-US"/>
        </w:rPr>
        <w:t>88</w:t>
      </w:r>
      <w:proofErr w:type="gramEnd"/>
      <w:r w:rsidRPr="00B20004">
        <w:rPr>
          <w:rFonts w:ascii="Times New Roman" w:hAnsi="Times New Roman" w:cs="Times New Roman"/>
          <w:lang w:val="en-US"/>
        </w:rPr>
        <w:t xml:space="preserve">, the Committee writes: </w:t>
      </w:r>
    </w:p>
    <w:p w14:paraId="7A8E53DA" w14:textId="77777777" w:rsidR="000D51E9" w:rsidRPr="00B20004" w:rsidRDefault="000D51E9" w:rsidP="000D51E9">
      <w:pPr>
        <w:spacing w:after="0" w:line="360" w:lineRule="auto"/>
        <w:ind w:left="708"/>
        <w:jc w:val="both"/>
        <w:rPr>
          <w:rFonts w:ascii="Times New Roman" w:hAnsi="Times New Roman" w:cs="Times New Roman"/>
          <w:bCs/>
          <w:lang w:val="en-US"/>
        </w:rPr>
      </w:pPr>
      <w:r w:rsidRPr="00B20004">
        <w:rPr>
          <w:rFonts w:ascii="Times New Roman" w:hAnsi="Times New Roman" w:cs="Times New Roman"/>
          <w:bCs/>
          <w:lang w:val="en-US"/>
        </w:rPr>
        <w:t xml:space="preserve">Child rights impact assessments should have special regard for the differential impact of environmental and climate-related actions on children, especially the groups of children most at risk, necessarily including young children, as measured against all relevant rights under the Convention. This includes long-term impacts, interactive impacts and impacts on the different stages of childhood. </w:t>
      </w:r>
    </w:p>
    <w:p w14:paraId="4133C835" w14:textId="77777777" w:rsidR="000D51E9" w:rsidRPr="00B20004" w:rsidRDefault="000D51E9" w:rsidP="000D51E9">
      <w:pPr>
        <w:spacing w:after="0" w:line="360" w:lineRule="auto"/>
        <w:jc w:val="both"/>
        <w:rPr>
          <w:rFonts w:ascii="Times New Roman" w:hAnsi="Times New Roman" w:cs="Times New Roman"/>
          <w:bCs/>
          <w:lang w:val="en-US"/>
        </w:rPr>
      </w:pPr>
      <w:r w:rsidRPr="00B20004">
        <w:rPr>
          <w:rFonts w:ascii="Times New Roman" w:hAnsi="Times New Roman" w:cs="Times New Roman"/>
          <w:bCs/>
          <w:lang w:val="en-US"/>
        </w:rPr>
        <w:t xml:space="preserve">These long-term impacts are relevant for </w:t>
      </w:r>
      <w:r>
        <w:rPr>
          <w:rFonts w:ascii="Times New Roman" w:hAnsi="Times New Roman" w:cs="Times New Roman"/>
          <w:bCs/>
          <w:lang w:val="en-US"/>
        </w:rPr>
        <w:t>children that have already born</w:t>
      </w:r>
      <w:r w:rsidRPr="00B20004">
        <w:rPr>
          <w:rFonts w:ascii="Times New Roman" w:hAnsi="Times New Roman" w:cs="Times New Roman"/>
          <w:bCs/>
          <w:lang w:val="en-US"/>
        </w:rPr>
        <w:t xml:space="preserve"> and future generations. The effects of this principle, used as interpretative tool, is potentially enormous. For example, looking at the Inter American Court of Human Rights’ advisory opinion of November 2017, one could argue that the protection of the environment, irrespective of the benefits </w:t>
      </w:r>
      <w:r w:rsidRPr="00B20004">
        <w:rPr>
          <w:rFonts w:ascii="Times New Roman" w:hAnsi="Times New Roman" w:cs="Times New Roman"/>
          <w:bCs/>
          <w:i/>
          <w:iCs/>
          <w:lang w:val="en-US"/>
        </w:rPr>
        <w:t>pro</w:t>
      </w:r>
      <w:r w:rsidRPr="00B20004">
        <w:rPr>
          <w:rFonts w:ascii="Times New Roman" w:hAnsi="Times New Roman" w:cs="Times New Roman"/>
          <w:bCs/>
          <w:lang w:val="en-US"/>
        </w:rPr>
        <w:t xml:space="preserve"> present “human” generation, should be granted as expression of the “right to a healthy environment” and </w:t>
      </w:r>
      <w:r w:rsidRPr="00B20004">
        <w:rPr>
          <w:rFonts w:ascii="Times New Roman" w:hAnsi="Times New Roman" w:cs="Times New Roman"/>
          <w:bCs/>
          <w:i/>
          <w:iCs/>
          <w:lang w:val="en-US"/>
        </w:rPr>
        <w:t xml:space="preserve">in </w:t>
      </w:r>
      <w:proofErr w:type="spellStart"/>
      <w:r w:rsidRPr="00B20004">
        <w:rPr>
          <w:rFonts w:ascii="Times New Roman" w:hAnsi="Times New Roman" w:cs="Times New Roman"/>
          <w:bCs/>
          <w:i/>
          <w:iCs/>
          <w:lang w:val="en-US"/>
        </w:rPr>
        <w:t>dubio</w:t>
      </w:r>
      <w:proofErr w:type="spellEnd"/>
      <w:r w:rsidRPr="00B20004">
        <w:rPr>
          <w:rFonts w:ascii="Times New Roman" w:hAnsi="Times New Roman" w:cs="Times New Roman"/>
          <w:bCs/>
          <w:i/>
          <w:iCs/>
          <w:lang w:val="en-US"/>
        </w:rPr>
        <w:t xml:space="preserve"> pro </w:t>
      </w:r>
      <w:proofErr w:type="spellStart"/>
      <w:r w:rsidRPr="00B20004">
        <w:rPr>
          <w:rFonts w:ascii="Times New Roman" w:hAnsi="Times New Roman" w:cs="Times New Roman"/>
          <w:bCs/>
          <w:i/>
          <w:iCs/>
          <w:lang w:val="en-US"/>
        </w:rPr>
        <w:t>futuris</w:t>
      </w:r>
      <w:proofErr w:type="spellEnd"/>
      <w:r w:rsidRPr="00B20004">
        <w:rPr>
          <w:rFonts w:ascii="Times New Roman" w:hAnsi="Times New Roman" w:cs="Times New Roman"/>
          <w:bCs/>
          <w:i/>
          <w:iCs/>
          <w:lang w:val="en-US"/>
        </w:rPr>
        <w:t xml:space="preserve"> </w:t>
      </w:r>
      <w:proofErr w:type="spellStart"/>
      <w:r w:rsidRPr="00B20004">
        <w:rPr>
          <w:rFonts w:ascii="Times New Roman" w:hAnsi="Times New Roman" w:cs="Times New Roman"/>
          <w:bCs/>
          <w:i/>
          <w:iCs/>
          <w:lang w:val="en-US"/>
        </w:rPr>
        <w:t>generationibus</w:t>
      </w:r>
      <w:proofErr w:type="spellEnd"/>
      <w:r w:rsidRPr="00B20004">
        <w:rPr>
          <w:rFonts w:ascii="Times New Roman" w:hAnsi="Times New Roman" w:cs="Times New Roman"/>
          <w:bCs/>
          <w:lang w:val="en-US"/>
        </w:rPr>
        <w:t xml:space="preserve">. </w:t>
      </w:r>
    </w:p>
    <w:p w14:paraId="7A9481ED" w14:textId="77777777" w:rsidR="000D51E9" w:rsidRPr="00B20004" w:rsidRDefault="000D51E9" w:rsidP="000D51E9">
      <w:pPr>
        <w:spacing w:after="0" w:line="360" w:lineRule="auto"/>
        <w:jc w:val="both"/>
        <w:rPr>
          <w:rFonts w:ascii="Times New Roman" w:hAnsi="Times New Roman" w:cs="Times New Roman"/>
          <w:bCs/>
          <w:lang w:val="en-US"/>
        </w:rPr>
      </w:pPr>
      <w:r w:rsidRPr="00B20004">
        <w:rPr>
          <w:rFonts w:ascii="Times New Roman" w:hAnsi="Times New Roman" w:cs="Times New Roman"/>
          <w:bCs/>
          <w:lang w:val="en-US"/>
        </w:rPr>
        <w:t xml:space="preserve">In terms of States’ obligations, the </w:t>
      </w:r>
      <w:r>
        <w:rPr>
          <w:rFonts w:ascii="Times New Roman" w:hAnsi="Times New Roman" w:cs="Times New Roman"/>
          <w:bCs/>
          <w:lang w:val="en-US"/>
        </w:rPr>
        <w:t>D</w:t>
      </w:r>
      <w:r w:rsidRPr="00B20004">
        <w:rPr>
          <w:rFonts w:ascii="Times New Roman" w:hAnsi="Times New Roman" w:cs="Times New Roman"/>
          <w:bCs/>
          <w:lang w:val="en-US"/>
        </w:rPr>
        <w:t xml:space="preserve">raft </w:t>
      </w:r>
      <w:r>
        <w:rPr>
          <w:rFonts w:ascii="Times New Roman" w:hAnsi="Times New Roman" w:cs="Times New Roman"/>
          <w:bCs/>
          <w:lang w:val="en-US"/>
        </w:rPr>
        <w:t>GC</w:t>
      </w:r>
      <w:r w:rsidRPr="00B20004">
        <w:rPr>
          <w:rFonts w:ascii="Times New Roman" w:hAnsi="Times New Roman" w:cs="Times New Roman"/>
          <w:bCs/>
          <w:lang w:val="en-US"/>
        </w:rPr>
        <w:t xml:space="preserve"> refers to due diligence obligations, paying “due regard” to the precautionary approach. In our understanding, the </w:t>
      </w:r>
      <w:r w:rsidRPr="00B20004">
        <w:rPr>
          <w:rFonts w:ascii="Times New Roman" w:hAnsi="Times New Roman" w:cs="Times New Roman"/>
          <w:bCs/>
          <w:i/>
          <w:iCs/>
          <w:lang w:val="en-US"/>
        </w:rPr>
        <w:t xml:space="preserve">in </w:t>
      </w:r>
      <w:proofErr w:type="spellStart"/>
      <w:r w:rsidRPr="00B20004">
        <w:rPr>
          <w:rFonts w:ascii="Times New Roman" w:hAnsi="Times New Roman" w:cs="Times New Roman"/>
          <w:bCs/>
          <w:i/>
          <w:iCs/>
          <w:lang w:val="en-US"/>
        </w:rPr>
        <w:t>dubio</w:t>
      </w:r>
      <w:proofErr w:type="spellEnd"/>
      <w:r w:rsidRPr="00B20004">
        <w:rPr>
          <w:rFonts w:ascii="Times New Roman" w:hAnsi="Times New Roman" w:cs="Times New Roman"/>
          <w:bCs/>
          <w:i/>
          <w:iCs/>
          <w:lang w:val="en-US"/>
        </w:rPr>
        <w:t xml:space="preserve"> pro </w:t>
      </w:r>
      <w:proofErr w:type="spellStart"/>
      <w:r w:rsidRPr="00B20004">
        <w:rPr>
          <w:rFonts w:ascii="Times New Roman" w:hAnsi="Times New Roman" w:cs="Times New Roman"/>
          <w:bCs/>
          <w:i/>
          <w:iCs/>
          <w:lang w:val="en-US"/>
        </w:rPr>
        <w:t>futuris</w:t>
      </w:r>
      <w:proofErr w:type="spellEnd"/>
      <w:r w:rsidRPr="00B20004">
        <w:rPr>
          <w:rFonts w:ascii="Times New Roman" w:hAnsi="Times New Roman" w:cs="Times New Roman"/>
          <w:bCs/>
          <w:i/>
          <w:iCs/>
          <w:lang w:val="en-US"/>
        </w:rPr>
        <w:t xml:space="preserve"> </w:t>
      </w:r>
      <w:proofErr w:type="spellStart"/>
      <w:r w:rsidRPr="00B20004">
        <w:rPr>
          <w:rFonts w:ascii="Times New Roman" w:hAnsi="Times New Roman" w:cs="Times New Roman"/>
          <w:bCs/>
          <w:i/>
          <w:iCs/>
          <w:lang w:val="en-US"/>
        </w:rPr>
        <w:t>generationibus</w:t>
      </w:r>
      <w:proofErr w:type="spellEnd"/>
      <w:r w:rsidRPr="00B20004">
        <w:rPr>
          <w:rFonts w:ascii="Times New Roman" w:hAnsi="Times New Roman" w:cs="Times New Roman"/>
          <w:bCs/>
          <w:lang w:val="en-US"/>
        </w:rPr>
        <w:t xml:space="preserve"> is also relevant for defining legal </w:t>
      </w:r>
      <w:r>
        <w:rPr>
          <w:rFonts w:ascii="Times New Roman" w:hAnsi="Times New Roman" w:cs="Times New Roman"/>
          <w:bCs/>
          <w:lang w:val="en-US"/>
        </w:rPr>
        <w:t>o</w:t>
      </w:r>
      <w:r w:rsidRPr="00B20004">
        <w:rPr>
          <w:rFonts w:ascii="Times New Roman" w:hAnsi="Times New Roman" w:cs="Times New Roman"/>
          <w:bCs/>
          <w:lang w:val="en-US"/>
        </w:rPr>
        <w:t xml:space="preserve">bligations States must abide by.  </w:t>
      </w:r>
    </w:p>
    <w:p w14:paraId="4EB98911" w14:textId="254DCD95" w:rsidR="000D51E9" w:rsidRDefault="000D51E9" w:rsidP="005621C3">
      <w:pPr>
        <w:spacing w:after="0" w:line="360" w:lineRule="auto"/>
        <w:jc w:val="both"/>
        <w:rPr>
          <w:rFonts w:ascii="Times New Roman" w:hAnsi="Times New Roman" w:cs="Times New Roman"/>
          <w:bCs/>
          <w:lang w:val="en-US"/>
        </w:rPr>
      </w:pPr>
      <w:r>
        <w:rPr>
          <w:rFonts w:ascii="Times New Roman" w:hAnsi="Times New Roman" w:cs="Times New Roman"/>
          <w:bCs/>
          <w:lang w:val="en-US"/>
        </w:rPr>
        <w:t>In this way, w</w:t>
      </w:r>
      <w:r w:rsidRPr="00B20004">
        <w:rPr>
          <w:rFonts w:ascii="Times New Roman" w:hAnsi="Times New Roman" w:cs="Times New Roman"/>
          <w:bCs/>
          <w:lang w:val="en-US"/>
        </w:rPr>
        <w:t xml:space="preserve">e can consider the new “temporality” of international law, which disrupts the traditional boundaries between past, present and future to contemplate audacious changes of theoretical and interpretative perspective. </w:t>
      </w:r>
      <w:proofErr w:type="gramStart"/>
      <w:r w:rsidRPr="00B20004">
        <w:rPr>
          <w:rFonts w:ascii="Times New Roman" w:hAnsi="Times New Roman" w:cs="Times New Roman"/>
          <w:bCs/>
          <w:lang w:val="en-US"/>
        </w:rPr>
        <w:t xml:space="preserve">As corollary of the principle of intergenerational equity, and inspired by the </w:t>
      </w:r>
      <w:proofErr w:type="spellStart"/>
      <w:r w:rsidRPr="00B20004">
        <w:rPr>
          <w:rFonts w:ascii="Times New Roman" w:hAnsi="Times New Roman" w:cs="Times New Roman"/>
          <w:bCs/>
          <w:lang w:val="en-US"/>
        </w:rPr>
        <w:t>brocardo</w:t>
      </w:r>
      <w:proofErr w:type="spellEnd"/>
      <w:r w:rsidRPr="00B20004">
        <w:rPr>
          <w:rFonts w:ascii="Times New Roman" w:hAnsi="Times New Roman" w:cs="Times New Roman"/>
          <w:bCs/>
          <w:lang w:val="en-US"/>
        </w:rPr>
        <w:t xml:space="preserve"> </w:t>
      </w:r>
      <w:r w:rsidRPr="0018530B">
        <w:rPr>
          <w:rFonts w:ascii="Times New Roman" w:hAnsi="Times New Roman" w:cs="Times New Roman"/>
          <w:bCs/>
          <w:i/>
          <w:iCs/>
          <w:lang w:val="en-US"/>
        </w:rPr>
        <w:t xml:space="preserve">in </w:t>
      </w:r>
      <w:proofErr w:type="spellStart"/>
      <w:r w:rsidRPr="0018530B">
        <w:rPr>
          <w:rFonts w:ascii="Times New Roman" w:hAnsi="Times New Roman" w:cs="Times New Roman"/>
          <w:bCs/>
          <w:i/>
          <w:iCs/>
          <w:lang w:val="en-US"/>
        </w:rPr>
        <w:t>dubio</w:t>
      </w:r>
      <w:proofErr w:type="spellEnd"/>
      <w:r w:rsidRPr="0018530B">
        <w:rPr>
          <w:rFonts w:ascii="Times New Roman" w:hAnsi="Times New Roman" w:cs="Times New Roman"/>
          <w:bCs/>
          <w:i/>
          <w:iCs/>
          <w:lang w:val="en-US"/>
        </w:rPr>
        <w:t xml:space="preserve"> pro </w:t>
      </w:r>
      <w:proofErr w:type="spellStart"/>
      <w:r w:rsidRPr="0018530B">
        <w:rPr>
          <w:rFonts w:ascii="Times New Roman" w:hAnsi="Times New Roman" w:cs="Times New Roman"/>
          <w:bCs/>
          <w:i/>
          <w:iCs/>
          <w:lang w:val="en-US"/>
        </w:rPr>
        <w:t>natura</w:t>
      </w:r>
      <w:proofErr w:type="spellEnd"/>
      <w:r w:rsidRPr="00B20004">
        <w:rPr>
          <w:rFonts w:ascii="Times New Roman" w:hAnsi="Times New Roman" w:cs="Times New Roman"/>
          <w:bCs/>
          <w:lang w:val="en-US"/>
        </w:rPr>
        <w:t xml:space="preserve">, the </w:t>
      </w:r>
      <w:proofErr w:type="spellStart"/>
      <w:r w:rsidRPr="00B20004">
        <w:rPr>
          <w:rFonts w:ascii="Times New Roman" w:hAnsi="Times New Roman" w:cs="Times New Roman"/>
          <w:bCs/>
          <w:lang w:val="en-US"/>
        </w:rPr>
        <w:t>brocardo</w:t>
      </w:r>
      <w:proofErr w:type="spellEnd"/>
      <w:r w:rsidRPr="00B20004">
        <w:rPr>
          <w:rFonts w:ascii="Times New Roman" w:hAnsi="Times New Roman" w:cs="Times New Roman"/>
          <w:bCs/>
          <w:lang w:val="en-US"/>
        </w:rPr>
        <w:t xml:space="preserve"> </w:t>
      </w:r>
      <w:r w:rsidRPr="00B20004">
        <w:rPr>
          <w:rFonts w:ascii="Times New Roman" w:hAnsi="Times New Roman" w:cs="Times New Roman"/>
          <w:bCs/>
          <w:i/>
          <w:iCs/>
          <w:lang w:val="en-US"/>
        </w:rPr>
        <w:t xml:space="preserve">in </w:t>
      </w:r>
      <w:proofErr w:type="spellStart"/>
      <w:r w:rsidRPr="00B20004">
        <w:rPr>
          <w:rFonts w:ascii="Times New Roman" w:hAnsi="Times New Roman" w:cs="Times New Roman"/>
          <w:bCs/>
          <w:i/>
          <w:iCs/>
          <w:lang w:val="en-US"/>
        </w:rPr>
        <w:t>dubio</w:t>
      </w:r>
      <w:proofErr w:type="spellEnd"/>
      <w:r w:rsidRPr="00B20004">
        <w:rPr>
          <w:rFonts w:ascii="Times New Roman" w:hAnsi="Times New Roman" w:cs="Times New Roman"/>
          <w:bCs/>
          <w:i/>
          <w:iCs/>
          <w:lang w:val="en-US"/>
        </w:rPr>
        <w:t xml:space="preserve"> pro </w:t>
      </w:r>
      <w:proofErr w:type="spellStart"/>
      <w:r w:rsidRPr="00B20004">
        <w:rPr>
          <w:rFonts w:ascii="Times New Roman" w:hAnsi="Times New Roman" w:cs="Times New Roman"/>
          <w:bCs/>
          <w:i/>
          <w:iCs/>
          <w:lang w:val="en-US"/>
        </w:rPr>
        <w:t>futuris</w:t>
      </w:r>
      <w:proofErr w:type="spellEnd"/>
      <w:r w:rsidRPr="00B20004">
        <w:rPr>
          <w:rFonts w:ascii="Times New Roman" w:hAnsi="Times New Roman" w:cs="Times New Roman"/>
          <w:bCs/>
          <w:i/>
          <w:iCs/>
          <w:lang w:val="en-US"/>
        </w:rPr>
        <w:t xml:space="preserve"> </w:t>
      </w:r>
      <w:proofErr w:type="spellStart"/>
      <w:r w:rsidRPr="00B20004">
        <w:rPr>
          <w:rFonts w:ascii="Times New Roman" w:hAnsi="Times New Roman" w:cs="Times New Roman"/>
          <w:bCs/>
          <w:i/>
          <w:iCs/>
          <w:lang w:val="en-US"/>
        </w:rPr>
        <w:t>generationibus</w:t>
      </w:r>
      <w:proofErr w:type="spellEnd"/>
      <w:r w:rsidRPr="00B20004">
        <w:rPr>
          <w:rFonts w:ascii="Times New Roman" w:hAnsi="Times New Roman" w:cs="Times New Roman"/>
          <w:bCs/>
          <w:lang w:val="en-US"/>
        </w:rPr>
        <w:t xml:space="preserve"> gradually emerges as a flexible instrument capable of guiding judges in the interpretation and national and international </w:t>
      </w:r>
      <w:r w:rsidRPr="00B20004">
        <w:rPr>
          <w:rFonts w:ascii="Times New Roman" w:hAnsi="Times New Roman" w:cs="Times New Roman"/>
          <w:bCs/>
          <w:lang w:val="en-US"/>
        </w:rPr>
        <w:lastRenderedPageBreak/>
        <w:t>legislators in the adoption of policies that put at the center the interests of the environment, meant, as we said, in the holistic way Christopher Stone theorized 50 years ago, and magisterially revisited by the Special Rapporteur David Boyd.</w:t>
      </w:r>
      <w:proofErr w:type="gramEnd"/>
      <w:r w:rsidRPr="00B20004">
        <w:rPr>
          <w:rFonts w:ascii="Times New Roman" w:hAnsi="Times New Roman" w:cs="Times New Roman"/>
          <w:bCs/>
          <w:lang w:val="en-US"/>
        </w:rPr>
        <w:t xml:space="preserve"> </w:t>
      </w:r>
    </w:p>
    <w:p w14:paraId="34D4A4DF" w14:textId="77777777" w:rsidR="005B4668" w:rsidRPr="00B20004" w:rsidRDefault="005B4668" w:rsidP="005621C3">
      <w:pPr>
        <w:spacing w:after="0" w:line="360" w:lineRule="auto"/>
        <w:jc w:val="both"/>
        <w:rPr>
          <w:rFonts w:ascii="Times New Roman" w:hAnsi="Times New Roman" w:cs="Times New Roman"/>
          <w:bCs/>
          <w:lang w:val="en-US"/>
        </w:rPr>
      </w:pPr>
    </w:p>
    <w:p w14:paraId="3ECC4338" w14:textId="77777777" w:rsidR="000D51E9" w:rsidRPr="00B20004" w:rsidRDefault="000D51E9" w:rsidP="000D51E9">
      <w:pPr>
        <w:spacing w:after="0" w:line="360" w:lineRule="auto"/>
        <w:jc w:val="both"/>
        <w:rPr>
          <w:rFonts w:ascii="Times New Roman" w:hAnsi="Times New Roman" w:cs="Times New Roman"/>
          <w:b/>
          <w:lang w:val="en-US"/>
        </w:rPr>
      </w:pPr>
      <w:r w:rsidRPr="00B20004">
        <w:rPr>
          <w:rFonts w:ascii="Times New Roman" w:hAnsi="Times New Roman" w:cs="Times New Roman"/>
          <w:b/>
          <w:lang w:val="en-US"/>
        </w:rPr>
        <w:t>About para. 50</w:t>
      </w:r>
    </w:p>
    <w:p w14:paraId="1216DD6A" w14:textId="1BD12D32" w:rsidR="00F75D1B" w:rsidRPr="002B0746" w:rsidRDefault="000D51E9" w:rsidP="002B0746">
      <w:pPr>
        <w:spacing w:after="0" w:line="360" w:lineRule="auto"/>
        <w:jc w:val="both"/>
        <w:rPr>
          <w:rFonts w:ascii="Times New Roman" w:hAnsi="Times New Roman" w:cs="Times New Roman"/>
          <w:bCs/>
          <w:lang w:val="en-US"/>
        </w:rPr>
      </w:pPr>
      <w:r w:rsidRPr="00B20004">
        <w:rPr>
          <w:rFonts w:ascii="Times New Roman" w:hAnsi="Times New Roman" w:cs="Times New Roman"/>
          <w:bCs/>
          <w:lang w:val="en-US"/>
        </w:rPr>
        <w:t xml:space="preserve">On the right to non-discrimination, the draft GC importantly </w:t>
      </w:r>
      <w:proofErr w:type="gramStart"/>
      <w:r w:rsidRPr="00B20004">
        <w:rPr>
          <w:rFonts w:ascii="Times New Roman" w:hAnsi="Times New Roman" w:cs="Times New Roman"/>
          <w:bCs/>
          <w:lang w:val="en-US"/>
        </w:rPr>
        <w:t>acknowledges that</w:t>
      </w:r>
      <w:proofErr w:type="gramEnd"/>
      <w:r w:rsidRPr="00B20004">
        <w:rPr>
          <w:rFonts w:ascii="Times New Roman" w:hAnsi="Times New Roman" w:cs="Times New Roman"/>
          <w:bCs/>
          <w:lang w:val="en-US"/>
        </w:rPr>
        <w:t xml:space="preserve"> “certain groups of children face heightened barriers to the enjoyment of their rights in relation to the environment due to multiple and intersecting forms of discrimination”. They include, among other</w:t>
      </w:r>
      <w:r>
        <w:rPr>
          <w:rFonts w:ascii="Times New Roman" w:hAnsi="Times New Roman" w:cs="Times New Roman"/>
          <w:bCs/>
          <w:lang w:val="en-US"/>
        </w:rPr>
        <w:t xml:space="preserve"> groups</w:t>
      </w:r>
      <w:r w:rsidRPr="00B20004">
        <w:rPr>
          <w:rFonts w:ascii="Times New Roman" w:hAnsi="Times New Roman" w:cs="Times New Roman"/>
          <w:bCs/>
          <w:lang w:val="en-US"/>
        </w:rPr>
        <w:t>, girls</w:t>
      </w:r>
      <w:r w:rsidR="00F75D1B" w:rsidRPr="00B20004">
        <w:rPr>
          <w:rFonts w:ascii="Times New Roman" w:hAnsi="Times New Roman" w:cs="Times New Roman"/>
          <w:bCs/>
          <w:lang w:val="en-US"/>
        </w:rPr>
        <w:t>.</w:t>
      </w:r>
      <w:r w:rsidR="00F75D1B" w:rsidRPr="00B20004">
        <w:rPr>
          <w:rStyle w:val="FootnoteReference"/>
          <w:bCs/>
        </w:rPr>
        <w:footnoteReference w:id="8"/>
      </w:r>
      <w:r w:rsidR="00F75D1B" w:rsidRPr="00B20004">
        <w:rPr>
          <w:rFonts w:ascii="Times New Roman" w:hAnsi="Times New Roman" w:cs="Times New Roman"/>
          <w:bCs/>
          <w:lang w:val="en-US"/>
        </w:rPr>
        <w:t xml:space="preserve"> In the </w:t>
      </w:r>
      <w:r w:rsidR="00F75D1B" w:rsidRPr="002B0746">
        <w:rPr>
          <w:rFonts w:ascii="Times New Roman" w:hAnsi="Times New Roman" w:cs="Times New Roman"/>
          <w:bCs/>
          <w:lang w:val="en-US"/>
        </w:rPr>
        <w:t>aftermath of natural disasters, “risks and experiences of physical violence are particularly pronounced.</w:t>
      </w:r>
      <w:r w:rsidR="00F75D1B" w:rsidRPr="001F676E">
        <w:rPr>
          <w:rFonts w:ascii="Times New Roman" w:hAnsi="Times New Roman" w:cs="Times New Roman"/>
          <w:bCs/>
          <w:lang w:val="en-US"/>
        </w:rPr>
        <w:t>”</w:t>
      </w:r>
      <w:r w:rsidR="00F75D1B" w:rsidRPr="005621C3">
        <w:rPr>
          <w:rStyle w:val="FootnoteReference"/>
          <w:rFonts w:ascii="Times New Roman" w:hAnsi="Times New Roman"/>
          <w:bCs/>
        </w:rPr>
        <w:footnoteReference w:id="9"/>
      </w:r>
      <w:r w:rsidR="00F75D1B" w:rsidRPr="002B0746">
        <w:rPr>
          <w:rFonts w:ascii="Times New Roman" w:hAnsi="Times New Roman" w:cs="Times New Roman"/>
          <w:bCs/>
          <w:lang w:val="en-US"/>
        </w:rPr>
        <w:t xml:space="preserve"> Violence can derive from both major disasters but also slow-onset environmental degradation force: loss of livelihoods, limited resources, water scarcity and droughts, slow but irreparable pollution are all cause of disproportionate risks of violence for girls. </w:t>
      </w:r>
      <w:r w:rsidR="00F75D1B" w:rsidRPr="001F676E">
        <w:rPr>
          <w:rFonts w:ascii="Times New Roman" w:hAnsi="Times New Roman" w:cs="Times New Roman"/>
          <w:bCs/>
          <w:lang w:val="en-US"/>
        </w:rPr>
        <w:t xml:space="preserve">Another form of violence that the GC should take into account is forced marriage. According to </w:t>
      </w:r>
      <w:r w:rsidR="00F75D1B" w:rsidRPr="001F676E">
        <w:rPr>
          <w:rFonts w:ascii="Times New Roman" w:hAnsi="Times New Roman" w:cs="Times New Roman"/>
          <w:bCs/>
          <w:i/>
          <w:iCs/>
          <w:lang w:val="en-US"/>
        </w:rPr>
        <w:t xml:space="preserve">End Violence </w:t>
      </w:r>
      <w:proofErr w:type="gramStart"/>
      <w:r w:rsidR="00F75D1B" w:rsidRPr="001F676E">
        <w:rPr>
          <w:rFonts w:ascii="Times New Roman" w:hAnsi="Times New Roman" w:cs="Times New Roman"/>
          <w:bCs/>
          <w:i/>
          <w:iCs/>
          <w:lang w:val="en-US"/>
        </w:rPr>
        <w:t>Against</w:t>
      </w:r>
      <w:proofErr w:type="gramEnd"/>
      <w:r w:rsidR="00F75D1B" w:rsidRPr="001F676E">
        <w:rPr>
          <w:rFonts w:ascii="Times New Roman" w:hAnsi="Times New Roman" w:cs="Times New Roman"/>
          <w:bCs/>
          <w:i/>
          <w:iCs/>
          <w:lang w:val="en-US"/>
        </w:rPr>
        <w:t xml:space="preserve"> Children</w:t>
      </w:r>
      <w:r w:rsidR="00F75D1B" w:rsidRPr="001F676E">
        <w:rPr>
          <w:rFonts w:ascii="Times New Roman" w:hAnsi="Times New Roman" w:cs="Times New Roman"/>
          <w:bCs/>
          <w:lang w:val="en-US"/>
        </w:rPr>
        <w:t>, “</w:t>
      </w:r>
      <w:r w:rsidR="00F75D1B" w:rsidRPr="001F676E">
        <w:rPr>
          <w:rFonts w:ascii="Times New Roman" w:eastAsia="Times New Roman" w:hAnsi="Times New Roman" w:cs="Times New Roman"/>
          <w:color w:val="000000"/>
          <w:lang w:val="en-US" w:eastAsia="it-IT"/>
        </w:rPr>
        <w:t>research and evidence have established that climate change and other environmental crises are multiplying the drivers of child marriages – including poverty, displacement, conflict and loss of education.”</w:t>
      </w:r>
      <w:r w:rsidR="00F75D1B" w:rsidRPr="005621C3">
        <w:rPr>
          <w:rStyle w:val="FootnoteReference"/>
          <w:rFonts w:ascii="Times New Roman" w:eastAsia="Times New Roman" w:hAnsi="Times New Roman"/>
          <w:color w:val="000000"/>
          <w:lang w:eastAsia="it-IT"/>
        </w:rPr>
        <w:footnoteReference w:id="10"/>
      </w:r>
      <w:r w:rsidR="00F75D1B" w:rsidRPr="002B0746">
        <w:rPr>
          <w:rFonts w:ascii="Times New Roman" w:eastAsia="Times New Roman" w:hAnsi="Times New Roman" w:cs="Times New Roman"/>
          <w:color w:val="000000"/>
          <w:lang w:val="en-US" w:eastAsia="it-IT"/>
        </w:rPr>
        <w:t xml:space="preserve"> </w:t>
      </w:r>
    </w:p>
    <w:p w14:paraId="49369363" w14:textId="621B161D" w:rsidR="00F75D1B" w:rsidRPr="005621C3" w:rsidRDefault="000D51E9" w:rsidP="005621C3">
      <w:pPr>
        <w:spacing w:after="0" w:line="360" w:lineRule="auto"/>
        <w:jc w:val="both"/>
        <w:rPr>
          <w:rFonts w:ascii="Times New Roman" w:eastAsia="Calibri" w:hAnsi="Times New Roman" w:cs="Times New Roman"/>
          <w:bCs/>
          <w:lang w:val="en-GB"/>
        </w:rPr>
      </w:pPr>
      <w:r w:rsidRPr="001F676E">
        <w:rPr>
          <w:rFonts w:ascii="Times New Roman" w:hAnsi="Times New Roman" w:cs="Times New Roman"/>
          <w:bCs/>
          <w:lang w:val="en-US"/>
        </w:rPr>
        <w:t>The recognition of the disproportionate effect of climate change on girls should be better emphasized in the Draft GC</w:t>
      </w:r>
      <w:r w:rsidR="00AC4094" w:rsidRPr="001F676E">
        <w:rPr>
          <w:rFonts w:ascii="Times New Roman" w:hAnsi="Times New Roman" w:cs="Times New Roman"/>
          <w:bCs/>
          <w:lang w:val="en-US"/>
        </w:rPr>
        <w:t xml:space="preserve"> by </w:t>
      </w:r>
      <w:r w:rsidR="00F75D1B" w:rsidRPr="001F676E">
        <w:rPr>
          <w:rFonts w:ascii="Times New Roman" w:hAnsi="Times New Roman" w:cs="Times New Roman"/>
          <w:bCs/>
          <w:lang w:val="en-US"/>
        </w:rPr>
        <w:t xml:space="preserve">including a </w:t>
      </w:r>
      <w:proofErr w:type="gramStart"/>
      <w:r w:rsidR="00F75D1B" w:rsidRPr="001F676E">
        <w:rPr>
          <w:rFonts w:ascii="Times New Roman" w:hAnsi="Times New Roman" w:cs="Times New Roman"/>
          <w:bCs/>
          <w:lang w:val="en-US"/>
        </w:rPr>
        <w:t>specific  analysis</w:t>
      </w:r>
      <w:proofErr w:type="gramEnd"/>
      <w:r w:rsidR="00F75D1B" w:rsidRPr="001F676E">
        <w:rPr>
          <w:rFonts w:ascii="Times New Roman" w:hAnsi="Times New Roman" w:cs="Times New Roman"/>
          <w:bCs/>
          <w:lang w:val="en-US"/>
        </w:rPr>
        <w:t xml:space="preserve"> of the definition and purpose of the notion of vulnerability that is gaining momentum in the legal reasoning of all international human righ</w:t>
      </w:r>
      <w:r w:rsidR="00B2584B">
        <w:rPr>
          <w:rFonts w:ascii="Times New Roman" w:hAnsi="Times New Roman" w:cs="Times New Roman"/>
          <w:bCs/>
          <w:lang w:val="en-US"/>
        </w:rPr>
        <w:t>ts bodies</w:t>
      </w:r>
      <w:r w:rsidR="00F75D1B" w:rsidRPr="00347262">
        <w:rPr>
          <w:rFonts w:ascii="Times New Roman" w:hAnsi="Times New Roman" w:cs="Times New Roman"/>
          <w:bCs/>
          <w:lang w:val="en-US"/>
        </w:rPr>
        <w:t xml:space="preserve">. In particular, we </w:t>
      </w:r>
      <w:r w:rsidR="00B2584B">
        <w:rPr>
          <w:rFonts w:ascii="Times New Roman" w:hAnsi="Times New Roman" w:cs="Times New Roman"/>
          <w:bCs/>
          <w:lang w:val="en-US"/>
        </w:rPr>
        <w:t xml:space="preserve">recommend </w:t>
      </w:r>
      <w:proofErr w:type="gramStart"/>
      <w:r w:rsidR="00F75D1B" w:rsidRPr="00347262">
        <w:rPr>
          <w:rFonts w:ascii="Times New Roman" w:hAnsi="Times New Roman" w:cs="Times New Roman"/>
          <w:bCs/>
          <w:lang w:val="en-US"/>
        </w:rPr>
        <w:t>to explore</w:t>
      </w:r>
      <w:proofErr w:type="gramEnd"/>
      <w:r w:rsidR="00F75D1B" w:rsidRPr="00347262">
        <w:rPr>
          <w:rFonts w:ascii="Times New Roman" w:hAnsi="Times New Roman" w:cs="Times New Roman"/>
          <w:bCs/>
          <w:lang w:val="en-US"/>
        </w:rPr>
        <w:t xml:space="preserve"> how the notion of vulnerability is taken into account under the international human rights framework to move international protection to the </w:t>
      </w:r>
      <w:proofErr w:type="spellStart"/>
      <w:r w:rsidR="00F75D1B" w:rsidRPr="00347262">
        <w:rPr>
          <w:rFonts w:ascii="Times New Roman" w:hAnsi="Times New Roman" w:cs="Times New Roman"/>
          <w:bCs/>
          <w:lang w:val="en-US"/>
        </w:rPr>
        <w:t>centre</w:t>
      </w:r>
      <w:proofErr w:type="spellEnd"/>
      <w:r w:rsidR="00F75D1B" w:rsidRPr="00347262">
        <w:rPr>
          <w:rFonts w:ascii="Times New Roman" w:hAnsi="Times New Roman" w:cs="Times New Roman"/>
          <w:bCs/>
          <w:lang w:val="en-US"/>
        </w:rPr>
        <w:t xml:space="preserve"> stage of the </w:t>
      </w:r>
      <w:proofErr w:type="spellStart"/>
      <w:r w:rsidR="00F75D1B" w:rsidRPr="00347262">
        <w:rPr>
          <w:rFonts w:ascii="Times New Roman" w:hAnsi="Times New Roman" w:cs="Times New Roman"/>
          <w:bCs/>
          <w:lang w:val="en-US"/>
        </w:rPr>
        <w:t>problematization</w:t>
      </w:r>
      <w:proofErr w:type="spellEnd"/>
      <w:r w:rsidR="00F75D1B" w:rsidRPr="00347262">
        <w:rPr>
          <w:rFonts w:ascii="Times New Roman" w:hAnsi="Times New Roman" w:cs="Times New Roman"/>
          <w:bCs/>
          <w:lang w:val="en-US"/>
        </w:rPr>
        <w:t xml:space="preserve"> of climate change. </w:t>
      </w:r>
      <w:r w:rsidR="00F75D1B" w:rsidRPr="001D49B2">
        <w:rPr>
          <w:rFonts w:ascii="Times New Roman" w:hAnsi="Times New Roman" w:cs="Times New Roman"/>
          <w:bCs/>
          <w:lang w:val="en-US"/>
        </w:rPr>
        <w:t>This will all</w:t>
      </w:r>
      <w:r w:rsidR="00F75D1B" w:rsidRPr="00C2597B">
        <w:rPr>
          <w:rFonts w:ascii="Times New Roman" w:hAnsi="Times New Roman" w:cs="Times New Roman"/>
          <w:bCs/>
          <w:lang w:val="en-US"/>
        </w:rPr>
        <w:t xml:space="preserve">ow to </w:t>
      </w:r>
      <w:r w:rsidR="002B0746" w:rsidRPr="003A5BB0">
        <w:rPr>
          <w:rFonts w:ascii="Times New Roman" w:hAnsi="Times New Roman" w:cs="Times New Roman"/>
          <w:bCs/>
          <w:lang w:val="en-US"/>
        </w:rPr>
        <w:t xml:space="preserve">better </w:t>
      </w:r>
      <w:r w:rsidR="00F75D1B" w:rsidRPr="003A5BB0">
        <w:rPr>
          <w:rFonts w:ascii="Times New Roman" w:hAnsi="Times New Roman" w:cs="Times New Roman"/>
          <w:bCs/>
          <w:lang w:val="en-US"/>
        </w:rPr>
        <w:t xml:space="preserve">clarify the relationship between vulnerability, human rights and climate change; second to identify how human rights obligations can be taken into account for defining the scope and content of climate change action; and finally to gain some </w:t>
      </w:r>
      <w:r w:rsidR="00F75D1B" w:rsidRPr="002B0746">
        <w:rPr>
          <w:rFonts w:ascii="Times New Roman" w:hAnsi="Times New Roman" w:cs="Times New Roman"/>
          <w:bCs/>
          <w:lang w:val="en-US"/>
        </w:rPr>
        <w:t>insights from the interpretative practice of UN treaty to define the content of States’ obligations to ensure the highest standards of protection</w:t>
      </w:r>
      <w:r w:rsidR="002B0746" w:rsidRPr="002B0746">
        <w:rPr>
          <w:rStyle w:val="FootnoteReference"/>
          <w:rFonts w:ascii="Times New Roman" w:hAnsi="Times New Roman"/>
          <w:bCs/>
          <w:lang w:val="en-US"/>
        </w:rPr>
        <w:footnoteReference w:id="11"/>
      </w:r>
      <w:r w:rsidR="00F75D1B" w:rsidRPr="002B0746">
        <w:rPr>
          <w:rFonts w:ascii="Times New Roman" w:hAnsi="Times New Roman" w:cs="Times New Roman"/>
          <w:bCs/>
          <w:lang w:val="en-US"/>
        </w:rPr>
        <w:t>.</w:t>
      </w:r>
      <w:r w:rsidR="002B0746" w:rsidRPr="002B0746">
        <w:rPr>
          <w:rFonts w:ascii="Times New Roman" w:hAnsi="Times New Roman" w:cs="Times New Roman"/>
          <w:bCs/>
          <w:lang w:val="en-US"/>
        </w:rPr>
        <w:t xml:space="preserve"> </w:t>
      </w:r>
      <w:r w:rsidR="002B0746" w:rsidRPr="001F676E">
        <w:rPr>
          <w:rFonts w:ascii="Times New Roman" w:eastAsia="Calibri" w:hAnsi="Times New Roman" w:cs="Times New Roman"/>
          <w:bCs/>
          <w:lang w:val="en-GB"/>
        </w:rPr>
        <w:t>In this context, the temporal dimension plays a significant role when evaluating whether the alleged environmental harm will have an impact now, by causing vulnerabilities (time as imminence), or whether it will have an impact in the future by exacerbating pre-existing vulnerabilities (e.g. by accelerating the deterioration of health of elderly people or by affecting the rights of future generations) (time as duration and as length). From this perspective, the temporal dimension of vulnerability can be a device that captures real</w:t>
      </w:r>
      <w:r w:rsidR="00B2584B">
        <w:rPr>
          <w:rFonts w:ascii="Times New Roman" w:eastAsia="Calibri" w:hAnsi="Times New Roman" w:cs="Times New Roman"/>
          <w:bCs/>
          <w:lang w:val="en-GB"/>
        </w:rPr>
        <w:t xml:space="preserve">-life harms by recognizing the </w:t>
      </w:r>
      <w:proofErr w:type="gramStart"/>
      <w:r w:rsidR="002B0746" w:rsidRPr="001F676E">
        <w:rPr>
          <w:rFonts w:ascii="Times New Roman" w:eastAsia="Calibri" w:hAnsi="Times New Roman" w:cs="Times New Roman"/>
          <w:bCs/>
          <w:lang w:val="en-GB"/>
        </w:rPr>
        <w:t>differently</w:t>
      </w:r>
      <w:r w:rsidR="00B2584B">
        <w:rPr>
          <w:rFonts w:ascii="Times New Roman" w:eastAsia="Calibri" w:hAnsi="Times New Roman" w:cs="Times New Roman"/>
          <w:bCs/>
          <w:lang w:val="en-GB"/>
        </w:rPr>
        <w:t>-manifested</w:t>
      </w:r>
      <w:proofErr w:type="gramEnd"/>
      <w:r w:rsidR="00B2584B">
        <w:rPr>
          <w:rFonts w:ascii="Times New Roman" w:eastAsia="Calibri" w:hAnsi="Times New Roman" w:cs="Times New Roman"/>
          <w:bCs/>
          <w:lang w:val="en-GB"/>
        </w:rPr>
        <w:t xml:space="preserve"> need for protection</w:t>
      </w:r>
      <w:r w:rsidR="002B0746" w:rsidRPr="001F676E">
        <w:rPr>
          <w:rFonts w:ascii="Times New Roman" w:eastAsia="Calibri" w:hAnsi="Times New Roman" w:cs="Times New Roman"/>
          <w:bCs/>
          <w:lang w:val="en-GB"/>
        </w:rPr>
        <w:t xml:space="preserve"> </w:t>
      </w:r>
      <w:r w:rsidR="00B2584B">
        <w:rPr>
          <w:rFonts w:ascii="Times New Roman" w:eastAsia="Calibri" w:hAnsi="Times New Roman" w:cs="Times New Roman"/>
          <w:bCs/>
          <w:lang w:val="en-GB"/>
        </w:rPr>
        <w:t>and</w:t>
      </w:r>
      <w:r w:rsidR="002B0746" w:rsidRPr="001F676E">
        <w:rPr>
          <w:rFonts w:ascii="Times New Roman" w:eastAsia="Calibri" w:hAnsi="Times New Roman" w:cs="Times New Roman"/>
          <w:bCs/>
          <w:lang w:val="en-GB"/>
        </w:rPr>
        <w:t xml:space="preserve"> giving meaning to human rights obligations triggered by climate change</w:t>
      </w:r>
      <w:r w:rsidR="00110F7F">
        <w:rPr>
          <w:rFonts w:ascii="Times New Roman" w:eastAsia="Calibri" w:hAnsi="Times New Roman" w:cs="Times New Roman"/>
          <w:bCs/>
          <w:lang w:val="en-GB"/>
        </w:rPr>
        <w:t>.</w:t>
      </w:r>
    </w:p>
    <w:p w14:paraId="2EB7E1B3" w14:textId="77777777" w:rsidR="000D51E9" w:rsidRPr="00B2584B" w:rsidRDefault="000D51E9" w:rsidP="000D51E9">
      <w:pPr>
        <w:spacing w:after="0" w:line="360" w:lineRule="auto"/>
        <w:rPr>
          <w:rFonts w:ascii="Times New Roman" w:hAnsi="Times New Roman" w:cs="Times New Roman"/>
          <w:bCs/>
          <w:lang w:val="en-GB"/>
        </w:rPr>
      </w:pPr>
    </w:p>
    <w:p w14:paraId="5F5A642C" w14:textId="77777777" w:rsidR="000D51E9" w:rsidRPr="00B20004" w:rsidRDefault="000D51E9" w:rsidP="000D51E9">
      <w:pPr>
        <w:spacing w:after="0" w:line="360" w:lineRule="auto"/>
        <w:rPr>
          <w:rFonts w:ascii="Times New Roman" w:hAnsi="Times New Roman" w:cs="Times New Roman"/>
          <w:b/>
          <w:lang w:val="en-US"/>
        </w:rPr>
      </w:pPr>
      <w:r w:rsidRPr="00B20004">
        <w:rPr>
          <w:rFonts w:ascii="Times New Roman" w:hAnsi="Times New Roman" w:cs="Times New Roman"/>
          <w:b/>
          <w:lang w:val="en-US"/>
        </w:rPr>
        <w:t>About paras 62 ff.</w:t>
      </w:r>
    </w:p>
    <w:p w14:paraId="29C1C527" w14:textId="07208B1B" w:rsidR="000D51E9" w:rsidRPr="00B20004" w:rsidRDefault="000D51E9" w:rsidP="005621C3">
      <w:pPr>
        <w:spacing w:after="0" w:line="360" w:lineRule="auto"/>
        <w:jc w:val="both"/>
        <w:rPr>
          <w:rFonts w:ascii="Times New Roman" w:hAnsi="Times New Roman" w:cs="Times New Roman"/>
          <w:bCs/>
          <w:lang w:val="en-US"/>
        </w:rPr>
      </w:pPr>
      <w:r w:rsidRPr="00B20004">
        <w:rPr>
          <w:rFonts w:ascii="Times New Roman" w:hAnsi="Times New Roman" w:cs="Times New Roman"/>
          <w:bCs/>
          <w:lang w:val="en-US"/>
        </w:rPr>
        <w:lastRenderedPageBreak/>
        <w:t>“Climate action is not only a matter of intergenerational solidarity, but is also a human rights duty and a matt</w:t>
      </w:r>
      <w:r w:rsidR="00B2584B">
        <w:rPr>
          <w:rFonts w:ascii="Times New Roman" w:hAnsi="Times New Roman" w:cs="Times New Roman"/>
          <w:bCs/>
          <w:lang w:val="en-US"/>
        </w:rPr>
        <w:t>er of intergenerational justice.</w:t>
      </w:r>
      <w:r w:rsidRPr="00B20004">
        <w:rPr>
          <w:rFonts w:ascii="Times New Roman" w:hAnsi="Times New Roman" w:cs="Times New Roman"/>
          <w:bCs/>
          <w:lang w:val="en-US"/>
        </w:rPr>
        <w:t>”</w:t>
      </w:r>
      <w:r w:rsidRPr="00B20004">
        <w:rPr>
          <w:rStyle w:val="FootnoteReference"/>
          <w:bCs/>
        </w:rPr>
        <w:footnoteReference w:id="12"/>
      </w:r>
      <w:r w:rsidRPr="00B20004">
        <w:rPr>
          <w:rFonts w:ascii="Times New Roman" w:hAnsi="Times New Roman" w:cs="Times New Roman"/>
          <w:bCs/>
          <w:lang w:val="en-US"/>
        </w:rPr>
        <w:t xml:space="preserve"> Access to justice is pivotal in the protection of human rights. The draft GC clearly highlights that “effective remedies should be available to redress violations”, and that this “requires States to provide pathways for children to access justice.” In the protection of children’s rights as related to the environment, access to justice is complicated due to the transboundary nature of environmental harm, and</w:t>
      </w:r>
      <w:r>
        <w:rPr>
          <w:rFonts w:ascii="Times New Roman" w:hAnsi="Times New Roman" w:cs="Times New Roman"/>
          <w:bCs/>
          <w:lang w:val="en-US"/>
        </w:rPr>
        <w:t xml:space="preserve"> usual</w:t>
      </w:r>
      <w:r w:rsidRPr="00B20004">
        <w:rPr>
          <w:rFonts w:ascii="Times New Roman" w:hAnsi="Times New Roman" w:cs="Times New Roman"/>
          <w:bCs/>
          <w:lang w:val="en-US"/>
        </w:rPr>
        <w:t xml:space="preserve"> lack of proximity between what caused the harm and whom </w:t>
      </w:r>
      <w:proofErr w:type="gramStart"/>
      <w:r w:rsidRPr="00B20004">
        <w:rPr>
          <w:rFonts w:ascii="Times New Roman" w:hAnsi="Times New Roman" w:cs="Times New Roman"/>
          <w:bCs/>
          <w:lang w:val="en-US"/>
        </w:rPr>
        <w:t xml:space="preserve">is affected by </w:t>
      </w:r>
      <w:r>
        <w:rPr>
          <w:rFonts w:ascii="Times New Roman" w:hAnsi="Times New Roman" w:cs="Times New Roman"/>
          <w:bCs/>
          <w:lang w:val="en-US"/>
        </w:rPr>
        <w:t>its</w:t>
      </w:r>
      <w:r w:rsidRPr="00B20004">
        <w:rPr>
          <w:rFonts w:ascii="Times New Roman" w:hAnsi="Times New Roman" w:cs="Times New Roman"/>
          <w:bCs/>
          <w:lang w:val="en-US"/>
        </w:rPr>
        <w:t xml:space="preserve"> effects</w:t>
      </w:r>
      <w:proofErr w:type="gramEnd"/>
      <w:r w:rsidR="00C2597B">
        <w:rPr>
          <w:rFonts w:ascii="Times New Roman" w:hAnsi="Times New Roman" w:cs="Times New Roman"/>
          <w:bCs/>
          <w:lang w:val="en-US"/>
        </w:rPr>
        <w:t>.</w:t>
      </w:r>
      <w:r w:rsidR="00B953CC">
        <w:rPr>
          <w:rStyle w:val="FootnoteReference"/>
          <w:rFonts w:ascii="Times New Roman" w:hAnsi="Times New Roman"/>
          <w:bCs/>
          <w:lang w:val="en-US"/>
        </w:rPr>
        <w:footnoteReference w:id="13"/>
      </w:r>
      <w:r w:rsidRPr="00B20004">
        <w:rPr>
          <w:rFonts w:ascii="Times New Roman" w:hAnsi="Times New Roman" w:cs="Times New Roman"/>
          <w:bCs/>
          <w:lang w:val="en-US"/>
        </w:rPr>
        <w:t xml:space="preserve"> </w:t>
      </w:r>
    </w:p>
    <w:p w14:paraId="09B5227E" w14:textId="77777777" w:rsidR="000D51E9" w:rsidRPr="00B20004" w:rsidRDefault="000D51E9" w:rsidP="000D51E9">
      <w:pPr>
        <w:spacing w:after="0" w:line="360" w:lineRule="auto"/>
        <w:jc w:val="both"/>
        <w:rPr>
          <w:rFonts w:ascii="Times New Roman" w:hAnsi="Times New Roman" w:cs="Times New Roman"/>
          <w:bCs/>
          <w:lang w:val="en-US"/>
        </w:rPr>
      </w:pPr>
      <w:r w:rsidRPr="00B20004">
        <w:rPr>
          <w:rFonts w:ascii="Times New Roman" w:hAnsi="Times New Roman" w:cs="Times New Roman"/>
          <w:bCs/>
          <w:lang w:val="en-US"/>
        </w:rPr>
        <w:t xml:space="preserve">One possibility is to push for a consolidation of the argument made by the Inter-American Court of Human Rights in the advisory opinion of 7 February 2018 </w:t>
      </w:r>
      <w:r w:rsidRPr="00B20004">
        <w:rPr>
          <w:rFonts w:ascii="Times New Roman" w:hAnsi="Times New Roman" w:cs="Times New Roman"/>
          <w:color w:val="000000"/>
          <w:lang w:val="en-US"/>
        </w:rPr>
        <w:t>concerning the obligations of States Parties to the American Convention on Human Rights</w:t>
      </w:r>
      <w:r>
        <w:rPr>
          <w:rFonts w:ascii="Times New Roman" w:hAnsi="Times New Roman" w:cs="Times New Roman"/>
          <w:bCs/>
          <w:lang w:val="en-US"/>
        </w:rPr>
        <w:t>.</w:t>
      </w:r>
      <w:r>
        <w:rPr>
          <w:rStyle w:val="FootnoteReference"/>
          <w:bCs/>
        </w:rPr>
        <w:footnoteReference w:id="14"/>
      </w:r>
      <w:r>
        <w:rPr>
          <w:rFonts w:ascii="Times New Roman" w:hAnsi="Times New Roman" w:cs="Times New Roman"/>
          <w:bCs/>
          <w:lang w:val="en-US"/>
        </w:rPr>
        <w:t xml:space="preserve"> The Court argued </w:t>
      </w:r>
      <w:r w:rsidRPr="00B20004">
        <w:rPr>
          <w:rFonts w:ascii="Times New Roman" w:hAnsi="Times New Roman" w:cs="Times New Roman"/>
          <w:bCs/>
          <w:lang w:val="en-US"/>
        </w:rPr>
        <w:t>that jurisdiction of a State is established when it exercises control over the activities that caused the harm. This shift in the legal analysis is particularly relevant. In the words of the Inter-American Court of Human Rights:</w:t>
      </w:r>
    </w:p>
    <w:p w14:paraId="04F8ED88" w14:textId="77777777" w:rsidR="000D51E9" w:rsidRPr="00B20004" w:rsidRDefault="000D51E9" w:rsidP="000D51E9">
      <w:pPr>
        <w:spacing w:after="0" w:line="360" w:lineRule="auto"/>
        <w:ind w:left="708"/>
        <w:jc w:val="both"/>
        <w:rPr>
          <w:rFonts w:ascii="Times New Roman" w:hAnsi="Times New Roman" w:cs="Times New Roman"/>
          <w:bCs/>
          <w:lang w:val="en-US"/>
        </w:rPr>
      </w:pPr>
      <w:proofErr w:type="gramStart"/>
      <w:r w:rsidRPr="00B20004">
        <w:rPr>
          <w:rFonts w:ascii="Times New Roman" w:hAnsi="Times New Roman" w:cs="Times New Roman"/>
          <w:color w:val="000000"/>
          <w:lang w:val="en-US"/>
        </w:rPr>
        <w:t>The exercise of jurisdiction by a State of origin in relation to transboundary damage is based on the understanding that it is the State in whose territory or in whose jurisdiction these activities are undertaken, who has effective control over them and is in a position to prevent the causation of transboundary damage that may affect the enjoyment of human rights of individuals outside its territory.</w:t>
      </w:r>
      <w:proofErr w:type="gramEnd"/>
      <w:r w:rsidRPr="00B20004">
        <w:rPr>
          <w:rFonts w:ascii="Times New Roman" w:hAnsi="Times New Roman" w:cs="Times New Roman"/>
          <w:color w:val="000000"/>
          <w:lang w:val="en-US"/>
        </w:rPr>
        <w:t xml:space="preserve"> The potential victims of the negative consequences of these activities </w:t>
      </w:r>
      <w:proofErr w:type="gramStart"/>
      <w:r w:rsidRPr="00B20004">
        <w:rPr>
          <w:rFonts w:ascii="Times New Roman" w:hAnsi="Times New Roman" w:cs="Times New Roman"/>
          <w:color w:val="000000"/>
          <w:lang w:val="en-US"/>
        </w:rPr>
        <w:t>should be deemed</w:t>
      </w:r>
      <w:proofErr w:type="gramEnd"/>
      <w:r w:rsidRPr="00B20004">
        <w:rPr>
          <w:rFonts w:ascii="Times New Roman" w:hAnsi="Times New Roman" w:cs="Times New Roman"/>
          <w:color w:val="000000"/>
          <w:lang w:val="en-US"/>
        </w:rPr>
        <w:t xml:space="preserve"> to be within the jurisdiction of state of origin for the purposes of any potential state responsibilities for failure to prevent transboundary damage. In any case, not every injury activates this responsibility.</w:t>
      </w:r>
      <w:r>
        <w:rPr>
          <w:rStyle w:val="FootnoteReference"/>
          <w:color w:val="000000"/>
        </w:rPr>
        <w:footnoteReference w:id="15"/>
      </w:r>
    </w:p>
    <w:p w14:paraId="5CBD1EE5" w14:textId="77777777" w:rsidR="000D51E9" w:rsidRPr="00B20004" w:rsidRDefault="000D51E9" w:rsidP="000D51E9">
      <w:pPr>
        <w:spacing w:after="0" w:line="360" w:lineRule="auto"/>
        <w:jc w:val="both"/>
        <w:rPr>
          <w:rFonts w:ascii="Times New Roman" w:hAnsi="Times New Roman" w:cs="Times New Roman"/>
          <w:bCs/>
          <w:lang w:val="en-GB"/>
        </w:rPr>
      </w:pPr>
      <w:r w:rsidRPr="00B20004">
        <w:rPr>
          <w:rFonts w:ascii="Times New Roman" w:hAnsi="Times New Roman" w:cs="Times New Roman"/>
          <w:bCs/>
          <w:lang w:val="en-GB"/>
        </w:rPr>
        <w:t xml:space="preserve">There is, however, an intrinsic procedural limit: the fact that such a legal argument is constrained within </w:t>
      </w:r>
      <w:proofErr w:type="spellStart"/>
      <w:r w:rsidRPr="00B20004">
        <w:rPr>
          <w:rFonts w:ascii="Times New Roman" w:hAnsi="Times New Roman" w:cs="Times New Roman"/>
          <w:bCs/>
          <w:lang w:val="en-GB"/>
        </w:rPr>
        <w:t>spacial</w:t>
      </w:r>
      <w:proofErr w:type="spellEnd"/>
      <w:r w:rsidRPr="00B20004">
        <w:rPr>
          <w:rFonts w:ascii="Times New Roman" w:hAnsi="Times New Roman" w:cs="Times New Roman"/>
          <w:bCs/>
          <w:lang w:val="en-GB"/>
        </w:rPr>
        <w:t xml:space="preserve"> boundaries, owing to the nature of the human rights treaty (in this case the American Convention on human rights) in which the interpretation operated. </w:t>
      </w:r>
      <w:proofErr w:type="gramStart"/>
      <w:r w:rsidRPr="00B20004">
        <w:rPr>
          <w:rFonts w:ascii="Times New Roman" w:hAnsi="Times New Roman" w:cs="Times New Roman"/>
          <w:bCs/>
          <w:lang w:val="en-GB"/>
        </w:rPr>
        <w:t>What about other legal systems where there is no access to a regional mechanism for the protection of human rights, or to an effective domestic remedy, or where the State has not accepted the competence of UN treaty bodies in receiving individual complaints?</w:t>
      </w:r>
      <w:proofErr w:type="gramEnd"/>
    </w:p>
    <w:p w14:paraId="5E5722A3" w14:textId="77777777" w:rsidR="000D51E9" w:rsidRPr="00B20004" w:rsidRDefault="000D51E9" w:rsidP="000D51E9">
      <w:pPr>
        <w:spacing w:after="0" w:line="360" w:lineRule="auto"/>
        <w:jc w:val="both"/>
        <w:rPr>
          <w:rFonts w:ascii="Times New Roman" w:hAnsi="Times New Roman" w:cs="Times New Roman"/>
          <w:bCs/>
          <w:lang w:val="en-GB"/>
        </w:rPr>
      </w:pPr>
      <w:r>
        <w:rPr>
          <w:rFonts w:ascii="Times New Roman" w:hAnsi="Times New Roman" w:cs="Times New Roman"/>
          <w:bCs/>
          <w:lang w:val="en-GB"/>
        </w:rPr>
        <w:t>It emerges</w:t>
      </w:r>
      <w:r w:rsidRPr="00B20004">
        <w:rPr>
          <w:rFonts w:ascii="Times New Roman" w:hAnsi="Times New Roman" w:cs="Times New Roman"/>
          <w:bCs/>
          <w:lang w:val="en-GB"/>
        </w:rPr>
        <w:t xml:space="preserve"> here, especially with regard to environmental cases, and more especially when it comes to children, an inherent systemic </w:t>
      </w:r>
      <w:proofErr w:type="gramStart"/>
      <w:r w:rsidRPr="00B20004">
        <w:rPr>
          <w:rFonts w:ascii="Times New Roman" w:hAnsi="Times New Roman" w:cs="Times New Roman"/>
          <w:bCs/>
          <w:lang w:val="en-GB"/>
        </w:rPr>
        <w:t>discrimination which</w:t>
      </w:r>
      <w:proofErr w:type="gramEnd"/>
      <w:r w:rsidRPr="00B20004">
        <w:rPr>
          <w:rFonts w:ascii="Times New Roman" w:hAnsi="Times New Roman" w:cs="Times New Roman"/>
          <w:bCs/>
          <w:lang w:val="en-GB"/>
        </w:rPr>
        <w:t xml:space="preserve"> can hardly be solved without a serious commitment by States. </w:t>
      </w:r>
    </w:p>
    <w:p w14:paraId="4FD8B330" w14:textId="261744A6" w:rsidR="000D51E9" w:rsidRPr="0018530B" w:rsidRDefault="000D51E9" w:rsidP="000D51E9">
      <w:pPr>
        <w:spacing w:after="0" w:line="360" w:lineRule="auto"/>
        <w:jc w:val="both"/>
        <w:rPr>
          <w:rFonts w:ascii="Times New Roman" w:hAnsi="Times New Roman" w:cs="Times New Roman"/>
          <w:bCs/>
          <w:lang w:val="en-GB"/>
        </w:rPr>
      </w:pPr>
      <w:r>
        <w:rPr>
          <w:rFonts w:ascii="Times New Roman" w:hAnsi="Times New Roman" w:cs="Times New Roman"/>
          <w:bCs/>
          <w:lang w:val="en-GB"/>
        </w:rPr>
        <w:t>In that regard, the attempt is to</w:t>
      </w:r>
      <w:r w:rsidRPr="00B20004">
        <w:rPr>
          <w:rFonts w:ascii="Times New Roman" w:hAnsi="Times New Roman" w:cs="Times New Roman"/>
          <w:bCs/>
          <w:lang w:val="en-GB"/>
        </w:rPr>
        <w:t xml:space="preserve"> offer an innovative view</w:t>
      </w:r>
      <w:r>
        <w:rPr>
          <w:rFonts w:ascii="Times New Roman" w:hAnsi="Times New Roman" w:cs="Times New Roman"/>
          <w:bCs/>
          <w:lang w:val="en-GB"/>
        </w:rPr>
        <w:t xml:space="preserve"> to the legal matter.</w:t>
      </w:r>
      <w:r w:rsidRPr="00B20004">
        <w:rPr>
          <w:rFonts w:ascii="Times New Roman" w:hAnsi="Times New Roman" w:cs="Times New Roman"/>
          <w:bCs/>
          <w:lang w:val="en-GB"/>
        </w:rPr>
        <w:t xml:space="preserve"> The second possibility we envisage here is</w:t>
      </w:r>
      <w:r>
        <w:rPr>
          <w:rFonts w:ascii="Times New Roman" w:hAnsi="Times New Roman" w:cs="Times New Roman"/>
          <w:bCs/>
          <w:lang w:val="en-GB"/>
        </w:rPr>
        <w:t xml:space="preserve"> indeed</w:t>
      </w:r>
      <w:r w:rsidRPr="00B20004">
        <w:rPr>
          <w:rFonts w:ascii="Times New Roman" w:hAnsi="Times New Roman" w:cs="Times New Roman"/>
          <w:bCs/>
          <w:lang w:val="en-GB"/>
        </w:rPr>
        <w:t xml:space="preserve"> that the CRC promote the establishment of a children’s tribunal, based on the model of </w:t>
      </w:r>
      <w:proofErr w:type="gramStart"/>
      <w:r w:rsidRPr="00B20004">
        <w:rPr>
          <w:rFonts w:ascii="Times New Roman" w:hAnsi="Times New Roman" w:cs="Times New Roman"/>
          <w:bCs/>
          <w:lang w:val="en-GB"/>
        </w:rPr>
        <w:t>women’s</w:t>
      </w:r>
      <w:proofErr w:type="gramEnd"/>
      <w:r w:rsidRPr="00B20004">
        <w:rPr>
          <w:rFonts w:ascii="Times New Roman" w:hAnsi="Times New Roman" w:cs="Times New Roman"/>
          <w:bCs/>
          <w:lang w:val="en-GB"/>
        </w:rPr>
        <w:t xml:space="preserve"> and peoples’ tribunals. The nature of such tribunals for children would be different </w:t>
      </w:r>
      <w:proofErr w:type="gramStart"/>
      <w:r w:rsidRPr="00B20004">
        <w:rPr>
          <w:rFonts w:ascii="Times New Roman" w:hAnsi="Times New Roman" w:cs="Times New Roman"/>
          <w:bCs/>
          <w:lang w:val="en-GB"/>
        </w:rPr>
        <w:t>than</w:t>
      </w:r>
      <w:proofErr w:type="gramEnd"/>
      <w:r w:rsidRPr="00B20004">
        <w:rPr>
          <w:rFonts w:ascii="Times New Roman" w:hAnsi="Times New Roman" w:cs="Times New Roman"/>
          <w:bCs/>
          <w:lang w:val="en-GB"/>
        </w:rPr>
        <w:t xml:space="preserve"> the experiences we have had in years. These tribunals can surely provide a voice to children,</w:t>
      </w:r>
      <w:r>
        <w:rPr>
          <w:rFonts w:ascii="Times New Roman" w:hAnsi="Times New Roman" w:cs="Times New Roman"/>
          <w:bCs/>
          <w:lang w:val="en-GB"/>
        </w:rPr>
        <w:t xml:space="preserve"> they </w:t>
      </w:r>
      <w:r>
        <w:rPr>
          <w:rFonts w:ascii="Times New Roman" w:hAnsi="Times New Roman" w:cs="Times New Roman"/>
          <w:bCs/>
          <w:lang w:val="en-GB"/>
        </w:rPr>
        <w:lastRenderedPageBreak/>
        <w:t>can reveal the untold, as it was for all peoples’ tribunals,</w:t>
      </w:r>
      <w:r w:rsidRPr="00B20004">
        <w:rPr>
          <w:rFonts w:ascii="Times New Roman" w:hAnsi="Times New Roman" w:cs="Times New Roman"/>
          <w:bCs/>
          <w:lang w:val="en-GB"/>
        </w:rPr>
        <w:t xml:space="preserve"> but they can also push forward legal interpretations that might be of inspiration for domestic and international tribunals alike. The non-binding nature of peoples’ tribunals </w:t>
      </w:r>
      <w:proofErr w:type="gramStart"/>
      <w:r w:rsidRPr="00B20004">
        <w:rPr>
          <w:rFonts w:ascii="Times New Roman" w:hAnsi="Times New Roman" w:cs="Times New Roman"/>
          <w:bCs/>
          <w:lang w:val="en-GB"/>
        </w:rPr>
        <w:t>should not be seen</w:t>
      </w:r>
      <w:proofErr w:type="gramEnd"/>
      <w:r w:rsidRPr="00B20004">
        <w:rPr>
          <w:rFonts w:ascii="Times New Roman" w:hAnsi="Times New Roman" w:cs="Times New Roman"/>
          <w:bCs/>
          <w:lang w:val="en-GB"/>
        </w:rPr>
        <w:t xml:space="preserve"> as a weakness, but, quite to the contrary, as an example of flexibility in international law. These tribunals can gather the stories of children living in small islands whose existence is at risk because of climate change, they can listen to </w:t>
      </w:r>
      <w:proofErr w:type="gramStart"/>
      <w:r w:rsidRPr="00B20004">
        <w:rPr>
          <w:rFonts w:ascii="Times New Roman" w:hAnsi="Times New Roman" w:cs="Times New Roman"/>
          <w:bCs/>
          <w:lang w:val="en-GB"/>
        </w:rPr>
        <w:t>stories which</w:t>
      </w:r>
      <w:proofErr w:type="gramEnd"/>
      <w:r w:rsidRPr="00B20004">
        <w:rPr>
          <w:rFonts w:ascii="Times New Roman" w:hAnsi="Times New Roman" w:cs="Times New Roman"/>
          <w:bCs/>
          <w:lang w:val="en-GB"/>
        </w:rPr>
        <w:t xml:space="preserve"> can never achieve a tribunal for the legal constraints the procedure has in terms of status of victims</w:t>
      </w:r>
      <w:r>
        <w:rPr>
          <w:rFonts w:ascii="Times New Roman" w:hAnsi="Times New Roman" w:cs="Times New Roman"/>
          <w:bCs/>
          <w:lang w:val="en-GB"/>
        </w:rPr>
        <w:t xml:space="preserve"> and</w:t>
      </w:r>
      <w:r w:rsidRPr="00B20004">
        <w:rPr>
          <w:rFonts w:ascii="Times New Roman" w:hAnsi="Times New Roman" w:cs="Times New Roman"/>
          <w:bCs/>
          <w:lang w:val="en-GB"/>
        </w:rPr>
        <w:t xml:space="preserve"> admissibility, among others. The outcome of the decisions of these tribunals </w:t>
      </w:r>
      <w:proofErr w:type="gramStart"/>
      <w:r w:rsidRPr="00B20004">
        <w:rPr>
          <w:rFonts w:ascii="Times New Roman" w:hAnsi="Times New Roman" w:cs="Times New Roman"/>
          <w:bCs/>
          <w:lang w:val="en-GB"/>
        </w:rPr>
        <w:t>can be taken</w:t>
      </w:r>
      <w:proofErr w:type="gramEnd"/>
      <w:r w:rsidRPr="00B20004">
        <w:rPr>
          <w:rFonts w:ascii="Times New Roman" w:hAnsi="Times New Roman" w:cs="Times New Roman"/>
          <w:bCs/>
          <w:lang w:val="en-GB"/>
        </w:rPr>
        <w:t xml:space="preserve"> into account as </w:t>
      </w:r>
      <w:r w:rsidRPr="00B20004">
        <w:rPr>
          <w:rFonts w:ascii="Times New Roman" w:hAnsi="Times New Roman" w:cs="Times New Roman"/>
          <w:bCs/>
          <w:i/>
          <w:iCs/>
          <w:lang w:val="en-GB"/>
        </w:rPr>
        <w:t>amici curiae</w:t>
      </w:r>
      <w:r w:rsidRPr="00B20004">
        <w:rPr>
          <w:rFonts w:ascii="Times New Roman" w:hAnsi="Times New Roman" w:cs="Times New Roman"/>
          <w:bCs/>
          <w:lang w:val="en-GB"/>
        </w:rPr>
        <w:t xml:space="preserve"> briefs. </w:t>
      </w:r>
      <w:r w:rsidRPr="00B20004">
        <w:rPr>
          <w:rFonts w:ascii="Times New Roman" w:hAnsi="Times New Roman" w:cs="Times New Roman"/>
          <w:bCs/>
          <w:i/>
          <w:iCs/>
          <w:lang w:val="en-GB"/>
        </w:rPr>
        <w:t>Amici curiae</w:t>
      </w:r>
      <w:r w:rsidRPr="00B20004">
        <w:rPr>
          <w:rFonts w:ascii="Times New Roman" w:hAnsi="Times New Roman" w:cs="Times New Roman"/>
          <w:bCs/>
          <w:lang w:val="en-GB"/>
        </w:rPr>
        <w:t xml:space="preserve"> (friends of the court) are entities that are interested in a trial </w:t>
      </w:r>
      <w:r w:rsidRPr="00B20004">
        <w:rPr>
          <w:rFonts w:ascii="Times New Roman" w:hAnsi="Times New Roman" w:cs="Times New Roman"/>
          <w:lang w:val="en-US"/>
        </w:rPr>
        <w:t xml:space="preserve">but not party to it, and they can submit a brief which can be both on a point of law or fact. It does not seem thus improbable, that international, regional, and domestic courts – if the participation of </w:t>
      </w:r>
      <w:r w:rsidRPr="0018530B">
        <w:rPr>
          <w:rFonts w:ascii="Times New Roman" w:hAnsi="Times New Roman" w:cs="Times New Roman"/>
          <w:i/>
          <w:iCs/>
          <w:lang w:val="en-US"/>
        </w:rPr>
        <w:t>amici curiae</w:t>
      </w:r>
      <w:r w:rsidRPr="00B20004">
        <w:rPr>
          <w:rFonts w:ascii="Times New Roman" w:hAnsi="Times New Roman" w:cs="Times New Roman"/>
          <w:lang w:val="en-US"/>
        </w:rPr>
        <w:t xml:space="preserve"> is possible according to </w:t>
      </w:r>
      <w:r>
        <w:rPr>
          <w:rFonts w:ascii="Times New Roman" w:hAnsi="Times New Roman" w:cs="Times New Roman"/>
          <w:lang w:val="en-US"/>
        </w:rPr>
        <w:t>their r</w:t>
      </w:r>
      <w:r w:rsidRPr="00B20004">
        <w:rPr>
          <w:rFonts w:ascii="Times New Roman" w:hAnsi="Times New Roman" w:cs="Times New Roman"/>
          <w:lang w:val="en-US"/>
        </w:rPr>
        <w:t xml:space="preserve">ules of procedures – accept and even request </w:t>
      </w:r>
      <w:r w:rsidRPr="0018530B">
        <w:rPr>
          <w:rFonts w:ascii="Times New Roman" w:hAnsi="Times New Roman" w:cs="Times New Roman"/>
          <w:i/>
          <w:iCs/>
          <w:lang w:val="en-US"/>
        </w:rPr>
        <w:t>amici curiae</w:t>
      </w:r>
      <w:r w:rsidRPr="00B20004">
        <w:rPr>
          <w:rFonts w:ascii="Times New Roman" w:hAnsi="Times New Roman" w:cs="Times New Roman"/>
          <w:lang w:val="en-US"/>
        </w:rPr>
        <w:t xml:space="preserve"> briefs from </w:t>
      </w:r>
      <w:r>
        <w:rPr>
          <w:rFonts w:ascii="Times New Roman" w:hAnsi="Times New Roman" w:cs="Times New Roman"/>
          <w:lang w:val="en-US"/>
        </w:rPr>
        <w:t>children’s</w:t>
      </w:r>
      <w:r w:rsidRPr="00B20004">
        <w:rPr>
          <w:rFonts w:ascii="Times New Roman" w:hAnsi="Times New Roman" w:cs="Times New Roman"/>
          <w:lang w:val="en-US"/>
        </w:rPr>
        <w:t xml:space="preserve"> tribunals, or, better, from the organizations that have promoted the establishment of the tribunals themselves. It is now necessary that, for the first time in history, an international tribunal or a domestic court clearly </w:t>
      </w:r>
      <w:proofErr w:type="gramStart"/>
      <w:r w:rsidRPr="00B20004">
        <w:rPr>
          <w:rFonts w:ascii="Times New Roman" w:hAnsi="Times New Roman" w:cs="Times New Roman"/>
          <w:lang w:val="en-US"/>
        </w:rPr>
        <w:t>asks</w:t>
      </w:r>
      <w:proofErr w:type="gramEnd"/>
      <w:r w:rsidRPr="00B20004">
        <w:rPr>
          <w:rFonts w:ascii="Times New Roman" w:hAnsi="Times New Roman" w:cs="Times New Roman"/>
          <w:lang w:val="en-US"/>
        </w:rPr>
        <w:t xml:space="preserve"> for the testimonies collected by one of the numerous peoples’ tribunals that have been established in the past years. One can only imagine the power (also in legal terms) of a children’s tribunal on the protection of the environment for present and future generations.</w:t>
      </w:r>
    </w:p>
    <w:p w14:paraId="475F0876" w14:textId="77777777" w:rsidR="000D51E9" w:rsidRPr="00B20004" w:rsidRDefault="000D51E9" w:rsidP="000D51E9">
      <w:pPr>
        <w:spacing w:after="0" w:line="360" w:lineRule="auto"/>
        <w:jc w:val="both"/>
        <w:rPr>
          <w:rFonts w:ascii="Times New Roman" w:hAnsi="Times New Roman" w:cs="Times New Roman"/>
          <w:b/>
          <w:bCs/>
          <w:lang w:val="en-US"/>
        </w:rPr>
      </w:pPr>
    </w:p>
    <w:p w14:paraId="23D47069" w14:textId="77777777" w:rsidR="000D51E9" w:rsidRPr="00673392" w:rsidRDefault="000D51E9" w:rsidP="000D51E9">
      <w:pPr>
        <w:spacing w:after="0" w:line="360" w:lineRule="auto"/>
        <w:jc w:val="both"/>
        <w:rPr>
          <w:rFonts w:ascii="Times New Roman" w:hAnsi="Times New Roman" w:cs="Times New Roman"/>
          <w:b/>
          <w:bCs/>
          <w:lang w:val="en-US"/>
        </w:rPr>
      </w:pPr>
      <w:r w:rsidRPr="00673392">
        <w:rPr>
          <w:rFonts w:ascii="Times New Roman" w:hAnsi="Times New Roman" w:cs="Times New Roman"/>
          <w:b/>
          <w:bCs/>
          <w:lang w:val="en-US"/>
        </w:rPr>
        <w:t>About para. 100</w:t>
      </w:r>
    </w:p>
    <w:p w14:paraId="38F680D1" w14:textId="7542B558" w:rsidR="00347262" w:rsidRPr="005621C3" w:rsidRDefault="000D51E9" w:rsidP="000D51E9">
      <w:pPr>
        <w:spacing w:after="0" w:line="360" w:lineRule="auto"/>
        <w:jc w:val="both"/>
        <w:rPr>
          <w:rFonts w:ascii="Times New Roman" w:hAnsi="Times New Roman" w:cs="Times New Roman"/>
          <w:lang w:val="en-GB"/>
        </w:rPr>
      </w:pPr>
      <w:r w:rsidRPr="00347262">
        <w:rPr>
          <w:rFonts w:ascii="Times New Roman" w:hAnsi="Times New Roman" w:cs="Times New Roman"/>
          <w:lang w:val="en-US"/>
        </w:rPr>
        <w:t xml:space="preserve">In terms of States’ obligations, a possible legal argument </w:t>
      </w:r>
      <w:r w:rsidR="00F67097" w:rsidRPr="00347262">
        <w:rPr>
          <w:rFonts w:ascii="Times New Roman" w:hAnsi="Times New Roman" w:cs="Times New Roman"/>
          <w:lang w:val="en-US"/>
        </w:rPr>
        <w:t>to face this challenge</w:t>
      </w:r>
      <w:r w:rsidRPr="00347262">
        <w:rPr>
          <w:rFonts w:ascii="Times New Roman" w:hAnsi="Times New Roman" w:cs="Times New Roman"/>
          <w:lang w:val="en-US"/>
        </w:rPr>
        <w:t xml:space="preserve">, using the provisions of the legal instruments in force, </w:t>
      </w:r>
      <w:r w:rsidR="00F67097" w:rsidRPr="00347262">
        <w:rPr>
          <w:rFonts w:ascii="Times New Roman" w:hAnsi="Times New Roman" w:cs="Times New Roman"/>
          <w:lang w:val="en-US"/>
        </w:rPr>
        <w:t xml:space="preserve">is to adopt the emerging doctrine of </w:t>
      </w:r>
      <w:r w:rsidR="00F67097" w:rsidRPr="007B2703">
        <w:rPr>
          <w:rFonts w:ascii="Times New Roman" w:hAnsi="Times New Roman" w:cs="Times New Roman"/>
          <w:lang w:val="en-US"/>
        </w:rPr>
        <w:t>‘common concern’ as the defining principle for developing a preventive-responsive framework</w:t>
      </w:r>
      <w:r w:rsidR="00D158EF" w:rsidRPr="007B2703">
        <w:rPr>
          <w:rFonts w:ascii="Times New Roman" w:hAnsi="Times New Roman" w:cs="Times New Roman"/>
          <w:lang w:val="en-US"/>
        </w:rPr>
        <w:t>.</w:t>
      </w:r>
      <w:r w:rsidR="00F67097" w:rsidRPr="00673392">
        <w:rPr>
          <w:rStyle w:val="FootnoteReference"/>
          <w:rFonts w:ascii="Times New Roman" w:hAnsi="Times New Roman"/>
          <w:lang w:val="en-US"/>
        </w:rPr>
        <w:footnoteReference w:id="16"/>
      </w:r>
      <w:r w:rsidR="00F67097" w:rsidRPr="00673392">
        <w:rPr>
          <w:rFonts w:ascii="Times New Roman" w:hAnsi="Times New Roman" w:cs="Times New Roman"/>
          <w:lang w:val="en-US"/>
        </w:rPr>
        <w:t xml:space="preserve"> With the adoption of the Paris Agreemen</w:t>
      </w:r>
      <w:r w:rsidR="00497383" w:rsidRPr="00673392">
        <w:rPr>
          <w:rFonts w:ascii="Times New Roman" w:hAnsi="Times New Roman" w:cs="Times New Roman"/>
          <w:lang w:val="en-US"/>
        </w:rPr>
        <w:t>t in 2015 it became clear that ‘</w:t>
      </w:r>
      <w:r w:rsidR="00F67097" w:rsidRPr="00673392">
        <w:rPr>
          <w:rFonts w:ascii="Times New Roman" w:hAnsi="Times New Roman" w:cs="Times New Roman"/>
          <w:lang w:val="en-US"/>
        </w:rPr>
        <w:t xml:space="preserve">change in the Earth’s climate and its adverse effects are a </w:t>
      </w:r>
      <w:r w:rsidR="00497383" w:rsidRPr="00347262">
        <w:rPr>
          <w:rFonts w:ascii="Times New Roman" w:hAnsi="Times New Roman" w:cs="Times New Roman"/>
          <w:lang w:val="en-US"/>
        </w:rPr>
        <w:t>common concern of all humankind’</w:t>
      </w:r>
      <w:r w:rsidR="00F67097" w:rsidRPr="00347262">
        <w:rPr>
          <w:rFonts w:ascii="Times New Roman" w:hAnsi="Times New Roman" w:cs="Times New Roman"/>
          <w:lang w:val="en-US"/>
        </w:rPr>
        <w:t xml:space="preserve"> requiring collective and cooperative efforts. Common concerns function both as an ‘instrumental value</w:t>
      </w:r>
      <w:r w:rsidR="00F67097" w:rsidRPr="007B2703">
        <w:rPr>
          <w:rFonts w:ascii="Times New Roman" w:hAnsi="Times New Roman" w:cs="Times New Roman"/>
          <w:lang w:val="en-US"/>
        </w:rPr>
        <w:t>’ and a ‘constraint’ that cannot be confined within domestic borders; these phenomena respect no frontiers. Common concern</w:t>
      </w:r>
      <w:r w:rsidR="00B2584B">
        <w:rPr>
          <w:rFonts w:ascii="Times New Roman" w:hAnsi="Times New Roman" w:cs="Times New Roman"/>
          <w:lang w:val="en-US"/>
        </w:rPr>
        <w:t xml:space="preserve"> is</w:t>
      </w:r>
      <w:bookmarkStart w:id="0" w:name="_GoBack"/>
      <w:bookmarkEnd w:id="0"/>
      <w:r w:rsidR="00F67097" w:rsidRPr="007B2703">
        <w:rPr>
          <w:rFonts w:ascii="Times New Roman" w:hAnsi="Times New Roman" w:cs="Times New Roman"/>
          <w:lang w:val="en-US"/>
        </w:rPr>
        <w:t xml:space="preserve"> a concept that guides states on cooperating to address problems of global interest.</w:t>
      </w:r>
      <w:r w:rsidR="00673392" w:rsidRPr="005621C3">
        <w:rPr>
          <w:rFonts w:ascii="Times New Roman" w:hAnsi="Times New Roman" w:cs="Times New Roman"/>
          <w:lang w:val="en-GB"/>
        </w:rPr>
        <w:t xml:space="preserve"> This raises new issues concerning the interplay between the internal and external dimensions of climate risk governance, which requires a departure from a State-centric approach to facilitate cooperation at the international level and effectively </w:t>
      </w:r>
      <w:r w:rsidR="007B2703" w:rsidRPr="007B2703">
        <w:rPr>
          <w:rFonts w:ascii="Times New Roman" w:hAnsi="Times New Roman" w:cs="Times New Roman"/>
          <w:lang w:val="en-GB"/>
        </w:rPr>
        <w:t>to maintain international peace and stability.</w:t>
      </w:r>
      <w:r w:rsidR="00673392">
        <w:rPr>
          <w:rFonts w:ascii="Times New Roman" w:hAnsi="Times New Roman" w:cs="Times New Roman"/>
          <w:lang w:val="en-GB"/>
        </w:rPr>
        <w:t xml:space="preserve"> </w:t>
      </w:r>
      <w:r w:rsidR="00F9569E" w:rsidRPr="00F9569E">
        <w:rPr>
          <w:rFonts w:ascii="Times New Roman" w:hAnsi="Times New Roman" w:cs="Times New Roman"/>
          <w:lang w:val="en-GB"/>
        </w:rPr>
        <w:t>The notions of prevention and cooperation are powerful in their practical meaning for dealing with common concerns, by acting unilaterally and concertedly upon commonly agreed rules.</w:t>
      </w:r>
      <w:r w:rsidR="00F9569E">
        <w:rPr>
          <w:rFonts w:ascii="Times New Roman" w:hAnsi="Times New Roman" w:cs="Times New Roman"/>
          <w:lang w:val="en-GB"/>
        </w:rPr>
        <w:t xml:space="preserve"> </w:t>
      </w:r>
      <w:r w:rsidR="00347262">
        <w:rPr>
          <w:rFonts w:ascii="Times New Roman" w:hAnsi="Times New Roman" w:cs="Times New Roman"/>
          <w:lang w:val="en-US"/>
        </w:rPr>
        <w:t xml:space="preserve">We suggest </w:t>
      </w:r>
      <w:r w:rsidR="002E06EE">
        <w:rPr>
          <w:rFonts w:ascii="Times New Roman" w:hAnsi="Times New Roman" w:cs="Times New Roman"/>
          <w:lang w:val="en-US"/>
        </w:rPr>
        <w:t>defining</w:t>
      </w:r>
      <w:r w:rsidR="007B2703">
        <w:rPr>
          <w:rFonts w:ascii="Times New Roman" w:hAnsi="Times New Roman" w:cs="Times New Roman"/>
          <w:lang w:val="en-US"/>
        </w:rPr>
        <w:t xml:space="preserve"> the contours of the</w:t>
      </w:r>
      <w:r w:rsidR="00347262">
        <w:rPr>
          <w:rFonts w:ascii="Times New Roman" w:hAnsi="Times New Roman" w:cs="Times New Roman"/>
          <w:lang w:val="en-US"/>
        </w:rPr>
        <w:t xml:space="preserve"> </w:t>
      </w:r>
      <w:r w:rsidRPr="00B20004">
        <w:rPr>
          <w:rFonts w:ascii="Times New Roman" w:hAnsi="Times New Roman" w:cs="Times New Roman"/>
          <w:lang w:val="en-US"/>
        </w:rPr>
        <w:t xml:space="preserve">obligation </w:t>
      </w:r>
      <w:r w:rsidRPr="00B20004">
        <w:rPr>
          <w:rFonts w:ascii="Times New Roman" w:hAnsi="Times New Roman" w:cs="Times New Roman"/>
          <w:i/>
          <w:iCs/>
          <w:lang w:val="en-US"/>
        </w:rPr>
        <w:t>to cooperate to prevent</w:t>
      </w:r>
      <w:r w:rsidRPr="00B20004">
        <w:rPr>
          <w:rFonts w:ascii="Times New Roman" w:hAnsi="Times New Roman" w:cs="Times New Roman"/>
          <w:lang w:val="en-US"/>
        </w:rPr>
        <w:t xml:space="preserve">, combining </w:t>
      </w:r>
      <w:r w:rsidR="00B953CC">
        <w:rPr>
          <w:rFonts w:ascii="Times New Roman" w:hAnsi="Times New Roman" w:cs="Times New Roman"/>
          <w:lang w:val="en-US"/>
        </w:rPr>
        <w:t xml:space="preserve">the duty to cooperate with the duty to </w:t>
      </w:r>
      <w:r w:rsidRPr="00B20004">
        <w:rPr>
          <w:rFonts w:ascii="Times New Roman" w:hAnsi="Times New Roman" w:cs="Times New Roman"/>
          <w:lang w:val="en-US"/>
        </w:rPr>
        <w:t>prevent foreseeable harm</w:t>
      </w:r>
      <w:r w:rsidR="007B2703">
        <w:rPr>
          <w:rFonts w:ascii="Times New Roman" w:hAnsi="Times New Roman" w:cs="Times New Roman"/>
          <w:lang w:val="en-US"/>
        </w:rPr>
        <w:t xml:space="preserve"> and human rights violations</w:t>
      </w:r>
      <w:r w:rsidR="00446F58">
        <w:rPr>
          <w:rFonts w:ascii="Times New Roman" w:hAnsi="Times New Roman" w:cs="Times New Roman"/>
          <w:lang w:val="en-US"/>
        </w:rPr>
        <w:t>.</w:t>
      </w:r>
      <w:r w:rsidR="00B953CC">
        <w:rPr>
          <w:rStyle w:val="FootnoteReference"/>
          <w:rFonts w:ascii="Times New Roman" w:hAnsi="Times New Roman"/>
          <w:lang w:val="en-US"/>
        </w:rPr>
        <w:footnoteReference w:id="17"/>
      </w:r>
      <w:r w:rsidRPr="00B20004">
        <w:rPr>
          <w:rFonts w:ascii="Times New Roman" w:hAnsi="Times New Roman" w:cs="Times New Roman"/>
          <w:lang w:val="en-US"/>
        </w:rPr>
        <w:t xml:space="preserve"> </w:t>
      </w:r>
      <w:r w:rsidR="00BB5485">
        <w:rPr>
          <w:rFonts w:ascii="Times New Roman" w:hAnsi="Times New Roman" w:cs="Times New Roman"/>
          <w:lang w:val="en-US"/>
        </w:rPr>
        <w:t xml:space="preserve">To clarify the scope of this obligation, we refer to the attempt of </w:t>
      </w:r>
      <w:r w:rsidR="00FD193F" w:rsidRPr="00347262">
        <w:rPr>
          <w:rFonts w:ascii="Times New Roman" w:hAnsi="Times New Roman" w:cs="Times New Roman"/>
          <w:lang w:val="en-US"/>
        </w:rPr>
        <w:t xml:space="preserve"> De </w:t>
      </w:r>
      <w:proofErr w:type="spellStart"/>
      <w:r w:rsidR="00FD193F" w:rsidRPr="00347262">
        <w:rPr>
          <w:rFonts w:ascii="Times New Roman" w:hAnsi="Times New Roman" w:cs="Times New Roman"/>
          <w:lang w:val="en-US"/>
        </w:rPr>
        <w:t>Schutter</w:t>
      </w:r>
      <w:proofErr w:type="spellEnd"/>
      <w:r w:rsidR="00BB5485">
        <w:rPr>
          <w:rFonts w:ascii="Times New Roman" w:hAnsi="Times New Roman" w:cs="Times New Roman"/>
          <w:lang w:val="en-US"/>
        </w:rPr>
        <w:t xml:space="preserve"> to clarify how</w:t>
      </w:r>
      <w:r w:rsidR="00FD193F" w:rsidRPr="00347262">
        <w:rPr>
          <w:rFonts w:ascii="Times New Roman" w:hAnsi="Times New Roman" w:cs="Times New Roman"/>
          <w:lang w:val="en-US"/>
        </w:rPr>
        <w:t xml:space="preserve"> </w:t>
      </w:r>
      <w:r w:rsidR="00BB5485">
        <w:rPr>
          <w:rFonts w:ascii="Times New Roman" w:hAnsi="Times New Roman" w:cs="Times New Roman"/>
          <w:lang w:val="en-US"/>
        </w:rPr>
        <w:t xml:space="preserve">the duty to cooperate in human </w:t>
      </w:r>
      <w:r w:rsidR="00BB5485">
        <w:rPr>
          <w:rFonts w:ascii="Times New Roman" w:hAnsi="Times New Roman" w:cs="Times New Roman"/>
          <w:lang w:val="en-US"/>
        </w:rPr>
        <w:lastRenderedPageBreak/>
        <w:t>rights law</w:t>
      </w:r>
      <w:r w:rsidR="00A35473">
        <w:rPr>
          <w:rStyle w:val="FootnoteReference"/>
          <w:rFonts w:ascii="Times New Roman" w:hAnsi="Times New Roman"/>
          <w:lang w:val="en-US"/>
        </w:rPr>
        <w:footnoteReference w:id="18"/>
      </w:r>
      <w:r w:rsidR="00BB5485">
        <w:rPr>
          <w:rFonts w:ascii="Times New Roman" w:hAnsi="Times New Roman" w:cs="Times New Roman"/>
          <w:lang w:val="en-US"/>
        </w:rPr>
        <w:t xml:space="preserve">, in our case in the field of the rights of the child, </w:t>
      </w:r>
      <w:r w:rsidR="00A35473">
        <w:rPr>
          <w:rFonts w:ascii="Times New Roman" w:hAnsi="Times New Roman" w:cs="Times New Roman"/>
          <w:lang w:val="en-US"/>
        </w:rPr>
        <w:t>could</w:t>
      </w:r>
      <w:r w:rsidR="00BB5485">
        <w:rPr>
          <w:rFonts w:ascii="Times New Roman" w:hAnsi="Times New Roman" w:cs="Times New Roman"/>
          <w:lang w:val="en-US"/>
        </w:rPr>
        <w:t xml:space="preserve"> </w:t>
      </w:r>
      <w:r w:rsidR="00FD193F" w:rsidRPr="00347262">
        <w:rPr>
          <w:rFonts w:ascii="Times New Roman" w:hAnsi="Times New Roman" w:cs="Times New Roman"/>
          <w:lang w:val="en-US"/>
        </w:rPr>
        <w:t xml:space="preserve">include in </w:t>
      </w:r>
      <w:r w:rsidR="00A35473">
        <w:rPr>
          <w:rFonts w:ascii="Times New Roman" w:hAnsi="Times New Roman" w:cs="Times New Roman"/>
          <w:lang w:val="en-US"/>
        </w:rPr>
        <w:t xml:space="preserve">its </w:t>
      </w:r>
      <w:r w:rsidR="00FD193F" w:rsidRPr="00347262">
        <w:rPr>
          <w:rFonts w:ascii="Times New Roman" w:hAnsi="Times New Roman" w:cs="Times New Roman"/>
          <w:lang w:val="en-US"/>
        </w:rPr>
        <w:t>definition a duty to seek to conclud</w:t>
      </w:r>
      <w:r w:rsidR="00FD193F">
        <w:rPr>
          <w:rFonts w:ascii="Times New Roman" w:hAnsi="Times New Roman" w:cs="Times New Roman"/>
          <w:lang w:val="en-US"/>
        </w:rPr>
        <w:t>e</w:t>
      </w:r>
      <w:r w:rsidR="004F2261">
        <w:rPr>
          <w:rFonts w:ascii="Times New Roman" w:hAnsi="Times New Roman" w:cs="Times New Roman"/>
          <w:lang w:val="en-US"/>
        </w:rPr>
        <w:t xml:space="preserve"> agreements with other States</w:t>
      </w:r>
      <w:r w:rsidR="00BB5485">
        <w:rPr>
          <w:rFonts w:ascii="Times New Roman" w:hAnsi="Times New Roman" w:cs="Times New Roman"/>
          <w:lang w:val="en-US"/>
        </w:rPr>
        <w:t xml:space="preserve"> to ensure a global implementation.</w:t>
      </w:r>
      <w:r w:rsidR="00FD193F" w:rsidRPr="00B20004">
        <w:rPr>
          <w:rStyle w:val="FootnoteReference"/>
        </w:rPr>
        <w:footnoteReference w:id="19"/>
      </w:r>
      <w:r w:rsidR="00FD193F" w:rsidRPr="00B20004">
        <w:rPr>
          <w:rFonts w:ascii="Times New Roman" w:hAnsi="Times New Roman" w:cs="Times New Roman"/>
          <w:lang w:val="en-US"/>
        </w:rPr>
        <w:t xml:space="preserve"> </w:t>
      </w:r>
      <w:r w:rsidR="00347262" w:rsidRPr="00347262">
        <w:rPr>
          <w:rFonts w:ascii="Times New Roman" w:hAnsi="Times New Roman" w:cs="Times New Roman"/>
          <w:lang w:val="en-US"/>
        </w:rPr>
        <w:t xml:space="preserve">This could be beneficial in translating human rights obligations into a cooperative duty to </w:t>
      </w:r>
      <w:r w:rsidR="00347262">
        <w:rPr>
          <w:rFonts w:ascii="Times New Roman" w:hAnsi="Times New Roman" w:cs="Times New Roman"/>
          <w:lang w:val="en-US"/>
        </w:rPr>
        <w:t xml:space="preserve">prevent </w:t>
      </w:r>
      <w:r w:rsidR="00347262" w:rsidRPr="00347262">
        <w:rPr>
          <w:rFonts w:ascii="Times New Roman" w:hAnsi="Times New Roman" w:cs="Times New Roman"/>
          <w:lang w:val="en-US"/>
        </w:rPr>
        <w:t xml:space="preserve">harm for present and future generations </w:t>
      </w:r>
      <w:r w:rsidR="00F226AC">
        <w:rPr>
          <w:rFonts w:ascii="Times New Roman" w:hAnsi="Times New Roman" w:cs="Times New Roman"/>
          <w:lang w:val="en-US"/>
        </w:rPr>
        <w:t xml:space="preserve">by institutionalizing a cooperative </w:t>
      </w:r>
      <w:r w:rsidR="00347262" w:rsidRPr="00347262">
        <w:rPr>
          <w:rFonts w:ascii="Times New Roman" w:hAnsi="Times New Roman" w:cs="Times New Roman"/>
          <w:lang w:val="en-US"/>
        </w:rPr>
        <w:t>framework t</w:t>
      </w:r>
      <w:r w:rsidR="00F226AC">
        <w:rPr>
          <w:rFonts w:ascii="Times New Roman" w:hAnsi="Times New Roman" w:cs="Times New Roman"/>
          <w:lang w:val="en-US"/>
        </w:rPr>
        <w:t>hat enables the full realization of their rights. Effective international cooperation for the realization of children’ rights could include</w:t>
      </w:r>
      <w:r w:rsidR="00347262" w:rsidRPr="00347262">
        <w:rPr>
          <w:rFonts w:ascii="Times New Roman" w:hAnsi="Times New Roman" w:cs="Times New Roman"/>
          <w:lang w:val="en-US"/>
        </w:rPr>
        <w:t xml:space="preserve"> </w:t>
      </w:r>
      <w:r w:rsidR="00F226AC">
        <w:rPr>
          <w:rFonts w:ascii="Times New Roman" w:hAnsi="Times New Roman" w:cs="Times New Roman"/>
          <w:lang w:val="en-US"/>
        </w:rPr>
        <w:t>seeking to adopt</w:t>
      </w:r>
      <w:r w:rsidR="00347262" w:rsidRPr="00347262">
        <w:rPr>
          <w:rFonts w:ascii="Times New Roman" w:hAnsi="Times New Roman" w:cs="Times New Roman"/>
          <w:lang w:val="en-US"/>
        </w:rPr>
        <w:t xml:space="preserve"> </w:t>
      </w:r>
      <w:r w:rsidR="00F226AC">
        <w:rPr>
          <w:rFonts w:ascii="Times New Roman" w:hAnsi="Times New Roman" w:cs="Times New Roman"/>
          <w:lang w:val="en-US"/>
        </w:rPr>
        <w:t xml:space="preserve">new </w:t>
      </w:r>
      <w:r w:rsidR="00347262" w:rsidRPr="00347262">
        <w:rPr>
          <w:rFonts w:ascii="Times New Roman" w:hAnsi="Times New Roman" w:cs="Times New Roman"/>
          <w:lang w:val="en-US"/>
        </w:rPr>
        <w:t xml:space="preserve">multilateral and bilateral agreements </w:t>
      </w:r>
      <w:r w:rsidR="00F226AC">
        <w:rPr>
          <w:rFonts w:ascii="Times New Roman" w:hAnsi="Times New Roman" w:cs="Times New Roman"/>
          <w:lang w:val="en-US"/>
        </w:rPr>
        <w:t>including the adoption of new mechanisms (e.g. children tribunals)</w:t>
      </w:r>
      <w:r w:rsidR="004F2261">
        <w:rPr>
          <w:rFonts w:ascii="Times New Roman" w:hAnsi="Times New Roman" w:cs="Times New Roman"/>
          <w:lang w:val="en-US"/>
        </w:rPr>
        <w:t xml:space="preserve"> to prevent climate-related violations</w:t>
      </w:r>
      <w:r w:rsidR="00347262" w:rsidRPr="00347262">
        <w:rPr>
          <w:rFonts w:ascii="Times New Roman" w:hAnsi="Times New Roman" w:cs="Times New Roman"/>
          <w:lang w:val="en-US"/>
        </w:rPr>
        <w:t>.</w:t>
      </w:r>
      <w:r w:rsidR="00B849BE" w:rsidRPr="00B849BE">
        <w:rPr>
          <w:rStyle w:val="FootnoteReference"/>
          <w:rFonts w:ascii="Times New Roman" w:hAnsi="Times New Roman"/>
          <w:lang w:val="en-US"/>
        </w:rPr>
        <w:t xml:space="preserve"> </w:t>
      </w:r>
      <w:r w:rsidR="00B849BE">
        <w:rPr>
          <w:rStyle w:val="FootnoteReference"/>
          <w:rFonts w:ascii="Times New Roman" w:hAnsi="Times New Roman"/>
          <w:lang w:val="en-US"/>
        </w:rPr>
        <w:footnoteReference w:id="20"/>
      </w:r>
    </w:p>
    <w:p w14:paraId="56DDE733" w14:textId="56F4FDD0" w:rsidR="00F76D70" w:rsidRDefault="00F76D70" w:rsidP="000D51E9">
      <w:pPr>
        <w:spacing w:after="0" w:line="360" w:lineRule="auto"/>
        <w:jc w:val="both"/>
        <w:rPr>
          <w:rFonts w:ascii="Times New Roman" w:hAnsi="Times New Roman" w:cs="Times New Roman"/>
          <w:lang w:val="en-US"/>
        </w:rPr>
      </w:pPr>
    </w:p>
    <w:p w14:paraId="5F72F0E2" w14:textId="58CA74C5" w:rsidR="00F76D70" w:rsidRPr="005621C3" w:rsidRDefault="00F76D70" w:rsidP="00F76D70">
      <w:pPr>
        <w:spacing w:after="0" w:line="360" w:lineRule="auto"/>
        <w:jc w:val="both"/>
        <w:rPr>
          <w:rFonts w:ascii="Times New Roman" w:hAnsi="Times New Roman" w:cs="Times New Roman"/>
          <w:i/>
          <w:lang w:val="en-US"/>
        </w:rPr>
      </w:pPr>
      <w:r w:rsidRPr="005621C3">
        <w:rPr>
          <w:rFonts w:ascii="Times New Roman" w:hAnsi="Times New Roman" w:cs="Times New Roman"/>
          <w:i/>
          <w:lang w:val="en-US"/>
        </w:rPr>
        <w:t xml:space="preserve">This comment, despite being inspired by the debate in Bern, represents the ideas of </w:t>
      </w:r>
      <w:r w:rsidR="00FB0619">
        <w:rPr>
          <w:rFonts w:ascii="Times New Roman" w:hAnsi="Times New Roman" w:cs="Times New Roman"/>
          <w:i/>
          <w:lang w:val="en-US"/>
        </w:rPr>
        <w:t>the authors</w:t>
      </w:r>
      <w:r w:rsidRPr="005621C3">
        <w:rPr>
          <w:rFonts w:ascii="Times New Roman" w:hAnsi="Times New Roman" w:cs="Times New Roman"/>
          <w:i/>
          <w:lang w:val="en-US"/>
        </w:rPr>
        <w:t>, specifically written to be submitted to the CRC.</w:t>
      </w:r>
    </w:p>
    <w:p w14:paraId="35C8046D" w14:textId="77777777" w:rsidR="000D51E9" w:rsidRPr="00B20004" w:rsidRDefault="000D51E9" w:rsidP="000D51E9">
      <w:pPr>
        <w:spacing w:after="0" w:line="360" w:lineRule="auto"/>
        <w:jc w:val="both"/>
        <w:rPr>
          <w:rFonts w:ascii="Times New Roman" w:hAnsi="Times New Roman" w:cs="Times New Roman"/>
          <w:lang w:val="en-US"/>
        </w:rPr>
      </w:pPr>
    </w:p>
    <w:p w14:paraId="555E9653" w14:textId="459F5DFF" w:rsidR="000D51E9" w:rsidRPr="005621C3" w:rsidRDefault="00676C85" w:rsidP="000D51E9">
      <w:pPr>
        <w:spacing w:after="0" w:line="360" w:lineRule="auto"/>
        <w:rPr>
          <w:rFonts w:ascii="Times New Roman" w:hAnsi="Times New Roman" w:cs="Times New Roman"/>
          <w:bCs/>
          <w:color w:val="000000" w:themeColor="text1"/>
          <w:lang w:val="es-ES"/>
        </w:rPr>
      </w:pPr>
      <w:r w:rsidRPr="005621C3">
        <w:rPr>
          <w:rFonts w:ascii="Times New Roman" w:hAnsi="Times New Roman" w:cs="Times New Roman"/>
          <w:bCs/>
          <w:color w:val="000000" w:themeColor="text1"/>
          <w:lang w:val="es-ES"/>
        </w:rPr>
        <w:t xml:space="preserve">Prof. Sara De </w:t>
      </w:r>
      <w:proofErr w:type="spellStart"/>
      <w:r w:rsidRPr="005621C3">
        <w:rPr>
          <w:rFonts w:ascii="Times New Roman" w:hAnsi="Times New Roman" w:cs="Times New Roman"/>
          <w:bCs/>
          <w:color w:val="000000" w:themeColor="text1"/>
          <w:lang w:val="es-ES"/>
        </w:rPr>
        <w:t>Vido</w:t>
      </w:r>
      <w:proofErr w:type="spellEnd"/>
      <w:r w:rsidRPr="005621C3">
        <w:rPr>
          <w:rFonts w:ascii="Times New Roman" w:hAnsi="Times New Roman" w:cs="Times New Roman"/>
          <w:bCs/>
          <w:color w:val="000000" w:themeColor="text1"/>
          <w:lang w:val="es-ES"/>
        </w:rPr>
        <w:tab/>
      </w:r>
      <w:r w:rsidRPr="005621C3">
        <w:rPr>
          <w:rFonts w:ascii="Times New Roman" w:hAnsi="Times New Roman" w:cs="Times New Roman"/>
          <w:bCs/>
          <w:color w:val="000000" w:themeColor="text1"/>
          <w:lang w:val="es-ES"/>
        </w:rPr>
        <w:tab/>
      </w:r>
      <w:r w:rsidRPr="005621C3">
        <w:rPr>
          <w:rFonts w:ascii="Times New Roman" w:hAnsi="Times New Roman" w:cs="Times New Roman"/>
          <w:bCs/>
          <w:color w:val="000000" w:themeColor="text1"/>
          <w:lang w:val="es-ES"/>
        </w:rPr>
        <w:tab/>
      </w:r>
      <w:r w:rsidRPr="005621C3">
        <w:rPr>
          <w:rFonts w:ascii="Times New Roman" w:hAnsi="Times New Roman" w:cs="Times New Roman"/>
          <w:bCs/>
          <w:color w:val="000000" w:themeColor="text1"/>
          <w:lang w:val="es-ES"/>
        </w:rPr>
        <w:tab/>
      </w:r>
      <w:r w:rsidRPr="005621C3">
        <w:rPr>
          <w:rFonts w:ascii="Times New Roman" w:hAnsi="Times New Roman" w:cs="Times New Roman"/>
          <w:bCs/>
          <w:color w:val="000000" w:themeColor="text1"/>
          <w:lang w:val="es-ES"/>
        </w:rPr>
        <w:tab/>
      </w:r>
      <w:r w:rsidRPr="005621C3">
        <w:rPr>
          <w:rFonts w:ascii="Times New Roman" w:hAnsi="Times New Roman" w:cs="Times New Roman"/>
          <w:bCs/>
          <w:color w:val="000000" w:themeColor="text1"/>
          <w:lang w:val="es-ES"/>
        </w:rPr>
        <w:tab/>
      </w:r>
      <w:r w:rsidRPr="005621C3">
        <w:rPr>
          <w:rFonts w:ascii="Times New Roman" w:hAnsi="Times New Roman" w:cs="Times New Roman"/>
          <w:bCs/>
          <w:color w:val="000000" w:themeColor="text1"/>
          <w:lang w:val="es-ES"/>
        </w:rPr>
        <w:tab/>
      </w:r>
      <w:r w:rsidRPr="005621C3">
        <w:rPr>
          <w:rFonts w:ascii="Times New Roman" w:hAnsi="Times New Roman" w:cs="Times New Roman"/>
          <w:bCs/>
          <w:color w:val="000000" w:themeColor="text1"/>
          <w:lang w:val="es-ES"/>
        </w:rPr>
        <w:tab/>
        <w:t xml:space="preserve">     Prof. Elisa </w:t>
      </w:r>
      <w:proofErr w:type="spellStart"/>
      <w:r w:rsidRPr="005621C3">
        <w:rPr>
          <w:rFonts w:ascii="Times New Roman" w:hAnsi="Times New Roman" w:cs="Times New Roman"/>
          <w:bCs/>
          <w:color w:val="000000" w:themeColor="text1"/>
          <w:lang w:val="es-ES"/>
        </w:rPr>
        <w:t>Fornalé</w:t>
      </w:r>
      <w:proofErr w:type="spellEnd"/>
    </w:p>
    <w:p w14:paraId="7A3A2CF1" w14:textId="1120295E" w:rsidR="000D51E9" w:rsidRPr="005621C3" w:rsidRDefault="00B2584B" w:rsidP="000D51E9">
      <w:pPr>
        <w:spacing w:after="0" w:line="360" w:lineRule="auto"/>
        <w:rPr>
          <w:rFonts w:ascii="Times New Roman" w:hAnsi="Times New Roman" w:cs="Times New Roman"/>
          <w:color w:val="000000" w:themeColor="text1"/>
          <w:lang w:val="es-ES"/>
        </w:rPr>
      </w:pPr>
      <w:hyperlink r:id="rId11" w:history="1">
        <w:r w:rsidR="00676C85" w:rsidRPr="005621C3">
          <w:rPr>
            <w:rStyle w:val="Hyperlink"/>
            <w:rFonts w:ascii="Times New Roman" w:hAnsi="Times New Roman" w:cs="Times New Roman"/>
            <w:color w:val="000000" w:themeColor="text1"/>
            <w:u w:val="none"/>
            <w:lang w:val="es-ES"/>
          </w:rPr>
          <w:t>sara.devido@unive.it</w:t>
        </w:r>
      </w:hyperlink>
      <w:r w:rsidR="00676C85" w:rsidRPr="005621C3">
        <w:rPr>
          <w:rFonts w:ascii="Times New Roman" w:hAnsi="Times New Roman" w:cs="Times New Roman"/>
          <w:color w:val="000000" w:themeColor="text1"/>
          <w:lang w:val="es-ES"/>
        </w:rPr>
        <w:tab/>
      </w:r>
      <w:r w:rsidR="00676C85" w:rsidRPr="005621C3">
        <w:rPr>
          <w:rFonts w:ascii="Times New Roman" w:hAnsi="Times New Roman" w:cs="Times New Roman"/>
          <w:color w:val="000000" w:themeColor="text1"/>
          <w:lang w:val="es-ES"/>
        </w:rPr>
        <w:tab/>
      </w:r>
      <w:r w:rsidR="00676C85" w:rsidRPr="005621C3">
        <w:rPr>
          <w:rFonts w:ascii="Times New Roman" w:hAnsi="Times New Roman" w:cs="Times New Roman"/>
          <w:color w:val="000000" w:themeColor="text1"/>
          <w:lang w:val="es-ES"/>
        </w:rPr>
        <w:tab/>
      </w:r>
      <w:r w:rsidR="00676C85" w:rsidRPr="005621C3">
        <w:rPr>
          <w:rFonts w:ascii="Times New Roman" w:hAnsi="Times New Roman" w:cs="Times New Roman"/>
          <w:color w:val="000000" w:themeColor="text1"/>
          <w:lang w:val="es-ES"/>
        </w:rPr>
        <w:tab/>
      </w:r>
      <w:r w:rsidR="00676C85" w:rsidRPr="005621C3">
        <w:rPr>
          <w:rFonts w:ascii="Times New Roman" w:hAnsi="Times New Roman" w:cs="Times New Roman"/>
          <w:color w:val="000000" w:themeColor="text1"/>
          <w:lang w:val="es-ES"/>
        </w:rPr>
        <w:tab/>
      </w:r>
      <w:r w:rsidR="00676C85" w:rsidRPr="005621C3">
        <w:rPr>
          <w:rFonts w:ascii="Times New Roman" w:hAnsi="Times New Roman" w:cs="Times New Roman"/>
          <w:color w:val="000000" w:themeColor="text1"/>
          <w:lang w:val="es-ES"/>
        </w:rPr>
        <w:tab/>
      </w:r>
      <w:r w:rsidR="00676C85" w:rsidRPr="005621C3">
        <w:rPr>
          <w:rFonts w:ascii="Times New Roman" w:hAnsi="Times New Roman" w:cs="Times New Roman"/>
          <w:color w:val="000000" w:themeColor="text1"/>
          <w:lang w:val="es-ES"/>
        </w:rPr>
        <w:tab/>
      </w:r>
      <w:r w:rsidR="00676C85" w:rsidRPr="005621C3">
        <w:rPr>
          <w:rFonts w:ascii="Times New Roman" w:hAnsi="Times New Roman" w:cs="Times New Roman"/>
          <w:color w:val="000000" w:themeColor="text1"/>
          <w:lang w:val="es-ES"/>
        </w:rPr>
        <w:tab/>
        <w:t xml:space="preserve"> e</w:t>
      </w:r>
      <w:r w:rsidR="000D51E9" w:rsidRPr="005621C3">
        <w:rPr>
          <w:rFonts w:ascii="Times New Roman" w:hAnsi="Times New Roman" w:cs="Times New Roman"/>
          <w:color w:val="000000" w:themeColor="text1"/>
          <w:lang w:val="es-ES"/>
        </w:rPr>
        <w:t>lisa.fornale@wti.org</w:t>
      </w:r>
    </w:p>
    <w:p w14:paraId="36C5BEA6" w14:textId="77777777" w:rsidR="000D51E9" w:rsidRPr="005621C3" w:rsidRDefault="000D51E9" w:rsidP="008B4CF7">
      <w:pPr>
        <w:spacing w:after="0" w:line="240" w:lineRule="auto"/>
        <w:jc w:val="center"/>
        <w:rPr>
          <w:rFonts w:ascii="Times New Roman" w:hAnsi="Times New Roman" w:cs="Times New Roman"/>
          <w:b/>
          <w:lang w:val="es-ES"/>
        </w:rPr>
      </w:pPr>
    </w:p>
    <w:p w14:paraId="5B7E0952" w14:textId="1313D52C" w:rsidR="00FC7F98" w:rsidRPr="005621C3" w:rsidRDefault="00FC7F98" w:rsidP="006764CA">
      <w:pPr>
        <w:spacing w:after="0" w:line="240" w:lineRule="auto"/>
        <w:jc w:val="both"/>
        <w:rPr>
          <w:rFonts w:ascii="Times New Roman" w:hAnsi="Times New Roman" w:cs="Times New Roman"/>
          <w:bCs/>
          <w:lang w:val="pt-BR"/>
        </w:rPr>
      </w:pPr>
    </w:p>
    <w:sectPr w:rsidR="00FC7F98" w:rsidRPr="005621C3">
      <w:headerReference w:type="default" r:id="rId12"/>
      <w:footerReference w:type="default" r:id="rId13"/>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E37AB" w16cex:dateUtc="2022-11-15T15:07:00Z"/>
  <w16cex:commentExtensible w16cex:durableId="271E37D4" w16cex:dateUtc="2022-11-15T15:07:00Z"/>
  <w16cex:commentExtensible w16cex:durableId="271E39EF" w16cex:dateUtc="2022-11-15T15:16:00Z"/>
  <w16cex:commentExtensible w16cex:durableId="271E3A1D" w16cex:dateUtc="2022-11-15T15:17:00Z"/>
  <w16cex:commentExtensible w16cex:durableId="271E3A0B" w16cex:dateUtc="2022-11-15T15: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DFD48F" w16cid:durableId="271E37AB"/>
  <w16cid:commentId w16cid:paraId="67FB3A85" w16cid:durableId="271E37D4"/>
  <w16cid:commentId w16cid:paraId="445F7AB3" w16cid:durableId="271E39EF"/>
  <w16cid:commentId w16cid:paraId="558284DC" w16cid:durableId="271E3A1D"/>
  <w16cid:commentId w16cid:paraId="4EA05FA1" w16cid:durableId="271E3A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2045D" w14:textId="77777777" w:rsidR="007B6ACA" w:rsidRDefault="007B6ACA" w:rsidP="004A15C9">
      <w:pPr>
        <w:spacing w:after="0" w:line="240" w:lineRule="auto"/>
      </w:pPr>
      <w:r>
        <w:separator/>
      </w:r>
    </w:p>
  </w:endnote>
  <w:endnote w:type="continuationSeparator" w:id="0">
    <w:p w14:paraId="03F53D39" w14:textId="77777777" w:rsidR="007B6ACA" w:rsidRDefault="007B6ACA" w:rsidP="004A1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C1A28" w14:textId="509666E0" w:rsidR="00C65475" w:rsidRDefault="00C65475">
    <w:pPr>
      <w:pStyle w:val="Footer"/>
    </w:pPr>
    <w:r>
      <w:rPr>
        <w:noProof/>
        <w:lang w:eastAsia="de-CH"/>
      </w:rPr>
      <w:drawing>
        <wp:anchor distT="0" distB="0" distL="114300" distR="114300" simplePos="0" relativeHeight="251666432" behindDoc="0" locked="0" layoutInCell="1" allowOverlap="1" wp14:anchorId="34F573BF" wp14:editId="7C6259BE">
          <wp:simplePos x="0" y="0"/>
          <wp:positionH relativeFrom="column">
            <wp:posOffset>3008300</wp:posOffset>
          </wp:positionH>
          <wp:positionV relativeFrom="paragraph">
            <wp:posOffset>48260</wp:posOffset>
          </wp:positionV>
          <wp:extent cx="396000" cy="396000"/>
          <wp:effectExtent l="0" t="0" r="4445" b="4445"/>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3360" behindDoc="0" locked="0" layoutInCell="1" allowOverlap="1" wp14:anchorId="10A6E05F" wp14:editId="02ADD312">
          <wp:simplePos x="0" y="0"/>
          <wp:positionH relativeFrom="column">
            <wp:posOffset>2107260</wp:posOffset>
          </wp:positionH>
          <wp:positionV relativeFrom="paragraph">
            <wp:posOffset>118745</wp:posOffset>
          </wp:positionV>
          <wp:extent cx="704114" cy="28800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4114" cy="28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4384" behindDoc="0" locked="0" layoutInCell="1" allowOverlap="1" wp14:anchorId="590F57C3" wp14:editId="3868B8D3">
          <wp:simplePos x="0" y="0"/>
          <wp:positionH relativeFrom="column">
            <wp:posOffset>1477645</wp:posOffset>
          </wp:positionH>
          <wp:positionV relativeFrom="paragraph">
            <wp:posOffset>42875</wp:posOffset>
          </wp:positionV>
          <wp:extent cx="431800" cy="431800"/>
          <wp:effectExtent l="0" t="0" r="6350" b="6350"/>
          <wp:wrapNone/>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1312" behindDoc="0" locked="0" layoutInCell="1" allowOverlap="1" wp14:anchorId="7C71F603" wp14:editId="3DB41589">
          <wp:simplePos x="0" y="0"/>
          <wp:positionH relativeFrom="margin">
            <wp:posOffset>0</wp:posOffset>
          </wp:positionH>
          <wp:positionV relativeFrom="paragraph">
            <wp:posOffset>126060</wp:posOffset>
          </wp:positionV>
          <wp:extent cx="1273810" cy="287655"/>
          <wp:effectExtent l="0" t="0" r="2540" b="0"/>
          <wp:wrapNone/>
          <wp:docPr id="3" name="Immagine 3" descr="Immagine che contiene test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esterni&#10;&#10;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3810" cy="2876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AA193" w14:textId="77777777" w:rsidR="007B6ACA" w:rsidRDefault="007B6ACA" w:rsidP="004A15C9">
      <w:pPr>
        <w:spacing w:after="0" w:line="240" w:lineRule="auto"/>
      </w:pPr>
      <w:r>
        <w:separator/>
      </w:r>
    </w:p>
  </w:footnote>
  <w:footnote w:type="continuationSeparator" w:id="0">
    <w:p w14:paraId="13D7EA08" w14:textId="77777777" w:rsidR="007B6ACA" w:rsidRDefault="007B6ACA" w:rsidP="004A15C9">
      <w:pPr>
        <w:spacing w:after="0" w:line="240" w:lineRule="auto"/>
      </w:pPr>
      <w:r>
        <w:continuationSeparator/>
      </w:r>
    </w:p>
  </w:footnote>
  <w:footnote w:id="1">
    <w:p w14:paraId="223B2575" w14:textId="7F64E6AC" w:rsidR="000D51E9" w:rsidRPr="005621C3" w:rsidRDefault="000D51E9" w:rsidP="005621C3">
      <w:pPr>
        <w:spacing w:after="0" w:line="240" w:lineRule="auto"/>
        <w:jc w:val="both"/>
        <w:rPr>
          <w:bCs/>
          <w:color w:val="000000" w:themeColor="text1"/>
          <w:sz w:val="18"/>
          <w:szCs w:val="18"/>
          <w:lang w:val="en-US"/>
        </w:rPr>
      </w:pPr>
      <w:r w:rsidRPr="005621C3">
        <w:rPr>
          <w:rStyle w:val="FootnoteReference"/>
          <w:rFonts w:ascii="Times New Roman" w:hAnsi="Times New Roman"/>
          <w:color w:val="000000" w:themeColor="text1"/>
          <w:sz w:val="18"/>
          <w:szCs w:val="18"/>
        </w:rPr>
        <w:footnoteRef/>
      </w:r>
      <w:r w:rsidRPr="005621C3">
        <w:rPr>
          <w:rFonts w:ascii="Times New Roman" w:hAnsi="Times New Roman" w:cs="Times New Roman"/>
          <w:color w:val="000000" w:themeColor="text1"/>
          <w:sz w:val="18"/>
          <w:szCs w:val="18"/>
          <w:lang w:val="en-GB"/>
        </w:rPr>
        <w:t xml:space="preserve"> </w:t>
      </w:r>
      <w:r w:rsidRPr="005621C3">
        <w:rPr>
          <w:rFonts w:ascii="Times New Roman" w:hAnsi="Times New Roman" w:cs="Times New Roman"/>
          <w:bCs/>
          <w:color w:val="000000" w:themeColor="text1"/>
          <w:sz w:val="18"/>
          <w:szCs w:val="18"/>
          <w:lang w:val="en-US"/>
        </w:rPr>
        <w:t>This comment largely draws on the result of the expert meeting “</w:t>
      </w:r>
      <w:r w:rsidRPr="005621C3">
        <w:rPr>
          <w:rFonts w:ascii="Times New Roman" w:hAnsi="Times New Roman" w:cs="Times New Roman"/>
          <w:color w:val="000000" w:themeColor="text1"/>
          <w:sz w:val="18"/>
          <w:szCs w:val="18"/>
          <w:lang w:val="en-GB"/>
        </w:rPr>
        <w:t xml:space="preserve">Cooperative Duties, Human Rights and Climate Change” </w:t>
      </w:r>
      <w:r w:rsidR="00AA264E">
        <w:rPr>
          <w:rFonts w:ascii="Times New Roman" w:hAnsi="Times New Roman" w:cs="Times New Roman"/>
          <w:color w:val="000000" w:themeColor="text1"/>
          <w:sz w:val="18"/>
          <w:szCs w:val="18"/>
          <w:lang w:val="en-GB"/>
        </w:rPr>
        <w:t xml:space="preserve">co-organized by </w:t>
      </w:r>
      <w:proofErr w:type="spellStart"/>
      <w:r w:rsidR="00F91C60">
        <w:rPr>
          <w:rFonts w:ascii="Times New Roman" w:hAnsi="Times New Roman" w:cs="Times New Roman"/>
          <w:color w:val="000000" w:themeColor="text1"/>
          <w:sz w:val="18"/>
          <w:szCs w:val="18"/>
          <w:lang w:val="en-GB"/>
        </w:rPr>
        <w:t>Prof.</w:t>
      </w:r>
      <w:proofErr w:type="spellEnd"/>
      <w:r w:rsidR="00AA264E" w:rsidRPr="00AA264E">
        <w:rPr>
          <w:rFonts w:ascii="Times New Roman" w:hAnsi="Times New Roman" w:cs="Times New Roman"/>
          <w:color w:val="000000" w:themeColor="text1"/>
          <w:sz w:val="18"/>
          <w:szCs w:val="18"/>
          <w:lang w:val="en-GB"/>
        </w:rPr>
        <w:t xml:space="preserve"> Elisa </w:t>
      </w:r>
      <w:proofErr w:type="spellStart"/>
      <w:r w:rsidR="00AA264E" w:rsidRPr="00AA264E">
        <w:rPr>
          <w:rFonts w:ascii="Times New Roman" w:hAnsi="Times New Roman" w:cs="Times New Roman"/>
          <w:color w:val="000000" w:themeColor="text1"/>
          <w:sz w:val="18"/>
          <w:szCs w:val="18"/>
          <w:lang w:val="en-GB"/>
        </w:rPr>
        <w:t>Fornalè</w:t>
      </w:r>
      <w:proofErr w:type="spellEnd"/>
      <w:r w:rsidR="00AA264E" w:rsidRPr="00AA264E">
        <w:rPr>
          <w:rFonts w:ascii="Times New Roman" w:hAnsi="Times New Roman" w:cs="Times New Roman"/>
          <w:color w:val="000000" w:themeColor="text1"/>
          <w:sz w:val="18"/>
          <w:szCs w:val="18"/>
          <w:lang w:val="en-GB"/>
        </w:rPr>
        <w:t xml:space="preserve"> (World Trade Institute, University of Bern, Switzerland)</w:t>
      </w:r>
      <w:r w:rsidR="00AA264E">
        <w:rPr>
          <w:rFonts w:ascii="Times New Roman" w:hAnsi="Times New Roman" w:cs="Times New Roman"/>
          <w:color w:val="000000" w:themeColor="text1"/>
          <w:sz w:val="18"/>
          <w:szCs w:val="18"/>
          <w:lang w:val="en-GB"/>
        </w:rPr>
        <w:t xml:space="preserve"> and </w:t>
      </w:r>
      <w:proofErr w:type="spellStart"/>
      <w:r w:rsidR="00AA264E" w:rsidRPr="00AA264E">
        <w:rPr>
          <w:rFonts w:ascii="Times New Roman" w:hAnsi="Times New Roman" w:cs="Times New Roman"/>
          <w:color w:val="000000" w:themeColor="text1"/>
          <w:sz w:val="18"/>
          <w:szCs w:val="18"/>
          <w:lang w:val="en-GB"/>
        </w:rPr>
        <w:t>Prof.</w:t>
      </w:r>
      <w:proofErr w:type="spellEnd"/>
      <w:r w:rsidR="00AA264E" w:rsidRPr="00AA264E">
        <w:rPr>
          <w:rFonts w:ascii="Times New Roman" w:hAnsi="Times New Roman" w:cs="Times New Roman"/>
          <w:color w:val="000000" w:themeColor="text1"/>
          <w:sz w:val="18"/>
          <w:szCs w:val="18"/>
          <w:lang w:val="en-GB"/>
        </w:rPr>
        <w:t xml:space="preserve"> Sara De </w:t>
      </w:r>
      <w:proofErr w:type="spellStart"/>
      <w:r w:rsidR="00AA264E" w:rsidRPr="00AA264E">
        <w:rPr>
          <w:rFonts w:ascii="Times New Roman" w:hAnsi="Times New Roman" w:cs="Times New Roman"/>
          <w:color w:val="000000" w:themeColor="text1"/>
          <w:sz w:val="18"/>
          <w:szCs w:val="18"/>
          <w:lang w:val="en-GB"/>
        </w:rPr>
        <w:t>Vido</w:t>
      </w:r>
      <w:proofErr w:type="spellEnd"/>
      <w:r w:rsidR="00AA264E" w:rsidRPr="00AA264E">
        <w:rPr>
          <w:rFonts w:ascii="Times New Roman" w:hAnsi="Times New Roman" w:cs="Times New Roman"/>
          <w:color w:val="000000" w:themeColor="text1"/>
          <w:sz w:val="18"/>
          <w:szCs w:val="18"/>
          <w:lang w:val="en-GB"/>
        </w:rPr>
        <w:t xml:space="preserve"> (Ca’ </w:t>
      </w:r>
      <w:proofErr w:type="spellStart"/>
      <w:r w:rsidR="00AA264E" w:rsidRPr="00AA264E">
        <w:rPr>
          <w:rFonts w:ascii="Times New Roman" w:hAnsi="Times New Roman" w:cs="Times New Roman"/>
          <w:color w:val="000000" w:themeColor="text1"/>
          <w:sz w:val="18"/>
          <w:szCs w:val="18"/>
          <w:lang w:val="en-GB"/>
        </w:rPr>
        <w:t>Foscari</w:t>
      </w:r>
      <w:proofErr w:type="spellEnd"/>
      <w:r w:rsidR="00AA264E" w:rsidRPr="00AA264E">
        <w:rPr>
          <w:rFonts w:ascii="Times New Roman" w:hAnsi="Times New Roman" w:cs="Times New Roman"/>
          <w:color w:val="000000" w:themeColor="text1"/>
          <w:sz w:val="18"/>
          <w:szCs w:val="18"/>
          <w:lang w:val="en-GB"/>
        </w:rPr>
        <w:t xml:space="preserve"> University of Venice, Italy)</w:t>
      </w:r>
      <w:r w:rsidR="00AA264E">
        <w:rPr>
          <w:rFonts w:ascii="Times New Roman" w:hAnsi="Times New Roman" w:cs="Times New Roman"/>
          <w:color w:val="000000" w:themeColor="text1"/>
          <w:sz w:val="18"/>
          <w:szCs w:val="18"/>
          <w:lang w:val="en-GB"/>
        </w:rPr>
        <w:t>. It</w:t>
      </w:r>
      <w:r w:rsidR="00AA264E" w:rsidRPr="00AA264E">
        <w:rPr>
          <w:rFonts w:ascii="Times New Roman" w:hAnsi="Times New Roman" w:cs="Times New Roman"/>
          <w:color w:val="000000" w:themeColor="text1"/>
          <w:sz w:val="18"/>
          <w:szCs w:val="18"/>
          <w:lang w:val="en-GB"/>
        </w:rPr>
        <w:t xml:space="preserve"> </w:t>
      </w:r>
      <w:r w:rsidRPr="005621C3">
        <w:rPr>
          <w:rFonts w:ascii="Times New Roman" w:hAnsi="Times New Roman" w:cs="Times New Roman"/>
          <w:bCs/>
          <w:color w:val="000000" w:themeColor="text1"/>
          <w:sz w:val="18"/>
          <w:szCs w:val="18"/>
          <w:lang w:val="en-US"/>
        </w:rPr>
        <w:t>was held in Bern, at the WTI, on 8 December 2022</w:t>
      </w:r>
      <w:r w:rsidR="00AA264E" w:rsidRPr="00AA264E">
        <w:rPr>
          <w:rFonts w:ascii="Times New Roman" w:hAnsi="Times New Roman" w:cs="Times New Roman"/>
          <w:bCs/>
          <w:color w:val="000000" w:themeColor="text1"/>
          <w:sz w:val="18"/>
          <w:szCs w:val="18"/>
          <w:lang w:val="en-US"/>
        </w:rPr>
        <w:t xml:space="preserve"> </w:t>
      </w:r>
      <w:r w:rsidRPr="005621C3">
        <w:rPr>
          <w:rFonts w:ascii="Times New Roman" w:hAnsi="Times New Roman" w:cs="Times New Roman"/>
          <w:bCs/>
          <w:color w:val="000000" w:themeColor="text1"/>
          <w:sz w:val="18"/>
          <w:szCs w:val="18"/>
          <w:lang w:val="en-US"/>
        </w:rPr>
        <w:t>within the framework of the research project ‘Framing Environmental Degradation, Human Mobility and Human development as a matter of Common Concern’ (</w:t>
      </w:r>
      <w:hyperlink r:id="rId1" w:history="1">
        <w:r w:rsidRPr="005621C3">
          <w:rPr>
            <w:rStyle w:val="Hyperlink"/>
            <w:rFonts w:ascii="Times New Roman" w:hAnsi="Times New Roman" w:cs="Times New Roman"/>
            <w:bCs/>
            <w:color w:val="000000" w:themeColor="text1"/>
            <w:sz w:val="18"/>
            <w:szCs w:val="18"/>
            <w:lang w:val="en-US"/>
          </w:rPr>
          <w:t>www.climco2.org</w:t>
        </w:r>
      </w:hyperlink>
      <w:r w:rsidRPr="005621C3">
        <w:rPr>
          <w:rFonts w:ascii="Times New Roman" w:hAnsi="Times New Roman" w:cs="Times New Roman"/>
          <w:bCs/>
          <w:color w:val="000000" w:themeColor="text1"/>
          <w:sz w:val="18"/>
          <w:szCs w:val="18"/>
          <w:lang w:val="en-US"/>
        </w:rPr>
        <w:t>)</w:t>
      </w:r>
      <w:r w:rsidR="006C0C6A">
        <w:rPr>
          <w:rFonts w:ascii="Times New Roman" w:hAnsi="Times New Roman" w:cs="Times New Roman"/>
          <w:bCs/>
          <w:color w:val="000000" w:themeColor="text1"/>
          <w:sz w:val="18"/>
          <w:szCs w:val="18"/>
          <w:lang w:val="en-US"/>
        </w:rPr>
        <w:t xml:space="preserve"> led by </w:t>
      </w:r>
      <w:proofErr w:type="spellStart"/>
      <w:r w:rsidR="006C0C6A">
        <w:rPr>
          <w:rFonts w:ascii="Times New Roman" w:hAnsi="Times New Roman" w:cs="Times New Roman"/>
          <w:bCs/>
          <w:color w:val="000000" w:themeColor="text1"/>
          <w:sz w:val="18"/>
          <w:szCs w:val="18"/>
          <w:lang w:val="en-US"/>
        </w:rPr>
        <w:t>Fornalé</w:t>
      </w:r>
      <w:proofErr w:type="spellEnd"/>
      <w:r w:rsidRPr="005621C3">
        <w:rPr>
          <w:rFonts w:ascii="Times New Roman" w:hAnsi="Times New Roman" w:cs="Times New Roman"/>
          <w:bCs/>
          <w:color w:val="000000" w:themeColor="text1"/>
          <w:sz w:val="18"/>
          <w:szCs w:val="18"/>
          <w:lang w:val="en-US"/>
        </w:rPr>
        <w:t xml:space="preserve"> and we acknowledge the support of the Swiss National Scientific Foundation (</w:t>
      </w:r>
      <w:r w:rsidR="009C2727" w:rsidRPr="005621C3">
        <w:rPr>
          <w:rFonts w:ascii="Times New Roman" w:hAnsi="Times New Roman" w:cs="Times New Roman"/>
          <w:bCs/>
          <w:color w:val="000000" w:themeColor="text1"/>
          <w:sz w:val="18"/>
          <w:szCs w:val="18"/>
          <w:lang w:val="en-US"/>
        </w:rPr>
        <w:t xml:space="preserve">SNSF grant no. PP00P1163700). </w:t>
      </w:r>
      <w:proofErr w:type="gramStart"/>
      <w:r w:rsidRPr="005621C3">
        <w:rPr>
          <w:rFonts w:ascii="Times New Roman" w:hAnsi="Times New Roman" w:cs="Times New Roman"/>
          <w:color w:val="000000" w:themeColor="text1"/>
          <w:sz w:val="18"/>
          <w:szCs w:val="18"/>
          <w:lang w:val="en-US"/>
        </w:rPr>
        <w:t xml:space="preserve">The participants included: Prof. </w:t>
      </w:r>
      <w:r w:rsidRPr="005621C3">
        <w:rPr>
          <w:rFonts w:ascii="Times New Roman" w:hAnsi="Times New Roman" w:cs="Times New Roman"/>
          <w:bCs/>
          <w:color w:val="000000" w:themeColor="text1"/>
          <w:sz w:val="18"/>
          <w:szCs w:val="18"/>
          <w:lang w:val="en-GB"/>
        </w:rPr>
        <w:t xml:space="preserve">Kathryn </w:t>
      </w:r>
      <w:proofErr w:type="spellStart"/>
      <w:r w:rsidRPr="005621C3">
        <w:rPr>
          <w:rFonts w:ascii="Times New Roman" w:hAnsi="Times New Roman" w:cs="Times New Roman"/>
          <w:bCs/>
          <w:color w:val="000000" w:themeColor="text1"/>
          <w:sz w:val="18"/>
          <w:szCs w:val="18"/>
          <w:lang w:val="en-GB"/>
        </w:rPr>
        <w:t>McNeilly</w:t>
      </w:r>
      <w:proofErr w:type="spellEnd"/>
      <w:r w:rsidRPr="005621C3">
        <w:rPr>
          <w:rFonts w:ascii="Times New Roman" w:hAnsi="Times New Roman" w:cs="Times New Roman"/>
          <w:bCs/>
          <w:color w:val="000000" w:themeColor="text1"/>
          <w:sz w:val="18"/>
          <w:szCs w:val="18"/>
          <w:lang w:val="en-GB"/>
        </w:rPr>
        <w:t xml:space="preserve">, Queen’s University Belfast; </w:t>
      </w:r>
      <w:proofErr w:type="spellStart"/>
      <w:r w:rsidRPr="005621C3">
        <w:rPr>
          <w:rFonts w:ascii="Times New Roman" w:hAnsi="Times New Roman" w:cs="Times New Roman"/>
          <w:bCs/>
          <w:color w:val="000000" w:themeColor="text1"/>
          <w:sz w:val="18"/>
          <w:szCs w:val="18"/>
          <w:lang w:val="en-GB"/>
        </w:rPr>
        <w:t>Prof.</w:t>
      </w:r>
      <w:proofErr w:type="spellEnd"/>
      <w:r w:rsidRPr="005621C3">
        <w:rPr>
          <w:rFonts w:ascii="Times New Roman" w:hAnsi="Times New Roman" w:cs="Times New Roman"/>
          <w:bCs/>
          <w:color w:val="000000" w:themeColor="text1"/>
          <w:sz w:val="18"/>
          <w:szCs w:val="18"/>
          <w:lang w:val="en-GB"/>
        </w:rPr>
        <w:t xml:space="preserve"> </w:t>
      </w:r>
      <w:proofErr w:type="spellStart"/>
      <w:r w:rsidRPr="005621C3">
        <w:rPr>
          <w:rFonts w:ascii="Times New Roman" w:hAnsi="Times New Roman" w:cs="Times New Roman"/>
          <w:bCs/>
          <w:color w:val="000000" w:themeColor="text1"/>
          <w:sz w:val="18"/>
          <w:szCs w:val="18"/>
          <w:lang w:val="en-GB"/>
        </w:rPr>
        <w:t>Antonios</w:t>
      </w:r>
      <w:proofErr w:type="spellEnd"/>
      <w:r w:rsidRPr="005621C3">
        <w:rPr>
          <w:rFonts w:ascii="Times New Roman" w:hAnsi="Times New Roman" w:cs="Times New Roman"/>
          <w:bCs/>
          <w:color w:val="000000" w:themeColor="text1"/>
          <w:sz w:val="18"/>
          <w:szCs w:val="18"/>
          <w:lang w:val="en-GB"/>
        </w:rPr>
        <w:t xml:space="preserve"> </w:t>
      </w:r>
      <w:proofErr w:type="spellStart"/>
      <w:r w:rsidRPr="005621C3">
        <w:rPr>
          <w:rFonts w:ascii="Times New Roman" w:hAnsi="Times New Roman" w:cs="Times New Roman"/>
          <w:bCs/>
          <w:color w:val="000000" w:themeColor="text1"/>
          <w:sz w:val="18"/>
          <w:szCs w:val="18"/>
          <w:lang w:val="en-GB"/>
        </w:rPr>
        <w:t>Tzanakopoulos</w:t>
      </w:r>
      <w:proofErr w:type="spellEnd"/>
      <w:r w:rsidRPr="005621C3">
        <w:rPr>
          <w:rFonts w:ascii="Times New Roman" w:hAnsi="Times New Roman" w:cs="Times New Roman"/>
          <w:bCs/>
          <w:color w:val="000000" w:themeColor="text1"/>
          <w:sz w:val="18"/>
          <w:szCs w:val="18"/>
          <w:lang w:val="en-GB"/>
        </w:rPr>
        <w:t xml:space="preserve">, Oxford University; </w:t>
      </w:r>
      <w:proofErr w:type="spellStart"/>
      <w:r w:rsidRPr="005621C3">
        <w:rPr>
          <w:rFonts w:ascii="Times New Roman" w:hAnsi="Times New Roman" w:cs="Times New Roman"/>
          <w:bCs/>
          <w:color w:val="000000" w:themeColor="text1"/>
          <w:sz w:val="18"/>
          <w:szCs w:val="18"/>
          <w:lang w:val="en-GB"/>
        </w:rPr>
        <w:t>Prof.</w:t>
      </w:r>
      <w:proofErr w:type="spellEnd"/>
      <w:r w:rsidRPr="005621C3">
        <w:rPr>
          <w:rFonts w:ascii="Times New Roman" w:hAnsi="Times New Roman" w:cs="Times New Roman"/>
          <w:bCs/>
          <w:color w:val="000000" w:themeColor="text1"/>
          <w:sz w:val="18"/>
          <w:szCs w:val="18"/>
          <w:lang w:val="en-GB"/>
        </w:rPr>
        <w:t xml:space="preserve"> Massimo </w:t>
      </w:r>
      <w:proofErr w:type="spellStart"/>
      <w:r w:rsidRPr="005621C3">
        <w:rPr>
          <w:rFonts w:ascii="Times New Roman" w:hAnsi="Times New Roman" w:cs="Times New Roman"/>
          <w:bCs/>
          <w:color w:val="000000" w:themeColor="text1"/>
          <w:sz w:val="18"/>
          <w:szCs w:val="18"/>
          <w:lang w:val="en-GB"/>
        </w:rPr>
        <w:t>Starita</w:t>
      </w:r>
      <w:proofErr w:type="spellEnd"/>
      <w:r w:rsidRPr="005621C3">
        <w:rPr>
          <w:rFonts w:ascii="Times New Roman" w:hAnsi="Times New Roman" w:cs="Times New Roman"/>
          <w:bCs/>
          <w:color w:val="000000" w:themeColor="text1"/>
          <w:sz w:val="18"/>
          <w:szCs w:val="18"/>
          <w:lang w:val="en-GB"/>
        </w:rPr>
        <w:t xml:space="preserve">, University of Palermo; </w:t>
      </w:r>
      <w:proofErr w:type="spellStart"/>
      <w:r w:rsidRPr="005621C3">
        <w:rPr>
          <w:rFonts w:ascii="Times New Roman" w:hAnsi="Times New Roman" w:cs="Times New Roman"/>
          <w:bCs/>
          <w:color w:val="000000" w:themeColor="text1"/>
          <w:sz w:val="18"/>
          <w:szCs w:val="18"/>
          <w:lang w:val="en-GB"/>
        </w:rPr>
        <w:t>Dr.</w:t>
      </w:r>
      <w:proofErr w:type="spellEnd"/>
      <w:r w:rsidRPr="005621C3">
        <w:rPr>
          <w:rFonts w:ascii="Times New Roman" w:hAnsi="Times New Roman" w:cs="Times New Roman"/>
          <w:bCs/>
          <w:color w:val="000000" w:themeColor="text1"/>
          <w:sz w:val="18"/>
          <w:szCs w:val="18"/>
          <w:lang w:val="en-GB"/>
        </w:rPr>
        <w:t xml:space="preserve"> </w:t>
      </w:r>
      <w:r w:rsidRPr="005621C3">
        <w:rPr>
          <w:rFonts w:ascii="Times New Roman" w:hAnsi="Times New Roman" w:cs="Times New Roman"/>
          <w:color w:val="000000" w:themeColor="text1"/>
          <w:sz w:val="18"/>
          <w:szCs w:val="18"/>
          <w:lang w:val="en-US"/>
        </w:rPr>
        <w:t xml:space="preserve">Federica </w:t>
      </w:r>
      <w:r w:rsidRPr="005621C3">
        <w:rPr>
          <w:rFonts w:ascii="Times New Roman" w:hAnsi="Times New Roman" w:cs="Times New Roman"/>
          <w:bCs/>
          <w:color w:val="000000" w:themeColor="text1"/>
          <w:sz w:val="18"/>
          <w:szCs w:val="18"/>
          <w:lang w:val="en-GB"/>
        </w:rPr>
        <w:t xml:space="preserve">Cristani Institute of International Relations, Prague; </w:t>
      </w:r>
      <w:proofErr w:type="spellStart"/>
      <w:r w:rsidRPr="005621C3">
        <w:rPr>
          <w:rFonts w:ascii="Times New Roman" w:hAnsi="Times New Roman" w:cs="Times New Roman"/>
          <w:bCs/>
          <w:color w:val="000000" w:themeColor="text1"/>
          <w:sz w:val="18"/>
          <w:szCs w:val="18"/>
          <w:lang w:val="en-GB"/>
        </w:rPr>
        <w:t>Dr.</w:t>
      </w:r>
      <w:proofErr w:type="spellEnd"/>
      <w:r w:rsidRPr="005621C3">
        <w:rPr>
          <w:rFonts w:ascii="Times New Roman" w:hAnsi="Times New Roman" w:cs="Times New Roman"/>
          <w:bCs/>
          <w:color w:val="000000" w:themeColor="text1"/>
          <w:sz w:val="18"/>
          <w:szCs w:val="18"/>
          <w:lang w:val="en-GB"/>
        </w:rPr>
        <w:t xml:space="preserve"> </w:t>
      </w:r>
      <w:proofErr w:type="spellStart"/>
      <w:r w:rsidRPr="005621C3">
        <w:rPr>
          <w:rFonts w:ascii="Times New Roman" w:hAnsi="Times New Roman" w:cs="Times New Roman"/>
          <w:bCs/>
          <w:color w:val="000000" w:themeColor="text1"/>
          <w:sz w:val="18"/>
          <w:szCs w:val="18"/>
          <w:lang w:val="en-GB"/>
        </w:rPr>
        <w:t>Mikiko</w:t>
      </w:r>
      <w:proofErr w:type="spellEnd"/>
      <w:r w:rsidRPr="005621C3">
        <w:rPr>
          <w:rFonts w:ascii="Times New Roman" w:hAnsi="Times New Roman" w:cs="Times New Roman"/>
          <w:bCs/>
          <w:color w:val="000000" w:themeColor="text1"/>
          <w:sz w:val="18"/>
          <w:szCs w:val="18"/>
          <w:lang w:val="en-GB"/>
        </w:rPr>
        <w:t xml:space="preserve"> </w:t>
      </w:r>
      <w:proofErr w:type="spellStart"/>
      <w:r w:rsidRPr="005621C3">
        <w:rPr>
          <w:rFonts w:ascii="Times New Roman" w:hAnsi="Times New Roman" w:cs="Times New Roman"/>
          <w:bCs/>
          <w:color w:val="000000" w:themeColor="text1"/>
          <w:sz w:val="18"/>
          <w:szCs w:val="18"/>
          <w:lang w:val="en-GB"/>
        </w:rPr>
        <w:t>Otani</w:t>
      </w:r>
      <w:proofErr w:type="spellEnd"/>
      <w:r w:rsidRPr="005621C3">
        <w:rPr>
          <w:rFonts w:ascii="Times New Roman" w:hAnsi="Times New Roman" w:cs="Times New Roman"/>
          <w:bCs/>
          <w:color w:val="000000" w:themeColor="text1"/>
          <w:sz w:val="18"/>
          <w:szCs w:val="18"/>
          <w:lang w:val="en-GB"/>
        </w:rPr>
        <w:t xml:space="preserve">, Chair of the UN Child Committee; </w:t>
      </w:r>
      <w:proofErr w:type="spellStart"/>
      <w:r w:rsidRPr="005621C3">
        <w:rPr>
          <w:rFonts w:ascii="Times New Roman" w:hAnsi="Times New Roman" w:cs="Times New Roman"/>
          <w:bCs/>
          <w:color w:val="000000" w:themeColor="text1"/>
          <w:sz w:val="18"/>
          <w:szCs w:val="18"/>
          <w:lang w:val="en-GB"/>
        </w:rPr>
        <w:t>Dr.</w:t>
      </w:r>
      <w:proofErr w:type="spellEnd"/>
      <w:r w:rsidRPr="005621C3">
        <w:rPr>
          <w:rFonts w:ascii="Times New Roman" w:hAnsi="Times New Roman" w:cs="Times New Roman"/>
          <w:bCs/>
          <w:color w:val="000000" w:themeColor="text1"/>
          <w:sz w:val="18"/>
          <w:szCs w:val="18"/>
          <w:lang w:val="en-GB"/>
        </w:rPr>
        <w:t xml:space="preserve"> Cecilia Jimenez, Former UN Special Rapporteur on the Human Rights of Internally Displaced Persons; </w:t>
      </w:r>
      <w:proofErr w:type="spellStart"/>
      <w:r w:rsidRPr="005621C3">
        <w:rPr>
          <w:rFonts w:ascii="Times New Roman" w:hAnsi="Times New Roman" w:cs="Times New Roman"/>
          <w:bCs/>
          <w:color w:val="000000" w:themeColor="text1"/>
          <w:sz w:val="18"/>
          <w:szCs w:val="18"/>
          <w:lang w:val="en-GB"/>
        </w:rPr>
        <w:t>Dr.</w:t>
      </w:r>
      <w:proofErr w:type="spellEnd"/>
      <w:r w:rsidRPr="005621C3">
        <w:rPr>
          <w:rFonts w:ascii="Times New Roman" w:hAnsi="Times New Roman" w:cs="Times New Roman"/>
          <w:bCs/>
          <w:color w:val="000000" w:themeColor="text1"/>
          <w:sz w:val="18"/>
          <w:szCs w:val="18"/>
          <w:lang w:val="en-GB"/>
        </w:rPr>
        <w:t xml:space="preserve"> Laura-Maria </w:t>
      </w:r>
      <w:proofErr w:type="spellStart"/>
      <w:r w:rsidRPr="005621C3">
        <w:rPr>
          <w:rFonts w:ascii="Times New Roman" w:hAnsi="Times New Roman" w:cs="Times New Roman"/>
          <w:bCs/>
          <w:color w:val="000000" w:themeColor="text1"/>
          <w:sz w:val="18"/>
          <w:szCs w:val="18"/>
          <w:lang w:val="en-GB"/>
        </w:rPr>
        <w:t>Craciunean-Tatu</w:t>
      </w:r>
      <w:proofErr w:type="spellEnd"/>
      <w:r w:rsidRPr="005621C3">
        <w:rPr>
          <w:rFonts w:ascii="Times New Roman" w:hAnsi="Times New Roman" w:cs="Times New Roman"/>
          <w:bCs/>
          <w:color w:val="000000" w:themeColor="text1"/>
          <w:sz w:val="18"/>
          <w:szCs w:val="18"/>
          <w:lang w:val="en-GB"/>
        </w:rPr>
        <w:t xml:space="preserve">, UN CESCR; </w:t>
      </w:r>
      <w:proofErr w:type="spellStart"/>
      <w:r w:rsidRPr="005621C3">
        <w:rPr>
          <w:rFonts w:ascii="Times New Roman" w:hAnsi="Times New Roman" w:cs="Times New Roman"/>
          <w:bCs/>
          <w:color w:val="000000" w:themeColor="text1"/>
          <w:sz w:val="18"/>
          <w:szCs w:val="18"/>
          <w:lang w:val="en-GB"/>
        </w:rPr>
        <w:t>Prof.</w:t>
      </w:r>
      <w:proofErr w:type="spellEnd"/>
      <w:r w:rsidRPr="005621C3">
        <w:rPr>
          <w:rFonts w:ascii="Times New Roman" w:hAnsi="Times New Roman" w:cs="Times New Roman"/>
          <w:bCs/>
          <w:color w:val="000000" w:themeColor="text1"/>
          <w:sz w:val="18"/>
          <w:szCs w:val="18"/>
          <w:lang w:val="en-GB"/>
        </w:rPr>
        <w:t xml:space="preserve"> Gentian </w:t>
      </w:r>
      <w:proofErr w:type="spellStart"/>
      <w:r w:rsidRPr="005621C3">
        <w:rPr>
          <w:rFonts w:ascii="Times New Roman" w:hAnsi="Times New Roman" w:cs="Times New Roman"/>
          <w:bCs/>
          <w:color w:val="000000" w:themeColor="text1"/>
          <w:sz w:val="18"/>
          <w:szCs w:val="18"/>
          <w:lang w:val="en-GB"/>
        </w:rPr>
        <w:t>Zyberi</w:t>
      </w:r>
      <w:proofErr w:type="spellEnd"/>
      <w:r w:rsidRPr="005621C3">
        <w:rPr>
          <w:rFonts w:ascii="Times New Roman" w:hAnsi="Times New Roman" w:cs="Times New Roman"/>
          <w:bCs/>
          <w:color w:val="000000" w:themeColor="text1"/>
          <w:sz w:val="18"/>
          <w:szCs w:val="18"/>
          <w:lang w:val="en-GB"/>
        </w:rPr>
        <w:t xml:space="preserve">, member of the UN Human Rights Committee; </w:t>
      </w:r>
      <w:proofErr w:type="spellStart"/>
      <w:r w:rsidRPr="005621C3">
        <w:rPr>
          <w:rFonts w:ascii="Times New Roman" w:hAnsi="Times New Roman" w:cs="Times New Roman"/>
          <w:bCs/>
          <w:color w:val="000000" w:themeColor="text1"/>
          <w:sz w:val="18"/>
          <w:szCs w:val="18"/>
          <w:lang w:val="en-GB"/>
        </w:rPr>
        <w:t>Dr.</w:t>
      </w:r>
      <w:proofErr w:type="spellEnd"/>
      <w:r w:rsidRPr="005621C3">
        <w:rPr>
          <w:rFonts w:ascii="Times New Roman" w:hAnsi="Times New Roman" w:cs="Times New Roman"/>
          <w:bCs/>
          <w:color w:val="000000" w:themeColor="text1"/>
          <w:sz w:val="18"/>
          <w:szCs w:val="18"/>
          <w:lang w:val="en-GB"/>
        </w:rPr>
        <w:t xml:space="preserve"> </w:t>
      </w:r>
      <w:proofErr w:type="spellStart"/>
      <w:r w:rsidRPr="005621C3">
        <w:rPr>
          <w:rFonts w:ascii="Times New Roman" w:hAnsi="Times New Roman" w:cs="Times New Roman"/>
          <w:bCs/>
          <w:color w:val="000000" w:themeColor="text1"/>
          <w:sz w:val="18"/>
          <w:szCs w:val="18"/>
          <w:lang w:val="en-GB"/>
        </w:rPr>
        <w:t>Reem</w:t>
      </w:r>
      <w:proofErr w:type="spellEnd"/>
      <w:r w:rsidRPr="005621C3">
        <w:rPr>
          <w:rFonts w:ascii="Times New Roman" w:hAnsi="Times New Roman" w:cs="Times New Roman"/>
          <w:bCs/>
          <w:color w:val="000000" w:themeColor="text1"/>
          <w:sz w:val="18"/>
          <w:szCs w:val="18"/>
          <w:lang w:val="en-GB"/>
        </w:rPr>
        <w:t xml:space="preserve"> </w:t>
      </w:r>
      <w:proofErr w:type="spellStart"/>
      <w:r w:rsidRPr="005621C3">
        <w:rPr>
          <w:rFonts w:ascii="Times New Roman" w:hAnsi="Times New Roman" w:cs="Times New Roman"/>
          <w:bCs/>
          <w:color w:val="000000" w:themeColor="text1"/>
          <w:sz w:val="18"/>
          <w:szCs w:val="18"/>
          <w:lang w:val="en-GB"/>
        </w:rPr>
        <w:t>Alsalem</w:t>
      </w:r>
      <w:proofErr w:type="spellEnd"/>
      <w:r w:rsidRPr="005621C3">
        <w:rPr>
          <w:rFonts w:ascii="Times New Roman" w:hAnsi="Times New Roman" w:cs="Times New Roman"/>
          <w:bCs/>
          <w:color w:val="000000" w:themeColor="text1"/>
          <w:sz w:val="18"/>
          <w:szCs w:val="18"/>
          <w:lang w:val="en-GB"/>
        </w:rPr>
        <w:t xml:space="preserve">, UN Special Rapporteur on Violence against Women; </w:t>
      </w:r>
      <w:proofErr w:type="spellStart"/>
      <w:r w:rsidRPr="005621C3">
        <w:rPr>
          <w:rFonts w:ascii="Times New Roman" w:hAnsi="Times New Roman" w:cs="Times New Roman"/>
          <w:bCs/>
          <w:color w:val="000000" w:themeColor="text1"/>
          <w:sz w:val="18"/>
          <w:szCs w:val="18"/>
          <w:lang w:val="en-GB"/>
        </w:rPr>
        <w:t>Dr.</w:t>
      </w:r>
      <w:proofErr w:type="spellEnd"/>
      <w:r w:rsidRPr="005621C3">
        <w:rPr>
          <w:rFonts w:ascii="Times New Roman" w:hAnsi="Times New Roman" w:cs="Times New Roman"/>
          <w:bCs/>
          <w:color w:val="000000" w:themeColor="text1"/>
          <w:sz w:val="18"/>
          <w:szCs w:val="18"/>
          <w:lang w:val="en-GB"/>
        </w:rPr>
        <w:t xml:space="preserve"> Hilary </w:t>
      </w:r>
      <w:proofErr w:type="spellStart"/>
      <w:r w:rsidRPr="005621C3">
        <w:rPr>
          <w:rFonts w:ascii="Times New Roman" w:hAnsi="Times New Roman" w:cs="Times New Roman"/>
          <w:bCs/>
          <w:color w:val="000000" w:themeColor="text1"/>
          <w:sz w:val="18"/>
          <w:szCs w:val="18"/>
          <w:lang w:val="en-GB"/>
        </w:rPr>
        <w:t>Gbedemah</w:t>
      </w:r>
      <w:proofErr w:type="spellEnd"/>
      <w:r w:rsidRPr="005621C3">
        <w:rPr>
          <w:rFonts w:ascii="Times New Roman" w:hAnsi="Times New Roman" w:cs="Times New Roman"/>
          <w:bCs/>
          <w:color w:val="000000" w:themeColor="text1"/>
          <w:sz w:val="18"/>
          <w:szCs w:val="18"/>
          <w:lang w:val="en-GB"/>
        </w:rPr>
        <w:t xml:space="preserve">, CEDAW Committee; </w:t>
      </w:r>
      <w:proofErr w:type="spellStart"/>
      <w:r w:rsidRPr="005621C3">
        <w:rPr>
          <w:rFonts w:ascii="Times New Roman" w:hAnsi="Times New Roman" w:cs="Times New Roman"/>
          <w:bCs/>
          <w:color w:val="000000" w:themeColor="text1"/>
          <w:sz w:val="18"/>
          <w:szCs w:val="18"/>
          <w:lang w:val="en-GB"/>
        </w:rPr>
        <w:t>Dr.</w:t>
      </w:r>
      <w:proofErr w:type="spellEnd"/>
      <w:r w:rsidRPr="005621C3">
        <w:rPr>
          <w:rFonts w:ascii="Times New Roman" w:hAnsi="Times New Roman" w:cs="Times New Roman"/>
          <w:bCs/>
          <w:color w:val="000000" w:themeColor="text1"/>
          <w:sz w:val="18"/>
          <w:szCs w:val="18"/>
          <w:lang w:val="en-GB"/>
        </w:rPr>
        <w:t xml:space="preserve"> Mikel </w:t>
      </w:r>
      <w:proofErr w:type="spellStart"/>
      <w:r w:rsidRPr="005621C3">
        <w:rPr>
          <w:rFonts w:ascii="Times New Roman" w:hAnsi="Times New Roman" w:cs="Times New Roman"/>
          <w:bCs/>
          <w:color w:val="000000" w:themeColor="text1"/>
          <w:sz w:val="18"/>
          <w:szCs w:val="18"/>
          <w:lang w:val="en-GB"/>
        </w:rPr>
        <w:t>Mancisidor</w:t>
      </w:r>
      <w:proofErr w:type="spellEnd"/>
      <w:r w:rsidRPr="005621C3">
        <w:rPr>
          <w:rFonts w:ascii="Times New Roman" w:hAnsi="Times New Roman" w:cs="Times New Roman"/>
          <w:bCs/>
          <w:color w:val="000000" w:themeColor="text1"/>
          <w:sz w:val="18"/>
          <w:szCs w:val="18"/>
          <w:lang w:val="en-GB"/>
        </w:rPr>
        <w:t>, UN CESCR</w:t>
      </w:r>
      <w:r w:rsidR="0068622B" w:rsidRPr="005621C3">
        <w:rPr>
          <w:rFonts w:ascii="Times New Roman" w:hAnsi="Times New Roman" w:cs="Times New Roman"/>
          <w:bCs/>
          <w:color w:val="000000" w:themeColor="text1"/>
          <w:sz w:val="18"/>
          <w:szCs w:val="18"/>
          <w:lang w:val="en-GB"/>
        </w:rPr>
        <w:t>.</w:t>
      </w:r>
      <w:proofErr w:type="gramEnd"/>
    </w:p>
  </w:footnote>
  <w:footnote w:id="2">
    <w:p w14:paraId="24DB194E" w14:textId="2AAF30A2" w:rsidR="000D51E9" w:rsidRPr="005621C3" w:rsidRDefault="000D51E9" w:rsidP="004E3C9C">
      <w:pPr>
        <w:pStyle w:val="FootnoteText"/>
        <w:jc w:val="both"/>
        <w:rPr>
          <w:color w:val="000000" w:themeColor="text1"/>
          <w:sz w:val="18"/>
          <w:szCs w:val="18"/>
          <w:lang w:val="en-US"/>
        </w:rPr>
      </w:pPr>
      <w:r w:rsidRPr="005621C3">
        <w:rPr>
          <w:rStyle w:val="FootnoteReference"/>
          <w:color w:val="000000" w:themeColor="text1"/>
          <w:sz w:val="18"/>
          <w:szCs w:val="18"/>
        </w:rPr>
        <w:footnoteRef/>
      </w:r>
      <w:r w:rsidRPr="005621C3">
        <w:rPr>
          <w:color w:val="000000" w:themeColor="text1"/>
          <w:sz w:val="18"/>
          <w:szCs w:val="18"/>
          <w:lang w:val="en-US"/>
        </w:rPr>
        <w:t xml:space="preserve"> K. </w:t>
      </w:r>
      <w:proofErr w:type="spellStart"/>
      <w:r w:rsidRPr="005621C3">
        <w:rPr>
          <w:color w:val="000000" w:themeColor="text1"/>
          <w:sz w:val="18"/>
          <w:szCs w:val="18"/>
          <w:lang w:val="en-US"/>
        </w:rPr>
        <w:t>McNeilly</w:t>
      </w:r>
      <w:proofErr w:type="spellEnd"/>
      <w:r w:rsidRPr="005621C3">
        <w:rPr>
          <w:color w:val="000000" w:themeColor="text1"/>
          <w:sz w:val="18"/>
          <w:szCs w:val="18"/>
          <w:lang w:val="en-US"/>
        </w:rPr>
        <w:t xml:space="preserve"> and B. Warwick (eds</w:t>
      </w:r>
      <w:r w:rsidR="00483A4F">
        <w:rPr>
          <w:color w:val="000000" w:themeColor="text1"/>
          <w:sz w:val="18"/>
          <w:szCs w:val="18"/>
          <w:lang w:val="en-US"/>
        </w:rPr>
        <w:t>.</w:t>
      </w:r>
      <w:r w:rsidRPr="005621C3">
        <w:rPr>
          <w:color w:val="000000" w:themeColor="text1"/>
          <w:sz w:val="18"/>
          <w:szCs w:val="18"/>
          <w:lang w:val="en-US"/>
        </w:rPr>
        <w:t xml:space="preserve">), </w:t>
      </w:r>
      <w:r w:rsidRPr="005621C3">
        <w:rPr>
          <w:i/>
          <w:iCs/>
          <w:color w:val="000000" w:themeColor="text1"/>
          <w:sz w:val="18"/>
          <w:szCs w:val="18"/>
          <w:lang w:val="en-US"/>
        </w:rPr>
        <w:t>Time and Temporalities in International Human Rights Law</w:t>
      </w:r>
      <w:r w:rsidRPr="005621C3">
        <w:rPr>
          <w:color w:val="000000" w:themeColor="text1"/>
          <w:sz w:val="18"/>
          <w:szCs w:val="18"/>
          <w:lang w:val="en-US"/>
        </w:rPr>
        <w:t xml:space="preserve">, Bloomsbury, 2022. </w:t>
      </w:r>
    </w:p>
  </w:footnote>
  <w:footnote w:id="3">
    <w:p w14:paraId="046693A4" w14:textId="77777777" w:rsidR="000D51E9" w:rsidRPr="005621C3" w:rsidRDefault="000D51E9" w:rsidP="004E3C9C">
      <w:pPr>
        <w:pStyle w:val="FootnoteText"/>
        <w:rPr>
          <w:color w:val="000000" w:themeColor="text1"/>
          <w:sz w:val="18"/>
          <w:szCs w:val="18"/>
        </w:rPr>
      </w:pPr>
      <w:r w:rsidRPr="005621C3">
        <w:rPr>
          <w:rStyle w:val="FootnoteReference"/>
          <w:color w:val="000000" w:themeColor="text1"/>
          <w:sz w:val="18"/>
          <w:szCs w:val="18"/>
        </w:rPr>
        <w:footnoteRef/>
      </w:r>
      <w:r w:rsidRPr="005621C3">
        <w:rPr>
          <w:color w:val="000000" w:themeColor="text1"/>
          <w:sz w:val="18"/>
          <w:szCs w:val="18"/>
        </w:rPr>
        <w:t xml:space="preserve"> R. Nixon, </w:t>
      </w:r>
      <w:r w:rsidRPr="005621C3">
        <w:rPr>
          <w:i/>
          <w:iCs/>
          <w:color w:val="000000" w:themeColor="text1"/>
          <w:sz w:val="18"/>
          <w:szCs w:val="18"/>
        </w:rPr>
        <w:t>Slow Violence and the Environmentalism of the Poor</w:t>
      </w:r>
      <w:r w:rsidRPr="005621C3">
        <w:rPr>
          <w:color w:val="000000" w:themeColor="text1"/>
          <w:sz w:val="18"/>
          <w:szCs w:val="18"/>
        </w:rPr>
        <w:t xml:space="preserve">, Harvard University Press, 2011. </w:t>
      </w:r>
    </w:p>
  </w:footnote>
  <w:footnote w:id="4">
    <w:p w14:paraId="6E3AA6EF" w14:textId="77777777" w:rsidR="000D51E9" w:rsidRPr="005621C3" w:rsidRDefault="000D51E9" w:rsidP="00F76D70">
      <w:pPr>
        <w:pStyle w:val="FootnoteText"/>
        <w:jc w:val="both"/>
        <w:rPr>
          <w:color w:val="000000" w:themeColor="text1"/>
          <w:sz w:val="18"/>
          <w:szCs w:val="18"/>
          <w:lang w:val="en-US"/>
        </w:rPr>
      </w:pPr>
      <w:r w:rsidRPr="005621C3">
        <w:rPr>
          <w:rStyle w:val="FootnoteReference"/>
          <w:color w:val="000000" w:themeColor="text1"/>
          <w:sz w:val="18"/>
          <w:szCs w:val="18"/>
        </w:rPr>
        <w:footnoteRef/>
      </w:r>
      <w:r w:rsidRPr="005621C3">
        <w:rPr>
          <w:color w:val="000000" w:themeColor="text1"/>
          <w:sz w:val="18"/>
          <w:szCs w:val="18"/>
        </w:rPr>
        <w:t xml:space="preserve"> HRC, General Comment No. 36 (2019) on Article 6, Right to life. HRC, </w:t>
      </w:r>
      <w:r w:rsidRPr="005621C3">
        <w:rPr>
          <w:i/>
          <w:iCs/>
          <w:color w:val="000000" w:themeColor="text1"/>
          <w:sz w:val="18"/>
          <w:szCs w:val="18"/>
        </w:rPr>
        <w:t>Daniel Billy et al. v. Australia</w:t>
      </w:r>
      <w:r w:rsidRPr="005621C3">
        <w:rPr>
          <w:color w:val="000000" w:themeColor="text1"/>
          <w:sz w:val="18"/>
          <w:szCs w:val="18"/>
        </w:rPr>
        <w:t xml:space="preserve">, view of 21 July 2022, Communication No. 3624/2019. </w:t>
      </w:r>
    </w:p>
  </w:footnote>
  <w:footnote w:id="5">
    <w:p w14:paraId="5B230D0B" w14:textId="77777777" w:rsidR="000D51E9" w:rsidRPr="005621C3" w:rsidRDefault="000D51E9" w:rsidP="00F76D70">
      <w:pPr>
        <w:pStyle w:val="FootnoteText"/>
        <w:jc w:val="both"/>
        <w:rPr>
          <w:color w:val="000000" w:themeColor="text1"/>
          <w:sz w:val="18"/>
          <w:szCs w:val="18"/>
          <w:lang w:val="it-IT"/>
        </w:rPr>
      </w:pPr>
      <w:r w:rsidRPr="005621C3">
        <w:rPr>
          <w:rStyle w:val="FootnoteReference"/>
          <w:color w:val="000000" w:themeColor="text1"/>
          <w:sz w:val="18"/>
          <w:szCs w:val="18"/>
        </w:rPr>
        <w:footnoteRef/>
      </w:r>
      <w:r w:rsidRPr="005621C3">
        <w:rPr>
          <w:color w:val="000000" w:themeColor="text1"/>
          <w:sz w:val="18"/>
          <w:szCs w:val="18"/>
          <w:lang w:val="it-IT"/>
        </w:rPr>
        <w:t xml:space="preserve"> S. De Vido, </w:t>
      </w:r>
      <w:r w:rsidRPr="005621C3">
        <w:rPr>
          <w:i/>
          <w:iCs/>
          <w:color w:val="000000" w:themeColor="text1"/>
          <w:sz w:val="18"/>
          <w:szCs w:val="18"/>
          <w:lang w:val="it-IT"/>
        </w:rPr>
        <w:t xml:space="preserve">In </w:t>
      </w:r>
      <w:proofErr w:type="spellStart"/>
      <w:r w:rsidRPr="005621C3">
        <w:rPr>
          <w:i/>
          <w:iCs/>
          <w:color w:val="000000" w:themeColor="text1"/>
          <w:sz w:val="18"/>
          <w:szCs w:val="18"/>
          <w:lang w:val="it-IT"/>
        </w:rPr>
        <w:t>dubio</w:t>
      </w:r>
      <w:proofErr w:type="spellEnd"/>
      <w:r w:rsidRPr="005621C3">
        <w:rPr>
          <w:i/>
          <w:iCs/>
          <w:color w:val="000000" w:themeColor="text1"/>
          <w:sz w:val="18"/>
          <w:szCs w:val="18"/>
          <w:lang w:val="it-IT"/>
        </w:rPr>
        <w:t xml:space="preserve"> pro </w:t>
      </w:r>
      <w:proofErr w:type="spellStart"/>
      <w:r w:rsidRPr="005621C3">
        <w:rPr>
          <w:i/>
          <w:iCs/>
          <w:color w:val="000000" w:themeColor="text1"/>
          <w:sz w:val="18"/>
          <w:szCs w:val="18"/>
          <w:lang w:val="it-IT"/>
        </w:rPr>
        <w:t>futuris</w:t>
      </w:r>
      <w:proofErr w:type="spellEnd"/>
      <w:r w:rsidRPr="005621C3">
        <w:rPr>
          <w:i/>
          <w:iCs/>
          <w:color w:val="000000" w:themeColor="text1"/>
          <w:sz w:val="18"/>
          <w:szCs w:val="18"/>
          <w:lang w:val="it-IT"/>
        </w:rPr>
        <w:t xml:space="preserve"> </w:t>
      </w:r>
      <w:proofErr w:type="spellStart"/>
      <w:r w:rsidRPr="005621C3">
        <w:rPr>
          <w:i/>
          <w:iCs/>
          <w:color w:val="000000" w:themeColor="text1"/>
          <w:sz w:val="18"/>
          <w:szCs w:val="18"/>
          <w:lang w:val="it-IT"/>
        </w:rPr>
        <w:t>generationibus</w:t>
      </w:r>
      <w:proofErr w:type="spellEnd"/>
      <w:r w:rsidRPr="005621C3">
        <w:rPr>
          <w:i/>
          <w:iCs/>
          <w:color w:val="000000" w:themeColor="text1"/>
          <w:sz w:val="18"/>
          <w:szCs w:val="18"/>
          <w:lang w:val="it-IT"/>
        </w:rPr>
        <w:t xml:space="preserve">: una risposta giuridica </w:t>
      </w:r>
      <w:proofErr w:type="spellStart"/>
      <w:r w:rsidRPr="005621C3">
        <w:rPr>
          <w:i/>
          <w:iCs/>
          <w:color w:val="000000" w:themeColor="text1"/>
          <w:sz w:val="18"/>
          <w:szCs w:val="18"/>
          <w:lang w:val="it-IT"/>
        </w:rPr>
        <w:t>ecocentrica</w:t>
      </w:r>
      <w:proofErr w:type="spellEnd"/>
      <w:r w:rsidRPr="005621C3">
        <w:rPr>
          <w:i/>
          <w:iCs/>
          <w:color w:val="000000" w:themeColor="text1"/>
          <w:sz w:val="18"/>
          <w:szCs w:val="18"/>
          <w:lang w:val="it-IT"/>
        </w:rPr>
        <w:t xml:space="preserve"> </w:t>
      </w:r>
      <w:proofErr w:type="gramStart"/>
      <w:r w:rsidRPr="005621C3">
        <w:rPr>
          <w:i/>
          <w:iCs/>
          <w:color w:val="000000" w:themeColor="text1"/>
          <w:sz w:val="18"/>
          <w:szCs w:val="18"/>
          <w:lang w:val="it-IT"/>
        </w:rPr>
        <w:t>alla slow</w:t>
      </w:r>
      <w:proofErr w:type="gramEnd"/>
      <w:r w:rsidRPr="005621C3">
        <w:rPr>
          <w:i/>
          <w:iCs/>
          <w:color w:val="000000" w:themeColor="text1"/>
          <w:sz w:val="18"/>
          <w:szCs w:val="18"/>
          <w:lang w:val="it-IT"/>
        </w:rPr>
        <w:t xml:space="preserve"> </w:t>
      </w:r>
      <w:proofErr w:type="spellStart"/>
      <w:r w:rsidRPr="005621C3">
        <w:rPr>
          <w:i/>
          <w:iCs/>
          <w:color w:val="000000" w:themeColor="text1"/>
          <w:sz w:val="18"/>
          <w:szCs w:val="18"/>
          <w:lang w:val="it-IT"/>
        </w:rPr>
        <w:t>violence</w:t>
      </w:r>
      <w:proofErr w:type="spellEnd"/>
      <w:r w:rsidRPr="005621C3">
        <w:rPr>
          <w:color w:val="000000" w:themeColor="text1"/>
          <w:sz w:val="18"/>
          <w:szCs w:val="18"/>
          <w:lang w:val="it-IT"/>
        </w:rPr>
        <w:t xml:space="preserve">, </w:t>
      </w:r>
      <w:proofErr w:type="spellStart"/>
      <w:r w:rsidRPr="005621C3">
        <w:rPr>
          <w:color w:val="000000" w:themeColor="text1"/>
          <w:sz w:val="18"/>
          <w:szCs w:val="18"/>
          <w:lang w:val="it-IT"/>
        </w:rPr>
        <w:t>forthcoming</w:t>
      </w:r>
      <w:proofErr w:type="spellEnd"/>
      <w:r w:rsidRPr="005621C3">
        <w:rPr>
          <w:color w:val="000000" w:themeColor="text1"/>
          <w:sz w:val="18"/>
          <w:szCs w:val="18"/>
          <w:lang w:val="it-IT"/>
        </w:rPr>
        <w:t xml:space="preserve"> in M. Frulli (ed.), </w:t>
      </w:r>
      <w:r w:rsidRPr="005621C3">
        <w:rPr>
          <w:i/>
          <w:iCs/>
          <w:color w:val="000000" w:themeColor="text1"/>
          <w:sz w:val="18"/>
          <w:szCs w:val="18"/>
          <w:shd w:val="clear" w:color="auto" w:fill="FFFFFF"/>
          <w:lang w:val="it-IT"/>
        </w:rPr>
        <w:t>L'interesse delle future generazioni nel diritto internazionale e dell'Unione europea</w:t>
      </w:r>
      <w:r w:rsidRPr="005621C3">
        <w:rPr>
          <w:color w:val="000000" w:themeColor="text1"/>
          <w:sz w:val="18"/>
          <w:szCs w:val="18"/>
          <w:shd w:val="clear" w:color="auto" w:fill="FFFFFF"/>
          <w:lang w:val="it-IT"/>
        </w:rPr>
        <w:t xml:space="preserve">, 2023. </w:t>
      </w:r>
    </w:p>
  </w:footnote>
  <w:footnote w:id="6">
    <w:p w14:paraId="6AB84053" w14:textId="77777777" w:rsidR="000D51E9" w:rsidRPr="005621C3" w:rsidRDefault="000D51E9" w:rsidP="00F76D70">
      <w:pPr>
        <w:pStyle w:val="FootnoteText"/>
        <w:jc w:val="both"/>
        <w:rPr>
          <w:color w:val="000000" w:themeColor="text1"/>
          <w:sz w:val="18"/>
          <w:szCs w:val="18"/>
        </w:rPr>
      </w:pPr>
      <w:r w:rsidRPr="005621C3">
        <w:rPr>
          <w:rStyle w:val="FootnoteReference"/>
          <w:color w:val="000000" w:themeColor="text1"/>
          <w:sz w:val="18"/>
          <w:szCs w:val="18"/>
        </w:rPr>
        <w:footnoteRef/>
      </w:r>
      <w:r w:rsidRPr="005621C3">
        <w:rPr>
          <w:color w:val="000000" w:themeColor="text1"/>
          <w:sz w:val="18"/>
          <w:szCs w:val="18"/>
        </w:rPr>
        <w:t xml:space="preserve"> See also CESCR, General Comment No. 25 (2020) on science and economic, social and cultural rights (article 15(1</w:t>
      </w:r>
      <w:proofErr w:type="gramStart"/>
      <w:r w:rsidRPr="005621C3">
        <w:rPr>
          <w:color w:val="000000" w:themeColor="text1"/>
          <w:sz w:val="18"/>
          <w:szCs w:val="18"/>
        </w:rPr>
        <w:t>)(</w:t>
      </w:r>
      <w:proofErr w:type="gramEnd"/>
      <w:r w:rsidRPr="005621C3">
        <w:rPr>
          <w:color w:val="000000" w:themeColor="text1"/>
          <w:sz w:val="18"/>
          <w:szCs w:val="18"/>
        </w:rPr>
        <w:t xml:space="preserve">b), (2), (3), and (4) of the International Covenant on Economic, Social and Cultural Rights, where the “unacceptable harm” to humans or the environment” is contemplated. Needless to say, the concept of environment as a whole refers to C. Stone, </w:t>
      </w:r>
      <w:r w:rsidRPr="005621C3">
        <w:rPr>
          <w:i/>
          <w:iCs/>
          <w:color w:val="000000" w:themeColor="text1"/>
          <w:sz w:val="18"/>
          <w:szCs w:val="18"/>
        </w:rPr>
        <w:t>Should Trees Have Standing</w:t>
      </w:r>
      <w:proofErr w:type="gramStart"/>
      <w:r w:rsidRPr="005621C3">
        <w:rPr>
          <w:color w:val="000000" w:themeColor="text1"/>
          <w:sz w:val="18"/>
          <w:szCs w:val="18"/>
        </w:rPr>
        <w:t>?,</w:t>
      </w:r>
      <w:proofErr w:type="gramEnd"/>
      <w:r w:rsidRPr="005621C3">
        <w:rPr>
          <w:color w:val="000000" w:themeColor="text1"/>
          <w:sz w:val="18"/>
          <w:szCs w:val="18"/>
        </w:rPr>
        <w:t xml:space="preserve"> Oxford University Press, 3</w:t>
      </w:r>
      <w:r w:rsidRPr="005621C3">
        <w:rPr>
          <w:color w:val="000000" w:themeColor="text1"/>
          <w:sz w:val="18"/>
          <w:szCs w:val="18"/>
          <w:vertAlign w:val="superscript"/>
        </w:rPr>
        <w:t>rd</w:t>
      </w:r>
      <w:r w:rsidRPr="005621C3">
        <w:rPr>
          <w:color w:val="000000" w:themeColor="text1"/>
          <w:sz w:val="18"/>
          <w:szCs w:val="18"/>
        </w:rPr>
        <w:t xml:space="preserve"> ed., 2010. </w:t>
      </w:r>
    </w:p>
  </w:footnote>
  <w:footnote w:id="7">
    <w:p w14:paraId="3988AE7B" w14:textId="77777777" w:rsidR="000D51E9" w:rsidRPr="005621C3" w:rsidRDefault="000D51E9" w:rsidP="005621C3">
      <w:pPr>
        <w:spacing w:after="0" w:line="240" w:lineRule="auto"/>
        <w:rPr>
          <w:rFonts w:ascii="Times New Roman" w:hAnsi="Times New Roman" w:cs="Times New Roman"/>
          <w:color w:val="000000" w:themeColor="text1"/>
          <w:sz w:val="18"/>
          <w:szCs w:val="18"/>
          <w:lang w:val="en-US"/>
        </w:rPr>
      </w:pPr>
      <w:r w:rsidRPr="005621C3">
        <w:rPr>
          <w:rStyle w:val="FootnoteReference"/>
          <w:rFonts w:ascii="Times New Roman" w:hAnsi="Times New Roman"/>
          <w:color w:val="000000" w:themeColor="text1"/>
          <w:sz w:val="18"/>
          <w:szCs w:val="18"/>
        </w:rPr>
        <w:footnoteRef/>
      </w:r>
      <w:r w:rsidRPr="005621C3">
        <w:rPr>
          <w:rFonts w:ascii="Times New Roman" w:hAnsi="Times New Roman" w:cs="Times New Roman"/>
          <w:color w:val="000000" w:themeColor="text1"/>
          <w:sz w:val="18"/>
          <w:szCs w:val="18"/>
          <w:lang w:val="en-US"/>
        </w:rPr>
        <w:t xml:space="preserve"> V. Lowe, </w:t>
      </w:r>
      <w:r w:rsidRPr="005621C3">
        <w:rPr>
          <w:rFonts w:ascii="Times New Roman" w:hAnsi="Times New Roman" w:cs="Times New Roman"/>
          <w:i/>
          <w:iCs/>
          <w:color w:val="000000" w:themeColor="text1"/>
          <w:sz w:val="18"/>
          <w:szCs w:val="18"/>
          <w:shd w:val="clear" w:color="auto" w:fill="FFFFFF"/>
          <w:lang w:val="en-US"/>
        </w:rPr>
        <w:t>The Politics of Law-Making: Are the Method and Character of Norm Creation Changing</w:t>
      </w:r>
      <w:proofErr w:type="gramStart"/>
      <w:r w:rsidRPr="005621C3">
        <w:rPr>
          <w:rFonts w:ascii="Times New Roman" w:hAnsi="Times New Roman" w:cs="Times New Roman"/>
          <w:i/>
          <w:iCs/>
          <w:color w:val="000000" w:themeColor="text1"/>
          <w:sz w:val="18"/>
          <w:szCs w:val="18"/>
          <w:shd w:val="clear" w:color="auto" w:fill="FFFFFF"/>
          <w:lang w:val="en-US"/>
        </w:rPr>
        <w:t>?,</w:t>
      </w:r>
      <w:proofErr w:type="gramEnd"/>
      <w:r w:rsidRPr="005621C3">
        <w:rPr>
          <w:rFonts w:ascii="Times New Roman" w:hAnsi="Times New Roman" w:cs="Times New Roman"/>
          <w:i/>
          <w:iCs/>
          <w:color w:val="000000" w:themeColor="text1"/>
          <w:sz w:val="18"/>
          <w:szCs w:val="18"/>
          <w:shd w:val="clear" w:color="auto" w:fill="FFFFFF"/>
          <w:lang w:val="en-US"/>
        </w:rPr>
        <w:t xml:space="preserve"> </w:t>
      </w:r>
      <w:r w:rsidRPr="005621C3">
        <w:rPr>
          <w:rFonts w:ascii="Times New Roman" w:hAnsi="Times New Roman" w:cs="Times New Roman"/>
          <w:color w:val="000000" w:themeColor="text1"/>
          <w:sz w:val="18"/>
          <w:szCs w:val="18"/>
          <w:shd w:val="clear" w:color="auto" w:fill="FFFFFF"/>
          <w:lang w:val="en-US"/>
        </w:rPr>
        <w:t>in M. Byers (ed.),</w:t>
      </w:r>
      <w:r w:rsidRPr="005621C3">
        <w:rPr>
          <w:rFonts w:ascii="Times New Roman" w:hAnsi="Times New Roman" w:cs="Times New Roman"/>
          <w:color w:val="000000" w:themeColor="text1"/>
          <w:sz w:val="18"/>
          <w:szCs w:val="18"/>
          <w:lang w:val="en-US"/>
        </w:rPr>
        <w:t xml:space="preserve"> </w:t>
      </w:r>
      <w:hyperlink r:id="rId2" w:history="1">
        <w:r w:rsidRPr="005621C3">
          <w:rPr>
            <w:rStyle w:val="book-infotitle"/>
            <w:rFonts w:ascii="Times New Roman" w:hAnsi="Times New Roman" w:cs="Times New Roman"/>
            <w:i/>
            <w:iCs/>
            <w:color w:val="000000" w:themeColor="text1"/>
            <w:sz w:val="18"/>
            <w:szCs w:val="18"/>
            <w:bdr w:val="none" w:sz="0" w:space="0" w:color="auto" w:frame="1"/>
            <w:shd w:val="clear" w:color="auto" w:fill="FFFFFF"/>
            <w:lang w:val="en-US"/>
          </w:rPr>
          <w:t>The Role of Law in International Politics: Essays in International Relations and International Law</w:t>
        </w:r>
      </w:hyperlink>
      <w:r w:rsidRPr="005621C3">
        <w:rPr>
          <w:rFonts w:ascii="Times New Roman" w:hAnsi="Times New Roman" w:cs="Times New Roman"/>
          <w:i/>
          <w:iCs/>
          <w:color w:val="000000" w:themeColor="text1"/>
          <w:sz w:val="18"/>
          <w:szCs w:val="18"/>
          <w:lang w:val="en-US"/>
        </w:rPr>
        <w:t xml:space="preserve">, </w:t>
      </w:r>
      <w:r w:rsidRPr="005621C3">
        <w:rPr>
          <w:rFonts w:ascii="Times New Roman" w:hAnsi="Times New Roman" w:cs="Times New Roman"/>
          <w:color w:val="000000" w:themeColor="text1"/>
          <w:sz w:val="18"/>
          <w:szCs w:val="18"/>
          <w:lang w:val="en-US"/>
        </w:rPr>
        <w:t>Oxford, 2001.</w:t>
      </w:r>
    </w:p>
  </w:footnote>
  <w:footnote w:id="8">
    <w:p w14:paraId="1238F757" w14:textId="77777777" w:rsidR="00F75D1B" w:rsidRPr="001F676E" w:rsidRDefault="00F75D1B" w:rsidP="001F676E">
      <w:pPr>
        <w:pStyle w:val="FootnoteText"/>
        <w:jc w:val="both"/>
        <w:rPr>
          <w:color w:val="000000" w:themeColor="text1"/>
          <w:sz w:val="18"/>
          <w:szCs w:val="18"/>
          <w:lang w:val="en-US"/>
        </w:rPr>
      </w:pPr>
      <w:r w:rsidRPr="001F676E">
        <w:rPr>
          <w:rStyle w:val="FootnoteReference"/>
          <w:color w:val="000000" w:themeColor="text1"/>
          <w:sz w:val="18"/>
          <w:szCs w:val="18"/>
        </w:rPr>
        <w:footnoteRef/>
      </w:r>
      <w:r w:rsidRPr="001F676E">
        <w:rPr>
          <w:color w:val="000000" w:themeColor="text1"/>
          <w:sz w:val="18"/>
          <w:szCs w:val="18"/>
        </w:rPr>
        <w:t xml:space="preserve"> See in that respect, </w:t>
      </w:r>
      <w:r w:rsidRPr="001F676E">
        <w:rPr>
          <w:color w:val="000000" w:themeColor="text1"/>
          <w:sz w:val="18"/>
          <w:szCs w:val="18"/>
          <w:lang w:val="en-US"/>
        </w:rPr>
        <w:t xml:space="preserve">Special Rapporteur on Violence against </w:t>
      </w:r>
      <w:r w:rsidRPr="00110F7F">
        <w:rPr>
          <w:color w:val="000000" w:themeColor="text1"/>
          <w:sz w:val="18"/>
          <w:szCs w:val="18"/>
          <w:lang w:val="en-US"/>
        </w:rPr>
        <w:t xml:space="preserve">Women and Girls, its </w:t>
      </w:r>
      <w:r w:rsidRPr="00FA2EDC">
        <w:rPr>
          <w:color w:val="000000" w:themeColor="text1"/>
          <w:sz w:val="18"/>
          <w:szCs w:val="18"/>
          <w:lang w:val="en-US"/>
        </w:rPr>
        <w:t>C</w:t>
      </w:r>
      <w:r w:rsidRPr="00653D3B">
        <w:rPr>
          <w:color w:val="000000" w:themeColor="text1"/>
          <w:sz w:val="18"/>
          <w:szCs w:val="18"/>
          <w:lang w:val="en-US"/>
        </w:rPr>
        <w:t xml:space="preserve">auses and </w:t>
      </w:r>
      <w:r w:rsidRPr="00E10616">
        <w:rPr>
          <w:color w:val="000000" w:themeColor="text1"/>
          <w:sz w:val="18"/>
          <w:szCs w:val="18"/>
          <w:lang w:val="en-US"/>
        </w:rPr>
        <w:t xml:space="preserve">Consequences, </w:t>
      </w:r>
      <w:r w:rsidRPr="00E10616">
        <w:rPr>
          <w:i/>
          <w:iCs/>
          <w:color w:val="000000" w:themeColor="text1"/>
          <w:sz w:val="18"/>
          <w:szCs w:val="18"/>
          <w:lang w:val="en-US"/>
        </w:rPr>
        <w:t xml:space="preserve">Violence against </w:t>
      </w:r>
      <w:r w:rsidRPr="00347262">
        <w:rPr>
          <w:i/>
          <w:iCs/>
          <w:color w:val="000000" w:themeColor="text1"/>
          <w:sz w:val="18"/>
          <w:szCs w:val="18"/>
          <w:lang w:val="en-US"/>
        </w:rPr>
        <w:t xml:space="preserve">Women and </w:t>
      </w:r>
      <w:r w:rsidRPr="001D49B2">
        <w:rPr>
          <w:i/>
          <w:iCs/>
          <w:color w:val="000000" w:themeColor="text1"/>
          <w:sz w:val="18"/>
          <w:szCs w:val="18"/>
          <w:lang w:val="en-US"/>
        </w:rPr>
        <w:t>G</w:t>
      </w:r>
      <w:r w:rsidRPr="00C2597B">
        <w:rPr>
          <w:i/>
          <w:iCs/>
          <w:color w:val="000000" w:themeColor="text1"/>
          <w:sz w:val="18"/>
          <w:szCs w:val="18"/>
          <w:lang w:val="en-US"/>
        </w:rPr>
        <w:t>irls in the C</w:t>
      </w:r>
      <w:r w:rsidRPr="003A5BB0">
        <w:rPr>
          <w:i/>
          <w:iCs/>
          <w:color w:val="000000" w:themeColor="text1"/>
          <w:sz w:val="18"/>
          <w:szCs w:val="18"/>
          <w:lang w:val="en-US"/>
        </w:rPr>
        <w:t>ontext of the C</w:t>
      </w:r>
      <w:r w:rsidRPr="001F676E">
        <w:rPr>
          <w:i/>
          <w:iCs/>
          <w:color w:val="000000" w:themeColor="text1"/>
          <w:sz w:val="18"/>
          <w:szCs w:val="18"/>
          <w:lang w:val="en-US"/>
        </w:rPr>
        <w:t>limate Crisis, including Environmental Degradation and Related Disaster Risk Mitigation and Response</w:t>
      </w:r>
      <w:r w:rsidRPr="001F676E">
        <w:rPr>
          <w:color w:val="000000" w:themeColor="text1"/>
          <w:sz w:val="18"/>
          <w:szCs w:val="18"/>
          <w:lang w:val="en-US"/>
        </w:rPr>
        <w:t xml:space="preserve">, 11 July 2022, A//77/136. </w:t>
      </w:r>
    </w:p>
  </w:footnote>
  <w:footnote w:id="9">
    <w:p w14:paraId="2E757130" w14:textId="77777777" w:rsidR="00F75D1B" w:rsidRPr="001F676E" w:rsidRDefault="00F75D1B" w:rsidP="00110F7F">
      <w:pPr>
        <w:pStyle w:val="FootnoteText"/>
        <w:jc w:val="both"/>
        <w:rPr>
          <w:color w:val="000000" w:themeColor="text1"/>
          <w:sz w:val="18"/>
          <w:szCs w:val="18"/>
          <w:lang w:val="es-ES"/>
        </w:rPr>
      </w:pPr>
      <w:r w:rsidRPr="001F676E">
        <w:rPr>
          <w:rStyle w:val="FootnoteReference"/>
          <w:color w:val="000000" w:themeColor="text1"/>
          <w:sz w:val="18"/>
          <w:szCs w:val="18"/>
        </w:rPr>
        <w:footnoteRef/>
      </w:r>
      <w:r w:rsidRPr="001F676E">
        <w:rPr>
          <w:color w:val="000000" w:themeColor="text1"/>
          <w:sz w:val="18"/>
          <w:szCs w:val="18"/>
          <w:lang w:val="es-ES"/>
        </w:rPr>
        <w:t xml:space="preserve"> </w:t>
      </w:r>
      <w:proofErr w:type="spellStart"/>
      <w:r w:rsidRPr="001F676E">
        <w:rPr>
          <w:color w:val="000000" w:themeColor="text1"/>
          <w:sz w:val="18"/>
          <w:szCs w:val="18"/>
          <w:lang w:val="es-ES"/>
        </w:rPr>
        <w:t>Ibid</w:t>
      </w:r>
      <w:proofErr w:type="spellEnd"/>
      <w:r w:rsidRPr="001F676E">
        <w:rPr>
          <w:color w:val="000000" w:themeColor="text1"/>
          <w:sz w:val="18"/>
          <w:szCs w:val="18"/>
          <w:lang w:val="es-ES"/>
        </w:rPr>
        <w:t xml:space="preserve">, para. 24. </w:t>
      </w:r>
    </w:p>
  </w:footnote>
  <w:footnote w:id="10">
    <w:p w14:paraId="6A841B32" w14:textId="77777777" w:rsidR="00F75D1B" w:rsidRPr="00110F7F" w:rsidRDefault="00F75D1B" w:rsidP="00110F7F">
      <w:pPr>
        <w:pStyle w:val="FootnoteText"/>
        <w:jc w:val="both"/>
        <w:rPr>
          <w:color w:val="000000" w:themeColor="text1"/>
          <w:sz w:val="18"/>
          <w:szCs w:val="18"/>
          <w:lang w:val="es-ES"/>
        </w:rPr>
      </w:pPr>
      <w:r w:rsidRPr="001F676E">
        <w:rPr>
          <w:rStyle w:val="FootnoteReference"/>
          <w:color w:val="000000" w:themeColor="text1"/>
          <w:sz w:val="18"/>
          <w:szCs w:val="18"/>
        </w:rPr>
        <w:footnoteRef/>
      </w:r>
      <w:r w:rsidRPr="001F676E">
        <w:rPr>
          <w:color w:val="000000" w:themeColor="text1"/>
          <w:sz w:val="18"/>
          <w:szCs w:val="18"/>
          <w:lang w:val="es-ES"/>
        </w:rPr>
        <w:t xml:space="preserve"> https://www.end-violence.org/articles/how-climate-change-driving-child-marriages.</w:t>
      </w:r>
    </w:p>
  </w:footnote>
  <w:footnote w:id="11">
    <w:p w14:paraId="48FD5340" w14:textId="35ACDA2B" w:rsidR="002B0746" w:rsidRPr="005621C3" w:rsidRDefault="002B0746" w:rsidP="005621C3">
      <w:pPr>
        <w:pStyle w:val="FootnoteText"/>
        <w:jc w:val="both"/>
        <w:rPr>
          <w:lang w:val="es-ES"/>
        </w:rPr>
      </w:pPr>
      <w:r w:rsidRPr="005621C3">
        <w:rPr>
          <w:rStyle w:val="FootnoteReference"/>
          <w:sz w:val="18"/>
          <w:szCs w:val="18"/>
        </w:rPr>
        <w:footnoteRef/>
      </w:r>
      <w:r w:rsidRPr="005621C3">
        <w:rPr>
          <w:sz w:val="18"/>
          <w:szCs w:val="18"/>
          <w:lang w:val="es-ES"/>
        </w:rPr>
        <w:t xml:space="preserve"> </w:t>
      </w:r>
      <w:r w:rsidR="00D43286">
        <w:rPr>
          <w:sz w:val="18"/>
          <w:szCs w:val="18"/>
          <w:lang w:val="es-ES"/>
        </w:rPr>
        <w:t xml:space="preserve">E. </w:t>
      </w:r>
      <w:proofErr w:type="spellStart"/>
      <w:r w:rsidR="00D43286">
        <w:rPr>
          <w:sz w:val="18"/>
          <w:szCs w:val="18"/>
          <w:lang w:val="es-ES"/>
        </w:rPr>
        <w:t>Fornalé</w:t>
      </w:r>
      <w:proofErr w:type="spellEnd"/>
      <w:r w:rsidR="001F676E" w:rsidRPr="005621C3">
        <w:rPr>
          <w:sz w:val="18"/>
          <w:szCs w:val="18"/>
          <w:lang w:val="es-ES"/>
        </w:rPr>
        <w:t xml:space="preserve">, </w:t>
      </w:r>
      <w:r w:rsidR="00E10616" w:rsidRPr="00E10616">
        <w:rPr>
          <w:sz w:val="18"/>
          <w:szCs w:val="18"/>
          <w:lang w:val="es-ES"/>
        </w:rPr>
        <w:t>“</w:t>
      </w:r>
      <w:proofErr w:type="spellStart"/>
      <w:r w:rsidR="00E10616" w:rsidRPr="00E10616">
        <w:rPr>
          <w:sz w:val="18"/>
          <w:szCs w:val="18"/>
          <w:lang w:val="es-ES"/>
        </w:rPr>
        <w:t>The</w:t>
      </w:r>
      <w:proofErr w:type="spellEnd"/>
      <w:r w:rsidR="00E10616" w:rsidRPr="00E10616">
        <w:rPr>
          <w:sz w:val="18"/>
          <w:szCs w:val="18"/>
          <w:lang w:val="es-ES"/>
        </w:rPr>
        <w:t xml:space="preserve"> </w:t>
      </w:r>
      <w:r w:rsidR="00E10616">
        <w:rPr>
          <w:sz w:val="18"/>
          <w:szCs w:val="18"/>
          <w:lang w:val="es-ES"/>
        </w:rPr>
        <w:t>R</w:t>
      </w:r>
      <w:r w:rsidR="00E10616" w:rsidRPr="00E10616">
        <w:rPr>
          <w:sz w:val="18"/>
          <w:szCs w:val="18"/>
          <w:lang w:val="es-ES"/>
        </w:rPr>
        <w:t xml:space="preserve">ole of </w:t>
      </w:r>
      <w:proofErr w:type="spellStart"/>
      <w:r w:rsidR="00E10616">
        <w:rPr>
          <w:sz w:val="18"/>
          <w:szCs w:val="18"/>
          <w:lang w:val="es-ES"/>
        </w:rPr>
        <w:t>V</w:t>
      </w:r>
      <w:r w:rsidR="00E10616" w:rsidRPr="00E10616">
        <w:rPr>
          <w:sz w:val="18"/>
          <w:szCs w:val="18"/>
          <w:lang w:val="es-ES"/>
        </w:rPr>
        <w:t>ulnerability</w:t>
      </w:r>
      <w:proofErr w:type="spellEnd"/>
      <w:r w:rsidR="00E10616" w:rsidRPr="00E10616">
        <w:rPr>
          <w:sz w:val="18"/>
          <w:szCs w:val="18"/>
          <w:lang w:val="es-ES"/>
        </w:rPr>
        <w:t xml:space="preserve"> in </w:t>
      </w:r>
      <w:proofErr w:type="spellStart"/>
      <w:r w:rsidR="00E10616">
        <w:rPr>
          <w:sz w:val="18"/>
          <w:szCs w:val="18"/>
          <w:lang w:val="es-ES"/>
        </w:rPr>
        <w:t>C</w:t>
      </w:r>
      <w:r w:rsidR="00E10616" w:rsidRPr="00E10616">
        <w:rPr>
          <w:sz w:val="18"/>
          <w:szCs w:val="18"/>
          <w:lang w:val="es-ES"/>
        </w:rPr>
        <w:t>limate</w:t>
      </w:r>
      <w:proofErr w:type="spellEnd"/>
      <w:r w:rsidR="00E10616" w:rsidRPr="00E10616">
        <w:rPr>
          <w:sz w:val="18"/>
          <w:szCs w:val="18"/>
          <w:lang w:val="es-ES"/>
        </w:rPr>
        <w:t xml:space="preserve"> </w:t>
      </w:r>
      <w:proofErr w:type="spellStart"/>
      <w:r w:rsidR="00E10616">
        <w:rPr>
          <w:sz w:val="18"/>
          <w:szCs w:val="18"/>
          <w:lang w:val="es-ES"/>
        </w:rPr>
        <w:t>C</w:t>
      </w:r>
      <w:r w:rsidR="00E10616" w:rsidRPr="00E10616">
        <w:rPr>
          <w:sz w:val="18"/>
          <w:szCs w:val="18"/>
          <w:lang w:val="es-ES"/>
        </w:rPr>
        <w:t>hange</w:t>
      </w:r>
      <w:proofErr w:type="spellEnd"/>
      <w:r w:rsidR="00E10616" w:rsidRPr="00E10616">
        <w:rPr>
          <w:sz w:val="18"/>
          <w:szCs w:val="18"/>
          <w:lang w:val="es-ES"/>
        </w:rPr>
        <w:t xml:space="preserve"> </w:t>
      </w:r>
      <w:proofErr w:type="spellStart"/>
      <w:r w:rsidR="00E10616">
        <w:rPr>
          <w:sz w:val="18"/>
          <w:szCs w:val="18"/>
          <w:lang w:val="es-ES"/>
        </w:rPr>
        <w:t>L</w:t>
      </w:r>
      <w:r w:rsidR="001F676E" w:rsidRPr="005621C3">
        <w:rPr>
          <w:sz w:val="18"/>
          <w:szCs w:val="18"/>
          <w:lang w:val="es-ES"/>
        </w:rPr>
        <w:t>itigation</w:t>
      </w:r>
      <w:proofErr w:type="spellEnd"/>
      <w:r w:rsidR="001F676E" w:rsidRPr="005621C3">
        <w:rPr>
          <w:sz w:val="18"/>
          <w:szCs w:val="18"/>
          <w:lang w:val="es-ES"/>
        </w:rPr>
        <w:t xml:space="preserve">”, in A. </w:t>
      </w:r>
      <w:proofErr w:type="spellStart"/>
      <w:r w:rsidR="001F676E" w:rsidRPr="005621C3">
        <w:rPr>
          <w:sz w:val="18"/>
          <w:szCs w:val="18"/>
          <w:lang w:val="es-ES"/>
        </w:rPr>
        <w:t>Pomade</w:t>
      </w:r>
      <w:proofErr w:type="spellEnd"/>
      <w:r w:rsidR="001F676E" w:rsidRPr="005621C3">
        <w:rPr>
          <w:sz w:val="18"/>
          <w:szCs w:val="18"/>
          <w:lang w:val="es-ES"/>
        </w:rPr>
        <w:t xml:space="preserve"> (ed.), </w:t>
      </w:r>
      <w:proofErr w:type="spellStart"/>
      <w:r w:rsidR="001F676E" w:rsidRPr="005621C3">
        <w:rPr>
          <w:sz w:val="18"/>
          <w:szCs w:val="18"/>
          <w:lang w:val="es-ES"/>
        </w:rPr>
        <w:t>Vulnérabilité</w:t>
      </w:r>
      <w:proofErr w:type="spellEnd"/>
      <w:r w:rsidR="001F676E" w:rsidRPr="005621C3">
        <w:rPr>
          <w:sz w:val="18"/>
          <w:szCs w:val="18"/>
          <w:lang w:val="es-ES"/>
        </w:rPr>
        <w:t xml:space="preserve"> (s) </w:t>
      </w:r>
      <w:proofErr w:type="spellStart"/>
      <w:r w:rsidR="001F676E" w:rsidRPr="005621C3">
        <w:rPr>
          <w:sz w:val="18"/>
          <w:szCs w:val="18"/>
          <w:lang w:val="es-ES"/>
        </w:rPr>
        <w:t>environnementale</w:t>
      </w:r>
      <w:proofErr w:type="spellEnd"/>
      <w:r w:rsidR="001F676E" w:rsidRPr="005621C3">
        <w:rPr>
          <w:sz w:val="18"/>
          <w:szCs w:val="18"/>
          <w:lang w:val="es-ES"/>
        </w:rPr>
        <w:t xml:space="preserve"> (s): </w:t>
      </w:r>
      <w:proofErr w:type="spellStart"/>
      <w:r w:rsidR="001F676E" w:rsidRPr="005621C3">
        <w:rPr>
          <w:sz w:val="18"/>
          <w:szCs w:val="18"/>
          <w:lang w:val="es-ES"/>
        </w:rPr>
        <w:t>perspectives</w:t>
      </w:r>
      <w:proofErr w:type="spellEnd"/>
      <w:r w:rsidR="001F676E" w:rsidRPr="005621C3">
        <w:rPr>
          <w:sz w:val="18"/>
          <w:szCs w:val="18"/>
          <w:lang w:val="es-ES"/>
        </w:rPr>
        <w:t xml:space="preserve"> </w:t>
      </w:r>
      <w:proofErr w:type="spellStart"/>
      <w:r w:rsidR="001F676E" w:rsidRPr="005621C3">
        <w:rPr>
          <w:sz w:val="18"/>
          <w:szCs w:val="18"/>
          <w:lang w:val="es-ES"/>
        </w:rPr>
        <w:t>pluridisciplinaires</w:t>
      </w:r>
      <w:proofErr w:type="spellEnd"/>
      <w:r w:rsidR="001F676E" w:rsidRPr="005621C3">
        <w:rPr>
          <w:sz w:val="18"/>
          <w:szCs w:val="18"/>
          <w:lang w:val="es-ES"/>
        </w:rPr>
        <w:t xml:space="preserve"> (</w:t>
      </w:r>
      <w:proofErr w:type="spellStart"/>
      <w:r w:rsidR="001F676E" w:rsidRPr="005621C3">
        <w:rPr>
          <w:sz w:val="18"/>
          <w:szCs w:val="18"/>
          <w:lang w:val="es-ES"/>
        </w:rPr>
        <w:t>forthcoming</w:t>
      </w:r>
      <w:proofErr w:type="spellEnd"/>
      <w:r w:rsidR="001F676E" w:rsidRPr="005621C3">
        <w:rPr>
          <w:sz w:val="18"/>
          <w:szCs w:val="18"/>
          <w:lang w:val="es-ES"/>
        </w:rPr>
        <w:t xml:space="preserve"> 2023).</w:t>
      </w:r>
    </w:p>
  </w:footnote>
  <w:footnote w:id="12">
    <w:p w14:paraId="330BDDC5" w14:textId="20E1C1ED" w:rsidR="000D51E9" w:rsidRPr="005621C3" w:rsidRDefault="000D51E9">
      <w:pPr>
        <w:pStyle w:val="FootnoteText"/>
        <w:jc w:val="both"/>
        <w:rPr>
          <w:color w:val="000000" w:themeColor="text1"/>
          <w:sz w:val="18"/>
          <w:szCs w:val="18"/>
        </w:rPr>
      </w:pPr>
      <w:r w:rsidRPr="005621C3">
        <w:rPr>
          <w:rStyle w:val="FootnoteReference"/>
          <w:color w:val="000000" w:themeColor="text1"/>
          <w:sz w:val="18"/>
          <w:szCs w:val="18"/>
        </w:rPr>
        <w:footnoteRef/>
      </w:r>
      <w:r w:rsidRPr="005621C3">
        <w:rPr>
          <w:color w:val="000000" w:themeColor="text1"/>
          <w:sz w:val="18"/>
          <w:szCs w:val="18"/>
        </w:rPr>
        <w:t xml:space="preserve"> As well highlighted by the then Special Rapporteur on the </w:t>
      </w:r>
      <w:r w:rsidR="00776B58" w:rsidRPr="005621C3">
        <w:rPr>
          <w:color w:val="000000" w:themeColor="text1"/>
          <w:sz w:val="18"/>
          <w:szCs w:val="18"/>
        </w:rPr>
        <w:t>H</w:t>
      </w:r>
      <w:r w:rsidRPr="005621C3">
        <w:rPr>
          <w:color w:val="000000" w:themeColor="text1"/>
          <w:sz w:val="18"/>
          <w:szCs w:val="18"/>
        </w:rPr>
        <w:t xml:space="preserve">uman </w:t>
      </w:r>
      <w:r w:rsidR="00776B58" w:rsidRPr="005621C3">
        <w:rPr>
          <w:color w:val="000000" w:themeColor="text1"/>
          <w:sz w:val="18"/>
          <w:szCs w:val="18"/>
        </w:rPr>
        <w:t>R</w:t>
      </w:r>
      <w:r w:rsidRPr="005621C3">
        <w:rPr>
          <w:color w:val="000000" w:themeColor="text1"/>
          <w:sz w:val="18"/>
          <w:szCs w:val="18"/>
        </w:rPr>
        <w:t xml:space="preserve">ights of </w:t>
      </w:r>
      <w:r w:rsidR="00776B58" w:rsidRPr="005621C3">
        <w:rPr>
          <w:color w:val="000000" w:themeColor="text1"/>
          <w:sz w:val="18"/>
          <w:szCs w:val="18"/>
        </w:rPr>
        <w:t>I</w:t>
      </w:r>
      <w:r w:rsidRPr="005621C3">
        <w:rPr>
          <w:color w:val="000000" w:themeColor="text1"/>
          <w:sz w:val="18"/>
          <w:szCs w:val="18"/>
        </w:rPr>
        <w:t xml:space="preserve">nternally </w:t>
      </w:r>
      <w:r w:rsidR="00776B58" w:rsidRPr="005621C3">
        <w:rPr>
          <w:color w:val="000000" w:themeColor="text1"/>
          <w:sz w:val="18"/>
          <w:szCs w:val="18"/>
        </w:rPr>
        <w:t>D</w:t>
      </w:r>
      <w:r w:rsidRPr="005621C3">
        <w:rPr>
          <w:color w:val="000000" w:themeColor="text1"/>
          <w:sz w:val="18"/>
          <w:szCs w:val="18"/>
        </w:rPr>
        <w:t xml:space="preserve">isplaced </w:t>
      </w:r>
      <w:r w:rsidR="00776B58" w:rsidRPr="005621C3">
        <w:rPr>
          <w:color w:val="000000" w:themeColor="text1"/>
          <w:sz w:val="18"/>
          <w:szCs w:val="18"/>
        </w:rPr>
        <w:t>P</w:t>
      </w:r>
      <w:r w:rsidRPr="005621C3">
        <w:rPr>
          <w:color w:val="000000" w:themeColor="text1"/>
          <w:sz w:val="18"/>
          <w:szCs w:val="18"/>
        </w:rPr>
        <w:t>ersons, Cecilia Jimenez-</w:t>
      </w:r>
      <w:proofErr w:type="spellStart"/>
      <w:r w:rsidRPr="005621C3">
        <w:rPr>
          <w:color w:val="000000" w:themeColor="text1"/>
          <w:sz w:val="18"/>
          <w:szCs w:val="18"/>
        </w:rPr>
        <w:t>Damary</w:t>
      </w:r>
      <w:proofErr w:type="spellEnd"/>
      <w:r w:rsidRPr="005621C3">
        <w:rPr>
          <w:color w:val="000000" w:themeColor="text1"/>
          <w:sz w:val="18"/>
          <w:szCs w:val="18"/>
        </w:rPr>
        <w:t xml:space="preserve">, in the internal displacement in the context of the slow-onset adverse effects of climate change (2020). </w:t>
      </w:r>
    </w:p>
  </w:footnote>
  <w:footnote w:id="13">
    <w:p w14:paraId="5968F2A4" w14:textId="61C1B53D" w:rsidR="00B953CC" w:rsidRPr="005621C3" w:rsidRDefault="00B953CC" w:rsidP="005621C3">
      <w:pPr>
        <w:pStyle w:val="FootnoteText"/>
        <w:jc w:val="both"/>
        <w:rPr>
          <w:color w:val="000000" w:themeColor="text1"/>
          <w:sz w:val="18"/>
          <w:szCs w:val="18"/>
        </w:rPr>
      </w:pPr>
      <w:r w:rsidRPr="005621C3">
        <w:rPr>
          <w:rStyle w:val="FootnoteReference"/>
          <w:color w:val="000000" w:themeColor="text1"/>
          <w:sz w:val="18"/>
          <w:szCs w:val="18"/>
        </w:rPr>
        <w:footnoteRef/>
      </w:r>
      <w:r w:rsidRPr="005621C3">
        <w:rPr>
          <w:color w:val="000000" w:themeColor="text1"/>
          <w:sz w:val="18"/>
          <w:szCs w:val="18"/>
        </w:rPr>
        <w:t xml:space="preserve"> E</w:t>
      </w:r>
      <w:r w:rsidR="00C2597B">
        <w:rPr>
          <w:color w:val="000000" w:themeColor="text1"/>
          <w:sz w:val="18"/>
          <w:szCs w:val="18"/>
        </w:rPr>
        <w:t xml:space="preserve">. </w:t>
      </w:r>
      <w:proofErr w:type="spellStart"/>
      <w:r w:rsidR="00C2597B" w:rsidRPr="00C2597B">
        <w:rPr>
          <w:color w:val="000000" w:themeColor="text1"/>
          <w:sz w:val="18"/>
          <w:szCs w:val="18"/>
        </w:rPr>
        <w:t>Fornalé</w:t>
      </w:r>
      <w:proofErr w:type="spellEnd"/>
      <w:r w:rsidR="00C2597B" w:rsidRPr="00C2597B">
        <w:rPr>
          <w:color w:val="000000" w:themeColor="text1"/>
          <w:sz w:val="18"/>
          <w:szCs w:val="18"/>
        </w:rPr>
        <w:t xml:space="preserve"> and T.</w:t>
      </w:r>
      <w:r w:rsidRPr="005621C3">
        <w:rPr>
          <w:color w:val="000000" w:themeColor="text1"/>
          <w:sz w:val="18"/>
          <w:szCs w:val="18"/>
        </w:rPr>
        <w:t xml:space="preserve"> K</w:t>
      </w:r>
      <w:r w:rsidR="00D43286">
        <w:rPr>
          <w:color w:val="000000" w:themeColor="text1"/>
          <w:sz w:val="18"/>
          <w:szCs w:val="18"/>
        </w:rPr>
        <w:t>oeh</w:t>
      </w:r>
      <w:r w:rsidRPr="005621C3">
        <w:rPr>
          <w:color w:val="000000" w:themeColor="text1"/>
          <w:sz w:val="18"/>
          <w:szCs w:val="18"/>
        </w:rPr>
        <w:t>ler, “Climate change inaction and children rights”, JURIST – Academic Commentary, February 2022.</w:t>
      </w:r>
    </w:p>
  </w:footnote>
  <w:footnote w:id="14">
    <w:p w14:paraId="69479B95" w14:textId="217CC6D5" w:rsidR="000D51E9" w:rsidRPr="005621C3" w:rsidRDefault="000D51E9" w:rsidP="005621C3">
      <w:pPr>
        <w:pStyle w:val="FootnoteText"/>
        <w:jc w:val="both"/>
        <w:rPr>
          <w:i/>
          <w:iCs/>
          <w:color w:val="000000" w:themeColor="text1"/>
          <w:sz w:val="18"/>
          <w:szCs w:val="18"/>
        </w:rPr>
      </w:pPr>
      <w:r w:rsidRPr="005621C3">
        <w:rPr>
          <w:rStyle w:val="FootnoteReference"/>
          <w:color w:val="000000" w:themeColor="text1"/>
          <w:sz w:val="18"/>
          <w:szCs w:val="18"/>
        </w:rPr>
        <w:footnoteRef/>
      </w:r>
      <w:r w:rsidRPr="005621C3">
        <w:rPr>
          <w:color w:val="000000" w:themeColor="text1"/>
          <w:sz w:val="18"/>
          <w:szCs w:val="18"/>
        </w:rPr>
        <w:t xml:space="preserve"> Inter-American Court of Human Rights, </w:t>
      </w:r>
      <w:r w:rsidR="00776B58" w:rsidRPr="005621C3">
        <w:rPr>
          <w:color w:val="000000" w:themeColor="text1"/>
          <w:sz w:val="18"/>
          <w:szCs w:val="18"/>
        </w:rPr>
        <w:t>A</w:t>
      </w:r>
      <w:r w:rsidRPr="005621C3">
        <w:rPr>
          <w:color w:val="000000" w:themeColor="text1"/>
          <w:sz w:val="18"/>
          <w:szCs w:val="18"/>
        </w:rPr>
        <w:t xml:space="preserve">dvisory </w:t>
      </w:r>
      <w:r w:rsidR="00776B58" w:rsidRPr="005621C3">
        <w:rPr>
          <w:color w:val="000000" w:themeColor="text1"/>
          <w:sz w:val="18"/>
          <w:szCs w:val="18"/>
        </w:rPr>
        <w:t>O</w:t>
      </w:r>
      <w:r w:rsidRPr="005621C3">
        <w:rPr>
          <w:color w:val="000000" w:themeColor="text1"/>
          <w:sz w:val="18"/>
          <w:szCs w:val="18"/>
        </w:rPr>
        <w:t xml:space="preserve">pinion No. 23/17 of 15 November 2017, </w:t>
      </w:r>
      <w:r w:rsidRPr="005621C3">
        <w:rPr>
          <w:i/>
          <w:iCs/>
          <w:color w:val="000000" w:themeColor="text1"/>
          <w:sz w:val="18"/>
          <w:szCs w:val="18"/>
        </w:rPr>
        <w:t xml:space="preserve">Medio </w:t>
      </w:r>
      <w:proofErr w:type="spellStart"/>
      <w:r w:rsidRPr="005621C3">
        <w:rPr>
          <w:i/>
          <w:iCs/>
          <w:color w:val="000000" w:themeColor="text1"/>
          <w:sz w:val="18"/>
          <w:szCs w:val="18"/>
        </w:rPr>
        <w:t>ambiente</w:t>
      </w:r>
      <w:proofErr w:type="spellEnd"/>
      <w:r w:rsidRPr="005621C3">
        <w:rPr>
          <w:i/>
          <w:iCs/>
          <w:color w:val="000000" w:themeColor="text1"/>
          <w:sz w:val="18"/>
          <w:szCs w:val="18"/>
        </w:rPr>
        <w:t xml:space="preserve"> y </w:t>
      </w:r>
      <w:proofErr w:type="spellStart"/>
      <w:r w:rsidRPr="005621C3">
        <w:rPr>
          <w:i/>
          <w:iCs/>
          <w:color w:val="000000" w:themeColor="text1"/>
          <w:sz w:val="18"/>
          <w:szCs w:val="18"/>
        </w:rPr>
        <w:t>derechos</w:t>
      </w:r>
      <w:proofErr w:type="spellEnd"/>
      <w:r w:rsidRPr="005621C3">
        <w:rPr>
          <w:i/>
          <w:iCs/>
          <w:color w:val="000000" w:themeColor="text1"/>
          <w:sz w:val="18"/>
          <w:szCs w:val="18"/>
        </w:rPr>
        <w:t xml:space="preserve"> </w:t>
      </w:r>
      <w:proofErr w:type="spellStart"/>
      <w:r w:rsidRPr="005621C3">
        <w:rPr>
          <w:i/>
          <w:iCs/>
          <w:color w:val="000000" w:themeColor="text1"/>
          <w:sz w:val="18"/>
          <w:szCs w:val="18"/>
        </w:rPr>
        <w:t>humanos</w:t>
      </w:r>
      <w:proofErr w:type="spellEnd"/>
      <w:r w:rsidRPr="005621C3">
        <w:rPr>
          <w:i/>
          <w:iCs/>
          <w:color w:val="000000" w:themeColor="text1"/>
          <w:sz w:val="18"/>
          <w:szCs w:val="18"/>
        </w:rPr>
        <w:t xml:space="preserve">. </w:t>
      </w:r>
    </w:p>
  </w:footnote>
  <w:footnote w:id="15">
    <w:p w14:paraId="7B288997" w14:textId="77777777" w:rsidR="000D51E9" w:rsidRPr="005621C3" w:rsidRDefault="000D51E9" w:rsidP="005621C3">
      <w:pPr>
        <w:pStyle w:val="FootnoteText"/>
        <w:jc w:val="both"/>
        <w:rPr>
          <w:color w:val="000000" w:themeColor="text1"/>
          <w:sz w:val="18"/>
          <w:szCs w:val="18"/>
        </w:rPr>
      </w:pPr>
      <w:r w:rsidRPr="005621C3">
        <w:rPr>
          <w:rStyle w:val="FootnoteReference"/>
          <w:color w:val="000000" w:themeColor="text1"/>
          <w:sz w:val="18"/>
          <w:szCs w:val="18"/>
        </w:rPr>
        <w:footnoteRef/>
      </w:r>
      <w:r w:rsidRPr="005621C3">
        <w:rPr>
          <w:color w:val="000000" w:themeColor="text1"/>
          <w:sz w:val="18"/>
          <w:szCs w:val="18"/>
        </w:rPr>
        <w:t xml:space="preserve"> Ibid, para. 102. </w:t>
      </w:r>
    </w:p>
  </w:footnote>
  <w:footnote w:id="16">
    <w:p w14:paraId="46BB8733" w14:textId="4BB81621" w:rsidR="00F67097" w:rsidRPr="005621C3" w:rsidRDefault="00F67097" w:rsidP="005621C3">
      <w:pPr>
        <w:pStyle w:val="FootnoteText"/>
        <w:jc w:val="both"/>
        <w:rPr>
          <w:color w:val="000000" w:themeColor="text1"/>
          <w:sz w:val="18"/>
          <w:szCs w:val="18"/>
        </w:rPr>
      </w:pPr>
      <w:r w:rsidRPr="005621C3">
        <w:rPr>
          <w:rStyle w:val="FootnoteReference"/>
          <w:color w:val="000000" w:themeColor="text1"/>
          <w:sz w:val="18"/>
          <w:szCs w:val="18"/>
        </w:rPr>
        <w:footnoteRef/>
      </w:r>
      <w:r w:rsidRPr="005621C3">
        <w:rPr>
          <w:color w:val="000000" w:themeColor="text1"/>
          <w:sz w:val="18"/>
          <w:szCs w:val="18"/>
        </w:rPr>
        <w:t xml:space="preserve"> </w:t>
      </w:r>
      <w:r w:rsidR="00D43286">
        <w:rPr>
          <w:color w:val="000000" w:themeColor="text1"/>
          <w:sz w:val="18"/>
          <w:szCs w:val="18"/>
        </w:rPr>
        <w:t xml:space="preserve">E. </w:t>
      </w:r>
      <w:proofErr w:type="spellStart"/>
      <w:r w:rsidR="00D43286">
        <w:rPr>
          <w:color w:val="000000" w:themeColor="text1"/>
          <w:sz w:val="18"/>
          <w:szCs w:val="18"/>
        </w:rPr>
        <w:t>Fornalé</w:t>
      </w:r>
      <w:proofErr w:type="spellEnd"/>
      <w:r w:rsidR="00B42F0E" w:rsidRPr="005621C3">
        <w:rPr>
          <w:color w:val="000000" w:themeColor="text1"/>
          <w:sz w:val="18"/>
          <w:szCs w:val="18"/>
        </w:rPr>
        <w:t xml:space="preserve">, ‘Collective </w:t>
      </w:r>
      <w:r w:rsidR="00436753" w:rsidRPr="00436753">
        <w:rPr>
          <w:color w:val="000000" w:themeColor="text1"/>
          <w:sz w:val="18"/>
          <w:szCs w:val="18"/>
        </w:rPr>
        <w:t xml:space="preserve">Action, </w:t>
      </w:r>
      <w:r w:rsidR="00436753">
        <w:rPr>
          <w:color w:val="000000" w:themeColor="text1"/>
          <w:sz w:val="18"/>
          <w:szCs w:val="18"/>
        </w:rPr>
        <w:t>C</w:t>
      </w:r>
      <w:r w:rsidR="00436753" w:rsidRPr="00436753">
        <w:rPr>
          <w:color w:val="000000" w:themeColor="text1"/>
          <w:sz w:val="18"/>
          <w:szCs w:val="18"/>
        </w:rPr>
        <w:t xml:space="preserve">ommon </w:t>
      </w:r>
      <w:r w:rsidR="00436753">
        <w:rPr>
          <w:color w:val="000000" w:themeColor="text1"/>
          <w:sz w:val="18"/>
          <w:szCs w:val="18"/>
        </w:rPr>
        <w:t>C</w:t>
      </w:r>
      <w:r w:rsidR="00436753" w:rsidRPr="00436753">
        <w:rPr>
          <w:color w:val="000000" w:themeColor="text1"/>
          <w:sz w:val="18"/>
          <w:szCs w:val="18"/>
        </w:rPr>
        <w:t xml:space="preserve">oncern and </w:t>
      </w:r>
      <w:r w:rsidR="00436753">
        <w:rPr>
          <w:color w:val="000000" w:themeColor="text1"/>
          <w:sz w:val="18"/>
          <w:szCs w:val="18"/>
        </w:rPr>
        <w:t>C</w:t>
      </w:r>
      <w:r w:rsidR="00436753" w:rsidRPr="00436753">
        <w:rPr>
          <w:color w:val="000000" w:themeColor="text1"/>
          <w:sz w:val="18"/>
          <w:szCs w:val="18"/>
        </w:rPr>
        <w:t>limate-Induced M</w:t>
      </w:r>
      <w:r w:rsidR="00B42F0E" w:rsidRPr="005621C3">
        <w:rPr>
          <w:color w:val="000000" w:themeColor="text1"/>
          <w:sz w:val="18"/>
          <w:szCs w:val="18"/>
        </w:rPr>
        <w:t>igration’, Behrman S. &amp; Kent A. (Eds.) Climate Refugees</w:t>
      </w:r>
      <w:r w:rsidR="00CA2B68">
        <w:rPr>
          <w:color w:val="000000" w:themeColor="text1"/>
          <w:sz w:val="18"/>
          <w:szCs w:val="18"/>
        </w:rPr>
        <w:t>,</w:t>
      </w:r>
      <w:r w:rsidR="00CA2B68" w:rsidRPr="00CA2B68">
        <w:rPr>
          <w:color w:val="000000" w:themeColor="text1"/>
          <w:sz w:val="18"/>
          <w:szCs w:val="18"/>
        </w:rPr>
        <w:t xml:space="preserve"> </w:t>
      </w:r>
      <w:r w:rsidR="00B42F0E" w:rsidRPr="005621C3">
        <w:rPr>
          <w:color w:val="000000" w:themeColor="text1"/>
          <w:sz w:val="18"/>
          <w:szCs w:val="18"/>
        </w:rPr>
        <w:t>Cambridge University Press, 107-127.</w:t>
      </w:r>
    </w:p>
  </w:footnote>
  <w:footnote w:id="17">
    <w:p w14:paraId="7DCA5B53" w14:textId="14F1D391" w:rsidR="00B953CC" w:rsidRPr="005621C3" w:rsidRDefault="00B953CC" w:rsidP="005621C3">
      <w:pPr>
        <w:pStyle w:val="FootnoteText"/>
        <w:jc w:val="both"/>
        <w:rPr>
          <w:color w:val="000000" w:themeColor="text1"/>
          <w:sz w:val="18"/>
          <w:szCs w:val="18"/>
        </w:rPr>
      </w:pPr>
      <w:r w:rsidRPr="005621C3">
        <w:rPr>
          <w:rStyle w:val="FootnoteReference"/>
          <w:color w:val="000000" w:themeColor="text1"/>
          <w:sz w:val="18"/>
          <w:szCs w:val="18"/>
        </w:rPr>
        <w:footnoteRef/>
      </w:r>
      <w:r w:rsidRPr="005621C3">
        <w:rPr>
          <w:color w:val="000000" w:themeColor="text1"/>
          <w:sz w:val="18"/>
          <w:szCs w:val="18"/>
        </w:rPr>
        <w:t xml:space="preserve"> </w:t>
      </w:r>
      <w:r w:rsidR="00B65EDB">
        <w:rPr>
          <w:color w:val="000000" w:themeColor="text1"/>
          <w:sz w:val="18"/>
          <w:szCs w:val="18"/>
        </w:rPr>
        <w:t xml:space="preserve">O. De </w:t>
      </w:r>
      <w:proofErr w:type="spellStart"/>
      <w:r w:rsidR="00B65EDB">
        <w:rPr>
          <w:color w:val="000000" w:themeColor="text1"/>
          <w:sz w:val="18"/>
          <w:szCs w:val="18"/>
        </w:rPr>
        <w:t>Schutter</w:t>
      </w:r>
      <w:proofErr w:type="spellEnd"/>
      <w:r w:rsidR="00B65EDB">
        <w:rPr>
          <w:color w:val="000000" w:themeColor="text1"/>
          <w:sz w:val="18"/>
          <w:szCs w:val="18"/>
        </w:rPr>
        <w:t xml:space="preserve"> </w:t>
      </w:r>
      <w:r w:rsidR="001D49B2">
        <w:rPr>
          <w:color w:val="000000" w:themeColor="text1"/>
          <w:sz w:val="18"/>
          <w:szCs w:val="18"/>
        </w:rPr>
        <w:t>(2021)</w:t>
      </w:r>
      <w:r w:rsidR="001E24D2">
        <w:rPr>
          <w:color w:val="000000" w:themeColor="text1"/>
          <w:sz w:val="18"/>
          <w:szCs w:val="18"/>
        </w:rPr>
        <w:t xml:space="preserve">, </w:t>
      </w:r>
      <w:r w:rsidR="00D43286">
        <w:rPr>
          <w:color w:val="000000" w:themeColor="text1"/>
          <w:sz w:val="18"/>
          <w:szCs w:val="18"/>
        </w:rPr>
        <w:t>“</w:t>
      </w:r>
      <w:r w:rsidR="001E24D2">
        <w:rPr>
          <w:color w:val="000000" w:themeColor="text1"/>
          <w:sz w:val="18"/>
          <w:szCs w:val="18"/>
        </w:rPr>
        <w:t xml:space="preserve">A Duty to Negotiate in Good Faith as Part of the Duty to Cooperate to Establish ‘An International Legal Order in Which Human Rights Can Be Fully </w:t>
      </w:r>
      <w:r w:rsidR="00C2597B">
        <w:rPr>
          <w:color w:val="000000" w:themeColor="text1"/>
          <w:sz w:val="18"/>
          <w:szCs w:val="18"/>
        </w:rPr>
        <w:t>Realized</w:t>
      </w:r>
      <w:r w:rsidR="001E24D2">
        <w:rPr>
          <w:color w:val="000000" w:themeColor="text1"/>
          <w:sz w:val="18"/>
          <w:szCs w:val="18"/>
        </w:rPr>
        <w:t xml:space="preserve">”, in </w:t>
      </w:r>
      <w:proofErr w:type="spellStart"/>
      <w:r w:rsidR="001E24D2">
        <w:rPr>
          <w:color w:val="000000" w:themeColor="text1"/>
          <w:sz w:val="18"/>
          <w:szCs w:val="18"/>
        </w:rPr>
        <w:t>Bhuta</w:t>
      </w:r>
      <w:proofErr w:type="spellEnd"/>
      <w:r w:rsidR="001E24D2">
        <w:rPr>
          <w:color w:val="000000" w:themeColor="text1"/>
          <w:sz w:val="18"/>
          <w:szCs w:val="18"/>
        </w:rPr>
        <w:t xml:space="preserve"> et al. (eds</w:t>
      </w:r>
      <w:r w:rsidR="00483A4F">
        <w:rPr>
          <w:color w:val="000000" w:themeColor="text1"/>
          <w:sz w:val="18"/>
          <w:szCs w:val="18"/>
        </w:rPr>
        <w:t>.</w:t>
      </w:r>
      <w:r w:rsidR="001E24D2">
        <w:rPr>
          <w:color w:val="000000" w:themeColor="text1"/>
          <w:sz w:val="18"/>
          <w:szCs w:val="18"/>
        </w:rPr>
        <w:t>)</w:t>
      </w:r>
      <w:r w:rsidR="00D43286">
        <w:rPr>
          <w:color w:val="000000" w:themeColor="text1"/>
          <w:sz w:val="18"/>
          <w:szCs w:val="18"/>
        </w:rPr>
        <w:t>,</w:t>
      </w:r>
      <w:r w:rsidR="001E24D2">
        <w:rPr>
          <w:color w:val="000000" w:themeColor="text1"/>
          <w:sz w:val="18"/>
          <w:szCs w:val="18"/>
        </w:rPr>
        <w:t xml:space="preserve"> </w:t>
      </w:r>
      <w:r w:rsidR="001E24D2" w:rsidRPr="00D43286">
        <w:rPr>
          <w:i/>
          <w:color w:val="000000" w:themeColor="text1"/>
          <w:sz w:val="18"/>
          <w:szCs w:val="18"/>
        </w:rPr>
        <w:t>The Struggle for Human Rights</w:t>
      </w:r>
      <w:r w:rsidR="001E24D2">
        <w:rPr>
          <w:color w:val="000000" w:themeColor="text1"/>
          <w:sz w:val="18"/>
          <w:szCs w:val="18"/>
        </w:rPr>
        <w:t>, Oxford University Press.</w:t>
      </w:r>
    </w:p>
  </w:footnote>
  <w:footnote w:id="18">
    <w:p w14:paraId="2CBD2C11" w14:textId="7A509209" w:rsidR="00A35473" w:rsidRPr="005621C3" w:rsidRDefault="00A35473">
      <w:pPr>
        <w:pStyle w:val="FootnoteText"/>
        <w:rPr>
          <w:sz w:val="18"/>
          <w:szCs w:val="18"/>
        </w:rPr>
      </w:pPr>
      <w:r w:rsidRPr="005621C3">
        <w:rPr>
          <w:rStyle w:val="FootnoteReference"/>
          <w:sz w:val="18"/>
          <w:szCs w:val="18"/>
        </w:rPr>
        <w:footnoteRef/>
      </w:r>
      <w:r w:rsidRPr="005621C3">
        <w:rPr>
          <w:sz w:val="18"/>
          <w:szCs w:val="18"/>
        </w:rPr>
        <w:t xml:space="preserve"> CESCR, General Comment n.12, E/C.12995/, para 36 ‘consider the development of further international legal instruments to that end (to comply with the right to food).</w:t>
      </w:r>
    </w:p>
  </w:footnote>
  <w:footnote w:id="19">
    <w:p w14:paraId="3A16EFDD" w14:textId="4185D31F" w:rsidR="00FD193F" w:rsidRPr="00A35473" w:rsidRDefault="00FD193F" w:rsidP="00FD193F">
      <w:pPr>
        <w:pStyle w:val="FootnoteText"/>
        <w:jc w:val="both"/>
        <w:rPr>
          <w:color w:val="000000" w:themeColor="text1"/>
          <w:sz w:val="18"/>
          <w:szCs w:val="18"/>
        </w:rPr>
      </w:pPr>
      <w:r w:rsidRPr="00A35473">
        <w:rPr>
          <w:rStyle w:val="FootnoteReference"/>
          <w:color w:val="000000" w:themeColor="text1"/>
          <w:sz w:val="18"/>
          <w:szCs w:val="18"/>
        </w:rPr>
        <w:footnoteRef/>
      </w:r>
      <w:r w:rsidRPr="00A35473">
        <w:rPr>
          <w:color w:val="000000" w:themeColor="text1"/>
          <w:sz w:val="18"/>
          <w:szCs w:val="18"/>
        </w:rPr>
        <w:t xml:space="preserve"> </w:t>
      </w:r>
      <w:r w:rsidR="00BB5485" w:rsidRPr="00411585">
        <w:rPr>
          <w:color w:val="000000" w:themeColor="text1"/>
          <w:sz w:val="18"/>
          <w:szCs w:val="18"/>
        </w:rPr>
        <w:t>CRC, General Comment No. 5</w:t>
      </w:r>
      <w:r w:rsidR="00411585">
        <w:rPr>
          <w:color w:val="000000" w:themeColor="text1"/>
          <w:sz w:val="18"/>
          <w:szCs w:val="18"/>
        </w:rPr>
        <w:t xml:space="preserve">, </w:t>
      </w:r>
      <w:r w:rsidR="00BB5485" w:rsidRPr="00411585">
        <w:rPr>
          <w:color w:val="000000" w:themeColor="text1"/>
          <w:sz w:val="18"/>
          <w:szCs w:val="18"/>
        </w:rPr>
        <w:t xml:space="preserve">CCGC/2003/5, para. </w:t>
      </w:r>
      <w:proofErr w:type="gramStart"/>
      <w:r w:rsidR="00BB5485" w:rsidRPr="00411585">
        <w:rPr>
          <w:color w:val="000000" w:themeColor="text1"/>
          <w:sz w:val="18"/>
          <w:szCs w:val="18"/>
        </w:rPr>
        <w:t>5</w:t>
      </w:r>
      <w:proofErr w:type="gramEnd"/>
      <w:r w:rsidR="00853124" w:rsidRPr="00411585">
        <w:rPr>
          <w:color w:val="000000" w:themeColor="text1"/>
          <w:sz w:val="18"/>
          <w:szCs w:val="18"/>
        </w:rPr>
        <w:t>;</w:t>
      </w:r>
      <w:r w:rsidR="00BB5485" w:rsidRPr="00411585">
        <w:rPr>
          <w:color w:val="000000" w:themeColor="text1"/>
          <w:sz w:val="18"/>
          <w:szCs w:val="18"/>
        </w:rPr>
        <w:t xml:space="preserve"> See also </w:t>
      </w:r>
      <w:r w:rsidR="00BB5485" w:rsidRPr="00CA2B68">
        <w:rPr>
          <w:color w:val="000000" w:themeColor="text1"/>
          <w:sz w:val="18"/>
          <w:szCs w:val="18"/>
        </w:rPr>
        <w:t>the</w:t>
      </w:r>
      <w:r w:rsidRPr="00CA2B68">
        <w:rPr>
          <w:color w:val="000000" w:themeColor="text1"/>
          <w:sz w:val="18"/>
          <w:szCs w:val="18"/>
        </w:rPr>
        <w:t xml:space="preserve"> CESCR, General Comment No. 25 (2020) on Science and Economic, Social and Cultural Rights (</w:t>
      </w:r>
      <w:r w:rsidR="00A35473" w:rsidRPr="00A35473">
        <w:rPr>
          <w:color w:val="000000" w:themeColor="text1"/>
          <w:sz w:val="18"/>
          <w:szCs w:val="18"/>
        </w:rPr>
        <w:t>to encourage</w:t>
      </w:r>
      <w:r w:rsidRPr="00A35473">
        <w:rPr>
          <w:color w:val="000000" w:themeColor="text1"/>
          <w:sz w:val="18"/>
          <w:szCs w:val="18"/>
        </w:rPr>
        <w:t xml:space="preserve"> the adoption of multilateral agreements to prevent risks from materializing or to mitigate the effects of climate change, loss of biodiv</w:t>
      </w:r>
      <w:r w:rsidR="00A35473" w:rsidRPr="00A35473">
        <w:rPr>
          <w:color w:val="000000" w:themeColor="text1"/>
          <w:sz w:val="18"/>
          <w:szCs w:val="18"/>
        </w:rPr>
        <w:t>ersity, among others (para. 81).</w:t>
      </w:r>
      <w:r w:rsidRPr="00A35473">
        <w:rPr>
          <w:color w:val="000000" w:themeColor="text1"/>
          <w:sz w:val="18"/>
          <w:szCs w:val="18"/>
        </w:rPr>
        <w:t xml:space="preserve"> </w:t>
      </w:r>
    </w:p>
  </w:footnote>
  <w:footnote w:id="20">
    <w:p w14:paraId="332252B9" w14:textId="3FD06402" w:rsidR="00B849BE" w:rsidRPr="000D5904" w:rsidRDefault="00B849BE" w:rsidP="00B849BE">
      <w:pPr>
        <w:pStyle w:val="FootnoteText"/>
        <w:jc w:val="both"/>
        <w:rPr>
          <w:color w:val="000000" w:themeColor="text1"/>
          <w:sz w:val="18"/>
          <w:szCs w:val="18"/>
        </w:rPr>
      </w:pPr>
      <w:r w:rsidRPr="00A35473">
        <w:rPr>
          <w:rStyle w:val="FootnoteReference"/>
          <w:color w:val="000000" w:themeColor="text1"/>
          <w:sz w:val="18"/>
          <w:szCs w:val="18"/>
        </w:rPr>
        <w:footnoteRef/>
      </w:r>
      <w:r w:rsidRPr="00A35473">
        <w:rPr>
          <w:color w:val="000000" w:themeColor="text1"/>
          <w:sz w:val="18"/>
          <w:szCs w:val="18"/>
        </w:rPr>
        <w:t xml:space="preserve"> International Law Commission (ILC)</w:t>
      </w:r>
      <w:r w:rsidR="00411585">
        <w:rPr>
          <w:color w:val="000000" w:themeColor="text1"/>
          <w:sz w:val="18"/>
          <w:szCs w:val="18"/>
        </w:rPr>
        <w:t>,</w:t>
      </w:r>
      <w:r w:rsidRPr="00A35473">
        <w:rPr>
          <w:color w:val="000000" w:themeColor="text1"/>
          <w:sz w:val="18"/>
          <w:szCs w:val="18"/>
        </w:rPr>
        <w:t xml:space="preserve"> (2013). Sixth Report on the protection of persons in the event of disaster</w:t>
      </w:r>
      <w:r w:rsidRPr="00411585">
        <w:rPr>
          <w:color w:val="000000" w:themeColor="text1"/>
          <w:sz w:val="18"/>
          <w:szCs w:val="18"/>
        </w:rPr>
        <w:t>s, (A/CN.4/662).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A1B05" w14:textId="5A0869B2" w:rsidR="00AD71F9" w:rsidRDefault="00AD71F9">
    <w:pPr>
      <w:pStyle w:val="Header"/>
    </w:pPr>
    <w:r>
      <w:rPr>
        <w:noProof/>
        <w:lang w:eastAsia="de-CH"/>
      </w:rPr>
      <w:drawing>
        <wp:anchor distT="0" distB="0" distL="114300" distR="114300" simplePos="0" relativeHeight="251659264" behindDoc="0" locked="0" layoutInCell="1" allowOverlap="1" wp14:anchorId="0FCBACB5" wp14:editId="1A763F9C">
          <wp:simplePos x="0" y="0"/>
          <wp:positionH relativeFrom="margin">
            <wp:posOffset>0</wp:posOffset>
          </wp:positionH>
          <wp:positionV relativeFrom="paragraph">
            <wp:posOffset>-256235</wp:posOffset>
          </wp:positionV>
          <wp:extent cx="717580" cy="540000"/>
          <wp:effectExtent l="0" t="0" r="6350" b="0"/>
          <wp:wrapNone/>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80" cy="5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36545"/>
    <w:multiLevelType w:val="hybridMultilevel"/>
    <w:tmpl w:val="5D5AA232"/>
    <w:lvl w:ilvl="0" w:tplc="31FABEC0">
      <w:start w:val="11"/>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77252473"/>
    <w:multiLevelType w:val="hybridMultilevel"/>
    <w:tmpl w:val="FE105EAA"/>
    <w:lvl w:ilvl="0" w:tplc="ED94078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3C9"/>
    <w:rsid w:val="00020273"/>
    <w:rsid w:val="00024AB5"/>
    <w:rsid w:val="00043058"/>
    <w:rsid w:val="000C5E53"/>
    <w:rsid w:val="000D51E9"/>
    <w:rsid w:val="000F6767"/>
    <w:rsid w:val="00110F7F"/>
    <w:rsid w:val="00125395"/>
    <w:rsid w:val="001928F5"/>
    <w:rsid w:val="001C4E10"/>
    <w:rsid w:val="001D49B2"/>
    <w:rsid w:val="001E24D2"/>
    <w:rsid w:val="001F676E"/>
    <w:rsid w:val="00203F1C"/>
    <w:rsid w:val="002245A8"/>
    <w:rsid w:val="002373E1"/>
    <w:rsid w:val="002400F9"/>
    <w:rsid w:val="00255553"/>
    <w:rsid w:val="002643EF"/>
    <w:rsid w:val="00271D7A"/>
    <w:rsid w:val="00296C56"/>
    <w:rsid w:val="002B0746"/>
    <w:rsid w:val="002C026E"/>
    <w:rsid w:val="002D16BE"/>
    <w:rsid w:val="002E06EE"/>
    <w:rsid w:val="002E6A88"/>
    <w:rsid w:val="002F6D57"/>
    <w:rsid w:val="0030531A"/>
    <w:rsid w:val="00347262"/>
    <w:rsid w:val="00390257"/>
    <w:rsid w:val="003A0E51"/>
    <w:rsid w:val="003A165E"/>
    <w:rsid w:val="003A5BB0"/>
    <w:rsid w:val="003A6506"/>
    <w:rsid w:val="003B56F5"/>
    <w:rsid w:val="003D0E39"/>
    <w:rsid w:val="00411585"/>
    <w:rsid w:val="00436753"/>
    <w:rsid w:val="00443B12"/>
    <w:rsid w:val="00445169"/>
    <w:rsid w:val="00446F58"/>
    <w:rsid w:val="004616A9"/>
    <w:rsid w:val="00483A4F"/>
    <w:rsid w:val="004949C1"/>
    <w:rsid w:val="0049592F"/>
    <w:rsid w:val="00497383"/>
    <w:rsid w:val="004A15C9"/>
    <w:rsid w:val="004B19AE"/>
    <w:rsid w:val="004C54C1"/>
    <w:rsid w:val="004E3C9C"/>
    <w:rsid w:val="004F2261"/>
    <w:rsid w:val="004F7BB3"/>
    <w:rsid w:val="005101A7"/>
    <w:rsid w:val="00544D11"/>
    <w:rsid w:val="005536EF"/>
    <w:rsid w:val="005619BB"/>
    <w:rsid w:val="00561DAB"/>
    <w:rsid w:val="005621C3"/>
    <w:rsid w:val="00597461"/>
    <w:rsid w:val="005A1367"/>
    <w:rsid w:val="005B4668"/>
    <w:rsid w:val="005E684A"/>
    <w:rsid w:val="006018E1"/>
    <w:rsid w:val="00632D2E"/>
    <w:rsid w:val="00637F36"/>
    <w:rsid w:val="00653D3B"/>
    <w:rsid w:val="00656643"/>
    <w:rsid w:val="00657F19"/>
    <w:rsid w:val="00673392"/>
    <w:rsid w:val="006764CA"/>
    <w:rsid w:val="00676C85"/>
    <w:rsid w:val="0068622B"/>
    <w:rsid w:val="00697B4D"/>
    <w:rsid w:val="006B5DD3"/>
    <w:rsid w:val="006C0C6A"/>
    <w:rsid w:val="006C2F69"/>
    <w:rsid w:val="0070517A"/>
    <w:rsid w:val="00706F0C"/>
    <w:rsid w:val="00707983"/>
    <w:rsid w:val="007254BA"/>
    <w:rsid w:val="00766A92"/>
    <w:rsid w:val="0077208A"/>
    <w:rsid w:val="00776B58"/>
    <w:rsid w:val="00777E0F"/>
    <w:rsid w:val="00785740"/>
    <w:rsid w:val="007B2703"/>
    <w:rsid w:val="007B69D5"/>
    <w:rsid w:val="007B6ACA"/>
    <w:rsid w:val="007D1D1C"/>
    <w:rsid w:val="007D2096"/>
    <w:rsid w:val="00813DD3"/>
    <w:rsid w:val="00836B60"/>
    <w:rsid w:val="00853124"/>
    <w:rsid w:val="00854549"/>
    <w:rsid w:val="00861849"/>
    <w:rsid w:val="008656FB"/>
    <w:rsid w:val="008A1F22"/>
    <w:rsid w:val="008A22B7"/>
    <w:rsid w:val="008B4CF7"/>
    <w:rsid w:val="00920813"/>
    <w:rsid w:val="0092718D"/>
    <w:rsid w:val="0093595D"/>
    <w:rsid w:val="009455BC"/>
    <w:rsid w:val="00953E74"/>
    <w:rsid w:val="009C2727"/>
    <w:rsid w:val="009C3750"/>
    <w:rsid w:val="009C6F4D"/>
    <w:rsid w:val="009D5E45"/>
    <w:rsid w:val="009E3110"/>
    <w:rsid w:val="00A17E39"/>
    <w:rsid w:val="00A24917"/>
    <w:rsid w:val="00A3432A"/>
    <w:rsid w:val="00A35473"/>
    <w:rsid w:val="00A60259"/>
    <w:rsid w:val="00A67019"/>
    <w:rsid w:val="00A97830"/>
    <w:rsid w:val="00AA105D"/>
    <w:rsid w:val="00AA264E"/>
    <w:rsid w:val="00AA744D"/>
    <w:rsid w:val="00AC4094"/>
    <w:rsid w:val="00AD5065"/>
    <w:rsid w:val="00AD71F9"/>
    <w:rsid w:val="00B01346"/>
    <w:rsid w:val="00B2584B"/>
    <w:rsid w:val="00B35F1F"/>
    <w:rsid w:val="00B4061F"/>
    <w:rsid w:val="00B42F0E"/>
    <w:rsid w:val="00B50E07"/>
    <w:rsid w:val="00B65EDB"/>
    <w:rsid w:val="00B72305"/>
    <w:rsid w:val="00B75EBB"/>
    <w:rsid w:val="00B849BE"/>
    <w:rsid w:val="00B85F29"/>
    <w:rsid w:val="00B86CA5"/>
    <w:rsid w:val="00B91749"/>
    <w:rsid w:val="00B953CC"/>
    <w:rsid w:val="00BA4674"/>
    <w:rsid w:val="00BB5485"/>
    <w:rsid w:val="00C12FFB"/>
    <w:rsid w:val="00C23E29"/>
    <w:rsid w:val="00C2597B"/>
    <w:rsid w:val="00C60369"/>
    <w:rsid w:val="00C65475"/>
    <w:rsid w:val="00C676B6"/>
    <w:rsid w:val="00C869C7"/>
    <w:rsid w:val="00CA1974"/>
    <w:rsid w:val="00CA2B68"/>
    <w:rsid w:val="00CC6A15"/>
    <w:rsid w:val="00CE6E83"/>
    <w:rsid w:val="00D158EF"/>
    <w:rsid w:val="00D20FD2"/>
    <w:rsid w:val="00D25861"/>
    <w:rsid w:val="00D4170B"/>
    <w:rsid w:val="00D43286"/>
    <w:rsid w:val="00D45287"/>
    <w:rsid w:val="00D54551"/>
    <w:rsid w:val="00D72D3C"/>
    <w:rsid w:val="00D80C47"/>
    <w:rsid w:val="00D80D90"/>
    <w:rsid w:val="00D93F9E"/>
    <w:rsid w:val="00DB22C2"/>
    <w:rsid w:val="00DB6CFE"/>
    <w:rsid w:val="00DF198C"/>
    <w:rsid w:val="00E10616"/>
    <w:rsid w:val="00E17995"/>
    <w:rsid w:val="00E51B4C"/>
    <w:rsid w:val="00E63C67"/>
    <w:rsid w:val="00EA6A3D"/>
    <w:rsid w:val="00ED0944"/>
    <w:rsid w:val="00EE464A"/>
    <w:rsid w:val="00F00D7F"/>
    <w:rsid w:val="00F226AC"/>
    <w:rsid w:val="00F22B42"/>
    <w:rsid w:val="00F23BE5"/>
    <w:rsid w:val="00F44E96"/>
    <w:rsid w:val="00F605FC"/>
    <w:rsid w:val="00F67097"/>
    <w:rsid w:val="00F75D1B"/>
    <w:rsid w:val="00F76D70"/>
    <w:rsid w:val="00F77B72"/>
    <w:rsid w:val="00F77DB9"/>
    <w:rsid w:val="00F856FD"/>
    <w:rsid w:val="00F91C60"/>
    <w:rsid w:val="00F9569E"/>
    <w:rsid w:val="00F979CA"/>
    <w:rsid w:val="00FA2EDC"/>
    <w:rsid w:val="00FB0619"/>
    <w:rsid w:val="00FB2E65"/>
    <w:rsid w:val="00FC7F98"/>
    <w:rsid w:val="00FD1350"/>
    <w:rsid w:val="00FD193F"/>
    <w:rsid w:val="00FD5C1C"/>
    <w:rsid w:val="00FE43C9"/>
    <w:rsid w:val="00FF560F"/>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6652B"/>
  <w15:chartTrackingRefBased/>
  <w15:docId w15:val="{EE3FD08E-F386-42F6-BDD4-88EC276D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D80D9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2096"/>
    <w:rPr>
      <w:color w:val="0563C1" w:themeColor="hyperlink"/>
      <w:u w:val="single"/>
    </w:rPr>
  </w:style>
  <w:style w:type="paragraph" w:styleId="Revision">
    <w:name w:val="Revision"/>
    <w:hidden/>
    <w:uiPriority w:val="99"/>
    <w:semiHidden/>
    <w:rsid w:val="0030531A"/>
    <w:pPr>
      <w:spacing w:after="0" w:line="240" w:lineRule="auto"/>
    </w:pPr>
  </w:style>
  <w:style w:type="character" w:styleId="CommentReference">
    <w:name w:val="annotation reference"/>
    <w:basedOn w:val="DefaultParagraphFont"/>
    <w:uiPriority w:val="99"/>
    <w:semiHidden/>
    <w:unhideWhenUsed/>
    <w:rsid w:val="00F22B42"/>
    <w:rPr>
      <w:sz w:val="16"/>
      <w:szCs w:val="16"/>
    </w:rPr>
  </w:style>
  <w:style w:type="paragraph" w:styleId="CommentText">
    <w:name w:val="annotation text"/>
    <w:basedOn w:val="Normal"/>
    <w:link w:val="CommentTextChar"/>
    <w:uiPriority w:val="99"/>
    <w:unhideWhenUsed/>
    <w:rsid w:val="00F22B42"/>
    <w:pPr>
      <w:spacing w:line="240" w:lineRule="auto"/>
    </w:pPr>
    <w:rPr>
      <w:sz w:val="20"/>
      <w:szCs w:val="20"/>
    </w:rPr>
  </w:style>
  <w:style w:type="character" w:customStyle="1" w:styleId="CommentTextChar">
    <w:name w:val="Comment Text Char"/>
    <w:basedOn w:val="DefaultParagraphFont"/>
    <w:link w:val="CommentText"/>
    <w:uiPriority w:val="99"/>
    <w:rsid w:val="00F22B42"/>
    <w:rPr>
      <w:sz w:val="20"/>
      <w:szCs w:val="20"/>
    </w:rPr>
  </w:style>
  <w:style w:type="paragraph" w:styleId="CommentSubject">
    <w:name w:val="annotation subject"/>
    <w:basedOn w:val="CommentText"/>
    <w:next w:val="CommentText"/>
    <w:link w:val="CommentSubjectChar"/>
    <w:uiPriority w:val="99"/>
    <w:semiHidden/>
    <w:unhideWhenUsed/>
    <w:rsid w:val="00F22B42"/>
    <w:rPr>
      <w:b/>
      <w:bCs/>
    </w:rPr>
  </w:style>
  <w:style w:type="character" w:customStyle="1" w:styleId="CommentSubjectChar">
    <w:name w:val="Comment Subject Char"/>
    <w:basedOn w:val="CommentTextChar"/>
    <w:link w:val="CommentSubject"/>
    <w:uiPriority w:val="99"/>
    <w:semiHidden/>
    <w:rsid w:val="00F22B42"/>
    <w:rPr>
      <w:b/>
      <w:bCs/>
      <w:sz w:val="20"/>
      <w:szCs w:val="20"/>
    </w:rPr>
  </w:style>
  <w:style w:type="paragraph" w:styleId="FootnoteText">
    <w:name w:val="footnote text"/>
    <w:aliases w:val="5_G,Footnote Text Char Char,Footnote Text Char1 Char Char,Footnote Text Char Char Char Char,Footnote Text Char1 Char Char1 Char Char,Footnote Text Char Char Char Char1 Char Char"/>
    <w:basedOn w:val="Normal"/>
    <w:link w:val="FootnoteTextChar1"/>
    <w:uiPriority w:val="99"/>
    <w:qFormat/>
    <w:rsid w:val="004A15C9"/>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aliases w:val="5_G Char,Footnote Text Char1 Char,Footnote Text Char Char Char,Footnote Text Char1 Char Char Char,Footnote Text Char Char Char Char Char,Footnote Text Char1 Char Char1 Char Char Char,Footnote Text Char Char Char Char1 Char Char Char"/>
    <w:basedOn w:val="DefaultParagraphFont"/>
    <w:uiPriority w:val="99"/>
    <w:rsid w:val="004A15C9"/>
    <w:rPr>
      <w:sz w:val="20"/>
      <w:szCs w:val="20"/>
    </w:rPr>
  </w:style>
  <w:style w:type="character" w:styleId="FootnoteReference">
    <w:name w:val="footnote reference"/>
    <w:aliases w:val="4_G,Footnotes refss,Footnote Ref,16 Point,Superscript 6 Point,Footnote Refernece,Footnote number,ftref,a Footnote Reference,FZ,Appel note de bas de page,4_G Char,Footnotes refss Char,ftref Char,BVI fnr Char,Ref"/>
    <w:link w:val="BVIfnr"/>
    <w:qFormat/>
    <w:rsid w:val="004A15C9"/>
    <w:rPr>
      <w:rFonts w:cs="Times New Roman"/>
      <w:vertAlign w:val="superscript"/>
    </w:rPr>
  </w:style>
  <w:style w:type="character" w:customStyle="1" w:styleId="FootnoteTextChar1">
    <w:name w:val="Footnote Text Char1"/>
    <w:aliases w:val="5_G Char1,Footnote Text Char Char Char1,Footnote Text Char1 Char Char Char1,Footnote Text Char Char Char Char Char1,Footnote Text Char1 Char Char1 Char Char Char1,Footnote Text Char Char Char Char1 Char Char Char1"/>
    <w:link w:val="FootnoteText"/>
    <w:uiPriority w:val="99"/>
    <w:semiHidden/>
    <w:locked/>
    <w:rsid w:val="004A15C9"/>
    <w:rPr>
      <w:rFonts w:ascii="Times New Roman" w:eastAsia="Times New Roman" w:hAnsi="Times New Roman" w:cs="Times New Roman"/>
      <w:sz w:val="20"/>
      <w:szCs w:val="20"/>
      <w:lang w:val="en-GB" w:eastAsia="en-GB"/>
    </w:rPr>
  </w:style>
  <w:style w:type="paragraph" w:styleId="ListParagraph">
    <w:name w:val="List Paragraph"/>
    <w:basedOn w:val="Normal"/>
    <w:uiPriority w:val="34"/>
    <w:qFormat/>
    <w:rsid w:val="00854549"/>
    <w:pPr>
      <w:ind w:left="720"/>
      <w:contextualSpacing/>
    </w:pPr>
  </w:style>
  <w:style w:type="paragraph" w:styleId="Header">
    <w:name w:val="header"/>
    <w:basedOn w:val="Normal"/>
    <w:link w:val="HeaderChar"/>
    <w:uiPriority w:val="99"/>
    <w:unhideWhenUsed/>
    <w:rsid w:val="00AD71F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71F9"/>
  </w:style>
  <w:style w:type="paragraph" w:styleId="Footer">
    <w:name w:val="footer"/>
    <w:basedOn w:val="Normal"/>
    <w:link w:val="FooterChar"/>
    <w:uiPriority w:val="99"/>
    <w:unhideWhenUsed/>
    <w:rsid w:val="00AD71F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71F9"/>
  </w:style>
  <w:style w:type="paragraph" w:styleId="BalloonText">
    <w:name w:val="Balloon Text"/>
    <w:basedOn w:val="Normal"/>
    <w:link w:val="BalloonTextChar"/>
    <w:uiPriority w:val="99"/>
    <w:semiHidden/>
    <w:unhideWhenUsed/>
    <w:rsid w:val="00D80C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C47"/>
    <w:rPr>
      <w:rFonts w:ascii="Segoe UI" w:hAnsi="Segoe UI" w:cs="Segoe UI"/>
      <w:sz w:val="18"/>
      <w:szCs w:val="18"/>
    </w:rPr>
  </w:style>
  <w:style w:type="character" w:customStyle="1" w:styleId="Heading5Char">
    <w:name w:val="Heading 5 Char"/>
    <w:basedOn w:val="DefaultParagraphFont"/>
    <w:link w:val="Heading5"/>
    <w:uiPriority w:val="9"/>
    <w:semiHidden/>
    <w:rsid w:val="00D80D90"/>
    <w:rPr>
      <w:rFonts w:asciiTheme="majorHAnsi" w:eastAsiaTheme="majorEastAsia" w:hAnsiTheme="majorHAnsi" w:cstheme="majorBidi"/>
      <w:color w:val="2E74B5" w:themeColor="accent1" w:themeShade="BF"/>
    </w:rPr>
  </w:style>
  <w:style w:type="paragraph" w:customStyle="1" w:styleId="BVIfnr">
    <w:name w:val="BVI fnr"/>
    <w:aliases w:val="BVI fnr Car Car,BVI fnr Car,BVI fnr Car Car Car Car,BVI fnr Char Car Car Car,BVI fnr Car Car Car Car Char Char,BVI fnr Car Car Car Car Char Char Char Char Char"/>
    <w:basedOn w:val="Normal"/>
    <w:link w:val="FootnoteReference"/>
    <w:rsid w:val="000D51E9"/>
    <w:pPr>
      <w:spacing w:line="240" w:lineRule="exact"/>
      <w:jc w:val="both"/>
    </w:pPr>
    <w:rPr>
      <w:rFonts w:cs="Times New Roman"/>
      <w:vertAlign w:val="superscript"/>
    </w:rPr>
  </w:style>
  <w:style w:type="character" w:customStyle="1" w:styleId="book-infotitle">
    <w:name w:val="book-info__title"/>
    <w:basedOn w:val="DefaultParagraphFont"/>
    <w:rsid w:val="000D5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54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customXml" Target="../customXml/item2.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devido@unive.i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academic.oup.com/book/2181" TargetMode="External"/><Relationship Id="rId1" Type="http://schemas.openxmlformats.org/officeDocument/2006/relationships/hyperlink" Target="http://www.climco2.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E4E54C00FECB449BAA74D3407365386" ma:contentTypeVersion="14" ma:contentTypeDescription="Opprett et nytt dokument." ma:contentTypeScope="" ma:versionID="3b7e527005488b6acd6f63b575a2ce80">
  <xsd:schema xmlns:xsd="http://www.w3.org/2001/XMLSchema" xmlns:xs="http://www.w3.org/2001/XMLSchema" xmlns:p="http://schemas.microsoft.com/office/2006/metadata/properties" xmlns:ns3="e2620066-0f88-4f8d-9c3b-d7aaa90ef211" xmlns:ns4="0d99abda-1a86-4200-8557-c9842ed95b76" targetNamespace="http://schemas.microsoft.com/office/2006/metadata/properties" ma:root="true" ma:fieldsID="f4665540071fc9f3d9f7270a7979b283" ns3:_="" ns4:_="">
    <xsd:import namespace="e2620066-0f88-4f8d-9c3b-d7aaa90ef211"/>
    <xsd:import namespace="0d99abda-1a86-4200-8557-c9842ed95b7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20066-0f88-4f8d-9c3b-d7aaa90ef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99abda-1a86-4200-8557-c9842ed95b76"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SharingHintHash" ma:index="21"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0369B-4B78-45D2-8031-4A2B19B76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620066-0f88-4f8d-9c3b-d7aaa90ef211"/>
    <ds:schemaRef ds:uri="0d99abda-1a86-4200-8557-c9842ed95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72B412-7980-4FC7-9D0C-7126EF3075D8}">
  <ds:schemaRefs>
    <ds:schemaRef ds:uri="http://schemas.microsoft.com/office/2006/documentManagement/types"/>
    <ds:schemaRef ds:uri="http://purl.org/dc/terms/"/>
    <ds:schemaRef ds:uri="http://schemas.openxmlformats.org/package/2006/metadata/core-properties"/>
    <ds:schemaRef ds:uri="e2620066-0f88-4f8d-9c3b-d7aaa90ef211"/>
    <ds:schemaRef ds:uri="0d99abda-1a86-4200-8557-c9842ed95b76"/>
    <ds:schemaRef ds:uri="http://schemas.microsoft.com/office/infopath/2007/PartnerControls"/>
    <ds:schemaRef ds:uri="http://purl.org/dc/dcmitype/"/>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6855683B-F611-408A-BB3F-1F5B3934F8E5}">
  <ds:schemaRefs>
    <ds:schemaRef ds:uri="http://schemas.microsoft.com/sharepoint/v3/contenttype/forms"/>
  </ds:schemaRefs>
</ds:datastoreItem>
</file>

<file path=customXml/itemProps4.xml><?xml version="1.0" encoding="utf-8"?>
<ds:datastoreItem xmlns:ds="http://schemas.openxmlformats.org/officeDocument/2006/customXml" ds:itemID="{4A2EBC87-BDAC-443A-863B-44951761B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2067</Words>
  <Characters>13023</Characters>
  <Application>Microsoft Office Word</Application>
  <DocSecurity>0</DocSecurity>
  <Lines>108</Lines>
  <Paragraphs>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RWFAKSCCM</Company>
  <LinksUpToDate>false</LinksUpToDate>
  <CharactersWithSpaces>15060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Fornale</dc:creator>
  <cp:keywords/>
  <dc:description/>
  <cp:lastModifiedBy>-</cp:lastModifiedBy>
  <cp:revision>11</cp:revision>
  <dcterms:created xsi:type="dcterms:W3CDTF">2023-02-07T10:39:00Z</dcterms:created>
  <dcterms:modified xsi:type="dcterms:W3CDTF">2023-02-08T08:39:00Z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0x0101002E4E54C00FECB449BAA74D3407365386</vt:lpwstr>
  </property>
</Properties>
</file>