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53C7" w14:textId="77777777" w:rsidR="009E4D0A" w:rsidRPr="008F4F83" w:rsidRDefault="00000000">
      <w:pPr>
        <w:jc w:val="both"/>
        <w:rPr>
          <w:rFonts w:ascii="Lato" w:eastAsia="Lato" w:hAnsi="Lato" w:cs="Lato"/>
          <w:b/>
          <w:color w:val="046B8C"/>
          <w:sz w:val="40"/>
          <w:szCs w:val="40"/>
          <w:lang w:val="en-US"/>
        </w:rPr>
      </w:pPr>
      <w:r w:rsidRPr="008F4F83">
        <w:rPr>
          <w:rFonts w:ascii="Lato" w:eastAsia="Lato" w:hAnsi="Lato" w:cs="Lato"/>
          <w:b/>
          <w:color w:val="046B8C"/>
          <w:sz w:val="40"/>
          <w:szCs w:val="40"/>
          <w:lang w:val="en-US"/>
        </w:rPr>
        <w:t>Submission to the Committee on the Rights of the Child on its Draft General Comment No. 26</w:t>
      </w:r>
    </w:p>
    <w:p w14:paraId="266DAEA5" w14:textId="77777777" w:rsidR="009E4D0A" w:rsidRPr="008F4F83" w:rsidRDefault="009E4D0A">
      <w:pPr>
        <w:jc w:val="both"/>
        <w:rPr>
          <w:rFonts w:ascii="Lato" w:eastAsia="Lato" w:hAnsi="Lato" w:cs="Lato"/>
          <w:color w:val="046B8C"/>
          <w:sz w:val="34"/>
          <w:szCs w:val="34"/>
          <w:lang w:val="en-US"/>
        </w:rPr>
      </w:pPr>
    </w:p>
    <w:p w14:paraId="58D1B001" w14:textId="77777777" w:rsidR="009E4D0A" w:rsidRPr="008F4F83" w:rsidRDefault="00000000">
      <w:pPr>
        <w:jc w:val="both"/>
        <w:rPr>
          <w:rFonts w:ascii="Lato" w:eastAsia="Lato" w:hAnsi="Lato" w:cs="Lato"/>
          <w:color w:val="046B8C"/>
          <w:sz w:val="34"/>
          <w:szCs w:val="34"/>
          <w:lang w:val="en-US"/>
        </w:rPr>
      </w:pPr>
      <w:r w:rsidRPr="008F4F83">
        <w:rPr>
          <w:rFonts w:ascii="Lato" w:eastAsia="Lato" w:hAnsi="Lato" w:cs="Lato"/>
          <w:color w:val="046B8C"/>
          <w:sz w:val="34"/>
          <w:szCs w:val="34"/>
          <w:lang w:val="en-US"/>
        </w:rPr>
        <w:t>Children’s rights and the environment with a special focus on climate change</w:t>
      </w:r>
    </w:p>
    <w:p w14:paraId="7F59FBD0" w14:textId="77777777" w:rsidR="009E4D0A" w:rsidRPr="008F4F83" w:rsidRDefault="009E4D0A">
      <w:pPr>
        <w:jc w:val="both"/>
        <w:rPr>
          <w:rFonts w:ascii="Lato" w:eastAsia="Lato" w:hAnsi="Lato" w:cs="Lato"/>
          <w:i/>
          <w:lang w:val="en-US"/>
        </w:rPr>
      </w:pPr>
    </w:p>
    <w:p w14:paraId="3A1E5885" w14:textId="77777777" w:rsidR="009E4D0A" w:rsidRDefault="00000000">
      <w:pPr>
        <w:jc w:val="both"/>
        <w:rPr>
          <w:rFonts w:ascii="Lato" w:eastAsia="Lato" w:hAnsi="Lato" w:cs="Lato"/>
          <w:i/>
        </w:rPr>
      </w:pPr>
      <w:r>
        <w:rPr>
          <w:rFonts w:ascii="Lato" w:eastAsia="Lato" w:hAnsi="Lato" w:cs="Lato"/>
          <w:i/>
        </w:rPr>
        <w:t>February 2023</w:t>
      </w:r>
    </w:p>
    <w:p w14:paraId="3936A6D5" w14:textId="77777777" w:rsidR="009E4D0A" w:rsidRDefault="009E4D0A">
      <w:pPr>
        <w:jc w:val="both"/>
        <w:rPr>
          <w:rFonts w:ascii="Lato" w:eastAsia="Lato" w:hAnsi="Lato" w:cs="Lato"/>
        </w:rPr>
      </w:pPr>
    </w:p>
    <w:p w14:paraId="00AAFBEB" w14:textId="77777777" w:rsidR="009E4D0A" w:rsidRDefault="00000000">
      <w:pPr>
        <w:numPr>
          <w:ilvl w:val="0"/>
          <w:numId w:val="3"/>
        </w:numPr>
        <w:ind w:left="0" w:firstLine="0"/>
        <w:jc w:val="both"/>
        <w:rPr>
          <w:rFonts w:ascii="Lato" w:eastAsia="Lato" w:hAnsi="Lato" w:cs="Lato"/>
        </w:rPr>
      </w:pPr>
      <w:r w:rsidRPr="008F4F83">
        <w:rPr>
          <w:rFonts w:ascii="Lato" w:eastAsia="Lato" w:hAnsi="Lato" w:cs="Lato"/>
          <w:lang w:val="en-US"/>
        </w:rPr>
        <w:t xml:space="preserve">The Center for International Environmental Law (CIEL) is pleased to submit these written comments to the Committee on the Rights of the Child regarding its draft General Comment No. 26. </w:t>
      </w:r>
      <w:r>
        <w:rPr>
          <w:rFonts w:ascii="Lato" w:eastAsia="Lato" w:hAnsi="Lato" w:cs="Lato"/>
        </w:rPr>
        <w:t xml:space="preserve">We commend the Committee for specifically addressing children’s rights and the environment, with a specific focus on climate change. </w:t>
      </w:r>
    </w:p>
    <w:p w14:paraId="3A8F253D" w14:textId="77777777" w:rsidR="009E4D0A" w:rsidRDefault="009E4D0A">
      <w:pPr>
        <w:jc w:val="both"/>
        <w:rPr>
          <w:rFonts w:ascii="Lato" w:eastAsia="Lato" w:hAnsi="Lato" w:cs="Lato"/>
        </w:rPr>
      </w:pPr>
    </w:p>
    <w:tbl>
      <w:tblPr>
        <w:tblStyle w:val="a"/>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9E4D0A" w14:paraId="75FAF818" w14:textId="77777777">
        <w:tc>
          <w:tcPr>
            <w:tcW w:w="9029" w:type="dxa"/>
            <w:shd w:val="clear" w:color="auto" w:fill="EFEFEF"/>
            <w:tcMar>
              <w:top w:w="100" w:type="dxa"/>
              <w:left w:w="100" w:type="dxa"/>
              <w:bottom w:w="100" w:type="dxa"/>
              <w:right w:w="100" w:type="dxa"/>
            </w:tcMar>
          </w:tcPr>
          <w:p w14:paraId="209457DA"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Given the broad impact of climate change on children’s rights, and the importance of the right to a clean, healthy and sustainable environment, we recommend that the General Comment address certain issues more directly and more strongly. In particular and above all, given the very specific subject of Draft General Comment No. 26, we believe that the Committee should strengthen the section on climate change by providing more explicitly and in a more extensive way an authoritative interpretation of States’ obligations and required actions in relation to all dimensions of climate policies. In particular, given the severity of the climate crisis, we urge the Committee to draw more explicitly from its previous statements and concluding observations regarding the need for States to take all necessary measures to protect children’s rights from adverse impacts resulting from reliance on fossil fuels. Given the limited window of opportunity for States to mitigate the root causes of climate change and to phase out all fossil fuels in a just and equitable manner, the Committee must fully seize the opportunity provided by this General Comment to lay out and articulate related obligations of States.</w:t>
            </w:r>
          </w:p>
        </w:tc>
      </w:tr>
    </w:tbl>
    <w:p w14:paraId="380CAFDF" w14:textId="77777777" w:rsidR="009E4D0A" w:rsidRDefault="009E4D0A">
      <w:pPr>
        <w:jc w:val="both"/>
        <w:rPr>
          <w:rFonts w:ascii="Lato" w:eastAsia="Lato" w:hAnsi="Lato" w:cs="Lato"/>
        </w:rPr>
      </w:pPr>
    </w:p>
    <w:p w14:paraId="59C3E14A"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 xml:space="preserve">More specifically we believe that the General Comment should: (1) articulate States’ obligations under the Convention to protect children’s rights from harms caused by fossil fuels; (2) amend certain references to standards for action in the context of climate change; (3) give a more central position to the right to a clean, healthy and sustainable environment; (4) take into account, when referring to the principle of sustainable development, intergenerational justice as well as planetary boundaries; (5) explicitly mention the rights of future generations of children; (6) address the need to uphold children’s rights in the context of climate-induced loss and damage; (7) clearly recognize children’s freedom of peaceful assembly without any sanctions and political rights; (8) insist on the need for States to terminate investment agreements or investment chapters within trade agreements that limit States’ ability to uphold </w:t>
      </w:r>
      <w:r>
        <w:rPr>
          <w:rFonts w:ascii="Lato" w:eastAsia="Lato" w:hAnsi="Lato" w:cs="Lato"/>
        </w:rPr>
        <w:lastRenderedPageBreak/>
        <w:t>children’s rights; (9) clearly recall businesses’ human and children’s rights obligations; (10) articulate more thoroughly the need for States to protect children from threats posed by toxic pollutants particularly harmful to children; (11) include the principles of non-regression and non-retrogression among the key concepts; and (12) stress the need for climate finance to be provided primarily as grants or other concessional finance.</w:t>
      </w:r>
    </w:p>
    <w:p w14:paraId="4AA6C792" w14:textId="77777777" w:rsidR="009E4D0A" w:rsidRDefault="009E4D0A">
      <w:pPr>
        <w:jc w:val="both"/>
        <w:rPr>
          <w:rFonts w:ascii="Lato" w:eastAsia="Lato" w:hAnsi="Lato" w:cs="Lato"/>
        </w:rPr>
      </w:pPr>
    </w:p>
    <w:p w14:paraId="7B431742" w14:textId="77777777" w:rsidR="009E4D0A" w:rsidRDefault="00000000">
      <w:pPr>
        <w:numPr>
          <w:ilvl w:val="0"/>
          <w:numId w:val="1"/>
        </w:numPr>
        <w:ind w:left="708" w:hanging="708"/>
        <w:jc w:val="both"/>
        <w:rPr>
          <w:rFonts w:ascii="Lato" w:eastAsia="Lato" w:hAnsi="Lato" w:cs="Lato"/>
          <w:b/>
          <w:color w:val="046B8C"/>
          <w:sz w:val="32"/>
          <w:szCs w:val="32"/>
        </w:rPr>
      </w:pPr>
      <w:r>
        <w:rPr>
          <w:rFonts w:ascii="Lato" w:eastAsia="Lato" w:hAnsi="Lato" w:cs="Lato"/>
          <w:b/>
          <w:color w:val="046B8C"/>
          <w:sz w:val="32"/>
          <w:szCs w:val="32"/>
        </w:rPr>
        <w:t>States’ obligations to protect children from harm caused by fossil fuels, including through the rapid, full and equitable phase-out of all fossil fuels</w:t>
      </w:r>
    </w:p>
    <w:p w14:paraId="57E03C68" w14:textId="77777777" w:rsidR="009E4D0A" w:rsidRDefault="009E4D0A">
      <w:pPr>
        <w:jc w:val="both"/>
        <w:rPr>
          <w:rFonts w:ascii="Lato" w:eastAsia="Lato" w:hAnsi="Lato" w:cs="Lato"/>
          <w:b/>
          <w:highlight w:val="green"/>
          <w:u w:val="single"/>
        </w:rPr>
      </w:pPr>
    </w:p>
    <w:p w14:paraId="507A3E51"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We welcome the Draft General Comment No. 26’s call for mitigation of the effects of climate change and the reminder of the risks that climate change poses to children’s rights.</w:t>
      </w:r>
      <w:r>
        <w:rPr>
          <w:rFonts w:ascii="Lato" w:eastAsia="Lato" w:hAnsi="Lato" w:cs="Lato"/>
          <w:vertAlign w:val="superscript"/>
        </w:rPr>
        <w:footnoteReference w:id="1"/>
      </w:r>
      <w:r>
        <w:rPr>
          <w:rFonts w:ascii="Lato" w:eastAsia="Lato" w:hAnsi="Lato" w:cs="Lato"/>
        </w:rPr>
        <w:t xml:space="preserve"> However, the Draft lacks explicit references to the devastating role that fossil fuels play in the current climate crisis and to States’ obligations to take all effective measures to protect Convention rights from the continued dependence on fossil fuels. The focus on mitigation of the effects of climate change elides a critical prerequisite and arguably the best way to minimize further harm: mitigating the causes of climate change, and thereby preventing and mitigating further changes to the climate system &amp; their consequences for people and planet. Para 99 states: "The measures set out in this section should be understood as applying both to acts or omissions in relation to the causes and effects of climate change, as well as to the design and implementation of measures through which climate action is pursued." But para 108 focuses solely on mitigating effects: "The Committee calls for collective accelerated actions to use the narrow temporal window of opportunities to mitigate the effects of climate change." It is imperative that any discussion of mitigation focus on mitigating the causes of climate change -- fossil fuels chief among them.</w:t>
      </w:r>
    </w:p>
    <w:p w14:paraId="7CB58FC6" w14:textId="77777777" w:rsidR="009E4D0A" w:rsidRDefault="009E4D0A">
      <w:pPr>
        <w:pBdr>
          <w:top w:val="nil"/>
          <w:left w:val="nil"/>
          <w:bottom w:val="nil"/>
          <w:right w:val="nil"/>
          <w:between w:val="nil"/>
        </w:pBdr>
        <w:jc w:val="both"/>
        <w:rPr>
          <w:rFonts w:ascii="Lato" w:eastAsia="Lato" w:hAnsi="Lato" w:cs="Lato"/>
        </w:rPr>
      </w:pPr>
    </w:p>
    <w:p w14:paraId="5C59A3C7"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Therefore,</w:t>
      </w:r>
      <w:r>
        <w:rPr>
          <w:rFonts w:ascii="Lato" w:eastAsia="Lato" w:hAnsi="Lato" w:cs="Lato"/>
        </w:rPr>
        <w:t xml:space="preserve"> </w:t>
      </w:r>
      <w:r>
        <w:rPr>
          <w:rFonts w:ascii="Lato" w:eastAsia="Lato" w:hAnsi="Lato" w:cs="Lato"/>
          <w:b/>
        </w:rPr>
        <w:t>given the fact that the production and consumption of fossil fuels is responsible for the overwhelming majority of greenhouse gas emissions, the General Comment should explicitly address the need for States, as a matter of their obligations under the CRC, to adopt and implement policies that accelerate the end of reliance on all fossil fuels, through a rapid, full and equitable phase-out of oil, gas, and coal - including through the effective regulation of corporate actors.</w:t>
      </w:r>
    </w:p>
    <w:p w14:paraId="75ECE514" w14:textId="77777777" w:rsidR="009E4D0A" w:rsidRDefault="009E4D0A">
      <w:pPr>
        <w:jc w:val="both"/>
        <w:rPr>
          <w:rFonts w:ascii="Lato" w:eastAsia="Lato" w:hAnsi="Lato" w:cs="Lato"/>
        </w:rPr>
      </w:pPr>
    </w:p>
    <w:p w14:paraId="1C1D1DAA"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Fossil fuels alone were responsible for 91% of the emissions of carbon dioxide in 2022</w:t>
      </w:r>
      <w:r>
        <w:rPr>
          <w:rFonts w:ascii="Lato" w:eastAsia="Lato" w:hAnsi="Lato" w:cs="Lato"/>
          <w:vertAlign w:val="superscript"/>
        </w:rPr>
        <w:footnoteReference w:id="2"/>
      </w:r>
      <w:r>
        <w:rPr>
          <w:rFonts w:ascii="Lato" w:eastAsia="Lato" w:hAnsi="Lato" w:cs="Lato"/>
        </w:rPr>
        <w:t xml:space="preserve"> and CO2 from fossil fuel combustion and industrial processes has contributed to about 78% of the total increase in greenhouse gas emissions between 1970 and 2010.</w:t>
      </w:r>
      <w:r>
        <w:rPr>
          <w:rFonts w:ascii="Lato" w:eastAsia="Lato" w:hAnsi="Lato" w:cs="Lato"/>
          <w:vertAlign w:val="superscript"/>
        </w:rPr>
        <w:footnoteReference w:id="3"/>
      </w:r>
      <w:r>
        <w:rPr>
          <w:rFonts w:ascii="Lato" w:eastAsia="Lato" w:hAnsi="Lato" w:cs="Lato"/>
        </w:rPr>
        <w:t xml:space="preserve"> The current fossil fuel-dominated energy development contributes to the biodiversity crisis, whose impacts on children’s rights are highlighted in the Draft itself, and fossil fuels are part of an industry whose </w:t>
      </w:r>
      <w:r>
        <w:rPr>
          <w:rFonts w:ascii="Lato" w:eastAsia="Lato" w:hAnsi="Lato" w:cs="Lato"/>
        </w:rPr>
        <w:lastRenderedPageBreak/>
        <w:t>products and practices contribute to exposing individuals to toxic and hazardous substances.</w:t>
      </w:r>
      <w:r>
        <w:rPr>
          <w:rFonts w:ascii="Lato" w:eastAsia="Lato" w:hAnsi="Lato" w:cs="Lato"/>
          <w:vertAlign w:val="superscript"/>
        </w:rPr>
        <w:footnoteReference w:id="4"/>
      </w:r>
      <w:r>
        <w:rPr>
          <w:rFonts w:ascii="Lato" w:eastAsia="Lato" w:hAnsi="Lato" w:cs="Lato"/>
        </w:rPr>
        <w:t xml:space="preserve"> That is especially true for children living in surrounding communities close to fossil fuel production sites, refineries, and petrochemical complexes, who are exposed to hazardous chemicals and waste. The disproportionate health effects for children living around petrochemical facilities - in particular those from racial minorities - is well documented.</w:t>
      </w:r>
      <w:r>
        <w:rPr>
          <w:rFonts w:ascii="Lato" w:eastAsia="Lato" w:hAnsi="Lato" w:cs="Lato"/>
          <w:vertAlign w:val="superscript"/>
        </w:rPr>
        <w:footnoteReference w:id="5"/>
      </w:r>
      <w:r>
        <w:rPr>
          <w:rFonts w:ascii="Lato" w:eastAsia="Lato" w:hAnsi="Lato" w:cs="Lato"/>
        </w:rPr>
        <w:t xml:space="preserve"> </w:t>
      </w:r>
    </w:p>
    <w:p w14:paraId="2407BDBA" w14:textId="77777777" w:rsidR="009E4D0A" w:rsidRDefault="009E4D0A">
      <w:pPr>
        <w:jc w:val="both"/>
        <w:rPr>
          <w:rFonts w:ascii="Lato" w:eastAsia="Lato" w:hAnsi="Lato" w:cs="Lato"/>
        </w:rPr>
      </w:pPr>
    </w:p>
    <w:p w14:paraId="58066089"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The Committee has previously recognized the need for States to scale down investments in fossil fuels,</w:t>
      </w:r>
      <w:r>
        <w:rPr>
          <w:rFonts w:ascii="Lato" w:eastAsia="Lato" w:hAnsi="Lato" w:cs="Lato"/>
          <w:vertAlign w:val="superscript"/>
        </w:rPr>
        <w:footnoteReference w:id="6"/>
      </w:r>
      <w:r>
        <w:rPr>
          <w:rFonts w:ascii="Lato" w:eastAsia="Lato" w:hAnsi="Lato" w:cs="Lato"/>
        </w:rPr>
        <w:t xml:space="preserve"> and it has also recommended States to implement regulatory frameworks and energy policies that aim to mitigate the negative impacts of fossil fuels on climate change and thus uphold children’s rights.</w:t>
      </w:r>
      <w:r>
        <w:rPr>
          <w:rFonts w:ascii="Lato" w:eastAsia="Lato" w:hAnsi="Lato" w:cs="Lato"/>
          <w:vertAlign w:val="superscript"/>
        </w:rPr>
        <w:footnoteReference w:id="7"/>
      </w:r>
    </w:p>
    <w:p w14:paraId="07B24B0E" w14:textId="77777777" w:rsidR="009E4D0A" w:rsidRDefault="009E4D0A">
      <w:pPr>
        <w:jc w:val="both"/>
        <w:rPr>
          <w:rFonts w:ascii="Lato" w:eastAsia="Lato" w:hAnsi="Lato" w:cs="Lato"/>
          <w:b/>
        </w:rPr>
      </w:pPr>
    </w:p>
    <w:p w14:paraId="5DF5FF0C"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Consistent with its prior observations, the Committee should explicitly refer to fossil fuels as major contributors to climate change, and as a direct threat to children’s rights. We strongly encourage the Committee to integrate explicit references to the obligations of States to protect childrens’ rights from the adverse effects of the production and consumption of fossil fuels in all relevant sections of the General Comment - including but not limited to the section related to climate mitigation. The General Comment must further articulate the implications of this obligation including by making explicit that the Convention’s obligations require States to act including by taking the following actions:</w:t>
      </w:r>
    </w:p>
    <w:p w14:paraId="41465A95" w14:textId="77777777" w:rsidR="009E4D0A" w:rsidRDefault="00000000">
      <w:pPr>
        <w:numPr>
          <w:ilvl w:val="0"/>
          <w:numId w:val="4"/>
        </w:numPr>
        <w:jc w:val="both"/>
        <w:rPr>
          <w:rFonts w:ascii="Lato" w:eastAsia="Lato" w:hAnsi="Lato" w:cs="Lato"/>
          <w:b/>
        </w:rPr>
      </w:pPr>
      <w:r>
        <w:rPr>
          <w:rFonts w:ascii="Lato" w:eastAsia="Lato" w:hAnsi="Lato" w:cs="Lato"/>
          <w:b/>
        </w:rPr>
        <w:t>halting any new fossil fuel extraction and production projects;</w:t>
      </w:r>
    </w:p>
    <w:p w14:paraId="430DDD32" w14:textId="77777777" w:rsidR="009E4D0A" w:rsidRDefault="00000000">
      <w:pPr>
        <w:numPr>
          <w:ilvl w:val="0"/>
          <w:numId w:val="4"/>
        </w:numPr>
        <w:jc w:val="both"/>
        <w:rPr>
          <w:rFonts w:ascii="Lato" w:eastAsia="Lato" w:hAnsi="Lato" w:cs="Lato"/>
          <w:b/>
        </w:rPr>
      </w:pPr>
      <w:r>
        <w:rPr>
          <w:rFonts w:ascii="Lato" w:eastAsia="Lato" w:hAnsi="Lato" w:cs="Lato"/>
          <w:b/>
        </w:rPr>
        <w:t>phasing out the domestic use of coal, gas and oil for energy production and accelerating the transition to renewable energy;</w:t>
      </w:r>
    </w:p>
    <w:p w14:paraId="05EBA38E" w14:textId="77777777" w:rsidR="009E4D0A" w:rsidRDefault="00000000">
      <w:pPr>
        <w:numPr>
          <w:ilvl w:val="0"/>
          <w:numId w:val="4"/>
        </w:numPr>
        <w:jc w:val="both"/>
        <w:rPr>
          <w:rFonts w:ascii="Lato" w:eastAsia="Lato" w:hAnsi="Lato" w:cs="Lato"/>
          <w:b/>
        </w:rPr>
      </w:pPr>
      <w:r>
        <w:rPr>
          <w:rFonts w:ascii="Lato" w:eastAsia="Lato" w:hAnsi="Lato" w:cs="Lato"/>
          <w:b/>
        </w:rPr>
        <w:t>reviewing any policy with regards to the extraction and export of fossil fuels from the perspective of the adverse impacts on children that unavoidably occur as a consequence of such activities;</w:t>
      </w:r>
    </w:p>
    <w:p w14:paraId="3BEE30A3" w14:textId="77777777" w:rsidR="009E4D0A" w:rsidRDefault="00000000">
      <w:pPr>
        <w:numPr>
          <w:ilvl w:val="0"/>
          <w:numId w:val="4"/>
        </w:numPr>
        <w:jc w:val="both"/>
        <w:rPr>
          <w:rFonts w:ascii="Lato" w:eastAsia="Lato" w:hAnsi="Lato" w:cs="Lato"/>
          <w:b/>
        </w:rPr>
      </w:pPr>
      <w:r>
        <w:rPr>
          <w:rFonts w:ascii="Lato" w:eastAsia="Lato" w:hAnsi="Lato" w:cs="Lato"/>
          <w:b/>
        </w:rPr>
        <w:t>discontinuing financing (directly or indirectly) or other incentives to the fossil fuel-related infrastructure and activities, including petrochemicals;</w:t>
      </w:r>
    </w:p>
    <w:p w14:paraId="3BCCC3F1" w14:textId="77777777" w:rsidR="009E4D0A" w:rsidRDefault="00000000">
      <w:pPr>
        <w:numPr>
          <w:ilvl w:val="0"/>
          <w:numId w:val="4"/>
        </w:numPr>
        <w:jc w:val="both"/>
        <w:rPr>
          <w:rFonts w:ascii="Lato" w:eastAsia="Lato" w:hAnsi="Lato" w:cs="Lato"/>
          <w:b/>
        </w:rPr>
      </w:pPr>
      <w:r>
        <w:rPr>
          <w:rFonts w:ascii="Lato" w:eastAsia="Lato" w:hAnsi="Lato" w:cs="Lato"/>
          <w:b/>
        </w:rPr>
        <w:lastRenderedPageBreak/>
        <w:t>protecting children and their families from the effects of large-scale development projects, such as oil and gas pipelines, resulting, inter alia, in any negative impact on health and the environment; and</w:t>
      </w:r>
    </w:p>
    <w:p w14:paraId="3985CF84" w14:textId="77777777" w:rsidR="009E4D0A" w:rsidRDefault="00000000">
      <w:pPr>
        <w:numPr>
          <w:ilvl w:val="0"/>
          <w:numId w:val="4"/>
        </w:numPr>
        <w:jc w:val="both"/>
        <w:rPr>
          <w:rFonts w:ascii="Lato" w:eastAsia="Lato" w:hAnsi="Lato" w:cs="Lato"/>
          <w:b/>
        </w:rPr>
      </w:pPr>
      <w:r>
        <w:rPr>
          <w:rFonts w:ascii="Lato" w:eastAsia="Lato" w:hAnsi="Lato" w:cs="Lato"/>
          <w:b/>
        </w:rPr>
        <w:t xml:space="preserve">adopting moratorium and siting restrictions close to schools, residences, day care centers, and nursing homes to protect children from the impacts of pesticides and petrochemicals. </w:t>
      </w:r>
    </w:p>
    <w:p w14:paraId="5D76C20F" w14:textId="77777777" w:rsidR="009E4D0A" w:rsidRDefault="009E4D0A">
      <w:pPr>
        <w:jc w:val="both"/>
        <w:rPr>
          <w:rFonts w:ascii="Lato" w:eastAsia="Lato" w:hAnsi="Lato" w:cs="Lato"/>
          <w:b/>
          <w:sz w:val="20"/>
          <w:szCs w:val="20"/>
          <w:u w:val="single"/>
        </w:rPr>
      </w:pPr>
    </w:p>
    <w:p w14:paraId="2FFFA1C0" w14:textId="77777777" w:rsidR="009E4D0A" w:rsidRDefault="00000000">
      <w:pPr>
        <w:numPr>
          <w:ilvl w:val="0"/>
          <w:numId w:val="1"/>
        </w:numPr>
        <w:pBdr>
          <w:top w:val="nil"/>
          <w:left w:val="nil"/>
          <w:bottom w:val="nil"/>
          <w:right w:val="nil"/>
          <w:between w:val="nil"/>
        </w:pBdr>
        <w:jc w:val="both"/>
        <w:rPr>
          <w:rFonts w:ascii="Lato" w:eastAsia="Lato" w:hAnsi="Lato" w:cs="Lato"/>
          <w:b/>
          <w:color w:val="046B8C"/>
          <w:sz w:val="32"/>
          <w:szCs w:val="32"/>
        </w:rPr>
      </w:pPr>
      <w:r>
        <w:rPr>
          <w:rFonts w:ascii="Lato" w:eastAsia="Lato" w:hAnsi="Lato" w:cs="Lato"/>
          <w:b/>
          <w:color w:val="046B8C"/>
          <w:sz w:val="32"/>
          <w:szCs w:val="32"/>
        </w:rPr>
        <w:t>States’ obligations to comply with standards for climate action consistent with the realization of children’s rights</w:t>
      </w:r>
    </w:p>
    <w:p w14:paraId="7CED1697" w14:textId="77777777" w:rsidR="009E4D0A" w:rsidRDefault="009E4D0A">
      <w:pPr>
        <w:jc w:val="both"/>
        <w:rPr>
          <w:rFonts w:ascii="Lato" w:eastAsia="Lato" w:hAnsi="Lato" w:cs="Lato"/>
          <w:b/>
          <w:highlight w:val="magenta"/>
          <w:u w:val="single"/>
        </w:rPr>
      </w:pPr>
    </w:p>
    <w:p w14:paraId="2E88A8E0"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Draft General Comment No. 26 includes a section on States’ obligations</w:t>
      </w:r>
      <w:r>
        <w:rPr>
          <w:rFonts w:ascii="Lato" w:eastAsia="Lato" w:hAnsi="Lato" w:cs="Lato"/>
          <w:vertAlign w:val="superscript"/>
        </w:rPr>
        <w:footnoteReference w:id="8"/>
      </w:r>
      <w:r>
        <w:rPr>
          <w:rFonts w:ascii="Lato" w:eastAsia="Lato" w:hAnsi="Lato" w:cs="Lato"/>
        </w:rPr>
        <w:t xml:space="preserve"> and a section on climate change.</w:t>
      </w:r>
      <w:r>
        <w:rPr>
          <w:rFonts w:ascii="Lato" w:eastAsia="Lato" w:hAnsi="Lato" w:cs="Lato"/>
          <w:vertAlign w:val="superscript"/>
        </w:rPr>
        <w:footnoteReference w:id="9"/>
      </w:r>
      <w:r>
        <w:rPr>
          <w:rFonts w:ascii="Lato" w:eastAsia="Lato" w:hAnsi="Lato" w:cs="Lato"/>
        </w:rPr>
        <w:t xml:space="preserve"> </w:t>
      </w:r>
      <w:r>
        <w:rPr>
          <w:rFonts w:ascii="Lato" w:eastAsia="Lato" w:hAnsi="Lato" w:cs="Lato"/>
          <w:b/>
        </w:rPr>
        <w:t>However</w:t>
      </w:r>
      <w:r>
        <w:rPr>
          <w:rFonts w:ascii="Lato" w:eastAsia="Lato" w:hAnsi="Lato" w:cs="Lato"/>
        </w:rPr>
        <w:t xml:space="preserve">, </w:t>
      </w:r>
      <w:r>
        <w:rPr>
          <w:rFonts w:ascii="Lato" w:eastAsia="Lato" w:hAnsi="Lato" w:cs="Lato"/>
          <w:b/>
        </w:rPr>
        <w:t>we believe that the Draft should use stronger wording when assessing harmful impacts on children’s rights due to climate inaction, and be more straightforward  in calling on States to mitigate climate change.</w:t>
      </w:r>
    </w:p>
    <w:p w14:paraId="4BC36354" w14:textId="77777777" w:rsidR="009E4D0A" w:rsidRDefault="009E4D0A">
      <w:pPr>
        <w:jc w:val="both"/>
        <w:rPr>
          <w:rFonts w:ascii="Lato" w:eastAsia="Lato" w:hAnsi="Lato" w:cs="Lato"/>
          <w:b/>
        </w:rPr>
      </w:pPr>
    </w:p>
    <w:p w14:paraId="21C67212"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It has been recognized that a global increase in temperature of 1.5 °C would pose significant risks to human rights, especially the rights of persons in vulnerable situations,</w:t>
      </w:r>
      <w:r>
        <w:rPr>
          <w:rFonts w:ascii="Lato" w:eastAsia="Lato" w:hAnsi="Lato" w:cs="Lato"/>
          <w:vertAlign w:val="superscript"/>
        </w:rPr>
        <w:footnoteReference w:id="10"/>
      </w:r>
      <w:r>
        <w:rPr>
          <w:rFonts w:ascii="Lato" w:eastAsia="Lato" w:hAnsi="Lato" w:cs="Lato"/>
        </w:rPr>
        <w:t xml:space="preserve"> and that warming beyond 1.5 °C would significantly increase these same risks, to the point where almost half a billion more people might see their rights endangered at 2 °C than at 1.5 °C.</w:t>
      </w:r>
      <w:r>
        <w:rPr>
          <w:rFonts w:ascii="Lato" w:eastAsia="Lato" w:hAnsi="Lato" w:cs="Lato"/>
          <w:vertAlign w:val="superscript"/>
        </w:rPr>
        <w:footnoteReference w:id="11"/>
      </w:r>
      <w:r>
        <w:rPr>
          <w:rFonts w:ascii="Lato" w:eastAsia="Lato" w:hAnsi="Lato" w:cs="Lato"/>
        </w:rPr>
        <w:t xml:space="preserve"> </w:t>
      </w:r>
      <w:r>
        <w:rPr>
          <w:rFonts w:ascii="Lato" w:eastAsia="Lato" w:hAnsi="Lato" w:cs="Lato"/>
          <w:highlight w:val="white"/>
        </w:rPr>
        <w:t>As the IPCC's latest reports have made clear, current levels of warming are already causing permanent loss and damage to human and natural systems, and every additional fraction of a degree increases risks and erodes resilience. Overshooting 1.5°C— even temporarily—will unleash irreversible impacts. Children and future generations will disproportionately bear resultant harm.</w:t>
      </w:r>
      <w:r>
        <w:rPr>
          <w:rFonts w:ascii="Lato" w:eastAsia="Lato" w:hAnsi="Lato" w:cs="Lato"/>
          <w:highlight w:val="white"/>
          <w:vertAlign w:val="superscript"/>
        </w:rPr>
        <w:footnoteReference w:id="12"/>
      </w:r>
      <w:r>
        <w:rPr>
          <w:rFonts w:ascii="Lato" w:eastAsia="Lato" w:hAnsi="Lato" w:cs="Lato"/>
          <w:highlight w:val="white"/>
        </w:rPr>
        <w:t xml:space="preserve">  </w:t>
      </w:r>
    </w:p>
    <w:p w14:paraId="5512ED3C" w14:textId="77777777" w:rsidR="009E4D0A" w:rsidRDefault="009E4D0A">
      <w:pPr>
        <w:jc w:val="both"/>
        <w:rPr>
          <w:rFonts w:ascii="Lato" w:eastAsia="Lato" w:hAnsi="Lato" w:cs="Lato"/>
        </w:rPr>
      </w:pPr>
    </w:p>
    <w:p w14:paraId="522408B0"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Given how crucial it is, in order to protect children’s rights, that States comply with their obligations to prevent and mitigate the root causes of the climate crisis in line with the best available</w:t>
      </w:r>
      <w:r>
        <w:rPr>
          <w:rFonts w:ascii="Lato" w:eastAsia="Lato" w:hAnsi="Lato" w:cs="Lato"/>
        </w:rPr>
        <w:t xml:space="preserve"> </w:t>
      </w:r>
      <w:r>
        <w:rPr>
          <w:rFonts w:ascii="Lato" w:eastAsia="Lato" w:hAnsi="Lato" w:cs="Lato"/>
          <w:b/>
        </w:rPr>
        <w:t>science, we urge the Committee not to make any reference to limiting global warming to well below 2 °C and to refer instead to the imperative, from a children rights perspective, of keeping the increase of global temperatures below 1.5 °C.</w:t>
      </w:r>
    </w:p>
    <w:p w14:paraId="4B6E255F" w14:textId="77777777" w:rsidR="009E4D0A" w:rsidRDefault="009E4D0A">
      <w:pPr>
        <w:jc w:val="both"/>
        <w:rPr>
          <w:rFonts w:ascii="Lato" w:eastAsia="Lato" w:hAnsi="Lato" w:cs="Lato"/>
          <w:b/>
        </w:rPr>
      </w:pPr>
    </w:p>
    <w:p w14:paraId="5B9C9AC1"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Additionally, in order for the General Comment No. 26 to be effective and straightforward, any reference to “net zero emissions,”</w:t>
      </w:r>
      <w:r>
        <w:rPr>
          <w:rFonts w:ascii="Lato" w:eastAsia="Lato" w:hAnsi="Lato" w:cs="Lato"/>
          <w:b/>
          <w:vertAlign w:val="superscript"/>
        </w:rPr>
        <w:footnoteReference w:id="13"/>
      </w:r>
      <w:r>
        <w:rPr>
          <w:rFonts w:ascii="Lato" w:eastAsia="Lato" w:hAnsi="Lato" w:cs="Lato"/>
          <w:b/>
        </w:rPr>
        <w:t xml:space="preserve"> </w:t>
      </w:r>
      <w:r>
        <w:rPr>
          <w:rFonts w:ascii="Lato" w:eastAsia="Lato" w:hAnsi="Lato" w:cs="Lato"/>
        </w:rPr>
        <w:t>“negative emissions,”</w:t>
      </w:r>
      <w:r>
        <w:rPr>
          <w:rFonts w:ascii="Lato" w:eastAsia="Lato" w:hAnsi="Lato" w:cs="Lato"/>
          <w:vertAlign w:val="superscript"/>
        </w:rPr>
        <w:footnoteReference w:id="14"/>
      </w:r>
      <w:r>
        <w:rPr>
          <w:rFonts w:ascii="Lato" w:eastAsia="Lato" w:hAnsi="Lato" w:cs="Lato"/>
        </w:rPr>
        <w:t xml:space="preserve"> as well as all </w:t>
      </w:r>
      <w:r>
        <w:rPr>
          <w:rFonts w:ascii="Lato" w:eastAsia="Lato" w:hAnsi="Lato" w:cs="Lato"/>
        </w:rPr>
        <w:lastRenderedPageBreak/>
        <w:t>language related to “low greenhouse gas emissions”</w:t>
      </w:r>
      <w:r>
        <w:rPr>
          <w:rFonts w:ascii="Lato" w:eastAsia="Lato" w:hAnsi="Lato" w:cs="Lato"/>
          <w:vertAlign w:val="superscript"/>
        </w:rPr>
        <w:footnoteReference w:id="15"/>
      </w:r>
      <w:r>
        <w:rPr>
          <w:rFonts w:ascii="Lato" w:eastAsia="Lato" w:hAnsi="Lato" w:cs="Lato"/>
        </w:rPr>
        <w:t xml:space="preserve"> should be removed as these terms are used by corporate actors to promote ​​</w:t>
      </w:r>
      <w:r>
        <w:rPr>
          <w:rFonts w:ascii="Calibri" w:eastAsia="Calibri" w:hAnsi="Calibri" w:cs="Calibri"/>
          <w:sz w:val="24"/>
          <w:szCs w:val="24"/>
          <w:highlight w:val="white"/>
        </w:rPr>
        <w:t>false claims, ambiguity and ‘greenwash.’</w:t>
      </w:r>
      <w:r>
        <w:rPr>
          <w:rFonts w:ascii="Lato" w:eastAsia="Lato" w:hAnsi="Lato" w:cs="Lato"/>
          <w:vertAlign w:val="superscript"/>
        </w:rPr>
        <w:footnoteReference w:id="16"/>
      </w:r>
      <w:r>
        <w:rPr>
          <w:rFonts w:ascii="Lato" w:eastAsia="Lato" w:hAnsi="Lato" w:cs="Lato"/>
        </w:rPr>
        <w:t xml:space="preserve"> These references should be replaced by a focus on practical policies with foreseeable benefits for the environment and for children rights including the phasing out of fossil fuels, the promotion of renewable energy and energy efficiency, and the restoration of natural ecosystems. As the IPCC has acknowledged, reliance on risky and speculative technologies, unproven at scale, such as engineered carbon dioxide removal could “obstruct near-term emission reduction efforts ... [and] overburden future generations, might evoke new conflicts over equitable burden-sharing, could impact food security, biodiversity or land rights, or might be perceived negatively by stakeholders and broader public audiences," and "might not deliver the intended benefit of removing CO2 durably from the atmosphere.</w:t>
      </w:r>
      <w:r>
        <w:rPr>
          <w:rFonts w:ascii="Lato" w:eastAsia="Lato" w:hAnsi="Lato" w:cs="Lato"/>
          <w:vertAlign w:val="superscript"/>
        </w:rPr>
        <w:footnoteReference w:id="17"/>
      </w:r>
    </w:p>
    <w:p w14:paraId="21E9D7E0" w14:textId="77777777" w:rsidR="009E4D0A" w:rsidRDefault="009E4D0A">
      <w:pPr>
        <w:jc w:val="both"/>
        <w:rPr>
          <w:rFonts w:ascii="Lato" w:eastAsia="Lato" w:hAnsi="Lato" w:cs="Lato"/>
          <w:b/>
        </w:rPr>
      </w:pPr>
    </w:p>
    <w:p w14:paraId="230B6639"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More in detail,</w:t>
      </w:r>
      <w:r>
        <w:rPr>
          <w:rFonts w:ascii="Lato" w:eastAsia="Lato" w:hAnsi="Lato" w:cs="Lato"/>
        </w:rPr>
        <w:t xml:space="preserve"> </w:t>
      </w:r>
      <w:r>
        <w:rPr>
          <w:rFonts w:ascii="Lato" w:eastAsia="Lato" w:hAnsi="Lato" w:cs="Lato"/>
          <w:b/>
        </w:rPr>
        <w:t>we strongly suggest that, in respect of States’ obligations in an environmental and climate context, General Comment No. 26:</w:t>
      </w:r>
    </w:p>
    <w:p w14:paraId="075D54E1" w14:textId="77777777" w:rsidR="009E4D0A" w:rsidRDefault="00000000">
      <w:pPr>
        <w:numPr>
          <w:ilvl w:val="0"/>
          <w:numId w:val="2"/>
        </w:numPr>
        <w:jc w:val="both"/>
        <w:rPr>
          <w:rFonts w:ascii="Lato" w:eastAsia="Lato" w:hAnsi="Lato" w:cs="Lato"/>
          <w:b/>
        </w:rPr>
      </w:pPr>
      <w:r>
        <w:rPr>
          <w:rFonts w:ascii="Lato" w:eastAsia="Lato" w:hAnsi="Lato" w:cs="Lato"/>
          <w:b/>
        </w:rPr>
        <w:t>clarifies, when mentioning States’ obligations to adopt a precautionary approach to environmental decision-making,</w:t>
      </w:r>
      <w:r>
        <w:rPr>
          <w:rFonts w:ascii="Lato" w:eastAsia="Lato" w:hAnsi="Lato" w:cs="Lato"/>
          <w:b/>
          <w:vertAlign w:val="superscript"/>
        </w:rPr>
        <w:footnoteReference w:id="18"/>
      </w:r>
      <w:r>
        <w:rPr>
          <w:rFonts w:ascii="Lato" w:eastAsia="Lato" w:hAnsi="Lato" w:cs="Lato"/>
          <w:b/>
        </w:rPr>
        <w:t xml:space="preserve"> that the likelihood or occurrence of environmental and climate harm to children’s rights is often foreseeable, although its scale and intensity may be uncertain. The same paragraph should call upon States to take “</w:t>
      </w:r>
      <w:r>
        <w:rPr>
          <w:rFonts w:ascii="Lato" w:eastAsia="Lato" w:hAnsi="Lato" w:cs="Lato"/>
          <w:b/>
          <w:u w:val="single"/>
        </w:rPr>
        <w:t>all</w:t>
      </w:r>
      <w:r>
        <w:rPr>
          <w:rFonts w:ascii="Lato" w:eastAsia="Lato" w:hAnsi="Lato" w:cs="Lato"/>
          <w:b/>
        </w:rPr>
        <w:t xml:space="preserve"> effective and proportionate action to prevent environmental harm to children”;</w:t>
      </w:r>
    </w:p>
    <w:p w14:paraId="228DE9BF" w14:textId="77777777" w:rsidR="009E4D0A" w:rsidRDefault="00000000">
      <w:pPr>
        <w:numPr>
          <w:ilvl w:val="0"/>
          <w:numId w:val="2"/>
        </w:numPr>
        <w:jc w:val="both"/>
        <w:rPr>
          <w:rFonts w:ascii="Lato" w:eastAsia="Lato" w:hAnsi="Lato" w:cs="Lato"/>
          <w:b/>
        </w:rPr>
      </w:pPr>
      <w:r>
        <w:rPr>
          <w:rFonts w:ascii="Lato" w:eastAsia="Lato" w:hAnsi="Lato" w:cs="Lato"/>
          <w:b/>
        </w:rPr>
        <w:t>clearly addresses, in the final sentence of paragraph 80, both aspects of the relation between Convention obligations and the commitments of States in relevant international environmental frameworks, thereby addressing:</w:t>
      </w:r>
    </w:p>
    <w:p w14:paraId="394D0C18" w14:textId="77777777" w:rsidR="009E4D0A" w:rsidRDefault="00000000">
      <w:pPr>
        <w:ind w:left="720"/>
        <w:jc w:val="both"/>
        <w:rPr>
          <w:rFonts w:ascii="Lato" w:eastAsia="Lato" w:hAnsi="Lato" w:cs="Lato"/>
          <w:b/>
        </w:rPr>
      </w:pPr>
      <w:r>
        <w:rPr>
          <w:rFonts w:ascii="Lato" w:eastAsia="Lato" w:hAnsi="Lato" w:cs="Lato"/>
          <w:b/>
        </w:rPr>
        <w:t xml:space="preserve">(i) States’ duty to ensure that the environmental and climate standards that they apply are consistent with their national, regional and international obligations in terms of children’s rights, including obligations pursuant to Convention on the Rights of the Child; and </w:t>
      </w:r>
    </w:p>
    <w:p w14:paraId="5BD5C80A" w14:textId="77777777" w:rsidR="009E4D0A" w:rsidRDefault="00000000">
      <w:pPr>
        <w:ind w:left="720"/>
        <w:jc w:val="both"/>
        <w:rPr>
          <w:rFonts w:ascii="Lato" w:eastAsia="Lato" w:hAnsi="Lato" w:cs="Lato"/>
          <w:b/>
        </w:rPr>
      </w:pPr>
      <w:r>
        <w:rPr>
          <w:rFonts w:ascii="Lato" w:eastAsia="Lato" w:hAnsi="Lato" w:cs="Lato"/>
          <w:b/>
        </w:rPr>
        <w:t>(ii) States’ obligation to domestically enforce these environmental and climate standards in order to protect children’s rights from environmental and climate harm;</w:t>
      </w:r>
    </w:p>
    <w:p w14:paraId="336800E0" w14:textId="77777777" w:rsidR="009E4D0A" w:rsidRDefault="00000000">
      <w:pPr>
        <w:numPr>
          <w:ilvl w:val="0"/>
          <w:numId w:val="2"/>
        </w:numPr>
        <w:jc w:val="both"/>
        <w:rPr>
          <w:rFonts w:ascii="Lato" w:eastAsia="Lato" w:hAnsi="Lato" w:cs="Lato"/>
          <w:b/>
        </w:rPr>
      </w:pPr>
      <w:r>
        <w:rPr>
          <w:rFonts w:ascii="Lato" w:eastAsia="Lato" w:hAnsi="Lato" w:cs="Lato"/>
          <w:b/>
        </w:rPr>
        <w:t>does not include the qualifier “more” when talking about environmentally sustainable pathways of production and consumption;</w:t>
      </w:r>
      <w:r>
        <w:rPr>
          <w:rFonts w:ascii="Lato" w:eastAsia="Lato" w:hAnsi="Lato" w:cs="Lato"/>
          <w:b/>
          <w:vertAlign w:val="superscript"/>
        </w:rPr>
        <w:footnoteReference w:id="19"/>
      </w:r>
    </w:p>
    <w:p w14:paraId="37F651AA" w14:textId="77777777" w:rsidR="009E4D0A" w:rsidRDefault="00000000">
      <w:pPr>
        <w:numPr>
          <w:ilvl w:val="0"/>
          <w:numId w:val="2"/>
        </w:numPr>
        <w:jc w:val="both"/>
        <w:rPr>
          <w:rFonts w:ascii="Lato" w:eastAsia="Lato" w:hAnsi="Lato" w:cs="Lato"/>
          <w:b/>
        </w:rPr>
      </w:pPr>
      <w:r>
        <w:rPr>
          <w:rFonts w:ascii="Lato" w:eastAsia="Lato" w:hAnsi="Lato" w:cs="Lato"/>
          <w:b/>
        </w:rPr>
        <w:t xml:space="preserve">adopts a more logical flow to the section on climate change, starting with the importance of mitigating root causes of climate change, then addressing the need for children’s rights to be mainstreamed in adaptation policies and finally addressing the need for States to deal with children’s rights related aspects of loss and damage; </w:t>
      </w:r>
    </w:p>
    <w:p w14:paraId="7FA7BAC0" w14:textId="77777777" w:rsidR="009E4D0A" w:rsidRDefault="00000000">
      <w:pPr>
        <w:numPr>
          <w:ilvl w:val="0"/>
          <w:numId w:val="2"/>
        </w:numPr>
        <w:jc w:val="both"/>
        <w:rPr>
          <w:rFonts w:ascii="Lato" w:eastAsia="Lato" w:hAnsi="Lato" w:cs="Lato"/>
          <w:b/>
        </w:rPr>
      </w:pPr>
      <w:r>
        <w:rPr>
          <w:rFonts w:ascii="Lato" w:eastAsia="Lato" w:hAnsi="Lato" w:cs="Lato"/>
          <w:b/>
        </w:rPr>
        <w:t xml:space="preserve">revise paragraph 111(e) to remove language suggesting that “negative emissions” from carbon dioxide removal constitute a mitigation measure and to make clear that, to “support children in full enjoyment of their environment-related rights in the shortest possible period of time,” States must </w:t>
      </w:r>
      <w:r>
        <w:rPr>
          <w:rFonts w:ascii="Lato" w:eastAsia="Lato" w:hAnsi="Lato" w:cs="Lato"/>
          <w:b/>
          <w:i/>
        </w:rPr>
        <w:t>prioritize</w:t>
      </w:r>
      <w:r>
        <w:rPr>
          <w:rFonts w:ascii="Lato" w:eastAsia="Lato" w:hAnsi="Lato" w:cs="Lato"/>
          <w:b/>
        </w:rPr>
        <w:t xml:space="preserve"> measures to reduce emissions now—principally from fossil fuels—not treat them as a secondary approach; </w:t>
      </w:r>
    </w:p>
    <w:p w14:paraId="60B44957" w14:textId="77777777" w:rsidR="009E4D0A" w:rsidRDefault="00000000">
      <w:pPr>
        <w:numPr>
          <w:ilvl w:val="0"/>
          <w:numId w:val="2"/>
        </w:numPr>
        <w:jc w:val="both"/>
        <w:rPr>
          <w:rFonts w:ascii="Lato" w:eastAsia="Lato" w:hAnsi="Lato" w:cs="Lato"/>
          <w:b/>
        </w:rPr>
      </w:pPr>
      <w:r>
        <w:rPr>
          <w:rFonts w:ascii="Lato" w:eastAsia="Lato" w:hAnsi="Lato" w:cs="Lato"/>
          <w:b/>
        </w:rPr>
        <w:lastRenderedPageBreak/>
        <w:t>deletes the word “consider” from paragraph 112 of the Draft, to directly encourage States to discontinue financial investments that are dangerous for the climate.</w:t>
      </w:r>
    </w:p>
    <w:p w14:paraId="7F6E7687" w14:textId="77777777" w:rsidR="009E4D0A" w:rsidRDefault="009E4D0A">
      <w:pPr>
        <w:jc w:val="both"/>
        <w:rPr>
          <w:rFonts w:ascii="Lato" w:eastAsia="Lato" w:hAnsi="Lato" w:cs="Lato"/>
          <w:b/>
          <w:u w:val="single"/>
        </w:rPr>
      </w:pPr>
    </w:p>
    <w:p w14:paraId="4BC616C6" w14:textId="77777777" w:rsidR="009E4D0A" w:rsidRDefault="00000000">
      <w:pPr>
        <w:numPr>
          <w:ilvl w:val="0"/>
          <w:numId w:val="1"/>
        </w:numPr>
        <w:pBdr>
          <w:top w:val="nil"/>
          <w:left w:val="nil"/>
          <w:bottom w:val="nil"/>
          <w:right w:val="nil"/>
          <w:between w:val="nil"/>
        </w:pBdr>
        <w:jc w:val="both"/>
        <w:rPr>
          <w:rFonts w:ascii="Lato" w:eastAsia="Lato" w:hAnsi="Lato" w:cs="Lato"/>
          <w:b/>
          <w:color w:val="046B8C"/>
          <w:sz w:val="32"/>
          <w:szCs w:val="32"/>
        </w:rPr>
      </w:pPr>
      <w:r>
        <w:rPr>
          <w:rFonts w:ascii="Lato" w:eastAsia="Lato" w:hAnsi="Lato" w:cs="Lato"/>
          <w:b/>
          <w:color w:val="046B8C"/>
          <w:sz w:val="32"/>
          <w:szCs w:val="32"/>
        </w:rPr>
        <w:t>A central position for the right to a clean, healthy and sustainable environment</w:t>
      </w:r>
    </w:p>
    <w:p w14:paraId="09647BFB" w14:textId="77777777" w:rsidR="009E4D0A" w:rsidRDefault="009E4D0A">
      <w:pPr>
        <w:jc w:val="both"/>
        <w:rPr>
          <w:rFonts w:ascii="Lato" w:eastAsia="Lato" w:hAnsi="Lato" w:cs="Lato"/>
          <w:b/>
          <w:u w:val="single"/>
        </w:rPr>
      </w:pPr>
    </w:p>
    <w:p w14:paraId="6EF4FBB0"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We welcome the inclusion of a dedicated section on the right to a clean, healthy and sustainable environment.</w:t>
      </w:r>
      <w:r>
        <w:rPr>
          <w:rFonts w:ascii="Lato" w:eastAsia="Lato" w:hAnsi="Lato" w:cs="Lato"/>
          <w:vertAlign w:val="superscript"/>
        </w:rPr>
        <w:footnoteReference w:id="20"/>
      </w:r>
      <w:r>
        <w:rPr>
          <w:rFonts w:ascii="Lato" w:eastAsia="Lato" w:hAnsi="Lato" w:cs="Lato"/>
        </w:rPr>
        <w:t xml:space="preserve"> </w:t>
      </w:r>
      <w:r>
        <w:rPr>
          <w:rFonts w:ascii="Lato" w:eastAsia="Lato" w:hAnsi="Lato" w:cs="Lato"/>
          <w:b/>
        </w:rPr>
        <w:t xml:space="preserve">However, we believe that the right to a clean, healthy and sustainable environment should occupy a more central position in a General Comment that focuses specifically on children’s rights and the environment, in particular in the context of the recent adoption by the UN Human Rights Council and the UN General Assembly of the resolution recognizing the right to a clean, healthy and sustainable environment, </w:t>
      </w:r>
      <w:r>
        <w:rPr>
          <w:rFonts w:ascii="Lato" w:eastAsia="Lato" w:hAnsi="Lato" w:cs="Lato"/>
        </w:rPr>
        <w:t>specifying that, while everyone feels the impacts of environmental damage, “consequences are felt most acutely by (...) segments of the population that are already in vulnerable situations, including (...) children”.</w:t>
      </w:r>
      <w:r>
        <w:rPr>
          <w:rFonts w:ascii="Lato" w:eastAsia="Lato" w:hAnsi="Lato" w:cs="Lato"/>
          <w:vertAlign w:val="superscript"/>
        </w:rPr>
        <w:footnoteReference w:id="21"/>
      </w:r>
    </w:p>
    <w:p w14:paraId="47686EEC" w14:textId="77777777" w:rsidR="009E4D0A" w:rsidRDefault="009E4D0A">
      <w:pPr>
        <w:jc w:val="both"/>
        <w:rPr>
          <w:rFonts w:ascii="Lato" w:eastAsia="Lato" w:hAnsi="Lato" w:cs="Lato"/>
          <w:b/>
        </w:rPr>
      </w:pPr>
    </w:p>
    <w:p w14:paraId="0C742170"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More than 150 countries around the world grant the right to a clean, healthy and sustainable environment a legal protection.</w:t>
      </w:r>
      <w:r>
        <w:rPr>
          <w:rFonts w:ascii="Lato" w:eastAsia="Lato" w:hAnsi="Lato" w:cs="Lato"/>
          <w:vertAlign w:val="superscript"/>
        </w:rPr>
        <w:footnoteReference w:id="22"/>
      </w:r>
      <w:r>
        <w:rPr>
          <w:rFonts w:ascii="Lato" w:eastAsia="Lato" w:hAnsi="Lato" w:cs="Lato"/>
        </w:rPr>
        <w:t xml:space="preserve"> At the international level, this right has been recognized by the Human Rights Council as crucial “for the enjoyment of human rights”</w:t>
      </w:r>
      <w:r>
        <w:rPr>
          <w:rFonts w:ascii="Lato" w:eastAsia="Lato" w:hAnsi="Lato" w:cs="Lato"/>
          <w:vertAlign w:val="superscript"/>
        </w:rPr>
        <w:footnoteReference w:id="23"/>
      </w:r>
      <w:r>
        <w:rPr>
          <w:rFonts w:ascii="Lato" w:eastAsia="Lato" w:hAnsi="Lato" w:cs="Lato"/>
        </w:rPr>
        <w:t>, including several children’s rights granted under the CRC.</w:t>
      </w:r>
      <w:r>
        <w:rPr>
          <w:rFonts w:ascii="Lato" w:eastAsia="Lato" w:hAnsi="Lato" w:cs="Lato"/>
          <w:vertAlign w:val="superscript"/>
        </w:rPr>
        <w:footnoteReference w:id="24"/>
      </w:r>
      <w:r>
        <w:rPr>
          <w:rFonts w:ascii="Lato" w:eastAsia="Lato" w:hAnsi="Lato" w:cs="Lato"/>
        </w:rPr>
        <w:t xml:space="preserve"> </w:t>
      </w:r>
    </w:p>
    <w:p w14:paraId="5E338706" w14:textId="77777777" w:rsidR="009E4D0A" w:rsidRDefault="009E4D0A">
      <w:pPr>
        <w:jc w:val="both"/>
        <w:rPr>
          <w:rFonts w:ascii="Lato" w:eastAsia="Lato" w:hAnsi="Lato" w:cs="Lato"/>
          <w:b/>
        </w:rPr>
      </w:pPr>
    </w:p>
    <w:p w14:paraId="79CFDA00"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Given the importance of the right to a clean, healthy and sustainable environment, we urge the Committee</w:t>
      </w:r>
      <w:r>
        <w:rPr>
          <w:rFonts w:ascii="Lato" w:eastAsia="Lato" w:hAnsi="Lato" w:cs="Lato"/>
        </w:rPr>
        <w:t xml:space="preserve"> </w:t>
      </w:r>
      <w:r>
        <w:rPr>
          <w:rFonts w:ascii="Lato" w:eastAsia="Lato" w:hAnsi="Lato" w:cs="Lato"/>
          <w:b/>
        </w:rPr>
        <w:t>to explicitly recognize children’s right to a clean, healthy and sustainable environment among children’s rights listed out in paragraph 8 of the Draft General Comment No. 26, and to move Section IV forward in the document Draft.</w:t>
      </w:r>
    </w:p>
    <w:p w14:paraId="35EB36A0"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We also recommend explicitly acknowledging other developments, including at the regional level</w:t>
      </w:r>
      <w:r>
        <w:rPr>
          <w:rFonts w:ascii="Lato" w:eastAsia="Lato" w:hAnsi="Lato" w:cs="Lato"/>
          <w:b/>
          <w:vertAlign w:val="superscript"/>
        </w:rPr>
        <w:footnoteReference w:id="25"/>
      </w:r>
      <w:r>
        <w:rPr>
          <w:rFonts w:ascii="Lato" w:eastAsia="Lato" w:hAnsi="Lato" w:cs="Lato"/>
          <w:b/>
        </w:rPr>
        <w:t xml:space="preserve"> towards the effective recognition and protection of the right to a clean, healthy and sustainable environment. </w:t>
      </w:r>
    </w:p>
    <w:p w14:paraId="1B9B5F16" w14:textId="77777777" w:rsidR="009E4D0A" w:rsidRDefault="009E4D0A">
      <w:pPr>
        <w:jc w:val="both"/>
        <w:rPr>
          <w:rFonts w:ascii="Lato" w:eastAsia="Lato" w:hAnsi="Lato" w:cs="Lato"/>
          <w:b/>
        </w:rPr>
      </w:pPr>
    </w:p>
    <w:p w14:paraId="329B82FE"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In respect of the actions listed in paragraph 73, we believe the Committee could use stronger wording on States’ obligations with regard to each component of children’s right to a clean, healthy and sustainable environment.</w:t>
      </w:r>
      <w:r>
        <w:rPr>
          <w:rFonts w:ascii="Lato" w:eastAsia="Lato" w:hAnsi="Lato" w:cs="Lato"/>
          <w:b/>
          <w:vertAlign w:val="superscript"/>
        </w:rPr>
        <w:footnoteReference w:id="26"/>
      </w:r>
      <w:r>
        <w:rPr>
          <w:rFonts w:ascii="Lato" w:eastAsia="Lato" w:hAnsi="Lato" w:cs="Lato"/>
          <w:b/>
        </w:rPr>
        <w:t xml:space="preserve"> In particular, we suggest extending the scope of paragraph 73 (a) beyond the prevention of mortality of children under-five. We also encourage the Committee to expand its current reference to fossil fuels in paragraph 73(d) to include the recommendation that States stop all incentives supporting fossil fuels. </w:t>
      </w:r>
      <w:r>
        <w:rPr>
          <w:rFonts w:ascii="Lato" w:eastAsia="Lato" w:hAnsi="Lato" w:cs="Lato"/>
        </w:rPr>
        <w:t>Finally, it is important to stress that, while the six recommendations listed in paragraph 73 provide critical examples of the actions that the States must take to protect the right of every child to a clean, healthy and sustainable environment, these six actions do not constitute a comprehensive and exhaustive description of the range of measures necessary for States to fulfill their obligations related to this right.</w:t>
      </w:r>
    </w:p>
    <w:p w14:paraId="12FD265D" w14:textId="77777777" w:rsidR="009E4D0A" w:rsidRDefault="009E4D0A">
      <w:pPr>
        <w:jc w:val="both"/>
        <w:rPr>
          <w:rFonts w:ascii="Lato" w:eastAsia="Lato" w:hAnsi="Lato" w:cs="Lato"/>
          <w:b/>
          <w:u w:val="single"/>
        </w:rPr>
      </w:pPr>
    </w:p>
    <w:p w14:paraId="14B57A55" w14:textId="77777777" w:rsidR="009E4D0A" w:rsidRDefault="00000000">
      <w:pPr>
        <w:numPr>
          <w:ilvl w:val="0"/>
          <w:numId w:val="1"/>
        </w:numPr>
        <w:pBdr>
          <w:top w:val="nil"/>
          <w:left w:val="nil"/>
          <w:bottom w:val="nil"/>
          <w:right w:val="nil"/>
          <w:between w:val="nil"/>
        </w:pBdr>
        <w:jc w:val="both"/>
        <w:rPr>
          <w:rFonts w:ascii="Lato" w:eastAsia="Lato" w:hAnsi="Lato" w:cs="Lato"/>
          <w:b/>
          <w:color w:val="046B8C"/>
          <w:sz w:val="32"/>
          <w:szCs w:val="32"/>
        </w:rPr>
      </w:pPr>
      <w:r>
        <w:rPr>
          <w:rFonts w:ascii="Lato" w:eastAsia="Lato" w:hAnsi="Lato" w:cs="Lato"/>
          <w:b/>
          <w:color w:val="046B8C"/>
          <w:sz w:val="32"/>
          <w:szCs w:val="32"/>
        </w:rPr>
        <w:t>Intergenerational justice as a key element of sustainable development</w:t>
      </w:r>
    </w:p>
    <w:p w14:paraId="1122B95E" w14:textId="77777777" w:rsidR="009E4D0A" w:rsidRDefault="009E4D0A">
      <w:pPr>
        <w:pBdr>
          <w:top w:val="nil"/>
          <w:left w:val="nil"/>
          <w:bottom w:val="nil"/>
          <w:right w:val="nil"/>
          <w:between w:val="nil"/>
        </w:pBdr>
        <w:jc w:val="both"/>
        <w:rPr>
          <w:rFonts w:ascii="Lato" w:eastAsia="Lato" w:hAnsi="Lato" w:cs="Lato"/>
          <w:b/>
          <w:color w:val="046B8C"/>
          <w:sz w:val="32"/>
          <w:szCs w:val="32"/>
        </w:rPr>
      </w:pPr>
    </w:p>
    <w:p w14:paraId="7C2DFE3F"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We welcome the inclusion of the principle of sustainable development among the Draft’s key concepts.</w:t>
      </w:r>
      <w:r>
        <w:rPr>
          <w:rFonts w:ascii="Lato" w:eastAsia="Lato" w:hAnsi="Lato" w:cs="Lato"/>
          <w:vertAlign w:val="superscript"/>
        </w:rPr>
        <w:footnoteReference w:id="27"/>
      </w:r>
      <w:r>
        <w:rPr>
          <w:rFonts w:ascii="Lato" w:eastAsia="Lato" w:hAnsi="Lato" w:cs="Lato"/>
        </w:rPr>
        <w:t xml:space="preserve"> However, we believe that the definition of this principle currently used in the draft reflects an outdated understanding of sustainable development that is not adequate to ensure the effective protection of children’s rights as protected under the Convention. </w:t>
      </w:r>
    </w:p>
    <w:p w14:paraId="0B7FB272" w14:textId="77777777" w:rsidR="009E4D0A" w:rsidRDefault="009E4D0A">
      <w:pPr>
        <w:pBdr>
          <w:top w:val="nil"/>
          <w:left w:val="nil"/>
          <w:bottom w:val="nil"/>
          <w:right w:val="nil"/>
          <w:between w:val="nil"/>
        </w:pBdr>
        <w:ind w:left="720"/>
        <w:jc w:val="both"/>
        <w:rPr>
          <w:rFonts w:ascii="Lato" w:eastAsia="Lato" w:hAnsi="Lato" w:cs="Lato"/>
        </w:rPr>
      </w:pPr>
    </w:p>
    <w:p w14:paraId="3CED871F"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b/>
        </w:rPr>
      </w:pPr>
      <w:r>
        <w:rPr>
          <w:rFonts w:ascii="Lato" w:eastAsia="Lato" w:hAnsi="Lato" w:cs="Lato"/>
          <w:b/>
        </w:rPr>
        <w:t>Given the importance of intergenerational justice for younger generations, we believe that the definition of the principle should begin by echoing the 1987 report of the World Commission on Environment and Development’s (Brundtland Report) definition of sustainable development as “development that meets the needs of the present without compromising the ability of future generations to meet their own needs”</w:t>
      </w:r>
      <w:r>
        <w:rPr>
          <w:rFonts w:ascii="Lato" w:eastAsia="Lato" w:hAnsi="Lato" w:cs="Lato"/>
          <w:b/>
          <w:vertAlign w:val="superscript"/>
        </w:rPr>
        <w:footnoteReference w:id="28"/>
      </w:r>
      <w:r>
        <w:rPr>
          <w:rFonts w:ascii="Lato" w:eastAsia="Lato" w:hAnsi="Lato" w:cs="Lato"/>
          <w:b/>
        </w:rPr>
        <w:t>. Furthermore, we strongly urge the Committee not to suggest that equal priority be given to all three “pillars” of sustainable development but instead to recognise that planetary or ecological boundaries</w:t>
      </w:r>
      <w:r>
        <w:rPr>
          <w:rFonts w:ascii="Lato" w:eastAsia="Lato" w:hAnsi="Lato" w:cs="Lato"/>
          <w:b/>
          <w:vertAlign w:val="superscript"/>
        </w:rPr>
        <w:footnoteReference w:id="29"/>
      </w:r>
      <w:r>
        <w:rPr>
          <w:rFonts w:ascii="Lato" w:eastAsia="Lato" w:hAnsi="Lato" w:cs="Lato"/>
          <w:b/>
        </w:rPr>
        <w:t xml:space="preserve"> and social boundaries constrain the economic space that is available for human societies to flourish in a just, safe and sustainable manner.</w:t>
      </w:r>
      <w:r>
        <w:rPr>
          <w:rFonts w:ascii="Lato" w:eastAsia="Lato" w:hAnsi="Lato" w:cs="Lato"/>
          <w:b/>
          <w:vertAlign w:val="superscript"/>
        </w:rPr>
        <w:footnoteReference w:id="30"/>
      </w:r>
    </w:p>
    <w:p w14:paraId="7F658394" w14:textId="77777777" w:rsidR="009E4D0A" w:rsidRDefault="009E4D0A">
      <w:pPr>
        <w:jc w:val="both"/>
        <w:rPr>
          <w:rFonts w:ascii="Lato" w:eastAsia="Lato" w:hAnsi="Lato" w:cs="Lato"/>
          <w:b/>
          <w:u w:val="single"/>
        </w:rPr>
      </w:pPr>
    </w:p>
    <w:p w14:paraId="7475C45E" w14:textId="77777777" w:rsidR="009E4D0A" w:rsidRDefault="00000000">
      <w:pPr>
        <w:numPr>
          <w:ilvl w:val="0"/>
          <w:numId w:val="1"/>
        </w:numPr>
        <w:pBdr>
          <w:top w:val="nil"/>
          <w:left w:val="nil"/>
          <w:bottom w:val="nil"/>
          <w:right w:val="nil"/>
          <w:between w:val="nil"/>
        </w:pBdr>
        <w:jc w:val="both"/>
        <w:rPr>
          <w:rFonts w:ascii="Lato" w:eastAsia="Lato" w:hAnsi="Lato" w:cs="Lato"/>
          <w:b/>
          <w:color w:val="046B8C"/>
          <w:sz w:val="32"/>
          <w:szCs w:val="32"/>
        </w:rPr>
      </w:pPr>
      <w:r>
        <w:rPr>
          <w:rFonts w:ascii="Lato" w:eastAsia="Lato" w:hAnsi="Lato" w:cs="Lato"/>
          <w:b/>
          <w:color w:val="046B8C"/>
          <w:sz w:val="32"/>
          <w:szCs w:val="32"/>
        </w:rPr>
        <w:lastRenderedPageBreak/>
        <w:t>Recognizing the duty of the States to protect the Human Rights of Future Generations of Children</w:t>
      </w:r>
    </w:p>
    <w:p w14:paraId="64FB30E0" w14:textId="77777777" w:rsidR="009E4D0A" w:rsidRDefault="009E4D0A">
      <w:pPr>
        <w:jc w:val="both"/>
        <w:rPr>
          <w:rFonts w:ascii="Lato" w:eastAsia="Lato" w:hAnsi="Lato" w:cs="Lato"/>
          <w:b/>
          <w:highlight w:val="magenta"/>
          <w:u w:val="single"/>
        </w:rPr>
      </w:pPr>
    </w:p>
    <w:p w14:paraId="138EDC6A"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The Convention contains no temporal limitation and does not limit rights to the present time. Human rights extend to all members of the human family, including both present and future generations. Decisions being taken by current decision makers can affect the lives and rights of those born years, decades, or many centuries in the future. In recent decades, the need to recognize the intergenerational dimensions of present conduct have taken on increasing urgency, particularly in the context of the triple planetary crisis. Children are closest in time to generations still to come and thus occupy a unique position, and have an important role to play, within the transition to long-term, multigenerational thinking required to consider and ensure both justice and sustainability across an array of timescales.</w:t>
      </w:r>
    </w:p>
    <w:p w14:paraId="6AAA9C95" w14:textId="77777777" w:rsidR="009E4D0A" w:rsidRDefault="009E4D0A">
      <w:pPr>
        <w:pBdr>
          <w:top w:val="nil"/>
          <w:left w:val="nil"/>
          <w:bottom w:val="nil"/>
          <w:right w:val="nil"/>
          <w:between w:val="nil"/>
        </w:pBdr>
        <w:ind w:left="720"/>
        <w:jc w:val="both"/>
        <w:rPr>
          <w:rFonts w:ascii="Lato" w:eastAsia="Lato" w:hAnsi="Lato" w:cs="Lato"/>
        </w:rPr>
      </w:pPr>
    </w:p>
    <w:p w14:paraId="2E45E44F"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b/>
        </w:rPr>
      </w:pPr>
      <w:r>
        <w:rPr>
          <w:rFonts w:ascii="Lato" w:eastAsia="Lato" w:hAnsi="Lato" w:cs="Lato"/>
          <w:b/>
        </w:rPr>
        <w:t xml:space="preserve">We strongly urge the Committee to stress the principle of intergenerational equity in the section dedicated to key concepts, including by recognizing explicitly the need for States to respect and protect the human rights of future generations of children and by stressing that this comes with legal responsibilities as a consequence. These include the need for States and other duty bearers to refrain from any conduct that can reasonably be expected to result in or perpetuate any form of discrimination against future generations of children. </w:t>
      </w:r>
    </w:p>
    <w:p w14:paraId="4A547EEB" w14:textId="77777777" w:rsidR="009E4D0A" w:rsidRDefault="009E4D0A">
      <w:pPr>
        <w:jc w:val="both"/>
        <w:rPr>
          <w:rFonts w:ascii="Lato" w:eastAsia="Lato" w:hAnsi="Lato" w:cs="Lato"/>
          <w:b/>
          <w:u w:val="single"/>
        </w:rPr>
      </w:pPr>
    </w:p>
    <w:p w14:paraId="2695DD82" w14:textId="77777777" w:rsidR="009E4D0A" w:rsidRDefault="00000000">
      <w:pPr>
        <w:numPr>
          <w:ilvl w:val="0"/>
          <w:numId w:val="1"/>
        </w:numPr>
        <w:pBdr>
          <w:top w:val="nil"/>
          <w:left w:val="nil"/>
          <w:bottom w:val="nil"/>
          <w:right w:val="nil"/>
          <w:between w:val="nil"/>
        </w:pBdr>
        <w:jc w:val="both"/>
        <w:rPr>
          <w:rFonts w:ascii="Lato" w:eastAsia="Lato" w:hAnsi="Lato" w:cs="Lato"/>
          <w:b/>
          <w:color w:val="046B8C"/>
          <w:sz w:val="32"/>
          <w:szCs w:val="32"/>
        </w:rPr>
      </w:pPr>
      <w:r>
        <w:rPr>
          <w:rFonts w:ascii="Lato" w:eastAsia="Lato" w:hAnsi="Lato" w:cs="Lato"/>
          <w:b/>
          <w:color w:val="046B8C"/>
          <w:sz w:val="32"/>
          <w:szCs w:val="32"/>
        </w:rPr>
        <w:t>Safeguarding children’s rights in the context of climate-induced loss and damage</w:t>
      </w:r>
    </w:p>
    <w:p w14:paraId="5E5F796D" w14:textId="77777777" w:rsidR="009E4D0A" w:rsidRDefault="009E4D0A">
      <w:pPr>
        <w:pBdr>
          <w:top w:val="nil"/>
          <w:left w:val="nil"/>
          <w:bottom w:val="nil"/>
          <w:right w:val="nil"/>
          <w:between w:val="nil"/>
        </w:pBdr>
        <w:jc w:val="both"/>
        <w:rPr>
          <w:rFonts w:ascii="Lato" w:eastAsia="Lato" w:hAnsi="Lato" w:cs="Lato"/>
        </w:rPr>
      </w:pPr>
    </w:p>
    <w:p w14:paraId="0FC22317"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We observe that Draft General Comment No. 26 lacks a section specifically dedicated to loss and damage, despite this being the third pillar of climate action alongside mitigation and adaptation, and despite its disproportionate impacts on children’s rights.</w:t>
      </w:r>
      <w:r>
        <w:rPr>
          <w:rFonts w:ascii="Lato" w:eastAsia="Lato" w:hAnsi="Lato" w:cs="Lato"/>
          <w:vertAlign w:val="superscript"/>
        </w:rPr>
        <w:footnoteReference w:id="31"/>
      </w:r>
      <w:r>
        <w:rPr>
          <w:rFonts w:ascii="Lato" w:eastAsia="Lato" w:hAnsi="Lato" w:cs="Lato"/>
        </w:rPr>
        <w:t xml:space="preserve"> Loss and damage is only mentioned once in the Draft, in the context of international cooperation, and not much is said by the Committee on States’ obligations with regard to it, nor on the need to develop.</w:t>
      </w:r>
      <w:r>
        <w:rPr>
          <w:rFonts w:ascii="Lato" w:eastAsia="Lato" w:hAnsi="Lato" w:cs="Lato"/>
          <w:vertAlign w:val="superscript"/>
        </w:rPr>
        <w:footnoteReference w:id="32"/>
      </w:r>
      <w:r>
        <w:rPr>
          <w:rFonts w:ascii="Lato" w:eastAsia="Lato" w:hAnsi="Lato" w:cs="Lato"/>
        </w:rPr>
        <w:t xml:space="preserve"> We encourage the Committee to adequately address the importance of protecting children’s rights in the context of loss and damage by systematically mentioning “loss and damage” along with references to “mitigation and adaptation”. Further references could be included throughout the document for instance in relation to the right to education.</w:t>
      </w:r>
      <w:r>
        <w:rPr>
          <w:rFonts w:ascii="Lato" w:eastAsia="Lato" w:hAnsi="Lato" w:cs="Lato"/>
          <w:vertAlign w:val="superscript"/>
        </w:rPr>
        <w:footnoteReference w:id="33"/>
      </w:r>
    </w:p>
    <w:p w14:paraId="25C8F0B0" w14:textId="77777777" w:rsidR="009E4D0A" w:rsidRDefault="009E4D0A">
      <w:pPr>
        <w:jc w:val="both"/>
        <w:rPr>
          <w:rFonts w:ascii="Lato" w:eastAsia="Lato" w:hAnsi="Lato" w:cs="Lato"/>
        </w:rPr>
      </w:pPr>
    </w:p>
    <w:p w14:paraId="28C666C8"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 xml:space="preserve">We urge the Committee to add a subsection on loss and damage to section VI on climate change, and to systematically include loss and damage when climate mitigation and adaptation are mentioned throughout General Comment No. 26. We also recommend </w:t>
      </w:r>
      <w:r>
        <w:rPr>
          <w:rFonts w:ascii="Lato" w:eastAsia="Lato" w:hAnsi="Lato" w:cs="Lato"/>
          <w:b/>
        </w:rPr>
        <w:lastRenderedPageBreak/>
        <w:t>mentioning loss and damage in paragraph 105, when providing that adaptation measures “including (...) response and recovery, should take into account the views of the children”, making it clear that this also holds true in a situation of loss and damage.</w:t>
      </w:r>
      <w:r>
        <w:rPr>
          <w:rFonts w:ascii="Lato" w:eastAsia="Lato" w:hAnsi="Lato" w:cs="Lato"/>
          <w:b/>
          <w:vertAlign w:val="superscript"/>
        </w:rPr>
        <w:footnoteReference w:id="34"/>
      </w:r>
    </w:p>
    <w:p w14:paraId="5E61CE23" w14:textId="77777777" w:rsidR="009E4D0A" w:rsidRDefault="009E4D0A">
      <w:pPr>
        <w:jc w:val="both"/>
        <w:rPr>
          <w:rFonts w:ascii="Lato" w:eastAsia="Lato" w:hAnsi="Lato" w:cs="Lato"/>
          <w:b/>
        </w:rPr>
      </w:pPr>
    </w:p>
    <w:p w14:paraId="692DF97E"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 xml:space="preserve">Finally, it would be consistent with section III.K on access to justice and remedies to add States’ obligation to remedy current and future harm caused to children at the end of paragraph 100, as a reasonable consequence in the event that mitigation actions and adaptation strategies prove insufficient to uphold children’s rights. </w:t>
      </w:r>
      <w:r>
        <w:rPr>
          <w:rFonts w:ascii="Lato" w:eastAsia="Lato" w:hAnsi="Lato" w:cs="Lato"/>
        </w:rPr>
        <w:t xml:space="preserve">The paragraph 63 should also be amended to avoid precluding or discouraging adjudication by removing the suggestion that the majority of cases of climate or environmental harm are complex. </w:t>
      </w:r>
    </w:p>
    <w:p w14:paraId="23C93C61" w14:textId="77777777" w:rsidR="009E4D0A" w:rsidRDefault="009E4D0A">
      <w:pPr>
        <w:jc w:val="both"/>
        <w:rPr>
          <w:rFonts w:ascii="Lato" w:eastAsia="Lato" w:hAnsi="Lato" w:cs="Lato"/>
          <w:b/>
          <w:u w:val="single"/>
        </w:rPr>
      </w:pPr>
    </w:p>
    <w:p w14:paraId="7A1E1466" w14:textId="77777777" w:rsidR="009E4D0A" w:rsidRDefault="00000000">
      <w:pPr>
        <w:numPr>
          <w:ilvl w:val="0"/>
          <w:numId w:val="1"/>
        </w:numPr>
        <w:pBdr>
          <w:top w:val="nil"/>
          <w:left w:val="nil"/>
          <w:bottom w:val="nil"/>
          <w:right w:val="nil"/>
          <w:between w:val="nil"/>
        </w:pBdr>
        <w:jc w:val="both"/>
        <w:rPr>
          <w:rFonts w:ascii="Lato" w:eastAsia="Lato" w:hAnsi="Lato" w:cs="Lato"/>
          <w:b/>
          <w:color w:val="046B8C"/>
          <w:sz w:val="32"/>
          <w:szCs w:val="32"/>
        </w:rPr>
      </w:pPr>
      <w:r>
        <w:rPr>
          <w:rFonts w:ascii="Lato" w:eastAsia="Lato" w:hAnsi="Lato" w:cs="Lato"/>
          <w:b/>
          <w:color w:val="046B8C"/>
          <w:sz w:val="32"/>
          <w:szCs w:val="32"/>
        </w:rPr>
        <w:t>Clear recognition of children’s political rights and freedom of peaceful assembly absent any sanction</w:t>
      </w:r>
    </w:p>
    <w:p w14:paraId="6F0191FA" w14:textId="77777777" w:rsidR="009E4D0A" w:rsidRDefault="009E4D0A">
      <w:pPr>
        <w:jc w:val="both"/>
        <w:rPr>
          <w:rFonts w:ascii="Lato" w:eastAsia="Lato" w:hAnsi="Lato" w:cs="Lato"/>
          <w:b/>
        </w:rPr>
      </w:pPr>
    </w:p>
    <w:p w14:paraId="2A4A06A7"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The Draft General Comment No. 26 does not make any reference to children’s future political rights, whose existence shall not be constrained by today’s short-term policies.</w:t>
      </w:r>
      <w:r>
        <w:rPr>
          <w:rFonts w:ascii="Lato" w:eastAsia="Lato" w:hAnsi="Lato" w:cs="Lato"/>
          <w:vertAlign w:val="superscript"/>
        </w:rPr>
        <w:footnoteReference w:id="35"/>
      </w:r>
    </w:p>
    <w:p w14:paraId="74EDFE9F" w14:textId="77777777" w:rsidR="009E4D0A" w:rsidRDefault="009E4D0A">
      <w:pPr>
        <w:jc w:val="both"/>
        <w:rPr>
          <w:rFonts w:ascii="Lato" w:eastAsia="Lato" w:hAnsi="Lato" w:cs="Lato"/>
        </w:rPr>
      </w:pPr>
    </w:p>
    <w:p w14:paraId="694DFE50"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We recommend taking into account future political rights of children and mentioning the need for current law-makers not to constrain future generations by adopting policies that do not sufficiently limit environmental and climate harm or would require drastic future policies the implementation of which would threaten economic, social and cultural rights of children.</w:t>
      </w:r>
    </w:p>
    <w:p w14:paraId="70223A45" w14:textId="77777777" w:rsidR="009E4D0A" w:rsidRDefault="009E4D0A">
      <w:pPr>
        <w:jc w:val="both"/>
        <w:rPr>
          <w:rFonts w:ascii="Lato" w:eastAsia="Lato" w:hAnsi="Lato" w:cs="Lato"/>
          <w:b/>
          <w:u w:val="single"/>
        </w:rPr>
      </w:pPr>
    </w:p>
    <w:p w14:paraId="6C2268E4"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The Draft General Comment No. 26 explicitly recognizes a number of children’s political rights and freedoms in relation to environmental policies, including children’s freedom of peaceful assembly.</w:t>
      </w:r>
      <w:r>
        <w:rPr>
          <w:rFonts w:ascii="Lato" w:eastAsia="Lato" w:hAnsi="Lato" w:cs="Lato"/>
          <w:vertAlign w:val="superscript"/>
        </w:rPr>
        <w:footnoteReference w:id="36"/>
      </w:r>
      <w:r>
        <w:rPr>
          <w:rFonts w:ascii="Lato" w:eastAsia="Lato" w:hAnsi="Lato" w:cs="Lato"/>
        </w:rPr>
        <w:t xml:space="preserve"> The Committee has stated, in the context of climate protests, that Article 12 of the Convention requires children to “be at the center of the discourse on climate change” and that “any threat or abuse of children for their oral or written expression is unacceptable”.</w:t>
      </w:r>
      <w:r>
        <w:rPr>
          <w:rFonts w:ascii="Lato" w:eastAsia="Lato" w:hAnsi="Lato" w:cs="Lato"/>
          <w:vertAlign w:val="superscript"/>
        </w:rPr>
        <w:footnoteReference w:id="37"/>
      </w:r>
    </w:p>
    <w:p w14:paraId="7F1EEE88" w14:textId="77777777" w:rsidR="009E4D0A" w:rsidRDefault="009E4D0A">
      <w:pPr>
        <w:jc w:val="both"/>
        <w:rPr>
          <w:rFonts w:ascii="Lato" w:eastAsia="Lato" w:hAnsi="Lato" w:cs="Lato"/>
        </w:rPr>
      </w:pPr>
    </w:p>
    <w:p w14:paraId="60B1D369"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We suggest that the Committee explicitly adds freedom of peaceful assembly when mentioning freedom of expression and association,</w:t>
      </w:r>
      <w:r>
        <w:rPr>
          <w:rFonts w:ascii="Lato" w:eastAsia="Lato" w:hAnsi="Lato" w:cs="Lato"/>
          <w:b/>
          <w:vertAlign w:val="superscript"/>
        </w:rPr>
        <w:footnoteReference w:id="38"/>
      </w:r>
      <w:r>
        <w:rPr>
          <w:rFonts w:ascii="Lato" w:eastAsia="Lato" w:hAnsi="Lato" w:cs="Lato"/>
          <w:b/>
        </w:rPr>
        <w:t xml:space="preserve"> and we urge it to stress the need for children to be free of the fear of any sanctions and retaliation (including in a school context) when children exercise their freedom of peaceful assembly by engaging in protest on environmental and climate issues.</w:t>
      </w:r>
    </w:p>
    <w:p w14:paraId="210854AA" w14:textId="77777777" w:rsidR="009E4D0A" w:rsidRDefault="009E4D0A">
      <w:pPr>
        <w:jc w:val="both"/>
        <w:rPr>
          <w:rFonts w:ascii="Lato" w:eastAsia="Lato" w:hAnsi="Lato" w:cs="Lato"/>
          <w:b/>
          <w:u w:val="single"/>
        </w:rPr>
      </w:pPr>
    </w:p>
    <w:p w14:paraId="57A4B85A" w14:textId="77777777" w:rsidR="009E4D0A" w:rsidRDefault="00000000">
      <w:pPr>
        <w:numPr>
          <w:ilvl w:val="0"/>
          <w:numId w:val="1"/>
        </w:numPr>
        <w:pBdr>
          <w:top w:val="nil"/>
          <w:left w:val="nil"/>
          <w:bottom w:val="nil"/>
          <w:right w:val="nil"/>
          <w:between w:val="nil"/>
        </w:pBdr>
        <w:jc w:val="both"/>
        <w:rPr>
          <w:rFonts w:ascii="Lato" w:eastAsia="Lato" w:hAnsi="Lato" w:cs="Lato"/>
          <w:b/>
          <w:color w:val="046B8C"/>
          <w:sz w:val="32"/>
          <w:szCs w:val="32"/>
        </w:rPr>
      </w:pPr>
      <w:r>
        <w:rPr>
          <w:rFonts w:ascii="Lato" w:eastAsia="Lato" w:hAnsi="Lato" w:cs="Lato"/>
          <w:b/>
          <w:color w:val="046B8C"/>
          <w:sz w:val="32"/>
          <w:szCs w:val="32"/>
        </w:rPr>
        <w:lastRenderedPageBreak/>
        <w:t>Termination of investment agreements or investment chapters within trade agreements limiting States’ ability to uphold children’s rights</w:t>
      </w:r>
    </w:p>
    <w:p w14:paraId="6541302E" w14:textId="77777777" w:rsidR="009E4D0A" w:rsidRDefault="009E4D0A">
      <w:pPr>
        <w:jc w:val="both"/>
        <w:rPr>
          <w:rFonts w:ascii="Lato" w:eastAsia="Lato" w:hAnsi="Lato" w:cs="Lato"/>
          <w:b/>
        </w:rPr>
      </w:pPr>
    </w:p>
    <w:p w14:paraId="10E24C99"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Draft General Comment No. 26 encourages States to discontinue financial investments that are not “consistent with low greenhouse gas emission pathways”</w:t>
      </w:r>
      <w:r>
        <w:rPr>
          <w:rFonts w:ascii="Lato" w:eastAsia="Lato" w:hAnsi="Lato" w:cs="Lato"/>
          <w:vertAlign w:val="superscript"/>
        </w:rPr>
        <w:footnoteReference w:id="39"/>
      </w:r>
      <w:r>
        <w:rPr>
          <w:rFonts w:ascii="Lato" w:eastAsia="Lato" w:hAnsi="Lato" w:cs="Lato"/>
        </w:rPr>
        <w:t xml:space="preserve"> and to incentivize investments in carbon-neutral technologies.</w:t>
      </w:r>
      <w:r>
        <w:rPr>
          <w:rFonts w:ascii="Lato" w:eastAsia="Lato" w:hAnsi="Lato" w:cs="Lato"/>
          <w:vertAlign w:val="superscript"/>
        </w:rPr>
        <w:footnoteReference w:id="40"/>
      </w:r>
    </w:p>
    <w:p w14:paraId="54A15509" w14:textId="77777777" w:rsidR="009E4D0A" w:rsidRDefault="009E4D0A">
      <w:pPr>
        <w:jc w:val="both"/>
        <w:rPr>
          <w:rFonts w:ascii="Lato" w:eastAsia="Lato" w:hAnsi="Lato" w:cs="Lato"/>
        </w:rPr>
      </w:pPr>
    </w:p>
    <w:p w14:paraId="4C4810BD"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States are required to comply with their human rights obligations in any context and legal framework, including international agreements for economic cooperation and other finance mechanisms and should only enter into and remain party to agreements that “support, rather than hinder, the ability of States to respect, protect and fulfill human rights”.</w:t>
      </w:r>
      <w:r>
        <w:rPr>
          <w:rFonts w:ascii="Lato" w:eastAsia="Lato" w:hAnsi="Lato" w:cs="Lato"/>
          <w:vertAlign w:val="superscript"/>
        </w:rPr>
        <w:footnoteReference w:id="41"/>
      </w:r>
      <w:r>
        <w:rPr>
          <w:rFonts w:ascii="Lato" w:eastAsia="Lato" w:hAnsi="Lato" w:cs="Lato"/>
        </w:rPr>
        <w:t xml:space="preserve"> In addition to “a lack of provision for the protection of human rights in the core of international investment agreements”,</w:t>
      </w:r>
      <w:r>
        <w:rPr>
          <w:rFonts w:ascii="Lato" w:eastAsia="Lato" w:hAnsi="Lato" w:cs="Lato"/>
          <w:vertAlign w:val="superscript"/>
        </w:rPr>
        <w:footnoteReference w:id="42"/>
      </w:r>
      <w:r>
        <w:rPr>
          <w:rFonts w:ascii="Lato" w:eastAsia="Lato" w:hAnsi="Lato" w:cs="Lato"/>
        </w:rPr>
        <w:t xml:space="preserve"> we note that investor-State dispute settlement arrangements are often a constraint on States’ ability “to protect and fulfill the human rights of [their] people”.</w:t>
      </w:r>
      <w:r>
        <w:rPr>
          <w:rFonts w:ascii="Lato" w:eastAsia="Lato" w:hAnsi="Lato" w:cs="Lato"/>
          <w:vertAlign w:val="superscript"/>
        </w:rPr>
        <w:footnoteReference w:id="43"/>
      </w:r>
    </w:p>
    <w:p w14:paraId="03B6EDAB" w14:textId="77777777" w:rsidR="009E4D0A" w:rsidRDefault="009E4D0A">
      <w:pPr>
        <w:jc w:val="both"/>
        <w:rPr>
          <w:rFonts w:ascii="Lato" w:eastAsia="Lato" w:hAnsi="Lato" w:cs="Lato"/>
        </w:rPr>
      </w:pPr>
    </w:p>
    <w:p w14:paraId="1BC865C8"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Therefore, we urge the Committee to explicitly address the need for States to cease all investment agreements and investment chapters within trade agreements that incentivize activities harmful for climate and the environment, which threaten children’s rights, as well as all agreements that provide for investor-State dispute resolution processes that do not sufficiently ensure the enforcement of States’ and businesses’ obligations in respect of children’s rights. States should  withdraw from and cease enforcing any such agreement while also refraining from concluding any new agreements of this type of or entry into</w:t>
      </w:r>
    </w:p>
    <w:p w14:paraId="71F56705" w14:textId="77777777" w:rsidR="009E4D0A" w:rsidRDefault="009E4D0A">
      <w:pPr>
        <w:jc w:val="both"/>
        <w:rPr>
          <w:rFonts w:ascii="Lato" w:eastAsia="Lato" w:hAnsi="Lato" w:cs="Lato"/>
          <w:b/>
        </w:rPr>
      </w:pPr>
    </w:p>
    <w:p w14:paraId="6E7E21F3" w14:textId="77777777" w:rsidR="009E4D0A" w:rsidRDefault="00000000">
      <w:pPr>
        <w:numPr>
          <w:ilvl w:val="0"/>
          <w:numId w:val="1"/>
        </w:numPr>
        <w:pBdr>
          <w:top w:val="nil"/>
          <w:left w:val="nil"/>
          <w:bottom w:val="nil"/>
          <w:right w:val="nil"/>
          <w:between w:val="nil"/>
        </w:pBdr>
        <w:jc w:val="both"/>
        <w:rPr>
          <w:rFonts w:ascii="Lato" w:eastAsia="Lato" w:hAnsi="Lato" w:cs="Lato"/>
          <w:b/>
          <w:color w:val="046B8C"/>
          <w:sz w:val="32"/>
          <w:szCs w:val="32"/>
        </w:rPr>
      </w:pPr>
      <w:r>
        <w:rPr>
          <w:rFonts w:ascii="Lato" w:eastAsia="Lato" w:hAnsi="Lato" w:cs="Lato"/>
          <w:b/>
          <w:color w:val="046B8C"/>
          <w:sz w:val="32"/>
          <w:szCs w:val="32"/>
        </w:rPr>
        <w:t>Businesses’ obligations for the realization of children’s rights</w:t>
      </w:r>
    </w:p>
    <w:p w14:paraId="77E96049" w14:textId="77777777" w:rsidR="009E4D0A" w:rsidRDefault="009E4D0A">
      <w:pPr>
        <w:jc w:val="both"/>
        <w:rPr>
          <w:rFonts w:ascii="Lato" w:eastAsia="Lato" w:hAnsi="Lato" w:cs="Lato"/>
        </w:rPr>
      </w:pPr>
    </w:p>
    <w:p w14:paraId="4F1FB7D8"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We appreciate the Committee’s statements on businesses’ responsibilities to respect children rights,</w:t>
      </w:r>
      <w:r>
        <w:rPr>
          <w:rFonts w:ascii="Lato" w:eastAsia="Lato" w:hAnsi="Lato" w:cs="Lato"/>
          <w:vertAlign w:val="superscript"/>
        </w:rPr>
        <w:footnoteReference w:id="44"/>
      </w:r>
      <w:r>
        <w:rPr>
          <w:rFonts w:ascii="Lato" w:eastAsia="Lato" w:hAnsi="Lato" w:cs="Lato"/>
        </w:rPr>
        <w:t xml:space="preserve"> and the recognition of businesses' role as major contributors to climate </w:t>
      </w:r>
      <w:r>
        <w:rPr>
          <w:rFonts w:ascii="Lato" w:eastAsia="Lato" w:hAnsi="Lato" w:cs="Lato"/>
        </w:rPr>
        <w:lastRenderedPageBreak/>
        <w:t>change, adversely affecting children’s rights.</w:t>
      </w:r>
      <w:r>
        <w:rPr>
          <w:rFonts w:ascii="Lato" w:eastAsia="Lato" w:hAnsi="Lato" w:cs="Lato"/>
          <w:vertAlign w:val="superscript"/>
        </w:rPr>
        <w:footnoteReference w:id="45"/>
      </w:r>
      <w:r>
        <w:rPr>
          <w:rFonts w:ascii="Lato" w:eastAsia="Lato" w:hAnsi="Lato" w:cs="Lato"/>
        </w:rPr>
        <w:t xml:space="preserve"> We also recognize that the Draft duly mentions States’ obligations to adopt a regulatory framework to protect children’s rights from violations by corporations’ harmful actions.</w:t>
      </w:r>
      <w:r>
        <w:rPr>
          <w:rFonts w:ascii="Lato" w:eastAsia="Lato" w:hAnsi="Lato" w:cs="Lato"/>
          <w:vertAlign w:val="superscript"/>
        </w:rPr>
        <w:footnoteReference w:id="46"/>
      </w:r>
    </w:p>
    <w:p w14:paraId="0EDCC5E5" w14:textId="77777777" w:rsidR="009E4D0A" w:rsidRDefault="009E4D0A">
      <w:pPr>
        <w:jc w:val="both"/>
        <w:rPr>
          <w:rFonts w:ascii="Lato" w:eastAsia="Lato" w:hAnsi="Lato" w:cs="Lato"/>
          <w:b/>
          <w:u w:val="single"/>
        </w:rPr>
      </w:pPr>
    </w:p>
    <w:p w14:paraId="46A08F4C"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States should require businesses, and businesses should put in place, a “human rights due diligence process to identify, prevent, mitigate and account for how they address their impacts on human rights”,</w:t>
      </w:r>
      <w:r>
        <w:rPr>
          <w:rFonts w:ascii="Lato" w:eastAsia="Lato" w:hAnsi="Lato" w:cs="Lato"/>
          <w:vertAlign w:val="superscript"/>
        </w:rPr>
        <w:footnoteReference w:id="47"/>
      </w:r>
      <w:r>
        <w:rPr>
          <w:rFonts w:ascii="Lato" w:eastAsia="Lato" w:hAnsi="Lato" w:cs="Lato"/>
        </w:rPr>
        <w:t xml:space="preserve"> including children’s rights,</w:t>
      </w:r>
      <w:r>
        <w:rPr>
          <w:rFonts w:ascii="Lato" w:eastAsia="Lato" w:hAnsi="Lato" w:cs="Lato"/>
          <w:vertAlign w:val="superscript"/>
        </w:rPr>
        <w:footnoteReference w:id="48"/>
      </w:r>
      <w:r>
        <w:rPr>
          <w:rFonts w:ascii="Lato" w:eastAsia="Lato" w:hAnsi="Lato" w:cs="Lato"/>
        </w:rPr>
        <w:t xml:space="preserve"> across the whole supply chain. This Committee has already recalled in its General Comment No. 16 how “children’s rights is not an automatic consequence of economic growth and business enterprises can also negatively impact children’s rights”.</w:t>
      </w:r>
      <w:r>
        <w:rPr>
          <w:rFonts w:ascii="Lato" w:eastAsia="Lato" w:hAnsi="Lato" w:cs="Lato"/>
          <w:vertAlign w:val="superscript"/>
        </w:rPr>
        <w:footnoteReference w:id="49"/>
      </w:r>
    </w:p>
    <w:p w14:paraId="18A63DCA" w14:textId="77777777" w:rsidR="009E4D0A" w:rsidRDefault="009E4D0A">
      <w:pPr>
        <w:jc w:val="both"/>
        <w:rPr>
          <w:rFonts w:ascii="Lato" w:eastAsia="Lato" w:hAnsi="Lato" w:cs="Lato"/>
          <w:b/>
          <w:u w:val="single"/>
        </w:rPr>
      </w:pPr>
    </w:p>
    <w:p w14:paraId="3C9D266E"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We urge the Committee, building on its General Comment No. 16, to first and foremost highlight States’ obligations in respect of the business sector impacts on children’s rights, alongside businesses’ duty of care</w:t>
      </w:r>
      <w:r>
        <w:rPr>
          <w:rFonts w:ascii="Lato" w:eastAsia="Lato" w:hAnsi="Lato" w:cs="Lato"/>
          <w:b/>
          <w:vertAlign w:val="superscript"/>
        </w:rPr>
        <w:footnoteReference w:id="50"/>
      </w:r>
      <w:r>
        <w:rPr>
          <w:rFonts w:ascii="Lato" w:eastAsia="Lato" w:hAnsi="Lato" w:cs="Lato"/>
          <w:b/>
        </w:rPr>
        <w:t xml:space="preserve"> and due diligence responsibilities for adverse impacts on children’s rights across supply and value chains. We also urge the Committee to clearly distinguish these obligations from any reference to the positive dimension of businesses’ activities or any encouragement to States to incentivize these activities (if such reference is going to be included).</w:t>
      </w:r>
      <w:r>
        <w:rPr>
          <w:rFonts w:ascii="Lato" w:eastAsia="Lato" w:hAnsi="Lato" w:cs="Lato"/>
          <w:vertAlign w:val="superscript"/>
        </w:rPr>
        <w:footnoteReference w:id="51"/>
      </w:r>
      <w:r>
        <w:rPr>
          <w:rFonts w:ascii="Lato" w:eastAsia="Lato" w:hAnsi="Lato" w:cs="Lato"/>
          <w:b/>
        </w:rPr>
        <w:t xml:space="preserve"> To this end, we recommend deleting the word “however” at the beginning of the third sentence of paragraph 91, which weakens what is stated in the previous sentences.</w:t>
      </w:r>
    </w:p>
    <w:p w14:paraId="73D81EB4" w14:textId="77777777" w:rsidR="009E4D0A" w:rsidRDefault="009E4D0A">
      <w:pPr>
        <w:jc w:val="both"/>
        <w:rPr>
          <w:rFonts w:ascii="Lato" w:eastAsia="Lato" w:hAnsi="Lato" w:cs="Lato"/>
          <w:b/>
        </w:rPr>
      </w:pPr>
    </w:p>
    <w:p w14:paraId="451EC9F0"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The reference to a duty for businesses to “exert influence”</w:t>
      </w:r>
      <w:r>
        <w:rPr>
          <w:rFonts w:ascii="Lato" w:eastAsia="Lato" w:hAnsi="Lato" w:cs="Lato"/>
          <w:b/>
          <w:vertAlign w:val="superscript"/>
        </w:rPr>
        <w:footnoteReference w:id="52"/>
      </w:r>
      <w:r>
        <w:rPr>
          <w:rFonts w:ascii="Lato" w:eastAsia="Lato" w:hAnsi="Lato" w:cs="Lato"/>
          <w:b/>
        </w:rPr>
        <w:t xml:space="preserve"> with regards to their supply chain should be strengthened so as to align with the need for businesses to comply with due diligence obligations and responsibility in any event of adverse impacts across supply chains. Finally, we strongly believe that reference to the need for States to incentivize business enterprises to generate new technologies in paragraph 114 should be removed, since States’ primary concern should regard funding of public research to prevent the capture of scientific progress by corporate actors.</w:t>
      </w:r>
    </w:p>
    <w:p w14:paraId="4935E16A" w14:textId="77777777" w:rsidR="009E4D0A" w:rsidRDefault="009E4D0A">
      <w:pPr>
        <w:jc w:val="both"/>
        <w:rPr>
          <w:rFonts w:ascii="Lato" w:eastAsia="Lato" w:hAnsi="Lato" w:cs="Lato"/>
          <w:b/>
          <w:u w:val="single"/>
        </w:rPr>
      </w:pPr>
    </w:p>
    <w:p w14:paraId="3315888F" w14:textId="77777777" w:rsidR="009E4D0A" w:rsidRDefault="00000000">
      <w:pPr>
        <w:numPr>
          <w:ilvl w:val="0"/>
          <w:numId w:val="1"/>
        </w:numPr>
        <w:pBdr>
          <w:top w:val="nil"/>
          <w:left w:val="nil"/>
          <w:bottom w:val="nil"/>
          <w:right w:val="nil"/>
          <w:between w:val="nil"/>
        </w:pBdr>
        <w:jc w:val="both"/>
        <w:rPr>
          <w:rFonts w:ascii="Lato" w:eastAsia="Lato" w:hAnsi="Lato" w:cs="Lato"/>
          <w:b/>
          <w:color w:val="046B8C"/>
          <w:sz w:val="32"/>
          <w:szCs w:val="32"/>
        </w:rPr>
      </w:pPr>
      <w:r>
        <w:rPr>
          <w:rFonts w:ascii="Lato" w:eastAsia="Lato" w:hAnsi="Lato" w:cs="Lato"/>
          <w:b/>
          <w:color w:val="046B8C"/>
          <w:sz w:val="32"/>
          <w:szCs w:val="32"/>
        </w:rPr>
        <w:t>Safeguarding children’s rights from threats posed by hazardous substances, waste, and plastics</w:t>
      </w:r>
    </w:p>
    <w:p w14:paraId="5C24A2C0" w14:textId="77777777" w:rsidR="009E4D0A" w:rsidRDefault="009E4D0A">
      <w:pPr>
        <w:pBdr>
          <w:top w:val="nil"/>
          <w:left w:val="nil"/>
          <w:bottom w:val="nil"/>
          <w:right w:val="nil"/>
          <w:between w:val="nil"/>
        </w:pBdr>
        <w:jc w:val="both"/>
        <w:rPr>
          <w:rFonts w:ascii="Lato" w:eastAsia="Lato" w:hAnsi="Lato" w:cs="Lato"/>
        </w:rPr>
      </w:pPr>
    </w:p>
    <w:p w14:paraId="04848090"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lastRenderedPageBreak/>
        <w:t>We welcome the Draft General Comment No. 26’s call for identifying and addressing environmental health concerns relevant to children. However, the Draft lacks explicit reference to the negative impacts of hazardous chemicals and pesticides, including endocrine-disruptors, on children’s rights and the rights of future generations</w:t>
      </w:r>
      <w:r>
        <w:rPr>
          <w:rFonts w:ascii="Lato" w:eastAsia="Lato" w:hAnsi="Lato" w:cs="Lato"/>
          <w:vertAlign w:val="superscript"/>
        </w:rPr>
        <w:footnoteReference w:id="53"/>
      </w:r>
      <w:r>
        <w:rPr>
          <w:rFonts w:ascii="Lato" w:eastAsia="Lato" w:hAnsi="Lato" w:cs="Lato"/>
        </w:rPr>
        <w:t xml:space="preserve">, and to the need to phase these substances out in order to realize those rights. </w:t>
      </w:r>
      <w:r>
        <w:rPr>
          <w:rFonts w:ascii="Lato" w:eastAsia="Lato" w:hAnsi="Lato" w:cs="Lato"/>
          <w:b/>
        </w:rPr>
        <w:t>Therefore, given the undeniable role of hazardous substances, including endocrine disruptors, in the current pollution crisis, the General Comment should explicitly address the need to phase them out and the obligations of public and private actors in the realization of this goal.</w:t>
      </w:r>
    </w:p>
    <w:p w14:paraId="6A44BB7F" w14:textId="77777777" w:rsidR="009E4D0A" w:rsidRDefault="009E4D0A">
      <w:pPr>
        <w:pBdr>
          <w:top w:val="nil"/>
          <w:left w:val="nil"/>
          <w:bottom w:val="nil"/>
          <w:right w:val="nil"/>
          <w:between w:val="nil"/>
        </w:pBdr>
        <w:jc w:val="both"/>
        <w:rPr>
          <w:rFonts w:ascii="Lato" w:eastAsia="Lato" w:hAnsi="Lato" w:cs="Lato"/>
        </w:rPr>
      </w:pPr>
    </w:p>
    <w:p w14:paraId="69D9F743"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Children are also exposed to hazardous chemicals through plastics, including plastic toys made of recycled plastics</w:t>
      </w:r>
      <w:r>
        <w:rPr>
          <w:rFonts w:ascii="Lato" w:eastAsia="Lato" w:hAnsi="Lato" w:cs="Lato"/>
          <w:vertAlign w:val="superscript"/>
        </w:rPr>
        <w:footnoteReference w:id="54"/>
      </w:r>
      <w:r>
        <w:rPr>
          <w:rFonts w:ascii="Lato" w:eastAsia="Lato" w:hAnsi="Lato" w:cs="Lato"/>
        </w:rPr>
        <w:t xml:space="preserve">, as well as through microplastics in the air, soil, water, breastmilk, and food. Microplastics do not only contain and leach hazardous chemicals, but also further adsorb and serve as a vector for other contaminants from the environment, leading to the combined exposure to a complex mixture of known and suspected hazardous substances. </w:t>
      </w:r>
      <w:r>
        <w:rPr>
          <w:rFonts w:ascii="Lato" w:eastAsia="Lato" w:hAnsi="Lato" w:cs="Lato"/>
          <w:b/>
        </w:rPr>
        <w:t>Therefore, the Committee should explicitly refer to hazardous substances and pesticides, including endocrine disrupting chemicals, as well as plastics and microplastics, as major contributors to the pollution crisis, and as a direct threat to children’s rights.</w:t>
      </w:r>
    </w:p>
    <w:p w14:paraId="69EFB668" w14:textId="77777777" w:rsidR="009E4D0A" w:rsidRDefault="009E4D0A">
      <w:pPr>
        <w:pBdr>
          <w:top w:val="nil"/>
          <w:left w:val="nil"/>
          <w:bottom w:val="nil"/>
          <w:right w:val="nil"/>
          <w:between w:val="nil"/>
        </w:pBdr>
        <w:jc w:val="both"/>
        <w:rPr>
          <w:rFonts w:ascii="Lato" w:eastAsia="Lato" w:hAnsi="Lato" w:cs="Lato"/>
          <w:b/>
        </w:rPr>
      </w:pPr>
    </w:p>
    <w:p w14:paraId="2C35914B"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Children are also victims of one of the worst forms of child labor</w:t>
      </w:r>
      <w:r>
        <w:rPr>
          <w:rFonts w:ascii="Lato" w:eastAsia="Lato" w:hAnsi="Lato" w:cs="Lato"/>
          <w:vertAlign w:val="superscript"/>
        </w:rPr>
        <w:footnoteReference w:id="55"/>
      </w:r>
      <w:r>
        <w:rPr>
          <w:rFonts w:ascii="Lato" w:eastAsia="Lato" w:hAnsi="Lato" w:cs="Lato"/>
        </w:rPr>
        <w:t xml:space="preserve"> by working as waste pickers. </w:t>
      </w:r>
      <w:r>
        <w:rPr>
          <w:rFonts w:ascii="Lato" w:eastAsia="Lato" w:hAnsi="Lato" w:cs="Lato"/>
          <w:b/>
        </w:rPr>
        <w:t xml:space="preserve">We suggest dedicating a specific part of the subsection on children’s rights and the business sector to include reference to waste pickers and clarify that sorting, scavenging, and recycling collection, are considered as types of hazardous child labor. </w:t>
      </w:r>
      <w:r>
        <w:rPr>
          <w:rFonts w:ascii="Lato" w:eastAsia="Lato" w:hAnsi="Lato" w:cs="Lato"/>
        </w:rPr>
        <w:t>The Committee should highlight its own Concluding Observations on how children are economically exploited and on the high prevalence of child labor in the informal sector or hazardous work in garbage dumps, including in garbage collection.</w:t>
      </w:r>
      <w:r>
        <w:rPr>
          <w:rFonts w:ascii="Lato" w:eastAsia="Lato" w:hAnsi="Lato" w:cs="Lato"/>
          <w:vertAlign w:val="superscript"/>
        </w:rPr>
        <w:footnoteReference w:id="56"/>
      </w:r>
      <w:r>
        <w:rPr>
          <w:rFonts w:ascii="Lato" w:eastAsia="Lato" w:hAnsi="Lato" w:cs="Lato"/>
        </w:rPr>
        <w:t xml:space="preserve"> </w:t>
      </w:r>
    </w:p>
    <w:p w14:paraId="1E13B819" w14:textId="77777777" w:rsidR="009E4D0A" w:rsidRDefault="009E4D0A">
      <w:pPr>
        <w:jc w:val="both"/>
        <w:rPr>
          <w:rFonts w:ascii="Lato" w:eastAsia="Lato" w:hAnsi="Lato" w:cs="Lato"/>
          <w:b/>
          <w:u w:val="single"/>
        </w:rPr>
      </w:pPr>
    </w:p>
    <w:p w14:paraId="758A665A" w14:textId="77777777" w:rsidR="009E4D0A" w:rsidRDefault="00000000">
      <w:pPr>
        <w:numPr>
          <w:ilvl w:val="0"/>
          <w:numId w:val="1"/>
        </w:numPr>
        <w:pBdr>
          <w:top w:val="nil"/>
          <w:left w:val="nil"/>
          <w:bottom w:val="nil"/>
          <w:right w:val="nil"/>
          <w:between w:val="nil"/>
        </w:pBdr>
        <w:jc w:val="both"/>
        <w:rPr>
          <w:rFonts w:ascii="Lato" w:eastAsia="Lato" w:hAnsi="Lato" w:cs="Lato"/>
          <w:b/>
          <w:color w:val="046B8C"/>
          <w:sz w:val="32"/>
          <w:szCs w:val="32"/>
        </w:rPr>
      </w:pPr>
      <w:r>
        <w:rPr>
          <w:rFonts w:ascii="Lato" w:eastAsia="Lato" w:hAnsi="Lato" w:cs="Lato"/>
          <w:b/>
          <w:color w:val="046B8C"/>
          <w:sz w:val="32"/>
          <w:szCs w:val="32"/>
        </w:rPr>
        <w:t>Recognition of the non-retrogression and non-regression principles</w:t>
      </w:r>
    </w:p>
    <w:p w14:paraId="598591A4" w14:textId="77777777" w:rsidR="009E4D0A" w:rsidRDefault="009E4D0A">
      <w:pPr>
        <w:jc w:val="both"/>
        <w:rPr>
          <w:rFonts w:ascii="Lato" w:eastAsia="Lato" w:hAnsi="Lato" w:cs="Lato"/>
          <w:b/>
          <w:u w:val="single"/>
        </w:rPr>
      </w:pPr>
    </w:p>
    <w:p w14:paraId="74311FA9"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 xml:space="preserve">Draft General Comment No. 26 lists among States’ obligations, the obligation “not to take retrogressive measures that are less protective of children without convincing </w:t>
      </w:r>
      <w:r>
        <w:rPr>
          <w:rFonts w:ascii="Lato" w:eastAsia="Lato" w:hAnsi="Lato" w:cs="Lato"/>
        </w:rPr>
        <w:lastRenderedPageBreak/>
        <w:t>justification”.</w:t>
      </w:r>
      <w:r>
        <w:rPr>
          <w:rFonts w:ascii="Lato" w:eastAsia="Lato" w:hAnsi="Lato" w:cs="Lato"/>
          <w:vertAlign w:val="superscript"/>
        </w:rPr>
        <w:footnoteReference w:id="57"/>
      </w:r>
      <w:r>
        <w:rPr>
          <w:rFonts w:ascii="Lato" w:eastAsia="Lato" w:hAnsi="Lato" w:cs="Lato"/>
        </w:rPr>
        <w:t xml:space="preserve"> This reference, which is rather common in General Comments published by the Committee,</w:t>
      </w:r>
      <w:r>
        <w:rPr>
          <w:rFonts w:ascii="Lato" w:eastAsia="Lato" w:hAnsi="Lato" w:cs="Lato"/>
          <w:vertAlign w:val="superscript"/>
        </w:rPr>
        <w:footnoteReference w:id="58"/>
      </w:r>
      <w:r>
        <w:rPr>
          <w:rFonts w:ascii="Lato" w:eastAsia="Lato" w:hAnsi="Lato" w:cs="Lato"/>
        </w:rPr>
        <w:t xml:space="preserve"> is an expression of the well-established principle of non-retrogression.</w:t>
      </w:r>
      <w:r>
        <w:rPr>
          <w:rFonts w:ascii="Lato" w:eastAsia="Lato" w:hAnsi="Lato" w:cs="Lato"/>
          <w:vertAlign w:val="superscript"/>
        </w:rPr>
        <w:footnoteReference w:id="59"/>
      </w:r>
    </w:p>
    <w:p w14:paraId="1B98837E" w14:textId="77777777" w:rsidR="009E4D0A" w:rsidRDefault="009E4D0A">
      <w:pPr>
        <w:pBdr>
          <w:top w:val="nil"/>
          <w:left w:val="nil"/>
          <w:bottom w:val="nil"/>
          <w:right w:val="nil"/>
          <w:between w:val="nil"/>
        </w:pBdr>
        <w:jc w:val="both"/>
        <w:rPr>
          <w:rFonts w:ascii="Lato" w:eastAsia="Lato" w:hAnsi="Lato" w:cs="Lato"/>
          <w:b/>
        </w:rPr>
      </w:pPr>
    </w:p>
    <w:p w14:paraId="44F93E3B"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Draft General Comment No. 26 does not include any explicit reference to the principle of non-regression, which requires States not to weaken their domestic levels of protection of the environment.</w:t>
      </w:r>
      <w:r>
        <w:rPr>
          <w:rFonts w:ascii="Lato" w:eastAsia="Lato" w:hAnsi="Lato" w:cs="Lato"/>
          <w:vertAlign w:val="superscript"/>
        </w:rPr>
        <w:footnoteReference w:id="60"/>
      </w:r>
      <w:r>
        <w:rPr>
          <w:rFonts w:ascii="Lato" w:eastAsia="Lato" w:hAnsi="Lato" w:cs="Lato"/>
        </w:rPr>
        <w:t xml:space="preserve"> Such principle is increasingly recognized in international environmental agreements,</w:t>
      </w:r>
      <w:r>
        <w:rPr>
          <w:rFonts w:ascii="Lato" w:eastAsia="Lato" w:hAnsi="Lato" w:cs="Lato"/>
          <w:vertAlign w:val="superscript"/>
        </w:rPr>
        <w:footnoteReference w:id="61"/>
      </w:r>
      <w:r>
        <w:rPr>
          <w:rFonts w:ascii="Lato" w:eastAsia="Lato" w:hAnsi="Lato" w:cs="Lato"/>
        </w:rPr>
        <w:t xml:space="preserve"> and it is one of the premises on which the Paris Agreement has been built.</w:t>
      </w:r>
      <w:r>
        <w:rPr>
          <w:rFonts w:ascii="Lato" w:eastAsia="Lato" w:hAnsi="Lato" w:cs="Lato"/>
          <w:vertAlign w:val="superscript"/>
        </w:rPr>
        <w:footnoteReference w:id="62"/>
      </w:r>
    </w:p>
    <w:p w14:paraId="28D545E3" w14:textId="77777777" w:rsidR="009E4D0A" w:rsidRDefault="00000000">
      <w:pPr>
        <w:jc w:val="both"/>
        <w:rPr>
          <w:rFonts w:ascii="Lato" w:eastAsia="Lato" w:hAnsi="Lato" w:cs="Lato"/>
        </w:rPr>
      </w:pPr>
      <w:r>
        <w:rPr>
          <w:rFonts w:ascii="Lato" w:eastAsia="Lato" w:hAnsi="Lato" w:cs="Lato"/>
        </w:rPr>
        <w:t>The principle is especially powerful in a human rights context, to the point that it has been said that, when it comes to human rights in relation to the environment, “there is a strong presumption against retrogressive measures”.</w:t>
      </w:r>
      <w:r>
        <w:rPr>
          <w:rFonts w:ascii="Lato" w:eastAsia="Lato" w:hAnsi="Lato" w:cs="Lato"/>
          <w:vertAlign w:val="superscript"/>
        </w:rPr>
        <w:footnoteReference w:id="63"/>
      </w:r>
    </w:p>
    <w:p w14:paraId="18E6D0E3" w14:textId="77777777" w:rsidR="009E4D0A" w:rsidRDefault="009E4D0A">
      <w:pPr>
        <w:jc w:val="both"/>
        <w:rPr>
          <w:rFonts w:ascii="Lato" w:eastAsia="Lato" w:hAnsi="Lato" w:cs="Lato"/>
          <w:i/>
          <w:u w:val="single"/>
        </w:rPr>
      </w:pPr>
    </w:p>
    <w:p w14:paraId="69E84983"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We encourage the Committee to dedicate a specific subsection to the non-retrogression and non-regression principles, and to explicitly include them among the key concepts listed in the Draft General Comment no. 26 - in particular considering the importance of these principles to protect the rights of children in the context of intergenerational equity.</w:t>
      </w:r>
    </w:p>
    <w:p w14:paraId="0F591783" w14:textId="77777777" w:rsidR="009E4D0A" w:rsidRDefault="009E4D0A">
      <w:pPr>
        <w:jc w:val="both"/>
        <w:rPr>
          <w:rFonts w:ascii="Lato" w:eastAsia="Lato" w:hAnsi="Lato" w:cs="Lato"/>
          <w:u w:val="single"/>
        </w:rPr>
      </w:pPr>
    </w:p>
    <w:p w14:paraId="67E7A5CC" w14:textId="77777777" w:rsidR="009E4D0A" w:rsidRDefault="00000000">
      <w:pPr>
        <w:numPr>
          <w:ilvl w:val="0"/>
          <w:numId w:val="1"/>
        </w:numPr>
        <w:pBdr>
          <w:top w:val="nil"/>
          <w:left w:val="nil"/>
          <w:bottom w:val="nil"/>
          <w:right w:val="nil"/>
          <w:between w:val="nil"/>
        </w:pBdr>
        <w:jc w:val="both"/>
        <w:rPr>
          <w:rFonts w:ascii="Lato" w:eastAsia="Lato" w:hAnsi="Lato" w:cs="Lato"/>
          <w:b/>
          <w:color w:val="046B8C"/>
          <w:sz w:val="32"/>
          <w:szCs w:val="32"/>
        </w:rPr>
      </w:pPr>
      <w:r>
        <w:rPr>
          <w:rFonts w:ascii="Lato" w:eastAsia="Lato" w:hAnsi="Lato" w:cs="Lato"/>
          <w:b/>
          <w:color w:val="046B8C"/>
          <w:sz w:val="32"/>
          <w:szCs w:val="32"/>
        </w:rPr>
        <w:t xml:space="preserve">International Cooperation and Finance </w:t>
      </w:r>
    </w:p>
    <w:p w14:paraId="3CD07F91" w14:textId="77777777" w:rsidR="009E4D0A" w:rsidRDefault="009E4D0A">
      <w:pPr>
        <w:jc w:val="both"/>
        <w:rPr>
          <w:rFonts w:ascii="Lato" w:eastAsia="Lato" w:hAnsi="Lato" w:cs="Lato"/>
          <w:u w:val="single"/>
        </w:rPr>
      </w:pPr>
    </w:p>
    <w:p w14:paraId="25BAAC34"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 xml:space="preserve">We commend draft General Comment No. 26 for its inclusion of climate finance and welcome the recommendations for ensuring that climate finance takes a child rights-based approach. We also welcome the recommendation that climate finance bridge the gap between mitigation and adaptation. Additionally, climate finance must not contribute to the debt burden of recipient States, thus hindering their ability to uphold child rights and displacing costs onto future generations. As such, climate finance should be provided primarily as grants or other concessional finance. </w:t>
      </w:r>
    </w:p>
    <w:p w14:paraId="056D0828" w14:textId="77777777" w:rsidR="009E4D0A" w:rsidRDefault="009E4D0A">
      <w:pPr>
        <w:pBdr>
          <w:top w:val="nil"/>
          <w:left w:val="nil"/>
          <w:bottom w:val="nil"/>
          <w:right w:val="nil"/>
          <w:between w:val="nil"/>
        </w:pBdr>
        <w:jc w:val="both"/>
        <w:rPr>
          <w:rFonts w:ascii="Lato" w:eastAsia="Lato" w:hAnsi="Lato" w:cs="Lato"/>
        </w:rPr>
      </w:pPr>
    </w:p>
    <w:p w14:paraId="42DEA206"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Therefore, we recommend adding the following additional paragraph:</w:t>
      </w:r>
    </w:p>
    <w:p w14:paraId="71FAA28F" w14:textId="77777777" w:rsidR="009E4D0A" w:rsidRDefault="00000000">
      <w:pPr>
        <w:spacing w:before="240" w:after="240"/>
        <w:ind w:left="720"/>
        <w:jc w:val="both"/>
        <w:rPr>
          <w:rFonts w:ascii="Lato" w:eastAsia="Lato" w:hAnsi="Lato" w:cs="Lato"/>
          <w:i/>
        </w:rPr>
      </w:pPr>
      <w:r>
        <w:rPr>
          <w:rFonts w:ascii="Lato" w:eastAsia="Lato" w:hAnsi="Lato" w:cs="Lato"/>
          <w:i/>
        </w:rPr>
        <w:t xml:space="preserve">Climate finance should be provided in the form of grants not loans so as not to further indebt States, many of whom already face considerable debt burdens, which negatively impact their ability to address children’s rights. Loans can also disproportionately affect children as they will have the responsibility of paying off the debt. </w:t>
      </w:r>
    </w:p>
    <w:p w14:paraId="373B34BF"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b/>
        </w:rPr>
        <w:t xml:space="preserve">We also suggest addressing, in section G, States’ obligations in respect of international cooperation in all environmental matters, without focusing solely on climate cooperation, which should instead be specifically addressed in the subsection on climate finance. </w:t>
      </w:r>
      <w:r>
        <w:rPr>
          <w:rFonts w:ascii="Lato" w:eastAsia="Lato" w:hAnsi="Lato" w:cs="Lato"/>
        </w:rPr>
        <w:t>In section G, it is also advisable to add “developed” when referring to “high income States”.</w:t>
      </w:r>
      <w:r>
        <w:rPr>
          <w:rFonts w:ascii="Lato" w:eastAsia="Lato" w:hAnsi="Lato" w:cs="Lato"/>
          <w:vertAlign w:val="superscript"/>
        </w:rPr>
        <w:footnoteReference w:id="64"/>
      </w:r>
    </w:p>
    <w:p w14:paraId="75635355" w14:textId="77777777" w:rsidR="009E4D0A" w:rsidRDefault="009E4D0A">
      <w:pPr>
        <w:jc w:val="both"/>
        <w:rPr>
          <w:rFonts w:ascii="Lato" w:eastAsia="Lato" w:hAnsi="Lato" w:cs="Lato"/>
          <w:i/>
          <w:u w:val="single"/>
        </w:rPr>
      </w:pPr>
    </w:p>
    <w:p w14:paraId="7E80DCCF" w14:textId="77777777" w:rsidR="009E4D0A" w:rsidRDefault="00000000">
      <w:pPr>
        <w:numPr>
          <w:ilvl w:val="0"/>
          <w:numId w:val="1"/>
        </w:numPr>
        <w:pBdr>
          <w:top w:val="nil"/>
          <w:left w:val="nil"/>
          <w:bottom w:val="nil"/>
          <w:right w:val="nil"/>
          <w:between w:val="nil"/>
        </w:pBdr>
        <w:jc w:val="both"/>
        <w:rPr>
          <w:rFonts w:ascii="Lato" w:eastAsia="Lato" w:hAnsi="Lato" w:cs="Lato"/>
          <w:b/>
          <w:color w:val="046B8C"/>
          <w:sz w:val="32"/>
          <w:szCs w:val="32"/>
        </w:rPr>
      </w:pPr>
      <w:r>
        <w:rPr>
          <w:rFonts w:ascii="Lato" w:eastAsia="Lato" w:hAnsi="Lato" w:cs="Lato"/>
          <w:b/>
          <w:color w:val="046B8C"/>
          <w:sz w:val="32"/>
          <w:szCs w:val="32"/>
        </w:rPr>
        <w:t>Other recommendations</w:t>
      </w:r>
    </w:p>
    <w:p w14:paraId="30A3F7FF" w14:textId="77777777" w:rsidR="009E4D0A" w:rsidRDefault="009E4D0A">
      <w:pPr>
        <w:jc w:val="both"/>
        <w:rPr>
          <w:rFonts w:ascii="Lato" w:eastAsia="Lato" w:hAnsi="Lato" w:cs="Lato"/>
          <w:i/>
          <w:u w:val="single"/>
        </w:rPr>
      </w:pPr>
    </w:p>
    <w:p w14:paraId="1D6DC2C9"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Given the broad scope of the draft General Comment, we believe that the Committee could refer in its introduction to a broader set of multilateral environmental agreements in addition to those related to climate change, including references to legal instruments related to biodiversity and toxics and hazardous substances (cf. para. 10).</w:t>
      </w:r>
    </w:p>
    <w:p w14:paraId="16D667FF" w14:textId="77777777" w:rsidR="009E4D0A" w:rsidRDefault="009E4D0A">
      <w:pPr>
        <w:pBdr>
          <w:top w:val="nil"/>
          <w:left w:val="nil"/>
          <w:bottom w:val="nil"/>
          <w:right w:val="nil"/>
          <w:between w:val="nil"/>
        </w:pBdr>
        <w:ind w:left="720"/>
        <w:jc w:val="both"/>
        <w:rPr>
          <w:rFonts w:ascii="Lato" w:eastAsia="Lato" w:hAnsi="Lato" w:cs="Lato"/>
        </w:rPr>
      </w:pPr>
    </w:p>
    <w:p w14:paraId="3A606659"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References to the importance of taking the best available science into account should also acknowledge the importance of indigenous and traditional knowledge in understanding potential climate-related and other environmental harms on children’s rights (cf. para. 14). Additionally “best available science”  does not need to be qualified as “accepted”.</w:t>
      </w:r>
    </w:p>
    <w:p w14:paraId="1F432D77" w14:textId="77777777" w:rsidR="009E4D0A" w:rsidRDefault="009E4D0A">
      <w:pPr>
        <w:pBdr>
          <w:top w:val="nil"/>
          <w:left w:val="nil"/>
          <w:bottom w:val="nil"/>
          <w:right w:val="nil"/>
          <w:between w:val="nil"/>
        </w:pBdr>
        <w:jc w:val="both"/>
        <w:rPr>
          <w:rFonts w:ascii="Lato" w:eastAsia="Lato" w:hAnsi="Lato" w:cs="Lato"/>
        </w:rPr>
      </w:pPr>
    </w:p>
    <w:p w14:paraId="6F33EC7E" w14:textId="77777777" w:rsidR="009E4D0A" w:rsidRDefault="00000000">
      <w:pPr>
        <w:numPr>
          <w:ilvl w:val="0"/>
          <w:numId w:val="1"/>
        </w:numPr>
        <w:pBdr>
          <w:top w:val="nil"/>
          <w:left w:val="nil"/>
          <w:bottom w:val="nil"/>
          <w:right w:val="nil"/>
          <w:between w:val="nil"/>
        </w:pBdr>
        <w:jc w:val="both"/>
        <w:rPr>
          <w:rFonts w:ascii="Lato" w:eastAsia="Lato" w:hAnsi="Lato" w:cs="Lato"/>
          <w:b/>
          <w:color w:val="046B8C"/>
          <w:sz w:val="32"/>
          <w:szCs w:val="32"/>
        </w:rPr>
      </w:pPr>
      <w:r>
        <w:rPr>
          <w:rFonts w:ascii="Lato" w:eastAsia="Lato" w:hAnsi="Lato" w:cs="Lato"/>
          <w:b/>
          <w:color w:val="046B8C"/>
          <w:sz w:val="32"/>
          <w:szCs w:val="32"/>
        </w:rPr>
        <w:t>Conclusion</w:t>
      </w:r>
    </w:p>
    <w:p w14:paraId="36049BCE" w14:textId="77777777" w:rsidR="009E4D0A" w:rsidRDefault="00000000">
      <w:pPr>
        <w:jc w:val="both"/>
        <w:rPr>
          <w:rFonts w:ascii="Lato" w:eastAsia="Lato" w:hAnsi="Lato" w:cs="Lato"/>
          <w:b/>
          <w:u w:val="single"/>
        </w:rPr>
      </w:pPr>
      <w:r>
        <w:rPr>
          <w:rFonts w:ascii="Lato" w:eastAsia="Lato" w:hAnsi="Lato" w:cs="Lato"/>
          <w:b/>
          <w:u w:val="single"/>
        </w:rPr>
        <w:t xml:space="preserve"> </w:t>
      </w:r>
    </w:p>
    <w:p w14:paraId="69D9F564" w14:textId="77777777" w:rsidR="009E4D0A" w:rsidRDefault="00000000">
      <w:pPr>
        <w:numPr>
          <w:ilvl w:val="0"/>
          <w:numId w:val="3"/>
        </w:numPr>
        <w:pBdr>
          <w:top w:val="nil"/>
          <w:left w:val="nil"/>
          <w:bottom w:val="nil"/>
          <w:right w:val="nil"/>
          <w:between w:val="nil"/>
        </w:pBdr>
        <w:ind w:left="0" w:firstLine="0"/>
        <w:jc w:val="both"/>
        <w:rPr>
          <w:rFonts w:ascii="Lato" w:eastAsia="Lato" w:hAnsi="Lato" w:cs="Lato"/>
        </w:rPr>
      </w:pPr>
      <w:r>
        <w:rPr>
          <w:rFonts w:ascii="Lato" w:eastAsia="Lato" w:hAnsi="Lato" w:cs="Lato"/>
        </w:rPr>
        <w:t xml:space="preserve">CIEL thanks the Committee for the opportunity to present this submission. For any questions or clarification, please do not hesitate to reach us at </w:t>
      </w:r>
      <w:r>
        <w:rPr>
          <w:rFonts w:ascii="Lato" w:eastAsia="Lato" w:hAnsi="Lato" w:cs="Lato"/>
          <w:color w:val="0000FF"/>
        </w:rPr>
        <w:t>sduyck@ciel.org</w:t>
      </w:r>
      <w:r>
        <w:rPr>
          <w:rFonts w:ascii="Lato" w:eastAsia="Lato" w:hAnsi="Lato" w:cs="Lato"/>
        </w:rPr>
        <w:t>.</w:t>
      </w:r>
    </w:p>
    <w:sectPr w:rsidR="009E4D0A">
      <w:headerReference w:type="default" r:id="rId7"/>
      <w:footerReference w:type="default" r:id="rId8"/>
      <w:headerReference w:type="first" r:id="rId9"/>
      <w:footerReference w:type="first" r:id="rId1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ED67" w14:textId="77777777" w:rsidR="00812E13" w:rsidRDefault="00812E13">
      <w:pPr>
        <w:spacing w:line="240" w:lineRule="auto"/>
      </w:pPr>
      <w:r>
        <w:separator/>
      </w:r>
    </w:p>
  </w:endnote>
  <w:endnote w:type="continuationSeparator" w:id="0">
    <w:p w14:paraId="167F15C9" w14:textId="77777777" w:rsidR="00812E13" w:rsidRDefault="00812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FE0E" w14:textId="00DBA41B" w:rsidR="009E4D0A" w:rsidRDefault="00000000">
    <w:pPr>
      <w:jc w:val="right"/>
      <w:rPr>
        <w:rFonts w:ascii="Lato" w:eastAsia="Lato" w:hAnsi="Lato" w:cs="Lato"/>
      </w:rPr>
    </w:pPr>
    <w:r>
      <w:rPr>
        <w:rFonts w:ascii="Lato" w:eastAsia="Lato" w:hAnsi="Lato" w:cs="Lato"/>
      </w:rPr>
      <w:fldChar w:fldCharType="begin"/>
    </w:r>
    <w:r>
      <w:rPr>
        <w:rFonts w:ascii="Lato" w:eastAsia="Lato" w:hAnsi="Lato" w:cs="Lato"/>
      </w:rPr>
      <w:instrText>PAGE</w:instrText>
    </w:r>
    <w:r>
      <w:rPr>
        <w:rFonts w:ascii="Lato" w:eastAsia="Lato" w:hAnsi="Lato" w:cs="Lato"/>
      </w:rPr>
      <w:fldChar w:fldCharType="separate"/>
    </w:r>
    <w:r w:rsidR="008F4F83">
      <w:rPr>
        <w:rFonts w:ascii="Lato" w:eastAsia="Lato" w:hAnsi="Lato" w:cs="Lato"/>
        <w:noProof/>
      </w:rPr>
      <w:t>2</w:t>
    </w:r>
    <w:r>
      <w:rPr>
        <w:rFonts w:ascii="Lato" w:eastAsia="Lato" w:hAnsi="Lato" w:cs="La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033" w14:textId="77777777" w:rsidR="009E4D0A" w:rsidRDefault="00000000">
    <w:pPr>
      <w:jc w:val="right"/>
    </w:pPr>
    <w:r>
      <w:fldChar w:fldCharType="begin"/>
    </w:r>
    <w:r>
      <w:instrText>PAGE</w:instrText>
    </w:r>
    <w:r>
      <w:fldChar w:fldCharType="separate"/>
    </w:r>
    <w:r w:rsidR="008F4F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C53C" w14:textId="77777777" w:rsidR="00812E13" w:rsidRDefault="00812E13">
      <w:pPr>
        <w:spacing w:line="240" w:lineRule="auto"/>
      </w:pPr>
      <w:r>
        <w:separator/>
      </w:r>
    </w:p>
  </w:footnote>
  <w:footnote w:type="continuationSeparator" w:id="0">
    <w:p w14:paraId="780C135B" w14:textId="77777777" w:rsidR="00812E13" w:rsidRDefault="00812E13">
      <w:pPr>
        <w:spacing w:line="240" w:lineRule="auto"/>
      </w:pPr>
      <w:r>
        <w:continuationSeparator/>
      </w:r>
    </w:p>
  </w:footnote>
  <w:footnote w:id="1">
    <w:p w14:paraId="4F75A917" w14:textId="77777777" w:rsidR="009E4D0A" w:rsidRDefault="00000000">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Committee on the Rights of Child, </w:t>
      </w:r>
      <w:r>
        <w:rPr>
          <w:rFonts w:ascii="Lato" w:eastAsia="Lato" w:hAnsi="Lato" w:cs="Lato"/>
          <w:i/>
          <w:sz w:val="20"/>
          <w:szCs w:val="20"/>
        </w:rPr>
        <w:t>Draft General Comment No. 26</w:t>
      </w:r>
      <w:r>
        <w:rPr>
          <w:rFonts w:ascii="Lato" w:eastAsia="Lato" w:hAnsi="Lato" w:cs="Lato"/>
          <w:sz w:val="20"/>
          <w:szCs w:val="20"/>
        </w:rPr>
        <w:t>, at para 108 to 113.</w:t>
      </w:r>
    </w:p>
  </w:footnote>
  <w:footnote w:id="2">
    <w:p w14:paraId="6FE4B936"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World Economic Forum, </w:t>
      </w:r>
      <w:r>
        <w:rPr>
          <w:rFonts w:ascii="Lato" w:eastAsia="Lato" w:hAnsi="Lato" w:cs="Lato"/>
          <w:i/>
          <w:sz w:val="20"/>
          <w:szCs w:val="20"/>
        </w:rPr>
        <w:t xml:space="preserve">Analysis: </w:t>
      </w:r>
      <w:hyperlink r:id="rId1">
        <w:r>
          <w:rPr>
            <w:rFonts w:ascii="Lato" w:eastAsia="Lato" w:hAnsi="Lato" w:cs="Lato"/>
            <w:i/>
            <w:color w:val="1155CC"/>
            <w:sz w:val="20"/>
            <w:szCs w:val="20"/>
            <w:u w:val="single"/>
          </w:rPr>
          <w:t>Global CO2 emissions from fossil fuels hits record high in 2022</w:t>
        </w:r>
      </w:hyperlink>
      <w:r>
        <w:rPr>
          <w:rFonts w:ascii="Lato" w:eastAsia="Lato" w:hAnsi="Lato" w:cs="Lato"/>
          <w:sz w:val="20"/>
          <w:szCs w:val="20"/>
        </w:rPr>
        <w:t xml:space="preserve">, 2022, citing the </w:t>
      </w:r>
      <w:r>
        <w:rPr>
          <w:rFonts w:ascii="Lato" w:eastAsia="Lato" w:hAnsi="Lato" w:cs="Lato"/>
          <w:sz w:val="20"/>
          <w:szCs w:val="20"/>
          <w:highlight w:val="white"/>
        </w:rPr>
        <w:t>Global Carbon Project,</w:t>
      </w:r>
      <w:r>
        <w:rPr>
          <w:rFonts w:ascii="Lato" w:eastAsia="Lato" w:hAnsi="Lato" w:cs="Lato"/>
          <w:i/>
          <w:sz w:val="20"/>
          <w:szCs w:val="20"/>
          <w:highlight w:val="white"/>
        </w:rPr>
        <w:t xml:space="preserve"> Carbon budget and trends 2022</w:t>
      </w:r>
      <w:r>
        <w:rPr>
          <w:rFonts w:ascii="Lato" w:eastAsia="Lato" w:hAnsi="Lato" w:cs="Lato"/>
          <w:sz w:val="20"/>
          <w:szCs w:val="20"/>
          <w:highlight w:val="white"/>
        </w:rPr>
        <w:t>.</w:t>
      </w:r>
    </w:p>
  </w:footnote>
  <w:footnote w:id="3">
    <w:p w14:paraId="34A22F00"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IPCC, </w:t>
      </w:r>
      <w:r>
        <w:rPr>
          <w:rFonts w:ascii="Lato" w:eastAsia="Lato" w:hAnsi="Lato" w:cs="Lato"/>
          <w:i/>
          <w:sz w:val="20"/>
          <w:szCs w:val="20"/>
        </w:rPr>
        <w:t>Climate Change 2014: Synthesis Report. Contribution of Working Groups I, II and III to the Fifth Assessment Report of the Intergovernmental Panel on Climate Change, Summary for Policymakers</w:t>
      </w:r>
      <w:r>
        <w:rPr>
          <w:rFonts w:ascii="Lato" w:eastAsia="Lato" w:hAnsi="Lato" w:cs="Lato"/>
          <w:sz w:val="20"/>
          <w:szCs w:val="20"/>
        </w:rPr>
        <w:t>, p. 5 (2014).</w:t>
      </w:r>
    </w:p>
  </w:footnote>
  <w:footnote w:id="4">
    <w:p w14:paraId="4CF1D982"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This has often been  recalled by the Special Rapporteur on the implications for human rights of the environmentally sound management and disposal of hazardous substances and wastes. See Report No. A/77/183, </w:t>
      </w:r>
      <w:r>
        <w:rPr>
          <w:rFonts w:ascii="Lato" w:eastAsia="Lato" w:hAnsi="Lato" w:cs="Lato"/>
          <w:i/>
          <w:sz w:val="20"/>
          <w:szCs w:val="20"/>
        </w:rPr>
        <w:t>Implications for human rights of the environmentally sound management and disposal of hazardous substances and wastes - The impact of toxic substances on the human rights of indigenous peoples</w:t>
      </w:r>
      <w:r>
        <w:rPr>
          <w:rFonts w:ascii="Lato" w:eastAsia="Lato" w:hAnsi="Lato" w:cs="Lato"/>
          <w:sz w:val="20"/>
          <w:szCs w:val="20"/>
        </w:rPr>
        <w:t xml:space="preserve">, 28 July 2022, at para 24, 51, 52; Report No. A/76/207, </w:t>
      </w:r>
      <w:r>
        <w:rPr>
          <w:rFonts w:ascii="Lato" w:eastAsia="Lato" w:hAnsi="Lato" w:cs="Lato"/>
          <w:i/>
          <w:sz w:val="20"/>
          <w:szCs w:val="20"/>
        </w:rPr>
        <w:t>Implications for human rights of the environmentally sound management and disposal of hazardous substances and wastes - The stages of the plastics cycle and their impacts on human rights</w:t>
      </w:r>
      <w:r>
        <w:rPr>
          <w:rFonts w:ascii="Lato" w:eastAsia="Lato" w:hAnsi="Lato" w:cs="Lato"/>
          <w:sz w:val="20"/>
          <w:szCs w:val="20"/>
        </w:rPr>
        <w:t>, 22 July 2021, at para 102 and 105; Report No. A/HRC/45/12</w:t>
      </w:r>
      <w:r>
        <w:rPr>
          <w:rFonts w:ascii="Lato" w:eastAsia="Lato" w:hAnsi="Lato" w:cs="Lato"/>
          <w:sz w:val="14"/>
          <w:szCs w:val="14"/>
        </w:rPr>
        <w:t xml:space="preserve">, </w:t>
      </w:r>
      <w:r>
        <w:rPr>
          <w:rFonts w:ascii="Lato" w:eastAsia="Lato" w:hAnsi="Lato" w:cs="Lato"/>
          <w:i/>
          <w:sz w:val="20"/>
          <w:szCs w:val="20"/>
        </w:rPr>
        <w:t>Implications for human rights of the environmentally sound management and disposal of hazardous substances and wastes</w:t>
      </w:r>
      <w:r>
        <w:rPr>
          <w:rFonts w:ascii="Lato" w:eastAsia="Lato" w:hAnsi="Lato" w:cs="Lato"/>
          <w:sz w:val="20"/>
          <w:szCs w:val="20"/>
        </w:rPr>
        <w:t>, 13 October 2020, at para 44.</w:t>
      </w:r>
    </w:p>
  </w:footnote>
  <w:footnote w:id="5">
    <w:p w14:paraId="75322724" w14:textId="77777777" w:rsidR="009E4D0A" w:rsidRDefault="00000000">
      <w:pPr>
        <w:spacing w:line="240" w:lineRule="auto"/>
        <w:rPr>
          <w:sz w:val="20"/>
          <w:szCs w:val="20"/>
        </w:rPr>
      </w:pPr>
      <w:r>
        <w:rPr>
          <w:vertAlign w:val="superscript"/>
        </w:rPr>
        <w:footnoteRef/>
      </w:r>
      <w:r>
        <w:rPr>
          <w:sz w:val="20"/>
          <w:szCs w:val="20"/>
        </w:rPr>
        <w:t xml:space="preserve"> Report of the Special Rapporteur on contemporary forms of racism, racial discrimination, xenophobia and related intolerance, E. Tendayi Achiume - Ecological crisis, climate justice and racial justice, </w:t>
      </w:r>
      <w:hyperlink r:id="rId2">
        <w:r>
          <w:rPr>
            <w:color w:val="1155CC"/>
            <w:sz w:val="20"/>
            <w:szCs w:val="20"/>
            <w:u w:val="single"/>
          </w:rPr>
          <w:t>UN Doc. A/77/549</w:t>
        </w:r>
      </w:hyperlink>
      <w:r>
        <w:rPr>
          <w:sz w:val="20"/>
          <w:szCs w:val="20"/>
        </w:rPr>
        <w:t>, para. 22 ff.</w:t>
      </w:r>
    </w:p>
  </w:footnote>
  <w:footnote w:id="6">
    <w:p w14:paraId="201484E5"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Committee on the Rights of the Child, </w:t>
      </w:r>
      <w:r>
        <w:rPr>
          <w:rFonts w:ascii="Lato" w:eastAsia="Lato" w:hAnsi="Lato" w:cs="Lato"/>
          <w:i/>
          <w:sz w:val="20"/>
          <w:szCs w:val="20"/>
        </w:rPr>
        <w:t>Concluding observations on the combined fifth and sixth periodic reports of Switzerland</w:t>
      </w:r>
      <w:r>
        <w:rPr>
          <w:rFonts w:ascii="Lato" w:eastAsia="Lato" w:hAnsi="Lato" w:cs="Lato"/>
          <w:sz w:val="20"/>
          <w:szCs w:val="20"/>
        </w:rPr>
        <w:t xml:space="preserve">, Report No. CRC/C/CHE/CO/5-6, 22 October 2021; Committee on the Rights of the Child, </w:t>
      </w:r>
      <w:r>
        <w:rPr>
          <w:rFonts w:ascii="Lato" w:eastAsia="Lato" w:hAnsi="Lato" w:cs="Lato"/>
          <w:i/>
          <w:sz w:val="20"/>
          <w:szCs w:val="20"/>
        </w:rPr>
        <w:t>Concluding observations on the combined fifth and sixth periodic reports of Canada</w:t>
      </w:r>
      <w:r>
        <w:rPr>
          <w:rFonts w:ascii="Lato" w:eastAsia="Lato" w:hAnsi="Lato" w:cs="Lato"/>
          <w:sz w:val="20"/>
          <w:szCs w:val="20"/>
        </w:rPr>
        <w:t>, Report No. CRC/C/CAN/CO/5-6, 23 June 2022.</w:t>
      </w:r>
    </w:p>
  </w:footnote>
  <w:footnote w:id="7">
    <w:p w14:paraId="4E3AFF8F"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Committee on the Rights of the Child, </w:t>
      </w:r>
      <w:r>
        <w:rPr>
          <w:rFonts w:ascii="Lato" w:eastAsia="Lato" w:hAnsi="Lato" w:cs="Lato"/>
          <w:i/>
          <w:sz w:val="20"/>
          <w:szCs w:val="20"/>
        </w:rPr>
        <w:t>Concluding observations on the combined fifth and sixth periodic reports of Norway</w:t>
      </w:r>
      <w:r>
        <w:rPr>
          <w:rFonts w:ascii="Lato" w:eastAsia="Lato" w:hAnsi="Lato" w:cs="Lato"/>
          <w:sz w:val="20"/>
          <w:szCs w:val="20"/>
        </w:rPr>
        <w:t xml:space="preserve">, Report No. CRC/C/NOR/CO/5-6, 4 July 2018; Committee on the Rights of the Child, </w:t>
      </w:r>
      <w:r>
        <w:rPr>
          <w:rFonts w:ascii="Lato" w:eastAsia="Lato" w:hAnsi="Lato" w:cs="Lato"/>
          <w:i/>
          <w:sz w:val="20"/>
          <w:szCs w:val="20"/>
        </w:rPr>
        <w:t>Concluding observations on the combined fifth and sixth periodic reports of Canada</w:t>
      </w:r>
      <w:r>
        <w:rPr>
          <w:rFonts w:ascii="Lato" w:eastAsia="Lato" w:hAnsi="Lato" w:cs="Lato"/>
          <w:sz w:val="20"/>
          <w:szCs w:val="20"/>
        </w:rPr>
        <w:t>, Report No. CRC/C/CAN/CO/5-6, 23 June 2022.</w:t>
      </w:r>
    </w:p>
  </w:footnote>
  <w:footnote w:id="8">
    <w:p w14:paraId="486AFDE5" w14:textId="77777777" w:rsidR="009E4D0A" w:rsidRDefault="00000000">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Committee on the Rights of Child, </w:t>
      </w:r>
      <w:r>
        <w:rPr>
          <w:rFonts w:ascii="Lato" w:eastAsia="Lato" w:hAnsi="Lato" w:cs="Lato"/>
          <w:i/>
          <w:sz w:val="20"/>
          <w:szCs w:val="20"/>
        </w:rPr>
        <w:t>Draft General Comment No. 26</w:t>
      </w:r>
      <w:r>
        <w:rPr>
          <w:rFonts w:ascii="Lato" w:eastAsia="Lato" w:hAnsi="Lato" w:cs="Lato"/>
          <w:sz w:val="20"/>
          <w:szCs w:val="20"/>
        </w:rPr>
        <w:t>, at section V.</w:t>
      </w:r>
    </w:p>
  </w:footnote>
  <w:footnote w:id="9">
    <w:p w14:paraId="4B9B1814" w14:textId="77777777" w:rsidR="009E4D0A" w:rsidRDefault="00000000">
      <w:pPr>
        <w:pBdr>
          <w:top w:val="nil"/>
          <w:left w:val="nil"/>
          <w:bottom w:val="nil"/>
          <w:right w:val="nil"/>
          <w:between w:val="nil"/>
        </w:pBd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w:t>
      </w:r>
      <w:r>
        <w:rPr>
          <w:rFonts w:ascii="Lato" w:eastAsia="Lato" w:hAnsi="Lato" w:cs="Lato"/>
          <w:i/>
          <w:sz w:val="20"/>
          <w:szCs w:val="20"/>
        </w:rPr>
        <w:t>Ibid.</w:t>
      </w:r>
      <w:r>
        <w:rPr>
          <w:rFonts w:ascii="Lato" w:eastAsia="Lato" w:hAnsi="Lato" w:cs="Lato"/>
          <w:sz w:val="20"/>
          <w:szCs w:val="20"/>
        </w:rPr>
        <w:t>, at section VI.</w:t>
      </w:r>
    </w:p>
  </w:footnote>
  <w:footnote w:id="10">
    <w:p w14:paraId="17F78199" w14:textId="77777777" w:rsidR="009E4D0A" w:rsidRDefault="00000000">
      <w:pPr>
        <w:spacing w:line="240" w:lineRule="auto"/>
        <w:jc w:val="both"/>
        <w:rPr>
          <w:sz w:val="20"/>
          <w:szCs w:val="20"/>
        </w:rPr>
      </w:pPr>
      <w:r>
        <w:rPr>
          <w:vertAlign w:val="superscript"/>
        </w:rPr>
        <w:footnoteRef/>
      </w:r>
      <w:r>
        <w:rPr>
          <w:rFonts w:ascii="Lato" w:eastAsia="Lato" w:hAnsi="Lato" w:cs="Lato"/>
          <w:sz w:val="20"/>
          <w:szCs w:val="20"/>
        </w:rPr>
        <w:t xml:space="preserve"> IPCC,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Ch. 1, Box 1.1 (2018), Technical Summary (TS), p. 44, Ch. 5, p. 447. </w:t>
      </w:r>
    </w:p>
  </w:footnote>
  <w:footnote w:id="11">
    <w:p w14:paraId="0D338541" w14:textId="77777777" w:rsidR="009E4D0A" w:rsidRDefault="00000000">
      <w:pPr>
        <w:spacing w:line="240" w:lineRule="auto"/>
        <w:rPr>
          <w:sz w:val="20"/>
          <w:szCs w:val="20"/>
        </w:rPr>
      </w:pPr>
      <w:r>
        <w:rPr>
          <w:vertAlign w:val="superscript"/>
        </w:rPr>
        <w:footnoteRef/>
      </w:r>
      <w:r>
        <w:rPr>
          <w:rFonts w:ascii="Lato" w:eastAsia="Lato" w:hAnsi="Lato" w:cs="Lato"/>
          <w:sz w:val="20"/>
          <w:szCs w:val="20"/>
        </w:rPr>
        <w:t xml:space="preserve"> </w:t>
      </w:r>
      <w:r>
        <w:rPr>
          <w:rFonts w:ascii="Lato" w:eastAsia="Lato" w:hAnsi="Lato" w:cs="Lato"/>
          <w:i/>
          <w:sz w:val="20"/>
          <w:szCs w:val="20"/>
        </w:rPr>
        <w:t>Ibid</w:t>
      </w:r>
      <w:r>
        <w:rPr>
          <w:rFonts w:ascii="Lato" w:eastAsia="Lato" w:hAnsi="Lato" w:cs="Lato"/>
          <w:sz w:val="20"/>
          <w:szCs w:val="20"/>
        </w:rPr>
        <w:t xml:space="preserve">.,, Ch. 3, 3.3.2.2; IPCC, 1.5SR, SPM, B.5.2. </w:t>
      </w:r>
    </w:p>
  </w:footnote>
  <w:footnote w:id="12">
    <w:p w14:paraId="0C8BCAB6" w14:textId="77777777" w:rsidR="009E4D0A" w:rsidRDefault="00000000">
      <w:pPr>
        <w:spacing w:line="240" w:lineRule="auto"/>
        <w:rPr>
          <w:sz w:val="20"/>
          <w:szCs w:val="20"/>
        </w:rPr>
      </w:pPr>
      <w:r>
        <w:rPr>
          <w:vertAlign w:val="superscript"/>
        </w:rPr>
        <w:footnoteRef/>
      </w:r>
      <w:r>
        <w:rPr>
          <w:sz w:val="20"/>
          <w:szCs w:val="20"/>
        </w:rPr>
        <w:t xml:space="preserve"> See CIEL, Heinrich Boell, IPCC Unsummarized: Unmasking Clear Warnings on Overshoot, Techno-fixes, and the Urgency of Climate Justice (April 2022), https://www.ciel.org/reports/ipcc-wg3-briefing/; CIEL, Heinrich Boell, Beyond the Limits: New IPCC WG II Report Highlights How Gambling on Overshoot is Pushing the Planet Past a Point of No Return, (February 2022), https://www.ciel.org/reports/ipcc-wg2-briefing/.</w:t>
      </w:r>
    </w:p>
  </w:footnote>
  <w:footnote w:id="13">
    <w:p w14:paraId="69EC4F27" w14:textId="77777777" w:rsidR="009E4D0A" w:rsidRDefault="00000000">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Committee on the Rights of Child, </w:t>
      </w:r>
      <w:r>
        <w:rPr>
          <w:rFonts w:ascii="Lato" w:eastAsia="Lato" w:hAnsi="Lato" w:cs="Lato"/>
          <w:i/>
          <w:sz w:val="20"/>
          <w:szCs w:val="20"/>
        </w:rPr>
        <w:t>Draft General Comment No. 26</w:t>
      </w:r>
      <w:r>
        <w:rPr>
          <w:rFonts w:ascii="Lato" w:eastAsia="Lato" w:hAnsi="Lato" w:cs="Lato"/>
          <w:sz w:val="20"/>
          <w:szCs w:val="20"/>
        </w:rPr>
        <w:t>, at para 102.</w:t>
      </w:r>
    </w:p>
  </w:footnote>
  <w:footnote w:id="14">
    <w:p w14:paraId="29A57D5C" w14:textId="77777777" w:rsidR="009E4D0A" w:rsidRDefault="00000000">
      <w:pPr>
        <w:spacing w:line="240" w:lineRule="auto"/>
        <w:rPr>
          <w:sz w:val="20"/>
          <w:szCs w:val="20"/>
        </w:rPr>
      </w:pPr>
      <w:r>
        <w:rPr>
          <w:vertAlign w:val="superscript"/>
        </w:rPr>
        <w:footnoteRef/>
      </w:r>
      <w:r>
        <w:rPr>
          <w:sz w:val="20"/>
          <w:szCs w:val="20"/>
        </w:rPr>
        <w:t xml:space="preserve"> </w:t>
      </w:r>
      <w:r>
        <w:rPr>
          <w:rFonts w:ascii="Lato" w:eastAsia="Lato" w:hAnsi="Lato" w:cs="Lato"/>
          <w:sz w:val="20"/>
          <w:szCs w:val="20"/>
        </w:rPr>
        <w:t xml:space="preserve">Committee on the Rights of Child, </w:t>
      </w:r>
      <w:r>
        <w:rPr>
          <w:rFonts w:ascii="Lato" w:eastAsia="Lato" w:hAnsi="Lato" w:cs="Lato"/>
          <w:i/>
          <w:sz w:val="20"/>
          <w:szCs w:val="20"/>
        </w:rPr>
        <w:t>Draft General Comment No. 26</w:t>
      </w:r>
      <w:r>
        <w:rPr>
          <w:rFonts w:ascii="Lato" w:eastAsia="Lato" w:hAnsi="Lato" w:cs="Lato"/>
          <w:sz w:val="20"/>
          <w:szCs w:val="20"/>
        </w:rPr>
        <w:t>, at para 111(e).</w:t>
      </w:r>
    </w:p>
  </w:footnote>
  <w:footnote w:id="15">
    <w:p w14:paraId="4CC7055E" w14:textId="77777777" w:rsidR="009E4D0A" w:rsidRDefault="00000000">
      <w:pPr>
        <w:spacing w:line="240" w:lineRule="auto"/>
        <w:rPr>
          <w:sz w:val="20"/>
          <w:szCs w:val="20"/>
        </w:rPr>
      </w:pPr>
      <w:r>
        <w:rPr>
          <w:vertAlign w:val="superscript"/>
        </w:rPr>
        <w:footnoteRef/>
      </w:r>
      <w:r>
        <w:rPr>
          <w:sz w:val="20"/>
          <w:szCs w:val="20"/>
        </w:rPr>
        <w:t xml:space="preserve"> </w:t>
      </w:r>
      <w:r>
        <w:rPr>
          <w:rFonts w:ascii="Lato" w:eastAsia="Lato" w:hAnsi="Lato" w:cs="Lato"/>
          <w:sz w:val="20"/>
          <w:szCs w:val="20"/>
        </w:rPr>
        <w:t xml:space="preserve">Committee on the Rights of Child, </w:t>
      </w:r>
      <w:r>
        <w:rPr>
          <w:rFonts w:ascii="Lato" w:eastAsia="Lato" w:hAnsi="Lato" w:cs="Lato"/>
          <w:i/>
          <w:sz w:val="20"/>
          <w:szCs w:val="20"/>
        </w:rPr>
        <w:t>Draft General Comment No. 26</w:t>
      </w:r>
      <w:r>
        <w:rPr>
          <w:rFonts w:ascii="Lato" w:eastAsia="Lato" w:hAnsi="Lato" w:cs="Lato"/>
          <w:sz w:val="20"/>
          <w:szCs w:val="20"/>
        </w:rPr>
        <w:t>, at paras. 112, 117.</w:t>
      </w:r>
    </w:p>
  </w:footnote>
  <w:footnote w:id="16">
    <w:p w14:paraId="0A25C3EA" w14:textId="77777777" w:rsidR="009E4D0A" w:rsidRDefault="00000000">
      <w:pPr>
        <w:spacing w:line="240" w:lineRule="auto"/>
        <w:jc w:val="both"/>
        <w:rPr>
          <w:sz w:val="20"/>
          <w:szCs w:val="20"/>
          <w:highlight w:val="magenta"/>
        </w:rPr>
      </w:pPr>
      <w:r>
        <w:rPr>
          <w:vertAlign w:val="superscript"/>
        </w:rPr>
        <w:footnoteRef/>
      </w:r>
      <w:r>
        <w:rPr>
          <w:rFonts w:ascii="Lato" w:eastAsia="Lato" w:hAnsi="Lato" w:cs="Lato"/>
          <w:sz w:val="20"/>
          <w:szCs w:val="20"/>
        </w:rPr>
        <w:t xml:space="preserve"> See for instance United Nations’ High-level expert group on the Net Zero Emissions Commitments of non-State entities, </w:t>
      </w:r>
      <w:hyperlink r:id="rId3">
        <w:r>
          <w:rPr>
            <w:rFonts w:ascii="Lato" w:eastAsia="Lato" w:hAnsi="Lato" w:cs="Lato"/>
            <w:i/>
            <w:color w:val="1155CC"/>
            <w:sz w:val="20"/>
            <w:szCs w:val="20"/>
            <w:u w:val="single"/>
          </w:rPr>
          <w:t>Integrity matters: net zero commitments by businesses, financial institutions, cities and regions</w:t>
        </w:r>
      </w:hyperlink>
      <w:r>
        <w:rPr>
          <w:rFonts w:ascii="Lato" w:eastAsia="Lato" w:hAnsi="Lato" w:cs="Lato"/>
          <w:sz w:val="20"/>
          <w:szCs w:val="20"/>
        </w:rPr>
        <w:t>, 2022.</w:t>
      </w:r>
    </w:p>
  </w:footnote>
  <w:footnote w:id="17">
    <w:p w14:paraId="65D99689" w14:textId="77777777" w:rsidR="009E4D0A" w:rsidRDefault="00000000">
      <w:pPr>
        <w:spacing w:line="240" w:lineRule="auto"/>
        <w:rPr>
          <w:sz w:val="20"/>
          <w:szCs w:val="20"/>
        </w:rPr>
      </w:pPr>
      <w:r>
        <w:rPr>
          <w:vertAlign w:val="superscript"/>
        </w:rPr>
        <w:footnoteRef/>
      </w:r>
      <w:r>
        <w:rPr>
          <w:sz w:val="20"/>
          <w:szCs w:val="20"/>
        </w:rPr>
        <w:t xml:space="preserve"> IPCC, AR6, WGIII, Ch. 12, at 12-39</w:t>
      </w:r>
    </w:p>
  </w:footnote>
  <w:footnote w:id="18">
    <w:p w14:paraId="6770FE41" w14:textId="77777777" w:rsidR="009E4D0A" w:rsidRDefault="00000000">
      <w:pPr>
        <w:spacing w:line="240" w:lineRule="auto"/>
        <w:rPr>
          <w:sz w:val="20"/>
          <w:szCs w:val="20"/>
        </w:rPr>
      </w:pPr>
      <w:r>
        <w:rPr>
          <w:vertAlign w:val="superscript"/>
        </w:rPr>
        <w:footnoteRef/>
      </w:r>
      <w:r>
        <w:rPr>
          <w:sz w:val="20"/>
          <w:szCs w:val="20"/>
        </w:rPr>
        <w:t xml:space="preserve"> </w:t>
      </w:r>
      <w:r>
        <w:rPr>
          <w:rFonts w:ascii="Lato" w:eastAsia="Lato" w:hAnsi="Lato" w:cs="Lato"/>
          <w:i/>
          <w:sz w:val="20"/>
          <w:szCs w:val="20"/>
        </w:rPr>
        <w:t>Ibid</w:t>
      </w:r>
      <w:r>
        <w:rPr>
          <w:rFonts w:ascii="Lato" w:eastAsia="Lato" w:hAnsi="Lato" w:cs="Lato"/>
          <w:sz w:val="20"/>
          <w:szCs w:val="20"/>
        </w:rPr>
        <w:t>., at para 15.</w:t>
      </w:r>
    </w:p>
  </w:footnote>
  <w:footnote w:id="19">
    <w:p w14:paraId="74D6E072" w14:textId="77777777" w:rsidR="009E4D0A" w:rsidRDefault="00000000">
      <w:pPr>
        <w:spacing w:line="240" w:lineRule="auto"/>
        <w:rPr>
          <w:rFonts w:ascii="Lato" w:eastAsia="Lato" w:hAnsi="Lato" w:cs="Lato"/>
          <w:i/>
          <w:sz w:val="20"/>
          <w:szCs w:val="20"/>
        </w:rPr>
      </w:pPr>
      <w:r>
        <w:rPr>
          <w:vertAlign w:val="superscript"/>
        </w:rPr>
        <w:footnoteRef/>
      </w:r>
      <w:r>
        <w:rPr>
          <w:rFonts w:ascii="Lato" w:eastAsia="Lato" w:hAnsi="Lato" w:cs="Lato"/>
          <w:sz w:val="20"/>
          <w:szCs w:val="20"/>
        </w:rPr>
        <w:t xml:space="preserve"> </w:t>
      </w:r>
      <w:r>
        <w:rPr>
          <w:rFonts w:ascii="Lato" w:eastAsia="Lato" w:hAnsi="Lato" w:cs="Lato"/>
          <w:i/>
          <w:sz w:val="20"/>
          <w:szCs w:val="20"/>
        </w:rPr>
        <w:t>Ibid</w:t>
      </w:r>
      <w:r>
        <w:rPr>
          <w:rFonts w:ascii="Lato" w:eastAsia="Lato" w:hAnsi="Lato" w:cs="Lato"/>
          <w:sz w:val="20"/>
          <w:szCs w:val="20"/>
        </w:rPr>
        <w:t>., at para 101.</w:t>
      </w:r>
    </w:p>
  </w:footnote>
  <w:footnote w:id="20">
    <w:p w14:paraId="726D77A3" w14:textId="77777777" w:rsidR="009E4D0A" w:rsidRDefault="00000000">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w:t>
      </w:r>
      <w:r>
        <w:rPr>
          <w:rFonts w:ascii="Lato" w:eastAsia="Lato" w:hAnsi="Lato" w:cs="Lato"/>
          <w:i/>
          <w:sz w:val="20"/>
          <w:szCs w:val="20"/>
        </w:rPr>
        <w:t>Ibid</w:t>
      </w:r>
      <w:r>
        <w:rPr>
          <w:rFonts w:ascii="Lato" w:eastAsia="Lato" w:hAnsi="Lato" w:cs="Lato"/>
          <w:sz w:val="20"/>
          <w:szCs w:val="20"/>
        </w:rPr>
        <w:t>., at section IV.</w:t>
      </w:r>
    </w:p>
  </w:footnote>
  <w:footnote w:id="21">
    <w:p w14:paraId="6C939CBA" w14:textId="77777777" w:rsidR="009E4D0A" w:rsidRDefault="00000000">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United Nations General Assembly, </w:t>
      </w:r>
      <w:r>
        <w:rPr>
          <w:rFonts w:ascii="Lato" w:eastAsia="Lato" w:hAnsi="Lato" w:cs="Lato"/>
          <w:i/>
          <w:sz w:val="20"/>
          <w:szCs w:val="20"/>
        </w:rPr>
        <w:t>The human right to a clean, healthy and sustainable environment,</w:t>
      </w:r>
      <w:r>
        <w:rPr>
          <w:rFonts w:ascii="Lato" w:eastAsia="Lato" w:hAnsi="Lato" w:cs="Lato"/>
          <w:sz w:val="20"/>
          <w:szCs w:val="20"/>
        </w:rPr>
        <w:t xml:space="preserve"> No. A/76/L.75, 26 July 2022.</w:t>
      </w:r>
    </w:p>
  </w:footnote>
  <w:footnote w:id="22">
    <w:p w14:paraId="75F076CA"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Human Rights Council, </w:t>
      </w:r>
      <w:r>
        <w:rPr>
          <w:rFonts w:ascii="Lato" w:eastAsia="Lato" w:hAnsi="Lato" w:cs="Lato"/>
          <w:i/>
          <w:sz w:val="20"/>
          <w:szCs w:val="20"/>
        </w:rPr>
        <w:t>Right to a healthy environment: good practices</w:t>
      </w:r>
      <w:r>
        <w:rPr>
          <w:rFonts w:ascii="Lato" w:eastAsia="Lato" w:hAnsi="Lato" w:cs="Lato"/>
          <w:sz w:val="20"/>
          <w:szCs w:val="20"/>
        </w:rPr>
        <w:t>, No. A/HRC/43/53, February 24 – March 20 2020.</w:t>
      </w:r>
    </w:p>
  </w:footnote>
  <w:footnote w:id="23">
    <w:p w14:paraId="250A20E4"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Human Rights Council, </w:t>
      </w:r>
      <w:r>
        <w:rPr>
          <w:rFonts w:ascii="Lato" w:eastAsia="Lato" w:hAnsi="Lato" w:cs="Lato"/>
          <w:i/>
          <w:sz w:val="20"/>
          <w:szCs w:val="20"/>
        </w:rPr>
        <w:t>Resolution adopted by the Human Rights Council on 8 October 2021</w:t>
      </w:r>
      <w:r>
        <w:rPr>
          <w:rFonts w:ascii="Lato" w:eastAsia="Lato" w:hAnsi="Lato" w:cs="Lato"/>
          <w:sz w:val="20"/>
          <w:szCs w:val="20"/>
        </w:rPr>
        <w:t xml:space="preserve">, No. A/HRC/RES/48/13, 18 October 2021; see also Human Rights Council, </w:t>
      </w:r>
      <w:r>
        <w:rPr>
          <w:rFonts w:ascii="Lato" w:eastAsia="Lato" w:hAnsi="Lato" w:cs="Lato"/>
          <w:i/>
          <w:sz w:val="20"/>
          <w:szCs w:val="20"/>
        </w:rPr>
        <w:t>Resolution adopted by the Human Rights Council on 7 October 2020 - Rights of the child: realizing the rights of the child through a healthy environment</w:t>
      </w:r>
      <w:r>
        <w:rPr>
          <w:rFonts w:ascii="Lato" w:eastAsia="Lato" w:hAnsi="Lato" w:cs="Lato"/>
          <w:sz w:val="20"/>
          <w:szCs w:val="20"/>
        </w:rPr>
        <w:t>, No. A/HRC/RES/45/30, 13 October 2020, in which the Human Rights Council acknowledged “the vital importance of ensuring that every child of present and future generations can enjoy an environment adequate to their health and well-being”.</w:t>
      </w:r>
    </w:p>
  </w:footnote>
  <w:footnote w:id="24">
    <w:p w14:paraId="109C87E6"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In particular, children’s rights under the Convention on the Rights of the Child to life (Article 6 of the Convention), to health (Article 24), to an adequate standard of living (Article 27), to education (Article 29), to culture (Article 30), and to have their best interests treated as a primary consideration (Article 3).</w:t>
      </w:r>
    </w:p>
  </w:footnote>
  <w:footnote w:id="25">
    <w:p w14:paraId="60163774"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See for instance African Charter on Human and Peoples’ Rights, adopted June 27, 1981 – entered into force on October 21, 1986, 1520 UNTS 217 at Art. 24; Arab Charter on Human Rights, adopted May 22, 2004 – entered into force on March 15, 2008, at Article 38; Regional Agreement on Access to Information, Public Participation and Justice in Environmental Matters in Latin America and the Caribbean, adopted on March 4, 2018 – entered into force on April 22, 2021, at Article 1.</w:t>
      </w:r>
    </w:p>
  </w:footnote>
  <w:footnote w:id="26">
    <w:p w14:paraId="4F5A401F"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Special Rapporteur on the issue of human rights obligations relating to the enjoyment of a safe, clean, healthy and sustainable environment, </w:t>
      </w:r>
      <w:r>
        <w:rPr>
          <w:rFonts w:ascii="Lato" w:eastAsia="Lato" w:hAnsi="Lato" w:cs="Lato"/>
          <w:i/>
          <w:sz w:val="20"/>
          <w:szCs w:val="20"/>
        </w:rPr>
        <w:t>Right to a healthy environment: good practices</w:t>
      </w:r>
      <w:r>
        <w:rPr>
          <w:rFonts w:ascii="Lato" w:eastAsia="Lato" w:hAnsi="Lato" w:cs="Lato"/>
          <w:sz w:val="20"/>
          <w:szCs w:val="20"/>
        </w:rPr>
        <w:t>, No. A/HRC/43/53, 30 December 2019.</w:t>
      </w:r>
    </w:p>
  </w:footnote>
  <w:footnote w:id="27">
    <w:p w14:paraId="545ABD14" w14:textId="77777777" w:rsidR="009E4D0A" w:rsidRDefault="00000000">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Committee on the Rights of Child, </w:t>
      </w:r>
      <w:r>
        <w:rPr>
          <w:rFonts w:ascii="Lato" w:eastAsia="Lato" w:hAnsi="Lato" w:cs="Lato"/>
          <w:i/>
          <w:sz w:val="20"/>
          <w:szCs w:val="20"/>
        </w:rPr>
        <w:t>Draft General Comment No. 26</w:t>
      </w:r>
      <w:r>
        <w:rPr>
          <w:rFonts w:ascii="Lato" w:eastAsia="Lato" w:hAnsi="Lato" w:cs="Lato"/>
          <w:sz w:val="20"/>
          <w:szCs w:val="20"/>
        </w:rPr>
        <w:t>, section II.</w:t>
      </w:r>
    </w:p>
  </w:footnote>
  <w:footnote w:id="28">
    <w:p w14:paraId="38147D9C"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World Commission on Environment and Development, Our Common Future , 1987, Oxford University Press at Chapter 2 “Towards Sustainable Development” - para 1; see also E. B. Weiss, </w:t>
      </w:r>
      <w:r>
        <w:rPr>
          <w:rFonts w:ascii="Lato" w:eastAsia="Lato" w:hAnsi="Lato" w:cs="Lato"/>
          <w:i/>
          <w:sz w:val="20"/>
          <w:szCs w:val="20"/>
        </w:rPr>
        <w:t>Our Rights and Obligations to Future Generations for the Environment</w:t>
      </w:r>
      <w:r>
        <w:rPr>
          <w:rFonts w:ascii="Lato" w:eastAsia="Lato" w:hAnsi="Lato" w:cs="Lato"/>
          <w:sz w:val="20"/>
          <w:szCs w:val="20"/>
        </w:rPr>
        <w:t xml:space="preserve"> , American Journal of International Law, 84 (1990), at pp. 198– 207, linking sustainable development to intergenerational equity and justice, according to which present generations have a duty “to pass the planet in no worse condition than [they] received it in”, while future generations have a right to “inherit the earth in at least as good condition as it has been in for any previous generation and to have as good access to it as previous generations”.</w:t>
      </w:r>
    </w:p>
  </w:footnote>
  <w:footnote w:id="29">
    <w:p w14:paraId="05239F3E" w14:textId="77777777" w:rsidR="009E4D0A" w:rsidRDefault="00000000">
      <w:pPr>
        <w:spacing w:line="240" w:lineRule="auto"/>
        <w:jc w:val="both"/>
        <w:rPr>
          <w:sz w:val="20"/>
          <w:szCs w:val="20"/>
          <w:highlight w:val="magenta"/>
        </w:rPr>
      </w:pPr>
      <w:r>
        <w:rPr>
          <w:vertAlign w:val="superscript"/>
        </w:rPr>
        <w:footnoteRef/>
      </w:r>
      <w:r>
        <w:rPr>
          <w:sz w:val="20"/>
          <w:szCs w:val="20"/>
        </w:rPr>
        <w:t xml:space="preserve"> J. Rockström et al., </w:t>
      </w:r>
      <w:hyperlink r:id="rId4">
        <w:r>
          <w:rPr>
            <w:i/>
            <w:color w:val="1155CC"/>
            <w:sz w:val="20"/>
            <w:szCs w:val="20"/>
            <w:u w:val="single"/>
          </w:rPr>
          <w:t>Planetary boundaries:exploring the safe operating space for humanity</w:t>
        </w:r>
      </w:hyperlink>
      <w:r>
        <w:rPr>
          <w:sz w:val="20"/>
          <w:szCs w:val="20"/>
        </w:rPr>
        <w:t>, 2009, Ecology and Society</w:t>
      </w:r>
    </w:p>
  </w:footnote>
  <w:footnote w:id="30">
    <w:p w14:paraId="42A0D1A2" w14:textId="77777777" w:rsidR="009E4D0A" w:rsidRDefault="00000000">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Kate Raworth, </w:t>
      </w:r>
      <w:hyperlink r:id="rId5">
        <w:r>
          <w:rPr>
            <w:rFonts w:ascii="Lato" w:eastAsia="Lato" w:hAnsi="Lato" w:cs="Lato"/>
            <w:i/>
            <w:color w:val="1155CC"/>
            <w:sz w:val="20"/>
            <w:szCs w:val="20"/>
            <w:u w:val="single"/>
          </w:rPr>
          <w:t>A Safe and Just Space for Humanity</w:t>
        </w:r>
      </w:hyperlink>
      <w:r>
        <w:rPr>
          <w:rFonts w:ascii="Lato" w:eastAsia="Lato" w:hAnsi="Lato" w:cs="Lato"/>
          <w:sz w:val="20"/>
          <w:szCs w:val="20"/>
        </w:rPr>
        <w:t>, 2012 Oxfam Discussion Papers.</w:t>
      </w:r>
    </w:p>
  </w:footnote>
  <w:footnote w:id="31">
    <w:p w14:paraId="2E9711F6"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IPCC, </w:t>
      </w:r>
      <w:r>
        <w:rPr>
          <w:rFonts w:ascii="Lato" w:eastAsia="Lato" w:hAnsi="Lato" w:cs="Lato"/>
          <w:i/>
          <w:sz w:val="20"/>
          <w:szCs w:val="20"/>
        </w:rPr>
        <w:t>2022: Climate Change 2022: Impacts, Adaptation and Vulnerability</w:t>
      </w:r>
      <w:r>
        <w:rPr>
          <w:rFonts w:ascii="Lato" w:eastAsia="Lato" w:hAnsi="Lato" w:cs="Lato"/>
          <w:sz w:val="20"/>
          <w:szCs w:val="20"/>
        </w:rPr>
        <w:t>, Contribution of Working Group II to the Sixth Assessment Report of the Intergovernmental Panel on Climate Change, TS.B.4.5, TS.B.4.1, TS.B.4.4, TS.B.5.</w:t>
      </w:r>
    </w:p>
  </w:footnote>
  <w:footnote w:id="32">
    <w:p w14:paraId="7498E999"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See Office of the United Nations High Commissioner for Human Rights, </w:t>
      </w:r>
      <w:r>
        <w:rPr>
          <w:rFonts w:ascii="Lato" w:eastAsia="Lato" w:hAnsi="Lato" w:cs="Lato"/>
          <w:i/>
          <w:sz w:val="20"/>
          <w:szCs w:val="20"/>
        </w:rPr>
        <w:t>Analytical study on the relationship between climate change and the full and effective enjoyment of the rights of the child</w:t>
      </w:r>
      <w:r>
        <w:rPr>
          <w:rFonts w:ascii="Lato" w:eastAsia="Lato" w:hAnsi="Lato" w:cs="Lato"/>
          <w:sz w:val="20"/>
          <w:szCs w:val="20"/>
        </w:rPr>
        <w:t>, No. A/HRC/35/13, 4 May 2017, at para 62 (d), recalling the need to develop “a loss and damage system that ensures effective remedies for climate-related human rights harm, particularly that experienced by children”.</w:t>
      </w:r>
    </w:p>
  </w:footnote>
  <w:footnote w:id="33">
    <w:p w14:paraId="29468D9E" w14:textId="77777777" w:rsidR="009E4D0A" w:rsidRDefault="00000000">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UNICEF, </w:t>
      </w:r>
      <w:hyperlink r:id="rId6">
        <w:r>
          <w:rPr>
            <w:rFonts w:ascii="Lato" w:eastAsia="Lato" w:hAnsi="Lato" w:cs="Lato"/>
            <w:i/>
            <w:color w:val="1155CC"/>
            <w:sz w:val="20"/>
            <w:szCs w:val="20"/>
            <w:u w:val="single"/>
          </w:rPr>
          <w:t>It Is Getting Hot: Call For Education Systems to Respond to the Climate Crisis</w:t>
        </w:r>
      </w:hyperlink>
      <w:r>
        <w:rPr>
          <w:rFonts w:ascii="Lato" w:eastAsia="Lato" w:hAnsi="Lato" w:cs="Lato"/>
          <w:sz w:val="20"/>
          <w:szCs w:val="20"/>
        </w:rPr>
        <w:t>, 2019.</w:t>
      </w:r>
    </w:p>
  </w:footnote>
  <w:footnote w:id="34">
    <w:p w14:paraId="12B3A3C5" w14:textId="77777777" w:rsidR="009E4D0A" w:rsidRDefault="00000000">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Committee on the Rights of Child, </w:t>
      </w:r>
      <w:r>
        <w:rPr>
          <w:rFonts w:ascii="Lato" w:eastAsia="Lato" w:hAnsi="Lato" w:cs="Lato"/>
          <w:i/>
          <w:sz w:val="20"/>
          <w:szCs w:val="20"/>
        </w:rPr>
        <w:t>Draft General Comment No. 26</w:t>
      </w:r>
      <w:r>
        <w:rPr>
          <w:rFonts w:ascii="Lato" w:eastAsia="Lato" w:hAnsi="Lato" w:cs="Lato"/>
          <w:sz w:val="20"/>
          <w:szCs w:val="20"/>
        </w:rPr>
        <w:t>, para 105.</w:t>
      </w:r>
    </w:p>
  </w:footnote>
  <w:footnote w:id="35">
    <w:p w14:paraId="109E66FB"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See for instance German Federal Constitutional Court, </w:t>
      </w:r>
      <w:hyperlink r:id="rId7">
        <w:r>
          <w:rPr>
            <w:rFonts w:ascii="Lato" w:eastAsia="Lato" w:hAnsi="Lato" w:cs="Lato"/>
            <w:i/>
            <w:color w:val="1155CC"/>
            <w:sz w:val="20"/>
            <w:szCs w:val="20"/>
            <w:u w:val="single"/>
          </w:rPr>
          <w:t>Neubauer at al. v. Germany</w:t>
        </w:r>
      </w:hyperlink>
      <w:r>
        <w:rPr>
          <w:rFonts w:ascii="Lato" w:eastAsia="Lato" w:hAnsi="Lato" w:cs="Lato"/>
          <w:sz w:val="20"/>
          <w:szCs w:val="20"/>
        </w:rPr>
        <w:t>, judgment of April 29, 2021, at para 204 et ss, recognizing that “</w:t>
      </w:r>
      <w:r>
        <w:rPr>
          <w:rFonts w:ascii="Lato" w:eastAsia="Lato" w:hAnsi="Lato" w:cs="Lato"/>
          <w:i/>
          <w:sz w:val="20"/>
          <w:szCs w:val="20"/>
        </w:rPr>
        <w:t>environmental protection is elevated to a matter of constitutional significance because the democratic political process is organised along more short-term lines based on election cycles, placing it at a structural risk of being less responsive to tackling the ecological issues that need to be pursued over the long term. It is also because future generations - those who will be most affected - naturally have no voice of their own in shaping the current political agenda</w:t>
      </w:r>
      <w:r>
        <w:rPr>
          <w:rFonts w:ascii="Lato" w:eastAsia="Lato" w:hAnsi="Lato" w:cs="Lato"/>
          <w:sz w:val="20"/>
          <w:szCs w:val="20"/>
        </w:rPr>
        <w:t>”.</w:t>
      </w:r>
    </w:p>
  </w:footnote>
  <w:footnote w:id="36">
    <w:p w14:paraId="27E15751" w14:textId="77777777" w:rsidR="009E4D0A" w:rsidRDefault="00000000">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Committee on the Rights of Child, </w:t>
      </w:r>
      <w:r>
        <w:rPr>
          <w:rFonts w:ascii="Lato" w:eastAsia="Lato" w:hAnsi="Lato" w:cs="Lato"/>
          <w:i/>
          <w:sz w:val="20"/>
          <w:szCs w:val="20"/>
        </w:rPr>
        <w:t>Draft General Comment No. 26</w:t>
      </w:r>
      <w:r>
        <w:rPr>
          <w:rFonts w:ascii="Lato" w:eastAsia="Lato" w:hAnsi="Lato" w:cs="Lato"/>
          <w:sz w:val="20"/>
          <w:szCs w:val="20"/>
        </w:rPr>
        <w:t>, at Section III subsection J.</w:t>
      </w:r>
    </w:p>
  </w:footnote>
  <w:footnote w:id="37">
    <w:p w14:paraId="0ADF97BE" w14:textId="77777777" w:rsidR="009E4D0A" w:rsidRDefault="00000000">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Press release, </w:t>
      </w:r>
      <w:hyperlink r:id="rId8">
        <w:r>
          <w:rPr>
            <w:rFonts w:ascii="Lato" w:eastAsia="Lato" w:hAnsi="Lato" w:cs="Lato"/>
            <w:color w:val="1155CC"/>
            <w:sz w:val="20"/>
            <w:szCs w:val="20"/>
            <w:u w:val="single"/>
          </w:rPr>
          <w:t>UN child rights committee voices support for children campaigning on climate change</w:t>
        </w:r>
      </w:hyperlink>
      <w:r>
        <w:rPr>
          <w:rFonts w:ascii="Lato" w:eastAsia="Lato" w:hAnsi="Lato" w:cs="Lato"/>
          <w:sz w:val="20"/>
          <w:szCs w:val="20"/>
        </w:rPr>
        <w:t>, 27 September 2019.</w:t>
      </w:r>
    </w:p>
  </w:footnote>
  <w:footnote w:id="38">
    <w:p w14:paraId="3ECD1B48" w14:textId="77777777" w:rsidR="009E4D0A" w:rsidRDefault="00000000">
      <w:pPr>
        <w:spacing w:line="240" w:lineRule="auto"/>
        <w:rPr>
          <w:sz w:val="20"/>
          <w:szCs w:val="20"/>
        </w:rPr>
      </w:pPr>
      <w:r>
        <w:rPr>
          <w:vertAlign w:val="superscript"/>
        </w:rPr>
        <w:footnoteRef/>
      </w:r>
      <w:r>
        <w:rPr>
          <w:sz w:val="20"/>
          <w:szCs w:val="20"/>
        </w:rPr>
        <w:t xml:space="preserve"> </w:t>
      </w:r>
      <w:r>
        <w:rPr>
          <w:rFonts w:ascii="Lato" w:eastAsia="Lato" w:hAnsi="Lato" w:cs="Lato"/>
          <w:sz w:val="20"/>
          <w:szCs w:val="20"/>
        </w:rPr>
        <w:t xml:space="preserve">Committee on the Rights of Child, </w:t>
      </w:r>
      <w:r>
        <w:rPr>
          <w:rFonts w:ascii="Lato" w:eastAsia="Lato" w:hAnsi="Lato" w:cs="Lato"/>
          <w:i/>
          <w:sz w:val="20"/>
          <w:szCs w:val="20"/>
        </w:rPr>
        <w:t>Draft General Comment No. 26</w:t>
      </w:r>
      <w:r>
        <w:rPr>
          <w:rFonts w:ascii="Lato" w:eastAsia="Lato" w:hAnsi="Lato" w:cs="Lato"/>
          <w:sz w:val="20"/>
          <w:szCs w:val="20"/>
        </w:rPr>
        <w:t>, at para 8.</w:t>
      </w:r>
    </w:p>
  </w:footnote>
  <w:footnote w:id="39">
    <w:p w14:paraId="5D9C6907" w14:textId="77777777" w:rsidR="009E4D0A" w:rsidRDefault="00000000">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Committee on the Rights of Child, </w:t>
      </w:r>
      <w:r>
        <w:rPr>
          <w:rFonts w:ascii="Lato" w:eastAsia="Lato" w:hAnsi="Lato" w:cs="Lato"/>
          <w:i/>
          <w:sz w:val="20"/>
          <w:szCs w:val="20"/>
        </w:rPr>
        <w:t>Draft General Comment No. 26</w:t>
      </w:r>
      <w:r>
        <w:rPr>
          <w:rFonts w:ascii="Lato" w:eastAsia="Lato" w:hAnsi="Lato" w:cs="Lato"/>
          <w:sz w:val="20"/>
          <w:szCs w:val="20"/>
        </w:rPr>
        <w:t>, at para 112 and 117.</w:t>
      </w:r>
    </w:p>
  </w:footnote>
  <w:footnote w:id="40">
    <w:p w14:paraId="54762382" w14:textId="77777777" w:rsidR="009E4D0A" w:rsidRDefault="00000000">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w:t>
      </w:r>
      <w:r>
        <w:rPr>
          <w:rFonts w:ascii="Lato" w:eastAsia="Lato" w:hAnsi="Lato" w:cs="Lato"/>
          <w:i/>
          <w:sz w:val="20"/>
          <w:szCs w:val="20"/>
        </w:rPr>
        <w:t>Ibid</w:t>
      </w:r>
      <w:r>
        <w:rPr>
          <w:rFonts w:ascii="Lato" w:eastAsia="Lato" w:hAnsi="Lato" w:cs="Lato"/>
          <w:sz w:val="20"/>
          <w:szCs w:val="20"/>
        </w:rPr>
        <w:t>., at para 117 and 118.</w:t>
      </w:r>
    </w:p>
  </w:footnote>
  <w:footnote w:id="41">
    <w:p w14:paraId="533D16A1" w14:textId="77777777" w:rsidR="009E4D0A" w:rsidRDefault="00000000">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Special Rapporteur on the issue of human rights obligations relating to the enjoyment of a safe, clean, healthy and sustainable environment, </w:t>
      </w:r>
      <w:r>
        <w:rPr>
          <w:rFonts w:ascii="Lato" w:eastAsia="Lato" w:hAnsi="Lato" w:cs="Lato"/>
          <w:i/>
          <w:sz w:val="20"/>
          <w:szCs w:val="20"/>
        </w:rPr>
        <w:t>Report of the Special Rapporteur on the issue of human rights obligations relating to the enjoyment of a safe, clean, healthy and sustainable environment</w:t>
      </w:r>
      <w:r>
        <w:rPr>
          <w:rFonts w:ascii="Lato" w:eastAsia="Lato" w:hAnsi="Lato" w:cs="Lato"/>
          <w:sz w:val="20"/>
          <w:szCs w:val="20"/>
        </w:rPr>
        <w:t>, No. A/HRC/37/59, 24 January 2018, at para 39.</w:t>
      </w:r>
    </w:p>
  </w:footnote>
  <w:footnote w:id="42">
    <w:p w14:paraId="699A079C"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Working Group on the issue of human rights and transnational corporations and other business enterprises, </w:t>
      </w:r>
      <w:r>
        <w:rPr>
          <w:rFonts w:ascii="Lato" w:eastAsia="Lato" w:hAnsi="Lato" w:cs="Lato"/>
          <w:i/>
          <w:sz w:val="20"/>
          <w:szCs w:val="20"/>
        </w:rPr>
        <w:t>Tenth session of the Forum on Business and Human Rights</w:t>
      </w:r>
      <w:r>
        <w:rPr>
          <w:rFonts w:ascii="Lato" w:eastAsia="Lato" w:hAnsi="Lato" w:cs="Lato"/>
          <w:sz w:val="20"/>
          <w:szCs w:val="20"/>
        </w:rPr>
        <w:t>, No. A/HRC/50/41, 12 April 2022, at para 38.</w:t>
      </w:r>
    </w:p>
  </w:footnote>
  <w:footnote w:id="43">
    <w:p w14:paraId="5522E5CE"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Working Group on the issue of human rights and transnational corporations and other business enterprises, </w:t>
      </w:r>
      <w:r>
        <w:rPr>
          <w:rFonts w:ascii="Lato" w:eastAsia="Lato" w:hAnsi="Lato" w:cs="Lato"/>
          <w:i/>
          <w:sz w:val="20"/>
          <w:szCs w:val="20"/>
        </w:rPr>
        <w:t>Human rights and transnational corporations and other business enterprises</w:t>
      </w:r>
      <w:r>
        <w:rPr>
          <w:rFonts w:ascii="Lato" w:eastAsia="Lato" w:hAnsi="Lato" w:cs="Lato"/>
          <w:sz w:val="20"/>
          <w:szCs w:val="20"/>
        </w:rPr>
        <w:t xml:space="preserve">, No. A/72/162, 18 July 2017, at para 76; see also Working Group on the issue of human rights and transnational corporations and other business enterprises, </w:t>
      </w:r>
      <w:r>
        <w:rPr>
          <w:rFonts w:ascii="Lato" w:eastAsia="Lato" w:hAnsi="Lato" w:cs="Lato"/>
          <w:i/>
          <w:sz w:val="20"/>
          <w:szCs w:val="20"/>
        </w:rPr>
        <w:t>Tenth session of the Forum on Business and Human Rights</w:t>
      </w:r>
      <w:r>
        <w:rPr>
          <w:rFonts w:ascii="Lato" w:eastAsia="Lato" w:hAnsi="Lato" w:cs="Lato"/>
          <w:sz w:val="20"/>
          <w:szCs w:val="20"/>
        </w:rPr>
        <w:t>, No. A/HRC/50/41, 12 April 2022, at para 38, stating that investor-State dispute settlement arrangements limit “sovereignty of States in terms of their rights and obligations to draw up regulations in relation to issues of public interest”, including with regard to human rights.</w:t>
      </w:r>
    </w:p>
  </w:footnote>
  <w:footnote w:id="44">
    <w:p w14:paraId="36D6EC86" w14:textId="77777777" w:rsidR="009E4D0A" w:rsidRDefault="00000000">
      <w:pPr>
        <w:spacing w:line="240" w:lineRule="auto"/>
        <w:rPr>
          <w:rFonts w:ascii="Times New Roman" w:eastAsia="Times New Roman" w:hAnsi="Times New Roman" w:cs="Times New Roman"/>
          <w:sz w:val="20"/>
          <w:szCs w:val="20"/>
        </w:rPr>
      </w:pPr>
      <w:r>
        <w:rPr>
          <w:vertAlign w:val="superscript"/>
        </w:rPr>
        <w:footnoteRef/>
      </w:r>
      <w:r>
        <w:rPr>
          <w:rFonts w:ascii="Lato" w:eastAsia="Lato" w:hAnsi="Lato" w:cs="Lato"/>
          <w:sz w:val="20"/>
          <w:szCs w:val="20"/>
        </w:rPr>
        <w:t xml:space="preserve"> Committee on the Rights of Child, Draft General Comment No. 26, at para 90.</w:t>
      </w:r>
    </w:p>
  </w:footnote>
  <w:footnote w:id="45">
    <w:p w14:paraId="6E3C9E9A" w14:textId="77777777" w:rsidR="009E4D0A" w:rsidRDefault="00000000">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w:t>
      </w:r>
      <w:r>
        <w:rPr>
          <w:rFonts w:ascii="Lato" w:eastAsia="Lato" w:hAnsi="Lato" w:cs="Lato"/>
          <w:i/>
          <w:sz w:val="20"/>
          <w:szCs w:val="20"/>
        </w:rPr>
        <w:t>Ibid.</w:t>
      </w:r>
      <w:r>
        <w:rPr>
          <w:rFonts w:ascii="Lato" w:eastAsia="Lato" w:hAnsi="Lato" w:cs="Lato"/>
          <w:sz w:val="20"/>
          <w:szCs w:val="20"/>
        </w:rPr>
        <w:t>, at para 114.</w:t>
      </w:r>
    </w:p>
  </w:footnote>
  <w:footnote w:id="46">
    <w:p w14:paraId="269D768E" w14:textId="77777777" w:rsidR="009E4D0A" w:rsidRDefault="00000000">
      <w:pPr>
        <w:spacing w:line="240" w:lineRule="auto"/>
        <w:rPr>
          <w:i/>
          <w:sz w:val="20"/>
          <w:szCs w:val="20"/>
        </w:rPr>
      </w:pPr>
      <w:r>
        <w:rPr>
          <w:vertAlign w:val="superscript"/>
        </w:rPr>
        <w:footnoteRef/>
      </w:r>
      <w:r>
        <w:rPr>
          <w:rFonts w:ascii="Lato" w:eastAsia="Lato" w:hAnsi="Lato" w:cs="Lato"/>
          <w:sz w:val="20"/>
          <w:szCs w:val="20"/>
        </w:rPr>
        <w:t xml:space="preserve"> Ibid., at para 92, 93 and 115 to 117.</w:t>
      </w:r>
    </w:p>
  </w:footnote>
  <w:footnote w:id="47">
    <w:p w14:paraId="01D9DBC3" w14:textId="77777777" w:rsidR="009E4D0A" w:rsidRDefault="00000000">
      <w:pPr>
        <w:spacing w:line="240" w:lineRule="auto"/>
        <w:jc w:val="both"/>
        <w:rPr>
          <w:sz w:val="20"/>
          <w:szCs w:val="20"/>
        </w:rPr>
      </w:pPr>
      <w:r>
        <w:rPr>
          <w:vertAlign w:val="superscript"/>
        </w:rPr>
        <w:footnoteRef/>
      </w:r>
      <w:r>
        <w:rPr>
          <w:rFonts w:ascii="Lato" w:eastAsia="Lato" w:hAnsi="Lato" w:cs="Lato"/>
          <w:sz w:val="20"/>
          <w:szCs w:val="20"/>
        </w:rPr>
        <w:t xml:space="preserve"> Human Rights Council, Guiding Principles on Business and Human Rights: Implementing the United Nations ‘Protect, Respect and Remedy’ Framework, No. A/HRC/17/31, 2011, at Principle 17.</w:t>
      </w:r>
    </w:p>
  </w:footnote>
  <w:footnote w:id="48">
    <w:p w14:paraId="1DD087D5" w14:textId="77777777" w:rsidR="009E4D0A" w:rsidRDefault="00000000">
      <w:pPr>
        <w:spacing w:line="240" w:lineRule="auto"/>
        <w:rPr>
          <w:rFonts w:ascii="Lato" w:eastAsia="Lato" w:hAnsi="Lato" w:cs="Lato"/>
          <w:i/>
          <w:sz w:val="20"/>
          <w:szCs w:val="20"/>
        </w:rPr>
      </w:pPr>
      <w:r>
        <w:rPr>
          <w:vertAlign w:val="superscript"/>
        </w:rPr>
        <w:footnoteRef/>
      </w:r>
      <w:r>
        <w:rPr>
          <w:rFonts w:ascii="Lato" w:eastAsia="Lato" w:hAnsi="Lato" w:cs="Lato"/>
          <w:sz w:val="20"/>
          <w:szCs w:val="20"/>
        </w:rPr>
        <w:t xml:space="preserve"> </w:t>
      </w:r>
      <w:r>
        <w:rPr>
          <w:rFonts w:ascii="Lato" w:eastAsia="Lato" w:hAnsi="Lato" w:cs="Lato"/>
          <w:i/>
          <w:sz w:val="20"/>
          <w:szCs w:val="20"/>
        </w:rPr>
        <w:t>Ibid</w:t>
      </w:r>
      <w:r>
        <w:rPr>
          <w:rFonts w:ascii="Lato" w:eastAsia="Lato" w:hAnsi="Lato" w:cs="Lato"/>
          <w:sz w:val="20"/>
          <w:szCs w:val="20"/>
        </w:rPr>
        <w:t>., at commentary on Principle 3.</w:t>
      </w:r>
    </w:p>
  </w:footnote>
  <w:footnote w:id="49">
    <w:p w14:paraId="63F7AE80"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Committee on the Rights of the Child, General comment No. 16 (2013) on States’ obligations regarding the impact of the business sector on children’s rights, No. CRC/C/CG/16, 17 April 2013.</w:t>
      </w:r>
    </w:p>
  </w:footnote>
  <w:footnote w:id="50">
    <w:p w14:paraId="2FEE5737" w14:textId="77777777" w:rsidR="009E4D0A" w:rsidRDefault="00000000">
      <w:pPr>
        <w:spacing w:line="240" w:lineRule="auto"/>
        <w:jc w:val="both"/>
        <w:rPr>
          <w:sz w:val="20"/>
          <w:szCs w:val="20"/>
        </w:rPr>
      </w:pPr>
      <w:r>
        <w:rPr>
          <w:vertAlign w:val="superscript"/>
        </w:rPr>
        <w:footnoteRef/>
      </w:r>
      <w:r>
        <w:rPr>
          <w:sz w:val="20"/>
          <w:szCs w:val="20"/>
        </w:rPr>
        <w:t xml:space="preserve"> See Fian International, </w:t>
      </w:r>
      <w:hyperlink r:id="rId9">
        <w:r>
          <w:rPr>
            <w:rFonts w:ascii="Lato" w:eastAsia="Lato" w:hAnsi="Lato" w:cs="Lato"/>
            <w:i/>
            <w:color w:val="1155CC"/>
            <w:sz w:val="20"/>
            <w:szCs w:val="20"/>
            <w:u w:val="single"/>
          </w:rPr>
          <w:t>Business Due Diligence and Related States' Obligations in the Context of Corporate Accountability</w:t>
        </w:r>
      </w:hyperlink>
      <w:r>
        <w:rPr>
          <w:rFonts w:ascii="Lato" w:eastAsia="Lato" w:hAnsi="Lato" w:cs="Lato"/>
          <w:sz w:val="20"/>
          <w:szCs w:val="20"/>
        </w:rPr>
        <w:t>, 2022, recognizing that the duty of care, contrary to the obligation of due diligence, “imposes a legal obligation on corporations of reasonable care towards persons and the environment, which they could foreseeably harm through their operations” and “triggers the civil liability of businesses when the harm occurs”.</w:t>
      </w:r>
    </w:p>
  </w:footnote>
  <w:footnote w:id="51">
    <w:p w14:paraId="6594B657" w14:textId="77777777" w:rsidR="009E4D0A" w:rsidRDefault="00000000">
      <w:pPr>
        <w:spacing w:line="240" w:lineRule="auto"/>
        <w:rPr>
          <w:sz w:val="20"/>
          <w:szCs w:val="20"/>
        </w:rPr>
      </w:pPr>
      <w:r>
        <w:rPr>
          <w:vertAlign w:val="superscript"/>
        </w:rPr>
        <w:footnoteRef/>
      </w:r>
      <w:r>
        <w:rPr>
          <w:rFonts w:ascii="Lato" w:eastAsia="Lato" w:hAnsi="Lato" w:cs="Lato"/>
          <w:sz w:val="20"/>
          <w:szCs w:val="20"/>
        </w:rPr>
        <w:t xml:space="preserve"> Committee on the Rights of Child, </w:t>
      </w:r>
      <w:r>
        <w:rPr>
          <w:rFonts w:ascii="Lato" w:eastAsia="Lato" w:hAnsi="Lato" w:cs="Lato"/>
          <w:i/>
          <w:sz w:val="20"/>
          <w:szCs w:val="20"/>
        </w:rPr>
        <w:t>Draft General Comment No. 26</w:t>
      </w:r>
      <w:r>
        <w:rPr>
          <w:rFonts w:ascii="Lato" w:eastAsia="Lato" w:hAnsi="Lato" w:cs="Lato"/>
          <w:sz w:val="20"/>
          <w:szCs w:val="20"/>
        </w:rPr>
        <w:t>, at para 91, 114 and 117.</w:t>
      </w:r>
      <w:r>
        <w:rPr>
          <w:sz w:val="20"/>
          <w:szCs w:val="20"/>
        </w:rPr>
        <w:t xml:space="preserve"> </w:t>
      </w:r>
    </w:p>
  </w:footnote>
  <w:footnote w:id="52">
    <w:p w14:paraId="15240DE3"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w:t>
      </w:r>
      <w:r>
        <w:rPr>
          <w:rFonts w:ascii="Lato" w:eastAsia="Lato" w:hAnsi="Lato" w:cs="Lato"/>
          <w:i/>
          <w:sz w:val="20"/>
          <w:szCs w:val="20"/>
        </w:rPr>
        <w:t>Ibid</w:t>
      </w:r>
      <w:r>
        <w:rPr>
          <w:rFonts w:ascii="Lato" w:eastAsia="Lato" w:hAnsi="Lato" w:cs="Lato"/>
          <w:sz w:val="20"/>
          <w:szCs w:val="20"/>
        </w:rPr>
        <w:t>., at para 114.</w:t>
      </w:r>
    </w:p>
  </w:footnote>
  <w:footnote w:id="53">
    <w:p w14:paraId="23356E9F" w14:textId="77777777" w:rsidR="009E4D0A" w:rsidRDefault="00000000">
      <w:pPr>
        <w:spacing w:line="240" w:lineRule="auto"/>
        <w:jc w:val="both"/>
        <w:rPr>
          <w:rFonts w:ascii="Lato" w:eastAsia="Lato" w:hAnsi="Lato" w:cs="Lato"/>
          <w:sz w:val="20"/>
          <w:szCs w:val="20"/>
        </w:rPr>
      </w:pPr>
      <w:r>
        <w:rPr>
          <w:vertAlign w:val="superscript"/>
        </w:rPr>
        <w:footnoteRef/>
      </w:r>
      <w:r>
        <w:rPr>
          <w:sz w:val="20"/>
          <w:szCs w:val="20"/>
        </w:rPr>
        <w:t xml:space="preserve"> </w:t>
      </w:r>
      <w:r>
        <w:rPr>
          <w:rFonts w:ascii="Lato" w:eastAsia="Lato" w:hAnsi="Lato" w:cs="Lato"/>
          <w:sz w:val="20"/>
          <w:szCs w:val="20"/>
        </w:rPr>
        <w:t xml:space="preserve">Evanthia Diamanti-Kandarakis et al., </w:t>
      </w:r>
      <w:r>
        <w:rPr>
          <w:rFonts w:ascii="Lato" w:eastAsia="Lato" w:hAnsi="Lato" w:cs="Lato"/>
          <w:i/>
          <w:sz w:val="20"/>
          <w:szCs w:val="20"/>
        </w:rPr>
        <w:t>Endocrine-Disrupting Chemicals: An Endocrine Society Scientific Statement</w:t>
      </w:r>
      <w:r>
        <w:rPr>
          <w:rFonts w:ascii="Lato" w:eastAsia="Lato" w:hAnsi="Lato" w:cs="Lato"/>
          <w:sz w:val="20"/>
          <w:szCs w:val="20"/>
        </w:rPr>
        <w:t xml:space="preserve">, Endocrine Reviews 30, no. 4 (June 2009): 293–342, </w:t>
      </w:r>
      <w:hyperlink r:id="rId10">
        <w:r>
          <w:rPr>
            <w:rFonts w:ascii="Lato" w:eastAsia="Lato" w:hAnsi="Lato" w:cs="Lato"/>
            <w:color w:val="1155CC"/>
            <w:sz w:val="20"/>
            <w:szCs w:val="20"/>
            <w:u w:val="single"/>
          </w:rPr>
          <w:t>https://doi.org/10.1210/er.2009-0002</w:t>
        </w:r>
      </w:hyperlink>
      <w:r>
        <w:rPr>
          <w:rFonts w:ascii="Lato" w:eastAsia="Lato" w:hAnsi="Lato" w:cs="Lato"/>
          <w:sz w:val="20"/>
          <w:szCs w:val="20"/>
        </w:rPr>
        <w:t xml:space="preserve"> p. 296.</w:t>
      </w:r>
    </w:p>
  </w:footnote>
  <w:footnote w:id="54">
    <w:p w14:paraId="53E1833B" w14:textId="77777777" w:rsidR="009E4D0A" w:rsidRDefault="00000000">
      <w:pP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Jitka Strakova, Joe DiGangi, and Lee Bell, POPs Recycling Contaminates Children’s Toys with Toxic Flame Retardants, 2017.</w:t>
      </w:r>
    </w:p>
  </w:footnote>
  <w:footnote w:id="55">
    <w:p w14:paraId="0D74547D" w14:textId="77777777" w:rsidR="009E4D0A" w:rsidRDefault="00000000">
      <w:pPr>
        <w:spacing w:line="240" w:lineRule="auto"/>
        <w:jc w:val="both"/>
        <w:rPr>
          <w:rFonts w:ascii="Lato" w:eastAsia="Lato" w:hAnsi="Lato" w:cs="Lato"/>
          <w:sz w:val="20"/>
          <w:szCs w:val="20"/>
        </w:rPr>
      </w:pPr>
      <w:r>
        <w:rPr>
          <w:vertAlign w:val="superscript"/>
        </w:rPr>
        <w:footnoteRef/>
      </w:r>
      <w:r>
        <w:rPr>
          <w:sz w:val="20"/>
          <w:szCs w:val="20"/>
        </w:rPr>
        <w:t xml:space="preserve"> </w:t>
      </w:r>
      <w:r>
        <w:rPr>
          <w:rFonts w:ascii="Lato" w:eastAsia="Lato" w:hAnsi="Lato" w:cs="Lato"/>
          <w:sz w:val="20"/>
          <w:szCs w:val="20"/>
        </w:rPr>
        <w:t>ILO Convention 182 states that the worst forms of child labor comprises “3.(d) work which, by its nature or the circumstances in which it is carried out, is likely to harm the health, safety or morals of children”. ILO Recommendation 190 provide criteria to classify hazardous work under the Convention 182, including: “II.3.(d) work in an unhealthy environment which may, for example, expose children to hazardous substances, agents or processes, or to temperatures, noise levels, or vibrations damaging to their health.”</w:t>
      </w:r>
    </w:p>
  </w:footnote>
  <w:footnote w:id="56">
    <w:p w14:paraId="42DA0206" w14:textId="77777777" w:rsidR="009E4D0A" w:rsidRDefault="00000000">
      <w:pPr>
        <w:spacing w:line="240" w:lineRule="auto"/>
        <w:jc w:val="both"/>
        <w:rPr>
          <w:rFonts w:ascii="Lato" w:eastAsia="Lato" w:hAnsi="Lato" w:cs="Lato"/>
          <w:sz w:val="20"/>
          <w:szCs w:val="20"/>
        </w:rPr>
      </w:pPr>
      <w:r>
        <w:rPr>
          <w:vertAlign w:val="superscript"/>
        </w:rPr>
        <w:footnoteRef/>
      </w:r>
      <w:r>
        <w:rPr>
          <w:sz w:val="20"/>
          <w:szCs w:val="20"/>
        </w:rPr>
        <w:t xml:space="preserve"> </w:t>
      </w:r>
      <w:r>
        <w:rPr>
          <w:rFonts w:ascii="Lato" w:eastAsia="Lato" w:hAnsi="Lato" w:cs="Lato"/>
          <w:sz w:val="20"/>
          <w:szCs w:val="20"/>
        </w:rPr>
        <w:t>CRC- Uruguay</w:t>
      </w:r>
      <w:hyperlink r:id="rId11">
        <w:r>
          <w:rPr>
            <w:rFonts w:ascii="Lato" w:eastAsia="Lato" w:hAnsi="Lato" w:cs="Lato"/>
            <w:sz w:val="20"/>
            <w:szCs w:val="20"/>
          </w:rPr>
          <w:t xml:space="preserve"> </w:t>
        </w:r>
      </w:hyperlink>
      <w:hyperlink r:id="rId12">
        <w:r>
          <w:rPr>
            <w:rFonts w:ascii="Lato" w:eastAsia="Lato" w:hAnsi="Lato" w:cs="Lato"/>
            <w:color w:val="1155CC"/>
            <w:sz w:val="20"/>
            <w:szCs w:val="20"/>
            <w:u w:val="single"/>
          </w:rPr>
          <w:t>CRC/C/URY/CO/3-5</w:t>
        </w:r>
      </w:hyperlink>
      <w:r>
        <w:rPr>
          <w:rFonts w:ascii="Lato" w:eastAsia="Lato" w:hAnsi="Lato" w:cs="Lato"/>
          <w:sz w:val="20"/>
          <w:szCs w:val="20"/>
        </w:rPr>
        <w:t>, para. 65 /</w:t>
      </w:r>
      <w:hyperlink r:id="rId13">
        <w:r>
          <w:rPr>
            <w:rFonts w:ascii="Lato" w:eastAsia="Lato" w:hAnsi="Lato" w:cs="Lato"/>
            <w:sz w:val="20"/>
            <w:szCs w:val="20"/>
          </w:rPr>
          <w:t xml:space="preserve"> </w:t>
        </w:r>
      </w:hyperlink>
      <w:hyperlink r:id="rId14">
        <w:r>
          <w:rPr>
            <w:rFonts w:ascii="Lato" w:eastAsia="Lato" w:hAnsi="Lato" w:cs="Lato"/>
            <w:color w:val="1155CC"/>
            <w:sz w:val="20"/>
            <w:szCs w:val="20"/>
            <w:u w:val="single"/>
          </w:rPr>
          <w:t>CRC/C/BRA/CO/2-4</w:t>
        </w:r>
      </w:hyperlink>
      <w:r>
        <w:rPr>
          <w:rFonts w:ascii="Lato" w:eastAsia="Lato" w:hAnsi="Lato" w:cs="Lato"/>
          <w:sz w:val="20"/>
          <w:szCs w:val="20"/>
        </w:rPr>
        <w:t xml:space="preserve"> Brazil: para. 81. /</w:t>
      </w:r>
      <w:hyperlink r:id="rId15">
        <w:r>
          <w:rPr>
            <w:rFonts w:ascii="Lato" w:eastAsia="Lato" w:hAnsi="Lato" w:cs="Lato"/>
            <w:sz w:val="20"/>
            <w:szCs w:val="20"/>
          </w:rPr>
          <w:t xml:space="preserve"> </w:t>
        </w:r>
      </w:hyperlink>
      <w:hyperlink r:id="rId16">
        <w:r>
          <w:rPr>
            <w:rFonts w:ascii="Lato" w:eastAsia="Lato" w:hAnsi="Lato" w:cs="Lato"/>
            <w:color w:val="1155CC"/>
            <w:sz w:val="20"/>
            <w:szCs w:val="20"/>
            <w:u w:val="single"/>
          </w:rPr>
          <w:t>CRC/C/PER/CO/4-5</w:t>
        </w:r>
      </w:hyperlink>
      <w:r>
        <w:rPr>
          <w:rFonts w:ascii="Lato" w:eastAsia="Lato" w:hAnsi="Lato" w:cs="Lato"/>
          <w:sz w:val="20"/>
          <w:szCs w:val="20"/>
        </w:rPr>
        <w:t xml:space="preserve"> para. :65, Peru,</w:t>
      </w:r>
      <w:hyperlink r:id="rId17">
        <w:r>
          <w:rPr>
            <w:rFonts w:ascii="Lato" w:eastAsia="Lato" w:hAnsi="Lato" w:cs="Lato"/>
            <w:sz w:val="20"/>
            <w:szCs w:val="20"/>
          </w:rPr>
          <w:t xml:space="preserve"> </w:t>
        </w:r>
      </w:hyperlink>
      <w:hyperlink r:id="rId18">
        <w:r>
          <w:rPr>
            <w:rFonts w:ascii="Lato" w:eastAsia="Lato" w:hAnsi="Lato" w:cs="Lato"/>
            <w:color w:val="1155CC"/>
            <w:sz w:val="20"/>
            <w:szCs w:val="20"/>
            <w:u w:val="single"/>
          </w:rPr>
          <w:t>CRC/C/ECU/CO/4</w:t>
        </w:r>
      </w:hyperlink>
      <w:r>
        <w:rPr>
          <w:rFonts w:ascii="Lato" w:eastAsia="Lato" w:hAnsi="Lato" w:cs="Lato"/>
          <w:sz w:val="20"/>
          <w:szCs w:val="20"/>
        </w:rPr>
        <w:t xml:space="preserve"> (CRC, 2010), Ecuador: para. 70.</w:t>
      </w:r>
    </w:p>
  </w:footnote>
  <w:footnote w:id="57">
    <w:p w14:paraId="408C6603" w14:textId="77777777" w:rsidR="009E4D0A" w:rsidRDefault="00000000">
      <w:pPr>
        <w:spacing w:line="240" w:lineRule="auto"/>
        <w:rPr>
          <w:rFonts w:ascii="Times New Roman" w:eastAsia="Times New Roman" w:hAnsi="Times New Roman" w:cs="Times New Roman"/>
          <w:sz w:val="20"/>
          <w:szCs w:val="20"/>
        </w:rPr>
      </w:pPr>
      <w:r>
        <w:rPr>
          <w:vertAlign w:val="superscript"/>
        </w:rPr>
        <w:footnoteRef/>
      </w:r>
      <w:r>
        <w:rPr>
          <w:rFonts w:ascii="Lato" w:eastAsia="Lato" w:hAnsi="Lato" w:cs="Lato"/>
          <w:sz w:val="20"/>
          <w:szCs w:val="20"/>
        </w:rPr>
        <w:t xml:space="preserve"> Committee on the Rights of Child, </w:t>
      </w:r>
      <w:r>
        <w:rPr>
          <w:rFonts w:ascii="Lato" w:eastAsia="Lato" w:hAnsi="Lato" w:cs="Lato"/>
          <w:i/>
          <w:sz w:val="20"/>
          <w:szCs w:val="20"/>
        </w:rPr>
        <w:t>Draft General Comment No. 26</w:t>
      </w:r>
      <w:r>
        <w:rPr>
          <w:rFonts w:ascii="Lato" w:eastAsia="Lato" w:hAnsi="Lato" w:cs="Lato"/>
          <w:sz w:val="20"/>
          <w:szCs w:val="20"/>
        </w:rPr>
        <w:t>, at para 78.</w:t>
      </w:r>
    </w:p>
  </w:footnote>
  <w:footnote w:id="58">
    <w:p w14:paraId="65326604" w14:textId="77777777" w:rsidR="009E4D0A" w:rsidRDefault="00000000">
      <w:pPr>
        <w:spacing w:line="240" w:lineRule="auto"/>
        <w:jc w:val="both"/>
        <w:rPr>
          <w:sz w:val="20"/>
          <w:szCs w:val="20"/>
        </w:rPr>
      </w:pPr>
      <w:r>
        <w:rPr>
          <w:vertAlign w:val="superscript"/>
        </w:rPr>
        <w:footnoteRef/>
      </w:r>
      <w:r>
        <w:rPr>
          <w:rFonts w:ascii="Lato" w:eastAsia="Lato" w:hAnsi="Lato" w:cs="Lato"/>
          <w:sz w:val="20"/>
          <w:szCs w:val="20"/>
        </w:rPr>
        <w:t xml:space="preserve"> See Committee on the Rights of the Child, </w:t>
      </w:r>
      <w:r>
        <w:rPr>
          <w:rFonts w:ascii="Lato" w:eastAsia="Lato" w:hAnsi="Lato" w:cs="Lato"/>
          <w:i/>
          <w:sz w:val="20"/>
          <w:szCs w:val="20"/>
        </w:rPr>
        <w:t>General comment No. 24 (2019) on children’s rights in the child justice system, No. CRC/C/CG/24, 18 September 2019</w:t>
      </w:r>
      <w:r>
        <w:rPr>
          <w:rFonts w:ascii="Lato" w:eastAsia="Lato" w:hAnsi="Lato" w:cs="Lato"/>
          <w:sz w:val="20"/>
          <w:szCs w:val="20"/>
        </w:rPr>
        <w:t xml:space="preserve">, at para 4 and 27; Committee on the Rights of the Child, </w:t>
      </w:r>
      <w:r>
        <w:rPr>
          <w:rFonts w:ascii="Lato" w:eastAsia="Lato" w:hAnsi="Lato" w:cs="Lato"/>
          <w:i/>
          <w:sz w:val="20"/>
          <w:szCs w:val="20"/>
        </w:rPr>
        <w:t>General comment No. 21 (2017) on children in street situations</w:t>
      </w:r>
      <w:r>
        <w:rPr>
          <w:rFonts w:ascii="Lato" w:eastAsia="Lato" w:hAnsi="Lato" w:cs="Lato"/>
          <w:sz w:val="20"/>
          <w:szCs w:val="20"/>
        </w:rPr>
        <w:t xml:space="preserve">, No. CRC/C/CG/21, 21 June 2017, at para 31; Committee on the Rights of the Child, </w:t>
      </w:r>
      <w:r>
        <w:rPr>
          <w:rFonts w:ascii="Lato" w:eastAsia="Lato" w:hAnsi="Lato" w:cs="Lato"/>
          <w:i/>
          <w:sz w:val="20"/>
          <w:szCs w:val="20"/>
        </w:rPr>
        <w:t>General comment No. 19 (2016) on public budgeting for the realization of children’s rights (art. 4)</w:t>
      </w:r>
      <w:r>
        <w:rPr>
          <w:rFonts w:ascii="Lato" w:eastAsia="Lato" w:hAnsi="Lato" w:cs="Lato"/>
          <w:sz w:val="20"/>
          <w:szCs w:val="20"/>
        </w:rPr>
        <w:t xml:space="preserve">, No. CRC/C/CG/19, 20 July 2016, at para 34; Committee on the Rights of the Child, </w:t>
      </w:r>
      <w:r>
        <w:rPr>
          <w:rFonts w:ascii="Lato" w:eastAsia="Lato" w:hAnsi="Lato" w:cs="Lato"/>
          <w:i/>
          <w:sz w:val="20"/>
          <w:szCs w:val="20"/>
        </w:rPr>
        <w:t>General comment No. 15 (2013) on the right of the child to the enjoyment of the highest attainable standard of health (art. 24)</w:t>
      </w:r>
      <w:r>
        <w:rPr>
          <w:rFonts w:ascii="Lato" w:eastAsia="Lato" w:hAnsi="Lato" w:cs="Lato"/>
          <w:sz w:val="20"/>
          <w:szCs w:val="20"/>
        </w:rPr>
        <w:t>, No. CRC/C/CG/15, 17 April 2013</w:t>
      </w:r>
      <w:r>
        <w:rPr>
          <w:rFonts w:ascii="Times New Roman" w:eastAsia="Times New Roman" w:hAnsi="Times New Roman" w:cs="Times New Roman"/>
          <w:sz w:val="20"/>
          <w:szCs w:val="20"/>
        </w:rPr>
        <w:t>.</w:t>
      </w:r>
    </w:p>
  </w:footnote>
  <w:footnote w:id="59">
    <w:p w14:paraId="59809AFE" w14:textId="77777777" w:rsidR="009E4D0A"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Lato" w:eastAsia="Lato" w:hAnsi="Lato" w:cs="Lato"/>
          <w:sz w:val="20"/>
          <w:szCs w:val="20"/>
        </w:rPr>
        <w:t xml:space="preserve"> See UN General Assembly, Universal Declaration of Human Rights, 10 December 1948, at Article 30; UN General Assembly, International Covenant on Economic, Social and Cultural Rights, 16 December 1966, Treaty Series, vol. 993, p. 3, at Article 2(1); Office of the High Commissioner for Human Rights, CESCR General Comment No. 3 The Nature of States Parties’ obligations (Art. 2, Para. 1, of the Covenant), No. E/1991/23, 14 December 1990.</w:t>
      </w:r>
    </w:p>
  </w:footnote>
  <w:footnote w:id="60">
    <w:p w14:paraId="35C6DF8F" w14:textId="77777777" w:rsidR="009E4D0A" w:rsidRDefault="00000000">
      <w:pPr>
        <w:pBdr>
          <w:top w:val="nil"/>
          <w:left w:val="nil"/>
          <w:bottom w:val="nil"/>
          <w:right w:val="nil"/>
          <w:between w:val="nil"/>
        </w:pBdr>
        <w:spacing w:line="240" w:lineRule="auto"/>
        <w:jc w:val="both"/>
        <w:rPr>
          <w:rFonts w:ascii="Lato" w:eastAsia="Lato" w:hAnsi="Lato" w:cs="Lato"/>
          <w:sz w:val="20"/>
          <w:szCs w:val="20"/>
        </w:rPr>
      </w:pPr>
      <w:r>
        <w:rPr>
          <w:vertAlign w:val="superscript"/>
        </w:rPr>
        <w:footnoteRef/>
      </w:r>
      <w:r>
        <w:rPr>
          <w:rFonts w:ascii="Lato" w:eastAsia="Lato" w:hAnsi="Lato" w:cs="Lato"/>
          <w:sz w:val="20"/>
          <w:szCs w:val="20"/>
        </w:rPr>
        <w:t xml:space="preserve"> A. Mitchell, J. Munro,</w:t>
      </w:r>
      <w:r>
        <w:rPr>
          <w:rFonts w:ascii="Lato" w:eastAsia="Lato" w:hAnsi="Lato" w:cs="Lato"/>
          <w:i/>
          <w:sz w:val="20"/>
          <w:szCs w:val="20"/>
        </w:rPr>
        <w:t xml:space="preserve"> </w:t>
      </w:r>
      <w:hyperlink r:id="rId19">
        <w:r>
          <w:rPr>
            <w:rFonts w:ascii="Lato" w:eastAsia="Lato" w:hAnsi="Lato" w:cs="Lato"/>
            <w:i/>
            <w:color w:val="1155CC"/>
            <w:sz w:val="20"/>
            <w:szCs w:val="20"/>
            <w:u w:val="single"/>
          </w:rPr>
          <w:t>An international law principle of non-regression from environmental protections</w:t>
        </w:r>
      </w:hyperlink>
      <w:r>
        <w:rPr>
          <w:rFonts w:ascii="Lato" w:eastAsia="Lato" w:hAnsi="Lato" w:cs="Lato"/>
          <w:sz w:val="20"/>
          <w:szCs w:val="20"/>
        </w:rPr>
        <w:t>, 2023, International &amp; Comparative Law Quarterly.</w:t>
      </w:r>
    </w:p>
  </w:footnote>
  <w:footnote w:id="61">
    <w:p w14:paraId="297B5042" w14:textId="77777777" w:rsidR="009E4D0A" w:rsidRDefault="0000000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vertAlign w:val="superscript"/>
        </w:rPr>
        <w:footnoteRef/>
      </w:r>
      <w:r>
        <w:rPr>
          <w:rFonts w:ascii="Lato" w:eastAsia="Lato" w:hAnsi="Lato" w:cs="Lato"/>
          <w:sz w:val="20"/>
          <w:szCs w:val="20"/>
        </w:rPr>
        <w:t xml:space="preserve"> See Regional Agreement on Access to Information, Public Participation and Justice in Environmental Matters in Latin America and the Caribbean, adopted on March 4, 2018 – entered into force on April 22, 2021, at Article 3.</w:t>
      </w:r>
    </w:p>
  </w:footnote>
  <w:footnote w:id="62">
    <w:p w14:paraId="7AC2CF9C" w14:textId="77777777" w:rsidR="009E4D0A" w:rsidRDefault="00000000">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vertAlign w:val="superscript"/>
        </w:rPr>
        <w:footnoteRef/>
      </w:r>
      <w:r>
        <w:rPr>
          <w:rFonts w:ascii="Lato" w:eastAsia="Lato" w:hAnsi="Lato" w:cs="Lato"/>
          <w:sz w:val="20"/>
          <w:szCs w:val="20"/>
        </w:rPr>
        <w:t xml:space="preserve"> Paris Agreement, December 12, 2015 in Annex of Decision 1/CP.21, “Adoption of the Paris Agreement”, December 12, 2015, FCCC/CP/2015/10/Add.1, at Articles 3 and 4.3</w:t>
      </w:r>
      <w:r>
        <w:rPr>
          <w:rFonts w:ascii="Times New Roman" w:eastAsia="Times New Roman" w:hAnsi="Times New Roman" w:cs="Times New Roman"/>
          <w:sz w:val="20"/>
          <w:szCs w:val="20"/>
        </w:rPr>
        <w:t>.</w:t>
      </w:r>
    </w:p>
  </w:footnote>
  <w:footnote w:id="63">
    <w:p w14:paraId="1EA3997F" w14:textId="77777777" w:rsidR="009E4D0A"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Lato" w:eastAsia="Lato" w:hAnsi="Lato" w:cs="Lato"/>
          <w:sz w:val="20"/>
          <w:szCs w:val="20"/>
        </w:rPr>
        <w:t xml:space="preserve"> Report of the Independent Expert on the issue of human rights obligations relating to the enjoyment of a safe, clean, healthy and sustainable environment, Mapping Report, No. A/HRC/25/53, 30 December 2013, at para 80</w:t>
      </w:r>
      <w:r>
        <w:rPr>
          <w:rFonts w:ascii="Times New Roman" w:eastAsia="Times New Roman" w:hAnsi="Times New Roman" w:cs="Times New Roman"/>
          <w:sz w:val="20"/>
          <w:szCs w:val="20"/>
        </w:rPr>
        <w:t>.</w:t>
      </w:r>
    </w:p>
  </w:footnote>
  <w:footnote w:id="64">
    <w:p w14:paraId="05446080" w14:textId="77777777" w:rsidR="009E4D0A" w:rsidRDefault="00000000">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w:t>
      </w:r>
      <w:r>
        <w:rPr>
          <w:rFonts w:ascii="Lato" w:eastAsia="Lato" w:hAnsi="Lato" w:cs="Lato"/>
          <w:i/>
          <w:sz w:val="20"/>
          <w:szCs w:val="20"/>
        </w:rPr>
        <w:t>Ibid</w:t>
      </w:r>
      <w:r>
        <w:rPr>
          <w:rFonts w:ascii="Lato" w:eastAsia="Lato" w:hAnsi="Lato" w:cs="Lato"/>
          <w:sz w:val="20"/>
          <w:szCs w:val="20"/>
        </w:rPr>
        <w:t>., at para 94 and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FC06" w14:textId="77777777" w:rsidR="009E4D0A" w:rsidRDefault="009E4D0A">
    <w:pPr>
      <w:rPr>
        <w:color w:val="FF0000"/>
      </w:rPr>
    </w:pPr>
  </w:p>
  <w:p w14:paraId="51D3225C" w14:textId="77777777" w:rsidR="009E4D0A" w:rsidRDefault="009E4D0A">
    <w:pP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E9E3" w14:textId="77777777" w:rsidR="009E4D0A" w:rsidRDefault="00000000">
    <w:pPr>
      <w:rPr>
        <w:color w:val="FF0000"/>
      </w:rPr>
    </w:pPr>
    <w:r>
      <w:rPr>
        <w:noProof/>
        <w:color w:val="FF0000"/>
      </w:rPr>
      <w:drawing>
        <wp:inline distT="114300" distB="114300" distL="114300" distR="114300" wp14:anchorId="17A1D101" wp14:editId="35DBE1E4">
          <wp:extent cx="1578882" cy="842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8882" cy="842963"/>
                  </a:xfrm>
                  <a:prstGeom prst="rect">
                    <a:avLst/>
                  </a:prstGeom>
                  <a:ln/>
                </pic:spPr>
              </pic:pic>
            </a:graphicData>
          </a:graphic>
        </wp:inline>
      </w:drawing>
    </w:r>
  </w:p>
  <w:p w14:paraId="74B5A0AC" w14:textId="77777777" w:rsidR="009E4D0A" w:rsidRDefault="009E4D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77D"/>
    <w:multiLevelType w:val="multilevel"/>
    <w:tmpl w:val="F74E1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77301"/>
    <w:multiLevelType w:val="multilevel"/>
    <w:tmpl w:val="8FFE65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EA60F1"/>
    <w:multiLevelType w:val="multilevel"/>
    <w:tmpl w:val="8C8A19FE"/>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EE23EC"/>
    <w:multiLevelType w:val="multilevel"/>
    <w:tmpl w:val="899CB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0666113">
    <w:abstractNumId w:val="2"/>
  </w:num>
  <w:num w:numId="2" w16cid:durableId="255092058">
    <w:abstractNumId w:val="3"/>
  </w:num>
  <w:num w:numId="3" w16cid:durableId="736629552">
    <w:abstractNumId w:val="1"/>
  </w:num>
  <w:num w:numId="4" w16cid:durableId="54769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0A"/>
    <w:rsid w:val="00812E13"/>
    <w:rsid w:val="008F4F83"/>
    <w:rsid w:val="009E4D0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816E1A7"/>
  <w15:docId w15:val="{287B06FB-5D75-404A-9791-42962E77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press-releases/2019/09/un-child-rights-committee-voices-support-children-campaigning-climate-change" TargetMode="External"/><Relationship Id="rId13" Type="http://schemas.openxmlformats.org/officeDocument/2006/relationships/hyperlink" Target="https://docstore.ohchr.org/SelfServices/FilesHandler.ashx?enc=6QkG1d%2fPPRiCAqhKb7yhsjNHBumcEd5TkNWJOjDFQeatJbyFs960qiwzXV0YO437juxmhfAMHNLV1o3vXd5Afw5LCD74G939ZexURikte8y6sfGv2Qx5kMx0LNfKc1bM" TargetMode="External"/><Relationship Id="rId18" Type="http://schemas.openxmlformats.org/officeDocument/2006/relationships/hyperlink" Target="http://crc/C/ECU/CO/4%20(CRC,%202010),%20Ecuador:%2070." TargetMode="External"/><Relationship Id="rId3" Type="http://schemas.openxmlformats.org/officeDocument/2006/relationships/hyperlink" Target="https://www.un.org/sites/un2.un.org/files/high-level_expert_group_n7b.pdf" TargetMode="External"/><Relationship Id="rId7" Type="http://schemas.openxmlformats.org/officeDocument/2006/relationships/hyperlink" Target="http://climatecasechart.com/wp-content/uploads/sites/16/non-us-case-documents/2021/20210324_11817_order-1.pdf" TargetMode="External"/><Relationship Id="rId12" Type="http://schemas.openxmlformats.org/officeDocument/2006/relationships/hyperlink" Target="https://undocs.org/Home/Mobile?FinalSymbol=CRC%2FC%2FURY%2FCO%2F3-5&amp;Language=E&amp;DeviceType=Desktop&amp;LangRequested=False" TargetMode="External"/><Relationship Id="rId17" Type="http://schemas.openxmlformats.org/officeDocument/2006/relationships/hyperlink" Target="http://crc/C/ECU/CO/4%20(CRC,%202010),%20Ecuador:%2070." TargetMode="External"/><Relationship Id="rId2" Type="http://schemas.openxmlformats.org/officeDocument/2006/relationships/hyperlink" Target="https://www.ohchr.org/en/documents/thematic-reports/a77549-report-special-rapporteur-contemporary-forms-racism-racial" TargetMode="External"/><Relationship Id="rId16" Type="http://schemas.openxmlformats.org/officeDocument/2006/relationships/hyperlink" Target="http://crc/C/PER/CO/4-5%20(CRC,%202016),%20Peru:65.Committee" TargetMode="External"/><Relationship Id="rId1" Type="http://schemas.openxmlformats.org/officeDocument/2006/relationships/hyperlink" Target="https://www.weforum.org/agenda/2022/11/global-co2-emissions-fossil-fuels-hit-record-2022/" TargetMode="External"/><Relationship Id="rId6" Type="http://schemas.openxmlformats.org/officeDocument/2006/relationships/hyperlink" Target="https://www.unicef.org/eap/media/4596/file/It%20is%20getting%20hot:%20Call%20for%20education%20systems%20to%20respond%20to%20the%20climate%20crisis.pdf" TargetMode="External"/><Relationship Id="rId11" Type="http://schemas.openxmlformats.org/officeDocument/2006/relationships/hyperlink" Target="https://undocs.org/Home/Mobile?FinalSymbol=CRC%2FC%2FURY%2FCO%2F3-5&amp;Language=E&amp;DeviceType=Desktop&amp;LangRequested=False" TargetMode="External"/><Relationship Id="rId5" Type="http://schemas.openxmlformats.org/officeDocument/2006/relationships/hyperlink" Target="https://www-cdn.oxfam.org/s3fs-public/file_attachments/dp-a-safe-and-just-space-for-humanity-130212-en_5.pdf" TargetMode="External"/><Relationship Id="rId15" Type="http://schemas.openxmlformats.org/officeDocument/2006/relationships/hyperlink" Target="http://crc/C/PER/CO/4-5%20(CRC,%202016),%20Peru:65.Committee" TargetMode="External"/><Relationship Id="rId10" Type="http://schemas.openxmlformats.org/officeDocument/2006/relationships/hyperlink" Target="https://doi.org/10.1210/er.2009-0002" TargetMode="External"/><Relationship Id="rId19" Type="http://schemas.openxmlformats.org/officeDocument/2006/relationships/hyperlink" Target="https://www.cambridge.org/core/journals/international-and-comparative-law-quarterly/article/an-international-law-principle-of-nonregression-from-environmental-protections/DFB6236C0504491E00B4174EE6D13186" TargetMode="External"/><Relationship Id="rId4" Type="http://schemas.openxmlformats.org/officeDocument/2006/relationships/hyperlink" Target="https://www.ecologyandsociety.org/vol14/iss2/art32/" TargetMode="External"/><Relationship Id="rId9" Type="http://schemas.openxmlformats.org/officeDocument/2006/relationships/hyperlink" Target="https://www.fian.org/en/publication/article/business-due-diligence-and-related-states-obligations-in-the-context-of-corporate-accountability-3056?trk=organization_guest_main-feed-card_feed-article-content" TargetMode="External"/><Relationship Id="rId14" Type="http://schemas.openxmlformats.org/officeDocument/2006/relationships/hyperlink" Target="https://docstore.ohchr.org/SelfServices/FilesHandler.ashx?enc=6QkG1d%2fPPRiCAqhKb7yhsjNHBumcEd5TkNWJOjDFQeatJbyFs960qiwzXV0YO437juxmhfAMHNLV1o3vXd5Afw5LCD74G939ZexURikte8y6sfGv2Qx5kMx0LNfKc1b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4672</Words>
  <Characters>26633</Characters>
  <Application>Microsoft Office Word</Application>
  <DocSecurity>0</DocSecurity>
  <Lines>221</Lines>
  <Paragraphs>62</Paragraphs>
  <ScaleCrop>false</ScaleCrop>
  <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Sébastien Duyck</cp:lastModifiedBy>
  <cp:revision>2</cp:revision>
  <dcterms:created xsi:type="dcterms:W3CDTF">2023-02-16T05:32:00Z</dcterms:created>
  <dcterms:modified xsi:type="dcterms:W3CDTF">2023-02-16T05:32:00Z</dcterms:modified>
</cp:coreProperties>
</file>