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4DC7" w14:textId="16938249" w:rsidR="00A12DD4" w:rsidRDefault="007B2C5A" w:rsidP="000843A4">
      <w:pPr>
        <w:pStyle w:val="Indent1"/>
        <w:spacing w:line="360" w:lineRule="auto"/>
        <w:jc w:val="both"/>
      </w:pPr>
      <w:r w:rsidRPr="00055DC2">
        <w:rPr>
          <w:rFonts w:cs="Arial"/>
          <w:noProof/>
        </w:rPr>
        <w:drawing>
          <wp:anchor distT="0" distB="0" distL="114300" distR="114300" simplePos="0" relativeHeight="251659264" behindDoc="0" locked="0" layoutInCell="1" allowOverlap="1" wp14:anchorId="424A0123" wp14:editId="0928F8FC">
            <wp:simplePos x="0" y="0"/>
            <wp:positionH relativeFrom="margin">
              <wp:posOffset>1869440</wp:posOffset>
            </wp:positionH>
            <wp:positionV relativeFrom="paragraph">
              <wp:posOffset>429</wp:posOffset>
            </wp:positionV>
            <wp:extent cx="2374900" cy="64960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0E5E4" w14:textId="291D8AEC" w:rsidR="007B2C5A" w:rsidRDefault="007B2C5A" w:rsidP="000843A4">
      <w:pPr>
        <w:pStyle w:val="Indent1"/>
        <w:spacing w:line="360" w:lineRule="auto"/>
        <w:jc w:val="both"/>
      </w:pPr>
    </w:p>
    <w:p w14:paraId="7D45DC3B" w14:textId="77777777" w:rsidR="007B2C5A" w:rsidRDefault="007B2C5A" w:rsidP="000843A4">
      <w:pPr>
        <w:pStyle w:val="Indent1"/>
        <w:spacing w:line="360" w:lineRule="auto"/>
        <w:jc w:val="both"/>
      </w:pPr>
    </w:p>
    <w:p w14:paraId="44A232C3" w14:textId="10E37271" w:rsidR="007B2C5A" w:rsidRPr="00885586" w:rsidRDefault="0074631D" w:rsidP="008B1F1F">
      <w:pPr>
        <w:pStyle w:val="Indent1"/>
        <w:spacing w:line="360" w:lineRule="auto"/>
        <w:ind w:firstLine="7655"/>
        <w:jc w:val="right"/>
        <w:rPr>
          <w:b/>
          <w:bCs/>
          <w:color w:val="639828"/>
          <w:szCs w:val="20"/>
        </w:rPr>
      </w:pPr>
      <w:r w:rsidRPr="008B1F1F">
        <w:rPr>
          <w:b/>
          <w:bCs/>
          <w:color w:val="639828"/>
          <w:szCs w:val="20"/>
        </w:rPr>
        <w:t>15</w:t>
      </w:r>
      <w:r w:rsidR="00885586" w:rsidRPr="00885586">
        <w:rPr>
          <w:b/>
          <w:bCs/>
          <w:color w:val="639828"/>
          <w:szCs w:val="20"/>
        </w:rPr>
        <w:t xml:space="preserve"> </w:t>
      </w:r>
      <w:r w:rsidR="00BD789A">
        <w:rPr>
          <w:b/>
          <w:bCs/>
          <w:color w:val="639828"/>
          <w:szCs w:val="20"/>
        </w:rPr>
        <w:t xml:space="preserve">FEBRUARY 2023 </w:t>
      </w:r>
    </w:p>
    <w:p w14:paraId="21CC227B" w14:textId="6E9AFD07" w:rsidR="001C1F99" w:rsidRPr="006D17A7" w:rsidRDefault="00C53447" w:rsidP="00C53447">
      <w:pPr>
        <w:pStyle w:val="Heading1"/>
      </w:pPr>
      <w:r w:rsidRPr="00BA5F66">
        <w:rPr>
          <w:sz w:val="24"/>
          <w:szCs w:val="36"/>
        </w:rPr>
        <w:t>Executive summary</w:t>
      </w:r>
    </w:p>
    <w:p w14:paraId="5FB09623" w14:textId="4AE9E004" w:rsidR="00C53447" w:rsidRPr="00E3659A" w:rsidRDefault="004D0F20" w:rsidP="004D0F20">
      <w:pPr>
        <w:pStyle w:val="Heading2"/>
      </w:pPr>
      <w:r w:rsidRPr="004D0F20">
        <w:rPr>
          <w:color w:val="639828"/>
        </w:rPr>
        <w:t>Background</w:t>
      </w:r>
    </w:p>
    <w:p w14:paraId="401CF57A" w14:textId="4F11F88F" w:rsidR="00AD5233" w:rsidRDefault="004725A0" w:rsidP="000843A4">
      <w:pPr>
        <w:pStyle w:val="Indent1"/>
        <w:spacing w:line="360" w:lineRule="auto"/>
        <w:jc w:val="both"/>
      </w:pPr>
      <w:r>
        <w:t xml:space="preserve">The Australian Conservation Foundation </w:t>
      </w:r>
      <w:r w:rsidRPr="004725A0">
        <w:rPr>
          <w:b/>
          <w:bCs/>
        </w:rPr>
        <w:t>(ACF</w:t>
      </w:r>
      <w:r>
        <w:t>) welcomes</w:t>
      </w:r>
      <w:r w:rsidR="00D31917">
        <w:t xml:space="preserve"> the opportunity to provide </w:t>
      </w:r>
      <w:r>
        <w:t xml:space="preserve">the following </w:t>
      </w:r>
      <w:r w:rsidR="00D31917">
        <w:t xml:space="preserve">submission </w:t>
      </w:r>
      <w:r>
        <w:t xml:space="preserve">regarding </w:t>
      </w:r>
      <w:r w:rsidR="00D31917">
        <w:t>the Draft General Comment No. 26 of the Committee on the Rights of the Child (</w:t>
      </w:r>
      <w:r w:rsidR="00D31917">
        <w:rPr>
          <w:b/>
          <w:bCs/>
        </w:rPr>
        <w:t>Committee</w:t>
      </w:r>
      <w:r w:rsidR="00D31917">
        <w:t>) on children’s rights and the environment with a special focus on climate change</w:t>
      </w:r>
      <w:r w:rsidR="00036E48">
        <w:t xml:space="preserve"> (</w:t>
      </w:r>
      <w:r w:rsidR="00036E48" w:rsidRPr="00036E48">
        <w:rPr>
          <w:b/>
          <w:bCs/>
        </w:rPr>
        <w:t>GC26</w:t>
      </w:r>
      <w:r w:rsidR="00124FE1">
        <w:t xml:space="preserve"> or the </w:t>
      </w:r>
      <w:r w:rsidR="00124FE1">
        <w:rPr>
          <w:b/>
          <w:bCs/>
        </w:rPr>
        <w:t>Draft General Comment</w:t>
      </w:r>
      <w:r w:rsidR="00036E48">
        <w:t>)</w:t>
      </w:r>
      <w:r w:rsidR="00D31917">
        <w:t xml:space="preserve">. </w:t>
      </w:r>
    </w:p>
    <w:p w14:paraId="42089112" w14:textId="05C71658" w:rsidR="00D31917" w:rsidRDefault="00AD5233" w:rsidP="000843A4">
      <w:pPr>
        <w:pStyle w:val="Indent1"/>
        <w:spacing w:line="360" w:lineRule="auto"/>
        <w:jc w:val="both"/>
      </w:pPr>
      <w:r>
        <w:t xml:space="preserve">For over 50 years, ACF has </w:t>
      </w:r>
      <w:r w:rsidR="00467292">
        <w:t xml:space="preserve">been one of Australia’s most influential non-governmental organisations in championing pro-environmental </w:t>
      </w:r>
      <w:r w:rsidR="00317CBE">
        <w:t>action</w:t>
      </w:r>
      <w:r w:rsidR="00467292">
        <w:t>. ACF adopts</w:t>
      </w:r>
      <w:r w:rsidR="00291FCF">
        <w:t xml:space="preserve"> a proactive approach to advocating for greater environmental awareness, engaging with </w:t>
      </w:r>
      <w:r w:rsidR="00B46076">
        <w:t>communities, businesses and governments</w:t>
      </w:r>
      <w:r w:rsidR="00291FCF">
        <w:t xml:space="preserve"> to achieve long-lasting </w:t>
      </w:r>
      <w:r w:rsidR="00317CBE">
        <w:t>change</w:t>
      </w:r>
      <w:r w:rsidR="00291FCF">
        <w:t xml:space="preserve">. ACF </w:t>
      </w:r>
      <w:r w:rsidR="009A181D">
        <w:t>represents a community of more than 700,000 people</w:t>
      </w:r>
      <w:r w:rsidR="00C53447">
        <w:t xml:space="preserve">, many of whom are children </w:t>
      </w:r>
      <w:r w:rsidR="00876CA2">
        <w:t>who are uniquely vulnerable to</w:t>
      </w:r>
      <w:r w:rsidR="00C53447">
        <w:t xml:space="preserve"> </w:t>
      </w:r>
      <w:r w:rsidR="00036E48">
        <w:t>environmental issues, in particular climate change</w:t>
      </w:r>
      <w:r w:rsidR="00C53447">
        <w:t>.</w:t>
      </w:r>
      <w:r w:rsidR="00D31917">
        <w:t xml:space="preserve"> </w:t>
      </w:r>
    </w:p>
    <w:p w14:paraId="304A7F7E" w14:textId="501C0907" w:rsidR="00876CA2" w:rsidRDefault="00CA2500" w:rsidP="000843A4">
      <w:pPr>
        <w:pStyle w:val="Indent1"/>
        <w:spacing w:line="360" w:lineRule="auto"/>
        <w:jc w:val="both"/>
      </w:pPr>
      <w:r w:rsidRPr="00CA2500">
        <w:rPr>
          <w:lang w:val="en-GB"/>
        </w:rPr>
        <w:t>As the driest inhabited continent in the world, Australia is particularly vulnerable to the impacts of climate change and extreme weather events.</w:t>
      </w:r>
      <w:r w:rsidRPr="00CA2500">
        <w:rPr>
          <w:vertAlign w:val="superscript"/>
          <w:lang w:val="en-GB"/>
        </w:rPr>
        <w:footnoteReference w:id="1"/>
      </w:r>
      <w:r>
        <w:rPr>
          <w:lang w:val="en-GB"/>
        </w:rPr>
        <w:t xml:space="preserve"> </w:t>
      </w:r>
      <w:r w:rsidR="00723250">
        <w:rPr>
          <w:lang w:val="en-GB"/>
        </w:rPr>
        <w:t xml:space="preserve"> </w:t>
      </w:r>
      <w:r w:rsidR="00876CA2">
        <w:t xml:space="preserve">Australian children and young people have been active in voicing their concerns </w:t>
      </w:r>
      <w:r w:rsidR="00D0039A">
        <w:t>about environmental degradation and climate change</w:t>
      </w:r>
      <w:r w:rsidR="00DC07FE">
        <w:t xml:space="preserve"> and have advocated for greater action by governments, businesses</w:t>
      </w:r>
      <w:r w:rsidR="004E10F9">
        <w:t>,</w:t>
      </w:r>
      <w:r w:rsidR="00DC07FE">
        <w:t xml:space="preserve"> and other key stakeholders to address these issues</w:t>
      </w:r>
      <w:r w:rsidR="00D0039A">
        <w:t xml:space="preserve">. </w:t>
      </w:r>
      <w:r w:rsidR="00DC07FE">
        <w:t xml:space="preserve"> Besides calling for action through online advocacy and public demonstrations</w:t>
      </w:r>
      <w:r w:rsidR="00E84434">
        <w:t>, young Australians have also made headlines as litigants in domestic climate litigation</w:t>
      </w:r>
      <w:r w:rsidR="006F6FCA">
        <w:rPr>
          <w:rStyle w:val="FootnoteReference"/>
        </w:rPr>
        <w:footnoteReference w:id="2"/>
      </w:r>
      <w:r w:rsidR="00E84434">
        <w:t xml:space="preserve"> and through complaints to intergovernmental </w:t>
      </w:r>
      <w:r w:rsidR="001858B6">
        <w:t>bodies.</w:t>
      </w:r>
      <w:r w:rsidR="001858B6">
        <w:rPr>
          <w:rStyle w:val="FootnoteReference"/>
        </w:rPr>
        <w:footnoteReference w:id="3"/>
      </w:r>
      <w:r w:rsidR="001858B6">
        <w:t xml:space="preserve"> </w:t>
      </w:r>
    </w:p>
    <w:p w14:paraId="22896A53" w14:textId="6BCA4F06" w:rsidR="003A6E18" w:rsidRDefault="009A3687" w:rsidP="000843A4">
      <w:pPr>
        <w:pStyle w:val="Indent1"/>
        <w:spacing w:line="360" w:lineRule="auto"/>
        <w:jc w:val="both"/>
      </w:pPr>
      <w:r>
        <w:t xml:space="preserve">ACF </w:t>
      </w:r>
      <w:r w:rsidR="00A55F79">
        <w:t>notes</w:t>
      </w:r>
      <w:r>
        <w:t xml:space="preserve"> the significance of </w:t>
      </w:r>
      <w:r w:rsidR="00D463A6">
        <w:t xml:space="preserve">GC26 </w:t>
      </w:r>
      <w:r w:rsidR="00301223">
        <w:t xml:space="preserve">in (among other objectives) </w:t>
      </w:r>
      <w:r w:rsidR="00D463A6">
        <w:t xml:space="preserve">providing State parties to the Convention on the Rights of the Child </w:t>
      </w:r>
      <w:r w:rsidR="00301223">
        <w:t>(</w:t>
      </w:r>
      <w:r w:rsidR="00301223">
        <w:rPr>
          <w:b/>
          <w:bCs/>
        </w:rPr>
        <w:t>Convention</w:t>
      </w:r>
      <w:r w:rsidR="00301223">
        <w:t>)</w:t>
      </w:r>
      <w:r w:rsidR="00AB572C">
        <w:t xml:space="preserve"> such as Australia</w:t>
      </w:r>
      <w:r w:rsidR="00301223">
        <w:rPr>
          <w:b/>
          <w:bCs/>
        </w:rPr>
        <w:t xml:space="preserve"> </w:t>
      </w:r>
      <w:r w:rsidR="00D463A6">
        <w:t>with authoritative guidance</w:t>
      </w:r>
      <w:r w:rsidR="00301223">
        <w:t xml:space="preserve"> on legislative, administrative</w:t>
      </w:r>
      <w:r w:rsidR="00D30845">
        <w:t>,</w:t>
      </w:r>
      <w:r w:rsidR="00301223">
        <w:t xml:space="preserve"> and other appropriate measures to be undertaken with respect to environmental issues, and particularly climate change.  </w:t>
      </w:r>
      <w:r w:rsidR="009F501D">
        <w:t xml:space="preserve">Through this guidance, ACF hopes that GC26 can </w:t>
      </w:r>
      <w:r w:rsidR="0074631D">
        <w:t>influence</w:t>
      </w:r>
      <w:r w:rsidR="009F501D">
        <w:t xml:space="preserve"> further legal </w:t>
      </w:r>
      <w:r w:rsidR="009F501D">
        <w:lastRenderedPageBreak/>
        <w:t xml:space="preserve">developments in Australia towards greater recognition and protection of children’s rights to a </w:t>
      </w:r>
      <w:r w:rsidR="0074631D">
        <w:t>clean, healthy</w:t>
      </w:r>
      <w:r w:rsidR="00D30845">
        <w:t>,</w:t>
      </w:r>
      <w:r w:rsidR="0074631D">
        <w:t xml:space="preserve"> and sustainable</w:t>
      </w:r>
      <w:r w:rsidR="009F501D">
        <w:t xml:space="preserve"> environment.</w:t>
      </w:r>
    </w:p>
    <w:p w14:paraId="31674104" w14:textId="6D7095DB" w:rsidR="004D0F20" w:rsidRDefault="00EF0CDC" w:rsidP="000843A4">
      <w:pPr>
        <w:pStyle w:val="Indent1"/>
        <w:spacing w:line="360" w:lineRule="auto"/>
        <w:jc w:val="both"/>
      </w:pPr>
      <w:r>
        <w:t xml:space="preserve">While </w:t>
      </w:r>
      <w:r w:rsidR="00D31917">
        <w:t xml:space="preserve">ACF </w:t>
      </w:r>
      <w:r w:rsidR="008606AC">
        <w:t>broadly approves of the GC26’s current drafting</w:t>
      </w:r>
      <w:r>
        <w:t>, we</w:t>
      </w:r>
      <w:r w:rsidR="008606AC">
        <w:t xml:space="preserve"> </w:t>
      </w:r>
      <w:r w:rsidR="005140B5">
        <w:t xml:space="preserve">recommend that the Committee consider the following </w:t>
      </w:r>
      <w:r>
        <w:t xml:space="preserve">discrete </w:t>
      </w:r>
      <w:r w:rsidR="0074631D">
        <w:t>amendments</w:t>
      </w:r>
      <w:r w:rsidR="008606AC">
        <w:t xml:space="preserve"> to </w:t>
      </w:r>
      <w:r>
        <w:t>further</w:t>
      </w:r>
      <w:r w:rsidR="008606AC">
        <w:t xml:space="preserve"> recognise, protect</w:t>
      </w:r>
      <w:r w:rsidR="00D30845">
        <w:t>,</w:t>
      </w:r>
      <w:r w:rsidR="008606AC">
        <w:t xml:space="preserve"> and clarify children’s right to a clean, healthy and sustainable environment.</w:t>
      </w:r>
    </w:p>
    <w:p w14:paraId="44F49B48" w14:textId="79ECBA84" w:rsidR="00F27E86" w:rsidRPr="002E7BD2" w:rsidRDefault="001E6E69" w:rsidP="00F27E86">
      <w:pPr>
        <w:pStyle w:val="Heading1"/>
        <w:rPr>
          <w:sz w:val="24"/>
          <w:szCs w:val="36"/>
        </w:rPr>
      </w:pPr>
      <w:r w:rsidRPr="002E7BD2">
        <w:rPr>
          <w:sz w:val="24"/>
          <w:szCs w:val="36"/>
        </w:rPr>
        <w:t>Recommend</w:t>
      </w:r>
      <w:r>
        <w:rPr>
          <w:sz w:val="24"/>
          <w:szCs w:val="36"/>
        </w:rPr>
        <w:t xml:space="preserve">ed </w:t>
      </w:r>
      <w:r w:rsidR="0074631D">
        <w:rPr>
          <w:sz w:val="24"/>
          <w:szCs w:val="36"/>
        </w:rPr>
        <w:t>amendments</w:t>
      </w:r>
      <w:r>
        <w:rPr>
          <w:sz w:val="24"/>
          <w:szCs w:val="36"/>
        </w:rPr>
        <w:t xml:space="preserve"> to draft GC26</w:t>
      </w:r>
    </w:p>
    <w:p w14:paraId="4329DDFD" w14:textId="3AE65701" w:rsidR="001E6E69" w:rsidRPr="001E6E69" w:rsidRDefault="001B20E3" w:rsidP="001E6E69">
      <w:pPr>
        <w:pStyle w:val="Heading2"/>
        <w:rPr>
          <w:color w:val="639828"/>
        </w:rPr>
      </w:pPr>
      <w:bookmarkStart w:id="0" w:name="_Ref120721231"/>
      <w:r>
        <w:rPr>
          <w:color w:val="639828"/>
        </w:rPr>
        <w:t>The best interests of the child (art. 3)</w:t>
      </w:r>
    </w:p>
    <w:p w14:paraId="7C96D1ED" w14:textId="1C177DDB" w:rsidR="001E6E69" w:rsidRPr="0085066F" w:rsidRDefault="0085066F" w:rsidP="0085066F">
      <w:pPr>
        <w:pStyle w:val="Heading3"/>
        <w:rPr>
          <w:b/>
          <w:bCs/>
        </w:rPr>
      </w:pPr>
      <w:r w:rsidRPr="0085066F">
        <w:rPr>
          <w:b/>
          <w:bCs/>
        </w:rPr>
        <w:t>Rationale</w:t>
      </w:r>
    </w:p>
    <w:p w14:paraId="3539A3AB" w14:textId="4B4690C4" w:rsidR="00AF3C93" w:rsidRDefault="003E1FA8" w:rsidP="0085066F">
      <w:pPr>
        <w:pStyle w:val="Heading3"/>
        <w:numPr>
          <w:ilvl w:val="0"/>
          <w:numId w:val="0"/>
        </w:numPr>
        <w:ind w:left="1134"/>
      </w:pPr>
      <w:r>
        <w:t xml:space="preserve">The </w:t>
      </w:r>
      <w:r w:rsidR="00CB19AC">
        <w:t>Committee has provided</w:t>
      </w:r>
      <w:r w:rsidR="006907A2">
        <w:t xml:space="preserve"> </w:t>
      </w:r>
      <w:r w:rsidR="009E002E">
        <w:t>meaningful</w:t>
      </w:r>
      <w:r w:rsidR="003537E2">
        <w:t xml:space="preserve"> draft</w:t>
      </w:r>
      <w:r w:rsidR="009E002E">
        <w:t xml:space="preserve"> </w:t>
      </w:r>
      <w:r w:rsidR="006907A2">
        <w:t xml:space="preserve">guidance </w:t>
      </w:r>
      <w:r w:rsidR="00CB19AC">
        <w:t>regarding</w:t>
      </w:r>
      <w:r w:rsidR="009E002E">
        <w:t xml:space="preserve"> the interpretation of</w:t>
      </w:r>
      <w:r w:rsidR="006907A2">
        <w:t xml:space="preserve"> </w:t>
      </w:r>
      <w:r w:rsidR="009E002E">
        <w:t>article</w:t>
      </w:r>
      <w:r w:rsidR="00D30845">
        <w:t> </w:t>
      </w:r>
      <w:r w:rsidR="009E002E">
        <w:t>12 of the Convention in the context of environmental issues and climate</w:t>
      </w:r>
      <w:r w:rsidR="00A55F79">
        <w:t xml:space="preserve"> change</w:t>
      </w:r>
      <w:r w:rsidR="009E002E">
        <w:t>.</w:t>
      </w:r>
      <w:bookmarkStart w:id="1" w:name="_Ref124941784"/>
      <w:r w:rsidR="006907A2">
        <w:rPr>
          <w:rStyle w:val="FootnoteReference"/>
        </w:rPr>
        <w:footnoteReference w:id="4"/>
      </w:r>
      <w:bookmarkEnd w:id="1"/>
      <w:r w:rsidR="006907A2">
        <w:t xml:space="preserve"> </w:t>
      </w:r>
      <w:r w:rsidR="00254A3C">
        <w:t>As noted in the Committee’s General Comment no. 12 (</w:t>
      </w:r>
      <w:r w:rsidR="00254A3C">
        <w:rPr>
          <w:b/>
          <w:bCs/>
        </w:rPr>
        <w:t>GC12</w:t>
      </w:r>
      <w:r w:rsidR="00254A3C">
        <w:t>),</w:t>
      </w:r>
      <w:r w:rsidR="00254A3C">
        <w:rPr>
          <w:rStyle w:val="FootnoteReference"/>
        </w:rPr>
        <w:footnoteReference w:id="5"/>
      </w:r>
      <w:r w:rsidR="00424A90">
        <w:t xml:space="preserve"> article 12 </w:t>
      </w:r>
      <w:r w:rsidR="00A76DAC">
        <w:t>constitutes</w:t>
      </w:r>
      <w:r w:rsidR="00143B48">
        <w:t xml:space="preserve"> </w:t>
      </w:r>
      <w:r w:rsidR="00424A90">
        <w:t>“</w:t>
      </w:r>
      <w:r w:rsidR="00424A90">
        <w:rPr>
          <w:i/>
          <w:iCs/>
        </w:rPr>
        <w:t>one of the four general principles of the Convention</w:t>
      </w:r>
      <w:r w:rsidR="00424A90">
        <w:t>” alongside the right to non-discrimination, the right to life and development, and the primary consideration of the child’s best interests.</w:t>
      </w:r>
      <w:r w:rsidR="00424A90">
        <w:rPr>
          <w:rStyle w:val="FootnoteReference"/>
        </w:rPr>
        <w:footnoteReference w:id="6"/>
      </w:r>
      <w:r w:rsidR="00710C43">
        <w:t xml:space="preserve">  </w:t>
      </w:r>
      <w:r w:rsidR="00A76DAC">
        <w:t>A</w:t>
      </w:r>
      <w:r w:rsidR="00710C43">
        <w:t xml:space="preserve">rticle 12 is particularly interdependent with article 3 of the Convention </w:t>
      </w:r>
      <w:r w:rsidR="00CB19AC">
        <w:t>concerning the best interests of the child.</w:t>
      </w:r>
      <w:r w:rsidR="00CB19AC">
        <w:rPr>
          <w:rStyle w:val="FootnoteReference"/>
        </w:rPr>
        <w:footnoteReference w:id="7"/>
      </w:r>
      <w:r w:rsidR="00E9143E">
        <w:t xml:space="preserve">  </w:t>
      </w:r>
    </w:p>
    <w:p w14:paraId="4F398F45" w14:textId="6D2C8525" w:rsidR="00EE3FAF" w:rsidRDefault="006B76B3" w:rsidP="0085066F">
      <w:pPr>
        <w:pStyle w:val="Heading3"/>
        <w:numPr>
          <w:ilvl w:val="0"/>
          <w:numId w:val="0"/>
        </w:numPr>
        <w:ind w:left="1134"/>
      </w:pPr>
      <w:r>
        <w:t xml:space="preserve">However, the nexus between these two general principles is not immediately clear </w:t>
      </w:r>
      <w:r w:rsidR="00F04B9A">
        <w:t>from</w:t>
      </w:r>
      <w:r>
        <w:t xml:space="preserve"> the current drafting of GC26. I</w:t>
      </w:r>
      <w:r w:rsidR="00AF3C93">
        <w:t>n</w:t>
      </w:r>
      <w:r>
        <w:t xml:space="preserve">sofar as </w:t>
      </w:r>
      <w:r w:rsidR="00AF3C93">
        <w:t>State parties and other relevant stakeholders are directed to make determinations of, assess, and take action in accordance with, the ‘best interests of the child’, it is imperative th</w:t>
      </w:r>
      <w:r w:rsidR="00B043AF">
        <w:t xml:space="preserve">at </w:t>
      </w:r>
      <w:r w:rsidR="00EE3FAF">
        <w:t xml:space="preserve">a child or a group of children’s best interests be established in consultation with </w:t>
      </w:r>
      <w:r w:rsidR="003537E2">
        <w:t>affected</w:t>
      </w:r>
      <w:r w:rsidR="00F04B9A">
        <w:t xml:space="preserve"> </w:t>
      </w:r>
      <w:r w:rsidR="00EE3FAF">
        <w:t xml:space="preserve">children consistent with article 12 of the Convention.  </w:t>
      </w:r>
      <w:r w:rsidR="00A93921">
        <w:t>Any</w:t>
      </w:r>
      <w:r w:rsidR="00EE3FAF">
        <w:t xml:space="preserve"> consultations with children shoul</w:t>
      </w:r>
      <w:r w:rsidR="00312138">
        <w:t>d be effective and meaningful</w:t>
      </w:r>
      <w:r w:rsidR="00670523">
        <w:t xml:space="preserve"> and</w:t>
      </w:r>
      <w:r w:rsidR="00312138">
        <w:t xml:space="preserve"> not tokenistic.  All such processes in which a child or children are heard and participate to determine their best interests in the context of </w:t>
      </w:r>
      <w:r w:rsidR="00570D5A">
        <w:t>environmental decision-making should likewise be conducted in a manner consistent with the principles set out in GC12.</w:t>
      </w:r>
      <w:r w:rsidR="00570D5A">
        <w:rPr>
          <w:rStyle w:val="FootnoteReference"/>
        </w:rPr>
        <w:footnoteReference w:id="8"/>
      </w:r>
      <w:r w:rsidR="00EE3FAF">
        <w:t xml:space="preserve">  </w:t>
      </w:r>
    </w:p>
    <w:p w14:paraId="4C43FFA4" w14:textId="1386DCEE" w:rsidR="0085066F" w:rsidRDefault="00F04B9A" w:rsidP="0085066F">
      <w:pPr>
        <w:pStyle w:val="Heading3"/>
        <w:numPr>
          <w:ilvl w:val="0"/>
          <w:numId w:val="0"/>
        </w:numPr>
        <w:ind w:left="1134"/>
      </w:pPr>
      <w:r>
        <w:t xml:space="preserve">The suggested amendments </w:t>
      </w:r>
      <w:r w:rsidR="003530E3">
        <w:t>below</w:t>
      </w:r>
      <w:r w:rsidR="00BC4A15">
        <w:t xml:space="preserve"> target</w:t>
      </w:r>
      <w:r w:rsidR="003530E3">
        <w:t xml:space="preserve"> the interdependency between articles 12 and 3 in GC26.</w:t>
      </w:r>
    </w:p>
    <w:p w14:paraId="768E95FB" w14:textId="19515625" w:rsidR="0085066F" w:rsidRDefault="0085066F" w:rsidP="0085066F">
      <w:pPr>
        <w:pStyle w:val="Heading3"/>
        <w:rPr>
          <w:b/>
          <w:bCs/>
        </w:rPr>
      </w:pPr>
      <w:r w:rsidRPr="0085066F">
        <w:rPr>
          <w:b/>
          <w:bCs/>
        </w:rPr>
        <w:t>Suggested changes</w:t>
      </w:r>
    </w:p>
    <w:p w14:paraId="60628515" w14:textId="24E2579A" w:rsidR="00962E93" w:rsidRDefault="00D218BF" w:rsidP="00962E93">
      <w:pPr>
        <w:pStyle w:val="Heading3"/>
        <w:numPr>
          <w:ilvl w:val="0"/>
          <w:numId w:val="23"/>
        </w:numPr>
        <w:ind w:left="1560" w:hanging="426"/>
      </w:pPr>
      <w:r>
        <w:t>ACF recommends p</w:t>
      </w:r>
      <w:r w:rsidRPr="00962E93">
        <w:t xml:space="preserve">aragraph </w:t>
      </w:r>
      <w:r w:rsidR="00962E93" w:rsidRPr="00962E93">
        <w:t>53</w:t>
      </w:r>
      <w:r w:rsidR="00AF0EE5">
        <w:t xml:space="preserve"> be amended </w:t>
      </w:r>
      <w:r w:rsidR="00BA2810">
        <w:t xml:space="preserve">as </w:t>
      </w:r>
      <w:r w:rsidR="00581C41">
        <w:t>follows</w:t>
      </w:r>
      <w:r w:rsidR="00962E93" w:rsidRPr="00962E93">
        <w:t>:</w:t>
      </w:r>
    </w:p>
    <w:p w14:paraId="1956D394" w14:textId="31900AB8" w:rsidR="00391524" w:rsidRPr="00962E93" w:rsidRDefault="00391524" w:rsidP="00391524">
      <w:pPr>
        <w:pStyle w:val="Heading3"/>
        <w:numPr>
          <w:ilvl w:val="0"/>
          <w:numId w:val="0"/>
        </w:numPr>
        <w:ind w:left="1560"/>
      </w:pPr>
      <w:r w:rsidRPr="00391524">
        <w:rPr>
          <w:bCs/>
          <w:i/>
          <w:iCs/>
        </w:rPr>
        <w:drawing>
          <wp:inline distT="0" distB="0" distL="0" distR="0" wp14:anchorId="7DF7F13C" wp14:editId="4995F499">
            <wp:extent cx="5257800" cy="1378167"/>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7232" cy="1380639"/>
                    </a:xfrm>
                    <a:prstGeom prst="rect">
                      <a:avLst/>
                    </a:prstGeom>
                    <a:ln>
                      <a:solidFill>
                        <a:srgbClr val="24282B"/>
                      </a:solidFill>
                    </a:ln>
                  </pic:spPr>
                </pic:pic>
              </a:graphicData>
            </a:graphic>
          </wp:inline>
        </w:drawing>
      </w:r>
    </w:p>
    <w:p w14:paraId="401E8C37" w14:textId="47B5F734" w:rsidR="005E0100" w:rsidRPr="001E6E69" w:rsidRDefault="001B20E3" w:rsidP="00962E93">
      <w:pPr>
        <w:pStyle w:val="Heading2"/>
        <w:rPr>
          <w:color w:val="639828"/>
        </w:rPr>
      </w:pPr>
      <w:r>
        <w:rPr>
          <w:color w:val="639828"/>
        </w:rPr>
        <w:t>The right of the child to be heard (art. 12)</w:t>
      </w:r>
    </w:p>
    <w:p w14:paraId="4CEFB51A" w14:textId="20D2D5B6" w:rsidR="005E0100" w:rsidRDefault="005E0100" w:rsidP="00962E93">
      <w:pPr>
        <w:pStyle w:val="Heading3"/>
        <w:keepNext/>
        <w:rPr>
          <w:b/>
          <w:bCs/>
        </w:rPr>
      </w:pPr>
      <w:r w:rsidRPr="0085066F">
        <w:rPr>
          <w:b/>
          <w:bCs/>
        </w:rPr>
        <w:t>Rationale</w:t>
      </w:r>
    </w:p>
    <w:p w14:paraId="4FAAB1CE" w14:textId="37D65EEB" w:rsidR="005A2614" w:rsidRDefault="00EB51DB" w:rsidP="005E0100">
      <w:pPr>
        <w:pStyle w:val="Heading3"/>
        <w:numPr>
          <w:ilvl w:val="0"/>
          <w:numId w:val="0"/>
        </w:numPr>
        <w:ind w:left="1134"/>
      </w:pPr>
      <w:r>
        <w:t xml:space="preserve">GC12 also provides that all processes in which a child or children are heard and participate must be </w:t>
      </w:r>
      <w:r w:rsidR="005A2614">
        <w:t>inclusive</w:t>
      </w:r>
      <w:r w:rsidR="001F2A3C">
        <w:t>,</w:t>
      </w:r>
      <w:r w:rsidR="005A2614">
        <w:rPr>
          <w:rStyle w:val="FootnoteReference"/>
        </w:rPr>
        <w:footnoteReference w:id="9"/>
      </w:r>
      <w:r w:rsidR="005A2614">
        <w:t xml:space="preserve"> safe</w:t>
      </w:r>
      <w:r w:rsidR="001F2A3C">
        <w:t>,</w:t>
      </w:r>
      <w:r w:rsidR="005A2614">
        <w:t xml:space="preserve"> and sensitive to risk.</w:t>
      </w:r>
      <w:r w:rsidR="005A2614">
        <w:rPr>
          <w:rStyle w:val="FootnoteReference"/>
        </w:rPr>
        <w:footnoteReference w:id="10"/>
      </w:r>
      <w:r>
        <w:t xml:space="preserve"> </w:t>
      </w:r>
      <w:r w:rsidR="001D0F6A">
        <w:t xml:space="preserve">While the current drafting of GC26 appears to recognise the importance of inclusivity and creating a safe space for children to express their views, </w:t>
      </w:r>
      <w:r w:rsidR="00713FC6">
        <w:t>there is scope for the Committee to provide further guidance to State parties and other key stakeholders on these issues</w:t>
      </w:r>
      <w:r w:rsidR="00E45D70">
        <w:t>, in order</w:t>
      </w:r>
      <w:r w:rsidR="00713FC6">
        <w:t xml:space="preserve"> to facilitate effective and meaningful participation by children regarding environmental issues that impact their lives.</w:t>
      </w:r>
    </w:p>
    <w:p w14:paraId="6EFB79B2" w14:textId="39BD5D94" w:rsidR="00713FC6" w:rsidRPr="003C6744" w:rsidRDefault="000D5876" w:rsidP="005E0100">
      <w:pPr>
        <w:pStyle w:val="Heading3"/>
        <w:numPr>
          <w:ilvl w:val="0"/>
          <w:numId w:val="0"/>
        </w:numPr>
        <w:ind w:left="1134"/>
      </w:pPr>
      <w:r>
        <w:t>To ensure that consultation processes involving children are inclusive, GC12 directs that participation by children must “</w:t>
      </w:r>
      <w:r>
        <w:rPr>
          <w:i/>
          <w:iCs/>
        </w:rPr>
        <w:t>avoid existing patterns of discrimination, and encourage opportunities for marginalized children, including both girls and boys, to be involved</w:t>
      </w:r>
      <w:r>
        <w:t>”.</w:t>
      </w:r>
      <w:r>
        <w:rPr>
          <w:rStyle w:val="FootnoteReference"/>
        </w:rPr>
        <w:footnoteReference w:id="11"/>
      </w:r>
      <w:r>
        <w:t xml:space="preserve"> </w:t>
      </w:r>
      <w:r w:rsidR="00694354">
        <w:t>The Committee has noted that children</w:t>
      </w:r>
      <w:r w:rsidR="003437B3">
        <w:t xml:space="preserve"> “</w:t>
      </w:r>
      <w:r w:rsidR="003437B3">
        <w:rPr>
          <w:i/>
          <w:iCs/>
        </w:rPr>
        <w:t>are not a homogenous group</w:t>
      </w:r>
      <w:r w:rsidR="003437B3">
        <w:t>” and that “</w:t>
      </w:r>
      <w:r w:rsidR="003437B3">
        <w:rPr>
          <w:i/>
          <w:iCs/>
        </w:rPr>
        <w:t>participation needs to provide for equality of opportunity for all, without discrimination on any grounds</w:t>
      </w:r>
      <w:r w:rsidR="003437B3">
        <w:t>”.</w:t>
      </w:r>
      <w:r w:rsidR="003437B3">
        <w:rPr>
          <w:rStyle w:val="FootnoteReference"/>
        </w:rPr>
        <w:footnoteReference w:id="12"/>
      </w:r>
      <w:r w:rsidR="003437B3">
        <w:t xml:space="preserve">  Further, programmes “</w:t>
      </w:r>
      <w:r w:rsidR="003437B3">
        <w:rPr>
          <w:i/>
          <w:iCs/>
        </w:rPr>
        <w:t>also need to ensure that they are culturally sensitive to children from all communities</w:t>
      </w:r>
      <w:r w:rsidR="003437B3">
        <w:t>”.</w:t>
      </w:r>
      <w:r w:rsidR="003437B3">
        <w:rPr>
          <w:rStyle w:val="FootnoteReference"/>
        </w:rPr>
        <w:footnoteReference w:id="13"/>
      </w:r>
      <w:r w:rsidR="003C6744">
        <w:t xml:space="preserve"> </w:t>
      </w:r>
      <w:r w:rsidR="00694354">
        <w:t>Consistent with the principles outlined in GC12, the Draft General Comment</w:t>
      </w:r>
      <w:r w:rsidR="009E211D">
        <w:t xml:space="preserve"> should </w:t>
      </w:r>
      <w:r w:rsidR="00694354">
        <w:t>also</w:t>
      </w:r>
      <w:r w:rsidR="009E211D">
        <w:t xml:space="preserve"> expressly </w:t>
      </w:r>
      <w:r w:rsidR="00694354">
        <w:t>note</w:t>
      </w:r>
      <w:r w:rsidR="009E211D">
        <w:t xml:space="preserve"> the importance of </w:t>
      </w:r>
      <w:r w:rsidR="00C744CB">
        <w:t xml:space="preserve">seeking a </w:t>
      </w:r>
      <w:r w:rsidR="009E211D">
        <w:t xml:space="preserve">diversity </w:t>
      </w:r>
      <w:r w:rsidR="00C744CB">
        <w:t>of views</w:t>
      </w:r>
      <w:r w:rsidR="009E211D">
        <w:t xml:space="preserve"> </w:t>
      </w:r>
      <w:r w:rsidR="006F0AD3">
        <w:t>when facilitating</w:t>
      </w:r>
      <w:r w:rsidR="009E211D">
        <w:t xml:space="preserve"> the </w:t>
      </w:r>
      <w:r w:rsidR="006F0AD3">
        <w:t>participation</w:t>
      </w:r>
      <w:r w:rsidR="009E211D">
        <w:t xml:space="preserve"> of children in relation to environmental issues.</w:t>
      </w:r>
    </w:p>
    <w:p w14:paraId="3F3E1BB0" w14:textId="4CB90149" w:rsidR="00C55A8E" w:rsidRDefault="00C744CB" w:rsidP="00C55A8E">
      <w:pPr>
        <w:pStyle w:val="Heading3"/>
        <w:numPr>
          <w:ilvl w:val="0"/>
          <w:numId w:val="0"/>
        </w:numPr>
        <w:ind w:left="1134"/>
      </w:pPr>
      <w:r>
        <w:t xml:space="preserve">Likewise, </w:t>
      </w:r>
      <w:r w:rsidR="00D41EEC">
        <w:t xml:space="preserve">while </w:t>
      </w:r>
      <w:r w:rsidR="00A63C14">
        <w:t xml:space="preserve">the draft </w:t>
      </w:r>
      <w:r w:rsidR="00D41EEC">
        <w:t>GC26 notes that the “</w:t>
      </w:r>
      <w:r w:rsidR="00D41EEC">
        <w:rPr>
          <w:i/>
          <w:iCs/>
        </w:rPr>
        <w:t>digital environment has potential for consulting with children and expanding their capacity and opportunities to effectively engage on environmental matters</w:t>
      </w:r>
      <w:r w:rsidR="00D41EEC">
        <w:t>”,</w:t>
      </w:r>
      <w:r w:rsidR="00D41EEC">
        <w:rPr>
          <w:rStyle w:val="FootnoteReference"/>
        </w:rPr>
        <w:footnoteReference w:id="14"/>
      </w:r>
      <w:r w:rsidR="00D41EEC">
        <w:t xml:space="preserve"> </w:t>
      </w:r>
      <w:r w:rsidR="00693AA4">
        <w:t xml:space="preserve">over-reliance on digital platforms for conducting consultations with children </w:t>
      </w:r>
      <w:r w:rsidR="00D42046">
        <w:t xml:space="preserve">may </w:t>
      </w:r>
      <w:r w:rsidR="006F0AD3">
        <w:t>conversely</w:t>
      </w:r>
      <w:r w:rsidR="00D42046">
        <w:t xml:space="preserve"> reinforce existing patterns of discrimination in contexts where </w:t>
      </w:r>
      <w:r w:rsidR="00A63C14">
        <w:t>children</w:t>
      </w:r>
      <w:r w:rsidR="001E2903">
        <w:t xml:space="preserve"> face structural barriers such as socio-economic background</w:t>
      </w:r>
      <w:r w:rsidR="00F04D0E">
        <w:t>, geographic remoteness,</w:t>
      </w:r>
      <w:r w:rsidR="001E2903">
        <w:t xml:space="preserve"> or ethnic or national origin, which limit their access technology or digital literacy</w:t>
      </w:r>
      <w:r w:rsidR="00D42046">
        <w:t>.  Similarly, as recognised by the Committee’s previous General Comment no.25,</w:t>
      </w:r>
      <w:r w:rsidR="00E81DC0">
        <w:rPr>
          <w:rStyle w:val="FootnoteReference"/>
        </w:rPr>
        <w:footnoteReference w:id="15"/>
      </w:r>
      <w:r w:rsidR="00D42046">
        <w:t xml:space="preserve"> children </w:t>
      </w:r>
      <w:r w:rsidR="00576F47">
        <w:t xml:space="preserve">face unique risks </w:t>
      </w:r>
      <w:r w:rsidR="00E45D70">
        <w:t>online</w:t>
      </w:r>
      <w:r w:rsidR="00D402AF">
        <w:t>, including cyberaggression and harassment.</w:t>
      </w:r>
      <w:r w:rsidR="00D402AF">
        <w:rPr>
          <w:rStyle w:val="FootnoteReference"/>
        </w:rPr>
        <w:footnoteReference w:id="16"/>
      </w:r>
      <w:r w:rsidR="00D402AF">
        <w:t xml:space="preserve"> </w:t>
      </w:r>
      <w:r w:rsidR="001E2903">
        <w:t>We therefore recommend that the Draft General Comment</w:t>
      </w:r>
      <w:r w:rsidR="00A63C14">
        <w:t xml:space="preserve"> </w:t>
      </w:r>
      <w:r w:rsidR="001E2903">
        <w:t>specifically</w:t>
      </w:r>
      <w:r w:rsidR="00D402AF">
        <w:t xml:space="preserve"> </w:t>
      </w:r>
      <w:r w:rsidR="006F0AD3">
        <w:t>address</w:t>
      </w:r>
      <w:r w:rsidR="00D402AF">
        <w:t xml:space="preserve"> the risk of harm in digital environments </w:t>
      </w:r>
      <w:r w:rsidR="002278DD">
        <w:t xml:space="preserve">and </w:t>
      </w:r>
      <w:r w:rsidR="00AF0EE5">
        <w:t>caveat against over-reliance on digital platforms for consulting with children and youth, as outlined in the proposed amendments below</w:t>
      </w:r>
      <w:r w:rsidR="009B3DBF">
        <w:t>.</w:t>
      </w:r>
    </w:p>
    <w:p w14:paraId="7C2C366C" w14:textId="4B9899D7" w:rsidR="005E0100" w:rsidRDefault="005E0100" w:rsidP="001934B6">
      <w:pPr>
        <w:pStyle w:val="Heading3"/>
        <w:rPr>
          <w:b/>
          <w:bCs/>
        </w:rPr>
      </w:pPr>
      <w:r w:rsidRPr="0085066F">
        <w:rPr>
          <w:b/>
          <w:bCs/>
        </w:rPr>
        <w:t>Suggested changes</w:t>
      </w:r>
    </w:p>
    <w:p w14:paraId="604552F5" w14:textId="18984EBB" w:rsidR="001934B6" w:rsidRDefault="001934B6" w:rsidP="001934B6">
      <w:pPr>
        <w:pStyle w:val="Heading4"/>
        <w:numPr>
          <w:ilvl w:val="0"/>
          <w:numId w:val="22"/>
        </w:numPr>
        <w:tabs>
          <w:tab w:val="clear" w:pos="1701"/>
        </w:tabs>
        <w:ind w:left="1560" w:hanging="426"/>
      </w:pPr>
      <w:r w:rsidRPr="00391524">
        <w:drawing>
          <wp:anchor distT="0" distB="0" distL="114300" distR="114300" simplePos="0" relativeHeight="251661312" behindDoc="0" locked="0" layoutInCell="1" allowOverlap="1" wp14:anchorId="2161204E" wp14:editId="0E35E9B4">
            <wp:simplePos x="0" y="0"/>
            <wp:positionH relativeFrom="column">
              <wp:posOffset>918210</wp:posOffset>
            </wp:positionH>
            <wp:positionV relativeFrom="paragraph">
              <wp:posOffset>222885</wp:posOffset>
            </wp:positionV>
            <wp:extent cx="5258435" cy="1847850"/>
            <wp:effectExtent l="19050" t="19050" r="1841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1061"/>
                    <a:stretch/>
                  </pic:blipFill>
                  <pic:spPr bwMode="auto">
                    <a:xfrm>
                      <a:off x="0" y="0"/>
                      <a:ext cx="5258435" cy="18478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F86">
        <w:t xml:space="preserve">ACF recommends paragraph </w:t>
      </w:r>
      <w:r w:rsidR="00AF0EE5">
        <w:t xml:space="preserve">56 be amended </w:t>
      </w:r>
      <w:r w:rsidR="00BA2810">
        <w:t xml:space="preserve">as </w:t>
      </w:r>
      <w:r w:rsidR="00581C41">
        <w:t>follows</w:t>
      </w:r>
      <w:r w:rsidR="00F22ED9">
        <w:t>:</w:t>
      </w:r>
    </w:p>
    <w:p w14:paraId="3B02C36A" w14:textId="0208F176" w:rsidR="00391524" w:rsidRDefault="00C55A8E" w:rsidP="00391524">
      <w:pPr>
        <w:pStyle w:val="Heading4"/>
        <w:keepNext/>
        <w:numPr>
          <w:ilvl w:val="0"/>
          <w:numId w:val="0"/>
        </w:numPr>
        <w:tabs>
          <w:tab w:val="clear" w:pos="1701"/>
        </w:tabs>
        <w:ind w:left="1560"/>
      </w:pPr>
      <w:r w:rsidRPr="00C55A8E">
        <w:drawing>
          <wp:inline distT="0" distB="0" distL="0" distR="0" wp14:anchorId="2C23E814" wp14:editId="481B54D7">
            <wp:extent cx="5182235" cy="1219905"/>
            <wp:effectExtent l="19050" t="19050" r="1841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2454" cy="1229373"/>
                    </a:xfrm>
                    <a:prstGeom prst="rect">
                      <a:avLst/>
                    </a:prstGeom>
                    <a:ln>
                      <a:solidFill>
                        <a:schemeClr val="tx1"/>
                      </a:solidFill>
                    </a:ln>
                  </pic:spPr>
                </pic:pic>
              </a:graphicData>
            </a:graphic>
          </wp:inline>
        </w:drawing>
      </w:r>
    </w:p>
    <w:p w14:paraId="28C0D08B" w14:textId="0A789769" w:rsidR="00F22ED9" w:rsidRDefault="00464E40" w:rsidP="00F22ED9">
      <w:pPr>
        <w:pStyle w:val="Heading4"/>
        <w:numPr>
          <w:ilvl w:val="0"/>
          <w:numId w:val="22"/>
        </w:numPr>
        <w:tabs>
          <w:tab w:val="clear" w:pos="1701"/>
        </w:tabs>
        <w:ind w:left="1560" w:hanging="426"/>
      </w:pPr>
      <w:r>
        <w:t xml:space="preserve">ACF recommends paragraph </w:t>
      </w:r>
      <w:r w:rsidR="00F22ED9">
        <w:t>57</w:t>
      </w:r>
      <w:r w:rsidR="00CB0E9F">
        <w:t xml:space="preserve"> be amended </w:t>
      </w:r>
      <w:r w:rsidR="00D9642D">
        <w:t xml:space="preserve">as </w:t>
      </w:r>
      <w:r w:rsidR="00581C41">
        <w:t>follows</w:t>
      </w:r>
      <w:r w:rsidR="00F22ED9">
        <w:t>:</w:t>
      </w:r>
    </w:p>
    <w:p w14:paraId="7366E42A" w14:textId="726D4EB4" w:rsidR="00532452" w:rsidRDefault="00532452" w:rsidP="00CB0E9F">
      <w:pPr>
        <w:pStyle w:val="Heading4"/>
        <w:numPr>
          <w:ilvl w:val="0"/>
          <w:numId w:val="0"/>
        </w:numPr>
        <w:tabs>
          <w:tab w:val="clear" w:pos="1701"/>
        </w:tabs>
        <w:ind w:left="1560"/>
      </w:pPr>
      <w:r w:rsidRPr="00532452">
        <w:drawing>
          <wp:inline distT="0" distB="0" distL="0" distR="0" wp14:anchorId="667149F9" wp14:editId="387749ED">
            <wp:extent cx="5182323" cy="552527"/>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2323" cy="552527"/>
                    </a:xfrm>
                    <a:prstGeom prst="rect">
                      <a:avLst/>
                    </a:prstGeom>
                    <a:ln>
                      <a:solidFill>
                        <a:schemeClr val="tx1"/>
                      </a:solidFill>
                    </a:ln>
                  </pic:spPr>
                </pic:pic>
              </a:graphicData>
            </a:graphic>
          </wp:inline>
        </w:drawing>
      </w:r>
    </w:p>
    <w:p w14:paraId="69CB9AFB" w14:textId="42561581" w:rsidR="00D263E1" w:rsidRPr="001E6E69" w:rsidRDefault="00D263E1" w:rsidP="00D263E1">
      <w:pPr>
        <w:pStyle w:val="Heading2"/>
        <w:rPr>
          <w:color w:val="639828"/>
        </w:rPr>
      </w:pPr>
      <w:r>
        <w:rPr>
          <w:color w:val="639828"/>
        </w:rPr>
        <w:t xml:space="preserve">The right of children with disabilities (art. </w:t>
      </w:r>
      <w:r w:rsidR="004C51F6">
        <w:rPr>
          <w:color w:val="639828"/>
        </w:rPr>
        <w:t>23</w:t>
      </w:r>
      <w:r>
        <w:rPr>
          <w:color w:val="639828"/>
        </w:rPr>
        <w:t>)</w:t>
      </w:r>
    </w:p>
    <w:p w14:paraId="08880ECE" w14:textId="77777777" w:rsidR="004C51F6" w:rsidRDefault="004C51F6" w:rsidP="004C51F6">
      <w:pPr>
        <w:pStyle w:val="Heading3"/>
        <w:rPr>
          <w:b/>
          <w:bCs/>
        </w:rPr>
      </w:pPr>
      <w:r w:rsidRPr="0085066F">
        <w:rPr>
          <w:b/>
          <w:bCs/>
        </w:rPr>
        <w:t>Rationale</w:t>
      </w:r>
    </w:p>
    <w:p w14:paraId="06D2B5BC" w14:textId="0EE11604" w:rsidR="00D72717" w:rsidRDefault="00B560EA" w:rsidP="0022109C">
      <w:pPr>
        <w:pStyle w:val="Indent2"/>
        <w:ind w:left="1134"/>
      </w:pPr>
      <w:r>
        <w:t>The</w:t>
      </w:r>
      <w:r w:rsidR="006C6A1C">
        <w:t xml:space="preserve"> current </w:t>
      </w:r>
      <w:r w:rsidR="00EA0AA0">
        <w:t>drafting of GC26</w:t>
      </w:r>
      <w:r w:rsidR="006C6A1C">
        <w:t xml:space="preserve"> does not contain any specific guidance </w:t>
      </w:r>
      <w:r w:rsidR="00CB0E9F">
        <w:t>for</w:t>
      </w:r>
      <w:r w:rsidR="006C6A1C">
        <w:t xml:space="preserve"> the interpretation of article 23 of the Convention in the context of environmental protection and climate change.  </w:t>
      </w:r>
      <w:r w:rsidR="008F2986">
        <w:t>This is despite the Committee’s prior recognition</w:t>
      </w:r>
      <w:r w:rsidR="00D72717">
        <w:t xml:space="preserve"> i</w:t>
      </w:r>
      <w:r w:rsidR="00B33CD1">
        <w:t xml:space="preserve">n its General Comment no. 9 </w:t>
      </w:r>
      <w:r w:rsidR="00AC79BE">
        <w:t>(</w:t>
      </w:r>
      <w:r w:rsidR="00AC79BE" w:rsidRPr="00AC79BE">
        <w:rPr>
          <w:b/>
          <w:bCs/>
        </w:rPr>
        <w:t>GC9</w:t>
      </w:r>
      <w:r w:rsidR="00AC79BE">
        <w:t>)</w:t>
      </w:r>
      <w:r w:rsidR="00B33CD1">
        <w:t>,</w:t>
      </w:r>
      <w:r w:rsidR="00B33CD1">
        <w:rPr>
          <w:rStyle w:val="FootnoteReference"/>
        </w:rPr>
        <w:footnoteReference w:id="17"/>
      </w:r>
      <w:r w:rsidR="00B33CD1">
        <w:t xml:space="preserve"> </w:t>
      </w:r>
      <w:r w:rsidR="00D72717">
        <w:t>that “</w:t>
      </w:r>
      <w:r w:rsidR="00D72717" w:rsidRPr="0022109C">
        <w:rPr>
          <w:i/>
          <w:iCs/>
        </w:rPr>
        <w:t>[p]</w:t>
      </w:r>
      <w:proofErr w:type="spellStart"/>
      <w:r w:rsidR="00D72717" w:rsidRPr="0022109C">
        <w:rPr>
          <w:i/>
          <w:iCs/>
        </w:rPr>
        <w:t>aragraph</w:t>
      </w:r>
      <w:proofErr w:type="spellEnd"/>
      <w:r w:rsidR="00D72717" w:rsidRPr="0022109C">
        <w:rPr>
          <w:i/>
          <w:iCs/>
        </w:rPr>
        <w:t xml:space="preserve"> 1 of article 23 should be considered as the leading </w:t>
      </w:r>
      <w:r w:rsidR="0022109C" w:rsidRPr="0022109C">
        <w:rPr>
          <w:i/>
          <w:iCs/>
        </w:rPr>
        <w:t>principle</w:t>
      </w:r>
      <w:r w:rsidR="00D72717" w:rsidRPr="0022109C">
        <w:rPr>
          <w:i/>
          <w:iCs/>
        </w:rPr>
        <w:t xml:space="preserve"> for the implementation of the Convention with respect to children with disabilities</w:t>
      </w:r>
      <w:r w:rsidR="0022109C">
        <w:t>”.</w:t>
      </w:r>
      <w:r w:rsidR="0022109C">
        <w:rPr>
          <w:rStyle w:val="FootnoteReference"/>
        </w:rPr>
        <w:footnoteReference w:id="18"/>
      </w:r>
    </w:p>
    <w:p w14:paraId="7A16674D" w14:textId="31B9A5F4" w:rsidR="00B560EA" w:rsidRPr="00B560EA" w:rsidRDefault="008F2986" w:rsidP="00AE44C7">
      <w:pPr>
        <w:pStyle w:val="Heading3"/>
        <w:keepNext/>
        <w:numPr>
          <w:ilvl w:val="0"/>
          <w:numId w:val="0"/>
        </w:numPr>
        <w:ind w:left="1134"/>
        <w:rPr>
          <w:b/>
          <w:bCs/>
        </w:rPr>
      </w:pPr>
      <w:r>
        <w:t>It is well acknowledged that e</w:t>
      </w:r>
      <w:r w:rsidR="006D45FC">
        <w:t xml:space="preserve">nvironmental degradation and climate change present direct and acute challenges for the realisation of this right. </w:t>
      </w:r>
      <w:r w:rsidR="00F42A36">
        <w:t>C</w:t>
      </w:r>
      <w:r w:rsidR="006D45FC">
        <w:t>hildren living with disabilities are more vulnerable to environmental harm.</w:t>
      </w:r>
      <w:r w:rsidR="006D45FC">
        <w:rPr>
          <w:rStyle w:val="FootnoteReference"/>
        </w:rPr>
        <w:footnoteReference w:id="19"/>
      </w:r>
      <w:r w:rsidR="006D45FC">
        <w:t xml:space="preserve"> </w:t>
      </w:r>
    </w:p>
    <w:p w14:paraId="10B5F51E" w14:textId="0D0B0047" w:rsidR="00962E93" w:rsidRDefault="000B10F9" w:rsidP="00B560EA">
      <w:pPr>
        <w:pStyle w:val="Indent2"/>
        <w:ind w:left="1134"/>
      </w:pPr>
      <w:r>
        <w:t xml:space="preserve">We therefore </w:t>
      </w:r>
      <w:r w:rsidR="00465ED1">
        <w:t>recommend that</w:t>
      </w:r>
      <w:r>
        <w:t xml:space="preserve"> the Committee </w:t>
      </w:r>
      <w:r w:rsidR="00465ED1">
        <w:t>consider undertaking further consultations with</w:t>
      </w:r>
      <w:r w:rsidR="00946E1C">
        <w:t xml:space="preserve"> relevant stakeholders (including children with disabilities, their parents and guardians, and relevant civil society organisations) to provide authoritative guidance on the interpretation of article 23 in the context of environmental issues and climate change, as well </w:t>
      </w:r>
      <w:r w:rsidR="000223CC">
        <w:t xml:space="preserve">as related </w:t>
      </w:r>
      <w:r w:rsidR="00946E1C">
        <w:t xml:space="preserve">legislative, administrative and other appropriate measures to be undertaken </w:t>
      </w:r>
      <w:r w:rsidR="00465ED1">
        <w:t>to specifically</w:t>
      </w:r>
      <w:r w:rsidR="00946E1C">
        <w:t xml:space="preserve"> protect</w:t>
      </w:r>
      <w:r w:rsidR="00465ED1">
        <w:t xml:space="preserve"> and promote</w:t>
      </w:r>
      <w:r w:rsidR="00946E1C">
        <w:t xml:space="preserve"> the rights</w:t>
      </w:r>
      <w:r>
        <w:t xml:space="preserve"> </w:t>
      </w:r>
      <w:r w:rsidR="000223CC">
        <w:t xml:space="preserve">of children with disabilities </w:t>
      </w:r>
      <w:r w:rsidR="00465ED1">
        <w:t>in relation to en</w:t>
      </w:r>
      <w:r w:rsidR="000223CC">
        <w:t>vironmental issues, with a special focus on climate change.</w:t>
      </w:r>
      <w:r>
        <w:t xml:space="preserve"> </w:t>
      </w:r>
    </w:p>
    <w:p w14:paraId="2EBBA623" w14:textId="3C6C5828" w:rsidR="00EF5C02" w:rsidRPr="001E6E69" w:rsidRDefault="00EF5C02" w:rsidP="006D6917">
      <w:pPr>
        <w:pStyle w:val="Heading2"/>
        <w:rPr>
          <w:color w:val="639828"/>
        </w:rPr>
      </w:pPr>
      <w:r>
        <w:rPr>
          <w:color w:val="639828"/>
        </w:rPr>
        <w:t>The right of Indigenous children (art. 30)</w:t>
      </w:r>
    </w:p>
    <w:p w14:paraId="52322803" w14:textId="40E6C615" w:rsidR="00EF5C02" w:rsidRDefault="00EF5C02" w:rsidP="006D6917">
      <w:pPr>
        <w:pStyle w:val="Heading3"/>
        <w:keepNext/>
        <w:rPr>
          <w:b/>
          <w:bCs/>
        </w:rPr>
      </w:pPr>
      <w:r>
        <w:rPr>
          <w:b/>
          <w:bCs/>
        </w:rPr>
        <w:t>Rationale</w:t>
      </w:r>
    </w:p>
    <w:p w14:paraId="35E70E70" w14:textId="779E1C3E" w:rsidR="004F590B" w:rsidRDefault="00287C8B" w:rsidP="00EF5C02">
      <w:pPr>
        <w:pStyle w:val="Indent2"/>
        <w:ind w:left="1134"/>
      </w:pPr>
      <w:r>
        <w:t xml:space="preserve">In relation to the interplay between article 30 and article 12 of the Convention, </w:t>
      </w:r>
      <w:r w:rsidR="00E273FF">
        <w:t xml:space="preserve">the Committee’s </w:t>
      </w:r>
      <w:r w:rsidR="00881CAE">
        <w:t xml:space="preserve">prior </w:t>
      </w:r>
      <w:r w:rsidR="00E273FF">
        <w:t>General Comment no. 11 (</w:t>
      </w:r>
      <w:r w:rsidR="00E273FF" w:rsidRPr="00E273FF">
        <w:rPr>
          <w:b/>
          <w:bCs/>
        </w:rPr>
        <w:t>GC11</w:t>
      </w:r>
      <w:r w:rsidR="00E273FF">
        <w:t>)</w:t>
      </w:r>
      <w:r w:rsidR="00E273FF">
        <w:rPr>
          <w:rStyle w:val="FootnoteReference"/>
        </w:rPr>
        <w:footnoteReference w:id="20"/>
      </w:r>
      <w:r w:rsidR="00E273FF">
        <w:t xml:space="preserve"> notes that State parties play an important role in promoting the participation </w:t>
      </w:r>
      <w:r w:rsidR="00796CD9">
        <w:t>of Indigenous children and should “</w:t>
      </w:r>
      <w:r w:rsidR="00796CD9">
        <w:rPr>
          <w:i/>
          <w:iCs/>
        </w:rPr>
        <w:t>design special strategies to guarantee that their participation is effective</w:t>
      </w:r>
      <w:r w:rsidR="00796CD9">
        <w:t>”.</w:t>
      </w:r>
      <w:r w:rsidR="00796CD9">
        <w:rPr>
          <w:rStyle w:val="FootnoteReference"/>
        </w:rPr>
        <w:footnoteReference w:id="21"/>
      </w:r>
      <w:r w:rsidR="00796CD9">
        <w:t xml:space="preserve"> The Committee further recommends that State parties “</w:t>
      </w:r>
      <w:r w:rsidR="00796CD9">
        <w:rPr>
          <w:i/>
          <w:iCs/>
        </w:rPr>
        <w:t xml:space="preserve">work closely with indigenous children and their </w:t>
      </w:r>
      <w:r w:rsidR="00796CD9">
        <w:rPr>
          <w:i/>
          <w:iCs/>
        </w:rPr>
        <w:lastRenderedPageBreak/>
        <w:t>communities to develop, implement and evaluate programmes, policies and strategies for implementation of the Convention</w:t>
      </w:r>
      <w:r w:rsidR="00796CD9">
        <w:t>”.</w:t>
      </w:r>
      <w:r w:rsidR="00796CD9">
        <w:rPr>
          <w:rStyle w:val="FootnoteReference"/>
        </w:rPr>
        <w:footnoteReference w:id="22"/>
      </w:r>
      <w:r w:rsidR="000A4F38">
        <w:t xml:space="preserve">  </w:t>
      </w:r>
    </w:p>
    <w:p w14:paraId="7A2840F6" w14:textId="7485AE78" w:rsidR="000A4F38" w:rsidRDefault="004F590B" w:rsidP="00EF5C02">
      <w:pPr>
        <w:pStyle w:val="Indent2"/>
        <w:ind w:left="1134"/>
      </w:pPr>
      <w:r>
        <w:t>Likewise, while the current drafting of GC26 encourages States to engage with Indigenous children and their families to integrate (as appropriate) Indigenous cultures and knowledge in mitigation and adaptation measures</w:t>
      </w:r>
      <w:r w:rsidR="00684251">
        <w:t xml:space="preserve">, it is </w:t>
      </w:r>
      <w:r w:rsidR="00881CAE">
        <w:t>imperative</w:t>
      </w:r>
      <w:r w:rsidR="00684251">
        <w:t xml:space="preserve"> that such</w:t>
      </w:r>
      <w:r>
        <w:t xml:space="preserve"> consultation </w:t>
      </w:r>
      <w:r w:rsidR="00684251">
        <w:t>is conducted in a culturally-sensitive manner, and is not tokenistic or exploitative.</w:t>
      </w:r>
    </w:p>
    <w:p w14:paraId="4CE8D895" w14:textId="3876E1CE" w:rsidR="00D263E1" w:rsidRPr="00796CD9" w:rsidRDefault="000A4F38" w:rsidP="00EF5C02">
      <w:pPr>
        <w:pStyle w:val="Indent2"/>
        <w:ind w:left="1134"/>
      </w:pPr>
      <w:r>
        <w:t>Consistent with the Committee’s prior guidance in GC11, we therefore recommend the below amendments to paragraph 49 of the draft General Comment to expressly recognise the importance of effective and meaningful engagement with Indigenous children and their communities in relation to environmental issues and climate change.</w:t>
      </w:r>
      <w:r w:rsidR="000F0BEC">
        <w:t xml:space="preserve"> </w:t>
      </w:r>
    </w:p>
    <w:p w14:paraId="4C52B536" w14:textId="50995CB8" w:rsidR="00EF5C02" w:rsidRDefault="00EF5C02" w:rsidP="00EF5C02">
      <w:pPr>
        <w:pStyle w:val="Heading3"/>
        <w:rPr>
          <w:b/>
          <w:bCs/>
        </w:rPr>
      </w:pPr>
      <w:r>
        <w:rPr>
          <w:b/>
          <w:bCs/>
        </w:rPr>
        <w:t>Suggested changes</w:t>
      </w:r>
    </w:p>
    <w:p w14:paraId="1E1F6427" w14:textId="671D3571" w:rsidR="000F0BEC" w:rsidRDefault="00350F72" w:rsidP="000F0BEC">
      <w:pPr>
        <w:pStyle w:val="Heading4"/>
        <w:numPr>
          <w:ilvl w:val="0"/>
          <w:numId w:val="24"/>
        </w:numPr>
        <w:tabs>
          <w:tab w:val="clear" w:pos="1701"/>
        </w:tabs>
        <w:ind w:left="1560" w:hanging="426"/>
      </w:pPr>
      <w:r>
        <w:t xml:space="preserve">ACF recommends paragraph </w:t>
      </w:r>
      <w:r w:rsidR="000F0BEC">
        <w:t>49</w:t>
      </w:r>
      <w:r w:rsidR="00881CAE">
        <w:t xml:space="preserve"> be amended </w:t>
      </w:r>
      <w:r w:rsidR="00D9642D">
        <w:t xml:space="preserve">as </w:t>
      </w:r>
      <w:r w:rsidR="00581C41">
        <w:t>follows</w:t>
      </w:r>
      <w:r w:rsidR="000F0BEC">
        <w:t>:</w:t>
      </w:r>
    </w:p>
    <w:p w14:paraId="78381372" w14:textId="22D77FFF" w:rsidR="00A710F9" w:rsidRDefault="00A710F9" w:rsidP="00B560EA">
      <w:pPr>
        <w:pStyle w:val="Heading4"/>
        <w:numPr>
          <w:ilvl w:val="0"/>
          <w:numId w:val="0"/>
        </w:numPr>
        <w:tabs>
          <w:tab w:val="clear" w:pos="1701"/>
        </w:tabs>
        <w:ind w:left="1560"/>
        <w:rPr>
          <w:i/>
        </w:rPr>
      </w:pPr>
      <w:r w:rsidRPr="00A710F9">
        <w:rPr>
          <w:i/>
        </w:rPr>
        <w:drawing>
          <wp:inline distT="0" distB="0" distL="0" distR="0" wp14:anchorId="40562F0E" wp14:editId="6FCCA389">
            <wp:extent cx="5239481" cy="847843"/>
            <wp:effectExtent l="19050" t="19050" r="1841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9481" cy="847843"/>
                    </a:xfrm>
                    <a:prstGeom prst="rect">
                      <a:avLst/>
                    </a:prstGeom>
                    <a:ln>
                      <a:solidFill>
                        <a:schemeClr val="tx1"/>
                      </a:solidFill>
                    </a:ln>
                  </pic:spPr>
                </pic:pic>
              </a:graphicData>
            </a:graphic>
          </wp:inline>
        </w:drawing>
      </w:r>
    </w:p>
    <w:p w14:paraId="7557458A" w14:textId="6231F11E" w:rsidR="0016475E" w:rsidRPr="001E6E69" w:rsidRDefault="0016475E" w:rsidP="0016475E">
      <w:pPr>
        <w:pStyle w:val="Heading2"/>
        <w:rPr>
          <w:color w:val="639828"/>
        </w:rPr>
      </w:pPr>
      <w:r>
        <w:rPr>
          <w:color w:val="639828"/>
        </w:rPr>
        <w:t xml:space="preserve">Role of NHRIs </w:t>
      </w:r>
      <w:r w:rsidR="00054F6E">
        <w:rPr>
          <w:color w:val="639828"/>
        </w:rPr>
        <w:t>in relation to children’s rights and the environment</w:t>
      </w:r>
    </w:p>
    <w:p w14:paraId="3013AA5B" w14:textId="77777777" w:rsidR="0016475E" w:rsidRDefault="0016475E" w:rsidP="0016475E">
      <w:pPr>
        <w:pStyle w:val="Heading3"/>
        <w:rPr>
          <w:b/>
          <w:bCs/>
        </w:rPr>
      </w:pPr>
      <w:r>
        <w:rPr>
          <w:b/>
          <w:bCs/>
        </w:rPr>
        <w:t>Rationale</w:t>
      </w:r>
    </w:p>
    <w:p w14:paraId="7D7B3C32" w14:textId="0FB2F604" w:rsidR="0016475E" w:rsidRPr="00C71582" w:rsidRDefault="0016475E" w:rsidP="0016475E">
      <w:pPr>
        <w:pStyle w:val="Heading3"/>
        <w:numPr>
          <w:ilvl w:val="0"/>
          <w:numId w:val="0"/>
        </w:numPr>
        <w:ind w:left="1134"/>
      </w:pPr>
      <w:r>
        <w:t>In its General Comment no. 2 (</w:t>
      </w:r>
      <w:r>
        <w:rPr>
          <w:b/>
          <w:bCs/>
        </w:rPr>
        <w:t>GC2</w:t>
      </w:r>
      <w:r>
        <w:t>),</w:t>
      </w:r>
      <w:bookmarkStart w:id="2" w:name="_Ref124941981"/>
      <w:r>
        <w:rPr>
          <w:rStyle w:val="FootnoteReference"/>
        </w:rPr>
        <w:footnoteReference w:id="23"/>
      </w:r>
      <w:bookmarkEnd w:id="2"/>
      <w:r>
        <w:t xml:space="preserve"> the Committee provided authoritative guidance to State parties regarding the role of independent national human rights institutions (</w:t>
      </w:r>
      <w:r>
        <w:rPr>
          <w:b/>
          <w:bCs/>
        </w:rPr>
        <w:t>NHRIs</w:t>
      </w:r>
      <w:r>
        <w:t>), as well as specialised children’s ombudspersons, children’s commissioners and other independent bodies, in the promotion and protection of the rights of the child.  The Committee has explicitly recognised that such institutions “</w:t>
      </w:r>
      <w:r>
        <w:rPr>
          <w:i/>
          <w:iCs/>
        </w:rPr>
        <w:t>are an important mechanism to promote and ensure the implementation of the Convention</w:t>
      </w:r>
      <w:r>
        <w:t>”</w:t>
      </w:r>
      <w:r w:rsidR="000B7BEC">
        <w:t>,</w:t>
      </w:r>
      <w:r>
        <w:rPr>
          <w:rStyle w:val="FootnoteReference"/>
        </w:rPr>
        <w:footnoteReference w:id="24"/>
      </w:r>
      <w:r>
        <w:t xml:space="preserve">  </w:t>
      </w:r>
      <w:r w:rsidR="000B7BEC">
        <w:t>and that</w:t>
      </w:r>
      <w:r>
        <w:rPr>
          <w:lang w:val="en-GB"/>
        </w:rPr>
        <w:t xml:space="preserve"> NHRIs “</w:t>
      </w:r>
      <w:r w:rsidRPr="00825E07">
        <w:rPr>
          <w:i/>
          <w:iCs/>
          <w:lang w:val="en-GB"/>
        </w:rPr>
        <w:t>have a duty to seek to ensure that children have effective remedies – independent advice, advocacy and complaints procedures – for any breaches of their rights</w:t>
      </w:r>
      <w:r w:rsidRPr="00825E07">
        <w:rPr>
          <w:lang w:val="en-GB"/>
        </w:rPr>
        <w:t>”.</w:t>
      </w:r>
      <w:r w:rsidRPr="00825E07">
        <w:rPr>
          <w:vertAlign w:val="superscript"/>
          <w:lang w:val="en-GB"/>
        </w:rPr>
        <w:footnoteReference w:id="25"/>
      </w:r>
    </w:p>
    <w:p w14:paraId="7211AE74" w14:textId="5D4FA21D" w:rsidR="004D1C6E" w:rsidRDefault="00C140A5" w:rsidP="0016475E">
      <w:pPr>
        <w:pStyle w:val="Heading3"/>
        <w:numPr>
          <w:ilvl w:val="0"/>
          <w:numId w:val="0"/>
        </w:numPr>
        <w:ind w:left="1134"/>
      </w:pPr>
      <w:r>
        <w:t>However, the Draft General Comment does not contain any detailed consideration of the roles that</w:t>
      </w:r>
      <w:r w:rsidR="008231C9">
        <w:t xml:space="preserve"> NHRIs </w:t>
      </w:r>
      <w:r>
        <w:t xml:space="preserve">play </w:t>
      </w:r>
      <w:r w:rsidR="008231C9">
        <w:t>in relation to children’s rights and the environment</w:t>
      </w:r>
      <w:r w:rsidR="00993519">
        <w:t xml:space="preserve">.  </w:t>
      </w:r>
      <w:r>
        <w:t xml:space="preserve">While the current drafting of GC26 does </w:t>
      </w:r>
      <w:r w:rsidR="00C81BC2">
        <w:t>briefly recognise</w:t>
      </w:r>
      <w:r>
        <w:t xml:space="preserve"> the role of such institutions in connection with access to justice</w:t>
      </w:r>
      <w:r w:rsidR="00C81BC2">
        <w:t xml:space="preserve"> and remedies</w:t>
      </w:r>
      <w:r w:rsidR="00550629">
        <w:t>,</w:t>
      </w:r>
      <w:r w:rsidR="00B42B1D">
        <w:rPr>
          <w:rStyle w:val="FootnoteReference"/>
        </w:rPr>
        <w:footnoteReference w:id="26"/>
      </w:r>
      <w:r w:rsidR="00550629">
        <w:t xml:space="preserve"> </w:t>
      </w:r>
      <w:r w:rsidR="009F1119">
        <w:t>and as recognised by the Committee in GC2,</w:t>
      </w:r>
      <w:r w:rsidR="009F1119">
        <w:rPr>
          <w:rStyle w:val="FootnoteReference"/>
        </w:rPr>
        <w:footnoteReference w:id="27"/>
      </w:r>
      <w:r w:rsidR="009F1119">
        <w:t xml:space="preserve"> </w:t>
      </w:r>
      <w:r w:rsidR="00550629">
        <w:t>NHRI</w:t>
      </w:r>
      <w:r w:rsidR="00A42EDD">
        <w:t>s can play a broader role be</w:t>
      </w:r>
      <w:r w:rsidR="00B85E46">
        <w:t>sides</w:t>
      </w:r>
      <w:r w:rsidR="00A42EDD">
        <w:t xml:space="preserve"> </w:t>
      </w:r>
      <w:r w:rsidR="00C97450">
        <w:t xml:space="preserve">simply </w:t>
      </w:r>
      <w:r w:rsidR="00B85E46">
        <w:t xml:space="preserve">providing a complaints mechanism </w:t>
      </w:r>
      <w:r w:rsidR="00C97450">
        <w:t>for children</w:t>
      </w:r>
      <w:r w:rsidR="0082794C">
        <w:t xml:space="preserve">: for example, through human rights education and </w:t>
      </w:r>
      <w:r w:rsidR="00C81BC2">
        <w:t xml:space="preserve">public </w:t>
      </w:r>
      <w:r w:rsidR="0082794C">
        <w:t>advocacy activities</w:t>
      </w:r>
      <w:r w:rsidR="00A42EDD">
        <w:t>.</w:t>
      </w:r>
      <w:r w:rsidR="00EE7934">
        <w:t xml:space="preserve">  We therefore encourage the Committee to further consider the role of NHRIs for the protection and promotion of children’s rights to a healthy environment </w:t>
      </w:r>
      <w:r w:rsidR="004D1C6E">
        <w:t xml:space="preserve">and </w:t>
      </w:r>
      <w:r w:rsidR="00D928E7">
        <w:t>any</w:t>
      </w:r>
      <w:r w:rsidR="004D1C6E">
        <w:t xml:space="preserve"> further guidance </w:t>
      </w:r>
      <w:r w:rsidR="00D928E7">
        <w:t>which can</w:t>
      </w:r>
      <w:r w:rsidR="004D1C6E">
        <w:t xml:space="preserve"> be provided in GC26 on this topic.</w:t>
      </w:r>
      <w:r w:rsidR="00B37D49" w:rsidRPr="00B37D49">
        <w:t xml:space="preserve"> </w:t>
      </w:r>
      <w:r w:rsidR="00B37D49">
        <w:t xml:space="preserve"> As a starting point, and consistently with the terms of GC2, we recommend the below amendments to the Draft General Comment to further recognise the role of NHRIs.</w:t>
      </w:r>
    </w:p>
    <w:p w14:paraId="530B1105" w14:textId="6A98C887" w:rsidR="00A710F9" w:rsidRDefault="00A710F9" w:rsidP="0016475E">
      <w:pPr>
        <w:pStyle w:val="Heading3"/>
        <w:numPr>
          <w:ilvl w:val="0"/>
          <w:numId w:val="0"/>
        </w:numPr>
        <w:ind w:left="1134"/>
      </w:pPr>
    </w:p>
    <w:p w14:paraId="0251C979" w14:textId="77777777" w:rsidR="00A710F9" w:rsidRDefault="00A710F9" w:rsidP="0016475E">
      <w:pPr>
        <w:pStyle w:val="Heading3"/>
        <w:numPr>
          <w:ilvl w:val="0"/>
          <w:numId w:val="0"/>
        </w:numPr>
        <w:ind w:left="1134"/>
      </w:pPr>
    </w:p>
    <w:p w14:paraId="75F29CD6" w14:textId="77777777" w:rsidR="0016475E" w:rsidRDefault="0016475E" w:rsidP="0016475E">
      <w:pPr>
        <w:pStyle w:val="Heading3"/>
        <w:rPr>
          <w:b/>
          <w:bCs/>
        </w:rPr>
      </w:pPr>
      <w:r>
        <w:rPr>
          <w:b/>
          <w:bCs/>
        </w:rPr>
        <w:t>Suggested changes</w:t>
      </w:r>
    </w:p>
    <w:p w14:paraId="7777B998" w14:textId="7846FF89" w:rsidR="0016475E" w:rsidRDefault="00E603BB" w:rsidP="00BB73AA">
      <w:pPr>
        <w:pStyle w:val="Heading4"/>
        <w:numPr>
          <w:ilvl w:val="0"/>
          <w:numId w:val="25"/>
        </w:numPr>
        <w:tabs>
          <w:tab w:val="clear" w:pos="1701"/>
        </w:tabs>
        <w:ind w:left="1560" w:hanging="426"/>
      </w:pPr>
      <w:r>
        <w:t xml:space="preserve">ACF recommends the following paragraph be inserted after </w:t>
      </w:r>
      <w:r w:rsidRPr="00B37D49">
        <w:t>paragraph 33</w:t>
      </w:r>
      <w:r w:rsidR="00BB73AA">
        <w:t>:</w:t>
      </w:r>
    </w:p>
    <w:p w14:paraId="354831F4" w14:textId="4CA74035" w:rsidR="00A710F9" w:rsidRDefault="00A710F9" w:rsidP="00BB73AA">
      <w:pPr>
        <w:pStyle w:val="Heading4"/>
        <w:numPr>
          <w:ilvl w:val="0"/>
          <w:numId w:val="0"/>
        </w:numPr>
        <w:tabs>
          <w:tab w:val="clear" w:pos="1701"/>
        </w:tabs>
        <w:ind w:left="1560"/>
      </w:pPr>
      <w:r w:rsidRPr="00A710F9">
        <w:lastRenderedPageBreak/>
        <w:drawing>
          <wp:inline distT="0" distB="0" distL="0" distR="0" wp14:anchorId="4756FD88" wp14:editId="3594E665">
            <wp:extent cx="5210902" cy="1676634"/>
            <wp:effectExtent l="19050" t="19050" r="2794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0902" cy="1676634"/>
                    </a:xfrm>
                    <a:prstGeom prst="rect">
                      <a:avLst/>
                    </a:prstGeom>
                    <a:ln>
                      <a:solidFill>
                        <a:schemeClr val="tx1"/>
                      </a:solidFill>
                    </a:ln>
                  </pic:spPr>
                </pic:pic>
              </a:graphicData>
            </a:graphic>
          </wp:inline>
        </w:drawing>
      </w:r>
    </w:p>
    <w:p w14:paraId="2E59A185" w14:textId="699F933C" w:rsidR="0016475E" w:rsidRDefault="00DF3353" w:rsidP="00993519">
      <w:pPr>
        <w:pStyle w:val="Heading4"/>
        <w:numPr>
          <w:ilvl w:val="0"/>
          <w:numId w:val="25"/>
        </w:numPr>
        <w:tabs>
          <w:tab w:val="clear" w:pos="1701"/>
        </w:tabs>
        <w:ind w:left="1560" w:hanging="426"/>
      </w:pPr>
      <w:r>
        <w:t>ACF recommends the following paragraph be inserted after paragraph 65</w:t>
      </w:r>
      <w:r w:rsidR="00BB73AA">
        <w:t>:</w:t>
      </w:r>
      <w:r w:rsidR="00A710F9">
        <w:rPr>
          <w:rStyle w:val="FootnoteReference"/>
        </w:rPr>
        <w:footnoteReference w:id="28"/>
      </w:r>
    </w:p>
    <w:p w14:paraId="0DB78944" w14:textId="3AAE5F92" w:rsidR="00A710F9" w:rsidRDefault="00A710F9" w:rsidP="00CF197A">
      <w:pPr>
        <w:pStyle w:val="Heading4"/>
        <w:numPr>
          <w:ilvl w:val="0"/>
          <w:numId w:val="0"/>
        </w:numPr>
        <w:tabs>
          <w:tab w:val="clear" w:pos="1701"/>
        </w:tabs>
        <w:ind w:left="1560"/>
      </w:pPr>
      <w:r w:rsidRPr="00A710F9">
        <w:drawing>
          <wp:inline distT="0" distB="0" distL="0" distR="0" wp14:anchorId="4E953363" wp14:editId="2B5637FC">
            <wp:extent cx="5172797" cy="2657846"/>
            <wp:effectExtent l="19050" t="19050" r="2794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2797" cy="2657846"/>
                    </a:xfrm>
                    <a:prstGeom prst="rect">
                      <a:avLst/>
                    </a:prstGeom>
                    <a:ln>
                      <a:solidFill>
                        <a:schemeClr val="tx1"/>
                      </a:solidFill>
                    </a:ln>
                  </pic:spPr>
                </pic:pic>
              </a:graphicData>
            </a:graphic>
          </wp:inline>
        </w:drawing>
      </w:r>
    </w:p>
    <w:p w14:paraId="55C405F6" w14:textId="0C27E20F" w:rsidR="00C97450" w:rsidRPr="001E6E69" w:rsidRDefault="00C97450" w:rsidP="00C97450">
      <w:pPr>
        <w:pStyle w:val="Heading2"/>
        <w:rPr>
          <w:color w:val="639828"/>
        </w:rPr>
      </w:pPr>
      <w:r>
        <w:rPr>
          <w:color w:val="639828"/>
        </w:rPr>
        <w:t>Accountability, monitoring and periodic reporting obligations</w:t>
      </w:r>
    </w:p>
    <w:p w14:paraId="5C258EB9" w14:textId="77777777" w:rsidR="00C97450" w:rsidRDefault="00C97450" w:rsidP="00C97450">
      <w:pPr>
        <w:pStyle w:val="Heading3"/>
        <w:rPr>
          <w:b/>
          <w:bCs/>
        </w:rPr>
      </w:pPr>
      <w:r>
        <w:rPr>
          <w:b/>
          <w:bCs/>
        </w:rPr>
        <w:t>Rationale</w:t>
      </w:r>
    </w:p>
    <w:p w14:paraId="6B735FA5" w14:textId="1AB05F25" w:rsidR="006854CB" w:rsidRPr="00C03B2D" w:rsidRDefault="00816F5B" w:rsidP="00C97450">
      <w:pPr>
        <w:pStyle w:val="Heading3"/>
        <w:numPr>
          <w:ilvl w:val="0"/>
          <w:numId w:val="0"/>
        </w:numPr>
        <w:ind w:left="1134"/>
      </w:pPr>
      <w:r>
        <w:t xml:space="preserve">Pursuant to </w:t>
      </w:r>
      <w:r w:rsidR="00FF386F">
        <w:t>a</w:t>
      </w:r>
      <w:r>
        <w:t xml:space="preserve">rticle 44 of the Convention, State parties are obliged to submit periodic reports to the Committee regarding measures adopted to give effect to the rights recognised in the Convention and progress made regarding enjoyment of those rights.  </w:t>
      </w:r>
      <w:r w:rsidR="00C03B2D">
        <w:t>In its General Comment no.5, the Committee explained that this reporting process “</w:t>
      </w:r>
      <w:r w:rsidR="00C03B2D">
        <w:rPr>
          <w:i/>
          <w:iCs/>
        </w:rPr>
        <w:t>provides a unique form of international accountability for how States treat children and their rights</w:t>
      </w:r>
      <w:r w:rsidR="00C03B2D">
        <w:t>”.</w:t>
      </w:r>
      <w:r w:rsidR="00C03B2D">
        <w:rPr>
          <w:rStyle w:val="FootnoteReference"/>
        </w:rPr>
        <w:footnoteReference w:id="29"/>
      </w:r>
    </w:p>
    <w:p w14:paraId="753E55C2" w14:textId="7B3EDF5C" w:rsidR="00816F5B" w:rsidRDefault="004335B3" w:rsidP="004335B3">
      <w:pPr>
        <w:pStyle w:val="Heading3"/>
        <w:numPr>
          <w:ilvl w:val="0"/>
          <w:numId w:val="0"/>
        </w:numPr>
        <w:ind w:left="1134"/>
      </w:pPr>
      <w:r>
        <w:t xml:space="preserve">The periodic national review process has also </w:t>
      </w:r>
      <w:r w:rsidR="00B5086F">
        <w:t xml:space="preserve">increasingly </w:t>
      </w:r>
      <w:r>
        <w:t>become a forum for holding State parties accountable for action on environmental issues and climate change.</w:t>
      </w:r>
      <w:r w:rsidRPr="004335B3">
        <w:t xml:space="preserve"> </w:t>
      </w:r>
      <w:r>
        <w:t>For example, following its review of Australia’s joint fifth and sixth period</w:t>
      </w:r>
      <w:r w:rsidR="00E86484">
        <w:t>ic</w:t>
      </w:r>
      <w:r>
        <w:t xml:space="preserve"> report and related submissions by civil society organisations, the Committee noted in its Concluding Observations </w:t>
      </w:r>
      <w:r w:rsidR="002E6014">
        <w:t>on</w:t>
      </w:r>
      <w:r>
        <w:t xml:space="preserve"> 27</w:t>
      </w:r>
      <w:r w:rsidR="00383310">
        <w:t> </w:t>
      </w:r>
      <w:r>
        <w:t>September 2019 that it was “</w:t>
      </w:r>
      <w:r>
        <w:rPr>
          <w:i/>
          <w:iCs/>
        </w:rPr>
        <w:t>very concerned about the State party’s position that the Convention does not extend to protection from climate change</w:t>
      </w:r>
      <w:r>
        <w:t>” and “</w:t>
      </w:r>
      <w:r>
        <w:rPr>
          <w:i/>
          <w:iCs/>
        </w:rPr>
        <w:t xml:space="preserve">emphasize[d] </w:t>
      </w:r>
      <w:r w:rsidRPr="00326AE0">
        <w:rPr>
          <w:i/>
          <w:iCs/>
        </w:rPr>
        <w:t>that the effects of climate change have an undeniable impact on children’s rights, for example the rights to life, survival and development, non-discrimination, health and an adequate standard of living</w:t>
      </w:r>
      <w:r>
        <w:t>”.</w:t>
      </w:r>
      <w:r>
        <w:rPr>
          <w:rStyle w:val="FootnoteReference"/>
        </w:rPr>
        <w:footnoteReference w:id="30"/>
      </w:r>
    </w:p>
    <w:p w14:paraId="3EF2EE2A" w14:textId="360BD338" w:rsidR="004335B3" w:rsidRDefault="00F85437" w:rsidP="004335B3">
      <w:pPr>
        <w:pStyle w:val="Heading3"/>
        <w:numPr>
          <w:ilvl w:val="0"/>
          <w:numId w:val="0"/>
        </w:numPr>
        <w:ind w:left="1134"/>
      </w:pPr>
      <w:r>
        <w:lastRenderedPageBreak/>
        <w:t>Despite these trends</w:t>
      </w:r>
      <w:r w:rsidR="00FF386F">
        <w:t>,</w:t>
      </w:r>
      <w:r w:rsidR="005D0DB4">
        <w:t xml:space="preserve"> the </w:t>
      </w:r>
      <w:r w:rsidR="00FF386F">
        <w:t xml:space="preserve">current </w:t>
      </w:r>
      <w:r w:rsidR="005D0DB4">
        <w:t>draft</w:t>
      </w:r>
      <w:r w:rsidR="00FF386F">
        <w:t xml:space="preserve">ing of </w:t>
      </w:r>
      <w:r w:rsidR="005D0DB4">
        <w:t xml:space="preserve">GC26 </w:t>
      </w:r>
      <w:r w:rsidR="00F714D1">
        <w:t>contains limited guidance regarding</w:t>
      </w:r>
      <w:r w:rsidR="00DF14A5">
        <w:t xml:space="preserve"> how State parties should be held accountable </w:t>
      </w:r>
      <w:r w:rsidR="00B5086F">
        <w:t xml:space="preserve">for, </w:t>
      </w:r>
      <w:r w:rsidR="00DF14A5">
        <w:t xml:space="preserve">or monitored in </w:t>
      </w:r>
      <w:r w:rsidR="00B5086F">
        <w:t xml:space="preserve">relation to, their actions (or inactions) </w:t>
      </w:r>
      <w:r w:rsidR="00BB6192">
        <w:t xml:space="preserve">to respect, protect and fulfil children’s rights in the context of environmental harm and climate change.  </w:t>
      </w:r>
      <w:r w:rsidR="00F714D1">
        <w:t>Notably, t</w:t>
      </w:r>
      <w:r w:rsidR="00BB6192">
        <w:t xml:space="preserve">he </w:t>
      </w:r>
      <w:r>
        <w:t>D</w:t>
      </w:r>
      <w:r w:rsidR="00BB6192">
        <w:t xml:space="preserve">raft General Comment does not contain any reference to </w:t>
      </w:r>
      <w:r w:rsidR="00FF386F">
        <w:t>a</w:t>
      </w:r>
      <w:r w:rsidR="00BB6192">
        <w:t>rticle 44</w:t>
      </w:r>
      <w:r w:rsidR="002A3307">
        <w:t xml:space="preserve"> or the periodic reporting procedure.</w:t>
      </w:r>
      <w:r w:rsidR="00DF14A5">
        <w:t xml:space="preserve"> </w:t>
      </w:r>
    </w:p>
    <w:p w14:paraId="386EB07E" w14:textId="7EB2DC7D" w:rsidR="00790CCC" w:rsidRDefault="0068346D" w:rsidP="00C97450">
      <w:pPr>
        <w:pStyle w:val="Heading3"/>
        <w:numPr>
          <w:ilvl w:val="0"/>
          <w:numId w:val="0"/>
        </w:numPr>
        <w:ind w:left="1134"/>
      </w:pPr>
      <w:r>
        <w:t xml:space="preserve">We therefore recommend </w:t>
      </w:r>
      <w:r w:rsidR="007A7EA7">
        <w:t>the Committee consider further guidance to</w:t>
      </w:r>
      <w:r>
        <w:t xml:space="preserve"> directly address accountability and monitoring mechanisms to ensure State parties to the Convention </w:t>
      </w:r>
      <w:r w:rsidR="00790CCC">
        <w:t>respect, protect and fulfil children’s rights that are exercised in relation to the environment.  T</w:t>
      </w:r>
      <w:r w:rsidR="007A7EA7">
        <w:t>he proposed</w:t>
      </w:r>
      <w:r w:rsidR="00790CCC">
        <w:t xml:space="preserve"> </w:t>
      </w:r>
      <w:r w:rsidR="007A7EA7">
        <w:t>amendments set out below are</w:t>
      </w:r>
      <w:r w:rsidR="00790CCC">
        <w:t xml:space="preserve"> not exhaustive and should be treated as a starting point </w:t>
      </w:r>
      <w:r w:rsidR="007A7EA7">
        <w:t>to assist this exercise</w:t>
      </w:r>
      <w:r w:rsidR="00790CCC">
        <w:t xml:space="preserve">.  </w:t>
      </w:r>
    </w:p>
    <w:p w14:paraId="363D46FD" w14:textId="639F7CFD" w:rsidR="00816F5B" w:rsidRDefault="00790CCC" w:rsidP="00C97450">
      <w:pPr>
        <w:pStyle w:val="Heading3"/>
        <w:numPr>
          <w:ilvl w:val="0"/>
          <w:numId w:val="0"/>
        </w:numPr>
        <w:ind w:left="1134"/>
      </w:pPr>
      <w:r>
        <w:t xml:space="preserve">In parallel, </w:t>
      </w:r>
      <w:r w:rsidR="00AF07F0">
        <w:t xml:space="preserve">and given </w:t>
      </w:r>
      <w:r w:rsidR="00E71392">
        <w:t xml:space="preserve">the Committee’s recognition in the draft text of GC26 </w:t>
      </w:r>
      <w:r w:rsidR="00AF07F0">
        <w:t>that a “</w:t>
      </w:r>
      <w:r w:rsidR="00AF07F0">
        <w:rPr>
          <w:i/>
          <w:iCs/>
        </w:rPr>
        <w:t>clean, healthy and sustainable environment is necessary for the full enjoyment of a broad range of children’s rights</w:t>
      </w:r>
      <w:r w:rsidR="00AF07F0">
        <w:t>”,</w:t>
      </w:r>
      <w:r w:rsidR="00AF07F0">
        <w:rPr>
          <w:rStyle w:val="FootnoteReference"/>
        </w:rPr>
        <w:footnoteReference w:id="31"/>
      </w:r>
      <w:r w:rsidR="00AF07F0">
        <w:t xml:space="preserve"> </w:t>
      </w:r>
      <w:r>
        <w:t xml:space="preserve">we </w:t>
      </w:r>
      <w:r w:rsidR="00F85437">
        <w:t xml:space="preserve">also </w:t>
      </w:r>
      <w:r>
        <w:t xml:space="preserve">recommend that the Committee consider </w:t>
      </w:r>
      <w:r w:rsidR="0041000B">
        <w:t xml:space="preserve">developing specific guidelines </w:t>
      </w:r>
      <w:r w:rsidR="007A7EA7">
        <w:t xml:space="preserve">for periodic reports under article 44, </w:t>
      </w:r>
      <w:r w:rsidR="00B35D2A">
        <w:t xml:space="preserve">to require </w:t>
      </w:r>
      <w:r w:rsidR="0041000B">
        <w:t xml:space="preserve">State parties to </w:t>
      </w:r>
      <w:r w:rsidR="00052BD1">
        <w:t>report on what measures they are taking to protect and promote children’s rights</w:t>
      </w:r>
      <w:r w:rsidR="0073690C">
        <w:t xml:space="preserve"> in connection with environmental issues and climate change.</w:t>
      </w:r>
      <w:r w:rsidR="00052BD1">
        <w:t xml:space="preserve"> </w:t>
      </w:r>
      <w:r w:rsidR="00017FA6">
        <w:t xml:space="preserve"> </w:t>
      </w:r>
    </w:p>
    <w:p w14:paraId="07549BFB" w14:textId="77777777" w:rsidR="00C97450" w:rsidRDefault="00C97450" w:rsidP="00C97450">
      <w:pPr>
        <w:pStyle w:val="Heading3"/>
        <w:rPr>
          <w:b/>
          <w:bCs/>
        </w:rPr>
      </w:pPr>
      <w:r>
        <w:rPr>
          <w:b/>
          <w:bCs/>
        </w:rPr>
        <w:t>Suggested changes</w:t>
      </w:r>
    </w:p>
    <w:p w14:paraId="03DCA62A" w14:textId="728DACF5" w:rsidR="0073690C" w:rsidRDefault="00E03388" w:rsidP="0073690C">
      <w:pPr>
        <w:pStyle w:val="Heading4"/>
        <w:numPr>
          <w:ilvl w:val="0"/>
          <w:numId w:val="26"/>
        </w:numPr>
        <w:tabs>
          <w:tab w:val="clear" w:pos="1701"/>
        </w:tabs>
      </w:pPr>
      <w:bookmarkStart w:id="4" w:name="_Hlk124883330"/>
      <w:r>
        <w:t>ACF recommends the following paragraph be inserted after paragraph 81</w:t>
      </w:r>
      <w:r w:rsidR="0073690C">
        <w:t>:</w:t>
      </w:r>
    </w:p>
    <w:bookmarkEnd w:id="4"/>
    <w:p w14:paraId="2734C930" w14:textId="0F8E3F4E" w:rsidR="00005935" w:rsidRDefault="00005935" w:rsidP="00F85437">
      <w:pPr>
        <w:pStyle w:val="Heading4"/>
        <w:numPr>
          <w:ilvl w:val="0"/>
          <w:numId w:val="0"/>
        </w:numPr>
        <w:tabs>
          <w:tab w:val="clear" w:pos="1701"/>
        </w:tabs>
        <w:ind w:left="1494"/>
      </w:pPr>
      <w:r w:rsidRPr="00005935">
        <w:drawing>
          <wp:inline distT="0" distB="0" distL="0" distR="0" wp14:anchorId="5F1F4D54" wp14:editId="46B99E11">
            <wp:extent cx="5277587" cy="2810267"/>
            <wp:effectExtent l="19050" t="19050" r="1841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7587" cy="2810267"/>
                    </a:xfrm>
                    <a:prstGeom prst="rect">
                      <a:avLst/>
                    </a:prstGeom>
                    <a:ln>
                      <a:solidFill>
                        <a:schemeClr val="tx1"/>
                      </a:solidFill>
                    </a:ln>
                  </pic:spPr>
                </pic:pic>
              </a:graphicData>
            </a:graphic>
          </wp:inline>
        </w:drawing>
      </w:r>
    </w:p>
    <w:p w14:paraId="0C1BA15A" w14:textId="7E8A0B7E" w:rsidR="002D12EB" w:rsidRPr="001E6E69" w:rsidRDefault="002D12EB" w:rsidP="002D12EB">
      <w:pPr>
        <w:pStyle w:val="Heading2"/>
        <w:rPr>
          <w:color w:val="639828"/>
        </w:rPr>
      </w:pPr>
      <w:r>
        <w:rPr>
          <w:color w:val="639828"/>
        </w:rPr>
        <w:t>Children’s rights and the business sector</w:t>
      </w:r>
    </w:p>
    <w:p w14:paraId="1B09C081" w14:textId="77777777" w:rsidR="002D12EB" w:rsidRDefault="002D12EB" w:rsidP="002D12EB">
      <w:pPr>
        <w:pStyle w:val="Heading3"/>
        <w:rPr>
          <w:b/>
          <w:bCs/>
        </w:rPr>
      </w:pPr>
      <w:r>
        <w:rPr>
          <w:b/>
          <w:bCs/>
        </w:rPr>
        <w:t>Rationale</w:t>
      </w:r>
    </w:p>
    <w:p w14:paraId="122A1A3C" w14:textId="25B42FB2" w:rsidR="00642E63" w:rsidRDefault="005F4ECB" w:rsidP="00F46671">
      <w:pPr>
        <w:pStyle w:val="Heading3"/>
        <w:numPr>
          <w:ilvl w:val="0"/>
          <w:numId w:val="0"/>
        </w:numPr>
        <w:ind w:left="1134"/>
      </w:pPr>
      <w:r>
        <w:t>We</w:t>
      </w:r>
      <w:r w:rsidR="007D0AE4">
        <w:t xml:space="preserve"> recommend that the Committee consider the following points in more detail to </w:t>
      </w:r>
      <w:r>
        <w:t>supplement the existing</w:t>
      </w:r>
      <w:r w:rsidR="007D0AE4">
        <w:t xml:space="preserve"> guidance </w:t>
      </w:r>
      <w:r>
        <w:t>set out in the Draft General Comment concerning</w:t>
      </w:r>
      <w:r w:rsidR="007D0AE4">
        <w:t xml:space="preserve"> State obligations regarding the impact of the business sector on children’s rights and the environment.</w:t>
      </w:r>
      <w:r w:rsidR="0089028B">
        <w:t xml:space="preserve"> </w:t>
      </w:r>
    </w:p>
    <w:p w14:paraId="1CD9D5C9" w14:textId="5F94B26C" w:rsidR="00E5147D" w:rsidRDefault="007D0AE4" w:rsidP="00F46671">
      <w:pPr>
        <w:pStyle w:val="Heading3"/>
        <w:numPr>
          <w:ilvl w:val="0"/>
          <w:numId w:val="0"/>
        </w:numPr>
        <w:ind w:left="1134"/>
      </w:pPr>
      <w:r>
        <w:t>First</w:t>
      </w:r>
      <w:r w:rsidR="00F46671">
        <w:t>, t</w:t>
      </w:r>
      <w:r w:rsidR="00E5147D">
        <w:t>o ensure greater accountability</w:t>
      </w:r>
      <w:r w:rsidR="009E6D08">
        <w:t xml:space="preserve"> </w:t>
      </w:r>
      <w:r>
        <w:t xml:space="preserve">for, </w:t>
      </w:r>
      <w:r w:rsidR="009E6D08">
        <w:t xml:space="preserve">and </w:t>
      </w:r>
      <w:r>
        <w:t xml:space="preserve">to </w:t>
      </w:r>
      <w:r w:rsidR="00145561">
        <w:t xml:space="preserve">help </w:t>
      </w:r>
      <w:r w:rsidR="009E6D08">
        <w:t>influence</w:t>
      </w:r>
      <w:r>
        <w:t>,</w:t>
      </w:r>
      <w:r w:rsidR="009E6D08">
        <w:t xml:space="preserve"> responsible corporate behaviour</w:t>
      </w:r>
      <w:r w:rsidR="00E5147D">
        <w:t xml:space="preserve">, companies should be required to </w:t>
      </w:r>
      <w:r w:rsidR="00F46671">
        <w:t>undertake enhanced due diligence</w:t>
      </w:r>
      <w:r w:rsidR="001F3F35">
        <w:t xml:space="preserve"> internally in relation to their operations (whether domestic or offshore)</w:t>
      </w:r>
      <w:r w:rsidR="00642E63">
        <w:t xml:space="preserve">. </w:t>
      </w:r>
      <w:r w:rsidR="00814B44">
        <w:t>They</w:t>
      </w:r>
      <w:r w:rsidR="00642E63">
        <w:t xml:space="preserve"> should also be required to publicly disclose</w:t>
      </w:r>
      <w:r w:rsidR="00E5147D">
        <w:t xml:space="preserve"> environmental, health-related and children’s rights impacts of their business activities and their plans to address such impacts.</w:t>
      </w:r>
    </w:p>
    <w:p w14:paraId="56BF4383" w14:textId="668DB133" w:rsidR="00620D54" w:rsidRDefault="00814B44" w:rsidP="002D12EB">
      <w:pPr>
        <w:pStyle w:val="Heading3"/>
        <w:numPr>
          <w:ilvl w:val="0"/>
          <w:numId w:val="0"/>
        </w:numPr>
        <w:ind w:left="1134"/>
      </w:pPr>
      <w:r>
        <w:lastRenderedPageBreak/>
        <w:t>Second</w:t>
      </w:r>
      <w:r w:rsidR="00416ACE">
        <w:t>, t</w:t>
      </w:r>
      <w:r w:rsidR="00620D54">
        <w:t xml:space="preserve">o create a robust </w:t>
      </w:r>
      <w:r w:rsidR="00CE3B48">
        <w:t>regulatory support for</w:t>
      </w:r>
      <w:r w:rsidR="00620D54">
        <w:t xml:space="preserve"> children’s rights and the environment, States should</w:t>
      </w:r>
      <w:r w:rsidR="00CE3B48">
        <w:t xml:space="preserve"> </w:t>
      </w:r>
      <w:r w:rsidR="00620D54">
        <w:t>take positive steps</w:t>
      </w:r>
      <w:r w:rsidR="004A0BA0">
        <w:t xml:space="preserve"> to ensure legal accountability of </w:t>
      </w:r>
      <w:r w:rsidR="00286B6C">
        <w:t>companies both for domestic as well as offshore operations</w:t>
      </w:r>
      <w:r w:rsidR="004A0BA0">
        <w:t xml:space="preserve">.  </w:t>
      </w:r>
      <w:r w:rsidR="0038673B">
        <w:t>As has been recognised by the Committee in its General Comment no. 16</w:t>
      </w:r>
      <w:r w:rsidR="00200F4A">
        <w:t xml:space="preserve"> (</w:t>
      </w:r>
      <w:r w:rsidR="00200F4A" w:rsidRPr="00200F4A">
        <w:rPr>
          <w:b/>
          <w:bCs/>
        </w:rPr>
        <w:t>GC16</w:t>
      </w:r>
      <w:r w:rsidR="00200F4A">
        <w:t>)</w:t>
      </w:r>
      <w:r w:rsidR="0038673B">
        <w:t>,</w:t>
      </w:r>
      <w:bookmarkStart w:id="5" w:name="_Ref124942292"/>
      <w:r w:rsidR="0038673B">
        <w:rPr>
          <w:rStyle w:val="FootnoteReference"/>
        </w:rPr>
        <w:footnoteReference w:id="32"/>
      </w:r>
      <w:bookmarkEnd w:id="5"/>
      <w:r w:rsidR="0038673B">
        <w:t xml:space="preserve"> business enterprises “</w:t>
      </w:r>
      <w:r w:rsidR="0038673B">
        <w:rPr>
          <w:i/>
          <w:iCs/>
        </w:rPr>
        <w:t>increasingly operate on a global scale through complex networks of subsidiaries, contractors, suppliers and joint ventures</w:t>
      </w:r>
      <w:r w:rsidR="0038673B">
        <w:t>” and their impact on children’s rights “</w:t>
      </w:r>
      <w:r w:rsidR="0038673B">
        <w:rPr>
          <w:i/>
          <w:iCs/>
        </w:rPr>
        <w:t>is rarely the result of the action or omission of a single business unit</w:t>
      </w:r>
      <w:r w:rsidR="0038673B">
        <w:t>”.</w:t>
      </w:r>
      <w:r w:rsidR="0038673B">
        <w:rPr>
          <w:rStyle w:val="FootnoteReference"/>
        </w:rPr>
        <w:footnoteReference w:id="33"/>
      </w:r>
      <w:r w:rsidR="00B30C4F">
        <w:t xml:space="preserve">  </w:t>
      </w:r>
      <w:r w:rsidR="00145561">
        <w:t>In GC16</w:t>
      </w:r>
      <w:r w:rsidR="00B30C4F">
        <w:t>, the Committee recommended that: “</w:t>
      </w:r>
      <w:r w:rsidR="00B30C4F" w:rsidRPr="00303E25">
        <w:rPr>
          <w:i/>
          <w:iCs/>
        </w:rPr>
        <w:t>[b]</w:t>
      </w:r>
      <w:proofErr w:type="spellStart"/>
      <w:r w:rsidR="00B30C4F" w:rsidRPr="00303E25">
        <w:rPr>
          <w:i/>
          <w:iCs/>
        </w:rPr>
        <w:t>oth</w:t>
      </w:r>
      <w:proofErr w:type="spellEnd"/>
      <w:r w:rsidR="00B30C4F" w:rsidRPr="00303E25">
        <w:rPr>
          <w:i/>
          <w:iCs/>
        </w:rPr>
        <w:t xml:space="preserve"> home and host States should establish institutional and legal frameworks that enable businesses to respect children’s rights across their global operations</w:t>
      </w:r>
      <w:r w:rsidR="00303E25">
        <w:t>”.</w:t>
      </w:r>
      <w:r w:rsidR="00303E25">
        <w:rPr>
          <w:rStyle w:val="FootnoteReference"/>
        </w:rPr>
        <w:footnoteReference w:id="34"/>
      </w:r>
      <w:r w:rsidR="00303E25">
        <w:t xml:space="preserve"> </w:t>
      </w:r>
      <w:r w:rsidR="00CD0EE3">
        <w:t>Besides domestic law reform, States should take measures to strengthen cooperation with other countries and ensure conformity with global standards</w:t>
      </w:r>
      <w:r w:rsidR="00857DBB">
        <w:t xml:space="preserve"> for</w:t>
      </w:r>
      <w:r w:rsidR="007F7A38">
        <w:t xml:space="preserve"> implementing</w:t>
      </w:r>
      <w:r w:rsidR="00857DBB">
        <w:t xml:space="preserve"> </w:t>
      </w:r>
      <w:r w:rsidR="007F7A38">
        <w:t>environmental and children’s rights due diligence</w:t>
      </w:r>
      <w:r w:rsidR="00920517">
        <w:t>.</w:t>
      </w:r>
    </w:p>
    <w:p w14:paraId="16AC341D" w14:textId="64D3D4CE" w:rsidR="00805DB0" w:rsidRDefault="00805DB0" w:rsidP="002D12EB">
      <w:pPr>
        <w:pStyle w:val="Heading3"/>
        <w:numPr>
          <w:ilvl w:val="0"/>
          <w:numId w:val="0"/>
        </w:numPr>
        <w:ind w:left="1134"/>
      </w:pPr>
      <w:r>
        <w:t xml:space="preserve">Third, </w:t>
      </w:r>
      <w:r w:rsidR="0033512A">
        <w:t>domestic</w:t>
      </w:r>
      <w:r w:rsidR="00F03812">
        <w:t xml:space="preserve"> regulatory agencies </w:t>
      </w:r>
      <w:r w:rsidR="00303C68">
        <w:t xml:space="preserve">responsible for oversight of standards relevant to children’s rights </w:t>
      </w:r>
      <w:r w:rsidR="0033512A">
        <w:t>and</w:t>
      </w:r>
      <w:r w:rsidR="00303C68">
        <w:t xml:space="preserve"> the environment should have sufficient powers and resources to be able to effectively monitor, investigate and take enforcement action against companies involved in the violation of children’s rights in relation to the environment. </w:t>
      </w:r>
      <w:r w:rsidR="00200F4A">
        <w:t>As the Committee has previously remarked in GC16: “</w:t>
      </w:r>
      <w:r w:rsidR="00200F4A" w:rsidRPr="00BF00F7">
        <w:rPr>
          <w:i/>
          <w:iCs/>
        </w:rPr>
        <w:t>[g]</w:t>
      </w:r>
      <w:proofErr w:type="spellStart"/>
      <w:r w:rsidR="00200F4A" w:rsidRPr="00BF00F7">
        <w:rPr>
          <w:i/>
          <w:iCs/>
        </w:rPr>
        <w:t>enerally</w:t>
      </w:r>
      <w:proofErr w:type="spellEnd"/>
      <w:r w:rsidR="00200F4A" w:rsidRPr="00BF00F7">
        <w:rPr>
          <w:i/>
          <w:iCs/>
        </w:rPr>
        <w:t>, it is the lack of implementation or the poor enforcement of laws regulating business that pose the most critical problems for children</w:t>
      </w:r>
      <w:r w:rsidR="00200F4A">
        <w:t>”.</w:t>
      </w:r>
      <w:r w:rsidR="00200F4A">
        <w:rPr>
          <w:rStyle w:val="FootnoteReference"/>
        </w:rPr>
        <w:footnoteReference w:id="35"/>
      </w:r>
    </w:p>
    <w:p w14:paraId="6811B836" w14:textId="77777777" w:rsidR="002D12EB" w:rsidRDefault="002D12EB" w:rsidP="002D12EB">
      <w:pPr>
        <w:pStyle w:val="Heading3"/>
        <w:rPr>
          <w:b/>
          <w:bCs/>
        </w:rPr>
      </w:pPr>
      <w:r>
        <w:rPr>
          <w:b/>
          <w:bCs/>
        </w:rPr>
        <w:t>Suggested changes</w:t>
      </w:r>
    </w:p>
    <w:p w14:paraId="16EDE40A" w14:textId="64378F95" w:rsidR="00714390" w:rsidRDefault="00D2639D" w:rsidP="00714390">
      <w:pPr>
        <w:pStyle w:val="Heading4"/>
        <w:numPr>
          <w:ilvl w:val="0"/>
          <w:numId w:val="27"/>
        </w:numPr>
        <w:tabs>
          <w:tab w:val="clear" w:pos="1701"/>
        </w:tabs>
      </w:pPr>
      <w:r>
        <w:t>ACF recommends paragraph 92 be amended as follows</w:t>
      </w:r>
      <w:r w:rsidR="00714390">
        <w:t>:</w:t>
      </w:r>
    </w:p>
    <w:p w14:paraId="5D7B5F4D" w14:textId="1A71664F" w:rsidR="00005935" w:rsidRDefault="00005935" w:rsidP="00714390">
      <w:pPr>
        <w:pStyle w:val="Heading4"/>
        <w:numPr>
          <w:ilvl w:val="0"/>
          <w:numId w:val="0"/>
        </w:numPr>
        <w:tabs>
          <w:tab w:val="clear" w:pos="1701"/>
        </w:tabs>
        <w:ind w:left="1494"/>
      </w:pPr>
      <w:r w:rsidRPr="00005935">
        <w:drawing>
          <wp:inline distT="0" distB="0" distL="0" distR="0" wp14:anchorId="0B6EB507" wp14:editId="01E0FF5E">
            <wp:extent cx="5268060" cy="3305636"/>
            <wp:effectExtent l="19050" t="19050" r="2794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68060" cy="3305636"/>
                    </a:xfrm>
                    <a:prstGeom prst="rect">
                      <a:avLst/>
                    </a:prstGeom>
                    <a:ln>
                      <a:solidFill>
                        <a:schemeClr val="tx1"/>
                      </a:solidFill>
                    </a:ln>
                  </pic:spPr>
                </pic:pic>
              </a:graphicData>
            </a:graphic>
          </wp:inline>
        </w:drawing>
      </w:r>
    </w:p>
    <w:p w14:paraId="7514FA8B" w14:textId="77777777" w:rsidR="00005935" w:rsidRDefault="00005935" w:rsidP="00005935">
      <w:pPr>
        <w:pStyle w:val="Heading4"/>
        <w:numPr>
          <w:ilvl w:val="0"/>
          <w:numId w:val="0"/>
        </w:numPr>
        <w:tabs>
          <w:tab w:val="clear" w:pos="1701"/>
        </w:tabs>
        <w:ind w:left="1494"/>
      </w:pPr>
    </w:p>
    <w:p w14:paraId="4638068D" w14:textId="469EDDAB" w:rsidR="00714390" w:rsidRDefault="00C30A63" w:rsidP="00714390">
      <w:pPr>
        <w:pStyle w:val="Heading4"/>
        <w:numPr>
          <w:ilvl w:val="0"/>
          <w:numId w:val="27"/>
        </w:numPr>
        <w:tabs>
          <w:tab w:val="clear" w:pos="1701"/>
        </w:tabs>
      </w:pPr>
      <w:r>
        <w:t xml:space="preserve">ACF recommends the following paragraph be inserted after paragraph </w:t>
      </w:r>
      <w:r w:rsidRPr="00401708">
        <w:t>92</w:t>
      </w:r>
      <w:r w:rsidR="000F6B98">
        <w:t>:</w:t>
      </w:r>
      <w:r w:rsidR="00005935">
        <w:rPr>
          <w:rStyle w:val="FootnoteReference"/>
        </w:rPr>
        <w:footnoteReference w:id="36"/>
      </w:r>
    </w:p>
    <w:p w14:paraId="7F821404" w14:textId="2D7C6395" w:rsidR="0099640D" w:rsidRDefault="00005935" w:rsidP="00005935">
      <w:pPr>
        <w:pStyle w:val="Heading4"/>
        <w:numPr>
          <w:ilvl w:val="0"/>
          <w:numId w:val="0"/>
        </w:numPr>
        <w:tabs>
          <w:tab w:val="clear" w:pos="1701"/>
        </w:tabs>
        <w:ind w:left="1494"/>
      </w:pPr>
      <w:r w:rsidRPr="00005935">
        <w:drawing>
          <wp:inline distT="0" distB="0" distL="0" distR="0" wp14:anchorId="79EC8A1E" wp14:editId="702FE8F7">
            <wp:extent cx="5229955" cy="1171739"/>
            <wp:effectExtent l="19050" t="19050" r="889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29955" cy="1171739"/>
                    </a:xfrm>
                    <a:prstGeom prst="rect">
                      <a:avLst/>
                    </a:prstGeom>
                    <a:ln>
                      <a:solidFill>
                        <a:schemeClr val="tx1"/>
                      </a:solidFill>
                    </a:ln>
                  </pic:spPr>
                </pic:pic>
              </a:graphicData>
            </a:graphic>
          </wp:inline>
        </w:drawing>
      </w:r>
      <w:bookmarkEnd w:id="0"/>
    </w:p>
    <w:sectPr w:rsidR="0099640D" w:rsidSect="00401708">
      <w:headerReference w:type="even" r:id="rId23"/>
      <w:headerReference w:type="default" r:id="rId24"/>
      <w:footerReference w:type="even" r:id="rId25"/>
      <w:footerReference w:type="default" r:id="rId26"/>
      <w:headerReference w:type="first" r:id="rId27"/>
      <w:footerReference w:type="first" r:id="rId28"/>
      <w:pgSz w:w="11906" w:h="16838" w:code="9"/>
      <w:pgMar w:top="1560" w:right="1134" w:bottom="1134" w:left="1134" w:header="567" w:footer="284"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1E27" w14:textId="77777777" w:rsidR="00451E69" w:rsidRDefault="00451E69">
      <w:r>
        <w:separator/>
      </w:r>
    </w:p>
  </w:endnote>
  <w:endnote w:type="continuationSeparator" w:id="0">
    <w:p w14:paraId="74C7ECCF" w14:textId="77777777" w:rsidR="00451E69" w:rsidRDefault="0045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07B" w14:textId="77777777" w:rsidR="00E6273E" w:rsidRDefault="00E6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2" w:space="0" w:color="A7A9AA"/>
      </w:tblBorders>
      <w:tblLook w:val="04A0" w:firstRow="1" w:lastRow="0" w:firstColumn="1" w:lastColumn="0" w:noHBand="0" w:noVBand="1"/>
    </w:tblPr>
    <w:tblGrid>
      <w:gridCol w:w="1701"/>
      <w:gridCol w:w="6236"/>
      <w:gridCol w:w="1701"/>
    </w:tblGrid>
    <w:tr w:rsidR="00875860" w:rsidRPr="006246D5" w14:paraId="35DB3048" w14:textId="77777777" w:rsidTr="00F75D48">
      <w:trPr>
        <w:trHeight w:hRule="exact" w:val="510"/>
        <w:jc w:val="center"/>
      </w:trPr>
      <w:tc>
        <w:tcPr>
          <w:tcW w:w="1701" w:type="dxa"/>
        </w:tcPr>
        <w:p w14:paraId="6C8C8F5D" w14:textId="29AA0FDC" w:rsidR="00875860" w:rsidRPr="006246D5" w:rsidRDefault="00875860" w:rsidP="006246D5">
          <w:pPr>
            <w:spacing w:before="120" w:line="240" w:lineRule="auto"/>
            <w:ind w:left="-108"/>
          </w:pPr>
          <w:r w:rsidRPr="006246D5">
            <w:rPr>
              <w:sz w:val="16"/>
              <w:szCs w:val="16"/>
            </w:rPr>
            <w:fldChar w:fldCharType="begin"/>
          </w:r>
          <w:r w:rsidRPr="006246D5">
            <w:rPr>
              <w:sz w:val="16"/>
              <w:szCs w:val="16"/>
            </w:rPr>
            <w:instrText xml:space="preserve"> DOCPROPERTY DocID \* MERGEFORMAT </w:instrText>
          </w:r>
          <w:r w:rsidRPr="006246D5">
            <w:rPr>
              <w:sz w:val="16"/>
              <w:szCs w:val="16"/>
            </w:rPr>
            <w:fldChar w:fldCharType="separate"/>
          </w:r>
          <w:r w:rsidR="00DD1199" w:rsidRPr="00DD1199">
            <w:rPr>
              <w:sz w:val="16"/>
              <w:szCs w:val="16"/>
              <w:lang w:val="en-US"/>
            </w:rPr>
            <w:t>60053429</w:t>
          </w:r>
          <w:r w:rsidR="00DD1199">
            <w:rPr>
              <w:sz w:val="16"/>
              <w:szCs w:val="16"/>
            </w:rPr>
            <w:t>_5</w:t>
          </w:r>
          <w:r w:rsidRPr="006246D5">
            <w:rPr>
              <w:sz w:val="16"/>
              <w:szCs w:val="16"/>
            </w:rPr>
            <w:fldChar w:fldCharType="end"/>
          </w:r>
        </w:p>
      </w:tc>
      <w:tc>
        <w:tcPr>
          <w:tcW w:w="6237" w:type="dxa"/>
        </w:tcPr>
        <w:p w14:paraId="6764DDAA" w14:textId="77777777" w:rsidR="00875860" w:rsidRPr="00067538" w:rsidRDefault="00875860" w:rsidP="00F75D48">
          <w:pPr>
            <w:spacing w:before="120" w:line="240" w:lineRule="auto"/>
            <w:ind w:left="-108"/>
            <w:jc w:val="center"/>
            <w:rPr>
              <w:sz w:val="16"/>
              <w:szCs w:val="16"/>
            </w:rPr>
          </w:pPr>
        </w:p>
      </w:tc>
      <w:tc>
        <w:tcPr>
          <w:tcW w:w="1701" w:type="dxa"/>
        </w:tcPr>
        <w:p w14:paraId="2398BEC4" w14:textId="77777777" w:rsidR="00875860" w:rsidRPr="006246D5" w:rsidRDefault="00875860" w:rsidP="006246D5">
          <w:pPr>
            <w:tabs>
              <w:tab w:val="right" w:pos="8789"/>
            </w:tabs>
            <w:spacing w:before="120" w:line="240" w:lineRule="auto"/>
            <w:ind w:right="-57"/>
            <w:jc w:val="right"/>
            <w:rPr>
              <w:sz w:val="16"/>
              <w:szCs w:val="16"/>
            </w:rPr>
          </w:pPr>
          <w:r w:rsidRPr="006246D5">
            <w:rPr>
              <w:sz w:val="16"/>
              <w:szCs w:val="16"/>
            </w:rPr>
            <w:fldChar w:fldCharType="begin"/>
          </w:r>
          <w:r w:rsidRPr="006246D5">
            <w:rPr>
              <w:sz w:val="16"/>
              <w:szCs w:val="16"/>
            </w:rPr>
            <w:instrText xml:space="preserve"> PAGE   \* MERGEFORMAT </w:instrText>
          </w:r>
          <w:r w:rsidRPr="006246D5">
            <w:rPr>
              <w:sz w:val="16"/>
              <w:szCs w:val="16"/>
            </w:rPr>
            <w:fldChar w:fldCharType="separate"/>
          </w:r>
          <w:r w:rsidRPr="006246D5">
            <w:rPr>
              <w:sz w:val="16"/>
              <w:szCs w:val="16"/>
            </w:rPr>
            <w:t>2</w:t>
          </w:r>
          <w:r w:rsidRPr="006246D5">
            <w:rPr>
              <w:noProof/>
              <w:sz w:val="16"/>
              <w:szCs w:val="16"/>
            </w:rPr>
            <w:fldChar w:fldCharType="end"/>
          </w:r>
        </w:p>
      </w:tc>
    </w:tr>
  </w:tbl>
  <w:p w14:paraId="34D81425" w14:textId="77777777" w:rsidR="00875860" w:rsidRPr="001920B5" w:rsidRDefault="00875860" w:rsidP="006246D5">
    <w:pPr>
      <w:pStyle w:val="Footer"/>
      <w:spacing w:line="240" w:lineRule="auto"/>
      <w:rPr>
        <w:sz w:val="3"/>
        <w:szCs w:val="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55224"/>
      <w:docPartObj>
        <w:docPartGallery w:val="Page Numbers (Bottom of Page)"/>
        <w:docPartUnique/>
      </w:docPartObj>
    </w:sdtPr>
    <w:sdtEndPr>
      <w:rPr>
        <w:noProof/>
      </w:rPr>
    </w:sdtEndPr>
    <w:sdtContent>
      <w:p w14:paraId="779A1138" w14:textId="4D2E04D1" w:rsidR="0041041E" w:rsidRPr="00C93961" w:rsidRDefault="00B34BCE" w:rsidP="00C93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4BC5" w14:textId="77777777" w:rsidR="00451E69" w:rsidRDefault="00451E69">
      <w:r>
        <w:separator/>
      </w:r>
    </w:p>
  </w:footnote>
  <w:footnote w:type="continuationSeparator" w:id="0">
    <w:p w14:paraId="60BA30F1" w14:textId="77777777" w:rsidR="00451E69" w:rsidRDefault="00451E69">
      <w:r>
        <w:continuationSeparator/>
      </w:r>
    </w:p>
  </w:footnote>
  <w:footnote w:id="1">
    <w:p w14:paraId="1E053979" w14:textId="02EC20E8" w:rsidR="00CA2500" w:rsidRPr="00E92E60" w:rsidRDefault="00CA2500" w:rsidP="00BB5E14">
      <w:pPr>
        <w:pStyle w:val="FootnoteText"/>
        <w:tabs>
          <w:tab w:val="clear" w:pos="567"/>
        </w:tabs>
        <w:ind w:left="142" w:hanging="142"/>
      </w:pPr>
      <w:r>
        <w:rPr>
          <w:rStyle w:val="FootnoteReference"/>
        </w:rPr>
        <w:footnoteRef/>
      </w:r>
      <w:r>
        <w:t xml:space="preserve"> </w:t>
      </w:r>
      <w:r w:rsidRPr="00BB5E14">
        <w:t xml:space="preserve">See: </w:t>
      </w:r>
      <w:r w:rsidR="00587AF4" w:rsidRPr="00BB5E14">
        <w:t xml:space="preserve">Australian Academy of Science, </w:t>
      </w:r>
      <w:r w:rsidR="00587AF4" w:rsidRPr="00BB5E14">
        <w:rPr>
          <w:i/>
          <w:iCs/>
        </w:rPr>
        <w:t>The risks to Australia of a 3</w:t>
      </w:r>
      <w:r w:rsidR="00587AF4" w:rsidRPr="00BB5E14">
        <w:rPr>
          <w:i/>
          <w:iCs/>
          <w:vertAlign w:val="superscript"/>
        </w:rPr>
        <w:t>o</w:t>
      </w:r>
      <w:r w:rsidR="00587AF4" w:rsidRPr="00BB5E14">
        <w:rPr>
          <w:i/>
          <w:iCs/>
        </w:rPr>
        <w:t xml:space="preserve">C warmer world </w:t>
      </w:r>
      <w:r w:rsidR="00587AF4" w:rsidRPr="00BB5E14">
        <w:t xml:space="preserve">(Report, </w:t>
      </w:r>
      <w:r w:rsidR="00F41574" w:rsidRPr="00BB5E14">
        <w:t>24 June 2021) &lt;</w:t>
      </w:r>
      <w:r w:rsidRPr="00BB5E14">
        <w:t>https://www.science.org.au/supporting-science/science-policy-and-analysis/reports-and-publications/risks-australia-three-degrees-c-warmer-world</w:t>
      </w:r>
      <w:r w:rsidR="00F41574" w:rsidRPr="00BB5E14">
        <w:t>&gt;</w:t>
      </w:r>
      <w:r w:rsidRPr="00BB5E14">
        <w:t>.  The Intergovernmental Panel on Climate Change’s recent Sixth Assessment Report warns that “</w:t>
      </w:r>
      <w:r w:rsidRPr="00BB5E14">
        <w:rPr>
          <w:i/>
          <w:iCs/>
        </w:rPr>
        <w:t>the [Australasia] region faces an extremely challenging future</w:t>
      </w:r>
      <w:r w:rsidRPr="00BB5E14">
        <w:t>”: Intergovernmental Panel on Climate Change</w:t>
      </w:r>
      <w:r w:rsidRPr="00BB5E14">
        <w:rPr>
          <w:i/>
          <w:iCs/>
        </w:rPr>
        <w:t>, Climate Change 2022: Impacts, Adaptation and Vulnerability</w:t>
      </w:r>
      <w:r w:rsidR="00F41574" w:rsidRPr="00BB5E14">
        <w:t xml:space="preserve"> (Report,</w:t>
      </w:r>
      <w:r w:rsidR="00BB5E14" w:rsidRPr="00BB5E14">
        <w:t xml:space="preserve"> 2022)</w:t>
      </w:r>
      <w:r w:rsidRPr="00BB5E14">
        <w:t xml:space="preserve"> </w:t>
      </w:r>
      <w:r w:rsidR="00BB5E14" w:rsidRPr="00BB5E14">
        <w:t xml:space="preserve">1585 </w:t>
      </w:r>
      <w:r w:rsidRPr="00BB5E14">
        <w:t>&lt;https://www.ipcc.ch/report/ar6/wg2/&gt;.</w:t>
      </w:r>
    </w:p>
  </w:footnote>
  <w:footnote w:id="2">
    <w:p w14:paraId="7D5196E6" w14:textId="270C89C6" w:rsidR="006F6FCA" w:rsidRPr="006F6FCA" w:rsidRDefault="006F6FCA" w:rsidP="00094C9E">
      <w:pPr>
        <w:pStyle w:val="FootnoteText"/>
        <w:tabs>
          <w:tab w:val="clear" w:pos="567"/>
          <w:tab w:val="left" w:pos="851"/>
        </w:tabs>
        <w:ind w:left="142" w:hanging="142"/>
      </w:pPr>
      <w:r>
        <w:rPr>
          <w:rStyle w:val="FootnoteReference"/>
        </w:rPr>
        <w:footnoteRef/>
      </w:r>
      <w:r>
        <w:t xml:space="preserve"> </w:t>
      </w:r>
      <w:r w:rsidR="00BB5E14" w:rsidRPr="00BB5E14">
        <w:t xml:space="preserve">See, </w:t>
      </w:r>
      <w:proofErr w:type="spellStart"/>
      <w:r w:rsidR="00BB5E14" w:rsidRPr="00BB5E14">
        <w:t>eg</w:t>
      </w:r>
      <w:proofErr w:type="spellEnd"/>
      <w:r w:rsidR="00BB5E14" w:rsidRPr="00BB5E14">
        <w:t xml:space="preserve">, </w:t>
      </w:r>
      <w:r w:rsidR="00BB5E14" w:rsidRPr="00055DC2">
        <w:rPr>
          <w:i/>
          <w:iCs/>
        </w:rPr>
        <w:t>Sharma by her litigation representative Sister Marie Brigid Arthur v Minister for the Environment</w:t>
      </w:r>
      <w:r w:rsidR="00BB5E14" w:rsidRPr="00055DC2">
        <w:t xml:space="preserve"> [2021] FCA 560</w:t>
      </w:r>
      <w:r w:rsidR="00BB5E14">
        <w:t xml:space="preserve">; </w:t>
      </w:r>
      <w:r w:rsidR="00655A48" w:rsidRPr="00094C9E">
        <w:rPr>
          <w:i/>
          <w:iCs/>
        </w:rPr>
        <w:t xml:space="preserve">Waratah Coal Pty Ltd v Youth Verdict Ltd &amp; </w:t>
      </w:r>
      <w:proofErr w:type="spellStart"/>
      <w:r w:rsidR="00655A48" w:rsidRPr="00094C9E">
        <w:rPr>
          <w:i/>
          <w:iCs/>
        </w:rPr>
        <w:t>Ors</w:t>
      </w:r>
      <w:proofErr w:type="spellEnd"/>
      <w:r w:rsidR="00655A48" w:rsidRPr="00094C9E">
        <w:rPr>
          <w:i/>
          <w:iCs/>
        </w:rPr>
        <w:t xml:space="preserve"> (No 6)</w:t>
      </w:r>
      <w:r w:rsidR="00655A48" w:rsidRPr="00655A48">
        <w:t xml:space="preserve"> [2022] QLC 21</w:t>
      </w:r>
      <w:r w:rsidRPr="00BB5E14">
        <w:t>.</w:t>
      </w:r>
    </w:p>
  </w:footnote>
  <w:footnote w:id="3">
    <w:p w14:paraId="4D011D97" w14:textId="205CC6C9" w:rsidR="001858B6" w:rsidRPr="001858B6" w:rsidRDefault="001858B6" w:rsidP="001B4E9B">
      <w:pPr>
        <w:pStyle w:val="FootnoteText"/>
        <w:tabs>
          <w:tab w:val="clear" w:pos="567"/>
          <w:tab w:val="left" w:pos="1276"/>
        </w:tabs>
        <w:ind w:left="142" w:hanging="142"/>
        <w:rPr>
          <w:lang w:val="en-US"/>
        </w:rPr>
      </w:pPr>
      <w:r>
        <w:rPr>
          <w:rStyle w:val="FootnoteReference"/>
        </w:rPr>
        <w:footnoteRef/>
      </w:r>
      <w:r>
        <w:t xml:space="preserve"> </w:t>
      </w:r>
      <w:r w:rsidR="001B4E9B" w:rsidRPr="001B4E9B">
        <w:t>For example, the c</w:t>
      </w:r>
      <w:r w:rsidRPr="001B4E9B">
        <w:t xml:space="preserve">omplaint filed on 25 October 2021 by five Australians – including members of First Nations and disability communities – to the UN Special Rapporteurs on Human Rights and the Environment, on the rights of Indigenous peoples and on the Rights of Persons with Disabilities. The Complainants assert that the Australian government’s emission targets are insufficient to meet the Paris Agreement and has breached the </w:t>
      </w:r>
      <w:r w:rsidR="001B4E9B" w:rsidRPr="001B4E9B">
        <w:t>Convention on the Rights of the Child</w:t>
      </w:r>
      <w:r w:rsidRPr="001B4E9B">
        <w:t xml:space="preserve">, the Convention on the Rights of Persons with Disabilities, and the United Nations Declaration on the Rights of Indigenous Peoples. </w:t>
      </w:r>
      <w:r w:rsidRPr="00B34BCE">
        <w:t>See:</w:t>
      </w:r>
      <w:r w:rsidR="009A5C14" w:rsidRPr="00B34BCE">
        <w:t xml:space="preserve"> Letter from Environmental Justice Australia </w:t>
      </w:r>
      <w:r w:rsidR="00B34BCE" w:rsidRPr="00B34BCE">
        <w:t xml:space="preserve">to Dr David R Boyd (Special Rapporteur on Human Rights and the Environment), Francisco Cali </w:t>
      </w:r>
      <w:proofErr w:type="spellStart"/>
      <w:r w:rsidR="00B34BCE" w:rsidRPr="00B34BCE">
        <w:t>Tzay</w:t>
      </w:r>
      <w:proofErr w:type="spellEnd"/>
      <w:r w:rsidR="00B34BCE" w:rsidRPr="00B34BCE">
        <w:t xml:space="preserve"> (Special Rapporteur on the rights of Indigenous peoples) and Gerard Quinn (Special Rapporteur on the rights of persons with disabilities), 25 October 2021</w:t>
      </w:r>
      <w:r w:rsidRPr="00B34BCE">
        <w:rPr>
          <w:lang w:val="en-GB"/>
        </w:rPr>
        <w:t xml:space="preserve"> </w:t>
      </w:r>
      <w:r w:rsidR="00B34BCE" w:rsidRPr="00B34BCE">
        <w:rPr>
          <w:lang w:val="en-GB"/>
        </w:rPr>
        <w:t>&lt;</w:t>
      </w:r>
      <w:hyperlink r:id="rId1" w:history="1">
        <w:r w:rsidRPr="00B34BCE">
          <w:rPr>
            <w:rStyle w:val="Hyperlink"/>
            <w:lang w:val="en-GB"/>
          </w:rPr>
          <w:t>https://envirojustice.org.au/wp-content/uploads/2022/02/UN_Climate_Change_Human_Rights_FINAL_complaint.pdf</w:t>
        </w:r>
      </w:hyperlink>
      <w:r w:rsidR="00B34BCE" w:rsidRPr="00B34BCE">
        <w:t>&gt;</w:t>
      </w:r>
      <w:r w:rsidRPr="00B34BCE">
        <w:rPr>
          <w:lang w:val="en-GB"/>
        </w:rPr>
        <w:t>.</w:t>
      </w:r>
    </w:p>
  </w:footnote>
  <w:footnote w:id="4">
    <w:p w14:paraId="52A194B7" w14:textId="769E73CE" w:rsidR="006907A2" w:rsidRPr="0079733E" w:rsidRDefault="006907A2" w:rsidP="0079733E">
      <w:pPr>
        <w:pStyle w:val="FootnoteText"/>
        <w:tabs>
          <w:tab w:val="clear" w:pos="567"/>
        </w:tabs>
        <w:ind w:left="142" w:hanging="142"/>
        <w:rPr>
          <w:highlight w:val="yellow"/>
        </w:rPr>
      </w:pPr>
      <w:r w:rsidRPr="0079733E">
        <w:rPr>
          <w:rStyle w:val="FootnoteReference"/>
        </w:rPr>
        <w:footnoteRef/>
      </w:r>
      <w:r w:rsidRPr="0079733E">
        <w:t xml:space="preserve"> </w:t>
      </w:r>
      <w:r w:rsidR="007669A9" w:rsidRPr="0079733E">
        <w:t xml:space="preserve">Committee on the Rights of the Child, </w:t>
      </w:r>
      <w:r w:rsidR="007669A9" w:rsidRPr="0079733E">
        <w:rPr>
          <w:i/>
          <w:iCs/>
        </w:rPr>
        <w:t xml:space="preserve">Draft General comment No. 26 (202x) on Children’s rights and the environment with a special focus on climate change </w:t>
      </w:r>
      <w:r w:rsidR="007669A9" w:rsidRPr="0079733E">
        <w:t>(5 December 2022)</w:t>
      </w:r>
      <w:r w:rsidR="0079733E" w:rsidRPr="0079733E">
        <w:t xml:space="preserve"> &lt;https://www.ohchr.org/en/calls-for-input/2023/call-comments-draft-general-comment-childrens-rights-and-environment-special</w:t>
      </w:r>
      <w:r w:rsidR="0079733E">
        <w:t>&gt; (‘Draft General Comment No 26’) [56] to [58].</w:t>
      </w:r>
    </w:p>
  </w:footnote>
  <w:footnote w:id="5">
    <w:p w14:paraId="59D4B70B" w14:textId="6D4F4B13" w:rsidR="00254A3C" w:rsidRPr="00254A3C" w:rsidRDefault="00254A3C" w:rsidP="00FB5F80">
      <w:pPr>
        <w:pStyle w:val="FootnoteText"/>
        <w:tabs>
          <w:tab w:val="clear" w:pos="567"/>
        </w:tabs>
        <w:ind w:left="142" w:hanging="142"/>
      </w:pPr>
      <w:r>
        <w:rPr>
          <w:rStyle w:val="FootnoteReference"/>
        </w:rPr>
        <w:footnoteRef/>
      </w:r>
      <w:r>
        <w:t xml:space="preserve"> Committee on the Rights of the Child, </w:t>
      </w:r>
      <w:r>
        <w:rPr>
          <w:i/>
          <w:iCs/>
        </w:rPr>
        <w:t>General comment No. 12 (2009) on the right of the child to be heard</w:t>
      </w:r>
      <w:r>
        <w:t>, UN Doc CRC/C/GC/12 (20 July 2009)</w:t>
      </w:r>
      <w:r w:rsidR="0079733E">
        <w:t xml:space="preserve"> (‘General Comment No 12’)</w:t>
      </w:r>
      <w:r>
        <w:t>.</w:t>
      </w:r>
    </w:p>
  </w:footnote>
  <w:footnote w:id="6">
    <w:p w14:paraId="21433225" w14:textId="41E2757D" w:rsidR="00424A90" w:rsidRPr="00424A90" w:rsidRDefault="00424A90">
      <w:pPr>
        <w:pStyle w:val="FootnoteText"/>
        <w:rPr>
          <w:lang w:val="en-US"/>
        </w:rPr>
      </w:pPr>
      <w:r>
        <w:rPr>
          <w:rStyle w:val="FootnoteReference"/>
        </w:rPr>
        <w:footnoteRef/>
      </w:r>
      <w:r>
        <w:t xml:space="preserve"> </w:t>
      </w:r>
      <w:r w:rsidR="0079733E">
        <w:t>Ibid</w:t>
      </w:r>
      <w:r>
        <w:t xml:space="preserve"> [2].</w:t>
      </w:r>
    </w:p>
  </w:footnote>
  <w:footnote w:id="7">
    <w:p w14:paraId="2CCF9447" w14:textId="391397F1" w:rsidR="00CB19AC" w:rsidRPr="00CB19AC" w:rsidRDefault="00CB19AC">
      <w:pPr>
        <w:pStyle w:val="FootnoteText"/>
        <w:rPr>
          <w:lang w:val="en-US"/>
        </w:rPr>
      </w:pPr>
      <w:r>
        <w:rPr>
          <w:rStyle w:val="FootnoteReference"/>
        </w:rPr>
        <w:footnoteRef/>
      </w:r>
      <w:r>
        <w:t xml:space="preserve"> </w:t>
      </w:r>
      <w:r w:rsidR="00FB5F80">
        <w:t>Ibid</w:t>
      </w:r>
      <w:r>
        <w:t xml:space="preserve"> [68].</w:t>
      </w:r>
    </w:p>
  </w:footnote>
  <w:footnote w:id="8">
    <w:p w14:paraId="5F9C9E01" w14:textId="7A427339" w:rsidR="00570D5A" w:rsidRPr="00570D5A" w:rsidRDefault="00570D5A">
      <w:pPr>
        <w:pStyle w:val="FootnoteText"/>
        <w:rPr>
          <w:lang w:val="en-US"/>
        </w:rPr>
      </w:pPr>
      <w:r>
        <w:rPr>
          <w:rStyle w:val="FootnoteReference"/>
        </w:rPr>
        <w:footnoteRef/>
      </w:r>
      <w:r>
        <w:t xml:space="preserve"> </w:t>
      </w:r>
      <w:r w:rsidR="00FB5F80">
        <w:t>Ibid</w:t>
      </w:r>
      <w:r>
        <w:t xml:space="preserve"> [132] to [</w:t>
      </w:r>
      <w:r w:rsidR="00F04B9A">
        <w:t>134]</w:t>
      </w:r>
      <w:r>
        <w:t>.</w:t>
      </w:r>
    </w:p>
  </w:footnote>
  <w:footnote w:id="9">
    <w:p w14:paraId="13637ED2" w14:textId="5D429630" w:rsidR="005A2614" w:rsidRPr="005A2614" w:rsidRDefault="005A2614">
      <w:pPr>
        <w:pStyle w:val="FootnoteText"/>
        <w:rPr>
          <w:lang w:val="en-US"/>
        </w:rPr>
      </w:pPr>
      <w:r>
        <w:rPr>
          <w:rStyle w:val="FootnoteReference"/>
        </w:rPr>
        <w:footnoteRef/>
      </w:r>
      <w:r>
        <w:t xml:space="preserve"> </w:t>
      </w:r>
      <w:r w:rsidR="00C7289C">
        <w:t>Ibid</w:t>
      </w:r>
      <w:r>
        <w:t xml:space="preserve"> [134(f)].</w:t>
      </w:r>
    </w:p>
  </w:footnote>
  <w:footnote w:id="10">
    <w:p w14:paraId="221ED915" w14:textId="04C53CB1" w:rsidR="005A2614" w:rsidRPr="005A2614" w:rsidRDefault="005A2614">
      <w:pPr>
        <w:pStyle w:val="FootnoteText"/>
        <w:rPr>
          <w:lang w:val="en-US"/>
        </w:rPr>
      </w:pPr>
      <w:r>
        <w:rPr>
          <w:rStyle w:val="FootnoteReference"/>
        </w:rPr>
        <w:footnoteRef/>
      </w:r>
      <w:r>
        <w:t xml:space="preserve"> </w:t>
      </w:r>
      <w:r w:rsidR="00C7289C">
        <w:t>Ibid</w:t>
      </w:r>
      <w:r>
        <w:t xml:space="preserve"> [134(h)].</w:t>
      </w:r>
    </w:p>
  </w:footnote>
  <w:footnote w:id="11">
    <w:p w14:paraId="536A6B58" w14:textId="16C73B50" w:rsidR="000D5876" w:rsidRPr="000D5876" w:rsidRDefault="000D5876">
      <w:pPr>
        <w:pStyle w:val="FootnoteText"/>
        <w:rPr>
          <w:lang w:val="en-US"/>
        </w:rPr>
      </w:pPr>
      <w:r>
        <w:rPr>
          <w:rStyle w:val="FootnoteReference"/>
        </w:rPr>
        <w:footnoteRef/>
      </w:r>
      <w:r>
        <w:t xml:space="preserve"> </w:t>
      </w:r>
      <w:r w:rsidR="00C7289C">
        <w:t>Ibid</w:t>
      </w:r>
      <w:r>
        <w:t xml:space="preserve"> [134(f)].</w:t>
      </w:r>
    </w:p>
  </w:footnote>
  <w:footnote w:id="12">
    <w:p w14:paraId="14CB8A45" w14:textId="74C67563" w:rsidR="003437B3" w:rsidRPr="003437B3" w:rsidRDefault="003437B3">
      <w:pPr>
        <w:pStyle w:val="FootnoteText"/>
        <w:rPr>
          <w:lang w:val="en-US"/>
        </w:rPr>
      </w:pPr>
      <w:r>
        <w:rPr>
          <w:rStyle w:val="FootnoteReference"/>
        </w:rPr>
        <w:footnoteRef/>
      </w:r>
      <w:r>
        <w:t xml:space="preserve"> </w:t>
      </w:r>
      <w:r w:rsidR="00C7289C">
        <w:t>Ibid</w:t>
      </w:r>
      <w:r>
        <w:t>.</w:t>
      </w:r>
    </w:p>
  </w:footnote>
  <w:footnote w:id="13">
    <w:p w14:paraId="7E3B56F1" w14:textId="6344C3A3" w:rsidR="003437B3" w:rsidRPr="003437B3" w:rsidRDefault="003437B3">
      <w:pPr>
        <w:pStyle w:val="FootnoteText"/>
        <w:rPr>
          <w:lang w:val="en-US"/>
        </w:rPr>
      </w:pPr>
      <w:r>
        <w:rPr>
          <w:rStyle w:val="FootnoteReference"/>
        </w:rPr>
        <w:footnoteRef/>
      </w:r>
      <w:r>
        <w:t xml:space="preserve"> </w:t>
      </w:r>
      <w:r w:rsidR="00C7289C">
        <w:t>Ibid</w:t>
      </w:r>
      <w:r>
        <w:t>.</w:t>
      </w:r>
    </w:p>
  </w:footnote>
  <w:footnote w:id="14">
    <w:p w14:paraId="0FEB603F" w14:textId="3751D95B" w:rsidR="00D41EEC" w:rsidRPr="00D41EEC" w:rsidRDefault="00D41EEC">
      <w:pPr>
        <w:pStyle w:val="FootnoteText"/>
        <w:rPr>
          <w:lang w:val="en-US"/>
        </w:rPr>
      </w:pPr>
      <w:r>
        <w:rPr>
          <w:rStyle w:val="FootnoteReference"/>
        </w:rPr>
        <w:footnoteRef/>
      </w:r>
      <w:r>
        <w:t xml:space="preserve"> </w:t>
      </w:r>
      <w:r w:rsidR="00C7289C">
        <w:t>Draft General Comment No</w:t>
      </w:r>
      <w:r w:rsidR="00B15F86">
        <w:t>.</w:t>
      </w:r>
      <w:r w:rsidR="00C7289C">
        <w:t xml:space="preserve"> 26, above n </w:t>
      </w:r>
      <w:r w:rsidR="00C7289C">
        <w:fldChar w:fldCharType="begin"/>
      </w:r>
      <w:r w:rsidR="00C7289C">
        <w:instrText xml:space="preserve"> NOTEREF _Ref124941784 \h </w:instrText>
      </w:r>
      <w:r w:rsidR="00C7289C">
        <w:fldChar w:fldCharType="separate"/>
      </w:r>
      <w:r w:rsidR="00DD1199">
        <w:t>4</w:t>
      </w:r>
      <w:r w:rsidR="00C7289C">
        <w:fldChar w:fldCharType="end"/>
      </w:r>
      <w:r w:rsidR="00C7289C">
        <w:t xml:space="preserve">, </w:t>
      </w:r>
      <w:r>
        <w:rPr>
          <w:lang w:val="en-US"/>
        </w:rPr>
        <w:t>[56].</w:t>
      </w:r>
    </w:p>
  </w:footnote>
  <w:footnote w:id="15">
    <w:p w14:paraId="4B922EA1" w14:textId="14A6FBD7" w:rsidR="00E81DC0" w:rsidRPr="00E81DC0" w:rsidRDefault="00E81DC0" w:rsidP="00227FF5">
      <w:pPr>
        <w:pStyle w:val="FootnoteText"/>
        <w:tabs>
          <w:tab w:val="clear" w:pos="567"/>
          <w:tab w:val="left" w:pos="3261"/>
        </w:tabs>
        <w:ind w:left="142" w:hanging="142"/>
      </w:pPr>
      <w:r>
        <w:rPr>
          <w:rStyle w:val="FootnoteReference"/>
        </w:rPr>
        <w:footnoteRef/>
      </w:r>
      <w:r>
        <w:t xml:space="preserve"> Committee on the Rights of the Child, </w:t>
      </w:r>
      <w:r>
        <w:rPr>
          <w:i/>
          <w:iCs/>
        </w:rPr>
        <w:t xml:space="preserve">General comment No. 25 (2021) </w:t>
      </w:r>
      <w:r w:rsidRPr="00E81DC0">
        <w:rPr>
          <w:i/>
          <w:iCs/>
        </w:rPr>
        <w:t>on children’s rights in relation to the digital environment</w:t>
      </w:r>
      <w:r>
        <w:t>, UN Doc CRC/C/GC/25 (2 March 2021).</w:t>
      </w:r>
    </w:p>
  </w:footnote>
  <w:footnote w:id="16">
    <w:p w14:paraId="13BE4588" w14:textId="4B041578" w:rsidR="00D402AF" w:rsidRPr="00D402AF" w:rsidRDefault="00D402AF">
      <w:pPr>
        <w:pStyle w:val="FootnoteText"/>
        <w:rPr>
          <w:lang w:val="en-US"/>
        </w:rPr>
      </w:pPr>
      <w:r>
        <w:rPr>
          <w:rStyle w:val="FootnoteReference"/>
        </w:rPr>
        <w:footnoteRef/>
      </w:r>
      <w:r>
        <w:t xml:space="preserve"> </w:t>
      </w:r>
      <w:r w:rsidR="00C7289C">
        <w:t>Ibid</w:t>
      </w:r>
      <w:r>
        <w:t xml:space="preserve"> [14] to [15].</w:t>
      </w:r>
    </w:p>
  </w:footnote>
  <w:footnote w:id="17">
    <w:p w14:paraId="179CC5B5" w14:textId="6264F43D" w:rsidR="00B33CD1" w:rsidRPr="00B33CD1" w:rsidRDefault="00B33CD1" w:rsidP="00D339F5">
      <w:pPr>
        <w:pStyle w:val="FootnoteText"/>
        <w:tabs>
          <w:tab w:val="clear" w:pos="567"/>
          <w:tab w:val="left" w:pos="1134"/>
        </w:tabs>
        <w:ind w:left="142" w:hanging="142"/>
      </w:pPr>
      <w:r>
        <w:rPr>
          <w:rStyle w:val="FootnoteReference"/>
        </w:rPr>
        <w:footnoteRef/>
      </w:r>
      <w:r>
        <w:t xml:space="preserve"> Committee on the Rights of the Child, </w:t>
      </w:r>
      <w:r>
        <w:rPr>
          <w:i/>
          <w:iCs/>
        </w:rPr>
        <w:t xml:space="preserve">General comment No. 9 (2006) </w:t>
      </w:r>
      <w:r w:rsidRPr="00E81DC0">
        <w:rPr>
          <w:i/>
          <w:iCs/>
        </w:rPr>
        <w:t xml:space="preserve">on </w:t>
      </w:r>
      <w:r w:rsidR="00AC79BE">
        <w:rPr>
          <w:i/>
          <w:iCs/>
        </w:rPr>
        <w:t>the rights of children with disabilities</w:t>
      </w:r>
      <w:r>
        <w:t>, UN Doc CRC/C/GC/</w:t>
      </w:r>
      <w:r w:rsidR="00AC79BE">
        <w:t>9</w:t>
      </w:r>
      <w:r>
        <w:t xml:space="preserve"> (2</w:t>
      </w:r>
      <w:r w:rsidR="00AC79BE">
        <w:t>7</w:t>
      </w:r>
      <w:r>
        <w:t xml:space="preserve"> </w:t>
      </w:r>
      <w:r w:rsidR="00AC79BE">
        <w:t>February 2007</w:t>
      </w:r>
      <w:r>
        <w:t>).</w:t>
      </w:r>
    </w:p>
  </w:footnote>
  <w:footnote w:id="18">
    <w:p w14:paraId="74C337AC" w14:textId="391911C0" w:rsidR="0022109C" w:rsidRPr="0022109C" w:rsidRDefault="0022109C">
      <w:pPr>
        <w:pStyle w:val="FootnoteText"/>
      </w:pPr>
      <w:r>
        <w:rPr>
          <w:rStyle w:val="FootnoteReference"/>
        </w:rPr>
        <w:footnoteRef/>
      </w:r>
      <w:r>
        <w:t xml:space="preserve"> </w:t>
      </w:r>
      <w:r w:rsidR="00C7289C">
        <w:t>Ibid</w:t>
      </w:r>
      <w:r>
        <w:t xml:space="preserve"> [11].</w:t>
      </w:r>
    </w:p>
  </w:footnote>
  <w:footnote w:id="19">
    <w:p w14:paraId="0D004DEC" w14:textId="4BCCE4DD" w:rsidR="006D45FC" w:rsidRPr="00AE39FA" w:rsidRDefault="006D45FC" w:rsidP="009F4DD9">
      <w:pPr>
        <w:pStyle w:val="FootnoteText"/>
        <w:tabs>
          <w:tab w:val="clear" w:pos="567"/>
        </w:tabs>
        <w:ind w:left="142" w:hanging="142"/>
      </w:pPr>
      <w:r w:rsidRPr="009F4DD9">
        <w:rPr>
          <w:rStyle w:val="FootnoteReference"/>
        </w:rPr>
        <w:footnoteRef/>
      </w:r>
      <w:r w:rsidRPr="009F4DD9">
        <w:t xml:space="preserve"> </w:t>
      </w:r>
      <w:r w:rsidR="00BB0B06" w:rsidRPr="009F4DD9">
        <w:t xml:space="preserve">Human Rights Council, </w:t>
      </w:r>
      <w:r w:rsidR="00BB0B06" w:rsidRPr="009F4DD9">
        <w:rPr>
          <w:i/>
          <w:iCs/>
        </w:rPr>
        <w:t>Report of the Special Rapporteur on the issue of human rights obligations relating to the enjoyment of a safe, clean, healthy and sustainable environment</w:t>
      </w:r>
      <w:r w:rsidR="00F90C6E" w:rsidRPr="009F4DD9">
        <w:t xml:space="preserve">, UN Doc </w:t>
      </w:r>
      <w:r w:rsidRPr="009F4DD9">
        <w:t xml:space="preserve">A/HRC/37/58 </w:t>
      </w:r>
      <w:r w:rsidR="009F4DD9" w:rsidRPr="009F4DD9">
        <w:t>(24 January 2018)</w:t>
      </w:r>
      <w:r w:rsidRPr="009F4DD9">
        <w:t xml:space="preserve"> [65].</w:t>
      </w:r>
      <w:r w:rsidR="006D6917">
        <w:t xml:space="preserve"> See also, Save the Children</w:t>
      </w:r>
      <w:r w:rsidR="006D6917" w:rsidRPr="00BB5E14">
        <w:t xml:space="preserve">, </w:t>
      </w:r>
      <w:r w:rsidR="006D6917" w:rsidRPr="009F4DD9">
        <w:rPr>
          <w:i/>
          <w:iCs/>
        </w:rPr>
        <w:t xml:space="preserve">Born into the Climate Crisis: Why we must act now to secure children’s rights </w:t>
      </w:r>
      <w:r w:rsidR="006D6917" w:rsidRPr="00BB5E14">
        <w:t xml:space="preserve">(Report, 2021) </w:t>
      </w:r>
      <w:r w:rsidR="006D6917">
        <w:t xml:space="preserve">24 </w:t>
      </w:r>
      <w:hyperlink r:id="rId2" w:history="1">
        <w:r w:rsidR="006D6917" w:rsidRPr="005F741B">
          <w:rPr>
            <w:rStyle w:val="Hyperlink"/>
          </w:rPr>
          <w:t>https://resourcecentre.savethechildren.net/pdf/born-into-the-climate-crisis.pdf/</w:t>
        </w:r>
      </w:hyperlink>
      <w:r w:rsidR="006D6917">
        <w:t xml:space="preserve"> “</w:t>
      </w:r>
      <w:r w:rsidR="006D6917">
        <w:rPr>
          <w:i/>
          <w:iCs/>
        </w:rPr>
        <w:t>[c]</w:t>
      </w:r>
      <w:proofErr w:type="spellStart"/>
      <w:r w:rsidR="006D6917">
        <w:rPr>
          <w:i/>
          <w:iCs/>
        </w:rPr>
        <w:t>limate</w:t>
      </w:r>
      <w:proofErr w:type="spellEnd"/>
      <w:r w:rsidR="006D6917">
        <w:rPr>
          <w:i/>
          <w:iCs/>
        </w:rPr>
        <w:t xml:space="preserve"> change exacerbates the barriers experienced by children with disabilities, as well as children living with parents with disabilities. […]</w:t>
      </w:r>
      <w:r w:rsidR="006D6917" w:rsidRPr="00F42A36">
        <w:rPr>
          <w:i/>
          <w:iCs/>
        </w:rPr>
        <w:t xml:space="preserve"> As climate change increases the frequency and intensity of extreme weather events, more children with disabilities will be endangered more often. Despite this, people with disabilities</w:t>
      </w:r>
      <w:r w:rsidR="006D6917">
        <w:rPr>
          <w:i/>
          <w:iCs/>
        </w:rPr>
        <w:t xml:space="preserve"> </w:t>
      </w:r>
      <w:r w:rsidR="006D6917" w:rsidRPr="00F42A36">
        <w:rPr>
          <w:i/>
          <w:iCs/>
        </w:rPr>
        <w:t>and their representative organisations face systemic barriers to participation in</w:t>
      </w:r>
      <w:r w:rsidR="006D6917">
        <w:rPr>
          <w:i/>
          <w:iCs/>
        </w:rPr>
        <w:t xml:space="preserve"> </w:t>
      </w:r>
      <w:r w:rsidR="006D6917" w:rsidRPr="00F42A36">
        <w:rPr>
          <w:i/>
          <w:iCs/>
        </w:rPr>
        <w:t>decision-making.</w:t>
      </w:r>
      <w:r w:rsidR="006D6917">
        <w:t>”</w:t>
      </w:r>
    </w:p>
  </w:footnote>
  <w:footnote w:id="20">
    <w:p w14:paraId="26AA6F3D" w14:textId="25510AF6" w:rsidR="00E273FF" w:rsidRPr="00E273FF" w:rsidRDefault="00E273FF" w:rsidP="00D339F5">
      <w:pPr>
        <w:pStyle w:val="FootnoteText"/>
        <w:tabs>
          <w:tab w:val="clear" w:pos="567"/>
          <w:tab w:val="left" w:pos="1843"/>
        </w:tabs>
        <w:ind w:left="142" w:hanging="142"/>
        <w:rPr>
          <w:lang w:val="en-US"/>
        </w:rPr>
      </w:pPr>
      <w:r>
        <w:rPr>
          <w:rStyle w:val="FootnoteReference"/>
        </w:rPr>
        <w:footnoteRef/>
      </w:r>
      <w:r>
        <w:t xml:space="preserve"> Committee on the Rights of the Child, </w:t>
      </w:r>
      <w:r>
        <w:rPr>
          <w:i/>
          <w:iCs/>
        </w:rPr>
        <w:t xml:space="preserve">General comment No. 11 (2009) </w:t>
      </w:r>
      <w:r w:rsidRPr="00E81DC0">
        <w:rPr>
          <w:i/>
          <w:iCs/>
        </w:rPr>
        <w:t xml:space="preserve">on </w:t>
      </w:r>
      <w:r>
        <w:rPr>
          <w:i/>
          <w:iCs/>
        </w:rPr>
        <w:t>Indigenous children and their rights under the Convention</w:t>
      </w:r>
      <w:r>
        <w:t>, UN Doc CRC/C/GC/11 (12 February 2009).</w:t>
      </w:r>
    </w:p>
  </w:footnote>
  <w:footnote w:id="21">
    <w:p w14:paraId="5EF8F28D" w14:textId="25AF5B88" w:rsidR="00796CD9" w:rsidRPr="00796CD9" w:rsidRDefault="00796CD9">
      <w:pPr>
        <w:pStyle w:val="FootnoteText"/>
        <w:rPr>
          <w:lang w:val="en-US"/>
        </w:rPr>
      </w:pPr>
      <w:r>
        <w:rPr>
          <w:rStyle w:val="FootnoteReference"/>
        </w:rPr>
        <w:footnoteRef/>
      </w:r>
      <w:r>
        <w:t xml:space="preserve"> </w:t>
      </w:r>
      <w:r w:rsidR="00D339F5">
        <w:t>Ibid</w:t>
      </w:r>
      <w:r>
        <w:t xml:space="preserve"> [39].</w:t>
      </w:r>
    </w:p>
  </w:footnote>
  <w:footnote w:id="22">
    <w:p w14:paraId="3AB15580" w14:textId="7E66F662" w:rsidR="00796CD9" w:rsidRPr="00796CD9" w:rsidRDefault="00796CD9">
      <w:pPr>
        <w:pStyle w:val="FootnoteText"/>
        <w:rPr>
          <w:lang w:val="en-US"/>
        </w:rPr>
      </w:pPr>
      <w:r>
        <w:rPr>
          <w:rStyle w:val="FootnoteReference"/>
        </w:rPr>
        <w:footnoteRef/>
      </w:r>
      <w:r>
        <w:t xml:space="preserve"> </w:t>
      </w:r>
      <w:r w:rsidR="00D339F5">
        <w:t>Ibid</w:t>
      </w:r>
      <w:r>
        <w:t>.</w:t>
      </w:r>
    </w:p>
  </w:footnote>
  <w:footnote w:id="23">
    <w:p w14:paraId="47180629" w14:textId="614B0D26" w:rsidR="0016475E" w:rsidRPr="00F74509" w:rsidRDefault="0016475E" w:rsidP="00D339F5">
      <w:pPr>
        <w:pStyle w:val="FootnoteText"/>
        <w:tabs>
          <w:tab w:val="clear" w:pos="567"/>
        </w:tabs>
        <w:ind w:left="142" w:hanging="142"/>
        <w:rPr>
          <w:lang w:val="en-US"/>
        </w:rPr>
      </w:pPr>
      <w:r>
        <w:rPr>
          <w:rStyle w:val="FootnoteReference"/>
        </w:rPr>
        <w:footnoteRef/>
      </w:r>
      <w:r>
        <w:t xml:space="preserve"> </w:t>
      </w:r>
      <w:r w:rsidRPr="0061278C">
        <w:t xml:space="preserve">Committee on the Rights of the Child, </w:t>
      </w:r>
      <w:r w:rsidRPr="0061278C">
        <w:rPr>
          <w:i/>
          <w:iCs/>
        </w:rPr>
        <w:t>General Comment No. 2 (2002): The role of independent national human rights institutions in the promotion and protection of the rights of the child</w:t>
      </w:r>
      <w:r w:rsidRPr="0061278C">
        <w:t>, UN Doc CRC/GC/2002/2 (15 November 2002)</w:t>
      </w:r>
      <w:r w:rsidR="00D339F5">
        <w:t xml:space="preserve"> (‘General Comment No 2’)</w:t>
      </w:r>
      <w:r>
        <w:t>.</w:t>
      </w:r>
    </w:p>
  </w:footnote>
  <w:footnote w:id="24">
    <w:p w14:paraId="7FB13C2A" w14:textId="469957A9" w:rsidR="0016475E" w:rsidRPr="00587467" w:rsidRDefault="0016475E" w:rsidP="0016475E">
      <w:pPr>
        <w:pStyle w:val="FootnoteText"/>
        <w:rPr>
          <w:lang w:val="en-US"/>
        </w:rPr>
      </w:pPr>
      <w:r>
        <w:rPr>
          <w:rStyle w:val="FootnoteReference"/>
        </w:rPr>
        <w:footnoteRef/>
      </w:r>
      <w:r>
        <w:t xml:space="preserve"> </w:t>
      </w:r>
      <w:r w:rsidR="00D339F5">
        <w:t>Ibid</w:t>
      </w:r>
      <w:r>
        <w:t xml:space="preserve"> [2].</w:t>
      </w:r>
    </w:p>
  </w:footnote>
  <w:footnote w:id="25">
    <w:p w14:paraId="2EE4ADF6" w14:textId="26ED827D" w:rsidR="0016475E" w:rsidRPr="008526FA" w:rsidRDefault="0016475E" w:rsidP="0016475E">
      <w:pPr>
        <w:pStyle w:val="FootnoteText"/>
      </w:pPr>
      <w:r>
        <w:rPr>
          <w:rStyle w:val="FootnoteReference"/>
        </w:rPr>
        <w:footnoteRef/>
      </w:r>
      <w:r>
        <w:t xml:space="preserve"> </w:t>
      </w:r>
      <w:r w:rsidR="00D339F5">
        <w:t>Ibid</w:t>
      </w:r>
      <w:r>
        <w:t xml:space="preserve"> </w:t>
      </w:r>
      <w:r w:rsidRPr="0061278C">
        <w:t>[13].</w:t>
      </w:r>
    </w:p>
  </w:footnote>
  <w:footnote w:id="26">
    <w:p w14:paraId="12081779" w14:textId="24EB3F06" w:rsidR="00B42B1D" w:rsidRPr="00B42B1D" w:rsidRDefault="00B42B1D">
      <w:pPr>
        <w:pStyle w:val="FootnoteText"/>
      </w:pPr>
      <w:r>
        <w:rPr>
          <w:rStyle w:val="FootnoteReference"/>
        </w:rPr>
        <w:footnoteRef/>
      </w:r>
      <w:r>
        <w:t xml:space="preserve"> </w:t>
      </w:r>
      <w:r w:rsidR="00D339F5">
        <w:t xml:space="preserve">Draft General Comment No 26, above n </w:t>
      </w:r>
      <w:r w:rsidR="00D339F5">
        <w:fldChar w:fldCharType="begin"/>
      </w:r>
      <w:r w:rsidR="00D339F5">
        <w:instrText xml:space="preserve"> NOTEREF _Ref124941784 \h </w:instrText>
      </w:r>
      <w:r w:rsidR="00D339F5">
        <w:fldChar w:fldCharType="separate"/>
      </w:r>
      <w:r w:rsidR="00DD1199">
        <w:t>4</w:t>
      </w:r>
      <w:r w:rsidR="00D339F5">
        <w:fldChar w:fldCharType="end"/>
      </w:r>
      <w:r w:rsidR="00D339F5">
        <w:t xml:space="preserve">, </w:t>
      </w:r>
      <w:r w:rsidR="00C140A5">
        <w:t>[64]</w:t>
      </w:r>
      <w:r w:rsidRPr="0061278C">
        <w:t>.</w:t>
      </w:r>
    </w:p>
  </w:footnote>
  <w:footnote w:id="27">
    <w:p w14:paraId="63BD165E" w14:textId="20B3374E" w:rsidR="009F1119" w:rsidRPr="009F1119" w:rsidRDefault="009F1119">
      <w:pPr>
        <w:pStyle w:val="FootnoteText"/>
      </w:pPr>
      <w:r>
        <w:rPr>
          <w:rStyle w:val="FootnoteReference"/>
        </w:rPr>
        <w:footnoteRef/>
      </w:r>
      <w:r>
        <w:t xml:space="preserve"> </w:t>
      </w:r>
      <w:r w:rsidR="00D339F5">
        <w:t xml:space="preserve">General Comment No 2, above n </w:t>
      </w:r>
      <w:r w:rsidR="00D339F5">
        <w:fldChar w:fldCharType="begin"/>
      </w:r>
      <w:r w:rsidR="00D339F5">
        <w:instrText xml:space="preserve"> NOTEREF _Ref124941981 \h </w:instrText>
      </w:r>
      <w:r w:rsidR="00D339F5">
        <w:fldChar w:fldCharType="separate"/>
      </w:r>
      <w:r w:rsidR="00DD1199">
        <w:t>23</w:t>
      </w:r>
      <w:r w:rsidR="00D339F5">
        <w:fldChar w:fldCharType="end"/>
      </w:r>
      <w:r w:rsidR="00D339F5">
        <w:t>,</w:t>
      </w:r>
      <w:r>
        <w:t xml:space="preserve"> </w:t>
      </w:r>
      <w:r w:rsidR="00D3520E">
        <w:t>[19]</w:t>
      </w:r>
      <w:r>
        <w:t>.</w:t>
      </w:r>
    </w:p>
  </w:footnote>
  <w:footnote w:id="28">
    <w:p w14:paraId="07FA4918" w14:textId="77777777" w:rsidR="00A710F9" w:rsidRPr="00DA34F5" w:rsidRDefault="00A710F9" w:rsidP="00A710F9">
      <w:pPr>
        <w:pStyle w:val="FootnoteText"/>
        <w:rPr>
          <w:lang w:val="en-US"/>
        </w:rPr>
      </w:pPr>
      <w:r>
        <w:rPr>
          <w:rStyle w:val="FootnoteReference"/>
        </w:rPr>
        <w:footnoteRef/>
      </w:r>
      <w:r>
        <w:t xml:space="preserve"> This proposed drafting is based on the principles set out in GC2. See: </w:t>
      </w:r>
      <w:bookmarkStart w:id="3" w:name="_Hlk124864191"/>
      <w:r w:rsidRPr="00227FF5">
        <w:t>General Comment No</w:t>
      </w:r>
      <w:r>
        <w:t>.</w:t>
      </w:r>
      <w:r w:rsidRPr="00227FF5">
        <w:t xml:space="preserve"> 2</w:t>
      </w:r>
      <w:bookmarkEnd w:id="3"/>
      <w:r>
        <w:t xml:space="preserve">, above n </w:t>
      </w:r>
      <w:r>
        <w:fldChar w:fldCharType="begin"/>
      </w:r>
      <w:r>
        <w:instrText xml:space="preserve"> NOTEREF _Ref124941981 \h </w:instrText>
      </w:r>
      <w:r>
        <w:fldChar w:fldCharType="separate"/>
      </w:r>
      <w:r>
        <w:t>23</w:t>
      </w:r>
      <w:r>
        <w:fldChar w:fldCharType="end"/>
      </w:r>
      <w:r>
        <w:t xml:space="preserve">, </w:t>
      </w:r>
      <w:r w:rsidRPr="0061278C">
        <w:t>[1</w:t>
      </w:r>
      <w:r>
        <w:t>3</w:t>
      </w:r>
      <w:r w:rsidRPr="0061278C">
        <w:t>]</w:t>
      </w:r>
      <w:r>
        <w:t xml:space="preserve"> to [14]</w:t>
      </w:r>
      <w:r w:rsidRPr="0061278C">
        <w:t>.</w:t>
      </w:r>
    </w:p>
  </w:footnote>
  <w:footnote w:id="29">
    <w:p w14:paraId="499F7A83" w14:textId="697B73F2" w:rsidR="00C03B2D" w:rsidRPr="00C03B2D" w:rsidRDefault="00C03B2D" w:rsidP="00AC14C2">
      <w:pPr>
        <w:pStyle w:val="FootnoteText"/>
        <w:tabs>
          <w:tab w:val="clear" w:pos="567"/>
          <w:tab w:val="left" w:pos="3828"/>
        </w:tabs>
        <w:ind w:left="142" w:hanging="142"/>
        <w:rPr>
          <w:lang w:val="en-US"/>
        </w:rPr>
      </w:pPr>
      <w:r>
        <w:rPr>
          <w:rStyle w:val="FootnoteReference"/>
        </w:rPr>
        <w:footnoteRef/>
      </w:r>
      <w:r>
        <w:t xml:space="preserve"> </w:t>
      </w:r>
      <w:r w:rsidRPr="0061278C">
        <w:t xml:space="preserve">Committee on the Rights of the Child, </w:t>
      </w:r>
      <w:r w:rsidRPr="0061278C">
        <w:rPr>
          <w:i/>
          <w:iCs/>
        </w:rPr>
        <w:t xml:space="preserve">General Comment No. </w:t>
      </w:r>
      <w:r>
        <w:rPr>
          <w:i/>
          <w:iCs/>
        </w:rPr>
        <w:t>5</w:t>
      </w:r>
      <w:r w:rsidRPr="0061278C">
        <w:rPr>
          <w:i/>
          <w:iCs/>
        </w:rPr>
        <w:t xml:space="preserve"> (200</w:t>
      </w:r>
      <w:r>
        <w:rPr>
          <w:i/>
          <w:iCs/>
        </w:rPr>
        <w:t>3</w:t>
      </w:r>
      <w:r w:rsidRPr="0061278C">
        <w:rPr>
          <w:i/>
          <w:iCs/>
        </w:rPr>
        <w:t xml:space="preserve">): </w:t>
      </w:r>
      <w:r w:rsidR="00D24AB3">
        <w:rPr>
          <w:i/>
          <w:iCs/>
        </w:rPr>
        <w:t>General measures of implementation of the Convention on the Rights of the Child (arts. 4, 42 and 44)</w:t>
      </w:r>
      <w:r w:rsidRPr="0061278C">
        <w:t>, UN Doc CRC/GC/200</w:t>
      </w:r>
      <w:r w:rsidR="00D24AB3">
        <w:t>3</w:t>
      </w:r>
      <w:r w:rsidRPr="0061278C">
        <w:t>/</w:t>
      </w:r>
      <w:r w:rsidR="00D24AB3">
        <w:t>5</w:t>
      </w:r>
      <w:r w:rsidRPr="0061278C">
        <w:t xml:space="preserve"> (</w:t>
      </w:r>
      <w:r w:rsidR="00D24AB3">
        <w:t>27</w:t>
      </w:r>
      <w:r w:rsidRPr="0061278C">
        <w:t xml:space="preserve"> November 200</w:t>
      </w:r>
      <w:r w:rsidR="00D24AB3">
        <w:t>3</w:t>
      </w:r>
      <w:r w:rsidRPr="0061278C">
        <w:t xml:space="preserve">) </w:t>
      </w:r>
      <w:r>
        <w:t>[71]</w:t>
      </w:r>
      <w:r w:rsidR="00227FF5">
        <w:t>.</w:t>
      </w:r>
    </w:p>
  </w:footnote>
  <w:footnote w:id="30">
    <w:p w14:paraId="5129AD04" w14:textId="6274608E" w:rsidR="004335B3" w:rsidRPr="00326AE0" w:rsidRDefault="004335B3" w:rsidP="00F70C91">
      <w:pPr>
        <w:pStyle w:val="FootnoteText"/>
        <w:tabs>
          <w:tab w:val="clear" w:pos="567"/>
        </w:tabs>
        <w:ind w:left="142" w:hanging="142"/>
        <w:rPr>
          <w:lang w:val="en-US"/>
        </w:rPr>
      </w:pPr>
      <w:r>
        <w:rPr>
          <w:rStyle w:val="FootnoteReference"/>
        </w:rPr>
        <w:footnoteRef/>
      </w:r>
      <w:r>
        <w:t xml:space="preserve"> </w:t>
      </w:r>
      <w:r w:rsidR="00AF29D4" w:rsidRPr="00F70C91">
        <w:rPr>
          <w:lang w:val="en-GB"/>
        </w:rPr>
        <w:t xml:space="preserve">Committee on the Rights of the Child, </w:t>
      </w:r>
      <w:r w:rsidR="00AF29D4" w:rsidRPr="00F70C91">
        <w:rPr>
          <w:i/>
          <w:iCs/>
          <w:lang w:val="en-GB"/>
        </w:rPr>
        <w:t>Concluding observations on the combined fifth and sixth periodic reports of Australia</w:t>
      </w:r>
      <w:r w:rsidR="00AF29D4" w:rsidRPr="00F70C91">
        <w:rPr>
          <w:lang w:val="en-GB"/>
        </w:rPr>
        <w:t>, UN Doc CRC/C/AUS/CO/5-6</w:t>
      </w:r>
      <w:r w:rsidR="00F70C91" w:rsidRPr="00F70C91">
        <w:rPr>
          <w:lang w:val="en-GB"/>
        </w:rPr>
        <w:t xml:space="preserve"> (1 November 2019</w:t>
      </w:r>
      <w:r w:rsidR="00F70C91">
        <w:rPr>
          <w:lang w:val="en-GB"/>
        </w:rPr>
        <w:t>, adopted 27 September 2019</w:t>
      </w:r>
      <w:r w:rsidR="00F70C91" w:rsidRPr="00F70C91">
        <w:rPr>
          <w:lang w:val="en-GB"/>
        </w:rPr>
        <w:t>) &lt;</w:t>
      </w:r>
      <w:hyperlink r:id="rId3" w:history="1">
        <w:r w:rsidRPr="00F70C91">
          <w:rPr>
            <w:rStyle w:val="Hyperlink"/>
            <w:lang w:val="en-GB"/>
          </w:rPr>
          <w:t>https://docstore.ohchr.org/SelfServices/FilesHandler.ashx?enc=6QkG1d%2fPPRiCAqhKb7yhsk5X2w65LgiRF%2fS3dwPS4NWFNCtCrUn3lRntjFl1P2gZpa035aKkorCHAPJx8bIZmDed5owOGcbWFeosUSgDTFKNqA7hBC3KiwAm8SBo665E</w:t>
        </w:r>
      </w:hyperlink>
      <w:r w:rsidR="00F70C91" w:rsidRPr="00F70C91">
        <w:rPr>
          <w:lang w:val="en-GB"/>
        </w:rPr>
        <w:t>&gt;</w:t>
      </w:r>
      <w:r w:rsidRPr="00F70C91">
        <w:rPr>
          <w:lang w:val="en-GB"/>
        </w:rPr>
        <w:t xml:space="preserve"> [40].</w:t>
      </w:r>
    </w:p>
  </w:footnote>
  <w:footnote w:id="31">
    <w:p w14:paraId="1BB9DE4D" w14:textId="630EF080" w:rsidR="00AF07F0" w:rsidRPr="00AF07F0" w:rsidRDefault="00AF07F0">
      <w:pPr>
        <w:pStyle w:val="FootnoteText"/>
      </w:pPr>
      <w:r w:rsidRPr="00AC14C2">
        <w:rPr>
          <w:rStyle w:val="FootnoteReference"/>
        </w:rPr>
        <w:footnoteRef/>
      </w:r>
      <w:r w:rsidRPr="00AC14C2">
        <w:t xml:space="preserve"> </w:t>
      </w:r>
      <w:r w:rsidR="00AC14C2" w:rsidRPr="00AC14C2">
        <w:t xml:space="preserve">Draft General Comment No 26, above n </w:t>
      </w:r>
      <w:r w:rsidR="00AC14C2" w:rsidRPr="00AC14C2">
        <w:fldChar w:fldCharType="begin"/>
      </w:r>
      <w:r w:rsidR="00AC14C2" w:rsidRPr="00AC14C2">
        <w:instrText xml:space="preserve"> NOTEREF _Ref124941784 \h </w:instrText>
      </w:r>
      <w:r w:rsidR="00AC14C2">
        <w:instrText xml:space="preserve"> \* MERGEFORMAT </w:instrText>
      </w:r>
      <w:r w:rsidR="00AC14C2" w:rsidRPr="00AC14C2">
        <w:fldChar w:fldCharType="separate"/>
      </w:r>
      <w:r w:rsidR="00DD1199">
        <w:t>4</w:t>
      </w:r>
      <w:r w:rsidR="00AC14C2" w:rsidRPr="00AC14C2">
        <w:fldChar w:fldCharType="end"/>
      </w:r>
      <w:r w:rsidR="00AC14C2" w:rsidRPr="00AC14C2">
        <w:t xml:space="preserve">, </w:t>
      </w:r>
      <w:r w:rsidRPr="00AC14C2">
        <w:t>[8].</w:t>
      </w:r>
    </w:p>
  </w:footnote>
  <w:footnote w:id="32">
    <w:p w14:paraId="0BF5B55A" w14:textId="76C06190" w:rsidR="0038673B" w:rsidRPr="0038673B" w:rsidRDefault="0038673B" w:rsidP="00AC14C2">
      <w:pPr>
        <w:pStyle w:val="FootnoteText"/>
        <w:tabs>
          <w:tab w:val="clear" w:pos="567"/>
        </w:tabs>
        <w:ind w:left="142" w:hanging="142"/>
        <w:rPr>
          <w:lang w:val="en-US"/>
        </w:rPr>
      </w:pPr>
      <w:r>
        <w:rPr>
          <w:rStyle w:val="FootnoteReference"/>
        </w:rPr>
        <w:footnoteRef/>
      </w:r>
      <w:r>
        <w:t xml:space="preserve"> </w:t>
      </w:r>
      <w:r w:rsidRPr="0061278C">
        <w:t xml:space="preserve">Committee on the Rights of the Child, </w:t>
      </w:r>
      <w:r w:rsidRPr="0061278C">
        <w:rPr>
          <w:i/>
          <w:iCs/>
        </w:rPr>
        <w:t xml:space="preserve">General Comment No. </w:t>
      </w:r>
      <w:r>
        <w:rPr>
          <w:i/>
          <w:iCs/>
        </w:rPr>
        <w:t>16</w:t>
      </w:r>
      <w:r w:rsidRPr="0061278C">
        <w:rPr>
          <w:i/>
          <w:iCs/>
        </w:rPr>
        <w:t xml:space="preserve"> (20</w:t>
      </w:r>
      <w:r>
        <w:rPr>
          <w:i/>
          <w:iCs/>
        </w:rPr>
        <w:t>13</w:t>
      </w:r>
      <w:r w:rsidRPr="0061278C">
        <w:rPr>
          <w:i/>
          <w:iCs/>
        </w:rPr>
        <w:t>)</w:t>
      </w:r>
      <w:r w:rsidR="00A531CC">
        <w:rPr>
          <w:i/>
          <w:iCs/>
        </w:rPr>
        <w:t xml:space="preserve"> on State obligations regarding the impact of the business sector on children’s rights</w:t>
      </w:r>
      <w:r w:rsidRPr="0061278C">
        <w:t>, UN Doc CRC/</w:t>
      </w:r>
      <w:r w:rsidR="00A531CC">
        <w:t>C/</w:t>
      </w:r>
      <w:r w:rsidRPr="0061278C">
        <w:t>GC/</w:t>
      </w:r>
      <w:r w:rsidR="00A531CC">
        <w:t>16</w:t>
      </w:r>
      <w:r w:rsidRPr="0061278C">
        <w:t xml:space="preserve"> (</w:t>
      </w:r>
      <w:r w:rsidR="00A531CC">
        <w:t>17 April 2013</w:t>
      </w:r>
      <w:r w:rsidRPr="0061278C">
        <w:t>) (‘</w:t>
      </w:r>
      <w:r w:rsidRPr="0061278C">
        <w:rPr>
          <w:i/>
          <w:iCs/>
        </w:rPr>
        <w:t xml:space="preserve">General Comment No </w:t>
      </w:r>
      <w:r w:rsidR="00A531CC">
        <w:rPr>
          <w:i/>
          <w:iCs/>
        </w:rPr>
        <w:t>16</w:t>
      </w:r>
      <w:r w:rsidRPr="0061278C">
        <w:t>’)</w:t>
      </w:r>
      <w:r w:rsidR="00A531CC">
        <w:t xml:space="preserve"> </w:t>
      </w:r>
      <w:r w:rsidR="00AC14C2">
        <w:t>6</w:t>
      </w:r>
      <w:r w:rsidR="00A531CC">
        <w:t>.</w:t>
      </w:r>
    </w:p>
  </w:footnote>
  <w:footnote w:id="33">
    <w:p w14:paraId="58AA734D" w14:textId="0DC3FEB2" w:rsidR="0038673B" w:rsidRPr="0038673B" w:rsidRDefault="0038673B" w:rsidP="00303E25">
      <w:pPr>
        <w:pStyle w:val="FootnoteText"/>
        <w:rPr>
          <w:lang w:val="en-US"/>
        </w:rPr>
      </w:pPr>
      <w:r>
        <w:rPr>
          <w:rStyle w:val="FootnoteReference"/>
        </w:rPr>
        <w:footnoteRef/>
      </w:r>
      <w:r>
        <w:t xml:space="preserve"> </w:t>
      </w:r>
      <w:r w:rsidR="00AC14C2">
        <w:t>Ibid</w:t>
      </w:r>
      <w:r w:rsidR="00303E25">
        <w:t>.</w:t>
      </w:r>
    </w:p>
  </w:footnote>
  <w:footnote w:id="34">
    <w:p w14:paraId="0A99C4FC" w14:textId="7A0E803F" w:rsidR="00303E25" w:rsidRPr="00303E25" w:rsidRDefault="00303E25" w:rsidP="00303E25">
      <w:pPr>
        <w:pStyle w:val="FootnoteText"/>
        <w:rPr>
          <w:lang w:val="en-US"/>
        </w:rPr>
      </w:pPr>
      <w:r>
        <w:rPr>
          <w:rStyle w:val="FootnoteReference"/>
        </w:rPr>
        <w:footnoteRef/>
      </w:r>
      <w:r>
        <w:t xml:space="preserve"> </w:t>
      </w:r>
      <w:r w:rsidR="00AC14C2">
        <w:t xml:space="preserve">Ibid </w:t>
      </w:r>
      <w:r>
        <w:t>7.</w:t>
      </w:r>
    </w:p>
  </w:footnote>
  <w:footnote w:id="35">
    <w:p w14:paraId="3C8EED51" w14:textId="7C78CE29" w:rsidR="00200F4A" w:rsidRPr="00200F4A" w:rsidRDefault="00200F4A">
      <w:pPr>
        <w:pStyle w:val="FootnoteText"/>
        <w:rPr>
          <w:lang w:val="en-US"/>
        </w:rPr>
      </w:pPr>
      <w:r>
        <w:rPr>
          <w:rStyle w:val="FootnoteReference"/>
        </w:rPr>
        <w:footnoteRef/>
      </w:r>
      <w:r>
        <w:t xml:space="preserve"> </w:t>
      </w:r>
      <w:r w:rsidR="00AC14C2">
        <w:t xml:space="preserve">Ibid </w:t>
      </w:r>
      <w:r>
        <w:t>9.</w:t>
      </w:r>
    </w:p>
  </w:footnote>
  <w:footnote w:id="36">
    <w:p w14:paraId="63BE21CB" w14:textId="77777777" w:rsidR="00005935" w:rsidRPr="00195526" w:rsidRDefault="00005935" w:rsidP="00005935">
      <w:pPr>
        <w:pStyle w:val="FootnoteText"/>
        <w:tabs>
          <w:tab w:val="clear" w:pos="567"/>
          <w:tab w:val="left" w:pos="3402"/>
        </w:tabs>
        <w:ind w:left="142" w:hanging="142"/>
        <w:rPr>
          <w:lang w:val="en-US"/>
        </w:rPr>
      </w:pPr>
      <w:r>
        <w:rPr>
          <w:rStyle w:val="FootnoteReference"/>
        </w:rPr>
        <w:footnoteRef/>
      </w:r>
      <w:r>
        <w:t xml:space="preserve"> </w:t>
      </w:r>
      <w:r>
        <w:rPr>
          <w:lang w:val="en-US"/>
        </w:rPr>
        <w:t xml:space="preserve">This new paragraph has been drafted consistently with the Committee’s prior guidance in GC16. See: </w:t>
      </w:r>
      <w:r w:rsidRPr="00AF29D4">
        <w:t>General Comment No 16</w:t>
      </w:r>
      <w:r>
        <w:t xml:space="preserve">, above n </w:t>
      </w:r>
      <w:r>
        <w:fldChar w:fldCharType="begin"/>
      </w:r>
      <w:r>
        <w:instrText xml:space="preserve"> NOTEREF _Ref124942292 \h </w:instrText>
      </w:r>
      <w:r>
        <w:fldChar w:fldCharType="separate"/>
      </w:r>
      <w:r>
        <w:t>32</w:t>
      </w:r>
      <w:r>
        <w:fldChar w:fldCharType="end"/>
      </w:r>
      <w:r>
        <w: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D417" w14:textId="77777777" w:rsidR="00E6273E" w:rsidRDefault="00E6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067" w14:textId="59B73414" w:rsidR="00F521C2" w:rsidRPr="00F2469E" w:rsidRDefault="00F521C2" w:rsidP="00CC0413">
    <w:pPr>
      <w:spacing w:before="240" w:after="240" w:line="240" w:lineRule="auto"/>
      <w:jc w:val="center"/>
    </w:pPr>
  </w:p>
  <w:p w14:paraId="217538CF" w14:textId="77777777" w:rsidR="00F521C2" w:rsidRPr="00F2469E" w:rsidRDefault="00F521C2" w:rsidP="00B15F18">
    <w:pPr>
      <w:spacing w:before="240" w:after="240" w:line="240" w:lineRule="auto"/>
      <w:ind w:right="3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6DF" w14:textId="011AA7B8" w:rsidR="00F274DE" w:rsidRPr="00244BC4" w:rsidRDefault="00F274DE" w:rsidP="001A1E19">
    <w:pPr>
      <w:pStyle w:val="Header"/>
      <w:tabs>
        <w:tab w:val="clear" w:pos="4513"/>
        <w:tab w:val="clear" w:pos="9026"/>
      </w:tabs>
      <w:spacing w:before="720"/>
      <w:jc w:val="center"/>
      <w:rPr>
        <w:rFonts w:eastAsia="Times New Roman" w:cs="Arial"/>
        <w:szCs w:val="18"/>
      </w:rPr>
    </w:pPr>
  </w:p>
  <w:p w14:paraId="23CA77FD" w14:textId="77777777" w:rsidR="006147FE" w:rsidRPr="002F4B0F" w:rsidRDefault="006147FE" w:rsidP="00E85E84">
    <w:pPr>
      <w:pStyle w:val="Header"/>
      <w:spacing w:before="240" w:after="120"/>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B7715E"/>
    <w:multiLevelType w:val="multilevel"/>
    <w:tmpl w:val="6FDA7B0E"/>
    <w:lvl w:ilvl="0">
      <w:start w:val="1"/>
      <w:numFmt w:val="decimal"/>
      <w:pStyle w:val="SJBLevel1"/>
      <w:lvlText w:val="%1."/>
      <w:lvlJc w:val="left"/>
      <w:pPr>
        <w:ind w:left="1277" w:firstLine="0"/>
      </w:pPr>
    </w:lvl>
    <w:lvl w:ilvl="1">
      <w:start w:val="1"/>
      <w:numFmt w:val="decimal"/>
      <w:pStyle w:val="SJBLevel2"/>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JBLevel3"/>
      <w:lvlText w:val="(%3)"/>
      <w:lvlJc w:val="left"/>
      <w:pPr>
        <w:ind w:left="1844" w:hanging="993"/>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693"/>
        </w:tabs>
        <w:ind w:left="2693"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544"/>
        </w:tabs>
        <w:ind w:left="354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1701"/>
        </w:tabs>
        <w:ind w:left="1701" w:hanging="73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244"/>
        </w:tabs>
        <w:ind w:left="5244"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2F3CD5"/>
    <w:multiLevelType w:val="hybridMultilevel"/>
    <w:tmpl w:val="9446BD8E"/>
    <w:lvl w:ilvl="0" w:tplc="FFFFFFFF">
      <w:start w:val="1"/>
      <w:numFmt w:val="lowerRoman"/>
      <w:lvlText w:val="(%1)"/>
      <w:lvlJc w:val="left"/>
      <w:pPr>
        <w:ind w:left="185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5E747C"/>
    <w:multiLevelType w:val="hybridMultilevel"/>
    <w:tmpl w:val="90C2F86A"/>
    <w:lvl w:ilvl="0" w:tplc="22C07F2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97E83"/>
    <w:multiLevelType w:val="hybridMultilevel"/>
    <w:tmpl w:val="9446BD8E"/>
    <w:lvl w:ilvl="0" w:tplc="DA14AE66">
      <w:start w:val="1"/>
      <w:numFmt w:val="lowerRoman"/>
      <w:lvlText w:val="(%1)"/>
      <w:lvlJc w:val="left"/>
      <w:pPr>
        <w:ind w:left="1854"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C4A2F"/>
    <w:multiLevelType w:val="multilevel"/>
    <w:tmpl w:val="8DC443D6"/>
    <w:styleLink w:val="QuestionNumbering"/>
    <w:lvl w:ilvl="0">
      <w:start w:val="1"/>
      <w:numFmt w:val="decimal"/>
      <w:lvlText w:val="%1"/>
      <w:lvlJc w:val="left"/>
      <w:pPr>
        <w:tabs>
          <w:tab w:val="num" w:pos="567"/>
        </w:tabs>
        <w:ind w:left="567" w:hanging="567"/>
      </w:pPr>
      <w:rPr>
        <w:rFonts w:ascii="Arial" w:hAnsi="Arial" w:hint="default"/>
        <w:b/>
        <w:i w:val="0"/>
        <w:color w:val="434244"/>
        <w:sz w:val="24"/>
      </w:rPr>
    </w:lvl>
    <w:lvl w:ilvl="1">
      <w:start w:val="1"/>
      <w:numFmt w:val="none"/>
      <w:lvlText w:val=""/>
      <w:lvlJc w:val="left"/>
      <w:pPr>
        <w:tabs>
          <w:tab w:val="num" w:pos="850"/>
        </w:tabs>
        <w:ind w:left="850" w:hanging="425"/>
      </w:pPr>
      <w:rPr>
        <w:rFonts w:hint="default"/>
      </w:rPr>
    </w:lvl>
    <w:lvl w:ilvl="2">
      <w:start w:val="1"/>
      <w:numFmt w:val="none"/>
      <w:lvlText w:val=""/>
      <w:lvlJc w:val="left"/>
      <w:pPr>
        <w:tabs>
          <w:tab w:val="num" w:pos="1275"/>
        </w:tabs>
        <w:ind w:left="1275" w:hanging="425"/>
      </w:pPr>
      <w:rPr>
        <w:rFonts w:hint="default"/>
      </w:rPr>
    </w:lvl>
    <w:lvl w:ilvl="3">
      <w:start w:val="1"/>
      <w:numFmt w:val="none"/>
      <w:lvlText w:val=""/>
      <w:lvlJc w:val="left"/>
      <w:pPr>
        <w:tabs>
          <w:tab w:val="num" w:pos="1700"/>
        </w:tabs>
        <w:ind w:left="1700" w:hanging="425"/>
      </w:pPr>
      <w:rPr>
        <w:rFonts w:hint="default"/>
      </w:rPr>
    </w:lvl>
    <w:lvl w:ilvl="4">
      <w:start w:val="1"/>
      <w:numFmt w:val="none"/>
      <w:lvlText w:val=""/>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237B5C6F"/>
    <w:multiLevelType w:val="multilevel"/>
    <w:tmpl w:val="A94C3ACE"/>
    <w:lvl w:ilvl="0">
      <w:start w:val="1"/>
      <w:numFmt w:val="bullet"/>
      <w:pStyle w:val="Bulletsnospacing1"/>
      <w:lvlText w:val=""/>
      <w:lvlJc w:val="left"/>
      <w:pPr>
        <w:ind w:left="567" w:hanging="567"/>
      </w:pPr>
      <w:rPr>
        <w:rFonts w:ascii="Symbol" w:hAnsi="Symbol" w:hint="default"/>
      </w:rPr>
    </w:lvl>
    <w:lvl w:ilvl="1">
      <w:start w:val="1"/>
      <w:numFmt w:val="bullet"/>
      <w:pStyle w:val="Bulletsnospacing2"/>
      <w:lvlText w:val=""/>
      <w:lvlJc w:val="left"/>
      <w:pPr>
        <w:tabs>
          <w:tab w:val="num" w:pos="1134"/>
        </w:tabs>
        <w:ind w:left="1134" w:hanging="567"/>
      </w:pPr>
      <w:rPr>
        <w:rFonts w:ascii="Symbol" w:hAnsi="Symbol" w:hint="default"/>
      </w:rPr>
    </w:lvl>
    <w:lvl w:ilvl="2">
      <w:start w:val="1"/>
      <w:numFmt w:val="bullet"/>
      <w:pStyle w:val="Bulletsnospacing3"/>
      <w:lvlText w:val=""/>
      <w:lvlJc w:val="left"/>
      <w:pPr>
        <w:tabs>
          <w:tab w:val="num" w:pos="1701"/>
        </w:tabs>
        <w:ind w:left="1701" w:hanging="567"/>
      </w:pPr>
      <w:rPr>
        <w:rFonts w:ascii="Symbol" w:hAnsi="Symbol" w:hint="default"/>
      </w:rPr>
    </w:lvl>
    <w:lvl w:ilvl="3">
      <w:start w:val="1"/>
      <w:numFmt w:val="bullet"/>
      <w:pStyle w:val="Bulletsnospacing4"/>
      <w:lvlText w:val=""/>
      <w:lvlJc w:val="left"/>
      <w:pPr>
        <w:tabs>
          <w:tab w:val="num" w:pos="2268"/>
        </w:tabs>
        <w:ind w:left="2268" w:hanging="567"/>
      </w:pPr>
      <w:rPr>
        <w:rFonts w:ascii="Symbol" w:hAnsi="Symbol" w:hint="default"/>
      </w:rPr>
    </w:lvl>
    <w:lvl w:ilvl="4">
      <w:start w:val="1"/>
      <w:numFmt w:val="bullet"/>
      <w:pStyle w:val="Bulletsnospacing5"/>
      <w:lvlText w:val=""/>
      <w:lvlJc w:val="left"/>
      <w:pPr>
        <w:tabs>
          <w:tab w:val="num" w:pos="2835"/>
        </w:tabs>
        <w:ind w:left="2835" w:hanging="567"/>
      </w:pPr>
      <w:rPr>
        <w:rFonts w:ascii="Symbol" w:hAnsi="Symbol" w:hint="default"/>
      </w:rPr>
    </w:lvl>
    <w:lvl w:ilvl="5">
      <w:start w:val="1"/>
      <w:numFmt w:val="bullet"/>
      <w:pStyle w:val="Bulletsnospacing6"/>
      <w:lvlText w:val=""/>
      <w:lvlJc w:val="left"/>
      <w:pPr>
        <w:tabs>
          <w:tab w:val="num" w:pos="3402"/>
        </w:tabs>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color w:val="auto"/>
        <w:sz w:val="20"/>
      </w:rPr>
    </w:lvl>
  </w:abstractNum>
  <w:abstractNum w:abstractNumId="6" w15:restartNumberingAfterBreak="0">
    <w:nsid w:val="28127F7C"/>
    <w:multiLevelType w:val="multilevel"/>
    <w:tmpl w:val="00260FBE"/>
    <w:lvl w:ilvl="0">
      <w:start w:val="1"/>
      <w:numFmt w:val="decimal"/>
      <w:pStyle w:val="AnnexTitle"/>
      <w:lvlText w:val="Annexure %1"/>
      <w:lvlJc w:val="left"/>
      <w:pPr>
        <w:ind w:left="1985" w:hanging="1985"/>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27"/>
      <w:numFmt w:val="lowerLetter"/>
      <w:lvlText w:val="(%7)"/>
      <w:lvlJc w:val="left"/>
      <w:pPr>
        <w:tabs>
          <w:tab w:val="num" w:pos="2835"/>
        </w:tabs>
        <w:ind w:left="2835" w:hanging="567"/>
      </w:pPr>
      <w:rPr>
        <w:rFonts w:hint="default"/>
      </w:rPr>
    </w:lvl>
    <w:lvl w:ilvl="7">
      <w:start w:val="1"/>
      <w:numFmt w:val="none"/>
      <w:lvlText w:val=""/>
      <w:lvlJc w:val="left"/>
      <w:pPr>
        <w:ind w:left="0" w:firstLine="0"/>
      </w:pPr>
      <w:rPr>
        <w:rFonts w:hint="default"/>
      </w:rPr>
    </w:lvl>
    <w:lvl w:ilvl="8">
      <w:start w:val="27"/>
      <w:numFmt w:val="none"/>
      <w:lvlText w:val=""/>
      <w:lvlJc w:val="left"/>
      <w:pPr>
        <w:ind w:left="0" w:firstLine="0"/>
      </w:pPr>
      <w:rPr>
        <w:rFonts w:hint="default"/>
      </w:rPr>
    </w:lvl>
  </w:abstractNum>
  <w:abstractNum w:abstractNumId="7" w15:restartNumberingAfterBreak="0">
    <w:nsid w:val="2A884E32"/>
    <w:multiLevelType w:val="multilevel"/>
    <w:tmpl w:val="28607068"/>
    <w:lvl w:ilvl="0">
      <w:start w:val="1"/>
      <w:numFmt w:val="none"/>
      <w:pStyle w:val="Heading7"/>
      <w:suff w:val="nothing"/>
      <w:lvlText w:val=""/>
      <w:lvlJc w:val="left"/>
      <w:pPr>
        <w:ind w:left="0" w:firstLine="0"/>
      </w:pPr>
      <w:rPr>
        <w:rFonts w:hint="default"/>
      </w:rPr>
    </w:lvl>
    <w:lvl w:ilvl="1">
      <w:start w:val="1"/>
      <w:numFmt w:val="lowerLetter"/>
      <w:pStyle w:val="Heading8"/>
      <w:lvlText w:val="(%2)"/>
      <w:lvlJc w:val="left"/>
      <w:pPr>
        <w:tabs>
          <w:tab w:val="num" w:pos="567"/>
        </w:tabs>
        <w:ind w:left="567" w:hanging="567"/>
      </w:pPr>
      <w:rPr>
        <w:rFonts w:hint="default"/>
      </w:rPr>
    </w:lvl>
    <w:lvl w:ilvl="2">
      <w:start w:val="1"/>
      <w:numFmt w:val="lowerRoman"/>
      <w:pStyle w:val="Heading9"/>
      <w:lvlText w:val="(%3)"/>
      <w:lvlJc w:val="left"/>
      <w:pPr>
        <w:tabs>
          <w:tab w:val="num" w:pos="1134"/>
        </w:tabs>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551253E"/>
    <w:multiLevelType w:val="hybridMultilevel"/>
    <w:tmpl w:val="9446BD8E"/>
    <w:lvl w:ilvl="0" w:tplc="FFFFFFFF">
      <w:start w:val="1"/>
      <w:numFmt w:val="lowerRoman"/>
      <w:lvlText w:val="(%1)"/>
      <w:lvlJc w:val="left"/>
      <w:pPr>
        <w:ind w:left="185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732824"/>
    <w:multiLevelType w:val="hybridMultilevel"/>
    <w:tmpl w:val="49547A3C"/>
    <w:lvl w:ilvl="0" w:tplc="26F29E22">
      <w:start w:val="1"/>
      <w:numFmt w:val="bullet"/>
      <w:lvlText w:val=""/>
      <w:lvlJc w:val="left"/>
      <w:pPr>
        <w:ind w:left="928" w:hanging="360"/>
      </w:pPr>
      <w:rPr>
        <w:rFonts w:ascii="Symbol" w:hAnsi="Symbol" w:hint="default"/>
        <w:color w:val="auto"/>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38096E42"/>
    <w:multiLevelType w:val="hybridMultilevel"/>
    <w:tmpl w:val="4D6A6C28"/>
    <w:lvl w:ilvl="0" w:tplc="DA14AE66">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389F6925"/>
    <w:multiLevelType w:val="multilevel"/>
    <w:tmpl w:val="A2229AEC"/>
    <w:styleLink w:val="111111"/>
    <w:lvl w:ilvl="0">
      <w:start w:val="1"/>
      <w:numFmt w:val="decimal"/>
      <w:lvlText w:val="%1."/>
      <w:lvlJc w:val="left"/>
      <w:pPr>
        <w:tabs>
          <w:tab w:val="num" w:pos="567"/>
        </w:tabs>
        <w:ind w:left="567" w:hanging="567"/>
      </w:pPr>
      <w:rPr>
        <w:rFonts w:ascii="Arial" w:hAnsi="Arial" w:cs="Aria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2" w15:restartNumberingAfterBreak="0">
    <w:nsid w:val="3E032D88"/>
    <w:multiLevelType w:val="multilevel"/>
    <w:tmpl w:val="D598B530"/>
    <w:lvl w:ilvl="0">
      <w:start w:val="1"/>
      <w:numFmt w:val="decimal"/>
      <w:pStyle w:val="TableList"/>
      <w:lvlText w:val="%1"/>
      <w:lvlJc w:val="left"/>
      <w:pPr>
        <w:tabs>
          <w:tab w:val="num" w:pos="425"/>
        </w:tabs>
        <w:ind w:left="425" w:hanging="425"/>
      </w:pPr>
      <w:rPr>
        <w:rFonts w:hint="default"/>
      </w:rPr>
    </w:lvl>
    <w:lvl w:ilvl="1">
      <w:start w:val="1"/>
      <w:numFmt w:val="lowerLetter"/>
      <w:pStyle w:val="TablePara1"/>
      <w:lvlText w:val="(%2)"/>
      <w:lvlJc w:val="left"/>
      <w:pPr>
        <w:tabs>
          <w:tab w:val="num" w:pos="851"/>
        </w:tabs>
        <w:ind w:left="850" w:hanging="425"/>
      </w:pPr>
      <w:rPr>
        <w:rFonts w:hint="default"/>
      </w:rPr>
    </w:lvl>
    <w:lvl w:ilvl="2">
      <w:start w:val="1"/>
      <w:numFmt w:val="lowerRoman"/>
      <w:pStyle w:val="TablePara2"/>
      <w:lvlText w:val="(%3)"/>
      <w:lvlJc w:val="left"/>
      <w:pPr>
        <w:tabs>
          <w:tab w:val="num" w:pos="1986"/>
        </w:tabs>
        <w:ind w:left="1985"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3" w15:restartNumberingAfterBreak="0">
    <w:nsid w:val="3F457857"/>
    <w:multiLevelType w:val="multilevel"/>
    <w:tmpl w:val="25F21C7E"/>
    <w:lvl w:ilvl="0">
      <w:start w:val="1"/>
      <w:numFmt w:val="decimal"/>
      <w:pStyle w:val="List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42DE0B3F"/>
    <w:multiLevelType w:val="hybridMultilevel"/>
    <w:tmpl w:val="9446BD8E"/>
    <w:lvl w:ilvl="0" w:tplc="FFFFFFFF">
      <w:start w:val="1"/>
      <w:numFmt w:val="lowerRoman"/>
      <w:lvlText w:val="(%1)"/>
      <w:lvlJc w:val="left"/>
      <w:pPr>
        <w:ind w:left="1494"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32C3D0D"/>
    <w:multiLevelType w:val="hybridMultilevel"/>
    <w:tmpl w:val="A9C22C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105CDF"/>
    <w:multiLevelType w:val="multilevel"/>
    <w:tmpl w:val="EBB4FBA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color w:val="639828"/>
      </w:rPr>
    </w:lvl>
    <w:lvl w:ilvl="2">
      <w:start w:val="1"/>
      <w:numFmt w:val="lowerLetter"/>
      <w:pStyle w:val="Heading3"/>
      <w:lvlText w:val="(%3)"/>
      <w:lvlJc w:val="left"/>
      <w:pPr>
        <w:tabs>
          <w:tab w:val="num" w:pos="1134"/>
        </w:tabs>
        <w:ind w:left="1134" w:hanging="567"/>
      </w:pPr>
      <w:rPr>
        <w:rFonts w:hint="default"/>
        <w:b/>
        <w:bCs/>
        <w:i w:val="0"/>
        <w:iCs w:val="0"/>
      </w:rPr>
    </w:lvl>
    <w:lvl w:ilvl="3">
      <w:start w:val="1"/>
      <w:numFmt w:val="lowerRoman"/>
      <w:pStyle w:val="Heading4"/>
      <w:lvlText w:val="%4."/>
      <w:lvlJc w:val="righ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27"/>
      <w:numFmt w:val="lowerLetter"/>
      <w:pStyle w:val="Heading6"/>
      <w:lvlText w:val="(%6)"/>
      <w:lvlJc w:val="left"/>
      <w:pPr>
        <w:tabs>
          <w:tab w:val="num" w:pos="2835"/>
        </w:tabs>
        <w:ind w:left="2835" w:hanging="567"/>
      </w:pPr>
      <w:rPr>
        <w:rFonts w:hint="default"/>
      </w:rPr>
    </w:lvl>
    <w:lvl w:ilvl="6">
      <w:start w:val="1"/>
      <w:numFmt w:val="none"/>
      <w:lvlText w:val=""/>
      <w:lvlJc w:val="left"/>
      <w:pPr>
        <w:ind w:left="0" w:firstLine="0"/>
      </w:pPr>
      <w:rPr>
        <w:rFonts w:hint="default"/>
      </w:rPr>
    </w:lvl>
    <w:lvl w:ilvl="7">
      <w:start w:val="27"/>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9A461D6"/>
    <w:multiLevelType w:val="singleLevel"/>
    <w:tmpl w:val="6CA2DD9E"/>
    <w:lvl w:ilvl="0">
      <w:start w:val="1"/>
      <w:numFmt w:val="decimal"/>
      <w:lvlText w:val="%1"/>
      <w:lvlJc w:val="left"/>
      <w:pPr>
        <w:tabs>
          <w:tab w:val="num" w:pos="567"/>
        </w:tabs>
        <w:ind w:left="567" w:hanging="567"/>
      </w:pPr>
      <w:rPr>
        <w:rFonts w:hint="default"/>
        <w:sz w:val="16"/>
        <w:szCs w:val="16"/>
      </w:rPr>
    </w:lvl>
  </w:abstractNum>
  <w:abstractNum w:abstractNumId="18" w15:restartNumberingAfterBreak="0">
    <w:nsid w:val="49EB0376"/>
    <w:multiLevelType w:val="hybridMultilevel"/>
    <w:tmpl w:val="9446BD8E"/>
    <w:lvl w:ilvl="0" w:tplc="FFFFFFFF">
      <w:start w:val="1"/>
      <w:numFmt w:val="lowerRoman"/>
      <w:lvlText w:val="(%1)"/>
      <w:lvlJc w:val="left"/>
      <w:pPr>
        <w:ind w:left="1494"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7BF4A04"/>
    <w:multiLevelType w:val="multilevel"/>
    <w:tmpl w:val="8C68E78E"/>
    <w:lvl w:ilvl="0">
      <w:start w:val="1"/>
      <w:numFmt w:val="bullet"/>
      <w:pStyle w:val="Bullets1"/>
      <w:lvlText w:val=""/>
      <w:lvlJc w:val="left"/>
      <w:pPr>
        <w:tabs>
          <w:tab w:val="num" w:pos="567"/>
        </w:tabs>
        <w:ind w:left="567" w:hanging="567"/>
      </w:pPr>
      <w:rPr>
        <w:rFonts w:ascii="Symbol" w:hAnsi="Symbol" w:hint="default"/>
      </w:rPr>
    </w:lvl>
    <w:lvl w:ilvl="1">
      <w:start w:val="1"/>
      <w:numFmt w:val="bullet"/>
      <w:pStyle w:val="Bullets2"/>
      <w:lvlText w:val=""/>
      <w:lvlJc w:val="left"/>
      <w:pPr>
        <w:tabs>
          <w:tab w:val="num" w:pos="1134"/>
        </w:tabs>
        <w:ind w:left="1134" w:hanging="567"/>
      </w:pPr>
      <w:rPr>
        <w:rFonts w:ascii="Symbol" w:hAnsi="Symbol" w:hint="default"/>
        <w14:numSpacing w14:val="tabular"/>
      </w:rPr>
    </w:lvl>
    <w:lvl w:ilvl="2">
      <w:start w:val="1"/>
      <w:numFmt w:val="bullet"/>
      <w:pStyle w:val="Bullets3"/>
      <w:lvlText w:val=""/>
      <w:lvlJc w:val="left"/>
      <w:pPr>
        <w:tabs>
          <w:tab w:val="num" w:pos="1701"/>
        </w:tabs>
        <w:ind w:left="1701" w:hanging="567"/>
      </w:pPr>
      <w:rPr>
        <w:rFonts w:ascii="Symbol" w:hAnsi="Symbol" w:hint="default"/>
        <w14:numSpacing w14:val="tabular"/>
      </w:rPr>
    </w:lvl>
    <w:lvl w:ilvl="3">
      <w:start w:val="1"/>
      <w:numFmt w:val="bullet"/>
      <w:pStyle w:val="Bullets4"/>
      <w:lvlText w:val=""/>
      <w:lvlJc w:val="left"/>
      <w:pPr>
        <w:tabs>
          <w:tab w:val="num" w:pos="2268"/>
        </w:tabs>
        <w:ind w:left="2268" w:hanging="567"/>
      </w:pPr>
      <w:rPr>
        <w:rFonts w:ascii="Symbol" w:hAnsi="Symbol" w:hint="default"/>
        <w14:numSpacing w14:val="tabular"/>
      </w:rPr>
    </w:lvl>
    <w:lvl w:ilvl="4">
      <w:start w:val="1"/>
      <w:numFmt w:val="bullet"/>
      <w:pStyle w:val="Bullets5"/>
      <w:lvlText w:val=""/>
      <w:lvlJc w:val="left"/>
      <w:pPr>
        <w:tabs>
          <w:tab w:val="num" w:pos="2835"/>
        </w:tabs>
        <w:ind w:left="2835" w:hanging="567"/>
      </w:pPr>
      <w:rPr>
        <w:rFonts w:ascii="Symbol" w:hAnsi="Symbol" w:hint="default"/>
        <w14:numSpacing w14:val="tabular"/>
      </w:rPr>
    </w:lvl>
    <w:lvl w:ilvl="5">
      <w:start w:val="1"/>
      <w:numFmt w:val="bullet"/>
      <w:pStyle w:val="Bullets6"/>
      <w:lvlText w:val=""/>
      <w:lvlJc w:val="left"/>
      <w:pPr>
        <w:tabs>
          <w:tab w:val="num" w:pos="3402"/>
        </w:tabs>
        <w:ind w:left="3402" w:hanging="567"/>
      </w:pPr>
      <w:rPr>
        <w:rFonts w:ascii="Symbol" w:hAnsi="Symbol" w:hint="default"/>
        <w14:numSpacing w14:val="tabular"/>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0" w15:restartNumberingAfterBreak="0">
    <w:nsid w:val="712560C6"/>
    <w:multiLevelType w:val="multilevel"/>
    <w:tmpl w:val="EF7872C2"/>
    <w:lvl w:ilvl="0">
      <w:start w:val="1"/>
      <w:numFmt w:val="bullet"/>
      <w:pStyle w:val="TableBulletsnospacing1"/>
      <w:lvlText w:val=""/>
      <w:lvlJc w:val="left"/>
      <w:pPr>
        <w:tabs>
          <w:tab w:val="num" w:pos="425"/>
        </w:tabs>
        <w:ind w:left="425" w:hanging="425"/>
      </w:pPr>
      <w:rPr>
        <w:rFonts w:ascii="Symbol" w:hAnsi="Symbol" w:hint="default"/>
      </w:rPr>
    </w:lvl>
    <w:lvl w:ilvl="1">
      <w:start w:val="1"/>
      <w:numFmt w:val="bullet"/>
      <w:pStyle w:val="TableBulletsnospacing2"/>
      <w:lvlText w:val=""/>
      <w:lvlJc w:val="left"/>
      <w:pPr>
        <w:tabs>
          <w:tab w:val="num" w:pos="851"/>
        </w:tabs>
        <w:ind w:left="850" w:hanging="425"/>
      </w:pPr>
      <w:rPr>
        <w:rFonts w:ascii="Symbol" w:hAnsi="Symbol" w:hint="default"/>
      </w:rPr>
    </w:lvl>
    <w:lvl w:ilvl="2">
      <w:start w:val="1"/>
      <w:numFmt w:val="bullet"/>
      <w:pStyle w:val="TableBulletsnospacing3"/>
      <w:lvlText w:val=""/>
      <w:lvlJc w:val="left"/>
      <w:pPr>
        <w:tabs>
          <w:tab w:val="num" w:pos="1276"/>
        </w:tabs>
        <w:ind w:left="1275" w:hanging="425"/>
      </w:pPr>
      <w:rPr>
        <w:rFonts w:ascii="Symbol" w:hAnsi="Symbol" w:hint="default"/>
      </w:rPr>
    </w:lvl>
    <w:lvl w:ilvl="3">
      <w:start w:val="1"/>
      <w:numFmt w:val="bullet"/>
      <w:pStyle w:val="TableBulletsnospacing4"/>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21" w15:restartNumberingAfterBreak="0">
    <w:nsid w:val="742B78F8"/>
    <w:multiLevelType w:val="multilevel"/>
    <w:tmpl w:val="639008E6"/>
    <w:styleLink w:val="1ai"/>
    <w:lvl w:ilvl="0">
      <w:start w:val="1"/>
      <w:numFmt w:val="decimal"/>
      <w:lvlText w:val="%1)"/>
      <w:lvlJc w:val="left"/>
      <w:pPr>
        <w:tabs>
          <w:tab w:val="num" w:pos="567"/>
        </w:tabs>
        <w:ind w:left="567" w:hanging="567"/>
      </w:pPr>
      <w:rPr>
        <w:rFonts w:ascii="Arial" w:hAnsi="Arial" w:cs="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7D811593"/>
    <w:multiLevelType w:val="multilevel"/>
    <w:tmpl w:val="240EAED0"/>
    <w:lvl w:ilvl="0">
      <w:start w:val="1"/>
      <w:numFmt w:val="bullet"/>
      <w:pStyle w:val="TableBullets1"/>
      <w:lvlText w:val=""/>
      <w:lvlJc w:val="left"/>
      <w:pPr>
        <w:tabs>
          <w:tab w:val="num" w:pos="425"/>
        </w:tabs>
        <w:ind w:left="425" w:hanging="425"/>
      </w:pPr>
      <w:rPr>
        <w:rFonts w:ascii="Symbol" w:hAnsi="Symbol" w:hint="default"/>
        <w14:numSpacing w14:val="tabular"/>
      </w:rPr>
    </w:lvl>
    <w:lvl w:ilvl="1">
      <w:start w:val="1"/>
      <w:numFmt w:val="bullet"/>
      <w:pStyle w:val="TableBullets2"/>
      <w:lvlText w:val=""/>
      <w:lvlJc w:val="left"/>
      <w:pPr>
        <w:tabs>
          <w:tab w:val="num" w:pos="850"/>
        </w:tabs>
        <w:ind w:left="850" w:hanging="425"/>
      </w:pPr>
      <w:rPr>
        <w:rFonts w:ascii="Symbol" w:hAnsi="Symbol" w:hint="default"/>
      </w:rPr>
    </w:lvl>
    <w:lvl w:ilvl="2">
      <w:start w:val="1"/>
      <w:numFmt w:val="bullet"/>
      <w:pStyle w:val="TableBullets3"/>
      <w:lvlText w:val=""/>
      <w:lvlJc w:val="left"/>
      <w:pPr>
        <w:tabs>
          <w:tab w:val="num" w:pos="1275"/>
        </w:tabs>
        <w:ind w:left="1275" w:hanging="425"/>
      </w:pPr>
      <w:rPr>
        <w:rFonts w:ascii="Symbol" w:hAnsi="Symbol" w:hint="default"/>
      </w:rPr>
    </w:lvl>
    <w:lvl w:ilvl="3">
      <w:start w:val="1"/>
      <w:numFmt w:val="bullet"/>
      <w:pStyle w:val="TableBullets4"/>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rPr>
    </w:lvl>
    <w:lvl w:ilvl="5">
      <w:start w:val="1"/>
      <w:numFmt w:val="bullet"/>
      <w:lvlText w:val=""/>
      <w:lvlJc w:val="left"/>
      <w:pPr>
        <w:tabs>
          <w:tab w:val="num" w:pos="2550"/>
        </w:tabs>
        <w:ind w:left="2550" w:hanging="425"/>
      </w:pPr>
      <w:rPr>
        <w:rFonts w:ascii="Symbol" w:hAnsi="Symbol"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rPr>
    </w:lvl>
    <w:lvl w:ilvl="8">
      <w:start w:val="1"/>
      <w:numFmt w:val="bullet"/>
      <w:lvlText w:val=""/>
      <w:lvlJc w:val="left"/>
      <w:pPr>
        <w:tabs>
          <w:tab w:val="num" w:pos="3825"/>
        </w:tabs>
        <w:ind w:left="3825" w:hanging="425"/>
      </w:pPr>
      <w:rPr>
        <w:rFonts w:ascii="Symbol" w:hAnsi="Symbol" w:hint="default"/>
      </w:rPr>
    </w:lvl>
  </w:abstractNum>
  <w:num w:numId="1" w16cid:durableId="1935092493">
    <w:abstractNumId w:val="11"/>
  </w:num>
  <w:num w:numId="2" w16cid:durableId="595208335">
    <w:abstractNumId w:val="21"/>
  </w:num>
  <w:num w:numId="3" w16cid:durableId="1593707424">
    <w:abstractNumId w:val="6"/>
  </w:num>
  <w:num w:numId="4" w16cid:durableId="1501507126">
    <w:abstractNumId w:val="19"/>
  </w:num>
  <w:num w:numId="5" w16cid:durableId="1145003187">
    <w:abstractNumId w:val="5"/>
  </w:num>
  <w:num w:numId="6" w16cid:durableId="437875378">
    <w:abstractNumId w:val="16"/>
  </w:num>
  <w:num w:numId="7" w16cid:durableId="122890551">
    <w:abstractNumId w:val="13"/>
  </w:num>
  <w:num w:numId="8" w16cid:durableId="286663025">
    <w:abstractNumId w:val="12"/>
  </w:num>
  <w:num w:numId="9" w16cid:durableId="1781298676">
    <w:abstractNumId w:val="4"/>
  </w:num>
  <w:num w:numId="10" w16cid:durableId="1665860364">
    <w:abstractNumId w:val="22"/>
  </w:num>
  <w:num w:numId="11" w16cid:durableId="1653948936">
    <w:abstractNumId w:val="20"/>
  </w:num>
  <w:num w:numId="12" w16cid:durableId="443308804">
    <w:abstractNumId w:val="7"/>
  </w:num>
  <w:num w:numId="13" w16cid:durableId="1980569068">
    <w:abstractNumId w:val="0"/>
  </w:num>
  <w:num w:numId="14" w16cid:durableId="1655641432">
    <w:abstractNumId w:val="15"/>
  </w:num>
  <w:num w:numId="15" w16cid:durableId="724716278">
    <w:abstractNumId w:val="9"/>
  </w:num>
  <w:num w:numId="16" w16cid:durableId="829566095">
    <w:abstractNumId w:val="2"/>
  </w:num>
  <w:num w:numId="17" w16cid:durableId="2052727630">
    <w:abstractNumId w:val="13"/>
  </w:num>
  <w:num w:numId="18" w16cid:durableId="366953054">
    <w:abstractNumId w:val="16"/>
  </w:num>
  <w:num w:numId="19" w16cid:durableId="467019059">
    <w:abstractNumId w:val="13"/>
  </w:num>
  <w:num w:numId="20" w16cid:durableId="1231618566">
    <w:abstractNumId w:val="16"/>
  </w:num>
  <w:num w:numId="21" w16cid:durableId="1516193844">
    <w:abstractNumId w:val="17"/>
  </w:num>
  <w:num w:numId="22" w16cid:durableId="110168358">
    <w:abstractNumId w:val="3"/>
  </w:num>
  <w:num w:numId="23" w16cid:durableId="1943025898">
    <w:abstractNumId w:val="10"/>
  </w:num>
  <w:num w:numId="24" w16cid:durableId="1813986240">
    <w:abstractNumId w:val="8"/>
  </w:num>
  <w:num w:numId="25" w16cid:durableId="261034836">
    <w:abstractNumId w:val="1"/>
  </w:num>
  <w:num w:numId="26" w16cid:durableId="90781485">
    <w:abstractNumId w:val="14"/>
  </w:num>
  <w:num w:numId="27" w16cid:durableId="100220409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567"/>
  <w:defaultTableStyle w:val="KWMGold"/>
  <w:drawingGridHorizontalSpacing w:val="113"/>
  <w:drawingGridVerticalSpacing w:val="1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BB6E55"/>
    <w:rsid w:val="00000CB9"/>
    <w:rsid w:val="00003555"/>
    <w:rsid w:val="00004492"/>
    <w:rsid w:val="00005935"/>
    <w:rsid w:val="00010E9E"/>
    <w:rsid w:val="00011959"/>
    <w:rsid w:val="00011B00"/>
    <w:rsid w:val="00011CA5"/>
    <w:rsid w:val="000120AD"/>
    <w:rsid w:val="00012A1F"/>
    <w:rsid w:val="00014655"/>
    <w:rsid w:val="00015155"/>
    <w:rsid w:val="00015894"/>
    <w:rsid w:val="000166A8"/>
    <w:rsid w:val="000172BD"/>
    <w:rsid w:val="00017FA6"/>
    <w:rsid w:val="00021381"/>
    <w:rsid w:val="000223CC"/>
    <w:rsid w:val="0002404F"/>
    <w:rsid w:val="000253C2"/>
    <w:rsid w:val="00025528"/>
    <w:rsid w:val="00025C3D"/>
    <w:rsid w:val="00025F7C"/>
    <w:rsid w:val="00026D1E"/>
    <w:rsid w:val="00030422"/>
    <w:rsid w:val="0003075B"/>
    <w:rsid w:val="00032D7A"/>
    <w:rsid w:val="00036153"/>
    <w:rsid w:val="000362A4"/>
    <w:rsid w:val="00036E48"/>
    <w:rsid w:val="000378D2"/>
    <w:rsid w:val="000405AA"/>
    <w:rsid w:val="00041124"/>
    <w:rsid w:val="00044AE7"/>
    <w:rsid w:val="00045BE7"/>
    <w:rsid w:val="000502F6"/>
    <w:rsid w:val="000528BC"/>
    <w:rsid w:val="00052BD1"/>
    <w:rsid w:val="00053EE5"/>
    <w:rsid w:val="00054F6E"/>
    <w:rsid w:val="000550BB"/>
    <w:rsid w:val="00063A9F"/>
    <w:rsid w:val="00064426"/>
    <w:rsid w:val="00066D66"/>
    <w:rsid w:val="00067538"/>
    <w:rsid w:val="00067AFD"/>
    <w:rsid w:val="0007140D"/>
    <w:rsid w:val="00074492"/>
    <w:rsid w:val="00074DD7"/>
    <w:rsid w:val="00076816"/>
    <w:rsid w:val="00077675"/>
    <w:rsid w:val="0007773D"/>
    <w:rsid w:val="0008055D"/>
    <w:rsid w:val="00081A1C"/>
    <w:rsid w:val="000843A4"/>
    <w:rsid w:val="00084C87"/>
    <w:rsid w:val="0008533B"/>
    <w:rsid w:val="0008584B"/>
    <w:rsid w:val="00086FEF"/>
    <w:rsid w:val="00087709"/>
    <w:rsid w:val="000913AA"/>
    <w:rsid w:val="0009177C"/>
    <w:rsid w:val="000930E9"/>
    <w:rsid w:val="0009370E"/>
    <w:rsid w:val="0009429C"/>
    <w:rsid w:val="0009469B"/>
    <w:rsid w:val="00094B6F"/>
    <w:rsid w:val="00094C9E"/>
    <w:rsid w:val="00097F43"/>
    <w:rsid w:val="000A0268"/>
    <w:rsid w:val="000A240A"/>
    <w:rsid w:val="000A3ACD"/>
    <w:rsid w:val="000A4DF6"/>
    <w:rsid w:val="000A4F38"/>
    <w:rsid w:val="000A5279"/>
    <w:rsid w:val="000A5351"/>
    <w:rsid w:val="000A7130"/>
    <w:rsid w:val="000B10F9"/>
    <w:rsid w:val="000B133A"/>
    <w:rsid w:val="000B2D8C"/>
    <w:rsid w:val="000B5A81"/>
    <w:rsid w:val="000B766A"/>
    <w:rsid w:val="000B7BEC"/>
    <w:rsid w:val="000B7DA0"/>
    <w:rsid w:val="000C1527"/>
    <w:rsid w:val="000C1DE5"/>
    <w:rsid w:val="000C2F68"/>
    <w:rsid w:val="000C4374"/>
    <w:rsid w:val="000C539B"/>
    <w:rsid w:val="000C6C8D"/>
    <w:rsid w:val="000C7184"/>
    <w:rsid w:val="000D0CCE"/>
    <w:rsid w:val="000D2394"/>
    <w:rsid w:val="000D3B1C"/>
    <w:rsid w:val="000D3BA1"/>
    <w:rsid w:val="000D53DC"/>
    <w:rsid w:val="000D5876"/>
    <w:rsid w:val="000D5952"/>
    <w:rsid w:val="000D5AE9"/>
    <w:rsid w:val="000D5E46"/>
    <w:rsid w:val="000D7917"/>
    <w:rsid w:val="000E14FD"/>
    <w:rsid w:val="000E1B67"/>
    <w:rsid w:val="000E21B6"/>
    <w:rsid w:val="000E3350"/>
    <w:rsid w:val="000E345E"/>
    <w:rsid w:val="000E4CB7"/>
    <w:rsid w:val="000E63F1"/>
    <w:rsid w:val="000E76F1"/>
    <w:rsid w:val="000F053C"/>
    <w:rsid w:val="000F0BEC"/>
    <w:rsid w:val="000F150D"/>
    <w:rsid w:val="000F3B3C"/>
    <w:rsid w:val="000F426B"/>
    <w:rsid w:val="000F6B98"/>
    <w:rsid w:val="000F7473"/>
    <w:rsid w:val="0010012A"/>
    <w:rsid w:val="001015FB"/>
    <w:rsid w:val="00102901"/>
    <w:rsid w:val="00103EC2"/>
    <w:rsid w:val="00105509"/>
    <w:rsid w:val="00106FEF"/>
    <w:rsid w:val="001117BB"/>
    <w:rsid w:val="00113090"/>
    <w:rsid w:val="00113FDE"/>
    <w:rsid w:val="001158FD"/>
    <w:rsid w:val="001165CC"/>
    <w:rsid w:val="0012013A"/>
    <w:rsid w:val="00121641"/>
    <w:rsid w:val="0012171F"/>
    <w:rsid w:val="0012187A"/>
    <w:rsid w:val="00121D72"/>
    <w:rsid w:val="00122EEE"/>
    <w:rsid w:val="001241A1"/>
    <w:rsid w:val="00124FE1"/>
    <w:rsid w:val="00125044"/>
    <w:rsid w:val="00127DBD"/>
    <w:rsid w:val="0013052C"/>
    <w:rsid w:val="00130C57"/>
    <w:rsid w:val="00130C71"/>
    <w:rsid w:val="00131C0E"/>
    <w:rsid w:val="00132704"/>
    <w:rsid w:val="0013598C"/>
    <w:rsid w:val="00136C7C"/>
    <w:rsid w:val="001370A3"/>
    <w:rsid w:val="001374CB"/>
    <w:rsid w:val="00137B0D"/>
    <w:rsid w:val="0014049B"/>
    <w:rsid w:val="0014189E"/>
    <w:rsid w:val="00141DBF"/>
    <w:rsid w:val="00143B48"/>
    <w:rsid w:val="00144256"/>
    <w:rsid w:val="00145561"/>
    <w:rsid w:val="0015060D"/>
    <w:rsid w:val="00150B88"/>
    <w:rsid w:val="00151885"/>
    <w:rsid w:val="001534BD"/>
    <w:rsid w:val="0015357F"/>
    <w:rsid w:val="00155736"/>
    <w:rsid w:val="00157BD0"/>
    <w:rsid w:val="0016014D"/>
    <w:rsid w:val="001633CE"/>
    <w:rsid w:val="0016475E"/>
    <w:rsid w:val="0016556E"/>
    <w:rsid w:val="00166379"/>
    <w:rsid w:val="00167299"/>
    <w:rsid w:val="00171109"/>
    <w:rsid w:val="001718A0"/>
    <w:rsid w:val="001727B0"/>
    <w:rsid w:val="00172BD7"/>
    <w:rsid w:val="001734CD"/>
    <w:rsid w:val="00177080"/>
    <w:rsid w:val="001777D1"/>
    <w:rsid w:val="00177DDB"/>
    <w:rsid w:val="00177EDA"/>
    <w:rsid w:val="0018200B"/>
    <w:rsid w:val="0018455A"/>
    <w:rsid w:val="001849D4"/>
    <w:rsid w:val="001858B6"/>
    <w:rsid w:val="00186033"/>
    <w:rsid w:val="00187F92"/>
    <w:rsid w:val="001920B5"/>
    <w:rsid w:val="00192D9D"/>
    <w:rsid w:val="001934B6"/>
    <w:rsid w:val="00195526"/>
    <w:rsid w:val="001964AB"/>
    <w:rsid w:val="00196779"/>
    <w:rsid w:val="001969C2"/>
    <w:rsid w:val="00196AF1"/>
    <w:rsid w:val="00196C60"/>
    <w:rsid w:val="00197769"/>
    <w:rsid w:val="001A0FD1"/>
    <w:rsid w:val="001A12DA"/>
    <w:rsid w:val="001A1E19"/>
    <w:rsid w:val="001A338B"/>
    <w:rsid w:val="001A52BF"/>
    <w:rsid w:val="001A57D7"/>
    <w:rsid w:val="001A5B1C"/>
    <w:rsid w:val="001A673E"/>
    <w:rsid w:val="001A73FE"/>
    <w:rsid w:val="001B0494"/>
    <w:rsid w:val="001B0A27"/>
    <w:rsid w:val="001B0E38"/>
    <w:rsid w:val="001B1D9E"/>
    <w:rsid w:val="001B20E3"/>
    <w:rsid w:val="001B4B7D"/>
    <w:rsid w:val="001B4E9B"/>
    <w:rsid w:val="001B613F"/>
    <w:rsid w:val="001B6EE7"/>
    <w:rsid w:val="001B75CD"/>
    <w:rsid w:val="001C0F38"/>
    <w:rsid w:val="001C1F99"/>
    <w:rsid w:val="001C1FF2"/>
    <w:rsid w:val="001C3120"/>
    <w:rsid w:val="001C422D"/>
    <w:rsid w:val="001C4AB0"/>
    <w:rsid w:val="001C72BE"/>
    <w:rsid w:val="001C7998"/>
    <w:rsid w:val="001D0F6A"/>
    <w:rsid w:val="001D1B6B"/>
    <w:rsid w:val="001D262D"/>
    <w:rsid w:val="001D358A"/>
    <w:rsid w:val="001D4596"/>
    <w:rsid w:val="001D7727"/>
    <w:rsid w:val="001E0201"/>
    <w:rsid w:val="001E1B43"/>
    <w:rsid w:val="001E2903"/>
    <w:rsid w:val="001E363D"/>
    <w:rsid w:val="001E3981"/>
    <w:rsid w:val="001E419E"/>
    <w:rsid w:val="001E6C36"/>
    <w:rsid w:val="001E6E69"/>
    <w:rsid w:val="001E6E8A"/>
    <w:rsid w:val="001E7027"/>
    <w:rsid w:val="001E7869"/>
    <w:rsid w:val="001F0C8A"/>
    <w:rsid w:val="001F26C8"/>
    <w:rsid w:val="001F2716"/>
    <w:rsid w:val="001F2A3C"/>
    <w:rsid w:val="001F3F35"/>
    <w:rsid w:val="001F4305"/>
    <w:rsid w:val="001F45D7"/>
    <w:rsid w:val="002001CF"/>
    <w:rsid w:val="00200F4A"/>
    <w:rsid w:val="0020179C"/>
    <w:rsid w:val="00202C6A"/>
    <w:rsid w:val="0020303A"/>
    <w:rsid w:val="002052AF"/>
    <w:rsid w:val="002107ED"/>
    <w:rsid w:val="002110D9"/>
    <w:rsid w:val="00211A1C"/>
    <w:rsid w:val="002135B3"/>
    <w:rsid w:val="0021373C"/>
    <w:rsid w:val="002147CD"/>
    <w:rsid w:val="00216238"/>
    <w:rsid w:val="0022109C"/>
    <w:rsid w:val="00223622"/>
    <w:rsid w:val="00224EE8"/>
    <w:rsid w:val="0022627E"/>
    <w:rsid w:val="002278DD"/>
    <w:rsid w:val="00227FF5"/>
    <w:rsid w:val="0023175C"/>
    <w:rsid w:val="00235EA4"/>
    <w:rsid w:val="002369EE"/>
    <w:rsid w:val="002374AE"/>
    <w:rsid w:val="00237818"/>
    <w:rsid w:val="00244BC4"/>
    <w:rsid w:val="00246713"/>
    <w:rsid w:val="00247875"/>
    <w:rsid w:val="00247A20"/>
    <w:rsid w:val="00250115"/>
    <w:rsid w:val="00252359"/>
    <w:rsid w:val="00254A3C"/>
    <w:rsid w:val="00255425"/>
    <w:rsid w:val="002604ED"/>
    <w:rsid w:val="002608C6"/>
    <w:rsid w:val="002616FC"/>
    <w:rsid w:val="00262136"/>
    <w:rsid w:val="0026394F"/>
    <w:rsid w:val="00264CA8"/>
    <w:rsid w:val="00271320"/>
    <w:rsid w:val="0027132D"/>
    <w:rsid w:val="002737F5"/>
    <w:rsid w:val="00273E8D"/>
    <w:rsid w:val="00282B2E"/>
    <w:rsid w:val="00285117"/>
    <w:rsid w:val="00286B6C"/>
    <w:rsid w:val="00287C8B"/>
    <w:rsid w:val="00290392"/>
    <w:rsid w:val="00290911"/>
    <w:rsid w:val="00290FEE"/>
    <w:rsid w:val="0029194E"/>
    <w:rsid w:val="00291FCF"/>
    <w:rsid w:val="00292522"/>
    <w:rsid w:val="00293139"/>
    <w:rsid w:val="002931C2"/>
    <w:rsid w:val="00293887"/>
    <w:rsid w:val="00295A93"/>
    <w:rsid w:val="002A0387"/>
    <w:rsid w:val="002A05C7"/>
    <w:rsid w:val="002A1A88"/>
    <w:rsid w:val="002A277F"/>
    <w:rsid w:val="002A3307"/>
    <w:rsid w:val="002A36EB"/>
    <w:rsid w:val="002A4BD8"/>
    <w:rsid w:val="002A6024"/>
    <w:rsid w:val="002A6597"/>
    <w:rsid w:val="002A7A19"/>
    <w:rsid w:val="002B0A89"/>
    <w:rsid w:val="002B0F71"/>
    <w:rsid w:val="002B1167"/>
    <w:rsid w:val="002B1ED3"/>
    <w:rsid w:val="002B2942"/>
    <w:rsid w:val="002B3E08"/>
    <w:rsid w:val="002B5020"/>
    <w:rsid w:val="002B513D"/>
    <w:rsid w:val="002B5EA4"/>
    <w:rsid w:val="002B6005"/>
    <w:rsid w:val="002B66FA"/>
    <w:rsid w:val="002B7605"/>
    <w:rsid w:val="002B797D"/>
    <w:rsid w:val="002C2149"/>
    <w:rsid w:val="002C29E5"/>
    <w:rsid w:val="002C38B4"/>
    <w:rsid w:val="002C50DF"/>
    <w:rsid w:val="002D04E9"/>
    <w:rsid w:val="002D05C0"/>
    <w:rsid w:val="002D0D9F"/>
    <w:rsid w:val="002D12EB"/>
    <w:rsid w:val="002D363B"/>
    <w:rsid w:val="002D3E11"/>
    <w:rsid w:val="002D5213"/>
    <w:rsid w:val="002D61C1"/>
    <w:rsid w:val="002D6B57"/>
    <w:rsid w:val="002D6BD0"/>
    <w:rsid w:val="002E2AE6"/>
    <w:rsid w:val="002E2D84"/>
    <w:rsid w:val="002E45EA"/>
    <w:rsid w:val="002E58CE"/>
    <w:rsid w:val="002E6014"/>
    <w:rsid w:val="002E7BD2"/>
    <w:rsid w:val="002F01CD"/>
    <w:rsid w:val="002F0FA2"/>
    <w:rsid w:val="002F11AB"/>
    <w:rsid w:val="002F12DD"/>
    <w:rsid w:val="002F1C8C"/>
    <w:rsid w:val="002F27CF"/>
    <w:rsid w:val="002F4B0F"/>
    <w:rsid w:val="00300E9D"/>
    <w:rsid w:val="003010D6"/>
    <w:rsid w:val="00301223"/>
    <w:rsid w:val="00301E11"/>
    <w:rsid w:val="003032DA"/>
    <w:rsid w:val="00303C68"/>
    <w:rsid w:val="00303E25"/>
    <w:rsid w:val="00304B91"/>
    <w:rsid w:val="0030589E"/>
    <w:rsid w:val="00305964"/>
    <w:rsid w:val="00312138"/>
    <w:rsid w:val="00317112"/>
    <w:rsid w:val="00317653"/>
    <w:rsid w:val="00317CBE"/>
    <w:rsid w:val="00320AC8"/>
    <w:rsid w:val="00326AE0"/>
    <w:rsid w:val="003271D8"/>
    <w:rsid w:val="00327710"/>
    <w:rsid w:val="00327934"/>
    <w:rsid w:val="00330087"/>
    <w:rsid w:val="00330102"/>
    <w:rsid w:val="0033166F"/>
    <w:rsid w:val="00332785"/>
    <w:rsid w:val="003328E4"/>
    <w:rsid w:val="003331E7"/>
    <w:rsid w:val="00335123"/>
    <w:rsid w:val="0033512A"/>
    <w:rsid w:val="00335929"/>
    <w:rsid w:val="00336ED7"/>
    <w:rsid w:val="00337DCD"/>
    <w:rsid w:val="00340262"/>
    <w:rsid w:val="00340B76"/>
    <w:rsid w:val="00343625"/>
    <w:rsid w:val="003437B3"/>
    <w:rsid w:val="0034398C"/>
    <w:rsid w:val="00345409"/>
    <w:rsid w:val="003460DD"/>
    <w:rsid w:val="00350E09"/>
    <w:rsid w:val="00350F72"/>
    <w:rsid w:val="00352894"/>
    <w:rsid w:val="00352D21"/>
    <w:rsid w:val="003530E3"/>
    <w:rsid w:val="003537E2"/>
    <w:rsid w:val="00356049"/>
    <w:rsid w:val="00356728"/>
    <w:rsid w:val="00356A71"/>
    <w:rsid w:val="00356EBA"/>
    <w:rsid w:val="003575E4"/>
    <w:rsid w:val="00357D86"/>
    <w:rsid w:val="0036078D"/>
    <w:rsid w:val="003646A8"/>
    <w:rsid w:val="00367D53"/>
    <w:rsid w:val="00373451"/>
    <w:rsid w:val="00373BE3"/>
    <w:rsid w:val="00374023"/>
    <w:rsid w:val="003742D7"/>
    <w:rsid w:val="0037670F"/>
    <w:rsid w:val="00376723"/>
    <w:rsid w:val="0037733C"/>
    <w:rsid w:val="003779DD"/>
    <w:rsid w:val="00380956"/>
    <w:rsid w:val="003813E0"/>
    <w:rsid w:val="00383310"/>
    <w:rsid w:val="00383CB0"/>
    <w:rsid w:val="00384D40"/>
    <w:rsid w:val="0038673B"/>
    <w:rsid w:val="003914CB"/>
    <w:rsid w:val="00391524"/>
    <w:rsid w:val="00392119"/>
    <w:rsid w:val="00392391"/>
    <w:rsid w:val="00392736"/>
    <w:rsid w:val="00393358"/>
    <w:rsid w:val="00393DB3"/>
    <w:rsid w:val="00397070"/>
    <w:rsid w:val="00397932"/>
    <w:rsid w:val="003A055F"/>
    <w:rsid w:val="003A1045"/>
    <w:rsid w:val="003A1492"/>
    <w:rsid w:val="003A5A72"/>
    <w:rsid w:val="003A6E0D"/>
    <w:rsid w:val="003A6E18"/>
    <w:rsid w:val="003A7955"/>
    <w:rsid w:val="003B0593"/>
    <w:rsid w:val="003B0DFD"/>
    <w:rsid w:val="003B1DFE"/>
    <w:rsid w:val="003B4220"/>
    <w:rsid w:val="003B6852"/>
    <w:rsid w:val="003C0177"/>
    <w:rsid w:val="003C1859"/>
    <w:rsid w:val="003C62B8"/>
    <w:rsid w:val="003C6744"/>
    <w:rsid w:val="003C6A2C"/>
    <w:rsid w:val="003D33CE"/>
    <w:rsid w:val="003D3ACC"/>
    <w:rsid w:val="003D464F"/>
    <w:rsid w:val="003E1FA8"/>
    <w:rsid w:val="003E33AF"/>
    <w:rsid w:val="003E3FA5"/>
    <w:rsid w:val="003E4DDE"/>
    <w:rsid w:val="003F0E69"/>
    <w:rsid w:val="003F166D"/>
    <w:rsid w:val="003F4C92"/>
    <w:rsid w:val="003F6D00"/>
    <w:rsid w:val="00400153"/>
    <w:rsid w:val="00401708"/>
    <w:rsid w:val="00401B91"/>
    <w:rsid w:val="00402302"/>
    <w:rsid w:val="004040D3"/>
    <w:rsid w:val="004048FB"/>
    <w:rsid w:val="00404D30"/>
    <w:rsid w:val="00405583"/>
    <w:rsid w:val="0040646A"/>
    <w:rsid w:val="00406FCE"/>
    <w:rsid w:val="00407140"/>
    <w:rsid w:val="0041000B"/>
    <w:rsid w:val="0041041E"/>
    <w:rsid w:val="00414003"/>
    <w:rsid w:val="0041496C"/>
    <w:rsid w:val="00416ACE"/>
    <w:rsid w:val="0042210D"/>
    <w:rsid w:val="00422150"/>
    <w:rsid w:val="004222B5"/>
    <w:rsid w:val="0042388C"/>
    <w:rsid w:val="00424A90"/>
    <w:rsid w:val="00430B72"/>
    <w:rsid w:val="004335B3"/>
    <w:rsid w:val="00436865"/>
    <w:rsid w:val="00437966"/>
    <w:rsid w:val="00440070"/>
    <w:rsid w:val="004419EA"/>
    <w:rsid w:val="00442E59"/>
    <w:rsid w:val="00443A49"/>
    <w:rsid w:val="0044501E"/>
    <w:rsid w:val="004456E7"/>
    <w:rsid w:val="00445811"/>
    <w:rsid w:val="00445C10"/>
    <w:rsid w:val="00446D38"/>
    <w:rsid w:val="004474E1"/>
    <w:rsid w:val="0045192A"/>
    <w:rsid w:val="0045197A"/>
    <w:rsid w:val="00451C04"/>
    <w:rsid w:val="00451E69"/>
    <w:rsid w:val="00454FE9"/>
    <w:rsid w:val="00455D27"/>
    <w:rsid w:val="00460317"/>
    <w:rsid w:val="00464E40"/>
    <w:rsid w:val="00465ED1"/>
    <w:rsid w:val="00467292"/>
    <w:rsid w:val="00470A82"/>
    <w:rsid w:val="004725A0"/>
    <w:rsid w:val="0047346E"/>
    <w:rsid w:val="004744DD"/>
    <w:rsid w:val="0047474B"/>
    <w:rsid w:val="00476879"/>
    <w:rsid w:val="00480191"/>
    <w:rsid w:val="00480BC4"/>
    <w:rsid w:val="0048190E"/>
    <w:rsid w:val="004824C9"/>
    <w:rsid w:val="00482809"/>
    <w:rsid w:val="004846D7"/>
    <w:rsid w:val="00484CCC"/>
    <w:rsid w:val="004867F4"/>
    <w:rsid w:val="004876B2"/>
    <w:rsid w:val="00491F53"/>
    <w:rsid w:val="00495409"/>
    <w:rsid w:val="00496E14"/>
    <w:rsid w:val="00497254"/>
    <w:rsid w:val="004A0BA0"/>
    <w:rsid w:val="004A145B"/>
    <w:rsid w:val="004A3070"/>
    <w:rsid w:val="004A3231"/>
    <w:rsid w:val="004A5C88"/>
    <w:rsid w:val="004B2E25"/>
    <w:rsid w:val="004B56F1"/>
    <w:rsid w:val="004B5846"/>
    <w:rsid w:val="004B5B83"/>
    <w:rsid w:val="004B5F19"/>
    <w:rsid w:val="004B6CC7"/>
    <w:rsid w:val="004C51F6"/>
    <w:rsid w:val="004C5760"/>
    <w:rsid w:val="004C7365"/>
    <w:rsid w:val="004D0F20"/>
    <w:rsid w:val="004D1035"/>
    <w:rsid w:val="004D1C6E"/>
    <w:rsid w:val="004D2FFE"/>
    <w:rsid w:val="004D6F1C"/>
    <w:rsid w:val="004D7F0A"/>
    <w:rsid w:val="004E0F8A"/>
    <w:rsid w:val="004E10F9"/>
    <w:rsid w:val="004E1419"/>
    <w:rsid w:val="004E2E63"/>
    <w:rsid w:val="004E3690"/>
    <w:rsid w:val="004E38EA"/>
    <w:rsid w:val="004E3AF3"/>
    <w:rsid w:val="004E5842"/>
    <w:rsid w:val="004E6A15"/>
    <w:rsid w:val="004F004A"/>
    <w:rsid w:val="004F092A"/>
    <w:rsid w:val="004F1DCF"/>
    <w:rsid w:val="004F4265"/>
    <w:rsid w:val="004F4731"/>
    <w:rsid w:val="004F5046"/>
    <w:rsid w:val="004F590B"/>
    <w:rsid w:val="004F5A3D"/>
    <w:rsid w:val="004F5DC5"/>
    <w:rsid w:val="004F75CC"/>
    <w:rsid w:val="00505ED8"/>
    <w:rsid w:val="00506B88"/>
    <w:rsid w:val="00506D6C"/>
    <w:rsid w:val="00506F4D"/>
    <w:rsid w:val="00513554"/>
    <w:rsid w:val="005140B5"/>
    <w:rsid w:val="00515011"/>
    <w:rsid w:val="005159A3"/>
    <w:rsid w:val="00515C13"/>
    <w:rsid w:val="00521347"/>
    <w:rsid w:val="005218D3"/>
    <w:rsid w:val="00523065"/>
    <w:rsid w:val="005233AE"/>
    <w:rsid w:val="0052557B"/>
    <w:rsid w:val="0052570A"/>
    <w:rsid w:val="00525857"/>
    <w:rsid w:val="00526B98"/>
    <w:rsid w:val="00526C09"/>
    <w:rsid w:val="005314F9"/>
    <w:rsid w:val="005315EB"/>
    <w:rsid w:val="005317A5"/>
    <w:rsid w:val="005318D6"/>
    <w:rsid w:val="00532308"/>
    <w:rsid w:val="00532452"/>
    <w:rsid w:val="005330FE"/>
    <w:rsid w:val="005346B1"/>
    <w:rsid w:val="00540D4C"/>
    <w:rsid w:val="00542DB9"/>
    <w:rsid w:val="00543336"/>
    <w:rsid w:val="00544869"/>
    <w:rsid w:val="00544F55"/>
    <w:rsid w:val="005456FD"/>
    <w:rsid w:val="0054585D"/>
    <w:rsid w:val="00546356"/>
    <w:rsid w:val="0054651A"/>
    <w:rsid w:val="00547B44"/>
    <w:rsid w:val="00547BF9"/>
    <w:rsid w:val="00550629"/>
    <w:rsid w:val="00554BD9"/>
    <w:rsid w:val="00555B6B"/>
    <w:rsid w:val="00556AE1"/>
    <w:rsid w:val="00557B0D"/>
    <w:rsid w:val="0056019E"/>
    <w:rsid w:val="00560E14"/>
    <w:rsid w:val="00561281"/>
    <w:rsid w:val="00562B84"/>
    <w:rsid w:val="005646E8"/>
    <w:rsid w:val="00565AED"/>
    <w:rsid w:val="00565C77"/>
    <w:rsid w:val="00566957"/>
    <w:rsid w:val="00566BF6"/>
    <w:rsid w:val="00570D5A"/>
    <w:rsid w:val="005718FB"/>
    <w:rsid w:val="00571B32"/>
    <w:rsid w:val="0057204F"/>
    <w:rsid w:val="00574095"/>
    <w:rsid w:val="005747EF"/>
    <w:rsid w:val="00574B77"/>
    <w:rsid w:val="00575712"/>
    <w:rsid w:val="00576CC0"/>
    <w:rsid w:val="00576F47"/>
    <w:rsid w:val="005770A8"/>
    <w:rsid w:val="005772F6"/>
    <w:rsid w:val="005773FC"/>
    <w:rsid w:val="005816C3"/>
    <w:rsid w:val="00581717"/>
    <w:rsid w:val="005817A9"/>
    <w:rsid w:val="00581C41"/>
    <w:rsid w:val="00583F88"/>
    <w:rsid w:val="0058553B"/>
    <w:rsid w:val="00586523"/>
    <w:rsid w:val="00587467"/>
    <w:rsid w:val="00587AF4"/>
    <w:rsid w:val="005902AE"/>
    <w:rsid w:val="005911C8"/>
    <w:rsid w:val="00591BDD"/>
    <w:rsid w:val="00594E8C"/>
    <w:rsid w:val="005A2614"/>
    <w:rsid w:val="005A3D50"/>
    <w:rsid w:val="005A3F57"/>
    <w:rsid w:val="005A5840"/>
    <w:rsid w:val="005A7938"/>
    <w:rsid w:val="005A7CC5"/>
    <w:rsid w:val="005B04DE"/>
    <w:rsid w:val="005B63DD"/>
    <w:rsid w:val="005B7181"/>
    <w:rsid w:val="005C084D"/>
    <w:rsid w:val="005C1750"/>
    <w:rsid w:val="005C3471"/>
    <w:rsid w:val="005C4095"/>
    <w:rsid w:val="005C40A8"/>
    <w:rsid w:val="005C5A8E"/>
    <w:rsid w:val="005C5FA1"/>
    <w:rsid w:val="005C6651"/>
    <w:rsid w:val="005C7020"/>
    <w:rsid w:val="005C7D6C"/>
    <w:rsid w:val="005D0DB4"/>
    <w:rsid w:val="005D1FC0"/>
    <w:rsid w:val="005D3CA2"/>
    <w:rsid w:val="005E0100"/>
    <w:rsid w:val="005E06F7"/>
    <w:rsid w:val="005E105F"/>
    <w:rsid w:val="005E4C8C"/>
    <w:rsid w:val="005E60BD"/>
    <w:rsid w:val="005E76A6"/>
    <w:rsid w:val="005F1821"/>
    <w:rsid w:val="005F4D8F"/>
    <w:rsid w:val="005F4ECB"/>
    <w:rsid w:val="005F4F65"/>
    <w:rsid w:val="005F620E"/>
    <w:rsid w:val="005F7939"/>
    <w:rsid w:val="00600019"/>
    <w:rsid w:val="00602265"/>
    <w:rsid w:val="006033A3"/>
    <w:rsid w:val="00605BD9"/>
    <w:rsid w:val="006066EA"/>
    <w:rsid w:val="00606F00"/>
    <w:rsid w:val="00610F4E"/>
    <w:rsid w:val="00613EFC"/>
    <w:rsid w:val="00614575"/>
    <w:rsid w:val="006147FE"/>
    <w:rsid w:val="00616290"/>
    <w:rsid w:val="00620D54"/>
    <w:rsid w:val="0062175E"/>
    <w:rsid w:val="006218DF"/>
    <w:rsid w:val="00621B0D"/>
    <w:rsid w:val="00623FA8"/>
    <w:rsid w:val="006246D5"/>
    <w:rsid w:val="00624A11"/>
    <w:rsid w:val="00624B30"/>
    <w:rsid w:val="00626836"/>
    <w:rsid w:val="00632CE8"/>
    <w:rsid w:val="0063338D"/>
    <w:rsid w:val="0063390B"/>
    <w:rsid w:val="00636850"/>
    <w:rsid w:val="00636C27"/>
    <w:rsid w:val="006374B4"/>
    <w:rsid w:val="00637A70"/>
    <w:rsid w:val="00640B65"/>
    <w:rsid w:val="00641EC7"/>
    <w:rsid w:val="00642E63"/>
    <w:rsid w:val="00643BD0"/>
    <w:rsid w:val="00643E8F"/>
    <w:rsid w:val="006456B3"/>
    <w:rsid w:val="006457CC"/>
    <w:rsid w:val="00645C5C"/>
    <w:rsid w:val="00653522"/>
    <w:rsid w:val="00653ACD"/>
    <w:rsid w:val="00653D54"/>
    <w:rsid w:val="006544FD"/>
    <w:rsid w:val="00655A48"/>
    <w:rsid w:val="006563CC"/>
    <w:rsid w:val="00657ADB"/>
    <w:rsid w:val="00661C74"/>
    <w:rsid w:val="006622B9"/>
    <w:rsid w:val="00663719"/>
    <w:rsid w:val="00666C3B"/>
    <w:rsid w:val="00667199"/>
    <w:rsid w:val="00670523"/>
    <w:rsid w:val="00670DCF"/>
    <w:rsid w:val="00671EE7"/>
    <w:rsid w:val="006726AD"/>
    <w:rsid w:val="0067455D"/>
    <w:rsid w:val="006756AF"/>
    <w:rsid w:val="006765B2"/>
    <w:rsid w:val="00680F3B"/>
    <w:rsid w:val="006810C1"/>
    <w:rsid w:val="00681AF8"/>
    <w:rsid w:val="00681DBC"/>
    <w:rsid w:val="0068346D"/>
    <w:rsid w:val="00684251"/>
    <w:rsid w:val="00684341"/>
    <w:rsid w:val="00684934"/>
    <w:rsid w:val="00684D22"/>
    <w:rsid w:val="006854CB"/>
    <w:rsid w:val="0068596E"/>
    <w:rsid w:val="00685C3A"/>
    <w:rsid w:val="006870DA"/>
    <w:rsid w:val="00687BB1"/>
    <w:rsid w:val="006907A2"/>
    <w:rsid w:val="00693AA4"/>
    <w:rsid w:val="00694354"/>
    <w:rsid w:val="00695603"/>
    <w:rsid w:val="00695AAE"/>
    <w:rsid w:val="006962CF"/>
    <w:rsid w:val="006979F5"/>
    <w:rsid w:val="006A0612"/>
    <w:rsid w:val="006A1AB3"/>
    <w:rsid w:val="006A29F6"/>
    <w:rsid w:val="006A4212"/>
    <w:rsid w:val="006A4E2C"/>
    <w:rsid w:val="006B0AEF"/>
    <w:rsid w:val="006B2332"/>
    <w:rsid w:val="006B2C68"/>
    <w:rsid w:val="006B3008"/>
    <w:rsid w:val="006B315B"/>
    <w:rsid w:val="006B3FC4"/>
    <w:rsid w:val="006B6E3C"/>
    <w:rsid w:val="006B6F59"/>
    <w:rsid w:val="006B76B3"/>
    <w:rsid w:val="006B76C6"/>
    <w:rsid w:val="006C0794"/>
    <w:rsid w:val="006C0F06"/>
    <w:rsid w:val="006C177E"/>
    <w:rsid w:val="006C243F"/>
    <w:rsid w:val="006C307D"/>
    <w:rsid w:val="006C38C9"/>
    <w:rsid w:val="006C4BE5"/>
    <w:rsid w:val="006C4CAE"/>
    <w:rsid w:val="006C6A1C"/>
    <w:rsid w:val="006C7D09"/>
    <w:rsid w:val="006C7D0B"/>
    <w:rsid w:val="006D02C4"/>
    <w:rsid w:val="006D17A7"/>
    <w:rsid w:val="006D45FC"/>
    <w:rsid w:val="006D4A37"/>
    <w:rsid w:val="006D4A54"/>
    <w:rsid w:val="006D5150"/>
    <w:rsid w:val="006D6917"/>
    <w:rsid w:val="006E17CE"/>
    <w:rsid w:val="006E1DFB"/>
    <w:rsid w:val="006E4950"/>
    <w:rsid w:val="006E6D73"/>
    <w:rsid w:val="006E6E17"/>
    <w:rsid w:val="006E76AA"/>
    <w:rsid w:val="006F0AD3"/>
    <w:rsid w:val="006F2768"/>
    <w:rsid w:val="006F3760"/>
    <w:rsid w:val="006F3E79"/>
    <w:rsid w:val="006F6280"/>
    <w:rsid w:val="006F6499"/>
    <w:rsid w:val="006F66BB"/>
    <w:rsid w:val="006F6CF9"/>
    <w:rsid w:val="006F6FCA"/>
    <w:rsid w:val="00700223"/>
    <w:rsid w:val="00702208"/>
    <w:rsid w:val="00704629"/>
    <w:rsid w:val="00705A1B"/>
    <w:rsid w:val="007106D8"/>
    <w:rsid w:val="00710A5B"/>
    <w:rsid w:val="00710C43"/>
    <w:rsid w:val="00711114"/>
    <w:rsid w:val="00711607"/>
    <w:rsid w:val="00711796"/>
    <w:rsid w:val="007134C1"/>
    <w:rsid w:val="00713FC6"/>
    <w:rsid w:val="007140CB"/>
    <w:rsid w:val="00714390"/>
    <w:rsid w:val="007157A2"/>
    <w:rsid w:val="007166A1"/>
    <w:rsid w:val="00721658"/>
    <w:rsid w:val="00723250"/>
    <w:rsid w:val="00723750"/>
    <w:rsid w:val="00724C0D"/>
    <w:rsid w:val="0072578F"/>
    <w:rsid w:val="00725B78"/>
    <w:rsid w:val="007263EB"/>
    <w:rsid w:val="00730055"/>
    <w:rsid w:val="00730919"/>
    <w:rsid w:val="00732404"/>
    <w:rsid w:val="00732A0B"/>
    <w:rsid w:val="00733429"/>
    <w:rsid w:val="0073690C"/>
    <w:rsid w:val="00741B9F"/>
    <w:rsid w:val="0074269F"/>
    <w:rsid w:val="0074285F"/>
    <w:rsid w:val="00742A1D"/>
    <w:rsid w:val="0074631D"/>
    <w:rsid w:val="0074656F"/>
    <w:rsid w:val="007501A0"/>
    <w:rsid w:val="00750795"/>
    <w:rsid w:val="00750899"/>
    <w:rsid w:val="0075202C"/>
    <w:rsid w:val="00752E70"/>
    <w:rsid w:val="007535B0"/>
    <w:rsid w:val="00753ABA"/>
    <w:rsid w:val="0075460E"/>
    <w:rsid w:val="00757F13"/>
    <w:rsid w:val="007669A9"/>
    <w:rsid w:val="00767D9A"/>
    <w:rsid w:val="0077045B"/>
    <w:rsid w:val="00770B37"/>
    <w:rsid w:val="007710DB"/>
    <w:rsid w:val="00771C94"/>
    <w:rsid w:val="0077403E"/>
    <w:rsid w:val="00775B14"/>
    <w:rsid w:val="00776152"/>
    <w:rsid w:val="007772A0"/>
    <w:rsid w:val="00777F48"/>
    <w:rsid w:val="00782155"/>
    <w:rsid w:val="00785AE5"/>
    <w:rsid w:val="0078656B"/>
    <w:rsid w:val="00787707"/>
    <w:rsid w:val="00790CCC"/>
    <w:rsid w:val="00794004"/>
    <w:rsid w:val="007946AD"/>
    <w:rsid w:val="00795D30"/>
    <w:rsid w:val="00796141"/>
    <w:rsid w:val="00796585"/>
    <w:rsid w:val="00796CD9"/>
    <w:rsid w:val="0079733E"/>
    <w:rsid w:val="007A0970"/>
    <w:rsid w:val="007A15FC"/>
    <w:rsid w:val="007A225C"/>
    <w:rsid w:val="007A2FA7"/>
    <w:rsid w:val="007A50CB"/>
    <w:rsid w:val="007A6C77"/>
    <w:rsid w:val="007A7EA7"/>
    <w:rsid w:val="007B0D1C"/>
    <w:rsid w:val="007B191E"/>
    <w:rsid w:val="007B2C5A"/>
    <w:rsid w:val="007B543B"/>
    <w:rsid w:val="007B64E5"/>
    <w:rsid w:val="007B7672"/>
    <w:rsid w:val="007C0AE9"/>
    <w:rsid w:val="007C2F10"/>
    <w:rsid w:val="007C3BF8"/>
    <w:rsid w:val="007C3CE2"/>
    <w:rsid w:val="007C5694"/>
    <w:rsid w:val="007C7CB0"/>
    <w:rsid w:val="007D0AE4"/>
    <w:rsid w:val="007D3E81"/>
    <w:rsid w:val="007D4109"/>
    <w:rsid w:val="007D45A9"/>
    <w:rsid w:val="007D495C"/>
    <w:rsid w:val="007D53C4"/>
    <w:rsid w:val="007D661B"/>
    <w:rsid w:val="007D71A2"/>
    <w:rsid w:val="007E0F64"/>
    <w:rsid w:val="007E4FC9"/>
    <w:rsid w:val="007E56F3"/>
    <w:rsid w:val="007E68D2"/>
    <w:rsid w:val="007E702A"/>
    <w:rsid w:val="007E757B"/>
    <w:rsid w:val="007F0339"/>
    <w:rsid w:val="007F3D94"/>
    <w:rsid w:val="007F67E7"/>
    <w:rsid w:val="007F7A38"/>
    <w:rsid w:val="007F7CDC"/>
    <w:rsid w:val="00800634"/>
    <w:rsid w:val="00801070"/>
    <w:rsid w:val="008029E6"/>
    <w:rsid w:val="00805DB0"/>
    <w:rsid w:val="008060B7"/>
    <w:rsid w:val="008062D3"/>
    <w:rsid w:val="00810B56"/>
    <w:rsid w:val="00812D8C"/>
    <w:rsid w:val="00813A6F"/>
    <w:rsid w:val="00813F5B"/>
    <w:rsid w:val="00814B44"/>
    <w:rsid w:val="00815A62"/>
    <w:rsid w:val="00816F5B"/>
    <w:rsid w:val="0082033B"/>
    <w:rsid w:val="00821C26"/>
    <w:rsid w:val="00821C50"/>
    <w:rsid w:val="008229B6"/>
    <w:rsid w:val="008231C9"/>
    <w:rsid w:val="0082489A"/>
    <w:rsid w:val="008249F3"/>
    <w:rsid w:val="00824BD8"/>
    <w:rsid w:val="00825882"/>
    <w:rsid w:val="00825E07"/>
    <w:rsid w:val="00826EA8"/>
    <w:rsid w:val="00827325"/>
    <w:rsid w:val="0082794C"/>
    <w:rsid w:val="00830A2E"/>
    <w:rsid w:val="0083144C"/>
    <w:rsid w:val="008325E3"/>
    <w:rsid w:val="00836153"/>
    <w:rsid w:val="00836294"/>
    <w:rsid w:val="00836B71"/>
    <w:rsid w:val="0084164A"/>
    <w:rsid w:val="008423D7"/>
    <w:rsid w:val="00843776"/>
    <w:rsid w:val="0084473F"/>
    <w:rsid w:val="00845181"/>
    <w:rsid w:val="00847E17"/>
    <w:rsid w:val="00847FFE"/>
    <w:rsid w:val="0085066F"/>
    <w:rsid w:val="008510BB"/>
    <w:rsid w:val="008528F0"/>
    <w:rsid w:val="00857DBB"/>
    <w:rsid w:val="008606AC"/>
    <w:rsid w:val="008620FB"/>
    <w:rsid w:val="0086255A"/>
    <w:rsid w:val="008628CD"/>
    <w:rsid w:val="00863E0E"/>
    <w:rsid w:val="008643DF"/>
    <w:rsid w:val="00867307"/>
    <w:rsid w:val="0086749F"/>
    <w:rsid w:val="00867E80"/>
    <w:rsid w:val="0087118B"/>
    <w:rsid w:val="0087181B"/>
    <w:rsid w:val="00871EDE"/>
    <w:rsid w:val="00872977"/>
    <w:rsid w:val="00875153"/>
    <w:rsid w:val="00875860"/>
    <w:rsid w:val="008767B0"/>
    <w:rsid w:val="00876CA2"/>
    <w:rsid w:val="00876E57"/>
    <w:rsid w:val="00877C6A"/>
    <w:rsid w:val="00881336"/>
    <w:rsid w:val="00881CAE"/>
    <w:rsid w:val="008831E9"/>
    <w:rsid w:val="00883AB6"/>
    <w:rsid w:val="00883E2E"/>
    <w:rsid w:val="00884602"/>
    <w:rsid w:val="008848B7"/>
    <w:rsid w:val="00885156"/>
    <w:rsid w:val="00885586"/>
    <w:rsid w:val="00885942"/>
    <w:rsid w:val="008866CF"/>
    <w:rsid w:val="0088694E"/>
    <w:rsid w:val="0089028B"/>
    <w:rsid w:val="008909EA"/>
    <w:rsid w:val="0089159D"/>
    <w:rsid w:val="00897498"/>
    <w:rsid w:val="008A33B0"/>
    <w:rsid w:val="008A33C5"/>
    <w:rsid w:val="008A345E"/>
    <w:rsid w:val="008A5076"/>
    <w:rsid w:val="008B1F1F"/>
    <w:rsid w:val="008B4701"/>
    <w:rsid w:val="008B4BAA"/>
    <w:rsid w:val="008B5E53"/>
    <w:rsid w:val="008B689E"/>
    <w:rsid w:val="008B714F"/>
    <w:rsid w:val="008B7CD4"/>
    <w:rsid w:val="008C0867"/>
    <w:rsid w:val="008C0EA1"/>
    <w:rsid w:val="008C1116"/>
    <w:rsid w:val="008C255D"/>
    <w:rsid w:val="008C3ABE"/>
    <w:rsid w:val="008C68C4"/>
    <w:rsid w:val="008D2CB8"/>
    <w:rsid w:val="008D3FEB"/>
    <w:rsid w:val="008D4016"/>
    <w:rsid w:val="008D45D5"/>
    <w:rsid w:val="008D71F1"/>
    <w:rsid w:val="008E25A8"/>
    <w:rsid w:val="008E2AD3"/>
    <w:rsid w:val="008E4482"/>
    <w:rsid w:val="008E504B"/>
    <w:rsid w:val="008F00EC"/>
    <w:rsid w:val="008F11A4"/>
    <w:rsid w:val="008F27DF"/>
    <w:rsid w:val="008F2986"/>
    <w:rsid w:val="008F2A6A"/>
    <w:rsid w:val="008F3125"/>
    <w:rsid w:val="008F6D87"/>
    <w:rsid w:val="008F7E86"/>
    <w:rsid w:val="00900002"/>
    <w:rsid w:val="00900F64"/>
    <w:rsid w:val="00900F95"/>
    <w:rsid w:val="00901699"/>
    <w:rsid w:val="009022EF"/>
    <w:rsid w:val="009045C8"/>
    <w:rsid w:val="00904BBC"/>
    <w:rsid w:val="0090523F"/>
    <w:rsid w:val="009062E1"/>
    <w:rsid w:val="009071CD"/>
    <w:rsid w:val="00910C6C"/>
    <w:rsid w:val="00910EFC"/>
    <w:rsid w:val="00912D9F"/>
    <w:rsid w:val="00913CBB"/>
    <w:rsid w:val="00914A4E"/>
    <w:rsid w:val="00915580"/>
    <w:rsid w:val="00915700"/>
    <w:rsid w:val="00915E25"/>
    <w:rsid w:val="00916288"/>
    <w:rsid w:val="00916B67"/>
    <w:rsid w:val="00916DCB"/>
    <w:rsid w:val="00920517"/>
    <w:rsid w:val="009216A7"/>
    <w:rsid w:val="009218CC"/>
    <w:rsid w:val="00923D20"/>
    <w:rsid w:val="00924B76"/>
    <w:rsid w:val="00924F19"/>
    <w:rsid w:val="009256D3"/>
    <w:rsid w:val="00930237"/>
    <w:rsid w:val="009312EF"/>
    <w:rsid w:val="00931325"/>
    <w:rsid w:val="009351A3"/>
    <w:rsid w:val="009354C4"/>
    <w:rsid w:val="0093678D"/>
    <w:rsid w:val="00937468"/>
    <w:rsid w:val="009377C9"/>
    <w:rsid w:val="00940952"/>
    <w:rsid w:val="009409A1"/>
    <w:rsid w:val="009429BC"/>
    <w:rsid w:val="009443E3"/>
    <w:rsid w:val="00945764"/>
    <w:rsid w:val="00946514"/>
    <w:rsid w:val="00946E1C"/>
    <w:rsid w:val="00947B4C"/>
    <w:rsid w:val="009502FF"/>
    <w:rsid w:val="00951F0E"/>
    <w:rsid w:val="0095541B"/>
    <w:rsid w:val="00957315"/>
    <w:rsid w:val="00957CE7"/>
    <w:rsid w:val="009602A4"/>
    <w:rsid w:val="00962E93"/>
    <w:rsid w:val="00963103"/>
    <w:rsid w:val="009660D5"/>
    <w:rsid w:val="00970339"/>
    <w:rsid w:val="00970D70"/>
    <w:rsid w:val="009720F7"/>
    <w:rsid w:val="00972AB7"/>
    <w:rsid w:val="00972DE7"/>
    <w:rsid w:val="009817E0"/>
    <w:rsid w:val="00981A4E"/>
    <w:rsid w:val="00981FBB"/>
    <w:rsid w:val="009831A5"/>
    <w:rsid w:val="00983879"/>
    <w:rsid w:val="009852B2"/>
    <w:rsid w:val="00985596"/>
    <w:rsid w:val="009869D2"/>
    <w:rsid w:val="00987BC1"/>
    <w:rsid w:val="0099061C"/>
    <w:rsid w:val="00990991"/>
    <w:rsid w:val="00990EF9"/>
    <w:rsid w:val="009921D9"/>
    <w:rsid w:val="00992205"/>
    <w:rsid w:val="00993519"/>
    <w:rsid w:val="00993C77"/>
    <w:rsid w:val="00993F23"/>
    <w:rsid w:val="0099475A"/>
    <w:rsid w:val="0099640D"/>
    <w:rsid w:val="0099645F"/>
    <w:rsid w:val="00997C66"/>
    <w:rsid w:val="009A075C"/>
    <w:rsid w:val="009A181D"/>
    <w:rsid w:val="009A287B"/>
    <w:rsid w:val="009A3687"/>
    <w:rsid w:val="009A3986"/>
    <w:rsid w:val="009A400A"/>
    <w:rsid w:val="009A4360"/>
    <w:rsid w:val="009A4870"/>
    <w:rsid w:val="009A53F9"/>
    <w:rsid w:val="009A5C14"/>
    <w:rsid w:val="009A6961"/>
    <w:rsid w:val="009B3DBF"/>
    <w:rsid w:val="009B4018"/>
    <w:rsid w:val="009B58B4"/>
    <w:rsid w:val="009B6536"/>
    <w:rsid w:val="009B66E1"/>
    <w:rsid w:val="009C1545"/>
    <w:rsid w:val="009C4BBD"/>
    <w:rsid w:val="009C6182"/>
    <w:rsid w:val="009D0A37"/>
    <w:rsid w:val="009D10C7"/>
    <w:rsid w:val="009D367B"/>
    <w:rsid w:val="009D4B45"/>
    <w:rsid w:val="009D7384"/>
    <w:rsid w:val="009D73BB"/>
    <w:rsid w:val="009D7D90"/>
    <w:rsid w:val="009E002E"/>
    <w:rsid w:val="009E211D"/>
    <w:rsid w:val="009E296C"/>
    <w:rsid w:val="009E33BA"/>
    <w:rsid w:val="009E39B2"/>
    <w:rsid w:val="009E46A5"/>
    <w:rsid w:val="009E6315"/>
    <w:rsid w:val="009E6D08"/>
    <w:rsid w:val="009F1119"/>
    <w:rsid w:val="009F182D"/>
    <w:rsid w:val="009F296D"/>
    <w:rsid w:val="009F4DD9"/>
    <w:rsid w:val="009F501D"/>
    <w:rsid w:val="009F63A2"/>
    <w:rsid w:val="009F6590"/>
    <w:rsid w:val="009F7240"/>
    <w:rsid w:val="009F7C45"/>
    <w:rsid w:val="009F7CDC"/>
    <w:rsid w:val="00A00E48"/>
    <w:rsid w:val="00A01E84"/>
    <w:rsid w:val="00A02219"/>
    <w:rsid w:val="00A02C8C"/>
    <w:rsid w:val="00A0482D"/>
    <w:rsid w:val="00A060E1"/>
    <w:rsid w:val="00A06E20"/>
    <w:rsid w:val="00A11073"/>
    <w:rsid w:val="00A12DD4"/>
    <w:rsid w:val="00A14508"/>
    <w:rsid w:val="00A14DA1"/>
    <w:rsid w:val="00A16CF4"/>
    <w:rsid w:val="00A207EA"/>
    <w:rsid w:val="00A210A1"/>
    <w:rsid w:val="00A2161A"/>
    <w:rsid w:val="00A22142"/>
    <w:rsid w:val="00A22D12"/>
    <w:rsid w:val="00A23279"/>
    <w:rsid w:val="00A23BBA"/>
    <w:rsid w:val="00A26730"/>
    <w:rsid w:val="00A2722D"/>
    <w:rsid w:val="00A27232"/>
    <w:rsid w:val="00A27802"/>
    <w:rsid w:val="00A31378"/>
    <w:rsid w:val="00A31683"/>
    <w:rsid w:val="00A333B8"/>
    <w:rsid w:val="00A33A60"/>
    <w:rsid w:val="00A33C14"/>
    <w:rsid w:val="00A33D64"/>
    <w:rsid w:val="00A3561C"/>
    <w:rsid w:val="00A370FE"/>
    <w:rsid w:val="00A4114A"/>
    <w:rsid w:val="00A4186E"/>
    <w:rsid w:val="00A42468"/>
    <w:rsid w:val="00A425AF"/>
    <w:rsid w:val="00A42C70"/>
    <w:rsid w:val="00A42EDD"/>
    <w:rsid w:val="00A43051"/>
    <w:rsid w:val="00A4343A"/>
    <w:rsid w:val="00A44029"/>
    <w:rsid w:val="00A44498"/>
    <w:rsid w:val="00A45460"/>
    <w:rsid w:val="00A46B18"/>
    <w:rsid w:val="00A476A6"/>
    <w:rsid w:val="00A47D5A"/>
    <w:rsid w:val="00A52857"/>
    <w:rsid w:val="00A531CC"/>
    <w:rsid w:val="00A53B52"/>
    <w:rsid w:val="00A55ADD"/>
    <w:rsid w:val="00A55F79"/>
    <w:rsid w:val="00A60B9C"/>
    <w:rsid w:val="00A61052"/>
    <w:rsid w:val="00A62C8B"/>
    <w:rsid w:val="00A6364B"/>
    <w:rsid w:val="00A63C14"/>
    <w:rsid w:val="00A65102"/>
    <w:rsid w:val="00A67895"/>
    <w:rsid w:val="00A7005C"/>
    <w:rsid w:val="00A710F9"/>
    <w:rsid w:val="00A72D70"/>
    <w:rsid w:val="00A73D5A"/>
    <w:rsid w:val="00A76DAC"/>
    <w:rsid w:val="00A7780F"/>
    <w:rsid w:val="00A77843"/>
    <w:rsid w:val="00A83198"/>
    <w:rsid w:val="00A83585"/>
    <w:rsid w:val="00A835AF"/>
    <w:rsid w:val="00A84AF5"/>
    <w:rsid w:val="00A84C0A"/>
    <w:rsid w:val="00A91915"/>
    <w:rsid w:val="00A92993"/>
    <w:rsid w:val="00A92ED4"/>
    <w:rsid w:val="00A9333A"/>
    <w:rsid w:val="00A93921"/>
    <w:rsid w:val="00A94AB0"/>
    <w:rsid w:val="00A95A47"/>
    <w:rsid w:val="00AA1A33"/>
    <w:rsid w:val="00AA2462"/>
    <w:rsid w:val="00AA5007"/>
    <w:rsid w:val="00AA5236"/>
    <w:rsid w:val="00AA6A8D"/>
    <w:rsid w:val="00AA77A7"/>
    <w:rsid w:val="00AB1C6C"/>
    <w:rsid w:val="00AB329A"/>
    <w:rsid w:val="00AB35FC"/>
    <w:rsid w:val="00AB3751"/>
    <w:rsid w:val="00AB572C"/>
    <w:rsid w:val="00AB5EB3"/>
    <w:rsid w:val="00AB7742"/>
    <w:rsid w:val="00AC14C2"/>
    <w:rsid w:val="00AC3A82"/>
    <w:rsid w:val="00AC475B"/>
    <w:rsid w:val="00AC6A9F"/>
    <w:rsid w:val="00AC74D6"/>
    <w:rsid w:val="00AC79BE"/>
    <w:rsid w:val="00AD056F"/>
    <w:rsid w:val="00AD0A51"/>
    <w:rsid w:val="00AD0E01"/>
    <w:rsid w:val="00AD17D4"/>
    <w:rsid w:val="00AD4558"/>
    <w:rsid w:val="00AD5233"/>
    <w:rsid w:val="00AD5F85"/>
    <w:rsid w:val="00AD62E1"/>
    <w:rsid w:val="00AD6700"/>
    <w:rsid w:val="00AD6949"/>
    <w:rsid w:val="00AD7A23"/>
    <w:rsid w:val="00AE2B2F"/>
    <w:rsid w:val="00AE3290"/>
    <w:rsid w:val="00AE39FA"/>
    <w:rsid w:val="00AE3EF0"/>
    <w:rsid w:val="00AE44C7"/>
    <w:rsid w:val="00AE5761"/>
    <w:rsid w:val="00AE5A3F"/>
    <w:rsid w:val="00AE69B8"/>
    <w:rsid w:val="00AF07F0"/>
    <w:rsid w:val="00AF0E5E"/>
    <w:rsid w:val="00AF0EE5"/>
    <w:rsid w:val="00AF29D4"/>
    <w:rsid w:val="00AF3B31"/>
    <w:rsid w:val="00AF3C2D"/>
    <w:rsid w:val="00AF3C93"/>
    <w:rsid w:val="00AF3CA3"/>
    <w:rsid w:val="00AF5499"/>
    <w:rsid w:val="00AF55AA"/>
    <w:rsid w:val="00B01FB8"/>
    <w:rsid w:val="00B023F9"/>
    <w:rsid w:val="00B03762"/>
    <w:rsid w:val="00B038CA"/>
    <w:rsid w:val="00B043AF"/>
    <w:rsid w:val="00B0591D"/>
    <w:rsid w:val="00B13B84"/>
    <w:rsid w:val="00B15F18"/>
    <w:rsid w:val="00B15F86"/>
    <w:rsid w:val="00B178EA"/>
    <w:rsid w:val="00B21226"/>
    <w:rsid w:val="00B21748"/>
    <w:rsid w:val="00B21F85"/>
    <w:rsid w:val="00B23370"/>
    <w:rsid w:val="00B25129"/>
    <w:rsid w:val="00B26B21"/>
    <w:rsid w:val="00B30277"/>
    <w:rsid w:val="00B30C4F"/>
    <w:rsid w:val="00B31658"/>
    <w:rsid w:val="00B32D58"/>
    <w:rsid w:val="00B33CD1"/>
    <w:rsid w:val="00B33F2A"/>
    <w:rsid w:val="00B34BCE"/>
    <w:rsid w:val="00B35252"/>
    <w:rsid w:val="00B35D2A"/>
    <w:rsid w:val="00B3649D"/>
    <w:rsid w:val="00B36CA0"/>
    <w:rsid w:val="00B37D49"/>
    <w:rsid w:val="00B408F0"/>
    <w:rsid w:val="00B42393"/>
    <w:rsid w:val="00B42B1D"/>
    <w:rsid w:val="00B42DAC"/>
    <w:rsid w:val="00B43078"/>
    <w:rsid w:val="00B4317E"/>
    <w:rsid w:val="00B455C9"/>
    <w:rsid w:val="00B46076"/>
    <w:rsid w:val="00B4620C"/>
    <w:rsid w:val="00B46CE6"/>
    <w:rsid w:val="00B4774F"/>
    <w:rsid w:val="00B5029E"/>
    <w:rsid w:val="00B5086F"/>
    <w:rsid w:val="00B5119E"/>
    <w:rsid w:val="00B5408B"/>
    <w:rsid w:val="00B54E17"/>
    <w:rsid w:val="00B553CB"/>
    <w:rsid w:val="00B560EA"/>
    <w:rsid w:val="00B6031D"/>
    <w:rsid w:val="00B6110C"/>
    <w:rsid w:val="00B62F30"/>
    <w:rsid w:val="00B63E9E"/>
    <w:rsid w:val="00B65B9D"/>
    <w:rsid w:val="00B66783"/>
    <w:rsid w:val="00B6766F"/>
    <w:rsid w:val="00B70539"/>
    <w:rsid w:val="00B70B9A"/>
    <w:rsid w:val="00B716FC"/>
    <w:rsid w:val="00B72DD3"/>
    <w:rsid w:val="00B73D96"/>
    <w:rsid w:val="00B7471B"/>
    <w:rsid w:val="00B76DE3"/>
    <w:rsid w:val="00B774A3"/>
    <w:rsid w:val="00B77982"/>
    <w:rsid w:val="00B80B6F"/>
    <w:rsid w:val="00B82425"/>
    <w:rsid w:val="00B82DFF"/>
    <w:rsid w:val="00B834FB"/>
    <w:rsid w:val="00B85E46"/>
    <w:rsid w:val="00B90E18"/>
    <w:rsid w:val="00B92081"/>
    <w:rsid w:val="00B955D5"/>
    <w:rsid w:val="00B9570A"/>
    <w:rsid w:val="00B957B9"/>
    <w:rsid w:val="00B96376"/>
    <w:rsid w:val="00B968DF"/>
    <w:rsid w:val="00BA2810"/>
    <w:rsid w:val="00BA2E11"/>
    <w:rsid w:val="00BA4006"/>
    <w:rsid w:val="00BA4F7A"/>
    <w:rsid w:val="00BA51DB"/>
    <w:rsid w:val="00BA59AD"/>
    <w:rsid w:val="00BA5F66"/>
    <w:rsid w:val="00BA605E"/>
    <w:rsid w:val="00BA60F0"/>
    <w:rsid w:val="00BA64DD"/>
    <w:rsid w:val="00BA7223"/>
    <w:rsid w:val="00BB00B1"/>
    <w:rsid w:val="00BB081C"/>
    <w:rsid w:val="00BB0B06"/>
    <w:rsid w:val="00BB104B"/>
    <w:rsid w:val="00BB377F"/>
    <w:rsid w:val="00BB4653"/>
    <w:rsid w:val="00BB4970"/>
    <w:rsid w:val="00BB5E14"/>
    <w:rsid w:val="00BB6192"/>
    <w:rsid w:val="00BB6D52"/>
    <w:rsid w:val="00BB6E55"/>
    <w:rsid w:val="00BB73AA"/>
    <w:rsid w:val="00BC22E8"/>
    <w:rsid w:val="00BC2B31"/>
    <w:rsid w:val="00BC33FC"/>
    <w:rsid w:val="00BC3E23"/>
    <w:rsid w:val="00BC3EF2"/>
    <w:rsid w:val="00BC43DF"/>
    <w:rsid w:val="00BC49A1"/>
    <w:rsid w:val="00BC4A15"/>
    <w:rsid w:val="00BC5284"/>
    <w:rsid w:val="00BC5892"/>
    <w:rsid w:val="00BC615E"/>
    <w:rsid w:val="00BC6EC4"/>
    <w:rsid w:val="00BC7567"/>
    <w:rsid w:val="00BD446B"/>
    <w:rsid w:val="00BD60A8"/>
    <w:rsid w:val="00BD6142"/>
    <w:rsid w:val="00BD703D"/>
    <w:rsid w:val="00BD789A"/>
    <w:rsid w:val="00BD7F41"/>
    <w:rsid w:val="00BE042D"/>
    <w:rsid w:val="00BE0FCF"/>
    <w:rsid w:val="00BE15A9"/>
    <w:rsid w:val="00BE3F71"/>
    <w:rsid w:val="00BE5768"/>
    <w:rsid w:val="00BE5B76"/>
    <w:rsid w:val="00BE6772"/>
    <w:rsid w:val="00BE7731"/>
    <w:rsid w:val="00BF00F7"/>
    <w:rsid w:val="00BF53C5"/>
    <w:rsid w:val="00BF57D3"/>
    <w:rsid w:val="00C03B2D"/>
    <w:rsid w:val="00C05035"/>
    <w:rsid w:val="00C0610D"/>
    <w:rsid w:val="00C06DA4"/>
    <w:rsid w:val="00C10BCC"/>
    <w:rsid w:val="00C12F3E"/>
    <w:rsid w:val="00C140A5"/>
    <w:rsid w:val="00C154CD"/>
    <w:rsid w:val="00C166AF"/>
    <w:rsid w:val="00C16F77"/>
    <w:rsid w:val="00C177F5"/>
    <w:rsid w:val="00C17845"/>
    <w:rsid w:val="00C20D0E"/>
    <w:rsid w:val="00C21342"/>
    <w:rsid w:val="00C225A7"/>
    <w:rsid w:val="00C22AEC"/>
    <w:rsid w:val="00C23797"/>
    <w:rsid w:val="00C26321"/>
    <w:rsid w:val="00C27343"/>
    <w:rsid w:val="00C30A63"/>
    <w:rsid w:val="00C30C41"/>
    <w:rsid w:val="00C30DFA"/>
    <w:rsid w:val="00C31BC1"/>
    <w:rsid w:val="00C333A0"/>
    <w:rsid w:val="00C33FB7"/>
    <w:rsid w:val="00C34B49"/>
    <w:rsid w:val="00C35294"/>
    <w:rsid w:val="00C402F9"/>
    <w:rsid w:val="00C42624"/>
    <w:rsid w:val="00C429F8"/>
    <w:rsid w:val="00C43D7A"/>
    <w:rsid w:val="00C456FF"/>
    <w:rsid w:val="00C45E74"/>
    <w:rsid w:val="00C47FDD"/>
    <w:rsid w:val="00C5046F"/>
    <w:rsid w:val="00C508AE"/>
    <w:rsid w:val="00C511AD"/>
    <w:rsid w:val="00C53447"/>
    <w:rsid w:val="00C539A7"/>
    <w:rsid w:val="00C546A0"/>
    <w:rsid w:val="00C54A6E"/>
    <w:rsid w:val="00C55A8E"/>
    <w:rsid w:val="00C56074"/>
    <w:rsid w:val="00C5712A"/>
    <w:rsid w:val="00C6079A"/>
    <w:rsid w:val="00C65D48"/>
    <w:rsid w:val="00C6624C"/>
    <w:rsid w:val="00C67109"/>
    <w:rsid w:val="00C6744B"/>
    <w:rsid w:val="00C67B6F"/>
    <w:rsid w:val="00C71582"/>
    <w:rsid w:val="00C71712"/>
    <w:rsid w:val="00C71852"/>
    <w:rsid w:val="00C721C4"/>
    <w:rsid w:val="00C7289C"/>
    <w:rsid w:val="00C7291C"/>
    <w:rsid w:val="00C73282"/>
    <w:rsid w:val="00C744CB"/>
    <w:rsid w:val="00C74BF7"/>
    <w:rsid w:val="00C74F66"/>
    <w:rsid w:val="00C804B5"/>
    <w:rsid w:val="00C8054D"/>
    <w:rsid w:val="00C809EB"/>
    <w:rsid w:val="00C80E68"/>
    <w:rsid w:val="00C81117"/>
    <w:rsid w:val="00C81235"/>
    <w:rsid w:val="00C8164A"/>
    <w:rsid w:val="00C81BC2"/>
    <w:rsid w:val="00C82FFA"/>
    <w:rsid w:val="00C830DE"/>
    <w:rsid w:val="00C84384"/>
    <w:rsid w:val="00C8459E"/>
    <w:rsid w:val="00C8543F"/>
    <w:rsid w:val="00C91FC8"/>
    <w:rsid w:val="00C93961"/>
    <w:rsid w:val="00C96931"/>
    <w:rsid w:val="00C96C70"/>
    <w:rsid w:val="00C97450"/>
    <w:rsid w:val="00CA00DC"/>
    <w:rsid w:val="00CA0246"/>
    <w:rsid w:val="00CA1E67"/>
    <w:rsid w:val="00CA2500"/>
    <w:rsid w:val="00CA2EE5"/>
    <w:rsid w:val="00CA55FE"/>
    <w:rsid w:val="00CA72F9"/>
    <w:rsid w:val="00CB0164"/>
    <w:rsid w:val="00CB0E9F"/>
    <w:rsid w:val="00CB19AC"/>
    <w:rsid w:val="00CB1F81"/>
    <w:rsid w:val="00CB3751"/>
    <w:rsid w:val="00CB50FB"/>
    <w:rsid w:val="00CC0413"/>
    <w:rsid w:val="00CC0718"/>
    <w:rsid w:val="00CC0E30"/>
    <w:rsid w:val="00CC2312"/>
    <w:rsid w:val="00CC23C7"/>
    <w:rsid w:val="00CC2C80"/>
    <w:rsid w:val="00CC32BC"/>
    <w:rsid w:val="00CC4A72"/>
    <w:rsid w:val="00CC5969"/>
    <w:rsid w:val="00CD0DD5"/>
    <w:rsid w:val="00CD0EE3"/>
    <w:rsid w:val="00CD1DAF"/>
    <w:rsid w:val="00CD3423"/>
    <w:rsid w:val="00CD40D5"/>
    <w:rsid w:val="00CD42BB"/>
    <w:rsid w:val="00CD64A2"/>
    <w:rsid w:val="00CD6C67"/>
    <w:rsid w:val="00CD7C6A"/>
    <w:rsid w:val="00CE0310"/>
    <w:rsid w:val="00CE06F3"/>
    <w:rsid w:val="00CE0D9C"/>
    <w:rsid w:val="00CE24D1"/>
    <w:rsid w:val="00CE35DF"/>
    <w:rsid w:val="00CE3B48"/>
    <w:rsid w:val="00CE736C"/>
    <w:rsid w:val="00CF0199"/>
    <w:rsid w:val="00CF024A"/>
    <w:rsid w:val="00CF0CBA"/>
    <w:rsid w:val="00CF1479"/>
    <w:rsid w:val="00CF197A"/>
    <w:rsid w:val="00CF1B20"/>
    <w:rsid w:val="00CF1DB0"/>
    <w:rsid w:val="00CF29D8"/>
    <w:rsid w:val="00CF6D9D"/>
    <w:rsid w:val="00D0039A"/>
    <w:rsid w:val="00D026DB"/>
    <w:rsid w:val="00D04223"/>
    <w:rsid w:val="00D04A0F"/>
    <w:rsid w:val="00D05D05"/>
    <w:rsid w:val="00D06AC9"/>
    <w:rsid w:val="00D07C4F"/>
    <w:rsid w:val="00D10976"/>
    <w:rsid w:val="00D109B1"/>
    <w:rsid w:val="00D1346F"/>
    <w:rsid w:val="00D14383"/>
    <w:rsid w:val="00D154ED"/>
    <w:rsid w:val="00D17767"/>
    <w:rsid w:val="00D2008D"/>
    <w:rsid w:val="00D218BF"/>
    <w:rsid w:val="00D233F0"/>
    <w:rsid w:val="00D233F9"/>
    <w:rsid w:val="00D248D5"/>
    <w:rsid w:val="00D24AB3"/>
    <w:rsid w:val="00D2639D"/>
    <w:rsid w:val="00D263E1"/>
    <w:rsid w:val="00D26D67"/>
    <w:rsid w:val="00D272FB"/>
    <w:rsid w:val="00D2735D"/>
    <w:rsid w:val="00D30639"/>
    <w:rsid w:val="00D30845"/>
    <w:rsid w:val="00D30AB1"/>
    <w:rsid w:val="00D31917"/>
    <w:rsid w:val="00D31E0B"/>
    <w:rsid w:val="00D339F5"/>
    <w:rsid w:val="00D33AB9"/>
    <w:rsid w:val="00D3520E"/>
    <w:rsid w:val="00D36AD9"/>
    <w:rsid w:val="00D37518"/>
    <w:rsid w:val="00D37D07"/>
    <w:rsid w:val="00D402AF"/>
    <w:rsid w:val="00D4157B"/>
    <w:rsid w:val="00D41EEC"/>
    <w:rsid w:val="00D42046"/>
    <w:rsid w:val="00D454EA"/>
    <w:rsid w:val="00D463A6"/>
    <w:rsid w:val="00D47004"/>
    <w:rsid w:val="00D47FEE"/>
    <w:rsid w:val="00D51C5F"/>
    <w:rsid w:val="00D525C4"/>
    <w:rsid w:val="00D526F3"/>
    <w:rsid w:val="00D53F1C"/>
    <w:rsid w:val="00D540C1"/>
    <w:rsid w:val="00D544C2"/>
    <w:rsid w:val="00D54DEF"/>
    <w:rsid w:val="00D557A9"/>
    <w:rsid w:val="00D55A3E"/>
    <w:rsid w:val="00D601DC"/>
    <w:rsid w:val="00D62449"/>
    <w:rsid w:val="00D66103"/>
    <w:rsid w:val="00D6691B"/>
    <w:rsid w:val="00D72717"/>
    <w:rsid w:val="00D72C92"/>
    <w:rsid w:val="00D745D6"/>
    <w:rsid w:val="00D75F0C"/>
    <w:rsid w:val="00D763D8"/>
    <w:rsid w:val="00D772E4"/>
    <w:rsid w:val="00D82A84"/>
    <w:rsid w:val="00D830E7"/>
    <w:rsid w:val="00D83507"/>
    <w:rsid w:val="00D85E00"/>
    <w:rsid w:val="00D8684A"/>
    <w:rsid w:val="00D87B2E"/>
    <w:rsid w:val="00D916F4"/>
    <w:rsid w:val="00D91F17"/>
    <w:rsid w:val="00D928E7"/>
    <w:rsid w:val="00D9300B"/>
    <w:rsid w:val="00D94516"/>
    <w:rsid w:val="00D9642D"/>
    <w:rsid w:val="00D96B09"/>
    <w:rsid w:val="00DA3025"/>
    <w:rsid w:val="00DA34F5"/>
    <w:rsid w:val="00DB0BF3"/>
    <w:rsid w:val="00DB6EC0"/>
    <w:rsid w:val="00DC07FE"/>
    <w:rsid w:val="00DC2656"/>
    <w:rsid w:val="00DC267A"/>
    <w:rsid w:val="00DC4768"/>
    <w:rsid w:val="00DD0485"/>
    <w:rsid w:val="00DD0CC2"/>
    <w:rsid w:val="00DD1199"/>
    <w:rsid w:val="00DD1849"/>
    <w:rsid w:val="00DD1F2D"/>
    <w:rsid w:val="00DD4029"/>
    <w:rsid w:val="00DD44A4"/>
    <w:rsid w:val="00DD61BB"/>
    <w:rsid w:val="00DD65BB"/>
    <w:rsid w:val="00DE259C"/>
    <w:rsid w:val="00DE4B6A"/>
    <w:rsid w:val="00DE55EC"/>
    <w:rsid w:val="00DE57D8"/>
    <w:rsid w:val="00DE6C9B"/>
    <w:rsid w:val="00DE7252"/>
    <w:rsid w:val="00DF14A5"/>
    <w:rsid w:val="00DF261E"/>
    <w:rsid w:val="00DF3353"/>
    <w:rsid w:val="00DF7FDB"/>
    <w:rsid w:val="00E01FF5"/>
    <w:rsid w:val="00E0252D"/>
    <w:rsid w:val="00E03169"/>
    <w:rsid w:val="00E03388"/>
    <w:rsid w:val="00E03D49"/>
    <w:rsid w:val="00E03EF0"/>
    <w:rsid w:val="00E0581E"/>
    <w:rsid w:val="00E05A47"/>
    <w:rsid w:val="00E05B41"/>
    <w:rsid w:val="00E06569"/>
    <w:rsid w:val="00E06E4B"/>
    <w:rsid w:val="00E169D4"/>
    <w:rsid w:val="00E16FF3"/>
    <w:rsid w:val="00E1718E"/>
    <w:rsid w:val="00E17802"/>
    <w:rsid w:val="00E219A1"/>
    <w:rsid w:val="00E247F4"/>
    <w:rsid w:val="00E26C11"/>
    <w:rsid w:val="00E2738E"/>
    <w:rsid w:val="00E273FF"/>
    <w:rsid w:val="00E32601"/>
    <w:rsid w:val="00E32E89"/>
    <w:rsid w:val="00E3316D"/>
    <w:rsid w:val="00E3439F"/>
    <w:rsid w:val="00E35AC4"/>
    <w:rsid w:val="00E3659A"/>
    <w:rsid w:val="00E44DF3"/>
    <w:rsid w:val="00E45D70"/>
    <w:rsid w:val="00E4659A"/>
    <w:rsid w:val="00E46ECB"/>
    <w:rsid w:val="00E501E0"/>
    <w:rsid w:val="00E506F1"/>
    <w:rsid w:val="00E5147D"/>
    <w:rsid w:val="00E515E3"/>
    <w:rsid w:val="00E52A70"/>
    <w:rsid w:val="00E533D2"/>
    <w:rsid w:val="00E53C38"/>
    <w:rsid w:val="00E55C34"/>
    <w:rsid w:val="00E5787C"/>
    <w:rsid w:val="00E603BB"/>
    <w:rsid w:val="00E606DF"/>
    <w:rsid w:val="00E6273E"/>
    <w:rsid w:val="00E63635"/>
    <w:rsid w:val="00E63E87"/>
    <w:rsid w:val="00E66107"/>
    <w:rsid w:val="00E67FB0"/>
    <w:rsid w:val="00E7006C"/>
    <w:rsid w:val="00E7097F"/>
    <w:rsid w:val="00E71392"/>
    <w:rsid w:val="00E72838"/>
    <w:rsid w:val="00E73580"/>
    <w:rsid w:val="00E74E0A"/>
    <w:rsid w:val="00E751FA"/>
    <w:rsid w:val="00E7535C"/>
    <w:rsid w:val="00E772BB"/>
    <w:rsid w:val="00E772D5"/>
    <w:rsid w:val="00E77AE3"/>
    <w:rsid w:val="00E77B16"/>
    <w:rsid w:val="00E81974"/>
    <w:rsid w:val="00E81DC0"/>
    <w:rsid w:val="00E836B7"/>
    <w:rsid w:val="00E84434"/>
    <w:rsid w:val="00E8564C"/>
    <w:rsid w:val="00E85E84"/>
    <w:rsid w:val="00E86484"/>
    <w:rsid w:val="00E906A7"/>
    <w:rsid w:val="00E90FC9"/>
    <w:rsid w:val="00E9143E"/>
    <w:rsid w:val="00E921F4"/>
    <w:rsid w:val="00E93B4B"/>
    <w:rsid w:val="00E93C37"/>
    <w:rsid w:val="00E95979"/>
    <w:rsid w:val="00E9639E"/>
    <w:rsid w:val="00E969DF"/>
    <w:rsid w:val="00E97D7C"/>
    <w:rsid w:val="00EA0351"/>
    <w:rsid w:val="00EA0AA0"/>
    <w:rsid w:val="00EA2BC6"/>
    <w:rsid w:val="00EA42A8"/>
    <w:rsid w:val="00EA4374"/>
    <w:rsid w:val="00EB1141"/>
    <w:rsid w:val="00EB18CA"/>
    <w:rsid w:val="00EB281F"/>
    <w:rsid w:val="00EB3133"/>
    <w:rsid w:val="00EB3244"/>
    <w:rsid w:val="00EB3E56"/>
    <w:rsid w:val="00EB3FFF"/>
    <w:rsid w:val="00EB46C0"/>
    <w:rsid w:val="00EB51DB"/>
    <w:rsid w:val="00EC01EB"/>
    <w:rsid w:val="00EC0893"/>
    <w:rsid w:val="00EC2810"/>
    <w:rsid w:val="00EC3DF5"/>
    <w:rsid w:val="00EC46E6"/>
    <w:rsid w:val="00EC614D"/>
    <w:rsid w:val="00EC7992"/>
    <w:rsid w:val="00EC79A3"/>
    <w:rsid w:val="00ED1140"/>
    <w:rsid w:val="00ED781F"/>
    <w:rsid w:val="00ED7C2B"/>
    <w:rsid w:val="00EE1E87"/>
    <w:rsid w:val="00EE2376"/>
    <w:rsid w:val="00EE2432"/>
    <w:rsid w:val="00EE298B"/>
    <w:rsid w:val="00EE2C99"/>
    <w:rsid w:val="00EE3799"/>
    <w:rsid w:val="00EE3FAF"/>
    <w:rsid w:val="00EE493B"/>
    <w:rsid w:val="00EE4E5E"/>
    <w:rsid w:val="00EE5401"/>
    <w:rsid w:val="00EE607E"/>
    <w:rsid w:val="00EE7116"/>
    <w:rsid w:val="00EE7934"/>
    <w:rsid w:val="00EE7B42"/>
    <w:rsid w:val="00EE7D86"/>
    <w:rsid w:val="00EF0CDC"/>
    <w:rsid w:val="00EF3AA3"/>
    <w:rsid w:val="00EF3E9C"/>
    <w:rsid w:val="00EF5250"/>
    <w:rsid w:val="00EF56FC"/>
    <w:rsid w:val="00EF570D"/>
    <w:rsid w:val="00EF5C02"/>
    <w:rsid w:val="00EF6C56"/>
    <w:rsid w:val="00EF74FD"/>
    <w:rsid w:val="00EF7551"/>
    <w:rsid w:val="00EF75D3"/>
    <w:rsid w:val="00F02152"/>
    <w:rsid w:val="00F02A16"/>
    <w:rsid w:val="00F03812"/>
    <w:rsid w:val="00F04B9A"/>
    <w:rsid w:val="00F04D0E"/>
    <w:rsid w:val="00F05817"/>
    <w:rsid w:val="00F07BEB"/>
    <w:rsid w:val="00F101E9"/>
    <w:rsid w:val="00F11183"/>
    <w:rsid w:val="00F136EB"/>
    <w:rsid w:val="00F13DC6"/>
    <w:rsid w:val="00F165A9"/>
    <w:rsid w:val="00F16C49"/>
    <w:rsid w:val="00F1795F"/>
    <w:rsid w:val="00F205F4"/>
    <w:rsid w:val="00F2088C"/>
    <w:rsid w:val="00F20892"/>
    <w:rsid w:val="00F208CB"/>
    <w:rsid w:val="00F2157A"/>
    <w:rsid w:val="00F2225C"/>
    <w:rsid w:val="00F22B9C"/>
    <w:rsid w:val="00F22CCD"/>
    <w:rsid w:val="00F22EC9"/>
    <w:rsid w:val="00F22ED9"/>
    <w:rsid w:val="00F2334B"/>
    <w:rsid w:val="00F274DE"/>
    <w:rsid w:val="00F27E86"/>
    <w:rsid w:val="00F30CE9"/>
    <w:rsid w:val="00F31A86"/>
    <w:rsid w:val="00F3515C"/>
    <w:rsid w:val="00F35761"/>
    <w:rsid w:val="00F362B9"/>
    <w:rsid w:val="00F41574"/>
    <w:rsid w:val="00F41C64"/>
    <w:rsid w:val="00F42926"/>
    <w:rsid w:val="00F42A36"/>
    <w:rsid w:val="00F43219"/>
    <w:rsid w:val="00F43250"/>
    <w:rsid w:val="00F437AA"/>
    <w:rsid w:val="00F44547"/>
    <w:rsid w:val="00F457FE"/>
    <w:rsid w:val="00F45EB3"/>
    <w:rsid w:val="00F46671"/>
    <w:rsid w:val="00F5048B"/>
    <w:rsid w:val="00F51C02"/>
    <w:rsid w:val="00F521C2"/>
    <w:rsid w:val="00F52E40"/>
    <w:rsid w:val="00F53A34"/>
    <w:rsid w:val="00F55F7A"/>
    <w:rsid w:val="00F57954"/>
    <w:rsid w:val="00F60AD6"/>
    <w:rsid w:val="00F60CC6"/>
    <w:rsid w:val="00F61141"/>
    <w:rsid w:val="00F619FA"/>
    <w:rsid w:val="00F632AE"/>
    <w:rsid w:val="00F644B8"/>
    <w:rsid w:val="00F644CD"/>
    <w:rsid w:val="00F64564"/>
    <w:rsid w:val="00F6578B"/>
    <w:rsid w:val="00F67A2F"/>
    <w:rsid w:val="00F70B18"/>
    <w:rsid w:val="00F70C91"/>
    <w:rsid w:val="00F714D1"/>
    <w:rsid w:val="00F71A75"/>
    <w:rsid w:val="00F74509"/>
    <w:rsid w:val="00F75D48"/>
    <w:rsid w:val="00F75FCC"/>
    <w:rsid w:val="00F80E64"/>
    <w:rsid w:val="00F8467E"/>
    <w:rsid w:val="00F85437"/>
    <w:rsid w:val="00F85B69"/>
    <w:rsid w:val="00F85EC2"/>
    <w:rsid w:val="00F8767B"/>
    <w:rsid w:val="00F90C6E"/>
    <w:rsid w:val="00F91628"/>
    <w:rsid w:val="00F91B44"/>
    <w:rsid w:val="00F91D36"/>
    <w:rsid w:val="00F93CAB"/>
    <w:rsid w:val="00F94DF4"/>
    <w:rsid w:val="00F95C6D"/>
    <w:rsid w:val="00F963B6"/>
    <w:rsid w:val="00F97AC5"/>
    <w:rsid w:val="00FA10AA"/>
    <w:rsid w:val="00FA2941"/>
    <w:rsid w:val="00FA32E7"/>
    <w:rsid w:val="00FA3A06"/>
    <w:rsid w:val="00FA4107"/>
    <w:rsid w:val="00FA4CE6"/>
    <w:rsid w:val="00FA50B2"/>
    <w:rsid w:val="00FB16DC"/>
    <w:rsid w:val="00FB36CB"/>
    <w:rsid w:val="00FB390F"/>
    <w:rsid w:val="00FB3A8C"/>
    <w:rsid w:val="00FB42CF"/>
    <w:rsid w:val="00FB5119"/>
    <w:rsid w:val="00FB5E65"/>
    <w:rsid w:val="00FB5F80"/>
    <w:rsid w:val="00FB7013"/>
    <w:rsid w:val="00FC1198"/>
    <w:rsid w:val="00FC1E3C"/>
    <w:rsid w:val="00FC2DBB"/>
    <w:rsid w:val="00FC2E7D"/>
    <w:rsid w:val="00FD232E"/>
    <w:rsid w:val="00FD2C32"/>
    <w:rsid w:val="00FD48CF"/>
    <w:rsid w:val="00FD5AC7"/>
    <w:rsid w:val="00FD610C"/>
    <w:rsid w:val="00FD71BF"/>
    <w:rsid w:val="00FD73CD"/>
    <w:rsid w:val="00FE0502"/>
    <w:rsid w:val="00FE0C56"/>
    <w:rsid w:val="00FE1A04"/>
    <w:rsid w:val="00FE1A98"/>
    <w:rsid w:val="00FE3BB9"/>
    <w:rsid w:val="00FE44C0"/>
    <w:rsid w:val="00FE54A1"/>
    <w:rsid w:val="00FE572B"/>
    <w:rsid w:val="00FE5739"/>
    <w:rsid w:val="00FE598C"/>
    <w:rsid w:val="00FE5B89"/>
    <w:rsid w:val="00FE6C50"/>
    <w:rsid w:val="00FF0102"/>
    <w:rsid w:val="00FF33E2"/>
    <w:rsid w:val="00FF386F"/>
    <w:rsid w:val="00FF3CEA"/>
    <w:rsid w:val="00FF3EF9"/>
    <w:rsid w:val="00FF43E7"/>
    <w:rsid w:val="00FF47F8"/>
    <w:rsid w:val="00FF61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00565"/>
  <w15:docId w15:val="{F7C37FB6-2D07-424D-84FE-6C45AD7B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uiPriority="12"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4"/>
    <w:lsdException w:name="Body Text First Indent" w:semiHidden="1" w:qFormat="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4" w:unhideWhenUsed="1"/>
    <w:lsdException w:name="Document Map" w:semiHidden="1" w:unhideWhenUsed="1"/>
    <w:lsdException w:name="Plain Text" w:semiHidden="1" w:unhideWhenUsed="1"/>
    <w:lsdException w:name="E-mail Signature" w:semiHidden="1" w:uiPriority="5"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2"/>
    <w:qFormat/>
    <w:rsid w:val="00EE5401"/>
    <w:pPr>
      <w:spacing w:line="264" w:lineRule="auto"/>
    </w:pPr>
    <w:rPr>
      <w:rFonts w:ascii="Trebuchet MS" w:eastAsiaTheme="minorHAnsi" w:hAnsi="Trebuchet MS" w:cstheme="minorBidi"/>
      <w:szCs w:val="22"/>
      <w:lang w:eastAsia="en-US"/>
    </w:rPr>
  </w:style>
  <w:style w:type="paragraph" w:styleId="Heading1">
    <w:name w:val="heading 1"/>
    <w:basedOn w:val="Normal"/>
    <w:next w:val="Indent2"/>
    <w:link w:val="Heading1Char"/>
    <w:uiPriority w:val="9"/>
    <w:qFormat/>
    <w:rsid w:val="00D62449"/>
    <w:pPr>
      <w:keepNext/>
      <w:numPr>
        <w:numId w:val="6"/>
      </w:numPr>
      <w:tabs>
        <w:tab w:val="left" w:pos="567"/>
      </w:tabs>
      <w:spacing w:before="180" w:after="120"/>
      <w:outlineLvl w:val="0"/>
    </w:pPr>
    <w:rPr>
      <w:rFonts w:eastAsiaTheme="majorEastAsia" w:cstheme="majorBidi"/>
      <w:b/>
      <w:sz w:val="22"/>
      <w:szCs w:val="32"/>
    </w:rPr>
  </w:style>
  <w:style w:type="paragraph" w:styleId="Heading2">
    <w:name w:val="heading 2"/>
    <w:basedOn w:val="Normal"/>
    <w:next w:val="Indent2"/>
    <w:link w:val="Heading2Char"/>
    <w:qFormat/>
    <w:rsid w:val="00D62449"/>
    <w:pPr>
      <w:keepNext/>
      <w:numPr>
        <w:ilvl w:val="1"/>
        <w:numId w:val="6"/>
      </w:numPr>
      <w:tabs>
        <w:tab w:val="left" w:pos="567"/>
      </w:tabs>
      <w:spacing w:before="120" w:after="120"/>
      <w:outlineLvl w:val="1"/>
    </w:pPr>
    <w:rPr>
      <w:rFonts w:eastAsiaTheme="majorEastAsia" w:cstheme="majorBidi"/>
      <w:b/>
      <w:color w:val="7E694F" w:themeColor="accent4"/>
      <w:szCs w:val="26"/>
    </w:rPr>
  </w:style>
  <w:style w:type="paragraph" w:styleId="Heading3">
    <w:name w:val="heading 3"/>
    <w:basedOn w:val="Normal"/>
    <w:link w:val="Heading3Char"/>
    <w:qFormat/>
    <w:rsid w:val="00D62449"/>
    <w:pPr>
      <w:numPr>
        <w:ilvl w:val="2"/>
        <w:numId w:val="6"/>
      </w:numPr>
      <w:tabs>
        <w:tab w:val="left" w:pos="1134"/>
      </w:tabs>
      <w:spacing w:before="120" w:after="120"/>
      <w:outlineLvl w:val="2"/>
    </w:pPr>
    <w:rPr>
      <w:rFonts w:eastAsiaTheme="majorEastAsia" w:cstheme="majorBidi"/>
      <w:szCs w:val="24"/>
    </w:rPr>
  </w:style>
  <w:style w:type="paragraph" w:styleId="Heading4">
    <w:name w:val="heading 4"/>
    <w:basedOn w:val="Normal"/>
    <w:link w:val="Heading4Char"/>
    <w:qFormat/>
    <w:rsid w:val="0014189E"/>
    <w:pPr>
      <w:numPr>
        <w:ilvl w:val="3"/>
        <w:numId w:val="6"/>
      </w:numPr>
      <w:tabs>
        <w:tab w:val="left" w:pos="1701"/>
      </w:tabs>
      <w:spacing w:before="120" w:after="120"/>
      <w:outlineLvl w:val="3"/>
    </w:pPr>
    <w:rPr>
      <w:rFonts w:eastAsiaTheme="majorEastAsia" w:cstheme="majorBidi"/>
      <w:iCs/>
    </w:rPr>
  </w:style>
  <w:style w:type="paragraph" w:styleId="Heading5">
    <w:name w:val="heading 5"/>
    <w:basedOn w:val="Normal"/>
    <w:link w:val="Heading5Char"/>
    <w:unhideWhenUsed/>
    <w:qFormat/>
    <w:rsid w:val="0014189E"/>
    <w:pPr>
      <w:numPr>
        <w:ilvl w:val="4"/>
        <w:numId w:val="6"/>
      </w:numPr>
      <w:tabs>
        <w:tab w:val="left" w:pos="2268"/>
      </w:tabs>
      <w:spacing w:before="120" w:after="120"/>
      <w:outlineLvl w:val="4"/>
    </w:pPr>
    <w:rPr>
      <w:rFonts w:eastAsiaTheme="majorEastAsia" w:cstheme="majorBidi"/>
    </w:rPr>
  </w:style>
  <w:style w:type="paragraph" w:styleId="Heading6">
    <w:name w:val="heading 6"/>
    <w:basedOn w:val="Normal"/>
    <w:link w:val="Heading6Char"/>
    <w:unhideWhenUsed/>
    <w:qFormat/>
    <w:rsid w:val="0014189E"/>
    <w:pPr>
      <w:numPr>
        <w:ilvl w:val="5"/>
        <w:numId w:val="6"/>
      </w:numPr>
      <w:tabs>
        <w:tab w:val="left" w:pos="2835"/>
      </w:tabs>
      <w:spacing w:before="120" w:after="120"/>
      <w:outlineLvl w:val="5"/>
    </w:pPr>
    <w:rPr>
      <w:rFonts w:eastAsiaTheme="majorEastAsia" w:cstheme="majorBidi"/>
    </w:rPr>
  </w:style>
  <w:style w:type="paragraph" w:styleId="Heading7">
    <w:name w:val="heading 7"/>
    <w:basedOn w:val="Normal"/>
    <w:unhideWhenUsed/>
    <w:qFormat/>
    <w:rsid w:val="003F166D"/>
    <w:pPr>
      <w:numPr>
        <w:numId w:val="12"/>
      </w:numPr>
      <w:spacing w:before="120" w:after="120"/>
      <w:outlineLvl w:val="6"/>
    </w:pPr>
  </w:style>
  <w:style w:type="paragraph" w:styleId="Heading8">
    <w:name w:val="heading 8"/>
    <w:basedOn w:val="Normal"/>
    <w:unhideWhenUsed/>
    <w:qFormat/>
    <w:rsid w:val="003F166D"/>
    <w:pPr>
      <w:numPr>
        <w:ilvl w:val="1"/>
        <w:numId w:val="12"/>
      </w:numPr>
      <w:tabs>
        <w:tab w:val="left" w:pos="567"/>
      </w:tabs>
      <w:spacing w:before="120" w:after="120"/>
      <w:outlineLvl w:val="7"/>
    </w:pPr>
  </w:style>
  <w:style w:type="paragraph" w:styleId="Heading9">
    <w:name w:val="heading 9"/>
    <w:basedOn w:val="Normal"/>
    <w:unhideWhenUsed/>
    <w:rsid w:val="003F166D"/>
    <w:pPr>
      <w:numPr>
        <w:ilvl w:val="2"/>
        <w:numId w:val="12"/>
      </w:numPr>
      <w:tabs>
        <w:tab w:val="left" w:pos="1134"/>
      </w:tabs>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5764"/>
    <w:pPr>
      <w:tabs>
        <w:tab w:val="center" w:pos="4513"/>
        <w:tab w:val="right" w:pos="9026"/>
      </w:tabs>
    </w:pPr>
  </w:style>
  <w:style w:type="paragraph" w:styleId="BodyText">
    <w:name w:val="Body Text"/>
    <w:basedOn w:val="Normal"/>
    <w:link w:val="BodyTextChar"/>
    <w:uiPriority w:val="99"/>
    <w:semiHidden/>
    <w:rsid w:val="000D0CCE"/>
    <w:pPr>
      <w:spacing w:before="120" w:after="120"/>
    </w:pPr>
  </w:style>
  <w:style w:type="paragraph" w:customStyle="1" w:styleId="Indent1">
    <w:name w:val="Indent 1"/>
    <w:basedOn w:val="Normal"/>
    <w:uiPriority w:val="2"/>
    <w:qFormat/>
    <w:rsid w:val="002E45EA"/>
    <w:pPr>
      <w:spacing w:before="120" w:after="120"/>
    </w:pPr>
  </w:style>
  <w:style w:type="paragraph" w:customStyle="1" w:styleId="Indent2">
    <w:name w:val="Indent 2"/>
    <w:basedOn w:val="Normal"/>
    <w:uiPriority w:val="2"/>
    <w:qFormat/>
    <w:rsid w:val="002E45EA"/>
    <w:pPr>
      <w:spacing w:before="120" w:after="120"/>
      <w:ind w:left="567"/>
    </w:pPr>
  </w:style>
  <w:style w:type="paragraph" w:customStyle="1" w:styleId="Indent3">
    <w:name w:val="Indent 3"/>
    <w:basedOn w:val="Normal"/>
    <w:uiPriority w:val="2"/>
    <w:qFormat/>
    <w:rsid w:val="002E45EA"/>
    <w:pPr>
      <w:spacing w:before="120" w:after="120"/>
      <w:ind w:left="1134"/>
    </w:pPr>
  </w:style>
  <w:style w:type="paragraph" w:customStyle="1" w:styleId="Indent4">
    <w:name w:val="Indent 4"/>
    <w:basedOn w:val="Normal"/>
    <w:uiPriority w:val="2"/>
    <w:qFormat/>
    <w:rsid w:val="002E45EA"/>
    <w:pPr>
      <w:spacing w:before="120" w:after="120"/>
      <w:ind w:left="1701"/>
    </w:pPr>
  </w:style>
  <w:style w:type="paragraph" w:customStyle="1" w:styleId="Indent5">
    <w:name w:val="Indent 5"/>
    <w:basedOn w:val="Normal"/>
    <w:uiPriority w:val="2"/>
    <w:unhideWhenUsed/>
    <w:qFormat/>
    <w:rsid w:val="002E45EA"/>
    <w:pPr>
      <w:spacing w:before="120" w:after="120"/>
      <w:ind w:left="2268"/>
    </w:pPr>
  </w:style>
  <w:style w:type="paragraph" w:styleId="Header">
    <w:name w:val="header"/>
    <w:basedOn w:val="Normal"/>
    <w:link w:val="HeaderChar"/>
    <w:semiHidden/>
    <w:rsid w:val="0040646A"/>
    <w:pPr>
      <w:tabs>
        <w:tab w:val="center" w:pos="4513"/>
        <w:tab w:val="right" w:pos="9026"/>
      </w:tabs>
      <w:spacing w:line="240" w:lineRule="auto"/>
    </w:pPr>
  </w:style>
  <w:style w:type="paragraph" w:styleId="FootnoteText">
    <w:name w:val="footnote text"/>
    <w:basedOn w:val="Normal"/>
    <w:link w:val="FootnoteTextChar"/>
    <w:qFormat/>
    <w:rsid w:val="00246713"/>
    <w:pPr>
      <w:tabs>
        <w:tab w:val="left" w:pos="567"/>
      </w:tabs>
      <w:spacing w:after="60" w:line="240" w:lineRule="auto"/>
      <w:ind w:left="567" w:hanging="567"/>
    </w:pPr>
    <w:rPr>
      <w:sz w:val="16"/>
    </w:rPr>
  </w:style>
  <w:style w:type="paragraph" w:customStyle="1" w:styleId="Indent6">
    <w:name w:val="Indent 6"/>
    <w:basedOn w:val="Normal"/>
    <w:uiPriority w:val="2"/>
    <w:unhideWhenUsed/>
    <w:qFormat/>
    <w:rsid w:val="002E45EA"/>
    <w:pPr>
      <w:spacing w:before="120" w:after="120"/>
      <w:ind w:left="2835"/>
    </w:pPr>
  </w:style>
  <w:style w:type="paragraph" w:styleId="TOC1">
    <w:name w:val="toc 1"/>
    <w:basedOn w:val="Normal"/>
    <w:next w:val="Normal"/>
    <w:uiPriority w:val="39"/>
    <w:semiHidden/>
    <w:rsid w:val="00076816"/>
    <w:pPr>
      <w:tabs>
        <w:tab w:val="left" w:pos="992"/>
        <w:tab w:val="right" w:pos="9299"/>
      </w:tabs>
      <w:spacing w:before="60" w:after="60" w:line="240" w:lineRule="auto"/>
      <w:ind w:left="992" w:hanging="425"/>
    </w:pPr>
  </w:style>
  <w:style w:type="paragraph" w:styleId="TOC2">
    <w:name w:val="toc 2"/>
    <w:basedOn w:val="Normal"/>
    <w:next w:val="Normal"/>
    <w:semiHidden/>
    <w:rsid w:val="0074285F"/>
    <w:pPr>
      <w:tabs>
        <w:tab w:val="left" w:pos="1985"/>
        <w:tab w:val="right" w:pos="9299"/>
      </w:tabs>
      <w:spacing w:before="60" w:after="60" w:line="240" w:lineRule="auto"/>
      <w:ind w:left="992" w:hanging="425"/>
    </w:pPr>
  </w:style>
  <w:style w:type="paragraph" w:styleId="TOC3">
    <w:name w:val="toc 3"/>
    <w:basedOn w:val="Normal"/>
    <w:next w:val="Normal"/>
    <w:semiHidden/>
    <w:rsid w:val="00BE042D"/>
    <w:pPr>
      <w:tabs>
        <w:tab w:val="right" w:pos="9299"/>
      </w:tabs>
      <w:ind w:left="2949" w:hanging="227"/>
    </w:pPr>
    <w:rPr>
      <w:b/>
    </w:rPr>
  </w:style>
  <w:style w:type="character" w:customStyle="1" w:styleId="FootnoteTextChar">
    <w:name w:val="Footnote Text Char"/>
    <w:basedOn w:val="DefaultParagraphFont"/>
    <w:link w:val="FootnoteText"/>
    <w:rsid w:val="00246713"/>
    <w:rPr>
      <w:rFonts w:ascii="Trebuchet MS" w:eastAsiaTheme="minorHAnsi" w:hAnsi="Trebuchet MS" w:cstheme="minorBidi"/>
      <w:sz w:val="16"/>
      <w:szCs w:val="22"/>
      <w:lang w:eastAsia="en-US"/>
    </w:rPr>
  </w:style>
  <w:style w:type="numbering" w:styleId="111111">
    <w:name w:val="Outline List 2"/>
    <w:basedOn w:val="NoList"/>
    <w:rsid w:val="00BE042D"/>
    <w:pPr>
      <w:numPr>
        <w:numId w:val="1"/>
      </w:numPr>
    </w:pPr>
  </w:style>
  <w:style w:type="numbering" w:styleId="1ai">
    <w:name w:val="Outline List 1"/>
    <w:basedOn w:val="NoList"/>
    <w:rsid w:val="00BE042D"/>
    <w:pPr>
      <w:numPr>
        <w:numId w:val="2"/>
      </w:numPr>
    </w:pPr>
  </w:style>
  <w:style w:type="character" w:customStyle="1" w:styleId="BodyTextChar">
    <w:name w:val="Body Text Char"/>
    <w:basedOn w:val="DefaultParagraphFont"/>
    <w:link w:val="BodyText"/>
    <w:rsid w:val="005816C3"/>
    <w:rPr>
      <w:rFonts w:ascii="Trebuchet MS" w:eastAsiaTheme="minorHAnsi" w:hAnsi="Trebuchet MS" w:cstheme="minorBidi"/>
      <w:szCs w:val="22"/>
      <w:lang w:eastAsia="en-US"/>
    </w:rPr>
  </w:style>
  <w:style w:type="character" w:styleId="FollowedHyperlink">
    <w:name w:val="FollowedHyperlink"/>
    <w:uiPriority w:val="99"/>
    <w:semiHidden/>
    <w:rsid w:val="00EE5401"/>
    <w:rPr>
      <w:color w:val="7E694F"/>
      <w:u w:val="single"/>
    </w:rPr>
  </w:style>
  <w:style w:type="character" w:styleId="FootnoteReference">
    <w:name w:val="footnote reference"/>
    <w:rsid w:val="00BE042D"/>
    <w:rPr>
      <w:vertAlign w:val="superscript"/>
    </w:rPr>
  </w:style>
  <w:style w:type="character" w:styleId="Hyperlink">
    <w:name w:val="Hyperlink"/>
    <w:basedOn w:val="DefaultParagraphFont"/>
    <w:uiPriority w:val="99"/>
    <w:semiHidden/>
    <w:rsid w:val="000D0CCE"/>
    <w:rPr>
      <w:color w:val="7E694F"/>
      <w:u w:val="single"/>
    </w:rPr>
  </w:style>
  <w:style w:type="paragraph" w:styleId="NormalWeb">
    <w:name w:val="Normal (Web)"/>
    <w:basedOn w:val="Normal"/>
    <w:semiHidden/>
    <w:rsid w:val="00BE042D"/>
    <w:rPr>
      <w:sz w:val="24"/>
      <w:szCs w:val="24"/>
    </w:rPr>
  </w:style>
  <w:style w:type="table" w:styleId="TableList1">
    <w:name w:val="Table List 1"/>
    <w:basedOn w:val="TableNormal"/>
    <w:rsid w:val="00BE042D"/>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042D"/>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042D"/>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042D"/>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042D"/>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042D"/>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042D"/>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042D"/>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042D"/>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042D"/>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042D"/>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042D"/>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042D"/>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042D"/>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042D"/>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042D"/>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042D"/>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042D"/>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Indent1"/>
    <w:link w:val="TitleChar"/>
    <w:uiPriority w:val="10"/>
    <w:qFormat/>
    <w:rsid w:val="006A4212"/>
    <w:pPr>
      <w:pBdr>
        <w:top w:val="single" w:sz="2" w:space="18" w:color="auto"/>
        <w:bottom w:val="single" w:sz="2" w:space="18" w:color="auto"/>
      </w:pBdr>
      <w:spacing w:before="80" w:after="240"/>
      <w:contextualSpacing/>
      <w:jc w:val="center"/>
    </w:pPr>
    <w:rPr>
      <w:rFonts w:eastAsiaTheme="majorEastAsia" w:cstheme="majorBidi"/>
      <w:b/>
      <w:caps/>
      <w:kern w:val="28"/>
      <w:sz w:val="28"/>
      <w:szCs w:val="56"/>
    </w:rPr>
  </w:style>
  <w:style w:type="character" w:customStyle="1" w:styleId="TitleChar">
    <w:name w:val="Title Char"/>
    <w:basedOn w:val="DefaultParagraphFont"/>
    <w:link w:val="Title"/>
    <w:uiPriority w:val="10"/>
    <w:rsid w:val="00A835AF"/>
    <w:rPr>
      <w:rFonts w:ascii="Trebuchet MS" w:eastAsiaTheme="majorEastAsia" w:hAnsi="Trebuchet MS" w:cstheme="majorBidi"/>
      <w:b/>
      <w:caps/>
      <w:kern w:val="28"/>
      <w:sz w:val="28"/>
      <w:szCs w:val="56"/>
      <w:lang w:eastAsia="en-US"/>
    </w:rPr>
  </w:style>
  <w:style w:type="character" w:customStyle="1" w:styleId="FooterChar">
    <w:name w:val="Footer Char"/>
    <w:basedOn w:val="DefaultParagraphFont"/>
    <w:link w:val="Footer"/>
    <w:uiPriority w:val="99"/>
    <w:rsid w:val="00C8543F"/>
    <w:rPr>
      <w:rFonts w:ascii="Trebuchet MS" w:eastAsiaTheme="minorHAnsi" w:hAnsi="Trebuchet MS" w:cstheme="minorBidi"/>
      <w:sz w:val="18"/>
      <w:szCs w:val="22"/>
      <w:lang w:eastAsia="en-US"/>
    </w:rPr>
  </w:style>
  <w:style w:type="table" w:customStyle="1" w:styleId="KWMWhite">
    <w:name w:val="KWM White"/>
    <w:basedOn w:val="TableNormal"/>
    <w:uiPriority w:val="99"/>
    <w:rsid w:val="007E0F64"/>
    <w:pPr>
      <w:spacing w:before="120" w:after="120" w:line="264" w:lineRule="auto"/>
    </w:pPr>
    <w:rPr>
      <w:rFonts w:ascii="Trebuchet MS" w:hAnsi="Trebuchet MS"/>
    </w:rPr>
    <w:tblPr>
      <w:tblBorders>
        <w:bottom w:val="single" w:sz="2" w:space="0" w:color="D3D4D5"/>
        <w:insideH w:val="single" w:sz="2" w:space="0" w:color="D3D4D5"/>
      </w:tblBorders>
    </w:tblPr>
    <w:trPr>
      <w:cantSplit/>
    </w:trPr>
    <w:tcPr>
      <w:shd w:val="clear" w:color="auto" w:fill="auto"/>
    </w:tcPr>
    <w:tblStylePr w:type="firstRow">
      <w:pPr>
        <w:wordWrap/>
        <w:spacing w:beforeLines="0" w:before="120" w:beforeAutospacing="0" w:afterLines="0" w:after="120" w:afterAutospacing="0" w:line="264" w:lineRule="auto"/>
      </w:pPr>
      <w:rPr>
        <w:rFonts w:ascii="Trebuchet MS" w:hAnsi="Trebuchet MS"/>
        <w:b/>
        <w:caps/>
        <w:smallCaps w:val="0"/>
        <w:vanish w:val="0"/>
        <w:sz w:val="20"/>
      </w:rPr>
      <w:tblPr/>
      <w:trPr>
        <w:cantSplit/>
        <w:tblHeader/>
      </w:trPr>
    </w:tblStylePr>
  </w:style>
  <w:style w:type="table" w:customStyle="1" w:styleId="KWMGold">
    <w:name w:val="KWM Gold"/>
    <w:basedOn w:val="KWMWhite"/>
    <w:uiPriority w:val="99"/>
    <w:rsid w:val="00D26D67"/>
    <w:tblPr/>
    <w:tcPr>
      <w:shd w:val="clear" w:color="auto" w:fill="auto"/>
    </w:tcPr>
    <w:tblStylePr w:type="firstRow">
      <w:pPr>
        <w:wordWrap/>
        <w:spacing w:beforeLines="0" w:before="120" w:beforeAutospacing="0" w:afterLines="0" w:after="120" w:afterAutospacing="0" w:line="264" w:lineRule="auto"/>
        <w:jc w:val="left"/>
      </w:pPr>
      <w:rPr>
        <w:rFonts w:ascii="Trebuchet MS" w:hAnsi="Trebuchet MS"/>
        <w:b/>
        <w:caps/>
        <w:smallCaps w:val="0"/>
        <w:vanish w:val="0"/>
        <w:color w:val="FFFFFF" w:themeColor="background1"/>
        <w:sz w:val="20"/>
      </w:rPr>
      <w:tblPr/>
      <w:trPr>
        <w:cantSplit/>
        <w:tblHeader/>
      </w:trPr>
      <w:tcPr>
        <w:shd w:val="clear" w:color="auto" w:fill="7E694F" w:themeFill="accent4"/>
      </w:tcPr>
    </w:tblStylePr>
  </w:style>
  <w:style w:type="table" w:customStyle="1" w:styleId="KWMEarth60">
    <w:name w:val="KWM Earth (60%)"/>
    <w:basedOn w:val="KWMWhite"/>
    <w:uiPriority w:val="99"/>
    <w:rsid w:val="00AA6A8D"/>
    <w:tblPr/>
    <w:tcPr>
      <w:shd w:val="clear" w:color="auto" w:fill="auto"/>
    </w:tcPr>
    <w:tblStylePr w:type="firstRow">
      <w:pPr>
        <w:wordWrap/>
        <w:spacing w:beforeLines="0" w:before="120" w:beforeAutospacing="0" w:afterLines="0" w:after="120" w:afterAutospacing="0" w:line="264" w:lineRule="auto"/>
      </w:pPr>
      <w:rPr>
        <w:rFonts w:ascii="Trebuchet MS" w:hAnsi="Trebuchet MS"/>
        <w:b/>
        <w:caps/>
        <w:smallCaps w:val="0"/>
        <w:vanish w:val="0"/>
        <w:color w:val="FFFFFF" w:themeColor="background1"/>
        <w:sz w:val="20"/>
      </w:rPr>
      <w:tblPr/>
      <w:trPr>
        <w:cantSplit/>
        <w:tblHeader/>
      </w:trPr>
      <w:tcPr>
        <w:shd w:val="clear" w:color="auto" w:fill="7C7E80"/>
      </w:tcPr>
    </w:tblStylePr>
  </w:style>
  <w:style w:type="paragraph" w:customStyle="1" w:styleId="TableBullets1">
    <w:name w:val="Table Bullets 1"/>
    <w:basedOn w:val="ListParagraph"/>
    <w:uiPriority w:val="7"/>
    <w:qFormat/>
    <w:rsid w:val="003F166D"/>
    <w:pPr>
      <w:numPr>
        <w:numId w:val="10"/>
      </w:numPr>
    </w:pPr>
  </w:style>
  <w:style w:type="paragraph" w:styleId="Revision">
    <w:name w:val="Revision"/>
    <w:hidden/>
    <w:uiPriority w:val="99"/>
    <w:semiHidden/>
    <w:rsid w:val="00B33F2A"/>
    <w:rPr>
      <w:rFonts w:ascii="Arial" w:hAnsi="Arial" w:cs="Arial"/>
      <w:lang w:eastAsia="en-US"/>
    </w:rPr>
  </w:style>
  <w:style w:type="paragraph" w:customStyle="1" w:styleId="AnnexTitle">
    <w:name w:val="AnnexTitle"/>
    <w:basedOn w:val="Normal"/>
    <w:next w:val="Indent1"/>
    <w:uiPriority w:val="11"/>
    <w:qFormat/>
    <w:rsid w:val="00DD1849"/>
    <w:pPr>
      <w:numPr>
        <w:numId w:val="3"/>
      </w:numPr>
      <w:pBdr>
        <w:bottom w:val="single" w:sz="2" w:space="6" w:color="auto"/>
      </w:pBdr>
      <w:spacing w:before="120" w:after="240"/>
    </w:pPr>
    <w:rPr>
      <w:b/>
      <w:bCs/>
      <w:sz w:val="26"/>
      <w:szCs w:val="26"/>
    </w:rPr>
  </w:style>
  <w:style w:type="paragraph" w:customStyle="1" w:styleId="Bullets1">
    <w:name w:val="Bullets 1"/>
    <w:basedOn w:val="Normal"/>
    <w:uiPriority w:val="4"/>
    <w:qFormat/>
    <w:rsid w:val="00705A1B"/>
    <w:pPr>
      <w:numPr>
        <w:numId w:val="4"/>
      </w:numPr>
      <w:spacing w:before="120" w:after="120"/>
    </w:pPr>
  </w:style>
  <w:style w:type="paragraph" w:customStyle="1" w:styleId="Bulletsnospacing1">
    <w:name w:val="Bullets no spacing 1"/>
    <w:basedOn w:val="Normal"/>
    <w:uiPriority w:val="4"/>
    <w:qFormat/>
    <w:rsid w:val="00CB0164"/>
    <w:pPr>
      <w:numPr>
        <w:numId w:val="5"/>
      </w:numPr>
      <w:tabs>
        <w:tab w:val="left" w:pos="567"/>
      </w:tabs>
      <w:spacing w:before="120" w:after="120"/>
      <w:contextualSpacing/>
    </w:pPr>
  </w:style>
  <w:style w:type="paragraph" w:customStyle="1" w:styleId="Subheading1">
    <w:name w:val="Sub heading 1"/>
    <w:basedOn w:val="Normal"/>
    <w:next w:val="Indent2"/>
    <w:uiPriority w:val="1"/>
    <w:qFormat/>
    <w:rsid w:val="00F52E40"/>
    <w:pPr>
      <w:keepNext/>
      <w:spacing w:before="120" w:after="120"/>
      <w:ind w:left="567"/>
    </w:pPr>
    <w:rPr>
      <w:b/>
      <w:i/>
      <w:color w:val="7E694F" w:themeColor="accent4"/>
    </w:rPr>
  </w:style>
  <w:style w:type="paragraph" w:customStyle="1" w:styleId="Subheading2">
    <w:name w:val="Sub heading 2"/>
    <w:basedOn w:val="Normal"/>
    <w:next w:val="Indent2"/>
    <w:uiPriority w:val="1"/>
    <w:qFormat/>
    <w:rsid w:val="00F52E40"/>
    <w:pPr>
      <w:keepNext/>
      <w:spacing w:before="120" w:after="120"/>
      <w:ind w:left="567"/>
    </w:pPr>
    <w:rPr>
      <w:i/>
    </w:rPr>
  </w:style>
  <w:style w:type="paragraph" w:customStyle="1" w:styleId="Footnote">
    <w:name w:val="Footnote"/>
    <w:basedOn w:val="Normal"/>
    <w:semiHidden/>
    <w:qFormat/>
    <w:rsid w:val="004456E7"/>
    <w:pPr>
      <w:ind w:left="568" w:hanging="284"/>
    </w:pPr>
    <w:rPr>
      <w:sz w:val="16"/>
      <w:szCs w:val="16"/>
    </w:rPr>
  </w:style>
  <w:style w:type="character" w:customStyle="1" w:styleId="HeaderChar">
    <w:name w:val="Header Char"/>
    <w:basedOn w:val="DefaultParagraphFont"/>
    <w:link w:val="Header"/>
    <w:semiHidden/>
    <w:rsid w:val="0040646A"/>
    <w:rPr>
      <w:rFonts w:ascii="Trebuchet MS" w:eastAsiaTheme="minorHAnsi" w:hAnsi="Trebuchet MS" w:cstheme="minorBidi"/>
      <w:szCs w:val="22"/>
      <w:lang w:eastAsia="en-US"/>
    </w:rPr>
  </w:style>
  <w:style w:type="character" w:customStyle="1" w:styleId="Heading1Char">
    <w:name w:val="Heading 1 Char"/>
    <w:basedOn w:val="DefaultParagraphFont"/>
    <w:link w:val="Heading1"/>
    <w:uiPriority w:val="9"/>
    <w:rsid w:val="00D62449"/>
    <w:rPr>
      <w:rFonts w:ascii="Trebuchet MS" w:eastAsiaTheme="majorEastAsia" w:hAnsi="Trebuchet MS" w:cstheme="majorBidi"/>
      <w:b/>
      <w:sz w:val="22"/>
      <w:szCs w:val="32"/>
      <w:lang w:eastAsia="en-US"/>
    </w:rPr>
  </w:style>
  <w:style w:type="character" w:customStyle="1" w:styleId="Heading2Char">
    <w:name w:val="Heading 2 Char"/>
    <w:basedOn w:val="DefaultParagraphFont"/>
    <w:link w:val="Heading2"/>
    <w:rsid w:val="00D62449"/>
    <w:rPr>
      <w:rFonts w:ascii="Trebuchet MS" w:eastAsiaTheme="majorEastAsia" w:hAnsi="Trebuchet MS" w:cstheme="majorBidi"/>
      <w:b/>
      <w:color w:val="7E694F" w:themeColor="accent4"/>
      <w:szCs w:val="26"/>
      <w:lang w:eastAsia="en-US"/>
    </w:rPr>
  </w:style>
  <w:style w:type="character" w:customStyle="1" w:styleId="Heading3Char">
    <w:name w:val="Heading 3 Char"/>
    <w:basedOn w:val="DefaultParagraphFont"/>
    <w:link w:val="Heading3"/>
    <w:rsid w:val="00D62449"/>
    <w:rPr>
      <w:rFonts w:ascii="Trebuchet MS" w:eastAsiaTheme="majorEastAsia" w:hAnsi="Trebuchet MS" w:cstheme="majorBidi"/>
      <w:szCs w:val="24"/>
      <w:lang w:eastAsia="en-US"/>
    </w:rPr>
  </w:style>
  <w:style w:type="character" w:customStyle="1" w:styleId="Heading4Char">
    <w:name w:val="Heading 4 Char"/>
    <w:basedOn w:val="DefaultParagraphFont"/>
    <w:link w:val="Heading4"/>
    <w:rsid w:val="0014189E"/>
    <w:rPr>
      <w:rFonts w:ascii="Trebuchet MS" w:eastAsiaTheme="majorEastAsia" w:hAnsi="Trebuchet MS" w:cstheme="majorBidi"/>
      <w:iCs/>
      <w:szCs w:val="22"/>
      <w:lang w:eastAsia="en-US"/>
    </w:rPr>
  </w:style>
  <w:style w:type="character" w:customStyle="1" w:styleId="Heading5Char">
    <w:name w:val="Heading 5 Char"/>
    <w:basedOn w:val="DefaultParagraphFont"/>
    <w:link w:val="Heading5"/>
    <w:rsid w:val="0014189E"/>
    <w:rPr>
      <w:rFonts w:ascii="Trebuchet MS" w:eastAsiaTheme="majorEastAsia" w:hAnsi="Trebuchet MS" w:cstheme="majorBidi"/>
      <w:szCs w:val="22"/>
      <w:lang w:eastAsia="en-US"/>
    </w:rPr>
  </w:style>
  <w:style w:type="character" w:customStyle="1" w:styleId="Heading6Char">
    <w:name w:val="Heading 6 Char"/>
    <w:basedOn w:val="DefaultParagraphFont"/>
    <w:link w:val="Heading6"/>
    <w:rsid w:val="0014189E"/>
    <w:rPr>
      <w:rFonts w:ascii="Trebuchet MS" w:eastAsiaTheme="majorEastAsia" w:hAnsi="Trebuchet MS" w:cstheme="majorBidi"/>
      <w:szCs w:val="22"/>
      <w:lang w:eastAsia="en-US"/>
    </w:rPr>
  </w:style>
  <w:style w:type="paragraph" w:customStyle="1" w:styleId="TableList">
    <w:name w:val="Table List"/>
    <w:basedOn w:val="Normal"/>
    <w:uiPriority w:val="5"/>
    <w:qFormat/>
    <w:rsid w:val="00285117"/>
    <w:pPr>
      <w:numPr>
        <w:numId w:val="8"/>
      </w:numPr>
      <w:spacing w:before="120" w:after="120"/>
    </w:pPr>
  </w:style>
  <w:style w:type="paragraph" w:customStyle="1" w:styleId="TablePara1">
    <w:name w:val="Table Para 1"/>
    <w:basedOn w:val="Normal"/>
    <w:uiPriority w:val="5"/>
    <w:qFormat/>
    <w:rsid w:val="00285117"/>
    <w:pPr>
      <w:numPr>
        <w:ilvl w:val="1"/>
        <w:numId w:val="8"/>
      </w:numPr>
      <w:spacing w:before="120" w:after="120"/>
    </w:pPr>
    <w:rPr>
      <w:szCs w:val="20"/>
    </w:rPr>
  </w:style>
  <w:style w:type="paragraph" w:customStyle="1" w:styleId="TablePara2">
    <w:name w:val="Table Para 2"/>
    <w:basedOn w:val="Normal"/>
    <w:uiPriority w:val="5"/>
    <w:qFormat/>
    <w:rsid w:val="00285117"/>
    <w:pPr>
      <w:numPr>
        <w:ilvl w:val="2"/>
        <w:numId w:val="8"/>
      </w:numPr>
      <w:spacing w:before="120" w:after="120"/>
    </w:pPr>
  </w:style>
  <w:style w:type="paragraph" w:customStyle="1" w:styleId="TableBulletsnospacing1">
    <w:name w:val="Table Bullets no spacing 1"/>
    <w:basedOn w:val="ListParagraph"/>
    <w:uiPriority w:val="7"/>
    <w:qFormat/>
    <w:rsid w:val="003F166D"/>
    <w:pPr>
      <w:numPr>
        <w:numId w:val="11"/>
      </w:numPr>
      <w:contextualSpacing/>
    </w:pPr>
  </w:style>
  <w:style w:type="paragraph" w:customStyle="1" w:styleId="TableBodytext">
    <w:name w:val="Table Body text"/>
    <w:basedOn w:val="Normal"/>
    <w:uiPriority w:val="5"/>
    <w:semiHidden/>
    <w:qFormat/>
    <w:rsid w:val="004D1035"/>
    <w:pPr>
      <w:spacing w:before="120" w:after="120"/>
    </w:pPr>
  </w:style>
  <w:style w:type="paragraph" w:customStyle="1" w:styleId="TableIndent1">
    <w:name w:val="Table Indent 1"/>
    <w:basedOn w:val="Normal"/>
    <w:uiPriority w:val="6"/>
    <w:qFormat/>
    <w:rsid w:val="004D1035"/>
    <w:pPr>
      <w:spacing w:before="120" w:after="120"/>
    </w:pPr>
  </w:style>
  <w:style w:type="paragraph" w:customStyle="1" w:styleId="TableIndent2">
    <w:name w:val="Table Indent 2"/>
    <w:basedOn w:val="Normal"/>
    <w:uiPriority w:val="6"/>
    <w:qFormat/>
    <w:rsid w:val="004D1035"/>
    <w:pPr>
      <w:spacing w:before="120" w:after="120"/>
      <w:ind w:left="425"/>
    </w:pPr>
  </w:style>
  <w:style w:type="paragraph" w:customStyle="1" w:styleId="TableIndent3">
    <w:name w:val="Table Indent 3"/>
    <w:basedOn w:val="Normal"/>
    <w:uiPriority w:val="6"/>
    <w:qFormat/>
    <w:rsid w:val="004D1035"/>
    <w:pPr>
      <w:spacing w:before="120" w:after="120"/>
      <w:ind w:left="851"/>
    </w:pPr>
  </w:style>
  <w:style w:type="character" w:styleId="BookTitle">
    <w:name w:val="Book Title"/>
    <w:uiPriority w:val="33"/>
    <w:semiHidden/>
    <w:qFormat/>
    <w:rsid w:val="00BE042D"/>
    <w:rPr>
      <w:b/>
      <w:bCs/>
      <w:smallCaps/>
      <w:spacing w:val="5"/>
    </w:rPr>
  </w:style>
  <w:style w:type="paragraph" w:customStyle="1" w:styleId="Bulletsnospacing2">
    <w:name w:val="Bullets no spacing 2"/>
    <w:basedOn w:val="Bulletsnospacing1"/>
    <w:uiPriority w:val="4"/>
    <w:qFormat/>
    <w:rsid w:val="00A84C0A"/>
    <w:pPr>
      <w:numPr>
        <w:ilvl w:val="1"/>
      </w:numPr>
      <w:tabs>
        <w:tab w:val="clear" w:pos="567"/>
      </w:tabs>
    </w:pPr>
  </w:style>
  <w:style w:type="paragraph" w:customStyle="1" w:styleId="Bulletsnospacing3">
    <w:name w:val="Bullets no spacing 3"/>
    <w:basedOn w:val="Bulletsnospacing2"/>
    <w:uiPriority w:val="4"/>
    <w:qFormat/>
    <w:rsid w:val="000D0CCE"/>
    <w:pPr>
      <w:numPr>
        <w:ilvl w:val="2"/>
      </w:numPr>
    </w:pPr>
  </w:style>
  <w:style w:type="paragraph" w:customStyle="1" w:styleId="Bulletsnospacing4">
    <w:name w:val="Bullets no spacing 4"/>
    <w:basedOn w:val="Bulletsnospacing3"/>
    <w:uiPriority w:val="4"/>
    <w:qFormat/>
    <w:rsid w:val="000D0CCE"/>
    <w:pPr>
      <w:numPr>
        <w:ilvl w:val="3"/>
      </w:numPr>
    </w:pPr>
  </w:style>
  <w:style w:type="paragraph" w:customStyle="1" w:styleId="Bulletsnospacing5">
    <w:name w:val="Bullets no spacing 5"/>
    <w:basedOn w:val="Bulletsnospacing4"/>
    <w:uiPriority w:val="4"/>
    <w:qFormat/>
    <w:rsid w:val="000D0CCE"/>
    <w:pPr>
      <w:numPr>
        <w:ilvl w:val="4"/>
      </w:numPr>
    </w:pPr>
  </w:style>
  <w:style w:type="paragraph" w:customStyle="1" w:styleId="Bulletsnospacing6">
    <w:name w:val="Bullets no spacing 6"/>
    <w:basedOn w:val="Bulletsnospacing5"/>
    <w:uiPriority w:val="4"/>
    <w:qFormat/>
    <w:rsid w:val="000D0CCE"/>
    <w:pPr>
      <w:numPr>
        <w:ilvl w:val="5"/>
      </w:numPr>
    </w:pPr>
  </w:style>
  <w:style w:type="paragraph" w:customStyle="1" w:styleId="TableBullets2">
    <w:name w:val="Table Bullets 2"/>
    <w:basedOn w:val="TableBullets1"/>
    <w:uiPriority w:val="7"/>
    <w:qFormat/>
    <w:rsid w:val="003F166D"/>
    <w:pPr>
      <w:numPr>
        <w:ilvl w:val="1"/>
      </w:numPr>
      <w:tabs>
        <w:tab w:val="clear" w:pos="567"/>
      </w:tabs>
    </w:pPr>
  </w:style>
  <w:style w:type="paragraph" w:customStyle="1" w:styleId="TableBullets3">
    <w:name w:val="Table Bullets 3"/>
    <w:basedOn w:val="TableBullets1"/>
    <w:uiPriority w:val="7"/>
    <w:qFormat/>
    <w:rsid w:val="003F166D"/>
    <w:pPr>
      <w:numPr>
        <w:ilvl w:val="2"/>
      </w:numPr>
      <w:tabs>
        <w:tab w:val="clear" w:pos="567"/>
      </w:tabs>
    </w:pPr>
  </w:style>
  <w:style w:type="paragraph" w:customStyle="1" w:styleId="TableBulletsnospacing2">
    <w:name w:val="Table Bullets no spacing 2"/>
    <w:basedOn w:val="TableBulletsnospacing1"/>
    <w:uiPriority w:val="7"/>
    <w:qFormat/>
    <w:rsid w:val="003F166D"/>
    <w:pPr>
      <w:numPr>
        <w:ilvl w:val="1"/>
      </w:numPr>
      <w:tabs>
        <w:tab w:val="clear" w:pos="567"/>
      </w:tabs>
    </w:pPr>
  </w:style>
  <w:style w:type="paragraph" w:customStyle="1" w:styleId="TableBulletsnospacing3">
    <w:name w:val="Table Bullets no spacing 3"/>
    <w:basedOn w:val="TableBulletsnospacing1"/>
    <w:uiPriority w:val="7"/>
    <w:qFormat/>
    <w:rsid w:val="003F166D"/>
    <w:pPr>
      <w:numPr>
        <w:ilvl w:val="2"/>
      </w:numPr>
      <w:tabs>
        <w:tab w:val="clear" w:pos="567"/>
      </w:tabs>
    </w:pPr>
  </w:style>
  <w:style w:type="paragraph" w:customStyle="1" w:styleId="Bullets2">
    <w:name w:val="Bullets 2"/>
    <w:basedOn w:val="Bullets1"/>
    <w:uiPriority w:val="4"/>
    <w:qFormat/>
    <w:rsid w:val="00705A1B"/>
    <w:pPr>
      <w:numPr>
        <w:ilvl w:val="1"/>
      </w:numPr>
    </w:pPr>
  </w:style>
  <w:style w:type="paragraph" w:customStyle="1" w:styleId="Bullets3">
    <w:name w:val="Bullets 3"/>
    <w:basedOn w:val="Bullets2"/>
    <w:uiPriority w:val="4"/>
    <w:qFormat/>
    <w:rsid w:val="000D0CCE"/>
    <w:pPr>
      <w:numPr>
        <w:ilvl w:val="2"/>
      </w:numPr>
    </w:pPr>
  </w:style>
  <w:style w:type="paragraph" w:customStyle="1" w:styleId="Bullets4">
    <w:name w:val="Bullets 4"/>
    <w:basedOn w:val="Bullets3"/>
    <w:uiPriority w:val="4"/>
    <w:qFormat/>
    <w:rsid w:val="000D0CCE"/>
    <w:pPr>
      <w:numPr>
        <w:ilvl w:val="3"/>
      </w:numPr>
    </w:pPr>
  </w:style>
  <w:style w:type="paragraph" w:customStyle="1" w:styleId="Bullets5">
    <w:name w:val="Bullets 5"/>
    <w:basedOn w:val="Bullets4"/>
    <w:uiPriority w:val="4"/>
    <w:qFormat/>
    <w:rsid w:val="000D0CCE"/>
    <w:pPr>
      <w:numPr>
        <w:ilvl w:val="4"/>
      </w:numPr>
    </w:pPr>
  </w:style>
  <w:style w:type="paragraph" w:customStyle="1" w:styleId="Bullets6">
    <w:name w:val="Bullets 6"/>
    <w:basedOn w:val="Bullets5"/>
    <w:uiPriority w:val="4"/>
    <w:qFormat/>
    <w:rsid w:val="000D0CCE"/>
    <w:pPr>
      <w:numPr>
        <w:ilvl w:val="5"/>
      </w:numPr>
    </w:pPr>
  </w:style>
  <w:style w:type="paragraph" w:styleId="ListParagraph">
    <w:name w:val="List Paragraph"/>
    <w:basedOn w:val="Normal"/>
    <w:uiPriority w:val="5"/>
    <w:qFormat/>
    <w:rsid w:val="00380956"/>
    <w:pPr>
      <w:numPr>
        <w:numId w:val="7"/>
      </w:numPr>
      <w:tabs>
        <w:tab w:val="left" w:pos="567"/>
      </w:tabs>
      <w:spacing w:before="120" w:after="120"/>
    </w:pPr>
    <w:rPr>
      <w:szCs w:val="20"/>
    </w:rPr>
  </w:style>
  <w:style w:type="table" w:styleId="TableGrid">
    <w:name w:val="Table Grid"/>
    <w:basedOn w:val="TableNormal"/>
    <w:rsid w:val="00B62F3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4">
    <w:name w:val="Table Indent 4"/>
    <w:basedOn w:val="TableIndent3"/>
    <w:uiPriority w:val="6"/>
    <w:qFormat/>
    <w:rsid w:val="004D1035"/>
    <w:pPr>
      <w:ind w:left="1276"/>
    </w:pPr>
  </w:style>
  <w:style w:type="paragraph" w:customStyle="1" w:styleId="TableBulletsnospacing4">
    <w:name w:val="Table Bullets no spacing 4"/>
    <w:basedOn w:val="TableBulletsnospacing3"/>
    <w:uiPriority w:val="7"/>
    <w:qFormat/>
    <w:rsid w:val="003F166D"/>
    <w:pPr>
      <w:numPr>
        <w:ilvl w:val="3"/>
      </w:numPr>
      <w:tabs>
        <w:tab w:val="left" w:pos="1701"/>
      </w:tabs>
    </w:pPr>
  </w:style>
  <w:style w:type="paragraph" w:customStyle="1" w:styleId="TableBullets4">
    <w:name w:val="Table Bullets 4"/>
    <w:basedOn w:val="TableBulletsnospacing1"/>
    <w:uiPriority w:val="7"/>
    <w:qFormat/>
    <w:rsid w:val="003F166D"/>
    <w:pPr>
      <w:numPr>
        <w:ilvl w:val="3"/>
        <w:numId w:val="10"/>
      </w:numPr>
      <w:tabs>
        <w:tab w:val="clear" w:pos="567"/>
        <w:tab w:val="clear" w:pos="1700"/>
        <w:tab w:val="left" w:pos="1701"/>
      </w:tabs>
      <w:contextualSpacing w:val="0"/>
    </w:pPr>
  </w:style>
  <w:style w:type="numbering" w:customStyle="1" w:styleId="QuestionNumbering">
    <w:name w:val="Question Numbering"/>
    <w:uiPriority w:val="99"/>
    <w:rsid w:val="00C5712A"/>
    <w:pPr>
      <w:numPr>
        <w:numId w:val="9"/>
      </w:numPr>
    </w:pPr>
  </w:style>
  <w:style w:type="table" w:customStyle="1" w:styleId="KWMEarth20">
    <w:name w:val="KWM Earth (20%)"/>
    <w:basedOn w:val="KWMWhite"/>
    <w:uiPriority w:val="99"/>
    <w:rsid w:val="00946514"/>
    <w:tblPr/>
    <w:tcPr>
      <w:shd w:val="clear" w:color="auto" w:fill="auto"/>
    </w:tcPr>
    <w:tblStylePr w:type="firstRow">
      <w:pPr>
        <w:wordWrap/>
        <w:spacing w:beforeLines="0" w:before="120" w:beforeAutospacing="0" w:afterLines="0" w:after="120" w:afterAutospacing="0" w:line="264" w:lineRule="auto"/>
      </w:pPr>
      <w:rPr>
        <w:rFonts w:ascii="Trebuchet MS" w:hAnsi="Trebuchet MS"/>
        <w:b/>
        <w:caps/>
        <w:smallCaps w:val="0"/>
        <w:vanish w:val="0"/>
        <w:sz w:val="20"/>
      </w:rPr>
      <w:tblPr/>
      <w:trPr>
        <w:cantSplit/>
        <w:tblHeader/>
      </w:trPr>
      <w:tcPr>
        <w:shd w:val="clear" w:color="auto" w:fill="D3D4D5"/>
      </w:tcPr>
    </w:tblStylePr>
  </w:style>
  <w:style w:type="paragraph" w:customStyle="1" w:styleId="SJBLevel1">
    <w:name w:val="SJB Level 1"/>
    <w:basedOn w:val="Normal"/>
    <w:uiPriority w:val="99"/>
    <w:unhideWhenUsed/>
    <w:rsid w:val="00F8767B"/>
    <w:pPr>
      <w:numPr>
        <w:numId w:val="13"/>
      </w:numPr>
      <w:tabs>
        <w:tab w:val="left" w:pos="1560"/>
      </w:tabs>
      <w:spacing w:before="240" w:after="240" w:line="240" w:lineRule="atLeast"/>
      <w:ind w:left="1560" w:hanging="709"/>
      <w:outlineLvl w:val="0"/>
    </w:pPr>
    <w:rPr>
      <w:rFonts w:ascii="Arial" w:eastAsia="Arial" w:hAnsi="Arial"/>
      <w:b/>
      <w:color w:val="00AEEF"/>
      <w:sz w:val="40"/>
      <w:szCs w:val="20"/>
    </w:rPr>
  </w:style>
  <w:style w:type="paragraph" w:customStyle="1" w:styleId="SJBLevel2">
    <w:name w:val="SJB Level 2"/>
    <w:basedOn w:val="Normal"/>
    <w:uiPriority w:val="99"/>
    <w:unhideWhenUsed/>
    <w:rsid w:val="00F8767B"/>
    <w:pPr>
      <w:numPr>
        <w:ilvl w:val="1"/>
        <w:numId w:val="13"/>
      </w:numPr>
      <w:spacing w:before="120" w:after="120" w:line="280" w:lineRule="atLeast"/>
      <w:jc w:val="both"/>
      <w:outlineLvl w:val="1"/>
    </w:pPr>
    <w:rPr>
      <w:rFonts w:ascii="Arial" w:eastAsia="Arial" w:hAnsi="Arial"/>
      <w:szCs w:val="20"/>
    </w:rPr>
  </w:style>
  <w:style w:type="paragraph" w:customStyle="1" w:styleId="SJBLevel3">
    <w:name w:val="SJB Level 3"/>
    <w:basedOn w:val="Normal"/>
    <w:uiPriority w:val="99"/>
    <w:unhideWhenUsed/>
    <w:rsid w:val="00F8767B"/>
    <w:pPr>
      <w:numPr>
        <w:ilvl w:val="2"/>
        <w:numId w:val="13"/>
      </w:numPr>
      <w:spacing w:after="120" w:line="280" w:lineRule="atLeast"/>
      <w:ind w:left="1702" w:hanging="851"/>
      <w:jc w:val="both"/>
      <w:outlineLvl w:val="2"/>
    </w:pPr>
    <w:rPr>
      <w:rFonts w:ascii="Arial" w:eastAsia="Arial" w:hAnsi="Arial" w:cs="Arial"/>
      <w:bCs/>
      <w:szCs w:val="20"/>
      <w:lang w:val="en-GB"/>
    </w:rPr>
  </w:style>
  <w:style w:type="paragraph" w:customStyle="1" w:styleId="SJBLevel4">
    <w:name w:val="SJB Level 4"/>
    <w:basedOn w:val="Normal"/>
    <w:uiPriority w:val="99"/>
    <w:unhideWhenUsed/>
    <w:rsid w:val="00F8767B"/>
    <w:pPr>
      <w:numPr>
        <w:ilvl w:val="3"/>
        <w:numId w:val="13"/>
      </w:numPr>
      <w:tabs>
        <w:tab w:val="clear" w:pos="2693"/>
        <w:tab w:val="num" w:pos="2552"/>
      </w:tabs>
      <w:spacing w:after="120" w:line="280" w:lineRule="atLeast"/>
      <w:ind w:left="2552"/>
      <w:jc w:val="both"/>
      <w:outlineLvl w:val="3"/>
    </w:pPr>
    <w:rPr>
      <w:rFonts w:ascii="Arial" w:eastAsia="Arial" w:hAnsi="Arial"/>
      <w:szCs w:val="20"/>
      <w:lang w:val="en-GB"/>
    </w:rPr>
  </w:style>
  <w:style w:type="paragraph" w:customStyle="1" w:styleId="SJBLevel5">
    <w:name w:val="SJB Level 5"/>
    <w:basedOn w:val="Normal"/>
    <w:uiPriority w:val="99"/>
    <w:unhideWhenUsed/>
    <w:rsid w:val="00F8767B"/>
    <w:pPr>
      <w:numPr>
        <w:ilvl w:val="4"/>
        <w:numId w:val="13"/>
      </w:numPr>
      <w:tabs>
        <w:tab w:val="clear" w:pos="3544"/>
        <w:tab w:val="num" w:pos="3403"/>
      </w:tabs>
      <w:spacing w:before="142" w:line="280" w:lineRule="atLeast"/>
      <w:ind w:left="3403"/>
      <w:jc w:val="both"/>
      <w:outlineLvl w:val="4"/>
    </w:pPr>
    <w:rPr>
      <w:rFonts w:ascii="Arial" w:eastAsia="Arial" w:hAnsi="Arial"/>
      <w:szCs w:val="20"/>
    </w:rPr>
  </w:style>
  <w:style w:type="paragraph" w:customStyle="1" w:styleId="SJBLevel6">
    <w:name w:val="SJB Level 6"/>
    <w:basedOn w:val="Normal"/>
    <w:uiPriority w:val="99"/>
    <w:unhideWhenUsed/>
    <w:rsid w:val="00F8767B"/>
    <w:pPr>
      <w:numPr>
        <w:ilvl w:val="5"/>
        <w:numId w:val="13"/>
      </w:numPr>
      <w:spacing w:before="142" w:line="280" w:lineRule="atLeast"/>
      <w:jc w:val="both"/>
      <w:outlineLvl w:val="5"/>
    </w:pPr>
    <w:rPr>
      <w:rFonts w:ascii="Arial" w:eastAsia="Arial" w:hAnsi="Arial"/>
      <w:szCs w:val="20"/>
      <w:lang w:val="en-GB"/>
    </w:rPr>
  </w:style>
  <w:style w:type="character" w:styleId="UnresolvedMention">
    <w:name w:val="Unresolved Mention"/>
    <w:basedOn w:val="DefaultParagraphFont"/>
    <w:uiPriority w:val="99"/>
    <w:semiHidden/>
    <w:unhideWhenUsed/>
    <w:rsid w:val="004876B2"/>
    <w:rPr>
      <w:color w:val="605E5C"/>
      <w:shd w:val="clear" w:color="auto" w:fill="E1DFDD"/>
    </w:rPr>
  </w:style>
  <w:style w:type="character" w:styleId="CommentReference">
    <w:name w:val="annotation reference"/>
    <w:basedOn w:val="DefaultParagraphFont"/>
    <w:uiPriority w:val="2"/>
    <w:semiHidden/>
    <w:unhideWhenUsed/>
    <w:rsid w:val="003B0593"/>
    <w:rPr>
      <w:sz w:val="16"/>
      <w:szCs w:val="16"/>
    </w:rPr>
  </w:style>
  <w:style w:type="paragraph" w:styleId="CommentText">
    <w:name w:val="annotation text"/>
    <w:basedOn w:val="Normal"/>
    <w:link w:val="CommentTextChar"/>
    <w:unhideWhenUsed/>
    <w:rsid w:val="003B0593"/>
    <w:pPr>
      <w:spacing w:line="240" w:lineRule="auto"/>
    </w:pPr>
    <w:rPr>
      <w:szCs w:val="20"/>
    </w:rPr>
  </w:style>
  <w:style w:type="character" w:customStyle="1" w:styleId="CommentTextChar">
    <w:name w:val="Comment Text Char"/>
    <w:basedOn w:val="DefaultParagraphFont"/>
    <w:link w:val="CommentText"/>
    <w:rsid w:val="003B0593"/>
    <w:rPr>
      <w:rFonts w:ascii="Trebuchet MS" w:eastAsiaTheme="minorHAnsi" w:hAnsi="Trebuchet MS" w:cstheme="minorBidi"/>
      <w:lang w:eastAsia="en-US"/>
    </w:rPr>
  </w:style>
  <w:style w:type="paragraph" w:styleId="CommentSubject">
    <w:name w:val="annotation subject"/>
    <w:basedOn w:val="CommentText"/>
    <w:next w:val="CommentText"/>
    <w:link w:val="CommentSubjectChar"/>
    <w:semiHidden/>
    <w:unhideWhenUsed/>
    <w:rsid w:val="003B0593"/>
    <w:rPr>
      <w:b/>
      <w:bCs/>
    </w:rPr>
  </w:style>
  <w:style w:type="character" w:customStyle="1" w:styleId="CommentSubjectChar">
    <w:name w:val="Comment Subject Char"/>
    <w:basedOn w:val="CommentTextChar"/>
    <w:link w:val="CommentSubject"/>
    <w:semiHidden/>
    <w:rsid w:val="003B0593"/>
    <w:rPr>
      <w:rFonts w:ascii="Trebuchet MS" w:eastAsiaTheme="minorHAnsi" w:hAnsi="Trebuchet MS"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3420">
      <w:bodyDiv w:val="1"/>
      <w:marLeft w:val="0"/>
      <w:marRight w:val="0"/>
      <w:marTop w:val="0"/>
      <w:marBottom w:val="0"/>
      <w:divBdr>
        <w:top w:val="none" w:sz="0" w:space="0" w:color="auto"/>
        <w:left w:val="none" w:sz="0" w:space="0" w:color="auto"/>
        <w:bottom w:val="none" w:sz="0" w:space="0" w:color="auto"/>
        <w:right w:val="none" w:sz="0" w:space="0" w:color="auto"/>
      </w:divBdr>
    </w:div>
    <w:div w:id="579632280">
      <w:bodyDiv w:val="1"/>
      <w:marLeft w:val="0"/>
      <w:marRight w:val="0"/>
      <w:marTop w:val="0"/>
      <w:marBottom w:val="0"/>
      <w:divBdr>
        <w:top w:val="none" w:sz="0" w:space="0" w:color="auto"/>
        <w:left w:val="none" w:sz="0" w:space="0" w:color="auto"/>
        <w:bottom w:val="none" w:sz="0" w:space="0" w:color="auto"/>
        <w:right w:val="none" w:sz="0" w:space="0" w:color="auto"/>
      </w:divBdr>
    </w:div>
    <w:div w:id="612059888">
      <w:bodyDiv w:val="1"/>
      <w:marLeft w:val="0"/>
      <w:marRight w:val="0"/>
      <w:marTop w:val="0"/>
      <w:marBottom w:val="0"/>
      <w:divBdr>
        <w:top w:val="none" w:sz="0" w:space="0" w:color="auto"/>
        <w:left w:val="none" w:sz="0" w:space="0" w:color="auto"/>
        <w:bottom w:val="none" w:sz="0" w:space="0" w:color="auto"/>
        <w:right w:val="none" w:sz="0" w:space="0" w:color="auto"/>
      </w:divBdr>
    </w:div>
    <w:div w:id="16696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footer" Target="footer2.xml" Id="rId26" /><Relationship Type="http://schemas.openxmlformats.org/officeDocument/2006/relationships/image" Target="media/image10.png"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footer" Target="footer1.xml" Id="rId25"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fontTable" Target="fontTable.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24" /><Relationship Type="http://schemas.openxmlformats.org/officeDocument/2006/relationships/image" Target="media/image4.pn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footnotes" Target="foot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header" Target="header3.xml" Id="rId27" /><Relationship Type="http://schemas.openxmlformats.org/officeDocument/2006/relationships/theme" Target="theme/theme1.xml" Id="rId30" /></Relationships>
</file>

<file path=word/_rels/footnotes.xml.rels><?xml version="1.0" encoding="UTF-8" standalone="yes"?>
<Relationships xmlns="http://schemas.openxmlformats.org/package/2006/relationships"><Relationship Id="rId3" Type="http://schemas.openxmlformats.org/officeDocument/2006/relationships/hyperlink" Target="https://docstore.ohchr.org/SelfServices/FilesHandler.ashx?enc=6QkG1d%2fPPRiCAqhKb7yhsk5X2w65LgiRF%2fS3dwPS4NWFNCtCrUn3lRntjFl1P2gZpa035aKkorCHAPJx8bIZmDed5owOGcbWFeosUSgDTFKNqA7hBC3KiwAm8SBo665E" TargetMode="External"/><Relationship Id="rId2" Type="http://schemas.openxmlformats.org/officeDocument/2006/relationships/hyperlink" Target="https://resourcecentre.savethechildren.net/pdf/born-into-the-climate-crisis.pdf/" TargetMode="External"/><Relationship Id="rId1" Type="http://schemas.openxmlformats.org/officeDocument/2006/relationships/hyperlink" Target="https://envirojustice.org.au/wp-content/uploads/2022/02/UN_Climate_Change_Human_Rights_FINAL_complaint.pdf" TargetMode="External"/></Relationships>
</file>

<file path=word/theme/theme1.xml><?xml version="1.0" encoding="utf-8"?>
<a:theme xmlns:a="http://schemas.openxmlformats.org/drawingml/2006/main" name="KWMTheme">
  <a:themeElements>
    <a:clrScheme name="KWM Brand colours">
      <a:dk1>
        <a:srgbClr val="24282B"/>
      </a:dk1>
      <a:lt1>
        <a:srgbClr val="FFFFFF"/>
      </a:lt1>
      <a:dk2>
        <a:srgbClr val="E9E9E9"/>
      </a:dk2>
      <a:lt2>
        <a:srgbClr val="E9E9E9"/>
      </a:lt2>
      <a:accent1>
        <a:srgbClr val="00AEEE"/>
      </a:accent1>
      <a:accent2>
        <a:srgbClr val="EE0033"/>
      </a:accent2>
      <a:accent3>
        <a:srgbClr val="24282B"/>
      </a:accent3>
      <a:accent4>
        <a:srgbClr val="7E694F"/>
      </a:accent4>
      <a:accent5>
        <a:srgbClr val="BBAA94"/>
      </a:accent5>
      <a:accent6>
        <a:srgbClr val="533A36"/>
      </a:accent6>
      <a:hlink>
        <a:srgbClr val="7E694F"/>
      </a:hlink>
      <a:folHlink>
        <a:srgbClr val="7E694F"/>
      </a:folHlink>
    </a:clrScheme>
    <a:fontScheme name="KWM Theme Fonts">
      <a:majorFont>
        <a:latin typeface="Trebuchet MS"/>
        <a:ea typeface="STKaiti"/>
        <a:cs typeface=""/>
      </a:majorFont>
      <a:minorFont>
        <a:latin typeface="Trebuchet MS"/>
        <a:ea typeface="STKait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Water">
      <a:srgbClr val="00AEEF"/>
    </a:custClr>
    <a:custClr name="Fire">
      <a:srgbClr val="EE0033"/>
    </a:custClr>
    <a:custClr name="Earth">
      <a:srgbClr val="24282B"/>
    </a:custClr>
    <a:custClr name="Gold">
      <a:srgbClr val="7E694F"/>
    </a:custClr>
    <a:custClr name="Wood">
      <a:srgbClr val="533A36"/>
    </a:custClr>
    <a:custClr name="Stone">
      <a:srgbClr val="E9E9E9"/>
    </a:custClr>
    <a:custClr name="Traffic Light Green">
      <a:srgbClr val="00DBA1"/>
    </a:custClr>
    <a:custClr name="Traffic Light Yellow">
      <a:srgbClr val="FFC766"/>
    </a:custClr>
    <a:custClr name="Traffic Light Orange">
      <a:srgbClr val="FF7F48"/>
    </a:custClr>
    <a:custClr name="Traffic Light Red">
      <a:srgbClr val="FF5B5C"/>
    </a:custClr>
    <a:custClr name="Water 80%">
      <a:srgbClr val="33BEF2"/>
    </a:custClr>
    <a:custClr name="Fire 80%">
      <a:srgbClr val="F54D5E"/>
    </a:custClr>
    <a:custClr name="Earth 80%">
      <a:srgbClr val="505355"/>
    </a:custClr>
    <a:custClr name="Gold 80%">
      <a:srgbClr val="988772"/>
    </a:custClr>
    <a:custClr name="Wood 80%">
      <a:srgbClr val="75615E"/>
    </a:custClr>
    <a:custClr name="blank">
      <a:srgbClr val="FFFFFF"/>
    </a:custClr>
    <a:custClr name="blank">
      <a:srgbClr val="FFFFFF"/>
    </a:custClr>
    <a:custClr name="blank">
      <a:srgbClr val="FFFFFF"/>
    </a:custClr>
    <a:custClr name="White">
      <a:srgbClr val="FFFFFF"/>
    </a:custClr>
    <a:custClr name="Black">
      <a:srgbClr val="000000"/>
    </a:custClr>
    <a:custClr name="Water 60%">
      <a:srgbClr val="66CEF5"/>
    </a:custClr>
    <a:custClr name="Fire 60%">
      <a:srgbClr val="FB7B87"/>
    </a:custClr>
    <a:custClr name="Earth 60%">
      <a:srgbClr val="7C7E80"/>
    </a:custClr>
    <a:custClr name="Gold 60%">
      <a:srgbClr val="B2A595"/>
    </a:custClr>
    <a:custClr name="Wood 60%">
      <a:srgbClr val="988986"/>
    </a:custClr>
    <a:custClr name="blank">
      <a:srgbClr val="FFFFFF"/>
    </a:custClr>
    <a:custClr name="blank">
      <a:srgbClr val="FFFFFF"/>
    </a:custClr>
    <a:custClr name="blank">
      <a:srgbClr val="FFFFFF"/>
    </a:custClr>
    <a:custClr name="blank">
      <a:srgbClr val="FFFFFF"/>
    </a:custClr>
    <a:custClr name="blank">
      <a:srgbClr val="FFFFFF"/>
    </a:custClr>
    <a:custClr name="Water 40%">
      <a:srgbClr val="99DFF9"/>
    </a:custClr>
    <a:custClr name="Fire 40%">
      <a:srgbClr val="FDA8B0"/>
    </a:custClr>
    <a:custClr name="Earth 40%">
      <a:srgbClr val="A7A9AA"/>
    </a:custClr>
    <a:custClr name="Gold 40%">
      <a:srgbClr val="CBC3B9"/>
    </a:custClr>
    <a:custClr name="Wood 40%">
      <a:srgbClr val="BAB0AF"/>
    </a:custClr>
    <a:custClr name="blank">
      <a:srgbClr val="FFFFFF"/>
    </a:custClr>
    <a:custClr name="blank">
      <a:srgbClr val="FFFFFF"/>
    </a:custClr>
    <a:custClr name="blank">
      <a:srgbClr val="FFFFFF"/>
    </a:custClr>
    <a:custClr name="blank">
      <a:srgbClr val="FFFFFF"/>
    </a:custClr>
    <a:custClr name="blank">
      <a:srgbClr val="FFFFFF"/>
    </a:custClr>
    <a:custClr name="Water 20%">
      <a:srgbClr val="CCEFFC"/>
    </a:custClr>
    <a:custClr name="Fire 20%">
      <a:srgbClr val="FED3D8"/>
    </a:custClr>
    <a:custClr name="Earth 20%">
      <a:srgbClr val="D3D4D5"/>
    </a:custClr>
    <a:custClr name="Gold 20%">
      <a:srgbClr val="E5E1DC"/>
    </a:custClr>
    <a:custClr name="Wood 20%">
      <a:srgbClr val="DDD8D7"/>
    </a:custClr>
    <a:custClr name="blank">
      <a:srgbClr val="FFFFFF"/>
    </a:custClr>
    <a:custClr name="blank">
      <a:srgbClr val="FFFFFF"/>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XSL" StyleName="APA"/>
</file>

<file path=customXml/itemProps4.xml><?xml version="1.0" encoding="utf-8"?>
<ds:datastoreItem xmlns:ds="http://schemas.openxmlformats.org/officeDocument/2006/customXml" ds:itemID="{42613C60-C492-40DC-8D36-91710387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2329</Words>
  <Characters>13598</Characters>
  <Application>Microsoft Office Word</Application>
  <DocSecurity>0</DocSecurity>
  <Lines>197</Lines>
  <Paragraphs>44</Paragraphs>
  <ScaleCrop>false</ScaleCrop>
  <HeadingPairs>
    <vt:vector size="2" baseType="variant">
      <vt:variant>
        <vt:lpstr>Title</vt:lpstr>
      </vt:variant>
      <vt:variant>
        <vt:i4>1</vt:i4>
      </vt:variant>
    </vt:vector>
  </HeadingPair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2023-02-15T01:37:00Z</dcterms:created>
  <dcterms:modified xsi:type="dcterms:W3CDTF">2023-02-15T01:37:00Z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WMStyle">
    <vt:lpwstr>legaladviceVI</vt:lpwstr>
  </op:property>
  <op:property fmtid="{D5CDD505-2E9C-101B-9397-08002B2CF9AE}" pid="3" name="DocID">
    <vt:lpwstr>60053429_5</vt:lpwstr>
  </op:property>
  <op:property fmtid="{D5CDD505-2E9C-101B-9397-08002B2CF9AE}" pid="4" name="kwmDocumentID">
    <vt:lpwstr>DOCUMENTS!60053429.5</vt:lpwstr>
  </op:property>
</op:Properties>
</file>