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29" w:rsidRDefault="0009622F">
      <w:pPr>
        <w:rPr>
          <w:sz w:val="2"/>
          <w:szCs w:val="2"/>
        </w:rPr>
      </w:pPr>
      <w:r>
        <w:rPr>
          <w:noProof/>
        </w:rPr>
        <w:drawing>
          <wp:anchor distT="114300" distB="114300" distL="114300" distR="114300" simplePos="0" relativeHeight="251658240" behindDoc="0" locked="0" layoutInCell="1" hidden="0" allowOverlap="1">
            <wp:simplePos x="0" y="0"/>
            <wp:positionH relativeFrom="column">
              <wp:posOffset>476250</wp:posOffset>
            </wp:positionH>
            <wp:positionV relativeFrom="paragraph">
              <wp:posOffset>148768</wp:posOffset>
            </wp:positionV>
            <wp:extent cx="757238" cy="757238"/>
            <wp:effectExtent l="0" t="0" r="0" b="0"/>
            <wp:wrapTopAndBottom distT="114300" distB="114300"/>
            <wp:docPr id="1" name="image2.png" descr="AIDA Logo_NEW_RGB_PMS7701__darktype.png"/>
            <wp:cNvGraphicFramePr/>
            <a:graphic xmlns:a="http://schemas.openxmlformats.org/drawingml/2006/main">
              <a:graphicData uri="http://schemas.openxmlformats.org/drawingml/2006/picture">
                <pic:pic xmlns:pic="http://schemas.openxmlformats.org/drawingml/2006/picture">
                  <pic:nvPicPr>
                    <pic:cNvPr id="0" name="image2.png" descr="AIDA Logo_NEW_RGB_PMS7701__darktype.png"/>
                    <pic:cNvPicPr preferRelativeResize="0"/>
                  </pic:nvPicPr>
                  <pic:blipFill>
                    <a:blip r:embed="rId8"/>
                    <a:srcRect/>
                    <a:stretch>
                      <a:fillRect/>
                    </a:stretch>
                  </pic:blipFill>
                  <pic:spPr>
                    <a:xfrm>
                      <a:off x="0" y="0"/>
                      <a:ext cx="757238" cy="757238"/>
                    </a:xfrm>
                    <a:prstGeom prst="rect">
                      <a:avLst/>
                    </a:prstGeom>
                    <a:ln/>
                  </pic:spPr>
                </pic:pic>
              </a:graphicData>
            </a:graphic>
          </wp:anchor>
        </w:drawing>
      </w:r>
    </w:p>
    <w:p w:rsidR="006F3929" w:rsidRDefault="0009622F">
      <w:pPr>
        <w:jc w:val="center"/>
        <w:rPr>
          <w:rFonts w:ascii="Times New Roman" w:eastAsia="Times New Roman" w:hAnsi="Times New Roman" w:cs="Times New Roman"/>
          <w:b/>
          <w:sz w:val="12"/>
          <w:szCs w:val="12"/>
        </w:rPr>
      </w:pPr>
      <w:r>
        <w:rPr>
          <w:noProof/>
        </w:rPr>
        <w:drawing>
          <wp:anchor distT="114300" distB="114300" distL="114300" distR="114300" simplePos="0" relativeHeight="251659264" behindDoc="0" locked="0" layoutInCell="1" hidden="0" allowOverlap="1">
            <wp:simplePos x="0" y="0"/>
            <wp:positionH relativeFrom="column">
              <wp:posOffset>1514475</wp:posOffset>
            </wp:positionH>
            <wp:positionV relativeFrom="paragraph">
              <wp:posOffset>141744</wp:posOffset>
            </wp:positionV>
            <wp:extent cx="4176713" cy="508702"/>
            <wp:effectExtent l="0" t="0" r="0" b="0"/>
            <wp:wrapTopAndBottom distT="114300" distB="114300"/>
            <wp:docPr id="2" name="image1.png" descr="picture 16.png"/>
            <wp:cNvGraphicFramePr/>
            <a:graphic xmlns:a="http://schemas.openxmlformats.org/drawingml/2006/main">
              <a:graphicData uri="http://schemas.openxmlformats.org/drawingml/2006/picture">
                <pic:pic xmlns:pic="http://schemas.openxmlformats.org/drawingml/2006/picture">
                  <pic:nvPicPr>
                    <pic:cNvPr id="0" name="image1.png" descr="picture 16.png"/>
                    <pic:cNvPicPr preferRelativeResize="0"/>
                  </pic:nvPicPr>
                  <pic:blipFill>
                    <a:blip r:embed="rId9"/>
                    <a:srcRect/>
                    <a:stretch>
                      <a:fillRect/>
                    </a:stretch>
                  </pic:blipFill>
                  <pic:spPr>
                    <a:xfrm>
                      <a:off x="0" y="0"/>
                      <a:ext cx="4176713" cy="508702"/>
                    </a:xfrm>
                    <a:prstGeom prst="rect">
                      <a:avLst/>
                    </a:prstGeom>
                    <a:ln/>
                  </pic:spPr>
                </pic:pic>
              </a:graphicData>
            </a:graphic>
          </wp:anchor>
        </w:drawing>
      </w:r>
    </w:p>
    <w:p w:rsidR="006F3929" w:rsidRDefault="000962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Aportación de la Asociación Interamericana para la Defensa del Ambiente (AIDA) a la solicitud de comentarios a la Observación General No. 26 sobre los derechos del niño y el medio ambiente, con especial atención al cambio climático</w:t>
      </w:r>
    </w:p>
    <w:p w:rsidR="006F3929" w:rsidRDefault="0009622F">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AIDA es una organización internacional no gubernamental que, desde 1998, utiliza el derecho y la ciencia para proteger el ambiente y las comunidades afectadas por el daño ambiental, principalmente en América Latina. La misión de AIDA es fortalecer la capac</w:t>
      </w:r>
      <w:r>
        <w:rPr>
          <w:rFonts w:ascii="Times New Roman" w:eastAsia="Times New Roman" w:hAnsi="Times New Roman" w:cs="Times New Roman"/>
          <w:sz w:val="24"/>
          <w:szCs w:val="24"/>
        </w:rPr>
        <w:t>idad de las personas para garantizar su derecho individual y colectivo a un ambiente sano a través del desarrollo, implementación y aplicación efectiva del derecho nacional e internacional. Contamos con amplia experiencia en derecho ambiental y derechos hu</w:t>
      </w:r>
      <w:r>
        <w:rPr>
          <w:rFonts w:ascii="Times New Roman" w:eastAsia="Times New Roman" w:hAnsi="Times New Roman" w:cs="Times New Roman"/>
          <w:sz w:val="24"/>
          <w:szCs w:val="24"/>
        </w:rPr>
        <w:t xml:space="preserve">manos, tanto desde el punto de vista del derecho internacional como desde el derecho doméstico. </w:t>
      </w:r>
    </w:p>
    <w:p w:rsidR="006F3929" w:rsidRDefault="0009622F">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Programa de Clima de AIDA, hemos tenido oportunidad de acompañar y asesorar a grupos de jóvenes y organizaciones no gubernamentales en el desarrollo y</w:t>
      </w:r>
      <w:r>
        <w:rPr>
          <w:rFonts w:ascii="Times New Roman" w:eastAsia="Times New Roman" w:hAnsi="Times New Roman" w:cs="Times New Roman"/>
          <w:sz w:val="24"/>
          <w:szCs w:val="24"/>
        </w:rPr>
        <w:t xml:space="preserve"> seguimiento de acciones legales en favor de la justicia climática y la transición energética justa. También sistematizamos y analizamos casos de litigio climático promovidos por jóvenes a través de la </w:t>
      </w:r>
      <w:r>
        <w:rPr>
          <w:rFonts w:ascii="Times New Roman" w:eastAsia="Times New Roman" w:hAnsi="Times New Roman" w:cs="Times New Roman"/>
          <w:i/>
          <w:sz w:val="24"/>
          <w:szCs w:val="24"/>
        </w:rPr>
        <w:t xml:space="preserve">Plataforma de Litigio Climático para América Latina y </w:t>
      </w:r>
      <w:r>
        <w:rPr>
          <w:rFonts w:ascii="Times New Roman" w:eastAsia="Times New Roman" w:hAnsi="Times New Roman" w:cs="Times New Roman"/>
          <w:i/>
          <w:sz w:val="24"/>
          <w:szCs w:val="24"/>
        </w:rPr>
        <w:t>el Caribe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Con estas actividades, hemos destacado la necesidad urgente de abordar los efectos adversos del cambio climático en las niñas, niños y jóvenes. Asimismo, hemos identificado normas, principios, estándares y obligaciones bajo el derecho ambiental</w:t>
      </w:r>
      <w:r>
        <w:rPr>
          <w:rFonts w:ascii="Times New Roman" w:eastAsia="Times New Roman" w:hAnsi="Times New Roman" w:cs="Times New Roman"/>
          <w:sz w:val="24"/>
          <w:szCs w:val="24"/>
        </w:rPr>
        <w:t xml:space="preserve"> internacional que deben orientar la actuación de las autoridades gubernamentales para salvaguardar los derechos de los niños, niñas y jóvenes, y para lograr una justicia climática para las generaciones presentes y futuras.</w:t>
      </w:r>
    </w:p>
    <w:p w:rsidR="006F3929" w:rsidRDefault="0009622F">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información que aportamos en </w:t>
      </w:r>
      <w:r>
        <w:rPr>
          <w:rFonts w:ascii="Times New Roman" w:eastAsia="Times New Roman" w:hAnsi="Times New Roman" w:cs="Times New Roman"/>
          <w:sz w:val="24"/>
          <w:szCs w:val="24"/>
        </w:rPr>
        <w:t>respuesta a este proyecto de observación general surge de nuestra labor constante en la región. En este sentido, hacemos llegar respetuosamente los siguientes comentarios:</w:t>
      </w:r>
    </w:p>
    <w:p w:rsidR="006F3929" w:rsidRDefault="0009622F">
      <w:pPr>
        <w:numPr>
          <w:ilvl w:val="0"/>
          <w:numId w:val="1"/>
        </w:numPr>
        <w:pBdr>
          <w:top w:val="nil"/>
          <w:left w:val="nil"/>
          <w:bottom w:val="nil"/>
          <w:right w:val="nil"/>
          <w:between w:val="nil"/>
        </w:pBdr>
        <w:ind w:left="567"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Acceso a la justicia de niños, niñas y jóvenes en casos relacionados con la protecci</w:t>
      </w:r>
      <w:r>
        <w:rPr>
          <w:rFonts w:ascii="Times New Roman" w:eastAsia="Times New Roman" w:hAnsi="Times New Roman" w:cs="Times New Roman"/>
          <w:b/>
          <w:color w:val="000000"/>
          <w:sz w:val="24"/>
          <w:szCs w:val="24"/>
        </w:rPr>
        <w:t>ón del ambiente y el combate al cambio climático</w:t>
      </w:r>
    </w:p>
    <w:p w:rsidR="006F3929" w:rsidRDefault="0009622F">
      <w:pPr>
        <w:spacing w:before="120" w:after="120" w:line="240" w:lineRule="auto"/>
        <w:jc w:val="both"/>
        <w:rPr>
          <w:rFonts w:ascii="Times New Roman" w:eastAsia="Times New Roman" w:hAnsi="Times New Roman" w:cs="Times New Roman"/>
          <w:sz w:val="24"/>
          <w:szCs w:val="24"/>
        </w:rPr>
      </w:pPr>
      <w:bookmarkStart w:id="1" w:name="_heading=h.607oflv5lnp0" w:colFirst="0" w:colLast="0"/>
      <w:bookmarkEnd w:id="1"/>
      <w:r>
        <w:rPr>
          <w:rFonts w:ascii="Times New Roman" w:eastAsia="Times New Roman" w:hAnsi="Times New Roman" w:cs="Times New Roman"/>
          <w:sz w:val="24"/>
          <w:szCs w:val="24"/>
        </w:rPr>
        <w:t xml:space="preserve">Las personas menos responsables del cambio climático son los niños y las niñas; sin embargo, son quienes sufrirán las peores consecuencias. En este sentido, niños, niñas y jóvenes alrededor del mundo se han </w:t>
      </w:r>
      <w:r>
        <w:rPr>
          <w:rFonts w:ascii="Times New Roman" w:eastAsia="Times New Roman" w:hAnsi="Times New Roman" w:cs="Times New Roman"/>
          <w:sz w:val="24"/>
          <w:szCs w:val="24"/>
        </w:rPr>
        <w:t>involucrado cada vez más en la lucha contra el cambio climático, contribuyendo a un cambio positivo a través del litigio y demostrando que estos esfuerzos están a la vanguardia de un movimiento global de reivindicación y justiciabilidad de los derechos hum</w:t>
      </w:r>
      <w:r>
        <w:rPr>
          <w:rFonts w:ascii="Times New Roman" w:eastAsia="Times New Roman" w:hAnsi="Times New Roman" w:cs="Times New Roman"/>
          <w:sz w:val="24"/>
          <w:szCs w:val="24"/>
        </w:rPr>
        <w:t>anos.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Los niños, niñas y jóvenes constituyen más de una cuarta parte de todos los demandantes en casos de litigio climático basados ​​en derechos que han sido presentados a nivel mundial hasta 2021.</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Incluso la </w:t>
      </w:r>
      <w:r>
        <w:rPr>
          <w:rFonts w:ascii="Times New Roman" w:eastAsia="Times New Roman" w:hAnsi="Times New Roman" w:cs="Times New Roman"/>
          <w:sz w:val="24"/>
          <w:szCs w:val="24"/>
        </w:rPr>
        <w:lastRenderedPageBreak/>
        <w:t>Oficina del Alto Comisionado de las Naciones</w:t>
      </w:r>
      <w:r>
        <w:rPr>
          <w:rFonts w:ascii="Times New Roman" w:eastAsia="Times New Roman" w:hAnsi="Times New Roman" w:cs="Times New Roman"/>
          <w:sz w:val="24"/>
          <w:szCs w:val="24"/>
        </w:rPr>
        <w:t xml:space="preserve"> Unidas para los Derechos Humanos (OHCHR) ha identificado al litigio como una de las principales herramientas para hacer frente a los impactos diferenciados del cambio climático y a la condición de vulnerabilidad de los niños, niñas y adolescentes. Particu</w:t>
      </w:r>
      <w:r>
        <w:rPr>
          <w:rFonts w:ascii="Times New Roman" w:eastAsia="Times New Roman" w:hAnsi="Times New Roman" w:cs="Times New Roman"/>
          <w:sz w:val="24"/>
          <w:szCs w:val="24"/>
        </w:rPr>
        <w:t>larmente, la OHCHR ha precisado que «los litigios por cuestiones climáticas planteados por los niños de hoy tienen posibilidades de salvaguardar los intereses de las generaciones futuras»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y que los precedentes existentes en diversas jurisdicciones «demues</w:t>
      </w:r>
      <w:r>
        <w:rPr>
          <w:rFonts w:ascii="Times New Roman" w:eastAsia="Times New Roman" w:hAnsi="Times New Roman" w:cs="Times New Roman"/>
          <w:sz w:val="24"/>
          <w:szCs w:val="24"/>
        </w:rPr>
        <w:t>tran que el sistema judicial puede servir para proteger a los niños contra las actividades nocivas, en particular las que contribuyen al cambio climático».</w:t>
      </w:r>
      <w:r>
        <w:rPr>
          <w:rFonts w:ascii="Times New Roman" w:eastAsia="Times New Roman" w:hAnsi="Times New Roman" w:cs="Times New Roman"/>
          <w:sz w:val="24"/>
          <w:szCs w:val="24"/>
          <w:vertAlign w:val="superscript"/>
        </w:rPr>
        <w:footnoteReference w:id="5"/>
      </w:r>
    </w:p>
    <w:p w:rsidR="006F3929" w:rsidRDefault="0009622F">
      <w:pPr>
        <w:spacing w:before="120" w:after="120" w:line="240" w:lineRule="auto"/>
        <w:ind w:firstLine="284"/>
        <w:jc w:val="both"/>
        <w:rPr>
          <w:rFonts w:ascii="Times New Roman" w:eastAsia="Times New Roman" w:hAnsi="Times New Roman" w:cs="Times New Roman"/>
          <w:sz w:val="24"/>
          <w:szCs w:val="24"/>
        </w:rPr>
      </w:pPr>
      <w:bookmarkStart w:id="2" w:name="_heading=h.qdz7iyp4hggp" w:colFirst="0" w:colLast="0"/>
      <w:bookmarkEnd w:id="2"/>
      <w:r>
        <w:rPr>
          <w:rFonts w:ascii="Times New Roman" w:eastAsia="Times New Roman" w:hAnsi="Times New Roman" w:cs="Times New Roman"/>
          <w:sz w:val="24"/>
          <w:szCs w:val="24"/>
        </w:rPr>
        <w:t xml:space="preserve">En este contexto, en la Resolución 3/2021 titulada </w:t>
      </w:r>
      <w:r>
        <w:rPr>
          <w:rFonts w:ascii="Times New Roman" w:eastAsia="Times New Roman" w:hAnsi="Times New Roman" w:cs="Times New Roman"/>
          <w:i/>
          <w:sz w:val="24"/>
          <w:szCs w:val="24"/>
        </w:rPr>
        <w:t>Emergencia Climática: alcance y obligaciones interamericanas de derechos humanos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la Comisión Interamericana de Derechos Humanos (CIDH) destacó que las autoridades «deben reconocer la centralidad del liderazgo de las niñas, los niños, adolescentes y jóven</w:t>
      </w:r>
      <w:r>
        <w:rPr>
          <w:rFonts w:ascii="Times New Roman" w:eastAsia="Times New Roman" w:hAnsi="Times New Roman" w:cs="Times New Roman"/>
          <w:sz w:val="24"/>
          <w:szCs w:val="24"/>
        </w:rPr>
        <w:t>es, como de sus movimientos, en el combate contra el cambio climático».</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Por tanto, de acuerdo con la CIDH, las autoridades tienen la obligación de «generar los mecanismos de protección necesarios para garantizar que las niñas, niños y adolescentes puedan </w:t>
      </w:r>
      <w:r>
        <w:rPr>
          <w:rFonts w:ascii="Times New Roman" w:eastAsia="Times New Roman" w:hAnsi="Times New Roman" w:cs="Times New Roman"/>
          <w:sz w:val="24"/>
          <w:szCs w:val="24"/>
        </w:rPr>
        <w:t>ejercer sus labores de activismo y defensa de los derechos ambientales, promoviendo también su inclusión y participación en los espacios de toma de decisiones».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rsidR="006F3929" w:rsidRDefault="0009622F">
      <w:pPr>
        <w:spacing w:before="120"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importancia del acceso a la justicia y el rol de los niños, niñas y jóvenes en el litigio </w:t>
      </w:r>
      <w:r>
        <w:rPr>
          <w:rFonts w:ascii="Times New Roman" w:eastAsia="Times New Roman" w:hAnsi="Times New Roman" w:cs="Times New Roman"/>
          <w:sz w:val="24"/>
          <w:szCs w:val="24"/>
        </w:rPr>
        <w:t xml:space="preserve">climático se aborda en el apartado K, párrafo 62, del proyecto de Observación General No. 26. En este párrafo se reconoce que, si bien las niñas y niños han estado a la vanguardia de varios casos relacionados con el cambio climático, su condición les crea </w:t>
      </w:r>
      <w:r>
        <w:rPr>
          <w:rFonts w:ascii="Times New Roman" w:eastAsia="Times New Roman" w:hAnsi="Times New Roman" w:cs="Times New Roman"/>
          <w:sz w:val="24"/>
          <w:szCs w:val="24"/>
        </w:rPr>
        <w:t xml:space="preserve">dificultades para interponer recursos. Particularmente, se indica que uno de los obstáculos para la interposición de recursos es la existencia de </w:t>
      </w:r>
      <w:r>
        <w:rPr>
          <w:rFonts w:ascii="Times New Roman" w:eastAsia="Times New Roman" w:hAnsi="Times New Roman" w:cs="Times New Roman"/>
          <w:b/>
          <w:sz w:val="24"/>
          <w:szCs w:val="24"/>
        </w:rPr>
        <w:t>requisitos restrictivos</w:t>
      </w:r>
      <w:r>
        <w:rPr>
          <w:rFonts w:ascii="Times New Roman" w:eastAsia="Times New Roman" w:hAnsi="Times New Roman" w:cs="Times New Roman"/>
          <w:sz w:val="24"/>
          <w:szCs w:val="24"/>
        </w:rPr>
        <w:t xml:space="preserve"> que exigen que las niñas y niños se vean directamente afectados o que </w:t>
      </w:r>
      <w:r>
        <w:rPr>
          <w:rFonts w:ascii="Times New Roman" w:eastAsia="Times New Roman" w:hAnsi="Times New Roman" w:cs="Times New Roman"/>
          <w:b/>
          <w:sz w:val="24"/>
          <w:szCs w:val="24"/>
        </w:rPr>
        <w:t>tengan un interé</w:t>
      </w:r>
      <w:r>
        <w:rPr>
          <w:rFonts w:ascii="Times New Roman" w:eastAsia="Times New Roman" w:hAnsi="Times New Roman" w:cs="Times New Roman"/>
          <w:b/>
          <w:sz w:val="24"/>
          <w:szCs w:val="24"/>
        </w:rPr>
        <w:t>s suficiente</w:t>
      </w:r>
      <w:r>
        <w:rPr>
          <w:rFonts w:ascii="Times New Roman" w:eastAsia="Times New Roman" w:hAnsi="Times New Roman" w:cs="Times New Roman"/>
          <w:sz w:val="24"/>
          <w:szCs w:val="24"/>
        </w:rPr>
        <w:t xml:space="preserve"> en relación con el daño ambiental.</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En el párrafo 63 también se advierte que los casos relacionados con daños ambientales son complejos debido a la causalidad y a los impactos acumulativos.</w:t>
      </w:r>
    </w:p>
    <w:p w:rsidR="006F3929" w:rsidRDefault="0009622F">
      <w:pPr>
        <w:spacing w:before="20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dar respuesta a estas dificultades, los párrafos</w:t>
      </w:r>
      <w:r>
        <w:rPr>
          <w:rFonts w:ascii="Times New Roman" w:eastAsia="Times New Roman" w:hAnsi="Times New Roman" w:cs="Times New Roman"/>
          <w:sz w:val="24"/>
          <w:szCs w:val="24"/>
        </w:rPr>
        <w:t xml:space="preserve"> 63 y 64 del proyecto de la Observación General resaltan la importancia de que exista «una representación jurídica eficaz de las niñas y niños» y mecanismos judiciales y no judiciales «oportunos, apropiados y eficaces». En el párrafo 67 también se destaca </w:t>
      </w:r>
      <w:r>
        <w:rPr>
          <w:rFonts w:ascii="Times New Roman" w:eastAsia="Times New Roman" w:hAnsi="Times New Roman" w:cs="Times New Roman"/>
          <w:sz w:val="24"/>
          <w:szCs w:val="24"/>
        </w:rPr>
        <w:t>que los Estados deberían explorar opciones para «</w:t>
      </w:r>
      <w:r>
        <w:rPr>
          <w:rFonts w:ascii="Times New Roman" w:eastAsia="Times New Roman" w:hAnsi="Times New Roman" w:cs="Times New Roman"/>
          <w:b/>
          <w:sz w:val="24"/>
          <w:szCs w:val="24"/>
        </w:rPr>
        <w:t>reducir la onerosa carga de la evidencia</w:t>
      </w:r>
      <w:r>
        <w:rPr>
          <w:rFonts w:ascii="Times New Roman" w:eastAsia="Times New Roman" w:hAnsi="Times New Roman" w:cs="Times New Roman"/>
          <w:sz w:val="24"/>
          <w:szCs w:val="24"/>
        </w:rPr>
        <w:t xml:space="preserve"> que recae sobre las niñas y niños demandantes para establecer la causalidad ante las numerosas variables y los déficits de información».</w:t>
      </w:r>
    </w:p>
    <w:p w:rsidR="006F3929" w:rsidRDefault="0009622F">
      <w:pPr>
        <w:spacing w:before="200" w:line="240" w:lineRule="auto"/>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En este aspecto, </w:t>
      </w:r>
      <w:r>
        <w:rPr>
          <w:rFonts w:ascii="Times New Roman" w:eastAsia="Times New Roman" w:hAnsi="Times New Roman" w:cs="Times New Roman"/>
          <w:b/>
          <w:sz w:val="24"/>
          <w:szCs w:val="24"/>
        </w:rPr>
        <w:t xml:space="preserve">coincidimos </w:t>
      </w:r>
      <w:r>
        <w:rPr>
          <w:rFonts w:ascii="Times New Roman" w:eastAsia="Times New Roman" w:hAnsi="Times New Roman" w:cs="Times New Roman"/>
          <w:b/>
          <w:sz w:val="24"/>
          <w:szCs w:val="24"/>
        </w:rPr>
        <w:t xml:space="preserve">en la importancia de reducir la carga de la evidencia </w:t>
      </w:r>
      <w:r>
        <w:rPr>
          <w:rFonts w:ascii="Times New Roman" w:eastAsia="Times New Roman" w:hAnsi="Times New Roman" w:cs="Times New Roman"/>
          <w:sz w:val="24"/>
          <w:szCs w:val="24"/>
        </w:rPr>
        <w:t>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los casos de litigio climático promovidos por niñas y niños, particularmente, porque las notas características del daño ambiental dificultan su aspecto probatorio y son difíciles de integrar en el es</w:t>
      </w:r>
      <w:r>
        <w:rPr>
          <w:rFonts w:ascii="Times New Roman" w:eastAsia="Times New Roman" w:hAnsi="Times New Roman" w:cs="Times New Roman"/>
          <w:sz w:val="24"/>
          <w:szCs w:val="24"/>
        </w:rPr>
        <w:t xml:space="preserve">quema habitual de causalidad jurídica. Sin embargo, </w:t>
      </w:r>
      <w:r>
        <w:rPr>
          <w:rFonts w:ascii="Times New Roman" w:eastAsia="Times New Roman" w:hAnsi="Times New Roman" w:cs="Times New Roman"/>
          <w:b/>
          <w:sz w:val="24"/>
          <w:szCs w:val="24"/>
        </w:rPr>
        <w:t>también recomendamos</w:t>
      </w:r>
      <w:r>
        <w:rPr>
          <w:rFonts w:ascii="Times New Roman" w:eastAsia="Times New Roman" w:hAnsi="Times New Roman" w:cs="Times New Roman"/>
          <w:sz w:val="24"/>
          <w:szCs w:val="24"/>
        </w:rPr>
        <w:t xml:space="preserve"> que, en el apartado K del proyecto, el Comité </w:t>
      </w:r>
      <w:r>
        <w:rPr>
          <w:rFonts w:ascii="Times New Roman" w:eastAsia="Times New Roman" w:hAnsi="Times New Roman" w:cs="Times New Roman"/>
          <w:b/>
          <w:sz w:val="24"/>
          <w:szCs w:val="24"/>
        </w:rPr>
        <w:t>profundice en el tema y haga referencia expresa</w:t>
      </w:r>
      <w:r>
        <w:rPr>
          <w:rFonts w:ascii="Times New Roman" w:eastAsia="Times New Roman" w:hAnsi="Times New Roman" w:cs="Times New Roman"/>
          <w:sz w:val="24"/>
          <w:szCs w:val="24"/>
        </w:rPr>
        <w:t xml:space="preserve"> a algunas de las alternativas para hacer frente a las dificultades probatorias en el liti</w:t>
      </w:r>
      <w:r>
        <w:rPr>
          <w:rFonts w:ascii="Times New Roman" w:eastAsia="Times New Roman" w:hAnsi="Times New Roman" w:cs="Times New Roman"/>
          <w:sz w:val="24"/>
          <w:szCs w:val="24"/>
        </w:rPr>
        <w:t xml:space="preserve">gio climático que han recibido especial atención en el derecho ambiental internacional y en el derecho internacional de </w:t>
      </w:r>
      <w:r>
        <w:rPr>
          <w:rFonts w:ascii="Times New Roman" w:eastAsia="Times New Roman" w:hAnsi="Times New Roman" w:cs="Times New Roman"/>
          <w:sz w:val="24"/>
          <w:szCs w:val="24"/>
        </w:rPr>
        <w:lastRenderedPageBreak/>
        <w:t xml:space="preserve">los derechos humanos, particularmente, (i) la necesidad de realizar una interpretación amplia del concepto de legitimación activa, (ii) </w:t>
      </w:r>
      <w:r>
        <w:rPr>
          <w:rFonts w:ascii="Times New Roman" w:eastAsia="Times New Roman" w:hAnsi="Times New Roman" w:cs="Times New Roman"/>
          <w:sz w:val="24"/>
          <w:szCs w:val="24"/>
        </w:rPr>
        <w:t>la reversión de la carga probatoria conforme al principio de precaución, y (iii) el papel activo de los jueces para allegarse de todos los medios de prueba necesarios en atención al interés superior del menor.</w:t>
      </w:r>
      <w:r>
        <w:t xml:space="preserve"> </w:t>
      </w:r>
    </w:p>
    <w:p w:rsidR="006F3929" w:rsidRDefault="0009622F">
      <w:pPr>
        <w:spacing w:before="20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Relator Especial sobre la promoción y la p</w:t>
      </w:r>
      <w:r>
        <w:rPr>
          <w:rFonts w:ascii="Times New Roman" w:eastAsia="Times New Roman" w:hAnsi="Times New Roman" w:cs="Times New Roman"/>
          <w:sz w:val="24"/>
          <w:szCs w:val="24"/>
        </w:rPr>
        <w:t>rotección de los derechos humanos en el contexto del cambio climático recomendó, en su reciente informe, alentar a todos los Estados a legitimar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los niños y niñas en los sistemas judiciales.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Esta </w:t>
      </w:r>
      <w:r>
        <w:rPr>
          <w:rFonts w:ascii="Times New Roman" w:eastAsia="Times New Roman" w:hAnsi="Times New Roman" w:cs="Times New Roman"/>
          <w:b/>
          <w:sz w:val="24"/>
          <w:szCs w:val="24"/>
        </w:rPr>
        <w:t xml:space="preserve">legitimación activa o </w:t>
      </w:r>
      <w:r>
        <w:rPr>
          <w:rFonts w:ascii="Times New Roman" w:eastAsia="Times New Roman" w:hAnsi="Times New Roman" w:cs="Times New Roman"/>
          <w:b/>
          <w:i/>
          <w:sz w:val="24"/>
          <w:szCs w:val="24"/>
        </w:rPr>
        <w:t xml:space="preserve">standing </w:t>
      </w:r>
      <w:r>
        <w:rPr>
          <w:rFonts w:ascii="Times New Roman" w:eastAsia="Times New Roman" w:hAnsi="Times New Roman" w:cs="Times New Roman"/>
          <w:sz w:val="24"/>
          <w:szCs w:val="24"/>
        </w:rPr>
        <w:t xml:space="preserve">se determina a partir del </w:t>
      </w:r>
      <w:r>
        <w:rPr>
          <w:rFonts w:ascii="Times New Roman" w:eastAsia="Times New Roman" w:hAnsi="Times New Roman" w:cs="Times New Roman"/>
          <w:sz w:val="24"/>
          <w:szCs w:val="24"/>
        </w:rPr>
        <w:t>cumplimiento de diversos requisitos procesales, incluyendo la formulación de argumentos relacionados con la existencia de un daño, la existencia de alguna vulneración a los derechos humanos o a la normatividad nacional o internacional, y la posible respons</w:t>
      </w:r>
      <w:r>
        <w:rPr>
          <w:rFonts w:ascii="Times New Roman" w:eastAsia="Times New Roman" w:hAnsi="Times New Roman" w:cs="Times New Roman"/>
          <w:sz w:val="24"/>
          <w:szCs w:val="24"/>
        </w:rPr>
        <w:t>abilidad por acción u omisión de una autoridad o un particular. Sin embargo, diversas jurisdicciones también se han inclinado por exigir, como parte de los requisitos de admisión de la demanda, pruebas de la materialización del daño y de la existencia de u</w:t>
      </w:r>
      <w:r>
        <w:rPr>
          <w:rFonts w:ascii="Times New Roman" w:eastAsia="Times New Roman" w:hAnsi="Times New Roman" w:cs="Times New Roman"/>
          <w:sz w:val="24"/>
          <w:szCs w:val="24"/>
        </w:rPr>
        <w:t>na relación causal entre la actuación de los demandados y las afectaciones particulares derivadas del cambio climático.</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rsidR="006F3929" w:rsidRDefault="0009622F">
      <w:pPr>
        <w:spacing w:before="20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requisitos de legitimación pueden obstaculizar el acceso a la justicia de niños, niñas y jóvenes en casos relacionados con daños</w:t>
      </w:r>
      <w:r>
        <w:rPr>
          <w:rFonts w:ascii="Times New Roman" w:eastAsia="Times New Roman" w:hAnsi="Times New Roman" w:cs="Times New Roman"/>
          <w:sz w:val="24"/>
          <w:szCs w:val="24"/>
        </w:rPr>
        <w:t xml:space="preserve"> al ambiente.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Por ejemplo, es posible que los niños y sus representantes carezcan de información sobre los efectos de los daños concretos o bien que los daños ambientales no se manifiesten hasta años después de la exposición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lo que puede dificultar o im</w:t>
      </w:r>
      <w:r>
        <w:rPr>
          <w:rFonts w:ascii="Times New Roman" w:eastAsia="Times New Roman" w:hAnsi="Times New Roman" w:cs="Times New Roman"/>
          <w:sz w:val="24"/>
          <w:szCs w:val="24"/>
        </w:rPr>
        <w:t>posibilitar que las personas afectadas estén legitimadas para presentar una demanda, cumplir con los plazos de prescripción aplicables o asumir la carga de la prueba.</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Las autoridades están obligadas a tomar medidas para superar esos obstáculos tomando en </w:t>
      </w:r>
      <w:r>
        <w:rPr>
          <w:rFonts w:ascii="Times New Roman" w:eastAsia="Times New Roman" w:hAnsi="Times New Roman" w:cs="Times New Roman"/>
          <w:sz w:val="24"/>
          <w:szCs w:val="24"/>
        </w:rPr>
        <w:t>cuenta que los niños, niñas y jóvenes «pueden ser más vulnerables a los efectos de las violaciones de sus derechos que los adultos y que los efectos pueden ser irreversibles y causar daños permanentes».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En este contexto, las autoridades deben </w:t>
      </w:r>
      <w:r>
        <w:rPr>
          <w:rFonts w:ascii="Times New Roman" w:eastAsia="Times New Roman" w:hAnsi="Times New Roman" w:cs="Times New Roman"/>
          <w:b/>
          <w:sz w:val="24"/>
          <w:szCs w:val="24"/>
        </w:rPr>
        <w:t>hacer todo l</w:t>
      </w:r>
      <w:r>
        <w:rPr>
          <w:rFonts w:ascii="Times New Roman" w:eastAsia="Times New Roman" w:hAnsi="Times New Roman" w:cs="Times New Roman"/>
          <w:b/>
          <w:sz w:val="24"/>
          <w:szCs w:val="24"/>
        </w:rPr>
        <w:t>o posible para impedir que el daño ambiental se produzca,</w:t>
      </w:r>
      <w:r>
        <w:rPr>
          <w:rFonts w:ascii="Times New Roman" w:eastAsia="Times New Roman" w:hAnsi="Times New Roman" w:cs="Times New Roman"/>
          <w:sz w:val="24"/>
          <w:szCs w:val="24"/>
        </w:rPr>
        <w:t xml:space="preserve"> considerando que «los daños ambientales pueden causar efectos irreversibles, como una mortalidad temprana o una discapacidad permanente, para los cuales ninguna reparación es realmente adecuada».</w:t>
      </w:r>
      <w:r>
        <w:rPr>
          <w:rFonts w:ascii="Times New Roman" w:eastAsia="Times New Roman" w:hAnsi="Times New Roman" w:cs="Times New Roman"/>
          <w:sz w:val="24"/>
          <w:szCs w:val="24"/>
          <w:vertAlign w:val="superscript"/>
        </w:rPr>
        <w:footnoteReference w:id="16"/>
      </w:r>
    </w:p>
    <w:p w:rsidR="006F3929" w:rsidRDefault="0009622F">
      <w:pPr>
        <w:spacing w:before="200" w:line="240" w:lineRule="auto"/>
        <w:ind w:firstLine="284"/>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 xml:space="preserve">Una alternativa para reducir estos obstáculos procesales, garantizar el acceso a la justicia e impedir la materialización del daño es la adopción de una </w:t>
      </w:r>
      <w:r>
        <w:rPr>
          <w:rFonts w:ascii="Times New Roman" w:eastAsia="Times New Roman" w:hAnsi="Times New Roman" w:cs="Times New Roman"/>
          <w:b/>
          <w:sz w:val="24"/>
          <w:szCs w:val="24"/>
        </w:rPr>
        <w:t>interpretación amplia del concepto de legitimación activa</w:t>
      </w:r>
      <w:r>
        <w:rPr>
          <w:rFonts w:ascii="Times New Roman" w:eastAsia="Times New Roman" w:hAnsi="Times New Roman" w:cs="Times New Roman"/>
          <w:sz w:val="24"/>
          <w:szCs w:val="24"/>
        </w:rPr>
        <w:t>. Esta alternativa ha sido explorada, principa</w:t>
      </w:r>
      <w:r>
        <w:rPr>
          <w:rFonts w:ascii="Times New Roman" w:eastAsia="Times New Roman" w:hAnsi="Times New Roman" w:cs="Times New Roman"/>
          <w:sz w:val="24"/>
          <w:szCs w:val="24"/>
        </w:rPr>
        <w:t>lmente, a partir de instrumentos internacionales como el Acuerdo de Escazú.</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Este tratado internacional tiene por objeto «garantizar la implementación plena y efectiva en América Latina y el Caribe de los derechos de acceso a la información ambiental, part</w:t>
      </w:r>
      <w:r>
        <w:rPr>
          <w:rFonts w:ascii="Times New Roman" w:eastAsia="Times New Roman" w:hAnsi="Times New Roman" w:cs="Times New Roman"/>
          <w:sz w:val="24"/>
          <w:szCs w:val="24"/>
        </w:rPr>
        <w:t xml:space="preserve">icipación pública en los procesos de toma de decisiones </w:t>
      </w:r>
      <w:r>
        <w:rPr>
          <w:rFonts w:ascii="Times New Roman" w:eastAsia="Times New Roman" w:hAnsi="Times New Roman" w:cs="Times New Roman"/>
          <w:sz w:val="24"/>
          <w:szCs w:val="24"/>
        </w:rPr>
        <w:lastRenderedPageBreak/>
        <w:t xml:space="preserve">ambientales y acceso a la justicia en asuntos ambientales (...) contribuyendo a la protección del derecho de cada persona, de las generaciones presentes y futuras, a vivir en un medio ambiente sano y </w:t>
      </w:r>
      <w:r>
        <w:rPr>
          <w:rFonts w:ascii="Times New Roman" w:eastAsia="Times New Roman" w:hAnsi="Times New Roman" w:cs="Times New Roman"/>
          <w:sz w:val="24"/>
          <w:szCs w:val="24"/>
        </w:rPr>
        <w:t>al desarrollo sostenible».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rsidR="006F3929" w:rsidRDefault="0009622F">
      <w:pPr>
        <w:spacing w:before="200" w:line="240" w:lineRule="auto"/>
        <w:ind w:firstLine="284"/>
        <w:jc w:val="both"/>
        <w:rPr>
          <w:rFonts w:ascii="Times New Roman" w:eastAsia="Times New Roman" w:hAnsi="Times New Roman" w:cs="Times New Roman"/>
          <w:sz w:val="24"/>
          <w:szCs w:val="24"/>
        </w:rPr>
      </w:pPr>
      <w:bookmarkStart w:id="4" w:name="_heading=h.qytutu62wxox" w:colFirst="0" w:colLast="0"/>
      <w:bookmarkEnd w:id="4"/>
      <w:r>
        <w:rPr>
          <w:rFonts w:ascii="Times New Roman" w:eastAsia="Times New Roman" w:hAnsi="Times New Roman" w:cs="Times New Roman"/>
          <w:sz w:val="24"/>
          <w:szCs w:val="24"/>
        </w:rPr>
        <w:t>El artículo 8 de este instrumento se enfoca en el derecho de acceso a la justicia en asuntos ambientales. En términos de esta disposición, para garantizar el acceso a la justicia, cada Parte debe contar con «</w:t>
      </w:r>
      <w:r>
        <w:rPr>
          <w:rFonts w:ascii="Times New Roman" w:eastAsia="Times New Roman" w:hAnsi="Times New Roman" w:cs="Times New Roman"/>
          <w:b/>
          <w:sz w:val="24"/>
          <w:szCs w:val="24"/>
        </w:rPr>
        <w:t>legitimación activa</w:t>
      </w:r>
      <w:r>
        <w:rPr>
          <w:rFonts w:ascii="Times New Roman" w:eastAsia="Times New Roman" w:hAnsi="Times New Roman" w:cs="Times New Roman"/>
          <w:b/>
          <w:sz w:val="24"/>
          <w:szCs w:val="24"/>
        </w:rPr>
        <w:t xml:space="preserve"> amplia</w:t>
      </w:r>
      <w:r>
        <w:rPr>
          <w:rFonts w:ascii="Times New Roman" w:eastAsia="Times New Roman" w:hAnsi="Times New Roman" w:cs="Times New Roman"/>
          <w:sz w:val="24"/>
          <w:szCs w:val="24"/>
        </w:rPr>
        <w:t xml:space="preserve"> en defensa del medio ambiente, de conformidad con la legislación nacional». Tal como se indica en la Guía de Implementación del Acuerdo de Escazú publicada por la Comisión Económica para América Latina y el Caribe, el alcance de la legitimación en </w:t>
      </w:r>
      <w:r>
        <w:rPr>
          <w:rFonts w:ascii="Times New Roman" w:eastAsia="Times New Roman" w:hAnsi="Times New Roman" w:cs="Times New Roman"/>
          <w:sz w:val="24"/>
          <w:szCs w:val="24"/>
        </w:rPr>
        <w:t>asuntos ambientales «es de suma importancia y constituye uno de los aspectos centrales de garantizar el acceso a la justicia».</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Dadas las particularidades de los casos de litigio ambiental y climático, que pueden implicar intereses colectivos y difusos, «l</w:t>
      </w:r>
      <w:r>
        <w:rPr>
          <w:rFonts w:ascii="Times New Roman" w:eastAsia="Times New Roman" w:hAnsi="Times New Roman" w:cs="Times New Roman"/>
          <w:sz w:val="24"/>
          <w:szCs w:val="24"/>
        </w:rPr>
        <w:t>as interpretaciones excesivamente restrictivas de esta legitimación pueden constituir, de forma directa o indirecta, un obstáculo para la búsqueda de justicia y el pleno ejercicio de los derechos»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Por ello, los Estados Parte incorporaron la obligación de</w:t>
      </w:r>
      <w:r>
        <w:rPr>
          <w:rFonts w:ascii="Times New Roman" w:eastAsia="Times New Roman" w:hAnsi="Times New Roman" w:cs="Times New Roman"/>
          <w:sz w:val="24"/>
          <w:szCs w:val="24"/>
        </w:rPr>
        <w:t xml:space="preserve"> adoptar una legitimación activa amplia.</w:t>
      </w:r>
      <w:r>
        <w:rPr>
          <w:rFonts w:ascii="Times New Roman" w:eastAsia="Times New Roman" w:hAnsi="Times New Roman" w:cs="Times New Roman"/>
          <w:sz w:val="24"/>
          <w:szCs w:val="24"/>
          <w:vertAlign w:val="superscript"/>
        </w:rPr>
        <w:footnoteReference w:id="21"/>
      </w:r>
    </w:p>
    <w:p w:rsidR="006F3929" w:rsidRDefault="0009622F">
      <w:pPr>
        <w:spacing w:before="20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el Acuerdo de Escazú no es el único instrumento internacional que ha orientado la interpretación de la legitimación activa en asuntos ambientales y climáticos. Por ejemplo, el Principio 10 de la </w:t>
      </w:r>
      <w:r>
        <w:rPr>
          <w:rFonts w:ascii="Times New Roman" w:eastAsia="Times New Roman" w:hAnsi="Times New Roman" w:cs="Times New Roman"/>
          <w:b/>
          <w:sz w:val="24"/>
          <w:szCs w:val="24"/>
        </w:rPr>
        <w:t>Declara</w:t>
      </w:r>
      <w:r>
        <w:rPr>
          <w:rFonts w:ascii="Times New Roman" w:eastAsia="Times New Roman" w:hAnsi="Times New Roman" w:cs="Times New Roman"/>
          <w:b/>
          <w:sz w:val="24"/>
          <w:szCs w:val="24"/>
        </w:rPr>
        <w:t>ción de Río sobre el Medio Ambiente y el Desarrollo</w:t>
      </w:r>
      <w:r>
        <w:rPr>
          <w:rFonts w:ascii="Times New Roman" w:eastAsia="Times New Roman" w:hAnsi="Times New Roman" w:cs="Times New Roman"/>
          <w:sz w:val="24"/>
          <w:szCs w:val="24"/>
        </w:rPr>
        <w:t xml:space="preserve"> de 1992 establece que los Estados deben proporcionar acceso efectivo a procedimientos judiciales y administrativos.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Este principio fue desarrollado en la Guía para la elaboración de legislación nacional </w:t>
      </w:r>
      <w:r>
        <w:rPr>
          <w:rFonts w:ascii="Times New Roman" w:eastAsia="Times New Roman" w:hAnsi="Times New Roman" w:cs="Times New Roman"/>
          <w:sz w:val="24"/>
          <w:szCs w:val="24"/>
        </w:rPr>
        <w:t>sobre el acceso a la información, participación del público en la toma de decisiones y el acceso a la justicia en materia de medio ambiente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también conocida como las</w:t>
      </w:r>
      <w:r>
        <w:rPr>
          <w:rFonts w:ascii="Times New Roman" w:eastAsia="Times New Roman" w:hAnsi="Times New Roman" w:cs="Times New Roman"/>
          <w:b/>
          <w:sz w:val="24"/>
          <w:szCs w:val="24"/>
        </w:rPr>
        <w:t xml:space="preserve"> Directrices de Bali</w:t>
      </w:r>
      <w:r>
        <w:rPr>
          <w:rFonts w:ascii="Times New Roman" w:eastAsia="Times New Roman" w:hAnsi="Times New Roman" w:cs="Times New Roman"/>
          <w:sz w:val="24"/>
          <w:szCs w:val="24"/>
        </w:rPr>
        <w:t>. Estas directrices fueron elaboradas por el Programa de las Naciones</w:t>
      </w:r>
      <w:r>
        <w:rPr>
          <w:rFonts w:ascii="Times New Roman" w:eastAsia="Times New Roman" w:hAnsi="Times New Roman" w:cs="Times New Roman"/>
          <w:sz w:val="24"/>
          <w:szCs w:val="24"/>
        </w:rPr>
        <w:t xml:space="preserve"> Unidas para el Medio Ambiente y pretenden orientar a los Estados sobre el fomento de un cumplimiento efectivo de los compromisos contraídos con el Principio 10. Por ejemplo, la Directriz 18 establece que los Estados deben dar «una interpretación amplia de</w:t>
      </w:r>
      <w:r>
        <w:rPr>
          <w:rFonts w:ascii="Times New Roman" w:eastAsia="Times New Roman" w:hAnsi="Times New Roman" w:cs="Times New Roman"/>
          <w:sz w:val="24"/>
          <w:szCs w:val="24"/>
        </w:rPr>
        <w:t>l derecho a iniciar una demanda en relación con asuntos ambientales con miras a lograr el acceso efectivo a la justicia».</w:t>
      </w:r>
    </w:p>
    <w:p w:rsidR="006F3929" w:rsidRDefault="0009622F">
      <w:pPr>
        <w:spacing w:before="200" w:line="240" w:lineRule="auto"/>
        <w:ind w:firstLine="284"/>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 partir de estos instrumentos internacionales, tribunales como la Suprema Corte de Justicia de la Nación en México han concluido que,</w:t>
      </w:r>
      <w:r>
        <w:rPr>
          <w:rFonts w:ascii="Times New Roman" w:eastAsia="Times New Roman" w:hAnsi="Times New Roman" w:cs="Times New Roman"/>
          <w:sz w:val="24"/>
          <w:szCs w:val="24"/>
        </w:rPr>
        <w:t xml:space="preserve"> para cumplir con los requisitos de la legitimación activa, «</w:t>
      </w:r>
      <w:r>
        <w:rPr>
          <w:rFonts w:ascii="Times New Roman" w:eastAsia="Times New Roman" w:hAnsi="Times New Roman" w:cs="Times New Roman"/>
          <w:b/>
          <w:sz w:val="24"/>
          <w:szCs w:val="24"/>
        </w:rPr>
        <w:t xml:space="preserve">no es necesario demostrar el daño al medio ambiente </w:t>
      </w:r>
      <w:r>
        <w:rPr>
          <w:rFonts w:ascii="Times New Roman" w:eastAsia="Times New Roman" w:hAnsi="Times New Roman" w:cs="Times New Roman"/>
          <w:sz w:val="24"/>
          <w:szCs w:val="24"/>
        </w:rPr>
        <w:t xml:space="preserve">pues, en todo caso, y desde un enfoque precautorio, el daño o el riesgo de daño al medio ambiente </w:t>
      </w:r>
      <w:r>
        <w:rPr>
          <w:rFonts w:ascii="Times New Roman" w:eastAsia="Times New Roman" w:hAnsi="Times New Roman" w:cs="Times New Roman"/>
          <w:b/>
          <w:sz w:val="24"/>
          <w:szCs w:val="24"/>
        </w:rPr>
        <w:t>constituirá la materia de fondo</w:t>
      </w:r>
      <w:r>
        <w:rPr>
          <w:rFonts w:ascii="Times New Roman" w:eastAsia="Times New Roman" w:hAnsi="Times New Roman" w:cs="Times New Roman"/>
          <w:sz w:val="24"/>
          <w:szCs w:val="24"/>
        </w:rPr>
        <w:t xml:space="preserve"> del juicio».</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Esta interpretación amplia de la legitimación activa consideró el contenido de uno de los principios más importantes del derecho ambiental internacional: el</w:t>
      </w:r>
      <w:r>
        <w:rPr>
          <w:rFonts w:ascii="Times New Roman" w:eastAsia="Times New Roman" w:hAnsi="Times New Roman" w:cs="Times New Roman"/>
          <w:b/>
          <w:sz w:val="24"/>
          <w:szCs w:val="24"/>
        </w:rPr>
        <w:t xml:space="preserve"> principio de precaución</w:t>
      </w:r>
      <w:r>
        <w:rPr>
          <w:rFonts w:ascii="Times New Roman" w:eastAsia="Times New Roman" w:hAnsi="Times New Roman" w:cs="Times New Roman"/>
          <w:sz w:val="24"/>
          <w:szCs w:val="24"/>
        </w:rPr>
        <w:t>. En atención a este principio, cuando existe peligro de daño grave o irrev</w:t>
      </w:r>
      <w:r>
        <w:rPr>
          <w:rFonts w:ascii="Times New Roman" w:eastAsia="Times New Roman" w:hAnsi="Times New Roman" w:cs="Times New Roman"/>
          <w:sz w:val="24"/>
          <w:szCs w:val="24"/>
        </w:rPr>
        <w:t>ersible, la falta de certeza científica absoluta no debe utilizarse como razón para postergar la adopción de medidas para impedir la degradación ambiental.</w:t>
      </w:r>
      <w:r>
        <w:rPr>
          <w:rFonts w:ascii="Times New Roman" w:eastAsia="Times New Roman" w:hAnsi="Times New Roman" w:cs="Times New Roman"/>
          <w:sz w:val="24"/>
          <w:szCs w:val="24"/>
          <w:vertAlign w:val="superscript"/>
        </w:rPr>
        <w:footnoteReference w:id="25"/>
      </w:r>
    </w:p>
    <w:p w:rsidR="006F3929" w:rsidRDefault="0009622F">
      <w:pPr>
        <w:spacing w:before="20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principio también debe orientar la actividad jurisdiccional, particularmente, en los casos de</w:t>
      </w:r>
      <w:r>
        <w:rPr>
          <w:rFonts w:ascii="Times New Roman" w:eastAsia="Times New Roman" w:hAnsi="Times New Roman" w:cs="Times New Roman"/>
          <w:sz w:val="24"/>
          <w:szCs w:val="24"/>
        </w:rPr>
        <w:t xml:space="preserve"> litigio climático que son promovidos por niños, niñas y jóvenes. Tal como se indica en el párrafo </w:t>
      </w:r>
      <w:r>
        <w:rPr>
          <w:rFonts w:ascii="Times New Roman" w:eastAsia="Times New Roman" w:hAnsi="Times New Roman" w:cs="Times New Roman"/>
          <w:sz w:val="24"/>
          <w:szCs w:val="24"/>
        </w:rPr>
        <w:lastRenderedPageBreak/>
        <w:t>15 del proyecto de la Observación General No. 26, el principio de precaución exige que los Estados adopten medidas para prevenir los daños ambientales a niña</w:t>
      </w:r>
      <w:r>
        <w:rPr>
          <w:rFonts w:ascii="Times New Roman" w:eastAsia="Times New Roman" w:hAnsi="Times New Roman" w:cs="Times New Roman"/>
          <w:sz w:val="24"/>
          <w:szCs w:val="24"/>
        </w:rPr>
        <w:t xml:space="preserve">s y niños, especialmente cuando hay amenazas de daños graves o irreversibles, aunque la evidencia científica no sea concluyente. En este aspecto, </w:t>
      </w:r>
      <w:r>
        <w:rPr>
          <w:rFonts w:ascii="Times New Roman" w:eastAsia="Times New Roman" w:hAnsi="Times New Roman" w:cs="Times New Roman"/>
          <w:b/>
          <w:sz w:val="24"/>
          <w:szCs w:val="24"/>
        </w:rPr>
        <w:t xml:space="preserve">coincidimos </w:t>
      </w:r>
      <w:r>
        <w:rPr>
          <w:rFonts w:ascii="Times New Roman" w:eastAsia="Times New Roman" w:hAnsi="Times New Roman" w:cs="Times New Roman"/>
          <w:sz w:val="24"/>
          <w:szCs w:val="24"/>
        </w:rPr>
        <w:t xml:space="preserve">con la conclusión del Comité y </w:t>
      </w:r>
      <w:r>
        <w:rPr>
          <w:rFonts w:ascii="Times New Roman" w:eastAsia="Times New Roman" w:hAnsi="Times New Roman" w:cs="Times New Roman"/>
          <w:b/>
          <w:sz w:val="24"/>
          <w:szCs w:val="24"/>
        </w:rPr>
        <w:t>resaltamos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 importancia de vincular el principio de precaución co</w:t>
      </w:r>
      <w:r>
        <w:rPr>
          <w:rFonts w:ascii="Times New Roman" w:eastAsia="Times New Roman" w:hAnsi="Times New Roman" w:cs="Times New Roman"/>
          <w:b/>
          <w:sz w:val="24"/>
          <w:szCs w:val="24"/>
        </w:rPr>
        <w:t>n el apartado K sobre acceso a la justicia</w:t>
      </w:r>
      <w:r>
        <w:rPr>
          <w:rFonts w:ascii="Times New Roman" w:eastAsia="Times New Roman" w:hAnsi="Times New Roman" w:cs="Times New Roman"/>
          <w:sz w:val="24"/>
          <w:szCs w:val="24"/>
        </w:rPr>
        <w:t xml:space="preserve">. Tal como ilustran diversos ejemplos de litigio climático en la región, el principio de precaución debe regir el estudio de la legitimación activa y puede contribuir a garantizar el acceso a la justicia de niños, </w:t>
      </w:r>
      <w:r>
        <w:rPr>
          <w:rFonts w:ascii="Times New Roman" w:eastAsia="Times New Roman" w:hAnsi="Times New Roman" w:cs="Times New Roman"/>
          <w:sz w:val="24"/>
          <w:szCs w:val="24"/>
        </w:rPr>
        <w:t>niños y jóvenes.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t>
      </w:r>
    </w:p>
    <w:p w:rsidR="006F3929" w:rsidRDefault="0009622F">
      <w:pPr>
        <w:spacing w:before="20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interpretación amplia de la legitimación activa que considere el principio de precaución también puede contribuir a que los Estados exploren la posibilidad de </w:t>
      </w:r>
      <w:r>
        <w:rPr>
          <w:rFonts w:ascii="Times New Roman" w:eastAsia="Times New Roman" w:hAnsi="Times New Roman" w:cs="Times New Roman"/>
          <w:b/>
          <w:sz w:val="24"/>
          <w:szCs w:val="24"/>
        </w:rPr>
        <w:t>revertir la carga de la prueba</w:t>
      </w:r>
      <w:r>
        <w:rPr>
          <w:rFonts w:ascii="Times New Roman" w:eastAsia="Times New Roman" w:hAnsi="Times New Roman" w:cs="Times New Roman"/>
          <w:sz w:val="24"/>
          <w:szCs w:val="24"/>
        </w:rPr>
        <w:t xml:space="preserve"> a cargo del agente potencialmente responsab</w:t>
      </w:r>
      <w:r>
        <w:rPr>
          <w:rFonts w:ascii="Times New Roman" w:eastAsia="Times New Roman" w:hAnsi="Times New Roman" w:cs="Times New Roman"/>
          <w:sz w:val="24"/>
          <w:szCs w:val="24"/>
        </w:rPr>
        <w:t>le en casos judiciales relacionados con la protección del medio ambiente y el combate al cambio climático.</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Esta posibilidad incluso se ha interpretado como una obligación en el artículo 8.3 del Acuerdo de Escazú, que establece que las Partes contarán con </w:t>
      </w:r>
      <w:r>
        <w:rPr>
          <w:rFonts w:ascii="Times New Roman" w:eastAsia="Times New Roman" w:hAnsi="Times New Roman" w:cs="Times New Roman"/>
          <w:sz w:val="24"/>
          <w:szCs w:val="24"/>
        </w:rPr>
        <w:t>«medidas para facilitar la producción de la prueba del daño ambiental como la inversión de la carga de la prueba y la carga dinámica de la prueba». La reversión de la carga de la prueba parte del reconocimiento de que la valoración de riesgos y daños ambie</w:t>
      </w:r>
      <w:r>
        <w:rPr>
          <w:rFonts w:ascii="Times New Roman" w:eastAsia="Times New Roman" w:hAnsi="Times New Roman" w:cs="Times New Roman"/>
          <w:sz w:val="24"/>
          <w:szCs w:val="24"/>
        </w:rPr>
        <w:t>ntales está condicionada, por regla general, por la incertidumbre científica.</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Asimismo, reconoce que en este tipo de controversias se parte de una situación de desigualdad entre la autoridad o el agente responsable y los demandantes, ya sea en términos de</w:t>
      </w:r>
      <w:r>
        <w:rPr>
          <w:rFonts w:ascii="Times New Roman" w:eastAsia="Times New Roman" w:hAnsi="Times New Roman" w:cs="Times New Roman"/>
          <w:sz w:val="24"/>
          <w:szCs w:val="24"/>
        </w:rPr>
        <w:t xml:space="preserve"> poder político, técnico o económico.</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Esta asimetría es aún más clara cuando los promoventes son niños y niñas, particularmente, porque son más vulnerables al cambio climático y porque se enfrentan a dificultades especiales a la hora de interponer recurso</w:t>
      </w:r>
      <w:r>
        <w:rPr>
          <w:rFonts w:ascii="Times New Roman" w:eastAsia="Times New Roman" w:hAnsi="Times New Roman" w:cs="Times New Roman"/>
          <w:sz w:val="24"/>
          <w:szCs w:val="24"/>
        </w:rPr>
        <w:t>s, como reconoce el proyecto de la Observación General.</w:t>
      </w:r>
    </w:p>
    <w:p w:rsidR="006F3929" w:rsidRDefault="0009622F">
      <w:pPr>
        <w:spacing w:before="20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párrafo 67 del proyecto ya reconoce la importancia de explorar opciones para reducir la carga de la evidencia que recae sobre las niñas y niños demandantes, considerando que la carga debería recaer</w:t>
      </w:r>
      <w:r>
        <w:rPr>
          <w:rFonts w:ascii="Times New Roman" w:eastAsia="Times New Roman" w:hAnsi="Times New Roman" w:cs="Times New Roman"/>
          <w:sz w:val="24"/>
          <w:szCs w:val="24"/>
        </w:rPr>
        <w:t xml:space="preserve"> sobre el Estado o los actores privados cuyas actividades contaminantes y contribución a las emisiones de gases de efecto invernadero causan daño a los niños y niñas. En este aspecto, </w:t>
      </w:r>
      <w:r>
        <w:rPr>
          <w:rFonts w:ascii="Times New Roman" w:eastAsia="Times New Roman" w:hAnsi="Times New Roman" w:cs="Times New Roman"/>
          <w:b/>
          <w:sz w:val="24"/>
          <w:szCs w:val="24"/>
        </w:rPr>
        <w:t>coincidimos</w:t>
      </w:r>
      <w:r>
        <w:rPr>
          <w:rFonts w:ascii="Times New Roman" w:eastAsia="Times New Roman" w:hAnsi="Times New Roman" w:cs="Times New Roman"/>
          <w:sz w:val="24"/>
          <w:szCs w:val="24"/>
        </w:rPr>
        <w:t xml:space="preserve"> en la importancia de la conclusión del Comité de los Derecho</w:t>
      </w:r>
      <w:r>
        <w:rPr>
          <w:rFonts w:ascii="Times New Roman" w:eastAsia="Times New Roman" w:hAnsi="Times New Roman" w:cs="Times New Roman"/>
          <w:sz w:val="24"/>
          <w:szCs w:val="24"/>
        </w:rPr>
        <w:t xml:space="preserve">s del Niño y </w:t>
      </w:r>
      <w:r>
        <w:rPr>
          <w:rFonts w:ascii="Times New Roman" w:eastAsia="Times New Roman" w:hAnsi="Times New Roman" w:cs="Times New Roman"/>
          <w:b/>
          <w:sz w:val="24"/>
          <w:szCs w:val="24"/>
        </w:rPr>
        <w:t>recomendamos que se haga referencia expresa a la posibilidad de que los Estados exploren la reversión de la carga de la prueba en casos promovidos por niños y niñas</w:t>
      </w:r>
      <w:r>
        <w:rPr>
          <w:rFonts w:ascii="Times New Roman" w:eastAsia="Times New Roman" w:hAnsi="Times New Roman" w:cs="Times New Roman"/>
          <w:sz w:val="24"/>
          <w:szCs w:val="24"/>
        </w:rPr>
        <w:t>. Esta también es una oportunidad para vincular, en el apartado K, la discusión</w:t>
      </w:r>
      <w:r>
        <w:rPr>
          <w:rFonts w:ascii="Times New Roman" w:eastAsia="Times New Roman" w:hAnsi="Times New Roman" w:cs="Times New Roman"/>
          <w:sz w:val="24"/>
          <w:szCs w:val="24"/>
        </w:rPr>
        <w:t xml:space="preserve"> de la carga de la prueba con la necesidad de realizar una interpretación amplia del concepto de legitimación activa. </w:t>
      </w:r>
    </w:p>
    <w:p w:rsidR="006F3929" w:rsidRDefault="0009622F">
      <w:pPr>
        <w:spacing w:before="20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una forma de contribuir al acceso a la justicia de niños, niñas y jóvenes en casos de litigio climático es la adopción de un </w:t>
      </w:r>
      <w:r>
        <w:rPr>
          <w:rFonts w:ascii="Times New Roman" w:eastAsia="Times New Roman" w:hAnsi="Times New Roman" w:cs="Times New Roman"/>
          <w:b/>
          <w:sz w:val="24"/>
          <w:szCs w:val="24"/>
        </w:rPr>
        <w:t xml:space="preserve">papel activo </w:t>
      </w:r>
      <w:r>
        <w:rPr>
          <w:rFonts w:ascii="Times New Roman" w:eastAsia="Times New Roman" w:hAnsi="Times New Roman" w:cs="Times New Roman"/>
          <w:sz w:val="24"/>
          <w:szCs w:val="24"/>
        </w:rPr>
        <w:t xml:space="preserve">por parte de las autoridades judiciales o administrativas para allegarse de los medios de prueba necesarios en atención al </w:t>
      </w:r>
      <w:r>
        <w:rPr>
          <w:rFonts w:ascii="Times New Roman" w:eastAsia="Times New Roman" w:hAnsi="Times New Roman" w:cs="Times New Roman"/>
          <w:b/>
          <w:sz w:val="24"/>
          <w:szCs w:val="24"/>
        </w:rPr>
        <w:t>interés superior del menor</w:t>
      </w:r>
      <w:r>
        <w:rPr>
          <w:rFonts w:ascii="Times New Roman" w:eastAsia="Times New Roman" w:hAnsi="Times New Roman" w:cs="Times New Roman"/>
          <w:sz w:val="24"/>
          <w:szCs w:val="24"/>
        </w:rPr>
        <w:t>. Tal como ha precisado el Comité de los Derechos del Niño, en virtud de la Convención sobre los Derechos del Niño, las autoridades tienen la obligación de adoptar y aplicar medidas especiales de protección, asistencia y atención de los niños en decisiones</w:t>
      </w:r>
      <w:r>
        <w:rPr>
          <w:rFonts w:ascii="Times New Roman" w:eastAsia="Times New Roman" w:hAnsi="Times New Roman" w:cs="Times New Roman"/>
          <w:sz w:val="24"/>
          <w:szCs w:val="24"/>
        </w:rPr>
        <w:t xml:space="preserve"> relativas a la protección del medio ambiente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y de «velar por que el interés superior de los niños sea una consideración primordial en todas las medidas concernientes a estos».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Este interés también debe orientar la </w:t>
      </w:r>
      <w:r>
        <w:rPr>
          <w:rFonts w:ascii="Times New Roman" w:eastAsia="Times New Roman" w:hAnsi="Times New Roman" w:cs="Times New Roman"/>
          <w:sz w:val="24"/>
          <w:szCs w:val="24"/>
        </w:rPr>
        <w:lastRenderedPageBreak/>
        <w:t>interpretación de la legitimación activ</w:t>
      </w:r>
      <w:r>
        <w:rPr>
          <w:rFonts w:ascii="Times New Roman" w:eastAsia="Times New Roman" w:hAnsi="Times New Roman" w:cs="Times New Roman"/>
          <w:sz w:val="24"/>
          <w:szCs w:val="24"/>
        </w:rPr>
        <w:t>a y la actuación de las autoridades en casos de litigio climático. Por ejemplo, las autoridades judiciales de los Estados podrían explorar la posibilidad de allegarse, incluso de oficio, de los medios de prueba necesarios para analizar la legitimación de l</w:t>
      </w:r>
      <w:r>
        <w:rPr>
          <w:rFonts w:ascii="Times New Roman" w:eastAsia="Times New Roman" w:hAnsi="Times New Roman" w:cs="Times New Roman"/>
          <w:sz w:val="24"/>
          <w:szCs w:val="24"/>
        </w:rPr>
        <w:t>os niños y niñas. Esto implicaría que las autoridades (i) no desechen demandas o recursos de forma automática si consideran que son necesarios más elementos probatorios y (ii) que determinen cómo pueden allegarse de esa información y qué autoridades o acto</w:t>
      </w:r>
      <w:r>
        <w:rPr>
          <w:rFonts w:ascii="Times New Roman" w:eastAsia="Times New Roman" w:hAnsi="Times New Roman" w:cs="Times New Roman"/>
          <w:sz w:val="24"/>
          <w:szCs w:val="24"/>
        </w:rPr>
        <w:t xml:space="preserve">res están en mejor posición para proporcionarla. Por ello, </w:t>
      </w:r>
      <w:r>
        <w:rPr>
          <w:rFonts w:ascii="Times New Roman" w:eastAsia="Times New Roman" w:hAnsi="Times New Roman" w:cs="Times New Roman"/>
          <w:b/>
          <w:sz w:val="24"/>
          <w:szCs w:val="24"/>
        </w:rPr>
        <w:t>recomendamos que se reconozca expresamente en los apartados H o K que las autoridades deben guiarse por el interés superior del niño para asegurar el acceso a la justicia</w:t>
      </w:r>
      <w:r>
        <w:rPr>
          <w:rFonts w:ascii="Times New Roman" w:eastAsia="Times New Roman" w:hAnsi="Times New Roman" w:cs="Times New Roman"/>
          <w:sz w:val="24"/>
          <w:szCs w:val="24"/>
        </w:rPr>
        <w:t>. Esto también permitiría c</w:t>
      </w:r>
      <w:r>
        <w:rPr>
          <w:rFonts w:ascii="Times New Roman" w:eastAsia="Times New Roman" w:hAnsi="Times New Roman" w:cs="Times New Roman"/>
          <w:sz w:val="24"/>
          <w:szCs w:val="24"/>
        </w:rPr>
        <w:t>oncluir que el interés superior del niño debe guiar el análisis de la legitimación activa.</w:t>
      </w:r>
    </w:p>
    <w:p w:rsidR="006F3929" w:rsidRDefault="006F3929">
      <w:pPr>
        <w:spacing w:before="200" w:line="240" w:lineRule="auto"/>
        <w:ind w:firstLine="284"/>
        <w:jc w:val="both"/>
        <w:rPr>
          <w:rFonts w:ascii="Times New Roman" w:eastAsia="Times New Roman" w:hAnsi="Times New Roman" w:cs="Times New Roman"/>
          <w:sz w:val="24"/>
          <w:szCs w:val="24"/>
        </w:rPr>
      </w:pPr>
    </w:p>
    <w:p w:rsidR="006F3929" w:rsidRDefault="006F3929">
      <w:pPr>
        <w:spacing w:before="200" w:line="240" w:lineRule="auto"/>
        <w:ind w:firstLine="284"/>
        <w:jc w:val="both"/>
        <w:rPr>
          <w:rFonts w:ascii="Times New Roman" w:eastAsia="Times New Roman" w:hAnsi="Times New Roman" w:cs="Times New Roman"/>
          <w:sz w:val="24"/>
          <w:szCs w:val="24"/>
        </w:rPr>
      </w:pPr>
    </w:p>
    <w:p w:rsidR="006F3929" w:rsidRDefault="006F3929">
      <w:pPr>
        <w:rPr>
          <w:rFonts w:ascii="Times New Roman" w:eastAsia="Times New Roman" w:hAnsi="Times New Roman" w:cs="Times New Roman"/>
          <w:sz w:val="24"/>
          <w:szCs w:val="24"/>
        </w:rPr>
      </w:pPr>
    </w:p>
    <w:sectPr w:rsidR="006F392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2F" w:rsidRDefault="0009622F">
      <w:pPr>
        <w:spacing w:after="0" w:line="240" w:lineRule="auto"/>
      </w:pPr>
      <w:r>
        <w:separator/>
      </w:r>
    </w:p>
  </w:endnote>
  <w:endnote w:type="continuationSeparator" w:id="0">
    <w:p w:rsidR="0009622F" w:rsidRDefault="0009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29" w:rsidRDefault="000962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5E3FAB">
      <w:rPr>
        <w:rFonts w:ascii="Times New Roman" w:eastAsia="Times New Roman" w:hAnsi="Times New Roman" w:cs="Times New Roman"/>
        <w:sz w:val="20"/>
        <w:szCs w:val="20"/>
      </w:rPr>
      <w:fldChar w:fldCharType="separate"/>
    </w:r>
    <w:r w:rsidR="005E3FAB">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2F" w:rsidRDefault="0009622F">
      <w:pPr>
        <w:spacing w:after="0" w:line="240" w:lineRule="auto"/>
      </w:pPr>
      <w:r>
        <w:separator/>
      </w:r>
    </w:p>
  </w:footnote>
  <w:footnote w:type="continuationSeparator" w:id="0">
    <w:p w:rsidR="0009622F" w:rsidRDefault="0009622F">
      <w:pPr>
        <w:spacing w:after="0" w:line="240" w:lineRule="auto"/>
      </w:pPr>
      <w:r>
        <w:continuationSeparator/>
      </w:r>
    </w:p>
  </w:footnote>
  <w:footnote w:id="1">
    <w:p w:rsidR="006F3929" w:rsidRPr="005E3FAB" w:rsidRDefault="0009622F" w:rsidP="005E3FAB">
      <w:pPr>
        <w:pBdr>
          <w:top w:val="nil"/>
          <w:left w:val="nil"/>
          <w:bottom w:val="nil"/>
          <w:right w:val="nil"/>
          <w:between w:val="nil"/>
        </w:pBdr>
        <w:spacing w:after="0" w:line="240" w:lineRule="auto"/>
        <w:rPr>
          <w:rFonts w:ascii="Times New Roman" w:eastAsia="Times New Roman" w:hAnsi="Times New Roman" w:cs="Times New Roman"/>
          <w:sz w:val="18"/>
          <w:szCs w:val="18"/>
          <w:lang w:val="en-US"/>
        </w:rPr>
      </w:pPr>
      <w:bookmarkStart w:id="0" w:name="_GoBack"/>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color w:val="000000"/>
          <w:sz w:val="18"/>
          <w:szCs w:val="18"/>
          <w:lang w:val="en-US"/>
        </w:rPr>
        <w:t xml:space="preserve"> </w:t>
      </w:r>
      <w:hyperlink r:id="rId1">
        <w:r w:rsidRPr="005E3FAB">
          <w:rPr>
            <w:rFonts w:ascii="Times New Roman" w:eastAsia="Times New Roman" w:hAnsi="Times New Roman" w:cs="Times New Roman"/>
            <w:sz w:val="18"/>
            <w:szCs w:val="18"/>
            <w:u w:val="single"/>
            <w:lang w:val="en-US"/>
          </w:rPr>
          <w:t>https://litigioclimatico.com/es</w:t>
        </w:r>
      </w:hyperlink>
      <w:r w:rsidRPr="005E3FAB">
        <w:rPr>
          <w:rFonts w:ascii="Times New Roman" w:eastAsia="Times New Roman" w:hAnsi="Times New Roman" w:cs="Times New Roman"/>
          <w:sz w:val="18"/>
          <w:szCs w:val="18"/>
          <w:lang w:val="en-US"/>
        </w:rPr>
        <w:t xml:space="preserve"> </w:t>
      </w:r>
    </w:p>
  </w:footnote>
  <w:footnote w:id="2">
    <w:p w:rsidR="006F3929" w:rsidRPr="005E3FAB" w:rsidRDefault="0009622F" w:rsidP="005E3FAB">
      <w:pPr>
        <w:spacing w:after="0" w:line="240" w:lineRule="auto"/>
        <w:rPr>
          <w:rFonts w:ascii="Times New Roman" w:eastAsia="Times New Roman" w:hAnsi="Times New Roman" w:cs="Times New Roman"/>
          <w:sz w:val="18"/>
          <w:szCs w:val="18"/>
          <w:u w:val="single"/>
          <w:lang w:val="en-US"/>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lang w:val="en-US"/>
        </w:rPr>
        <w:t xml:space="preserve"> UNEP, </w:t>
      </w:r>
      <w:r w:rsidRPr="005E3FAB">
        <w:rPr>
          <w:rFonts w:ascii="Times New Roman" w:eastAsia="Times New Roman" w:hAnsi="Times New Roman" w:cs="Times New Roman"/>
          <w:i/>
          <w:sz w:val="18"/>
          <w:szCs w:val="18"/>
          <w:lang w:val="en-US"/>
        </w:rPr>
        <w:t>Global Climate Litigation Report: 2020 Status Review</w:t>
      </w:r>
      <w:r w:rsidRPr="005E3FAB">
        <w:rPr>
          <w:rFonts w:ascii="Times New Roman" w:eastAsia="Times New Roman" w:hAnsi="Times New Roman" w:cs="Times New Roman"/>
          <w:sz w:val="18"/>
          <w:szCs w:val="18"/>
          <w:lang w:val="en-US"/>
        </w:rPr>
        <w:t xml:space="preserve">, pp. 2, 14, 16. </w:t>
      </w:r>
    </w:p>
  </w:footnote>
  <w:footnote w:id="3">
    <w:p w:rsidR="006F3929" w:rsidRPr="005E3FAB" w:rsidRDefault="0009622F" w:rsidP="005E3FAB">
      <w:pPr>
        <w:spacing w:after="0" w:line="240" w:lineRule="auto"/>
        <w:jc w:val="both"/>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lang w:val="en-US"/>
        </w:rPr>
        <w:t xml:space="preserve"> Elizabeth </w:t>
      </w:r>
      <w:proofErr w:type="spellStart"/>
      <w:r w:rsidRPr="005E3FAB">
        <w:rPr>
          <w:rFonts w:ascii="Times New Roman" w:eastAsia="Times New Roman" w:hAnsi="Times New Roman" w:cs="Times New Roman"/>
          <w:sz w:val="18"/>
          <w:szCs w:val="18"/>
          <w:lang w:val="en-US"/>
        </w:rPr>
        <w:t>Donger</w:t>
      </w:r>
      <w:proofErr w:type="spellEnd"/>
      <w:r w:rsidRPr="005E3FAB">
        <w:rPr>
          <w:rFonts w:ascii="Times New Roman" w:eastAsia="Times New Roman" w:hAnsi="Times New Roman" w:cs="Times New Roman"/>
          <w:sz w:val="18"/>
          <w:szCs w:val="18"/>
          <w:lang w:val="en-US"/>
        </w:rPr>
        <w:t xml:space="preserve">, Children and Youth in Strategic Climate Litigation: Advancing Rights through Legal Argument and Legal Mobilization. </w:t>
      </w:r>
      <w:proofErr w:type="spellStart"/>
      <w:r w:rsidRPr="005E3FAB">
        <w:rPr>
          <w:rFonts w:ascii="Times New Roman" w:eastAsia="Times New Roman" w:hAnsi="Times New Roman" w:cs="Times New Roman"/>
          <w:i/>
          <w:sz w:val="18"/>
          <w:szCs w:val="18"/>
        </w:rPr>
        <w:t>Transnational</w:t>
      </w:r>
      <w:proofErr w:type="spellEnd"/>
      <w:r w:rsidRPr="005E3FAB">
        <w:rPr>
          <w:rFonts w:ascii="Times New Roman" w:eastAsia="Times New Roman" w:hAnsi="Times New Roman" w:cs="Times New Roman"/>
          <w:i/>
          <w:sz w:val="18"/>
          <w:szCs w:val="18"/>
        </w:rPr>
        <w:t xml:space="preserve"> Environmental Law</w:t>
      </w:r>
      <w:r w:rsidRPr="005E3FAB">
        <w:rPr>
          <w:rFonts w:ascii="Times New Roman" w:eastAsia="Times New Roman" w:hAnsi="Times New Roman" w:cs="Times New Roman"/>
          <w:sz w:val="18"/>
          <w:szCs w:val="18"/>
        </w:rPr>
        <w:t xml:space="preserve">, 11(2), </w:t>
      </w:r>
      <w:r w:rsidRPr="005E3FAB">
        <w:rPr>
          <w:rFonts w:ascii="Times New Roman" w:eastAsia="Times New Roman" w:hAnsi="Times New Roman" w:cs="Times New Roman"/>
          <w:sz w:val="18"/>
          <w:szCs w:val="18"/>
        </w:rPr>
        <w:t xml:space="preserve">263-289. doi:10.1017/S2047102522000218. </w:t>
      </w:r>
    </w:p>
  </w:footnote>
  <w:footnote w:id="4">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OHCHR, Estudio analítico de la relación entre el cambio climático y el disfrute pleno y efectivo de los derechos del niño, A/HRC/35/13, 4 de mayo de 2017, párr. 46.</w:t>
      </w:r>
    </w:p>
  </w:footnote>
  <w:footnote w:id="5">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i/>
          <w:sz w:val="18"/>
          <w:szCs w:val="18"/>
        </w:rPr>
        <w:t xml:space="preserve"> Ibidem, </w:t>
      </w:r>
      <w:r w:rsidRPr="005E3FAB">
        <w:rPr>
          <w:rFonts w:ascii="Times New Roman" w:eastAsia="Times New Roman" w:hAnsi="Times New Roman" w:cs="Times New Roman"/>
          <w:sz w:val="18"/>
          <w:szCs w:val="18"/>
        </w:rPr>
        <w:t xml:space="preserve">párr. 47. </w:t>
      </w:r>
    </w:p>
  </w:footnote>
  <w:footnote w:id="6">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Disponible en </w:t>
      </w:r>
      <w:hyperlink r:id="rId2">
        <w:r w:rsidRPr="005E3FAB">
          <w:rPr>
            <w:rFonts w:ascii="Times New Roman" w:eastAsia="Times New Roman" w:hAnsi="Times New Roman" w:cs="Times New Roman"/>
            <w:sz w:val="18"/>
            <w:szCs w:val="18"/>
            <w:u w:val="single"/>
          </w:rPr>
          <w:t>https://www.oas.org/es/cidh/decisiones/pdf/2021/Resolucion_3-21_SPA.pdf</w:t>
        </w:r>
      </w:hyperlink>
      <w:r w:rsidRPr="005E3FAB">
        <w:rPr>
          <w:rFonts w:ascii="Times New Roman" w:eastAsia="Times New Roman" w:hAnsi="Times New Roman" w:cs="Times New Roman"/>
          <w:sz w:val="18"/>
          <w:szCs w:val="18"/>
        </w:rPr>
        <w:t xml:space="preserve"> </w:t>
      </w:r>
    </w:p>
  </w:footnote>
  <w:footnote w:id="7">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CIDH, Resolución 3/2021, p. 19.</w:t>
      </w:r>
    </w:p>
  </w:footnote>
  <w:footnote w:id="8">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w:t>
      </w:r>
      <w:r w:rsidRPr="005E3FAB">
        <w:rPr>
          <w:rFonts w:ascii="Times New Roman" w:eastAsia="Times New Roman" w:hAnsi="Times New Roman" w:cs="Times New Roman"/>
          <w:i/>
          <w:sz w:val="18"/>
          <w:szCs w:val="18"/>
        </w:rPr>
        <w:t xml:space="preserve">Idem. </w:t>
      </w:r>
    </w:p>
  </w:footnote>
  <w:footnote w:id="9">
    <w:p w:rsidR="006F3929" w:rsidRPr="005E3FAB" w:rsidRDefault="0009622F" w:rsidP="005E3FAB">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color w:val="000000"/>
          <w:sz w:val="18"/>
          <w:szCs w:val="18"/>
        </w:rPr>
        <w:t xml:space="preserve"> Proyecto de la Ob</w:t>
      </w:r>
      <w:r w:rsidRPr="005E3FAB">
        <w:rPr>
          <w:rFonts w:ascii="Times New Roman" w:eastAsia="Times New Roman" w:hAnsi="Times New Roman" w:cs="Times New Roman"/>
          <w:sz w:val="18"/>
          <w:szCs w:val="18"/>
        </w:rPr>
        <w:t>servación General No. 26, párr. 62.</w:t>
      </w:r>
    </w:p>
  </w:footnote>
  <w:footnote w:id="10">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A/77/226, párr. 98. </w:t>
      </w:r>
    </w:p>
  </w:footnote>
  <w:footnote w:id="11">
    <w:p w:rsidR="006F3929" w:rsidRPr="005E3FAB" w:rsidRDefault="0009622F" w:rsidP="005E3FAB">
      <w:pPr>
        <w:spacing w:after="0" w:line="240" w:lineRule="auto"/>
        <w:jc w:val="both"/>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hAnsi="Times New Roman" w:cs="Times New Roman"/>
          <w:sz w:val="18"/>
          <w:szCs w:val="18"/>
        </w:rPr>
        <w:t xml:space="preserve"> </w:t>
      </w:r>
      <w:r w:rsidRPr="005E3FAB">
        <w:rPr>
          <w:rFonts w:ascii="Times New Roman" w:eastAsia="Times New Roman" w:hAnsi="Times New Roman" w:cs="Times New Roman"/>
          <w:sz w:val="18"/>
          <w:szCs w:val="18"/>
        </w:rPr>
        <w:t>Tal como hemos identificado a partir de la sistematización de casos a través</w:t>
      </w:r>
      <w:r w:rsidRPr="005E3FAB">
        <w:rPr>
          <w:rFonts w:ascii="Times New Roman" w:eastAsia="Times New Roman" w:hAnsi="Times New Roman" w:cs="Times New Roman"/>
          <w:sz w:val="18"/>
          <w:szCs w:val="18"/>
        </w:rPr>
        <w:t xml:space="preserve"> de la Plataforma de Litigio Climático para América Latina y el Caribe, la cual puede ser consultada en </w:t>
      </w:r>
      <w:hyperlink r:id="rId3">
        <w:r w:rsidRPr="005E3FAB">
          <w:rPr>
            <w:rFonts w:ascii="Times New Roman" w:eastAsia="Times New Roman" w:hAnsi="Times New Roman" w:cs="Times New Roman"/>
            <w:sz w:val="18"/>
            <w:szCs w:val="18"/>
            <w:u w:val="single"/>
          </w:rPr>
          <w:t>https://litigioclimatico.com/es</w:t>
        </w:r>
      </w:hyperlink>
      <w:r w:rsidRPr="005E3FAB">
        <w:rPr>
          <w:rFonts w:ascii="Times New Roman" w:eastAsia="Times New Roman" w:hAnsi="Times New Roman" w:cs="Times New Roman"/>
          <w:sz w:val="18"/>
          <w:szCs w:val="18"/>
        </w:rPr>
        <w:t>.</w:t>
      </w:r>
    </w:p>
  </w:footnote>
  <w:footnote w:id="12">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A/HRC/37/58. párr. 53.</w:t>
      </w:r>
    </w:p>
  </w:footnote>
  <w:footnote w:id="13">
    <w:p w:rsidR="006F3929" w:rsidRPr="005E3FAB" w:rsidRDefault="0009622F" w:rsidP="005E3FAB">
      <w:pPr>
        <w:spacing w:after="0" w:line="240" w:lineRule="auto"/>
        <w:jc w:val="both"/>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hAnsi="Times New Roman" w:cs="Times New Roman"/>
          <w:sz w:val="18"/>
          <w:szCs w:val="18"/>
        </w:rPr>
        <w:t xml:space="preserve"> </w:t>
      </w:r>
      <w:r w:rsidRPr="005E3FAB">
        <w:rPr>
          <w:rFonts w:ascii="Times New Roman" w:eastAsia="Times New Roman" w:hAnsi="Times New Roman" w:cs="Times New Roman"/>
          <w:sz w:val="18"/>
          <w:szCs w:val="18"/>
        </w:rPr>
        <w:t xml:space="preserve">Por ejemplo, en el caso de </w:t>
      </w:r>
      <w:r w:rsidRPr="005E3FAB">
        <w:rPr>
          <w:rFonts w:ascii="Times New Roman" w:eastAsia="Times New Roman" w:hAnsi="Times New Roman" w:cs="Times New Roman"/>
          <w:i/>
          <w:sz w:val="18"/>
          <w:szCs w:val="18"/>
        </w:rPr>
        <w:t>Juventudes vs. gobierno por una polític</w:t>
      </w:r>
      <w:r w:rsidRPr="005E3FAB">
        <w:rPr>
          <w:rFonts w:ascii="Times New Roman" w:eastAsia="Times New Roman" w:hAnsi="Times New Roman" w:cs="Times New Roman"/>
          <w:i/>
          <w:sz w:val="18"/>
          <w:szCs w:val="18"/>
        </w:rPr>
        <w:t xml:space="preserve">a energética sustentable en el sector eléctrico en México </w:t>
      </w:r>
      <w:r w:rsidRPr="005E3FAB">
        <w:rPr>
          <w:rFonts w:ascii="Times New Roman" w:eastAsia="Times New Roman" w:hAnsi="Times New Roman" w:cs="Times New Roman"/>
          <w:sz w:val="18"/>
          <w:szCs w:val="18"/>
        </w:rPr>
        <w:t>(Caso 1), el juez desechó la demanda al considerar que los demandantes no estaban legitimados para promover la acción presentada, argumentando que las afectaciones del cambio climático serán resenti</w:t>
      </w:r>
      <w:r w:rsidRPr="005E3FAB">
        <w:rPr>
          <w:rFonts w:ascii="Times New Roman" w:eastAsia="Times New Roman" w:hAnsi="Times New Roman" w:cs="Times New Roman"/>
          <w:sz w:val="18"/>
          <w:szCs w:val="18"/>
        </w:rPr>
        <w:t xml:space="preserve">das por toda la población y al ser afectación genérica no se contaba con la legitimación suficiente para admitir la demanda. Este caso se puede consultar en: </w:t>
      </w:r>
      <w:hyperlink r:id="rId4">
        <w:r w:rsidRPr="005E3FAB">
          <w:rPr>
            <w:rFonts w:ascii="Times New Roman" w:eastAsia="Times New Roman" w:hAnsi="Times New Roman" w:cs="Times New Roman"/>
            <w:color w:val="1155CC"/>
            <w:sz w:val="18"/>
            <w:szCs w:val="18"/>
            <w:u w:val="single"/>
          </w:rPr>
          <w:t>https://litigioclimatico.com/es/ficha/juventudes-vs-gobierno-por-una-politica-energetica-sustentable-en-el-sector-electrico-en</w:t>
        </w:r>
      </w:hyperlink>
      <w:r w:rsidRPr="005E3FAB">
        <w:rPr>
          <w:rFonts w:ascii="Times New Roman" w:eastAsia="Times New Roman" w:hAnsi="Times New Roman" w:cs="Times New Roman"/>
          <w:sz w:val="18"/>
          <w:szCs w:val="18"/>
        </w:rPr>
        <w:t xml:space="preserve"> </w:t>
      </w:r>
    </w:p>
  </w:footnote>
  <w:footnote w:id="14">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Comité de los Derechos del Niño, </w:t>
      </w:r>
      <w:r w:rsidRPr="005E3FAB">
        <w:rPr>
          <w:rFonts w:ascii="Times New Roman" w:eastAsia="Times New Roman" w:hAnsi="Times New Roman" w:cs="Times New Roman"/>
          <w:i/>
          <w:sz w:val="18"/>
          <w:szCs w:val="18"/>
        </w:rPr>
        <w:t xml:space="preserve">Report of the 2016 </w:t>
      </w:r>
      <w:proofErr w:type="spellStart"/>
      <w:r w:rsidRPr="005E3FAB">
        <w:rPr>
          <w:rFonts w:ascii="Times New Roman" w:eastAsia="Times New Roman" w:hAnsi="Times New Roman" w:cs="Times New Roman"/>
          <w:i/>
          <w:sz w:val="18"/>
          <w:szCs w:val="18"/>
        </w:rPr>
        <w:t>day</w:t>
      </w:r>
      <w:proofErr w:type="spellEnd"/>
      <w:r w:rsidRPr="005E3FAB">
        <w:rPr>
          <w:rFonts w:ascii="Times New Roman" w:eastAsia="Times New Roman" w:hAnsi="Times New Roman" w:cs="Times New Roman"/>
          <w:i/>
          <w:sz w:val="18"/>
          <w:szCs w:val="18"/>
        </w:rPr>
        <w:t xml:space="preserve"> of general </w:t>
      </w:r>
      <w:proofErr w:type="spellStart"/>
      <w:r w:rsidRPr="005E3FAB">
        <w:rPr>
          <w:rFonts w:ascii="Times New Roman" w:eastAsia="Times New Roman" w:hAnsi="Times New Roman" w:cs="Times New Roman"/>
          <w:i/>
          <w:sz w:val="18"/>
          <w:szCs w:val="18"/>
        </w:rPr>
        <w:t>discussion</w:t>
      </w:r>
      <w:proofErr w:type="spellEnd"/>
      <w:r w:rsidRPr="005E3FAB">
        <w:rPr>
          <w:rFonts w:ascii="Times New Roman" w:eastAsia="Times New Roman" w:hAnsi="Times New Roman" w:cs="Times New Roman"/>
          <w:sz w:val="18"/>
          <w:szCs w:val="18"/>
        </w:rPr>
        <w:t>, pp. 21 y 22</w:t>
      </w:r>
    </w:p>
  </w:footnote>
  <w:footnote w:id="15">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A/HRC/37/58. párr. 53.</w:t>
      </w:r>
    </w:p>
  </w:footnote>
  <w:footnote w:id="16">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w:t>
      </w:r>
      <w:r w:rsidRPr="005E3FAB">
        <w:rPr>
          <w:rFonts w:ascii="Times New Roman" w:eastAsia="Times New Roman" w:hAnsi="Times New Roman" w:cs="Times New Roman"/>
          <w:i/>
          <w:sz w:val="18"/>
          <w:szCs w:val="18"/>
        </w:rPr>
        <w:t xml:space="preserve"> Ibidem</w:t>
      </w:r>
      <w:r w:rsidRPr="005E3FAB">
        <w:rPr>
          <w:rFonts w:ascii="Times New Roman" w:eastAsia="Times New Roman" w:hAnsi="Times New Roman" w:cs="Times New Roman"/>
          <w:sz w:val="18"/>
          <w:szCs w:val="18"/>
        </w:rPr>
        <w:t xml:space="preserve">, párr. 54. </w:t>
      </w:r>
    </w:p>
  </w:footnote>
  <w:footnote w:id="17">
    <w:p w:rsidR="006F3929" w:rsidRPr="005E3FAB" w:rsidRDefault="0009622F" w:rsidP="005E3FAB">
      <w:pPr>
        <w:spacing w:after="0" w:line="240" w:lineRule="auto"/>
        <w:jc w:val="both"/>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hAnsi="Times New Roman" w:cs="Times New Roman"/>
          <w:sz w:val="18"/>
          <w:szCs w:val="18"/>
        </w:rPr>
        <w:t xml:space="preserve"> </w:t>
      </w:r>
      <w:r w:rsidRPr="005E3FAB">
        <w:rPr>
          <w:rFonts w:ascii="Times New Roman" w:eastAsia="Times New Roman" w:hAnsi="Times New Roman" w:cs="Times New Roman"/>
          <w:sz w:val="18"/>
          <w:szCs w:val="18"/>
        </w:rPr>
        <w:t>Acuerdo Regional sobre el Acceso a la Información, la Participación Pública y el Acceso a la Justicia en Asuntos Ambientales en América Latina y el Caribe.</w:t>
      </w:r>
    </w:p>
  </w:footnote>
  <w:footnote w:id="18">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Acuerdo de Escazú, artículo 1. </w:t>
      </w:r>
    </w:p>
  </w:footnote>
  <w:footnote w:id="19">
    <w:p w:rsidR="006F3929" w:rsidRPr="005E3FAB" w:rsidRDefault="0009622F" w:rsidP="005E3FAB">
      <w:pPr>
        <w:spacing w:after="0" w:line="240" w:lineRule="auto"/>
        <w:rPr>
          <w:rFonts w:ascii="Times New Roman" w:eastAsia="Times New Roman" w:hAnsi="Times New Roman" w:cs="Times New Roman"/>
          <w:sz w:val="18"/>
          <w:szCs w:val="18"/>
          <w:u w:val="single"/>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CEPAL, LC/TS.2021/221), 2022, p. </w:t>
      </w:r>
      <w:r w:rsidRPr="005E3FAB">
        <w:rPr>
          <w:rFonts w:ascii="Times New Roman" w:eastAsia="Times New Roman" w:hAnsi="Times New Roman" w:cs="Times New Roman"/>
          <w:sz w:val="18"/>
          <w:szCs w:val="18"/>
        </w:rPr>
        <w:t>133.</w:t>
      </w:r>
    </w:p>
  </w:footnote>
  <w:footnote w:id="20">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w:t>
      </w:r>
      <w:r w:rsidRPr="005E3FAB">
        <w:rPr>
          <w:rFonts w:ascii="Times New Roman" w:eastAsia="Times New Roman" w:hAnsi="Times New Roman" w:cs="Times New Roman"/>
          <w:i/>
          <w:sz w:val="18"/>
          <w:szCs w:val="18"/>
        </w:rPr>
        <w:t>Ibidem,</w:t>
      </w:r>
      <w:r w:rsidRPr="005E3FAB">
        <w:rPr>
          <w:rFonts w:ascii="Times New Roman" w:eastAsia="Times New Roman" w:hAnsi="Times New Roman" w:cs="Times New Roman"/>
          <w:sz w:val="18"/>
          <w:szCs w:val="18"/>
        </w:rPr>
        <w:t xml:space="preserve"> p. 134. </w:t>
      </w:r>
    </w:p>
  </w:footnote>
  <w:footnote w:id="21">
    <w:p w:rsidR="006F3929" w:rsidRPr="005E3FAB" w:rsidRDefault="0009622F" w:rsidP="005E3FAB">
      <w:pPr>
        <w:spacing w:after="0" w:line="240" w:lineRule="auto"/>
        <w:rPr>
          <w:rFonts w:ascii="Times New Roman" w:eastAsia="Times New Roman" w:hAnsi="Times New Roman" w:cs="Times New Roman"/>
          <w:i/>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w:t>
      </w:r>
      <w:r w:rsidRPr="005E3FAB">
        <w:rPr>
          <w:rFonts w:ascii="Times New Roman" w:eastAsia="Times New Roman" w:hAnsi="Times New Roman" w:cs="Times New Roman"/>
          <w:i/>
          <w:sz w:val="18"/>
          <w:szCs w:val="18"/>
        </w:rPr>
        <w:t xml:space="preserve">Idem. </w:t>
      </w:r>
    </w:p>
  </w:footnote>
  <w:footnote w:id="22">
    <w:p w:rsidR="006F3929" w:rsidRPr="005E3FAB" w:rsidRDefault="0009622F" w:rsidP="005E3FAB">
      <w:pPr>
        <w:spacing w:after="0" w:line="240" w:lineRule="auto"/>
        <w:rPr>
          <w:rFonts w:ascii="Times New Roman" w:eastAsia="Times New Roman" w:hAnsi="Times New Roman" w:cs="Times New Roman"/>
          <w:sz w:val="18"/>
          <w:szCs w:val="18"/>
          <w:u w:val="single"/>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Disponible en: </w:t>
      </w:r>
      <w:r w:rsidRPr="005E3FAB">
        <w:rPr>
          <w:rFonts w:ascii="Times New Roman" w:eastAsia="Times New Roman" w:hAnsi="Times New Roman" w:cs="Times New Roman"/>
          <w:sz w:val="18"/>
          <w:szCs w:val="18"/>
          <w:u w:val="single"/>
        </w:rPr>
        <w:t>https://www.un.org/spanish/esa/sustdev/agenda21/riodeclaration.htm</w:t>
      </w:r>
    </w:p>
  </w:footnote>
  <w:footnote w:id="23">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UNEP/GCSS.XI/11, Decisión SS. XI/5, pt. A, 26 (26 de febrero de 2010).</w:t>
      </w:r>
    </w:p>
  </w:footnote>
  <w:footnote w:id="24">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Primera Sala de la Suprema Corte de Justicia de la Nación, México, AR. 107/2016, párr. 171.</w:t>
      </w:r>
    </w:p>
  </w:footnote>
  <w:footnote w:id="25">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Principio 15 de la Declaración de Río.</w:t>
      </w:r>
    </w:p>
  </w:footnote>
  <w:footnote w:id="26">
    <w:p w:rsidR="006F3929" w:rsidRPr="005E3FAB" w:rsidRDefault="0009622F" w:rsidP="005E3FAB">
      <w:pPr>
        <w:spacing w:after="0" w:line="240" w:lineRule="auto"/>
        <w:jc w:val="both"/>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hAnsi="Times New Roman" w:cs="Times New Roman"/>
          <w:sz w:val="18"/>
          <w:szCs w:val="18"/>
        </w:rPr>
        <w:t xml:space="preserve"> </w:t>
      </w:r>
      <w:r w:rsidRPr="005E3FAB">
        <w:rPr>
          <w:rFonts w:ascii="Times New Roman" w:eastAsia="Times New Roman" w:hAnsi="Times New Roman" w:cs="Times New Roman"/>
          <w:sz w:val="18"/>
          <w:szCs w:val="18"/>
        </w:rPr>
        <w:t>Revi</w:t>
      </w:r>
      <w:r w:rsidRPr="005E3FAB">
        <w:rPr>
          <w:rFonts w:ascii="Times New Roman" w:eastAsia="Times New Roman" w:hAnsi="Times New Roman" w:cs="Times New Roman"/>
          <w:sz w:val="18"/>
          <w:szCs w:val="18"/>
        </w:rPr>
        <w:t>sar, por ejemplo, AR. 307/2016, resuelto por la Primera Sala de la Suprema Corte en México, párr. 171.</w:t>
      </w:r>
    </w:p>
  </w:footnote>
  <w:footnote w:id="27">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w:t>
      </w:r>
      <w:r w:rsidRPr="005E3FAB">
        <w:rPr>
          <w:rFonts w:ascii="Times New Roman" w:eastAsia="Times New Roman" w:hAnsi="Times New Roman" w:cs="Times New Roman"/>
          <w:i/>
          <w:sz w:val="18"/>
          <w:szCs w:val="18"/>
        </w:rPr>
        <w:t>Ibidem,</w:t>
      </w:r>
      <w:r w:rsidRPr="005E3FAB">
        <w:rPr>
          <w:rFonts w:ascii="Times New Roman" w:eastAsia="Times New Roman" w:hAnsi="Times New Roman" w:cs="Times New Roman"/>
          <w:sz w:val="18"/>
          <w:szCs w:val="18"/>
        </w:rPr>
        <w:t xml:space="preserve"> párr. 102.</w:t>
      </w:r>
    </w:p>
  </w:footnote>
  <w:footnote w:id="28">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hAnsi="Times New Roman" w:cs="Times New Roman"/>
          <w:sz w:val="18"/>
          <w:szCs w:val="18"/>
        </w:rPr>
        <w:t xml:space="preserve"> </w:t>
      </w:r>
      <w:r w:rsidRPr="005E3FAB">
        <w:rPr>
          <w:rFonts w:ascii="Times New Roman" w:eastAsia="Times New Roman" w:hAnsi="Times New Roman" w:cs="Times New Roman"/>
          <w:i/>
          <w:sz w:val="18"/>
          <w:szCs w:val="18"/>
        </w:rPr>
        <w:t>Ibidem,</w:t>
      </w:r>
      <w:r w:rsidRPr="005E3FAB">
        <w:rPr>
          <w:rFonts w:ascii="Times New Roman" w:eastAsia="Times New Roman" w:hAnsi="Times New Roman" w:cs="Times New Roman"/>
          <w:sz w:val="18"/>
          <w:szCs w:val="18"/>
        </w:rPr>
        <w:t xml:space="preserve"> párr. 98. </w:t>
      </w:r>
    </w:p>
  </w:footnote>
  <w:footnote w:id="29">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eastAsia="Times New Roman" w:hAnsi="Times New Roman" w:cs="Times New Roman"/>
          <w:sz w:val="18"/>
          <w:szCs w:val="18"/>
        </w:rPr>
        <w:t xml:space="preserve"> </w:t>
      </w:r>
      <w:r w:rsidRPr="005E3FAB">
        <w:rPr>
          <w:rFonts w:ascii="Times New Roman" w:eastAsia="Times New Roman" w:hAnsi="Times New Roman" w:cs="Times New Roman"/>
          <w:i/>
          <w:sz w:val="18"/>
          <w:szCs w:val="18"/>
        </w:rPr>
        <w:t xml:space="preserve">Ibidem, </w:t>
      </w:r>
      <w:r w:rsidRPr="005E3FAB">
        <w:rPr>
          <w:rFonts w:ascii="Times New Roman" w:eastAsia="Times New Roman" w:hAnsi="Times New Roman" w:cs="Times New Roman"/>
          <w:sz w:val="18"/>
          <w:szCs w:val="18"/>
        </w:rPr>
        <w:t>párr. 238.</w:t>
      </w:r>
    </w:p>
  </w:footnote>
  <w:footnote w:id="30">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hAnsi="Times New Roman" w:cs="Times New Roman"/>
          <w:sz w:val="18"/>
          <w:szCs w:val="18"/>
        </w:rPr>
        <w:t xml:space="preserve"> </w:t>
      </w:r>
      <w:r w:rsidRPr="005E3FAB">
        <w:rPr>
          <w:rFonts w:ascii="Times New Roman" w:eastAsia="Times New Roman" w:hAnsi="Times New Roman" w:cs="Times New Roman"/>
          <w:sz w:val="18"/>
          <w:szCs w:val="18"/>
        </w:rPr>
        <w:t>A/HRC/37/58, párr. 38.</w:t>
      </w:r>
    </w:p>
  </w:footnote>
  <w:footnote w:id="31">
    <w:p w:rsidR="006F3929" w:rsidRPr="005E3FAB" w:rsidRDefault="0009622F" w:rsidP="005E3FAB">
      <w:pPr>
        <w:spacing w:after="0" w:line="240" w:lineRule="auto"/>
        <w:rPr>
          <w:rFonts w:ascii="Times New Roman" w:eastAsia="Times New Roman" w:hAnsi="Times New Roman" w:cs="Times New Roman"/>
          <w:sz w:val="18"/>
          <w:szCs w:val="18"/>
        </w:rPr>
      </w:pPr>
      <w:r w:rsidRPr="005E3FAB">
        <w:rPr>
          <w:rStyle w:val="FootnoteReference"/>
          <w:rFonts w:ascii="Times New Roman" w:hAnsi="Times New Roman" w:cs="Times New Roman"/>
          <w:sz w:val="18"/>
          <w:szCs w:val="18"/>
        </w:rPr>
        <w:footnoteRef/>
      </w:r>
      <w:r w:rsidRPr="005E3FAB">
        <w:rPr>
          <w:rFonts w:ascii="Times New Roman" w:hAnsi="Times New Roman" w:cs="Times New Roman"/>
          <w:sz w:val="18"/>
          <w:szCs w:val="18"/>
        </w:rPr>
        <w:t xml:space="preserve"> </w:t>
      </w:r>
      <w:r w:rsidRPr="005E3FAB">
        <w:rPr>
          <w:rFonts w:ascii="Times New Roman" w:eastAsia="Times New Roman" w:hAnsi="Times New Roman" w:cs="Times New Roman"/>
          <w:i/>
          <w:sz w:val="18"/>
          <w:szCs w:val="18"/>
        </w:rPr>
        <w:t>Idem</w:t>
      </w:r>
      <w:r w:rsidRPr="005E3FAB">
        <w:rPr>
          <w:rFonts w:ascii="Times New Roman" w:eastAsia="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29" w:rsidRDefault="006F39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D25"/>
    <w:multiLevelType w:val="multilevel"/>
    <w:tmpl w:val="F2D20B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29"/>
    <w:rsid w:val="0009622F"/>
    <w:rsid w:val="005E3FAB"/>
    <w:rsid w:val="006F3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22DE7-1736-4CFE-A47B-364454EA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qFormat/>
    <w:rsid w:val="009E137F"/>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9E137F"/>
    <w:rPr>
      <w:sz w:val="20"/>
      <w:szCs w:val="20"/>
    </w:rPr>
  </w:style>
  <w:style w:type="character" w:styleId="FootnoteReference">
    <w:name w:val="footnote reference"/>
    <w:aliases w:val="4_G,Fago Fußnotenzeichen,Footnotes refss,Footnote Ref,16 Point,Superscript 6 Point,ftref,Ref,de nota al pie,fr,oc-footreference,oc-footnoteref,oc-footreference1,oc-footnoteref1,(Diplomarbeit FZ),-E Fußnotenzeichen,(Diplomarbeit FZ)1"/>
    <w:basedOn w:val="DefaultParagraphFont"/>
    <w:link w:val="4GCharCharChar"/>
    <w:uiPriority w:val="99"/>
    <w:unhideWhenUsed/>
    <w:qFormat/>
    <w:rsid w:val="009E137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85F04"/>
    <w:pPr>
      <w:spacing w:after="0" w:line="240" w:lineRule="exact"/>
      <w:jc w:val="both"/>
    </w:pPr>
    <w:rPr>
      <w:vertAlign w:val="superscript"/>
    </w:rPr>
  </w:style>
  <w:style w:type="paragraph" w:styleId="ListParagraph">
    <w:name w:val="List Paragraph"/>
    <w:basedOn w:val="Normal"/>
    <w:uiPriority w:val="34"/>
    <w:qFormat/>
    <w:rsid w:val="00B85F04"/>
    <w:pPr>
      <w:ind w:left="720"/>
      <w:contextualSpacing/>
    </w:pPr>
  </w:style>
  <w:style w:type="paragraph" w:customStyle="1" w:styleId="SingleTxtG">
    <w:name w:val="_ Single Txt_G"/>
    <w:basedOn w:val="Normal"/>
    <w:link w:val="SingleTxtGChar"/>
    <w:qFormat/>
    <w:rsid w:val="00763ADC"/>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styleId="Hyperlink">
    <w:name w:val="Hyperlink"/>
    <w:basedOn w:val="DefaultParagraphFont"/>
    <w:uiPriority w:val="99"/>
    <w:rsid w:val="00763ADC"/>
    <w:rPr>
      <w:color w:val="0000FF"/>
      <w:u w:val="none"/>
    </w:rPr>
  </w:style>
  <w:style w:type="character" w:customStyle="1" w:styleId="SingleTxtGChar">
    <w:name w:val="_ Single Txt_G Char"/>
    <w:link w:val="SingleTxtG"/>
    <w:locked/>
    <w:rsid w:val="00763ADC"/>
    <w:rPr>
      <w:rFonts w:ascii="Times New Roman" w:hAnsi="Times New Roman" w:cs="Times New Roman"/>
      <w:sz w:val="20"/>
      <w:szCs w:val="20"/>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al"/>
    <w:rsid w:val="00763ADC"/>
    <w:pPr>
      <w:spacing w:line="240" w:lineRule="exact"/>
      <w:jc w:val="both"/>
    </w:pPr>
    <w:rPr>
      <w:rFonts w:ascii="Times New Roman" w:hAnsi="Times New Roman"/>
      <w:sz w:val="18"/>
      <w:vertAlign w:val="superscript"/>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litigioclimatico.com/es" TargetMode="External"/><Relationship Id="rId2" Type="http://schemas.openxmlformats.org/officeDocument/2006/relationships/hyperlink" Target="https://www.oas.org/es/cidh/decisiones/pdf/2021/Resolucion_3-21_SPA.pdf" TargetMode="External"/><Relationship Id="rId1" Type="http://schemas.openxmlformats.org/officeDocument/2006/relationships/hyperlink" Target="https://litigioclimatico.com/es" TargetMode="External"/><Relationship Id="rId4" Type="http://schemas.openxmlformats.org/officeDocument/2006/relationships/hyperlink" Target="https://litigioclimatico.com/es/ficha/juventudes-vs-gobierno-por-una-politica-energetica-sustentable-en-el-sector-electric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70snzUM4s2yfLBbcyOCbfr7t3A==">AMUW2mX6YmV59rF7h8LC2m/Bt9qlcy1z1YX07Zh6+RKYHpycn0Ad+qBpVVuH/1OkyFOzNO11d1LRocBb1C1NsAbSxj2DpbEYrpDlsOdBgZ0zvC+5u7RbQd/DopAqV3qzRz2OLxm8WEGnMEOskzEsafvXdRpRNe5RF/v1A9SW1C22vLq1+7K4d1wOpi6plsHMECQL/ClwqWFsuvNyQjWKCIJ3wlHQcwSBHG3+IWQAXjoD5lKLe6TDMtbJ2Z8EZQPNScYv3tb1W8SvwIxGtiTLp+IKG7uouaN2kgK/HZj36g9V40p1vik0VdF2RRClwAULA3Q4+ZMqmU1avEEndUHyOG6hscy3jRCY36faYMlpgMSel6pW2UpvMb0j/6nefLnwDWKh/O8ulXqK39SD3xeV4Qcq+vHI0m1z0NlefAs0VIXJfKaomXgqjNx6lmyN0qK4nmSA4L6OFhsmh57Bc4YF/yilb9hqriXVw/pNMtSXB/XqMnvRdsCsYQ+MK+vWMKoq2BBMmdyd7a94O6hg5kZeF2Z/U7vgLZgltsukzxSo6GnJEeV2iq0jqURUam6VPTiSQKcyH9tt4j25d/BMYxerGctoreoAT3cdKEmXgUxQ5X06AU9km26LPbHpLW0jYJrhczofpUKO9TKJcD8hlNiUNH7dAuvKTLRMnlGEVNTo1foXkBcnKrSbqezHWg5Fk2CwSYnR5sWxbm4lY1qX6uIiWKOXqqUPQGn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14455</Characters>
  <Application>Microsoft Office Word</Application>
  <DocSecurity>0</DocSecurity>
  <Lines>120</Lines>
  <Paragraphs>34</Paragraphs>
  <ScaleCrop>false</ScaleCrop>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JCarrillo</dc:creator>
  <cp:lastModifiedBy>JCarrillo</cp:lastModifiedBy>
  <cp:revision>2</cp:revision>
  <dcterms:created xsi:type="dcterms:W3CDTF">2023-02-14T15:48:00Z</dcterms:created>
  <dcterms:modified xsi:type="dcterms:W3CDTF">2023-02-15T20:41:00Z</dcterms:modified>
</cp:coreProperties>
</file>