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BDF5" w14:textId="6D2E016F" w:rsidR="00555533" w:rsidRPr="008E6D4F" w:rsidRDefault="00555533">
      <w:pPr>
        <w:rPr>
          <w:b/>
          <w:bCs/>
          <w:u w:val="single"/>
        </w:rPr>
      </w:pPr>
      <w:r w:rsidRPr="008E6D4F">
        <w:rPr>
          <w:b/>
          <w:bCs/>
          <w:u w:val="single"/>
        </w:rPr>
        <w:t xml:space="preserve">Comments from </w:t>
      </w:r>
      <w:r w:rsidR="007B7D86">
        <w:rPr>
          <w:b/>
          <w:bCs/>
          <w:u w:val="single"/>
        </w:rPr>
        <w:t xml:space="preserve">the Asia-Pacific Regional Network for Early Childhood (ARNEC) </w:t>
      </w:r>
    </w:p>
    <w:p w14:paraId="52BD61F6" w14:textId="15E598E1" w:rsidR="001C777C" w:rsidRDefault="00B20C15" w:rsidP="008E6D4F">
      <w:pPr>
        <w:spacing w:line="240" w:lineRule="auto"/>
        <w:rPr>
          <w:rFonts w:cstheme="minorHAnsi"/>
          <w:b/>
          <w:bCs/>
        </w:rPr>
      </w:pPr>
      <w:r w:rsidRPr="008E6D4F">
        <w:rPr>
          <w:rFonts w:cstheme="minorHAnsi"/>
          <w:b/>
          <w:bCs/>
        </w:rPr>
        <w:t xml:space="preserve">Section: </w:t>
      </w:r>
      <w:r w:rsidR="008E6D4F" w:rsidRPr="008E6D4F">
        <w:rPr>
          <w:rFonts w:cstheme="minorHAnsi"/>
          <w:b/>
          <w:bCs/>
        </w:rPr>
        <w:t xml:space="preserve">I. </w:t>
      </w:r>
      <w:r w:rsidR="001C777C" w:rsidRPr="008E6D4F">
        <w:rPr>
          <w:rFonts w:cstheme="minorHAnsi"/>
          <w:b/>
          <w:bCs/>
        </w:rPr>
        <w:t>Introduction</w:t>
      </w:r>
    </w:p>
    <w:p w14:paraId="2FF2B358" w14:textId="465DDFA0" w:rsidR="0064002B" w:rsidRPr="00C75698" w:rsidRDefault="0064002B" w:rsidP="008E6D4F">
      <w:pPr>
        <w:spacing w:line="240" w:lineRule="auto"/>
      </w:pPr>
      <w:r w:rsidRPr="00C75698">
        <w:rPr>
          <w:rFonts w:cstheme="minorHAnsi"/>
          <w:u w:val="single"/>
        </w:rPr>
        <w:t xml:space="preserve">Paragraph 1: </w:t>
      </w:r>
      <w:r w:rsidR="00C75698">
        <w:rPr>
          <w:rFonts w:cstheme="minorHAnsi"/>
        </w:rPr>
        <w:t xml:space="preserve"> We should </w:t>
      </w:r>
      <w:r w:rsidRPr="00C75698">
        <w:rPr>
          <w:rFonts w:cstheme="minorHAnsi"/>
        </w:rPr>
        <w:t>also highlight the compounding impacts from</w:t>
      </w:r>
      <w:r w:rsidRPr="00C75698">
        <w:rPr>
          <w:rFonts w:cstheme="minorHAnsi"/>
          <w:u w:val="single"/>
        </w:rPr>
        <w:t xml:space="preserve"> </w:t>
      </w:r>
      <w:r w:rsidRPr="00C75698">
        <w:t xml:space="preserve">non-climatic hazards such as earthquakes, tsunamis, and volcanoes which make children more vulnerable. </w:t>
      </w:r>
    </w:p>
    <w:p w14:paraId="43F60498" w14:textId="60FF72E3" w:rsidR="00555533" w:rsidRPr="008E6D4F" w:rsidRDefault="00555533" w:rsidP="008E6D4F">
      <w:pPr>
        <w:spacing w:line="240" w:lineRule="auto"/>
        <w:rPr>
          <w:rFonts w:cstheme="minorHAnsi"/>
        </w:rPr>
      </w:pPr>
      <w:r w:rsidRPr="008E6D4F">
        <w:rPr>
          <w:rFonts w:cstheme="minorHAnsi"/>
          <w:u w:val="single"/>
        </w:rPr>
        <w:t>Paragraph 3</w:t>
      </w:r>
      <w:r w:rsidR="00B20C15" w:rsidRPr="008E6D4F">
        <w:rPr>
          <w:rFonts w:cstheme="minorHAnsi"/>
        </w:rPr>
        <w:t>: T</w:t>
      </w:r>
      <w:r w:rsidRPr="008E6D4F">
        <w:rPr>
          <w:rFonts w:cstheme="minorHAnsi"/>
        </w:rPr>
        <w:t xml:space="preserve">hese quotes are from older children who can express themselves verbally. Can we also include examples of the impact on the youngest/preschool children on the impact of climate change, </w:t>
      </w:r>
      <w:proofErr w:type="gramStart"/>
      <w:r w:rsidRPr="008E6D4F">
        <w:rPr>
          <w:rFonts w:cstheme="minorHAnsi"/>
        </w:rPr>
        <w:t>e.g.</w:t>
      </w:r>
      <w:proofErr w:type="gramEnd"/>
      <w:r w:rsidRPr="008E6D4F">
        <w:rPr>
          <w:rFonts w:cstheme="minorHAnsi"/>
        </w:rPr>
        <w:t xml:space="preserve"> excessive rain</w:t>
      </w:r>
      <w:r w:rsidR="007B7D86">
        <w:rPr>
          <w:rFonts w:cstheme="minorHAnsi"/>
        </w:rPr>
        <w:t>s</w:t>
      </w:r>
      <w:r w:rsidRPr="008E6D4F">
        <w:rPr>
          <w:rFonts w:cstheme="minorHAnsi"/>
        </w:rPr>
        <w:t xml:space="preserve"> due to climate change curtails young children playing outdoors or school closure due to flood. </w:t>
      </w:r>
    </w:p>
    <w:p w14:paraId="536E863F" w14:textId="1C14B20E" w:rsidR="00555533" w:rsidRPr="008E6D4F" w:rsidRDefault="00555533" w:rsidP="008E6D4F">
      <w:pPr>
        <w:spacing w:line="240" w:lineRule="auto"/>
        <w:rPr>
          <w:rFonts w:cstheme="minorHAnsi"/>
        </w:rPr>
      </w:pPr>
      <w:r w:rsidRPr="008E6D4F">
        <w:rPr>
          <w:rFonts w:cstheme="minorHAnsi"/>
          <w:u w:val="single"/>
        </w:rPr>
        <w:t>Paragraph 5</w:t>
      </w:r>
      <w:r w:rsidR="00B20C15" w:rsidRPr="008E6D4F">
        <w:rPr>
          <w:rFonts w:cstheme="minorHAnsi"/>
        </w:rPr>
        <w:t xml:space="preserve">: </w:t>
      </w:r>
      <w:r w:rsidRPr="008E6D4F">
        <w:rPr>
          <w:rStyle w:val="cf01"/>
          <w:rFonts w:asciiTheme="minorHAnsi" w:hAnsiTheme="minorHAnsi" w:cstheme="minorHAnsi"/>
          <w:sz w:val="22"/>
          <w:szCs w:val="22"/>
        </w:rPr>
        <w:t>ARNEC</w:t>
      </w:r>
      <w:r w:rsidR="00B20C15" w:rsidRPr="008E6D4F">
        <w:rPr>
          <w:rStyle w:val="cf01"/>
          <w:rFonts w:asciiTheme="minorHAnsi" w:hAnsiTheme="minorHAnsi" w:cstheme="minorHAnsi"/>
          <w:sz w:val="22"/>
          <w:szCs w:val="22"/>
        </w:rPr>
        <w:t xml:space="preserve"> </w:t>
      </w:r>
      <w:r w:rsidRPr="008E6D4F">
        <w:rPr>
          <w:rStyle w:val="cf01"/>
          <w:rFonts w:asciiTheme="minorHAnsi" w:hAnsiTheme="minorHAnsi" w:cstheme="minorHAnsi"/>
          <w:sz w:val="22"/>
          <w:szCs w:val="22"/>
        </w:rPr>
        <w:t>recommend</w:t>
      </w:r>
      <w:r w:rsidR="00B20C15" w:rsidRPr="008E6D4F">
        <w:rPr>
          <w:rStyle w:val="cf01"/>
          <w:rFonts w:asciiTheme="minorHAnsi" w:hAnsiTheme="minorHAnsi" w:cstheme="minorHAnsi"/>
          <w:sz w:val="22"/>
          <w:szCs w:val="22"/>
        </w:rPr>
        <w:t>s</w:t>
      </w:r>
      <w:r w:rsidRPr="008E6D4F">
        <w:rPr>
          <w:rStyle w:val="cf01"/>
          <w:rFonts w:asciiTheme="minorHAnsi" w:hAnsiTheme="minorHAnsi" w:cstheme="minorHAnsi"/>
          <w:sz w:val="22"/>
          <w:szCs w:val="22"/>
        </w:rPr>
        <w:t xml:space="preserve"> that the General Comment #26 references General Comment #7 to acknowledges the specific needs and opportunities of Early Childhood.</w:t>
      </w:r>
      <w:r w:rsidR="00B20C15" w:rsidRPr="008E6D4F">
        <w:rPr>
          <w:rStyle w:val="cf01"/>
          <w:rFonts w:asciiTheme="minorHAnsi" w:hAnsiTheme="minorHAnsi" w:cstheme="minorHAnsi"/>
          <w:sz w:val="22"/>
          <w:szCs w:val="22"/>
        </w:rPr>
        <w:t xml:space="preserve"> </w:t>
      </w:r>
      <w:r w:rsidR="007B7D86">
        <w:rPr>
          <w:rStyle w:val="cf01"/>
          <w:rFonts w:asciiTheme="minorHAnsi" w:hAnsiTheme="minorHAnsi" w:cstheme="minorHAnsi"/>
          <w:sz w:val="22"/>
          <w:szCs w:val="22"/>
        </w:rPr>
        <w:t>Young c</w:t>
      </w:r>
      <w:r w:rsidRPr="008E6D4F">
        <w:rPr>
          <w:rStyle w:val="cf01"/>
          <w:rFonts w:asciiTheme="minorHAnsi" w:hAnsiTheme="minorHAnsi" w:cstheme="minorHAnsi"/>
          <w:sz w:val="22"/>
          <w:szCs w:val="22"/>
        </w:rPr>
        <w:t xml:space="preserve">hildren while being the most vulnerable, can also be the most </w:t>
      </w:r>
      <w:r w:rsidR="00B20C15" w:rsidRPr="008E6D4F">
        <w:rPr>
          <w:rStyle w:val="cf01"/>
          <w:rFonts w:asciiTheme="minorHAnsi" w:hAnsiTheme="minorHAnsi" w:cstheme="minorHAnsi"/>
          <w:sz w:val="22"/>
          <w:szCs w:val="22"/>
        </w:rPr>
        <w:t xml:space="preserve">valuable. </w:t>
      </w:r>
    </w:p>
    <w:p w14:paraId="52210FF4" w14:textId="77777777" w:rsidR="00555533" w:rsidRPr="008E6D4F" w:rsidRDefault="00555533" w:rsidP="008E6D4F">
      <w:pPr>
        <w:pStyle w:val="pf1"/>
        <w:numPr>
          <w:ilvl w:val="0"/>
          <w:numId w:val="4"/>
        </w:numPr>
        <w:rPr>
          <w:rFonts w:asciiTheme="minorHAnsi" w:hAnsiTheme="minorHAnsi" w:cstheme="minorHAnsi"/>
          <w:sz w:val="22"/>
          <w:szCs w:val="22"/>
        </w:rPr>
      </w:pPr>
      <w:r w:rsidRPr="008E6D4F">
        <w:rPr>
          <w:rStyle w:val="cf01"/>
          <w:rFonts w:asciiTheme="minorHAnsi" w:hAnsiTheme="minorHAnsi" w:cstheme="minorHAnsi"/>
          <w:sz w:val="22"/>
          <w:szCs w:val="22"/>
        </w:rPr>
        <w:t xml:space="preserve">Climate change highlights the importance of the nurturing care agenda (urgency to provide adequate resources to support existing programme which support young children and families) </w:t>
      </w:r>
    </w:p>
    <w:p w14:paraId="67636304" w14:textId="5DABB1CD" w:rsidR="00555533" w:rsidRPr="008E6D4F" w:rsidRDefault="00555533" w:rsidP="008E6D4F">
      <w:pPr>
        <w:pStyle w:val="pf1"/>
        <w:numPr>
          <w:ilvl w:val="0"/>
          <w:numId w:val="4"/>
        </w:numPr>
        <w:rPr>
          <w:rFonts w:asciiTheme="minorHAnsi" w:hAnsiTheme="minorHAnsi" w:cstheme="minorHAnsi"/>
          <w:sz w:val="22"/>
          <w:szCs w:val="22"/>
        </w:rPr>
      </w:pPr>
      <w:r w:rsidRPr="008E6D4F">
        <w:rPr>
          <w:rStyle w:val="cf01"/>
          <w:rFonts w:asciiTheme="minorHAnsi" w:hAnsiTheme="minorHAnsi" w:cstheme="minorHAnsi"/>
          <w:sz w:val="22"/>
          <w:szCs w:val="22"/>
        </w:rPr>
        <w:t xml:space="preserve">Early childhood policies and programmes yields the highest </w:t>
      </w:r>
      <w:r w:rsidR="00B20C15" w:rsidRPr="008E6D4F">
        <w:rPr>
          <w:rStyle w:val="cf01"/>
          <w:rFonts w:asciiTheme="minorHAnsi" w:hAnsiTheme="minorHAnsi" w:cstheme="minorHAnsi"/>
          <w:sz w:val="22"/>
          <w:szCs w:val="22"/>
        </w:rPr>
        <w:t>returns.</w:t>
      </w:r>
    </w:p>
    <w:p w14:paraId="5C5700F0" w14:textId="77777777" w:rsidR="00555533" w:rsidRPr="008E6D4F" w:rsidRDefault="00555533" w:rsidP="008E6D4F">
      <w:pPr>
        <w:pStyle w:val="pf1"/>
        <w:numPr>
          <w:ilvl w:val="0"/>
          <w:numId w:val="4"/>
        </w:numPr>
        <w:rPr>
          <w:rFonts w:asciiTheme="minorHAnsi" w:hAnsiTheme="minorHAnsi" w:cstheme="minorHAnsi"/>
          <w:sz w:val="22"/>
          <w:szCs w:val="22"/>
        </w:rPr>
      </w:pPr>
      <w:r w:rsidRPr="008E6D4F">
        <w:rPr>
          <w:rStyle w:val="cf01"/>
          <w:rFonts w:asciiTheme="minorHAnsi" w:hAnsiTheme="minorHAnsi" w:cstheme="minorHAnsi"/>
          <w:sz w:val="22"/>
          <w:szCs w:val="22"/>
        </w:rPr>
        <w:t>Boosting the achievement of the sustainable development goals</w:t>
      </w:r>
    </w:p>
    <w:p w14:paraId="3C6EE19E" w14:textId="69C32136" w:rsidR="00555533" w:rsidRPr="008E6D4F" w:rsidRDefault="00B20C15" w:rsidP="008E6D4F">
      <w:pPr>
        <w:spacing w:line="240" w:lineRule="auto"/>
        <w:rPr>
          <w:rFonts w:cstheme="minorHAnsi"/>
          <w:b/>
          <w:bCs/>
        </w:rPr>
      </w:pPr>
      <w:r w:rsidRPr="008E6D4F">
        <w:rPr>
          <w:rFonts w:cstheme="minorHAnsi"/>
          <w:b/>
          <w:bCs/>
        </w:rPr>
        <w:t xml:space="preserve">Section: </w:t>
      </w:r>
      <w:r w:rsidR="008E6D4F" w:rsidRPr="008E6D4F">
        <w:rPr>
          <w:rFonts w:cstheme="minorHAnsi"/>
          <w:b/>
          <w:bCs/>
        </w:rPr>
        <w:t xml:space="preserve">I. </w:t>
      </w:r>
      <w:r w:rsidR="00705787" w:rsidRPr="008E6D4F">
        <w:rPr>
          <w:rFonts w:cstheme="minorHAnsi"/>
          <w:b/>
          <w:bCs/>
        </w:rPr>
        <w:t>Introduction</w:t>
      </w:r>
      <w:r w:rsidR="008E6D4F" w:rsidRPr="008E6D4F">
        <w:rPr>
          <w:rFonts w:cstheme="minorHAnsi"/>
          <w:b/>
          <w:bCs/>
        </w:rPr>
        <w:t xml:space="preserve"> </w:t>
      </w:r>
      <w:r w:rsidR="0064002B">
        <w:rPr>
          <w:rFonts w:cstheme="minorHAnsi"/>
          <w:b/>
          <w:bCs/>
        </w:rPr>
        <w:t>–</w:t>
      </w:r>
      <w:r w:rsidR="008E6D4F" w:rsidRPr="008E6D4F">
        <w:rPr>
          <w:rFonts w:cstheme="minorHAnsi"/>
          <w:b/>
          <w:bCs/>
        </w:rPr>
        <w:t xml:space="preserve"> </w:t>
      </w:r>
      <w:r w:rsidR="0064002B">
        <w:rPr>
          <w:rFonts w:cstheme="minorHAnsi"/>
          <w:b/>
          <w:bCs/>
        </w:rPr>
        <w:t xml:space="preserve">A. </w:t>
      </w:r>
      <w:r w:rsidR="00555533" w:rsidRPr="008E6D4F">
        <w:rPr>
          <w:rFonts w:cstheme="minorHAnsi"/>
          <w:b/>
          <w:bCs/>
        </w:rPr>
        <w:t xml:space="preserve">A child rights-based approach to the </w:t>
      </w:r>
      <w:r w:rsidR="001C777C" w:rsidRPr="008E6D4F">
        <w:rPr>
          <w:rFonts w:cstheme="minorHAnsi"/>
          <w:b/>
          <w:bCs/>
        </w:rPr>
        <w:t>environment.</w:t>
      </w:r>
    </w:p>
    <w:p w14:paraId="6AFE2C35" w14:textId="7655B133" w:rsidR="00B20C15" w:rsidRPr="008E6D4F" w:rsidRDefault="001C777C" w:rsidP="008E6D4F">
      <w:pPr>
        <w:spacing w:line="240" w:lineRule="auto"/>
        <w:rPr>
          <w:rFonts w:eastAsia="Times New Roman" w:cstheme="minorHAnsi"/>
        </w:rPr>
      </w:pPr>
      <w:r w:rsidRPr="008E6D4F">
        <w:rPr>
          <w:rFonts w:cstheme="minorHAnsi"/>
          <w:u w:val="single"/>
        </w:rPr>
        <w:t>Paragraph 8</w:t>
      </w:r>
      <w:r w:rsidR="00B20C15" w:rsidRPr="008E6D4F">
        <w:rPr>
          <w:rFonts w:cstheme="minorHAnsi"/>
        </w:rPr>
        <w:t xml:space="preserve">: When education is mentioned, it does not recognise ECE. </w:t>
      </w:r>
      <w:r w:rsidRPr="001C777C">
        <w:rPr>
          <w:rFonts w:eastAsia="Times New Roman" w:cstheme="minorHAnsi"/>
          <w:b/>
          <w:bCs/>
        </w:rPr>
        <w:t>Early childhood education</w:t>
      </w:r>
      <w:r w:rsidRPr="001C777C">
        <w:rPr>
          <w:rFonts w:eastAsia="Times New Roman" w:cstheme="minorHAnsi"/>
        </w:rPr>
        <w:t xml:space="preserve"> – there is currently no explicit recognition of the ECE rights in international law, including in the CRC, which makes it challenging to mention ECE, but perhaps there is a way that it can be acknowledged as part of the education continuum in reference to the right to education (recognising that Human Rights Watch are leading an advocacy campaign on this issue of enshrining free pre-primary ed</w:t>
      </w:r>
      <w:r w:rsidR="008B304A">
        <w:rPr>
          <w:rFonts w:eastAsia="Times New Roman" w:cstheme="minorHAnsi"/>
        </w:rPr>
        <w:t>ucation</w:t>
      </w:r>
      <w:r w:rsidRPr="001C777C">
        <w:rPr>
          <w:rFonts w:eastAsia="Times New Roman" w:cstheme="minorHAnsi"/>
        </w:rPr>
        <w:t xml:space="preserve"> in international law and they are calling for support of efforts to recognize a legally binding obligation that the right to education includes a right to early childhood education, and explicitly to guarantee all children the right to at least one year of free pre-primary education (and to free secondary education) consistent with the right to free primary education. They are trying to build support for a new optional protocol to the CRC).</w:t>
      </w:r>
    </w:p>
    <w:p w14:paraId="75BF70A0" w14:textId="328FA15E" w:rsidR="00B20C15" w:rsidRPr="008E6D4F" w:rsidRDefault="00B20C15" w:rsidP="008E6D4F">
      <w:pPr>
        <w:spacing w:line="240" w:lineRule="auto"/>
        <w:rPr>
          <w:rFonts w:eastAsia="Times New Roman" w:cstheme="minorHAnsi"/>
          <w:u w:val="single"/>
        </w:rPr>
      </w:pPr>
      <w:r w:rsidRPr="008E6D4F">
        <w:rPr>
          <w:rFonts w:eastAsia="Times New Roman" w:cstheme="minorHAnsi"/>
          <w:u w:val="single"/>
        </w:rPr>
        <w:t xml:space="preserve">Paragraph 8: </w:t>
      </w:r>
      <w:r w:rsidRPr="008E6D4F">
        <w:rPr>
          <w:rFonts w:eastAsia="Times New Roman" w:cstheme="minorHAnsi"/>
        </w:rPr>
        <w:t xml:space="preserve">Suggest including, … </w:t>
      </w:r>
      <w:proofErr w:type="gramStart"/>
      <w:r w:rsidRPr="008E6D4F">
        <w:rPr>
          <w:rFonts w:cstheme="minorHAnsi"/>
        </w:rPr>
        <w:t>in</w:t>
      </w:r>
      <w:r w:rsidRPr="008E6D4F">
        <w:rPr>
          <w:rFonts w:cstheme="minorHAnsi"/>
          <w:spacing w:val="42"/>
        </w:rPr>
        <w:t xml:space="preserve"> </w:t>
      </w:r>
      <w:r w:rsidRPr="008E6D4F">
        <w:rPr>
          <w:rFonts w:cstheme="minorHAnsi"/>
        </w:rPr>
        <w:t>particular</w:t>
      </w:r>
      <w:r w:rsidRPr="008E6D4F">
        <w:rPr>
          <w:rFonts w:cstheme="minorHAnsi"/>
          <w:spacing w:val="44"/>
        </w:rPr>
        <w:t xml:space="preserve"> </w:t>
      </w:r>
      <w:r w:rsidRPr="008E6D4F">
        <w:rPr>
          <w:rFonts w:cstheme="minorHAnsi"/>
        </w:rPr>
        <w:t>for</w:t>
      </w:r>
      <w:proofErr w:type="gramEnd"/>
      <w:r w:rsidRPr="008E6D4F">
        <w:rPr>
          <w:rFonts w:cstheme="minorHAnsi"/>
          <w:spacing w:val="42"/>
        </w:rPr>
        <w:t xml:space="preserve"> </w:t>
      </w:r>
      <w:r w:rsidRPr="008E6D4F">
        <w:rPr>
          <w:rFonts w:cstheme="minorHAnsi"/>
        </w:rPr>
        <w:t>specific</w:t>
      </w:r>
      <w:r w:rsidRPr="008E6D4F">
        <w:rPr>
          <w:rFonts w:cstheme="minorHAnsi"/>
          <w:spacing w:val="41"/>
        </w:rPr>
        <w:t xml:space="preserve"> </w:t>
      </w:r>
      <w:r w:rsidRPr="008E6D4F">
        <w:rPr>
          <w:rFonts w:cstheme="minorHAnsi"/>
        </w:rPr>
        <w:t>groups</w:t>
      </w:r>
      <w:r w:rsidRPr="008E6D4F">
        <w:rPr>
          <w:rFonts w:cstheme="minorHAnsi"/>
          <w:spacing w:val="40"/>
        </w:rPr>
        <w:t xml:space="preserve"> </w:t>
      </w:r>
      <w:r w:rsidRPr="008E6D4F">
        <w:rPr>
          <w:rFonts w:cstheme="minorHAnsi"/>
        </w:rPr>
        <w:t>of</w:t>
      </w:r>
      <w:r w:rsidRPr="008E6D4F">
        <w:rPr>
          <w:rFonts w:cstheme="minorHAnsi"/>
          <w:spacing w:val="42"/>
        </w:rPr>
        <w:t xml:space="preserve"> </w:t>
      </w:r>
      <w:r w:rsidRPr="008E6D4F">
        <w:rPr>
          <w:rFonts w:cstheme="minorHAnsi"/>
        </w:rPr>
        <w:t>children</w:t>
      </w:r>
      <w:r w:rsidRPr="008E6D4F">
        <w:rPr>
          <w:rFonts w:cstheme="minorHAnsi"/>
          <w:spacing w:val="49"/>
        </w:rPr>
        <w:t xml:space="preserve"> </w:t>
      </w:r>
      <w:r w:rsidRPr="008E6D4F">
        <w:rPr>
          <w:rFonts w:cstheme="minorHAnsi"/>
        </w:rPr>
        <w:t>including</w:t>
      </w:r>
      <w:r w:rsidRPr="008E6D4F">
        <w:rPr>
          <w:rFonts w:cstheme="minorHAnsi"/>
          <w:spacing w:val="45"/>
        </w:rPr>
        <w:t xml:space="preserve"> </w:t>
      </w:r>
      <w:r w:rsidRPr="008E6D4F">
        <w:rPr>
          <w:rFonts w:cstheme="minorHAnsi"/>
        </w:rPr>
        <w:t>children</w:t>
      </w:r>
      <w:r w:rsidRPr="008E6D4F">
        <w:rPr>
          <w:rFonts w:cstheme="minorHAnsi"/>
          <w:spacing w:val="42"/>
        </w:rPr>
        <w:t xml:space="preserve"> </w:t>
      </w:r>
      <w:r w:rsidRPr="008E6D4F">
        <w:rPr>
          <w:rFonts w:cstheme="minorHAnsi"/>
        </w:rPr>
        <w:t>with</w:t>
      </w:r>
      <w:r w:rsidRPr="008E6D4F">
        <w:rPr>
          <w:rFonts w:cstheme="minorHAnsi"/>
          <w:spacing w:val="42"/>
        </w:rPr>
        <w:t xml:space="preserve"> </w:t>
      </w:r>
      <w:r w:rsidRPr="008E6D4F">
        <w:rPr>
          <w:rFonts w:cstheme="minorHAnsi"/>
        </w:rPr>
        <w:t xml:space="preserve">disabilities, indigenous children, and children working </w:t>
      </w:r>
      <w:r w:rsidRPr="008E6D4F">
        <w:rPr>
          <w:rFonts w:cstheme="minorHAnsi"/>
          <w:highlight w:val="yellow"/>
        </w:rPr>
        <w:t>and/or living</w:t>
      </w:r>
      <w:r w:rsidRPr="008E6D4F">
        <w:rPr>
          <w:rFonts w:cstheme="minorHAnsi"/>
        </w:rPr>
        <w:t xml:space="preserve"> in hazardous conditions.</w:t>
      </w:r>
      <w:r w:rsidRPr="008E6D4F">
        <w:rPr>
          <w:rFonts w:eastAsia="Times New Roman" w:cstheme="minorHAnsi"/>
          <w:u w:val="single"/>
        </w:rPr>
        <w:t xml:space="preserve"> </w:t>
      </w:r>
    </w:p>
    <w:p w14:paraId="424CF683" w14:textId="32BED58E" w:rsidR="00B20C15" w:rsidRPr="008E6D4F" w:rsidRDefault="00B20C15" w:rsidP="008E6D4F">
      <w:pPr>
        <w:spacing w:line="240" w:lineRule="auto"/>
        <w:rPr>
          <w:rFonts w:eastAsia="Times New Roman" w:cstheme="minorHAnsi"/>
          <w:b/>
          <w:bCs/>
        </w:rPr>
      </w:pPr>
      <w:r w:rsidRPr="008E6D4F">
        <w:rPr>
          <w:rFonts w:eastAsia="Times New Roman" w:cstheme="minorHAnsi"/>
          <w:b/>
          <w:bCs/>
        </w:rPr>
        <w:t xml:space="preserve">Section: </w:t>
      </w:r>
      <w:r w:rsidR="008E6D4F" w:rsidRPr="008E6D4F">
        <w:rPr>
          <w:rFonts w:eastAsia="Times New Roman" w:cstheme="minorHAnsi"/>
          <w:b/>
          <w:bCs/>
        </w:rPr>
        <w:t xml:space="preserve">II. </w:t>
      </w:r>
      <w:r w:rsidRPr="008E6D4F">
        <w:rPr>
          <w:rFonts w:eastAsia="Times New Roman" w:cstheme="minorHAnsi"/>
          <w:b/>
          <w:bCs/>
        </w:rPr>
        <w:t>Key Concepts</w:t>
      </w:r>
      <w:r w:rsidR="00705787" w:rsidRPr="008E6D4F">
        <w:rPr>
          <w:rFonts w:eastAsia="Times New Roman" w:cstheme="minorHAnsi"/>
          <w:b/>
          <w:bCs/>
        </w:rPr>
        <w:t xml:space="preserve"> - A. Sustainable development</w:t>
      </w:r>
    </w:p>
    <w:p w14:paraId="74B96835" w14:textId="53DA4DE4" w:rsidR="00705787" w:rsidRPr="008E6D4F" w:rsidRDefault="00705787" w:rsidP="008E6D4F">
      <w:pPr>
        <w:spacing w:line="240" w:lineRule="auto"/>
        <w:rPr>
          <w:rStyle w:val="cf01"/>
          <w:rFonts w:asciiTheme="minorHAnsi" w:hAnsiTheme="minorHAnsi" w:cstheme="minorHAnsi"/>
          <w:sz w:val="22"/>
          <w:szCs w:val="22"/>
        </w:rPr>
      </w:pPr>
      <w:r w:rsidRPr="008E6D4F">
        <w:rPr>
          <w:rFonts w:eastAsia="Times New Roman" w:cstheme="minorHAnsi"/>
          <w:u w:val="single"/>
        </w:rPr>
        <w:t xml:space="preserve">Paragraph 12: </w:t>
      </w:r>
      <w:r w:rsidRPr="008E6D4F">
        <w:rPr>
          <w:rFonts w:eastAsia="Times New Roman" w:cstheme="minorHAnsi"/>
        </w:rPr>
        <w:t xml:space="preserve">The term “developing” </w:t>
      </w:r>
      <w:r w:rsidRPr="008E6D4F">
        <w:rPr>
          <w:rStyle w:val="cf01"/>
          <w:rFonts w:asciiTheme="minorHAnsi" w:hAnsiTheme="minorHAnsi" w:cstheme="minorHAnsi"/>
          <w:sz w:val="22"/>
          <w:szCs w:val="22"/>
        </w:rPr>
        <w:t>is outdated and it is preferable to use either least-developed countries (United Nation) or low-income countries (World Bank).</w:t>
      </w:r>
    </w:p>
    <w:p w14:paraId="78EAF559" w14:textId="105B1901" w:rsidR="00705787" w:rsidRPr="008E6D4F" w:rsidRDefault="00705787" w:rsidP="008E6D4F">
      <w:pPr>
        <w:spacing w:line="240" w:lineRule="auto"/>
        <w:rPr>
          <w:rStyle w:val="cf01"/>
          <w:rFonts w:asciiTheme="minorHAnsi" w:hAnsiTheme="minorHAnsi" w:cstheme="minorHAnsi"/>
          <w:b/>
          <w:bCs/>
          <w:sz w:val="22"/>
          <w:szCs w:val="22"/>
        </w:rPr>
      </w:pPr>
      <w:r w:rsidRPr="008E6D4F">
        <w:rPr>
          <w:rStyle w:val="cf01"/>
          <w:rFonts w:asciiTheme="minorHAnsi" w:hAnsiTheme="minorHAnsi" w:cstheme="minorHAnsi"/>
          <w:b/>
          <w:bCs/>
          <w:sz w:val="22"/>
          <w:szCs w:val="22"/>
        </w:rPr>
        <w:t xml:space="preserve">Section: </w:t>
      </w:r>
      <w:r w:rsidR="008E6D4F" w:rsidRPr="008E6D4F">
        <w:rPr>
          <w:rStyle w:val="cf01"/>
          <w:rFonts w:asciiTheme="minorHAnsi" w:hAnsiTheme="minorHAnsi" w:cstheme="minorHAnsi"/>
          <w:b/>
          <w:bCs/>
          <w:sz w:val="22"/>
          <w:szCs w:val="22"/>
        </w:rPr>
        <w:t xml:space="preserve">II. </w:t>
      </w:r>
      <w:r w:rsidRPr="008E6D4F">
        <w:rPr>
          <w:rStyle w:val="cf01"/>
          <w:rFonts w:asciiTheme="minorHAnsi" w:hAnsiTheme="minorHAnsi" w:cstheme="minorHAnsi"/>
          <w:b/>
          <w:bCs/>
          <w:sz w:val="22"/>
          <w:szCs w:val="22"/>
        </w:rPr>
        <w:t>Key Concepts - B. Intergenerational equity and future generations</w:t>
      </w:r>
    </w:p>
    <w:p w14:paraId="2F7569EE" w14:textId="194FBE0E" w:rsidR="00705787" w:rsidRPr="008E6D4F" w:rsidRDefault="00705787" w:rsidP="008E6D4F">
      <w:pPr>
        <w:spacing w:line="240" w:lineRule="auto"/>
        <w:rPr>
          <w:rStyle w:val="cf01"/>
          <w:rFonts w:asciiTheme="minorHAnsi" w:hAnsiTheme="minorHAnsi" w:cstheme="minorHAnsi"/>
          <w:sz w:val="22"/>
          <w:szCs w:val="22"/>
        </w:rPr>
      </w:pPr>
      <w:r w:rsidRPr="008E6D4F">
        <w:rPr>
          <w:rStyle w:val="cf01"/>
          <w:rFonts w:asciiTheme="minorHAnsi" w:hAnsiTheme="minorHAnsi" w:cstheme="minorHAnsi"/>
          <w:sz w:val="22"/>
          <w:szCs w:val="22"/>
        </w:rPr>
        <w:t>Comment: When discussing on equity, we should be making a connection between climate justice and gender justice/gender equality.</w:t>
      </w:r>
    </w:p>
    <w:p w14:paraId="6CAC7FA9" w14:textId="3547E9BD" w:rsidR="003752CA" w:rsidRPr="008E6D4F" w:rsidRDefault="003752CA" w:rsidP="008E6D4F">
      <w:pPr>
        <w:pStyle w:val="pf0"/>
        <w:rPr>
          <w:rFonts w:asciiTheme="minorHAnsi" w:hAnsiTheme="minorHAnsi" w:cstheme="minorHAnsi"/>
          <w:b/>
          <w:bCs/>
          <w:sz w:val="22"/>
          <w:szCs w:val="22"/>
        </w:rPr>
      </w:pPr>
      <w:r w:rsidRPr="008E6D4F">
        <w:rPr>
          <w:rStyle w:val="cf01"/>
          <w:rFonts w:asciiTheme="minorHAnsi" w:hAnsiTheme="minorHAnsi" w:cstheme="minorHAnsi"/>
          <w:b/>
          <w:bCs/>
          <w:sz w:val="22"/>
          <w:szCs w:val="22"/>
        </w:rPr>
        <w:t>Section</w:t>
      </w:r>
      <w:r w:rsidR="002D7B4B" w:rsidRPr="008E6D4F">
        <w:rPr>
          <w:rStyle w:val="cf01"/>
          <w:rFonts w:asciiTheme="minorHAnsi" w:hAnsiTheme="minorHAnsi" w:cstheme="minorHAnsi"/>
          <w:b/>
          <w:bCs/>
          <w:sz w:val="22"/>
          <w:szCs w:val="22"/>
        </w:rPr>
        <w:t xml:space="preserve">: </w:t>
      </w:r>
      <w:r w:rsidR="008E6D4F" w:rsidRPr="008E6D4F">
        <w:rPr>
          <w:rStyle w:val="cf01"/>
          <w:rFonts w:asciiTheme="minorHAnsi" w:hAnsiTheme="minorHAnsi" w:cstheme="minorHAnsi"/>
          <w:b/>
          <w:bCs/>
          <w:sz w:val="22"/>
          <w:szCs w:val="22"/>
        </w:rPr>
        <w:t xml:space="preserve">III. </w:t>
      </w:r>
      <w:r w:rsidR="002D7B4B" w:rsidRPr="008E6D4F">
        <w:rPr>
          <w:rStyle w:val="cf01"/>
          <w:rFonts w:asciiTheme="minorHAnsi" w:hAnsiTheme="minorHAnsi" w:cstheme="minorHAnsi"/>
          <w:b/>
          <w:bCs/>
          <w:sz w:val="22"/>
          <w:szCs w:val="22"/>
        </w:rPr>
        <w:t>Specific rights of the Convention as they relate to the environment</w:t>
      </w:r>
      <w:r w:rsidR="008E6D4F" w:rsidRPr="008E6D4F">
        <w:rPr>
          <w:rStyle w:val="cf01"/>
          <w:rFonts w:asciiTheme="minorHAnsi" w:hAnsiTheme="minorHAnsi" w:cstheme="minorHAnsi"/>
          <w:b/>
          <w:bCs/>
          <w:sz w:val="22"/>
          <w:szCs w:val="22"/>
        </w:rPr>
        <w:t xml:space="preserve"> - </w:t>
      </w:r>
      <w:r w:rsidRPr="008E6D4F">
        <w:rPr>
          <w:rStyle w:val="cf01"/>
          <w:rFonts w:asciiTheme="minorHAnsi" w:hAnsiTheme="minorHAnsi" w:cstheme="minorHAnsi"/>
          <w:b/>
          <w:bCs/>
          <w:sz w:val="22"/>
          <w:szCs w:val="22"/>
        </w:rPr>
        <w:t xml:space="preserve">B. </w:t>
      </w:r>
      <w:r w:rsidRPr="008E6D4F">
        <w:rPr>
          <w:rFonts w:asciiTheme="minorHAnsi" w:hAnsiTheme="minorHAnsi" w:cstheme="minorHAnsi"/>
          <w:b/>
          <w:bCs/>
          <w:sz w:val="22"/>
          <w:szCs w:val="22"/>
        </w:rPr>
        <w:t>The right to the highest attainable standard of health</w:t>
      </w:r>
    </w:p>
    <w:p w14:paraId="103AEF07" w14:textId="0C011488" w:rsidR="003752CA" w:rsidRPr="008E6D4F" w:rsidRDefault="003752CA" w:rsidP="008E6D4F">
      <w:pPr>
        <w:spacing w:line="240" w:lineRule="auto"/>
        <w:rPr>
          <w:rFonts w:cstheme="minorHAnsi"/>
        </w:rPr>
      </w:pPr>
      <w:r w:rsidRPr="008E6D4F">
        <w:rPr>
          <w:rFonts w:cstheme="minorHAnsi"/>
          <w:u w:val="single"/>
        </w:rPr>
        <w:t>Paragraph 24:</w:t>
      </w:r>
      <w:r w:rsidRPr="008E6D4F">
        <w:rPr>
          <w:rFonts w:cstheme="minorHAnsi"/>
        </w:rPr>
        <w:t xml:space="preserve"> Could we also consider transportation emissions that can result into severe air pollution in many countries? The use of inefficient and polluting fuels and technologies; land clearing for farming is also a significant environmental issue in the Asia-Pacific region.</w:t>
      </w:r>
    </w:p>
    <w:p w14:paraId="207D66D2" w14:textId="1A58E6A0" w:rsidR="003752CA" w:rsidRPr="008E6D4F" w:rsidRDefault="003752CA" w:rsidP="008E6D4F">
      <w:pPr>
        <w:spacing w:line="240" w:lineRule="auto"/>
        <w:rPr>
          <w:rFonts w:cstheme="minorHAnsi"/>
          <w:b/>
          <w:bCs/>
        </w:rPr>
      </w:pPr>
      <w:r w:rsidRPr="008E6D4F">
        <w:rPr>
          <w:rFonts w:cstheme="minorHAnsi"/>
          <w:b/>
          <w:bCs/>
        </w:rPr>
        <w:lastRenderedPageBreak/>
        <w:t>Section</w:t>
      </w:r>
      <w:r w:rsidR="002D7B4B" w:rsidRPr="008E6D4F">
        <w:rPr>
          <w:rFonts w:cstheme="minorHAnsi"/>
          <w:b/>
          <w:bCs/>
        </w:rPr>
        <w:t xml:space="preserve">: </w:t>
      </w:r>
      <w:r w:rsidR="008E6D4F" w:rsidRPr="008E6D4F">
        <w:rPr>
          <w:rFonts w:cstheme="minorHAnsi"/>
          <w:b/>
          <w:bCs/>
        </w:rPr>
        <w:t xml:space="preserve">III. </w:t>
      </w:r>
      <w:r w:rsidR="002D7B4B" w:rsidRPr="008E6D4F">
        <w:rPr>
          <w:rFonts w:cstheme="minorHAnsi"/>
          <w:b/>
          <w:bCs/>
        </w:rPr>
        <w:t>Specific rights of the Convention as they relate to the environment</w:t>
      </w:r>
      <w:r w:rsidR="008E6D4F" w:rsidRPr="008E6D4F">
        <w:rPr>
          <w:rFonts w:cstheme="minorHAnsi"/>
          <w:b/>
          <w:bCs/>
        </w:rPr>
        <w:t xml:space="preserve"> - </w:t>
      </w:r>
      <w:r w:rsidRPr="008E6D4F">
        <w:rPr>
          <w:rFonts w:cstheme="minorHAnsi"/>
          <w:b/>
          <w:bCs/>
        </w:rPr>
        <w:t>C.</w:t>
      </w:r>
      <w:r w:rsidR="00C75698">
        <w:rPr>
          <w:rFonts w:cstheme="minorHAnsi"/>
          <w:b/>
          <w:bCs/>
        </w:rPr>
        <w:t xml:space="preserve"> </w:t>
      </w:r>
      <w:r w:rsidRPr="008E6D4F">
        <w:rPr>
          <w:rFonts w:cstheme="minorHAnsi"/>
          <w:b/>
          <w:bCs/>
        </w:rPr>
        <w:t>The right to Educations</w:t>
      </w:r>
    </w:p>
    <w:p w14:paraId="4FA7E95A" w14:textId="59648193" w:rsidR="003752CA" w:rsidRPr="008E6D4F" w:rsidRDefault="003752CA" w:rsidP="008E6D4F">
      <w:pPr>
        <w:pStyle w:val="pf0"/>
        <w:rPr>
          <w:rStyle w:val="cf01"/>
          <w:rFonts w:asciiTheme="minorHAnsi" w:hAnsiTheme="minorHAnsi" w:cstheme="minorHAnsi"/>
          <w:sz w:val="22"/>
          <w:szCs w:val="22"/>
        </w:rPr>
      </w:pPr>
      <w:r w:rsidRPr="008E6D4F">
        <w:rPr>
          <w:rFonts w:asciiTheme="minorHAnsi" w:hAnsiTheme="minorHAnsi" w:cstheme="minorHAnsi"/>
          <w:sz w:val="22"/>
          <w:szCs w:val="22"/>
          <w:u w:val="single"/>
        </w:rPr>
        <w:t>Paragraph 34</w:t>
      </w:r>
      <w:r w:rsidRPr="008E6D4F">
        <w:rPr>
          <w:rFonts w:asciiTheme="minorHAnsi" w:hAnsiTheme="minorHAnsi" w:cstheme="minorHAnsi"/>
          <w:sz w:val="22"/>
          <w:szCs w:val="22"/>
        </w:rPr>
        <w:t xml:space="preserve">: </w:t>
      </w:r>
      <w:r w:rsidR="002D7B4B" w:rsidRPr="008E6D4F">
        <w:rPr>
          <w:rFonts w:asciiTheme="minorHAnsi" w:hAnsiTheme="minorHAnsi" w:cstheme="minorHAnsi"/>
          <w:sz w:val="22"/>
          <w:szCs w:val="22"/>
        </w:rPr>
        <w:t>Consider including the integration of n</w:t>
      </w:r>
      <w:r w:rsidRPr="008E6D4F">
        <w:rPr>
          <w:rStyle w:val="cf01"/>
          <w:rFonts w:asciiTheme="minorHAnsi" w:hAnsiTheme="minorHAnsi" w:cstheme="minorHAnsi"/>
          <w:sz w:val="22"/>
          <w:szCs w:val="22"/>
        </w:rPr>
        <w:t>ature</w:t>
      </w:r>
      <w:r w:rsidR="002D7B4B" w:rsidRPr="008E6D4F">
        <w:rPr>
          <w:rStyle w:val="cf01"/>
          <w:rFonts w:asciiTheme="minorHAnsi" w:hAnsiTheme="minorHAnsi" w:cstheme="minorHAnsi"/>
          <w:sz w:val="22"/>
          <w:szCs w:val="22"/>
        </w:rPr>
        <w:t xml:space="preserve"> into </w:t>
      </w:r>
      <w:r w:rsidRPr="008E6D4F">
        <w:rPr>
          <w:rStyle w:val="cf01"/>
          <w:rFonts w:asciiTheme="minorHAnsi" w:hAnsiTheme="minorHAnsi" w:cstheme="minorHAnsi"/>
          <w:sz w:val="22"/>
          <w:szCs w:val="22"/>
        </w:rPr>
        <w:t>preschool classroom and curriculum. (</w:t>
      </w:r>
      <w:proofErr w:type="gramStart"/>
      <w:r w:rsidRPr="008E6D4F">
        <w:rPr>
          <w:rStyle w:val="cf01"/>
          <w:rFonts w:asciiTheme="minorHAnsi" w:hAnsiTheme="minorHAnsi" w:cstheme="minorHAnsi"/>
          <w:sz w:val="22"/>
          <w:szCs w:val="22"/>
        </w:rPr>
        <w:t>e.g.</w:t>
      </w:r>
      <w:proofErr w:type="gramEnd"/>
      <w:r w:rsidRPr="008E6D4F">
        <w:rPr>
          <w:rStyle w:val="cf01"/>
          <w:rFonts w:asciiTheme="minorHAnsi" w:hAnsiTheme="minorHAnsi" w:cstheme="minorHAnsi"/>
          <w:sz w:val="22"/>
          <w:szCs w:val="22"/>
        </w:rPr>
        <w:t xml:space="preserve"> Materials from nature found in the environment can be brought into the classroom and made part of the curriculum.)</w:t>
      </w:r>
    </w:p>
    <w:p w14:paraId="7FCBD7CA" w14:textId="590F22F4" w:rsidR="002D7B4B" w:rsidRPr="008E6D4F" w:rsidRDefault="002D7B4B" w:rsidP="008E6D4F">
      <w:pPr>
        <w:pStyle w:val="pf0"/>
        <w:rPr>
          <w:rFonts w:asciiTheme="minorHAnsi" w:eastAsiaTheme="minorEastAsia" w:hAnsiTheme="minorHAnsi" w:cstheme="minorHAnsi"/>
          <w:color w:val="5B9BD5"/>
          <w:sz w:val="22"/>
          <w:szCs w:val="22"/>
        </w:rPr>
      </w:pPr>
      <w:r w:rsidRPr="008E6D4F">
        <w:rPr>
          <w:rStyle w:val="cf01"/>
          <w:rFonts w:asciiTheme="minorHAnsi" w:hAnsiTheme="minorHAnsi" w:cstheme="minorHAnsi"/>
          <w:sz w:val="22"/>
          <w:szCs w:val="22"/>
          <w:u w:val="single"/>
        </w:rPr>
        <w:t xml:space="preserve">Paragraph 35: </w:t>
      </w:r>
      <w:r w:rsidRPr="00C75698">
        <w:rPr>
          <w:rFonts w:asciiTheme="minorHAnsi" w:eastAsiaTheme="minorEastAsia" w:hAnsiTheme="minorHAnsi" w:cstheme="minorHAnsi"/>
          <w:sz w:val="22"/>
          <w:szCs w:val="22"/>
        </w:rPr>
        <w:t xml:space="preserve">Governments should invest in the </w:t>
      </w:r>
      <w:r w:rsidR="00C75698" w:rsidRPr="00C75698">
        <w:rPr>
          <w:rFonts w:asciiTheme="minorHAnsi" w:eastAsiaTheme="minorEastAsia" w:hAnsiTheme="minorHAnsi" w:cstheme="minorHAnsi"/>
          <w:sz w:val="22"/>
          <w:szCs w:val="22"/>
        </w:rPr>
        <w:t>well-being</w:t>
      </w:r>
      <w:r w:rsidRPr="00C75698">
        <w:rPr>
          <w:rFonts w:asciiTheme="minorHAnsi" w:eastAsiaTheme="minorEastAsia" w:hAnsiTheme="minorHAnsi" w:cstheme="minorHAnsi"/>
          <w:sz w:val="22"/>
          <w:szCs w:val="22"/>
        </w:rPr>
        <w:t xml:space="preserve"> and professional development of education professionals and ensure equitable pay.</w:t>
      </w:r>
    </w:p>
    <w:p w14:paraId="5DE0ED53" w14:textId="5554455B" w:rsidR="002D7B4B" w:rsidRPr="008E6D4F" w:rsidRDefault="002D7B4B" w:rsidP="008E6D4F">
      <w:pPr>
        <w:spacing w:line="240" w:lineRule="auto"/>
        <w:rPr>
          <w:rFonts w:cstheme="minorHAnsi"/>
          <w:b/>
          <w:bCs/>
        </w:rPr>
      </w:pPr>
      <w:r w:rsidRPr="008E6D4F">
        <w:rPr>
          <w:rFonts w:cstheme="minorHAnsi"/>
          <w:b/>
          <w:bCs/>
        </w:rPr>
        <w:t xml:space="preserve">Section: </w:t>
      </w:r>
      <w:r w:rsidR="008E6D4F" w:rsidRPr="008E6D4F">
        <w:rPr>
          <w:rFonts w:cstheme="minorHAnsi"/>
          <w:b/>
          <w:bCs/>
        </w:rPr>
        <w:t xml:space="preserve">III. </w:t>
      </w:r>
      <w:r w:rsidRPr="008E6D4F">
        <w:rPr>
          <w:rFonts w:cstheme="minorHAnsi"/>
          <w:b/>
          <w:bCs/>
        </w:rPr>
        <w:t>Specific rights of the Convention as they relate to the environment</w:t>
      </w:r>
      <w:r w:rsidR="008E6D4F" w:rsidRPr="008E6D4F">
        <w:rPr>
          <w:rFonts w:cstheme="minorHAnsi"/>
          <w:b/>
          <w:bCs/>
        </w:rPr>
        <w:t xml:space="preserve"> - </w:t>
      </w:r>
      <w:r w:rsidRPr="008E6D4F">
        <w:rPr>
          <w:rFonts w:cstheme="minorHAnsi"/>
          <w:b/>
          <w:bCs/>
        </w:rPr>
        <w:t xml:space="preserve">G. The right to non-discrimination </w:t>
      </w:r>
    </w:p>
    <w:p w14:paraId="0484AB1E" w14:textId="67C389A7" w:rsidR="00434BCE" w:rsidRPr="008E6D4F" w:rsidRDefault="00434BCE" w:rsidP="008E6D4F">
      <w:pPr>
        <w:pStyle w:val="pf0"/>
        <w:rPr>
          <w:rFonts w:asciiTheme="minorHAnsi" w:hAnsiTheme="minorHAnsi" w:cstheme="minorHAnsi"/>
          <w:sz w:val="22"/>
          <w:szCs w:val="22"/>
        </w:rPr>
      </w:pPr>
      <w:r w:rsidRPr="008E6D4F">
        <w:rPr>
          <w:rFonts w:asciiTheme="minorHAnsi" w:hAnsiTheme="minorHAnsi" w:cstheme="minorHAnsi"/>
          <w:sz w:val="22"/>
          <w:szCs w:val="22"/>
          <w:u w:val="single"/>
        </w:rPr>
        <w:t>Paragraph 50:</w:t>
      </w:r>
      <w:r w:rsidRPr="008E6D4F">
        <w:rPr>
          <w:rFonts w:asciiTheme="minorHAnsi" w:hAnsiTheme="minorHAnsi" w:cstheme="minorHAnsi"/>
          <w:b/>
          <w:bCs/>
          <w:sz w:val="22"/>
          <w:szCs w:val="22"/>
        </w:rPr>
        <w:t xml:space="preserve"> </w:t>
      </w:r>
      <w:r w:rsidRPr="008E6D4F">
        <w:rPr>
          <w:rStyle w:val="cf01"/>
          <w:rFonts w:asciiTheme="minorHAnsi" w:hAnsiTheme="minorHAnsi" w:cstheme="minorHAnsi"/>
          <w:sz w:val="22"/>
          <w:szCs w:val="22"/>
        </w:rPr>
        <w:t xml:space="preserve">Should we also consider children (if we follow the Convention on the Rights of the Child's definition of children as anyone under 18 years) with diverse SOGIE (sexual orientation, gender identity and expression) as one of the groups who face heightened barriers? These would also include </w:t>
      </w:r>
      <w:r w:rsidRPr="008E6D4F">
        <w:rPr>
          <w:rFonts w:asciiTheme="minorHAnsi" w:hAnsiTheme="minorHAnsi" w:cstheme="minorHAnsi"/>
          <w:sz w:val="22"/>
          <w:szCs w:val="22"/>
        </w:rPr>
        <w:t xml:space="preserve">children living in atypical </w:t>
      </w:r>
      <w:r w:rsidR="008E6D4F" w:rsidRPr="008E6D4F">
        <w:rPr>
          <w:rFonts w:asciiTheme="minorHAnsi" w:hAnsiTheme="minorHAnsi" w:cstheme="minorHAnsi"/>
          <w:sz w:val="22"/>
          <w:szCs w:val="22"/>
        </w:rPr>
        <w:t>families’</w:t>
      </w:r>
      <w:r w:rsidRPr="008E6D4F">
        <w:rPr>
          <w:rFonts w:asciiTheme="minorHAnsi" w:hAnsiTheme="minorHAnsi" w:cstheme="minorHAnsi"/>
          <w:sz w:val="22"/>
          <w:szCs w:val="22"/>
        </w:rPr>
        <w:t xml:space="preserve"> structures like incarcerated families, same sex parents, </w:t>
      </w:r>
      <w:proofErr w:type="gramStart"/>
      <w:r w:rsidRPr="008E6D4F">
        <w:rPr>
          <w:rFonts w:asciiTheme="minorHAnsi" w:hAnsiTheme="minorHAnsi" w:cstheme="minorHAnsi"/>
          <w:sz w:val="22"/>
          <w:szCs w:val="22"/>
        </w:rPr>
        <w:t>etc</w:t>
      </w:r>
      <w:proofErr w:type="gramEnd"/>
    </w:p>
    <w:p w14:paraId="3907BF03" w14:textId="6DD6FB1E" w:rsidR="00434BCE" w:rsidRPr="008E6D4F" w:rsidRDefault="00434BCE" w:rsidP="008E6D4F">
      <w:pPr>
        <w:pStyle w:val="pf0"/>
        <w:rPr>
          <w:rFonts w:asciiTheme="minorHAnsi" w:hAnsiTheme="minorHAnsi" w:cstheme="minorHAnsi"/>
          <w:b/>
          <w:bCs/>
          <w:sz w:val="22"/>
          <w:szCs w:val="22"/>
        </w:rPr>
      </w:pPr>
      <w:r w:rsidRPr="008E6D4F">
        <w:rPr>
          <w:rFonts w:asciiTheme="minorHAnsi" w:hAnsiTheme="minorHAnsi" w:cstheme="minorHAnsi"/>
          <w:b/>
          <w:bCs/>
          <w:sz w:val="22"/>
          <w:szCs w:val="22"/>
        </w:rPr>
        <w:t xml:space="preserve">Sections: </w:t>
      </w:r>
      <w:r w:rsidR="008E6D4F" w:rsidRPr="008E6D4F">
        <w:rPr>
          <w:rFonts w:asciiTheme="minorHAnsi" w:hAnsiTheme="minorHAnsi" w:cstheme="minorHAnsi"/>
          <w:b/>
          <w:bCs/>
          <w:sz w:val="22"/>
          <w:szCs w:val="22"/>
        </w:rPr>
        <w:t xml:space="preserve">III. </w:t>
      </w:r>
      <w:r w:rsidRPr="008E6D4F">
        <w:rPr>
          <w:rFonts w:asciiTheme="minorHAnsi" w:hAnsiTheme="minorHAnsi" w:cstheme="minorHAnsi"/>
          <w:b/>
          <w:bCs/>
          <w:sz w:val="22"/>
          <w:szCs w:val="22"/>
        </w:rPr>
        <w:t>Specific rights of the Convention as they relate to the environment</w:t>
      </w:r>
      <w:r w:rsidR="008E6D4F" w:rsidRPr="008E6D4F">
        <w:rPr>
          <w:rFonts w:asciiTheme="minorHAnsi" w:hAnsiTheme="minorHAnsi" w:cstheme="minorHAnsi"/>
          <w:b/>
          <w:bCs/>
          <w:sz w:val="22"/>
          <w:szCs w:val="22"/>
        </w:rPr>
        <w:t xml:space="preserve"> - </w:t>
      </w:r>
      <w:r w:rsidRPr="008E6D4F">
        <w:rPr>
          <w:rFonts w:asciiTheme="minorHAnsi" w:hAnsiTheme="minorHAnsi" w:cstheme="minorHAnsi"/>
          <w:b/>
          <w:bCs/>
          <w:sz w:val="22"/>
          <w:szCs w:val="22"/>
        </w:rPr>
        <w:t xml:space="preserve">I. The right of the child to be </w:t>
      </w:r>
      <w:r w:rsidR="00C75698" w:rsidRPr="008E6D4F">
        <w:rPr>
          <w:rFonts w:asciiTheme="minorHAnsi" w:hAnsiTheme="minorHAnsi" w:cstheme="minorHAnsi"/>
          <w:b/>
          <w:bCs/>
          <w:sz w:val="22"/>
          <w:szCs w:val="22"/>
        </w:rPr>
        <w:t>heard.</w:t>
      </w:r>
      <w:r w:rsidRPr="008E6D4F">
        <w:rPr>
          <w:rFonts w:asciiTheme="minorHAnsi" w:hAnsiTheme="minorHAnsi" w:cstheme="minorHAnsi"/>
          <w:b/>
          <w:bCs/>
          <w:sz w:val="22"/>
          <w:szCs w:val="22"/>
        </w:rPr>
        <w:t xml:space="preserve"> </w:t>
      </w:r>
    </w:p>
    <w:p w14:paraId="67D04EE8" w14:textId="76DE0306" w:rsidR="00434BCE" w:rsidRPr="008E6D4F" w:rsidRDefault="00434BCE" w:rsidP="008E6D4F">
      <w:pPr>
        <w:pStyle w:val="pf0"/>
        <w:rPr>
          <w:rFonts w:asciiTheme="minorHAnsi" w:hAnsiTheme="minorHAnsi" w:cstheme="minorHAnsi"/>
          <w:sz w:val="22"/>
          <w:szCs w:val="22"/>
        </w:rPr>
      </w:pPr>
      <w:r w:rsidRPr="008E6D4F">
        <w:rPr>
          <w:rFonts w:asciiTheme="minorHAnsi" w:hAnsiTheme="minorHAnsi" w:cstheme="minorHAnsi"/>
          <w:sz w:val="22"/>
          <w:szCs w:val="22"/>
          <w:u w:val="single"/>
        </w:rPr>
        <w:t>Paragraph 57:</w:t>
      </w:r>
      <w:r w:rsidRPr="008E6D4F">
        <w:rPr>
          <w:rFonts w:asciiTheme="minorHAnsi" w:hAnsiTheme="minorHAnsi" w:cstheme="minorHAnsi"/>
          <w:sz w:val="22"/>
          <w:szCs w:val="22"/>
        </w:rPr>
        <w:t xml:space="preserve"> Youngest children – although there is mention of age-appropriate mechanisms etc.</w:t>
      </w:r>
      <w:proofErr w:type="gramStart"/>
      <w:r w:rsidR="008B304A">
        <w:rPr>
          <w:rFonts w:asciiTheme="minorHAnsi" w:hAnsiTheme="minorHAnsi" w:cstheme="minorHAnsi"/>
          <w:sz w:val="22"/>
          <w:szCs w:val="22"/>
        </w:rPr>
        <w:t xml:space="preserve">, </w:t>
      </w:r>
      <w:r w:rsidRPr="008E6D4F">
        <w:rPr>
          <w:rFonts w:asciiTheme="minorHAnsi" w:hAnsiTheme="minorHAnsi" w:cstheme="minorHAnsi"/>
          <w:sz w:val="22"/>
          <w:szCs w:val="22"/>
        </w:rPr>
        <w:t xml:space="preserve"> the</w:t>
      </w:r>
      <w:r w:rsidR="008B304A">
        <w:rPr>
          <w:rFonts w:asciiTheme="minorHAnsi" w:hAnsiTheme="minorHAnsi" w:cstheme="minorHAnsi"/>
          <w:sz w:val="22"/>
          <w:szCs w:val="22"/>
        </w:rPr>
        <w:t>re</w:t>
      </w:r>
      <w:proofErr w:type="gramEnd"/>
      <w:r w:rsidRPr="008E6D4F">
        <w:rPr>
          <w:rFonts w:asciiTheme="minorHAnsi" w:hAnsiTheme="minorHAnsi" w:cstheme="minorHAnsi"/>
          <w:sz w:val="22"/>
          <w:szCs w:val="22"/>
        </w:rPr>
        <w:t xml:space="preserve"> needs to be greater differentiation between ‘children’ – so that youngest children are highlighted, particularly in the first </w:t>
      </w:r>
      <w:r w:rsidRPr="008E6D4F">
        <w:rPr>
          <w:rFonts w:asciiTheme="minorHAnsi" w:hAnsiTheme="minorHAnsi" w:cstheme="minorHAnsi"/>
          <w:b/>
          <w:bCs/>
          <w:sz w:val="22"/>
          <w:szCs w:val="22"/>
        </w:rPr>
        <w:t xml:space="preserve">1000 days </w:t>
      </w:r>
      <w:r w:rsidRPr="008E6D4F">
        <w:rPr>
          <w:rFonts w:asciiTheme="minorHAnsi" w:hAnsiTheme="minorHAnsi" w:cstheme="minorHAnsi"/>
          <w:sz w:val="22"/>
          <w:szCs w:val="22"/>
        </w:rPr>
        <w:t>because of the importance of this window of development.  The distinction between young children, school aged children and youth should be made – to recognise differential impacts e.g. on children 0-8 in terms of both the impact of climate change/environmental hazards on their wellbeing and development and how investing in ECD can support climate adaptation and sustainable futures.</w:t>
      </w:r>
    </w:p>
    <w:p w14:paraId="558A1122" w14:textId="69BD7DEB" w:rsidR="00434BCE" w:rsidRPr="008E6D4F" w:rsidRDefault="00434BCE" w:rsidP="008E6D4F">
      <w:pPr>
        <w:pStyle w:val="Heading1"/>
        <w:tabs>
          <w:tab w:val="left" w:pos="1246"/>
        </w:tabs>
        <w:kinsoku w:val="0"/>
        <w:overflowPunct w:val="0"/>
        <w:ind w:left="0" w:firstLine="0"/>
        <w:rPr>
          <w:rFonts w:asciiTheme="minorHAnsi" w:hAnsiTheme="minorHAnsi" w:cstheme="minorHAnsi"/>
          <w:sz w:val="22"/>
          <w:szCs w:val="22"/>
        </w:rPr>
      </w:pPr>
      <w:r w:rsidRPr="008E6D4F">
        <w:rPr>
          <w:rFonts w:asciiTheme="minorHAnsi" w:hAnsiTheme="minorHAnsi" w:cstheme="minorHAnsi"/>
          <w:sz w:val="22"/>
          <w:szCs w:val="22"/>
        </w:rPr>
        <w:t xml:space="preserve">Section: IV. The right to a clean, </w:t>
      </w:r>
      <w:proofErr w:type="gramStart"/>
      <w:r w:rsidRPr="008E6D4F">
        <w:rPr>
          <w:rFonts w:asciiTheme="minorHAnsi" w:hAnsiTheme="minorHAnsi" w:cstheme="minorHAnsi"/>
          <w:sz w:val="22"/>
          <w:szCs w:val="22"/>
        </w:rPr>
        <w:t>healthy</w:t>
      </w:r>
      <w:proofErr w:type="gramEnd"/>
      <w:r w:rsidRPr="008E6D4F">
        <w:rPr>
          <w:rFonts w:asciiTheme="minorHAnsi" w:hAnsiTheme="minorHAnsi" w:cstheme="minorHAnsi"/>
          <w:sz w:val="22"/>
          <w:szCs w:val="22"/>
        </w:rPr>
        <w:t xml:space="preserve"> and sustainable</w:t>
      </w:r>
      <w:r w:rsidRPr="008E6D4F">
        <w:rPr>
          <w:rFonts w:asciiTheme="minorHAnsi" w:hAnsiTheme="minorHAnsi" w:cstheme="minorHAnsi"/>
          <w:spacing w:val="-15"/>
          <w:sz w:val="22"/>
          <w:szCs w:val="22"/>
        </w:rPr>
        <w:t xml:space="preserve"> </w:t>
      </w:r>
      <w:r w:rsidRPr="008E6D4F">
        <w:rPr>
          <w:rFonts w:asciiTheme="minorHAnsi" w:hAnsiTheme="minorHAnsi" w:cstheme="minorHAnsi"/>
          <w:sz w:val="22"/>
          <w:szCs w:val="22"/>
        </w:rPr>
        <w:t>environment</w:t>
      </w:r>
    </w:p>
    <w:p w14:paraId="6D7D548A" w14:textId="77777777" w:rsidR="008E6D4F" w:rsidRDefault="00434BCE" w:rsidP="008E6D4F">
      <w:pPr>
        <w:pStyle w:val="pf0"/>
        <w:rPr>
          <w:rStyle w:val="cf01"/>
          <w:rFonts w:asciiTheme="minorHAnsi" w:hAnsiTheme="minorHAnsi" w:cstheme="minorHAnsi"/>
          <w:sz w:val="22"/>
          <w:szCs w:val="22"/>
        </w:rPr>
      </w:pPr>
      <w:r w:rsidRPr="008629EB">
        <w:rPr>
          <w:rFonts w:asciiTheme="minorHAnsi" w:hAnsiTheme="minorHAnsi" w:cstheme="minorHAnsi"/>
          <w:sz w:val="22"/>
          <w:szCs w:val="22"/>
          <w:u w:val="single"/>
        </w:rPr>
        <w:t>Paragraph 73 (a)</w:t>
      </w:r>
      <w:r w:rsidRPr="008E6D4F">
        <w:rPr>
          <w:rFonts w:asciiTheme="minorHAnsi" w:hAnsiTheme="minorHAnsi" w:cstheme="minorHAnsi"/>
          <w:sz w:val="22"/>
          <w:szCs w:val="22"/>
        </w:rPr>
        <w:t xml:space="preserve">: suggest including under five </w:t>
      </w:r>
      <w:proofErr w:type="gramStart"/>
      <w:r w:rsidRPr="008E6D4F">
        <w:rPr>
          <w:rFonts w:asciiTheme="minorHAnsi" w:hAnsiTheme="minorHAnsi" w:cstheme="minorHAnsi"/>
          <w:sz w:val="22"/>
          <w:szCs w:val="22"/>
        </w:rPr>
        <w:t>mortality</w:t>
      </w:r>
      <w:proofErr w:type="gramEnd"/>
      <w:r w:rsidRPr="008E6D4F">
        <w:rPr>
          <w:rFonts w:asciiTheme="minorHAnsi" w:hAnsiTheme="minorHAnsi" w:cstheme="minorHAnsi"/>
          <w:sz w:val="22"/>
          <w:szCs w:val="22"/>
        </w:rPr>
        <w:t xml:space="preserve"> </w:t>
      </w:r>
      <w:r w:rsidRPr="008E6D4F">
        <w:rPr>
          <w:rFonts w:asciiTheme="minorHAnsi" w:hAnsiTheme="minorHAnsi" w:cstheme="minorHAnsi"/>
          <w:sz w:val="22"/>
          <w:szCs w:val="22"/>
          <w:highlight w:val="yellow"/>
        </w:rPr>
        <w:t>(</w:t>
      </w:r>
      <w:r w:rsidRPr="008E6D4F">
        <w:rPr>
          <w:rStyle w:val="cf01"/>
          <w:rFonts w:asciiTheme="minorHAnsi" w:hAnsiTheme="minorHAnsi" w:cstheme="minorHAnsi"/>
          <w:sz w:val="22"/>
          <w:szCs w:val="22"/>
          <w:highlight w:val="yellow"/>
        </w:rPr>
        <w:t>and morbidity)</w:t>
      </w:r>
    </w:p>
    <w:p w14:paraId="19F28E9F" w14:textId="6EE54B0E" w:rsidR="00434BCE" w:rsidRPr="008E6D4F" w:rsidRDefault="00434BCE" w:rsidP="008E6D4F">
      <w:pPr>
        <w:pStyle w:val="pf0"/>
        <w:rPr>
          <w:rFonts w:asciiTheme="minorHAnsi" w:hAnsiTheme="minorHAnsi" w:cstheme="minorHAnsi"/>
          <w:sz w:val="22"/>
          <w:szCs w:val="22"/>
        </w:rPr>
      </w:pPr>
      <w:r w:rsidRPr="008629EB">
        <w:rPr>
          <w:rFonts w:asciiTheme="minorHAnsi" w:hAnsiTheme="minorHAnsi" w:cstheme="minorHAnsi"/>
          <w:sz w:val="22"/>
          <w:szCs w:val="22"/>
          <w:u w:val="single"/>
        </w:rPr>
        <w:t>Paragraph 73 (c)</w:t>
      </w:r>
      <w:r w:rsidRPr="008E6D4F">
        <w:rPr>
          <w:rFonts w:asciiTheme="minorHAnsi" w:hAnsiTheme="minorHAnsi" w:cstheme="minorHAnsi"/>
          <w:sz w:val="22"/>
          <w:szCs w:val="22"/>
        </w:rPr>
        <w:t xml:space="preserve">: </w:t>
      </w:r>
      <w:r w:rsidRPr="008E6D4F">
        <w:rPr>
          <w:rStyle w:val="cf01"/>
          <w:rFonts w:asciiTheme="minorHAnsi" w:hAnsiTheme="minorHAnsi" w:cstheme="minorHAnsi"/>
          <w:sz w:val="22"/>
          <w:szCs w:val="22"/>
        </w:rPr>
        <w:t>Suggest reviewing terminologies.</w:t>
      </w:r>
      <w:r w:rsidRPr="008E6D4F">
        <w:rPr>
          <w:rFonts w:asciiTheme="minorHAnsi" w:hAnsiTheme="minorHAnsi" w:cstheme="minorHAnsi"/>
          <w:sz w:val="22"/>
          <w:szCs w:val="22"/>
        </w:rPr>
        <w:t xml:space="preserve"> </w:t>
      </w:r>
      <w:r w:rsidRPr="008E6D4F">
        <w:rPr>
          <w:rStyle w:val="cf01"/>
          <w:rFonts w:asciiTheme="minorHAnsi" w:hAnsiTheme="minorHAnsi" w:cstheme="minorHAnsi"/>
          <w:sz w:val="22"/>
          <w:szCs w:val="22"/>
        </w:rPr>
        <w:t xml:space="preserve">Malnutrition refers to deficiencies, excesses, or imbalances in a person’s intake of energy and/or nutrients. The term malnutrition addresses 3 broad groups of conditions and undernutrition is one of them. </w:t>
      </w:r>
    </w:p>
    <w:p w14:paraId="40D32EC7" w14:textId="14CA0CD2" w:rsidR="00434BCE" w:rsidRPr="008E6D4F" w:rsidRDefault="00434BCE" w:rsidP="008E6D4F">
      <w:pPr>
        <w:pStyle w:val="Heading1"/>
        <w:tabs>
          <w:tab w:val="left" w:pos="666"/>
        </w:tabs>
        <w:kinsoku w:val="0"/>
        <w:overflowPunct w:val="0"/>
        <w:spacing w:before="1"/>
        <w:ind w:left="0" w:firstLine="0"/>
        <w:rPr>
          <w:rFonts w:asciiTheme="minorHAnsi" w:hAnsiTheme="minorHAnsi" w:cstheme="minorHAnsi"/>
          <w:sz w:val="22"/>
          <w:szCs w:val="22"/>
        </w:rPr>
      </w:pPr>
      <w:r w:rsidRPr="008E6D4F">
        <w:rPr>
          <w:rFonts w:asciiTheme="minorHAnsi" w:hAnsiTheme="minorHAnsi" w:cstheme="minorHAnsi"/>
          <w:sz w:val="22"/>
          <w:szCs w:val="22"/>
        </w:rPr>
        <w:t>Section:  VI. General obligations of</w:t>
      </w:r>
      <w:r w:rsidRPr="008E6D4F">
        <w:rPr>
          <w:rFonts w:asciiTheme="minorHAnsi" w:hAnsiTheme="minorHAnsi" w:cstheme="minorHAnsi"/>
          <w:spacing w:val="-14"/>
          <w:sz w:val="22"/>
          <w:szCs w:val="22"/>
        </w:rPr>
        <w:t xml:space="preserve"> </w:t>
      </w:r>
      <w:r w:rsidRPr="008E6D4F">
        <w:rPr>
          <w:rFonts w:asciiTheme="minorHAnsi" w:hAnsiTheme="minorHAnsi" w:cstheme="minorHAnsi"/>
          <w:sz w:val="22"/>
          <w:szCs w:val="22"/>
        </w:rPr>
        <w:t>States</w:t>
      </w:r>
    </w:p>
    <w:p w14:paraId="57C30A41" w14:textId="510625E3" w:rsidR="008E6D4F" w:rsidRPr="008E6D4F" w:rsidRDefault="008E6D4F" w:rsidP="008E6D4F">
      <w:pPr>
        <w:pStyle w:val="pf0"/>
        <w:rPr>
          <w:rFonts w:asciiTheme="minorHAnsi" w:hAnsiTheme="minorHAnsi" w:cstheme="minorHAnsi"/>
          <w:sz w:val="22"/>
          <w:szCs w:val="22"/>
        </w:rPr>
      </w:pPr>
      <w:r w:rsidRPr="008E6D4F">
        <w:rPr>
          <w:rFonts w:asciiTheme="minorHAnsi" w:hAnsiTheme="minorHAnsi" w:cstheme="minorHAnsi"/>
          <w:sz w:val="22"/>
          <w:szCs w:val="22"/>
        </w:rPr>
        <w:t xml:space="preserve">Comment: </w:t>
      </w:r>
      <w:r w:rsidR="007B7D86">
        <w:rPr>
          <w:rStyle w:val="cf01"/>
          <w:rFonts w:asciiTheme="minorHAnsi" w:hAnsiTheme="minorHAnsi" w:cstheme="minorHAnsi"/>
          <w:sz w:val="22"/>
          <w:szCs w:val="22"/>
        </w:rPr>
        <w:t>I</w:t>
      </w:r>
      <w:r w:rsidRPr="008E6D4F">
        <w:rPr>
          <w:rStyle w:val="cf01"/>
          <w:rFonts w:asciiTheme="minorHAnsi" w:hAnsiTheme="minorHAnsi" w:cstheme="minorHAnsi"/>
          <w:sz w:val="22"/>
          <w:szCs w:val="22"/>
        </w:rPr>
        <w:t xml:space="preserve">s it possible to include much more explicitly issues relating to mental health and wellbeing. </w:t>
      </w:r>
      <w:r w:rsidR="007B7D86">
        <w:rPr>
          <w:rStyle w:val="cf01"/>
          <w:rFonts w:asciiTheme="minorHAnsi" w:hAnsiTheme="minorHAnsi" w:cstheme="minorHAnsi"/>
          <w:sz w:val="22"/>
          <w:szCs w:val="22"/>
        </w:rPr>
        <w:t xml:space="preserve">We are </w:t>
      </w:r>
      <w:r w:rsidRPr="008E6D4F">
        <w:rPr>
          <w:rStyle w:val="cf01"/>
          <w:rFonts w:asciiTheme="minorHAnsi" w:hAnsiTheme="minorHAnsi" w:cstheme="minorHAnsi"/>
          <w:sz w:val="22"/>
          <w:szCs w:val="22"/>
        </w:rPr>
        <w:t>thinking in particular to the obligation of the state to create a social context (</w:t>
      </w:r>
      <w:proofErr w:type="spellStart"/>
      <w:proofErr w:type="gramStart"/>
      <w:r w:rsidRPr="008E6D4F">
        <w:rPr>
          <w:rStyle w:val="cf01"/>
          <w:rFonts w:asciiTheme="minorHAnsi" w:hAnsiTheme="minorHAnsi" w:cstheme="minorHAnsi"/>
          <w:sz w:val="22"/>
          <w:szCs w:val="22"/>
        </w:rPr>
        <w:t>ie</w:t>
      </w:r>
      <w:proofErr w:type="spellEnd"/>
      <w:proofErr w:type="gramEnd"/>
      <w:r w:rsidRPr="008E6D4F">
        <w:rPr>
          <w:rStyle w:val="cf01"/>
          <w:rFonts w:asciiTheme="minorHAnsi" w:hAnsiTheme="minorHAnsi" w:cstheme="minorHAnsi"/>
          <w:sz w:val="22"/>
          <w:szCs w:val="22"/>
        </w:rPr>
        <w:t xml:space="preserve"> the social/cultural environment) that addresses prejudice, disadvantage, and the kinds of disadvantage that are associated with government policies and practices that exclude those who are disadvantaged, which in turn has a major flow-on negative impact on children.</w:t>
      </w:r>
    </w:p>
    <w:p w14:paraId="7C0B2078" w14:textId="77777777" w:rsidR="008E6D4F" w:rsidRPr="008E6D4F" w:rsidRDefault="008E6D4F" w:rsidP="008E6D4F">
      <w:pPr>
        <w:spacing w:line="240" w:lineRule="auto"/>
        <w:rPr>
          <w:rFonts w:cstheme="minorHAnsi"/>
          <w:b/>
          <w:bCs/>
        </w:rPr>
      </w:pPr>
      <w:r w:rsidRPr="008E6D4F">
        <w:rPr>
          <w:rFonts w:cstheme="minorHAnsi"/>
          <w:b/>
          <w:bCs/>
        </w:rPr>
        <w:t>Section: VII: Climate Change. State obligations, implementation, and accountability</w:t>
      </w:r>
    </w:p>
    <w:p w14:paraId="04D24477" w14:textId="4C1F1534" w:rsidR="00555533" w:rsidRDefault="008E6D4F" w:rsidP="00C75698">
      <w:pPr>
        <w:spacing w:line="240" w:lineRule="auto"/>
        <w:rPr>
          <w:b/>
          <w:bCs/>
          <w:sz w:val="21"/>
          <w:szCs w:val="21"/>
        </w:rPr>
      </w:pPr>
      <w:r w:rsidRPr="008E6D4F">
        <w:rPr>
          <w:rFonts w:cstheme="minorHAnsi"/>
        </w:rPr>
        <w:t xml:space="preserve">Comment: </w:t>
      </w:r>
      <w:r w:rsidRPr="008E6D4F">
        <w:rPr>
          <w:rStyle w:val="cf01"/>
          <w:rFonts w:asciiTheme="minorHAnsi" w:hAnsiTheme="minorHAnsi" w:cstheme="minorHAnsi"/>
          <w:sz w:val="22"/>
          <w:szCs w:val="22"/>
        </w:rPr>
        <w:t>There are a couple of mentions of accountability, but this could be strengthened, including to reference accountability around how views, voices and perspectives of children will be used and responded to.</w:t>
      </w:r>
    </w:p>
    <w:sectPr w:rsidR="0055553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5DFB" w14:textId="77777777" w:rsidR="00345B5E" w:rsidRDefault="00345B5E">
      <w:pPr>
        <w:spacing w:after="0" w:line="240" w:lineRule="auto"/>
      </w:pPr>
      <w:r>
        <w:separator/>
      </w:r>
    </w:p>
  </w:endnote>
  <w:endnote w:type="continuationSeparator" w:id="0">
    <w:p w14:paraId="4733FF48" w14:textId="77777777" w:rsidR="00345B5E" w:rsidRDefault="0034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8551" w14:textId="77777777" w:rsidR="00505FC8" w:rsidRDefault="00000000">
    <w:pPr>
      <w:pStyle w:val="BodyText"/>
      <w:kinsoku w:val="0"/>
      <w:overflowPunct w:val="0"/>
      <w:spacing w:line="14" w:lineRule="auto"/>
    </w:pPr>
    <w:r>
      <w:rPr>
        <w:noProof/>
      </w:rPr>
      <w:pict w14:anchorId="1123FBF3">
        <v:shapetype id="_x0000_t202" coordsize="21600,21600" o:spt="202" path="m,l,21600r21600,l21600,xe">
          <v:stroke joinstyle="miter"/>
          <v:path gradientshapeok="t" o:connecttype="rect"/>
        </v:shapetype>
        <v:shape id="_x0000_s1025" type="#_x0000_t202" style="position:absolute;margin-left:55.65pt;margin-top:802.65pt;width:6.5pt;height:12pt;z-index:-251658752;mso-position-horizontal-relative:page;mso-position-vertical-relative:page" o:allowincell="f" filled="f" stroked="f">
          <v:textbox inset="0,0,0,0">
            <w:txbxContent>
              <w:p w14:paraId="11A1D0FE" w14:textId="77777777" w:rsidR="00505FC8" w:rsidRDefault="002231DE">
                <w:pPr>
                  <w:pStyle w:val="BodyText"/>
                  <w:kinsoku w:val="0"/>
                  <w:overflowPunct w:val="0"/>
                  <w:spacing w:before="12"/>
                  <w:ind w:left="20"/>
                  <w:rPr>
                    <w:b/>
                    <w:bCs/>
                    <w:sz w:val="18"/>
                    <w:szCs w:val="18"/>
                  </w:rPr>
                </w:pPr>
                <w:r>
                  <w:rPr>
                    <w:b/>
                    <w:bCs/>
                    <w:sz w:val="18"/>
                    <w:szCs w:val="18"/>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06631"/>
      <w:docPartObj>
        <w:docPartGallery w:val="Page Numbers (Bottom of Page)"/>
        <w:docPartUnique/>
      </w:docPartObj>
    </w:sdtPr>
    <w:sdtEndPr>
      <w:rPr>
        <w:noProof/>
      </w:rPr>
    </w:sdtEndPr>
    <w:sdtContent>
      <w:p w14:paraId="2BF6262E" w14:textId="0637D5CA" w:rsidR="00C75698" w:rsidRDefault="00C75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EB6C0" w14:textId="25E70D4E" w:rsidR="00505FC8" w:rsidRDefault="00000000">
    <w:pPr>
      <w:pStyle w:val="BodyText"/>
      <w:kinsoku w:val="0"/>
      <w:overflowPunct w:val="0"/>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3E12" w14:textId="77777777" w:rsidR="00345B5E" w:rsidRDefault="00345B5E">
      <w:pPr>
        <w:spacing w:after="0" w:line="240" w:lineRule="auto"/>
      </w:pPr>
      <w:r>
        <w:separator/>
      </w:r>
    </w:p>
  </w:footnote>
  <w:footnote w:type="continuationSeparator" w:id="0">
    <w:p w14:paraId="23FD68A5" w14:textId="77777777" w:rsidR="00345B5E" w:rsidRDefault="0034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1246" w:hanging="461"/>
      </w:pPr>
      <w:rPr>
        <w:rFonts w:ascii="Times New Roman" w:hAnsi="Times New Roman" w:cs="Times New Roman"/>
        <w:b/>
        <w:bCs/>
        <w:spacing w:val="0"/>
        <w:w w:val="100"/>
        <w:sz w:val="28"/>
        <w:szCs w:val="28"/>
      </w:rPr>
    </w:lvl>
    <w:lvl w:ilvl="1">
      <w:start w:val="1"/>
      <w:numFmt w:val="decimal"/>
      <w:lvlText w:val="%2."/>
      <w:lvlJc w:val="left"/>
      <w:pPr>
        <w:ind w:left="1246" w:hanging="569"/>
      </w:pPr>
      <w:rPr>
        <w:rFonts w:ascii="Times New Roman" w:hAnsi="Times New Roman" w:cs="Times New Roman"/>
        <w:b w:val="0"/>
        <w:bCs w:val="0"/>
        <w:spacing w:val="0"/>
        <w:w w:val="99"/>
        <w:sz w:val="20"/>
        <w:szCs w:val="20"/>
      </w:rPr>
    </w:lvl>
    <w:lvl w:ilvl="2">
      <w:start w:val="1"/>
      <w:numFmt w:val="lowerLetter"/>
      <w:lvlText w:val="(%3)"/>
      <w:lvlJc w:val="left"/>
      <w:pPr>
        <w:ind w:left="686" w:hanging="567"/>
      </w:pPr>
      <w:rPr>
        <w:rFonts w:ascii="Times New Roman" w:hAnsi="Times New Roman" w:cs="Times New Roman"/>
        <w:b w:val="0"/>
        <w:bCs w:val="0"/>
        <w:w w:val="99"/>
        <w:sz w:val="20"/>
        <w:szCs w:val="20"/>
      </w:rPr>
    </w:lvl>
    <w:lvl w:ilvl="3">
      <w:numFmt w:val="bullet"/>
      <w:lvlText w:val="•"/>
      <w:lvlJc w:val="left"/>
      <w:pPr>
        <w:ind w:left="2885" w:hanging="567"/>
      </w:pPr>
    </w:lvl>
    <w:lvl w:ilvl="4">
      <w:numFmt w:val="bullet"/>
      <w:lvlText w:val="•"/>
      <w:lvlJc w:val="left"/>
      <w:pPr>
        <w:ind w:left="3708" w:hanging="567"/>
      </w:pPr>
    </w:lvl>
    <w:lvl w:ilvl="5">
      <w:numFmt w:val="bullet"/>
      <w:lvlText w:val="•"/>
      <w:lvlJc w:val="left"/>
      <w:pPr>
        <w:ind w:left="4531" w:hanging="567"/>
      </w:pPr>
    </w:lvl>
    <w:lvl w:ilvl="6">
      <w:numFmt w:val="bullet"/>
      <w:lvlText w:val="•"/>
      <w:lvlJc w:val="left"/>
      <w:pPr>
        <w:ind w:left="5354" w:hanging="567"/>
      </w:pPr>
    </w:lvl>
    <w:lvl w:ilvl="7">
      <w:numFmt w:val="bullet"/>
      <w:lvlText w:val="•"/>
      <w:lvlJc w:val="left"/>
      <w:pPr>
        <w:ind w:left="6177" w:hanging="567"/>
      </w:pPr>
    </w:lvl>
    <w:lvl w:ilvl="8">
      <w:numFmt w:val="bullet"/>
      <w:lvlText w:val="•"/>
      <w:lvlJc w:val="left"/>
      <w:pPr>
        <w:ind w:left="7000" w:hanging="567"/>
      </w:pPr>
    </w:lvl>
  </w:abstractNum>
  <w:abstractNum w:abstractNumId="1" w15:restartNumberingAfterBreak="0">
    <w:nsid w:val="00000403"/>
    <w:multiLevelType w:val="multilevel"/>
    <w:tmpl w:val="FFFFFFFF"/>
    <w:lvl w:ilvl="0">
      <w:start w:val="1"/>
      <w:numFmt w:val="upperLetter"/>
      <w:lvlText w:val="%1."/>
      <w:lvlJc w:val="left"/>
      <w:pPr>
        <w:ind w:left="1246" w:hanging="514"/>
      </w:pPr>
      <w:rPr>
        <w:rFonts w:ascii="Times New Roman" w:hAnsi="Times New Roman" w:cs="Times New Roman"/>
        <w:b/>
        <w:bCs/>
        <w:spacing w:val="-1"/>
        <w:w w:val="99"/>
        <w:sz w:val="24"/>
        <w:szCs w:val="24"/>
      </w:rPr>
    </w:lvl>
    <w:lvl w:ilvl="1">
      <w:numFmt w:val="bullet"/>
      <w:lvlText w:val="•"/>
      <w:lvlJc w:val="left"/>
      <w:pPr>
        <w:ind w:left="2036" w:hanging="514"/>
      </w:pPr>
    </w:lvl>
    <w:lvl w:ilvl="2">
      <w:numFmt w:val="bullet"/>
      <w:lvlText w:val="•"/>
      <w:lvlJc w:val="left"/>
      <w:pPr>
        <w:ind w:left="2833" w:hanging="514"/>
      </w:pPr>
    </w:lvl>
    <w:lvl w:ilvl="3">
      <w:numFmt w:val="bullet"/>
      <w:lvlText w:val="•"/>
      <w:lvlJc w:val="left"/>
      <w:pPr>
        <w:ind w:left="3629" w:hanging="514"/>
      </w:pPr>
    </w:lvl>
    <w:lvl w:ilvl="4">
      <w:numFmt w:val="bullet"/>
      <w:lvlText w:val="•"/>
      <w:lvlJc w:val="left"/>
      <w:pPr>
        <w:ind w:left="4426" w:hanging="514"/>
      </w:pPr>
    </w:lvl>
    <w:lvl w:ilvl="5">
      <w:numFmt w:val="bullet"/>
      <w:lvlText w:val="•"/>
      <w:lvlJc w:val="left"/>
      <w:pPr>
        <w:ind w:left="5223" w:hanging="514"/>
      </w:pPr>
    </w:lvl>
    <w:lvl w:ilvl="6">
      <w:numFmt w:val="bullet"/>
      <w:lvlText w:val="•"/>
      <w:lvlJc w:val="left"/>
      <w:pPr>
        <w:ind w:left="6019" w:hanging="514"/>
      </w:pPr>
    </w:lvl>
    <w:lvl w:ilvl="7">
      <w:numFmt w:val="bullet"/>
      <w:lvlText w:val="•"/>
      <w:lvlJc w:val="left"/>
      <w:pPr>
        <w:ind w:left="6816" w:hanging="514"/>
      </w:pPr>
    </w:lvl>
    <w:lvl w:ilvl="8">
      <w:numFmt w:val="bullet"/>
      <w:lvlText w:val="•"/>
      <w:lvlJc w:val="left"/>
      <w:pPr>
        <w:ind w:left="7613" w:hanging="514"/>
      </w:pPr>
    </w:lvl>
  </w:abstractNum>
  <w:abstractNum w:abstractNumId="2" w15:restartNumberingAfterBreak="0">
    <w:nsid w:val="00000405"/>
    <w:multiLevelType w:val="multilevel"/>
    <w:tmpl w:val="FFFFFFFF"/>
    <w:lvl w:ilvl="0">
      <w:start w:val="1"/>
      <w:numFmt w:val="upperLetter"/>
      <w:lvlText w:val="%1."/>
      <w:lvlJc w:val="left"/>
      <w:pPr>
        <w:ind w:left="1246" w:hanging="514"/>
      </w:pPr>
      <w:rPr>
        <w:rFonts w:ascii="Times New Roman" w:hAnsi="Times New Roman" w:cs="Times New Roman"/>
        <w:b/>
        <w:bCs/>
        <w:spacing w:val="-1"/>
        <w:w w:val="99"/>
        <w:sz w:val="24"/>
        <w:szCs w:val="24"/>
      </w:rPr>
    </w:lvl>
    <w:lvl w:ilvl="1">
      <w:start w:val="1"/>
      <w:numFmt w:val="decimal"/>
      <w:lvlText w:val="%2."/>
      <w:lvlJc w:val="left"/>
      <w:pPr>
        <w:ind w:left="1246" w:hanging="432"/>
      </w:pPr>
      <w:rPr>
        <w:rFonts w:ascii="Times New Roman" w:hAnsi="Times New Roman" w:cs="Times New Roman"/>
        <w:b/>
        <w:bCs/>
        <w:spacing w:val="0"/>
        <w:w w:val="99"/>
        <w:sz w:val="20"/>
        <w:szCs w:val="20"/>
      </w:rPr>
    </w:lvl>
    <w:lvl w:ilvl="2">
      <w:start w:val="16"/>
      <w:numFmt w:val="decimal"/>
      <w:lvlText w:val="%3."/>
      <w:lvlJc w:val="left"/>
      <w:pPr>
        <w:ind w:left="1246" w:hanging="569"/>
      </w:pPr>
      <w:rPr>
        <w:rFonts w:ascii="Times New Roman" w:hAnsi="Times New Roman" w:cs="Times New Roman"/>
        <w:b w:val="0"/>
        <w:bCs w:val="0"/>
        <w:spacing w:val="0"/>
        <w:w w:val="99"/>
        <w:sz w:val="20"/>
        <w:szCs w:val="20"/>
      </w:rPr>
    </w:lvl>
    <w:lvl w:ilvl="3">
      <w:numFmt w:val="bullet"/>
      <w:lvlText w:val="•"/>
      <w:lvlJc w:val="left"/>
      <w:pPr>
        <w:ind w:left="3629" w:hanging="569"/>
      </w:pPr>
    </w:lvl>
    <w:lvl w:ilvl="4">
      <w:numFmt w:val="bullet"/>
      <w:lvlText w:val="•"/>
      <w:lvlJc w:val="left"/>
      <w:pPr>
        <w:ind w:left="4426" w:hanging="569"/>
      </w:pPr>
    </w:lvl>
    <w:lvl w:ilvl="5">
      <w:numFmt w:val="bullet"/>
      <w:lvlText w:val="•"/>
      <w:lvlJc w:val="left"/>
      <w:pPr>
        <w:ind w:left="5223" w:hanging="569"/>
      </w:pPr>
    </w:lvl>
    <w:lvl w:ilvl="6">
      <w:numFmt w:val="bullet"/>
      <w:lvlText w:val="•"/>
      <w:lvlJc w:val="left"/>
      <w:pPr>
        <w:ind w:left="6019" w:hanging="569"/>
      </w:pPr>
    </w:lvl>
    <w:lvl w:ilvl="7">
      <w:numFmt w:val="bullet"/>
      <w:lvlText w:val="•"/>
      <w:lvlJc w:val="left"/>
      <w:pPr>
        <w:ind w:left="6816" w:hanging="569"/>
      </w:pPr>
    </w:lvl>
    <w:lvl w:ilvl="8">
      <w:numFmt w:val="bullet"/>
      <w:lvlText w:val="•"/>
      <w:lvlJc w:val="left"/>
      <w:pPr>
        <w:ind w:left="7613" w:hanging="569"/>
      </w:pPr>
    </w:lvl>
  </w:abstractNum>
  <w:abstractNum w:abstractNumId="3" w15:restartNumberingAfterBreak="0">
    <w:nsid w:val="00000408"/>
    <w:multiLevelType w:val="multilevel"/>
    <w:tmpl w:val="FFFFFFFF"/>
    <w:lvl w:ilvl="0">
      <w:start w:val="4"/>
      <w:numFmt w:val="upperRoman"/>
      <w:lvlText w:val="%1."/>
      <w:lvlJc w:val="left"/>
      <w:pPr>
        <w:ind w:left="1246" w:hanging="663"/>
      </w:pPr>
      <w:rPr>
        <w:rFonts w:ascii="Times New Roman" w:hAnsi="Times New Roman" w:cs="Times New Roman"/>
        <w:b/>
        <w:bCs/>
        <w:spacing w:val="0"/>
        <w:w w:val="100"/>
        <w:sz w:val="28"/>
        <w:szCs w:val="28"/>
      </w:rPr>
    </w:lvl>
    <w:lvl w:ilvl="1">
      <w:numFmt w:val="bullet"/>
      <w:lvlText w:val="•"/>
      <w:lvlJc w:val="left"/>
      <w:pPr>
        <w:ind w:left="2036" w:hanging="663"/>
      </w:pPr>
    </w:lvl>
    <w:lvl w:ilvl="2">
      <w:numFmt w:val="bullet"/>
      <w:lvlText w:val="•"/>
      <w:lvlJc w:val="left"/>
      <w:pPr>
        <w:ind w:left="2833" w:hanging="663"/>
      </w:pPr>
    </w:lvl>
    <w:lvl w:ilvl="3">
      <w:numFmt w:val="bullet"/>
      <w:lvlText w:val="•"/>
      <w:lvlJc w:val="left"/>
      <w:pPr>
        <w:ind w:left="3629" w:hanging="663"/>
      </w:pPr>
    </w:lvl>
    <w:lvl w:ilvl="4">
      <w:numFmt w:val="bullet"/>
      <w:lvlText w:val="•"/>
      <w:lvlJc w:val="left"/>
      <w:pPr>
        <w:ind w:left="4426" w:hanging="663"/>
      </w:pPr>
    </w:lvl>
    <w:lvl w:ilvl="5">
      <w:numFmt w:val="bullet"/>
      <w:lvlText w:val="•"/>
      <w:lvlJc w:val="left"/>
      <w:pPr>
        <w:ind w:left="5223" w:hanging="663"/>
      </w:pPr>
    </w:lvl>
    <w:lvl w:ilvl="6">
      <w:numFmt w:val="bullet"/>
      <w:lvlText w:val="•"/>
      <w:lvlJc w:val="left"/>
      <w:pPr>
        <w:ind w:left="6019" w:hanging="663"/>
      </w:pPr>
    </w:lvl>
    <w:lvl w:ilvl="7">
      <w:numFmt w:val="bullet"/>
      <w:lvlText w:val="•"/>
      <w:lvlJc w:val="left"/>
      <w:pPr>
        <w:ind w:left="6816" w:hanging="663"/>
      </w:pPr>
    </w:lvl>
    <w:lvl w:ilvl="8">
      <w:numFmt w:val="bullet"/>
      <w:lvlText w:val="•"/>
      <w:lvlJc w:val="left"/>
      <w:pPr>
        <w:ind w:left="7613" w:hanging="663"/>
      </w:pPr>
    </w:lvl>
  </w:abstractNum>
  <w:abstractNum w:abstractNumId="4" w15:restartNumberingAfterBreak="0">
    <w:nsid w:val="0000040B"/>
    <w:multiLevelType w:val="multilevel"/>
    <w:tmpl w:val="FFFFFFFF"/>
    <w:lvl w:ilvl="0">
      <w:start w:val="1"/>
      <w:numFmt w:val="upperLetter"/>
      <w:lvlText w:val="%1."/>
      <w:lvlJc w:val="left"/>
      <w:pPr>
        <w:ind w:left="1246" w:hanging="514"/>
      </w:pPr>
      <w:rPr>
        <w:rFonts w:ascii="Times New Roman" w:hAnsi="Times New Roman" w:cs="Times New Roman"/>
        <w:b/>
        <w:bCs/>
        <w:spacing w:val="-1"/>
        <w:w w:val="99"/>
        <w:sz w:val="24"/>
        <w:szCs w:val="24"/>
      </w:rPr>
    </w:lvl>
    <w:lvl w:ilvl="1">
      <w:numFmt w:val="bullet"/>
      <w:lvlText w:val="•"/>
      <w:lvlJc w:val="left"/>
      <w:pPr>
        <w:ind w:left="2036" w:hanging="514"/>
      </w:pPr>
    </w:lvl>
    <w:lvl w:ilvl="2">
      <w:numFmt w:val="bullet"/>
      <w:lvlText w:val="•"/>
      <w:lvlJc w:val="left"/>
      <w:pPr>
        <w:ind w:left="2833" w:hanging="514"/>
      </w:pPr>
    </w:lvl>
    <w:lvl w:ilvl="3">
      <w:numFmt w:val="bullet"/>
      <w:lvlText w:val="•"/>
      <w:lvlJc w:val="left"/>
      <w:pPr>
        <w:ind w:left="3629" w:hanging="514"/>
      </w:pPr>
    </w:lvl>
    <w:lvl w:ilvl="4">
      <w:numFmt w:val="bullet"/>
      <w:lvlText w:val="•"/>
      <w:lvlJc w:val="left"/>
      <w:pPr>
        <w:ind w:left="4426" w:hanging="514"/>
      </w:pPr>
    </w:lvl>
    <w:lvl w:ilvl="5">
      <w:numFmt w:val="bullet"/>
      <w:lvlText w:val="•"/>
      <w:lvlJc w:val="left"/>
      <w:pPr>
        <w:ind w:left="5223" w:hanging="514"/>
      </w:pPr>
    </w:lvl>
    <w:lvl w:ilvl="6">
      <w:numFmt w:val="bullet"/>
      <w:lvlText w:val="•"/>
      <w:lvlJc w:val="left"/>
      <w:pPr>
        <w:ind w:left="6019" w:hanging="514"/>
      </w:pPr>
    </w:lvl>
    <w:lvl w:ilvl="7">
      <w:numFmt w:val="bullet"/>
      <w:lvlText w:val="•"/>
      <w:lvlJc w:val="left"/>
      <w:pPr>
        <w:ind w:left="6816" w:hanging="514"/>
      </w:pPr>
    </w:lvl>
    <w:lvl w:ilvl="8">
      <w:numFmt w:val="bullet"/>
      <w:lvlText w:val="•"/>
      <w:lvlJc w:val="left"/>
      <w:pPr>
        <w:ind w:left="7613" w:hanging="514"/>
      </w:pPr>
    </w:lvl>
  </w:abstractNum>
  <w:abstractNum w:abstractNumId="5" w15:restartNumberingAfterBreak="0">
    <w:nsid w:val="28FA2877"/>
    <w:multiLevelType w:val="hybridMultilevel"/>
    <w:tmpl w:val="FFFFFFFF"/>
    <w:lvl w:ilvl="0" w:tplc="FE7436C2">
      <w:start w:val="1"/>
      <w:numFmt w:val="bullet"/>
      <w:lvlText w:val=""/>
      <w:lvlJc w:val="left"/>
      <w:pPr>
        <w:ind w:left="720" w:hanging="360"/>
      </w:pPr>
      <w:rPr>
        <w:rFonts w:ascii="Symbol" w:hAnsi="Symbol"/>
      </w:rPr>
    </w:lvl>
    <w:lvl w:ilvl="1" w:tplc="1228ED1C">
      <w:start w:val="1"/>
      <w:numFmt w:val="bullet"/>
      <w:lvlText w:val=""/>
      <w:lvlJc w:val="left"/>
      <w:pPr>
        <w:ind w:left="720" w:hanging="360"/>
      </w:pPr>
      <w:rPr>
        <w:rFonts w:ascii="Symbol" w:hAnsi="Symbol"/>
      </w:rPr>
    </w:lvl>
    <w:lvl w:ilvl="2" w:tplc="CB540856">
      <w:start w:val="1"/>
      <w:numFmt w:val="bullet"/>
      <w:lvlText w:val=""/>
      <w:lvlJc w:val="left"/>
      <w:pPr>
        <w:ind w:left="720" w:hanging="360"/>
      </w:pPr>
      <w:rPr>
        <w:rFonts w:ascii="Symbol" w:hAnsi="Symbol"/>
      </w:rPr>
    </w:lvl>
    <w:lvl w:ilvl="3" w:tplc="42645B40">
      <w:start w:val="1"/>
      <w:numFmt w:val="bullet"/>
      <w:lvlText w:val=""/>
      <w:lvlJc w:val="left"/>
      <w:pPr>
        <w:ind w:left="720" w:hanging="360"/>
      </w:pPr>
      <w:rPr>
        <w:rFonts w:ascii="Symbol" w:hAnsi="Symbol"/>
      </w:rPr>
    </w:lvl>
    <w:lvl w:ilvl="4" w:tplc="198A13D0">
      <w:start w:val="1"/>
      <w:numFmt w:val="bullet"/>
      <w:lvlText w:val=""/>
      <w:lvlJc w:val="left"/>
      <w:pPr>
        <w:ind w:left="720" w:hanging="360"/>
      </w:pPr>
      <w:rPr>
        <w:rFonts w:ascii="Symbol" w:hAnsi="Symbol"/>
      </w:rPr>
    </w:lvl>
    <w:lvl w:ilvl="5" w:tplc="7A1C26C8">
      <w:start w:val="1"/>
      <w:numFmt w:val="bullet"/>
      <w:lvlText w:val=""/>
      <w:lvlJc w:val="left"/>
      <w:pPr>
        <w:ind w:left="720" w:hanging="360"/>
      </w:pPr>
      <w:rPr>
        <w:rFonts w:ascii="Symbol" w:hAnsi="Symbol"/>
      </w:rPr>
    </w:lvl>
    <w:lvl w:ilvl="6" w:tplc="34307332">
      <w:start w:val="1"/>
      <w:numFmt w:val="bullet"/>
      <w:lvlText w:val=""/>
      <w:lvlJc w:val="left"/>
      <w:pPr>
        <w:ind w:left="720" w:hanging="360"/>
      </w:pPr>
      <w:rPr>
        <w:rFonts w:ascii="Symbol" w:hAnsi="Symbol"/>
      </w:rPr>
    </w:lvl>
    <w:lvl w:ilvl="7" w:tplc="C0FE5DFC">
      <w:start w:val="1"/>
      <w:numFmt w:val="bullet"/>
      <w:lvlText w:val=""/>
      <w:lvlJc w:val="left"/>
      <w:pPr>
        <w:ind w:left="720" w:hanging="360"/>
      </w:pPr>
      <w:rPr>
        <w:rFonts w:ascii="Symbol" w:hAnsi="Symbol"/>
      </w:rPr>
    </w:lvl>
    <w:lvl w:ilvl="8" w:tplc="100AB0B8">
      <w:start w:val="1"/>
      <w:numFmt w:val="bullet"/>
      <w:lvlText w:val=""/>
      <w:lvlJc w:val="left"/>
      <w:pPr>
        <w:ind w:left="720" w:hanging="360"/>
      </w:pPr>
      <w:rPr>
        <w:rFonts w:ascii="Symbol" w:hAnsi="Symbol"/>
      </w:rPr>
    </w:lvl>
  </w:abstractNum>
  <w:abstractNum w:abstractNumId="6" w15:restartNumberingAfterBreak="0">
    <w:nsid w:val="68001DA0"/>
    <w:multiLevelType w:val="multilevel"/>
    <w:tmpl w:val="794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190390">
    <w:abstractNumId w:val="1"/>
  </w:num>
  <w:num w:numId="2" w16cid:durableId="1283995716">
    <w:abstractNumId w:val="0"/>
  </w:num>
  <w:num w:numId="3" w16cid:durableId="1491823033">
    <w:abstractNumId w:val="5"/>
  </w:num>
  <w:num w:numId="4" w16cid:durableId="658582678">
    <w:abstractNumId w:val="6"/>
  </w:num>
  <w:num w:numId="5" w16cid:durableId="225604163">
    <w:abstractNumId w:val="2"/>
  </w:num>
  <w:num w:numId="6" w16cid:durableId="1183014617">
    <w:abstractNumId w:val="3"/>
  </w:num>
  <w:num w:numId="7" w16cid:durableId="1974092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3"/>
    <w:rsid w:val="001C777C"/>
    <w:rsid w:val="002231DE"/>
    <w:rsid w:val="002D7B4B"/>
    <w:rsid w:val="00345B5E"/>
    <w:rsid w:val="003752CA"/>
    <w:rsid w:val="00434BCE"/>
    <w:rsid w:val="00555533"/>
    <w:rsid w:val="0064002B"/>
    <w:rsid w:val="00666ACF"/>
    <w:rsid w:val="00705787"/>
    <w:rsid w:val="007B7D86"/>
    <w:rsid w:val="008629EB"/>
    <w:rsid w:val="008B304A"/>
    <w:rsid w:val="008E6D4F"/>
    <w:rsid w:val="009E4887"/>
    <w:rsid w:val="00B20C15"/>
    <w:rsid w:val="00B93F68"/>
    <w:rsid w:val="00C75698"/>
    <w:rsid w:val="00CC1A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DCDE"/>
  <w15:chartTrackingRefBased/>
  <w15:docId w15:val="{F73FCC15-C468-46D3-9C9E-62A771A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55533"/>
    <w:pPr>
      <w:widowControl w:val="0"/>
      <w:autoSpaceDE w:val="0"/>
      <w:autoSpaceDN w:val="0"/>
      <w:adjustRightInd w:val="0"/>
      <w:spacing w:after="0" w:line="240" w:lineRule="auto"/>
      <w:ind w:left="1246" w:hanging="663"/>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rsid w:val="00555533"/>
    <w:pPr>
      <w:widowControl w:val="0"/>
      <w:autoSpaceDE w:val="0"/>
      <w:autoSpaceDN w:val="0"/>
      <w:adjustRightInd w:val="0"/>
      <w:spacing w:after="0" w:line="240" w:lineRule="auto"/>
      <w:ind w:left="1246" w:hanging="514"/>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533"/>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555533"/>
    <w:rPr>
      <w:rFonts w:ascii="Times New Roman" w:hAnsi="Times New Roman" w:cs="Times New Roman"/>
      <w:b/>
      <w:bCs/>
      <w:sz w:val="24"/>
      <w:szCs w:val="24"/>
    </w:rPr>
  </w:style>
  <w:style w:type="paragraph" w:styleId="BodyText">
    <w:name w:val="Body Text"/>
    <w:basedOn w:val="Normal"/>
    <w:link w:val="BodyTextChar"/>
    <w:uiPriority w:val="1"/>
    <w:qFormat/>
    <w:rsid w:val="00555533"/>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555533"/>
    <w:rPr>
      <w:rFonts w:ascii="Times New Roman" w:hAnsi="Times New Roman" w:cs="Times New Roman"/>
      <w:sz w:val="20"/>
      <w:szCs w:val="20"/>
    </w:rPr>
  </w:style>
  <w:style w:type="paragraph" w:styleId="ListParagraph">
    <w:name w:val="List Paragraph"/>
    <w:basedOn w:val="Normal"/>
    <w:uiPriority w:val="1"/>
    <w:qFormat/>
    <w:rsid w:val="00555533"/>
    <w:pPr>
      <w:widowControl w:val="0"/>
      <w:autoSpaceDE w:val="0"/>
      <w:autoSpaceDN w:val="0"/>
      <w:adjustRightInd w:val="0"/>
      <w:spacing w:before="121" w:after="0" w:line="240" w:lineRule="auto"/>
      <w:ind w:left="1246"/>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55533"/>
    <w:rPr>
      <w:rFonts w:cs="Times New Roman"/>
      <w:sz w:val="16"/>
      <w:szCs w:val="16"/>
    </w:rPr>
  </w:style>
  <w:style w:type="paragraph" w:styleId="CommentText">
    <w:name w:val="annotation text"/>
    <w:basedOn w:val="Normal"/>
    <w:link w:val="CommentTextChar"/>
    <w:uiPriority w:val="99"/>
    <w:unhideWhenUsed/>
    <w:rsid w:val="00555533"/>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55533"/>
    <w:rPr>
      <w:rFonts w:ascii="Times New Roman" w:hAnsi="Times New Roman" w:cs="Times New Roman"/>
      <w:sz w:val="20"/>
      <w:szCs w:val="20"/>
    </w:rPr>
  </w:style>
  <w:style w:type="paragraph" w:customStyle="1" w:styleId="pf1">
    <w:name w:val="pf1"/>
    <w:basedOn w:val="Normal"/>
    <w:rsid w:val="00555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555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55533"/>
    <w:rPr>
      <w:rFonts w:ascii="Segoe UI" w:hAnsi="Segoe UI" w:cs="Segoe UI" w:hint="default"/>
      <w:sz w:val="18"/>
      <w:szCs w:val="18"/>
    </w:rPr>
  </w:style>
  <w:style w:type="character" w:customStyle="1" w:styleId="cf11">
    <w:name w:val="cf11"/>
    <w:basedOn w:val="DefaultParagraphFont"/>
    <w:rsid w:val="001C777C"/>
    <w:rPr>
      <w:rFonts w:ascii="Segoe UI" w:hAnsi="Segoe UI" w:cs="Segoe UI" w:hint="default"/>
      <w:color w:val="ED7D31"/>
      <w:sz w:val="18"/>
      <w:szCs w:val="18"/>
    </w:rPr>
  </w:style>
  <w:style w:type="paragraph" w:styleId="CommentSubject">
    <w:name w:val="annotation subject"/>
    <w:basedOn w:val="CommentText"/>
    <w:next w:val="CommentText"/>
    <w:link w:val="CommentSubjectChar"/>
    <w:uiPriority w:val="99"/>
    <w:semiHidden/>
    <w:unhideWhenUsed/>
    <w:rsid w:val="002D7B4B"/>
    <w:pPr>
      <w:widowControl/>
      <w:autoSpaceDE/>
      <w:autoSpaceDN/>
      <w:adjustRightInd/>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D7B4B"/>
    <w:rPr>
      <w:rFonts w:ascii="Times New Roman" w:hAnsi="Times New Roman" w:cs="Times New Roman"/>
      <w:b/>
      <w:bCs/>
      <w:sz w:val="20"/>
      <w:szCs w:val="20"/>
    </w:rPr>
  </w:style>
  <w:style w:type="paragraph" w:styleId="Header">
    <w:name w:val="header"/>
    <w:basedOn w:val="Normal"/>
    <w:link w:val="HeaderChar"/>
    <w:uiPriority w:val="99"/>
    <w:unhideWhenUsed/>
    <w:rsid w:val="00C7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698"/>
  </w:style>
  <w:style w:type="paragraph" w:styleId="Footer">
    <w:name w:val="footer"/>
    <w:basedOn w:val="Normal"/>
    <w:link w:val="FooterChar"/>
    <w:uiPriority w:val="99"/>
    <w:unhideWhenUsed/>
    <w:rsid w:val="00C7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1041">
      <w:bodyDiv w:val="1"/>
      <w:marLeft w:val="0"/>
      <w:marRight w:val="0"/>
      <w:marTop w:val="0"/>
      <w:marBottom w:val="0"/>
      <w:divBdr>
        <w:top w:val="none" w:sz="0" w:space="0" w:color="auto"/>
        <w:left w:val="none" w:sz="0" w:space="0" w:color="auto"/>
        <w:bottom w:val="none" w:sz="0" w:space="0" w:color="auto"/>
        <w:right w:val="none" w:sz="0" w:space="0" w:color="auto"/>
      </w:divBdr>
    </w:div>
    <w:div w:id="334844525">
      <w:bodyDiv w:val="1"/>
      <w:marLeft w:val="0"/>
      <w:marRight w:val="0"/>
      <w:marTop w:val="0"/>
      <w:marBottom w:val="0"/>
      <w:divBdr>
        <w:top w:val="none" w:sz="0" w:space="0" w:color="auto"/>
        <w:left w:val="none" w:sz="0" w:space="0" w:color="auto"/>
        <w:bottom w:val="none" w:sz="0" w:space="0" w:color="auto"/>
        <w:right w:val="none" w:sz="0" w:space="0" w:color="auto"/>
      </w:divBdr>
    </w:div>
    <w:div w:id="623079619">
      <w:bodyDiv w:val="1"/>
      <w:marLeft w:val="0"/>
      <w:marRight w:val="0"/>
      <w:marTop w:val="0"/>
      <w:marBottom w:val="0"/>
      <w:divBdr>
        <w:top w:val="none" w:sz="0" w:space="0" w:color="auto"/>
        <w:left w:val="none" w:sz="0" w:space="0" w:color="auto"/>
        <w:bottom w:val="none" w:sz="0" w:space="0" w:color="auto"/>
        <w:right w:val="none" w:sz="0" w:space="0" w:color="auto"/>
      </w:divBdr>
    </w:div>
    <w:div w:id="697510298">
      <w:bodyDiv w:val="1"/>
      <w:marLeft w:val="0"/>
      <w:marRight w:val="0"/>
      <w:marTop w:val="0"/>
      <w:marBottom w:val="0"/>
      <w:divBdr>
        <w:top w:val="none" w:sz="0" w:space="0" w:color="auto"/>
        <w:left w:val="none" w:sz="0" w:space="0" w:color="auto"/>
        <w:bottom w:val="none" w:sz="0" w:space="0" w:color="auto"/>
        <w:right w:val="none" w:sz="0" w:space="0" w:color="auto"/>
      </w:divBdr>
    </w:div>
    <w:div w:id="798304864">
      <w:bodyDiv w:val="1"/>
      <w:marLeft w:val="0"/>
      <w:marRight w:val="0"/>
      <w:marTop w:val="0"/>
      <w:marBottom w:val="0"/>
      <w:divBdr>
        <w:top w:val="none" w:sz="0" w:space="0" w:color="auto"/>
        <w:left w:val="none" w:sz="0" w:space="0" w:color="auto"/>
        <w:bottom w:val="none" w:sz="0" w:space="0" w:color="auto"/>
        <w:right w:val="none" w:sz="0" w:space="0" w:color="auto"/>
      </w:divBdr>
    </w:div>
    <w:div w:id="1185247941">
      <w:bodyDiv w:val="1"/>
      <w:marLeft w:val="0"/>
      <w:marRight w:val="0"/>
      <w:marTop w:val="0"/>
      <w:marBottom w:val="0"/>
      <w:divBdr>
        <w:top w:val="none" w:sz="0" w:space="0" w:color="auto"/>
        <w:left w:val="none" w:sz="0" w:space="0" w:color="auto"/>
        <w:bottom w:val="none" w:sz="0" w:space="0" w:color="auto"/>
        <w:right w:val="none" w:sz="0" w:space="0" w:color="auto"/>
      </w:divBdr>
    </w:div>
    <w:div w:id="1619528387">
      <w:bodyDiv w:val="1"/>
      <w:marLeft w:val="0"/>
      <w:marRight w:val="0"/>
      <w:marTop w:val="0"/>
      <w:marBottom w:val="0"/>
      <w:divBdr>
        <w:top w:val="none" w:sz="0" w:space="0" w:color="auto"/>
        <w:left w:val="none" w:sz="0" w:space="0" w:color="auto"/>
        <w:bottom w:val="none" w:sz="0" w:space="0" w:color="auto"/>
        <w:right w:val="none" w:sz="0" w:space="0" w:color="auto"/>
      </w:divBdr>
    </w:div>
    <w:div w:id="1820876768">
      <w:bodyDiv w:val="1"/>
      <w:marLeft w:val="0"/>
      <w:marRight w:val="0"/>
      <w:marTop w:val="0"/>
      <w:marBottom w:val="0"/>
      <w:divBdr>
        <w:top w:val="none" w:sz="0" w:space="0" w:color="auto"/>
        <w:left w:val="none" w:sz="0" w:space="0" w:color="auto"/>
        <w:bottom w:val="none" w:sz="0" w:space="0" w:color="auto"/>
        <w:right w:val="none" w:sz="0" w:space="0" w:color="auto"/>
      </w:divBdr>
    </w:div>
    <w:div w:id="1821731615">
      <w:bodyDiv w:val="1"/>
      <w:marLeft w:val="0"/>
      <w:marRight w:val="0"/>
      <w:marTop w:val="0"/>
      <w:marBottom w:val="0"/>
      <w:divBdr>
        <w:top w:val="none" w:sz="0" w:space="0" w:color="auto"/>
        <w:left w:val="none" w:sz="0" w:space="0" w:color="auto"/>
        <w:bottom w:val="none" w:sz="0" w:space="0" w:color="auto"/>
        <w:right w:val="none" w:sz="0" w:space="0" w:color="auto"/>
      </w:divBdr>
    </w:div>
    <w:div w:id="1905407732">
      <w:bodyDiv w:val="1"/>
      <w:marLeft w:val="0"/>
      <w:marRight w:val="0"/>
      <w:marTop w:val="0"/>
      <w:marBottom w:val="0"/>
      <w:divBdr>
        <w:top w:val="none" w:sz="0" w:space="0" w:color="auto"/>
        <w:left w:val="none" w:sz="0" w:space="0" w:color="auto"/>
        <w:bottom w:val="none" w:sz="0" w:space="0" w:color="auto"/>
        <w:right w:val="none" w:sz="0" w:space="0" w:color="auto"/>
      </w:divBdr>
    </w:div>
    <w:div w:id="20291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6f3fbd-84d0-4561-b65a-3861f16ea0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209F6DCBB6147B6A5B5FF6298F042" ma:contentTypeVersion="14" ma:contentTypeDescription="Create a new document." ma:contentTypeScope="" ma:versionID="343f7a99a9724aafe0b6acef9363f73a">
  <xsd:schema xmlns:xsd="http://www.w3.org/2001/XMLSchema" xmlns:xs="http://www.w3.org/2001/XMLSchema" xmlns:p="http://schemas.microsoft.com/office/2006/metadata/properties" xmlns:ns3="bbb0c1b1-9c06-4669-a06f-691de702c3a9" xmlns:ns4="646f3fbd-84d0-4561-b65a-3861f16ea0d9" targetNamespace="http://schemas.microsoft.com/office/2006/metadata/properties" ma:root="true" ma:fieldsID="9f23acec6cdea67b9504d5372311ca09" ns3:_="" ns4:_="">
    <xsd:import namespace="bbb0c1b1-9c06-4669-a06f-691de702c3a9"/>
    <xsd:import namespace="646f3fbd-84d0-4561-b65a-3861f16ea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0c1b1-9c06-4669-a06f-691de702c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f3fbd-84d0-4561-b65a-3861f16ea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DF8BB-4258-4C41-BF04-FE1C17C550E3}">
  <ds:schemaRefs>
    <ds:schemaRef ds:uri="http://schemas.openxmlformats.org/officeDocument/2006/bibliography"/>
  </ds:schemaRefs>
</ds:datastoreItem>
</file>

<file path=customXml/itemProps2.xml><?xml version="1.0" encoding="utf-8"?>
<ds:datastoreItem xmlns:ds="http://schemas.openxmlformats.org/officeDocument/2006/customXml" ds:itemID="{045A7F3F-4B5A-486C-909F-B4BE0E2038DA}">
  <ds:schemaRefs>
    <ds:schemaRef ds:uri="http://schemas.microsoft.com/sharepoint/v3/contenttype/forms"/>
  </ds:schemaRefs>
</ds:datastoreItem>
</file>

<file path=customXml/itemProps3.xml><?xml version="1.0" encoding="utf-8"?>
<ds:datastoreItem xmlns:ds="http://schemas.openxmlformats.org/officeDocument/2006/customXml" ds:itemID="{FF7B76CF-8B06-45D1-B3CC-D4E3C4D59925}">
  <ds:schemaRefs>
    <ds:schemaRef ds:uri="http://schemas.microsoft.com/office/2006/metadata/properties"/>
    <ds:schemaRef ds:uri="http://schemas.microsoft.com/office/infopath/2007/PartnerControls"/>
    <ds:schemaRef ds:uri="646f3fbd-84d0-4561-b65a-3861f16ea0d9"/>
  </ds:schemaRefs>
</ds:datastoreItem>
</file>

<file path=customXml/itemProps4.xml><?xml version="1.0" encoding="utf-8"?>
<ds:datastoreItem xmlns:ds="http://schemas.openxmlformats.org/officeDocument/2006/customXml" ds:itemID="{F7F1C200-41E5-474A-ACB9-198F5E6DC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0c1b1-9c06-4669-a06f-691de702c3a9"/>
    <ds:schemaRef ds:uri="646f3fbd-84d0-4561-b65a-3861f16e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ARNEC Secretariat</dc:creator>
  <cp:keywords/>
  <dc:description/>
  <cp:lastModifiedBy>ARNEC Secretariat</cp:lastModifiedBy>
  <cp:revision>2</cp:revision>
  <dcterms:created xsi:type="dcterms:W3CDTF">2023-02-15T10:44:00Z</dcterms:created>
  <dcterms:modified xsi:type="dcterms:W3CDTF">2023-02-15T10:44:00Z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0x010100186209F6DCBB6147B6A5B5FF6298F042</vt:lpwstr>
  </property>
</Properties>
</file>