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94306" w14:textId="238CD61E" w:rsidR="00EE65F5" w:rsidRDefault="00EE65F5" w:rsidP="00EE65F5">
      <w:pPr>
        <w:rPr>
          <w:rFonts w:ascii="Calibri" w:eastAsia="Calibri" w:hAnsi="Calibri" w:cs="Calibri"/>
          <w:color w:val="000000" w:themeColor="text1"/>
        </w:rPr>
      </w:pPr>
    </w:p>
    <w:p w14:paraId="6CFF0BCC" w14:textId="77777777" w:rsidR="00E9538A" w:rsidRDefault="00E9538A" w:rsidP="00EE65F5">
      <w:pPr>
        <w:rPr>
          <w:rFonts w:ascii="Calibri" w:eastAsia="Calibri" w:hAnsi="Calibri" w:cs="Calibri"/>
          <w:color w:val="000000" w:themeColor="text1"/>
        </w:rPr>
      </w:pPr>
    </w:p>
    <w:p w14:paraId="5C1D9147" w14:textId="187D8106" w:rsidR="00EE65F5" w:rsidRDefault="00EE65F5" w:rsidP="00EE65F5">
      <w:pPr>
        <w:rPr>
          <w:rFonts w:asciiTheme="minorHAnsi" w:eastAsia="Calibri" w:hAnsiTheme="minorHAnsi" w:cstheme="minorHAnsi"/>
          <w:color w:val="000000" w:themeColor="text1"/>
          <w:sz w:val="22"/>
          <w:szCs w:val="22"/>
        </w:rPr>
      </w:pPr>
      <w:r w:rsidRPr="00EE65F5">
        <w:rPr>
          <w:rFonts w:asciiTheme="minorHAnsi" w:eastAsia="Calibri" w:hAnsiTheme="minorHAnsi" w:cstheme="minorHAnsi"/>
          <w:color w:val="000000" w:themeColor="text1"/>
          <w:sz w:val="22"/>
          <w:szCs w:val="22"/>
        </w:rPr>
        <w:t>February 1</w:t>
      </w:r>
      <w:r w:rsidR="00B33C37">
        <w:rPr>
          <w:rFonts w:asciiTheme="minorHAnsi" w:eastAsia="Calibri" w:hAnsiTheme="minorHAnsi" w:cstheme="minorHAnsi"/>
          <w:color w:val="000000" w:themeColor="text1"/>
          <w:sz w:val="22"/>
          <w:szCs w:val="22"/>
        </w:rPr>
        <w:t>4</w:t>
      </w:r>
      <w:r w:rsidRPr="00EE65F5">
        <w:rPr>
          <w:rFonts w:asciiTheme="minorHAnsi" w:eastAsia="Calibri" w:hAnsiTheme="minorHAnsi" w:cstheme="minorHAnsi"/>
          <w:color w:val="000000" w:themeColor="text1"/>
          <w:sz w:val="22"/>
          <w:szCs w:val="22"/>
        </w:rPr>
        <w:t>, 2023</w:t>
      </w:r>
    </w:p>
    <w:p w14:paraId="755B2576" w14:textId="77777777" w:rsidR="00EE65F5" w:rsidRPr="00EE65F5" w:rsidRDefault="00EE65F5" w:rsidP="00EE65F5">
      <w:pPr>
        <w:rPr>
          <w:rFonts w:asciiTheme="minorHAnsi" w:eastAsia="Calibri" w:hAnsiTheme="minorHAnsi" w:cstheme="minorHAnsi"/>
          <w:color w:val="000000" w:themeColor="text1"/>
          <w:sz w:val="22"/>
          <w:szCs w:val="22"/>
        </w:rPr>
      </w:pPr>
    </w:p>
    <w:p w14:paraId="44B90372" w14:textId="149CD085" w:rsidR="00EE65F5" w:rsidRPr="00EE65F5" w:rsidRDefault="00EE65F5" w:rsidP="00EE65F5">
      <w:pPr>
        <w:rPr>
          <w:rFonts w:asciiTheme="minorHAnsi" w:eastAsia="Calibri" w:hAnsiTheme="minorHAnsi" w:cstheme="minorHAnsi"/>
          <w:color w:val="000000" w:themeColor="text1"/>
          <w:sz w:val="22"/>
          <w:szCs w:val="22"/>
        </w:rPr>
      </w:pPr>
      <w:r w:rsidRPr="00EE65F5">
        <w:rPr>
          <w:rFonts w:asciiTheme="minorHAnsi" w:eastAsia="Calibri" w:hAnsiTheme="minorHAnsi" w:cstheme="minorHAnsi"/>
          <w:color w:val="000000" w:themeColor="text1"/>
          <w:sz w:val="22"/>
          <w:szCs w:val="22"/>
        </w:rPr>
        <w:t>Dear United Nations Committee on the Rights of the Child,</w:t>
      </w:r>
    </w:p>
    <w:p w14:paraId="5EF84892" w14:textId="77777777" w:rsidR="00EE65F5" w:rsidRPr="00EE65F5" w:rsidRDefault="00EE65F5" w:rsidP="00EE65F5">
      <w:pPr>
        <w:rPr>
          <w:rFonts w:asciiTheme="minorHAnsi" w:eastAsia="Calibri" w:hAnsiTheme="minorHAnsi" w:cstheme="minorHAnsi"/>
          <w:color w:val="000000" w:themeColor="text1"/>
          <w:sz w:val="22"/>
          <w:szCs w:val="22"/>
        </w:rPr>
      </w:pPr>
    </w:p>
    <w:p w14:paraId="08C615B1" w14:textId="01C18C3C" w:rsidR="00EE65F5" w:rsidRDefault="00EE65F5" w:rsidP="40D3C84F">
      <w:pPr>
        <w:rPr>
          <w:rFonts w:asciiTheme="minorHAnsi" w:eastAsia="Calibri" w:hAnsiTheme="minorHAnsi" w:cstheme="minorBidi"/>
          <w:sz w:val="22"/>
          <w:szCs w:val="22"/>
        </w:rPr>
      </w:pPr>
      <w:r w:rsidRPr="40D3C84F">
        <w:rPr>
          <w:rFonts w:asciiTheme="minorHAnsi" w:eastAsia="Calibri" w:hAnsiTheme="minorHAnsi" w:cstheme="minorBidi"/>
          <w:sz w:val="22"/>
          <w:szCs w:val="22"/>
        </w:rPr>
        <w:t xml:space="preserve">I am writing on behalf of the American Psychological Association (APA) to provide input into the draft General Comment on children’s rights and the environment with a special focus on climate change. We commend your Committee for its tremendous work promoting and protecting the rights of </w:t>
      </w:r>
      <w:r w:rsidR="00E9538A" w:rsidRPr="40D3C84F">
        <w:rPr>
          <w:rFonts w:asciiTheme="minorHAnsi" w:eastAsia="Calibri" w:hAnsiTheme="minorHAnsi" w:cstheme="minorBidi"/>
          <w:sz w:val="22"/>
          <w:szCs w:val="22"/>
        </w:rPr>
        <w:t>children and</w:t>
      </w:r>
      <w:r w:rsidR="0038767D">
        <w:rPr>
          <w:rFonts w:asciiTheme="minorHAnsi" w:eastAsia="Calibri" w:hAnsiTheme="minorHAnsi" w:cstheme="minorBidi"/>
          <w:sz w:val="22"/>
          <w:szCs w:val="22"/>
        </w:rPr>
        <w:t xml:space="preserve"> </w:t>
      </w:r>
      <w:r w:rsidRPr="40D3C84F">
        <w:rPr>
          <w:rFonts w:asciiTheme="minorHAnsi" w:eastAsia="Calibri" w:hAnsiTheme="minorHAnsi" w:cstheme="minorBidi"/>
          <w:sz w:val="22"/>
          <w:szCs w:val="22"/>
        </w:rPr>
        <w:t xml:space="preserve">are especially grateful for your leadership in highlighting children’s rights in the context of climate change. </w:t>
      </w:r>
    </w:p>
    <w:p w14:paraId="0AE0427A" w14:textId="77777777" w:rsidR="00EE65F5" w:rsidRPr="00EE65F5" w:rsidRDefault="00EE65F5" w:rsidP="00EE65F5">
      <w:pPr>
        <w:rPr>
          <w:rFonts w:asciiTheme="minorHAnsi" w:eastAsia="Calibri" w:hAnsiTheme="minorHAnsi" w:cstheme="minorHAnsi"/>
          <w:sz w:val="22"/>
          <w:szCs w:val="22"/>
        </w:rPr>
      </w:pPr>
    </w:p>
    <w:p w14:paraId="323AE2A5" w14:textId="59D4A88F" w:rsidR="00EE65F5" w:rsidRDefault="00EE65F5" w:rsidP="00EE65F5">
      <w:pPr>
        <w:rPr>
          <w:rFonts w:asciiTheme="minorHAnsi" w:eastAsia="Calibri" w:hAnsiTheme="minorHAnsi" w:cstheme="minorHAnsi"/>
          <w:sz w:val="22"/>
          <w:szCs w:val="22"/>
        </w:rPr>
      </w:pPr>
      <w:r w:rsidRPr="00EE65F5">
        <w:rPr>
          <w:rFonts w:asciiTheme="minorHAnsi" w:eastAsia="Calibri" w:hAnsiTheme="minorHAnsi" w:cstheme="minorHAnsi"/>
          <w:sz w:val="22"/>
          <w:szCs w:val="22"/>
        </w:rPr>
        <w:t>APA is a leading scientific and professional organization representing psychology, comprising a membership of more than 1</w:t>
      </w:r>
      <w:r w:rsidR="00DC280F">
        <w:rPr>
          <w:rFonts w:asciiTheme="minorHAnsi" w:eastAsia="Calibri" w:hAnsiTheme="minorHAnsi" w:cstheme="minorHAnsi"/>
          <w:sz w:val="22"/>
          <w:szCs w:val="22"/>
        </w:rPr>
        <w:t>46</w:t>
      </w:r>
      <w:r w:rsidRPr="00EE65F5">
        <w:rPr>
          <w:rFonts w:asciiTheme="minorHAnsi" w:eastAsia="Calibri" w:hAnsiTheme="minorHAnsi" w:cstheme="minorHAnsi"/>
          <w:sz w:val="22"/>
          <w:szCs w:val="22"/>
        </w:rPr>
        <w:t>,000 clinicians, researchers, educators, practitioners, consultants, and students across the United States and around the world. We work to advance the creation, communication, and application of psychological knowledge to benefit society and improve lives. Since 2000, APA has held special consultative status with the Economic and Social Council (ECOSOC) and has been associated with the Department of Global Communications (DGC). APA has active teams of volunteer psychologists advocating at the United Nations in New York and Geneva, the latter in collaboration with the European Federation of Psychologists’ Associations and the Federation of Swiss Psychologists.</w:t>
      </w:r>
    </w:p>
    <w:p w14:paraId="68EC543A" w14:textId="77777777" w:rsidR="00EE65F5" w:rsidRPr="00EE65F5" w:rsidRDefault="00EE65F5" w:rsidP="00EE65F5">
      <w:pPr>
        <w:rPr>
          <w:rFonts w:asciiTheme="minorHAnsi" w:eastAsia="Calibri" w:hAnsiTheme="minorHAnsi" w:cstheme="minorHAnsi"/>
          <w:sz w:val="22"/>
          <w:szCs w:val="22"/>
        </w:rPr>
      </w:pPr>
    </w:p>
    <w:p w14:paraId="1815A863" w14:textId="27CD144A" w:rsidR="00EE65F5" w:rsidRDefault="008F488B" w:rsidP="00EE65F5">
      <w:pPr>
        <w:spacing w:line="257" w:lineRule="auto"/>
        <w:rPr>
          <w:rStyle w:val="ui-provider"/>
          <w:rFonts w:asciiTheme="minorHAnsi" w:hAnsiTheme="minorHAnsi" w:cstheme="minorHAnsi"/>
          <w:sz w:val="22"/>
          <w:szCs w:val="22"/>
        </w:rPr>
      </w:pPr>
      <w:r>
        <w:rPr>
          <w:rFonts w:asciiTheme="minorHAnsi" w:eastAsia="Calibri" w:hAnsiTheme="minorHAnsi" w:cstheme="minorHAnsi"/>
          <w:sz w:val="22"/>
          <w:szCs w:val="22"/>
        </w:rPr>
        <w:t>APA’s</w:t>
      </w:r>
      <w:r w:rsidR="00EE65F5" w:rsidRPr="00EE65F5">
        <w:rPr>
          <w:rFonts w:asciiTheme="minorHAnsi" w:eastAsia="Calibri" w:hAnsiTheme="minorHAnsi" w:cstheme="minorHAnsi"/>
          <w:sz w:val="22"/>
          <w:szCs w:val="22"/>
        </w:rPr>
        <w:t xml:space="preserve"> governing Council of Representatives has passed Resolutions affirming psychologists’ role in addressing global climate change,</w:t>
      </w:r>
      <w:r w:rsidR="00EE65F5" w:rsidRPr="00EE65F5">
        <w:rPr>
          <w:rStyle w:val="FootnoteReference"/>
          <w:rFonts w:asciiTheme="minorHAnsi" w:eastAsia="Calibri" w:hAnsiTheme="minorHAnsi" w:cstheme="minorHAnsi"/>
          <w:sz w:val="22"/>
          <w:szCs w:val="22"/>
        </w:rPr>
        <w:footnoteReference w:id="1"/>
      </w:r>
      <w:r w:rsidR="00EE65F5" w:rsidRPr="00EE65F5">
        <w:rPr>
          <w:rFonts w:asciiTheme="minorHAnsi" w:eastAsia="Calibri" w:hAnsiTheme="minorHAnsi" w:cstheme="minorHAnsi"/>
          <w:sz w:val="22"/>
          <w:szCs w:val="22"/>
        </w:rPr>
        <w:t xml:space="preserve"> supporting the Convention of the Rights of the Child,</w:t>
      </w:r>
      <w:r w:rsidR="00EE65F5" w:rsidRPr="00EE65F5">
        <w:rPr>
          <w:rStyle w:val="FootnoteReference"/>
          <w:rFonts w:asciiTheme="minorHAnsi" w:eastAsia="Calibri" w:hAnsiTheme="minorHAnsi" w:cstheme="minorHAnsi"/>
          <w:sz w:val="22"/>
          <w:szCs w:val="22"/>
        </w:rPr>
        <w:footnoteReference w:id="2"/>
      </w:r>
      <w:r w:rsidR="00EE65F5" w:rsidRPr="00EE65F5">
        <w:rPr>
          <w:rFonts w:asciiTheme="minorHAnsi" w:eastAsia="Calibri" w:hAnsiTheme="minorHAnsi" w:cstheme="minorHAnsi"/>
          <w:sz w:val="22"/>
          <w:szCs w:val="22"/>
        </w:rPr>
        <w:t xml:space="preserve"> and affirming the interconnectedness of psychology and human rights.</w:t>
      </w:r>
      <w:r w:rsidR="00EE65F5" w:rsidRPr="00EE65F5">
        <w:rPr>
          <w:rStyle w:val="FootnoteReference"/>
          <w:rFonts w:asciiTheme="minorHAnsi" w:eastAsia="Calibri" w:hAnsiTheme="minorHAnsi" w:cstheme="minorHAnsi"/>
          <w:sz w:val="22"/>
          <w:szCs w:val="22"/>
        </w:rPr>
        <w:footnoteReference w:id="3"/>
      </w:r>
      <w:r w:rsidR="00EE65F5" w:rsidRPr="00EE65F5">
        <w:rPr>
          <w:rFonts w:asciiTheme="minorHAnsi" w:eastAsia="Calibri" w:hAnsiTheme="minorHAnsi" w:cstheme="minorHAnsi"/>
          <w:sz w:val="22"/>
          <w:szCs w:val="22"/>
        </w:rPr>
        <w:t xml:space="preserve">  We note that the intrinsically international and intergenerational effects of greenhouse gas emissions, wherever they occur, support the General Comment’s </w:t>
      </w:r>
      <w:r w:rsidR="00EE65F5" w:rsidRPr="00EE65F5">
        <w:rPr>
          <w:rStyle w:val="ui-provider"/>
          <w:rFonts w:asciiTheme="minorHAnsi" w:hAnsiTheme="minorHAnsi" w:cstheme="minorHAnsi"/>
          <w:sz w:val="22"/>
          <w:szCs w:val="22"/>
        </w:rPr>
        <w:t>emphasis on the effects of climate-related loss and damage.</w:t>
      </w:r>
    </w:p>
    <w:p w14:paraId="2D6F828A" w14:textId="77777777" w:rsidR="00EE65F5" w:rsidRPr="00EE65F5" w:rsidRDefault="00EE65F5" w:rsidP="00EE65F5">
      <w:pPr>
        <w:spacing w:line="257" w:lineRule="auto"/>
        <w:rPr>
          <w:rFonts w:asciiTheme="minorHAnsi" w:eastAsia="Calibri" w:hAnsiTheme="minorHAnsi" w:cstheme="minorHAnsi"/>
          <w:sz w:val="22"/>
          <w:szCs w:val="22"/>
        </w:rPr>
      </w:pPr>
    </w:p>
    <w:p w14:paraId="11E9ACA5" w14:textId="4EA06ED0" w:rsidR="00EE65F5" w:rsidRDefault="00EE65F5" w:rsidP="00EE65F5">
      <w:pPr>
        <w:rPr>
          <w:rFonts w:asciiTheme="minorHAnsi" w:eastAsia="Calibri" w:hAnsiTheme="minorHAnsi" w:cstheme="minorHAnsi"/>
          <w:sz w:val="22"/>
          <w:szCs w:val="22"/>
        </w:rPr>
      </w:pPr>
      <w:r w:rsidRPr="00EE65F5">
        <w:rPr>
          <w:rFonts w:asciiTheme="minorHAnsi" w:eastAsia="Calibri" w:hAnsiTheme="minorHAnsi" w:cstheme="minorHAnsi"/>
          <w:sz w:val="22"/>
          <w:szCs w:val="22"/>
        </w:rPr>
        <w:t xml:space="preserve">We welcome the opportunity to provide input into this draft General Comment based on psychological science and Association policies. </w:t>
      </w:r>
    </w:p>
    <w:p w14:paraId="7BC80451" w14:textId="435A80B3" w:rsidR="00943F0B" w:rsidRDefault="00943F0B" w:rsidP="00EE65F5">
      <w:pPr>
        <w:rPr>
          <w:rFonts w:asciiTheme="minorHAnsi" w:eastAsia="Calibri" w:hAnsiTheme="minorHAnsi" w:cstheme="minorHAnsi"/>
          <w:sz w:val="22"/>
          <w:szCs w:val="22"/>
        </w:rPr>
      </w:pPr>
    </w:p>
    <w:p w14:paraId="020834D0" w14:textId="0FDEC49D" w:rsidR="00943F0B" w:rsidRDefault="00943F0B" w:rsidP="00EE65F5">
      <w:pPr>
        <w:rPr>
          <w:rFonts w:asciiTheme="minorHAnsi" w:eastAsia="Calibri" w:hAnsiTheme="minorHAnsi" w:cstheme="minorHAnsi"/>
          <w:sz w:val="22"/>
          <w:szCs w:val="22"/>
        </w:rPr>
      </w:pPr>
    </w:p>
    <w:p w14:paraId="70298597" w14:textId="03F6D870" w:rsidR="00943F0B" w:rsidRDefault="00943F0B" w:rsidP="00EE65F5">
      <w:pPr>
        <w:rPr>
          <w:rFonts w:asciiTheme="minorHAnsi" w:eastAsia="Calibri" w:hAnsiTheme="minorHAnsi" w:cstheme="minorHAnsi"/>
          <w:sz w:val="22"/>
          <w:szCs w:val="22"/>
        </w:rPr>
      </w:pPr>
    </w:p>
    <w:p w14:paraId="2FD9E76D" w14:textId="559016EA" w:rsidR="00943F0B" w:rsidRDefault="00943F0B" w:rsidP="00EE65F5">
      <w:pPr>
        <w:rPr>
          <w:rFonts w:asciiTheme="minorHAnsi" w:eastAsia="Calibri" w:hAnsiTheme="minorHAnsi" w:cstheme="minorHAnsi"/>
          <w:sz w:val="22"/>
          <w:szCs w:val="22"/>
        </w:rPr>
      </w:pPr>
    </w:p>
    <w:p w14:paraId="13CBF271" w14:textId="6286438C" w:rsidR="00943F0B" w:rsidRDefault="00943F0B" w:rsidP="00EE65F5">
      <w:pPr>
        <w:rPr>
          <w:rFonts w:asciiTheme="minorHAnsi" w:eastAsia="Calibri" w:hAnsiTheme="minorHAnsi" w:cstheme="minorHAnsi"/>
          <w:sz w:val="22"/>
          <w:szCs w:val="22"/>
        </w:rPr>
      </w:pPr>
    </w:p>
    <w:p w14:paraId="53DA34EA" w14:textId="77777777" w:rsidR="00943F0B" w:rsidRDefault="00943F0B" w:rsidP="00EE65F5">
      <w:pPr>
        <w:rPr>
          <w:rFonts w:asciiTheme="minorHAnsi" w:eastAsia="Calibri" w:hAnsiTheme="minorHAnsi" w:cstheme="minorHAnsi"/>
          <w:sz w:val="22"/>
          <w:szCs w:val="22"/>
        </w:rPr>
      </w:pPr>
    </w:p>
    <w:p w14:paraId="701EEDC8" w14:textId="77777777" w:rsidR="009E69C4" w:rsidRDefault="009E69C4" w:rsidP="00EE65F5">
      <w:pPr>
        <w:rPr>
          <w:rFonts w:asciiTheme="minorHAnsi" w:eastAsia="Calibri" w:hAnsiTheme="minorHAnsi" w:cstheme="minorHAnsi"/>
          <w:sz w:val="22"/>
          <w:szCs w:val="22"/>
        </w:rPr>
      </w:pPr>
    </w:p>
    <w:p w14:paraId="7B19CD50" w14:textId="1710A673" w:rsidR="009E69C4" w:rsidRPr="009E69C4" w:rsidRDefault="009E69C4" w:rsidP="00EE65F5">
      <w:pPr>
        <w:rPr>
          <w:rFonts w:asciiTheme="minorHAnsi" w:eastAsia="Calibri" w:hAnsiTheme="minorHAnsi" w:cstheme="minorHAnsi"/>
          <w:b/>
          <w:bCs/>
          <w:sz w:val="22"/>
          <w:szCs w:val="22"/>
        </w:rPr>
      </w:pPr>
      <w:r w:rsidRPr="009E69C4">
        <w:rPr>
          <w:rFonts w:asciiTheme="minorHAnsi" w:eastAsia="Calibri" w:hAnsiTheme="minorHAnsi" w:cstheme="minorHAnsi"/>
          <w:b/>
          <w:bCs/>
          <w:sz w:val="22"/>
          <w:szCs w:val="22"/>
        </w:rPr>
        <w:tab/>
        <w:t>Section III: Specific rights of the Convention as they relate to the environment</w:t>
      </w:r>
    </w:p>
    <w:p w14:paraId="4C90DEC7" w14:textId="31392E6F" w:rsidR="00EE65F5" w:rsidRDefault="00EE65F5" w:rsidP="009E69C4">
      <w:pPr>
        <w:rPr>
          <w:rFonts w:asciiTheme="minorHAnsi" w:eastAsia="Calibri" w:hAnsiTheme="minorHAnsi" w:cstheme="minorHAnsi"/>
          <w:b/>
          <w:bCs/>
          <w:sz w:val="22"/>
          <w:szCs w:val="22"/>
        </w:rPr>
      </w:pPr>
      <w:r w:rsidRPr="00EE65F5">
        <w:rPr>
          <w:rFonts w:asciiTheme="minorHAnsi" w:eastAsia="Calibri" w:hAnsiTheme="minorHAnsi" w:cstheme="minorHAnsi"/>
          <w:b/>
          <w:bCs/>
          <w:sz w:val="22"/>
          <w:szCs w:val="22"/>
          <w:u w:val="single"/>
        </w:rPr>
        <w:br/>
      </w:r>
      <w:r w:rsidR="009E69C4">
        <w:rPr>
          <w:rFonts w:asciiTheme="minorHAnsi" w:eastAsia="Calibri" w:hAnsiTheme="minorHAnsi" w:cstheme="minorHAnsi"/>
          <w:b/>
          <w:bCs/>
          <w:sz w:val="22"/>
          <w:szCs w:val="22"/>
        </w:rPr>
        <w:t>Subsection A.2: The right to survival and development</w:t>
      </w:r>
    </w:p>
    <w:p w14:paraId="02B6146A" w14:textId="012DE5CD" w:rsidR="00EE65F5" w:rsidRDefault="00EE65F5" w:rsidP="00EE65F5">
      <w:pPr>
        <w:rPr>
          <w:rFonts w:asciiTheme="minorHAnsi" w:eastAsia="Calibri" w:hAnsiTheme="minorHAnsi" w:cstheme="minorHAnsi"/>
          <w:b/>
          <w:bCs/>
          <w:i/>
          <w:iCs/>
          <w:sz w:val="22"/>
          <w:szCs w:val="22"/>
        </w:rPr>
      </w:pPr>
      <w:r w:rsidRPr="00156AF2">
        <w:rPr>
          <w:rFonts w:asciiTheme="minorHAnsi" w:hAnsiTheme="minorHAnsi" w:cstheme="minorHAnsi"/>
          <w:b/>
          <w:bCs/>
          <w:i/>
          <w:iCs/>
          <w:color w:val="222222"/>
          <w:sz w:val="22"/>
          <w:szCs w:val="22"/>
          <w:shd w:val="clear" w:color="auto" w:fill="E6E6E6"/>
        </w:rPr>
        <w:br/>
      </w:r>
      <w:r w:rsidR="009E69C4">
        <w:rPr>
          <w:rFonts w:asciiTheme="minorHAnsi" w:eastAsia="Calibri" w:hAnsiTheme="minorHAnsi" w:cstheme="minorHAnsi"/>
          <w:b/>
          <w:bCs/>
          <w:i/>
          <w:iCs/>
          <w:sz w:val="22"/>
          <w:szCs w:val="22"/>
        </w:rPr>
        <w:t>We recommend that Section III, Subsection A.2, reference General Comment #7</w:t>
      </w:r>
      <w:r w:rsidR="009E69C4" w:rsidRPr="00156AF2">
        <w:rPr>
          <w:rStyle w:val="FootnoteReference"/>
          <w:rFonts w:asciiTheme="minorHAnsi" w:hAnsiTheme="minorHAnsi" w:cstheme="minorHAnsi"/>
          <w:b/>
          <w:bCs/>
          <w:i/>
          <w:iCs/>
          <w:color w:val="222222"/>
          <w:sz w:val="22"/>
          <w:szCs w:val="22"/>
        </w:rPr>
        <w:footnoteReference w:id="4"/>
      </w:r>
      <w:r w:rsidR="009E69C4">
        <w:rPr>
          <w:rFonts w:asciiTheme="minorHAnsi" w:eastAsia="Calibri" w:hAnsiTheme="minorHAnsi" w:cstheme="minorHAnsi"/>
          <w:b/>
          <w:bCs/>
          <w:i/>
          <w:iCs/>
          <w:sz w:val="22"/>
          <w:szCs w:val="22"/>
        </w:rPr>
        <w:t xml:space="preserve"> to acknowledge the specific needs and opportunities of early childhood.</w:t>
      </w:r>
    </w:p>
    <w:p w14:paraId="58D5ABA2" w14:textId="77777777" w:rsidR="009E69C4" w:rsidRPr="009E69C4" w:rsidRDefault="009E69C4" w:rsidP="00EE65F5">
      <w:pPr>
        <w:rPr>
          <w:rFonts w:asciiTheme="minorHAnsi" w:eastAsia="Calibri" w:hAnsiTheme="minorHAnsi" w:cstheme="minorHAnsi"/>
          <w:b/>
          <w:bCs/>
          <w:i/>
          <w:iCs/>
          <w:sz w:val="22"/>
          <w:szCs w:val="22"/>
        </w:rPr>
      </w:pPr>
    </w:p>
    <w:p w14:paraId="1E39E5F9" w14:textId="77777777" w:rsidR="00EE65F5" w:rsidRPr="00EE65F5" w:rsidRDefault="00EE65F5" w:rsidP="00EE65F5">
      <w:pPr>
        <w:rPr>
          <w:rFonts w:asciiTheme="minorHAnsi" w:hAnsiTheme="minorHAnsi" w:cstheme="minorHAnsi"/>
          <w:color w:val="222222"/>
          <w:sz w:val="22"/>
          <w:szCs w:val="22"/>
        </w:rPr>
      </w:pPr>
      <w:r w:rsidRPr="00EE65F5">
        <w:rPr>
          <w:rFonts w:asciiTheme="minorHAnsi" w:hAnsiTheme="minorHAnsi" w:cstheme="minorHAnsi"/>
          <w:color w:val="222222"/>
          <w:sz w:val="22"/>
          <w:szCs w:val="22"/>
        </w:rPr>
        <w:t>General Comment #7 describes</w:t>
      </w:r>
      <w:r w:rsidRPr="00EE65F5">
        <w:rPr>
          <w:rFonts w:asciiTheme="minorHAnsi" w:hAnsiTheme="minorHAnsi" w:cstheme="minorHAnsi"/>
          <w:color w:val="000000"/>
          <w:sz w:val="22"/>
          <w:szCs w:val="22"/>
        </w:rPr>
        <w:t xml:space="preserve"> "the specific features of early childhood that impact on the realization of rights." It underscores the exceptional characteristics of this period in childhood and the vulnerabilities inherent in the earliest years of life, and emphasizes how policies, programs, and practices that nurture the youngest children are fundamental building blocks for each person to reach their potential.</w:t>
      </w:r>
      <w:r w:rsidRPr="00EE65F5">
        <w:rPr>
          <w:rStyle w:val="FootnoteReference"/>
          <w:rFonts w:asciiTheme="minorHAnsi" w:hAnsiTheme="minorHAnsi" w:cstheme="minorHAnsi"/>
          <w:color w:val="000000"/>
          <w:sz w:val="22"/>
          <w:szCs w:val="22"/>
        </w:rPr>
        <w:footnoteReference w:id="5"/>
      </w:r>
      <w:r w:rsidRPr="00EE65F5">
        <w:rPr>
          <w:rFonts w:asciiTheme="minorHAnsi" w:hAnsiTheme="minorHAnsi" w:cstheme="minorHAnsi"/>
          <w:color w:val="000000"/>
          <w:sz w:val="22"/>
          <w:szCs w:val="22"/>
        </w:rPr>
        <w:t xml:space="preserve"> Early childhood is the moment where the highest return is obtained from supportive policies and fiscal investments.</w:t>
      </w:r>
      <w:r w:rsidRPr="00EE65F5">
        <w:rPr>
          <w:rStyle w:val="FootnoteReference"/>
          <w:rFonts w:asciiTheme="minorHAnsi" w:hAnsiTheme="minorHAnsi" w:cstheme="minorHAnsi"/>
          <w:color w:val="000000"/>
          <w:sz w:val="22"/>
          <w:szCs w:val="22"/>
        </w:rPr>
        <w:footnoteReference w:id="6"/>
      </w:r>
      <w:r w:rsidRPr="00EE65F5">
        <w:rPr>
          <w:rFonts w:asciiTheme="minorHAnsi" w:hAnsiTheme="minorHAnsi" w:cstheme="minorHAnsi"/>
          <w:color w:val="000000"/>
          <w:sz w:val="22"/>
          <w:szCs w:val="22"/>
        </w:rPr>
        <w:t> </w:t>
      </w:r>
    </w:p>
    <w:p w14:paraId="2E385588" w14:textId="77777777" w:rsidR="00EE65F5" w:rsidRPr="00EE65F5" w:rsidRDefault="00EE65F5" w:rsidP="00EE65F5">
      <w:pPr>
        <w:rPr>
          <w:rFonts w:asciiTheme="minorHAnsi" w:hAnsiTheme="minorHAnsi" w:cstheme="minorHAnsi"/>
          <w:color w:val="222222"/>
          <w:sz w:val="22"/>
          <w:szCs w:val="22"/>
        </w:rPr>
      </w:pPr>
    </w:p>
    <w:p w14:paraId="4236053E" w14:textId="65211620" w:rsidR="00EE65F5" w:rsidRPr="00EE65F5" w:rsidRDefault="00EE65F5" w:rsidP="00EE65F5">
      <w:pPr>
        <w:rPr>
          <w:rFonts w:asciiTheme="minorHAnsi" w:hAnsiTheme="minorHAnsi" w:cstheme="minorHAnsi"/>
          <w:color w:val="000000"/>
          <w:sz w:val="22"/>
          <w:szCs w:val="22"/>
        </w:rPr>
      </w:pPr>
      <w:r w:rsidRPr="00EE65F5">
        <w:rPr>
          <w:rFonts w:asciiTheme="minorHAnsi" w:hAnsiTheme="minorHAnsi" w:cstheme="minorHAnsi"/>
          <w:color w:val="000000"/>
          <w:sz w:val="22"/>
          <w:szCs w:val="22"/>
        </w:rPr>
        <w:t>The</w:t>
      </w:r>
      <w:r w:rsidRPr="00EE65F5">
        <w:rPr>
          <w:rFonts w:asciiTheme="minorHAnsi" w:eastAsia="Calibri" w:hAnsiTheme="minorHAnsi" w:cstheme="minorHAnsi"/>
          <w:color w:val="000000" w:themeColor="text1"/>
          <w:sz w:val="22"/>
          <w:szCs w:val="22"/>
        </w:rPr>
        <w:t xml:space="preserve"> Nurturing Care Framework shows how daily positive interactions with adult caregivers, along with community and governmental supports, can protect children from the effects of adversity and promote healthy, holistic development.</w:t>
      </w:r>
      <w:r w:rsidRPr="00EE65F5">
        <w:rPr>
          <w:rStyle w:val="FootnoteReference"/>
          <w:rFonts w:asciiTheme="minorHAnsi" w:eastAsia="Calibri" w:hAnsiTheme="minorHAnsi" w:cstheme="minorHAnsi"/>
          <w:sz w:val="22"/>
          <w:szCs w:val="22"/>
        </w:rPr>
        <w:footnoteReference w:id="7"/>
      </w:r>
      <w:r w:rsidRPr="00EE65F5">
        <w:rPr>
          <w:rFonts w:asciiTheme="minorHAnsi" w:eastAsia="Calibri" w:hAnsiTheme="minorHAnsi" w:cstheme="minorHAnsi"/>
          <w:sz w:val="22"/>
          <w:szCs w:val="22"/>
        </w:rPr>
        <w:t xml:space="preserve"> </w:t>
      </w:r>
      <w:r w:rsidRPr="00EE65F5">
        <w:rPr>
          <w:rFonts w:asciiTheme="minorHAnsi" w:hAnsiTheme="minorHAnsi" w:cstheme="minorHAnsi"/>
          <w:color w:val="000000"/>
          <w:sz w:val="22"/>
          <w:szCs w:val="22"/>
        </w:rPr>
        <w:t>Nurturing care supports children’s psychosocial and cognitive development, physical safety, and health.</w:t>
      </w:r>
      <w:r w:rsidRPr="00EE65F5">
        <w:rPr>
          <w:rStyle w:val="FootnoteReference"/>
          <w:rFonts w:asciiTheme="minorHAnsi" w:hAnsiTheme="minorHAnsi" w:cstheme="minorHAnsi"/>
          <w:color w:val="000000"/>
          <w:sz w:val="22"/>
          <w:szCs w:val="22"/>
        </w:rPr>
        <w:footnoteReference w:id="8"/>
      </w:r>
      <w:r w:rsidRPr="00EE65F5">
        <w:rPr>
          <w:rFonts w:asciiTheme="minorHAnsi" w:hAnsiTheme="minorHAnsi" w:cstheme="minorHAnsi"/>
          <w:color w:val="000000"/>
          <w:sz w:val="22"/>
          <w:szCs w:val="22"/>
        </w:rPr>
        <w:t xml:space="preserve"> For example,</w:t>
      </w:r>
      <w:r w:rsidRPr="00EE65F5">
        <w:rPr>
          <w:rStyle w:val="FootnoteReference"/>
          <w:rFonts w:asciiTheme="minorHAnsi" w:hAnsiTheme="minorHAnsi" w:cstheme="minorHAnsi"/>
          <w:color w:val="000000"/>
          <w:sz w:val="22"/>
          <w:szCs w:val="22"/>
        </w:rPr>
        <w:t xml:space="preserve"> </w:t>
      </w:r>
      <w:r w:rsidRPr="00EE65F5">
        <w:rPr>
          <w:rFonts w:asciiTheme="minorHAnsi" w:eastAsia="Calibri" w:hAnsiTheme="minorHAnsi" w:cstheme="minorHAnsi"/>
          <w:color w:val="000000" w:themeColor="text1"/>
          <w:sz w:val="22"/>
          <w:szCs w:val="22"/>
        </w:rPr>
        <w:t>a series of longitudinal studies</w:t>
      </w:r>
      <w:r w:rsidRPr="00EE65F5">
        <w:rPr>
          <w:rFonts w:asciiTheme="minorHAnsi" w:hAnsiTheme="minorHAnsi" w:cstheme="minorHAnsi"/>
          <w:color w:val="000000"/>
          <w:sz w:val="22"/>
          <w:szCs w:val="22"/>
        </w:rPr>
        <w:t xml:space="preserve"> in Jamaica tested</w:t>
      </w:r>
      <w:r w:rsidRPr="00EE65F5">
        <w:rPr>
          <w:rFonts w:asciiTheme="minorHAnsi" w:hAnsiTheme="minorHAnsi" w:cstheme="minorHAnsi"/>
          <w:color w:val="222222"/>
          <w:sz w:val="22"/>
          <w:szCs w:val="22"/>
          <w:shd w:val="clear" w:color="auto" w:fill="FFFFFF"/>
        </w:rPr>
        <w:t xml:space="preserve"> the effects of psychosocial stimulation and parental education programs on children experiencing stunting. The children who went through the</w:t>
      </w:r>
      <w:r w:rsidR="00E9538A">
        <w:rPr>
          <w:rFonts w:asciiTheme="minorHAnsi" w:hAnsiTheme="minorHAnsi" w:cstheme="minorHAnsi"/>
          <w:color w:val="222222"/>
          <w:sz w:val="22"/>
          <w:szCs w:val="22"/>
          <w:shd w:val="clear" w:color="auto" w:fill="FFFFFF"/>
        </w:rPr>
        <w:t xml:space="preserve"> </w:t>
      </w:r>
      <w:r w:rsidRPr="00EE65F5">
        <w:rPr>
          <w:rFonts w:asciiTheme="minorHAnsi" w:hAnsiTheme="minorHAnsi" w:cstheme="minorHAnsi"/>
          <w:color w:val="222222"/>
          <w:sz w:val="22"/>
          <w:szCs w:val="22"/>
          <w:shd w:val="clear" w:color="auto" w:fill="FFFFFF"/>
        </w:rPr>
        <w:lastRenderedPageBreak/>
        <w:t>programs had higher earnings,</w:t>
      </w:r>
      <w:r w:rsidRPr="00EE65F5">
        <w:rPr>
          <w:rStyle w:val="FootnoteReference"/>
          <w:rFonts w:asciiTheme="minorHAnsi" w:hAnsiTheme="minorHAnsi" w:cstheme="minorHAnsi"/>
          <w:color w:val="222222"/>
          <w:sz w:val="22"/>
          <w:szCs w:val="22"/>
          <w:shd w:val="clear" w:color="auto" w:fill="FFFFFF"/>
        </w:rPr>
        <w:footnoteReference w:id="9"/>
      </w:r>
      <w:r w:rsidRPr="00EE65F5">
        <w:rPr>
          <w:rFonts w:asciiTheme="minorHAnsi" w:hAnsiTheme="minorHAnsi" w:cstheme="minorHAnsi"/>
          <w:color w:val="222222"/>
          <w:sz w:val="22"/>
          <w:szCs w:val="22"/>
          <w:shd w:val="clear" w:color="auto" w:fill="FFFFFF"/>
        </w:rPr>
        <w:t xml:space="preserve"> lower rates of violent behavior,</w:t>
      </w:r>
      <w:r w:rsidRPr="00EE65F5">
        <w:rPr>
          <w:rStyle w:val="FootnoteReference"/>
          <w:rFonts w:asciiTheme="minorHAnsi" w:hAnsiTheme="minorHAnsi" w:cstheme="minorHAnsi"/>
          <w:color w:val="222222"/>
          <w:sz w:val="22"/>
          <w:szCs w:val="22"/>
          <w:shd w:val="clear" w:color="auto" w:fill="FFFFFF"/>
        </w:rPr>
        <w:footnoteReference w:id="10"/>
      </w:r>
      <w:r w:rsidRPr="00EE65F5">
        <w:rPr>
          <w:rFonts w:asciiTheme="minorHAnsi" w:hAnsiTheme="minorHAnsi" w:cstheme="minorHAnsi"/>
          <w:color w:val="222222"/>
          <w:sz w:val="22"/>
          <w:szCs w:val="22"/>
          <w:shd w:val="clear" w:color="auto" w:fill="FFFFFF"/>
        </w:rPr>
        <w:t xml:space="preserve"> and fewer mental health symptoms, physical diseases, disabilities, and fatalities than the control group later in life.</w:t>
      </w:r>
      <w:r w:rsidRPr="00EE65F5">
        <w:rPr>
          <w:rStyle w:val="FootnoteReference"/>
          <w:rFonts w:asciiTheme="minorHAnsi" w:hAnsiTheme="minorHAnsi" w:cstheme="minorHAnsi"/>
          <w:color w:val="000000"/>
          <w:sz w:val="22"/>
          <w:szCs w:val="22"/>
        </w:rPr>
        <w:footnoteReference w:id="11"/>
      </w:r>
      <w:r w:rsidRPr="00EE65F5">
        <w:rPr>
          <w:rFonts w:asciiTheme="minorHAnsi" w:hAnsiTheme="minorHAnsi" w:cstheme="minorHAnsi"/>
          <w:color w:val="000000"/>
          <w:sz w:val="22"/>
          <w:szCs w:val="22"/>
        </w:rPr>
        <w:t xml:space="preserve"> </w:t>
      </w:r>
    </w:p>
    <w:p w14:paraId="2D73F643" w14:textId="77777777" w:rsidR="00EE65F5" w:rsidRPr="00EE65F5" w:rsidRDefault="00EE65F5" w:rsidP="00EE65F5">
      <w:pPr>
        <w:rPr>
          <w:rFonts w:asciiTheme="minorHAnsi" w:hAnsiTheme="minorHAnsi" w:cstheme="minorHAnsi"/>
          <w:color w:val="222222"/>
          <w:sz w:val="22"/>
          <w:szCs w:val="22"/>
        </w:rPr>
      </w:pPr>
    </w:p>
    <w:p w14:paraId="105C70DA" w14:textId="12F5D3D8" w:rsidR="00EE65F5" w:rsidRPr="009E69C4" w:rsidRDefault="00EE65F5" w:rsidP="00EE65F5">
      <w:pPr>
        <w:rPr>
          <w:rFonts w:asciiTheme="minorHAnsi" w:hAnsiTheme="minorHAnsi" w:cstheme="minorHAnsi"/>
          <w:color w:val="222222"/>
          <w:sz w:val="22"/>
          <w:szCs w:val="22"/>
        </w:rPr>
      </w:pPr>
      <w:r w:rsidRPr="00EE65F5">
        <w:rPr>
          <w:rFonts w:asciiTheme="minorHAnsi" w:hAnsiTheme="minorHAnsi" w:cstheme="minorHAnsi"/>
          <w:color w:val="222222"/>
          <w:sz w:val="22"/>
          <w:szCs w:val="22"/>
        </w:rPr>
        <w:t>Climate change highlights the importance of the nurturing care agenda.</w:t>
      </w:r>
      <w:r w:rsidRPr="00EE65F5">
        <w:rPr>
          <w:rStyle w:val="FootnoteReference"/>
          <w:rFonts w:asciiTheme="minorHAnsi" w:hAnsiTheme="minorHAnsi" w:cstheme="minorHAnsi"/>
          <w:color w:val="000000"/>
          <w:sz w:val="22"/>
          <w:szCs w:val="22"/>
        </w:rPr>
        <w:footnoteReference w:id="12"/>
      </w:r>
      <w:r w:rsidRPr="00EE65F5">
        <w:rPr>
          <w:rFonts w:asciiTheme="minorHAnsi" w:hAnsiTheme="minorHAnsi" w:cstheme="minorHAnsi"/>
          <w:color w:val="222222"/>
          <w:sz w:val="22"/>
          <w:szCs w:val="22"/>
        </w:rPr>
        <w:t xml:space="preserve"> Programs focused on climate loss and disasters tend to be reactive and remedial rather than proactive and opportunity-driven. Decades of research and program evaluations show that policies and programs focused on prenatal and early childhood development provide a cost-effective and enduring path to boosting human development, impacting families, communities, and nations.</w:t>
      </w:r>
      <w:r w:rsidRPr="00EE65F5">
        <w:rPr>
          <w:rStyle w:val="FootnoteReference"/>
          <w:rFonts w:asciiTheme="minorHAnsi" w:hAnsiTheme="minorHAnsi" w:cstheme="minorHAnsi"/>
          <w:color w:val="222222"/>
          <w:sz w:val="22"/>
          <w:szCs w:val="22"/>
        </w:rPr>
        <w:footnoteReference w:id="13"/>
      </w:r>
      <w:r w:rsidRPr="00EE65F5">
        <w:rPr>
          <w:rFonts w:asciiTheme="minorHAnsi" w:hAnsiTheme="minorHAnsi" w:cstheme="minorHAnsi"/>
          <w:color w:val="222222"/>
          <w:sz w:val="22"/>
          <w:szCs w:val="22"/>
        </w:rPr>
        <w:t xml:space="preserve"> </w:t>
      </w:r>
      <w:r w:rsidRPr="00156AF2">
        <w:rPr>
          <w:rFonts w:asciiTheme="minorHAnsi" w:eastAsia="Calibri" w:hAnsiTheme="minorHAnsi" w:cstheme="minorHAnsi"/>
          <w:b/>
          <w:bCs/>
          <w:i/>
          <w:iCs/>
          <w:color w:val="2B579A"/>
          <w:sz w:val="22"/>
          <w:szCs w:val="22"/>
          <w:shd w:val="clear" w:color="auto" w:fill="E6E6E6"/>
        </w:rPr>
        <w:br/>
      </w:r>
    </w:p>
    <w:p w14:paraId="57D4032A" w14:textId="73E93E92" w:rsidR="009E69C4" w:rsidRDefault="009E69C4" w:rsidP="00EE65F5">
      <w:pPr>
        <w:rPr>
          <w:rFonts w:asciiTheme="minorHAnsi" w:eastAsia="Calibri" w:hAnsiTheme="minorHAnsi" w:cstheme="minorHAnsi"/>
          <w:b/>
          <w:bCs/>
          <w:i/>
          <w:iCs/>
          <w:sz w:val="22"/>
          <w:szCs w:val="22"/>
        </w:rPr>
      </w:pPr>
      <w:r>
        <w:rPr>
          <w:rFonts w:asciiTheme="minorHAnsi" w:eastAsia="Calibri" w:hAnsiTheme="minorHAnsi" w:cstheme="minorHAnsi"/>
          <w:b/>
          <w:bCs/>
          <w:i/>
          <w:iCs/>
          <w:sz w:val="22"/>
          <w:szCs w:val="22"/>
        </w:rPr>
        <w:t>We also recommend that Section III, Subsection A.2 reference family stress and the risk of violence.</w:t>
      </w:r>
    </w:p>
    <w:p w14:paraId="561267B1" w14:textId="77777777" w:rsidR="009E69C4" w:rsidRPr="00156AF2" w:rsidRDefault="009E69C4" w:rsidP="00EE65F5">
      <w:pPr>
        <w:rPr>
          <w:rFonts w:asciiTheme="minorHAnsi" w:eastAsia="Calibri" w:hAnsiTheme="minorHAnsi" w:cstheme="minorHAnsi"/>
          <w:b/>
          <w:bCs/>
          <w:i/>
          <w:iCs/>
          <w:sz w:val="22"/>
          <w:szCs w:val="22"/>
        </w:rPr>
      </w:pPr>
    </w:p>
    <w:p w14:paraId="68A59E36" w14:textId="77777777" w:rsidR="00F20B5B" w:rsidRDefault="00EE65F5" w:rsidP="00DF0110">
      <w:pPr>
        <w:rPr>
          <w:rFonts w:asciiTheme="minorHAnsi" w:eastAsia="Calibri" w:hAnsiTheme="minorHAnsi" w:cstheme="minorBidi"/>
          <w:sz w:val="22"/>
          <w:szCs w:val="22"/>
        </w:rPr>
      </w:pPr>
      <w:r w:rsidRPr="7F565BF8">
        <w:rPr>
          <w:rFonts w:asciiTheme="minorHAnsi" w:hAnsiTheme="minorHAnsi" w:cstheme="minorBidi"/>
          <w:sz w:val="22"/>
          <w:szCs w:val="22"/>
        </w:rPr>
        <w:t xml:space="preserve">Climate change can increase family stress, which plays a vital role in child development. </w:t>
      </w:r>
      <w:r w:rsidRPr="7F565BF8">
        <w:rPr>
          <w:rFonts w:asciiTheme="minorHAnsi" w:eastAsia="Calibri" w:hAnsiTheme="minorHAnsi" w:cstheme="minorBidi"/>
          <w:sz w:val="22"/>
          <w:szCs w:val="22"/>
        </w:rPr>
        <w:t xml:space="preserve">For example, those whose homes are damaged by a flood, storm, or wildfire may need to be relocated multiple times before resettling permanently. </w:t>
      </w:r>
      <w:r w:rsidRPr="7F565BF8">
        <w:rPr>
          <w:rFonts w:asciiTheme="minorHAnsi" w:hAnsiTheme="minorHAnsi" w:cstheme="minorBidi"/>
          <w:color w:val="000000"/>
          <w:sz w:val="22"/>
          <w:szCs w:val="22"/>
        </w:rPr>
        <w:t>For pregnant women, this</w:t>
      </w:r>
      <w:r w:rsidRPr="7F565BF8">
        <w:rPr>
          <w:rFonts w:asciiTheme="minorHAnsi" w:hAnsiTheme="minorHAnsi" w:cstheme="minorBidi"/>
          <w:color w:val="000000" w:themeColor="text1"/>
          <w:sz w:val="22"/>
          <w:szCs w:val="22"/>
        </w:rPr>
        <w:t xml:space="preserve"> period of relocation</w:t>
      </w:r>
      <w:r w:rsidRPr="7F565BF8">
        <w:rPr>
          <w:rFonts w:asciiTheme="minorHAnsi" w:hAnsiTheme="minorHAnsi" w:cstheme="minorBidi"/>
          <w:color w:val="000000"/>
          <w:sz w:val="22"/>
          <w:szCs w:val="22"/>
        </w:rPr>
        <w:t xml:space="preserve"> can disrupt prenatal care, including not being able to access their doctors or necessary medicine, thereby impacting fetal development.</w:t>
      </w:r>
      <w:r w:rsidRPr="7F565BF8">
        <w:rPr>
          <w:rStyle w:val="FootnoteReference"/>
          <w:rFonts w:asciiTheme="minorHAnsi" w:hAnsiTheme="minorHAnsi" w:cstheme="minorBidi"/>
          <w:color w:val="000000"/>
          <w:sz w:val="22"/>
          <w:szCs w:val="22"/>
        </w:rPr>
        <w:footnoteReference w:id="14"/>
      </w:r>
      <w:r w:rsidRPr="7F565BF8">
        <w:rPr>
          <w:rFonts w:asciiTheme="minorHAnsi" w:hAnsiTheme="minorHAnsi" w:cstheme="minorBidi"/>
          <w:color w:val="000000"/>
          <w:sz w:val="22"/>
          <w:szCs w:val="22"/>
        </w:rPr>
        <w:t xml:space="preserve"> </w:t>
      </w:r>
      <w:r w:rsidRPr="7F565BF8">
        <w:rPr>
          <w:rFonts w:asciiTheme="minorHAnsi" w:eastAsia="Calibri" w:hAnsiTheme="minorHAnsi" w:cstheme="minorBidi"/>
          <w:sz w:val="22"/>
          <w:szCs w:val="22"/>
        </w:rPr>
        <w:t>Parents dealing with the stress of displacement may experience impaired functioning as caregivers, which in turn places increased stress on children.</w:t>
      </w:r>
      <w:r w:rsidRPr="7F565BF8">
        <w:rPr>
          <w:rStyle w:val="FootnoteReference"/>
          <w:rFonts w:asciiTheme="minorHAnsi" w:eastAsia="Calibri" w:hAnsiTheme="minorHAnsi" w:cstheme="minorBidi"/>
          <w:sz w:val="22"/>
          <w:szCs w:val="22"/>
        </w:rPr>
        <w:footnoteReference w:id="15"/>
      </w:r>
      <w:r w:rsidRPr="7F565BF8">
        <w:rPr>
          <w:rFonts w:asciiTheme="minorHAnsi" w:eastAsia="Calibri" w:hAnsiTheme="minorHAnsi" w:cstheme="minorBidi"/>
          <w:sz w:val="22"/>
          <w:szCs w:val="22"/>
        </w:rPr>
        <w:t xml:space="preserve"> Children may have to attend a new school or miss school altogether, putting them at risk for psychological distress or behavioral issues.</w:t>
      </w:r>
      <w:r w:rsidRPr="7F565BF8">
        <w:rPr>
          <w:rStyle w:val="FootnoteReference"/>
          <w:rFonts w:asciiTheme="minorHAnsi" w:eastAsia="Calibri" w:hAnsiTheme="minorHAnsi" w:cstheme="minorBidi"/>
          <w:sz w:val="22"/>
          <w:szCs w:val="22"/>
        </w:rPr>
        <w:footnoteReference w:id="16"/>
      </w:r>
      <w:r w:rsidRPr="7F565BF8">
        <w:rPr>
          <w:rFonts w:asciiTheme="minorHAnsi" w:eastAsia="Calibri" w:hAnsiTheme="minorHAnsi" w:cstheme="minorBidi"/>
          <w:sz w:val="22"/>
          <w:szCs w:val="22"/>
        </w:rPr>
        <w:t xml:space="preserve"> </w:t>
      </w:r>
    </w:p>
    <w:p w14:paraId="2DCB902F" w14:textId="6582DEAE" w:rsidR="00EE65F5" w:rsidRPr="00DF0110" w:rsidRDefault="00EE65F5" w:rsidP="00DF0110">
      <w:pPr>
        <w:rPr>
          <w:rFonts w:asciiTheme="minorHAnsi" w:eastAsia="Calibri" w:hAnsiTheme="minorHAnsi" w:cstheme="minorBidi"/>
          <w:sz w:val="22"/>
          <w:szCs w:val="22"/>
        </w:rPr>
      </w:pPr>
      <w:r w:rsidRPr="00EE65F5">
        <w:rPr>
          <w:rFonts w:asciiTheme="minorHAnsi" w:eastAsia="Calibri" w:hAnsiTheme="minorHAnsi" w:cstheme="minorHAnsi"/>
          <w:sz w:val="22"/>
          <w:szCs w:val="22"/>
        </w:rPr>
        <w:lastRenderedPageBreak/>
        <w:t>We also know that climate-related disasters can increase the risk of violence in the home.</w:t>
      </w:r>
      <w:r w:rsidRPr="00EE65F5">
        <w:rPr>
          <w:rStyle w:val="FootnoteReference"/>
          <w:rFonts w:asciiTheme="minorHAnsi" w:eastAsia="Calibri" w:hAnsiTheme="minorHAnsi" w:cstheme="minorHAnsi"/>
          <w:sz w:val="22"/>
          <w:szCs w:val="22"/>
        </w:rPr>
        <w:footnoteReference w:id="17"/>
      </w:r>
      <w:r w:rsidRPr="00EE65F5">
        <w:rPr>
          <w:rFonts w:asciiTheme="minorHAnsi" w:eastAsia="Calibri" w:hAnsiTheme="minorHAnsi" w:cstheme="minorHAnsi"/>
          <w:sz w:val="22"/>
          <w:szCs w:val="22"/>
        </w:rPr>
        <w:t xml:space="preserve"> A 2021 literature review points to certain conditions that make post-disaster violence against children more likely, including caregiver stress and household economic stress.</w:t>
      </w:r>
      <w:r w:rsidRPr="00EE65F5">
        <w:rPr>
          <w:rStyle w:val="FootnoteReference"/>
          <w:rFonts w:asciiTheme="minorHAnsi" w:eastAsia="Calibri" w:hAnsiTheme="minorHAnsi" w:cstheme="minorHAnsi"/>
          <w:sz w:val="22"/>
          <w:szCs w:val="22"/>
        </w:rPr>
        <w:footnoteReference w:id="18"/>
      </w:r>
    </w:p>
    <w:p w14:paraId="3DBEC15F" w14:textId="77777777" w:rsidR="00EE65F5" w:rsidRPr="00EE65F5" w:rsidRDefault="00EE65F5" w:rsidP="00EE65F5">
      <w:pPr>
        <w:spacing w:line="257" w:lineRule="auto"/>
        <w:rPr>
          <w:rFonts w:asciiTheme="minorHAnsi" w:eastAsia="Calibri" w:hAnsiTheme="minorHAnsi" w:cstheme="minorHAnsi"/>
          <w:i/>
          <w:iCs/>
          <w:sz w:val="22"/>
          <w:szCs w:val="22"/>
        </w:rPr>
      </w:pPr>
    </w:p>
    <w:p w14:paraId="49523708" w14:textId="07CF830E" w:rsidR="00EE65F5" w:rsidRDefault="009E69C4" w:rsidP="00EE65F5">
      <w:pPr>
        <w:rPr>
          <w:rFonts w:asciiTheme="minorHAnsi" w:eastAsiaTheme="minorEastAsia" w:hAnsiTheme="minorHAnsi" w:cstheme="minorHAnsi"/>
          <w:sz w:val="22"/>
          <w:szCs w:val="22"/>
        </w:rPr>
      </w:pPr>
      <w:r>
        <w:rPr>
          <w:rFonts w:asciiTheme="minorHAnsi" w:eastAsiaTheme="minorEastAsia" w:hAnsiTheme="minorHAnsi" w:cstheme="minorHAnsi"/>
          <w:b/>
          <w:bCs/>
          <w:sz w:val="22"/>
          <w:szCs w:val="22"/>
        </w:rPr>
        <w:t xml:space="preserve">Subsection B: The right to the highest attainable </w:t>
      </w:r>
      <w:r w:rsidRPr="00F20B5B">
        <w:rPr>
          <w:rFonts w:asciiTheme="minorHAnsi" w:eastAsiaTheme="minorEastAsia" w:hAnsiTheme="minorHAnsi" w:cstheme="minorHAnsi"/>
          <w:b/>
          <w:bCs/>
          <w:sz w:val="22"/>
          <w:szCs w:val="22"/>
        </w:rPr>
        <w:t>standard of health: “27. Another concern is children’s current and anticipated psychosocial, emotional, and mental health problems and suffering caused by environmental harm. The link between children’s mental health and environmental harm is increasingly recognized, such as the increasing prevalence of eco-anxiety, and needs further emphasis</w:t>
      </w:r>
      <w:r w:rsidR="00960C43">
        <w:rPr>
          <w:rFonts w:asciiTheme="minorHAnsi" w:eastAsiaTheme="minorEastAsia" w:hAnsiTheme="minorHAnsi" w:cstheme="minorHAnsi"/>
          <w:b/>
          <w:bCs/>
          <w:sz w:val="22"/>
          <w:szCs w:val="22"/>
        </w:rPr>
        <w:t>.”</w:t>
      </w:r>
    </w:p>
    <w:p w14:paraId="38A9B8BE" w14:textId="742233E3" w:rsidR="009E69C4" w:rsidRDefault="009E69C4" w:rsidP="00EE65F5">
      <w:pPr>
        <w:rPr>
          <w:rFonts w:asciiTheme="minorHAnsi" w:eastAsiaTheme="minorEastAsia" w:hAnsiTheme="minorHAnsi" w:cstheme="minorHAnsi"/>
          <w:sz w:val="22"/>
          <w:szCs w:val="22"/>
        </w:rPr>
      </w:pPr>
    </w:p>
    <w:p w14:paraId="5F2D6FB8" w14:textId="39EDFE15" w:rsidR="009E69C4" w:rsidRPr="009E69C4" w:rsidRDefault="009E69C4" w:rsidP="00EE65F5">
      <w:pPr>
        <w:rPr>
          <w:rFonts w:asciiTheme="minorHAnsi" w:eastAsiaTheme="minorEastAsia" w:hAnsiTheme="minorHAnsi" w:cstheme="minorHAnsi"/>
          <w:b/>
          <w:bCs/>
          <w:i/>
          <w:iCs/>
          <w:sz w:val="22"/>
          <w:szCs w:val="22"/>
        </w:rPr>
      </w:pPr>
      <w:r>
        <w:rPr>
          <w:rFonts w:asciiTheme="minorHAnsi" w:eastAsiaTheme="minorEastAsia" w:hAnsiTheme="minorHAnsi" w:cstheme="minorHAnsi"/>
          <w:b/>
          <w:bCs/>
          <w:i/>
          <w:iCs/>
          <w:sz w:val="22"/>
          <w:szCs w:val="22"/>
        </w:rPr>
        <w:t>We recommend that Section III, Subsection B</w:t>
      </w:r>
      <w:r w:rsidR="001A001D">
        <w:rPr>
          <w:rFonts w:asciiTheme="minorHAnsi" w:eastAsiaTheme="minorEastAsia" w:hAnsiTheme="minorHAnsi" w:cstheme="minorHAnsi"/>
          <w:b/>
          <w:bCs/>
          <w:i/>
          <w:iCs/>
          <w:sz w:val="22"/>
          <w:szCs w:val="22"/>
        </w:rPr>
        <w:t>, Paragraph 27,</w:t>
      </w:r>
      <w:r>
        <w:rPr>
          <w:rFonts w:asciiTheme="minorHAnsi" w:eastAsiaTheme="minorEastAsia" w:hAnsiTheme="minorHAnsi" w:cstheme="minorHAnsi"/>
          <w:b/>
          <w:bCs/>
          <w:i/>
          <w:iCs/>
          <w:sz w:val="22"/>
          <w:szCs w:val="22"/>
        </w:rPr>
        <w:t xml:space="preserve"> include additional detail on mental health to highlight the robust body of literature and severity of the issue.</w:t>
      </w:r>
    </w:p>
    <w:p w14:paraId="4BBA82A8" w14:textId="77777777" w:rsidR="009E69C4" w:rsidRPr="00EE65F5" w:rsidRDefault="009E69C4" w:rsidP="00EE65F5">
      <w:pPr>
        <w:rPr>
          <w:rFonts w:asciiTheme="minorHAnsi" w:eastAsiaTheme="minorEastAsia" w:hAnsiTheme="minorHAnsi" w:cstheme="minorHAnsi"/>
          <w:b/>
          <w:bCs/>
          <w:sz w:val="22"/>
          <w:szCs w:val="22"/>
        </w:rPr>
      </w:pPr>
    </w:p>
    <w:p w14:paraId="2D78F0DE" w14:textId="031EB50A" w:rsidR="00EE65F5" w:rsidRPr="00EE65F5" w:rsidRDefault="00EE65F5" w:rsidP="7F565BF8">
      <w:pPr>
        <w:rPr>
          <w:rFonts w:asciiTheme="minorHAnsi" w:eastAsiaTheme="minorEastAsia" w:hAnsiTheme="minorHAnsi" w:cstheme="minorBidi"/>
          <w:sz w:val="22"/>
          <w:szCs w:val="22"/>
        </w:rPr>
      </w:pPr>
      <w:r w:rsidRPr="7F565BF8">
        <w:rPr>
          <w:rFonts w:asciiTheme="minorHAnsi" w:eastAsia="Calibri" w:hAnsiTheme="minorHAnsi" w:cstheme="minorBidi"/>
          <w:sz w:val="22"/>
          <w:szCs w:val="22"/>
        </w:rPr>
        <w:t>There is growing evidence that children are worried about climate change,</w:t>
      </w:r>
      <w:r w:rsidRPr="7F565BF8">
        <w:rPr>
          <w:rStyle w:val="FootnoteReference"/>
          <w:rFonts w:asciiTheme="minorHAnsi" w:eastAsia="Calibri" w:hAnsiTheme="minorHAnsi" w:cstheme="minorBidi"/>
          <w:sz w:val="22"/>
          <w:szCs w:val="22"/>
        </w:rPr>
        <w:footnoteReference w:id="19"/>
      </w:r>
      <w:r w:rsidRPr="7F565BF8">
        <w:rPr>
          <w:rFonts w:asciiTheme="minorHAnsi" w:eastAsia="Calibri" w:hAnsiTheme="minorHAnsi" w:cstheme="minorBidi"/>
          <w:sz w:val="22"/>
          <w:szCs w:val="22"/>
        </w:rPr>
        <w:t xml:space="preserve"> which itself can be a threat to mental health.</w:t>
      </w:r>
      <w:r w:rsidRPr="7F565BF8">
        <w:rPr>
          <w:rStyle w:val="FootnoteReference"/>
          <w:rFonts w:asciiTheme="minorHAnsi" w:eastAsia="Calibri" w:hAnsiTheme="minorHAnsi" w:cstheme="minorBidi"/>
          <w:sz w:val="22"/>
          <w:szCs w:val="22"/>
        </w:rPr>
        <w:footnoteReference w:id="20"/>
      </w:r>
      <w:r w:rsidRPr="7F565BF8">
        <w:rPr>
          <w:rFonts w:asciiTheme="minorHAnsi" w:eastAsia="Calibri" w:hAnsiTheme="minorHAnsi" w:cstheme="minorBidi"/>
          <w:sz w:val="22"/>
          <w:szCs w:val="22"/>
        </w:rPr>
        <w:t xml:space="preserve"> A survey of 10,000 young people aged 16-25 in ten countries found high proportions expressing concern, negative emotions, and pessimism about the future; 84% were at least moderately worried, and 45% said their worries negatively affected their daily lives.</w:t>
      </w:r>
      <w:r w:rsidRPr="7F565BF8">
        <w:rPr>
          <w:rStyle w:val="FootnoteReference"/>
          <w:rFonts w:asciiTheme="minorHAnsi" w:eastAsia="Calibri" w:hAnsiTheme="minorHAnsi" w:cstheme="minorBidi"/>
          <w:sz w:val="22"/>
          <w:szCs w:val="22"/>
        </w:rPr>
        <w:footnoteReference w:id="21"/>
      </w:r>
      <w:r w:rsidRPr="7F565BF8">
        <w:rPr>
          <w:rFonts w:asciiTheme="minorHAnsi" w:eastAsia="Calibri" w:hAnsiTheme="minorHAnsi" w:cstheme="minorBidi"/>
          <w:sz w:val="22"/>
          <w:szCs w:val="22"/>
        </w:rPr>
        <w:t xml:space="preserve"> </w:t>
      </w:r>
      <w:r w:rsidRPr="00EE65F5">
        <w:rPr>
          <w:rFonts w:asciiTheme="minorHAnsi" w:eastAsia="Calibri" w:hAnsiTheme="minorHAnsi" w:cstheme="minorHAnsi"/>
          <w:sz w:val="22"/>
          <w:szCs w:val="22"/>
          <w:vertAlign w:val="superscript"/>
        </w:rPr>
        <w:br/>
      </w:r>
      <w:r w:rsidRPr="00EE65F5">
        <w:rPr>
          <w:rFonts w:asciiTheme="minorHAnsi" w:hAnsiTheme="minorHAnsi" w:cstheme="minorHAnsi"/>
          <w:sz w:val="22"/>
          <w:szCs w:val="22"/>
        </w:rPr>
        <w:br/>
      </w:r>
      <w:r w:rsidRPr="7F565BF8">
        <w:rPr>
          <w:rFonts w:asciiTheme="minorHAnsi" w:eastAsia="Calibri" w:hAnsiTheme="minorHAnsi" w:cstheme="minorBidi"/>
          <w:sz w:val="22"/>
          <w:szCs w:val="22"/>
        </w:rPr>
        <w:t>The General Comment could reference specific conditions. For example, children exposed to higher levels of urban pollution are more likely to develop attention problems and symptoms of anxiety and depression, reduced academic performance,</w:t>
      </w:r>
      <w:r w:rsidRPr="7F565BF8">
        <w:rPr>
          <w:rStyle w:val="FootnoteReference"/>
          <w:rFonts w:asciiTheme="minorHAnsi" w:eastAsia="Calibri" w:hAnsiTheme="minorHAnsi" w:cstheme="minorBidi"/>
          <w:sz w:val="22"/>
          <w:szCs w:val="22"/>
        </w:rPr>
        <w:footnoteReference w:id="22"/>
      </w:r>
      <w:r w:rsidRPr="7F565BF8">
        <w:rPr>
          <w:rFonts w:asciiTheme="minorHAnsi" w:eastAsia="Calibri" w:hAnsiTheme="minorHAnsi" w:cstheme="minorBidi"/>
          <w:sz w:val="22"/>
          <w:szCs w:val="22"/>
        </w:rPr>
        <w:t xml:space="preserve"> and slower cognitive development.</w:t>
      </w:r>
      <w:r w:rsidRPr="7F565BF8">
        <w:rPr>
          <w:rStyle w:val="FootnoteReference"/>
          <w:rFonts w:asciiTheme="minorHAnsi" w:eastAsia="Calibri" w:hAnsiTheme="minorHAnsi" w:cstheme="minorBidi"/>
          <w:sz w:val="22"/>
          <w:szCs w:val="22"/>
        </w:rPr>
        <w:footnoteReference w:id="23"/>
      </w:r>
      <w:r w:rsidRPr="7F565BF8">
        <w:rPr>
          <w:rFonts w:asciiTheme="minorHAnsi" w:eastAsia="Calibri" w:hAnsiTheme="minorHAnsi" w:cstheme="minorBidi"/>
          <w:sz w:val="22"/>
          <w:szCs w:val="22"/>
        </w:rPr>
        <w:t xml:space="preserve"> </w:t>
      </w:r>
    </w:p>
    <w:p w14:paraId="13BD40EE" w14:textId="2AE8D650" w:rsidR="00EE65F5" w:rsidRDefault="00EE65F5" w:rsidP="7F565BF8">
      <w:pPr>
        <w:spacing w:line="257" w:lineRule="auto"/>
        <w:rPr>
          <w:rFonts w:asciiTheme="minorHAnsi" w:eastAsia="Calibri" w:hAnsiTheme="minorHAnsi" w:cstheme="minorBidi"/>
          <w:sz w:val="22"/>
          <w:szCs w:val="22"/>
        </w:rPr>
      </w:pPr>
      <w:r w:rsidRPr="7F565BF8">
        <w:rPr>
          <w:rFonts w:asciiTheme="minorHAnsi" w:eastAsia="Calibri" w:hAnsiTheme="minorHAnsi" w:cstheme="minorBidi"/>
          <w:sz w:val="22"/>
          <w:szCs w:val="22"/>
        </w:rPr>
        <w:lastRenderedPageBreak/>
        <w:t xml:space="preserve">Climate impacts may </w:t>
      </w:r>
      <w:r w:rsidR="008C73AB" w:rsidRPr="7F565BF8">
        <w:rPr>
          <w:rFonts w:asciiTheme="minorHAnsi" w:eastAsia="Calibri" w:hAnsiTheme="minorHAnsi" w:cstheme="minorBidi"/>
          <w:sz w:val="22"/>
          <w:szCs w:val="22"/>
        </w:rPr>
        <w:t>affect</w:t>
      </w:r>
      <w:r w:rsidRPr="7F565BF8">
        <w:rPr>
          <w:rFonts w:asciiTheme="minorHAnsi" w:eastAsia="Calibri" w:hAnsiTheme="minorHAnsi" w:cstheme="minorBidi"/>
          <w:sz w:val="22"/>
          <w:szCs w:val="22"/>
        </w:rPr>
        <w:t xml:space="preserve"> the developmental potential and trajectory of </w:t>
      </w:r>
      <w:r w:rsidR="00B74DED">
        <w:rPr>
          <w:rFonts w:asciiTheme="minorHAnsi" w:eastAsia="Calibri" w:hAnsiTheme="minorHAnsi" w:cstheme="minorBidi"/>
          <w:sz w:val="22"/>
          <w:szCs w:val="22"/>
        </w:rPr>
        <w:t>children</w:t>
      </w:r>
      <w:r w:rsidRPr="7F565BF8">
        <w:rPr>
          <w:rFonts w:asciiTheme="minorHAnsi" w:eastAsia="Calibri" w:hAnsiTheme="minorHAnsi" w:cstheme="minorBidi"/>
          <w:sz w:val="22"/>
          <w:szCs w:val="22"/>
        </w:rPr>
        <w:t>. Research documents that high levels of adversity and stress during childhood, which is associated with experiencing a natural disaster or displacement, can affect the development of neural pathways in ways that impair memory, executive function, and decision-making in later life.</w:t>
      </w:r>
      <w:r w:rsidRPr="7F565BF8">
        <w:rPr>
          <w:rStyle w:val="FootnoteReference"/>
          <w:rFonts w:asciiTheme="minorHAnsi" w:eastAsia="Calibri" w:hAnsiTheme="minorHAnsi" w:cstheme="minorBidi"/>
          <w:sz w:val="22"/>
          <w:szCs w:val="22"/>
        </w:rPr>
        <w:footnoteReference w:id="24"/>
      </w:r>
      <w:r w:rsidRPr="7F565BF8">
        <w:rPr>
          <w:rFonts w:asciiTheme="minorHAnsi" w:hAnsiTheme="minorHAnsi" w:cstheme="minorBidi"/>
          <w:sz w:val="22"/>
          <w:szCs w:val="22"/>
        </w:rPr>
        <w:t xml:space="preserve"> </w:t>
      </w:r>
      <w:r w:rsidRPr="7F565BF8">
        <w:rPr>
          <w:rFonts w:asciiTheme="minorHAnsi" w:eastAsia="Calibri" w:hAnsiTheme="minorHAnsi" w:cstheme="minorBidi"/>
          <w:sz w:val="22"/>
          <w:szCs w:val="22"/>
        </w:rPr>
        <w:t>One study found that experiencing an extreme weather event before age five resulted in higher levels of anxiety and depression among adults.</w:t>
      </w:r>
      <w:r w:rsidRPr="7F565BF8">
        <w:rPr>
          <w:rStyle w:val="FootnoteReference"/>
          <w:rFonts w:asciiTheme="minorHAnsi" w:eastAsia="Calibri" w:hAnsiTheme="minorHAnsi" w:cstheme="minorBidi"/>
          <w:sz w:val="22"/>
          <w:szCs w:val="22"/>
        </w:rPr>
        <w:footnoteReference w:id="25"/>
      </w:r>
      <w:r w:rsidRPr="7F565BF8">
        <w:rPr>
          <w:rFonts w:asciiTheme="minorHAnsi" w:eastAsia="Calibri" w:hAnsiTheme="minorHAnsi" w:cstheme="minorBidi"/>
          <w:sz w:val="22"/>
          <w:szCs w:val="22"/>
        </w:rPr>
        <w:t xml:space="preserve"> </w:t>
      </w:r>
    </w:p>
    <w:p w14:paraId="61DB0D84" w14:textId="77777777" w:rsidR="00EE65F5" w:rsidRPr="00EE65F5" w:rsidRDefault="00EE65F5" w:rsidP="00EE65F5">
      <w:pPr>
        <w:rPr>
          <w:rFonts w:asciiTheme="minorHAnsi" w:eastAsia="Calibri" w:hAnsiTheme="minorHAnsi" w:cstheme="minorHAnsi"/>
          <w:b/>
          <w:bCs/>
          <w:sz w:val="22"/>
          <w:szCs w:val="22"/>
        </w:rPr>
      </w:pPr>
    </w:p>
    <w:p w14:paraId="7416B9ED" w14:textId="59AC3314" w:rsidR="009E69C4" w:rsidRDefault="009E69C4" w:rsidP="00EE65F5">
      <w:pPr>
        <w:rPr>
          <w:rFonts w:asciiTheme="minorHAnsi" w:eastAsia="Calibri" w:hAnsiTheme="minorHAnsi" w:cstheme="minorHAnsi"/>
          <w:sz w:val="22"/>
          <w:szCs w:val="22"/>
        </w:rPr>
      </w:pPr>
      <w:r>
        <w:rPr>
          <w:rFonts w:asciiTheme="minorHAnsi" w:eastAsia="Calibri" w:hAnsiTheme="minorHAnsi" w:cstheme="minorHAnsi"/>
          <w:b/>
          <w:bCs/>
          <w:sz w:val="22"/>
          <w:szCs w:val="22"/>
        </w:rPr>
        <w:t xml:space="preserve">Subsection D: The right to adequate standard of </w:t>
      </w:r>
      <w:r w:rsidRPr="001A001D">
        <w:rPr>
          <w:rFonts w:asciiTheme="minorHAnsi" w:eastAsia="Calibri" w:hAnsiTheme="minorHAnsi" w:cstheme="minorHAnsi"/>
          <w:b/>
          <w:bCs/>
          <w:sz w:val="22"/>
          <w:szCs w:val="22"/>
        </w:rPr>
        <w:t>living:</w:t>
      </w:r>
      <w:r w:rsidR="003D7F69" w:rsidRPr="001A001D">
        <w:rPr>
          <w:rFonts w:asciiTheme="minorHAnsi" w:eastAsia="Calibri" w:hAnsiTheme="minorHAnsi" w:cstheme="minorHAnsi"/>
          <w:b/>
          <w:bCs/>
          <w:sz w:val="22"/>
          <w:szCs w:val="22"/>
        </w:rPr>
        <w:t xml:space="preserve"> “44. In situations of cross-border displacement and migration linked to climate- and environment-related events, the Committee underlines the importance of international cooperation and the States’ obligation to undertake all appropriate legislative, administrative and other measures to ensure the rights under the Convention to all children withing their jurisdiction without discrimination.”</w:t>
      </w:r>
    </w:p>
    <w:p w14:paraId="12762821" w14:textId="3931BD30" w:rsidR="003D7F69" w:rsidRDefault="003D7F69" w:rsidP="00EE65F5">
      <w:pPr>
        <w:rPr>
          <w:rFonts w:asciiTheme="minorHAnsi" w:eastAsia="Calibri" w:hAnsiTheme="minorHAnsi" w:cstheme="minorHAnsi"/>
          <w:sz w:val="22"/>
          <w:szCs w:val="22"/>
        </w:rPr>
      </w:pPr>
    </w:p>
    <w:p w14:paraId="4433AF42" w14:textId="5A649766" w:rsidR="003D7F69" w:rsidRPr="003D7F69" w:rsidRDefault="003D7F69" w:rsidP="00EE65F5">
      <w:pPr>
        <w:rPr>
          <w:rFonts w:asciiTheme="minorHAnsi" w:eastAsia="Calibri" w:hAnsiTheme="minorHAnsi" w:cstheme="minorHAnsi"/>
          <w:b/>
          <w:bCs/>
          <w:i/>
          <w:iCs/>
          <w:sz w:val="22"/>
          <w:szCs w:val="22"/>
        </w:rPr>
      </w:pPr>
      <w:r>
        <w:rPr>
          <w:rFonts w:asciiTheme="minorHAnsi" w:eastAsia="Calibri" w:hAnsiTheme="minorHAnsi" w:cstheme="minorHAnsi"/>
          <w:b/>
          <w:bCs/>
          <w:i/>
          <w:iCs/>
          <w:sz w:val="22"/>
          <w:szCs w:val="22"/>
        </w:rPr>
        <w:t>We recommend that Section III, Subsection D</w:t>
      </w:r>
      <w:r w:rsidR="001A001D">
        <w:rPr>
          <w:rFonts w:asciiTheme="minorHAnsi" w:eastAsia="Calibri" w:hAnsiTheme="minorHAnsi" w:cstheme="minorHAnsi"/>
          <w:b/>
          <w:bCs/>
          <w:i/>
          <w:iCs/>
          <w:sz w:val="22"/>
          <w:szCs w:val="22"/>
        </w:rPr>
        <w:t>, Paragraph 24,</w:t>
      </w:r>
      <w:r>
        <w:rPr>
          <w:rFonts w:asciiTheme="minorHAnsi" w:eastAsia="Calibri" w:hAnsiTheme="minorHAnsi" w:cstheme="minorHAnsi"/>
          <w:b/>
          <w:bCs/>
          <w:i/>
          <w:iCs/>
          <w:sz w:val="22"/>
          <w:szCs w:val="22"/>
        </w:rPr>
        <w:t xml:space="preserve"> emphasize the risks to mental health and intergroup relations posed by climate-related migration.</w:t>
      </w:r>
    </w:p>
    <w:p w14:paraId="10A07F64" w14:textId="6837F763" w:rsidR="009E69C4" w:rsidRDefault="009E69C4" w:rsidP="00EE65F5">
      <w:pPr>
        <w:rPr>
          <w:rFonts w:asciiTheme="minorHAnsi" w:eastAsia="Calibri" w:hAnsiTheme="minorHAnsi" w:cstheme="minorHAnsi"/>
          <w:sz w:val="22"/>
          <w:szCs w:val="22"/>
        </w:rPr>
      </w:pPr>
    </w:p>
    <w:p w14:paraId="5643B757" w14:textId="3181AACC" w:rsidR="00EE65F5" w:rsidRDefault="00EE65F5" w:rsidP="00EE65F5">
      <w:pPr>
        <w:rPr>
          <w:rFonts w:asciiTheme="minorHAnsi" w:eastAsia="Calibri" w:hAnsiTheme="minorHAnsi" w:cstheme="minorHAnsi"/>
          <w:sz w:val="22"/>
          <w:szCs w:val="22"/>
        </w:rPr>
      </w:pPr>
      <w:r w:rsidRPr="00EE65F5">
        <w:rPr>
          <w:rFonts w:asciiTheme="minorHAnsi" w:eastAsia="Calibri" w:hAnsiTheme="minorHAnsi" w:cstheme="minorHAnsi"/>
          <w:sz w:val="22"/>
          <w:szCs w:val="22"/>
        </w:rPr>
        <w:t>APA applauds the Committee for recognizing the risk posed to children’s rights by climate-related displacement and migration. We note that individuals undergoing these experiences may suffer loss or alteration of identity, autonomy, or sense of control.</w:t>
      </w:r>
      <w:r w:rsidRPr="00EE65F5">
        <w:rPr>
          <w:rStyle w:val="FootnoteReference"/>
          <w:rFonts w:asciiTheme="minorHAnsi" w:eastAsia="Calibri" w:hAnsiTheme="minorHAnsi" w:cstheme="minorHAnsi"/>
          <w:sz w:val="22"/>
          <w:szCs w:val="22"/>
        </w:rPr>
        <w:footnoteReference w:id="26"/>
      </w:r>
      <w:r w:rsidRPr="00EE65F5">
        <w:rPr>
          <w:rFonts w:asciiTheme="minorHAnsi" w:eastAsia="Calibri" w:hAnsiTheme="minorHAnsi" w:cstheme="minorHAnsi"/>
          <w:sz w:val="22"/>
          <w:szCs w:val="22"/>
        </w:rPr>
        <w:t xml:space="preserve"> </w:t>
      </w:r>
      <w:r w:rsidRPr="00EE65F5">
        <w:rPr>
          <w:rFonts w:asciiTheme="minorHAnsi" w:hAnsiTheme="minorHAnsi" w:cstheme="minorHAnsi"/>
          <w:color w:val="000000"/>
          <w:sz w:val="22"/>
          <w:szCs w:val="22"/>
        </w:rPr>
        <w:t>The loss of the family unit leaves children at increased risk for abuse and exploitation.</w:t>
      </w:r>
      <w:r w:rsidRPr="00EE65F5">
        <w:rPr>
          <w:rStyle w:val="FootnoteReference"/>
          <w:rFonts w:asciiTheme="minorHAnsi" w:hAnsiTheme="minorHAnsi" w:cstheme="minorHAnsi"/>
          <w:color w:val="000000"/>
          <w:sz w:val="22"/>
          <w:szCs w:val="22"/>
        </w:rPr>
        <w:footnoteReference w:id="27"/>
      </w:r>
      <w:r w:rsidRPr="00EE65F5">
        <w:rPr>
          <w:rFonts w:asciiTheme="minorHAnsi" w:eastAsia="Calibri" w:hAnsiTheme="minorHAnsi" w:cstheme="minorHAnsi"/>
          <w:sz w:val="22"/>
          <w:szCs w:val="22"/>
        </w:rPr>
        <w:t xml:space="preserve"> Further, households, social networks, and communities may see a deleterious impact on cohesiveness and functioning. Communities impacted by major disasters or loss/degradation of homelands are at risk of being collectively traumatized. Many of these impacts threaten human rights as defined by the Universal Declaration of Human Rights and other international agreements, including rights concerning life, health, and culture.</w:t>
      </w:r>
      <w:r w:rsidRPr="00EE65F5">
        <w:rPr>
          <w:rStyle w:val="FootnoteReference"/>
          <w:rFonts w:asciiTheme="minorHAnsi" w:eastAsia="Calibri" w:hAnsiTheme="minorHAnsi" w:cstheme="minorHAnsi"/>
          <w:sz w:val="22"/>
          <w:szCs w:val="22"/>
        </w:rPr>
        <w:footnoteReference w:id="28"/>
      </w:r>
      <w:r w:rsidRPr="00EE65F5">
        <w:rPr>
          <w:rFonts w:asciiTheme="minorHAnsi" w:eastAsia="Calibri" w:hAnsiTheme="minorHAnsi" w:cstheme="minorHAnsi"/>
          <w:sz w:val="22"/>
          <w:szCs w:val="22"/>
        </w:rPr>
        <w:t xml:space="preserve"> Migration also disrupts children’s learning and school-based education opportunities, which can be sources of stability in their lives.</w:t>
      </w:r>
      <w:r w:rsidRPr="00EE65F5">
        <w:rPr>
          <w:rStyle w:val="FootnoteReference"/>
          <w:rFonts w:asciiTheme="minorHAnsi" w:eastAsia="Calibri" w:hAnsiTheme="minorHAnsi" w:cstheme="minorHAnsi"/>
          <w:sz w:val="22"/>
          <w:szCs w:val="22"/>
        </w:rPr>
        <w:footnoteReference w:id="29"/>
      </w:r>
      <w:r w:rsidRPr="00EE65F5">
        <w:rPr>
          <w:rFonts w:asciiTheme="minorHAnsi" w:eastAsia="Calibri" w:hAnsiTheme="minorHAnsi" w:cstheme="minorHAnsi"/>
          <w:sz w:val="22"/>
          <w:szCs w:val="22"/>
        </w:rPr>
        <w:t xml:space="preserve"> </w:t>
      </w:r>
    </w:p>
    <w:p w14:paraId="16511DA1" w14:textId="77777777" w:rsidR="00AB44A5" w:rsidRPr="00EE65F5" w:rsidRDefault="00AB44A5" w:rsidP="00EE65F5">
      <w:pPr>
        <w:rPr>
          <w:rFonts w:asciiTheme="minorHAnsi" w:eastAsia="Calibri" w:hAnsiTheme="minorHAnsi" w:cstheme="minorHAnsi"/>
          <w:sz w:val="22"/>
          <w:szCs w:val="22"/>
        </w:rPr>
      </w:pPr>
    </w:p>
    <w:p w14:paraId="7EDD67F5" w14:textId="77777777" w:rsidR="00EE65F5" w:rsidRPr="00EE65F5" w:rsidRDefault="00EE65F5" w:rsidP="00EE65F5">
      <w:pPr>
        <w:rPr>
          <w:rFonts w:asciiTheme="minorHAnsi" w:eastAsia="Calibri" w:hAnsiTheme="minorHAnsi" w:cstheme="minorHAnsi"/>
          <w:color w:val="000000" w:themeColor="text1"/>
          <w:sz w:val="22"/>
          <w:szCs w:val="22"/>
        </w:rPr>
      </w:pPr>
      <w:r w:rsidRPr="00EE65F5">
        <w:rPr>
          <w:rFonts w:asciiTheme="minorHAnsi" w:eastAsia="Calibri" w:hAnsiTheme="minorHAnsi" w:cstheme="minorHAnsi"/>
          <w:sz w:val="22"/>
          <w:szCs w:val="22"/>
        </w:rPr>
        <w:lastRenderedPageBreak/>
        <w:t>Additionally, t</w:t>
      </w:r>
      <w:r w:rsidRPr="00EE65F5">
        <w:rPr>
          <w:rFonts w:asciiTheme="minorHAnsi" w:eastAsia="Calibri" w:hAnsiTheme="minorHAnsi" w:cstheme="minorHAnsi"/>
          <w:color w:val="000000" w:themeColor="text1"/>
          <w:sz w:val="22"/>
          <w:szCs w:val="22"/>
        </w:rPr>
        <w:t>he social and economic instability brought about by climate change migration activates people’s need to protect their groups and ideologies,</w:t>
      </w:r>
      <w:r w:rsidRPr="00EE65F5">
        <w:rPr>
          <w:rStyle w:val="FootnoteReference"/>
          <w:rFonts w:asciiTheme="minorHAnsi" w:eastAsia="Calibri" w:hAnsiTheme="minorHAnsi" w:cstheme="minorHAnsi"/>
          <w:color w:val="000000" w:themeColor="text1"/>
          <w:sz w:val="22"/>
          <w:szCs w:val="22"/>
        </w:rPr>
        <w:footnoteReference w:id="30"/>
      </w:r>
      <w:r w:rsidRPr="00EE65F5">
        <w:rPr>
          <w:rFonts w:asciiTheme="minorHAnsi" w:eastAsia="Calibri" w:hAnsiTheme="minorHAnsi" w:cstheme="minorHAnsi"/>
          <w:color w:val="000000" w:themeColor="text1"/>
          <w:sz w:val="22"/>
          <w:szCs w:val="22"/>
        </w:rPr>
        <w:t xml:space="preserve"> potentially contributing to prejudice, discrimination, and violence against out-groups,</w:t>
      </w:r>
      <w:r w:rsidRPr="00EE65F5">
        <w:rPr>
          <w:rStyle w:val="FootnoteReference"/>
          <w:rFonts w:asciiTheme="minorHAnsi" w:eastAsia="Calibri" w:hAnsiTheme="minorHAnsi" w:cstheme="minorHAnsi"/>
          <w:color w:val="000000" w:themeColor="text1"/>
          <w:sz w:val="22"/>
          <w:szCs w:val="22"/>
        </w:rPr>
        <w:footnoteReference w:id="31"/>
      </w:r>
      <w:r w:rsidRPr="00EE65F5">
        <w:rPr>
          <w:rFonts w:asciiTheme="minorHAnsi" w:eastAsia="Calibri" w:hAnsiTheme="minorHAnsi" w:cstheme="minorHAnsi"/>
          <w:color w:val="000000" w:themeColor="text1"/>
          <w:sz w:val="22"/>
          <w:szCs w:val="22"/>
        </w:rPr>
        <w:t xml:space="preserve"> including children. These effects of climate change have already contributed to wide-scale unrest around the globe. </w:t>
      </w:r>
    </w:p>
    <w:p w14:paraId="151DCD74" w14:textId="00551FA1" w:rsidR="00EE65F5" w:rsidRPr="00156AF2" w:rsidRDefault="00EE65F5" w:rsidP="008D444B">
      <w:pPr>
        <w:spacing w:line="257" w:lineRule="auto"/>
        <w:rPr>
          <w:rFonts w:asciiTheme="minorHAnsi" w:eastAsia="Calibri" w:hAnsiTheme="minorHAnsi" w:cstheme="minorHAnsi"/>
          <w:b/>
          <w:bCs/>
          <w:i/>
          <w:iCs/>
          <w:sz w:val="22"/>
          <w:szCs w:val="22"/>
        </w:rPr>
      </w:pPr>
    </w:p>
    <w:p w14:paraId="1A9A0C03" w14:textId="77777777" w:rsidR="004575B7" w:rsidRPr="00EE65F5" w:rsidRDefault="004575B7" w:rsidP="00EE65F5">
      <w:pPr>
        <w:rPr>
          <w:rFonts w:asciiTheme="minorHAnsi" w:eastAsia="Calibri" w:hAnsiTheme="minorHAnsi" w:cstheme="minorHAnsi"/>
          <w:b/>
          <w:bCs/>
          <w:sz w:val="22"/>
          <w:szCs w:val="22"/>
        </w:rPr>
      </w:pPr>
    </w:p>
    <w:p w14:paraId="1545330B" w14:textId="6BFC1530" w:rsidR="004575B7" w:rsidRPr="00783DF3" w:rsidRDefault="004575B7" w:rsidP="00783DF3">
      <w:pPr>
        <w:spacing w:line="257" w:lineRule="auto"/>
        <w:jc w:val="center"/>
        <w:rPr>
          <w:rFonts w:asciiTheme="minorHAnsi" w:eastAsia="Calibri" w:hAnsiTheme="minorHAnsi" w:cstheme="minorHAnsi"/>
          <w:b/>
          <w:bCs/>
          <w:sz w:val="22"/>
          <w:szCs w:val="22"/>
        </w:rPr>
      </w:pPr>
      <w:r w:rsidRPr="00783DF3">
        <w:rPr>
          <w:rFonts w:asciiTheme="minorHAnsi" w:eastAsia="Calibri" w:hAnsiTheme="minorHAnsi" w:cstheme="minorHAnsi"/>
          <w:b/>
          <w:bCs/>
          <w:sz w:val="22"/>
          <w:szCs w:val="22"/>
        </w:rPr>
        <w:t>Section V – General obligations of States</w:t>
      </w:r>
    </w:p>
    <w:p w14:paraId="40C5BE2F" w14:textId="4BF1C561" w:rsidR="004575B7" w:rsidRDefault="004575B7" w:rsidP="00EE65F5">
      <w:pPr>
        <w:spacing w:line="257" w:lineRule="auto"/>
        <w:rPr>
          <w:rFonts w:asciiTheme="minorHAnsi" w:eastAsia="Calibri" w:hAnsiTheme="minorHAnsi" w:cstheme="minorHAnsi"/>
          <w:sz w:val="22"/>
          <w:szCs w:val="22"/>
        </w:rPr>
      </w:pPr>
    </w:p>
    <w:p w14:paraId="152DF701" w14:textId="6D842E6E" w:rsidR="004575B7" w:rsidRDefault="004575B7" w:rsidP="00EE65F5">
      <w:pPr>
        <w:spacing w:line="257" w:lineRule="auto"/>
        <w:rPr>
          <w:rFonts w:asciiTheme="minorHAnsi" w:eastAsia="Calibri" w:hAnsiTheme="minorHAnsi" w:cstheme="minorHAnsi"/>
          <w:sz w:val="22"/>
          <w:szCs w:val="22"/>
        </w:rPr>
      </w:pPr>
      <w:r w:rsidRPr="00783DF3">
        <w:rPr>
          <w:rFonts w:asciiTheme="minorHAnsi" w:eastAsia="Calibri" w:hAnsiTheme="minorHAnsi" w:cstheme="minorHAnsi"/>
          <w:b/>
          <w:bCs/>
          <w:sz w:val="22"/>
          <w:szCs w:val="22"/>
        </w:rPr>
        <w:t xml:space="preserve">Subsection A: The obligation to respect, protect, and </w:t>
      </w:r>
      <w:r w:rsidRPr="001A001D">
        <w:rPr>
          <w:rFonts w:asciiTheme="minorHAnsi" w:eastAsia="Calibri" w:hAnsiTheme="minorHAnsi" w:cstheme="minorHAnsi"/>
          <w:b/>
          <w:bCs/>
          <w:sz w:val="22"/>
          <w:szCs w:val="22"/>
        </w:rPr>
        <w:t>fulfill: “</w:t>
      </w:r>
      <w:r w:rsidR="00783DF3" w:rsidRPr="001A001D">
        <w:rPr>
          <w:rFonts w:asciiTheme="minorHAnsi" w:eastAsia="Calibri" w:hAnsiTheme="minorHAnsi" w:cstheme="minorHAnsi"/>
          <w:b/>
          <w:bCs/>
          <w:sz w:val="22"/>
          <w:szCs w:val="22"/>
        </w:rPr>
        <w:t xml:space="preserve">81. States should use platforms at all levels </w:t>
      </w:r>
      <w:r w:rsidR="008D444B" w:rsidRPr="001A001D">
        <w:rPr>
          <w:rFonts w:asciiTheme="minorHAnsi" w:eastAsia="Calibri" w:hAnsiTheme="minorHAnsi" w:cstheme="minorHAnsi"/>
          <w:b/>
          <w:bCs/>
          <w:sz w:val="22"/>
          <w:szCs w:val="22"/>
        </w:rPr>
        <w:t>t</w:t>
      </w:r>
      <w:r w:rsidR="00783DF3" w:rsidRPr="001A001D">
        <w:rPr>
          <w:rFonts w:asciiTheme="minorHAnsi" w:eastAsia="Calibri" w:hAnsiTheme="minorHAnsi" w:cstheme="minorHAnsi"/>
          <w:b/>
          <w:bCs/>
          <w:sz w:val="22"/>
          <w:szCs w:val="22"/>
        </w:rPr>
        <w:t>o collect and process data with respect to environment-related specifics on children’s rights. States should ensure the collection of reliable and regularly updated and disaggregated data and research on environmental harms, including risks and actual impacts of climate-related harm on children’s rights. They should include longitudinal data on the effects of environmental harm on children’s health and development at different ages. Such data and research should inform the formulation and evaluation of environmental legislation, policies, programmes and plans at all levels, and should be made publicly available.”</w:t>
      </w:r>
    </w:p>
    <w:p w14:paraId="02F62761" w14:textId="20246A1E" w:rsidR="008D444B" w:rsidRDefault="008D444B" w:rsidP="00EE65F5">
      <w:pPr>
        <w:spacing w:line="257" w:lineRule="auto"/>
        <w:rPr>
          <w:rFonts w:asciiTheme="minorHAnsi" w:eastAsia="Calibri" w:hAnsiTheme="minorHAnsi" w:cstheme="minorHAnsi"/>
          <w:sz w:val="22"/>
          <w:szCs w:val="22"/>
        </w:rPr>
      </w:pPr>
    </w:p>
    <w:p w14:paraId="3007CC5A" w14:textId="188EAE1D" w:rsidR="008D444B" w:rsidRPr="008D444B" w:rsidRDefault="008D444B" w:rsidP="00EE65F5">
      <w:pPr>
        <w:spacing w:line="257" w:lineRule="auto"/>
        <w:rPr>
          <w:rFonts w:asciiTheme="minorHAnsi" w:eastAsia="Calibri" w:hAnsiTheme="minorHAnsi" w:cstheme="minorHAnsi"/>
          <w:b/>
          <w:bCs/>
          <w:i/>
          <w:iCs/>
          <w:sz w:val="22"/>
          <w:szCs w:val="22"/>
        </w:rPr>
      </w:pPr>
      <w:r>
        <w:rPr>
          <w:rFonts w:asciiTheme="minorHAnsi" w:eastAsia="Calibri" w:hAnsiTheme="minorHAnsi" w:cstheme="minorHAnsi"/>
          <w:b/>
          <w:bCs/>
          <w:i/>
          <w:iCs/>
          <w:sz w:val="22"/>
          <w:szCs w:val="22"/>
        </w:rPr>
        <w:t>We recommend that Section V, Subsection A</w:t>
      </w:r>
      <w:r w:rsidR="001A001D">
        <w:rPr>
          <w:rFonts w:asciiTheme="minorHAnsi" w:eastAsia="Calibri" w:hAnsiTheme="minorHAnsi" w:cstheme="minorHAnsi"/>
          <w:b/>
          <w:bCs/>
          <w:i/>
          <w:iCs/>
          <w:sz w:val="22"/>
          <w:szCs w:val="22"/>
        </w:rPr>
        <w:t>, Paragraph 81,</w:t>
      </w:r>
      <w:r>
        <w:rPr>
          <w:rFonts w:asciiTheme="minorHAnsi" w:eastAsia="Calibri" w:hAnsiTheme="minorHAnsi" w:cstheme="minorHAnsi"/>
          <w:b/>
          <w:bCs/>
          <w:i/>
          <w:iCs/>
          <w:sz w:val="22"/>
          <w:szCs w:val="22"/>
        </w:rPr>
        <w:t xml:space="preserve"> go into further detail on the type of data collection necessary to ensure that States are able to track and address the harms of climate change on children.</w:t>
      </w:r>
    </w:p>
    <w:p w14:paraId="4CE0E88C" w14:textId="77777777" w:rsidR="004575B7" w:rsidRDefault="004575B7" w:rsidP="00EE65F5">
      <w:pPr>
        <w:spacing w:line="257" w:lineRule="auto"/>
        <w:rPr>
          <w:rFonts w:asciiTheme="minorHAnsi" w:eastAsia="Calibri" w:hAnsiTheme="minorHAnsi" w:cstheme="minorHAnsi"/>
          <w:sz w:val="22"/>
          <w:szCs w:val="22"/>
        </w:rPr>
      </w:pPr>
    </w:p>
    <w:p w14:paraId="335F8986" w14:textId="4301B330" w:rsidR="00EE65F5" w:rsidRDefault="00EE65F5" w:rsidP="00EE65F5">
      <w:pPr>
        <w:spacing w:line="257" w:lineRule="auto"/>
        <w:rPr>
          <w:rFonts w:asciiTheme="minorHAnsi" w:eastAsia="Calibri" w:hAnsiTheme="minorHAnsi" w:cstheme="minorHAnsi"/>
          <w:sz w:val="22"/>
          <w:szCs w:val="22"/>
        </w:rPr>
      </w:pPr>
      <w:r w:rsidRPr="00EE65F5">
        <w:rPr>
          <w:rFonts w:asciiTheme="minorHAnsi" w:eastAsia="Calibri" w:hAnsiTheme="minorHAnsi" w:cstheme="minorHAnsi"/>
          <w:sz w:val="22"/>
          <w:szCs w:val="22"/>
        </w:rPr>
        <w:t xml:space="preserve">APA appreciates the emphasis on data to inform and evaluate environment-related policies, </w:t>
      </w:r>
      <w:r w:rsidR="007E04F8">
        <w:rPr>
          <w:rFonts w:asciiTheme="minorHAnsi" w:eastAsia="Calibri" w:hAnsiTheme="minorHAnsi" w:cstheme="minorHAnsi"/>
          <w:sz w:val="22"/>
          <w:szCs w:val="22"/>
        </w:rPr>
        <w:t xml:space="preserve">and </w:t>
      </w:r>
      <w:r w:rsidRPr="00EE65F5">
        <w:rPr>
          <w:rFonts w:asciiTheme="minorHAnsi" w:eastAsia="Calibri" w:hAnsiTheme="minorHAnsi" w:cstheme="minorHAnsi"/>
          <w:sz w:val="22"/>
          <w:szCs w:val="22"/>
        </w:rPr>
        <w:t>programs</w:t>
      </w:r>
      <w:r w:rsidR="007E04F8">
        <w:rPr>
          <w:rFonts w:asciiTheme="minorHAnsi" w:eastAsia="Calibri" w:hAnsiTheme="minorHAnsi" w:cstheme="minorHAnsi"/>
          <w:sz w:val="22"/>
          <w:szCs w:val="22"/>
        </w:rPr>
        <w:t xml:space="preserve"> </w:t>
      </w:r>
      <w:r w:rsidRPr="00EE65F5">
        <w:rPr>
          <w:rFonts w:asciiTheme="minorHAnsi" w:eastAsia="Calibri" w:hAnsiTheme="minorHAnsi" w:cstheme="minorHAnsi"/>
          <w:sz w:val="22"/>
          <w:szCs w:val="22"/>
        </w:rPr>
        <w:t>that affect children. We acknowledge the paucity of good data on climate harms generally</w:t>
      </w:r>
      <w:r w:rsidRPr="00EE65F5">
        <w:rPr>
          <w:rStyle w:val="FootnoteReference"/>
          <w:rFonts w:asciiTheme="minorHAnsi" w:eastAsia="Calibri" w:hAnsiTheme="minorHAnsi" w:cstheme="minorHAnsi"/>
          <w:sz w:val="22"/>
          <w:szCs w:val="22"/>
        </w:rPr>
        <w:footnoteReference w:id="32"/>
      </w:r>
      <w:r w:rsidRPr="00EE65F5">
        <w:rPr>
          <w:rFonts w:asciiTheme="minorHAnsi" w:eastAsia="Calibri" w:hAnsiTheme="minorHAnsi" w:cstheme="minorHAnsi"/>
          <w:sz w:val="22"/>
          <w:szCs w:val="22"/>
        </w:rPr>
        <w:t xml:space="preserve"> and related to children in particular.</w:t>
      </w:r>
      <w:r w:rsidRPr="00EE65F5">
        <w:rPr>
          <w:rStyle w:val="FootnoteReference"/>
          <w:rFonts w:asciiTheme="minorHAnsi" w:eastAsia="Calibri" w:hAnsiTheme="minorHAnsi" w:cstheme="minorHAnsi"/>
          <w:sz w:val="22"/>
          <w:szCs w:val="22"/>
        </w:rPr>
        <w:footnoteReference w:id="33"/>
      </w:r>
      <w:r w:rsidRPr="00EE65F5">
        <w:rPr>
          <w:rFonts w:asciiTheme="minorHAnsi" w:eastAsia="Calibri" w:hAnsiTheme="minorHAnsi" w:cstheme="minorHAnsi"/>
          <w:sz w:val="22"/>
          <w:szCs w:val="22"/>
        </w:rPr>
        <w:t xml:space="preserve"> </w:t>
      </w:r>
    </w:p>
    <w:p w14:paraId="1DCE93F0" w14:textId="77777777" w:rsidR="00F30C33" w:rsidRPr="00EE65F5" w:rsidRDefault="00F30C33" w:rsidP="00EE65F5">
      <w:pPr>
        <w:spacing w:line="257" w:lineRule="auto"/>
        <w:rPr>
          <w:rFonts w:asciiTheme="minorHAnsi" w:hAnsiTheme="minorHAnsi" w:cstheme="minorHAnsi"/>
          <w:sz w:val="22"/>
          <w:szCs w:val="22"/>
        </w:rPr>
      </w:pPr>
    </w:p>
    <w:p w14:paraId="732B9DDD" w14:textId="3FE71AA6" w:rsidR="00EE65F5" w:rsidRDefault="00EE65F5" w:rsidP="00EE65F5">
      <w:pPr>
        <w:spacing w:line="257" w:lineRule="auto"/>
        <w:rPr>
          <w:rFonts w:asciiTheme="minorHAnsi" w:eastAsia="Calibri" w:hAnsiTheme="minorHAnsi" w:cstheme="minorHAnsi"/>
          <w:sz w:val="22"/>
          <w:szCs w:val="22"/>
        </w:rPr>
      </w:pPr>
      <w:r w:rsidRPr="00EE65F5">
        <w:rPr>
          <w:rFonts w:asciiTheme="minorHAnsi" w:eastAsia="Calibri" w:hAnsiTheme="minorHAnsi" w:cstheme="minorHAnsi"/>
          <w:sz w:val="22"/>
          <w:szCs w:val="22"/>
        </w:rPr>
        <w:t>Building on an ecological systems framework,</w:t>
      </w:r>
      <w:r w:rsidRPr="00EE65F5">
        <w:rPr>
          <w:rStyle w:val="FootnoteReference"/>
          <w:rFonts w:asciiTheme="minorHAnsi" w:eastAsia="Calibri" w:hAnsiTheme="minorHAnsi" w:cstheme="minorHAnsi"/>
          <w:sz w:val="22"/>
          <w:szCs w:val="22"/>
        </w:rPr>
        <w:footnoteReference w:id="34"/>
      </w:r>
      <w:r w:rsidRPr="00EE65F5">
        <w:rPr>
          <w:rFonts w:asciiTheme="minorHAnsi" w:eastAsia="Calibri" w:hAnsiTheme="minorHAnsi" w:cstheme="minorHAnsi"/>
          <w:sz w:val="22"/>
          <w:szCs w:val="22"/>
        </w:rPr>
        <w:t xml:space="preserve"> psychologists and other health researchers are increasingly adopting a population health view of children’s development to inform measurement.</w:t>
      </w:r>
      <w:r w:rsidRPr="00EE65F5">
        <w:rPr>
          <w:rStyle w:val="FootnoteReference"/>
          <w:rFonts w:asciiTheme="minorHAnsi" w:eastAsia="Calibri" w:hAnsiTheme="minorHAnsi" w:cstheme="minorHAnsi"/>
          <w:sz w:val="22"/>
          <w:szCs w:val="22"/>
        </w:rPr>
        <w:footnoteReference w:id="35"/>
      </w:r>
      <w:r w:rsidRPr="00EE65F5">
        <w:rPr>
          <w:rFonts w:asciiTheme="minorHAnsi" w:eastAsia="Calibri" w:hAnsiTheme="minorHAnsi" w:cstheme="minorHAnsi"/>
          <w:sz w:val="22"/>
          <w:szCs w:val="22"/>
        </w:rPr>
        <w:t xml:space="preserve"> This means collecting data not only about children and their families, but also about the social determinants of health and learning. These social determinants include access to safe housing, economic resources, and quality learning environments. A population health </w:t>
      </w:r>
      <w:r w:rsidRPr="00EE65F5">
        <w:rPr>
          <w:rFonts w:asciiTheme="minorHAnsi" w:eastAsia="Calibri" w:hAnsiTheme="minorHAnsi" w:cstheme="minorHAnsi"/>
          <w:sz w:val="22"/>
          <w:szCs w:val="22"/>
        </w:rPr>
        <w:lastRenderedPageBreak/>
        <w:t xml:space="preserve">approach is critical to understanding the impacts of environmental hazards on children’s holistic development, encompassing behavioral and physical health and learning. </w:t>
      </w:r>
    </w:p>
    <w:p w14:paraId="1FF62EEB" w14:textId="77777777" w:rsidR="00EE65F5" w:rsidRPr="00EE65F5" w:rsidRDefault="00EE65F5" w:rsidP="00EE65F5">
      <w:pPr>
        <w:spacing w:line="257" w:lineRule="auto"/>
        <w:rPr>
          <w:rFonts w:asciiTheme="minorHAnsi" w:eastAsia="Calibri" w:hAnsiTheme="minorHAnsi" w:cstheme="minorHAnsi"/>
          <w:sz w:val="22"/>
          <w:szCs w:val="22"/>
        </w:rPr>
      </w:pPr>
    </w:p>
    <w:p w14:paraId="6B540C5C" w14:textId="77777777" w:rsidR="00EE65F5" w:rsidRPr="00EE65F5" w:rsidRDefault="00EE65F5" w:rsidP="00EE65F5">
      <w:pPr>
        <w:spacing w:line="257" w:lineRule="auto"/>
        <w:rPr>
          <w:rFonts w:asciiTheme="minorHAnsi" w:eastAsia="Calibri" w:hAnsiTheme="minorHAnsi" w:cstheme="minorHAnsi"/>
          <w:sz w:val="22"/>
          <w:szCs w:val="22"/>
        </w:rPr>
      </w:pPr>
      <w:r w:rsidRPr="00EE65F5">
        <w:rPr>
          <w:rFonts w:asciiTheme="minorHAnsi" w:eastAsia="Calibri" w:hAnsiTheme="minorHAnsi" w:cstheme="minorHAnsi"/>
          <w:sz w:val="22"/>
          <w:szCs w:val="22"/>
        </w:rPr>
        <w:t>The cross-sectional and longitudinal data and analyses needed to inform the global community about systems, policy, and practice changes that affect children’s health and learning include:</w:t>
      </w:r>
    </w:p>
    <w:p w14:paraId="126B26FA" w14:textId="77777777" w:rsidR="00EE65F5" w:rsidRPr="00EE65F5" w:rsidRDefault="00EE65F5" w:rsidP="00EE65F5">
      <w:pPr>
        <w:pStyle w:val="ListParagraph"/>
        <w:numPr>
          <w:ilvl w:val="0"/>
          <w:numId w:val="5"/>
        </w:numPr>
        <w:spacing w:line="257" w:lineRule="auto"/>
        <w:rPr>
          <w:rFonts w:eastAsia="Calibri" w:cstheme="minorHAnsi"/>
        </w:rPr>
      </w:pPr>
      <w:r w:rsidRPr="00EE65F5">
        <w:rPr>
          <w:rFonts w:eastAsia="Calibri" w:cstheme="minorHAnsi"/>
        </w:rPr>
        <w:t>Responsiveness of child-serving policies and systems of care to climate hazards</w:t>
      </w:r>
    </w:p>
    <w:p w14:paraId="33C2FA8C" w14:textId="019CF1A3" w:rsidR="00EE65F5" w:rsidRPr="00EE65F5" w:rsidRDefault="00EE65F5" w:rsidP="00EE65F5">
      <w:pPr>
        <w:pStyle w:val="ListParagraph"/>
        <w:numPr>
          <w:ilvl w:val="0"/>
          <w:numId w:val="5"/>
        </w:numPr>
        <w:spacing w:line="257" w:lineRule="auto"/>
        <w:rPr>
          <w:rFonts w:eastAsia="Calibri" w:cstheme="minorHAnsi"/>
        </w:rPr>
      </w:pPr>
      <w:r w:rsidRPr="00EE65F5">
        <w:rPr>
          <w:rFonts w:eastAsia="Calibri" w:cstheme="minorHAnsi"/>
        </w:rPr>
        <w:t xml:space="preserve">Long-term effects of climate-related harm </w:t>
      </w:r>
      <w:r w:rsidR="00BE6F6C">
        <w:rPr>
          <w:rFonts w:eastAsia="Calibri" w:cstheme="minorHAnsi"/>
        </w:rPr>
        <w:t>in</w:t>
      </w:r>
      <w:r w:rsidRPr="00EE65F5">
        <w:rPr>
          <w:rFonts w:eastAsia="Calibri" w:cstheme="minorHAnsi"/>
        </w:rPr>
        <w:t xml:space="preserve"> children’s environments, including at home, in educational settings, and during mass migration</w:t>
      </w:r>
    </w:p>
    <w:p w14:paraId="5A128966" w14:textId="77777777" w:rsidR="00EE65F5" w:rsidRPr="00EE65F5" w:rsidRDefault="00EE65F5" w:rsidP="00EE65F5">
      <w:pPr>
        <w:pStyle w:val="ListParagraph"/>
        <w:numPr>
          <w:ilvl w:val="0"/>
          <w:numId w:val="5"/>
        </w:numPr>
        <w:spacing w:line="257" w:lineRule="auto"/>
        <w:rPr>
          <w:rFonts w:eastAsia="Calibri" w:cstheme="minorHAnsi"/>
        </w:rPr>
      </w:pPr>
      <w:r w:rsidRPr="00EE65F5">
        <w:rPr>
          <w:rFonts w:eastAsia="Calibri" w:cstheme="minorHAnsi"/>
        </w:rPr>
        <w:t>Compromised health of caregivers and teachers due to exposures to climate-related harms</w:t>
      </w:r>
    </w:p>
    <w:p w14:paraId="142E0545" w14:textId="77777777" w:rsidR="00EE65F5" w:rsidRPr="00EE65F5" w:rsidRDefault="00EE65F5" w:rsidP="00EE65F5">
      <w:pPr>
        <w:pStyle w:val="ListParagraph"/>
        <w:numPr>
          <w:ilvl w:val="0"/>
          <w:numId w:val="5"/>
        </w:numPr>
        <w:spacing w:line="257" w:lineRule="auto"/>
        <w:rPr>
          <w:rFonts w:eastAsia="Calibri" w:cstheme="minorHAnsi"/>
        </w:rPr>
      </w:pPr>
      <w:r w:rsidRPr="00EE65F5">
        <w:rPr>
          <w:rFonts w:eastAsia="Calibri" w:cstheme="minorHAnsi"/>
        </w:rPr>
        <w:t>Effectiveness of prevention and intervention measures to improve children’s health and learning in the face of climate change</w:t>
      </w:r>
    </w:p>
    <w:p w14:paraId="448CDB2B" w14:textId="30448E05" w:rsidR="00EE65F5" w:rsidRDefault="00EE65F5" w:rsidP="00EE65F5">
      <w:pPr>
        <w:spacing w:line="257" w:lineRule="auto"/>
        <w:rPr>
          <w:rFonts w:asciiTheme="minorHAnsi" w:eastAsia="Calibri" w:hAnsiTheme="minorHAnsi" w:cstheme="minorHAnsi"/>
          <w:sz w:val="22"/>
          <w:szCs w:val="22"/>
        </w:rPr>
      </w:pPr>
      <w:r w:rsidRPr="00EE65F5">
        <w:rPr>
          <w:rFonts w:asciiTheme="minorHAnsi" w:eastAsia="Calibri" w:hAnsiTheme="minorHAnsi" w:cstheme="minorHAnsi"/>
          <w:sz w:val="22"/>
          <w:szCs w:val="22"/>
        </w:rPr>
        <w:t>However, the COVID-19 pandemic increased the cost of data collection to national statistics offices and reduced government and donor funding. Globally, government funding for data and statistics decreased in 48% of national statistics offices</w:t>
      </w:r>
      <w:r w:rsidR="00A13258">
        <w:rPr>
          <w:rFonts w:asciiTheme="minorHAnsi" w:eastAsia="Calibri" w:hAnsiTheme="minorHAnsi" w:cstheme="minorHAnsi"/>
          <w:sz w:val="22"/>
          <w:szCs w:val="22"/>
        </w:rPr>
        <w:t>,</w:t>
      </w:r>
      <w:r w:rsidRPr="00EE65F5">
        <w:rPr>
          <w:rFonts w:asciiTheme="minorHAnsi" w:eastAsia="Calibri" w:hAnsiTheme="minorHAnsi" w:cstheme="minorHAnsi"/>
          <w:sz w:val="22"/>
          <w:szCs w:val="22"/>
        </w:rPr>
        <w:t xml:space="preserve"> with funding reductions in more than two-thirds of offices in Sub-Saharan Africa, Latin America and the Caribbean, Northern Africa, and Western Asia.</w:t>
      </w:r>
      <w:r w:rsidRPr="00EE65F5">
        <w:rPr>
          <w:rStyle w:val="FootnoteReference"/>
          <w:rFonts w:asciiTheme="minorHAnsi" w:eastAsia="Calibri" w:hAnsiTheme="minorHAnsi" w:cstheme="minorHAnsi"/>
          <w:sz w:val="22"/>
          <w:szCs w:val="22"/>
        </w:rPr>
        <w:footnoteReference w:id="36"/>
      </w:r>
      <w:r w:rsidRPr="00EE65F5">
        <w:rPr>
          <w:rFonts w:asciiTheme="minorHAnsi" w:eastAsia="Calibri" w:hAnsiTheme="minorHAnsi" w:cstheme="minorHAnsi"/>
          <w:sz w:val="22"/>
          <w:szCs w:val="22"/>
        </w:rPr>
        <w:t xml:space="preserve"> </w:t>
      </w:r>
    </w:p>
    <w:p w14:paraId="457CD4E1" w14:textId="77777777" w:rsidR="00EE65F5" w:rsidRPr="00EE65F5" w:rsidRDefault="00EE65F5" w:rsidP="00EE65F5">
      <w:pPr>
        <w:spacing w:line="257" w:lineRule="auto"/>
        <w:rPr>
          <w:rFonts w:asciiTheme="minorHAnsi" w:eastAsia="Calibri" w:hAnsiTheme="minorHAnsi" w:cstheme="minorHAnsi"/>
          <w:sz w:val="22"/>
          <w:szCs w:val="22"/>
        </w:rPr>
      </w:pPr>
    </w:p>
    <w:p w14:paraId="6AC0D5D0" w14:textId="6849201C" w:rsidR="00EE65F5" w:rsidRDefault="00EE65F5" w:rsidP="00A13258">
      <w:pPr>
        <w:rPr>
          <w:rFonts w:asciiTheme="minorHAnsi" w:eastAsia="Calibri" w:hAnsiTheme="minorHAnsi" w:cstheme="minorHAnsi"/>
          <w:sz w:val="22"/>
          <w:szCs w:val="22"/>
        </w:rPr>
      </w:pPr>
      <w:r w:rsidRPr="00EE65F5">
        <w:rPr>
          <w:rFonts w:asciiTheme="minorHAnsi" w:eastAsia="Calibri" w:hAnsiTheme="minorHAnsi" w:cstheme="minorHAnsi"/>
          <w:sz w:val="22"/>
          <w:szCs w:val="22"/>
        </w:rPr>
        <w:t>This trend must be reversed. States must be able to collect and utilize robust surveillance data and adopt measurement, evaluation, and learning frameworks to disaggregate data by systemic and individual indicators associated with children’s health and learning opportunities. This will enable States to track trends and guide efforts to mitigate impacts of climate change on children, supporting their right to health.</w:t>
      </w:r>
    </w:p>
    <w:p w14:paraId="48705C8F" w14:textId="77777777" w:rsidR="00EE65F5" w:rsidRPr="00EE65F5" w:rsidRDefault="00EE65F5" w:rsidP="00A13258">
      <w:pPr>
        <w:rPr>
          <w:rFonts w:asciiTheme="minorHAnsi" w:hAnsiTheme="minorHAnsi" w:cstheme="minorHAnsi"/>
          <w:sz w:val="22"/>
          <w:szCs w:val="22"/>
        </w:rPr>
      </w:pPr>
    </w:p>
    <w:p w14:paraId="02D77A90" w14:textId="6584325D" w:rsidR="00EE65F5" w:rsidRPr="00EE65F5" w:rsidRDefault="000C2B96" w:rsidP="000C2B96">
      <w:pPr>
        <w:pStyle w:val="paragraph"/>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br/>
      </w:r>
      <w:r w:rsidR="00EE65F5" w:rsidRPr="00EE65F5">
        <w:rPr>
          <w:rFonts w:asciiTheme="minorHAnsi" w:hAnsiTheme="minorHAnsi" w:cstheme="minorHAnsi"/>
          <w:b/>
          <w:bCs/>
          <w:sz w:val="22"/>
          <w:szCs w:val="22"/>
        </w:rPr>
        <w:t>Conclusion</w:t>
      </w:r>
    </w:p>
    <w:p w14:paraId="1F858C4E" w14:textId="77777777" w:rsidR="00EE65F5" w:rsidRPr="00EE65F5" w:rsidRDefault="00EE65F5" w:rsidP="00A13258">
      <w:pPr>
        <w:pStyle w:val="paragraph"/>
        <w:spacing w:before="0" w:beforeAutospacing="0" w:after="0" w:afterAutospacing="0"/>
        <w:textAlignment w:val="baseline"/>
        <w:rPr>
          <w:rFonts w:asciiTheme="minorHAnsi" w:hAnsiTheme="minorHAnsi" w:cstheme="minorHAnsi"/>
          <w:b/>
          <w:bCs/>
          <w:sz w:val="22"/>
          <w:szCs w:val="22"/>
        </w:rPr>
      </w:pPr>
    </w:p>
    <w:p w14:paraId="61644355" w14:textId="3E506FE5" w:rsidR="00EE65F5" w:rsidRDefault="00EE65F5" w:rsidP="40D3C84F">
      <w:pPr>
        <w:rPr>
          <w:rStyle w:val="Hyperlink"/>
          <w:rFonts w:asciiTheme="minorHAnsi" w:eastAsia="Calibri" w:hAnsiTheme="minorHAnsi" w:cstheme="minorBidi"/>
          <w:sz w:val="22"/>
          <w:szCs w:val="22"/>
        </w:rPr>
      </w:pPr>
      <w:r w:rsidRPr="40D3C84F">
        <w:rPr>
          <w:rFonts w:asciiTheme="minorHAnsi" w:eastAsia="Calibri" w:hAnsiTheme="minorHAnsi" w:cstheme="minorBidi"/>
          <w:sz w:val="22"/>
          <w:szCs w:val="22"/>
        </w:rPr>
        <w:t xml:space="preserve">I would like to close this letter by reiterating our admiration for the draft General Comment on children’s rights and the environment with a special focus on climate change. If governments fulfill the responsibilities outlined, children will be able to develop to their fullest potential amidst the difficult context of our changing climate. Thank you for the opportunity to express support for and offer suggestions on this important General Comment. If APA can provide any further assistance, please contact </w:t>
      </w:r>
      <w:r w:rsidR="5A13E053" w:rsidRPr="40D3C84F">
        <w:rPr>
          <w:rFonts w:asciiTheme="minorHAnsi" w:eastAsia="Calibri" w:hAnsiTheme="minorHAnsi" w:cstheme="minorBidi"/>
          <w:sz w:val="22"/>
          <w:szCs w:val="22"/>
        </w:rPr>
        <w:t>Gabriel Twose, PhD, Senior International Affairs Office</w:t>
      </w:r>
      <w:r w:rsidR="00E1019E">
        <w:rPr>
          <w:rFonts w:asciiTheme="minorHAnsi" w:eastAsia="Calibri" w:hAnsiTheme="minorHAnsi" w:cstheme="minorBidi"/>
          <w:sz w:val="22"/>
          <w:szCs w:val="22"/>
        </w:rPr>
        <w:t>r (</w:t>
      </w:r>
      <w:hyperlink r:id="rId12" w:history="1">
        <w:r w:rsidR="00C722CA" w:rsidRPr="002E4981">
          <w:rPr>
            <w:rStyle w:val="Hyperlink"/>
            <w:rFonts w:asciiTheme="minorHAnsi" w:eastAsia="Calibri" w:hAnsiTheme="minorHAnsi" w:cstheme="minorBidi"/>
            <w:sz w:val="22"/>
            <w:szCs w:val="22"/>
          </w:rPr>
          <w:t>gtwose@apa.org )</w:t>
        </w:r>
      </w:hyperlink>
      <w:r w:rsidR="5A13E053" w:rsidRPr="40D3C84F">
        <w:rPr>
          <w:rFonts w:asciiTheme="minorHAnsi" w:eastAsia="Calibri" w:hAnsiTheme="minorHAnsi" w:cstheme="minorBidi"/>
          <w:sz w:val="22"/>
          <w:szCs w:val="22"/>
        </w:rPr>
        <w:t xml:space="preserve"> or </w:t>
      </w:r>
      <w:r w:rsidRPr="40D3C84F">
        <w:rPr>
          <w:rFonts w:asciiTheme="minorHAnsi" w:eastAsia="Calibri" w:hAnsiTheme="minorHAnsi" w:cstheme="minorBidi"/>
          <w:sz w:val="22"/>
          <w:szCs w:val="22"/>
        </w:rPr>
        <w:t>Dennis Stolle, PhD, Senior Director for Applied Psychology (</w:t>
      </w:r>
      <w:hyperlink r:id="rId13">
        <w:r w:rsidRPr="40D3C84F">
          <w:rPr>
            <w:rStyle w:val="Hyperlink"/>
            <w:rFonts w:asciiTheme="minorHAnsi" w:eastAsia="Calibri" w:hAnsiTheme="minorHAnsi" w:cstheme="minorBidi"/>
            <w:sz w:val="22"/>
            <w:szCs w:val="22"/>
          </w:rPr>
          <w:t>dstolle@apa.org</w:t>
        </w:r>
      </w:hyperlink>
      <w:r w:rsidRPr="40D3C84F">
        <w:rPr>
          <w:rFonts w:asciiTheme="minorHAnsi" w:eastAsia="Calibri" w:hAnsiTheme="minorHAnsi" w:cstheme="minorBidi"/>
          <w:sz w:val="22"/>
          <w:szCs w:val="22"/>
        </w:rPr>
        <w:t>)</w:t>
      </w:r>
      <w:r w:rsidR="4CE7A512" w:rsidRPr="40D3C84F">
        <w:rPr>
          <w:rFonts w:asciiTheme="minorHAnsi" w:eastAsia="Calibri" w:hAnsiTheme="minorHAnsi" w:cstheme="minorBidi"/>
          <w:sz w:val="22"/>
          <w:szCs w:val="22"/>
        </w:rPr>
        <w:t>.</w:t>
      </w:r>
      <w:r w:rsidRPr="40D3C84F">
        <w:rPr>
          <w:rFonts w:asciiTheme="minorHAnsi" w:eastAsia="Calibri" w:hAnsiTheme="minorHAnsi" w:cstheme="minorBidi"/>
          <w:sz w:val="22"/>
          <w:szCs w:val="22"/>
        </w:rPr>
        <w:t xml:space="preserve"> </w:t>
      </w:r>
    </w:p>
    <w:p w14:paraId="377F114C" w14:textId="77777777" w:rsidR="004E1287" w:rsidRPr="00EE65F5" w:rsidRDefault="004E1287" w:rsidP="00EE65F5">
      <w:pPr>
        <w:rPr>
          <w:rFonts w:asciiTheme="minorHAnsi" w:eastAsia="Calibri" w:hAnsiTheme="minorHAnsi" w:cstheme="minorHAnsi"/>
          <w:sz w:val="22"/>
          <w:szCs w:val="22"/>
        </w:rPr>
      </w:pPr>
    </w:p>
    <w:p w14:paraId="5E781128" w14:textId="78F56307" w:rsidR="00EE65F5" w:rsidRDefault="00EE65F5" w:rsidP="00EE65F5">
      <w:pPr>
        <w:rPr>
          <w:rFonts w:asciiTheme="minorHAnsi" w:eastAsia="Calibri" w:hAnsiTheme="minorHAnsi" w:cstheme="minorHAnsi"/>
          <w:sz w:val="22"/>
          <w:szCs w:val="22"/>
        </w:rPr>
      </w:pPr>
      <w:r w:rsidRPr="00EE65F5">
        <w:rPr>
          <w:rFonts w:asciiTheme="minorHAnsi" w:eastAsia="Calibri" w:hAnsiTheme="minorHAnsi" w:cstheme="minorHAnsi"/>
          <w:sz w:val="22"/>
          <w:szCs w:val="22"/>
        </w:rPr>
        <w:t>Sincerely,</w:t>
      </w:r>
    </w:p>
    <w:p w14:paraId="78E5083D" w14:textId="77777777" w:rsidR="00E9538A" w:rsidRDefault="00E9538A" w:rsidP="00EE65F5">
      <w:pPr>
        <w:rPr>
          <w:rFonts w:asciiTheme="minorHAnsi" w:eastAsia="Calibri" w:hAnsiTheme="minorHAnsi" w:cstheme="minorHAnsi"/>
          <w:sz w:val="22"/>
          <w:szCs w:val="22"/>
        </w:rPr>
      </w:pPr>
    </w:p>
    <w:p w14:paraId="1C7C98C3" w14:textId="142597BE" w:rsidR="004E1287" w:rsidRPr="00EE65F5" w:rsidRDefault="00E9538A" w:rsidP="00EE65F5">
      <w:pPr>
        <w:rPr>
          <w:rFonts w:asciiTheme="minorHAnsi" w:eastAsia="Calibri" w:hAnsiTheme="minorHAnsi" w:cstheme="minorHAnsi"/>
          <w:sz w:val="22"/>
          <w:szCs w:val="22"/>
        </w:rPr>
      </w:pPr>
      <w:r>
        <w:rPr>
          <w:rFonts w:asciiTheme="minorHAnsi" w:eastAsia="Calibri" w:hAnsiTheme="minorHAnsi" w:cstheme="minorHAnsi"/>
          <w:noProof/>
          <w:sz w:val="22"/>
          <w:szCs w:val="22"/>
        </w:rPr>
        <w:drawing>
          <wp:inline distT="0" distB="0" distL="0" distR="0" wp14:anchorId="09C703BA" wp14:editId="144D59C9">
            <wp:extent cx="1361605" cy="2818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4722" cy="282543"/>
                    </a:xfrm>
                    <a:prstGeom prst="rect">
                      <a:avLst/>
                    </a:prstGeom>
                    <a:noFill/>
                  </pic:spPr>
                </pic:pic>
              </a:graphicData>
            </a:graphic>
          </wp:inline>
        </w:drawing>
      </w:r>
    </w:p>
    <w:p w14:paraId="06E4D01B" w14:textId="36736ADE" w:rsidR="00EE65F5" w:rsidRPr="00EE65F5" w:rsidRDefault="00DB76BA" w:rsidP="00EE65F5">
      <w:pPr>
        <w:rPr>
          <w:rFonts w:asciiTheme="minorHAnsi" w:hAnsiTheme="minorHAnsi" w:cstheme="minorHAnsi"/>
          <w:sz w:val="22"/>
          <w:szCs w:val="22"/>
        </w:rPr>
      </w:pPr>
      <w:r>
        <w:rPr>
          <w:rFonts w:asciiTheme="minorHAnsi" w:eastAsia="Calibri" w:hAnsiTheme="minorHAnsi" w:cstheme="minorHAnsi"/>
          <w:sz w:val="22"/>
          <w:szCs w:val="22"/>
        </w:rPr>
        <w:t>Jai</w:t>
      </w:r>
      <w:r w:rsidR="00A17730">
        <w:rPr>
          <w:rFonts w:asciiTheme="minorHAnsi" w:eastAsia="Calibri" w:hAnsiTheme="minorHAnsi" w:cstheme="minorHAnsi"/>
          <w:sz w:val="22"/>
          <w:szCs w:val="22"/>
        </w:rPr>
        <w:t>me L.</w:t>
      </w:r>
      <w:r w:rsidR="00EE65F5" w:rsidRPr="00EE65F5">
        <w:rPr>
          <w:rFonts w:asciiTheme="minorHAnsi" w:eastAsia="Calibri" w:hAnsiTheme="minorHAnsi" w:cstheme="minorHAnsi"/>
          <w:sz w:val="22"/>
          <w:szCs w:val="22"/>
        </w:rPr>
        <w:t xml:space="preserve"> Diaz-Granados, PhD</w:t>
      </w:r>
      <w:r w:rsidR="00EE65F5" w:rsidRPr="00EE65F5">
        <w:rPr>
          <w:rFonts w:asciiTheme="minorHAnsi" w:hAnsiTheme="minorHAnsi" w:cstheme="minorHAnsi"/>
          <w:sz w:val="22"/>
          <w:szCs w:val="22"/>
        </w:rPr>
        <w:br/>
      </w:r>
      <w:r w:rsidR="00EE65F5" w:rsidRPr="00EE65F5">
        <w:rPr>
          <w:rFonts w:asciiTheme="minorHAnsi" w:eastAsia="Calibri" w:hAnsiTheme="minorHAnsi" w:cstheme="minorHAnsi"/>
          <w:sz w:val="22"/>
          <w:szCs w:val="22"/>
        </w:rPr>
        <w:t>Deputy Chief Executive Officer</w:t>
      </w:r>
    </w:p>
    <w:p w14:paraId="70208272" w14:textId="4BDC31B2" w:rsidR="00CC7C85" w:rsidRPr="00EE65F5" w:rsidRDefault="00CC7C85" w:rsidP="00CC7C85">
      <w:pPr>
        <w:rPr>
          <w:rFonts w:asciiTheme="minorHAnsi" w:eastAsia="Calibri" w:hAnsiTheme="minorHAnsi" w:cstheme="minorHAnsi"/>
          <w:sz w:val="22"/>
          <w:szCs w:val="22"/>
        </w:rPr>
      </w:pPr>
    </w:p>
    <w:sectPr w:rsidR="00CC7C85" w:rsidRPr="00EE65F5" w:rsidSect="004E1287">
      <w:headerReference w:type="default" r:id="rId15"/>
      <w:footerReference w:type="default" r:id="rId16"/>
      <w:headerReference w:type="first" r:id="rId17"/>
      <w:footerReference w:type="first" r:id="rId18"/>
      <w:pgSz w:w="12240" w:h="15840"/>
      <w:pgMar w:top="1440" w:right="1800" w:bottom="1440" w:left="1800" w:header="720" w:footer="5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24517" w14:textId="77777777" w:rsidR="00D46BAA" w:rsidRDefault="00D46BAA">
      <w:r>
        <w:separator/>
      </w:r>
    </w:p>
  </w:endnote>
  <w:endnote w:type="continuationSeparator" w:id="0">
    <w:p w14:paraId="4E5F58FB" w14:textId="77777777" w:rsidR="00D46BAA" w:rsidRDefault="00D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CCB4" w14:textId="6A9BF5DB" w:rsidR="003F343B" w:rsidRDefault="001B0A74" w:rsidP="00E16530">
    <w:pPr>
      <w:pStyle w:val="Footer"/>
      <w:tabs>
        <w:tab w:val="left" w:pos="360"/>
      </w:tabs>
      <w:ind w:left="-9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1260" w14:textId="77777777" w:rsidR="004E1287" w:rsidRDefault="004E1287">
    <w:pPr>
      <w:pStyle w:val="Footer"/>
      <w:rPr>
        <w:noProof/>
      </w:rPr>
    </w:pPr>
  </w:p>
  <w:p w14:paraId="271BAE0B" w14:textId="6DD5A57C" w:rsidR="004E1287" w:rsidRDefault="001502AF">
    <w:pPr>
      <w:pStyle w:val="Footer"/>
    </w:pPr>
    <w:r>
      <w:rPr>
        <w:noProof/>
      </w:rPr>
      <w:drawing>
        <wp:inline distT="0" distB="0" distL="0" distR="0" wp14:anchorId="383A8401" wp14:editId="7A53263C">
          <wp:extent cx="5486400" cy="74080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4080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4953" w14:textId="77777777" w:rsidR="00D46BAA" w:rsidRDefault="00D46BAA">
      <w:r>
        <w:separator/>
      </w:r>
    </w:p>
  </w:footnote>
  <w:footnote w:type="continuationSeparator" w:id="0">
    <w:p w14:paraId="1B595781" w14:textId="77777777" w:rsidR="00D46BAA" w:rsidRDefault="00D46BAA">
      <w:r>
        <w:continuationSeparator/>
      </w:r>
    </w:p>
  </w:footnote>
  <w:footnote w:id="1">
    <w:p w14:paraId="13105774" w14:textId="77777777" w:rsidR="00EE65F5" w:rsidRPr="001B1F37" w:rsidRDefault="00EE65F5" w:rsidP="00EE65F5">
      <w:pPr>
        <w:pStyle w:val="FootnoteText"/>
      </w:pPr>
      <w:r w:rsidRPr="008D351B">
        <w:rPr>
          <w:rStyle w:val="FootnoteReference"/>
        </w:rPr>
        <w:footnoteRef/>
      </w:r>
      <w:r w:rsidRPr="008D351B">
        <w:t xml:space="preserve"> American Psychological Association. (2022). </w:t>
      </w:r>
      <w:r w:rsidRPr="517FED55">
        <w:rPr>
          <w:i/>
        </w:rPr>
        <w:t>Resolution on affirming psychologists’ role in addressing global climate change</w:t>
      </w:r>
      <w:r w:rsidRPr="008D351B">
        <w:t>.</w:t>
      </w:r>
      <w:r>
        <w:t xml:space="preserve"> </w:t>
      </w:r>
      <w:hyperlink r:id="rId1" w:history="1">
        <w:r w:rsidRPr="001B1F37">
          <w:rPr>
            <w:rStyle w:val="Hyperlink"/>
          </w:rPr>
          <w:t>https://www.apa.org/about/policy/climate-change</w:t>
        </w:r>
      </w:hyperlink>
    </w:p>
  </w:footnote>
  <w:footnote w:id="2">
    <w:p w14:paraId="5525FA50" w14:textId="79781E51" w:rsidR="004E1287" w:rsidRPr="004E1287" w:rsidRDefault="00EE65F5" w:rsidP="00EE65F5">
      <w:pPr>
        <w:pStyle w:val="FootnoteText"/>
        <w:rPr>
          <w:color w:val="0000FF" w:themeColor="hyperlink"/>
          <w:u w:val="single"/>
        </w:rPr>
      </w:pPr>
      <w:r w:rsidRPr="001B1F37">
        <w:rPr>
          <w:rStyle w:val="FootnoteReference"/>
        </w:rPr>
        <w:footnoteRef/>
      </w:r>
      <w:r w:rsidRPr="001B1F37">
        <w:t xml:space="preserve"> American Psychological Association. (2001). </w:t>
      </w:r>
      <w:r w:rsidRPr="517FED55">
        <w:rPr>
          <w:i/>
        </w:rPr>
        <w:t>Resolution on UN convention on the rights of the child and the convention’s optional protocols.</w:t>
      </w:r>
      <w:r w:rsidRPr="001B1F37">
        <w:t xml:space="preserve"> </w:t>
      </w:r>
      <w:hyperlink r:id="rId2" w:history="1">
        <w:r w:rsidRPr="001B1F37">
          <w:rPr>
            <w:rStyle w:val="Hyperlink"/>
          </w:rPr>
          <w:t>https://www.apa.org/about/policy/rights-child-2001</w:t>
        </w:r>
      </w:hyperlink>
    </w:p>
  </w:footnote>
  <w:footnote w:id="3">
    <w:p w14:paraId="609DC845" w14:textId="4B3943CC" w:rsidR="00EE65F5" w:rsidRPr="001B1F37" w:rsidRDefault="00EE65F5" w:rsidP="00EE65F5">
      <w:pPr>
        <w:pStyle w:val="FootnoteText"/>
      </w:pPr>
      <w:r w:rsidRPr="001B1F37">
        <w:rPr>
          <w:rStyle w:val="FootnoteReference"/>
        </w:rPr>
        <w:footnoteRef/>
      </w:r>
      <w:r w:rsidRPr="001B1F37">
        <w:t xml:space="preserve"> American Psychological Association. (2021). </w:t>
      </w:r>
      <w:r w:rsidRPr="517FED55">
        <w:rPr>
          <w:i/>
        </w:rPr>
        <w:t>Resolution on APA, psychology, and human rights</w:t>
      </w:r>
      <w:r w:rsidRPr="001B1F37">
        <w:t xml:space="preserve">. </w:t>
      </w:r>
      <w:hyperlink r:id="rId3" w:history="1">
        <w:r w:rsidRPr="001B1F37">
          <w:rPr>
            <w:rStyle w:val="Hyperlink"/>
          </w:rPr>
          <w:t>https://www.apa.org/about/policy/resolution-psychology-human-rights.pdf</w:t>
        </w:r>
      </w:hyperlink>
      <w:r w:rsidRPr="001B1F37">
        <w:t xml:space="preserve"> </w:t>
      </w:r>
    </w:p>
  </w:footnote>
  <w:footnote w:id="4">
    <w:p w14:paraId="3C3A553B" w14:textId="77777777" w:rsidR="009E69C4" w:rsidRPr="007A6C2A" w:rsidRDefault="009E69C4" w:rsidP="009E69C4">
      <w:pPr>
        <w:rPr>
          <w:rFonts w:cstheme="minorHAnsi"/>
          <w:color w:val="222222"/>
        </w:rPr>
      </w:pPr>
      <w:r>
        <w:rPr>
          <w:rStyle w:val="FootnoteReference"/>
        </w:rPr>
        <w:footnoteRef/>
      </w:r>
      <w:r>
        <w:t xml:space="preserve"> </w:t>
      </w:r>
      <w:r>
        <w:rPr>
          <w:sz w:val="20"/>
          <w:szCs w:val="20"/>
        </w:rPr>
        <w:t>United Nations Committee on the Rights of the Child. (2005).</w:t>
      </w:r>
      <w:r w:rsidRPr="004253DE">
        <w:rPr>
          <w:i/>
          <w:iCs/>
          <w:sz w:val="20"/>
          <w:szCs w:val="20"/>
        </w:rPr>
        <w:t xml:space="preserve"> General Comment #7: Implementing child rights in early childhood</w:t>
      </w:r>
      <w:r>
        <w:rPr>
          <w:sz w:val="20"/>
          <w:szCs w:val="20"/>
        </w:rPr>
        <w:t xml:space="preserve">. </w:t>
      </w:r>
      <w:hyperlink r:id="rId4" w:history="1">
        <w:r w:rsidRPr="00C842FB">
          <w:rPr>
            <w:rStyle w:val="Hyperlink"/>
            <w:rFonts w:cstheme="minorHAnsi"/>
            <w:sz w:val="20"/>
            <w:szCs w:val="20"/>
          </w:rPr>
          <w:t>https://www2.ohchr.org/english/bodies/crc/docs/AdvanceVersions/GeneralComment7Rev1.pdf</w:t>
        </w:r>
      </w:hyperlink>
      <w:r w:rsidRPr="007436D7">
        <w:rPr>
          <w:rFonts w:cstheme="minorHAnsi"/>
          <w:color w:val="222222"/>
        </w:rPr>
        <w:t> </w:t>
      </w:r>
    </w:p>
  </w:footnote>
  <w:footnote w:id="5">
    <w:p w14:paraId="78ACDB41" w14:textId="77777777" w:rsidR="00EE65F5" w:rsidRPr="008858F6" w:rsidRDefault="00EE65F5" w:rsidP="00EE65F5">
      <w:pPr>
        <w:pStyle w:val="FootnoteText"/>
        <w:rPr>
          <w:color w:val="212121"/>
        </w:rPr>
      </w:pPr>
      <w:r w:rsidRPr="5490BE9B">
        <w:rPr>
          <w:rStyle w:val="FootnoteReference"/>
        </w:rPr>
        <w:footnoteRef/>
      </w:r>
      <w:r w:rsidRPr="5490BE9B">
        <w:t xml:space="preserve"> </w:t>
      </w:r>
      <w:r w:rsidRPr="5490BE9B">
        <w:rPr>
          <w:rFonts w:ascii="Calibri" w:eastAsia="Calibri" w:hAnsi="Calibri" w:cs="Calibri"/>
        </w:rPr>
        <w:t xml:space="preserve">National Research Council (US) and Institute of Medicine (US) Committee on Integrating the Science of Early Childhood Development. (2000). </w:t>
      </w:r>
      <w:r w:rsidRPr="44C970C6">
        <w:rPr>
          <w:rFonts w:ascii="Calibri" w:eastAsia="Calibri" w:hAnsi="Calibri" w:cs="Calibri"/>
          <w:i/>
          <w:iCs/>
        </w:rPr>
        <w:t>From neurons to neighborhoods: The science of early childhood development</w:t>
      </w:r>
      <w:r w:rsidRPr="5490BE9B">
        <w:rPr>
          <w:rFonts w:ascii="Calibri" w:eastAsia="Calibri" w:hAnsi="Calibri" w:cs="Calibri"/>
        </w:rPr>
        <w:t xml:space="preserve"> (J. P. Shonkoff &amp; D. A. Phillips, Eds.). National Academies Press (US). </w:t>
      </w:r>
      <w:hyperlink r:id="rId5" w:history="1">
        <w:r w:rsidRPr="5490BE9B">
          <w:rPr>
            <w:rStyle w:val="Hyperlink"/>
            <w:rFonts w:ascii="Calibri" w:eastAsia="Calibri" w:hAnsi="Calibri" w:cs="Calibri"/>
          </w:rPr>
          <w:t>https://doi.org/10.17226/9824</w:t>
        </w:r>
      </w:hyperlink>
      <w:r w:rsidRPr="5490BE9B">
        <w:t xml:space="preserve"> </w:t>
      </w:r>
    </w:p>
  </w:footnote>
  <w:footnote w:id="6">
    <w:p w14:paraId="1A64482C" w14:textId="77777777" w:rsidR="00EE65F5" w:rsidRPr="00080B77" w:rsidRDefault="00EE65F5" w:rsidP="00EE65F5">
      <w:pPr>
        <w:pStyle w:val="FootnoteText"/>
        <w:rPr>
          <w:color w:val="1155CC"/>
        </w:rPr>
      </w:pPr>
      <w:r w:rsidRPr="5490BE9B">
        <w:rPr>
          <w:rStyle w:val="FootnoteReference"/>
        </w:rPr>
        <w:footnoteRef/>
      </w:r>
      <w:r w:rsidRPr="5490BE9B">
        <w:t xml:space="preserve"> </w:t>
      </w:r>
      <w:r w:rsidRPr="5490BE9B">
        <w:rPr>
          <w:color w:val="212121"/>
        </w:rPr>
        <w:t xml:space="preserve">e.g., </w:t>
      </w:r>
      <w:r w:rsidRPr="5490BE9B">
        <w:rPr>
          <w:rFonts w:ascii="Calibri" w:eastAsia="Calibri" w:hAnsi="Calibri" w:cs="Calibri"/>
        </w:rPr>
        <w:t xml:space="preserve">Heckman, J. J., &amp; Karapakula, G. (2019). </w:t>
      </w:r>
      <w:r w:rsidRPr="44C970C6">
        <w:rPr>
          <w:rFonts w:ascii="Calibri" w:eastAsia="Calibri" w:hAnsi="Calibri" w:cs="Calibri"/>
          <w:i/>
          <w:iCs/>
        </w:rPr>
        <w:t>The Perry Preschoolers at late midlife: A study in design-specific inference</w:t>
      </w:r>
      <w:r w:rsidRPr="5490BE9B">
        <w:rPr>
          <w:rFonts w:ascii="Calibri" w:eastAsia="Calibri" w:hAnsi="Calibri" w:cs="Calibri"/>
        </w:rPr>
        <w:t xml:space="preserve"> (Working Paper No. 25888). National Bureau of Economic Research. </w:t>
      </w:r>
      <w:hyperlink r:id="rId6" w:history="1">
        <w:r w:rsidRPr="5490BE9B">
          <w:rPr>
            <w:rStyle w:val="Hyperlink"/>
            <w:rFonts w:ascii="Calibri" w:eastAsia="Calibri" w:hAnsi="Calibri" w:cs="Calibri"/>
          </w:rPr>
          <w:t>https://doi.org/10.3386/w25888</w:t>
        </w:r>
      </w:hyperlink>
      <w:r w:rsidRPr="5490BE9B">
        <w:rPr>
          <w:color w:val="212121"/>
        </w:rPr>
        <w:t xml:space="preserve"> </w:t>
      </w:r>
    </w:p>
  </w:footnote>
  <w:footnote w:id="7">
    <w:p w14:paraId="143187B2" w14:textId="77777777" w:rsidR="00EE65F5" w:rsidRPr="00080B77" w:rsidRDefault="00EE65F5" w:rsidP="00EE65F5">
      <w:pPr>
        <w:pStyle w:val="FootnoteText"/>
      </w:pPr>
      <w:r w:rsidRPr="00080B77">
        <w:rPr>
          <w:rStyle w:val="FootnoteReference"/>
        </w:rPr>
        <w:footnoteRef/>
      </w:r>
      <w:r w:rsidRPr="00080B77">
        <w:t xml:space="preserve"> </w:t>
      </w:r>
      <w:r>
        <w:t xml:space="preserve">World Health Organization, United Nations Children’s Fund, &amp; World Bank Group. (2018). </w:t>
      </w:r>
      <w:r w:rsidRPr="517FED55">
        <w:rPr>
          <w:i/>
          <w:iCs/>
        </w:rPr>
        <w:t>Nurturing care for early childhood development: A framework for helping children survive and thrive to transform health and human potential</w:t>
      </w:r>
      <w:r>
        <w:t xml:space="preserve">. </w:t>
      </w:r>
      <w:hyperlink r:id="rId7">
        <w:r w:rsidRPr="517FED55">
          <w:rPr>
            <w:rStyle w:val="Hyperlink"/>
          </w:rPr>
          <w:t>https://apps.who.int/iris/handle/10665/272603</w:t>
        </w:r>
      </w:hyperlink>
    </w:p>
  </w:footnote>
  <w:footnote w:id="8">
    <w:p w14:paraId="4B2F649F" w14:textId="77777777" w:rsidR="00EE65F5" w:rsidRPr="00787BCC" w:rsidRDefault="00EE65F5" w:rsidP="00EE65F5">
      <w:pPr>
        <w:pStyle w:val="FootnoteText"/>
        <w:rPr>
          <w:color w:val="212121"/>
        </w:rPr>
      </w:pPr>
      <w:r w:rsidRPr="00080B77">
        <w:rPr>
          <w:rStyle w:val="FootnoteReference"/>
        </w:rPr>
        <w:footnoteRef/>
      </w:r>
      <w:r w:rsidRPr="44C970C6">
        <w:rPr>
          <w:rFonts w:ascii="Calibri" w:eastAsia="Calibri" w:hAnsi="Calibri" w:cs="Calibri"/>
        </w:rPr>
        <w:t xml:space="preserve"> Britto, P. R., Lye, S. J., Proulx, K., Yousafzai, A. K., Matthews, S. G., Vaivada, T., Perez-Escamilla, R., Rao, N., Ip, P., Fernald, L. C. H., MacMillan, H., Hanson, M., Wachs, T. D., Yao, H., Yoshikawa, H., Cerezo, A., Leckman, J. F., Bhutta, Z. A., &amp; Early Childhood Development Interventions Review Group, for the Lancet Early Childhood Development Series Steering Committee. (2017). Nurturing care: Promoting early childhood development. </w:t>
      </w:r>
      <w:r w:rsidRPr="44C970C6">
        <w:rPr>
          <w:rFonts w:ascii="Calibri" w:eastAsia="Calibri" w:hAnsi="Calibri" w:cs="Calibri"/>
          <w:i/>
          <w:iCs/>
        </w:rPr>
        <w:t xml:space="preserve">The </w:t>
      </w:r>
      <w:r w:rsidRPr="44C970C6">
        <w:rPr>
          <w:rFonts w:ascii="Calibri" w:eastAsia="Calibri" w:hAnsi="Calibri" w:cs="Calibri"/>
          <w:i/>
        </w:rPr>
        <w:t>Lancet</w:t>
      </w:r>
      <w:r w:rsidRPr="5490BE9B">
        <w:rPr>
          <w:rFonts w:ascii="Calibri" w:eastAsia="Calibri" w:hAnsi="Calibri" w:cs="Calibri"/>
        </w:rPr>
        <w:t xml:space="preserve">, </w:t>
      </w:r>
      <w:r w:rsidRPr="44C970C6">
        <w:rPr>
          <w:rFonts w:ascii="Calibri" w:eastAsia="Calibri" w:hAnsi="Calibri" w:cs="Calibri"/>
          <w:i/>
        </w:rPr>
        <w:t>389</w:t>
      </w:r>
      <w:r w:rsidRPr="5490BE9B">
        <w:rPr>
          <w:rFonts w:ascii="Calibri" w:eastAsia="Calibri" w:hAnsi="Calibri" w:cs="Calibri"/>
        </w:rPr>
        <w:t xml:space="preserve">(10064), 91–102. </w:t>
      </w:r>
      <w:hyperlink r:id="rId8" w:history="1">
        <w:r w:rsidRPr="5490BE9B">
          <w:rPr>
            <w:rStyle w:val="Hyperlink"/>
            <w:rFonts w:ascii="Calibri" w:eastAsia="Calibri" w:hAnsi="Calibri" w:cs="Calibri"/>
          </w:rPr>
          <w:t>https://doi.org/10.1016/S0140-6736(16)31390-3</w:t>
        </w:r>
      </w:hyperlink>
    </w:p>
  </w:footnote>
  <w:footnote w:id="9">
    <w:p w14:paraId="74340100" w14:textId="77777777" w:rsidR="00EE65F5" w:rsidRPr="0027780C" w:rsidRDefault="00EE65F5" w:rsidP="00EE65F5">
      <w:pPr>
        <w:pStyle w:val="FootnoteText"/>
        <w:rPr>
          <w:color w:val="212121"/>
        </w:rPr>
      </w:pPr>
      <w:r>
        <w:rPr>
          <w:rStyle w:val="FootnoteReference"/>
        </w:rPr>
        <w:footnoteRef/>
      </w:r>
      <w:r>
        <w:t xml:space="preserve"> </w:t>
      </w:r>
      <w:r w:rsidRPr="5490BE9B">
        <w:rPr>
          <w:rFonts w:ascii="Calibri" w:eastAsia="Calibri" w:hAnsi="Calibri" w:cs="Calibri"/>
        </w:rPr>
        <w:t xml:space="preserve">Gertler, P., Heckman, J., Pinto, R., Zanolini, A., Vermeersch, C., Walker, S., Chang, S. M., &amp; Grantham-McGregor, S. (2014). Labor market returns to an early childhood stimulation intervention in Jamaica. </w:t>
      </w:r>
      <w:r w:rsidRPr="44C970C6">
        <w:rPr>
          <w:rFonts w:ascii="Calibri" w:eastAsia="Calibri" w:hAnsi="Calibri" w:cs="Calibri"/>
          <w:i/>
        </w:rPr>
        <w:t>Science</w:t>
      </w:r>
      <w:r w:rsidRPr="5490BE9B">
        <w:rPr>
          <w:rFonts w:ascii="Calibri" w:eastAsia="Calibri" w:hAnsi="Calibri" w:cs="Calibri"/>
        </w:rPr>
        <w:t xml:space="preserve">, </w:t>
      </w:r>
      <w:r w:rsidRPr="44C970C6">
        <w:rPr>
          <w:rFonts w:ascii="Calibri" w:eastAsia="Calibri" w:hAnsi="Calibri" w:cs="Calibri"/>
          <w:i/>
        </w:rPr>
        <w:t>344</w:t>
      </w:r>
      <w:r w:rsidRPr="5490BE9B">
        <w:rPr>
          <w:rFonts w:ascii="Calibri" w:eastAsia="Calibri" w:hAnsi="Calibri" w:cs="Calibri"/>
        </w:rPr>
        <w:t xml:space="preserve">(6187), 998–1001. </w:t>
      </w:r>
      <w:hyperlink r:id="rId9" w:history="1">
        <w:r w:rsidRPr="5490BE9B">
          <w:rPr>
            <w:rStyle w:val="Hyperlink"/>
            <w:rFonts w:ascii="Calibri" w:eastAsia="Calibri" w:hAnsi="Calibri" w:cs="Calibri"/>
          </w:rPr>
          <w:t>https://doi.org/10.1126/science.1251178</w:t>
        </w:r>
      </w:hyperlink>
      <w:r w:rsidRPr="5490BE9B">
        <w:rPr>
          <w:color w:val="212121"/>
        </w:rPr>
        <w:t xml:space="preserve"> </w:t>
      </w:r>
    </w:p>
  </w:footnote>
  <w:footnote w:id="10">
    <w:p w14:paraId="0A1743A8" w14:textId="77777777" w:rsidR="00EE65F5" w:rsidRPr="0027780C" w:rsidRDefault="00EE65F5" w:rsidP="00EE65F5">
      <w:pPr>
        <w:pStyle w:val="FootnoteText"/>
        <w:rPr>
          <w:color w:val="212121"/>
        </w:rPr>
      </w:pPr>
      <w:r w:rsidRPr="0027780C">
        <w:rPr>
          <w:rStyle w:val="FootnoteReference"/>
        </w:rPr>
        <w:footnoteRef/>
      </w:r>
      <w:r w:rsidRPr="0027780C">
        <w:t xml:space="preserve"> </w:t>
      </w:r>
      <w:r w:rsidRPr="5490BE9B">
        <w:rPr>
          <w:rFonts w:ascii="Calibri" w:eastAsia="Calibri" w:hAnsi="Calibri" w:cs="Calibri"/>
        </w:rPr>
        <w:t xml:space="preserve">Walker, S. P., Chang, S. M., Vera-Hernández, M., &amp; Grantham-McGregor, S. (2011). Early childhood stimulation benefits adult competence and reduces violent behavior. </w:t>
      </w:r>
      <w:r w:rsidRPr="517FED55">
        <w:rPr>
          <w:rFonts w:ascii="Calibri" w:eastAsia="Calibri" w:hAnsi="Calibri" w:cs="Calibri"/>
          <w:i/>
        </w:rPr>
        <w:t>Pediatrics</w:t>
      </w:r>
      <w:r w:rsidRPr="5490BE9B">
        <w:rPr>
          <w:rFonts w:ascii="Calibri" w:eastAsia="Calibri" w:hAnsi="Calibri" w:cs="Calibri"/>
        </w:rPr>
        <w:t xml:space="preserve">, </w:t>
      </w:r>
      <w:r w:rsidRPr="517FED55">
        <w:rPr>
          <w:rFonts w:ascii="Calibri" w:eastAsia="Calibri" w:hAnsi="Calibri" w:cs="Calibri"/>
          <w:i/>
        </w:rPr>
        <w:t>127</w:t>
      </w:r>
      <w:r w:rsidRPr="5490BE9B">
        <w:rPr>
          <w:rFonts w:ascii="Calibri" w:eastAsia="Calibri" w:hAnsi="Calibri" w:cs="Calibri"/>
        </w:rPr>
        <w:t xml:space="preserve">(5), 849–857. </w:t>
      </w:r>
      <w:hyperlink r:id="rId10" w:history="1">
        <w:r w:rsidRPr="5490BE9B">
          <w:rPr>
            <w:rStyle w:val="Hyperlink"/>
            <w:rFonts w:ascii="Calibri" w:eastAsia="Calibri" w:hAnsi="Calibri" w:cs="Calibri"/>
          </w:rPr>
          <w:t>https://doi.org/10.1542/peds.2010-2231</w:t>
        </w:r>
      </w:hyperlink>
      <w:r w:rsidRPr="5490BE9B">
        <w:rPr>
          <w:color w:val="212121"/>
        </w:rPr>
        <w:t xml:space="preserve"> </w:t>
      </w:r>
    </w:p>
  </w:footnote>
  <w:footnote w:id="11">
    <w:p w14:paraId="398B31D0" w14:textId="77777777" w:rsidR="00EE65F5" w:rsidRPr="00787BCC" w:rsidRDefault="00EE65F5" w:rsidP="00EE65F5">
      <w:r w:rsidRPr="5490BE9B">
        <w:rPr>
          <w:rStyle w:val="FootnoteReference"/>
        </w:rPr>
        <w:footnoteRef/>
      </w:r>
      <w:r w:rsidRPr="5490BE9B">
        <w:t xml:space="preserve"> </w:t>
      </w:r>
      <w:r w:rsidRPr="44C970C6">
        <w:rPr>
          <w:rFonts w:ascii="Calibri" w:eastAsia="Calibri" w:hAnsi="Calibri" w:cs="Calibri"/>
          <w:sz w:val="20"/>
          <w:szCs w:val="20"/>
        </w:rPr>
        <w:t>Walker, S. P., Chang, S. M., Powell, C. A., Simonoff, E., &amp; Grantham-McGregor, S. M. (2006). Effects of psychosocial stimulation and dietary supplementation in early childhood on psychosocial functioning in late adolescence: Follow-up of randomised</w:t>
      </w:r>
      <w:r w:rsidRPr="5490BE9B">
        <w:rPr>
          <w:rFonts w:ascii="Calibri" w:eastAsia="Calibri" w:hAnsi="Calibri" w:cs="Calibri"/>
          <w:sz w:val="20"/>
          <w:szCs w:val="20"/>
        </w:rPr>
        <w:t xml:space="preserve"> controlled trial. </w:t>
      </w:r>
      <w:r w:rsidRPr="517FED55">
        <w:rPr>
          <w:rFonts w:ascii="Calibri" w:eastAsia="Calibri" w:hAnsi="Calibri" w:cs="Calibri"/>
          <w:i/>
          <w:sz w:val="20"/>
          <w:szCs w:val="20"/>
        </w:rPr>
        <w:t>BMJ, 333</w:t>
      </w:r>
      <w:r w:rsidRPr="5490BE9B">
        <w:rPr>
          <w:rFonts w:ascii="Calibri" w:eastAsia="Calibri" w:hAnsi="Calibri" w:cs="Calibri"/>
          <w:sz w:val="20"/>
          <w:szCs w:val="20"/>
        </w:rPr>
        <w:t xml:space="preserve">(7566), Article 472. </w:t>
      </w:r>
      <w:hyperlink r:id="rId11" w:history="1">
        <w:r w:rsidRPr="5490BE9B">
          <w:rPr>
            <w:rStyle w:val="Hyperlink"/>
            <w:rFonts w:ascii="Calibri" w:eastAsia="Calibri" w:hAnsi="Calibri" w:cs="Calibri"/>
            <w:sz w:val="20"/>
            <w:szCs w:val="20"/>
          </w:rPr>
          <w:t>https://doi.org/10.1136/bmj.38897.555208.2F</w:t>
        </w:r>
      </w:hyperlink>
      <w:r w:rsidRPr="5490BE9B">
        <w:rPr>
          <w:color w:val="212121"/>
        </w:rPr>
        <w:t xml:space="preserve"> </w:t>
      </w:r>
    </w:p>
  </w:footnote>
  <w:footnote w:id="12">
    <w:p w14:paraId="2C02D1BB" w14:textId="77777777" w:rsidR="00EE65F5" w:rsidRPr="00787BCC" w:rsidRDefault="00EE65F5" w:rsidP="00EE65F5">
      <w:pPr>
        <w:rPr>
          <w:color w:val="212121"/>
        </w:rPr>
      </w:pPr>
      <w:r w:rsidRPr="5490BE9B">
        <w:rPr>
          <w:rStyle w:val="FootnoteReference"/>
        </w:rPr>
        <w:footnoteRef/>
      </w:r>
      <w:r w:rsidRPr="5490BE9B">
        <w:t xml:space="preserve"> </w:t>
      </w:r>
      <w:r w:rsidRPr="44C970C6">
        <w:rPr>
          <w:rFonts w:ascii="Calibri" w:eastAsia="Calibri" w:hAnsi="Calibri" w:cs="Calibri"/>
          <w:sz w:val="20"/>
          <w:szCs w:val="20"/>
        </w:rPr>
        <w:t>Britto, P. R., Lye, S. J., Proulx, K., Yousafzai, A. K., Matthews, S. G., Vaivada</w:t>
      </w:r>
      <w:r w:rsidRPr="5490BE9B">
        <w:rPr>
          <w:rFonts w:ascii="Calibri" w:eastAsia="Calibri" w:hAnsi="Calibri" w:cs="Calibri"/>
          <w:sz w:val="20"/>
          <w:szCs w:val="20"/>
        </w:rPr>
        <w:t xml:space="preserve">, T., Perez-Escamilla, R., Rao, N., Ip, P., Fernald, L. C. H., MacMillan, H., Hanson, M., Wachs, T. D., Yao, H., Yoshikawa, H., Cerezo, A., Leckman, J. F., Bhutta, Z. A., &amp; Early Childhood Development Interventions Review Group, for the Lancet Early Childhood Development Series Steering Committee. (2017). Nurturing care: Promoting early childhood development. </w:t>
      </w:r>
      <w:r w:rsidRPr="517FED55">
        <w:rPr>
          <w:rFonts w:ascii="Calibri" w:eastAsia="Calibri" w:hAnsi="Calibri" w:cs="Calibri"/>
          <w:i/>
          <w:iCs/>
          <w:sz w:val="20"/>
          <w:szCs w:val="20"/>
        </w:rPr>
        <w:t xml:space="preserve">The </w:t>
      </w:r>
      <w:r w:rsidRPr="517FED55">
        <w:rPr>
          <w:rFonts w:ascii="Calibri" w:eastAsia="Calibri" w:hAnsi="Calibri" w:cs="Calibri"/>
          <w:i/>
          <w:sz w:val="20"/>
          <w:szCs w:val="20"/>
        </w:rPr>
        <w:t>Lancet</w:t>
      </w:r>
      <w:r w:rsidRPr="5490BE9B">
        <w:rPr>
          <w:rFonts w:ascii="Calibri" w:eastAsia="Calibri" w:hAnsi="Calibri" w:cs="Calibri"/>
          <w:sz w:val="20"/>
          <w:szCs w:val="20"/>
        </w:rPr>
        <w:t xml:space="preserve">, </w:t>
      </w:r>
      <w:r w:rsidRPr="517FED55">
        <w:rPr>
          <w:rFonts w:ascii="Calibri" w:eastAsia="Calibri" w:hAnsi="Calibri" w:cs="Calibri"/>
          <w:i/>
          <w:sz w:val="20"/>
          <w:szCs w:val="20"/>
        </w:rPr>
        <w:t>389</w:t>
      </w:r>
      <w:r w:rsidRPr="5490BE9B">
        <w:rPr>
          <w:rFonts w:ascii="Calibri" w:eastAsia="Calibri" w:hAnsi="Calibri" w:cs="Calibri"/>
          <w:sz w:val="20"/>
          <w:szCs w:val="20"/>
        </w:rPr>
        <w:t xml:space="preserve">(10064), 91–102. </w:t>
      </w:r>
      <w:hyperlink r:id="rId12" w:history="1">
        <w:r w:rsidRPr="5490BE9B">
          <w:rPr>
            <w:rStyle w:val="Hyperlink"/>
            <w:rFonts w:ascii="Calibri" w:eastAsia="Calibri" w:hAnsi="Calibri" w:cs="Calibri"/>
            <w:sz w:val="20"/>
            <w:szCs w:val="20"/>
          </w:rPr>
          <w:t>https://doi.org/10.1016/S0140-6736(16)31390-3</w:t>
        </w:r>
      </w:hyperlink>
    </w:p>
  </w:footnote>
  <w:footnote w:id="13">
    <w:p w14:paraId="0334AC42" w14:textId="77777777" w:rsidR="00EE65F5" w:rsidRDefault="00EE65F5" w:rsidP="00EE65F5">
      <w:pPr>
        <w:pStyle w:val="FootnoteText"/>
      </w:pPr>
      <w:r>
        <w:rPr>
          <w:rStyle w:val="FootnoteReference"/>
        </w:rPr>
        <w:footnoteRef/>
      </w:r>
      <w:r>
        <w:t xml:space="preserve"> </w:t>
      </w:r>
      <w:r w:rsidRPr="002F0FA2">
        <w:t xml:space="preserve">e.g., </w:t>
      </w:r>
      <w:r w:rsidRPr="5490BE9B">
        <w:rPr>
          <w:rFonts w:ascii="Calibri" w:eastAsia="Calibri" w:hAnsi="Calibri" w:cs="Calibri"/>
        </w:rPr>
        <w:t xml:space="preserve">National Research Council (US) and Institute of Medicine (US) Committee on Integrating the Science of Early Childhood Development. (2000). </w:t>
      </w:r>
      <w:r w:rsidRPr="517FED55">
        <w:rPr>
          <w:rFonts w:ascii="Calibri" w:eastAsia="Calibri" w:hAnsi="Calibri" w:cs="Calibri"/>
          <w:i/>
          <w:iCs/>
        </w:rPr>
        <w:t>From neurons to neighborhoods: The science of early childhood development</w:t>
      </w:r>
      <w:r w:rsidRPr="5490BE9B">
        <w:rPr>
          <w:rFonts w:ascii="Calibri" w:eastAsia="Calibri" w:hAnsi="Calibri" w:cs="Calibri"/>
        </w:rPr>
        <w:t xml:space="preserve"> (J. P. Shonkoff &amp; D. A. Phillips, Eds.). National Academies Press (US). </w:t>
      </w:r>
      <w:hyperlink r:id="rId13" w:history="1">
        <w:r w:rsidRPr="5490BE9B">
          <w:rPr>
            <w:rStyle w:val="Hyperlink"/>
            <w:rFonts w:ascii="Calibri" w:eastAsia="Calibri" w:hAnsi="Calibri" w:cs="Calibri"/>
          </w:rPr>
          <w:t>https://doi.org/10.17226/9824</w:t>
        </w:r>
      </w:hyperlink>
      <w:r>
        <w:t xml:space="preserve"> </w:t>
      </w:r>
    </w:p>
  </w:footnote>
  <w:footnote w:id="14">
    <w:p w14:paraId="16C111BB" w14:textId="77777777" w:rsidR="00EE65F5" w:rsidRDefault="00EE65F5" w:rsidP="00EE65F5">
      <w:pPr>
        <w:pStyle w:val="FootnoteText"/>
        <w:rPr>
          <w:rFonts w:ascii="Calibri" w:hAnsi="Calibri" w:cs="Calibri"/>
          <w:color w:val="000000" w:themeColor="text1"/>
        </w:rPr>
      </w:pPr>
      <w:r>
        <w:rPr>
          <w:rStyle w:val="FootnoteReference"/>
        </w:rPr>
        <w:footnoteRef/>
      </w:r>
      <w:r>
        <w:t xml:space="preserve"> </w:t>
      </w:r>
      <w:r w:rsidRPr="5490BE9B">
        <w:rPr>
          <w:rFonts w:ascii="Calibri" w:eastAsia="Calibri" w:hAnsi="Calibri" w:cs="Calibri"/>
        </w:rPr>
        <w:t xml:space="preserve">Kilsztajn, S., Rossbach, A., do Carmo, M. S. N., &amp; Sugahara, G. T. L. (2003). Prenatal care, low birth weight and prematurity in São Paulo State, Brazil, 2000. </w:t>
      </w:r>
      <w:r w:rsidRPr="517FED55">
        <w:rPr>
          <w:rFonts w:ascii="Calibri" w:eastAsia="Calibri" w:hAnsi="Calibri" w:cs="Calibri"/>
          <w:i/>
        </w:rPr>
        <w:t xml:space="preserve">Revista De </w:t>
      </w:r>
      <w:r w:rsidRPr="517FED55">
        <w:rPr>
          <w:rFonts w:ascii="Calibri" w:eastAsia="Calibri" w:hAnsi="Calibri" w:cs="Calibri"/>
          <w:i/>
          <w:iCs/>
        </w:rPr>
        <w:t>Saude Publica</w:t>
      </w:r>
      <w:r w:rsidRPr="5490BE9B">
        <w:rPr>
          <w:rFonts w:ascii="Calibri" w:eastAsia="Calibri" w:hAnsi="Calibri" w:cs="Calibri"/>
        </w:rPr>
        <w:t xml:space="preserve">, </w:t>
      </w:r>
      <w:r w:rsidRPr="517FED55">
        <w:rPr>
          <w:rFonts w:ascii="Calibri" w:eastAsia="Calibri" w:hAnsi="Calibri" w:cs="Calibri"/>
          <w:i/>
        </w:rPr>
        <w:t>37</w:t>
      </w:r>
      <w:r w:rsidRPr="5490BE9B">
        <w:rPr>
          <w:rFonts w:ascii="Calibri" w:eastAsia="Calibri" w:hAnsi="Calibri" w:cs="Calibri"/>
        </w:rPr>
        <w:t xml:space="preserve">(3), 303–310. </w:t>
      </w:r>
      <w:hyperlink r:id="rId14" w:history="1">
        <w:r w:rsidRPr="5490BE9B">
          <w:rPr>
            <w:rStyle w:val="Hyperlink"/>
            <w:rFonts w:ascii="Calibri" w:eastAsia="Calibri" w:hAnsi="Calibri" w:cs="Calibri"/>
          </w:rPr>
          <w:t>https://doi.org/10.1590/s0034-89102003000300007</w:t>
        </w:r>
      </w:hyperlink>
    </w:p>
  </w:footnote>
  <w:footnote w:id="15">
    <w:p w14:paraId="07D1FDCB" w14:textId="77777777" w:rsidR="00EE65F5" w:rsidRPr="008D351B" w:rsidRDefault="00EE65F5" w:rsidP="00EE65F5">
      <w:pPr>
        <w:pStyle w:val="FootnoteText"/>
        <w:rPr>
          <w:rFonts w:ascii="Calibri" w:eastAsia="Calibri" w:hAnsi="Calibri" w:cs="Calibri"/>
        </w:rPr>
      </w:pPr>
      <w:r w:rsidRPr="008D351B">
        <w:rPr>
          <w:rStyle w:val="FootnoteReference"/>
        </w:rPr>
        <w:footnoteRef/>
      </w:r>
      <w:r>
        <w:t xml:space="preserve"> </w:t>
      </w:r>
      <w:r w:rsidRPr="008D351B">
        <w:rPr>
          <w:rFonts w:ascii="Calibri" w:eastAsia="Calibri" w:hAnsi="Calibri" w:cs="Calibri"/>
        </w:rPr>
        <w:t>Pfefferbaum, B., Jacobs, A</w:t>
      </w:r>
      <w:r w:rsidRPr="5490BE9B">
        <w:rPr>
          <w:rFonts w:ascii="Calibri" w:eastAsia="Calibri" w:hAnsi="Calibri" w:cs="Calibri"/>
        </w:rPr>
        <w:t>. K</w:t>
      </w:r>
      <w:r w:rsidRPr="008D351B">
        <w:rPr>
          <w:rFonts w:ascii="Calibri" w:eastAsia="Calibri" w:hAnsi="Calibri" w:cs="Calibri"/>
        </w:rPr>
        <w:t>., Van Horn, R</w:t>
      </w:r>
      <w:r w:rsidRPr="5490BE9B">
        <w:rPr>
          <w:rFonts w:ascii="Calibri" w:eastAsia="Calibri" w:hAnsi="Calibri" w:cs="Calibri"/>
        </w:rPr>
        <w:t>. L</w:t>
      </w:r>
      <w:r w:rsidRPr="008D351B">
        <w:rPr>
          <w:rFonts w:ascii="Calibri" w:eastAsia="Calibri" w:hAnsi="Calibri" w:cs="Calibri"/>
        </w:rPr>
        <w:t xml:space="preserve">., &amp; Houston, J. </w:t>
      </w:r>
      <w:r w:rsidRPr="5490BE9B">
        <w:rPr>
          <w:rFonts w:ascii="Calibri" w:eastAsia="Calibri" w:hAnsi="Calibri" w:cs="Calibri"/>
        </w:rPr>
        <w:t xml:space="preserve">B. </w:t>
      </w:r>
      <w:r w:rsidRPr="008D351B">
        <w:rPr>
          <w:rFonts w:ascii="Calibri" w:eastAsia="Calibri" w:hAnsi="Calibri" w:cs="Calibri"/>
        </w:rPr>
        <w:t xml:space="preserve">(2016). Effects of displacement in children exposed to disasters. </w:t>
      </w:r>
      <w:r w:rsidRPr="008D351B">
        <w:rPr>
          <w:rFonts w:ascii="Calibri" w:eastAsia="Calibri" w:hAnsi="Calibri" w:cs="Calibri"/>
          <w:i/>
          <w:iCs/>
        </w:rPr>
        <w:t>Current Psychiatry Reports</w:t>
      </w:r>
      <w:r w:rsidRPr="5490BE9B">
        <w:rPr>
          <w:rFonts w:ascii="Calibri" w:eastAsia="Calibri" w:hAnsi="Calibri" w:cs="Calibri"/>
        </w:rPr>
        <w:t xml:space="preserve">, </w:t>
      </w:r>
      <w:r w:rsidRPr="008D351B">
        <w:rPr>
          <w:rFonts w:ascii="Calibri" w:eastAsia="Calibri" w:hAnsi="Calibri" w:cs="Calibri"/>
          <w:i/>
          <w:iCs/>
        </w:rPr>
        <w:t>18</w:t>
      </w:r>
      <w:r w:rsidRPr="008D351B">
        <w:rPr>
          <w:rFonts w:ascii="Calibri" w:eastAsia="Calibri" w:hAnsi="Calibri" w:cs="Calibri"/>
        </w:rPr>
        <w:t xml:space="preserve">(8), </w:t>
      </w:r>
      <w:r w:rsidRPr="5490BE9B">
        <w:rPr>
          <w:rFonts w:ascii="Calibri" w:eastAsia="Calibri" w:hAnsi="Calibri" w:cs="Calibri"/>
        </w:rPr>
        <w:t xml:space="preserve">Article 71. </w:t>
      </w:r>
      <w:hyperlink r:id="rId15" w:history="1">
        <w:r w:rsidRPr="5490BE9B">
          <w:rPr>
            <w:rStyle w:val="Hyperlink"/>
            <w:rFonts w:ascii="Calibri" w:eastAsia="Calibri" w:hAnsi="Calibri" w:cs="Calibri"/>
          </w:rPr>
          <w:t>https://doi.org/10.1007/s11920-016-0714-1</w:t>
        </w:r>
      </w:hyperlink>
      <w:r w:rsidRPr="5490BE9B">
        <w:rPr>
          <w:rFonts w:ascii="Calibri" w:eastAsia="Calibri" w:hAnsi="Calibri" w:cs="Calibri"/>
        </w:rPr>
        <w:t xml:space="preserve"> </w:t>
      </w:r>
    </w:p>
  </w:footnote>
  <w:footnote w:id="16">
    <w:p w14:paraId="1E020A79" w14:textId="77777777" w:rsidR="00EE65F5" w:rsidRPr="008D351B" w:rsidRDefault="00EE65F5" w:rsidP="00EE65F5">
      <w:pPr>
        <w:pStyle w:val="FootnoteText"/>
        <w:rPr>
          <w:rFonts w:ascii="Calibri" w:eastAsia="Calibri" w:hAnsi="Calibri" w:cs="Calibri"/>
        </w:rPr>
      </w:pPr>
      <w:r w:rsidRPr="008D351B">
        <w:rPr>
          <w:rStyle w:val="FootnoteReference"/>
        </w:rPr>
        <w:footnoteRef/>
      </w:r>
      <w:r w:rsidRPr="008D351B">
        <w:t xml:space="preserve"> </w:t>
      </w:r>
      <w:r w:rsidRPr="008D351B">
        <w:rPr>
          <w:rFonts w:ascii="Calibri" w:eastAsia="Calibri" w:hAnsi="Calibri" w:cs="Calibri"/>
        </w:rPr>
        <w:t>Pfefferbaum, B., Jacobs, A</w:t>
      </w:r>
      <w:r w:rsidRPr="5490BE9B">
        <w:rPr>
          <w:rFonts w:ascii="Calibri" w:eastAsia="Calibri" w:hAnsi="Calibri" w:cs="Calibri"/>
        </w:rPr>
        <w:t>. K</w:t>
      </w:r>
      <w:r w:rsidRPr="008D351B">
        <w:rPr>
          <w:rFonts w:ascii="Calibri" w:eastAsia="Calibri" w:hAnsi="Calibri" w:cs="Calibri"/>
        </w:rPr>
        <w:t>., Van Horn, R</w:t>
      </w:r>
      <w:r w:rsidRPr="5490BE9B">
        <w:rPr>
          <w:rFonts w:ascii="Calibri" w:eastAsia="Calibri" w:hAnsi="Calibri" w:cs="Calibri"/>
        </w:rPr>
        <w:t>. L</w:t>
      </w:r>
      <w:r w:rsidRPr="008D351B">
        <w:rPr>
          <w:rFonts w:ascii="Calibri" w:eastAsia="Calibri" w:hAnsi="Calibri" w:cs="Calibri"/>
        </w:rPr>
        <w:t xml:space="preserve">., &amp; Houston, J. </w:t>
      </w:r>
      <w:r w:rsidRPr="5490BE9B">
        <w:rPr>
          <w:rFonts w:ascii="Calibri" w:eastAsia="Calibri" w:hAnsi="Calibri" w:cs="Calibri"/>
        </w:rPr>
        <w:t xml:space="preserve">B. </w:t>
      </w:r>
      <w:r w:rsidRPr="008D351B">
        <w:rPr>
          <w:rFonts w:ascii="Calibri" w:eastAsia="Calibri" w:hAnsi="Calibri" w:cs="Calibri"/>
        </w:rPr>
        <w:t xml:space="preserve">(2016). Effects of displacement in children exposed to disasters. </w:t>
      </w:r>
      <w:r w:rsidRPr="008D351B">
        <w:rPr>
          <w:rFonts w:ascii="Calibri" w:eastAsia="Calibri" w:hAnsi="Calibri" w:cs="Calibri"/>
          <w:i/>
          <w:iCs/>
        </w:rPr>
        <w:t>Current Psychiatry Reports</w:t>
      </w:r>
      <w:r w:rsidRPr="5490BE9B">
        <w:rPr>
          <w:rFonts w:ascii="Calibri" w:eastAsia="Calibri" w:hAnsi="Calibri" w:cs="Calibri"/>
        </w:rPr>
        <w:t xml:space="preserve">, </w:t>
      </w:r>
      <w:r w:rsidRPr="008D351B">
        <w:rPr>
          <w:rFonts w:ascii="Calibri" w:eastAsia="Calibri" w:hAnsi="Calibri" w:cs="Calibri"/>
          <w:i/>
          <w:iCs/>
        </w:rPr>
        <w:t>18</w:t>
      </w:r>
      <w:r w:rsidRPr="008D351B">
        <w:rPr>
          <w:rFonts w:ascii="Calibri" w:eastAsia="Calibri" w:hAnsi="Calibri" w:cs="Calibri"/>
        </w:rPr>
        <w:t xml:space="preserve">(8), </w:t>
      </w:r>
      <w:r w:rsidRPr="5490BE9B">
        <w:rPr>
          <w:rFonts w:ascii="Calibri" w:eastAsia="Calibri" w:hAnsi="Calibri" w:cs="Calibri"/>
        </w:rPr>
        <w:t xml:space="preserve">Article 71. </w:t>
      </w:r>
      <w:hyperlink r:id="rId16" w:history="1">
        <w:r w:rsidRPr="5490BE9B">
          <w:rPr>
            <w:rStyle w:val="Hyperlink"/>
            <w:rFonts w:ascii="Calibri" w:eastAsia="Calibri" w:hAnsi="Calibri" w:cs="Calibri"/>
          </w:rPr>
          <w:t>https://doi.org/10.1007/s11920-016-0714-1</w:t>
        </w:r>
      </w:hyperlink>
      <w:r w:rsidRPr="5490BE9B">
        <w:rPr>
          <w:rFonts w:ascii="Calibri" w:eastAsia="Calibri" w:hAnsi="Calibri" w:cs="Calibri"/>
        </w:rPr>
        <w:t xml:space="preserve"> </w:t>
      </w:r>
    </w:p>
  </w:footnote>
  <w:footnote w:id="17">
    <w:p w14:paraId="4F588080" w14:textId="77777777" w:rsidR="00EE65F5" w:rsidRPr="008D351B" w:rsidRDefault="00EE65F5" w:rsidP="00EE65F5">
      <w:pPr>
        <w:rPr>
          <w:rFonts w:ascii="Calibri" w:eastAsia="Calibri" w:hAnsi="Calibri" w:cs="Calibri"/>
          <w:sz w:val="20"/>
          <w:szCs w:val="20"/>
        </w:rPr>
      </w:pPr>
      <w:r w:rsidRPr="008D351B">
        <w:rPr>
          <w:rStyle w:val="FootnoteReference"/>
          <w:sz w:val="20"/>
          <w:szCs w:val="20"/>
        </w:rPr>
        <w:footnoteRef/>
      </w:r>
      <w:r w:rsidRPr="008D351B">
        <w:rPr>
          <w:sz w:val="20"/>
          <w:szCs w:val="20"/>
        </w:rPr>
        <w:t xml:space="preserve"> </w:t>
      </w:r>
      <w:r w:rsidRPr="5490BE9B">
        <w:rPr>
          <w:rFonts w:ascii="Calibri" w:eastAsia="Calibri" w:hAnsi="Calibri" w:cs="Calibri"/>
          <w:sz w:val="20"/>
          <w:szCs w:val="20"/>
        </w:rPr>
        <w:t xml:space="preserve">Gearhart, S., Perez-Patron, M., Hammond, T. A., Goldberg, D. W., </w:t>
      </w:r>
      <w:r w:rsidRPr="008D351B">
        <w:rPr>
          <w:rFonts w:ascii="Calibri" w:eastAsia="Calibri" w:hAnsi="Calibri" w:cs="Calibri"/>
          <w:sz w:val="20"/>
          <w:szCs w:val="20"/>
        </w:rPr>
        <w:t xml:space="preserve">Klein, A., &amp; Horney, J. A. (2018). The impact of natural disasters on domestic violence: An analysis of reports of simple assault in Florida (1999–2007). </w:t>
      </w:r>
      <w:r w:rsidRPr="008D351B">
        <w:rPr>
          <w:rFonts w:ascii="Calibri" w:eastAsia="Calibri" w:hAnsi="Calibri" w:cs="Calibri"/>
          <w:i/>
          <w:iCs/>
          <w:sz w:val="20"/>
          <w:szCs w:val="20"/>
        </w:rPr>
        <w:t xml:space="preserve">Violence and </w:t>
      </w:r>
      <w:r w:rsidRPr="517FED55">
        <w:rPr>
          <w:rFonts w:ascii="Calibri" w:eastAsia="Calibri" w:hAnsi="Calibri" w:cs="Calibri"/>
          <w:i/>
          <w:iCs/>
          <w:sz w:val="20"/>
          <w:szCs w:val="20"/>
        </w:rPr>
        <w:t>Gender</w:t>
      </w:r>
      <w:r w:rsidRPr="5490BE9B">
        <w:rPr>
          <w:rFonts w:ascii="Calibri" w:eastAsia="Calibri" w:hAnsi="Calibri" w:cs="Calibri"/>
          <w:sz w:val="20"/>
          <w:szCs w:val="20"/>
        </w:rPr>
        <w:t xml:space="preserve">, </w:t>
      </w:r>
      <w:r w:rsidRPr="008D351B">
        <w:rPr>
          <w:rFonts w:ascii="Calibri" w:eastAsia="Calibri" w:hAnsi="Calibri" w:cs="Calibri"/>
          <w:i/>
          <w:iCs/>
          <w:sz w:val="20"/>
          <w:szCs w:val="20"/>
        </w:rPr>
        <w:t>5</w:t>
      </w:r>
      <w:r w:rsidRPr="008D351B">
        <w:rPr>
          <w:rFonts w:ascii="Calibri" w:eastAsia="Calibri" w:hAnsi="Calibri" w:cs="Calibri"/>
          <w:sz w:val="20"/>
          <w:szCs w:val="20"/>
        </w:rPr>
        <w:t>(2), 87</w:t>
      </w:r>
      <w:r w:rsidRPr="5490BE9B">
        <w:rPr>
          <w:rFonts w:ascii="Calibri" w:eastAsia="Calibri" w:hAnsi="Calibri" w:cs="Calibri"/>
          <w:sz w:val="20"/>
          <w:szCs w:val="20"/>
        </w:rPr>
        <w:t>–</w:t>
      </w:r>
      <w:r w:rsidRPr="008D351B">
        <w:rPr>
          <w:rFonts w:ascii="Calibri" w:eastAsia="Calibri" w:hAnsi="Calibri" w:cs="Calibri"/>
          <w:sz w:val="20"/>
          <w:szCs w:val="20"/>
        </w:rPr>
        <w:t>92.</w:t>
      </w:r>
      <w:r w:rsidRPr="5490BE9B">
        <w:rPr>
          <w:rFonts w:ascii="Calibri" w:eastAsia="Calibri" w:hAnsi="Calibri" w:cs="Calibri"/>
          <w:sz w:val="20"/>
          <w:szCs w:val="20"/>
        </w:rPr>
        <w:t xml:space="preserve"> </w:t>
      </w:r>
      <w:hyperlink r:id="rId17" w:history="1">
        <w:r w:rsidRPr="00290E15">
          <w:rPr>
            <w:rStyle w:val="Hyperlink"/>
            <w:rFonts w:ascii="Calibri" w:eastAsia="Calibri" w:hAnsi="Calibri" w:cs="Calibri"/>
            <w:sz w:val="20"/>
            <w:szCs w:val="20"/>
          </w:rPr>
          <w:t>https://doi.org/10.1089/vio.2017.0077</w:t>
        </w:r>
      </w:hyperlink>
      <w:r w:rsidRPr="5490BE9B">
        <w:rPr>
          <w:rFonts w:ascii="Calibri" w:eastAsia="Calibri" w:hAnsi="Calibri" w:cs="Calibri"/>
          <w:sz w:val="20"/>
          <w:szCs w:val="20"/>
        </w:rPr>
        <w:t xml:space="preserve"> </w:t>
      </w:r>
      <w:r w:rsidRPr="008D351B">
        <w:rPr>
          <w:rFonts w:ascii="Calibri" w:eastAsia="Calibri" w:hAnsi="Calibri" w:cs="Calibri"/>
          <w:sz w:val="20"/>
          <w:szCs w:val="20"/>
        </w:rPr>
        <w:br/>
        <w:t>Keenan, H</w:t>
      </w:r>
      <w:r w:rsidRPr="5490BE9B">
        <w:rPr>
          <w:rFonts w:ascii="Calibri" w:eastAsia="Calibri" w:hAnsi="Calibri" w:cs="Calibri"/>
          <w:sz w:val="20"/>
          <w:szCs w:val="20"/>
        </w:rPr>
        <w:t>. T</w:t>
      </w:r>
      <w:r w:rsidRPr="008D351B">
        <w:rPr>
          <w:rFonts w:ascii="Calibri" w:eastAsia="Calibri" w:hAnsi="Calibri" w:cs="Calibri"/>
          <w:sz w:val="20"/>
          <w:szCs w:val="20"/>
        </w:rPr>
        <w:t>., Marshall, S</w:t>
      </w:r>
      <w:r w:rsidRPr="5490BE9B">
        <w:rPr>
          <w:rFonts w:ascii="Calibri" w:eastAsia="Calibri" w:hAnsi="Calibri" w:cs="Calibri"/>
          <w:sz w:val="20"/>
          <w:szCs w:val="20"/>
        </w:rPr>
        <w:t>. W</w:t>
      </w:r>
      <w:r w:rsidRPr="008D351B">
        <w:rPr>
          <w:rFonts w:ascii="Calibri" w:eastAsia="Calibri" w:hAnsi="Calibri" w:cs="Calibri"/>
          <w:sz w:val="20"/>
          <w:szCs w:val="20"/>
        </w:rPr>
        <w:t xml:space="preserve">., Nocera, M. A., &amp; Runyan, D. </w:t>
      </w:r>
      <w:r w:rsidRPr="5490BE9B">
        <w:rPr>
          <w:rFonts w:ascii="Calibri" w:eastAsia="Calibri" w:hAnsi="Calibri" w:cs="Calibri"/>
          <w:sz w:val="20"/>
          <w:szCs w:val="20"/>
        </w:rPr>
        <w:t xml:space="preserve">K. </w:t>
      </w:r>
      <w:r w:rsidRPr="008D351B">
        <w:rPr>
          <w:rFonts w:ascii="Calibri" w:eastAsia="Calibri" w:hAnsi="Calibri" w:cs="Calibri"/>
          <w:sz w:val="20"/>
          <w:szCs w:val="20"/>
        </w:rPr>
        <w:t xml:space="preserve">(2004). Increased incidence of inflicted traumatic brain injury in children after a natural disaster. </w:t>
      </w:r>
      <w:r w:rsidRPr="008D351B">
        <w:rPr>
          <w:rFonts w:ascii="Calibri" w:eastAsia="Calibri" w:hAnsi="Calibri" w:cs="Calibri"/>
          <w:i/>
          <w:iCs/>
          <w:sz w:val="20"/>
          <w:szCs w:val="20"/>
        </w:rPr>
        <w:t>American Journal of Preventive Medicine</w:t>
      </w:r>
      <w:r w:rsidRPr="5490BE9B">
        <w:rPr>
          <w:rFonts w:ascii="Calibri" w:eastAsia="Calibri" w:hAnsi="Calibri" w:cs="Calibri"/>
          <w:sz w:val="20"/>
          <w:szCs w:val="20"/>
        </w:rPr>
        <w:t xml:space="preserve">, </w:t>
      </w:r>
      <w:r w:rsidRPr="008D351B">
        <w:rPr>
          <w:rFonts w:ascii="Calibri" w:eastAsia="Calibri" w:hAnsi="Calibri" w:cs="Calibri"/>
          <w:i/>
          <w:iCs/>
          <w:sz w:val="20"/>
          <w:szCs w:val="20"/>
        </w:rPr>
        <w:t>26</w:t>
      </w:r>
      <w:r w:rsidRPr="5490BE9B">
        <w:rPr>
          <w:rFonts w:ascii="Calibri" w:eastAsia="Calibri" w:hAnsi="Calibri" w:cs="Calibri"/>
          <w:sz w:val="20"/>
          <w:szCs w:val="20"/>
        </w:rPr>
        <w:t xml:space="preserve">(3), 189–193. </w:t>
      </w:r>
      <w:hyperlink r:id="rId18" w:history="1">
        <w:r w:rsidRPr="5490BE9B">
          <w:rPr>
            <w:rStyle w:val="Hyperlink"/>
            <w:rFonts w:ascii="Calibri" w:eastAsia="Calibri" w:hAnsi="Calibri" w:cs="Calibri"/>
            <w:sz w:val="20"/>
            <w:szCs w:val="20"/>
          </w:rPr>
          <w:t>https://doi.org/10.1016/j.amepre.2003.10.023</w:t>
        </w:r>
      </w:hyperlink>
      <w:r w:rsidRPr="5490BE9B">
        <w:rPr>
          <w:rFonts w:ascii="Calibri" w:eastAsia="Calibri" w:hAnsi="Calibri" w:cs="Calibri"/>
          <w:sz w:val="20"/>
          <w:szCs w:val="20"/>
        </w:rPr>
        <w:t xml:space="preserve"> </w:t>
      </w:r>
    </w:p>
  </w:footnote>
  <w:footnote w:id="18">
    <w:p w14:paraId="11467F5A" w14:textId="77777777" w:rsidR="00EE65F5" w:rsidRPr="008D351B" w:rsidRDefault="00EE65F5" w:rsidP="00EE65F5">
      <w:pPr>
        <w:pStyle w:val="FootnoteText"/>
        <w:rPr>
          <w:rFonts w:ascii="Calibri" w:eastAsia="Calibri" w:hAnsi="Calibri" w:cs="Calibri"/>
        </w:rPr>
      </w:pPr>
      <w:r w:rsidRPr="008D351B">
        <w:rPr>
          <w:rStyle w:val="FootnoteReference"/>
        </w:rPr>
        <w:footnoteRef/>
      </w:r>
      <w:r w:rsidRPr="008D351B">
        <w:t xml:space="preserve"> </w:t>
      </w:r>
      <w:r w:rsidRPr="008D351B">
        <w:rPr>
          <w:rFonts w:ascii="Calibri" w:eastAsia="Calibri" w:hAnsi="Calibri" w:cs="Calibri"/>
        </w:rPr>
        <w:t>Cerna-Turoff, I., Fischer, H</w:t>
      </w:r>
      <w:r w:rsidRPr="5490BE9B">
        <w:rPr>
          <w:rFonts w:ascii="Calibri" w:eastAsia="Calibri" w:hAnsi="Calibri" w:cs="Calibri"/>
        </w:rPr>
        <w:t>.-</w:t>
      </w:r>
      <w:r w:rsidRPr="008D351B">
        <w:rPr>
          <w:rFonts w:ascii="Calibri" w:eastAsia="Calibri" w:hAnsi="Calibri" w:cs="Calibri"/>
        </w:rPr>
        <w:t xml:space="preserve">T., Mansourian, H., &amp; Mayhew, S. (2021). The pathways between natural disasters and violence against children: </w:t>
      </w:r>
      <w:r w:rsidRPr="5490BE9B">
        <w:rPr>
          <w:rFonts w:ascii="Calibri" w:eastAsia="Calibri" w:hAnsi="Calibri" w:cs="Calibri"/>
        </w:rPr>
        <w:t>A</w:t>
      </w:r>
      <w:r w:rsidRPr="008D351B">
        <w:rPr>
          <w:rFonts w:ascii="Calibri" w:eastAsia="Calibri" w:hAnsi="Calibri" w:cs="Calibri"/>
        </w:rPr>
        <w:t xml:space="preserve"> systematic review. </w:t>
      </w:r>
      <w:r w:rsidRPr="008D351B">
        <w:rPr>
          <w:rFonts w:ascii="Calibri" w:eastAsia="Calibri" w:hAnsi="Calibri" w:cs="Calibri"/>
          <w:i/>
          <w:iCs/>
        </w:rPr>
        <w:t xml:space="preserve">BMC </w:t>
      </w:r>
      <w:r w:rsidRPr="517FED55">
        <w:rPr>
          <w:rFonts w:ascii="Calibri" w:eastAsia="Calibri" w:hAnsi="Calibri" w:cs="Calibri"/>
          <w:i/>
          <w:iCs/>
        </w:rPr>
        <w:t>Public Health</w:t>
      </w:r>
      <w:r w:rsidRPr="5490BE9B">
        <w:rPr>
          <w:rFonts w:ascii="Calibri" w:eastAsia="Calibri" w:hAnsi="Calibri" w:cs="Calibri"/>
        </w:rPr>
        <w:t xml:space="preserve">, </w:t>
      </w:r>
      <w:r w:rsidRPr="008D351B">
        <w:rPr>
          <w:rFonts w:ascii="Calibri" w:eastAsia="Calibri" w:hAnsi="Calibri" w:cs="Calibri"/>
          <w:i/>
          <w:iCs/>
        </w:rPr>
        <w:t>21</w:t>
      </w:r>
      <w:r w:rsidRPr="008D351B">
        <w:rPr>
          <w:rFonts w:ascii="Calibri" w:eastAsia="Calibri" w:hAnsi="Calibri" w:cs="Calibri"/>
        </w:rPr>
        <w:t xml:space="preserve">(1), </w:t>
      </w:r>
      <w:r w:rsidRPr="5490BE9B">
        <w:rPr>
          <w:rFonts w:ascii="Calibri" w:eastAsia="Calibri" w:hAnsi="Calibri" w:cs="Calibri"/>
        </w:rPr>
        <w:t xml:space="preserve">Article </w:t>
      </w:r>
      <w:r w:rsidRPr="008D351B">
        <w:rPr>
          <w:rFonts w:ascii="Calibri" w:eastAsia="Calibri" w:hAnsi="Calibri" w:cs="Calibri"/>
        </w:rPr>
        <w:t xml:space="preserve">1249. </w:t>
      </w:r>
      <w:hyperlink r:id="rId19" w:history="1">
        <w:r w:rsidRPr="5490BE9B">
          <w:rPr>
            <w:rStyle w:val="Hyperlink"/>
            <w:rFonts w:ascii="Calibri" w:eastAsia="Calibri" w:hAnsi="Calibri" w:cs="Calibri"/>
          </w:rPr>
          <w:t>https://doi.org/10.1186/s12889-021-11252-3</w:t>
        </w:r>
      </w:hyperlink>
      <w:r w:rsidRPr="5490BE9B">
        <w:rPr>
          <w:rFonts w:ascii="Calibri" w:eastAsia="Calibri" w:hAnsi="Calibri" w:cs="Calibri"/>
        </w:rPr>
        <w:t xml:space="preserve"> </w:t>
      </w:r>
    </w:p>
  </w:footnote>
  <w:footnote w:id="19">
    <w:p w14:paraId="589052CC" w14:textId="77777777" w:rsidR="00EE65F5" w:rsidRPr="008D351B" w:rsidRDefault="00EE65F5" w:rsidP="00EE65F5">
      <w:pPr>
        <w:pStyle w:val="FootnoteText"/>
        <w:rPr>
          <w:rFonts w:ascii="Calibri" w:eastAsia="Calibri" w:hAnsi="Calibri" w:cs="Calibri"/>
        </w:rPr>
      </w:pPr>
      <w:r w:rsidRPr="008D351B">
        <w:rPr>
          <w:rStyle w:val="FootnoteReference"/>
        </w:rPr>
        <w:footnoteRef/>
      </w:r>
      <w:r w:rsidRPr="008D351B">
        <w:t xml:space="preserve"> </w:t>
      </w:r>
      <w:r w:rsidRPr="008D351B">
        <w:rPr>
          <w:rFonts w:ascii="Calibri" w:eastAsia="Calibri" w:hAnsi="Calibri" w:cs="Calibri"/>
        </w:rPr>
        <w:t>Burke, S. E</w:t>
      </w:r>
      <w:r w:rsidRPr="5490BE9B">
        <w:rPr>
          <w:rFonts w:ascii="Calibri" w:eastAsia="Calibri" w:hAnsi="Calibri" w:cs="Calibri"/>
        </w:rPr>
        <w:t>. L</w:t>
      </w:r>
      <w:r w:rsidRPr="008D351B">
        <w:rPr>
          <w:rFonts w:ascii="Calibri" w:eastAsia="Calibri" w:hAnsi="Calibri" w:cs="Calibri"/>
        </w:rPr>
        <w:t xml:space="preserve">., Sanson, A. V., &amp; Van Hoorn, J. (2018). The psychological effects of climate change on children. </w:t>
      </w:r>
      <w:r w:rsidRPr="517FED55">
        <w:rPr>
          <w:rFonts w:ascii="Calibri" w:eastAsia="Calibri" w:hAnsi="Calibri" w:cs="Calibri"/>
          <w:i/>
          <w:iCs/>
        </w:rPr>
        <w:t>Current Psychiatry Reports</w:t>
      </w:r>
      <w:r w:rsidRPr="5490BE9B">
        <w:rPr>
          <w:rFonts w:ascii="Calibri" w:eastAsia="Calibri" w:hAnsi="Calibri" w:cs="Calibri"/>
        </w:rPr>
        <w:t xml:space="preserve">, </w:t>
      </w:r>
      <w:r w:rsidRPr="517FED55">
        <w:rPr>
          <w:rFonts w:ascii="Calibri" w:eastAsia="Calibri" w:hAnsi="Calibri" w:cs="Calibri"/>
          <w:i/>
          <w:iCs/>
        </w:rPr>
        <w:t>20</w:t>
      </w:r>
      <w:r w:rsidRPr="5490BE9B">
        <w:rPr>
          <w:rFonts w:ascii="Calibri" w:eastAsia="Calibri" w:hAnsi="Calibri" w:cs="Calibri"/>
        </w:rPr>
        <w:t xml:space="preserve">(5), Article 35. </w:t>
      </w:r>
      <w:hyperlink r:id="rId20" w:history="1">
        <w:r w:rsidRPr="00A10EEE">
          <w:rPr>
            <w:rStyle w:val="Hyperlink"/>
            <w:rFonts w:ascii="Calibri" w:eastAsia="Calibri" w:hAnsi="Calibri" w:cs="Calibri"/>
          </w:rPr>
          <w:t>https://doi.org/10.1007/s11920-018-0896-9</w:t>
        </w:r>
      </w:hyperlink>
      <w:r w:rsidRPr="5490BE9B">
        <w:rPr>
          <w:rFonts w:ascii="Calibri" w:eastAsia="Calibri" w:hAnsi="Calibri" w:cs="Calibri"/>
        </w:rPr>
        <w:t xml:space="preserve"> </w:t>
      </w:r>
    </w:p>
  </w:footnote>
  <w:footnote w:id="20">
    <w:p w14:paraId="33C5314E" w14:textId="77777777" w:rsidR="00EE65F5" w:rsidRPr="008D351B" w:rsidRDefault="00EE65F5" w:rsidP="00EE65F5">
      <w:pPr>
        <w:pStyle w:val="FootnoteText"/>
        <w:rPr>
          <w:rFonts w:eastAsia="Calibri"/>
        </w:rPr>
      </w:pPr>
      <w:r w:rsidRPr="5490BE9B">
        <w:rPr>
          <w:rStyle w:val="FootnoteReference"/>
        </w:rPr>
        <w:footnoteRef/>
      </w:r>
      <w:r w:rsidRPr="5490BE9B">
        <w:t xml:space="preserve"> </w:t>
      </w:r>
      <w:r w:rsidRPr="5490BE9B">
        <w:rPr>
          <w:rFonts w:ascii="Calibri" w:eastAsia="Calibri" w:hAnsi="Calibri" w:cs="Calibri"/>
        </w:rPr>
        <w:t xml:space="preserve">Clayton, S. (2020). Climate anxiety: Psychological responses to climate change. </w:t>
      </w:r>
      <w:r w:rsidRPr="517FED55">
        <w:rPr>
          <w:rFonts w:ascii="Calibri" w:eastAsia="Calibri" w:hAnsi="Calibri" w:cs="Calibri"/>
          <w:i/>
        </w:rPr>
        <w:t>Journal of Anxiety Disorders</w:t>
      </w:r>
      <w:r w:rsidRPr="5490BE9B">
        <w:rPr>
          <w:rFonts w:ascii="Calibri" w:eastAsia="Calibri" w:hAnsi="Calibri" w:cs="Calibri"/>
        </w:rPr>
        <w:t xml:space="preserve">, </w:t>
      </w:r>
      <w:r w:rsidRPr="517FED55">
        <w:rPr>
          <w:rFonts w:ascii="Calibri" w:eastAsia="Calibri" w:hAnsi="Calibri" w:cs="Calibri"/>
          <w:i/>
        </w:rPr>
        <w:t>74</w:t>
      </w:r>
      <w:r w:rsidRPr="5490BE9B">
        <w:rPr>
          <w:rFonts w:ascii="Calibri" w:eastAsia="Calibri" w:hAnsi="Calibri" w:cs="Calibri"/>
        </w:rPr>
        <w:t xml:space="preserve">, Article 102263. </w:t>
      </w:r>
      <w:hyperlink r:id="rId21" w:history="1">
        <w:r w:rsidRPr="5490BE9B">
          <w:rPr>
            <w:rStyle w:val="Hyperlink"/>
            <w:rFonts w:ascii="Calibri" w:eastAsia="Calibri" w:hAnsi="Calibri" w:cs="Calibri"/>
          </w:rPr>
          <w:t>https://doi.org/10.1016/j.janxdis.2020.102263</w:t>
        </w:r>
      </w:hyperlink>
      <w:r w:rsidRPr="5490BE9B">
        <w:rPr>
          <w:rFonts w:eastAsia="Calibri"/>
        </w:rPr>
        <w:t xml:space="preserve"> </w:t>
      </w:r>
    </w:p>
  </w:footnote>
  <w:footnote w:id="21">
    <w:p w14:paraId="2F0144F8" w14:textId="77777777" w:rsidR="00EE65F5" w:rsidRPr="008D351B" w:rsidRDefault="00EE65F5" w:rsidP="00EE65F5">
      <w:pPr>
        <w:pStyle w:val="pf0"/>
        <w:spacing w:before="0" w:beforeAutospacing="0" w:after="0" w:afterAutospacing="0"/>
        <w:rPr>
          <w:rStyle w:val="cf11"/>
          <w:rFonts w:asciiTheme="minorHAnsi" w:hAnsiTheme="minorHAnsi" w:cstheme="minorBidi"/>
          <w:sz w:val="20"/>
          <w:szCs w:val="20"/>
        </w:rPr>
      </w:pPr>
      <w:r w:rsidRPr="5490BE9B">
        <w:rPr>
          <w:rStyle w:val="FootnoteReference"/>
          <w:rFonts w:asciiTheme="minorHAnsi" w:hAnsiTheme="minorHAnsi" w:cstheme="minorBidi"/>
          <w:sz w:val="20"/>
          <w:szCs w:val="20"/>
        </w:rPr>
        <w:footnoteRef/>
      </w:r>
      <w:r w:rsidRPr="5490BE9B">
        <w:rPr>
          <w:rFonts w:asciiTheme="minorHAnsi" w:hAnsiTheme="minorHAnsi" w:cstheme="minorBidi"/>
          <w:sz w:val="20"/>
          <w:szCs w:val="20"/>
        </w:rPr>
        <w:t xml:space="preserve"> </w:t>
      </w:r>
      <w:r w:rsidRPr="5490BE9B">
        <w:rPr>
          <w:rFonts w:ascii="Calibri" w:eastAsia="Calibri" w:hAnsi="Calibri" w:cs="Calibri"/>
          <w:sz w:val="20"/>
          <w:szCs w:val="20"/>
        </w:rPr>
        <w:t xml:space="preserve">Hickman, C., Marks, E., Pihkala, P., Clayton, S., Lewandowski, R. E., Mayall, E. E., Wray, B., Mellor, C., &amp; Susteren, L. van. (2021). Climate anxiety in children and young people and their beliefs about government responses to climate change: A global survey. </w:t>
      </w:r>
      <w:r w:rsidRPr="517FED55">
        <w:rPr>
          <w:rFonts w:ascii="Calibri" w:eastAsia="Calibri" w:hAnsi="Calibri" w:cs="Calibri"/>
          <w:i/>
          <w:iCs/>
          <w:sz w:val="20"/>
          <w:szCs w:val="20"/>
        </w:rPr>
        <w:t xml:space="preserve">The </w:t>
      </w:r>
      <w:r w:rsidRPr="517FED55">
        <w:rPr>
          <w:rFonts w:ascii="Calibri" w:eastAsia="Calibri" w:hAnsi="Calibri" w:cs="Calibri"/>
          <w:i/>
          <w:sz w:val="20"/>
          <w:szCs w:val="20"/>
        </w:rPr>
        <w:t>Lancet Planetary Health</w:t>
      </w:r>
      <w:r w:rsidRPr="5490BE9B">
        <w:rPr>
          <w:rFonts w:ascii="Calibri" w:eastAsia="Calibri" w:hAnsi="Calibri" w:cs="Calibri"/>
          <w:sz w:val="20"/>
          <w:szCs w:val="20"/>
        </w:rPr>
        <w:t xml:space="preserve">, </w:t>
      </w:r>
      <w:r w:rsidRPr="517FED55">
        <w:rPr>
          <w:rFonts w:ascii="Calibri" w:eastAsia="Calibri" w:hAnsi="Calibri" w:cs="Calibri"/>
          <w:i/>
          <w:sz w:val="20"/>
          <w:szCs w:val="20"/>
        </w:rPr>
        <w:t>5</w:t>
      </w:r>
      <w:r w:rsidRPr="5490BE9B">
        <w:rPr>
          <w:rFonts w:ascii="Calibri" w:eastAsia="Calibri" w:hAnsi="Calibri" w:cs="Calibri"/>
          <w:sz w:val="20"/>
          <w:szCs w:val="20"/>
        </w:rPr>
        <w:t xml:space="preserve">(12), e863–e873. </w:t>
      </w:r>
      <w:hyperlink r:id="rId22" w:history="1">
        <w:r w:rsidRPr="5490BE9B">
          <w:rPr>
            <w:rStyle w:val="Hyperlink"/>
            <w:rFonts w:ascii="Calibri" w:eastAsia="Calibri" w:hAnsi="Calibri" w:cs="Calibri"/>
            <w:sz w:val="20"/>
            <w:szCs w:val="20"/>
          </w:rPr>
          <w:t>https://doi.org/10.1016/S2542-5196(21)00278-3</w:t>
        </w:r>
      </w:hyperlink>
      <w:r w:rsidRPr="5490BE9B">
        <w:rPr>
          <w:rStyle w:val="cf01"/>
          <w:rFonts w:asciiTheme="minorHAnsi" w:hAnsiTheme="minorHAnsi" w:cstheme="minorBidi"/>
          <w:sz w:val="20"/>
          <w:szCs w:val="20"/>
        </w:rPr>
        <w:t xml:space="preserve"> </w:t>
      </w:r>
    </w:p>
  </w:footnote>
  <w:footnote w:id="22">
    <w:p w14:paraId="5EBFAA72" w14:textId="77777777" w:rsidR="00EE65F5" w:rsidRPr="008D351B" w:rsidRDefault="00EE65F5" w:rsidP="00EE65F5">
      <w:pPr>
        <w:rPr>
          <w:sz w:val="20"/>
          <w:szCs w:val="20"/>
        </w:rPr>
      </w:pPr>
      <w:r w:rsidRPr="5490BE9B">
        <w:rPr>
          <w:rStyle w:val="FootnoteReference"/>
          <w:sz w:val="20"/>
          <w:szCs w:val="20"/>
        </w:rPr>
        <w:footnoteRef/>
      </w:r>
      <w:r w:rsidRPr="5490BE9B">
        <w:rPr>
          <w:sz w:val="20"/>
          <w:szCs w:val="20"/>
        </w:rPr>
        <w:t xml:space="preserve"> </w:t>
      </w:r>
      <w:r w:rsidRPr="5490BE9B">
        <w:rPr>
          <w:rFonts w:ascii="Calibri" w:eastAsia="Calibri" w:hAnsi="Calibri" w:cs="Calibri"/>
          <w:sz w:val="20"/>
          <w:szCs w:val="20"/>
        </w:rPr>
        <w:t>Perera, F. P.,</w:t>
      </w:r>
      <w:r w:rsidRPr="008D351B">
        <w:rPr>
          <w:rFonts w:ascii="Calibri" w:eastAsia="Calibri" w:hAnsi="Calibri" w:cs="Calibri"/>
          <w:sz w:val="20"/>
          <w:szCs w:val="20"/>
        </w:rPr>
        <w:t xml:space="preserve"> Tang, D., Wang, S., Vishnevetsky, J., Zhang, B., Diaz, D., Camann, D., &amp; Rauh, V. (2012). Prenatal polycyclic aromatic hydrocarbon (PAH) exposure and child behavior at age 6</w:t>
      </w:r>
      <w:r w:rsidRPr="5490BE9B">
        <w:rPr>
          <w:rFonts w:ascii="Calibri" w:eastAsia="Calibri" w:hAnsi="Calibri" w:cs="Calibri"/>
          <w:sz w:val="20"/>
          <w:szCs w:val="20"/>
        </w:rPr>
        <w:t>-</w:t>
      </w:r>
      <w:r w:rsidRPr="008D351B">
        <w:rPr>
          <w:rFonts w:ascii="Calibri" w:eastAsia="Calibri" w:hAnsi="Calibri" w:cs="Calibri"/>
          <w:sz w:val="20"/>
          <w:szCs w:val="20"/>
        </w:rPr>
        <w:t xml:space="preserve">7 </w:t>
      </w:r>
      <w:r w:rsidRPr="5490BE9B">
        <w:rPr>
          <w:rFonts w:ascii="Calibri" w:eastAsia="Calibri" w:hAnsi="Calibri" w:cs="Calibri"/>
          <w:sz w:val="20"/>
          <w:szCs w:val="20"/>
        </w:rPr>
        <w:t xml:space="preserve">years. </w:t>
      </w:r>
      <w:r w:rsidRPr="008D351B">
        <w:rPr>
          <w:rFonts w:ascii="Calibri" w:eastAsia="Calibri" w:hAnsi="Calibri" w:cs="Calibri"/>
          <w:i/>
          <w:iCs/>
          <w:sz w:val="20"/>
          <w:szCs w:val="20"/>
        </w:rPr>
        <w:t>Environmental Health Perspectives</w:t>
      </w:r>
      <w:r w:rsidRPr="5490BE9B">
        <w:rPr>
          <w:rFonts w:ascii="Calibri" w:eastAsia="Calibri" w:hAnsi="Calibri" w:cs="Calibri"/>
          <w:sz w:val="20"/>
          <w:szCs w:val="20"/>
        </w:rPr>
        <w:t xml:space="preserve">, </w:t>
      </w:r>
      <w:r w:rsidRPr="008D351B">
        <w:rPr>
          <w:rFonts w:ascii="Calibri" w:eastAsia="Calibri" w:hAnsi="Calibri" w:cs="Calibri"/>
          <w:i/>
          <w:iCs/>
          <w:sz w:val="20"/>
          <w:szCs w:val="20"/>
        </w:rPr>
        <w:t>120</w:t>
      </w:r>
      <w:r w:rsidRPr="008D351B">
        <w:rPr>
          <w:rFonts w:ascii="Calibri" w:eastAsia="Calibri" w:hAnsi="Calibri" w:cs="Calibri"/>
          <w:sz w:val="20"/>
          <w:szCs w:val="20"/>
        </w:rPr>
        <w:t xml:space="preserve">(6), 921–926. </w:t>
      </w:r>
      <w:hyperlink r:id="rId23" w:history="1">
        <w:r w:rsidRPr="5490BE9B">
          <w:rPr>
            <w:rStyle w:val="Hyperlink"/>
            <w:rFonts w:ascii="Calibri" w:eastAsia="Calibri" w:hAnsi="Calibri" w:cs="Calibri"/>
            <w:sz w:val="20"/>
            <w:szCs w:val="20"/>
          </w:rPr>
          <w:t>https://doi.org/10.1289/ehp.1104315</w:t>
        </w:r>
      </w:hyperlink>
      <w:r w:rsidRPr="5490BE9B">
        <w:rPr>
          <w:rFonts w:eastAsia="Calibri"/>
          <w:sz w:val="20"/>
          <w:szCs w:val="20"/>
        </w:rPr>
        <w:t xml:space="preserve"> </w:t>
      </w:r>
    </w:p>
    <w:p w14:paraId="79FAB4C6" w14:textId="77777777" w:rsidR="00EE65F5" w:rsidRPr="008D351B" w:rsidRDefault="00EE65F5" w:rsidP="00EE65F5">
      <w:pPr>
        <w:rPr>
          <w:rFonts w:ascii="Calibri" w:eastAsia="Calibri" w:hAnsi="Calibri" w:cs="Calibri"/>
          <w:sz w:val="20"/>
          <w:szCs w:val="20"/>
        </w:rPr>
      </w:pPr>
      <w:r w:rsidRPr="008D351B">
        <w:rPr>
          <w:rFonts w:ascii="Calibri" w:eastAsia="Calibri" w:hAnsi="Calibri" w:cs="Calibri"/>
          <w:sz w:val="20"/>
          <w:szCs w:val="20"/>
        </w:rPr>
        <w:t xml:space="preserve">Wang, S., Zhang, J., Zeng, X., Zeng, Y., Wang, S., &amp; Chen, S. (2009). Association of traffic-related air pollution with children’s neurobehavioral functions in Quanzhou, China. </w:t>
      </w:r>
      <w:r w:rsidRPr="008D351B">
        <w:rPr>
          <w:rFonts w:ascii="Calibri" w:eastAsia="Calibri" w:hAnsi="Calibri" w:cs="Calibri"/>
          <w:i/>
          <w:iCs/>
          <w:sz w:val="20"/>
          <w:szCs w:val="20"/>
        </w:rPr>
        <w:t>Environmental Health Perspectives</w:t>
      </w:r>
      <w:r w:rsidRPr="5490BE9B">
        <w:rPr>
          <w:rFonts w:ascii="Calibri" w:eastAsia="Calibri" w:hAnsi="Calibri" w:cs="Calibri"/>
          <w:sz w:val="20"/>
          <w:szCs w:val="20"/>
        </w:rPr>
        <w:t xml:space="preserve">, </w:t>
      </w:r>
      <w:r w:rsidRPr="008D351B">
        <w:rPr>
          <w:rFonts w:ascii="Calibri" w:eastAsia="Calibri" w:hAnsi="Calibri" w:cs="Calibri"/>
          <w:i/>
          <w:iCs/>
          <w:sz w:val="20"/>
          <w:szCs w:val="20"/>
        </w:rPr>
        <w:t>117</w:t>
      </w:r>
      <w:r w:rsidRPr="5490BE9B">
        <w:rPr>
          <w:rFonts w:ascii="Calibri" w:eastAsia="Calibri" w:hAnsi="Calibri" w:cs="Calibri"/>
          <w:sz w:val="20"/>
          <w:szCs w:val="20"/>
        </w:rPr>
        <w:t xml:space="preserve">(10), 1612–1618. </w:t>
      </w:r>
      <w:hyperlink r:id="rId24" w:history="1">
        <w:r w:rsidRPr="5490BE9B">
          <w:rPr>
            <w:rStyle w:val="Hyperlink"/>
            <w:rFonts w:ascii="Calibri" w:eastAsia="Calibri" w:hAnsi="Calibri" w:cs="Calibri"/>
            <w:sz w:val="20"/>
            <w:szCs w:val="20"/>
          </w:rPr>
          <w:t>https://doi.org/10.1289/ehp.0800023</w:t>
        </w:r>
      </w:hyperlink>
      <w:r w:rsidRPr="5490BE9B">
        <w:rPr>
          <w:rFonts w:ascii="Calibri" w:eastAsia="Calibri" w:hAnsi="Calibri" w:cs="Calibri"/>
          <w:sz w:val="20"/>
          <w:szCs w:val="20"/>
        </w:rPr>
        <w:t xml:space="preserve"> </w:t>
      </w:r>
    </w:p>
  </w:footnote>
  <w:footnote w:id="23">
    <w:p w14:paraId="21F5F635" w14:textId="77777777" w:rsidR="00EE65F5" w:rsidRPr="008D351B" w:rsidRDefault="00EE65F5" w:rsidP="00EE65F5">
      <w:pPr>
        <w:rPr>
          <w:rFonts w:ascii="Calibri" w:eastAsia="Calibri" w:hAnsi="Calibri" w:cs="Calibri"/>
          <w:sz w:val="20"/>
          <w:szCs w:val="20"/>
        </w:rPr>
      </w:pPr>
      <w:r w:rsidRPr="008D351B">
        <w:rPr>
          <w:rStyle w:val="FootnoteReference"/>
          <w:sz w:val="20"/>
          <w:szCs w:val="20"/>
        </w:rPr>
        <w:footnoteRef/>
      </w:r>
      <w:r w:rsidRPr="008D351B">
        <w:rPr>
          <w:sz w:val="20"/>
          <w:szCs w:val="20"/>
        </w:rPr>
        <w:t xml:space="preserve"> </w:t>
      </w:r>
      <w:r w:rsidRPr="008D351B">
        <w:rPr>
          <w:rFonts w:ascii="Calibri" w:eastAsia="Calibri" w:hAnsi="Calibri" w:cs="Calibri"/>
          <w:sz w:val="20"/>
          <w:szCs w:val="20"/>
        </w:rPr>
        <w:t xml:space="preserve">Yorifuji, T., Kashima, S., Diez, M. H., Kado, Y., Sanada, S., &amp; Doi, H. (2017). Prenatal exposure to outdoor air pollution and child behavioral problems at school age in Japan. </w:t>
      </w:r>
      <w:r w:rsidRPr="008D351B">
        <w:rPr>
          <w:rFonts w:ascii="Calibri" w:eastAsia="Calibri" w:hAnsi="Calibri" w:cs="Calibri"/>
          <w:i/>
          <w:iCs/>
          <w:sz w:val="20"/>
          <w:szCs w:val="20"/>
        </w:rPr>
        <w:t xml:space="preserve">Environment </w:t>
      </w:r>
      <w:r w:rsidRPr="517FED55">
        <w:rPr>
          <w:rFonts w:ascii="Calibri" w:eastAsia="Calibri" w:hAnsi="Calibri" w:cs="Calibri"/>
          <w:i/>
          <w:iCs/>
          <w:sz w:val="20"/>
          <w:szCs w:val="20"/>
        </w:rPr>
        <w:t>International</w:t>
      </w:r>
      <w:r w:rsidRPr="5490BE9B">
        <w:rPr>
          <w:rFonts w:ascii="Calibri" w:eastAsia="Calibri" w:hAnsi="Calibri" w:cs="Calibri"/>
          <w:sz w:val="20"/>
          <w:szCs w:val="20"/>
        </w:rPr>
        <w:t xml:space="preserve">, </w:t>
      </w:r>
      <w:r w:rsidRPr="008D351B">
        <w:rPr>
          <w:rFonts w:ascii="Calibri" w:eastAsia="Calibri" w:hAnsi="Calibri" w:cs="Calibri"/>
          <w:i/>
          <w:iCs/>
          <w:sz w:val="20"/>
          <w:szCs w:val="20"/>
        </w:rPr>
        <w:t>99</w:t>
      </w:r>
      <w:r w:rsidRPr="008D351B">
        <w:rPr>
          <w:rFonts w:ascii="Calibri" w:eastAsia="Calibri" w:hAnsi="Calibri" w:cs="Calibri"/>
          <w:sz w:val="20"/>
          <w:szCs w:val="20"/>
        </w:rPr>
        <w:t>, 192</w:t>
      </w:r>
      <w:r w:rsidRPr="5490BE9B">
        <w:rPr>
          <w:rFonts w:ascii="Calibri" w:eastAsia="Calibri" w:hAnsi="Calibri" w:cs="Calibri"/>
          <w:sz w:val="20"/>
          <w:szCs w:val="20"/>
        </w:rPr>
        <w:t>–</w:t>
      </w:r>
      <w:r w:rsidRPr="008D351B">
        <w:rPr>
          <w:rFonts w:ascii="Calibri" w:eastAsia="Calibri" w:hAnsi="Calibri" w:cs="Calibri"/>
          <w:sz w:val="20"/>
          <w:szCs w:val="20"/>
        </w:rPr>
        <w:t>198.</w:t>
      </w:r>
      <w:r w:rsidRPr="5490BE9B">
        <w:rPr>
          <w:rFonts w:ascii="Calibri" w:eastAsia="Calibri" w:hAnsi="Calibri" w:cs="Calibri"/>
          <w:sz w:val="20"/>
          <w:szCs w:val="20"/>
        </w:rPr>
        <w:t xml:space="preserve"> </w:t>
      </w:r>
      <w:hyperlink r:id="rId25" w:history="1">
        <w:r w:rsidRPr="5490BE9B">
          <w:rPr>
            <w:rStyle w:val="Hyperlink"/>
            <w:rFonts w:ascii="Calibri" w:eastAsia="Calibri" w:hAnsi="Calibri" w:cs="Calibri"/>
            <w:sz w:val="20"/>
            <w:szCs w:val="20"/>
          </w:rPr>
          <w:t>https://doi.org/10.1016/j.envint.2016.11.016</w:t>
        </w:r>
      </w:hyperlink>
      <w:r w:rsidRPr="5490BE9B">
        <w:rPr>
          <w:rFonts w:ascii="Calibri" w:eastAsia="Calibri" w:hAnsi="Calibri" w:cs="Calibri"/>
          <w:sz w:val="20"/>
          <w:szCs w:val="20"/>
        </w:rPr>
        <w:t xml:space="preserve"> </w:t>
      </w:r>
    </w:p>
  </w:footnote>
  <w:footnote w:id="24">
    <w:p w14:paraId="73F326D8" w14:textId="77777777" w:rsidR="00EE65F5" w:rsidRPr="00863BBF" w:rsidRDefault="00EE65F5" w:rsidP="00EE65F5">
      <w:pPr>
        <w:pStyle w:val="FootnoteText"/>
        <w:rPr>
          <w:rFonts w:eastAsia="Calibri"/>
        </w:rPr>
      </w:pPr>
      <w:r w:rsidRPr="5490BE9B">
        <w:rPr>
          <w:rStyle w:val="FootnoteReference"/>
        </w:rPr>
        <w:footnoteRef/>
      </w:r>
      <w:r w:rsidRPr="5490BE9B">
        <w:t xml:space="preserve"> </w:t>
      </w:r>
      <w:r w:rsidRPr="5490BE9B">
        <w:rPr>
          <w:rFonts w:ascii="Calibri" w:eastAsia="Calibri" w:hAnsi="Calibri" w:cs="Calibri"/>
        </w:rPr>
        <w:t xml:space="preserve">Shonkoff, J. P., Garner, A. S., Committee on Psychosocial Aspects of Child and Family Health, Committee on Early Childhood, Adoption, and Dependent Care, &amp; Section on Developmental and Behavioral Pediatrics. (2012). The lifelong effects of early childhood adversity and toxic stress. </w:t>
      </w:r>
      <w:r w:rsidRPr="517FED55">
        <w:rPr>
          <w:rFonts w:ascii="Calibri" w:eastAsia="Calibri" w:hAnsi="Calibri" w:cs="Calibri"/>
          <w:i/>
        </w:rPr>
        <w:t>Pediatrics</w:t>
      </w:r>
      <w:r w:rsidRPr="5490BE9B">
        <w:rPr>
          <w:rFonts w:ascii="Calibri" w:eastAsia="Calibri" w:hAnsi="Calibri" w:cs="Calibri"/>
        </w:rPr>
        <w:t xml:space="preserve">, </w:t>
      </w:r>
      <w:r w:rsidRPr="517FED55">
        <w:rPr>
          <w:rFonts w:ascii="Calibri" w:eastAsia="Calibri" w:hAnsi="Calibri" w:cs="Calibri"/>
          <w:i/>
        </w:rPr>
        <w:t>129</w:t>
      </w:r>
      <w:r w:rsidRPr="5490BE9B">
        <w:rPr>
          <w:rFonts w:ascii="Calibri" w:eastAsia="Calibri" w:hAnsi="Calibri" w:cs="Calibri"/>
        </w:rPr>
        <w:t xml:space="preserve">(1), e232-246. </w:t>
      </w:r>
      <w:hyperlink r:id="rId26" w:history="1">
        <w:r w:rsidRPr="5490BE9B">
          <w:rPr>
            <w:rStyle w:val="Hyperlink"/>
            <w:rFonts w:ascii="Calibri" w:eastAsia="Calibri" w:hAnsi="Calibri" w:cs="Calibri"/>
          </w:rPr>
          <w:t>https://doi.org/10.1542/peds.2011-2663</w:t>
        </w:r>
      </w:hyperlink>
      <w:r w:rsidRPr="5490BE9B">
        <w:rPr>
          <w:rFonts w:eastAsia="Calibri"/>
        </w:rPr>
        <w:t xml:space="preserve"> </w:t>
      </w:r>
    </w:p>
  </w:footnote>
  <w:footnote w:id="25">
    <w:p w14:paraId="52261345" w14:textId="77777777" w:rsidR="00EE65F5" w:rsidRPr="00863BBF" w:rsidRDefault="00EE65F5" w:rsidP="00EE65F5">
      <w:pPr>
        <w:pStyle w:val="FootnoteText"/>
        <w:rPr>
          <w:rFonts w:eastAsia="Calibri"/>
        </w:rPr>
      </w:pPr>
      <w:r w:rsidRPr="5490BE9B">
        <w:rPr>
          <w:rStyle w:val="FootnoteReference"/>
        </w:rPr>
        <w:footnoteRef/>
      </w:r>
      <w:r w:rsidRPr="5490BE9B">
        <w:t xml:space="preserve"> </w:t>
      </w:r>
      <w:r w:rsidRPr="5490BE9B">
        <w:rPr>
          <w:rFonts w:ascii="Calibri" w:eastAsia="Calibri" w:hAnsi="Calibri" w:cs="Calibri"/>
        </w:rPr>
        <w:t xml:space="preserve">Maclean, J. C., Popovici, I., &amp; French, M. T. (2016). Are natural disasters in early childhood associated with mental health and substance use disorders as an adult? </w:t>
      </w:r>
      <w:r w:rsidRPr="517FED55">
        <w:rPr>
          <w:rFonts w:ascii="Calibri" w:eastAsia="Calibri" w:hAnsi="Calibri" w:cs="Calibri"/>
          <w:i/>
        </w:rPr>
        <w:t xml:space="preserve">Social Science </w:t>
      </w:r>
      <w:r w:rsidRPr="517FED55">
        <w:rPr>
          <w:rFonts w:ascii="Calibri" w:eastAsia="Calibri" w:hAnsi="Calibri" w:cs="Calibri"/>
          <w:i/>
          <w:iCs/>
        </w:rPr>
        <w:t>&amp;</w:t>
      </w:r>
      <w:r w:rsidRPr="517FED55">
        <w:rPr>
          <w:rFonts w:ascii="Calibri" w:eastAsia="Calibri" w:hAnsi="Calibri" w:cs="Calibri"/>
          <w:i/>
        </w:rPr>
        <w:t xml:space="preserve"> Medicine</w:t>
      </w:r>
      <w:r w:rsidRPr="5490BE9B">
        <w:rPr>
          <w:rFonts w:ascii="Calibri" w:eastAsia="Calibri" w:hAnsi="Calibri" w:cs="Calibri"/>
        </w:rPr>
        <w:t xml:space="preserve">, </w:t>
      </w:r>
      <w:r w:rsidRPr="517FED55">
        <w:rPr>
          <w:rFonts w:ascii="Calibri" w:eastAsia="Calibri" w:hAnsi="Calibri" w:cs="Calibri"/>
          <w:i/>
        </w:rPr>
        <w:t>151</w:t>
      </w:r>
      <w:r w:rsidRPr="5490BE9B">
        <w:rPr>
          <w:rFonts w:ascii="Calibri" w:eastAsia="Calibri" w:hAnsi="Calibri" w:cs="Calibri"/>
        </w:rPr>
        <w:t xml:space="preserve">, 78–91. </w:t>
      </w:r>
      <w:hyperlink r:id="rId27" w:history="1">
        <w:r w:rsidRPr="5490BE9B">
          <w:rPr>
            <w:rStyle w:val="Hyperlink"/>
            <w:rFonts w:ascii="Calibri" w:eastAsia="Calibri" w:hAnsi="Calibri" w:cs="Calibri"/>
          </w:rPr>
          <w:t>https://doi.org/10.1016/j.socscimed.2016.01.006</w:t>
        </w:r>
      </w:hyperlink>
      <w:r w:rsidRPr="5490BE9B">
        <w:rPr>
          <w:rFonts w:eastAsia="Calibri"/>
        </w:rPr>
        <w:t xml:space="preserve"> </w:t>
      </w:r>
    </w:p>
  </w:footnote>
  <w:footnote w:id="26">
    <w:p w14:paraId="19BE2000" w14:textId="77777777" w:rsidR="00EE65F5" w:rsidRPr="00863BBF" w:rsidRDefault="00EE65F5" w:rsidP="00EE65F5">
      <w:pPr>
        <w:pStyle w:val="FootnoteText"/>
      </w:pPr>
      <w:r w:rsidRPr="5490BE9B">
        <w:rPr>
          <w:rStyle w:val="FootnoteReference"/>
        </w:rPr>
        <w:footnoteRef/>
      </w:r>
      <w:r w:rsidRPr="5490BE9B">
        <w:rPr>
          <w:rStyle w:val="FootnoteReference"/>
        </w:rPr>
        <w:t xml:space="preserve"> </w:t>
      </w:r>
      <w:r w:rsidRPr="5490BE9B">
        <w:t xml:space="preserve">American Psychological Association. (2022). </w:t>
      </w:r>
      <w:r w:rsidRPr="44C970C6">
        <w:rPr>
          <w:i/>
        </w:rPr>
        <w:t>Addressing the climate crisis: An action plan for psychologists.</w:t>
      </w:r>
      <w:r>
        <w:t xml:space="preserve"> </w:t>
      </w:r>
      <w:r w:rsidRPr="44C970C6">
        <w:t xml:space="preserve"> </w:t>
      </w:r>
      <w:r w:rsidRPr="5490BE9B">
        <w:rPr>
          <w:rStyle w:val="Hyperlink"/>
        </w:rPr>
        <w:t>https://www.apa.org/science/about/publications/climate-crisis-action-plan.pdf</w:t>
      </w:r>
      <w:r w:rsidRPr="5490BE9B">
        <w:t xml:space="preserve"> </w:t>
      </w:r>
    </w:p>
  </w:footnote>
  <w:footnote w:id="27">
    <w:p w14:paraId="2DDE62FD" w14:textId="77777777" w:rsidR="00EE65F5" w:rsidRPr="00BF35FC" w:rsidRDefault="00EE65F5" w:rsidP="00EE65F5">
      <w:pPr>
        <w:pStyle w:val="FootnoteText"/>
      </w:pPr>
      <w:r w:rsidRPr="5490BE9B">
        <w:rPr>
          <w:rStyle w:val="FootnoteReference"/>
        </w:rPr>
        <w:footnoteRef/>
      </w:r>
      <w:r w:rsidRPr="44C970C6">
        <w:rPr>
          <w:rFonts w:ascii="Calibri" w:eastAsia="Calibri" w:hAnsi="Calibri" w:cs="Calibri"/>
        </w:rPr>
        <w:t xml:space="preserve"> UNICEF Office of Research</w:t>
      </w:r>
      <w:r w:rsidRPr="5490BE9B">
        <w:t>. (2020</w:t>
      </w:r>
      <w:r w:rsidRPr="5490BE9B">
        <w:rPr>
          <w:shd w:val="clear" w:color="auto" w:fill="FFFFFF"/>
        </w:rPr>
        <w:t xml:space="preserve">). </w:t>
      </w:r>
      <w:r w:rsidRPr="517FED55">
        <w:rPr>
          <w:i/>
          <w:iCs/>
          <w:shd w:val="clear" w:color="auto" w:fill="FFFFFF"/>
        </w:rPr>
        <w:t>The sale and sexual exploitation of children: Migration</w:t>
      </w:r>
      <w:r w:rsidRPr="44C970C6">
        <w:t xml:space="preserve">. </w:t>
      </w:r>
      <w:hyperlink r:id="rId28">
        <w:r w:rsidRPr="517FED55">
          <w:rPr>
            <w:rStyle w:val="Hyperlink"/>
          </w:rPr>
          <w:t>https://www.unicef-irc.org/publications/1122-the-sale-and-sexual-exploitation-of-children-migration.html</w:t>
        </w:r>
      </w:hyperlink>
    </w:p>
  </w:footnote>
  <w:footnote w:id="28">
    <w:p w14:paraId="47884639" w14:textId="77777777" w:rsidR="00EE65F5" w:rsidRPr="00863BBF" w:rsidRDefault="00EE65F5" w:rsidP="00EE65F5">
      <w:pPr>
        <w:pStyle w:val="FootnoteText"/>
        <w:rPr>
          <w:rFonts w:eastAsia="Calibri"/>
        </w:rPr>
      </w:pPr>
      <w:r w:rsidRPr="5490BE9B">
        <w:rPr>
          <w:rStyle w:val="FootnoteReference"/>
        </w:rPr>
        <w:footnoteRef/>
      </w:r>
      <w:r w:rsidRPr="5490BE9B">
        <w:t xml:space="preserve"> </w:t>
      </w:r>
      <w:r w:rsidRPr="5490BE9B">
        <w:rPr>
          <w:rFonts w:ascii="Calibri" w:eastAsia="Calibri" w:hAnsi="Calibri" w:cs="Calibri"/>
        </w:rPr>
        <w:t xml:space="preserve">Feygina, I., Chapman, D., &amp; Markowitz, E. (2020). Climate change: A challenge to human rights, justice, equality, and human well-being. In </w:t>
      </w:r>
      <w:r w:rsidRPr="517FED55">
        <w:rPr>
          <w:rFonts w:ascii="Calibri" w:eastAsia="Calibri" w:hAnsi="Calibri" w:cs="Calibri"/>
          <w:i/>
          <w:iCs/>
        </w:rPr>
        <w:t>The Cambridge handbook of psychology and human rights</w:t>
      </w:r>
      <w:r w:rsidRPr="5490BE9B">
        <w:rPr>
          <w:rFonts w:ascii="Calibri" w:eastAsia="Calibri" w:hAnsi="Calibri" w:cs="Calibri"/>
        </w:rPr>
        <w:t xml:space="preserve"> (pp. 443–458). Cambridge University Press. </w:t>
      </w:r>
      <w:hyperlink r:id="rId29" w:history="1">
        <w:r w:rsidRPr="5490BE9B">
          <w:rPr>
            <w:rStyle w:val="Hyperlink"/>
            <w:rFonts w:ascii="Calibri" w:eastAsia="Calibri" w:hAnsi="Calibri" w:cs="Calibri"/>
          </w:rPr>
          <w:t>https://doi.org/10.1017/9781108348607.031</w:t>
        </w:r>
      </w:hyperlink>
      <w:r w:rsidRPr="5490BE9B">
        <w:t xml:space="preserve"> </w:t>
      </w:r>
    </w:p>
    <w:p w14:paraId="51FAC908" w14:textId="77777777" w:rsidR="00EE65F5" w:rsidRPr="00863BBF" w:rsidRDefault="00EE65F5" w:rsidP="00EE65F5">
      <w:pPr>
        <w:pStyle w:val="FootnoteText"/>
        <w:rPr>
          <w:rFonts w:eastAsia="Calibri" w:cstheme="minorHAnsi"/>
        </w:rPr>
      </w:pPr>
      <w:r w:rsidRPr="517FED55">
        <w:t xml:space="preserve">United Nations Environment Programme. (2015). </w:t>
      </w:r>
      <w:r w:rsidRPr="517FED55">
        <w:rPr>
          <w:i/>
          <w:iCs/>
        </w:rPr>
        <w:t>Climate change and human rights.</w:t>
      </w:r>
      <w:r w:rsidRPr="517FED55">
        <w:t xml:space="preserve"> </w:t>
      </w:r>
      <w:hyperlink r:id="rId30">
        <w:r w:rsidRPr="517FED55">
          <w:rPr>
            <w:rStyle w:val="Hyperlink"/>
          </w:rPr>
          <w:t>https://www.unep.org/resources/report/ climate-change-and-human-rights</w:t>
        </w:r>
      </w:hyperlink>
    </w:p>
  </w:footnote>
  <w:footnote w:id="29">
    <w:p w14:paraId="1CFF06F5" w14:textId="77777777" w:rsidR="00EE65F5" w:rsidRPr="008D351B" w:rsidRDefault="00EE65F5" w:rsidP="00EE65F5">
      <w:pPr>
        <w:pStyle w:val="FootnoteText"/>
      </w:pPr>
      <w:r w:rsidRPr="5490BE9B">
        <w:rPr>
          <w:rStyle w:val="FootnoteReference"/>
        </w:rPr>
        <w:footnoteRef/>
      </w:r>
      <w:r w:rsidRPr="5490BE9B">
        <w:t xml:space="preserve"> </w:t>
      </w:r>
      <w:r w:rsidRPr="5490BE9B">
        <w:rPr>
          <w:rFonts w:ascii="Calibri" w:eastAsia="Calibri" w:hAnsi="Calibri" w:cs="Calibri"/>
        </w:rPr>
        <w:t xml:space="preserve">Masten, A. S., &amp; Narayan, A. J. (2012). Child development in the context of disaster, war, and terrorism: Pathways of risk and resilience. </w:t>
      </w:r>
      <w:r w:rsidRPr="517FED55">
        <w:rPr>
          <w:rFonts w:ascii="Calibri" w:eastAsia="Calibri" w:hAnsi="Calibri" w:cs="Calibri"/>
          <w:i/>
        </w:rPr>
        <w:t>Annual Review of Psychology</w:t>
      </w:r>
      <w:r w:rsidRPr="5490BE9B">
        <w:rPr>
          <w:rFonts w:ascii="Calibri" w:eastAsia="Calibri" w:hAnsi="Calibri" w:cs="Calibri"/>
        </w:rPr>
        <w:t xml:space="preserve">, </w:t>
      </w:r>
      <w:r w:rsidRPr="517FED55">
        <w:rPr>
          <w:rFonts w:ascii="Calibri" w:eastAsia="Calibri" w:hAnsi="Calibri" w:cs="Calibri"/>
          <w:i/>
          <w:iCs/>
        </w:rPr>
        <w:t>63</w:t>
      </w:r>
      <w:r w:rsidRPr="5490BE9B">
        <w:rPr>
          <w:rFonts w:ascii="Calibri" w:eastAsia="Calibri" w:hAnsi="Calibri" w:cs="Calibri"/>
        </w:rPr>
        <w:t xml:space="preserve">(1), 227–257. </w:t>
      </w:r>
      <w:hyperlink r:id="rId31" w:history="1">
        <w:r w:rsidRPr="5490BE9B">
          <w:rPr>
            <w:rStyle w:val="Hyperlink"/>
            <w:rFonts w:ascii="Calibri" w:eastAsia="Calibri" w:hAnsi="Calibri" w:cs="Calibri"/>
          </w:rPr>
          <w:t>https://doi.org/10.1146/annurev-psych-120710-100356</w:t>
        </w:r>
      </w:hyperlink>
      <w:r w:rsidRPr="5490BE9B">
        <w:t xml:space="preserve"> </w:t>
      </w:r>
    </w:p>
  </w:footnote>
  <w:footnote w:id="30">
    <w:p w14:paraId="7EBAB0AE" w14:textId="77777777" w:rsidR="00EE65F5" w:rsidRPr="009E0E4C" w:rsidRDefault="00EE65F5" w:rsidP="00EE65F5">
      <w:pPr>
        <w:pStyle w:val="FootnoteText"/>
        <w:rPr>
          <w:rFonts w:eastAsia="Calibri"/>
          <w:color w:val="000000" w:themeColor="text1"/>
        </w:rPr>
      </w:pPr>
      <w:r w:rsidRPr="5490BE9B">
        <w:rPr>
          <w:rStyle w:val="FootnoteReference"/>
        </w:rPr>
        <w:footnoteRef/>
      </w:r>
      <w:r w:rsidRPr="5490BE9B">
        <w:t xml:space="preserve"> </w:t>
      </w:r>
      <w:r w:rsidRPr="5490BE9B">
        <w:rPr>
          <w:rFonts w:ascii="Calibri" w:eastAsia="Calibri" w:hAnsi="Calibri" w:cs="Calibri"/>
        </w:rPr>
        <w:t xml:space="preserve">Feygina, I., Jost, J. T., &amp; Goldsmith, R. E. (2010). System justification, the denial of global warming, and the possibility of “system-sanctioned change.” </w:t>
      </w:r>
      <w:r w:rsidRPr="517FED55">
        <w:rPr>
          <w:rFonts w:ascii="Calibri" w:eastAsia="Calibri" w:hAnsi="Calibri" w:cs="Calibri"/>
          <w:i/>
        </w:rPr>
        <w:t xml:space="preserve">Personality </w:t>
      </w:r>
      <w:r w:rsidRPr="517FED55">
        <w:rPr>
          <w:rFonts w:ascii="Calibri" w:eastAsia="Calibri" w:hAnsi="Calibri" w:cs="Calibri"/>
          <w:i/>
          <w:iCs/>
        </w:rPr>
        <w:t>&amp;</w:t>
      </w:r>
      <w:r w:rsidRPr="517FED55">
        <w:rPr>
          <w:rFonts w:ascii="Calibri" w:eastAsia="Calibri" w:hAnsi="Calibri" w:cs="Calibri"/>
          <w:i/>
        </w:rPr>
        <w:t xml:space="preserve"> Social Psychology Bulletin</w:t>
      </w:r>
      <w:r w:rsidRPr="5490BE9B">
        <w:rPr>
          <w:rFonts w:ascii="Calibri" w:eastAsia="Calibri" w:hAnsi="Calibri" w:cs="Calibri"/>
        </w:rPr>
        <w:t xml:space="preserve">, </w:t>
      </w:r>
      <w:r w:rsidRPr="517FED55">
        <w:rPr>
          <w:rFonts w:ascii="Calibri" w:eastAsia="Calibri" w:hAnsi="Calibri" w:cs="Calibri"/>
          <w:i/>
        </w:rPr>
        <w:t>36</w:t>
      </w:r>
      <w:r w:rsidRPr="5490BE9B">
        <w:rPr>
          <w:rFonts w:ascii="Calibri" w:eastAsia="Calibri" w:hAnsi="Calibri" w:cs="Calibri"/>
        </w:rPr>
        <w:t xml:space="preserve">(3), 326–338. </w:t>
      </w:r>
      <w:hyperlink r:id="rId32" w:history="1">
        <w:r w:rsidRPr="5490BE9B">
          <w:rPr>
            <w:rStyle w:val="Hyperlink"/>
            <w:rFonts w:ascii="Calibri" w:eastAsia="Calibri" w:hAnsi="Calibri" w:cs="Calibri"/>
          </w:rPr>
          <w:t>https://doi.org/10.1177/0146167209351435</w:t>
        </w:r>
      </w:hyperlink>
      <w:r w:rsidRPr="5490BE9B">
        <w:rPr>
          <w:rFonts w:eastAsia="Calibri"/>
          <w:color w:val="000000" w:themeColor="text1"/>
        </w:rPr>
        <w:t xml:space="preserve"> </w:t>
      </w:r>
    </w:p>
  </w:footnote>
  <w:footnote w:id="31">
    <w:p w14:paraId="5B18EE95" w14:textId="77777777" w:rsidR="00EE65F5" w:rsidRPr="009E0E4C" w:rsidRDefault="00EE65F5" w:rsidP="00EE65F5">
      <w:pPr>
        <w:pStyle w:val="FootnoteText"/>
        <w:rPr>
          <w:rFonts w:eastAsia="Calibri"/>
          <w:color w:val="000000" w:themeColor="text1"/>
        </w:rPr>
      </w:pPr>
      <w:r w:rsidRPr="5490BE9B">
        <w:rPr>
          <w:rStyle w:val="FootnoteReference"/>
        </w:rPr>
        <w:footnoteRef/>
      </w:r>
      <w:r w:rsidRPr="5490BE9B">
        <w:t xml:space="preserve"> </w:t>
      </w:r>
      <w:r w:rsidRPr="5490BE9B">
        <w:rPr>
          <w:rFonts w:eastAsia="Calibri"/>
          <w:color w:val="000000" w:themeColor="text1"/>
        </w:rPr>
        <w:t xml:space="preserve">e.g., </w:t>
      </w:r>
      <w:r w:rsidRPr="5490BE9B">
        <w:rPr>
          <w:rFonts w:ascii="Calibri" w:eastAsia="Calibri" w:hAnsi="Calibri" w:cs="Calibri"/>
        </w:rPr>
        <w:t xml:space="preserve">Leidner, B., Castano, E., Zaiser, E., &amp; Giner-Sorolla, R. (2010). Ingroup glorification, moral disengagement, and justice in the context of collective violence. </w:t>
      </w:r>
      <w:r w:rsidRPr="517FED55">
        <w:rPr>
          <w:rFonts w:ascii="Calibri" w:eastAsia="Calibri" w:hAnsi="Calibri" w:cs="Calibri"/>
          <w:i/>
        </w:rPr>
        <w:t xml:space="preserve">Personality </w:t>
      </w:r>
      <w:r w:rsidRPr="517FED55">
        <w:rPr>
          <w:rFonts w:ascii="Calibri" w:eastAsia="Calibri" w:hAnsi="Calibri" w:cs="Calibri"/>
          <w:i/>
          <w:iCs/>
        </w:rPr>
        <w:t>&amp;</w:t>
      </w:r>
      <w:r w:rsidRPr="517FED55">
        <w:rPr>
          <w:rFonts w:ascii="Calibri" w:eastAsia="Calibri" w:hAnsi="Calibri" w:cs="Calibri"/>
          <w:i/>
        </w:rPr>
        <w:t xml:space="preserve"> Social Psychology Bulletin</w:t>
      </w:r>
      <w:r w:rsidRPr="5490BE9B">
        <w:rPr>
          <w:rFonts w:ascii="Calibri" w:eastAsia="Calibri" w:hAnsi="Calibri" w:cs="Calibri"/>
        </w:rPr>
        <w:t xml:space="preserve">, </w:t>
      </w:r>
      <w:r w:rsidRPr="517FED55">
        <w:rPr>
          <w:rFonts w:ascii="Calibri" w:eastAsia="Calibri" w:hAnsi="Calibri" w:cs="Calibri"/>
          <w:i/>
        </w:rPr>
        <w:t>36</w:t>
      </w:r>
      <w:r w:rsidRPr="5490BE9B">
        <w:rPr>
          <w:rFonts w:ascii="Calibri" w:eastAsia="Calibri" w:hAnsi="Calibri" w:cs="Calibri"/>
        </w:rPr>
        <w:t xml:space="preserve">(8), 1115–1129. </w:t>
      </w:r>
      <w:hyperlink r:id="rId33" w:history="1">
        <w:r w:rsidRPr="5490BE9B">
          <w:rPr>
            <w:rStyle w:val="Hyperlink"/>
            <w:rFonts w:ascii="Calibri" w:eastAsia="Calibri" w:hAnsi="Calibri" w:cs="Calibri"/>
          </w:rPr>
          <w:t>https://doi.org/10.1177/0146167210376391</w:t>
        </w:r>
      </w:hyperlink>
      <w:r w:rsidRPr="5490BE9B">
        <w:rPr>
          <w:rFonts w:eastAsia="Calibri"/>
          <w:color w:val="000000" w:themeColor="text1"/>
        </w:rPr>
        <w:t xml:space="preserve"> </w:t>
      </w:r>
    </w:p>
  </w:footnote>
  <w:footnote w:id="32">
    <w:p w14:paraId="6685AF35" w14:textId="77777777" w:rsidR="00EE65F5" w:rsidRPr="009E0E4C" w:rsidRDefault="00EE65F5" w:rsidP="00EE65F5">
      <w:pPr>
        <w:pStyle w:val="FootnoteText"/>
        <w:rPr>
          <w:rFonts w:cstheme="minorHAnsi"/>
        </w:rPr>
      </w:pPr>
      <w:r w:rsidRPr="009E0E4C">
        <w:rPr>
          <w:rStyle w:val="FootnoteReference"/>
          <w:rFonts w:cstheme="minorHAnsi"/>
        </w:rPr>
        <w:footnoteRef/>
      </w:r>
      <w:r w:rsidRPr="009E0E4C">
        <w:rPr>
          <w:rFonts w:cstheme="minorHAnsi"/>
        </w:rPr>
        <w:t xml:space="preserve"> </w:t>
      </w:r>
      <w:r w:rsidRPr="009E0E4C">
        <w:rPr>
          <w:rFonts w:eastAsia="Calibri" w:cstheme="minorHAnsi"/>
        </w:rPr>
        <w:t xml:space="preserve">American Psychological Association. (2022). </w:t>
      </w:r>
      <w:r w:rsidRPr="00E24EEB">
        <w:rPr>
          <w:rFonts w:eastAsia="Calibri" w:cstheme="minorHAnsi"/>
          <w:i/>
          <w:iCs/>
        </w:rPr>
        <w:t>Addressing the climate crisis: An action plan for psychologists</w:t>
      </w:r>
      <w:r w:rsidRPr="009E0E4C">
        <w:rPr>
          <w:rFonts w:eastAsia="Calibri" w:cstheme="minorHAnsi"/>
        </w:rPr>
        <w:t xml:space="preserve">. </w:t>
      </w:r>
      <w:hyperlink r:id="rId34">
        <w:r w:rsidRPr="009E0E4C">
          <w:rPr>
            <w:rStyle w:val="Hyperlink"/>
            <w:rFonts w:eastAsia="Calibri" w:cstheme="minorHAnsi"/>
          </w:rPr>
          <w:t>https://www.apa.org/science/about/publications/climate-crisis-action-plan.pdf</w:t>
        </w:r>
      </w:hyperlink>
    </w:p>
  </w:footnote>
  <w:footnote w:id="33">
    <w:p w14:paraId="319F5F5E" w14:textId="77777777" w:rsidR="00EE65F5" w:rsidRPr="009E0E4C" w:rsidRDefault="00EE65F5" w:rsidP="00EE65F5">
      <w:pPr>
        <w:rPr>
          <w:rFonts w:eastAsia="Calibri"/>
          <w:sz w:val="20"/>
          <w:szCs w:val="20"/>
        </w:rPr>
      </w:pPr>
      <w:r w:rsidRPr="517FED55">
        <w:rPr>
          <w:rStyle w:val="FootnoteReference"/>
          <w:sz w:val="20"/>
          <w:szCs w:val="20"/>
        </w:rPr>
        <w:footnoteRef/>
      </w:r>
      <w:r w:rsidRPr="517FED55">
        <w:rPr>
          <w:sz w:val="20"/>
          <w:szCs w:val="20"/>
        </w:rPr>
        <w:t xml:space="preserve"> </w:t>
      </w:r>
      <w:r w:rsidRPr="517FED55">
        <w:rPr>
          <w:rFonts w:eastAsia="Calibri"/>
          <w:sz w:val="20"/>
          <w:szCs w:val="20"/>
        </w:rPr>
        <w:t xml:space="preserve">United Nations Children’s Fund (UNICEF) (2021). </w:t>
      </w:r>
      <w:r w:rsidRPr="517FED55">
        <w:rPr>
          <w:rFonts w:eastAsia="Calibri"/>
          <w:i/>
          <w:sz w:val="20"/>
          <w:szCs w:val="20"/>
        </w:rPr>
        <w:t>The Climate crisis is a child rights crisis: Introducing the Children’s Climate Risk Index</w:t>
      </w:r>
      <w:r w:rsidRPr="517FED55">
        <w:rPr>
          <w:rFonts w:eastAsia="Calibri"/>
          <w:sz w:val="20"/>
          <w:szCs w:val="20"/>
        </w:rPr>
        <w:t xml:space="preserve">. </w:t>
      </w:r>
      <w:hyperlink r:id="rId35" w:history="1">
        <w:r w:rsidRPr="517FED55">
          <w:rPr>
            <w:rStyle w:val="Hyperlink"/>
            <w:rFonts w:eastAsia="Calibri"/>
            <w:sz w:val="20"/>
            <w:szCs w:val="20"/>
          </w:rPr>
          <w:t>https://www.unicef.org/reports/climate-crisis-child-rights-crisis</w:t>
        </w:r>
      </w:hyperlink>
    </w:p>
  </w:footnote>
  <w:footnote w:id="34">
    <w:p w14:paraId="4A1A6E31" w14:textId="77777777" w:rsidR="00EE65F5" w:rsidRPr="009E0E4C" w:rsidRDefault="00EE65F5" w:rsidP="00EE65F5">
      <w:pPr>
        <w:pStyle w:val="FootnoteText"/>
      </w:pPr>
      <w:r w:rsidRPr="5490BE9B">
        <w:rPr>
          <w:rStyle w:val="FootnoteReference"/>
        </w:rPr>
        <w:footnoteRef/>
      </w:r>
      <w:r w:rsidRPr="5490BE9B">
        <w:t xml:space="preserve"> </w:t>
      </w:r>
      <w:r w:rsidRPr="5490BE9B">
        <w:rPr>
          <w:rFonts w:eastAsia="Calibri"/>
        </w:rPr>
        <w:t xml:space="preserve">Bronfenbrenner, U. (1979) </w:t>
      </w:r>
      <w:r w:rsidRPr="517FED55">
        <w:rPr>
          <w:rFonts w:eastAsia="Calibri"/>
          <w:i/>
        </w:rPr>
        <w:t>Ecology of human development: Experiments by nature and design</w:t>
      </w:r>
      <w:r w:rsidRPr="5490BE9B">
        <w:rPr>
          <w:rFonts w:eastAsia="Calibri"/>
        </w:rPr>
        <w:t>. Harvard University Press.</w:t>
      </w:r>
    </w:p>
  </w:footnote>
  <w:footnote w:id="35">
    <w:p w14:paraId="73022DDB" w14:textId="77777777" w:rsidR="00EE65F5" w:rsidRPr="008D351B" w:rsidRDefault="00EE65F5" w:rsidP="00EE65F5">
      <w:pPr>
        <w:rPr>
          <w:rFonts w:eastAsia="Calibri"/>
          <w:sz w:val="20"/>
          <w:szCs w:val="20"/>
        </w:rPr>
      </w:pPr>
      <w:r w:rsidRPr="5490BE9B">
        <w:rPr>
          <w:rStyle w:val="FootnoteReference"/>
          <w:sz w:val="20"/>
          <w:szCs w:val="20"/>
        </w:rPr>
        <w:footnoteRef/>
      </w:r>
      <w:r w:rsidRPr="5490BE9B">
        <w:rPr>
          <w:sz w:val="20"/>
          <w:szCs w:val="20"/>
        </w:rPr>
        <w:t xml:space="preserve"> </w:t>
      </w:r>
      <w:r w:rsidRPr="5490BE9B">
        <w:rPr>
          <w:rFonts w:ascii="Calibri" w:eastAsia="Calibri" w:hAnsi="Calibri" w:cs="Calibri"/>
          <w:sz w:val="20"/>
          <w:szCs w:val="20"/>
        </w:rPr>
        <w:t xml:space="preserve">Evans, A. C., &amp; Bufka, L. F. (2020). The critical need for a population health approach: Addressing the nation’s behavioral health during the COVID-19 pandemic and beyond. </w:t>
      </w:r>
      <w:r w:rsidRPr="517FED55">
        <w:rPr>
          <w:rFonts w:ascii="Calibri" w:eastAsia="Calibri" w:hAnsi="Calibri" w:cs="Calibri"/>
          <w:i/>
          <w:sz w:val="20"/>
          <w:szCs w:val="20"/>
        </w:rPr>
        <w:t>Preventing Chronic Disease</w:t>
      </w:r>
      <w:r w:rsidRPr="5490BE9B">
        <w:rPr>
          <w:rFonts w:ascii="Calibri" w:eastAsia="Calibri" w:hAnsi="Calibri" w:cs="Calibri"/>
          <w:sz w:val="20"/>
          <w:szCs w:val="20"/>
        </w:rPr>
        <w:t xml:space="preserve">, </w:t>
      </w:r>
      <w:r w:rsidRPr="517FED55">
        <w:rPr>
          <w:rFonts w:ascii="Calibri" w:eastAsia="Calibri" w:hAnsi="Calibri" w:cs="Calibri"/>
          <w:i/>
          <w:iCs/>
          <w:sz w:val="20"/>
          <w:szCs w:val="20"/>
        </w:rPr>
        <w:t>17</w:t>
      </w:r>
      <w:r w:rsidRPr="5490BE9B">
        <w:rPr>
          <w:rFonts w:ascii="Calibri" w:eastAsia="Calibri" w:hAnsi="Calibri" w:cs="Calibri"/>
          <w:sz w:val="20"/>
          <w:szCs w:val="20"/>
        </w:rPr>
        <w:t xml:space="preserve">, Article E79. </w:t>
      </w:r>
      <w:hyperlink r:id="rId36" w:history="1">
        <w:r w:rsidRPr="5490BE9B">
          <w:rPr>
            <w:rStyle w:val="Hyperlink"/>
            <w:rFonts w:ascii="Calibri" w:eastAsia="Calibri" w:hAnsi="Calibri" w:cs="Calibri"/>
            <w:sz w:val="20"/>
            <w:szCs w:val="20"/>
          </w:rPr>
          <w:t>https://doi.org/10.5888/pcd17.200261</w:t>
        </w:r>
      </w:hyperlink>
      <w:r w:rsidRPr="5490BE9B">
        <w:rPr>
          <w:rFonts w:eastAsia="Calibri"/>
          <w:sz w:val="20"/>
          <w:szCs w:val="20"/>
        </w:rPr>
        <w:t xml:space="preserve"> </w:t>
      </w:r>
    </w:p>
  </w:footnote>
  <w:footnote w:id="36">
    <w:p w14:paraId="35A62584" w14:textId="77777777" w:rsidR="00EE65F5" w:rsidRPr="008D351B" w:rsidRDefault="00EE65F5" w:rsidP="00EE65F5">
      <w:pPr>
        <w:rPr>
          <w:rFonts w:ascii="Calibri" w:eastAsia="Calibri" w:hAnsi="Calibri" w:cs="Calibri"/>
          <w:sz w:val="20"/>
          <w:szCs w:val="20"/>
        </w:rPr>
      </w:pPr>
      <w:r w:rsidRPr="008D351B">
        <w:rPr>
          <w:rStyle w:val="FootnoteReference"/>
          <w:sz w:val="20"/>
          <w:szCs w:val="20"/>
        </w:rPr>
        <w:footnoteRef/>
      </w:r>
      <w:r w:rsidRPr="008D351B">
        <w:rPr>
          <w:sz w:val="20"/>
          <w:szCs w:val="20"/>
        </w:rPr>
        <w:t xml:space="preserve"> </w:t>
      </w:r>
      <w:r w:rsidRPr="008D351B">
        <w:rPr>
          <w:rFonts w:ascii="Calibri" w:eastAsia="Calibri" w:hAnsi="Calibri" w:cs="Calibri"/>
          <w:sz w:val="20"/>
          <w:szCs w:val="20"/>
        </w:rPr>
        <w:t xml:space="preserve">United Nations. (2022). </w:t>
      </w:r>
      <w:r w:rsidRPr="517FED55">
        <w:rPr>
          <w:rFonts w:ascii="Calibri" w:eastAsia="Calibri" w:hAnsi="Calibri" w:cs="Calibri"/>
          <w:i/>
          <w:iCs/>
          <w:sz w:val="20"/>
          <w:szCs w:val="20"/>
        </w:rPr>
        <w:t>The sustainable development goals report</w:t>
      </w:r>
      <w:r w:rsidRPr="008D351B">
        <w:rPr>
          <w:rFonts w:ascii="Calibri" w:eastAsia="Calibri" w:hAnsi="Calibri" w:cs="Calibri"/>
          <w:sz w:val="20"/>
          <w:szCs w:val="20"/>
        </w:rPr>
        <w:t xml:space="preserve">. </w:t>
      </w:r>
      <w:hyperlink r:id="rId37">
        <w:r w:rsidRPr="517FED55">
          <w:rPr>
            <w:rStyle w:val="Hyperlink"/>
            <w:rFonts w:ascii="Calibri" w:eastAsia="Calibri" w:hAnsi="Calibri" w:cs="Calibri"/>
            <w:sz w:val="20"/>
            <w:szCs w:val="20"/>
          </w:rPr>
          <w:t>https://unstats.un.org/sdgs/report/2022/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CCB3" w14:textId="51A905D7" w:rsidR="003F343B" w:rsidRDefault="001B0A74" w:rsidP="00E16530">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9C92A" w14:textId="65FA2EDE" w:rsidR="004E1287" w:rsidRDefault="00D67133">
    <w:pPr>
      <w:pStyle w:val="Header"/>
    </w:pPr>
    <w:r>
      <w:rPr>
        <w:noProof/>
      </w:rPr>
      <w:drawing>
        <wp:inline distT="0" distB="0" distL="0" distR="0" wp14:anchorId="6485907B" wp14:editId="7304A016">
          <wp:extent cx="2091055" cy="7740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F4614"/>
    <w:multiLevelType w:val="hybridMultilevel"/>
    <w:tmpl w:val="5A2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101F"/>
    <w:multiLevelType w:val="hybridMultilevel"/>
    <w:tmpl w:val="7616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100DE"/>
    <w:multiLevelType w:val="hybridMultilevel"/>
    <w:tmpl w:val="DA14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43918"/>
    <w:multiLevelType w:val="hybridMultilevel"/>
    <w:tmpl w:val="1C1E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40701"/>
    <w:multiLevelType w:val="hybridMultilevel"/>
    <w:tmpl w:val="DB58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ED"/>
    <w:rsid w:val="00007620"/>
    <w:rsid w:val="00027802"/>
    <w:rsid w:val="00061607"/>
    <w:rsid w:val="0007458E"/>
    <w:rsid w:val="00081938"/>
    <w:rsid w:val="00091EB1"/>
    <w:rsid w:val="000A1B80"/>
    <w:rsid w:val="000B47B4"/>
    <w:rsid w:val="000C2B96"/>
    <w:rsid w:val="00105FD3"/>
    <w:rsid w:val="001312F7"/>
    <w:rsid w:val="001320FB"/>
    <w:rsid w:val="00144A29"/>
    <w:rsid w:val="001502AF"/>
    <w:rsid w:val="00156AF2"/>
    <w:rsid w:val="001834DB"/>
    <w:rsid w:val="00191BF5"/>
    <w:rsid w:val="001A001D"/>
    <w:rsid w:val="001A1DA2"/>
    <w:rsid w:val="001A45F6"/>
    <w:rsid w:val="001B0A74"/>
    <w:rsid w:val="001B1116"/>
    <w:rsid w:val="001E1DD9"/>
    <w:rsid w:val="002070F1"/>
    <w:rsid w:val="00210DE7"/>
    <w:rsid w:val="00233488"/>
    <w:rsid w:val="0023440F"/>
    <w:rsid w:val="00257A89"/>
    <w:rsid w:val="002A6B00"/>
    <w:rsid w:val="002A6CAC"/>
    <w:rsid w:val="002C7F43"/>
    <w:rsid w:val="002D606E"/>
    <w:rsid w:val="00327F3E"/>
    <w:rsid w:val="0036003D"/>
    <w:rsid w:val="0038505B"/>
    <w:rsid w:val="00385978"/>
    <w:rsid w:val="0038767D"/>
    <w:rsid w:val="003D7F69"/>
    <w:rsid w:val="00416D46"/>
    <w:rsid w:val="00436DF8"/>
    <w:rsid w:val="004575B7"/>
    <w:rsid w:val="00484ADA"/>
    <w:rsid w:val="004B4B07"/>
    <w:rsid w:val="004E1287"/>
    <w:rsid w:val="004E7DA7"/>
    <w:rsid w:val="00531DB5"/>
    <w:rsid w:val="00546612"/>
    <w:rsid w:val="00560598"/>
    <w:rsid w:val="00575676"/>
    <w:rsid w:val="00587EB0"/>
    <w:rsid w:val="005A3A2C"/>
    <w:rsid w:val="005B30ED"/>
    <w:rsid w:val="005B520A"/>
    <w:rsid w:val="005D0BF2"/>
    <w:rsid w:val="005D2878"/>
    <w:rsid w:val="005F6020"/>
    <w:rsid w:val="00613819"/>
    <w:rsid w:val="00661FCC"/>
    <w:rsid w:val="006676B3"/>
    <w:rsid w:val="00696ED0"/>
    <w:rsid w:val="006D2840"/>
    <w:rsid w:val="00716BF4"/>
    <w:rsid w:val="007410A3"/>
    <w:rsid w:val="00752FE5"/>
    <w:rsid w:val="00783B80"/>
    <w:rsid w:val="00783DF3"/>
    <w:rsid w:val="007868D2"/>
    <w:rsid w:val="007B2557"/>
    <w:rsid w:val="007B5BBA"/>
    <w:rsid w:val="007D4718"/>
    <w:rsid w:val="007E04F8"/>
    <w:rsid w:val="007E3164"/>
    <w:rsid w:val="007F2AD8"/>
    <w:rsid w:val="008176F5"/>
    <w:rsid w:val="008256C5"/>
    <w:rsid w:val="0083335E"/>
    <w:rsid w:val="00846460"/>
    <w:rsid w:val="00884200"/>
    <w:rsid w:val="0089563D"/>
    <w:rsid w:val="008A414C"/>
    <w:rsid w:val="008B596D"/>
    <w:rsid w:val="008C73AB"/>
    <w:rsid w:val="008D444B"/>
    <w:rsid w:val="008F066D"/>
    <w:rsid w:val="008F488B"/>
    <w:rsid w:val="00910922"/>
    <w:rsid w:val="00924D0A"/>
    <w:rsid w:val="009406F4"/>
    <w:rsid w:val="00943F0B"/>
    <w:rsid w:val="00955CD6"/>
    <w:rsid w:val="00960593"/>
    <w:rsid w:val="00960C43"/>
    <w:rsid w:val="00996AEC"/>
    <w:rsid w:val="009E69C4"/>
    <w:rsid w:val="009F19DF"/>
    <w:rsid w:val="00A10EEE"/>
    <w:rsid w:val="00A12528"/>
    <w:rsid w:val="00A13258"/>
    <w:rsid w:val="00A17730"/>
    <w:rsid w:val="00A75D5B"/>
    <w:rsid w:val="00A813BB"/>
    <w:rsid w:val="00AA2AB7"/>
    <w:rsid w:val="00AB44A5"/>
    <w:rsid w:val="00AC6ECA"/>
    <w:rsid w:val="00AD45FF"/>
    <w:rsid w:val="00AF0EC5"/>
    <w:rsid w:val="00AF41FC"/>
    <w:rsid w:val="00B044AB"/>
    <w:rsid w:val="00B33C37"/>
    <w:rsid w:val="00B36BFF"/>
    <w:rsid w:val="00B43B20"/>
    <w:rsid w:val="00B74DED"/>
    <w:rsid w:val="00B77277"/>
    <w:rsid w:val="00BB44B7"/>
    <w:rsid w:val="00BC1F10"/>
    <w:rsid w:val="00BE5B4A"/>
    <w:rsid w:val="00BE6F6C"/>
    <w:rsid w:val="00C01FD6"/>
    <w:rsid w:val="00C31B9A"/>
    <w:rsid w:val="00C3571A"/>
    <w:rsid w:val="00C438DF"/>
    <w:rsid w:val="00C631D9"/>
    <w:rsid w:val="00C6601D"/>
    <w:rsid w:val="00C722CA"/>
    <w:rsid w:val="00C9179D"/>
    <w:rsid w:val="00CA582B"/>
    <w:rsid w:val="00CC7C2A"/>
    <w:rsid w:val="00CC7C85"/>
    <w:rsid w:val="00D171CF"/>
    <w:rsid w:val="00D43921"/>
    <w:rsid w:val="00D46BAA"/>
    <w:rsid w:val="00D67133"/>
    <w:rsid w:val="00D87C81"/>
    <w:rsid w:val="00D92C39"/>
    <w:rsid w:val="00DB0A4C"/>
    <w:rsid w:val="00DB76BA"/>
    <w:rsid w:val="00DC280F"/>
    <w:rsid w:val="00DD420F"/>
    <w:rsid w:val="00DF0110"/>
    <w:rsid w:val="00DF119A"/>
    <w:rsid w:val="00DF3275"/>
    <w:rsid w:val="00E1019E"/>
    <w:rsid w:val="00E11DC7"/>
    <w:rsid w:val="00E161DD"/>
    <w:rsid w:val="00E16530"/>
    <w:rsid w:val="00E16A1C"/>
    <w:rsid w:val="00E33F34"/>
    <w:rsid w:val="00E40D1D"/>
    <w:rsid w:val="00E47146"/>
    <w:rsid w:val="00E9538A"/>
    <w:rsid w:val="00EE65F5"/>
    <w:rsid w:val="00EF2462"/>
    <w:rsid w:val="00F11A34"/>
    <w:rsid w:val="00F20B5B"/>
    <w:rsid w:val="00F26CFC"/>
    <w:rsid w:val="00F30C33"/>
    <w:rsid w:val="00F42FDC"/>
    <w:rsid w:val="00F721BC"/>
    <w:rsid w:val="00F7233F"/>
    <w:rsid w:val="00F74D4B"/>
    <w:rsid w:val="00FA0D09"/>
    <w:rsid w:val="00FA17C2"/>
    <w:rsid w:val="00FA1FE1"/>
    <w:rsid w:val="00FC4922"/>
    <w:rsid w:val="00FD2582"/>
    <w:rsid w:val="00FE565C"/>
    <w:rsid w:val="36D44CC6"/>
    <w:rsid w:val="3B1B54A3"/>
    <w:rsid w:val="3C7A6AF9"/>
    <w:rsid w:val="3E163B5A"/>
    <w:rsid w:val="40D3C84F"/>
    <w:rsid w:val="41DE99BC"/>
    <w:rsid w:val="4CE7A512"/>
    <w:rsid w:val="5549D75F"/>
    <w:rsid w:val="5A13E053"/>
    <w:rsid w:val="7F56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16CCAD"/>
  <w15:docId w15:val="{3B73A506-218A-4CDC-B83C-9E8A9061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28A7"/>
    <w:pPr>
      <w:tabs>
        <w:tab w:val="center" w:pos="4320"/>
        <w:tab w:val="right" w:pos="8640"/>
      </w:tabs>
    </w:pPr>
  </w:style>
  <w:style w:type="paragraph" w:styleId="Footer">
    <w:name w:val="footer"/>
    <w:basedOn w:val="Normal"/>
    <w:semiHidden/>
    <w:rsid w:val="00AF28A7"/>
    <w:pPr>
      <w:tabs>
        <w:tab w:val="center" w:pos="4320"/>
        <w:tab w:val="right" w:pos="8640"/>
      </w:tabs>
    </w:pPr>
  </w:style>
  <w:style w:type="character" w:styleId="Hyperlink">
    <w:name w:val="Hyperlink"/>
    <w:basedOn w:val="DefaultParagraphFont"/>
    <w:uiPriority w:val="99"/>
    <w:unhideWhenUsed/>
    <w:rsid w:val="008176F5"/>
    <w:rPr>
      <w:color w:val="0000FF" w:themeColor="hyperlink"/>
      <w:u w:val="single"/>
    </w:rPr>
  </w:style>
  <w:style w:type="character" w:styleId="UnresolvedMention">
    <w:name w:val="Unresolved Mention"/>
    <w:basedOn w:val="DefaultParagraphFont"/>
    <w:uiPriority w:val="99"/>
    <w:semiHidden/>
    <w:unhideWhenUsed/>
    <w:rsid w:val="008176F5"/>
    <w:rPr>
      <w:color w:val="605E5C"/>
      <w:shd w:val="clear" w:color="auto" w:fill="E1DFDD"/>
    </w:rPr>
  </w:style>
  <w:style w:type="paragraph" w:styleId="ListParagraph">
    <w:name w:val="List Paragraph"/>
    <w:basedOn w:val="Normal"/>
    <w:uiPriority w:val="34"/>
    <w:qFormat/>
    <w:rsid w:val="00EE65F5"/>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semiHidden/>
    <w:unhideWhenUsed/>
    <w:rsid w:val="00EE65F5"/>
    <w:rPr>
      <w:vertAlign w:val="superscript"/>
    </w:rPr>
  </w:style>
  <w:style w:type="character" w:customStyle="1" w:styleId="FootnoteTextChar">
    <w:name w:val="Footnote Text Char"/>
    <w:basedOn w:val="DefaultParagraphFont"/>
    <w:link w:val="FootnoteText"/>
    <w:uiPriority w:val="99"/>
    <w:rsid w:val="00EE65F5"/>
  </w:style>
  <w:style w:type="paragraph" w:styleId="FootnoteText">
    <w:name w:val="footnote text"/>
    <w:basedOn w:val="Normal"/>
    <w:link w:val="FootnoteTextChar"/>
    <w:uiPriority w:val="99"/>
    <w:unhideWhenUsed/>
    <w:rsid w:val="00EE65F5"/>
    <w:rPr>
      <w:sz w:val="20"/>
      <w:szCs w:val="20"/>
    </w:rPr>
  </w:style>
  <w:style w:type="character" w:customStyle="1" w:styleId="FootnoteTextChar1">
    <w:name w:val="Footnote Text Char1"/>
    <w:basedOn w:val="DefaultParagraphFont"/>
    <w:uiPriority w:val="99"/>
    <w:semiHidden/>
    <w:rsid w:val="00EE65F5"/>
  </w:style>
  <w:style w:type="character" w:styleId="CommentReference">
    <w:name w:val="annotation reference"/>
    <w:basedOn w:val="DefaultParagraphFont"/>
    <w:uiPriority w:val="99"/>
    <w:semiHidden/>
    <w:unhideWhenUsed/>
    <w:rsid w:val="00EE65F5"/>
    <w:rPr>
      <w:sz w:val="16"/>
      <w:szCs w:val="16"/>
    </w:rPr>
  </w:style>
  <w:style w:type="paragraph" w:customStyle="1" w:styleId="paragraph">
    <w:name w:val="paragraph"/>
    <w:basedOn w:val="Normal"/>
    <w:rsid w:val="00EE65F5"/>
    <w:pPr>
      <w:spacing w:before="100" w:beforeAutospacing="1" w:after="100" w:afterAutospacing="1"/>
    </w:pPr>
  </w:style>
  <w:style w:type="paragraph" w:customStyle="1" w:styleId="pf0">
    <w:name w:val="pf0"/>
    <w:basedOn w:val="Normal"/>
    <w:rsid w:val="00EE65F5"/>
    <w:pPr>
      <w:spacing w:before="100" w:beforeAutospacing="1" w:after="100" w:afterAutospacing="1"/>
    </w:pPr>
    <w:rPr>
      <w:rFonts w:eastAsiaTheme="minorHAnsi"/>
    </w:rPr>
  </w:style>
  <w:style w:type="character" w:customStyle="1" w:styleId="cf01">
    <w:name w:val="cf01"/>
    <w:basedOn w:val="DefaultParagraphFont"/>
    <w:rsid w:val="00EE65F5"/>
    <w:rPr>
      <w:rFonts w:ascii="Segoe UI" w:hAnsi="Segoe UI" w:cs="Segoe UI" w:hint="default"/>
      <w:color w:val="212121"/>
      <w:shd w:val="clear" w:color="auto" w:fill="FFFFFF"/>
    </w:rPr>
  </w:style>
  <w:style w:type="character" w:customStyle="1" w:styleId="cf11">
    <w:name w:val="cf11"/>
    <w:basedOn w:val="DefaultParagraphFont"/>
    <w:rsid w:val="00EE65F5"/>
    <w:rPr>
      <w:rFonts w:ascii="Segoe UI" w:hAnsi="Segoe UI" w:cs="Segoe UI" w:hint="default"/>
    </w:rPr>
  </w:style>
  <w:style w:type="character" w:customStyle="1" w:styleId="ui-provider">
    <w:name w:val="ui-provider"/>
    <w:basedOn w:val="DefaultParagraphFont"/>
    <w:rsid w:val="00EE65F5"/>
  </w:style>
  <w:style w:type="paragraph" w:styleId="CommentText">
    <w:name w:val="annotation text"/>
    <w:basedOn w:val="Normal"/>
    <w:link w:val="CommentTextChar"/>
    <w:uiPriority w:val="99"/>
    <w:semiHidden/>
    <w:unhideWhenUsed/>
    <w:rsid w:val="00D92C39"/>
    <w:rPr>
      <w:sz w:val="20"/>
      <w:szCs w:val="20"/>
    </w:rPr>
  </w:style>
  <w:style w:type="character" w:customStyle="1" w:styleId="CommentTextChar">
    <w:name w:val="Comment Text Char"/>
    <w:basedOn w:val="DefaultParagraphFont"/>
    <w:link w:val="CommentText"/>
    <w:uiPriority w:val="99"/>
    <w:semiHidden/>
    <w:rsid w:val="00D92C39"/>
  </w:style>
  <w:style w:type="paragraph" w:styleId="CommentSubject">
    <w:name w:val="annotation subject"/>
    <w:basedOn w:val="CommentText"/>
    <w:next w:val="CommentText"/>
    <w:link w:val="CommentSubjectChar"/>
    <w:uiPriority w:val="99"/>
    <w:semiHidden/>
    <w:unhideWhenUsed/>
    <w:rsid w:val="00D92C39"/>
    <w:rPr>
      <w:b/>
      <w:bCs/>
    </w:rPr>
  </w:style>
  <w:style w:type="character" w:customStyle="1" w:styleId="CommentSubjectChar">
    <w:name w:val="Comment Subject Char"/>
    <w:basedOn w:val="CommentTextChar"/>
    <w:link w:val="CommentSubject"/>
    <w:uiPriority w:val="99"/>
    <w:semiHidden/>
    <w:rsid w:val="00D92C39"/>
    <w:rPr>
      <w:b/>
      <w:bCs/>
    </w:rPr>
  </w:style>
  <w:style w:type="paragraph" w:styleId="Revision">
    <w:name w:val="Revision"/>
    <w:hidden/>
    <w:uiPriority w:val="99"/>
    <w:semiHidden/>
    <w:rsid w:val="00E40D1D"/>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stolle@apa.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twose@apa.org%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S0140-6736(16)31390-3" TargetMode="External"/><Relationship Id="rId13" Type="http://schemas.openxmlformats.org/officeDocument/2006/relationships/hyperlink" Target="https://doi.org/10.17226/9824" TargetMode="External"/><Relationship Id="rId18" Type="http://schemas.openxmlformats.org/officeDocument/2006/relationships/hyperlink" Target="https://doi.org/10.1016/j.amepre.2003.10.023" TargetMode="External"/><Relationship Id="rId26" Type="http://schemas.openxmlformats.org/officeDocument/2006/relationships/hyperlink" Target="https://doi.org/10.1542/peds.2011-2663" TargetMode="External"/><Relationship Id="rId3" Type="http://schemas.openxmlformats.org/officeDocument/2006/relationships/hyperlink" Target="https://www.apa.org/about/policy/resolution-psychology-human-rights.pdf" TargetMode="External"/><Relationship Id="rId21" Type="http://schemas.openxmlformats.org/officeDocument/2006/relationships/hyperlink" Target="https://doi.org/10.1016/j.janxdis.2020.102263" TargetMode="External"/><Relationship Id="rId34" Type="http://schemas.openxmlformats.org/officeDocument/2006/relationships/hyperlink" Target="https://www.apa.org/science/about/publications/climate-crisis-action-plan.pdf" TargetMode="External"/><Relationship Id="rId7" Type="http://schemas.openxmlformats.org/officeDocument/2006/relationships/hyperlink" Target="https://apps.who.int/iris/handle/10665/272603" TargetMode="External"/><Relationship Id="rId12" Type="http://schemas.openxmlformats.org/officeDocument/2006/relationships/hyperlink" Target="https://doi.org/10.1016/S0140-6736(16)31390-3" TargetMode="External"/><Relationship Id="rId17" Type="http://schemas.openxmlformats.org/officeDocument/2006/relationships/hyperlink" Target="https://doi.org/10.1089/vio.2017.0077" TargetMode="External"/><Relationship Id="rId25" Type="http://schemas.openxmlformats.org/officeDocument/2006/relationships/hyperlink" Target="https://doi.org/10.1016/j.envint.2016.11.016" TargetMode="External"/><Relationship Id="rId33" Type="http://schemas.openxmlformats.org/officeDocument/2006/relationships/hyperlink" Target="https://doi.org/10.1177/0146167210376391" TargetMode="External"/><Relationship Id="rId2" Type="http://schemas.openxmlformats.org/officeDocument/2006/relationships/hyperlink" Target="https://www.apa.org/about/policy/rights-child-2001" TargetMode="External"/><Relationship Id="rId16" Type="http://schemas.openxmlformats.org/officeDocument/2006/relationships/hyperlink" Target="https://doi.org/10.1007/s11920-016-0714-1" TargetMode="External"/><Relationship Id="rId20" Type="http://schemas.openxmlformats.org/officeDocument/2006/relationships/hyperlink" Target="https://doi.org/10.1007/s11920-018-0896-9" TargetMode="External"/><Relationship Id="rId29" Type="http://schemas.openxmlformats.org/officeDocument/2006/relationships/hyperlink" Target="https://doi.org/10.1017/9781108348607.031" TargetMode="External"/><Relationship Id="rId1" Type="http://schemas.openxmlformats.org/officeDocument/2006/relationships/hyperlink" Target="https://www.apa.org/about/policy/climate-change" TargetMode="External"/><Relationship Id="rId6" Type="http://schemas.openxmlformats.org/officeDocument/2006/relationships/hyperlink" Target="https://doi.org/10.3386/w25888" TargetMode="External"/><Relationship Id="rId11" Type="http://schemas.openxmlformats.org/officeDocument/2006/relationships/hyperlink" Target="https://doi.org/10.1136/bmj.38897.555208.2F" TargetMode="External"/><Relationship Id="rId24" Type="http://schemas.openxmlformats.org/officeDocument/2006/relationships/hyperlink" Target="https://doi.org/10.1289/ehp.0800023" TargetMode="External"/><Relationship Id="rId32" Type="http://schemas.openxmlformats.org/officeDocument/2006/relationships/hyperlink" Target="https://doi.org/10.1177/0146167209351435" TargetMode="External"/><Relationship Id="rId37" Type="http://schemas.openxmlformats.org/officeDocument/2006/relationships/hyperlink" Target="https://unstats.un.org/sdgs/report/2022/" TargetMode="External"/><Relationship Id="rId5" Type="http://schemas.openxmlformats.org/officeDocument/2006/relationships/hyperlink" Target="https://doi.org/10.17226/9824" TargetMode="External"/><Relationship Id="rId15" Type="http://schemas.openxmlformats.org/officeDocument/2006/relationships/hyperlink" Target="https://doi.org/10.1007/s11920-016-0714-1" TargetMode="External"/><Relationship Id="rId23" Type="http://schemas.openxmlformats.org/officeDocument/2006/relationships/hyperlink" Target="https://doi.org/10.1289/ehp.1104315" TargetMode="External"/><Relationship Id="rId28" Type="http://schemas.openxmlformats.org/officeDocument/2006/relationships/hyperlink" Target="https://www.unicef-irc.org/publications/1122-the-sale-and-sexual-exploitation-of-children-migration.html" TargetMode="External"/><Relationship Id="rId36" Type="http://schemas.openxmlformats.org/officeDocument/2006/relationships/hyperlink" Target="https://doi.org/10.5888/pcd17.200261" TargetMode="External"/><Relationship Id="rId10" Type="http://schemas.openxmlformats.org/officeDocument/2006/relationships/hyperlink" Target="https://doi.org/10.1542/peds.2010-2231" TargetMode="External"/><Relationship Id="rId19" Type="http://schemas.openxmlformats.org/officeDocument/2006/relationships/hyperlink" Target="https://doi.org/10.1186/s12889-021-11252-3" TargetMode="External"/><Relationship Id="rId31" Type="http://schemas.openxmlformats.org/officeDocument/2006/relationships/hyperlink" Target="https://doi.org/10.1146/annurev-psych-120710-100356" TargetMode="External"/><Relationship Id="rId4" Type="http://schemas.openxmlformats.org/officeDocument/2006/relationships/hyperlink" Target="https://www2.ohchr.org/english/bodies/crc/docs/AdvanceVersions/GeneralComment7Rev1.pdf" TargetMode="External"/><Relationship Id="rId9" Type="http://schemas.openxmlformats.org/officeDocument/2006/relationships/hyperlink" Target="https://doi.org/10.1126/science.1251178" TargetMode="External"/><Relationship Id="rId14" Type="http://schemas.openxmlformats.org/officeDocument/2006/relationships/hyperlink" Target="https://doi.org/10.1590/s0034-89102003000300007" TargetMode="External"/><Relationship Id="rId22" Type="http://schemas.openxmlformats.org/officeDocument/2006/relationships/hyperlink" Target="https://doi.org/10.1016/S2542-5196(21)00278-3" TargetMode="External"/><Relationship Id="rId27" Type="http://schemas.openxmlformats.org/officeDocument/2006/relationships/hyperlink" Target="https://doi.org/10.1016/j.socscimed.2016.01.006" TargetMode="External"/><Relationship Id="rId30" Type="http://schemas.openxmlformats.org/officeDocument/2006/relationships/hyperlink" Target="https://www.unep.org/resources/report/%20climate-change-and-human-rights" TargetMode="External"/><Relationship Id="rId35" Type="http://schemas.openxmlformats.org/officeDocument/2006/relationships/hyperlink" Target="https://www.unicef.org/reports/climate-crisis-child-rights-cris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D69672A8B04F49B122E28514E8B0D1" ma:contentTypeVersion="17" ma:contentTypeDescription="Create a new document." ma:contentTypeScope="" ma:versionID="7576562e7bbe50e8303fed381c8fbc95">
  <xsd:schema xmlns:xsd="http://www.w3.org/2001/XMLSchema" xmlns:xs="http://www.w3.org/2001/XMLSchema" xmlns:p="http://schemas.microsoft.com/office/2006/metadata/properties" xmlns:ns2="e21b42f5-d704-493f-bdb4-eb8500155e11" xmlns:ns3="f03f522d-ab5c-432b-b872-8083c1ecbb9f" targetNamespace="http://schemas.microsoft.com/office/2006/metadata/properties" ma:root="true" ma:fieldsID="549917c5b233ad2ab4ba695b25b12c4f" ns2:_="" ns3:_="">
    <xsd:import namespace="e21b42f5-d704-493f-bdb4-eb8500155e11"/>
    <xsd:import namespace="f03f522d-ab5c-432b-b872-8083c1ecbb9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b42f5-d704-493f-bdb4-eb8500155e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2b42203c-d7fd-4d82-ac28-54464d6da5ec}" ma:internalName="TaxCatchAll" ma:showField="CatchAllData" ma:web="e21b42f5-d704-493f-bdb4-eb8500155e11">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f522d-ab5c-432b-b872-8083c1ecbb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c7c392e-0ab6-4a0e-b54b-0e3ca847243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21b42f5-d704-493f-bdb4-eb8500155e11">7U3YP54HV4P5-1788274515-162690</_dlc_DocId>
    <_dlc_DocIdUrl xmlns="e21b42f5-d704-493f-bdb4-eb8500155e11">
      <Url>https://apa750.sharepoint.com/sites/IASharedFiles/_layouts/15/DocIdRedir.aspx?ID=7U3YP54HV4P5-1788274515-162690</Url>
      <Description>7U3YP54HV4P5-1788274515-162690</Description>
    </_dlc_DocIdUrl>
    <TaxCatchAll xmlns="e21b42f5-d704-493f-bdb4-eb8500155e11" xsi:nil="true"/>
    <lcf76f155ced4ddcb4097134ff3c332f xmlns="f03f522d-ab5c-432b-b872-8083c1ecbb9f">
      <Terms xmlns="http://schemas.microsoft.com/office/infopath/2007/PartnerControls"/>
    </lcf76f155ced4ddcb4097134ff3c332f>
    <SharedWithUsers xmlns="e21b42f5-d704-493f-bdb4-eb8500155e11">
      <UserInfo>
        <DisplayName>Boller, Kim</DisplayName>
        <AccountId>120</AccountId>
        <AccountType/>
      </UserInfo>
      <UserInfo>
        <DisplayName>Chan, Mark</DisplayName>
        <AccountId>124</AccountId>
        <AccountType/>
      </UserInfo>
      <UserInfo>
        <DisplayName>Stolle, Dennis</DisplayName>
        <AccountId>119</AccountId>
        <AccountType/>
      </UserInfo>
    </SharedWithUsers>
  </documentManagement>
</p:properties>
</file>

<file path=customXml/itemProps1.xml><?xml version="1.0" encoding="utf-8"?>
<ds:datastoreItem xmlns:ds="http://schemas.openxmlformats.org/officeDocument/2006/customXml" ds:itemID="{C9435BE0-06E3-4F54-8844-A5CF11BC529D}">
  <ds:schemaRefs>
    <ds:schemaRef ds:uri="http://schemas.openxmlformats.org/officeDocument/2006/bibliography"/>
  </ds:schemaRefs>
</ds:datastoreItem>
</file>

<file path=customXml/itemProps2.xml><?xml version="1.0" encoding="utf-8"?>
<ds:datastoreItem xmlns:ds="http://schemas.openxmlformats.org/officeDocument/2006/customXml" ds:itemID="{18AB0311-9F9A-44A5-B2E7-A6857644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b42f5-d704-493f-bdb4-eb8500155e11"/>
    <ds:schemaRef ds:uri="f03f522d-ab5c-432b-b872-8083c1ec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AD750-AAC3-4696-8200-7861BBF28873}">
  <ds:schemaRefs>
    <ds:schemaRef ds:uri="http://schemas.microsoft.com/sharepoint/events"/>
  </ds:schemaRefs>
</ds:datastoreItem>
</file>

<file path=customXml/itemProps4.xml><?xml version="1.0" encoding="utf-8"?>
<ds:datastoreItem xmlns:ds="http://schemas.openxmlformats.org/officeDocument/2006/customXml" ds:itemID="{FCA655E1-C5C3-4AB5-93D7-B8A85FE748C2}">
  <ds:schemaRefs>
    <ds:schemaRef ds:uri="http://schemas.microsoft.com/sharepoint/v3/contenttype/forms"/>
  </ds:schemaRefs>
</ds:datastoreItem>
</file>

<file path=customXml/itemProps5.xml><?xml version="1.0" encoding="utf-8"?>
<ds:datastoreItem xmlns:ds="http://schemas.openxmlformats.org/officeDocument/2006/customXml" ds:itemID="{9991C473-9E11-45D6-B670-4CB1386A83F9}">
  <ds:schemaRefs>
    <ds:schemaRef ds:uri="http://purl.org/dc/dcmitype/"/>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f03f522d-ab5c-432b-b872-8083c1ecbb9f"/>
    <ds:schemaRef ds:uri="http://schemas.microsoft.com/office/2006/documentManagement/types"/>
    <ds:schemaRef ds:uri="e21b42f5-d704-493f-bdb4-eb8500155e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1793</Words>
  <Characters>10959</Characters>
  <Application>Microsoft Office Word</Application>
  <DocSecurity>0</DocSecurity>
  <Lines>199</Lines>
  <Paragraphs>45</Paragraphs>
  <ScaleCrop>false</ScaleCrop>
  <Company>Microsoft</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Andoh, Papa</dc:creator>
  <cp:lastModifiedBy>Andoh, Papa</cp:lastModifiedBy>
  <cp:revision>3</cp:revision>
  <cp:lastPrinted>2016-09-01T19:21:00Z</cp:lastPrinted>
  <dcterms:created xsi:type="dcterms:W3CDTF">2023-02-14T18:03:00Z</dcterms:created>
  <dcterms:modified xsi:type="dcterms:W3CDTF">2023-02-14T18:05:00Z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0x010100C8D69672A8B04F49B122E28514E8B0D1</vt:lpwstr>
  </property>
  <property fmtid="{D5CDD505-2E9C-101B-9397-08002B2CF9AE}" pid="3" name="_dlc_DocIdItemGuid">
    <vt:lpwstr>ea82140d-4c41-4526-a149-eb7de523218a</vt:lpwstr>
  </property>
  <property fmtid="{D5CDD505-2E9C-101B-9397-08002B2CF9AE}" pid="4" name="MediaServiceImageTags">
    <vt:lpwstr/>
  </property>
</Properties>
</file>