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C980" w14:textId="77777777" w:rsidR="00E67420" w:rsidRDefault="00E67420" w:rsidP="00E67420">
      <w:pPr>
        <w:pStyle w:val="SpeechTemplate1"/>
        <w:contextualSpacing/>
        <w:rPr>
          <w:rFonts w:ascii="Calibri" w:hAnsi="Calibri" w:cs="Calibri"/>
          <w:color w:val="000000"/>
          <w:sz w:val="24"/>
          <w:szCs w:val="24"/>
        </w:rPr>
      </w:pPr>
    </w:p>
    <w:p w14:paraId="53CC9227" w14:textId="77777777" w:rsidR="00E67420" w:rsidRDefault="00E67420" w:rsidP="00E67420">
      <w:pPr>
        <w:pStyle w:val="SpeechTemplate1"/>
        <w:contextualSpacing/>
        <w:rPr>
          <w:rFonts w:ascii="Calibri" w:hAnsi="Calibri" w:cs="Calibri"/>
          <w:color w:val="000000"/>
          <w:sz w:val="24"/>
          <w:szCs w:val="24"/>
        </w:rPr>
      </w:pPr>
    </w:p>
    <w:p w14:paraId="2E751FBE" w14:textId="5937FC08" w:rsidR="0054212A" w:rsidRPr="00E67420" w:rsidRDefault="00E67420" w:rsidP="00E67420">
      <w:pPr>
        <w:pStyle w:val="SpeechTemplate1"/>
        <w:contextualSpacing/>
        <w:jc w:val="center"/>
        <w:rPr>
          <w:rFonts w:cstheme="minorHAnsi"/>
          <w:b w:val="0"/>
          <w:bCs/>
          <w:sz w:val="24"/>
          <w:szCs w:val="24"/>
        </w:rPr>
      </w:pPr>
      <w:r w:rsidRPr="00E67420">
        <w:rPr>
          <w:rFonts w:ascii="Calibri" w:hAnsi="Calibri" w:cs="Calibri"/>
          <w:color w:val="000000"/>
          <w:sz w:val="24"/>
          <w:szCs w:val="24"/>
        </w:rPr>
        <w:t>WHO’s initial written submission to inform the thematic discussion for a General Recommendation on article 5(e)(iv) of the International Convention on the Elimination of All Forms of Racial Discrimination: Racial Discrimination and the Right to Health</w:t>
      </w:r>
    </w:p>
    <w:p w14:paraId="17E2F4AC" w14:textId="12B94142" w:rsidR="00624DFB" w:rsidRDefault="001102C9" w:rsidP="00E67420">
      <w:pPr>
        <w:pStyle w:val="SpeechTemplate1"/>
        <w:tabs>
          <w:tab w:val="left" w:pos="0"/>
        </w:tabs>
        <w:contextualSpacing/>
        <w:jc w:val="center"/>
        <w:rPr>
          <w:rFonts w:cstheme="minorHAnsi"/>
          <w:b w:val="0"/>
          <w:bCs/>
          <w:sz w:val="24"/>
          <w:szCs w:val="24"/>
        </w:rPr>
      </w:pPr>
      <w:r>
        <w:rPr>
          <w:rFonts w:cstheme="minorHAnsi"/>
          <w:b w:val="0"/>
          <w:bCs/>
          <w:sz w:val="24"/>
          <w:szCs w:val="24"/>
        </w:rPr>
        <w:t>21 July 2022</w:t>
      </w:r>
    </w:p>
    <w:p w14:paraId="68092A09" w14:textId="429E954A" w:rsidR="00E67420" w:rsidRDefault="00E67420" w:rsidP="00E67420">
      <w:pPr>
        <w:pStyle w:val="SpeechTemplate1"/>
        <w:tabs>
          <w:tab w:val="left" w:pos="0"/>
        </w:tabs>
        <w:contextualSpacing/>
        <w:jc w:val="center"/>
        <w:rPr>
          <w:rFonts w:cstheme="minorHAnsi"/>
          <w:b w:val="0"/>
          <w:bCs/>
          <w:sz w:val="24"/>
          <w:szCs w:val="24"/>
        </w:rPr>
      </w:pPr>
    </w:p>
    <w:p w14:paraId="64FF17AD" w14:textId="6B2A1DAE" w:rsidR="008F6019" w:rsidRDefault="005D638B" w:rsidP="00653314">
      <w:pPr>
        <w:pStyle w:val="SpeechTemplate1"/>
        <w:numPr>
          <w:ilvl w:val="0"/>
          <w:numId w:val="38"/>
        </w:numPr>
        <w:ind w:left="567" w:hanging="567"/>
        <w:contextualSpacing/>
        <w:jc w:val="both"/>
        <w:rPr>
          <w:rFonts w:cstheme="minorHAnsi"/>
          <w:sz w:val="24"/>
          <w:szCs w:val="24"/>
        </w:rPr>
      </w:pPr>
      <w:r>
        <w:rPr>
          <w:rFonts w:cstheme="minorHAnsi"/>
          <w:sz w:val="24"/>
          <w:szCs w:val="24"/>
        </w:rPr>
        <w:t xml:space="preserve">WHO Approach </w:t>
      </w:r>
      <w:r w:rsidR="00DD66BE">
        <w:rPr>
          <w:rFonts w:cstheme="minorHAnsi"/>
          <w:sz w:val="24"/>
          <w:szCs w:val="24"/>
        </w:rPr>
        <w:t>to the</w:t>
      </w:r>
      <w:r w:rsidR="0092168C">
        <w:rPr>
          <w:rFonts w:cstheme="minorHAnsi"/>
          <w:sz w:val="24"/>
          <w:szCs w:val="24"/>
        </w:rPr>
        <w:t xml:space="preserve"> Right to Health and </w:t>
      </w:r>
      <w:r w:rsidR="000C14B9">
        <w:rPr>
          <w:rFonts w:cstheme="minorHAnsi"/>
          <w:sz w:val="24"/>
          <w:szCs w:val="24"/>
        </w:rPr>
        <w:t xml:space="preserve">Related </w:t>
      </w:r>
      <w:r w:rsidR="004E67AC">
        <w:rPr>
          <w:rFonts w:cstheme="minorHAnsi"/>
          <w:sz w:val="24"/>
          <w:szCs w:val="24"/>
        </w:rPr>
        <w:t>Determinants of Health</w:t>
      </w:r>
    </w:p>
    <w:p w14:paraId="2A5DBBC2" w14:textId="66400BA3" w:rsidR="00FA4610" w:rsidRPr="0098373E" w:rsidRDefault="7701F8EC" w:rsidP="233AE039">
      <w:pPr>
        <w:pStyle w:val="ListParagraph"/>
        <w:numPr>
          <w:ilvl w:val="0"/>
          <w:numId w:val="1"/>
        </w:numPr>
        <w:tabs>
          <w:tab w:val="left" w:pos="567"/>
        </w:tabs>
        <w:spacing w:after="120"/>
        <w:ind w:left="0" w:firstLine="0"/>
        <w:jc w:val="both"/>
        <w:rPr>
          <w:rFonts w:ascii="Calibri" w:hAnsi="Calibri" w:cs="Calibri"/>
          <w:color w:val="000000"/>
          <w:lang w:val="en-US" w:eastAsia="en-US"/>
        </w:rPr>
      </w:pPr>
      <w:r w:rsidRPr="233AE039">
        <w:rPr>
          <w:rFonts w:ascii="Calibri" w:hAnsi="Calibri" w:cs="Calibri"/>
          <w:color w:val="000000"/>
          <w:lang w:val="en-US" w:eastAsia="en-US"/>
        </w:rPr>
        <w:t>WHO’s mission to promote health, keep the world safe, and serve the vulnerable is based on Sustainable Development Goal (SDG) 3 and the associated Triple Billion Goals in WHO’s 13</w:t>
      </w:r>
      <w:r w:rsidR="5D36F2DA" w:rsidRPr="233AE039">
        <w:rPr>
          <w:rFonts w:ascii="Calibri" w:hAnsi="Calibri" w:cs="Calibri"/>
          <w:color w:val="000000"/>
          <w:vertAlign w:val="superscript"/>
          <w:lang w:val="en-US" w:eastAsia="en-US"/>
        </w:rPr>
        <w:t xml:space="preserve">th </w:t>
      </w:r>
      <w:r w:rsidR="5D36F2DA" w:rsidRPr="233AE039">
        <w:rPr>
          <w:rFonts w:ascii="Calibri" w:hAnsi="Calibri" w:cs="Calibri"/>
          <w:color w:val="000000"/>
          <w:lang w:val="en-US" w:eastAsia="en-US"/>
        </w:rPr>
        <w:t xml:space="preserve"> </w:t>
      </w:r>
      <w:r w:rsidRPr="233AE039">
        <w:rPr>
          <w:rFonts w:ascii="Calibri" w:hAnsi="Calibri" w:cs="Calibri"/>
          <w:color w:val="000000"/>
          <w:lang w:val="en-US" w:eastAsia="en-US"/>
        </w:rPr>
        <w:t xml:space="preserve">General Programme of Work, </w:t>
      </w:r>
      <w:r w:rsidRPr="233AE039">
        <w:rPr>
          <w:rFonts w:eastAsia="Calibri"/>
          <w:lang w:eastAsia="en-US"/>
        </w:rPr>
        <w:t>2019</w:t>
      </w:r>
      <w:r w:rsidRPr="233AE039">
        <w:rPr>
          <w:rFonts w:ascii="Calibri" w:hAnsi="Calibri" w:cs="Calibri"/>
          <w:color w:val="000000"/>
          <w:lang w:val="en-US" w:eastAsia="en-US"/>
        </w:rPr>
        <w:t xml:space="preserve"> – 202</w:t>
      </w:r>
      <w:r w:rsidR="004A2419" w:rsidRPr="233AE039">
        <w:rPr>
          <w:rFonts w:ascii="Calibri" w:hAnsi="Calibri" w:cs="Calibri"/>
          <w:color w:val="000000"/>
          <w:lang w:val="en-US" w:eastAsia="en-US"/>
        </w:rPr>
        <w:t>5</w:t>
      </w:r>
      <w:r w:rsidRPr="233AE039">
        <w:rPr>
          <w:rFonts w:ascii="Calibri" w:hAnsi="Calibri" w:cs="Calibri"/>
          <w:color w:val="000000"/>
          <w:lang w:val="en-US" w:eastAsia="en-US"/>
        </w:rPr>
        <w:t xml:space="preserve"> (GPW13).</w:t>
      </w:r>
      <w:r w:rsidR="00526869" w:rsidRPr="233AE039">
        <w:rPr>
          <w:rStyle w:val="FootnoteReference"/>
          <w:rFonts w:ascii="Calibri" w:hAnsi="Calibri" w:cs="Calibri"/>
          <w:color w:val="000000"/>
          <w:lang w:val="en-US" w:eastAsia="en-US"/>
        </w:rPr>
        <w:footnoteReference w:id="2"/>
      </w:r>
      <w:r w:rsidR="7AEAEF9D" w:rsidRPr="233AE039">
        <w:rPr>
          <w:rFonts w:ascii="Calibri" w:hAnsi="Calibri" w:cs="Calibri"/>
          <w:color w:val="000000"/>
          <w:lang w:val="en-US" w:eastAsia="en-US"/>
        </w:rPr>
        <w:t xml:space="preserve"> </w:t>
      </w:r>
      <w:r w:rsidRPr="233AE039">
        <w:rPr>
          <w:rFonts w:ascii="Calibri" w:hAnsi="Calibri" w:cs="Calibri"/>
          <w:color w:val="000000"/>
          <w:lang w:val="en-US" w:eastAsia="en-US"/>
        </w:rPr>
        <w:t xml:space="preserve">GPW13 stresses the importance of the impactful integration of gender, equity and human rights as critical for progress </w:t>
      </w:r>
      <w:r w:rsidR="236A394D" w:rsidRPr="233AE039">
        <w:rPr>
          <w:rFonts w:ascii="Calibri" w:hAnsi="Calibri" w:cs="Calibri"/>
          <w:color w:val="000000"/>
          <w:lang w:val="en-US" w:eastAsia="en-US"/>
        </w:rPr>
        <w:t>on the 13 SDG 3 targets</w:t>
      </w:r>
      <w:r w:rsidR="5FA3C7A9" w:rsidRPr="233AE039">
        <w:rPr>
          <w:rFonts w:ascii="Calibri" w:hAnsi="Calibri" w:cs="Calibri"/>
          <w:color w:val="000000"/>
          <w:lang w:val="en-US" w:eastAsia="en-US"/>
        </w:rPr>
        <w:t xml:space="preserve">, SDG 5 on Gender Equality and Women’s Empowerment </w:t>
      </w:r>
      <w:r w:rsidR="10A6CD58" w:rsidRPr="233AE039">
        <w:rPr>
          <w:rFonts w:ascii="Calibri" w:hAnsi="Calibri" w:cs="Calibri"/>
          <w:color w:val="000000"/>
          <w:lang w:val="en-US" w:eastAsia="en-US"/>
        </w:rPr>
        <w:t>and</w:t>
      </w:r>
      <w:r w:rsidR="767AD1E7" w:rsidRPr="233AE039">
        <w:rPr>
          <w:rFonts w:ascii="Calibri" w:hAnsi="Calibri" w:cs="Calibri"/>
          <w:color w:val="000000"/>
          <w:lang w:val="en-US" w:eastAsia="en-US"/>
        </w:rPr>
        <w:t xml:space="preserve"> achieving</w:t>
      </w:r>
      <w:r w:rsidR="10A6CD58" w:rsidRPr="233AE039">
        <w:rPr>
          <w:rFonts w:ascii="Calibri" w:hAnsi="Calibri" w:cs="Calibri"/>
          <w:color w:val="000000"/>
          <w:lang w:val="en-US" w:eastAsia="en-US"/>
        </w:rPr>
        <w:t xml:space="preserve"> </w:t>
      </w:r>
      <w:r w:rsidRPr="233AE039">
        <w:rPr>
          <w:rFonts w:ascii="Calibri" w:hAnsi="Calibri" w:cs="Calibri"/>
          <w:color w:val="000000"/>
          <w:lang w:val="en-US" w:eastAsia="en-US"/>
        </w:rPr>
        <w:t xml:space="preserve">the </w:t>
      </w:r>
      <w:r w:rsidR="10A6CD58" w:rsidRPr="233AE039">
        <w:rPr>
          <w:rFonts w:ascii="Calibri" w:hAnsi="Calibri" w:cs="Calibri"/>
          <w:color w:val="000000"/>
          <w:lang w:val="en-US" w:eastAsia="en-US"/>
        </w:rPr>
        <w:t xml:space="preserve">central pledge of the 2030 Agenda: </w:t>
      </w:r>
      <w:r w:rsidRPr="233AE039">
        <w:rPr>
          <w:rFonts w:ascii="Calibri" w:hAnsi="Calibri" w:cs="Calibri"/>
          <w:color w:val="000000"/>
          <w:lang w:val="en-US" w:eastAsia="en-US"/>
        </w:rPr>
        <w:t>Leave No One Behind (LNOB)</w:t>
      </w:r>
      <w:r w:rsidR="4E216F41" w:rsidRPr="233AE039">
        <w:rPr>
          <w:rFonts w:ascii="Calibri" w:hAnsi="Calibri" w:cs="Calibri"/>
          <w:color w:val="000000"/>
          <w:lang w:val="en-US" w:eastAsia="en-US"/>
        </w:rPr>
        <w:t xml:space="preserve">, a </w:t>
      </w:r>
      <w:r w:rsidR="10D6B820" w:rsidRPr="233AE039">
        <w:rPr>
          <w:rFonts w:ascii="Calibri" w:hAnsi="Calibri" w:cs="Calibri"/>
          <w:color w:val="000000"/>
          <w:lang w:val="en-US" w:eastAsia="en-US"/>
        </w:rPr>
        <w:t xml:space="preserve">commitment which is grounded in the normative framework of international human rights and operationally directed to reaching the furthest behind </w:t>
      </w:r>
      <w:r w:rsidR="7DCB1105" w:rsidRPr="233AE039">
        <w:rPr>
          <w:rFonts w:ascii="Calibri" w:hAnsi="Calibri" w:cs="Calibri"/>
          <w:color w:val="000000"/>
          <w:lang w:val="en-US" w:eastAsia="en-US"/>
        </w:rPr>
        <w:t>first</w:t>
      </w:r>
      <w:r w:rsidR="10A6CD58" w:rsidRPr="233AE039">
        <w:rPr>
          <w:rFonts w:ascii="Calibri" w:hAnsi="Calibri" w:cs="Calibri"/>
          <w:color w:val="000000"/>
          <w:lang w:val="en-US" w:eastAsia="en-US"/>
        </w:rPr>
        <w:t>.</w:t>
      </w:r>
      <w:r w:rsidR="00655AE1" w:rsidRPr="233AE039">
        <w:rPr>
          <w:rStyle w:val="FootnoteReference"/>
          <w:rFonts w:ascii="Calibri" w:hAnsi="Calibri" w:cs="Calibri"/>
          <w:color w:val="000000"/>
          <w:lang w:val="en-US" w:eastAsia="en-US"/>
        </w:rPr>
        <w:footnoteReference w:id="3"/>
      </w:r>
      <w:r w:rsidR="10A6CD58" w:rsidRPr="233AE039">
        <w:rPr>
          <w:rFonts w:ascii="Calibri" w:hAnsi="Calibri" w:cs="Calibri"/>
          <w:color w:val="000000"/>
          <w:lang w:val="en-US" w:eastAsia="en-US"/>
        </w:rPr>
        <w:t xml:space="preserve"> </w:t>
      </w:r>
      <w:r w:rsidR="16355D5F" w:rsidRPr="233AE039">
        <w:rPr>
          <w:rFonts w:ascii="Calibri" w:hAnsi="Calibri" w:cs="Calibri"/>
          <w:color w:val="000000"/>
          <w:lang w:val="en-US" w:eastAsia="en-US"/>
        </w:rPr>
        <w:t>In</w:t>
      </w:r>
      <w:r w:rsidR="5D26A16F" w:rsidRPr="233AE039">
        <w:rPr>
          <w:rFonts w:ascii="Calibri" w:hAnsi="Calibri" w:cs="Calibri"/>
          <w:color w:val="000000"/>
          <w:lang w:val="en-US" w:eastAsia="en-US"/>
        </w:rPr>
        <w:t xml:space="preserve"> addition</w:t>
      </w:r>
      <w:r w:rsidR="16355D5F" w:rsidRPr="233AE039">
        <w:rPr>
          <w:rFonts w:ascii="Calibri" w:hAnsi="Calibri" w:cs="Calibri"/>
          <w:color w:val="000000"/>
          <w:lang w:val="en-US" w:eastAsia="en-US"/>
        </w:rPr>
        <w:t>, WHO contributes</w:t>
      </w:r>
      <w:r w:rsidR="5D26A16F" w:rsidRPr="233AE039">
        <w:rPr>
          <w:rFonts w:ascii="Calibri" w:hAnsi="Calibri" w:cs="Calibri"/>
          <w:color w:val="000000"/>
          <w:lang w:val="en-US" w:eastAsia="en-US"/>
        </w:rPr>
        <w:t xml:space="preserve"> to</w:t>
      </w:r>
      <w:r w:rsidR="6493428F" w:rsidRPr="233AE039">
        <w:rPr>
          <w:rFonts w:ascii="Calibri" w:hAnsi="Calibri" w:cs="Calibri"/>
          <w:color w:val="000000"/>
          <w:lang w:val="en-US" w:eastAsia="en-US"/>
        </w:rPr>
        <w:t xml:space="preserve"> SDG</w:t>
      </w:r>
      <w:r w:rsidR="3170CD87" w:rsidRPr="233AE039">
        <w:rPr>
          <w:rFonts w:ascii="Calibri" w:hAnsi="Calibri" w:cs="Calibri"/>
          <w:color w:val="000000"/>
          <w:lang w:val="en-US" w:eastAsia="en-US"/>
        </w:rPr>
        <w:t xml:space="preserve">, </w:t>
      </w:r>
      <w:r w:rsidR="7D52B55D" w:rsidRPr="233AE039">
        <w:rPr>
          <w:rFonts w:ascii="Calibri" w:hAnsi="Calibri" w:cs="Calibri"/>
          <w:color w:val="000000"/>
          <w:lang w:val="en-US" w:eastAsia="en-US"/>
        </w:rPr>
        <w:t>as</w:t>
      </w:r>
      <w:r w:rsidR="106C3163" w:rsidRPr="233AE039">
        <w:rPr>
          <w:rFonts w:ascii="Calibri" w:hAnsi="Calibri" w:cs="Calibri"/>
          <w:color w:val="000000"/>
          <w:lang w:val="en-US" w:eastAsia="en-US"/>
        </w:rPr>
        <w:t xml:space="preserve"> </w:t>
      </w:r>
      <w:r w:rsidR="5C4E5DC2" w:rsidRPr="233AE039">
        <w:rPr>
          <w:rFonts w:ascii="Calibri" w:hAnsi="Calibri" w:cs="Calibri"/>
          <w:color w:val="000000"/>
          <w:lang w:val="en-US" w:eastAsia="en-US"/>
        </w:rPr>
        <w:t>well as other health-related goals</w:t>
      </w:r>
      <w:r w:rsidR="004A2419" w:rsidRPr="233AE039">
        <w:rPr>
          <w:rFonts w:ascii="Calibri" w:hAnsi="Calibri" w:cs="Calibri"/>
          <w:color w:val="000000"/>
          <w:lang w:val="en-US" w:eastAsia="en-US"/>
        </w:rPr>
        <w:t xml:space="preserve"> and targets</w:t>
      </w:r>
      <w:r w:rsidR="5C4E5DC2" w:rsidRPr="233AE039">
        <w:rPr>
          <w:rFonts w:ascii="Calibri" w:hAnsi="Calibri" w:cs="Calibri"/>
          <w:color w:val="000000"/>
          <w:lang w:val="en-US" w:eastAsia="en-US"/>
        </w:rPr>
        <w:t xml:space="preserve">, </w:t>
      </w:r>
      <w:r w:rsidR="69748A16" w:rsidRPr="233AE039">
        <w:rPr>
          <w:rFonts w:ascii="Calibri" w:hAnsi="Calibri" w:cs="Calibri"/>
          <w:color w:val="000000"/>
          <w:lang w:val="en-US" w:eastAsia="en-US"/>
        </w:rPr>
        <w:t>anchored by a rigorous approach to public health evidence</w:t>
      </w:r>
      <w:r w:rsidR="2A31B794" w:rsidRPr="233AE039">
        <w:rPr>
          <w:rFonts w:ascii="Calibri" w:hAnsi="Calibri" w:cs="Calibri"/>
          <w:color w:val="000000"/>
          <w:lang w:val="en-US" w:eastAsia="en-US"/>
        </w:rPr>
        <w:t>,</w:t>
      </w:r>
      <w:r w:rsidR="69748A16" w:rsidRPr="233AE039">
        <w:rPr>
          <w:rFonts w:ascii="Calibri" w:hAnsi="Calibri" w:cs="Calibri"/>
          <w:color w:val="000000"/>
          <w:lang w:val="en-US" w:eastAsia="en-US"/>
        </w:rPr>
        <w:t xml:space="preserve"> </w:t>
      </w:r>
      <w:r w:rsidR="62D59086" w:rsidRPr="233AE039">
        <w:rPr>
          <w:rFonts w:ascii="Calibri" w:hAnsi="Calibri" w:cs="Calibri"/>
          <w:color w:val="000000"/>
          <w:lang w:val="en-US" w:eastAsia="en-US"/>
        </w:rPr>
        <w:t xml:space="preserve"> international human rights </w:t>
      </w:r>
      <w:r w:rsidR="4F42B64A" w:rsidRPr="233AE039">
        <w:rPr>
          <w:rFonts w:ascii="Calibri" w:hAnsi="Calibri" w:cs="Calibri"/>
          <w:color w:val="000000"/>
          <w:lang w:val="en-US" w:eastAsia="en-US"/>
        </w:rPr>
        <w:t xml:space="preserve">and its </w:t>
      </w:r>
      <w:r w:rsidR="002E0686" w:rsidRPr="233AE039">
        <w:rPr>
          <w:rFonts w:ascii="Calibri" w:hAnsi="Calibri" w:cs="Calibri"/>
          <w:color w:val="000000"/>
          <w:lang w:val="en-US" w:eastAsia="en-US"/>
        </w:rPr>
        <w:t xml:space="preserve">constitutional </w:t>
      </w:r>
      <w:r w:rsidR="4F42B64A" w:rsidRPr="233AE039">
        <w:rPr>
          <w:rFonts w:ascii="Calibri" w:hAnsi="Calibri" w:cs="Calibri"/>
          <w:color w:val="000000"/>
          <w:lang w:val="en-US" w:eastAsia="en-US"/>
        </w:rPr>
        <w:t xml:space="preserve">mandate </w:t>
      </w:r>
      <w:r w:rsidR="7D52B55D" w:rsidRPr="233AE039">
        <w:rPr>
          <w:rFonts w:ascii="Calibri" w:hAnsi="Calibri" w:cs="Calibri"/>
          <w:color w:val="000000"/>
          <w:lang w:val="en-US" w:eastAsia="en-US"/>
        </w:rPr>
        <w:t xml:space="preserve">to </w:t>
      </w:r>
      <w:r w:rsidR="324DDDED" w:rsidRPr="233AE039">
        <w:rPr>
          <w:rFonts w:ascii="Calibri" w:hAnsi="Calibri" w:cs="Calibri"/>
          <w:color w:val="000000"/>
          <w:lang w:val="en-US" w:eastAsia="en-US"/>
        </w:rPr>
        <w:t>advance the right to health</w:t>
      </w:r>
      <w:r w:rsidR="2A31B794" w:rsidRPr="233AE039">
        <w:rPr>
          <w:rFonts w:ascii="Calibri" w:hAnsi="Calibri" w:cs="Calibri"/>
          <w:color w:val="000000"/>
          <w:lang w:val="en-US" w:eastAsia="en-US"/>
        </w:rPr>
        <w:t>, without discrimination</w:t>
      </w:r>
      <w:r w:rsidR="4822ADE1" w:rsidRPr="233AE039">
        <w:rPr>
          <w:rFonts w:ascii="Calibri" w:hAnsi="Calibri" w:cs="Calibri"/>
          <w:color w:val="000000"/>
          <w:lang w:val="en-US" w:eastAsia="en-US"/>
        </w:rPr>
        <w:t>.</w:t>
      </w:r>
      <w:r w:rsidR="00522974" w:rsidRPr="233AE039">
        <w:rPr>
          <w:rStyle w:val="FootnoteReference"/>
          <w:rFonts w:eastAsia="Calibri"/>
          <w:lang w:val="en-US" w:eastAsia="en-US"/>
        </w:rPr>
        <w:footnoteReference w:id="4"/>
      </w:r>
    </w:p>
    <w:p w14:paraId="6E6B46AB" w14:textId="60DBD486" w:rsidR="008F4CB5" w:rsidRPr="0098373E" w:rsidRDefault="008F4CB5" w:rsidP="002E7901">
      <w:pPr>
        <w:pStyle w:val="ListParagraph"/>
        <w:numPr>
          <w:ilvl w:val="0"/>
          <w:numId w:val="1"/>
        </w:numPr>
        <w:tabs>
          <w:tab w:val="left" w:pos="567"/>
        </w:tabs>
        <w:spacing w:after="120"/>
        <w:ind w:left="0" w:firstLine="0"/>
        <w:contextualSpacing w:val="0"/>
        <w:jc w:val="both"/>
        <w:rPr>
          <w:rFonts w:cstheme="minorHAnsi"/>
        </w:rPr>
      </w:pPr>
      <w:r w:rsidRPr="0098373E">
        <w:rPr>
          <w:rFonts w:ascii="Calibri" w:eastAsiaTheme="minorHAnsi" w:hAnsi="Calibri" w:cs="Calibri"/>
          <w:color w:val="000000"/>
          <w:lang w:val="en-US" w:eastAsia="en-US"/>
        </w:rPr>
        <w:t xml:space="preserve">The WHO Constitution (1948) affirms that “the enjoyment of the highest attainable standard of health is one of the fundamental rights of every human being, without distinction of race, religion, political belief, economic or social condition”. Other provisions of the </w:t>
      </w:r>
      <w:r w:rsidR="006A7FD0" w:rsidRPr="0098373E">
        <w:rPr>
          <w:rFonts w:ascii="Calibri" w:eastAsiaTheme="minorHAnsi" w:hAnsi="Calibri" w:cs="Calibri"/>
          <w:color w:val="000000"/>
          <w:lang w:val="en-US" w:eastAsia="en-US"/>
        </w:rPr>
        <w:t xml:space="preserve">interpretive </w:t>
      </w:r>
      <w:r w:rsidRPr="0098373E">
        <w:rPr>
          <w:rFonts w:ascii="Calibri" w:eastAsiaTheme="minorHAnsi" w:hAnsi="Calibri" w:cs="Calibri"/>
          <w:color w:val="000000"/>
          <w:lang w:val="en-US" w:eastAsia="en-US"/>
        </w:rPr>
        <w:t>preamble define the right to health as, ‘not merely the absence of disease or infirmity, but a complete state of physical and mental health and well-being’ and provide additional principles on the right to health, which informed the development of General Comment 14 on Article 12 of the International Covenant on Economic, Social and Cultural Rights</w:t>
      </w:r>
      <w:r w:rsidR="004F3C4D" w:rsidRPr="0098373E">
        <w:rPr>
          <w:rFonts w:ascii="Calibri" w:eastAsiaTheme="minorHAnsi" w:hAnsi="Calibri" w:cs="Calibri"/>
          <w:color w:val="000000"/>
          <w:lang w:val="en-US" w:eastAsia="en-US"/>
        </w:rPr>
        <w:t xml:space="preserve">, the four essential elements </w:t>
      </w:r>
      <w:r w:rsidR="00DE4EDB" w:rsidRPr="0098373E">
        <w:rPr>
          <w:rFonts w:ascii="Calibri" w:eastAsiaTheme="minorHAnsi" w:hAnsi="Calibri" w:cs="Calibri"/>
          <w:color w:val="000000"/>
          <w:lang w:val="en-US" w:eastAsia="en-US"/>
        </w:rPr>
        <w:t xml:space="preserve">of availability, accessibility, </w:t>
      </w:r>
      <w:r w:rsidR="0098276B" w:rsidRPr="0098373E">
        <w:rPr>
          <w:rFonts w:ascii="Calibri" w:eastAsiaTheme="minorHAnsi" w:hAnsi="Calibri" w:cs="Calibri"/>
          <w:color w:val="000000"/>
          <w:lang w:val="en-US" w:eastAsia="en-US"/>
        </w:rPr>
        <w:t>acceptability</w:t>
      </w:r>
      <w:r w:rsidR="00DE4EDB" w:rsidRPr="0098373E">
        <w:rPr>
          <w:rFonts w:ascii="Calibri" w:eastAsiaTheme="minorHAnsi" w:hAnsi="Calibri" w:cs="Calibri"/>
          <w:color w:val="000000"/>
          <w:lang w:val="en-US" w:eastAsia="en-US"/>
        </w:rPr>
        <w:t xml:space="preserve"> and quality</w:t>
      </w:r>
      <w:r w:rsidR="0062627B" w:rsidRPr="0098373E">
        <w:rPr>
          <w:rFonts w:ascii="Calibri" w:eastAsiaTheme="minorHAnsi" w:hAnsi="Calibri" w:cs="Calibri"/>
          <w:color w:val="000000"/>
          <w:lang w:val="en-US" w:eastAsia="en-US"/>
        </w:rPr>
        <w:t>,</w:t>
      </w:r>
      <w:r w:rsidR="004F3C4D" w:rsidRPr="0098373E">
        <w:rPr>
          <w:rFonts w:ascii="Calibri" w:eastAsiaTheme="minorHAnsi" w:hAnsi="Calibri" w:cs="Calibri"/>
          <w:color w:val="000000"/>
          <w:lang w:val="en-US" w:eastAsia="en-US"/>
        </w:rPr>
        <w:t xml:space="preserve"> associated criteria</w:t>
      </w:r>
      <w:r w:rsidR="00703D61" w:rsidRPr="0098373E">
        <w:rPr>
          <w:rFonts w:ascii="Calibri" w:eastAsiaTheme="minorHAnsi" w:hAnsi="Calibri" w:cs="Calibri"/>
          <w:color w:val="000000"/>
          <w:lang w:val="en-US" w:eastAsia="en-US"/>
        </w:rPr>
        <w:t xml:space="preserve">, </w:t>
      </w:r>
      <w:r w:rsidR="00745AB0" w:rsidRPr="0098373E">
        <w:rPr>
          <w:rFonts w:ascii="Calibri" w:eastAsiaTheme="minorHAnsi" w:hAnsi="Calibri" w:cs="Calibri"/>
          <w:color w:val="000000"/>
          <w:lang w:val="en-US" w:eastAsia="en-US"/>
        </w:rPr>
        <w:t>and</w:t>
      </w:r>
      <w:r w:rsidR="004F3C4D" w:rsidRPr="0098373E">
        <w:rPr>
          <w:rFonts w:ascii="Calibri" w:eastAsiaTheme="minorHAnsi" w:hAnsi="Calibri" w:cs="Calibri"/>
          <w:color w:val="000000"/>
          <w:lang w:val="en-US" w:eastAsia="en-US"/>
        </w:rPr>
        <w:t xml:space="preserve"> </w:t>
      </w:r>
      <w:r w:rsidR="00703D61" w:rsidRPr="0098373E">
        <w:rPr>
          <w:rFonts w:ascii="Calibri" w:eastAsiaTheme="minorHAnsi" w:hAnsi="Calibri" w:cs="Calibri"/>
          <w:color w:val="000000"/>
          <w:lang w:val="en-US" w:eastAsia="en-US"/>
        </w:rPr>
        <w:t xml:space="preserve">additional guidance </w:t>
      </w:r>
      <w:r w:rsidR="00745AB0" w:rsidRPr="0098373E">
        <w:rPr>
          <w:rFonts w:ascii="Calibri" w:eastAsiaTheme="minorHAnsi" w:hAnsi="Calibri" w:cs="Calibri"/>
          <w:color w:val="000000"/>
          <w:lang w:val="en-US" w:eastAsia="en-US"/>
        </w:rPr>
        <w:t>on the need to address</w:t>
      </w:r>
      <w:r w:rsidR="00652762" w:rsidRPr="0098373E">
        <w:rPr>
          <w:rFonts w:ascii="Calibri" w:eastAsiaTheme="minorHAnsi" w:hAnsi="Calibri" w:cs="Calibri"/>
          <w:color w:val="000000"/>
          <w:lang w:val="en-US" w:eastAsia="en-US"/>
        </w:rPr>
        <w:t xml:space="preserve"> health inequities among</w:t>
      </w:r>
      <w:r w:rsidR="0062627B" w:rsidRPr="0098373E">
        <w:rPr>
          <w:rFonts w:ascii="Calibri" w:eastAsiaTheme="minorHAnsi" w:hAnsi="Calibri" w:cs="Calibri"/>
          <w:color w:val="000000"/>
          <w:lang w:val="en-US" w:eastAsia="en-US"/>
        </w:rPr>
        <w:t xml:space="preserve"> women</w:t>
      </w:r>
      <w:r w:rsidR="00652762" w:rsidRPr="0098373E">
        <w:rPr>
          <w:rFonts w:ascii="Calibri" w:eastAsiaTheme="minorHAnsi" w:hAnsi="Calibri" w:cs="Calibri"/>
          <w:color w:val="000000"/>
          <w:lang w:val="en-US" w:eastAsia="en-US"/>
        </w:rPr>
        <w:t>, girl</w:t>
      </w:r>
      <w:r w:rsidR="00B15EEB">
        <w:rPr>
          <w:rFonts w:ascii="Calibri" w:eastAsiaTheme="minorHAnsi" w:hAnsi="Calibri" w:cs="Calibri"/>
          <w:color w:val="000000"/>
          <w:lang w:val="en-US" w:eastAsia="en-US"/>
        </w:rPr>
        <w:t>s,</w:t>
      </w:r>
      <w:r w:rsidR="00652762" w:rsidRPr="0098373E">
        <w:rPr>
          <w:rFonts w:ascii="Calibri" w:eastAsiaTheme="minorHAnsi" w:hAnsi="Calibri" w:cs="Calibri"/>
          <w:color w:val="000000"/>
          <w:lang w:val="en-US" w:eastAsia="en-US"/>
        </w:rPr>
        <w:t xml:space="preserve"> </w:t>
      </w:r>
      <w:r w:rsidR="0098276B" w:rsidRPr="0098373E">
        <w:rPr>
          <w:rFonts w:ascii="Calibri" w:eastAsiaTheme="minorHAnsi" w:hAnsi="Calibri" w:cs="Calibri"/>
          <w:color w:val="000000"/>
          <w:lang w:val="en-US" w:eastAsia="en-US"/>
        </w:rPr>
        <w:t xml:space="preserve">marginalized </w:t>
      </w:r>
      <w:r w:rsidR="004B6019">
        <w:rPr>
          <w:rFonts w:ascii="Calibri" w:eastAsiaTheme="minorHAnsi" w:hAnsi="Calibri" w:cs="Calibri"/>
          <w:color w:val="000000"/>
          <w:lang w:val="en-US" w:eastAsia="en-US"/>
        </w:rPr>
        <w:t>groups and populations in vulnerable contexts, including humanitarian settings</w:t>
      </w:r>
      <w:r w:rsidR="00703D61" w:rsidRPr="0098373E">
        <w:rPr>
          <w:rFonts w:eastAsia="Calibri" w:cstheme="minorHAnsi"/>
          <w:lang w:val="en-US" w:eastAsia="en-US"/>
        </w:rPr>
        <w:t>.</w:t>
      </w:r>
      <w:r w:rsidR="00FE419D" w:rsidRPr="0098373E">
        <w:rPr>
          <w:rStyle w:val="FootnoteReference"/>
          <w:rFonts w:eastAsia="Calibri" w:cstheme="minorHAnsi"/>
          <w:lang w:val="en-US" w:eastAsia="en-US"/>
        </w:rPr>
        <w:footnoteReference w:id="5"/>
      </w:r>
      <w:r w:rsidR="00703D61" w:rsidRPr="0098373E">
        <w:rPr>
          <w:rFonts w:eastAsia="Calibri" w:cstheme="minorHAnsi"/>
          <w:lang w:val="en-US" w:eastAsia="en-US"/>
        </w:rPr>
        <w:t xml:space="preserve"> </w:t>
      </w:r>
      <w:r w:rsidRPr="0098373E">
        <w:rPr>
          <w:rFonts w:eastAsia="Calibri" w:cstheme="minorHAnsi"/>
          <w:lang w:val="en-US" w:eastAsia="en-US"/>
        </w:rPr>
        <w:t xml:space="preserve"> </w:t>
      </w:r>
    </w:p>
    <w:p w14:paraId="4BF3433E" w14:textId="5A9A9283" w:rsidR="00C77482" w:rsidRDefault="0014123B" w:rsidP="002E7901">
      <w:pPr>
        <w:pStyle w:val="ListParagraph"/>
        <w:numPr>
          <w:ilvl w:val="0"/>
          <w:numId w:val="1"/>
        </w:numPr>
        <w:tabs>
          <w:tab w:val="left" w:pos="567"/>
        </w:tabs>
        <w:spacing w:after="120"/>
        <w:ind w:left="0" w:firstLine="0"/>
        <w:contextualSpacing w:val="0"/>
        <w:jc w:val="both"/>
        <w:rPr>
          <w:rFonts w:ascii="Calibri" w:eastAsiaTheme="minorHAnsi" w:hAnsi="Calibri" w:cs="Calibri"/>
          <w:color w:val="000000"/>
          <w:sz w:val="23"/>
          <w:szCs w:val="23"/>
          <w:lang w:val="en-US" w:eastAsia="en-US"/>
        </w:rPr>
      </w:pPr>
      <w:r w:rsidRPr="0098373E">
        <w:rPr>
          <w:rFonts w:ascii="Calibri" w:eastAsiaTheme="minorHAnsi" w:hAnsi="Calibri" w:cs="Calibri"/>
          <w:color w:val="000000"/>
          <w:lang w:val="en-US" w:eastAsia="en-US"/>
        </w:rPr>
        <w:t>Beyond the UNGA 2015 resolution on the 2030 Agenda for Sustainable Development</w:t>
      </w:r>
      <w:r w:rsidR="007E621F" w:rsidRPr="0098373E">
        <w:rPr>
          <w:rFonts w:ascii="Calibri" w:eastAsiaTheme="minorHAnsi" w:hAnsi="Calibri" w:cs="Calibri"/>
          <w:color w:val="000000"/>
          <w:lang w:val="en-US" w:eastAsia="en-US"/>
        </w:rPr>
        <w:t xml:space="preserve">, </w:t>
      </w:r>
      <w:r w:rsidR="00F97999" w:rsidRPr="0098373E">
        <w:rPr>
          <w:rFonts w:ascii="Calibri" w:eastAsiaTheme="minorHAnsi" w:hAnsi="Calibri" w:cs="Calibri"/>
          <w:color w:val="000000"/>
          <w:lang w:val="en-US" w:eastAsia="en-US"/>
        </w:rPr>
        <w:t>WHO is also guided</w:t>
      </w:r>
      <w:r w:rsidR="00167F19" w:rsidRPr="0098373E">
        <w:rPr>
          <w:rFonts w:ascii="Calibri" w:eastAsiaTheme="minorHAnsi" w:hAnsi="Calibri" w:cs="Calibri"/>
          <w:color w:val="000000"/>
          <w:lang w:val="en-US" w:eastAsia="en-US"/>
        </w:rPr>
        <w:t xml:space="preserve"> on </w:t>
      </w:r>
      <w:r w:rsidR="004B6A30" w:rsidRPr="0098373E">
        <w:rPr>
          <w:rFonts w:ascii="Calibri" w:eastAsiaTheme="minorHAnsi" w:hAnsi="Calibri" w:cs="Calibri"/>
          <w:color w:val="000000"/>
          <w:lang w:val="en-US" w:eastAsia="en-US"/>
        </w:rPr>
        <w:t xml:space="preserve">the </w:t>
      </w:r>
      <w:r w:rsidR="00167F19" w:rsidRPr="0098373E">
        <w:rPr>
          <w:rFonts w:ascii="Calibri" w:eastAsiaTheme="minorHAnsi" w:hAnsi="Calibri" w:cs="Calibri"/>
          <w:color w:val="000000"/>
          <w:lang w:val="en-US" w:eastAsia="en-US"/>
        </w:rPr>
        <w:t xml:space="preserve">right to health </w:t>
      </w:r>
      <w:r w:rsidR="00FF797A" w:rsidRPr="0098373E">
        <w:rPr>
          <w:rFonts w:ascii="Calibri" w:eastAsiaTheme="minorHAnsi" w:hAnsi="Calibri" w:cs="Calibri"/>
          <w:color w:val="000000"/>
          <w:lang w:val="en-US" w:eastAsia="en-US"/>
        </w:rPr>
        <w:t xml:space="preserve">and related human rights </w:t>
      </w:r>
      <w:r w:rsidR="004B6A30" w:rsidRPr="0098373E">
        <w:rPr>
          <w:rFonts w:ascii="Calibri" w:eastAsiaTheme="minorHAnsi" w:hAnsi="Calibri" w:cs="Calibri"/>
          <w:color w:val="000000"/>
          <w:lang w:val="en-US" w:eastAsia="en-US"/>
        </w:rPr>
        <w:t xml:space="preserve">by </w:t>
      </w:r>
      <w:r w:rsidRPr="0098373E">
        <w:rPr>
          <w:rFonts w:ascii="Calibri" w:eastAsiaTheme="minorHAnsi" w:hAnsi="Calibri" w:cs="Calibri"/>
          <w:color w:val="000000"/>
          <w:lang w:val="en-US" w:eastAsia="en-US"/>
        </w:rPr>
        <w:t xml:space="preserve">relevant </w:t>
      </w:r>
      <w:r w:rsidR="004B6A30" w:rsidRPr="0098373E">
        <w:rPr>
          <w:rFonts w:ascii="Calibri" w:eastAsiaTheme="minorHAnsi" w:hAnsi="Calibri" w:cs="Calibri"/>
          <w:color w:val="000000"/>
          <w:lang w:val="en-US" w:eastAsia="en-US"/>
        </w:rPr>
        <w:t>UN General Assembly</w:t>
      </w:r>
      <w:r w:rsidR="00C15BBC" w:rsidRPr="0098373E">
        <w:rPr>
          <w:rFonts w:ascii="Calibri" w:eastAsiaTheme="minorHAnsi" w:hAnsi="Calibri" w:cs="Calibri"/>
          <w:color w:val="000000"/>
          <w:lang w:val="en-US" w:eastAsia="en-US"/>
        </w:rPr>
        <w:t xml:space="preserve"> and </w:t>
      </w:r>
      <w:r w:rsidR="00167F19" w:rsidRPr="0098373E">
        <w:rPr>
          <w:rFonts w:ascii="Calibri" w:eastAsiaTheme="minorHAnsi" w:hAnsi="Calibri" w:cs="Calibri"/>
          <w:color w:val="000000"/>
          <w:lang w:val="en-US" w:eastAsia="en-US"/>
        </w:rPr>
        <w:t xml:space="preserve">World Health </w:t>
      </w:r>
      <w:r w:rsidR="007A2D32" w:rsidRPr="0098373E">
        <w:rPr>
          <w:rFonts w:ascii="Calibri" w:eastAsiaTheme="minorHAnsi" w:hAnsi="Calibri" w:cs="Calibri"/>
          <w:color w:val="000000"/>
          <w:lang w:val="en-US" w:eastAsia="en-US"/>
        </w:rPr>
        <w:t>Assembly</w:t>
      </w:r>
      <w:r w:rsidR="00B86033" w:rsidRPr="0098373E">
        <w:rPr>
          <w:rFonts w:ascii="Calibri" w:eastAsiaTheme="minorHAnsi" w:hAnsi="Calibri" w:cs="Calibri"/>
          <w:color w:val="000000"/>
          <w:lang w:val="en-US" w:eastAsia="en-US"/>
        </w:rPr>
        <w:t xml:space="preserve"> resolutions</w:t>
      </w:r>
      <w:r w:rsidR="00167F19" w:rsidRPr="0098373E">
        <w:rPr>
          <w:rFonts w:ascii="Calibri" w:eastAsiaTheme="minorHAnsi" w:hAnsi="Calibri" w:cs="Calibri"/>
          <w:color w:val="000000"/>
          <w:lang w:val="en-US" w:eastAsia="en-US"/>
        </w:rPr>
        <w:t xml:space="preserve"> and Political Declarations</w:t>
      </w:r>
      <w:r w:rsidR="00D61CFC" w:rsidRPr="0098373E">
        <w:rPr>
          <w:rFonts w:ascii="Calibri" w:eastAsiaTheme="minorHAnsi" w:hAnsi="Calibri" w:cs="Calibri"/>
          <w:color w:val="000000"/>
          <w:lang w:val="en-US" w:eastAsia="en-US"/>
        </w:rPr>
        <w:t xml:space="preserve"> </w:t>
      </w:r>
      <w:r w:rsidR="009F390E" w:rsidRPr="0098373E">
        <w:rPr>
          <w:rFonts w:ascii="Calibri" w:eastAsiaTheme="minorHAnsi" w:hAnsi="Calibri" w:cs="Calibri"/>
          <w:color w:val="000000"/>
          <w:lang w:val="en-US" w:eastAsia="en-US"/>
        </w:rPr>
        <w:t>on</w:t>
      </w:r>
      <w:r w:rsidR="005F1C0A" w:rsidRPr="0098373E">
        <w:rPr>
          <w:rFonts w:ascii="Calibri" w:eastAsiaTheme="minorHAnsi" w:hAnsi="Calibri" w:cs="Calibri"/>
          <w:color w:val="000000"/>
          <w:lang w:val="en-US" w:eastAsia="en-US"/>
        </w:rPr>
        <w:t xml:space="preserve">, </w:t>
      </w:r>
      <w:r w:rsidR="005F1C0A" w:rsidRPr="007C5867">
        <w:rPr>
          <w:rFonts w:ascii="Calibri" w:eastAsiaTheme="minorHAnsi" w:hAnsi="Calibri" w:cs="Calibri"/>
          <w:i/>
          <w:color w:val="000000"/>
          <w:lang w:val="en-US" w:eastAsia="en-US"/>
        </w:rPr>
        <w:t>inter alia</w:t>
      </w:r>
      <w:r w:rsidR="005F1C0A" w:rsidRPr="0098373E">
        <w:rPr>
          <w:rFonts w:ascii="Calibri" w:eastAsiaTheme="minorHAnsi" w:hAnsi="Calibri" w:cs="Calibri"/>
          <w:color w:val="000000"/>
          <w:lang w:val="en-US" w:eastAsia="en-US"/>
        </w:rPr>
        <w:t>,</w:t>
      </w:r>
      <w:r w:rsidR="009F390E" w:rsidRPr="0098373E">
        <w:rPr>
          <w:rFonts w:ascii="Calibri" w:eastAsiaTheme="minorHAnsi" w:hAnsi="Calibri" w:cs="Calibri"/>
          <w:color w:val="000000"/>
          <w:lang w:val="en-US" w:eastAsia="en-US"/>
        </w:rPr>
        <w:t xml:space="preserve"> Universal Health Coverage</w:t>
      </w:r>
      <w:r w:rsidR="006748FE" w:rsidRPr="00A72B1E">
        <w:rPr>
          <w:vertAlign w:val="superscript"/>
        </w:rPr>
        <w:footnoteReference w:id="6"/>
      </w:r>
      <w:r w:rsidR="007A177D" w:rsidRPr="0098373E">
        <w:rPr>
          <w:rFonts w:ascii="Calibri" w:eastAsiaTheme="minorHAnsi" w:hAnsi="Calibri" w:cs="Calibri"/>
          <w:color w:val="000000"/>
          <w:lang w:val="en-US" w:eastAsia="en-US"/>
        </w:rPr>
        <w:t xml:space="preserve"> and </w:t>
      </w:r>
      <w:r w:rsidR="00E02309" w:rsidRPr="0098373E">
        <w:rPr>
          <w:rFonts w:ascii="Calibri" w:eastAsiaTheme="minorHAnsi" w:hAnsi="Calibri" w:cs="Calibri"/>
          <w:color w:val="000000"/>
          <w:lang w:val="en-US" w:eastAsia="en-US"/>
        </w:rPr>
        <w:t xml:space="preserve">the Astana Declaration on </w:t>
      </w:r>
      <w:r w:rsidR="007A177D" w:rsidRPr="0098373E">
        <w:rPr>
          <w:rFonts w:ascii="Calibri" w:eastAsiaTheme="minorHAnsi" w:hAnsi="Calibri" w:cs="Calibri"/>
          <w:color w:val="000000"/>
          <w:lang w:val="en-US" w:eastAsia="en-US"/>
        </w:rPr>
        <w:t>Primary Health Care,</w:t>
      </w:r>
      <w:r w:rsidR="002523FD" w:rsidRPr="00A72B1E">
        <w:rPr>
          <w:vertAlign w:val="superscript"/>
        </w:rPr>
        <w:footnoteReference w:id="7"/>
      </w:r>
      <w:r w:rsidR="007A177D" w:rsidRPr="00A72B1E">
        <w:rPr>
          <w:rFonts w:ascii="Calibri" w:eastAsiaTheme="minorHAnsi" w:hAnsi="Calibri" w:cs="Calibri"/>
          <w:color w:val="000000"/>
          <w:vertAlign w:val="superscript"/>
          <w:lang w:val="en-US" w:eastAsia="en-US"/>
        </w:rPr>
        <w:t xml:space="preserve"> </w:t>
      </w:r>
      <w:r w:rsidR="00E82636" w:rsidRPr="0098373E">
        <w:rPr>
          <w:rFonts w:ascii="Calibri" w:eastAsiaTheme="minorHAnsi" w:hAnsi="Calibri" w:cs="Calibri"/>
          <w:color w:val="000000"/>
          <w:lang w:val="en-US" w:eastAsia="en-US"/>
        </w:rPr>
        <w:t>which foreground progress in these core</w:t>
      </w:r>
      <w:r w:rsidR="00975103" w:rsidRPr="0098373E">
        <w:rPr>
          <w:rFonts w:ascii="Calibri" w:eastAsiaTheme="minorHAnsi" w:hAnsi="Calibri" w:cs="Calibri"/>
          <w:color w:val="000000"/>
          <w:lang w:val="en-US" w:eastAsia="en-US"/>
        </w:rPr>
        <w:t xml:space="preserve"> WHO</w:t>
      </w:r>
      <w:r w:rsidR="00E82636" w:rsidRPr="0098373E">
        <w:rPr>
          <w:rFonts w:ascii="Calibri" w:eastAsiaTheme="minorHAnsi" w:hAnsi="Calibri" w:cs="Calibri"/>
          <w:color w:val="000000"/>
          <w:lang w:val="en-US" w:eastAsia="en-US"/>
        </w:rPr>
        <w:t xml:space="preserve"> </w:t>
      </w:r>
      <w:r w:rsidR="00E82636" w:rsidRPr="002E7901">
        <w:rPr>
          <w:rFonts w:ascii="Calibri" w:eastAsiaTheme="minorHAnsi" w:hAnsi="Calibri" w:cs="Calibri"/>
          <w:color w:val="000000"/>
          <w:lang w:val="en-US" w:eastAsia="en-US"/>
        </w:rPr>
        <w:t>technical</w:t>
      </w:r>
      <w:r w:rsidR="00E82636" w:rsidRPr="0098373E">
        <w:rPr>
          <w:rFonts w:ascii="Calibri" w:eastAsiaTheme="minorHAnsi" w:hAnsi="Calibri" w:cs="Calibri"/>
          <w:color w:val="000000"/>
          <w:lang w:val="en-US" w:eastAsia="en-US"/>
        </w:rPr>
        <w:t xml:space="preserve"> areas </w:t>
      </w:r>
      <w:r w:rsidR="003202F4" w:rsidRPr="0098373E">
        <w:rPr>
          <w:rFonts w:ascii="Calibri" w:eastAsiaTheme="minorHAnsi" w:hAnsi="Calibri" w:cs="Calibri"/>
          <w:color w:val="000000"/>
          <w:lang w:val="en-US" w:eastAsia="en-US"/>
        </w:rPr>
        <w:t xml:space="preserve">in </w:t>
      </w:r>
      <w:r w:rsidR="003B4067" w:rsidRPr="0098373E">
        <w:rPr>
          <w:rFonts w:ascii="Calibri" w:eastAsiaTheme="minorHAnsi" w:hAnsi="Calibri" w:cs="Calibri"/>
          <w:color w:val="000000"/>
          <w:lang w:val="en-US" w:eastAsia="en-US"/>
        </w:rPr>
        <w:t>providing guidance to</w:t>
      </w:r>
      <w:r w:rsidR="00E22612" w:rsidRPr="0098373E">
        <w:rPr>
          <w:rFonts w:ascii="Calibri" w:eastAsiaTheme="minorHAnsi" w:hAnsi="Calibri" w:cs="Calibri"/>
          <w:color w:val="000000"/>
          <w:lang w:val="en-US" w:eastAsia="en-US"/>
        </w:rPr>
        <w:t xml:space="preserve"> </w:t>
      </w:r>
      <w:r w:rsidR="0028648D" w:rsidRPr="0098373E">
        <w:rPr>
          <w:rFonts w:ascii="Calibri" w:eastAsiaTheme="minorHAnsi" w:hAnsi="Calibri" w:cs="Calibri"/>
          <w:color w:val="000000"/>
          <w:lang w:val="en-US" w:eastAsia="en-US"/>
        </w:rPr>
        <w:t xml:space="preserve">governments at all levels to </w:t>
      </w:r>
      <w:r w:rsidR="003202F4" w:rsidRPr="0098373E">
        <w:rPr>
          <w:rFonts w:ascii="Calibri" w:eastAsiaTheme="minorHAnsi" w:hAnsi="Calibri" w:cs="Calibri"/>
          <w:color w:val="000000"/>
          <w:lang w:val="en-US" w:eastAsia="en-US"/>
        </w:rPr>
        <w:t xml:space="preserve">meet their responsibility in guaranteeing </w:t>
      </w:r>
      <w:r w:rsidR="0028648D" w:rsidRPr="0098373E">
        <w:rPr>
          <w:rFonts w:ascii="Calibri" w:eastAsiaTheme="minorHAnsi" w:hAnsi="Calibri" w:cs="Calibri"/>
          <w:color w:val="000000"/>
          <w:lang w:val="en-US" w:eastAsia="en-US"/>
        </w:rPr>
        <w:t xml:space="preserve">the </w:t>
      </w:r>
      <w:r w:rsidR="00E22612" w:rsidRPr="0098373E">
        <w:rPr>
          <w:rFonts w:ascii="Calibri" w:eastAsiaTheme="minorHAnsi" w:hAnsi="Calibri" w:cs="Calibri"/>
          <w:color w:val="000000"/>
          <w:lang w:val="en-US" w:eastAsia="en-US"/>
        </w:rPr>
        <w:t xml:space="preserve">right to health </w:t>
      </w:r>
      <w:r w:rsidR="0028648D" w:rsidRPr="0098373E">
        <w:rPr>
          <w:rFonts w:ascii="Calibri" w:eastAsiaTheme="minorHAnsi" w:hAnsi="Calibri" w:cs="Calibri"/>
          <w:color w:val="000000"/>
          <w:lang w:val="en-US" w:eastAsia="en-US"/>
        </w:rPr>
        <w:t>to health for all</w:t>
      </w:r>
      <w:r w:rsidR="00AB794C">
        <w:rPr>
          <w:rFonts w:ascii="Calibri" w:eastAsiaTheme="minorHAnsi" w:hAnsi="Calibri" w:cs="Calibri"/>
          <w:color w:val="000000"/>
          <w:lang w:val="en-US" w:eastAsia="en-US"/>
        </w:rPr>
        <w:t xml:space="preserve">. The declarations commit </w:t>
      </w:r>
      <w:r w:rsidR="00F7626A">
        <w:rPr>
          <w:rFonts w:ascii="Calibri" w:eastAsiaTheme="minorHAnsi" w:hAnsi="Calibri" w:cs="Calibri"/>
          <w:color w:val="000000"/>
          <w:lang w:val="en-US" w:eastAsia="en-US"/>
        </w:rPr>
        <w:t>to ensuring optimal health law</w:t>
      </w:r>
      <w:r w:rsidR="00416156">
        <w:rPr>
          <w:rFonts w:ascii="Calibri" w:eastAsiaTheme="minorHAnsi" w:hAnsi="Calibri" w:cs="Calibri"/>
          <w:color w:val="000000"/>
          <w:lang w:val="en-US" w:eastAsia="en-US"/>
        </w:rPr>
        <w:t>s, policies and services through</w:t>
      </w:r>
      <w:r w:rsidR="00654622" w:rsidRPr="0098373E">
        <w:rPr>
          <w:rFonts w:ascii="Calibri" w:eastAsiaTheme="minorHAnsi" w:hAnsi="Calibri" w:cs="Calibri"/>
          <w:color w:val="000000"/>
          <w:lang w:val="en-US" w:eastAsia="en-US"/>
        </w:rPr>
        <w:t xml:space="preserve"> meaningful participation of civil society </w:t>
      </w:r>
      <w:r w:rsidR="008445C5" w:rsidRPr="0098373E">
        <w:rPr>
          <w:rFonts w:ascii="Calibri" w:eastAsiaTheme="minorHAnsi" w:hAnsi="Calibri" w:cs="Calibri"/>
          <w:color w:val="000000"/>
          <w:lang w:val="en-US" w:eastAsia="en-US"/>
        </w:rPr>
        <w:t>organizations and communities</w:t>
      </w:r>
      <w:r w:rsidR="006211CA" w:rsidRPr="0098373E">
        <w:rPr>
          <w:rFonts w:ascii="Calibri" w:eastAsiaTheme="minorHAnsi" w:hAnsi="Calibri" w:cs="Calibri"/>
          <w:color w:val="000000"/>
          <w:lang w:val="en-US" w:eastAsia="en-US"/>
        </w:rPr>
        <w:t>, particularly underserved and marginalized communities</w:t>
      </w:r>
      <w:r w:rsidR="0044315B">
        <w:rPr>
          <w:rFonts w:ascii="Calibri" w:eastAsiaTheme="minorHAnsi" w:hAnsi="Calibri" w:cs="Calibri"/>
          <w:color w:val="000000"/>
          <w:sz w:val="23"/>
          <w:szCs w:val="23"/>
          <w:lang w:val="en-US" w:eastAsia="en-US"/>
        </w:rPr>
        <w:t>.</w:t>
      </w:r>
    </w:p>
    <w:p w14:paraId="311DAFE5" w14:textId="23D6827E" w:rsidR="006856A3" w:rsidRDefault="00CB24AE" w:rsidP="0098373E">
      <w:pPr>
        <w:pStyle w:val="ListParagraph"/>
        <w:numPr>
          <w:ilvl w:val="0"/>
          <w:numId w:val="1"/>
        </w:numPr>
        <w:tabs>
          <w:tab w:val="left" w:pos="567"/>
        </w:tabs>
        <w:spacing w:after="120"/>
        <w:ind w:left="0" w:firstLine="0"/>
        <w:contextualSpacing w:val="0"/>
        <w:jc w:val="both"/>
        <w:rPr>
          <w:rFonts w:ascii="Calibri" w:eastAsiaTheme="minorHAnsi" w:hAnsi="Calibri" w:cs="Calibri"/>
          <w:color w:val="000000"/>
          <w:sz w:val="23"/>
          <w:szCs w:val="23"/>
          <w:lang w:val="en-US" w:eastAsia="en-US"/>
        </w:rPr>
      </w:pPr>
      <w:r w:rsidRPr="0098373E">
        <w:rPr>
          <w:rFonts w:ascii="Calibri" w:eastAsiaTheme="minorHAnsi" w:hAnsi="Calibri" w:cs="Calibri"/>
          <w:color w:val="000000"/>
          <w:lang w:val="en-US" w:eastAsia="en-US"/>
        </w:rPr>
        <w:lastRenderedPageBreak/>
        <w:t xml:space="preserve">Relevant </w:t>
      </w:r>
      <w:r w:rsidR="00DA1254" w:rsidRPr="0098373E">
        <w:rPr>
          <w:rFonts w:ascii="Calibri" w:eastAsiaTheme="minorHAnsi" w:hAnsi="Calibri" w:cs="Calibri"/>
          <w:color w:val="000000"/>
          <w:lang w:val="en-US" w:eastAsia="en-US"/>
        </w:rPr>
        <w:t xml:space="preserve">World Health Assembly (WHA) </w:t>
      </w:r>
      <w:r w:rsidR="007046D6" w:rsidRPr="0098373E">
        <w:rPr>
          <w:rFonts w:ascii="Calibri" w:eastAsiaTheme="minorHAnsi" w:hAnsi="Calibri" w:cs="Calibri"/>
          <w:color w:val="000000"/>
          <w:lang w:val="en-US" w:eastAsia="en-US"/>
        </w:rPr>
        <w:t>resolution</w:t>
      </w:r>
      <w:r w:rsidR="00DA1254" w:rsidRPr="0098373E">
        <w:rPr>
          <w:rFonts w:ascii="Calibri" w:eastAsiaTheme="minorHAnsi" w:hAnsi="Calibri" w:cs="Calibri"/>
          <w:color w:val="000000"/>
          <w:lang w:val="en-US" w:eastAsia="en-US"/>
        </w:rPr>
        <w:t>s</w:t>
      </w:r>
      <w:r w:rsidR="007046D6" w:rsidRPr="0098373E">
        <w:rPr>
          <w:rFonts w:ascii="Calibri" w:eastAsiaTheme="minorHAnsi" w:hAnsi="Calibri" w:cs="Calibri"/>
          <w:color w:val="000000"/>
          <w:lang w:val="en-US" w:eastAsia="en-US"/>
        </w:rPr>
        <w:t xml:space="preserve"> </w:t>
      </w:r>
      <w:r w:rsidRPr="0098373E">
        <w:rPr>
          <w:rFonts w:ascii="Calibri" w:eastAsiaTheme="minorHAnsi" w:hAnsi="Calibri" w:cs="Calibri"/>
          <w:color w:val="000000"/>
          <w:lang w:val="en-US" w:eastAsia="en-US"/>
        </w:rPr>
        <w:t>also guid</w:t>
      </w:r>
      <w:r w:rsidR="00CC3F2D" w:rsidRPr="0098373E">
        <w:rPr>
          <w:rFonts w:ascii="Calibri" w:eastAsiaTheme="minorHAnsi" w:hAnsi="Calibri" w:cs="Calibri"/>
          <w:color w:val="000000"/>
          <w:lang w:val="en-US" w:eastAsia="en-US"/>
        </w:rPr>
        <w:t>e</w:t>
      </w:r>
      <w:r w:rsidRPr="0098373E">
        <w:rPr>
          <w:rFonts w:ascii="Calibri" w:eastAsiaTheme="minorHAnsi" w:hAnsi="Calibri" w:cs="Calibri"/>
          <w:color w:val="000000"/>
          <w:lang w:val="en-US" w:eastAsia="en-US"/>
        </w:rPr>
        <w:t xml:space="preserve"> the WHO Secretariat’s</w:t>
      </w:r>
      <w:r w:rsidR="007046D6" w:rsidRPr="0098373E">
        <w:rPr>
          <w:rFonts w:ascii="Calibri" w:eastAsiaTheme="minorHAnsi" w:hAnsi="Calibri" w:cs="Calibri"/>
          <w:color w:val="000000"/>
          <w:lang w:val="en-US" w:eastAsia="en-US"/>
        </w:rPr>
        <w:t xml:space="preserve"> </w:t>
      </w:r>
      <w:r w:rsidR="00613E96" w:rsidRPr="0098373E">
        <w:rPr>
          <w:rFonts w:ascii="Calibri" w:eastAsiaTheme="minorHAnsi" w:hAnsi="Calibri" w:cs="Calibri"/>
          <w:color w:val="000000"/>
          <w:lang w:val="en-US" w:eastAsia="en-US"/>
        </w:rPr>
        <w:t xml:space="preserve">normative role </w:t>
      </w:r>
      <w:r w:rsidR="002E7FDC" w:rsidRPr="0098373E">
        <w:rPr>
          <w:rFonts w:ascii="Calibri" w:eastAsiaTheme="minorHAnsi" w:hAnsi="Calibri" w:cs="Calibri"/>
          <w:color w:val="000000"/>
          <w:lang w:val="en-US" w:eastAsia="en-US"/>
        </w:rPr>
        <w:t xml:space="preserve">in </w:t>
      </w:r>
      <w:r w:rsidR="00B63132" w:rsidRPr="0098373E">
        <w:rPr>
          <w:rFonts w:ascii="Calibri" w:eastAsiaTheme="minorHAnsi" w:hAnsi="Calibri" w:cs="Calibri"/>
          <w:color w:val="000000"/>
          <w:lang w:val="en-US" w:eastAsia="en-US"/>
        </w:rPr>
        <w:t>integrating</w:t>
      </w:r>
      <w:r w:rsidR="002E7FDC" w:rsidRPr="0098373E">
        <w:rPr>
          <w:rFonts w:ascii="Calibri" w:eastAsiaTheme="minorHAnsi" w:hAnsi="Calibri" w:cs="Calibri"/>
          <w:color w:val="000000"/>
          <w:lang w:val="en-US" w:eastAsia="en-US"/>
        </w:rPr>
        <w:t xml:space="preserve"> public </w:t>
      </w:r>
      <w:r w:rsidR="00B63132" w:rsidRPr="0098373E">
        <w:rPr>
          <w:rFonts w:ascii="Calibri" w:eastAsiaTheme="minorHAnsi" w:hAnsi="Calibri" w:cs="Calibri"/>
          <w:color w:val="000000"/>
          <w:lang w:val="en-US" w:eastAsia="en-US"/>
        </w:rPr>
        <w:t>health</w:t>
      </w:r>
      <w:r w:rsidR="002E7FDC" w:rsidRPr="0098373E">
        <w:rPr>
          <w:rFonts w:ascii="Calibri" w:eastAsiaTheme="minorHAnsi" w:hAnsi="Calibri" w:cs="Calibri"/>
          <w:color w:val="000000"/>
          <w:lang w:val="en-US" w:eastAsia="en-US"/>
        </w:rPr>
        <w:t xml:space="preserve"> evidence</w:t>
      </w:r>
      <w:r w:rsidR="00F36E32" w:rsidRPr="0098373E">
        <w:rPr>
          <w:rFonts w:ascii="Calibri" w:eastAsiaTheme="minorHAnsi" w:hAnsi="Calibri" w:cs="Calibri"/>
          <w:color w:val="000000"/>
          <w:lang w:val="en-US" w:eastAsia="en-US"/>
        </w:rPr>
        <w:t xml:space="preserve">, </w:t>
      </w:r>
      <w:r w:rsidR="008427F0" w:rsidRPr="0098373E">
        <w:rPr>
          <w:rFonts w:ascii="Calibri" w:eastAsiaTheme="minorHAnsi" w:hAnsi="Calibri" w:cs="Calibri"/>
          <w:color w:val="000000"/>
          <w:lang w:val="en-US" w:eastAsia="en-US"/>
        </w:rPr>
        <w:t>the right to health, gender</w:t>
      </w:r>
      <w:r w:rsidR="00941533" w:rsidRPr="0098373E">
        <w:rPr>
          <w:rFonts w:ascii="Calibri" w:eastAsiaTheme="minorHAnsi" w:hAnsi="Calibri" w:cs="Calibri"/>
          <w:color w:val="000000"/>
          <w:lang w:val="en-US" w:eastAsia="en-US"/>
        </w:rPr>
        <w:t xml:space="preserve"> equality</w:t>
      </w:r>
      <w:r w:rsidR="002B334D">
        <w:rPr>
          <w:rFonts w:ascii="Calibri" w:eastAsiaTheme="minorHAnsi" w:hAnsi="Calibri" w:cs="Calibri"/>
          <w:color w:val="000000"/>
          <w:lang w:val="en-US" w:eastAsia="en-US"/>
        </w:rPr>
        <w:t>, health equity</w:t>
      </w:r>
      <w:r w:rsidR="008427F0" w:rsidRPr="0098373E">
        <w:rPr>
          <w:rFonts w:ascii="Calibri" w:eastAsiaTheme="minorHAnsi" w:hAnsi="Calibri" w:cs="Calibri"/>
          <w:color w:val="000000"/>
          <w:lang w:val="en-US" w:eastAsia="en-US"/>
        </w:rPr>
        <w:t>,</w:t>
      </w:r>
      <w:r w:rsidR="00613E96" w:rsidRPr="0098373E">
        <w:rPr>
          <w:rFonts w:ascii="Calibri" w:eastAsiaTheme="minorHAnsi" w:hAnsi="Calibri" w:cs="Calibri"/>
          <w:color w:val="000000"/>
          <w:lang w:val="en-US" w:eastAsia="en-US"/>
        </w:rPr>
        <w:t xml:space="preserve"> and </w:t>
      </w:r>
      <w:r w:rsidR="002C086F" w:rsidRPr="0098373E">
        <w:rPr>
          <w:rFonts w:ascii="Calibri" w:eastAsiaTheme="minorHAnsi" w:hAnsi="Calibri" w:cs="Calibri"/>
          <w:color w:val="000000"/>
          <w:lang w:val="en-US" w:eastAsia="en-US"/>
        </w:rPr>
        <w:t xml:space="preserve">underlying rights to adequate, nutritious food, </w:t>
      </w:r>
      <w:r w:rsidR="0038786F" w:rsidRPr="0098373E">
        <w:rPr>
          <w:rFonts w:ascii="Calibri" w:eastAsiaTheme="minorHAnsi" w:hAnsi="Calibri" w:cs="Calibri"/>
          <w:color w:val="000000"/>
          <w:lang w:val="en-US" w:eastAsia="en-US"/>
        </w:rPr>
        <w:t>clean water and sanitati</w:t>
      </w:r>
      <w:r w:rsidR="00776532" w:rsidRPr="0098373E">
        <w:rPr>
          <w:rFonts w:ascii="Calibri" w:eastAsiaTheme="minorHAnsi" w:hAnsi="Calibri" w:cs="Calibri"/>
          <w:color w:val="000000"/>
          <w:lang w:val="en-US" w:eastAsia="en-US"/>
        </w:rPr>
        <w:t xml:space="preserve">on, occupational health and safety for the health workforce and the right to </w:t>
      </w:r>
      <w:r w:rsidR="00507644" w:rsidRPr="0098373E">
        <w:rPr>
          <w:rFonts w:ascii="Calibri" w:eastAsiaTheme="minorHAnsi" w:hAnsi="Calibri" w:cs="Calibri"/>
          <w:color w:val="000000"/>
          <w:lang w:val="en-US" w:eastAsia="en-US"/>
        </w:rPr>
        <w:t>accessible health services, information and programmes</w:t>
      </w:r>
      <w:r w:rsidR="00934217" w:rsidRPr="0098373E">
        <w:rPr>
          <w:rFonts w:ascii="Calibri" w:eastAsiaTheme="minorHAnsi" w:hAnsi="Calibri" w:cs="Calibri"/>
          <w:color w:val="000000"/>
          <w:lang w:val="en-US" w:eastAsia="en-US"/>
        </w:rPr>
        <w:t xml:space="preserve"> on a nondiscriminatory basis</w:t>
      </w:r>
      <w:r w:rsidR="00DA262D">
        <w:rPr>
          <w:rFonts w:ascii="Calibri" w:eastAsiaTheme="minorHAnsi" w:hAnsi="Calibri" w:cs="Calibri"/>
          <w:color w:val="000000"/>
          <w:sz w:val="23"/>
          <w:szCs w:val="23"/>
          <w:lang w:val="en-US" w:eastAsia="en-US"/>
        </w:rPr>
        <w:t>.</w:t>
      </w:r>
      <w:r w:rsidR="00613E96">
        <w:rPr>
          <w:rFonts w:ascii="Calibri" w:eastAsiaTheme="minorHAnsi" w:hAnsi="Calibri" w:cs="Calibri"/>
          <w:color w:val="000000"/>
          <w:sz w:val="23"/>
          <w:szCs w:val="23"/>
          <w:lang w:val="en-US" w:eastAsia="en-US"/>
        </w:rPr>
        <w:t xml:space="preserve"> </w:t>
      </w:r>
      <w:r w:rsidR="0044315B" w:rsidRPr="0098373E">
        <w:rPr>
          <w:rFonts w:ascii="Calibri" w:eastAsiaTheme="minorHAnsi" w:hAnsi="Calibri" w:cs="Calibri"/>
          <w:color w:val="000000"/>
          <w:lang w:val="en-US" w:eastAsia="en-US"/>
        </w:rPr>
        <w:t>WHA</w:t>
      </w:r>
      <w:r w:rsidR="007548F5" w:rsidRPr="0098373E">
        <w:rPr>
          <w:rFonts w:ascii="Calibri" w:eastAsiaTheme="minorHAnsi" w:hAnsi="Calibri" w:cs="Calibri"/>
          <w:color w:val="000000"/>
          <w:lang w:val="en-US" w:eastAsia="en-US"/>
        </w:rPr>
        <w:t xml:space="preserve"> </w:t>
      </w:r>
      <w:r w:rsidR="0006397B" w:rsidRPr="0098373E">
        <w:rPr>
          <w:rFonts w:ascii="Calibri" w:eastAsiaTheme="minorHAnsi" w:hAnsi="Calibri" w:cs="Calibri"/>
          <w:color w:val="000000"/>
          <w:lang w:val="en-US" w:eastAsia="en-US"/>
        </w:rPr>
        <w:t>60.25</w:t>
      </w:r>
      <w:r w:rsidR="00D12EC8" w:rsidRPr="0098373E">
        <w:rPr>
          <w:rFonts w:ascii="Calibri" w:eastAsiaTheme="minorHAnsi" w:hAnsi="Calibri" w:cs="Calibri"/>
          <w:color w:val="000000"/>
          <w:lang w:val="en-US" w:eastAsia="en-US"/>
        </w:rPr>
        <w:t xml:space="preserve">: </w:t>
      </w:r>
      <w:r w:rsidR="00D74859" w:rsidRPr="0098373E">
        <w:rPr>
          <w:rFonts w:ascii="Calibri" w:eastAsiaTheme="minorHAnsi" w:hAnsi="Calibri" w:cs="Calibri"/>
          <w:color w:val="000000"/>
          <w:lang w:val="en-US" w:eastAsia="en-US"/>
        </w:rPr>
        <w:t>Strategy for integrating gender analysis and actions into the work of WHO</w:t>
      </w:r>
      <w:r w:rsidR="00B152BA">
        <w:rPr>
          <w:rFonts w:ascii="Calibri" w:eastAsiaTheme="minorHAnsi" w:hAnsi="Calibri" w:cs="Calibri"/>
          <w:color w:val="000000"/>
          <w:sz w:val="23"/>
          <w:szCs w:val="23"/>
          <w:lang w:val="en-US" w:eastAsia="en-US"/>
        </w:rPr>
        <w:t>;</w:t>
      </w:r>
      <w:r w:rsidR="00787E22">
        <w:rPr>
          <w:rStyle w:val="FootnoteReference"/>
          <w:rFonts w:ascii="Calibri" w:eastAsiaTheme="minorHAnsi" w:hAnsi="Calibri" w:cs="Calibri"/>
          <w:color w:val="000000"/>
          <w:sz w:val="23"/>
          <w:szCs w:val="23"/>
          <w:lang w:val="en-US" w:eastAsia="en-US"/>
        </w:rPr>
        <w:footnoteReference w:id="8"/>
      </w:r>
      <w:r w:rsidR="00B152BA">
        <w:rPr>
          <w:rFonts w:ascii="Calibri" w:eastAsiaTheme="minorHAnsi" w:hAnsi="Calibri" w:cs="Calibri"/>
          <w:color w:val="000000"/>
          <w:sz w:val="23"/>
          <w:szCs w:val="23"/>
          <w:lang w:val="en-US" w:eastAsia="en-US"/>
        </w:rPr>
        <w:t xml:space="preserve"> </w:t>
      </w:r>
      <w:r w:rsidR="00B152BA" w:rsidRPr="0098373E">
        <w:rPr>
          <w:rFonts w:ascii="Calibri" w:eastAsiaTheme="minorHAnsi" w:hAnsi="Calibri" w:cs="Calibri"/>
          <w:color w:val="000000"/>
          <w:lang w:val="en-US" w:eastAsia="en-US"/>
        </w:rPr>
        <w:t>WHA 74.16</w:t>
      </w:r>
      <w:r w:rsidR="006C44D7" w:rsidRPr="0098373E">
        <w:rPr>
          <w:rFonts w:ascii="Calibri" w:eastAsiaTheme="minorHAnsi" w:hAnsi="Calibri" w:cs="Calibri"/>
          <w:color w:val="000000"/>
          <w:lang w:val="en-US" w:eastAsia="en-US"/>
        </w:rPr>
        <w:t>:</w:t>
      </w:r>
      <w:r w:rsidR="00607417" w:rsidRPr="0098373E">
        <w:rPr>
          <w:rFonts w:ascii="Calibri" w:eastAsiaTheme="minorHAnsi" w:hAnsi="Calibri" w:cs="Calibri"/>
          <w:color w:val="000000"/>
          <w:lang w:val="en-US" w:eastAsia="en-US"/>
        </w:rPr>
        <w:t xml:space="preserve"> Action on the Social </w:t>
      </w:r>
      <w:r w:rsidR="00914A06" w:rsidRPr="0098373E">
        <w:rPr>
          <w:rFonts w:ascii="Calibri" w:eastAsiaTheme="minorHAnsi" w:hAnsi="Calibri" w:cs="Calibri"/>
          <w:color w:val="000000"/>
          <w:lang w:val="en-US" w:eastAsia="en-US"/>
        </w:rPr>
        <w:t>Determinants</w:t>
      </w:r>
      <w:r w:rsidR="00607417" w:rsidRPr="0098373E">
        <w:rPr>
          <w:rFonts w:ascii="Calibri" w:eastAsiaTheme="minorHAnsi" w:hAnsi="Calibri" w:cs="Calibri"/>
          <w:color w:val="000000"/>
          <w:lang w:val="en-US" w:eastAsia="en-US"/>
        </w:rPr>
        <w:t xml:space="preserve"> of Healt</w:t>
      </w:r>
      <w:r w:rsidR="00CB07C6" w:rsidRPr="0098373E">
        <w:rPr>
          <w:rFonts w:ascii="Calibri" w:eastAsiaTheme="minorHAnsi" w:hAnsi="Calibri" w:cs="Calibri"/>
          <w:color w:val="000000"/>
          <w:lang w:val="en-US" w:eastAsia="en-US"/>
        </w:rPr>
        <w:t>h</w:t>
      </w:r>
      <w:r w:rsidR="00103CF6" w:rsidRPr="0098373E">
        <w:rPr>
          <w:rFonts w:ascii="Calibri" w:eastAsiaTheme="minorHAnsi" w:hAnsi="Calibri" w:cs="Calibri"/>
          <w:color w:val="000000"/>
          <w:lang w:val="en-US" w:eastAsia="en-US"/>
        </w:rPr>
        <w:t xml:space="preserve"> to address </w:t>
      </w:r>
      <w:r w:rsidR="000D6743" w:rsidRPr="0098373E">
        <w:rPr>
          <w:rFonts w:ascii="Calibri" w:eastAsiaTheme="minorHAnsi" w:hAnsi="Calibri" w:cs="Calibri"/>
          <w:color w:val="000000"/>
          <w:lang w:val="en-US" w:eastAsia="en-US"/>
        </w:rPr>
        <w:t xml:space="preserve">economic, social and environmental drivers of </w:t>
      </w:r>
      <w:r w:rsidR="00103CF6" w:rsidRPr="0098373E">
        <w:rPr>
          <w:rFonts w:ascii="Calibri" w:eastAsiaTheme="minorHAnsi" w:hAnsi="Calibri" w:cs="Calibri"/>
          <w:color w:val="000000"/>
          <w:lang w:val="en-US" w:eastAsia="en-US"/>
        </w:rPr>
        <w:t>health inequities and gender inequality</w:t>
      </w:r>
      <w:r w:rsidR="00CB07C6" w:rsidRPr="0098373E">
        <w:rPr>
          <w:rFonts w:ascii="Calibri" w:eastAsiaTheme="minorHAnsi" w:hAnsi="Calibri" w:cs="Calibri"/>
          <w:color w:val="000000"/>
          <w:lang w:val="en-US" w:eastAsia="en-US"/>
        </w:rPr>
        <w:t xml:space="preserve">, </w:t>
      </w:r>
      <w:r w:rsidR="00942A01" w:rsidRPr="0098373E">
        <w:rPr>
          <w:rFonts w:ascii="Calibri" w:eastAsiaTheme="minorHAnsi" w:hAnsi="Calibri" w:cs="Calibri"/>
          <w:color w:val="000000"/>
          <w:lang w:val="en-US" w:eastAsia="en-US"/>
        </w:rPr>
        <w:t xml:space="preserve">building on the findings and recommendations of the </w:t>
      </w:r>
      <w:r w:rsidR="00CB07C6" w:rsidRPr="0098373E">
        <w:rPr>
          <w:rFonts w:ascii="Calibri" w:eastAsiaTheme="minorHAnsi" w:hAnsi="Calibri" w:cs="Calibri"/>
          <w:color w:val="000000"/>
          <w:lang w:val="en-US" w:eastAsia="en-US"/>
        </w:rPr>
        <w:t>Commission</w:t>
      </w:r>
      <w:r w:rsidR="00942A01" w:rsidRPr="0098373E">
        <w:rPr>
          <w:rFonts w:ascii="Calibri" w:eastAsiaTheme="minorHAnsi" w:hAnsi="Calibri" w:cs="Calibri"/>
          <w:color w:val="000000"/>
          <w:lang w:val="en-US" w:eastAsia="en-US"/>
        </w:rPr>
        <w:t xml:space="preserve"> on Social Determinants of </w:t>
      </w:r>
      <w:r w:rsidR="00CB07C6" w:rsidRPr="0098373E">
        <w:rPr>
          <w:rFonts w:ascii="Calibri" w:eastAsiaTheme="minorHAnsi" w:hAnsi="Calibri" w:cs="Calibri"/>
          <w:color w:val="000000"/>
          <w:lang w:val="en-US" w:eastAsia="en-US"/>
        </w:rPr>
        <w:t>Heath</w:t>
      </w:r>
      <w:r w:rsidR="004E7D92">
        <w:rPr>
          <w:rFonts w:ascii="Calibri" w:eastAsiaTheme="minorHAnsi" w:hAnsi="Calibri" w:cs="Calibri"/>
          <w:color w:val="000000"/>
          <w:sz w:val="23"/>
          <w:szCs w:val="23"/>
          <w:lang w:val="en-US" w:eastAsia="en-US"/>
        </w:rPr>
        <w:t>;</w:t>
      </w:r>
      <w:r w:rsidR="00785DDD">
        <w:rPr>
          <w:rStyle w:val="FootnoteReference"/>
          <w:rFonts w:ascii="Calibri" w:eastAsiaTheme="minorHAnsi" w:hAnsi="Calibri" w:cs="Calibri"/>
          <w:color w:val="000000"/>
          <w:sz w:val="23"/>
          <w:szCs w:val="23"/>
          <w:lang w:val="en-US" w:eastAsia="en-US"/>
        </w:rPr>
        <w:footnoteReference w:id="9"/>
      </w:r>
      <w:r w:rsidR="004E7D92">
        <w:rPr>
          <w:rFonts w:ascii="Calibri" w:eastAsiaTheme="minorHAnsi" w:hAnsi="Calibri" w:cs="Calibri"/>
          <w:color w:val="000000"/>
          <w:sz w:val="23"/>
          <w:szCs w:val="23"/>
          <w:lang w:val="en-US" w:eastAsia="en-US"/>
        </w:rPr>
        <w:t xml:space="preserve"> WHA</w:t>
      </w:r>
      <w:r w:rsidR="004947BB">
        <w:rPr>
          <w:rFonts w:ascii="Calibri" w:eastAsiaTheme="minorHAnsi" w:hAnsi="Calibri" w:cs="Calibri"/>
          <w:color w:val="000000"/>
          <w:sz w:val="23"/>
          <w:szCs w:val="23"/>
          <w:lang w:val="en-US" w:eastAsia="en-US"/>
        </w:rPr>
        <w:t xml:space="preserve"> 69/11: </w:t>
      </w:r>
      <w:r w:rsidR="00ED7DF5">
        <w:rPr>
          <w:rFonts w:ascii="Calibri" w:eastAsiaTheme="minorHAnsi" w:hAnsi="Calibri" w:cs="Calibri"/>
          <w:color w:val="000000"/>
          <w:sz w:val="23"/>
          <w:szCs w:val="23"/>
          <w:lang w:val="en-US" w:eastAsia="en-US"/>
        </w:rPr>
        <w:t>Strengthening</w:t>
      </w:r>
      <w:r w:rsidR="004947BB">
        <w:rPr>
          <w:rFonts w:ascii="Calibri" w:eastAsiaTheme="minorHAnsi" w:hAnsi="Calibri" w:cs="Calibri"/>
          <w:color w:val="000000"/>
          <w:sz w:val="23"/>
          <w:szCs w:val="23"/>
          <w:lang w:val="en-US" w:eastAsia="en-US"/>
        </w:rPr>
        <w:t xml:space="preserve"> synergies between the World Health Assembly and the Conference of the Parties to the WHO Framework Convention on Tobacco Control.</w:t>
      </w:r>
      <w:r w:rsidR="004947BB">
        <w:rPr>
          <w:rStyle w:val="FootnoteReference"/>
          <w:rFonts w:ascii="Calibri" w:eastAsiaTheme="minorHAnsi" w:hAnsi="Calibri" w:cs="Calibri"/>
          <w:color w:val="000000"/>
          <w:sz w:val="23"/>
          <w:szCs w:val="23"/>
          <w:lang w:val="en-US" w:eastAsia="en-US"/>
        </w:rPr>
        <w:footnoteReference w:id="10"/>
      </w:r>
    </w:p>
    <w:p w14:paraId="15615F84" w14:textId="59CED763" w:rsidR="003E5CF3" w:rsidRPr="0098373E" w:rsidRDefault="00137395" w:rsidP="0098373E">
      <w:pPr>
        <w:pStyle w:val="ListParagraph"/>
        <w:numPr>
          <w:ilvl w:val="0"/>
          <w:numId w:val="1"/>
        </w:numPr>
        <w:tabs>
          <w:tab w:val="left" w:pos="567"/>
        </w:tabs>
        <w:spacing w:after="120"/>
        <w:ind w:left="0" w:firstLine="0"/>
        <w:contextualSpacing w:val="0"/>
        <w:jc w:val="both"/>
        <w:rPr>
          <w:rFonts w:ascii="Calibri" w:eastAsiaTheme="minorHAnsi" w:hAnsi="Calibri" w:cs="Calibri"/>
          <w:color w:val="000000"/>
          <w:lang w:val="en-US" w:eastAsia="en-US"/>
        </w:rPr>
      </w:pPr>
      <w:r w:rsidRPr="0098373E">
        <w:rPr>
          <w:rFonts w:ascii="Calibri" w:eastAsiaTheme="minorHAnsi" w:hAnsi="Calibri" w:cs="Calibri"/>
          <w:color w:val="000000"/>
          <w:lang w:val="en-US" w:eastAsia="en-US"/>
        </w:rPr>
        <w:t xml:space="preserve">WHO works across the three levels of the organization </w:t>
      </w:r>
      <w:r w:rsidR="005111A5" w:rsidRPr="0098373E">
        <w:rPr>
          <w:rFonts w:ascii="Calibri" w:eastAsiaTheme="minorHAnsi" w:hAnsi="Calibri" w:cs="Calibri"/>
          <w:color w:val="000000"/>
          <w:lang w:val="en-US" w:eastAsia="en-US"/>
        </w:rPr>
        <w:t>(HQ, Regional and Country Offices)</w:t>
      </w:r>
      <w:r w:rsidR="00E729FD">
        <w:rPr>
          <w:rFonts w:ascii="Calibri" w:eastAsiaTheme="minorHAnsi" w:hAnsi="Calibri" w:cs="Calibri"/>
          <w:color w:val="000000"/>
          <w:lang w:val="en-US" w:eastAsia="en-US"/>
        </w:rPr>
        <w:t xml:space="preserve">and </w:t>
      </w:r>
      <w:r w:rsidR="005111A5" w:rsidRPr="0098373E">
        <w:rPr>
          <w:rFonts w:ascii="Calibri" w:eastAsiaTheme="minorHAnsi" w:hAnsi="Calibri" w:cs="Calibri"/>
          <w:color w:val="000000"/>
          <w:lang w:val="en-US" w:eastAsia="en-US"/>
        </w:rPr>
        <w:t xml:space="preserve"> </w:t>
      </w:r>
      <w:r w:rsidRPr="0098373E">
        <w:rPr>
          <w:rFonts w:ascii="Calibri" w:eastAsiaTheme="minorHAnsi" w:hAnsi="Calibri" w:cs="Calibri"/>
          <w:color w:val="000000"/>
          <w:lang w:val="en-US" w:eastAsia="en-US"/>
        </w:rPr>
        <w:t>with other UN entities, civil society organizations</w:t>
      </w:r>
      <w:r w:rsidR="00071D51" w:rsidRPr="0098373E">
        <w:rPr>
          <w:rFonts w:ascii="Calibri" w:eastAsiaTheme="minorHAnsi" w:hAnsi="Calibri" w:cs="Calibri"/>
          <w:color w:val="000000"/>
          <w:lang w:val="en-US" w:eastAsia="en-US"/>
        </w:rPr>
        <w:t xml:space="preserve"> and technical experts to ensure a joined-up, consistent and coordinated approach to </w:t>
      </w:r>
      <w:r w:rsidR="00D61CFC" w:rsidRPr="0098373E">
        <w:rPr>
          <w:rFonts w:ascii="Calibri" w:eastAsiaTheme="minorHAnsi" w:hAnsi="Calibri" w:cs="Calibri"/>
          <w:color w:val="000000"/>
          <w:lang w:val="en-US" w:eastAsia="en-US"/>
        </w:rPr>
        <w:t xml:space="preserve">incorporate </w:t>
      </w:r>
      <w:r w:rsidR="000277DF" w:rsidRPr="0098373E">
        <w:rPr>
          <w:rFonts w:ascii="Calibri" w:eastAsiaTheme="minorHAnsi" w:hAnsi="Calibri" w:cs="Calibri"/>
          <w:color w:val="000000"/>
          <w:lang w:val="en-US" w:eastAsia="en-US"/>
        </w:rPr>
        <w:t xml:space="preserve">the cross-cutting </w:t>
      </w:r>
      <w:r w:rsidR="00DD303B" w:rsidRPr="0098373E">
        <w:rPr>
          <w:rFonts w:ascii="Calibri" w:eastAsiaTheme="minorHAnsi" w:hAnsi="Calibri" w:cs="Calibri"/>
          <w:color w:val="000000"/>
          <w:lang w:val="en-US" w:eastAsia="en-US"/>
        </w:rPr>
        <w:t xml:space="preserve">SDG </w:t>
      </w:r>
      <w:r w:rsidR="009B7F38">
        <w:rPr>
          <w:rFonts w:ascii="Calibri" w:eastAsiaTheme="minorHAnsi" w:hAnsi="Calibri" w:cs="Calibri"/>
          <w:color w:val="000000"/>
          <w:lang w:val="en-US" w:eastAsia="en-US"/>
        </w:rPr>
        <w:t>principles of a</w:t>
      </w:r>
      <w:r w:rsidR="00DD303B" w:rsidRPr="0098373E">
        <w:rPr>
          <w:rFonts w:ascii="Calibri" w:eastAsiaTheme="minorHAnsi" w:hAnsi="Calibri" w:cs="Calibri"/>
          <w:color w:val="000000"/>
          <w:lang w:val="en-US" w:eastAsia="en-US"/>
        </w:rPr>
        <w:t xml:space="preserve"> </w:t>
      </w:r>
      <w:r w:rsidR="00E50C91" w:rsidRPr="0098373E">
        <w:rPr>
          <w:rFonts w:ascii="Calibri" w:eastAsiaTheme="minorHAnsi" w:hAnsi="Calibri" w:cs="Calibri"/>
          <w:color w:val="000000"/>
          <w:lang w:val="en-US" w:eastAsia="en-US"/>
        </w:rPr>
        <w:t>human rights</w:t>
      </w:r>
      <w:r w:rsidR="009B7F38">
        <w:rPr>
          <w:rFonts w:ascii="Calibri" w:eastAsiaTheme="minorHAnsi" w:hAnsi="Calibri" w:cs="Calibri"/>
          <w:color w:val="000000"/>
          <w:lang w:val="en-US" w:eastAsia="en-US"/>
        </w:rPr>
        <w:t>-based approach</w:t>
      </w:r>
      <w:r w:rsidR="00E50C91" w:rsidRPr="0098373E">
        <w:rPr>
          <w:rFonts w:ascii="Calibri" w:eastAsiaTheme="minorHAnsi" w:hAnsi="Calibri" w:cs="Calibri"/>
          <w:color w:val="000000"/>
          <w:lang w:val="en-US" w:eastAsia="en-US"/>
        </w:rPr>
        <w:t>, gender equality and</w:t>
      </w:r>
      <w:r w:rsidR="00821EB2" w:rsidRPr="0098373E">
        <w:rPr>
          <w:rFonts w:ascii="Calibri" w:eastAsiaTheme="minorHAnsi" w:hAnsi="Calibri" w:cs="Calibri"/>
          <w:color w:val="000000"/>
          <w:lang w:val="en-US" w:eastAsia="en-US"/>
        </w:rPr>
        <w:t xml:space="preserve"> </w:t>
      </w:r>
      <w:r w:rsidR="004C70B9" w:rsidRPr="0098373E">
        <w:rPr>
          <w:rFonts w:ascii="Calibri" w:eastAsiaTheme="minorHAnsi" w:hAnsi="Calibri" w:cs="Calibri"/>
          <w:color w:val="000000"/>
          <w:lang w:val="en-US" w:eastAsia="en-US"/>
        </w:rPr>
        <w:t>Leave No One Behind</w:t>
      </w:r>
      <w:r w:rsidR="00B7701C">
        <w:rPr>
          <w:rFonts w:ascii="Calibri" w:eastAsiaTheme="minorHAnsi" w:hAnsi="Calibri" w:cs="Calibri"/>
          <w:color w:val="000000"/>
          <w:lang w:val="en-US" w:eastAsia="en-US"/>
        </w:rPr>
        <w:t xml:space="preserve"> commitment, including</w:t>
      </w:r>
      <w:r w:rsidR="004E6B47" w:rsidRPr="0098373E">
        <w:rPr>
          <w:rFonts w:ascii="Calibri" w:eastAsiaTheme="minorHAnsi" w:hAnsi="Calibri" w:cs="Calibri"/>
          <w:color w:val="000000"/>
          <w:lang w:val="en-US" w:eastAsia="en-US"/>
        </w:rPr>
        <w:t xml:space="preserve"> </w:t>
      </w:r>
      <w:r w:rsidR="00C30C77">
        <w:rPr>
          <w:rFonts w:ascii="Calibri" w:eastAsiaTheme="minorHAnsi" w:hAnsi="Calibri" w:cs="Calibri"/>
          <w:color w:val="000000"/>
          <w:lang w:val="en-US" w:eastAsia="en-US"/>
        </w:rPr>
        <w:t xml:space="preserve">operational guidance </w:t>
      </w:r>
      <w:r w:rsidR="00856C47">
        <w:rPr>
          <w:rFonts w:ascii="Calibri" w:eastAsiaTheme="minorHAnsi" w:hAnsi="Calibri" w:cs="Calibri"/>
          <w:color w:val="000000"/>
          <w:lang w:val="en-US" w:eastAsia="en-US"/>
        </w:rPr>
        <w:t>to address structural drivers of inequality</w:t>
      </w:r>
      <w:r w:rsidR="006E36AD">
        <w:rPr>
          <w:rFonts w:ascii="Calibri" w:eastAsiaTheme="minorHAnsi" w:hAnsi="Calibri" w:cs="Calibri"/>
          <w:color w:val="000000"/>
          <w:lang w:val="en-US" w:eastAsia="en-US"/>
        </w:rPr>
        <w:t xml:space="preserve"> and disadvantage</w:t>
      </w:r>
      <w:r w:rsidR="00405ECE">
        <w:rPr>
          <w:rFonts w:ascii="Calibri" w:eastAsiaTheme="minorHAnsi" w:hAnsi="Calibri" w:cs="Calibri"/>
          <w:color w:val="000000"/>
          <w:lang w:val="en-US" w:eastAsia="en-US"/>
        </w:rPr>
        <w:t xml:space="preserve"> that result in health and social ineq</w:t>
      </w:r>
      <w:r w:rsidR="00BF1A4F">
        <w:rPr>
          <w:rFonts w:ascii="Calibri" w:eastAsiaTheme="minorHAnsi" w:hAnsi="Calibri" w:cs="Calibri"/>
          <w:color w:val="000000"/>
          <w:lang w:val="en-US" w:eastAsia="en-US"/>
        </w:rPr>
        <w:t>uality. This includes</w:t>
      </w:r>
      <w:r w:rsidR="004C70B9" w:rsidRPr="0098373E">
        <w:rPr>
          <w:rFonts w:ascii="Calibri" w:eastAsiaTheme="minorHAnsi" w:hAnsi="Calibri" w:cs="Calibri"/>
          <w:color w:val="000000"/>
          <w:lang w:val="en-US" w:eastAsia="en-US"/>
        </w:rPr>
        <w:t xml:space="preserve"> </w:t>
      </w:r>
      <w:r w:rsidR="00A65155">
        <w:rPr>
          <w:rFonts w:ascii="Calibri" w:eastAsiaTheme="minorHAnsi" w:hAnsi="Calibri" w:cs="Calibri"/>
          <w:color w:val="000000"/>
          <w:lang w:val="en-US" w:eastAsia="en-US"/>
        </w:rPr>
        <w:t xml:space="preserve">contributing to </w:t>
      </w:r>
      <w:r w:rsidR="006E36AD">
        <w:rPr>
          <w:rFonts w:ascii="Calibri" w:eastAsiaTheme="minorHAnsi" w:hAnsi="Calibri" w:cs="Calibri"/>
          <w:color w:val="000000"/>
          <w:lang w:val="en-US" w:eastAsia="en-US"/>
        </w:rPr>
        <w:t xml:space="preserve">interagency </w:t>
      </w:r>
      <w:r w:rsidR="00BF1A4F">
        <w:rPr>
          <w:rFonts w:ascii="Calibri" w:eastAsiaTheme="minorHAnsi" w:hAnsi="Calibri" w:cs="Calibri"/>
          <w:color w:val="000000"/>
          <w:lang w:val="en-US" w:eastAsia="en-US"/>
        </w:rPr>
        <w:t xml:space="preserve">platforms to develop </w:t>
      </w:r>
      <w:r w:rsidR="004E6B47" w:rsidRPr="0098373E">
        <w:rPr>
          <w:rFonts w:ascii="Calibri" w:eastAsiaTheme="minorHAnsi" w:hAnsi="Calibri" w:cs="Calibri"/>
          <w:color w:val="000000"/>
          <w:lang w:val="en-US" w:eastAsia="en-US"/>
        </w:rPr>
        <w:t xml:space="preserve">SDG </w:t>
      </w:r>
      <w:r w:rsidR="00C07EE0" w:rsidRPr="0098373E">
        <w:rPr>
          <w:rFonts w:ascii="Calibri" w:eastAsiaTheme="minorHAnsi" w:hAnsi="Calibri" w:cs="Calibri"/>
          <w:color w:val="000000"/>
          <w:lang w:val="en-US" w:eastAsia="en-US"/>
        </w:rPr>
        <w:t>normative guidance</w:t>
      </w:r>
      <w:r w:rsidR="00D73F73">
        <w:rPr>
          <w:rFonts w:ascii="Calibri" w:eastAsiaTheme="minorHAnsi" w:hAnsi="Calibri" w:cs="Calibri"/>
          <w:color w:val="000000"/>
          <w:lang w:val="en-US" w:eastAsia="en-US"/>
        </w:rPr>
        <w:t xml:space="preserve">, </w:t>
      </w:r>
      <w:r w:rsidR="00B57755">
        <w:rPr>
          <w:rFonts w:ascii="Calibri" w:eastAsiaTheme="minorHAnsi" w:hAnsi="Calibri" w:cs="Calibri"/>
          <w:color w:val="000000"/>
          <w:lang w:val="en-US" w:eastAsia="en-US"/>
        </w:rPr>
        <w:t>that incorporate</w:t>
      </w:r>
      <w:r w:rsidR="004E6B47" w:rsidRPr="0098373E">
        <w:rPr>
          <w:rFonts w:ascii="Calibri" w:eastAsiaTheme="minorHAnsi" w:hAnsi="Calibri" w:cs="Calibri"/>
          <w:color w:val="000000"/>
          <w:lang w:val="en-US" w:eastAsia="en-US"/>
        </w:rPr>
        <w:t xml:space="preserve"> </w:t>
      </w:r>
      <w:r w:rsidR="00B025B8" w:rsidRPr="0098373E">
        <w:rPr>
          <w:rFonts w:ascii="Calibri" w:eastAsiaTheme="minorHAnsi" w:hAnsi="Calibri" w:cs="Calibri"/>
          <w:color w:val="000000"/>
          <w:lang w:val="en-US" w:eastAsia="en-US"/>
        </w:rPr>
        <w:t>the Human Rights-Based Approach</w:t>
      </w:r>
      <w:r w:rsidR="00B14C92">
        <w:rPr>
          <w:rFonts w:ascii="Calibri" w:eastAsiaTheme="minorHAnsi" w:hAnsi="Calibri" w:cs="Calibri"/>
          <w:color w:val="000000"/>
          <w:lang w:val="en-US" w:eastAsia="en-US"/>
        </w:rPr>
        <w:t xml:space="preserve"> to Development Cooperation</w:t>
      </w:r>
      <w:r w:rsidR="00B025B8" w:rsidRPr="0098373E">
        <w:rPr>
          <w:rFonts w:ascii="Calibri" w:eastAsiaTheme="minorHAnsi" w:hAnsi="Calibri" w:cs="Calibri"/>
          <w:color w:val="000000"/>
          <w:lang w:val="en-US" w:eastAsia="en-US"/>
        </w:rPr>
        <w:t xml:space="preserve">, Gender Equality and Women’s </w:t>
      </w:r>
      <w:r w:rsidR="004C5E6D" w:rsidRPr="0098373E">
        <w:rPr>
          <w:rFonts w:ascii="Calibri" w:eastAsiaTheme="minorHAnsi" w:hAnsi="Calibri" w:cs="Calibri"/>
          <w:color w:val="000000"/>
          <w:lang w:val="en-US" w:eastAsia="en-US"/>
        </w:rPr>
        <w:t>Empowerment</w:t>
      </w:r>
      <w:r w:rsidR="00B025B8" w:rsidRPr="0098373E">
        <w:rPr>
          <w:rFonts w:ascii="Calibri" w:eastAsiaTheme="minorHAnsi" w:hAnsi="Calibri" w:cs="Calibri"/>
          <w:color w:val="000000"/>
          <w:lang w:val="en-US" w:eastAsia="en-US"/>
        </w:rPr>
        <w:t xml:space="preserve"> and LNOB analyses </w:t>
      </w:r>
      <w:r w:rsidR="004D34EF">
        <w:rPr>
          <w:rFonts w:ascii="Calibri" w:eastAsiaTheme="minorHAnsi" w:hAnsi="Calibri" w:cs="Calibri"/>
          <w:color w:val="000000"/>
          <w:lang w:val="en-US" w:eastAsia="en-US"/>
        </w:rPr>
        <w:t xml:space="preserve">in </w:t>
      </w:r>
      <w:r w:rsidR="00B14C92">
        <w:rPr>
          <w:rFonts w:ascii="Calibri" w:eastAsiaTheme="minorHAnsi" w:hAnsi="Calibri" w:cs="Calibri"/>
          <w:color w:val="000000"/>
          <w:lang w:val="en-US" w:eastAsia="en-US"/>
        </w:rPr>
        <w:t xml:space="preserve">UN </w:t>
      </w:r>
      <w:r w:rsidR="00041A36" w:rsidRPr="0098373E">
        <w:rPr>
          <w:rFonts w:ascii="Calibri" w:eastAsiaTheme="minorHAnsi" w:hAnsi="Calibri" w:cs="Calibri"/>
          <w:color w:val="000000"/>
          <w:lang w:val="en-US" w:eastAsia="en-US"/>
        </w:rPr>
        <w:t>Common Country Analys</w:t>
      </w:r>
      <w:r w:rsidR="00B025B8" w:rsidRPr="0098373E">
        <w:rPr>
          <w:rFonts w:ascii="Calibri" w:eastAsiaTheme="minorHAnsi" w:hAnsi="Calibri" w:cs="Calibri"/>
          <w:color w:val="000000"/>
          <w:lang w:val="en-US" w:eastAsia="en-US"/>
        </w:rPr>
        <w:t>e</w:t>
      </w:r>
      <w:r w:rsidR="00041A36" w:rsidRPr="0098373E">
        <w:rPr>
          <w:rFonts w:ascii="Calibri" w:eastAsiaTheme="minorHAnsi" w:hAnsi="Calibri" w:cs="Calibri"/>
          <w:color w:val="000000"/>
          <w:lang w:val="en-US" w:eastAsia="en-US"/>
        </w:rPr>
        <w:t xml:space="preserve">s and </w:t>
      </w:r>
      <w:r w:rsidR="00807AAE">
        <w:rPr>
          <w:rFonts w:ascii="Calibri" w:eastAsiaTheme="minorHAnsi" w:hAnsi="Calibri" w:cs="Calibri"/>
          <w:color w:val="000000"/>
          <w:lang w:val="en-US" w:eastAsia="en-US"/>
        </w:rPr>
        <w:t xml:space="preserve">the </w:t>
      </w:r>
      <w:r w:rsidR="00041A36" w:rsidRPr="0098373E">
        <w:rPr>
          <w:rFonts w:ascii="Calibri" w:eastAsiaTheme="minorHAnsi" w:hAnsi="Calibri" w:cs="Calibri"/>
          <w:color w:val="000000"/>
          <w:lang w:val="en-US" w:eastAsia="en-US"/>
        </w:rPr>
        <w:t>Development Cooperation Frameworks</w:t>
      </w:r>
      <w:r w:rsidR="00807AAE">
        <w:rPr>
          <w:rFonts w:ascii="Calibri" w:eastAsiaTheme="minorHAnsi" w:hAnsi="Calibri" w:cs="Calibri"/>
          <w:color w:val="000000"/>
          <w:lang w:val="en-US" w:eastAsia="en-US"/>
        </w:rPr>
        <w:t xml:space="preserve"> negotiated with Member States</w:t>
      </w:r>
      <w:r w:rsidR="00B025B8" w:rsidRPr="0098373E">
        <w:rPr>
          <w:rFonts w:ascii="Calibri" w:eastAsiaTheme="minorHAnsi" w:hAnsi="Calibri" w:cs="Calibri"/>
          <w:color w:val="000000"/>
          <w:lang w:val="en-US" w:eastAsia="en-US"/>
        </w:rPr>
        <w:t xml:space="preserve">, the </w:t>
      </w:r>
      <w:r w:rsidR="00807AAE">
        <w:rPr>
          <w:rFonts w:ascii="Calibri" w:eastAsiaTheme="minorHAnsi" w:hAnsi="Calibri" w:cs="Calibri"/>
          <w:color w:val="000000"/>
          <w:lang w:val="en-US" w:eastAsia="en-US"/>
        </w:rPr>
        <w:t>foundation of the 2030 Agenda</w:t>
      </w:r>
      <w:r w:rsidR="008621F3" w:rsidRPr="0098373E">
        <w:rPr>
          <w:rFonts w:ascii="Calibri" w:eastAsiaTheme="minorHAnsi" w:hAnsi="Calibri" w:cs="Calibri"/>
          <w:color w:val="000000"/>
          <w:lang w:val="en-US" w:eastAsia="en-US"/>
        </w:rPr>
        <w:t>.</w:t>
      </w:r>
      <w:r w:rsidR="00790FD7">
        <w:rPr>
          <w:rStyle w:val="FootnoteReference"/>
          <w:rFonts w:ascii="Calibri" w:eastAsiaTheme="minorHAnsi" w:hAnsi="Calibri" w:cs="Calibri"/>
          <w:color w:val="000000"/>
          <w:lang w:val="en-US" w:eastAsia="en-US"/>
        </w:rPr>
        <w:footnoteReference w:id="11"/>
      </w:r>
      <w:r w:rsidR="00041A36" w:rsidRPr="0098373E">
        <w:rPr>
          <w:rFonts w:ascii="Calibri" w:eastAsiaTheme="minorHAnsi" w:hAnsi="Calibri" w:cs="Calibri"/>
          <w:color w:val="000000"/>
          <w:lang w:val="en-US" w:eastAsia="en-US"/>
        </w:rPr>
        <w:t xml:space="preserve"> </w:t>
      </w:r>
    </w:p>
    <w:p w14:paraId="047459BE" w14:textId="0213D7F3" w:rsidR="00827620" w:rsidRPr="00FB510D" w:rsidRDefault="00F00047" w:rsidP="00827620">
      <w:pPr>
        <w:pStyle w:val="ListParagraph"/>
        <w:numPr>
          <w:ilvl w:val="0"/>
          <w:numId w:val="1"/>
        </w:numPr>
        <w:spacing w:after="120"/>
        <w:ind w:left="0" w:firstLine="0"/>
        <w:contextualSpacing w:val="0"/>
        <w:jc w:val="both"/>
        <w:rPr>
          <w:rFonts w:ascii="Calibri" w:eastAsiaTheme="minorHAnsi" w:hAnsi="Calibri" w:cs="Calibri"/>
          <w:color w:val="000000"/>
          <w:sz w:val="23"/>
          <w:szCs w:val="23"/>
          <w:lang w:val="en-US" w:eastAsia="en-US"/>
        </w:rPr>
      </w:pPr>
      <w:r w:rsidRPr="0098373E">
        <w:rPr>
          <w:rFonts w:ascii="Calibri" w:eastAsiaTheme="minorHAnsi" w:hAnsi="Calibri" w:cs="Calibri"/>
          <w:color w:val="000000"/>
          <w:lang w:val="en-US" w:eastAsia="en-US"/>
        </w:rPr>
        <w:t xml:space="preserve">WHO explicitly adopts a </w:t>
      </w:r>
      <w:r w:rsidR="00CF0F8B" w:rsidRPr="0098373E">
        <w:rPr>
          <w:rFonts w:ascii="Calibri" w:eastAsiaTheme="minorHAnsi" w:hAnsi="Calibri" w:cs="Calibri"/>
          <w:color w:val="000000"/>
          <w:lang w:val="en-US" w:eastAsia="en-US"/>
        </w:rPr>
        <w:t>multisectoral “whole of society</w:t>
      </w:r>
      <w:r w:rsidR="00C122D7" w:rsidRPr="0098373E">
        <w:rPr>
          <w:rFonts w:ascii="Calibri" w:eastAsiaTheme="minorHAnsi" w:hAnsi="Calibri" w:cs="Calibri"/>
          <w:color w:val="000000"/>
          <w:lang w:val="en-US" w:eastAsia="en-US"/>
        </w:rPr>
        <w:t>, w</w:t>
      </w:r>
      <w:r w:rsidR="00CE428B" w:rsidRPr="0098373E">
        <w:rPr>
          <w:rFonts w:ascii="Calibri" w:eastAsiaTheme="minorHAnsi" w:hAnsi="Calibri" w:cs="Calibri"/>
          <w:color w:val="000000"/>
          <w:lang w:val="en-US" w:eastAsia="en-US"/>
        </w:rPr>
        <w:t>hole of government</w:t>
      </w:r>
      <w:r w:rsidR="00CF0F8B" w:rsidRPr="0098373E">
        <w:rPr>
          <w:rFonts w:ascii="Calibri" w:eastAsiaTheme="minorHAnsi" w:hAnsi="Calibri" w:cs="Calibri"/>
          <w:color w:val="000000"/>
          <w:lang w:val="en-US" w:eastAsia="en-US"/>
        </w:rPr>
        <w:t xml:space="preserve">” </w:t>
      </w:r>
      <w:r w:rsidR="003E5CF3" w:rsidRPr="0098373E">
        <w:rPr>
          <w:rFonts w:ascii="Calibri" w:eastAsiaTheme="minorHAnsi" w:hAnsi="Calibri" w:cs="Calibri"/>
          <w:color w:val="000000"/>
          <w:lang w:val="en-US" w:eastAsia="en-US"/>
        </w:rPr>
        <w:t xml:space="preserve">Health in All Policies </w:t>
      </w:r>
      <w:r w:rsidR="00CF0F8B" w:rsidRPr="0098373E">
        <w:rPr>
          <w:rFonts w:ascii="Calibri" w:eastAsiaTheme="minorHAnsi" w:hAnsi="Calibri" w:cs="Calibri"/>
          <w:color w:val="000000"/>
          <w:lang w:val="en-US" w:eastAsia="en-US"/>
        </w:rPr>
        <w:t xml:space="preserve">approach </w:t>
      </w:r>
      <w:r w:rsidR="00D7706A" w:rsidRPr="0098373E">
        <w:rPr>
          <w:rFonts w:ascii="Calibri" w:eastAsiaTheme="minorHAnsi" w:hAnsi="Calibri" w:cs="Calibri"/>
          <w:color w:val="000000"/>
          <w:lang w:val="en-US" w:eastAsia="en-US"/>
        </w:rPr>
        <w:t>to address</w:t>
      </w:r>
      <w:r w:rsidR="00CF0F8B" w:rsidRPr="0098373E">
        <w:rPr>
          <w:rFonts w:ascii="Calibri" w:eastAsiaTheme="minorHAnsi" w:hAnsi="Calibri" w:cs="Calibri"/>
          <w:color w:val="000000"/>
          <w:lang w:val="en-US" w:eastAsia="en-US"/>
        </w:rPr>
        <w:t xml:space="preserve"> </w:t>
      </w:r>
      <w:r w:rsidR="00AE0342" w:rsidRPr="0098373E">
        <w:rPr>
          <w:rFonts w:ascii="Calibri" w:eastAsiaTheme="minorHAnsi" w:hAnsi="Calibri" w:cs="Calibri"/>
          <w:color w:val="000000"/>
          <w:lang w:val="en-US" w:eastAsia="en-US"/>
        </w:rPr>
        <w:t>the social</w:t>
      </w:r>
      <w:r w:rsidR="00000A95">
        <w:rPr>
          <w:rFonts w:ascii="Calibri" w:eastAsiaTheme="minorHAnsi" w:hAnsi="Calibri" w:cs="Calibri"/>
          <w:color w:val="000000"/>
          <w:lang w:val="en-US" w:eastAsia="en-US"/>
        </w:rPr>
        <w:t>, environmental</w:t>
      </w:r>
      <w:r w:rsidR="00694E36">
        <w:rPr>
          <w:rFonts w:ascii="Calibri" w:eastAsiaTheme="minorHAnsi" w:hAnsi="Calibri" w:cs="Calibri"/>
          <w:color w:val="000000"/>
          <w:lang w:val="en-US" w:eastAsia="en-US"/>
        </w:rPr>
        <w:t>, economic</w:t>
      </w:r>
      <w:r w:rsidR="00000A95">
        <w:rPr>
          <w:rFonts w:ascii="Calibri" w:eastAsiaTheme="minorHAnsi" w:hAnsi="Calibri" w:cs="Calibri"/>
          <w:color w:val="000000"/>
          <w:lang w:val="en-US" w:eastAsia="en-US"/>
        </w:rPr>
        <w:t xml:space="preserve"> and commercial </w:t>
      </w:r>
      <w:r w:rsidR="00CF0F8B" w:rsidRPr="0098373E">
        <w:rPr>
          <w:rFonts w:ascii="Calibri" w:eastAsiaTheme="minorHAnsi" w:hAnsi="Calibri" w:cs="Calibri"/>
          <w:color w:val="000000"/>
          <w:lang w:val="en-US" w:eastAsia="en-US"/>
        </w:rPr>
        <w:t>determinants of health</w:t>
      </w:r>
      <w:r w:rsidR="00CE428B" w:rsidRPr="0098373E">
        <w:rPr>
          <w:rFonts w:ascii="Calibri" w:eastAsiaTheme="minorHAnsi" w:hAnsi="Calibri" w:cs="Calibri"/>
          <w:color w:val="000000"/>
          <w:lang w:val="en-US" w:eastAsia="en-US"/>
        </w:rPr>
        <w:t xml:space="preserve">, </w:t>
      </w:r>
      <w:r w:rsidR="00626532" w:rsidRPr="0098373E">
        <w:rPr>
          <w:rFonts w:ascii="Calibri" w:eastAsiaTheme="minorHAnsi" w:hAnsi="Calibri" w:cs="Calibri"/>
          <w:color w:val="000000"/>
          <w:lang w:val="en-US" w:eastAsia="en-US"/>
        </w:rPr>
        <w:t>including</w:t>
      </w:r>
      <w:r w:rsidR="00CE428B" w:rsidRPr="0098373E">
        <w:rPr>
          <w:rFonts w:ascii="Calibri" w:eastAsiaTheme="minorHAnsi" w:hAnsi="Calibri" w:cs="Calibri"/>
          <w:color w:val="000000"/>
          <w:lang w:val="en-US" w:eastAsia="en-US"/>
        </w:rPr>
        <w:t xml:space="preserve"> systemic </w:t>
      </w:r>
      <w:r w:rsidR="0093470F" w:rsidRPr="0098373E">
        <w:rPr>
          <w:rFonts w:ascii="Calibri" w:eastAsiaTheme="minorHAnsi" w:hAnsi="Calibri" w:cs="Calibri"/>
          <w:color w:val="000000"/>
          <w:lang w:val="en-US" w:eastAsia="en-US"/>
        </w:rPr>
        <w:t xml:space="preserve">racism and other structural and institutional </w:t>
      </w:r>
      <w:r w:rsidR="00827620" w:rsidRPr="0098373E">
        <w:rPr>
          <w:rFonts w:ascii="Calibri" w:eastAsiaTheme="minorHAnsi" w:hAnsi="Calibri" w:cs="Calibri"/>
          <w:color w:val="000000"/>
          <w:lang w:val="en-US" w:eastAsia="en-US"/>
        </w:rPr>
        <w:t>drivers of health inequities</w:t>
      </w:r>
      <w:r w:rsidR="004C20A1" w:rsidRPr="0098373E">
        <w:rPr>
          <w:rFonts w:ascii="Calibri" w:eastAsiaTheme="minorHAnsi" w:hAnsi="Calibri" w:cs="Calibri"/>
          <w:color w:val="000000"/>
          <w:lang w:val="en-US" w:eastAsia="en-US"/>
        </w:rPr>
        <w:t xml:space="preserve">, </w:t>
      </w:r>
      <w:r w:rsidR="00793AEB" w:rsidRPr="0098373E">
        <w:rPr>
          <w:rFonts w:ascii="Calibri" w:eastAsiaTheme="minorHAnsi" w:hAnsi="Calibri" w:cs="Calibri"/>
          <w:color w:val="000000"/>
          <w:lang w:val="en-US" w:eastAsia="en-US"/>
        </w:rPr>
        <w:t>through</w:t>
      </w:r>
      <w:r w:rsidRPr="0098373E">
        <w:rPr>
          <w:rFonts w:ascii="Calibri" w:eastAsiaTheme="minorHAnsi" w:hAnsi="Calibri" w:cs="Calibri"/>
          <w:color w:val="000000"/>
          <w:lang w:val="en-US" w:eastAsia="en-US"/>
        </w:rPr>
        <w:t xml:space="preserve"> </w:t>
      </w:r>
      <w:r w:rsidR="00C71A93" w:rsidRPr="0098373E">
        <w:rPr>
          <w:rFonts w:ascii="Calibri" w:eastAsiaTheme="minorHAnsi" w:hAnsi="Calibri" w:cs="Calibri"/>
          <w:color w:val="000000"/>
          <w:lang w:val="en-US" w:eastAsia="en-US"/>
        </w:rPr>
        <w:t xml:space="preserve">the development of normative products, including guidelines, </w:t>
      </w:r>
      <w:r w:rsidR="000A613B" w:rsidRPr="0098373E">
        <w:rPr>
          <w:rFonts w:ascii="Calibri" w:eastAsiaTheme="minorHAnsi" w:hAnsi="Calibri" w:cs="Calibri"/>
          <w:color w:val="000000"/>
          <w:lang w:val="en-US" w:eastAsia="en-US"/>
        </w:rPr>
        <w:t>other normative and standard-setting products</w:t>
      </w:r>
      <w:r w:rsidR="003B422E">
        <w:rPr>
          <w:rFonts w:ascii="Calibri" w:eastAsiaTheme="minorHAnsi" w:hAnsi="Calibri" w:cs="Calibri"/>
          <w:color w:val="000000"/>
          <w:lang w:val="en-US" w:eastAsia="en-US"/>
        </w:rPr>
        <w:t>,</w:t>
      </w:r>
      <w:r w:rsidR="000A613B" w:rsidRPr="0098373E">
        <w:rPr>
          <w:rFonts w:ascii="Calibri" w:eastAsiaTheme="minorHAnsi" w:hAnsi="Calibri" w:cs="Calibri"/>
          <w:color w:val="000000"/>
          <w:lang w:val="en-US" w:eastAsia="en-US"/>
        </w:rPr>
        <w:t xml:space="preserve"> </w:t>
      </w:r>
      <w:r w:rsidR="001D2083">
        <w:rPr>
          <w:rFonts w:ascii="Calibri" w:eastAsiaTheme="minorHAnsi" w:hAnsi="Calibri" w:cs="Calibri"/>
          <w:color w:val="000000"/>
          <w:lang w:val="en-US" w:eastAsia="en-US"/>
        </w:rPr>
        <w:t xml:space="preserve">and </w:t>
      </w:r>
      <w:r w:rsidR="001E2D7D" w:rsidRPr="0098373E">
        <w:rPr>
          <w:rFonts w:ascii="Calibri" w:eastAsiaTheme="minorHAnsi" w:hAnsi="Calibri" w:cs="Calibri"/>
          <w:color w:val="000000"/>
          <w:lang w:val="en-US" w:eastAsia="en-US"/>
        </w:rPr>
        <w:t>capacity</w:t>
      </w:r>
      <w:r w:rsidR="004B2645" w:rsidRPr="0098373E">
        <w:rPr>
          <w:rFonts w:ascii="Calibri" w:eastAsiaTheme="minorHAnsi" w:hAnsi="Calibri" w:cs="Calibri"/>
          <w:color w:val="000000"/>
          <w:lang w:val="en-US" w:eastAsia="en-US"/>
        </w:rPr>
        <w:t xml:space="preserve">-building trainings on technical products, </w:t>
      </w:r>
      <w:r w:rsidR="00AE5206">
        <w:rPr>
          <w:rFonts w:ascii="Calibri" w:eastAsiaTheme="minorHAnsi" w:hAnsi="Calibri" w:cs="Calibri"/>
          <w:color w:val="000000"/>
          <w:lang w:val="en-US" w:eastAsia="en-US"/>
        </w:rPr>
        <w:t>addressing Structural Racial and Ethnicity-based Discrimination</w:t>
      </w:r>
      <w:r w:rsidR="00E42A05">
        <w:rPr>
          <w:rFonts w:ascii="Calibri" w:eastAsiaTheme="minorHAnsi" w:hAnsi="Calibri" w:cs="Calibri"/>
          <w:color w:val="000000"/>
          <w:lang w:val="en-US" w:eastAsia="en-US"/>
        </w:rPr>
        <w:t xml:space="preserve">, </w:t>
      </w:r>
      <w:r w:rsidR="004C20A1" w:rsidRPr="0098373E">
        <w:rPr>
          <w:rFonts w:ascii="Calibri" w:eastAsiaTheme="minorHAnsi" w:hAnsi="Calibri" w:cs="Calibri"/>
          <w:color w:val="000000"/>
          <w:lang w:val="en-US" w:eastAsia="en-US"/>
        </w:rPr>
        <w:t xml:space="preserve">delivered </w:t>
      </w:r>
      <w:r w:rsidR="00D9202D">
        <w:rPr>
          <w:rFonts w:ascii="Calibri" w:eastAsiaTheme="minorHAnsi" w:hAnsi="Calibri" w:cs="Calibri"/>
          <w:color w:val="000000"/>
          <w:lang w:val="en-US" w:eastAsia="en-US"/>
        </w:rPr>
        <w:t>to</w:t>
      </w:r>
      <w:r w:rsidR="004C20A1" w:rsidRPr="0098373E">
        <w:rPr>
          <w:rFonts w:ascii="Calibri" w:eastAsiaTheme="minorHAnsi" w:hAnsi="Calibri" w:cs="Calibri"/>
          <w:color w:val="000000"/>
          <w:lang w:val="en-US" w:eastAsia="en-US"/>
        </w:rPr>
        <w:t xml:space="preserve"> </w:t>
      </w:r>
      <w:r w:rsidR="00F206BE" w:rsidRPr="0098373E">
        <w:rPr>
          <w:rFonts w:ascii="Calibri" w:eastAsiaTheme="minorHAnsi" w:hAnsi="Calibri" w:cs="Calibri"/>
          <w:color w:val="000000"/>
          <w:lang w:val="en-US" w:eastAsia="en-US"/>
        </w:rPr>
        <w:t xml:space="preserve">UN Country Teams </w:t>
      </w:r>
      <w:r w:rsidR="00D9202D">
        <w:rPr>
          <w:rFonts w:ascii="Calibri" w:eastAsiaTheme="minorHAnsi" w:hAnsi="Calibri" w:cs="Calibri"/>
          <w:color w:val="000000"/>
          <w:lang w:val="en-US" w:eastAsia="en-US"/>
        </w:rPr>
        <w:t>to inform</w:t>
      </w:r>
      <w:r w:rsidR="00F206BE" w:rsidRPr="0098373E">
        <w:rPr>
          <w:rFonts w:ascii="Calibri" w:eastAsiaTheme="minorHAnsi" w:hAnsi="Calibri" w:cs="Calibri"/>
          <w:color w:val="000000"/>
          <w:lang w:val="en-US" w:eastAsia="en-US"/>
        </w:rPr>
        <w:t xml:space="preserve"> Development Cooperation Frameworks and bilateral WHO Country Strategic Support Plans</w:t>
      </w:r>
      <w:r w:rsidR="000E7742">
        <w:rPr>
          <w:rFonts w:ascii="Calibri" w:eastAsiaTheme="minorHAnsi" w:hAnsi="Calibri" w:cs="Calibri"/>
          <w:color w:val="000000"/>
          <w:lang w:val="en-US" w:eastAsia="en-US"/>
        </w:rPr>
        <w:t>.</w:t>
      </w:r>
      <w:r w:rsidR="001F6160">
        <w:rPr>
          <w:rStyle w:val="FootnoteReference"/>
          <w:rFonts w:ascii="Calibri" w:eastAsiaTheme="minorHAnsi" w:hAnsi="Calibri" w:cs="Calibri"/>
          <w:color w:val="000000"/>
          <w:lang w:val="en-US" w:eastAsia="en-US"/>
        </w:rPr>
        <w:footnoteReference w:id="12"/>
      </w:r>
      <w:r w:rsidR="001E2D7D" w:rsidRPr="0098373E">
        <w:rPr>
          <w:rFonts w:ascii="Calibri" w:eastAsiaTheme="minorHAnsi" w:hAnsi="Calibri" w:cs="Calibri"/>
          <w:color w:val="000000"/>
          <w:lang w:val="en-US" w:eastAsia="en-US"/>
        </w:rPr>
        <w:t xml:space="preserve"> </w:t>
      </w:r>
    </w:p>
    <w:p w14:paraId="05D883C6" w14:textId="6B0356FA" w:rsidR="00827620" w:rsidRPr="001B4259" w:rsidRDefault="00827620" w:rsidP="001B4259">
      <w:pPr>
        <w:pStyle w:val="SpeechTemplate1"/>
        <w:numPr>
          <w:ilvl w:val="1"/>
          <w:numId w:val="38"/>
        </w:numPr>
        <w:contextualSpacing/>
        <w:jc w:val="both"/>
        <w:rPr>
          <w:rFonts w:cstheme="minorHAnsi"/>
          <w:sz w:val="24"/>
          <w:szCs w:val="24"/>
        </w:rPr>
      </w:pPr>
      <w:r w:rsidRPr="001B4259">
        <w:rPr>
          <w:rFonts w:cstheme="minorHAnsi"/>
          <w:sz w:val="24"/>
          <w:szCs w:val="24"/>
        </w:rPr>
        <w:t>Right to Health</w:t>
      </w:r>
      <w:r w:rsidR="00A81138" w:rsidRPr="001B4259">
        <w:rPr>
          <w:rFonts w:cstheme="minorHAnsi"/>
          <w:sz w:val="24"/>
          <w:szCs w:val="24"/>
        </w:rPr>
        <w:t xml:space="preserve"> Standard</w:t>
      </w:r>
      <w:r w:rsidR="0024276F">
        <w:rPr>
          <w:rFonts w:cstheme="minorHAnsi"/>
          <w:sz w:val="24"/>
          <w:szCs w:val="24"/>
        </w:rPr>
        <w:t xml:space="preserve">s in </w:t>
      </w:r>
      <w:r w:rsidR="00903373">
        <w:rPr>
          <w:rFonts w:cstheme="minorHAnsi"/>
          <w:sz w:val="24"/>
          <w:szCs w:val="24"/>
        </w:rPr>
        <w:t>International</w:t>
      </w:r>
      <w:r w:rsidR="0024276F">
        <w:rPr>
          <w:rFonts w:cstheme="minorHAnsi"/>
          <w:sz w:val="24"/>
          <w:szCs w:val="24"/>
        </w:rPr>
        <w:t xml:space="preserve"> Law and WHO </w:t>
      </w:r>
      <w:r w:rsidR="006C659B">
        <w:rPr>
          <w:rFonts w:cstheme="minorHAnsi"/>
          <w:sz w:val="24"/>
          <w:szCs w:val="24"/>
        </w:rPr>
        <w:t>Conventions &amp; Regulations</w:t>
      </w:r>
    </w:p>
    <w:p w14:paraId="40933D9F" w14:textId="6ADA006B" w:rsidR="00713C37" w:rsidRPr="00904DAE" w:rsidRDefault="0068386A" w:rsidP="00713C37">
      <w:pPr>
        <w:pStyle w:val="ListParagraph"/>
        <w:numPr>
          <w:ilvl w:val="0"/>
          <w:numId w:val="1"/>
        </w:numPr>
        <w:spacing w:after="120"/>
        <w:ind w:left="0" w:firstLine="0"/>
        <w:contextualSpacing w:val="0"/>
        <w:jc w:val="both"/>
        <w:rPr>
          <w:rFonts w:ascii="Calibri" w:eastAsiaTheme="minorHAnsi" w:hAnsi="Calibri" w:cs="Calibri"/>
          <w:color w:val="000000"/>
          <w:lang w:val="en-US" w:eastAsia="en-US"/>
        </w:rPr>
      </w:pPr>
      <w:r w:rsidRPr="00904DAE">
        <w:rPr>
          <w:rFonts w:ascii="Calibri" w:eastAsiaTheme="minorHAnsi" w:hAnsi="Calibri" w:cs="Calibri"/>
          <w:color w:val="000000"/>
          <w:lang w:val="en-US" w:eastAsia="en-US"/>
        </w:rPr>
        <w:t>In its</w:t>
      </w:r>
      <w:r w:rsidR="00451F65" w:rsidRPr="00904DAE">
        <w:rPr>
          <w:rFonts w:ascii="Calibri" w:eastAsiaTheme="minorHAnsi" w:hAnsi="Calibri" w:cs="Calibri"/>
          <w:color w:val="000000"/>
          <w:lang w:val="en-US" w:eastAsia="en-US"/>
        </w:rPr>
        <w:t xml:space="preserve"> </w:t>
      </w:r>
      <w:r w:rsidR="0060727B" w:rsidRPr="00904DAE">
        <w:rPr>
          <w:rFonts w:ascii="Calibri" w:eastAsiaTheme="minorHAnsi" w:hAnsi="Calibri" w:cs="Calibri"/>
          <w:color w:val="000000"/>
          <w:lang w:val="en-US" w:eastAsia="en-US"/>
        </w:rPr>
        <w:t xml:space="preserve">guidelines and other </w:t>
      </w:r>
      <w:r w:rsidR="00451F65" w:rsidRPr="00904DAE">
        <w:rPr>
          <w:rFonts w:ascii="Calibri" w:eastAsiaTheme="minorHAnsi" w:hAnsi="Calibri" w:cs="Calibri"/>
          <w:color w:val="000000"/>
          <w:lang w:val="en-US" w:eastAsia="en-US"/>
        </w:rPr>
        <w:t xml:space="preserve">normative and standard-setting </w:t>
      </w:r>
      <w:r w:rsidR="0060727B" w:rsidRPr="00904DAE">
        <w:rPr>
          <w:rFonts w:ascii="Calibri" w:eastAsiaTheme="minorHAnsi" w:hAnsi="Calibri" w:cs="Calibri"/>
          <w:color w:val="000000"/>
          <w:lang w:val="en-US" w:eastAsia="en-US"/>
        </w:rPr>
        <w:t xml:space="preserve">technical products </w:t>
      </w:r>
      <w:r w:rsidR="005F45FC" w:rsidRPr="00904DAE">
        <w:rPr>
          <w:rFonts w:ascii="Calibri" w:eastAsiaTheme="minorHAnsi" w:hAnsi="Calibri" w:cs="Calibri"/>
          <w:color w:val="000000"/>
          <w:lang w:val="en-US" w:eastAsia="en-US"/>
        </w:rPr>
        <w:t xml:space="preserve">and policy briefs, </w:t>
      </w:r>
      <w:r w:rsidR="00DA7639" w:rsidRPr="00904DAE">
        <w:rPr>
          <w:rFonts w:ascii="Calibri" w:eastAsiaTheme="minorHAnsi" w:hAnsi="Calibri" w:cs="Calibri"/>
          <w:color w:val="000000"/>
          <w:lang w:val="en-US" w:eastAsia="en-US"/>
        </w:rPr>
        <w:t>WHO</w:t>
      </w:r>
      <w:r w:rsidR="00E15D94" w:rsidRPr="00904DAE">
        <w:rPr>
          <w:rFonts w:ascii="Calibri" w:eastAsiaTheme="minorHAnsi" w:hAnsi="Calibri" w:cs="Calibri"/>
          <w:color w:val="000000"/>
          <w:lang w:val="en-US" w:eastAsia="en-US"/>
        </w:rPr>
        <w:t xml:space="preserve"> incorporates </w:t>
      </w:r>
      <w:r w:rsidR="006C659B" w:rsidRPr="00904DAE">
        <w:rPr>
          <w:rFonts w:ascii="Calibri" w:eastAsiaTheme="minorHAnsi" w:hAnsi="Calibri" w:cs="Calibri"/>
          <w:color w:val="000000"/>
          <w:lang w:val="en-US" w:eastAsia="en-US"/>
        </w:rPr>
        <w:t xml:space="preserve">a </w:t>
      </w:r>
      <w:r w:rsidR="00B160A8" w:rsidRPr="00904DAE">
        <w:rPr>
          <w:rFonts w:ascii="Calibri" w:eastAsiaTheme="minorHAnsi" w:hAnsi="Calibri" w:cs="Calibri"/>
          <w:color w:val="000000"/>
          <w:lang w:val="en-US" w:eastAsia="en-US"/>
        </w:rPr>
        <w:t xml:space="preserve">rigorous approach to public health </w:t>
      </w:r>
      <w:r w:rsidR="009D5F97" w:rsidRPr="00904DAE">
        <w:rPr>
          <w:rFonts w:ascii="Calibri" w:eastAsiaTheme="minorHAnsi" w:hAnsi="Calibri" w:cs="Calibri"/>
          <w:color w:val="000000"/>
          <w:lang w:val="en-US" w:eastAsia="en-US"/>
        </w:rPr>
        <w:t xml:space="preserve">research and </w:t>
      </w:r>
      <w:r w:rsidR="00B160A8" w:rsidRPr="00904DAE">
        <w:rPr>
          <w:rFonts w:ascii="Calibri" w:eastAsiaTheme="minorHAnsi" w:hAnsi="Calibri" w:cs="Calibri"/>
          <w:color w:val="000000"/>
          <w:lang w:val="en-US" w:eastAsia="en-US"/>
        </w:rPr>
        <w:t xml:space="preserve">evidence </w:t>
      </w:r>
      <w:r w:rsidR="009D5F97" w:rsidRPr="00904DAE">
        <w:rPr>
          <w:rFonts w:ascii="Calibri" w:eastAsiaTheme="minorHAnsi" w:hAnsi="Calibri" w:cs="Calibri"/>
          <w:color w:val="000000"/>
          <w:lang w:val="en-US" w:eastAsia="en-US"/>
        </w:rPr>
        <w:t>reviews</w:t>
      </w:r>
      <w:r w:rsidR="0030762B" w:rsidRPr="00904DAE">
        <w:rPr>
          <w:rFonts w:ascii="Calibri" w:eastAsiaTheme="minorHAnsi" w:hAnsi="Calibri" w:cs="Calibri"/>
          <w:color w:val="000000"/>
          <w:lang w:val="en-US" w:eastAsia="en-US"/>
        </w:rPr>
        <w:t xml:space="preserve">, informed by </w:t>
      </w:r>
      <w:r w:rsidR="003578A4" w:rsidRPr="00904DAE">
        <w:rPr>
          <w:rFonts w:ascii="Calibri" w:eastAsiaTheme="minorHAnsi" w:hAnsi="Calibri" w:cs="Calibri"/>
          <w:color w:val="000000"/>
          <w:lang w:val="en-US" w:eastAsia="en-US"/>
        </w:rPr>
        <w:t xml:space="preserve">the right to </w:t>
      </w:r>
      <w:r w:rsidR="0030762B" w:rsidRPr="00904DAE">
        <w:rPr>
          <w:rFonts w:ascii="Calibri" w:eastAsiaTheme="minorHAnsi" w:hAnsi="Calibri" w:cs="Calibri"/>
          <w:color w:val="000000"/>
          <w:lang w:val="en-US" w:eastAsia="en-US"/>
        </w:rPr>
        <w:t>health</w:t>
      </w:r>
      <w:r w:rsidR="003578A4" w:rsidRPr="00904DAE">
        <w:rPr>
          <w:rFonts w:ascii="Calibri" w:eastAsiaTheme="minorHAnsi" w:hAnsi="Calibri" w:cs="Calibri"/>
          <w:color w:val="000000"/>
          <w:lang w:val="en-US" w:eastAsia="en-US"/>
        </w:rPr>
        <w:t xml:space="preserve"> and health-</w:t>
      </w:r>
      <w:r w:rsidR="0030762B" w:rsidRPr="00904DAE">
        <w:rPr>
          <w:rFonts w:ascii="Calibri" w:eastAsiaTheme="minorHAnsi" w:hAnsi="Calibri" w:cs="Calibri"/>
          <w:color w:val="000000"/>
          <w:lang w:val="en-US" w:eastAsia="en-US"/>
        </w:rPr>
        <w:t>related rights</w:t>
      </w:r>
      <w:r w:rsidR="006078DF" w:rsidRPr="00904DAE">
        <w:rPr>
          <w:rFonts w:ascii="Calibri" w:eastAsiaTheme="minorHAnsi" w:hAnsi="Calibri" w:cs="Calibri"/>
          <w:color w:val="000000"/>
          <w:lang w:val="en-US" w:eastAsia="en-US"/>
        </w:rPr>
        <w:t xml:space="preserve"> standards and principles</w:t>
      </w:r>
      <w:r w:rsidR="003C05FE" w:rsidRPr="00904DAE">
        <w:rPr>
          <w:rFonts w:ascii="Calibri" w:eastAsiaTheme="minorHAnsi" w:hAnsi="Calibri" w:cs="Calibri"/>
          <w:color w:val="000000"/>
          <w:lang w:val="en-US" w:eastAsia="en-US"/>
        </w:rPr>
        <w:t xml:space="preserve">, </w:t>
      </w:r>
      <w:r w:rsidR="00972580" w:rsidRPr="00904DAE">
        <w:rPr>
          <w:rFonts w:ascii="Calibri" w:eastAsiaTheme="minorHAnsi" w:hAnsi="Calibri" w:cs="Calibri"/>
          <w:color w:val="000000"/>
          <w:lang w:val="en-US" w:eastAsia="en-US"/>
        </w:rPr>
        <w:t>including sexual and reproductive health rights</w:t>
      </w:r>
      <w:r w:rsidR="00A957BF" w:rsidRPr="00904DAE">
        <w:rPr>
          <w:rFonts w:ascii="Calibri" w:eastAsiaTheme="minorHAnsi" w:hAnsi="Calibri" w:cs="Calibri"/>
          <w:color w:val="000000"/>
          <w:lang w:val="en-US" w:eastAsia="en-US"/>
        </w:rPr>
        <w:t>,</w:t>
      </w:r>
      <w:r w:rsidR="00972580" w:rsidRPr="00904DAE">
        <w:rPr>
          <w:rFonts w:ascii="Calibri" w:eastAsiaTheme="minorHAnsi" w:hAnsi="Calibri" w:cs="Calibri"/>
          <w:color w:val="000000"/>
          <w:lang w:val="en-US" w:eastAsia="en-US"/>
        </w:rPr>
        <w:t xml:space="preserve"> based on the scope and content of </w:t>
      </w:r>
      <w:r w:rsidR="00F87D89" w:rsidRPr="00904DAE">
        <w:rPr>
          <w:rFonts w:ascii="Calibri" w:eastAsiaTheme="minorHAnsi" w:hAnsi="Calibri" w:cs="Calibri"/>
          <w:color w:val="000000"/>
          <w:lang w:val="en-US" w:eastAsia="en-US"/>
        </w:rPr>
        <w:t xml:space="preserve">the </w:t>
      </w:r>
      <w:r w:rsidR="00354FFE" w:rsidRPr="00904DAE">
        <w:rPr>
          <w:rFonts w:ascii="Calibri" w:eastAsiaTheme="minorHAnsi" w:hAnsi="Calibri" w:cs="Calibri"/>
          <w:color w:val="000000"/>
          <w:lang w:val="en-US" w:eastAsia="en-US"/>
        </w:rPr>
        <w:t>provisions</w:t>
      </w:r>
      <w:r w:rsidR="00F87D89" w:rsidRPr="00904DAE">
        <w:rPr>
          <w:rFonts w:ascii="Calibri" w:eastAsiaTheme="minorHAnsi" w:hAnsi="Calibri" w:cs="Calibri"/>
          <w:color w:val="000000"/>
          <w:lang w:val="en-US" w:eastAsia="en-US"/>
        </w:rPr>
        <w:t xml:space="preserve"> and associated </w:t>
      </w:r>
      <w:r w:rsidR="00E15D94" w:rsidRPr="00904DAE">
        <w:rPr>
          <w:rFonts w:ascii="Calibri" w:eastAsiaTheme="minorHAnsi" w:hAnsi="Calibri" w:cs="Calibri"/>
          <w:color w:val="000000"/>
          <w:lang w:val="en-US" w:eastAsia="en-US"/>
        </w:rPr>
        <w:t xml:space="preserve">General Comments </w:t>
      </w:r>
      <w:r w:rsidR="00917AE2" w:rsidRPr="00904DAE">
        <w:rPr>
          <w:rFonts w:ascii="Calibri" w:eastAsiaTheme="minorHAnsi" w:hAnsi="Calibri" w:cs="Calibri"/>
          <w:color w:val="000000"/>
          <w:lang w:val="en-US" w:eastAsia="en-US"/>
        </w:rPr>
        <w:t xml:space="preserve">issued by </w:t>
      </w:r>
      <w:r w:rsidR="003C05FE" w:rsidRPr="00904DAE">
        <w:rPr>
          <w:rFonts w:ascii="Calibri" w:eastAsiaTheme="minorHAnsi" w:hAnsi="Calibri" w:cs="Calibri"/>
          <w:color w:val="000000"/>
          <w:lang w:val="en-US" w:eastAsia="en-US"/>
        </w:rPr>
        <w:t xml:space="preserve">UN </w:t>
      </w:r>
      <w:r w:rsidR="00D846B7" w:rsidRPr="00904DAE">
        <w:rPr>
          <w:rFonts w:ascii="Calibri" w:eastAsiaTheme="minorHAnsi" w:hAnsi="Calibri" w:cs="Calibri"/>
          <w:color w:val="000000"/>
          <w:lang w:val="en-US" w:eastAsia="en-US"/>
        </w:rPr>
        <w:t>human rights mechanism</w:t>
      </w:r>
      <w:r w:rsidR="00410D3E" w:rsidRPr="00904DAE">
        <w:rPr>
          <w:rFonts w:ascii="Calibri" w:eastAsiaTheme="minorHAnsi" w:hAnsi="Calibri" w:cs="Calibri"/>
          <w:color w:val="000000"/>
          <w:lang w:val="en-US" w:eastAsia="en-US"/>
        </w:rPr>
        <w:t>s</w:t>
      </w:r>
      <w:r w:rsidR="00DC0365" w:rsidRPr="00904DAE">
        <w:rPr>
          <w:rFonts w:ascii="Calibri" w:eastAsiaTheme="minorHAnsi" w:hAnsi="Calibri" w:cs="Calibri"/>
          <w:color w:val="000000"/>
          <w:lang w:val="en-US" w:eastAsia="en-US"/>
        </w:rPr>
        <w:t xml:space="preserve">. These </w:t>
      </w:r>
      <w:r w:rsidR="00410D3E" w:rsidRPr="00904DAE">
        <w:rPr>
          <w:rFonts w:ascii="Calibri" w:eastAsiaTheme="minorHAnsi" w:hAnsi="Calibri" w:cs="Calibri"/>
          <w:color w:val="000000"/>
          <w:lang w:val="en-US" w:eastAsia="en-US"/>
        </w:rPr>
        <w:t>includ</w:t>
      </w:r>
      <w:r w:rsidR="00DC0365" w:rsidRPr="00904DAE">
        <w:rPr>
          <w:rFonts w:ascii="Calibri" w:eastAsiaTheme="minorHAnsi" w:hAnsi="Calibri" w:cs="Calibri"/>
          <w:color w:val="000000"/>
          <w:lang w:val="en-US" w:eastAsia="en-US"/>
        </w:rPr>
        <w:t>e</w:t>
      </w:r>
      <w:r w:rsidR="00276CC8" w:rsidRPr="00904DAE">
        <w:rPr>
          <w:rFonts w:ascii="Calibri" w:eastAsiaTheme="minorHAnsi" w:hAnsi="Calibri" w:cs="Calibri"/>
          <w:color w:val="000000"/>
          <w:lang w:val="en-US" w:eastAsia="en-US"/>
        </w:rPr>
        <w:t xml:space="preserve"> </w:t>
      </w:r>
      <w:r w:rsidR="00917AE2" w:rsidRPr="00904DAE">
        <w:rPr>
          <w:rFonts w:ascii="Calibri" w:eastAsiaTheme="minorHAnsi" w:hAnsi="Calibri" w:cs="Calibri"/>
          <w:color w:val="000000"/>
          <w:lang w:val="en-US" w:eastAsia="en-US"/>
        </w:rPr>
        <w:t>the Committee on Economic, Social and Cultural rights</w:t>
      </w:r>
      <w:r w:rsidR="00276CC8" w:rsidRPr="00904DAE">
        <w:rPr>
          <w:rFonts w:ascii="Calibri" w:eastAsiaTheme="minorHAnsi" w:hAnsi="Calibri" w:cs="Calibri"/>
          <w:color w:val="000000"/>
          <w:lang w:val="en-US" w:eastAsia="en-US"/>
        </w:rPr>
        <w:t xml:space="preserve"> (Article 1</w:t>
      </w:r>
      <w:r w:rsidR="008C553F" w:rsidRPr="00904DAE">
        <w:rPr>
          <w:rFonts w:ascii="Calibri" w:eastAsiaTheme="minorHAnsi" w:hAnsi="Calibri" w:cs="Calibri"/>
          <w:color w:val="000000"/>
          <w:lang w:val="en-US" w:eastAsia="en-US"/>
        </w:rPr>
        <w:t>2</w:t>
      </w:r>
      <w:r w:rsidR="00276CC8" w:rsidRPr="00904DAE">
        <w:rPr>
          <w:rFonts w:ascii="Calibri" w:eastAsiaTheme="minorHAnsi" w:hAnsi="Calibri" w:cs="Calibri"/>
          <w:color w:val="000000"/>
          <w:lang w:val="en-US" w:eastAsia="en-US"/>
        </w:rPr>
        <w:t>)</w:t>
      </w:r>
      <w:r w:rsidR="003353AE" w:rsidRPr="0098373E">
        <w:rPr>
          <w:rFonts w:ascii="Calibri" w:eastAsiaTheme="minorHAnsi" w:hAnsi="Calibri" w:cs="Calibri"/>
          <w:color w:val="000000"/>
          <w:lang w:val="en-US" w:eastAsia="en-US"/>
        </w:rPr>
        <w:t>,</w:t>
      </w:r>
      <w:r w:rsidR="008C553F">
        <w:rPr>
          <w:rStyle w:val="FootnoteReference"/>
          <w:rFonts w:cstheme="minorHAnsi"/>
          <w:sz w:val="24"/>
          <w:szCs w:val="24"/>
        </w:rPr>
        <w:footnoteReference w:id="13"/>
      </w:r>
      <w:r w:rsidR="003353AE">
        <w:rPr>
          <w:rFonts w:cstheme="minorHAnsi"/>
          <w:sz w:val="24"/>
          <w:szCs w:val="24"/>
        </w:rPr>
        <w:t xml:space="preserve"> </w:t>
      </w:r>
      <w:r w:rsidR="003353AE" w:rsidRPr="00904DAE">
        <w:rPr>
          <w:rFonts w:ascii="Calibri" w:eastAsiaTheme="minorHAnsi" w:hAnsi="Calibri" w:cs="Calibri"/>
          <w:color w:val="000000"/>
          <w:lang w:val="en-US" w:eastAsia="en-US"/>
        </w:rPr>
        <w:t xml:space="preserve">including </w:t>
      </w:r>
      <w:r w:rsidR="002479FC" w:rsidRPr="00904DAE">
        <w:rPr>
          <w:rFonts w:ascii="Calibri" w:eastAsiaTheme="minorHAnsi" w:hAnsi="Calibri" w:cs="Calibri"/>
          <w:color w:val="000000"/>
          <w:lang w:val="en-US" w:eastAsia="en-US"/>
        </w:rPr>
        <w:t>its General Comment on Non-</w:t>
      </w:r>
      <w:r w:rsidR="00DD35C4" w:rsidRPr="00904DAE">
        <w:rPr>
          <w:rFonts w:ascii="Calibri" w:eastAsiaTheme="minorHAnsi" w:hAnsi="Calibri" w:cs="Calibri"/>
          <w:color w:val="000000"/>
          <w:lang w:val="en-US" w:eastAsia="en-US"/>
        </w:rPr>
        <w:t>Discrimination</w:t>
      </w:r>
      <w:r w:rsidR="002479FC" w:rsidRPr="00904DAE">
        <w:rPr>
          <w:rFonts w:ascii="Calibri" w:eastAsiaTheme="minorHAnsi" w:hAnsi="Calibri" w:cs="Calibri"/>
          <w:color w:val="000000"/>
          <w:lang w:val="en-US" w:eastAsia="en-US"/>
        </w:rPr>
        <w:t xml:space="preserve"> in the enjoyment of the right to health and other social and economic rights</w:t>
      </w:r>
      <w:r w:rsidR="00DA768D">
        <w:rPr>
          <w:rFonts w:cstheme="minorHAnsi"/>
          <w:sz w:val="24"/>
          <w:szCs w:val="24"/>
        </w:rPr>
        <w:t>,</w:t>
      </w:r>
      <w:r w:rsidR="00E1327B">
        <w:rPr>
          <w:rStyle w:val="FootnoteReference"/>
          <w:rFonts w:cstheme="minorHAnsi"/>
          <w:sz w:val="24"/>
          <w:szCs w:val="24"/>
        </w:rPr>
        <w:footnoteReference w:id="14"/>
      </w:r>
      <w:r w:rsidR="00DA768D">
        <w:rPr>
          <w:rFonts w:cstheme="minorHAnsi"/>
          <w:sz w:val="24"/>
          <w:szCs w:val="24"/>
        </w:rPr>
        <w:t xml:space="preserve"> </w:t>
      </w:r>
      <w:r w:rsidR="00DA768D" w:rsidRPr="00904DAE">
        <w:rPr>
          <w:rFonts w:ascii="Calibri" w:eastAsiaTheme="minorHAnsi" w:hAnsi="Calibri" w:cs="Calibri"/>
          <w:color w:val="000000"/>
          <w:lang w:val="en-US" w:eastAsia="en-US"/>
        </w:rPr>
        <w:t xml:space="preserve">and </w:t>
      </w:r>
      <w:r w:rsidR="00B322B6" w:rsidRPr="00904DAE">
        <w:rPr>
          <w:rFonts w:ascii="Calibri" w:eastAsiaTheme="minorHAnsi" w:hAnsi="Calibri" w:cs="Calibri"/>
          <w:color w:val="000000"/>
          <w:lang w:val="en-US" w:eastAsia="en-US"/>
        </w:rPr>
        <w:t>other international human rights treaties,</w:t>
      </w:r>
      <w:r w:rsidR="00492960" w:rsidRPr="00904DAE">
        <w:rPr>
          <w:rFonts w:ascii="Calibri" w:eastAsiaTheme="minorHAnsi" w:hAnsi="Calibri" w:cs="Calibri"/>
          <w:color w:val="000000"/>
          <w:lang w:val="en-US" w:eastAsia="en-US"/>
        </w:rPr>
        <w:t xml:space="preserve"> including</w:t>
      </w:r>
      <w:r w:rsidR="00D61BBC" w:rsidRPr="00904DAE">
        <w:rPr>
          <w:rFonts w:ascii="Calibri" w:eastAsiaTheme="minorHAnsi" w:hAnsi="Calibri" w:cs="Calibri"/>
          <w:color w:val="000000"/>
          <w:lang w:val="en-US" w:eastAsia="en-US"/>
        </w:rPr>
        <w:t>, inter alia,</w:t>
      </w:r>
      <w:r w:rsidR="00492960" w:rsidRPr="00904DAE">
        <w:rPr>
          <w:rFonts w:ascii="Calibri" w:eastAsiaTheme="minorHAnsi" w:hAnsi="Calibri" w:cs="Calibri"/>
          <w:color w:val="000000"/>
          <w:lang w:val="en-US" w:eastAsia="en-US"/>
        </w:rPr>
        <w:t xml:space="preserve"> the Convention on the Elimination of All Forms of Discrimination against Women (Article 7), the Convention on the Rights of the Child </w:t>
      </w:r>
      <w:r w:rsidR="00492960" w:rsidRPr="00904DAE">
        <w:rPr>
          <w:rFonts w:ascii="Calibri" w:eastAsiaTheme="minorHAnsi" w:hAnsi="Calibri" w:cs="Calibri"/>
          <w:color w:val="000000"/>
          <w:lang w:val="en-US" w:eastAsia="en-US"/>
        </w:rPr>
        <w:lastRenderedPageBreak/>
        <w:t xml:space="preserve">(Article 13), </w:t>
      </w:r>
      <w:r w:rsidR="00015D3E" w:rsidRPr="00904DAE">
        <w:rPr>
          <w:rFonts w:ascii="Calibri" w:eastAsiaTheme="minorHAnsi" w:hAnsi="Calibri" w:cs="Calibri"/>
          <w:color w:val="000000"/>
          <w:lang w:val="en-US" w:eastAsia="en-US"/>
        </w:rPr>
        <w:t xml:space="preserve">International Convention on Eliminating All Forms of Racial Discrimination </w:t>
      </w:r>
      <w:r w:rsidR="00DC3A92" w:rsidRPr="00904DAE">
        <w:rPr>
          <w:rFonts w:ascii="Calibri" w:eastAsiaTheme="minorHAnsi" w:hAnsi="Calibri" w:cs="Calibri"/>
          <w:color w:val="000000"/>
          <w:lang w:val="en-US" w:eastAsia="en-US"/>
        </w:rPr>
        <w:t>and</w:t>
      </w:r>
      <w:r w:rsidR="0063102D" w:rsidRPr="00904DAE">
        <w:rPr>
          <w:rFonts w:ascii="Calibri" w:eastAsiaTheme="minorHAnsi" w:hAnsi="Calibri" w:cs="Calibri"/>
          <w:color w:val="000000"/>
          <w:lang w:val="en-US" w:eastAsia="en-US"/>
        </w:rPr>
        <w:t xml:space="preserve"> </w:t>
      </w:r>
      <w:r w:rsidR="00903373" w:rsidRPr="00904DAE">
        <w:rPr>
          <w:rFonts w:ascii="Calibri" w:eastAsiaTheme="minorHAnsi" w:hAnsi="Calibri" w:cs="Calibri"/>
          <w:color w:val="000000"/>
          <w:lang w:val="en-US" w:eastAsia="en-US"/>
        </w:rPr>
        <w:t xml:space="preserve">the Committee on Eliminating All Forms of Discrimination Against Women </w:t>
      </w:r>
      <w:r w:rsidR="00B47CD8" w:rsidRPr="00904DAE">
        <w:rPr>
          <w:rFonts w:ascii="Calibri" w:eastAsiaTheme="minorHAnsi" w:hAnsi="Calibri" w:cs="Calibri"/>
          <w:color w:val="000000"/>
          <w:lang w:val="en-US" w:eastAsia="en-US"/>
        </w:rPr>
        <w:t>(CEDAW)</w:t>
      </w:r>
      <w:r w:rsidR="00DC3A92" w:rsidRPr="00904DAE">
        <w:rPr>
          <w:rFonts w:ascii="Calibri" w:eastAsiaTheme="minorHAnsi" w:hAnsi="Calibri" w:cs="Calibri"/>
          <w:color w:val="000000"/>
          <w:lang w:val="en-US" w:eastAsia="en-US"/>
        </w:rPr>
        <w:t>, including in specific technical areas such as CEDAW</w:t>
      </w:r>
      <w:r w:rsidR="00B47CD8" w:rsidRPr="00904DAE">
        <w:rPr>
          <w:rFonts w:ascii="Calibri" w:eastAsiaTheme="minorHAnsi" w:hAnsi="Calibri" w:cs="Calibri"/>
          <w:color w:val="000000"/>
          <w:lang w:val="en-US" w:eastAsia="en-US"/>
        </w:rPr>
        <w:t xml:space="preserve"> General Recommendation </w:t>
      </w:r>
      <w:r w:rsidR="00073133" w:rsidRPr="00904DAE">
        <w:rPr>
          <w:rFonts w:ascii="Calibri" w:eastAsiaTheme="minorHAnsi" w:hAnsi="Calibri" w:cs="Calibri"/>
          <w:color w:val="000000"/>
          <w:lang w:val="en-US" w:eastAsia="en-US"/>
        </w:rPr>
        <w:t xml:space="preserve">33 </w:t>
      </w:r>
      <w:r w:rsidR="00B47CD8" w:rsidRPr="00904DAE">
        <w:rPr>
          <w:rFonts w:ascii="Calibri" w:eastAsiaTheme="minorHAnsi" w:hAnsi="Calibri" w:cs="Calibri"/>
          <w:color w:val="000000"/>
          <w:lang w:val="en-US" w:eastAsia="en-US"/>
        </w:rPr>
        <w:t>on g</w:t>
      </w:r>
      <w:r w:rsidR="0063102D" w:rsidRPr="00904DAE">
        <w:rPr>
          <w:rFonts w:ascii="Calibri" w:eastAsiaTheme="minorHAnsi" w:hAnsi="Calibri" w:cs="Calibri"/>
          <w:color w:val="000000"/>
          <w:lang w:val="en-US" w:eastAsia="en-US"/>
        </w:rPr>
        <w:t>ender-based violence</w:t>
      </w:r>
      <w:r w:rsidR="0063102D">
        <w:rPr>
          <w:rFonts w:cstheme="minorHAnsi"/>
          <w:sz w:val="24"/>
          <w:szCs w:val="24"/>
        </w:rPr>
        <w:t>.</w:t>
      </w:r>
      <w:r w:rsidR="0063102D">
        <w:rPr>
          <w:rStyle w:val="FootnoteReference"/>
          <w:rFonts w:cstheme="minorHAnsi"/>
          <w:sz w:val="24"/>
          <w:szCs w:val="24"/>
        </w:rPr>
        <w:footnoteReference w:id="15"/>
      </w:r>
      <w:r w:rsidR="0063102D">
        <w:rPr>
          <w:rFonts w:cstheme="minorHAnsi"/>
          <w:sz w:val="24"/>
          <w:szCs w:val="24"/>
        </w:rPr>
        <w:t xml:space="preserve"> </w:t>
      </w:r>
      <w:r w:rsidR="00736627" w:rsidRPr="00904DAE">
        <w:rPr>
          <w:rFonts w:ascii="Calibri" w:eastAsiaTheme="minorHAnsi" w:hAnsi="Calibri" w:cs="Calibri"/>
          <w:color w:val="000000"/>
          <w:lang w:val="en-US" w:eastAsia="en-US"/>
        </w:rPr>
        <w:t xml:space="preserve">In addition, WHO’s engagement with Human Rights Council Special Procedures thematic mandate-holders provides </w:t>
      </w:r>
      <w:r w:rsidR="00FE36CC" w:rsidRPr="00904DAE">
        <w:rPr>
          <w:rFonts w:ascii="Calibri" w:eastAsiaTheme="minorHAnsi" w:hAnsi="Calibri" w:cs="Calibri"/>
          <w:color w:val="000000"/>
          <w:lang w:val="en-US" w:eastAsia="en-US"/>
        </w:rPr>
        <w:t xml:space="preserve">additional opportunities to both inform WHO Normative guidance and standard-setting </w:t>
      </w:r>
      <w:r w:rsidR="00DC0360" w:rsidRPr="00904DAE">
        <w:rPr>
          <w:rFonts w:ascii="Calibri" w:eastAsiaTheme="minorHAnsi" w:hAnsi="Calibri" w:cs="Calibri"/>
          <w:color w:val="000000"/>
          <w:lang w:val="en-US" w:eastAsia="en-US"/>
        </w:rPr>
        <w:t xml:space="preserve">technical </w:t>
      </w:r>
      <w:r w:rsidR="00FE36CC" w:rsidRPr="00904DAE">
        <w:rPr>
          <w:rFonts w:ascii="Calibri" w:eastAsiaTheme="minorHAnsi" w:hAnsi="Calibri" w:cs="Calibri"/>
          <w:color w:val="000000"/>
          <w:lang w:val="en-US" w:eastAsia="en-US"/>
        </w:rPr>
        <w:t xml:space="preserve">products and </w:t>
      </w:r>
      <w:r w:rsidR="009224A0" w:rsidRPr="00904DAE">
        <w:rPr>
          <w:rFonts w:ascii="Calibri" w:eastAsiaTheme="minorHAnsi" w:hAnsi="Calibri" w:cs="Calibri"/>
          <w:color w:val="000000"/>
          <w:lang w:val="en-US" w:eastAsia="en-US"/>
        </w:rPr>
        <w:t>advise Special Rapporteurs on specific technical areas of work relevant to their Calls for Input</w:t>
      </w:r>
      <w:r w:rsidR="00450388" w:rsidRPr="00904DAE">
        <w:rPr>
          <w:rFonts w:ascii="Calibri" w:eastAsiaTheme="minorHAnsi" w:hAnsi="Calibri" w:cs="Calibri"/>
          <w:color w:val="000000"/>
          <w:lang w:val="en-US" w:eastAsia="en-US"/>
        </w:rPr>
        <w:t xml:space="preserve"> and reports to the HRC and UNGA.</w:t>
      </w:r>
    </w:p>
    <w:p w14:paraId="114F3586" w14:textId="3C44B19C" w:rsidR="00B42888" w:rsidRDefault="006A4D78" w:rsidP="00713C37">
      <w:pPr>
        <w:pStyle w:val="SpeechTemplate1"/>
        <w:numPr>
          <w:ilvl w:val="0"/>
          <w:numId w:val="38"/>
        </w:numPr>
        <w:spacing w:after="120"/>
        <w:ind w:left="431" w:hanging="431"/>
        <w:jc w:val="both"/>
        <w:rPr>
          <w:rFonts w:cstheme="minorHAnsi"/>
          <w:sz w:val="24"/>
          <w:szCs w:val="24"/>
        </w:rPr>
      </w:pPr>
      <w:r>
        <w:rPr>
          <w:rFonts w:cstheme="minorHAnsi"/>
          <w:sz w:val="24"/>
          <w:szCs w:val="24"/>
        </w:rPr>
        <w:t>Human Rights</w:t>
      </w:r>
      <w:r w:rsidR="00AD01A5">
        <w:rPr>
          <w:rFonts w:cstheme="minorHAnsi"/>
          <w:sz w:val="24"/>
          <w:szCs w:val="24"/>
        </w:rPr>
        <w:t xml:space="preserve"> Standards </w:t>
      </w:r>
      <w:r>
        <w:rPr>
          <w:rFonts w:cstheme="minorHAnsi"/>
          <w:sz w:val="24"/>
          <w:szCs w:val="24"/>
        </w:rPr>
        <w:t xml:space="preserve">in </w:t>
      </w:r>
      <w:r w:rsidR="00C86D45">
        <w:rPr>
          <w:rFonts w:cstheme="minorHAnsi"/>
          <w:sz w:val="24"/>
          <w:szCs w:val="24"/>
        </w:rPr>
        <w:t xml:space="preserve">WHO </w:t>
      </w:r>
      <w:r w:rsidR="00756606">
        <w:rPr>
          <w:rFonts w:cstheme="minorHAnsi"/>
          <w:sz w:val="24"/>
          <w:szCs w:val="24"/>
        </w:rPr>
        <w:t xml:space="preserve">Legal Instruments </w:t>
      </w:r>
      <w:r w:rsidR="00713C37">
        <w:rPr>
          <w:rFonts w:cstheme="minorHAnsi"/>
          <w:sz w:val="24"/>
          <w:szCs w:val="24"/>
        </w:rPr>
        <w:t>and Normative Guidance</w:t>
      </w:r>
      <w:r w:rsidR="00046CF3">
        <w:rPr>
          <w:rFonts w:cstheme="minorHAnsi"/>
          <w:sz w:val="24"/>
          <w:szCs w:val="24"/>
        </w:rPr>
        <w:t xml:space="preserve"> </w:t>
      </w:r>
    </w:p>
    <w:p w14:paraId="7B83670F" w14:textId="2185461B" w:rsidR="0065345D" w:rsidRPr="00B42888" w:rsidRDefault="00253A2D" w:rsidP="0065345D">
      <w:pPr>
        <w:pStyle w:val="SpeechTemplate1"/>
        <w:numPr>
          <w:ilvl w:val="1"/>
          <w:numId w:val="38"/>
        </w:numPr>
        <w:spacing w:after="120"/>
        <w:jc w:val="both"/>
        <w:rPr>
          <w:rFonts w:cstheme="minorHAnsi"/>
          <w:sz w:val="24"/>
          <w:szCs w:val="24"/>
        </w:rPr>
      </w:pPr>
      <w:r>
        <w:rPr>
          <w:rFonts w:cstheme="minorHAnsi"/>
          <w:sz w:val="24"/>
          <w:szCs w:val="24"/>
        </w:rPr>
        <w:t xml:space="preserve">International Health Regulations and </w:t>
      </w:r>
      <w:r w:rsidR="00102E00">
        <w:rPr>
          <w:rFonts w:cstheme="minorHAnsi"/>
          <w:sz w:val="24"/>
          <w:szCs w:val="24"/>
        </w:rPr>
        <w:t>Framework Convention on Tobacco Control</w:t>
      </w:r>
    </w:p>
    <w:p w14:paraId="5FDBE883" w14:textId="660D98EE" w:rsidR="0065345D" w:rsidRDefault="00391B50" w:rsidP="0065345D">
      <w:pPr>
        <w:pStyle w:val="ListParagraph"/>
        <w:numPr>
          <w:ilvl w:val="0"/>
          <w:numId w:val="1"/>
        </w:numPr>
        <w:spacing w:after="120"/>
        <w:ind w:left="0" w:firstLine="0"/>
        <w:contextualSpacing w:val="0"/>
        <w:jc w:val="both"/>
        <w:rPr>
          <w:rFonts w:eastAsia="Calibri" w:cstheme="minorHAnsi"/>
          <w:sz w:val="24"/>
          <w:szCs w:val="24"/>
          <w:lang w:eastAsia="en-US"/>
        </w:rPr>
      </w:pPr>
      <w:r w:rsidRPr="00904DAE">
        <w:rPr>
          <w:rFonts w:ascii="Calibri" w:eastAsiaTheme="minorHAnsi" w:hAnsi="Calibri" w:cs="Calibri"/>
          <w:color w:val="000000"/>
          <w:lang w:val="en-US" w:eastAsia="en-US"/>
        </w:rPr>
        <w:t>The</w:t>
      </w:r>
      <w:r w:rsidR="0065345D" w:rsidRPr="00904DAE">
        <w:rPr>
          <w:rFonts w:ascii="Calibri" w:eastAsiaTheme="minorHAnsi" w:hAnsi="Calibri" w:cs="Calibri"/>
          <w:color w:val="000000"/>
          <w:lang w:val="en-US" w:eastAsia="en-US"/>
        </w:rPr>
        <w:t xml:space="preserve"> International Health Regulations, Article 3.1, requires that the implementation of </w:t>
      </w:r>
      <w:r w:rsidR="00102E00" w:rsidRPr="00904DAE">
        <w:rPr>
          <w:rFonts w:ascii="Calibri" w:eastAsiaTheme="minorHAnsi" w:hAnsi="Calibri" w:cs="Calibri"/>
          <w:color w:val="000000"/>
          <w:lang w:val="en-US" w:eastAsia="en-US"/>
        </w:rPr>
        <w:t xml:space="preserve">public health </w:t>
      </w:r>
      <w:r w:rsidR="0065345D" w:rsidRPr="00904DAE">
        <w:rPr>
          <w:rFonts w:ascii="Calibri" w:eastAsiaTheme="minorHAnsi" w:hAnsi="Calibri" w:cs="Calibri"/>
          <w:color w:val="000000"/>
          <w:lang w:val="en-US" w:eastAsia="en-US"/>
        </w:rPr>
        <w:t xml:space="preserve">measures </w:t>
      </w:r>
      <w:r w:rsidRPr="00904DAE">
        <w:rPr>
          <w:rFonts w:ascii="Calibri" w:eastAsiaTheme="minorHAnsi" w:hAnsi="Calibri" w:cs="Calibri"/>
          <w:color w:val="000000"/>
          <w:lang w:val="en-US" w:eastAsia="en-US"/>
        </w:rPr>
        <w:t xml:space="preserve">pursuant to </w:t>
      </w:r>
      <w:r w:rsidR="00202205" w:rsidRPr="00904DAE">
        <w:rPr>
          <w:rFonts w:ascii="Calibri" w:eastAsiaTheme="minorHAnsi" w:hAnsi="Calibri" w:cs="Calibri"/>
          <w:color w:val="000000"/>
          <w:lang w:val="en-US" w:eastAsia="en-US"/>
        </w:rPr>
        <w:t xml:space="preserve">IHR provisions </w:t>
      </w:r>
      <w:r w:rsidR="0065345D" w:rsidRPr="00904DAE">
        <w:rPr>
          <w:rFonts w:ascii="Calibri" w:eastAsiaTheme="minorHAnsi" w:hAnsi="Calibri" w:cs="Calibri"/>
          <w:color w:val="000000"/>
          <w:lang w:val="en-US" w:eastAsia="en-US"/>
        </w:rPr>
        <w:t>comply with international human rights and fundamental freedoms, and (Articles 44-45) on the least restrictive public health measures necessary in compliance with international human rights standards related to international travel and mobility</w:t>
      </w:r>
      <w:r w:rsidR="0065345D" w:rsidRPr="00AF0037">
        <w:rPr>
          <w:rFonts w:eastAsia="Calibri" w:cstheme="minorHAnsi"/>
          <w:sz w:val="24"/>
          <w:szCs w:val="24"/>
          <w:lang w:eastAsia="en-US"/>
        </w:rPr>
        <w:t>.</w:t>
      </w:r>
      <w:r w:rsidR="0065345D">
        <w:rPr>
          <w:rStyle w:val="FootnoteReference"/>
          <w:rFonts w:eastAsia="Calibri" w:cstheme="minorHAnsi"/>
          <w:sz w:val="24"/>
          <w:szCs w:val="24"/>
          <w:lang w:eastAsia="en-US"/>
        </w:rPr>
        <w:footnoteReference w:id="16"/>
      </w:r>
      <w:r w:rsidR="0065345D">
        <w:rPr>
          <w:rFonts w:eastAsia="Calibri" w:cstheme="minorHAnsi"/>
          <w:sz w:val="24"/>
          <w:szCs w:val="24"/>
          <w:lang w:eastAsia="en-US"/>
        </w:rPr>
        <w:t xml:space="preserve"> </w:t>
      </w:r>
    </w:p>
    <w:p w14:paraId="4CAA3B5F" w14:textId="7597A629" w:rsidR="008A100E" w:rsidRDefault="008A100E" w:rsidP="008A100E">
      <w:pPr>
        <w:pStyle w:val="ListParagraph"/>
        <w:numPr>
          <w:ilvl w:val="0"/>
          <w:numId w:val="1"/>
        </w:numPr>
        <w:spacing w:after="120"/>
        <w:ind w:left="0" w:firstLine="0"/>
        <w:contextualSpacing w:val="0"/>
        <w:jc w:val="both"/>
        <w:rPr>
          <w:rFonts w:cstheme="minorHAnsi"/>
        </w:rPr>
      </w:pPr>
      <w:r w:rsidRPr="00904DAE">
        <w:rPr>
          <w:rFonts w:ascii="Calibri" w:eastAsiaTheme="minorHAnsi" w:hAnsi="Calibri" w:cs="Calibri"/>
          <w:color w:val="000000"/>
          <w:lang w:val="en-US" w:eastAsia="en-US"/>
        </w:rPr>
        <w:t xml:space="preserve">The WHO Framework Convention on Tobacco Control (FCTC) is an international treaty that reaffirms the right of all people to the highest standard of health, recalling the International Covenant on Economic, Social and Cultural Rights, the Convention on the Elimination of All Forms of Discrimination against Women, the Convention on the Rights of the Child, as well as the preamble to the Constitution of the World Health Organization, </w:t>
      </w:r>
      <w:r w:rsidR="00C86D45" w:rsidRPr="00904DAE">
        <w:rPr>
          <w:rFonts w:ascii="Calibri" w:eastAsiaTheme="minorHAnsi" w:hAnsi="Calibri" w:cs="Calibri"/>
          <w:color w:val="000000"/>
          <w:lang w:val="en-US" w:eastAsia="en-US"/>
        </w:rPr>
        <w:t>supra</w:t>
      </w:r>
      <w:r w:rsidRPr="00904DAE">
        <w:rPr>
          <w:rFonts w:ascii="Calibri" w:eastAsiaTheme="minorHAnsi" w:hAnsi="Calibri" w:cs="Calibri"/>
          <w:color w:val="000000"/>
          <w:lang w:val="en-US" w:eastAsia="en-US"/>
        </w:rPr>
        <w:t>.</w:t>
      </w:r>
      <w:r w:rsidRPr="002D123C">
        <w:rPr>
          <w:rStyle w:val="FootnoteReference"/>
          <w:rFonts w:cstheme="minorHAnsi"/>
        </w:rPr>
        <w:footnoteReference w:id="17"/>
      </w:r>
      <w:r w:rsidRPr="008A100E">
        <w:rPr>
          <w:rFonts w:cstheme="minorHAnsi"/>
        </w:rPr>
        <w:t xml:space="preserve"> </w:t>
      </w:r>
    </w:p>
    <w:p w14:paraId="3461C510" w14:textId="41604EB0" w:rsidR="00407DAB" w:rsidRDefault="00407DAB" w:rsidP="0098373E">
      <w:pPr>
        <w:pStyle w:val="ListParagraph"/>
        <w:numPr>
          <w:ilvl w:val="0"/>
          <w:numId w:val="1"/>
        </w:numPr>
        <w:tabs>
          <w:tab w:val="left" w:pos="567"/>
        </w:tabs>
        <w:spacing w:after="120"/>
        <w:ind w:left="0" w:firstLine="0"/>
        <w:contextualSpacing w:val="0"/>
        <w:jc w:val="both"/>
        <w:rPr>
          <w:rFonts w:cstheme="minorHAnsi"/>
        </w:rPr>
      </w:pPr>
      <w:r w:rsidRPr="00904DAE">
        <w:rPr>
          <w:rFonts w:ascii="Calibri" w:eastAsiaTheme="minorHAnsi" w:hAnsi="Calibri" w:cs="Calibri"/>
          <w:color w:val="000000"/>
          <w:lang w:val="en-US" w:eastAsia="en-US"/>
        </w:rPr>
        <w:t>The Preamble of the WHO FCTC states that Parties to the Convention are ‘Deeply concerned about the high levels of smoking and other forms of tobacco consumption by indigenous peoples’</w:t>
      </w:r>
      <w:r w:rsidRPr="00397B2B">
        <w:rPr>
          <w:rStyle w:val="normaltextrun"/>
          <w:rFonts w:cs="Times New Roman"/>
          <w:sz w:val="24"/>
          <w:szCs w:val="24"/>
          <w:vertAlign w:val="superscript"/>
          <w:lang w:eastAsia="en-GB"/>
        </w:rPr>
        <w:t>.</w:t>
      </w:r>
      <w:r w:rsidRPr="00397B2B">
        <w:rPr>
          <w:rStyle w:val="normaltextrun"/>
          <w:rFonts w:cs="Times New Roman"/>
          <w:sz w:val="24"/>
          <w:szCs w:val="24"/>
          <w:vertAlign w:val="superscript"/>
          <w:lang w:eastAsia="en-GB"/>
        </w:rPr>
        <w:footnoteReference w:id="18"/>
      </w:r>
      <w:r w:rsidRPr="00A21CB1">
        <w:rPr>
          <w:rStyle w:val="normaltextrun"/>
          <w:rFonts w:cs="Times New Roman"/>
          <w:sz w:val="24"/>
          <w:szCs w:val="24"/>
          <w:lang w:eastAsia="en-GB"/>
        </w:rPr>
        <w:t xml:space="preserve"> </w:t>
      </w:r>
      <w:r w:rsidRPr="00904DAE">
        <w:rPr>
          <w:rFonts w:ascii="Calibri" w:eastAsiaTheme="minorHAnsi" w:hAnsi="Calibri" w:cs="Calibri"/>
          <w:color w:val="000000"/>
          <w:lang w:val="en-US" w:eastAsia="en-US"/>
        </w:rPr>
        <w:t>The prevalence of tobacco use amongst indigenous peoples is higher in some places than amongst the general population, often with disproportionately detrimental impacts on their health, economic and cultural well-being</w:t>
      </w:r>
      <w:r>
        <w:rPr>
          <w:rFonts w:cstheme="minorHAnsi"/>
        </w:rPr>
        <w:t>.</w:t>
      </w:r>
      <w:r>
        <w:rPr>
          <w:rStyle w:val="FootnoteReference"/>
          <w:rFonts w:cstheme="minorHAnsi"/>
        </w:rPr>
        <w:footnoteReference w:id="19"/>
      </w:r>
    </w:p>
    <w:p w14:paraId="26B78FB4" w14:textId="3EC1B92D" w:rsidR="00C5774A" w:rsidRPr="00397B2B" w:rsidRDefault="00C5774A" w:rsidP="00397B2B">
      <w:pPr>
        <w:pStyle w:val="ListParagraph"/>
        <w:numPr>
          <w:ilvl w:val="0"/>
          <w:numId w:val="1"/>
        </w:numPr>
        <w:tabs>
          <w:tab w:val="left" w:pos="567"/>
        </w:tabs>
        <w:spacing w:after="120"/>
        <w:ind w:left="0" w:firstLine="0"/>
        <w:contextualSpacing w:val="0"/>
        <w:jc w:val="both"/>
        <w:rPr>
          <w:rFonts w:cstheme="minorHAnsi"/>
        </w:rPr>
      </w:pPr>
      <w:r w:rsidRPr="00904DAE">
        <w:rPr>
          <w:rFonts w:ascii="Calibri" w:eastAsiaTheme="minorHAnsi" w:hAnsi="Calibri" w:cs="Calibri"/>
          <w:color w:val="000000"/>
          <w:lang w:val="en-US" w:eastAsia="en-US"/>
        </w:rPr>
        <w:t>Target 3.a of the Sustainable Development Goals (SDGs) specifically calls for strengthening implementation of the WHO FCTC, as the treaty is considered an accelerator for sustainable development overall</w:t>
      </w:r>
      <w:r w:rsidRPr="0081040F">
        <w:rPr>
          <w:rFonts w:cstheme="minorHAnsi"/>
        </w:rPr>
        <w:t>.</w:t>
      </w:r>
      <w:r>
        <w:rPr>
          <w:rStyle w:val="FootnoteReference"/>
          <w:rFonts w:cstheme="minorHAnsi"/>
        </w:rPr>
        <w:footnoteReference w:id="20"/>
      </w:r>
      <w:r w:rsidRPr="0081040F">
        <w:rPr>
          <w:rFonts w:cstheme="minorHAnsi"/>
        </w:rPr>
        <w:t xml:space="preserve"> </w:t>
      </w:r>
    </w:p>
    <w:p w14:paraId="7A45327A" w14:textId="15F3D748" w:rsidR="006068BD" w:rsidRPr="006068BD" w:rsidRDefault="006068BD" w:rsidP="006068BD">
      <w:pPr>
        <w:pStyle w:val="ListParagraph"/>
        <w:numPr>
          <w:ilvl w:val="0"/>
          <w:numId w:val="1"/>
        </w:numPr>
        <w:spacing w:after="120"/>
        <w:ind w:left="0" w:firstLine="0"/>
        <w:contextualSpacing w:val="0"/>
        <w:jc w:val="both"/>
        <w:rPr>
          <w:rFonts w:cstheme="minorHAnsi"/>
        </w:rPr>
      </w:pPr>
      <w:r w:rsidRPr="00904DAE">
        <w:rPr>
          <w:rFonts w:ascii="Calibri" w:eastAsiaTheme="minorHAnsi" w:hAnsi="Calibri" w:cs="Calibri"/>
          <w:color w:val="000000"/>
          <w:lang w:val="en-US" w:eastAsia="en-US"/>
        </w:rPr>
        <w:t>Tobacco use is one of the biggest public health threats and causes more than 8 million deaths per year</w:t>
      </w:r>
      <w:r w:rsidR="009A50EB" w:rsidRPr="00904DAE">
        <w:rPr>
          <w:rFonts w:ascii="Calibri" w:eastAsiaTheme="minorHAnsi" w:hAnsi="Calibri" w:cs="Calibri"/>
          <w:color w:val="000000"/>
          <w:lang w:val="en-US" w:eastAsia="en-US"/>
        </w:rPr>
        <w:t xml:space="preserve">, with over 80% of the world’s 1.3 billion tobacco users live in low-and middle-income </w:t>
      </w:r>
      <w:r w:rsidR="009A50EB" w:rsidRPr="00904DAE">
        <w:rPr>
          <w:rFonts w:ascii="Calibri" w:eastAsiaTheme="minorHAnsi" w:hAnsi="Calibri" w:cs="Calibri"/>
          <w:color w:val="000000"/>
          <w:lang w:val="en-US" w:eastAsia="en-US"/>
        </w:rPr>
        <w:lastRenderedPageBreak/>
        <w:t>countri</w:t>
      </w:r>
      <w:r w:rsidR="009A50EB" w:rsidRPr="0098373E">
        <w:rPr>
          <w:rFonts w:ascii="Calibri" w:eastAsiaTheme="minorHAnsi" w:hAnsi="Calibri" w:cs="Calibri"/>
          <w:color w:val="000000"/>
          <w:lang w:val="en-US" w:eastAsia="en-US"/>
        </w:rPr>
        <w:t>es</w:t>
      </w:r>
      <w:r w:rsidRPr="008244FB">
        <w:rPr>
          <w:rStyle w:val="normaltextrun"/>
          <w:rFonts w:cs="Times New Roman"/>
          <w:sz w:val="24"/>
          <w:szCs w:val="24"/>
          <w:lang w:eastAsia="en-GB"/>
        </w:rPr>
        <w:t>.</w:t>
      </w:r>
      <w:r w:rsidRPr="001A0FBA">
        <w:rPr>
          <w:vertAlign w:val="superscript"/>
        </w:rPr>
        <w:footnoteReference w:id="21"/>
      </w:r>
      <w:r w:rsidRPr="001A0FBA">
        <w:rPr>
          <w:rFonts w:cstheme="minorHAnsi"/>
          <w:vertAlign w:val="superscript"/>
        </w:rPr>
        <w:t xml:space="preserve"> </w:t>
      </w:r>
      <w:r w:rsidRPr="00904DAE">
        <w:rPr>
          <w:rFonts w:ascii="Calibri" w:eastAsiaTheme="minorHAnsi" w:hAnsi="Calibri" w:cs="Calibri"/>
          <w:color w:val="000000"/>
          <w:lang w:val="en-US" w:eastAsia="en-US"/>
        </w:rPr>
        <w:t>Marginalized and vulnerable populations- including, people in low-and middle-income communities, women, children, racial and ethnic minorities, LGBTI</w:t>
      </w:r>
      <w:r w:rsidR="00BA6347" w:rsidRPr="00904DAE">
        <w:rPr>
          <w:rFonts w:ascii="Calibri" w:eastAsiaTheme="minorHAnsi" w:hAnsi="Calibri" w:cs="Calibri"/>
          <w:color w:val="000000"/>
          <w:lang w:val="en-US" w:eastAsia="en-US"/>
        </w:rPr>
        <w:t>Q+</w:t>
      </w:r>
      <w:r w:rsidRPr="00904DAE">
        <w:rPr>
          <w:rFonts w:ascii="Calibri" w:eastAsiaTheme="minorHAnsi" w:hAnsi="Calibri" w:cs="Calibri"/>
          <w:color w:val="000000"/>
          <w:lang w:val="en-US" w:eastAsia="en-US"/>
        </w:rPr>
        <w:t xml:space="preserve"> persons, and indigenous peoples, bear a disproportionate burden of tobacco-related harm</w:t>
      </w:r>
      <w:r w:rsidRPr="7FDFDF91">
        <w:t>.</w:t>
      </w:r>
      <w:r>
        <w:rPr>
          <w:rStyle w:val="FootnoteReference"/>
        </w:rPr>
        <w:footnoteReference w:id="22"/>
      </w:r>
    </w:p>
    <w:p w14:paraId="38B85B5E" w14:textId="42A04DCB" w:rsidR="007E37E9" w:rsidRPr="004F7559" w:rsidRDefault="003D1DFD" w:rsidP="004F7559">
      <w:pPr>
        <w:pStyle w:val="SpeechTemplate1"/>
        <w:numPr>
          <w:ilvl w:val="1"/>
          <w:numId w:val="38"/>
        </w:numPr>
        <w:spacing w:after="120"/>
        <w:jc w:val="both"/>
        <w:rPr>
          <w:rFonts w:cstheme="minorHAnsi"/>
          <w:sz w:val="24"/>
          <w:szCs w:val="24"/>
        </w:rPr>
      </w:pPr>
      <w:r w:rsidRPr="006725D2">
        <w:rPr>
          <w:rFonts w:cstheme="minorHAnsi"/>
          <w:sz w:val="24"/>
          <w:szCs w:val="24"/>
        </w:rPr>
        <w:t>Sexual and Reproductive Health</w:t>
      </w:r>
      <w:r w:rsidR="001C2403">
        <w:rPr>
          <w:rFonts w:cstheme="minorHAnsi"/>
          <w:sz w:val="24"/>
          <w:szCs w:val="24"/>
        </w:rPr>
        <w:t xml:space="preserve"> Right</w:t>
      </w:r>
      <w:r w:rsidR="006E2D8F">
        <w:rPr>
          <w:rFonts w:cstheme="minorHAnsi"/>
          <w:sz w:val="24"/>
          <w:szCs w:val="24"/>
        </w:rPr>
        <w:t>s</w:t>
      </w:r>
    </w:p>
    <w:p w14:paraId="6AEB49E4" w14:textId="6A485844" w:rsidR="003D1DFD" w:rsidRPr="00904DAE" w:rsidRDefault="002006C3" w:rsidP="00E15754">
      <w:pPr>
        <w:pStyle w:val="ListParagraph"/>
        <w:numPr>
          <w:ilvl w:val="0"/>
          <w:numId w:val="1"/>
        </w:numPr>
        <w:tabs>
          <w:tab w:val="left" w:pos="567"/>
        </w:tabs>
        <w:spacing w:after="120"/>
        <w:ind w:left="0" w:firstLine="0"/>
        <w:contextualSpacing w:val="0"/>
        <w:jc w:val="both"/>
        <w:rPr>
          <w:rFonts w:ascii="Calibri" w:eastAsiaTheme="minorHAnsi" w:hAnsi="Calibri" w:cs="Calibri"/>
          <w:color w:val="000000"/>
          <w:lang w:val="en-US" w:eastAsia="en-US"/>
        </w:rPr>
      </w:pPr>
      <w:r w:rsidRPr="00904DAE">
        <w:rPr>
          <w:rFonts w:ascii="Calibri" w:eastAsiaTheme="minorHAnsi" w:hAnsi="Calibri" w:cs="Calibri"/>
          <w:color w:val="000000"/>
          <w:lang w:val="en-US" w:eastAsia="en-US"/>
        </w:rPr>
        <w:t>Multiple and intersecting forms of</w:t>
      </w:r>
      <w:r w:rsidR="003D1DFD" w:rsidRPr="00904DAE">
        <w:rPr>
          <w:rFonts w:ascii="Calibri" w:eastAsiaTheme="minorHAnsi" w:hAnsi="Calibri" w:cs="Calibri"/>
          <w:color w:val="000000"/>
          <w:lang w:val="en-US" w:eastAsia="en-US"/>
        </w:rPr>
        <w:t xml:space="preserve"> discrimination </w:t>
      </w:r>
      <w:r w:rsidR="0074276A" w:rsidRPr="00904DAE">
        <w:rPr>
          <w:rFonts w:ascii="Calibri" w:eastAsiaTheme="minorHAnsi" w:hAnsi="Calibri" w:cs="Calibri"/>
          <w:color w:val="000000"/>
          <w:lang w:val="en-US" w:eastAsia="en-US"/>
        </w:rPr>
        <w:t>against</w:t>
      </w:r>
      <w:r w:rsidR="003D1DFD" w:rsidRPr="00904DAE">
        <w:rPr>
          <w:rFonts w:ascii="Calibri" w:eastAsiaTheme="minorHAnsi" w:hAnsi="Calibri" w:cs="Calibri"/>
          <w:color w:val="000000"/>
          <w:lang w:val="en-US" w:eastAsia="en-US"/>
        </w:rPr>
        <w:t xml:space="preserve"> women</w:t>
      </w:r>
      <w:r w:rsidR="00C84C69" w:rsidRPr="00904DAE">
        <w:rPr>
          <w:rFonts w:ascii="Calibri" w:eastAsiaTheme="minorHAnsi" w:hAnsi="Calibri" w:cs="Calibri"/>
          <w:color w:val="000000"/>
          <w:lang w:val="en-US" w:eastAsia="en-US"/>
        </w:rPr>
        <w:t>’s sexual and reproductive rights</w:t>
      </w:r>
      <w:r w:rsidR="0074276A" w:rsidRPr="00904DAE">
        <w:rPr>
          <w:rFonts w:ascii="Calibri" w:eastAsiaTheme="minorHAnsi" w:hAnsi="Calibri" w:cs="Calibri"/>
          <w:color w:val="000000"/>
          <w:lang w:val="en-US" w:eastAsia="en-US"/>
        </w:rPr>
        <w:t>, including racial</w:t>
      </w:r>
      <w:r w:rsidR="004E1885" w:rsidRPr="00904DAE">
        <w:rPr>
          <w:rFonts w:ascii="Calibri" w:eastAsiaTheme="minorHAnsi" w:hAnsi="Calibri" w:cs="Calibri"/>
          <w:color w:val="000000"/>
          <w:lang w:val="en-US" w:eastAsia="en-US"/>
        </w:rPr>
        <w:t xml:space="preserve"> and ethnic </w:t>
      </w:r>
      <w:r w:rsidR="0074276A" w:rsidRPr="00904DAE">
        <w:rPr>
          <w:rFonts w:ascii="Calibri" w:eastAsiaTheme="minorHAnsi" w:hAnsi="Calibri" w:cs="Calibri"/>
          <w:color w:val="000000"/>
          <w:lang w:val="en-US" w:eastAsia="en-US"/>
        </w:rPr>
        <w:t>discrimination,</w:t>
      </w:r>
      <w:r w:rsidR="004E1885" w:rsidRPr="00904DAE">
        <w:rPr>
          <w:rFonts w:ascii="Calibri" w:eastAsiaTheme="minorHAnsi" w:hAnsi="Calibri" w:cs="Calibri"/>
          <w:color w:val="000000"/>
          <w:lang w:val="en-US" w:eastAsia="en-US"/>
        </w:rPr>
        <w:t xml:space="preserve"> as well as </w:t>
      </w:r>
      <w:r w:rsidR="00424A33" w:rsidRPr="00904DAE">
        <w:rPr>
          <w:rFonts w:ascii="Calibri" w:eastAsiaTheme="minorHAnsi" w:hAnsi="Calibri" w:cs="Calibri"/>
          <w:color w:val="000000"/>
          <w:lang w:val="en-US" w:eastAsia="en-US"/>
        </w:rPr>
        <w:t>structural discrimination faced by Indigenous peoples</w:t>
      </w:r>
      <w:r w:rsidR="0074276A" w:rsidRPr="00904DAE">
        <w:rPr>
          <w:rFonts w:ascii="Calibri" w:eastAsiaTheme="minorHAnsi" w:hAnsi="Calibri" w:cs="Calibri"/>
          <w:color w:val="000000"/>
          <w:lang w:val="en-US" w:eastAsia="en-US"/>
        </w:rPr>
        <w:t xml:space="preserve"> </w:t>
      </w:r>
      <w:r w:rsidR="003D1DFD" w:rsidRPr="00904DAE">
        <w:rPr>
          <w:rFonts w:ascii="Calibri" w:eastAsiaTheme="minorHAnsi" w:hAnsi="Calibri" w:cs="Calibri"/>
          <w:color w:val="000000"/>
          <w:lang w:val="en-US" w:eastAsia="en-US"/>
        </w:rPr>
        <w:t xml:space="preserve">has been documented </w:t>
      </w:r>
      <w:r w:rsidR="0074276A" w:rsidRPr="00904DAE">
        <w:rPr>
          <w:rFonts w:ascii="Calibri" w:eastAsiaTheme="minorHAnsi" w:hAnsi="Calibri" w:cs="Calibri"/>
          <w:color w:val="000000"/>
          <w:lang w:val="en-US" w:eastAsia="en-US"/>
        </w:rPr>
        <w:t>by</w:t>
      </w:r>
      <w:r w:rsidR="003D1DFD" w:rsidRPr="00904DAE">
        <w:rPr>
          <w:rFonts w:ascii="Calibri" w:eastAsiaTheme="minorHAnsi" w:hAnsi="Calibri" w:cs="Calibri"/>
          <w:color w:val="000000"/>
          <w:lang w:val="en-US" w:eastAsia="en-US"/>
        </w:rPr>
        <w:t xml:space="preserve"> researchers, suggesting that the struggle for reproductive justice is not only a fight for gender equality but</w:t>
      </w:r>
      <w:r w:rsidR="00894A62" w:rsidRPr="00904DAE">
        <w:rPr>
          <w:rFonts w:ascii="Calibri" w:eastAsiaTheme="minorHAnsi" w:hAnsi="Calibri" w:cs="Calibri"/>
          <w:color w:val="000000"/>
          <w:lang w:val="en-US" w:eastAsia="en-US"/>
        </w:rPr>
        <w:t xml:space="preserve"> also</w:t>
      </w:r>
      <w:r w:rsidR="003D1DFD" w:rsidRPr="00904DAE">
        <w:rPr>
          <w:rFonts w:ascii="Calibri" w:eastAsiaTheme="minorHAnsi" w:hAnsi="Calibri" w:cs="Calibri"/>
          <w:color w:val="000000"/>
          <w:lang w:val="en-US" w:eastAsia="en-US"/>
        </w:rPr>
        <w:t xml:space="preserve"> an anti-racist agenda</w:t>
      </w:r>
      <w:r w:rsidR="00CD6A40" w:rsidRPr="00904DAE">
        <w:rPr>
          <w:rFonts w:ascii="Calibri" w:eastAsiaTheme="minorHAnsi" w:hAnsi="Calibri" w:cs="Calibri"/>
          <w:color w:val="000000"/>
          <w:lang w:val="en-US" w:eastAsia="en-US"/>
        </w:rPr>
        <w:t xml:space="preserve"> in </w:t>
      </w:r>
      <w:r w:rsidR="00AA13BE" w:rsidRPr="00904DAE">
        <w:rPr>
          <w:rFonts w:ascii="Calibri" w:eastAsiaTheme="minorHAnsi" w:hAnsi="Calibri" w:cs="Calibri"/>
          <w:color w:val="000000"/>
          <w:lang w:val="en-US" w:eastAsia="en-US"/>
        </w:rPr>
        <w:t xml:space="preserve">WHO’s normative guidance on </w:t>
      </w:r>
      <w:r w:rsidR="00B1464F" w:rsidRPr="00904DAE">
        <w:rPr>
          <w:rFonts w:ascii="Calibri" w:eastAsiaTheme="minorHAnsi" w:hAnsi="Calibri" w:cs="Calibri"/>
          <w:color w:val="000000"/>
          <w:lang w:val="en-US" w:eastAsia="en-US"/>
        </w:rPr>
        <w:t xml:space="preserve">sexual and reproductive </w:t>
      </w:r>
      <w:r w:rsidR="00AA13BE" w:rsidRPr="00904DAE">
        <w:rPr>
          <w:rFonts w:ascii="Calibri" w:eastAsiaTheme="minorHAnsi" w:hAnsi="Calibri" w:cs="Calibri"/>
          <w:color w:val="000000"/>
          <w:lang w:val="en-US" w:eastAsia="en-US"/>
        </w:rPr>
        <w:t xml:space="preserve">health </w:t>
      </w:r>
      <w:r w:rsidR="00827C1D" w:rsidRPr="00904DAE">
        <w:rPr>
          <w:rFonts w:ascii="Calibri" w:eastAsiaTheme="minorHAnsi" w:hAnsi="Calibri" w:cs="Calibri"/>
          <w:color w:val="000000"/>
          <w:lang w:val="en-US" w:eastAsia="en-US"/>
        </w:rPr>
        <w:t>issues.</w:t>
      </w:r>
    </w:p>
    <w:p w14:paraId="4162962E" w14:textId="17528F34" w:rsidR="003D1DFD" w:rsidRPr="00A41594" w:rsidRDefault="003D1DFD" w:rsidP="003D1DFD">
      <w:pPr>
        <w:pStyle w:val="ListParagraph"/>
        <w:numPr>
          <w:ilvl w:val="0"/>
          <w:numId w:val="1"/>
        </w:numPr>
        <w:spacing w:after="120"/>
        <w:ind w:left="0" w:firstLine="0"/>
        <w:contextualSpacing w:val="0"/>
        <w:jc w:val="both"/>
        <w:rPr>
          <w:rFonts w:eastAsia="Calibri" w:cstheme="minorHAnsi"/>
          <w:sz w:val="24"/>
          <w:szCs w:val="24"/>
          <w:lang w:eastAsia="en-US"/>
        </w:rPr>
      </w:pPr>
      <w:r w:rsidRPr="00904DAE">
        <w:rPr>
          <w:rFonts w:ascii="Calibri" w:eastAsiaTheme="minorHAnsi" w:hAnsi="Calibri" w:cs="Calibri"/>
          <w:color w:val="000000"/>
          <w:lang w:val="en-US" w:eastAsia="en-US"/>
        </w:rPr>
        <w:t xml:space="preserve">Historically, women have been disproportionately subjected to forced, coerced and otherwise involuntary sterilization, especially in connection with coercive population policies. Indigenous peoples and ethnic minority women are particularly vulnerable to acts of violence, including coercive sterilization. Some countries have in their population policies specifically targeted indigenous and ethnic minority women from the most deprived sectors of society for sterilization without their consent. Often indigenous </w:t>
      </w:r>
      <w:r w:rsidR="00311F7E" w:rsidRPr="00904DAE">
        <w:rPr>
          <w:rFonts w:ascii="Calibri" w:eastAsiaTheme="minorHAnsi" w:hAnsi="Calibri" w:cs="Calibri"/>
          <w:color w:val="000000"/>
          <w:lang w:val="en-US" w:eastAsia="en-US"/>
        </w:rPr>
        <w:t xml:space="preserve">and </w:t>
      </w:r>
      <w:r w:rsidR="00902089" w:rsidRPr="00904DAE">
        <w:rPr>
          <w:rFonts w:ascii="Calibri" w:eastAsiaTheme="minorHAnsi" w:hAnsi="Calibri" w:cs="Calibri"/>
          <w:color w:val="000000"/>
          <w:lang w:val="en-US" w:eastAsia="en-US"/>
        </w:rPr>
        <w:t>ethnic minori</w:t>
      </w:r>
      <w:r w:rsidR="00720F21" w:rsidRPr="00904DAE">
        <w:rPr>
          <w:rFonts w:ascii="Calibri" w:eastAsiaTheme="minorHAnsi" w:hAnsi="Calibri" w:cs="Calibri"/>
          <w:color w:val="000000"/>
          <w:lang w:val="en-US" w:eastAsia="en-US"/>
        </w:rPr>
        <w:t>ty women and</w:t>
      </w:r>
      <w:r w:rsidR="00902089" w:rsidRPr="00904DAE">
        <w:rPr>
          <w:rFonts w:ascii="Calibri" w:eastAsiaTheme="minorHAnsi" w:hAnsi="Calibri" w:cs="Calibri"/>
          <w:color w:val="000000"/>
          <w:lang w:val="en-US" w:eastAsia="en-US"/>
        </w:rPr>
        <w:t xml:space="preserve"> </w:t>
      </w:r>
      <w:r w:rsidRPr="00904DAE">
        <w:rPr>
          <w:rFonts w:ascii="Calibri" w:eastAsiaTheme="minorHAnsi" w:hAnsi="Calibri" w:cs="Calibri"/>
          <w:color w:val="000000"/>
          <w:lang w:val="en-US" w:eastAsia="en-US"/>
        </w:rPr>
        <w:t>girls</w:t>
      </w:r>
      <w:r w:rsidR="00720F21" w:rsidRPr="00904DAE">
        <w:rPr>
          <w:rFonts w:ascii="Calibri" w:eastAsiaTheme="minorHAnsi" w:hAnsi="Calibri" w:cs="Calibri"/>
          <w:color w:val="000000"/>
          <w:lang w:val="en-US" w:eastAsia="en-US"/>
        </w:rPr>
        <w:t xml:space="preserve">, in all their diversity, </w:t>
      </w:r>
      <w:r w:rsidRPr="00904DAE">
        <w:rPr>
          <w:rFonts w:ascii="Calibri" w:eastAsiaTheme="minorHAnsi" w:hAnsi="Calibri" w:cs="Calibri"/>
          <w:color w:val="000000"/>
          <w:lang w:val="en-US" w:eastAsia="en-US"/>
        </w:rPr>
        <w:t>are not provided with a full choice of contraceptive methods. Moreover, information relating to their sexual and reproductive rights is often not made available in accessible formats</w:t>
      </w:r>
      <w:r w:rsidRPr="00894A62">
        <w:rPr>
          <w:rFonts w:eastAsia="Calibri" w:cstheme="minorHAnsi"/>
          <w:sz w:val="24"/>
          <w:szCs w:val="24"/>
          <w:lang w:eastAsia="en-US"/>
        </w:rPr>
        <w:t>.</w:t>
      </w:r>
      <w:r w:rsidR="00894A62">
        <w:rPr>
          <w:rStyle w:val="FootnoteReference"/>
          <w:rFonts w:eastAsia="Calibri" w:cstheme="minorHAnsi"/>
          <w:sz w:val="24"/>
          <w:szCs w:val="24"/>
          <w:lang w:eastAsia="en-US"/>
        </w:rPr>
        <w:footnoteReference w:id="23"/>
      </w:r>
    </w:p>
    <w:p w14:paraId="4CFB4899" w14:textId="77777777" w:rsidR="004707CD" w:rsidRPr="00904DAE" w:rsidRDefault="003D1DFD" w:rsidP="005774B7">
      <w:pPr>
        <w:pStyle w:val="ListParagraph"/>
        <w:numPr>
          <w:ilvl w:val="0"/>
          <w:numId w:val="1"/>
        </w:numPr>
        <w:spacing w:after="120"/>
        <w:ind w:left="0" w:firstLine="0"/>
        <w:contextualSpacing w:val="0"/>
        <w:jc w:val="both"/>
        <w:rPr>
          <w:rFonts w:ascii="Calibri" w:eastAsiaTheme="minorHAnsi" w:hAnsi="Calibri" w:cs="Calibri"/>
          <w:color w:val="000000"/>
          <w:lang w:val="en-US" w:eastAsia="en-US"/>
        </w:rPr>
      </w:pPr>
      <w:r w:rsidRPr="00904DAE">
        <w:rPr>
          <w:rFonts w:ascii="Calibri" w:eastAsiaTheme="minorHAnsi" w:hAnsi="Calibri" w:cs="Calibri"/>
          <w:color w:val="000000"/>
          <w:lang w:val="en-US" w:eastAsia="en-US"/>
        </w:rPr>
        <w:t xml:space="preserve">Recent evidence reviews conducted by WHO on access to abortion care suggests similar </w:t>
      </w:r>
      <w:r w:rsidR="00462DA7" w:rsidRPr="00904DAE">
        <w:rPr>
          <w:rFonts w:ascii="Calibri" w:eastAsiaTheme="minorHAnsi" w:hAnsi="Calibri" w:cs="Calibri"/>
          <w:color w:val="000000"/>
          <w:lang w:val="en-US" w:eastAsia="en-US"/>
        </w:rPr>
        <w:t xml:space="preserve">multiple, intersecting forms of </w:t>
      </w:r>
      <w:r w:rsidRPr="00904DAE">
        <w:rPr>
          <w:rFonts w:ascii="Calibri" w:eastAsiaTheme="minorHAnsi" w:hAnsi="Calibri" w:cs="Calibri"/>
          <w:color w:val="000000"/>
          <w:lang w:val="en-US" w:eastAsia="en-US"/>
        </w:rPr>
        <w:t xml:space="preserve">discrimination </w:t>
      </w:r>
      <w:r w:rsidR="00462DA7" w:rsidRPr="00904DAE">
        <w:rPr>
          <w:rFonts w:ascii="Calibri" w:eastAsiaTheme="minorHAnsi" w:hAnsi="Calibri" w:cs="Calibri"/>
          <w:color w:val="000000"/>
          <w:lang w:val="en-US" w:eastAsia="en-US"/>
        </w:rPr>
        <w:t xml:space="preserve">experienced by </w:t>
      </w:r>
      <w:r w:rsidRPr="00904DAE">
        <w:rPr>
          <w:rFonts w:ascii="Calibri" w:eastAsiaTheme="minorHAnsi" w:hAnsi="Calibri" w:cs="Calibri"/>
          <w:color w:val="000000"/>
          <w:lang w:val="en-US" w:eastAsia="en-US"/>
        </w:rPr>
        <w:t>women seeking health care. The WHO Abortion care guideline states that</w:t>
      </w:r>
      <w:r w:rsidR="004707CD" w:rsidRPr="00904DAE">
        <w:rPr>
          <w:rFonts w:ascii="Calibri" w:eastAsiaTheme="minorHAnsi" w:hAnsi="Calibri" w:cs="Calibri"/>
          <w:color w:val="000000"/>
          <w:lang w:val="en-US" w:eastAsia="en-US"/>
        </w:rPr>
        <w:t>:</w:t>
      </w:r>
    </w:p>
    <w:p w14:paraId="5F1CF6B0" w14:textId="77777777" w:rsidR="004707CD" w:rsidRPr="004707CD" w:rsidRDefault="004707CD" w:rsidP="004707CD">
      <w:pPr>
        <w:pStyle w:val="ListParagraph"/>
        <w:rPr>
          <w:rFonts w:eastAsia="Calibri" w:cstheme="minorHAnsi"/>
          <w:sz w:val="24"/>
          <w:szCs w:val="24"/>
          <w:lang w:eastAsia="en-US"/>
        </w:rPr>
      </w:pPr>
    </w:p>
    <w:p w14:paraId="77FF1159" w14:textId="73224544" w:rsidR="00806840" w:rsidRDefault="003D1DFD" w:rsidP="00E15754">
      <w:pPr>
        <w:pStyle w:val="ListParagraph"/>
        <w:ind w:left="567"/>
        <w:contextualSpacing w:val="0"/>
        <w:jc w:val="both"/>
        <w:rPr>
          <w:rFonts w:eastAsia="Calibri" w:cstheme="minorHAnsi"/>
          <w:sz w:val="24"/>
          <w:szCs w:val="24"/>
          <w:lang w:eastAsia="en-US"/>
        </w:rPr>
      </w:pPr>
      <w:r w:rsidRPr="00E15754">
        <w:rPr>
          <w:rFonts w:eastAsia="Calibri" w:cstheme="minorHAnsi"/>
          <w:lang w:eastAsia="en-US"/>
        </w:rPr>
        <w:t xml:space="preserve"> </w:t>
      </w:r>
      <w:r w:rsidR="00AF0318" w:rsidRPr="00E15754">
        <w:rPr>
          <w:rFonts w:eastAsia="Calibri" w:cstheme="minorHAnsi"/>
          <w:lang w:eastAsia="en-US"/>
        </w:rPr>
        <w:t>…</w:t>
      </w:r>
      <w:r w:rsidR="00220EE1" w:rsidRPr="00E15754">
        <w:rPr>
          <w:rFonts w:eastAsia="Calibri" w:cstheme="minorHAnsi"/>
          <w:lang w:eastAsia="en-US"/>
        </w:rPr>
        <w:t>abortion</w:t>
      </w:r>
      <w:r w:rsidRPr="00E15754">
        <w:rPr>
          <w:rFonts w:eastAsia="Calibri" w:cstheme="minorHAnsi"/>
          <w:lang w:eastAsia="en-US"/>
        </w:rPr>
        <w:t xml:space="preserve"> should be fully decriminalized. Regulatory, policy and programmatic barriers – as well as barriers in practice – that hinder access </w:t>
      </w:r>
      <w:r w:rsidR="00AF0318" w:rsidRPr="00E15754">
        <w:rPr>
          <w:rFonts w:eastAsia="Calibri" w:cstheme="minorHAnsi"/>
          <w:lang w:eastAsia="en-US"/>
        </w:rPr>
        <w:t>to,</w:t>
      </w:r>
      <w:r w:rsidRPr="00E15754">
        <w:rPr>
          <w:rFonts w:eastAsia="Calibri" w:cstheme="minorHAnsi"/>
          <w:lang w:eastAsia="en-US"/>
        </w:rPr>
        <w:t xml:space="preserve"> and timely provision of quality abortion care should be removed. These include grounds-based approaches, gestational age limits, mandatory waiting periods, third-party authorization requirements and provider restrictions. States should also protect access to and continuity of abortion care against barriers created by conscientious objection</w:t>
      </w:r>
      <w:r w:rsidRPr="00377FD9">
        <w:rPr>
          <w:rFonts w:eastAsia="Calibri" w:cstheme="minorHAnsi"/>
          <w:sz w:val="24"/>
          <w:szCs w:val="24"/>
          <w:lang w:eastAsia="en-US"/>
        </w:rPr>
        <w:t>.</w:t>
      </w:r>
      <w:r w:rsidR="00806840">
        <w:rPr>
          <w:rStyle w:val="FootnoteReference"/>
          <w:rFonts w:eastAsia="Calibri" w:cstheme="minorHAnsi"/>
          <w:sz w:val="24"/>
          <w:szCs w:val="24"/>
          <w:lang w:eastAsia="en-US"/>
        </w:rPr>
        <w:footnoteReference w:id="24"/>
      </w:r>
      <w:r w:rsidRPr="00377FD9">
        <w:rPr>
          <w:rFonts w:eastAsia="Calibri" w:cstheme="minorHAnsi"/>
          <w:sz w:val="24"/>
          <w:szCs w:val="24"/>
          <w:lang w:eastAsia="en-US"/>
        </w:rPr>
        <w:t xml:space="preserve"> </w:t>
      </w:r>
    </w:p>
    <w:p w14:paraId="47F0A5A8" w14:textId="77777777" w:rsidR="00806840" w:rsidRDefault="00806840" w:rsidP="00806840">
      <w:pPr>
        <w:spacing w:after="120"/>
        <w:jc w:val="both"/>
        <w:rPr>
          <w:rFonts w:eastAsia="Calibri" w:cstheme="minorHAnsi"/>
          <w:sz w:val="24"/>
          <w:szCs w:val="24"/>
          <w:lang w:eastAsia="en-US"/>
        </w:rPr>
      </w:pPr>
    </w:p>
    <w:p w14:paraId="548D4A60" w14:textId="661F9735" w:rsidR="003D1DFD" w:rsidRPr="00B41DC2" w:rsidRDefault="003D1DFD" w:rsidP="003D1DFD">
      <w:pPr>
        <w:pStyle w:val="ListParagraph"/>
        <w:numPr>
          <w:ilvl w:val="0"/>
          <w:numId w:val="1"/>
        </w:numPr>
        <w:spacing w:after="120"/>
        <w:ind w:left="0" w:firstLine="0"/>
        <w:contextualSpacing w:val="0"/>
        <w:jc w:val="both"/>
      </w:pPr>
      <w:r w:rsidRPr="00904DAE">
        <w:rPr>
          <w:rFonts w:ascii="Calibri" w:eastAsiaTheme="minorHAnsi" w:hAnsi="Calibri" w:cs="Calibri"/>
          <w:color w:val="000000"/>
          <w:lang w:val="en-US" w:eastAsia="en-US"/>
        </w:rPr>
        <w:t xml:space="preserve">Studies suggest that some of these barriers disproportionately impact certain groups. For example, Hispanic and </w:t>
      </w:r>
      <w:r w:rsidR="0041225B" w:rsidRPr="00904DAE">
        <w:rPr>
          <w:rFonts w:ascii="Calibri" w:eastAsiaTheme="minorHAnsi" w:hAnsi="Calibri" w:cs="Calibri"/>
          <w:color w:val="000000"/>
          <w:lang w:val="en-US" w:eastAsia="en-US"/>
        </w:rPr>
        <w:t>African descent</w:t>
      </w:r>
      <w:r w:rsidRPr="00904DAE">
        <w:rPr>
          <w:rFonts w:ascii="Calibri" w:eastAsiaTheme="minorHAnsi" w:hAnsi="Calibri" w:cs="Calibri"/>
          <w:color w:val="000000"/>
          <w:lang w:val="en-US" w:eastAsia="en-US"/>
        </w:rPr>
        <w:t xml:space="preserve"> minors may be disproportionately impacted by mandatory waiting periods</w:t>
      </w:r>
      <w:r w:rsidR="005774B7" w:rsidRPr="00904DAE">
        <w:rPr>
          <w:rFonts w:ascii="Calibri" w:eastAsiaTheme="minorHAnsi" w:hAnsi="Calibri" w:cs="Calibri"/>
          <w:color w:val="000000"/>
          <w:lang w:val="en-US" w:eastAsia="en-US"/>
        </w:rPr>
        <w:t xml:space="preserve">, and where mandatory waiting periods </w:t>
      </w:r>
      <w:r w:rsidRPr="00904DAE">
        <w:rPr>
          <w:rFonts w:ascii="Calibri" w:eastAsiaTheme="minorHAnsi" w:hAnsi="Calibri" w:cs="Calibri"/>
          <w:color w:val="000000"/>
          <w:lang w:val="en-US" w:eastAsia="en-US"/>
        </w:rPr>
        <w:t xml:space="preserve">have an effect on birth rates, this effect disproportionately impacts people </w:t>
      </w:r>
      <w:r w:rsidR="007143E0" w:rsidRPr="00904DAE">
        <w:rPr>
          <w:rFonts w:ascii="Calibri" w:eastAsiaTheme="minorHAnsi" w:hAnsi="Calibri" w:cs="Calibri"/>
          <w:color w:val="000000"/>
          <w:lang w:val="en-US" w:eastAsia="en-US"/>
        </w:rPr>
        <w:t>of African descent</w:t>
      </w:r>
      <w:r w:rsidRPr="00904DAE">
        <w:rPr>
          <w:rFonts w:ascii="Calibri" w:eastAsiaTheme="minorHAnsi" w:hAnsi="Calibri" w:cs="Calibri"/>
          <w:color w:val="000000"/>
          <w:lang w:val="en-US" w:eastAsia="en-US"/>
        </w:rPr>
        <w:t>, especially when requiring two visits</w:t>
      </w:r>
      <w:r w:rsidR="005774B7" w:rsidRPr="00904DAE">
        <w:rPr>
          <w:rFonts w:ascii="Calibri" w:eastAsiaTheme="minorHAnsi" w:hAnsi="Calibri" w:cs="Calibri"/>
          <w:color w:val="000000"/>
          <w:lang w:val="en-US" w:eastAsia="en-US"/>
        </w:rPr>
        <w:t xml:space="preserve">. </w:t>
      </w:r>
      <w:r w:rsidRPr="00904DAE">
        <w:rPr>
          <w:rFonts w:ascii="Calibri" w:eastAsiaTheme="minorHAnsi" w:hAnsi="Calibri" w:cs="Calibri"/>
          <w:color w:val="000000"/>
          <w:lang w:val="en-US" w:eastAsia="en-US"/>
        </w:rPr>
        <w:t>Increased birth rates associated with parental consent laws are disproportionately experienced by  teens</w:t>
      </w:r>
      <w:r w:rsidR="007143E0" w:rsidRPr="00904DAE">
        <w:rPr>
          <w:rFonts w:ascii="Calibri" w:eastAsiaTheme="minorHAnsi" w:hAnsi="Calibri" w:cs="Calibri"/>
          <w:color w:val="000000"/>
          <w:lang w:val="en-US" w:eastAsia="en-US"/>
        </w:rPr>
        <w:t xml:space="preserve"> of African descent</w:t>
      </w:r>
      <w:r w:rsidR="001E2340" w:rsidRPr="00904DAE">
        <w:rPr>
          <w:rFonts w:ascii="Calibri" w:eastAsiaTheme="minorHAnsi" w:hAnsi="Calibri" w:cs="Calibri"/>
          <w:color w:val="000000"/>
          <w:lang w:val="en-US" w:eastAsia="en-US"/>
        </w:rPr>
        <w:t xml:space="preserve">. </w:t>
      </w:r>
      <w:r w:rsidRPr="00904DAE">
        <w:rPr>
          <w:rFonts w:ascii="Calibri" w:eastAsiaTheme="minorHAnsi" w:hAnsi="Calibri" w:cs="Calibri"/>
          <w:color w:val="000000"/>
          <w:lang w:val="en-US" w:eastAsia="en-US"/>
        </w:rPr>
        <w:t xml:space="preserve">Minors requesting abortion by judicial bypass compared with parental consent vary significantly, but minors obtaining abortion under judicial bypass as compared with parental consent are significantly more likely to be racial or ethnic minorities and of low socioeconomic status. </w:t>
      </w:r>
      <w:r w:rsidR="00B074DA" w:rsidRPr="00904DAE">
        <w:rPr>
          <w:rFonts w:ascii="Calibri" w:eastAsiaTheme="minorHAnsi" w:hAnsi="Calibri" w:cs="Calibri"/>
          <w:color w:val="000000"/>
          <w:lang w:val="en-US" w:eastAsia="en-US"/>
        </w:rPr>
        <w:t>Additional information on the ev</w:t>
      </w:r>
      <w:r w:rsidR="007D248A" w:rsidRPr="00904DAE">
        <w:rPr>
          <w:rFonts w:ascii="Calibri" w:eastAsiaTheme="minorHAnsi" w:hAnsi="Calibri" w:cs="Calibri"/>
          <w:color w:val="000000"/>
          <w:lang w:val="en-US" w:eastAsia="en-US"/>
        </w:rPr>
        <w:t xml:space="preserve">idence and incorporation of the multiple human rights issues engaged </w:t>
      </w:r>
      <w:r w:rsidR="007D248A" w:rsidRPr="00904DAE">
        <w:rPr>
          <w:rFonts w:ascii="Calibri" w:eastAsiaTheme="minorHAnsi" w:hAnsi="Calibri" w:cs="Calibri"/>
          <w:color w:val="000000"/>
          <w:lang w:val="en-US" w:eastAsia="en-US"/>
        </w:rPr>
        <w:lastRenderedPageBreak/>
        <w:t xml:space="preserve">in </w:t>
      </w:r>
      <w:r w:rsidR="005116E0" w:rsidRPr="00904DAE">
        <w:rPr>
          <w:rFonts w:ascii="Calibri" w:eastAsiaTheme="minorHAnsi" w:hAnsi="Calibri" w:cs="Calibri"/>
          <w:color w:val="000000"/>
          <w:lang w:val="en-US" w:eastAsia="en-US"/>
        </w:rPr>
        <w:t xml:space="preserve">access to abortion services are available in the </w:t>
      </w:r>
      <w:r w:rsidR="00242659" w:rsidRPr="00904DAE">
        <w:rPr>
          <w:rFonts w:ascii="Calibri" w:eastAsiaTheme="minorHAnsi" w:hAnsi="Calibri" w:cs="Calibri"/>
          <w:color w:val="000000"/>
          <w:lang w:val="en-US" w:eastAsia="en-US"/>
        </w:rPr>
        <w:t>law and policy Evidence-to-</w:t>
      </w:r>
      <w:r w:rsidR="001C5A19" w:rsidRPr="00904DAE">
        <w:rPr>
          <w:rFonts w:ascii="Calibri" w:eastAsiaTheme="minorHAnsi" w:hAnsi="Calibri" w:cs="Calibri"/>
          <w:color w:val="000000"/>
          <w:lang w:val="en-US" w:eastAsia="en-US"/>
        </w:rPr>
        <w:t>Decision tables</w:t>
      </w:r>
      <w:r w:rsidR="00C60359" w:rsidRPr="00904DAE">
        <w:rPr>
          <w:rFonts w:ascii="Calibri" w:eastAsiaTheme="minorHAnsi" w:hAnsi="Calibri" w:cs="Calibri"/>
          <w:color w:val="000000"/>
          <w:lang w:val="en-US" w:eastAsia="en-US"/>
        </w:rPr>
        <w:t xml:space="preserve"> </w:t>
      </w:r>
      <w:r w:rsidR="001C5A19" w:rsidRPr="00904DAE">
        <w:rPr>
          <w:rFonts w:ascii="Calibri" w:eastAsiaTheme="minorHAnsi" w:hAnsi="Calibri" w:cs="Calibri"/>
          <w:color w:val="000000"/>
          <w:lang w:val="en-US" w:eastAsia="en-US"/>
        </w:rPr>
        <w:t>in the background materials to the Abortion Care Guideline</w:t>
      </w:r>
      <w:r w:rsidR="00D81941" w:rsidRPr="00904DAE">
        <w:rPr>
          <w:rFonts w:ascii="Calibri" w:eastAsiaTheme="minorHAnsi" w:hAnsi="Calibri" w:cs="Calibri"/>
          <w:color w:val="000000"/>
          <w:lang w:val="en-US" w:eastAsia="en-US"/>
        </w:rPr>
        <w:t xml:space="preserve"> and Annex A: Key Human Rights Standards on Abortion</w:t>
      </w:r>
      <w:r>
        <w:t>.</w:t>
      </w:r>
      <w:r w:rsidR="001C5A19">
        <w:rPr>
          <w:rStyle w:val="FootnoteReference"/>
        </w:rPr>
        <w:footnoteReference w:id="25"/>
      </w:r>
      <w:r w:rsidR="003C3F8E" w:rsidRPr="003C3F8E">
        <w:rPr>
          <w:vertAlign w:val="superscript"/>
        </w:rPr>
        <w:t>,</w:t>
      </w:r>
      <w:r w:rsidR="00B133FF">
        <w:rPr>
          <w:rStyle w:val="FootnoteReference"/>
        </w:rPr>
        <w:footnoteReference w:id="26"/>
      </w:r>
    </w:p>
    <w:p w14:paraId="375936AC" w14:textId="2A7F9E2C" w:rsidR="002D2AB5" w:rsidRPr="00136D40" w:rsidRDefault="00136D40" w:rsidP="002D2AB5">
      <w:pPr>
        <w:pStyle w:val="SpeechTemplate1"/>
        <w:numPr>
          <w:ilvl w:val="1"/>
          <w:numId w:val="38"/>
        </w:numPr>
        <w:spacing w:after="120"/>
        <w:jc w:val="both"/>
        <w:rPr>
          <w:rFonts w:cstheme="minorHAnsi"/>
          <w:sz w:val="24"/>
          <w:szCs w:val="24"/>
        </w:rPr>
      </w:pPr>
      <w:r>
        <w:rPr>
          <w:rFonts w:cstheme="minorHAnsi"/>
          <w:sz w:val="24"/>
          <w:szCs w:val="24"/>
        </w:rPr>
        <w:t xml:space="preserve">Migrant </w:t>
      </w:r>
      <w:r w:rsidR="00336590">
        <w:rPr>
          <w:rFonts w:cstheme="minorHAnsi"/>
          <w:sz w:val="24"/>
          <w:szCs w:val="24"/>
        </w:rPr>
        <w:t>Health</w:t>
      </w:r>
      <w:r w:rsidR="003E0886">
        <w:rPr>
          <w:rFonts w:cstheme="minorHAnsi"/>
          <w:sz w:val="24"/>
          <w:szCs w:val="24"/>
        </w:rPr>
        <w:t xml:space="preserve"> </w:t>
      </w:r>
      <w:r w:rsidR="004C75BA">
        <w:rPr>
          <w:rFonts w:cstheme="minorHAnsi"/>
          <w:sz w:val="24"/>
          <w:szCs w:val="24"/>
        </w:rPr>
        <w:t>Programme</w:t>
      </w:r>
    </w:p>
    <w:p w14:paraId="413BD6B1" w14:textId="44A92C39" w:rsidR="00422F88" w:rsidRDefault="002D2AB5" w:rsidP="00803B66">
      <w:pPr>
        <w:pStyle w:val="NormalWeb"/>
        <w:tabs>
          <w:tab w:val="left" w:pos="567"/>
        </w:tabs>
        <w:jc w:val="both"/>
        <w:rPr>
          <w:rFonts w:ascii="Calibri" w:eastAsia="Times New Roman" w:hAnsi="Calibri" w:cs="Calibri"/>
          <w:color w:val="000000"/>
          <w:lang w:eastAsia="en-GB"/>
        </w:rPr>
      </w:pPr>
      <w:r>
        <w:rPr>
          <w:rFonts w:ascii="Calibri" w:eastAsia="Times New Roman" w:hAnsi="Calibri" w:cs="Calibri"/>
          <w:color w:val="000000"/>
          <w:lang w:val="en-GB" w:eastAsia="en-GB"/>
        </w:rPr>
        <w:t>12.</w:t>
      </w:r>
      <w:r>
        <w:rPr>
          <w:rFonts w:ascii="Calibri" w:eastAsia="Times New Roman" w:hAnsi="Calibri" w:cs="Calibri"/>
          <w:color w:val="000000"/>
          <w:lang w:val="en-GB" w:eastAsia="en-GB"/>
        </w:rPr>
        <w:tab/>
      </w:r>
      <w:r w:rsidR="00D34F07" w:rsidRPr="00904DAE">
        <w:rPr>
          <w:rFonts w:ascii="Calibri" w:eastAsiaTheme="minorHAnsi" w:hAnsi="Calibri" w:cs="Calibri"/>
          <w:color w:val="000000"/>
          <w:sz w:val="22"/>
          <w:szCs w:val="22"/>
          <w:lang w:eastAsia="en-US"/>
        </w:rPr>
        <w:t>Racial and ethnic m</w:t>
      </w:r>
      <w:r w:rsidR="000918FE" w:rsidRPr="00904DAE">
        <w:rPr>
          <w:rFonts w:ascii="Calibri" w:eastAsiaTheme="minorHAnsi" w:hAnsi="Calibri" w:cs="Calibri"/>
          <w:color w:val="000000"/>
          <w:sz w:val="22"/>
          <w:szCs w:val="22"/>
          <w:lang w:eastAsia="en-US"/>
        </w:rPr>
        <w:t xml:space="preserve">inorities may be particularly </w:t>
      </w:r>
      <w:r w:rsidR="001A1A12" w:rsidRPr="00904DAE">
        <w:rPr>
          <w:rFonts w:ascii="Calibri" w:eastAsiaTheme="minorHAnsi" w:hAnsi="Calibri" w:cs="Calibri"/>
          <w:color w:val="000000"/>
          <w:sz w:val="22"/>
          <w:szCs w:val="22"/>
          <w:lang w:eastAsia="en-US"/>
        </w:rPr>
        <w:t>vulnerable</w:t>
      </w:r>
      <w:r w:rsidR="000918FE" w:rsidRPr="00904DAE">
        <w:rPr>
          <w:rFonts w:ascii="Calibri" w:eastAsiaTheme="minorHAnsi" w:hAnsi="Calibri" w:cs="Calibri"/>
          <w:color w:val="000000"/>
          <w:sz w:val="22"/>
          <w:szCs w:val="22"/>
          <w:lang w:eastAsia="en-US"/>
        </w:rPr>
        <w:t xml:space="preserve"> to being forcibly displaced within their country or forced to migrate</w:t>
      </w:r>
      <w:r w:rsidR="00F91780" w:rsidRPr="00904DAE">
        <w:rPr>
          <w:rFonts w:ascii="Calibri" w:eastAsiaTheme="minorHAnsi" w:hAnsi="Calibri" w:cs="Calibri"/>
          <w:color w:val="000000"/>
          <w:sz w:val="22"/>
          <w:szCs w:val="22"/>
          <w:lang w:eastAsia="en-US"/>
        </w:rPr>
        <w:t>,</w:t>
      </w:r>
      <w:r w:rsidR="000918FE" w:rsidRPr="00904DAE">
        <w:rPr>
          <w:rFonts w:ascii="Calibri" w:eastAsiaTheme="minorHAnsi" w:hAnsi="Calibri" w:cs="Calibri"/>
          <w:color w:val="000000"/>
          <w:sz w:val="22"/>
          <w:szCs w:val="22"/>
          <w:lang w:eastAsia="en-US"/>
        </w:rPr>
        <w:t xml:space="preserve"> both of which make them vulnerable to becoming stateless. </w:t>
      </w:r>
      <w:r w:rsidR="00EC76F6" w:rsidRPr="00904DAE">
        <w:rPr>
          <w:rFonts w:ascii="Calibri" w:eastAsiaTheme="minorHAnsi" w:hAnsi="Calibri" w:cs="Calibri"/>
          <w:color w:val="000000"/>
          <w:sz w:val="22"/>
          <w:szCs w:val="22"/>
          <w:lang w:eastAsia="en-US"/>
        </w:rPr>
        <w:t>Equality and non-</w:t>
      </w:r>
      <w:r w:rsidR="005A584B" w:rsidRPr="00904DAE">
        <w:rPr>
          <w:rFonts w:ascii="Calibri" w:eastAsiaTheme="minorHAnsi" w:hAnsi="Calibri" w:cs="Calibri"/>
          <w:color w:val="000000"/>
          <w:sz w:val="22"/>
          <w:szCs w:val="22"/>
          <w:lang w:eastAsia="en-US"/>
        </w:rPr>
        <w:t xml:space="preserve">discrimination in the right to health </w:t>
      </w:r>
      <w:r w:rsidR="00EC76F6" w:rsidRPr="00904DAE">
        <w:rPr>
          <w:rFonts w:ascii="Calibri" w:eastAsiaTheme="minorHAnsi" w:hAnsi="Calibri" w:cs="Calibri"/>
          <w:color w:val="000000"/>
          <w:sz w:val="22"/>
          <w:szCs w:val="22"/>
          <w:lang w:eastAsia="en-US"/>
        </w:rPr>
        <w:t xml:space="preserve">includes </w:t>
      </w:r>
      <w:r w:rsidR="009D0764" w:rsidRPr="00904DAE">
        <w:rPr>
          <w:rFonts w:ascii="Calibri" w:eastAsiaTheme="minorHAnsi" w:hAnsi="Calibri" w:cs="Calibri"/>
          <w:color w:val="000000"/>
          <w:sz w:val="22"/>
          <w:szCs w:val="22"/>
          <w:lang w:eastAsia="en-US"/>
        </w:rPr>
        <w:t xml:space="preserve">prohibiting </w:t>
      </w:r>
      <w:r w:rsidR="005A584B" w:rsidRPr="00904DAE">
        <w:rPr>
          <w:rFonts w:ascii="Calibri" w:eastAsiaTheme="minorHAnsi" w:hAnsi="Calibri" w:cs="Calibri"/>
          <w:color w:val="000000"/>
          <w:sz w:val="22"/>
          <w:szCs w:val="22"/>
          <w:lang w:eastAsia="en-US"/>
        </w:rPr>
        <w:t>discrimination based on health, rac</w:t>
      </w:r>
      <w:r w:rsidR="00872912" w:rsidRPr="00904DAE">
        <w:rPr>
          <w:rFonts w:ascii="Calibri" w:eastAsiaTheme="minorHAnsi" w:hAnsi="Calibri" w:cs="Calibri"/>
          <w:color w:val="000000"/>
          <w:sz w:val="22"/>
          <w:szCs w:val="22"/>
          <w:lang w:eastAsia="en-US"/>
        </w:rPr>
        <w:t xml:space="preserve">ial </w:t>
      </w:r>
      <w:r w:rsidR="00D34F07" w:rsidRPr="00904DAE">
        <w:rPr>
          <w:rFonts w:ascii="Calibri" w:eastAsiaTheme="minorHAnsi" w:hAnsi="Calibri" w:cs="Calibri"/>
          <w:color w:val="000000"/>
          <w:sz w:val="22"/>
          <w:szCs w:val="22"/>
          <w:lang w:eastAsia="en-US"/>
        </w:rPr>
        <w:t xml:space="preserve">or ethnic </w:t>
      </w:r>
      <w:r w:rsidR="00872912" w:rsidRPr="00904DAE">
        <w:rPr>
          <w:rFonts w:ascii="Calibri" w:eastAsiaTheme="minorHAnsi" w:hAnsi="Calibri" w:cs="Calibri"/>
          <w:color w:val="000000"/>
          <w:sz w:val="22"/>
          <w:szCs w:val="22"/>
          <w:lang w:eastAsia="en-US"/>
        </w:rPr>
        <w:t>identity</w:t>
      </w:r>
      <w:r w:rsidR="005A584B" w:rsidRPr="00904DAE">
        <w:rPr>
          <w:rFonts w:ascii="Calibri" w:eastAsiaTheme="minorHAnsi" w:hAnsi="Calibri" w:cs="Calibri"/>
          <w:color w:val="000000"/>
          <w:sz w:val="22"/>
          <w:szCs w:val="22"/>
          <w:lang w:eastAsia="en-US"/>
        </w:rPr>
        <w:t xml:space="preserve"> or legal status.</w:t>
      </w:r>
      <w:r w:rsidR="000918FE" w:rsidRPr="00904DAE">
        <w:rPr>
          <w:rFonts w:ascii="Calibri" w:eastAsiaTheme="minorHAnsi" w:hAnsi="Calibri" w:cs="Calibri"/>
          <w:color w:val="000000"/>
          <w:sz w:val="22"/>
          <w:szCs w:val="22"/>
          <w:lang w:eastAsia="en-US"/>
        </w:rPr>
        <w:t xml:space="preserve"> </w:t>
      </w:r>
      <w:r w:rsidR="005A584B" w:rsidRPr="00904DAE">
        <w:rPr>
          <w:rFonts w:ascii="Calibri" w:eastAsiaTheme="minorHAnsi" w:hAnsi="Calibri" w:cs="Calibri"/>
          <w:color w:val="000000"/>
          <w:sz w:val="22"/>
          <w:szCs w:val="22"/>
          <w:lang w:eastAsia="en-US"/>
        </w:rPr>
        <w:t>However, discriminatory policies based on rac</w:t>
      </w:r>
      <w:r w:rsidR="00BB747D" w:rsidRPr="00904DAE">
        <w:rPr>
          <w:rFonts w:ascii="Calibri" w:eastAsiaTheme="minorHAnsi" w:hAnsi="Calibri" w:cs="Calibri"/>
          <w:color w:val="000000"/>
          <w:sz w:val="22"/>
          <w:szCs w:val="22"/>
          <w:lang w:eastAsia="en-US"/>
        </w:rPr>
        <w:t>ial</w:t>
      </w:r>
      <w:r w:rsidR="005A584B" w:rsidRPr="00904DAE">
        <w:rPr>
          <w:rFonts w:ascii="Calibri" w:eastAsiaTheme="minorHAnsi" w:hAnsi="Calibri" w:cs="Calibri"/>
          <w:color w:val="000000"/>
          <w:sz w:val="22"/>
          <w:szCs w:val="22"/>
          <w:lang w:eastAsia="en-US"/>
        </w:rPr>
        <w:t xml:space="preserve"> or migrant status often result in exclusion from health care services and health systems more broadly</w:t>
      </w:r>
      <w:r w:rsidR="00FC0556">
        <w:rPr>
          <w:rFonts w:ascii="Calibri" w:eastAsia="Times New Roman" w:hAnsi="Calibri" w:cs="Calibri"/>
          <w:color w:val="000000"/>
          <w:lang w:eastAsia="en-GB"/>
        </w:rPr>
        <w:t>.</w:t>
      </w:r>
      <w:r w:rsidR="005A584B" w:rsidRPr="00FC0556">
        <w:rPr>
          <w:rFonts w:ascii="Calibri" w:eastAsia="Times New Roman" w:hAnsi="Calibri" w:cs="Calibri"/>
          <w:color w:val="000000"/>
          <w:vertAlign w:val="superscript"/>
          <w:lang w:eastAsia="en-GB"/>
        </w:rPr>
        <w:footnoteReference w:id="27"/>
      </w:r>
      <w:r w:rsidR="005A584B" w:rsidRPr="009D0764">
        <w:rPr>
          <w:rFonts w:ascii="Calibri" w:eastAsia="Times New Roman" w:hAnsi="Calibri" w:cs="Calibri"/>
          <w:color w:val="000000"/>
          <w:lang w:eastAsia="en-GB"/>
        </w:rPr>
        <w:t xml:space="preserve"> </w:t>
      </w:r>
    </w:p>
    <w:p w14:paraId="61EC4B4E" w14:textId="77777777" w:rsidR="00EE040D" w:rsidRPr="00422F88" w:rsidRDefault="00EE040D" w:rsidP="002D2AB5">
      <w:pPr>
        <w:pStyle w:val="NormalWeb"/>
        <w:jc w:val="both"/>
      </w:pPr>
    </w:p>
    <w:p w14:paraId="4C40CFC3" w14:textId="41A814A5" w:rsidR="005A584B" w:rsidRPr="00B34807" w:rsidRDefault="005A584B" w:rsidP="00DA30C2">
      <w:pPr>
        <w:pStyle w:val="ListParagraph"/>
        <w:numPr>
          <w:ilvl w:val="0"/>
          <w:numId w:val="1"/>
        </w:numPr>
        <w:spacing w:after="120"/>
        <w:ind w:left="0" w:firstLine="0"/>
        <w:contextualSpacing w:val="0"/>
        <w:jc w:val="both"/>
      </w:pPr>
      <w:r w:rsidRPr="00904DAE">
        <w:rPr>
          <w:rFonts w:ascii="Calibri" w:eastAsiaTheme="minorHAnsi" w:hAnsi="Calibri" w:cs="Calibri"/>
          <w:color w:val="000000"/>
          <w:lang w:val="en-US" w:eastAsia="en-US"/>
        </w:rPr>
        <w:t>Migrant</w:t>
      </w:r>
      <w:r w:rsidR="00FF230A" w:rsidRPr="00904DAE">
        <w:rPr>
          <w:rFonts w:ascii="Calibri" w:eastAsiaTheme="minorHAnsi" w:hAnsi="Calibri" w:cs="Calibri"/>
          <w:color w:val="000000"/>
          <w:lang w:val="en-US" w:eastAsia="en-US"/>
        </w:rPr>
        <w:t xml:space="preserve"> or refugee</w:t>
      </w:r>
      <w:r w:rsidRPr="00904DAE">
        <w:rPr>
          <w:rFonts w:ascii="Calibri" w:eastAsiaTheme="minorHAnsi" w:hAnsi="Calibri" w:cs="Calibri"/>
          <w:color w:val="000000"/>
          <w:lang w:val="en-US" w:eastAsia="en-US"/>
        </w:rPr>
        <w:t xml:space="preserve"> status is often as a barrier to accessing healthcare, with migrant groups (especially those in transit/without formal status) unable to access health care, or only able to access emergency healthcare.</w:t>
      </w:r>
      <w:r w:rsidR="00DA30C2" w:rsidRPr="00904DAE">
        <w:rPr>
          <w:rFonts w:ascii="Calibri" w:eastAsiaTheme="minorHAnsi" w:hAnsi="Calibri" w:cs="Calibri"/>
          <w:color w:val="000000"/>
          <w:lang w:val="en-US" w:eastAsia="en-US"/>
        </w:rPr>
        <w:t xml:space="preserve"> </w:t>
      </w:r>
      <w:r w:rsidRPr="00904DAE">
        <w:rPr>
          <w:rFonts w:ascii="Calibri" w:eastAsiaTheme="minorHAnsi" w:hAnsi="Calibri" w:cs="Calibri"/>
          <w:color w:val="000000"/>
          <w:lang w:val="en-US" w:eastAsia="en-US"/>
        </w:rPr>
        <w:t>The COVID-19 pandemic exacerbated the already dire working, living and transiting conditions, conditions that are primarily rooted in structural, political, social, and economic determinants, contributing to a negative effect on migrant physical and emotional well-being</w:t>
      </w:r>
      <w:r w:rsidR="00A85F8F" w:rsidRPr="00DA30C2">
        <w:rPr>
          <w:sz w:val="24"/>
          <w:szCs w:val="24"/>
        </w:rPr>
        <w:t>.</w:t>
      </w:r>
      <w:r w:rsidRPr="00A85F8F">
        <w:rPr>
          <w:sz w:val="24"/>
          <w:szCs w:val="24"/>
          <w:vertAlign w:val="superscript"/>
        </w:rPr>
        <w:footnoteReference w:id="28"/>
      </w:r>
    </w:p>
    <w:p w14:paraId="6344E3BA" w14:textId="7B6C1D12" w:rsidR="00152B97" w:rsidRDefault="005A584B" w:rsidP="605225D2">
      <w:pPr>
        <w:pStyle w:val="ListParagraph"/>
        <w:numPr>
          <w:ilvl w:val="0"/>
          <w:numId w:val="1"/>
        </w:numPr>
        <w:spacing w:after="120"/>
        <w:ind w:left="0" w:firstLine="0"/>
        <w:jc w:val="both"/>
        <w:rPr>
          <w:sz w:val="24"/>
          <w:szCs w:val="24"/>
        </w:rPr>
      </w:pPr>
      <w:r w:rsidRPr="00904DAE">
        <w:rPr>
          <w:rFonts w:ascii="Calibri" w:eastAsiaTheme="minorHAnsi" w:hAnsi="Calibri" w:cs="Calibri"/>
          <w:color w:val="000000"/>
          <w:lang w:val="en-US" w:eastAsia="en-US"/>
        </w:rPr>
        <w:t xml:space="preserve">Direct or indirect forms of discrimination of migrant populations </w:t>
      </w:r>
      <w:r w:rsidR="00AE40B8" w:rsidRPr="00904DAE">
        <w:rPr>
          <w:rFonts w:ascii="Calibri" w:eastAsiaTheme="minorHAnsi" w:hAnsi="Calibri" w:cs="Calibri"/>
          <w:color w:val="000000"/>
          <w:lang w:val="en-US" w:eastAsia="en-US"/>
        </w:rPr>
        <w:t>influence</w:t>
      </w:r>
      <w:r w:rsidRPr="00904DAE">
        <w:rPr>
          <w:rFonts w:ascii="Calibri" w:eastAsiaTheme="minorHAnsi" w:hAnsi="Calibri" w:cs="Calibri"/>
          <w:color w:val="000000"/>
          <w:lang w:val="en-US" w:eastAsia="en-US"/>
        </w:rPr>
        <w:t xml:space="preserve"> migrants’ ability to enjoy the highest attainable standard of health and well-being. With global reports of increased discrimination of people on the move during COVID-19, the WHO’s AparTogether survey (2020) also demonstrated that, on average participants perceived the same degree, or deterioration, in discrimination during the pandemic</w:t>
      </w:r>
      <w:r w:rsidRPr="00075B82">
        <w:rPr>
          <w:sz w:val="24"/>
          <w:szCs w:val="24"/>
        </w:rPr>
        <w:t>.</w:t>
      </w:r>
      <w:r w:rsidRPr="00E26650">
        <w:rPr>
          <w:sz w:val="24"/>
          <w:szCs w:val="24"/>
          <w:vertAlign w:val="superscript"/>
        </w:rPr>
        <w:footnoteReference w:id="29"/>
      </w:r>
      <w:r w:rsidRPr="00075B82">
        <w:rPr>
          <w:sz w:val="24"/>
          <w:szCs w:val="24"/>
        </w:rPr>
        <w:t xml:space="preserve"> </w:t>
      </w:r>
    </w:p>
    <w:p w14:paraId="5C318D1E" w14:textId="2115F748" w:rsidR="005A584B" w:rsidRPr="00016EB9" w:rsidRDefault="005A584B" w:rsidP="605225D2">
      <w:pPr>
        <w:pStyle w:val="ListParagraph"/>
        <w:numPr>
          <w:ilvl w:val="0"/>
          <w:numId w:val="1"/>
        </w:numPr>
        <w:spacing w:after="120"/>
        <w:ind w:left="0" w:firstLine="0"/>
        <w:jc w:val="both"/>
        <w:rPr>
          <w:sz w:val="24"/>
          <w:szCs w:val="24"/>
        </w:rPr>
      </w:pPr>
      <w:r w:rsidRPr="00904DAE">
        <w:rPr>
          <w:rFonts w:ascii="Calibri" w:eastAsiaTheme="minorHAnsi" w:hAnsi="Calibri" w:cs="Calibri"/>
          <w:color w:val="000000"/>
          <w:lang w:val="en-US" w:eastAsia="en-US"/>
        </w:rPr>
        <w:t xml:space="preserve">Racism and xenophobia are important components in the discrimination against migrants, refugees and ethnic minorities. National policies and programmes need to be planned and implemented with due regard for the </w:t>
      </w:r>
      <w:r w:rsidR="0079278D" w:rsidRPr="00904DAE">
        <w:rPr>
          <w:rFonts w:ascii="Calibri" w:eastAsiaTheme="minorHAnsi" w:hAnsi="Calibri" w:cs="Calibri"/>
          <w:color w:val="000000"/>
          <w:lang w:val="en-US" w:eastAsia="en-US"/>
        </w:rPr>
        <w:t>human</w:t>
      </w:r>
      <w:r w:rsidRPr="00904DAE">
        <w:rPr>
          <w:rFonts w:ascii="Calibri" w:eastAsiaTheme="minorHAnsi" w:hAnsi="Calibri" w:cs="Calibri"/>
          <w:color w:val="000000"/>
          <w:lang w:val="en-US" w:eastAsia="en-US"/>
        </w:rPr>
        <w:t xml:space="preserve"> </w:t>
      </w:r>
      <w:r w:rsidR="001E4F9D" w:rsidRPr="00904DAE">
        <w:rPr>
          <w:rFonts w:ascii="Calibri" w:eastAsiaTheme="minorHAnsi" w:hAnsi="Calibri" w:cs="Calibri"/>
          <w:color w:val="000000"/>
          <w:lang w:val="en-US" w:eastAsia="en-US"/>
        </w:rPr>
        <w:t>rights</w:t>
      </w:r>
      <w:r w:rsidRPr="00904DAE">
        <w:rPr>
          <w:rFonts w:ascii="Calibri" w:eastAsiaTheme="minorHAnsi" w:hAnsi="Calibri" w:cs="Calibri"/>
          <w:color w:val="000000"/>
          <w:lang w:val="en-US" w:eastAsia="en-US"/>
        </w:rPr>
        <w:t xml:space="preserve"> of persons belonging to </w:t>
      </w:r>
      <w:r w:rsidR="00823C33" w:rsidRPr="00904DAE">
        <w:rPr>
          <w:rFonts w:ascii="Calibri" w:eastAsiaTheme="minorHAnsi" w:hAnsi="Calibri" w:cs="Calibri"/>
          <w:color w:val="000000"/>
          <w:lang w:val="en-US" w:eastAsia="en-US"/>
        </w:rPr>
        <w:t xml:space="preserve">ethnic and racial </w:t>
      </w:r>
      <w:r w:rsidRPr="00904DAE">
        <w:rPr>
          <w:rFonts w:ascii="Calibri" w:eastAsiaTheme="minorHAnsi" w:hAnsi="Calibri" w:cs="Calibri"/>
          <w:color w:val="000000"/>
          <w:lang w:val="en-US" w:eastAsia="en-US"/>
        </w:rPr>
        <w:t xml:space="preserve">minorities </w:t>
      </w:r>
      <w:r w:rsidR="00823C33" w:rsidRPr="00904DAE">
        <w:rPr>
          <w:rFonts w:ascii="Calibri" w:eastAsiaTheme="minorHAnsi" w:hAnsi="Calibri" w:cs="Calibri"/>
          <w:color w:val="000000"/>
          <w:lang w:val="en-US" w:eastAsia="en-US"/>
        </w:rPr>
        <w:t>using an</w:t>
      </w:r>
      <w:r w:rsidRPr="00904DAE">
        <w:rPr>
          <w:rFonts w:ascii="Calibri" w:eastAsiaTheme="minorHAnsi" w:hAnsi="Calibri" w:cs="Calibri"/>
          <w:color w:val="000000"/>
          <w:lang w:val="en-US" w:eastAsia="en-US"/>
        </w:rPr>
        <w:t xml:space="preserve"> intersectoral </w:t>
      </w:r>
      <w:r w:rsidR="00823C33" w:rsidRPr="00904DAE">
        <w:rPr>
          <w:rFonts w:ascii="Calibri" w:eastAsiaTheme="minorHAnsi" w:hAnsi="Calibri" w:cs="Calibri"/>
          <w:color w:val="000000"/>
          <w:lang w:val="en-US" w:eastAsia="en-US"/>
        </w:rPr>
        <w:t>approach</w:t>
      </w:r>
      <w:r w:rsidR="00A22428" w:rsidRPr="00904DAE">
        <w:rPr>
          <w:rFonts w:ascii="Calibri" w:eastAsiaTheme="minorHAnsi" w:hAnsi="Calibri" w:cs="Calibri"/>
          <w:color w:val="000000"/>
          <w:lang w:val="en-US" w:eastAsia="en-US"/>
        </w:rPr>
        <w:t xml:space="preserve"> to addressing</w:t>
      </w:r>
      <w:r w:rsidRPr="00904DAE">
        <w:rPr>
          <w:rFonts w:ascii="Calibri" w:eastAsiaTheme="minorHAnsi" w:hAnsi="Calibri" w:cs="Calibri"/>
          <w:color w:val="000000"/>
          <w:lang w:val="en-US" w:eastAsia="en-US"/>
        </w:rPr>
        <w:t xml:space="preserve"> marginalized communities</w:t>
      </w:r>
      <w:r w:rsidR="00A22428" w:rsidRPr="00904DAE">
        <w:rPr>
          <w:rFonts w:ascii="Calibri" w:eastAsiaTheme="minorHAnsi" w:hAnsi="Calibri" w:cs="Calibri"/>
          <w:color w:val="000000"/>
          <w:lang w:val="en-US" w:eastAsia="en-US"/>
        </w:rPr>
        <w:t xml:space="preserve">, as </w:t>
      </w:r>
      <w:r w:rsidR="00826B60" w:rsidRPr="00904DAE">
        <w:rPr>
          <w:rFonts w:ascii="Calibri" w:eastAsiaTheme="minorHAnsi" w:hAnsi="Calibri" w:cs="Calibri"/>
          <w:color w:val="000000"/>
          <w:lang w:val="en-US" w:eastAsia="en-US"/>
        </w:rPr>
        <w:t>emphasized in the</w:t>
      </w:r>
      <w:r w:rsidR="00A22428" w:rsidRPr="00904DAE">
        <w:rPr>
          <w:rFonts w:ascii="Calibri" w:eastAsiaTheme="minorHAnsi" w:hAnsi="Calibri" w:cs="Calibri"/>
          <w:color w:val="000000"/>
          <w:lang w:val="en-US" w:eastAsia="en-US"/>
        </w:rPr>
        <w:t xml:space="preserve"> research and findings of the recently released Global Report on </w:t>
      </w:r>
      <w:r w:rsidR="00826B60" w:rsidRPr="00904DAE">
        <w:rPr>
          <w:rFonts w:ascii="Calibri" w:eastAsiaTheme="minorHAnsi" w:hAnsi="Calibri" w:cs="Calibri"/>
          <w:color w:val="000000"/>
          <w:lang w:val="en-US" w:eastAsia="en-US"/>
        </w:rPr>
        <w:t>Migration and Health</w:t>
      </w:r>
      <w:r w:rsidRPr="00904DAE">
        <w:rPr>
          <w:rFonts w:ascii="Calibri" w:eastAsiaTheme="minorHAnsi" w:hAnsi="Calibri" w:cs="Calibri"/>
          <w:color w:val="000000"/>
          <w:lang w:val="en-US" w:eastAsia="en-US"/>
        </w:rPr>
        <w:t xml:space="preserve"> in order to reduce health inequalities in the light of international human rights obligations</w:t>
      </w:r>
      <w:r w:rsidR="00B5399F" w:rsidRPr="00904DAE">
        <w:rPr>
          <w:rFonts w:ascii="Calibri" w:eastAsiaTheme="minorHAnsi" w:hAnsi="Calibri" w:cs="Calibri"/>
          <w:color w:val="000000"/>
          <w:lang w:val="en-US" w:eastAsia="en-US"/>
        </w:rPr>
        <w:t>, for</w:t>
      </w:r>
      <w:r w:rsidRPr="00904DAE">
        <w:rPr>
          <w:rFonts w:ascii="Calibri" w:eastAsiaTheme="minorHAnsi" w:hAnsi="Calibri" w:cs="Calibri"/>
          <w:color w:val="000000"/>
          <w:lang w:val="en-US" w:eastAsia="en-US"/>
        </w:rPr>
        <w:t xml:space="preserve"> which </w:t>
      </w:r>
      <w:r w:rsidR="00F833B8" w:rsidRPr="00904DAE">
        <w:rPr>
          <w:rFonts w:ascii="Calibri" w:eastAsiaTheme="minorHAnsi" w:hAnsi="Calibri" w:cs="Calibri"/>
          <w:color w:val="000000"/>
          <w:lang w:val="en-US" w:eastAsia="en-US"/>
        </w:rPr>
        <w:t>governments are</w:t>
      </w:r>
      <w:r w:rsidRPr="00904DAE">
        <w:rPr>
          <w:rFonts w:ascii="Calibri" w:eastAsiaTheme="minorHAnsi" w:hAnsi="Calibri" w:cs="Calibri"/>
          <w:color w:val="000000"/>
          <w:lang w:val="en-US" w:eastAsia="en-US"/>
        </w:rPr>
        <w:t xml:space="preserve"> </w:t>
      </w:r>
      <w:r w:rsidR="00B5399F" w:rsidRPr="00904DAE">
        <w:rPr>
          <w:rFonts w:ascii="Calibri" w:eastAsiaTheme="minorHAnsi" w:hAnsi="Calibri" w:cs="Calibri"/>
          <w:color w:val="000000"/>
          <w:lang w:val="en-US" w:eastAsia="en-US"/>
        </w:rPr>
        <w:t xml:space="preserve">the </w:t>
      </w:r>
      <w:r w:rsidRPr="00904DAE">
        <w:rPr>
          <w:rFonts w:ascii="Calibri" w:eastAsiaTheme="minorHAnsi" w:hAnsi="Calibri" w:cs="Calibri"/>
          <w:color w:val="000000"/>
          <w:lang w:val="en-US" w:eastAsia="en-US"/>
        </w:rPr>
        <w:t>prime duty-bearer</w:t>
      </w:r>
      <w:r w:rsidRPr="009A3299">
        <w:rPr>
          <w:sz w:val="24"/>
          <w:szCs w:val="24"/>
        </w:rPr>
        <w:t>.</w:t>
      </w:r>
      <w:r w:rsidR="001E4F9D">
        <w:rPr>
          <w:rStyle w:val="FootnoteReference"/>
          <w:sz w:val="24"/>
          <w:szCs w:val="24"/>
        </w:rPr>
        <w:footnoteReference w:id="30"/>
      </w:r>
      <w:r w:rsidRPr="009A3299">
        <w:rPr>
          <w:sz w:val="24"/>
          <w:szCs w:val="24"/>
        </w:rPr>
        <w:t xml:space="preserve"> </w:t>
      </w:r>
    </w:p>
    <w:p w14:paraId="32D28502" w14:textId="76463E64" w:rsidR="007E37E9" w:rsidRPr="00223C06" w:rsidRDefault="0061561E" w:rsidP="00223C06">
      <w:pPr>
        <w:pStyle w:val="SpeechTemplate1"/>
        <w:numPr>
          <w:ilvl w:val="1"/>
          <w:numId w:val="38"/>
        </w:numPr>
        <w:spacing w:after="120"/>
        <w:jc w:val="both"/>
        <w:rPr>
          <w:rFonts w:cstheme="minorHAnsi"/>
          <w:sz w:val="24"/>
          <w:szCs w:val="24"/>
        </w:rPr>
      </w:pPr>
      <w:r w:rsidRPr="00223C06">
        <w:rPr>
          <w:rFonts w:cstheme="minorHAnsi"/>
          <w:sz w:val="24"/>
          <w:szCs w:val="24"/>
        </w:rPr>
        <w:t xml:space="preserve">Racial and Ethnic </w:t>
      </w:r>
      <w:r w:rsidR="00324A8B" w:rsidRPr="00223C06">
        <w:rPr>
          <w:rFonts w:cstheme="minorHAnsi"/>
          <w:sz w:val="24"/>
          <w:szCs w:val="24"/>
        </w:rPr>
        <w:t>Minority health</w:t>
      </w:r>
      <w:r w:rsidR="009F3DB7" w:rsidRPr="00223C06">
        <w:rPr>
          <w:rFonts w:cstheme="minorHAnsi"/>
          <w:sz w:val="24"/>
          <w:szCs w:val="24"/>
        </w:rPr>
        <w:t xml:space="preserve"> </w:t>
      </w:r>
      <w:r w:rsidR="00016EB9" w:rsidRPr="00223C06">
        <w:rPr>
          <w:rFonts w:cstheme="minorHAnsi"/>
          <w:sz w:val="24"/>
          <w:szCs w:val="24"/>
        </w:rPr>
        <w:t xml:space="preserve">in the context of </w:t>
      </w:r>
      <w:r w:rsidR="001F0A2C">
        <w:rPr>
          <w:rFonts w:cstheme="minorHAnsi"/>
          <w:sz w:val="24"/>
          <w:szCs w:val="24"/>
        </w:rPr>
        <w:t>P</w:t>
      </w:r>
      <w:r w:rsidR="00016EB9" w:rsidRPr="00223C06">
        <w:rPr>
          <w:rFonts w:cstheme="minorHAnsi"/>
          <w:sz w:val="24"/>
          <w:szCs w:val="24"/>
        </w:rPr>
        <w:t>ersons with disabilities</w:t>
      </w:r>
    </w:p>
    <w:p w14:paraId="592FB064" w14:textId="77777777" w:rsidR="00D353DC" w:rsidRDefault="005F59DA" w:rsidP="00A54A6F">
      <w:pPr>
        <w:pStyle w:val="ListParagraph"/>
        <w:numPr>
          <w:ilvl w:val="0"/>
          <w:numId w:val="1"/>
        </w:numPr>
        <w:spacing w:after="120"/>
        <w:ind w:left="0" w:firstLine="0"/>
        <w:contextualSpacing w:val="0"/>
        <w:jc w:val="both"/>
        <w:rPr>
          <w:rStyle w:val="normaltextrun"/>
          <w:rFonts w:cstheme="minorHAnsi"/>
        </w:rPr>
      </w:pPr>
      <w:r w:rsidRPr="005B4598">
        <w:rPr>
          <w:rStyle w:val="normaltextrun"/>
          <w:rFonts w:cstheme="minorHAnsi"/>
        </w:rPr>
        <w:t xml:space="preserve">The </w:t>
      </w:r>
      <w:r w:rsidRPr="005B4598">
        <w:rPr>
          <w:rFonts w:cstheme="minorHAnsi"/>
        </w:rPr>
        <w:t xml:space="preserve">United Nations </w:t>
      </w:r>
      <w:r w:rsidRPr="00BB0157">
        <w:rPr>
          <w:rFonts w:cstheme="minorHAnsi"/>
        </w:rPr>
        <w:t>Disability</w:t>
      </w:r>
      <w:r w:rsidRPr="005B4598">
        <w:rPr>
          <w:rFonts w:cstheme="minorHAnsi"/>
        </w:rPr>
        <w:t xml:space="preserve"> Inclusion Strategy (UNDIS)</w:t>
      </w:r>
      <w:r w:rsidRPr="005B4598">
        <w:rPr>
          <w:rStyle w:val="normaltextrun"/>
          <w:rFonts w:cstheme="minorHAnsi"/>
        </w:rPr>
        <w:t xml:space="preserve"> provides a platform for the transformation of the UN system to ensure that persons with disabilities are included through all aspects of the work of the UN</w:t>
      </w:r>
      <w:r w:rsidRPr="005B4598">
        <w:rPr>
          <w:rStyle w:val="FootnoteReference"/>
          <w:rFonts w:cstheme="minorHAnsi"/>
        </w:rPr>
        <w:footnoteReference w:id="31"/>
      </w:r>
      <w:r w:rsidRPr="005B4598">
        <w:rPr>
          <w:rStyle w:val="normaltextrun"/>
          <w:rFonts w:cstheme="minorHAnsi"/>
        </w:rPr>
        <w:t xml:space="preserve">. </w:t>
      </w:r>
      <w:r w:rsidRPr="00BB0157">
        <w:t xml:space="preserve">Given the proportion of the world’s population that experience </w:t>
      </w:r>
      <w:r w:rsidRPr="00BB0157">
        <w:lastRenderedPageBreak/>
        <w:t xml:space="preserve">disability (15%), it will </w:t>
      </w:r>
      <w:r w:rsidRPr="00BB0157">
        <w:rPr>
          <w:rFonts w:cstheme="minorHAnsi"/>
        </w:rPr>
        <w:t>be important to integrate</w:t>
      </w:r>
      <w:r w:rsidRPr="00BB0157">
        <w:t xml:space="preserve"> the UNDIS progress and consider the issues experienced by persons with disabilities both</w:t>
      </w:r>
      <w:r w:rsidRPr="005B4598">
        <w:rPr>
          <w:rStyle w:val="normaltextrun"/>
          <w:rFonts w:cstheme="minorHAnsi"/>
        </w:rPr>
        <w:t xml:space="preserve"> as a distinctive cultural group, and in relation to intersectionality (persons with disabilities among other ethnic/cultural/linguistic minorities)</w:t>
      </w:r>
      <w:r>
        <w:rPr>
          <w:rStyle w:val="normaltextrun"/>
          <w:rFonts w:cstheme="minorHAnsi"/>
        </w:rPr>
        <w:t xml:space="preserve"> in the forthcoming report by</w:t>
      </w:r>
      <w:r w:rsidRPr="005B4598">
        <w:rPr>
          <w:rStyle w:val="normaltextrun"/>
          <w:rFonts w:cstheme="minorHAnsi"/>
        </w:rPr>
        <w:t xml:space="preserve"> Special Rapporteur on Minorities</w:t>
      </w:r>
      <w:r>
        <w:rPr>
          <w:rStyle w:val="normaltextrun"/>
          <w:rFonts w:cstheme="minorHAnsi"/>
        </w:rPr>
        <w:t>.</w:t>
      </w:r>
    </w:p>
    <w:p w14:paraId="6AD33B2B" w14:textId="3C7D6E53" w:rsidR="00C15F05" w:rsidRPr="00AF4398" w:rsidRDefault="00016EB9" w:rsidP="00AF4398">
      <w:pPr>
        <w:pStyle w:val="ListParagraph"/>
        <w:numPr>
          <w:ilvl w:val="0"/>
          <w:numId w:val="1"/>
        </w:numPr>
        <w:spacing w:after="120"/>
        <w:ind w:left="0" w:firstLine="0"/>
        <w:contextualSpacing w:val="0"/>
        <w:jc w:val="both"/>
        <w:rPr>
          <w:rStyle w:val="normaltextrun"/>
          <w:rFonts w:cstheme="minorHAnsi"/>
        </w:rPr>
      </w:pPr>
      <w:r w:rsidRPr="00904DAE">
        <w:rPr>
          <w:rFonts w:ascii="Calibri" w:eastAsiaTheme="minorHAnsi" w:hAnsi="Calibri" w:cs="Calibri"/>
          <w:color w:val="000000"/>
          <w:lang w:val="en-US" w:eastAsia="en-US"/>
        </w:rPr>
        <w:t xml:space="preserve">Persons with disabilities include those with long-term impairments which in </w:t>
      </w:r>
      <w:r w:rsidR="00A54A6F" w:rsidRPr="00904DAE">
        <w:rPr>
          <w:rFonts w:ascii="Calibri" w:eastAsiaTheme="minorHAnsi" w:hAnsi="Calibri" w:cs="Calibri"/>
          <w:color w:val="000000"/>
          <w:lang w:val="en-US" w:eastAsia="en-US"/>
        </w:rPr>
        <w:t>i</w:t>
      </w:r>
      <w:r w:rsidRPr="00904DAE">
        <w:rPr>
          <w:rFonts w:ascii="Calibri" w:eastAsiaTheme="minorHAnsi" w:hAnsi="Calibri" w:cs="Calibri"/>
          <w:color w:val="000000"/>
          <w:lang w:val="en-US" w:eastAsia="en-US"/>
        </w:rPr>
        <w:t>nteraction with barriers, may hinder their full and effective participation in society on an equal basis as others</w:t>
      </w:r>
      <w:r w:rsidR="009F3DB7" w:rsidRPr="005B4598">
        <w:rPr>
          <w:rStyle w:val="FootnoteReference"/>
          <w:rFonts w:cstheme="minorHAnsi"/>
          <w:sz w:val="24"/>
          <w:szCs w:val="24"/>
          <w:lang w:eastAsia="en-GB"/>
        </w:rPr>
        <w:footnoteReference w:id="32"/>
      </w:r>
      <w:r w:rsidRPr="00D353DC">
        <w:rPr>
          <w:rStyle w:val="normaltextrun"/>
          <w:rFonts w:cstheme="minorHAnsi"/>
          <w:sz w:val="24"/>
          <w:szCs w:val="24"/>
          <w:lang w:eastAsia="en-GB"/>
        </w:rPr>
        <w:t>.</w:t>
      </w:r>
      <w:r w:rsidR="009F3DB7" w:rsidRPr="00D353DC">
        <w:rPr>
          <w:rStyle w:val="normaltextrun"/>
          <w:rFonts w:eastAsia="Times New Roman" w:cstheme="minorHAnsi"/>
          <w:b/>
          <w:bCs/>
          <w:sz w:val="24"/>
          <w:szCs w:val="24"/>
          <w:vertAlign w:val="superscript"/>
        </w:rPr>
        <w:t xml:space="preserve"> </w:t>
      </w:r>
    </w:p>
    <w:p w14:paraId="2053A8DB" w14:textId="31175067" w:rsidR="00C9582B" w:rsidRPr="00553498" w:rsidRDefault="00C15F05" w:rsidP="00694E36">
      <w:pPr>
        <w:spacing w:after="160"/>
        <w:jc w:val="both"/>
        <w:rPr>
          <w:rStyle w:val="normaltextrun"/>
          <w:lang w:val="en-US"/>
        </w:rPr>
      </w:pPr>
      <w:r w:rsidRPr="005B4598">
        <w:rPr>
          <w:rStyle w:val="normaltextrun"/>
          <w:rFonts w:cstheme="minorHAnsi"/>
          <w:sz w:val="24"/>
          <w:szCs w:val="24"/>
          <w:lang w:eastAsia="en-GB"/>
        </w:rPr>
        <w:t>21.</w:t>
      </w:r>
      <w:r w:rsidRPr="005B4598">
        <w:rPr>
          <w:rStyle w:val="normaltextrun"/>
          <w:rFonts w:cstheme="minorHAnsi"/>
          <w:sz w:val="24"/>
          <w:szCs w:val="24"/>
          <w:lang w:eastAsia="en-GB"/>
        </w:rPr>
        <w:tab/>
      </w:r>
      <w:r w:rsidR="00016EB9" w:rsidRPr="00904DAE">
        <w:rPr>
          <w:rFonts w:ascii="Calibri" w:eastAsiaTheme="minorHAnsi" w:hAnsi="Calibri" w:cs="Calibri"/>
          <w:color w:val="000000"/>
          <w:lang w:val="en-US" w:eastAsia="en-US"/>
        </w:rPr>
        <w:t>Persons with disabilities who belong to national</w:t>
      </w:r>
      <w:r w:rsidR="00D31DD9" w:rsidRPr="00904DAE">
        <w:rPr>
          <w:rFonts w:ascii="Calibri" w:eastAsiaTheme="minorHAnsi" w:hAnsi="Calibri" w:cs="Calibri"/>
          <w:color w:val="000000"/>
          <w:lang w:val="en-US" w:eastAsia="en-US"/>
        </w:rPr>
        <w:t xml:space="preserve"> racial,</w:t>
      </w:r>
      <w:r w:rsidR="002F54B2" w:rsidRPr="00904DAE">
        <w:rPr>
          <w:rFonts w:ascii="Calibri" w:eastAsiaTheme="minorHAnsi" w:hAnsi="Calibri" w:cs="Calibri"/>
          <w:color w:val="000000"/>
          <w:lang w:val="en-US" w:eastAsia="en-US"/>
        </w:rPr>
        <w:t xml:space="preserve"> </w:t>
      </w:r>
      <w:r w:rsidR="00016EB9" w:rsidRPr="00904DAE">
        <w:rPr>
          <w:rFonts w:ascii="Calibri" w:eastAsiaTheme="minorHAnsi" w:hAnsi="Calibri" w:cs="Calibri"/>
          <w:color w:val="000000"/>
          <w:lang w:val="en-US" w:eastAsia="en-US"/>
        </w:rPr>
        <w:t>ethnic, religious and linguistic minorities can face multiple and compounding discrimination.  That is, they can be neglected by mainstream disability rights movement, as well as the advocacy movements of their national, ethnic, religious or linguistic group.  For example</w:t>
      </w:r>
      <w:r w:rsidR="00016EB9" w:rsidRPr="005B4598">
        <w:rPr>
          <w:rStyle w:val="normaltextrun"/>
          <w:rFonts w:cstheme="minorHAnsi"/>
          <w:sz w:val="24"/>
          <w:szCs w:val="24"/>
          <w:lang w:eastAsia="en-GB"/>
        </w:rPr>
        <w:t>,</w:t>
      </w:r>
      <w:r w:rsidR="00694E36">
        <w:rPr>
          <w:rStyle w:val="normaltextrun"/>
          <w:rFonts w:cstheme="minorHAnsi"/>
          <w:sz w:val="24"/>
          <w:szCs w:val="24"/>
          <w:lang w:eastAsia="en-GB"/>
        </w:rPr>
        <w:t xml:space="preserve"> </w:t>
      </w:r>
      <w:r w:rsidR="00016EB9" w:rsidRPr="68DCBA67">
        <w:rPr>
          <w:rStyle w:val="normaltextrun"/>
          <w:lang w:val="en-US"/>
        </w:rPr>
        <w:t>Indigenous persons with disabilities can face multiple discrimination, and often lack awareness and knowledge about disability, including lacking the knowledge about accessing social protection mechanisms that could benefit them.</w:t>
      </w:r>
      <w:r w:rsidR="00016EB9" w:rsidRPr="68DCBA67">
        <w:rPr>
          <w:rStyle w:val="FootnoteReference"/>
          <w:lang w:val="en-US"/>
        </w:rPr>
        <w:footnoteReference w:id="33"/>
      </w:r>
      <w:r w:rsidR="00016EB9" w:rsidRPr="68DCBA67">
        <w:rPr>
          <w:rStyle w:val="normaltextrun"/>
          <w:lang w:val="en-US"/>
        </w:rPr>
        <w:t xml:space="preserve">  </w:t>
      </w:r>
    </w:p>
    <w:p w14:paraId="0887F330" w14:textId="77777777" w:rsidR="008026CD" w:rsidRPr="005B4598" w:rsidRDefault="008026CD" w:rsidP="008026CD">
      <w:pPr>
        <w:pStyle w:val="paragraph"/>
        <w:tabs>
          <w:tab w:val="left" w:pos="426"/>
        </w:tabs>
        <w:spacing w:before="0" w:beforeAutospacing="0" w:after="0" w:afterAutospacing="0"/>
        <w:jc w:val="both"/>
        <w:textAlignment w:val="baseline"/>
      </w:pPr>
    </w:p>
    <w:p w14:paraId="49FE1A48" w14:textId="7C6CEABF" w:rsidR="005671F9" w:rsidRPr="005B4598" w:rsidRDefault="005671F9" w:rsidP="00D353DC">
      <w:pPr>
        <w:pStyle w:val="SpeechTemplate1"/>
        <w:numPr>
          <w:ilvl w:val="1"/>
          <w:numId w:val="38"/>
        </w:numPr>
        <w:spacing w:after="120"/>
        <w:jc w:val="both"/>
        <w:rPr>
          <w:rFonts w:eastAsia="Calibri" w:cstheme="minorHAnsi"/>
          <w:b w:val="0"/>
          <w:sz w:val="24"/>
          <w:szCs w:val="24"/>
          <w:lang w:eastAsia="en-US"/>
        </w:rPr>
      </w:pPr>
      <w:r w:rsidRPr="005B4598">
        <w:rPr>
          <w:rFonts w:cstheme="minorHAnsi"/>
          <w:sz w:val="24"/>
          <w:szCs w:val="24"/>
        </w:rPr>
        <w:t>WHO Regional Office</w:t>
      </w:r>
      <w:r w:rsidR="009511F1" w:rsidRPr="005B4598">
        <w:rPr>
          <w:rFonts w:cstheme="minorHAnsi"/>
          <w:sz w:val="24"/>
          <w:szCs w:val="24"/>
        </w:rPr>
        <w:t xml:space="preserve"> of the</w:t>
      </w:r>
      <w:r w:rsidR="00075B82" w:rsidRPr="005B4598">
        <w:rPr>
          <w:rFonts w:cstheme="minorHAnsi"/>
          <w:sz w:val="24"/>
          <w:szCs w:val="24"/>
        </w:rPr>
        <w:t xml:space="preserve"> </w:t>
      </w:r>
      <w:r w:rsidR="00506E4E" w:rsidRPr="005B4598">
        <w:rPr>
          <w:rFonts w:cstheme="minorHAnsi"/>
          <w:sz w:val="24"/>
          <w:szCs w:val="24"/>
        </w:rPr>
        <w:t>Americas</w:t>
      </w:r>
      <w:r w:rsidR="00075B82" w:rsidRPr="005B4598">
        <w:rPr>
          <w:rFonts w:cstheme="minorHAnsi"/>
          <w:sz w:val="24"/>
          <w:szCs w:val="24"/>
        </w:rPr>
        <w:t xml:space="preserve"> (</w:t>
      </w:r>
      <w:r w:rsidR="00C53E06" w:rsidRPr="005B4598">
        <w:rPr>
          <w:rFonts w:cstheme="minorHAnsi"/>
          <w:sz w:val="24"/>
          <w:szCs w:val="24"/>
        </w:rPr>
        <w:t>AMRO/Pan-American Health Organization)</w:t>
      </w:r>
    </w:p>
    <w:p w14:paraId="7D2FC815" w14:textId="10440B97" w:rsidR="00BC20DA" w:rsidRPr="005B4598" w:rsidRDefault="00D25085" w:rsidP="008A5956">
      <w:pPr>
        <w:pStyle w:val="ListParagraph"/>
        <w:numPr>
          <w:ilvl w:val="0"/>
          <w:numId w:val="29"/>
        </w:numPr>
        <w:spacing w:after="120"/>
        <w:ind w:left="0" w:firstLine="0"/>
        <w:contextualSpacing w:val="0"/>
        <w:jc w:val="both"/>
        <w:rPr>
          <w:rFonts w:eastAsia="Calibri" w:cstheme="minorHAnsi"/>
          <w:sz w:val="24"/>
          <w:szCs w:val="24"/>
          <w:lang w:eastAsia="en-US"/>
        </w:rPr>
      </w:pPr>
      <w:r w:rsidRPr="00904DAE">
        <w:rPr>
          <w:rFonts w:ascii="Calibri" w:eastAsiaTheme="minorHAnsi" w:hAnsi="Calibri" w:cs="Calibri"/>
          <w:color w:val="000000"/>
          <w:lang w:val="en-US" w:eastAsia="en-US"/>
        </w:rPr>
        <w:t xml:space="preserve">The </w:t>
      </w:r>
      <w:r w:rsidR="00A31C85" w:rsidRPr="00904DAE">
        <w:rPr>
          <w:rFonts w:ascii="Calibri" w:eastAsiaTheme="minorHAnsi" w:hAnsi="Calibri" w:cs="Calibri"/>
          <w:color w:val="000000"/>
          <w:lang w:val="en-US" w:eastAsia="en-US"/>
        </w:rPr>
        <w:t>WHO regional office for the Americas (PAHO)</w:t>
      </w:r>
      <w:r w:rsidR="002F3D7D" w:rsidRPr="00904DAE">
        <w:rPr>
          <w:rFonts w:ascii="Calibri" w:eastAsiaTheme="minorHAnsi" w:hAnsi="Calibri" w:cs="Calibri"/>
          <w:color w:val="000000"/>
          <w:lang w:val="en-US" w:eastAsia="en-US"/>
        </w:rPr>
        <w:t xml:space="preserve"> has </w:t>
      </w:r>
      <w:r w:rsidR="0084320E" w:rsidRPr="00904DAE">
        <w:rPr>
          <w:rFonts w:ascii="Calibri" w:eastAsiaTheme="minorHAnsi" w:hAnsi="Calibri" w:cs="Calibri"/>
          <w:color w:val="000000"/>
          <w:lang w:val="en-US" w:eastAsia="en-US"/>
        </w:rPr>
        <w:t>prioritize</w:t>
      </w:r>
      <w:r w:rsidR="0021286B" w:rsidRPr="00904DAE">
        <w:rPr>
          <w:rFonts w:ascii="Calibri" w:eastAsiaTheme="minorHAnsi" w:hAnsi="Calibri" w:cs="Calibri"/>
          <w:color w:val="000000"/>
          <w:lang w:val="en-US" w:eastAsia="en-US"/>
        </w:rPr>
        <w:t>d</w:t>
      </w:r>
      <w:r w:rsidR="0084320E" w:rsidRPr="00904DAE">
        <w:rPr>
          <w:rFonts w:ascii="Calibri" w:eastAsiaTheme="minorHAnsi" w:hAnsi="Calibri" w:cs="Calibri"/>
          <w:color w:val="000000"/>
          <w:lang w:val="en-US" w:eastAsia="en-US"/>
        </w:rPr>
        <w:t xml:space="preserve"> ethnicity as a cross-cutting theme</w:t>
      </w:r>
      <w:r w:rsidR="00713E6C" w:rsidRPr="00904DAE">
        <w:rPr>
          <w:rFonts w:ascii="Calibri" w:eastAsiaTheme="minorHAnsi" w:hAnsi="Calibri" w:cs="Calibri"/>
          <w:color w:val="000000"/>
          <w:lang w:val="en-US" w:eastAsia="en-US"/>
        </w:rPr>
        <w:t xml:space="preserve"> for PAHO, in addition to </w:t>
      </w:r>
      <w:r w:rsidR="00406EF4" w:rsidRPr="00904DAE">
        <w:rPr>
          <w:rFonts w:ascii="Calibri" w:eastAsiaTheme="minorHAnsi" w:hAnsi="Calibri" w:cs="Calibri"/>
          <w:color w:val="000000"/>
          <w:lang w:val="en-US" w:eastAsia="en-US"/>
        </w:rPr>
        <w:t>g</w:t>
      </w:r>
      <w:r w:rsidR="0084320E" w:rsidRPr="00904DAE">
        <w:rPr>
          <w:rFonts w:ascii="Calibri" w:eastAsiaTheme="minorHAnsi" w:hAnsi="Calibri" w:cs="Calibri"/>
          <w:color w:val="000000"/>
          <w:lang w:val="en-US" w:eastAsia="en-US"/>
        </w:rPr>
        <w:t xml:space="preserve">ender, </w:t>
      </w:r>
      <w:r w:rsidR="00406EF4" w:rsidRPr="00904DAE">
        <w:rPr>
          <w:rFonts w:ascii="Calibri" w:eastAsiaTheme="minorHAnsi" w:hAnsi="Calibri" w:cs="Calibri"/>
          <w:color w:val="000000"/>
          <w:lang w:val="en-US" w:eastAsia="en-US"/>
        </w:rPr>
        <w:t>e</w:t>
      </w:r>
      <w:r w:rsidR="0084320E" w:rsidRPr="00904DAE">
        <w:rPr>
          <w:rFonts w:ascii="Calibri" w:eastAsiaTheme="minorHAnsi" w:hAnsi="Calibri" w:cs="Calibri"/>
          <w:color w:val="000000"/>
          <w:lang w:val="en-US" w:eastAsia="en-US"/>
        </w:rPr>
        <w:t xml:space="preserve">quity and </w:t>
      </w:r>
      <w:r w:rsidR="00406EF4" w:rsidRPr="00904DAE">
        <w:rPr>
          <w:rFonts w:ascii="Calibri" w:eastAsiaTheme="minorHAnsi" w:hAnsi="Calibri" w:cs="Calibri"/>
          <w:color w:val="000000"/>
          <w:lang w:val="en-US" w:eastAsia="en-US"/>
        </w:rPr>
        <w:t>h</w:t>
      </w:r>
      <w:r w:rsidR="0084320E" w:rsidRPr="00904DAE">
        <w:rPr>
          <w:rFonts w:ascii="Calibri" w:eastAsiaTheme="minorHAnsi" w:hAnsi="Calibri" w:cs="Calibri"/>
          <w:color w:val="000000"/>
          <w:lang w:val="en-US" w:eastAsia="en-US"/>
        </w:rPr>
        <w:t xml:space="preserve">uman </w:t>
      </w:r>
      <w:r w:rsidR="00406EF4" w:rsidRPr="00904DAE">
        <w:rPr>
          <w:rFonts w:ascii="Calibri" w:eastAsiaTheme="minorHAnsi" w:hAnsi="Calibri" w:cs="Calibri"/>
          <w:color w:val="000000"/>
          <w:lang w:val="en-US" w:eastAsia="en-US"/>
        </w:rPr>
        <w:t>r</w:t>
      </w:r>
      <w:r w:rsidR="0084320E" w:rsidRPr="00904DAE">
        <w:rPr>
          <w:rFonts w:ascii="Calibri" w:eastAsiaTheme="minorHAnsi" w:hAnsi="Calibri" w:cs="Calibri"/>
          <w:color w:val="000000"/>
          <w:lang w:val="en-US" w:eastAsia="en-US"/>
        </w:rPr>
        <w:t xml:space="preserve">ights. This is reflected in different guidelines, projects and initiatives at all levels of </w:t>
      </w:r>
      <w:r w:rsidRPr="00904DAE">
        <w:rPr>
          <w:rFonts w:ascii="Calibri" w:eastAsiaTheme="minorHAnsi" w:hAnsi="Calibri" w:cs="Calibri"/>
          <w:color w:val="000000"/>
          <w:lang w:val="en-US" w:eastAsia="en-US"/>
        </w:rPr>
        <w:t>PAHO</w:t>
      </w:r>
      <w:r w:rsidR="0084320E" w:rsidRPr="00904DAE">
        <w:rPr>
          <w:rFonts w:ascii="Calibri" w:eastAsiaTheme="minorHAnsi" w:hAnsi="Calibri" w:cs="Calibri"/>
          <w:color w:val="000000"/>
          <w:lang w:val="en-US" w:eastAsia="en-US"/>
        </w:rPr>
        <w:t xml:space="preserve">. In September 2017, at the 29th Pan American Sanitary Conference (69th Session of the Regional Committee of </w:t>
      </w:r>
      <w:r w:rsidR="00B318AD" w:rsidRPr="00904DAE">
        <w:rPr>
          <w:rFonts w:ascii="Calibri" w:eastAsiaTheme="minorHAnsi" w:hAnsi="Calibri" w:cs="Calibri"/>
          <w:color w:val="000000"/>
          <w:lang w:val="en-US" w:eastAsia="en-US"/>
        </w:rPr>
        <w:t>WHO</w:t>
      </w:r>
      <w:r w:rsidR="0084320E" w:rsidRPr="00904DAE">
        <w:rPr>
          <w:rFonts w:ascii="Calibri" w:eastAsiaTheme="minorHAnsi" w:hAnsi="Calibri" w:cs="Calibri"/>
          <w:color w:val="000000"/>
          <w:lang w:val="en-US" w:eastAsia="en-US"/>
        </w:rPr>
        <w:t xml:space="preserve"> for the Americas), PAHO Member States unanimously approved the Policy on Ethnicity and Health</w:t>
      </w:r>
      <w:r w:rsidR="00C53E06" w:rsidRPr="001922BD">
        <w:rPr>
          <w:rFonts w:eastAsia="Calibri" w:cstheme="minorHAnsi"/>
          <w:sz w:val="24"/>
          <w:szCs w:val="24"/>
          <w:lang w:eastAsia="en-US"/>
        </w:rPr>
        <w:t>.</w:t>
      </w:r>
      <w:r w:rsidR="00E2415C" w:rsidRPr="001922BD">
        <w:rPr>
          <w:rStyle w:val="FootnoteReference"/>
          <w:rFonts w:eastAsia="Calibri" w:cstheme="minorHAnsi"/>
          <w:b/>
          <w:bCs/>
          <w:sz w:val="24"/>
          <w:szCs w:val="24"/>
          <w:lang w:eastAsia="en-US"/>
        </w:rPr>
        <w:footnoteReference w:id="34"/>
      </w:r>
      <w:r w:rsidR="0084320E" w:rsidRPr="005B4598">
        <w:rPr>
          <w:rFonts w:eastAsia="Calibri" w:cstheme="minorHAnsi"/>
          <w:sz w:val="24"/>
          <w:szCs w:val="24"/>
          <w:lang w:eastAsia="en-US"/>
        </w:rPr>
        <w:t xml:space="preserve"> </w:t>
      </w:r>
      <w:r w:rsidR="0084320E" w:rsidRPr="00904DAE">
        <w:rPr>
          <w:rFonts w:ascii="Calibri" w:eastAsiaTheme="minorHAnsi" w:hAnsi="Calibri" w:cs="Calibri"/>
          <w:color w:val="000000"/>
          <w:lang w:val="en-US" w:eastAsia="en-US"/>
        </w:rPr>
        <w:t xml:space="preserve">With this policy, </w:t>
      </w:r>
      <w:r w:rsidR="00B318AD" w:rsidRPr="00904DAE">
        <w:rPr>
          <w:rFonts w:ascii="Calibri" w:eastAsiaTheme="minorHAnsi" w:hAnsi="Calibri" w:cs="Calibri"/>
          <w:color w:val="000000"/>
          <w:lang w:val="en-US" w:eastAsia="en-US"/>
        </w:rPr>
        <w:t>Member States</w:t>
      </w:r>
      <w:r w:rsidR="0084320E" w:rsidRPr="00904DAE">
        <w:rPr>
          <w:rFonts w:ascii="Calibri" w:eastAsiaTheme="minorHAnsi" w:hAnsi="Calibri" w:cs="Calibri"/>
          <w:color w:val="000000"/>
          <w:lang w:val="en-US" w:eastAsia="en-US"/>
        </w:rPr>
        <w:t xml:space="preserve"> agreed to guarantee an intercultural approach to health and </w:t>
      </w:r>
      <w:r w:rsidR="00B318AD" w:rsidRPr="00904DAE">
        <w:rPr>
          <w:rFonts w:ascii="Calibri" w:eastAsiaTheme="minorHAnsi" w:hAnsi="Calibri" w:cs="Calibri"/>
          <w:color w:val="000000"/>
          <w:lang w:val="en-US" w:eastAsia="en-US"/>
        </w:rPr>
        <w:t xml:space="preserve">the </w:t>
      </w:r>
      <w:r w:rsidR="0084320E" w:rsidRPr="00904DAE">
        <w:rPr>
          <w:rFonts w:ascii="Calibri" w:eastAsiaTheme="minorHAnsi" w:hAnsi="Calibri" w:cs="Calibri"/>
          <w:color w:val="000000"/>
          <w:lang w:val="en-US" w:eastAsia="en-US"/>
        </w:rPr>
        <w:t>equitable treatment of indigenous peoples, Afro-descendants, Roma populations, and members of other ethnic groups. Representatives from indigenous peoples, Afro</w:t>
      </w:r>
      <w:r w:rsidR="0021286B" w:rsidRPr="00904DAE">
        <w:rPr>
          <w:rFonts w:ascii="Calibri" w:eastAsiaTheme="minorHAnsi" w:hAnsi="Calibri" w:cs="Calibri"/>
          <w:color w:val="000000"/>
          <w:lang w:val="en-US" w:eastAsia="en-US"/>
        </w:rPr>
        <w:t>-</w:t>
      </w:r>
      <w:r w:rsidR="0084320E" w:rsidRPr="00904DAE">
        <w:rPr>
          <w:rFonts w:ascii="Calibri" w:eastAsiaTheme="minorHAnsi" w:hAnsi="Calibri" w:cs="Calibri"/>
          <w:color w:val="000000"/>
          <w:lang w:val="en-US" w:eastAsia="en-US"/>
        </w:rPr>
        <w:t>descendants, and Roma populations, ministries of health, and multilateral organizations participated in the development of this policy and committed to supporting its implementation</w:t>
      </w:r>
      <w:r w:rsidR="00B318AD" w:rsidRPr="00904DAE">
        <w:rPr>
          <w:rFonts w:ascii="Calibri" w:eastAsiaTheme="minorHAnsi" w:hAnsi="Calibri" w:cs="Calibri"/>
          <w:color w:val="000000"/>
          <w:lang w:val="en-US" w:eastAsia="en-US"/>
        </w:rPr>
        <w:t xml:space="preserve">, the first formal policy </w:t>
      </w:r>
      <w:bookmarkStart w:id="0" w:name="_Hlk98178858"/>
      <w:r w:rsidR="00B318AD" w:rsidRPr="00904DAE">
        <w:rPr>
          <w:rFonts w:ascii="Calibri" w:eastAsiaTheme="minorHAnsi" w:hAnsi="Calibri" w:cs="Calibri"/>
          <w:color w:val="000000"/>
          <w:lang w:val="en-US" w:eastAsia="en-US"/>
        </w:rPr>
        <w:t>to</w:t>
      </w:r>
      <w:r w:rsidR="0084320E" w:rsidRPr="00904DAE">
        <w:rPr>
          <w:rFonts w:ascii="Calibri" w:eastAsiaTheme="minorHAnsi" w:hAnsi="Calibri" w:cs="Calibri"/>
          <w:color w:val="000000"/>
          <w:lang w:val="en-US" w:eastAsia="en-US"/>
        </w:rPr>
        <w:t xml:space="preserve"> </w:t>
      </w:r>
      <w:r w:rsidR="00B318AD" w:rsidRPr="00904DAE">
        <w:rPr>
          <w:rFonts w:ascii="Calibri" w:eastAsiaTheme="minorHAnsi" w:hAnsi="Calibri" w:cs="Calibri"/>
          <w:color w:val="000000"/>
          <w:lang w:val="en-US" w:eastAsia="en-US"/>
        </w:rPr>
        <w:t>adopt</w:t>
      </w:r>
      <w:r w:rsidR="0084320E" w:rsidRPr="00904DAE">
        <w:rPr>
          <w:rFonts w:ascii="Calibri" w:eastAsiaTheme="minorHAnsi" w:hAnsi="Calibri" w:cs="Calibri"/>
          <w:color w:val="000000"/>
          <w:lang w:val="en-US" w:eastAsia="en-US"/>
        </w:rPr>
        <w:t xml:space="preserve"> an intercultural approach to address </w:t>
      </w:r>
      <w:r w:rsidRPr="00904DAE">
        <w:rPr>
          <w:rFonts w:ascii="Calibri" w:eastAsiaTheme="minorHAnsi" w:hAnsi="Calibri" w:cs="Calibri"/>
          <w:color w:val="000000"/>
          <w:lang w:val="en-US" w:eastAsia="en-US"/>
        </w:rPr>
        <w:t xml:space="preserve">health </w:t>
      </w:r>
      <w:r w:rsidR="0084320E" w:rsidRPr="00904DAE">
        <w:rPr>
          <w:rFonts w:ascii="Calibri" w:eastAsiaTheme="minorHAnsi" w:hAnsi="Calibri" w:cs="Calibri"/>
          <w:color w:val="000000"/>
          <w:lang w:val="en-US" w:eastAsia="en-US"/>
        </w:rPr>
        <w:t>inequities</w:t>
      </w:r>
      <w:r w:rsidR="0084320E" w:rsidRPr="005B4598">
        <w:rPr>
          <w:rFonts w:eastAsia="Calibri" w:cstheme="minorHAnsi"/>
          <w:sz w:val="24"/>
          <w:szCs w:val="24"/>
          <w:lang w:eastAsia="en-US"/>
        </w:rPr>
        <w:t>.</w:t>
      </w:r>
      <w:bookmarkEnd w:id="0"/>
    </w:p>
    <w:p w14:paraId="2554D4A9" w14:textId="7CE28834" w:rsidR="000078C8" w:rsidRPr="009C0322" w:rsidRDefault="0084320E" w:rsidP="008A5956">
      <w:pPr>
        <w:pStyle w:val="ListParagraph"/>
        <w:numPr>
          <w:ilvl w:val="0"/>
          <w:numId w:val="29"/>
        </w:numPr>
        <w:spacing w:after="120"/>
        <w:ind w:left="0" w:firstLine="0"/>
        <w:contextualSpacing w:val="0"/>
        <w:jc w:val="both"/>
        <w:rPr>
          <w:rFonts w:eastAsia="Times New Roman" w:cstheme="minorHAnsi"/>
          <w:sz w:val="24"/>
          <w:szCs w:val="24"/>
          <w:lang w:val="en-US" w:eastAsia="en-US"/>
        </w:rPr>
      </w:pPr>
      <w:r w:rsidRPr="00904DAE">
        <w:rPr>
          <w:rFonts w:ascii="Calibri" w:eastAsiaTheme="minorHAnsi" w:hAnsi="Calibri" w:cs="Calibri"/>
          <w:color w:val="000000"/>
          <w:lang w:val="en-US" w:eastAsia="en-US"/>
        </w:rPr>
        <w:t>As a follow up to this important achievement for the PAHO region, in 2019, a Strategy and Plan of Action on Ethnicity and Health</w:t>
      </w:r>
      <w:r w:rsidR="001165F2" w:rsidRPr="00904DAE">
        <w:rPr>
          <w:rFonts w:ascii="Calibri" w:eastAsiaTheme="minorHAnsi" w:hAnsi="Calibri" w:cs="Calibri"/>
          <w:color w:val="000000"/>
          <w:lang w:val="en-US" w:eastAsia="en-US"/>
        </w:rPr>
        <w:t xml:space="preserve"> </w:t>
      </w:r>
      <w:r w:rsidRPr="00904DAE">
        <w:rPr>
          <w:rFonts w:ascii="Calibri" w:eastAsiaTheme="minorHAnsi" w:hAnsi="Calibri" w:cs="Calibri"/>
          <w:color w:val="000000"/>
          <w:lang w:val="en-US" w:eastAsia="en-US"/>
        </w:rPr>
        <w:t>was approved unanimously by all Member States to prioritize actions ensuring that all communit</w:t>
      </w:r>
      <w:r w:rsidR="00B318AD" w:rsidRPr="00904DAE">
        <w:rPr>
          <w:rFonts w:ascii="Calibri" w:eastAsiaTheme="minorHAnsi" w:hAnsi="Calibri" w:cs="Calibri"/>
          <w:color w:val="000000"/>
          <w:lang w:val="en-US" w:eastAsia="en-US"/>
        </w:rPr>
        <w:t>ies</w:t>
      </w:r>
      <w:r w:rsidRPr="00904DAE">
        <w:rPr>
          <w:rFonts w:ascii="Calibri" w:eastAsiaTheme="minorHAnsi" w:hAnsi="Calibri" w:cs="Calibri"/>
          <w:color w:val="000000"/>
          <w:lang w:val="en-US" w:eastAsia="en-US"/>
        </w:rPr>
        <w:t xml:space="preserve"> have access, without discrimination, to comprehensive, appropriate, timely, and quality health services</w:t>
      </w:r>
      <w:r w:rsidR="00BC20DA" w:rsidRPr="009C0322">
        <w:rPr>
          <w:rFonts w:eastAsia="Times New Roman" w:cstheme="minorHAnsi"/>
          <w:sz w:val="24"/>
          <w:szCs w:val="24"/>
          <w:lang w:val="en-US" w:eastAsia="en-US"/>
        </w:rPr>
        <w:t>.</w:t>
      </w:r>
      <w:r w:rsidR="001165F2" w:rsidRPr="001165F2">
        <w:rPr>
          <w:rStyle w:val="FootnoteReference"/>
          <w:rFonts w:eastAsia="MS Mincho" w:cstheme="minorHAnsi"/>
          <w:bCs/>
          <w:sz w:val="24"/>
          <w:szCs w:val="24"/>
          <w:lang w:eastAsia="en-GB"/>
        </w:rPr>
        <w:t xml:space="preserve"> </w:t>
      </w:r>
      <w:r w:rsidR="001165F2" w:rsidRPr="001165F2">
        <w:rPr>
          <w:rStyle w:val="FootnoteReference"/>
          <w:rFonts w:eastAsia="MS Mincho" w:cstheme="minorHAnsi"/>
          <w:bCs/>
          <w:sz w:val="24"/>
          <w:szCs w:val="24"/>
          <w:lang w:eastAsia="en-GB"/>
        </w:rPr>
        <w:footnoteReference w:id="35"/>
      </w:r>
    </w:p>
    <w:p w14:paraId="614DBB7C" w14:textId="4A166BF4" w:rsidR="00602A5D" w:rsidRPr="000F61C2" w:rsidRDefault="002F0358" w:rsidP="00602A5D">
      <w:pPr>
        <w:pStyle w:val="SpeechTemplate1"/>
        <w:numPr>
          <w:ilvl w:val="0"/>
          <w:numId w:val="38"/>
        </w:numPr>
        <w:ind w:left="567" w:hanging="567"/>
        <w:contextualSpacing/>
        <w:jc w:val="both"/>
        <w:rPr>
          <w:rFonts w:cstheme="minorHAnsi"/>
          <w:sz w:val="24"/>
          <w:szCs w:val="24"/>
        </w:rPr>
      </w:pPr>
      <w:r>
        <w:rPr>
          <w:rFonts w:cstheme="minorHAnsi"/>
          <w:sz w:val="24"/>
          <w:szCs w:val="24"/>
        </w:rPr>
        <w:t xml:space="preserve">Implementation </w:t>
      </w:r>
      <w:r w:rsidR="008D08AB">
        <w:rPr>
          <w:rFonts w:cstheme="minorHAnsi"/>
          <w:sz w:val="24"/>
          <w:szCs w:val="24"/>
        </w:rPr>
        <w:t xml:space="preserve">of rights-based, equity-oriented technical products </w:t>
      </w:r>
      <w:r w:rsidR="00A76BA9">
        <w:rPr>
          <w:rFonts w:cstheme="minorHAnsi"/>
          <w:sz w:val="24"/>
          <w:szCs w:val="24"/>
        </w:rPr>
        <w:t>&amp; trainings</w:t>
      </w:r>
    </w:p>
    <w:p w14:paraId="6E7EEAD9" w14:textId="541ADAD7" w:rsidR="007E1B47" w:rsidRPr="007E1B47" w:rsidRDefault="00BF13A2" w:rsidP="00A76BA9">
      <w:pPr>
        <w:pStyle w:val="SpeechTemplate1"/>
        <w:numPr>
          <w:ilvl w:val="1"/>
          <w:numId w:val="38"/>
        </w:numPr>
        <w:contextualSpacing/>
        <w:jc w:val="both"/>
        <w:rPr>
          <w:rFonts w:cstheme="minorHAnsi"/>
          <w:sz w:val="24"/>
          <w:szCs w:val="24"/>
        </w:rPr>
      </w:pPr>
      <w:r>
        <w:rPr>
          <w:rFonts w:cstheme="minorHAnsi"/>
          <w:sz w:val="24"/>
          <w:szCs w:val="24"/>
        </w:rPr>
        <w:t xml:space="preserve">Gender, Equity and Rights </w:t>
      </w:r>
      <w:r w:rsidR="00EA7660">
        <w:rPr>
          <w:rFonts w:cstheme="minorHAnsi"/>
          <w:sz w:val="24"/>
          <w:szCs w:val="24"/>
        </w:rPr>
        <w:t>Capacity-Building and Trainings</w:t>
      </w:r>
    </w:p>
    <w:p w14:paraId="7E1E6CA5" w14:textId="4C81C012" w:rsidR="00602A5D" w:rsidRPr="00451F65" w:rsidRDefault="00602A5D" w:rsidP="00602A5D">
      <w:pPr>
        <w:pStyle w:val="ListParagraph"/>
        <w:numPr>
          <w:ilvl w:val="0"/>
          <w:numId w:val="1"/>
        </w:numPr>
        <w:spacing w:after="120"/>
        <w:ind w:left="0" w:firstLine="0"/>
        <w:contextualSpacing w:val="0"/>
        <w:jc w:val="both"/>
        <w:rPr>
          <w:rFonts w:cstheme="minorHAnsi"/>
          <w:sz w:val="24"/>
          <w:szCs w:val="24"/>
        </w:rPr>
      </w:pPr>
      <w:r w:rsidRPr="00904DAE">
        <w:rPr>
          <w:rFonts w:ascii="Calibri" w:eastAsiaTheme="minorHAnsi" w:hAnsi="Calibri" w:cs="Calibri"/>
          <w:color w:val="000000"/>
          <w:lang w:val="en-US" w:eastAsia="en-US"/>
        </w:rPr>
        <w:t xml:space="preserve">WHO co-organized with UNESCO a high-level and cross-UN Frontier Dialogue on tackling structural </w:t>
      </w:r>
      <w:r w:rsidR="00E10C76" w:rsidRPr="00904DAE">
        <w:rPr>
          <w:rFonts w:ascii="Calibri" w:eastAsiaTheme="minorHAnsi" w:hAnsi="Calibri" w:cs="Calibri"/>
          <w:color w:val="000000"/>
          <w:lang w:val="en-US" w:eastAsia="en-US"/>
        </w:rPr>
        <w:t xml:space="preserve">racial and ethnicity-based discrimination </w:t>
      </w:r>
      <w:r w:rsidRPr="00904DAE">
        <w:rPr>
          <w:rFonts w:ascii="Calibri" w:eastAsiaTheme="minorHAnsi" w:hAnsi="Calibri" w:cs="Calibri"/>
          <w:color w:val="000000"/>
          <w:lang w:val="en-US" w:eastAsia="en-US"/>
        </w:rPr>
        <w:t xml:space="preserve">in building forward better from COVID-19. This was done with a dedicated interagency steering group under the umbrella of the UNSDG Task1 Team on </w:t>
      </w:r>
      <w:r w:rsidRPr="00904DAE">
        <w:rPr>
          <w:rFonts w:ascii="Calibri" w:eastAsiaTheme="minorHAnsi" w:hAnsi="Calibri" w:cs="Calibri"/>
          <w:color w:val="000000"/>
          <w:lang w:val="en-US" w:eastAsia="en-US"/>
        </w:rPr>
        <w:lastRenderedPageBreak/>
        <w:t>Leaving No One Behind and Human Rights. WHO commissioned Harvard university to co-author a final outcome document as a resource for all UNCTs</w:t>
      </w:r>
      <w:r w:rsidRPr="00451F65">
        <w:rPr>
          <w:rFonts w:eastAsia="Calibri" w:cstheme="minorHAnsi"/>
          <w:sz w:val="24"/>
          <w:szCs w:val="24"/>
          <w:lang w:eastAsia="en-US"/>
        </w:rPr>
        <w:t>.</w:t>
      </w:r>
      <w:r w:rsidR="00A76BA9" w:rsidRPr="00A76BA9">
        <w:rPr>
          <w:rStyle w:val="FootnoteReference"/>
          <w:rFonts w:eastAsia="Calibri" w:cstheme="minorHAnsi"/>
          <w:sz w:val="24"/>
          <w:szCs w:val="24"/>
          <w:lang w:eastAsia="en-US"/>
        </w:rPr>
        <w:t xml:space="preserve"> </w:t>
      </w:r>
      <w:r w:rsidR="00A76BA9">
        <w:rPr>
          <w:rStyle w:val="FootnoteReference"/>
          <w:rFonts w:eastAsia="Calibri" w:cstheme="minorHAnsi"/>
          <w:sz w:val="24"/>
          <w:szCs w:val="24"/>
          <w:lang w:eastAsia="en-US"/>
        </w:rPr>
        <w:footnoteReference w:id="36"/>
      </w:r>
      <w:r w:rsidRPr="00451F65">
        <w:rPr>
          <w:rFonts w:eastAsia="Calibri" w:cstheme="minorHAnsi"/>
          <w:sz w:val="24"/>
          <w:szCs w:val="24"/>
          <w:lang w:eastAsia="en-US"/>
        </w:rPr>
        <w:t xml:space="preserve"> </w:t>
      </w:r>
    </w:p>
    <w:p w14:paraId="1E8957A4" w14:textId="1E8BA292" w:rsidR="00602A5D" w:rsidRPr="0098373E" w:rsidRDefault="00602A5D" w:rsidP="00602A5D">
      <w:pPr>
        <w:pStyle w:val="ListParagraph"/>
        <w:numPr>
          <w:ilvl w:val="0"/>
          <w:numId w:val="1"/>
        </w:numPr>
        <w:tabs>
          <w:tab w:val="left" w:pos="567"/>
        </w:tabs>
        <w:spacing w:after="120"/>
        <w:ind w:left="0" w:firstLine="0"/>
        <w:contextualSpacing w:val="0"/>
        <w:jc w:val="both"/>
        <w:rPr>
          <w:rFonts w:ascii="Calibri" w:eastAsiaTheme="minorHAnsi" w:hAnsi="Calibri" w:cs="Calibri"/>
          <w:color w:val="000000"/>
          <w:lang w:val="en-US" w:eastAsia="en-US"/>
        </w:rPr>
      </w:pPr>
      <w:r w:rsidRPr="00904DAE">
        <w:rPr>
          <w:rFonts w:ascii="Calibri" w:eastAsiaTheme="minorHAnsi" w:hAnsi="Calibri" w:cs="Calibri"/>
          <w:color w:val="000000"/>
          <w:lang w:val="en-US" w:eastAsia="en-US"/>
        </w:rPr>
        <w:t xml:space="preserve">In 2022, WHO has convened three Community of Practices for UNCTs on areas such as criminal justice, indigenous languages, and country work on people of African descent, alongside dedicated sessions for reporting back progress from UNCTs involved in the October 2021 training. </w:t>
      </w:r>
      <w:r w:rsidR="00D6591A" w:rsidRPr="00904DAE">
        <w:rPr>
          <w:rFonts w:ascii="Calibri" w:eastAsiaTheme="minorHAnsi" w:hAnsi="Calibri" w:cs="Calibri"/>
          <w:color w:val="000000"/>
          <w:lang w:val="en-US" w:eastAsia="en-US"/>
        </w:rPr>
        <w:t>In Q4 2022 i</w:t>
      </w:r>
      <w:r w:rsidRPr="00904DAE">
        <w:rPr>
          <w:rFonts w:ascii="Calibri" w:eastAsiaTheme="minorHAnsi" w:hAnsi="Calibri" w:cs="Calibri"/>
          <w:color w:val="000000"/>
          <w:lang w:val="en-US" w:eastAsia="en-US"/>
        </w:rPr>
        <w:t xml:space="preserve">t is also convening a Sensitization Session on Training Approaches for Tackling Racial Discrimination and Strengthening the Protection of Minorities to increase the capacity of UN staff in addressing racial discrimination </w:t>
      </w:r>
      <w:r w:rsidR="00D6591A" w:rsidRPr="00904DAE">
        <w:rPr>
          <w:rFonts w:ascii="Calibri" w:eastAsiaTheme="minorHAnsi" w:hAnsi="Calibri" w:cs="Calibri"/>
          <w:color w:val="000000"/>
          <w:lang w:val="en-US" w:eastAsia="en-US"/>
        </w:rPr>
        <w:t xml:space="preserve">and protecting </w:t>
      </w:r>
      <w:r w:rsidR="00D83BAD" w:rsidRPr="00904DAE">
        <w:rPr>
          <w:rFonts w:ascii="Calibri" w:eastAsiaTheme="minorHAnsi" w:hAnsi="Calibri" w:cs="Calibri"/>
          <w:color w:val="000000"/>
          <w:lang w:val="en-US" w:eastAsia="en-US"/>
        </w:rPr>
        <w:t xml:space="preserve">minorities. </w:t>
      </w:r>
      <w:r w:rsidRPr="0098373E">
        <w:rPr>
          <w:rFonts w:ascii="Calibri" w:eastAsiaTheme="minorHAnsi" w:hAnsi="Calibri" w:cs="Calibri"/>
          <w:color w:val="000000"/>
          <w:lang w:val="en-US" w:eastAsia="en-US"/>
        </w:rPr>
        <w:t xml:space="preserve"> </w:t>
      </w:r>
    </w:p>
    <w:p w14:paraId="15F400ED" w14:textId="6DE876C1" w:rsidR="00602A5D" w:rsidRPr="00904DAE" w:rsidRDefault="00602A5D" w:rsidP="00602A5D">
      <w:pPr>
        <w:pStyle w:val="ListParagraph"/>
        <w:numPr>
          <w:ilvl w:val="0"/>
          <w:numId w:val="1"/>
        </w:numPr>
        <w:tabs>
          <w:tab w:val="left" w:pos="567"/>
        </w:tabs>
        <w:spacing w:after="120"/>
        <w:ind w:left="0" w:firstLine="0"/>
        <w:contextualSpacing w:val="0"/>
        <w:jc w:val="both"/>
        <w:rPr>
          <w:rFonts w:ascii="Calibri" w:eastAsiaTheme="minorHAnsi" w:hAnsi="Calibri" w:cs="Calibri"/>
          <w:color w:val="000000"/>
          <w:lang w:val="en-US" w:eastAsia="en-US"/>
        </w:rPr>
      </w:pPr>
      <w:r w:rsidRPr="00904DAE">
        <w:rPr>
          <w:rFonts w:ascii="Calibri" w:eastAsiaTheme="minorHAnsi" w:hAnsi="Calibri" w:cs="Calibri"/>
          <w:color w:val="000000"/>
          <w:lang w:val="en-US" w:eastAsia="en-US"/>
        </w:rPr>
        <w:t xml:space="preserve">WHO produced a research brief on “Strengthening primary health care to tackle racial discrimination, promote intercultural services and reduce health inequities” (publication forthcoming). WHO outlines 14 strategic and operational levers for policy-makers to strengthen PHC. Within each lever, the brief presents multiple potential entry points for targeted actions to address racial discrimination in health, foster intercultural care, and reduce health inequities experienced by indigenous peoples as well as people of African descent, Roma and other ethnic and linguistic minorities. </w:t>
      </w:r>
    </w:p>
    <w:p w14:paraId="5AF5B8F3" w14:textId="05BF0632" w:rsidR="003C491F" w:rsidRPr="0013797D" w:rsidRDefault="0013797D" w:rsidP="0013797D">
      <w:pPr>
        <w:pStyle w:val="SpeechTemplate1"/>
        <w:numPr>
          <w:ilvl w:val="1"/>
          <w:numId w:val="38"/>
        </w:numPr>
        <w:contextualSpacing/>
        <w:jc w:val="both"/>
        <w:rPr>
          <w:rFonts w:cstheme="minorHAnsi"/>
          <w:sz w:val="24"/>
          <w:szCs w:val="24"/>
        </w:rPr>
      </w:pPr>
      <w:r w:rsidRPr="0013797D">
        <w:rPr>
          <w:rFonts w:cstheme="minorHAnsi"/>
          <w:sz w:val="24"/>
          <w:szCs w:val="24"/>
        </w:rPr>
        <w:t>Pan-American Health Organization/Americas Regional Office</w:t>
      </w:r>
    </w:p>
    <w:p w14:paraId="25D7142D" w14:textId="3416FD94" w:rsidR="0084320E" w:rsidRPr="00904DAE" w:rsidRDefault="00BC20DA" w:rsidP="00A76BA9">
      <w:pPr>
        <w:pStyle w:val="ListParagraph"/>
        <w:numPr>
          <w:ilvl w:val="0"/>
          <w:numId w:val="1"/>
        </w:numPr>
        <w:tabs>
          <w:tab w:val="left" w:pos="567"/>
        </w:tabs>
        <w:spacing w:after="120"/>
        <w:ind w:left="0" w:firstLine="0"/>
        <w:contextualSpacing w:val="0"/>
        <w:jc w:val="both"/>
        <w:rPr>
          <w:rFonts w:ascii="Calibri" w:eastAsiaTheme="minorHAnsi" w:hAnsi="Calibri" w:cs="Calibri"/>
          <w:color w:val="000000"/>
          <w:lang w:val="en-US" w:eastAsia="en-US"/>
        </w:rPr>
      </w:pPr>
      <w:r w:rsidRPr="00904DAE">
        <w:rPr>
          <w:rFonts w:ascii="Calibri" w:eastAsiaTheme="minorHAnsi" w:hAnsi="Calibri" w:cs="Calibri"/>
          <w:color w:val="000000"/>
          <w:lang w:val="en-US" w:eastAsia="en-US"/>
        </w:rPr>
        <w:t xml:space="preserve">Other measures adopted in the </w:t>
      </w:r>
      <w:r w:rsidR="0025555D" w:rsidRPr="00904DAE">
        <w:rPr>
          <w:rFonts w:ascii="Calibri" w:eastAsiaTheme="minorHAnsi" w:hAnsi="Calibri" w:cs="Calibri"/>
          <w:color w:val="000000"/>
          <w:lang w:val="en-US" w:eastAsia="en-US"/>
        </w:rPr>
        <w:t>region of the Americas, include promotion of d</w:t>
      </w:r>
      <w:r w:rsidR="0084320E" w:rsidRPr="00904DAE">
        <w:rPr>
          <w:rFonts w:ascii="Calibri" w:eastAsiaTheme="minorHAnsi" w:hAnsi="Calibri" w:cs="Calibri"/>
          <w:color w:val="000000"/>
          <w:lang w:val="en-US" w:eastAsia="en-US"/>
        </w:rPr>
        <w:t>ifferentiated approaches</w:t>
      </w:r>
      <w:r w:rsidR="0045427C" w:rsidRPr="00904DAE">
        <w:rPr>
          <w:rFonts w:ascii="Calibri" w:eastAsiaTheme="minorHAnsi" w:hAnsi="Calibri" w:cs="Calibri"/>
          <w:color w:val="000000"/>
          <w:lang w:val="en-US" w:eastAsia="en-US"/>
        </w:rPr>
        <w:t xml:space="preserve"> in health and tackling discrimination</w:t>
      </w:r>
      <w:r w:rsidR="001809FB" w:rsidRPr="00904DAE">
        <w:rPr>
          <w:rFonts w:ascii="Calibri" w:eastAsiaTheme="minorHAnsi" w:hAnsi="Calibri" w:cs="Calibri"/>
          <w:color w:val="000000"/>
          <w:lang w:val="en-US" w:eastAsia="en-US"/>
        </w:rPr>
        <w:t>, such as</w:t>
      </w:r>
      <w:r w:rsidR="0084320E" w:rsidRPr="00904DAE">
        <w:rPr>
          <w:rFonts w:ascii="Calibri" w:eastAsiaTheme="minorHAnsi" w:hAnsi="Calibri" w:cs="Calibri"/>
          <w:color w:val="000000"/>
          <w:lang w:val="en-US" w:eastAsia="en-US"/>
        </w:rPr>
        <w:t xml:space="preserve">: </w:t>
      </w:r>
    </w:p>
    <w:p w14:paraId="472DCE8D" w14:textId="0BA0E09B" w:rsidR="0084320E" w:rsidRPr="00904DAE" w:rsidRDefault="00E67420" w:rsidP="00A76BA9">
      <w:pPr>
        <w:pStyle w:val="ListParagraph"/>
        <w:numPr>
          <w:ilvl w:val="0"/>
          <w:numId w:val="26"/>
        </w:numPr>
        <w:spacing w:after="120"/>
        <w:ind w:left="357" w:hanging="357"/>
        <w:contextualSpacing w:val="0"/>
        <w:jc w:val="both"/>
        <w:rPr>
          <w:rFonts w:ascii="Calibri" w:eastAsiaTheme="minorHAnsi" w:hAnsi="Calibri" w:cs="Calibri"/>
          <w:color w:val="000000"/>
          <w:lang w:val="en-US" w:eastAsia="en-US"/>
        </w:rPr>
      </w:pPr>
      <w:hyperlink r:id="rId11" w:history="1">
        <w:r w:rsidR="0084320E" w:rsidRPr="00904DAE">
          <w:rPr>
            <w:rFonts w:ascii="Calibri" w:eastAsiaTheme="minorHAnsi" w:hAnsi="Calibri" w:cs="Calibri"/>
            <w:color w:val="000000"/>
            <w:lang w:val="en-US" w:eastAsia="en-US"/>
          </w:rPr>
          <w:t>Health Plan for Afro-descendant youth in the LAC Region</w:t>
        </w:r>
      </w:hyperlink>
      <w:r w:rsidR="007D34F6" w:rsidRPr="00904DAE">
        <w:rPr>
          <w:rFonts w:ascii="Calibri" w:eastAsiaTheme="minorHAnsi" w:hAnsi="Calibri" w:cs="Calibri"/>
          <w:color w:val="000000"/>
          <w:lang w:val="en-US" w:eastAsia="en-US"/>
        </w:rPr>
        <w:t>.</w:t>
      </w:r>
      <w:r w:rsidR="0084320E" w:rsidRPr="00904DAE">
        <w:rPr>
          <w:rFonts w:ascii="Calibri" w:eastAsiaTheme="minorHAnsi" w:hAnsi="Calibri" w:cs="Calibri"/>
          <w:color w:val="000000"/>
          <w:lang w:val="en-US" w:eastAsia="en-US"/>
        </w:rPr>
        <w:t xml:space="preserve"> PAHO provided technical support to Afro-descendant youth in the region in the development of a health plan with the priorities identified by youth.</w:t>
      </w:r>
      <w:r w:rsidR="000C2D8A" w:rsidRPr="00904DAE">
        <w:rPr>
          <w:rFonts w:ascii="Calibri" w:eastAsiaTheme="minorHAnsi" w:hAnsi="Calibri" w:cs="Calibri"/>
          <w:color w:val="000000"/>
        </w:rPr>
        <w:footnoteReference w:id="37"/>
      </w:r>
      <w:r w:rsidR="0084320E" w:rsidRPr="00904DAE">
        <w:rPr>
          <w:rFonts w:ascii="Calibri" w:eastAsiaTheme="minorHAnsi" w:hAnsi="Calibri" w:cs="Calibri"/>
          <w:color w:val="000000"/>
          <w:lang w:val="en-US" w:eastAsia="en-US"/>
        </w:rPr>
        <w:t xml:space="preserve"> </w:t>
      </w:r>
    </w:p>
    <w:p w14:paraId="4661D089" w14:textId="46D37366" w:rsidR="001809FB" w:rsidRPr="00904DAE" w:rsidRDefault="0084320E" w:rsidP="00A76BA9">
      <w:pPr>
        <w:pStyle w:val="ListParagraph"/>
        <w:numPr>
          <w:ilvl w:val="0"/>
          <w:numId w:val="26"/>
        </w:numPr>
        <w:spacing w:after="120"/>
        <w:ind w:left="357" w:hanging="357"/>
        <w:contextualSpacing w:val="0"/>
        <w:jc w:val="both"/>
        <w:rPr>
          <w:rFonts w:ascii="Calibri" w:eastAsiaTheme="minorHAnsi" w:hAnsi="Calibri" w:cs="Calibri"/>
          <w:color w:val="000000"/>
          <w:lang w:val="en-US" w:eastAsia="en-US"/>
        </w:rPr>
      </w:pPr>
      <w:r w:rsidRPr="00904DAE">
        <w:rPr>
          <w:rFonts w:ascii="Calibri" w:eastAsiaTheme="minorHAnsi" w:hAnsi="Calibri" w:cs="Calibri"/>
          <w:color w:val="000000"/>
          <w:lang w:val="en-US" w:eastAsia="en-US"/>
        </w:rPr>
        <w:t xml:space="preserve">In the context of the </w:t>
      </w:r>
      <w:r w:rsidR="00616066" w:rsidRPr="00904DAE">
        <w:rPr>
          <w:rFonts w:ascii="Calibri" w:eastAsiaTheme="minorHAnsi" w:hAnsi="Calibri" w:cs="Calibri"/>
          <w:color w:val="000000"/>
          <w:lang w:val="en-US" w:eastAsia="en-US"/>
        </w:rPr>
        <w:t xml:space="preserve">COVID-19 </w:t>
      </w:r>
      <w:r w:rsidRPr="00904DAE">
        <w:rPr>
          <w:rFonts w:ascii="Calibri" w:eastAsiaTheme="minorHAnsi" w:hAnsi="Calibri" w:cs="Calibri"/>
          <w:color w:val="000000"/>
          <w:lang w:val="en-US" w:eastAsia="en-US"/>
        </w:rPr>
        <w:t xml:space="preserve">pandemic, it is important to highlight the </w:t>
      </w:r>
      <w:hyperlink r:id="rId12" w:history="1">
        <w:r w:rsidRPr="00904DAE">
          <w:rPr>
            <w:rFonts w:ascii="Calibri" w:eastAsiaTheme="minorHAnsi" w:hAnsi="Calibri" w:cs="Calibri"/>
            <w:color w:val="000000"/>
            <w:lang w:val="en-US" w:eastAsia="en-US"/>
          </w:rPr>
          <w:t>Considerations on Indigenous Peoples, Afro</w:t>
        </w:r>
        <w:r w:rsidR="005152D3" w:rsidRPr="00904DAE">
          <w:rPr>
            <w:rFonts w:ascii="Calibri" w:eastAsiaTheme="minorHAnsi" w:hAnsi="Calibri" w:cs="Calibri"/>
            <w:color w:val="000000"/>
            <w:lang w:val="en-US" w:eastAsia="en-US"/>
          </w:rPr>
          <w:t>-</w:t>
        </w:r>
        <w:r w:rsidRPr="00904DAE">
          <w:rPr>
            <w:rFonts w:ascii="Calibri" w:eastAsiaTheme="minorHAnsi" w:hAnsi="Calibri" w:cs="Calibri"/>
            <w:color w:val="000000"/>
            <w:lang w:val="en-US" w:eastAsia="en-US"/>
          </w:rPr>
          <w:t>descendants and other ethnic groups during the COVID-19 pandemic</w:t>
        </w:r>
      </w:hyperlink>
      <w:r w:rsidRPr="00904DAE">
        <w:rPr>
          <w:rFonts w:ascii="Calibri" w:eastAsiaTheme="minorHAnsi" w:hAnsi="Calibri" w:cs="Calibri"/>
          <w:color w:val="000000"/>
          <w:lang w:val="en-US" w:eastAsia="en-US"/>
        </w:rPr>
        <w:t>. This technical report includes some of the concerns expressed by afro-descendant people in the region, through PAHO country offices.</w:t>
      </w:r>
      <w:r w:rsidR="000C2D8A" w:rsidRPr="00904DAE">
        <w:rPr>
          <w:rFonts w:ascii="Calibri" w:eastAsiaTheme="minorHAnsi" w:hAnsi="Calibri" w:cs="Calibri"/>
          <w:color w:val="000000"/>
        </w:rPr>
        <w:t xml:space="preserve"> </w:t>
      </w:r>
      <w:r w:rsidR="000C2D8A" w:rsidRPr="00904DAE">
        <w:rPr>
          <w:rFonts w:ascii="Calibri" w:eastAsiaTheme="minorHAnsi" w:hAnsi="Calibri" w:cs="Calibri"/>
          <w:color w:val="000000"/>
        </w:rPr>
        <w:footnoteReference w:id="38"/>
      </w:r>
    </w:p>
    <w:p w14:paraId="5D94F7EA" w14:textId="03E0253B" w:rsidR="00833B22" w:rsidRPr="00904DAE" w:rsidRDefault="001809FB" w:rsidP="00A76BA9">
      <w:pPr>
        <w:pStyle w:val="ListParagraph"/>
        <w:numPr>
          <w:ilvl w:val="0"/>
          <w:numId w:val="26"/>
        </w:numPr>
        <w:spacing w:after="120"/>
        <w:ind w:left="357" w:hanging="357"/>
        <w:contextualSpacing w:val="0"/>
        <w:jc w:val="both"/>
        <w:rPr>
          <w:rFonts w:eastAsia="Calibri" w:cstheme="minorHAnsi"/>
          <w:lang w:val="en-US" w:eastAsia="en-US"/>
        </w:rPr>
      </w:pPr>
      <w:r w:rsidRPr="00904DAE">
        <w:rPr>
          <w:rFonts w:ascii="Calibri" w:eastAsiaTheme="minorHAnsi" w:hAnsi="Calibri" w:cs="Calibri"/>
          <w:color w:val="000000"/>
          <w:lang w:val="en-US" w:eastAsia="en-US"/>
        </w:rPr>
        <w:t>At the s</w:t>
      </w:r>
      <w:r w:rsidR="0084320E" w:rsidRPr="00904DAE">
        <w:rPr>
          <w:rFonts w:ascii="Calibri" w:eastAsiaTheme="minorHAnsi" w:hAnsi="Calibri" w:cs="Calibri"/>
          <w:color w:val="000000"/>
          <w:lang w:val="en-US" w:eastAsia="en-US"/>
        </w:rPr>
        <w:t>ub-regional level</w:t>
      </w:r>
      <w:r w:rsidR="007D34F6" w:rsidRPr="00904DAE">
        <w:rPr>
          <w:rFonts w:ascii="Calibri" w:eastAsiaTheme="minorHAnsi" w:hAnsi="Calibri" w:cs="Calibri"/>
          <w:color w:val="000000"/>
          <w:lang w:val="en-US" w:eastAsia="en-US"/>
        </w:rPr>
        <w:t xml:space="preserve">, </w:t>
      </w:r>
      <w:r w:rsidR="0084320E" w:rsidRPr="00904DAE">
        <w:rPr>
          <w:rFonts w:ascii="Calibri" w:eastAsiaTheme="minorHAnsi" w:hAnsi="Calibri" w:cs="Calibri"/>
          <w:color w:val="000000"/>
          <w:lang w:val="en-US" w:eastAsia="en-US"/>
        </w:rPr>
        <w:t xml:space="preserve">PAHO is working at the South and Central American levels to address the health of afro-descendant populations. In this regard, a health plan addressing the health of Afro-descendant population in the South American region was developed with ORAS CONHU </w:t>
      </w:r>
      <w:r w:rsidR="00BD4BE8" w:rsidRPr="00904DAE">
        <w:rPr>
          <w:rFonts w:ascii="Calibri" w:eastAsiaTheme="minorHAnsi" w:hAnsi="Calibri" w:cs="Calibri"/>
          <w:color w:val="000000"/>
          <w:lang w:val="en-US" w:eastAsia="en-US"/>
        </w:rPr>
        <w:t>(“</w:t>
      </w:r>
      <w:proofErr w:type="spellStart"/>
      <w:r w:rsidR="00BD4BE8" w:rsidRPr="00904DAE">
        <w:rPr>
          <w:rFonts w:ascii="Calibri" w:eastAsiaTheme="minorHAnsi" w:hAnsi="Calibri" w:cs="Calibri"/>
          <w:color w:val="000000"/>
          <w:lang w:val="en-US" w:eastAsia="en-US"/>
        </w:rPr>
        <w:t>Organismo</w:t>
      </w:r>
      <w:proofErr w:type="spellEnd"/>
      <w:r w:rsidR="00BD4BE8" w:rsidRPr="00904DAE">
        <w:rPr>
          <w:rFonts w:ascii="Calibri" w:eastAsiaTheme="minorHAnsi" w:hAnsi="Calibri" w:cs="Calibri"/>
          <w:color w:val="000000"/>
          <w:lang w:val="en-US" w:eastAsia="en-US"/>
        </w:rPr>
        <w:t xml:space="preserve"> </w:t>
      </w:r>
      <w:proofErr w:type="spellStart"/>
      <w:r w:rsidR="00BD4BE8" w:rsidRPr="00904DAE">
        <w:rPr>
          <w:rFonts w:ascii="Calibri" w:eastAsiaTheme="minorHAnsi" w:hAnsi="Calibri" w:cs="Calibri"/>
          <w:color w:val="000000"/>
          <w:lang w:val="en-US" w:eastAsia="en-US"/>
        </w:rPr>
        <w:t>Andino</w:t>
      </w:r>
      <w:proofErr w:type="spellEnd"/>
      <w:r w:rsidR="00BD4BE8" w:rsidRPr="00904DAE">
        <w:rPr>
          <w:rFonts w:ascii="Calibri" w:eastAsiaTheme="minorHAnsi" w:hAnsi="Calibri" w:cs="Calibri"/>
          <w:color w:val="000000"/>
          <w:lang w:val="en-US" w:eastAsia="en-US"/>
        </w:rPr>
        <w:t xml:space="preserve"> de </w:t>
      </w:r>
      <w:proofErr w:type="spellStart"/>
      <w:r w:rsidR="00BD4BE8" w:rsidRPr="00904DAE">
        <w:rPr>
          <w:rFonts w:ascii="Calibri" w:eastAsiaTheme="minorHAnsi" w:hAnsi="Calibri" w:cs="Calibri"/>
          <w:color w:val="000000"/>
          <w:lang w:val="en-US" w:eastAsia="en-US"/>
        </w:rPr>
        <w:t>Salud</w:t>
      </w:r>
      <w:proofErr w:type="spellEnd"/>
      <w:r w:rsidR="00BD4BE8" w:rsidRPr="00904DAE">
        <w:rPr>
          <w:rFonts w:ascii="Calibri" w:eastAsiaTheme="minorHAnsi" w:hAnsi="Calibri" w:cs="Calibri"/>
          <w:color w:val="000000"/>
          <w:lang w:val="en-US" w:eastAsia="en-US"/>
        </w:rPr>
        <w:t xml:space="preserve">”) </w:t>
      </w:r>
      <w:r w:rsidR="0084320E" w:rsidRPr="00904DAE">
        <w:rPr>
          <w:rFonts w:ascii="Calibri" w:eastAsiaTheme="minorHAnsi" w:hAnsi="Calibri" w:cs="Calibri"/>
          <w:color w:val="000000"/>
          <w:lang w:val="en-US" w:eastAsia="en-US"/>
        </w:rPr>
        <w:t>and is being implemented</w:t>
      </w:r>
      <w:r w:rsidR="001654CD" w:rsidRPr="00904DAE">
        <w:rPr>
          <w:rFonts w:ascii="Calibri" w:eastAsiaTheme="minorHAnsi" w:hAnsi="Calibri" w:cs="Calibri"/>
          <w:color w:val="000000"/>
          <w:lang w:val="en-US" w:eastAsia="en-US"/>
        </w:rPr>
        <w:t xml:space="preserve"> in 2022</w:t>
      </w:r>
      <w:r w:rsidR="0084320E" w:rsidRPr="00904DAE">
        <w:rPr>
          <w:rFonts w:ascii="Calibri" w:eastAsiaTheme="minorHAnsi" w:hAnsi="Calibri" w:cs="Calibri"/>
          <w:color w:val="000000"/>
          <w:lang w:val="en-US" w:eastAsia="en-US"/>
        </w:rPr>
        <w:t>. In Central America, a project has been developed to address the health situation</w:t>
      </w:r>
      <w:r w:rsidR="0084320E" w:rsidRPr="009C0322">
        <w:rPr>
          <w:rFonts w:eastAsia="Calibri" w:cstheme="minorHAnsi"/>
          <w:sz w:val="24"/>
          <w:szCs w:val="24"/>
          <w:lang w:eastAsia="en-US"/>
        </w:rPr>
        <w:t xml:space="preserve"> of afro-descendant and </w:t>
      </w:r>
      <w:r w:rsidR="0084320E" w:rsidRPr="00A76BA9">
        <w:rPr>
          <w:rFonts w:eastAsia="Calibri" w:cstheme="minorHAnsi"/>
          <w:sz w:val="24"/>
          <w:szCs w:val="24"/>
          <w:lang w:val="en-US" w:eastAsia="en-US"/>
        </w:rPr>
        <w:t>indigenous</w:t>
      </w:r>
      <w:r w:rsidR="0084320E" w:rsidRPr="009C0322">
        <w:rPr>
          <w:rFonts w:eastAsia="Calibri" w:cstheme="minorHAnsi"/>
          <w:sz w:val="24"/>
          <w:szCs w:val="24"/>
          <w:lang w:eastAsia="en-US"/>
        </w:rPr>
        <w:t xml:space="preserve"> </w:t>
      </w:r>
      <w:r w:rsidR="0084320E" w:rsidRPr="00904DAE">
        <w:rPr>
          <w:rFonts w:eastAsia="Calibri" w:cstheme="minorHAnsi"/>
          <w:lang w:eastAsia="en-US"/>
        </w:rPr>
        <w:t>peoples as well as the policies in place to address them, with emphasis on access to health and health outcomes in women and girls.</w:t>
      </w:r>
    </w:p>
    <w:p w14:paraId="3D9628DF" w14:textId="0FBC43D6" w:rsidR="00A72AEC" w:rsidRDefault="0054315B" w:rsidP="00A76BA9">
      <w:pPr>
        <w:pStyle w:val="ListParagraph"/>
        <w:numPr>
          <w:ilvl w:val="0"/>
          <w:numId w:val="26"/>
        </w:numPr>
        <w:spacing w:after="120"/>
        <w:ind w:left="357" w:hanging="357"/>
        <w:contextualSpacing w:val="0"/>
        <w:jc w:val="both"/>
        <w:rPr>
          <w:rFonts w:eastAsia="Calibri" w:cstheme="minorHAnsi"/>
          <w:lang w:eastAsia="en-US"/>
        </w:rPr>
      </w:pPr>
      <w:r w:rsidRPr="00904DAE">
        <w:rPr>
          <w:rFonts w:eastAsia="Calibri" w:cstheme="minorHAnsi"/>
          <w:lang w:eastAsia="en-US"/>
        </w:rPr>
        <w:t xml:space="preserve">In 2022, </w:t>
      </w:r>
      <w:r w:rsidR="00833B22" w:rsidRPr="00904DAE">
        <w:rPr>
          <w:rFonts w:eastAsia="Calibri" w:cstheme="minorHAnsi"/>
          <w:lang w:eastAsia="en-US"/>
        </w:rPr>
        <w:t>PAHO</w:t>
      </w:r>
      <w:r w:rsidR="00FF38C0" w:rsidRPr="00904DAE">
        <w:rPr>
          <w:rFonts w:eastAsia="Calibri" w:cstheme="minorHAnsi"/>
          <w:lang w:eastAsia="en-US"/>
        </w:rPr>
        <w:t xml:space="preserve"> </w:t>
      </w:r>
      <w:r w:rsidR="00444AAD" w:rsidRPr="00904DAE">
        <w:rPr>
          <w:rFonts w:eastAsia="Calibri" w:cstheme="minorHAnsi"/>
          <w:lang w:eastAsia="en-US"/>
        </w:rPr>
        <w:t>produced a methodology on knowledge dialogues</w:t>
      </w:r>
      <w:r w:rsidR="008A61E3" w:rsidRPr="00904DAE">
        <w:rPr>
          <w:rFonts w:eastAsia="Calibri" w:cstheme="minorHAnsi"/>
          <w:lang w:eastAsia="en-US"/>
        </w:rPr>
        <w:t xml:space="preserve"> </w:t>
      </w:r>
      <w:r w:rsidR="00E4097D" w:rsidRPr="00904DAE">
        <w:rPr>
          <w:rFonts w:eastAsia="Calibri" w:cstheme="minorHAnsi"/>
          <w:lang w:eastAsia="en-US"/>
        </w:rPr>
        <w:t xml:space="preserve">aimed at improving </w:t>
      </w:r>
      <w:r w:rsidR="009B3484" w:rsidRPr="00904DAE">
        <w:rPr>
          <w:rFonts w:eastAsia="Calibri" w:cstheme="minorHAnsi"/>
          <w:lang w:eastAsia="en-US"/>
        </w:rPr>
        <w:t>access to health services and build</w:t>
      </w:r>
      <w:r w:rsidR="00187036" w:rsidRPr="00904DAE">
        <w:rPr>
          <w:rFonts w:eastAsia="Calibri" w:cstheme="minorHAnsi"/>
          <w:lang w:eastAsia="en-US"/>
        </w:rPr>
        <w:t>ing</w:t>
      </w:r>
      <w:r w:rsidR="009B3484" w:rsidRPr="00904DAE">
        <w:rPr>
          <w:rFonts w:eastAsia="Calibri" w:cstheme="minorHAnsi"/>
          <w:lang w:eastAsia="en-US"/>
        </w:rPr>
        <w:t xml:space="preserve"> intercultural health, with emphasis on solving previously raised problems and their causes,</w:t>
      </w:r>
      <w:r w:rsidR="00DA320A" w:rsidRPr="00904DAE">
        <w:rPr>
          <w:rFonts w:eastAsia="Calibri" w:cstheme="minorHAnsi"/>
          <w:lang w:eastAsia="en-US"/>
        </w:rPr>
        <w:t xml:space="preserve"> promoting</w:t>
      </w:r>
      <w:r w:rsidR="009B3484" w:rsidRPr="00904DAE">
        <w:rPr>
          <w:rFonts w:eastAsia="Calibri" w:cstheme="minorHAnsi"/>
          <w:lang w:eastAsia="en-US"/>
        </w:rPr>
        <w:t xml:space="preserve"> mutual understanding and the creation of solid lin</w:t>
      </w:r>
      <w:r w:rsidR="00CA5532" w:rsidRPr="00904DAE">
        <w:rPr>
          <w:rFonts w:eastAsia="Calibri" w:cstheme="minorHAnsi"/>
          <w:lang w:eastAsia="en-US"/>
        </w:rPr>
        <w:t>ks</w:t>
      </w:r>
      <w:r w:rsidR="00DA320A" w:rsidRPr="00904DAE">
        <w:rPr>
          <w:rFonts w:eastAsia="Calibri" w:cstheme="minorHAnsi"/>
          <w:lang w:eastAsia="en-US"/>
        </w:rPr>
        <w:t xml:space="preserve"> </w:t>
      </w:r>
      <w:r w:rsidR="00187036" w:rsidRPr="00904DAE">
        <w:rPr>
          <w:rFonts w:eastAsia="Calibri" w:cstheme="minorHAnsi"/>
          <w:lang w:eastAsia="en-US"/>
        </w:rPr>
        <w:t xml:space="preserve">through the participation and </w:t>
      </w:r>
      <w:r w:rsidR="00EB0794" w:rsidRPr="00904DAE">
        <w:rPr>
          <w:rFonts w:eastAsia="Calibri" w:cstheme="minorHAnsi"/>
          <w:lang w:eastAsia="en-US"/>
        </w:rPr>
        <w:t>empowerment</w:t>
      </w:r>
      <w:r w:rsidR="00DA320A" w:rsidRPr="00904DAE">
        <w:rPr>
          <w:rFonts w:eastAsia="Calibri" w:cstheme="minorHAnsi"/>
          <w:lang w:eastAsia="en-US"/>
        </w:rPr>
        <w:t xml:space="preserve"> of</w:t>
      </w:r>
      <w:r w:rsidR="000760D8" w:rsidRPr="00904DAE">
        <w:rPr>
          <w:rFonts w:eastAsia="Calibri" w:cstheme="minorHAnsi"/>
          <w:lang w:eastAsia="en-US"/>
        </w:rPr>
        <w:t xml:space="preserve"> </w:t>
      </w:r>
      <w:r w:rsidR="004D4540" w:rsidRPr="00904DAE">
        <w:rPr>
          <w:rFonts w:eastAsia="Calibri" w:cstheme="minorHAnsi"/>
          <w:lang w:eastAsia="en-US"/>
        </w:rPr>
        <w:t xml:space="preserve">indigenous peoples, </w:t>
      </w:r>
      <w:r w:rsidR="000760D8" w:rsidRPr="00904DAE">
        <w:rPr>
          <w:rFonts w:eastAsia="Calibri" w:cstheme="minorHAnsi"/>
          <w:lang w:eastAsia="en-US"/>
        </w:rPr>
        <w:t>Roma populations, and Afro-descendants</w:t>
      </w:r>
      <w:r w:rsidR="006701BE" w:rsidRPr="00904DAE">
        <w:rPr>
          <w:rFonts w:eastAsia="Calibri" w:cstheme="minorHAnsi"/>
          <w:lang w:eastAsia="en-US"/>
        </w:rPr>
        <w:t>.</w:t>
      </w:r>
      <w:r w:rsidR="00E63C0A" w:rsidRPr="00904DAE">
        <w:rPr>
          <w:rStyle w:val="FootnoteReference"/>
          <w:rFonts w:eastAsia="Calibri" w:cstheme="minorHAnsi"/>
          <w:lang w:eastAsia="en-US"/>
        </w:rPr>
        <w:footnoteReference w:id="39"/>
      </w:r>
      <w:r w:rsidR="00E63C0A" w:rsidRPr="00904DAE">
        <w:rPr>
          <w:rFonts w:eastAsia="Calibri" w:cstheme="minorHAnsi"/>
          <w:lang w:eastAsia="en-US"/>
        </w:rPr>
        <w:t xml:space="preserve"> </w:t>
      </w:r>
      <w:r w:rsidR="006701BE" w:rsidRPr="00904DAE">
        <w:rPr>
          <w:rFonts w:eastAsia="Calibri" w:cstheme="minorHAnsi"/>
          <w:lang w:eastAsia="en-US"/>
        </w:rPr>
        <w:t xml:space="preserve"> </w:t>
      </w:r>
    </w:p>
    <w:p w14:paraId="4483292E" w14:textId="6044C4D7" w:rsidR="00E67420" w:rsidRDefault="00E67420" w:rsidP="00E67420">
      <w:pPr>
        <w:spacing w:after="120"/>
        <w:jc w:val="both"/>
        <w:rPr>
          <w:rFonts w:eastAsia="Calibri" w:cstheme="minorHAnsi"/>
          <w:lang w:eastAsia="en-US"/>
        </w:rPr>
      </w:pPr>
    </w:p>
    <w:p w14:paraId="4940506F" w14:textId="77777777" w:rsidR="00E67420" w:rsidRPr="00E67420" w:rsidRDefault="00E67420" w:rsidP="00E67420">
      <w:pPr>
        <w:spacing w:after="120"/>
        <w:jc w:val="both"/>
        <w:rPr>
          <w:rFonts w:eastAsia="Calibri" w:cstheme="minorHAnsi"/>
          <w:lang w:eastAsia="en-US"/>
        </w:rPr>
      </w:pPr>
    </w:p>
    <w:p w14:paraId="1212CEA1" w14:textId="0E08E2B7" w:rsidR="007E37E9" w:rsidRPr="00A9418D" w:rsidRDefault="006725D2" w:rsidP="00A9418D">
      <w:pPr>
        <w:pStyle w:val="SpeechTemplate1"/>
        <w:numPr>
          <w:ilvl w:val="1"/>
          <w:numId w:val="38"/>
        </w:numPr>
        <w:contextualSpacing/>
        <w:jc w:val="both"/>
        <w:rPr>
          <w:rFonts w:cstheme="minorHAnsi"/>
          <w:sz w:val="24"/>
          <w:szCs w:val="24"/>
        </w:rPr>
      </w:pPr>
      <w:r>
        <w:rPr>
          <w:rFonts w:cstheme="minorHAnsi"/>
          <w:sz w:val="24"/>
          <w:szCs w:val="24"/>
        </w:rPr>
        <w:t>WHO Regional Office in Europe (EURO)</w:t>
      </w:r>
    </w:p>
    <w:p w14:paraId="5950D26D" w14:textId="27009DC3" w:rsidR="005671F9" w:rsidRPr="00904DAE" w:rsidRDefault="005A6ADB" w:rsidP="00A76BA9">
      <w:pPr>
        <w:pStyle w:val="ListParagraph"/>
        <w:numPr>
          <w:ilvl w:val="0"/>
          <w:numId w:val="1"/>
        </w:numPr>
        <w:tabs>
          <w:tab w:val="left" w:pos="567"/>
        </w:tabs>
        <w:spacing w:after="120"/>
        <w:ind w:left="0" w:firstLine="0"/>
        <w:contextualSpacing w:val="0"/>
        <w:jc w:val="both"/>
        <w:rPr>
          <w:rFonts w:eastAsia="Calibri" w:cstheme="minorHAnsi"/>
          <w:lang w:eastAsia="en-US"/>
        </w:rPr>
      </w:pPr>
      <w:r w:rsidRPr="00904DAE">
        <w:rPr>
          <w:rFonts w:eastAsia="Calibri" w:cstheme="minorHAnsi"/>
          <w:lang w:eastAsia="en-US"/>
        </w:rPr>
        <w:t xml:space="preserve">The WHO regional office for EURO </w:t>
      </w:r>
      <w:r w:rsidR="005671F9" w:rsidRPr="00904DAE">
        <w:rPr>
          <w:rFonts w:eastAsia="Calibri" w:cstheme="minorHAnsi"/>
          <w:lang w:eastAsia="en-US"/>
        </w:rPr>
        <w:t xml:space="preserve">produced a quarterly Roma Inclusion newsletter </w:t>
      </w:r>
      <w:r w:rsidR="004854C4">
        <w:rPr>
          <w:rFonts w:eastAsia="Calibri" w:cstheme="minorHAnsi"/>
          <w:lang w:eastAsia="en-US"/>
        </w:rPr>
        <w:t>t</w:t>
      </w:r>
      <w:r w:rsidR="005671F9" w:rsidRPr="00904DAE">
        <w:rPr>
          <w:rFonts w:eastAsia="Calibri" w:cstheme="minorHAnsi"/>
          <w:lang w:eastAsia="en-US"/>
        </w:rPr>
        <w:t xml:space="preserve">o share information and </w:t>
      </w:r>
      <w:r w:rsidR="005671F9" w:rsidRPr="00904DAE">
        <w:rPr>
          <w:rFonts w:cstheme="minorHAnsi"/>
        </w:rPr>
        <w:t>resources</w:t>
      </w:r>
      <w:r w:rsidR="005671F9" w:rsidRPr="00904DAE">
        <w:rPr>
          <w:rFonts w:eastAsia="Calibri" w:cstheme="minorHAnsi"/>
          <w:lang w:eastAsia="en-US"/>
        </w:rPr>
        <w:t xml:space="preserve"> relevant for Roma inclusion, and thereby support current efforts to strengthen the different components of national Roma integration strategies or policy measures in the EU and action plans for the Decade of Roma Inclusion.</w:t>
      </w:r>
      <w:r w:rsidR="005671F9" w:rsidRPr="00904DAE">
        <w:rPr>
          <w:rStyle w:val="FootnoteReference"/>
          <w:rFonts w:eastAsia="Calibri" w:cstheme="minorHAnsi"/>
          <w:lang w:eastAsia="en-US"/>
        </w:rPr>
        <w:footnoteReference w:id="40"/>
      </w:r>
      <w:r w:rsidR="005671F9" w:rsidRPr="00904DAE">
        <w:rPr>
          <w:rFonts w:eastAsia="Calibri" w:cstheme="minorHAnsi"/>
          <w:lang w:eastAsia="en-US"/>
        </w:rPr>
        <w:t xml:space="preserve"> </w:t>
      </w:r>
    </w:p>
    <w:p w14:paraId="63F4C1DA" w14:textId="2037D1E9" w:rsidR="00000A6B" w:rsidRPr="00904DAE" w:rsidRDefault="005671F9" w:rsidP="00A76BA9">
      <w:pPr>
        <w:pStyle w:val="ListParagraph"/>
        <w:numPr>
          <w:ilvl w:val="0"/>
          <w:numId w:val="1"/>
        </w:numPr>
        <w:tabs>
          <w:tab w:val="left" w:pos="567"/>
        </w:tabs>
        <w:spacing w:after="120"/>
        <w:ind w:left="0" w:firstLine="0"/>
        <w:contextualSpacing w:val="0"/>
        <w:jc w:val="both"/>
        <w:rPr>
          <w:rFonts w:eastAsia="Calibri" w:cstheme="minorHAnsi"/>
          <w:lang w:eastAsia="en-US"/>
        </w:rPr>
      </w:pPr>
      <w:r w:rsidRPr="00904DAE">
        <w:rPr>
          <w:rFonts w:eastAsia="Calibri" w:cstheme="minorHAnsi"/>
          <w:lang w:eastAsia="en-US"/>
        </w:rPr>
        <w:t>WHO/EURO has also produced a</w:t>
      </w:r>
      <w:r w:rsidR="00000A6B" w:rsidRPr="00904DAE">
        <w:rPr>
          <w:rFonts w:eastAsia="Calibri" w:cstheme="minorHAnsi"/>
          <w:lang w:eastAsia="en-US"/>
        </w:rPr>
        <w:t xml:space="preserve"> Toolkit on social participation</w:t>
      </w:r>
      <w:r w:rsidRPr="00904DAE">
        <w:rPr>
          <w:rFonts w:eastAsia="Calibri" w:cstheme="minorHAnsi"/>
          <w:lang w:eastAsia="en-US"/>
        </w:rPr>
        <w:t xml:space="preserve"> which includes m</w:t>
      </w:r>
      <w:r w:rsidR="00000A6B" w:rsidRPr="00904DAE">
        <w:rPr>
          <w:rFonts w:eastAsia="Calibri" w:cstheme="minorHAnsi"/>
          <w:lang w:eastAsia="en-US"/>
        </w:rPr>
        <w:t>ethods for ensuring the social participation of Roma populations in the design, implementation, monitoring and evaluation of policies and programmes to improve their health</w:t>
      </w:r>
      <w:r w:rsidRPr="00904DAE">
        <w:rPr>
          <w:rFonts w:eastAsia="Calibri" w:cstheme="minorHAnsi"/>
          <w:lang w:eastAsia="en-US"/>
        </w:rPr>
        <w:t xml:space="preserve">, available in English and </w:t>
      </w:r>
      <w:hyperlink r:id="rId13" w:tooltip="Toolkit on social participation" w:history="1">
        <w:proofErr w:type="spellStart"/>
        <w:r w:rsidRPr="00904DAE">
          <w:rPr>
            <w:rFonts w:eastAsia="Calibri" w:cstheme="minorHAnsi"/>
            <w:lang w:eastAsia="en-US"/>
          </w:rPr>
          <w:t>Română</w:t>
        </w:r>
        <w:proofErr w:type="spellEnd"/>
        <w:r w:rsidRPr="00904DAE">
          <w:rPr>
            <w:rFonts w:eastAsia="Calibri" w:cstheme="minorHAnsi"/>
            <w:lang w:eastAsia="en-US"/>
          </w:rPr>
          <w:t>.</w:t>
        </w:r>
      </w:hyperlink>
      <w:r w:rsidRPr="00904DAE">
        <w:rPr>
          <w:rStyle w:val="FootnoteReference"/>
          <w:rFonts w:eastAsia="Calibri" w:cstheme="minorHAnsi"/>
          <w:lang w:eastAsia="en-US"/>
        </w:rPr>
        <w:footnoteReference w:id="41"/>
      </w:r>
    </w:p>
    <w:p w14:paraId="3FBDB78A" w14:textId="2B44BC4A" w:rsidR="00000A6B" w:rsidRPr="00904DAE" w:rsidRDefault="005D59D0" w:rsidP="00A76BA9">
      <w:pPr>
        <w:pStyle w:val="ListParagraph"/>
        <w:numPr>
          <w:ilvl w:val="0"/>
          <w:numId w:val="1"/>
        </w:numPr>
        <w:tabs>
          <w:tab w:val="left" w:pos="567"/>
        </w:tabs>
        <w:spacing w:after="120"/>
        <w:ind w:left="0" w:firstLine="0"/>
        <w:contextualSpacing w:val="0"/>
        <w:jc w:val="both"/>
        <w:rPr>
          <w:rFonts w:eastAsia="Calibri" w:cstheme="minorHAnsi"/>
          <w:lang w:eastAsia="en-US"/>
        </w:rPr>
      </w:pPr>
      <w:r w:rsidRPr="00904DAE">
        <w:rPr>
          <w:rFonts w:eastAsia="Calibri" w:cstheme="minorHAnsi"/>
          <w:lang w:eastAsia="en-US"/>
        </w:rPr>
        <w:t xml:space="preserve">WHO/EURO has </w:t>
      </w:r>
      <w:r w:rsidRPr="00904DAE">
        <w:rPr>
          <w:rFonts w:ascii="Calibri" w:eastAsiaTheme="minorHAnsi" w:hAnsi="Calibri" w:cs="Calibri"/>
          <w:color w:val="000000"/>
          <w:lang w:val="en-US" w:eastAsia="en-US"/>
        </w:rPr>
        <w:t>also</w:t>
      </w:r>
      <w:r w:rsidRPr="00904DAE">
        <w:rPr>
          <w:rFonts w:eastAsia="Calibri" w:cstheme="minorHAnsi"/>
          <w:lang w:eastAsia="en-US"/>
        </w:rPr>
        <w:t xml:space="preserve"> produced Roma case studies on different aspects of Roma health care at the national and regional level, including</w:t>
      </w:r>
      <w:r w:rsidR="00904E34" w:rsidRPr="00904DAE">
        <w:rPr>
          <w:rFonts w:eastAsia="Calibri" w:cstheme="minorHAnsi"/>
          <w:lang w:eastAsia="en-US"/>
        </w:rPr>
        <w:t xml:space="preserve">: </w:t>
      </w:r>
    </w:p>
    <w:p w14:paraId="7FA419E7" w14:textId="59CE030F" w:rsidR="00000A6B" w:rsidRPr="00904DAE" w:rsidRDefault="004E71CE" w:rsidP="00A9418D">
      <w:pPr>
        <w:pStyle w:val="xmsolistparagraph"/>
        <w:numPr>
          <w:ilvl w:val="0"/>
          <w:numId w:val="25"/>
        </w:numPr>
        <w:spacing w:before="0" w:beforeAutospacing="0" w:after="120" w:afterAutospacing="0"/>
        <w:ind w:left="357" w:hanging="357"/>
        <w:rPr>
          <w:rFonts w:ascii="Calibri" w:hAnsi="Calibri" w:cs="Calibri"/>
          <w:color w:val="201F1E"/>
          <w:sz w:val="22"/>
          <w:szCs w:val="22"/>
        </w:rPr>
      </w:pPr>
      <w:r w:rsidRPr="00904DAE">
        <w:rPr>
          <w:rFonts w:ascii="Calibri" w:hAnsi="Calibri" w:cs="Calibri"/>
          <w:iCs/>
          <w:color w:val="201F1E"/>
          <w:sz w:val="22"/>
          <w:szCs w:val="22"/>
        </w:rPr>
        <w:t>Roma health mediation in Romania to improve the health status of Roma and their access to health care services</w:t>
      </w:r>
      <w:r w:rsidR="001417CD" w:rsidRPr="00904DAE">
        <w:rPr>
          <w:rFonts w:ascii="Calibri" w:hAnsi="Calibri" w:cs="Calibri"/>
          <w:iCs/>
          <w:color w:val="201F1E"/>
          <w:sz w:val="22"/>
          <w:szCs w:val="22"/>
        </w:rPr>
        <w:t xml:space="preserve"> -</w:t>
      </w:r>
      <w:r w:rsidRPr="00904DAE">
        <w:rPr>
          <w:rFonts w:ascii="Calibri" w:hAnsi="Calibri" w:cs="Calibri"/>
          <w:iCs/>
          <w:color w:val="201F1E"/>
          <w:sz w:val="22"/>
          <w:szCs w:val="22"/>
        </w:rPr>
        <w:t xml:space="preserve"> Case studies series No. 1</w:t>
      </w:r>
      <w:r w:rsidR="007D5EBA" w:rsidRPr="00904DAE">
        <w:rPr>
          <w:rFonts w:ascii="Calibri" w:hAnsi="Calibri" w:cs="Calibri"/>
          <w:iCs/>
          <w:color w:val="201F1E"/>
          <w:sz w:val="22"/>
          <w:szCs w:val="22"/>
        </w:rPr>
        <w:t>;</w:t>
      </w:r>
      <w:r w:rsidRPr="00904DAE">
        <w:rPr>
          <w:rStyle w:val="FootnoteReference"/>
          <w:rFonts w:ascii="Calibri" w:hAnsi="Calibri" w:cs="Calibri"/>
          <w:iCs/>
          <w:color w:val="201F1E"/>
          <w:sz w:val="22"/>
          <w:szCs w:val="22"/>
        </w:rPr>
        <w:footnoteReference w:id="42"/>
      </w:r>
      <w:r w:rsidRPr="00904DAE">
        <w:rPr>
          <w:rFonts w:ascii="Calibri" w:hAnsi="Calibri" w:cs="Calibri"/>
          <w:iCs/>
          <w:color w:val="201F1E"/>
          <w:sz w:val="22"/>
          <w:szCs w:val="22"/>
        </w:rPr>
        <w:t xml:space="preserve"> </w:t>
      </w:r>
      <w:r w:rsidR="00000A6B" w:rsidRPr="00904DAE">
        <w:rPr>
          <w:rFonts w:ascii="Calibri" w:hAnsi="Calibri" w:cs="Calibri"/>
          <w:iCs/>
          <w:color w:val="201F1E"/>
          <w:sz w:val="22"/>
          <w:szCs w:val="22"/>
        </w:rPr>
        <w:t xml:space="preserve">Review and reorientation of </w:t>
      </w:r>
      <w:r w:rsidR="00354D21" w:rsidRPr="00904DAE">
        <w:rPr>
          <w:rFonts w:ascii="Calibri" w:hAnsi="Calibri" w:cs="Calibri"/>
          <w:iCs/>
          <w:color w:val="201F1E"/>
          <w:sz w:val="22"/>
          <w:szCs w:val="22"/>
        </w:rPr>
        <w:t xml:space="preserve">the health programme for health protection of mothers and children </w:t>
      </w:r>
      <w:r w:rsidR="001417CD" w:rsidRPr="00904DAE">
        <w:rPr>
          <w:rFonts w:ascii="Calibri" w:hAnsi="Calibri" w:cs="Calibri"/>
          <w:iCs/>
          <w:color w:val="201F1E"/>
          <w:sz w:val="22"/>
          <w:szCs w:val="22"/>
        </w:rPr>
        <w:t xml:space="preserve">in </w:t>
      </w:r>
      <w:r w:rsidR="00000A6B" w:rsidRPr="00904DAE">
        <w:rPr>
          <w:rFonts w:ascii="Calibri" w:hAnsi="Calibri" w:cs="Calibri"/>
          <w:iCs/>
          <w:color w:val="201F1E"/>
          <w:sz w:val="22"/>
          <w:szCs w:val="22"/>
        </w:rPr>
        <w:t xml:space="preserve">the </w:t>
      </w:r>
      <w:r w:rsidR="006468CB" w:rsidRPr="00904DAE">
        <w:rPr>
          <w:rFonts w:ascii="Calibri" w:hAnsi="Calibri" w:cs="Calibri"/>
          <w:iCs/>
          <w:color w:val="201F1E"/>
          <w:sz w:val="22"/>
          <w:szCs w:val="22"/>
        </w:rPr>
        <w:t xml:space="preserve">former Yugoslav Republic of Macedonia </w:t>
      </w:r>
      <w:r w:rsidR="00000A6B" w:rsidRPr="00904DAE">
        <w:rPr>
          <w:rFonts w:ascii="Calibri" w:hAnsi="Calibri" w:cs="Calibri"/>
          <w:iCs/>
          <w:color w:val="201F1E"/>
          <w:sz w:val="22"/>
          <w:szCs w:val="22"/>
        </w:rPr>
        <w:t>- Case study series No. 2</w:t>
      </w:r>
      <w:r w:rsidR="00A9418D" w:rsidRPr="00904DAE">
        <w:rPr>
          <w:rFonts w:ascii="Calibri" w:hAnsi="Calibri" w:cs="Calibri"/>
          <w:color w:val="201F1E"/>
          <w:sz w:val="22"/>
          <w:szCs w:val="22"/>
        </w:rPr>
        <w:t>;</w:t>
      </w:r>
      <w:r w:rsidR="00521CE3" w:rsidRPr="00904DAE">
        <w:rPr>
          <w:rStyle w:val="FootnoteReference"/>
          <w:rFonts w:ascii="Calibri" w:hAnsi="Calibri" w:cs="Calibri"/>
          <w:color w:val="201F1E"/>
          <w:sz w:val="22"/>
          <w:szCs w:val="22"/>
        </w:rPr>
        <w:footnoteReference w:id="43"/>
      </w:r>
      <w:r w:rsidR="00000A6B" w:rsidRPr="00904DAE">
        <w:rPr>
          <w:rFonts w:ascii="Calibri" w:hAnsi="Calibri" w:cs="Calibri"/>
          <w:color w:val="201F1E"/>
          <w:sz w:val="22"/>
          <w:szCs w:val="22"/>
        </w:rPr>
        <w:t> </w:t>
      </w:r>
      <w:r w:rsidR="005F44E6" w:rsidRPr="00904DAE">
        <w:rPr>
          <w:rFonts w:ascii="Calibri" w:hAnsi="Calibri" w:cs="Calibri"/>
          <w:color w:val="201F1E"/>
          <w:sz w:val="22"/>
          <w:szCs w:val="22"/>
        </w:rPr>
        <w:t xml:space="preserve"> </w:t>
      </w:r>
      <w:r w:rsidRPr="00904DAE">
        <w:rPr>
          <w:rFonts w:ascii="Calibri" w:hAnsi="Calibri" w:cs="Calibri"/>
          <w:iCs/>
          <w:color w:val="201F1E"/>
          <w:sz w:val="22"/>
          <w:szCs w:val="22"/>
        </w:rPr>
        <w:t>Review and reorientation of the Serbian national programme for early detection of cervical cancer towards greater health equity</w:t>
      </w:r>
      <w:r w:rsidRPr="00904DAE">
        <w:rPr>
          <w:rFonts w:ascii="Calibri" w:hAnsi="Calibri" w:cs="Calibri"/>
          <w:color w:val="201F1E"/>
          <w:sz w:val="22"/>
          <w:szCs w:val="22"/>
        </w:rPr>
        <w:t xml:space="preserve"> - Case study series No. 3</w:t>
      </w:r>
      <w:r w:rsidR="00A9418D" w:rsidRPr="00904DAE">
        <w:rPr>
          <w:rFonts w:ascii="Calibri" w:hAnsi="Calibri" w:cs="Calibri"/>
          <w:color w:val="201F1E"/>
          <w:sz w:val="22"/>
          <w:szCs w:val="22"/>
        </w:rPr>
        <w:t>;</w:t>
      </w:r>
      <w:r w:rsidRPr="00904DAE">
        <w:rPr>
          <w:rStyle w:val="FootnoteReference"/>
          <w:rFonts w:ascii="Calibri" w:hAnsi="Calibri" w:cs="Calibri"/>
          <w:color w:val="201F1E"/>
          <w:sz w:val="22"/>
          <w:szCs w:val="22"/>
        </w:rPr>
        <w:footnoteReference w:id="44"/>
      </w:r>
      <w:r w:rsidRPr="00904DAE">
        <w:rPr>
          <w:rFonts w:ascii="Calibri" w:hAnsi="Calibri" w:cs="Calibri"/>
          <w:color w:val="201F1E"/>
          <w:sz w:val="22"/>
          <w:szCs w:val="22"/>
        </w:rPr>
        <w:t> </w:t>
      </w:r>
      <w:r w:rsidR="0001015D" w:rsidRPr="00904DAE">
        <w:rPr>
          <w:rFonts w:asciiTheme="minorHAnsi" w:eastAsia="Calibri" w:hAnsiTheme="minorHAnsi" w:cstheme="minorHAnsi"/>
          <w:sz w:val="22"/>
          <w:szCs w:val="22"/>
          <w:lang w:eastAsia="en-US"/>
        </w:rPr>
        <w:t xml:space="preserve">Brief </w:t>
      </w:r>
      <w:r w:rsidRPr="00904DAE">
        <w:rPr>
          <w:rFonts w:asciiTheme="minorHAnsi" w:eastAsia="Calibri" w:hAnsiTheme="minorHAnsi" w:cstheme="minorHAnsi"/>
          <w:sz w:val="22"/>
          <w:szCs w:val="22"/>
          <w:lang w:eastAsia="en-US"/>
        </w:rPr>
        <w:t xml:space="preserve">on how health systems can address health inequities linked to migration and ethnicity </w:t>
      </w:r>
      <w:r w:rsidR="0001015D" w:rsidRPr="00904DAE">
        <w:rPr>
          <w:rFonts w:asciiTheme="minorHAnsi" w:eastAsia="Calibri" w:hAnsiTheme="minorHAnsi" w:cstheme="minorHAnsi"/>
          <w:sz w:val="22"/>
          <w:szCs w:val="22"/>
          <w:lang w:eastAsia="en-US"/>
        </w:rPr>
        <w:t>produced through the WHO/European Commission equity project</w:t>
      </w:r>
      <w:r w:rsidRPr="00904DAE">
        <w:rPr>
          <w:rFonts w:ascii="Calibri" w:hAnsi="Calibri" w:cs="Calibri"/>
          <w:iCs/>
          <w:color w:val="201F1E"/>
          <w:sz w:val="22"/>
          <w:szCs w:val="22"/>
        </w:rPr>
        <w:t>.</w:t>
      </w:r>
      <w:r w:rsidRPr="00904DAE">
        <w:rPr>
          <w:rStyle w:val="FootnoteReference"/>
          <w:rFonts w:ascii="Calibri" w:hAnsi="Calibri" w:cs="Calibri"/>
          <w:iCs/>
          <w:color w:val="201F1E"/>
          <w:sz w:val="22"/>
          <w:szCs w:val="22"/>
        </w:rPr>
        <w:footnoteReference w:id="45"/>
      </w:r>
    </w:p>
    <w:p w14:paraId="21D336DC" w14:textId="78A6042D" w:rsidR="00CE4632" w:rsidRPr="00726E42" w:rsidRDefault="00CE31D1" w:rsidP="00AB4169">
      <w:pPr>
        <w:pStyle w:val="SpeechTemplate1"/>
        <w:numPr>
          <w:ilvl w:val="1"/>
          <w:numId w:val="38"/>
        </w:numPr>
        <w:contextualSpacing/>
        <w:jc w:val="both"/>
        <w:rPr>
          <w:rFonts w:cstheme="minorHAnsi"/>
          <w:sz w:val="24"/>
          <w:szCs w:val="24"/>
          <w:lang w:val="en-US"/>
        </w:rPr>
      </w:pPr>
      <w:r w:rsidRPr="00726E42">
        <w:rPr>
          <w:rFonts w:cstheme="minorHAnsi"/>
          <w:sz w:val="24"/>
          <w:szCs w:val="24"/>
          <w:lang w:val="en-US"/>
        </w:rPr>
        <w:t>FCTC Implementation</w:t>
      </w:r>
      <w:r w:rsidR="00E04D35">
        <w:rPr>
          <w:rFonts w:cstheme="minorHAnsi"/>
          <w:sz w:val="24"/>
          <w:szCs w:val="24"/>
          <w:lang w:val="en-US"/>
        </w:rPr>
        <w:t>:</w:t>
      </w:r>
      <w:r w:rsidR="00A5255B">
        <w:rPr>
          <w:rFonts w:cstheme="minorHAnsi"/>
          <w:sz w:val="24"/>
          <w:szCs w:val="24"/>
          <w:lang w:val="en-US"/>
        </w:rPr>
        <w:t xml:space="preserve"> </w:t>
      </w:r>
      <w:r w:rsidR="00F576A4">
        <w:rPr>
          <w:rFonts w:cstheme="minorHAnsi"/>
          <w:sz w:val="24"/>
          <w:szCs w:val="24"/>
          <w:lang w:val="en-US"/>
        </w:rPr>
        <w:t xml:space="preserve">Tobacco </w:t>
      </w:r>
      <w:r w:rsidR="00FE6E39">
        <w:rPr>
          <w:rFonts w:cstheme="minorHAnsi"/>
          <w:sz w:val="24"/>
          <w:szCs w:val="24"/>
          <w:lang w:val="en-US"/>
        </w:rPr>
        <w:t xml:space="preserve">and </w:t>
      </w:r>
      <w:r w:rsidR="00E04D35">
        <w:rPr>
          <w:rFonts w:cstheme="minorHAnsi"/>
          <w:sz w:val="24"/>
          <w:szCs w:val="24"/>
          <w:lang w:val="en-US"/>
        </w:rPr>
        <w:t>R</w:t>
      </w:r>
      <w:r w:rsidR="007A2B40">
        <w:rPr>
          <w:rFonts w:cstheme="minorHAnsi"/>
          <w:sz w:val="24"/>
          <w:szCs w:val="24"/>
          <w:lang w:val="en-US"/>
        </w:rPr>
        <w:t>acial</w:t>
      </w:r>
      <w:r w:rsidR="00C32F43">
        <w:rPr>
          <w:rFonts w:cstheme="minorHAnsi"/>
          <w:sz w:val="24"/>
          <w:szCs w:val="24"/>
          <w:lang w:val="en-US"/>
        </w:rPr>
        <w:t xml:space="preserve"> and ethnic minorities</w:t>
      </w:r>
      <w:r w:rsidR="00F576A4">
        <w:rPr>
          <w:rFonts w:cstheme="minorHAnsi"/>
          <w:sz w:val="24"/>
          <w:szCs w:val="24"/>
          <w:lang w:val="en-US"/>
        </w:rPr>
        <w:t xml:space="preserve"> and Indigenous peoples</w:t>
      </w:r>
    </w:p>
    <w:p w14:paraId="6E8EF8AB" w14:textId="58A62622" w:rsidR="0081040F" w:rsidRPr="00904DAE" w:rsidRDefault="00CE4632" w:rsidP="0081040F">
      <w:pPr>
        <w:pStyle w:val="ListParagraph"/>
        <w:numPr>
          <w:ilvl w:val="0"/>
          <w:numId w:val="1"/>
        </w:numPr>
        <w:tabs>
          <w:tab w:val="left" w:pos="567"/>
        </w:tabs>
        <w:spacing w:after="120"/>
        <w:ind w:left="0" w:firstLine="0"/>
        <w:contextualSpacing w:val="0"/>
        <w:jc w:val="both"/>
        <w:rPr>
          <w:rFonts w:eastAsia="Calibri" w:cstheme="minorHAnsi"/>
          <w:lang w:eastAsia="en-US"/>
        </w:rPr>
      </w:pPr>
      <w:r w:rsidRPr="00904DAE">
        <w:rPr>
          <w:rFonts w:eastAsia="Calibri" w:cstheme="minorHAnsi"/>
          <w:lang w:eastAsia="en-US"/>
        </w:rPr>
        <w:t>The WHO FCTC recognizes the vulnerabili</w:t>
      </w:r>
      <w:r w:rsidR="00FE6E39" w:rsidRPr="00904DAE">
        <w:rPr>
          <w:rFonts w:eastAsia="Calibri" w:cstheme="minorHAnsi"/>
          <w:lang w:eastAsia="en-US"/>
        </w:rPr>
        <w:t xml:space="preserve">ty </w:t>
      </w:r>
      <w:r w:rsidRPr="00904DAE">
        <w:rPr>
          <w:rFonts w:eastAsia="Calibri" w:cstheme="minorHAnsi"/>
          <w:lang w:eastAsia="en-US"/>
        </w:rPr>
        <w:t>and promotes tailored and inclusive measures for the protection of specific groups in the face of the tobacco threat, namely women and young girls, children and adolescents, indigenous individuals and communities, and economically vulnerable households, including tobacco growers and farmers.</w:t>
      </w:r>
    </w:p>
    <w:p w14:paraId="2B71FE02" w14:textId="42D90542" w:rsidR="00CE4632" w:rsidRPr="00904DAE" w:rsidRDefault="00CE4632" w:rsidP="68DCBA67">
      <w:pPr>
        <w:pStyle w:val="ListParagraph"/>
        <w:numPr>
          <w:ilvl w:val="0"/>
          <w:numId w:val="1"/>
        </w:numPr>
        <w:tabs>
          <w:tab w:val="left" w:pos="567"/>
        </w:tabs>
        <w:spacing w:after="120"/>
        <w:ind w:left="0" w:firstLine="0"/>
        <w:jc w:val="both"/>
        <w:rPr>
          <w:b/>
          <w:bCs/>
        </w:rPr>
      </w:pPr>
      <w:r w:rsidRPr="68DCBA67">
        <w:t xml:space="preserve">Tobacco </w:t>
      </w:r>
      <w:r w:rsidRPr="68DCBA67">
        <w:rPr>
          <w:rFonts w:eastAsia="Calibri"/>
          <w:lang w:eastAsia="en-US"/>
        </w:rPr>
        <w:t>companies</w:t>
      </w:r>
      <w:r w:rsidRPr="68DCBA67">
        <w:t xml:space="preserve"> misappropriate indigenous traditions and symbols in marketing, target flavoured products to </w:t>
      </w:r>
      <w:r w:rsidRPr="68DCBA67">
        <w:rPr>
          <w:rFonts w:eastAsia="Calibri"/>
          <w:lang w:eastAsia="en-US"/>
        </w:rPr>
        <w:t>marginalized</w:t>
      </w:r>
      <w:r w:rsidRPr="68DCBA67">
        <w:t xml:space="preserve"> and vulnerable populations, and promote electronic nicotine delivery-systems and heated tobacco products among indigenous peoples.</w:t>
      </w:r>
      <w:r w:rsidRPr="68DCBA67">
        <w:rPr>
          <w:rStyle w:val="FootnoteReference"/>
        </w:rPr>
        <w:footnoteReference w:id="46"/>
      </w:r>
      <w:r w:rsidRPr="68DCBA67">
        <w:t xml:space="preserve"> The Guiding Principles of the WHO FCTC highlight the need for Parties to take measures to promote the participation of indigenous individuals and communities in the development, implementation and evaluation of tobacco control programmes that are socially and culturally appropriate.</w:t>
      </w:r>
      <w:r w:rsidRPr="68DCBA67">
        <w:rPr>
          <w:rStyle w:val="FootnoteReference"/>
        </w:rPr>
        <w:footnoteReference w:id="47"/>
      </w:r>
      <w:r w:rsidRPr="68DCBA67">
        <w:t xml:space="preserve"> This principle cuts across all WHO FCTC provisions, supporting Parties to develop, strengthen and adjust tobacco control measures </w:t>
      </w:r>
      <w:r w:rsidR="00322E77" w:rsidRPr="68DCBA67">
        <w:t xml:space="preserve">to their </w:t>
      </w:r>
      <w:r w:rsidR="006C3E20" w:rsidRPr="68DCBA67">
        <w:t xml:space="preserve">specific domestic </w:t>
      </w:r>
      <w:r w:rsidR="003D5C0F" w:rsidRPr="68DCBA67">
        <w:t>context</w:t>
      </w:r>
      <w:r w:rsidR="00FB42A4" w:rsidRPr="68DCBA67">
        <w:t>s</w:t>
      </w:r>
      <w:r w:rsidR="003D5C0F" w:rsidRPr="68DCBA67">
        <w:t>, for example</w:t>
      </w:r>
      <w:r w:rsidRPr="68DCBA67">
        <w:t>:</w:t>
      </w:r>
    </w:p>
    <w:p w14:paraId="28AAF2D3" w14:textId="22B29B9F" w:rsidR="00CE4632" w:rsidRPr="00904DAE" w:rsidRDefault="00CE4632" w:rsidP="00D11A34">
      <w:pPr>
        <w:pStyle w:val="xmsolistparagraph"/>
        <w:numPr>
          <w:ilvl w:val="0"/>
          <w:numId w:val="25"/>
        </w:numPr>
        <w:spacing w:before="0" w:beforeAutospacing="0" w:after="120" w:afterAutospacing="0"/>
        <w:ind w:left="357" w:hanging="357"/>
        <w:rPr>
          <w:rFonts w:asciiTheme="minorHAnsi" w:hAnsiTheme="minorHAnsi" w:cstheme="minorHAnsi"/>
          <w:b/>
          <w:bCs/>
          <w:sz w:val="22"/>
          <w:szCs w:val="22"/>
        </w:rPr>
      </w:pPr>
      <w:r w:rsidRPr="00904DAE">
        <w:rPr>
          <w:rFonts w:asciiTheme="minorHAnsi" w:hAnsiTheme="minorHAnsi" w:cstheme="minorHAnsi"/>
          <w:b/>
          <w:bCs/>
          <w:sz w:val="22"/>
          <w:szCs w:val="22"/>
        </w:rPr>
        <w:lastRenderedPageBreak/>
        <w:t>Article 6: Price and tax measures to reduce the demand for tobacco</w:t>
      </w:r>
      <w:r w:rsidR="00D11A34" w:rsidRPr="00904DAE">
        <w:rPr>
          <w:rFonts w:asciiTheme="minorHAnsi" w:hAnsiTheme="minorHAnsi" w:cstheme="minorHAnsi"/>
          <w:b/>
          <w:bCs/>
          <w:sz w:val="22"/>
          <w:szCs w:val="22"/>
        </w:rPr>
        <w:t xml:space="preserve">. </w:t>
      </w:r>
      <w:r w:rsidRPr="00904DAE">
        <w:rPr>
          <w:rFonts w:asciiTheme="minorHAnsi" w:hAnsiTheme="minorHAnsi" w:cstheme="minorHAnsi"/>
          <w:sz w:val="22"/>
          <w:szCs w:val="22"/>
        </w:rPr>
        <w:t xml:space="preserve">Evidence </w:t>
      </w:r>
      <w:r w:rsidRPr="00904DAE">
        <w:rPr>
          <w:rFonts w:asciiTheme="minorHAnsi" w:hAnsiTheme="minorHAnsi" w:cstheme="minorHAnsi"/>
          <w:bCs/>
          <w:sz w:val="22"/>
          <w:szCs w:val="22"/>
        </w:rPr>
        <w:t>shows</w:t>
      </w:r>
      <w:r w:rsidRPr="00904DAE">
        <w:rPr>
          <w:rFonts w:asciiTheme="minorHAnsi" w:hAnsiTheme="minorHAnsi" w:cstheme="minorHAnsi"/>
          <w:sz w:val="22"/>
          <w:szCs w:val="22"/>
        </w:rPr>
        <w:t xml:space="preserve"> that price and tax measures are an effective and important means of reducing tobacco consumption. However, in some cases, research has shown that indigenous peoples developed innovative tobacco-related practices to continue to smoke, despite the rising costs of tobacco.</w:t>
      </w:r>
      <w:r w:rsidRPr="00904DAE">
        <w:rPr>
          <w:rStyle w:val="FootnoteReference"/>
          <w:rFonts w:asciiTheme="minorHAnsi" w:eastAsiaTheme="minorEastAsia" w:hAnsiTheme="minorHAnsi" w:cstheme="minorHAnsi"/>
          <w:sz w:val="22"/>
          <w:szCs w:val="22"/>
        </w:rPr>
        <w:footnoteReference w:id="48"/>
      </w:r>
      <w:r w:rsidRPr="00904DAE">
        <w:rPr>
          <w:rFonts w:asciiTheme="minorHAnsi" w:hAnsiTheme="minorHAnsi" w:cstheme="minorHAnsi"/>
          <w:sz w:val="22"/>
          <w:szCs w:val="22"/>
        </w:rPr>
        <w:t xml:space="preserve"> In other instances, indigenous tobacco use may be less affected by tax measures due to tax exemptions.</w:t>
      </w:r>
      <w:r w:rsidRPr="00904DAE">
        <w:rPr>
          <w:rStyle w:val="FootnoteReference"/>
          <w:rFonts w:asciiTheme="minorHAnsi" w:eastAsiaTheme="minorEastAsia" w:hAnsiTheme="minorHAnsi" w:cstheme="minorHAnsi"/>
          <w:sz w:val="22"/>
          <w:szCs w:val="22"/>
        </w:rPr>
        <w:footnoteReference w:id="49"/>
      </w:r>
      <w:r w:rsidRPr="00904DAE">
        <w:rPr>
          <w:rFonts w:asciiTheme="minorHAnsi" w:hAnsiTheme="minorHAnsi" w:cstheme="minorHAnsi"/>
          <w:sz w:val="22"/>
          <w:szCs w:val="22"/>
        </w:rPr>
        <w:t xml:space="preserve"> </w:t>
      </w:r>
      <w:r w:rsidRPr="00904DAE">
        <w:rPr>
          <w:rStyle w:val="FootnoteReference"/>
          <w:rFonts w:asciiTheme="minorHAnsi" w:eastAsiaTheme="minorEastAsia" w:hAnsiTheme="minorHAnsi" w:cstheme="minorHAnsi"/>
          <w:sz w:val="22"/>
          <w:szCs w:val="22"/>
        </w:rPr>
        <w:footnoteReference w:id="50"/>
      </w:r>
      <w:r w:rsidRPr="00904DAE">
        <w:rPr>
          <w:rFonts w:asciiTheme="minorHAnsi" w:hAnsiTheme="minorHAnsi" w:cstheme="minorHAnsi"/>
          <w:sz w:val="22"/>
          <w:szCs w:val="22"/>
        </w:rPr>
        <w:t xml:space="preserve"> These challenges may suggest in some settings the need to strengthen cessation and uptake prevention programmes for indigenous peoples.</w:t>
      </w:r>
      <w:r w:rsidRPr="00904DAE">
        <w:rPr>
          <w:rStyle w:val="FootnoteReference"/>
          <w:rFonts w:asciiTheme="minorHAnsi" w:eastAsiaTheme="minorEastAsia" w:hAnsiTheme="minorHAnsi" w:cstheme="minorHAnsi"/>
          <w:sz w:val="22"/>
          <w:szCs w:val="22"/>
        </w:rPr>
        <w:footnoteReference w:id="51"/>
      </w:r>
      <w:r w:rsidRPr="00904DAE">
        <w:rPr>
          <w:rFonts w:asciiTheme="minorHAnsi" w:hAnsiTheme="minorHAnsi" w:cstheme="minorHAnsi"/>
          <w:sz w:val="22"/>
          <w:szCs w:val="22"/>
        </w:rPr>
        <w:t xml:space="preserve"> </w:t>
      </w:r>
    </w:p>
    <w:p w14:paraId="028FC7D3" w14:textId="127E5459" w:rsidR="00CE4632" w:rsidRPr="00904DAE" w:rsidRDefault="00CE4632" w:rsidP="00BD7E1B">
      <w:pPr>
        <w:pStyle w:val="xmsolistparagraph"/>
        <w:numPr>
          <w:ilvl w:val="0"/>
          <w:numId w:val="25"/>
        </w:numPr>
        <w:spacing w:before="0" w:beforeAutospacing="0" w:after="120" w:afterAutospacing="0"/>
        <w:ind w:left="357" w:hanging="357"/>
        <w:rPr>
          <w:rFonts w:asciiTheme="minorHAnsi" w:hAnsiTheme="minorHAnsi" w:cstheme="minorHAnsi"/>
          <w:b/>
          <w:bCs/>
          <w:sz w:val="22"/>
          <w:szCs w:val="22"/>
        </w:rPr>
      </w:pPr>
      <w:r w:rsidRPr="00904DAE">
        <w:rPr>
          <w:rFonts w:asciiTheme="minorHAnsi" w:hAnsiTheme="minorHAnsi" w:cstheme="minorHAnsi"/>
          <w:b/>
          <w:bCs/>
          <w:sz w:val="22"/>
          <w:szCs w:val="22"/>
        </w:rPr>
        <w:t xml:space="preserve">Article 9 </w:t>
      </w:r>
      <w:r w:rsidRPr="00CB5FF3">
        <w:rPr>
          <w:rFonts w:asciiTheme="minorHAnsi" w:hAnsiTheme="minorHAnsi" w:cstheme="minorHAnsi"/>
          <w:b/>
          <w:bCs/>
          <w:sz w:val="22"/>
          <w:szCs w:val="22"/>
        </w:rPr>
        <w:t>and 10</w:t>
      </w:r>
      <w:r w:rsidRPr="00904DAE">
        <w:rPr>
          <w:rFonts w:asciiTheme="minorHAnsi" w:hAnsiTheme="minorHAnsi" w:cstheme="minorHAnsi"/>
          <w:b/>
          <w:bCs/>
          <w:sz w:val="22"/>
          <w:szCs w:val="22"/>
        </w:rPr>
        <w:t>: Regulation of the contents of tobacco products and tobacco product disclosures</w:t>
      </w:r>
      <w:r w:rsidR="00853D2A" w:rsidRPr="00904DAE">
        <w:rPr>
          <w:rFonts w:asciiTheme="minorHAnsi" w:hAnsiTheme="minorHAnsi" w:cstheme="minorHAnsi"/>
          <w:b/>
          <w:bCs/>
          <w:sz w:val="22"/>
          <w:szCs w:val="22"/>
        </w:rPr>
        <w:t xml:space="preserve">: </w:t>
      </w:r>
      <w:r w:rsidRPr="00904DAE">
        <w:rPr>
          <w:rFonts w:asciiTheme="minorHAnsi" w:hAnsiTheme="minorHAnsi" w:cstheme="minorHAnsi"/>
          <w:sz w:val="22"/>
          <w:szCs w:val="22"/>
        </w:rPr>
        <w:t xml:space="preserve">The Partial Guidelines for implementation of Articles 9 and 10 of the WHO FCTC state that masking tobacco smoke harshness with </w:t>
      </w:r>
      <w:r w:rsidR="00003700" w:rsidRPr="00904DAE">
        <w:rPr>
          <w:rFonts w:asciiTheme="minorHAnsi" w:hAnsiTheme="minorHAnsi" w:cstheme="minorHAnsi"/>
          <w:sz w:val="22"/>
          <w:szCs w:val="22"/>
        </w:rPr>
        <w:t>flavours</w:t>
      </w:r>
      <w:r w:rsidRPr="00904DAE">
        <w:rPr>
          <w:rFonts w:asciiTheme="minorHAnsi" w:hAnsiTheme="minorHAnsi" w:cstheme="minorHAnsi"/>
          <w:sz w:val="22"/>
          <w:szCs w:val="22"/>
        </w:rPr>
        <w:t xml:space="preserve"> contributes to promoting and sustaining tobacco use. The Parties are recommended to prohibit and restrict ingredients that increase the palatability of tobacco products.</w:t>
      </w:r>
      <w:r w:rsidRPr="00904DAE">
        <w:rPr>
          <w:rStyle w:val="FootnoteReference"/>
          <w:rFonts w:asciiTheme="minorHAnsi" w:eastAsiaTheme="minorEastAsia" w:hAnsiTheme="minorHAnsi" w:cstheme="minorHAnsi"/>
          <w:sz w:val="22"/>
          <w:szCs w:val="22"/>
        </w:rPr>
        <w:footnoteReference w:id="52"/>
      </w:r>
      <w:r w:rsidR="00BD7E1B" w:rsidRPr="00904DAE">
        <w:rPr>
          <w:rFonts w:asciiTheme="minorHAnsi" w:hAnsiTheme="minorHAnsi" w:cstheme="minorHAnsi"/>
          <w:sz w:val="22"/>
          <w:szCs w:val="22"/>
        </w:rPr>
        <w:t xml:space="preserve"> </w:t>
      </w:r>
      <w:r w:rsidRPr="00904DAE">
        <w:rPr>
          <w:rFonts w:asciiTheme="minorHAnsi" w:hAnsiTheme="minorHAnsi" w:cstheme="minorHAnsi"/>
          <w:sz w:val="22"/>
          <w:szCs w:val="22"/>
        </w:rPr>
        <w:t xml:space="preserve">There is documented evidence of the tobacco industry’s efforts to promote menthol cigarettes at the point of sale, and in at least one country, studies have observed more outdoor and retail menthol advertisements in </w:t>
      </w:r>
      <w:r w:rsidR="00BD7E1B" w:rsidRPr="00904DAE">
        <w:rPr>
          <w:rFonts w:asciiTheme="minorHAnsi" w:hAnsiTheme="minorHAnsi" w:cstheme="minorHAnsi"/>
          <w:sz w:val="22"/>
          <w:szCs w:val="22"/>
        </w:rPr>
        <w:t>neighbourhoods</w:t>
      </w:r>
      <w:r w:rsidRPr="00904DAE">
        <w:rPr>
          <w:rFonts w:asciiTheme="minorHAnsi" w:hAnsiTheme="minorHAnsi" w:cstheme="minorHAnsi"/>
          <w:sz w:val="22"/>
          <w:szCs w:val="22"/>
        </w:rPr>
        <w:t xml:space="preserve"> along racial lines.</w:t>
      </w:r>
      <w:r w:rsidRPr="00904DAE">
        <w:rPr>
          <w:rStyle w:val="FootnoteReference"/>
          <w:rFonts w:asciiTheme="minorHAnsi" w:eastAsiaTheme="minorEastAsia" w:hAnsiTheme="minorHAnsi" w:cstheme="minorHAnsi"/>
          <w:sz w:val="22"/>
          <w:szCs w:val="22"/>
        </w:rPr>
        <w:footnoteReference w:id="53"/>
      </w:r>
      <w:r w:rsidR="00BD7E1B" w:rsidRPr="00904DAE">
        <w:rPr>
          <w:rFonts w:asciiTheme="minorHAnsi" w:hAnsiTheme="minorHAnsi" w:cstheme="minorHAnsi"/>
          <w:sz w:val="22"/>
          <w:szCs w:val="22"/>
        </w:rPr>
        <w:t xml:space="preserve"> As a result</w:t>
      </w:r>
      <w:r w:rsidR="007F7DD4" w:rsidRPr="00904DAE">
        <w:rPr>
          <w:rFonts w:asciiTheme="minorHAnsi" w:hAnsiTheme="minorHAnsi" w:cstheme="minorHAnsi"/>
          <w:sz w:val="22"/>
          <w:szCs w:val="22"/>
        </w:rPr>
        <w:t xml:space="preserve"> of the foregoing, s</w:t>
      </w:r>
      <w:r w:rsidRPr="00904DAE">
        <w:rPr>
          <w:rFonts w:asciiTheme="minorHAnsi" w:hAnsiTheme="minorHAnsi" w:cstheme="minorHAnsi"/>
          <w:sz w:val="22"/>
          <w:szCs w:val="22"/>
        </w:rPr>
        <w:t>ome jurisdictions have banned menthol and other flavoured tobacco products: European Union (2020), Brazil (2012), Canada (2017), Ethiopia (2015), Moldova (2015).</w:t>
      </w:r>
      <w:r w:rsidRPr="00904DAE">
        <w:rPr>
          <w:rStyle w:val="FootnoteReference"/>
          <w:rFonts w:asciiTheme="minorHAnsi" w:eastAsiaTheme="minorEastAsia" w:hAnsiTheme="minorHAnsi" w:cstheme="minorBidi"/>
          <w:sz w:val="22"/>
          <w:szCs w:val="22"/>
        </w:rPr>
        <w:footnoteReference w:id="54"/>
      </w:r>
      <w:r w:rsidRPr="00904DAE">
        <w:rPr>
          <w:rFonts w:asciiTheme="minorHAnsi" w:hAnsiTheme="minorHAnsi"/>
          <w:sz w:val="22"/>
          <w:szCs w:val="22"/>
        </w:rPr>
        <w:t xml:space="preserve"> </w:t>
      </w:r>
    </w:p>
    <w:p w14:paraId="0E614840" w14:textId="49872575" w:rsidR="00CE4632" w:rsidRPr="00904DAE" w:rsidRDefault="00CE4632" w:rsidP="68DCBA67">
      <w:pPr>
        <w:pStyle w:val="xmsolistparagraph"/>
        <w:numPr>
          <w:ilvl w:val="0"/>
          <w:numId w:val="25"/>
        </w:numPr>
        <w:spacing w:before="0" w:beforeAutospacing="0" w:after="120" w:afterAutospacing="0"/>
        <w:ind w:left="357" w:hanging="357"/>
        <w:rPr>
          <w:rFonts w:ascii="Calibri" w:hAnsi="Calibri" w:cstheme="minorBidi"/>
          <w:sz w:val="22"/>
          <w:szCs w:val="22"/>
        </w:rPr>
      </w:pPr>
      <w:r w:rsidRPr="68DCBA67">
        <w:rPr>
          <w:rFonts w:ascii="Calibri" w:hAnsi="Calibri" w:cstheme="minorBidi"/>
          <w:b/>
          <w:bCs/>
          <w:sz w:val="22"/>
          <w:szCs w:val="22"/>
        </w:rPr>
        <w:t>Article 13: Tobacco advertising, promotion and sponsorship</w:t>
      </w:r>
      <w:r w:rsidR="00BC20D4" w:rsidRPr="68DCBA67">
        <w:rPr>
          <w:rFonts w:ascii="Calibri" w:hAnsi="Calibri" w:cstheme="minorBidi"/>
          <w:b/>
          <w:bCs/>
          <w:sz w:val="22"/>
          <w:szCs w:val="22"/>
        </w:rPr>
        <w:t xml:space="preserve">: </w:t>
      </w:r>
      <w:r w:rsidRPr="68DCBA67">
        <w:rPr>
          <w:rFonts w:ascii="Calibri" w:eastAsiaTheme="minorEastAsia" w:hAnsi="Calibri" w:cstheme="minorBidi"/>
          <w:sz w:val="22"/>
          <w:szCs w:val="22"/>
          <w:lang w:eastAsia="zh-CN"/>
        </w:rPr>
        <w:t xml:space="preserve">Article 13 of the WHO FCTC obliges Parties to undertake a comprehensive ban of all tobacco advertising, promotion and sponsorship, or restrictions. </w:t>
      </w:r>
      <w:r w:rsidR="00D579DA" w:rsidRPr="68DCBA67">
        <w:rPr>
          <w:rFonts w:ascii="Calibri" w:eastAsiaTheme="minorEastAsia" w:hAnsi="Calibri" w:cstheme="minorBidi"/>
          <w:sz w:val="22"/>
          <w:szCs w:val="22"/>
          <w:lang w:eastAsia="zh-CN"/>
        </w:rPr>
        <w:t xml:space="preserve">Tobacco </w:t>
      </w:r>
      <w:r w:rsidRPr="68DCBA67">
        <w:rPr>
          <w:rFonts w:ascii="Calibri" w:eastAsiaTheme="minorEastAsia" w:hAnsi="Calibri" w:cstheme="minorBidi"/>
          <w:sz w:val="22"/>
          <w:szCs w:val="22"/>
          <w:lang w:eastAsia="zh-CN"/>
        </w:rPr>
        <w:t xml:space="preserve">industry marketing practices have included misappropriating and misrepresenting indigenous traditions, symbols and culture to hook marginalized and vulnerable populations </w:t>
      </w:r>
      <w:r w:rsidR="00B80CD3" w:rsidRPr="68DCBA67">
        <w:rPr>
          <w:rFonts w:ascii="Calibri" w:eastAsiaTheme="minorEastAsia" w:hAnsi="Calibri" w:cstheme="minorBidi"/>
          <w:sz w:val="22"/>
          <w:szCs w:val="22"/>
          <w:lang w:eastAsia="zh-CN"/>
        </w:rPr>
        <w:t>on</w:t>
      </w:r>
      <w:r w:rsidRPr="68DCBA67">
        <w:rPr>
          <w:rFonts w:ascii="Calibri" w:eastAsiaTheme="minorEastAsia" w:hAnsi="Calibri" w:cstheme="minorBidi"/>
          <w:sz w:val="22"/>
          <w:szCs w:val="22"/>
          <w:lang w:eastAsia="zh-CN"/>
        </w:rPr>
        <w:t xml:space="preserve"> deadly products. This practice should be prohibited as part of a comprehensive ban under Article 13 of the WHO FCTC. Further, implementation of plain or standardized packaging of tobacco products will assist in the disassociation of indigenous traditions, symbols, and cultural imagery. As a further example, a tobacco product manufacturer during the Black Lives Matter movement, announced a donation of $5 million “to address systemic racism faced by Black Americans and advance social and economic equity”.</w:t>
      </w:r>
      <w:r w:rsidRPr="68DCBA67">
        <w:rPr>
          <w:rFonts w:ascii="Calibri" w:eastAsiaTheme="minorEastAsia" w:hAnsi="Calibri" w:cstheme="minorBidi"/>
          <w:sz w:val="22"/>
          <w:szCs w:val="22"/>
          <w:vertAlign w:val="superscript"/>
          <w:lang w:eastAsia="zh-CN"/>
        </w:rPr>
        <w:footnoteReference w:id="55"/>
      </w:r>
      <w:r w:rsidRPr="68DCBA67">
        <w:rPr>
          <w:rFonts w:ascii="Calibri" w:eastAsiaTheme="minorEastAsia" w:hAnsi="Calibri" w:cstheme="minorBidi"/>
          <w:sz w:val="22"/>
          <w:szCs w:val="22"/>
          <w:vertAlign w:val="superscript"/>
          <w:lang w:eastAsia="zh-CN"/>
        </w:rPr>
        <w:t xml:space="preserve"> </w:t>
      </w:r>
      <w:r w:rsidRPr="68DCBA67">
        <w:rPr>
          <w:rFonts w:ascii="Calibri" w:eastAsiaTheme="minorEastAsia" w:hAnsi="Calibri" w:cstheme="minorBidi"/>
          <w:sz w:val="22"/>
          <w:szCs w:val="22"/>
          <w:lang w:eastAsia="zh-CN"/>
        </w:rPr>
        <w:t xml:space="preserve">The WHO FCTC defines tobacco sponsorship as “any form of contribution to any event, activity </w:t>
      </w:r>
      <w:r w:rsidRPr="68DCBA67">
        <w:rPr>
          <w:rFonts w:ascii="Calibri" w:eastAsiaTheme="minorEastAsia" w:hAnsi="Calibri" w:cstheme="minorBidi"/>
          <w:sz w:val="22"/>
          <w:szCs w:val="22"/>
          <w:lang w:eastAsia="zh-CN"/>
        </w:rPr>
        <w:lastRenderedPageBreak/>
        <w:t>or individual with the aim, effect or likely effect of promoting a tobacco product or tobacco use either directly or indirectly”. Accordingly, Parties to the WHO FCTC should prohibit such activities in accordance with Article 13 of the WHO FCTC</w:t>
      </w:r>
      <w:r w:rsidRPr="00904DAE">
        <w:rPr>
          <w:rFonts w:ascii="Calibri" w:hAnsi="Calibri"/>
          <w:sz w:val="22"/>
          <w:szCs w:val="22"/>
        </w:rPr>
        <w:t>.</w:t>
      </w:r>
    </w:p>
    <w:p w14:paraId="451D6ADC" w14:textId="51F2D8B6" w:rsidR="00CE4632" w:rsidRPr="00904DAE" w:rsidRDefault="00BB0157" w:rsidP="00EE7374">
      <w:pPr>
        <w:pStyle w:val="SpeechTemplate1"/>
        <w:numPr>
          <w:ilvl w:val="2"/>
          <w:numId w:val="38"/>
        </w:numPr>
        <w:contextualSpacing/>
        <w:jc w:val="both"/>
        <w:rPr>
          <w:rFonts w:ascii="Calibri" w:hAnsi="Calibri" w:cstheme="minorHAnsi"/>
          <w:sz w:val="22"/>
          <w:szCs w:val="22"/>
          <w:lang w:val="en-US"/>
        </w:rPr>
      </w:pPr>
      <w:r w:rsidRPr="00904DAE">
        <w:rPr>
          <w:rFonts w:ascii="Calibri" w:hAnsi="Calibri" w:cstheme="minorHAnsi"/>
          <w:sz w:val="22"/>
          <w:szCs w:val="22"/>
          <w:lang w:val="en-US"/>
        </w:rPr>
        <w:t xml:space="preserve">FCTC </w:t>
      </w:r>
      <w:r w:rsidR="00CE4632" w:rsidRPr="00904DAE">
        <w:rPr>
          <w:rFonts w:ascii="Calibri" w:hAnsi="Calibri" w:cstheme="minorHAnsi"/>
          <w:sz w:val="22"/>
          <w:szCs w:val="22"/>
          <w:lang w:val="en-US"/>
        </w:rPr>
        <w:t xml:space="preserve">Policy </w:t>
      </w:r>
      <w:r w:rsidRPr="00904DAE">
        <w:rPr>
          <w:rFonts w:ascii="Calibri" w:hAnsi="Calibri" w:cstheme="minorHAnsi"/>
          <w:sz w:val="22"/>
          <w:szCs w:val="22"/>
          <w:lang w:val="en-US"/>
        </w:rPr>
        <w:t>Recommendations</w:t>
      </w:r>
    </w:p>
    <w:p w14:paraId="149948D3" w14:textId="77777777" w:rsidR="00CE4632" w:rsidRPr="00904DAE" w:rsidRDefault="00CE4632" w:rsidP="00CE4632">
      <w:pPr>
        <w:rPr>
          <w:rFonts w:ascii="Calibri" w:hAnsi="Calibri" w:cstheme="minorHAnsi"/>
        </w:rPr>
      </w:pPr>
    </w:p>
    <w:p w14:paraId="3DAE1439" w14:textId="3F551879" w:rsidR="00CE4632" w:rsidRPr="00904DAE" w:rsidRDefault="3C42639A" w:rsidP="233AE039">
      <w:pPr>
        <w:pStyle w:val="ListParagraph"/>
        <w:numPr>
          <w:ilvl w:val="0"/>
          <w:numId w:val="1"/>
        </w:numPr>
        <w:tabs>
          <w:tab w:val="left" w:pos="567"/>
        </w:tabs>
        <w:spacing w:after="120"/>
        <w:ind w:left="0" w:firstLine="0"/>
        <w:jc w:val="both"/>
        <w:rPr>
          <w:rFonts w:ascii="Calibri" w:hAnsi="Calibri"/>
        </w:rPr>
      </w:pPr>
      <w:r w:rsidRPr="233AE039">
        <w:rPr>
          <w:rFonts w:ascii="Calibri" w:hAnsi="Calibri"/>
        </w:rPr>
        <w:t>Policy recommendations from the FCTC including advocating that c</w:t>
      </w:r>
      <w:r w:rsidR="0E53FBD8" w:rsidRPr="233AE039">
        <w:rPr>
          <w:rFonts w:ascii="Calibri" w:hAnsi="Calibri"/>
        </w:rPr>
        <w:t xml:space="preserve">ountries </w:t>
      </w:r>
      <w:r w:rsidR="4EABCDF7" w:rsidRPr="233AE039">
        <w:rPr>
          <w:rFonts w:ascii="Calibri" w:hAnsi="Calibri"/>
        </w:rPr>
        <w:t>which have</w:t>
      </w:r>
      <w:r w:rsidR="0E53FBD8" w:rsidRPr="233AE039">
        <w:rPr>
          <w:rFonts w:ascii="Calibri" w:hAnsi="Calibri"/>
        </w:rPr>
        <w:t xml:space="preserve"> not ratified the WHO FCTC should take the necessary steps for ratification;</w:t>
      </w:r>
      <w:r w:rsidRPr="233AE039">
        <w:rPr>
          <w:rFonts w:ascii="Calibri" w:hAnsi="Calibri"/>
        </w:rPr>
        <w:t xml:space="preserve"> </w:t>
      </w:r>
    </w:p>
    <w:p w14:paraId="1E62E3F2" w14:textId="3F551879" w:rsidR="00CE4632" w:rsidRPr="00904DAE" w:rsidRDefault="0E53FBD8" w:rsidP="233AE039">
      <w:pPr>
        <w:pStyle w:val="xmsolistparagraph"/>
        <w:numPr>
          <w:ilvl w:val="0"/>
          <w:numId w:val="25"/>
        </w:numPr>
        <w:tabs>
          <w:tab w:val="left" w:pos="567"/>
        </w:tabs>
        <w:spacing w:before="0" w:beforeAutospacing="0" w:after="120" w:afterAutospacing="0" w:line="259" w:lineRule="auto"/>
        <w:rPr>
          <w:rFonts w:ascii="Calibri" w:hAnsi="Calibri" w:cstheme="minorBidi"/>
        </w:rPr>
      </w:pPr>
      <w:r w:rsidRPr="233AE039">
        <w:rPr>
          <w:rFonts w:ascii="Calibri" w:hAnsi="Calibri" w:cstheme="minorBidi"/>
        </w:rPr>
        <w:t>Countries should implement and enforce a comprehensive ban on tobacco advertising, promotion and sponsorship</w:t>
      </w:r>
      <w:r w:rsidRPr="00904DAE">
        <w:rPr>
          <w:rFonts w:ascii="Calibri" w:hAnsi="Calibri"/>
        </w:rPr>
        <w:t>;</w:t>
      </w:r>
      <w:r w:rsidR="00CE4632" w:rsidRPr="00904DAE">
        <w:rPr>
          <w:rStyle w:val="FootnoteReference"/>
          <w:rFonts w:ascii="Calibri" w:hAnsi="Calibri"/>
        </w:rPr>
        <w:footnoteReference w:id="56"/>
      </w:r>
    </w:p>
    <w:p w14:paraId="52CF78CE" w14:textId="77777777" w:rsidR="00CE4632" w:rsidRPr="00904DAE" w:rsidRDefault="00CE4632" w:rsidP="00B124E4">
      <w:pPr>
        <w:pStyle w:val="xmsolistparagraph"/>
        <w:numPr>
          <w:ilvl w:val="0"/>
          <w:numId w:val="25"/>
        </w:numPr>
        <w:spacing w:before="0" w:beforeAutospacing="0" w:after="120" w:afterAutospacing="0"/>
        <w:ind w:left="357" w:hanging="357"/>
        <w:rPr>
          <w:rFonts w:ascii="Calibri" w:hAnsi="Calibri" w:cstheme="minorHAnsi"/>
          <w:sz w:val="22"/>
          <w:szCs w:val="22"/>
        </w:rPr>
      </w:pPr>
      <w:r w:rsidRPr="00904DAE">
        <w:rPr>
          <w:rFonts w:ascii="Calibri" w:hAnsi="Calibri" w:cstheme="minorHAnsi"/>
          <w:sz w:val="22"/>
          <w:szCs w:val="22"/>
        </w:rPr>
        <w:t>Countries should implement provisions of the WHO FCTC, and tobacco control measures more generally, in ways that take account of health disparities between racial groups;</w:t>
      </w:r>
    </w:p>
    <w:p w14:paraId="5455D087" w14:textId="54E247C9" w:rsidR="00C34B63" w:rsidRPr="00904DAE" w:rsidRDefault="00CE4632" w:rsidP="00726E42">
      <w:pPr>
        <w:pStyle w:val="xmsolistparagraph"/>
        <w:numPr>
          <w:ilvl w:val="0"/>
          <w:numId w:val="25"/>
        </w:numPr>
        <w:spacing w:before="0" w:beforeAutospacing="0" w:after="120" w:afterAutospacing="0"/>
        <w:ind w:left="357" w:hanging="357"/>
        <w:rPr>
          <w:rFonts w:ascii="Calibri" w:hAnsi="Calibri" w:cstheme="minorHAnsi"/>
          <w:sz w:val="22"/>
          <w:szCs w:val="22"/>
        </w:rPr>
      </w:pPr>
      <w:r w:rsidRPr="00904DAE">
        <w:rPr>
          <w:rFonts w:ascii="Calibri" w:hAnsi="Calibri" w:cstheme="minorHAnsi"/>
          <w:sz w:val="22"/>
          <w:szCs w:val="22"/>
        </w:rPr>
        <w:t>In relation to indigenous peoples:</w:t>
      </w:r>
      <w:r w:rsidR="00FC103D" w:rsidRPr="00904DAE">
        <w:rPr>
          <w:rFonts w:ascii="Calibri" w:hAnsi="Calibri" w:cstheme="minorHAnsi"/>
          <w:sz w:val="22"/>
          <w:szCs w:val="22"/>
        </w:rPr>
        <w:t xml:space="preserve"> (i) </w:t>
      </w:r>
      <w:r w:rsidRPr="00904DAE">
        <w:rPr>
          <w:rFonts w:ascii="Calibri" w:hAnsi="Calibri" w:cstheme="minorHAnsi"/>
          <w:sz w:val="22"/>
          <w:szCs w:val="22"/>
        </w:rPr>
        <w:t xml:space="preserve">Collect indigenous-specific tobacco use data to build momentum for reducing the high prevalence of commercial tobacco use among indigenous peoples; and </w:t>
      </w:r>
      <w:r w:rsidR="00FC103D" w:rsidRPr="00904DAE">
        <w:rPr>
          <w:rFonts w:ascii="Calibri" w:hAnsi="Calibri" w:cstheme="minorHAnsi"/>
          <w:sz w:val="22"/>
          <w:szCs w:val="22"/>
        </w:rPr>
        <w:t xml:space="preserve"> (i) </w:t>
      </w:r>
      <w:r w:rsidRPr="00904DAE">
        <w:rPr>
          <w:rFonts w:ascii="Calibri" w:hAnsi="Calibri" w:cstheme="minorHAnsi"/>
          <w:sz w:val="22"/>
          <w:szCs w:val="22"/>
        </w:rPr>
        <w:t>Recommend countries take measures to promote the participation of indigenous individuals and communities in the development, implementation and evaluation of tobacco control programmes that are socially and culturally appropriate to their needs and perspectives.</w:t>
      </w:r>
    </w:p>
    <w:p w14:paraId="5285CC61" w14:textId="77777777" w:rsidR="004F4945" w:rsidRPr="00904DAE" w:rsidRDefault="004F4945" w:rsidP="00000A6B">
      <w:pPr>
        <w:rPr>
          <w:rFonts w:ascii="Calibri" w:hAnsi="Calibri"/>
          <w:color w:val="0000FF"/>
          <w:u w:val="single"/>
        </w:rPr>
      </w:pPr>
    </w:p>
    <w:p w14:paraId="11793D49" w14:textId="3A828A82" w:rsidR="00623685" w:rsidRPr="00904DAE" w:rsidRDefault="3156AF7E" w:rsidP="233AE039">
      <w:pPr>
        <w:pStyle w:val="ListParagraph"/>
        <w:numPr>
          <w:ilvl w:val="0"/>
          <w:numId w:val="29"/>
        </w:numPr>
        <w:spacing w:after="120"/>
        <w:ind w:left="0" w:firstLine="0"/>
        <w:jc w:val="both"/>
        <w:rPr>
          <w:rFonts w:ascii="Calibri" w:hAnsi="Calibri"/>
        </w:rPr>
      </w:pPr>
      <w:r w:rsidRPr="68DCBA67">
        <w:rPr>
          <w:rFonts w:ascii="Calibri" w:hAnsi="Calibri"/>
        </w:rPr>
        <w:t xml:space="preserve">WHO </w:t>
      </w:r>
      <w:r w:rsidR="4840D105" w:rsidRPr="68DCBA67">
        <w:rPr>
          <w:rFonts w:ascii="Calibri" w:hAnsi="Calibri"/>
        </w:rPr>
        <w:t xml:space="preserve">will continue </w:t>
      </w:r>
      <w:r w:rsidR="747D6398" w:rsidRPr="68DCBA67">
        <w:rPr>
          <w:rFonts w:ascii="Calibri" w:hAnsi="Calibri"/>
        </w:rPr>
        <w:t>supporting eff</w:t>
      </w:r>
      <w:r w:rsidR="4B10E932" w:rsidRPr="68DCBA67">
        <w:rPr>
          <w:rFonts w:ascii="Calibri" w:hAnsi="Calibri"/>
        </w:rPr>
        <w:t xml:space="preserve">orts and </w:t>
      </w:r>
      <w:r w:rsidR="516577DD" w:rsidRPr="68DCBA67">
        <w:rPr>
          <w:rFonts w:ascii="Calibri" w:eastAsia="Calibri" w:hAnsi="Calibri"/>
          <w:lang w:val="en-US" w:eastAsia="en-US"/>
        </w:rPr>
        <w:t>initiative</w:t>
      </w:r>
      <w:r w:rsidR="0B85D88E" w:rsidRPr="68DCBA67">
        <w:rPr>
          <w:rFonts w:ascii="Calibri" w:eastAsia="Calibri" w:hAnsi="Calibri"/>
          <w:lang w:val="en-US" w:eastAsia="en-US"/>
        </w:rPr>
        <w:t>s</w:t>
      </w:r>
      <w:r w:rsidR="21A11A43" w:rsidRPr="68DCBA67">
        <w:rPr>
          <w:rFonts w:ascii="Calibri" w:eastAsia="Calibri" w:hAnsi="Calibri"/>
          <w:lang w:val="en-US" w:eastAsia="en-US"/>
        </w:rPr>
        <w:t xml:space="preserve">, in coordination with Member States, UN system actors, </w:t>
      </w:r>
      <w:r w:rsidR="21A11A43" w:rsidRPr="68DCBA67">
        <w:rPr>
          <w:rFonts w:ascii="Calibri" w:eastAsia="Calibri" w:hAnsi="Calibri"/>
          <w:lang w:eastAsia="en-US"/>
        </w:rPr>
        <w:t>private</w:t>
      </w:r>
      <w:r w:rsidR="21A11A43" w:rsidRPr="68DCBA67">
        <w:rPr>
          <w:rFonts w:ascii="Calibri" w:eastAsia="Calibri" w:hAnsi="Calibri"/>
          <w:lang w:val="en-US" w:eastAsia="en-US"/>
        </w:rPr>
        <w:t xml:space="preserve"> sector, civil society,</w:t>
      </w:r>
      <w:r w:rsidR="0B85D88E" w:rsidRPr="68DCBA67">
        <w:rPr>
          <w:rFonts w:ascii="Calibri" w:eastAsia="Calibri" w:hAnsi="Calibri"/>
          <w:lang w:val="en-US" w:eastAsia="en-US"/>
        </w:rPr>
        <w:t xml:space="preserve"> and</w:t>
      </w:r>
      <w:r w:rsidR="21A11A43" w:rsidRPr="68DCBA67">
        <w:rPr>
          <w:rFonts w:ascii="Calibri" w:eastAsia="Calibri" w:hAnsi="Calibri"/>
          <w:lang w:val="en-US" w:eastAsia="en-US"/>
        </w:rPr>
        <w:t xml:space="preserve"> philanthropic organizations</w:t>
      </w:r>
      <w:r w:rsidR="516577DD" w:rsidRPr="68DCBA67">
        <w:rPr>
          <w:rFonts w:ascii="Calibri" w:eastAsia="Calibri" w:hAnsi="Calibri"/>
          <w:lang w:val="en-US" w:eastAsia="en-US"/>
        </w:rPr>
        <w:t xml:space="preserve"> to </w:t>
      </w:r>
      <w:r w:rsidR="62C4E73D" w:rsidRPr="68DCBA67">
        <w:rPr>
          <w:rFonts w:ascii="Calibri" w:eastAsia="Calibri" w:hAnsi="Calibri"/>
          <w:lang w:val="en-US" w:eastAsia="en-US"/>
        </w:rPr>
        <w:t xml:space="preserve">address </w:t>
      </w:r>
      <w:r w:rsidR="6E3E09B2" w:rsidRPr="68DCBA67">
        <w:rPr>
          <w:rFonts w:ascii="Calibri" w:eastAsia="Calibri" w:hAnsi="Calibri"/>
          <w:lang w:val="en-US" w:eastAsia="en-US"/>
        </w:rPr>
        <w:t>structural drivers</w:t>
      </w:r>
      <w:r w:rsidR="70252C42" w:rsidRPr="68DCBA67">
        <w:rPr>
          <w:rFonts w:ascii="Calibri" w:eastAsia="Calibri" w:hAnsi="Calibri"/>
          <w:lang w:val="en-US" w:eastAsia="en-US"/>
        </w:rPr>
        <w:t xml:space="preserve"> of health </w:t>
      </w:r>
      <w:r w:rsidR="6E3E09B2" w:rsidRPr="68DCBA67">
        <w:rPr>
          <w:rFonts w:ascii="Calibri" w:eastAsia="Calibri" w:hAnsi="Calibri"/>
          <w:lang w:val="en-US" w:eastAsia="en-US"/>
        </w:rPr>
        <w:t>inequities</w:t>
      </w:r>
      <w:r w:rsidR="70252C42" w:rsidRPr="68DCBA67">
        <w:rPr>
          <w:rFonts w:ascii="Calibri" w:eastAsia="Calibri" w:hAnsi="Calibri"/>
          <w:lang w:val="en-US" w:eastAsia="en-US"/>
        </w:rPr>
        <w:t xml:space="preserve"> among racial</w:t>
      </w:r>
      <w:r w:rsidR="501DAB4D" w:rsidRPr="68DCBA67">
        <w:rPr>
          <w:rFonts w:ascii="Calibri" w:eastAsia="Calibri" w:hAnsi="Calibri"/>
          <w:lang w:val="en-US" w:eastAsia="en-US"/>
        </w:rPr>
        <w:t xml:space="preserve"> and</w:t>
      </w:r>
      <w:r w:rsidR="6E3E09B2" w:rsidRPr="68DCBA67">
        <w:rPr>
          <w:rFonts w:ascii="Calibri" w:eastAsia="Calibri" w:hAnsi="Calibri"/>
          <w:lang w:val="en-US" w:eastAsia="en-US"/>
        </w:rPr>
        <w:t xml:space="preserve"> ethnic </w:t>
      </w:r>
      <w:r w:rsidR="501DAB4D" w:rsidRPr="68DCBA67">
        <w:rPr>
          <w:rFonts w:ascii="Calibri" w:eastAsia="Calibri" w:hAnsi="Calibri"/>
          <w:lang w:val="en-US" w:eastAsia="en-US"/>
        </w:rPr>
        <w:t xml:space="preserve">minorities </w:t>
      </w:r>
      <w:r w:rsidR="6E3E09B2" w:rsidRPr="68DCBA67">
        <w:rPr>
          <w:rFonts w:ascii="Calibri" w:eastAsia="Calibri" w:hAnsi="Calibri"/>
          <w:lang w:val="en-US" w:eastAsia="en-US"/>
        </w:rPr>
        <w:t>and Indigenous peoples</w:t>
      </w:r>
      <w:r w:rsidR="70252C42" w:rsidRPr="68DCBA67">
        <w:rPr>
          <w:rFonts w:ascii="Calibri" w:eastAsia="Calibri" w:hAnsi="Calibri"/>
          <w:lang w:val="en-US" w:eastAsia="en-US"/>
        </w:rPr>
        <w:t xml:space="preserve"> to </w:t>
      </w:r>
      <w:r w:rsidR="00694E36">
        <w:rPr>
          <w:rFonts w:ascii="Calibri" w:eastAsia="Calibri" w:hAnsi="Calibri"/>
          <w:lang w:val="en-US" w:eastAsia="en-US"/>
        </w:rPr>
        <w:t xml:space="preserve">accelerate </w:t>
      </w:r>
      <w:r w:rsidR="38CEEAF5" w:rsidRPr="68DCBA67">
        <w:rPr>
          <w:rFonts w:ascii="Calibri" w:eastAsia="Calibri" w:hAnsi="Calibri"/>
          <w:lang w:val="en-US" w:eastAsia="en-US"/>
        </w:rPr>
        <w:t xml:space="preserve">progress on WHO’s SDG 3 targets </w:t>
      </w:r>
      <w:r w:rsidR="09B0B17A" w:rsidRPr="68DCBA67">
        <w:rPr>
          <w:rFonts w:ascii="Calibri" w:eastAsia="Calibri" w:hAnsi="Calibri"/>
          <w:lang w:val="en-US" w:eastAsia="en-US"/>
        </w:rPr>
        <w:t xml:space="preserve">and related health and human rights SDGs </w:t>
      </w:r>
      <w:r w:rsidR="50AAB5D9" w:rsidRPr="68DCBA67">
        <w:rPr>
          <w:rFonts w:ascii="Calibri" w:eastAsia="Calibri" w:hAnsi="Calibri"/>
          <w:lang w:eastAsia="en-US"/>
        </w:rPr>
        <w:t xml:space="preserve">to achieve health for all. </w:t>
      </w:r>
      <w:r w:rsidR="4B10E932" w:rsidRPr="68DCBA67">
        <w:rPr>
          <w:rFonts w:ascii="Calibri" w:eastAsia="Calibri" w:hAnsi="Calibri"/>
          <w:lang w:eastAsia="en-US"/>
        </w:rPr>
        <w:t xml:space="preserve"> </w:t>
      </w:r>
    </w:p>
    <w:p w14:paraId="5BA37BB1" w14:textId="29CD1B94" w:rsidR="00F537A1" w:rsidRPr="00904DAE" w:rsidRDefault="00F537A1" w:rsidP="00F537A1">
      <w:pPr>
        <w:pStyle w:val="ListParagraph"/>
        <w:spacing w:after="120"/>
        <w:ind w:left="0"/>
        <w:contextualSpacing w:val="0"/>
        <w:jc w:val="both"/>
        <w:rPr>
          <w:rFonts w:ascii="Calibri" w:hAnsi="Calibri" w:cstheme="minorHAnsi"/>
        </w:rPr>
      </w:pPr>
    </w:p>
    <w:sectPr w:rsidR="00F537A1" w:rsidRPr="00904DAE" w:rsidSect="00926276">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B06C" w14:textId="77777777" w:rsidR="00444BDE" w:rsidRDefault="00444BDE" w:rsidP="00BD2572">
      <w:r>
        <w:separator/>
      </w:r>
    </w:p>
  </w:endnote>
  <w:endnote w:type="continuationSeparator" w:id="0">
    <w:p w14:paraId="6505E8A0" w14:textId="77777777" w:rsidR="00444BDE" w:rsidRDefault="00444BDE" w:rsidP="00BD2572">
      <w:r>
        <w:continuationSeparator/>
      </w:r>
    </w:p>
  </w:endnote>
  <w:endnote w:type="continuationNotice" w:id="1">
    <w:p w14:paraId="37BB02C7" w14:textId="77777777" w:rsidR="00444BDE" w:rsidRDefault="0044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494403"/>
      <w:docPartObj>
        <w:docPartGallery w:val="Page Numbers (Bottom of Page)"/>
        <w:docPartUnique/>
      </w:docPartObj>
    </w:sdtPr>
    <w:sdtEndPr>
      <w:rPr>
        <w:noProof/>
      </w:rPr>
    </w:sdtEndPr>
    <w:sdtContent>
      <w:p w14:paraId="661D9FEE" w14:textId="5EF783FC" w:rsidR="00621CB7" w:rsidRDefault="00621CB7">
        <w:pPr>
          <w:pStyle w:val="Footer"/>
          <w:jc w:val="center"/>
        </w:pPr>
        <w:r>
          <w:fldChar w:fldCharType="begin"/>
        </w:r>
        <w:r>
          <w:instrText xml:space="preserve"> PAGE   \* MERGEFORMAT </w:instrText>
        </w:r>
        <w:r>
          <w:fldChar w:fldCharType="separate"/>
        </w:r>
        <w:r w:rsidR="00380721">
          <w:rPr>
            <w:noProof/>
          </w:rPr>
          <w:t>2</w:t>
        </w:r>
        <w:r>
          <w:rPr>
            <w:noProof/>
          </w:rPr>
          <w:fldChar w:fldCharType="end"/>
        </w:r>
      </w:p>
    </w:sdtContent>
  </w:sdt>
  <w:p w14:paraId="3B0E8551" w14:textId="77777777" w:rsidR="00621CB7" w:rsidRDefault="00621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8D0B" w14:textId="0A279B3B" w:rsidR="009E505C" w:rsidRDefault="009E505C">
    <w:pPr>
      <w:pStyle w:val="Footer"/>
      <w:jc w:val="center"/>
    </w:pPr>
    <w:r>
      <w:fldChar w:fldCharType="begin"/>
    </w:r>
    <w:r>
      <w:instrText xml:space="preserve"> PAGE   \* MERGEFORMAT </w:instrText>
    </w:r>
    <w:r>
      <w:fldChar w:fldCharType="separate"/>
    </w:r>
    <w:r>
      <w:rPr>
        <w:noProof/>
      </w:rPr>
      <w:t>2</w:t>
    </w:r>
    <w:r>
      <w:rPr>
        <w:noProof/>
      </w:rPr>
      <w:fldChar w:fldCharType="end"/>
    </w:r>
  </w:p>
  <w:p w14:paraId="23351DC6" w14:textId="77777777" w:rsidR="009E505C" w:rsidRDefault="009E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BBD2" w14:textId="77777777" w:rsidR="00444BDE" w:rsidRDefault="00444BDE" w:rsidP="00BD2572">
      <w:r>
        <w:separator/>
      </w:r>
    </w:p>
  </w:footnote>
  <w:footnote w:type="continuationSeparator" w:id="0">
    <w:p w14:paraId="3946EEAF" w14:textId="77777777" w:rsidR="00444BDE" w:rsidRDefault="00444BDE" w:rsidP="00BD2572">
      <w:r>
        <w:continuationSeparator/>
      </w:r>
    </w:p>
  </w:footnote>
  <w:footnote w:type="continuationNotice" w:id="1">
    <w:p w14:paraId="2DDAD56E" w14:textId="77777777" w:rsidR="00444BDE" w:rsidRDefault="00444BDE"/>
  </w:footnote>
  <w:footnote w:id="2">
    <w:p w14:paraId="48F48000" w14:textId="5C059AB4" w:rsidR="00526869" w:rsidRPr="00526869" w:rsidRDefault="00526869" w:rsidP="00794704">
      <w:pPr>
        <w:pStyle w:val="FootnoteText"/>
        <w:ind w:left="142" w:hanging="142"/>
        <w:jc w:val="left"/>
      </w:pPr>
      <w:r>
        <w:rPr>
          <w:rStyle w:val="FootnoteReference"/>
        </w:rPr>
        <w:footnoteRef/>
      </w:r>
      <w:r>
        <w:t xml:space="preserve"> </w:t>
      </w:r>
      <w:r w:rsidRPr="00B63B80">
        <w:rPr>
          <w:rFonts w:cstheme="minorHAnsi"/>
        </w:rPr>
        <w:t>WHO</w:t>
      </w:r>
      <w:r>
        <w:rPr>
          <w:rFonts w:cstheme="minorHAnsi"/>
        </w:rPr>
        <w:t>.</w:t>
      </w:r>
      <w:r w:rsidRPr="00B63B80">
        <w:rPr>
          <w:rFonts w:cstheme="minorHAnsi"/>
        </w:rPr>
        <w:t xml:space="preserve"> </w:t>
      </w:r>
      <w:r w:rsidRPr="00BC2336">
        <w:rPr>
          <w:rFonts w:cstheme="minorHAnsi"/>
        </w:rPr>
        <w:t>Thirteenth General Programme of Work 2019-2023</w:t>
      </w:r>
      <w:r w:rsidRPr="00B63B80">
        <w:rPr>
          <w:rFonts w:cstheme="minorHAnsi"/>
        </w:rPr>
        <w:t>. Available at</w:t>
      </w:r>
      <w:r w:rsidRPr="00207EA0">
        <w:t xml:space="preserve"> </w:t>
      </w:r>
      <w:hyperlink r:id="rId1" w:history="1">
        <w:r w:rsidRPr="002873E4">
          <w:rPr>
            <w:rStyle w:val="Hyperlink"/>
            <w:rFonts w:cstheme="minorHAnsi"/>
          </w:rPr>
          <w:t>https://www.who.int/about/what-we-do/thirteenth-general-programme-of-work-2019---2023</w:t>
        </w:r>
      </w:hyperlink>
    </w:p>
  </w:footnote>
  <w:footnote w:id="3">
    <w:p w14:paraId="45843186" w14:textId="1DA22344" w:rsidR="00655AE1" w:rsidRDefault="00655AE1" w:rsidP="00794704">
      <w:pPr>
        <w:pStyle w:val="FootnoteText"/>
        <w:ind w:left="142" w:hanging="142"/>
        <w:jc w:val="left"/>
      </w:pPr>
      <w:r>
        <w:rPr>
          <w:rStyle w:val="FootnoteReference"/>
        </w:rPr>
        <w:footnoteRef/>
      </w:r>
      <w:r>
        <w:t xml:space="preserve"> United Nations </w:t>
      </w:r>
      <w:r w:rsidRPr="00794704">
        <w:rPr>
          <w:rFonts w:cstheme="minorHAnsi"/>
        </w:rPr>
        <w:t>General</w:t>
      </w:r>
      <w:r>
        <w:t xml:space="preserve"> </w:t>
      </w:r>
      <w:r w:rsidRPr="00632DDB">
        <w:rPr>
          <w:rFonts w:cstheme="minorHAnsi"/>
        </w:rPr>
        <w:t>Assembly</w:t>
      </w:r>
      <w:r>
        <w:t>.</w:t>
      </w:r>
      <w:r w:rsidR="00632DDB">
        <w:t xml:space="preserve"> </w:t>
      </w:r>
      <w:r w:rsidR="009928D2" w:rsidRPr="00F51C3F">
        <w:rPr>
          <w:rFonts w:ascii="Calibri" w:hAnsi="Calibri" w:cs="Calibri"/>
          <w:color w:val="000000" w:themeColor="text1"/>
        </w:rPr>
        <w:t>Transforming Our World: The 2030 Agenda for Sustainable Development. UN Doc A/Res/70/1. New York, 21 October 2015, paras 10, 18 – 20</w:t>
      </w:r>
      <w:r w:rsidR="009928D2">
        <w:rPr>
          <w:rFonts w:ascii="Calibri" w:hAnsi="Calibri" w:cs="Calibri"/>
          <w:color w:val="000000" w:themeColor="text1"/>
        </w:rPr>
        <w:t>.</w:t>
      </w:r>
      <w:r w:rsidR="004D0513">
        <w:rPr>
          <w:rFonts w:ascii="Calibri" w:hAnsi="Calibri" w:cs="Calibri"/>
          <w:color w:val="000000" w:themeColor="text1"/>
        </w:rPr>
        <w:t xml:space="preserve"> </w:t>
      </w:r>
      <w:r w:rsidR="009928D2">
        <w:rPr>
          <w:rFonts w:ascii="Calibri" w:hAnsi="Calibri" w:cs="Calibri"/>
          <w:color w:val="000000" w:themeColor="text1"/>
        </w:rPr>
        <w:t>(</w:t>
      </w:r>
      <w:hyperlink r:id="rId2" w:history="1">
        <w:r w:rsidR="004D0513">
          <w:rPr>
            <w:rStyle w:val="Hyperlink"/>
            <w:rFonts w:ascii="Calibri" w:hAnsi="Calibri" w:cs="Calibri"/>
          </w:rPr>
          <w:t>https://www.un.org/ga/A/RES/70/1</w:t>
        </w:r>
      </w:hyperlink>
      <w:r w:rsidR="009928D2">
        <w:rPr>
          <w:rFonts w:ascii="Calibri" w:hAnsi="Calibri" w:cs="Calibri"/>
          <w:color w:val="000000" w:themeColor="text1"/>
        </w:rPr>
        <w:t>).</w:t>
      </w:r>
    </w:p>
  </w:footnote>
  <w:footnote w:id="4">
    <w:p w14:paraId="59738B88" w14:textId="77777777" w:rsidR="00522974" w:rsidRDefault="00522974" w:rsidP="00794704">
      <w:pPr>
        <w:pStyle w:val="FootnoteText"/>
        <w:ind w:left="142" w:hanging="142"/>
        <w:jc w:val="left"/>
      </w:pPr>
      <w:r>
        <w:rPr>
          <w:rStyle w:val="FootnoteReference"/>
        </w:rPr>
        <w:footnoteRef/>
      </w:r>
      <w:r>
        <w:t xml:space="preserve"> WHO </w:t>
      </w:r>
      <w:r w:rsidRPr="00794704">
        <w:rPr>
          <w:rFonts w:cstheme="minorHAnsi"/>
        </w:rPr>
        <w:t>Constitution</w:t>
      </w:r>
      <w:r>
        <w:t>. 1946. Entry into force 7 April 1948 (</w:t>
      </w:r>
      <w:hyperlink r:id="rId3" w:history="1">
        <w:r>
          <w:rPr>
            <w:rStyle w:val="Hyperlink"/>
          </w:rPr>
          <w:t>https://www.who.int/governance/constitution</w:t>
        </w:r>
      </w:hyperlink>
      <w:r>
        <w:t xml:space="preserve">). </w:t>
      </w:r>
    </w:p>
  </w:footnote>
  <w:footnote w:id="5">
    <w:p w14:paraId="4F136D1D" w14:textId="6B1E128C" w:rsidR="00FE419D" w:rsidRPr="002C140E" w:rsidRDefault="00FE419D" w:rsidP="00794704">
      <w:pPr>
        <w:pStyle w:val="FootnoteText"/>
        <w:ind w:left="142" w:hanging="142"/>
        <w:jc w:val="left"/>
        <w:rPr>
          <w:lang w:val="en-US"/>
        </w:rPr>
      </w:pPr>
      <w:r>
        <w:rPr>
          <w:rStyle w:val="FootnoteReference"/>
        </w:rPr>
        <w:footnoteRef/>
      </w:r>
      <w:r>
        <w:t xml:space="preserve"> </w:t>
      </w:r>
      <w:r w:rsidR="0063435C" w:rsidRPr="00F51C3F">
        <w:rPr>
          <w:rFonts w:ascii="Calibri" w:hAnsi="Calibri" w:cs="Calibri"/>
          <w:color w:val="000000" w:themeColor="text1"/>
        </w:rPr>
        <w:t xml:space="preserve">Committee on </w:t>
      </w:r>
      <w:r w:rsidR="0063435C" w:rsidRPr="00794704">
        <w:rPr>
          <w:rFonts w:cstheme="minorHAnsi"/>
        </w:rPr>
        <w:t>Economic</w:t>
      </w:r>
      <w:r w:rsidR="0063435C" w:rsidRPr="00F51C3F">
        <w:rPr>
          <w:rFonts w:ascii="Calibri" w:hAnsi="Calibri" w:cs="Calibri"/>
          <w:color w:val="000000" w:themeColor="text1"/>
        </w:rPr>
        <w:t>, Social and Cultural Rights</w:t>
      </w:r>
      <w:r w:rsidR="0063435C">
        <w:rPr>
          <w:rFonts w:ascii="Calibri" w:hAnsi="Calibri" w:cs="Calibri"/>
          <w:color w:val="000000" w:themeColor="text1"/>
        </w:rPr>
        <w:t xml:space="preserve"> (CESR).</w:t>
      </w:r>
      <w:r w:rsidR="0063435C" w:rsidRPr="00F51C3F">
        <w:rPr>
          <w:rFonts w:ascii="Calibri" w:hAnsi="Calibri" w:cs="Calibri"/>
          <w:color w:val="000000" w:themeColor="text1"/>
        </w:rPr>
        <w:t xml:space="preserve"> General Comment No. 14: The Right to Health, UN Doc. </w:t>
      </w:r>
      <w:r w:rsidR="0063435C" w:rsidRPr="000D1F07">
        <w:rPr>
          <w:rFonts w:ascii="Calibri" w:hAnsi="Calibri" w:cs="Calibri"/>
          <w:color w:val="000000" w:themeColor="text1"/>
          <w:lang w:val="pt-PT"/>
        </w:rPr>
        <w:t>E/C.12/2000/4</w:t>
      </w:r>
      <w:r w:rsidR="000D1F07" w:rsidRPr="000D1F07">
        <w:rPr>
          <w:rFonts w:ascii="Calibri" w:hAnsi="Calibri" w:cs="Calibri"/>
          <w:color w:val="000000" w:themeColor="text1"/>
          <w:lang w:val="pt-PT"/>
        </w:rPr>
        <w:t xml:space="preserve">. </w:t>
      </w:r>
      <w:r w:rsidR="000D1F07" w:rsidRPr="00694E36">
        <w:rPr>
          <w:rFonts w:ascii="Calibri" w:hAnsi="Calibri" w:cs="Calibri"/>
          <w:color w:val="000000" w:themeColor="text1"/>
          <w:lang w:val="pt-PT"/>
        </w:rPr>
        <w:t>OHCHR,</w:t>
      </w:r>
      <w:r w:rsidR="00DA4A6F" w:rsidRPr="00694E36">
        <w:rPr>
          <w:rFonts w:ascii="Calibri" w:hAnsi="Calibri" w:cs="Calibri"/>
          <w:color w:val="000000" w:themeColor="text1"/>
          <w:lang w:val="pt-PT"/>
        </w:rPr>
        <w:t xml:space="preserve"> </w:t>
      </w:r>
      <w:r w:rsidR="000D1F07" w:rsidRPr="00694E36">
        <w:rPr>
          <w:rFonts w:ascii="Calibri" w:hAnsi="Calibri" w:cs="Calibri"/>
          <w:color w:val="000000" w:themeColor="text1"/>
          <w:lang w:val="pt-PT"/>
        </w:rPr>
        <w:t xml:space="preserve">2000, Geneva </w:t>
      </w:r>
      <w:r w:rsidR="0063435C" w:rsidRPr="00694E36">
        <w:rPr>
          <w:rFonts w:ascii="Calibri" w:hAnsi="Calibri" w:cs="Calibri"/>
          <w:color w:val="000000" w:themeColor="text1"/>
          <w:lang w:val="pt-PT"/>
        </w:rPr>
        <w:t>(</w:t>
      </w:r>
      <w:r w:rsidR="00E50AE8">
        <w:fldChar w:fldCharType="begin"/>
      </w:r>
      <w:r w:rsidR="00E50AE8" w:rsidRPr="00694E36">
        <w:rPr>
          <w:lang w:val="pt-PT"/>
        </w:rPr>
        <w:instrText xml:space="preserve"> HYPERLINK "https://tbinternet.ohchr.org/_layouts/15/treatybodyexternal/Download.aspx?symbolno=E%2fC.12%2f2000%2f4&amp;Lang=en" </w:instrText>
      </w:r>
      <w:r w:rsidR="00E50AE8">
        <w:fldChar w:fldCharType="separate"/>
      </w:r>
      <w:r w:rsidR="0063435C" w:rsidRPr="00694E36">
        <w:rPr>
          <w:rStyle w:val="Hyperlink"/>
          <w:rFonts w:ascii="Calibri" w:hAnsi="Calibri" w:cs="Calibri"/>
          <w:color w:val="000000" w:themeColor="text1"/>
          <w:lang w:val="pt-PT"/>
        </w:rPr>
        <w:t>https://tbinternet.ohchr.org/_layouts/15/treatybodyexternal</w:t>
      </w:r>
      <w:r w:rsidR="00E50AE8">
        <w:rPr>
          <w:rStyle w:val="Hyperlink"/>
          <w:rFonts w:ascii="Calibri" w:hAnsi="Calibri" w:cs="Calibri"/>
          <w:color w:val="000000" w:themeColor="text1"/>
          <w:lang w:val="en-US"/>
        </w:rPr>
        <w:fldChar w:fldCharType="end"/>
      </w:r>
      <w:r w:rsidR="000D1F07" w:rsidRPr="00694E36">
        <w:rPr>
          <w:lang w:val="pt-PT"/>
        </w:rPr>
        <w:t xml:space="preserve">; CESCR. </w:t>
      </w:r>
      <w:r w:rsidR="000D1F07" w:rsidRPr="002C140E">
        <w:rPr>
          <w:lang w:val="en-US"/>
        </w:rPr>
        <w:t xml:space="preserve">General Comment </w:t>
      </w:r>
      <w:r w:rsidR="00DA4A6F">
        <w:rPr>
          <w:lang w:val="en-US"/>
        </w:rPr>
        <w:t>22</w:t>
      </w:r>
      <w:r w:rsidR="000D1F07" w:rsidRPr="002C140E">
        <w:rPr>
          <w:lang w:val="en-US"/>
        </w:rPr>
        <w:t xml:space="preserve">: </w:t>
      </w:r>
      <w:r w:rsidR="002C140E" w:rsidRPr="002C140E">
        <w:rPr>
          <w:lang w:val="en-US"/>
        </w:rPr>
        <w:t xml:space="preserve">Article 14 on </w:t>
      </w:r>
      <w:r w:rsidR="000D1F07" w:rsidRPr="002C140E">
        <w:rPr>
          <w:lang w:val="en-US"/>
        </w:rPr>
        <w:t xml:space="preserve">Sexual and Reproductive Health </w:t>
      </w:r>
      <w:r w:rsidR="002C140E" w:rsidRPr="002C140E">
        <w:rPr>
          <w:lang w:val="en-US"/>
        </w:rPr>
        <w:t>Rights</w:t>
      </w:r>
      <w:r w:rsidR="00DA4A6F">
        <w:rPr>
          <w:lang w:val="en-US"/>
        </w:rPr>
        <w:t xml:space="preserve">. </w:t>
      </w:r>
      <w:r w:rsidR="005C6ABC">
        <w:rPr>
          <w:lang w:val="en-US"/>
        </w:rPr>
        <w:t>O</w:t>
      </w:r>
      <w:r w:rsidR="00B13619">
        <w:rPr>
          <w:lang w:val="en-US"/>
        </w:rPr>
        <w:t>HCHR</w:t>
      </w:r>
      <w:r w:rsidR="005C6ABC">
        <w:rPr>
          <w:lang w:val="en-US"/>
        </w:rPr>
        <w:t>, 1 May 2016, Geneva (</w:t>
      </w:r>
      <w:hyperlink r:id="rId4" w:history="1">
        <w:r w:rsidR="003B1502">
          <w:rPr>
            <w:rStyle w:val="Hyperlink"/>
            <w:lang w:val="en-US"/>
          </w:rPr>
          <w:t>https://www.ohchr.org/en/documents/general-comment-no-22-2016</w:t>
        </w:r>
      </w:hyperlink>
      <w:r w:rsidR="005C6ABC">
        <w:rPr>
          <w:lang w:val="en-US"/>
        </w:rPr>
        <w:t xml:space="preserve">). </w:t>
      </w:r>
    </w:p>
  </w:footnote>
  <w:footnote w:id="6">
    <w:p w14:paraId="4258A5AF" w14:textId="5F99C7ED" w:rsidR="006748FE" w:rsidRDefault="006748FE" w:rsidP="00687890">
      <w:pPr>
        <w:pStyle w:val="FootnoteText"/>
        <w:ind w:left="142" w:hanging="142"/>
        <w:jc w:val="left"/>
      </w:pPr>
      <w:r>
        <w:rPr>
          <w:rStyle w:val="FootnoteReference"/>
        </w:rPr>
        <w:footnoteRef/>
      </w:r>
      <w:r>
        <w:t xml:space="preserve"> </w:t>
      </w:r>
      <w:r w:rsidR="00AD0A04">
        <w:t xml:space="preserve">UNGA. </w:t>
      </w:r>
      <w:r w:rsidR="00D54095">
        <w:t>Political Declaration of the High-Level Meeting on Universal Health Coverage</w:t>
      </w:r>
      <w:r w:rsidR="00BF1001">
        <w:t>. UNGA Res 74/2</w:t>
      </w:r>
      <w:r w:rsidR="00EB3232">
        <w:t>, 18 October 2019</w:t>
      </w:r>
      <w:r w:rsidR="00045581">
        <w:t>, New York (</w:t>
      </w:r>
      <w:hyperlink r:id="rId5" w:history="1">
        <w:r w:rsidR="00045581">
          <w:rPr>
            <w:rStyle w:val="Hyperlink"/>
          </w:rPr>
          <w:t>https://documents-dds-ny.un.org/doc/UNDOC/GEN/N19</w:t>
        </w:r>
      </w:hyperlink>
      <w:r w:rsidR="00045581">
        <w:t xml:space="preserve">). </w:t>
      </w:r>
    </w:p>
  </w:footnote>
  <w:footnote w:id="7">
    <w:p w14:paraId="249711EA" w14:textId="48888C45" w:rsidR="002523FD" w:rsidRDefault="002523FD" w:rsidP="00687890">
      <w:pPr>
        <w:pStyle w:val="FootnoteText"/>
        <w:ind w:left="142" w:hanging="142"/>
        <w:jc w:val="left"/>
      </w:pPr>
      <w:r>
        <w:rPr>
          <w:rStyle w:val="FootnoteReference"/>
        </w:rPr>
        <w:footnoteRef/>
      </w:r>
      <w:r>
        <w:t xml:space="preserve"> </w:t>
      </w:r>
      <w:r w:rsidR="00856661">
        <w:t>WHO. Declaration of Astana</w:t>
      </w:r>
      <w:r w:rsidR="00623847">
        <w:t xml:space="preserve">. WHO, October 2018, </w:t>
      </w:r>
      <w:r w:rsidR="00F97C29">
        <w:t>Geneva (</w:t>
      </w:r>
      <w:hyperlink r:id="rId6" w:history="1">
        <w:r w:rsidR="00F97C29" w:rsidRPr="00E0449E">
          <w:rPr>
            <w:rStyle w:val="Hyperlink"/>
          </w:rPr>
          <w:t>https://www.who.int/docs/default-source/primary-health/declaration/gcphc-declaration.pdf</w:t>
        </w:r>
      </w:hyperlink>
      <w:r w:rsidR="00F97C29">
        <w:t xml:space="preserve">). </w:t>
      </w:r>
    </w:p>
  </w:footnote>
  <w:footnote w:id="8">
    <w:p w14:paraId="1CB1C9C4" w14:textId="24A916C6" w:rsidR="00787E22" w:rsidRDefault="00787E22" w:rsidP="00794704">
      <w:pPr>
        <w:pStyle w:val="FootnoteText"/>
        <w:ind w:left="142" w:hanging="142"/>
        <w:jc w:val="left"/>
      </w:pPr>
      <w:r>
        <w:rPr>
          <w:rStyle w:val="FootnoteReference"/>
        </w:rPr>
        <w:footnoteRef/>
      </w:r>
      <w:r>
        <w:t xml:space="preserve"> </w:t>
      </w:r>
      <w:r w:rsidR="00392077">
        <w:t>World Health Assembly</w:t>
      </w:r>
      <w:r w:rsidR="00D95AB7">
        <w:t xml:space="preserve"> (WHA)</w:t>
      </w:r>
      <w:r w:rsidR="00392077">
        <w:t xml:space="preserve">. </w:t>
      </w:r>
      <w:r w:rsidR="00D95AB7">
        <w:t xml:space="preserve">Res </w:t>
      </w:r>
      <w:r w:rsidR="00E04636">
        <w:t xml:space="preserve">60/19: </w:t>
      </w:r>
      <w:r w:rsidR="00392077">
        <w:t xml:space="preserve">Strategy on </w:t>
      </w:r>
      <w:r w:rsidR="00182743">
        <w:t xml:space="preserve">integrating gender analysis and actions into the work of WHO. </w:t>
      </w:r>
      <w:r w:rsidR="00E04636">
        <w:t>WHO,</w:t>
      </w:r>
      <w:r w:rsidR="00D95AB7">
        <w:t xml:space="preserve"> </w:t>
      </w:r>
      <w:r w:rsidR="00F149E8">
        <w:t xml:space="preserve">May 2007, Geneva </w:t>
      </w:r>
      <w:r w:rsidR="00D55A99">
        <w:t>(</w:t>
      </w:r>
      <w:hyperlink r:id="rId7" w:history="1">
        <w:r w:rsidR="00D55A99" w:rsidRPr="00E0449E">
          <w:rPr>
            <w:rStyle w:val="Hyperlink"/>
          </w:rPr>
          <w:t>https://apps.who.int/gb/ebwha/pdf_files/WHA60/A60_19-en.pdf</w:t>
        </w:r>
      </w:hyperlink>
      <w:r w:rsidR="00D55A99">
        <w:t xml:space="preserve">). </w:t>
      </w:r>
    </w:p>
  </w:footnote>
  <w:footnote w:id="9">
    <w:p w14:paraId="2F20662A" w14:textId="23C8778D" w:rsidR="00785DDD" w:rsidRDefault="00785DDD" w:rsidP="00184305">
      <w:pPr>
        <w:pStyle w:val="FootnoteText"/>
        <w:jc w:val="left"/>
      </w:pPr>
      <w:r>
        <w:rPr>
          <w:rStyle w:val="FootnoteReference"/>
        </w:rPr>
        <w:footnoteRef/>
      </w:r>
      <w:r>
        <w:t xml:space="preserve"> </w:t>
      </w:r>
      <w:r w:rsidR="00D95AB7">
        <w:t xml:space="preserve">WHA. </w:t>
      </w:r>
      <w:r w:rsidR="00E04636">
        <w:t>Res.</w:t>
      </w:r>
      <w:r w:rsidR="00EF74B1">
        <w:t>74</w:t>
      </w:r>
      <w:r w:rsidR="008B3F38">
        <w:t>/</w:t>
      </w:r>
      <w:r w:rsidR="00EF74B1">
        <w:t>16: Social Determinants of Health</w:t>
      </w:r>
      <w:r w:rsidR="009C6FC4">
        <w:t>. WHO, May 202</w:t>
      </w:r>
      <w:r w:rsidR="004059ED">
        <w:t>1 (</w:t>
      </w:r>
      <w:hyperlink r:id="rId8" w:history="1">
        <w:r w:rsidR="00184305">
          <w:rPr>
            <w:rStyle w:val="Hyperlink"/>
          </w:rPr>
          <w:t>WHA74/A74_R16-en.pdf</w:t>
        </w:r>
      </w:hyperlink>
      <w:r w:rsidR="00184305">
        <w:t xml:space="preserve">). </w:t>
      </w:r>
    </w:p>
  </w:footnote>
  <w:footnote w:id="10">
    <w:p w14:paraId="2EA17B3E" w14:textId="5D0D58FE" w:rsidR="004947BB" w:rsidRDefault="004947BB">
      <w:pPr>
        <w:pStyle w:val="FootnoteText"/>
      </w:pPr>
      <w:r>
        <w:rPr>
          <w:rStyle w:val="FootnoteReference"/>
        </w:rPr>
        <w:footnoteRef/>
      </w:r>
      <w:r>
        <w:t xml:space="preserve"> </w:t>
      </w:r>
      <w:r w:rsidR="001C3EC9">
        <w:t>WHA</w:t>
      </w:r>
      <w:r w:rsidR="00227E10">
        <w:t>. Res</w:t>
      </w:r>
      <w:r w:rsidR="008B3F38">
        <w:t>.</w:t>
      </w:r>
      <w:r w:rsidR="00227E10">
        <w:t xml:space="preserve"> 69</w:t>
      </w:r>
      <w:r w:rsidR="008B3F38">
        <w:t>/</w:t>
      </w:r>
      <w:r w:rsidR="00227E10">
        <w:t>11 (</w:t>
      </w:r>
      <w:hyperlink r:id="rId9" w:history="1">
        <w:r w:rsidR="00A5484B" w:rsidRPr="00E0449E">
          <w:rPr>
            <w:rStyle w:val="Hyperlink"/>
          </w:rPr>
          <w:t>https://apps.who.int/gb/ebwha/pdf_files/WHA69/A69_11-en.pdf</w:t>
        </w:r>
      </w:hyperlink>
      <w:r w:rsidR="00086FE0">
        <w:t>)</w:t>
      </w:r>
      <w:r w:rsidR="00A5484B">
        <w:t>.</w:t>
      </w:r>
    </w:p>
  </w:footnote>
  <w:footnote w:id="11">
    <w:p w14:paraId="54CFE9B6" w14:textId="240ACE32" w:rsidR="00790FD7" w:rsidRDefault="00790FD7" w:rsidP="003B1502">
      <w:pPr>
        <w:pStyle w:val="FootnoteText"/>
        <w:ind w:left="142" w:hanging="142"/>
        <w:jc w:val="left"/>
      </w:pPr>
      <w:r>
        <w:rPr>
          <w:rStyle w:val="FootnoteReference"/>
        </w:rPr>
        <w:footnoteRef/>
      </w:r>
      <w:r>
        <w:t xml:space="preserve"> </w:t>
      </w:r>
      <w:r w:rsidR="00BC240A">
        <w:t>UN</w:t>
      </w:r>
      <w:r>
        <w:t>SDG</w:t>
      </w:r>
      <w:r w:rsidR="00BC240A">
        <w:t>.</w:t>
      </w:r>
      <w:r>
        <w:t xml:space="preserve"> </w:t>
      </w:r>
      <w:r w:rsidR="0012088C">
        <w:t>Operationalizing Leave No One Behind</w:t>
      </w:r>
      <w:r w:rsidR="00BC240A">
        <w:t xml:space="preserve">: Good Practice Note for UN Country Teams. </w:t>
      </w:r>
      <w:r w:rsidR="005E25A2">
        <w:t>March 2022 (</w:t>
      </w:r>
      <w:hyperlink r:id="rId10" w:history="1">
        <w:r w:rsidR="000C2DB8">
          <w:rPr>
            <w:rStyle w:val="Hyperlink"/>
          </w:rPr>
          <w:t>https://unsdg.un.org/leaving-no-one-behind-unsdg-operational-guide-un-country-teams</w:t>
        </w:r>
      </w:hyperlink>
      <w:r w:rsidR="002A4431">
        <w:t>).</w:t>
      </w:r>
    </w:p>
  </w:footnote>
  <w:footnote w:id="12">
    <w:p w14:paraId="03574CF9" w14:textId="035FD06E" w:rsidR="001F6160" w:rsidRDefault="001F6160" w:rsidP="00794704">
      <w:pPr>
        <w:pStyle w:val="FootnoteText"/>
        <w:ind w:left="142" w:hanging="142"/>
        <w:jc w:val="left"/>
      </w:pPr>
      <w:r>
        <w:rPr>
          <w:rStyle w:val="FootnoteReference"/>
        </w:rPr>
        <w:footnoteRef/>
      </w:r>
      <w:r>
        <w:t xml:space="preserve"> WHO. </w:t>
      </w:r>
      <w:r w:rsidR="007A0AEB" w:rsidRPr="00794704">
        <w:rPr>
          <w:rFonts w:cstheme="minorHAnsi"/>
        </w:rPr>
        <w:t>Frontier</w:t>
      </w:r>
      <w:r w:rsidR="007A0AEB" w:rsidRPr="000718C5">
        <w:t xml:space="preserve"> dialogue consultations on addressing structural racial and ethnicity-based discrimination</w:t>
      </w:r>
      <w:r w:rsidR="00DE0ACE">
        <w:t xml:space="preserve">. WHO, 2021, Geneva </w:t>
      </w:r>
      <w:r w:rsidR="007A0AEB">
        <w:t>(</w:t>
      </w:r>
      <w:hyperlink r:id="rId11" w:history="1">
        <w:r w:rsidR="00DE0ACE">
          <w:rPr>
            <w:rStyle w:val="Hyperlink"/>
          </w:rPr>
          <w:t>https://www.who.intfrontier-dialogue-consultations</w:t>
        </w:r>
      </w:hyperlink>
      <w:r w:rsidR="00D55C9E">
        <w:t>).</w:t>
      </w:r>
    </w:p>
  </w:footnote>
  <w:footnote w:id="13">
    <w:p w14:paraId="270D8A7C" w14:textId="447ED69B" w:rsidR="008C553F" w:rsidRPr="00501109" w:rsidRDefault="008C553F" w:rsidP="00794704">
      <w:pPr>
        <w:pStyle w:val="FootnoteText"/>
        <w:ind w:left="284" w:hanging="284"/>
        <w:jc w:val="left"/>
        <w:rPr>
          <w:rStyle w:val="Hyperlink"/>
          <w:rFonts w:ascii="Calibri" w:hAnsi="Calibri" w:cs="Calibri"/>
          <w:color w:val="000000" w:themeColor="text1"/>
          <w:u w:val="none"/>
          <w:lang w:val="en-US"/>
        </w:rPr>
      </w:pPr>
      <w:r>
        <w:rPr>
          <w:rStyle w:val="FootnoteReference"/>
        </w:rPr>
        <w:footnoteRef/>
      </w:r>
      <w:r>
        <w:t xml:space="preserve"> </w:t>
      </w:r>
      <w:r w:rsidR="000675FA">
        <w:rPr>
          <w:rFonts w:ascii="Calibri" w:hAnsi="Calibri" w:cs="Calibri"/>
          <w:color w:val="000000" w:themeColor="text1"/>
        </w:rPr>
        <w:tab/>
      </w:r>
      <w:r w:rsidR="000675FA" w:rsidRPr="00F51C3F">
        <w:rPr>
          <w:rFonts w:ascii="Calibri" w:hAnsi="Calibri" w:cs="Calibri"/>
          <w:color w:val="000000" w:themeColor="text1"/>
        </w:rPr>
        <w:t xml:space="preserve">CESCR, </w:t>
      </w:r>
      <w:r w:rsidR="000675FA" w:rsidRPr="00794704">
        <w:rPr>
          <w:rFonts w:cstheme="minorHAnsi"/>
        </w:rPr>
        <w:t>General</w:t>
      </w:r>
      <w:r w:rsidR="000675FA" w:rsidRPr="00F51C3F">
        <w:rPr>
          <w:rFonts w:ascii="Calibri" w:hAnsi="Calibri" w:cs="Calibri"/>
          <w:color w:val="000000" w:themeColor="text1"/>
        </w:rPr>
        <w:t xml:space="preserve"> Comment No. 14</w:t>
      </w:r>
      <w:r w:rsidR="00501109">
        <w:rPr>
          <w:rFonts w:ascii="Calibri" w:hAnsi="Calibri" w:cs="Calibri"/>
          <w:color w:val="000000" w:themeColor="text1"/>
        </w:rPr>
        <w:t>: the right to health</w:t>
      </w:r>
      <w:r w:rsidR="004E52C7">
        <w:rPr>
          <w:rFonts w:ascii="Calibri" w:hAnsi="Calibri" w:cs="Calibri"/>
          <w:color w:val="000000" w:themeColor="text1"/>
        </w:rPr>
        <w:t xml:space="preserve">, </w:t>
      </w:r>
      <w:r w:rsidR="004E52C7" w:rsidRPr="00501109">
        <w:rPr>
          <w:rFonts w:ascii="Calibri" w:hAnsi="Calibri" w:cs="Calibri"/>
          <w:i/>
          <w:color w:val="000000" w:themeColor="text1"/>
        </w:rPr>
        <w:t xml:space="preserve">supra </w:t>
      </w:r>
      <w:r w:rsidR="004E52C7">
        <w:rPr>
          <w:rFonts w:ascii="Calibri" w:hAnsi="Calibri" w:cs="Calibri"/>
          <w:color w:val="000000" w:themeColor="text1"/>
        </w:rPr>
        <w:t>FN 4</w:t>
      </w:r>
      <w:r w:rsidR="00342A0D" w:rsidRPr="00501109">
        <w:rPr>
          <w:rStyle w:val="Hyperlink"/>
          <w:rFonts w:ascii="Calibri" w:hAnsi="Calibri" w:cs="Calibri"/>
          <w:color w:val="000000" w:themeColor="text1"/>
          <w:u w:val="none"/>
          <w:lang w:val="en-US"/>
        </w:rPr>
        <w:t xml:space="preserve">; CESCR. </w:t>
      </w:r>
      <w:r w:rsidR="008F5FFD" w:rsidRPr="00501109">
        <w:rPr>
          <w:rStyle w:val="Hyperlink"/>
          <w:color w:val="000000" w:themeColor="text1"/>
          <w:u w:val="none"/>
          <w:lang w:val="en-US"/>
        </w:rPr>
        <w:t>General Comment No. 22</w:t>
      </w:r>
      <w:r w:rsidR="00AC4E08" w:rsidRPr="00501109">
        <w:rPr>
          <w:rStyle w:val="Hyperlink"/>
          <w:color w:val="000000" w:themeColor="text1"/>
          <w:u w:val="none"/>
          <w:lang w:val="en-US"/>
        </w:rPr>
        <w:t>:</w:t>
      </w:r>
      <w:r w:rsidR="00501109">
        <w:rPr>
          <w:rStyle w:val="Hyperlink"/>
          <w:color w:val="000000" w:themeColor="text1"/>
          <w:u w:val="none"/>
          <w:lang w:val="en-US"/>
        </w:rPr>
        <w:t xml:space="preserve"> </w:t>
      </w:r>
      <w:r w:rsidR="008F5FFD" w:rsidRPr="00501109">
        <w:rPr>
          <w:rStyle w:val="Hyperlink"/>
          <w:color w:val="000000" w:themeColor="text1"/>
          <w:u w:val="none"/>
          <w:lang w:val="en-US"/>
        </w:rPr>
        <w:t>the right to sexual and reproductive health</w:t>
      </w:r>
      <w:r w:rsidR="00AC4E08" w:rsidRPr="00501109">
        <w:rPr>
          <w:rStyle w:val="Hyperlink"/>
          <w:color w:val="000000" w:themeColor="text1"/>
          <w:u w:val="none"/>
          <w:lang w:val="en-US"/>
        </w:rPr>
        <w:t xml:space="preserve">. </w:t>
      </w:r>
      <w:r w:rsidR="006D4841" w:rsidRPr="00501109">
        <w:rPr>
          <w:rStyle w:val="Hyperlink"/>
          <w:color w:val="000000" w:themeColor="text1"/>
          <w:u w:val="none"/>
          <w:lang w:val="en-US"/>
        </w:rPr>
        <w:t xml:space="preserve">UN Doc </w:t>
      </w:r>
      <w:r w:rsidR="008F5FFD" w:rsidRPr="00501109">
        <w:rPr>
          <w:rStyle w:val="Hyperlink"/>
          <w:color w:val="000000" w:themeColor="text1"/>
          <w:u w:val="none"/>
          <w:lang w:val="en-US"/>
        </w:rPr>
        <w:t>C.12/GC/22</w:t>
      </w:r>
      <w:r w:rsidR="006D4841" w:rsidRPr="00501109">
        <w:rPr>
          <w:rStyle w:val="Hyperlink"/>
          <w:color w:val="000000" w:themeColor="text1"/>
          <w:u w:val="none"/>
          <w:lang w:val="en-US"/>
        </w:rPr>
        <w:t xml:space="preserve">. OHCHR, </w:t>
      </w:r>
      <w:r w:rsidR="00D0349E">
        <w:rPr>
          <w:rStyle w:val="Hyperlink"/>
          <w:color w:val="000000" w:themeColor="text1"/>
          <w:u w:val="none"/>
          <w:lang w:val="en-US"/>
        </w:rPr>
        <w:t>2016, Geneva (</w:t>
      </w:r>
      <w:hyperlink r:id="rId12" w:history="1">
        <w:r w:rsidR="00D0349E">
          <w:rPr>
            <w:rStyle w:val="Hyperlink"/>
            <w:lang w:val="en-US"/>
          </w:rPr>
          <w:t>https://tbinternet.ohchr.org/_layouts/15/treatybodyexternal/Download.aspx</w:t>
        </w:r>
      </w:hyperlink>
      <w:r w:rsidR="00D0349E">
        <w:rPr>
          <w:rStyle w:val="Hyperlink"/>
          <w:color w:val="000000" w:themeColor="text1"/>
          <w:u w:val="none"/>
          <w:lang w:val="en-US"/>
        </w:rPr>
        <w:t xml:space="preserve">). </w:t>
      </w:r>
    </w:p>
  </w:footnote>
  <w:footnote w:id="14">
    <w:p w14:paraId="236F72E6" w14:textId="75023CC3" w:rsidR="00E1327B" w:rsidRDefault="00E1327B" w:rsidP="00FA41AE">
      <w:pPr>
        <w:pStyle w:val="FootnoteText"/>
        <w:ind w:left="284" w:hanging="284"/>
        <w:jc w:val="left"/>
      </w:pPr>
      <w:r>
        <w:rPr>
          <w:rStyle w:val="FootnoteReference"/>
        </w:rPr>
        <w:footnoteRef/>
      </w:r>
      <w:r>
        <w:t xml:space="preserve"> </w:t>
      </w:r>
      <w:r w:rsidR="00FA41AE">
        <w:tab/>
      </w:r>
      <w:r w:rsidR="00784A16">
        <w:t xml:space="preserve">CESCR </w:t>
      </w:r>
      <w:r w:rsidR="00784A16" w:rsidRPr="00FA41AE">
        <w:rPr>
          <w:rFonts w:cstheme="minorHAnsi"/>
        </w:rPr>
        <w:t>General</w:t>
      </w:r>
      <w:r w:rsidR="00784A16">
        <w:t xml:space="preserve"> Comment</w:t>
      </w:r>
      <w:r w:rsidR="00372507">
        <w:t xml:space="preserve"> 14, 20 and 22, </w:t>
      </w:r>
      <w:r w:rsidR="00372507" w:rsidRPr="00372507">
        <w:rPr>
          <w:i/>
        </w:rPr>
        <w:t>supra</w:t>
      </w:r>
      <w:r w:rsidR="00372507">
        <w:t xml:space="preserve"> FN 4. </w:t>
      </w:r>
    </w:p>
  </w:footnote>
  <w:footnote w:id="15">
    <w:p w14:paraId="7C74587D" w14:textId="71E1F2FB" w:rsidR="0063102D" w:rsidRDefault="0063102D" w:rsidP="00FA41AE">
      <w:pPr>
        <w:pStyle w:val="FootnoteText"/>
        <w:ind w:left="284" w:hanging="284"/>
        <w:jc w:val="left"/>
      </w:pPr>
      <w:r>
        <w:rPr>
          <w:rStyle w:val="FootnoteReference"/>
        </w:rPr>
        <w:footnoteRef/>
      </w:r>
      <w:r>
        <w:t xml:space="preserve"> </w:t>
      </w:r>
      <w:r w:rsidR="00FA41AE">
        <w:tab/>
      </w:r>
      <w:r>
        <w:t xml:space="preserve">Committee on the Elimination of </w:t>
      </w:r>
      <w:r w:rsidR="005E728B">
        <w:t xml:space="preserve">All forms of Discrimination Against Women (CEDAW). General Recommendation 35 on Gender-Based Violence. </w:t>
      </w:r>
      <w:r w:rsidR="007B6437">
        <w:t>OHCHR,</w:t>
      </w:r>
      <w:r w:rsidR="00736D82">
        <w:t xml:space="preserve"> </w:t>
      </w:r>
      <w:r w:rsidR="00955AE8">
        <w:t>2017</w:t>
      </w:r>
      <w:r w:rsidR="00E61971">
        <w:t>, Geneva (</w:t>
      </w:r>
      <w:hyperlink r:id="rId13" w:history="1">
        <w:r w:rsidR="00E61971">
          <w:rPr>
            <w:rStyle w:val="Hyperlink"/>
          </w:rPr>
          <w:t>https://www.ohchr.org/en/general-recommendation-no-35-2017-gender-based</w:t>
        </w:r>
      </w:hyperlink>
      <w:r w:rsidR="00E61971">
        <w:t xml:space="preserve">). </w:t>
      </w:r>
    </w:p>
  </w:footnote>
  <w:footnote w:id="16">
    <w:p w14:paraId="1273C42E" w14:textId="043387FD" w:rsidR="0065345D" w:rsidRDefault="0065345D" w:rsidP="00FA41AE">
      <w:pPr>
        <w:pStyle w:val="FootnoteText"/>
        <w:ind w:left="284" w:hanging="284"/>
        <w:jc w:val="left"/>
      </w:pPr>
      <w:r>
        <w:rPr>
          <w:rStyle w:val="FootnoteReference"/>
        </w:rPr>
        <w:footnoteRef/>
      </w:r>
      <w:r>
        <w:t xml:space="preserve"> </w:t>
      </w:r>
      <w:r w:rsidR="00FA41AE">
        <w:tab/>
      </w:r>
      <w:r>
        <w:t xml:space="preserve">WHO. </w:t>
      </w:r>
      <w:r w:rsidRPr="00FA41AE">
        <w:rPr>
          <w:rFonts w:cstheme="minorHAnsi"/>
        </w:rPr>
        <w:t>International</w:t>
      </w:r>
      <w:r>
        <w:t xml:space="preserve"> Health Regulations, 3</w:t>
      </w:r>
      <w:r w:rsidRPr="00CD7A10">
        <w:rPr>
          <w:vertAlign w:val="superscript"/>
        </w:rPr>
        <w:t>rd</w:t>
      </w:r>
      <w:r>
        <w:t xml:space="preserve"> ed. WHO, 2015, Geneva (</w:t>
      </w:r>
    </w:p>
  </w:footnote>
  <w:footnote w:id="17">
    <w:p w14:paraId="39B4874D" w14:textId="47F4B1AD" w:rsidR="008A100E" w:rsidRPr="00695A6F" w:rsidRDefault="008A100E" w:rsidP="00FA41AE">
      <w:pPr>
        <w:pStyle w:val="FootnoteText"/>
        <w:tabs>
          <w:tab w:val="left" w:pos="284"/>
        </w:tabs>
        <w:jc w:val="left"/>
        <w:rPr>
          <w:rFonts w:cstheme="minorHAnsi"/>
        </w:rPr>
      </w:pPr>
      <w:r w:rsidRPr="00695A6F">
        <w:rPr>
          <w:rStyle w:val="FootnoteReference"/>
          <w:rFonts w:cstheme="minorHAnsi"/>
        </w:rPr>
        <w:footnoteRef/>
      </w:r>
      <w:r w:rsidRPr="00695A6F">
        <w:rPr>
          <w:rFonts w:cstheme="minorHAnsi"/>
        </w:rPr>
        <w:t xml:space="preserve"> </w:t>
      </w:r>
      <w:r w:rsidR="00FA41AE">
        <w:rPr>
          <w:rFonts w:cstheme="minorHAnsi"/>
        </w:rPr>
        <w:tab/>
      </w:r>
      <w:r w:rsidRPr="00695A6F">
        <w:rPr>
          <w:rFonts w:cstheme="minorHAnsi"/>
        </w:rPr>
        <w:t>WHO</w:t>
      </w:r>
      <w:r w:rsidR="001C09AD">
        <w:rPr>
          <w:rFonts w:cstheme="minorHAnsi"/>
        </w:rPr>
        <w:t>.</w:t>
      </w:r>
      <w:r w:rsidRPr="00695A6F">
        <w:rPr>
          <w:rFonts w:cstheme="minorHAnsi"/>
        </w:rPr>
        <w:t xml:space="preserve"> Framework Convention on Tobacco Control</w:t>
      </w:r>
      <w:r w:rsidR="001C09AD">
        <w:rPr>
          <w:rFonts w:cstheme="minorHAnsi"/>
        </w:rPr>
        <w:t xml:space="preserve">. </w:t>
      </w:r>
      <w:hyperlink r:id="rId14" w:history="1">
        <w:r w:rsidRPr="00695A6F">
          <w:rPr>
            <w:rStyle w:val="Hyperlink"/>
            <w:rFonts w:cstheme="minorHAnsi"/>
          </w:rPr>
          <w:t>https://fctc.who.int/publications/i/item/9241591013</w:t>
        </w:r>
      </w:hyperlink>
      <w:r w:rsidRPr="00695A6F">
        <w:rPr>
          <w:rFonts w:cstheme="minorHAnsi"/>
        </w:rPr>
        <w:t xml:space="preserve">   </w:t>
      </w:r>
    </w:p>
  </w:footnote>
  <w:footnote w:id="18">
    <w:p w14:paraId="21ADEC36" w14:textId="77777777" w:rsidR="00407DAB" w:rsidRPr="00695A6F" w:rsidRDefault="00407DAB" w:rsidP="00407DAB">
      <w:pPr>
        <w:pStyle w:val="FootnoteText"/>
        <w:rPr>
          <w:rFonts w:cstheme="minorHAnsi"/>
        </w:rPr>
      </w:pPr>
      <w:r w:rsidRPr="00695A6F">
        <w:rPr>
          <w:rStyle w:val="FootnoteReference"/>
          <w:rFonts w:cstheme="minorHAnsi"/>
        </w:rPr>
        <w:footnoteRef/>
      </w:r>
      <w:r w:rsidRPr="00695A6F">
        <w:rPr>
          <w:rFonts w:cstheme="minorHAnsi"/>
        </w:rPr>
        <w:t xml:space="preserve"> </w:t>
      </w:r>
      <w:r w:rsidRPr="00695A6F">
        <w:rPr>
          <w:rFonts w:cstheme="minorHAnsi"/>
          <w:i/>
          <w:iCs/>
        </w:rPr>
        <w:t>ibid,</w:t>
      </w:r>
      <w:r w:rsidRPr="00695A6F">
        <w:rPr>
          <w:rFonts w:cstheme="minorHAnsi"/>
        </w:rPr>
        <w:t xml:space="preserve"> Preamble </w:t>
      </w:r>
      <w:r w:rsidRPr="00695A6F">
        <w:rPr>
          <w:rFonts w:cstheme="minorHAnsi"/>
          <w:i/>
          <w:iCs/>
        </w:rPr>
        <w:t xml:space="preserve"> </w:t>
      </w:r>
      <w:r w:rsidRPr="00695A6F">
        <w:rPr>
          <w:rFonts w:cstheme="minorHAnsi"/>
        </w:rPr>
        <w:t xml:space="preserve"> </w:t>
      </w:r>
    </w:p>
  </w:footnote>
  <w:footnote w:id="19">
    <w:p w14:paraId="284B9781" w14:textId="2545A99F" w:rsidR="00407DAB" w:rsidRPr="00695A6F" w:rsidRDefault="00407DAB"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New South </w:t>
      </w:r>
      <w:r w:rsidRPr="00E15754">
        <w:t>Wales</w:t>
      </w:r>
      <w:r w:rsidRPr="00695A6F">
        <w:rPr>
          <w:rFonts w:cstheme="minorHAnsi"/>
        </w:rPr>
        <w:t>, Australia, the smoking rate in 2018-19 among Aboriginal people was 26.4% i.e. more than double of the rate for non-Aboriginal people, which was 10.1% (</w:t>
      </w:r>
      <w:hyperlink r:id="rId15" w:history="1">
        <w:r w:rsidR="00B70584" w:rsidRPr="00E0449E">
          <w:rPr>
            <w:rStyle w:val="Hyperlink"/>
            <w:rFonts w:cstheme="minorHAnsi"/>
          </w:rPr>
          <w:t>https://www.health.nsw.gov.au/tobacco/Pages/aboriginal-communities-smoking.aspx</w:t>
        </w:r>
      </w:hyperlink>
      <w:r w:rsidRPr="00695A6F">
        <w:rPr>
          <w:rStyle w:val="Hyperlink"/>
          <w:rFonts w:cstheme="minorHAnsi"/>
        </w:rPr>
        <w:t xml:space="preserve">); </w:t>
      </w:r>
      <w:r w:rsidRPr="00695A6F">
        <w:rPr>
          <w:rFonts w:cstheme="minorHAnsi"/>
        </w:rPr>
        <w:t>New Zealand, the smoking rate in 2019-20 amongst Māori adults was 31.4%, compared to 13.4% amongst non- Māori adults (</w:t>
      </w:r>
      <w:hyperlink r:id="rId16" w:anchor=":~:text=Progress%20to%20Smokefree%202025&amp;text=The%20current%20smoking%20rate%20of,40.2%20percent%20in%202011%2F12" w:history="1">
        <w:r w:rsidRPr="00695A6F">
          <w:rPr>
            <w:rStyle w:val="Hyperlink"/>
            <w:rFonts w:cstheme="minorHAnsi"/>
          </w:rPr>
          <w:t>https://www.health.govt.nz</w:t>
        </w:r>
      </w:hyperlink>
      <w:r w:rsidRPr="00695A6F">
        <w:rPr>
          <w:rFonts w:cstheme="minorHAnsi"/>
        </w:rPr>
        <w:t>); Canada, smoking rates are 2.5 times higher among Inuit, and higher among First Nations people overall (</w:t>
      </w:r>
      <w:hyperlink r:id="rId17" w:history="1">
        <w:r w:rsidRPr="00695A6F">
          <w:rPr>
            <w:rStyle w:val="Hyperlink"/>
            <w:rFonts w:cstheme="minorHAnsi"/>
          </w:rPr>
          <w:t>https://www.canada.ca/en/public-health/services/publications/science-research-data/inequalities-smoking-infographic.html</w:t>
        </w:r>
      </w:hyperlink>
      <w:r w:rsidRPr="00695A6F">
        <w:rPr>
          <w:rStyle w:val="Hyperlink"/>
          <w:rFonts w:cstheme="minorHAnsi"/>
        </w:rPr>
        <w:t xml:space="preserve">); </w:t>
      </w:r>
      <w:r w:rsidRPr="005B2425">
        <w:rPr>
          <w:rStyle w:val="Hyperlink"/>
          <w:rFonts w:cstheme="minorHAnsi"/>
          <w:color w:val="auto"/>
          <w:u w:val="none"/>
        </w:rPr>
        <w:t>United States,  African American people usually start smoking at an older age than white people but are more likely to die from smoking-related disease</w:t>
      </w:r>
      <w:r w:rsidRPr="005B2425">
        <w:rPr>
          <w:rStyle w:val="Hyperlink"/>
          <w:rFonts w:cstheme="minorHAnsi"/>
          <w:color w:val="auto"/>
        </w:rPr>
        <w:t xml:space="preserve"> </w:t>
      </w:r>
      <w:r w:rsidRPr="00695A6F">
        <w:rPr>
          <w:rStyle w:val="Hyperlink"/>
          <w:rFonts w:cstheme="minorHAnsi"/>
        </w:rPr>
        <w:t>(</w:t>
      </w:r>
      <w:hyperlink r:id="rId18" w:history="1">
        <w:r w:rsidRPr="00695A6F">
          <w:rPr>
            <w:rStyle w:val="Hyperlink"/>
            <w:rFonts w:cstheme="minorHAnsi"/>
          </w:rPr>
          <w:t>https://www.cdc.gov/tobacco/health-equity/african-american/health-burden.html</w:t>
        </w:r>
      </w:hyperlink>
      <w:r w:rsidRPr="00695A6F">
        <w:rPr>
          <w:rStyle w:val="Hyperlink"/>
          <w:rFonts w:cstheme="minorHAnsi"/>
        </w:rPr>
        <w:t xml:space="preserve">). </w:t>
      </w:r>
    </w:p>
  </w:footnote>
  <w:footnote w:id="20">
    <w:p w14:paraId="51CF3249" w14:textId="77777777" w:rsidR="00C5774A" w:rsidRPr="001E002B" w:rsidRDefault="00C5774A" w:rsidP="00C5774A">
      <w:pPr>
        <w:pStyle w:val="FootnoteText"/>
        <w:tabs>
          <w:tab w:val="left" w:pos="142"/>
        </w:tabs>
        <w:ind w:left="142" w:hanging="142"/>
        <w:jc w:val="left"/>
        <w:rPr>
          <w:rFonts w:cstheme="minorHAnsi"/>
        </w:rPr>
      </w:pPr>
      <w:r>
        <w:rPr>
          <w:rStyle w:val="FootnoteReference"/>
        </w:rPr>
        <w:footnoteRef/>
      </w:r>
      <w:r>
        <w:t xml:space="preserve"> </w:t>
      </w:r>
      <w:r w:rsidRPr="001E002B">
        <w:rPr>
          <w:rFonts w:cstheme="minorHAnsi"/>
        </w:rPr>
        <w:t xml:space="preserve">Convention Secretariat and the United Nations Development Programme, </w:t>
      </w:r>
      <w:r>
        <w:rPr>
          <w:rFonts w:cstheme="minorHAnsi"/>
        </w:rPr>
        <w:t>‘</w:t>
      </w:r>
      <w:r w:rsidRPr="001E002B">
        <w:rPr>
          <w:rFonts w:cstheme="minorHAnsi"/>
          <w:i/>
          <w:iCs/>
        </w:rPr>
        <w:t>WHO Framework Convention on Tobacco Control: an accelerator for sustainable development</w:t>
      </w:r>
      <w:r>
        <w:rPr>
          <w:rFonts w:cstheme="minorHAnsi"/>
        </w:rPr>
        <w:t xml:space="preserve">’ (2017), </w:t>
      </w:r>
      <w:r w:rsidRPr="001B2459">
        <w:rPr>
          <w:rFonts w:cstheme="minorHAnsi"/>
        </w:rPr>
        <w:t>https://fctc.who.int/publications/m/item/the-who-framework-convention-on-tobacco-control-an-accelerator-for-sustainable-development</w:t>
      </w:r>
    </w:p>
  </w:footnote>
  <w:footnote w:id="21">
    <w:p w14:paraId="4BAE77D8" w14:textId="0DE9A2D5" w:rsidR="006068BD" w:rsidRPr="00695A6F" w:rsidRDefault="006068BD"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WHO, Tobacco: Overview, </w:t>
      </w:r>
      <w:hyperlink r:id="rId19" w:history="1">
        <w:r w:rsidRPr="00695A6F">
          <w:rPr>
            <w:rStyle w:val="Hyperlink"/>
            <w:rFonts w:cstheme="minorHAnsi"/>
          </w:rPr>
          <w:t>https://www.who.int/news-room/fact-sheets/detail/tobacco</w:t>
        </w:r>
      </w:hyperlink>
      <w:r w:rsidRPr="00695A6F">
        <w:rPr>
          <w:rFonts w:cstheme="minorHAnsi"/>
        </w:rPr>
        <w:t xml:space="preserve">    </w:t>
      </w:r>
    </w:p>
  </w:footnote>
  <w:footnote w:id="22">
    <w:p w14:paraId="31E08410" w14:textId="517CECDA" w:rsidR="006068BD" w:rsidRPr="00695A6F" w:rsidRDefault="006068BD"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See Kristen Emory, Francisco </w:t>
      </w:r>
      <w:proofErr w:type="spellStart"/>
      <w:r w:rsidRPr="00695A6F">
        <w:rPr>
          <w:rFonts w:cstheme="minorHAnsi"/>
        </w:rPr>
        <w:t>Bucting</w:t>
      </w:r>
      <w:proofErr w:type="spellEnd"/>
      <w:r w:rsidRPr="00695A6F">
        <w:rPr>
          <w:rFonts w:cstheme="minorHAnsi"/>
        </w:rPr>
        <w:t xml:space="preserve">, et al, </w:t>
      </w:r>
      <w:r w:rsidRPr="00695A6F">
        <w:rPr>
          <w:rFonts w:cstheme="minorHAnsi"/>
          <w:i/>
          <w:iCs/>
        </w:rPr>
        <w:t xml:space="preserve">‘Lesbian, Gay, Bisexual, and Transgender (LGBT) view it differently than non-LGBT: exposure to tobacco-related couponing, e-cigarette advertisements, and anti-tobacco messages on social and traditional media’, </w:t>
      </w:r>
      <w:r w:rsidRPr="00695A6F">
        <w:rPr>
          <w:rFonts w:cstheme="minorHAnsi"/>
        </w:rPr>
        <w:t xml:space="preserve">Nicotine </w:t>
      </w:r>
      <w:proofErr w:type="spellStart"/>
      <w:r w:rsidRPr="00695A6F">
        <w:rPr>
          <w:rFonts w:cstheme="minorHAnsi"/>
        </w:rPr>
        <w:t>Tob</w:t>
      </w:r>
      <w:proofErr w:type="spellEnd"/>
      <w:r w:rsidRPr="00695A6F">
        <w:rPr>
          <w:rFonts w:cstheme="minorHAnsi"/>
        </w:rPr>
        <w:t xml:space="preserve"> Res. (2019)</w:t>
      </w:r>
      <w:r w:rsidRPr="00695A6F">
        <w:rPr>
          <w:rFonts w:cstheme="minorHAnsi"/>
          <w:i/>
          <w:iCs/>
        </w:rPr>
        <w:t xml:space="preserve">, </w:t>
      </w:r>
      <w:r w:rsidRPr="00695A6F">
        <w:rPr>
          <w:rFonts w:cstheme="minorHAnsi"/>
        </w:rPr>
        <w:t xml:space="preserve">Vol. [21] 4, 513-522, </w:t>
      </w:r>
      <w:proofErr w:type="spellStart"/>
      <w:r w:rsidRPr="00695A6F">
        <w:rPr>
          <w:rFonts w:cstheme="minorHAnsi"/>
          <w:color w:val="212121"/>
          <w:shd w:val="clear" w:color="auto" w:fill="FFFFFF"/>
        </w:rPr>
        <w:t>doi</w:t>
      </w:r>
      <w:proofErr w:type="spellEnd"/>
      <w:r w:rsidRPr="00695A6F">
        <w:rPr>
          <w:rFonts w:cstheme="minorHAnsi"/>
          <w:color w:val="212121"/>
          <w:shd w:val="clear" w:color="auto" w:fill="FFFFFF"/>
        </w:rPr>
        <w:t>: 10.1093/</w:t>
      </w:r>
      <w:proofErr w:type="spellStart"/>
      <w:r w:rsidRPr="00695A6F">
        <w:rPr>
          <w:rFonts w:cstheme="minorHAnsi"/>
          <w:color w:val="212121"/>
          <w:shd w:val="clear" w:color="auto" w:fill="FFFFFF"/>
        </w:rPr>
        <w:t>ntr</w:t>
      </w:r>
      <w:proofErr w:type="spellEnd"/>
      <w:r w:rsidRPr="00695A6F">
        <w:rPr>
          <w:rFonts w:cstheme="minorHAnsi"/>
          <w:color w:val="212121"/>
          <w:shd w:val="clear" w:color="auto" w:fill="FFFFFF"/>
        </w:rPr>
        <w:t>/nty049</w:t>
      </w:r>
      <w:r w:rsidRPr="00695A6F">
        <w:rPr>
          <w:rFonts w:cstheme="minorHAnsi"/>
        </w:rPr>
        <w:t xml:space="preserve">;  Shervin </w:t>
      </w:r>
      <w:proofErr w:type="spellStart"/>
      <w:r w:rsidRPr="00695A6F">
        <w:rPr>
          <w:rFonts w:cstheme="minorHAnsi"/>
        </w:rPr>
        <w:t>Assari</w:t>
      </w:r>
      <w:proofErr w:type="spellEnd"/>
      <w:r w:rsidRPr="00695A6F">
        <w:rPr>
          <w:rFonts w:cstheme="minorHAnsi"/>
        </w:rPr>
        <w:t xml:space="preserve">, Mohsen </w:t>
      </w:r>
      <w:proofErr w:type="spellStart"/>
      <w:r w:rsidRPr="00695A6F">
        <w:rPr>
          <w:rFonts w:cstheme="minorHAnsi"/>
        </w:rPr>
        <w:t>Bazargan</w:t>
      </w:r>
      <w:proofErr w:type="spellEnd"/>
      <w:r w:rsidRPr="00695A6F">
        <w:rPr>
          <w:rFonts w:cstheme="minorHAnsi"/>
        </w:rPr>
        <w:t>, ‘</w:t>
      </w:r>
      <w:r w:rsidRPr="00695A6F">
        <w:rPr>
          <w:rFonts w:cstheme="minorHAnsi"/>
          <w:i/>
          <w:iCs/>
        </w:rPr>
        <w:t>Education Level and Cigarette Smoking: Diminished Returns of Lesbian, Gay and Bisexual Individuals</w:t>
      </w:r>
      <w:r w:rsidRPr="00695A6F">
        <w:rPr>
          <w:rFonts w:cstheme="minorHAnsi"/>
        </w:rPr>
        <w:t xml:space="preserve">’, </w:t>
      </w:r>
      <w:proofErr w:type="spellStart"/>
      <w:r w:rsidRPr="00695A6F">
        <w:rPr>
          <w:rFonts w:cstheme="minorHAnsi"/>
        </w:rPr>
        <w:t>Behav</w:t>
      </w:r>
      <w:proofErr w:type="spellEnd"/>
      <w:r w:rsidRPr="00695A6F">
        <w:rPr>
          <w:rFonts w:cstheme="minorHAnsi"/>
        </w:rPr>
        <w:t xml:space="preserve"> Sci (Basel) (2019), Vol. 9(10), 103,. </w:t>
      </w:r>
    </w:p>
  </w:footnote>
  <w:footnote w:id="23">
    <w:p w14:paraId="2419854E" w14:textId="3A034E8D" w:rsidR="00894A62" w:rsidRPr="00FB44E1" w:rsidRDefault="00894A62" w:rsidP="00FE3184">
      <w:pPr>
        <w:pStyle w:val="FootnoteText"/>
        <w:tabs>
          <w:tab w:val="left" w:pos="142"/>
        </w:tabs>
        <w:ind w:left="142" w:hanging="142"/>
        <w:jc w:val="left"/>
      </w:pPr>
      <w:r>
        <w:rPr>
          <w:rStyle w:val="FootnoteReference"/>
        </w:rPr>
        <w:footnoteRef/>
      </w:r>
      <w:r>
        <w:t xml:space="preserve"> </w:t>
      </w:r>
      <w:r w:rsidR="00FB44E1">
        <w:t xml:space="preserve">WHO. Eliminating </w:t>
      </w:r>
      <w:r w:rsidR="00FB44E1" w:rsidRPr="00FE3184">
        <w:rPr>
          <w:rFonts w:cstheme="minorHAnsi"/>
        </w:rPr>
        <w:t>forced</w:t>
      </w:r>
      <w:r w:rsidR="00FB44E1">
        <w:t>, coercive and otherwise involuntary sterilization: an interagency statement</w:t>
      </w:r>
      <w:r w:rsidR="00584457">
        <w:t>.</w:t>
      </w:r>
      <w:r w:rsidR="00FB44E1" w:rsidRPr="00FB44E1">
        <w:t xml:space="preserve"> OHCHR, UN Women</w:t>
      </w:r>
      <w:r w:rsidR="00584457">
        <w:t>/</w:t>
      </w:r>
      <w:r w:rsidR="00FB44E1" w:rsidRPr="00FB44E1">
        <w:t>UNAIDS</w:t>
      </w:r>
      <w:r w:rsidR="00584457">
        <w:t>/</w:t>
      </w:r>
      <w:r w:rsidR="00FB44E1" w:rsidRPr="00FB44E1">
        <w:t>UNDP</w:t>
      </w:r>
      <w:r w:rsidR="00584457">
        <w:t>/</w:t>
      </w:r>
      <w:r w:rsidR="00FB44E1" w:rsidRPr="00FB44E1">
        <w:t>UNFPA</w:t>
      </w:r>
      <w:r w:rsidR="00FB44E1">
        <w:t>/</w:t>
      </w:r>
      <w:r w:rsidR="00FB44E1" w:rsidRPr="00FB44E1">
        <w:t>UNICEF</w:t>
      </w:r>
      <w:r w:rsidR="00FB44E1">
        <w:t>/WHO,</w:t>
      </w:r>
      <w:r w:rsidR="000469AB">
        <w:t xml:space="preserve"> 2014. At:</w:t>
      </w:r>
      <w:r w:rsidR="00584457">
        <w:t xml:space="preserve"> </w:t>
      </w:r>
      <w:r w:rsidR="00FB44E1">
        <w:t xml:space="preserve"> </w:t>
      </w:r>
      <w:hyperlink r:id="rId20" w:history="1">
        <w:r w:rsidR="00FB44E1">
          <w:rPr>
            <w:rStyle w:val="Hyperlink"/>
          </w:rPr>
          <w:t>https://apps.who.int/iris/handle/10665/112848</w:t>
        </w:r>
      </w:hyperlink>
      <w:r w:rsidR="001A4116">
        <w:rPr>
          <w:rStyle w:val="Hyperlink"/>
        </w:rPr>
        <w:t>.</w:t>
      </w:r>
    </w:p>
  </w:footnote>
  <w:footnote w:id="24">
    <w:p w14:paraId="04C839BE" w14:textId="2C7A06D9" w:rsidR="00806840" w:rsidRPr="00372D1A" w:rsidRDefault="00806840" w:rsidP="00FE3184">
      <w:pPr>
        <w:pStyle w:val="FootnoteText"/>
        <w:tabs>
          <w:tab w:val="left" w:pos="142"/>
        </w:tabs>
        <w:ind w:left="142" w:hanging="142"/>
        <w:jc w:val="left"/>
        <w:rPr>
          <w:lang w:val="en-US"/>
        </w:rPr>
      </w:pPr>
      <w:r>
        <w:rPr>
          <w:rStyle w:val="FootnoteReference"/>
        </w:rPr>
        <w:footnoteRef/>
      </w:r>
      <w:r>
        <w:t xml:space="preserve"> WHO. </w:t>
      </w:r>
      <w:r w:rsidRPr="00FE3184">
        <w:rPr>
          <w:rFonts w:cstheme="minorHAnsi"/>
        </w:rPr>
        <w:t>Abortion</w:t>
      </w:r>
      <w:r>
        <w:t xml:space="preserve"> Care Guideline.</w:t>
      </w:r>
      <w:r w:rsidR="00372D1A">
        <w:t xml:space="preserve"> </w:t>
      </w:r>
      <w:r w:rsidR="00372D1A" w:rsidRPr="00372D1A">
        <w:rPr>
          <w:lang w:val="en-US"/>
        </w:rPr>
        <w:t>Worl</w:t>
      </w:r>
      <w:r w:rsidR="00372D1A">
        <w:rPr>
          <w:lang w:val="en-US"/>
        </w:rPr>
        <w:t xml:space="preserve">d Health Organization, 8 March 2022, Geneva. </w:t>
      </w:r>
      <w:r w:rsidR="000323DC">
        <w:rPr>
          <w:lang w:val="en-US"/>
        </w:rPr>
        <w:t>(</w:t>
      </w:r>
      <w:hyperlink r:id="rId21" w:history="1">
        <w:r w:rsidR="000323DC" w:rsidRPr="00A73CDB">
          <w:rPr>
            <w:rStyle w:val="Hyperlink"/>
            <w:lang w:val="en-US"/>
          </w:rPr>
          <w:t>https://cdn.who.int/reproductive-health/abortion/supplementary-material-1.pdf</w:t>
        </w:r>
      </w:hyperlink>
      <w:r w:rsidR="000323DC">
        <w:rPr>
          <w:lang w:val="en-US"/>
        </w:rPr>
        <w:t>).</w:t>
      </w:r>
    </w:p>
  </w:footnote>
  <w:footnote w:id="25">
    <w:p w14:paraId="4AA9231C" w14:textId="688F4BB4" w:rsidR="001C5A19" w:rsidRDefault="001C5A19" w:rsidP="00FE3184">
      <w:pPr>
        <w:pStyle w:val="FootnoteText"/>
        <w:tabs>
          <w:tab w:val="left" w:pos="142"/>
        </w:tabs>
        <w:ind w:left="142" w:hanging="142"/>
        <w:jc w:val="left"/>
      </w:pPr>
      <w:r>
        <w:rPr>
          <w:rStyle w:val="FootnoteReference"/>
        </w:rPr>
        <w:footnoteRef/>
      </w:r>
      <w:r>
        <w:t xml:space="preserve"> WHO. </w:t>
      </w:r>
      <w:r w:rsidR="00947FA3">
        <w:t>Abortion Care Guideline</w:t>
      </w:r>
      <w:r w:rsidR="001376E8">
        <w:t xml:space="preserve">, Supplementary Material 1: Evidence to Decision Frameworks for </w:t>
      </w:r>
      <w:r w:rsidR="00F63CDD">
        <w:t xml:space="preserve">Law and Policy Recommendations. World Health Organization, 8 March 2022, Geneva. At: </w:t>
      </w:r>
      <w:hyperlink r:id="rId22" w:history="1">
        <w:r w:rsidR="000323DC">
          <w:rPr>
            <w:rStyle w:val="Hyperlink"/>
          </w:rPr>
          <w:t>https://cdn.who.int/reproductive-health/abortion/supplementary-materials</w:t>
        </w:r>
      </w:hyperlink>
      <w:r w:rsidR="00F63CDD">
        <w:t xml:space="preserve">. </w:t>
      </w:r>
    </w:p>
  </w:footnote>
  <w:footnote w:id="26">
    <w:p w14:paraId="05B927C5" w14:textId="0CDFFBFC" w:rsidR="00B133FF" w:rsidRDefault="00B133FF" w:rsidP="00FE3184">
      <w:pPr>
        <w:pStyle w:val="FootnoteText"/>
        <w:tabs>
          <w:tab w:val="left" w:pos="142"/>
        </w:tabs>
        <w:ind w:left="142" w:hanging="142"/>
        <w:jc w:val="left"/>
      </w:pPr>
      <w:r>
        <w:rPr>
          <w:rStyle w:val="FootnoteReference"/>
        </w:rPr>
        <w:footnoteRef/>
      </w:r>
      <w:r>
        <w:t xml:space="preserve"> WHO. Abortion Care Guideline, Annex A: Key international human rights standards on abortion</w:t>
      </w:r>
      <w:r w:rsidR="008225D9">
        <w:t xml:space="preserve">. World Health Organization, </w:t>
      </w:r>
      <w:r w:rsidR="007B5F7B">
        <w:t xml:space="preserve">18 March 2022, Geneva. </w:t>
      </w:r>
      <w:r w:rsidR="008225D9">
        <w:t xml:space="preserve">At: </w:t>
      </w:r>
      <w:hyperlink r:id="rId23" w:history="1">
        <w:r w:rsidR="007B5F7B">
          <w:rPr>
            <w:rStyle w:val="Hyperlink"/>
          </w:rPr>
          <w:t>https://apps.who.int/iris/bitstream/.pdf</w:t>
        </w:r>
      </w:hyperlink>
      <w:r w:rsidR="008225D9">
        <w:t xml:space="preserve">. </w:t>
      </w:r>
    </w:p>
  </w:footnote>
  <w:footnote w:id="27">
    <w:p w14:paraId="1ED0EA50" w14:textId="20309023" w:rsidR="005A584B" w:rsidRPr="008D58B5" w:rsidRDefault="005A584B" w:rsidP="00FE3184">
      <w:pPr>
        <w:pStyle w:val="FootnoteText"/>
        <w:tabs>
          <w:tab w:val="left" w:pos="142"/>
        </w:tabs>
        <w:ind w:left="142" w:hanging="142"/>
        <w:jc w:val="left"/>
      </w:pPr>
      <w:r>
        <w:rPr>
          <w:rStyle w:val="FootnoteReference"/>
        </w:rPr>
        <w:footnoteRef/>
      </w:r>
      <w:r>
        <w:t xml:space="preserve"> </w:t>
      </w:r>
      <w:r w:rsidR="00A729A8">
        <w:t xml:space="preserve">OHCHR. </w:t>
      </w:r>
      <w:r w:rsidRPr="00FE3184">
        <w:rPr>
          <w:rFonts w:cstheme="minorHAnsi"/>
        </w:rPr>
        <w:t>Protecting</w:t>
      </w:r>
      <w:r w:rsidRPr="00872912">
        <w:t xml:space="preserve"> the rights of migrants in irregular situations</w:t>
      </w:r>
      <w:r w:rsidR="00C22CB7">
        <w:t xml:space="preserve">. </w:t>
      </w:r>
      <w:r w:rsidR="006A1F1C">
        <w:t xml:space="preserve">OHCHR, </w:t>
      </w:r>
      <w:r w:rsidR="00C22CB7">
        <w:t xml:space="preserve">At: </w:t>
      </w:r>
      <w:hyperlink r:id="rId24" w:history="1">
        <w:r w:rsidR="000F7176" w:rsidRPr="00103258">
          <w:rPr>
            <w:rStyle w:val="Hyperlink"/>
          </w:rPr>
          <w:t>https://www.ohchr.org/sites/default/files/Documents/Issues/Migration/GlobalCompactMigration/IrregularMigrants.pdf</w:t>
        </w:r>
      </w:hyperlink>
      <w:r w:rsidR="000F7176">
        <w:t xml:space="preserve">. </w:t>
      </w:r>
    </w:p>
  </w:footnote>
  <w:footnote w:id="28">
    <w:p w14:paraId="191B4705" w14:textId="59E80C98" w:rsidR="005A584B" w:rsidRPr="00655543" w:rsidRDefault="005A584B" w:rsidP="00FE3184">
      <w:pPr>
        <w:pStyle w:val="FootnoteText"/>
        <w:tabs>
          <w:tab w:val="left" w:pos="142"/>
        </w:tabs>
        <w:ind w:left="142" w:hanging="142"/>
        <w:jc w:val="left"/>
        <w:rPr>
          <w:rStyle w:val="Hyperlink"/>
          <w:color w:val="auto"/>
          <w:u w:val="none"/>
        </w:rPr>
      </w:pPr>
      <w:r w:rsidRPr="003B6719">
        <w:rPr>
          <w:rStyle w:val="FootnoteReference"/>
          <w:rFonts w:ascii="Calibri" w:hAnsi="Calibri" w:cs="Calibri"/>
        </w:rPr>
        <w:footnoteRef/>
      </w:r>
      <w:r w:rsidRPr="003B6719">
        <w:rPr>
          <w:rFonts w:ascii="Calibri" w:hAnsi="Calibri" w:cs="Calibri"/>
          <w:lang w:val="en-US"/>
        </w:rPr>
        <w:t xml:space="preserve"> </w:t>
      </w:r>
      <w:r w:rsidR="00E26650">
        <w:rPr>
          <w:rStyle w:val="Hyperlink"/>
          <w:color w:val="auto"/>
          <w:u w:val="none"/>
        </w:rPr>
        <w:t xml:space="preserve">WHO. Fact Sheet: </w:t>
      </w:r>
      <w:r w:rsidR="00E26650" w:rsidRPr="00FE3184">
        <w:rPr>
          <w:rFonts w:cstheme="minorHAnsi"/>
        </w:rPr>
        <w:t>Refugee</w:t>
      </w:r>
      <w:r w:rsidR="00E26650">
        <w:rPr>
          <w:rStyle w:val="Hyperlink"/>
          <w:color w:val="auto"/>
          <w:u w:val="none"/>
        </w:rPr>
        <w:t xml:space="preserve"> and migrant health. WHO, 2 May 2022, Geneva. At: </w:t>
      </w:r>
      <w:hyperlink r:id="rId25" w:history="1">
        <w:r w:rsidR="00E26650">
          <w:rPr>
            <w:rStyle w:val="Hyperlink"/>
          </w:rPr>
          <w:t>Fact-sheet/refugee-&amp;-migrant-health</w:t>
        </w:r>
      </w:hyperlink>
      <w:r w:rsidR="00E26650">
        <w:rPr>
          <w:rStyle w:val="Hyperlink"/>
          <w:color w:val="auto"/>
          <w:u w:val="none"/>
        </w:rPr>
        <w:t xml:space="preserve">. </w:t>
      </w:r>
    </w:p>
  </w:footnote>
  <w:footnote w:id="29">
    <w:p w14:paraId="6688BFBD" w14:textId="11E2C8C8" w:rsidR="005A584B" w:rsidRPr="008F37A2" w:rsidRDefault="005A584B" w:rsidP="00FE3184">
      <w:pPr>
        <w:pStyle w:val="FootnoteText"/>
        <w:tabs>
          <w:tab w:val="left" w:pos="142"/>
        </w:tabs>
        <w:ind w:left="142" w:hanging="142"/>
        <w:jc w:val="left"/>
      </w:pPr>
      <w:r>
        <w:rPr>
          <w:rStyle w:val="FootnoteReference"/>
        </w:rPr>
        <w:footnoteRef/>
      </w:r>
      <w:r>
        <w:t xml:space="preserve"> </w:t>
      </w:r>
      <w:r w:rsidR="000B23FB">
        <w:t xml:space="preserve">WHO. </w:t>
      </w:r>
      <w:r w:rsidR="000B23FB" w:rsidRPr="00FE3184">
        <w:rPr>
          <w:rFonts w:cstheme="minorHAnsi"/>
        </w:rPr>
        <w:t>Apart</w:t>
      </w:r>
      <w:r w:rsidR="000B23FB">
        <w:t xml:space="preserve"> Together Survey: </w:t>
      </w:r>
      <w:r w:rsidR="000F47CA">
        <w:t>Preliminary</w:t>
      </w:r>
      <w:r w:rsidR="000B23FB">
        <w:t xml:space="preserve"> Overview of Refugees and Migrants Self-Reported Impact of COVID-19</w:t>
      </w:r>
      <w:r w:rsidR="00F35690">
        <w:t xml:space="preserve">. </w:t>
      </w:r>
      <w:r w:rsidR="001000ED">
        <w:t>WHO</w:t>
      </w:r>
      <w:r w:rsidR="00F35690">
        <w:t>, 18 December 2020, Geneva.</w:t>
      </w:r>
      <w:r w:rsidR="000F47CA">
        <w:t xml:space="preserve"> At:</w:t>
      </w:r>
      <w:r w:rsidR="00F35690">
        <w:t xml:space="preserve"> </w:t>
      </w:r>
      <w:hyperlink r:id="rId26" w:history="1">
        <w:r w:rsidR="000F47CA">
          <w:rPr>
            <w:rStyle w:val="Hyperlink"/>
            <w:rFonts w:ascii="Arial" w:hAnsi="Arial" w:cs="Arial"/>
            <w:iCs/>
            <w:sz w:val="16"/>
            <w:szCs w:val="16"/>
          </w:rPr>
          <w:t>www.who.int/publications/item/9789240017924</w:t>
        </w:r>
      </w:hyperlink>
      <w:r w:rsidR="008F37A2" w:rsidRPr="008F37A2">
        <w:rPr>
          <w:rStyle w:val="Hyperlink"/>
          <w:rFonts w:ascii="Arial" w:hAnsi="Arial" w:cs="Arial"/>
          <w:iCs/>
          <w:sz w:val="16"/>
          <w:szCs w:val="16"/>
        </w:rPr>
        <w:t xml:space="preserve">. </w:t>
      </w:r>
    </w:p>
  </w:footnote>
  <w:footnote w:id="30">
    <w:p w14:paraId="061E03B7" w14:textId="767EA5F8" w:rsidR="001E4F9D" w:rsidRDefault="001E4F9D" w:rsidP="00FE3184">
      <w:pPr>
        <w:pStyle w:val="FootnoteText"/>
        <w:tabs>
          <w:tab w:val="left" w:pos="142"/>
        </w:tabs>
        <w:ind w:left="142" w:hanging="142"/>
        <w:jc w:val="left"/>
      </w:pPr>
      <w:r>
        <w:rPr>
          <w:rStyle w:val="FootnoteReference"/>
        </w:rPr>
        <w:footnoteRef/>
      </w:r>
      <w:r>
        <w:t xml:space="preserve"> WHO. Fact Sheet: Human Rights and Health</w:t>
      </w:r>
      <w:r w:rsidR="00B5399F">
        <w:t xml:space="preserve">. WHO, 2017, Geneva. At: </w:t>
      </w:r>
      <w:hyperlink r:id="rId27" w:history="1">
        <w:r w:rsidR="00B5399F" w:rsidRPr="002B0D6C">
          <w:rPr>
            <w:rStyle w:val="Hyperlink"/>
          </w:rPr>
          <w:t>https://www.who.int/news-room/fact-sheets/detail/human-rights-and-health</w:t>
        </w:r>
      </w:hyperlink>
      <w:r w:rsidR="00B5399F">
        <w:t xml:space="preserve">; </w:t>
      </w:r>
      <w:r w:rsidR="00EA73B4">
        <w:t xml:space="preserve">CESCR. </w:t>
      </w:r>
      <w:r>
        <w:t>General Comment 14 on Art 12 (the right to health)</w:t>
      </w:r>
      <w:r w:rsidR="00B10FB5">
        <w:t xml:space="preserve">, </w:t>
      </w:r>
      <w:r w:rsidR="00B10FB5" w:rsidRPr="00B10FB5">
        <w:rPr>
          <w:i/>
        </w:rPr>
        <w:t>supra</w:t>
      </w:r>
      <w:r w:rsidR="00B5399F">
        <w:t>; General Comment 20: Non-discrimination in economic, social and cultural rights</w:t>
      </w:r>
      <w:r w:rsidR="00B10FB5">
        <w:t xml:space="preserve">, supra. </w:t>
      </w:r>
    </w:p>
  </w:footnote>
  <w:footnote w:id="31">
    <w:p w14:paraId="312614A2" w14:textId="77777777" w:rsidR="005F59DA" w:rsidRPr="00C9582B" w:rsidRDefault="005F59DA" w:rsidP="005F59DA">
      <w:pPr>
        <w:pStyle w:val="FootnoteText"/>
        <w:tabs>
          <w:tab w:val="left" w:pos="142"/>
        </w:tabs>
        <w:ind w:left="142" w:hanging="142"/>
        <w:jc w:val="left"/>
      </w:pPr>
      <w:r>
        <w:rPr>
          <w:rStyle w:val="FootnoteReference"/>
        </w:rPr>
        <w:footnoteRef/>
      </w:r>
      <w:r>
        <w:t xml:space="preserve"> UN, United Nation Disability Inclusion Strategy. Available at: </w:t>
      </w:r>
      <w:hyperlink r:id="rId28" w:history="1">
        <w:r w:rsidRPr="002873E4">
          <w:rPr>
            <w:rStyle w:val="Hyperlink"/>
          </w:rPr>
          <w:t>https://www.un.org/en/content/disabilitystrategy/assets/documentation/UN_Disability_Inclusion_Strategy_english.pdf</w:t>
        </w:r>
      </w:hyperlink>
    </w:p>
  </w:footnote>
  <w:footnote w:id="32">
    <w:p w14:paraId="52F8B825" w14:textId="3CA39A11" w:rsidR="009F3DB7" w:rsidRPr="009F3DB7" w:rsidRDefault="009F3DB7" w:rsidP="00FE3184">
      <w:pPr>
        <w:pStyle w:val="FootnoteText"/>
        <w:tabs>
          <w:tab w:val="left" w:pos="142"/>
        </w:tabs>
        <w:ind w:left="142" w:hanging="142"/>
        <w:jc w:val="left"/>
      </w:pPr>
      <w:r>
        <w:rPr>
          <w:rStyle w:val="FootnoteReference"/>
        </w:rPr>
        <w:footnoteRef/>
      </w:r>
      <w:r>
        <w:t xml:space="preserve"> UNDESA, </w:t>
      </w:r>
      <w:r w:rsidRPr="00FE3184">
        <w:rPr>
          <w:rFonts w:cstheme="minorHAnsi"/>
        </w:rPr>
        <w:t>Factsheet</w:t>
      </w:r>
      <w:r w:rsidRPr="009F3DB7">
        <w:t xml:space="preserve"> on Persons with Disabilities</w:t>
      </w:r>
      <w:r>
        <w:t>.</w:t>
      </w:r>
      <w:r w:rsidR="00883C2A">
        <w:t xml:space="preserve"> (</w:t>
      </w:r>
      <w:hyperlink r:id="rId29" w:history="1">
        <w:r w:rsidR="00E3208A">
          <w:rPr>
            <w:rStyle w:val="Hyperlink"/>
          </w:rPr>
          <w:t>https://www.un.org/development/desa/disabilities/factsheet</w:t>
        </w:r>
      </w:hyperlink>
      <w:r w:rsidR="00883C2A">
        <w:rPr>
          <w:rStyle w:val="Hyperlink"/>
        </w:rPr>
        <w:t>)</w:t>
      </w:r>
    </w:p>
  </w:footnote>
  <w:footnote w:id="33">
    <w:p w14:paraId="54A1F704" w14:textId="77777777" w:rsidR="00016EB9" w:rsidRPr="00365A7E" w:rsidRDefault="00016EB9" w:rsidP="00FE3184">
      <w:pPr>
        <w:pStyle w:val="FootnoteText"/>
        <w:tabs>
          <w:tab w:val="left" w:pos="142"/>
        </w:tabs>
        <w:ind w:left="142" w:hanging="142"/>
        <w:jc w:val="left"/>
        <w:rPr>
          <w:lang w:val="en-US"/>
        </w:rPr>
      </w:pPr>
      <w:r>
        <w:rPr>
          <w:rStyle w:val="FootnoteReference"/>
        </w:rPr>
        <w:footnoteRef/>
      </w:r>
      <w:r>
        <w:t xml:space="preserve"> </w:t>
      </w:r>
      <w:r>
        <w:rPr>
          <w:rStyle w:val="normaltextrun"/>
          <w:rFonts w:ascii="Calibri" w:hAnsi="Calibri" w:cs="Calibri"/>
          <w:lang w:val="en-US"/>
        </w:rPr>
        <w:t xml:space="preserve">Pratima </w:t>
      </w:r>
      <w:r w:rsidRPr="00FE3184">
        <w:rPr>
          <w:rFonts w:cstheme="minorHAnsi"/>
        </w:rPr>
        <w:t>Gurung</w:t>
      </w:r>
      <w:r>
        <w:rPr>
          <w:rStyle w:val="normaltextrun"/>
          <w:rFonts w:ascii="Calibri" w:hAnsi="Calibri" w:cs="Calibri"/>
          <w:lang w:val="en-US"/>
        </w:rPr>
        <w:t xml:space="preserve">, ‘Our lives, our story: The journey of the voiceless towards advocacy in Nepal’, in </w:t>
      </w:r>
      <w:r>
        <w:rPr>
          <w:rStyle w:val="normaltextrun"/>
          <w:rFonts w:ascii="Calibri" w:hAnsi="Calibri" w:cs="Calibri"/>
          <w:i/>
          <w:iCs/>
          <w:lang w:val="en-US"/>
        </w:rPr>
        <w:t>Global Perspectives on Disability Activism and Advocacy</w:t>
      </w:r>
      <w:r>
        <w:rPr>
          <w:rStyle w:val="normaltextrun"/>
          <w:rFonts w:ascii="Calibri" w:hAnsi="Calibri" w:cs="Calibri"/>
          <w:lang w:val="en-US"/>
        </w:rPr>
        <w:t xml:space="preserve">, ed. by Karen </w:t>
      </w:r>
      <w:proofErr w:type="spellStart"/>
      <w:r>
        <w:rPr>
          <w:rStyle w:val="normaltextrun"/>
          <w:rFonts w:ascii="Calibri" w:hAnsi="Calibri" w:cs="Calibri"/>
          <w:lang w:val="en-US"/>
        </w:rPr>
        <w:t>Soldatic</w:t>
      </w:r>
      <w:proofErr w:type="spellEnd"/>
      <w:r>
        <w:rPr>
          <w:rStyle w:val="normaltextrun"/>
          <w:rFonts w:ascii="Calibri" w:hAnsi="Calibri" w:cs="Calibri"/>
          <w:lang w:val="en-US"/>
        </w:rPr>
        <w:t xml:space="preserve"> and Kelley Johnson, 1st </w:t>
      </w:r>
      <w:proofErr w:type="spellStart"/>
      <w:r>
        <w:rPr>
          <w:rStyle w:val="normaltextrun"/>
          <w:rFonts w:ascii="Calibri" w:hAnsi="Calibri" w:cs="Calibri"/>
          <w:lang w:val="en-US"/>
        </w:rPr>
        <w:t>edn</w:t>
      </w:r>
      <w:proofErr w:type="spellEnd"/>
      <w:r>
        <w:rPr>
          <w:rStyle w:val="normaltextrun"/>
          <w:rFonts w:ascii="Calibri" w:hAnsi="Calibri" w:cs="Calibri"/>
          <w:lang w:val="en-US"/>
        </w:rPr>
        <w:t xml:space="preserve"> (Routledge, 2019), 145-159 (p. 145).</w:t>
      </w:r>
      <w:r>
        <w:rPr>
          <w:rStyle w:val="eop"/>
          <w:rFonts w:ascii="Calibri" w:hAnsi="Calibri" w:cs="Calibri"/>
          <w:lang w:val="en-US"/>
        </w:rPr>
        <w:t> </w:t>
      </w:r>
    </w:p>
  </w:footnote>
  <w:footnote w:id="34">
    <w:p w14:paraId="52A4E991" w14:textId="337140C1" w:rsidR="001E6D26" w:rsidRPr="00E2415C" w:rsidRDefault="00E2415C" w:rsidP="00FE3184">
      <w:pPr>
        <w:pStyle w:val="FootnoteText"/>
        <w:tabs>
          <w:tab w:val="left" w:pos="142"/>
        </w:tabs>
        <w:ind w:left="142" w:hanging="142"/>
        <w:jc w:val="left"/>
      </w:pPr>
      <w:r>
        <w:rPr>
          <w:rStyle w:val="FootnoteReference"/>
        </w:rPr>
        <w:footnoteRef/>
      </w:r>
      <w:r>
        <w:t xml:space="preserve"> </w:t>
      </w:r>
      <w:r>
        <w:rPr>
          <w:lang w:val="en-US"/>
        </w:rPr>
        <w:t>PAHO/</w:t>
      </w:r>
      <w:r w:rsidRPr="00FE3184">
        <w:rPr>
          <w:rFonts w:cstheme="minorHAnsi"/>
        </w:rPr>
        <w:t>WHO</w:t>
      </w:r>
      <w:r>
        <w:rPr>
          <w:lang w:val="en-US"/>
        </w:rPr>
        <w:t xml:space="preserve"> </w:t>
      </w:r>
      <w:r w:rsidRPr="00E2415C">
        <w:rPr>
          <w:lang w:val="en-US"/>
        </w:rPr>
        <w:t>Policy on Ethnicity and Health (29th Pan American Sanitary Conference)</w:t>
      </w:r>
      <w:r>
        <w:rPr>
          <w:lang w:val="en-US"/>
        </w:rPr>
        <w:t xml:space="preserve">, available at: </w:t>
      </w:r>
      <w:hyperlink r:id="rId30" w:history="1">
        <w:r w:rsidR="001E6D26" w:rsidRPr="00A1132D">
          <w:rPr>
            <w:rStyle w:val="Hyperlink"/>
            <w:lang w:val="en-US"/>
          </w:rPr>
          <w:t>https://www.paho.org/en/documents/policy-ethnicity-and-health-29th-pan-american-sanitary-conference</w:t>
        </w:r>
      </w:hyperlink>
    </w:p>
  </w:footnote>
  <w:footnote w:id="35">
    <w:p w14:paraId="54D3926B" w14:textId="77777777" w:rsidR="001165F2" w:rsidRPr="00832E7C" w:rsidRDefault="001165F2" w:rsidP="00FE3184">
      <w:pPr>
        <w:pStyle w:val="FootnoteText"/>
        <w:tabs>
          <w:tab w:val="left" w:pos="142"/>
        </w:tabs>
        <w:ind w:left="142" w:hanging="142"/>
        <w:jc w:val="left"/>
      </w:pPr>
      <w:r>
        <w:rPr>
          <w:rStyle w:val="FootnoteReference"/>
        </w:rPr>
        <w:footnoteRef/>
      </w:r>
      <w:r>
        <w:t xml:space="preserve"> </w:t>
      </w:r>
      <w:r>
        <w:rPr>
          <w:lang w:val="en-US"/>
        </w:rPr>
        <w:t xml:space="preserve">PAHO/WHO </w:t>
      </w:r>
      <w:r w:rsidRPr="00832E7C">
        <w:rPr>
          <w:lang w:val="en-US"/>
        </w:rPr>
        <w:t>Strategy and Plan of Action on Ethnicity and Health 2019-2025</w:t>
      </w:r>
      <w:r>
        <w:rPr>
          <w:lang w:val="en-US"/>
        </w:rPr>
        <w:t xml:space="preserve">, available at: </w:t>
      </w:r>
      <w:hyperlink r:id="rId31" w:history="1">
        <w:r w:rsidRPr="00A1132D">
          <w:rPr>
            <w:rStyle w:val="Hyperlink"/>
            <w:lang w:val="en-US"/>
          </w:rPr>
          <w:t>https://iris.paho.org/handle/10665.2/51744</w:t>
        </w:r>
      </w:hyperlink>
    </w:p>
  </w:footnote>
  <w:footnote w:id="36">
    <w:p w14:paraId="3D60FAC9" w14:textId="77777777" w:rsidR="00A76BA9" w:rsidRPr="000718C5" w:rsidRDefault="00A76BA9" w:rsidP="00A76BA9">
      <w:pPr>
        <w:pStyle w:val="FootnoteText"/>
        <w:tabs>
          <w:tab w:val="left" w:pos="142"/>
        </w:tabs>
        <w:ind w:left="142" w:hanging="142"/>
        <w:jc w:val="left"/>
        <w:rPr>
          <w:lang w:val="en-US"/>
        </w:rPr>
      </w:pPr>
      <w:r>
        <w:rPr>
          <w:rStyle w:val="FootnoteReference"/>
        </w:rPr>
        <w:footnoteRef/>
      </w:r>
      <w:r>
        <w:t xml:space="preserve">WHO, </w:t>
      </w:r>
      <w:r w:rsidRPr="000718C5">
        <w:t xml:space="preserve">Frontier </w:t>
      </w:r>
      <w:r w:rsidRPr="00FE3184">
        <w:rPr>
          <w:rFonts w:cstheme="minorHAnsi"/>
        </w:rPr>
        <w:t>dialogue</w:t>
      </w:r>
      <w:r w:rsidRPr="000718C5">
        <w:t xml:space="preserve"> consultations on addressing structural racial and ethnicity-based discrimination</w:t>
      </w:r>
      <w:r>
        <w:t xml:space="preserve"> (</w:t>
      </w:r>
      <w:r w:rsidRPr="000718C5">
        <w:t>https://www.who.int/publications/m/item/frontier-dialogue-consultations-on-addressing-structural-racial-and-ethnicity-based-discrimination</w:t>
      </w:r>
      <w:r>
        <w:t>).</w:t>
      </w:r>
    </w:p>
  </w:footnote>
  <w:footnote w:id="37">
    <w:p w14:paraId="2E5063FB" w14:textId="77777777" w:rsidR="000C2D8A" w:rsidRPr="00921472" w:rsidRDefault="000C2D8A" w:rsidP="00FE3184">
      <w:pPr>
        <w:pStyle w:val="FootnoteText"/>
        <w:tabs>
          <w:tab w:val="left" w:pos="142"/>
        </w:tabs>
        <w:ind w:left="142" w:hanging="142"/>
        <w:jc w:val="left"/>
      </w:pPr>
      <w:r>
        <w:rPr>
          <w:rStyle w:val="FootnoteReference"/>
        </w:rPr>
        <w:footnoteRef/>
      </w:r>
      <w:r>
        <w:t xml:space="preserve"> PAHO/WHO, </w:t>
      </w:r>
      <w:r w:rsidRPr="00921472">
        <w:t>Health Plan for Afro-Descendant Youth in Latin America and the Caribbea</w:t>
      </w:r>
      <w:r>
        <w:t xml:space="preserve">n, available at: </w:t>
      </w:r>
      <w:hyperlink r:id="rId32" w:history="1">
        <w:r w:rsidRPr="00A1132D">
          <w:rPr>
            <w:rStyle w:val="Hyperlink"/>
          </w:rPr>
          <w:t>https://www.paho.org/en/documents/health-plan-afro-descendant-youth-latin-america-and-caribbean</w:t>
        </w:r>
      </w:hyperlink>
      <w:r>
        <w:t xml:space="preserve"> </w:t>
      </w:r>
    </w:p>
  </w:footnote>
  <w:footnote w:id="38">
    <w:p w14:paraId="5B9A5D2A" w14:textId="77777777" w:rsidR="000C2D8A" w:rsidRPr="005C7F7C" w:rsidRDefault="000C2D8A" w:rsidP="00FE3184">
      <w:pPr>
        <w:pStyle w:val="FootnoteText"/>
        <w:tabs>
          <w:tab w:val="left" w:pos="142"/>
        </w:tabs>
        <w:ind w:left="142" w:hanging="142"/>
        <w:jc w:val="left"/>
      </w:pPr>
      <w:r>
        <w:rPr>
          <w:rStyle w:val="FootnoteReference"/>
        </w:rPr>
        <w:footnoteRef/>
      </w:r>
      <w:r>
        <w:t xml:space="preserve"> </w:t>
      </w:r>
      <w:r>
        <w:rPr>
          <w:lang w:val="en-US"/>
        </w:rPr>
        <w:t>PAHO/</w:t>
      </w:r>
      <w:r w:rsidRPr="00FE3184">
        <w:rPr>
          <w:rFonts w:cstheme="minorHAnsi"/>
        </w:rPr>
        <w:t>WHO</w:t>
      </w:r>
      <w:r>
        <w:rPr>
          <w:lang w:val="en-US"/>
        </w:rPr>
        <w:t xml:space="preserve">, </w:t>
      </w:r>
      <w:r w:rsidRPr="005C7F7C">
        <w:rPr>
          <w:lang w:val="en-US"/>
        </w:rPr>
        <w:t>Considerations on Indigenous Peoples, Afro-Descendants, and Other Ethnic Groups during the COVID-19 Pandemic, 4 June 2020</w:t>
      </w:r>
      <w:r>
        <w:rPr>
          <w:lang w:val="en-US"/>
        </w:rPr>
        <w:t xml:space="preserve">, available at: </w:t>
      </w:r>
      <w:hyperlink r:id="rId33" w:history="1">
        <w:r w:rsidRPr="00A1132D">
          <w:rPr>
            <w:rStyle w:val="Hyperlink"/>
            <w:lang w:val="en-US"/>
          </w:rPr>
          <w:t>https://iris.paho.org/handle/10665.2/52251</w:t>
        </w:r>
      </w:hyperlink>
    </w:p>
  </w:footnote>
  <w:footnote w:id="39">
    <w:p w14:paraId="68ECE6DF" w14:textId="77777777" w:rsidR="00E63C0A" w:rsidRPr="006B60E1" w:rsidRDefault="00E63C0A" w:rsidP="00E63C0A">
      <w:pPr>
        <w:pStyle w:val="FootnoteText"/>
        <w:rPr>
          <w:lang w:val="it-IT"/>
        </w:rPr>
      </w:pPr>
      <w:r>
        <w:rPr>
          <w:rStyle w:val="FootnoteReference"/>
        </w:rPr>
        <w:footnoteRef/>
      </w:r>
      <w:r>
        <w:t xml:space="preserve"> PAHO/WHO. </w:t>
      </w:r>
      <w:r w:rsidRPr="004B14D7">
        <w:t>The Knowledge Dialogues Methodology</w:t>
      </w:r>
      <w:r>
        <w:t xml:space="preserve">. </w:t>
      </w:r>
      <w:hyperlink r:id="rId34" w:history="1">
        <w:r w:rsidRPr="006B60E1">
          <w:rPr>
            <w:rStyle w:val="Hyperlink"/>
            <w:lang w:val="it-IT"/>
          </w:rPr>
          <w:t>https://iris.paho.org/handle/10665.2/55863</w:t>
        </w:r>
      </w:hyperlink>
    </w:p>
  </w:footnote>
  <w:footnote w:id="40">
    <w:p w14:paraId="272CD2D2" w14:textId="61AFB005" w:rsidR="005671F9" w:rsidRPr="00921CF6" w:rsidRDefault="005671F9" w:rsidP="00FE3184">
      <w:pPr>
        <w:pStyle w:val="FootnoteText"/>
        <w:tabs>
          <w:tab w:val="left" w:pos="142"/>
        </w:tabs>
        <w:ind w:left="142" w:hanging="142"/>
        <w:jc w:val="left"/>
        <w:rPr>
          <w:color w:val="0000FF" w:themeColor="hyperlink"/>
          <w:highlight w:val="yellow"/>
          <w:u w:val="single"/>
        </w:rPr>
      </w:pPr>
      <w:r w:rsidRPr="00921CF6">
        <w:rPr>
          <w:rStyle w:val="FootnoteReference"/>
        </w:rPr>
        <w:footnoteRef/>
      </w:r>
      <w:r w:rsidRPr="006B60E1">
        <w:rPr>
          <w:lang w:val="it-IT"/>
        </w:rPr>
        <w:t xml:space="preserve"> WHO/</w:t>
      </w:r>
      <w:r w:rsidRPr="00FE3184">
        <w:rPr>
          <w:rFonts w:cstheme="minorHAnsi"/>
        </w:rPr>
        <w:t>EURO</w:t>
      </w:r>
      <w:r w:rsidRPr="006B60E1">
        <w:rPr>
          <w:lang w:val="it-IT"/>
        </w:rPr>
        <w:t xml:space="preserve">. Roma Inclusion Newsletter. </w:t>
      </w:r>
      <w:r w:rsidRPr="00921CF6">
        <w:t xml:space="preserve">Available at: </w:t>
      </w:r>
      <w:hyperlink r:id="rId35" w:history="1">
        <w:r w:rsidRPr="00921CF6">
          <w:rPr>
            <w:rStyle w:val="Hyperlink"/>
          </w:rPr>
          <w:t>https://www.euro.who.int/en/health-topics/health-determinants/roma-health/roma-inclusion-newsletter</w:t>
        </w:r>
      </w:hyperlink>
      <w:r w:rsidRPr="00921CF6">
        <w:rPr>
          <w:rStyle w:val="Hyperlink"/>
        </w:rPr>
        <w:t xml:space="preserve">. </w:t>
      </w:r>
    </w:p>
  </w:footnote>
  <w:footnote w:id="41">
    <w:p w14:paraId="5DD7F584" w14:textId="0C35F195" w:rsidR="005671F9" w:rsidRDefault="005671F9" w:rsidP="00FE3184">
      <w:pPr>
        <w:pStyle w:val="FootnoteText"/>
        <w:tabs>
          <w:tab w:val="left" w:pos="142"/>
        </w:tabs>
        <w:ind w:left="142" w:hanging="142"/>
        <w:jc w:val="left"/>
      </w:pPr>
      <w:r w:rsidRPr="00921CF6">
        <w:rPr>
          <w:rStyle w:val="FootnoteReference"/>
        </w:rPr>
        <w:footnoteRef/>
      </w:r>
      <w:r w:rsidRPr="00921CF6">
        <w:t xml:space="preserve"> WHO/EURO. Toolkit on Social Participation: Methods and Techniques for ensuring </w:t>
      </w:r>
      <w:r w:rsidR="005D59D0" w:rsidRPr="00921CF6">
        <w:t>the</w:t>
      </w:r>
      <w:r w:rsidRPr="00921CF6">
        <w:t xml:space="preserve"> social </w:t>
      </w:r>
      <w:r w:rsidR="005D59D0" w:rsidRPr="00921CF6">
        <w:t>participation</w:t>
      </w:r>
      <w:r w:rsidRPr="00921CF6">
        <w:t xml:space="preserve"> of Roma populations</w:t>
      </w:r>
      <w:r w:rsidR="005D59D0" w:rsidRPr="00921CF6">
        <w:t>. WHO/EURO, 2016,</w:t>
      </w:r>
      <w:r w:rsidR="00D001FC">
        <w:t xml:space="preserve"> Copenhagen. At:</w:t>
      </w:r>
      <w:r w:rsidR="005D59D0" w:rsidRPr="00921CF6">
        <w:t xml:space="preserve"> </w:t>
      </w:r>
      <w:hyperlink r:id="rId36" w:anchor=":~:text=The%20toolkit%20comprises%20a%20detailed,in%20the%20WHO%20European%20Region" w:history="1">
        <w:proofErr w:type="spellStart"/>
        <w:r w:rsidR="005D59D0" w:rsidRPr="00921CF6">
          <w:rPr>
            <w:rStyle w:val="Hyperlink"/>
          </w:rPr>
          <w:t>WHOEUROtoolkitRoma_DecadeofRomaInclusion</w:t>
        </w:r>
        <w:proofErr w:type="spellEnd"/>
      </w:hyperlink>
      <w:r w:rsidRPr="00921CF6">
        <w:rPr>
          <w:color w:val="0000FF"/>
          <w:u w:val="single"/>
        </w:rPr>
        <w:t>.</w:t>
      </w:r>
    </w:p>
  </w:footnote>
  <w:footnote w:id="42">
    <w:p w14:paraId="41175E0E" w14:textId="276660F7" w:rsidR="004E71CE" w:rsidRPr="00EF3831" w:rsidRDefault="004E71CE" w:rsidP="00FE3184">
      <w:pPr>
        <w:pStyle w:val="FootnoteText"/>
        <w:tabs>
          <w:tab w:val="left" w:pos="142"/>
        </w:tabs>
        <w:ind w:left="142" w:hanging="142"/>
        <w:jc w:val="left"/>
        <w:rPr>
          <w:lang w:val="en-US"/>
        </w:rPr>
      </w:pPr>
      <w:r>
        <w:rPr>
          <w:rStyle w:val="FootnoteReference"/>
        </w:rPr>
        <w:footnoteRef/>
      </w:r>
      <w:r>
        <w:t xml:space="preserve"> WHO/</w:t>
      </w:r>
      <w:r w:rsidRPr="00FE3184">
        <w:rPr>
          <w:rFonts w:cstheme="minorHAnsi"/>
        </w:rPr>
        <w:t>EURO</w:t>
      </w:r>
      <w:r>
        <w:t>.</w:t>
      </w:r>
      <w:r w:rsidR="009C0322">
        <w:t xml:space="preserve"> </w:t>
      </w:r>
      <w:r w:rsidR="009C0322" w:rsidRPr="009C0322">
        <w:t>Roma health mediation in Romania</w:t>
      </w:r>
      <w:r w:rsidR="009C0322">
        <w:t xml:space="preserve">. </w:t>
      </w:r>
      <w:r>
        <w:t xml:space="preserve">At: </w:t>
      </w:r>
      <w:hyperlink r:id="rId37" w:history="1">
        <w:r w:rsidR="00104925" w:rsidRPr="0044171E">
          <w:rPr>
            <w:rStyle w:val="Hyperlink"/>
          </w:rPr>
          <w:t>https://www.euro.who.int/__data/assets/pdf_file/0016/235141/e96931.pdf</w:t>
        </w:r>
      </w:hyperlink>
      <w:r>
        <w:t xml:space="preserve"> </w:t>
      </w:r>
    </w:p>
  </w:footnote>
  <w:footnote w:id="43">
    <w:p w14:paraId="18C06146" w14:textId="01997CA4" w:rsidR="00521CE3" w:rsidRDefault="00521CE3" w:rsidP="00FE3184">
      <w:pPr>
        <w:pStyle w:val="FootnoteText"/>
        <w:tabs>
          <w:tab w:val="left" w:pos="142"/>
        </w:tabs>
        <w:ind w:left="142" w:hanging="142"/>
        <w:jc w:val="left"/>
      </w:pPr>
      <w:r>
        <w:rPr>
          <w:rStyle w:val="FootnoteReference"/>
        </w:rPr>
        <w:footnoteRef/>
      </w:r>
      <w:r>
        <w:t xml:space="preserve"> </w:t>
      </w:r>
      <w:r w:rsidR="006468CB">
        <w:t>WHO/</w:t>
      </w:r>
      <w:r w:rsidR="006468CB" w:rsidRPr="00FE3184">
        <w:rPr>
          <w:rFonts w:cstheme="minorHAnsi"/>
        </w:rPr>
        <w:t>EURO</w:t>
      </w:r>
      <w:r w:rsidR="0001015D">
        <w:t xml:space="preserve">. </w:t>
      </w:r>
      <w:r w:rsidR="009C0322" w:rsidRPr="009C0322">
        <w:t>Review and reorientation of the “Programme for active health protection of mothers and children” for greater health equity in the former Yugoslav Republic of Macedonia</w:t>
      </w:r>
      <w:r w:rsidR="009C0322">
        <w:t xml:space="preserve">. </w:t>
      </w:r>
      <w:r w:rsidR="006468CB">
        <w:t xml:space="preserve">At: </w:t>
      </w:r>
      <w:hyperlink r:id="rId38" w:history="1">
        <w:r w:rsidR="006468CB" w:rsidRPr="005F1644">
          <w:rPr>
            <w:rStyle w:val="Hyperlink"/>
          </w:rPr>
          <w:t>https://apps.who.int/iris/handle/10665/164586?locale-attribute=pt&amp;</w:t>
        </w:r>
      </w:hyperlink>
      <w:r w:rsidR="006468CB">
        <w:t xml:space="preserve"> </w:t>
      </w:r>
    </w:p>
  </w:footnote>
  <w:footnote w:id="44">
    <w:p w14:paraId="6C7ACA3C" w14:textId="75C306AF" w:rsidR="004E71CE" w:rsidRDefault="004E71CE" w:rsidP="00FE3184">
      <w:pPr>
        <w:pStyle w:val="FootnoteText"/>
        <w:tabs>
          <w:tab w:val="left" w:pos="142"/>
        </w:tabs>
        <w:ind w:left="142" w:hanging="142"/>
        <w:jc w:val="left"/>
      </w:pPr>
      <w:r>
        <w:rPr>
          <w:rStyle w:val="FootnoteReference"/>
        </w:rPr>
        <w:footnoteRef/>
      </w:r>
      <w:r>
        <w:t xml:space="preserve"> WHO/</w:t>
      </w:r>
      <w:r w:rsidRPr="00FE3184">
        <w:rPr>
          <w:rFonts w:cstheme="minorHAnsi"/>
        </w:rPr>
        <w:t>EURO</w:t>
      </w:r>
      <w:r>
        <w:t>.</w:t>
      </w:r>
      <w:r w:rsidR="009C0322">
        <w:t xml:space="preserve"> Review and reorientation of the Serbian national programme for early detection of cervical cancer towards greater health equity.</w:t>
      </w:r>
      <w:r>
        <w:t xml:space="preserve"> At: </w:t>
      </w:r>
      <w:hyperlink r:id="rId39" w:tgtFrame="_blank" w:history="1">
        <w:r>
          <w:rPr>
            <w:rStyle w:val="Hyperlink"/>
            <w:rFonts w:ascii="Calibri" w:hAnsi="Calibri" w:cs="Calibri"/>
            <w:sz w:val="22"/>
            <w:szCs w:val="22"/>
            <w:bdr w:val="none" w:sz="0" w:space="0" w:color="auto" w:frame="1"/>
          </w:rPr>
          <w:t>http://apps.who.int/iris/bitstream/10665/181169/1</w:t>
        </w:r>
      </w:hyperlink>
      <w:r>
        <w:rPr>
          <w:rStyle w:val="Hyperlink"/>
          <w:rFonts w:ascii="Calibri" w:hAnsi="Calibri" w:cs="Calibri"/>
          <w:sz w:val="22"/>
          <w:szCs w:val="22"/>
          <w:bdr w:val="none" w:sz="0" w:space="0" w:color="auto" w:frame="1"/>
        </w:rPr>
        <w:t>.</w:t>
      </w:r>
    </w:p>
  </w:footnote>
  <w:footnote w:id="45">
    <w:p w14:paraId="7CA8E123" w14:textId="30EE4D81" w:rsidR="004E71CE" w:rsidRPr="004E71CE" w:rsidRDefault="004E71CE" w:rsidP="00FE3184">
      <w:pPr>
        <w:pStyle w:val="FootnoteText"/>
        <w:tabs>
          <w:tab w:val="left" w:pos="142"/>
        </w:tabs>
        <w:ind w:left="142" w:hanging="142"/>
        <w:jc w:val="left"/>
        <w:rPr>
          <w:lang w:val="en-US"/>
        </w:rPr>
      </w:pPr>
      <w:r>
        <w:rPr>
          <w:rStyle w:val="FootnoteReference"/>
        </w:rPr>
        <w:footnoteRef/>
      </w:r>
      <w:r>
        <w:t xml:space="preserve"> WHO/</w:t>
      </w:r>
      <w:r w:rsidRPr="00FE3184">
        <w:rPr>
          <w:rFonts w:cstheme="minorHAnsi"/>
        </w:rPr>
        <w:t>EURO</w:t>
      </w:r>
      <w:r>
        <w:t xml:space="preserve">. </w:t>
      </w:r>
      <w:r w:rsidR="00104925">
        <w:t xml:space="preserve">How health systems can address health inequities linked to migration and ethnicity. </w:t>
      </w:r>
      <w:r>
        <w:t xml:space="preserve">At: </w:t>
      </w:r>
      <w:hyperlink r:id="rId40" w:history="1">
        <w:r w:rsidRPr="005F1644">
          <w:rPr>
            <w:rStyle w:val="Hyperlink"/>
          </w:rPr>
          <w:t>https://www.euro.who.int/__data/assets/pdf_file/0005/127526/e94497.pdf</w:t>
        </w:r>
      </w:hyperlink>
      <w:r>
        <w:t xml:space="preserve"> </w:t>
      </w:r>
    </w:p>
  </w:footnote>
  <w:footnote w:id="46">
    <w:p w14:paraId="61C05B36"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See Andrew Waa, Raglan Maddox, et al, ‘</w:t>
      </w:r>
      <w:r w:rsidRPr="00695A6F">
        <w:rPr>
          <w:rFonts w:cstheme="minorHAnsi"/>
          <w:i/>
          <w:iCs/>
        </w:rPr>
        <w:t>Big tobacco using Trojan horse tactics to exploit Indigenous peoples’</w:t>
      </w:r>
      <w:r w:rsidRPr="00695A6F">
        <w:rPr>
          <w:rFonts w:cstheme="minorHAnsi"/>
        </w:rPr>
        <w:t xml:space="preserve">, </w:t>
      </w:r>
      <w:proofErr w:type="spellStart"/>
      <w:r w:rsidRPr="00695A6F">
        <w:rPr>
          <w:rFonts w:cstheme="minorHAnsi"/>
        </w:rPr>
        <w:t>Tob</w:t>
      </w:r>
      <w:proofErr w:type="spellEnd"/>
      <w:r w:rsidRPr="00695A6F">
        <w:rPr>
          <w:rFonts w:cstheme="minorHAnsi"/>
        </w:rPr>
        <w:t xml:space="preserve"> Control (2020), Vol [29], 132 </w:t>
      </w:r>
    </w:p>
  </w:footnote>
  <w:footnote w:id="47">
    <w:p w14:paraId="2B7814EA" w14:textId="77777777" w:rsidR="00CE4632" w:rsidRPr="00695A6F" w:rsidRDefault="00CE4632" w:rsidP="00CE4632">
      <w:pPr>
        <w:pStyle w:val="FootnoteText"/>
        <w:rPr>
          <w:rFonts w:cstheme="minorHAnsi"/>
          <w:i/>
          <w:iCs/>
        </w:rPr>
      </w:pPr>
      <w:r w:rsidRPr="00695A6F">
        <w:rPr>
          <w:rStyle w:val="FootnoteReference"/>
          <w:rFonts w:cstheme="minorHAnsi"/>
        </w:rPr>
        <w:footnoteRef/>
      </w:r>
      <w:r w:rsidRPr="00695A6F">
        <w:rPr>
          <w:rFonts w:cstheme="minorHAnsi"/>
        </w:rPr>
        <w:t xml:space="preserve"> </w:t>
      </w:r>
      <w:r w:rsidRPr="00695A6F">
        <w:rPr>
          <w:rFonts w:cstheme="minorHAnsi"/>
          <w:i/>
          <w:iCs/>
        </w:rPr>
        <w:t xml:space="preserve">ibid, </w:t>
      </w:r>
      <w:r w:rsidRPr="00695A6F">
        <w:rPr>
          <w:rFonts w:cstheme="minorHAnsi"/>
        </w:rPr>
        <w:t>Article 4.2 (c)</w:t>
      </w:r>
      <w:r w:rsidRPr="00695A6F">
        <w:rPr>
          <w:rFonts w:cstheme="minorHAnsi"/>
          <w:i/>
          <w:iCs/>
        </w:rPr>
        <w:t xml:space="preserve"> </w:t>
      </w:r>
    </w:p>
  </w:footnote>
  <w:footnote w:id="48">
    <w:p w14:paraId="38C716DF"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Heather Gifford, Andrew Waa, et al, ‘</w:t>
      </w:r>
      <w:r w:rsidRPr="00695A6F">
        <w:rPr>
          <w:rFonts w:cstheme="minorHAnsi"/>
          <w:i/>
          <w:iCs/>
        </w:rPr>
        <w:t>Exploring indigenous perspectives on tobacco tax: how some Māori families are responding in Aotearoa New Zealand’</w:t>
      </w:r>
      <w:r w:rsidRPr="00695A6F">
        <w:rPr>
          <w:rFonts w:cstheme="minorHAnsi"/>
        </w:rPr>
        <w:t xml:space="preserve">, </w:t>
      </w:r>
      <w:proofErr w:type="spellStart"/>
      <w:r w:rsidRPr="00695A6F">
        <w:rPr>
          <w:rFonts w:cstheme="minorHAnsi"/>
        </w:rPr>
        <w:t>Tob</w:t>
      </w:r>
      <w:proofErr w:type="spellEnd"/>
      <w:r w:rsidRPr="00695A6F">
        <w:rPr>
          <w:rFonts w:cstheme="minorHAnsi"/>
        </w:rPr>
        <w:t xml:space="preserve"> Control (2021), Vol [30], 144</w:t>
      </w:r>
    </w:p>
  </w:footnote>
  <w:footnote w:id="49">
    <w:p w14:paraId="48C535E3"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In Canada, the personal property of a registered </w:t>
      </w:r>
      <w:r>
        <w:rPr>
          <w:rFonts w:cstheme="minorHAnsi"/>
        </w:rPr>
        <w:t>First Nations individual</w:t>
      </w:r>
      <w:r w:rsidRPr="00695A6F">
        <w:rPr>
          <w:rFonts w:cstheme="minorHAnsi"/>
        </w:rPr>
        <w:t xml:space="preserve"> situated on a reserve is exempt from taxation. In recognition of this exemption, under Ontario’s First Nations Cigarette Allocation System, First Nations individuals may buy allocation cigarettes on a reserve, for their exclusive use, that are exempt from Ontario tobacco tax (See </w:t>
      </w:r>
      <w:hyperlink r:id="rId41" w:history="1">
        <w:r w:rsidRPr="00695A6F">
          <w:rPr>
            <w:rStyle w:val="Hyperlink"/>
            <w:rFonts w:cstheme="minorHAnsi"/>
          </w:rPr>
          <w:t>https://www.ontario.ca/document/tobacco-tax/first-nations-cigarette-allocation-system</w:t>
        </w:r>
      </w:hyperlink>
      <w:r w:rsidRPr="00695A6F">
        <w:rPr>
          <w:rFonts w:cstheme="minorHAnsi"/>
        </w:rPr>
        <w:t xml:space="preserve">).  </w:t>
      </w:r>
    </w:p>
  </w:footnote>
  <w:footnote w:id="50">
    <w:p w14:paraId="50B12D3D"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In Montana, United States, tax-free cigarette distribution to a tribal member are implemented through a system of preapproved wholesaler shipments (See: </w:t>
      </w:r>
      <w:hyperlink r:id="rId42" w:history="1">
        <w:r w:rsidRPr="00695A6F">
          <w:rPr>
            <w:rStyle w:val="Hyperlink"/>
            <w:rFonts w:cstheme="minorHAnsi"/>
          </w:rPr>
          <w:t>https://leg.mt.gov/bills/mca/title_0160/chapter_0110/part_0010/section_0110/0160-0110-0010-0110.html</w:t>
        </w:r>
      </w:hyperlink>
      <w:r w:rsidRPr="00695A6F">
        <w:rPr>
          <w:rFonts w:cstheme="minorHAnsi"/>
        </w:rPr>
        <w:t xml:space="preserve">) </w:t>
      </w:r>
    </w:p>
  </w:footnote>
  <w:footnote w:id="51">
    <w:p w14:paraId="38216CF4"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For example, in Australia, programs have been funded since 2010 to reduce smoking among Aboriginal and Torres Strait Islander communities;</w:t>
      </w:r>
      <w:r>
        <w:rPr>
          <w:rFonts w:cstheme="minorHAnsi"/>
        </w:rPr>
        <w:t xml:space="preserve"> In Ontario, the Aboriginal Tobacco Program of Cancer Care Ontario aims to engage stakeholders across aboriginal communities to create health promotion strategies to both decrease and prevent the misuse of commercial tobacco. </w:t>
      </w:r>
      <w:r w:rsidRPr="00695A6F">
        <w:rPr>
          <w:rFonts w:cstheme="minorHAnsi"/>
        </w:rPr>
        <w:t xml:space="preserve"> </w:t>
      </w:r>
    </w:p>
  </w:footnote>
  <w:footnote w:id="52">
    <w:p w14:paraId="755DA6C7"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WHO FCTC, Partial Guidelines for implementation of Articles 9 and 10, </w:t>
      </w:r>
      <w:hyperlink r:id="rId43" w:history="1">
        <w:r w:rsidRPr="00695A6F">
          <w:rPr>
            <w:rStyle w:val="Hyperlink"/>
            <w:rFonts w:cstheme="minorHAnsi"/>
          </w:rPr>
          <w:t>https://fctc.who.int/publications/m/item/regulation-of-the-contents-of-tobacco-products-and-regulation-of-tobacco-product-disclosures</w:t>
        </w:r>
      </w:hyperlink>
      <w:r w:rsidRPr="00695A6F">
        <w:rPr>
          <w:rFonts w:cstheme="minorHAnsi"/>
        </w:rPr>
        <w:t xml:space="preserve"> </w:t>
      </w:r>
    </w:p>
  </w:footnote>
  <w:footnote w:id="53">
    <w:p w14:paraId="24D40DD7"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Amanda </w:t>
      </w:r>
      <w:proofErr w:type="spellStart"/>
      <w:r w:rsidRPr="00695A6F">
        <w:rPr>
          <w:rFonts w:cstheme="minorHAnsi"/>
        </w:rPr>
        <w:t>Dauphinee</w:t>
      </w:r>
      <w:proofErr w:type="spellEnd"/>
      <w:r w:rsidRPr="00695A6F">
        <w:rPr>
          <w:rFonts w:cstheme="minorHAnsi"/>
        </w:rPr>
        <w:t xml:space="preserve">, Juliana </w:t>
      </w:r>
      <w:proofErr w:type="spellStart"/>
      <w:r w:rsidRPr="00695A6F">
        <w:rPr>
          <w:rFonts w:cstheme="minorHAnsi"/>
        </w:rPr>
        <w:t>Doxey</w:t>
      </w:r>
      <w:proofErr w:type="spellEnd"/>
      <w:r w:rsidRPr="00695A6F">
        <w:rPr>
          <w:rFonts w:cstheme="minorHAnsi"/>
        </w:rPr>
        <w:t>, et al., ‘</w:t>
      </w:r>
      <w:r w:rsidRPr="00695A6F">
        <w:rPr>
          <w:rFonts w:cstheme="minorHAnsi"/>
          <w:i/>
          <w:iCs/>
        </w:rPr>
        <w:t>Racial differences in cigarette brand recognition and impact on youth smoking’,</w:t>
      </w:r>
      <w:r w:rsidRPr="00695A6F">
        <w:rPr>
          <w:rFonts w:cstheme="minorHAnsi"/>
        </w:rPr>
        <w:t xml:space="preserve"> BMC Public Health (2013), </w:t>
      </w:r>
      <w:r>
        <w:rPr>
          <w:rFonts w:cstheme="minorHAnsi"/>
        </w:rPr>
        <w:t xml:space="preserve">Vol. </w:t>
      </w:r>
      <w:r w:rsidRPr="00695A6F">
        <w:rPr>
          <w:rFonts w:cstheme="minorHAnsi"/>
        </w:rPr>
        <w:t xml:space="preserve">[13], 170, </w:t>
      </w:r>
      <w:proofErr w:type="spellStart"/>
      <w:r w:rsidRPr="00695A6F">
        <w:rPr>
          <w:rFonts w:cstheme="minorHAnsi"/>
        </w:rPr>
        <w:t>doi</w:t>
      </w:r>
      <w:proofErr w:type="spellEnd"/>
      <w:r w:rsidRPr="00695A6F">
        <w:rPr>
          <w:rFonts w:cstheme="minorHAnsi"/>
        </w:rPr>
        <w:t>: 10.1186/1471-2458-13-170</w:t>
      </w:r>
    </w:p>
  </w:footnote>
  <w:footnote w:id="54">
    <w:p w14:paraId="7623BA28"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Public Health Law Center, How Countries Regulate </w:t>
      </w:r>
      <w:proofErr w:type="spellStart"/>
      <w:r w:rsidRPr="00695A6F">
        <w:rPr>
          <w:rFonts w:cstheme="minorHAnsi"/>
        </w:rPr>
        <w:t>Flavored</w:t>
      </w:r>
      <w:proofErr w:type="spellEnd"/>
      <w:r w:rsidRPr="00695A6F">
        <w:rPr>
          <w:rFonts w:cstheme="minorHAnsi"/>
        </w:rPr>
        <w:t xml:space="preserve"> Tobacco Products, </w:t>
      </w:r>
      <w:hyperlink r:id="rId44" w:history="1">
        <w:r w:rsidRPr="00695A6F">
          <w:rPr>
            <w:rStyle w:val="Hyperlink"/>
            <w:rFonts w:cstheme="minorHAnsi"/>
          </w:rPr>
          <w:t>https://www.publichealthlawcenter.org/sites/default/files/resources/tclc-fs-global-flavored-regs-2015.pdf</w:t>
        </w:r>
      </w:hyperlink>
      <w:r w:rsidRPr="00695A6F">
        <w:rPr>
          <w:rFonts w:cstheme="minorHAnsi"/>
        </w:rPr>
        <w:t xml:space="preserve"> </w:t>
      </w:r>
    </w:p>
  </w:footnote>
  <w:footnote w:id="55">
    <w:p w14:paraId="53A9948E"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Press Release: Altria announces Five Million dollar donation to Fight racial inequality, </w:t>
      </w:r>
      <w:hyperlink r:id="rId45" w:history="1">
        <w:r w:rsidRPr="00695A6F">
          <w:rPr>
            <w:rStyle w:val="Hyperlink"/>
            <w:rFonts w:cstheme="minorHAnsi"/>
          </w:rPr>
          <w:t>https://investor.altria.com/press-releases/news-details/2020/Altria-Announces-Five-Million-Dollar-Donation-to-Fight-Racial-Inequality/default.aspx</w:t>
        </w:r>
      </w:hyperlink>
      <w:r w:rsidRPr="00695A6F">
        <w:rPr>
          <w:rFonts w:cstheme="minorHAnsi"/>
        </w:rPr>
        <w:t xml:space="preserve"> </w:t>
      </w:r>
    </w:p>
  </w:footnote>
  <w:footnote w:id="56">
    <w:p w14:paraId="2BB4E786" w14:textId="77777777" w:rsidR="00CE4632" w:rsidRPr="00695A6F" w:rsidRDefault="00CE4632" w:rsidP="00FE3184">
      <w:pPr>
        <w:pStyle w:val="FootnoteText"/>
        <w:tabs>
          <w:tab w:val="left" w:pos="142"/>
        </w:tabs>
        <w:ind w:left="142" w:hanging="142"/>
        <w:jc w:val="left"/>
        <w:rPr>
          <w:rFonts w:cstheme="minorHAnsi"/>
        </w:rPr>
      </w:pPr>
      <w:r w:rsidRPr="00695A6F">
        <w:rPr>
          <w:rStyle w:val="FootnoteReference"/>
          <w:rFonts w:cstheme="minorHAnsi"/>
        </w:rPr>
        <w:footnoteRef/>
      </w:r>
      <w:r w:rsidRPr="00695A6F">
        <w:rPr>
          <w:rFonts w:cstheme="minorHAnsi"/>
        </w:rPr>
        <w:t xml:space="preserve"> See Guidelines for the Implementation of Article 13, </w:t>
      </w:r>
      <w:hyperlink r:id="rId46" w:history="1">
        <w:r w:rsidRPr="00695A6F">
          <w:rPr>
            <w:rStyle w:val="Hyperlink"/>
            <w:rFonts w:cstheme="minorHAnsi"/>
          </w:rPr>
          <w:t>https://fctc.who.int/publications/m/item/tobacco-advertising-promotion-and-sponsorship</w:t>
        </w:r>
      </w:hyperlink>
      <w:r w:rsidRPr="00695A6F">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F266" w14:textId="77777777" w:rsidR="00621CB7" w:rsidRPr="000620B1" w:rsidRDefault="00621CB7" w:rsidP="000620B1">
    <w:pPr>
      <w:pStyle w:val="Body"/>
      <w:keepNext/>
      <w:ind w:left="-142" w:firstLine="720"/>
      <w:jc w:val="right"/>
      <w:outlineLvl w:val="3"/>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C37F" w14:textId="4832E4C3" w:rsidR="00F417DC" w:rsidRDefault="00F417DC" w:rsidP="00A30156">
    <w:pPr>
      <w:pStyle w:val="Body"/>
      <w:keepNext/>
      <w:ind w:left="-142" w:firstLine="720"/>
      <w:jc w:val="right"/>
      <w:outlineLvl w:val="3"/>
      <w:rPr>
        <w:b/>
        <w:bCs/>
        <w:color w:val="auto"/>
        <w:sz w:val="24"/>
        <w:szCs w:val="24"/>
        <w:lang w:val="es-ES_tradnl"/>
      </w:rPr>
    </w:pPr>
    <w:r w:rsidRPr="00702E26">
      <w:rPr>
        <w:noProof/>
        <w:color w:val="auto"/>
        <w:sz w:val="24"/>
        <w:szCs w:val="24"/>
      </w:rPr>
      <w:drawing>
        <wp:anchor distT="57150" distB="57150" distL="57150" distR="57150" simplePos="0" relativeHeight="251658240" behindDoc="0" locked="0" layoutInCell="1" allowOverlap="1" wp14:anchorId="73CA8D2E" wp14:editId="3C970749">
          <wp:simplePos x="0" y="0"/>
          <wp:positionH relativeFrom="margin">
            <wp:posOffset>-76200</wp:posOffset>
          </wp:positionH>
          <wp:positionV relativeFrom="paragraph">
            <wp:posOffset>9525</wp:posOffset>
          </wp:positionV>
          <wp:extent cx="1695450" cy="534670"/>
          <wp:effectExtent l="0" t="0" r="0" b="0"/>
          <wp:wrapThrough wrapText="bothSides" distL="57150" distR="57150">
            <wp:wrapPolygon edited="1">
              <wp:start x="0" y="0"/>
              <wp:lineTo x="21600" y="0"/>
              <wp:lineTo x="21600" y="21600"/>
              <wp:lineTo x="0" y="21600"/>
              <wp:lineTo x="0" y="0"/>
            </wp:wrapPolygon>
          </wp:wrapThrough>
          <wp:docPr id="1"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stretch>
                    <a:fillRect/>
                  </a:stretch>
                </pic:blipFill>
                <pic:spPr>
                  <a:xfrm>
                    <a:off x="0" y="0"/>
                    <a:ext cx="1695450" cy="534670"/>
                  </a:xfrm>
                  <a:prstGeom prst="rect">
                    <a:avLst/>
                  </a:prstGeom>
                  <a:ln w="12700" cap="flat">
                    <a:noFill/>
                    <a:miter lim="400000"/>
                  </a:ln>
                  <a:effectLst/>
                </pic:spPr>
              </pic:pic>
            </a:graphicData>
          </a:graphic>
        </wp:anchor>
      </w:drawing>
    </w:r>
  </w:p>
  <w:p w14:paraId="616ABE72" w14:textId="77777777" w:rsidR="00F417DC" w:rsidRDefault="00F417DC" w:rsidP="00F417DC">
    <w:pPr>
      <w:pStyle w:val="Body"/>
      <w:keepNext/>
      <w:ind w:left="-142" w:firstLine="720"/>
      <w:jc w:val="right"/>
      <w:outlineLvl w:val="3"/>
      <w:rPr>
        <w:b/>
        <w:bCs/>
        <w:color w:val="auto"/>
        <w:sz w:val="24"/>
        <w:szCs w:val="24"/>
        <w:lang w:val="es-ES_tradnl"/>
      </w:rPr>
    </w:pPr>
  </w:p>
  <w:p w14:paraId="37D2130A" w14:textId="77777777" w:rsidR="00F417DC" w:rsidRDefault="00F417DC" w:rsidP="00926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3CC"/>
    <w:multiLevelType w:val="hybridMultilevel"/>
    <w:tmpl w:val="FF56412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B3BE4"/>
    <w:multiLevelType w:val="hybridMultilevel"/>
    <w:tmpl w:val="4BAC52AA"/>
    <w:lvl w:ilvl="0" w:tplc="0809000F">
      <w:start w:val="7"/>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A0576"/>
    <w:multiLevelType w:val="hybridMultilevel"/>
    <w:tmpl w:val="8AE0288A"/>
    <w:lvl w:ilvl="0" w:tplc="D4DEF2C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80C02"/>
    <w:multiLevelType w:val="hybridMultilevel"/>
    <w:tmpl w:val="B24A75BE"/>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12126"/>
    <w:multiLevelType w:val="hybridMultilevel"/>
    <w:tmpl w:val="B28C3B6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A7336"/>
    <w:multiLevelType w:val="multilevel"/>
    <w:tmpl w:val="61AC9A64"/>
    <w:lvl w:ilvl="0">
      <w:start w:val="1"/>
      <w:numFmt w:val="decimal"/>
      <w:lvlText w:val="%1"/>
      <w:lvlJc w:val="left"/>
      <w:pPr>
        <w:ind w:left="432" w:hanging="432"/>
      </w:pPr>
      <w:rPr>
        <w:rFonts w:hint="default"/>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1307D5"/>
    <w:multiLevelType w:val="hybridMultilevel"/>
    <w:tmpl w:val="8FB0D928"/>
    <w:lvl w:ilvl="0" w:tplc="0809000F">
      <w:start w:val="5"/>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70D41"/>
    <w:multiLevelType w:val="hybridMultilevel"/>
    <w:tmpl w:val="AC38896C"/>
    <w:lvl w:ilvl="0" w:tplc="8FF42EC6">
      <w:start w:val="2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24ADE"/>
    <w:multiLevelType w:val="hybridMultilevel"/>
    <w:tmpl w:val="BB1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2396"/>
    <w:multiLevelType w:val="hybridMultilevel"/>
    <w:tmpl w:val="C9BCEF5A"/>
    <w:lvl w:ilvl="0" w:tplc="AB405CE4">
      <w:start w:val="1"/>
      <w:numFmt w:val="lowerRoman"/>
      <w:lvlText w:val="%1."/>
      <w:lvlJc w:val="right"/>
      <w:pPr>
        <w:ind w:left="1080" w:hanging="360"/>
      </w:pPr>
      <w:rPr>
        <w:rFonts w:ascii="Roboto" w:eastAsia="Calibri" w:hAnsi="Roboto" w:cs="Times New Roman"/>
      </w:rPr>
    </w:lvl>
    <w:lvl w:ilvl="1" w:tplc="20000017">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3A798B"/>
    <w:multiLevelType w:val="hybridMultilevel"/>
    <w:tmpl w:val="865E4366"/>
    <w:lvl w:ilvl="0" w:tplc="C98A6260">
      <w:start w:val="2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E5D67"/>
    <w:multiLevelType w:val="hybridMultilevel"/>
    <w:tmpl w:val="621E8B32"/>
    <w:lvl w:ilvl="0" w:tplc="5EF670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6148D"/>
    <w:multiLevelType w:val="hybridMultilevel"/>
    <w:tmpl w:val="EC482506"/>
    <w:lvl w:ilvl="0" w:tplc="AB405CE4">
      <w:start w:val="1"/>
      <w:numFmt w:val="lowerRoman"/>
      <w:lvlText w:val="%1."/>
      <w:lvlJc w:val="right"/>
      <w:pPr>
        <w:ind w:left="1080" w:hanging="360"/>
      </w:pPr>
      <w:rPr>
        <w:rFonts w:ascii="Roboto" w:eastAsia="Calibri" w:hAnsi="Roboto"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DA7E02"/>
    <w:multiLevelType w:val="hybridMultilevel"/>
    <w:tmpl w:val="1B04D300"/>
    <w:lvl w:ilvl="0" w:tplc="3C26D024">
      <w:start w:val="1"/>
      <w:numFmt w:val="lowerRoman"/>
      <w:lvlText w:val="(%1)"/>
      <w:lvlJc w:val="left"/>
      <w:pPr>
        <w:ind w:left="1146" w:hanging="72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7210D7"/>
    <w:multiLevelType w:val="hybridMultilevel"/>
    <w:tmpl w:val="6180E014"/>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A83053"/>
    <w:multiLevelType w:val="hybridMultilevel"/>
    <w:tmpl w:val="E1F0413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528DC"/>
    <w:multiLevelType w:val="hybridMultilevel"/>
    <w:tmpl w:val="9F1EE3FC"/>
    <w:lvl w:ilvl="0" w:tplc="AF34D97A">
      <w:start w:val="4"/>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9409D"/>
    <w:multiLevelType w:val="hybridMultilevel"/>
    <w:tmpl w:val="ACACB51C"/>
    <w:lvl w:ilvl="0" w:tplc="3848951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73FBC"/>
    <w:multiLevelType w:val="hybridMultilevel"/>
    <w:tmpl w:val="3B1CFD20"/>
    <w:lvl w:ilvl="0" w:tplc="A8F2DEB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06F5A"/>
    <w:multiLevelType w:val="hybridMultilevel"/>
    <w:tmpl w:val="F6BAF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1C1C56"/>
    <w:multiLevelType w:val="hybridMultilevel"/>
    <w:tmpl w:val="A582D4BC"/>
    <w:lvl w:ilvl="0" w:tplc="D794D0F2">
      <w:start w:val="1"/>
      <w:numFmt w:val="decimal"/>
      <w:lvlText w:val="%1."/>
      <w:lvlJc w:val="left"/>
      <w:pPr>
        <w:ind w:left="786" w:hanging="360"/>
      </w:pPr>
      <w:rPr>
        <w:rFonts w:asciiTheme="minorHAnsi" w:hAnsiTheme="minorHAnsi" w:cs="Arial"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D109B9"/>
    <w:multiLevelType w:val="hybridMultilevel"/>
    <w:tmpl w:val="5FE66B7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527B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CA648D5"/>
    <w:multiLevelType w:val="hybridMultilevel"/>
    <w:tmpl w:val="7ECE082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CF80CEF"/>
    <w:multiLevelType w:val="hybridMultilevel"/>
    <w:tmpl w:val="6DD60708"/>
    <w:lvl w:ilvl="0" w:tplc="B57A83CA">
      <w:start w:val="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42C7A"/>
    <w:multiLevelType w:val="hybridMultilevel"/>
    <w:tmpl w:val="18886F28"/>
    <w:lvl w:ilvl="0" w:tplc="15CA3456">
      <w:start w:val="1"/>
      <w:numFmt w:val="lowerLetter"/>
      <w:lvlText w:val="%1)"/>
      <w:lvlJc w:val="left"/>
      <w:pPr>
        <w:ind w:left="720" w:hanging="360"/>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674D56"/>
    <w:multiLevelType w:val="hybridMultilevel"/>
    <w:tmpl w:val="4FA840CA"/>
    <w:lvl w:ilvl="0" w:tplc="200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A3E79"/>
    <w:multiLevelType w:val="hybridMultilevel"/>
    <w:tmpl w:val="2A14CD3C"/>
    <w:lvl w:ilvl="0" w:tplc="F7006694">
      <w:start w:val="1"/>
      <w:numFmt w:val="upperLetter"/>
      <w:lvlText w:val="%1."/>
      <w:lvlJc w:val="left"/>
      <w:pPr>
        <w:ind w:left="90" w:hanging="360"/>
      </w:pPr>
      <w:rPr>
        <w:b/>
        <w:bCs/>
      </w:rPr>
    </w:lvl>
    <w:lvl w:ilvl="1" w:tplc="31669430">
      <w:start w:val="1"/>
      <w:numFmt w:val="lowerLetter"/>
      <w:lvlText w:val="%2."/>
      <w:lvlJc w:val="left"/>
      <w:pPr>
        <w:ind w:left="810" w:hanging="360"/>
      </w:pPr>
      <w:rPr>
        <w:b w:val="0"/>
        <w:bCs w:val="0"/>
        <w:i w:val="0"/>
        <w:iCs w:val="0"/>
      </w:rPr>
    </w:lvl>
    <w:lvl w:ilvl="2" w:tplc="F43AFF6C">
      <w:start w:val="1"/>
      <w:numFmt w:val="lowerRoman"/>
      <w:lvlText w:val="%3."/>
      <w:lvlJc w:val="right"/>
      <w:pPr>
        <w:ind w:left="1530" w:hanging="180"/>
      </w:pPr>
      <w:rPr>
        <w:b w:val="0"/>
        <w:bCs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57DF3E31"/>
    <w:multiLevelType w:val="multilevel"/>
    <w:tmpl w:val="52B667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190C1E"/>
    <w:multiLevelType w:val="hybridMultilevel"/>
    <w:tmpl w:val="A7CCDDAA"/>
    <w:lvl w:ilvl="0" w:tplc="0809000F">
      <w:start w:val="5"/>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D0990"/>
    <w:multiLevelType w:val="hybridMultilevel"/>
    <w:tmpl w:val="FD6A60B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D6F9B"/>
    <w:multiLevelType w:val="hybridMultilevel"/>
    <w:tmpl w:val="D50A8FA6"/>
    <w:lvl w:ilvl="0" w:tplc="0CDC9F9E">
      <w:start w:val="1"/>
      <w:numFmt w:val="bullet"/>
      <w:lvlText w:val=""/>
      <w:lvlJc w:val="left"/>
      <w:pPr>
        <w:ind w:left="360" w:hanging="360"/>
      </w:pPr>
      <w:rPr>
        <w:rFonts w:ascii="Symbol" w:hAnsi="Symbol" w:hint="default"/>
        <w:color w:val="auto"/>
      </w:rPr>
    </w:lvl>
    <w:lvl w:ilvl="1" w:tplc="FA484B3E" w:tentative="1">
      <w:start w:val="1"/>
      <w:numFmt w:val="bullet"/>
      <w:lvlText w:val="o"/>
      <w:lvlJc w:val="left"/>
      <w:pPr>
        <w:ind w:left="1080" w:hanging="360"/>
      </w:pPr>
      <w:rPr>
        <w:rFonts w:ascii="Courier New" w:hAnsi="Courier New" w:cs="Courier New" w:hint="default"/>
      </w:rPr>
    </w:lvl>
    <w:lvl w:ilvl="2" w:tplc="E190EDEA" w:tentative="1">
      <w:start w:val="1"/>
      <w:numFmt w:val="bullet"/>
      <w:lvlText w:val=""/>
      <w:lvlJc w:val="left"/>
      <w:pPr>
        <w:ind w:left="1800" w:hanging="360"/>
      </w:pPr>
      <w:rPr>
        <w:rFonts w:ascii="Wingdings" w:hAnsi="Wingdings" w:hint="default"/>
      </w:rPr>
    </w:lvl>
    <w:lvl w:ilvl="3" w:tplc="C6649D58" w:tentative="1">
      <w:start w:val="1"/>
      <w:numFmt w:val="bullet"/>
      <w:lvlText w:val=""/>
      <w:lvlJc w:val="left"/>
      <w:pPr>
        <w:ind w:left="2520" w:hanging="360"/>
      </w:pPr>
      <w:rPr>
        <w:rFonts w:ascii="Symbol" w:hAnsi="Symbol" w:hint="default"/>
      </w:rPr>
    </w:lvl>
    <w:lvl w:ilvl="4" w:tplc="E7B2176E" w:tentative="1">
      <w:start w:val="1"/>
      <w:numFmt w:val="bullet"/>
      <w:lvlText w:val="o"/>
      <w:lvlJc w:val="left"/>
      <w:pPr>
        <w:ind w:left="3240" w:hanging="360"/>
      </w:pPr>
      <w:rPr>
        <w:rFonts w:ascii="Courier New" w:hAnsi="Courier New" w:cs="Courier New" w:hint="default"/>
      </w:rPr>
    </w:lvl>
    <w:lvl w:ilvl="5" w:tplc="1D6881CE" w:tentative="1">
      <w:start w:val="1"/>
      <w:numFmt w:val="bullet"/>
      <w:lvlText w:val=""/>
      <w:lvlJc w:val="left"/>
      <w:pPr>
        <w:ind w:left="3960" w:hanging="360"/>
      </w:pPr>
      <w:rPr>
        <w:rFonts w:ascii="Wingdings" w:hAnsi="Wingdings" w:hint="default"/>
      </w:rPr>
    </w:lvl>
    <w:lvl w:ilvl="6" w:tplc="440629E6" w:tentative="1">
      <w:start w:val="1"/>
      <w:numFmt w:val="bullet"/>
      <w:lvlText w:val=""/>
      <w:lvlJc w:val="left"/>
      <w:pPr>
        <w:ind w:left="4680" w:hanging="360"/>
      </w:pPr>
      <w:rPr>
        <w:rFonts w:ascii="Symbol" w:hAnsi="Symbol" w:hint="default"/>
      </w:rPr>
    </w:lvl>
    <w:lvl w:ilvl="7" w:tplc="BDECA61A" w:tentative="1">
      <w:start w:val="1"/>
      <w:numFmt w:val="bullet"/>
      <w:lvlText w:val="o"/>
      <w:lvlJc w:val="left"/>
      <w:pPr>
        <w:ind w:left="5400" w:hanging="360"/>
      </w:pPr>
      <w:rPr>
        <w:rFonts w:ascii="Courier New" w:hAnsi="Courier New" w:cs="Courier New" w:hint="default"/>
      </w:rPr>
    </w:lvl>
    <w:lvl w:ilvl="8" w:tplc="D77422D4" w:tentative="1">
      <w:start w:val="1"/>
      <w:numFmt w:val="bullet"/>
      <w:lvlText w:val=""/>
      <w:lvlJc w:val="left"/>
      <w:pPr>
        <w:ind w:left="6120" w:hanging="360"/>
      </w:pPr>
      <w:rPr>
        <w:rFonts w:ascii="Wingdings" w:hAnsi="Wingdings" w:hint="default"/>
      </w:rPr>
    </w:lvl>
  </w:abstractNum>
  <w:abstractNum w:abstractNumId="32" w15:restartNumberingAfterBreak="0">
    <w:nsid w:val="63A16007"/>
    <w:multiLevelType w:val="hybridMultilevel"/>
    <w:tmpl w:val="1F86B8AA"/>
    <w:lvl w:ilvl="0" w:tplc="D45EBBE8">
      <w:start w:val="1"/>
      <w:numFmt w:val="lowerRoman"/>
      <w:lvlText w:val="(%1)"/>
      <w:lvlJc w:val="left"/>
      <w:pPr>
        <w:ind w:left="1245" w:hanging="720"/>
      </w:pPr>
      <w:rPr>
        <w:rFonts w:hint="default"/>
        <w:color w:val="auto"/>
      </w:rPr>
    </w:lvl>
    <w:lvl w:ilvl="1" w:tplc="AA40C6CC">
      <w:numFmt w:val="bullet"/>
      <w:lvlText w:val="-"/>
      <w:lvlJc w:val="left"/>
      <w:pPr>
        <w:ind w:left="1605" w:hanging="360"/>
      </w:pPr>
      <w:rPr>
        <w:rFonts w:ascii="Roboto" w:eastAsia="Calibri" w:hAnsi="Roboto" w:cs="Arial" w:hint="default"/>
        <w:b/>
      </w:r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3" w15:restartNumberingAfterBreak="0">
    <w:nsid w:val="64FF46A8"/>
    <w:multiLevelType w:val="hybridMultilevel"/>
    <w:tmpl w:val="7416D9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B76F7"/>
    <w:multiLevelType w:val="hybridMultilevel"/>
    <w:tmpl w:val="4EC8A88C"/>
    <w:lvl w:ilvl="0" w:tplc="2F34279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64485"/>
    <w:multiLevelType w:val="hybridMultilevel"/>
    <w:tmpl w:val="BE348C3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15:restartNumberingAfterBreak="0">
    <w:nsid w:val="6D454062"/>
    <w:multiLevelType w:val="hybridMultilevel"/>
    <w:tmpl w:val="44DE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5B94"/>
    <w:multiLevelType w:val="hybridMultilevel"/>
    <w:tmpl w:val="569AE914"/>
    <w:lvl w:ilvl="0" w:tplc="4DA0822C">
      <w:start w:val="2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C4E01"/>
    <w:multiLevelType w:val="hybridMultilevel"/>
    <w:tmpl w:val="907458A0"/>
    <w:lvl w:ilvl="0" w:tplc="F43AFF6C">
      <w:start w:val="1"/>
      <w:numFmt w:val="lowerRoman"/>
      <w:lvlText w:val="%1."/>
      <w:lvlJc w:val="right"/>
      <w:pPr>
        <w:ind w:left="153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E1AE9"/>
    <w:multiLevelType w:val="hybridMultilevel"/>
    <w:tmpl w:val="0F708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1"/>
  </w:num>
  <w:num w:numId="4">
    <w:abstractNumId w:val="26"/>
  </w:num>
  <w:num w:numId="5">
    <w:abstractNumId w:val="12"/>
  </w:num>
  <w:num w:numId="6">
    <w:abstractNumId w:val="24"/>
  </w:num>
  <w:num w:numId="7">
    <w:abstractNumId w:val="2"/>
  </w:num>
  <w:num w:numId="8">
    <w:abstractNumId w:val="31"/>
  </w:num>
  <w:num w:numId="9">
    <w:abstractNumId w:val="29"/>
  </w:num>
  <w:num w:numId="10">
    <w:abstractNumId w:val="6"/>
  </w:num>
  <w:num w:numId="11">
    <w:abstractNumId w:val="13"/>
  </w:num>
  <w:num w:numId="12">
    <w:abstractNumId w:val="32"/>
  </w:num>
  <w:num w:numId="13">
    <w:abstractNumId w:val="1"/>
  </w:num>
  <w:num w:numId="14">
    <w:abstractNumId w:val="35"/>
  </w:num>
  <w:num w:numId="15">
    <w:abstractNumId w:val="30"/>
  </w:num>
  <w:num w:numId="16">
    <w:abstractNumId w:val="25"/>
  </w:num>
  <w:num w:numId="17">
    <w:abstractNumId w:val="4"/>
  </w:num>
  <w:num w:numId="18">
    <w:abstractNumId w:val="9"/>
  </w:num>
  <w:num w:numId="19">
    <w:abstractNumId w:val="3"/>
  </w:num>
  <w:num w:numId="20">
    <w:abstractNumId w:val="16"/>
  </w:num>
  <w:num w:numId="21">
    <w:abstractNumId w:val="15"/>
  </w:num>
  <w:num w:numId="22">
    <w:abstractNumId w:val="0"/>
  </w:num>
  <w:num w:numId="23">
    <w:abstractNumId w:val="28"/>
  </w:num>
  <w:num w:numId="24">
    <w:abstractNumId w:val="36"/>
  </w:num>
  <w:num w:numId="25">
    <w:abstractNumId w:val="11"/>
  </w:num>
  <w:num w:numId="26">
    <w:abstractNumId w:val="14"/>
  </w:num>
  <w:num w:numId="27">
    <w:abstractNumId w:val="39"/>
  </w:num>
  <w:num w:numId="28">
    <w:abstractNumId w:val="33"/>
  </w:num>
  <w:num w:numId="29">
    <w:abstractNumId w:val="17"/>
  </w:num>
  <w:num w:numId="30">
    <w:abstractNumId w:val="37"/>
  </w:num>
  <w:num w:numId="31">
    <w:abstractNumId w:val="10"/>
  </w:num>
  <w:num w:numId="32">
    <w:abstractNumId w:val="7"/>
  </w:num>
  <w:num w:numId="33">
    <w:abstractNumId w:val="18"/>
  </w:num>
  <w:num w:numId="34">
    <w:abstractNumId w:val="34"/>
  </w:num>
  <w:num w:numId="35">
    <w:abstractNumId w:val="27"/>
  </w:num>
  <w:num w:numId="36">
    <w:abstractNumId w:val="38"/>
  </w:num>
  <w:num w:numId="37">
    <w:abstractNumId w:val="23"/>
  </w:num>
  <w:num w:numId="38">
    <w:abstractNumId w:val="5"/>
  </w:num>
  <w:num w:numId="39">
    <w:abstractNumId w:val="22"/>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0E"/>
    <w:rsid w:val="00000136"/>
    <w:rsid w:val="00000A6B"/>
    <w:rsid w:val="00000A95"/>
    <w:rsid w:val="00000DDE"/>
    <w:rsid w:val="00001832"/>
    <w:rsid w:val="00002246"/>
    <w:rsid w:val="00003700"/>
    <w:rsid w:val="00003C61"/>
    <w:rsid w:val="00004CB9"/>
    <w:rsid w:val="00006C4F"/>
    <w:rsid w:val="00006F75"/>
    <w:rsid w:val="000078C8"/>
    <w:rsid w:val="0001015D"/>
    <w:rsid w:val="00010BE8"/>
    <w:rsid w:val="00010F82"/>
    <w:rsid w:val="00012417"/>
    <w:rsid w:val="00013788"/>
    <w:rsid w:val="000142AE"/>
    <w:rsid w:val="00015958"/>
    <w:rsid w:val="00015D3E"/>
    <w:rsid w:val="00016982"/>
    <w:rsid w:val="00016EB9"/>
    <w:rsid w:val="00020366"/>
    <w:rsid w:val="0002228E"/>
    <w:rsid w:val="00023FA6"/>
    <w:rsid w:val="00024416"/>
    <w:rsid w:val="00026231"/>
    <w:rsid w:val="0002632F"/>
    <w:rsid w:val="000277DF"/>
    <w:rsid w:val="0003162D"/>
    <w:rsid w:val="00031C06"/>
    <w:rsid w:val="00031DB1"/>
    <w:rsid w:val="000323DC"/>
    <w:rsid w:val="0003345B"/>
    <w:rsid w:val="00035687"/>
    <w:rsid w:val="0003603B"/>
    <w:rsid w:val="00036A02"/>
    <w:rsid w:val="000374D6"/>
    <w:rsid w:val="00040134"/>
    <w:rsid w:val="00040853"/>
    <w:rsid w:val="00041A11"/>
    <w:rsid w:val="00041A36"/>
    <w:rsid w:val="00042465"/>
    <w:rsid w:val="00042E54"/>
    <w:rsid w:val="000433CA"/>
    <w:rsid w:val="00045012"/>
    <w:rsid w:val="00045581"/>
    <w:rsid w:val="00045F7E"/>
    <w:rsid w:val="000469AB"/>
    <w:rsid w:val="00046CF3"/>
    <w:rsid w:val="0004757C"/>
    <w:rsid w:val="0005001C"/>
    <w:rsid w:val="00053206"/>
    <w:rsid w:val="00054A81"/>
    <w:rsid w:val="00055A9C"/>
    <w:rsid w:val="00055D3B"/>
    <w:rsid w:val="000565CB"/>
    <w:rsid w:val="000569A6"/>
    <w:rsid w:val="00056C79"/>
    <w:rsid w:val="00056C8C"/>
    <w:rsid w:val="0005798B"/>
    <w:rsid w:val="000620B1"/>
    <w:rsid w:val="00062E22"/>
    <w:rsid w:val="000630AE"/>
    <w:rsid w:val="000632B8"/>
    <w:rsid w:val="0006397B"/>
    <w:rsid w:val="00063EB8"/>
    <w:rsid w:val="00065607"/>
    <w:rsid w:val="00065F04"/>
    <w:rsid w:val="00066616"/>
    <w:rsid w:val="00067356"/>
    <w:rsid w:val="000675FA"/>
    <w:rsid w:val="000711CE"/>
    <w:rsid w:val="000718C5"/>
    <w:rsid w:val="00071D51"/>
    <w:rsid w:val="000725C7"/>
    <w:rsid w:val="00073133"/>
    <w:rsid w:val="00074194"/>
    <w:rsid w:val="0007473D"/>
    <w:rsid w:val="00075265"/>
    <w:rsid w:val="00075738"/>
    <w:rsid w:val="00075B82"/>
    <w:rsid w:val="000760D8"/>
    <w:rsid w:val="000800B6"/>
    <w:rsid w:val="000817A9"/>
    <w:rsid w:val="00083A0F"/>
    <w:rsid w:val="0008553D"/>
    <w:rsid w:val="000856E7"/>
    <w:rsid w:val="0008629E"/>
    <w:rsid w:val="0008642E"/>
    <w:rsid w:val="0008664F"/>
    <w:rsid w:val="00086ABF"/>
    <w:rsid w:val="00086EA3"/>
    <w:rsid w:val="00086FE0"/>
    <w:rsid w:val="000874B8"/>
    <w:rsid w:val="00087C92"/>
    <w:rsid w:val="0009055D"/>
    <w:rsid w:val="00090E9A"/>
    <w:rsid w:val="000918FE"/>
    <w:rsid w:val="000934FB"/>
    <w:rsid w:val="000935B1"/>
    <w:rsid w:val="00093C3F"/>
    <w:rsid w:val="00094D91"/>
    <w:rsid w:val="00095A67"/>
    <w:rsid w:val="00095E98"/>
    <w:rsid w:val="00096123"/>
    <w:rsid w:val="000961D4"/>
    <w:rsid w:val="000967E6"/>
    <w:rsid w:val="00096F5C"/>
    <w:rsid w:val="00097688"/>
    <w:rsid w:val="000A074B"/>
    <w:rsid w:val="000A0D07"/>
    <w:rsid w:val="000A1C76"/>
    <w:rsid w:val="000A2369"/>
    <w:rsid w:val="000A3FFB"/>
    <w:rsid w:val="000A613B"/>
    <w:rsid w:val="000A75FF"/>
    <w:rsid w:val="000B1161"/>
    <w:rsid w:val="000B23FB"/>
    <w:rsid w:val="000B2F57"/>
    <w:rsid w:val="000B58C1"/>
    <w:rsid w:val="000B6569"/>
    <w:rsid w:val="000B6BB9"/>
    <w:rsid w:val="000B7813"/>
    <w:rsid w:val="000B78DB"/>
    <w:rsid w:val="000B7EFE"/>
    <w:rsid w:val="000C12DA"/>
    <w:rsid w:val="000C14B9"/>
    <w:rsid w:val="000C15A2"/>
    <w:rsid w:val="000C168E"/>
    <w:rsid w:val="000C20E7"/>
    <w:rsid w:val="000C2448"/>
    <w:rsid w:val="000C2CEF"/>
    <w:rsid w:val="000C2D8A"/>
    <w:rsid w:val="000C2DB8"/>
    <w:rsid w:val="000C308B"/>
    <w:rsid w:val="000C548E"/>
    <w:rsid w:val="000C5E73"/>
    <w:rsid w:val="000C62B8"/>
    <w:rsid w:val="000C62CA"/>
    <w:rsid w:val="000C663E"/>
    <w:rsid w:val="000D1158"/>
    <w:rsid w:val="000D181A"/>
    <w:rsid w:val="000D1F07"/>
    <w:rsid w:val="000D329C"/>
    <w:rsid w:val="000D440F"/>
    <w:rsid w:val="000D4ABA"/>
    <w:rsid w:val="000D5082"/>
    <w:rsid w:val="000D6454"/>
    <w:rsid w:val="000D6643"/>
    <w:rsid w:val="000D6743"/>
    <w:rsid w:val="000D72EB"/>
    <w:rsid w:val="000E0A9A"/>
    <w:rsid w:val="000E1FAD"/>
    <w:rsid w:val="000E25C1"/>
    <w:rsid w:val="000E2B08"/>
    <w:rsid w:val="000E2BD8"/>
    <w:rsid w:val="000E37DB"/>
    <w:rsid w:val="000E387B"/>
    <w:rsid w:val="000E3EFA"/>
    <w:rsid w:val="000E4697"/>
    <w:rsid w:val="000E4F9F"/>
    <w:rsid w:val="000E5B45"/>
    <w:rsid w:val="000E63A3"/>
    <w:rsid w:val="000E7742"/>
    <w:rsid w:val="000F02DF"/>
    <w:rsid w:val="000F118E"/>
    <w:rsid w:val="000F15E1"/>
    <w:rsid w:val="000F2243"/>
    <w:rsid w:val="000F23B6"/>
    <w:rsid w:val="000F2850"/>
    <w:rsid w:val="000F3BA5"/>
    <w:rsid w:val="000F4616"/>
    <w:rsid w:val="000F47CA"/>
    <w:rsid w:val="000F51C3"/>
    <w:rsid w:val="000F5300"/>
    <w:rsid w:val="000F5E94"/>
    <w:rsid w:val="000F61C2"/>
    <w:rsid w:val="000F6209"/>
    <w:rsid w:val="000F7176"/>
    <w:rsid w:val="000F7933"/>
    <w:rsid w:val="000F7D28"/>
    <w:rsid w:val="001000ED"/>
    <w:rsid w:val="00101CAD"/>
    <w:rsid w:val="00102CA7"/>
    <w:rsid w:val="00102E00"/>
    <w:rsid w:val="001030B9"/>
    <w:rsid w:val="00103B0B"/>
    <w:rsid w:val="00103CF6"/>
    <w:rsid w:val="00104925"/>
    <w:rsid w:val="001058F7"/>
    <w:rsid w:val="001102C9"/>
    <w:rsid w:val="00111464"/>
    <w:rsid w:val="001135F3"/>
    <w:rsid w:val="00113AB4"/>
    <w:rsid w:val="00115141"/>
    <w:rsid w:val="001159FF"/>
    <w:rsid w:val="00115E62"/>
    <w:rsid w:val="001165F2"/>
    <w:rsid w:val="0012088C"/>
    <w:rsid w:val="00121BBD"/>
    <w:rsid w:val="00122D16"/>
    <w:rsid w:val="0012364D"/>
    <w:rsid w:val="001237A9"/>
    <w:rsid w:val="00124C2C"/>
    <w:rsid w:val="0012586D"/>
    <w:rsid w:val="00126B9A"/>
    <w:rsid w:val="001271AF"/>
    <w:rsid w:val="00131440"/>
    <w:rsid w:val="0013144B"/>
    <w:rsid w:val="001316FB"/>
    <w:rsid w:val="00132D19"/>
    <w:rsid w:val="00132DCF"/>
    <w:rsid w:val="00133115"/>
    <w:rsid w:val="0013322A"/>
    <w:rsid w:val="00133751"/>
    <w:rsid w:val="001342B1"/>
    <w:rsid w:val="00136D40"/>
    <w:rsid w:val="00136EBC"/>
    <w:rsid w:val="00137395"/>
    <w:rsid w:val="001376E8"/>
    <w:rsid w:val="0013797D"/>
    <w:rsid w:val="00137B19"/>
    <w:rsid w:val="00137B4C"/>
    <w:rsid w:val="00140542"/>
    <w:rsid w:val="001410AF"/>
    <w:rsid w:val="0014123B"/>
    <w:rsid w:val="0014163F"/>
    <w:rsid w:val="001417CD"/>
    <w:rsid w:val="00141F08"/>
    <w:rsid w:val="00143645"/>
    <w:rsid w:val="00144E5C"/>
    <w:rsid w:val="001454C5"/>
    <w:rsid w:val="001459D3"/>
    <w:rsid w:val="0014696A"/>
    <w:rsid w:val="001474FB"/>
    <w:rsid w:val="00150C24"/>
    <w:rsid w:val="001517F6"/>
    <w:rsid w:val="001519C6"/>
    <w:rsid w:val="00152407"/>
    <w:rsid w:val="00152B97"/>
    <w:rsid w:val="00154074"/>
    <w:rsid w:val="00155175"/>
    <w:rsid w:val="00155726"/>
    <w:rsid w:val="0015628D"/>
    <w:rsid w:val="00156CAC"/>
    <w:rsid w:val="00156D13"/>
    <w:rsid w:val="00156D84"/>
    <w:rsid w:val="00157195"/>
    <w:rsid w:val="0016086E"/>
    <w:rsid w:val="00161C25"/>
    <w:rsid w:val="0016384D"/>
    <w:rsid w:val="00163E50"/>
    <w:rsid w:val="001654CD"/>
    <w:rsid w:val="00165C83"/>
    <w:rsid w:val="00167F19"/>
    <w:rsid w:val="00167F73"/>
    <w:rsid w:val="00170198"/>
    <w:rsid w:val="001701F2"/>
    <w:rsid w:val="00171D50"/>
    <w:rsid w:val="0017381B"/>
    <w:rsid w:val="00174301"/>
    <w:rsid w:val="0017692C"/>
    <w:rsid w:val="001809FB"/>
    <w:rsid w:val="00182743"/>
    <w:rsid w:val="0018278F"/>
    <w:rsid w:val="0018326D"/>
    <w:rsid w:val="00184305"/>
    <w:rsid w:val="00184ED0"/>
    <w:rsid w:val="00185081"/>
    <w:rsid w:val="00186089"/>
    <w:rsid w:val="00187036"/>
    <w:rsid w:val="00187165"/>
    <w:rsid w:val="0018762A"/>
    <w:rsid w:val="0019104B"/>
    <w:rsid w:val="001922BD"/>
    <w:rsid w:val="00193682"/>
    <w:rsid w:val="00193A5A"/>
    <w:rsid w:val="00195869"/>
    <w:rsid w:val="00195D2D"/>
    <w:rsid w:val="0019633B"/>
    <w:rsid w:val="00196E81"/>
    <w:rsid w:val="001A04E5"/>
    <w:rsid w:val="001A0F04"/>
    <w:rsid w:val="001A0FBA"/>
    <w:rsid w:val="001A1738"/>
    <w:rsid w:val="001A1A12"/>
    <w:rsid w:val="001A29DB"/>
    <w:rsid w:val="001A4116"/>
    <w:rsid w:val="001A423B"/>
    <w:rsid w:val="001A497C"/>
    <w:rsid w:val="001A543D"/>
    <w:rsid w:val="001A57D5"/>
    <w:rsid w:val="001A7A5A"/>
    <w:rsid w:val="001B0776"/>
    <w:rsid w:val="001B09E5"/>
    <w:rsid w:val="001B2009"/>
    <w:rsid w:val="001B2AE3"/>
    <w:rsid w:val="001B3E8E"/>
    <w:rsid w:val="001B4259"/>
    <w:rsid w:val="001B625C"/>
    <w:rsid w:val="001B79CA"/>
    <w:rsid w:val="001C09AD"/>
    <w:rsid w:val="001C1307"/>
    <w:rsid w:val="001C2403"/>
    <w:rsid w:val="001C3118"/>
    <w:rsid w:val="001C3EC9"/>
    <w:rsid w:val="001C3F0C"/>
    <w:rsid w:val="001C4601"/>
    <w:rsid w:val="001C5A0C"/>
    <w:rsid w:val="001C5A19"/>
    <w:rsid w:val="001C6C84"/>
    <w:rsid w:val="001C6DC0"/>
    <w:rsid w:val="001C7AAE"/>
    <w:rsid w:val="001C7B0E"/>
    <w:rsid w:val="001C7EDF"/>
    <w:rsid w:val="001D101C"/>
    <w:rsid w:val="001D17EA"/>
    <w:rsid w:val="001D2083"/>
    <w:rsid w:val="001D24F4"/>
    <w:rsid w:val="001D3061"/>
    <w:rsid w:val="001D3253"/>
    <w:rsid w:val="001D3A96"/>
    <w:rsid w:val="001D506C"/>
    <w:rsid w:val="001D59DD"/>
    <w:rsid w:val="001E0B13"/>
    <w:rsid w:val="001E1E81"/>
    <w:rsid w:val="001E2340"/>
    <w:rsid w:val="001E24EF"/>
    <w:rsid w:val="001E2D7D"/>
    <w:rsid w:val="001E300E"/>
    <w:rsid w:val="001E42C5"/>
    <w:rsid w:val="001E4F9D"/>
    <w:rsid w:val="001E5904"/>
    <w:rsid w:val="001E5C15"/>
    <w:rsid w:val="001E5CB2"/>
    <w:rsid w:val="001E5F2D"/>
    <w:rsid w:val="001E6D26"/>
    <w:rsid w:val="001E73B4"/>
    <w:rsid w:val="001E7B1E"/>
    <w:rsid w:val="001E7C51"/>
    <w:rsid w:val="001F030F"/>
    <w:rsid w:val="001F060F"/>
    <w:rsid w:val="001F0A2C"/>
    <w:rsid w:val="001F0E1F"/>
    <w:rsid w:val="001F1223"/>
    <w:rsid w:val="001F2B05"/>
    <w:rsid w:val="001F2CBC"/>
    <w:rsid w:val="001F5574"/>
    <w:rsid w:val="001F5DD4"/>
    <w:rsid w:val="001F6160"/>
    <w:rsid w:val="001F6230"/>
    <w:rsid w:val="00200189"/>
    <w:rsid w:val="002001DF"/>
    <w:rsid w:val="002006C3"/>
    <w:rsid w:val="00202205"/>
    <w:rsid w:val="00205638"/>
    <w:rsid w:val="002065BE"/>
    <w:rsid w:val="00207EA0"/>
    <w:rsid w:val="0021050D"/>
    <w:rsid w:val="00210C0A"/>
    <w:rsid w:val="00212098"/>
    <w:rsid w:val="0021286B"/>
    <w:rsid w:val="00213BFD"/>
    <w:rsid w:val="00213F6B"/>
    <w:rsid w:val="0021410B"/>
    <w:rsid w:val="00215B21"/>
    <w:rsid w:val="002161E3"/>
    <w:rsid w:val="00217362"/>
    <w:rsid w:val="00220EE1"/>
    <w:rsid w:val="0022176E"/>
    <w:rsid w:val="002220E6"/>
    <w:rsid w:val="00222FB4"/>
    <w:rsid w:val="00223561"/>
    <w:rsid w:val="00223C06"/>
    <w:rsid w:val="00224067"/>
    <w:rsid w:val="00227744"/>
    <w:rsid w:val="00227E10"/>
    <w:rsid w:val="00231236"/>
    <w:rsid w:val="002313DA"/>
    <w:rsid w:val="00231668"/>
    <w:rsid w:val="002318F0"/>
    <w:rsid w:val="00233E11"/>
    <w:rsid w:val="0024062B"/>
    <w:rsid w:val="00241D72"/>
    <w:rsid w:val="00242659"/>
    <w:rsid w:val="0024276F"/>
    <w:rsid w:val="002430CF"/>
    <w:rsid w:val="00246E3C"/>
    <w:rsid w:val="0024740C"/>
    <w:rsid w:val="002479FC"/>
    <w:rsid w:val="00251AC1"/>
    <w:rsid w:val="002523FD"/>
    <w:rsid w:val="00252A2F"/>
    <w:rsid w:val="00252E85"/>
    <w:rsid w:val="0025359F"/>
    <w:rsid w:val="00253A2D"/>
    <w:rsid w:val="00253A51"/>
    <w:rsid w:val="00253E99"/>
    <w:rsid w:val="00253F87"/>
    <w:rsid w:val="002540C2"/>
    <w:rsid w:val="0025555D"/>
    <w:rsid w:val="002565A2"/>
    <w:rsid w:val="002578F4"/>
    <w:rsid w:val="002610D4"/>
    <w:rsid w:val="00261EFF"/>
    <w:rsid w:val="0026212C"/>
    <w:rsid w:val="00262935"/>
    <w:rsid w:val="00263954"/>
    <w:rsid w:val="00263BC4"/>
    <w:rsid w:val="002641E7"/>
    <w:rsid w:val="00264651"/>
    <w:rsid w:val="0026598F"/>
    <w:rsid w:val="002660B8"/>
    <w:rsid w:val="00266D7D"/>
    <w:rsid w:val="002727EB"/>
    <w:rsid w:val="00272B5D"/>
    <w:rsid w:val="00273D3B"/>
    <w:rsid w:val="0027428C"/>
    <w:rsid w:val="00275863"/>
    <w:rsid w:val="00276CC8"/>
    <w:rsid w:val="00277D14"/>
    <w:rsid w:val="002810E2"/>
    <w:rsid w:val="00281535"/>
    <w:rsid w:val="00281A5D"/>
    <w:rsid w:val="00282D33"/>
    <w:rsid w:val="002832C3"/>
    <w:rsid w:val="00283934"/>
    <w:rsid w:val="00284E28"/>
    <w:rsid w:val="002853DF"/>
    <w:rsid w:val="00285D08"/>
    <w:rsid w:val="0028627F"/>
    <w:rsid w:val="0028648D"/>
    <w:rsid w:val="00287956"/>
    <w:rsid w:val="00290740"/>
    <w:rsid w:val="00290B96"/>
    <w:rsid w:val="002918E4"/>
    <w:rsid w:val="00291DF7"/>
    <w:rsid w:val="00292547"/>
    <w:rsid w:val="00293E95"/>
    <w:rsid w:val="00295F7C"/>
    <w:rsid w:val="002A050B"/>
    <w:rsid w:val="002A0696"/>
    <w:rsid w:val="002A1020"/>
    <w:rsid w:val="002A3D41"/>
    <w:rsid w:val="002A4018"/>
    <w:rsid w:val="002A41CA"/>
    <w:rsid w:val="002A4431"/>
    <w:rsid w:val="002A47F2"/>
    <w:rsid w:val="002A7039"/>
    <w:rsid w:val="002B1C8A"/>
    <w:rsid w:val="002B2DA4"/>
    <w:rsid w:val="002B2F76"/>
    <w:rsid w:val="002B334D"/>
    <w:rsid w:val="002B4667"/>
    <w:rsid w:val="002B5591"/>
    <w:rsid w:val="002B5832"/>
    <w:rsid w:val="002B5EBC"/>
    <w:rsid w:val="002C0349"/>
    <w:rsid w:val="002C086F"/>
    <w:rsid w:val="002C140E"/>
    <w:rsid w:val="002C3357"/>
    <w:rsid w:val="002C46E0"/>
    <w:rsid w:val="002C532A"/>
    <w:rsid w:val="002C6006"/>
    <w:rsid w:val="002C62D6"/>
    <w:rsid w:val="002C7F69"/>
    <w:rsid w:val="002D1F84"/>
    <w:rsid w:val="002D2AB5"/>
    <w:rsid w:val="002D35A9"/>
    <w:rsid w:val="002D38BD"/>
    <w:rsid w:val="002D3AE2"/>
    <w:rsid w:val="002D47EF"/>
    <w:rsid w:val="002D571C"/>
    <w:rsid w:val="002D6D1B"/>
    <w:rsid w:val="002E0686"/>
    <w:rsid w:val="002E11F3"/>
    <w:rsid w:val="002E16C0"/>
    <w:rsid w:val="002E1B5A"/>
    <w:rsid w:val="002E1B8C"/>
    <w:rsid w:val="002E1DAB"/>
    <w:rsid w:val="002E316F"/>
    <w:rsid w:val="002E3D62"/>
    <w:rsid w:val="002E636F"/>
    <w:rsid w:val="002E777A"/>
    <w:rsid w:val="002E7901"/>
    <w:rsid w:val="002E7C73"/>
    <w:rsid w:val="002E7FDC"/>
    <w:rsid w:val="002F0191"/>
    <w:rsid w:val="002F030E"/>
    <w:rsid w:val="002F0358"/>
    <w:rsid w:val="002F30BB"/>
    <w:rsid w:val="002F3D7D"/>
    <w:rsid w:val="002F483E"/>
    <w:rsid w:val="002F54B2"/>
    <w:rsid w:val="002F54F3"/>
    <w:rsid w:val="002F5AF9"/>
    <w:rsid w:val="002F5C33"/>
    <w:rsid w:val="002F6A6C"/>
    <w:rsid w:val="003002A5"/>
    <w:rsid w:val="00301E39"/>
    <w:rsid w:val="0030275D"/>
    <w:rsid w:val="00302BEA"/>
    <w:rsid w:val="003048BD"/>
    <w:rsid w:val="003052DB"/>
    <w:rsid w:val="0030638A"/>
    <w:rsid w:val="00307382"/>
    <w:rsid w:val="00307582"/>
    <w:rsid w:val="0030762B"/>
    <w:rsid w:val="00307D31"/>
    <w:rsid w:val="00307D61"/>
    <w:rsid w:val="003102CA"/>
    <w:rsid w:val="00310829"/>
    <w:rsid w:val="00310AF0"/>
    <w:rsid w:val="00311F7E"/>
    <w:rsid w:val="00312D83"/>
    <w:rsid w:val="0031470E"/>
    <w:rsid w:val="00314BE3"/>
    <w:rsid w:val="00317D37"/>
    <w:rsid w:val="00317DCC"/>
    <w:rsid w:val="003200A0"/>
    <w:rsid w:val="003202F4"/>
    <w:rsid w:val="003204CB"/>
    <w:rsid w:val="00320C00"/>
    <w:rsid w:val="00320D4E"/>
    <w:rsid w:val="0032188A"/>
    <w:rsid w:val="00322181"/>
    <w:rsid w:val="00322E77"/>
    <w:rsid w:val="00323E50"/>
    <w:rsid w:val="0032426E"/>
    <w:rsid w:val="003246D7"/>
    <w:rsid w:val="00324A8B"/>
    <w:rsid w:val="003254E5"/>
    <w:rsid w:val="0032566F"/>
    <w:rsid w:val="003274DC"/>
    <w:rsid w:val="00330020"/>
    <w:rsid w:val="003303AB"/>
    <w:rsid w:val="00332E4B"/>
    <w:rsid w:val="003341C4"/>
    <w:rsid w:val="003353AE"/>
    <w:rsid w:val="00335871"/>
    <w:rsid w:val="0033596F"/>
    <w:rsid w:val="0033606C"/>
    <w:rsid w:val="00336131"/>
    <w:rsid w:val="00336590"/>
    <w:rsid w:val="00336B88"/>
    <w:rsid w:val="0033739B"/>
    <w:rsid w:val="00337ECA"/>
    <w:rsid w:val="00342097"/>
    <w:rsid w:val="003422D7"/>
    <w:rsid w:val="00342418"/>
    <w:rsid w:val="00342A0D"/>
    <w:rsid w:val="00342F19"/>
    <w:rsid w:val="00343540"/>
    <w:rsid w:val="00343542"/>
    <w:rsid w:val="00343AF4"/>
    <w:rsid w:val="0034626D"/>
    <w:rsid w:val="0034683B"/>
    <w:rsid w:val="00346D47"/>
    <w:rsid w:val="003470CF"/>
    <w:rsid w:val="00347867"/>
    <w:rsid w:val="00350E63"/>
    <w:rsid w:val="003517E7"/>
    <w:rsid w:val="00352654"/>
    <w:rsid w:val="00352D7D"/>
    <w:rsid w:val="0035365D"/>
    <w:rsid w:val="00354745"/>
    <w:rsid w:val="00354750"/>
    <w:rsid w:val="00354D21"/>
    <w:rsid w:val="00354E22"/>
    <w:rsid w:val="00354FFE"/>
    <w:rsid w:val="003564BC"/>
    <w:rsid w:val="003578A4"/>
    <w:rsid w:val="00360789"/>
    <w:rsid w:val="00360862"/>
    <w:rsid w:val="003613DD"/>
    <w:rsid w:val="003621CF"/>
    <w:rsid w:val="00362C39"/>
    <w:rsid w:val="0036342E"/>
    <w:rsid w:val="00364309"/>
    <w:rsid w:val="00364662"/>
    <w:rsid w:val="00366F10"/>
    <w:rsid w:val="00371469"/>
    <w:rsid w:val="003719AF"/>
    <w:rsid w:val="003723AF"/>
    <w:rsid w:val="00372507"/>
    <w:rsid w:val="00372759"/>
    <w:rsid w:val="00372AC7"/>
    <w:rsid w:val="00372D1A"/>
    <w:rsid w:val="00372D9A"/>
    <w:rsid w:val="00372FBC"/>
    <w:rsid w:val="00375A0A"/>
    <w:rsid w:val="00375A75"/>
    <w:rsid w:val="00375C7B"/>
    <w:rsid w:val="00375ED8"/>
    <w:rsid w:val="003764EB"/>
    <w:rsid w:val="003768DE"/>
    <w:rsid w:val="00376BFB"/>
    <w:rsid w:val="00377432"/>
    <w:rsid w:val="00377D9E"/>
    <w:rsid w:val="00377F8E"/>
    <w:rsid w:val="00377FD9"/>
    <w:rsid w:val="003805D2"/>
    <w:rsid w:val="00380721"/>
    <w:rsid w:val="00381321"/>
    <w:rsid w:val="003817B2"/>
    <w:rsid w:val="0038328E"/>
    <w:rsid w:val="00383672"/>
    <w:rsid w:val="0038524A"/>
    <w:rsid w:val="0038533A"/>
    <w:rsid w:val="003874BA"/>
    <w:rsid w:val="0038786F"/>
    <w:rsid w:val="003902E5"/>
    <w:rsid w:val="00390350"/>
    <w:rsid w:val="003907C6"/>
    <w:rsid w:val="00390A57"/>
    <w:rsid w:val="00391B50"/>
    <w:rsid w:val="00391E07"/>
    <w:rsid w:val="00392077"/>
    <w:rsid w:val="00392BBB"/>
    <w:rsid w:val="00393353"/>
    <w:rsid w:val="00394244"/>
    <w:rsid w:val="00394DCB"/>
    <w:rsid w:val="00396822"/>
    <w:rsid w:val="00396ACE"/>
    <w:rsid w:val="00396D0D"/>
    <w:rsid w:val="00397B2B"/>
    <w:rsid w:val="003A133A"/>
    <w:rsid w:val="003A1477"/>
    <w:rsid w:val="003A1A41"/>
    <w:rsid w:val="003A2C17"/>
    <w:rsid w:val="003A348C"/>
    <w:rsid w:val="003A3FC1"/>
    <w:rsid w:val="003A456F"/>
    <w:rsid w:val="003A5518"/>
    <w:rsid w:val="003A78BF"/>
    <w:rsid w:val="003B1502"/>
    <w:rsid w:val="003B274E"/>
    <w:rsid w:val="003B4067"/>
    <w:rsid w:val="003B422E"/>
    <w:rsid w:val="003B45B0"/>
    <w:rsid w:val="003B59AB"/>
    <w:rsid w:val="003B59D6"/>
    <w:rsid w:val="003B6719"/>
    <w:rsid w:val="003B69D7"/>
    <w:rsid w:val="003C05FE"/>
    <w:rsid w:val="003C1018"/>
    <w:rsid w:val="003C1CFC"/>
    <w:rsid w:val="003C2C11"/>
    <w:rsid w:val="003C2F17"/>
    <w:rsid w:val="003C31BE"/>
    <w:rsid w:val="003C3F8E"/>
    <w:rsid w:val="003C491F"/>
    <w:rsid w:val="003C4ED7"/>
    <w:rsid w:val="003C7811"/>
    <w:rsid w:val="003C7E69"/>
    <w:rsid w:val="003D1DFD"/>
    <w:rsid w:val="003D303C"/>
    <w:rsid w:val="003D36C8"/>
    <w:rsid w:val="003D4568"/>
    <w:rsid w:val="003D5C0F"/>
    <w:rsid w:val="003D6636"/>
    <w:rsid w:val="003E0886"/>
    <w:rsid w:val="003E0DA9"/>
    <w:rsid w:val="003E1274"/>
    <w:rsid w:val="003E2138"/>
    <w:rsid w:val="003E3594"/>
    <w:rsid w:val="003E5CF3"/>
    <w:rsid w:val="003E602A"/>
    <w:rsid w:val="003E7505"/>
    <w:rsid w:val="003E750A"/>
    <w:rsid w:val="003F1859"/>
    <w:rsid w:val="003F2064"/>
    <w:rsid w:val="003F2D37"/>
    <w:rsid w:val="003F339E"/>
    <w:rsid w:val="003F41EE"/>
    <w:rsid w:val="003F44FF"/>
    <w:rsid w:val="003F46FA"/>
    <w:rsid w:val="003F548F"/>
    <w:rsid w:val="003F66A6"/>
    <w:rsid w:val="00400FF3"/>
    <w:rsid w:val="00401689"/>
    <w:rsid w:val="004019F5"/>
    <w:rsid w:val="00402128"/>
    <w:rsid w:val="00403428"/>
    <w:rsid w:val="004036DF"/>
    <w:rsid w:val="004059ED"/>
    <w:rsid w:val="00405A0D"/>
    <w:rsid w:val="00405D15"/>
    <w:rsid w:val="00405ECE"/>
    <w:rsid w:val="00405F40"/>
    <w:rsid w:val="00405FA6"/>
    <w:rsid w:val="00406549"/>
    <w:rsid w:val="00406EF4"/>
    <w:rsid w:val="00407DAB"/>
    <w:rsid w:val="00410576"/>
    <w:rsid w:val="00410D3E"/>
    <w:rsid w:val="004115C5"/>
    <w:rsid w:val="0041190E"/>
    <w:rsid w:val="0041225B"/>
    <w:rsid w:val="0041272A"/>
    <w:rsid w:val="00413156"/>
    <w:rsid w:val="0041352D"/>
    <w:rsid w:val="00414349"/>
    <w:rsid w:val="00414C9F"/>
    <w:rsid w:val="004157A9"/>
    <w:rsid w:val="00416156"/>
    <w:rsid w:val="0041645D"/>
    <w:rsid w:val="00416A26"/>
    <w:rsid w:val="004172A7"/>
    <w:rsid w:val="004178D6"/>
    <w:rsid w:val="004204AA"/>
    <w:rsid w:val="004212BB"/>
    <w:rsid w:val="00422240"/>
    <w:rsid w:val="00422F88"/>
    <w:rsid w:val="00424A33"/>
    <w:rsid w:val="004251BE"/>
    <w:rsid w:val="00425BAE"/>
    <w:rsid w:val="00427985"/>
    <w:rsid w:val="004307DE"/>
    <w:rsid w:val="0043171F"/>
    <w:rsid w:val="00431F38"/>
    <w:rsid w:val="004336CC"/>
    <w:rsid w:val="00433904"/>
    <w:rsid w:val="00433B01"/>
    <w:rsid w:val="0043417B"/>
    <w:rsid w:val="004342F8"/>
    <w:rsid w:val="00435546"/>
    <w:rsid w:val="00436F49"/>
    <w:rsid w:val="0044315B"/>
    <w:rsid w:val="00444215"/>
    <w:rsid w:val="00444429"/>
    <w:rsid w:val="00444AAD"/>
    <w:rsid w:val="00444BDE"/>
    <w:rsid w:val="00445214"/>
    <w:rsid w:val="004464F7"/>
    <w:rsid w:val="0045024E"/>
    <w:rsid w:val="00450388"/>
    <w:rsid w:val="00450B0F"/>
    <w:rsid w:val="0045151F"/>
    <w:rsid w:val="004519C4"/>
    <w:rsid w:val="00451F65"/>
    <w:rsid w:val="00451FF8"/>
    <w:rsid w:val="00452313"/>
    <w:rsid w:val="004538D7"/>
    <w:rsid w:val="00453D29"/>
    <w:rsid w:val="0045427C"/>
    <w:rsid w:val="00460817"/>
    <w:rsid w:val="00462655"/>
    <w:rsid w:val="00462DA7"/>
    <w:rsid w:val="004640A1"/>
    <w:rsid w:val="00465639"/>
    <w:rsid w:val="0046599D"/>
    <w:rsid w:val="004664F9"/>
    <w:rsid w:val="004707CD"/>
    <w:rsid w:val="0047115E"/>
    <w:rsid w:val="0047221F"/>
    <w:rsid w:val="004739F5"/>
    <w:rsid w:val="004758A9"/>
    <w:rsid w:val="00477B5C"/>
    <w:rsid w:val="00481098"/>
    <w:rsid w:val="00481254"/>
    <w:rsid w:val="004821B2"/>
    <w:rsid w:val="00483925"/>
    <w:rsid w:val="004846F6"/>
    <w:rsid w:val="00484F35"/>
    <w:rsid w:val="004854C4"/>
    <w:rsid w:val="0048606B"/>
    <w:rsid w:val="00487742"/>
    <w:rsid w:val="00487F9D"/>
    <w:rsid w:val="004904F5"/>
    <w:rsid w:val="0049051B"/>
    <w:rsid w:val="0049066D"/>
    <w:rsid w:val="00490A3E"/>
    <w:rsid w:val="00490F72"/>
    <w:rsid w:val="00492960"/>
    <w:rsid w:val="00492E67"/>
    <w:rsid w:val="00493C5B"/>
    <w:rsid w:val="00493ECA"/>
    <w:rsid w:val="00494276"/>
    <w:rsid w:val="004943F0"/>
    <w:rsid w:val="004947BB"/>
    <w:rsid w:val="00494B95"/>
    <w:rsid w:val="00497FB2"/>
    <w:rsid w:val="00497FD3"/>
    <w:rsid w:val="004A0540"/>
    <w:rsid w:val="004A05D6"/>
    <w:rsid w:val="004A09C3"/>
    <w:rsid w:val="004A1614"/>
    <w:rsid w:val="004A2419"/>
    <w:rsid w:val="004A36A3"/>
    <w:rsid w:val="004A4079"/>
    <w:rsid w:val="004A4CC3"/>
    <w:rsid w:val="004A4E16"/>
    <w:rsid w:val="004A54E2"/>
    <w:rsid w:val="004A6C07"/>
    <w:rsid w:val="004B14CF"/>
    <w:rsid w:val="004B14D7"/>
    <w:rsid w:val="004B256B"/>
    <w:rsid w:val="004B2645"/>
    <w:rsid w:val="004B2CE1"/>
    <w:rsid w:val="004B5BCF"/>
    <w:rsid w:val="004B5DE7"/>
    <w:rsid w:val="004B6019"/>
    <w:rsid w:val="004B6A30"/>
    <w:rsid w:val="004C1284"/>
    <w:rsid w:val="004C20A1"/>
    <w:rsid w:val="004C3E09"/>
    <w:rsid w:val="004C55FE"/>
    <w:rsid w:val="004C5DAE"/>
    <w:rsid w:val="004C5E6D"/>
    <w:rsid w:val="004C69C9"/>
    <w:rsid w:val="004C6B6B"/>
    <w:rsid w:val="004C6BF9"/>
    <w:rsid w:val="004C70B9"/>
    <w:rsid w:val="004C75BA"/>
    <w:rsid w:val="004C7C8E"/>
    <w:rsid w:val="004D0513"/>
    <w:rsid w:val="004D0C07"/>
    <w:rsid w:val="004D15C9"/>
    <w:rsid w:val="004D34EF"/>
    <w:rsid w:val="004D3F3A"/>
    <w:rsid w:val="004D41E7"/>
    <w:rsid w:val="004D4540"/>
    <w:rsid w:val="004D48AB"/>
    <w:rsid w:val="004E0505"/>
    <w:rsid w:val="004E06B6"/>
    <w:rsid w:val="004E1706"/>
    <w:rsid w:val="004E1885"/>
    <w:rsid w:val="004E27D1"/>
    <w:rsid w:val="004E2E97"/>
    <w:rsid w:val="004E3582"/>
    <w:rsid w:val="004E52C7"/>
    <w:rsid w:val="004E6532"/>
    <w:rsid w:val="004E67AC"/>
    <w:rsid w:val="004E6AE7"/>
    <w:rsid w:val="004E6B47"/>
    <w:rsid w:val="004E71CE"/>
    <w:rsid w:val="004E7D92"/>
    <w:rsid w:val="004F071C"/>
    <w:rsid w:val="004F11EC"/>
    <w:rsid w:val="004F2646"/>
    <w:rsid w:val="004F2856"/>
    <w:rsid w:val="004F3749"/>
    <w:rsid w:val="004F3C4D"/>
    <w:rsid w:val="004F4945"/>
    <w:rsid w:val="004F49E1"/>
    <w:rsid w:val="004F5B99"/>
    <w:rsid w:val="004F7559"/>
    <w:rsid w:val="00500132"/>
    <w:rsid w:val="00501072"/>
    <w:rsid w:val="00501109"/>
    <w:rsid w:val="005025CC"/>
    <w:rsid w:val="00503F4B"/>
    <w:rsid w:val="005043C3"/>
    <w:rsid w:val="005052FC"/>
    <w:rsid w:val="00506E4E"/>
    <w:rsid w:val="00506E98"/>
    <w:rsid w:val="00507346"/>
    <w:rsid w:val="00507644"/>
    <w:rsid w:val="0051014D"/>
    <w:rsid w:val="005106BF"/>
    <w:rsid w:val="00510836"/>
    <w:rsid w:val="005111A5"/>
    <w:rsid w:val="005116E0"/>
    <w:rsid w:val="005117D4"/>
    <w:rsid w:val="00512531"/>
    <w:rsid w:val="00512D27"/>
    <w:rsid w:val="005132DE"/>
    <w:rsid w:val="00513BDC"/>
    <w:rsid w:val="0051434F"/>
    <w:rsid w:val="00514CA5"/>
    <w:rsid w:val="00514F3F"/>
    <w:rsid w:val="005152D3"/>
    <w:rsid w:val="005201EA"/>
    <w:rsid w:val="0052196D"/>
    <w:rsid w:val="00521CE3"/>
    <w:rsid w:val="00522974"/>
    <w:rsid w:val="00523149"/>
    <w:rsid w:val="00523921"/>
    <w:rsid w:val="005239B1"/>
    <w:rsid w:val="00523AFA"/>
    <w:rsid w:val="005251A0"/>
    <w:rsid w:val="00526869"/>
    <w:rsid w:val="00526E86"/>
    <w:rsid w:val="00530CA9"/>
    <w:rsid w:val="0053133E"/>
    <w:rsid w:val="00531936"/>
    <w:rsid w:val="00532719"/>
    <w:rsid w:val="00533336"/>
    <w:rsid w:val="00533673"/>
    <w:rsid w:val="00534B61"/>
    <w:rsid w:val="0053598E"/>
    <w:rsid w:val="00536FB9"/>
    <w:rsid w:val="005403D8"/>
    <w:rsid w:val="00541492"/>
    <w:rsid w:val="005416C1"/>
    <w:rsid w:val="0054212A"/>
    <w:rsid w:val="0054315B"/>
    <w:rsid w:val="0054481D"/>
    <w:rsid w:val="00544FC2"/>
    <w:rsid w:val="005473BA"/>
    <w:rsid w:val="005477B0"/>
    <w:rsid w:val="00547A4D"/>
    <w:rsid w:val="00547FC6"/>
    <w:rsid w:val="00550316"/>
    <w:rsid w:val="0055089A"/>
    <w:rsid w:val="00550F8C"/>
    <w:rsid w:val="00552F49"/>
    <w:rsid w:val="00553498"/>
    <w:rsid w:val="0055354C"/>
    <w:rsid w:val="005535F1"/>
    <w:rsid w:val="00554268"/>
    <w:rsid w:val="00556732"/>
    <w:rsid w:val="00563CE9"/>
    <w:rsid w:val="005647DA"/>
    <w:rsid w:val="00565C62"/>
    <w:rsid w:val="00566267"/>
    <w:rsid w:val="00566E07"/>
    <w:rsid w:val="005671F9"/>
    <w:rsid w:val="00570B61"/>
    <w:rsid w:val="00570E99"/>
    <w:rsid w:val="0057147A"/>
    <w:rsid w:val="00571E63"/>
    <w:rsid w:val="00572304"/>
    <w:rsid w:val="0057259D"/>
    <w:rsid w:val="0057619F"/>
    <w:rsid w:val="00576294"/>
    <w:rsid w:val="00576526"/>
    <w:rsid w:val="005774B7"/>
    <w:rsid w:val="005775DF"/>
    <w:rsid w:val="00577F2A"/>
    <w:rsid w:val="00580071"/>
    <w:rsid w:val="005800FC"/>
    <w:rsid w:val="0058038F"/>
    <w:rsid w:val="00580B11"/>
    <w:rsid w:val="00581212"/>
    <w:rsid w:val="005812C8"/>
    <w:rsid w:val="00581BB3"/>
    <w:rsid w:val="00581CBF"/>
    <w:rsid w:val="00584457"/>
    <w:rsid w:val="005857F7"/>
    <w:rsid w:val="00586093"/>
    <w:rsid w:val="005863CF"/>
    <w:rsid w:val="00586CA4"/>
    <w:rsid w:val="005873DD"/>
    <w:rsid w:val="0058785B"/>
    <w:rsid w:val="00590B52"/>
    <w:rsid w:val="00591459"/>
    <w:rsid w:val="005915B4"/>
    <w:rsid w:val="00591D56"/>
    <w:rsid w:val="0059208E"/>
    <w:rsid w:val="00592783"/>
    <w:rsid w:val="00592ADA"/>
    <w:rsid w:val="005943ED"/>
    <w:rsid w:val="00595AA8"/>
    <w:rsid w:val="00595EE6"/>
    <w:rsid w:val="005965A2"/>
    <w:rsid w:val="0059696A"/>
    <w:rsid w:val="00597A0C"/>
    <w:rsid w:val="005A092C"/>
    <w:rsid w:val="005A2AA6"/>
    <w:rsid w:val="005A37A9"/>
    <w:rsid w:val="005A41B7"/>
    <w:rsid w:val="005A4C46"/>
    <w:rsid w:val="005A4E26"/>
    <w:rsid w:val="005A4E56"/>
    <w:rsid w:val="005A53D3"/>
    <w:rsid w:val="005A53E4"/>
    <w:rsid w:val="005A584B"/>
    <w:rsid w:val="005A5D69"/>
    <w:rsid w:val="005A6A1B"/>
    <w:rsid w:val="005A6ADB"/>
    <w:rsid w:val="005A72D4"/>
    <w:rsid w:val="005A79FB"/>
    <w:rsid w:val="005B02A8"/>
    <w:rsid w:val="005B2425"/>
    <w:rsid w:val="005B35D8"/>
    <w:rsid w:val="005B36EE"/>
    <w:rsid w:val="005B4598"/>
    <w:rsid w:val="005B4599"/>
    <w:rsid w:val="005B54E1"/>
    <w:rsid w:val="005B6FCE"/>
    <w:rsid w:val="005B7809"/>
    <w:rsid w:val="005C23F3"/>
    <w:rsid w:val="005C277E"/>
    <w:rsid w:val="005C566B"/>
    <w:rsid w:val="005C5858"/>
    <w:rsid w:val="005C6ABC"/>
    <w:rsid w:val="005C7CD3"/>
    <w:rsid w:val="005C7F7C"/>
    <w:rsid w:val="005D0ACB"/>
    <w:rsid w:val="005D1104"/>
    <w:rsid w:val="005D255E"/>
    <w:rsid w:val="005D31EF"/>
    <w:rsid w:val="005D3A7D"/>
    <w:rsid w:val="005D3F0B"/>
    <w:rsid w:val="005D44FC"/>
    <w:rsid w:val="005D59D0"/>
    <w:rsid w:val="005D638B"/>
    <w:rsid w:val="005D7786"/>
    <w:rsid w:val="005D7A40"/>
    <w:rsid w:val="005E1371"/>
    <w:rsid w:val="005E1E69"/>
    <w:rsid w:val="005E25A2"/>
    <w:rsid w:val="005E34B5"/>
    <w:rsid w:val="005E36AA"/>
    <w:rsid w:val="005E561A"/>
    <w:rsid w:val="005E585D"/>
    <w:rsid w:val="005E6030"/>
    <w:rsid w:val="005E658F"/>
    <w:rsid w:val="005E6899"/>
    <w:rsid w:val="005E728B"/>
    <w:rsid w:val="005E7587"/>
    <w:rsid w:val="005E79F7"/>
    <w:rsid w:val="005E7D97"/>
    <w:rsid w:val="005F0331"/>
    <w:rsid w:val="005F0C8E"/>
    <w:rsid w:val="005F0FB8"/>
    <w:rsid w:val="005F1151"/>
    <w:rsid w:val="005F1204"/>
    <w:rsid w:val="005F15FA"/>
    <w:rsid w:val="005F1C0A"/>
    <w:rsid w:val="005F223C"/>
    <w:rsid w:val="005F3042"/>
    <w:rsid w:val="005F359D"/>
    <w:rsid w:val="005F394F"/>
    <w:rsid w:val="005F44E6"/>
    <w:rsid w:val="005F45FC"/>
    <w:rsid w:val="005F59DA"/>
    <w:rsid w:val="005F65FD"/>
    <w:rsid w:val="00600862"/>
    <w:rsid w:val="00601F4D"/>
    <w:rsid w:val="00602A5B"/>
    <w:rsid w:val="00602A5D"/>
    <w:rsid w:val="00602DF8"/>
    <w:rsid w:val="006053FC"/>
    <w:rsid w:val="00605C21"/>
    <w:rsid w:val="006060F0"/>
    <w:rsid w:val="006066D7"/>
    <w:rsid w:val="006068BD"/>
    <w:rsid w:val="0060727B"/>
    <w:rsid w:val="006072E6"/>
    <w:rsid w:val="00607417"/>
    <w:rsid w:val="006076A2"/>
    <w:rsid w:val="00607742"/>
    <w:rsid w:val="006078DF"/>
    <w:rsid w:val="00607CDD"/>
    <w:rsid w:val="0061033E"/>
    <w:rsid w:val="00610D0A"/>
    <w:rsid w:val="0061133E"/>
    <w:rsid w:val="00613DEC"/>
    <w:rsid w:val="00613E96"/>
    <w:rsid w:val="00613EF0"/>
    <w:rsid w:val="0061442C"/>
    <w:rsid w:val="0061561E"/>
    <w:rsid w:val="00615C1B"/>
    <w:rsid w:val="00616066"/>
    <w:rsid w:val="00616133"/>
    <w:rsid w:val="006166CF"/>
    <w:rsid w:val="0061702F"/>
    <w:rsid w:val="00617AD6"/>
    <w:rsid w:val="00620736"/>
    <w:rsid w:val="006211CA"/>
    <w:rsid w:val="00621CB7"/>
    <w:rsid w:val="00621DF2"/>
    <w:rsid w:val="006221EF"/>
    <w:rsid w:val="00623323"/>
    <w:rsid w:val="00623685"/>
    <w:rsid w:val="00623847"/>
    <w:rsid w:val="00623C0D"/>
    <w:rsid w:val="00624BED"/>
    <w:rsid w:val="00624DFB"/>
    <w:rsid w:val="0062627B"/>
    <w:rsid w:val="00626532"/>
    <w:rsid w:val="00626536"/>
    <w:rsid w:val="0063102D"/>
    <w:rsid w:val="00632375"/>
    <w:rsid w:val="00632DDB"/>
    <w:rsid w:val="00633329"/>
    <w:rsid w:val="00633954"/>
    <w:rsid w:val="0063435C"/>
    <w:rsid w:val="0063488D"/>
    <w:rsid w:val="00634A8A"/>
    <w:rsid w:val="00634F4A"/>
    <w:rsid w:val="0063550D"/>
    <w:rsid w:val="00635539"/>
    <w:rsid w:val="006409FC"/>
    <w:rsid w:val="00642873"/>
    <w:rsid w:val="00643F65"/>
    <w:rsid w:val="00644143"/>
    <w:rsid w:val="006450AE"/>
    <w:rsid w:val="006468CB"/>
    <w:rsid w:val="00647531"/>
    <w:rsid w:val="0065015C"/>
    <w:rsid w:val="006509A7"/>
    <w:rsid w:val="00650C11"/>
    <w:rsid w:val="00652762"/>
    <w:rsid w:val="00653314"/>
    <w:rsid w:val="0065345D"/>
    <w:rsid w:val="0065382A"/>
    <w:rsid w:val="00654030"/>
    <w:rsid w:val="006544F1"/>
    <w:rsid w:val="00654622"/>
    <w:rsid w:val="00655543"/>
    <w:rsid w:val="00655633"/>
    <w:rsid w:val="00655AE1"/>
    <w:rsid w:val="00656AFF"/>
    <w:rsid w:val="006579FC"/>
    <w:rsid w:val="00660258"/>
    <w:rsid w:val="00660778"/>
    <w:rsid w:val="006622C2"/>
    <w:rsid w:val="006646CA"/>
    <w:rsid w:val="00667331"/>
    <w:rsid w:val="0066777F"/>
    <w:rsid w:val="00667B55"/>
    <w:rsid w:val="006701BE"/>
    <w:rsid w:val="00670FC3"/>
    <w:rsid w:val="006719FF"/>
    <w:rsid w:val="006725D2"/>
    <w:rsid w:val="006739E8"/>
    <w:rsid w:val="006748FE"/>
    <w:rsid w:val="0067619D"/>
    <w:rsid w:val="00677050"/>
    <w:rsid w:val="00677E1F"/>
    <w:rsid w:val="006802D6"/>
    <w:rsid w:val="0068169A"/>
    <w:rsid w:val="00681F67"/>
    <w:rsid w:val="0068386A"/>
    <w:rsid w:val="00685663"/>
    <w:rsid w:val="006856A3"/>
    <w:rsid w:val="00685EDC"/>
    <w:rsid w:val="00686C0D"/>
    <w:rsid w:val="00686D57"/>
    <w:rsid w:val="00686DD5"/>
    <w:rsid w:val="00686F0B"/>
    <w:rsid w:val="0068718F"/>
    <w:rsid w:val="00687890"/>
    <w:rsid w:val="00687AB8"/>
    <w:rsid w:val="00687E77"/>
    <w:rsid w:val="00690E5E"/>
    <w:rsid w:val="006914B1"/>
    <w:rsid w:val="00691A20"/>
    <w:rsid w:val="00692497"/>
    <w:rsid w:val="0069295A"/>
    <w:rsid w:val="00694719"/>
    <w:rsid w:val="00694E36"/>
    <w:rsid w:val="00695483"/>
    <w:rsid w:val="0069628B"/>
    <w:rsid w:val="006A0B84"/>
    <w:rsid w:val="006A0F18"/>
    <w:rsid w:val="006A1F1C"/>
    <w:rsid w:val="006A2EC3"/>
    <w:rsid w:val="006A43C3"/>
    <w:rsid w:val="006A4D78"/>
    <w:rsid w:val="006A5909"/>
    <w:rsid w:val="006A7FD0"/>
    <w:rsid w:val="006A7FDF"/>
    <w:rsid w:val="006B0D16"/>
    <w:rsid w:val="006B1598"/>
    <w:rsid w:val="006B2963"/>
    <w:rsid w:val="006B3120"/>
    <w:rsid w:val="006B3738"/>
    <w:rsid w:val="006B3D0C"/>
    <w:rsid w:val="006B60E1"/>
    <w:rsid w:val="006B738A"/>
    <w:rsid w:val="006B7739"/>
    <w:rsid w:val="006B7757"/>
    <w:rsid w:val="006B77C5"/>
    <w:rsid w:val="006B78E2"/>
    <w:rsid w:val="006B7B50"/>
    <w:rsid w:val="006C07AF"/>
    <w:rsid w:val="006C18AD"/>
    <w:rsid w:val="006C1DF7"/>
    <w:rsid w:val="006C3747"/>
    <w:rsid w:val="006C3E20"/>
    <w:rsid w:val="006C44D7"/>
    <w:rsid w:val="006C659B"/>
    <w:rsid w:val="006C7C52"/>
    <w:rsid w:val="006D2172"/>
    <w:rsid w:val="006D32AF"/>
    <w:rsid w:val="006D3796"/>
    <w:rsid w:val="006D4841"/>
    <w:rsid w:val="006D4FD1"/>
    <w:rsid w:val="006E0A33"/>
    <w:rsid w:val="006E1428"/>
    <w:rsid w:val="006E161F"/>
    <w:rsid w:val="006E25F6"/>
    <w:rsid w:val="006E2B12"/>
    <w:rsid w:val="006E2D8F"/>
    <w:rsid w:val="006E36AD"/>
    <w:rsid w:val="006E3DC8"/>
    <w:rsid w:val="006E6652"/>
    <w:rsid w:val="006F4272"/>
    <w:rsid w:val="006F57C4"/>
    <w:rsid w:val="006F594D"/>
    <w:rsid w:val="006F79CB"/>
    <w:rsid w:val="006F79D3"/>
    <w:rsid w:val="007013EB"/>
    <w:rsid w:val="007016B5"/>
    <w:rsid w:val="007021B0"/>
    <w:rsid w:val="00703D61"/>
    <w:rsid w:val="007046D6"/>
    <w:rsid w:val="00705F6D"/>
    <w:rsid w:val="007062A7"/>
    <w:rsid w:val="00706841"/>
    <w:rsid w:val="007070A3"/>
    <w:rsid w:val="0070714E"/>
    <w:rsid w:val="007073DB"/>
    <w:rsid w:val="007075B0"/>
    <w:rsid w:val="00710003"/>
    <w:rsid w:val="0071090A"/>
    <w:rsid w:val="00710990"/>
    <w:rsid w:val="00710CA5"/>
    <w:rsid w:val="0071116C"/>
    <w:rsid w:val="007123A6"/>
    <w:rsid w:val="00713C37"/>
    <w:rsid w:val="00713E6C"/>
    <w:rsid w:val="007143E0"/>
    <w:rsid w:val="00715BD5"/>
    <w:rsid w:val="007164DB"/>
    <w:rsid w:val="007172CE"/>
    <w:rsid w:val="00720B4C"/>
    <w:rsid w:val="00720F21"/>
    <w:rsid w:val="007230BD"/>
    <w:rsid w:val="007232C0"/>
    <w:rsid w:val="00723524"/>
    <w:rsid w:val="00723575"/>
    <w:rsid w:val="00723EB7"/>
    <w:rsid w:val="00724C72"/>
    <w:rsid w:val="00725633"/>
    <w:rsid w:val="00726E42"/>
    <w:rsid w:val="00727634"/>
    <w:rsid w:val="0073062A"/>
    <w:rsid w:val="00731664"/>
    <w:rsid w:val="0073200E"/>
    <w:rsid w:val="00732266"/>
    <w:rsid w:val="00732A8C"/>
    <w:rsid w:val="00732B48"/>
    <w:rsid w:val="007356EE"/>
    <w:rsid w:val="00735C59"/>
    <w:rsid w:val="00736627"/>
    <w:rsid w:val="00736685"/>
    <w:rsid w:val="00736D82"/>
    <w:rsid w:val="0073717A"/>
    <w:rsid w:val="007379D6"/>
    <w:rsid w:val="00737C78"/>
    <w:rsid w:val="00741E6C"/>
    <w:rsid w:val="0074276A"/>
    <w:rsid w:val="007443BC"/>
    <w:rsid w:val="007445BF"/>
    <w:rsid w:val="0074474A"/>
    <w:rsid w:val="00745AB0"/>
    <w:rsid w:val="00745F80"/>
    <w:rsid w:val="0074630B"/>
    <w:rsid w:val="00746481"/>
    <w:rsid w:val="00750C7A"/>
    <w:rsid w:val="00752018"/>
    <w:rsid w:val="00752E37"/>
    <w:rsid w:val="0075406F"/>
    <w:rsid w:val="007548F5"/>
    <w:rsid w:val="0075607C"/>
    <w:rsid w:val="00756606"/>
    <w:rsid w:val="007569C9"/>
    <w:rsid w:val="007578A1"/>
    <w:rsid w:val="007607C3"/>
    <w:rsid w:val="007618C3"/>
    <w:rsid w:val="00763B8C"/>
    <w:rsid w:val="007649B5"/>
    <w:rsid w:val="00766AB8"/>
    <w:rsid w:val="00770314"/>
    <w:rsid w:val="00770C6D"/>
    <w:rsid w:val="00772BAD"/>
    <w:rsid w:val="0077466E"/>
    <w:rsid w:val="007747B8"/>
    <w:rsid w:val="007750BE"/>
    <w:rsid w:val="007764DB"/>
    <w:rsid w:val="00776532"/>
    <w:rsid w:val="00776668"/>
    <w:rsid w:val="00777909"/>
    <w:rsid w:val="00777D82"/>
    <w:rsid w:val="00780179"/>
    <w:rsid w:val="00782C2D"/>
    <w:rsid w:val="00782D10"/>
    <w:rsid w:val="00783E03"/>
    <w:rsid w:val="007845DF"/>
    <w:rsid w:val="00784A16"/>
    <w:rsid w:val="00784B1E"/>
    <w:rsid w:val="00785865"/>
    <w:rsid w:val="00785DDD"/>
    <w:rsid w:val="00785E80"/>
    <w:rsid w:val="007865CE"/>
    <w:rsid w:val="00787E22"/>
    <w:rsid w:val="00787F1A"/>
    <w:rsid w:val="00790FD7"/>
    <w:rsid w:val="00791534"/>
    <w:rsid w:val="00792638"/>
    <w:rsid w:val="00792647"/>
    <w:rsid w:val="0079278D"/>
    <w:rsid w:val="00793AEB"/>
    <w:rsid w:val="00793D47"/>
    <w:rsid w:val="00794282"/>
    <w:rsid w:val="00794704"/>
    <w:rsid w:val="0079657E"/>
    <w:rsid w:val="00796899"/>
    <w:rsid w:val="00797F58"/>
    <w:rsid w:val="007A0AEB"/>
    <w:rsid w:val="007A177D"/>
    <w:rsid w:val="007A1780"/>
    <w:rsid w:val="007A2B40"/>
    <w:rsid w:val="007A2D32"/>
    <w:rsid w:val="007A338A"/>
    <w:rsid w:val="007A6044"/>
    <w:rsid w:val="007A6047"/>
    <w:rsid w:val="007B062B"/>
    <w:rsid w:val="007B182A"/>
    <w:rsid w:val="007B1F6B"/>
    <w:rsid w:val="007B298D"/>
    <w:rsid w:val="007B2F6D"/>
    <w:rsid w:val="007B3A10"/>
    <w:rsid w:val="007B3BA6"/>
    <w:rsid w:val="007B425C"/>
    <w:rsid w:val="007B4396"/>
    <w:rsid w:val="007B48A1"/>
    <w:rsid w:val="007B5548"/>
    <w:rsid w:val="007B5D09"/>
    <w:rsid w:val="007B5F7B"/>
    <w:rsid w:val="007B6437"/>
    <w:rsid w:val="007C0447"/>
    <w:rsid w:val="007C0DAD"/>
    <w:rsid w:val="007C0ED1"/>
    <w:rsid w:val="007C2686"/>
    <w:rsid w:val="007C37BA"/>
    <w:rsid w:val="007C47F6"/>
    <w:rsid w:val="007C4EB0"/>
    <w:rsid w:val="007C5011"/>
    <w:rsid w:val="007C5149"/>
    <w:rsid w:val="007C5867"/>
    <w:rsid w:val="007C61E3"/>
    <w:rsid w:val="007C66A7"/>
    <w:rsid w:val="007D1792"/>
    <w:rsid w:val="007D1843"/>
    <w:rsid w:val="007D248A"/>
    <w:rsid w:val="007D3099"/>
    <w:rsid w:val="007D34F6"/>
    <w:rsid w:val="007D3C72"/>
    <w:rsid w:val="007D3F81"/>
    <w:rsid w:val="007D42C7"/>
    <w:rsid w:val="007D4F60"/>
    <w:rsid w:val="007D5EBA"/>
    <w:rsid w:val="007D7143"/>
    <w:rsid w:val="007D7A2D"/>
    <w:rsid w:val="007E0A90"/>
    <w:rsid w:val="007E111E"/>
    <w:rsid w:val="007E1B47"/>
    <w:rsid w:val="007E21B3"/>
    <w:rsid w:val="007E346D"/>
    <w:rsid w:val="007E35FC"/>
    <w:rsid w:val="007E37E9"/>
    <w:rsid w:val="007E483A"/>
    <w:rsid w:val="007E5067"/>
    <w:rsid w:val="007E621F"/>
    <w:rsid w:val="007E754B"/>
    <w:rsid w:val="007F2768"/>
    <w:rsid w:val="007F32F9"/>
    <w:rsid w:val="007F46E7"/>
    <w:rsid w:val="007F65E1"/>
    <w:rsid w:val="007F6C6E"/>
    <w:rsid w:val="007F7DD4"/>
    <w:rsid w:val="008017B8"/>
    <w:rsid w:val="00802315"/>
    <w:rsid w:val="008024B3"/>
    <w:rsid w:val="00802566"/>
    <w:rsid w:val="008026CD"/>
    <w:rsid w:val="00802FEE"/>
    <w:rsid w:val="00803B66"/>
    <w:rsid w:val="00804312"/>
    <w:rsid w:val="00804956"/>
    <w:rsid w:val="00804D6E"/>
    <w:rsid w:val="0080536D"/>
    <w:rsid w:val="00806840"/>
    <w:rsid w:val="00807AAE"/>
    <w:rsid w:val="0081040F"/>
    <w:rsid w:val="00811477"/>
    <w:rsid w:val="00811ADF"/>
    <w:rsid w:val="00811B63"/>
    <w:rsid w:val="00813817"/>
    <w:rsid w:val="00816325"/>
    <w:rsid w:val="0081709E"/>
    <w:rsid w:val="0082080A"/>
    <w:rsid w:val="00820891"/>
    <w:rsid w:val="008208F7"/>
    <w:rsid w:val="00820BB7"/>
    <w:rsid w:val="00821697"/>
    <w:rsid w:val="00821EB2"/>
    <w:rsid w:val="008225D9"/>
    <w:rsid w:val="0082398A"/>
    <w:rsid w:val="00823C33"/>
    <w:rsid w:val="008244FB"/>
    <w:rsid w:val="0082510C"/>
    <w:rsid w:val="00825BA4"/>
    <w:rsid w:val="00826B60"/>
    <w:rsid w:val="00826E7A"/>
    <w:rsid w:val="00827620"/>
    <w:rsid w:val="008276E7"/>
    <w:rsid w:val="00827C07"/>
    <w:rsid w:val="00827C1D"/>
    <w:rsid w:val="00830C54"/>
    <w:rsid w:val="008311E9"/>
    <w:rsid w:val="00831901"/>
    <w:rsid w:val="008319C6"/>
    <w:rsid w:val="008320E6"/>
    <w:rsid w:val="00832E7C"/>
    <w:rsid w:val="00833721"/>
    <w:rsid w:val="00833B22"/>
    <w:rsid w:val="00833CAF"/>
    <w:rsid w:val="00833F70"/>
    <w:rsid w:val="008341D0"/>
    <w:rsid w:val="008376A4"/>
    <w:rsid w:val="00837828"/>
    <w:rsid w:val="008427F0"/>
    <w:rsid w:val="0084320E"/>
    <w:rsid w:val="008445C5"/>
    <w:rsid w:val="00844AB8"/>
    <w:rsid w:val="00847E50"/>
    <w:rsid w:val="00853A1F"/>
    <w:rsid w:val="00853D2A"/>
    <w:rsid w:val="00855C9D"/>
    <w:rsid w:val="00856041"/>
    <w:rsid w:val="00856661"/>
    <w:rsid w:val="008568D2"/>
    <w:rsid w:val="00856C47"/>
    <w:rsid w:val="0085737B"/>
    <w:rsid w:val="008607E5"/>
    <w:rsid w:val="00861B1B"/>
    <w:rsid w:val="00862084"/>
    <w:rsid w:val="008621F3"/>
    <w:rsid w:val="00862EC7"/>
    <w:rsid w:val="0086354A"/>
    <w:rsid w:val="00864D37"/>
    <w:rsid w:val="008651ED"/>
    <w:rsid w:val="00865753"/>
    <w:rsid w:val="008659C3"/>
    <w:rsid w:val="0086600B"/>
    <w:rsid w:val="008661B6"/>
    <w:rsid w:val="008666C0"/>
    <w:rsid w:val="00867693"/>
    <w:rsid w:val="00867B7D"/>
    <w:rsid w:val="00870664"/>
    <w:rsid w:val="008712C4"/>
    <w:rsid w:val="00872912"/>
    <w:rsid w:val="00874DD2"/>
    <w:rsid w:val="008761D9"/>
    <w:rsid w:val="00876AAC"/>
    <w:rsid w:val="0088100E"/>
    <w:rsid w:val="00881F7F"/>
    <w:rsid w:val="0088237C"/>
    <w:rsid w:val="00883C2A"/>
    <w:rsid w:val="00884696"/>
    <w:rsid w:val="0088492E"/>
    <w:rsid w:val="00885A3C"/>
    <w:rsid w:val="00885EA1"/>
    <w:rsid w:val="008875D6"/>
    <w:rsid w:val="00887885"/>
    <w:rsid w:val="0089057D"/>
    <w:rsid w:val="00891400"/>
    <w:rsid w:val="008935F7"/>
    <w:rsid w:val="0089435D"/>
    <w:rsid w:val="00894A62"/>
    <w:rsid w:val="008A05A5"/>
    <w:rsid w:val="008A0E40"/>
    <w:rsid w:val="008A100E"/>
    <w:rsid w:val="008A1355"/>
    <w:rsid w:val="008A173A"/>
    <w:rsid w:val="008A186D"/>
    <w:rsid w:val="008A196B"/>
    <w:rsid w:val="008A38E8"/>
    <w:rsid w:val="008A3C69"/>
    <w:rsid w:val="008A3ECA"/>
    <w:rsid w:val="008A5956"/>
    <w:rsid w:val="008A61E3"/>
    <w:rsid w:val="008A6843"/>
    <w:rsid w:val="008A69CA"/>
    <w:rsid w:val="008A75F6"/>
    <w:rsid w:val="008B16D6"/>
    <w:rsid w:val="008B36A0"/>
    <w:rsid w:val="008B36A6"/>
    <w:rsid w:val="008B3E86"/>
    <w:rsid w:val="008B3F38"/>
    <w:rsid w:val="008B41D0"/>
    <w:rsid w:val="008B5B07"/>
    <w:rsid w:val="008B6058"/>
    <w:rsid w:val="008B7835"/>
    <w:rsid w:val="008C197E"/>
    <w:rsid w:val="008C20C7"/>
    <w:rsid w:val="008C2533"/>
    <w:rsid w:val="008C2BAC"/>
    <w:rsid w:val="008C2E97"/>
    <w:rsid w:val="008C39F0"/>
    <w:rsid w:val="008C553F"/>
    <w:rsid w:val="008C57E4"/>
    <w:rsid w:val="008C6D18"/>
    <w:rsid w:val="008C72C7"/>
    <w:rsid w:val="008C7DCA"/>
    <w:rsid w:val="008D03B2"/>
    <w:rsid w:val="008D08AB"/>
    <w:rsid w:val="008D11B6"/>
    <w:rsid w:val="008D4C89"/>
    <w:rsid w:val="008D55C5"/>
    <w:rsid w:val="008D5796"/>
    <w:rsid w:val="008D5F40"/>
    <w:rsid w:val="008D7FAB"/>
    <w:rsid w:val="008E0C66"/>
    <w:rsid w:val="008E0DC7"/>
    <w:rsid w:val="008E1389"/>
    <w:rsid w:val="008E2A8D"/>
    <w:rsid w:val="008E5380"/>
    <w:rsid w:val="008E5438"/>
    <w:rsid w:val="008E5C28"/>
    <w:rsid w:val="008E7BB8"/>
    <w:rsid w:val="008F1989"/>
    <w:rsid w:val="008F2797"/>
    <w:rsid w:val="008F37A2"/>
    <w:rsid w:val="008F410E"/>
    <w:rsid w:val="008F4351"/>
    <w:rsid w:val="008F444D"/>
    <w:rsid w:val="008F458A"/>
    <w:rsid w:val="008F4C84"/>
    <w:rsid w:val="008F4CB5"/>
    <w:rsid w:val="008F595A"/>
    <w:rsid w:val="008F5D63"/>
    <w:rsid w:val="008F5FFD"/>
    <w:rsid w:val="008F6019"/>
    <w:rsid w:val="008F629F"/>
    <w:rsid w:val="008F70F4"/>
    <w:rsid w:val="008F7A69"/>
    <w:rsid w:val="008F7DD1"/>
    <w:rsid w:val="0090011D"/>
    <w:rsid w:val="009005C6"/>
    <w:rsid w:val="0090085B"/>
    <w:rsid w:val="009016D4"/>
    <w:rsid w:val="00901C96"/>
    <w:rsid w:val="00901CF3"/>
    <w:rsid w:val="00902089"/>
    <w:rsid w:val="00903373"/>
    <w:rsid w:val="00903385"/>
    <w:rsid w:val="00904710"/>
    <w:rsid w:val="00904987"/>
    <w:rsid w:val="00904DAE"/>
    <w:rsid w:val="00904E34"/>
    <w:rsid w:val="00904F38"/>
    <w:rsid w:val="009062D0"/>
    <w:rsid w:val="00907688"/>
    <w:rsid w:val="0091023B"/>
    <w:rsid w:val="0091036D"/>
    <w:rsid w:val="00910574"/>
    <w:rsid w:val="00911FDF"/>
    <w:rsid w:val="00912A88"/>
    <w:rsid w:val="00912C9C"/>
    <w:rsid w:val="00912D74"/>
    <w:rsid w:val="00912DF8"/>
    <w:rsid w:val="00914A06"/>
    <w:rsid w:val="00914E3D"/>
    <w:rsid w:val="00914E56"/>
    <w:rsid w:val="00917AE2"/>
    <w:rsid w:val="00920B7C"/>
    <w:rsid w:val="00921472"/>
    <w:rsid w:val="0092168C"/>
    <w:rsid w:val="00921CF6"/>
    <w:rsid w:val="00921E8F"/>
    <w:rsid w:val="009224A0"/>
    <w:rsid w:val="0092255B"/>
    <w:rsid w:val="009227AE"/>
    <w:rsid w:val="00922ABB"/>
    <w:rsid w:val="00922F6D"/>
    <w:rsid w:val="009234A6"/>
    <w:rsid w:val="00926276"/>
    <w:rsid w:val="00926334"/>
    <w:rsid w:val="00927312"/>
    <w:rsid w:val="00927E0D"/>
    <w:rsid w:val="009317C4"/>
    <w:rsid w:val="009323DC"/>
    <w:rsid w:val="00934217"/>
    <w:rsid w:val="0093470F"/>
    <w:rsid w:val="009347BE"/>
    <w:rsid w:val="00935186"/>
    <w:rsid w:val="00935195"/>
    <w:rsid w:val="00937D7E"/>
    <w:rsid w:val="009401BE"/>
    <w:rsid w:val="00940443"/>
    <w:rsid w:val="00941533"/>
    <w:rsid w:val="00942530"/>
    <w:rsid w:val="00942857"/>
    <w:rsid w:val="00942A01"/>
    <w:rsid w:val="009440A8"/>
    <w:rsid w:val="009450F7"/>
    <w:rsid w:val="009467E4"/>
    <w:rsid w:val="00947FA3"/>
    <w:rsid w:val="009511F1"/>
    <w:rsid w:val="009525FC"/>
    <w:rsid w:val="00954981"/>
    <w:rsid w:val="00955AE8"/>
    <w:rsid w:val="00956C87"/>
    <w:rsid w:val="00957118"/>
    <w:rsid w:val="00957806"/>
    <w:rsid w:val="00963736"/>
    <w:rsid w:val="00964867"/>
    <w:rsid w:val="00966ACC"/>
    <w:rsid w:val="00971707"/>
    <w:rsid w:val="00971FC9"/>
    <w:rsid w:val="00972580"/>
    <w:rsid w:val="00973540"/>
    <w:rsid w:val="00973549"/>
    <w:rsid w:val="00973764"/>
    <w:rsid w:val="00973B14"/>
    <w:rsid w:val="0097414E"/>
    <w:rsid w:val="0097422C"/>
    <w:rsid w:val="00974BD8"/>
    <w:rsid w:val="00974F63"/>
    <w:rsid w:val="00975103"/>
    <w:rsid w:val="0097550D"/>
    <w:rsid w:val="00975807"/>
    <w:rsid w:val="0097624C"/>
    <w:rsid w:val="009762A4"/>
    <w:rsid w:val="00980CBB"/>
    <w:rsid w:val="00980DE4"/>
    <w:rsid w:val="00981BC9"/>
    <w:rsid w:val="0098276B"/>
    <w:rsid w:val="00982EA7"/>
    <w:rsid w:val="0098373E"/>
    <w:rsid w:val="00983D6C"/>
    <w:rsid w:val="00984CC9"/>
    <w:rsid w:val="00990433"/>
    <w:rsid w:val="009920E3"/>
    <w:rsid w:val="009928D2"/>
    <w:rsid w:val="00992E1A"/>
    <w:rsid w:val="00994647"/>
    <w:rsid w:val="0099604F"/>
    <w:rsid w:val="00996A08"/>
    <w:rsid w:val="009A1468"/>
    <w:rsid w:val="009A15A4"/>
    <w:rsid w:val="009A1C6D"/>
    <w:rsid w:val="009A25F0"/>
    <w:rsid w:val="009A3299"/>
    <w:rsid w:val="009A3BC9"/>
    <w:rsid w:val="009A4D05"/>
    <w:rsid w:val="009A50EB"/>
    <w:rsid w:val="009A5FAA"/>
    <w:rsid w:val="009A6ADC"/>
    <w:rsid w:val="009A74EC"/>
    <w:rsid w:val="009A7EE0"/>
    <w:rsid w:val="009B010A"/>
    <w:rsid w:val="009B0EAC"/>
    <w:rsid w:val="009B30A5"/>
    <w:rsid w:val="009B3484"/>
    <w:rsid w:val="009B36AE"/>
    <w:rsid w:val="009B39F1"/>
    <w:rsid w:val="009B3F97"/>
    <w:rsid w:val="009B4AC2"/>
    <w:rsid w:val="009B554E"/>
    <w:rsid w:val="009B6012"/>
    <w:rsid w:val="009B6A18"/>
    <w:rsid w:val="009B6BD0"/>
    <w:rsid w:val="009B70D4"/>
    <w:rsid w:val="009B76AD"/>
    <w:rsid w:val="009B7F38"/>
    <w:rsid w:val="009C0322"/>
    <w:rsid w:val="009C2AB8"/>
    <w:rsid w:val="009C32A6"/>
    <w:rsid w:val="009C3A1D"/>
    <w:rsid w:val="009C427C"/>
    <w:rsid w:val="009C5532"/>
    <w:rsid w:val="009C60C2"/>
    <w:rsid w:val="009C62A8"/>
    <w:rsid w:val="009C637A"/>
    <w:rsid w:val="009C666B"/>
    <w:rsid w:val="009C67FC"/>
    <w:rsid w:val="009C6FC4"/>
    <w:rsid w:val="009C7C18"/>
    <w:rsid w:val="009D063C"/>
    <w:rsid w:val="009D0764"/>
    <w:rsid w:val="009D16DB"/>
    <w:rsid w:val="009D41EA"/>
    <w:rsid w:val="009D4A4F"/>
    <w:rsid w:val="009D4E1D"/>
    <w:rsid w:val="009D5F97"/>
    <w:rsid w:val="009D6968"/>
    <w:rsid w:val="009D7427"/>
    <w:rsid w:val="009E08C1"/>
    <w:rsid w:val="009E10DE"/>
    <w:rsid w:val="009E3A0F"/>
    <w:rsid w:val="009E4AC4"/>
    <w:rsid w:val="009E505C"/>
    <w:rsid w:val="009E654D"/>
    <w:rsid w:val="009E6FF6"/>
    <w:rsid w:val="009F07E2"/>
    <w:rsid w:val="009F0FFF"/>
    <w:rsid w:val="009F3204"/>
    <w:rsid w:val="009F390E"/>
    <w:rsid w:val="009F3DB7"/>
    <w:rsid w:val="009F46A9"/>
    <w:rsid w:val="009F5422"/>
    <w:rsid w:val="009F5661"/>
    <w:rsid w:val="009F7F38"/>
    <w:rsid w:val="00A03AB7"/>
    <w:rsid w:val="00A04961"/>
    <w:rsid w:val="00A05328"/>
    <w:rsid w:val="00A05586"/>
    <w:rsid w:val="00A05C67"/>
    <w:rsid w:val="00A077FF"/>
    <w:rsid w:val="00A119CF"/>
    <w:rsid w:val="00A11C53"/>
    <w:rsid w:val="00A12303"/>
    <w:rsid w:val="00A13473"/>
    <w:rsid w:val="00A1475B"/>
    <w:rsid w:val="00A14F6A"/>
    <w:rsid w:val="00A15E46"/>
    <w:rsid w:val="00A2013A"/>
    <w:rsid w:val="00A20D47"/>
    <w:rsid w:val="00A21040"/>
    <w:rsid w:val="00A2159B"/>
    <w:rsid w:val="00A21CB1"/>
    <w:rsid w:val="00A22428"/>
    <w:rsid w:val="00A2414A"/>
    <w:rsid w:val="00A2463B"/>
    <w:rsid w:val="00A26840"/>
    <w:rsid w:val="00A26D71"/>
    <w:rsid w:val="00A30156"/>
    <w:rsid w:val="00A302FF"/>
    <w:rsid w:val="00A31770"/>
    <w:rsid w:val="00A31C85"/>
    <w:rsid w:val="00A31DF5"/>
    <w:rsid w:val="00A322D9"/>
    <w:rsid w:val="00A3282E"/>
    <w:rsid w:val="00A32C68"/>
    <w:rsid w:val="00A33E6C"/>
    <w:rsid w:val="00A3409E"/>
    <w:rsid w:val="00A343F1"/>
    <w:rsid w:val="00A347D0"/>
    <w:rsid w:val="00A35D66"/>
    <w:rsid w:val="00A3648F"/>
    <w:rsid w:val="00A374CE"/>
    <w:rsid w:val="00A402AA"/>
    <w:rsid w:val="00A40A78"/>
    <w:rsid w:val="00A412CE"/>
    <w:rsid w:val="00A41594"/>
    <w:rsid w:val="00A4212D"/>
    <w:rsid w:val="00A451DB"/>
    <w:rsid w:val="00A451FD"/>
    <w:rsid w:val="00A4566E"/>
    <w:rsid w:val="00A4600E"/>
    <w:rsid w:val="00A4684C"/>
    <w:rsid w:val="00A46889"/>
    <w:rsid w:val="00A469E9"/>
    <w:rsid w:val="00A50B36"/>
    <w:rsid w:val="00A517AE"/>
    <w:rsid w:val="00A51E00"/>
    <w:rsid w:val="00A5255B"/>
    <w:rsid w:val="00A5399D"/>
    <w:rsid w:val="00A54729"/>
    <w:rsid w:val="00A5484B"/>
    <w:rsid w:val="00A54A6F"/>
    <w:rsid w:val="00A568CD"/>
    <w:rsid w:val="00A56C4A"/>
    <w:rsid w:val="00A61E57"/>
    <w:rsid w:val="00A62F73"/>
    <w:rsid w:val="00A64738"/>
    <w:rsid w:val="00A65155"/>
    <w:rsid w:val="00A6562B"/>
    <w:rsid w:val="00A65E49"/>
    <w:rsid w:val="00A661AA"/>
    <w:rsid w:val="00A6635F"/>
    <w:rsid w:val="00A664FA"/>
    <w:rsid w:val="00A66E8F"/>
    <w:rsid w:val="00A67392"/>
    <w:rsid w:val="00A67492"/>
    <w:rsid w:val="00A67D8E"/>
    <w:rsid w:val="00A70B6E"/>
    <w:rsid w:val="00A72497"/>
    <w:rsid w:val="00A729A8"/>
    <w:rsid w:val="00A72AEC"/>
    <w:rsid w:val="00A72B1E"/>
    <w:rsid w:val="00A72BEF"/>
    <w:rsid w:val="00A73B1A"/>
    <w:rsid w:val="00A74A64"/>
    <w:rsid w:val="00A750E5"/>
    <w:rsid w:val="00A765F2"/>
    <w:rsid w:val="00A76BA9"/>
    <w:rsid w:val="00A772C5"/>
    <w:rsid w:val="00A80BA9"/>
    <w:rsid w:val="00A80CBE"/>
    <w:rsid w:val="00A81138"/>
    <w:rsid w:val="00A817CF"/>
    <w:rsid w:val="00A83EDF"/>
    <w:rsid w:val="00A85F85"/>
    <w:rsid w:val="00A85F8F"/>
    <w:rsid w:val="00A91DA2"/>
    <w:rsid w:val="00A9204F"/>
    <w:rsid w:val="00A920D4"/>
    <w:rsid w:val="00A928D8"/>
    <w:rsid w:val="00A93F13"/>
    <w:rsid w:val="00A9418D"/>
    <w:rsid w:val="00A942AA"/>
    <w:rsid w:val="00A94E59"/>
    <w:rsid w:val="00A94FB5"/>
    <w:rsid w:val="00A957BF"/>
    <w:rsid w:val="00A97060"/>
    <w:rsid w:val="00AA0A80"/>
    <w:rsid w:val="00AA139A"/>
    <w:rsid w:val="00AA13B1"/>
    <w:rsid w:val="00AA13BE"/>
    <w:rsid w:val="00AA1808"/>
    <w:rsid w:val="00AA1A0F"/>
    <w:rsid w:val="00AA447A"/>
    <w:rsid w:val="00AA46F2"/>
    <w:rsid w:val="00AA4DC5"/>
    <w:rsid w:val="00AA65A3"/>
    <w:rsid w:val="00AA6A9F"/>
    <w:rsid w:val="00AA702C"/>
    <w:rsid w:val="00AB2656"/>
    <w:rsid w:val="00AB26B5"/>
    <w:rsid w:val="00AB2F41"/>
    <w:rsid w:val="00AB328D"/>
    <w:rsid w:val="00AB4169"/>
    <w:rsid w:val="00AB4CED"/>
    <w:rsid w:val="00AB4FB4"/>
    <w:rsid w:val="00AB5359"/>
    <w:rsid w:val="00AB5EC0"/>
    <w:rsid w:val="00AB7364"/>
    <w:rsid w:val="00AB7452"/>
    <w:rsid w:val="00AB794C"/>
    <w:rsid w:val="00AC05CD"/>
    <w:rsid w:val="00AC16F8"/>
    <w:rsid w:val="00AC29CC"/>
    <w:rsid w:val="00AC4471"/>
    <w:rsid w:val="00AC4E08"/>
    <w:rsid w:val="00AC539D"/>
    <w:rsid w:val="00AC5E2C"/>
    <w:rsid w:val="00AC645B"/>
    <w:rsid w:val="00AC7CD2"/>
    <w:rsid w:val="00AD01A5"/>
    <w:rsid w:val="00AD06E5"/>
    <w:rsid w:val="00AD0769"/>
    <w:rsid w:val="00AD0A00"/>
    <w:rsid w:val="00AD0A04"/>
    <w:rsid w:val="00AD0EF8"/>
    <w:rsid w:val="00AD145A"/>
    <w:rsid w:val="00AD461C"/>
    <w:rsid w:val="00AD4A6B"/>
    <w:rsid w:val="00AD4C9E"/>
    <w:rsid w:val="00AD5A02"/>
    <w:rsid w:val="00AD7EE2"/>
    <w:rsid w:val="00AE0342"/>
    <w:rsid w:val="00AE06A6"/>
    <w:rsid w:val="00AE0EFA"/>
    <w:rsid w:val="00AE1911"/>
    <w:rsid w:val="00AE1D33"/>
    <w:rsid w:val="00AE40B8"/>
    <w:rsid w:val="00AE45A3"/>
    <w:rsid w:val="00AE5206"/>
    <w:rsid w:val="00AE6F82"/>
    <w:rsid w:val="00AE761B"/>
    <w:rsid w:val="00AF0037"/>
    <w:rsid w:val="00AF0318"/>
    <w:rsid w:val="00AF0776"/>
    <w:rsid w:val="00AF0B20"/>
    <w:rsid w:val="00AF1D57"/>
    <w:rsid w:val="00AF22C2"/>
    <w:rsid w:val="00AF288D"/>
    <w:rsid w:val="00AF4398"/>
    <w:rsid w:val="00AF4866"/>
    <w:rsid w:val="00AF609D"/>
    <w:rsid w:val="00AF6AAA"/>
    <w:rsid w:val="00AF7ABF"/>
    <w:rsid w:val="00B003F0"/>
    <w:rsid w:val="00B00F20"/>
    <w:rsid w:val="00B01540"/>
    <w:rsid w:val="00B025B8"/>
    <w:rsid w:val="00B03B31"/>
    <w:rsid w:val="00B06150"/>
    <w:rsid w:val="00B0618C"/>
    <w:rsid w:val="00B06F35"/>
    <w:rsid w:val="00B074DA"/>
    <w:rsid w:val="00B07923"/>
    <w:rsid w:val="00B103FF"/>
    <w:rsid w:val="00B10A58"/>
    <w:rsid w:val="00B10FB5"/>
    <w:rsid w:val="00B1132F"/>
    <w:rsid w:val="00B11AA8"/>
    <w:rsid w:val="00B11F83"/>
    <w:rsid w:val="00B124E4"/>
    <w:rsid w:val="00B127E0"/>
    <w:rsid w:val="00B12B3B"/>
    <w:rsid w:val="00B133FF"/>
    <w:rsid w:val="00B13619"/>
    <w:rsid w:val="00B13C5A"/>
    <w:rsid w:val="00B13C90"/>
    <w:rsid w:val="00B14450"/>
    <w:rsid w:val="00B1464F"/>
    <w:rsid w:val="00B14C92"/>
    <w:rsid w:val="00B15129"/>
    <w:rsid w:val="00B152BA"/>
    <w:rsid w:val="00B15EEB"/>
    <w:rsid w:val="00B160A8"/>
    <w:rsid w:val="00B17FB0"/>
    <w:rsid w:val="00B2151C"/>
    <w:rsid w:val="00B21A5E"/>
    <w:rsid w:val="00B223E9"/>
    <w:rsid w:val="00B228D0"/>
    <w:rsid w:val="00B24F9D"/>
    <w:rsid w:val="00B25DF0"/>
    <w:rsid w:val="00B272B6"/>
    <w:rsid w:val="00B30560"/>
    <w:rsid w:val="00B30EFD"/>
    <w:rsid w:val="00B30FD0"/>
    <w:rsid w:val="00B318AD"/>
    <w:rsid w:val="00B322B6"/>
    <w:rsid w:val="00B326F2"/>
    <w:rsid w:val="00B342CE"/>
    <w:rsid w:val="00B3508F"/>
    <w:rsid w:val="00B36343"/>
    <w:rsid w:val="00B40DC8"/>
    <w:rsid w:val="00B4159D"/>
    <w:rsid w:val="00B41DC2"/>
    <w:rsid w:val="00B42888"/>
    <w:rsid w:val="00B45302"/>
    <w:rsid w:val="00B45651"/>
    <w:rsid w:val="00B45F22"/>
    <w:rsid w:val="00B46186"/>
    <w:rsid w:val="00B46C40"/>
    <w:rsid w:val="00B47CD8"/>
    <w:rsid w:val="00B511E7"/>
    <w:rsid w:val="00B5280E"/>
    <w:rsid w:val="00B534A8"/>
    <w:rsid w:val="00B535EC"/>
    <w:rsid w:val="00B5399F"/>
    <w:rsid w:val="00B54021"/>
    <w:rsid w:val="00B541B2"/>
    <w:rsid w:val="00B54ADB"/>
    <w:rsid w:val="00B5500D"/>
    <w:rsid w:val="00B55528"/>
    <w:rsid w:val="00B55CCD"/>
    <w:rsid w:val="00B56A59"/>
    <w:rsid w:val="00B57755"/>
    <w:rsid w:val="00B600AA"/>
    <w:rsid w:val="00B60EA9"/>
    <w:rsid w:val="00B616DA"/>
    <w:rsid w:val="00B61B66"/>
    <w:rsid w:val="00B63132"/>
    <w:rsid w:val="00B63B80"/>
    <w:rsid w:val="00B641B3"/>
    <w:rsid w:val="00B648E9"/>
    <w:rsid w:val="00B65CE0"/>
    <w:rsid w:val="00B6620C"/>
    <w:rsid w:val="00B66A82"/>
    <w:rsid w:val="00B678EB"/>
    <w:rsid w:val="00B70296"/>
    <w:rsid w:val="00B703A5"/>
    <w:rsid w:val="00B70584"/>
    <w:rsid w:val="00B70B5D"/>
    <w:rsid w:val="00B70D22"/>
    <w:rsid w:val="00B71808"/>
    <w:rsid w:val="00B71E52"/>
    <w:rsid w:val="00B72091"/>
    <w:rsid w:val="00B72BD4"/>
    <w:rsid w:val="00B74815"/>
    <w:rsid w:val="00B7670B"/>
    <w:rsid w:val="00B76A5F"/>
    <w:rsid w:val="00B7701C"/>
    <w:rsid w:val="00B77EC3"/>
    <w:rsid w:val="00B80CD3"/>
    <w:rsid w:val="00B82AAD"/>
    <w:rsid w:val="00B83D51"/>
    <w:rsid w:val="00B83FDD"/>
    <w:rsid w:val="00B84C72"/>
    <w:rsid w:val="00B86033"/>
    <w:rsid w:val="00B860DB"/>
    <w:rsid w:val="00B86535"/>
    <w:rsid w:val="00B87F67"/>
    <w:rsid w:val="00B9081A"/>
    <w:rsid w:val="00B90AC9"/>
    <w:rsid w:val="00B90F16"/>
    <w:rsid w:val="00B92B20"/>
    <w:rsid w:val="00B940DA"/>
    <w:rsid w:val="00B9552E"/>
    <w:rsid w:val="00B957FA"/>
    <w:rsid w:val="00B95D62"/>
    <w:rsid w:val="00B961B5"/>
    <w:rsid w:val="00B962F2"/>
    <w:rsid w:val="00B96AA2"/>
    <w:rsid w:val="00B97FA8"/>
    <w:rsid w:val="00BA1359"/>
    <w:rsid w:val="00BA15CA"/>
    <w:rsid w:val="00BA16EE"/>
    <w:rsid w:val="00BA1C38"/>
    <w:rsid w:val="00BA2FA0"/>
    <w:rsid w:val="00BA3AF0"/>
    <w:rsid w:val="00BA4894"/>
    <w:rsid w:val="00BA4B3F"/>
    <w:rsid w:val="00BA4DA1"/>
    <w:rsid w:val="00BA5A4A"/>
    <w:rsid w:val="00BA6063"/>
    <w:rsid w:val="00BA6347"/>
    <w:rsid w:val="00BA6B2C"/>
    <w:rsid w:val="00BA7A83"/>
    <w:rsid w:val="00BB0157"/>
    <w:rsid w:val="00BB0E7F"/>
    <w:rsid w:val="00BB122D"/>
    <w:rsid w:val="00BB229B"/>
    <w:rsid w:val="00BB2687"/>
    <w:rsid w:val="00BB2D31"/>
    <w:rsid w:val="00BB2D9B"/>
    <w:rsid w:val="00BB38AD"/>
    <w:rsid w:val="00BB5418"/>
    <w:rsid w:val="00BB5F63"/>
    <w:rsid w:val="00BB671C"/>
    <w:rsid w:val="00BB747D"/>
    <w:rsid w:val="00BC086B"/>
    <w:rsid w:val="00BC16AB"/>
    <w:rsid w:val="00BC1AA2"/>
    <w:rsid w:val="00BC1E62"/>
    <w:rsid w:val="00BC20D4"/>
    <w:rsid w:val="00BC20DA"/>
    <w:rsid w:val="00BC2336"/>
    <w:rsid w:val="00BC240A"/>
    <w:rsid w:val="00BC24CD"/>
    <w:rsid w:val="00BC4F40"/>
    <w:rsid w:val="00BC7481"/>
    <w:rsid w:val="00BC74E5"/>
    <w:rsid w:val="00BD1ECF"/>
    <w:rsid w:val="00BD1F62"/>
    <w:rsid w:val="00BD2572"/>
    <w:rsid w:val="00BD351C"/>
    <w:rsid w:val="00BD3F89"/>
    <w:rsid w:val="00BD4105"/>
    <w:rsid w:val="00BD43C4"/>
    <w:rsid w:val="00BD4854"/>
    <w:rsid w:val="00BD4BE8"/>
    <w:rsid w:val="00BD622F"/>
    <w:rsid w:val="00BD63CD"/>
    <w:rsid w:val="00BD7E1B"/>
    <w:rsid w:val="00BE06E4"/>
    <w:rsid w:val="00BE0CAF"/>
    <w:rsid w:val="00BE1322"/>
    <w:rsid w:val="00BE14CF"/>
    <w:rsid w:val="00BE1508"/>
    <w:rsid w:val="00BE2510"/>
    <w:rsid w:val="00BE25AE"/>
    <w:rsid w:val="00BE34F3"/>
    <w:rsid w:val="00BE4E99"/>
    <w:rsid w:val="00BE7D33"/>
    <w:rsid w:val="00BF1001"/>
    <w:rsid w:val="00BF13A2"/>
    <w:rsid w:val="00BF1A4F"/>
    <w:rsid w:val="00BF3E5B"/>
    <w:rsid w:val="00BF40F8"/>
    <w:rsid w:val="00BF4788"/>
    <w:rsid w:val="00BF4DF6"/>
    <w:rsid w:val="00BF59AE"/>
    <w:rsid w:val="00BF7C42"/>
    <w:rsid w:val="00BF7C55"/>
    <w:rsid w:val="00C00084"/>
    <w:rsid w:val="00C00BCA"/>
    <w:rsid w:val="00C02E31"/>
    <w:rsid w:val="00C03DFA"/>
    <w:rsid w:val="00C03E95"/>
    <w:rsid w:val="00C0481A"/>
    <w:rsid w:val="00C064D8"/>
    <w:rsid w:val="00C07AB6"/>
    <w:rsid w:val="00C07EE0"/>
    <w:rsid w:val="00C07F95"/>
    <w:rsid w:val="00C11837"/>
    <w:rsid w:val="00C11989"/>
    <w:rsid w:val="00C122D7"/>
    <w:rsid w:val="00C128AB"/>
    <w:rsid w:val="00C139FB"/>
    <w:rsid w:val="00C13EE5"/>
    <w:rsid w:val="00C15635"/>
    <w:rsid w:val="00C15BBC"/>
    <w:rsid w:val="00C15F05"/>
    <w:rsid w:val="00C16D42"/>
    <w:rsid w:val="00C171ED"/>
    <w:rsid w:val="00C17544"/>
    <w:rsid w:val="00C1774F"/>
    <w:rsid w:val="00C20643"/>
    <w:rsid w:val="00C20B96"/>
    <w:rsid w:val="00C21B09"/>
    <w:rsid w:val="00C21BCC"/>
    <w:rsid w:val="00C22CB7"/>
    <w:rsid w:val="00C25DB0"/>
    <w:rsid w:val="00C30A72"/>
    <w:rsid w:val="00C30C77"/>
    <w:rsid w:val="00C31056"/>
    <w:rsid w:val="00C32F43"/>
    <w:rsid w:val="00C34B63"/>
    <w:rsid w:val="00C35D54"/>
    <w:rsid w:val="00C3618E"/>
    <w:rsid w:val="00C405DB"/>
    <w:rsid w:val="00C408CC"/>
    <w:rsid w:val="00C4188B"/>
    <w:rsid w:val="00C41E25"/>
    <w:rsid w:val="00C43EB8"/>
    <w:rsid w:val="00C462AB"/>
    <w:rsid w:val="00C46690"/>
    <w:rsid w:val="00C50022"/>
    <w:rsid w:val="00C51C2C"/>
    <w:rsid w:val="00C5336A"/>
    <w:rsid w:val="00C53695"/>
    <w:rsid w:val="00C53E06"/>
    <w:rsid w:val="00C53EDE"/>
    <w:rsid w:val="00C55C1C"/>
    <w:rsid w:val="00C560F5"/>
    <w:rsid w:val="00C5774A"/>
    <w:rsid w:val="00C57EB5"/>
    <w:rsid w:val="00C60359"/>
    <w:rsid w:val="00C621A3"/>
    <w:rsid w:val="00C62586"/>
    <w:rsid w:val="00C6281D"/>
    <w:rsid w:val="00C62B9D"/>
    <w:rsid w:val="00C6452E"/>
    <w:rsid w:val="00C64F81"/>
    <w:rsid w:val="00C65460"/>
    <w:rsid w:val="00C65A67"/>
    <w:rsid w:val="00C65D6B"/>
    <w:rsid w:val="00C672A1"/>
    <w:rsid w:val="00C6765D"/>
    <w:rsid w:val="00C71954"/>
    <w:rsid w:val="00C71A93"/>
    <w:rsid w:val="00C71DF9"/>
    <w:rsid w:val="00C71E08"/>
    <w:rsid w:val="00C72996"/>
    <w:rsid w:val="00C729E5"/>
    <w:rsid w:val="00C74779"/>
    <w:rsid w:val="00C74C0B"/>
    <w:rsid w:val="00C76671"/>
    <w:rsid w:val="00C77482"/>
    <w:rsid w:val="00C779CD"/>
    <w:rsid w:val="00C80133"/>
    <w:rsid w:val="00C80BAC"/>
    <w:rsid w:val="00C81A23"/>
    <w:rsid w:val="00C83A3B"/>
    <w:rsid w:val="00C8462B"/>
    <w:rsid w:val="00C84C69"/>
    <w:rsid w:val="00C853C8"/>
    <w:rsid w:val="00C85AE4"/>
    <w:rsid w:val="00C86AEE"/>
    <w:rsid w:val="00C86D45"/>
    <w:rsid w:val="00C86E9A"/>
    <w:rsid w:val="00C87332"/>
    <w:rsid w:val="00C90753"/>
    <w:rsid w:val="00C91253"/>
    <w:rsid w:val="00C926FD"/>
    <w:rsid w:val="00C9272F"/>
    <w:rsid w:val="00C93C4A"/>
    <w:rsid w:val="00C93D6D"/>
    <w:rsid w:val="00C9582B"/>
    <w:rsid w:val="00C95C43"/>
    <w:rsid w:val="00C964CF"/>
    <w:rsid w:val="00C96DAC"/>
    <w:rsid w:val="00C9799F"/>
    <w:rsid w:val="00C97AAF"/>
    <w:rsid w:val="00CA04F1"/>
    <w:rsid w:val="00CA09E7"/>
    <w:rsid w:val="00CA3FA4"/>
    <w:rsid w:val="00CA465D"/>
    <w:rsid w:val="00CA4D00"/>
    <w:rsid w:val="00CA5532"/>
    <w:rsid w:val="00CA6D8F"/>
    <w:rsid w:val="00CB07C6"/>
    <w:rsid w:val="00CB24AE"/>
    <w:rsid w:val="00CB29EB"/>
    <w:rsid w:val="00CB2C36"/>
    <w:rsid w:val="00CB4108"/>
    <w:rsid w:val="00CB4121"/>
    <w:rsid w:val="00CB5F52"/>
    <w:rsid w:val="00CB5FF3"/>
    <w:rsid w:val="00CB6B65"/>
    <w:rsid w:val="00CC002A"/>
    <w:rsid w:val="00CC1EDE"/>
    <w:rsid w:val="00CC3588"/>
    <w:rsid w:val="00CC3F2D"/>
    <w:rsid w:val="00CC42E8"/>
    <w:rsid w:val="00CC46C6"/>
    <w:rsid w:val="00CC5D37"/>
    <w:rsid w:val="00CC5DE9"/>
    <w:rsid w:val="00CC68B5"/>
    <w:rsid w:val="00CC7DA5"/>
    <w:rsid w:val="00CD0E13"/>
    <w:rsid w:val="00CD111B"/>
    <w:rsid w:val="00CD24B3"/>
    <w:rsid w:val="00CD2B8D"/>
    <w:rsid w:val="00CD3099"/>
    <w:rsid w:val="00CD3168"/>
    <w:rsid w:val="00CD3C73"/>
    <w:rsid w:val="00CD403D"/>
    <w:rsid w:val="00CD43EA"/>
    <w:rsid w:val="00CD468F"/>
    <w:rsid w:val="00CD54CB"/>
    <w:rsid w:val="00CD6A40"/>
    <w:rsid w:val="00CD7A10"/>
    <w:rsid w:val="00CE0E45"/>
    <w:rsid w:val="00CE0F8A"/>
    <w:rsid w:val="00CE1CA4"/>
    <w:rsid w:val="00CE2AC3"/>
    <w:rsid w:val="00CE2E92"/>
    <w:rsid w:val="00CE31D1"/>
    <w:rsid w:val="00CE4236"/>
    <w:rsid w:val="00CE428B"/>
    <w:rsid w:val="00CE4632"/>
    <w:rsid w:val="00CE46DB"/>
    <w:rsid w:val="00CE4DA9"/>
    <w:rsid w:val="00CE596A"/>
    <w:rsid w:val="00CE7308"/>
    <w:rsid w:val="00CF000C"/>
    <w:rsid w:val="00CF02AA"/>
    <w:rsid w:val="00CF0F8B"/>
    <w:rsid w:val="00CF2C05"/>
    <w:rsid w:val="00CF3687"/>
    <w:rsid w:val="00CF4243"/>
    <w:rsid w:val="00CF45E8"/>
    <w:rsid w:val="00CF5DF5"/>
    <w:rsid w:val="00CF66FC"/>
    <w:rsid w:val="00CF6C70"/>
    <w:rsid w:val="00CF7A7B"/>
    <w:rsid w:val="00D001FC"/>
    <w:rsid w:val="00D018BF"/>
    <w:rsid w:val="00D0349E"/>
    <w:rsid w:val="00D03EF8"/>
    <w:rsid w:val="00D04E98"/>
    <w:rsid w:val="00D0536A"/>
    <w:rsid w:val="00D059A8"/>
    <w:rsid w:val="00D1031B"/>
    <w:rsid w:val="00D10ED9"/>
    <w:rsid w:val="00D11A34"/>
    <w:rsid w:val="00D12095"/>
    <w:rsid w:val="00D12EC8"/>
    <w:rsid w:val="00D12FA0"/>
    <w:rsid w:val="00D145DF"/>
    <w:rsid w:val="00D15424"/>
    <w:rsid w:val="00D16466"/>
    <w:rsid w:val="00D1668D"/>
    <w:rsid w:val="00D16993"/>
    <w:rsid w:val="00D16BE6"/>
    <w:rsid w:val="00D2106A"/>
    <w:rsid w:val="00D21B1C"/>
    <w:rsid w:val="00D23F7B"/>
    <w:rsid w:val="00D25085"/>
    <w:rsid w:val="00D26307"/>
    <w:rsid w:val="00D26AFC"/>
    <w:rsid w:val="00D26EA3"/>
    <w:rsid w:val="00D27C3A"/>
    <w:rsid w:val="00D30DC3"/>
    <w:rsid w:val="00D316CF"/>
    <w:rsid w:val="00D31911"/>
    <w:rsid w:val="00D31DD9"/>
    <w:rsid w:val="00D31EDA"/>
    <w:rsid w:val="00D32632"/>
    <w:rsid w:val="00D32CE2"/>
    <w:rsid w:val="00D32FC4"/>
    <w:rsid w:val="00D33750"/>
    <w:rsid w:val="00D34F07"/>
    <w:rsid w:val="00D352ED"/>
    <w:rsid w:val="00D353DC"/>
    <w:rsid w:val="00D35D74"/>
    <w:rsid w:val="00D367D3"/>
    <w:rsid w:val="00D405E7"/>
    <w:rsid w:val="00D41C07"/>
    <w:rsid w:val="00D43241"/>
    <w:rsid w:val="00D4427A"/>
    <w:rsid w:val="00D4694F"/>
    <w:rsid w:val="00D4719B"/>
    <w:rsid w:val="00D506A6"/>
    <w:rsid w:val="00D5075E"/>
    <w:rsid w:val="00D51D7B"/>
    <w:rsid w:val="00D52777"/>
    <w:rsid w:val="00D52DD5"/>
    <w:rsid w:val="00D53646"/>
    <w:rsid w:val="00D54095"/>
    <w:rsid w:val="00D54882"/>
    <w:rsid w:val="00D552ED"/>
    <w:rsid w:val="00D55A99"/>
    <w:rsid w:val="00D55C9E"/>
    <w:rsid w:val="00D5740A"/>
    <w:rsid w:val="00D579DA"/>
    <w:rsid w:val="00D609DF"/>
    <w:rsid w:val="00D60E99"/>
    <w:rsid w:val="00D61BBC"/>
    <w:rsid w:val="00D61CFC"/>
    <w:rsid w:val="00D62429"/>
    <w:rsid w:val="00D62977"/>
    <w:rsid w:val="00D63165"/>
    <w:rsid w:val="00D639D8"/>
    <w:rsid w:val="00D641BE"/>
    <w:rsid w:val="00D6591A"/>
    <w:rsid w:val="00D66614"/>
    <w:rsid w:val="00D66A14"/>
    <w:rsid w:val="00D66B49"/>
    <w:rsid w:val="00D67127"/>
    <w:rsid w:val="00D679E8"/>
    <w:rsid w:val="00D67EF1"/>
    <w:rsid w:val="00D714F9"/>
    <w:rsid w:val="00D71614"/>
    <w:rsid w:val="00D72A77"/>
    <w:rsid w:val="00D72FFC"/>
    <w:rsid w:val="00D73845"/>
    <w:rsid w:val="00D73F73"/>
    <w:rsid w:val="00D74859"/>
    <w:rsid w:val="00D75C06"/>
    <w:rsid w:val="00D760F2"/>
    <w:rsid w:val="00D761FB"/>
    <w:rsid w:val="00D76F66"/>
    <w:rsid w:val="00D7706A"/>
    <w:rsid w:val="00D8009A"/>
    <w:rsid w:val="00D806B2"/>
    <w:rsid w:val="00D80823"/>
    <w:rsid w:val="00D80C5D"/>
    <w:rsid w:val="00D81572"/>
    <w:rsid w:val="00D81941"/>
    <w:rsid w:val="00D82999"/>
    <w:rsid w:val="00D83BAD"/>
    <w:rsid w:val="00D846B7"/>
    <w:rsid w:val="00D847E1"/>
    <w:rsid w:val="00D84D2D"/>
    <w:rsid w:val="00D86362"/>
    <w:rsid w:val="00D8645A"/>
    <w:rsid w:val="00D86A85"/>
    <w:rsid w:val="00D86F23"/>
    <w:rsid w:val="00D9202D"/>
    <w:rsid w:val="00D92FD4"/>
    <w:rsid w:val="00D94230"/>
    <w:rsid w:val="00D946BE"/>
    <w:rsid w:val="00D946CC"/>
    <w:rsid w:val="00D94AD3"/>
    <w:rsid w:val="00D94DF4"/>
    <w:rsid w:val="00D94E19"/>
    <w:rsid w:val="00D952EF"/>
    <w:rsid w:val="00D95741"/>
    <w:rsid w:val="00D95AB7"/>
    <w:rsid w:val="00D95DD3"/>
    <w:rsid w:val="00DA04AE"/>
    <w:rsid w:val="00DA08F7"/>
    <w:rsid w:val="00DA1254"/>
    <w:rsid w:val="00DA1CC9"/>
    <w:rsid w:val="00DA1EB6"/>
    <w:rsid w:val="00DA262D"/>
    <w:rsid w:val="00DA27B1"/>
    <w:rsid w:val="00DA30C2"/>
    <w:rsid w:val="00DA320A"/>
    <w:rsid w:val="00DA3E7D"/>
    <w:rsid w:val="00DA43B5"/>
    <w:rsid w:val="00DA4A6F"/>
    <w:rsid w:val="00DA5835"/>
    <w:rsid w:val="00DA59FD"/>
    <w:rsid w:val="00DA6BB5"/>
    <w:rsid w:val="00DA7639"/>
    <w:rsid w:val="00DA768D"/>
    <w:rsid w:val="00DA7B29"/>
    <w:rsid w:val="00DA7E53"/>
    <w:rsid w:val="00DB0BF1"/>
    <w:rsid w:val="00DB43DB"/>
    <w:rsid w:val="00DB5DFF"/>
    <w:rsid w:val="00DB61E9"/>
    <w:rsid w:val="00DC0360"/>
    <w:rsid w:val="00DC0365"/>
    <w:rsid w:val="00DC1EED"/>
    <w:rsid w:val="00DC30A4"/>
    <w:rsid w:val="00DC3A92"/>
    <w:rsid w:val="00DC3AAD"/>
    <w:rsid w:val="00DC598C"/>
    <w:rsid w:val="00DC5D83"/>
    <w:rsid w:val="00DC62CD"/>
    <w:rsid w:val="00DC6430"/>
    <w:rsid w:val="00DC6790"/>
    <w:rsid w:val="00DD08F8"/>
    <w:rsid w:val="00DD0F5C"/>
    <w:rsid w:val="00DD2344"/>
    <w:rsid w:val="00DD29C7"/>
    <w:rsid w:val="00DD303B"/>
    <w:rsid w:val="00DD35C4"/>
    <w:rsid w:val="00DD3688"/>
    <w:rsid w:val="00DD41C1"/>
    <w:rsid w:val="00DD4324"/>
    <w:rsid w:val="00DD462A"/>
    <w:rsid w:val="00DD5E95"/>
    <w:rsid w:val="00DD66BE"/>
    <w:rsid w:val="00DE0ACE"/>
    <w:rsid w:val="00DE0B66"/>
    <w:rsid w:val="00DE1158"/>
    <w:rsid w:val="00DE3E6C"/>
    <w:rsid w:val="00DE4EDB"/>
    <w:rsid w:val="00DE551C"/>
    <w:rsid w:val="00DE5AD7"/>
    <w:rsid w:val="00DE677A"/>
    <w:rsid w:val="00DE7990"/>
    <w:rsid w:val="00DF21EF"/>
    <w:rsid w:val="00DF310E"/>
    <w:rsid w:val="00DF315A"/>
    <w:rsid w:val="00DF3C19"/>
    <w:rsid w:val="00DF4268"/>
    <w:rsid w:val="00DF50D8"/>
    <w:rsid w:val="00DF75DF"/>
    <w:rsid w:val="00E0048D"/>
    <w:rsid w:val="00E00E5E"/>
    <w:rsid w:val="00E00EDD"/>
    <w:rsid w:val="00E01DEC"/>
    <w:rsid w:val="00E021A6"/>
    <w:rsid w:val="00E02309"/>
    <w:rsid w:val="00E0245E"/>
    <w:rsid w:val="00E03983"/>
    <w:rsid w:val="00E03FBA"/>
    <w:rsid w:val="00E0428A"/>
    <w:rsid w:val="00E04636"/>
    <w:rsid w:val="00E04B5A"/>
    <w:rsid w:val="00E04D35"/>
    <w:rsid w:val="00E04E80"/>
    <w:rsid w:val="00E05F0B"/>
    <w:rsid w:val="00E06EF4"/>
    <w:rsid w:val="00E075C5"/>
    <w:rsid w:val="00E07C8F"/>
    <w:rsid w:val="00E10847"/>
    <w:rsid w:val="00E10C76"/>
    <w:rsid w:val="00E10D3F"/>
    <w:rsid w:val="00E11F36"/>
    <w:rsid w:val="00E1327B"/>
    <w:rsid w:val="00E13E9C"/>
    <w:rsid w:val="00E14C50"/>
    <w:rsid w:val="00E15754"/>
    <w:rsid w:val="00E15D94"/>
    <w:rsid w:val="00E15E62"/>
    <w:rsid w:val="00E172DF"/>
    <w:rsid w:val="00E200BE"/>
    <w:rsid w:val="00E22612"/>
    <w:rsid w:val="00E22CDA"/>
    <w:rsid w:val="00E22CFC"/>
    <w:rsid w:val="00E2405A"/>
    <w:rsid w:val="00E2415C"/>
    <w:rsid w:val="00E2556A"/>
    <w:rsid w:val="00E26650"/>
    <w:rsid w:val="00E2767C"/>
    <w:rsid w:val="00E307FD"/>
    <w:rsid w:val="00E31849"/>
    <w:rsid w:val="00E31DE3"/>
    <w:rsid w:val="00E3208A"/>
    <w:rsid w:val="00E32348"/>
    <w:rsid w:val="00E328C8"/>
    <w:rsid w:val="00E341F7"/>
    <w:rsid w:val="00E34EAF"/>
    <w:rsid w:val="00E350DE"/>
    <w:rsid w:val="00E3532E"/>
    <w:rsid w:val="00E35DEC"/>
    <w:rsid w:val="00E401DA"/>
    <w:rsid w:val="00E4097D"/>
    <w:rsid w:val="00E41E03"/>
    <w:rsid w:val="00E420F0"/>
    <w:rsid w:val="00E422E7"/>
    <w:rsid w:val="00E42A05"/>
    <w:rsid w:val="00E43E04"/>
    <w:rsid w:val="00E43F15"/>
    <w:rsid w:val="00E44C14"/>
    <w:rsid w:val="00E4712C"/>
    <w:rsid w:val="00E50AE8"/>
    <w:rsid w:val="00E50C91"/>
    <w:rsid w:val="00E5291A"/>
    <w:rsid w:val="00E52DE2"/>
    <w:rsid w:val="00E52F56"/>
    <w:rsid w:val="00E544DC"/>
    <w:rsid w:val="00E546A9"/>
    <w:rsid w:val="00E55282"/>
    <w:rsid w:val="00E5564F"/>
    <w:rsid w:val="00E577B8"/>
    <w:rsid w:val="00E57F1E"/>
    <w:rsid w:val="00E6007A"/>
    <w:rsid w:val="00E602C0"/>
    <w:rsid w:val="00E61971"/>
    <w:rsid w:val="00E62C1E"/>
    <w:rsid w:val="00E63C0A"/>
    <w:rsid w:val="00E67420"/>
    <w:rsid w:val="00E67818"/>
    <w:rsid w:val="00E70851"/>
    <w:rsid w:val="00E70FB4"/>
    <w:rsid w:val="00E71DC9"/>
    <w:rsid w:val="00E726C7"/>
    <w:rsid w:val="00E729FD"/>
    <w:rsid w:val="00E743FD"/>
    <w:rsid w:val="00E7500B"/>
    <w:rsid w:val="00E76E42"/>
    <w:rsid w:val="00E80001"/>
    <w:rsid w:val="00E8142E"/>
    <w:rsid w:val="00E81F17"/>
    <w:rsid w:val="00E82636"/>
    <w:rsid w:val="00E835EA"/>
    <w:rsid w:val="00E84A5F"/>
    <w:rsid w:val="00E84E7E"/>
    <w:rsid w:val="00E85571"/>
    <w:rsid w:val="00E85952"/>
    <w:rsid w:val="00E85E4D"/>
    <w:rsid w:val="00E900DC"/>
    <w:rsid w:val="00E90357"/>
    <w:rsid w:val="00E90CAC"/>
    <w:rsid w:val="00E917E2"/>
    <w:rsid w:val="00E93582"/>
    <w:rsid w:val="00E93D35"/>
    <w:rsid w:val="00E95D83"/>
    <w:rsid w:val="00E9602F"/>
    <w:rsid w:val="00EA000F"/>
    <w:rsid w:val="00EA1327"/>
    <w:rsid w:val="00EA2ADF"/>
    <w:rsid w:val="00EA63BF"/>
    <w:rsid w:val="00EA64F7"/>
    <w:rsid w:val="00EA698C"/>
    <w:rsid w:val="00EA73B4"/>
    <w:rsid w:val="00EA7660"/>
    <w:rsid w:val="00EB0122"/>
    <w:rsid w:val="00EB0794"/>
    <w:rsid w:val="00EB0C51"/>
    <w:rsid w:val="00EB1128"/>
    <w:rsid w:val="00EB1AA8"/>
    <w:rsid w:val="00EB3232"/>
    <w:rsid w:val="00EB37FB"/>
    <w:rsid w:val="00EB4375"/>
    <w:rsid w:val="00EB4613"/>
    <w:rsid w:val="00EB52B0"/>
    <w:rsid w:val="00EB5B0A"/>
    <w:rsid w:val="00EB5FA1"/>
    <w:rsid w:val="00EC1F70"/>
    <w:rsid w:val="00EC21AE"/>
    <w:rsid w:val="00EC260D"/>
    <w:rsid w:val="00EC51E9"/>
    <w:rsid w:val="00EC546F"/>
    <w:rsid w:val="00EC59C9"/>
    <w:rsid w:val="00EC6604"/>
    <w:rsid w:val="00EC76F6"/>
    <w:rsid w:val="00EC7FAB"/>
    <w:rsid w:val="00ED11BF"/>
    <w:rsid w:val="00ED1639"/>
    <w:rsid w:val="00ED1A71"/>
    <w:rsid w:val="00ED271E"/>
    <w:rsid w:val="00ED4224"/>
    <w:rsid w:val="00ED5BA4"/>
    <w:rsid w:val="00ED722E"/>
    <w:rsid w:val="00ED7DF5"/>
    <w:rsid w:val="00EE040D"/>
    <w:rsid w:val="00EE08F6"/>
    <w:rsid w:val="00EE2F1F"/>
    <w:rsid w:val="00EE3151"/>
    <w:rsid w:val="00EE3242"/>
    <w:rsid w:val="00EE427B"/>
    <w:rsid w:val="00EE42F3"/>
    <w:rsid w:val="00EE4544"/>
    <w:rsid w:val="00EE4EC4"/>
    <w:rsid w:val="00EE55B0"/>
    <w:rsid w:val="00EE5CD7"/>
    <w:rsid w:val="00EE5F75"/>
    <w:rsid w:val="00EE6B66"/>
    <w:rsid w:val="00EE7374"/>
    <w:rsid w:val="00EE7B62"/>
    <w:rsid w:val="00EE7C55"/>
    <w:rsid w:val="00EF0FAE"/>
    <w:rsid w:val="00EF2AAB"/>
    <w:rsid w:val="00EF3140"/>
    <w:rsid w:val="00EF3831"/>
    <w:rsid w:val="00EF3D45"/>
    <w:rsid w:val="00EF43A3"/>
    <w:rsid w:val="00EF6241"/>
    <w:rsid w:val="00EF74B1"/>
    <w:rsid w:val="00F00047"/>
    <w:rsid w:val="00F00131"/>
    <w:rsid w:val="00F02C0B"/>
    <w:rsid w:val="00F04048"/>
    <w:rsid w:val="00F045B1"/>
    <w:rsid w:val="00F047B5"/>
    <w:rsid w:val="00F05882"/>
    <w:rsid w:val="00F07397"/>
    <w:rsid w:val="00F07EB0"/>
    <w:rsid w:val="00F10AF3"/>
    <w:rsid w:val="00F10C6E"/>
    <w:rsid w:val="00F1196C"/>
    <w:rsid w:val="00F13370"/>
    <w:rsid w:val="00F13831"/>
    <w:rsid w:val="00F147EC"/>
    <w:rsid w:val="00F149E8"/>
    <w:rsid w:val="00F15657"/>
    <w:rsid w:val="00F15D09"/>
    <w:rsid w:val="00F16568"/>
    <w:rsid w:val="00F16CD1"/>
    <w:rsid w:val="00F1766C"/>
    <w:rsid w:val="00F17BCF"/>
    <w:rsid w:val="00F206BE"/>
    <w:rsid w:val="00F21F86"/>
    <w:rsid w:val="00F22997"/>
    <w:rsid w:val="00F22B3A"/>
    <w:rsid w:val="00F2326C"/>
    <w:rsid w:val="00F236B4"/>
    <w:rsid w:val="00F23A3E"/>
    <w:rsid w:val="00F246E4"/>
    <w:rsid w:val="00F2595C"/>
    <w:rsid w:val="00F25F34"/>
    <w:rsid w:val="00F25F3F"/>
    <w:rsid w:val="00F27E4C"/>
    <w:rsid w:val="00F33475"/>
    <w:rsid w:val="00F3391E"/>
    <w:rsid w:val="00F33F3A"/>
    <w:rsid w:val="00F341DD"/>
    <w:rsid w:val="00F353CF"/>
    <w:rsid w:val="00F35400"/>
    <w:rsid w:val="00F35690"/>
    <w:rsid w:val="00F36E32"/>
    <w:rsid w:val="00F40E5D"/>
    <w:rsid w:val="00F414D1"/>
    <w:rsid w:val="00F417DC"/>
    <w:rsid w:val="00F43327"/>
    <w:rsid w:val="00F444B1"/>
    <w:rsid w:val="00F44E80"/>
    <w:rsid w:val="00F453AA"/>
    <w:rsid w:val="00F4557F"/>
    <w:rsid w:val="00F5042F"/>
    <w:rsid w:val="00F509C5"/>
    <w:rsid w:val="00F50F96"/>
    <w:rsid w:val="00F517F0"/>
    <w:rsid w:val="00F51AA3"/>
    <w:rsid w:val="00F537A1"/>
    <w:rsid w:val="00F545D6"/>
    <w:rsid w:val="00F558B2"/>
    <w:rsid w:val="00F562CB"/>
    <w:rsid w:val="00F5636D"/>
    <w:rsid w:val="00F5656B"/>
    <w:rsid w:val="00F576A4"/>
    <w:rsid w:val="00F57A41"/>
    <w:rsid w:val="00F60F3D"/>
    <w:rsid w:val="00F6118D"/>
    <w:rsid w:val="00F61334"/>
    <w:rsid w:val="00F622EA"/>
    <w:rsid w:val="00F62734"/>
    <w:rsid w:val="00F63026"/>
    <w:rsid w:val="00F63145"/>
    <w:rsid w:val="00F631A4"/>
    <w:rsid w:val="00F63307"/>
    <w:rsid w:val="00F63CDD"/>
    <w:rsid w:val="00F63DE0"/>
    <w:rsid w:val="00F65024"/>
    <w:rsid w:val="00F67A4D"/>
    <w:rsid w:val="00F7073F"/>
    <w:rsid w:val="00F72169"/>
    <w:rsid w:val="00F736B4"/>
    <w:rsid w:val="00F74C91"/>
    <w:rsid w:val="00F754AB"/>
    <w:rsid w:val="00F7626A"/>
    <w:rsid w:val="00F772E3"/>
    <w:rsid w:val="00F80529"/>
    <w:rsid w:val="00F82D95"/>
    <w:rsid w:val="00F833B8"/>
    <w:rsid w:val="00F83719"/>
    <w:rsid w:val="00F84F9A"/>
    <w:rsid w:val="00F8553B"/>
    <w:rsid w:val="00F85A62"/>
    <w:rsid w:val="00F86587"/>
    <w:rsid w:val="00F8662B"/>
    <w:rsid w:val="00F87A96"/>
    <w:rsid w:val="00F87D89"/>
    <w:rsid w:val="00F9057F"/>
    <w:rsid w:val="00F90668"/>
    <w:rsid w:val="00F90937"/>
    <w:rsid w:val="00F91780"/>
    <w:rsid w:val="00F9340F"/>
    <w:rsid w:val="00F93812"/>
    <w:rsid w:val="00F94D71"/>
    <w:rsid w:val="00F94F68"/>
    <w:rsid w:val="00F96277"/>
    <w:rsid w:val="00F96487"/>
    <w:rsid w:val="00F97999"/>
    <w:rsid w:val="00F97C29"/>
    <w:rsid w:val="00FA014F"/>
    <w:rsid w:val="00FA0CEC"/>
    <w:rsid w:val="00FA1BE7"/>
    <w:rsid w:val="00FA2F07"/>
    <w:rsid w:val="00FA3626"/>
    <w:rsid w:val="00FA41AE"/>
    <w:rsid w:val="00FA4610"/>
    <w:rsid w:val="00FA6886"/>
    <w:rsid w:val="00FA7FD3"/>
    <w:rsid w:val="00FB192A"/>
    <w:rsid w:val="00FB4210"/>
    <w:rsid w:val="00FB4248"/>
    <w:rsid w:val="00FB42A4"/>
    <w:rsid w:val="00FB44E1"/>
    <w:rsid w:val="00FB467B"/>
    <w:rsid w:val="00FB474F"/>
    <w:rsid w:val="00FB510D"/>
    <w:rsid w:val="00FB54BC"/>
    <w:rsid w:val="00FB5600"/>
    <w:rsid w:val="00FB56C8"/>
    <w:rsid w:val="00FB5F6E"/>
    <w:rsid w:val="00FB63EE"/>
    <w:rsid w:val="00FB74BA"/>
    <w:rsid w:val="00FB78BC"/>
    <w:rsid w:val="00FC0556"/>
    <w:rsid w:val="00FC05FE"/>
    <w:rsid w:val="00FC103D"/>
    <w:rsid w:val="00FC11F2"/>
    <w:rsid w:val="00FC1695"/>
    <w:rsid w:val="00FC5C61"/>
    <w:rsid w:val="00FC6304"/>
    <w:rsid w:val="00FD09E0"/>
    <w:rsid w:val="00FD14E0"/>
    <w:rsid w:val="00FD223E"/>
    <w:rsid w:val="00FD3F62"/>
    <w:rsid w:val="00FD458E"/>
    <w:rsid w:val="00FD5921"/>
    <w:rsid w:val="00FD5A86"/>
    <w:rsid w:val="00FD6697"/>
    <w:rsid w:val="00FD7B3B"/>
    <w:rsid w:val="00FE1768"/>
    <w:rsid w:val="00FE28A6"/>
    <w:rsid w:val="00FE3184"/>
    <w:rsid w:val="00FE36CC"/>
    <w:rsid w:val="00FE419D"/>
    <w:rsid w:val="00FE5521"/>
    <w:rsid w:val="00FE6108"/>
    <w:rsid w:val="00FE61E8"/>
    <w:rsid w:val="00FE6E39"/>
    <w:rsid w:val="00FE75D2"/>
    <w:rsid w:val="00FF0075"/>
    <w:rsid w:val="00FF1E29"/>
    <w:rsid w:val="00FF230A"/>
    <w:rsid w:val="00FF2B44"/>
    <w:rsid w:val="00FF314E"/>
    <w:rsid w:val="00FF3230"/>
    <w:rsid w:val="00FF38C0"/>
    <w:rsid w:val="00FF571E"/>
    <w:rsid w:val="00FF58D2"/>
    <w:rsid w:val="00FF5EA4"/>
    <w:rsid w:val="00FF604B"/>
    <w:rsid w:val="00FF66D5"/>
    <w:rsid w:val="00FF6C8C"/>
    <w:rsid w:val="00FF6CB8"/>
    <w:rsid w:val="00FF797A"/>
    <w:rsid w:val="00FF7BFF"/>
    <w:rsid w:val="015E4EF9"/>
    <w:rsid w:val="04597D78"/>
    <w:rsid w:val="075BF6C4"/>
    <w:rsid w:val="09B0B17A"/>
    <w:rsid w:val="0B85D88E"/>
    <w:rsid w:val="0E53FBD8"/>
    <w:rsid w:val="0F68FA6C"/>
    <w:rsid w:val="106C3163"/>
    <w:rsid w:val="10A6CD58"/>
    <w:rsid w:val="10D6B820"/>
    <w:rsid w:val="1240BC3C"/>
    <w:rsid w:val="16355D5F"/>
    <w:rsid w:val="1B8455E6"/>
    <w:rsid w:val="1C6E2202"/>
    <w:rsid w:val="21A11A43"/>
    <w:rsid w:val="233AE039"/>
    <w:rsid w:val="236A394D"/>
    <w:rsid w:val="2A31B794"/>
    <w:rsid w:val="3156AF7E"/>
    <w:rsid w:val="3170CD87"/>
    <w:rsid w:val="324DDDED"/>
    <w:rsid w:val="38CEEAF5"/>
    <w:rsid w:val="3C42639A"/>
    <w:rsid w:val="4822ADE1"/>
    <w:rsid w:val="4840D105"/>
    <w:rsid w:val="4B10E932"/>
    <w:rsid w:val="4E216F41"/>
    <w:rsid w:val="4EABCDF7"/>
    <w:rsid w:val="4F42B64A"/>
    <w:rsid w:val="501DAB4D"/>
    <w:rsid w:val="50AAB5D9"/>
    <w:rsid w:val="516577DD"/>
    <w:rsid w:val="5C4E5DC2"/>
    <w:rsid w:val="5D26A16F"/>
    <w:rsid w:val="5D36F2DA"/>
    <w:rsid w:val="5D563FC1"/>
    <w:rsid w:val="5FA3C7A9"/>
    <w:rsid w:val="605225D2"/>
    <w:rsid w:val="62C4E73D"/>
    <w:rsid w:val="62D59086"/>
    <w:rsid w:val="6493428F"/>
    <w:rsid w:val="68DCBA67"/>
    <w:rsid w:val="69748A16"/>
    <w:rsid w:val="6E3E09B2"/>
    <w:rsid w:val="70252C42"/>
    <w:rsid w:val="731A6F44"/>
    <w:rsid w:val="747D6398"/>
    <w:rsid w:val="767AD1E7"/>
    <w:rsid w:val="7701F8EC"/>
    <w:rsid w:val="77EDE067"/>
    <w:rsid w:val="7AEAEF9D"/>
    <w:rsid w:val="7D52B55D"/>
    <w:rsid w:val="7DCB11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89652B"/>
  <w15:docId w15:val="{D8A94849-70F2-4A3B-B1FF-14DC373F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0E"/>
    <w:rPr>
      <w:rFonts w:eastAsiaTheme="minorEastAsia"/>
      <w:lang w:eastAsia="zh-CN"/>
    </w:rPr>
  </w:style>
  <w:style w:type="paragraph" w:styleId="Heading1">
    <w:name w:val="heading 1"/>
    <w:basedOn w:val="Normal"/>
    <w:next w:val="Normal"/>
    <w:link w:val="Heading1Char"/>
    <w:uiPriority w:val="9"/>
    <w:qFormat/>
    <w:rsid w:val="00A942AA"/>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54E1"/>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00B6"/>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0001"/>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0001"/>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0001"/>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001"/>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0001"/>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001"/>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200E"/>
    <w:rPr>
      <w:sz w:val="16"/>
      <w:szCs w:val="16"/>
    </w:rPr>
  </w:style>
  <w:style w:type="paragraph" w:styleId="CommentText">
    <w:name w:val="annotation text"/>
    <w:basedOn w:val="Normal"/>
    <w:link w:val="CommentTextChar"/>
    <w:uiPriority w:val="99"/>
    <w:unhideWhenUsed/>
    <w:rsid w:val="0073200E"/>
    <w:rPr>
      <w:sz w:val="20"/>
      <w:szCs w:val="20"/>
    </w:rPr>
  </w:style>
  <w:style w:type="character" w:customStyle="1" w:styleId="CommentTextChar">
    <w:name w:val="Comment Text Char"/>
    <w:basedOn w:val="DefaultParagraphFont"/>
    <w:link w:val="CommentText"/>
    <w:uiPriority w:val="99"/>
    <w:rsid w:val="0073200E"/>
    <w:rPr>
      <w:rFonts w:eastAsiaTheme="minorEastAsia"/>
      <w:sz w:val="20"/>
      <w:szCs w:val="20"/>
      <w:lang w:eastAsia="zh-CN"/>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3200E"/>
    <w:pPr>
      <w:ind w:left="720"/>
      <w:contextualSpacing/>
    </w:pPr>
  </w:style>
  <w:style w:type="table" w:styleId="TableGrid">
    <w:name w:val="Table Grid"/>
    <w:basedOn w:val="TableNormal"/>
    <w:uiPriority w:val="59"/>
    <w:rsid w:val="0073200E"/>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00E"/>
    <w:pPr>
      <w:tabs>
        <w:tab w:val="center" w:pos="4513"/>
        <w:tab w:val="right" w:pos="9026"/>
      </w:tabs>
    </w:pPr>
  </w:style>
  <w:style w:type="character" w:customStyle="1" w:styleId="HeaderChar">
    <w:name w:val="Header Char"/>
    <w:basedOn w:val="DefaultParagraphFont"/>
    <w:link w:val="Header"/>
    <w:uiPriority w:val="99"/>
    <w:rsid w:val="0073200E"/>
    <w:rPr>
      <w:rFonts w:eastAsiaTheme="minorEastAsia"/>
      <w:lang w:eastAsia="zh-CN"/>
    </w:rPr>
  </w:style>
  <w:style w:type="paragraph" w:styleId="Footer">
    <w:name w:val="footer"/>
    <w:basedOn w:val="Normal"/>
    <w:link w:val="FooterChar"/>
    <w:uiPriority w:val="99"/>
    <w:unhideWhenUsed/>
    <w:rsid w:val="0073200E"/>
    <w:pPr>
      <w:tabs>
        <w:tab w:val="center" w:pos="4513"/>
        <w:tab w:val="right" w:pos="9026"/>
      </w:tabs>
    </w:pPr>
  </w:style>
  <w:style w:type="character" w:customStyle="1" w:styleId="FooterChar">
    <w:name w:val="Footer Char"/>
    <w:basedOn w:val="DefaultParagraphFont"/>
    <w:link w:val="Footer"/>
    <w:uiPriority w:val="99"/>
    <w:rsid w:val="0073200E"/>
    <w:rPr>
      <w:rFonts w:eastAsiaTheme="minorEastAsia"/>
      <w:lang w:eastAsia="zh-CN"/>
    </w:rPr>
  </w:style>
  <w:style w:type="character" w:styleId="Hyperlink">
    <w:name w:val="Hyperlink"/>
    <w:basedOn w:val="DefaultParagraphFont"/>
    <w:uiPriority w:val="99"/>
    <w:unhideWhenUsed/>
    <w:rsid w:val="0073200E"/>
    <w:rPr>
      <w:color w:val="0000FF" w:themeColor="hyperlink"/>
      <w:u w:val="single"/>
    </w:rPr>
  </w:style>
  <w:style w:type="paragraph" w:styleId="BalloonText">
    <w:name w:val="Balloon Text"/>
    <w:basedOn w:val="Normal"/>
    <w:link w:val="BalloonTextChar"/>
    <w:uiPriority w:val="99"/>
    <w:semiHidden/>
    <w:unhideWhenUsed/>
    <w:rsid w:val="0073200E"/>
    <w:rPr>
      <w:rFonts w:ascii="Tahoma" w:hAnsi="Tahoma" w:cs="Tahoma"/>
      <w:sz w:val="16"/>
      <w:szCs w:val="16"/>
    </w:rPr>
  </w:style>
  <w:style w:type="character" w:customStyle="1" w:styleId="BalloonTextChar">
    <w:name w:val="Balloon Text Char"/>
    <w:basedOn w:val="DefaultParagraphFont"/>
    <w:link w:val="BalloonText"/>
    <w:uiPriority w:val="99"/>
    <w:semiHidden/>
    <w:rsid w:val="0073200E"/>
    <w:rPr>
      <w:rFonts w:ascii="Tahoma" w:eastAsiaTheme="minorEastAsia" w:hAnsi="Tahoma" w:cs="Tahoma"/>
      <w:sz w:val="16"/>
      <w:szCs w:val="16"/>
      <w:lang w:eastAsia="zh-CN"/>
    </w:rPr>
  </w:style>
  <w:style w:type="paragraph" w:styleId="NoSpacing">
    <w:name w:val="No Spacing"/>
    <w:uiPriority w:val="1"/>
    <w:qFormat/>
    <w:rsid w:val="00F21F86"/>
    <w:rPr>
      <w:rFonts w:eastAsiaTheme="minorEastAsia"/>
      <w:lang w:eastAsia="zh-CN"/>
    </w:rPr>
  </w:style>
  <w:style w:type="character" w:styleId="FootnoteReference">
    <w:name w:val="footnote reference"/>
    <w:aliases w:val="Footnote Refernece,Fußnotenzeichen_Raxen,callout,Footnote Reference Number,BVI fnr,Footnote Reference Superscript, BVI fnr,4_G,Nota al pie,Appel note de bas de page,FZ,Texto de nota al pie,a Footnote Reference"/>
    <w:basedOn w:val="DefaultParagraphFont"/>
    <w:unhideWhenUsed/>
    <w:qFormat/>
    <w:rsid w:val="00253E99"/>
    <w:rPr>
      <w:vertAlign w:val="superscript"/>
    </w:rPr>
  </w:style>
  <w:style w:type="paragraph" w:styleId="PlainText">
    <w:name w:val="Plain Text"/>
    <w:basedOn w:val="Normal"/>
    <w:link w:val="PlainTextChar"/>
    <w:uiPriority w:val="99"/>
    <w:unhideWhenUsed/>
    <w:rsid w:val="00253E99"/>
    <w:rPr>
      <w:rFonts w:ascii="Calibri" w:hAnsi="Calibri"/>
      <w:szCs w:val="21"/>
    </w:rPr>
  </w:style>
  <w:style w:type="character" w:customStyle="1" w:styleId="PlainTextChar">
    <w:name w:val="Plain Text Char"/>
    <w:basedOn w:val="DefaultParagraphFont"/>
    <w:link w:val="PlainText"/>
    <w:uiPriority w:val="99"/>
    <w:rsid w:val="00253E99"/>
    <w:rPr>
      <w:rFonts w:ascii="Calibri" w:eastAsiaTheme="minorEastAsia" w:hAnsi="Calibri"/>
      <w:szCs w:val="21"/>
      <w:lang w:eastAsia="zh-CN"/>
    </w:rPr>
  </w:style>
  <w:style w:type="paragraph" w:styleId="CommentSubject">
    <w:name w:val="annotation subject"/>
    <w:basedOn w:val="CommentText"/>
    <w:next w:val="CommentText"/>
    <w:link w:val="CommentSubjectChar"/>
    <w:uiPriority w:val="99"/>
    <w:semiHidden/>
    <w:unhideWhenUsed/>
    <w:rsid w:val="00253E99"/>
    <w:rPr>
      <w:b/>
      <w:bCs/>
    </w:rPr>
  </w:style>
  <w:style w:type="character" w:customStyle="1" w:styleId="CommentSubjectChar">
    <w:name w:val="Comment Subject Char"/>
    <w:basedOn w:val="CommentTextChar"/>
    <w:link w:val="CommentSubject"/>
    <w:uiPriority w:val="99"/>
    <w:semiHidden/>
    <w:rsid w:val="00253E99"/>
    <w:rPr>
      <w:rFonts w:eastAsiaTheme="minorEastAsia"/>
      <w:b/>
      <w:bCs/>
      <w:sz w:val="20"/>
      <w:szCs w:val="20"/>
      <w:lang w:eastAsia="zh-CN"/>
    </w:rPr>
  </w:style>
  <w:style w:type="paragraph" w:customStyle="1" w:styleId="Default">
    <w:name w:val="Default"/>
    <w:rsid w:val="008666C0"/>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0D72EB"/>
    <w:rPr>
      <w:rFonts w:eastAsiaTheme="minorEastAsia"/>
      <w:lang w:eastAsia="zh-CN"/>
    </w:rPr>
  </w:style>
  <w:style w:type="paragraph" w:styleId="NormalWeb">
    <w:name w:val="Normal (Web)"/>
    <w:basedOn w:val="Normal"/>
    <w:uiPriority w:val="99"/>
    <w:unhideWhenUsed/>
    <w:rsid w:val="00833721"/>
    <w:rPr>
      <w:rFonts w:ascii="Times New Roman" w:hAnsi="Times New Roman" w:cs="Times New Roman"/>
      <w:sz w:val="24"/>
      <w:szCs w:val="24"/>
      <w:lang w:val="en-US"/>
    </w:rPr>
  </w:style>
  <w:style w:type="paragraph" w:customStyle="1" w:styleId="Body">
    <w:name w:val="Body"/>
    <w:rsid w:val="00E0048D"/>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 w:type="character" w:customStyle="1" w:styleId="normaltextrun">
    <w:name w:val="normaltextrun"/>
    <w:basedOn w:val="DefaultParagraphFont"/>
    <w:rsid w:val="00E70FB4"/>
  </w:style>
  <w:style w:type="character" w:customStyle="1" w:styleId="eop">
    <w:name w:val="eop"/>
    <w:basedOn w:val="DefaultParagraphFont"/>
    <w:rsid w:val="00E70FB4"/>
  </w:style>
  <w:style w:type="paragraph" w:styleId="FootnoteText">
    <w:name w:val="footnote text"/>
    <w:basedOn w:val="Normal"/>
    <w:link w:val="FootnoteTextChar"/>
    <w:unhideWhenUsed/>
    <w:rsid w:val="00EC51E9"/>
    <w:pPr>
      <w:jc w:val="both"/>
    </w:pPr>
    <w:rPr>
      <w:rFonts w:eastAsiaTheme="minorHAnsi"/>
      <w:sz w:val="20"/>
      <w:szCs w:val="20"/>
      <w:lang w:eastAsia="en-US"/>
    </w:rPr>
  </w:style>
  <w:style w:type="character" w:customStyle="1" w:styleId="FootnoteTextChar">
    <w:name w:val="Footnote Text Char"/>
    <w:basedOn w:val="DefaultParagraphFont"/>
    <w:link w:val="FootnoteText"/>
    <w:rsid w:val="00EC51E9"/>
    <w:rPr>
      <w:sz w:val="20"/>
      <w:szCs w:val="20"/>
    </w:rPr>
  </w:style>
  <w:style w:type="paragraph" w:styleId="Revision">
    <w:name w:val="Revision"/>
    <w:hidden/>
    <w:uiPriority w:val="99"/>
    <w:semiHidden/>
    <w:rsid w:val="009C5532"/>
    <w:rPr>
      <w:rFonts w:eastAsiaTheme="minorEastAsia"/>
      <w:lang w:eastAsia="zh-CN"/>
    </w:rPr>
  </w:style>
  <w:style w:type="paragraph" w:customStyle="1" w:styleId="SpeechTemplate">
    <w:name w:val="Speech Template"/>
    <w:basedOn w:val="Normal"/>
    <w:link w:val="SpeechTemplateChar"/>
    <w:qFormat/>
    <w:rsid w:val="00E55282"/>
    <w:rPr>
      <w:b/>
      <w:sz w:val="28"/>
      <w:szCs w:val="28"/>
    </w:rPr>
  </w:style>
  <w:style w:type="paragraph" w:customStyle="1" w:styleId="SpeechTemplate1">
    <w:name w:val="Speech Template 1"/>
    <w:basedOn w:val="SpeechTemplate"/>
    <w:link w:val="SpeechTemplate1Char"/>
    <w:qFormat/>
    <w:rsid w:val="00E55282"/>
  </w:style>
  <w:style w:type="character" w:customStyle="1" w:styleId="SpeechTemplateChar">
    <w:name w:val="Speech Template Char"/>
    <w:basedOn w:val="DefaultParagraphFont"/>
    <w:link w:val="SpeechTemplate"/>
    <w:rsid w:val="00E55282"/>
    <w:rPr>
      <w:rFonts w:eastAsiaTheme="minorEastAsia"/>
      <w:b/>
      <w:sz w:val="28"/>
      <w:szCs w:val="28"/>
      <w:lang w:eastAsia="zh-CN"/>
    </w:rPr>
  </w:style>
  <w:style w:type="paragraph" w:customStyle="1" w:styleId="SpeechBodyStyle">
    <w:name w:val="Speech Body Style"/>
    <w:basedOn w:val="SpeechTemplate1"/>
    <w:link w:val="SpeechBodyStyleChar"/>
    <w:qFormat/>
    <w:rsid w:val="00E85571"/>
    <w:rPr>
      <w:b w:val="0"/>
    </w:rPr>
  </w:style>
  <w:style w:type="character" w:customStyle="1" w:styleId="SpeechTemplate1Char">
    <w:name w:val="Speech Template 1 Char"/>
    <w:basedOn w:val="SpeechTemplateChar"/>
    <w:link w:val="SpeechTemplate1"/>
    <w:rsid w:val="00E55282"/>
    <w:rPr>
      <w:rFonts w:eastAsiaTheme="minorEastAsia"/>
      <w:b/>
      <w:sz w:val="28"/>
      <w:szCs w:val="28"/>
      <w:lang w:eastAsia="zh-CN"/>
    </w:rPr>
  </w:style>
  <w:style w:type="character" w:customStyle="1" w:styleId="SpeechBodyStyleChar">
    <w:name w:val="Speech Body Style Char"/>
    <w:basedOn w:val="SpeechTemplate1Char"/>
    <w:link w:val="SpeechBodyStyle"/>
    <w:rsid w:val="00E85571"/>
    <w:rPr>
      <w:rFonts w:eastAsiaTheme="minorEastAsia"/>
      <w:b w:val="0"/>
      <w:sz w:val="28"/>
      <w:szCs w:val="28"/>
      <w:lang w:eastAsia="zh-CN"/>
    </w:rPr>
  </w:style>
  <w:style w:type="character" w:styleId="FollowedHyperlink">
    <w:name w:val="FollowedHyperlink"/>
    <w:basedOn w:val="DefaultParagraphFont"/>
    <w:uiPriority w:val="99"/>
    <w:semiHidden/>
    <w:unhideWhenUsed/>
    <w:rsid w:val="00C11837"/>
    <w:rPr>
      <w:color w:val="800080" w:themeColor="followedHyperlink"/>
      <w:u w:val="single"/>
    </w:rPr>
  </w:style>
  <w:style w:type="character" w:styleId="UnresolvedMention">
    <w:name w:val="Unresolved Mention"/>
    <w:basedOn w:val="DefaultParagraphFont"/>
    <w:uiPriority w:val="99"/>
    <w:semiHidden/>
    <w:unhideWhenUsed/>
    <w:rsid w:val="003874BA"/>
    <w:rPr>
      <w:color w:val="605E5C"/>
      <w:shd w:val="clear" w:color="auto" w:fill="E1DFDD"/>
    </w:rPr>
  </w:style>
  <w:style w:type="character" w:customStyle="1" w:styleId="Heading3Char">
    <w:name w:val="Heading 3 Char"/>
    <w:basedOn w:val="DefaultParagraphFont"/>
    <w:link w:val="Heading3"/>
    <w:uiPriority w:val="9"/>
    <w:semiHidden/>
    <w:rsid w:val="000800B6"/>
    <w:rPr>
      <w:rFonts w:asciiTheme="majorHAnsi" w:eastAsiaTheme="majorEastAsia" w:hAnsiTheme="majorHAnsi" w:cstheme="majorBidi"/>
      <w:color w:val="243F60" w:themeColor="accent1" w:themeShade="7F"/>
      <w:sz w:val="24"/>
      <w:szCs w:val="24"/>
      <w:lang w:eastAsia="zh-CN"/>
    </w:rPr>
  </w:style>
  <w:style w:type="character" w:customStyle="1" w:styleId="Heading2Char">
    <w:name w:val="Heading 2 Char"/>
    <w:basedOn w:val="DefaultParagraphFont"/>
    <w:link w:val="Heading2"/>
    <w:uiPriority w:val="9"/>
    <w:semiHidden/>
    <w:rsid w:val="005B54E1"/>
    <w:rPr>
      <w:rFonts w:asciiTheme="majorHAnsi" w:eastAsiaTheme="majorEastAsia" w:hAnsiTheme="majorHAnsi" w:cstheme="majorBidi"/>
      <w:color w:val="365F91" w:themeColor="accent1" w:themeShade="BF"/>
      <w:sz w:val="26"/>
      <w:szCs w:val="26"/>
      <w:lang w:eastAsia="zh-CN"/>
    </w:rPr>
  </w:style>
  <w:style w:type="character" w:customStyle="1" w:styleId="Heading1Char">
    <w:name w:val="Heading 1 Char"/>
    <w:basedOn w:val="DefaultParagraphFont"/>
    <w:link w:val="Heading1"/>
    <w:uiPriority w:val="9"/>
    <w:rsid w:val="00A942AA"/>
    <w:rPr>
      <w:rFonts w:asciiTheme="majorHAnsi" w:eastAsiaTheme="majorEastAsia" w:hAnsiTheme="majorHAnsi" w:cstheme="majorBidi"/>
      <w:color w:val="365F91" w:themeColor="accent1" w:themeShade="BF"/>
      <w:sz w:val="32"/>
      <w:szCs w:val="32"/>
      <w:lang w:eastAsia="zh-CN"/>
    </w:rPr>
  </w:style>
  <w:style w:type="character" w:styleId="Strong">
    <w:name w:val="Strong"/>
    <w:basedOn w:val="DefaultParagraphFont"/>
    <w:uiPriority w:val="22"/>
    <w:qFormat/>
    <w:rsid w:val="0041272A"/>
    <w:rPr>
      <w:b/>
      <w:bCs/>
    </w:rPr>
  </w:style>
  <w:style w:type="character" w:styleId="Emphasis">
    <w:name w:val="Emphasis"/>
    <w:basedOn w:val="DefaultParagraphFont"/>
    <w:uiPriority w:val="20"/>
    <w:qFormat/>
    <w:rsid w:val="0041272A"/>
    <w:rPr>
      <w:i/>
      <w:iCs/>
    </w:rPr>
  </w:style>
  <w:style w:type="paragraph" w:customStyle="1" w:styleId="xmsolistparagraph">
    <w:name w:val="x_msolistparagraph"/>
    <w:basedOn w:val="Normal"/>
    <w:rsid w:val="00000A6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000A6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000A6B"/>
  </w:style>
  <w:style w:type="character" w:customStyle="1" w:styleId="download-meta-data">
    <w:name w:val="download-meta-data"/>
    <w:basedOn w:val="DefaultParagraphFont"/>
    <w:rsid w:val="005671F9"/>
  </w:style>
  <w:style w:type="paragraph" w:customStyle="1" w:styleId="xmsonospacing">
    <w:name w:val="x_msonospacing"/>
    <w:basedOn w:val="Normal"/>
    <w:rsid w:val="00121BBD"/>
    <w:rPr>
      <w:rFonts w:ascii="Calibri" w:eastAsiaTheme="minorHAnsi" w:hAnsi="Calibri" w:cs="Calibri"/>
      <w:lang w:val="en-US" w:eastAsia="en-US"/>
    </w:rPr>
  </w:style>
  <w:style w:type="character" w:customStyle="1" w:styleId="title-text">
    <w:name w:val="title-text"/>
    <w:basedOn w:val="DefaultParagraphFont"/>
    <w:rsid w:val="00A119CF"/>
  </w:style>
  <w:style w:type="paragraph" w:customStyle="1" w:styleId="paragraph">
    <w:name w:val="paragraph"/>
    <w:basedOn w:val="Normal"/>
    <w:rsid w:val="00016EB9"/>
    <w:pPr>
      <w:spacing w:before="100" w:beforeAutospacing="1" w:after="100" w:afterAutospacing="1"/>
    </w:pPr>
    <w:rPr>
      <w:rFonts w:ascii="Times New Roman" w:eastAsia="Times New Roman" w:hAnsi="Times New Roman" w:cs="Times New Roman"/>
      <w:sz w:val="24"/>
      <w:szCs w:val="24"/>
      <w:lang w:val="en-AU" w:eastAsia="en-GB"/>
    </w:rPr>
  </w:style>
  <w:style w:type="paragraph" w:customStyle="1" w:styleId="xdefault">
    <w:name w:val="x_default"/>
    <w:basedOn w:val="Normal"/>
    <w:rsid w:val="00CE463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E80001"/>
    <w:rPr>
      <w:rFonts w:asciiTheme="majorHAnsi" w:eastAsiaTheme="majorEastAsia" w:hAnsiTheme="majorHAnsi" w:cstheme="majorBidi"/>
      <w:i/>
      <w:iCs/>
      <w:color w:val="365F91" w:themeColor="accent1" w:themeShade="BF"/>
      <w:lang w:eastAsia="zh-CN"/>
    </w:rPr>
  </w:style>
  <w:style w:type="character" w:customStyle="1" w:styleId="Heading5Char">
    <w:name w:val="Heading 5 Char"/>
    <w:basedOn w:val="DefaultParagraphFont"/>
    <w:link w:val="Heading5"/>
    <w:uiPriority w:val="9"/>
    <w:semiHidden/>
    <w:rsid w:val="00E80001"/>
    <w:rPr>
      <w:rFonts w:asciiTheme="majorHAnsi" w:eastAsiaTheme="majorEastAsia" w:hAnsiTheme="majorHAnsi" w:cstheme="majorBidi"/>
      <w:color w:val="365F91" w:themeColor="accent1" w:themeShade="BF"/>
      <w:lang w:eastAsia="zh-CN"/>
    </w:rPr>
  </w:style>
  <w:style w:type="character" w:customStyle="1" w:styleId="Heading6Char">
    <w:name w:val="Heading 6 Char"/>
    <w:basedOn w:val="DefaultParagraphFont"/>
    <w:link w:val="Heading6"/>
    <w:uiPriority w:val="9"/>
    <w:semiHidden/>
    <w:rsid w:val="00E80001"/>
    <w:rPr>
      <w:rFonts w:asciiTheme="majorHAnsi" w:eastAsiaTheme="majorEastAsia" w:hAnsiTheme="majorHAnsi" w:cstheme="majorBidi"/>
      <w:color w:val="243F60" w:themeColor="accent1" w:themeShade="7F"/>
      <w:lang w:eastAsia="zh-CN"/>
    </w:rPr>
  </w:style>
  <w:style w:type="character" w:customStyle="1" w:styleId="Heading7Char">
    <w:name w:val="Heading 7 Char"/>
    <w:basedOn w:val="DefaultParagraphFont"/>
    <w:link w:val="Heading7"/>
    <w:uiPriority w:val="9"/>
    <w:semiHidden/>
    <w:rsid w:val="00E80001"/>
    <w:rPr>
      <w:rFonts w:asciiTheme="majorHAnsi" w:eastAsiaTheme="majorEastAsia" w:hAnsiTheme="majorHAnsi" w:cstheme="majorBidi"/>
      <w:i/>
      <w:iCs/>
      <w:color w:val="243F60" w:themeColor="accent1" w:themeShade="7F"/>
      <w:lang w:eastAsia="zh-CN"/>
    </w:rPr>
  </w:style>
  <w:style w:type="character" w:customStyle="1" w:styleId="Heading8Char">
    <w:name w:val="Heading 8 Char"/>
    <w:basedOn w:val="DefaultParagraphFont"/>
    <w:link w:val="Heading8"/>
    <w:uiPriority w:val="9"/>
    <w:semiHidden/>
    <w:rsid w:val="00E80001"/>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80001"/>
    <w:rPr>
      <w:rFonts w:asciiTheme="majorHAnsi" w:eastAsiaTheme="majorEastAsia" w:hAnsiTheme="majorHAnsi" w:cstheme="majorBidi"/>
      <w:i/>
      <w:iCs/>
      <w:color w:val="272727" w:themeColor="text1" w:themeTint="D8"/>
      <w:sz w:val="21"/>
      <w:szCs w:val="21"/>
      <w:lang w:eastAsia="zh-CN"/>
    </w:rPr>
  </w:style>
  <w:style w:type="character" w:customStyle="1" w:styleId="markedcontent">
    <w:name w:val="markedcontent"/>
    <w:basedOn w:val="DefaultParagraphFont"/>
    <w:rsid w:val="008F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866">
      <w:bodyDiv w:val="1"/>
      <w:marLeft w:val="0"/>
      <w:marRight w:val="0"/>
      <w:marTop w:val="0"/>
      <w:marBottom w:val="0"/>
      <w:divBdr>
        <w:top w:val="none" w:sz="0" w:space="0" w:color="auto"/>
        <w:left w:val="none" w:sz="0" w:space="0" w:color="auto"/>
        <w:bottom w:val="none" w:sz="0" w:space="0" w:color="auto"/>
        <w:right w:val="none" w:sz="0" w:space="0" w:color="auto"/>
      </w:divBdr>
      <w:divsChild>
        <w:div w:id="1065685196">
          <w:marLeft w:val="547"/>
          <w:marRight w:val="0"/>
          <w:marTop w:val="120"/>
          <w:marBottom w:val="0"/>
          <w:divBdr>
            <w:top w:val="none" w:sz="0" w:space="0" w:color="auto"/>
            <w:left w:val="none" w:sz="0" w:space="0" w:color="auto"/>
            <w:bottom w:val="none" w:sz="0" w:space="0" w:color="auto"/>
            <w:right w:val="none" w:sz="0" w:space="0" w:color="auto"/>
          </w:divBdr>
        </w:div>
      </w:divsChild>
    </w:div>
    <w:div w:id="54477790">
      <w:bodyDiv w:val="1"/>
      <w:marLeft w:val="0"/>
      <w:marRight w:val="0"/>
      <w:marTop w:val="0"/>
      <w:marBottom w:val="0"/>
      <w:divBdr>
        <w:top w:val="none" w:sz="0" w:space="0" w:color="auto"/>
        <w:left w:val="none" w:sz="0" w:space="0" w:color="auto"/>
        <w:bottom w:val="none" w:sz="0" w:space="0" w:color="auto"/>
        <w:right w:val="none" w:sz="0" w:space="0" w:color="auto"/>
      </w:divBdr>
    </w:div>
    <w:div w:id="86194885">
      <w:bodyDiv w:val="1"/>
      <w:marLeft w:val="0"/>
      <w:marRight w:val="0"/>
      <w:marTop w:val="0"/>
      <w:marBottom w:val="0"/>
      <w:divBdr>
        <w:top w:val="none" w:sz="0" w:space="0" w:color="auto"/>
        <w:left w:val="none" w:sz="0" w:space="0" w:color="auto"/>
        <w:bottom w:val="none" w:sz="0" w:space="0" w:color="auto"/>
        <w:right w:val="none" w:sz="0" w:space="0" w:color="auto"/>
      </w:divBdr>
    </w:div>
    <w:div w:id="99843613">
      <w:bodyDiv w:val="1"/>
      <w:marLeft w:val="0"/>
      <w:marRight w:val="0"/>
      <w:marTop w:val="0"/>
      <w:marBottom w:val="0"/>
      <w:divBdr>
        <w:top w:val="none" w:sz="0" w:space="0" w:color="auto"/>
        <w:left w:val="none" w:sz="0" w:space="0" w:color="auto"/>
        <w:bottom w:val="none" w:sz="0" w:space="0" w:color="auto"/>
        <w:right w:val="none" w:sz="0" w:space="0" w:color="auto"/>
      </w:divBdr>
    </w:div>
    <w:div w:id="112943366">
      <w:bodyDiv w:val="1"/>
      <w:marLeft w:val="0"/>
      <w:marRight w:val="0"/>
      <w:marTop w:val="0"/>
      <w:marBottom w:val="0"/>
      <w:divBdr>
        <w:top w:val="none" w:sz="0" w:space="0" w:color="auto"/>
        <w:left w:val="none" w:sz="0" w:space="0" w:color="auto"/>
        <w:bottom w:val="none" w:sz="0" w:space="0" w:color="auto"/>
        <w:right w:val="none" w:sz="0" w:space="0" w:color="auto"/>
      </w:divBdr>
    </w:div>
    <w:div w:id="126164966">
      <w:bodyDiv w:val="1"/>
      <w:marLeft w:val="0"/>
      <w:marRight w:val="0"/>
      <w:marTop w:val="0"/>
      <w:marBottom w:val="0"/>
      <w:divBdr>
        <w:top w:val="none" w:sz="0" w:space="0" w:color="auto"/>
        <w:left w:val="none" w:sz="0" w:space="0" w:color="auto"/>
        <w:bottom w:val="none" w:sz="0" w:space="0" w:color="auto"/>
        <w:right w:val="none" w:sz="0" w:space="0" w:color="auto"/>
      </w:divBdr>
    </w:div>
    <w:div w:id="139687625">
      <w:bodyDiv w:val="1"/>
      <w:marLeft w:val="0"/>
      <w:marRight w:val="0"/>
      <w:marTop w:val="0"/>
      <w:marBottom w:val="0"/>
      <w:divBdr>
        <w:top w:val="none" w:sz="0" w:space="0" w:color="auto"/>
        <w:left w:val="none" w:sz="0" w:space="0" w:color="auto"/>
        <w:bottom w:val="none" w:sz="0" w:space="0" w:color="auto"/>
        <w:right w:val="none" w:sz="0" w:space="0" w:color="auto"/>
      </w:divBdr>
    </w:div>
    <w:div w:id="152986153">
      <w:bodyDiv w:val="1"/>
      <w:marLeft w:val="0"/>
      <w:marRight w:val="0"/>
      <w:marTop w:val="0"/>
      <w:marBottom w:val="0"/>
      <w:divBdr>
        <w:top w:val="none" w:sz="0" w:space="0" w:color="auto"/>
        <w:left w:val="none" w:sz="0" w:space="0" w:color="auto"/>
        <w:bottom w:val="none" w:sz="0" w:space="0" w:color="auto"/>
        <w:right w:val="none" w:sz="0" w:space="0" w:color="auto"/>
      </w:divBdr>
    </w:div>
    <w:div w:id="154104087">
      <w:bodyDiv w:val="1"/>
      <w:marLeft w:val="0"/>
      <w:marRight w:val="0"/>
      <w:marTop w:val="0"/>
      <w:marBottom w:val="0"/>
      <w:divBdr>
        <w:top w:val="none" w:sz="0" w:space="0" w:color="auto"/>
        <w:left w:val="none" w:sz="0" w:space="0" w:color="auto"/>
        <w:bottom w:val="none" w:sz="0" w:space="0" w:color="auto"/>
        <w:right w:val="none" w:sz="0" w:space="0" w:color="auto"/>
      </w:divBdr>
    </w:div>
    <w:div w:id="189683373">
      <w:bodyDiv w:val="1"/>
      <w:marLeft w:val="0"/>
      <w:marRight w:val="0"/>
      <w:marTop w:val="0"/>
      <w:marBottom w:val="0"/>
      <w:divBdr>
        <w:top w:val="none" w:sz="0" w:space="0" w:color="auto"/>
        <w:left w:val="none" w:sz="0" w:space="0" w:color="auto"/>
        <w:bottom w:val="none" w:sz="0" w:space="0" w:color="auto"/>
        <w:right w:val="none" w:sz="0" w:space="0" w:color="auto"/>
      </w:divBdr>
    </w:div>
    <w:div w:id="195779514">
      <w:bodyDiv w:val="1"/>
      <w:marLeft w:val="0"/>
      <w:marRight w:val="0"/>
      <w:marTop w:val="0"/>
      <w:marBottom w:val="0"/>
      <w:divBdr>
        <w:top w:val="none" w:sz="0" w:space="0" w:color="auto"/>
        <w:left w:val="none" w:sz="0" w:space="0" w:color="auto"/>
        <w:bottom w:val="none" w:sz="0" w:space="0" w:color="auto"/>
        <w:right w:val="none" w:sz="0" w:space="0" w:color="auto"/>
      </w:divBdr>
    </w:div>
    <w:div w:id="211312693">
      <w:bodyDiv w:val="1"/>
      <w:marLeft w:val="0"/>
      <w:marRight w:val="0"/>
      <w:marTop w:val="0"/>
      <w:marBottom w:val="0"/>
      <w:divBdr>
        <w:top w:val="none" w:sz="0" w:space="0" w:color="auto"/>
        <w:left w:val="none" w:sz="0" w:space="0" w:color="auto"/>
        <w:bottom w:val="none" w:sz="0" w:space="0" w:color="auto"/>
        <w:right w:val="none" w:sz="0" w:space="0" w:color="auto"/>
      </w:divBdr>
    </w:div>
    <w:div w:id="220557797">
      <w:bodyDiv w:val="1"/>
      <w:marLeft w:val="0"/>
      <w:marRight w:val="0"/>
      <w:marTop w:val="0"/>
      <w:marBottom w:val="0"/>
      <w:divBdr>
        <w:top w:val="none" w:sz="0" w:space="0" w:color="auto"/>
        <w:left w:val="none" w:sz="0" w:space="0" w:color="auto"/>
        <w:bottom w:val="none" w:sz="0" w:space="0" w:color="auto"/>
        <w:right w:val="none" w:sz="0" w:space="0" w:color="auto"/>
      </w:divBdr>
    </w:div>
    <w:div w:id="249048444">
      <w:bodyDiv w:val="1"/>
      <w:marLeft w:val="0"/>
      <w:marRight w:val="0"/>
      <w:marTop w:val="0"/>
      <w:marBottom w:val="0"/>
      <w:divBdr>
        <w:top w:val="none" w:sz="0" w:space="0" w:color="auto"/>
        <w:left w:val="none" w:sz="0" w:space="0" w:color="auto"/>
        <w:bottom w:val="none" w:sz="0" w:space="0" w:color="auto"/>
        <w:right w:val="none" w:sz="0" w:space="0" w:color="auto"/>
      </w:divBdr>
    </w:div>
    <w:div w:id="284894797">
      <w:bodyDiv w:val="1"/>
      <w:marLeft w:val="0"/>
      <w:marRight w:val="0"/>
      <w:marTop w:val="0"/>
      <w:marBottom w:val="0"/>
      <w:divBdr>
        <w:top w:val="none" w:sz="0" w:space="0" w:color="auto"/>
        <w:left w:val="none" w:sz="0" w:space="0" w:color="auto"/>
        <w:bottom w:val="none" w:sz="0" w:space="0" w:color="auto"/>
        <w:right w:val="none" w:sz="0" w:space="0" w:color="auto"/>
      </w:divBdr>
    </w:div>
    <w:div w:id="289366300">
      <w:bodyDiv w:val="1"/>
      <w:marLeft w:val="0"/>
      <w:marRight w:val="0"/>
      <w:marTop w:val="0"/>
      <w:marBottom w:val="0"/>
      <w:divBdr>
        <w:top w:val="none" w:sz="0" w:space="0" w:color="auto"/>
        <w:left w:val="none" w:sz="0" w:space="0" w:color="auto"/>
        <w:bottom w:val="none" w:sz="0" w:space="0" w:color="auto"/>
        <w:right w:val="none" w:sz="0" w:space="0" w:color="auto"/>
      </w:divBdr>
      <w:divsChild>
        <w:div w:id="121122494">
          <w:marLeft w:val="1166"/>
          <w:marRight w:val="0"/>
          <w:marTop w:val="0"/>
          <w:marBottom w:val="0"/>
          <w:divBdr>
            <w:top w:val="none" w:sz="0" w:space="0" w:color="auto"/>
            <w:left w:val="none" w:sz="0" w:space="0" w:color="auto"/>
            <w:bottom w:val="none" w:sz="0" w:space="0" w:color="auto"/>
            <w:right w:val="none" w:sz="0" w:space="0" w:color="auto"/>
          </w:divBdr>
        </w:div>
        <w:div w:id="198050611">
          <w:marLeft w:val="446"/>
          <w:marRight w:val="0"/>
          <w:marTop w:val="0"/>
          <w:marBottom w:val="0"/>
          <w:divBdr>
            <w:top w:val="none" w:sz="0" w:space="0" w:color="auto"/>
            <w:left w:val="none" w:sz="0" w:space="0" w:color="auto"/>
            <w:bottom w:val="none" w:sz="0" w:space="0" w:color="auto"/>
            <w:right w:val="none" w:sz="0" w:space="0" w:color="auto"/>
          </w:divBdr>
        </w:div>
        <w:div w:id="759527800">
          <w:marLeft w:val="1166"/>
          <w:marRight w:val="0"/>
          <w:marTop w:val="0"/>
          <w:marBottom w:val="0"/>
          <w:divBdr>
            <w:top w:val="none" w:sz="0" w:space="0" w:color="auto"/>
            <w:left w:val="none" w:sz="0" w:space="0" w:color="auto"/>
            <w:bottom w:val="none" w:sz="0" w:space="0" w:color="auto"/>
            <w:right w:val="none" w:sz="0" w:space="0" w:color="auto"/>
          </w:divBdr>
        </w:div>
        <w:div w:id="1016613833">
          <w:marLeft w:val="446"/>
          <w:marRight w:val="0"/>
          <w:marTop w:val="0"/>
          <w:marBottom w:val="0"/>
          <w:divBdr>
            <w:top w:val="none" w:sz="0" w:space="0" w:color="auto"/>
            <w:left w:val="none" w:sz="0" w:space="0" w:color="auto"/>
            <w:bottom w:val="none" w:sz="0" w:space="0" w:color="auto"/>
            <w:right w:val="none" w:sz="0" w:space="0" w:color="auto"/>
          </w:divBdr>
        </w:div>
        <w:div w:id="1136483708">
          <w:marLeft w:val="446"/>
          <w:marRight w:val="0"/>
          <w:marTop w:val="0"/>
          <w:marBottom w:val="0"/>
          <w:divBdr>
            <w:top w:val="none" w:sz="0" w:space="0" w:color="auto"/>
            <w:left w:val="none" w:sz="0" w:space="0" w:color="auto"/>
            <w:bottom w:val="none" w:sz="0" w:space="0" w:color="auto"/>
            <w:right w:val="none" w:sz="0" w:space="0" w:color="auto"/>
          </w:divBdr>
        </w:div>
        <w:div w:id="1383093407">
          <w:marLeft w:val="1166"/>
          <w:marRight w:val="0"/>
          <w:marTop w:val="0"/>
          <w:marBottom w:val="0"/>
          <w:divBdr>
            <w:top w:val="none" w:sz="0" w:space="0" w:color="auto"/>
            <w:left w:val="none" w:sz="0" w:space="0" w:color="auto"/>
            <w:bottom w:val="none" w:sz="0" w:space="0" w:color="auto"/>
            <w:right w:val="none" w:sz="0" w:space="0" w:color="auto"/>
          </w:divBdr>
        </w:div>
        <w:div w:id="1500383276">
          <w:marLeft w:val="1166"/>
          <w:marRight w:val="0"/>
          <w:marTop w:val="0"/>
          <w:marBottom w:val="0"/>
          <w:divBdr>
            <w:top w:val="none" w:sz="0" w:space="0" w:color="auto"/>
            <w:left w:val="none" w:sz="0" w:space="0" w:color="auto"/>
            <w:bottom w:val="none" w:sz="0" w:space="0" w:color="auto"/>
            <w:right w:val="none" w:sz="0" w:space="0" w:color="auto"/>
          </w:divBdr>
        </w:div>
        <w:div w:id="1871145361">
          <w:marLeft w:val="446"/>
          <w:marRight w:val="0"/>
          <w:marTop w:val="0"/>
          <w:marBottom w:val="0"/>
          <w:divBdr>
            <w:top w:val="none" w:sz="0" w:space="0" w:color="auto"/>
            <w:left w:val="none" w:sz="0" w:space="0" w:color="auto"/>
            <w:bottom w:val="none" w:sz="0" w:space="0" w:color="auto"/>
            <w:right w:val="none" w:sz="0" w:space="0" w:color="auto"/>
          </w:divBdr>
        </w:div>
        <w:div w:id="2085955513">
          <w:marLeft w:val="1166"/>
          <w:marRight w:val="0"/>
          <w:marTop w:val="0"/>
          <w:marBottom w:val="0"/>
          <w:divBdr>
            <w:top w:val="none" w:sz="0" w:space="0" w:color="auto"/>
            <w:left w:val="none" w:sz="0" w:space="0" w:color="auto"/>
            <w:bottom w:val="none" w:sz="0" w:space="0" w:color="auto"/>
            <w:right w:val="none" w:sz="0" w:space="0" w:color="auto"/>
          </w:divBdr>
        </w:div>
      </w:divsChild>
    </w:div>
    <w:div w:id="351342251">
      <w:bodyDiv w:val="1"/>
      <w:marLeft w:val="0"/>
      <w:marRight w:val="0"/>
      <w:marTop w:val="0"/>
      <w:marBottom w:val="0"/>
      <w:divBdr>
        <w:top w:val="none" w:sz="0" w:space="0" w:color="auto"/>
        <w:left w:val="none" w:sz="0" w:space="0" w:color="auto"/>
        <w:bottom w:val="none" w:sz="0" w:space="0" w:color="auto"/>
        <w:right w:val="none" w:sz="0" w:space="0" w:color="auto"/>
      </w:divBdr>
      <w:divsChild>
        <w:div w:id="45183558">
          <w:marLeft w:val="533"/>
          <w:marRight w:val="0"/>
          <w:marTop w:val="614"/>
          <w:marBottom w:val="0"/>
          <w:divBdr>
            <w:top w:val="none" w:sz="0" w:space="0" w:color="auto"/>
            <w:left w:val="none" w:sz="0" w:space="0" w:color="auto"/>
            <w:bottom w:val="none" w:sz="0" w:space="0" w:color="auto"/>
            <w:right w:val="none" w:sz="0" w:space="0" w:color="auto"/>
          </w:divBdr>
        </w:div>
        <w:div w:id="244995799">
          <w:marLeft w:val="1267"/>
          <w:marRight w:val="0"/>
          <w:marTop w:val="115"/>
          <w:marBottom w:val="0"/>
          <w:divBdr>
            <w:top w:val="none" w:sz="0" w:space="0" w:color="auto"/>
            <w:left w:val="none" w:sz="0" w:space="0" w:color="auto"/>
            <w:bottom w:val="none" w:sz="0" w:space="0" w:color="auto"/>
            <w:right w:val="none" w:sz="0" w:space="0" w:color="auto"/>
          </w:divBdr>
        </w:div>
        <w:div w:id="278995743">
          <w:marLeft w:val="1267"/>
          <w:marRight w:val="0"/>
          <w:marTop w:val="115"/>
          <w:marBottom w:val="0"/>
          <w:divBdr>
            <w:top w:val="none" w:sz="0" w:space="0" w:color="auto"/>
            <w:left w:val="none" w:sz="0" w:space="0" w:color="auto"/>
            <w:bottom w:val="none" w:sz="0" w:space="0" w:color="auto"/>
            <w:right w:val="none" w:sz="0" w:space="0" w:color="auto"/>
          </w:divBdr>
        </w:div>
        <w:div w:id="1029375299">
          <w:marLeft w:val="1267"/>
          <w:marRight w:val="0"/>
          <w:marTop w:val="115"/>
          <w:marBottom w:val="0"/>
          <w:divBdr>
            <w:top w:val="none" w:sz="0" w:space="0" w:color="auto"/>
            <w:left w:val="none" w:sz="0" w:space="0" w:color="auto"/>
            <w:bottom w:val="none" w:sz="0" w:space="0" w:color="auto"/>
            <w:right w:val="none" w:sz="0" w:space="0" w:color="auto"/>
          </w:divBdr>
        </w:div>
        <w:div w:id="1404719064">
          <w:marLeft w:val="1267"/>
          <w:marRight w:val="0"/>
          <w:marTop w:val="115"/>
          <w:marBottom w:val="0"/>
          <w:divBdr>
            <w:top w:val="none" w:sz="0" w:space="0" w:color="auto"/>
            <w:left w:val="none" w:sz="0" w:space="0" w:color="auto"/>
            <w:bottom w:val="none" w:sz="0" w:space="0" w:color="auto"/>
            <w:right w:val="none" w:sz="0" w:space="0" w:color="auto"/>
          </w:divBdr>
        </w:div>
        <w:div w:id="2100983878">
          <w:marLeft w:val="533"/>
          <w:marRight w:val="0"/>
          <w:marTop w:val="614"/>
          <w:marBottom w:val="0"/>
          <w:divBdr>
            <w:top w:val="none" w:sz="0" w:space="0" w:color="auto"/>
            <w:left w:val="none" w:sz="0" w:space="0" w:color="auto"/>
            <w:bottom w:val="none" w:sz="0" w:space="0" w:color="auto"/>
            <w:right w:val="none" w:sz="0" w:space="0" w:color="auto"/>
          </w:divBdr>
        </w:div>
        <w:div w:id="2123642693">
          <w:marLeft w:val="1267"/>
          <w:marRight w:val="0"/>
          <w:marTop w:val="115"/>
          <w:marBottom w:val="0"/>
          <w:divBdr>
            <w:top w:val="none" w:sz="0" w:space="0" w:color="auto"/>
            <w:left w:val="none" w:sz="0" w:space="0" w:color="auto"/>
            <w:bottom w:val="none" w:sz="0" w:space="0" w:color="auto"/>
            <w:right w:val="none" w:sz="0" w:space="0" w:color="auto"/>
          </w:divBdr>
        </w:div>
      </w:divsChild>
    </w:div>
    <w:div w:id="364719479">
      <w:bodyDiv w:val="1"/>
      <w:marLeft w:val="0"/>
      <w:marRight w:val="0"/>
      <w:marTop w:val="0"/>
      <w:marBottom w:val="0"/>
      <w:divBdr>
        <w:top w:val="none" w:sz="0" w:space="0" w:color="auto"/>
        <w:left w:val="none" w:sz="0" w:space="0" w:color="auto"/>
        <w:bottom w:val="none" w:sz="0" w:space="0" w:color="auto"/>
        <w:right w:val="none" w:sz="0" w:space="0" w:color="auto"/>
      </w:divBdr>
    </w:div>
    <w:div w:id="487941989">
      <w:bodyDiv w:val="1"/>
      <w:marLeft w:val="0"/>
      <w:marRight w:val="0"/>
      <w:marTop w:val="0"/>
      <w:marBottom w:val="0"/>
      <w:divBdr>
        <w:top w:val="none" w:sz="0" w:space="0" w:color="auto"/>
        <w:left w:val="none" w:sz="0" w:space="0" w:color="auto"/>
        <w:bottom w:val="none" w:sz="0" w:space="0" w:color="auto"/>
        <w:right w:val="none" w:sz="0" w:space="0" w:color="auto"/>
      </w:divBdr>
    </w:div>
    <w:div w:id="522137347">
      <w:bodyDiv w:val="1"/>
      <w:marLeft w:val="0"/>
      <w:marRight w:val="0"/>
      <w:marTop w:val="0"/>
      <w:marBottom w:val="0"/>
      <w:divBdr>
        <w:top w:val="none" w:sz="0" w:space="0" w:color="auto"/>
        <w:left w:val="none" w:sz="0" w:space="0" w:color="auto"/>
        <w:bottom w:val="none" w:sz="0" w:space="0" w:color="auto"/>
        <w:right w:val="none" w:sz="0" w:space="0" w:color="auto"/>
      </w:divBdr>
    </w:div>
    <w:div w:id="542134336">
      <w:bodyDiv w:val="1"/>
      <w:marLeft w:val="0"/>
      <w:marRight w:val="0"/>
      <w:marTop w:val="0"/>
      <w:marBottom w:val="0"/>
      <w:divBdr>
        <w:top w:val="none" w:sz="0" w:space="0" w:color="auto"/>
        <w:left w:val="none" w:sz="0" w:space="0" w:color="auto"/>
        <w:bottom w:val="none" w:sz="0" w:space="0" w:color="auto"/>
        <w:right w:val="none" w:sz="0" w:space="0" w:color="auto"/>
      </w:divBdr>
    </w:div>
    <w:div w:id="584805675">
      <w:bodyDiv w:val="1"/>
      <w:marLeft w:val="0"/>
      <w:marRight w:val="0"/>
      <w:marTop w:val="0"/>
      <w:marBottom w:val="0"/>
      <w:divBdr>
        <w:top w:val="none" w:sz="0" w:space="0" w:color="auto"/>
        <w:left w:val="none" w:sz="0" w:space="0" w:color="auto"/>
        <w:bottom w:val="none" w:sz="0" w:space="0" w:color="auto"/>
        <w:right w:val="none" w:sz="0" w:space="0" w:color="auto"/>
      </w:divBdr>
    </w:div>
    <w:div w:id="591816207">
      <w:bodyDiv w:val="1"/>
      <w:marLeft w:val="0"/>
      <w:marRight w:val="0"/>
      <w:marTop w:val="0"/>
      <w:marBottom w:val="0"/>
      <w:divBdr>
        <w:top w:val="none" w:sz="0" w:space="0" w:color="auto"/>
        <w:left w:val="none" w:sz="0" w:space="0" w:color="auto"/>
        <w:bottom w:val="none" w:sz="0" w:space="0" w:color="auto"/>
        <w:right w:val="none" w:sz="0" w:space="0" w:color="auto"/>
      </w:divBdr>
    </w:div>
    <w:div w:id="633873266">
      <w:bodyDiv w:val="1"/>
      <w:marLeft w:val="0"/>
      <w:marRight w:val="0"/>
      <w:marTop w:val="0"/>
      <w:marBottom w:val="0"/>
      <w:divBdr>
        <w:top w:val="none" w:sz="0" w:space="0" w:color="auto"/>
        <w:left w:val="none" w:sz="0" w:space="0" w:color="auto"/>
        <w:bottom w:val="none" w:sz="0" w:space="0" w:color="auto"/>
        <w:right w:val="none" w:sz="0" w:space="0" w:color="auto"/>
      </w:divBdr>
    </w:div>
    <w:div w:id="637804852">
      <w:bodyDiv w:val="1"/>
      <w:marLeft w:val="0"/>
      <w:marRight w:val="0"/>
      <w:marTop w:val="0"/>
      <w:marBottom w:val="0"/>
      <w:divBdr>
        <w:top w:val="none" w:sz="0" w:space="0" w:color="auto"/>
        <w:left w:val="none" w:sz="0" w:space="0" w:color="auto"/>
        <w:bottom w:val="none" w:sz="0" w:space="0" w:color="auto"/>
        <w:right w:val="none" w:sz="0" w:space="0" w:color="auto"/>
      </w:divBdr>
      <w:divsChild>
        <w:div w:id="1121072132">
          <w:marLeft w:val="446"/>
          <w:marRight w:val="0"/>
          <w:marTop w:val="0"/>
          <w:marBottom w:val="0"/>
          <w:divBdr>
            <w:top w:val="none" w:sz="0" w:space="0" w:color="auto"/>
            <w:left w:val="none" w:sz="0" w:space="0" w:color="auto"/>
            <w:bottom w:val="none" w:sz="0" w:space="0" w:color="auto"/>
            <w:right w:val="none" w:sz="0" w:space="0" w:color="auto"/>
          </w:divBdr>
        </w:div>
      </w:divsChild>
    </w:div>
    <w:div w:id="646007628">
      <w:bodyDiv w:val="1"/>
      <w:marLeft w:val="0"/>
      <w:marRight w:val="0"/>
      <w:marTop w:val="0"/>
      <w:marBottom w:val="0"/>
      <w:divBdr>
        <w:top w:val="none" w:sz="0" w:space="0" w:color="auto"/>
        <w:left w:val="none" w:sz="0" w:space="0" w:color="auto"/>
        <w:bottom w:val="none" w:sz="0" w:space="0" w:color="auto"/>
        <w:right w:val="none" w:sz="0" w:space="0" w:color="auto"/>
      </w:divBdr>
    </w:div>
    <w:div w:id="646085750">
      <w:bodyDiv w:val="1"/>
      <w:marLeft w:val="0"/>
      <w:marRight w:val="0"/>
      <w:marTop w:val="0"/>
      <w:marBottom w:val="0"/>
      <w:divBdr>
        <w:top w:val="none" w:sz="0" w:space="0" w:color="auto"/>
        <w:left w:val="none" w:sz="0" w:space="0" w:color="auto"/>
        <w:bottom w:val="none" w:sz="0" w:space="0" w:color="auto"/>
        <w:right w:val="none" w:sz="0" w:space="0" w:color="auto"/>
      </w:divBdr>
    </w:div>
    <w:div w:id="672562966">
      <w:bodyDiv w:val="1"/>
      <w:marLeft w:val="0"/>
      <w:marRight w:val="0"/>
      <w:marTop w:val="0"/>
      <w:marBottom w:val="0"/>
      <w:divBdr>
        <w:top w:val="none" w:sz="0" w:space="0" w:color="auto"/>
        <w:left w:val="none" w:sz="0" w:space="0" w:color="auto"/>
        <w:bottom w:val="none" w:sz="0" w:space="0" w:color="auto"/>
        <w:right w:val="none" w:sz="0" w:space="0" w:color="auto"/>
      </w:divBdr>
    </w:div>
    <w:div w:id="694767008">
      <w:bodyDiv w:val="1"/>
      <w:marLeft w:val="0"/>
      <w:marRight w:val="0"/>
      <w:marTop w:val="0"/>
      <w:marBottom w:val="0"/>
      <w:divBdr>
        <w:top w:val="none" w:sz="0" w:space="0" w:color="auto"/>
        <w:left w:val="none" w:sz="0" w:space="0" w:color="auto"/>
        <w:bottom w:val="none" w:sz="0" w:space="0" w:color="auto"/>
        <w:right w:val="none" w:sz="0" w:space="0" w:color="auto"/>
      </w:divBdr>
    </w:div>
    <w:div w:id="768694239">
      <w:bodyDiv w:val="1"/>
      <w:marLeft w:val="0"/>
      <w:marRight w:val="0"/>
      <w:marTop w:val="0"/>
      <w:marBottom w:val="0"/>
      <w:divBdr>
        <w:top w:val="none" w:sz="0" w:space="0" w:color="auto"/>
        <w:left w:val="none" w:sz="0" w:space="0" w:color="auto"/>
        <w:bottom w:val="none" w:sz="0" w:space="0" w:color="auto"/>
        <w:right w:val="none" w:sz="0" w:space="0" w:color="auto"/>
      </w:divBdr>
    </w:div>
    <w:div w:id="772868380">
      <w:bodyDiv w:val="1"/>
      <w:marLeft w:val="0"/>
      <w:marRight w:val="0"/>
      <w:marTop w:val="0"/>
      <w:marBottom w:val="0"/>
      <w:divBdr>
        <w:top w:val="none" w:sz="0" w:space="0" w:color="auto"/>
        <w:left w:val="none" w:sz="0" w:space="0" w:color="auto"/>
        <w:bottom w:val="none" w:sz="0" w:space="0" w:color="auto"/>
        <w:right w:val="none" w:sz="0" w:space="0" w:color="auto"/>
      </w:divBdr>
    </w:div>
    <w:div w:id="772895574">
      <w:bodyDiv w:val="1"/>
      <w:marLeft w:val="0"/>
      <w:marRight w:val="0"/>
      <w:marTop w:val="0"/>
      <w:marBottom w:val="0"/>
      <w:divBdr>
        <w:top w:val="none" w:sz="0" w:space="0" w:color="auto"/>
        <w:left w:val="none" w:sz="0" w:space="0" w:color="auto"/>
        <w:bottom w:val="none" w:sz="0" w:space="0" w:color="auto"/>
        <w:right w:val="none" w:sz="0" w:space="0" w:color="auto"/>
      </w:divBdr>
    </w:div>
    <w:div w:id="813108566">
      <w:bodyDiv w:val="1"/>
      <w:marLeft w:val="0"/>
      <w:marRight w:val="0"/>
      <w:marTop w:val="0"/>
      <w:marBottom w:val="0"/>
      <w:divBdr>
        <w:top w:val="none" w:sz="0" w:space="0" w:color="auto"/>
        <w:left w:val="none" w:sz="0" w:space="0" w:color="auto"/>
        <w:bottom w:val="none" w:sz="0" w:space="0" w:color="auto"/>
        <w:right w:val="none" w:sz="0" w:space="0" w:color="auto"/>
      </w:divBdr>
    </w:div>
    <w:div w:id="844975048">
      <w:bodyDiv w:val="1"/>
      <w:marLeft w:val="0"/>
      <w:marRight w:val="0"/>
      <w:marTop w:val="0"/>
      <w:marBottom w:val="0"/>
      <w:divBdr>
        <w:top w:val="none" w:sz="0" w:space="0" w:color="auto"/>
        <w:left w:val="none" w:sz="0" w:space="0" w:color="auto"/>
        <w:bottom w:val="none" w:sz="0" w:space="0" w:color="auto"/>
        <w:right w:val="none" w:sz="0" w:space="0" w:color="auto"/>
      </w:divBdr>
    </w:div>
    <w:div w:id="846602270">
      <w:bodyDiv w:val="1"/>
      <w:marLeft w:val="0"/>
      <w:marRight w:val="0"/>
      <w:marTop w:val="0"/>
      <w:marBottom w:val="0"/>
      <w:divBdr>
        <w:top w:val="none" w:sz="0" w:space="0" w:color="auto"/>
        <w:left w:val="none" w:sz="0" w:space="0" w:color="auto"/>
        <w:bottom w:val="none" w:sz="0" w:space="0" w:color="auto"/>
        <w:right w:val="none" w:sz="0" w:space="0" w:color="auto"/>
      </w:divBdr>
    </w:div>
    <w:div w:id="864946250">
      <w:bodyDiv w:val="1"/>
      <w:marLeft w:val="0"/>
      <w:marRight w:val="0"/>
      <w:marTop w:val="0"/>
      <w:marBottom w:val="0"/>
      <w:divBdr>
        <w:top w:val="none" w:sz="0" w:space="0" w:color="auto"/>
        <w:left w:val="none" w:sz="0" w:space="0" w:color="auto"/>
        <w:bottom w:val="none" w:sz="0" w:space="0" w:color="auto"/>
        <w:right w:val="none" w:sz="0" w:space="0" w:color="auto"/>
      </w:divBdr>
    </w:div>
    <w:div w:id="940524973">
      <w:bodyDiv w:val="1"/>
      <w:marLeft w:val="0"/>
      <w:marRight w:val="0"/>
      <w:marTop w:val="0"/>
      <w:marBottom w:val="0"/>
      <w:divBdr>
        <w:top w:val="none" w:sz="0" w:space="0" w:color="auto"/>
        <w:left w:val="none" w:sz="0" w:space="0" w:color="auto"/>
        <w:bottom w:val="none" w:sz="0" w:space="0" w:color="auto"/>
        <w:right w:val="none" w:sz="0" w:space="0" w:color="auto"/>
      </w:divBdr>
    </w:div>
    <w:div w:id="942806906">
      <w:bodyDiv w:val="1"/>
      <w:marLeft w:val="0"/>
      <w:marRight w:val="0"/>
      <w:marTop w:val="0"/>
      <w:marBottom w:val="0"/>
      <w:divBdr>
        <w:top w:val="none" w:sz="0" w:space="0" w:color="auto"/>
        <w:left w:val="none" w:sz="0" w:space="0" w:color="auto"/>
        <w:bottom w:val="none" w:sz="0" w:space="0" w:color="auto"/>
        <w:right w:val="none" w:sz="0" w:space="0" w:color="auto"/>
      </w:divBdr>
    </w:div>
    <w:div w:id="986127561">
      <w:bodyDiv w:val="1"/>
      <w:marLeft w:val="0"/>
      <w:marRight w:val="0"/>
      <w:marTop w:val="0"/>
      <w:marBottom w:val="0"/>
      <w:divBdr>
        <w:top w:val="none" w:sz="0" w:space="0" w:color="auto"/>
        <w:left w:val="none" w:sz="0" w:space="0" w:color="auto"/>
        <w:bottom w:val="none" w:sz="0" w:space="0" w:color="auto"/>
        <w:right w:val="none" w:sz="0" w:space="0" w:color="auto"/>
      </w:divBdr>
    </w:div>
    <w:div w:id="1007489534">
      <w:bodyDiv w:val="1"/>
      <w:marLeft w:val="0"/>
      <w:marRight w:val="0"/>
      <w:marTop w:val="0"/>
      <w:marBottom w:val="0"/>
      <w:divBdr>
        <w:top w:val="none" w:sz="0" w:space="0" w:color="auto"/>
        <w:left w:val="none" w:sz="0" w:space="0" w:color="auto"/>
        <w:bottom w:val="none" w:sz="0" w:space="0" w:color="auto"/>
        <w:right w:val="none" w:sz="0" w:space="0" w:color="auto"/>
      </w:divBdr>
    </w:div>
    <w:div w:id="1054548757">
      <w:bodyDiv w:val="1"/>
      <w:marLeft w:val="0"/>
      <w:marRight w:val="0"/>
      <w:marTop w:val="0"/>
      <w:marBottom w:val="0"/>
      <w:divBdr>
        <w:top w:val="none" w:sz="0" w:space="0" w:color="auto"/>
        <w:left w:val="none" w:sz="0" w:space="0" w:color="auto"/>
        <w:bottom w:val="none" w:sz="0" w:space="0" w:color="auto"/>
        <w:right w:val="none" w:sz="0" w:space="0" w:color="auto"/>
      </w:divBdr>
    </w:div>
    <w:div w:id="1076248030">
      <w:bodyDiv w:val="1"/>
      <w:marLeft w:val="0"/>
      <w:marRight w:val="0"/>
      <w:marTop w:val="0"/>
      <w:marBottom w:val="0"/>
      <w:divBdr>
        <w:top w:val="none" w:sz="0" w:space="0" w:color="auto"/>
        <w:left w:val="none" w:sz="0" w:space="0" w:color="auto"/>
        <w:bottom w:val="none" w:sz="0" w:space="0" w:color="auto"/>
        <w:right w:val="none" w:sz="0" w:space="0" w:color="auto"/>
      </w:divBdr>
    </w:div>
    <w:div w:id="1120759651">
      <w:bodyDiv w:val="1"/>
      <w:marLeft w:val="0"/>
      <w:marRight w:val="0"/>
      <w:marTop w:val="0"/>
      <w:marBottom w:val="0"/>
      <w:divBdr>
        <w:top w:val="none" w:sz="0" w:space="0" w:color="auto"/>
        <w:left w:val="none" w:sz="0" w:space="0" w:color="auto"/>
        <w:bottom w:val="none" w:sz="0" w:space="0" w:color="auto"/>
        <w:right w:val="none" w:sz="0" w:space="0" w:color="auto"/>
      </w:divBdr>
    </w:div>
    <w:div w:id="1159614204">
      <w:bodyDiv w:val="1"/>
      <w:marLeft w:val="0"/>
      <w:marRight w:val="0"/>
      <w:marTop w:val="0"/>
      <w:marBottom w:val="0"/>
      <w:divBdr>
        <w:top w:val="none" w:sz="0" w:space="0" w:color="auto"/>
        <w:left w:val="none" w:sz="0" w:space="0" w:color="auto"/>
        <w:bottom w:val="none" w:sz="0" w:space="0" w:color="auto"/>
        <w:right w:val="none" w:sz="0" w:space="0" w:color="auto"/>
      </w:divBdr>
    </w:div>
    <w:div w:id="1182553092">
      <w:bodyDiv w:val="1"/>
      <w:marLeft w:val="0"/>
      <w:marRight w:val="0"/>
      <w:marTop w:val="0"/>
      <w:marBottom w:val="0"/>
      <w:divBdr>
        <w:top w:val="none" w:sz="0" w:space="0" w:color="auto"/>
        <w:left w:val="none" w:sz="0" w:space="0" w:color="auto"/>
        <w:bottom w:val="none" w:sz="0" w:space="0" w:color="auto"/>
        <w:right w:val="none" w:sz="0" w:space="0" w:color="auto"/>
      </w:divBdr>
    </w:div>
    <w:div w:id="1204825428">
      <w:bodyDiv w:val="1"/>
      <w:marLeft w:val="0"/>
      <w:marRight w:val="0"/>
      <w:marTop w:val="0"/>
      <w:marBottom w:val="0"/>
      <w:divBdr>
        <w:top w:val="none" w:sz="0" w:space="0" w:color="auto"/>
        <w:left w:val="none" w:sz="0" w:space="0" w:color="auto"/>
        <w:bottom w:val="none" w:sz="0" w:space="0" w:color="auto"/>
        <w:right w:val="none" w:sz="0" w:space="0" w:color="auto"/>
      </w:divBdr>
    </w:div>
    <w:div w:id="1206067627">
      <w:bodyDiv w:val="1"/>
      <w:marLeft w:val="0"/>
      <w:marRight w:val="0"/>
      <w:marTop w:val="0"/>
      <w:marBottom w:val="0"/>
      <w:divBdr>
        <w:top w:val="none" w:sz="0" w:space="0" w:color="auto"/>
        <w:left w:val="none" w:sz="0" w:space="0" w:color="auto"/>
        <w:bottom w:val="none" w:sz="0" w:space="0" w:color="auto"/>
        <w:right w:val="none" w:sz="0" w:space="0" w:color="auto"/>
      </w:divBdr>
    </w:div>
    <w:div w:id="1221673976">
      <w:bodyDiv w:val="1"/>
      <w:marLeft w:val="0"/>
      <w:marRight w:val="0"/>
      <w:marTop w:val="0"/>
      <w:marBottom w:val="0"/>
      <w:divBdr>
        <w:top w:val="none" w:sz="0" w:space="0" w:color="auto"/>
        <w:left w:val="none" w:sz="0" w:space="0" w:color="auto"/>
        <w:bottom w:val="none" w:sz="0" w:space="0" w:color="auto"/>
        <w:right w:val="none" w:sz="0" w:space="0" w:color="auto"/>
      </w:divBdr>
    </w:div>
    <w:div w:id="1228146335">
      <w:bodyDiv w:val="1"/>
      <w:marLeft w:val="0"/>
      <w:marRight w:val="0"/>
      <w:marTop w:val="0"/>
      <w:marBottom w:val="0"/>
      <w:divBdr>
        <w:top w:val="none" w:sz="0" w:space="0" w:color="auto"/>
        <w:left w:val="none" w:sz="0" w:space="0" w:color="auto"/>
        <w:bottom w:val="none" w:sz="0" w:space="0" w:color="auto"/>
        <w:right w:val="none" w:sz="0" w:space="0" w:color="auto"/>
      </w:divBdr>
    </w:div>
    <w:div w:id="1239095742">
      <w:bodyDiv w:val="1"/>
      <w:marLeft w:val="0"/>
      <w:marRight w:val="0"/>
      <w:marTop w:val="0"/>
      <w:marBottom w:val="0"/>
      <w:divBdr>
        <w:top w:val="none" w:sz="0" w:space="0" w:color="auto"/>
        <w:left w:val="none" w:sz="0" w:space="0" w:color="auto"/>
        <w:bottom w:val="none" w:sz="0" w:space="0" w:color="auto"/>
        <w:right w:val="none" w:sz="0" w:space="0" w:color="auto"/>
      </w:divBdr>
      <w:divsChild>
        <w:div w:id="172383809">
          <w:marLeft w:val="1440"/>
          <w:marRight w:val="0"/>
          <w:marTop w:val="360"/>
          <w:marBottom w:val="0"/>
          <w:divBdr>
            <w:top w:val="none" w:sz="0" w:space="0" w:color="auto"/>
            <w:left w:val="none" w:sz="0" w:space="0" w:color="auto"/>
            <w:bottom w:val="none" w:sz="0" w:space="0" w:color="auto"/>
            <w:right w:val="none" w:sz="0" w:space="0" w:color="auto"/>
          </w:divBdr>
        </w:div>
        <w:div w:id="486481960">
          <w:marLeft w:val="720"/>
          <w:marRight w:val="0"/>
          <w:marTop w:val="360"/>
          <w:marBottom w:val="0"/>
          <w:divBdr>
            <w:top w:val="none" w:sz="0" w:space="0" w:color="auto"/>
            <w:left w:val="none" w:sz="0" w:space="0" w:color="auto"/>
            <w:bottom w:val="none" w:sz="0" w:space="0" w:color="auto"/>
            <w:right w:val="none" w:sz="0" w:space="0" w:color="auto"/>
          </w:divBdr>
        </w:div>
        <w:div w:id="1853256661">
          <w:marLeft w:val="1440"/>
          <w:marRight w:val="0"/>
          <w:marTop w:val="360"/>
          <w:marBottom w:val="0"/>
          <w:divBdr>
            <w:top w:val="none" w:sz="0" w:space="0" w:color="auto"/>
            <w:left w:val="none" w:sz="0" w:space="0" w:color="auto"/>
            <w:bottom w:val="none" w:sz="0" w:space="0" w:color="auto"/>
            <w:right w:val="none" w:sz="0" w:space="0" w:color="auto"/>
          </w:divBdr>
        </w:div>
      </w:divsChild>
    </w:div>
    <w:div w:id="1255749381">
      <w:bodyDiv w:val="1"/>
      <w:marLeft w:val="0"/>
      <w:marRight w:val="0"/>
      <w:marTop w:val="0"/>
      <w:marBottom w:val="0"/>
      <w:divBdr>
        <w:top w:val="none" w:sz="0" w:space="0" w:color="auto"/>
        <w:left w:val="none" w:sz="0" w:space="0" w:color="auto"/>
        <w:bottom w:val="none" w:sz="0" w:space="0" w:color="auto"/>
        <w:right w:val="none" w:sz="0" w:space="0" w:color="auto"/>
      </w:divBdr>
    </w:div>
    <w:div w:id="1291127981">
      <w:bodyDiv w:val="1"/>
      <w:marLeft w:val="0"/>
      <w:marRight w:val="0"/>
      <w:marTop w:val="0"/>
      <w:marBottom w:val="0"/>
      <w:divBdr>
        <w:top w:val="none" w:sz="0" w:space="0" w:color="auto"/>
        <w:left w:val="none" w:sz="0" w:space="0" w:color="auto"/>
        <w:bottom w:val="none" w:sz="0" w:space="0" w:color="auto"/>
        <w:right w:val="none" w:sz="0" w:space="0" w:color="auto"/>
      </w:divBdr>
      <w:divsChild>
        <w:div w:id="1397699640">
          <w:marLeft w:val="0"/>
          <w:marRight w:val="0"/>
          <w:marTop w:val="0"/>
          <w:marBottom w:val="0"/>
          <w:divBdr>
            <w:top w:val="none" w:sz="0" w:space="0" w:color="auto"/>
            <w:left w:val="none" w:sz="0" w:space="0" w:color="auto"/>
            <w:bottom w:val="none" w:sz="0" w:space="0" w:color="auto"/>
            <w:right w:val="none" w:sz="0" w:space="0" w:color="auto"/>
          </w:divBdr>
        </w:div>
      </w:divsChild>
    </w:div>
    <w:div w:id="1296176950">
      <w:bodyDiv w:val="1"/>
      <w:marLeft w:val="0"/>
      <w:marRight w:val="0"/>
      <w:marTop w:val="0"/>
      <w:marBottom w:val="0"/>
      <w:divBdr>
        <w:top w:val="none" w:sz="0" w:space="0" w:color="auto"/>
        <w:left w:val="none" w:sz="0" w:space="0" w:color="auto"/>
        <w:bottom w:val="none" w:sz="0" w:space="0" w:color="auto"/>
        <w:right w:val="none" w:sz="0" w:space="0" w:color="auto"/>
      </w:divBdr>
    </w:div>
    <w:div w:id="1314721900">
      <w:bodyDiv w:val="1"/>
      <w:marLeft w:val="0"/>
      <w:marRight w:val="0"/>
      <w:marTop w:val="0"/>
      <w:marBottom w:val="0"/>
      <w:divBdr>
        <w:top w:val="none" w:sz="0" w:space="0" w:color="auto"/>
        <w:left w:val="none" w:sz="0" w:space="0" w:color="auto"/>
        <w:bottom w:val="none" w:sz="0" w:space="0" w:color="auto"/>
        <w:right w:val="none" w:sz="0" w:space="0" w:color="auto"/>
      </w:divBdr>
    </w:div>
    <w:div w:id="1325740838">
      <w:bodyDiv w:val="1"/>
      <w:marLeft w:val="0"/>
      <w:marRight w:val="0"/>
      <w:marTop w:val="0"/>
      <w:marBottom w:val="0"/>
      <w:divBdr>
        <w:top w:val="none" w:sz="0" w:space="0" w:color="auto"/>
        <w:left w:val="none" w:sz="0" w:space="0" w:color="auto"/>
        <w:bottom w:val="none" w:sz="0" w:space="0" w:color="auto"/>
        <w:right w:val="none" w:sz="0" w:space="0" w:color="auto"/>
      </w:divBdr>
    </w:div>
    <w:div w:id="1331518632">
      <w:bodyDiv w:val="1"/>
      <w:marLeft w:val="0"/>
      <w:marRight w:val="0"/>
      <w:marTop w:val="0"/>
      <w:marBottom w:val="0"/>
      <w:divBdr>
        <w:top w:val="none" w:sz="0" w:space="0" w:color="auto"/>
        <w:left w:val="none" w:sz="0" w:space="0" w:color="auto"/>
        <w:bottom w:val="none" w:sz="0" w:space="0" w:color="auto"/>
        <w:right w:val="none" w:sz="0" w:space="0" w:color="auto"/>
      </w:divBdr>
    </w:div>
    <w:div w:id="1342659835">
      <w:bodyDiv w:val="1"/>
      <w:marLeft w:val="0"/>
      <w:marRight w:val="0"/>
      <w:marTop w:val="0"/>
      <w:marBottom w:val="0"/>
      <w:divBdr>
        <w:top w:val="none" w:sz="0" w:space="0" w:color="auto"/>
        <w:left w:val="none" w:sz="0" w:space="0" w:color="auto"/>
        <w:bottom w:val="none" w:sz="0" w:space="0" w:color="auto"/>
        <w:right w:val="none" w:sz="0" w:space="0" w:color="auto"/>
      </w:divBdr>
    </w:div>
    <w:div w:id="1358655662">
      <w:bodyDiv w:val="1"/>
      <w:marLeft w:val="0"/>
      <w:marRight w:val="0"/>
      <w:marTop w:val="0"/>
      <w:marBottom w:val="0"/>
      <w:divBdr>
        <w:top w:val="none" w:sz="0" w:space="0" w:color="auto"/>
        <w:left w:val="none" w:sz="0" w:space="0" w:color="auto"/>
        <w:bottom w:val="none" w:sz="0" w:space="0" w:color="auto"/>
        <w:right w:val="none" w:sz="0" w:space="0" w:color="auto"/>
      </w:divBdr>
    </w:div>
    <w:div w:id="1405033634">
      <w:bodyDiv w:val="1"/>
      <w:marLeft w:val="0"/>
      <w:marRight w:val="0"/>
      <w:marTop w:val="0"/>
      <w:marBottom w:val="0"/>
      <w:divBdr>
        <w:top w:val="none" w:sz="0" w:space="0" w:color="auto"/>
        <w:left w:val="none" w:sz="0" w:space="0" w:color="auto"/>
        <w:bottom w:val="none" w:sz="0" w:space="0" w:color="auto"/>
        <w:right w:val="none" w:sz="0" w:space="0" w:color="auto"/>
      </w:divBdr>
    </w:div>
    <w:div w:id="1421831483">
      <w:bodyDiv w:val="1"/>
      <w:marLeft w:val="0"/>
      <w:marRight w:val="0"/>
      <w:marTop w:val="0"/>
      <w:marBottom w:val="0"/>
      <w:divBdr>
        <w:top w:val="none" w:sz="0" w:space="0" w:color="auto"/>
        <w:left w:val="none" w:sz="0" w:space="0" w:color="auto"/>
        <w:bottom w:val="none" w:sz="0" w:space="0" w:color="auto"/>
        <w:right w:val="none" w:sz="0" w:space="0" w:color="auto"/>
      </w:divBdr>
    </w:div>
    <w:div w:id="1494443203">
      <w:bodyDiv w:val="1"/>
      <w:marLeft w:val="0"/>
      <w:marRight w:val="0"/>
      <w:marTop w:val="0"/>
      <w:marBottom w:val="0"/>
      <w:divBdr>
        <w:top w:val="none" w:sz="0" w:space="0" w:color="auto"/>
        <w:left w:val="none" w:sz="0" w:space="0" w:color="auto"/>
        <w:bottom w:val="none" w:sz="0" w:space="0" w:color="auto"/>
        <w:right w:val="none" w:sz="0" w:space="0" w:color="auto"/>
      </w:divBdr>
    </w:div>
    <w:div w:id="1513256896">
      <w:bodyDiv w:val="1"/>
      <w:marLeft w:val="0"/>
      <w:marRight w:val="0"/>
      <w:marTop w:val="0"/>
      <w:marBottom w:val="0"/>
      <w:divBdr>
        <w:top w:val="none" w:sz="0" w:space="0" w:color="auto"/>
        <w:left w:val="none" w:sz="0" w:space="0" w:color="auto"/>
        <w:bottom w:val="none" w:sz="0" w:space="0" w:color="auto"/>
        <w:right w:val="none" w:sz="0" w:space="0" w:color="auto"/>
      </w:divBdr>
    </w:div>
    <w:div w:id="1554121294">
      <w:bodyDiv w:val="1"/>
      <w:marLeft w:val="0"/>
      <w:marRight w:val="0"/>
      <w:marTop w:val="0"/>
      <w:marBottom w:val="0"/>
      <w:divBdr>
        <w:top w:val="none" w:sz="0" w:space="0" w:color="auto"/>
        <w:left w:val="none" w:sz="0" w:space="0" w:color="auto"/>
        <w:bottom w:val="none" w:sz="0" w:space="0" w:color="auto"/>
        <w:right w:val="none" w:sz="0" w:space="0" w:color="auto"/>
      </w:divBdr>
      <w:divsChild>
        <w:div w:id="2132163197">
          <w:marLeft w:val="0"/>
          <w:marRight w:val="0"/>
          <w:marTop w:val="0"/>
          <w:marBottom w:val="0"/>
          <w:divBdr>
            <w:top w:val="none" w:sz="0" w:space="0" w:color="auto"/>
            <w:left w:val="none" w:sz="0" w:space="0" w:color="auto"/>
            <w:bottom w:val="none" w:sz="0" w:space="0" w:color="auto"/>
            <w:right w:val="none" w:sz="0" w:space="0" w:color="auto"/>
          </w:divBdr>
          <w:divsChild>
            <w:div w:id="19987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7381">
      <w:bodyDiv w:val="1"/>
      <w:marLeft w:val="0"/>
      <w:marRight w:val="0"/>
      <w:marTop w:val="0"/>
      <w:marBottom w:val="0"/>
      <w:divBdr>
        <w:top w:val="none" w:sz="0" w:space="0" w:color="auto"/>
        <w:left w:val="none" w:sz="0" w:space="0" w:color="auto"/>
        <w:bottom w:val="none" w:sz="0" w:space="0" w:color="auto"/>
        <w:right w:val="none" w:sz="0" w:space="0" w:color="auto"/>
      </w:divBdr>
    </w:div>
    <w:div w:id="1582520631">
      <w:bodyDiv w:val="1"/>
      <w:marLeft w:val="0"/>
      <w:marRight w:val="0"/>
      <w:marTop w:val="0"/>
      <w:marBottom w:val="0"/>
      <w:divBdr>
        <w:top w:val="none" w:sz="0" w:space="0" w:color="auto"/>
        <w:left w:val="none" w:sz="0" w:space="0" w:color="auto"/>
        <w:bottom w:val="none" w:sz="0" w:space="0" w:color="auto"/>
        <w:right w:val="none" w:sz="0" w:space="0" w:color="auto"/>
      </w:divBdr>
    </w:div>
    <w:div w:id="1651863851">
      <w:bodyDiv w:val="1"/>
      <w:marLeft w:val="0"/>
      <w:marRight w:val="0"/>
      <w:marTop w:val="0"/>
      <w:marBottom w:val="0"/>
      <w:divBdr>
        <w:top w:val="none" w:sz="0" w:space="0" w:color="auto"/>
        <w:left w:val="none" w:sz="0" w:space="0" w:color="auto"/>
        <w:bottom w:val="none" w:sz="0" w:space="0" w:color="auto"/>
        <w:right w:val="none" w:sz="0" w:space="0" w:color="auto"/>
      </w:divBdr>
    </w:div>
    <w:div w:id="1658730157">
      <w:bodyDiv w:val="1"/>
      <w:marLeft w:val="0"/>
      <w:marRight w:val="0"/>
      <w:marTop w:val="0"/>
      <w:marBottom w:val="0"/>
      <w:divBdr>
        <w:top w:val="none" w:sz="0" w:space="0" w:color="auto"/>
        <w:left w:val="none" w:sz="0" w:space="0" w:color="auto"/>
        <w:bottom w:val="none" w:sz="0" w:space="0" w:color="auto"/>
        <w:right w:val="none" w:sz="0" w:space="0" w:color="auto"/>
      </w:divBdr>
    </w:div>
    <w:div w:id="1662930064">
      <w:bodyDiv w:val="1"/>
      <w:marLeft w:val="0"/>
      <w:marRight w:val="0"/>
      <w:marTop w:val="0"/>
      <w:marBottom w:val="0"/>
      <w:divBdr>
        <w:top w:val="none" w:sz="0" w:space="0" w:color="auto"/>
        <w:left w:val="none" w:sz="0" w:space="0" w:color="auto"/>
        <w:bottom w:val="none" w:sz="0" w:space="0" w:color="auto"/>
        <w:right w:val="none" w:sz="0" w:space="0" w:color="auto"/>
      </w:divBdr>
    </w:div>
    <w:div w:id="1670517040">
      <w:bodyDiv w:val="1"/>
      <w:marLeft w:val="0"/>
      <w:marRight w:val="0"/>
      <w:marTop w:val="0"/>
      <w:marBottom w:val="0"/>
      <w:divBdr>
        <w:top w:val="none" w:sz="0" w:space="0" w:color="auto"/>
        <w:left w:val="none" w:sz="0" w:space="0" w:color="auto"/>
        <w:bottom w:val="none" w:sz="0" w:space="0" w:color="auto"/>
        <w:right w:val="none" w:sz="0" w:space="0" w:color="auto"/>
      </w:divBdr>
    </w:div>
    <w:div w:id="1682586668">
      <w:bodyDiv w:val="1"/>
      <w:marLeft w:val="0"/>
      <w:marRight w:val="0"/>
      <w:marTop w:val="0"/>
      <w:marBottom w:val="0"/>
      <w:divBdr>
        <w:top w:val="none" w:sz="0" w:space="0" w:color="auto"/>
        <w:left w:val="none" w:sz="0" w:space="0" w:color="auto"/>
        <w:bottom w:val="none" w:sz="0" w:space="0" w:color="auto"/>
        <w:right w:val="none" w:sz="0" w:space="0" w:color="auto"/>
      </w:divBdr>
      <w:divsChild>
        <w:div w:id="170873503">
          <w:marLeft w:val="533"/>
          <w:marRight w:val="0"/>
          <w:marTop w:val="614"/>
          <w:marBottom w:val="0"/>
          <w:divBdr>
            <w:top w:val="none" w:sz="0" w:space="0" w:color="auto"/>
            <w:left w:val="none" w:sz="0" w:space="0" w:color="auto"/>
            <w:bottom w:val="none" w:sz="0" w:space="0" w:color="auto"/>
            <w:right w:val="none" w:sz="0" w:space="0" w:color="auto"/>
          </w:divBdr>
        </w:div>
        <w:div w:id="194659395">
          <w:marLeft w:val="1267"/>
          <w:marRight w:val="0"/>
          <w:marTop w:val="134"/>
          <w:marBottom w:val="0"/>
          <w:divBdr>
            <w:top w:val="none" w:sz="0" w:space="0" w:color="auto"/>
            <w:left w:val="none" w:sz="0" w:space="0" w:color="auto"/>
            <w:bottom w:val="none" w:sz="0" w:space="0" w:color="auto"/>
            <w:right w:val="none" w:sz="0" w:space="0" w:color="auto"/>
          </w:divBdr>
        </w:div>
        <w:div w:id="709064772">
          <w:marLeft w:val="1267"/>
          <w:marRight w:val="0"/>
          <w:marTop w:val="134"/>
          <w:marBottom w:val="0"/>
          <w:divBdr>
            <w:top w:val="none" w:sz="0" w:space="0" w:color="auto"/>
            <w:left w:val="none" w:sz="0" w:space="0" w:color="auto"/>
            <w:bottom w:val="none" w:sz="0" w:space="0" w:color="auto"/>
            <w:right w:val="none" w:sz="0" w:space="0" w:color="auto"/>
          </w:divBdr>
        </w:div>
      </w:divsChild>
    </w:div>
    <w:div w:id="1698044501">
      <w:bodyDiv w:val="1"/>
      <w:marLeft w:val="0"/>
      <w:marRight w:val="0"/>
      <w:marTop w:val="0"/>
      <w:marBottom w:val="0"/>
      <w:divBdr>
        <w:top w:val="none" w:sz="0" w:space="0" w:color="auto"/>
        <w:left w:val="none" w:sz="0" w:space="0" w:color="auto"/>
        <w:bottom w:val="none" w:sz="0" w:space="0" w:color="auto"/>
        <w:right w:val="none" w:sz="0" w:space="0" w:color="auto"/>
      </w:divBdr>
    </w:div>
    <w:div w:id="1700935763">
      <w:bodyDiv w:val="1"/>
      <w:marLeft w:val="0"/>
      <w:marRight w:val="0"/>
      <w:marTop w:val="0"/>
      <w:marBottom w:val="0"/>
      <w:divBdr>
        <w:top w:val="none" w:sz="0" w:space="0" w:color="auto"/>
        <w:left w:val="none" w:sz="0" w:space="0" w:color="auto"/>
        <w:bottom w:val="none" w:sz="0" w:space="0" w:color="auto"/>
        <w:right w:val="none" w:sz="0" w:space="0" w:color="auto"/>
      </w:divBdr>
      <w:divsChild>
        <w:div w:id="198054363">
          <w:marLeft w:val="1267"/>
          <w:marRight w:val="0"/>
          <w:marTop w:val="115"/>
          <w:marBottom w:val="0"/>
          <w:divBdr>
            <w:top w:val="none" w:sz="0" w:space="0" w:color="auto"/>
            <w:left w:val="none" w:sz="0" w:space="0" w:color="auto"/>
            <w:bottom w:val="none" w:sz="0" w:space="0" w:color="auto"/>
            <w:right w:val="none" w:sz="0" w:space="0" w:color="auto"/>
          </w:divBdr>
        </w:div>
        <w:div w:id="753205675">
          <w:marLeft w:val="1267"/>
          <w:marRight w:val="0"/>
          <w:marTop w:val="115"/>
          <w:marBottom w:val="0"/>
          <w:divBdr>
            <w:top w:val="none" w:sz="0" w:space="0" w:color="auto"/>
            <w:left w:val="none" w:sz="0" w:space="0" w:color="auto"/>
            <w:bottom w:val="none" w:sz="0" w:space="0" w:color="auto"/>
            <w:right w:val="none" w:sz="0" w:space="0" w:color="auto"/>
          </w:divBdr>
        </w:div>
        <w:div w:id="1183471469">
          <w:marLeft w:val="533"/>
          <w:marRight w:val="0"/>
          <w:marTop w:val="614"/>
          <w:marBottom w:val="0"/>
          <w:divBdr>
            <w:top w:val="none" w:sz="0" w:space="0" w:color="auto"/>
            <w:left w:val="none" w:sz="0" w:space="0" w:color="auto"/>
            <w:bottom w:val="none" w:sz="0" w:space="0" w:color="auto"/>
            <w:right w:val="none" w:sz="0" w:space="0" w:color="auto"/>
          </w:divBdr>
        </w:div>
        <w:div w:id="1353605322">
          <w:marLeft w:val="1267"/>
          <w:marRight w:val="0"/>
          <w:marTop w:val="115"/>
          <w:marBottom w:val="0"/>
          <w:divBdr>
            <w:top w:val="none" w:sz="0" w:space="0" w:color="auto"/>
            <w:left w:val="none" w:sz="0" w:space="0" w:color="auto"/>
            <w:bottom w:val="none" w:sz="0" w:space="0" w:color="auto"/>
            <w:right w:val="none" w:sz="0" w:space="0" w:color="auto"/>
          </w:divBdr>
        </w:div>
        <w:div w:id="1622880018">
          <w:marLeft w:val="1267"/>
          <w:marRight w:val="0"/>
          <w:marTop w:val="115"/>
          <w:marBottom w:val="0"/>
          <w:divBdr>
            <w:top w:val="none" w:sz="0" w:space="0" w:color="auto"/>
            <w:left w:val="none" w:sz="0" w:space="0" w:color="auto"/>
            <w:bottom w:val="none" w:sz="0" w:space="0" w:color="auto"/>
            <w:right w:val="none" w:sz="0" w:space="0" w:color="auto"/>
          </w:divBdr>
        </w:div>
        <w:div w:id="1792434564">
          <w:marLeft w:val="533"/>
          <w:marRight w:val="0"/>
          <w:marTop w:val="614"/>
          <w:marBottom w:val="0"/>
          <w:divBdr>
            <w:top w:val="none" w:sz="0" w:space="0" w:color="auto"/>
            <w:left w:val="none" w:sz="0" w:space="0" w:color="auto"/>
            <w:bottom w:val="none" w:sz="0" w:space="0" w:color="auto"/>
            <w:right w:val="none" w:sz="0" w:space="0" w:color="auto"/>
          </w:divBdr>
        </w:div>
        <w:div w:id="2064131430">
          <w:marLeft w:val="1267"/>
          <w:marRight w:val="0"/>
          <w:marTop w:val="115"/>
          <w:marBottom w:val="0"/>
          <w:divBdr>
            <w:top w:val="none" w:sz="0" w:space="0" w:color="auto"/>
            <w:left w:val="none" w:sz="0" w:space="0" w:color="auto"/>
            <w:bottom w:val="none" w:sz="0" w:space="0" w:color="auto"/>
            <w:right w:val="none" w:sz="0" w:space="0" w:color="auto"/>
          </w:divBdr>
        </w:div>
        <w:div w:id="2093745175">
          <w:marLeft w:val="1267"/>
          <w:marRight w:val="0"/>
          <w:marTop w:val="115"/>
          <w:marBottom w:val="0"/>
          <w:divBdr>
            <w:top w:val="none" w:sz="0" w:space="0" w:color="auto"/>
            <w:left w:val="none" w:sz="0" w:space="0" w:color="auto"/>
            <w:bottom w:val="none" w:sz="0" w:space="0" w:color="auto"/>
            <w:right w:val="none" w:sz="0" w:space="0" w:color="auto"/>
          </w:divBdr>
        </w:div>
      </w:divsChild>
    </w:div>
    <w:div w:id="1718581216">
      <w:bodyDiv w:val="1"/>
      <w:marLeft w:val="0"/>
      <w:marRight w:val="0"/>
      <w:marTop w:val="0"/>
      <w:marBottom w:val="0"/>
      <w:divBdr>
        <w:top w:val="none" w:sz="0" w:space="0" w:color="auto"/>
        <w:left w:val="none" w:sz="0" w:space="0" w:color="auto"/>
        <w:bottom w:val="none" w:sz="0" w:space="0" w:color="auto"/>
        <w:right w:val="none" w:sz="0" w:space="0" w:color="auto"/>
      </w:divBdr>
    </w:div>
    <w:div w:id="1753356653">
      <w:bodyDiv w:val="1"/>
      <w:marLeft w:val="0"/>
      <w:marRight w:val="0"/>
      <w:marTop w:val="0"/>
      <w:marBottom w:val="0"/>
      <w:divBdr>
        <w:top w:val="none" w:sz="0" w:space="0" w:color="auto"/>
        <w:left w:val="none" w:sz="0" w:space="0" w:color="auto"/>
        <w:bottom w:val="none" w:sz="0" w:space="0" w:color="auto"/>
        <w:right w:val="none" w:sz="0" w:space="0" w:color="auto"/>
      </w:divBdr>
    </w:div>
    <w:div w:id="1755543088">
      <w:bodyDiv w:val="1"/>
      <w:marLeft w:val="0"/>
      <w:marRight w:val="0"/>
      <w:marTop w:val="0"/>
      <w:marBottom w:val="0"/>
      <w:divBdr>
        <w:top w:val="none" w:sz="0" w:space="0" w:color="auto"/>
        <w:left w:val="none" w:sz="0" w:space="0" w:color="auto"/>
        <w:bottom w:val="none" w:sz="0" w:space="0" w:color="auto"/>
        <w:right w:val="none" w:sz="0" w:space="0" w:color="auto"/>
      </w:divBdr>
    </w:div>
    <w:div w:id="1805465015">
      <w:bodyDiv w:val="1"/>
      <w:marLeft w:val="0"/>
      <w:marRight w:val="0"/>
      <w:marTop w:val="0"/>
      <w:marBottom w:val="0"/>
      <w:divBdr>
        <w:top w:val="none" w:sz="0" w:space="0" w:color="auto"/>
        <w:left w:val="none" w:sz="0" w:space="0" w:color="auto"/>
        <w:bottom w:val="none" w:sz="0" w:space="0" w:color="auto"/>
        <w:right w:val="none" w:sz="0" w:space="0" w:color="auto"/>
      </w:divBdr>
    </w:div>
    <w:div w:id="1863474293">
      <w:bodyDiv w:val="1"/>
      <w:marLeft w:val="0"/>
      <w:marRight w:val="0"/>
      <w:marTop w:val="0"/>
      <w:marBottom w:val="0"/>
      <w:divBdr>
        <w:top w:val="none" w:sz="0" w:space="0" w:color="auto"/>
        <w:left w:val="none" w:sz="0" w:space="0" w:color="auto"/>
        <w:bottom w:val="none" w:sz="0" w:space="0" w:color="auto"/>
        <w:right w:val="none" w:sz="0" w:space="0" w:color="auto"/>
      </w:divBdr>
    </w:div>
    <w:div w:id="1882470290">
      <w:bodyDiv w:val="1"/>
      <w:marLeft w:val="0"/>
      <w:marRight w:val="0"/>
      <w:marTop w:val="0"/>
      <w:marBottom w:val="0"/>
      <w:divBdr>
        <w:top w:val="none" w:sz="0" w:space="0" w:color="auto"/>
        <w:left w:val="none" w:sz="0" w:space="0" w:color="auto"/>
        <w:bottom w:val="none" w:sz="0" w:space="0" w:color="auto"/>
        <w:right w:val="none" w:sz="0" w:space="0" w:color="auto"/>
      </w:divBdr>
      <w:divsChild>
        <w:div w:id="87122596">
          <w:marLeft w:val="0"/>
          <w:marRight w:val="0"/>
          <w:marTop w:val="0"/>
          <w:marBottom w:val="0"/>
          <w:divBdr>
            <w:top w:val="none" w:sz="0" w:space="0" w:color="auto"/>
            <w:left w:val="none" w:sz="0" w:space="0" w:color="auto"/>
            <w:bottom w:val="none" w:sz="0" w:space="0" w:color="auto"/>
            <w:right w:val="none" w:sz="0" w:space="0" w:color="auto"/>
          </w:divBdr>
        </w:div>
        <w:div w:id="840585492">
          <w:marLeft w:val="0"/>
          <w:marRight w:val="0"/>
          <w:marTop w:val="0"/>
          <w:marBottom w:val="0"/>
          <w:divBdr>
            <w:top w:val="none" w:sz="0" w:space="0" w:color="auto"/>
            <w:left w:val="none" w:sz="0" w:space="0" w:color="auto"/>
            <w:bottom w:val="none" w:sz="0" w:space="0" w:color="auto"/>
            <w:right w:val="none" w:sz="0" w:space="0" w:color="auto"/>
          </w:divBdr>
        </w:div>
      </w:divsChild>
    </w:div>
    <w:div w:id="1894343863">
      <w:bodyDiv w:val="1"/>
      <w:marLeft w:val="0"/>
      <w:marRight w:val="0"/>
      <w:marTop w:val="0"/>
      <w:marBottom w:val="0"/>
      <w:divBdr>
        <w:top w:val="none" w:sz="0" w:space="0" w:color="auto"/>
        <w:left w:val="none" w:sz="0" w:space="0" w:color="auto"/>
        <w:bottom w:val="none" w:sz="0" w:space="0" w:color="auto"/>
        <w:right w:val="none" w:sz="0" w:space="0" w:color="auto"/>
      </w:divBdr>
    </w:div>
    <w:div w:id="1902520139">
      <w:bodyDiv w:val="1"/>
      <w:marLeft w:val="0"/>
      <w:marRight w:val="0"/>
      <w:marTop w:val="0"/>
      <w:marBottom w:val="0"/>
      <w:divBdr>
        <w:top w:val="none" w:sz="0" w:space="0" w:color="auto"/>
        <w:left w:val="none" w:sz="0" w:space="0" w:color="auto"/>
        <w:bottom w:val="none" w:sz="0" w:space="0" w:color="auto"/>
        <w:right w:val="none" w:sz="0" w:space="0" w:color="auto"/>
      </w:divBdr>
    </w:div>
    <w:div w:id="1912616723">
      <w:bodyDiv w:val="1"/>
      <w:marLeft w:val="0"/>
      <w:marRight w:val="0"/>
      <w:marTop w:val="0"/>
      <w:marBottom w:val="0"/>
      <w:divBdr>
        <w:top w:val="none" w:sz="0" w:space="0" w:color="auto"/>
        <w:left w:val="none" w:sz="0" w:space="0" w:color="auto"/>
        <w:bottom w:val="none" w:sz="0" w:space="0" w:color="auto"/>
        <w:right w:val="none" w:sz="0" w:space="0" w:color="auto"/>
      </w:divBdr>
    </w:div>
    <w:div w:id="1927420488">
      <w:bodyDiv w:val="1"/>
      <w:marLeft w:val="0"/>
      <w:marRight w:val="0"/>
      <w:marTop w:val="0"/>
      <w:marBottom w:val="0"/>
      <w:divBdr>
        <w:top w:val="none" w:sz="0" w:space="0" w:color="auto"/>
        <w:left w:val="none" w:sz="0" w:space="0" w:color="auto"/>
        <w:bottom w:val="none" w:sz="0" w:space="0" w:color="auto"/>
        <w:right w:val="none" w:sz="0" w:space="0" w:color="auto"/>
      </w:divBdr>
    </w:div>
    <w:div w:id="1932666000">
      <w:bodyDiv w:val="1"/>
      <w:marLeft w:val="0"/>
      <w:marRight w:val="0"/>
      <w:marTop w:val="0"/>
      <w:marBottom w:val="0"/>
      <w:divBdr>
        <w:top w:val="none" w:sz="0" w:space="0" w:color="auto"/>
        <w:left w:val="none" w:sz="0" w:space="0" w:color="auto"/>
        <w:bottom w:val="none" w:sz="0" w:space="0" w:color="auto"/>
        <w:right w:val="none" w:sz="0" w:space="0" w:color="auto"/>
      </w:divBdr>
      <w:divsChild>
        <w:div w:id="2104377001">
          <w:marLeft w:val="0"/>
          <w:marRight w:val="0"/>
          <w:marTop w:val="0"/>
          <w:marBottom w:val="0"/>
          <w:divBdr>
            <w:top w:val="none" w:sz="0" w:space="0" w:color="auto"/>
            <w:left w:val="none" w:sz="0" w:space="0" w:color="auto"/>
            <w:bottom w:val="none" w:sz="0" w:space="0" w:color="auto"/>
            <w:right w:val="none" w:sz="0" w:space="0" w:color="auto"/>
          </w:divBdr>
        </w:div>
      </w:divsChild>
    </w:div>
    <w:div w:id="1968391810">
      <w:bodyDiv w:val="1"/>
      <w:marLeft w:val="0"/>
      <w:marRight w:val="0"/>
      <w:marTop w:val="0"/>
      <w:marBottom w:val="0"/>
      <w:divBdr>
        <w:top w:val="none" w:sz="0" w:space="0" w:color="auto"/>
        <w:left w:val="none" w:sz="0" w:space="0" w:color="auto"/>
        <w:bottom w:val="none" w:sz="0" w:space="0" w:color="auto"/>
        <w:right w:val="none" w:sz="0" w:space="0" w:color="auto"/>
      </w:divBdr>
    </w:div>
    <w:div w:id="2003582522">
      <w:bodyDiv w:val="1"/>
      <w:marLeft w:val="0"/>
      <w:marRight w:val="0"/>
      <w:marTop w:val="0"/>
      <w:marBottom w:val="0"/>
      <w:divBdr>
        <w:top w:val="none" w:sz="0" w:space="0" w:color="auto"/>
        <w:left w:val="none" w:sz="0" w:space="0" w:color="auto"/>
        <w:bottom w:val="none" w:sz="0" w:space="0" w:color="auto"/>
        <w:right w:val="none" w:sz="0" w:space="0" w:color="auto"/>
      </w:divBdr>
    </w:div>
    <w:div w:id="2033996774">
      <w:bodyDiv w:val="1"/>
      <w:marLeft w:val="0"/>
      <w:marRight w:val="0"/>
      <w:marTop w:val="0"/>
      <w:marBottom w:val="0"/>
      <w:divBdr>
        <w:top w:val="none" w:sz="0" w:space="0" w:color="auto"/>
        <w:left w:val="none" w:sz="0" w:space="0" w:color="auto"/>
        <w:bottom w:val="none" w:sz="0" w:space="0" w:color="auto"/>
        <w:right w:val="none" w:sz="0" w:space="0" w:color="auto"/>
      </w:divBdr>
    </w:div>
    <w:div w:id="2105765443">
      <w:bodyDiv w:val="1"/>
      <w:marLeft w:val="0"/>
      <w:marRight w:val="0"/>
      <w:marTop w:val="0"/>
      <w:marBottom w:val="0"/>
      <w:divBdr>
        <w:top w:val="none" w:sz="0" w:space="0" w:color="auto"/>
        <w:left w:val="none" w:sz="0" w:space="0" w:color="auto"/>
        <w:bottom w:val="none" w:sz="0" w:space="0" w:color="auto"/>
        <w:right w:val="none" w:sz="0" w:space="0" w:color="auto"/>
      </w:divBdr>
      <w:divsChild>
        <w:div w:id="390226794">
          <w:marLeft w:val="533"/>
          <w:marRight w:val="0"/>
          <w:marTop w:val="614"/>
          <w:marBottom w:val="0"/>
          <w:divBdr>
            <w:top w:val="none" w:sz="0" w:space="0" w:color="auto"/>
            <w:left w:val="none" w:sz="0" w:space="0" w:color="auto"/>
            <w:bottom w:val="none" w:sz="0" w:space="0" w:color="auto"/>
            <w:right w:val="none" w:sz="0" w:space="0" w:color="auto"/>
          </w:divBdr>
        </w:div>
      </w:divsChild>
    </w:div>
    <w:div w:id="2117826591">
      <w:bodyDiv w:val="1"/>
      <w:marLeft w:val="0"/>
      <w:marRight w:val="0"/>
      <w:marTop w:val="0"/>
      <w:marBottom w:val="0"/>
      <w:divBdr>
        <w:top w:val="none" w:sz="0" w:space="0" w:color="auto"/>
        <w:left w:val="none" w:sz="0" w:space="0" w:color="auto"/>
        <w:bottom w:val="none" w:sz="0" w:space="0" w:color="auto"/>
        <w:right w:val="none" w:sz="0" w:space="0" w:color="auto"/>
      </w:divBdr>
    </w:div>
    <w:div w:id="2135707622">
      <w:bodyDiv w:val="1"/>
      <w:marLeft w:val="0"/>
      <w:marRight w:val="0"/>
      <w:marTop w:val="0"/>
      <w:marBottom w:val="0"/>
      <w:divBdr>
        <w:top w:val="none" w:sz="0" w:space="0" w:color="auto"/>
        <w:left w:val="none" w:sz="0" w:space="0" w:color="auto"/>
        <w:bottom w:val="none" w:sz="0" w:space="0" w:color="auto"/>
        <w:right w:val="none" w:sz="0" w:space="0" w:color="auto"/>
      </w:divBdr>
      <w:divsChild>
        <w:div w:id="365108022">
          <w:marLeft w:val="0"/>
          <w:marRight w:val="0"/>
          <w:marTop w:val="0"/>
          <w:marBottom w:val="0"/>
          <w:divBdr>
            <w:top w:val="none" w:sz="0" w:space="0" w:color="auto"/>
            <w:left w:val="none" w:sz="0" w:space="0" w:color="auto"/>
            <w:bottom w:val="none" w:sz="0" w:space="0" w:color="auto"/>
            <w:right w:val="none" w:sz="0" w:space="0" w:color="auto"/>
          </w:divBdr>
        </w:div>
        <w:div w:id="122356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who.int/__data/assets/pdf_file/0018/351360/Toolkit-social-participation_en_ro_FINAL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is.paho.org/handle/10665.2/522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ho.org/en/documents/health-plan-afro-descendant-youth-latin-america-and-caribbe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gb/ebwha/pdf_files/WHA74/A74_R16-en.pdf" TargetMode="External"/><Relationship Id="rId13" Type="http://schemas.openxmlformats.org/officeDocument/2006/relationships/hyperlink" Target="https://www.ohchr.org/en/documents/general-comments-and-recommendations/general-recommendation-no-35-2017-gender-based" TargetMode="External"/><Relationship Id="rId18" Type="http://schemas.openxmlformats.org/officeDocument/2006/relationships/hyperlink" Target="https://www.cdc.gov/tobacco/health-equity/african-american/health-burden.html" TargetMode="External"/><Relationship Id="rId26" Type="http://schemas.openxmlformats.org/officeDocument/2006/relationships/hyperlink" Target="https://www.who.int/publications/i/item/9789240017924" TargetMode="External"/><Relationship Id="rId39" Type="http://schemas.openxmlformats.org/officeDocument/2006/relationships/hyperlink" Target="http://apps.who.int/iris/bitstream/10665/181169/1/WHO%20Roma%20Health%20Case%20Study_low_V7.pdf?ua=1" TargetMode="External"/><Relationship Id="rId3" Type="http://schemas.openxmlformats.org/officeDocument/2006/relationships/hyperlink" Target="https://www.who.int/about/governance/constitution" TargetMode="External"/><Relationship Id="rId21" Type="http://schemas.openxmlformats.org/officeDocument/2006/relationships/hyperlink" Target="https://cdn.who.int/reproductive-health/abortion/supplementary-material-1.pdf" TargetMode="External"/><Relationship Id="rId34" Type="http://schemas.openxmlformats.org/officeDocument/2006/relationships/hyperlink" Target="https://iris.paho.org/handle/10665.2/55863" TargetMode="External"/><Relationship Id="rId42" Type="http://schemas.openxmlformats.org/officeDocument/2006/relationships/hyperlink" Target="https://leg.mt.gov/bills/mca/title_0160/chapter_0110/part_0010/section_0110/0160-0110-0010-0110.html" TargetMode="External"/><Relationship Id="rId7" Type="http://schemas.openxmlformats.org/officeDocument/2006/relationships/hyperlink" Target="https://apps.who.int/gb/ebwha/pdf_files/WHA60/A60_19-en.pdf" TargetMode="External"/><Relationship Id="rId12" Type="http://schemas.openxmlformats.org/officeDocument/2006/relationships/hyperlink" Target="https://tbinternet.ohchr.org/_layouts/15/treatybodyexternal/Download.aspx?symbolno=E%2fC.12%2fGC%2f22&amp;Lang=en" TargetMode="External"/><Relationship Id="rId17" Type="http://schemas.openxmlformats.org/officeDocument/2006/relationships/hyperlink" Target="https://www.canada.ca/en/public-health/services/publications/science-research-data/inequalities-smoking-infographic.html" TargetMode="External"/><Relationship Id="rId25" Type="http://schemas.openxmlformats.org/officeDocument/2006/relationships/hyperlink" Target="https://www.who.int/news-room/fact-sheets/detail/refugee-and-migrant-health" TargetMode="External"/><Relationship Id="rId33" Type="http://schemas.openxmlformats.org/officeDocument/2006/relationships/hyperlink" Target="https://iris.paho.org/handle/10665.2/52251" TargetMode="External"/><Relationship Id="rId38" Type="http://schemas.openxmlformats.org/officeDocument/2006/relationships/hyperlink" Target="https://apps.who.int/iris/handle/10665/164586?locale-attribute=pt&amp;" TargetMode="External"/><Relationship Id="rId46" Type="http://schemas.openxmlformats.org/officeDocument/2006/relationships/hyperlink" Target="https://fctc.who.int/publications/m/item/tobacco-advertising-promotion-and-sponsorship" TargetMode="External"/><Relationship Id="rId2" Type="http://schemas.openxmlformats.org/officeDocument/2006/relationships/hyperlink" Target="https://www.un.org/ga/A/RES/70/1&amp;Lang=E" TargetMode="External"/><Relationship Id="rId16" Type="http://schemas.openxmlformats.org/officeDocument/2006/relationships/hyperlink" Target="https://www.health.govt.nz2025" TargetMode="External"/><Relationship Id="rId20" Type="http://schemas.openxmlformats.org/officeDocument/2006/relationships/hyperlink" Target="https://apps.who.int/iris/handle/10665/112848" TargetMode="External"/><Relationship Id="rId29" Type="http://schemas.openxmlformats.org/officeDocument/2006/relationships/hyperlink" Target="https://www.un.org/development/desa/disabilities/resources/factsheet-on-persons-with-disabilities.html" TargetMode="External"/><Relationship Id="rId41" Type="http://schemas.openxmlformats.org/officeDocument/2006/relationships/hyperlink" Target="https://www.ontario.ca/document/tobacco-tax/first-nations-cigarette-allocation-system" TargetMode="External"/><Relationship Id="rId1" Type="http://schemas.openxmlformats.org/officeDocument/2006/relationships/hyperlink" Target="https://www.who.int/about/what-we-do/thirteenth-general-programme-of-work-2019---2023" TargetMode="External"/><Relationship Id="rId6" Type="http://schemas.openxmlformats.org/officeDocument/2006/relationships/hyperlink" Target="https://www.who.int/docs/default-source/primary-health/declaration/gcphc-declaration.pdf" TargetMode="External"/><Relationship Id="rId11" Type="http://schemas.openxmlformats.org/officeDocument/2006/relationships/hyperlink" Target="https://www.who.int/publications/m/item/frontier-dialogue-consultations-on-addressing-structural-racial-and-ethnicity-based-discrimination" TargetMode="External"/><Relationship Id="rId24" Type="http://schemas.openxmlformats.org/officeDocument/2006/relationships/hyperlink" Target="https://www.ohchr.org/sites/default/files/Documents/Issues/Migration/GlobalCompactMigration/IrregularMigrants.pdf" TargetMode="External"/><Relationship Id="rId32" Type="http://schemas.openxmlformats.org/officeDocument/2006/relationships/hyperlink" Target="https://www.paho.org/en/documents/health-plan-afro-descendant-youth-latin-america-and-caribbean" TargetMode="External"/><Relationship Id="rId37" Type="http://schemas.openxmlformats.org/officeDocument/2006/relationships/hyperlink" Target="https://www.euro.who.int/__data/assets/pdf_file/0016/235141/e96931.pdf" TargetMode="External"/><Relationship Id="rId40" Type="http://schemas.openxmlformats.org/officeDocument/2006/relationships/hyperlink" Target="https://www.euro.who.int/__data/assets/pdf_file/0005/127526/e94497.pdf" TargetMode="External"/><Relationship Id="rId45" Type="http://schemas.openxmlformats.org/officeDocument/2006/relationships/hyperlink" Target="https://investor.altria.com/press-releases/news-details/2020/Altria-Announces-Five-Million-Dollar-Donation-to-Fight-Racial-Inequality/default.aspx" TargetMode="External"/><Relationship Id="rId5" Type="http://schemas.openxmlformats.org/officeDocument/2006/relationships/hyperlink" Target="https://documents-dds-ny.un.org/doc/UNDOC/GEN/N19/311/84/PDF/N1931184.pdf?OpenElement" TargetMode="External"/><Relationship Id="rId15" Type="http://schemas.openxmlformats.org/officeDocument/2006/relationships/hyperlink" Target="https://www.health.nsw.gov.au/tobacco/Pages/aboriginal-communities-smoking.aspx" TargetMode="External"/><Relationship Id="rId23" Type="http://schemas.openxmlformats.org/officeDocument/2006/relationships/hyperlink" Target="https://apps.who.int/iris/bitstream/.pdf" TargetMode="External"/><Relationship Id="rId28" Type="http://schemas.openxmlformats.org/officeDocument/2006/relationships/hyperlink" Target="https://www.un.org/en/content/disabilitystrategy/assets/documentation/UN_Disability_Inclusion_Strategy_english.pdf" TargetMode="External"/><Relationship Id="rId36" Type="http://schemas.openxmlformats.org/officeDocument/2006/relationships/hyperlink" Target="https://www.euro.who.int/en/publications/abstracts/toolkit-on-social-participation.-methods-and-techniques-for-ensuring-the-social-participation-of-roma-populations-and-other-social-groups-in-the-design,-implementation,-monitoring-and-evaluation-of-policies-and-programmes-to-improve-their-health-2016" TargetMode="External"/><Relationship Id="rId10" Type="http://schemas.openxmlformats.org/officeDocument/2006/relationships/hyperlink" Target="https://unsdg.un.org/resources/leaving-no-one-behind-unsdg-operational-guide-un-country-teams).l" TargetMode="External"/><Relationship Id="rId19" Type="http://schemas.openxmlformats.org/officeDocument/2006/relationships/hyperlink" Target="https://www.who.int/news-room/fact-sheets/detail/tobacco" TargetMode="External"/><Relationship Id="rId31" Type="http://schemas.openxmlformats.org/officeDocument/2006/relationships/hyperlink" Target="https://iris.paho.org/handle/10665.2/51744" TargetMode="External"/><Relationship Id="rId44" Type="http://schemas.openxmlformats.org/officeDocument/2006/relationships/hyperlink" Target="https://www.publichealthlawcenter.org/sites/default/files/resources/tclc-fs-global-flavored-regs-2015.pdf" TargetMode="External"/><Relationship Id="rId4" Type="http://schemas.openxmlformats.org/officeDocument/2006/relationships/hyperlink" Target="https://www.ohchr.org/en/documents/general-comments-and-recommendations/general-comment-no-22-2016-right-sexual-and" TargetMode="External"/><Relationship Id="rId9" Type="http://schemas.openxmlformats.org/officeDocument/2006/relationships/hyperlink" Target="https://apps.who.int/gb/ebwha/pdf_files/WHA69/A69_11-en.pdf" TargetMode="External"/><Relationship Id="rId14" Type="http://schemas.openxmlformats.org/officeDocument/2006/relationships/hyperlink" Target="https://fctc.who.int/publications/i/item/9241591013" TargetMode="External"/><Relationship Id="rId22" Type="http://schemas.openxmlformats.org/officeDocument/2006/relationships/hyperlink" Target="https://cdn.who.int/media/docs/default-source/reproductive-health/abortion/supplementary-material-1.pdf?sfvrsn=5bc94f18_7" TargetMode="External"/><Relationship Id="rId27" Type="http://schemas.openxmlformats.org/officeDocument/2006/relationships/hyperlink" Target="https://www.who.int/news-room/fact-sheets/detail/human-rights-and-health" TargetMode="External"/><Relationship Id="rId30" Type="http://schemas.openxmlformats.org/officeDocument/2006/relationships/hyperlink" Target="https://www.paho.org/en/documents/policy-ethnicity-and-health-29th-pan-american-sanitary-conference" TargetMode="External"/><Relationship Id="rId35" Type="http://schemas.openxmlformats.org/officeDocument/2006/relationships/hyperlink" Target="https://www.euro.who.int/en/health-topics/health-determinants/roma-health/roma-inclusion-newsletter" TargetMode="External"/><Relationship Id="rId43" Type="http://schemas.openxmlformats.org/officeDocument/2006/relationships/hyperlink" Target="https://fctc.who.int/publications/m/item/regulation-of-the-contents-of-tobacco-products-and-regulation-of-tobacco-product-disclosu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E79A8DAA94144B8069FFAD0403689A" ma:contentTypeVersion="14" ma:contentTypeDescription="Create a new document." ma:contentTypeScope="" ma:versionID="d029e53bc3a23f541b6604d5f0353997">
  <xsd:schema xmlns:xsd="http://www.w3.org/2001/XMLSchema" xmlns:xs="http://www.w3.org/2001/XMLSchema" xmlns:p="http://schemas.microsoft.com/office/2006/metadata/properties" xmlns:ns3="13ff1697-5ef7-46b2-af05-8d717c2453ab" xmlns:ns4="83c83ba8-bc78-4120-b456-0f515b6503ff" targetNamespace="http://schemas.microsoft.com/office/2006/metadata/properties" ma:root="true" ma:fieldsID="e61422ac8470a7bbd559c9d71eafe092" ns3:_="" ns4:_="">
    <xsd:import namespace="13ff1697-5ef7-46b2-af05-8d717c2453ab"/>
    <xsd:import namespace="83c83ba8-bc78-4120-b456-0f515b650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f1697-5ef7-46b2-af05-8d717c245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83ba8-bc78-4120-b456-0f515b650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6F07-DB03-49A0-8949-C1929130B8EA}">
  <ds:schemaRefs>
    <ds:schemaRef ds:uri="http://purl.org/dc/terms/"/>
    <ds:schemaRef ds:uri="http://schemas.openxmlformats.org/package/2006/metadata/core-properties"/>
    <ds:schemaRef ds:uri="http://schemas.microsoft.com/office/2006/documentManagement/types"/>
    <ds:schemaRef ds:uri="83c83ba8-bc78-4120-b456-0f515b6503ff"/>
    <ds:schemaRef ds:uri="http://purl.org/dc/elements/1.1/"/>
    <ds:schemaRef ds:uri="http://schemas.microsoft.com/office/2006/metadata/properties"/>
    <ds:schemaRef ds:uri="13ff1697-5ef7-46b2-af05-8d717c2453a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08DD2A-3E68-41AD-811F-1810B0BF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f1697-5ef7-46b2-af05-8d717c2453ab"/>
    <ds:schemaRef ds:uri="83c83ba8-bc78-4120-b456-0f515b650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4EF5B-BCE2-4A52-BA9E-3F74AF8A4466}">
  <ds:schemaRefs>
    <ds:schemaRef ds:uri="http://schemas.microsoft.com/sharepoint/v3/contenttype/forms"/>
  </ds:schemaRefs>
</ds:datastoreItem>
</file>

<file path=customXml/itemProps4.xml><?xml version="1.0" encoding="utf-8"?>
<ds:datastoreItem xmlns:ds="http://schemas.openxmlformats.org/officeDocument/2006/customXml" ds:itemID="{5D803206-A465-4B3C-8CBF-A64DE963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27158</CharactersWithSpaces>
  <SharedDoc>false</SharedDoc>
  <HLinks>
    <vt:vector size="300" baseType="variant">
      <vt:variant>
        <vt:i4>7864331</vt:i4>
      </vt:variant>
      <vt:variant>
        <vt:i4>6</vt:i4>
      </vt:variant>
      <vt:variant>
        <vt:i4>0</vt:i4>
      </vt:variant>
      <vt:variant>
        <vt:i4>5</vt:i4>
      </vt:variant>
      <vt:variant>
        <vt:lpwstr>https://www.euro.who.int/__data/assets/pdf_file/0018/351360/Toolkit-social-participation_en_ro_FINAL_final.pdf</vt:lpwstr>
      </vt:variant>
      <vt:variant>
        <vt:lpwstr/>
      </vt:variant>
      <vt:variant>
        <vt:i4>2949165</vt:i4>
      </vt:variant>
      <vt:variant>
        <vt:i4>3</vt:i4>
      </vt:variant>
      <vt:variant>
        <vt:i4>0</vt:i4>
      </vt:variant>
      <vt:variant>
        <vt:i4>5</vt:i4>
      </vt:variant>
      <vt:variant>
        <vt:lpwstr>https://iris.paho.org/handle/10665.2/52251</vt:lpwstr>
      </vt:variant>
      <vt:variant>
        <vt:lpwstr/>
      </vt:variant>
      <vt:variant>
        <vt:i4>2818094</vt:i4>
      </vt:variant>
      <vt:variant>
        <vt:i4>0</vt:i4>
      </vt:variant>
      <vt:variant>
        <vt:i4>0</vt:i4>
      </vt:variant>
      <vt:variant>
        <vt:i4>5</vt:i4>
      </vt:variant>
      <vt:variant>
        <vt:lpwstr>https://www.paho.org/en/documents/health-plan-afro-descendant-youth-latin-america-and-caribbean</vt:lpwstr>
      </vt:variant>
      <vt:variant>
        <vt:lpwstr/>
      </vt:variant>
      <vt:variant>
        <vt:i4>8323107</vt:i4>
      </vt:variant>
      <vt:variant>
        <vt:i4>138</vt:i4>
      </vt:variant>
      <vt:variant>
        <vt:i4>0</vt:i4>
      </vt:variant>
      <vt:variant>
        <vt:i4>5</vt:i4>
      </vt:variant>
      <vt:variant>
        <vt:lpwstr>https://fctc.who.int/publications/m/item/tobacco-advertising-promotion-and-sponsorship</vt:lpwstr>
      </vt:variant>
      <vt:variant>
        <vt:lpwstr/>
      </vt:variant>
      <vt:variant>
        <vt:i4>7471205</vt:i4>
      </vt:variant>
      <vt:variant>
        <vt:i4>135</vt:i4>
      </vt:variant>
      <vt:variant>
        <vt:i4>0</vt:i4>
      </vt:variant>
      <vt:variant>
        <vt:i4>5</vt:i4>
      </vt:variant>
      <vt:variant>
        <vt:lpwstr>https://investor.altria.com/press-releases/news-details/2020/Altria-Announces-Five-Million-Dollar-Donation-to-Fight-Racial-Inequality/default.aspx</vt:lpwstr>
      </vt:variant>
      <vt:variant>
        <vt:lpwstr/>
      </vt:variant>
      <vt:variant>
        <vt:i4>655391</vt:i4>
      </vt:variant>
      <vt:variant>
        <vt:i4>132</vt:i4>
      </vt:variant>
      <vt:variant>
        <vt:i4>0</vt:i4>
      </vt:variant>
      <vt:variant>
        <vt:i4>5</vt:i4>
      </vt:variant>
      <vt:variant>
        <vt:lpwstr>https://www.publichealthlawcenter.org/sites/default/files/resources/tclc-fs-global-flavored-regs-2015.pdf</vt:lpwstr>
      </vt:variant>
      <vt:variant>
        <vt:lpwstr/>
      </vt:variant>
      <vt:variant>
        <vt:i4>4980742</vt:i4>
      </vt:variant>
      <vt:variant>
        <vt:i4>129</vt:i4>
      </vt:variant>
      <vt:variant>
        <vt:i4>0</vt:i4>
      </vt:variant>
      <vt:variant>
        <vt:i4>5</vt:i4>
      </vt:variant>
      <vt:variant>
        <vt:lpwstr>https://fctc.who.int/publications/m/item/regulation-of-the-contents-of-tobacco-products-and-regulation-of-tobacco-product-disclosures</vt:lpwstr>
      </vt:variant>
      <vt:variant>
        <vt:lpwstr/>
      </vt:variant>
      <vt:variant>
        <vt:i4>6225990</vt:i4>
      </vt:variant>
      <vt:variant>
        <vt:i4>126</vt:i4>
      </vt:variant>
      <vt:variant>
        <vt:i4>0</vt:i4>
      </vt:variant>
      <vt:variant>
        <vt:i4>5</vt:i4>
      </vt:variant>
      <vt:variant>
        <vt:lpwstr>https://leg.mt.gov/bills/mca/title_0160/chapter_0110/part_0010/section_0110/0160-0110-0010-0110.html</vt:lpwstr>
      </vt:variant>
      <vt:variant>
        <vt:lpwstr/>
      </vt:variant>
      <vt:variant>
        <vt:i4>786499</vt:i4>
      </vt:variant>
      <vt:variant>
        <vt:i4>123</vt:i4>
      </vt:variant>
      <vt:variant>
        <vt:i4>0</vt:i4>
      </vt:variant>
      <vt:variant>
        <vt:i4>5</vt:i4>
      </vt:variant>
      <vt:variant>
        <vt:lpwstr>https://www.ontario.ca/document/tobacco-tax/first-nations-cigarette-allocation-system</vt:lpwstr>
      </vt:variant>
      <vt:variant>
        <vt:lpwstr/>
      </vt:variant>
      <vt:variant>
        <vt:i4>5439587</vt:i4>
      </vt:variant>
      <vt:variant>
        <vt:i4>120</vt:i4>
      </vt:variant>
      <vt:variant>
        <vt:i4>0</vt:i4>
      </vt:variant>
      <vt:variant>
        <vt:i4>5</vt:i4>
      </vt:variant>
      <vt:variant>
        <vt:lpwstr>https://www.euro.who.int/__data/assets/pdf_file/0005/127526/e94497.pdf</vt:lpwstr>
      </vt:variant>
      <vt:variant>
        <vt:lpwstr/>
      </vt:variant>
      <vt:variant>
        <vt:i4>5505102</vt:i4>
      </vt:variant>
      <vt:variant>
        <vt:i4>117</vt:i4>
      </vt:variant>
      <vt:variant>
        <vt:i4>0</vt:i4>
      </vt:variant>
      <vt:variant>
        <vt:i4>5</vt:i4>
      </vt:variant>
      <vt:variant>
        <vt:lpwstr>http://apps.who.int/iris/bitstream/10665/181169/1/WHO Roma Health Case Study_low_V7.pdf?ua=1</vt:lpwstr>
      </vt:variant>
      <vt:variant>
        <vt:lpwstr/>
      </vt:variant>
      <vt:variant>
        <vt:i4>3735607</vt:i4>
      </vt:variant>
      <vt:variant>
        <vt:i4>114</vt:i4>
      </vt:variant>
      <vt:variant>
        <vt:i4>0</vt:i4>
      </vt:variant>
      <vt:variant>
        <vt:i4>5</vt:i4>
      </vt:variant>
      <vt:variant>
        <vt:lpwstr>https://apps.who.int/iris/handle/10665/164586?locale-attribute=pt&amp;</vt:lpwstr>
      </vt:variant>
      <vt:variant>
        <vt:lpwstr/>
      </vt:variant>
      <vt:variant>
        <vt:i4>6029416</vt:i4>
      </vt:variant>
      <vt:variant>
        <vt:i4>111</vt:i4>
      </vt:variant>
      <vt:variant>
        <vt:i4>0</vt:i4>
      </vt:variant>
      <vt:variant>
        <vt:i4>5</vt:i4>
      </vt:variant>
      <vt:variant>
        <vt:lpwstr>https://www.euro.who.int/__data/assets/pdf_file/0016/235141/e96931.pdf</vt:lpwstr>
      </vt:variant>
      <vt:variant>
        <vt:lpwstr/>
      </vt:variant>
      <vt:variant>
        <vt:i4>5963840</vt:i4>
      </vt:variant>
      <vt:variant>
        <vt:i4>108</vt:i4>
      </vt:variant>
      <vt:variant>
        <vt:i4>0</vt:i4>
      </vt:variant>
      <vt:variant>
        <vt:i4>5</vt:i4>
      </vt:variant>
      <vt:variant>
        <vt:lpwstr>https://www.euro.who.int/en/publications/abstracts/toolkit-on-social-participation.-methods-and-techniques-for-ensuring-the-social-participation-of-roma-populations-and-other-social-groups-in-the-design,-implementation,-monitoring-and-evaluation-of-policies-and-programmes-to-improve-their-health-2016</vt:lpwstr>
      </vt:variant>
      <vt:variant>
        <vt:lpwstr>:~:text=The%20toolkit%20comprises%20a%20detailed,in%20the%20WHO%20European%20Region</vt:lpwstr>
      </vt:variant>
      <vt:variant>
        <vt:i4>2752558</vt:i4>
      </vt:variant>
      <vt:variant>
        <vt:i4>105</vt:i4>
      </vt:variant>
      <vt:variant>
        <vt:i4>0</vt:i4>
      </vt:variant>
      <vt:variant>
        <vt:i4>5</vt:i4>
      </vt:variant>
      <vt:variant>
        <vt:lpwstr>https://www.euro.who.int/en/health-topics/health-determinants/roma-health/roma-inclusion-newsletter</vt:lpwstr>
      </vt:variant>
      <vt:variant>
        <vt:lpwstr/>
      </vt:variant>
      <vt:variant>
        <vt:i4>2424873</vt:i4>
      </vt:variant>
      <vt:variant>
        <vt:i4>102</vt:i4>
      </vt:variant>
      <vt:variant>
        <vt:i4>0</vt:i4>
      </vt:variant>
      <vt:variant>
        <vt:i4>5</vt:i4>
      </vt:variant>
      <vt:variant>
        <vt:lpwstr>https://iris.paho.org/handle/10665.2/55863</vt:lpwstr>
      </vt:variant>
      <vt:variant>
        <vt:lpwstr/>
      </vt:variant>
      <vt:variant>
        <vt:i4>2949165</vt:i4>
      </vt:variant>
      <vt:variant>
        <vt:i4>99</vt:i4>
      </vt:variant>
      <vt:variant>
        <vt:i4>0</vt:i4>
      </vt:variant>
      <vt:variant>
        <vt:i4>5</vt:i4>
      </vt:variant>
      <vt:variant>
        <vt:lpwstr>https://iris.paho.org/handle/10665.2/52251</vt:lpwstr>
      </vt:variant>
      <vt:variant>
        <vt:lpwstr/>
      </vt:variant>
      <vt:variant>
        <vt:i4>2818094</vt:i4>
      </vt:variant>
      <vt:variant>
        <vt:i4>96</vt:i4>
      </vt:variant>
      <vt:variant>
        <vt:i4>0</vt:i4>
      </vt:variant>
      <vt:variant>
        <vt:i4>5</vt:i4>
      </vt:variant>
      <vt:variant>
        <vt:lpwstr>https://www.paho.org/en/documents/health-plan-afro-descendant-youth-latin-america-and-caribbean</vt:lpwstr>
      </vt:variant>
      <vt:variant>
        <vt:lpwstr/>
      </vt:variant>
      <vt:variant>
        <vt:i4>2949167</vt:i4>
      </vt:variant>
      <vt:variant>
        <vt:i4>93</vt:i4>
      </vt:variant>
      <vt:variant>
        <vt:i4>0</vt:i4>
      </vt:variant>
      <vt:variant>
        <vt:i4>5</vt:i4>
      </vt:variant>
      <vt:variant>
        <vt:lpwstr>https://iris.paho.org/handle/10665.2/51744</vt:lpwstr>
      </vt:variant>
      <vt:variant>
        <vt:lpwstr/>
      </vt:variant>
      <vt:variant>
        <vt:i4>7209076</vt:i4>
      </vt:variant>
      <vt:variant>
        <vt:i4>90</vt:i4>
      </vt:variant>
      <vt:variant>
        <vt:i4>0</vt:i4>
      </vt:variant>
      <vt:variant>
        <vt:i4>5</vt:i4>
      </vt:variant>
      <vt:variant>
        <vt:lpwstr>https://www.paho.org/en/documents/policy-ethnicity-and-health-29th-pan-american-sanitary-conference</vt:lpwstr>
      </vt:variant>
      <vt:variant>
        <vt:lpwstr/>
      </vt:variant>
      <vt:variant>
        <vt:i4>3145832</vt:i4>
      </vt:variant>
      <vt:variant>
        <vt:i4>87</vt:i4>
      </vt:variant>
      <vt:variant>
        <vt:i4>0</vt:i4>
      </vt:variant>
      <vt:variant>
        <vt:i4>5</vt:i4>
      </vt:variant>
      <vt:variant>
        <vt:lpwstr>https://www.un.org/development/desa/disabilities/resources/factsheet-on-persons-with-disabilities.html</vt:lpwstr>
      </vt:variant>
      <vt:variant>
        <vt:lpwstr/>
      </vt:variant>
      <vt:variant>
        <vt:i4>3211318</vt:i4>
      </vt:variant>
      <vt:variant>
        <vt:i4>84</vt:i4>
      </vt:variant>
      <vt:variant>
        <vt:i4>0</vt:i4>
      </vt:variant>
      <vt:variant>
        <vt:i4>5</vt:i4>
      </vt:variant>
      <vt:variant>
        <vt:lpwstr>https://www.un.org/en/content/disabilitystrategy/assets/documentation/UN_Disability_Inclusion_Strategy_english.pdf</vt:lpwstr>
      </vt:variant>
      <vt:variant>
        <vt:lpwstr/>
      </vt:variant>
      <vt:variant>
        <vt:i4>6160448</vt:i4>
      </vt:variant>
      <vt:variant>
        <vt:i4>81</vt:i4>
      </vt:variant>
      <vt:variant>
        <vt:i4>0</vt:i4>
      </vt:variant>
      <vt:variant>
        <vt:i4>5</vt:i4>
      </vt:variant>
      <vt:variant>
        <vt:lpwstr>https://www.who.int/news-room/fact-sheets/detail/human-rights-and-health</vt:lpwstr>
      </vt:variant>
      <vt:variant>
        <vt:lpwstr/>
      </vt:variant>
      <vt:variant>
        <vt:i4>1572938</vt:i4>
      </vt:variant>
      <vt:variant>
        <vt:i4>78</vt:i4>
      </vt:variant>
      <vt:variant>
        <vt:i4>0</vt:i4>
      </vt:variant>
      <vt:variant>
        <vt:i4>5</vt:i4>
      </vt:variant>
      <vt:variant>
        <vt:lpwstr>https://www.who.int/publications/i/item/9789240017924</vt:lpwstr>
      </vt:variant>
      <vt:variant>
        <vt:lpwstr/>
      </vt:variant>
      <vt:variant>
        <vt:i4>2752569</vt:i4>
      </vt:variant>
      <vt:variant>
        <vt:i4>75</vt:i4>
      </vt:variant>
      <vt:variant>
        <vt:i4>0</vt:i4>
      </vt:variant>
      <vt:variant>
        <vt:i4>5</vt:i4>
      </vt:variant>
      <vt:variant>
        <vt:lpwstr>https://www.who.int/news-room/fact-sheets/detail/refugee-and-migrant-health</vt:lpwstr>
      </vt:variant>
      <vt:variant>
        <vt:lpwstr/>
      </vt:variant>
      <vt:variant>
        <vt:i4>4849750</vt:i4>
      </vt:variant>
      <vt:variant>
        <vt:i4>72</vt:i4>
      </vt:variant>
      <vt:variant>
        <vt:i4>0</vt:i4>
      </vt:variant>
      <vt:variant>
        <vt:i4>5</vt:i4>
      </vt:variant>
      <vt:variant>
        <vt:lpwstr>https://www.ohchr.org/sites/default/files/Documents/Issues/Migration/GlobalCompactMigration/IrregularMigrants.pdf</vt:lpwstr>
      </vt:variant>
      <vt:variant>
        <vt:lpwstr/>
      </vt:variant>
      <vt:variant>
        <vt:i4>524377</vt:i4>
      </vt:variant>
      <vt:variant>
        <vt:i4>69</vt:i4>
      </vt:variant>
      <vt:variant>
        <vt:i4>0</vt:i4>
      </vt:variant>
      <vt:variant>
        <vt:i4>5</vt:i4>
      </vt:variant>
      <vt:variant>
        <vt:lpwstr>https://apps.who.int/iris/bitstream/.pdf</vt:lpwstr>
      </vt:variant>
      <vt:variant>
        <vt:lpwstr/>
      </vt:variant>
      <vt:variant>
        <vt:i4>2293791</vt:i4>
      </vt:variant>
      <vt:variant>
        <vt:i4>66</vt:i4>
      </vt:variant>
      <vt:variant>
        <vt:i4>0</vt:i4>
      </vt:variant>
      <vt:variant>
        <vt:i4>5</vt:i4>
      </vt:variant>
      <vt:variant>
        <vt:lpwstr>https://cdn.who.int/media/docs/default-source/reproductive-health/abortion/supplementary-material-1.pdf?sfvrsn=5bc94f18_7</vt:lpwstr>
      </vt:variant>
      <vt:variant>
        <vt:lpwstr/>
      </vt:variant>
      <vt:variant>
        <vt:i4>1835082</vt:i4>
      </vt:variant>
      <vt:variant>
        <vt:i4>63</vt:i4>
      </vt:variant>
      <vt:variant>
        <vt:i4>0</vt:i4>
      </vt:variant>
      <vt:variant>
        <vt:i4>5</vt:i4>
      </vt:variant>
      <vt:variant>
        <vt:lpwstr>https://cdn.who.int/reproductive-health/abortion/supplementary-material-1.pdf</vt:lpwstr>
      </vt:variant>
      <vt:variant>
        <vt:lpwstr/>
      </vt:variant>
      <vt:variant>
        <vt:i4>6094876</vt:i4>
      </vt:variant>
      <vt:variant>
        <vt:i4>60</vt:i4>
      </vt:variant>
      <vt:variant>
        <vt:i4>0</vt:i4>
      </vt:variant>
      <vt:variant>
        <vt:i4>5</vt:i4>
      </vt:variant>
      <vt:variant>
        <vt:lpwstr>https://apps.who.int/iris/handle/10665/112848</vt:lpwstr>
      </vt:variant>
      <vt:variant>
        <vt:lpwstr/>
      </vt:variant>
      <vt:variant>
        <vt:i4>4259870</vt:i4>
      </vt:variant>
      <vt:variant>
        <vt:i4>57</vt:i4>
      </vt:variant>
      <vt:variant>
        <vt:i4>0</vt:i4>
      </vt:variant>
      <vt:variant>
        <vt:i4>5</vt:i4>
      </vt:variant>
      <vt:variant>
        <vt:lpwstr>https://www.who.int/news-room/fact-sheets/detail/tobacco</vt:lpwstr>
      </vt:variant>
      <vt:variant>
        <vt:lpwstr/>
      </vt:variant>
      <vt:variant>
        <vt:i4>5308425</vt:i4>
      </vt:variant>
      <vt:variant>
        <vt:i4>54</vt:i4>
      </vt:variant>
      <vt:variant>
        <vt:i4>0</vt:i4>
      </vt:variant>
      <vt:variant>
        <vt:i4>5</vt:i4>
      </vt:variant>
      <vt:variant>
        <vt:lpwstr>https://www.cdc.gov/tobacco/health-equity/african-american/health-burden.html</vt:lpwstr>
      </vt:variant>
      <vt:variant>
        <vt:lpwstr/>
      </vt:variant>
      <vt:variant>
        <vt:i4>196672</vt:i4>
      </vt:variant>
      <vt:variant>
        <vt:i4>51</vt:i4>
      </vt:variant>
      <vt:variant>
        <vt:i4>0</vt:i4>
      </vt:variant>
      <vt:variant>
        <vt:i4>5</vt:i4>
      </vt:variant>
      <vt:variant>
        <vt:lpwstr>https://www.canada.ca/en/public-health/services/publications/science-research-data/inequalities-smoking-infographic.html</vt:lpwstr>
      </vt:variant>
      <vt:variant>
        <vt:lpwstr/>
      </vt:variant>
      <vt:variant>
        <vt:i4>3407968</vt:i4>
      </vt:variant>
      <vt:variant>
        <vt:i4>48</vt:i4>
      </vt:variant>
      <vt:variant>
        <vt:i4>0</vt:i4>
      </vt:variant>
      <vt:variant>
        <vt:i4>5</vt:i4>
      </vt:variant>
      <vt:variant>
        <vt:lpwstr>https://www.health.govt.nz2025/</vt:lpwstr>
      </vt:variant>
      <vt:variant>
        <vt:lpwstr>:~:text=Progress%20to%20Smokefree%202025&amp;text=The%20current%20smoking%20rate%20of,40.2%20percent%20in%202011%2F12</vt:lpwstr>
      </vt:variant>
      <vt:variant>
        <vt:i4>7864355</vt:i4>
      </vt:variant>
      <vt:variant>
        <vt:i4>45</vt:i4>
      </vt:variant>
      <vt:variant>
        <vt:i4>0</vt:i4>
      </vt:variant>
      <vt:variant>
        <vt:i4>5</vt:i4>
      </vt:variant>
      <vt:variant>
        <vt:lpwstr>https://www.health.nsw.gov.au/tobacco/Pages/aboriginal-communities-smoking.aspx</vt:lpwstr>
      </vt:variant>
      <vt:variant>
        <vt:lpwstr/>
      </vt:variant>
      <vt:variant>
        <vt:i4>2621481</vt:i4>
      </vt:variant>
      <vt:variant>
        <vt:i4>42</vt:i4>
      </vt:variant>
      <vt:variant>
        <vt:i4>0</vt:i4>
      </vt:variant>
      <vt:variant>
        <vt:i4>5</vt:i4>
      </vt:variant>
      <vt:variant>
        <vt:lpwstr>https://fctc.who.int/publications/i/item/9241591013</vt:lpwstr>
      </vt:variant>
      <vt:variant>
        <vt:lpwstr/>
      </vt:variant>
      <vt:variant>
        <vt:i4>7929972</vt:i4>
      </vt:variant>
      <vt:variant>
        <vt:i4>39</vt:i4>
      </vt:variant>
      <vt:variant>
        <vt:i4>0</vt:i4>
      </vt:variant>
      <vt:variant>
        <vt:i4>5</vt:i4>
      </vt:variant>
      <vt:variant>
        <vt:lpwstr>https://www.ohchr.org/en/documents/general-comments-and-recommendations/general-recommendation-no-35-2017-gender-based</vt:lpwstr>
      </vt:variant>
      <vt:variant>
        <vt:lpwstr/>
      </vt:variant>
      <vt:variant>
        <vt:i4>3735632</vt:i4>
      </vt:variant>
      <vt:variant>
        <vt:i4>36</vt:i4>
      </vt:variant>
      <vt:variant>
        <vt:i4>0</vt:i4>
      </vt:variant>
      <vt:variant>
        <vt:i4>5</vt:i4>
      </vt:variant>
      <vt:variant>
        <vt:lpwstr>https://tbinternet.ohchr.org/_layouts/15/treatybodyexternal/Download.aspx?symbolno=E%2fC.12%2fGC%2f22&amp;Lang=en</vt:lpwstr>
      </vt:variant>
      <vt:variant>
        <vt:lpwstr/>
      </vt:variant>
      <vt:variant>
        <vt:i4>3342456</vt:i4>
      </vt:variant>
      <vt:variant>
        <vt:i4>33</vt:i4>
      </vt:variant>
      <vt:variant>
        <vt:i4>0</vt:i4>
      </vt:variant>
      <vt:variant>
        <vt:i4>5</vt:i4>
      </vt:variant>
      <vt:variant>
        <vt:lpwstr>https://www.who.int/publications/m/item/frontier-dialogue-consultations-on-addressing-structural-racial-and-ethnicity-based-discrimination</vt:lpwstr>
      </vt:variant>
      <vt:variant>
        <vt:lpwstr/>
      </vt:variant>
      <vt:variant>
        <vt:i4>1900570</vt:i4>
      </vt:variant>
      <vt:variant>
        <vt:i4>30</vt:i4>
      </vt:variant>
      <vt:variant>
        <vt:i4>0</vt:i4>
      </vt:variant>
      <vt:variant>
        <vt:i4>5</vt:i4>
      </vt:variant>
      <vt:variant>
        <vt:lpwstr>https://unsdg.un.org/resources/leaving-no-one-behind-unsdg-operational-guide-un-country-teams).l</vt:lpwstr>
      </vt:variant>
      <vt:variant>
        <vt:lpwstr/>
      </vt:variant>
      <vt:variant>
        <vt:i4>6553715</vt:i4>
      </vt:variant>
      <vt:variant>
        <vt:i4>27</vt:i4>
      </vt:variant>
      <vt:variant>
        <vt:i4>0</vt:i4>
      </vt:variant>
      <vt:variant>
        <vt:i4>5</vt:i4>
      </vt:variant>
      <vt:variant>
        <vt:lpwstr>https://apps.who.int/gb/ebwha/pdf_files/WHA69/A69_11-en.pdf</vt:lpwstr>
      </vt:variant>
      <vt:variant>
        <vt:lpwstr/>
      </vt:variant>
      <vt:variant>
        <vt:i4>1966106</vt:i4>
      </vt:variant>
      <vt:variant>
        <vt:i4>24</vt:i4>
      </vt:variant>
      <vt:variant>
        <vt:i4>0</vt:i4>
      </vt:variant>
      <vt:variant>
        <vt:i4>5</vt:i4>
      </vt:variant>
      <vt:variant>
        <vt:lpwstr>https://apps.who.int/gb/ebwha/pdf_files/WHA74/A74_R16-en.pdf</vt:lpwstr>
      </vt:variant>
      <vt:variant>
        <vt:lpwstr/>
      </vt:variant>
      <vt:variant>
        <vt:i4>7078003</vt:i4>
      </vt:variant>
      <vt:variant>
        <vt:i4>21</vt:i4>
      </vt:variant>
      <vt:variant>
        <vt:i4>0</vt:i4>
      </vt:variant>
      <vt:variant>
        <vt:i4>5</vt:i4>
      </vt:variant>
      <vt:variant>
        <vt:lpwstr>https://apps.who.int/gb/ebwha/pdf_files/WHA60/A60_19-en.pdf</vt:lpwstr>
      </vt:variant>
      <vt:variant>
        <vt:lpwstr/>
      </vt:variant>
      <vt:variant>
        <vt:i4>5832768</vt:i4>
      </vt:variant>
      <vt:variant>
        <vt:i4>18</vt:i4>
      </vt:variant>
      <vt:variant>
        <vt:i4>0</vt:i4>
      </vt:variant>
      <vt:variant>
        <vt:i4>5</vt:i4>
      </vt:variant>
      <vt:variant>
        <vt:lpwstr>https://www.who.int/docs/default-source/primary-health/declaration/gcphc-declaration.pdf</vt:lpwstr>
      </vt:variant>
      <vt:variant>
        <vt:lpwstr/>
      </vt:variant>
      <vt:variant>
        <vt:i4>6094861</vt:i4>
      </vt:variant>
      <vt:variant>
        <vt:i4>15</vt:i4>
      </vt:variant>
      <vt:variant>
        <vt:i4>0</vt:i4>
      </vt:variant>
      <vt:variant>
        <vt:i4>5</vt:i4>
      </vt:variant>
      <vt:variant>
        <vt:lpwstr>https://documents-dds-ny.un.org/doc/UNDOC/GEN/N19/311/84/PDF/N1931184.pdf?OpenElement</vt:lpwstr>
      </vt:variant>
      <vt:variant>
        <vt:lpwstr/>
      </vt:variant>
      <vt:variant>
        <vt:i4>3604605</vt:i4>
      </vt:variant>
      <vt:variant>
        <vt:i4>12</vt:i4>
      </vt:variant>
      <vt:variant>
        <vt:i4>0</vt:i4>
      </vt:variant>
      <vt:variant>
        <vt:i4>5</vt:i4>
      </vt:variant>
      <vt:variant>
        <vt:lpwstr>https://www.ohchr.org/en/documents/general-comments-and-recommendations/general-comment-no-22-2016-right-sexual-and</vt:lpwstr>
      </vt:variant>
      <vt:variant>
        <vt:lpwstr/>
      </vt:variant>
      <vt:variant>
        <vt:i4>4718717</vt:i4>
      </vt:variant>
      <vt:variant>
        <vt:i4>9</vt:i4>
      </vt:variant>
      <vt:variant>
        <vt:i4>0</vt:i4>
      </vt:variant>
      <vt:variant>
        <vt:i4>5</vt:i4>
      </vt:variant>
      <vt:variant>
        <vt:lpwstr>https://tbinternet.ohchr.org/_layouts/15/treatybodyexternal/Download.aspx?symbolno=E%2fC.12%2f2000%2f4&amp;Lang=en</vt:lpwstr>
      </vt:variant>
      <vt:variant>
        <vt:lpwstr/>
      </vt:variant>
      <vt:variant>
        <vt:i4>917528</vt:i4>
      </vt:variant>
      <vt:variant>
        <vt:i4>6</vt:i4>
      </vt:variant>
      <vt:variant>
        <vt:i4>0</vt:i4>
      </vt:variant>
      <vt:variant>
        <vt:i4>5</vt:i4>
      </vt:variant>
      <vt:variant>
        <vt:lpwstr>https://www.who.int/about/governance/constitution</vt:lpwstr>
      </vt:variant>
      <vt:variant>
        <vt:lpwstr/>
      </vt:variant>
      <vt:variant>
        <vt:i4>3997823</vt:i4>
      </vt:variant>
      <vt:variant>
        <vt:i4>3</vt:i4>
      </vt:variant>
      <vt:variant>
        <vt:i4>0</vt:i4>
      </vt:variant>
      <vt:variant>
        <vt:i4>5</vt:i4>
      </vt:variant>
      <vt:variant>
        <vt:lpwstr>https://www.un.org/ga/A/RES/70/1&amp;Lang=E</vt:lpwstr>
      </vt:variant>
      <vt:variant>
        <vt:lpwstr/>
      </vt:variant>
      <vt:variant>
        <vt:i4>1638484</vt:i4>
      </vt:variant>
      <vt:variant>
        <vt:i4>0</vt:i4>
      </vt:variant>
      <vt:variant>
        <vt:i4>0</vt:i4>
      </vt:variant>
      <vt:variant>
        <vt:i4>5</vt:i4>
      </vt:variant>
      <vt:variant>
        <vt:lpwstr>https://www.who.int/about/what-we-do/thirteenth-general-programme-of-work-2019---2023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Nyka</dc:creator>
  <cp:keywords/>
  <cp:lastModifiedBy>KENNEY, Erin Maura</cp:lastModifiedBy>
  <cp:revision>2</cp:revision>
  <cp:lastPrinted>2022-03-16T01:45:00Z</cp:lastPrinted>
  <dcterms:created xsi:type="dcterms:W3CDTF">2022-07-21T13:38:00Z</dcterms:created>
  <dcterms:modified xsi:type="dcterms:W3CDTF">2022-07-21T13:38:00Z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0x01010063E79A8DAA94144B8069FFAD0403689A</vt:lpwstr>
  </property>
</Properties>
</file>