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A1F0" w14:textId="77777777" w:rsidR="0009209C" w:rsidRDefault="00C16220" w:rsidP="0099729C">
      <w:pPr>
        <w:jc w:val="center"/>
        <w:rPr>
          <w:rFonts w:eastAsia="MS Mincho"/>
          <w:b/>
          <w:bCs/>
        </w:rPr>
      </w:pPr>
      <w:r w:rsidRPr="00C16220">
        <w:rPr>
          <w:rFonts w:eastAsia="MS Mincho"/>
          <w:b/>
          <w:bCs/>
        </w:rPr>
        <w:t xml:space="preserve">Submission to the </w:t>
      </w:r>
      <w:r w:rsidR="0009209C">
        <w:rPr>
          <w:rFonts w:eastAsia="MS Mincho"/>
          <w:b/>
          <w:bCs/>
        </w:rPr>
        <w:t>Committee on the Elimination of Racial Discrimination:</w:t>
      </w:r>
    </w:p>
    <w:p w14:paraId="4E0A6DFE" w14:textId="1EA148CA" w:rsidR="00C16220" w:rsidRDefault="00C16220" w:rsidP="0009209C">
      <w:pPr>
        <w:jc w:val="center"/>
        <w:rPr>
          <w:rFonts w:eastAsia="MS Mincho"/>
          <w:b/>
          <w:bCs/>
        </w:rPr>
      </w:pPr>
      <w:r w:rsidRPr="00C16220">
        <w:rPr>
          <w:rFonts w:eastAsia="MS Mincho"/>
          <w:b/>
          <w:bCs/>
        </w:rPr>
        <w:t xml:space="preserve"> </w:t>
      </w:r>
      <w:r w:rsidR="0009209C">
        <w:rPr>
          <w:rFonts w:eastAsia="MS Mincho"/>
          <w:b/>
          <w:bCs/>
        </w:rPr>
        <w:t>Day of General Discussion on t</w:t>
      </w:r>
      <w:r w:rsidRPr="00C16220">
        <w:rPr>
          <w:rFonts w:eastAsia="MS Mincho"/>
          <w:b/>
          <w:bCs/>
        </w:rPr>
        <w:t xml:space="preserve">he </w:t>
      </w:r>
      <w:r w:rsidR="0009209C">
        <w:rPr>
          <w:rFonts w:eastAsia="MS Mincho"/>
          <w:b/>
          <w:bCs/>
        </w:rPr>
        <w:t>Racial Discrimination and the Right to Health</w:t>
      </w:r>
    </w:p>
    <w:p w14:paraId="56E7C112" w14:textId="77777777" w:rsidR="00E15F35" w:rsidRDefault="00E15F35" w:rsidP="0099729C">
      <w:pPr>
        <w:jc w:val="center"/>
        <w:rPr>
          <w:rFonts w:eastAsia="MS Mincho"/>
          <w:b/>
          <w:bCs/>
        </w:rPr>
      </w:pPr>
    </w:p>
    <w:p w14:paraId="3F11FA29" w14:textId="275E0AB9" w:rsidR="002404FE" w:rsidRDefault="007660DA" w:rsidP="0099729C">
      <w:pPr>
        <w:jc w:val="center"/>
        <w:rPr>
          <w:rFonts w:eastAsia="MS Mincho"/>
          <w:b/>
          <w:bCs/>
        </w:rPr>
      </w:pPr>
      <w:r w:rsidRPr="007660DA">
        <w:rPr>
          <w:rFonts w:eastAsia="MS Mincho"/>
          <w:b/>
          <w:bCs/>
        </w:rPr>
        <w:t xml:space="preserve">The </w:t>
      </w:r>
      <w:r w:rsidR="00E15F35" w:rsidRPr="007660DA">
        <w:rPr>
          <w:rFonts w:eastAsia="MS Mincho"/>
          <w:b/>
          <w:bCs/>
        </w:rPr>
        <w:t xml:space="preserve">Right to Health for </w:t>
      </w:r>
      <w:r w:rsidRPr="007660DA">
        <w:rPr>
          <w:rFonts w:eastAsia="MS Mincho"/>
          <w:b/>
          <w:bCs/>
        </w:rPr>
        <w:t xml:space="preserve">Women with Disabilities Who Experience Racism </w:t>
      </w:r>
    </w:p>
    <w:p w14:paraId="5DCE272F" w14:textId="60E15F43" w:rsidR="007660DA" w:rsidRPr="007660DA" w:rsidRDefault="007660DA" w:rsidP="0099729C">
      <w:pPr>
        <w:jc w:val="center"/>
        <w:rPr>
          <w:rFonts w:eastAsia="MS Mincho"/>
          <w:i/>
          <w:iCs/>
        </w:rPr>
      </w:pPr>
      <w:r>
        <w:rPr>
          <w:rFonts w:eastAsia="MS Mincho"/>
          <w:i/>
          <w:iCs/>
        </w:rPr>
        <w:t>Ju</w:t>
      </w:r>
      <w:r w:rsidR="0009209C">
        <w:rPr>
          <w:rFonts w:eastAsia="MS Mincho"/>
          <w:i/>
          <w:iCs/>
        </w:rPr>
        <w:t>ne 30, 2022</w:t>
      </w:r>
    </w:p>
    <w:p w14:paraId="432341F6" w14:textId="77777777" w:rsidR="004F2AEF" w:rsidRDefault="004F2AEF" w:rsidP="0099729C">
      <w:pPr>
        <w:jc w:val="center"/>
        <w:rPr>
          <w:rFonts w:eastAsia="MS Mincho"/>
          <w:b/>
          <w:bCs/>
        </w:rPr>
      </w:pPr>
    </w:p>
    <w:p w14:paraId="182D5B9F" w14:textId="5A2A699A" w:rsidR="004F2AEF" w:rsidRPr="00FB241C" w:rsidRDefault="004F2AEF" w:rsidP="00FB241C">
      <w:pPr>
        <w:pStyle w:val="ListParagraph"/>
        <w:numPr>
          <w:ilvl w:val="0"/>
          <w:numId w:val="8"/>
        </w:numPr>
        <w:jc w:val="both"/>
        <w:rPr>
          <w:rFonts w:eastAsia="MS Mincho"/>
          <w:b/>
          <w:bCs/>
        </w:rPr>
      </w:pPr>
      <w:r w:rsidRPr="00FB241C">
        <w:rPr>
          <w:rFonts w:eastAsia="MS Mincho"/>
          <w:b/>
          <w:bCs/>
        </w:rPr>
        <w:t>Introduction</w:t>
      </w:r>
    </w:p>
    <w:p w14:paraId="2FB6BB4E" w14:textId="77777777" w:rsidR="002404FE" w:rsidRPr="00FB241C" w:rsidRDefault="002404FE" w:rsidP="00FB241C">
      <w:pPr>
        <w:shd w:val="clear" w:color="auto" w:fill="FFFFFF"/>
        <w:jc w:val="both"/>
        <w:outlineLvl w:val="2"/>
        <w:rPr>
          <w:rFonts w:eastAsia="Calibri"/>
          <w:color w:val="000000"/>
          <w:lang w:eastAsia="en-GB"/>
        </w:rPr>
      </w:pPr>
    </w:p>
    <w:p w14:paraId="103C72F6" w14:textId="0E58CE7B" w:rsidR="002404FE" w:rsidRPr="00FB241C" w:rsidRDefault="002404FE" w:rsidP="00FB241C">
      <w:pPr>
        <w:jc w:val="both"/>
        <w:rPr>
          <w:rFonts w:eastAsia="MS Mincho"/>
          <w:lang w:val="en-GB"/>
        </w:rPr>
      </w:pPr>
      <w:r w:rsidRPr="00FB241C">
        <w:rPr>
          <w:rFonts w:eastAsia="MS Mincho"/>
          <w:lang w:val="en-GB"/>
        </w:rPr>
        <w:t xml:space="preserve">Women Enabled International (WEI), </w:t>
      </w:r>
      <w:r w:rsidR="00DC6CE6" w:rsidRPr="00FB241C">
        <w:rPr>
          <w:rFonts w:eastAsia="MS Mincho"/>
          <w:lang w:val="en-GB"/>
        </w:rPr>
        <w:t>National Indigenous</w:t>
      </w:r>
      <w:r w:rsidR="00513987">
        <w:rPr>
          <w:rFonts w:eastAsia="MS Mincho"/>
          <w:lang w:val="en-GB"/>
        </w:rPr>
        <w:t xml:space="preserve"> </w:t>
      </w:r>
      <w:r w:rsidR="00DC6CE6" w:rsidRPr="00FB241C">
        <w:rPr>
          <w:rFonts w:eastAsia="MS Mincho"/>
          <w:lang w:val="en-GB"/>
        </w:rPr>
        <w:t xml:space="preserve">Disabled Women Association Nepal (NIDWAN), </w:t>
      </w:r>
      <w:r w:rsidR="00DA2D14" w:rsidRPr="00FB241C">
        <w:rPr>
          <w:rFonts w:eastAsia="MS Mincho"/>
          <w:i/>
          <w:iCs/>
        </w:rPr>
        <w:t>Mujeres con Capacidad de Soñar a Colores</w:t>
      </w:r>
      <w:r w:rsidR="00DA2D14" w:rsidRPr="00FB241C">
        <w:rPr>
          <w:rFonts w:eastAsia="MS Mincho"/>
        </w:rPr>
        <w:t xml:space="preserve"> Collective (Women with the Ability to Dream in Color), </w:t>
      </w:r>
      <w:r w:rsidR="00DC6CE6" w:rsidRPr="00FB241C">
        <w:rPr>
          <w:rFonts w:eastAsia="MS Mincho"/>
          <w:lang w:val="en-GB"/>
        </w:rPr>
        <w:t>and Minority Rights Group appreciate the opportunity to provide</w:t>
      </w:r>
      <w:r w:rsidR="0009209C">
        <w:rPr>
          <w:rFonts w:eastAsia="MS Mincho"/>
          <w:lang w:val="en-GB"/>
        </w:rPr>
        <w:t xml:space="preserve"> </w:t>
      </w:r>
      <w:r w:rsidRPr="00FB241C">
        <w:rPr>
          <w:rFonts w:eastAsia="MS Mincho"/>
          <w:lang w:val="en-GB"/>
        </w:rPr>
        <w:t xml:space="preserve">the </w:t>
      </w:r>
      <w:r w:rsidR="0009209C">
        <w:rPr>
          <w:rFonts w:eastAsia="MS Mincho"/>
          <w:lang w:val="en-GB"/>
        </w:rPr>
        <w:t xml:space="preserve">Committee on the Elimination of Racial Discrimination (CERD Committee) </w:t>
      </w:r>
      <w:r w:rsidRPr="00FB241C">
        <w:rPr>
          <w:rFonts w:eastAsia="MS Mincho"/>
          <w:lang w:val="en-GB"/>
        </w:rPr>
        <w:t xml:space="preserve">with information for </w:t>
      </w:r>
      <w:r w:rsidR="00513987">
        <w:rPr>
          <w:rFonts w:eastAsia="MS Mincho"/>
          <w:lang w:val="en-GB"/>
        </w:rPr>
        <w:t xml:space="preserve">its forthcoming Day of General Discussion on racial </w:t>
      </w:r>
      <w:proofErr w:type="spellStart"/>
      <w:r w:rsidR="00513987">
        <w:rPr>
          <w:rFonts w:eastAsia="MS Mincho"/>
          <w:lang w:val="en-GB"/>
        </w:rPr>
        <w:t>disrimination</w:t>
      </w:r>
      <w:proofErr w:type="spellEnd"/>
      <w:r w:rsidR="00513987">
        <w:rPr>
          <w:rFonts w:eastAsia="MS Mincho"/>
          <w:lang w:val="en-GB"/>
        </w:rPr>
        <w:t xml:space="preserve"> and the right to health.</w:t>
      </w:r>
    </w:p>
    <w:p w14:paraId="7A12EFC0" w14:textId="77777777" w:rsidR="002404FE" w:rsidRPr="00FB241C" w:rsidRDefault="002404FE" w:rsidP="00FB241C">
      <w:pPr>
        <w:jc w:val="both"/>
        <w:rPr>
          <w:rFonts w:eastAsia="MS Mincho"/>
          <w:lang w:val="en-GB"/>
        </w:rPr>
      </w:pPr>
    </w:p>
    <w:p w14:paraId="28D100A2" w14:textId="00B1F659" w:rsidR="006F5908" w:rsidRPr="00FB241C" w:rsidRDefault="00D67A48" w:rsidP="00FB241C">
      <w:pPr>
        <w:jc w:val="both"/>
        <w:rPr>
          <w:rFonts w:eastAsia="MS Mincho"/>
        </w:rPr>
      </w:pPr>
      <w:r w:rsidRPr="00FB241C">
        <w:rPr>
          <w:rFonts w:eastAsia="MS Mincho"/>
        </w:rPr>
        <w:t>W</w:t>
      </w:r>
      <w:r w:rsidR="006F5908" w:rsidRPr="00FB241C">
        <w:rPr>
          <w:rFonts w:eastAsia="MS Mincho"/>
        </w:rPr>
        <w:t>omen</w:t>
      </w:r>
      <w:r w:rsidR="006F5908" w:rsidRPr="00FB241C">
        <w:rPr>
          <w:rStyle w:val="EndnoteReference"/>
          <w:rFonts w:eastAsia="MS Mincho"/>
        </w:rPr>
        <w:endnoteReference w:id="1"/>
      </w:r>
      <w:r w:rsidR="006F5908" w:rsidRPr="00FB241C">
        <w:rPr>
          <w:rFonts w:eastAsia="MS Mincho"/>
        </w:rPr>
        <w:t xml:space="preserve"> with disabilities </w:t>
      </w:r>
      <w:r w:rsidRPr="00FB241C">
        <w:rPr>
          <w:rFonts w:eastAsia="MS Mincho"/>
        </w:rPr>
        <w:t xml:space="preserve">who experience racism </w:t>
      </w:r>
      <w:r w:rsidR="006F5908" w:rsidRPr="00FB241C">
        <w:rPr>
          <w:rFonts w:eastAsia="MS Mincho"/>
        </w:rPr>
        <w:t xml:space="preserve">face multiple and intersecting forms of discrimination </w:t>
      </w:r>
      <w:proofErr w:type="gramStart"/>
      <w:r w:rsidR="006F5908" w:rsidRPr="00FB241C">
        <w:rPr>
          <w:rFonts w:eastAsia="MS Mincho"/>
        </w:rPr>
        <w:t>on the basis of</w:t>
      </w:r>
      <w:proofErr w:type="gramEnd"/>
      <w:r w:rsidR="006F5908" w:rsidRPr="00FB241C">
        <w:rPr>
          <w:rFonts w:eastAsia="MS Mincho"/>
        </w:rPr>
        <w:t xml:space="preserve"> gender, disability, race, ethnic origin, and Indigenous identity. That discrimination imposes unique and pervasive barriers to the realization of their rights, including the right to health. Discrimination in </w:t>
      </w:r>
      <w:r w:rsidR="001B7CEB" w:rsidRPr="00FB241C">
        <w:rPr>
          <w:rFonts w:eastAsia="MS Mincho"/>
        </w:rPr>
        <w:t>healthcare</w:t>
      </w:r>
      <w:r w:rsidR="006F5908" w:rsidRPr="00FB241C">
        <w:rPr>
          <w:rFonts w:eastAsia="MS Mincho"/>
        </w:rPr>
        <w:t xml:space="preserve"> settings leads to barriers to accessing health services, affects the quality of health services provided, and deepens exclusion.</w:t>
      </w:r>
      <w:r w:rsidR="006F5908" w:rsidRPr="00FB241C">
        <w:rPr>
          <w:rStyle w:val="EndnoteReference"/>
          <w:rFonts w:eastAsia="MS Mincho"/>
        </w:rPr>
        <w:endnoteReference w:id="2"/>
      </w:r>
      <w:r w:rsidR="006F5908" w:rsidRPr="00FB241C">
        <w:t xml:space="preserve"> </w:t>
      </w:r>
      <w:r w:rsidR="003F1E0F" w:rsidRPr="00FB241C">
        <w:rPr>
          <w:rFonts w:eastAsia="MS Mincho"/>
        </w:rPr>
        <w:t>This discrimination</w:t>
      </w:r>
      <w:r w:rsidR="006F5908" w:rsidRPr="00FB241C">
        <w:rPr>
          <w:rFonts w:eastAsia="MS Mincho"/>
        </w:rPr>
        <w:t xml:space="preserve"> can take many forms, such as the denial of services</w:t>
      </w:r>
      <w:r w:rsidR="007660DA" w:rsidRPr="00FB241C">
        <w:rPr>
          <w:rFonts w:eastAsia="MS Mincho"/>
        </w:rPr>
        <w:t xml:space="preserve">, </w:t>
      </w:r>
      <w:r w:rsidR="006F5908" w:rsidRPr="00FB241C">
        <w:rPr>
          <w:rFonts w:eastAsia="MS Mincho"/>
        </w:rPr>
        <w:t>physical and/or verbal violence</w:t>
      </w:r>
      <w:r w:rsidR="007660DA" w:rsidRPr="00FB241C">
        <w:rPr>
          <w:rFonts w:eastAsia="MS Mincho"/>
        </w:rPr>
        <w:t xml:space="preserve">, </w:t>
      </w:r>
      <w:r w:rsidR="006F5908" w:rsidRPr="00FB241C">
        <w:rPr>
          <w:rFonts w:eastAsia="MS Mincho"/>
        </w:rPr>
        <w:t>forced treatment</w:t>
      </w:r>
      <w:r w:rsidR="007660DA" w:rsidRPr="00FB241C">
        <w:rPr>
          <w:rFonts w:eastAsia="MS Mincho"/>
        </w:rPr>
        <w:t>,</w:t>
      </w:r>
      <w:r w:rsidR="006F5908" w:rsidRPr="00FB241C">
        <w:rPr>
          <w:rFonts w:eastAsia="MS Mincho"/>
        </w:rPr>
        <w:t xml:space="preserve"> denial of </w:t>
      </w:r>
      <w:r w:rsidR="007660DA" w:rsidRPr="00FB241C">
        <w:rPr>
          <w:rFonts w:eastAsia="MS Mincho"/>
        </w:rPr>
        <w:t xml:space="preserve">bodily autonomy, </w:t>
      </w:r>
      <w:r w:rsidR="006F5908" w:rsidRPr="00FB241C">
        <w:rPr>
          <w:rFonts w:eastAsia="MS Mincho"/>
        </w:rPr>
        <w:t>and lack of free and informed consent.</w:t>
      </w:r>
      <w:r w:rsidR="006F5908" w:rsidRPr="00FB241C">
        <w:rPr>
          <w:rStyle w:val="EndnoteReference"/>
          <w:rFonts w:eastAsia="MS Mincho"/>
        </w:rPr>
        <w:endnoteReference w:id="3"/>
      </w:r>
    </w:p>
    <w:p w14:paraId="751206C3" w14:textId="77777777" w:rsidR="006F5908" w:rsidRPr="00FB241C" w:rsidRDefault="006F5908" w:rsidP="00FB241C">
      <w:pPr>
        <w:jc w:val="both"/>
        <w:rPr>
          <w:rFonts w:eastAsia="MS Mincho"/>
        </w:rPr>
      </w:pPr>
    </w:p>
    <w:p w14:paraId="4F9A64B8" w14:textId="7FF5ECFE" w:rsidR="006F5908" w:rsidRPr="00FB241C" w:rsidRDefault="006F5908" w:rsidP="00FB241C">
      <w:pPr>
        <w:jc w:val="both"/>
        <w:rPr>
          <w:rFonts w:eastAsia="MS Mincho"/>
        </w:rPr>
      </w:pPr>
      <w:r w:rsidRPr="00FB241C">
        <w:rPr>
          <w:rFonts w:eastAsia="MS Mincho"/>
        </w:rPr>
        <w:t>Even though there is a lack of data on the intersection of race, gender, and disability, studies show that Black and Indigenous peoples experience higher rates of disability when compared to others.</w:t>
      </w:r>
      <w:r w:rsidRPr="00FB241C">
        <w:rPr>
          <w:rStyle w:val="EndnoteReference"/>
          <w:rFonts w:eastAsia="MS Mincho"/>
        </w:rPr>
        <w:endnoteReference w:id="4"/>
      </w:r>
      <w:r w:rsidRPr="00FB241C">
        <w:rPr>
          <w:rFonts w:eastAsia="MS Mincho"/>
        </w:rPr>
        <w:t xml:space="preserve"> Nonetheless, the right to health of women with disabilities </w:t>
      </w:r>
      <w:r w:rsidR="00D67A48" w:rsidRPr="00FB241C">
        <w:rPr>
          <w:rFonts w:eastAsia="MS Mincho"/>
        </w:rPr>
        <w:t xml:space="preserve">who experience racism </w:t>
      </w:r>
      <w:r w:rsidRPr="00FB241C">
        <w:rPr>
          <w:rFonts w:eastAsia="MS Mincho"/>
        </w:rPr>
        <w:t xml:space="preserve">has been considerably overlooked. </w:t>
      </w:r>
    </w:p>
    <w:p w14:paraId="5DCD5209" w14:textId="77777777" w:rsidR="006F5908" w:rsidRPr="00FB241C" w:rsidRDefault="006F5908" w:rsidP="00FB241C">
      <w:pPr>
        <w:jc w:val="both"/>
        <w:rPr>
          <w:rFonts w:eastAsia="MS Mincho"/>
        </w:rPr>
      </w:pPr>
    </w:p>
    <w:p w14:paraId="25933E8E" w14:textId="3EA17F63" w:rsidR="002404FE" w:rsidRPr="00FB241C" w:rsidRDefault="002404FE" w:rsidP="00FB241C">
      <w:pPr>
        <w:jc w:val="both"/>
        <w:rPr>
          <w:rFonts w:eastAsia="MS Mincho"/>
          <w:lang w:val="en-GB"/>
        </w:rPr>
      </w:pPr>
      <w:r w:rsidRPr="00FB241C">
        <w:rPr>
          <w:rFonts w:eastAsia="MS Mincho"/>
          <w:lang w:val="en-GB"/>
        </w:rPr>
        <w:t>This submission provides a short summary of information gathered by our organizations</w:t>
      </w:r>
      <w:r w:rsidR="007660DA" w:rsidRPr="00FB241C">
        <w:rPr>
          <w:rFonts w:eastAsia="MS Mincho"/>
          <w:lang w:val="en-GB"/>
        </w:rPr>
        <w:t xml:space="preserve">, </w:t>
      </w:r>
      <w:r w:rsidR="00FB241C" w:rsidRPr="00FB241C">
        <w:rPr>
          <w:rFonts w:eastAsia="MS Mincho"/>
          <w:lang w:val="en-GB"/>
        </w:rPr>
        <w:t>including</w:t>
      </w:r>
      <w:r w:rsidR="007660DA" w:rsidRPr="00FB241C">
        <w:rPr>
          <w:rFonts w:eastAsia="MS Mincho"/>
          <w:lang w:val="en-GB"/>
        </w:rPr>
        <w:t xml:space="preserve"> country examples where appropriate</w:t>
      </w:r>
      <w:r w:rsidR="00513987">
        <w:rPr>
          <w:rFonts w:eastAsia="MS Mincho"/>
          <w:lang w:val="en-GB"/>
        </w:rPr>
        <w:t>,</w:t>
      </w:r>
      <w:r w:rsidR="007660DA" w:rsidRPr="00FB241C">
        <w:rPr>
          <w:rFonts w:eastAsia="MS Mincho"/>
          <w:lang w:val="en-GB"/>
        </w:rPr>
        <w:t xml:space="preserve"> and </w:t>
      </w:r>
      <w:r w:rsidR="00513987">
        <w:rPr>
          <w:rFonts w:eastAsia="MS Mincho"/>
          <w:lang w:val="en-GB"/>
        </w:rPr>
        <w:t>information about relevant</w:t>
      </w:r>
      <w:r w:rsidR="007660DA" w:rsidRPr="00FB241C">
        <w:rPr>
          <w:rFonts w:eastAsia="MS Mincho"/>
          <w:lang w:val="en-GB"/>
        </w:rPr>
        <w:t xml:space="preserve"> internationa</w:t>
      </w:r>
      <w:r w:rsidR="00513987">
        <w:rPr>
          <w:rFonts w:eastAsia="MS Mincho"/>
          <w:lang w:val="en-GB"/>
        </w:rPr>
        <w:t xml:space="preserve">l human rights standards </w:t>
      </w:r>
      <w:r w:rsidR="007660DA" w:rsidRPr="00FB241C">
        <w:rPr>
          <w:rFonts w:eastAsia="MS Mincho"/>
          <w:lang w:val="en-GB"/>
        </w:rPr>
        <w:t xml:space="preserve">to inform </w:t>
      </w:r>
      <w:r w:rsidR="00513987">
        <w:rPr>
          <w:rFonts w:eastAsia="MS Mincho"/>
          <w:lang w:val="en-GB"/>
        </w:rPr>
        <w:t xml:space="preserve">the </w:t>
      </w:r>
      <w:r w:rsidR="00FB241C" w:rsidRPr="00FB241C">
        <w:rPr>
          <w:rFonts w:eastAsia="MS Mincho"/>
          <w:lang w:val="en-GB"/>
        </w:rPr>
        <w:t>forthcoming</w:t>
      </w:r>
      <w:r w:rsidR="007660DA" w:rsidRPr="00FB241C">
        <w:rPr>
          <w:rFonts w:eastAsia="MS Mincho"/>
          <w:lang w:val="en-GB"/>
        </w:rPr>
        <w:t xml:space="preserve"> </w:t>
      </w:r>
      <w:r w:rsidR="0009209C">
        <w:rPr>
          <w:rFonts w:eastAsia="MS Mincho"/>
          <w:lang w:val="en-GB"/>
        </w:rPr>
        <w:t xml:space="preserve">Day of General Discussion on racial discrimination and the right to health. </w:t>
      </w:r>
      <w:r w:rsidRPr="00FB241C">
        <w:rPr>
          <w:rFonts w:eastAsia="MS Mincho"/>
          <w:lang w:val="en-GB"/>
        </w:rPr>
        <w:t xml:space="preserve">The submission concludes with brief recommendations for </w:t>
      </w:r>
      <w:r w:rsidR="0009209C">
        <w:rPr>
          <w:rFonts w:eastAsia="MS Mincho"/>
          <w:lang w:val="en-GB"/>
        </w:rPr>
        <w:t>the CERD Committee</w:t>
      </w:r>
      <w:r w:rsidRPr="00FB241C">
        <w:rPr>
          <w:rFonts w:eastAsia="MS Mincho"/>
          <w:lang w:val="en-GB"/>
        </w:rPr>
        <w:t xml:space="preserve"> for consideration </w:t>
      </w:r>
      <w:r w:rsidR="0009209C">
        <w:rPr>
          <w:rFonts w:eastAsia="MS Mincho"/>
          <w:lang w:val="en-GB"/>
        </w:rPr>
        <w:t>as they draft a General Recommendation on this topic.</w:t>
      </w:r>
    </w:p>
    <w:p w14:paraId="4A6B835C" w14:textId="5C55F5C5" w:rsidR="00E50EBE" w:rsidRPr="00FB241C" w:rsidRDefault="00E50EBE" w:rsidP="00FB241C">
      <w:pPr>
        <w:jc w:val="both"/>
        <w:rPr>
          <w:rFonts w:eastAsia="MS Mincho"/>
          <w:b/>
          <w:bCs/>
        </w:rPr>
      </w:pPr>
    </w:p>
    <w:p w14:paraId="212DE9F7" w14:textId="0CE8A64E" w:rsidR="00F92403" w:rsidRPr="00FB241C" w:rsidRDefault="0099729C" w:rsidP="00FB241C">
      <w:pPr>
        <w:pStyle w:val="ListParagraph"/>
        <w:numPr>
          <w:ilvl w:val="0"/>
          <w:numId w:val="8"/>
        </w:numPr>
        <w:jc w:val="both"/>
        <w:rPr>
          <w:rFonts w:eastAsia="MS Mincho"/>
          <w:b/>
          <w:bCs/>
        </w:rPr>
      </w:pPr>
      <w:r w:rsidRPr="00FB241C">
        <w:rPr>
          <w:rFonts w:eastAsia="MS Mincho"/>
          <w:b/>
          <w:bCs/>
        </w:rPr>
        <w:t xml:space="preserve">Background on the Right to Health for Women with Disabilities Who </w:t>
      </w:r>
      <w:r w:rsidR="00FB241C" w:rsidRPr="00FB241C">
        <w:rPr>
          <w:rFonts w:eastAsia="MS Mincho"/>
          <w:b/>
          <w:bCs/>
        </w:rPr>
        <w:t>Experience</w:t>
      </w:r>
      <w:r w:rsidRPr="00FB241C">
        <w:rPr>
          <w:rFonts w:eastAsia="MS Mincho"/>
          <w:b/>
          <w:bCs/>
        </w:rPr>
        <w:t xml:space="preserve"> Racism</w:t>
      </w:r>
    </w:p>
    <w:p w14:paraId="1A9343C2" w14:textId="77777777" w:rsidR="0099729C" w:rsidRPr="00FB241C" w:rsidRDefault="0099729C" w:rsidP="00FB241C">
      <w:pPr>
        <w:pStyle w:val="ListParagraph"/>
        <w:ind w:left="1080"/>
        <w:jc w:val="both"/>
        <w:rPr>
          <w:rFonts w:eastAsia="MS Mincho"/>
          <w:b/>
          <w:bCs/>
        </w:rPr>
      </w:pPr>
    </w:p>
    <w:p w14:paraId="706C16D1" w14:textId="558AC97C" w:rsidR="0099729C" w:rsidRPr="00FB241C" w:rsidRDefault="0099729C" w:rsidP="00FB241C">
      <w:pPr>
        <w:pStyle w:val="ListParagraph"/>
        <w:numPr>
          <w:ilvl w:val="0"/>
          <w:numId w:val="9"/>
        </w:numPr>
        <w:ind w:left="1080"/>
        <w:jc w:val="both"/>
        <w:rPr>
          <w:rFonts w:eastAsia="MS Mincho"/>
          <w:b/>
          <w:bCs/>
        </w:rPr>
      </w:pPr>
      <w:r w:rsidRPr="00FB241C">
        <w:rPr>
          <w:rFonts w:eastAsia="MS Mincho"/>
          <w:b/>
          <w:bCs/>
        </w:rPr>
        <w:t>Available, Accessible, Acceptable, and Quality Healthcare</w:t>
      </w:r>
    </w:p>
    <w:p w14:paraId="5B2CA05E" w14:textId="77777777" w:rsidR="008F044F" w:rsidRPr="00FB241C" w:rsidRDefault="008F044F" w:rsidP="00FB241C">
      <w:pPr>
        <w:jc w:val="both"/>
        <w:rPr>
          <w:rFonts w:eastAsia="MS Mincho"/>
        </w:rPr>
      </w:pPr>
    </w:p>
    <w:p w14:paraId="6AC0C25C" w14:textId="77777777" w:rsidR="007660DA" w:rsidRPr="00FB241C" w:rsidRDefault="00083038" w:rsidP="00FB241C">
      <w:pPr>
        <w:jc w:val="both"/>
        <w:rPr>
          <w:rFonts w:eastAsia="MS Mincho"/>
        </w:rPr>
      </w:pPr>
      <w:r w:rsidRPr="00FB241C">
        <w:rPr>
          <w:rFonts w:eastAsia="MS Mincho"/>
        </w:rPr>
        <w:t xml:space="preserve">Many </w:t>
      </w:r>
      <w:r w:rsidR="00092B93" w:rsidRPr="00FB241C">
        <w:rPr>
          <w:rFonts w:eastAsia="MS Mincho"/>
        </w:rPr>
        <w:t xml:space="preserve">groups who experience racism </w:t>
      </w:r>
      <w:r w:rsidR="00C0605E" w:rsidRPr="00FB241C">
        <w:rPr>
          <w:rFonts w:eastAsia="MS Mincho"/>
        </w:rPr>
        <w:t xml:space="preserve">have poorer health and less access to adequate </w:t>
      </w:r>
      <w:r w:rsidR="001B7CEB" w:rsidRPr="00FB241C">
        <w:rPr>
          <w:rFonts w:eastAsia="MS Mincho"/>
        </w:rPr>
        <w:t>healthcare</w:t>
      </w:r>
      <w:r w:rsidR="00C0605E" w:rsidRPr="00FB241C">
        <w:rPr>
          <w:rFonts w:eastAsia="MS Mincho"/>
        </w:rPr>
        <w:t xml:space="preserve"> </w:t>
      </w:r>
      <w:r w:rsidR="0098343D" w:rsidRPr="00FB241C">
        <w:rPr>
          <w:rFonts w:eastAsia="MS Mincho"/>
        </w:rPr>
        <w:t>in comparison to</w:t>
      </w:r>
      <w:r w:rsidR="007660DA" w:rsidRPr="00FB241C">
        <w:rPr>
          <w:rFonts w:eastAsia="MS Mincho"/>
        </w:rPr>
        <w:t xml:space="preserve"> those who do not experience racism </w:t>
      </w:r>
      <w:r w:rsidR="00B95D84" w:rsidRPr="00FB241C">
        <w:rPr>
          <w:rFonts w:eastAsia="MS Mincho"/>
        </w:rPr>
        <w:t>around the world</w:t>
      </w:r>
      <w:r w:rsidR="00C67873" w:rsidRPr="00FB241C">
        <w:rPr>
          <w:rFonts w:eastAsia="MS Mincho"/>
        </w:rPr>
        <w:t>,</w:t>
      </w:r>
      <w:r w:rsidRPr="00FB241C">
        <w:rPr>
          <w:rStyle w:val="EndnoteReference"/>
          <w:rFonts w:eastAsia="MS Mincho"/>
        </w:rPr>
        <w:endnoteReference w:id="5"/>
      </w:r>
      <w:r w:rsidRPr="00FB241C">
        <w:rPr>
          <w:rFonts w:eastAsia="MS Mincho"/>
        </w:rPr>
        <w:t xml:space="preserve"> </w:t>
      </w:r>
      <w:r w:rsidR="00C67873" w:rsidRPr="00FB241C">
        <w:rPr>
          <w:rFonts w:eastAsia="MS Mincho"/>
        </w:rPr>
        <w:t xml:space="preserve">and persons with </w:t>
      </w:r>
      <w:r w:rsidR="00432F0E" w:rsidRPr="00FB241C">
        <w:rPr>
          <w:rFonts w:eastAsia="MS Mincho"/>
        </w:rPr>
        <w:t xml:space="preserve">disabilities face barriers to accessing </w:t>
      </w:r>
      <w:r w:rsidR="001B7CEB" w:rsidRPr="00FB241C">
        <w:rPr>
          <w:rFonts w:eastAsia="MS Mincho"/>
        </w:rPr>
        <w:t>healthcare</w:t>
      </w:r>
      <w:r w:rsidR="00432F0E" w:rsidRPr="00FB241C">
        <w:rPr>
          <w:rFonts w:eastAsia="MS Mincho"/>
        </w:rPr>
        <w:t xml:space="preserve"> </w:t>
      </w:r>
      <w:r w:rsidR="00EB0D7F" w:rsidRPr="00FB241C">
        <w:rPr>
          <w:rFonts w:eastAsia="MS Mincho"/>
        </w:rPr>
        <w:t xml:space="preserve">that </w:t>
      </w:r>
      <w:r w:rsidR="00432F0E" w:rsidRPr="00FB241C">
        <w:rPr>
          <w:rFonts w:eastAsia="MS Mincho"/>
        </w:rPr>
        <w:t>non-disabled persons do not experience.</w:t>
      </w:r>
      <w:r w:rsidR="00EB0D7F" w:rsidRPr="00FB241C">
        <w:rPr>
          <w:rStyle w:val="EndnoteReference"/>
          <w:rFonts w:eastAsia="MS Mincho"/>
        </w:rPr>
        <w:endnoteReference w:id="6"/>
      </w:r>
      <w:r w:rsidR="00432F0E" w:rsidRPr="00FB241C">
        <w:rPr>
          <w:rFonts w:eastAsia="MS Mincho"/>
        </w:rPr>
        <w:t xml:space="preserve"> </w:t>
      </w:r>
    </w:p>
    <w:p w14:paraId="4AC13463" w14:textId="77777777" w:rsidR="007660DA" w:rsidRPr="00FB241C" w:rsidRDefault="007660DA" w:rsidP="00FB241C">
      <w:pPr>
        <w:jc w:val="both"/>
        <w:rPr>
          <w:rFonts w:eastAsia="MS Mincho"/>
        </w:rPr>
      </w:pPr>
    </w:p>
    <w:p w14:paraId="0E87B8A4" w14:textId="057829AE" w:rsidR="00083038" w:rsidRPr="00FB241C" w:rsidRDefault="007660DA" w:rsidP="00FB241C">
      <w:pPr>
        <w:jc w:val="both"/>
        <w:rPr>
          <w:rFonts w:eastAsia="MS Mincho"/>
        </w:rPr>
      </w:pPr>
      <w:r w:rsidRPr="00FB241C">
        <w:rPr>
          <w:rFonts w:eastAsia="MS Mincho"/>
        </w:rPr>
        <w:t xml:space="preserve">For example, </w:t>
      </w:r>
      <w:r w:rsidR="00EB0D7F" w:rsidRPr="00FB241C">
        <w:rPr>
          <w:rFonts w:eastAsia="MS Mincho"/>
        </w:rPr>
        <w:t>B</w:t>
      </w:r>
      <w:r w:rsidR="00A5387C" w:rsidRPr="00FB241C">
        <w:rPr>
          <w:rFonts w:eastAsia="MS Mincho"/>
        </w:rPr>
        <w:t xml:space="preserve">lack women with disabilities </w:t>
      </w:r>
      <w:r w:rsidR="00114D76" w:rsidRPr="00FB241C">
        <w:rPr>
          <w:rFonts w:eastAsia="MS Mincho"/>
        </w:rPr>
        <w:t xml:space="preserve">in </w:t>
      </w:r>
      <w:r w:rsidR="00114D76" w:rsidRPr="00FB241C">
        <w:rPr>
          <w:rFonts w:eastAsia="MS Mincho"/>
          <w:b/>
          <w:bCs/>
        </w:rPr>
        <w:t>the U</w:t>
      </w:r>
      <w:r w:rsidR="00DA14B5" w:rsidRPr="00FB241C">
        <w:rPr>
          <w:rFonts w:eastAsia="MS Mincho"/>
          <w:b/>
          <w:bCs/>
        </w:rPr>
        <w:t xml:space="preserve">nited </w:t>
      </w:r>
      <w:r w:rsidR="00114D76" w:rsidRPr="00FB241C">
        <w:rPr>
          <w:rFonts w:eastAsia="MS Mincho"/>
          <w:b/>
          <w:bCs/>
        </w:rPr>
        <w:t>S</w:t>
      </w:r>
      <w:r w:rsidR="00DA14B5" w:rsidRPr="00FB241C">
        <w:rPr>
          <w:rFonts w:eastAsia="MS Mincho"/>
          <w:b/>
          <w:bCs/>
        </w:rPr>
        <w:t>tates</w:t>
      </w:r>
      <w:r w:rsidR="00114D76" w:rsidRPr="00FB241C">
        <w:rPr>
          <w:rFonts w:eastAsia="MS Mincho"/>
        </w:rPr>
        <w:t xml:space="preserve"> </w:t>
      </w:r>
      <w:r w:rsidR="00A5387C" w:rsidRPr="00FB241C">
        <w:rPr>
          <w:rFonts w:eastAsia="MS Mincho"/>
        </w:rPr>
        <w:t>face</w:t>
      </w:r>
      <w:r w:rsidR="00BB2325" w:rsidRPr="00FB241C">
        <w:t xml:space="preserve"> </w:t>
      </w:r>
      <w:r w:rsidR="00BB2325" w:rsidRPr="00FB241C">
        <w:rPr>
          <w:rFonts w:eastAsia="MS Mincho"/>
        </w:rPr>
        <w:t>systemic and structural barriers</w:t>
      </w:r>
      <w:r w:rsidR="00A5387C" w:rsidRPr="00FB241C">
        <w:rPr>
          <w:rFonts w:eastAsia="MS Mincho"/>
        </w:rPr>
        <w:t xml:space="preserve"> </w:t>
      </w:r>
      <w:r w:rsidR="00BF25A9" w:rsidRPr="00FB241C">
        <w:rPr>
          <w:rFonts w:eastAsia="MS Mincho"/>
        </w:rPr>
        <w:t xml:space="preserve">in </w:t>
      </w:r>
      <w:r w:rsidR="001B7CEB" w:rsidRPr="00FB241C">
        <w:rPr>
          <w:rFonts w:eastAsia="MS Mincho"/>
        </w:rPr>
        <w:t>healthcare</w:t>
      </w:r>
      <w:r w:rsidR="00BF25A9" w:rsidRPr="00FB241C">
        <w:rPr>
          <w:rFonts w:eastAsia="MS Mincho"/>
        </w:rPr>
        <w:t xml:space="preserve"> </w:t>
      </w:r>
      <w:r w:rsidR="00711FD5" w:rsidRPr="00FB241C">
        <w:rPr>
          <w:rFonts w:eastAsia="MS Mincho"/>
        </w:rPr>
        <w:t xml:space="preserve">due to a legacy of </w:t>
      </w:r>
      <w:r w:rsidR="00B95D84" w:rsidRPr="00FB241C">
        <w:rPr>
          <w:rFonts w:eastAsia="MS Mincho"/>
        </w:rPr>
        <w:t xml:space="preserve">slavery, anti-Black racism, </w:t>
      </w:r>
      <w:r w:rsidR="00711FD5" w:rsidRPr="00FB241C">
        <w:rPr>
          <w:rFonts w:eastAsia="MS Mincho"/>
        </w:rPr>
        <w:t xml:space="preserve">sexism, </w:t>
      </w:r>
      <w:r w:rsidR="00B95D84" w:rsidRPr="00FB241C">
        <w:rPr>
          <w:rFonts w:eastAsia="MS Mincho"/>
        </w:rPr>
        <w:t>and ableism.</w:t>
      </w:r>
      <w:r w:rsidR="00B95D84" w:rsidRPr="00FB241C">
        <w:rPr>
          <w:rStyle w:val="EndnoteReference"/>
          <w:rFonts w:eastAsia="MS Mincho"/>
        </w:rPr>
        <w:endnoteReference w:id="7"/>
      </w:r>
      <w:r w:rsidRPr="00FB241C">
        <w:rPr>
          <w:rFonts w:eastAsia="MS Mincho"/>
        </w:rPr>
        <w:t xml:space="preserve"> Furthermore, i</w:t>
      </w:r>
      <w:r w:rsidR="003F1E0F" w:rsidRPr="00FB241C">
        <w:rPr>
          <w:rFonts w:eastAsia="MS Mincho"/>
        </w:rPr>
        <w:t xml:space="preserve">n </w:t>
      </w:r>
      <w:r w:rsidR="00083038" w:rsidRPr="00FB241C">
        <w:rPr>
          <w:rFonts w:eastAsia="MS Mincho"/>
          <w:b/>
          <w:bCs/>
        </w:rPr>
        <w:t>Nepal</w:t>
      </w:r>
      <w:r w:rsidR="00083038" w:rsidRPr="00FB241C">
        <w:rPr>
          <w:rFonts w:eastAsia="MS Mincho"/>
        </w:rPr>
        <w:t xml:space="preserve">, </w:t>
      </w:r>
      <w:r w:rsidR="003F1E0F" w:rsidRPr="00FB241C">
        <w:rPr>
          <w:rFonts w:eastAsia="MS Mincho"/>
        </w:rPr>
        <w:t xml:space="preserve">over </w:t>
      </w:r>
      <w:r w:rsidR="00083038" w:rsidRPr="00FB241C">
        <w:rPr>
          <w:rFonts w:eastAsia="MS Mincho"/>
        </w:rPr>
        <w:t xml:space="preserve">80% of </w:t>
      </w:r>
      <w:r w:rsidR="007B2B6F" w:rsidRPr="00FB241C">
        <w:rPr>
          <w:rFonts w:eastAsia="MS Mincho"/>
        </w:rPr>
        <w:t>Indigenous</w:t>
      </w:r>
      <w:r w:rsidR="00083038" w:rsidRPr="00FB241C">
        <w:rPr>
          <w:rFonts w:eastAsia="MS Mincho"/>
        </w:rPr>
        <w:t xml:space="preserve"> people with disabilities report having inadequate or poor access to public services and facilities.</w:t>
      </w:r>
      <w:r w:rsidR="00083038" w:rsidRPr="00FB241C">
        <w:rPr>
          <w:rStyle w:val="EndnoteReference"/>
          <w:rFonts w:eastAsia="MS Mincho"/>
        </w:rPr>
        <w:endnoteReference w:id="8"/>
      </w:r>
      <w:r w:rsidR="00083038" w:rsidRPr="00FB241C">
        <w:rPr>
          <w:rFonts w:eastAsia="MS Mincho"/>
        </w:rPr>
        <w:t xml:space="preserve"> There are many reasons for that, such as the lack of accessibility; </w:t>
      </w:r>
      <w:r w:rsidRPr="00FB241C">
        <w:rPr>
          <w:rFonts w:eastAsia="MS Mincho"/>
        </w:rPr>
        <w:t xml:space="preserve">lack of </w:t>
      </w:r>
      <w:r w:rsidR="00083038" w:rsidRPr="00FB241C">
        <w:rPr>
          <w:rFonts w:eastAsia="MS Mincho"/>
        </w:rPr>
        <w:t xml:space="preserve">free or affordable public transportation to access those services; </w:t>
      </w:r>
      <w:r w:rsidRPr="00FB241C">
        <w:rPr>
          <w:rFonts w:eastAsia="MS Mincho"/>
        </w:rPr>
        <w:t xml:space="preserve">lack of </w:t>
      </w:r>
      <w:r w:rsidR="00083038" w:rsidRPr="00FB241C">
        <w:rPr>
          <w:rFonts w:eastAsia="MS Mincho"/>
        </w:rPr>
        <w:t>information about their own health; and</w:t>
      </w:r>
      <w:r w:rsidRPr="00FB241C">
        <w:rPr>
          <w:rFonts w:eastAsia="MS Mincho"/>
        </w:rPr>
        <w:t xml:space="preserve"> lack of access to</w:t>
      </w:r>
      <w:r w:rsidR="00083038" w:rsidRPr="00FB241C">
        <w:rPr>
          <w:rFonts w:eastAsia="MS Mincho"/>
        </w:rPr>
        <w:t xml:space="preserve"> interpreters</w:t>
      </w:r>
      <w:r w:rsidR="00083038" w:rsidRPr="00FB241C">
        <w:t>—</w:t>
      </w:r>
      <w:r w:rsidR="00083038" w:rsidRPr="00FB241C">
        <w:rPr>
          <w:rFonts w:eastAsia="MS Mincho"/>
        </w:rPr>
        <w:t xml:space="preserve">both </w:t>
      </w:r>
      <w:r w:rsidR="00083038" w:rsidRPr="00FB241C">
        <w:rPr>
          <w:rFonts w:eastAsia="MS Mincho"/>
        </w:rPr>
        <w:lastRenderedPageBreak/>
        <w:t xml:space="preserve">in sign and </w:t>
      </w:r>
      <w:r w:rsidR="007B2B6F" w:rsidRPr="00FB241C">
        <w:rPr>
          <w:rFonts w:eastAsia="MS Mincho"/>
        </w:rPr>
        <w:t>Indigenous</w:t>
      </w:r>
      <w:r w:rsidR="00083038" w:rsidRPr="00FB241C">
        <w:rPr>
          <w:rFonts w:eastAsia="MS Mincho"/>
        </w:rPr>
        <w:t xml:space="preserve"> languages</w:t>
      </w:r>
      <w:r w:rsidR="00083038" w:rsidRPr="00FB241C">
        <w:t>—</w:t>
      </w:r>
      <w:r w:rsidR="00083038" w:rsidRPr="00FB241C">
        <w:rPr>
          <w:rFonts w:eastAsia="MS Mincho"/>
        </w:rPr>
        <w:t xml:space="preserve">to communicate with </w:t>
      </w:r>
      <w:r w:rsidR="001B7CEB" w:rsidRPr="00FB241C">
        <w:rPr>
          <w:rFonts w:eastAsia="MS Mincho"/>
        </w:rPr>
        <w:t>healthcare</w:t>
      </w:r>
      <w:r w:rsidR="00083038" w:rsidRPr="00FB241C">
        <w:rPr>
          <w:rFonts w:eastAsia="MS Mincho"/>
        </w:rPr>
        <w:t xml:space="preserve"> staff.</w:t>
      </w:r>
      <w:r w:rsidR="00BE67BC" w:rsidRPr="00FB241C">
        <w:rPr>
          <w:rFonts w:eastAsia="MS Mincho"/>
        </w:rPr>
        <w:t xml:space="preserve"> </w:t>
      </w:r>
      <w:r w:rsidRPr="00FB241C">
        <w:rPr>
          <w:rFonts w:eastAsia="MS Mincho"/>
        </w:rPr>
        <w:t>I</w:t>
      </w:r>
      <w:r w:rsidR="004E590C" w:rsidRPr="00FB241C">
        <w:rPr>
          <w:rFonts w:eastAsia="MS Mincho"/>
        </w:rPr>
        <w:t xml:space="preserve">n </w:t>
      </w:r>
      <w:r w:rsidR="004E590C" w:rsidRPr="00FB241C">
        <w:rPr>
          <w:rFonts w:eastAsia="MS Mincho"/>
          <w:b/>
          <w:bCs/>
        </w:rPr>
        <w:t>Guatemala</w:t>
      </w:r>
      <w:r w:rsidR="00083038" w:rsidRPr="00FB241C">
        <w:rPr>
          <w:rFonts w:eastAsia="MS Mincho"/>
        </w:rPr>
        <w:t xml:space="preserve">, </w:t>
      </w:r>
      <w:r w:rsidR="007B2B6F" w:rsidRPr="00FB241C">
        <w:rPr>
          <w:rFonts w:eastAsia="MS Mincho"/>
        </w:rPr>
        <w:t>Indigenous</w:t>
      </w:r>
      <w:r w:rsidR="00083038" w:rsidRPr="00FB241C">
        <w:rPr>
          <w:rFonts w:eastAsia="MS Mincho"/>
        </w:rPr>
        <w:t xml:space="preserve"> women with disabilities shared that both their disability and </w:t>
      </w:r>
      <w:r w:rsidR="007B2B6F" w:rsidRPr="00FB241C">
        <w:rPr>
          <w:rFonts w:eastAsia="MS Mincho"/>
        </w:rPr>
        <w:t>Indigenous</w:t>
      </w:r>
      <w:r w:rsidR="00083038" w:rsidRPr="00FB241C">
        <w:rPr>
          <w:rFonts w:eastAsia="MS Mincho"/>
        </w:rPr>
        <w:t xml:space="preserve"> status played a significant role in the negative treatment they received</w:t>
      </w:r>
      <w:r w:rsidR="003F1E0F" w:rsidRPr="00FB241C">
        <w:rPr>
          <w:rFonts w:eastAsia="MS Mincho"/>
        </w:rPr>
        <w:t xml:space="preserve"> in </w:t>
      </w:r>
      <w:r w:rsidR="001B7CEB" w:rsidRPr="00FB241C">
        <w:rPr>
          <w:rFonts w:eastAsia="MS Mincho"/>
        </w:rPr>
        <w:t>healthcare</w:t>
      </w:r>
      <w:r w:rsidR="003F1E0F" w:rsidRPr="00FB241C">
        <w:rPr>
          <w:rFonts w:eastAsia="MS Mincho"/>
        </w:rPr>
        <w:t xml:space="preserve"> settings</w:t>
      </w:r>
      <w:r w:rsidR="00083038" w:rsidRPr="00FB241C">
        <w:rPr>
          <w:rFonts w:eastAsia="MS Mincho"/>
        </w:rPr>
        <w:t>.</w:t>
      </w:r>
      <w:r w:rsidR="00083038" w:rsidRPr="00FB241C">
        <w:rPr>
          <w:rStyle w:val="EndnoteReference"/>
          <w:rFonts w:eastAsia="MS Mincho"/>
        </w:rPr>
        <w:endnoteReference w:id="9"/>
      </w:r>
    </w:p>
    <w:p w14:paraId="2DD171B4" w14:textId="1C9DFFAE" w:rsidR="00083038" w:rsidRPr="00FB241C" w:rsidRDefault="00083038" w:rsidP="00FB241C">
      <w:pPr>
        <w:pStyle w:val="ListParagraph"/>
        <w:numPr>
          <w:ilvl w:val="0"/>
          <w:numId w:val="1"/>
        </w:numPr>
        <w:jc w:val="both"/>
        <w:rPr>
          <w:rFonts w:eastAsia="MS Mincho"/>
        </w:rPr>
      </w:pPr>
      <w:r w:rsidRPr="00FB241C">
        <w:rPr>
          <w:rFonts w:eastAsia="MS Mincho"/>
        </w:rPr>
        <w:t xml:space="preserve">“I think that because of my disability and because I am </w:t>
      </w:r>
      <w:r w:rsidR="007B2B6F" w:rsidRPr="00FB241C">
        <w:rPr>
          <w:rFonts w:eastAsia="MS Mincho"/>
        </w:rPr>
        <w:t>Indigenous</w:t>
      </w:r>
      <w:r w:rsidRPr="00FB241C">
        <w:rPr>
          <w:rFonts w:eastAsia="MS Mincho"/>
        </w:rPr>
        <w:t xml:space="preserve">, they [doctors] think that if they explained to me what I had or why they were doing what they were doing to me, I wouldn’t understand. They talk to my sister rather than </w:t>
      </w:r>
      <w:r w:rsidR="007C5649" w:rsidRPr="00FB241C">
        <w:rPr>
          <w:rFonts w:eastAsia="MS Mincho"/>
        </w:rPr>
        <w:t>me;</w:t>
      </w:r>
      <w:r w:rsidRPr="00FB241C">
        <w:rPr>
          <w:rFonts w:eastAsia="MS Mincho"/>
        </w:rPr>
        <w:t xml:space="preserve"> they don’t give me a chance to talk. She tells them to talk to me.”</w:t>
      </w:r>
      <w:r w:rsidRPr="00FB241C">
        <w:rPr>
          <w:rStyle w:val="EndnoteReference"/>
          <w:rFonts w:eastAsia="MS Mincho"/>
        </w:rPr>
        <w:endnoteReference w:id="10"/>
      </w:r>
    </w:p>
    <w:p w14:paraId="70B3C563" w14:textId="6A7D0A3F" w:rsidR="00B641FE" w:rsidRPr="00FB241C" w:rsidRDefault="007A78A7" w:rsidP="00FB241C">
      <w:pPr>
        <w:pStyle w:val="ListParagraph"/>
        <w:numPr>
          <w:ilvl w:val="0"/>
          <w:numId w:val="1"/>
        </w:numPr>
        <w:jc w:val="both"/>
        <w:rPr>
          <w:rFonts w:eastAsia="MS Mincho"/>
        </w:rPr>
      </w:pPr>
      <w:r w:rsidRPr="00FB241C">
        <w:rPr>
          <w:rFonts w:eastAsia="MS Mincho"/>
        </w:rPr>
        <w:t>An</w:t>
      </w:r>
      <w:r w:rsidR="003F1E0F" w:rsidRPr="00FB241C">
        <w:rPr>
          <w:rFonts w:eastAsia="MS Mincho"/>
        </w:rPr>
        <w:t>other</w:t>
      </w:r>
      <w:r w:rsidRPr="00FB241C">
        <w:rPr>
          <w:rFonts w:eastAsia="MS Mincho"/>
        </w:rPr>
        <w:t xml:space="preserve"> </w:t>
      </w:r>
      <w:r w:rsidR="007B2B6F" w:rsidRPr="00FB241C">
        <w:rPr>
          <w:rFonts w:eastAsia="MS Mincho"/>
        </w:rPr>
        <w:t>Indigenous</w:t>
      </w:r>
      <w:r w:rsidR="00B641FE" w:rsidRPr="00FB241C">
        <w:rPr>
          <w:rFonts w:eastAsia="MS Mincho"/>
        </w:rPr>
        <w:t xml:space="preserve"> woman </w:t>
      </w:r>
      <w:r w:rsidRPr="00FB241C">
        <w:rPr>
          <w:rFonts w:eastAsia="MS Mincho"/>
        </w:rPr>
        <w:t>with a disability in Guatemala</w:t>
      </w:r>
      <w:r w:rsidR="003F1E0F" w:rsidRPr="00FB241C">
        <w:rPr>
          <w:rFonts w:eastAsia="MS Mincho"/>
        </w:rPr>
        <w:t xml:space="preserve"> described how stereotypes based on her disability, gender, and indigenous status intersect to create unique forms of discrimination in </w:t>
      </w:r>
      <w:r w:rsidR="001B7CEB" w:rsidRPr="00FB241C">
        <w:rPr>
          <w:rFonts w:eastAsia="MS Mincho"/>
        </w:rPr>
        <w:t>healthcare</w:t>
      </w:r>
      <w:r w:rsidR="003F1E0F" w:rsidRPr="00FB241C">
        <w:rPr>
          <w:rFonts w:eastAsia="MS Mincho"/>
        </w:rPr>
        <w:t xml:space="preserve"> settings. </w:t>
      </w:r>
      <w:r w:rsidR="00B641FE" w:rsidRPr="00FB241C">
        <w:rPr>
          <w:rFonts w:eastAsia="MS Mincho"/>
        </w:rPr>
        <w:t xml:space="preserve">“As an </w:t>
      </w:r>
      <w:r w:rsidR="007B2B6F" w:rsidRPr="00FB241C">
        <w:rPr>
          <w:rFonts w:eastAsia="MS Mincho"/>
        </w:rPr>
        <w:t>Indigenous</w:t>
      </w:r>
      <w:r w:rsidR="00B641FE" w:rsidRPr="00FB241C">
        <w:rPr>
          <w:rFonts w:eastAsia="MS Mincho"/>
        </w:rPr>
        <w:t xml:space="preserve">, they [doctors] don’t take your opinion into account, and as a person with a disability, they don’t let you speak. Sometimes, for being </w:t>
      </w:r>
      <w:r w:rsidR="007B2B6F" w:rsidRPr="00FB241C">
        <w:rPr>
          <w:rFonts w:eastAsia="MS Mincho"/>
        </w:rPr>
        <w:t>Indigenous</w:t>
      </w:r>
      <w:r w:rsidR="00B641FE" w:rsidRPr="00FB241C">
        <w:rPr>
          <w:rFonts w:eastAsia="MS Mincho"/>
        </w:rPr>
        <w:t xml:space="preserve">, they give us limited information. There is even more discrimination against women with disabilities because we are not allowed to give our opinion. They should let women with disabilities speak and let them be examined where they want to. Sometimes the doctors, because we are </w:t>
      </w:r>
      <w:r w:rsidR="007B2B6F" w:rsidRPr="00FB241C">
        <w:rPr>
          <w:rFonts w:eastAsia="MS Mincho"/>
        </w:rPr>
        <w:t>Indigenous</w:t>
      </w:r>
      <w:r w:rsidR="00B641FE" w:rsidRPr="00FB241C">
        <w:rPr>
          <w:rFonts w:eastAsia="MS Mincho"/>
        </w:rPr>
        <w:t xml:space="preserve"> and have another mother tongue, don’t listen to a person who has trouble speaking Spanish, the doctors don’t understand it well and do whatever they want with our bodies.”</w:t>
      </w:r>
      <w:r w:rsidR="00462B26" w:rsidRPr="00FB241C">
        <w:rPr>
          <w:rStyle w:val="EndnoteReference"/>
          <w:rFonts w:eastAsia="MS Mincho"/>
        </w:rPr>
        <w:endnoteReference w:id="11"/>
      </w:r>
      <w:r w:rsidR="003F1E0F" w:rsidRPr="00FB241C">
        <w:rPr>
          <w:rFonts w:eastAsia="MS Mincho"/>
        </w:rPr>
        <w:t xml:space="preserve"> </w:t>
      </w:r>
    </w:p>
    <w:p w14:paraId="64EF7E8F" w14:textId="77777777" w:rsidR="00C71054" w:rsidRPr="00FB241C" w:rsidRDefault="00C71054" w:rsidP="00FB241C">
      <w:pPr>
        <w:pStyle w:val="ListParagraph"/>
        <w:jc w:val="both"/>
        <w:rPr>
          <w:rFonts w:eastAsia="MS Mincho"/>
        </w:rPr>
      </w:pPr>
    </w:p>
    <w:p w14:paraId="6626C645" w14:textId="208D0DFD" w:rsidR="003F1E0F" w:rsidRPr="00FB241C" w:rsidRDefault="007B2B6F" w:rsidP="00FB241C">
      <w:pPr>
        <w:jc w:val="both"/>
        <w:rPr>
          <w:rFonts w:eastAsia="MS Mincho"/>
        </w:rPr>
      </w:pPr>
      <w:r w:rsidRPr="00FB241C">
        <w:rPr>
          <w:rFonts w:eastAsia="MS Mincho"/>
        </w:rPr>
        <w:t>Indigenous</w:t>
      </w:r>
      <w:r w:rsidR="00446BA6" w:rsidRPr="00FB241C">
        <w:rPr>
          <w:rFonts w:eastAsia="MS Mincho"/>
        </w:rPr>
        <w:t xml:space="preserve"> peoples with disabilities may also experience bureaucratic barriers to accessing </w:t>
      </w:r>
      <w:r w:rsidR="001B7CEB" w:rsidRPr="00FB241C">
        <w:rPr>
          <w:rFonts w:eastAsia="MS Mincho"/>
        </w:rPr>
        <w:t>healthcare</w:t>
      </w:r>
      <w:r w:rsidR="00446BA6" w:rsidRPr="00FB241C">
        <w:rPr>
          <w:rFonts w:eastAsia="MS Mincho"/>
        </w:rPr>
        <w:t xml:space="preserve">. For instance, in </w:t>
      </w:r>
      <w:r w:rsidR="00446BA6" w:rsidRPr="00FB241C">
        <w:rPr>
          <w:rFonts w:eastAsia="MS Mincho"/>
          <w:b/>
          <w:bCs/>
        </w:rPr>
        <w:t>Rwanda</w:t>
      </w:r>
      <w:r w:rsidR="00446BA6" w:rsidRPr="00FB241C">
        <w:rPr>
          <w:rFonts w:eastAsia="MS Mincho"/>
        </w:rPr>
        <w:t xml:space="preserve">, historically marginalized people with disabilities, including ethnic minorities, face significant barriers to registering their children with disabilities at birth due to their extreme poverty and marginalization, lack of disability awareness and information, lack of documentation and lack of access to </w:t>
      </w:r>
      <w:r w:rsidR="001B7CEB" w:rsidRPr="00FB241C">
        <w:rPr>
          <w:rFonts w:eastAsia="MS Mincho"/>
        </w:rPr>
        <w:t>healthcare</w:t>
      </w:r>
      <w:r w:rsidR="00446BA6" w:rsidRPr="00FB241C">
        <w:rPr>
          <w:rFonts w:eastAsia="MS Mincho"/>
        </w:rPr>
        <w:t xml:space="preserve"> services that can verify disability status. Consequently, these children are left without access to </w:t>
      </w:r>
      <w:r w:rsidR="001B7CEB" w:rsidRPr="00FB241C">
        <w:rPr>
          <w:rFonts w:eastAsia="MS Mincho"/>
        </w:rPr>
        <w:t>healthcare</w:t>
      </w:r>
      <w:r w:rsidR="00446BA6" w:rsidRPr="00FB241C">
        <w:rPr>
          <w:rFonts w:eastAsia="MS Mincho"/>
        </w:rPr>
        <w:t>, education, or social services and are hidden away at home.</w:t>
      </w:r>
      <w:r w:rsidR="00446BA6" w:rsidRPr="00FB241C">
        <w:rPr>
          <w:rStyle w:val="EndnoteReference"/>
          <w:rFonts w:eastAsia="MS Mincho"/>
        </w:rPr>
        <w:endnoteReference w:id="12"/>
      </w:r>
      <w:r w:rsidR="00446BA6" w:rsidRPr="00FB241C">
        <w:rPr>
          <w:rFonts w:eastAsia="MS Mincho"/>
        </w:rPr>
        <w:t xml:space="preserve">   </w:t>
      </w:r>
    </w:p>
    <w:p w14:paraId="5E5E782D" w14:textId="77777777" w:rsidR="00FB241C" w:rsidRPr="00FB241C" w:rsidRDefault="00FB241C" w:rsidP="00FB241C">
      <w:pPr>
        <w:jc w:val="both"/>
        <w:rPr>
          <w:rFonts w:eastAsia="MS Mincho"/>
        </w:rPr>
      </w:pPr>
    </w:p>
    <w:p w14:paraId="62175272" w14:textId="754B8BE0" w:rsidR="003D49DA" w:rsidRPr="00FB241C" w:rsidRDefault="00231BAB" w:rsidP="00FB241C">
      <w:pPr>
        <w:jc w:val="both"/>
      </w:pPr>
      <w:r w:rsidRPr="00FB241C">
        <w:rPr>
          <w:rFonts w:eastAsia="MS Mincho"/>
        </w:rPr>
        <w:t>Likewise</w:t>
      </w:r>
      <w:r w:rsidR="008973A6" w:rsidRPr="00FB241C">
        <w:rPr>
          <w:rFonts w:eastAsia="MS Mincho"/>
        </w:rPr>
        <w:t xml:space="preserve">, </w:t>
      </w:r>
      <w:r w:rsidR="006A78CC" w:rsidRPr="00FB241C">
        <w:rPr>
          <w:rFonts w:eastAsia="MS Mincho"/>
        </w:rPr>
        <w:t xml:space="preserve">in </w:t>
      </w:r>
      <w:r w:rsidR="006A78CC" w:rsidRPr="00FB241C">
        <w:rPr>
          <w:rFonts w:eastAsia="MS Mincho"/>
          <w:b/>
          <w:bCs/>
        </w:rPr>
        <w:t>Canada</w:t>
      </w:r>
      <w:r w:rsidR="006A78CC" w:rsidRPr="00FB241C">
        <w:rPr>
          <w:rFonts w:eastAsia="MS Mincho"/>
        </w:rPr>
        <w:t>,</w:t>
      </w:r>
      <w:r w:rsidR="00A750A2" w:rsidRPr="00FB241C">
        <w:rPr>
          <w:rFonts w:eastAsia="MS Mincho"/>
        </w:rPr>
        <w:t xml:space="preserve"> </w:t>
      </w:r>
      <w:r w:rsidR="006A78CC" w:rsidRPr="00FB241C">
        <w:rPr>
          <w:rFonts w:eastAsia="MS Mincho"/>
        </w:rPr>
        <w:t xml:space="preserve">legislation establishes </w:t>
      </w:r>
      <w:r w:rsidR="00A750A2" w:rsidRPr="00FB241C">
        <w:rPr>
          <w:rFonts w:eastAsia="MS Mincho"/>
        </w:rPr>
        <w:t xml:space="preserve">differences </w:t>
      </w:r>
      <w:r w:rsidR="00265EE1" w:rsidRPr="00FB241C">
        <w:rPr>
          <w:rFonts w:eastAsia="MS Mincho"/>
        </w:rPr>
        <w:t>between</w:t>
      </w:r>
      <w:r w:rsidR="00A750A2" w:rsidRPr="00FB241C">
        <w:rPr>
          <w:rFonts w:eastAsia="MS Mincho"/>
        </w:rPr>
        <w:t xml:space="preserve"> persons with</w:t>
      </w:r>
      <w:r w:rsidR="00FB241C" w:rsidRPr="00FB241C">
        <w:rPr>
          <w:rFonts w:eastAsia="MS Mincho"/>
        </w:rPr>
        <w:t xml:space="preserve"> </w:t>
      </w:r>
      <w:r w:rsidR="00A750A2" w:rsidRPr="00FB241C">
        <w:rPr>
          <w:rFonts w:eastAsia="MS Mincho"/>
        </w:rPr>
        <w:t xml:space="preserve">disabilities and Indigenous peoples in access to services, including healthcare. </w:t>
      </w:r>
      <w:r w:rsidR="00765746" w:rsidRPr="00FB241C">
        <w:rPr>
          <w:rFonts w:eastAsia="MS Mincho"/>
        </w:rPr>
        <w:t xml:space="preserve">That is because </w:t>
      </w:r>
      <w:r w:rsidR="00A750A2" w:rsidRPr="00FB241C">
        <w:rPr>
          <w:rFonts w:eastAsia="MS Mincho"/>
        </w:rPr>
        <w:t xml:space="preserve">Indigenous peoples’ services </w:t>
      </w:r>
      <w:r w:rsidR="00765746" w:rsidRPr="00FB241C">
        <w:rPr>
          <w:rFonts w:eastAsia="MS Mincho"/>
        </w:rPr>
        <w:t xml:space="preserve">are regulated </w:t>
      </w:r>
      <w:r w:rsidR="00A750A2" w:rsidRPr="00FB241C">
        <w:rPr>
          <w:rFonts w:eastAsia="MS Mincho"/>
        </w:rPr>
        <w:t xml:space="preserve">by national laws, whereas services for persons with disabilities </w:t>
      </w:r>
      <w:r w:rsidR="00765746" w:rsidRPr="00FB241C">
        <w:rPr>
          <w:rFonts w:eastAsia="MS Mincho"/>
        </w:rPr>
        <w:t>are</w:t>
      </w:r>
      <w:r w:rsidR="00A750A2" w:rsidRPr="00FB241C">
        <w:rPr>
          <w:rFonts w:eastAsia="MS Mincho"/>
        </w:rPr>
        <w:t xml:space="preserve"> </w:t>
      </w:r>
      <w:r w:rsidR="007660DA" w:rsidRPr="00FB241C">
        <w:rPr>
          <w:rFonts w:eastAsia="MS Mincho"/>
        </w:rPr>
        <w:t>not</w:t>
      </w:r>
      <w:r w:rsidR="00A750A2" w:rsidRPr="00FB241C">
        <w:rPr>
          <w:rFonts w:eastAsia="MS Mincho"/>
        </w:rPr>
        <w:t xml:space="preserve">. Consequently, Indigenous peoples </w:t>
      </w:r>
      <w:r w:rsidR="00197A16" w:rsidRPr="00FB241C">
        <w:rPr>
          <w:rFonts w:eastAsia="MS Mincho"/>
        </w:rPr>
        <w:t xml:space="preserve">with disabilities </w:t>
      </w:r>
      <w:r w:rsidR="00A750A2" w:rsidRPr="00FB241C">
        <w:rPr>
          <w:rFonts w:eastAsia="MS Mincho"/>
        </w:rPr>
        <w:t>are placed in a legal limbo</w:t>
      </w:r>
      <w:r w:rsidR="00197A16" w:rsidRPr="00FB241C">
        <w:rPr>
          <w:rFonts w:eastAsia="MS Mincho"/>
        </w:rPr>
        <w:t>, which prevents them from accessing</w:t>
      </w:r>
      <w:r w:rsidR="00A750A2" w:rsidRPr="00FB241C">
        <w:rPr>
          <w:rFonts w:eastAsia="MS Mincho"/>
        </w:rPr>
        <w:t xml:space="preserve"> </w:t>
      </w:r>
      <w:r w:rsidR="006A78CC" w:rsidRPr="00FB241C">
        <w:rPr>
          <w:rFonts w:eastAsia="MS Mincho"/>
        </w:rPr>
        <w:t>the same services as other persons with disabilities.</w:t>
      </w:r>
      <w:r w:rsidR="00FB631C" w:rsidRPr="00FB241C">
        <w:rPr>
          <w:rStyle w:val="EndnoteReference"/>
          <w:rFonts w:eastAsia="MS Mincho"/>
        </w:rPr>
        <w:endnoteReference w:id="13"/>
      </w:r>
      <w:r w:rsidR="003F1E0F" w:rsidRPr="00FB241C">
        <w:rPr>
          <w:rFonts w:eastAsia="MS Mincho"/>
        </w:rPr>
        <w:t xml:space="preserve"> In</w:t>
      </w:r>
      <w:r w:rsidR="007660DA" w:rsidRPr="00FB241C">
        <w:rPr>
          <w:rFonts w:eastAsia="MS Mincho"/>
        </w:rPr>
        <w:t xml:space="preserve"> </w:t>
      </w:r>
      <w:r w:rsidR="001E5353" w:rsidRPr="00FB241C">
        <w:rPr>
          <w:rFonts w:eastAsia="MS Mincho"/>
        </w:rPr>
        <w:t>2017</w:t>
      </w:r>
      <w:r w:rsidR="003F1E0F" w:rsidRPr="00FB241C">
        <w:rPr>
          <w:rFonts w:eastAsia="MS Mincho"/>
        </w:rPr>
        <w:t xml:space="preserve">, </w:t>
      </w:r>
      <w:r w:rsidR="007660DA" w:rsidRPr="00FB241C">
        <w:rPr>
          <w:rFonts w:eastAsia="MS Mincho"/>
        </w:rPr>
        <w:t xml:space="preserve">the </w:t>
      </w:r>
      <w:r w:rsidR="00693660" w:rsidRPr="00FB241C">
        <w:rPr>
          <w:rFonts w:eastAsia="MS Mincho"/>
        </w:rPr>
        <w:t xml:space="preserve">Committee on the Rights of Persons with Disabilities (CRPD Committee) expressed concern </w:t>
      </w:r>
      <w:r w:rsidR="007660DA" w:rsidRPr="00FB241C">
        <w:rPr>
          <w:rFonts w:eastAsia="MS Mincho"/>
        </w:rPr>
        <w:t xml:space="preserve">to Canada </w:t>
      </w:r>
      <w:r w:rsidR="00135699" w:rsidRPr="00FB241C">
        <w:rPr>
          <w:rFonts w:eastAsia="MS Mincho"/>
        </w:rPr>
        <w:t xml:space="preserve">about the intersecting nature of discrimination </w:t>
      </w:r>
      <w:r w:rsidR="00197A16" w:rsidRPr="00FB241C">
        <w:rPr>
          <w:rFonts w:eastAsia="MS Mincho"/>
        </w:rPr>
        <w:t xml:space="preserve">women with disabilities and Indigenous peoples with disabilities </w:t>
      </w:r>
      <w:r w:rsidR="00135699" w:rsidRPr="00FB241C">
        <w:rPr>
          <w:rFonts w:eastAsia="MS Mincho"/>
        </w:rPr>
        <w:t xml:space="preserve">face, </w:t>
      </w:r>
      <w:r w:rsidR="00AE41EE" w:rsidRPr="00FB241C">
        <w:rPr>
          <w:rFonts w:eastAsia="MS Mincho"/>
        </w:rPr>
        <w:t>which lead</w:t>
      </w:r>
      <w:r w:rsidR="0097368F" w:rsidRPr="00FB241C">
        <w:rPr>
          <w:rFonts w:eastAsia="MS Mincho"/>
        </w:rPr>
        <w:t>s</w:t>
      </w:r>
      <w:r w:rsidR="00AE41EE" w:rsidRPr="00FB241C">
        <w:rPr>
          <w:rFonts w:eastAsia="MS Mincho"/>
        </w:rPr>
        <w:t xml:space="preserve"> to increased barriers </w:t>
      </w:r>
      <w:r w:rsidR="001E5353" w:rsidRPr="00FB241C">
        <w:rPr>
          <w:rFonts w:eastAsia="MS Mincho"/>
        </w:rPr>
        <w:t>to</w:t>
      </w:r>
      <w:r w:rsidR="00AE41EE" w:rsidRPr="00FB241C">
        <w:rPr>
          <w:rFonts w:eastAsia="MS Mincho"/>
        </w:rPr>
        <w:t xml:space="preserve"> access</w:t>
      </w:r>
      <w:r w:rsidR="007660DA" w:rsidRPr="00FB241C">
        <w:rPr>
          <w:rFonts w:eastAsia="MS Mincho"/>
        </w:rPr>
        <w:t>ing</w:t>
      </w:r>
      <w:r w:rsidR="00AE41EE" w:rsidRPr="00FB241C">
        <w:rPr>
          <w:rFonts w:eastAsia="MS Mincho"/>
        </w:rPr>
        <w:t xml:space="preserve"> mental health services. </w:t>
      </w:r>
      <w:r w:rsidR="00C1577B" w:rsidRPr="00FB241C">
        <w:rPr>
          <w:rFonts w:eastAsia="MS Mincho"/>
        </w:rPr>
        <w:t>The Committee r</w:t>
      </w:r>
      <w:r w:rsidR="00581663" w:rsidRPr="00FB241C">
        <w:rPr>
          <w:rFonts w:eastAsia="MS Mincho"/>
        </w:rPr>
        <w:t>ecommend</w:t>
      </w:r>
      <w:r w:rsidR="00172E58" w:rsidRPr="00FB241C">
        <w:rPr>
          <w:rFonts w:eastAsia="MS Mincho"/>
        </w:rPr>
        <w:t>ed</w:t>
      </w:r>
      <w:r w:rsidR="00581663" w:rsidRPr="00FB241C">
        <w:rPr>
          <w:rFonts w:eastAsia="MS Mincho"/>
        </w:rPr>
        <w:t xml:space="preserve"> </w:t>
      </w:r>
      <w:r w:rsidR="003E6C20" w:rsidRPr="00FB241C">
        <w:rPr>
          <w:rFonts w:eastAsia="MS Mincho"/>
        </w:rPr>
        <w:t>ensuring that services for Indigenous persons with disabilities in First Nation communities are equitable and appropriate, including health services aimed at</w:t>
      </w:r>
      <w:r w:rsidR="00A5142D" w:rsidRPr="00FB241C">
        <w:rPr>
          <w:rFonts w:eastAsia="MS Mincho"/>
        </w:rPr>
        <w:t xml:space="preserve"> </w:t>
      </w:r>
      <w:r w:rsidR="003E6C20" w:rsidRPr="00FB241C">
        <w:rPr>
          <w:rFonts w:eastAsia="MS Mincho"/>
        </w:rPr>
        <w:t>preventing suicide among Indigenous young persons with disabilities.</w:t>
      </w:r>
      <w:r w:rsidR="001E5353" w:rsidRPr="00FB241C">
        <w:rPr>
          <w:rStyle w:val="EndnoteReference"/>
          <w:rFonts w:eastAsia="MS Mincho"/>
        </w:rPr>
        <w:endnoteReference w:id="14"/>
      </w:r>
      <w:r w:rsidR="007660DA" w:rsidRPr="00FB241C">
        <w:t xml:space="preserve"> </w:t>
      </w:r>
      <w:r w:rsidR="007368A8" w:rsidRPr="00FB241C">
        <w:t>The Committee also recommend</w:t>
      </w:r>
      <w:r w:rsidR="00172E58" w:rsidRPr="00FB241C">
        <w:t>ed that</w:t>
      </w:r>
      <w:r w:rsidR="007368A8" w:rsidRPr="00FB241C">
        <w:t xml:space="preserve"> Canada adopt measures to ensure universal coverage of health services for </w:t>
      </w:r>
      <w:r w:rsidR="007660DA" w:rsidRPr="00FB241C">
        <w:t>I</w:t>
      </w:r>
      <w:r w:rsidR="007368A8" w:rsidRPr="00FB241C">
        <w:t>ndigenous persons with disabilities, and that these services are accessible, affordable, and culturally sensitive, and prevent the denial of healthcare services, including abortion.</w:t>
      </w:r>
      <w:r w:rsidR="007368A8" w:rsidRPr="00FB241C">
        <w:rPr>
          <w:rStyle w:val="EndnoteReference"/>
          <w:rFonts w:eastAsia="MS Mincho"/>
        </w:rPr>
        <w:endnoteReference w:id="15"/>
      </w:r>
    </w:p>
    <w:p w14:paraId="2E57BADD" w14:textId="77777777" w:rsidR="00935AD3" w:rsidRPr="00FB241C" w:rsidRDefault="00935AD3" w:rsidP="00FB241C">
      <w:pPr>
        <w:pStyle w:val="ListParagraph"/>
        <w:ind w:left="0"/>
        <w:jc w:val="both"/>
        <w:rPr>
          <w:rFonts w:eastAsia="MS Mincho"/>
        </w:rPr>
      </w:pPr>
    </w:p>
    <w:p w14:paraId="3A68D43A" w14:textId="55C69604" w:rsidR="007D6D1B" w:rsidRPr="00FB241C" w:rsidRDefault="00935AD3" w:rsidP="00FB241C">
      <w:pPr>
        <w:pStyle w:val="ListParagraph"/>
        <w:ind w:left="0"/>
        <w:jc w:val="both"/>
      </w:pPr>
      <w:r w:rsidRPr="00FB241C">
        <w:rPr>
          <w:rFonts w:eastAsia="MS Mincho"/>
        </w:rPr>
        <w:t xml:space="preserve">Furthermore, in </w:t>
      </w:r>
      <w:r w:rsidRPr="00FB241C">
        <w:rPr>
          <w:rFonts w:eastAsia="MS Mincho"/>
          <w:b/>
          <w:bCs/>
        </w:rPr>
        <w:t>the United States</w:t>
      </w:r>
      <w:r w:rsidR="003F1E0F" w:rsidRPr="00FB241C">
        <w:rPr>
          <w:rFonts w:eastAsia="MS Mincho"/>
          <w:b/>
          <w:bCs/>
        </w:rPr>
        <w:t xml:space="preserve"> of America</w:t>
      </w:r>
      <w:r w:rsidR="007660DA" w:rsidRPr="00FB241C">
        <w:rPr>
          <w:rFonts w:eastAsia="MS Mincho"/>
          <w:b/>
          <w:bCs/>
        </w:rPr>
        <w:t xml:space="preserve"> (United States)</w:t>
      </w:r>
      <w:r w:rsidRPr="00FB241C">
        <w:rPr>
          <w:rFonts w:eastAsia="MS Mincho"/>
        </w:rPr>
        <w:t>, the absence of universal health insurance prevents th</w:t>
      </w:r>
      <w:r w:rsidR="007660DA" w:rsidRPr="00FB241C">
        <w:rPr>
          <w:rFonts w:eastAsia="MS Mincho"/>
        </w:rPr>
        <w:t>ose</w:t>
      </w:r>
      <w:r w:rsidRPr="00FB241C">
        <w:rPr>
          <w:rFonts w:eastAsia="MS Mincho"/>
        </w:rPr>
        <w:t xml:space="preserve"> living in poverty </w:t>
      </w:r>
      <w:r w:rsidR="00A445AC" w:rsidRPr="00FB241C">
        <w:rPr>
          <w:rFonts w:eastAsia="MS Mincho"/>
        </w:rPr>
        <w:t>from accessing</w:t>
      </w:r>
      <w:r w:rsidRPr="00FB241C">
        <w:rPr>
          <w:rFonts w:eastAsia="MS Mincho"/>
        </w:rPr>
        <w:t xml:space="preserve"> </w:t>
      </w:r>
      <w:r w:rsidR="001B7CEB" w:rsidRPr="00FB241C">
        <w:rPr>
          <w:rFonts w:eastAsia="MS Mincho"/>
        </w:rPr>
        <w:t>healthcare</w:t>
      </w:r>
      <w:r w:rsidRPr="00FB241C">
        <w:rPr>
          <w:rFonts w:eastAsia="MS Mincho"/>
        </w:rPr>
        <w:t xml:space="preserve">. </w:t>
      </w:r>
      <w:r w:rsidR="003F1E0F" w:rsidRPr="00FB241C">
        <w:rPr>
          <w:rFonts w:eastAsia="MS Mincho"/>
        </w:rPr>
        <w:t xml:space="preserve">This situation </w:t>
      </w:r>
      <w:r w:rsidRPr="00FB241C">
        <w:rPr>
          <w:rFonts w:eastAsia="MS Mincho"/>
        </w:rPr>
        <w:t xml:space="preserve">disproportionately impacts Black and Hispanic women, including those with disabilities, because they are overrepresented among </w:t>
      </w:r>
      <w:r w:rsidR="007660DA" w:rsidRPr="00FB241C">
        <w:rPr>
          <w:rFonts w:eastAsia="MS Mincho"/>
        </w:rPr>
        <w:t>people</w:t>
      </w:r>
      <w:r w:rsidRPr="00FB241C">
        <w:rPr>
          <w:rFonts w:eastAsia="MS Mincho"/>
        </w:rPr>
        <w:t xml:space="preserve"> living in poverty.</w:t>
      </w:r>
      <w:r w:rsidRPr="00FB241C">
        <w:rPr>
          <w:rStyle w:val="EndnoteReference"/>
          <w:rFonts w:eastAsia="MS Mincho"/>
        </w:rPr>
        <w:endnoteReference w:id="16"/>
      </w:r>
      <w:r w:rsidRPr="00FB241C">
        <w:rPr>
          <w:rFonts w:eastAsia="MS Mincho"/>
        </w:rPr>
        <w:t xml:space="preserve"> </w:t>
      </w:r>
      <w:r w:rsidRPr="00FB241C">
        <w:t xml:space="preserve">In addition, </w:t>
      </w:r>
      <w:r w:rsidR="003F1E0F" w:rsidRPr="00FB241C">
        <w:t>households where one or more members has a disability are almost twice as likely to have medical debt (</w:t>
      </w:r>
      <w:r w:rsidRPr="00FB241C">
        <w:t>26.5 percent</w:t>
      </w:r>
      <w:r w:rsidR="003F1E0F" w:rsidRPr="00FB241C">
        <w:t>) as compared to U</w:t>
      </w:r>
      <w:r w:rsidR="002F600E" w:rsidRPr="00FB241C">
        <w:t xml:space="preserve">nited </w:t>
      </w:r>
      <w:r w:rsidR="003F1E0F" w:rsidRPr="00FB241C">
        <w:t>S</w:t>
      </w:r>
      <w:r w:rsidR="002F600E" w:rsidRPr="00FB241C">
        <w:t>tates</w:t>
      </w:r>
      <w:r w:rsidR="003F1E0F" w:rsidRPr="00FB241C">
        <w:t xml:space="preserve"> households where no members are persons with disabilities (14.4 percent)</w:t>
      </w:r>
      <w:r w:rsidR="002F600E" w:rsidRPr="00FB241C">
        <w:t>.</w:t>
      </w:r>
      <w:r w:rsidR="002F600E" w:rsidRPr="00FB241C">
        <w:rPr>
          <w:rStyle w:val="EndnoteReference"/>
          <w:rFonts w:eastAsia="MS Mincho"/>
        </w:rPr>
        <w:endnoteReference w:id="17"/>
      </w:r>
      <w:r w:rsidR="002F600E" w:rsidRPr="00FB241C">
        <w:t xml:space="preserve"> </w:t>
      </w:r>
      <w:r w:rsidRPr="00FB241C">
        <w:t xml:space="preserve"> </w:t>
      </w:r>
      <w:r w:rsidR="003F1E0F" w:rsidRPr="00FB241C">
        <w:t>Furthermore, 27.9 percent of Black households have medical debt, compared with 17.9 percent of white households.</w:t>
      </w:r>
      <w:r w:rsidR="002F600E" w:rsidRPr="00FB241C">
        <w:rPr>
          <w:rStyle w:val="EndnoteReference"/>
          <w:rFonts w:eastAsia="MS Mincho"/>
        </w:rPr>
        <w:endnoteReference w:id="18"/>
      </w:r>
      <w:r w:rsidR="002F600E" w:rsidRPr="00FB241C">
        <w:t xml:space="preserve"> </w:t>
      </w:r>
      <w:r w:rsidR="007660DA" w:rsidRPr="00FB241C">
        <w:t xml:space="preserve"> </w:t>
      </w:r>
      <w:r w:rsidR="003F1E0F" w:rsidRPr="00FB241C">
        <w:t>D</w:t>
      </w:r>
      <w:r w:rsidRPr="00FB241C">
        <w:t xml:space="preserve">ue to cost barriers, one-sixth of adults </w:t>
      </w:r>
      <w:r w:rsidRPr="00FB241C">
        <w:lastRenderedPageBreak/>
        <w:t xml:space="preserve">with disabilities who needed </w:t>
      </w:r>
      <w:r w:rsidR="001B7CEB" w:rsidRPr="00FB241C">
        <w:t>healthcare</w:t>
      </w:r>
      <w:r w:rsidRPr="00FB241C">
        <w:t xml:space="preserve"> did not receive </w:t>
      </w:r>
      <w:r w:rsidR="00E977CE" w:rsidRPr="00FB241C">
        <w:t>it</w:t>
      </w:r>
      <w:r w:rsidRPr="00FB241C">
        <w:t>.</w:t>
      </w:r>
      <w:r w:rsidR="002F600E" w:rsidRPr="00FB241C">
        <w:rPr>
          <w:rStyle w:val="EndnoteReference"/>
          <w:rFonts w:eastAsia="MS Mincho"/>
        </w:rPr>
        <w:endnoteReference w:id="19"/>
      </w:r>
      <w:r w:rsidR="002F600E" w:rsidRPr="00FB241C">
        <w:t xml:space="preserve"> </w:t>
      </w:r>
      <w:r w:rsidRPr="00FB241C">
        <w:t xml:space="preserve"> Black persons with disabilities in the U</w:t>
      </w:r>
      <w:r w:rsidR="002F600E" w:rsidRPr="00FB241C">
        <w:t xml:space="preserve">nited </w:t>
      </w:r>
      <w:r w:rsidRPr="00FB241C">
        <w:t>S</w:t>
      </w:r>
      <w:r w:rsidR="002F600E" w:rsidRPr="00FB241C">
        <w:t>tates</w:t>
      </w:r>
      <w:r w:rsidRPr="00FB241C">
        <w:t xml:space="preserve"> were the most likely to face these cost barriers, whereas women, particularly Black women, </w:t>
      </w:r>
      <w:r w:rsidR="003F1E0F" w:rsidRPr="00FB241C">
        <w:t>were</w:t>
      </w:r>
      <w:r w:rsidRPr="00FB241C">
        <w:t xml:space="preserve"> more likely to report not being able to afford care, even with insurance.</w:t>
      </w:r>
      <w:r w:rsidRPr="00FB241C">
        <w:rPr>
          <w:rStyle w:val="EndnoteReference"/>
          <w:rFonts w:eastAsia="MS Mincho"/>
        </w:rPr>
        <w:endnoteReference w:id="20"/>
      </w:r>
      <w:r w:rsidR="00431CC8" w:rsidRPr="00FB241C">
        <w:t xml:space="preserve"> </w:t>
      </w:r>
    </w:p>
    <w:p w14:paraId="12B5C248" w14:textId="77777777" w:rsidR="007D6D1B" w:rsidRPr="00FB241C" w:rsidRDefault="007D6D1B" w:rsidP="00FB241C">
      <w:pPr>
        <w:pStyle w:val="ListParagraph"/>
        <w:ind w:left="0"/>
        <w:jc w:val="both"/>
      </w:pPr>
    </w:p>
    <w:p w14:paraId="5229D09C" w14:textId="4D093749" w:rsidR="00655A62" w:rsidRPr="00FB241C" w:rsidRDefault="0078615D" w:rsidP="00FB241C">
      <w:pPr>
        <w:pStyle w:val="ListParagraph"/>
        <w:ind w:left="0"/>
        <w:jc w:val="both"/>
      </w:pPr>
      <w:r w:rsidRPr="00FB241C">
        <w:t xml:space="preserve">Similarly, </w:t>
      </w:r>
      <w:r w:rsidR="00693660" w:rsidRPr="00FB241C">
        <w:t xml:space="preserve">the </w:t>
      </w:r>
      <w:r w:rsidR="00D3715A" w:rsidRPr="00FB241C">
        <w:t xml:space="preserve">CRPD Committee </w:t>
      </w:r>
      <w:r w:rsidR="00FB241C" w:rsidRPr="00FB241C">
        <w:t xml:space="preserve">has </w:t>
      </w:r>
      <w:r w:rsidR="009505D9" w:rsidRPr="00FB241C">
        <w:t xml:space="preserve">expressed concern </w:t>
      </w:r>
      <w:r w:rsidR="00815ED4" w:rsidRPr="00FB241C">
        <w:t>about</w:t>
      </w:r>
      <w:r w:rsidR="009505D9" w:rsidRPr="00FB241C">
        <w:t xml:space="preserve"> </w:t>
      </w:r>
      <w:r w:rsidR="0008622B" w:rsidRPr="00FB241C">
        <w:t xml:space="preserve">the lack of access to affordable universal </w:t>
      </w:r>
      <w:r w:rsidR="001B7CEB" w:rsidRPr="00FB241C">
        <w:t>healthcare</w:t>
      </w:r>
      <w:r w:rsidR="0008622B" w:rsidRPr="00FB241C">
        <w:t xml:space="preserve"> for children with disabilities</w:t>
      </w:r>
      <w:r w:rsidR="005A3CF0" w:rsidRPr="00FB241C">
        <w:t xml:space="preserve"> in </w:t>
      </w:r>
      <w:r w:rsidR="005A3CF0" w:rsidRPr="00FB241C">
        <w:rPr>
          <w:b/>
          <w:bCs/>
        </w:rPr>
        <w:t>Ecuador</w:t>
      </w:r>
      <w:r w:rsidR="0008622B" w:rsidRPr="00FB241C">
        <w:t xml:space="preserve">, particularly in the case of children with disabilities in Indigenous communities. </w:t>
      </w:r>
      <w:r w:rsidR="00815ED4" w:rsidRPr="00FB241C">
        <w:t>The Committee recommend</w:t>
      </w:r>
      <w:r w:rsidR="007660DA" w:rsidRPr="00FB241C">
        <w:t>ed</w:t>
      </w:r>
      <w:r w:rsidR="00815ED4" w:rsidRPr="00FB241C">
        <w:t xml:space="preserve"> the State adopt measures to facilitate </w:t>
      </w:r>
      <w:r w:rsidR="00431CC8" w:rsidRPr="00FB241C">
        <w:t>access to affordable universal healthcare services for Indigenous children with disabilities.</w:t>
      </w:r>
      <w:r w:rsidR="00431CC8" w:rsidRPr="00FB241C">
        <w:rPr>
          <w:rStyle w:val="EndnoteReference"/>
        </w:rPr>
        <w:endnoteReference w:id="21"/>
      </w:r>
      <w:r w:rsidR="007D6D1B" w:rsidRPr="00FB241C">
        <w:t xml:space="preserve"> To </w:t>
      </w:r>
      <w:r w:rsidR="007D6D1B" w:rsidRPr="00FB241C">
        <w:rPr>
          <w:b/>
          <w:bCs/>
        </w:rPr>
        <w:t>Colombia</w:t>
      </w:r>
      <w:r w:rsidR="007D6D1B" w:rsidRPr="00FB241C">
        <w:t xml:space="preserve">, the CRPD Committee </w:t>
      </w:r>
      <w:r w:rsidR="00271667" w:rsidRPr="00FB241C">
        <w:t xml:space="preserve">called attention to the </w:t>
      </w:r>
      <w:r w:rsidR="00FC7199" w:rsidRPr="00FB241C">
        <w:t xml:space="preserve">inadequate or non-existent health coverage </w:t>
      </w:r>
      <w:r w:rsidR="00563D11" w:rsidRPr="00FB241C">
        <w:t xml:space="preserve">in rural and remote areas, which disproportionately impacts Afro-Colombian and </w:t>
      </w:r>
      <w:r w:rsidR="001564A3" w:rsidRPr="00FB241C">
        <w:t xml:space="preserve">Indigenous peoples. </w:t>
      </w:r>
      <w:r w:rsidR="007660DA" w:rsidRPr="00FB241C">
        <w:t xml:space="preserve">The </w:t>
      </w:r>
      <w:r w:rsidR="001564A3" w:rsidRPr="00FB241C">
        <w:t xml:space="preserve">Committee </w:t>
      </w:r>
      <w:r w:rsidR="00581663" w:rsidRPr="00FB241C">
        <w:t>suggest</w:t>
      </w:r>
      <w:r w:rsidR="003F1E0F" w:rsidRPr="00FB241C">
        <w:t>ed</w:t>
      </w:r>
      <w:r w:rsidR="00581663" w:rsidRPr="00FB241C">
        <w:t xml:space="preserve"> </w:t>
      </w:r>
      <w:r w:rsidR="001564A3" w:rsidRPr="00FB241C">
        <w:t xml:space="preserve">providing </w:t>
      </w:r>
      <w:r w:rsidR="003F4B2C" w:rsidRPr="00FB241C">
        <w:t xml:space="preserve">the financial and human resources necessary to extend </w:t>
      </w:r>
      <w:r w:rsidR="001B7CEB" w:rsidRPr="00FB241C">
        <w:t>healthcare</w:t>
      </w:r>
      <w:r w:rsidR="003F4B2C" w:rsidRPr="00FB241C">
        <w:t xml:space="preserve"> to these groups.</w:t>
      </w:r>
      <w:r w:rsidR="003F4B2C" w:rsidRPr="00FB241C">
        <w:rPr>
          <w:rStyle w:val="EndnoteReference"/>
        </w:rPr>
        <w:endnoteReference w:id="22"/>
      </w:r>
      <w:r w:rsidR="003F4B2C" w:rsidRPr="00FB241C">
        <w:t xml:space="preserve"> </w:t>
      </w:r>
    </w:p>
    <w:p w14:paraId="707ABB8B" w14:textId="77777777" w:rsidR="0008622B" w:rsidRPr="00FB241C" w:rsidRDefault="0008622B" w:rsidP="00FB241C">
      <w:pPr>
        <w:pStyle w:val="ListParagraph"/>
        <w:ind w:left="0"/>
        <w:jc w:val="both"/>
      </w:pPr>
    </w:p>
    <w:p w14:paraId="4B5D20C9" w14:textId="22455DF3" w:rsidR="00757951" w:rsidRPr="00FB241C" w:rsidRDefault="007660DA" w:rsidP="00FB241C">
      <w:pPr>
        <w:jc w:val="both"/>
        <w:rPr>
          <w:rFonts w:eastAsia="MS Mincho"/>
        </w:rPr>
      </w:pPr>
      <w:r w:rsidRPr="00FB241C">
        <w:rPr>
          <w:rFonts w:eastAsia="MS Mincho"/>
        </w:rPr>
        <w:t>There are frequently also significant accessibility barriers that women with disabilities who experience racism face in accessing healthcare.</w:t>
      </w:r>
      <w:r w:rsidR="00757951" w:rsidRPr="00FB241C">
        <w:rPr>
          <w:rFonts w:eastAsia="MS Mincho"/>
        </w:rPr>
        <w:t xml:space="preserve"> As the right to accessibility is both a fundamental right and a precondition to ensure other rights, it must be fulfilled </w:t>
      </w:r>
      <w:proofErr w:type="gramStart"/>
      <w:r w:rsidR="00757951" w:rsidRPr="00FB241C">
        <w:rPr>
          <w:rFonts w:eastAsia="MS Mincho"/>
        </w:rPr>
        <w:t>in order to</w:t>
      </w:r>
      <w:proofErr w:type="gramEnd"/>
      <w:r w:rsidR="00757951" w:rsidRPr="00FB241C">
        <w:rPr>
          <w:rFonts w:eastAsia="MS Mincho"/>
        </w:rPr>
        <w:t xml:space="preserve"> guarantee the right to </w:t>
      </w:r>
      <w:r w:rsidR="00060E5E" w:rsidRPr="00FB241C">
        <w:rPr>
          <w:rFonts w:eastAsia="MS Mincho"/>
        </w:rPr>
        <w:t>health</w:t>
      </w:r>
      <w:r w:rsidR="00757951" w:rsidRPr="00FB241C">
        <w:rPr>
          <w:rFonts w:eastAsia="MS Mincho"/>
        </w:rPr>
        <w:t>.</w:t>
      </w:r>
      <w:r w:rsidR="00BC3BC4" w:rsidRPr="00FB241C">
        <w:rPr>
          <w:rStyle w:val="EndnoteReference"/>
          <w:rFonts w:eastAsia="MS Mincho"/>
        </w:rPr>
        <w:endnoteReference w:id="23"/>
      </w:r>
      <w:r w:rsidR="00757951" w:rsidRPr="00FB241C">
        <w:rPr>
          <w:rFonts w:eastAsia="MS Mincho"/>
        </w:rPr>
        <w:t xml:space="preserve"> In spite of that, accessibility in </w:t>
      </w:r>
      <w:r w:rsidR="001B7CEB" w:rsidRPr="00FB241C">
        <w:rPr>
          <w:rFonts w:eastAsia="MS Mincho"/>
        </w:rPr>
        <w:t>healthcare</w:t>
      </w:r>
      <w:r w:rsidR="00757951" w:rsidRPr="00FB241C">
        <w:rPr>
          <w:rFonts w:eastAsia="MS Mincho"/>
        </w:rPr>
        <w:t xml:space="preserve"> is not widely ensured. </w:t>
      </w:r>
    </w:p>
    <w:p w14:paraId="4EBF96AF" w14:textId="2F43D876" w:rsidR="00757951" w:rsidRPr="00FB241C" w:rsidRDefault="007B2B6F" w:rsidP="00FB241C">
      <w:pPr>
        <w:pStyle w:val="ListParagraph"/>
        <w:numPr>
          <w:ilvl w:val="0"/>
          <w:numId w:val="1"/>
        </w:numPr>
        <w:jc w:val="both"/>
        <w:rPr>
          <w:rFonts w:eastAsia="MS Mincho"/>
        </w:rPr>
      </w:pPr>
      <w:r w:rsidRPr="00FB241C">
        <w:rPr>
          <w:rFonts w:eastAsia="MS Mincho"/>
        </w:rPr>
        <w:t>Indigenous</w:t>
      </w:r>
      <w:r w:rsidR="00757951" w:rsidRPr="00FB241C">
        <w:rPr>
          <w:rFonts w:eastAsia="MS Mincho"/>
        </w:rPr>
        <w:t xml:space="preserve"> peoples with disabilities, including women, are often required to periodically reconfirm their disability status in a health center, but the lack or absence of accessib</w:t>
      </w:r>
      <w:r w:rsidR="003F1E0F" w:rsidRPr="00FB241C">
        <w:rPr>
          <w:rFonts w:eastAsia="MS Mincho"/>
        </w:rPr>
        <w:t>le</w:t>
      </w:r>
      <w:r w:rsidR="00757951" w:rsidRPr="00FB241C">
        <w:rPr>
          <w:rFonts w:eastAsia="MS Mincho"/>
        </w:rPr>
        <w:t xml:space="preserve"> transportation in many countries converts such requirement into a burden, especially for those </w:t>
      </w:r>
      <w:r w:rsidRPr="00FB241C">
        <w:rPr>
          <w:rFonts w:eastAsia="MS Mincho"/>
        </w:rPr>
        <w:t>Indigenous</w:t>
      </w:r>
      <w:r w:rsidR="00757951" w:rsidRPr="00FB241C">
        <w:rPr>
          <w:rFonts w:eastAsia="MS Mincho"/>
        </w:rPr>
        <w:t xml:space="preserve"> women living in remote areas.</w:t>
      </w:r>
      <w:r w:rsidR="00757951" w:rsidRPr="00FB241C">
        <w:rPr>
          <w:rStyle w:val="EndnoteReference"/>
          <w:rFonts w:eastAsia="MS Mincho"/>
        </w:rPr>
        <w:endnoteReference w:id="24"/>
      </w:r>
    </w:p>
    <w:p w14:paraId="57E01A48" w14:textId="58D3F671" w:rsidR="00757951" w:rsidRPr="00FB241C" w:rsidRDefault="00757951" w:rsidP="00FB241C">
      <w:pPr>
        <w:pStyle w:val="ListParagraph"/>
        <w:numPr>
          <w:ilvl w:val="0"/>
          <w:numId w:val="1"/>
        </w:numPr>
        <w:jc w:val="both"/>
        <w:rPr>
          <w:rFonts w:eastAsia="MS Mincho"/>
        </w:rPr>
      </w:pPr>
      <w:r w:rsidRPr="00FB241C">
        <w:rPr>
          <w:rFonts w:eastAsia="MS Mincho"/>
        </w:rPr>
        <w:t xml:space="preserve">Ethnic minorities in </w:t>
      </w:r>
      <w:r w:rsidRPr="00FB241C">
        <w:rPr>
          <w:rFonts w:eastAsia="MS Mincho"/>
          <w:b/>
          <w:bCs/>
        </w:rPr>
        <w:t>Indonesia</w:t>
      </w:r>
      <w:r w:rsidRPr="00FB241C">
        <w:rPr>
          <w:rFonts w:eastAsia="MS Mincho"/>
        </w:rPr>
        <w:t xml:space="preserve"> who are part of the Deaf community </w:t>
      </w:r>
      <w:r w:rsidR="003F1E0F" w:rsidRPr="00FB241C">
        <w:rPr>
          <w:rFonts w:eastAsia="MS Mincho"/>
        </w:rPr>
        <w:t>lack access to</w:t>
      </w:r>
      <w:r w:rsidRPr="00FB241C">
        <w:rPr>
          <w:rFonts w:eastAsia="MS Mincho"/>
        </w:rPr>
        <w:t xml:space="preserve"> interpreters proficient at using local ‘Malayu’ sign language at health facilities</w:t>
      </w:r>
      <w:r w:rsidRPr="00FB241C">
        <w:t>, which prevents them from</w:t>
      </w:r>
      <w:r w:rsidRPr="00FB241C">
        <w:rPr>
          <w:rFonts w:eastAsia="MS Mincho"/>
        </w:rPr>
        <w:t xml:space="preserve"> communicating their health needs and wishes effectively to </w:t>
      </w:r>
      <w:r w:rsidR="001B7CEB" w:rsidRPr="00FB241C">
        <w:rPr>
          <w:rFonts w:eastAsia="MS Mincho"/>
        </w:rPr>
        <w:t>healthcare</w:t>
      </w:r>
      <w:r w:rsidRPr="00FB241C">
        <w:rPr>
          <w:rFonts w:eastAsia="MS Mincho"/>
        </w:rPr>
        <w:t xml:space="preserve"> staff and, consequently, compromises the quality of medical treatment received.</w:t>
      </w:r>
      <w:r w:rsidRPr="00FB241C">
        <w:rPr>
          <w:rStyle w:val="EndnoteReference"/>
          <w:rFonts w:eastAsia="MS Mincho"/>
        </w:rPr>
        <w:endnoteReference w:id="25"/>
      </w:r>
    </w:p>
    <w:p w14:paraId="7E887D50" w14:textId="77777777" w:rsidR="00757951" w:rsidRPr="00FB241C" w:rsidRDefault="00757951" w:rsidP="00FB241C">
      <w:pPr>
        <w:pStyle w:val="ListParagraph"/>
        <w:jc w:val="both"/>
        <w:rPr>
          <w:rFonts w:eastAsia="MS Mincho"/>
        </w:rPr>
      </w:pPr>
    </w:p>
    <w:p w14:paraId="126F4970" w14:textId="6DA78304" w:rsidR="00AB4641" w:rsidRPr="00FB241C" w:rsidRDefault="00951D3F" w:rsidP="00FB241C">
      <w:pPr>
        <w:jc w:val="both"/>
        <w:rPr>
          <w:rFonts w:eastAsia="MS Mincho"/>
        </w:rPr>
      </w:pPr>
      <w:r w:rsidRPr="00FB241C">
        <w:rPr>
          <w:rFonts w:eastAsia="MS Mincho"/>
        </w:rPr>
        <w:t xml:space="preserve">Even </w:t>
      </w:r>
      <w:r w:rsidR="008F3497" w:rsidRPr="00FB241C">
        <w:rPr>
          <w:rFonts w:eastAsia="MS Mincho"/>
        </w:rPr>
        <w:t xml:space="preserve">when women with disabilities </w:t>
      </w:r>
      <w:r w:rsidR="00BA44A8" w:rsidRPr="00FB241C">
        <w:rPr>
          <w:rFonts w:eastAsia="MS Mincho"/>
        </w:rPr>
        <w:t xml:space="preserve">who experience racism </w:t>
      </w:r>
      <w:r w:rsidR="000A0141" w:rsidRPr="00FB241C">
        <w:rPr>
          <w:rFonts w:eastAsia="MS Mincho"/>
        </w:rPr>
        <w:t xml:space="preserve">overcome these barriers and </w:t>
      </w:r>
      <w:r w:rsidR="008F3497" w:rsidRPr="00FB241C">
        <w:rPr>
          <w:rFonts w:eastAsia="MS Mincho"/>
        </w:rPr>
        <w:t xml:space="preserve">access </w:t>
      </w:r>
      <w:r w:rsidR="001B7CEB" w:rsidRPr="00FB241C">
        <w:rPr>
          <w:rFonts w:eastAsia="MS Mincho"/>
        </w:rPr>
        <w:t>healthcare</w:t>
      </w:r>
      <w:r w:rsidR="008F3497" w:rsidRPr="00FB241C">
        <w:rPr>
          <w:rFonts w:eastAsia="MS Mincho"/>
        </w:rPr>
        <w:t xml:space="preserve">, they face </w:t>
      </w:r>
      <w:r w:rsidR="000A0141" w:rsidRPr="00FB241C">
        <w:rPr>
          <w:rFonts w:eastAsia="MS Mincho"/>
        </w:rPr>
        <w:t>intersectional discrimination</w:t>
      </w:r>
      <w:r w:rsidR="00E30902" w:rsidRPr="00FB241C">
        <w:rPr>
          <w:rFonts w:eastAsia="MS Mincho"/>
        </w:rPr>
        <w:t xml:space="preserve"> when receiving medical attention. </w:t>
      </w:r>
      <w:r w:rsidR="007B2B6F" w:rsidRPr="00FB241C">
        <w:rPr>
          <w:rFonts w:eastAsia="MS Mincho"/>
        </w:rPr>
        <w:t>Indigenous</w:t>
      </w:r>
      <w:r w:rsidR="00190E63" w:rsidRPr="00FB241C">
        <w:rPr>
          <w:rFonts w:eastAsia="MS Mincho"/>
        </w:rPr>
        <w:t xml:space="preserve"> women with disabilities </w:t>
      </w:r>
      <w:r w:rsidR="00CF5C8F" w:rsidRPr="00FB241C">
        <w:rPr>
          <w:rFonts w:eastAsia="MS Mincho"/>
        </w:rPr>
        <w:t xml:space="preserve">may </w:t>
      </w:r>
      <w:r w:rsidR="00041FD5" w:rsidRPr="00FB241C">
        <w:rPr>
          <w:rFonts w:eastAsia="MS Mincho"/>
        </w:rPr>
        <w:t>experience delays in recognition of disability status</w:t>
      </w:r>
      <w:r w:rsidR="00730D3F" w:rsidRPr="00FB241C">
        <w:rPr>
          <w:rFonts w:eastAsia="MS Mincho"/>
        </w:rPr>
        <w:t xml:space="preserve"> or even an over-diagnosis of intellectual disability due to cultural bias</w:t>
      </w:r>
      <w:r w:rsidR="007660DA" w:rsidRPr="00FB241C">
        <w:rPr>
          <w:rFonts w:eastAsia="MS Mincho"/>
        </w:rPr>
        <w:t>es</w:t>
      </w:r>
      <w:r w:rsidR="00730D3F" w:rsidRPr="00FB241C">
        <w:rPr>
          <w:rFonts w:eastAsia="MS Mincho"/>
        </w:rPr>
        <w:t xml:space="preserve"> in testing</w:t>
      </w:r>
      <w:r w:rsidR="00041FD5" w:rsidRPr="00FB241C">
        <w:rPr>
          <w:rFonts w:eastAsia="MS Mincho"/>
        </w:rPr>
        <w:t>.</w:t>
      </w:r>
      <w:r w:rsidR="00041FD5" w:rsidRPr="00FB241C">
        <w:rPr>
          <w:rStyle w:val="EndnoteReference"/>
          <w:rFonts w:eastAsia="MS Mincho"/>
        </w:rPr>
        <w:endnoteReference w:id="26"/>
      </w:r>
      <w:r w:rsidR="00D934E4" w:rsidRPr="00FB241C">
        <w:rPr>
          <w:rFonts w:eastAsia="MS Mincho"/>
        </w:rPr>
        <w:t xml:space="preserve"> </w:t>
      </w:r>
      <w:r w:rsidR="0078534A" w:rsidRPr="00FB241C">
        <w:rPr>
          <w:rFonts w:eastAsia="MS Mincho"/>
        </w:rPr>
        <w:t>In addition, when an indigenous person with a disability is ill and</w:t>
      </w:r>
      <w:r w:rsidR="00172E58" w:rsidRPr="00FB241C">
        <w:rPr>
          <w:rFonts w:eastAsia="MS Mincho"/>
        </w:rPr>
        <w:t xml:space="preserve"> does access</w:t>
      </w:r>
      <w:r w:rsidR="0078534A" w:rsidRPr="00FB241C">
        <w:rPr>
          <w:rFonts w:eastAsia="MS Mincho"/>
        </w:rPr>
        <w:t xml:space="preserve"> healthcare, doctors often say that the illness is due to their disability, instead of examining the patient further.</w:t>
      </w:r>
      <w:r w:rsidR="0078534A" w:rsidRPr="00FB241C">
        <w:rPr>
          <w:rStyle w:val="EndnoteReference"/>
          <w:rFonts w:eastAsia="MS Mincho"/>
        </w:rPr>
        <w:endnoteReference w:id="27"/>
      </w:r>
      <w:r w:rsidR="00FB241C" w:rsidRPr="00FB241C">
        <w:rPr>
          <w:rFonts w:eastAsia="MS Mincho"/>
        </w:rPr>
        <w:t xml:space="preserve"> </w:t>
      </w:r>
      <w:r w:rsidR="00A23953" w:rsidRPr="00FB241C">
        <w:rPr>
          <w:rFonts w:eastAsia="MS Mincho"/>
        </w:rPr>
        <w:t xml:space="preserve">The lack of </w:t>
      </w:r>
      <w:r w:rsidR="0087651B" w:rsidRPr="00FB241C">
        <w:rPr>
          <w:rFonts w:eastAsia="MS Mincho"/>
        </w:rPr>
        <w:t xml:space="preserve">accessibility measures to overcome </w:t>
      </w:r>
      <w:r w:rsidR="0082510C" w:rsidRPr="00FB241C">
        <w:rPr>
          <w:rFonts w:eastAsia="MS Mincho"/>
        </w:rPr>
        <w:t xml:space="preserve">language and </w:t>
      </w:r>
      <w:r w:rsidR="00631455" w:rsidRPr="00FB241C">
        <w:rPr>
          <w:rFonts w:eastAsia="MS Mincho"/>
        </w:rPr>
        <w:t xml:space="preserve">disability-related </w:t>
      </w:r>
      <w:r w:rsidR="0082510C" w:rsidRPr="00FB241C">
        <w:rPr>
          <w:rFonts w:eastAsia="MS Mincho"/>
        </w:rPr>
        <w:t>barriers</w:t>
      </w:r>
      <w:r w:rsidR="00A23953" w:rsidRPr="00FB241C">
        <w:rPr>
          <w:rFonts w:eastAsia="MS Mincho"/>
        </w:rPr>
        <w:t xml:space="preserve"> between </w:t>
      </w:r>
      <w:r w:rsidR="007B2B6F" w:rsidRPr="00FB241C">
        <w:rPr>
          <w:rFonts w:eastAsia="MS Mincho"/>
        </w:rPr>
        <w:t>Indigenous</w:t>
      </w:r>
      <w:r w:rsidR="00A23953" w:rsidRPr="00FB241C">
        <w:rPr>
          <w:rFonts w:eastAsia="MS Mincho"/>
        </w:rPr>
        <w:t xml:space="preserve"> peoples a</w:t>
      </w:r>
      <w:r w:rsidR="0087651B" w:rsidRPr="00FB241C">
        <w:rPr>
          <w:rFonts w:eastAsia="MS Mincho"/>
        </w:rPr>
        <w:t>nd</w:t>
      </w:r>
      <w:r w:rsidR="00A23953" w:rsidRPr="00FB241C">
        <w:rPr>
          <w:rFonts w:eastAsia="MS Mincho"/>
        </w:rPr>
        <w:t xml:space="preserve"> </w:t>
      </w:r>
      <w:r w:rsidR="001B7CEB" w:rsidRPr="00FB241C">
        <w:rPr>
          <w:rFonts w:eastAsia="MS Mincho"/>
        </w:rPr>
        <w:t>healthcare</w:t>
      </w:r>
      <w:r w:rsidR="00A23953" w:rsidRPr="00FB241C">
        <w:rPr>
          <w:rFonts w:eastAsia="MS Mincho"/>
        </w:rPr>
        <w:t xml:space="preserve"> professionals </w:t>
      </w:r>
      <w:r w:rsidR="00E63F1D" w:rsidRPr="00FB241C">
        <w:rPr>
          <w:rFonts w:eastAsia="MS Mincho"/>
        </w:rPr>
        <w:t>increases</w:t>
      </w:r>
      <w:r w:rsidR="0087651B" w:rsidRPr="00FB241C">
        <w:rPr>
          <w:rFonts w:eastAsia="MS Mincho"/>
        </w:rPr>
        <w:t xml:space="preserve"> the </w:t>
      </w:r>
      <w:r w:rsidR="00E63F1D" w:rsidRPr="00FB241C">
        <w:rPr>
          <w:rFonts w:eastAsia="MS Mincho"/>
        </w:rPr>
        <w:t xml:space="preserve">chances of </w:t>
      </w:r>
      <w:r w:rsidR="00B847AF" w:rsidRPr="00FB241C">
        <w:rPr>
          <w:rFonts w:eastAsia="MS Mincho"/>
        </w:rPr>
        <w:t>diseases being</w:t>
      </w:r>
      <w:r w:rsidR="0099729C" w:rsidRPr="00FB241C">
        <w:rPr>
          <w:rFonts w:eastAsia="MS Mincho"/>
        </w:rPr>
        <w:t xml:space="preserve"> </w:t>
      </w:r>
      <w:r w:rsidR="00B847AF" w:rsidRPr="00FB241C">
        <w:rPr>
          <w:rFonts w:eastAsia="MS Mincho"/>
        </w:rPr>
        <w:t xml:space="preserve"> undiagnosed.</w:t>
      </w:r>
      <w:r w:rsidR="00E20111" w:rsidRPr="00FB241C">
        <w:rPr>
          <w:rStyle w:val="EndnoteReference"/>
          <w:rFonts w:eastAsia="MS Mincho"/>
        </w:rPr>
        <w:endnoteReference w:id="28"/>
      </w:r>
    </w:p>
    <w:p w14:paraId="49523C61" w14:textId="0E3FD9DF" w:rsidR="009B4D19" w:rsidRPr="00FB241C" w:rsidRDefault="00587FB5" w:rsidP="00FB241C">
      <w:pPr>
        <w:pStyle w:val="ListParagraph"/>
        <w:numPr>
          <w:ilvl w:val="0"/>
          <w:numId w:val="1"/>
        </w:numPr>
        <w:jc w:val="both"/>
        <w:rPr>
          <w:rFonts w:eastAsia="MS Mincho"/>
        </w:rPr>
      </w:pPr>
      <w:r w:rsidRPr="00FB241C">
        <w:rPr>
          <w:rFonts w:eastAsia="MS Mincho"/>
        </w:rPr>
        <w:t xml:space="preserve">A Black woman </w:t>
      </w:r>
      <w:r w:rsidR="00DA1D8F" w:rsidRPr="00FB241C">
        <w:rPr>
          <w:rFonts w:eastAsia="MS Mincho"/>
        </w:rPr>
        <w:t xml:space="preserve">with a disability </w:t>
      </w:r>
      <w:r w:rsidR="00C91063" w:rsidRPr="00FB241C">
        <w:rPr>
          <w:rFonts w:eastAsia="MS Mincho"/>
        </w:rPr>
        <w:t>from</w:t>
      </w:r>
      <w:r w:rsidR="009B4D19" w:rsidRPr="00FB241C">
        <w:rPr>
          <w:rFonts w:eastAsia="MS Mincho"/>
        </w:rPr>
        <w:t xml:space="preserve"> Palestine </w:t>
      </w:r>
      <w:r w:rsidR="00C91063" w:rsidRPr="00FB241C">
        <w:rPr>
          <w:rFonts w:eastAsia="MS Mincho"/>
        </w:rPr>
        <w:t xml:space="preserve">living in </w:t>
      </w:r>
      <w:r w:rsidR="0099729C" w:rsidRPr="00FB241C">
        <w:rPr>
          <w:rFonts w:eastAsia="MS Mincho"/>
          <w:b/>
          <w:bCs/>
        </w:rPr>
        <w:t>the</w:t>
      </w:r>
      <w:r w:rsidR="00C91063" w:rsidRPr="00FB241C">
        <w:rPr>
          <w:rFonts w:eastAsia="MS Mincho"/>
        </w:rPr>
        <w:t xml:space="preserve"> </w:t>
      </w:r>
      <w:r w:rsidR="00C91063" w:rsidRPr="00FB241C">
        <w:rPr>
          <w:rFonts w:eastAsia="MS Mincho"/>
          <w:b/>
          <w:bCs/>
        </w:rPr>
        <w:t>U</w:t>
      </w:r>
      <w:r w:rsidR="00DA14B5" w:rsidRPr="00FB241C">
        <w:rPr>
          <w:rFonts w:eastAsia="MS Mincho"/>
          <w:b/>
          <w:bCs/>
        </w:rPr>
        <w:t>nited States</w:t>
      </w:r>
      <w:r w:rsidR="00172E58" w:rsidRPr="00FB241C">
        <w:rPr>
          <w:rFonts w:eastAsia="MS Mincho"/>
          <w:b/>
          <w:bCs/>
        </w:rPr>
        <w:t xml:space="preserve"> </w:t>
      </w:r>
      <w:r w:rsidR="0018270D" w:rsidRPr="00FB241C">
        <w:rPr>
          <w:rFonts w:eastAsia="MS Mincho"/>
        </w:rPr>
        <w:t>reported</w:t>
      </w:r>
      <w:r w:rsidRPr="00FB241C">
        <w:rPr>
          <w:rFonts w:eastAsia="MS Mincho"/>
        </w:rPr>
        <w:t xml:space="preserve"> that at a young age, she noticed that </w:t>
      </w:r>
      <w:r w:rsidR="001B7CEB" w:rsidRPr="00FB241C">
        <w:rPr>
          <w:rFonts w:eastAsia="MS Mincho"/>
        </w:rPr>
        <w:t>healthcare</w:t>
      </w:r>
      <w:r w:rsidRPr="00FB241C">
        <w:rPr>
          <w:rFonts w:eastAsia="MS Mincho"/>
        </w:rPr>
        <w:t xml:space="preserve"> providers treated her differently, particularly when her mother was with her compared with when she was alone. </w:t>
      </w:r>
      <w:r w:rsidR="00522CD8" w:rsidRPr="00FB241C">
        <w:rPr>
          <w:rFonts w:eastAsia="MS Mincho"/>
        </w:rPr>
        <w:t>Her</w:t>
      </w:r>
      <w:r w:rsidRPr="00FB241C">
        <w:rPr>
          <w:rFonts w:eastAsia="MS Mincho"/>
        </w:rPr>
        <w:t xml:space="preserve"> mother has darker skin, and </w:t>
      </w:r>
      <w:r w:rsidR="00522CD8" w:rsidRPr="00FB241C">
        <w:rPr>
          <w:rFonts w:eastAsia="MS Mincho"/>
        </w:rPr>
        <w:t>the interviewee</w:t>
      </w:r>
      <w:r w:rsidRPr="00FB241C">
        <w:rPr>
          <w:rFonts w:eastAsia="MS Mincho"/>
        </w:rPr>
        <w:t xml:space="preserve"> believe</w:t>
      </w:r>
      <w:r w:rsidR="003F1E0F" w:rsidRPr="00FB241C">
        <w:rPr>
          <w:rFonts w:eastAsia="MS Mincho"/>
        </w:rPr>
        <w:t>d</w:t>
      </w:r>
      <w:r w:rsidRPr="00FB241C">
        <w:rPr>
          <w:rFonts w:eastAsia="MS Mincho"/>
        </w:rPr>
        <w:t xml:space="preserve"> that her mother was not afforded the same level of respect and politeness because of her race. </w:t>
      </w:r>
      <w:r w:rsidR="0018270D" w:rsidRPr="00FB241C">
        <w:rPr>
          <w:rFonts w:eastAsia="MS Mincho"/>
        </w:rPr>
        <w:t xml:space="preserve">She </w:t>
      </w:r>
      <w:r w:rsidRPr="00FB241C">
        <w:rPr>
          <w:rFonts w:eastAsia="MS Mincho"/>
        </w:rPr>
        <w:t>also noted that the lack of respect and civility can be compounded when English is not the patient’s first language.</w:t>
      </w:r>
      <w:bookmarkStart w:id="0" w:name="_Hlk104742212"/>
      <w:r w:rsidR="00951E14" w:rsidRPr="00FB241C">
        <w:rPr>
          <w:rStyle w:val="EndnoteReference"/>
          <w:rFonts w:eastAsia="MS Mincho"/>
        </w:rPr>
        <w:endnoteReference w:id="29"/>
      </w:r>
      <w:bookmarkEnd w:id="0"/>
    </w:p>
    <w:p w14:paraId="282E286B" w14:textId="77777777" w:rsidR="0099729C" w:rsidRPr="00FB241C" w:rsidRDefault="003F1E0F" w:rsidP="00FB241C">
      <w:pPr>
        <w:pStyle w:val="ListParagraph"/>
        <w:numPr>
          <w:ilvl w:val="0"/>
          <w:numId w:val="1"/>
        </w:numPr>
        <w:jc w:val="both"/>
        <w:rPr>
          <w:rFonts w:eastAsia="MS Mincho"/>
        </w:rPr>
      </w:pPr>
      <w:r w:rsidRPr="00FB241C">
        <w:rPr>
          <w:rFonts w:eastAsia="MS Mincho"/>
        </w:rPr>
        <w:t xml:space="preserve">In </w:t>
      </w:r>
      <w:r w:rsidR="00DA14B5" w:rsidRPr="00FB241C">
        <w:rPr>
          <w:rFonts w:eastAsia="MS Mincho"/>
        </w:rPr>
        <w:t>interviews</w:t>
      </w:r>
      <w:r w:rsidR="00172E58" w:rsidRPr="00FB241C">
        <w:rPr>
          <w:rFonts w:eastAsia="MS Mincho"/>
        </w:rPr>
        <w:t xml:space="preserve"> </w:t>
      </w:r>
      <w:r w:rsidRPr="00FB241C">
        <w:rPr>
          <w:rFonts w:eastAsia="MS Mincho"/>
        </w:rPr>
        <w:t xml:space="preserve">and focus groups conducted in 2021, </w:t>
      </w:r>
      <w:r w:rsidR="00427868" w:rsidRPr="00FB241C">
        <w:rPr>
          <w:rFonts w:eastAsia="MS Mincho"/>
        </w:rPr>
        <w:t xml:space="preserve">Black women </w:t>
      </w:r>
      <w:r w:rsidR="009B4D19" w:rsidRPr="00FB241C">
        <w:rPr>
          <w:rFonts w:eastAsia="MS Mincho"/>
        </w:rPr>
        <w:t xml:space="preserve">with disabilities </w:t>
      </w:r>
      <w:r w:rsidR="00C81DFE" w:rsidRPr="00FB241C">
        <w:rPr>
          <w:rFonts w:eastAsia="MS Mincho"/>
        </w:rPr>
        <w:t xml:space="preserve">in </w:t>
      </w:r>
      <w:r w:rsidR="00C81DFE" w:rsidRPr="00FB241C">
        <w:rPr>
          <w:rFonts w:eastAsia="MS Mincho"/>
          <w:b/>
          <w:bCs/>
        </w:rPr>
        <w:t>the United States</w:t>
      </w:r>
      <w:r w:rsidR="00C81DFE" w:rsidRPr="00FB241C">
        <w:rPr>
          <w:rFonts w:eastAsia="MS Mincho"/>
        </w:rPr>
        <w:t xml:space="preserve"> reported </w:t>
      </w:r>
      <w:r w:rsidR="00427868" w:rsidRPr="00FB241C">
        <w:rPr>
          <w:rFonts w:eastAsia="MS Mincho"/>
        </w:rPr>
        <w:t xml:space="preserve">the times </w:t>
      </w:r>
      <w:r w:rsidR="000C25BE" w:rsidRPr="00FB241C">
        <w:rPr>
          <w:rFonts w:eastAsia="MS Mincho"/>
        </w:rPr>
        <w:t>when</w:t>
      </w:r>
      <w:r w:rsidR="00427868" w:rsidRPr="00FB241C">
        <w:rPr>
          <w:rFonts w:eastAsia="MS Mincho"/>
        </w:rPr>
        <w:t xml:space="preserve"> they did not seek treatment because they knew they would not be believed or be treated. They</w:t>
      </w:r>
      <w:r w:rsidRPr="00FB241C">
        <w:rPr>
          <w:rFonts w:eastAsia="MS Mincho"/>
        </w:rPr>
        <w:t xml:space="preserve"> said they were</w:t>
      </w:r>
      <w:r w:rsidR="00427868" w:rsidRPr="00FB241C">
        <w:rPr>
          <w:rFonts w:eastAsia="MS Mincho"/>
        </w:rPr>
        <w:t xml:space="preserve"> </w:t>
      </w:r>
      <w:r w:rsidR="009E145C" w:rsidRPr="00FB241C">
        <w:rPr>
          <w:rFonts w:eastAsia="MS Mincho"/>
        </w:rPr>
        <w:t xml:space="preserve">very </w:t>
      </w:r>
      <w:r w:rsidR="00427868" w:rsidRPr="00FB241C">
        <w:rPr>
          <w:rFonts w:eastAsia="MS Mincho"/>
        </w:rPr>
        <w:t xml:space="preserve">mindful of their behavior—even when in pain—to avoid being perceived as angry, dangerous, or threatening. They also </w:t>
      </w:r>
      <w:r w:rsidR="009E145C" w:rsidRPr="00FB241C">
        <w:rPr>
          <w:rFonts w:eastAsia="MS Mincho"/>
        </w:rPr>
        <w:t>shared</w:t>
      </w:r>
      <w:r w:rsidR="00427868" w:rsidRPr="00FB241C">
        <w:rPr>
          <w:rFonts w:eastAsia="MS Mincho"/>
        </w:rPr>
        <w:t xml:space="preserve"> frustrations </w:t>
      </w:r>
      <w:r w:rsidRPr="00FB241C">
        <w:rPr>
          <w:rFonts w:eastAsia="MS Mincho"/>
        </w:rPr>
        <w:t>about</w:t>
      </w:r>
      <w:r w:rsidR="00427868" w:rsidRPr="00FB241C">
        <w:rPr>
          <w:rFonts w:eastAsia="MS Mincho"/>
        </w:rPr>
        <w:t xml:space="preserve"> needing to </w:t>
      </w:r>
      <w:r w:rsidR="0099729C" w:rsidRPr="00FB241C">
        <w:rPr>
          <w:rFonts w:eastAsia="MS Mincho"/>
        </w:rPr>
        <w:t>take extra steps to inform themselves of possible treatments to</w:t>
      </w:r>
      <w:r w:rsidR="00427868" w:rsidRPr="00FB241C">
        <w:rPr>
          <w:rFonts w:eastAsia="MS Mincho"/>
        </w:rPr>
        <w:t xml:space="preserve"> </w:t>
      </w:r>
      <w:r w:rsidR="00D20439" w:rsidRPr="00FB241C">
        <w:rPr>
          <w:rFonts w:eastAsia="MS Mincho"/>
        </w:rPr>
        <w:t xml:space="preserve">be ensured </w:t>
      </w:r>
      <w:r w:rsidR="00427868" w:rsidRPr="00FB241C">
        <w:rPr>
          <w:rFonts w:eastAsia="MS Mincho"/>
        </w:rPr>
        <w:t xml:space="preserve">care and of being </w:t>
      </w:r>
      <w:r w:rsidR="00D20439" w:rsidRPr="00FB241C">
        <w:rPr>
          <w:rFonts w:eastAsia="MS Mincho"/>
        </w:rPr>
        <w:t xml:space="preserve">labeled </w:t>
      </w:r>
      <w:r w:rsidR="00427868" w:rsidRPr="00FB241C">
        <w:rPr>
          <w:rFonts w:eastAsia="MS Mincho"/>
        </w:rPr>
        <w:t>as difficult patients when advocating for their needs.</w:t>
      </w:r>
      <w:r w:rsidR="00C3380C" w:rsidRPr="00FB241C">
        <w:rPr>
          <w:rStyle w:val="EndnoteReference"/>
          <w:rFonts w:eastAsia="MS Mincho"/>
        </w:rPr>
        <w:endnoteReference w:id="30"/>
      </w:r>
      <w:r w:rsidR="00427868" w:rsidRPr="00FB241C">
        <w:rPr>
          <w:rFonts w:eastAsia="MS Mincho"/>
        </w:rPr>
        <w:t xml:space="preserve"> </w:t>
      </w:r>
    </w:p>
    <w:p w14:paraId="592CE202" w14:textId="6550B596" w:rsidR="00427868" w:rsidRPr="00FB241C" w:rsidRDefault="00427868" w:rsidP="00FB241C">
      <w:pPr>
        <w:pStyle w:val="ListParagraph"/>
        <w:numPr>
          <w:ilvl w:val="0"/>
          <w:numId w:val="1"/>
        </w:numPr>
        <w:jc w:val="both"/>
        <w:rPr>
          <w:rFonts w:eastAsia="MS Mincho"/>
        </w:rPr>
      </w:pPr>
      <w:r w:rsidRPr="00FB241C">
        <w:rPr>
          <w:rFonts w:eastAsia="MS Mincho"/>
        </w:rPr>
        <w:lastRenderedPageBreak/>
        <w:t xml:space="preserve">Other </w:t>
      </w:r>
      <w:r w:rsidR="003F1E0F" w:rsidRPr="00FB241C">
        <w:rPr>
          <w:rFonts w:eastAsia="MS Mincho"/>
        </w:rPr>
        <w:t>B</w:t>
      </w:r>
      <w:r w:rsidR="00EC4074" w:rsidRPr="00FB241C">
        <w:rPr>
          <w:rFonts w:eastAsia="MS Mincho"/>
        </w:rPr>
        <w:t xml:space="preserve">lack women with disabilities </w:t>
      </w:r>
      <w:r w:rsidR="00FE7AA8" w:rsidRPr="00FB241C">
        <w:rPr>
          <w:rFonts w:eastAsia="MS Mincho"/>
        </w:rPr>
        <w:t xml:space="preserve">in </w:t>
      </w:r>
      <w:r w:rsidR="00FE7AA8" w:rsidRPr="00FB241C">
        <w:rPr>
          <w:rFonts w:eastAsia="MS Mincho"/>
          <w:b/>
          <w:bCs/>
        </w:rPr>
        <w:t>the U</w:t>
      </w:r>
      <w:r w:rsidR="00E52D48" w:rsidRPr="00FB241C">
        <w:rPr>
          <w:rFonts w:eastAsia="MS Mincho"/>
          <w:b/>
          <w:bCs/>
        </w:rPr>
        <w:t xml:space="preserve">nited </w:t>
      </w:r>
      <w:r w:rsidR="00FE7AA8" w:rsidRPr="00FB241C">
        <w:rPr>
          <w:rFonts w:eastAsia="MS Mincho"/>
          <w:b/>
          <w:bCs/>
        </w:rPr>
        <w:t>S</w:t>
      </w:r>
      <w:r w:rsidR="00E52D48" w:rsidRPr="00FB241C">
        <w:rPr>
          <w:rFonts w:eastAsia="MS Mincho"/>
          <w:b/>
          <w:bCs/>
        </w:rPr>
        <w:t>tates</w:t>
      </w:r>
      <w:r w:rsidR="00FE7AA8" w:rsidRPr="00FB241C">
        <w:rPr>
          <w:rFonts w:eastAsia="MS Mincho"/>
        </w:rPr>
        <w:t xml:space="preserve"> </w:t>
      </w:r>
      <w:r w:rsidR="00EC4074" w:rsidRPr="00FB241C">
        <w:rPr>
          <w:rFonts w:eastAsia="MS Mincho"/>
        </w:rPr>
        <w:t xml:space="preserve">mentioned </w:t>
      </w:r>
      <w:r w:rsidRPr="00FB241C">
        <w:rPr>
          <w:rFonts w:eastAsia="MS Mincho"/>
        </w:rPr>
        <w:t>having to “credential” themselves to get treatment</w:t>
      </w:r>
      <w:r w:rsidR="00347A3A" w:rsidRPr="00FB241C">
        <w:rPr>
          <w:rFonts w:eastAsia="MS Mincho"/>
        </w:rPr>
        <w:t>.</w:t>
      </w:r>
      <w:r w:rsidR="00FE7AA8" w:rsidRPr="00FB241C">
        <w:rPr>
          <w:rStyle w:val="EndnoteReference"/>
          <w:rFonts w:eastAsia="MS Mincho"/>
        </w:rPr>
        <w:endnoteReference w:id="31"/>
      </w:r>
      <w:r w:rsidRPr="00FB241C">
        <w:rPr>
          <w:rFonts w:eastAsia="MS Mincho"/>
        </w:rPr>
        <w:t xml:space="preserve"> One woman said that during </w:t>
      </w:r>
      <w:r w:rsidR="00347A3A" w:rsidRPr="00FB241C">
        <w:rPr>
          <w:rFonts w:eastAsia="MS Mincho"/>
        </w:rPr>
        <w:t>a</w:t>
      </w:r>
      <w:r w:rsidRPr="00FB241C">
        <w:rPr>
          <w:rFonts w:eastAsia="MS Mincho"/>
        </w:rPr>
        <w:t xml:space="preserve"> hospital stay, she had to consistently mention her age and Ph.D. to receive help with a bedpan.</w:t>
      </w:r>
      <w:r w:rsidR="00FE7AA8" w:rsidRPr="00FB241C">
        <w:rPr>
          <w:rStyle w:val="EndnoteReference"/>
          <w:rFonts w:eastAsia="MS Mincho"/>
        </w:rPr>
        <w:endnoteReference w:id="32"/>
      </w:r>
      <w:r w:rsidR="0099729C" w:rsidRPr="00FB241C">
        <w:rPr>
          <w:rFonts w:eastAsia="MS Mincho"/>
        </w:rPr>
        <w:t xml:space="preserve"> </w:t>
      </w:r>
      <w:r w:rsidRPr="00FB241C">
        <w:rPr>
          <w:rFonts w:eastAsia="MS Mincho"/>
        </w:rPr>
        <w:t xml:space="preserve">Another </w:t>
      </w:r>
      <w:r w:rsidR="00FE7AA8" w:rsidRPr="00FB241C">
        <w:rPr>
          <w:rFonts w:eastAsia="MS Mincho"/>
        </w:rPr>
        <w:t xml:space="preserve">woman </w:t>
      </w:r>
      <w:r w:rsidRPr="00FB241C">
        <w:rPr>
          <w:rFonts w:eastAsia="MS Mincho"/>
        </w:rPr>
        <w:t>had to constantly remind staff that they are a disability advocate and could file a complaint.</w:t>
      </w:r>
      <w:bookmarkStart w:id="1" w:name="_Hlk104742401"/>
      <w:r w:rsidRPr="00FB241C">
        <w:rPr>
          <w:rStyle w:val="EndnoteReference"/>
          <w:rFonts w:eastAsia="MS Mincho"/>
        </w:rPr>
        <w:endnoteReference w:id="33"/>
      </w:r>
      <w:bookmarkEnd w:id="1"/>
    </w:p>
    <w:p w14:paraId="6F1D4ABA" w14:textId="77777777" w:rsidR="007A4FD0" w:rsidRPr="00FB241C" w:rsidRDefault="007A4FD0" w:rsidP="00FB241C">
      <w:pPr>
        <w:jc w:val="both"/>
        <w:rPr>
          <w:rFonts w:eastAsia="MS Mincho"/>
        </w:rPr>
      </w:pPr>
    </w:p>
    <w:p w14:paraId="299D022D" w14:textId="1AFF19E2" w:rsidR="003F1E0F" w:rsidRPr="00FB241C" w:rsidRDefault="006F4D49" w:rsidP="00FB241C">
      <w:pPr>
        <w:jc w:val="both"/>
        <w:rPr>
          <w:rFonts w:eastAsia="MS Mincho"/>
        </w:rPr>
      </w:pPr>
      <w:r w:rsidRPr="00FB241C">
        <w:rPr>
          <w:rFonts w:eastAsia="MS Mincho"/>
        </w:rPr>
        <w:t xml:space="preserve">When </w:t>
      </w:r>
      <w:r w:rsidR="003D0AEF" w:rsidRPr="00FB241C">
        <w:rPr>
          <w:rFonts w:eastAsia="MS Mincho"/>
        </w:rPr>
        <w:t xml:space="preserve">planning </w:t>
      </w:r>
      <w:r w:rsidR="005455A7" w:rsidRPr="00FB241C">
        <w:rPr>
          <w:rFonts w:eastAsia="MS Mincho"/>
        </w:rPr>
        <w:t>healthcare laws and policies, it</w:t>
      </w:r>
      <w:r w:rsidR="00F3780A" w:rsidRPr="00FB241C">
        <w:rPr>
          <w:rFonts w:eastAsia="MS Mincho"/>
        </w:rPr>
        <w:t xml:space="preserve"> is crucial to </w:t>
      </w:r>
      <w:r w:rsidR="005455A7" w:rsidRPr="00FB241C">
        <w:rPr>
          <w:rFonts w:eastAsia="MS Mincho"/>
        </w:rPr>
        <w:t xml:space="preserve">take traditional healthcare systems into consideration. </w:t>
      </w:r>
      <w:r w:rsidR="008E5431" w:rsidRPr="00FB241C">
        <w:rPr>
          <w:rFonts w:eastAsia="MS Mincho"/>
        </w:rPr>
        <w:t>Indigenous concepts of health are broad and holistic, incorporating spiritual, environmental, cultural, and social dimensions in addition to physical health.</w:t>
      </w:r>
      <w:r w:rsidR="00BB0097" w:rsidRPr="00FB241C">
        <w:rPr>
          <w:rStyle w:val="EndnoteReference"/>
        </w:rPr>
        <w:endnoteReference w:id="34"/>
      </w:r>
      <w:r w:rsidR="008E5431" w:rsidRPr="00FB241C">
        <w:rPr>
          <w:rFonts w:eastAsia="MS Mincho"/>
        </w:rPr>
        <w:t xml:space="preserve"> </w:t>
      </w:r>
      <w:r w:rsidR="003C603B" w:rsidRPr="00FB241C">
        <w:rPr>
          <w:rFonts w:eastAsia="MS Mincho"/>
        </w:rPr>
        <w:t xml:space="preserve">Many Indigenous women, including those with disabilities, </w:t>
      </w:r>
      <w:r w:rsidR="00CD1711" w:rsidRPr="00FB241C">
        <w:rPr>
          <w:rFonts w:eastAsia="MS Mincho"/>
        </w:rPr>
        <w:t>use traditional health systems</w:t>
      </w:r>
      <w:r w:rsidR="00BF6196" w:rsidRPr="00FB241C">
        <w:rPr>
          <w:rFonts w:eastAsia="MS Mincho"/>
        </w:rPr>
        <w:t xml:space="preserve">—which is </w:t>
      </w:r>
      <w:r w:rsidR="00F359E8" w:rsidRPr="00FB241C">
        <w:rPr>
          <w:rFonts w:eastAsia="MS Mincho"/>
        </w:rPr>
        <w:t xml:space="preserve">based </w:t>
      </w:r>
      <w:r w:rsidR="00BB0097" w:rsidRPr="00FB241C">
        <w:rPr>
          <w:rFonts w:eastAsia="MS Mincho"/>
        </w:rPr>
        <w:t>on</w:t>
      </w:r>
      <w:r w:rsidR="00F359E8" w:rsidRPr="00FB241C">
        <w:rPr>
          <w:rFonts w:eastAsia="MS Mincho"/>
        </w:rPr>
        <w:t xml:space="preserve"> this approach—</w:t>
      </w:r>
      <w:r w:rsidR="00CD1711" w:rsidRPr="00FB241C">
        <w:rPr>
          <w:rFonts w:eastAsia="MS Mincho"/>
        </w:rPr>
        <w:t xml:space="preserve">and, when </w:t>
      </w:r>
      <w:r w:rsidR="00F2074D" w:rsidRPr="00FB241C">
        <w:rPr>
          <w:rFonts w:eastAsia="MS Mincho"/>
        </w:rPr>
        <w:t xml:space="preserve">accessing </w:t>
      </w:r>
      <w:r w:rsidR="009D3F89" w:rsidRPr="00FB241C">
        <w:rPr>
          <w:rFonts w:eastAsia="MS Mincho"/>
        </w:rPr>
        <w:t>mainstream</w:t>
      </w:r>
      <w:r w:rsidR="00F2074D" w:rsidRPr="00FB241C">
        <w:rPr>
          <w:rFonts w:eastAsia="MS Mincho"/>
        </w:rPr>
        <w:t xml:space="preserve"> </w:t>
      </w:r>
      <w:r w:rsidR="001B7CEB" w:rsidRPr="00FB241C">
        <w:rPr>
          <w:rFonts w:eastAsia="MS Mincho"/>
        </w:rPr>
        <w:t>healthcare</w:t>
      </w:r>
      <w:r w:rsidR="00F2074D" w:rsidRPr="00FB241C">
        <w:rPr>
          <w:rFonts w:eastAsia="MS Mincho"/>
        </w:rPr>
        <w:t xml:space="preserve">, </w:t>
      </w:r>
      <w:r w:rsidR="00F359E8" w:rsidRPr="00FB241C">
        <w:rPr>
          <w:rFonts w:eastAsia="MS Mincho"/>
        </w:rPr>
        <w:t xml:space="preserve">face </w:t>
      </w:r>
      <w:r w:rsidR="00F2074D" w:rsidRPr="00FB241C">
        <w:rPr>
          <w:rFonts w:eastAsia="MS Mincho"/>
        </w:rPr>
        <w:t>a risk of cultural assimilation.</w:t>
      </w:r>
      <w:r w:rsidR="00BB0097" w:rsidRPr="00FB241C">
        <w:rPr>
          <w:rStyle w:val="EndnoteReference"/>
          <w:rFonts w:eastAsia="MS Mincho"/>
        </w:rPr>
        <w:endnoteReference w:id="35"/>
      </w:r>
      <w:r w:rsidR="00F2074D" w:rsidRPr="00FB241C">
        <w:rPr>
          <w:rFonts w:eastAsia="MS Mincho"/>
        </w:rPr>
        <w:t xml:space="preserve"> </w:t>
      </w:r>
      <w:r w:rsidR="003516A8" w:rsidRPr="00FB241C">
        <w:rPr>
          <w:rFonts w:eastAsia="MS Mincho"/>
        </w:rPr>
        <w:t xml:space="preserve">This concern is especially strong for those Indigenous women living in urban areas, as health </w:t>
      </w:r>
      <w:r w:rsidR="00FD4DA4" w:rsidRPr="00FB241C">
        <w:rPr>
          <w:rFonts w:eastAsia="MS Mincho"/>
        </w:rPr>
        <w:t>services</w:t>
      </w:r>
      <w:r w:rsidR="00D435E7" w:rsidRPr="00FB241C">
        <w:rPr>
          <w:rFonts w:eastAsia="MS Mincho"/>
        </w:rPr>
        <w:t xml:space="preserve"> often</w:t>
      </w:r>
      <w:r w:rsidR="00FD4DA4" w:rsidRPr="00FB241C">
        <w:rPr>
          <w:rFonts w:eastAsia="MS Mincho"/>
        </w:rPr>
        <w:t xml:space="preserve"> do not respond to their traditional ways </w:t>
      </w:r>
      <w:r w:rsidR="00D435E7" w:rsidRPr="00FB241C">
        <w:rPr>
          <w:rFonts w:eastAsia="MS Mincho"/>
        </w:rPr>
        <w:t xml:space="preserve">of addressing </w:t>
      </w:r>
      <w:r w:rsidR="00FD4DA4" w:rsidRPr="00FB241C">
        <w:rPr>
          <w:rFonts w:eastAsia="MS Mincho"/>
        </w:rPr>
        <w:t>health</w:t>
      </w:r>
      <w:r w:rsidR="00D435E7" w:rsidRPr="00FB241C">
        <w:rPr>
          <w:rFonts w:eastAsia="MS Mincho"/>
        </w:rPr>
        <w:t xml:space="preserve"> and illness</w:t>
      </w:r>
      <w:r w:rsidR="00FD4DA4" w:rsidRPr="00FB241C">
        <w:rPr>
          <w:rFonts w:eastAsia="MS Mincho"/>
        </w:rPr>
        <w:t xml:space="preserve">. </w:t>
      </w:r>
    </w:p>
    <w:p w14:paraId="7AA6320A" w14:textId="77777777" w:rsidR="003F1E0F" w:rsidRPr="00FB241C" w:rsidRDefault="003F1E0F" w:rsidP="00FB241C">
      <w:pPr>
        <w:jc w:val="both"/>
        <w:rPr>
          <w:rFonts w:eastAsia="MS Mincho"/>
        </w:rPr>
      </w:pPr>
    </w:p>
    <w:p w14:paraId="630DA005" w14:textId="11839235" w:rsidR="005D588D" w:rsidRPr="00FB241C" w:rsidRDefault="007130ED" w:rsidP="00FB241C">
      <w:pPr>
        <w:jc w:val="both"/>
        <w:rPr>
          <w:rFonts w:eastAsia="MS Mincho"/>
        </w:rPr>
      </w:pPr>
      <w:r w:rsidRPr="00FB241C">
        <w:rPr>
          <w:rFonts w:eastAsia="MS Mincho"/>
        </w:rPr>
        <w:t xml:space="preserve">Although many Indigenous women with disabilities prefer </w:t>
      </w:r>
      <w:r w:rsidR="009D3F89" w:rsidRPr="00FB241C">
        <w:rPr>
          <w:rFonts w:eastAsia="MS Mincho"/>
        </w:rPr>
        <w:t xml:space="preserve">using </w:t>
      </w:r>
      <w:r w:rsidRPr="00FB241C">
        <w:rPr>
          <w:rFonts w:eastAsia="MS Mincho"/>
        </w:rPr>
        <w:t>their traditional healthcare systems</w:t>
      </w:r>
      <w:r w:rsidR="009D3F89" w:rsidRPr="00FB241C">
        <w:rPr>
          <w:rFonts w:eastAsia="MS Mincho"/>
        </w:rPr>
        <w:t xml:space="preserve">, they are often required to use </w:t>
      </w:r>
      <w:r w:rsidR="005025DD" w:rsidRPr="00FB241C">
        <w:rPr>
          <w:rFonts w:eastAsia="MS Mincho"/>
        </w:rPr>
        <w:t>mainstream medical services</w:t>
      </w:r>
      <w:r w:rsidR="005025DD" w:rsidRPr="00FB241C">
        <w:t xml:space="preserve"> </w:t>
      </w:r>
      <w:r w:rsidR="005025DD" w:rsidRPr="00FB241C">
        <w:rPr>
          <w:rFonts w:eastAsia="MS Mincho"/>
        </w:rPr>
        <w:t>to be eligible for disability pensions</w:t>
      </w:r>
      <w:r w:rsidR="003F1E0F" w:rsidRPr="00FB241C">
        <w:rPr>
          <w:rFonts w:eastAsia="MS Mincho"/>
        </w:rPr>
        <w:t>,</w:t>
      </w:r>
      <w:bookmarkStart w:id="2" w:name="_Hlk104898027"/>
      <w:r w:rsidR="000702F5" w:rsidRPr="00FB241C">
        <w:rPr>
          <w:rStyle w:val="EndnoteReference"/>
          <w:rFonts w:eastAsia="MS Mincho"/>
        </w:rPr>
        <w:endnoteReference w:id="36"/>
      </w:r>
      <w:bookmarkEnd w:id="2"/>
      <w:r w:rsidR="003F1E0F" w:rsidRPr="00FB241C">
        <w:rPr>
          <w:rFonts w:eastAsia="MS Mincho"/>
        </w:rPr>
        <w:t xml:space="preserve"> another instance where disability, gender, and racism may inter</w:t>
      </w:r>
      <w:r w:rsidR="0099729C" w:rsidRPr="00FB241C">
        <w:rPr>
          <w:rFonts w:eastAsia="MS Mincho"/>
        </w:rPr>
        <w:t>se</w:t>
      </w:r>
      <w:r w:rsidR="003F1E0F" w:rsidRPr="00FB241C">
        <w:rPr>
          <w:rFonts w:eastAsia="MS Mincho"/>
        </w:rPr>
        <w:t>ct.</w:t>
      </w:r>
      <w:r w:rsidR="00656791" w:rsidRPr="00FB241C">
        <w:rPr>
          <w:rFonts w:eastAsia="MS Mincho"/>
        </w:rPr>
        <w:t xml:space="preserve"> </w:t>
      </w:r>
      <w:r w:rsidR="00D603BC" w:rsidRPr="00FB241C">
        <w:rPr>
          <w:rFonts w:eastAsia="MS Mincho"/>
        </w:rPr>
        <w:t>In addition</w:t>
      </w:r>
      <w:r w:rsidR="00656791" w:rsidRPr="00FB241C">
        <w:rPr>
          <w:rFonts w:eastAsia="MS Mincho"/>
        </w:rPr>
        <w:t xml:space="preserve">, they are </w:t>
      </w:r>
      <w:r w:rsidR="00D603BC" w:rsidRPr="00FB241C">
        <w:rPr>
          <w:rFonts w:eastAsia="MS Mincho"/>
        </w:rPr>
        <w:t xml:space="preserve">sometimes </w:t>
      </w:r>
      <w:r w:rsidR="00656791" w:rsidRPr="00FB241C">
        <w:rPr>
          <w:rFonts w:eastAsia="MS Mincho"/>
        </w:rPr>
        <w:t xml:space="preserve">denied </w:t>
      </w:r>
      <w:r w:rsidR="00D603BC" w:rsidRPr="00FB241C">
        <w:rPr>
          <w:rFonts w:eastAsia="MS Mincho"/>
        </w:rPr>
        <w:t>access to traditional healthcare systems</w:t>
      </w:r>
      <w:r w:rsidR="009C7CB0" w:rsidRPr="00FB241C">
        <w:rPr>
          <w:rFonts w:eastAsia="MS Mincho"/>
        </w:rPr>
        <w:t xml:space="preserve"> due to discrimination on the grounds of disability. </w:t>
      </w:r>
      <w:r w:rsidR="005D588D" w:rsidRPr="00FB241C">
        <w:t xml:space="preserve">For instance, in </w:t>
      </w:r>
      <w:r w:rsidR="005D588D" w:rsidRPr="00FB241C">
        <w:rPr>
          <w:b/>
          <w:bCs/>
        </w:rPr>
        <w:t>Guatemala</w:t>
      </w:r>
      <w:r w:rsidR="00E977CE" w:rsidRPr="00FB241C">
        <w:rPr>
          <w:b/>
          <w:bCs/>
        </w:rPr>
        <w:t>,</w:t>
      </w:r>
      <w:r w:rsidR="0099729C" w:rsidRPr="00FB241C">
        <w:rPr>
          <w:b/>
          <w:bCs/>
        </w:rPr>
        <w:t xml:space="preserve"> </w:t>
      </w:r>
      <w:r w:rsidR="0099729C" w:rsidRPr="00FB241C">
        <w:t>one virtual consultation participant reported that</w:t>
      </w:r>
      <w:r w:rsidR="005D588D" w:rsidRPr="00FB241C">
        <w:t xml:space="preserve"> “many </w:t>
      </w:r>
      <w:r w:rsidR="007B2B6F" w:rsidRPr="00FB241C">
        <w:t>Indigenous</w:t>
      </w:r>
      <w:r w:rsidR="005D588D" w:rsidRPr="00FB241C">
        <w:t xml:space="preserve"> women with disabilities don’t receive the ancestral knowledge about the use of plants, specifically medicinal plants. In many cases, the mothers know how to do it and share it with their other daughters, but not with their daughters with disabilities.”</w:t>
      </w:r>
      <w:r w:rsidR="005D588D" w:rsidRPr="00FB241C">
        <w:rPr>
          <w:rStyle w:val="EndnoteReference"/>
        </w:rPr>
        <w:endnoteReference w:id="37"/>
      </w:r>
      <w:r w:rsidR="003C6B8A" w:rsidRPr="00FB241C">
        <w:rPr>
          <w:rFonts w:eastAsia="MS Mincho"/>
        </w:rPr>
        <w:t xml:space="preserve"> All of these aspects combined </w:t>
      </w:r>
      <w:r w:rsidR="003C6B8A" w:rsidRPr="00FB241C">
        <w:t>lead</w:t>
      </w:r>
      <w:r w:rsidR="006F5C3C" w:rsidRPr="00FB241C">
        <w:t xml:space="preserve"> to a lack of control over individual and collective health and undermine the realization of </w:t>
      </w:r>
      <w:r w:rsidR="007B2B6F" w:rsidRPr="00FB241C">
        <w:t>Indigenous</w:t>
      </w:r>
      <w:r w:rsidR="002F26DC" w:rsidRPr="00FB241C">
        <w:t xml:space="preserve"> women with disabilities</w:t>
      </w:r>
      <w:r w:rsidR="006F5C3C" w:rsidRPr="00FB241C">
        <w:t>’ health rights.</w:t>
      </w:r>
      <w:r w:rsidR="0093664D" w:rsidRPr="00FB241C">
        <w:rPr>
          <w:rStyle w:val="EndnoteReference"/>
        </w:rPr>
        <w:endnoteReference w:id="38"/>
      </w:r>
    </w:p>
    <w:p w14:paraId="5128F083" w14:textId="68514321" w:rsidR="00592D3A" w:rsidRPr="00FB241C" w:rsidRDefault="00592D3A" w:rsidP="00FB241C">
      <w:pPr>
        <w:jc w:val="both"/>
        <w:rPr>
          <w:rFonts w:eastAsia="MS Mincho"/>
        </w:rPr>
      </w:pPr>
    </w:p>
    <w:p w14:paraId="6B6EDC8F" w14:textId="30E70990" w:rsidR="00655A62" w:rsidRPr="00FB241C" w:rsidRDefault="00C1316A" w:rsidP="00FB241C">
      <w:pPr>
        <w:pStyle w:val="ListParagraph"/>
        <w:numPr>
          <w:ilvl w:val="0"/>
          <w:numId w:val="9"/>
        </w:numPr>
        <w:jc w:val="both"/>
        <w:rPr>
          <w:rFonts w:eastAsia="MS Mincho"/>
          <w:b/>
          <w:bCs/>
        </w:rPr>
      </w:pPr>
      <w:r w:rsidRPr="00FB241C">
        <w:rPr>
          <w:rFonts w:eastAsia="MS Mincho"/>
          <w:b/>
          <w:bCs/>
        </w:rPr>
        <w:t>Racism</w:t>
      </w:r>
      <w:r w:rsidR="0099729C" w:rsidRPr="00FB241C">
        <w:rPr>
          <w:rFonts w:eastAsia="MS Mincho"/>
          <w:b/>
          <w:bCs/>
        </w:rPr>
        <w:t>, Ableism, and Gender Discrimination in</w:t>
      </w:r>
      <w:r w:rsidRPr="00FB241C">
        <w:rPr>
          <w:rFonts w:eastAsia="MS Mincho"/>
          <w:b/>
          <w:bCs/>
        </w:rPr>
        <w:t xml:space="preserve"> </w:t>
      </w:r>
      <w:r w:rsidR="005B337B" w:rsidRPr="00FB241C">
        <w:rPr>
          <w:rFonts w:eastAsia="MS Mincho"/>
          <w:b/>
          <w:bCs/>
        </w:rPr>
        <w:t>Sexual and Reproductive Healt</w:t>
      </w:r>
      <w:r w:rsidR="0099729C" w:rsidRPr="00FB241C">
        <w:rPr>
          <w:rFonts w:eastAsia="MS Mincho"/>
          <w:b/>
          <w:bCs/>
        </w:rPr>
        <w:t>hcare</w:t>
      </w:r>
    </w:p>
    <w:p w14:paraId="42F53B77" w14:textId="77777777" w:rsidR="00655A62" w:rsidRPr="00FB241C" w:rsidRDefault="00655A62" w:rsidP="00FB241C">
      <w:pPr>
        <w:jc w:val="both"/>
        <w:rPr>
          <w:rFonts w:eastAsia="MS Mincho"/>
        </w:rPr>
      </w:pPr>
    </w:p>
    <w:p w14:paraId="510394F6" w14:textId="77777777" w:rsidR="003F1E0F" w:rsidRPr="00FB241C" w:rsidRDefault="00E456D3" w:rsidP="00FB241C">
      <w:pPr>
        <w:jc w:val="both"/>
        <w:rPr>
          <w:rFonts w:eastAsia="MS Mincho"/>
        </w:rPr>
      </w:pPr>
      <w:r w:rsidRPr="00FB241C">
        <w:rPr>
          <w:rFonts w:eastAsia="MS Mincho"/>
        </w:rPr>
        <w:t xml:space="preserve">Besides facing </w:t>
      </w:r>
      <w:r w:rsidR="00055DC2" w:rsidRPr="00FB241C">
        <w:rPr>
          <w:rFonts w:eastAsia="MS Mincho"/>
        </w:rPr>
        <w:t xml:space="preserve">barriers to </w:t>
      </w:r>
      <w:r w:rsidR="003F1E0F" w:rsidRPr="00FB241C">
        <w:rPr>
          <w:rFonts w:eastAsia="MS Mincho"/>
        </w:rPr>
        <w:t xml:space="preserve">broadly </w:t>
      </w:r>
      <w:r w:rsidR="00055DC2" w:rsidRPr="00FB241C">
        <w:rPr>
          <w:rFonts w:eastAsia="MS Mincho"/>
        </w:rPr>
        <w:t>exercising their right to health, women with disabilit</w:t>
      </w:r>
      <w:r w:rsidR="00430942" w:rsidRPr="00FB241C">
        <w:rPr>
          <w:rFonts w:eastAsia="MS Mincho"/>
        </w:rPr>
        <w:t>ies</w:t>
      </w:r>
      <w:r w:rsidR="00055DC2" w:rsidRPr="00FB241C">
        <w:rPr>
          <w:rFonts w:eastAsia="MS Mincho"/>
        </w:rPr>
        <w:t xml:space="preserve"> who experience racism </w:t>
      </w:r>
      <w:r w:rsidR="000C5173" w:rsidRPr="00FB241C">
        <w:rPr>
          <w:rFonts w:eastAsia="MS Mincho"/>
        </w:rPr>
        <w:t xml:space="preserve">encounter </w:t>
      </w:r>
      <w:r w:rsidR="0052731F" w:rsidRPr="00FB241C">
        <w:rPr>
          <w:rFonts w:eastAsia="MS Mincho"/>
        </w:rPr>
        <w:t xml:space="preserve">many </w:t>
      </w:r>
      <w:r w:rsidR="000C5173" w:rsidRPr="00FB241C">
        <w:rPr>
          <w:rFonts w:eastAsia="MS Mincho"/>
        </w:rPr>
        <w:t>obstacles</w:t>
      </w:r>
      <w:r w:rsidR="0052731F" w:rsidRPr="00FB241C">
        <w:rPr>
          <w:rFonts w:eastAsia="MS Mincho"/>
        </w:rPr>
        <w:t xml:space="preserve"> to exercising their sexual and reproductive health and rights</w:t>
      </w:r>
      <w:r w:rsidR="00A25651" w:rsidRPr="00FB241C">
        <w:rPr>
          <w:rFonts w:eastAsia="MS Mincho"/>
        </w:rPr>
        <w:t xml:space="preserve"> (SRHR)</w:t>
      </w:r>
      <w:r w:rsidR="003F1E0F" w:rsidRPr="00FB241C">
        <w:rPr>
          <w:rFonts w:eastAsia="MS Mincho"/>
        </w:rPr>
        <w:t xml:space="preserve"> in particular</w:t>
      </w:r>
      <w:r w:rsidR="0052731F" w:rsidRPr="00FB241C">
        <w:rPr>
          <w:rFonts w:eastAsia="MS Mincho"/>
        </w:rPr>
        <w:t xml:space="preserve">. Due to misconceptions related to </w:t>
      </w:r>
      <w:r w:rsidR="00A25651" w:rsidRPr="00FB241C">
        <w:rPr>
          <w:rFonts w:eastAsia="MS Mincho"/>
        </w:rPr>
        <w:t xml:space="preserve">the importance of ensuring the SRHR of both </w:t>
      </w:r>
      <w:r w:rsidR="007B2B6F" w:rsidRPr="00FB241C">
        <w:rPr>
          <w:rFonts w:eastAsia="MS Mincho"/>
        </w:rPr>
        <w:t>Indigenous</w:t>
      </w:r>
      <w:r w:rsidR="00A25651" w:rsidRPr="00FB241C">
        <w:rPr>
          <w:rFonts w:eastAsia="MS Mincho"/>
        </w:rPr>
        <w:t xml:space="preserve"> women and women with disabilities,</w:t>
      </w:r>
      <w:r w:rsidR="009B7A94" w:rsidRPr="00FB241C">
        <w:rPr>
          <w:rStyle w:val="EndnoteReference"/>
          <w:rFonts w:eastAsia="MS Mincho"/>
        </w:rPr>
        <w:endnoteReference w:id="39"/>
      </w:r>
      <w:r w:rsidR="00A25651" w:rsidRPr="00FB241C">
        <w:rPr>
          <w:rFonts w:eastAsia="MS Mincho"/>
        </w:rPr>
        <w:t xml:space="preserve"> those living at this intersection face misinformation and a lack of sexuality education</w:t>
      </w:r>
      <w:r w:rsidR="0052731F" w:rsidRPr="00FB241C">
        <w:rPr>
          <w:rFonts w:eastAsia="MS Mincho"/>
        </w:rPr>
        <w:t xml:space="preserve">. </w:t>
      </w:r>
    </w:p>
    <w:p w14:paraId="6C1ACE91" w14:textId="77777777" w:rsidR="003F1E0F" w:rsidRPr="00FB241C" w:rsidRDefault="003F1E0F" w:rsidP="00FB241C">
      <w:pPr>
        <w:jc w:val="both"/>
        <w:rPr>
          <w:rFonts w:eastAsia="MS Mincho"/>
        </w:rPr>
      </w:pPr>
    </w:p>
    <w:p w14:paraId="49F97E93" w14:textId="38E2B3DC" w:rsidR="00F70DBC" w:rsidRPr="00FB241C" w:rsidRDefault="00083038" w:rsidP="00FB241C">
      <w:pPr>
        <w:jc w:val="both"/>
        <w:rPr>
          <w:rFonts w:eastAsia="MS Mincho"/>
        </w:rPr>
      </w:pPr>
      <w:r w:rsidRPr="00FB241C">
        <w:rPr>
          <w:rFonts w:eastAsia="MS Mincho"/>
        </w:rPr>
        <w:t xml:space="preserve">For some </w:t>
      </w:r>
      <w:r w:rsidR="007B2B6F" w:rsidRPr="00FB241C">
        <w:rPr>
          <w:rFonts w:eastAsia="MS Mincho"/>
        </w:rPr>
        <w:t>Indigenous</w:t>
      </w:r>
      <w:r w:rsidRPr="00FB241C">
        <w:rPr>
          <w:rFonts w:eastAsia="MS Mincho"/>
        </w:rPr>
        <w:t xml:space="preserve"> women with disabilities in </w:t>
      </w:r>
      <w:r w:rsidRPr="00FB241C">
        <w:rPr>
          <w:rFonts w:eastAsia="MS Mincho"/>
          <w:b/>
          <w:bCs/>
        </w:rPr>
        <w:t>Guatemala</w:t>
      </w:r>
      <w:r w:rsidRPr="00FB241C">
        <w:rPr>
          <w:rFonts w:eastAsia="MS Mincho"/>
        </w:rPr>
        <w:t>, this discrimination is rooted in family traditions.</w:t>
      </w:r>
      <w:r w:rsidRPr="00FB241C">
        <w:rPr>
          <w:rStyle w:val="EndnoteReference"/>
          <w:rFonts w:eastAsia="MS Mincho"/>
        </w:rPr>
        <w:endnoteReference w:id="40"/>
      </w:r>
      <w:r w:rsidRPr="00FB241C">
        <w:rPr>
          <w:rFonts w:eastAsia="MS Mincho"/>
        </w:rPr>
        <w:t xml:space="preserve"> </w:t>
      </w:r>
    </w:p>
    <w:p w14:paraId="40DBB127" w14:textId="6FAC7930" w:rsidR="00F119F3" w:rsidRPr="00FB241C" w:rsidRDefault="00F70DBC" w:rsidP="00FB241C">
      <w:pPr>
        <w:pStyle w:val="ListParagraph"/>
        <w:numPr>
          <w:ilvl w:val="0"/>
          <w:numId w:val="1"/>
        </w:numPr>
        <w:jc w:val="both"/>
      </w:pPr>
      <w:r w:rsidRPr="00FB241C">
        <w:rPr>
          <w:rFonts w:eastAsia="MS Mincho"/>
        </w:rPr>
        <w:t>O</w:t>
      </w:r>
      <w:r w:rsidR="00083038" w:rsidRPr="00FB241C">
        <w:rPr>
          <w:rFonts w:eastAsia="MS Mincho"/>
        </w:rPr>
        <w:t xml:space="preserve">ne </w:t>
      </w:r>
      <w:r w:rsidR="007B2B6F" w:rsidRPr="00FB241C">
        <w:rPr>
          <w:rFonts w:eastAsia="MS Mincho"/>
        </w:rPr>
        <w:t>Indigenous</w:t>
      </w:r>
      <w:r w:rsidRPr="00FB241C">
        <w:rPr>
          <w:rFonts w:eastAsia="MS Mincho"/>
        </w:rPr>
        <w:t xml:space="preserve"> </w:t>
      </w:r>
      <w:r w:rsidR="00083038" w:rsidRPr="00FB241C">
        <w:rPr>
          <w:rFonts w:eastAsia="MS Mincho"/>
        </w:rPr>
        <w:t xml:space="preserve">woman </w:t>
      </w:r>
      <w:r w:rsidRPr="00FB241C">
        <w:rPr>
          <w:rFonts w:eastAsia="MS Mincho"/>
        </w:rPr>
        <w:t>with a disability</w:t>
      </w:r>
      <w:r w:rsidR="00F119F3" w:rsidRPr="00FB241C">
        <w:t xml:space="preserve"> </w:t>
      </w:r>
      <w:r w:rsidR="00F119F3" w:rsidRPr="00FB241C">
        <w:rPr>
          <w:rFonts w:eastAsia="MS Mincho"/>
        </w:rPr>
        <w:t>who participated in the virtual consultation in Guatemala</w:t>
      </w:r>
      <w:r w:rsidRPr="00FB241C">
        <w:rPr>
          <w:rFonts w:eastAsia="MS Mincho"/>
        </w:rPr>
        <w:t xml:space="preserve"> </w:t>
      </w:r>
      <w:r w:rsidR="00083038" w:rsidRPr="00FB241C">
        <w:rPr>
          <w:rFonts w:eastAsia="MS Mincho"/>
        </w:rPr>
        <w:t xml:space="preserve">shared, </w:t>
      </w:r>
      <w:r w:rsidR="00083038" w:rsidRPr="00FB241C">
        <w:t>“Families do not want to talk about any issue related to the body. Women are ashamed. Also, information is not given because they think they [</w:t>
      </w:r>
      <w:r w:rsidR="007B2B6F" w:rsidRPr="00FB241C">
        <w:t>Indigenous</w:t>
      </w:r>
      <w:r w:rsidR="00083038" w:rsidRPr="00FB241C">
        <w:t xml:space="preserve"> women with disabilities] are ‘not old enough.”’</w:t>
      </w:r>
      <w:bookmarkStart w:id="3" w:name="_Hlk104743555"/>
      <w:r w:rsidR="00083038" w:rsidRPr="00FB241C">
        <w:rPr>
          <w:rStyle w:val="EndnoteReference"/>
        </w:rPr>
        <w:endnoteReference w:id="41"/>
      </w:r>
      <w:bookmarkEnd w:id="3"/>
    </w:p>
    <w:p w14:paraId="01560B74" w14:textId="2A66B1E1" w:rsidR="00F119F3" w:rsidRPr="00FB241C" w:rsidRDefault="005C01D0" w:rsidP="00FB241C">
      <w:pPr>
        <w:pStyle w:val="ListParagraph"/>
        <w:numPr>
          <w:ilvl w:val="0"/>
          <w:numId w:val="1"/>
        </w:numPr>
        <w:jc w:val="both"/>
      </w:pPr>
      <w:r w:rsidRPr="00FB241C">
        <w:t>Another</w:t>
      </w:r>
      <w:r w:rsidR="00F119F3" w:rsidRPr="00FB241C">
        <w:t xml:space="preserve"> </w:t>
      </w:r>
      <w:r w:rsidR="007B2B6F" w:rsidRPr="00FB241C">
        <w:t>Indigenous</w:t>
      </w:r>
      <w:r w:rsidR="00F119F3" w:rsidRPr="00FB241C">
        <w:t xml:space="preserve"> woman with a disability </w:t>
      </w:r>
      <w:bookmarkStart w:id="4" w:name="_Hlk104743524"/>
      <w:r w:rsidR="00F119F3" w:rsidRPr="00FB241C">
        <w:t>in Guatemala</w:t>
      </w:r>
      <w:r w:rsidR="00FC7BA9" w:rsidRPr="00FB241C">
        <w:t xml:space="preserve"> shared,</w:t>
      </w:r>
      <w:r w:rsidR="00F119F3" w:rsidRPr="00FB241C">
        <w:t xml:space="preserve"> </w:t>
      </w:r>
      <w:bookmarkEnd w:id="4"/>
      <w:r w:rsidR="00F119F3" w:rsidRPr="00FB241C">
        <w:t>“In school, they kind of talked to me about it [SRHR]. They [school] think we won’t understand, they also think in our beliefs or our family’s beliefs that [sexuality] is a sin, so it’s not good for you to know about it.”</w:t>
      </w:r>
      <w:r w:rsidR="00A442A6" w:rsidRPr="00FB241C">
        <w:rPr>
          <w:rStyle w:val="EndnoteReference"/>
        </w:rPr>
        <w:endnoteReference w:id="42"/>
      </w:r>
    </w:p>
    <w:p w14:paraId="0A3337B5" w14:textId="5CA680D0" w:rsidR="00F81D77" w:rsidRPr="00FB241C" w:rsidRDefault="00F81D77" w:rsidP="00FB241C">
      <w:pPr>
        <w:contextualSpacing/>
        <w:jc w:val="both"/>
      </w:pPr>
    </w:p>
    <w:p w14:paraId="7AA88360" w14:textId="2269059D" w:rsidR="00D42F7D" w:rsidRPr="00FB241C" w:rsidRDefault="007F1DF1" w:rsidP="00FB241C">
      <w:pPr>
        <w:contextualSpacing/>
        <w:jc w:val="both"/>
      </w:pPr>
      <w:r w:rsidRPr="00FB241C">
        <w:t>For Black women with disabilities</w:t>
      </w:r>
      <w:r w:rsidR="0099729C" w:rsidRPr="00FB241C">
        <w:t xml:space="preserve"> in </w:t>
      </w:r>
      <w:r w:rsidR="0099729C" w:rsidRPr="00FB241C">
        <w:rPr>
          <w:b/>
          <w:bCs/>
        </w:rPr>
        <w:t>the United States</w:t>
      </w:r>
      <w:r w:rsidRPr="00FB241C">
        <w:t>, the intersectional discrimination they face in healthcare settings is often linked to wrongful assumptions about Black women and/or women with disabilities, such as their ability to become a parent</w:t>
      </w:r>
      <w:r w:rsidRPr="00FB241C">
        <w:rPr>
          <w:rStyle w:val="EndnoteReference"/>
        </w:rPr>
        <w:endnoteReference w:id="43"/>
      </w:r>
      <w:r w:rsidRPr="00FB241C">
        <w:t xml:space="preserve"> and that they experience less pain.</w:t>
      </w:r>
      <w:r w:rsidRPr="00FB241C">
        <w:rPr>
          <w:rStyle w:val="EndnoteReference"/>
        </w:rPr>
        <w:endnoteReference w:id="44"/>
      </w:r>
      <w:r w:rsidRPr="00FB241C">
        <w:t xml:space="preserve"> </w:t>
      </w:r>
      <w:r w:rsidR="0035617C" w:rsidRPr="00FB241C">
        <w:t>In this regard:</w:t>
      </w:r>
    </w:p>
    <w:p w14:paraId="486D415F" w14:textId="761E0485" w:rsidR="004C710D" w:rsidRPr="00FB241C" w:rsidRDefault="004872F7" w:rsidP="00FB241C">
      <w:pPr>
        <w:pStyle w:val="ListParagraph"/>
        <w:numPr>
          <w:ilvl w:val="0"/>
          <w:numId w:val="1"/>
        </w:numPr>
        <w:jc w:val="both"/>
      </w:pPr>
      <w:r w:rsidRPr="00FB241C">
        <w:lastRenderedPageBreak/>
        <w:t>A Black woman with a disability</w:t>
      </w:r>
      <w:r w:rsidR="00FC7BA9" w:rsidRPr="00FB241C">
        <w:t xml:space="preserve"> in the U</w:t>
      </w:r>
      <w:r w:rsidR="00765746" w:rsidRPr="00FB241C">
        <w:t xml:space="preserve">nited </w:t>
      </w:r>
      <w:r w:rsidR="00FC7BA9" w:rsidRPr="00FB241C">
        <w:t>S</w:t>
      </w:r>
      <w:r w:rsidR="00765746" w:rsidRPr="00FB241C">
        <w:t>tates</w:t>
      </w:r>
      <w:r w:rsidRPr="00FB241C">
        <w:t xml:space="preserve"> shared that when</w:t>
      </w:r>
      <w:r w:rsidR="00312061" w:rsidRPr="00FB241C">
        <w:t xml:space="preserve"> she gave birth to her daughter, the doctors asked her: “</w:t>
      </w:r>
      <w:r w:rsidR="009977EF" w:rsidRPr="00FB241C">
        <w:t>Are you really sure you can do this?”</w:t>
      </w:r>
      <w:r w:rsidR="00DF1636" w:rsidRPr="00FB241C">
        <w:t xml:space="preserve">. By then, she assumed the doctors asked that question because she looked young, but now, she wonders if they would have asked if she </w:t>
      </w:r>
      <w:r w:rsidR="00AB5B56" w:rsidRPr="00FB241C">
        <w:t>didn’t identify as a person with a disability</w:t>
      </w:r>
      <w:r w:rsidR="00DF1636" w:rsidRPr="00FB241C">
        <w:t>.</w:t>
      </w:r>
      <w:r w:rsidR="004E4AA0" w:rsidRPr="00FB241C">
        <w:rPr>
          <w:rStyle w:val="EndnoteReference"/>
        </w:rPr>
        <w:endnoteReference w:id="45"/>
      </w:r>
    </w:p>
    <w:p w14:paraId="7BD6CA14" w14:textId="2E6DC311" w:rsidR="00A574E0" w:rsidRPr="00FB241C" w:rsidRDefault="00061272" w:rsidP="00FB241C">
      <w:pPr>
        <w:pStyle w:val="ListParagraph"/>
        <w:numPr>
          <w:ilvl w:val="0"/>
          <w:numId w:val="1"/>
        </w:numPr>
        <w:jc w:val="both"/>
      </w:pPr>
      <w:r w:rsidRPr="00FB241C">
        <w:t>Another Black woman with a disability</w:t>
      </w:r>
      <w:r w:rsidR="00FC7BA9" w:rsidRPr="00FB241C">
        <w:t xml:space="preserve"> in the U</w:t>
      </w:r>
      <w:r w:rsidR="00765746" w:rsidRPr="00FB241C">
        <w:t xml:space="preserve">nited </w:t>
      </w:r>
      <w:r w:rsidR="00FC7BA9" w:rsidRPr="00FB241C">
        <w:t>S</w:t>
      </w:r>
      <w:r w:rsidR="00765746" w:rsidRPr="00FB241C">
        <w:t>tates</w:t>
      </w:r>
      <w:r w:rsidRPr="00FB241C">
        <w:t xml:space="preserve"> reported a visit to the emergency room w</w:t>
      </w:r>
      <w:r w:rsidR="004E4AA0" w:rsidRPr="00FB241C">
        <w:t xml:space="preserve">hen </w:t>
      </w:r>
      <w:r w:rsidRPr="00FB241C">
        <w:t xml:space="preserve">she </w:t>
      </w:r>
      <w:r w:rsidR="00FC7BA9" w:rsidRPr="00FB241C">
        <w:t>be</w:t>
      </w:r>
      <w:r w:rsidRPr="00FB241C">
        <w:t xml:space="preserve">came unable </w:t>
      </w:r>
      <w:r w:rsidR="004E4AA0" w:rsidRPr="00FB241C">
        <w:t xml:space="preserve">to </w:t>
      </w:r>
      <w:r w:rsidRPr="00FB241C">
        <w:t>walk due to illness and pain. She said the hospital discharged her with a heating pad, lifted her into a cab, and sent her on her way.</w:t>
      </w:r>
      <w:r w:rsidR="004E4AA0" w:rsidRPr="00FB241C">
        <w:rPr>
          <w:rStyle w:val="EndnoteReference"/>
        </w:rPr>
        <w:endnoteReference w:id="46"/>
      </w:r>
    </w:p>
    <w:p w14:paraId="76D37779" w14:textId="77777777" w:rsidR="00FB241C" w:rsidRDefault="00FB241C" w:rsidP="00FB241C">
      <w:pPr>
        <w:jc w:val="both"/>
      </w:pPr>
    </w:p>
    <w:p w14:paraId="4054C12F" w14:textId="6E420C01" w:rsidR="00383183" w:rsidRPr="00FB241C" w:rsidRDefault="00383183" w:rsidP="00FB241C">
      <w:pPr>
        <w:jc w:val="both"/>
      </w:pPr>
      <w:r w:rsidRPr="00FB241C">
        <w:t xml:space="preserve">Research </w:t>
      </w:r>
      <w:r w:rsidR="00FC7BA9" w:rsidRPr="00FB241C">
        <w:t>by Minority Rights Group in 2020 in</w:t>
      </w:r>
      <w:r w:rsidRPr="00FB241C">
        <w:t xml:space="preserve"> </w:t>
      </w:r>
      <w:r w:rsidRPr="00FB241C">
        <w:rPr>
          <w:b/>
          <w:bCs/>
        </w:rPr>
        <w:t>Myanmar</w:t>
      </w:r>
      <w:r w:rsidRPr="00FB241C">
        <w:t xml:space="preserve"> indicate</w:t>
      </w:r>
      <w:r w:rsidR="00FC7BA9" w:rsidRPr="00FB241C">
        <w:t>d</w:t>
      </w:r>
      <w:r w:rsidRPr="00FB241C">
        <w:t xml:space="preserve"> that there are disparities in access to SRH care between </w:t>
      </w:r>
      <w:r w:rsidR="007B2B6F" w:rsidRPr="00FB241C">
        <w:t>Indigenous</w:t>
      </w:r>
      <w:r w:rsidRPr="00FB241C">
        <w:t xml:space="preserve"> women with and without disabilities. </w:t>
      </w:r>
      <w:r w:rsidR="00FC7BA9" w:rsidRPr="00FB241C">
        <w:t>The</w:t>
      </w:r>
      <w:r w:rsidRPr="00FB241C">
        <w:t xml:space="preserve"> study found that </w:t>
      </w:r>
      <w:r w:rsidR="007B2B6F" w:rsidRPr="00FB241C">
        <w:t>Indigenous</w:t>
      </w:r>
      <w:r w:rsidRPr="00FB241C">
        <w:t xml:space="preserve"> women with disabilities </w:t>
      </w:r>
      <w:r w:rsidR="004C030F" w:rsidRPr="00FB241C">
        <w:t xml:space="preserve">in the country </w:t>
      </w:r>
      <w:r w:rsidRPr="00FB241C">
        <w:t>were less likely to</w:t>
      </w:r>
      <w:r w:rsidR="00FB241C" w:rsidRPr="00FB241C">
        <w:t xml:space="preserve"> </w:t>
      </w:r>
      <w:r w:rsidRPr="00FB241C">
        <w:t>have received at least four prenatal visits (55% and 89% respectively)</w:t>
      </w:r>
      <w:r w:rsidR="00FC7BA9" w:rsidRPr="00FB241C">
        <w:t>,</w:t>
      </w:r>
      <w:r w:rsidRPr="00FB241C">
        <w:t xml:space="preserve"> </w:t>
      </w:r>
      <w:r w:rsidR="0099729C" w:rsidRPr="00FB241C">
        <w:t xml:space="preserve">less likely to have </w:t>
      </w:r>
      <w:r w:rsidRPr="00FB241C">
        <w:t>access to and use contraception (55% and 72% respectively)</w:t>
      </w:r>
      <w:r w:rsidR="00FC7BA9" w:rsidRPr="00FB241C">
        <w:t>,</w:t>
      </w:r>
      <w:r w:rsidRPr="00FB241C">
        <w:t xml:space="preserve"> and</w:t>
      </w:r>
      <w:r w:rsidR="0099729C" w:rsidRPr="00FB241C">
        <w:t xml:space="preserve"> </w:t>
      </w:r>
      <w:r w:rsidR="00FB241C" w:rsidRPr="00FB241C">
        <w:t>l</w:t>
      </w:r>
      <w:r w:rsidR="0099729C" w:rsidRPr="00FB241C">
        <w:t>ess likely</w:t>
      </w:r>
      <w:r w:rsidRPr="00FB241C">
        <w:t xml:space="preserve"> to report that they were satisfied with the service they received</w:t>
      </w:r>
      <w:r w:rsidR="0099729C" w:rsidRPr="00FB241C">
        <w:t xml:space="preserve"> and </w:t>
      </w:r>
      <w:r w:rsidRPr="00FB241C">
        <w:t>be</w:t>
      </w:r>
      <w:r w:rsidR="0099729C" w:rsidRPr="00FB241C">
        <w:t>en</w:t>
      </w:r>
      <w:r w:rsidRPr="00FB241C">
        <w:t xml:space="preserve"> treated with respect (33% and 72% respectively) when compared to other women.</w:t>
      </w:r>
      <w:r w:rsidRPr="00FB241C">
        <w:rPr>
          <w:rStyle w:val="EndnoteReference"/>
        </w:rPr>
        <w:endnoteReference w:id="47"/>
      </w:r>
      <w:r w:rsidRPr="00FB241C">
        <w:t xml:space="preserve">  </w:t>
      </w:r>
    </w:p>
    <w:p w14:paraId="21097066" w14:textId="77777777" w:rsidR="00DF4716" w:rsidRPr="00FB241C" w:rsidRDefault="00DF4716" w:rsidP="00FB241C">
      <w:pPr>
        <w:jc w:val="both"/>
      </w:pPr>
    </w:p>
    <w:p w14:paraId="12B9E51C" w14:textId="55A065E0" w:rsidR="00274093" w:rsidRPr="00FB241C" w:rsidRDefault="00274093" w:rsidP="00FB241C">
      <w:pPr>
        <w:jc w:val="both"/>
      </w:pPr>
      <w:r w:rsidRPr="00FB241C">
        <w:rPr>
          <w:rFonts w:eastAsia="MS Mincho"/>
        </w:rPr>
        <w:t xml:space="preserve">In </w:t>
      </w:r>
      <w:r w:rsidRPr="00FB241C">
        <w:rPr>
          <w:rFonts w:eastAsia="MS Mincho"/>
          <w:b/>
          <w:bCs/>
        </w:rPr>
        <w:t>Nepal</w:t>
      </w:r>
      <w:r w:rsidRPr="00FB241C">
        <w:rPr>
          <w:rFonts w:eastAsia="MS Mincho"/>
        </w:rPr>
        <w:t xml:space="preserve">, </w:t>
      </w:r>
      <w:r w:rsidR="00754442" w:rsidRPr="00FB241C">
        <w:t>SRHR of women with disabilities is often violated in many forms, such as sexual violence, forced contraception, sexual and reproductive stigma, early marriage, and pregnancy.</w:t>
      </w:r>
      <w:r w:rsidR="00754442" w:rsidRPr="00FB241C">
        <w:rPr>
          <w:rStyle w:val="EndnoteReference"/>
        </w:rPr>
        <w:endnoteReference w:id="48"/>
      </w:r>
      <w:r w:rsidR="00754442" w:rsidRPr="00FB241C">
        <w:t xml:space="preserve"> For instance, </w:t>
      </w:r>
      <w:r w:rsidRPr="00FB241C">
        <w:t xml:space="preserve">indigenous women with disabilities die at an early age more frequently than other women, due to </w:t>
      </w:r>
      <w:r w:rsidR="00754442" w:rsidRPr="00FB241C">
        <w:t xml:space="preserve">factors such as </w:t>
      </w:r>
      <w:r w:rsidRPr="00FB241C">
        <w:t>early pregnancy and childbirth.</w:t>
      </w:r>
      <w:r w:rsidR="00754442" w:rsidRPr="00FB241C">
        <w:rPr>
          <w:rStyle w:val="EndnoteReference"/>
        </w:rPr>
        <w:endnoteReference w:id="49"/>
      </w:r>
      <w:r w:rsidRPr="00FB241C">
        <w:t xml:space="preserve"> </w:t>
      </w:r>
      <w:r w:rsidR="0025439D" w:rsidRPr="00FB241C">
        <w:t>In addition, m</w:t>
      </w:r>
      <w:r w:rsidRPr="00FB241C">
        <w:t xml:space="preserve">any indigenous women with disabilities have </w:t>
      </w:r>
      <w:r w:rsidR="0025439D" w:rsidRPr="00FB241C">
        <w:t>n</w:t>
      </w:r>
      <w:r w:rsidRPr="00FB241C">
        <w:t xml:space="preserve">o awareness </w:t>
      </w:r>
      <w:r w:rsidR="0025439D" w:rsidRPr="00FB241C">
        <w:t>of</w:t>
      </w:r>
      <w:r w:rsidR="0099729C" w:rsidRPr="00FB241C">
        <w:t xml:space="preserve"> SRHR </w:t>
      </w:r>
      <w:r w:rsidRPr="00FB241C">
        <w:t xml:space="preserve">and are </w:t>
      </w:r>
      <w:r w:rsidR="0025439D" w:rsidRPr="00FB241C">
        <w:t xml:space="preserve">at </w:t>
      </w:r>
      <w:r w:rsidRPr="00FB241C">
        <w:t xml:space="preserve">risk </w:t>
      </w:r>
      <w:r w:rsidR="0025439D" w:rsidRPr="00FB241C">
        <w:t>of</w:t>
      </w:r>
      <w:r w:rsidRPr="00FB241C">
        <w:t xml:space="preserve"> involuntary sterilization</w:t>
      </w:r>
      <w:r w:rsidR="0099729C" w:rsidRPr="00FB241C">
        <w:t xml:space="preserve">, </w:t>
      </w:r>
      <w:r w:rsidR="0025439D" w:rsidRPr="00FB241C">
        <w:t>decided by</w:t>
      </w:r>
      <w:r w:rsidRPr="00FB241C">
        <w:t xml:space="preserve"> family members and health professionals without the free, prior</w:t>
      </w:r>
      <w:r w:rsidR="0025439D" w:rsidRPr="00FB241C">
        <w:t>,</w:t>
      </w:r>
      <w:r w:rsidRPr="00FB241C">
        <w:t xml:space="preserve"> and informed consent</w:t>
      </w:r>
      <w:r w:rsidR="0099729C" w:rsidRPr="00FB241C">
        <w:t xml:space="preserve"> of the women or girls with </w:t>
      </w:r>
      <w:r w:rsidR="00FB241C" w:rsidRPr="00FB241C">
        <w:t>disabilities</w:t>
      </w:r>
      <w:r w:rsidR="0099729C" w:rsidRPr="00FB241C">
        <w:t xml:space="preserve"> themselves</w:t>
      </w:r>
      <w:r w:rsidRPr="00FB241C">
        <w:t>.</w:t>
      </w:r>
      <w:r w:rsidRPr="00FB241C">
        <w:rPr>
          <w:rStyle w:val="EndnoteReference"/>
        </w:rPr>
        <w:endnoteReference w:id="50"/>
      </w:r>
      <w:r w:rsidRPr="00FB241C">
        <w:t xml:space="preserve"> </w:t>
      </w:r>
      <w:r w:rsidR="00B82DDA">
        <w:t>A forthcoming report from Minority Rights Group also documented the forced sterilization of women and girls with intellectual, communications, and complex disabilities in minority communities in Thailand</w:t>
      </w:r>
      <w:r w:rsidR="00C1086E">
        <w:t>’s Deep South</w:t>
      </w:r>
      <w:r w:rsidR="00B82DDA">
        <w:t xml:space="preserve"> as a proposed “solution” to the greater risk of rape and resulting pregnancy these individuals experience.</w:t>
      </w:r>
      <w:r w:rsidR="00B82DDA">
        <w:rPr>
          <w:rStyle w:val="EndnoteReference"/>
        </w:rPr>
        <w:endnoteReference w:id="51"/>
      </w:r>
      <w:r w:rsidR="00B82DDA">
        <w:t xml:space="preserve"> It is important to note that sterilization without consent is a human rights violation, and though sterilization may prevent pregnancy, it does not prevent rape and therefore is also not an effective solution to </w:t>
      </w:r>
      <w:r w:rsidR="00C1086E">
        <w:t xml:space="preserve">gender-based violence against women and girls with disabilities. </w:t>
      </w:r>
    </w:p>
    <w:p w14:paraId="50B29DB1" w14:textId="77777777" w:rsidR="00B82DDA" w:rsidRDefault="00B82DDA" w:rsidP="00FB241C">
      <w:pPr>
        <w:jc w:val="both"/>
        <w:rPr>
          <w:rFonts w:eastAsia="MS Mincho"/>
        </w:rPr>
      </w:pPr>
    </w:p>
    <w:p w14:paraId="6E97A6C9" w14:textId="4C2C0B19" w:rsidR="00584831" w:rsidRPr="00FB241C" w:rsidRDefault="00754442" w:rsidP="00FB241C">
      <w:pPr>
        <w:jc w:val="both"/>
        <w:rPr>
          <w:rFonts w:eastAsiaTheme="minorHAnsi"/>
        </w:rPr>
      </w:pPr>
      <w:r w:rsidRPr="00FB241C">
        <w:rPr>
          <w:rFonts w:eastAsia="MS Mincho"/>
        </w:rPr>
        <w:t xml:space="preserve">This is a common reality in other countries, as </w:t>
      </w:r>
      <w:r w:rsidR="007B2B6F" w:rsidRPr="00FB241C">
        <w:rPr>
          <w:rFonts w:eastAsia="MS Mincho"/>
        </w:rPr>
        <w:t>Indigenous</w:t>
      </w:r>
      <w:r w:rsidR="004068B5" w:rsidRPr="00FB241C">
        <w:rPr>
          <w:rFonts w:eastAsia="MS Mincho"/>
        </w:rPr>
        <w:t xml:space="preserve"> women with disabilities are also particularly at risk of </w:t>
      </w:r>
      <w:r w:rsidR="00B13D74" w:rsidRPr="00FB241C">
        <w:rPr>
          <w:rFonts w:eastAsia="MS Mincho"/>
        </w:rPr>
        <w:t>forced</w:t>
      </w:r>
      <w:r w:rsidR="004068B5" w:rsidRPr="00FB241C">
        <w:rPr>
          <w:rFonts w:eastAsia="MS Mincho"/>
        </w:rPr>
        <w:t xml:space="preserve"> sterilization</w:t>
      </w:r>
      <w:r w:rsidRPr="00FB241C">
        <w:rPr>
          <w:rFonts w:eastAsia="MS Mincho"/>
        </w:rPr>
        <w:t xml:space="preserve"> globally</w:t>
      </w:r>
      <w:r w:rsidR="00FC7BA9" w:rsidRPr="00FB241C">
        <w:rPr>
          <w:rFonts w:eastAsia="MS Mincho"/>
        </w:rPr>
        <w:t>.</w:t>
      </w:r>
      <w:r w:rsidR="004068B5" w:rsidRPr="00FB241C">
        <w:rPr>
          <w:rStyle w:val="EndnoteReference"/>
          <w:rFonts w:eastAsia="MS Mincho"/>
        </w:rPr>
        <w:endnoteReference w:id="52"/>
      </w:r>
      <w:r w:rsidR="004068B5" w:rsidRPr="00FB241C">
        <w:rPr>
          <w:rFonts w:eastAsia="MS Mincho"/>
        </w:rPr>
        <w:t xml:space="preserve"> </w:t>
      </w:r>
      <w:r w:rsidR="00FC7BA9" w:rsidRPr="00FB241C">
        <w:rPr>
          <w:rFonts w:eastAsia="MS Mincho"/>
        </w:rPr>
        <w:t xml:space="preserve">This is in large part </w:t>
      </w:r>
      <w:r w:rsidR="00274093" w:rsidRPr="00FB241C">
        <w:rPr>
          <w:rFonts w:eastAsia="MS Mincho"/>
        </w:rPr>
        <w:t>because</w:t>
      </w:r>
      <w:r w:rsidR="007F0DA4" w:rsidRPr="00FB241C">
        <w:rPr>
          <w:rFonts w:eastAsia="MS Mincho"/>
        </w:rPr>
        <w:t>, i</w:t>
      </w:r>
      <w:r w:rsidR="004068B5" w:rsidRPr="00FB241C">
        <w:rPr>
          <w:rFonts w:eastAsia="MS Mincho"/>
        </w:rPr>
        <w:t>n many countries, forced or involuntary sterilization is legal when performed on those whose legal capacity is restrained or denied on the grounds of disability</w:t>
      </w:r>
      <w:r w:rsidR="00C4358C" w:rsidRPr="00FB241C">
        <w:rPr>
          <w:rFonts w:eastAsia="MS Mincho"/>
        </w:rPr>
        <w:t>,</w:t>
      </w:r>
      <w:r w:rsidR="004068B5" w:rsidRPr="00FB241C">
        <w:rPr>
          <w:rStyle w:val="EndnoteReference"/>
          <w:rFonts w:eastAsia="MS Mincho"/>
        </w:rPr>
        <w:endnoteReference w:id="53"/>
      </w:r>
      <w:r w:rsidR="004068B5" w:rsidRPr="00FB241C">
        <w:rPr>
          <w:rFonts w:eastAsia="MS Mincho"/>
        </w:rPr>
        <w:t xml:space="preserve"> </w:t>
      </w:r>
      <w:r w:rsidR="00C4358C" w:rsidRPr="00FB241C">
        <w:rPr>
          <w:rFonts w:eastAsia="MS Mincho"/>
        </w:rPr>
        <w:t xml:space="preserve">and </w:t>
      </w:r>
      <w:r w:rsidR="007B2B6F" w:rsidRPr="00FB241C">
        <w:t>Indigenous</w:t>
      </w:r>
      <w:r w:rsidR="007A61D6" w:rsidRPr="00FB241C">
        <w:t xml:space="preserve"> peoples</w:t>
      </w:r>
      <w:r w:rsidR="000A49C7" w:rsidRPr="00FB241C">
        <w:t>, regardless of their disability status,</w:t>
      </w:r>
      <w:r w:rsidR="007A61D6" w:rsidRPr="00FB241C">
        <w:t xml:space="preserve"> are particularly vulnerable to acts of violence</w:t>
      </w:r>
      <w:r w:rsidR="004A5847" w:rsidRPr="00FB241C">
        <w:t>,</w:t>
      </w:r>
      <w:r w:rsidR="007A61D6" w:rsidRPr="00FB241C">
        <w:t xml:space="preserve"> including coercive sterilization</w:t>
      </w:r>
      <w:r w:rsidR="0035617C" w:rsidRPr="00FB241C">
        <w:t>,</w:t>
      </w:r>
      <w:r w:rsidR="000802E4" w:rsidRPr="00FB241C">
        <w:rPr>
          <w:rStyle w:val="EndnoteReference"/>
        </w:rPr>
        <w:endnoteReference w:id="54"/>
      </w:r>
      <w:r w:rsidR="007A61D6" w:rsidRPr="00FB241C">
        <w:t xml:space="preserve"> </w:t>
      </w:r>
      <w:r w:rsidR="0035617C" w:rsidRPr="00FB241C">
        <w:t>due to p</w:t>
      </w:r>
      <w:r w:rsidR="007A61D6" w:rsidRPr="00FB241C">
        <w:t xml:space="preserve">opulation </w:t>
      </w:r>
      <w:r w:rsidR="00F92BC8" w:rsidRPr="00FB241C">
        <w:t xml:space="preserve">control </w:t>
      </w:r>
      <w:r w:rsidR="007A61D6" w:rsidRPr="00FB241C">
        <w:t xml:space="preserve">policies </w:t>
      </w:r>
      <w:r w:rsidR="0035617C" w:rsidRPr="00FB241C">
        <w:t>that</w:t>
      </w:r>
      <w:r w:rsidR="007A61D6" w:rsidRPr="00FB241C">
        <w:t xml:space="preserve"> target </w:t>
      </w:r>
      <w:r w:rsidR="007B2B6F" w:rsidRPr="00FB241C">
        <w:t>Indigenous</w:t>
      </w:r>
      <w:r w:rsidR="007A61D6" w:rsidRPr="00FB241C">
        <w:t xml:space="preserve"> women</w:t>
      </w:r>
      <w:r w:rsidR="0035617C" w:rsidRPr="00FB241C">
        <w:t xml:space="preserve"> in some countries,</w:t>
      </w:r>
      <w:r w:rsidR="00F92BC8" w:rsidRPr="00FB241C">
        <w:t xml:space="preserve"> resulting</w:t>
      </w:r>
      <w:r w:rsidR="0035617C" w:rsidRPr="00FB241C">
        <w:t xml:space="preserve"> in</w:t>
      </w:r>
      <w:r w:rsidR="007A61D6" w:rsidRPr="00FB241C">
        <w:t xml:space="preserve"> thousands</w:t>
      </w:r>
      <w:r w:rsidR="004A5847" w:rsidRPr="00FB241C">
        <w:t xml:space="preserve"> of</w:t>
      </w:r>
      <w:r w:rsidR="007A61D6" w:rsidRPr="00FB241C">
        <w:t xml:space="preserve"> </w:t>
      </w:r>
      <w:r w:rsidR="007B2B6F" w:rsidRPr="00FB241C">
        <w:t>Indigenous</w:t>
      </w:r>
      <w:r w:rsidR="007A61D6" w:rsidRPr="00FB241C">
        <w:t xml:space="preserve"> women</w:t>
      </w:r>
      <w:r w:rsidR="004A5847" w:rsidRPr="00FB241C">
        <w:t>, including those with disabilities,</w:t>
      </w:r>
      <w:r w:rsidR="007A61D6" w:rsidRPr="00FB241C">
        <w:t xml:space="preserve"> being sterilized without consent</w:t>
      </w:r>
      <w:r w:rsidR="004A5847" w:rsidRPr="00FB241C">
        <w:t>.</w:t>
      </w:r>
      <w:r w:rsidR="000802E4" w:rsidRPr="00FB241C">
        <w:rPr>
          <w:rStyle w:val="EndnoteReference"/>
        </w:rPr>
        <w:endnoteReference w:id="55"/>
      </w:r>
      <w:r w:rsidR="004A5847" w:rsidRPr="00FB241C">
        <w:t xml:space="preserve"> </w:t>
      </w:r>
      <w:r w:rsidR="00045EBA" w:rsidRPr="00FB241C">
        <w:rPr>
          <w:rFonts w:eastAsia="MS Mincho"/>
        </w:rPr>
        <w:t xml:space="preserve">They also experience </w:t>
      </w:r>
      <w:r w:rsidR="000B6F70" w:rsidRPr="00FB241C">
        <w:t>higher maternal mortality.</w:t>
      </w:r>
      <w:r w:rsidR="000B6F70" w:rsidRPr="00FB241C">
        <w:rPr>
          <w:rStyle w:val="EndnoteReference"/>
        </w:rPr>
        <w:endnoteReference w:id="56"/>
      </w:r>
    </w:p>
    <w:p w14:paraId="5F84E39A" w14:textId="77777777" w:rsidR="00B63222" w:rsidRPr="00FB241C" w:rsidRDefault="00B63222" w:rsidP="00FB241C">
      <w:pPr>
        <w:jc w:val="both"/>
      </w:pPr>
    </w:p>
    <w:p w14:paraId="7468CE0F" w14:textId="47C7C5D9" w:rsidR="007559BF" w:rsidRPr="00FB241C" w:rsidRDefault="00C1316A" w:rsidP="00FB241C">
      <w:pPr>
        <w:pStyle w:val="ListParagraph"/>
        <w:numPr>
          <w:ilvl w:val="0"/>
          <w:numId w:val="9"/>
        </w:numPr>
        <w:jc w:val="both"/>
        <w:rPr>
          <w:b/>
          <w:bCs/>
        </w:rPr>
      </w:pPr>
      <w:r w:rsidRPr="00FB241C">
        <w:rPr>
          <w:b/>
          <w:bCs/>
        </w:rPr>
        <w:t>Racism</w:t>
      </w:r>
      <w:r w:rsidR="0099729C" w:rsidRPr="00FB241C">
        <w:rPr>
          <w:b/>
          <w:bCs/>
        </w:rPr>
        <w:t xml:space="preserve">, Ableism, and Gender Discrimination </w:t>
      </w:r>
      <w:r w:rsidRPr="00FB241C">
        <w:rPr>
          <w:b/>
          <w:bCs/>
        </w:rPr>
        <w:t>during the</w:t>
      </w:r>
      <w:r w:rsidR="005B337B" w:rsidRPr="00FB241C">
        <w:rPr>
          <w:b/>
          <w:bCs/>
        </w:rPr>
        <w:t xml:space="preserve"> </w:t>
      </w:r>
      <w:r w:rsidR="007559BF" w:rsidRPr="00FB241C">
        <w:rPr>
          <w:b/>
          <w:bCs/>
        </w:rPr>
        <w:t xml:space="preserve">COVID-19 </w:t>
      </w:r>
      <w:r w:rsidR="00FB241C">
        <w:rPr>
          <w:b/>
          <w:bCs/>
        </w:rPr>
        <w:t>P</w:t>
      </w:r>
      <w:r w:rsidRPr="00FB241C">
        <w:rPr>
          <w:b/>
          <w:bCs/>
        </w:rPr>
        <w:t>andemic</w:t>
      </w:r>
    </w:p>
    <w:p w14:paraId="099B9347" w14:textId="77777777" w:rsidR="007559BF" w:rsidRPr="00FB241C" w:rsidRDefault="007559BF" w:rsidP="00FB241C">
      <w:pPr>
        <w:pStyle w:val="ListParagraph"/>
        <w:ind w:left="0"/>
        <w:jc w:val="both"/>
      </w:pPr>
    </w:p>
    <w:p w14:paraId="3F9C0035" w14:textId="6D0BF98F" w:rsidR="00FC7BA9" w:rsidRPr="00FB241C" w:rsidRDefault="0099729C" w:rsidP="00FB241C">
      <w:pPr>
        <w:jc w:val="both"/>
      </w:pPr>
      <w:r w:rsidRPr="00FB241C">
        <w:t>B</w:t>
      </w:r>
      <w:r w:rsidR="00806422" w:rsidRPr="00FB241C">
        <w:t xml:space="preserve">arriers to ensuring </w:t>
      </w:r>
      <w:r w:rsidR="00DA30AE" w:rsidRPr="00FB241C">
        <w:t xml:space="preserve">the </w:t>
      </w:r>
      <w:r w:rsidR="00806422" w:rsidRPr="00FB241C">
        <w:t xml:space="preserve">right </w:t>
      </w:r>
      <w:r w:rsidR="00DA30AE" w:rsidRPr="00FB241C">
        <w:t xml:space="preserve">to health </w:t>
      </w:r>
      <w:r w:rsidR="00806422" w:rsidRPr="00FB241C">
        <w:t xml:space="preserve">for </w:t>
      </w:r>
      <w:r w:rsidR="00DA30AE" w:rsidRPr="00FB241C">
        <w:t>w</w:t>
      </w:r>
      <w:r w:rsidR="00806422" w:rsidRPr="00FB241C">
        <w:t xml:space="preserve">omen with disabilities </w:t>
      </w:r>
      <w:r w:rsidR="00DA30AE" w:rsidRPr="00FB241C">
        <w:t xml:space="preserve">who experience racism </w:t>
      </w:r>
      <w:r w:rsidR="00806422" w:rsidRPr="00FB241C">
        <w:t>have increased during the COVID-19 pandemic</w:t>
      </w:r>
      <w:r w:rsidR="00B86242" w:rsidRPr="00FB241C">
        <w:t>, as th</w:t>
      </w:r>
      <w:r w:rsidR="00806422" w:rsidRPr="00FB241C">
        <w:t xml:space="preserve">is health crisis has disproportionately affected minority groups, </w:t>
      </w:r>
      <w:r w:rsidR="006C10C6" w:rsidRPr="00FB241C">
        <w:t xml:space="preserve">including </w:t>
      </w:r>
      <w:r w:rsidR="00C11D0B" w:rsidRPr="00FB241C">
        <w:t>Black</w:t>
      </w:r>
      <w:r w:rsidR="00B146E1" w:rsidRPr="00FB241C">
        <w:rPr>
          <w:rStyle w:val="EndnoteReference"/>
        </w:rPr>
        <w:endnoteReference w:id="57"/>
      </w:r>
      <w:r w:rsidR="00C11D0B" w:rsidRPr="00FB241C">
        <w:t xml:space="preserve"> and </w:t>
      </w:r>
      <w:r w:rsidR="007B2B6F" w:rsidRPr="00FB241C">
        <w:t>Indigenous</w:t>
      </w:r>
      <w:r w:rsidR="00806422" w:rsidRPr="00FB241C">
        <w:t xml:space="preserve"> women</w:t>
      </w:r>
      <w:r w:rsidR="00806422" w:rsidRPr="00FB241C">
        <w:rPr>
          <w:rStyle w:val="EndnoteReference"/>
        </w:rPr>
        <w:endnoteReference w:id="58"/>
      </w:r>
      <w:r w:rsidR="00806422" w:rsidRPr="00FB241C">
        <w:t xml:space="preserve"> and women with disabilities.</w:t>
      </w:r>
      <w:r w:rsidR="00806422" w:rsidRPr="00FB241C">
        <w:rPr>
          <w:rStyle w:val="EndnoteReference"/>
        </w:rPr>
        <w:endnoteReference w:id="59"/>
      </w:r>
      <w:r w:rsidR="00806422" w:rsidRPr="00FB241C">
        <w:t xml:space="preserve"> </w:t>
      </w:r>
      <w:r w:rsidR="00111C7C" w:rsidRPr="00FB241C">
        <w:t xml:space="preserve">There is anecdotal evidence that Indigenous women with disabilities have been overlooked during the COVID-19 response, as the lack of coordination between local governments and organizations of Indigenous communities and of persons with disabilities and bureaucratic and </w:t>
      </w:r>
      <w:r w:rsidR="00111C7C" w:rsidRPr="00FB241C">
        <w:lastRenderedPageBreak/>
        <w:t>attitudinal barriers have prevented Indigenous women with disabilities from participating in the crisis response.</w:t>
      </w:r>
      <w:r w:rsidR="00111C7C" w:rsidRPr="00FB241C">
        <w:rPr>
          <w:rStyle w:val="EndnoteReference"/>
        </w:rPr>
        <w:endnoteReference w:id="60"/>
      </w:r>
      <w:r w:rsidR="00111C7C" w:rsidRPr="00FB241C">
        <w:t xml:space="preserve"> </w:t>
      </w:r>
    </w:p>
    <w:p w14:paraId="26F511E9" w14:textId="77777777" w:rsidR="00FC7BA9" w:rsidRPr="00FB241C" w:rsidRDefault="00FC7BA9" w:rsidP="00FB241C">
      <w:pPr>
        <w:jc w:val="both"/>
      </w:pPr>
    </w:p>
    <w:p w14:paraId="11903D66" w14:textId="28A125D8" w:rsidR="002C0249" w:rsidRPr="00FB241C" w:rsidRDefault="00FC7BA9" w:rsidP="00FB241C">
      <w:pPr>
        <w:jc w:val="both"/>
      </w:pPr>
      <w:r w:rsidRPr="00FB241C">
        <w:t>A</w:t>
      </w:r>
      <w:r w:rsidR="002C0249" w:rsidRPr="00FB241C">
        <w:t>ccording to a January 2021 study</w:t>
      </w:r>
      <w:r w:rsidRPr="00FB241C">
        <w:t xml:space="preserve"> by Center for American Progress</w:t>
      </w:r>
      <w:r w:rsidR="002C0249" w:rsidRPr="00FB241C">
        <w:t xml:space="preserve">, counties </w:t>
      </w:r>
      <w:r w:rsidR="003E2012" w:rsidRPr="00FB241C">
        <w:t xml:space="preserve">in </w:t>
      </w:r>
      <w:r w:rsidR="003E2012" w:rsidRPr="00FB241C">
        <w:rPr>
          <w:b/>
          <w:bCs/>
        </w:rPr>
        <w:t>the United States</w:t>
      </w:r>
      <w:r w:rsidR="003E2012" w:rsidRPr="00FB241C">
        <w:t xml:space="preserve"> </w:t>
      </w:r>
      <w:r w:rsidR="002C0249" w:rsidRPr="00FB241C">
        <w:t xml:space="preserve">with disproportionately high populations of people with intellectual or developmental disabilities also had higher rates of COVID-19. More specifically, </w:t>
      </w:r>
      <w:r w:rsidRPr="00FB241C">
        <w:t>these individuals</w:t>
      </w:r>
      <w:r w:rsidR="002C0249" w:rsidRPr="00FB241C">
        <w:t xml:space="preserve"> were largely </w:t>
      </w:r>
      <w:r w:rsidRPr="00FB241C">
        <w:t xml:space="preserve">from racial or ethnic minority groups or </w:t>
      </w:r>
      <w:r w:rsidR="00265EE1" w:rsidRPr="00FB241C">
        <w:t>I</w:t>
      </w:r>
      <w:r w:rsidRPr="00FB241C">
        <w:t>ndigenous populations</w:t>
      </w:r>
      <w:r w:rsidR="002C0249" w:rsidRPr="00FB241C">
        <w:t xml:space="preserve"> and were young, female, and living below the poverty level. </w:t>
      </w:r>
      <w:r w:rsidR="00F92BC8" w:rsidRPr="00FB241C">
        <w:t>As the study highlights</w:t>
      </w:r>
      <w:r w:rsidR="0099729C" w:rsidRPr="00FB241C">
        <w:t xml:space="preserve">, </w:t>
      </w:r>
      <w:r w:rsidR="00F92BC8" w:rsidRPr="00FB241C">
        <w:t>a</w:t>
      </w:r>
      <w:r w:rsidR="002C0249" w:rsidRPr="00FB241C">
        <w:t xml:space="preserve">n intellectual disability was the strongest indicator of a COVID-19 diagnosis and, other than age, </w:t>
      </w:r>
      <w:r w:rsidRPr="00FB241C">
        <w:t>intellectual disability was the</w:t>
      </w:r>
      <w:r w:rsidR="002C0249" w:rsidRPr="00FB241C">
        <w:t xml:space="preserve"> strongest independent factor for COVID-19 mortality.</w:t>
      </w:r>
      <w:r w:rsidR="002C0249" w:rsidRPr="00FB241C">
        <w:rPr>
          <w:rStyle w:val="EndnoteReference"/>
          <w:rFonts w:eastAsia="MS Mincho"/>
        </w:rPr>
        <w:endnoteReference w:id="61"/>
      </w:r>
    </w:p>
    <w:p w14:paraId="1174F0DB" w14:textId="77777777" w:rsidR="00584CC6" w:rsidRPr="00FB241C" w:rsidRDefault="00584CC6" w:rsidP="00FB241C">
      <w:pPr>
        <w:pStyle w:val="ListParagraph"/>
        <w:ind w:left="0"/>
        <w:jc w:val="both"/>
        <w:rPr>
          <w:rFonts w:eastAsia="MS Mincho"/>
        </w:rPr>
      </w:pPr>
    </w:p>
    <w:p w14:paraId="5952898A" w14:textId="520371D4" w:rsidR="00584CC6" w:rsidRPr="00FB241C" w:rsidRDefault="00A84C4C" w:rsidP="00FB241C">
      <w:pPr>
        <w:pStyle w:val="ListParagraph"/>
        <w:ind w:left="0"/>
        <w:jc w:val="both"/>
      </w:pPr>
      <w:r w:rsidRPr="00FB241C">
        <w:t xml:space="preserve">As Minority Rights Group </w:t>
      </w:r>
      <w:r w:rsidR="00FC7BA9" w:rsidRPr="00FB241C">
        <w:t xml:space="preserve">has </w:t>
      </w:r>
      <w:r w:rsidRPr="00FB241C">
        <w:t>affirmed, t</w:t>
      </w:r>
      <w:r w:rsidR="00584CC6" w:rsidRPr="00FB241C">
        <w:t xml:space="preserve">here </w:t>
      </w:r>
      <w:r w:rsidR="00AF3455" w:rsidRPr="00FB241C">
        <w:t xml:space="preserve">has been </w:t>
      </w:r>
      <w:r w:rsidR="00584CC6" w:rsidRPr="00FB241C">
        <w:t>limited</w:t>
      </w:r>
      <w:r w:rsidR="00A017ED" w:rsidRPr="00FB241C">
        <w:t xml:space="preserve"> </w:t>
      </w:r>
      <w:r w:rsidR="00584CC6" w:rsidRPr="00FB241C">
        <w:t xml:space="preserve">access to quality and culturally respectful information for persons with disabilities from </w:t>
      </w:r>
      <w:r w:rsidR="007B2B6F" w:rsidRPr="00FB241C">
        <w:t>Indigenous</w:t>
      </w:r>
      <w:r w:rsidR="00584CC6" w:rsidRPr="00FB241C">
        <w:t xml:space="preserve"> communities</w:t>
      </w:r>
      <w:r w:rsidR="00CF3CE9" w:rsidRPr="00FB241C">
        <w:t xml:space="preserve"> about the COVID-19 pandemic</w:t>
      </w:r>
      <w:r w:rsidR="00584CC6" w:rsidRPr="00FB241C">
        <w:t>, leaving th</w:t>
      </w:r>
      <w:r w:rsidR="00AF3455" w:rsidRPr="00FB241C">
        <w:t>is group</w:t>
      </w:r>
      <w:r w:rsidR="00584CC6" w:rsidRPr="00FB241C">
        <w:t xml:space="preserve"> without knowledge or awareness about </w:t>
      </w:r>
      <w:r w:rsidR="00541E85" w:rsidRPr="00FB241C">
        <w:t xml:space="preserve">the virus </w:t>
      </w:r>
      <w:r w:rsidR="00584CC6" w:rsidRPr="00FB241C">
        <w:t xml:space="preserve">and how to protect themselves. </w:t>
      </w:r>
      <w:r w:rsidR="007B2B6F" w:rsidRPr="00FB241C">
        <w:t>Indigenous</w:t>
      </w:r>
      <w:r w:rsidR="00584CC6" w:rsidRPr="00FB241C">
        <w:t xml:space="preserve"> communities in </w:t>
      </w:r>
      <w:r w:rsidR="00584CC6" w:rsidRPr="00FB241C">
        <w:rPr>
          <w:b/>
          <w:bCs/>
        </w:rPr>
        <w:t>Nepal</w:t>
      </w:r>
      <w:r w:rsidR="00584CC6" w:rsidRPr="00FB241C">
        <w:t xml:space="preserve">, </w:t>
      </w:r>
      <w:r w:rsidR="00584CC6" w:rsidRPr="00FB241C">
        <w:rPr>
          <w:b/>
          <w:bCs/>
        </w:rPr>
        <w:t>India</w:t>
      </w:r>
      <w:r w:rsidR="009F4A05" w:rsidRPr="00FB241C">
        <w:t>,</w:t>
      </w:r>
      <w:r w:rsidR="00584CC6" w:rsidRPr="00FB241C">
        <w:t xml:space="preserve"> and </w:t>
      </w:r>
      <w:r w:rsidR="00584CC6" w:rsidRPr="00FB241C">
        <w:rPr>
          <w:b/>
          <w:bCs/>
        </w:rPr>
        <w:t>Papua New Guinea</w:t>
      </w:r>
      <w:r w:rsidR="00584CC6" w:rsidRPr="00FB241C">
        <w:t xml:space="preserve"> have reported that there is a lack of C</w:t>
      </w:r>
      <w:r w:rsidR="00984F52" w:rsidRPr="00FB241C">
        <w:t>OVID</w:t>
      </w:r>
      <w:r w:rsidR="00584CC6" w:rsidRPr="00FB241C">
        <w:t>-19 information in accessible and culturally appropriate formats available in mother-tongue languages, especially in local and minority languages, avoids jargon and provides an explanation of terminology.</w:t>
      </w:r>
      <w:bookmarkStart w:id="6" w:name="_Hlk104747922"/>
      <w:r w:rsidR="00600F38" w:rsidRPr="00FB241C">
        <w:rPr>
          <w:rStyle w:val="EndnoteReference"/>
        </w:rPr>
        <w:endnoteReference w:id="62"/>
      </w:r>
      <w:bookmarkEnd w:id="6"/>
    </w:p>
    <w:p w14:paraId="0C8B0431" w14:textId="77777777" w:rsidR="002A094D" w:rsidRPr="00FB241C" w:rsidRDefault="002A094D" w:rsidP="00FB241C">
      <w:pPr>
        <w:pStyle w:val="ListParagraph"/>
        <w:ind w:left="0"/>
        <w:jc w:val="both"/>
      </w:pPr>
    </w:p>
    <w:p w14:paraId="02616D7D" w14:textId="55FDFC2F" w:rsidR="00492219" w:rsidRDefault="002A094D" w:rsidP="00FB241C">
      <w:pPr>
        <w:jc w:val="both"/>
      </w:pPr>
      <w:r w:rsidRPr="00FB241C">
        <w:t xml:space="preserve">Misinformation and lack of accessible and culturally appropriate information about COVID-19 also led to confusion and fear among </w:t>
      </w:r>
      <w:r w:rsidR="007B2B6F" w:rsidRPr="00FB241C">
        <w:t>Indigenous</w:t>
      </w:r>
      <w:r w:rsidR="00854AB3" w:rsidRPr="00FB241C">
        <w:t xml:space="preserve"> women </w:t>
      </w:r>
      <w:r w:rsidRPr="00FB241C">
        <w:t>with disabilities in some cases. For instance, Pratima, a</w:t>
      </w:r>
      <w:r w:rsidR="00854AB3" w:rsidRPr="00FB241C">
        <w:t xml:space="preserve">n </w:t>
      </w:r>
      <w:r w:rsidR="007B2B6F" w:rsidRPr="00FB241C">
        <w:t>Indigenous</w:t>
      </w:r>
      <w:r w:rsidRPr="00FB241C">
        <w:t xml:space="preserve"> woman with a physical disability in </w:t>
      </w:r>
      <w:r w:rsidRPr="00FB241C">
        <w:rPr>
          <w:b/>
          <w:bCs/>
        </w:rPr>
        <w:t>Nepal</w:t>
      </w:r>
      <w:r w:rsidRPr="00FB241C">
        <w:t>, shared, “</w:t>
      </w:r>
      <w:r w:rsidR="00C97D50" w:rsidRPr="00FB241C">
        <w:t>W</w:t>
      </w:r>
      <w:r w:rsidRPr="00FB241C">
        <w:t xml:space="preserve">hen I went to the rural part, they </w:t>
      </w:r>
      <w:r w:rsidR="00C97D50" w:rsidRPr="00FB241C">
        <w:t>said</w:t>
      </w:r>
      <w:r w:rsidR="001F5D63" w:rsidRPr="00FB241C">
        <w:t xml:space="preserve"> </w:t>
      </w:r>
      <w:r w:rsidRPr="00FB241C">
        <w:t xml:space="preserve">that the word COVID is so similar </w:t>
      </w:r>
      <w:r w:rsidR="001F5D63" w:rsidRPr="00FB241C">
        <w:t xml:space="preserve">to </w:t>
      </w:r>
      <w:r w:rsidRPr="00FB241C">
        <w:t>the food they get in the forest, so many people were confused on whether the COVID is related to the food that they receive from the forest.”</w:t>
      </w:r>
      <w:r w:rsidR="001F5D63" w:rsidRPr="00FB241C">
        <w:rPr>
          <w:rStyle w:val="EndnoteReference"/>
        </w:rPr>
        <w:endnoteReference w:id="63"/>
      </w:r>
      <w:r w:rsidR="00FC7BA9" w:rsidRPr="00FB241C">
        <w:t xml:space="preserve"> </w:t>
      </w:r>
      <w:r w:rsidR="00FB241C" w:rsidRPr="00FB241C">
        <w:t>Furthermore, national</w:t>
      </w:r>
      <w:r w:rsidR="00DE3614" w:rsidRPr="00FB241C">
        <w:t xml:space="preserve"> laws and policies</w:t>
      </w:r>
      <w:r w:rsidR="00FC7BA9" w:rsidRPr="00FB241C">
        <w:t xml:space="preserve"> in Nepal related</w:t>
      </w:r>
      <w:r w:rsidR="00DE3614" w:rsidRPr="00FB241C">
        <w:t xml:space="preserve"> to </w:t>
      </w:r>
      <w:r w:rsidR="00440AA0" w:rsidRPr="00FB241C">
        <w:t>access</w:t>
      </w:r>
      <w:r w:rsidR="00FC7BA9" w:rsidRPr="00FB241C">
        <w:t>ing</w:t>
      </w:r>
      <w:r w:rsidR="00440AA0" w:rsidRPr="00FB241C">
        <w:t xml:space="preserve"> social benefits throughout the COVID-19 pandemic</w:t>
      </w:r>
      <w:r w:rsidR="00396D8D" w:rsidRPr="00FB241C">
        <w:t xml:space="preserve"> required </w:t>
      </w:r>
      <w:r w:rsidR="005A5340" w:rsidRPr="00FB241C">
        <w:t xml:space="preserve">official accreditation of disability, which led to the exclusion of many </w:t>
      </w:r>
      <w:r w:rsidR="007B2B6F" w:rsidRPr="00FB241C">
        <w:t>Indigenous</w:t>
      </w:r>
      <w:r w:rsidR="005A5340" w:rsidRPr="00FB241C">
        <w:t xml:space="preserve"> persons with disabilities </w:t>
      </w:r>
      <w:r w:rsidR="000A1FB1" w:rsidRPr="00FB241C">
        <w:t xml:space="preserve">from these programs. </w:t>
      </w:r>
      <w:r w:rsidR="00F92BC8" w:rsidRPr="00FB241C">
        <w:t xml:space="preserve">Pratima further </w:t>
      </w:r>
      <w:r w:rsidR="000A1FB1" w:rsidRPr="00FB241C">
        <w:t>shared</w:t>
      </w:r>
      <w:r w:rsidR="0097262D" w:rsidRPr="00FB241C">
        <w:t xml:space="preserve"> that</w:t>
      </w:r>
      <w:r w:rsidR="000A1FB1" w:rsidRPr="00FB241C">
        <w:t>: “</w:t>
      </w:r>
      <w:r w:rsidR="00C66DD9" w:rsidRPr="00FB241C">
        <w:t xml:space="preserve">One of the requirements that the Government had provided [to receive food assistance during the COVID-19 pandemic] was you need to either have a citizenry or a disability card to receive those requirements. So when it comes to many, many </w:t>
      </w:r>
      <w:r w:rsidR="007B2B6F" w:rsidRPr="00FB241C">
        <w:t>Indigenous</w:t>
      </w:r>
      <w:r w:rsidR="00C66DD9" w:rsidRPr="00FB241C">
        <w:t xml:space="preserve"> women with disabilities they do not have [either] of them.”</w:t>
      </w:r>
      <w:r w:rsidR="000B3853" w:rsidRPr="00FB241C">
        <w:rPr>
          <w:rStyle w:val="EndnoteReference"/>
        </w:rPr>
        <w:endnoteReference w:id="64"/>
      </w:r>
    </w:p>
    <w:p w14:paraId="0BC07590" w14:textId="77777777" w:rsidR="00FB241C" w:rsidRPr="00FB241C" w:rsidRDefault="00FB241C" w:rsidP="00FB241C">
      <w:pPr>
        <w:jc w:val="both"/>
      </w:pPr>
    </w:p>
    <w:p w14:paraId="402D1265" w14:textId="56718041" w:rsidR="00492219" w:rsidRPr="00FB241C" w:rsidRDefault="00271945" w:rsidP="00FB241C">
      <w:pPr>
        <w:pStyle w:val="ListParagraph"/>
        <w:ind w:left="0"/>
        <w:jc w:val="both"/>
      </w:pPr>
      <w:r w:rsidRPr="00FB241C">
        <w:t>Throughout 2020, d</w:t>
      </w:r>
      <w:r w:rsidR="00492219" w:rsidRPr="00FB241C">
        <w:t>emands on health systems and restrictions on mobility during</w:t>
      </w:r>
      <w:r w:rsidRPr="00FB241C">
        <w:t xml:space="preserve"> lockdowns and quarantines had </w:t>
      </w:r>
      <w:r w:rsidR="00492219" w:rsidRPr="00FB241C">
        <w:t xml:space="preserve">a disproportionate effect on persons with disabilities from </w:t>
      </w:r>
      <w:r w:rsidR="007B2B6F" w:rsidRPr="00FB241C">
        <w:t>Indigenous</w:t>
      </w:r>
      <w:r w:rsidR="00492219" w:rsidRPr="00FB241C">
        <w:t xml:space="preserve"> communities. </w:t>
      </w:r>
      <w:r w:rsidR="00055EA7" w:rsidRPr="00FB241C">
        <w:t>The</w:t>
      </w:r>
      <w:r w:rsidR="00492219" w:rsidRPr="00FB241C">
        <w:t xml:space="preserve"> lack of personal protective equipment and restrictions on mobility affect</w:t>
      </w:r>
      <w:r w:rsidR="00055EA7" w:rsidRPr="00FB241C">
        <w:t>ed</w:t>
      </w:r>
      <w:r w:rsidR="00492219" w:rsidRPr="00FB241C">
        <w:t xml:space="preserve"> access to </w:t>
      </w:r>
      <w:r w:rsidR="009C3E97" w:rsidRPr="00FB241C">
        <w:t xml:space="preserve">professional care </w:t>
      </w:r>
      <w:r w:rsidR="00492219" w:rsidRPr="00FB241C">
        <w:t xml:space="preserve">and personal assistants and </w:t>
      </w:r>
      <w:r w:rsidR="00823CE0" w:rsidRPr="00FB241C">
        <w:t>increased</w:t>
      </w:r>
      <w:r w:rsidR="00492219" w:rsidRPr="00FB241C">
        <w:t xml:space="preserve"> </w:t>
      </w:r>
      <w:r w:rsidR="009C3E97" w:rsidRPr="00FB241C">
        <w:t xml:space="preserve">the </w:t>
      </w:r>
      <w:r w:rsidR="00492219" w:rsidRPr="00FB241C">
        <w:t xml:space="preserve">risk of infection. In </w:t>
      </w:r>
      <w:r w:rsidR="00492219" w:rsidRPr="00FB241C">
        <w:rPr>
          <w:b/>
          <w:bCs/>
        </w:rPr>
        <w:t>Indonesia</w:t>
      </w:r>
      <w:r w:rsidR="00492219" w:rsidRPr="00FB241C">
        <w:t xml:space="preserve">, persons with disabilities from the Batubassi and Karaeng Bulu </w:t>
      </w:r>
      <w:r w:rsidR="007B2B6F" w:rsidRPr="00FB241C">
        <w:t>Indigenous</w:t>
      </w:r>
      <w:r w:rsidR="00492219" w:rsidRPr="00FB241C">
        <w:t xml:space="preserve"> Communities </w:t>
      </w:r>
      <w:r w:rsidR="00823CE0" w:rsidRPr="00FB241C">
        <w:t>have been</w:t>
      </w:r>
      <w:r w:rsidR="00492219" w:rsidRPr="00FB241C">
        <w:t xml:space="preserve"> unable to access personal protective equipment and other </w:t>
      </w:r>
      <w:proofErr w:type="gramStart"/>
      <w:r w:rsidR="00492219" w:rsidRPr="00FB241C">
        <w:t>basic necessities</w:t>
      </w:r>
      <w:proofErr w:type="gramEnd"/>
      <w:r w:rsidR="00492219" w:rsidRPr="00FB241C">
        <w:t xml:space="preserve">, </w:t>
      </w:r>
      <w:r w:rsidR="005E4F19" w:rsidRPr="00FB241C">
        <w:t xml:space="preserve">a </w:t>
      </w:r>
      <w:r w:rsidR="008938A1" w:rsidRPr="00FB241C">
        <w:t>situation</w:t>
      </w:r>
      <w:r w:rsidR="00492219" w:rsidRPr="00FB241C">
        <w:t xml:space="preserve"> exacerbated for those living more remotely. Others have lost access to essential medical equipment and </w:t>
      </w:r>
      <w:r w:rsidR="001B7CEB" w:rsidRPr="00FB241C">
        <w:t>healthcare</w:t>
      </w:r>
      <w:r w:rsidR="00492219" w:rsidRPr="00FB241C">
        <w:t xml:space="preserve"> due to the quarantine measures and the resulting unsafe, physically inaccessible, gender inappropriate</w:t>
      </w:r>
      <w:r w:rsidR="005E4F19" w:rsidRPr="00FB241C">
        <w:t>,</w:t>
      </w:r>
      <w:r w:rsidR="00492219" w:rsidRPr="00FB241C">
        <w:t xml:space="preserve"> and culturally inappropriate environments.</w:t>
      </w:r>
      <w:r w:rsidR="00492219" w:rsidRPr="00FB241C">
        <w:rPr>
          <w:rStyle w:val="EndnoteReference"/>
        </w:rPr>
        <w:endnoteReference w:id="65"/>
      </w:r>
    </w:p>
    <w:p w14:paraId="692CD2AC" w14:textId="3F193636" w:rsidR="00383183" w:rsidRPr="00FB241C" w:rsidRDefault="00383183" w:rsidP="00FB241C">
      <w:pPr>
        <w:contextualSpacing/>
        <w:jc w:val="both"/>
        <w:rPr>
          <w:rFonts w:eastAsia="MS Mincho"/>
          <w:b/>
          <w:bCs/>
        </w:rPr>
      </w:pPr>
    </w:p>
    <w:p w14:paraId="117D18D1" w14:textId="13EB5F5C" w:rsidR="00D67160" w:rsidRPr="00FB241C" w:rsidRDefault="00413DFB" w:rsidP="00FB241C">
      <w:pPr>
        <w:jc w:val="both"/>
        <w:rPr>
          <w:rFonts w:eastAsia="MS Mincho"/>
          <w:lang w:val="en-GB"/>
        </w:rPr>
      </w:pPr>
      <w:r w:rsidRPr="00FB241C">
        <w:t>T</w:t>
      </w:r>
      <w:r w:rsidR="00A125E8" w:rsidRPr="00FB241C">
        <w:t xml:space="preserve">he COVID-19 crisis has </w:t>
      </w:r>
      <w:r w:rsidRPr="00FB241C">
        <w:t xml:space="preserve">also </w:t>
      </w:r>
      <w:r w:rsidR="00A125E8" w:rsidRPr="00FB241C">
        <w:t>created further barriers for women with disabilities—including</w:t>
      </w:r>
      <w:r w:rsidR="00C00458" w:rsidRPr="00FB241C">
        <w:t xml:space="preserve"> those who experience racism</w:t>
      </w:r>
      <w:r w:rsidR="00A125E8" w:rsidRPr="00FB241C">
        <w:t>—to SRHR. Information, goods, and services on SRH and the exercise of bodily autonomy have been restrained or hindered during the pandemic. Some of these barriers have resulted from COVID-19 restrictions, such as lockdowns, while others have stemmed from fear and stigma, including fear of catching the virus and cultural barriers to accessing information, goods, and services.</w:t>
      </w:r>
      <w:r w:rsidR="00A125E8" w:rsidRPr="00FB241C">
        <w:rPr>
          <w:rStyle w:val="EndnoteReference"/>
        </w:rPr>
        <w:endnoteReference w:id="66"/>
      </w:r>
      <w:r w:rsidR="00A125E8" w:rsidRPr="00FB241C">
        <w:t xml:space="preserve"> </w:t>
      </w:r>
      <w:r w:rsidR="00A125E8" w:rsidRPr="00FB241C">
        <w:rPr>
          <w:rFonts w:eastAsia="MS Mincho"/>
          <w:lang w:val="en-GB"/>
        </w:rPr>
        <w:t xml:space="preserve">Many of these barriers impact all women but are exacerbated for women with disabilities due to the pre-existing barriers to their exercise of </w:t>
      </w:r>
      <w:r w:rsidR="00A125E8" w:rsidRPr="00FB241C">
        <w:rPr>
          <w:rFonts w:eastAsia="MS Mincho"/>
          <w:lang w:val="en-GB"/>
        </w:rPr>
        <w:lastRenderedPageBreak/>
        <w:t>SRHR</w:t>
      </w:r>
      <w:r w:rsidR="00D67160" w:rsidRPr="00FB241C">
        <w:rPr>
          <w:rStyle w:val="EndnoteReference"/>
          <w:rFonts w:eastAsia="MS Mincho"/>
          <w:lang w:val="en-GB"/>
        </w:rPr>
        <w:endnoteReference w:id="67"/>
      </w:r>
      <w:r w:rsidR="00D67160" w:rsidRPr="00FB241C">
        <w:rPr>
          <w:rFonts w:eastAsia="MS Mincho"/>
        </w:rPr>
        <w:t>—such as lack of accessible information, lack of access to healthcare, and poverty—</w:t>
      </w:r>
      <w:r w:rsidR="00D67160" w:rsidRPr="00FB241C">
        <w:rPr>
          <w:rFonts w:eastAsia="MS Mincho"/>
          <w:lang w:val="en-GB"/>
        </w:rPr>
        <w:t xml:space="preserve">as well as the creation of new protocols in healthcare settings that have not always considered a disability perspective. </w:t>
      </w:r>
    </w:p>
    <w:p w14:paraId="204E758A" w14:textId="77777777" w:rsidR="00D67160" w:rsidRPr="00FB241C" w:rsidRDefault="00D67160" w:rsidP="00FB241C">
      <w:pPr>
        <w:jc w:val="both"/>
        <w:rPr>
          <w:rFonts w:eastAsia="MS Mincho"/>
          <w:lang w:val="en-GB"/>
        </w:rPr>
      </w:pPr>
    </w:p>
    <w:p w14:paraId="03656127" w14:textId="571A598A" w:rsidR="00D67160" w:rsidRPr="00FB241C" w:rsidRDefault="00D67160" w:rsidP="00FB241C">
      <w:pPr>
        <w:jc w:val="both"/>
        <w:rPr>
          <w:rFonts w:eastAsia="MS Mincho"/>
          <w:lang w:val="en-GB"/>
        </w:rPr>
      </w:pPr>
      <w:r w:rsidRPr="00FB241C">
        <w:rPr>
          <w:rFonts w:eastAsia="MS Mincho"/>
          <w:lang w:val="en-GB"/>
        </w:rPr>
        <w:t xml:space="preserve">Women with disabilities who face racism </w:t>
      </w:r>
      <w:r w:rsidR="0099729C" w:rsidRPr="00FB241C">
        <w:rPr>
          <w:rFonts w:eastAsia="MS Mincho"/>
          <w:lang w:val="en-GB"/>
        </w:rPr>
        <w:t xml:space="preserve">have </w:t>
      </w:r>
      <w:r w:rsidRPr="00FB241C">
        <w:rPr>
          <w:rFonts w:eastAsia="MS Mincho"/>
          <w:lang w:val="en-GB"/>
        </w:rPr>
        <w:t>also experienced barriers to accessing COVID-19 vaccine</w:t>
      </w:r>
      <w:r w:rsidR="0099729C" w:rsidRPr="00FB241C">
        <w:rPr>
          <w:rFonts w:eastAsia="MS Mincho"/>
          <w:lang w:val="en-GB"/>
        </w:rPr>
        <w:t>s.</w:t>
      </w:r>
      <w:r w:rsidRPr="00FB241C">
        <w:rPr>
          <w:rFonts w:eastAsia="MS Mincho"/>
          <w:lang w:val="en-GB"/>
        </w:rPr>
        <w:t xml:space="preserve"> Those living in rural areas, where most of the Indigenous peoples live,</w:t>
      </w:r>
      <w:r w:rsidRPr="00FB241C">
        <w:rPr>
          <w:rStyle w:val="EndnoteReference"/>
          <w:rFonts w:eastAsia="MS Mincho"/>
          <w:lang w:val="en-GB"/>
        </w:rPr>
        <w:endnoteReference w:id="68"/>
      </w:r>
      <w:r w:rsidRPr="00FB241C">
        <w:rPr>
          <w:rFonts w:eastAsia="MS Mincho"/>
          <w:lang w:val="en-GB"/>
        </w:rPr>
        <w:t xml:space="preserve"> were often far from vaccination sites, and </w:t>
      </w:r>
      <w:r w:rsidR="0099729C" w:rsidRPr="00FB241C">
        <w:rPr>
          <w:rFonts w:eastAsia="MS Mincho"/>
          <w:lang w:val="en-GB"/>
        </w:rPr>
        <w:t xml:space="preserve">qualitative </w:t>
      </w:r>
      <w:r w:rsidRPr="00FB241C">
        <w:rPr>
          <w:rFonts w:eastAsia="MS Mincho"/>
          <w:lang w:val="en-GB"/>
        </w:rPr>
        <w:t>evidence shows that finding accessible transportation during the COVID-19 pandemic was very difficult.</w:t>
      </w:r>
      <w:r w:rsidRPr="00FB241C">
        <w:rPr>
          <w:rStyle w:val="EndnoteReference"/>
          <w:rFonts w:eastAsia="MS Mincho"/>
          <w:lang w:val="en-GB"/>
        </w:rPr>
        <w:endnoteReference w:id="69"/>
      </w:r>
      <w:r w:rsidRPr="00FB241C">
        <w:rPr>
          <w:rFonts w:eastAsia="MS Mincho"/>
          <w:lang w:val="en-GB"/>
        </w:rPr>
        <w:t xml:space="preserve"> </w:t>
      </w:r>
    </w:p>
    <w:p w14:paraId="1D5D0326" w14:textId="05E2B869" w:rsidR="00D67160" w:rsidRPr="00FB241C" w:rsidRDefault="00D67160" w:rsidP="00FB241C">
      <w:pPr>
        <w:pStyle w:val="ListParagraph"/>
        <w:numPr>
          <w:ilvl w:val="0"/>
          <w:numId w:val="1"/>
        </w:numPr>
        <w:jc w:val="both"/>
        <w:rPr>
          <w:rFonts w:eastAsia="MS Mincho"/>
          <w:lang w:val="en-GB"/>
        </w:rPr>
      </w:pPr>
      <w:r w:rsidRPr="00FB241C">
        <w:rPr>
          <w:rFonts w:eastAsia="MS Mincho"/>
          <w:lang w:val="en-GB"/>
        </w:rPr>
        <w:t>A Black woman with a disability in the United</w:t>
      </w:r>
      <w:r w:rsidR="0099729C" w:rsidRPr="00FB241C">
        <w:rPr>
          <w:rFonts w:eastAsia="MS Mincho"/>
          <w:lang w:val="en-GB"/>
        </w:rPr>
        <w:t xml:space="preserve"> </w:t>
      </w:r>
      <w:r w:rsidRPr="00FB241C">
        <w:rPr>
          <w:rFonts w:eastAsia="MS Mincho"/>
          <w:lang w:val="en-GB"/>
        </w:rPr>
        <w:t>States mentioned that “there was no place for me to find information about the accessibility of a vaccine location, and nobody has answers when you ask about accessibility.”</w:t>
      </w:r>
      <w:r w:rsidRPr="00FB241C">
        <w:rPr>
          <w:rStyle w:val="EndnoteReference"/>
          <w:rFonts w:eastAsia="MS Mincho"/>
          <w:lang w:val="en-GB"/>
        </w:rPr>
        <w:endnoteReference w:id="70"/>
      </w:r>
    </w:p>
    <w:p w14:paraId="511AA024" w14:textId="34826ED9" w:rsidR="00D67160" w:rsidRPr="00FB241C" w:rsidRDefault="00D67160" w:rsidP="00FB241C">
      <w:pPr>
        <w:pStyle w:val="ListParagraph"/>
        <w:numPr>
          <w:ilvl w:val="0"/>
          <w:numId w:val="1"/>
        </w:numPr>
        <w:jc w:val="both"/>
        <w:rPr>
          <w:rFonts w:eastAsia="MS Mincho"/>
          <w:lang w:val="en-GB"/>
        </w:rPr>
      </w:pPr>
      <w:r w:rsidRPr="00FB241C">
        <w:rPr>
          <w:rFonts w:eastAsia="MS Mincho"/>
          <w:lang w:val="en-GB"/>
        </w:rPr>
        <w:t xml:space="preserve">Another Black woman with a disability reported that when the vaccine rollout began in the United States, there were few sites accessible to residents in her city. And the few sites available </w:t>
      </w:r>
      <w:proofErr w:type="gramStart"/>
      <w:r w:rsidRPr="00FB241C">
        <w:rPr>
          <w:rFonts w:eastAsia="MS Mincho"/>
          <w:lang w:val="en-GB"/>
        </w:rPr>
        <w:t>were located in</w:t>
      </w:r>
      <w:proofErr w:type="gramEnd"/>
      <w:r w:rsidRPr="00FB241C">
        <w:rPr>
          <w:rFonts w:eastAsia="MS Mincho"/>
          <w:lang w:val="en-GB"/>
        </w:rPr>
        <w:t xml:space="preserve"> the suburbs—which are mostly white and wealthy </w:t>
      </w:r>
      <w:r w:rsidR="00FB241C" w:rsidRPr="00FB241C">
        <w:rPr>
          <w:rFonts w:eastAsia="MS Mincho"/>
          <w:lang w:val="en-GB"/>
        </w:rPr>
        <w:t>neighbourhoods</w:t>
      </w:r>
      <w:r w:rsidRPr="00FB241C">
        <w:rPr>
          <w:rFonts w:eastAsia="MS Mincho"/>
          <w:lang w:val="en-GB"/>
        </w:rPr>
        <w:t>— areas where everyone needed a car to access.</w:t>
      </w:r>
      <w:r w:rsidRPr="00FB241C">
        <w:rPr>
          <w:rStyle w:val="EndnoteReference"/>
          <w:rFonts w:eastAsia="MS Mincho"/>
          <w:lang w:val="en-GB"/>
        </w:rPr>
        <w:endnoteReference w:id="71"/>
      </w:r>
    </w:p>
    <w:p w14:paraId="07B0919C" w14:textId="77777777" w:rsidR="00D67160" w:rsidRPr="00FB241C" w:rsidRDefault="00D67160" w:rsidP="00FB241C">
      <w:pPr>
        <w:pStyle w:val="ListParagraph"/>
        <w:jc w:val="both"/>
        <w:rPr>
          <w:rFonts w:eastAsia="MS Mincho"/>
          <w:lang w:val="en-GB"/>
        </w:rPr>
      </w:pPr>
    </w:p>
    <w:p w14:paraId="3713042D" w14:textId="5894CDE0" w:rsidR="00D67160" w:rsidRPr="00FB241C" w:rsidRDefault="00D67160" w:rsidP="00FB241C">
      <w:pPr>
        <w:pStyle w:val="ListParagraph"/>
        <w:numPr>
          <w:ilvl w:val="0"/>
          <w:numId w:val="8"/>
        </w:numPr>
        <w:jc w:val="both"/>
        <w:rPr>
          <w:b/>
          <w:bCs/>
        </w:rPr>
      </w:pPr>
      <w:r w:rsidRPr="00FB241C">
        <w:rPr>
          <w:b/>
          <w:bCs/>
        </w:rPr>
        <w:t>International Human Right</w:t>
      </w:r>
      <w:r w:rsidR="0099729C" w:rsidRPr="00FB241C">
        <w:rPr>
          <w:b/>
          <w:bCs/>
        </w:rPr>
        <w:t>s and</w:t>
      </w:r>
      <w:r w:rsidRPr="00FB241C">
        <w:rPr>
          <w:b/>
          <w:bCs/>
        </w:rPr>
        <w:t xml:space="preserve"> </w:t>
      </w:r>
      <w:r w:rsidR="0099729C" w:rsidRPr="00FB241C">
        <w:rPr>
          <w:b/>
          <w:bCs/>
        </w:rPr>
        <w:t xml:space="preserve">the </w:t>
      </w:r>
      <w:r w:rsidRPr="00FB241C">
        <w:rPr>
          <w:b/>
          <w:bCs/>
        </w:rPr>
        <w:t>Right to Health at the Intersection of Race, Gender, and Disability</w:t>
      </w:r>
    </w:p>
    <w:p w14:paraId="05279DAD" w14:textId="043B59F3" w:rsidR="00D67160" w:rsidRPr="00FB241C" w:rsidRDefault="00D67160" w:rsidP="00FB241C">
      <w:pPr>
        <w:pStyle w:val="ListParagraph"/>
        <w:ind w:left="0"/>
        <w:jc w:val="both"/>
        <w:rPr>
          <w:b/>
          <w:bCs/>
        </w:rPr>
      </w:pPr>
    </w:p>
    <w:p w14:paraId="3C0722D0" w14:textId="5C3FDBE3" w:rsidR="00CC2B36" w:rsidRDefault="00CC2B36" w:rsidP="00CC2B36">
      <w:pPr>
        <w:jc w:val="both"/>
      </w:pPr>
      <w:bookmarkStart w:id="7" w:name="_Hlk104983582"/>
      <w:r>
        <w:t>The CERD Committee has a long history of addressing some of the issues identified above that particularly impact women with disabilities who experience racism</w:t>
      </w:r>
      <w:r>
        <w:t xml:space="preserve">. </w:t>
      </w:r>
      <w:r w:rsidRPr="00CC2B36">
        <w:t>In its General Recommendation No. 25, the CERD Committee recognize</w:t>
      </w:r>
      <w:r w:rsidR="0068083C">
        <w:t>d</w:t>
      </w:r>
      <w:r w:rsidRPr="00CC2B36">
        <w:t xml:space="preserve"> that some forms of racial discrimination, such as coerced sterilization of indigenous women, may be specifically directed towards women due to their gender.</w:t>
      </w:r>
      <w:r>
        <w:rPr>
          <w:rStyle w:val="EndnoteReference"/>
        </w:rPr>
        <w:endnoteReference w:id="72"/>
      </w:r>
      <w:r w:rsidRPr="00CC2B36">
        <w:t xml:space="preserve"> It also acknowledge</w:t>
      </w:r>
      <w:r w:rsidR="0068083C">
        <w:t>d</w:t>
      </w:r>
      <w:r w:rsidRPr="00CC2B36">
        <w:t xml:space="preserve"> that racial discrimination may have consequences that primarily affect women, in particular highlighting pregnancies that result from racially-motivated rape.</w:t>
      </w:r>
      <w:r>
        <w:rPr>
          <w:rStyle w:val="EndnoteReference"/>
        </w:rPr>
        <w:endnoteReference w:id="73"/>
      </w:r>
      <w:r>
        <w:t xml:space="preserve"> In its concluding observations, t</w:t>
      </w:r>
      <w:r w:rsidRPr="00CC2B36">
        <w:t>he CERD Committee frequently comments on inequalities in access to health services, including sexual and reproductive health services, for women from minority groups and for immigrants.</w:t>
      </w:r>
      <w:r>
        <w:rPr>
          <w:rStyle w:val="EndnoteReference"/>
        </w:rPr>
        <w:endnoteReference w:id="74"/>
      </w:r>
      <w:r w:rsidR="00CF7188">
        <w:t xml:space="preserve"> </w:t>
      </w:r>
      <w:r w:rsidR="00CF7188" w:rsidRPr="00CF7188">
        <w:t xml:space="preserve">The CERD Committee </w:t>
      </w:r>
      <w:r w:rsidR="00CF7188">
        <w:t xml:space="preserve">also </w:t>
      </w:r>
      <w:r w:rsidR="00136922">
        <w:t xml:space="preserve">has a particularly robust jurisprudence around the issue of forced and coerced sterilization and has </w:t>
      </w:r>
      <w:r w:rsidR="00CF7188" w:rsidRPr="00CF7188">
        <w:t xml:space="preserve">expressed repeated concern to States where minorities and indigenous women have been subjected to forced or coerced reproductive health </w:t>
      </w:r>
      <w:r w:rsidR="0068083C">
        <w:t>interventions</w:t>
      </w:r>
      <w:r w:rsidR="00136922">
        <w:t>.</w:t>
      </w:r>
      <w:r w:rsidR="00CF7188">
        <w:rPr>
          <w:rStyle w:val="EndnoteReference"/>
        </w:rPr>
        <w:endnoteReference w:id="75"/>
      </w:r>
      <w:r w:rsidR="00136922">
        <w:t xml:space="preserve"> The Committee has called on States to ensure that sterilization is only provided with free and informed consent,</w:t>
      </w:r>
      <w:r w:rsidR="00136922">
        <w:rPr>
          <w:rStyle w:val="EndnoteReference"/>
        </w:rPr>
        <w:endnoteReference w:id="76"/>
      </w:r>
      <w:r w:rsidR="00136922">
        <w:t xml:space="preserve"> that accusations of forced or coerced sterilization be adequately investigated,</w:t>
      </w:r>
      <w:r w:rsidR="00136922">
        <w:rPr>
          <w:rStyle w:val="EndnoteReference"/>
        </w:rPr>
        <w:endnoteReference w:id="77"/>
      </w:r>
      <w:r w:rsidR="00136922">
        <w:t xml:space="preserve"> </w:t>
      </w:r>
      <w:r w:rsidR="00136922">
        <w:t>that sanctions, including criminal sanctions,</w:t>
      </w:r>
      <w:r w:rsidR="00136922">
        <w:rPr>
          <w:rStyle w:val="EndnoteReference"/>
        </w:rPr>
        <w:endnoteReference w:id="78"/>
      </w:r>
      <w:r w:rsidR="00136922">
        <w:t xml:space="preserve"> be applied to perpetrators of forced sterilization,</w:t>
      </w:r>
      <w:r w:rsidR="00136922">
        <w:rPr>
          <w:rStyle w:val="EndnoteReference"/>
        </w:rPr>
        <w:endnoteReference w:id="79"/>
      </w:r>
      <w:r w:rsidR="00136922">
        <w:t xml:space="preserve"> and that States monitor health facilities where </w:t>
      </w:r>
      <w:proofErr w:type="spellStart"/>
      <w:r w:rsidR="00136922">
        <w:t>sterlizations</w:t>
      </w:r>
      <w:proofErr w:type="spellEnd"/>
      <w:r w:rsidR="00136922">
        <w:t xml:space="preserve"> occur to ensure informed consent.</w:t>
      </w:r>
      <w:r w:rsidR="00136922">
        <w:rPr>
          <w:rStyle w:val="EndnoteReference"/>
        </w:rPr>
        <w:endnoteReference w:id="80"/>
      </w:r>
      <w:r w:rsidR="00136922">
        <w:t xml:space="preserve"> </w:t>
      </w:r>
    </w:p>
    <w:p w14:paraId="295549FF" w14:textId="77777777" w:rsidR="00CC2B36" w:rsidRDefault="00CC2B36" w:rsidP="00FB241C">
      <w:pPr>
        <w:jc w:val="both"/>
      </w:pPr>
    </w:p>
    <w:p w14:paraId="0872224F" w14:textId="0135984F" w:rsidR="0068083C" w:rsidRDefault="003D3CA5" w:rsidP="0068083C">
      <w:pPr>
        <w:jc w:val="both"/>
      </w:pPr>
      <w:r w:rsidRPr="00FB241C">
        <w:t xml:space="preserve">The Special Rapporteur </w:t>
      </w:r>
      <w:r>
        <w:t xml:space="preserve">on the Right to Health </w:t>
      </w:r>
      <w:r w:rsidRPr="00FB241C">
        <w:t>has previously placed the right to health within an intersectionality framework, highlighting that “the specific health needs and barriers faced by individuals or groups, women, girls, adolescents, lesbian, gay, bisexual, transgender and intersex persons, and persons with disabilities, and in particular those that experience multiple and intersectional forms of discrimination, must be addressed and differential treatment provided.”</w:t>
      </w:r>
      <w:r w:rsidRPr="00FB241C">
        <w:rPr>
          <w:vertAlign w:val="superscript"/>
        </w:rPr>
        <w:endnoteReference w:id="81"/>
      </w:r>
      <w:r w:rsidRPr="00FB241C">
        <w:t xml:space="preserve"> Indeed, an intersectional human rights framework for the right to health inclusive of gender, disability, and race should recognize both the systemic and legal barriers to fully exercising the right to health, including exercising bodily autonomy in the context of healthcare. For instance, in the context of reproduction and reproductive rights in particular, the Special Rapporteur on the Right to Health has described that different groups are encouraged or coerced to reproduce, while others are discouraged or forced not to do so, and “[h]ow women experience these parameters of sexual and reproductive health depends on which intersections of privilege and oppression they live at….”</w:t>
      </w:r>
      <w:r w:rsidRPr="00FB241C">
        <w:rPr>
          <w:vertAlign w:val="superscript"/>
        </w:rPr>
        <w:endnoteReference w:id="82"/>
      </w:r>
      <w:r w:rsidRPr="00FB241C">
        <w:t xml:space="preserve"> </w:t>
      </w:r>
    </w:p>
    <w:p w14:paraId="5FCD2C39" w14:textId="77777777" w:rsidR="0068083C" w:rsidRDefault="0068083C" w:rsidP="0068083C">
      <w:pPr>
        <w:jc w:val="both"/>
      </w:pPr>
    </w:p>
    <w:p w14:paraId="1736B9CA" w14:textId="7F92E0AF" w:rsidR="0068083C" w:rsidRDefault="0068083C" w:rsidP="0068083C">
      <w:pPr>
        <w:jc w:val="both"/>
      </w:pPr>
      <w:r>
        <w:t>Both the CERD Committee and the Special Rapporteur on the Right to Health have</w:t>
      </w:r>
      <w:r w:rsidR="003D3CA5" w:rsidRPr="00FB241C">
        <w:t xml:space="preserve"> recognize</w:t>
      </w:r>
      <w:r>
        <w:t>d</w:t>
      </w:r>
      <w:r w:rsidR="003D3CA5" w:rsidRPr="00FB241C">
        <w:t xml:space="preserve"> that gender and race can play a role in this stratified system of reproduction</w:t>
      </w:r>
      <w:r>
        <w:t>. However, neither mechanism</w:t>
      </w:r>
      <w:r w:rsidR="003D3CA5" w:rsidRPr="00FB241C">
        <w:t xml:space="preserve"> specifically address</w:t>
      </w:r>
      <w:r>
        <w:t>es</w:t>
      </w:r>
      <w:r w:rsidR="003D3CA5" w:rsidRPr="00FB241C">
        <w:t xml:space="preserve"> how disability is included within in this stratification, nor how the disability intersection with gender and/or race further stratifies reproduction and jeopardizes the right to bodily autonomy and the right to health more broadly.</w:t>
      </w:r>
      <w:r>
        <w:t xml:space="preserve"> Indeed, t</w:t>
      </w:r>
      <w:r w:rsidRPr="00FB241C">
        <w:t xml:space="preserve">here </w:t>
      </w:r>
      <w:r>
        <w:t>remains, however,</w:t>
      </w:r>
      <w:r w:rsidRPr="00FB241C">
        <w:t xml:space="preserve"> a critical gap in human rights standards </w:t>
      </w:r>
      <w:r>
        <w:t xml:space="preserve">broadly </w:t>
      </w:r>
      <w:r w:rsidRPr="00FB241C">
        <w:t xml:space="preserve">around the right to health, in that many human rights bodies have failed to fully integrate the intersection of race, gender, and disability into their analyses on these issues and apply those principles in their recommendations to States. </w:t>
      </w:r>
    </w:p>
    <w:p w14:paraId="7ABF1440" w14:textId="77777777" w:rsidR="0099729C" w:rsidRPr="00FB241C" w:rsidRDefault="0099729C" w:rsidP="00FB241C">
      <w:pPr>
        <w:jc w:val="both"/>
      </w:pPr>
    </w:p>
    <w:bookmarkEnd w:id="7"/>
    <w:p w14:paraId="746E43EA" w14:textId="7DA63D74" w:rsidR="00D67160" w:rsidRPr="00FB241C" w:rsidRDefault="00D67160" w:rsidP="00FB241C">
      <w:pPr>
        <w:jc w:val="both"/>
      </w:pPr>
      <w:r w:rsidRPr="00FB241C">
        <w:t>Of the U.N. human rights treaty monitoring bodies, the CRPD Committee may have the clearest articulation of intersectionality and its imperative application in the context of the CRPD. Article 5 of the CRPD articulates that “States Parties shall prohibit all discrimination on the basis of disability and guarantee to persons with disabilities equal and effective legal protection against discrimination on all grounds.”</w:t>
      </w:r>
      <w:r w:rsidRPr="00FB241C">
        <w:rPr>
          <w:vertAlign w:val="superscript"/>
        </w:rPr>
        <w:endnoteReference w:id="83"/>
      </w:r>
      <w:r w:rsidRPr="00FB241C">
        <w:t xml:space="preserve"> In its General Comment No. 6 on equality and non-discrimination, the CRPD Committee articulates that “States parties must address multiple and intersectional discrimination against persons with disabilities,”</w:t>
      </w:r>
      <w:r w:rsidRPr="00FB241C">
        <w:rPr>
          <w:vertAlign w:val="superscript"/>
        </w:rPr>
        <w:endnoteReference w:id="84"/>
      </w:r>
      <w:r w:rsidRPr="00FB241C">
        <w:t xml:space="preserve"> and that the obligation to ensure effective legal protection against discrimination on all grounds as articulated in Article 5 “means that all possible grounds of discrimination and their intersections must be taken into account.”</w:t>
      </w:r>
      <w:r w:rsidRPr="00FB241C">
        <w:rPr>
          <w:vertAlign w:val="superscript"/>
        </w:rPr>
        <w:endnoteReference w:id="85"/>
      </w:r>
      <w:r w:rsidRPr="00FB241C">
        <w:t xml:space="preserve">  </w:t>
      </w:r>
    </w:p>
    <w:p w14:paraId="6D909348" w14:textId="77777777" w:rsidR="0099729C" w:rsidRPr="00FB241C" w:rsidRDefault="0099729C" w:rsidP="00FB241C">
      <w:pPr>
        <w:jc w:val="both"/>
      </w:pPr>
    </w:p>
    <w:p w14:paraId="6ACBFBE7" w14:textId="77777777" w:rsidR="00D67160" w:rsidRPr="00FB241C" w:rsidRDefault="00D67160" w:rsidP="00FB241C">
      <w:pPr>
        <w:jc w:val="both"/>
      </w:pPr>
      <w:r w:rsidRPr="00FB241C">
        <w:t>The CRPD Committee then further articulates States’ obligations in relation to intersectional discrimination against persons with disabilities. For instance:</w:t>
      </w:r>
    </w:p>
    <w:p w14:paraId="2E8BACAD" w14:textId="77777777" w:rsidR="00D67160" w:rsidRPr="00FB241C" w:rsidRDefault="00D67160" w:rsidP="00FB241C">
      <w:pPr>
        <w:pStyle w:val="ListParagraph"/>
        <w:numPr>
          <w:ilvl w:val="0"/>
          <w:numId w:val="6"/>
        </w:numPr>
        <w:jc w:val="both"/>
      </w:pPr>
      <w:r w:rsidRPr="00FB241C">
        <w:t>States must both identify and take specific measures to accelerate the achievement of inclusive equality for groups subjected to intersectional discrimination.</w:t>
      </w:r>
      <w:r w:rsidRPr="00FB241C">
        <w:rPr>
          <w:vertAlign w:val="superscript"/>
        </w:rPr>
        <w:endnoteReference w:id="86"/>
      </w:r>
    </w:p>
    <w:p w14:paraId="3F6C4815" w14:textId="41840DFB" w:rsidR="00D67160" w:rsidRPr="00FB241C" w:rsidRDefault="00D67160" w:rsidP="00FB241C">
      <w:pPr>
        <w:pStyle w:val="ListParagraph"/>
        <w:numPr>
          <w:ilvl w:val="0"/>
          <w:numId w:val="6"/>
        </w:numPr>
        <w:jc w:val="both"/>
      </w:pPr>
      <w:r w:rsidRPr="00FB241C">
        <w:t xml:space="preserve">States must also train and build the capacity of “duty-bearers” (which include, for instance, healthcare providers and policymakers) on “[t]he complexities of intersectionality and the fact that persons should not be identified purely </w:t>
      </w:r>
      <w:proofErr w:type="gramStart"/>
      <w:r w:rsidRPr="00FB241C">
        <w:t>on the basis of</w:t>
      </w:r>
      <w:proofErr w:type="gramEnd"/>
      <w:r w:rsidRPr="00FB241C">
        <w:t xml:space="preserve"> impairment. Awareness-raising on intersectionality issues should be relevant to </w:t>
      </w:r>
      <w:proofErr w:type="gramStart"/>
      <w:r w:rsidRPr="00FB241C">
        <w:t>particular forms</w:t>
      </w:r>
      <w:proofErr w:type="gramEnd"/>
      <w:r w:rsidRPr="00FB241C">
        <w:t xml:space="preserve"> of discrimination and oppression.”</w:t>
      </w:r>
      <w:r w:rsidRPr="00FB241C">
        <w:rPr>
          <w:vertAlign w:val="superscript"/>
        </w:rPr>
        <w:endnoteReference w:id="87"/>
      </w:r>
    </w:p>
    <w:p w14:paraId="442EA130" w14:textId="2577F54D" w:rsidR="00D67160" w:rsidRPr="00FB241C" w:rsidRDefault="00D67160" w:rsidP="00FB241C">
      <w:pPr>
        <w:pStyle w:val="ListParagraph"/>
        <w:numPr>
          <w:ilvl w:val="0"/>
          <w:numId w:val="6"/>
        </w:numPr>
        <w:jc w:val="both"/>
      </w:pPr>
      <w:r w:rsidRPr="00FB241C">
        <w:t xml:space="preserve">States must further ensure that their data collection and analysis </w:t>
      </w:r>
      <w:r w:rsidR="00B93D62" w:rsidRPr="00FB241C">
        <w:t>are</w:t>
      </w:r>
      <w:r w:rsidRPr="00FB241C">
        <w:t xml:space="preserve"> “disaggregated on the basis of disability and of intersectional categories.”</w:t>
      </w:r>
      <w:r w:rsidRPr="00FB241C">
        <w:rPr>
          <w:vertAlign w:val="superscript"/>
        </w:rPr>
        <w:endnoteReference w:id="88"/>
      </w:r>
    </w:p>
    <w:p w14:paraId="1A7ECE7D" w14:textId="77777777" w:rsidR="0099729C" w:rsidRPr="00FB241C" w:rsidRDefault="0099729C" w:rsidP="00FB241C">
      <w:pPr>
        <w:jc w:val="both"/>
      </w:pPr>
    </w:p>
    <w:p w14:paraId="061DD486" w14:textId="54E6ABC1" w:rsidR="00D67160" w:rsidRPr="00FB241C" w:rsidRDefault="00D67160" w:rsidP="00FB241C">
      <w:pPr>
        <w:jc w:val="both"/>
      </w:pPr>
      <w:proofErr w:type="gramStart"/>
      <w:r w:rsidRPr="00FB241C">
        <w:t>In particular, there</w:t>
      </w:r>
      <w:proofErr w:type="gramEnd"/>
      <w:r w:rsidRPr="00FB241C">
        <w:t xml:space="preserve"> are at least two concepts from disability rights that should be included in any intersectional analysis of the right to health based on race, gender, and disability.</w:t>
      </w:r>
    </w:p>
    <w:p w14:paraId="35D3C042" w14:textId="1A9F1000" w:rsidR="00D67160" w:rsidRPr="00FB241C" w:rsidRDefault="00D67160" w:rsidP="00FB241C">
      <w:pPr>
        <w:pStyle w:val="ListParagraph"/>
        <w:numPr>
          <w:ilvl w:val="0"/>
          <w:numId w:val="7"/>
        </w:numPr>
        <w:jc w:val="both"/>
      </w:pPr>
      <w:r w:rsidRPr="00FB241C">
        <w:rPr>
          <w:b/>
          <w:bCs/>
        </w:rPr>
        <w:t xml:space="preserve">Accessibility: </w:t>
      </w:r>
      <w:r w:rsidRPr="00FB241C">
        <w:t>Any analysis of the right to health should include an analysis of whether information, services, and goods are fully disability accessible. Indeed, as the CRPD Committee outlines in its General Comment No. 2 on accessibility, the right to be free from discrimination includes an obligation to ensure that persons with disabilities have equal access to all goods, products, and services that are open to the public, including when provided by private entities.</w:t>
      </w:r>
      <w:r w:rsidRPr="00FB241C">
        <w:rPr>
          <w:rStyle w:val="EndnoteReference"/>
        </w:rPr>
        <w:endnoteReference w:id="89"/>
      </w:r>
      <w:r w:rsidRPr="00FB241C">
        <w:t xml:space="preserve"> The Committee notes that the exercise of the right to health is not possible without accessible premises where healthcare services are provided, accessible transportation to access those locations, and accessible information and communication about health, including through sign language, Braille, accessible electronic formats, alternative script, and alternative means of communication.</w:t>
      </w:r>
      <w:r w:rsidRPr="00FB241C">
        <w:rPr>
          <w:rStyle w:val="EndnoteReference"/>
        </w:rPr>
        <w:endnoteReference w:id="90"/>
      </w:r>
      <w:r w:rsidRPr="00FB241C">
        <w:t xml:space="preserve"> In particular, the Committee notes that States should take the “gender dimension” into account when ensuring that reproductive health services are accessible to women and girls with disabilities.</w:t>
      </w:r>
      <w:r w:rsidRPr="00FB241C">
        <w:rPr>
          <w:rStyle w:val="EndnoteReference"/>
        </w:rPr>
        <w:endnoteReference w:id="91"/>
      </w:r>
      <w:r w:rsidRPr="00FB241C">
        <w:t xml:space="preserve"> </w:t>
      </w:r>
    </w:p>
    <w:p w14:paraId="20F80DA1" w14:textId="4A2C2A95" w:rsidR="00FC7BA9" w:rsidRPr="00FB241C" w:rsidRDefault="00D67160" w:rsidP="00FB241C">
      <w:pPr>
        <w:pStyle w:val="ListParagraph"/>
        <w:numPr>
          <w:ilvl w:val="0"/>
          <w:numId w:val="7"/>
        </w:numPr>
        <w:jc w:val="both"/>
      </w:pPr>
      <w:r w:rsidRPr="00FB241C">
        <w:rPr>
          <w:b/>
          <w:bCs/>
        </w:rPr>
        <w:lastRenderedPageBreak/>
        <w:t>Legal Capacity:</w:t>
      </w:r>
      <w:r w:rsidRPr="00FB241C">
        <w:t xml:space="preserve"> Furthermore, any analysis of the right to health must also include an analysis of the degree to which different groups can fully exercise bodily autonomy. For persons with </w:t>
      </w:r>
      <w:r w:rsidR="00FB241C" w:rsidRPr="00FB241C">
        <w:t>disabilities</w:t>
      </w:r>
      <w:r w:rsidRPr="00FB241C">
        <w:t>, bodily autonomy is often jeopardized when they are deprived of legal capacity, in violation of Article 12 of the CRPD, and third parties such as caregivers, parents, doctors, or judges are allowed to make healthcare decisions on their behalves.</w:t>
      </w:r>
      <w:r w:rsidRPr="00FB241C">
        <w:rPr>
          <w:rStyle w:val="EndnoteReference"/>
        </w:rPr>
        <w:endnoteReference w:id="92"/>
      </w:r>
      <w:r w:rsidRPr="00FB241C">
        <w:t xml:space="preserve"> This deprivation of legal capacity can occur formally (through legal systems such as guardianship or conservatorship) or informally (for instance, through individual interactions that are colored by stereotypes healthcare providers or others may hold about the decision-making ability or value of individuals). Within this context, the CRPD Committee has repeatedly recognized how intersectional discrimination based on gender and disability can lead to forced or coerced reproductive health interventions and has called on States to directly prohibit and prevent this widespread and systemic rights violation.</w:t>
      </w:r>
      <w:r w:rsidRPr="00FB241C">
        <w:rPr>
          <w:rStyle w:val="EndnoteReference"/>
        </w:rPr>
        <w:endnoteReference w:id="93"/>
      </w:r>
      <w:r w:rsidRPr="00FB241C">
        <w:t xml:space="preserve"> </w:t>
      </w:r>
    </w:p>
    <w:p w14:paraId="43C595AA" w14:textId="77777777" w:rsidR="00FC7BA9" w:rsidRPr="00FB241C" w:rsidRDefault="00FC7BA9" w:rsidP="00FB241C">
      <w:pPr>
        <w:pStyle w:val="ListParagraph"/>
        <w:jc w:val="both"/>
      </w:pPr>
    </w:p>
    <w:p w14:paraId="2238D516" w14:textId="0A6421A8" w:rsidR="00192F08" w:rsidRPr="00FB241C" w:rsidRDefault="00192F08" w:rsidP="00FB241C">
      <w:pPr>
        <w:pStyle w:val="ListParagraph"/>
        <w:numPr>
          <w:ilvl w:val="0"/>
          <w:numId w:val="8"/>
        </w:numPr>
        <w:jc w:val="both"/>
        <w:rPr>
          <w:b/>
          <w:bCs/>
        </w:rPr>
      </w:pPr>
      <w:r w:rsidRPr="00FB241C">
        <w:rPr>
          <w:b/>
          <w:bCs/>
        </w:rPr>
        <w:t>Recommendations</w:t>
      </w:r>
    </w:p>
    <w:p w14:paraId="23DC0FBA" w14:textId="77777777" w:rsidR="00DB649D" w:rsidRPr="00FB241C" w:rsidRDefault="00DB649D" w:rsidP="00FB241C">
      <w:pPr>
        <w:pStyle w:val="ListParagraph"/>
        <w:ind w:left="0"/>
        <w:jc w:val="both"/>
        <w:rPr>
          <w:b/>
          <w:bCs/>
        </w:rPr>
      </w:pPr>
    </w:p>
    <w:p w14:paraId="7D0E2019" w14:textId="3FBFE4CE" w:rsidR="00DB649D" w:rsidRPr="00FB241C" w:rsidRDefault="00C00458" w:rsidP="00FB241C">
      <w:pPr>
        <w:contextualSpacing/>
        <w:jc w:val="both"/>
      </w:pPr>
      <w:r w:rsidRPr="00FB241C">
        <w:t>W</w:t>
      </w:r>
      <w:r w:rsidR="00FC7BA9" w:rsidRPr="00FB241C">
        <w:t xml:space="preserve">omen </w:t>
      </w:r>
      <w:r w:rsidR="00DB649D" w:rsidRPr="00FB241C">
        <w:t xml:space="preserve">with disabilities </w:t>
      </w:r>
      <w:r w:rsidRPr="00FB241C">
        <w:t xml:space="preserve">who experience racism </w:t>
      </w:r>
      <w:r w:rsidR="00DB649D" w:rsidRPr="00FB241C">
        <w:t>face increased and specific barriers to fulfilling their right to health. To tackle this issue and implement effective solutions to the problem, States must incorporate gender</w:t>
      </w:r>
      <w:r w:rsidR="00D6114C" w:rsidRPr="00FB241C">
        <w:t>, race, Indigenous identity,</w:t>
      </w:r>
      <w:r w:rsidR="00DB649D" w:rsidRPr="00FB241C">
        <w:t xml:space="preserve"> and disability perspectives in the design and implementation of policies to </w:t>
      </w:r>
      <w:r w:rsidR="00D6114C" w:rsidRPr="00FB241C">
        <w:t>ensure the right to health, including sexual and reproductive health and rights.</w:t>
      </w:r>
    </w:p>
    <w:p w14:paraId="21F25300" w14:textId="77777777" w:rsidR="00DB649D" w:rsidRPr="00FB241C" w:rsidRDefault="00DB649D" w:rsidP="00FB241C">
      <w:pPr>
        <w:contextualSpacing/>
        <w:jc w:val="both"/>
      </w:pPr>
    </w:p>
    <w:p w14:paraId="7953834E" w14:textId="0DD7A01D" w:rsidR="00192F08" w:rsidRPr="00777C18" w:rsidRDefault="00DB649D" w:rsidP="00777C18">
      <w:pPr>
        <w:contextualSpacing/>
        <w:jc w:val="both"/>
      </w:pPr>
      <w:r w:rsidRPr="00FB241C">
        <w:t xml:space="preserve">With this in mind, we hope that the </w:t>
      </w:r>
      <w:r w:rsidR="00777C18">
        <w:t xml:space="preserve">CERD Committee </w:t>
      </w:r>
      <w:r w:rsidRPr="00FB241C">
        <w:t xml:space="preserve">will consider including the following </w:t>
      </w:r>
      <w:r w:rsidR="00777C18">
        <w:t>issues in its Day of General Discussion on racial discrimination and the right to health and in its eventual General Recommendation on this topic.</w:t>
      </w:r>
    </w:p>
    <w:p w14:paraId="78B46C19" w14:textId="232CC6EF" w:rsidR="00192F08" w:rsidRPr="00FB241C" w:rsidRDefault="00192F08" w:rsidP="00FB241C">
      <w:pPr>
        <w:pStyle w:val="ListParagraph"/>
        <w:numPr>
          <w:ilvl w:val="0"/>
          <w:numId w:val="5"/>
        </w:numPr>
        <w:jc w:val="both"/>
        <w:rPr>
          <w:lang w:val="en-GB"/>
        </w:rPr>
      </w:pPr>
      <w:r w:rsidRPr="00FB241C">
        <w:rPr>
          <w:lang w:val="en-GB"/>
        </w:rPr>
        <w:t>Ensure that all laws developed to guarantee the right</w:t>
      </w:r>
      <w:r w:rsidR="0037303D" w:rsidRPr="00FB241C">
        <w:rPr>
          <w:lang w:val="en-GB"/>
        </w:rPr>
        <w:t xml:space="preserve"> to health</w:t>
      </w:r>
      <w:r w:rsidRPr="00FB241C">
        <w:rPr>
          <w:lang w:val="en-GB"/>
        </w:rPr>
        <w:t xml:space="preserve"> include a</w:t>
      </w:r>
      <w:r w:rsidR="0037303D" w:rsidRPr="00FB241C">
        <w:rPr>
          <w:lang w:val="en-GB"/>
        </w:rPr>
        <w:t xml:space="preserve"> </w:t>
      </w:r>
      <w:r w:rsidR="00FC7BA9" w:rsidRPr="00FB241C">
        <w:rPr>
          <w:lang w:val="en-GB"/>
        </w:rPr>
        <w:t xml:space="preserve">gender, </w:t>
      </w:r>
      <w:r w:rsidR="0037303D" w:rsidRPr="00FB241C">
        <w:rPr>
          <w:lang w:val="en-GB"/>
        </w:rPr>
        <w:t>race, ethnicity, Indig</w:t>
      </w:r>
      <w:r w:rsidR="002F1617" w:rsidRPr="00FB241C">
        <w:rPr>
          <w:lang w:val="en-GB"/>
        </w:rPr>
        <w:t xml:space="preserve">enous identity, </w:t>
      </w:r>
      <w:r w:rsidRPr="00FB241C">
        <w:rPr>
          <w:lang w:val="en-GB"/>
        </w:rPr>
        <w:t>and disability perspective</w:t>
      </w:r>
      <w:r w:rsidR="00FC7BA9" w:rsidRPr="00FB241C">
        <w:rPr>
          <w:lang w:val="en-GB"/>
        </w:rPr>
        <w:t>. This</w:t>
      </w:r>
      <w:r w:rsidR="0099729C" w:rsidRPr="00FB241C">
        <w:rPr>
          <w:lang w:val="en-GB"/>
        </w:rPr>
        <w:t xml:space="preserve"> m</w:t>
      </w:r>
      <w:r w:rsidR="00FC7BA9" w:rsidRPr="00FB241C">
        <w:rPr>
          <w:lang w:val="en-GB"/>
        </w:rPr>
        <w:t xml:space="preserve">eans that these laws should </w:t>
      </w:r>
      <w:r w:rsidRPr="00FB241C">
        <w:rPr>
          <w:lang w:val="en-GB"/>
        </w:rPr>
        <w:t>guarantee accessibility</w:t>
      </w:r>
      <w:r w:rsidR="00FC7BA9" w:rsidRPr="00FB241C">
        <w:rPr>
          <w:lang w:val="en-GB"/>
        </w:rPr>
        <w:t xml:space="preserve"> and </w:t>
      </w:r>
      <w:r w:rsidRPr="00FB241C">
        <w:rPr>
          <w:lang w:val="en-GB"/>
        </w:rPr>
        <w:t>reasonable accommodations</w:t>
      </w:r>
      <w:r w:rsidR="00FC7BA9" w:rsidRPr="00FB241C">
        <w:rPr>
          <w:lang w:val="en-GB"/>
        </w:rPr>
        <w:t xml:space="preserve"> in healthcare settings</w:t>
      </w:r>
      <w:r w:rsidRPr="00FB241C">
        <w:rPr>
          <w:lang w:val="en-GB"/>
        </w:rPr>
        <w:t xml:space="preserve">, </w:t>
      </w:r>
      <w:r w:rsidR="00FC7BA9" w:rsidRPr="00FB241C">
        <w:rPr>
          <w:lang w:val="en-GB"/>
        </w:rPr>
        <w:t xml:space="preserve">provide safeguards for the full exercise of bodily autonomy in those settings, ensure respect for </w:t>
      </w:r>
      <w:r w:rsidRPr="00FB241C">
        <w:rPr>
          <w:lang w:val="en-GB"/>
        </w:rPr>
        <w:t xml:space="preserve">intercultural </w:t>
      </w:r>
      <w:r w:rsidR="00FC7BA9" w:rsidRPr="00FB241C">
        <w:rPr>
          <w:lang w:val="en-GB"/>
        </w:rPr>
        <w:t>perspectives</w:t>
      </w:r>
      <w:r w:rsidR="00314779" w:rsidRPr="00FB241C">
        <w:rPr>
          <w:lang w:val="en-GB"/>
        </w:rPr>
        <w:t>,</w:t>
      </w:r>
      <w:r w:rsidR="00FC7BA9" w:rsidRPr="00FB241C">
        <w:rPr>
          <w:lang w:val="en-GB"/>
        </w:rPr>
        <w:t xml:space="preserve"> and incorporate concepts of</w:t>
      </w:r>
      <w:r w:rsidR="00A822E7" w:rsidRPr="00FB241C">
        <w:rPr>
          <w:lang w:val="en-GB"/>
        </w:rPr>
        <w:t xml:space="preserve"> racial</w:t>
      </w:r>
      <w:r w:rsidR="00FC7BA9" w:rsidRPr="00FB241C">
        <w:rPr>
          <w:lang w:val="en-GB"/>
        </w:rPr>
        <w:t>, disability, and gender justice</w:t>
      </w:r>
      <w:r w:rsidRPr="00FB241C">
        <w:rPr>
          <w:lang w:val="en-GB"/>
        </w:rPr>
        <w:t xml:space="preserve">. </w:t>
      </w:r>
    </w:p>
    <w:p w14:paraId="07D88676" w14:textId="088C8EFC" w:rsidR="0099729C" w:rsidRPr="00FB241C" w:rsidRDefault="0099729C" w:rsidP="00FB241C">
      <w:pPr>
        <w:pStyle w:val="ListParagraph"/>
        <w:numPr>
          <w:ilvl w:val="0"/>
          <w:numId w:val="5"/>
        </w:numPr>
        <w:jc w:val="both"/>
      </w:pPr>
      <w:r w:rsidRPr="00FB241C">
        <w:t>Abolish guardianship, conservatorship, or other formal systems that deprive individuals of the ability to make their own healthcare decisions</w:t>
      </w:r>
      <w:r w:rsidR="00FB241C" w:rsidRPr="00FB241C">
        <w:t xml:space="preserve"> </w:t>
      </w:r>
      <w:r w:rsidRPr="00FB241C">
        <w:t xml:space="preserve">and replace them with systems that provide consent-based and respectful support for healthcare decision-making. Further adopt laws and policies that prohibit reproductive health interventions performed without the free, prior, and informed consent of the person, including forced sterilization, which disproportionately impacts women with disabilities who experience racism. </w:t>
      </w:r>
    </w:p>
    <w:p w14:paraId="3CA3F524" w14:textId="770FFD1B" w:rsidR="00192F08" w:rsidRPr="00FB241C" w:rsidRDefault="00192F08" w:rsidP="00FB241C">
      <w:pPr>
        <w:pStyle w:val="ListParagraph"/>
        <w:numPr>
          <w:ilvl w:val="0"/>
          <w:numId w:val="5"/>
        </w:numPr>
        <w:jc w:val="both"/>
        <w:rPr>
          <w:lang w:val="en-GB"/>
        </w:rPr>
      </w:pPr>
      <w:r w:rsidRPr="00FB241C">
        <w:rPr>
          <w:lang w:val="en-GB"/>
        </w:rPr>
        <w:t>Include women with all types of disabilities</w:t>
      </w:r>
      <w:r w:rsidR="00C00458" w:rsidRPr="00FB241C">
        <w:rPr>
          <w:lang w:val="en-GB"/>
        </w:rPr>
        <w:t xml:space="preserve"> who experience racism</w:t>
      </w:r>
      <w:r w:rsidRPr="00FB241C">
        <w:rPr>
          <w:lang w:val="en-GB"/>
        </w:rPr>
        <w:t>, as well as their representative organizations, in the development and implementation of laws and policies on any issue that directly or indirectly affects their lives</w:t>
      </w:r>
      <w:r w:rsidR="0099729C" w:rsidRPr="00FB241C">
        <w:rPr>
          <w:lang w:val="en-GB"/>
        </w:rPr>
        <w:t>. Further ensure</w:t>
      </w:r>
      <w:r w:rsidRPr="00FB241C">
        <w:rPr>
          <w:lang w:val="en-GB"/>
        </w:rPr>
        <w:t xml:space="preserve"> that their needs and rights are reflected in these laws and policies, with corresponding budget allocation </w:t>
      </w:r>
      <w:r w:rsidRPr="00FB241C">
        <w:t xml:space="preserve">and government representation. </w:t>
      </w:r>
    </w:p>
    <w:p w14:paraId="3E478F57" w14:textId="67776CDB" w:rsidR="00531F4F" w:rsidRPr="00FB241C" w:rsidRDefault="00192F08" w:rsidP="00FB241C">
      <w:pPr>
        <w:pStyle w:val="ListParagraph"/>
        <w:numPr>
          <w:ilvl w:val="0"/>
          <w:numId w:val="5"/>
        </w:numPr>
        <w:jc w:val="both"/>
      </w:pPr>
      <w:r w:rsidRPr="00FB241C">
        <w:rPr>
          <w:rFonts w:eastAsia="MS Mincho"/>
        </w:rPr>
        <w:t xml:space="preserve">Increase the availability of accessible </w:t>
      </w:r>
      <w:r w:rsidR="00665BEC" w:rsidRPr="00FB241C">
        <w:rPr>
          <w:rFonts w:eastAsia="MS Mincho"/>
        </w:rPr>
        <w:t xml:space="preserve">healthcare services, including SRHR, </w:t>
      </w:r>
      <w:r w:rsidRPr="00FB241C">
        <w:rPr>
          <w:rFonts w:eastAsia="MS Mincho"/>
        </w:rPr>
        <w:t>in rural and remote areas</w:t>
      </w:r>
      <w:r w:rsidR="00531F4F" w:rsidRPr="00FB241C">
        <w:rPr>
          <w:rFonts w:eastAsia="MS Mincho"/>
        </w:rPr>
        <w:t>. Such services must respect the traditional indigenous health practices and medicines and promote collective rights.</w:t>
      </w:r>
    </w:p>
    <w:p w14:paraId="3DCCD9ED" w14:textId="0CB3EDAD" w:rsidR="00956594" w:rsidRPr="00FB241C" w:rsidRDefault="00531F4F" w:rsidP="00FB241C">
      <w:pPr>
        <w:pStyle w:val="ListParagraph"/>
        <w:numPr>
          <w:ilvl w:val="0"/>
          <w:numId w:val="5"/>
        </w:numPr>
        <w:jc w:val="both"/>
      </w:pPr>
      <w:r w:rsidRPr="00FB241C">
        <w:rPr>
          <w:rFonts w:eastAsia="MS Mincho"/>
        </w:rPr>
        <w:t xml:space="preserve">Increase the availability of </w:t>
      </w:r>
      <w:r w:rsidR="00192F08" w:rsidRPr="00FB241C">
        <w:rPr>
          <w:rFonts w:eastAsia="MS Mincho"/>
        </w:rPr>
        <w:t>accessible information</w:t>
      </w:r>
      <w:r w:rsidRPr="00FB241C">
        <w:rPr>
          <w:rFonts w:eastAsia="MS Mincho"/>
        </w:rPr>
        <w:t xml:space="preserve"> on healthcare services</w:t>
      </w:r>
      <w:r w:rsidR="00192F08" w:rsidRPr="00FB241C">
        <w:t xml:space="preserve">, </w:t>
      </w:r>
      <w:r w:rsidR="00192F08" w:rsidRPr="00FB241C">
        <w:rPr>
          <w:rFonts w:eastAsia="MS Mincho"/>
        </w:rPr>
        <w:t xml:space="preserve">including in indigenous </w:t>
      </w:r>
      <w:r w:rsidRPr="00FB241C">
        <w:rPr>
          <w:rFonts w:eastAsia="MS Mincho"/>
        </w:rPr>
        <w:t xml:space="preserve">local languages </w:t>
      </w:r>
      <w:r w:rsidR="00192F08" w:rsidRPr="00FB241C">
        <w:rPr>
          <w:rFonts w:eastAsia="MS Mincho"/>
        </w:rPr>
        <w:t xml:space="preserve">and sign languages, as well as the availability of free or affordable accessible transportation to reach these services. </w:t>
      </w:r>
    </w:p>
    <w:p w14:paraId="27A63A93" w14:textId="2F73B68F" w:rsidR="00956594" w:rsidRPr="00FB241C" w:rsidRDefault="00956594" w:rsidP="00FB241C">
      <w:pPr>
        <w:pStyle w:val="ListParagraph"/>
        <w:numPr>
          <w:ilvl w:val="0"/>
          <w:numId w:val="5"/>
        </w:numPr>
        <w:jc w:val="both"/>
      </w:pPr>
      <w:r w:rsidRPr="00FB241C">
        <w:rPr>
          <w:rFonts w:eastAsia="MS Mincho"/>
        </w:rPr>
        <w:lastRenderedPageBreak/>
        <w:t>E</w:t>
      </w:r>
      <w:r w:rsidRPr="00FB241C">
        <w:t xml:space="preserve">nsure that </w:t>
      </w:r>
      <w:r w:rsidR="00CA4F7C" w:rsidRPr="00FB241C">
        <w:t xml:space="preserve">quality </w:t>
      </w:r>
      <w:r w:rsidR="0099729C" w:rsidRPr="00FB241C">
        <w:t xml:space="preserve">accessible </w:t>
      </w:r>
      <w:r w:rsidRPr="00FB241C">
        <w:t xml:space="preserve">health services are affordable </w:t>
      </w:r>
      <w:r w:rsidR="0099729C" w:rsidRPr="00FB241C">
        <w:t>or free</w:t>
      </w:r>
      <w:r w:rsidRPr="00FB241C">
        <w:t xml:space="preserve"> to </w:t>
      </w:r>
      <w:r w:rsidR="005E1888" w:rsidRPr="00FB241C">
        <w:t>women</w:t>
      </w:r>
      <w:r w:rsidRPr="00FB241C">
        <w:t xml:space="preserve"> with disabilities</w:t>
      </w:r>
      <w:r w:rsidR="00C00458" w:rsidRPr="00FB241C">
        <w:t xml:space="preserve"> who experience </w:t>
      </w:r>
      <w:r w:rsidR="0099729C" w:rsidRPr="00FB241C">
        <w:t xml:space="preserve">racism, </w:t>
      </w:r>
      <w:r w:rsidR="00CA4F7C" w:rsidRPr="00FB241C">
        <w:t xml:space="preserve">and </w:t>
      </w:r>
      <w:r w:rsidRPr="00FB241C">
        <w:t xml:space="preserve">that staff </w:t>
      </w:r>
      <w:r w:rsidR="0099729C" w:rsidRPr="00FB241C">
        <w:t>members are</w:t>
      </w:r>
      <w:r w:rsidRPr="00FB241C">
        <w:t xml:space="preserve"> trained to work with and provide respectful care to </w:t>
      </w:r>
      <w:r w:rsidR="00CA4F7C" w:rsidRPr="00FB241C">
        <w:t>women</w:t>
      </w:r>
      <w:r w:rsidRPr="00FB241C">
        <w:t xml:space="preserve"> with disabilities</w:t>
      </w:r>
      <w:r w:rsidR="00CA4F7C" w:rsidRPr="00FB241C">
        <w:t xml:space="preserve"> who experience racism</w:t>
      </w:r>
      <w:r w:rsidRPr="00FB241C">
        <w:t xml:space="preserve">. </w:t>
      </w:r>
    </w:p>
    <w:p w14:paraId="7EC89F3F" w14:textId="1B5A35F3" w:rsidR="00CD6653" w:rsidRPr="00FB241C" w:rsidRDefault="00CD6653" w:rsidP="00FB241C">
      <w:pPr>
        <w:pStyle w:val="ListParagraph"/>
        <w:numPr>
          <w:ilvl w:val="0"/>
          <w:numId w:val="5"/>
        </w:numPr>
        <w:jc w:val="both"/>
      </w:pPr>
      <w:r w:rsidRPr="00FB241C">
        <w:t>Guarantee enough funding and resources for sexual and reproductive health and rights</w:t>
      </w:r>
      <w:r w:rsidR="00076F41" w:rsidRPr="00FB241C">
        <w:t>, including accessible services</w:t>
      </w:r>
      <w:r w:rsidR="00BF22E2" w:rsidRPr="00FB241C">
        <w:t>,</w:t>
      </w:r>
      <w:r w:rsidRPr="00FB241C">
        <w:t xml:space="preserve"> within the budget allocated for </w:t>
      </w:r>
      <w:r w:rsidR="001B7CEB" w:rsidRPr="00FB241C">
        <w:t>healthcare</w:t>
      </w:r>
      <w:r w:rsidR="005B1FC2" w:rsidRPr="00FB241C">
        <w:t xml:space="preserve"> to ensure that SRH is not overlooked. </w:t>
      </w:r>
    </w:p>
    <w:p w14:paraId="52E44101" w14:textId="5B1DE110" w:rsidR="00F0066F" w:rsidRPr="00FB241C" w:rsidRDefault="00F0066F" w:rsidP="00FB241C">
      <w:pPr>
        <w:pStyle w:val="ListParagraph"/>
        <w:numPr>
          <w:ilvl w:val="0"/>
          <w:numId w:val="5"/>
        </w:numPr>
        <w:jc w:val="both"/>
      </w:pPr>
      <w:r w:rsidRPr="00FB241C">
        <w:t>Ensure universal health coverage or insurance for women with disabilities</w:t>
      </w:r>
      <w:r w:rsidR="0099729C" w:rsidRPr="00FB241C">
        <w:t xml:space="preserve"> who experience racism</w:t>
      </w:r>
      <w:r w:rsidRPr="00FB241C">
        <w:t xml:space="preserve">, who are disproportionately impacted by </w:t>
      </w:r>
      <w:r w:rsidR="00C11870" w:rsidRPr="00FB241C">
        <w:t xml:space="preserve">health costs. </w:t>
      </w:r>
    </w:p>
    <w:p w14:paraId="18329CA1" w14:textId="0DCC344F" w:rsidR="00192F08" w:rsidRPr="00FB241C" w:rsidRDefault="00192F08" w:rsidP="00FB241C">
      <w:pPr>
        <w:pStyle w:val="ListParagraph"/>
        <w:numPr>
          <w:ilvl w:val="0"/>
          <w:numId w:val="5"/>
        </w:numPr>
        <w:jc w:val="both"/>
      </w:pPr>
      <w:r w:rsidRPr="00FB241C">
        <w:t xml:space="preserve">Adopt policies and programs that address the indigenous, </w:t>
      </w:r>
      <w:r w:rsidR="00DF75FF" w:rsidRPr="00FB241C">
        <w:t xml:space="preserve">racial, </w:t>
      </w:r>
      <w:r w:rsidRPr="00FB241C">
        <w:t xml:space="preserve">gendered, </w:t>
      </w:r>
      <w:r w:rsidR="002B0F85" w:rsidRPr="00FB241C">
        <w:t xml:space="preserve">and </w:t>
      </w:r>
      <w:r w:rsidRPr="00FB241C">
        <w:t>disability impacts of the pandemic, and develop a legal framework, in line with</w:t>
      </w:r>
      <w:r w:rsidR="00624BD2" w:rsidRPr="00FB241C">
        <w:t xml:space="preserve"> </w:t>
      </w:r>
      <w:r w:rsidR="00FC7BA9" w:rsidRPr="00FB241C">
        <w:t>i</w:t>
      </w:r>
      <w:r w:rsidR="00624BD2" w:rsidRPr="00FB241C">
        <w:t xml:space="preserve">nternational </w:t>
      </w:r>
      <w:r w:rsidR="00FC7BA9" w:rsidRPr="00FB241C">
        <w:t>h</w:t>
      </w:r>
      <w:r w:rsidR="00624BD2" w:rsidRPr="00FB241C">
        <w:t xml:space="preserve">uman </w:t>
      </w:r>
      <w:r w:rsidR="00DF4716" w:rsidRPr="00FB241C">
        <w:t>rights</w:t>
      </w:r>
      <w:r w:rsidR="00624BD2" w:rsidRPr="00FB241C">
        <w:t xml:space="preserve"> </w:t>
      </w:r>
      <w:r w:rsidR="00FC7BA9" w:rsidRPr="00FB241C">
        <w:t>s</w:t>
      </w:r>
      <w:r w:rsidR="00624BD2" w:rsidRPr="00FB241C">
        <w:t xml:space="preserve">tandards, </w:t>
      </w:r>
      <w:r w:rsidRPr="00FB241C">
        <w:t>to provide legal mechanisms to monitor and respond to the inequitable</w:t>
      </w:r>
      <w:r w:rsidR="0099729C" w:rsidRPr="00FB241C">
        <w:t xml:space="preserve"> health impacts of COVID-19 based on</w:t>
      </w:r>
      <w:r w:rsidRPr="00FB241C">
        <w:t xml:space="preserve"> disability, gender, </w:t>
      </w:r>
      <w:r w:rsidR="005E6CF5" w:rsidRPr="00FB241C">
        <w:t>rac</w:t>
      </w:r>
      <w:r w:rsidR="0099729C" w:rsidRPr="00FB241C">
        <w:t>e</w:t>
      </w:r>
      <w:r w:rsidR="005E6CF5" w:rsidRPr="00FB241C">
        <w:t xml:space="preserve">, and </w:t>
      </w:r>
      <w:r w:rsidRPr="00FB241C">
        <w:t>indigenous</w:t>
      </w:r>
      <w:r w:rsidR="005E6CF5" w:rsidRPr="00FB241C">
        <w:t xml:space="preserve"> </w:t>
      </w:r>
      <w:r w:rsidR="0099729C" w:rsidRPr="00FB241C">
        <w:t>identity.</w:t>
      </w:r>
    </w:p>
    <w:p w14:paraId="68AF989D" w14:textId="143209E6" w:rsidR="00192F08" w:rsidRPr="00FB241C" w:rsidRDefault="00192F08" w:rsidP="00FB241C">
      <w:pPr>
        <w:pStyle w:val="ListParagraph"/>
        <w:numPr>
          <w:ilvl w:val="0"/>
          <w:numId w:val="5"/>
        </w:numPr>
        <w:jc w:val="both"/>
      </w:pPr>
      <w:r w:rsidRPr="00FB241C">
        <w:rPr>
          <w:rFonts w:eastAsia="MS Mincho"/>
        </w:rPr>
        <w:t>D</w:t>
      </w:r>
      <w:r w:rsidRPr="00FB241C">
        <w:t xml:space="preserve">isaggregate data by sex, gender, age, </w:t>
      </w:r>
      <w:r w:rsidR="00CE37B0" w:rsidRPr="00FB241C">
        <w:t xml:space="preserve">race, </w:t>
      </w:r>
      <w:r w:rsidRPr="00FB241C">
        <w:t>indigenous identity, language, religion</w:t>
      </w:r>
      <w:r w:rsidR="00CE37B0" w:rsidRPr="00FB241C">
        <w:t>,</w:t>
      </w:r>
      <w:r w:rsidRPr="00FB241C">
        <w:t xml:space="preserve"> and type of disability and increase the research available on </w:t>
      </w:r>
      <w:r w:rsidR="00CE37B0" w:rsidRPr="00FB241C">
        <w:t>Black and I</w:t>
      </w:r>
      <w:r w:rsidRPr="00FB241C">
        <w:t>ndigenous women with disabilities</w:t>
      </w:r>
      <w:r w:rsidR="00C1475F" w:rsidRPr="00FB241C">
        <w:t xml:space="preserve"> from an intersectional perspective, </w:t>
      </w:r>
      <w:r w:rsidRPr="00FB241C">
        <w:t>analyzing data and its impact accordingly.</w:t>
      </w:r>
    </w:p>
    <w:p w14:paraId="337EADDB" w14:textId="77777777" w:rsidR="00192F08" w:rsidRPr="00FB241C" w:rsidRDefault="00192F08" w:rsidP="00FB241C">
      <w:pPr>
        <w:pStyle w:val="ListParagraph"/>
        <w:jc w:val="both"/>
      </w:pPr>
    </w:p>
    <w:p w14:paraId="65A3CE2D" w14:textId="014F7D1E" w:rsidR="00192F08" w:rsidRPr="00FB241C" w:rsidRDefault="00DF4716" w:rsidP="00E206F3">
      <w:pPr>
        <w:rPr>
          <w:rFonts w:eastAsia="MS Mincho"/>
          <w:lang w:val="en-GB"/>
        </w:rPr>
      </w:pPr>
      <w:r w:rsidRPr="00FB241C">
        <w:rPr>
          <w:lang w:val="en-GB"/>
        </w:rPr>
        <w:t xml:space="preserve">Thank you for your consideration of this submission. If you have any questions, please contact Alana Carvalho, </w:t>
      </w:r>
      <w:hyperlink r:id="rId8" w:history="1">
        <w:r w:rsidRPr="00FB241C">
          <w:rPr>
            <w:rStyle w:val="Hyperlink"/>
            <w:lang w:val="en-GB"/>
          </w:rPr>
          <w:t>a.carvalho@womenenabled.org</w:t>
        </w:r>
      </w:hyperlink>
      <w:r w:rsidR="00E206F3">
        <w:rPr>
          <w:lang w:val="en-GB"/>
        </w:rPr>
        <w:t xml:space="preserve"> or</w:t>
      </w:r>
      <w:r w:rsidRPr="00FB241C">
        <w:rPr>
          <w:lang w:val="en-GB"/>
        </w:rPr>
        <w:t xml:space="preserve"> Amanda McRae, </w:t>
      </w:r>
      <w:hyperlink r:id="rId9" w:history="1">
        <w:r w:rsidRPr="00FB241C">
          <w:rPr>
            <w:rStyle w:val="Hyperlink"/>
            <w:lang w:val="en-GB"/>
          </w:rPr>
          <w:t>a.mcrae@womenenabled.org</w:t>
        </w:r>
      </w:hyperlink>
      <w:r w:rsidR="00E206F3">
        <w:rPr>
          <w:lang w:val="en-GB"/>
        </w:rPr>
        <w:t>.</w:t>
      </w:r>
    </w:p>
    <w:p w14:paraId="540158A2" w14:textId="77777777" w:rsidR="00413DFB" w:rsidRPr="00413DFB" w:rsidRDefault="00413DFB" w:rsidP="00413DFB">
      <w:pPr>
        <w:rPr>
          <w:rFonts w:eastAsia="MS Mincho"/>
          <w:lang w:val="en-GB"/>
        </w:rPr>
      </w:pPr>
    </w:p>
    <w:sectPr w:rsidR="00413DFB" w:rsidRPr="00413DFB" w:rsidSect="00FB241C">
      <w:footerReference w:type="default" r:id="rId10"/>
      <w:endnotePr>
        <w:numFmt w:val="decimal"/>
      </w:endnotePr>
      <w:pgSz w:w="11906" w:h="16838"/>
      <w:pgMar w:top="1411" w:right="1440" w:bottom="141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B650" w14:textId="77777777" w:rsidR="00A36EB3" w:rsidRDefault="00A36EB3" w:rsidP="0052731F">
      <w:r>
        <w:separator/>
      </w:r>
    </w:p>
  </w:endnote>
  <w:endnote w:type="continuationSeparator" w:id="0">
    <w:p w14:paraId="7BF904FD" w14:textId="77777777" w:rsidR="00A36EB3" w:rsidRDefault="00A36EB3" w:rsidP="0052731F">
      <w:r>
        <w:continuationSeparator/>
      </w:r>
    </w:p>
  </w:endnote>
  <w:endnote w:id="1">
    <w:p w14:paraId="11D0C0E7" w14:textId="4E06ECD9" w:rsidR="006F5908" w:rsidRPr="003A5518" w:rsidRDefault="006F5908" w:rsidP="006F5908">
      <w:pPr>
        <w:pStyle w:val="EndnoteText"/>
      </w:pPr>
      <w:r w:rsidRPr="003A5518">
        <w:rPr>
          <w:rStyle w:val="EndnoteReference"/>
        </w:rPr>
        <w:endnoteRef/>
      </w:r>
      <w:r w:rsidRPr="003A5518">
        <w:t xml:space="preserve"> This submission generally uses the term “women” to refer to all women</w:t>
      </w:r>
      <w:r w:rsidR="003A5518" w:rsidRPr="003A5518">
        <w:t xml:space="preserve">, </w:t>
      </w:r>
      <w:r w:rsidRPr="003A5518">
        <w:t>girls</w:t>
      </w:r>
      <w:r w:rsidR="001C074A" w:rsidRPr="003A5518">
        <w:t>, and</w:t>
      </w:r>
      <w:r w:rsidR="003A5518" w:rsidRPr="003A5518">
        <w:t xml:space="preserve">, where applicable, </w:t>
      </w:r>
      <w:r w:rsidR="001C074A" w:rsidRPr="003A5518">
        <w:t>gender minorities</w:t>
      </w:r>
      <w:r w:rsidRPr="003A5518">
        <w:t xml:space="preserve"> throughout the lifecycle, unless otherwise noted.</w:t>
      </w:r>
    </w:p>
  </w:endnote>
  <w:endnote w:id="2">
    <w:p w14:paraId="108520AF" w14:textId="080FF02F" w:rsidR="006F5908" w:rsidRPr="003A5518" w:rsidRDefault="006F5908" w:rsidP="006F5908">
      <w:pPr>
        <w:pStyle w:val="EndnoteText"/>
      </w:pPr>
      <w:r w:rsidRPr="003A5518">
        <w:rPr>
          <w:rStyle w:val="EndnoteReference"/>
        </w:rPr>
        <w:endnoteRef/>
      </w:r>
      <w:r w:rsidRPr="003A5518">
        <w:t xml:space="preserve"> World Health Organization, </w:t>
      </w:r>
      <w:r w:rsidRPr="003A5518">
        <w:rPr>
          <w:i/>
          <w:iCs/>
        </w:rPr>
        <w:t xml:space="preserve">Joint United Nations statement on ending discrimination in </w:t>
      </w:r>
      <w:r w:rsidR="001B7CEB" w:rsidRPr="003A5518">
        <w:rPr>
          <w:i/>
          <w:iCs/>
        </w:rPr>
        <w:t>healthcare</w:t>
      </w:r>
      <w:r w:rsidRPr="003A5518">
        <w:rPr>
          <w:i/>
          <w:iCs/>
        </w:rPr>
        <w:t xml:space="preserve"> settings </w:t>
      </w:r>
      <w:r w:rsidRPr="003A5518">
        <w:t xml:space="preserve">(2017), </w:t>
      </w:r>
      <w:hyperlink r:id="rId1" w:history="1">
        <w:r w:rsidRPr="003A5518">
          <w:rPr>
            <w:rStyle w:val="Hyperlink"/>
          </w:rPr>
          <w:t>https://www.who.int/news/item/27-06-2017-joint-united-nations-statement-on-ending-discrimination-in-health-care-settings</w:t>
        </w:r>
      </w:hyperlink>
      <w:r w:rsidR="003A5518" w:rsidRPr="003A5518">
        <w:rPr>
          <w:rStyle w:val="Hyperlink"/>
        </w:rPr>
        <w:t>.</w:t>
      </w:r>
    </w:p>
  </w:endnote>
  <w:endnote w:id="3">
    <w:p w14:paraId="5E4386FB" w14:textId="2A1EE9D3" w:rsidR="006F5908" w:rsidRPr="003A5518" w:rsidRDefault="006F5908" w:rsidP="006F5908">
      <w:pPr>
        <w:pStyle w:val="EndnoteText"/>
        <w:rPr>
          <w:i/>
          <w:iCs/>
        </w:rPr>
      </w:pPr>
      <w:r w:rsidRPr="003A5518">
        <w:rPr>
          <w:rStyle w:val="EndnoteReference"/>
        </w:rPr>
        <w:endnoteRef/>
      </w:r>
      <w:r w:rsidRPr="003A5518">
        <w:t xml:space="preserve"> </w:t>
      </w:r>
      <w:r w:rsidR="003A5518" w:rsidRPr="003A5518">
        <w:rPr>
          <w:i/>
          <w:iCs/>
        </w:rPr>
        <w:t>Id.</w:t>
      </w:r>
    </w:p>
  </w:endnote>
  <w:endnote w:id="4">
    <w:p w14:paraId="5F9E27DE" w14:textId="0D25FB07" w:rsidR="006F5908" w:rsidRPr="003A5518" w:rsidRDefault="006F5908" w:rsidP="006F5908">
      <w:pPr>
        <w:pStyle w:val="EndnoteText"/>
        <w:rPr>
          <w:i/>
          <w:iCs/>
        </w:rPr>
      </w:pPr>
      <w:r w:rsidRPr="003A5518">
        <w:rPr>
          <w:rStyle w:val="EndnoteReference"/>
        </w:rPr>
        <w:endnoteRef/>
      </w:r>
      <w:r w:rsidRPr="003A5518">
        <w:t xml:space="preserve"> U</w:t>
      </w:r>
      <w:r w:rsidR="003A5518" w:rsidRPr="003A5518">
        <w:t>.N.</w:t>
      </w:r>
      <w:r w:rsidRPr="003A5518">
        <w:t xml:space="preserve"> Human Rights Council, </w:t>
      </w:r>
      <w:r w:rsidRPr="003A5518">
        <w:rPr>
          <w:i/>
          <w:iCs/>
        </w:rPr>
        <w:t>Right to health and Indigenous peoples with a focus on</w:t>
      </w:r>
    </w:p>
    <w:p w14:paraId="516C63F0" w14:textId="11269550" w:rsidR="006F5908" w:rsidRPr="003A5518" w:rsidRDefault="006F5908" w:rsidP="006F5908">
      <w:pPr>
        <w:pStyle w:val="EndnoteText"/>
      </w:pPr>
      <w:r w:rsidRPr="003A5518">
        <w:rPr>
          <w:i/>
          <w:iCs/>
        </w:rPr>
        <w:t>children and youth - Study by the Expert Mechanism on the Rights of Indigenous Peoples</w:t>
      </w:r>
      <w:r w:rsidRPr="003A5518">
        <w:t xml:space="preserve"> ¶ 67, U.N. Doc. A/HRC/33/57 (2016)</w:t>
      </w:r>
      <w:r w:rsidR="003A5518" w:rsidRPr="003A5518">
        <w:t xml:space="preserve">. [hereinafter Human Rights Council, </w:t>
      </w:r>
      <w:r w:rsidR="003A5518" w:rsidRPr="003A5518">
        <w:rPr>
          <w:i/>
          <w:iCs/>
        </w:rPr>
        <w:t>Right to health and indigenous peoples</w:t>
      </w:r>
      <w:r w:rsidR="003A5518" w:rsidRPr="003A5518">
        <w:t xml:space="preserve">]. </w:t>
      </w:r>
      <w:r w:rsidRPr="003A5518">
        <w:t xml:space="preserve">In the United States, disability impacts one in four Black people, which is higher than the ratio for Whites, Hispanics, Native Hawaiians / Pacific islanders, and Asians. Only American Indian / Native Alaskans have a higher ratio of disability (three in ten) in their communities. </w:t>
      </w:r>
      <w:r w:rsidRPr="003A5518">
        <w:rPr>
          <w:i/>
          <w:iCs/>
        </w:rPr>
        <w:t>See</w:t>
      </w:r>
      <w:r w:rsidRPr="003A5518">
        <w:t xml:space="preserve"> Courtney-Long, E.A., Romano, S.D., Carroll, D.D. </w:t>
      </w:r>
      <w:r w:rsidRPr="003A5518">
        <w:rPr>
          <w:i/>
          <w:iCs/>
        </w:rPr>
        <w:t>et al</w:t>
      </w:r>
      <w:r w:rsidRPr="003A5518">
        <w:t xml:space="preserve">. </w:t>
      </w:r>
      <w:r w:rsidRPr="003A5518">
        <w:rPr>
          <w:i/>
          <w:iCs/>
        </w:rPr>
        <w:t xml:space="preserve">Socioeconomic Factors at the Intersection of Race and Ethnicity Influencing Health Risks for People with Disabilities. </w:t>
      </w:r>
      <w:r w:rsidRPr="003A5518">
        <w:rPr>
          <w:smallCaps/>
        </w:rPr>
        <w:t>J. Racial and Ethnic Health Disparities</w:t>
      </w:r>
      <w:r w:rsidRPr="003A5518">
        <w:t xml:space="preserve"> 1 (2017), </w:t>
      </w:r>
      <w:hyperlink r:id="rId2" w:history="1">
        <w:r w:rsidRPr="003A5518">
          <w:rPr>
            <w:rStyle w:val="Hyperlink"/>
          </w:rPr>
          <w:t>https://link.springer.com/article/10.1007/s40615-016-0220-5</w:t>
        </w:r>
      </w:hyperlink>
      <w:r w:rsidR="003A5518" w:rsidRPr="003A5518">
        <w:rPr>
          <w:rStyle w:val="Hyperlink"/>
        </w:rPr>
        <w:t>.</w:t>
      </w:r>
    </w:p>
  </w:endnote>
  <w:endnote w:id="5">
    <w:p w14:paraId="5AFE0591" w14:textId="57A27C66" w:rsidR="00083038" w:rsidRPr="003A5518" w:rsidRDefault="00083038" w:rsidP="00B76B50">
      <w:pPr>
        <w:rPr>
          <w:rFonts w:eastAsia="MS Mincho"/>
          <w:sz w:val="20"/>
          <w:szCs w:val="20"/>
        </w:rPr>
      </w:pPr>
      <w:r w:rsidRPr="003A5518">
        <w:rPr>
          <w:rStyle w:val="EndnoteReference"/>
          <w:sz w:val="20"/>
          <w:szCs w:val="20"/>
        </w:rPr>
        <w:endnoteRef/>
      </w:r>
      <w:r w:rsidRPr="003A5518">
        <w:rPr>
          <w:sz w:val="20"/>
          <w:szCs w:val="20"/>
        </w:rPr>
        <w:t xml:space="preserve"> United Nations Inter-Agency Support Group, </w:t>
      </w:r>
      <w:r w:rsidRPr="003A5518">
        <w:rPr>
          <w:i/>
          <w:iCs/>
          <w:sz w:val="20"/>
          <w:szCs w:val="20"/>
        </w:rPr>
        <w:t xml:space="preserve">Thematic Paper on the Rights of </w:t>
      </w:r>
      <w:r w:rsidR="007B2B6F" w:rsidRPr="003A5518">
        <w:rPr>
          <w:i/>
          <w:iCs/>
          <w:sz w:val="20"/>
          <w:szCs w:val="20"/>
        </w:rPr>
        <w:t>Indigenous</w:t>
      </w:r>
      <w:r w:rsidRPr="003A5518">
        <w:rPr>
          <w:i/>
          <w:iCs/>
          <w:sz w:val="20"/>
          <w:szCs w:val="20"/>
        </w:rPr>
        <w:t xml:space="preserve"> Peoples/Persons with Disabilities </w:t>
      </w:r>
      <w:r w:rsidRPr="003A5518">
        <w:rPr>
          <w:sz w:val="20"/>
          <w:szCs w:val="20"/>
        </w:rPr>
        <w:t xml:space="preserve">3 (2014), </w:t>
      </w:r>
      <w:hyperlink r:id="rId3" w:history="1">
        <w:r w:rsidRPr="003A5518">
          <w:rPr>
            <w:rStyle w:val="Hyperlink"/>
            <w:sz w:val="20"/>
            <w:szCs w:val="20"/>
          </w:rPr>
          <w:t>https://www.un.org/en/ga/69/meetings/</w:t>
        </w:r>
        <w:r w:rsidR="007B2B6F" w:rsidRPr="003A5518">
          <w:rPr>
            <w:rStyle w:val="Hyperlink"/>
            <w:sz w:val="20"/>
            <w:szCs w:val="20"/>
          </w:rPr>
          <w:t>Indigenous</w:t>
        </w:r>
        <w:r w:rsidRPr="003A5518">
          <w:rPr>
            <w:rStyle w:val="Hyperlink"/>
            <w:sz w:val="20"/>
            <w:szCs w:val="20"/>
          </w:rPr>
          <w:t>/pdf/IASG%20Thematic%20Paper_Disabilities.pdf</w:t>
        </w:r>
      </w:hyperlink>
      <w:r w:rsidR="00B76B50" w:rsidRPr="003A5518">
        <w:rPr>
          <w:rStyle w:val="Hyperlink"/>
          <w:sz w:val="20"/>
          <w:szCs w:val="20"/>
        </w:rPr>
        <w:t xml:space="preserve">; </w:t>
      </w:r>
      <w:r w:rsidR="00B76B50" w:rsidRPr="003A5518">
        <w:rPr>
          <w:rFonts w:eastAsia="MS Mincho"/>
          <w:sz w:val="20"/>
          <w:szCs w:val="20"/>
        </w:rPr>
        <w:t>According to a study published in 2000, in the United States, Black</w:t>
      </w:r>
      <w:r w:rsidR="00953BA0" w:rsidRPr="003A5518">
        <w:rPr>
          <w:rFonts w:eastAsia="MS Mincho"/>
          <w:sz w:val="20"/>
          <w:szCs w:val="20"/>
        </w:rPr>
        <w:t>,</w:t>
      </w:r>
      <w:r w:rsidR="00B76B50" w:rsidRPr="003A5518">
        <w:rPr>
          <w:rFonts w:eastAsia="MS Mincho"/>
          <w:sz w:val="20"/>
          <w:szCs w:val="20"/>
        </w:rPr>
        <w:t xml:space="preserve"> and Native women tended to report poorer physical health and more disability than white women.</w:t>
      </w:r>
      <w:r w:rsidR="003A5518" w:rsidRPr="003A5518">
        <w:rPr>
          <w:rFonts w:eastAsia="MS Mincho"/>
          <w:sz w:val="20"/>
          <w:szCs w:val="20"/>
        </w:rPr>
        <w:t xml:space="preserve"> </w:t>
      </w:r>
      <w:r w:rsidR="00B76B50" w:rsidRPr="003A5518">
        <w:rPr>
          <w:rFonts w:eastAsia="MS Mincho"/>
          <w:sz w:val="20"/>
          <w:szCs w:val="20"/>
        </w:rPr>
        <w:t xml:space="preserve">More recent data on that topic was not found, </w:t>
      </w:r>
      <w:r w:rsidR="008F3438" w:rsidRPr="003A5518">
        <w:rPr>
          <w:rFonts w:eastAsia="MS Mincho"/>
          <w:sz w:val="20"/>
          <w:szCs w:val="20"/>
        </w:rPr>
        <w:t>highlighting</w:t>
      </w:r>
      <w:r w:rsidR="00B76B50" w:rsidRPr="003A5518">
        <w:rPr>
          <w:rFonts w:eastAsia="MS Mincho"/>
          <w:sz w:val="20"/>
          <w:szCs w:val="20"/>
        </w:rPr>
        <w:t xml:space="preserve"> the need for updated research on the matter.</w:t>
      </w:r>
    </w:p>
  </w:endnote>
  <w:endnote w:id="6">
    <w:p w14:paraId="39166F34" w14:textId="5B4540D6" w:rsidR="00EB0D7F" w:rsidRPr="003A5518" w:rsidRDefault="00EB0D7F">
      <w:pPr>
        <w:pStyle w:val="EndnoteText"/>
      </w:pPr>
      <w:r w:rsidRPr="003A5518">
        <w:rPr>
          <w:rStyle w:val="EndnoteReference"/>
        </w:rPr>
        <w:endnoteRef/>
      </w:r>
      <w:r w:rsidRPr="003A5518">
        <w:t xml:space="preserve"> </w:t>
      </w:r>
      <w:r w:rsidR="007F36D9" w:rsidRPr="003A5518">
        <w:t xml:space="preserve">World Health Organization, </w:t>
      </w:r>
      <w:r w:rsidR="007F36D9" w:rsidRPr="003A5518">
        <w:rPr>
          <w:i/>
          <w:iCs/>
        </w:rPr>
        <w:t>Disability and health</w:t>
      </w:r>
      <w:r w:rsidR="002E62F1" w:rsidRPr="003A5518">
        <w:t xml:space="preserve"> (2021), </w:t>
      </w:r>
      <w:hyperlink r:id="rId4" w:history="1">
        <w:r w:rsidR="003A5518" w:rsidRPr="003A5518">
          <w:rPr>
            <w:rStyle w:val="Hyperlink"/>
          </w:rPr>
          <w:t>https://www.who.int/news-room/fact-sheets/detail/disability-and-health</w:t>
        </w:r>
      </w:hyperlink>
      <w:r w:rsidR="003A5518" w:rsidRPr="003A5518">
        <w:t xml:space="preserve">. </w:t>
      </w:r>
    </w:p>
  </w:endnote>
  <w:endnote w:id="7">
    <w:p w14:paraId="5D96499A" w14:textId="3D635742" w:rsidR="00B95D84" w:rsidRPr="003A5518" w:rsidRDefault="00B95D84" w:rsidP="00B95D84">
      <w:pPr>
        <w:pStyle w:val="EndnoteText"/>
      </w:pPr>
      <w:r w:rsidRPr="003A5518">
        <w:rPr>
          <w:rStyle w:val="EndnoteReference"/>
        </w:rPr>
        <w:endnoteRef/>
      </w:r>
      <w:r w:rsidRPr="003A5518">
        <w:t xml:space="preserve"> Center for American Progress, </w:t>
      </w:r>
      <w:r w:rsidRPr="003A5518">
        <w:rPr>
          <w:i/>
          <w:iCs/>
        </w:rPr>
        <w:t>Improving Health Outcomes for Black Women and Girls With Disabilities</w:t>
      </w:r>
      <w:r w:rsidRPr="003A5518">
        <w:t xml:space="preserve"> (2022), </w:t>
      </w:r>
      <w:hyperlink r:id="rId5" w:history="1">
        <w:r w:rsidRPr="003A5518">
          <w:rPr>
            <w:rStyle w:val="Hyperlink"/>
          </w:rPr>
          <w:t>https://www.americanprogress.org/article/improving-health-outcomes-for-black-women-and-girls-with-disabilities/</w:t>
        </w:r>
      </w:hyperlink>
      <w:r w:rsidR="003A5518" w:rsidRPr="003A5518">
        <w:rPr>
          <w:rStyle w:val="Hyperlink"/>
        </w:rPr>
        <w:t>.</w:t>
      </w:r>
    </w:p>
  </w:endnote>
  <w:endnote w:id="8">
    <w:p w14:paraId="285C5C69" w14:textId="2170F088" w:rsidR="00083038" w:rsidRPr="003A5518" w:rsidRDefault="00083038" w:rsidP="00083038">
      <w:pPr>
        <w:pStyle w:val="EndnoteText"/>
        <w:rPr>
          <w:color w:val="0563C1" w:themeColor="hyperlink"/>
          <w:u w:val="single"/>
        </w:rPr>
      </w:pPr>
      <w:r w:rsidRPr="003A5518">
        <w:rPr>
          <w:rStyle w:val="EndnoteReference"/>
        </w:rPr>
        <w:endnoteRef/>
      </w:r>
      <w:r w:rsidRPr="003A5518">
        <w:t xml:space="preserve"> Austin Lord &amp; Bandita Sijapati </w:t>
      </w:r>
      <w:r w:rsidRPr="003A5518">
        <w:rPr>
          <w:i/>
          <w:iCs/>
        </w:rPr>
        <w:t>et al</w:t>
      </w:r>
      <w:r w:rsidRPr="003A5518">
        <w:t xml:space="preserve">, </w:t>
      </w:r>
      <w:r w:rsidRPr="003A5518">
        <w:rPr>
          <w:i/>
          <w:iCs/>
        </w:rPr>
        <w:t>Disaster, Disability, &amp; Difference - A Study of the Challenges Faced by Persons with Disabilities in Post-Earthquake Nepal,</w:t>
      </w:r>
      <w:r w:rsidRPr="003A5518">
        <w:t xml:space="preserve"> </w:t>
      </w:r>
      <w:r w:rsidRPr="003A5518">
        <w:rPr>
          <w:smallCaps/>
        </w:rPr>
        <w:t>UNPD, Social Science Baha and NFDN Nepal</w:t>
      </w:r>
      <w:r w:rsidRPr="003A5518">
        <w:t xml:space="preserve"> 17, (2016), </w:t>
      </w:r>
      <w:hyperlink r:id="rId6" w:history="1">
        <w:r w:rsidRPr="003A5518">
          <w:rPr>
            <w:rStyle w:val="Hyperlink"/>
          </w:rPr>
          <w:t>https://www.un.org/disabilities/documents/2016/Disaster-Disability-and-Difference_May2016_For-Accessible-PDF.pdf</w:t>
        </w:r>
      </w:hyperlink>
      <w:r w:rsidR="003A5518" w:rsidRPr="003A5518">
        <w:rPr>
          <w:rStyle w:val="Hyperlink"/>
        </w:rPr>
        <w:t>.</w:t>
      </w:r>
    </w:p>
  </w:endnote>
  <w:endnote w:id="9">
    <w:p w14:paraId="1C0BC60C" w14:textId="592EA2BB" w:rsidR="00083038" w:rsidRPr="003A5518" w:rsidRDefault="00083038" w:rsidP="00083038">
      <w:pPr>
        <w:pStyle w:val="EndnoteText"/>
      </w:pPr>
      <w:r w:rsidRPr="003A5518">
        <w:rPr>
          <w:rStyle w:val="EndnoteReference"/>
        </w:rPr>
        <w:endnoteRef/>
      </w:r>
      <w:r w:rsidRPr="003A5518">
        <w:t xml:space="preserve"> Virtual consultation participants</w:t>
      </w:r>
      <w:r w:rsidR="003A5518" w:rsidRPr="003A5518">
        <w:t xml:space="preserve"> on the rights of indigenous women with disabilities in Guatemala</w:t>
      </w:r>
      <w:r w:rsidRPr="003A5518">
        <w:t>, June 14, 2021.</w:t>
      </w:r>
    </w:p>
  </w:endnote>
  <w:endnote w:id="10">
    <w:p w14:paraId="0AB97781" w14:textId="3F274D81" w:rsidR="00083038" w:rsidRPr="003A5518" w:rsidRDefault="00083038" w:rsidP="00083038">
      <w:pPr>
        <w:pStyle w:val="EndnoteText"/>
      </w:pPr>
      <w:r w:rsidRPr="003A5518">
        <w:rPr>
          <w:rStyle w:val="EndnoteReference"/>
        </w:rPr>
        <w:endnoteRef/>
      </w:r>
      <w:r w:rsidRPr="003A5518">
        <w:t xml:space="preserve"> Virtual consultation participant</w:t>
      </w:r>
      <w:r w:rsidR="003A5518" w:rsidRPr="003A5518">
        <w:t xml:space="preserve"> on the rights of indigenous women with disabilities in Guatemala</w:t>
      </w:r>
      <w:r w:rsidRPr="003A5518">
        <w:t>, June 14, 2021.</w:t>
      </w:r>
    </w:p>
  </w:endnote>
  <w:endnote w:id="11">
    <w:p w14:paraId="1A2643FD" w14:textId="7C78BE3E" w:rsidR="00462B26" w:rsidRPr="003A5518" w:rsidRDefault="00462B26">
      <w:pPr>
        <w:pStyle w:val="EndnoteText"/>
      </w:pPr>
      <w:r w:rsidRPr="003A5518">
        <w:rPr>
          <w:rStyle w:val="EndnoteReference"/>
        </w:rPr>
        <w:endnoteRef/>
      </w:r>
      <w:r w:rsidRPr="003A5518">
        <w:t xml:space="preserve"> Virtual consultation </w:t>
      </w:r>
      <w:r w:rsidR="003A5518" w:rsidRPr="003A5518">
        <w:t>participant on the rights of indigenous women with disabilities in Guatemala</w:t>
      </w:r>
      <w:r w:rsidRPr="003A5518">
        <w:t>, June 14, 2021.</w:t>
      </w:r>
    </w:p>
  </w:endnote>
  <w:endnote w:id="12">
    <w:p w14:paraId="4304FD7A" w14:textId="4466C3C5" w:rsidR="00446BA6" w:rsidRPr="003A5518" w:rsidRDefault="00446BA6" w:rsidP="00446BA6">
      <w:pPr>
        <w:pStyle w:val="EndnoteText"/>
      </w:pPr>
      <w:r w:rsidRPr="003A5518">
        <w:rPr>
          <w:rStyle w:val="EndnoteReference"/>
        </w:rPr>
        <w:endnoteRef/>
      </w:r>
      <w:r w:rsidRPr="003A5518">
        <w:t xml:space="preserve"> Minority Rights Groups, African Initiative for Mankind Progress Organisation (AIMPO) and First People’s Disability Organization (FPDO). Unpublished study (2020). </w:t>
      </w:r>
      <w:r w:rsidR="003A5518" w:rsidRPr="003A5518">
        <w:t>The s</w:t>
      </w:r>
      <w:r w:rsidRPr="003A5518">
        <w:t>tudy identified 26 Historically Marginalised children with disabilities in 4 districts who were without birth or disability registration nor access to any health or education services.</w:t>
      </w:r>
    </w:p>
  </w:endnote>
  <w:endnote w:id="13">
    <w:p w14:paraId="3449F1BD" w14:textId="3CBFB434" w:rsidR="00FB631C" w:rsidRPr="003A5518" w:rsidRDefault="00FB631C">
      <w:pPr>
        <w:pStyle w:val="EndnoteText"/>
      </w:pPr>
      <w:r w:rsidRPr="003A5518">
        <w:rPr>
          <w:rStyle w:val="EndnoteReference"/>
        </w:rPr>
        <w:endnoteRef/>
      </w:r>
      <w:r w:rsidRPr="003A5518">
        <w:t xml:space="preserve"> The United Nations, </w:t>
      </w:r>
      <w:r w:rsidRPr="003A5518">
        <w:rPr>
          <w:i/>
          <w:iCs/>
        </w:rPr>
        <w:t xml:space="preserve">Expert Group Meeting on </w:t>
      </w:r>
      <w:r w:rsidR="007B2B6F" w:rsidRPr="003A5518">
        <w:rPr>
          <w:i/>
          <w:iCs/>
        </w:rPr>
        <w:t>Indigenous</w:t>
      </w:r>
      <w:r w:rsidRPr="003A5518">
        <w:rPr>
          <w:i/>
          <w:iCs/>
        </w:rPr>
        <w:t xml:space="preserve"> Persons with Disabilities</w:t>
      </w:r>
      <w:r w:rsidRPr="003A5518">
        <w:t xml:space="preserve"> 11 (2016), </w:t>
      </w:r>
      <w:hyperlink r:id="rId7" w:history="1">
        <w:r w:rsidRPr="003A5518">
          <w:rPr>
            <w:rStyle w:val="Hyperlink"/>
          </w:rPr>
          <w:t>https://www.ohchr.org/EN/Issues/Disability/SRDisabilities/Pages/IPDisabilities.aspx</w:t>
        </w:r>
      </w:hyperlink>
      <w:r w:rsidR="003A5518" w:rsidRPr="003A5518">
        <w:rPr>
          <w:rStyle w:val="Hyperlink"/>
        </w:rPr>
        <w:t>.</w:t>
      </w:r>
    </w:p>
  </w:endnote>
  <w:endnote w:id="14">
    <w:p w14:paraId="7A5ACE23" w14:textId="562723ED" w:rsidR="001E5353" w:rsidRPr="003A5518" w:rsidRDefault="001E5353" w:rsidP="007660DA">
      <w:pPr>
        <w:pStyle w:val="EndnoteText"/>
        <w:rPr>
          <w:i/>
          <w:iCs/>
        </w:rPr>
      </w:pPr>
      <w:r w:rsidRPr="003A5518">
        <w:rPr>
          <w:rStyle w:val="EndnoteReference"/>
        </w:rPr>
        <w:endnoteRef/>
      </w:r>
      <w:r w:rsidRPr="003A5518">
        <w:t xml:space="preserve"> C</w:t>
      </w:r>
      <w:r w:rsidR="003A5518" w:rsidRPr="003A5518">
        <w:t>RPD Committee</w:t>
      </w:r>
      <w:r w:rsidRPr="003A5518">
        <w:t xml:space="preserve">, </w:t>
      </w:r>
      <w:r w:rsidRPr="003A5518">
        <w:rPr>
          <w:i/>
          <w:iCs/>
        </w:rPr>
        <w:t>Concluding Observations</w:t>
      </w:r>
      <w:r w:rsidR="003A5518" w:rsidRPr="003A5518">
        <w:rPr>
          <w:i/>
          <w:iCs/>
        </w:rPr>
        <w:t xml:space="preserve">: </w:t>
      </w:r>
      <w:r w:rsidRPr="003A5518">
        <w:rPr>
          <w:i/>
          <w:iCs/>
        </w:rPr>
        <w:t xml:space="preserve">Canada </w:t>
      </w:r>
      <w:r w:rsidRPr="003A5518">
        <w:t>¶¶ 13</w:t>
      </w:r>
      <w:r w:rsidR="003A5518" w:rsidRPr="003A5518">
        <w:t>-</w:t>
      </w:r>
      <w:r w:rsidRPr="003A5518">
        <w:t>14</w:t>
      </w:r>
      <w:r w:rsidR="003A5518" w:rsidRPr="003A5518">
        <w:t>,</w:t>
      </w:r>
      <w:r w:rsidRPr="003A5518">
        <w:t xml:space="preserve"> U.N. Doc. CRPD/C/CAN/CO/1 (2017).</w:t>
      </w:r>
      <w:r w:rsidR="007660DA" w:rsidRPr="003A5518">
        <w:t xml:space="preserve"> </w:t>
      </w:r>
      <w:r w:rsidR="007660DA" w:rsidRPr="003A5518">
        <w:rPr>
          <w:rFonts w:eastAsia="MS Mincho"/>
        </w:rPr>
        <w:t xml:space="preserve">In many countries, </w:t>
      </w:r>
      <w:r w:rsidR="007660DA" w:rsidRPr="003A5518">
        <w:t xml:space="preserve">suicide rates of Indigenous peoples are higher than among the average population. (Human Rights Council, </w:t>
      </w:r>
      <w:r w:rsidR="007660DA" w:rsidRPr="003A5518">
        <w:rPr>
          <w:i/>
          <w:iCs/>
        </w:rPr>
        <w:t>Right to health and Indigenous peoples</w:t>
      </w:r>
      <w:r w:rsidR="003A5518" w:rsidRPr="003A5518">
        <w:t xml:space="preserve">, </w:t>
      </w:r>
      <w:r w:rsidR="003A5518" w:rsidRPr="003A5518">
        <w:rPr>
          <w:i/>
          <w:iCs/>
        </w:rPr>
        <w:t>supra</w:t>
      </w:r>
      <w:r w:rsidR="003A5518" w:rsidRPr="003A5518">
        <w:t xml:space="preserve"> note 4, </w:t>
      </w:r>
      <w:r w:rsidR="007660DA" w:rsidRPr="003A5518">
        <w:t xml:space="preserve">Annex ¶ </w:t>
      </w:r>
      <w:r w:rsidR="003A5518" w:rsidRPr="003A5518">
        <w:t>3.).</w:t>
      </w:r>
    </w:p>
  </w:endnote>
  <w:endnote w:id="15">
    <w:p w14:paraId="531990D9" w14:textId="6F881851" w:rsidR="007368A8" w:rsidRPr="003A5518" w:rsidRDefault="007368A8" w:rsidP="007368A8">
      <w:pPr>
        <w:pStyle w:val="EndnoteText"/>
        <w:rPr>
          <w:i/>
          <w:iCs/>
        </w:rPr>
      </w:pPr>
      <w:r w:rsidRPr="003A5518">
        <w:rPr>
          <w:rStyle w:val="EndnoteReference"/>
        </w:rPr>
        <w:endnoteRef/>
      </w:r>
      <w:r w:rsidRPr="003A5518">
        <w:t xml:space="preserve"> C</w:t>
      </w:r>
      <w:r w:rsidR="003A5518" w:rsidRPr="003A5518">
        <w:t>RPD Committee</w:t>
      </w:r>
      <w:r w:rsidRPr="003A5518">
        <w:t xml:space="preserve">, </w:t>
      </w:r>
      <w:r w:rsidRPr="003A5518">
        <w:rPr>
          <w:i/>
          <w:iCs/>
        </w:rPr>
        <w:t>Concluding Observations</w:t>
      </w:r>
      <w:r w:rsidR="003A5518" w:rsidRPr="003A5518">
        <w:rPr>
          <w:i/>
          <w:iCs/>
        </w:rPr>
        <w:t xml:space="preserve">: </w:t>
      </w:r>
      <w:r w:rsidRPr="003A5518">
        <w:rPr>
          <w:i/>
          <w:iCs/>
        </w:rPr>
        <w:t xml:space="preserve">Canada </w:t>
      </w:r>
      <w:r w:rsidRPr="003A5518">
        <w:t>¶ 46</w:t>
      </w:r>
      <w:r w:rsidR="003A5518" w:rsidRPr="003A5518">
        <w:t>,</w:t>
      </w:r>
      <w:r w:rsidRPr="003A5518">
        <w:t xml:space="preserve"> U.N. Doc. CRPD/C/CAN/CO/1 (2017).</w:t>
      </w:r>
    </w:p>
  </w:endnote>
  <w:endnote w:id="16">
    <w:p w14:paraId="22D86698" w14:textId="369A311C" w:rsidR="00935AD3" w:rsidRPr="003A5518" w:rsidRDefault="00935AD3" w:rsidP="00935AD3">
      <w:pPr>
        <w:pStyle w:val="EndnoteText"/>
      </w:pPr>
      <w:r w:rsidRPr="003A5518">
        <w:rPr>
          <w:rStyle w:val="EndnoteReference"/>
        </w:rPr>
        <w:endnoteRef/>
      </w:r>
      <w:r w:rsidRPr="003A5518">
        <w:t xml:space="preserve"> Human Rights Council, </w:t>
      </w:r>
      <w:r w:rsidRPr="003A5518">
        <w:rPr>
          <w:i/>
          <w:iCs/>
        </w:rPr>
        <w:t>Report of the Working Group on the issue of discrimination against women in law and in practice on its mission to the United States of America</w:t>
      </w:r>
      <w:r w:rsidR="003A5518" w:rsidRPr="003A5518">
        <w:t>,</w:t>
      </w:r>
      <w:r w:rsidRPr="003A5518">
        <w:t xml:space="preserve"> ¶ 61, U.N. Doc. A/HRC/32/44/Add.2 (2016).</w:t>
      </w:r>
    </w:p>
  </w:endnote>
  <w:endnote w:id="17">
    <w:p w14:paraId="7F5211DF" w14:textId="545ADC3B" w:rsidR="002F600E" w:rsidRPr="003A5518" w:rsidRDefault="002F600E" w:rsidP="002F600E">
      <w:pPr>
        <w:pStyle w:val="EndnoteText"/>
      </w:pPr>
      <w:r w:rsidRPr="003A5518">
        <w:rPr>
          <w:rStyle w:val="EndnoteReference"/>
        </w:rPr>
        <w:endnoteRef/>
      </w:r>
      <w:r w:rsidRPr="003A5518">
        <w:t xml:space="preserve"> Center for American Progress, </w:t>
      </w:r>
      <w:r w:rsidRPr="003A5518">
        <w:rPr>
          <w:i/>
          <w:iCs/>
        </w:rPr>
        <w:t>Improving Health Outcomes for Black Women and Girls With Disabilities</w:t>
      </w:r>
      <w:r w:rsidRPr="003A5518">
        <w:t xml:space="preserve"> (2022), </w:t>
      </w:r>
      <w:hyperlink r:id="rId8" w:history="1">
        <w:r w:rsidRPr="003A5518">
          <w:rPr>
            <w:rStyle w:val="Hyperlink"/>
          </w:rPr>
          <w:t>https://www.americanprogress.org/article/improving-health-outcomes-for-black-women-and-girls-with-disabilities/</w:t>
        </w:r>
      </w:hyperlink>
      <w:r w:rsidR="003A5518" w:rsidRPr="003A5518">
        <w:rPr>
          <w:rStyle w:val="Hyperlink"/>
        </w:rPr>
        <w:t>.</w:t>
      </w:r>
    </w:p>
  </w:endnote>
  <w:endnote w:id="18">
    <w:p w14:paraId="7F92B65F" w14:textId="16A85056" w:rsidR="002F600E" w:rsidRPr="003A5518" w:rsidRDefault="002F600E" w:rsidP="002F600E">
      <w:pPr>
        <w:pStyle w:val="EndnoteText"/>
        <w:rPr>
          <w:i/>
          <w:iCs/>
        </w:rPr>
      </w:pPr>
      <w:r w:rsidRPr="003A5518">
        <w:rPr>
          <w:rStyle w:val="EndnoteReference"/>
        </w:rPr>
        <w:endnoteRef/>
      </w:r>
      <w:r w:rsidRPr="003A5518">
        <w:t xml:space="preserve"> </w:t>
      </w:r>
      <w:r w:rsidR="003A5518" w:rsidRPr="003A5518">
        <w:rPr>
          <w:i/>
          <w:iCs/>
        </w:rPr>
        <w:t>Id.</w:t>
      </w:r>
    </w:p>
  </w:endnote>
  <w:endnote w:id="19">
    <w:p w14:paraId="18CDC07C" w14:textId="50CF0601" w:rsidR="002F600E" w:rsidRPr="003A5518" w:rsidRDefault="002F600E" w:rsidP="002F600E">
      <w:pPr>
        <w:pStyle w:val="EndnoteText"/>
        <w:rPr>
          <w:i/>
          <w:iCs/>
        </w:rPr>
      </w:pPr>
      <w:r w:rsidRPr="003A5518">
        <w:rPr>
          <w:rStyle w:val="EndnoteReference"/>
        </w:rPr>
        <w:endnoteRef/>
      </w:r>
      <w:r w:rsidRPr="003A5518">
        <w:t xml:space="preserve"> </w:t>
      </w:r>
      <w:r w:rsidR="003A5518" w:rsidRPr="003A5518">
        <w:rPr>
          <w:i/>
          <w:iCs/>
        </w:rPr>
        <w:t>Id.</w:t>
      </w:r>
    </w:p>
  </w:endnote>
  <w:endnote w:id="20">
    <w:p w14:paraId="62E4A4DE" w14:textId="6A1B001A" w:rsidR="00935AD3" w:rsidRPr="003A5518" w:rsidRDefault="00935AD3" w:rsidP="00935AD3">
      <w:pPr>
        <w:pStyle w:val="EndnoteText"/>
        <w:rPr>
          <w:i/>
          <w:iCs/>
        </w:rPr>
      </w:pPr>
      <w:r w:rsidRPr="003A5518">
        <w:rPr>
          <w:rStyle w:val="EndnoteReference"/>
        </w:rPr>
        <w:endnoteRef/>
      </w:r>
      <w:r w:rsidRPr="003A5518">
        <w:t xml:space="preserve"> </w:t>
      </w:r>
      <w:r w:rsidR="003A5518" w:rsidRPr="003A5518">
        <w:rPr>
          <w:i/>
          <w:iCs/>
        </w:rPr>
        <w:t>Id.</w:t>
      </w:r>
    </w:p>
  </w:endnote>
  <w:endnote w:id="21">
    <w:p w14:paraId="00DF99B9" w14:textId="4D1D1668" w:rsidR="00431CC8" w:rsidRPr="003A5518" w:rsidRDefault="00431CC8" w:rsidP="000E747B">
      <w:pPr>
        <w:pStyle w:val="EndnoteText"/>
        <w:rPr>
          <w:i/>
          <w:iCs/>
        </w:rPr>
      </w:pPr>
      <w:r w:rsidRPr="003A5518">
        <w:rPr>
          <w:rStyle w:val="EndnoteReference"/>
        </w:rPr>
        <w:endnoteRef/>
      </w:r>
      <w:r w:rsidR="003A5518" w:rsidRPr="003A5518">
        <w:t xml:space="preserve"> CRPD Committee</w:t>
      </w:r>
      <w:r w:rsidRPr="003A5518">
        <w:t xml:space="preserve">, </w:t>
      </w:r>
      <w:r w:rsidRPr="003A5518">
        <w:rPr>
          <w:i/>
          <w:iCs/>
        </w:rPr>
        <w:t>Concluding Observation</w:t>
      </w:r>
      <w:r w:rsidR="003A5518" w:rsidRPr="003A5518">
        <w:rPr>
          <w:i/>
          <w:iCs/>
        </w:rPr>
        <w:t xml:space="preserve">s: </w:t>
      </w:r>
      <w:r w:rsidRPr="003A5518">
        <w:rPr>
          <w:i/>
          <w:iCs/>
        </w:rPr>
        <w:t>Ecuador</w:t>
      </w:r>
      <w:r w:rsidR="003A5518" w:rsidRPr="003A5518">
        <w:t>,</w:t>
      </w:r>
      <w:r w:rsidRPr="003A5518">
        <w:rPr>
          <w:i/>
          <w:iCs/>
        </w:rPr>
        <w:t xml:space="preserve"> </w:t>
      </w:r>
      <w:r w:rsidRPr="003A5518">
        <w:t>¶</w:t>
      </w:r>
      <w:r w:rsidR="000E747B" w:rsidRPr="003A5518">
        <w:t xml:space="preserve">¶ </w:t>
      </w:r>
      <w:r w:rsidR="005D5049" w:rsidRPr="003A5518">
        <w:t>17</w:t>
      </w:r>
      <w:r w:rsidR="003A5518" w:rsidRPr="003A5518">
        <w:t>-</w:t>
      </w:r>
      <w:r w:rsidR="005D5049" w:rsidRPr="003A5518">
        <w:t>18</w:t>
      </w:r>
      <w:r w:rsidR="003A5518" w:rsidRPr="003A5518">
        <w:t>,</w:t>
      </w:r>
      <w:r w:rsidRPr="003A5518">
        <w:t xml:space="preserve"> U.N. Doc.</w:t>
      </w:r>
      <w:r w:rsidR="005D5049" w:rsidRPr="003A5518">
        <w:t xml:space="preserve"> CRPD/C/ECU/CO/2-3</w:t>
      </w:r>
      <w:r w:rsidRPr="003A5518">
        <w:t xml:space="preserve"> (201</w:t>
      </w:r>
      <w:r w:rsidR="005D5049" w:rsidRPr="003A5518">
        <w:t>9</w:t>
      </w:r>
      <w:r w:rsidRPr="003A5518">
        <w:t>).</w:t>
      </w:r>
    </w:p>
  </w:endnote>
  <w:endnote w:id="22">
    <w:p w14:paraId="07E4227D" w14:textId="6FF18392" w:rsidR="003F4B2C" w:rsidRPr="003A5518" w:rsidRDefault="003F4B2C">
      <w:pPr>
        <w:pStyle w:val="EndnoteText"/>
        <w:rPr>
          <w:i/>
          <w:iCs/>
        </w:rPr>
      </w:pPr>
      <w:r w:rsidRPr="003A5518">
        <w:rPr>
          <w:rStyle w:val="EndnoteReference"/>
        </w:rPr>
        <w:endnoteRef/>
      </w:r>
      <w:r w:rsidRPr="003A5518">
        <w:t xml:space="preserve"> </w:t>
      </w:r>
      <w:r w:rsidR="007D0D84" w:rsidRPr="003A5518">
        <w:t>C</w:t>
      </w:r>
      <w:r w:rsidR="003A5518" w:rsidRPr="003A5518">
        <w:t>RPD Committee</w:t>
      </w:r>
      <w:r w:rsidR="007D0D84" w:rsidRPr="003A5518">
        <w:t xml:space="preserve">, </w:t>
      </w:r>
      <w:r w:rsidR="007D0D84" w:rsidRPr="003A5518">
        <w:rPr>
          <w:i/>
          <w:iCs/>
        </w:rPr>
        <w:t>Concluding Observations</w:t>
      </w:r>
      <w:r w:rsidR="003A5518" w:rsidRPr="003A5518">
        <w:rPr>
          <w:i/>
          <w:iCs/>
        </w:rPr>
        <w:t xml:space="preserve">: </w:t>
      </w:r>
      <w:r w:rsidR="001D5D50" w:rsidRPr="003A5518">
        <w:rPr>
          <w:i/>
          <w:iCs/>
        </w:rPr>
        <w:t>Colombia</w:t>
      </w:r>
      <w:r w:rsidR="003A5518" w:rsidRPr="003A5518">
        <w:t>,</w:t>
      </w:r>
      <w:r w:rsidR="001D5D50" w:rsidRPr="003A5518">
        <w:rPr>
          <w:i/>
          <w:iCs/>
        </w:rPr>
        <w:t xml:space="preserve"> </w:t>
      </w:r>
      <w:r w:rsidR="007D0D84" w:rsidRPr="003A5518">
        <w:t xml:space="preserve">¶¶ </w:t>
      </w:r>
      <w:r w:rsidR="001D5D50" w:rsidRPr="003A5518">
        <w:t>56</w:t>
      </w:r>
      <w:r w:rsidR="003A5518" w:rsidRPr="003A5518">
        <w:t>-</w:t>
      </w:r>
      <w:r w:rsidR="001D5D50" w:rsidRPr="003A5518">
        <w:t>5</w:t>
      </w:r>
      <w:r w:rsidR="007D0D84" w:rsidRPr="003A5518">
        <w:t>7</w:t>
      </w:r>
      <w:r w:rsidR="003A5518" w:rsidRPr="003A5518">
        <w:t>,</w:t>
      </w:r>
      <w:r w:rsidR="007D0D84" w:rsidRPr="003A5518">
        <w:t xml:space="preserve"> U.N. Doc. </w:t>
      </w:r>
      <w:r w:rsidR="00774669" w:rsidRPr="003A5518">
        <w:t xml:space="preserve">CRPD/C/COL/CO/1 </w:t>
      </w:r>
      <w:r w:rsidR="007D0D84" w:rsidRPr="003A5518">
        <w:t>(201</w:t>
      </w:r>
      <w:r w:rsidR="00774669" w:rsidRPr="003A5518">
        <w:t>6</w:t>
      </w:r>
      <w:r w:rsidR="007D0D84" w:rsidRPr="003A5518">
        <w:t>).</w:t>
      </w:r>
    </w:p>
  </w:endnote>
  <w:endnote w:id="23">
    <w:p w14:paraId="5447A7AC" w14:textId="1E2FBEA7" w:rsidR="00BC3BC4" w:rsidRPr="003A5518" w:rsidRDefault="00BC3BC4">
      <w:pPr>
        <w:pStyle w:val="EndnoteText"/>
      </w:pPr>
      <w:r w:rsidRPr="003A5518">
        <w:rPr>
          <w:rStyle w:val="EndnoteReference"/>
        </w:rPr>
        <w:endnoteRef/>
      </w:r>
      <w:r w:rsidR="003A5518" w:rsidRPr="003A5518">
        <w:t xml:space="preserve"> CRPD Committee</w:t>
      </w:r>
      <w:r w:rsidR="00333A9F" w:rsidRPr="003A5518">
        <w:t xml:space="preserve">, </w:t>
      </w:r>
      <w:r w:rsidR="00333A9F" w:rsidRPr="003A5518">
        <w:rPr>
          <w:i/>
          <w:iCs/>
        </w:rPr>
        <w:t>General Comment No. 2 on</w:t>
      </w:r>
      <w:r w:rsidR="00333A9F" w:rsidRPr="003A5518">
        <w:t xml:space="preserve"> </w:t>
      </w:r>
      <w:r w:rsidR="00333A9F" w:rsidRPr="003A5518">
        <w:rPr>
          <w:i/>
          <w:iCs/>
        </w:rPr>
        <w:t>accessibility</w:t>
      </w:r>
      <w:r w:rsidR="003A5518" w:rsidRPr="003A5518">
        <w:t>,</w:t>
      </w:r>
      <w:r w:rsidR="00333A9F" w:rsidRPr="003A5518">
        <w:rPr>
          <w:i/>
          <w:iCs/>
        </w:rPr>
        <w:t xml:space="preserve"> </w:t>
      </w:r>
      <w:r w:rsidR="00333A9F" w:rsidRPr="003A5518">
        <w:t>¶ 40, U.N. Doc.</w:t>
      </w:r>
      <w:r w:rsidR="00140982" w:rsidRPr="003A5518">
        <w:t xml:space="preserve"> CRPD/C/GC/2</w:t>
      </w:r>
      <w:r w:rsidR="00333A9F" w:rsidRPr="003A5518">
        <w:t xml:space="preserve"> (201</w:t>
      </w:r>
      <w:r w:rsidR="00140982" w:rsidRPr="003A5518">
        <w:t>4</w:t>
      </w:r>
      <w:r w:rsidR="00333A9F" w:rsidRPr="003A5518">
        <w:t>).</w:t>
      </w:r>
    </w:p>
  </w:endnote>
  <w:endnote w:id="24">
    <w:p w14:paraId="6A8838AE" w14:textId="211FEC04" w:rsidR="00757951" w:rsidRPr="003A5518" w:rsidRDefault="00757951" w:rsidP="00757951">
      <w:pPr>
        <w:pStyle w:val="EndnoteText"/>
      </w:pPr>
      <w:r w:rsidRPr="003A5518">
        <w:rPr>
          <w:rStyle w:val="EndnoteReference"/>
        </w:rPr>
        <w:endnoteRef/>
      </w:r>
      <w:r w:rsidRPr="003A5518">
        <w:t xml:space="preserve"> Human Rights Council, </w:t>
      </w:r>
      <w:r w:rsidRPr="003A5518">
        <w:rPr>
          <w:i/>
          <w:iCs/>
        </w:rPr>
        <w:t xml:space="preserve">Right to health and </w:t>
      </w:r>
      <w:r w:rsidR="007B2B6F" w:rsidRPr="003A5518">
        <w:rPr>
          <w:i/>
          <w:iCs/>
        </w:rPr>
        <w:t>Indigenous</w:t>
      </w:r>
      <w:r w:rsidRPr="003A5518">
        <w:rPr>
          <w:i/>
          <w:iCs/>
        </w:rPr>
        <w:t xml:space="preserve"> peoples</w:t>
      </w:r>
      <w:r w:rsidR="003A5518" w:rsidRPr="003A5518">
        <w:t xml:space="preserve">, </w:t>
      </w:r>
      <w:r w:rsidR="003A5518" w:rsidRPr="003A5518">
        <w:rPr>
          <w:i/>
          <w:iCs/>
        </w:rPr>
        <w:t>supra</w:t>
      </w:r>
      <w:r w:rsidR="003A5518" w:rsidRPr="003A5518">
        <w:t xml:space="preserve"> note 4, </w:t>
      </w:r>
      <w:r w:rsidRPr="003A5518">
        <w:t>¶ 69</w:t>
      </w:r>
      <w:r w:rsidR="003A5518" w:rsidRPr="003A5518">
        <w:t>.</w:t>
      </w:r>
    </w:p>
  </w:endnote>
  <w:endnote w:id="25">
    <w:p w14:paraId="06F35457" w14:textId="77777777" w:rsidR="00757951" w:rsidRPr="003A5518" w:rsidRDefault="00757951" w:rsidP="00757951">
      <w:pPr>
        <w:pStyle w:val="EndnoteText"/>
      </w:pPr>
      <w:r w:rsidRPr="003A5518">
        <w:rPr>
          <w:rStyle w:val="EndnoteReference"/>
        </w:rPr>
        <w:endnoteRef/>
      </w:r>
      <w:r w:rsidRPr="003A5518">
        <w:t xml:space="preserve"> Unpublished study conducted by Institute of Peace Studies, Prince of Songkhla University (IPS) and Southern Association of Disabilities on behalf of Minority Rights Group International, July 2021.</w:t>
      </w:r>
    </w:p>
  </w:endnote>
  <w:endnote w:id="26">
    <w:p w14:paraId="2A9FB09E" w14:textId="5AB4398A" w:rsidR="00041FD5" w:rsidRPr="003A5518" w:rsidRDefault="00041FD5" w:rsidP="003A5518">
      <w:pPr>
        <w:pStyle w:val="EndnoteText"/>
      </w:pPr>
      <w:r w:rsidRPr="003A5518">
        <w:rPr>
          <w:rStyle w:val="EndnoteReference"/>
        </w:rPr>
        <w:endnoteRef/>
      </w:r>
      <w:r w:rsidRPr="003A5518">
        <w:t xml:space="preserve"> </w:t>
      </w:r>
      <w:r w:rsidR="003A5518" w:rsidRPr="003A5518">
        <w:t xml:space="preserve">Human Rights Council, </w:t>
      </w:r>
      <w:r w:rsidR="003A5518" w:rsidRPr="003A5518">
        <w:rPr>
          <w:i/>
          <w:iCs/>
        </w:rPr>
        <w:t>Right to health and Indigenous peoples</w:t>
      </w:r>
      <w:r w:rsidR="003A5518" w:rsidRPr="003A5518">
        <w:t xml:space="preserve">, </w:t>
      </w:r>
      <w:r w:rsidR="003A5518" w:rsidRPr="003A5518">
        <w:rPr>
          <w:i/>
          <w:iCs/>
        </w:rPr>
        <w:t>supra</w:t>
      </w:r>
      <w:r w:rsidR="003A5518" w:rsidRPr="003A5518">
        <w:t xml:space="preserve"> note 4, ¶ 69.</w:t>
      </w:r>
    </w:p>
  </w:endnote>
  <w:endnote w:id="27">
    <w:p w14:paraId="4AE2A6B9" w14:textId="7467B24D" w:rsidR="0078534A" w:rsidRPr="003A5518" w:rsidRDefault="0078534A" w:rsidP="0078534A">
      <w:pPr>
        <w:pStyle w:val="EndnoteText"/>
        <w:rPr>
          <w:i/>
          <w:iCs/>
        </w:rPr>
      </w:pPr>
      <w:r w:rsidRPr="003A5518">
        <w:rPr>
          <w:rStyle w:val="EndnoteReference"/>
        </w:rPr>
        <w:endnoteRef/>
      </w:r>
      <w:r w:rsidRPr="003A5518">
        <w:t xml:space="preserve"> </w:t>
      </w:r>
      <w:r w:rsidR="003A5518" w:rsidRPr="003A5518">
        <w:rPr>
          <w:i/>
          <w:iCs/>
        </w:rPr>
        <w:t>Id.</w:t>
      </w:r>
    </w:p>
  </w:endnote>
  <w:endnote w:id="28">
    <w:p w14:paraId="4F601A36" w14:textId="4C083331" w:rsidR="00E20111" w:rsidRPr="003A5518" w:rsidRDefault="00E20111" w:rsidP="00E20111">
      <w:pPr>
        <w:pStyle w:val="EndnoteText"/>
        <w:rPr>
          <w:i/>
          <w:iCs/>
        </w:rPr>
      </w:pPr>
      <w:r w:rsidRPr="003A5518">
        <w:rPr>
          <w:rStyle w:val="EndnoteReference"/>
        </w:rPr>
        <w:endnoteRef/>
      </w:r>
      <w:r w:rsidRPr="003A5518">
        <w:t xml:space="preserve"> </w:t>
      </w:r>
      <w:r w:rsidR="003A5518" w:rsidRPr="003A5518">
        <w:rPr>
          <w:i/>
          <w:iCs/>
        </w:rPr>
        <w:t>Id.</w:t>
      </w:r>
    </w:p>
  </w:endnote>
  <w:endnote w:id="29">
    <w:p w14:paraId="4A2FB731" w14:textId="7F2F4CDD" w:rsidR="002141AE" w:rsidRPr="003A5518" w:rsidRDefault="00951E14" w:rsidP="00951E14">
      <w:pPr>
        <w:pStyle w:val="EndnoteText"/>
      </w:pPr>
      <w:r w:rsidRPr="003A5518">
        <w:rPr>
          <w:rStyle w:val="EndnoteReference"/>
        </w:rPr>
        <w:endnoteRef/>
      </w:r>
      <w:r w:rsidRPr="003A5518">
        <w:t xml:space="preserve"> Center for American Progress, </w:t>
      </w:r>
      <w:r w:rsidRPr="003A5518">
        <w:rPr>
          <w:i/>
          <w:iCs/>
        </w:rPr>
        <w:t>Improving Health Outcomes for Black Women and Girls With Disabilities</w:t>
      </w:r>
      <w:r w:rsidRPr="003A5518">
        <w:t xml:space="preserve"> (2022), </w:t>
      </w:r>
      <w:hyperlink r:id="rId9" w:history="1">
        <w:r w:rsidR="002141AE" w:rsidRPr="003A5518">
          <w:rPr>
            <w:rStyle w:val="Hyperlink"/>
          </w:rPr>
          <w:t>https://www.americanprogress.org/article/improving-health-outcomes-for-black-women-and-girls-with-disabilities/</w:t>
        </w:r>
      </w:hyperlink>
    </w:p>
  </w:endnote>
  <w:endnote w:id="30">
    <w:p w14:paraId="31EC6089" w14:textId="374FDE74" w:rsidR="00C3380C" w:rsidRPr="003A5518" w:rsidRDefault="00C3380C" w:rsidP="00C3380C">
      <w:pPr>
        <w:pStyle w:val="EndnoteText"/>
      </w:pPr>
      <w:r w:rsidRPr="003A5518">
        <w:rPr>
          <w:rStyle w:val="EndnoteReference"/>
        </w:rPr>
        <w:endnoteRef/>
      </w:r>
      <w:r w:rsidRPr="003A5518">
        <w:t xml:space="preserve"> </w:t>
      </w:r>
      <w:r w:rsidR="003A5518" w:rsidRPr="003A5518">
        <w:rPr>
          <w:i/>
          <w:iCs/>
        </w:rPr>
        <w:t xml:space="preserve">Id. </w:t>
      </w:r>
      <w:r w:rsidRPr="003A5518">
        <w:t>The report draws from interviews and three roundtable conversations that the Center for American Progress hosted with Black disabled women and girls in 2021.</w:t>
      </w:r>
      <w:r w:rsidR="003A5518" w:rsidRPr="003A5518">
        <w:t xml:space="preserve"> </w:t>
      </w:r>
    </w:p>
  </w:endnote>
  <w:endnote w:id="31">
    <w:p w14:paraId="2C4CA1F6" w14:textId="019C4849" w:rsidR="00FE7AA8" w:rsidRPr="003A5518" w:rsidRDefault="00FE7AA8" w:rsidP="00FE7AA8">
      <w:pPr>
        <w:pStyle w:val="EndnoteText"/>
      </w:pPr>
      <w:r w:rsidRPr="003A5518">
        <w:rPr>
          <w:rStyle w:val="EndnoteReference"/>
        </w:rPr>
        <w:endnoteRef/>
      </w:r>
      <w:r w:rsidRPr="003A5518">
        <w:t xml:space="preserve"> </w:t>
      </w:r>
      <w:r w:rsidR="003A5518" w:rsidRPr="003A5518">
        <w:rPr>
          <w:i/>
          <w:iCs/>
        </w:rPr>
        <w:t xml:space="preserve">Id. </w:t>
      </w:r>
    </w:p>
  </w:endnote>
  <w:endnote w:id="32">
    <w:p w14:paraId="63B07EF7" w14:textId="2D823CF6" w:rsidR="00FE7AA8" w:rsidRPr="003A5518" w:rsidRDefault="00FE7AA8" w:rsidP="00FE7AA8">
      <w:pPr>
        <w:pStyle w:val="EndnoteText"/>
        <w:rPr>
          <w:i/>
          <w:iCs/>
        </w:rPr>
      </w:pPr>
      <w:r w:rsidRPr="003A5518">
        <w:rPr>
          <w:rStyle w:val="EndnoteReference"/>
        </w:rPr>
        <w:endnoteRef/>
      </w:r>
      <w:r w:rsidRPr="003A5518">
        <w:t xml:space="preserve"> </w:t>
      </w:r>
      <w:r w:rsidR="003A5518" w:rsidRPr="003A5518">
        <w:rPr>
          <w:i/>
          <w:iCs/>
        </w:rPr>
        <w:t xml:space="preserve">Id. </w:t>
      </w:r>
    </w:p>
  </w:endnote>
  <w:endnote w:id="33">
    <w:p w14:paraId="22390DC4" w14:textId="16CB8339" w:rsidR="00F15A24" w:rsidRPr="003A5518" w:rsidRDefault="00427868" w:rsidP="00427868">
      <w:pPr>
        <w:pStyle w:val="EndnoteText"/>
        <w:rPr>
          <w:i/>
          <w:iCs/>
        </w:rPr>
      </w:pPr>
      <w:r w:rsidRPr="003A5518">
        <w:rPr>
          <w:rStyle w:val="EndnoteReference"/>
        </w:rPr>
        <w:endnoteRef/>
      </w:r>
      <w:r w:rsidR="003A5518" w:rsidRPr="003A5518">
        <w:t xml:space="preserve"> </w:t>
      </w:r>
      <w:r w:rsidR="003A5518" w:rsidRPr="003A5518">
        <w:rPr>
          <w:i/>
          <w:iCs/>
        </w:rPr>
        <w:t>Id.</w:t>
      </w:r>
    </w:p>
  </w:endnote>
  <w:endnote w:id="34">
    <w:p w14:paraId="519AF31B" w14:textId="4890F1C0" w:rsidR="00BB0097" w:rsidRPr="003A5518" w:rsidRDefault="00BB0097" w:rsidP="00BB0097">
      <w:pPr>
        <w:pStyle w:val="EndnoteText"/>
      </w:pPr>
      <w:r w:rsidRPr="003A5518">
        <w:rPr>
          <w:rStyle w:val="EndnoteReference"/>
        </w:rPr>
        <w:endnoteRef/>
      </w:r>
      <w:r w:rsidRPr="003A5518">
        <w:t xml:space="preserve"> Human Rights Council, </w:t>
      </w:r>
      <w:r w:rsidRPr="003A5518">
        <w:rPr>
          <w:i/>
          <w:iCs/>
        </w:rPr>
        <w:t>Right to health and Indigenous peoples</w:t>
      </w:r>
      <w:r w:rsidR="003A5518" w:rsidRPr="003A5518">
        <w:t xml:space="preserve">, </w:t>
      </w:r>
      <w:r w:rsidR="003A5518" w:rsidRPr="003A5518">
        <w:rPr>
          <w:i/>
          <w:iCs/>
        </w:rPr>
        <w:t>supra</w:t>
      </w:r>
      <w:r w:rsidR="003A5518" w:rsidRPr="003A5518">
        <w:t xml:space="preserve"> note 4, </w:t>
      </w:r>
      <w:r w:rsidRPr="003A5518">
        <w:t>Annex ¶ 2</w:t>
      </w:r>
      <w:r w:rsidR="003A5518" w:rsidRPr="003A5518">
        <w:t>.</w:t>
      </w:r>
    </w:p>
  </w:endnote>
  <w:endnote w:id="35">
    <w:p w14:paraId="76DC18C6" w14:textId="40F72409" w:rsidR="00BB0097" w:rsidRPr="003A5518" w:rsidRDefault="00BB0097" w:rsidP="00BB0097">
      <w:pPr>
        <w:pStyle w:val="EndnoteText"/>
      </w:pPr>
      <w:r w:rsidRPr="003A5518">
        <w:rPr>
          <w:rStyle w:val="EndnoteReference"/>
        </w:rPr>
        <w:endnoteRef/>
      </w:r>
      <w:r w:rsidRPr="003A5518">
        <w:t xml:space="preserve"> The United Nations, </w:t>
      </w:r>
      <w:r w:rsidRPr="003A5518">
        <w:rPr>
          <w:i/>
          <w:iCs/>
        </w:rPr>
        <w:t>Expert Group Meeting on Indigenous Persons with Disabilities</w:t>
      </w:r>
      <w:r w:rsidR="003A5518" w:rsidRPr="003A5518">
        <w:t xml:space="preserve"> </w:t>
      </w:r>
      <w:r w:rsidRPr="003A5518">
        <w:t xml:space="preserve">10 (2016), </w:t>
      </w:r>
      <w:hyperlink r:id="rId10" w:history="1">
        <w:r w:rsidRPr="003A5518">
          <w:rPr>
            <w:rStyle w:val="Hyperlink"/>
          </w:rPr>
          <w:t>https://www.ohchr.org/EN/Issues/Disability/SRDisabilities/Pages/IPDisabilities.aspx</w:t>
        </w:r>
      </w:hyperlink>
    </w:p>
  </w:endnote>
  <w:endnote w:id="36">
    <w:p w14:paraId="418F58F2" w14:textId="572B0DB8" w:rsidR="000702F5" w:rsidRPr="003A5518" w:rsidRDefault="000702F5" w:rsidP="000702F5">
      <w:pPr>
        <w:pStyle w:val="EndnoteText"/>
        <w:rPr>
          <w:i/>
          <w:iCs/>
        </w:rPr>
      </w:pPr>
      <w:r w:rsidRPr="003A5518">
        <w:rPr>
          <w:rStyle w:val="EndnoteReference"/>
        </w:rPr>
        <w:endnoteRef/>
      </w:r>
      <w:r w:rsidRPr="003A5518">
        <w:t xml:space="preserve"> </w:t>
      </w:r>
      <w:r w:rsidR="003A5518" w:rsidRPr="003A5518">
        <w:rPr>
          <w:i/>
          <w:iCs/>
        </w:rPr>
        <w:t>Id.</w:t>
      </w:r>
    </w:p>
  </w:endnote>
  <w:endnote w:id="37">
    <w:p w14:paraId="641EEAB6" w14:textId="03FB354D" w:rsidR="00A558E1" w:rsidRPr="003A5518" w:rsidRDefault="005D588D" w:rsidP="005D588D">
      <w:pPr>
        <w:pStyle w:val="EndnoteText"/>
      </w:pPr>
      <w:r w:rsidRPr="003A5518">
        <w:rPr>
          <w:rStyle w:val="EndnoteReference"/>
        </w:rPr>
        <w:endnoteRef/>
      </w:r>
      <w:r w:rsidRPr="003A5518">
        <w:t xml:space="preserve"> Virtual consultation participant</w:t>
      </w:r>
      <w:r w:rsidR="003A5518" w:rsidRPr="003A5518">
        <w:t xml:space="preserve"> on the rights of indigenous women with disabilities in Guatemala</w:t>
      </w:r>
      <w:r w:rsidRPr="003A5518">
        <w:t>, June 14, 2021.</w:t>
      </w:r>
    </w:p>
  </w:endnote>
  <w:endnote w:id="38">
    <w:p w14:paraId="156AE1A9" w14:textId="1D44145B" w:rsidR="0093664D" w:rsidRPr="003A5518" w:rsidRDefault="0093664D" w:rsidP="0093664D">
      <w:pPr>
        <w:pStyle w:val="EndnoteText"/>
      </w:pPr>
      <w:r w:rsidRPr="003A5518">
        <w:rPr>
          <w:rStyle w:val="EndnoteReference"/>
        </w:rPr>
        <w:endnoteRef/>
      </w:r>
      <w:r w:rsidRPr="003A5518">
        <w:t xml:space="preserve"> Human Rights Council, </w:t>
      </w:r>
      <w:r w:rsidRPr="003A5518">
        <w:rPr>
          <w:i/>
          <w:iCs/>
        </w:rPr>
        <w:t xml:space="preserve">Right to health and </w:t>
      </w:r>
      <w:r w:rsidR="007B2B6F" w:rsidRPr="003A5518">
        <w:rPr>
          <w:i/>
          <w:iCs/>
        </w:rPr>
        <w:t>Indigenous</w:t>
      </w:r>
      <w:r w:rsidRPr="003A5518">
        <w:rPr>
          <w:i/>
          <w:iCs/>
        </w:rPr>
        <w:t xml:space="preserve"> peoples</w:t>
      </w:r>
      <w:r w:rsidR="003A5518" w:rsidRPr="003A5518">
        <w:t xml:space="preserve">, </w:t>
      </w:r>
      <w:r w:rsidR="003A5518" w:rsidRPr="003A5518">
        <w:rPr>
          <w:i/>
          <w:iCs/>
        </w:rPr>
        <w:t>supra</w:t>
      </w:r>
      <w:r w:rsidR="003A5518" w:rsidRPr="003A5518">
        <w:t xml:space="preserve"> note 4, </w:t>
      </w:r>
      <w:r w:rsidR="003D192F" w:rsidRPr="003A5518">
        <w:t xml:space="preserve">Annex </w:t>
      </w:r>
      <w:r w:rsidRPr="003A5518">
        <w:t xml:space="preserve">¶ </w:t>
      </w:r>
      <w:r w:rsidR="003D192F" w:rsidRPr="003A5518">
        <w:t>2</w:t>
      </w:r>
      <w:r w:rsidR="003A5518" w:rsidRPr="003A5518">
        <w:t>.</w:t>
      </w:r>
    </w:p>
  </w:endnote>
  <w:endnote w:id="39">
    <w:p w14:paraId="47F2B1FA" w14:textId="024AC946" w:rsidR="0082140B" w:rsidRPr="003A5518" w:rsidRDefault="009B7A94">
      <w:pPr>
        <w:pStyle w:val="EndnoteText"/>
      </w:pPr>
      <w:r w:rsidRPr="003A5518">
        <w:rPr>
          <w:rStyle w:val="EndnoteReference"/>
        </w:rPr>
        <w:endnoteRef/>
      </w:r>
      <w:r w:rsidRPr="003A5518">
        <w:t xml:space="preserve"> </w:t>
      </w:r>
      <w:r w:rsidR="006B000F" w:rsidRPr="003A5518">
        <w:t>W</w:t>
      </w:r>
      <w:r w:rsidR="00DB4F9E" w:rsidRPr="003A5518">
        <w:t xml:space="preserve">orld </w:t>
      </w:r>
      <w:r w:rsidR="006B000F" w:rsidRPr="003A5518">
        <w:t>H</w:t>
      </w:r>
      <w:r w:rsidR="00DB4F9E" w:rsidRPr="003A5518">
        <w:t xml:space="preserve">ealth </w:t>
      </w:r>
      <w:r w:rsidR="006B000F" w:rsidRPr="003A5518">
        <w:t>O</w:t>
      </w:r>
      <w:r w:rsidR="00DB4F9E" w:rsidRPr="003A5518">
        <w:t>rganization</w:t>
      </w:r>
      <w:r w:rsidR="006B000F" w:rsidRPr="003A5518">
        <w:t xml:space="preserve"> and United Nations Population Fund (UNFPA), </w:t>
      </w:r>
      <w:r w:rsidR="006B000F" w:rsidRPr="003A5518">
        <w:rPr>
          <w:i/>
          <w:iCs/>
        </w:rPr>
        <w:t xml:space="preserve">Promoting Sexual and Reproductive Health for Persons with Disabilities: WHO/UNFPA Guidance Note </w:t>
      </w:r>
      <w:r w:rsidR="006B000F" w:rsidRPr="003A5518">
        <w:t>3 (2009)</w:t>
      </w:r>
      <w:r w:rsidR="0082140B" w:rsidRPr="003A5518">
        <w:t xml:space="preserve">, </w:t>
      </w:r>
      <w:hyperlink r:id="rId11" w:history="1">
        <w:r w:rsidR="0082140B" w:rsidRPr="003A5518">
          <w:rPr>
            <w:rStyle w:val="Hyperlink"/>
          </w:rPr>
          <w:t>https://apps.who.int/iris/handle/10665/44207</w:t>
        </w:r>
      </w:hyperlink>
    </w:p>
  </w:endnote>
  <w:endnote w:id="40">
    <w:p w14:paraId="042F0E8E" w14:textId="13A74CA2" w:rsidR="00083038" w:rsidRPr="003A5518" w:rsidRDefault="00083038" w:rsidP="00083038">
      <w:pPr>
        <w:pStyle w:val="EndnoteText"/>
      </w:pPr>
      <w:r w:rsidRPr="003A5518">
        <w:rPr>
          <w:rStyle w:val="EndnoteReference"/>
        </w:rPr>
        <w:endnoteRef/>
      </w:r>
      <w:r w:rsidRPr="003A5518">
        <w:t xml:space="preserve"> </w:t>
      </w:r>
      <w:r w:rsidRPr="003A5518">
        <w:rPr>
          <w:i/>
          <w:iCs/>
        </w:rPr>
        <w:t>See</w:t>
      </w:r>
      <w:r w:rsidRPr="003A5518">
        <w:t xml:space="preserve">, </w:t>
      </w:r>
      <w:r w:rsidRPr="003A5518">
        <w:rPr>
          <w:i/>
          <w:iCs/>
        </w:rPr>
        <w:t>e.g</w:t>
      </w:r>
      <w:r w:rsidRPr="003A5518">
        <w:t xml:space="preserve">., </w:t>
      </w:r>
      <w:r w:rsidR="007B2B6F" w:rsidRPr="003A5518">
        <w:t>Indigenous</w:t>
      </w:r>
      <w:r w:rsidRPr="003A5518">
        <w:t xml:space="preserve"> women with disabilities in Guatemala: “As we are </w:t>
      </w:r>
      <w:r w:rsidR="007B2B6F" w:rsidRPr="003A5518">
        <w:t>Indigenous</w:t>
      </w:r>
      <w:r w:rsidRPr="003A5518">
        <w:t xml:space="preserve">, there is less information in our family, our parents and ancestors have brought this information, and there is less information available to our parents because of that [belonging to the </w:t>
      </w:r>
      <w:r w:rsidR="007B2B6F" w:rsidRPr="003A5518">
        <w:t>Indigenous</w:t>
      </w:r>
      <w:r w:rsidRPr="003A5518">
        <w:t xml:space="preserve"> community].” And “That’s how they raised our parents, and they want to raise us the same way. We must do what they think is best.” (Virtual consultation participants</w:t>
      </w:r>
      <w:r w:rsidR="003A5518" w:rsidRPr="003A5518">
        <w:t xml:space="preserve"> on the rights of indigenous women with disabilities in Guatemala</w:t>
      </w:r>
      <w:r w:rsidRPr="003A5518">
        <w:t>, June 14, 2021).</w:t>
      </w:r>
    </w:p>
  </w:endnote>
  <w:endnote w:id="41">
    <w:p w14:paraId="1C4E05AD" w14:textId="19FA8590" w:rsidR="00083038" w:rsidRPr="003A5518" w:rsidRDefault="00083038" w:rsidP="00083038">
      <w:pPr>
        <w:pStyle w:val="EndnoteText"/>
      </w:pPr>
      <w:r w:rsidRPr="003A5518">
        <w:rPr>
          <w:rStyle w:val="EndnoteReference"/>
        </w:rPr>
        <w:endnoteRef/>
      </w:r>
      <w:r w:rsidRPr="003A5518">
        <w:t xml:space="preserve"> </w:t>
      </w:r>
      <w:r w:rsidR="003A5518" w:rsidRPr="003A5518">
        <w:t>Virtual consultation participant on the rights of indigenous women with disabilities in Guatemala, June 14, 2021.</w:t>
      </w:r>
    </w:p>
  </w:endnote>
  <w:endnote w:id="42">
    <w:p w14:paraId="3070A3FF" w14:textId="1EE49977" w:rsidR="00A442A6" w:rsidRPr="003A5518" w:rsidRDefault="00A442A6" w:rsidP="00A442A6">
      <w:pPr>
        <w:pStyle w:val="EndnoteText"/>
      </w:pPr>
      <w:r w:rsidRPr="003A5518">
        <w:rPr>
          <w:rStyle w:val="EndnoteReference"/>
        </w:rPr>
        <w:endnoteRef/>
      </w:r>
      <w:r w:rsidRPr="003A5518">
        <w:t xml:space="preserve"> </w:t>
      </w:r>
      <w:r w:rsidR="003A5518" w:rsidRPr="003A5518">
        <w:t>Virtual consultation participant on the rights of indigenous women with disabilities in Guatemala, June 14, 2021.</w:t>
      </w:r>
    </w:p>
  </w:endnote>
  <w:endnote w:id="43">
    <w:p w14:paraId="557CB068" w14:textId="42E032B0" w:rsidR="007F1DF1" w:rsidRPr="003A5518" w:rsidRDefault="007F1DF1" w:rsidP="007F1DF1">
      <w:pPr>
        <w:pStyle w:val="EndnoteText"/>
      </w:pPr>
      <w:r w:rsidRPr="003A5518">
        <w:rPr>
          <w:rStyle w:val="EndnoteReference"/>
        </w:rPr>
        <w:endnoteRef/>
      </w:r>
      <w:r w:rsidRPr="003A5518">
        <w:t xml:space="preserve"> UN Women, </w:t>
      </w:r>
      <w:r w:rsidRPr="003A5518">
        <w:rPr>
          <w:i/>
          <w:iCs/>
        </w:rPr>
        <w:t>Fact Sheet – Indigenous Women with Disabilities</w:t>
      </w:r>
      <w:r w:rsidRPr="003A5518">
        <w:t xml:space="preserve"> 7 (2020), </w:t>
      </w:r>
      <w:hyperlink r:id="rId12" w:history="1">
        <w:r w:rsidRPr="003A5518">
          <w:rPr>
            <w:rStyle w:val="Hyperlink"/>
          </w:rPr>
          <w:t>https://www.unwomen.org/en/digital-library/publications/2020/04/fact-sheet-on-indigenous-women-with-disabilities</w:t>
        </w:r>
      </w:hyperlink>
      <w:r w:rsidR="003A5518" w:rsidRPr="003A5518">
        <w:rPr>
          <w:rStyle w:val="Hyperlink"/>
        </w:rPr>
        <w:t>.</w:t>
      </w:r>
    </w:p>
  </w:endnote>
  <w:endnote w:id="44">
    <w:p w14:paraId="3CDC705E" w14:textId="2E055637" w:rsidR="007F1DF1" w:rsidRPr="003A5518" w:rsidRDefault="007F1DF1" w:rsidP="007F1DF1">
      <w:pPr>
        <w:pStyle w:val="EndnoteText"/>
      </w:pPr>
      <w:r w:rsidRPr="003A5518">
        <w:rPr>
          <w:rStyle w:val="EndnoteReference"/>
        </w:rPr>
        <w:endnoteRef/>
      </w:r>
      <w:r w:rsidRPr="003A5518">
        <w:t xml:space="preserve"> Frank Batten School of Leadership and Public Policy, </w:t>
      </w:r>
      <w:r w:rsidRPr="003A5518">
        <w:rPr>
          <w:i/>
          <w:iCs/>
        </w:rPr>
        <w:t>Black Americans are Systematically Under-Treated for Pain. Why?</w:t>
      </w:r>
      <w:r w:rsidRPr="003A5518">
        <w:t xml:space="preserve"> (2020), </w:t>
      </w:r>
      <w:hyperlink r:id="rId13" w:history="1">
        <w:r w:rsidRPr="003A5518">
          <w:rPr>
            <w:rStyle w:val="Hyperlink"/>
          </w:rPr>
          <w:t>https://batten.virginia.edu/about/news/black-americans-are-systematically-under-treated-pain-why</w:t>
        </w:r>
      </w:hyperlink>
      <w:r w:rsidR="003A5518" w:rsidRPr="003A5518">
        <w:rPr>
          <w:rStyle w:val="Hyperlink"/>
        </w:rPr>
        <w:t>.</w:t>
      </w:r>
    </w:p>
  </w:endnote>
  <w:endnote w:id="45">
    <w:p w14:paraId="3907BC52" w14:textId="1DC95260" w:rsidR="004E4AA0" w:rsidRPr="003A5518" w:rsidRDefault="004E4AA0">
      <w:pPr>
        <w:pStyle w:val="EndnoteText"/>
      </w:pPr>
      <w:r w:rsidRPr="003A5518">
        <w:rPr>
          <w:rStyle w:val="EndnoteReference"/>
        </w:rPr>
        <w:endnoteRef/>
      </w:r>
      <w:r w:rsidRPr="003A5518">
        <w:t xml:space="preserve"> Center for American Progress, </w:t>
      </w:r>
      <w:r w:rsidRPr="003A5518">
        <w:rPr>
          <w:i/>
          <w:iCs/>
        </w:rPr>
        <w:t>Improving Health Outcomes for Black Women and Girls With Disabilities</w:t>
      </w:r>
      <w:r w:rsidRPr="003A5518">
        <w:t xml:space="preserve"> (2022), </w:t>
      </w:r>
      <w:hyperlink r:id="rId14" w:history="1">
        <w:r w:rsidRPr="003A5518">
          <w:rPr>
            <w:rStyle w:val="Hyperlink"/>
          </w:rPr>
          <w:t>https://www.americanprogress.org/article/improving-health-outcomes-for-black-women-and-girls-with-disabilities/</w:t>
        </w:r>
      </w:hyperlink>
    </w:p>
  </w:endnote>
  <w:endnote w:id="46">
    <w:p w14:paraId="13DEC17E" w14:textId="15942A2C" w:rsidR="004E4AA0" w:rsidRPr="003A5518" w:rsidRDefault="004E4AA0">
      <w:pPr>
        <w:pStyle w:val="EndnoteText"/>
        <w:rPr>
          <w:i/>
          <w:iCs/>
        </w:rPr>
      </w:pPr>
      <w:r w:rsidRPr="003A5518">
        <w:rPr>
          <w:rStyle w:val="EndnoteReference"/>
        </w:rPr>
        <w:endnoteRef/>
      </w:r>
      <w:r w:rsidRPr="003A5518">
        <w:t xml:space="preserve"> </w:t>
      </w:r>
      <w:r w:rsidR="003A5518" w:rsidRPr="003A5518">
        <w:rPr>
          <w:i/>
          <w:iCs/>
        </w:rPr>
        <w:t>Id.</w:t>
      </w:r>
    </w:p>
  </w:endnote>
  <w:endnote w:id="47">
    <w:p w14:paraId="0E840A3C" w14:textId="5269FFD8" w:rsidR="00383183" w:rsidRPr="003A5518" w:rsidRDefault="00383183" w:rsidP="00383183">
      <w:pPr>
        <w:pStyle w:val="EndnoteText"/>
      </w:pPr>
      <w:r w:rsidRPr="003A5518">
        <w:rPr>
          <w:rStyle w:val="EndnoteReference"/>
        </w:rPr>
        <w:endnoteRef/>
      </w:r>
      <w:r w:rsidRPr="003A5518">
        <w:t xml:space="preserve"> </w:t>
      </w:r>
      <w:r w:rsidRPr="003A5518">
        <w:rPr>
          <w:lang w:val="en-GB"/>
        </w:rPr>
        <w:t xml:space="preserve">Unpublished research from Minority Rights Group’s ‘Enhancing quality and universal access to </w:t>
      </w:r>
      <w:r w:rsidR="007B2B6F" w:rsidRPr="003A5518">
        <w:rPr>
          <w:lang w:val="en-GB"/>
        </w:rPr>
        <w:t>Indigenous</w:t>
      </w:r>
      <w:r w:rsidRPr="003A5518">
        <w:rPr>
          <w:lang w:val="en-GB"/>
        </w:rPr>
        <w:t xml:space="preserve"> peoples’ reproductive </w:t>
      </w:r>
      <w:r w:rsidR="001B7CEB" w:rsidRPr="003A5518">
        <w:rPr>
          <w:lang w:val="en-GB"/>
        </w:rPr>
        <w:t>healthcare</w:t>
      </w:r>
      <w:r w:rsidRPr="003A5518">
        <w:rPr>
          <w:lang w:val="en-GB"/>
        </w:rPr>
        <w:t xml:space="preserve"> (EQUIP) project 2020-2023. Survey conducted with 173 respondents who were Kachin, </w:t>
      </w:r>
      <w:proofErr w:type="gramStart"/>
      <w:r w:rsidRPr="003A5518">
        <w:rPr>
          <w:lang w:val="en-GB"/>
        </w:rPr>
        <w:t>Burman</w:t>
      </w:r>
      <w:proofErr w:type="gramEnd"/>
      <w:r w:rsidRPr="003A5518">
        <w:rPr>
          <w:lang w:val="en-GB"/>
        </w:rPr>
        <w:t xml:space="preserve"> or other </w:t>
      </w:r>
      <w:r w:rsidR="007B2B6F" w:rsidRPr="003A5518">
        <w:rPr>
          <w:lang w:val="en-GB"/>
        </w:rPr>
        <w:t>Indigenous</w:t>
      </w:r>
      <w:r w:rsidRPr="003A5518">
        <w:rPr>
          <w:lang w:val="en-GB"/>
        </w:rPr>
        <w:t xml:space="preserve"> women.</w:t>
      </w:r>
    </w:p>
  </w:endnote>
  <w:endnote w:id="48">
    <w:p w14:paraId="10A1D319" w14:textId="70229AB8" w:rsidR="00754442" w:rsidRPr="003A5518" w:rsidRDefault="00754442" w:rsidP="00754442">
      <w:pPr>
        <w:pStyle w:val="EndnoteText"/>
      </w:pPr>
      <w:r w:rsidRPr="003A5518">
        <w:rPr>
          <w:rStyle w:val="EndnoteReference"/>
        </w:rPr>
        <w:endnoteRef/>
      </w:r>
      <w:r w:rsidRPr="003A5518">
        <w:t xml:space="preserve"> </w:t>
      </w:r>
      <w:r w:rsidR="005A0656" w:rsidRPr="003A5518">
        <w:t xml:space="preserve">National Indigenous Disabled Women Association Nepal, </w:t>
      </w:r>
      <w:r w:rsidR="005A0656" w:rsidRPr="003A5518">
        <w:rPr>
          <w:i/>
          <w:iCs/>
        </w:rPr>
        <w:t>Indigenous Women and Girls with Disabilities in Nepal: A brief Overview</w:t>
      </w:r>
      <w:r w:rsidR="005A0656" w:rsidRPr="003A5518">
        <w:t xml:space="preserve"> 11 (2021) </w:t>
      </w:r>
      <w:hyperlink r:id="rId15" w:history="1">
        <w:r w:rsidR="005A0656" w:rsidRPr="003A5518">
          <w:rPr>
            <w:rStyle w:val="Hyperlink"/>
          </w:rPr>
          <w:t>https://nidwan.org.np/development-research/indigenous-women-and-girls-in-nepal-a-brief-overview/?doing_wp_cron=1654086004.2101979255676269531250</w:t>
        </w:r>
      </w:hyperlink>
      <w:r w:rsidR="003A5518" w:rsidRPr="003A5518">
        <w:rPr>
          <w:rStyle w:val="Hyperlink"/>
        </w:rPr>
        <w:t>.</w:t>
      </w:r>
    </w:p>
  </w:endnote>
  <w:endnote w:id="49">
    <w:p w14:paraId="6FABEADA" w14:textId="7DDD95D7" w:rsidR="00754442" w:rsidRPr="003A5518" w:rsidRDefault="00754442" w:rsidP="00754442">
      <w:pPr>
        <w:pStyle w:val="EndnoteText"/>
        <w:rPr>
          <w:i/>
          <w:iCs/>
        </w:rPr>
      </w:pPr>
      <w:r w:rsidRPr="003A5518">
        <w:rPr>
          <w:rStyle w:val="EndnoteReference"/>
        </w:rPr>
        <w:endnoteRef/>
      </w:r>
      <w:r w:rsidRPr="003A5518">
        <w:t xml:space="preserve"> </w:t>
      </w:r>
      <w:r w:rsidR="003A5518" w:rsidRPr="003A5518">
        <w:rPr>
          <w:i/>
          <w:iCs/>
        </w:rPr>
        <w:t>Id.</w:t>
      </w:r>
    </w:p>
  </w:endnote>
  <w:endnote w:id="50">
    <w:p w14:paraId="13A47D54" w14:textId="57ECC022" w:rsidR="00274093" w:rsidRPr="003A5518" w:rsidRDefault="00274093" w:rsidP="00274093">
      <w:pPr>
        <w:pStyle w:val="EndnoteText"/>
        <w:rPr>
          <w:i/>
          <w:iCs/>
        </w:rPr>
      </w:pPr>
      <w:r w:rsidRPr="003A5518">
        <w:rPr>
          <w:rStyle w:val="EndnoteReference"/>
        </w:rPr>
        <w:endnoteRef/>
      </w:r>
      <w:r w:rsidRPr="003A5518">
        <w:t xml:space="preserve"> </w:t>
      </w:r>
      <w:r w:rsidR="003A5518" w:rsidRPr="003A5518">
        <w:rPr>
          <w:i/>
          <w:iCs/>
        </w:rPr>
        <w:t>Id.</w:t>
      </w:r>
    </w:p>
  </w:endnote>
  <w:endnote w:id="51">
    <w:p w14:paraId="1A1B1464" w14:textId="7FA168D5" w:rsidR="00B82DDA" w:rsidRPr="00C1086E" w:rsidRDefault="00B82DDA">
      <w:pPr>
        <w:pStyle w:val="EndnoteText"/>
      </w:pPr>
      <w:r>
        <w:rPr>
          <w:rStyle w:val="EndnoteReference"/>
        </w:rPr>
        <w:endnoteRef/>
      </w:r>
      <w:r>
        <w:t xml:space="preserve"> Minority Rights Group</w:t>
      </w:r>
      <w:r w:rsidR="00C1086E">
        <w:t xml:space="preserve">, Southern Association of Disabilities, et al, </w:t>
      </w:r>
      <w:r w:rsidR="00C1086E" w:rsidRPr="00C1086E">
        <w:rPr>
          <w:i/>
          <w:iCs/>
        </w:rPr>
        <w:t>Minority and Disability Rights in Thailand’s Deep South</w:t>
      </w:r>
      <w:r w:rsidR="00C1086E">
        <w:t xml:space="preserve"> 7</w:t>
      </w:r>
      <w:r w:rsidR="00C1086E" w:rsidRPr="00C1086E">
        <w:rPr>
          <w:i/>
          <w:iCs/>
        </w:rPr>
        <w:t xml:space="preserve"> </w:t>
      </w:r>
      <w:r w:rsidR="00C1086E">
        <w:t xml:space="preserve">(forthcoming 2022). </w:t>
      </w:r>
    </w:p>
  </w:endnote>
  <w:endnote w:id="52">
    <w:p w14:paraId="568224DA" w14:textId="0A084C80" w:rsidR="004068B5" w:rsidRPr="003A5518" w:rsidRDefault="004068B5" w:rsidP="004068B5">
      <w:pPr>
        <w:pStyle w:val="EndnoteText"/>
      </w:pPr>
      <w:r w:rsidRPr="003A5518">
        <w:rPr>
          <w:rStyle w:val="EndnoteReference"/>
        </w:rPr>
        <w:endnoteRef/>
      </w:r>
      <w:r w:rsidRPr="003A5518">
        <w:t xml:space="preserve"> U</w:t>
      </w:r>
      <w:r w:rsidR="003A5518" w:rsidRPr="003A5518">
        <w:t xml:space="preserve">.N. </w:t>
      </w:r>
      <w:r w:rsidRPr="003A5518">
        <w:t xml:space="preserve">Economic and Social Council, </w:t>
      </w:r>
      <w:r w:rsidRPr="003A5518">
        <w:rPr>
          <w:i/>
          <w:iCs/>
        </w:rPr>
        <w:t xml:space="preserve">Study </w:t>
      </w:r>
      <w:proofErr w:type="gramStart"/>
      <w:r w:rsidRPr="003A5518">
        <w:rPr>
          <w:i/>
          <w:iCs/>
        </w:rPr>
        <w:t>on the situation of</w:t>
      </w:r>
      <w:proofErr w:type="gramEnd"/>
      <w:r w:rsidRPr="003A5518">
        <w:rPr>
          <w:i/>
          <w:iCs/>
        </w:rPr>
        <w:t xml:space="preserve"> </w:t>
      </w:r>
      <w:r w:rsidR="007B2B6F" w:rsidRPr="003A5518">
        <w:rPr>
          <w:i/>
          <w:iCs/>
        </w:rPr>
        <w:t>Indigenous</w:t>
      </w:r>
      <w:r w:rsidRPr="003A5518">
        <w:rPr>
          <w:i/>
          <w:iCs/>
        </w:rPr>
        <w:t xml:space="preserve"> persons with disabilities, with a particular focus on challenges faced with regard to the full enjoyment of human rights and inclusion in development</w:t>
      </w:r>
      <w:r w:rsidR="003A5518" w:rsidRPr="003A5518">
        <w:t xml:space="preserve">, </w:t>
      </w:r>
      <w:r w:rsidRPr="003A5518">
        <w:t>¶ 51</w:t>
      </w:r>
      <w:r w:rsidR="003A5518" w:rsidRPr="003A5518">
        <w:t>,</w:t>
      </w:r>
      <w:r w:rsidRPr="003A5518">
        <w:t xml:space="preserve"> U.N. Doc. E/C.19/2013/6 (2013).</w:t>
      </w:r>
    </w:p>
  </w:endnote>
  <w:endnote w:id="53">
    <w:p w14:paraId="59CCB475" w14:textId="5C2CEE8C" w:rsidR="004068B5" w:rsidRPr="003A5518" w:rsidRDefault="004068B5" w:rsidP="004068B5">
      <w:pPr>
        <w:pStyle w:val="EndnoteText"/>
      </w:pPr>
      <w:r w:rsidRPr="003A5518">
        <w:rPr>
          <w:rStyle w:val="EndnoteReference"/>
        </w:rPr>
        <w:endnoteRef/>
      </w:r>
      <w:r w:rsidR="003A5518" w:rsidRPr="003A5518">
        <w:t xml:space="preserve"> CRPD Committee</w:t>
      </w:r>
      <w:r w:rsidRPr="003A5518">
        <w:t xml:space="preserve">, </w:t>
      </w:r>
      <w:r w:rsidRPr="003A5518">
        <w:rPr>
          <w:i/>
          <w:iCs/>
        </w:rPr>
        <w:t>General Comment No. 3: Article 6 (Women and Girls with Disabilities)</w:t>
      </w:r>
      <w:r w:rsidRPr="003A5518">
        <w:t xml:space="preserve">, </w:t>
      </w:r>
      <w:bookmarkStart w:id="5" w:name="_Hlk74239526"/>
      <w:r w:rsidRPr="003A5518">
        <w:t>¶ 54, U.N. Doc. CRPD/C/GC/3 (2016).</w:t>
      </w:r>
      <w:bookmarkEnd w:id="5"/>
    </w:p>
  </w:endnote>
  <w:endnote w:id="54">
    <w:p w14:paraId="4F52ACDF" w14:textId="7AC8EB69" w:rsidR="001F0E35" w:rsidRPr="003A5518" w:rsidRDefault="000802E4">
      <w:pPr>
        <w:pStyle w:val="EndnoteText"/>
      </w:pPr>
      <w:r w:rsidRPr="003A5518">
        <w:rPr>
          <w:rStyle w:val="EndnoteReference"/>
        </w:rPr>
        <w:endnoteRef/>
      </w:r>
      <w:r w:rsidRPr="003A5518">
        <w:t xml:space="preserve"> </w:t>
      </w:r>
      <w:r w:rsidR="006A18E2" w:rsidRPr="003A5518">
        <w:t>U</w:t>
      </w:r>
      <w:r w:rsidR="003A5518" w:rsidRPr="003A5518">
        <w:t>.N.</w:t>
      </w:r>
      <w:r w:rsidR="006A18E2" w:rsidRPr="003A5518">
        <w:t xml:space="preserve"> Inter-Agency Support Group, </w:t>
      </w:r>
      <w:r w:rsidR="006A18E2" w:rsidRPr="003A5518">
        <w:rPr>
          <w:i/>
          <w:iCs/>
        </w:rPr>
        <w:t xml:space="preserve">Thematic Paper on the Rights of </w:t>
      </w:r>
      <w:r w:rsidR="007B2B6F" w:rsidRPr="003A5518">
        <w:rPr>
          <w:i/>
          <w:iCs/>
        </w:rPr>
        <w:t>Indigenous</w:t>
      </w:r>
      <w:r w:rsidR="006A18E2" w:rsidRPr="003A5518">
        <w:rPr>
          <w:i/>
          <w:iCs/>
        </w:rPr>
        <w:t xml:space="preserve"> Peoples/Persons with Disabilities </w:t>
      </w:r>
      <w:r w:rsidR="006A18E2" w:rsidRPr="003A5518">
        <w:t xml:space="preserve">3 (2014), </w:t>
      </w:r>
      <w:hyperlink r:id="rId16" w:history="1">
        <w:r w:rsidR="001F0E35" w:rsidRPr="003A5518">
          <w:rPr>
            <w:rStyle w:val="Hyperlink"/>
          </w:rPr>
          <w:t>https://www.un.org/en/ga/69/meetings/</w:t>
        </w:r>
        <w:r w:rsidR="007B2B6F" w:rsidRPr="003A5518">
          <w:rPr>
            <w:rStyle w:val="Hyperlink"/>
          </w:rPr>
          <w:t>Indigenous</w:t>
        </w:r>
        <w:r w:rsidR="001F0E35" w:rsidRPr="003A5518">
          <w:rPr>
            <w:rStyle w:val="Hyperlink"/>
          </w:rPr>
          <w:t>/pdf/IASG%20Thematic%20Paper_Reproductive%20Health%20-%20rev1.pdf</w:t>
        </w:r>
      </w:hyperlink>
      <w:r w:rsidR="003A5518" w:rsidRPr="003A5518">
        <w:rPr>
          <w:rStyle w:val="Hyperlink"/>
        </w:rPr>
        <w:t>.</w:t>
      </w:r>
    </w:p>
  </w:endnote>
  <w:endnote w:id="55">
    <w:p w14:paraId="0423C018" w14:textId="3884C372" w:rsidR="001F0E35" w:rsidRPr="003A5518" w:rsidRDefault="000802E4">
      <w:pPr>
        <w:pStyle w:val="EndnoteText"/>
      </w:pPr>
      <w:r w:rsidRPr="003A5518">
        <w:rPr>
          <w:rStyle w:val="EndnoteReference"/>
        </w:rPr>
        <w:endnoteRef/>
      </w:r>
      <w:r w:rsidRPr="003A5518">
        <w:t xml:space="preserve"> </w:t>
      </w:r>
      <w:r w:rsidR="003A5518" w:rsidRPr="003A5518">
        <w:rPr>
          <w:i/>
          <w:iCs/>
        </w:rPr>
        <w:t>Id.</w:t>
      </w:r>
      <w:r w:rsidR="003A5518" w:rsidRPr="003A5518">
        <w:t xml:space="preserve"> </w:t>
      </w:r>
    </w:p>
  </w:endnote>
  <w:endnote w:id="56">
    <w:p w14:paraId="47E465EE" w14:textId="5AA0B23A" w:rsidR="000B6F70" w:rsidRPr="003A5518" w:rsidRDefault="000B6F70" w:rsidP="000B6F70">
      <w:pPr>
        <w:pStyle w:val="EndnoteText"/>
      </w:pPr>
      <w:r w:rsidRPr="003A5518">
        <w:rPr>
          <w:rStyle w:val="EndnoteReference"/>
        </w:rPr>
        <w:endnoteRef/>
      </w:r>
      <w:r w:rsidRPr="003A5518">
        <w:t xml:space="preserve"> Human Rights Council, </w:t>
      </w:r>
      <w:r w:rsidRPr="003A5518">
        <w:rPr>
          <w:i/>
          <w:iCs/>
        </w:rPr>
        <w:t xml:space="preserve">Right to health and </w:t>
      </w:r>
      <w:r w:rsidR="007B2B6F" w:rsidRPr="003A5518">
        <w:rPr>
          <w:i/>
          <w:iCs/>
        </w:rPr>
        <w:t>Indigenous</w:t>
      </w:r>
      <w:r w:rsidRPr="003A5518">
        <w:rPr>
          <w:i/>
          <w:iCs/>
        </w:rPr>
        <w:t xml:space="preserve"> peoples</w:t>
      </w:r>
      <w:r w:rsidR="003A5518" w:rsidRPr="003A5518">
        <w:t xml:space="preserve">, </w:t>
      </w:r>
      <w:r w:rsidR="003A5518" w:rsidRPr="003A5518">
        <w:rPr>
          <w:i/>
          <w:iCs/>
        </w:rPr>
        <w:t>supra</w:t>
      </w:r>
      <w:r w:rsidR="003A5518" w:rsidRPr="003A5518">
        <w:t xml:space="preserve"> note 4, </w:t>
      </w:r>
      <w:r w:rsidRPr="003A5518">
        <w:t>Annex ¶ 3</w:t>
      </w:r>
      <w:r w:rsidR="003A5518" w:rsidRPr="003A5518">
        <w:t>.</w:t>
      </w:r>
    </w:p>
  </w:endnote>
  <w:endnote w:id="57">
    <w:p w14:paraId="0CB30A6F" w14:textId="6A800785" w:rsidR="00B146E1" w:rsidRPr="003A5518" w:rsidRDefault="00B146E1">
      <w:pPr>
        <w:pStyle w:val="EndnoteText"/>
      </w:pPr>
      <w:r w:rsidRPr="003A5518">
        <w:rPr>
          <w:rStyle w:val="EndnoteReference"/>
        </w:rPr>
        <w:endnoteRef/>
      </w:r>
      <w:r w:rsidRPr="003A5518">
        <w:t xml:space="preserve"> </w:t>
      </w:r>
      <w:r w:rsidR="003A5518" w:rsidRPr="003A5518">
        <w:t xml:space="preserve">Rasheeta </w:t>
      </w:r>
      <w:r w:rsidR="000C1757" w:rsidRPr="003A5518">
        <w:t xml:space="preserve">Chandler, </w:t>
      </w:r>
      <w:r w:rsidR="000C1757" w:rsidRPr="003A5518">
        <w:rPr>
          <w:i/>
          <w:iCs/>
        </w:rPr>
        <w:t>et al</w:t>
      </w:r>
      <w:r w:rsidR="000C1757" w:rsidRPr="003A5518">
        <w:t>.</w:t>
      </w:r>
      <w:r w:rsidR="003A5518" w:rsidRPr="003A5518">
        <w:t xml:space="preserve">, </w:t>
      </w:r>
      <w:r w:rsidR="000C1757" w:rsidRPr="003A5518">
        <w:rPr>
          <w:i/>
          <w:iCs/>
        </w:rPr>
        <w:t>The impact of COVID-19 among Black women: evaluating perspectives and sources of information</w:t>
      </w:r>
      <w:r w:rsidR="00A27894" w:rsidRPr="003A5518">
        <w:t xml:space="preserve"> 2 (20</w:t>
      </w:r>
      <w:r w:rsidR="00B63222" w:rsidRPr="003A5518">
        <w:t xml:space="preserve">20), </w:t>
      </w:r>
      <w:hyperlink r:id="rId17" w:history="1">
        <w:r w:rsidR="00B63222" w:rsidRPr="003A5518">
          <w:rPr>
            <w:rStyle w:val="Hyperlink"/>
          </w:rPr>
          <w:t>https://www.tandfonline.com/doi/full/10.1080/13557858.2020.1841120</w:t>
        </w:r>
      </w:hyperlink>
      <w:r w:rsidR="003A5518" w:rsidRPr="003A5518">
        <w:rPr>
          <w:rStyle w:val="Hyperlink"/>
        </w:rPr>
        <w:t>.</w:t>
      </w:r>
    </w:p>
  </w:endnote>
  <w:endnote w:id="58">
    <w:p w14:paraId="0B2572A1" w14:textId="4F5493AF" w:rsidR="002141AE" w:rsidRPr="003A5518" w:rsidRDefault="00806422" w:rsidP="00806422">
      <w:pPr>
        <w:pStyle w:val="EndnoteText"/>
      </w:pPr>
      <w:r w:rsidRPr="003A5518">
        <w:rPr>
          <w:rStyle w:val="EndnoteReference"/>
        </w:rPr>
        <w:endnoteRef/>
      </w:r>
      <w:r w:rsidRPr="003A5518">
        <w:t xml:space="preserve"> U</w:t>
      </w:r>
      <w:r w:rsidR="003A5518" w:rsidRPr="003A5518">
        <w:t>.N.</w:t>
      </w:r>
      <w:r w:rsidRPr="003A5518">
        <w:t xml:space="preserve"> Department of Economic and Social Affairs (UNDESA), </w:t>
      </w:r>
      <w:r w:rsidRPr="003A5518">
        <w:rPr>
          <w:i/>
          <w:iCs/>
        </w:rPr>
        <w:t xml:space="preserve">The Impact of COVID-19 on </w:t>
      </w:r>
      <w:r w:rsidR="007B2B6F" w:rsidRPr="003A5518">
        <w:rPr>
          <w:i/>
          <w:iCs/>
        </w:rPr>
        <w:t>Indigenous</w:t>
      </w:r>
      <w:r w:rsidRPr="003A5518">
        <w:rPr>
          <w:i/>
          <w:iCs/>
        </w:rPr>
        <w:t xml:space="preserve"> Peoples</w:t>
      </w:r>
      <w:r w:rsidRPr="003A5518">
        <w:t xml:space="preserve"> 1 (2020), </w:t>
      </w:r>
      <w:hyperlink r:id="rId18" w:history="1">
        <w:r w:rsidR="002141AE" w:rsidRPr="003A5518">
          <w:rPr>
            <w:rStyle w:val="Hyperlink"/>
          </w:rPr>
          <w:t>https://www.un.org/development/desa/dpad/wp-content/uploads/sites/45/publication/PB_70.pdf</w:t>
        </w:r>
      </w:hyperlink>
      <w:r w:rsidR="003A5518" w:rsidRPr="003A5518">
        <w:rPr>
          <w:rStyle w:val="Hyperlink"/>
        </w:rPr>
        <w:t>.</w:t>
      </w:r>
    </w:p>
  </w:endnote>
  <w:endnote w:id="59">
    <w:p w14:paraId="36745B5C" w14:textId="3C52B0AD" w:rsidR="00806422" w:rsidRPr="003A5518" w:rsidRDefault="00806422" w:rsidP="00806422">
      <w:pPr>
        <w:pStyle w:val="EndnoteText"/>
      </w:pPr>
      <w:r w:rsidRPr="003A5518">
        <w:rPr>
          <w:rStyle w:val="EndnoteReference"/>
        </w:rPr>
        <w:endnoteRef/>
      </w:r>
      <w:r w:rsidRPr="003A5518">
        <w:t xml:space="preserve"> </w:t>
      </w:r>
      <w:r w:rsidRPr="003A5518">
        <w:rPr>
          <w:smallCaps/>
        </w:rPr>
        <w:t>UNFPA &amp; Women Enabled International, The Impact of COVID-19 on Women and Girls with Disabilities: A Global Assessment and Case Studies on Sexual and Reproductive Health and Rights, Gender-Based Violence, and Related Rights</w:t>
      </w:r>
      <w:r w:rsidRPr="003A5518">
        <w:t xml:space="preserve"> 5</w:t>
      </w:r>
      <w:r w:rsidR="003A5518" w:rsidRPr="003A5518">
        <w:t xml:space="preserve"> (2021)</w:t>
      </w:r>
      <w:r w:rsidR="001F5D63" w:rsidRPr="003A5518">
        <w:t xml:space="preserve">, </w:t>
      </w:r>
      <w:hyperlink r:id="rId19" w:history="1">
        <w:r w:rsidRPr="003A5518">
          <w:rPr>
            <w:rStyle w:val="Hyperlink"/>
          </w:rPr>
          <w:t>https://womenenabled.org/blog/covid-19/</w:t>
        </w:r>
      </w:hyperlink>
      <w:r w:rsidRPr="003A5518">
        <w:t xml:space="preserve">. </w:t>
      </w:r>
    </w:p>
  </w:endnote>
  <w:endnote w:id="60">
    <w:p w14:paraId="491A5AEA" w14:textId="4B50BE1B" w:rsidR="00111C7C" w:rsidRPr="003A5518" w:rsidRDefault="00111C7C" w:rsidP="00111C7C">
      <w:pPr>
        <w:pStyle w:val="EndnoteText"/>
      </w:pPr>
      <w:r w:rsidRPr="003A5518">
        <w:rPr>
          <w:rStyle w:val="EndnoteReference"/>
        </w:rPr>
        <w:endnoteRef/>
      </w:r>
      <w:r w:rsidRPr="003A5518">
        <w:t xml:space="preserve"> Minority Rights Group, </w:t>
      </w:r>
      <w:r w:rsidRPr="003A5518">
        <w:rPr>
          <w:i/>
          <w:iCs/>
        </w:rPr>
        <w:t>Statement on the Impact of the Global COVID-19 Pandemic on Persons with Disabilities from Minority, Indigenous and other Marginalised Communities</w:t>
      </w:r>
      <w:r w:rsidRPr="003A5518">
        <w:t xml:space="preserve"> (2020), </w:t>
      </w:r>
      <w:hyperlink r:id="rId20" w:history="1">
        <w:r w:rsidRPr="003A5518">
          <w:rPr>
            <w:rStyle w:val="Hyperlink"/>
          </w:rPr>
          <w:t>https://minorityrights.org/2020/04/27/statement-covid-19-pandemic-on-persons-with-disabilities-from-minority-Indigenous-communities/</w:t>
        </w:r>
      </w:hyperlink>
      <w:r w:rsidR="003A5518" w:rsidRPr="003A5518">
        <w:rPr>
          <w:rStyle w:val="Hyperlink"/>
        </w:rPr>
        <w:t>.</w:t>
      </w:r>
    </w:p>
  </w:endnote>
  <w:endnote w:id="61">
    <w:p w14:paraId="39E902C4" w14:textId="7399E2CE" w:rsidR="002C0249" w:rsidRPr="003A5518" w:rsidRDefault="002C0249" w:rsidP="002C0249">
      <w:pPr>
        <w:pStyle w:val="EndnoteText"/>
      </w:pPr>
      <w:r w:rsidRPr="003A5518">
        <w:rPr>
          <w:rStyle w:val="EndnoteReference"/>
        </w:rPr>
        <w:endnoteRef/>
      </w:r>
      <w:r w:rsidRPr="003A5518">
        <w:t xml:space="preserve"> Center for American Progress, </w:t>
      </w:r>
      <w:r w:rsidRPr="003A5518">
        <w:rPr>
          <w:i/>
          <w:iCs/>
        </w:rPr>
        <w:t>Improving Health Outcomes for Black Women and Girls With Disabilities</w:t>
      </w:r>
      <w:r w:rsidRPr="003A5518">
        <w:t xml:space="preserve"> (2022), </w:t>
      </w:r>
      <w:hyperlink r:id="rId21" w:history="1">
        <w:r w:rsidRPr="003A5518">
          <w:rPr>
            <w:rStyle w:val="Hyperlink"/>
          </w:rPr>
          <w:t>https://www.americanprogress.org/article/improving-health-outcomes-for-black-women-and-girls-with-disabilities/</w:t>
        </w:r>
      </w:hyperlink>
      <w:r w:rsidR="003A5518" w:rsidRPr="003A5518">
        <w:rPr>
          <w:rStyle w:val="Hyperlink"/>
        </w:rPr>
        <w:t>.</w:t>
      </w:r>
    </w:p>
  </w:endnote>
  <w:endnote w:id="62">
    <w:p w14:paraId="2048C4E1" w14:textId="719EE03C" w:rsidR="001F2177" w:rsidRPr="003A5518" w:rsidRDefault="00600F38">
      <w:pPr>
        <w:pStyle w:val="EndnoteText"/>
      </w:pPr>
      <w:r w:rsidRPr="003A5518">
        <w:rPr>
          <w:rStyle w:val="EndnoteReference"/>
        </w:rPr>
        <w:endnoteRef/>
      </w:r>
      <w:r w:rsidRPr="003A5518">
        <w:t xml:space="preserve"> </w:t>
      </w:r>
      <w:r w:rsidR="004B6B32" w:rsidRPr="003A5518">
        <w:t xml:space="preserve">Minority Rights Group International </w:t>
      </w:r>
      <w:r w:rsidR="004B6B32" w:rsidRPr="003A5518">
        <w:rPr>
          <w:i/>
          <w:iCs/>
        </w:rPr>
        <w:t>et al</w:t>
      </w:r>
      <w:r w:rsidR="004B6B32" w:rsidRPr="003A5518">
        <w:t xml:space="preserve">, </w:t>
      </w:r>
      <w:r w:rsidR="000B1CDB" w:rsidRPr="003A5518">
        <w:rPr>
          <w:i/>
          <w:iCs/>
        </w:rPr>
        <w:t xml:space="preserve">Statement on the Impact of the Global COVID-19 Pandemic on Persons with Disabilities from Minority, </w:t>
      </w:r>
      <w:r w:rsidR="007B2B6F" w:rsidRPr="003A5518">
        <w:rPr>
          <w:i/>
          <w:iCs/>
        </w:rPr>
        <w:t>Indigenous</w:t>
      </w:r>
      <w:r w:rsidR="000B1CDB" w:rsidRPr="003A5518">
        <w:rPr>
          <w:i/>
          <w:iCs/>
        </w:rPr>
        <w:t xml:space="preserve"> and other Marginalised Communities</w:t>
      </w:r>
      <w:r w:rsidR="000B1CDB" w:rsidRPr="003A5518">
        <w:t xml:space="preserve"> </w:t>
      </w:r>
      <w:r w:rsidR="007237F3" w:rsidRPr="003A5518">
        <w:t>1 (202</w:t>
      </w:r>
      <w:r w:rsidR="001F2177" w:rsidRPr="003A5518">
        <w:t>0</w:t>
      </w:r>
      <w:r w:rsidR="007237F3" w:rsidRPr="003A5518">
        <w:t xml:space="preserve">), </w:t>
      </w:r>
      <w:hyperlink r:id="rId22" w:history="1">
        <w:r w:rsidR="001F2177" w:rsidRPr="003A5518">
          <w:rPr>
            <w:rStyle w:val="Hyperlink"/>
          </w:rPr>
          <w:t>https://minorityrights.org/2020/04/27/statement-covid-19-pandemic-on-persons-with-disabilities-from-minority-</w:t>
        </w:r>
        <w:r w:rsidR="007B2B6F" w:rsidRPr="003A5518">
          <w:rPr>
            <w:rStyle w:val="Hyperlink"/>
          </w:rPr>
          <w:t>Indigenous</w:t>
        </w:r>
        <w:r w:rsidR="001F2177" w:rsidRPr="003A5518">
          <w:rPr>
            <w:rStyle w:val="Hyperlink"/>
          </w:rPr>
          <w:t>-communities/</w:t>
        </w:r>
      </w:hyperlink>
      <w:r w:rsidR="003A5518" w:rsidRPr="003A5518">
        <w:rPr>
          <w:rStyle w:val="Hyperlink"/>
        </w:rPr>
        <w:t>.</w:t>
      </w:r>
    </w:p>
  </w:endnote>
  <w:endnote w:id="63">
    <w:p w14:paraId="5D50E1FB" w14:textId="214D07EC" w:rsidR="001F5D63" w:rsidRPr="003A5518" w:rsidRDefault="001F5D63" w:rsidP="001F5D63">
      <w:pPr>
        <w:pStyle w:val="EndnoteText"/>
      </w:pPr>
      <w:r w:rsidRPr="003A5518">
        <w:rPr>
          <w:rStyle w:val="EndnoteReference"/>
        </w:rPr>
        <w:endnoteRef/>
      </w:r>
      <w:r w:rsidRPr="003A5518">
        <w:t xml:space="preserve"> </w:t>
      </w:r>
      <w:r w:rsidR="003A5518" w:rsidRPr="003A5518">
        <w:rPr>
          <w:smallCaps/>
        </w:rPr>
        <w:t>UNFPA &amp; Women Enabled International, The Impact of COVID-19 on Women and Girls with Disabilities: A Global Assessment and Case Studies on Sexual and Reproductive Health and Rights, Gender-Based Violence, and Related Rights</w:t>
      </w:r>
      <w:r w:rsidR="003A5518" w:rsidRPr="003A5518">
        <w:t xml:space="preserve"> 24 (2021), </w:t>
      </w:r>
      <w:hyperlink r:id="rId23" w:history="1">
        <w:r w:rsidR="003A5518" w:rsidRPr="003A5518">
          <w:rPr>
            <w:rStyle w:val="Hyperlink"/>
          </w:rPr>
          <w:t>https://womenenabled.org/blog/covid-19/</w:t>
        </w:r>
      </w:hyperlink>
      <w:r w:rsidR="003A5518" w:rsidRPr="003A5518">
        <w:t>.</w:t>
      </w:r>
    </w:p>
  </w:endnote>
  <w:endnote w:id="64">
    <w:p w14:paraId="799F112E" w14:textId="45F88A35" w:rsidR="000B3853" w:rsidRPr="003A5518" w:rsidRDefault="000B3853" w:rsidP="000B3853">
      <w:pPr>
        <w:pStyle w:val="EndnoteText"/>
      </w:pPr>
      <w:r w:rsidRPr="003A5518">
        <w:rPr>
          <w:rStyle w:val="EndnoteReference"/>
        </w:rPr>
        <w:endnoteRef/>
      </w:r>
      <w:r w:rsidRPr="003A5518">
        <w:t xml:space="preserve"> </w:t>
      </w:r>
      <w:r w:rsidR="003A5518" w:rsidRPr="003A5518">
        <w:rPr>
          <w:i/>
          <w:iCs/>
        </w:rPr>
        <w:t>Id.</w:t>
      </w:r>
      <w:r w:rsidR="003A5518" w:rsidRPr="003A5518">
        <w:t xml:space="preserve"> at 29.</w:t>
      </w:r>
    </w:p>
  </w:endnote>
  <w:endnote w:id="65">
    <w:p w14:paraId="0AA69493" w14:textId="6ADADFC1" w:rsidR="00492219" w:rsidRPr="003A5518" w:rsidRDefault="00492219" w:rsidP="00492219">
      <w:pPr>
        <w:pStyle w:val="EndnoteText"/>
      </w:pPr>
      <w:r w:rsidRPr="003A5518">
        <w:rPr>
          <w:rStyle w:val="EndnoteReference"/>
        </w:rPr>
        <w:endnoteRef/>
      </w:r>
      <w:r w:rsidRPr="003A5518">
        <w:t xml:space="preserve"> Minority Rights Group International </w:t>
      </w:r>
      <w:r w:rsidRPr="003A5518">
        <w:rPr>
          <w:i/>
          <w:iCs/>
        </w:rPr>
        <w:t>et al</w:t>
      </w:r>
      <w:r w:rsidRPr="003A5518">
        <w:t xml:space="preserve">, </w:t>
      </w:r>
      <w:r w:rsidRPr="003A5518">
        <w:rPr>
          <w:i/>
          <w:iCs/>
        </w:rPr>
        <w:t xml:space="preserve">Statement on the Impact of the Global COVID-19 Pandemic on Persons with Disabilities from Minority, </w:t>
      </w:r>
      <w:r w:rsidR="007B2B6F" w:rsidRPr="003A5518">
        <w:rPr>
          <w:i/>
          <w:iCs/>
        </w:rPr>
        <w:t>Indigenous</w:t>
      </w:r>
      <w:r w:rsidRPr="003A5518">
        <w:rPr>
          <w:i/>
          <w:iCs/>
        </w:rPr>
        <w:t xml:space="preserve"> and other Marginalised Communities</w:t>
      </w:r>
      <w:r w:rsidRPr="003A5518">
        <w:t xml:space="preserve"> 2 (2020), </w:t>
      </w:r>
      <w:hyperlink r:id="rId24" w:history="1">
        <w:r w:rsidRPr="003A5518">
          <w:rPr>
            <w:rStyle w:val="Hyperlink"/>
          </w:rPr>
          <w:t>https://minorityrights.org/2020/04/27/statement-covid-19-pandemic-on-persons-with-disabilities-from-minority-</w:t>
        </w:r>
        <w:r w:rsidR="007B2B6F" w:rsidRPr="003A5518">
          <w:rPr>
            <w:rStyle w:val="Hyperlink"/>
          </w:rPr>
          <w:t>Indigenous</w:t>
        </w:r>
        <w:r w:rsidRPr="003A5518">
          <w:rPr>
            <w:rStyle w:val="Hyperlink"/>
          </w:rPr>
          <w:t>-communities/</w:t>
        </w:r>
      </w:hyperlink>
      <w:r w:rsidR="003A5518" w:rsidRPr="003A5518">
        <w:rPr>
          <w:rStyle w:val="Hyperlink"/>
        </w:rPr>
        <w:t>.</w:t>
      </w:r>
    </w:p>
  </w:endnote>
  <w:endnote w:id="66">
    <w:p w14:paraId="2F6691C0" w14:textId="775C8EE0" w:rsidR="00A125E8" w:rsidRPr="003A5518" w:rsidRDefault="00A125E8" w:rsidP="00A125E8">
      <w:pPr>
        <w:pStyle w:val="EndnoteText"/>
      </w:pPr>
      <w:r w:rsidRPr="003A5518">
        <w:rPr>
          <w:rStyle w:val="EndnoteReference"/>
        </w:rPr>
        <w:endnoteRef/>
      </w:r>
      <w:r w:rsidRPr="003A5518">
        <w:t xml:space="preserve"> </w:t>
      </w:r>
      <w:r w:rsidR="003A5518" w:rsidRPr="003A5518">
        <w:rPr>
          <w:smallCaps/>
        </w:rPr>
        <w:t>UNFPA &amp; Women Enabled International, The Impact of COVID-19 on Women and Girls with Disabilities: A Global Assessment and Case Studies on Sexual and Reproductive Health and Rights, Gender-Based Violence, and Related Rights</w:t>
      </w:r>
      <w:r w:rsidR="003A5518" w:rsidRPr="003A5518">
        <w:t xml:space="preserve"> 11 (2021), </w:t>
      </w:r>
      <w:hyperlink r:id="rId25" w:history="1">
        <w:r w:rsidR="003A5518" w:rsidRPr="003A5518">
          <w:rPr>
            <w:rStyle w:val="Hyperlink"/>
          </w:rPr>
          <w:t>https://womenenabled.org/blog/covid-19/</w:t>
        </w:r>
      </w:hyperlink>
      <w:r w:rsidR="003A5518" w:rsidRPr="003A5518">
        <w:t>.</w:t>
      </w:r>
    </w:p>
  </w:endnote>
  <w:endnote w:id="67">
    <w:p w14:paraId="03F6D56E" w14:textId="588C696B" w:rsidR="00D67160" w:rsidRPr="003A5518" w:rsidRDefault="00D67160" w:rsidP="00A125E8">
      <w:pPr>
        <w:pStyle w:val="EndnoteText"/>
      </w:pPr>
      <w:r w:rsidRPr="003A5518">
        <w:rPr>
          <w:rStyle w:val="EndnoteReference"/>
        </w:rPr>
        <w:endnoteRef/>
      </w:r>
      <w:r w:rsidRPr="003A5518">
        <w:t xml:space="preserve"> Many pre-existing barriers imposed </w:t>
      </w:r>
      <w:r w:rsidR="003A5518" w:rsidRPr="003A5518">
        <w:t>on</w:t>
      </w:r>
      <w:r w:rsidRPr="003A5518">
        <w:t xml:space="preserve"> women with disabilities when exercising their SRHR were deepened during the pandemic. For more information, please see </w:t>
      </w:r>
      <w:r w:rsidR="003A5518" w:rsidRPr="003A5518">
        <w:rPr>
          <w:smallCaps/>
        </w:rPr>
        <w:t>UNFPA &amp; Women Enabled International, The Impact of COVID-19 on Women and Girls with Disabilities: A Global Assessment and Case Studies on Sexual and Reproductive Health and Rights, Gender-Based Violence, and Related Rights</w:t>
      </w:r>
      <w:r w:rsidR="003A5518" w:rsidRPr="003A5518">
        <w:t xml:space="preserve"> (2021), </w:t>
      </w:r>
      <w:hyperlink r:id="rId26" w:history="1">
        <w:r w:rsidR="003A5518" w:rsidRPr="003A5518">
          <w:rPr>
            <w:rStyle w:val="Hyperlink"/>
          </w:rPr>
          <w:t>https://womenenabled.org/blog/covid-19/</w:t>
        </w:r>
      </w:hyperlink>
      <w:r w:rsidR="003A5518" w:rsidRPr="003A5518">
        <w:t>.</w:t>
      </w:r>
    </w:p>
  </w:endnote>
  <w:endnote w:id="68">
    <w:p w14:paraId="121262AD" w14:textId="2130E604" w:rsidR="00953BA0" w:rsidRPr="003A5518" w:rsidRDefault="00D67160">
      <w:pPr>
        <w:pStyle w:val="EndnoteText"/>
      </w:pPr>
      <w:r w:rsidRPr="003A5518">
        <w:rPr>
          <w:rStyle w:val="EndnoteReference"/>
        </w:rPr>
        <w:endnoteRef/>
      </w:r>
      <w:r w:rsidRPr="003A5518">
        <w:t xml:space="preserve"> Indigenous Peoples Voices, </w:t>
      </w:r>
      <w:r w:rsidRPr="003A5518">
        <w:rPr>
          <w:i/>
          <w:iCs/>
        </w:rPr>
        <w:t>Urban Indigenous Peoples and Migration: Challenges and Opportunities</w:t>
      </w:r>
      <w:r w:rsidRPr="003A5518">
        <w:t xml:space="preserve"> 1 (2007), </w:t>
      </w:r>
      <w:hyperlink r:id="rId27" w:history="1">
        <w:r w:rsidR="00953BA0" w:rsidRPr="003A5518">
          <w:rPr>
            <w:rStyle w:val="Hyperlink"/>
          </w:rPr>
          <w:t>https://www.un.org/esa/socdev/unpfii/documents/6_session_factsheet2.pdf</w:t>
        </w:r>
      </w:hyperlink>
    </w:p>
  </w:endnote>
  <w:endnote w:id="69">
    <w:p w14:paraId="1F10B85E" w14:textId="2BE1390D" w:rsidR="00D67160" w:rsidRPr="003A5518" w:rsidRDefault="00D67160" w:rsidP="0075503E">
      <w:pPr>
        <w:pStyle w:val="EndnoteText"/>
      </w:pPr>
      <w:r w:rsidRPr="003A5518">
        <w:rPr>
          <w:rStyle w:val="EndnoteReference"/>
        </w:rPr>
        <w:endnoteRef/>
      </w:r>
      <w:r w:rsidRPr="003A5518">
        <w:t xml:space="preserve"> </w:t>
      </w:r>
      <w:r w:rsidR="003A5518" w:rsidRPr="003A5518">
        <w:rPr>
          <w:smallCaps/>
        </w:rPr>
        <w:t>UNFPA &amp; Women Enabled International, The Impact of COVID-19 on Women and Girls with Disabilities: A Global Assessment and Case Studies on Sexual and Reproductive Health and Rights, Gender-Based Violence, and Related Rights</w:t>
      </w:r>
      <w:r w:rsidR="003A5518" w:rsidRPr="003A5518">
        <w:t xml:space="preserve"> 12 (2021), </w:t>
      </w:r>
      <w:hyperlink r:id="rId28" w:history="1">
        <w:r w:rsidR="003A5518" w:rsidRPr="003A5518">
          <w:rPr>
            <w:rStyle w:val="Hyperlink"/>
          </w:rPr>
          <w:t>https://womenenabled.org/blog/covid-19/</w:t>
        </w:r>
      </w:hyperlink>
      <w:r w:rsidR="003A5518" w:rsidRPr="003A5518">
        <w:t>.</w:t>
      </w:r>
    </w:p>
  </w:endnote>
  <w:endnote w:id="70">
    <w:p w14:paraId="0EDEF75A" w14:textId="7A566ED4" w:rsidR="00D67160" w:rsidRPr="003A5518" w:rsidRDefault="00D67160">
      <w:pPr>
        <w:pStyle w:val="EndnoteText"/>
      </w:pPr>
      <w:r w:rsidRPr="003A5518">
        <w:rPr>
          <w:rStyle w:val="EndnoteReference"/>
        </w:rPr>
        <w:endnoteRef/>
      </w:r>
      <w:r w:rsidRPr="003A5518">
        <w:t xml:space="preserve"> Center for American Progress, </w:t>
      </w:r>
      <w:r w:rsidRPr="003A5518">
        <w:rPr>
          <w:i/>
          <w:iCs/>
        </w:rPr>
        <w:t>Improving Health Outcomes for Black Women and Girls With Disabilities</w:t>
      </w:r>
      <w:r w:rsidRPr="003A5518">
        <w:t xml:space="preserve"> (2022), </w:t>
      </w:r>
      <w:hyperlink r:id="rId29" w:history="1">
        <w:r w:rsidRPr="003A5518">
          <w:rPr>
            <w:rStyle w:val="Hyperlink"/>
          </w:rPr>
          <w:t>https://www.americanprogress.org/article/improving-health-outcomes-for-black-women-and-girls-with-disabilities/</w:t>
        </w:r>
      </w:hyperlink>
      <w:r w:rsidR="003A5518" w:rsidRPr="003A5518">
        <w:rPr>
          <w:rStyle w:val="Hyperlink"/>
        </w:rPr>
        <w:t>.</w:t>
      </w:r>
    </w:p>
  </w:endnote>
  <w:endnote w:id="71">
    <w:p w14:paraId="16E631F9" w14:textId="129A50B6" w:rsidR="00D67160" w:rsidRPr="003A5518" w:rsidRDefault="00D67160">
      <w:pPr>
        <w:pStyle w:val="EndnoteText"/>
        <w:rPr>
          <w:i/>
          <w:iCs/>
        </w:rPr>
      </w:pPr>
      <w:r w:rsidRPr="003A5518">
        <w:rPr>
          <w:rStyle w:val="EndnoteReference"/>
        </w:rPr>
        <w:endnoteRef/>
      </w:r>
      <w:r w:rsidRPr="003A5518">
        <w:t xml:space="preserve"> </w:t>
      </w:r>
      <w:r w:rsidR="003A5518" w:rsidRPr="003A5518">
        <w:rPr>
          <w:i/>
          <w:iCs/>
        </w:rPr>
        <w:t>Id.</w:t>
      </w:r>
    </w:p>
  </w:endnote>
  <w:endnote w:id="72">
    <w:p w14:paraId="6B1239E7" w14:textId="6941E80F" w:rsidR="00CC2B36" w:rsidRDefault="00CC2B36">
      <w:pPr>
        <w:pStyle w:val="EndnoteText"/>
      </w:pPr>
      <w:r>
        <w:rPr>
          <w:rStyle w:val="EndnoteReference"/>
        </w:rPr>
        <w:endnoteRef/>
      </w:r>
      <w:r>
        <w:t xml:space="preserve"> </w:t>
      </w:r>
      <w:r w:rsidR="00CF7188" w:rsidRPr="00CF7188">
        <w:t xml:space="preserve">Committee on the Elimination of Racial Discrimination (CERD Committee), </w:t>
      </w:r>
      <w:r w:rsidR="00CF7188" w:rsidRPr="00CF7188">
        <w:rPr>
          <w:i/>
          <w:iCs/>
        </w:rPr>
        <w:t>General Recommendation No. 25 on gender-related aspects of racial discrimination</w:t>
      </w:r>
      <w:r w:rsidR="00CF7188" w:rsidRPr="00CF7188">
        <w:t>, ¶ 2 (2000).</w:t>
      </w:r>
    </w:p>
  </w:endnote>
  <w:endnote w:id="73">
    <w:p w14:paraId="4AF3BAF3" w14:textId="1D3EED49" w:rsidR="00CC2B36" w:rsidRPr="00CF7188" w:rsidRDefault="00CC2B36" w:rsidP="00CC2B36">
      <w:pPr>
        <w:pStyle w:val="EndnoteText"/>
        <w:rPr>
          <w:i/>
          <w:iCs/>
        </w:rPr>
      </w:pPr>
      <w:r>
        <w:rPr>
          <w:rStyle w:val="EndnoteReference"/>
        </w:rPr>
        <w:endnoteRef/>
      </w:r>
      <w:r>
        <w:t xml:space="preserve"> </w:t>
      </w:r>
      <w:r w:rsidR="00CF7188">
        <w:rPr>
          <w:i/>
          <w:iCs/>
        </w:rPr>
        <w:t>Id.</w:t>
      </w:r>
    </w:p>
  </w:endnote>
  <w:endnote w:id="74">
    <w:p w14:paraId="79BC9F6B" w14:textId="7557ADC8" w:rsidR="00CC2B36" w:rsidRDefault="00CC2B36">
      <w:pPr>
        <w:pStyle w:val="EndnoteText"/>
      </w:pPr>
      <w:r>
        <w:rPr>
          <w:rStyle w:val="EndnoteReference"/>
        </w:rPr>
        <w:endnoteRef/>
      </w:r>
      <w:r w:rsidR="00CF7188">
        <w:t xml:space="preserve"> </w:t>
      </w:r>
      <w:r w:rsidR="00CF7188">
        <w:rPr>
          <w:i/>
          <w:iCs/>
        </w:rPr>
        <w:t>See, e.g.</w:t>
      </w:r>
      <w:r w:rsidR="00CF7188">
        <w:t xml:space="preserve">, </w:t>
      </w:r>
      <w:r w:rsidR="00CF7188" w:rsidRPr="00CF7188">
        <w:t xml:space="preserve">CERD Committee, </w:t>
      </w:r>
      <w:r w:rsidR="00CF7188" w:rsidRPr="00CF7188">
        <w:rPr>
          <w:i/>
          <w:iCs/>
        </w:rPr>
        <w:t>Concluding Observations: Paraguay</w:t>
      </w:r>
      <w:r w:rsidR="00CF7188" w:rsidRPr="00CF7188">
        <w:t xml:space="preserve">, ¶ 34, U.N. Doc. CERD/C/PRY/CO/4-6 (2016); </w:t>
      </w:r>
      <w:r w:rsidR="00CF7188" w:rsidRPr="00CF7188">
        <w:rPr>
          <w:i/>
          <w:iCs/>
        </w:rPr>
        <w:t>Czech Republic</w:t>
      </w:r>
      <w:r w:rsidR="00CF7188" w:rsidRPr="00CF7188">
        <w:t xml:space="preserve">, ¶ 22, U.N. Doc. CERD/C/CZE/CO/10-11 (2015); </w:t>
      </w:r>
      <w:r w:rsidR="00CF7188" w:rsidRPr="00CF7188">
        <w:rPr>
          <w:i/>
          <w:iCs/>
        </w:rPr>
        <w:t>United States of America</w:t>
      </w:r>
      <w:r w:rsidR="00CF7188" w:rsidRPr="00CF7188">
        <w:t xml:space="preserve">, ¶ 15, U.N. Doc. CERD/C/USA/7-9 (2014); </w:t>
      </w:r>
      <w:r w:rsidR="00CF7188" w:rsidRPr="00CF7188">
        <w:rPr>
          <w:i/>
          <w:iCs/>
        </w:rPr>
        <w:t>Mexico</w:t>
      </w:r>
      <w:r w:rsidR="00CF7188" w:rsidRPr="00CF7188">
        <w:t xml:space="preserve">, ¶ 19, U.N. Doc. CERD/C/MEX/CO/16-17 (2012); </w:t>
      </w:r>
      <w:r w:rsidR="00CF7188" w:rsidRPr="00CF7188">
        <w:rPr>
          <w:i/>
          <w:iCs/>
        </w:rPr>
        <w:t>Panama</w:t>
      </w:r>
      <w:r w:rsidR="00CF7188" w:rsidRPr="00CF7188">
        <w:t xml:space="preserve">, ¶ 19, U.N. Doc. CERD/C/PAN/CO/15-20 (2010); </w:t>
      </w:r>
      <w:r w:rsidR="00CF7188" w:rsidRPr="00CF7188">
        <w:rPr>
          <w:i/>
          <w:iCs/>
        </w:rPr>
        <w:t>United States of America</w:t>
      </w:r>
      <w:r w:rsidR="00CF7188" w:rsidRPr="00CF7188">
        <w:t xml:space="preserve">, ¶ 33, U.N. Doc. CERD/C/USA/CO/6 (2008); </w:t>
      </w:r>
      <w:r w:rsidR="00CF7188" w:rsidRPr="00CF7188">
        <w:rPr>
          <w:i/>
          <w:iCs/>
        </w:rPr>
        <w:t>United States of America</w:t>
      </w:r>
      <w:r w:rsidR="00CF7188" w:rsidRPr="00CF7188">
        <w:t>, ¶ 250, U.N. Doc. A/56/18 (SUPP) (2001).</w:t>
      </w:r>
    </w:p>
  </w:endnote>
  <w:endnote w:id="75">
    <w:p w14:paraId="5F31B1EB" w14:textId="1CA57345" w:rsidR="00CF7188" w:rsidRDefault="00CF7188">
      <w:pPr>
        <w:pStyle w:val="EndnoteText"/>
      </w:pPr>
      <w:r>
        <w:rPr>
          <w:rStyle w:val="EndnoteReference"/>
        </w:rPr>
        <w:endnoteRef/>
      </w:r>
      <w:r>
        <w:t xml:space="preserve"> </w:t>
      </w:r>
      <w:r>
        <w:rPr>
          <w:i/>
          <w:iCs/>
        </w:rPr>
        <w:t>See, e.g.</w:t>
      </w:r>
      <w:r>
        <w:t>,</w:t>
      </w:r>
      <w:r>
        <w:rPr>
          <w:i/>
          <w:iCs/>
        </w:rPr>
        <w:t xml:space="preserve"> </w:t>
      </w:r>
      <w:proofErr w:type="spellStart"/>
      <w:r w:rsidRPr="00CF7188">
        <w:t>CER</w:t>
      </w:r>
      <w:proofErr w:type="spellEnd"/>
      <w:r w:rsidRPr="00CF7188">
        <w:t xml:space="preserve">D Committee, </w:t>
      </w:r>
      <w:r w:rsidRPr="00CF7188">
        <w:rPr>
          <w:i/>
          <w:iCs/>
        </w:rPr>
        <w:t>Concluding Observations: Czech Republic</w:t>
      </w:r>
      <w:r w:rsidRPr="00CF7188">
        <w:t>, ¶ 21, U.N. Doc. CERD/C/CZE/CO/10-11 (2015); U</w:t>
      </w:r>
      <w:r w:rsidRPr="00CF7188">
        <w:rPr>
          <w:i/>
          <w:iCs/>
        </w:rPr>
        <w:t>zbekistan</w:t>
      </w:r>
      <w:r w:rsidRPr="00CF7188">
        <w:t xml:space="preserve">, ¶ 12, U.N. Doc. CERD/C/UZB/CO/8-9 (2014); </w:t>
      </w:r>
      <w:r w:rsidRPr="00CF7188">
        <w:rPr>
          <w:i/>
          <w:iCs/>
        </w:rPr>
        <w:t>Peru</w:t>
      </w:r>
      <w:r w:rsidRPr="00CF7188">
        <w:t xml:space="preserve">, ¶ 22, U.N. Doc. CERD/C/PER/18-21 (2014); </w:t>
      </w:r>
      <w:r w:rsidRPr="00CF7188">
        <w:rPr>
          <w:i/>
          <w:iCs/>
        </w:rPr>
        <w:t>Czech Republic</w:t>
      </w:r>
      <w:r w:rsidRPr="00CF7188">
        <w:t xml:space="preserve">, ¶ 19, U.N. Doc. CERD/C/CZE/CO/8-9 (2011); </w:t>
      </w:r>
      <w:r w:rsidRPr="00CF7188">
        <w:rPr>
          <w:i/>
          <w:iCs/>
        </w:rPr>
        <w:t>Slovakia</w:t>
      </w:r>
      <w:r w:rsidRPr="00CF7188">
        <w:t xml:space="preserve">, ¶ 18, U.N. Doc. CERD/C/SVK/CO/6-8 (2010); </w:t>
      </w:r>
      <w:r w:rsidRPr="00CF7188">
        <w:rPr>
          <w:i/>
          <w:iCs/>
        </w:rPr>
        <w:t>Czech Republic</w:t>
      </w:r>
      <w:r w:rsidRPr="00CF7188">
        <w:t xml:space="preserve">, ¶ 14, U.N. Doc. CERD/C/CZE/CO/7 (2007); </w:t>
      </w:r>
      <w:r w:rsidRPr="00CF7188">
        <w:rPr>
          <w:i/>
          <w:iCs/>
        </w:rPr>
        <w:t>Mexico</w:t>
      </w:r>
      <w:r w:rsidRPr="00CF7188">
        <w:t xml:space="preserve">, ¶ 17, U.N. Doc. CERD/C/MEX/CO/15 (2006); </w:t>
      </w:r>
      <w:r w:rsidRPr="00CF7188">
        <w:rPr>
          <w:i/>
          <w:iCs/>
        </w:rPr>
        <w:t>Slovakia</w:t>
      </w:r>
      <w:r w:rsidRPr="00CF7188">
        <w:t xml:space="preserve">, ¶ 12, U.N. Doc. CERD/C/65/CO/7 (2007); </w:t>
      </w:r>
      <w:r w:rsidRPr="00CF7188">
        <w:rPr>
          <w:i/>
          <w:iCs/>
        </w:rPr>
        <w:t>Viet Nam</w:t>
      </w:r>
      <w:r w:rsidRPr="00CF7188">
        <w:t>, ¶ 417, U.N. Doc. A/56/18 (SUPP) (2001).</w:t>
      </w:r>
    </w:p>
  </w:endnote>
  <w:endnote w:id="76">
    <w:p w14:paraId="34FE2FD8" w14:textId="7F187287" w:rsidR="00136922" w:rsidRPr="0068083C" w:rsidRDefault="00136922">
      <w:pPr>
        <w:pStyle w:val="EndnoteText"/>
      </w:pPr>
      <w:r>
        <w:rPr>
          <w:rStyle w:val="EndnoteReference"/>
        </w:rPr>
        <w:endnoteRef/>
      </w:r>
      <w:r>
        <w:t xml:space="preserve"> </w:t>
      </w:r>
      <w:r w:rsidR="0068083C">
        <w:rPr>
          <w:i/>
          <w:iCs/>
        </w:rPr>
        <w:t>See, e.g.</w:t>
      </w:r>
      <w:r w:rsidR="0068083C">
        <w:t xml:space="preserve">, </w:t>
      </w:r>
      <w:r w:rsidR="0068083C" w:rsidRPr="0068083C">
        <w:t xml:space="preserve">CERD Committee, </w:t>
      </w:r>
      <w:r w:rsidR="0068083C" w:rsidRPr="0068083C">
        <w:rPr>
          <w:i/>
          <w:iCs/>
        </w:rPr>
        <w:t>Concluding Observations: Czech Republic</w:t>
      </w:r>
      <w:r w:rsidR="0068083C" w:rsidRPr="0068083C">
        <w:t xml:space="preserve">, ¶ 21, U.N. Doc. CERD/C/CZE/CO/10-11 (2015); </w:t>
      </w:r>
      <w:r w:rsidR="0068083C" w:rsidRPr="0068083C">
        <w:rPr>
          <w:i/>
          <w:iCs/>
        </w:rPr>
        <w:t>Uzbekistan,</w:t>
      </w:r>
      <w:r w:rsidR="0068083C" w:rsidRPr="0068083C">
        <w:t xml:space="preserve"> ¶ 12, U.N. Doc. CERD/C/UZB/CO/8-9 (2014); </w:t>
      </w:r>
      <w:r w:rsidR="0068083C" w:rsidRPr="0068083C">
        <w:rPr>
          <w:i/>
          <w:iCs/>
        </w:rPr>
        <w:t>Czech Republic,</w:t>
      </w:r>
      <w:r w:rsidR="0068083C" w:rsidRPr="0068083C">
        <w:t xml:space="preserve"> ¶ 19, U.N. Doc. CERD/C/CZE/CO/8-9 (2011); </w:t>
      </w:r>
      <w:r w:rsidR="0068083C" w:rsidRPr="0068083C">
        <w:rPr>
          <w:i/>
          <w:iCs/>
        </w:rPr>
        <w:t>Slovakia</w:t>
      </w:r>
      <w:r w:rsidR="0068083C" w:rsidRPr="0068083C">
        <w:t xml:space="preserve">, ¶ 18, U.N. Doc. CERD/C/SVK/CO/6-8 (2010); </w:t>
      </w:r>
      <w:r w:rsidR="0068083C" w:rsidRPr="0068083C">
        <w:rPr>
          <w:i/>
          <w:iCs/>
        </w:rPr>
        <w:t>Czech Republic</w:t>
      </w:r>
      <w:r w:rsidR="0068083C" w:rsidRPr="0068083C">
        <w:t>, ¶ 14, U.N. Doc. CERD/C/CZE/CO/7 (2007).</w:t>
      </w:r>
    </w:p>
  </w:endnote>
  <w:endnote w:id="77">
    <w:p w14:paraId="3D96E6C2" w14:textId="6EF51AE1" w:rsidR="00136922" w:rsidRPr="0068083C" w:rsidRDefault="00136922" w:rsidP="00136922">
      <w:pPr>
        <w:pStyle w:val="EndnoteText"/>
      </w:pPr>
      <w:r>
        <w:rPr>
          <w:rStyle w:val="EndnoteReference"/>
        </w:rPr>
        <w:endnoteRef/>
      </w:r>
      <w:r>
        <w:t xml:space="preserve"> </w:t>
      </w:r>
      <w:r w:rsidR="0068083C">
        <w:rPr>
          <w:i/>
          <w:iCs/>
        </w:rPr>
        <w:t>See, e.g.</w:t>
      </w:r>
      <w:r w:rsidR="0068083C">
        <w:t xml:space="preserve">, </w:t>
      </w:r>
      <w:r w:rsidR="0068083C" w:rsidRPr="0068083C">
        <w:t xml:space="preserve">CERD Committee, </w:t>
      </w:r>
      <w:r w:rsidR="0068083C" w:rsidRPr="0068083C">
        <w:rPr>
          <w:i/>
          <w:iCs/>
        </w:rPr>
        <w:t>Concluding Observations: Uzbekistan</w:t>
      </w:r>
      <w:r w:rsidR="0068083C" w:rsidRPr="0068083C">
        <w:t xml:space="preserve">, ¶ 12, U.N. Doc. CERD/C/UZB/CO/8-9 (2014); </w:t>
      </w:r>
      <w:r w:rsidR="0068083C" w:rsidRPr="0068083C">
        <w:rPr>
          <w:i/>
          <w:iCs/>
        </w:rPr>
        <w:t>Peru</w:t>
      </w:r>
      <w:r w:rsidR="0068083C" w:rsidRPr="0068083C">
        <w:t xml:space="preserve">, ¶ 22, U.N. Doc. CERD/C/PER/18-21 (2014); </w:t>
      </w:r>
      <w:r w:rsidR="0068083C" w:rsidRPr="0068083C">
        <w:rPr>
          <w:i/>
          <w:iCs/>
        </w:rPr>
        <w:t>Slovakia</w:t>
      </w:r>
      <w:r w:rsidR="0068083C" w:rsidRPr="0068083C">
        <w:t xml:space="preserve">, ¶ 18, U.N. Doc. CERD/C/SVK/CO/6-8 (2010); </w:t>
      </w:r>
      <w:r w:rsidR="0068083C" w:rsidRPr="0068083C">
        <w:rPr>
          <w:i/>
          <w:iCs/>
        </w:rPr>
        <w:t>Mexico</w:t>
      </w:r>
      <w:r w:rsidR="0068083C" w:rsidRPr="0068083C">
        <w:t>, ¶ 17, U.N. Doc. CERD/C/MEX/CO/15 (2006).</w:t>
      </w:r>
    </w:p>
  </w:endnote>
  <w:endnote w:id="78">
    <w:p w14:paraId="6CF39ADD" w14:textId="1D43838D" w:rsidR="00136922" w:rsidRPr="00136922" w:rsidRDefault="00136922">
      <w:pPr>
        <w:pStyle w:val="EndnoteText"/>
      </w:pPr>
      <w:r>
        <w:rPr>
          <w:rStyle w:val="EndnoteReference"/>
        </w:rPr>
        <w:endnoteRef/>
      </w:r>
      <w:r>
        <w:t xml:space="preserve"> </w:t>
      </w:r>
      <w:r>
        <w:rPr>
          <w:i/>
          <w:iCs/>
        </w:rPr>
        <w:t>See, e.g.</w:t>
      </w:r>
      <w:r>
        <w:t>,</w:t>
      </w:r>
      <w:r>
        <w:rPr>
          <w:i/>
          <w:iCs/>
        </w:rPr>
        <w:t xml:space="preserve"> </w:t>
      </w:r>
      <w:proofErr w:type="spellStart"/>
      <w:r w:rsidRPr="00136922">
        <w:t>CER</w:t>
      </w:r>
      <w:proofErr w:type="spellEnd"/>
      <w:r w:rsidRPr="00136922">
        <w:t xml:space="preserve">D Committee, </w:t>
      </w:r>
      <w:r w:rsidRPr="00136922">
        <w:rPr>
          <w:i/>
          <w:iCs/>
        </w:rPr>
        <w:t>Concluding Observations: Czech Republic</w:t>
      </w:r>
      <w:r w:rsidRPr="00136922">
        <w:t>, ¶ 14, U.N. Doc. CERD/C/CZE/CO/7 (2007)</w:t>
      </w:r>
    </w:p>
  </w:endnote>
  <w:endnote w:id="79">
    <w:p w14:paraId="73E84237" w14:textId="5278CABF" w:rsidR="00136922" w:rsidRDefault="00136922" w:rsidP="00136922">
      <w:pPr>
        <w:pStyle w:val="EndnoteText"/>
      </w:pPr>
      <w:r>
        <w:rPr>
          <w:rStyle w:val="EndnoteReference"/>
        </w:rPr>
        <w:endnoteRef/>
      </w:r>
      <w:r>
        <w:t xml:space="preserve"> </w:t>
      </w:r>
      <w:r>
        <w:rPr>
          <w:i/>
          <w:iCs/>
        </w:rPr>
        <w:t>See, e.g.</w:t>
      </w:r>
      <w:r>
        <w:t>,</w:t>
      </w:r>
      <w:r>
        <w:rPr>
          <w:i/>
          <w:iCs/>
        </w:rPr>
        <w:t xml:space="preserve"> </w:t>
      </w:r>
      <w:r w:rsidRPr="00136922">
        <w:t xml:space="preserve">CERD Committee, </w:t>
      </w:r>
      <w:r w:rsidRPr="00136922">
        <w:rPr>
          <w:i/>
          <w:iCs/>
        </w:rPr>
        <w:t>Concluding Observations: Czech Republic</w:t>
      </w:r>
      <w:r w:rsidRPr="00136922">
        <w:t xml:space="preserve">, ¶ 22, U.N. Doc. CERD/C/CZE/CO/10-11 (2015); </w:t>
      </w:r>
      <w:r w:rsidRPr="00136922">
        <w:rPr>
          <w:i/>
          <w:iCs/>
        </w:rPr>
        <w:t>Peru</w:t>
      </w:r>
      <w:r w:rsidRPr="00136922">
        <w:t xml:space="preserve">, ¶ 22, U.N. Doc. CERD/C/PER/18-21 (2014); </w:t>
      </w:r>
      <w:r w:rsidRPr="00136922">
        <w:rPr>
          <w:i/>
          <w:iCs/>
        </w:rPr>
        <w:t>Slovakia</w:t>
      </w:r>
      <w:r w:rsidRPr="00136922">
        <w:t xml:space="preserve">, ¶ 18, U.N. Doc. CERD/C/SVK/CO/6-8 (2010); </w:t>
      </w:r>
      <w:r w:rsidRPr="00136922">
        <w:rPr>
          <w:i/>
          <w:iCs/>
        </w:rPr>
        <w:t>Czech Republic</w:t>
      </w:r>
      <w:r w:rsidRPr="00136922">
        <w:t xml:space="preserve">, ¶ 14, U.N. Doc. CERD/C/CZE/CO/7 (2007); </w:t>
      </w:r>
      <w:r w:rsidRPr="00136922">
        <w:rPr>
          <w:i/>
          <w:iCs/>
        </w:rPr>
        <w:t>Mexico</w:t>
      </w:r>
      <w:r w:rsidRPr="00136922">
        <w:t>, ¶ 17, U.N. Doc. CERD/C/MEX/CO/15 (2006).</w:t>
      </w:r>
    </w:p>
  </w:endnote>
  <w:endnote w:id="80">
    <w:p w14:paraId="7CEF6A70" w14:textId="28586DB6" w:rsidR="00136922" w:rsidRDefault="00136922" w:rsidP="00136922">
      <w:pPr>
        <w:pStyle w:val="EndnoteText"/>
      </w:pPr>
      <w:r>
        <w:rPr>
          <w:rStyle w:val="EndnoteReference"/>
        </w:rPr>
        <w:endnoteRef/>
      </w:r>
      <w:r>
        <w:t xml:space="preserve"> </w:t>
      </w:r>
      <w:r w:rsidR="0068083C">
        <w:rPr>
          <w:i/>
          <w:iCs/>
        </w:rPr>
        <w:t>See, e.g.</w:t>
      </w:r>
      <w:r w:rsidR="0068083C">
        <w:t>,</w:t>
      </w:r>
      <w:r w:rsidR="0068083C">
        <w:rPr>
          <w:i/>
          <w:iCs/>
        </w:rPr>
        <w:t xml:space="preserve"> </w:t>
      </w:r>
      <w:r w:rsidR="0068083C" w:rsidRPr="0068083C">
        <w:t xml:space="preserve">CERD Committee, </w:t>
      </w:r>
      <w:r w:rsidR="0068083C" w:rsidRPr="0068083C">
        <w:rPr>
          <w:i/>
          <w:iCs/>
        </w:rPr>
        <w:t>Concluding Observations: Czech Republic</w:t>
      </w:r>
      <w:r w:rsidR="0068083C" w:rsidRPr="0068083C">
        <w:t xml:space="preserve">, ¶ 22, U.N. Doc. CERD/C/CZE/CO/10-11 (2015); </w:t>
      </w:r>
      <w:r w:rsidR="0068083C" w:rsidRPr="0068083C">
        <w:rPr>
          <w:i/>
          <w:iCs/>
        </w:rPr>
        <w:t>Slovakia</w:t>
      </w:r>
      <w:r w:rsidR="0068083C" w:rsidRPr="0068083C">
        <w:t>, ¶ 18, U.N. Doc. CERD/C/SVK/CO/6-8 (2010).</w:t>
      </w:r>
    </w:p>
  </w:endnote>
  <w:endnote w:id="81">
    <w:p w14:paraId="2D822BC2" w14:textId="77777777" w:rsidR="003D3CA5" w:rsidRPr="003A5518" w:rsidRDefault="003D3CA5" w:rsidP="003D3CA5">
      <w:pPr>
        <w:rPr>
          <w:sz w:val="20"/>
          <w:szCs w:val="20"/>
        </w:rPr>
      </w:pPr>
      <w:r w:rsidRPr="003A5518">
        <w:rPr>
          <w:rStyle w:val="EndnoteReference"/>
          <w:sz w:val="20"/>
          <w:szCs w:val="20"/>
        </w:rPr>
        <w:endnoteRef/>
      </w:r>
      <w:r w:rsidRPr="003A5518">
        <w:rPr>
          <w:sz w:val="20"/>
          <w:szCs w:val="20"/>
        </w:rPr>
        <w:t xml:space="preserve"> Special Rapporteur on the right to the highest attainable standard of physical and mental health, </w:t>
      </w:r>
      <w:r w:rsidRPr="003A5518">
        <w:rPr>
          <w:i/>
          <w:iCs/>
          <w:sz w:val="20"/>
          <w:szCs w:val="20"/>
        </w:rPr>
        <w:t>Sexual and reproductive health rights: challenges and opportunities during COVID-19</w:t>
      </w:r>
      <w:r w:rsidRPr="003A5518">
        <w:rPr>
          <w:sz w:val="20"/>
          <w:szCs w:val="20"/>
        </w:rPr>
        <w:t xml:space="preserve">, ¶ 21, U.N. Doc. A/76/172 (2021).  </w:t>
      </w:r>
    </w:p>
  </w:endnote>
  <w:endnote w:id="82">
    <w:p w14:paraId="75D56EB1" w14:textId="77777777" w:rsidR="003D3CA5" w:rsidRPr="003A5518" w:rsidRDefault="003D3CA5" w:rsidP="003D3CA5">
      <w:pPr>
        <w:pStyle w:val="EndnoteText"/>
      </w:pPr>
      <w:r w:rsidRPr="003A5518">
        <w:rPr>
          <w:rStyle w:val="EndnoteReference"/>
        </w:rPr>
        <w:endnoteRef/>
      </w:r>
      <w:r w:rsidRPr="003A5518">
        <w:t xml:space="preserve"> </w:t>
      </w:r>
      <w:r w:rsidRPr="003A5518">
        <w:rPr>
          <w:i/>
          <w:iCs/>
        </w:rPr>
        <w:t>Id.</w:t>
      </w:r>
      <w:r w:rsidRPr="003A5518">
        <w:t>, ¶ 4.</w:t>
      </w:r>
    </w:p>
  </w:endnote>
  <w:endnote w:id="83">
    <w:p w14:paraId="6EBEA950" w14:textId="04BBB420" w:rsidR="00953BA0" w:rsidRPr="003A5518" w:rsidRDefault="00D67160" w:rsidP="00FC7BA9">
      <w:pPr>
        <w:pStyle w:val="EndnoteText"/>
      </w:pPr>
      <w:r w:rsidRPr="003A5518">
        <w:rPr>
          <w:rStyle w:val="EndnoteReference"/>
        </w:rPr>
        <w:endnoteRef/>
      </w:r>
      <w:r w:rsidRPr="003A5518">
        <w:t xml:space="preserve"> </w:t>
      </w:r>
      <w:r w:rsidR="003A5518" w:rsidRPr="003A5518">
        <w:t>Convention on the Rights of Persons with Disabilities, adopted Dec. 13, 2006, art</w:t>
      </w:r>
      <w:r w:rsidR="003A5518">
        <w:t>. 5</w:t>
      </w:r>
      <w:r w:rsidR="003A5518" w:rsidRPr="003A5518">
        <w:t>, G.A. Res. A/RES/61/106, U.N. GAOR, 61st Sess., U.N. Doc. A/61/611, (entered into force May</w:t>
      </w:r>
      <w:r w:rsidR="00FB241C">
        <w:t xml:space="preserve"> </w:t>
      </w:r>
      <w:r w:rsidR="003A5518" w:rsidRPr="003A5518">
        <w:t>3</w:t>
      </w:r>
      <w:r w:rsidR="00FB241C">
        <w:t>,</w:t>
      </w:r>
      <w:r w:rsidR="003A5518" w:rsidRPr="003A5518">
        <w:t xml:space="preserve"> 2008)</w:t>
      </w:r>
      <w:r w:rsidR="003A5518">
        <w:t>.</w:t>
      </w:r>
    </w:p>
  </w:endnote>
  <w:endnote w:id="84">
    <w:p w14:paraId="56DA968E" w14:textId="3C75335D" w:rsidR="00D67160" w:rsidRPr="003A5518" w:rsidRDefault="00D67160" w:rsidP="00FC7BA9">
      <w:pPr>
        <w:pStyle w:val="EndnoteText"/>
      </w:pPr>
      <w:r w:rsidRPr="003A5518">
        <w:rPr>
          <w:rStyle w:val="EndnoteReference"/>
        </w:rPr>
        <w:endnoteRef/>
      </w:r>
      <w:r w:rsidRPr="003A5518">
        <w:t xml:space="preserve"> CRPD Committee, </w:t>
      </w:r>
      <w:r w:rsidRPr="003A5518">
        <w:rPr>
          <w:i/>
          <w:iCs/>
        </w:rPr>
        <w:t>General Comment No. 6 on equality and non-discrimination</w:t>
      </w:r>
      <w:r w:rsidRPr="003A5518">
        <w:t xml:space="preserve">, </w:t>
      </w:r>
      <w:r w:rsidR="003A5518" w:rsidRPr="003A5518">
        <w:t>¶</w:t>
      </w:r>
      <w:r w:rsidRPr="003A5518">
        <w:t xml:space="preserve"> 19, U.N. Doc. CRPD/C/GC/6 (2018).</w:t>
      </w:r>
    </w:p>
  </w:endnote>
  <w:endnote w:id="85">
    <w:p w14:paraId="1ACEAF50" w14:textId="7C3CFA49" w:rsidR="00D67160" w:rsidRPr="003A5518" w:rsidRDefault="00D67160" w:rsidP="00FC7BA9">
      <w:pPr>
        <w:pStyle w:val="EndnoteText"/>
      </w:pPr>
      <w:r w:rsidRPr="003A5518">
        <w:rPr>
          <w:rStyle w:val="EndnoteReference"/>
        </w:rPr>
        <w:endnoteRef/>
      </w:r>
      <w:r w:rsidRPr="003A5518">
        <w:t xml:space="preserve"> </w:t>
      </w:r>
      <w:r w:rsidR="003A5518" w:rsidRPr="003A5518">
        <w:rPr>
          <w:i/>
          <w:iCs/>
        </w:rPr>
        <w:t>Id.</w:t>
      </w:r>
      <w:r w:rsidR="003A5518" w:rsidRPr="003A5518">
        <w:t>, ¶ 21.</w:t>
      </w:r>
    </w:p>
  </w:endnote>
  <w:endnote w:id="86">
    <w:p w14:paraId="06284EDB" w14:textId="045D01A5" w:rsidR="00D67160" w:rsidRPr="003A5518" w:rsidRDefault="00D67160" w:rsidP="00FC7BA9">
      <w:pPr>
        <w:pStyle w:val="EndnoteText"/>
      </w:pPr>
      <w:r w:rsidRPr="003A5518">
        <w:rPr>
          <w:rStyle w:val="EndnoteReference"/>
        </w:rPr>
        <w:endnoteRef/>
      </w:r>
      <w:r w:rsidRPr="003A5518">
        <w:t xml:space="preserve"> </w:t>
      </w:r>
      <w:r w:rsidR="003A5518" w:rsidRPr="003A5518">
        <w:rPr>
          <w:i/>
          <w:iCs/>
        </w:rPr>
        <w:t>Id.</w:t>
      </w:r>
      <w:r w:rsidR="003A5518" w:rsidRPr="003A5518">
        <w:t>, ¶ 32.</w:t>
      </w:r>
    </w:p>
  </w:endnote>
  <w:endnote w:id="87">
    <w:p w14:paraId="5365E347" w14:textId="3F4408DC" w:rsidR="00D67160" w:rsidRPr="003A5518" w:rsidRDefault="00D67160" w:rsidP="00FC7BA9">
      <w:pPr>
        <w:pStyle w:val="EndnoteText"/>
      </w:pPr>
      <w:r w:rsidRPr="003A5518">
        <w:rPr>
          <w:rStyle w:val="EndnoteReference"/>
        </w:rPr>
        <w:endnoteRef/>
      </w:r>
      <w:r w:rsidRPr="003A5518">
        <w:t xml:space="preserve"> </w:t>
      </w:r>
      <w:r w:rsidR="003A5518" w:rsidRPr="003A5518">
        <w:rPr>
          <w:i/>
          <w:iCs/>
        </w:rPr>
        <w:t>Id.</w:t>
      </w:r>
      <w:r w:rsidR="003A5518" w:rsidRPr="003A5518">
        <w:t>, ¶ 55(a).</w:t>
      </w:r>
    </w:p>
  </w:endnote>
  <w:endnote w:id="88">
    <w:p w14:paraId="06CCEBB8" w14:textId="770510C0" w:rsidR="00D67160" w:rsidRPr="003A5518" w:rsidRDefault="00D67160" w:rsidP="00FC7BA9">
      <w:pPr>
        <w:pStyle w:val="EndnoteText"/>
      </w:pPr>
      <w:r w:rsidRPr="003A5518">
        <w:rPr>
          <w:rStyle w:val="EndnoteReference"/>
        </w:rPr>
        <w:endnoteRef/>
      </w:r>
      <w:r w:rsidRPr="003A5518">
        <w:t xml:space="preserve"> </w:t>
      </w:r>
      <w:r w:rsidR="003A5518" w:rsidRPr="003A5518">
        <w:rPr>
          <w:i/>
          <w:iCs/>
        </w:rPr>
        <w:t>Id.</w:t>
      </w:r>
      <w:r w:rsidR="003A5518" w:rsidRPr="003A5518">
        <w:t>, ¶ 71.</w:t>
      </w:r>
    </w:p>
  </w:endnote>
  <w:endnote w:id="89">
    <w:p w14:paraId="4BA467B8" w14:textId="3C34D088" w:rsidR="00D67160" w:rsidRPr="003A5518" w:rsidRDefault="00D67160">
      <w:pPr>
        <w:pStyle w:val="EndnoteText"/>
      </w:pPr>
      <w:r w:rsidRPr="003A5518">
        <w:rPr>
          <w:rStyle w:val="EndnoteReference"/>
        </w:rPr>
        <w:endnoteRef/>
      </w:r>
      <w:r w:rsidRPr="003A5518">
        <w:t xml:space="preserve"> CRPD Committee, </w:t>
      </w:r>
      <w:r w:rsidRPr="003A5518">
        <w:rPr>
          <w:i/>
          <w:iCs/>
        </w:rPr>
        <w:t>General Comment No. 2: Article 9: Accessibility</w:t>
      </w:r>
      <w:r w:rsidRPr="003A5518">
        <w:t>, ¶ 13, U.N. Doc. CRPD/C/GC/2 (2014).</w:t>
      </w:r>
    </w:p>
  </w:endnote>
  <w:endnote w:id="90">
    <w:p w14:paraId="3242A0D8" w14:textId="047C00D9" w:rsidR="00D67160" w:rsidRPr="003A5518" w:rsidRDefault="00D67160">
      <w:pPr>
        <w:pStyle w:val="EndnoteText"/>
      </w:pPr>
      <w:r w:rsidRPr="003A5518">
        <w:rPr>
          <w:rStyle w:val="EndnoteReference"/>
        </w:rPr>
        <w:endnoteRef/>
      </w:r>
      <w:r w:rsidRPr="003A5518">
        <w:t xml:space="preserve"> </w:t>
      </w:r>
      <w:r w:rsidRPr="003A5518">
        <w:rPr>
          <w:i/>
          <w:iCs/>
        </w:rPr>
        <w:t>Id.</w:t>
      </w:r>
      <w:r w:rsidRPr="003A5518">
        <w:t>, ¶ 40.</w:t>
      </w:r>
    </w:p>
  </w:endnote>
  <w:endnote w:id="91">
    <w:p w14:paraId="0E4909FC" w14:textId="4020C712" w:rsidR="00D67160" w:rsidRPr="003A5518" w:rsidRDefault="00D67160">
      <w:pPr>
        <w:pStyle w:val="EndnoteText"/>
      </w:pPr>
      <w:r w:rsidRPr="003A5518">
        <w:rPr>
          <w:rStyle w:val="EndnoteReference"/>
        </w:rPr>
        <w:endnoteRef/>
      </w:r>
      <w:r w:rsidRPr="003A5518">
        <w:t xml:space="preserve"> </w:t>
      </w:r>
      <w:r w:rsidRPr="003A5518">
        <w:rPr>
          <w:i/>
          <w:iCs/>
        </w:rPr>
        <w:t>Id.</w:t>
      </w:r>
    </w:p>
  </w:endnote>
  <w:endnote w:id="92">
    <w:p w14:paraId="2A926631" w14:textId="0752FA2E" w:rsidR="00D67160" w:rsidRPr="003A5518" w:rsidRDefault="00D67160">
      <w:pPr>
        <w:pStyle w:val="EndnoteText"/>
      </w:pPr>
      <w:r w:rsidRPr="003A5518">
        <w:rPr>
          <w:rStyle w:val="EndnoteReference"/>
        </w:rPr>
        <w:endnoteRef/>
      </w:r>
      <w:r w:rsidRPr="003A5518">
        <w:t xml:space="preserve"> </w:t>
      </w:r>
      <w:r w:rsidRPr="003A5518">
        <w:rPr>
          <w:i/>
          <w:iCs/>
        </w:rPr>
        <w:t>See, e.g.</w:t>
      </w:r>
      <w:r w:rsidRPr="003A5518">
        <w:t xml:space="preserve">, CRPD Committee, </w:t>
      </w:r>
      <w:r w:rsidRPr="003A5518">
        <w:rPr>
          <w:i/>
          <w:iCs/>
        </w:rPr>
        <w:t>General Comment No. 1: Article 12: Equal recognition before the law</w:t>
      </w:r>
      <w:r w:rsidRPr="003A5518">
        <w:t>, ¶ 41, U.N. Doc. CRPD/C/GC/1 (2014).</w:t>
      </w:r>
    </w:p>
  </w:endnote>
  <w:endnote w:id="93">
    <w:p w14:paraId="131A21A1" w14:textId="3A9DF3FB" w:rsidR="00D67160" w:rsidRPr="003A5518" w:rsidRDefault="00D67160">
      <w:pPr>
        <w:pStyle w:val="EndnoteText"/>
        <w:rPr>
          <w:b/>
          <w:bCs/>
        </w:rPr>
      </w:pPr>
      <w:r w:rsidRPr="003A5518">
        <w:rPr>
          <w:rStyle w:val="EndnoteReference"/>
        </w:rPr>
        <w:endnoteRef/>
      </w:r>
      <w:r w:rsidRPr="003A5518">
        <w:t xml:space="preserve"> For a summary of human rights standards in this regard, </w:t>
      </w:r>
      <w:r w:rsidRPr="003A5518">
        <w:rPr>
          <w:i/>
          <w:iCs/>
        </w:rPr>
        <w:t xml:space="preserve">see </w:t>
      </w:r>
      <w:r w:rsidRPr="003A5518">
        <w:rPr>
          <w:smallCaps/>
        </w:rPr>
        <w:t xml:space="preserve">Women Enabled International, </w:t>
      </w:r>
      <w:r w:rsidR="003A5518" w:rsidRPr="003A5518">
        <w:rPr>
          <w:smallCaps/>
        </w:rPr>
        <w:t>accountABILITY Toolkit: U.N. Standards on Sexual and Reproductive Health and Rights of Women and Girls with Disabilities</w:t>
      </w:r>
      <w:r w:rsidR="003A5518" w:rsidRPr="003A5518">
        <w:rPr>
          <w:b/>
          <w:bCs/>
          <w:smallCaps/>
        </w:rPr>
        <w:t xml:space="preserve"> </w:t>
      </w:r>
      <w:r w:rsidRPr="003A5518">
        <w:t>23-24 (2018)</w:t>
      </w:r>
      <w:r w:rsidR="003A5518" w:rsidRPr="003A5518">
        <w:t>, https://womenenabled.org/reports/wei-atk-un-standards-srhr-women-and-girls-with-disabilities/.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56797"/>
      <w:docPartObj>
        <w:docPartGallery w:val="Page Numbers (Bottom of Page)"/>
        <w:docPartUnique/>
      </w:docPartObj>
    </w:sdtPr>
    <w:sdtContent>
      <w:p w14:paraId="3A2E2A62" w14:textId="30D74A93" w:rsidR="008232AB" w:rsidRPr="008232AB" w:rsidRDefault="008232AB">
        <w:pPr>
          <w:pStyle w:val="Footer"/>
          <w:jc w:val="right"/>
        </w:pPr>
        <w:r w:rsidRPr="008232AB">
          <w:fldChar w:fldCharType="begin"/>
        </w:r>
        <w:r w:rsidRPr="008232AB">
          <w:instrText>PAGE   \* MERGEFORMAT</w:instrText>
        </w:r>
        <w:r w:rsidRPr="008232AB">
          <w:fldChar w:fldCharType="separate"/>
        </w:r>
        <w:r w:rsidRPr="008232AB">
          <w:t>2</w:t>
        </w:r>
        <w:r w:rsidRPr="008232AB">
          <w:fldChar w:fldCharType="end"/>
        </w:r>
      </w:p>
    </w:sdtContent>
  </w:sdt>
  <w:p w14:paraId="033E2ADD" w14:textId="77777777" w:rsidR="008232AB" w:rsidRDefault="0082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BB50" w14:textId="77777777" w:rsidR="00A36EB3" w:rsidRDefault="00A36EB3" w:rsidP="0052731F">
      <w:r>
        <w:separator/>
      </w:r>
    </w:p>
  </w:footnote>
  <w:footnote w:type="continuationSeparator" w:id="0">
    <w:p w14:paraId="14F96619" w14:textId="77777777" w:rsidR="00A36EB3" w:rsidRDefault="00A36EB3" w:rsidP="0052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A35"/>
    <w:multiLevelType w:val="hybridMultilevel"/>
    <w:tmpl w:val="A75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23F3"/>
    <w:multiLevelType w:val="hybridMultilevel"/>
    <w:tmpl w:val="A660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2F6"/>
    <w:multiLevelType w:val="hybridMultilevel"/>
    <w:tmpl w:val="ED30FB00"/>
    <w:lvl w:ilvl="0" w:tplc="FF248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E0335"/>
    <w:multiLevelType w:val="hybridMultilevel"/>
    <w:tmpl w:val="1402DA6E"/>
    <w:lvl w:ilvl="0" w:tplc="A3EE75B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79496A"/>
    <w:multiLevelType w:val="hybridMultilevel"/>
    <w:tmpl w:val="502ACE2A"/>
    <w:lvl w:ilvl="0" w:tplc="94B69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068BF"/>
    <w:multiLevelType w:val="hybridMultilevel"/>
    <w:tmpl w:val="903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323E5"/>
    <w:multiLevelType w:val="hybridMultilevel"/>
    <w:tmpl w:val="92100B80"/>
    <w:lvl w:ilvl="0" w:tplc="671CF33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144B90"/>
    <w:multiLevelType w:val="hybridMultilevel"/>
    <w:tmpl w:val="2B48D164"/>
    <w:lvl w:ilvl="0" w:tplc="751AD1EE">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143A45"/>
    <w:multiLevelType w:val="hybridMultilevel"/>
    <w:tmpl w:val="70E69A58"/>
    <w:lvl w:ilvl="0" w:tplc="72A0BE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224412">
    <w:abstractNumId w:val="8"/>
  </w:num>
  <w:num w:numId="2" w16cid:durableId="1931548595">
    <w:abstractNumId w:val="7"/>
  </w:num>
  <w:num w:numId="3" w16cid:durableId="1862433813">
    <w:abstractNumId w:val="3"/>
  </w:num>
  <w:num w:numId="4" w16cid:durableId="1406296286">
    <w:abstractNumId w:val="9"/>
  </w:num>
  <w:num w:numId="5" w16cid:durableId="132453346">
    <w:abstractNumId w:val="4"/>
  </w:num>
  <w:num w:numId="6" w16cid:durableId="381558234">
    <w:abstractNumId w:val="6"/>
  </w:num>
  <w:num w:numId="7" w16cid:durableId="665985027">
    <w:abstractNumId w:val="0"/>
  </w:num>
  <w:num w:numId="8" w16cid:durableId="506987444">
    <w:abstractNumId w:val="5"/>
  </w:num>
  <w:num w:numId="9" w16cid:durableId="119301706">
    <w:abstractNumId w:val="2"/>
  </w:num>
  <w:num w:numId="10" w16cid:durableId="213686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trQwM7M0NLUwMzZX0lEKTi0uzszPAykwNKwFAJbPEy0tAAAA"/>
  </w:docVars>
  <w:rsids>
    <w:rsidRoot w:val="0052731F"/>
    <w:rsid w:val="000033A7"/>
    <w:rsid w:val="000034F5"/>
    <w:rsid w:val="00004C60"/>
    <w:rsid w:val="00010472"/>
    <w:rsid w:val="0001056F"/>
    <w:rsid w:val="0001431F"/>
    <w:rsid w:val="00032FE9"/>
    <w:rsid w:val="00041FD5"/>
    <w:rsid w:val="00045EBA"/>
    <w:rsid w:val="0005096D"/>
    <w:rsid w:val="000536AE"/>
    <w:rsid w:val="00055DC2"/>
    <w:rsid w:val="00055EA7"/>
    <w:rsid w:val="00060E5E"/>
    <w:rsid w:val="00061272"/>
    <w:rsid w:val="00062099"/>
    <w:rsid w:val="000665C0"/>
    <w:rsid w:val="000702F5"/>
    <w:rsid w:val="00075B0B"/>
    <w:rsid w:val="00076F41"/>
    <w:rsid w:val="000802E4"/>
    <w:rsid w:val="00081AF0"/>
    <w:rsid w:val="00083038"/>
    <w:rsid w:val="0008622B"/>
    <w:rsid w:val="0009209C"/>
    <w:rsid w:val="00092B93"/>
    <w:rsid w:val="000A0141"/>
    <w:rsid w:val="000A1FB1"/>
    <w:rsid w:val="000A49C7"/>
    <w:rsid w:val="000A54DC"/>
    <w:rsid w:val="000B1CDB"/>
    <w:rsid w:val="000B223B"/>
    <w:rsid w:val="000B227D"/>
    <w:rsid w:val="000B3853"/>
    <w:rsid w:val="000B5988"/>
    <w:rsid w:val="000B6670"/>
    <w:rsid w:val="000B6F70"/>
    <w:rsid w:val="000C1757"/>
    <w:rsid w:val="000C25BE"/>
    <w:rsid w:val="000C5173"/>
    <w:rsid w:val="000D572A"/>
    <w:rsid w:val="000E2D44"/>
    <w:rsid w:val="000E4F55"/>
    <w:rsid w:val="000E5869"/>
    <w:rsid w:val="000E747B"/>
    <w:rsid w:val="00100E2E"/>
    <w:rsid w:val="00111C7C"/>
    <w:rsid w:val="001120C6"/>
    <w:rsid w:val="00112E85"/>
    <w:rsid w:val="00114D76"/>
    <w:rsid w:val="001164E7"/>
    <w:rsid w:val="00135699"/>
    <w:rsid w:val="00135D67"/>
    <w:rsid w:val="00136922"/>
    <w:rsid w:val="00140982"/>
    <w:rsid w:val="001412D5"/>
    <w:rsid w:val="001427BB"/>
    <w:rsid w:val="001564A3"/>
    <w:rsid w:val="00163CD9"/>
    <w:rsid w:val="0017178E"/>
    <w:rsid w:val="00172E58"/>
    <w:rsid w:val="00180B62"/>
    <w:rsid w:val="0018270D"/>
    <w:rsid w:val="00190E63"/>
    <w:rsid w:val="00192F08"/>
    <w:rsid w:val="0019315F"/>
    <w:rsid w:val="00195210"/>
    <w:rsid w:val="00197A16"/>
    <w:rsid w:val="001A6FCF"/>
    <w:rsid w:val="001B1D65"/>
    <w:rsid w:val="001B3A9D"/>
    <w:rsid w:val="001B4042"/>
    <w:rsid w:val="001B477A"/>
    <w:rsid w:val="001B7CEB"/>
    <w:rsid w:val="001C074A"/>
    <w:rsid w:val="001C2B33"/>
    <w:rsid w:val="001D232E"/>
    <w:rsid w:val="001D2F3B"/>
    <w:rsid w:val="001D4FC8"/>
    <w:rsid w:val="001D5D50"/>
    <w:rsid w:val="001E03A5"/>
    <w:rsid w:val="001E5353"/>
    <w:rsid w:val="001F0E35"/>
    <w:rsid w:val="001F1CED"/>
    <w:rsid w:val="001F2177"/>
    <w:rsid w:val="001F54C1"/>
    <w:rsid w:val="001F5D63"/>
    <w:rsid w:val="002005FF"/>
    <w:rsid w:val="002141AE"/>
    <w:rsid w:val="00216F0C"/>
    <w:rsid w:val="00217ECB"/>
    <w:rsid w:val="00222E2C"/>
    <w:rsid w:val="00231BAB"/>
    <w:rsid w:val="0023388E"/>
    <w:rsid w:val="002367E6"/>
    <w:rsid w:val="002404FE"/>
    <w:rsid w:val="00244C14"/>
    <w:rsid w:val="0025439D"/>
    <w:rsid w:val="00256132"/>
    <w:rsid w:val="00265EE1"/>
    <w:rsid w:val="00271667"/>
    <w:rsid w:val="00271945"/>
    <w:rsid w:val="00274093"/>
    <w:rsid w:val="00281213"/>
    <w:rsid w:val="002950C7"/>
    <w:rsid w:val="002A094D"/>
    <w:rsid w:val="002A3262"/>
    <w:rsid w:val="002B0F85"/>
    <w:rsid w:val="002C0249"/>
    <w:rsid w:val="002C0AC0"/>
    <w:rsid w:val="002C4BA3"/>
    <w:rsid w:val="002D51A4"/>
    <w:rsid w:val="002D63DA"/>
    <w:rsid w:val="002E62F1"/>
    <w:rsid w:val="002F08F1"/>
    <w:rsid w:val="002F1617"/>
    <w:rsid w:val="002F1F73"/>
    <w:rsid w:val="002F26DC"/>
    <w:rsid w:val="002F600E"/>
    <w:rsid w:val="00302FB1"/>
    <w:rsid w:val="003071D5"/>
    <w:rsid w:val="003106CF"/>
    <w:rsid w:val="003112F1"/>
    <w:rsid w:val="00312061"/>
    <w:rsid w:val="00314779"/>
    <w:rsid w:val="003166F3"/>
    <w:rsid w:val="003230A7"/>
    <w:rsid w:val="003252A4"/>
    <w:rsid w:val="00330C16"/>
    <w:rsid w:val="00333A9F"/>
    <w:rsid w:val="00335C69"/>
    <w:rsid w:val="00343D79"/>
    <w:rsid w:val="00347A3A"/>
    <w:rsid w:val="003516A8"/>
    <w:rsid w:val="003516E7"/>
    <w:rsid w:val="0035617C"/>
    <w:rsid w:val="00356ECB"/>
    <w:rsid w:val="00363E31"/>
    <w:rsid w:val="00370FF7"/>
    <w:rsid w:val="0037303D"/>
    <w:rsid w:val="00373E07"/>
    <w:rsid w:val="00383058"/>
    <w:rsid w:val="00383183"/>
    <w:rsid w:val="00383BAB"/>
    <w:rsid w:val="00390727"/>
    <w:rsid w:val="0039495D"/>
    <w:rsid w:val="00396D8D"/>
    <w:rsid w:val="00397B39"/>
    <w:rsid w:val="003A5518"/>
    <w:rsid w:val="003A7C66"/>
    <w:rsid w:val="003B78FC"/>
    <w:rsid w:val="003C017E"/>
    <w:rsid w:val="003C603B"/>
    <w:rsid w:val="003C6B8A"/>
    <w:rsid w:val="003D0AEF"/>
    <w:rsid w:val="003D150A"/>
    <w:rsid w:val="003D192F"/>
    <w:rsid w:val="003D3CA5"/>
    <w:rsid w:val="003D4414"/>
    <w:rsid w:val="003D49DA"/>
    <w:rsid w:val="003D6D36"/>
    <w:rsid w:val="003E048C"/>
    <w:rsid w:val="003E2012"/>
    <w:rsid w:val="003E6C20"/>
    <w:rsid w:val="003F1E0F"/>
    <w:rsid w:val="003F24EC"/>
    <w:rsid w:val="003F37C6"/>
    <w:rsid w:val="003F3C06"/>
    <w:rsid w:val="003F4B2C"/>
    <w:rsid w:val="003F5ED9"/>
    <w:rsid w:val="00404C6A"/>
    <w:rsid w:val="004068B5"/>
    <w:rsid w:val="004114C6"/>
    <w:rsid w:val="00413DFB"/>
    <w:rsid w:val="0042132D"/>
    <w:rsid w:val="00422BFA"/>
    <w:rsid w:val="00423CBD"/>
    <w:rsid w:val="004255DA"/>
    <w:rsid w:val="00427868"/>
    <w:rsid w:val="00430942"/>
    <w:rsid w:val="00431CC8"/>
    <w:rsid w:val="00432F0E"/>
    <w:rsid w:val="00440AA0"/>
    <w:rsid w:val="004444AF"/>
    <w:rsid w:val="00444931"/>
    <w:rsid w:val="0044670D"/>
    <w:rsid w:val="00446BA6"/>
    <w:rsid w:val="0045140A"/>
    <w:rsid w:val="00455905"/>
    <w:rsid w:val="00462B26"/>
    <w:rsid w:val="004640B4"/>
    <w:rsid w:val="004675D4"/>
    <w:rsid w:val="00476706"/>
    <w:rsid w:val="004858CE"/>
    <w:rsid w:val="004872F7"/>
    <w:rsid w:val="00492219"/>
    <w:rsid w:val="004941B7"/>
    <w:rsid w:val="004A1FB7"/>
    <w:rsid w:val="004A49D0"/>
    <w:rsid w:val="004A5847"/>
    <w:rsid w:val="004A7936"/>
    <w:rsid w:val="004B1834"/>
    <w:rsid w:val="004B54D8"/>
    <w:rsid w:val="004B580F"/>
    <w:rsid w:val="004B6B32"/>
    <w:rsid w:val="004C030F"/>
    <w:rsid w:val="004C710D"/>
    <w:rsid w:val="004D2CB3"/>
    <w:rsid w:val="004D59FE"/>
    <w:rsid w:val="004D6201"/>
    <w:rsid w:val="004E0BCF"/>
    <w:rsid w:val="004E3512"/>
    <w:rsid w:val="004E4AA0"/>
    <w:rsid w:val="004E590C"/>
    <w:rsid w:val="004F21DE"/>
    <w:rsid w:val="004F2AEF"/>
    <w:rsid w:val="004F7571"/>
    <w:rsid w:val="00501744"/>
    <w:rsid w:val="00501C78"/>
    <w:rsid w:val="005025DD"/>
    <w:rsid w:val="0050344F"/>
    <w:rsid w:val="005036B3"/>
    <w:rsid w:val="005128F3"/>
    <w:rsid w:val="00513873"/>
    <w:rsid w:val="00513987"/>
    <w:rsid w:val="00520BAF"/>
    <w:rsid w:val="00521549"/>
    <w:rsid w:val="00522CD8"/>
    <w:rsid w:val="0052547E"/>
    <w:rsid w:val="0052731F"/>
    <w:rsid w:val="00531F4F"/>
    <w:rsid w:val="005371E8"/>
    <w:rsid w:val="005419ED"/>
    <w:rsid w:val="00541C13"/>
    <w:rsid w:val="00541E85"/>
    <w:rsid w:val="005455A7"/>
    <w:rsid w:val="00551EDD"/>
    <w:rsid w:val="00563C9C"/>
    <w:rsid w:val="00563D11"/>
    <w:rsid w:val="0057548F"/>
    <w:rsid w:val="00580251"/>
    <w:rsid w:val="00581663"/>
    <w:rsid w:val="00584831"/>
    <w:rsid w:val="00584CC6"/>
    <w:rsid w:val="00587FB5"/>
    <w:rsid w:val="005909C4"/>
    <w:rsid w:val="00592D3A"/>
    <w:rsid w:val="00596129"/>
    <w:rsid w:val="005A0656"/>
    <w:rsid w:val="005A3CF0"/>
    <w:rsid w:val="005A5340"/>
    <w:rsid w:val="005A56A7"/>
    <w:rsid w:val="005B1FC2"/>
    <w:rsid w:val="005B3177"/>
    <w:rsid w:val="005B337B"/>
    <w:rsid w:val="005B4D82"/>
    <w:rsid w:val="005C01D0"/>
    <w:rsid w:val="005C08D9"/>
    <w:rsid w:val="005C42C6"/>
    <w:rsid w:val="005D5049"/>
    <w:rsid w:val="005D588D"/>
    <w:rsid w:val="005D7684"/>
    <w:rsid w:val="005E1888"/>
    <w:rsid w:val="005E4F19"/>
    <w:rsid w:val="005E6CF5"/>
    <w:rsid w:val="005F04A9"/>
    <w:rsid w:val="00600F38"/>
    <w:rsid w:val="00607418"/>
    <w:rsid w:val="00614C89"/>
    <w:rsid w:val="00624BD2"/>
    <w:rsid w:val="00631455"/>
    <w:rsid w:val="006326EB"/>
    <w:rsid w:val="00641A25"/>
    <w:rsid w:val="0064273B"/>
    <w:rsid w:val="00654050"/>
    <w:rsid w:val="00655A62"/>
    <w:rsid w:val="00656791"/>
    <w:rsid w:val="00665BEC"/>
    <w:rsid w:val="0068083C"/>
    <w:rsid w:val="00686664"/>
    <w:rsid w:val="00687205"/>
    <w:rsid w:val="00693660"/>
    <w:rsid w:val="006A055D"/>
    <w:rsid w:val="006A18E2"/>
    <w:rsid w:val="006A72BD"/>
    <w:rsid w:val="006A78CC"/>
    <w:rsid w:val="006A7C1A"/>
    <w:rsid w:val="006B000F"/>
    <w:rsid w:val="006B1683"/>
    <w:rsid w:val="006B198E"/>
    <w:rsid w:val="006C10C6"/>
    <w:rsid w:val="006C7AB6"/>
    <w:rsid w:val="006D1F36"/>
    <w:rsid w:val="006D7AB5"/>
    <w:rsid w:val="006E2D3F"/>
    <w:rsid w:val="006E472D"/>
    <w:rsid w:val="006F4347"/>
    <w:rsid w:val="006F4D49"/>
    <w:rsid w:val="006F5908"/>
    <w:rsid w:val="006F5C3C"/>
    <w:rsid w:val="00701AD4"/>
    <w:rsid w:val="00702C5F"/>
    <w:rsid w:val="007046DF"/>
    <w:rsid w:val="00711FD5"/>
    <w:rsid w:val="007130ED"/>
    <w:rsid w:val="00714977"/>
    <w:rsid w:val="007237F3"/>
    <w:rsid w:val="00730D3F"/>
    <w:rsid w:val="0073279C"/>
    <w:rsid w:val="007368A8"/>
    <w:rsid w:val="00753CBA"/>
    <w:rsid w:val="00754442"/>
    <w:rsid w:val="0075503E"/>
    <w:rsid w:val="007559BF"/>
    <w:rsid w:val="00757951"/>
    <w:rsid w:val="00757968"/>
    <w:rsid w:val="00760A17"/>
    <w:rsid w:val="00762AF5"/>
    <w:rsid w:val="00765746"/>
    <w:rsid w:val="007660DA"/>
    <w:rsid w:val="00774669"/>
    <w:rsid w:val="00777C18"/>
    <w:rsid w:val="0078492E"/>
    <w:rsid w:val="0078534A"/>
    <w:rsid w:val="0078615D"/>
    <w:rsid w:val="0078710F"/>
    <w:rsid w:val="00790A65"/>
    <w:rsid w:val="007A4FD0"/>
    <w:rsid w:val="007A61D6"/>
    <w:rsid w:val="007A78A7"/>
    <w:rsid w:val="007B2B6F"/>
    <w:rsid w:val="007C523C"/>
    <w:rsid w:val="007C5649"/>
    <w:rsid w:val="007D0D84"/>
    <w:rsid w:val="007D6BB6"/>
    <w:rsid w:val="007D6D1B"/>
    <w:rsid w:val="007E0982"/>
    <w:rsid w:val="007F0DA4"/>
    <w:rsid w:val="007F1DF1"/>
    <w:rsid w:val="007F36D9"/>
    <w:rsid w:val="00806422"/>
    <w:rsid w:val="00812551"/>
    <w:rsid w:val="00815ED4"/>
    <w:rsid w:val="0082140B"/>
    <w:rsid w:val="008232AB"/>
    <w:rsid w:val="00823596"/>
    <w:rsid w:val="00823A71"/>
    <w:rsid w:val="00823CE0"/>
    <w:rsid w:val="00825043"/>
    <w:rsid w:val="0082510C"/>
    <w:rsid w:val="00827284"/>
    <w:rsid w:val="00847A86"/>
    <w:rsid w:val="008544E7"/>
    <w:rsid w:val="00854AB3"/>
    <w:rsid w:val="0087651B"/>
    <w:rsid w:val="00880E76"/>
    <w:rsid w:val="008825C8"/>
    <w:rsid w:val="008938A1"/>
    <w:rsid w:val="008960B2"/>
    <w:rsid w:val="008973A6"/>
    <w:rsid w:val="008A274F"/>
    <w:rsid w:val="008A7A7F"/>
    <w:rsid w:val="008B5C8A"/>
    <w:rsid w:val="008C20C0"/>
    <w:rsid w:val="008D63D9"/>
    <w:rsid w:val="008E5431"/>
    <w:rsid w:val="008F044F"/>
    <w:rsid w:val="008F19B4"/>
    <w:rsid w:val="008F3438"/>
    <w:rsid w:val="008F3497"/>
    <w:rsid w:val="008F6207"/>
    <w:rsid w:val="009032BA"/>
    <w:rsid w:val="00923BAA"/>
    <w:rsid w:val="009248C2"/>
    <w:rsid w:val="00924D07"/>
    <w:rsid w:val="00926B30"/>
    <w:rsid w:val="00930FD5"/>
    <w:rsid w:val="00935AD3"/>
    <w:rsid w:val="0093664D"/>
    <w:rsid w:val="0093668F"/>
    <w:rsid w:val="00940A1A"/>
    <w:rsid w:val="00946B43"/>
    <w:rsid w:val="009505D9"/>
    <w:rsid w:val="00951D3F"/>
    <w:rsid w:val="00951E14"/>
    <w:rsid w:val="00952AFB"/>
    <w:rsid w:val="00953BA0"/>
    <w:rsid w:val="00953DBA"/>
    <w:rsid w:val="00956594"/>
    <w:rsid w:val="009565F4"/>
    <w:rsid w:val="00957894"/>
    <w:rsid w:val="00963444"/>
    <w:rsid w:val="0097262D"/>
    <w:rsid w:val="0097368F"/>
    <w:rsid w:val="00974FEE"/>
    <w:rsid w:val="00982BD8"/>
    <w:rsid w:val="0098343D"/>
    <w:rsid w:val="00984F52"/>
    <w:rsid w:val="00984FEB"/>
    <w:rsid w:val="00990A94"/>
    <w:rsid w:val="0099729C"/>
    <w:rsid w:val="009977EF"/>
    <w:rsid w:val="009A1497"/>
    <w:rsid w:val="009A423B"/>
    <w:rsid w:val="009A66B1"/>
    <w:rsid w:val="009B1FB3"/>
    <w:rsid w:val="009B4D19"/>
    <w:rsid w:val="009B7A94"/>
    <w:rsid w:val="009C2BFB"/>
    <w:rsid w:val="009C3E97"/>
    <w:rsid w:val="009C7CB0"/>
    <w:rsid w:val="009D26BA"/>
    <w:rsid w:val="009D3F89"/>
    <w:rsid w:val="009E145C"/>
    <w:rsid w:val="009F4A05"/>
    <w:rsid w:val="00A017ED"/>
    <w:rsid w:val="00A0630C"/>
    <w:rsid w:val="00A125E8"/>
    <w:rsid w:val="00A218A7"/>
    <w:rsid w:val="00A23953"/>
    <w:rsid w:val="00A25651"/>
    <w:rsid w:val="00A273A9"/>
    <w:rsid w:val="00A27894"/>
    <w:rsid w:val="00A33B31"/>
    <w:rsid w:val="00A3449C"/>
    <w:rsid w:val="00A36EB3"/>
    <w:rsid w:val="00A442A6"/>
    <w:rsid w:val="00A445AC"/>
    <w:rsid w:val="00A44E44"/>
    <w:rsid w:val="00A46F96"/>
    <w:rsid w:val="00A5142D"/>
    <w:rsid w:val="00A5387C"/>
    <w:rsid w:val="00A53FE3"/>
    <w:rsid w:val="00A558E1"/>
    <w:rsid w:val="00A5683C"/>
    <w:rsid w:val="00A574E0"/>
    <w:rsid w:val="00A663D8"/>
    <w:rsid w:val="00A74520"/>
    <w:rsid w:val="00A750A2"/>
    <w:rsid w:val="00A822E7"/>
    <w:rsid w:val="00A84C4C"/>
    <w:rsid w:val="00A85905"/>
    <w:rsid w:val="00AB4641"/>
    <w:rsid w:val="00AB528F"/>
    <w:rsid w:val="00AB5B56"/>
    <w:rsid w:val="00AC1265"/>
    <w:rsid w:val="00AC180C"/>
    <w:rsid w:val="00AD515C"/>
    <w:rsid w:val="00AD7879"/>
    <w:rsid w:val="00AE324C"/>
    <w:rsid w:val="00AE41EE"/>
    <w:rsid w:val="00AF3455"/>
    <w:rsid w:val="00AF72FF"/>
    <w:rsid w:val="00B13D74"/>
    <w:rsid w:val="00B146E1"/>
    <w:rsid w:val="00B14A11"/>
    <w:rsid w:val="00B30DBB"/>
    <w:rsid w:val="00B35625"/>
    <w:rsid w:val="00B43F00"/>
    <w:rsid w:val="00B44CE0"/>
    <w:rsid w:val="00B51CAC"/>
    <w:rsid w:val="00B57B4A"/>
    <w:rsid w:val="00B62CA9"/>
    <w:rsid w:val="00B63222"/>
    <w:rsid w:val="00B641FE"/>
    <w:rsid w:val="00B70AC9"/>
    <w:rsid w:val="00B76B50"/>
    <w:rsid w:val="00B82DDA"/>
    <w:rsid w:val="00B847AF"/>
    <w:rsid w:val="00B86242"/>
    <w:rsid w:val="00B93D62"/>
    <w:rsid w:val="00B95D84"/>
    <w:rsid w:val="00BA2F04"/>
    <w:rsid w:val="00BA44A8"/>
    <w:rsid w:val="00BB0097"/>
    <w:rsid w:val="00BB2325"/>
    <w:rsid w:val="00BC2007"/>
    <w:rsid w:val="00BC3BC4"/>
    <w:rsid w:val="00BC6E33"/>
    <w:rsid w:val="00BE0354"/>
    <w:rsid w:val="00BE4B82"/>
    <w:rsid w:val="00BE67BC"/>
    <w:rsid w:val="00BF0141"/>
    <w:rsid w:val="00BF22E2"/>
    <w:rsid w:val="00BF25A9"/>
    <w:rsid w:val="00BF6196"/>
    <w:rsid w:val="00C00458"/>
    <w:rsid w:val="00C0494F"/>
    <w:rsid w:val="00C04CD1"/>
    <w:rsid w:val="00C0605E"/>
    <w:rsid w:val="00C1086E"/>
    <w:rsid w:val="00C11870"/>
    <w:rsid w:val="00C11D0B"/>
    <w:rsid w:val="00C1316A"/>
    <w:rsid w:val="00C1475F"/>
    <w:rsid w:val="00C1577B"/>
    <w:rsid w:val="00C16220"/>
    <w:rsid w:val="00C309D4"/>
    <w:rsid w:val="00C3380C"/>
    <w:rsid w:val="00C34DA4"/>
    <w:rsid w:val="00C4358C"/>
    <w:rsid w:val="00C467B6"/>
    <w:rsid w:val="00C576D3"/>
    <w:rsid w:val="00C6093C"/>
    <w:rsid w:val="00C653A5"/>
    <w:rsid w:val="00C66DD9"/>
    <w:rsid w:val="00C67873"/>
    <w:rsid w:val="00C71054"/>
    <w:rsid w:val="00C81DFE"/>
    <w:rsid w:val="00C91063"/>
    <w:rsid w:val="00C92915"/>
    <w:rsid w:val="00C95EE9"/>
    <w:rsid w:val="00C972FD"/>
    <w:rsid w:val="00C97D50"/>
    <w:rsid w:val="00CA4F7C"/>
    <w:rsid w:val="00CA6EC4"/>
    <w:rsid w:val="00CC2B36"/>
    <w:rsid w:val="00CC5D79"/>
    <w:rsid w:val="00CC7380"/>
    <w:rsid w:val="00CD09FE"/>
    <w:rsid w:val="00CD1711"/>
    <w:rsid w:val="00CD6653"/>
    <w:rsid w:val="00CD783E"/>
    <w:rsid w:val="00CE1EA2"/>
    <w:rsid w:val="00CE37B0"/>
    <w:rsid w:val="00CF15E8"/>
    <w:rsid w:val="00CF3CE9"/>
    <w:rsid w:val="00CF5C8F"/>
    <w:rsid w:val="00CF7188"/>
    <w:rsid w:val="00D1242F"/>
    <w:rsid w:val="00D20439"/>
    <w:rsid w:val="00D216D6"/>
    <w:rsid w:val="00D24612"/>
    <w:rsid w:val="00D3715A"/>
    <w:rsid w:val="00D372EB"/>
    <w:rsid w:val="00D37606"/>
    <w:rsid w:val="00D42F7D"/>
    <w:rsid w:val="00D435E7"/>
    <w:rsid w:val="00D50B04"/>
    <w:rsid w:val="00D54365"/>
    <w:rsid w:val="00D603BC"/>
    <w:rsid w:val="00D60C3E"/>
    <w:rsid w:val="00D6114C"/>
    <w:rsid w:val="00D67160"/>
    <w:rsid w:val="00D67A48"/>
    <w:rsid w:val="00D81D2C"/>
    <w:rsid w:val="00D934E4"/>
    <w:rsid w:val="00D9732A"/>
    <w:rsid w:val="00DA1301"/>
    <w:rsid w:val="00DA14B5"/>
    <w:rsid w:val="00DA1D8F"/>
    <w:rsid w:val="00DA2CE0"/>
    <w:rsid w:val="00DA2D14"/>
    <w:rsid w:val="00DA30AE"/>
    <w:rsid w:val="00DA4B57"/>
    <w:rsid w:val="00DB30CC"/>
    <w:rsid w:val="00DB434C"/>
    <w:rsid w:val="00DB436D"/>
    <w:rsid w:val="00DB4F9E"/>
    <w:rsid w:val="00DB649D"/>
    <w:rsid w:val="00DC10DA"/>
    <w:rsid w:val="00DC6CE6"/>
    <w:rsid w:val="00DD06CF"/>
    <w:rsid w:val="00DE3614"/>
    <w:rsid w:val="00DE4A91"/>
    <w:rsid w:val="00DE674B"/>
    <w:rsid w:val="00DF105C"/>
    <w:rsid w:val="00DF1636"/>
    <w:rsid w:val="00DF18B9"/>
    <w:rsid w:val="00DF1DE0"/>
    <w:rsid w:val="00DF4716"/>
    <w:rsid w:val="00DF6A57"/>
    <w:rsid w:val="00DF75FF"/>
    <w:rsid w:val="00DF77C6"/>
    <w:rsid w:val="00E07506"/>
    <w:rsid w:val="00E133A2"/>
    <w:rsid w:val="00E15F35"/>
    <w:rsid w:val="00E168D0"/>
    <w:rsid w:val="00E20111"/>
    <w:rsid w:val="00E206F3"/>
    <w:rsid w:val="00E30902"/>
    <w:rsid w:val="00E3594D"/>
    <w:rsid w:val="00E374CF"/>
    <w:rsid w:val="00E44819"/>
    <w:rsid w:val="00E456D3"/>
    <w:rsid w:val="00E50EBE"/>
    <w:rsid w:val="00E52D48"/>
    <w:rsid w:val="00E5402C"/>
    <w:rsid w:val="00E56233"/>
    <w:rsid w:val="00E573B6"/>
    <w:rsid w:val="00E61FC0"/>
    <w:rsid w:val="00E62DD9"/>
    <w:rsid w:val="00E63F1D"/>
    <w:rsid w:val="00E80F38"/>
    <w:rsid w:val="00E818FA"/>
    <w:rsid w:val="00E87F34"/>
    <w:rsid w:val="00E977CE"/>
    <w:rsid w:val="00EB0D7F"/>
    <w:rsid w:val="00EB5227"/>
    <w:rsid w:val="00EC4074"/>
    <w:rsid w:val="00EC6F22"/>
    <w:rsid w:val="00ED1DC4"/>
    <w:rsid w:val="00EE6B4A"/>
    <w:rsid w:val="00EF148F"/>
    <w:rsid w:val="00EF207B"/>
    <w:rsid w:val="00EF7AC1"/>
    <w:rsid w:val="00F0066F"/>
    <w:rsid w:val="00F008DF"/>
    <w:rsid w:val="00F03124"/>
    <w:rsid w:val="00F07009"/>
    <w:rsid w:val="00F0755C"/>
    <w:rsid w:val="00F11371"/>
    <w:rsid w:val="00F119F3"/>
    <w:rsid w:val="00F140E1"/>
    <w:rsid w:val="00F15A24"/>
    <w:rsid w:val="00F2074D"/>
    <w:rsid w:val="00F23702"/>
    <w:rsid w:val="00F337B5"/>
    <w:rsid w:val="00F359E8"/>
    <w:rsid w:val="00F366B4"/>
    <w:rsid w:val="00F3780A"/>
    <w:rsid w:val="00F40BE3"/>
    <w:rsid w:val="00F67511"/>
    <w:rsid w:val="00F70DBC"/>
    <w:rsid w:val="00F71D7E"/>
    <w:rsid w:val="00F81D77"/>
    <w:rsid w:val="00F82969"/>
    <w:rsid w:val="00F91CD5"/>
    <w:rsid w:val="00F92403"/>
    <w:rsid w:val="00F92BC8"/>
    <w:rsid w:val="00F92EBF"/>
    <w:rsid w:val="00F95A0E"/>
    <w:rsid w:val="00FA263C"/>
    <w:rsid w:val="00FA6188"/>
    <w:rsid w:val="00FA6246"/>
    <w:rsid w:val="00FB2203"/>
    <w:rsid w:val="00FB241C"/>
    <w:rsid w:val="00FB405A"/>
    <w:rsid w:val="00FB4338"/>
    <w:rsid w:val="00FB631C"/>
    <w:rsid w:val="00FC4530"/>
    <w:rsid w:val="00FC692E"/>
    <w:rsid w:val="00FC7199"/>
    <w:rsid w:val="00FC7BA9"/>
    <w:rsid w:val="00FD4DA4"/>
    <w:rsid w:val="00FE22C3"/>
    <w:rsid w:val="00FE2D53"/>
    <w:rsid w:val="00FE4D1A"/>
    <w:rsid w:val="00FE56EC"/>
    <w:rsid w:val="00FE7AA8"/>
    <w:rsid w:val="00FF0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8637"/>
  <w15:chartTrackingRefBased/>
  <w15:docId w15:val="{5C191F0D-B255-4B09-A065-D5BCA63D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1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A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1F"/>
    <w:pPr>
      <w:ind w:left="720"/>
      <w:contextualSpacing/>
    </w:pPr>
  </w:style>
  <w:style w:type="character" w:styleId="Hyperlink">
    <w:name w:val="Hyperlink"/>
    <w:basedOn w:val="DefaultParagraphFont"/>
    <w:uiPriority w:val="99"/>
    <w:unhideWhenUsed/>
    <w:rsid w:val="0052731F"/>
    <w:rPr>
      <w:color w:val="0563C1" w:themeColor="hyperlink"/>
      <w:u w:val="single"/>
    </w:rPr>
  </w:style>
  <w:style w:type="paragraph" w:styleId="EndnoteText">
    <w:name w:val="endnote text"/>
    <w:aliases w:val="en"/>
    <w:basedOn w:val="Normal"/>
    <w:link w:val="EndnoteTextChar"/>
    <w:uiPriority w:val="99"/>
    <w:unhideWhenUsed/>
    <w:rsid w:val="0052731F"/>
    <w:rPr>
      <w:sz w:val="20"/>
      <w:szCs w:val="20"/>
    </w:rPr>
  </w:style>
  <w:style w:type="character" w:customStyle="1" w:styleId="EndnoteTextChar">
    <w:name w:val="Endnote Text Char"/>
    <w:aliases w:val="en Char"/>
    <w:basedOn w:val="DefaultParagraphFont"/>
    <w:link w:val="EndnoteText"/>
    <w:uiPriority w:val="99"/>
    <w:rsid w:val="0052731F"/>
    <w:rPr>
      <w:sz w:val="20"/>
      <w:szCs w:val="20"/>
    </w:rPr>
  </w:style>
  <w:style w:type="character" w:styleId="EndnoteReference">
    <w:name w:val="endnote reference"/>
    <w:basedOn w:val="DefaultParagraphFont"/>
    <w:uiPriority w:val="99"/>
    <w:unhideWhenUsed/>
    <w:rsid w:val="0052731F"/>
    <w:rPr>
      <w:vertAlign w:val="superscript"/>
    </w:rPr>
  </w:style>
  <w:style w:type="character" w:styleId="CommentReference">
    <w:name w:val="annotation reference"/>
    <w:basedOn w:val="DefaultParagraphFont"/>
    <w:uiPriority w:val="99"/>
    <w:semiHidden/>
    <w:unhideWhenUsed/>
    <w:rsid w:val="00A25651"/>
    <w:rPr>
      <w:sz w:val="16"/>
      <w:szCs w:val="16"/>
    </w:rPr>
  </w:style>
  <w:style w:type="paragraph" w:styleId="CommentText">
    <w:name w:val="annotation text"/>
    <w:basedOn w:val="Normal"/>
    <w:link w:val="CommentTextChar"/>
    <w:uiPriority w:val="99"/>
    <w:unhideWhenUsed/>
    <w:rsid w:val="00A25651"/>
    <w:rPr>
      <w:sz w:val="20"/>
      <w:szCs w:val="20"/>
    </w:rPr>
  </w:style>
  <w:style w:type="character" w:customStyle="1" w:styleId="CommentTextChar">
    <w:name w:val="Comment Text Char"/>
    <w:basedOn w:val="DefaultParagraphFont"/>
    <w:link w:val="CommentText"/>
    <w:uiPriority w:val="99"/>
    <w:rsid w:val="00A25651"/>
    <w:rPr>
      <w:sz w:val="20"/>
      <w:szCs w:val="20"/>
    </w:rPr>
  </w:style>
  <w:style w:type="paragraph" w:styleId="CommentSubject">
    <w:name w:val="annotation subject"/>
    <w:basedOn w:val="CommentText"/>
    <w:next w:val="CommentText"/>
    <w:link w:val="CommentSubjectChar"/>
    <w:uiPriority w:val="99"/>
    <w:semiHidden/>
    <w:unhideWhenUsed/>
    <w:rsid w:val="00A25651"/>
    <w:rPr>
      <w:b/>
      <w:bCs/>
    </w:rPr>
  </w:style>
  <w:style w:type="character" w:customStyle="1" w:styleId="CommentSubjectChar">
    <w:name w:val="Comment Subject Char"/>
    <w:basedOn w:val="CommentTextChar"/>
    <w:link w:val="CommentSubject"/>
    <w:uiPriority w:val="99"/>
    <w:semiHidden/>
    <w:rsid w:val="00A25651"/>
    <w:rPr>
      <w:b/>
      <w:bCs/>
      <w:sz w:val="20"/>
      <w:szCs w:val="20"/>
    </w:rPr>
  </w:style>
  <w:style w:type="character" w:styleId="UnresolvedMention">
    <w:name w:val="Unresolved Mention"/>
    <w:basedOn w:val="DefaultParagraphFont"/>
    <w:uiPriority w:val="99"/>
    <w:semiHidden/>
    <w:unhideWhenUsed/>
    <w:rsid w:val="00083038"/>
    <w:rPr>
      <w:color w:val="605E5C"/>
      <w:shd w:val="clear" w:color="auto" w:fill="E1DFDD"/>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w:basedOn w:val="Normal"/>
    <w:link w:val="FootnoteTextChar"/>
    <w:uiPriority w:val="99"/>
    <w:unhideWhenUsed/>
    <w:rsid w:val="00806422"/>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806422"/>
    <w:rPr>
      <w:sz w:val="20"/>
      <w:szCs w:val="20"/>
    </w:rPr>
  </w:style>
  <w:style w:type="character" w:styleId="FootnoteReference">
    <w:name w:val="footnote reference"/>
    <w:aliases w:val="4_G,Footnotes refss,Footnote number,Footnote symbol,Footnote Refernece,callout,Footnote Reference Superscript,Footnote Reference Number,BVI fnr,ftref,NO,footnoteAsia1,FNRefe Char,BVI fnr Char,BVI fnr Char Char,Ref,de nota al pie,fr,FO"/>
    <w:basedOn w:val="DefaultParagraphFont"/>
    <w:link w:val="BVIfnrCharChar1"/>
    <w:uiPriority w:val="99"/>
    <w:unhideWhenUsed/>
    <w:qFormat/>
    <w:rsid w:val="00926B30"/>
    <w:rPr>
      <w:vertAlign w:val="superscript"/>
    </w:rPr>
  </w:style>
  <w:style w:type="paragraph" w:customStyle="1" w:styleId="BVIfnrCharChar1">
    <w:name w:val="BVI fnr (文字) Char Char1"/>
    <w:aliases w:val="BVI fnr (文字) (文字) Char (文字) Char Char1 Char Char Char Char Char Char Char1 Char Char Char Char Char Char1 Char Char,BVI fnr (文字) (文字) Char (文字) Char Char1 Char Char Char Char Char Char Char1 Char Char Char1 Char"/>
    <w:basedOn w:val="Normal"/>
    <w:link w:val="FootnoteReference"/>
    <w:uiPriority w:val="99"/>
    <w:rsid w:val="00926B30"/>
    <w:pPr>
      <w:spacing w:line="240" w:lineRule="exact"/>
    </w:pPr>
    <w:rPr>
      <w:vertAlign w:val="superscript"/>
    </w:rPr>
  </w:style>
  <w:style w:type="paragraph" w:styleId="NoSpacing">
    <w:name w:val="No Spacing"/>
    <w:uiPriority w:val="1"/>
    <w:qFormat/>
    <w:rsid w:val="00926B30"/>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248C2"/>
    <w:rPr>
      <w:color w:val="954F72" w:themeColor="followedHyperlink"/>
      <w:u w:val="single"/>
    </w:rPr>
  </w:style>
  <w:style w:type="paragraph" w:styleId="Revision">
    <w:name w:val="Revision"/>
    <w:hidden/>
    <w:uiPriority w:val="99"/>
    <w:semiHidden/>
    <w:rsid w:val="003F1E0F"/>
    <w:pPr>
      <w:spacing w:after="0" w:line="240" w:lineRule="auto"/>
    </w:pPr>
  </w:style>
  <w:style w:type="paragraph" w:styleId="Header">
    <w:name w:val="header"/>
    <w:basedOn w:val="Normal"/>
    <w:link w:val="HeaderChar"/>
    <w:uiPriority w:val="99"/>
    <w:unhideWhenUsed/>
    <w:rsid w:val="008232AB"/>
    <w:pPr>
      <w:tabs>
        <w:tab w:val="center" w:pos="4252"/>
        <w:tab w:val="right" w:pos="8504"/>
      </w:tabs>
    </w:pPr>
  </w:style>
  <w:style w:type="character" w:customStyle="1" w:styleId="HeaderChar">
    <w:name w:val="Header Char"/>
    <w:basedOn w:val="DefaultParagraphFont"/>
    <w:link w:val="Header"/>
    <w:uiPriority w:val="99"/>
    <w:rsid w:val="008232AB"/>
  </w:style>
  <w:style w:type="paragraph" w:styleId="Footer">
    <w:name w:val="footer"/>
    <w:basedOn w:val="Normal"/>
    <w:link w:val="FooterChar"/>
    <w:uiPriority w:val="99"/>
    <w:unhideWhenUsed/>
    <w:rsid w:val="008232AB"/>
    <w:pPr>
      <w:tabs>
        <w:tab w:val="center" w:pos="4252"/>
        <w:tab w:val="right" w:pos="8504"/>
      </w:tabs>
    </w:pPr>
  </w:style>
  <w:style w:type="character" w:customStyle="1" w:styleId="FooterChar">
    <w:name w:val="Footer Char"/>
    <w:basedOn w:val="DefaultParagraphFont"/>
    <w:link w:val="Footer"/>
    <w:uiPriority w:val="99"/>
    <w:rsid w:val="008232AB"/>
  </w:style>
  <w:style w:type="character" w:customStyle="1" w:styleId="Heading2Char">
    <w:name w:val="Heading 2 Char"/>
    <w:basedOn w:val="DefaultParagraphFont"/>
    <w:link w:val="Heading2"/>
    <w:uiPriority w:val="9"/>
    <w:semiHidden/>
    <w:rsid w:val="003A551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2782">
      <w:bodyDiv w:val="1"/>
      <w:marLeft w:val="0"/>
      <w:marRight w:val="0"/>
      <w:marTop w:val="0"/>
      <w:marBottom w:val="0"/>
      <w:divBdr>
        <w:top w:val="none" w:sz="0" w:space="0" w:color="auto"/>
        <w:left w:val="none" w:sz="0" w:space="0" w:color="auto"/>
        <w:bottom w:val="none" w:sz="0" w:space="0" w:color="auto"/>
        <w:right w:val="none" w:sz="0" w:space="0" w:color="auto"/>
      </w:divBdr>
    </w:div>
    <w:div w:id="152189174">
      <w:bodyDiv w:val="1"/>
      <w:marLeft w:val="0"/>
      <w:marRight w:val="0"/>
      <w:marTop w:val="0"/>
      <w:marBottom w:val="0"/>
      <w:divBdr>
        <w:top w:val="none" w:sz="0" w:space="0" w:color="auto"/>
        <w:left w:val="none" w:sz="0" w:space="0" w:color="auto"/>
        <w:bottom w:val="none" w:sz="0" w:space="0" w:color="auto"/>
        <w:right w:val="none" w:sz="0" w:space="0" w:color="auto"/>
      </w:divBdr>
    </w:div>
    <w:div w:id="246770522">
      <w:bodyDiv w:val="1"/>
      <w:marLeft w:val="0"/>
      <w:marRight w:val="0"/>
      <w:marTop w:val="0"/>
      <w:marBottom w:val="0"/>
      <w:divBdr>
        <w:top w:val="none" w:sz="0" w:space="0" w:color="auto"/>
        <w:left w:val="none" w:sz="0" w:space="0" w:color="auto"/>
        <w:bottom w:val="none" w:sz="0" w:space="0" w:color="auto"/>
        <w:right w:val="none" w:sz="0" w:space="0" w:color="auto"/>
      </w:divBdr>
    </w:div>
    <w:div w:id="257180915">
      <w:bodyDiv w:val="1"/>
      <w:marLeft w:val="0"/>
      <w:marRight w:val="0"/>
      <w:marTop w:val="0"/>
      <w:marBottom w:val="0"/>
      <w:divBdr>
        <w:top w:val="none" w:sz="0" w:space="0" w:color="auto"/>
        <w:left w:val="none" w:sz="0" w:space="0" w:color="auto"/>
        <w:bottom w:val="none" w:sz="0" w:space="0" w:color="auto"/>
        <w:right w:val="none" w:sz="0" w:space="0" w:color="auto"/>
      </w:divBdr>
    </w:div>
    <w:div w:id="264927356">
      <w:bodyDiv w:val="1"/>
      <w:marLeft w:val="0"/>
      <w:marRight w:val="0"/>
      <w:marTop w:val="0"/>
      <w:marBottom w:val="0"/>
      <w:divBdr>
        <w:top w:val="none" w:sz="0" w:space="0" w:color="auto"/>
        <w:left w:val="none" w:sz="0" w:space="0" w:color="auto"/>
        <w:bottom w:val="none" w:sz="0" w:space="0" w:color="auto"/>
        <w:right w:val="none" w:sz="0" w:space="0" w:color="auto"/>
      </w:divBdr>
    </w:div>
    <w:div w:id="297225756">
      <w:bodyDiv w:val="1"/>
      <w:marLeft w:val="0"/>
      <w:marRight w:val="0"/>
      <w:marTop w:val="0"/>
      <w:marBottom w:val="0"/>
      <w:divBdr>
        <w:top w:val="none" w:sz="0" w:space="0" w:color="auto"/>
        <w:left w:val="none" w:sz="0" w:space="0" w:color="auto"/>
        <w:bottom w:val="none" w:sz="0" w:space="0" w:color="auto"/>
        <w:right w:val="none" w:sz="0" w:space="0" w:color="auto"/>
      </w:divBdr>
    </w:div>
    <w:div w:id="442723389">
      <w:bodyDiv w:val="1"/>
      <w:marLeft w:val="0"/>
      <w:marRight w:val="0"/>
      <w:marTop w:val="0"/>
      <w:marBottom w:val="0"/>
      <w:divBdr>
        <w:top w:val="none" w:sz="0" w:space="0" w:color="auto"/>
        <w:left w:val="none" w:sz="0" w:space="0" w:color="auto"/>
        <w:bottom w:val="none" w:sz="0" w:space="0" w:color="auto"/>
        <w:right w:val="none" w:sz="0" w:space="0" w:color="auto"/>
      </w:divBdr>
    </w:div>
    <w:div w:id="507990997">
      <w:bodyDiv w:val="1"/>
      <w:marLeft w:val="0"/>
      <w:marRight w:val="0"/>
      <w:marTop w:val="0"/>
      <w:marBottom w:val="0"/>
      <w:divBdr>
        <w:top w:val="none" w:sz="0" w:space="0" w:color="auto"/>
        <w:left w:val="none" w:sz="0" w:space="0" w:color="auto"/>
        <w:bottom w:val="none" w:sz="0" w:space="0" w:color="auto"/>
        <w:right w:val="none" w:sz="0" w:space="0" w:color="auto"/>
      </w:divBdr>
    </w:div>
    <w:div w:id="627395288">
      <w:bodyDiv w:val="1"/>
      <w:marLeft w:val="0"/>
      <w:marRight w:val="0"/>
      <w:marTop w:val="0"/>
      <w:marBottom w:val="0"/>
      <w:divBdr>
        <w:top w:val="none" w:sz="0" w:space="0" w:color="auto"/>
        <w:left w:val="none" w:sz="0" w:space="0" w:color="auto"/>
        <w:bottom w:val="none" w:sz="0" w:space="0" w:color="auto"/>
        <w:right w:val="none" w:sz="0" w:space="0" w:color="auto"/>
      </w:divBdr>
    </w:div>
    <w:div w:id="673800358">
      <w:bodyDiv w:val="1"/>
      <w:marLeft w:val="0"/>
      <w:marRight w:val="0"/>
      <w:marTop w:val="0"/>
      <w:marBottom w:val="0"/>
      <w:divBdr>
        <w:top w:val="none" w:sz="0" w:space="0" w:color="auto"/>
        <w:left w:val="none" w:sz="0" w:space="0" w:color="auto"/>
        <w:bottom w:val="none" w:sz="0" w:space="0" w:color="auto"/>
        <w:right w:val="none" w:sz="0" w:space="0" w:color="auto"/>
      </w:divBdr>
    </w:div>
    <w:div w:id="867718022">
      <w:bodyDiv w:val="1"/>
      <w:marLeft w:val="0"/>
      <w:marRight w:val="0"/>
      <w:marTop w:val="0"/>
      <w:marBottom w:val="0"/>
      <w:divBdr>
        <w:top w:val="none" w:sz="0" w:space="0" w:color="auto"/>
        <w:left w:val="none" w:sz="0" w:space="0" w:color="auto"/>
        <w:bottom w:val="none" w:sz="0" w:space="0" w:color="auto"/>
        <w:right w:val="none" w:sz="0" w:space="0" w:color="auto"/>
      </w:divBdr>
    </w:div>
    <w:div w:id="868102438">
      <w:bodyDiv w:val="1"/>
      <w:marLeft w:val="0"/>
      <w:marRight w:val="0"/>
      <w:marTop w:val="0"/>
      <w:marBottom w:val="0"/>
      <w:divBdr>
        <w:top w:val="none" w:sz="0" w:space="0" w:color="auto"/>
        <w:left w:val="none" w:sz="0" w:space="0" w:color="auto"/>
        <w:bottom w:val="none" w:sz="0" w:space="0" w:color="auto"/>
        <w:right w:val="none" w:sz="0" w:space="0" w:color="auto"/>
      </w:divBdr>
    </w:div>
    <w:div w:id="877744349">
      <w:bodyDiv w:val="1"/>
      <w:marLeft w:val="0"/>
      <w:marRight w:val="0"/>
      <w:marTop w:val="0"/>
      <w:marBottom w:val="0"/>
      <w:divBdr>
        <w:top w:val="none" w:sz="0" w:space="0" w:color="auto"/>
        <w:left w:val="none" w:sz="0" w:space="0" w:color="auto"/>
        <w:bottom w:val="none" w:sz="0" w:space="0" w:color="auto"/>
        <w:right w:val="none" w:sz="0" w:space="0" w:color="auto"/>
      </w:divBdr>
    </w:div>
    <w:div w:id="987586118">
      <w:bodyDiv w:val="1"/>
      <w:marLeft w:val="0"/>
      <w:marRight w:val="0"/>
      <w:marTop w:val="0"/>
      <w:marBottom w:val="0"/>
      <w:divBdr>
        <w:top w:val="none" w:sz="0" w:space="0" w:color="auto"/>
        <w:left w:val="none" w:sz="0" w:space="0" w:color="auto"/>
        <w:bottom w:val="none" w:sz="0" w:space="0" w:color="auto"/>
        <w:right w:val="none" w:sz="0" w:space="0" w:color="auto"/>
      </w:divBdr>
    </w:div>
    <w:div w:id="1028065540">
      <w:bodyDiv w:val="1"/>
      <w:marLeft w:val="0"/>
      <w:marRight w:val="0"/>
      <w:marTop w:val="0"/>
      <w:marBottom w:val="0"/>
      <w:divBdr>
        <w:top w:val="none" w:sz="0" w:space="0" w:color="auto"/>
        <w:left w:val="none" w:sz="0" w:space="0" w:color="auto"/>
        <w:bottom w:val="none" w:sz="0" w:space="0" w:color="auto"/>
        <w:right w:val="none" w:sz="0" w:space="0" w:color="auto"/>
      </w:divBdr>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65457822">
      <w:bodyDiv w:val="1"/>
      <w:marLeft w:val="0"/>
      <w:marRight w:val="0"/>
      <w:marTop w:val="0"/>
      <w:marBottom w:val="0"/>
      <w:divBdr>
        <w:top w:val="none" w:sz="0" w:space="0" w:color="auto"/>
        <w:left w:val="none" w:sz="0" w:space="0" w:color="auto"/>
        <w:bottom w:val="none" w:sz="0" w:space="0" w:color="auto"/>
        <w:right w:val="none" w:sz="0" w:space="0" w:color="auto"/>
      </w:divBdr>
    </w:div>
    <w:div w:id="1346639975">
      <w:bodyDiv w:val="1"/>
      <w:marLeft w:val="0"/>
      <w:marRight w:val="0"/>
      <w:marTop w:val="0"/>
      <w:marBottom w:val="0"/>
      <w:divBdr>
        <w:top w:val="none" w:sz="0" w:space="0" w:color="auto"/>
        <w:left w:val="none" w:sz="0" w:space="0" w:color="auto"/>
        <w:bottom w:val="none" w:sz="0" w:space="0" w:color="auto"/>
        <w:right w:val="none" w:sz="0" w:space="0" w:color="auto"/>
      </w:divBdr>
    </w:div>
    <w:div w:id="1440636043">
      <w:bodyDiv w:val="1"/>
      <w:marLeft w:val="0"/>
      <w:marRight w:val="0"/>
      <w:marTop w:val="0"/>
      <w:marBottom w:val="0"/>
      <w:divBdr>
        <w:top w:val="none" w:sz="0" w:space="0" w:color="auto"/>
        <w:left w:val="none" w:sz="0" w:space="0" w:color="auto"/>
        <w:bottom w:val="none" w:sz="0" w:space="0" w:color="auto"/>
        <w:right w:val="none" w:sz="0" w:space="0" w:color="auto"/>
      </w:divBdr>
    </w:div>
    <w:div w:id="1453548083">
      <w:bodyDiv w:val="1"/>
      <w:marLeft w:val="0"/>
      <w:marRight w:val="0"/>
      <w:marTop w:val="0"/>
      <w:marBottom w:val="0"/>
      <w:divBdr>
        <w:top w:val="none" w:sz="0" w:space="0" w:color="auto"/>
        <w:left w:val="none" w:sz="0" w:space="0" w:color="auto"/>
        <w:bottom w:val="none" w:sz="0" w:space="0" w:color="auto"/>
        <w:right w:val="none" w:sz="0" w:space="0" w:color="auto"/>
      </w:divBdr>
    </w:div>
    <w:div w:id="1462698326">
      <w:bodyDiv w:val="1"/>
      <w:marLeft w:val="0"/>
      <w:marRight w:val="0"/>
      <w:marTop w:val="0"/>
      <w:marBottom w:val="0"/>
      <w:divBdr>
        <w:top w:val="none" w:sz="0" w:space="0" w:color="auto"/>
        <w:left w:val="none" w:sz="0" w:space="0" w:color="auto"/>
        <w:bottom w:val="none" w:sz="0" w:space="0" w:color="auto"/>
        <w:right w:val="none" w:sz="0" w:space="0" w:color="auto"/>
      </w:divBdr>
    </w:div>
    <w:div w:id="1471173312">
      <w:bodyDiv w:val="1"/>
      <w:marLeft w:val="0"/>
      <w:marRight w:val="0"/>
      <w:marTop w:val="0"/>
      <w:marBottom w:val="0"/>
      <w:divBdr>
        <w:top w:val="none" w:sz="0" w:space="0" w:color="auto"/>
        <w:left w:val="none" w:sz="0" w:space="0" w:color="auto"/>
        <w:bottom w:val="none" w:sz="0" w:space="0" w:color="auto"/>
        <w:right w:val="none" w:sz="0" w:space="0" w:color="auto"/>
      </w:divBdr>
    </w:div>
    <w:div w:id="1520117922">
      <w:bodyDiv w:val="1"/>
      <w:marLeft w:val="0"/>
      <w:marRight w:val="0"/>
      <w:marTop w:val="0"/>
      <w:marBottom w:val="0"/>
      <w:divBdr>
        <w:top w:val="none" w:sz="0" w:space="0" w:color="auto"/>
        <w:left w:val="none" w:sz="0" w:space="0" w:color="auto"/>
        <w:bottom w:val="none" w:sz="0" w:space="0" w:color="auto"/>
        <w:right w:val="none" w:sz="0" w:space="0" w:color="auto"/>
      </w:divBdr>
    </w:div>
    <w:div w:id="1558861900">
      <w:bodyDiv w:val="1"/>
      <w:marLeft w:val="0"/>
      <w:marRight w:val="0"/>
      <w:marTop w:val="0"/>
      <w:marBottom w:val="0"/>
      <w:divBdr>
        <w:top w:val="none" w:sz="0" w:space="0" w:color="auto"/>
        <w:left w:val="none" w:sz="0" w:space="0" w:color="auto"/>
        <w:bottom w:val="none" w:sz="0" w:space="0" w:color="auto"/>
        <w:right w:val="none" w:sz="0" w:space="0" w:color="auto"/>
      </w:divBdr>
    </w:div>
    <w:div w:id="1575890984">
      <w:bodyDiv w:val="1"/>
      <w:marLeft w:val="0"/>
      <w:marRight w:val="0"/>
      <w:marTop w:val="0"/>
      <w:marBottom w:val="0"/>
      <w:divBdr>
        <w:top w:val="none" w:sz="0" w:space="0" w:color="auto"/>
        <w:left w:val="none" w:sz="0" w:space="0" w:color="auto"/>
        <w:bottom w:val="none" w:sz="0" w:space="0" w:color="auto"/>
        <w:right w:val="none" w:sz="0" w:space="0" w:color="auto"/>
      </w:divBdr>
    </w:div>
    <w:div w:id="1604337203">
      <w:bodyDiv w:val="1"/>
      <w:marLeft w:val="0"/>
      <w:marRight w:val="0"/>
      <w:marTop w:val="0"/>
      <w:marBottom w:val="0"/>
      <w:divBdr>
        <w:top w:val="none" w:sz="0" w:space="0" w:color="auto"/>
        <w:left w:val="none" w:sz="0" w:space="0" w:color="auto"/>
        <w:bottom w:val="none" w:sz="0" w:space="0" w:color="auto"/>
        <w:right w:val="none" w:sz="0" w:space="0" w:color="auto"/>
      </w:divBdr>
    </w:div>
    <w:div w:id="1659454108">
      <w:bodyDiv w:val="1"/>
      <w:marLeft w:val="0"/>
      <w:marRight w:val="0"/>
      <w:marTop w:val="0"/>
      <w:marBottom w:val="0"/>
      <w:divBdr>
        <w:top w:val="none" w:sz="0" w:space="0" w:color="auto"/>
        <w:left w:val="none" w:sz="0" w:space="0" w:color="auto"/>
        <w:bottom w:val="none" w:sz="0" w:space="0" w:color="auto"/>
        <w:right w:val="none" w:sz="0" w:space="0" w:color="auto"/>
      </w:divBdr>
    </w:div>
    <w:div w:id="1689942206">
      <w:bodyDiv w:val="1"/>
      <w:marLeft w:val="0"/>
      <w:marRight w:val="0"/>
      <w:marTop w:val="0"/>
      <w:marBottom w:val="0"/>
      <w:divBdr>
        <w:top w:val="none" w:sz="0" w:space="0" w:color="auto"/>
        <w:left w:val="none" w:sz="0" w:space="0" w:color="auto"/>
        <w:bottom w:val="none" w:sz="0" w:space="0" w:color="auto"/>
        <w:right w:val="none" w:sz="0" w:space="0" w:color="auto"/>
      </w:divBdr>
    </w:div>
    <w:div w:id="1720015853">
      <w:bodyDiv w:val="1"/>
      <w:marLeft w:val="0"/>
      <w:marRight w:val="0"/>
      <w:marTop w:val="0"/>
      <w:marBottom w:val="0"/>
      <w:divBdr>
        <w:top w:val="none" w:sz="0" w:space="0" w:color="auto"/>
        <w:left w:val="none" w:sz="0" w:space="0" w:color="auto"/>
        <w:bottom w:val="none" w:sz="0" w:space="0" w:color="auto"/>
        <w:right w:val="none" w:sz="0" w:space="0" w:color="auto"/>
      </w:divBdr>
    </w:div>
    <w:div w:id="1823816641">
      <w:bodyDiv w:val="1"/>
      <w:marLeft w:val="0"/>
      <w:marRight w:val="0"/>
      <w:marTop w:val="0"/>
      <w:marBottom w:val="0"/>
      <w:divBdr>
        <w:top w:val="none" w:sz="0" w:space="0" w:color="auto"/>
        <w:left w:val="none" w:sz="0" w:space="0" w:color="auto"/>
        <w:bottom w:val="none" w:sz="0" w:space="0" w:color="auto"/>
        <w:right w:val="none" w:sz="0" w:space="0" w:color="auto"/>
      </w:divBdr>
    </w:div>
    <w:div w:id="1852529797">
      <w:bodyDiv w:val="1"/>
      <w:marLeft w:val="0"/>
      <w:marRight w:val="0"/>
      <w:marTop w:val="0"/>
      <w:marBottom w:val="0"/>
      <w:divBdr>
        <w:top w:val="none" w:sz="0" w:space="0" w:color="auto"/>
        <w:left w:val="none" w:sz="0" w:space="0" w:color="auto"/>
        <w:bottom w:val="none" w:sz="0" w:space="0" w:color="auto"/>
        <w:right w:val="none" w:sz="0" w:space="0" w:color="auto"/>
      </w:divBdr>
    </w:div>
    <w:div w:id="1904214998">
      <w:bodyDiv w:val="1"/>
      <w:marLeft w:val="0"/>
      <w:marRight w:val="0"/>
      <w:marTop w:val="0"/>
      <w:marBottom w:val="0"/>
      <w:divBdr>
        <w:top w:val="none" w:sz="0" w:space="0" w:color="auto"/>
        <w:left w:val="none" w:sz="0" w:space="0" w:color="auto"/>
        <w:bottom w:val="none" w:sz="0" w:space="0" w:color="auto"/>
        <w:right w:val="none" w:sz="0" w:space="0" w:color="auto"/>
      </w:divBdr>
    </w:div>
    <w:div w:id="1922988592">
      <w:bodyDiv w:val="1"/>
      <w:marLeft w:val="0"/>
      <w:marRight w:val="0"/>
      <w:marTop w:val="0"/>
      <w:marBottom w:val="0"/>
      <w:divBdr>
        <w:top w:val="none" w:sz="0" w:space="0" w:color="auto"/>
        <w:left w:val="none" w:sz="0" w:space="0" w:color="auto"/>
        <w:bottom w:val="none" w:sz="0" w:space="0" w:color="auto"/>
        <w:right w:val="none" w:sz="0" w:space="0" w:color="auto"/>
      </w:divBdr>
    </w:div>
    <w:div w:id="2100054076">
      <w:bodyDiv w:val="1"/>
      <w:marLeft w:val="0"/>
      <w:marRight w:val="0"/>
      <w:marTop w:val="0"/>
      <w:marBottom w:val="0"/>
      <w:divBdr>
        <w:top w:val="none" w:sz="0" w:space="0" w:color="auto"/>
        <w:left w:val="none" w:sz="0" w:space="0" w:color="auto"/>
        <w:bottom w:val="none" w:sz="0" w:space="0" w:color="auto"/>
        <w:right w:val="none" w:sz="0" w:space="0" w:color="auto"/>
      </w:divBdr>
    </w:div>
    <w:div w:id="21326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rvalho@womenenabl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crae@womenenabled.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mericanprogress.org/article/improving-health-outcomes-for-black-women-and-girls-with-disabilities/" TargetMode="External"/><Relationship Id="rId13" Type="http://schemas.openxmlformats.org/officeDocument/2006/relationships/hyperlink" Target="https://batten.virginia.edu/about/news/black-americans-are-systematically-under-treated-pain-why" TargetMode="External"/><Relationship Id="rId18" Type="http://schemas.openxmlformats.org/officeDocument/2006/relationships/hyperlink" Target="https://www.un.org/development/desa/dpad/wp-content/uploads/sites/45/publication/PB_70.pdf" TargetMode="External"/><Relationship Id="rId26" Type="http://schemas.openxmlformats.org/officeDocument/2006/relationships/hyperlink" Target="https://womenenabled.org/blog/covid-19/" TargetMode="External"/><Relationship Id="rId3" Type="http://schemas.openxmlformats.org/officeDocument/2006/relationships/hyperlink" Target="https://www.un.org/en/ga/69/meetings/indigenous/pdf/IASG%20Thematic%20Paper_Disabilities.pdf" TargetMode="External"/><Relationship Id="rId21" Type="http://schemas.openxmlformats.org/officeDocument/2006/relationships/hyperlink" Target="https://www.americanprogress.org/article/improving-health-outcomes-for-black-women-and-girls-with-disabilities/" TargetMode="External"/><Relationship Id="rId7" Type="http://schemas.openxmlformats.org/officeDocument/2006/relationships/hyperlink" Target="https://www.ohchr.org/EN/Issues/Disability/SRDisabilities/Pages/IPDisabilities.aspx" TargetMode="External"/><Relationship Id="rId12" Type="http://schemas.openxmlformats.org/officeDocument/2006/relationships/hyperlink" Target="https://www.unwomen.org/en/digital-library/publications/2020/04/fact-sheet-on-indigenous-women-with-disabilities" TargetMode="External"/><Relationship Id="rId17" Type="http://schemas.openxmlformats.org/officeDocument/2006/relationships/hyperlink" Target="https://www.tandfonline.com/doi/full/10.1080/13557858.2020.1841120" TargetMode="External"/><Relationship Id="rId25" Type="http://schemas.openxmlformats.org/officeDocument/2006/relationships/hyperlink" Target="https://womenenabled.org/blog/covid-19/" TargetMode="External"/><Relationship Id="rId2" Type="http://schemas.openxmlformats.org/officeDocument/2006/relationships/hyperlink" Target="https://link.springer.com/article/10.1007/s40615-016-0220-5" TargetMode="External"/><Relationship Id="rId16" Type="http://schemas.openxmlformats.org/officeDocument/2006/relationships/hyperlink" Target="https://www.un.org/en/ga/69/meetings/indigenous/pdf/IASG%20Thematic%20Paper_Reproductive%20Health%20-%20rev1.pdf" TargetMode="External"/><Relationship Id="rId20" Type="http://schemas.openxmlformats.org/officeDocument/2006/relationships/hyperlink" Target="https://minorityrights.org/2020/04/27/statement-covid-19-pandemic-on-persons-with-disabilities-from-minority-indigenous-communities/" TargetMode="External"/><Relationship Id="rId29" Type="http://schemas.openxmlformats.org/officeDocument/2006/relationships/hyperlink" Target="https://www.americanprogress.org/article/improving-health-outcomes-for-black-women-and-girls-with-disabilities/" TargetMode="External"/><Relationship Id="rId1" Type="http://schemas.openxmlformats.org/officeDocument/2006/relationships/hyperlink" Target="https://www.who.int/news/item/27-06-2017-joint-united-nations-statement-on-ending-discrimination-in-health-care-settings" TargetMode="External"/><Relationship Id="rId6" Type="http://schemas.openxmlformats.org/officeDocument/2006/relationships/hyperlink" Target="https://www.un.org/disabilities/documents/2016/Disaster-Disability-and-Difference_May2016_For-Accessible-PDF.pdf" TargetMode="External"/><Relationship Id="rId11" Type="http://schemas.openxmlformats.org/officeDocument/2006/relationships/hyperlink" Target="https://apps.who.int/iris/handle/10665/44207" TargetMode="External"/><Relationship Id="rId24" Type="http://schemas.openxmlformats.org/officeDocument/2006/relationships/hyperlink" Target="https://minorityrights.org/2020/04/27/statement-covid-19-pandemic-on-persons-with-disabilities-from-minority-indigenous-communities/" TargetMode="External"/><Relationship Id="rId5" Type="http://schemas.openxmlformats.org/officeDocument/2006/relationships/hyperlink" Target="https://www.americanprogress.org/article/improving-health-outcomes-for-black-women-and-girls-with-disabilities/" TargetMode="External"/><Relationship Id="rId15" Type="http://schemas.openxmlformats.org/officeDocument/2006/relationships/hyperlink" Target="https://nidwan.org.np/development-research/indigenous-women-and-girls-in-nepal-a-brief-overview/?doing_wp_cron=1654086004.2101979255676269531250" TargetMode="External"/><Relationship Id="rId23" Type="http://schemas.openxmlformats.org/officeDocument/2006/relationships/hyperlink" Target="https://womenenabled.org/blog/covid-19/" TargetMode="External"/><Relationship Id="rId28" Type="http://schemas.openxmlformats.org/officeDocument/2006/relationships/hyperlink" Target="https://womenenabled.org/blog/covid-19/" TargetMode="External"/><Relationship Id="rId10" Type="http://schemas.openxmlformats.org/officeDocument/2006/relationships/hyperlink" Target="https://www.ohchr.org/EN/Issues/Disability/SRDisabilities/Pages/IPDisabilities.aspx" TargetMode="External"/><Relationship Id="rId19" Type="http://schemas.openxmlformats.org/officeDocument/2006/relationships/hyperlink" Target="https://womenenabled.org/blog/covid-19/" TargetMode="External"/><Relationship Id="rId4" Type="http://schemas.openxmlformats.org/officeDocument/2006/relationships/hyperlink" Target="https://www.who.int/news-room/fact-sheets/detail/disability-and-health" TargetMode="External"/><Relationship Id="rId9" Type="http://schemas.openxmlformats.org/officeDocument/2006/relationships/hyperlink" Target="https://www.americanprogress.org/article/improving-health-outcomes-for-black-women-and-girls-with-disabilities/" TargetMode="External"/><Relationship Id="rId14" Type="http://schemas.openxmlformats.org/officeDocument/2006/relationships/hyperlink" Target="https://www.americanprogress.org/article/improving-health-outcomes-for-black-women-and-girls-with-disabilities/" TargetMode="External"/><Relationship Id="rId22" Type="http://schemas.openxmlformats.org/officeDocument/2006/relationships/hyperlink" Target="https://minorityrights.org/2020/04/27/statement-covid-19-pandemic-on-persons-with-disabilities-from-minority-indigenous-communities/" TargetMode="External"/><Relationship Id="rId27" Type="http://schemas.openxmlformats.org/officeDocument/2006/relationships/hyperlink" Target="https://www.un.org/esa/socdev/unpfii/documents/6_session_factsheet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BBC7-06B8-46E5-B853-68C9130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Amanda McRae</cp:lastModifiedBy>
  <cp:revision>2</cp:revision>
  <dcterms:created xsi:type="dcterms:W3CDTF">2022-06-30T18:14:00Z</dcterms:created>
  <dcterms:modified xsi:type="dcterms:W3CDTF">2022-06-30T18:14:00Z</dcterms:modified>
</cp:coreProperties>
</file>