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4FFB" w14:textId="1454C202" w:rsidR="004E7293" w:rsidRPr="00A13F7D" w:rsidRDefault="00614A60" w:rsidP="00A13F7D">
      <w:pPr>
        <w:jc w:val="right"/>
        <w:rPr>
          <w:rFonts w:ascii="Times New Roman" w:hAnsi="Times New Roman" w:cs="Times New Roman"/>
        </w:rPr>
      </w:pPr>
      <w:r>
        <w:rPr>
          <w:rFonts w:ascii="Times New Roman" w:hAnsi="Times New Roman" w:cs="Times New Roman"/>
        </w:rPr>
        <w:t>June 23,</w:t>
      </w:r>
      <w:r w:rsidR="00E60ADC" w:rsidRPr="00A13F7D">
        <w:rPr>
          <w:rFonts w:ascii="Times New Roman" w:hAnsi="Times New Roman" w:cs="Times New Roman"/>
        </w:rPr>
        <w:t xml:space="preserve"> 2022</w:t>
      </w:r>
    </w:p>
    <w:p w14:paraId="2ED59814" w14:textId="77777777" w:rsidR="007B7343" w:rsidRPr="00A13F7D" w:rsidRDefault="007B7343" w:rsidP="00A13F7D">
      <w:pPr>
        <w:jc w:val="center"/>
        <w:rPr>
          <w:rFonts w:ascii="Times New Roman" w:hAnsi="Times New Roman" w:cs="Times New Roman"/>
        </w:rPr>
      </w:pPr>
    </w:p>
    <w:p w14:paraId="26631342" w14:textId="5D0877CC" w:rsidR="004E7293" w:rsidRPr="00A13F7D" w:rsidRDefault="004E7293" w:rsidP="00A13F7D">
      <w:pPr>
        <w:jc w:val="both"/>
        <w:rPr>
          <w:rFonts w:ascii="Times New Roman" w:hAnsi="Times New Roman" w:cs="Times New Roman"/>
        </w:rPr>
      </w:pPr>
      <w:r w:rsidRPr="00A13F7D">
        <w:rPr>
          <w:rFonts w:ascii="Times New Roman" w:hAnsi="Times New Roman" w:cs="Times New Roman"/>
        </w:rPr>
        <w:t>To the attention of:</w:t>
      </w:r>
    </w:p>
    <w:p w14:paraId="6C19FD3A" w14:textId="4C83BC50" w:rsidR="00BA7549" w:rsidRDefault="00614A60" w:rsidP="00A13F7D">
      <w:pPr>
        <w:jc w:val="both"/>
        <w:rPr>
          <w:rFonts w:ascii="Times New Roman" w:hAnsi="Times New Roman" w:cs="Times New Roman"/>
          <w:color w:val="000000"/>
          <w:shd w:val="clear" w:color="auto" w:fill="FFFFFF"/>
        </w:rPr>
      </w:pPr>
      <w:r w:rsidRPr="00614A60">
        <w:rPr>
          <w:rFonts w:ascii="Times New Roman" w:hAnsi="Times New Roman" w:cs="Times New Roman"/>
          <w:color w:val="000000"/>
          <w:shd w:val="clear" w:color="auto" w:fill="FFFFFF"/>
        </w:rPr>
        <w:t>The Committee on the Elimination of Racial Discrimination</w:t>
      </w:r>
    </w:p>
    <w:p w14:paraId="74DC1543" w14:textId="77777777" w:rsidR="00614A60" w:rsidRPr="00A13F7D" w:rsidRDefault="00614A60" w:rsidP="00A13F7D">
      <w:pPr>
        <w:jc w:val="both"/>
        <w:rPr>
          <w:rFonts w:ascii="Times New Roman" w:hAnsi="Times New Roman" w:cs="Times New Roman"/>
        </w:rPr>
      </w:pPr>
    </w:p>
    <w:p w14:paraId="750AC946" w14:textId="38AC7EA8" w:rsidR="00E60ADC" w:rsidRPr="00A13F7D" w:rsidRDefault="00E60ADC" w:rsidP="00A13F7D">
      <w:pPr>
        <w:jc w:val="center"/>
        <w:rPr>
          <w:rFonts w:ascii="Times New Roman" w:hAnsi="Times New Roman" w:cs="Times New Roman"/>
          <w:b/>
          <w:bCs/>
        </w:rPr>
      </w:pPr>
      <w:r w:rsidRPr="00A13F7D">
        <w:rPr>
          <w:rFonts w:ascii="Times New Roman" w:hAnsi="Times New Roman" w:cs="Times New Roman"/>
          <w:b/>
          <w:bCs/>
        </w:rPr>
        <w:t xml:space="preserve">Re: </w:t>
      </w:r>
      <w:r w:rsidR="00614A60" w:rsidRPr="00614A60">
        <w:rPr>
          <w:rFonts w:ascii="Times New Roman" w:hAnsi="Times New Roman" w:cs="Times New Roman"/>
          <w:b/>
          <w:bCs/>
          <w:color w:val="000000"/>
          <w:shd w:val="clear" w:color="auto" w:fill="FFFFFF"/>
        </w:rPr>
        <w:t>General Recommendation n°37 on racial discrimination and the right to health under Article 5 (e)(iv) of the International Convention on the Elimination of All Forms of Racial Discrimination</w:t>
      </w:r>
    </w:p>
    <w:p w14:paraId="2DCFD08A" w14:textId="77777777" w:rsidR="00E70FC3" w:rsidRPr="00A13F7D" w:rsidRDefault="00E70FC3" w:rsidP="00A13F7D">
      <w:pPr>
        <w:rPr>
          <w:rFonts w:ascii="Times New Roman" w:hAnsi="Times New Roman" w:cs="Times New Roman"/>
        </w:rPr>
      </w:pPr>
    </w:p>
    <w:p w14:paraId="0DD43C2B" w14:textId="77777777" w:rsidR="004E7293" w:rsidRPr="00A13F7D" w:rsidRDefault="004E7293" w:rsidP="00A13F7D">
      <w:pPr>
        <w:rPr>
          <w:rFonts w:ascii="Times New Roman" w:hAnsi="Times New Roman" w:cs="Times New Roman"/>
        </w:rPr>
      </w:pPr>
    </w:p>
    <w:p w14:paraId="2D187206" w14:textId="77777777" w:rsidR="00614A60" w:rsidRPr="005268D4" w:rsidRDefault="00614A60" w:rsidP="00614A60">
      <w:pPr>
        <w:pStyle w:val="ListParagraph"/>
        <w:numPr>
          <w:ilvl w:val="0"/>
          <w:numId w:val="6"/>
        </w:numPr>
        <w:rPr>
          <w:rFonts w:cstheme="minorHAnsi"/>
          <w:b/>
          <w:bCs/>
        </w:rPr>
      </w:pPr>
      <w:r w:rsidRPr="005268D4">
        <w:rPr>
          <w:rFonts w:cstheme="minorHAnsi"/>
          <w:b/>
          <w:bCs/>
        </w:rPr>
        <w:t>Summary</w:t>
      </w:r>
    </w:p>
    <w:p w14:paraId="1DDB18B6" w14:textId="77777777" w:rsidR="00614A60" w:rsidRPr="005268D4" w:rsidRDefault="00614A60" w:rsidP="00614A60">
      <w:pPr>
        <w:pStyle w:val="ListParagraph"/>
        <w:numPr>
          <w:ilvl w:val="1"/>
          <w:numId w:val="6"/>
        </w:numPr>
        <w:rPr>
          <w:rFonts w:cstheme="minorHAnsi"/>
        </w:rPr>
      </w:pPr>
      <w:r w:rsidRPr="005268D4">
        <w:rPr>
          <w:rFonts w:cstheme="minorHAnsi"/>
        </w:rPr>
        <w:t>Tobacco is a leading cause of preventable death and is an obstacle to the right to health.</w:t>
      </w:r>
    </w:p>
    <w:p w14:paraId="794FD15C" w14:textId="77777777" w:rsidR="00614A60" w:rsidRPr="005268D4" w:rsidRDefault="00614A60" w:rsidP="00614A60">
      <w:pPr>
        <w:pStyle w:val="ListParagraph"/>
        <w:ind w:left="1440"/>
        <w:rPr>
          <w:rFonts w:cstheme="minorHAnsi"/>
        </w:rPr>
      </w:pPr>
    </w:p>
    <w:p w14:paraId="061FAF0F" w14:textId="77777777" w:rsidR="00614A60" w:rsidRPr="005268D4" w:rsidRDefault="00614A60" w:rsidP="00614A60">
      <w:pPr>
        <w:pStyle w:val="ListParagraph"/>
        <w:numPr>
          <w:ilvl w:val="1"/>
          <w:numId w:val="6"/>
        </w:numPr>
        <w:rPr>
          <w:rFonts w:cstheme="minorHAnsi"/>
        </w:rPr>
      </w:pPr>
      <w:r w:rsidRPr="005268D4">
        <w:rPr>
          <w:rFonts w:cstheme="minorHAnsi"/>
        </w:rPr>
        <w:t>Tobacco use disproportionately affects many marginalized populations—including people in low-income communities, racial and ethnic minorities, LGBT individuals and those with mental illness—who have a long and documented history of being aggressively targeted by the tobacco industry.  Tobacco use therefore directly affects the right of these groups to the equal enjoyment of the right to health.</w:t>
      </w:r>
    </w:p>
    <w:p w14:paraId="088B9703" w14:textId="77777777" w:rsidR="00614A60" w:rsidRPr="005268D4" w:rsidRDefault="00614A60" w:rsidP="00614A60">
      <w:pPr>
        <w:pStyle w:val="ListParagraph"/>
        <w:rPr>
          <w:rFonts w:cstheme="minorHAnsi"/>
        </w:rPr>
      </w:pPr>
    </w:p>
    <w:p w14:paraId="6E2D0948" w14:textId="77777777" w:rsidR="00614A60" w:rsidRPr="005268D4" w:rsidRDefault="00614A60" w:rsidP="00614A60">
      <w:pPr>
        <w:pStyle w:val="ListParagraph"/>
        <w:numPr>
          <w:ilvl w:val="1"/>
          <w:numId w:val="6"/>
        </w:numPr>
        <w:rPr>
          <w:rFonts w:cstheme="minorHAnsi"/>
        </w:rPr>
      </w:pPr>
      <w:r w:rsidRPr="005268D4">
        <w:rPr>
          <w:rFonts w:cstheme="minorHAnsi"/>
        </w:rPr>
        <w:t xml:space="preserve">The tobacco industry and the production of tobacco products, especially those that include menthol, prevents </w:t>
      </w:r>
      <w:r>
        <w:rPr>
          <w:rFonts w:cstheme="minorHAnsi"/>
        </w:rPr>
        <w:t>many racial groups</w:t>
      </w:r>
      <w:r w:rsidRPr="005268D4">
        <w:rPr>
          <w:rFonts w:cstheme="minorHAnsi"/>
        </w:rPr>
        <w:t xml:space="preserve"> from enjoying the right to health</w:t>
      </w:r>
      <w:r>
        <w:rPr>
          <w:rFonts w:cstheme="minorHAnsi"/>
        </w:rPr>
        <w:t xml:space="preserve"> and public health. </w:t>
      </w:r>
    </w:p>
    <w:p w14:paraId="50C9FC07" w14:textId="77777777" w:rsidR="00614A60" w:rsidRPr="005268D4" w:rsidRDefault="00614A60" w:rsidP="00614A60">
      <w:pPr>
        <w:pStyle w:val="ListParagraph"/>
        <w:rPr>
          <w:rFonts w:cstheme="minorHAnsi"/>
        </w:rPr>
      </w:pPr>
    </w:p>
    <w:p w14:paraId="6FD66F88" w14:textId="77777777" w:rsidR="00614A60" w:rsidRPr="005268D4" w:rsidRDefault="00614A60" w:rsidP="00614A60">
      <w:pPr>
        <w:pStyle w:val="ListParagraph"/>
        <w:numPr>
          <w:ilvl w:val="1"/>
          <w:numId w:val="6"/>
        </w:numPr>
        <w:rPr>
          <w:rFonts w:cstheme="minorHAnsi"/>
        </w:rPr>
      </w:pPr>
      <w:r w:rsidRPr="005268D4">
        <w:rPr>
          <w:rFonts w:cstheme="minorHAnsi"/>
        </w:rPr>
        <w:t>The decades of well-documented racialized and predatory tobacco industry targeting of African Americans, specifically with menthol flavoring, is a human rights issue.  Given African Americans historical marginalization, status as a vulnerable population, and the failure of the U.S. government to take any protective action on their behalf merits its consideration as a human rights priority under CERD.</w:t>
      </w:r>
    </w:p>
    <w:p w14:paraId="1081B031" w14:textId="77777777" w:rsidR="00614A60" w:rsidRPr="005268D4" w:rsidRDefault="00614A60" w:rsidP="00614A60">
      <w:pPr>
        <w:pStyle w:val="ListParagraph"/>
        <w:rPr>
          <w:rFonts w:cstheme="minorHAnsi"/>
        </w:rPr>
      </w:pPr>
    </w:p>
    <w:p w14:paraId="5A50FDF9" w14:textId="77777777" w:rsidR="00614A60" w:rsidRPr="005268D4" w:rsidRDefault="00614A60" w:rsidP="00614A60">
      <w:pPr>
        <w:pStyle w:val="ListParagraph"/>
        <w:ind w:left="1440"/>
        <w:rPr>
          <w:rFonts w:cstheme="minorHAnsi"/>
        </w:rPr>
      </w:pPr>
    </w:p>
    <w:p w14:paraId="702C1FCE" w14:textId="77777777" w:rsidR="00614A60" w:rsidRPr="005268D4" w:rsidRDefault="00614A60" w:rsidP="00614A60">
      <w:pPr>
        <w:pStyle w:val="ListParagraph"/>
        <w:numPr>
          <w:ilvl w:val="0"/>
          <w:numId w:val="6"/>
        </w:numPr>
        <w:contextualSpacing w:val="0"/>
        <w:rPr>
          <w:rFonts w:cstheme="minorHAnsi"/>
          <w:b/>
          <w:bCs/>
        </w:rPr>
      </w:pPr>
      <w:r w:rsidRPr="005268D4">
        <w:rPr>
          <w:rFonts w:cstheme="minorHAnsi"/>
          <w:b/>
          <w:bCs/>
        </w:rPr>
        <w:t>Relevant facts and statistics</w:t>
      </w:r>
    </w:p>
    <w:p w14:paraId="67CD26AF" w14:textId="77777777" w:rsidR="00614A60" w:rsidRPr="005268D4" w:rsidRDefault="00614A60" w:rsidP="00614A60">
      <w:pPr>
        <w:pStyle w:val="ListParagraph"/>
        <w:numPr>
          <w:ilvl w:val="1"/>
          <w:numId w:val="6"/>
        </w:numPr>
        <w:rPr>
          <w:rFonts w:eastAsia="Times New Roman" w:cstheme="minorHAnsi"/>
        </w:rPr>
      </w:pPr>
      <w:r w:rsidRPr="005268D4">
        <w:rPr>
          <w:rFonts w:cstheme="minorHAnsi"/>
          <w:b/>
          <w:bCs/>
        </w:rPr>
        <w:t>Tobacco statistics</w:t>
      </w:r>
    </w:p>
    <w:p w14:paraId="4451E35D" w14:textId="77777777" w:rsidR="00614A60" w:rsidRPr="005268D4" w:rsidRDefault="00614A60" w:rsidP="00614A60">
      <w:pPr>
        <w:pStyle w:val="ListParagraph"/>
        <w:numPr>
          <w:ilvl w:val="2"/>
          <w:numId w:val="6"/>
        </w:numPr>
        <w:rPr>
          <w:rFonts w:eastAsia="Times New Roman" w:cstheme="minorHAnsi"/>
        </w:rPr>
      </w:pPr>
      <w:r w:rsidRPr="005268D4">
        <w:rPr>
          <w:rFonts w:eastAsia="Times New Roman" w:cstheme="minorHAnsi"/>
        </w:rPr>
        <w:t>Worldwide, tobacco use causes more than 8 million deaths per year.</w:t>
      </w:r>
      <w:r w:rsidRPr="005268D4">
        <w:rPr>
          <w:rStyle w:val="FootnoteReference"/>
          <w:rFonts w:eastAsia="Times New Roman" w:cstheme="minorHAnsi"/>
        </w:rPr>
        <w:footnoteReference w:id="1"/>
      </w:r>
    </w:p>
    <w:p w14:paraId="148C2DD2" w14:textId="77777777" w:rsidR="00614A60" w:rsidRPr="005268D4" w:rsidRDefault="00614A60" w:rsidP="00614A60">
      <w:pPr>
        <w:pStyle w:val="ListParagraph"/>
        <w:ind w:left="2160"/>
        <w:rPr>
          <w:rFonts w:eastAsia="Times New Roman" w:cstheme="minorHAnsi"/>
        </w:rPr>
      </w:pPr>
    </w:p>
    <w:p w14:paraId="60C68C42" w14:textId="77777777" w:rsidR="00614A60" w:rsidRDefault="00614A60" w:rsidP="00614A60">
      <w:pPr>
        <w:pStyle w:val="ListParagraph"/>
        <w:numPr>
          <w:ilvl w:val="1"/>
          <w:numId w:val="6"/>
        </w:numPr>
        <w:rPr>
          <w:rFonts w:cstheme="minorHAnsi"/>
          <w:b/>
          <w:bCs/>
        </w:rPr>
      </w:pPr>
      <w:r w:rsidRPr="005268D4">
        <w:rPr>
          <w:rFonts w:cstheme="minorHAnsi"/>
          <w:b/>
          <w:bCs/>
        </w:rPr>
        <w:t>Menthol cigarettes and African Americans</w:t>
      </w:r>
    </w:p>
    <w:p w14:paraId="3BFF97F1"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t>Nearly 9 in 10 (88.5%) African American</w:t>
      </w:r>
      <w:r>
        <w:rPr>
          <w:rFonts w:cstheme="minorHAnsi"/>
        </w:rPr>
        <w:t>s</w:t>
      </w:r>
      <w:r w:rsidRPr="005268D4">
        <w:rPr>
          <w:rFonts w:cstheme="minorHAnsi"/>
        </w:rPr>
        <w:t xml:space="preserve"> ages 12 and older</w:t>
      </w:r>
      <w:r>
        <w:rPr>
          <w:rFonts w:cstheme="minorHAnsi"/>
        </w:rPr>
        <w:t xml:space="preserve"> that smoke</w:t>
      </w:r>
      <w:r w:rsidRPr="005268D4">
        <w:rPr>
          <w:rFonts w:cstheme="minorHAnsi"/>
        </w:rPr>
        <w:t xml:space="preserve"> use menthol cigarettes.</w:t>
      </w:r>
      <w:r w:rsidRPr="005268D4">
        <w:rPr>
          <w:rStyle w:val="FootnoteReference"/>
          <w:rFonts w:cstheme="minorHAnsi"/>
        </w:rPr>
        <w:footnoteReference w:id="2"/>
      </w:r>
      <w:r w:rsidRPr="005268D4">
        <w:rPr>
          <w:rFonts w:cstheme="minorHAnsi"/>
          <w:vertAlign w:val="superscript"/>
        </w:rPr>
        <w:t>,</w:t>
      </w:r>
      <w:r w:rsidRPr="005268D4">
        <w:rPr>
          <w:rStyle w:val="FootnoteReference"/>
          <w:rFonts w:cstheme="minorHAnsi"/>
        </w:rPr>
        <w:footnoteReference w:id="3"/>
      </w:r>
    </w:p>
    <w:p w14:paraId="5774DBD4"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lastRenderedPageBreak/>
        <w:t>Data from nationally representative samples show that the youngest age groups use menthol at the highest rates.</w:t>
      </w:r>
    </w:p>
    <w:p w14:paraId="392247B5"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t xml:space="preserve">In 2014, among middle and high school students, 70.5% of African American </w:t>
      </w:r>
      <w:r>
        <w:rPr>
          <w:rFonts w:cstheme="minorHAnsi"/>
        </w:rPr>
        <w:t xml:space="preserve">people who smoke </w:t>
      </w:r>
      <w:r w:rsidRPr="005268D4">
        <w:rPr>
          <w:rFonts w:cstheme="minorHAnsi"/>
        </w:rPr>
        <w:t xml:space="preserve">used menthol cigarettes, compared with 52.3% of Hispanic </w:t>
      </w:r>
      <w:r>
        <w:rPr>
          <w:rFonts w:cstheme="minorHAnsi"/>
        </w:rPr>
        <w:t>people who smoke</w:t>
      </w:r>
      <w:r w:rsidRPr="005268D4">
        <w:rPr>
          <w:rFonts w:cstheme="minorHAnsi"/>
        </w:rPr>
        <w:t xml:space="preserve"> and 51.4% of white </w:t>
      </w:r>
      <w:r>
        <w:rPr>
          <w:rFonts w:cstheme="minorHAnsi"/>
        </w:rPr>
        <w:t>people who smoke</w:t>
      </w:r>
      <w:r w:rsidRPr="005268D4">
        <w:rPr>
          <w:rFonts w:cstheme="minorHAnsi"/>
        </w:rPr>
        <w:t>.</w:t>
      </w:r>
    </w:p>
    <w:p w14:paraId="7325AF9C"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t>African American youth who smoke menthol cigarettes have greater nicotine dependence and a greater desire to smoke than non-menthol users,</w:t>
      </w:r>
      <w:r w:rsidRPr="005268D4">
        <w:rPr>
          <w:rStyle w:val="FootnoteReference"/>
          <w:rFonts w:cstheme="minorHAnsi"/>
        </w:rPr>
        <w:footnoteReference w:id="4"/>
      </w:r>
      <w:r w:rsidRPr="005268D4">
        <w:rPr>
          <w:rFonts w:cstheme="minorHAnsi"/>
        </w:rPr>
        <w:t xml:space="preserve"> and therefore have a harder time quitting.</w:t>
      </w:r>
    </w:p>
    <w:p w14:paraId="07CEF11B"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t xml:space="preserve">Despite starting to smoke later and smoking fewer packs per day, African American menthol </w:t>
      </w:r>
      <w:r>
        <w:rPr>
          <w:rFonts w:cstheme="minorHAnsi"/>
        </w:rPr>
        <w:t>users</w:t>
      </w:r>
      <w:r w:rsidRPr="005268D4">
        <w:rPr>
          <w:rFonts w:cstheme="minorHAnsi"/>
        </w:rPr>
        <w:t xml:space="preserve"> successfully quit smoking at a lower rate than non-menthol smoking African Americans.</w:t>
      </w:r>
    </w:p>
    <w:p w14:paraId="29044EFC"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t>Research shows that if menthol cigarettes were banned nationally, 44.5% of African American</w:t>
      </w:r>
      <w:r>
        <w:rPr>
          <w:rFonts w:cstheme="minorHAnsi"/>
        </w:rPr>
        <w:t xml:space="preserve"> people who smoke</w:t>
      </w:r>
      <w:r w:rsidRPr="005268D4">
        <w:rPr>
          <w:rFonts w:cstheme="minorHAnsi"/>
        </w:rPr>
        <w:t xml:space="preserve"> menthol </w:t>
      </w:r>
      <w:r>
        <w:rPr>
          <w:rFonts w:cstheme="minorHAnsi"/>
        </w:rPr>
        <w:t xml:space="preserve">cigarettes </w:t>
      </w:r>
      <w:r w:rsidRPr="005268D4">
        <w:rPr>
          <w:rFonts w:cstheme="minorHAnsi"/>
        </w:rPr>
        <w:t>would try to quit.</w:t>
      </w:r>
    </w:p>
    <w:p w14:paraId="2556D98A" w14:textId="77777777" w:rsidR="00614A60" w:rsidRPr="005268D4" w:rsidRDefault="00614A60" w:rsidP="00614A60">
      <w:pPr>
        <w:pStyle w:val="ListParagraph"/>
        <w:numPr>
          <w:ilvl w:val="2"/>
          <w:numId w:val="6"/>
        </w:numPr>
        <w:contextualSpacing w:val="0"/>
        <w:rPr>
          <w:rFonts w:cstheme="minorHAnsi"/>
        </w:rPr>
      </w:pPr>
      <w:r w:rsidRPr="005268D4">
        <w:rPr>
          <w:rFonts w:cstheme="minorHAnsi"/>
        </w:rPr>
        <w:t>67% of overall health disparities in mortality in African American men are related to their high smoking prevalence.</w:t>
      </w:r>
      <w:r w:rsidRPr="005268D4">
        <w:rPr>
          <w:rStyle w:val="FootnoteReference"/>
          <w:rFonts w:cstheme="minorHAnsi"/>
        </w:rPr>
        <w:footnoteReference w:id="5"/>
      </w:r>
    </w:p>
    <w:p w14:paraId="0FE43B42" w14:textId="77777777" w:rsidR="00614A60" w:rsidRPr="005268D4" w:rsidRDefault="00614A60" w:rsidP="00614A60">
      <w:pPr>
        <w:pStyle w:val="ListParagraph"/>
        <w:numPr>
          <w:ilvl w:val="2"/>
          <w:numId w:val="6"/>
        </w:numPr>
        <w:rPr>
          <w:rFonts w:cstheme="minorHAnsi"/>
        </w:rPr>
      </w:pPr>
      <w:r w:rsidRPr="005268D4">
        <w:rPr>
          <w:rFonts w:cstheme="minorHAnsi"/>
        </w:rPr>
        <w:t>Tobacco companies have strategically marketed tobacco products to appeal to racial and ethnic communities for decades. Tobacco companies have also sponsored </w:t>
      </w:r>
      <w:hyperlink r:id="rId11" w:history="1">
        <w:r w:rsidRPr="005268D4">
          <w:rPr>
            <w:rFonts w:cstheme="minorHAnsi"/>
          </w:rPr>
          <w:t>activities linked with cultural traditions</w:t>
        </w:r>
      </w:hyperlink>
      <w:r w:rsidRPr="005268D4">
        <w:rPr>
          <w:rFonts w:cstheme="minorHAnsi"/>
        </w:rPr>
        <w:t>. A partial list: Mexican rodeos, American Indian powwows, Chinese New Year and Cinco de Mayo festivities and events related to Black History Month, Asian/Pacific American Heritage month and Hispanic Heritage Month.</w:t>
      </w:r>
      <w:r w:rsidRPr="005268D4">
        <w:rPr>
          <w:rFonts w:cstheme="minorHAnsi"/>
          <w:vertAlign w:val="superscript"/>
        </w:rPr>
        <w:footnoteReference w:id="6"/>
      </w:r>
      <w:r w:rsidRPr="005268D4">
        <w:rPr>
          <w:rFonts w:cstheme="minorHAnsi"/>
        </w:rPr>
        <w:t xml:space="preserve"> </w:t>
      </w:r>
    </w:p>
    <w:p w14:paraId="41C20853" w14:textId="77777777" w:rsidR="00614A60" w:rsidRPr="005268D4" w:rsidRDefault="00614A60" w:rsidP="00614A60">
      <w:pPr>
        <w:pStyle w:val="ListParagraph"/>
        <w:ind w:left="1080"/>
        <w:rPr>
          <w:rFonts w:cstheme="minorHAnsi"/>
        </w:rPr>
      </w:pPr>
    </w:p>
    <w:p w14:paraId="4BC63E94" w14:textId="77777777" w:rsidR="00614A60" w:rsidRPr="005268D4" w:rsidRDefault="00614A60" w:rsidP="00614A60">
      <w:pPr>
        <w:pStyle w:val="ListParagraph"/>
        <w:numPr>
          <w:ilvl w:val="2"/>
          <w:numId w:val="6"/>
        </w:numPr>
        <w:rPr>
          <w:rFonts w:cstheme="minorHAnsi"/>
        </w:rPr>
      </w:pPr>
      <w:r w:rsidRPr="005268D4">
        <w:rPr>
          <w:rFonts w:cstheme="minorHAnsi"/>
        </w:rPr>
        <w:t xml:space="preserve">Research shows that more tobacco retailers exist in areas with larger Black, Hispanic and low-income populations. </w:t>
      </w:r>
    </w:p>
    <w:p w14:paraId="0F5B9939" w14:textId="77777777" w:rsidR="00614A60" w:rsidRPr="005268D4" w:rsidRDefault="00614A60" w:rsidP="00614A60">
      <w:pPr>
        <w:pStyle w:val="ListParagraph"/>
        <w:rPr>
          <w:rFonts w:cstheme="minorHAnsi"/>
        </w:rPr>
      </w:pPr>
    </w:p>
    <w:p w14:paraId="4811D0EF" w14:textId="77777777" w:rsidR="00614A60" w:rsidRPr="005268D4" w:rsidRDefault="00614A60" w:rsidP="00614A60">
      <w:pPr>
        <w:pStyle w:val="ListParagraph"/>
        <w:numPr>
          <w:ilvl w:val="2"/>
          <w:numId w:val="6"/>
        </w:numPr>
        <w:rPr>
          <w:rFonts w:cstheme="minorHAnsi"/>
        </w:rPr>
      </w:pPr>
      <w:r w:rsidRPr="005268D4">
        <w:rPr>
          <w:rFonts w:cstheme="minorHAnsi"/>
        </w:rPr>
        <w:t>Studies have shown that predominantly Black communities across the country have more advertising and cheaper prices for menthol cigarettes.</w:t>
      </w:r>
      <w:r w:rsidRPr="005268D4">
        <w:rPr>
          <w:rStyle w:val="FootnoteReference"/>
          <w:rFonts w:cstheme="minorHAnsi"/>
        </w:rPr>
        <w:footnoteReference w:id="7"/>
      </w:r>
    </w:p>
    <w:p w14:paraId="6E8947A0" w14:textId="77777777" w:rsidR="00614A60" w:rsidRPr="005268D4" w:rsidRDefault="00614A60" w:rsidP="00614A60">
      <w:pPr>
        <w:pStyle w:val="ListParagraph"/>
        <w:rPr>
          <w:rFonts w:cstheme="minorHAnsi"/>
        </w:rPr>
      </w:pPr>
    </w:p>
    <w:p w14:paraId="238DA70F" w14:textId="77777777" w:rsidR="00614A60" w:rsidRPr="005268D4" w:rsidRDefault="00614A60" w:rsidP="00614A60">
      <w:pPr>
        <w:pStyle w:val="ListParagraph"/>
        <w:numPr>
          <w:ilvl w:val="2"/>
          <w:numId w:val="6"/>
        </w:numPr>
        <w:rPr>
          <w:rFonts w:cstheme="minorHAnsi"/>
        </w:rPr>
      </w:pPr>
      <w:r w:rsidRPr="005268D4">
        <w:rPr>
          <w:rFonts w:cstheme="minorHAnsi"/>
        </w:rPr>
        <w:t>Tobacco companies have used racialized experiential marketing — the tactic of encouraging consumers to experience or interact with a brand at recreational venues and events, such as concerts, bars or nightclubs — to specifically target certain populations, including African Americans.</w:t>
      </w:r>
      <w:r w:rsidRPr="005268D4">
        <w:rPr>
          <w:rStyle w:val="FootnoteReference"/>
          <w:rFonts w:cstheme="minorHAnsi"/>
        </w:rPr>
        <w:footnoteReference w:id="8"/>
      </w:r>
    </w:p>
    <w:p w14:paraId="0C4EAD83" w14:textId="77777777" w:rsidR="00614A60" w:rsidRPr="005268D4" w:rsidRDefault="00614A60" w:rsidP="00614A60">
      <w:pPr>
        <w:pStyle w:val="ListParagraph"/>
        <w:rPr>
          <w:rFonts w:cstheme="minorHAnsi"/>
        </w:rPr>
      </w:pPr>
    </w:p>
    <w:p w14:paraId="416343DF" w14:textId="77777777" w:rsidR="00614A60" w:rsidRDefault="00614A60" w:rsidP="00614A60">
      <w:pPr>
        <w:pStyle w:val="ListParagraph"/>
        <w:numPr>
          <w:ilvl w:val="2"/>
          <w:numId w:val="6"/>
        </w:numPr>
        <w:rPr>
          <w:rFonts w:cstheme="minorHAnsi"/>
        </w:rPr>
      </w:pPr>
      <w:r w:rsidRPr="005268D4">
        <w:rPr>
          <w:rFonts w:cstheme="minorHAnsi"/>
        </w:rPr>
        <w:t xml:space="preserve">In 2011, the United States Food and Drug Administration’s (FDA), Tobacco Products Scientific Advisory Committee concluded that without the FDA’s action on menthol, by the end of 2020, </w:t>
      </w:r>
      <w:r w:rsidRPr="005268D4">
        <w:rPr>
          <w:rFonts w:cstheme="minorHAnsi"/>
        </w:rPr>
        <w:lastRenderedPageBreak/>
        <w:t>the African American population will have suffered over 4,700 excess deaths caused by menthol in cigarettes and over 460,000 more African Americans will have started smoking caused by the presence of menthol in cigarettes.</w:t>
      </w:r>
      <w:r w:rsidRPr="005268D4">
        <w:rPr>
          <w:rStyle w:val="FootnoteReference"/>
          <w:rFonts w:cstheme="minorHAnsi"/>
        </w:rPr>
        <w:footnoteReference w:id="9"/>
      </w:r>
      <w:r w:rsidRPr="005268D4">
        <w:rPr>
          <w:rFonts w:cstheme="minorHAnsi"/>
        </w:rPr>
        <w:t xml:space="preserve"> </w:t>
      </w:r>
    </w:p>
    <w:p w14:paraId="182F8E37" w14:textId="77777777" w:rsidR="00614A60" w:rsidRPr="00903BD0" w:rsidRDefault="00614A60" w:rsidP="00614A60">
      <w:pPr>
        <w:pStyle w:val="ListParagraph"/>
        <w:rPr>
          <w:rFonts w:cstheme="minorHAnsi"/>
        </w:rPr>
      </w:pPr>
    </w:p>
    <w:p w14:paraId="736FA367" w14:textId="77777777" w:rsidR="00614A60" w:rsidRPr="005268D4" w:rsidRDefault="00614A60" w:rsidP="00614A60">
      <w:pPr>
        <w:pStyle w:val="ListParagraph"/>
        <w:numPr>
          <w:ilvl w:val="1"/>
          <w:numId w:val="6"/>
        </w:numPr>
        <w:contextualSpacing w:val="0"/>
        <w:rPr>
          <w:rFonts w:cstheme="minorHAnsi"/>
        </w:rPr>
      </w:pPr>
      <w:r w:rsidRPr="005268D4">
        <w:rPr>
          <w:rFonts w:cstheme="minorHAnsi"/>
        </w:rPr>
        <w:t xml:space="preserve">An increasing number of jurisdictions have banned menthol, including: The European Union (2020), Brazil (2012), Canada. (2017), Ethiopia (2015), Moldova (2015). and others. </w:t>
      </w:r>
      <w:r w:rsidRPr="005268D4">
        <w:rPr>
          <w:rStyle w:val="FootnoteReference"/>
          <w:rFonts w:cstheme="minorHAnsi"/>
        </w:rPr>
        <w:footnoteReference w:id="10"/>
      </w:r>
    </w:p>
    <w:p w14:paraId="1CDC94F1" w14:textId="77777777" w:rsidR="00614A60" w:rsidRPr="005268D4" w:rsidRDefault="00614A60" w:rsidP="00614A60">
      <w:pPr>
        <w:pStyle w:val="ListParagraph"/>
        <w:numPr>
          <w:ilvl w:val="1"/>
          <w:numId w:val="6"/>
        </w:numPr>
        <w:contextualSpacing w:val="0"/>
        <w:rPr>
          <w:rFonts w:cstheme="minorHAnsi"/>
        </w:rPr>
      </w:pPr>
      <w:r w:rsidRPr="005268D4">
        <w:rPr>
          <w:rFonts w:cstheme="minorHAnsi"/>
        </w:rPr>
        <w:t>In the United States, by the end of September 2020, 330 localities had placed some type of restriction on the sale of flavored tobacco products.  Of those, 125 have comprehensive sales bans on menthol products, which are sometimes exempted from flavor policies even though the federal government has done nothing to restrict the sale of menthol cigarettes — which are easier to smoke and more likely to addict youth — or the sale of other tobacco products that come in fruit, cocktail and candy flavors, such as smokeless tobacco, cigars or hookah.</w:t>
      </w:r>
      <w:r w:rsidRPr="005268D4">
        <w:rPr>
          <w:rFonts w:cstheme="minorHAnsi"/>
          <w:vertAlign w:val="superscript"/>
        </w:rPr>
        <w:footnoteReference w:id="11"/>
      </w:r>
    </w:p>
    <w:p w14:paraId="554A9207" w14:textId="77777777" w:rsidR="00614A60" w:rsidRPr="00903BD0" w:rsidRDefault="00614A60" w:rsidP="00614A60">
      <w:pPr>
        <w:pStyle w:val="ListParagraph"/>
        <w:numPr>
          <w:ilvl w:val="1"/>
          <w:numId w:val="6"/>
        </w:numPr>
        <w:contextualSpacing w:val="0"/>
        <w:rPr>
          <w:rFonts w:cstheme="minorHAnsi"/>
        </w:rPr>
      </w:pPr>
      <w:r w:rsidRPr="005268D4">
        <w:rPr>
          <w:rFonts w:cstheme="minorHAnsi"/>
        </w:rPr>
        <w:t>Menthol has been repeatedly exempted from legislation on flavored tobacco because of massive tobacco industry lobbying efforts. For decades</w:t>
      </w:r>
      <w:r>
        <w:rPr>
          <w:rFonts w:cstheme="minorHAnsi"/>
        </w:rPr>
        <w:t xml:space="preserve"> (in the United States specifically, but also around the world)</w:t>
      </w:r>
      <w:r w:rsidRPr="005268D4">
        <w:rPr>
          <w:rFonts w:cstheme="minorHAnsi"/>
        </w:rPr>
        <w:t xml:space="preserve"> tobacco companies have made strategic financial contributions and worked to align themselves with Black leaders, politicians, and Black focused media, mounting huge opposition campaigns against policy efforts to protect the health of African Americans, most recently those related to restricting the sale of menthol tobacco products.</w:t>
      </w:r>
      <w:r w:rsidRPr="005268D4">
        <w:rPr>
          <w:rStyle w:val="FootnoteReference"/>
          <w:rFonts w:cstheme="minorHAnsi"/>
        </w:rPr>
        <w:footnoteReference w:id="12"/>
      </w:r>
    </w:p>
    <w:p w14:paraId="28D10464" w14:textId="77777777" w:rsidR="00614A60" w:rsidRDefault="00614A60" w:rsidP="00614A60">
      <w:pPr>
        <w:pStyle w:val="ListParagraph"/>
        <w:ind w:left="1080"/>
        <w:rPr>
          <w:rFonts w:cstheme="minorHAnsi"/>
          <w:b/>
          <w:bCs/>
        </w:rPr>
      </w:pPr>
    </w:p>
    <w:p w14:paraId="75A22EBE" w14:textId="77777777" w:rsidR="00614A60" w:rsidRPr="0000590A" w:rsidRDefault="00614A60" w:rsidP="00614A60">
      <w:pPr>
        <w:pStyle w:val="ListParagraph"/>
        <w:numPr>
          <w:ilvl w:val="1"/>
          <w:numId w:val="6"/>
        </w:numPr>
        <w:rPr>
          <w:rFonts w:cstheme="minorHAnsi"/>
          <w:b/>
          <w:bCs/>
        </w:rPr>
      </w:pPr>
      <w:r>
        <w:rPr>
          <w:rFonts w:cstheme="minorHAnsi"/>
          <w:b/>
          <w:bCs/>
        </w:rPr>
        <w:t>Other examples of racial smoking disparities</w:t>
      </w:r>
    </w:p>
    <w:p w14:paraId="69E814A0" w14:textId="77777777" w:rsidR="00614A60" w:rsidRPr="0000590A" w:rsidRDefault="00614A60" w:rsidP="00614A60">
      <w:pPr>
        <w:pStyle w:val="ListParagraph"/>
        <w:numPr>
          <w:ilvl w:val="2"/>
          <w:numId w:val="7"/>
        </w:numPr>
        <w:spacing w:after="0" w:line="240" w:lineRule="auto"/>
        <w:contextualSpacing w:val="0"/>
        <w:rPr>
          <w:rFonts w:eastAsia="Times New Roman"/>
        </w:rPr>
      </w:pPr>
      <w:r>
        <w:rPr>
          <w:rFonts w:cstheme="minorHAnsi"/>
        </w:rPr>
        <w:t xml:space="preserve">This list is not exhaustive, but simply meant to serve as an example of how tobacco is an issue that impacts racial groups around the world. </w:t>
      </w:r>
    </w:p>
    <w:p w14:paraId="076C23A8" w14:textId="77777777" w:rsidR="00614A60" w:rsidRPr="0000590A" w:rsidRDefault="00614A60" w:rsidP="00614A60">
      <w:pPr>
        <w:pStyle w:val="ListParagraph"/>
        <w:spacing w:after="0" w:line="240" w:lineRule="auto"/>
        <w:ind w:left="1080"/>
        <w:contextualSpacing w:val="0"/>
        <w:rPr>
          <w:rFonts w:eastAsia="Times New Roman"/>
        </w:rPr>
      </w:pPr>
    </w:p>
    <w:p w14:paraId="5AA09C3A" w14:textId="77777777" w:rsidR="00614A60" w:rsidRDefault="00614A60" w:rsidP="00614A60">
      <w:pPr>
        <w:pStyle w:val="ListParagraph"/>
        <w:numPr>
          <w:ilvl w:val="3"/>
          <w:numId w:val="7"/>
        </w:numPr>
        <w:spacing w:after="0" w:line="240" w:lineRule="auto"/>
        <w:contextualSpacing w:val="0"/>
        <w:rPr>
          <w:rFonts w:eastAsia="Times New Roman"/>
        </w:rPr>
      </w:pPr>
      <w:r>
        <w:rPr>
          <w:rFonts w:cstheme="minorHAnsi"/>
        </w:rPr>
        <w:t xml:space="preserve">In </w:t>
      </w:r>
      <w:r>
        <w:rPr>
          <w:rFonts w:eastAsia="Times New Roman"/>
        </w:rPr>
        <w:t>Australia, where prevalence among native aboriginals is almost twice that of the general population.</w:t>
      </w:r>
      <w:r>
        <w:rPr>
          <w:rStyle w:val="FootnoteReference"/>
          <w:rFonts w:eastAsia="Times New Roman"/>
        </w:rPr>
        <w:footnoteReference w:id="13"/>
      </w:r>
      <w:r>
        <w:rPr>
          <w:rFonts w:eastAsia="Times New Roman"/>
        </w:rPr>
        <w:t xml:space="preserve">  </w:t>
      </w:r>
    </w:p>
    <w:p w14:paraId="5E963FC0" w14:textId="77777777" w:rsidR="00614A60" w:rsidRDefault="00614A60" w:rsidP="00614A60">
      <w:pPr>
        <w:pStyle w:val="ListParagraph"/>
        <w:spacing w:after="0" w:line="240" w:lineRule="auto"/>
        <w:ind w:left="1080"/>
        <w:contextualSpacing w:val="0"/>
        <w:rPr>
          <w:rFonts w:eastAsia="Times New Roman"/>
        </w:rPr>
      </w:pPr>
    </w:p>
    <w:p w14:paraId="45188B0E" w14:textId="77777777" w:rsidR="00614A60" w:rsidRDefault="00614A60" w:rsidP="00614A60">
      <w:pPr>
        <w:pStyle w:val="ListParagraph"/>
        <w:numPr>
          <w:ilvl w:val="3"/>
          <w:numId w:val="7"/>
        </w:numPr>
        <w:spacing w:after="0" w:line="240" w:lineRule="auto"/>
        <w:contextualSpacing w:val="0"/>
        <w:rPr>
          <w:rFonts w:eastAsia="Times New Roman"/>
        </w:rPr>
      </w:pPr>
      <w:r>
        <w:rPr>
          <w:rFonts w:eastAsia="Times New Roman"/>
        </w:rPr>
        <w:t xml:space="preserve">In </w:t>
      </w:r>
      <w:r w:rsidRPr="00903BD0">
        <w:rPr>
          <w:rFonts w:eastAsia="Times New Roman"/>
        </w:rPr>
        <w:t>New Zealand, where smoking prevalence is almost twice</w:t>
      </w:r>
      <w:r>
        <w:rPr>
          <w:rFonts w:eastAsia="Times New Roman"/>
        </w:rPr>
        <w:t xml:space="preserve"> as high</w:t>
      </w:r>
      <w:r w:rsidRPr="00903BD0">
        <w:rPr>
          <w:rFonts w:eastAsia="Times New Roman"/>
        </w:rPr>
        <w:t xml:space="preserve"> among Māori versus general population</w:t>
      </w:r>
      <w:r>
        <w:rPr>
          <w:rFonts w:eastAsia="Times New Roman"/>
        </w:rPr>
        <w:t>.</w:t>
      </w:r>
      <w:r>
        <w:rPr>
          <w:rStyle w:val="FootnoteReference"/>
          <w:rFonts w:eastAsia="Times New Roman"/>
        </w:rPr>
        <w:footnoteReference w:id="14"/>
      </w:r>
      <w:r w:rsidRPr="00903BD0">
        <w:rPr>
          <w:rFonts w:eastAsia="Times New Roman"/>
        </w:rPr>
        <w:t xml:space="preserve"> </w:t>
      </w:r>
    </w:p>
    <w:p w14:paraId="599B7DEA" w14:textId="77777777" w:rsidR="00614A60" w:rsidRPr="0000590A" w:rsidRDefault="00614A60" w:rsidP="00614A60">
      <w:pPr>
        <w:rPr>
          <w:rFonts w:eastAsia="Times New Roman"/>
        </w:rPr>
      </w:pPr>
    </w:p>
    <w:p w14:paraId="3D3A4E14" w14:textId="77777777" w:rsidR="00614A60" w:rsidRDefault="00614A60" w:rsidP="00614A60">
      <w:pPr>
        <w:pStyle w:val="ListParagraph"/>
        <w:numPr>
          <w:ilvl w:val="3"/>
          <w:numId w:val="7"/>
        </w:numPr>
        <w:spacing w:after="0" w:line="240" w:lineRule="auto"/>
        <w:contextualSpacing w:val="0"/>
        <w:rPr>
          <w:rFonts w:eastAsia="Times New Roman"/>
        </w:rPr>
      </w:pPr>
      <w:r>
        <w:rPr>
          <w:rFonts w:eastAsia="Times New Roman"/>
        </w:rPr>
        <w:t xml:space="preserve">In </w:t>
      </w:r>
      <w:r w:rsidRPr="00903BD0">
        <w:rPr>
          <w:rFonts w:eastAsia="Times New Roman"/>
        </w:rPr>
        <w:t>Canada</w:t>
      </w:r>
      <w:r>
        <w:rPr>
          <w:rFonts w:eastAsia="Times New Roman"/>
        </w:rPr>
        <w:t>, where smoking rates are</w:t>
      </w:r>
      <w:r w:rsidRPr="00903BD0">
        <w:rPr>
          <w:rFonts w:eastAsia="Times New Roman"/>
        </w:rPr>
        <w:t xml:space="preserve"> </w:t>
      </w:r>
      <w:r>
        <w:rPr>
          <w:rFonts w:eastAsia="Times New Roman"/>
        </w:rPr>
        <w:t>2.5 times higher among Inuit, and higher among First Nations people overall.</w:t>
      </w:r>
      <w:r>
        <w:rPr>
          <w:rStyle w:val="FootnoteReference"/>
          <w:rFonts w:eastAsia="Times New Roman"/>
        </w:rPr>
        <w:footnoteReference w:id="15"/>
      </w:r>
      <w:r w:rsidRPr="00903BD0">
        <w:rPr>
          <w:rFonts w:eastAsia="Times New Roman"/>
        </w:rPr>
        <w:t xml:space="preserve"> </w:t>
      </w:r>
    </w:p>
    <w:p w14:paraId="00D22777" w14:textId="77777777" w:rsidR="00614A60" w:rsidRPr="00903BD0" w:rsidRDefault="00614A60" w:rsidP="00614A60">
      <w:pPr>
        <w:pStyle w:val="ListParagraph"/>
        <w:numPr>
          <w:ilvl w:val="3"/>
          <w:numId w:val="7"/>
        </w:numPr>
        <w:spacing w:after="0" w:line="240" w:lineRule="auto"/>
        <w:contextualSpacing w:val="0"/>
        <w:rPr>
          <w:rFonts w:eastAsia="Times New Roman"/>
        </w:rPr>
      </w:pPr>
      <w:r w:rsidRPr="00903BD0">
        <w:rPr>
          <w:rFonts w:eastAsia="Times New Roman"/>
        </w:rPr>
        <w:lastRenderedPageBreak/>
        <w:t xml:space="preserve">In </w:t>
      </w:r>
      <w:r>
        <w:rPr>
          <w:rFonts w:eastAsia="Times New Roman"/>
        </w:rPr>
        <w:t>the United States</w:t>
      </w:r>
      <w:r w:rsidRPr="00903BD0">
        <w:rPr>
          <w:rFonts w:eastAsia="Times New Roman"/>
        </w:rPr>
        <w:t xml:space="preserve">, American Indian, Alaska natives have highest rates of smoking prevalence </w:t>
      </w:r>
      <w:hyperlink r:id="rId12" w:history="1">
        <w:r w:rsidRPr="00903BD0">
          <w:rPr>
            <w:rStyle w:val="Hyperlink"/>
            <w:rFonts w:eastAsia="Times New Roman"/>
          </w:rPr>
          <w:t>https://www.cdc.gov/tobacco/disparities/american-indians/index.htm</w:t>
        </w:r>
      </w:hyperlink>
    </w:p>
    <w:p w14:paraId="1940BDAD" w14:textId="77777777" w:rsidR="00614A60" w:rsidRPr="005268D4" w:rsidRDefault="00614A60" w:rsidP="00614A60">
      <w:pPr>
        <w:rPr>
          <w:rFonts w:cstheme="minorHAnsi"/>
        </w:rPr>
      </w:pPr>
    </w:p>
    <w:p w14:paraId="63B9473A" w14:textId="77777777" w:rsidR="00614A60" w:rsidRPr="005268D4" w:rsidRDefault="00614A60" w:rsidP="00614A60">
      <w:pPr>
        <w:pStyle w:val="ListParagraph"/>
        <w:numPr>
          <w:ilvl w:val="0"/>
          <w:numId w:val="6"/>
        </w:numPr>
        <w:contextualSpacing w:val="0"/>
        <w:rPr>
          <w:rFonts w:cstheme="minorHAnsi"/>
          <w:b/>
          <w:bCs/>
        </w:rPr>
      </w:pPr>
      <w:r w:rsidRPr="005268D4">
        <w:rPr>
          <w:rFonts w:cstheme="minorHAnsi"/>
          <w:b/>
          <w:bCs/>
        </w:rPr>
        <w:t>Health intersections</w:t>
      </w:r>
    </w:p>
    <w:p w14:paraId="55EE55F2" w14:textId="77777777" w:rsidR="00614A60" w:rsidRPr="005268D4" w:rsidRDefault="00614A60" w:rsidP="00614A60">
      <w:pPr>
        <w:rPr>
          <w:rFonts w:cstheme="minorHAnsi"/>
        </w:rPr>
      </w:pPr>
      <w:r w:rsidRPr="005268D4">
        <w:rPr>
          <w:rFonts w:cstheme="minorHAnsi"/>
        </w:rPr>
        <w:t xml:space="preserve">Tobacco does not exist in a silo, and numerous other public health issues intersect with and impact tobacco control. It is important to consider tobacco, and especially menthol, in this context. These are just a few examples of cross-cutting issues.  </w:t>
      </w:r>
    </w:p>
    <w:p w14:paraId="33640D37" w14:textId="77777777" w:rsidR="00614A60" w:rsidRPr="005268D4" w:rsidRDefault="00614A60" w:rsidP="00614A60">
      <w:pPr>
        <w:pStyle w:val="ListParagraph"/>
        <w:numPr>
          <w:ilvl w:val="1"/>
          <w:numId w:val="6"/>
        </w:numPr>
        <w:contextualSpacing w:val="0"/>
        <w:rPr>
          <w:rFonts w:cstheme="minorHAnsi"/>
          <w:b/>
          <w:bCs/>
        </w:rPr>
      </w:pPr>
      <w:r w:rsidRPr="005268D4">
        <w:rPr>
          <w:rFonts w:cstheme="minorHAnsi"/>
          <w:b/>
          <w:bCs/>
        </w:rPr>
        <w:t>COVID-19</w:t>
      </w:r>
    </w:p>
    <w:p w14:paraId="205BCAD4" w14:textId="77777777" w:rsidR="00614A60" w:rsidRPr="005268D4" w:rsidRDefault="00614A60" w:rsidP="00614A60">
      <w:pPr>
        <w:pStyle w:val="ListParagraph"/>
        <w:numPr>
          <w:ilvl w:val="2"/>
          <w:numId w:val="6"/>
        </w:numPr>
        <w:contextualSpacing w:val="0"/>
        <w:rPr>
          <w:rFonts w:cstheme="minorHAnsi"/>
          <w:b/>
          <w:bCs/>
        </w:rPr>
      </w:pPr>
      <w:r w:rsidRPr="005268D4">
        <w:rPr>
          <w:rFonts w:cstheme="minorHAnsi"/>
        </w:rPr>
        <w:t>During the worldwide COVID-19 pandemic, addressing tobacco use is even more important, as tobacco negatively impacts the outcomes for COVID-19 patients who smoke or are exposed to tobacco smoke.</w:t>
      </w:r>
    </w:p>
    <w:p w14:paraId="7C80E44E" w14:textId="77777777" w:rsidR="00614A60" w:rsidRPr="005268D4" w:rsidRDefault="00614A60" w:rsidP="00614A60">
      <w:pPr>
        <w:pStyle w:val="ListParagraph"/>
        <w:numPr>
          <w:ilvl w:val="1"/>
          <w:numId w:val="6"/>
        </w:numPr>
        <w:contextualSpacing w:val="0"/>
        <w:rPr>
          <w:rFonts w:cstheme="minorHAnsi"/>
          <w:b/>
          <w:bCs/>
        </w:rPr>
      </w:pPr>
      <w:r w:rsidRPr="005268D4">
        <w:rPr>
          <w:rFonts w:cstheme="minorHAnsi"/>
          <w:b/>
          <w:bCs/>
        </w:rPr>
        <w:t>Police enforcement</w:t>
      </w:r>
    </w:p>
    <w:p w14:paraId="77C37480" w14:textId="77777777" w:rsidR="00614A60" w:rsidRPr="005268D4" w:rsidRDefault="00614A60" w:rsidP="00614A60">
      <w:pPr>
        <w:pStyle w:val="ListParagraph"/>
        <w:numPr>
          <w:ilvl w:val="2"/>
          <w:numId w:val="6"/>
        </w:numPr>
        <w:contextualSpacing w:val="0"/>
        <w:rPr>
          <w:rFonts w:cstheme="minorHAnsi"/>
          <w:b/>
          <w:bCs/>
        </w:rPr>
      </w:pPr>
      <w:r w:rsidRPr="005268D4">
        <w:rPr>
          <w:rFonts w:cstheme="minorHAnsi"/>
        </w:rPr>
        <w:t xml:space="preserve">Law enforcement should not approach, harass, or arrest structurally marginalized communities, especially children of color, because they have a tobacco product in their possession. </w:t>
      </w:r>
    </w:p>
    <w:p w14:paraId="20594F8F" w14:textId="77777777" w:rsidR="00614A60" w:rsidRPr="005268D4" w:rsidRDefault="00614A60" w:rsidP="00614A60">
      <w:pPr>
        <w:pStyle w:val="ListParagraph"/>
        <w:numPr>
          <w:ilvl w:val="2"/>
          <w:numId w:val="6"/>
        </w:numPr>
        <w:contextualSpacing w:val="0"/>
        <w:rPr>
          <w:rFonts w:cstheme="minorHAnsi"/>
          <w:b/>
          <w:bCs/>
        </w:rPr>
      </w:pPr>
      <w:r w:rsidRPr="005268D4">
        <w:rPr>
          <w:rFonts w:cstheme="minorHAnsi"/>
        </w:rPr>
        <w:t>To save lives, especially Black and Brown lives, local and state tobacco prevention and control partners must address where and how public health laws contribute to systemic racism and discrimination. This includes not only working to eliminate the sale of mentholated tobacco products but also addressing inequities in the enforcement of commercial tobacco control laws and policies.</w:t>
      </w:r>
      <w:r w:rsidRPr="005268D4">
        <w:rPr>
          <w:rStyle w:val="FootnoteReference"/>
          <w:rFonts w:cstheme="minorHAnsi"/>
        </w:rPr>
        <w:footnoteReference w:id="16"/>
      </w:r>
    </w:p>
    <w:p w14:paraId="1D4DDA92" w14:textId="77777777" w:rsidR="00614A60" w:rsidRPr="005268D4" w:rsidRDefault="00614A60" w:rsidP="00614A60">
      <w:pPr>
        <w:pStyle w:val="ListParagraph"/>
        <w:numPr>
          <w:ilvl w:val="1"/>
          <w:numId w:val="6"/>
        </w:numPr>
        <w:contextualSpacing w:val="0"/>
        <w:rPr>
          <w:rFonts w:cstheme="minorHAnsi"/>
          <w:b/>
          <w:bCs/>
        </w:rPr>
      </w:pPr>
      <w:r w:rsidRPr="005268D4">
        <w:rPr>
          <w:rFonts w:cstheme="minorHAnsi"/>
          <w:b/>
          <w:bCs/>
        </w:rPr>
        <w:t>Non-communicable diseases (NCDs)</w:t>
      </w:r>
      <w:r w:rsidRPr="005268D4">
        <w:rPr>
          <w:rFonts w:cstheme="minorHAnsi"/>
          <w:shd w:val="clear" w:color="auto" w:fill="FFFFFF"/>
        </w:rPr>
        <w:t xml:space="preserve"> </w:t>
      </w:r>
    </w:p>
    <w:p w14:paraId="4EC6E0AA" w14:textId="77777777" w:rsidR="00614A60" w:rsidRPr="006E5995" w:rsidRDefault="00614A60" w:rsidP="00614A60">
      <w:pPr>
        <w:pStyle w:val="ListParagraph"/>
        <w:numPr>
          <w:ilvl w:val="2"/>
          <w:numId w:val="6"/>
        </w:numPr>
        <w:contextualSpacing w:val="0"/>
        <w:rPr>
          <w:rFonts w:cstheme="minorHAnsi"/>
          <w:b/>
          <w:bCs/>
        </w:rPr>
      </w:pPr>
      <w:r w:rsidRPr="005268D4">
        <w:rPr>
          <w:rFonts w:cstheme="minorHAnsi"/>
          <w:shd w:val="clear" w:color="auto" w:fill="FFFFFF"/>
        </w:rPr>
        <w:t>Tobacco use is the only risk factor shared by all four main categories of NCDs- cardiovascular disease, cancer, chronic lung disease and diabetes-, and accounts for nearly one in six deaths from NCDs.</w:t>
      </w:r>
    </w:p>
    <w:p w14:paraId="3EA5BA7E" w14:textId="77777777" w:rsidR="00614A60" w:rsidRPr="005268D4" w:rsidRDefault="00614A60" w:rsidP="00614A60">
      <w:pPr>
        <w:pStyle w:val="xmsonormal"/>
        <w:numPr>
          <w:ilvl w:val="0"/>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b/>
          <w:bCs/>
          <w:sz w:val="22"/>
          <w:szCs w:val="22"/>
        </w:rPr>
        <w:t xml:space="preserve">Treaty obligations </w:t>
      </w:r>
    </w:p>
    <w:p w14:paraId="76F03A5A" w14:textId="77777777" w:rsidR="00614A60" w:rsidRPr="005268D4" w:rsidRDefault="00614A60" w:rsidP="00614A60">
      <w:pPr>
        <w:pStyle w:val="xmsonormal"/>
        <w:shd w:val="clear" w:color="auto" w:fill="FFFFFF"/>
        <w:spacing w:before="0" w:beforeAutospacing="0" w:after="0" w:afterAutospacing="0"/>
        <w:ind w:left="360"/>
        <w:rPr>
          <w:rFonts w:asciiTheme="minorHAnsi" w:hAnsiTheme="minorHAnsi" w:cstheme="minorHAnsi"/>
          <w:b/>
          <w:bCs/>
          <w:sz w:val="22"/>
          <w:szCs w:val="22"/>
        </w:rPr>
      </w:pPr>
    </w:p>
    <w:p w14:paraId="78FB92F1" w14:textId="77777777" w:rsidR="00614A60" w:rsidRPr="005268D4" w:rsidRDefault="00614A60" w:rsidP="00614A60">
      <w:pPr>
        <w:rPr>
          <w:rFonts w:eastAsia="Times New Roman" w:cstheme="minorHAnsi"/>
        </w:rPr>
      </w:pPr>
      <w:r w:rsidRPr="005268D4">
        <w:rPr>
          <w:rFonts w:cstheme="minorHAnsi"/>
        </w:rPr>
        <w:t>The International Convention on the Elimination of All Forms of Racial Discrimination (CERD) was created with the goal of “</w:t>
      </w:r>
      <w:r w:rsidRPr="005268D4">
        <w:rPr>
          <w:rFonts w:cstheme="minorHAnsi"/>
          <w:bdr w:val="none" w:sz="0" w:space="0" w:color="auto" w:frame="1"/>
          <w:shd w:val="clear" w:color="auto" w:fill="FFFFFF"/>
        </w:rPr>
        <w:t>speedily eliminating racial discrimination throughout the world in all its forms and manifestations and of securing understanding of and respect for the dignity of the human person.”</w:t>
      </w:r>
      <w:r w:rsidRPr="005268D4">
        <w:rPr>
          <w:rStyle w:val="FootnoteReference"/>
          <w:rFonts w:cstheme="minorHAnsi"/>
          <w:bdr w:val="none" w:sz="0" w:space="0" w:color="auto" w:frame="1"/>
          <w:shd w:val="clear" w:color="auto" w:fill="FFFFFF"/>
        </w:rPr>
        <w:footnoteReference w:id="17"/>
      </w:r>
      <w:r w:rsidRPr="005268D4">
        <w:rPr>
          <w:rFonts w:cstheme="minorHAnsi"/>
        </w:rPr>
        <w:t> Article 5 of the treaty also recognizes the “right to public health” and requires States Parties “to</w:t>
      </w:r>
      <w:r w:rsidRPr="005268D4">
        <w:rPr>
          <w:rFonts w:eastAsia="Times New Roman" w:cstheme="minorHAnsi"/>
          <w:shd w:val="clear" w:color="auto" w:fill="FFFFFF"/>
        </w:rPr>
        <w:t xml:space="preserve"> prohibit and to eliminate racial discrimination in all its forms and to guarantee the right of everyone, without distinction as to race, </w:t>
      </w:r>
      <w:proofErr w:type="spellStart"/>
      <w:r w:rsidRPr="005268D4">
        <w:rPr>
          <w:rFonts w:eastAsia="Times New Roman" w:cstheme="minorHAnsi"/>
          <w:shd w:val="clear" w:color="auto" w:fill="FFFFFF"/>
        </w:rPr>
        <w:t>colour</w:t>
      </w:r>
      <w:proofErr w:type="spellEnd"/>
      <w:r w:rsidRPr="005268D4">
        <w:rPr>
          <w:rFonts w:eastAsia="Times New Roman" w:cstheme="minorHAnsi"/>
          <w:shd w:val="clear" w:color="auto" w:fill="FFFFFF"/>
        </w:rPr>
        <w:t>, or national or ethnic origin, to equality before the law, notably in the enjoyment of” this right.</w:t>
      </w:r>
      <w:r w:rsidRPr="005268D4">
        <w:rPr>
          <w:rStyle w:val="FootnoteReference"/>
          <w:rFonts w:cstheme="minorHAnsi"/>
        </w:rPr>
        <w:footnoteReference w:id="18"/>
      </w:r>
      <w:r w:rsidRPr="005268D4">
        <w:rPr>
          <w:rFonts w:cstheme="minorHAnsi"/>
        </w:rPr>
        <w:t> Tobacco, and specifically menthol, is a threat to these rights.</w:t>
      </w:r>
    </w:p>
    <w:p w14:paraId="66411851" w14:textId="77777777" w:rsidR="00614A60" w:rsidRPr="005268D4" w:rsidRDefault="00614A60" w:rsidP="00614A60">
      <w:pPr>
        <w:pStyle w:val="xdefault0"/>
        <w:shd w:val="clear" w:color="auto" w:fill="FFFFFF"/>
        <w:spacing w:before="0" w:beforeAutospacing="0" w:after="0" w:afterAutospacing="0"/>
        <w:ind w:left="360"/>
        <w:rPr>
          <w:rFonts w:asciiTheme="minorHAnsi" w:hAnsiTheme="minorHAnsi" w:cstheme="minorHAnsi"/>
          <w:b/>
          <w:bCs/>
          <w:sz w:val="22"/>
          <w:szCs w:val="22"/>
        </w:rPr>
      </w:pPr>
    </w:p>
    <w:p w14:paraId="6A4EC380" w14:textId="77777777" w:rsidR="00614A60" w:rsidRPr="005268D4" w:rsidRDefault="00614A60" w:rsidP="00614A60">
      <w:pPr>
        <w:pStyle w:val="xdefault0"/>
        <w:numPr>
          <w:ilvl w:val="0"/>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b/>
          <w:bCs/>
          <w:sz w:val="22"/>
          <w:szCs w:val="22"/>
          <w:bdr w:val="none" w:sz="0" w:space="0" w:color="auto" w:frame="1"/>
        </w:rPr>
        <w:t>Framework Convention on Tobacco Control (FCTC)</w:t>
      </w:r>
    </w:p>
    <w:p w14:paraId="6AAEEACD" w14:textId="77777777" w:rsidR="00614A60" w:rsidRPr="005268D4" w:rsidRDefault="00614A60" w:rsidP="00614A60">
      <w:pPr>
        <w:pStyle w:val="xdefault0"/>
        <w:numPr>
          <w:ilvl w:val="1"/>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lastRenderedPageBreak/>
        <w:t xml:space="preserve">In addition, to violating the right to health, the manufacture and selling of mentholated tobacco goes against the principles of international health treaties. </w:t>
      </w:r>
    </w:p>
    <w:p w14:paraId="5372AA7D" w14:textId="77777777" w:rsidR="00614A60" w:rsidRPr="005268D4" w:rsidRDefault="00614A60" w:rsidP="00614A60">
      <w:pPr>
        <w:pStyle w:val="xdefault0"/>
        <w:shd w:val="clear" w:color="auto" w:fill="FFFFFF"/>
        <w:spacing w:before="0" w:beforeAutospacing="0" w:after="0" w:afterAutospacing="0"/>
        <w:ind w:left="720"/>
        <w:rPr>
          <w:rFonts w:asciiTheme="minorHAnsi" w:hAnsiTheme="minorHAnsi" w:cstheme="minorHAnsi"/>
          <w:b/>
          <w:bCs/>
          <w:sz w:val="22"/>
          <w:szCs w:val="22"/>
        </w:rPr>
      </w:pPr>
    </w:p>
    <w:p w14:paraId="71036C74" w14:textId="77777777" w:rsidR="00614A60" w:rsidRPr="005268D4" w:rsidRDefault="00614A60" w:rsidP="00614A60">
      <w:pPr>
        <w:pStyle w:val="xdefault0"/>
        <w:numPr>
          <w:ilvl w:val="1"/>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 xml:space="preserve">The WHO Framework Convention on Tobacco Control (FCTC) provides global best practices for tobacco control.  </w:t>
      </w:r>
    </w:p>
    <w:p w14:paraId="2B647F53" w14:textId="77777777" w:rsidR="00614A60" w:rsidRPr="005268D4" w:rsidRDefault="00614A60" w:rsidP="00614A60">
      <w:pPr>
        <w:pStyle w:val="ListParagraph"/>
        <w:rPr>
          <w:rFonts w:cstheme="minorHAnsi"/>
        </w:rPr>
      </w:pPr>
    </w:p>
    <w:p w14:paraId="49755D42" w14:textId="77777777" w:rsidR="00614A60" w:rsidRPr="005268D4" w:rsidRDefault="00614A60" w:rsidP="00614A60">
      <w:pPr>
        <w:pStyle w:val="xdefault0"/>
        <w:numPr>
          <w:ilvl w:val="1"/>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The partial guidelines for implementation of the Articles of the FCTC that address the</w:t>
      </w:r>
      <w:r w:rsidRPr="005268D4">
        <w:rPr>
          <w:rFonts w:asciiTheme="minorHAnsi" w:hAnsiTheme="minorHAnsi" w:cstheme="minorHAnsi"/>
          <w:i/>
          <w:iCs/>
          <w:sz w:val="22"/>
          <w:szCs w:val="22"/>
          <w:bdr w:val="none" w:sz="0" w:space="0" w:color="auto" w:frame="1"/>
        </w:rPr>
        <w:t xml:space="preserve"> “</w:t>
      </w:r>
      <w:r w:rsidRPr="005268D4">
        <w:rPr>
          <w:rFonts w:asciiTheme="minorHAnsi" w:hAnsiTheme="minorHAnsi" w:cstheme="minorHAnsi"/>
          <w:iCs/>
          <w:sz w:val="22"/>
          <w:szCs w:val="22"/>
          <w:bdr w:val="none" w:sz="0" w:space="0" w:color="auto" w:frame="1"/>
        </w:rPr>
        <w:t>regulation of the contents of tobacco products and regulation of tobacco product disclosures</w:t>
      </w:r>
      <w:r w:rsidRPr="005268D4">
        <w:rPr>
          <w:rFonts w:asciiTheme="minorHAnsi" w:hAnsiTheme="minorHAnsi" w:cstheme="minorHAnsi"/>
          <w:i/>
          <w:iCs/>
          <w:sz w:val="22"/>
          <w:szCs w:val="22"/>
          <w:bdr w:val="none" w:sz="0" w:space="0" w:color="auto" w:frame="1"/>
        </w:rPr>
        <w:t>” established</w:t>
      </w:r>
      <w:r w:rsidRPr="005268D4">
        <w:rPr>
          <w:rFonts w:asciiTheme="minorHAnsi" w:hAnsiTheme="minorHAnsi" w:cstheme="minorHAnsi"/>
          <w:iCs/>
          <w:sz w:val="22"/>
          <w:szCs w:val="22"/>
          <w:bdr w:val="none" w:sz="0" w:space="0" w:color="auto" w:frame="1"/>
        </w:rPr>
        <w:t xml:space="preserve"> that “</w:t>
      </w:r>
      <w:r w:rsidRPr="005268D4">
        <w:rPr>
          <w:rFonts w:asciiTheme="minorHAnsi" w:hAnsiTheme="minorHAnsi" w:cstheme="minorHAnsi"/>
          <w:sz w:val="22"/>
          <w:szCs w:val="22"/>
        </w:rPr>
        <w:t xml:space="preserve">masking tobacco smoke harshness with </w:t>
      </w:r>
      <w:proofErr w:type="spellStart"/>
      <w:r w:rsidRPr="005268D4">
        <w:rPr>
          <w:rFonts w:asciiTheme="minorHAnsi" w:hAnsiTheme="minorHAnsi" w:cstheme="minorHAnsi"/>
          <w:sz w:val="22"/>
          <w:szCs w:val="22"/>
        </w:rPr>
        <w:t>flavours</w:t>
      </w:r>
      <w:proofErr w:type="spellEnd"/>
      <w:r w:rsidRPr="005268D4">
        <w:rPr>
          <w:rFonts w:asciiTheme="minorHAnsi" w:hAnsiTheme="minorHAnsi" w:cstheme="minorHAnsi"/>
          <w:sz w:val="22"/>
          <w:szCs w:val="22"/>
        </w:rPr>
        <w:t xml:space="preserve"> contributes to promoting and sustaining tobacco use” and clarified that “from the perspective of public health, there is no justification for permitting the use of ingredients, such as </w:t>
      </w:r>
      <w:proofErr w:type="spellStart"/>
      <w:r w:rsidRPr="005268D4">
        <w:rPr>
          <w:rFonts w:asciiTheme="minorHAnsi" w:hAnsiTheme="minorHAnsi" w:cstheme="minorHAnsi"/>
          <w:sz w:val="22"/>
          <w:szCs w:val="22"/>
        </w:rPr>
        <w:t>flavouring</w:t>
      </w:r>
      <w:proofErr w:type="spellEnd"/>
      <w:r w:rsidRPr="005268D4">
        <w:rPr>
          <w:rFonts w:asciiTheme="minorHAnsi" w:hAnsiTheme="minorHAnsi" w:cstheme="minorHAnsi"/>
          <w:sz w:val="22"/>
          <w:szCs w:val="22"/>
        </w:rPr>
        <w:t xml:space="preserve"> agents.”</w:t>
      </w:r>
      <w:r w:rsidRPr="005268D4">
        <w:rPr>
          <w:rStyle w:val="FootnoteReference"/>
          <w:rFonts w:asciiTheme="minorHAnsi" w:hAnsiTheme="minorHAnsi" w:cstheme="minorHAnsi"/>
          <w:b/>
          <w:sz w:val="22"/>
          <w:szCs w:val="22"/>
        </w:rPr>
        <w:footnoteReference w:id="19"/>
      </w:r>
    </w:p>
    <w:p w14:paraId="3687791B" w14:textId="77777777" w:rsidR="00614A60" w:rsidRPr="005268D4" w:rsidRDefault="00614A60" w:rsidP="00614A60">
      <w:pPr>
        <w:pStyle w:val="ListParagraph"/>
        <w:rPr>
          <w:rFonts w:cstheme="minorHAnsi"/>
        </w:rPr>
      </w:pPr>
    </w:p>
    <w:p w14:paraId="063DC945" w14:textId="77777777" w:rsidR="00614A60" w:rsidRPr="005268D4" w:rsidRDefault="00614A60" w:rsidP="00614A60">
      <w:pPr>
        <w:pStyle w:val="xdefault0"/>
        <w:numPr>
          <w:ilvl w:val="1"/>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The FCTC has been instrumental in changing the global conversation about tobacco, and many of its articles address rights that are important to the implementation of ICERD, including:</w:t>
      </w:r>
    </w:p>
    <w:p w14:paraId="0B5F01FC" w14:textId="77777777" w:rsidR="00614A60" w:rsidRPr="005268D4" w:rsidRDefault="00614A60" w:rsidP="00614A60">
      <w:pPr>
        <w:pStyle w:val="xdefault0"/>
        <w:numPr>
          <w:ilvl w:val="2"/>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Right to health and life – FCTC Articles 9, 10, 11, 12, 13, 14, and 16</w:t>
      </w:r>
    </w:p>
    <w:p w14:paraId="56DBD093" w14:textId="77777777" w:rsidR="00614A60" w:rsidRPr="005268D4" w:rsidRDefault="00614A60" w:rsidP="00614A60">
      <w:pPr>
        <w:pStyle w:val="xdefault0"/>
        <w:numPr>
          <w:ilvl w:val="2"/>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Right to healthy environment – FCTC Articles 8, 17, and 18</w:t>
      </w:r>
    </w:p>
    <w:p w14:paraId="49DD81CD" w14:textId="77777777" w:rsidR="00614A60" w:rsidRPr="005268D4" w:rsidRDefault="00614A60" w:rsidP="00614A60">
      <w:pPr>
        <w:pStyle w:val="xdefault0"/>
        <w:numPr>
          <w:ilvl w:val="2"/>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Children’s rights – FCTC Article 8, 12, 13, 16 and 17</w:t>
      </w:r>
    </w:p>
    <w:p w14:paraId="51C96C9D" w14:textId="77777777" w:rsidR="00614A60" w:rsidRPr="005268D4" w:rsidRDefault="00614A60" w:rsidP="00614A60">
      <w:pPr>
        <w:pStyle w:val="xdefault0"/>
        <w:numPr>
          <w:ilvl w:val="2"/>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Women’s rights – FCTC Article 8, and 13</w:t>
      </w:r>
    </w:p>
    <w:p w14:paraId="3758A664" w14:textId="77777777" w:rsidR="00614A60" w:rsidRPr="005268D4" w:rsidRDefault="00614A60" w:rsidP="00614A60">
      <w:pPr>
        <w:pStyle w:val="ListParagraph"/>
        <w:rPr>
          <w:rFonts w:cstheme="minorHAnsi"/>
        </w:rPr>
      </w:pPr>
    </w:p>
    <w:p w14:paraId="5EF41E9F" w14:textId="77777777" w:rsidR="00614A60" w:rsidRPr="005268D4" w:rsidRDefault="00614A60" w:rsidP="00614A60">
      <w:pPr>
        <w:pStyle w:val="ListParagraph"/>
        <w:numPr>
          <w:ilvl w:val="1"/>
          <w:numId w:val="6"/>
        </w:numPr>
        <w:rPr>
          <w:rFonts w:eastAsia="Times New Roman" w:cstheme="minorHAnsi"/>
        </w:rPr>
      </w:pPr>
      <w:r w:rsidRPr="005268D4">
        <w:rPr>
          <w:rFonts w:eastAsia="Times New Roman" w:cstheme="minorHAnsi"/>
        </w:rPr>
        <w:t>The U.S. has not yet ratified the WHO FCTC, but it has signed it and has committed to its implementation when the U.S. endorsed the UN Sustainable Development Goals that were adopted unanimously by the UN General Assembly in September 2015.</w:t>
      </w:r>
    </w:p>
    <w:p w14:paraId="5647A0DD" w14:textId="77777777" w:rsidR="00614A60" w:rsidRPr="005268D4" w:rsidRDefault="00614A60" w:rsidP="00614A60">
      <w:pPr>
        <w:pStyle w:val="xdefault0"/>
        <w:shd w:val="clear" w:color="auto" w:fill="FFFFFF"/>
        <w:spacing w:before="0" w:beforeAutospacing="0" w:after="0" w:afterAutospacing="0"/>
        <w:rPr>
          <w:rFonts w:asciiTheme="minorHAnsi" w:hAnsiTheme="minorHAnsi" w:cstheme="minorHAnsi"/>
          <w:b/>
          <w:sz w:val="22"/>
          <w:szCs w:val="22"/>
        </w:rPr>
      </w:pPr>
    </w:p>
    <w:p w14:paraId="14F315BB" w14:textId="77777777" w:rsidR="00614A60" w:rsidRPr="005268D4" w:rsidRDefault="00614A60" w:rsidP="00614A60">
      <w:pPr>
        <w:pStyle w:val="ListParagraph"/>
        <w:numPr>
          <w:ilvl w:val="0"/>
          <w:numId w:val="6"/>
        </w:numPr>
        <w:spacing w:after="0" w:line="240" w:lineRule="auto"/>
        <w:rPr>
          <w:rFonts w:eastAsia="Times New Roman" w:cstheme="minorHAnsi"/>
          <w:b/>
        </w:rPr>
      </w:pPr>
      <w:r w:rsidRPr="005268D4">
        <w:rPr>
          <w:rFonts w:cstheme="minorHAnsi"/>
          <w:b/>
        </w:rPr>
        <w:t>The UN Sustainable Development Goals</w:t>
      </w:r>
    </w:p>
    <w:p w14:paraId="4C95596F" w14:textId="77777777" w:rsidR="00614A60" w:rsidRPr="005268D4" w:rsidRDefault="00614A60" w:rsidP="00614A60">
      <w:pPr>
        <w:pStyle w:val="ListParagraph"/>
        <w:numPr>
          <w:ilvl w:val="1"/>
          <w:numId w:val="6"/>
        </w:numPr>
        <w:spacing w:after="0" w:line="240" w:lineRule="auto"/>
        <w:rPr>
          <w:rFonts w:eastAsia="Times New Roman" w:cstheme="minorHAnsi"/>
        </w:rPr>
      </w:pPr>
      <w:r w:rsidRPr="005268D4">
        <w:rPr>
          <w:rFonts w:cstheme="minorHAnsi"/>
        </w:rPr>
        <w:t xml:space="preserve">The negative impact of tobacco on global development was recognized by the global community </w:t>
      </w:r>
      <w:r w:rsidRPr="005268D4">
        <w:rPr>
          <w:rStyle w:val="normaltextrun"/>
          <w:rFonts w:cstheme="minorHAnsi"/>
        </w:rPr>
        <w:t>in</w:t>
      </w:r>
      <w:r w:rsidRPr="005268D4">
        <w:rPr>
          <w:rStyle w:val="apple-converted-space"/>
          <w:rFonts w:cstheme="minorHAnsi"/>
        </w:rPr>
        <w:t> </w:t>
      </w:r>
      <w:r w:rsidRPr="005268D4">
        <w:rPr>
          <w:rStyle w:val="normaltextrun"/>
          <w:rFonts w:cstheme="minorHAnsi"/>
        </w:rPr>
        <w:t>September 2015,</w:t>
      </w:r>
      <w:r w:rsidRPr="005268D4">
        <w:rPr>
          <w:rStyle w:val="apple-converted-space"/>
          <w:rFonts w:cstheme="minorHAnsi"/>
        </w:rPr>
        <w:t xml:space="preserve"> </w:t>
      </w:r>
      <w:r w:rsidRPr="005268D4">
        <w:rPr>
          <w:rStyle w:val="normaltextrun"/>
          <w:rFonts w:cstheme="minorHAnsi"/>
        </w:rPr>
        <w:t>when all</w:t>
      </w:r>
      <w:r w:rsidRPr="005268D4">
        <w:rPr>
          <w:rStyle w:val="apple-converted-space"/>
          <w:rFonts w:cstheme="minorHAnsi"/>
        </w:rPr>
        <w:t> </w:t>
      </w:r>
      <w:r w:rsidRPr="005268D4">
        <w:rPr>
          <w:rStyle w:val="normaltextrun"/>
          <w:rFonts w:cstheme="minorHAnsi"/>
        </w:rPr>
        <w:t>United Nations</w:t>
      </w:r>
      <w:r w:rsidRPr="005268D4">
        <w:rPr>
          <w:rStyle w:val="apple-converted-space"/>
          <w:rFonts w:cstheme="minorHAnsi"/>
        </w:rPr>
        <w:t> </w:t>
      </w:r>
      <w:r w:rsidRPr="005268D4">
        <w:rPr>
          <w:rStyle w:val="normaltextrun"/>
          <w:rFonts w:cstheme="minorHAnsi"/>
        </w:rPr>
        <w:t>Member States, including the United States, adopted the UN Sustainable Development Goals (SDGs) which include Target 3.a which calls on countries to “</w:t>
      </w:r>
      <w:r w:rsidRPr="005268D4">
        <w:rPr>
          <w:rFonts w:cstheme="minorHAnsi"/>
          <w:shd w:val="clear" w:color="auto" w:fill="FFFFFF"/>
        </w:rPr>
        <w:t>Strengthen the implementation of the World Health Organization Framework Convention on Tobacco Control in all countries, as appropriate.”</w:t>
      </w:r>
    </w:p>
    <w:p w14:paraId="1894E180" w14:textId="77777777" w:rsidR="00614A60" w:rsidRPr="005268D4" w:rsidRDefault="00614A60" w:rsidP="00614A60">
      <w:pPr>
        <w:pStyle w:val="ListParagraph"/>
        <w:spacing w:after="0" w:line="240" w:lineRule="auto"/>
        <w:rPr>
          <w:rFonts w:eastAsia="Times New Roman" w:cstheme="minorHAnsi"/>
        </w:rPr>
      </w:pPr>
    </w:p>
    <w:p w14:paraId="229BADBD" w14:textId="77777777" w:rsidR="00614A60" w:rsidRPr="005268D4" w:rsidRDefault="00614A60" w:rsidP="00614A60">
      <w:pPr>
        <w:pStyle w:val="ListParagraph"/>
        <w:numPr>
          <w:ilvl w:val="1"/>
          <w:numId w:val="6"/>
        </w:numPr>
        <w:spacing w:after="0" w:line="240" w:lineRule="auto"/>
        <w:rPr>
          <w:rFonts w:eastAsia="Times New Roman" w:cstheme="minorHAnsi"/>
        </w:rPr>
      </w:pPr>
      <w:r w:rsidRPr="005268D4">
        <w:rPr>
          <w:rFonts w:cstheme="minorHAnsi"/>
          <w:shd w:val="clear" w:color="auto" w:fill="FFFFFF"/>
        </w:rPr>
        <w:t xml:space="preserve"> Target 3.4 goes on to call on countries to “</w:t>
      </w:r>
      <w:r w:rsidRPr="005268D4">
        <w:rPr>
          <w:rFonts w:eastAsia="Times New Roman" w:cstheme="minorHAnsi"/>
          <w:shd w:val="clear" w:color="auto" w:fill="FFFFFF"/>
        </w:rPr>
        <w:t xml:space="preserve">by 2030, reduce by one third premature mortality from non-communicable diseases through prevention and treatment”. </w:t>
      </w:r>
    </w:p>
    <w:p w14:paraId="4964F504" w14:textId="77777777" w:rsidR="00614A60" w:rsidRPr="005268D4" w:rsidRDefault="00614A60" w:rsidP="00614A60">
      <w:pPr>
        <w:pStyle w:val="ListParagraph"/>
        <w:rPr>
          <w:rFonts w:eastAsia="Times New Roman" w:cstheme="minorHAnsi"/>
          <w:shd w:val="clear" w:color="auto" w:fill="FFFFFF"/>
        </w:rPr>
      </w:pPr>
    </w:p>
    <w:p w14:paraId="41186DA0" w14:textId="77777777" w:rsidR="00614A60" w:rsidRPr="005268D4" w:rsidRDefault="00614A60" w:rsidP="00614A60">
      <w:pPr>
        <w:pStyle w:val="ListParagraph"/>
        <w:numPr>
          <w:ilvl w:val="1"/>
          <w:numId w:val="6"/>
        </w:numPr>
        <w:spacing w:after="0" w:line="240" w:lineRule="auto"/>
        <w:rPr>
          <w:rFonts w:eastAsia="Times New Roman" w:cstheme="minorHAnsi"/>
        </w:rPr>
      </w:pPr>
      <w:r w:rsidRPr="005268D4">
        <w:rPr>
          <w:rFonts w:eastAsia="Times New Roman" w:cstheme="minorHAnsi"/>
          <w:shd w:val="clear" w:color="auto" w:fill="FFFFFF"/>
        </w:rPr>
        <w:t>Tobacco is the leading risk factor for non-communicable diseases (NCDs), and racial minorities in the U.S. are particularly affected by NCDs.  It is imperative that the U.S. ban mentholated tobacco products if it is to achieve this target among racial minorities in the U.S.</w:t>
      </w:r>
      <w:r w:rsidRPr="005268D4">
        <w:rPr>
          <w:rFonts w:cstheme="minorHAnsi"/>
        </w:rPr>
        <w:br/>
      </w:r>
    </w:p>
    <w:p w14:paraId="61325E6D" w14:textId="77777777" w:rsidR="00614A60" w:rsidRPr="005268D4" w:rsidRDefault="00614A60" w:rsidP="00614A60">
      <w:pPr>
        <w:pStyle w:val="xdefault0"/>
        <w:numPr>
          <w:ilvl w:val="0"/>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b/>
          <w:bCs/>
          <w:sz w:val="22"/>
          <w:szCs w:val="22"/>
          <w:bdr w:val="none" w:sz="0" w:space="0" w:color="auto" w:frame="1"/>
        </w:rPr>
        <w:t>Other treaties</w:t>
      </w:r>
    </w:p>
    <w:p w14:paraId="645D6A7D" w14:textId="77777777" w:rsidR="00614A60" w:rsidRPr="005268D4" w:rsidRDefault="00614A60" w:rsidP="00614A60">
      <w:pPr>
        <w:pStyle w:val="xdefault0"/>
        <w:numPr>
          <w:ilvl w:val="1"/>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bdr w:val="none" w:sz="0" w:space="0" w:color="auto" w:frame="1"/>
        </w:rPr>
        <w:t xml:space="preserve">The impact of tobacco products on human rights has been noted in a number of human rights fora, directly and implicitly. The Committee on Economic, Social and Cultural Rights, in its General Comment No. 14, stated that the “failure to discourage production, marketing and consumption of tobacco” constitutes a violation of the obligation to protect under Article 12 of the International Covenant on Economic, Social and Cultural Rights, mirroring language in the FCTC Chapeau. Likewise, General Comment 15 of the Committee of the Rights of the Child noted that governments </w:t>
      </w:r>
      <w:r w:rsidRPr="005268D4">
        <w:rPr>
          <w:rFonts w:asciiTheme="minorHAnsi" w:hAnsiTheme="minorHAnsi" w:cstheme="minorHAnsi"/>
          <w:sz w:val="22"/>
          <w:szCs w:val="22"/>
          <w:bdr w:val="none" w:sz="0" w:space="0" w:color="auto" w:frame="1"/>
        </w:rPr>
        <w:lastRenderedPageBreak/>
        <w:t>must implement and enforce the FCTC as part of their obligations under the Convention on the Rights of the Child.</w:t>
      </w:r>
      <w:r w:rsidRPr="005268D4">
        <w:rPr>
          <w:rStyle w:val="FootnoteReference"/>
          <w:rFonts w:asciiTheme="minorHAnsi" w:hAnsiTheme="minorHAnsi" w:cstheme="minorHAnsi"/>
          <w:sz w:val="22"/>
          <w:szCs w:val="22"/>
          <w:bdr w:val="none" w:sz="0" w:space="0" w:color="auto" w:frame="1"/>
        </w:rPr>
        <w:footnoteReference w:id="20"/>
      </w:r>
    </w:p>
    <w:p w14:paraId="6ECB3704" w14:textId="77777777" w:rsidR="00614A60" w:rsidRPr="005268D4" w:rsidRDefault="00614A60" w:rsidP="00614A60">
      <w:pPr>
        <w:pStyle w:val="xdefault0"/>
        <w:shd w:val="clear" w:color="auto" w:fill="FFFFFF"/>
        <w:spacing w:before="0" w:beforeAutospacing="0" w:after="0" w:afterAutospacing="0"/>
        <w:ind w:left="720"/>
        <w:rPr>
          <w:rFonts w:asciiTheme="minorHAnsi" w:hAnsiTheme="minorHAnsi" w:cstheme="minorHAnsi"/>
          <w:b/>
          <w:bCs/>
          <w:sz w:val="22"/>
          <w:szCs w:val="22"/>
        </w:rPr>
      </w:pPr>
    </w:p>
    <w:p w14:paraId="050A8D17" w14:textId="77777777" w:rsidR="00614A60" w:rsidRPr="005268D4" w:rsidRDefault="00614A60" w:rsidP="00614A60">
      <w:pPr>
        <w:pStyle w:val="xdefault0"/>
        <w:numPr>
          <w:ilvl w:val="1"/>
          <w:numId w:val="6"/>
        </w:numPr>
        <w:shd w:val="clear" w:color="auto" w:fill="FFFFFF"/>
        <w:spacing w:before="0" w:beforeAutospacing="0" w:after="0" w:afterAutospacing="0"/>
        <w:rPr>
          <w:rFonts w:asciiTheme="minorHAnsi" w:hAnsiTheme="minorHAnsi" w:cstheme="minorHAnsi"/>
          <w:b/>
          <w:bCs/>
          <w:sz w:val="22"/>
          <w:szCs w:val="22"/>
        </w:rPr>
      </w:pPr>
      <w:r w:rsidRPr="005268D4">
        <w:rPr>
          <w:rFonts w:asciiTheme="minorHAnsi" w:hAnsiTheme="minorHAnsi" w:cstheme="minorHAnsi"/>
          <w:sz w:val="22"/>
          <w:szCs w:val="22"/>
        </w:rPr>
        <w:t>There are also examples of human rights treaty bodies replying directly to countries about the impacts of tobacco products. For example, in 2010, in its concluding observations, the Committee on the Elimination of all forms of Discrimination Against Women (CEDAW) expressed concern about the negative impacts of tobacco on the women of Argentina, particularly about tobacco advertising directed at women. The Committee went on to urge Argentina to ratify and implement the FCTC.</w:t>
      </w:r>
    </w:p>
    <w:p w14:paraId="00D36FEB" w14:textId="77777777" w:rsidR="00614A60" w:rsidRPr="005268D4" w:rsidRDefault="00614A60" w:rsidP="00614A60">
      <w:pPr>
        <w:rPr>
          <w:rFonts w:cstheme="minorHAnsi"/>
        </w:rPr>
      </w:pPr>
    </w:p>
    <w:p w14:paraId="4A794590" w14:textId="77777777" w:rsidR="00614A60" w:rsidRPr="005268D4" w:rsidRDefault="00614A60" w:rsidP="00614A60">
      <w:pPr>
        <w:pStyle w:val="ListParagraph"/>
        <w:numPr>
          <w:ilvl w:val="0"/>
          <w:numId w:val="6"/>
        </w:numPr>
        <w:rPr>
          <w:rFonts w:cstheme="minorHAnsi"/>
          <w:b/>
          <w:bCs/>
        </w:rPr>
      </w:pPr>
      <w:r w:rsidRPr="005268D4">
        <w:rPr>
          <w:rFonts w:cstheme="minorHAnsi"/>
          <w:b/>
          <w:bCs/>
        </w:rPr>
        <w:t>Recommendations</w:t>
      </w:r>
    </w:p>
    <w:p w14:paraId="296E9230" w14:textId="77777777" w:rsidR="00614A60" w:rsidRPr="005268D4" w:rsidRDefault="00614A60" w:rsidP="00614A60">
      <w:pPr>
        <w:rPr>
          <w:rFonts w:cstheme="minorHAnsi"/>
        </w:rPr>
      </w:pPr>
      <w:r w:rsidRPr="005268D4">
        <w:rPr>
          <w:rFonts w:cstheme="minorHAnsi"/>
        </w:rPr>
        <w:t xml:space="preserve">We respectfully request CERD to take the following actions to help lessen the disproportionate toll that tobacco has on the Black community and other </w:t>
      </w:r>
      <w:r>
        <w:rPr>
          <w:rFonts w:cstheme="minorHAnsi"/>
        </w:rPr>
        <w:t>racial</w:t>
      </w:r>
      <w:r w:rsidRPr="005268D4">
        <w:rPr>
          <w:rFonts w:cstheme="minorHAnsi"/>
        </w:rPr>
        <w:t xml:space="preserve"> groups.  Specifically, we request that the Committee:</w:t>
      </w:r>
    </w:p>
    <w:p w14:paraId="11EAF775" w14:textId="77777777" w:rsidR="00614A60" w:rsidRPr="005268D4" w:rsidRDefault="00614A60" w:rsidP="00614A60">
      <w:pPr>
        <w:pStyle w:val="ListParagraph"/>
        <w:numPr>
          <w:ilvl w:val="1"/>
          <w:numId w:val="6"/>
        </w:numPr>
        <w:contextualSpacing w:val="0"/>
        <w:rPr>
          <w:rFonts w:cstheme="minorHAnsi"/>
        </w:rPr>
      </w:pPr>
      <w:r w:rsidRPr="005268D4">
        <w:rPr>
          <w:rFonts w:cstheme="minorHAnsi"/>
        </w:rPr>
        <w:t xml:space="preserve">Call on </w:t>
      </w:r>
      <w:r>
        <w:rPr>
          <w:rFonts w:cstheme="minorHAnsi"/>
        </w:rPr>
        <w:t>all countries</w:t>
      </w:r>
      <w:r w:rsidRPr="005268D4">
        <w:rPr>
          <w:rFonts w:cstheme="minorHAnsi"/>
        </w:rPr>
        <w:t xml:space="preserve"> to ratify the World Health Organization Framework Convention on Tobacco Control (FCTC)</w:t>
      </w:r>
    </w:p>
    <w:p w14:paraId="7E2409EF" w14:textId="77777777" w:rsidR="00614A60" w:rsidRPr="005268D4" w:rsidRDefault="00614A60" w:rsidP="00614A60">
      <w:pPr>
        <w:pStyle w:val="ListParagraph"/>
        <w:numPr>
          <w:ilvl w:val="1"/>
          <w:numId w:val="6"/>
        </w:numPr>
        <w:contextualSpacing w:val="0"/>
        <w:rPr>
          <w:rFonts w:cstheme="minorHAnsi"/>
        </w:rPr>
      </w:pPr>
      <w:r w:rsidRPr="005268D4">
        <w:rPr>
          <w:rFonts w:cstheme="minorHAnsi"/>
        </w:rPr>
        <w:t xml:space="preserve">Recommend that </w:t>
      </w:r>
      <w:r>
        <w:rPr>
          <w:rFonts w:cstheme="minorHAnsi"/>
        </w:rPr>
        <w:t>all</w:t>
      </w:r>
      <w:r w:rsidRPr="005268D4">
        <w:rPr>
          <w:rFonts w:cstheme="minorHAnsi"/>
        </w:rPr>
        <w:t xml:space="preserve"> government</w:t>
      </w:r>
      <w:r>
        <w:rPr>
          <w:rFonts w:cstheme="minorHAnsi"/>
        </w:rPr>
        <w:t>s</w:t>
      </w:r>
      <w:r w:rsidRPr="005268D4">
        <w:rPr>
          <w:rFonts w:cstheme="minorHAnsi"/>
        </w:rPr>
        <w:t xml:space="preserve"> ban all tobacco advertising, promotion, and sponsorship, that targets racial and minority groups.  This should include advertising targeted towards specific minority and racial groups, sports event sponsorship, generic company promotions, as well as a ban on product placements in media, whether direct payments are made to media companies or indirectly to certain cultures or individuals</w:t>
      </w:r>
    </w:p>
    <w:p w14:paraId="479E0C23" w14:textId="77777777" w:rsidR="00614A60" w:rsidRDefault="00614A60" w:rsidP="00614A60">
      <w:pPr>
        <w:pStyle w:val="ListParagraph"/>
        <w:numPr>
          <w:ilvl w:val="1"/>
          <w:numId w:val="6"/>
        </w:numPr>
        <w:contextualSpacing w:val="0"/>
        <w:rPr>
          <w:rFonts w:cstheme="minorHAnsi"/>
        </w:rPr>
      </w:pPr>
      <w:r w:rsidRPr="005268D4">
        <w:rPr>
          <w:rFonts w:cstheme="minorHAnsi"/>
        </w:rPr>
        <w:t>Recommend that government</w:t>
      </w:r>
      <w:r>
        <w:rPr>
          <w:rFonts w:cstheme="minorHAnsi"/>
        </w:rPr>
        <w:t>s</w:t>
      </w:r>
      <w:r w:rsidRPr="005268D4">
        <w:rPr>
          <w:rFonts w:cstheme="minorHAnsi"/>
        </w:rPr>
        <w:t xml:space="preserve"> provide, through national health programs, culturally sensitive and tailored cessation approaches that address the social determinants of health and work more broadly to achieve health equity</w:t>
      </w:r>
    </w:p>
    <w:p w14:paraId="15446D5D" w14:textId="77777777" w:rsidR="00614A60" w:rsidRPr="007B688B" w:rsidRDefault="00614A60" w:rsidP="00614A60">
      <w:pPr>
        <w:pStyle w:val="ListParagraph"/>
        <w:numPr>
          <w:ilvl w:val="1"/>
          <w:numId w:val="6"/>
        </w:numPr>
        <w:contextualSpacing w:val="0"/>
        <w:rPr>
          <w:rFonts w:cstheme="minorHAnsi"/>
        </w:rPr>
      </w:pPr>
      <w:r>
        <w:rPr>
          <w:rFonts w:cstheme="minorHAnsi"/>
        </w:rPr>
        <w:t xml:space="preserve">Monitor the impact of tobacco on health equity through CERD review processes. </w:t>
      </w:r>
    </w:p>
    <w:p w14:paraId="7D2449AB" w14:textId="34E013AF" w:rsidR="00614A60" w:rsidRDefault="00614A60" w:rsidP="00614A60">
      <w:r>
        <w:t>Thank you for your consideration,</w:t>
      </w:r>
    </w:p>
    <w:p w14:paraId="135FEFA0" w14:textId="77777777" w:rsidR="00614A60" w:rsidRDefault="00614A60" w:rsidP="00614A60"/>
    <w:p w14:paraId="742B30DC" w14:textId="77777777" w:rsidR="00614A60" w:rsidRDefault="00614A60" w:rsidP="00614A60">
      <w:r>
        <w:t xml:space="preserve">Action on Smoking and Health </w:t>
      </w:r>
    </w:p>
    <w:p w14:paraId="361CC88A" w14:textId="26BB559A" w:rsidR="00290900" w:rsidRPr="00A13F7D" w:rsidRDefault="00290900" w:rsidP="00BA7549">
      <w:pPr>
        <w:rPr>
          <w:rFonts w:ascii="Times New Roman" w:hAnsi="Times New Roman" w:cs="Times New Roman"/>
        </w:rPr>
      </w:pPr>
    </w:p>
    <w:sectPr w:rsidR="00290900" w:rsidRPr="00A13F7D" w:rsidSect="00016D40">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E29D" w14:textId="77777777" w:rsidR="006A58F2" w:rsidRDefault="006A58F2" w:rsidP="00E73617">
      <w:r>
        <w:separator/>
      </w:r>
    </w:p>
  </w:endnote>
  <w:endnote w:type="continuationSeparator" w:id="0">
    <w:p w14:paraId="404BA77C" w14:textId="77777777" w:rsidR="006A58F2" w:rsidRDefault="006A58F2" w:rsidP="00E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B10" w14:textId="77777777" w:rsidR="00986CD2" w:rsidRDefault="00B94D85" w:rsidP="0055496E">
    <w:pPr>
      <w:pStyle w:val="Footer"/>
      <w:tabs>
        <w:tab w:val="clear" w:pos="4680"/>
        <w:tab w:val="clear" w:pos="9360"/>
        <w:tab w:val="left" w:pos="8540"/>
      </w:tabs>
    </w:pPr>
    <w:r>
      <w:rPr>
        <w:noProof/>
      </w:rPr>
      <mc:AlternateContent>
        <mc:Choice Requires="wps">
          <w:drawing>
            <wp:anchor distT="0" distB="0" distL="114300" distR="114300" simplePos="0" relativeHeight="251663360" behindDoc="0" locked="0" layoutInCell="1" allowOverlap="1" wp14:anchorId="4B0C76CE" wp14:editId="28826602">
              <wp:simplePos x="0" y="0"/>
              <wp:positionH relativeFrom="column">
                <wp:posOffset>1069975</wp:posOffset>
              </wp:positionH>
              <wp:positionV relativeFrom="paragraph">
                <wp:posOffset>-56515</wp:posOffset>
              </wp:positionV>
              <wp:extent cx="45466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3985"/>
                      </a:xfrm>
                      <a:prstGeom prst="rect">
                        <a:avLst/>
                      </a:prstGeom>
                      <a:noFill/>
                      <a:ln w="9525">
                        <a:noFill/>
                        <a:miter lim="800000"/>
                        <a:headEnd/>
                        <a:tailEnd/>
                      </a:ln>
                    </wps:spPr>
                    <wps:txbx>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C76CE" id="_x0000_t202" coordsize="21600,21600" o:spt="202" path="m,l,21600r21600,l21600,xe">
              <v:stroke joinstyle="miter"/>
              <v:path gradientshapeok="t" o:connecttype="rect"/>
            </v:shapetype>
            <v:shape id="Text Box 2" o:spid="_x0000_s1026" type="#_x0000_t202" style="position:absolute;margin-left:84.25pt;margin-top:-4.45pt;width:35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" filled="f" stroked="f">
              <v:textbox style="mso-fit-shape-to-text:t">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v:textbox>
            </v:shape>
          </w:pict>
        </mc:Fallback>
      </mc:AlternateContent>
    </w:r>
    <w:r w:rsidR="005549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1673" w14:textId="77777777" w:rsidR="006A58F2" w:rsidRDefault="006A58F2" w:rsidP="00E73617">
      <w:r>
        <w:separator/>
      </w:r>
    </w:p>
  </w:footnote>
  <w:footnote w:type="continuationSeparator" w:id="0">
    <w:p w14:paraId="2F89E6CC" w14:textId="77777777" w:rsidR="006A58F2" w:rsidRDefault="006A58F2" w:rsidP="00E73617">
      <w:r>
        <w:continuationSeparator/>
      </w:r>
    </w:p>
  </w:footnote>
  <w:footnote w:id="1">
    <w:p w14:paraId="37FE5EFC" w14:textId="77777777" w:rsidR="00614A60" w:rsidRPr="00166F39" w:rsidRDefault="00614A60" w:rsidP="00614A60">
      <w:pPr>
        <w:pStyle w:val="NoSpacing"/>
      </w:pPr>
      <w:r w:rsidRPr="00166F39">
        <w:rPr>
          <w:rStyle w:val="FootnoteReference"/>
        </w:rPr>
        <w:footnoteRef/>
      </w:r>
      <w:r w:rsidRPr="00166F39">
        <w:t xml:space="preserve"> </w:t>
      </w:r>
      <w:hyperlink r:id="rId1" w:history="1">
        <w:r w:rsidRPr="00166F39">
          <w:rPr>
            <w:rStyle w:val="Hyperlink"/>
          </w:rPr>
          <w:t>https://www.who.int/news-room/fact-sheets/detail/tobacco</w:t>
        </w:r>
      </w:hyperlink>
      <w:r w:rsidRPr="00166F39">
        <w:t xml:space="preserve">. </w:t>
      </w:r>
    </w:p>
  </w:footnote>
  <w:footnote w:id="2">
    <w:p w14:paraId="348EB527" w14:textId="77777777" w:rsidR="00614A60" w:rsidRPr="00726169" w:rsidRDefault="00614A60" w:rsidP="00614A60">
      <w:pPr>
        <w:pStyle w:val="NoSpacing"/>
        <w:rPr>
          <w:rFonts w:cstheme="minorHAnsi"/>
        </w:rPr>
      </w:pPr>
      <w:r w:rsidRPr="00726169">
        <w:rPr>
          <w:rStyle w:val="FootnoteReference"/>
          <w:rFonts w:cstheme="minorHAnsi"/>
        </w:rPr>
        <w:footnoteRef/>
      </w:r>
      <w:r w:rsidRPr="00726169">
        <w:rPr>
          <w:rFonts w:cstheme="minorHAnsi"/>
        </w:rPr>
        <w:t xml:space="preserve"> </w:t>
      </w:r>
      <w:hyperlink r:id="rId2" w:history="1">
        <w:r w:rsidRPr="00726169">
          <w:rPr>
            <w:rStyle w:val="Hyperlink"/>
            <w:rFonts w:cstheme="minorHAnsi"/>
          </w:rPr>
          <w:t>https://truthinitiative.org/sites/default/files/media/files/2019/03/truth-initiative-menthol-fact-sheet-dec2018.pdf</w:t>
        </w:r>
      </w:hyperlink>
    </w:p>
  </w:footnote>
  <w:footnote w:id="3">
    <w:p w14:paraId="61C85735" w14:textId="77777777" w:rsidR="00614A60" w:rsidRPr="00726169" w:rsidRDefault="00614A60" w:rsidP="00614A60">
      <w:pPr>
        <w:rPr>
          <w:rFonts w:eastAsia="Times New Roman" w:cstheme="minorHAnsi"/>
        </w:rPr>
      </w:pPr>
      <w:r w:rsidRPr="00726169">
        <w:rPr>
          <w:rStyle w:val="FootnoteReference"/>
          <w:rFonts w:cstheme="minorHAnsi"/>
        </w:rPr>
        <w:footnoteRef/>
      </w:r>
      <w:r w:rsidRPr="00726169">
        <w:rPr>
          <w:rFonts w:cstheme="minorHAnsi"/>
        </w:rPr>
        <w:t xml:space="preserve"> </w:t>
      </w:r>
      <w:r w:rsidRPr="00726169">
        <w:rPr>
          <w:rFonts w:eastAsia="Times New Roman" w:cstheme="minorHAnsi"/>
        </w:rPr>
        <w:t xml:space="preserve">Gardiner PS. The African Americanization of menthol cigarette use in the United States. Nicotine Tob Res. 2004 Feb;6 Suppl 1:S55-65. </w:t>
      </w:r>
      <w:proofErr w:type="spellStart"/>
      <w:r w:rsidRPr="00726169">
        <w:rPr>
          <w:rFonts w:eastAsia="Times New Roman" w:cstheme="minorHAnsi"/>
        </w:rPr>
        <w:t>doi</w:t>
      </w:r>
      <w:proofErr w:type="spellEnd"/>
      <w:r w:rsidRPr="00726169">
        <w:rPr>
          <w:rFonts w:eastAsia="Times New Roman" w:cstheme="minorHAnsi"/>
        </w:rPr>
        <w:t>: 10.1080/14622200310001649478. PMID: 14982709.</w:t>
      </w:r>
    </w:p>
  </w:footnote>
  <w:footnote w:id="4">
    <w:p w14:paraId="5DC67560" w14:textId="77777777" w:rsidR="00614A60" w:rsidRPr="00726169" w:rsidRDefault="00614A60" w:rsidP="00614A60">
      <w:pPr>
        <w:pStyle w:val="NoSpacing"/>
        <w:rPr>
          <w:rFonts w:cstheme="minorHAnsi"/>
        </w:rPr>
      </w:pPr>
      <w:r w:rsidRPr="00726169">
        <w:rPr>
          <w:rStyle w:val="FootnoteReference"/>
          <w:rFonts w:cstheme="minorHAnsi"/>
        </w:rPr>
        <w:footnoteRef/>
      </w:r>
      <w:r w:rsidRPr="00726169">
        <w:rPr>
          <w:rFonts w:cstheme="minorHAnsi"/>
        </w:rPr>
        <w:t xml:space="preserve"> </w:t>
      </w:r>
      <w:hyperlink r:id="rId3" w:history="1">
        <w:r w:rsidRPr="00726169">
          <w:rPr>
            <w:rStyle w:val="Hyperlink"/>
            <w:rFonts w:cstheme="minorHAnsi"/>
          </w:rPr>
          <w:t>https://truthinitiative.org/research-resources/targeted-communities/tobacco-use-african-american-community</w:t>
        </w:r>
      </w:hyperlink>
    </w:p>
  </w:footnote>
  <w:footnote w:id="5">
    <w:p w14:paraId="2191DE03" w14:textId="77777777" w:rsidR="00614A60" w:rsidRDefault="00614A60" w:rsidP="00614A60">
      <w:pPr>
        <w:pStyle w:val="FootnoteText"/>
      </w:pPr>
      <w:r w:rsidRPr="00726169">
        <w:rPr>
          <w:rStyle w:val="FootnoteReference"/>
          <w:rFonts w:cstheme="minorHAnsi"/>
          <w:sz w:val="22"/>
          <w:szCs w:val="22"/>
        </w:rPr>
        <w:footnoteRef/>
      </w:r>
      <w:r w:rsidRPr="00726169">
        <w:rPr>
          <w:rFonts w:cstheme="minorHAnsi"/>
          <w:sz w:val="22"/>
          <w:szCs w:val="22"/>
        </w:rPr>
        <w:t xml:space="preserve"> https://tobacco.ucsf.edu/sites/g/files/tkssra4661/f/u9/Attachment%206-Sample%20Ban%20Menthol%20Resolution.pdf</w:t>
      </w:r>
    </w:p>
  </w:footnote>
  <w:footnote w:id="6">
    <w:p w14:paraId="73FECF69" w14:textId="77777777" w:rsidR="00614A60" w:rsidRPr="00166F39" w:rsidRDefault="00614A60" w:rsidP="00614A60">
      <w:pPr>
        <w:pStyle w:val="NoSpacing"/>
      </w:pPr>
      <w:r w:rsidRPr="00166F39">
        <w:rPr>
          <w:rStyle w:val="FootnoteReference"/>
        </w:rPr>
        <w:footnoteRef/>
      </w:r>
      <w:r w:rsidRPr="00166F39">
        <w:t xml:space="preserve"> </w:t>
      </w:r>
      <w:hyperlink r:id="rId4" w:history="1">
        <w:r w:rsidRPr="00166F39">
          <w:rPr>
            <w:rStyle w:val="Hyperlink"/>
          </w:rPr>
          <w:t>https://truthinitiative.org/research-resources/targeted-communities/tobacco-social-justice-issue-racial-and-ethnic-minorities</w:t>
        </w:r>
      </w:hyperlink>
    </w:p>
  </w:footnote>
  <w:footnote w:id="7">
    <w:p w14:paraId="1167E370" w14:textId="77777777" w:rsidR="00614A60" w:rsidRPr="00726169" w:rsidRDefault="00614A60" w:rsidP="00614A60">
      <w:pPr>
        <w:rPr>
          <w:rFonts w:eastAsia="Times New Roman" w:cstheme="minorHAnsi"/>
        </w:rPr>
      </w:pPr>
      <w:r w:rsidRPr="00726169">
        <w:rPr>
          <w:rStyle w:val="FootnoteReference"/>
          <w:rFonts w:cstheme="minorHAnsi"/>
        </w:rPr>
        <w:footnoteRef/>
      </w:r>
      <w:r w:rsidRPr="00726169">
        <w:rPr>
          <w:rFonts w:cstheme="minorHAnsi"/>
        </w:rPr>
        <w:t xml:space="preserve"> </w:t>
      </w:r>
      <w:r w:rsidRPr="00726169">
        <w:rPr>
          <w:rFonts w:eastAsia="Times New Roman" w:cstheme="minorHAnsi"/>
        </w:rPr>
        <w:t xml:space="preserve">Henriksen L, Schleicher NC, </w:t>
      </w:r>
      <w:proofErr w:type="spellStart"/>
      <w:r w:rsidRPr="00726169">
        <w:rPr>
          <w:rFonts w:eastAsia="Times New Roman" w:cstheme="minorHAnsi"/>
        </w:rPr>
        <w:t>Dauphinee</w:t>
      </w:r>
      <w:proofErr w:type="spellEnd"/>
      <w:r w:rsidRPr="00726169">
        <w:rPr>
          <w:rFonts w:eastAsia="Times New Roman" w:cstheme="minorHAnsi"/>
        </w:rPr>
        <w:t xml:space="preserve"> AL, </w:t>
      </w:r>
      <w:proofErr w:type="spellStart"/>
      <w:r w:rsidRPr="00726169">
        <w:rPr>
          <w:rFonts w:eastAsia="Times New Roman" w:cstheme="minorHAnsi"/>
        </w:rPr>
        <w:t>Fortmann</w:t>
      </w:r>
      <w:proofErr w:type="spellEnd"/>
      <w:r w:rsidRPr="00726169">
        <w:rPr>
          <w:rFonts w:eastAsia="Times New Roman" w:cstheme="minorHAnsi"/>
        </w:rPr>
        <w:t xml:space="preserve"> SP. Targeted advertising, promotion, and price for menthol cigarettes in California high school neighborhoods. Nicotine Tob Res. 2012 Jan;14(1):116-21. </w:t>
      </w:r>
      <w:proofErr w:type="spellStart"/>
      <w:r w:rsidRPr="00726169">
        <w:rPr>
          <w:rFonts w:eastAsia="Times New Roman" w:cstheme="minorHAnsi"/>
        </w:rPr>
        <w:t>doi</w:t>
      </w:r>
      <w:proofErr w:type="spellEnd"/>
      <w:r w:rsidRPr="00726169">
        <w:rPr>
          <w:rFonts w:eastAsia="Times New Roman" w:cstheme="minorHAnsi"/>
        </w:rPr>
        <w:t>: 10.1093/</w:t>
      </w:r>
      <w:proofErr w:type="spellStart"/>
      <w:r w:rsidRPr="00726169">
        <w:rPr>
          <w:rFonts w:eastAsia="Times New Roman" w:cstheme="minorHAnsi"/>
        </w:rPr>
        <w:t>ntr</w:t>
      </w:r>
      <w:proofErr w:type="spellEnd"/>
      <w:r w:rsidRPr="00726169">
        <w:rPr>
          <w:rFonts w:eastAsia="Times New Roman" w:cstheme="minorHAnsi"/>
        </w:rPr>
        <w:t xml:space="preserve">/ntr122. </w:t>
      </w:r>
      <w:proofErr w:type="spellStart"/>
      <w:r w:rsidRPr="00726169">
        <w:rPr>
          <w:rFonts w:eastAsia="Times New Roman" w:cstheme="minorHAnsi"/>
        </w:rPr>
        <w:t>Epub</w:t>
      </w:r>
      <w:proofErr w:type="spellEnd"/>
      <w:r w:rsidRPr="00726169">
        <w:rPr>
          <w:rFonts w:eastAsia="Times New Roman" w:cstheme="minorHAnsi"/>
        </w:rPr>
        <w:t xml:space="preserve"> 2011 Jun 24. PMID: 21705460; PMCID: PMC3592564.</w:t>
      </w:r>
    </w:p>
  </w:footnote>
  <w:footnote w:id="8">
    <w:p w14:paraId="598CEF91" w14:textId="77777777" w:rsidR="00614A60" w:rsidRPr="00726169" w:rsidRDefault="00614A60" w:rsidP="00614A60">
      <w:pPr>
        <w:rPr>
          <w:rFonts w:cstheme="minorHAnsi"/>
          <w:color w:val="000000"/>
        </w:rPr>
      </w:pPr>
      <w:r w:rsidRPr="00726169">
        <w:rPr>
          <w:rStyle w:val="FootnoteReference"/>
          <w:rFonts w:cstheme="minorHAnsi"/>
        </w:rPr>
        <w:footnoteRef/>
      </w:r>
      <w:r w:rsidRPr="00726169">
        <w:rPr>
          <w:rFonts w:cstheme="minorHAnsi"/>
        </w:rPr>
        <w:t xml:space="preserve"> </w:t>
      </w:r>
      <w:r w:rsidRPr="00726169">
        <w:rPr>
          <w:rFonts w:cstheme="minorHAnsi"/>
          <w:color w:val="000000"/>
        </w:rPr>
        <w:t xml:space="preserve">Valerie B. Yerger et al., </w:t>
      </w:r>
      <w:r w:rsidRPr="00726169">
        <w:rPr>
          <w:rFonts w:cstheme="minorHAnsi"/>
          <w:i/>
          <w:color w:val="000000"/>
        </w:rPr>
        <w:t>Racialized Geography, Corporate Activity, and Health Disparities: Tobacco Industry Targeting of Inner Cities</w:t>
      </w:r>
      <w:r w:rsidRPr="00726169">
        <w:rPr>
          <w:rFonts w:cstheme="minorHAnsi"/>
          <w:color w:val="000000"/>
        </w:rPr>
        <w:t xml:space="preserve">, 18 </w:t>
      </w:r>
      <w:r w:rsidRPr="00726169">
        <w:rPr>
          <w:rFonts w:cstheme="minorHAnsi"/>
          <w:smallCaps/>
          <w:color w:val="000000"/>
        </w:rPr>
        <w:t xml:space="preserve">J. of Health Care for the Poor &amp; Underserved </w:t>
      </w:r>
      <w:r w:rsidRPr="00726169">
        <w:rPr>
          <w:rFonts w:cstheme="minorHAnsi"/>
          <w:color w:val="000000"/>
        </w:rPr>
        <w:t>10, 10-38 (2007).</w:t>
      </w:r>
    </w:p>
  </w:footnote>
  <w:footnote w:id="9">
    <w:p w14:paraId="0ECF6A24" w14:textId="77777777" w:rsidR="00614A60" w:rsidRPr="00726169" w:rsidRDefault="00614A60" w:rsidP="00614A60">
      <w:pPr>
        <w:rPr>
          <w:rFonts w:cstheme="minorHAnsi"/>
        </w:rPr>
      </w:pPr>
      <w:r w:rsidRPr="00726169">
        <w:rPr>
          <w:rStyle w:val="FootnoteReference"/>
          <w:rFonts w:cstheme="minorHAnsi"/>
        </w:rPr>
        <w:footnoteRef/>
      </w:r>
      <w:r w:rsidRPr="00726169">
        <w:rPr>
          <w:rFonts w:cstheme="minorHAnsi"/>
        </w:rPr>
        <w:t xml:space="preserve"> </w:t>
      </w:r>
      <w:hyperlink r:id="rId5" w:history="1">
        <w:r w:rsidRPr="00726169">
          <w:rPr>
            <w:rStyle w:val="Hyperlink"/>
            <w:rFonts w:cstheme="minorHAnsi"/>
          </w:rPr>
          <w:t>https://www.publichealthlawcenter.org/sites/default/files/resources/Supplement-to-Menthol-Citizen-Petition.pdf</w:t>
        </w:r>
      </w:hyperlink>
      <w:r w:rsidRPr="00726169">
        <w:rPr>
          <w:rFonts w:cstheme="minorHAnsi"/>
        </w:rPr>
        <w:t xml:space="preserve">. </w:t>
      </w:r>
    </w:p>
  </w:footnote>
  <w:footnote w:id="10">
    <w:p w14:paraId="4627A019" w14:textId="77777777" w:rsidR="00614A60" w:rsidRPr="00166F39" w:rsidRDefault="00614A60" w:rsidP="00614A60">
      <w:pPr>
        <w:pStyle w:val="NoSpacing"/>
      </w:pPr>
      <w:r w:rsidRPr="00166F39">
        <w:rPr>
          <w:rStyle w:val="FootnoteReference"/>
        </w:rPr>
        <w:footnoteRef/>
      </w:r>
      <w:r w:rsidRPr="00166F39">
        <w:t xml:space="preserve"> </w:t>
      </w:r>
      <w:hyperlink r:id="rId6" w:history="1">
        <w:r w:rsidRPr="00166F39">
          <w:rPr>
            <w:rStyle w:val="Hyperlink"/>
          </w:rPr>
          <w:t>https://www.publichealthlawcenter.org/sites/default/files/resources/tclc-fs-global-flavored-regs-2015.pdf</w:t>
        </w:r>
      </w:hyperlink>
    </w:p>
  </w:footnote>
  <w:footnote w:id="11">
    <w:p w14:paraId="7935C1AF" w14:textId="77777777" w:rsidR="00614A60" w:rsidRPr="00166F39" w:rsidRDefault="00614A60" w:rsidP="00614A60">
      <w:pPr>
        <w:pStyle w:val="NoSpacing"/>
      </w:pPr>
      <w:r w:rsidRPr="00166F39">
        <w:rPr>
          <w:rStyle w:val="FootnoteReference"/>
        </w:rPr>
        <w:footnoteRef/>
      </w:r>
      <w:r w:rsidRPr="00166F39">
        <w:t xml:space="preserve"> </w:t>
      </w:r>
      <w:hyperlink r:id="rId7" w:history="1">
        <w:r w:rsidRPr="00166F39">
          <w:rPr>
            <w:rStyle w:val="Hyperlink"/>
          </w:rPr>
          <w:t>https://truthinitiative.org/sites/default/files/media/files/2020/12/Local-flavored-tobacco-policies-Sept-30-FINAL.pdf</w:t>
        </w:r>
      </w:hyperlink>
      <w:r w:rsidRPr="00166F39">
        <w:t xml:space="preserve"> </w:t>
      </w:r>
    </w:p>
  </w:footnote>
  <w:footnote w:id="12">
    <w:p w14:paraId="1E545847" w14:textId="77777777" w:rsidR="00614A60" w:rsidRDefault="00614A60" w:rsidP="00614A60">
      <w:r>
        <w:rPr>
          <w:rStyle w:val="FootnoteReference"/>
        </w:rPr>
        <w:footnoteRef/>
      </w:r>
      <w:r>
        <w:t xml:space="preserve"> </w:t>
      </w:r>
      <w:hyperlink r:id="rId8" w:history="1">
        <w:r>
          <w:rPr>
            <w:rStyle w:val="Hyperlink"/>
          </w:rPr>
          <w:t xml:space="preserve">African American leadership groups: smoking with the enemy. </w:t>
        </w:r>
      </w:hyperlink>
    </w:p>
    <w:p w14:paraId="24CB5F75" w14:textId="77777777" w:rsidR="00614A60" w:rsidRDefault="00614A60" w:rsidP="00614A60">
      <w:r>
        <w:rPr>
          <w:rStyle w:val="docsum-authors"/>
        </w:rPr>
        <w:t>Yerger VB, Malone RE.</w:t>
      </w:r>
      <w:r>
        <w:t xml:space="preserve"> </w:t>
      </w:r>
      <w:r>
        <w:rPr>
          <w:rStyle w:val="docsum-journal-citation"/>
        </w:rPr>
        <w:t xml:space="preserve">Tob Control. 2002 Dec;11(4):336-45. </w:t>
      </w:r>
      <w:proofErr w:type="spellStart"/>
      <w:r>
        <w:rPr>
          <w:rStyle w:val="docsum-journal-citation"/>
        </w:rPr>
        <w:t>doi</w:t>
      </w:r>
      <w:proofErr w:type="spellEnd"/>
      <w:r>
        <w:rPr>
          <w:rStyle w:val="docsum-journal-citation"/>
        </w:rPr>
        <w:t>: 10.1136/tc.11.4.336.</w:t>
      </w:r>
    </w:p>
  </w:footnote>
  <w:footnote w:id="13">
    <w:p w14:paraId="2919BFCE" w14:textId="77777777" w:rsidR="00614A60" w:rsidRDefault="00614A60" w:rsidP="00614A60">
      <w:pPr>
        <w:pStyle w:val="FootnoteText"/>
      </w:pPr>
      <w:r>
        <w:rPr>
          <w:rStyle w:val="FootnoteReference"/>
        </w:rPr>
        <w:footnoteRef/>
      </w:r>
      <w:r>
        <w:t xml:space="preserve"> </w:t>
      </w:r>
      <w:hyperlink r:id="rId9" w:anchor="Tobacco%20smoking" w:history="1">
        <w:r>
          <w:rPr>
            <w:rStyle w:val="Hyperlink"/>
            <w:rFonts w:eastAsia="Times New Roman"/>
            <w:sz w:val="22"/>
            <w:szCs w:val="22"/>
          </w:rPr>
          <w:t>https://www.aihw.gov.au/reports/alcohol/alcohol-tobacco-other-drugs-australia/contents/priority-populations/aboriginal-and-torres-strait-islander-people#Tobacco%20smoking</w:t>
        </w:r>
      </w:hyperlink>
    </w:p>
  </w:footnote>
  <w:footnote w:id="14">
    <w:p w14:paraId="5BE0136E" w14:textId="77777777" w:rsidR="00614A60" w:rsidRDefault="00614A60" w:rsidP="00614A60">
      <w:pPr>
        <w:pStyle w:val="FootnoteText"/>
      </w:pPr>
      <w:r>
        <w:rPr>
          <w:rStyle w:val="FootnoteReference"/>
        </w:rPr>
        <w:footnoteRef/>
      </w:r>
      <w:r>
        <w:t xml:space="preserve"> </w:t>
      </w:r>
      <w:hyperlink r:id="rId10" w:anchor=":~:text=The%20current%20M%C4%81ori%20smoking%20rate,smoking%20rates%2C%20at%2032%25" w:history="1">
        <w:r w:rsidRPr="00903BD0">
          <w:rPr>
            <w:rStyle w:val="Hyperlink"/>
            <w:rFonts w:eastAsia="Times New Roman"/>
            <w:sz w:val="22"/>
            <w:szCs w:val="22"/>
          </w:rPr>
          <w:t>https://www.health.govt.nz/our-work/preventative-health-wellness/tobacco-control/smokefree-aotearoa-2025-action-plan/history-smokefree-aotearoa-2025#:~:text=The%20current%20M%C4%81ori%20smoking%20rate,smoking%20rates%2C%20at%2032%25</w:t>
        </w:r>
      </w:hyperlink>
      <w:r w:rsidRPr="00903BD0">
        <w:rPr>
          <w:rFonts w:eastAsia="Times New Roman"/>
        </w:rPr>
        <w:t xml:space="preserve"> .</w:t>
      </w:r>
      <w:r w:rsidRPr="00903BD0">
        <w:rPr>
          <w:rFonts w:eastAsia="Times New Roman"/>
        </w:rPr>
        <w:br/>
      </w:r>
      <w:hyperlink r:id="rId11" w:history="1">
        <w:r w:rsidRPr="00903BD0">
          <w:rPr>
            <w:rStyle w:val="Hyperlink"/>
            <w:rFonts w:eastAsia="Times New Roman"/>
            <w:sz w:val="22"/>
            <w:szCs w:val="22"/>
          </w:rPr>
          <w:t>https://www.smokefree.org.nz/smoking-its-effects/facts-figures</w:t>
        </w:r>
      </w:hyperlink>
    </w:p>
  </w:footnote>
  <w:footnote w:id="15">
    <w:p w14:paraId="3E565BBF" w14:textId="77777777" w:rsidR="00614A60" w:rsidRDefault="00614A60" w:rsidP="00614A60">
      <w:pPr>
        <w:pStyle w:val="FootnoteText"/>
      </w:pPr>
      <w:r>
        <w:rPr>
          <w:rStyle w:val="FootnoteReference"/>
        </w:rPr>
        <w:footnoteRef/>
      </w:r>
      <w:r>
        <w:t xml:space="preserve"> </w:t>
      </w:r>
      <w:hyperlink r:id="rId12" w:history="1">
        <w:r w:rsidRPr="00903BD0">
          <w:rPr>
            <w:rStyle w:val="Hyperlink"/>
            <w:rFonts w:eastAsia="Times New Roman"/>
            <w:sz w:val="22"/>
            <w:szCs w:val="22"/>
          </w:rPr>
          <w:t>https://www.canada.ca/en/public-health/services/publications/science-research-data/inequalities-smoking-infog</w:t>
        </w:r>
        <w:r w:rsidRPr="00903BD0">
          <w:rPr>
            <w:rStyle w:val="Hyperlink"/>
            <w:rFonts w:eastAsia="Times New Roman"/>
            <w:sz w:val="22"/>
            <w:szCs w:val="22"/>
          </w:rPr>
          <w:t>r</w:t>
        </w:r>
        <w:r w:rsidRPr="00903BD0">
          <w:rPr>
            <w:rStyle w:val="Hyperlink"/>
            <w:rFonts w:eastAsia="Times New Roman"/>
            <w:sz w:val="22"/>
            <w:szCs w:val="22"/>
          </w:rPr>
          <w:t>aphic.html</w:t>
        </w:r>
      </w:hyperlink>
    </w:p>
  </w:footnote>
  <w:footnote w:id="16">
    <w:p w14:paraId="120A80BC" w14:textId="77777777" w:rsidR="00614A60" w:rsidRPr="00166F39" w:rsidRDefault="00614A60" w:rsidP="00614A60">
      <w:pPr>
        <w:pStyle w:val="NoSpacing"/>
      </w:pPr>
      <w:r w:rsidRPr="00BB3FBD">
        <w:rPr>
          <w:rStyle w:val="FootnoteReference"/>
        </w:rPr>
        <w:footnoteRef/>
      </w:r>
      <w:r w:rsidRPr="00BB3FBD">
        <w:t xml:space="preserve"> </w:t>
      </w:r>
      <w:hyperlink r:id="rId13" w:history="1">
        <w:r w:rsidRPr="00BB3FBD">
          <w:rPr>
            <w:rStyle w:val="Hyperlink"/>
          </w:rPr>
          <w:t>https://countertobacco.org/wp-content/uploads/2021/02/TobaccoControlEnforcementforRacialEquity_FINAL_20210129-2.pdf</w:t>
        </w:r>
      </w:hyperlink>
    </w:p>
  </w:footnote>
  <w:footnote w:id="17">
    <w:p w14:paraId="37F977AD" w14:textId="77777777" w:rsidR="00614A60" w:rsidRPr="00166F39" w:rsidRDefault="00614A60" w:rsidP="00614A60">
      <w:pPr>
        <w:pStyle w:val="NoSpacing"/>
      </w:pPr>
      <w:r w:rsidRPr="00166F39">
        <w:rPr>
          <w:rStyle w:val="FootnoteReference"/>
        </w:rPr>
        <w:footnoteRef/>
      </w:r>
      <w:r w:rsidRPr="00166F39">
        <w:t xml:space="preserve"> UN General Assembly, </w:t>
      </w:r>
      <w:r w:rsidRPr="00166F39">
        <w:rPr>
          <w:i/>
          <w:iCs/>
        </w:rPr>
        <w:t>International Convention on the Elimination of All Forms of Racial Discrimination</w:t>
      </w:r>
      <w:r w:rsidRPr="00166F39">
        <w:t xml:space="preserve">, 21 December 1965, United Nations, Treaty Series, vol. 660, p. 195, available at: </w:t>
      </w:r>
      <w:hyperlink r:id="rId14" w:history="1">
        <w:r w:rsidRPr="00166F39">
          <w:rPr>
            <w:rStyle w:val="Hyperlink"/>
          </w:rPr>
          <w:t>https://www.refworld.org/docid/3ae6b3940.html</w:t>
        </w:r>
      </w:hyperlink>
      <w:r w:rsidRPr="00166F39">
        <w:t>.</w:t>
      </w:r>
    </w:p>
  </w:footnote>
  <w:footnote w:id="18">
    <w:p w14:paraId="7870F758" w14:textId="77777777" w:rsidR="00614A60" w:rsidRPr="00166F39" w:rsidRDefault="00614A60" w:rsidP="00614A60">
      <w:pPr>
        <w:pStyle w:val="NoSpacing"/>
      </w:pPr>
      <w:r w:rsidRPr="00166F39">
        <w:rPr>
          <w:rStyle w:val="FootnoteReference"/>
        </w:rPr>
        <w:footnoteRef/>
      </w:r>
      <w:r w:rsidRPr="00166F39">
        <w:t xml:space="preserve"> UN General Assembly, </w:t>
      </w:r>
      <w:r w:rsidRPr="00166F39">
        <w:rPr>
          <w:i/>
          <w:iCs/>
        </w:rPr>
        <w:t>International Convention on the Elimination of All Forms of Racial Discrimination</w:t>
      </w:r>
      <w:r w:rsidRPr="00166F39">
        <w:t xml:space="preserve">, 21 December 1965, United Nations, Treaty Series, vol. 660, p. 195, available at: </w:t>
      </w:r>
      <w:hyperlink r:id="rId15" w:history="1">
        <w:r w:rsidRPr="00166F39">
          <w:rPr>
            <w:rStyle w:val="Hyperlink"/>
          </w:rPr>
          <w:t>https://www.refworld.org/docid/3ae6b3940.html</w:t>
        </w:r>
      </w:hyperlink>
    </w:p>
  </w:footnote>
  <w:footnote w:id="19">
    <w:p w14:paraId="20CDE075" w14:textId="77777777" w:rsidR="00614A60" w:rsidRPr="00166F39" w:rsidRDefault="00614A60" w:rsidP="00614A60">
      <w:pPr>
        <w:pStyle w:val="NoSpacing"/>
      </w:pPr>
      <w:r w:rsidRPr="00166F39">
        <w:rPr>
          <w:rStyle w:val="FootnoteReference"/>
        </w:rPr>
        <w:footnoteRef/>
      </w:r>
      <w:r w:rsidRPr="00166F39">
        <w:t xml:space="preserve"> </w:t>
      </w:r>
      <w:hyperlink r:id="rId16" w:history="1">
        <w:r w:rsidRPr="00166F39">
          <w:rPr>
            <w:rStyle w:val="Hyperlink"/>
            <w:lang w:val="fr-FR"/>
          </w:rPr>
          <w:t>https://www.who.int/fctc/treaty_instruments/Guideliness_Articles_9_10_rev_240613.pdf?ua=1</w:t>
        </w:r>
      </w:hyperlink>
    </w:p>
  </w:footnote>
  <w:footnote w:id="20">
    <w:p w14:paraId="1528BB27" w14:textId="77777777" w:rsidR="00614A60" w:rsidRPr="00166F39" w:rsidRDefault="00614A60" w:rsidP="00614A60">
      <w:pPr>
        <w:pStyle w:val="FootnoteText"/>
        <w:rPr>
          <w:sz w:val="22"/>
          <w:szCs w:val="22"/>
        </w:rPr>
      </w:pPr>
      <w:r w:rsidRPr="00166F39">
        <w:rPr>
          <w:rStyle w:val="FootnoteReference"/>
          <w:sz w:val="22"/>
          <w:szCs w:val="22"/>
        </w:rPr>
        <w:footnoteRef/>
      </w:r>
      <w:r w:rsidRPr="00166F39">
        <w:rPr>
          <w:sz w:val="22"/>
          <w:szCs w:val="22"/>
        </w:rPr>
        <w:t xml:space="preserve"> UN Committee on the Rights of the Child (CRC), General comment No. 15 (2013) on the right of the child to the enjoyment of the highest attainable standard of health (art. 24), 17 April 2013, CRC/C/GC/15, available at: </w:t>
      </w:r>
      <w:hyperlink r:id="rId17" w:history="1">
        <w:r w:rsidRPr="00166F39">
          <w:rPr>
            <w:rStyle w:val="Hyperlink"/>
            <w:sz w:val="22"/>
            <w:szCs w:val="22"/>
          </w:rPr>
          <w:t>http://www.refworld.org/docid/51ef9e134.html</w:t>
        </w:r>
      </w:hyperlink>
      <w:r w:rsidRPr="00166F39">
        <w:rPr>
          <w:sz w:val="22"/>
          <w:szCs w:val="22"/>
        </w:rPr>
        <w:t>.</w:t>
      </w:r>
    </w:p>
    <w:p w14:paraId="56A0880E" w14:textId="77777777" w:rsidR="00614A60" w:rsidRDefault="00614A60" w:rsidP="00614A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C2B2" w14:textId="77777777" w:rsidR="00986CD2" w:rsidRDefault="00FE4991">
    <w:pPr>
      <w:pStyle w:val="Header"/>
    </w:pPr>
    <w:r>
      <w:rPr>
        <w:noProof/>
      </w:rPr>
      <w:drawing>
        <wp:inline distT="0" distB="0" distL="0" distR="0" wp14:anchorId="70EA96FD" wp14:editId="72AF52E8">
          <wp:extent cx="8238195"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Long Logo w Tagline.png"/>
                  <pic:cNvPicPr/>
                </pic:nvPicPr>
                <pic:blipFill>
                  <a:blip r:embed="rId1">
                    <a:extLst>
                      <a:ext uri="{28A0092B-C50C-407E-A947-70E740481C1C}">
                        <a14:useLocalDpi xmlns:a14="http://schemas.microsoft.com/office/drawing/2010/main" val="0"/>
                      </a:ext>
                    </a:extLst>
                  </a:blip>
                  <a:stretch>
                    <a:fillRect/>
                  </a:stretch>
                </pic:blipFill>
                <pic:spPr>
                  <a:xfrm>
                    <a:off x="0" y="0"/>
                    <a:ext cx="8256104" cy="11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00D1"/>
    <w:multiLevelType w:val="multilevel"/>
    <w:tmpl w:val="E23E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E33D4"/>
    <w:multiLevelType w:val="multilevel"/>
    <w:tmpl w:val="283C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74226"/>
    <w:multiLevelType w:val="multilevel"/>
    <w:tmpl w:val="ED46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A497B"/>
    <w:multiLevelType w:val="multilevel"/>
    <w:tmpl w:val="7A7E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D66A7"/>
    <w:multiLevelType w:val="multilevel"/>
    <w:tmpl w:val="6884EC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9E688F"/>
    <w:multiLevelType w:val="multilevel"/>
    <w:tmpl w:val="0CA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35341"/>
    <w:multiLevelType w:val="multilevel"/>
    <w:tmpl w:val="6884EC1E"/>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5626560">
    <w:abstractNumId w:val="2"/>
  </w:num>
  <w:num w:numId="2" w16cid:durableId="10319">
    <w:abstractNumId w:val="1"/>
  </w:num>
  <w:num w:numId="3" w16cid:durableId="815337238">
    <w:abstractNumId w:val="5"/>
  </w:num>
  <w:num w:numId="4" w16cid:durableId="1456023473">
    <w:abstractNumId w:val="0"/>
  </w:num>
  <w:num w:numId="5" w16cid:durableId="854538405">
    <w:abstractNumId w:val="3"/>
  </w:num>
  <w:num w:numId="6" w16cid:durableId="472866206">
    <w:abstractNumId w:val="6"/>
  </w:num>
  <w:num w:numId="7" w16cid:durableId="770322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E73617"/>
    <w:rsid w:val="00016D40"/>
    <w:rsid w:val="000327E4"/>
    <w:rsid w:val="00037AB6"/>
    <w:rsid w:val="00072540"/>
    <w:rsid w:val="0016623B"/>
    <w:rsid w:val="001C2DE9"/>
    <w:rsid w:val="00214085"/>
    <w:rsid w:val="00220D16"/>
    <w:rsid w:val="00290900"/>
    <w:rsid w:val="002A5ACF"/>
    <w:rsid w:val="00336F21"/>
    <w:rsid w:val="00356FD7"/>
    <w:rsid w:val="003A64D3"/>
    <w:rsid w:val="003C2588"/>
    <w:rsid w:val="003C7C25"/>
    <w:rsid w:val="00487822"/>
    <w:rsid w:val="004E20EA"/>
    <w:rsid w:val="004E7293"/>
    <w:rsid w:val="004F69E8"/>
    <w:rsid w:val="0050348D"/>
    <w:rsid w:val="0055496E"/>
    <w:rsid w:val="005A2EB1"/>
    <w:rsid w:val="005B7742"/>
    <w:rsid w:val="005C1BD6"/>
    <w:rsid w:val="00614A60"/>
    <w:rsid w:val="0068119E"/>
    <w:rsid w:val="006A548B"/>
    <w:rsid w:val="006A58F2"/>
    <w:rsid w:val="006B13F0"/>
    <w:rsid w:val="006B3C04"/>
    <w:rsid w:val="006B74F2"/>
    <w:rsid w:val="006F257A"/>
    <w:rsid w:val="00714FEC"/>
    <w:rsid w:val="00783D49"/>
    <w:rsid w:val="007B7343"/>
    <w:rsid w:val="00837BA9"/>
    <w:rsid w:val="00865B65"/>
    <w:rsid w:val="0087195F"/>
    <w:rsid w:val="00880691"/>
    <w:rsid w:val="008958AC"/>
    <w:rsid w:val="008C4FD9"/>
    <w:rsid w:val="009115C0"/>
    <w:rsid w:val="00986CD2"/>
    <w:rsid w:val="009C291B"/>
    <w:rsid w:val="009F5596"/>
    <w:rsid w:val="00A13F7D"/>
    <w:rsid w:val="00A167E0"/>
    <w:rsid w:val="00A835FA"/>
    <w:rsid w:val="00AE5A26"/>
    <w:rsid w:val="00B35008"/>
    <w:rsid w:val="00B94D85"/>
    <w:rsid w:val="00BA7549"/>
    <w:rsid w:val="00BE3BEF"/>
    <w:rsid w:val="00C215FB"/>
    <w:rsid w:val="00C4733C"/>
    <w:rsid w:val="00CB4DB7"/>
    <w:rsid w:val="00DD5446"/>
    <w:rsid w:val="00E21B33"/>
    <w:rsid w:val="00E446CE"/>
    <w:rsid w:val="00E51619"/>
    <w:rsid w:val="00E60ADC"/>
    <w:rsid w:val="00E67ED3"/>
    <w:rsid w:val="00E70FC3"/>
    <w:rsid w:val="00E732EA"/>
    <w:rsid w:val="00E73617"/>
    <w:rsid w:val="00E75161"/>
    <w:rsid w:val="00F14218"/>
    <w:rsid w:val="00F4397A"/>
    <w:rsid w:val="00F57264"/>
    <w:rsid w:val="00FD0734"/>
    <w:rsid w:val="00FE4991"/>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EF6F1B"/>
  <w15:docId w15:val="{3C5A8083-EB91-42AA-8696-C090D5A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96"/>
  </w:style>
  <w:style w:type="paragraph" w:styleId="Heading1">
    <w:name w:val="heading 1"/>
    <w:basedOn w:val="Normal"/>
    <w:next w:val="Normal"/>
    <w:link w:val="Heading1Char"/>
    <w:uiPriority w:val="9"/>
    <w:qFormat/>
    <w:rsid w:val="002140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85"/>
    <w:rPr>
      <w:rFonts w:ascii="Lucida Grande" w:hAnsi="Lucida Grande" w:cs="Lucida Grande"/>
      <w:sz w:val="18"/>
      <w:szCs w:val="18"/>
    </w:rPr>
  </w:style>
  <w:style w:type="paragraph" w:styleId="Header">
    <w:name w:val="header"/>
    <w:basedOn w:val="Normal"/>
    <w:link w:val="HeaderChar"/>
    <w:uiPriority w:val="99"/>
    <w:unhideWhenUsed/>
    <w:rsid w:val="00E73617"/>
    <w:pPr>
      <w:tabs>
        <w:tab w:val="center" w:pos="4680"/>
        <w:tab w:val="right" w:pos="9360"/>
      </w:tabs>
    </w:pPr>
  </w:style>
  <w:style w:type="character" w:customStyle="1" w:styleId="HeaderChar">
    <w:name w:val="Header Char"/>
    <w:basedOn w:val="DefaultParagraphFont"/>
    <w:link w:val="Header"/>
    <w:uiPriority w:val="99"/>
    <w:rsid w:val="00E73617"/>
  </w:style>
  <w:style w:type="paragraph" w:styleId="Footer">
    <w:name w:val="footer"/>
    <w:basedOn w:val="Normal"/>
    <w:link w:val="FooterChar"/>
    <w:uiPriority w:val="99"/>
    <w:unhideWhenUsed/>
    <w:rsid w:val="00E73617"/>
    <w:pPr>
      <w:tabs>
        <w:tab w:val="center" w:pos="4680"/>
        <w:tab w:val="right" w:pos="9360"/>
      </w:tabs>
    </w:pPr>
  </w:style>
  <w:style w:type="character" w:customStyle="1" w:styleId="FooterChar">
    <w:name w:val="Footer Char"/>
    <w:basedOn w:val="DefaultParagraphFont"/>
    <w:link w:val="Footer"/>
    <w:uiPriority w:val="99"/>
    <w:rsid w:val="00E73617"/>
  </w:style>
  <w:style w:type="paragraph" w:customStyle="1" w:styleId="xxdefault">
    <w:name w:val="x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default">
    <w:name w:val="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xmsonormal">
    <w:name w:val="xxmsonormal"/>
    <w:basedOn w:val="Normal"/>
    <w:rsid w:val="004E7293"/>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4E7293"/>
    <w:rPr>
      <w:color w:val="0000FF" w:themeColor="hyperlink"/>
      <w:u w:val="single"/>
    </w:rPr>
  </w:style>
  <w:style w:type="paragraph" w:styleId="NormalWeb">
    <w:name w:val="Normal (Web)"/>
    <w:basedOn w:val="Normal"/>
    <w:uiPriority w:val="99"/>
    <w:unhideWhenUsed/>
    <w:rsid w:val="00336F2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36F21"/>
    <w:rPr>
      <w:sz w:val="20"/>
      <w:szCs w:val="20"/>
    </w:rPr>
  </w:style>
  <w:style w:type="character" w:customStyle="1" w:styleId="FootnoteTextChar">
    <w:name w:val="Footnote Text Char"/>
    <w:basedOn w:val="DefaultParagraphFont"/>
    <w:link w:val="FootnoteText"/>
    <w:uiPriority w:val="99"/>
    <w:semiHidden/>
    <w:rsid w:val="00336F21"/>
    <w:rPr>
      <w:sz w:val="20"/>
      <w:szCs w:val="20"/>
    </w:rPr>
  </w:style>
  <w:style w:type="character" w:styleId="FootnoteReference">
    <w:name w:val="footnote reference"/>
    <w:basedOn w:val="DefaultParagraphFont"/>
    <w:uiPriority w:val="99"/>
    <w:semiHidden/>
    <w:unhideWhenUsed/>
    <w:rsid w:val="00336F21"/>
    <w:rPr>
      <w:vertAlign w:val="superscript"/>
    </w:rPr>
  </w:style>
  <w:style w:type="paragraph" w:customStyle="1" w:styleId="number">
    <w:name w:val="number"/>
    <w:basedOn w:val="Normal"/>
    <w:rsid w:val="00336F2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6F21"/>
    <w:rPr>
      <w:color w:val="605E5C"/>
      <w:shd w:val="clear" w:color="auto" w:fill="E1DFDD"/>
    </w:rPr>
  </w:style>
  <w:style w:type="paragraph" w:styleId="EndnoteText">
    <w:name w:val="endnote text"/>
    <w:basedOn w:val="Normal"/>
    <w:link w:val="EndnoteTextChar"/>
    <w:uiPriority w:val="99"/>
    <w:unhideWhenUsed/>
    <w:rsid w:val="005C1BD6"/>
    <w:pPr>
      <w:widowControl w:val="0"/>
      <w:autoSpaceDE w:val="0"/>
      <w:autoSpaceDN w:val="0"/>
      <w:adjustRightInd w:val="0"/>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C1BD6"/>
    <w:rPr>
      <w:rFonts w:ascii="Calibri" w:eastAsia="Times New Roman" w:hAnsi="Calibri" w:cs="Calibri"/>
      <w:sz w:val="20"/>
      <w:szCs w:val="20"/>
    </w:rPr>
  </w:style>
  <w:style w:type="paragraph" w:styleId="Revision">
    <w:name w:val="Revision"/>
    <w:hidden/>
    <w:uiPriority w:val="99"/>
    <w:semiHidden/>
    <w:rsid w:val="00E60ADC"/>
  </w:style>
  <w:style w:type="paragraph" w:styleId="ListParagraph">
    <w:name w:val="List Paragraph"/>
    <w:basedOn w:val="Normal"/>
    <w:uiPriority w:val="34"/>
    <w:qFormat/>
    <w:rsid w:val="00614A60"/>
    <w:pPr>
      <w:spacing w:after="160" w:line="259" w:lineRule="auto"/>
      <w:ind w:left="720"/>
      <w:contextualSpacing/>
    </w:pPr>
    <w:rPr>
      <w:rFonts w:eastAsiaTheme="minorHAnsi"/>
      <w:sz w:val="22"/>
      <w:szCs w:val="22"/>
    </w:rPr>
  </w:style>
  <w:style w:type="paragraph" w:styleId="NoSpacing">
    <w:name w:val="No Spacing"/>
    <w:uiPriority w:val="1"/>
    <w:qFormat/>
    <w:rsid w:val="00614A60"/>
    <w:rPr>
      <w:rFonts w:eastAsiaTheme="minorHAnsi"/>
      <w:sz w:val="22"/>
      <w:szCs w:val="22"/>
    </w:rPr>
  </w:style>
  <w:style w:type="paragraph" w:customStyle="1" w:styleId="xmsonormal">
    <w:name w:val="x_msonormal"/>
    <w:basedOn w:val="Normal"/>
    <w:rsid w:val="00614A60"/>
    <w:pPr>
      <w:spacing w:before="100" w:beforeAutospacing="1" w:after="100" w:afterAutospacing="1"/>
    </w:pPr>
    <w:rPr>
      <w:rFonts w:ascii="Times New Roman" w:eastAsia="Times New Roman" w:hAnsi="Times New Roman" w:cs="Times New Roman"/>
    </w:rPr>
  </w:style>
  <w:style w:type="paragraph" w:customStyle="1" w:styleId="xdefault0">
    <w:name w:val="x_default"/>
    <w:basedOn w:val="Normal"/>
    <w:rsid w:val="00614A6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14A60"/>
  </w:style>
  <w:style w:type="character" w:customStyle="1" w:styleId="apple-converted-space">
    <w:name w:val="apple-converted-space"/>
    <w:basedOn w:val="DefaultParagraphFont"/>
    <w:rsid w:val="00614A60"/>
  </w:style>
  <w:style w:type="character" w:customStyle="1" w:styleId="docsum-authors">
    <w:name w:val="docsum-authors"/>
    <w:basedOn w:val="DefaultParagraphFont"/>
    <w:rsid w:val="00614A60"/>
  </w:style>
  <w:style w:type="character" w:customStyle="1" w:styleId="docsum-journal-citation">
    <w:name w:val="docsum-journal-citation"/>
    <w:basedOn w:val="DefaultParagraphFont"/>
    <w:rsid w:val="00614A60"/>
  </w:style>
  <w:style w:type="character" w:styleId="FollowedHyperlink">
    <w:name w:val="FollowedHyperlink"/>
    <w:basedOn w:val="DefaultParagraphFont"/>
    <w:uiPriority w:val="99"/>
    <w:semiHidden/>
    <w:unhideWhenUsed/>
    <w:rsid w:val="00614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426">
      <w:bodyDiv w:val="1"/>
      <w:marLeft w:val="0"/>
      <w:marRight w:val="0"/>
      <w:marTop w:val="0"/>
      <w:marBottom w:val="0"/>
      <w:divBdr>
        <w:top w:val="none" w:sz="0" w:space="0" w:color="auto"/>
        <w:left w:val="none" w:sz="0" w:space="0" w:color="auto"/>
        <w:bottom w:val="none" w:sz="0" w:space="0" w:color="auto"/>
        <w:right w:val="none" w:sz="0" w:space="0" w:color="auto"/>
      </w:divBdr>
    </w:div>
    <w:div w:id="118308004">
      <w:bodyDiv w:val="1"/>
      <w:marLeft w:val="0"/>
      <w:marRight w:val="0"/>
      <w:marTop w:val="0"/>
      <w:marBottom w:val="0"/>
      <w:divBdr>
        <w:top w:val="none" w:sz="0" w:space="0" w:color="auto"/>
        <w:left w:val="none" w:sz="0" w:space="0" w:color="auto"/>
        <w:bottom w:val="none" w:sz="0" w:space="0" w:color="auto"/>
        <w:right w:val="none" w:sz="0" w:space="0" w:color="auto"/>
      </w:divBdr>
    </w:div>
    <w:div w:id="327444605">
      <w:bodyDiv w:val="1"/>
      <w:marLeft w:val="0"/>
      <w:marRight w:val="0"/>
      <w:marTop w:val="0"/>
      <w:marBottom w:val="0"/>
      <w:divBdr>
        <w:top w:val="none" w:sz="0" w:space="0" w:color="auto"/>
        <w:left w:val="none" w:sz="0" w:space="0" w:color="auto"/>
        <w:bottom w:val="none" w:sz="0" w:space="0" w:color="auto"/>
        <w:right w:val="none" w:sz="0" w:space="0" w:color="auto"/>
      </w:divBdr>
    </w:div>
    <w:div w:id="420680496">
      <w:bodyDiv w:val="1"/>
      <w:marLeft w:val="0"/>
      <w:marRight w:val="0"/>
      <w:marTop w:val="0"/>
      <w:marBottom w:val="0"/>
      <w:divBdr>
        <w:top w:val="none" w:sz="0" w:space="0" w:color="auto"/>
        <w:left w:val="none" w:sz="0" w:space="0" w:color="auto"/>
        <w:bottom w:val="none" w:sz="0" w:space="0" w:color="auto"/>
        <w:right w:val="none" w:sz="0" w:space="0" w:color="auto"/>
      </w:divBdr>
    </w:div>
    <w:div w:id="511920087">
      <w:bodyDiv w:val="1"/>
      <w:marLeft w:val="0"/>
      <w:marRight w:val="0"/>
      <w:marTop w:val="0"/>
      <w:marBottom w:val="0"/>
      <w:divBdr>
        <w:top w:val="none" w:sz="0" w:space="0" w:color="auto"/>
        <w:left w:val="none" w:sz="0" w:space="0" w:color="auto"/>
        <w:bottom w:val="none" w:sz="0" w:space="0" w:color="auto"/>
        <w:right w:val="none" w:sz="0" w:space="0" w:color="auto"/>
      </w:divBdr>
    </w:div>
    <w:div w:id="525673909">
      <w:bodyDiv w:val="1"/>
      <w:marLeft w:val="0"/>
      <w:marRight w:val="0"/>
      <w:marTop w:val="0"/>
      <w:marBottom w:val="0"/>
      <w:divBdr>
        <w:top w:val="none" w:sz="0" w:space="0" w:color="auto"/>
        <w:left w:val="none" w:sz="0" w:space="0" w:color="auto"/>
        <w:bottom w:val="none" w:sz="0" w:space="0" w:color="auto"/>
        <w:right w:val="none" w:sz="0" w:space="0" w:color="auto"/>
      </w:divBdr>
    </w:div>
    <w:div w:id="882716310">
      <w:bodyDiv w:val="1"/>
      <w:marLeft w:val="0"/>
      <w:marRight w:val="0"/>
      <w:marTop w:val="0"/>
      <w:marBottom w:val="0"/>
      <w:divBdr>
        <w:top w:val="none" w:sz="0" w:space="0" w:color="auto"/>
        <w:left w:val="none" w:sz="0" w:space="0" w:color="auto"/>
        <w:bottom w:val="none" w:sz="0" w:space="0" w:color="auto"/>
        <w:right w:val="none" w:sz="0" w:space="0" w:color="auto"/>
      </w:divBdr>
    </w:div>
    <w:div w:id="916673121">
      <w:bodyDiv w:val="1"/>
      <w:marLeft w:val="0"/>
      <w:marRight w:val="0"/>
      <w:marTop w:val="0"/>
      <w:marBottom w:val="0"/>
      <w:divBdr>
        <w:top w:val="none" w:sz="0" w:space="0" w:color="auto"/>
        <w:left w:val="none" w:sz="0" w:space="0" w:color="auto"/>
        <w:bottom w:val="none" w:sz="0" w:space="0" w:color="auto"/>
        <w:right w:val="none" w:sz="0" w:space="0" w:color="auto"/>
      </w:divBdr>
    </w:div>
    <w:div w:id="147818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tobacco/disparities/american-indians/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uthinitiative.org/sites/default/files/media/files/2019/03/Achieving%20Health%20Equity%20in%20Tabacco%20Control%20-%20Version%20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12432159/" TargetMode="External"/><Relationship Id="rId13" Type="http://schemas.openxmlformats.org/officeDocument/2006/relationships/hyperlink" Target="https://countertobacco.org/wp-content/uploads/2021/02/TobaccoControlEnforcementforRacialEquity_FINAL_20210129-2.pdf" TargetMode="External"/><Relationship Id="rId3" Type="http://schemas.openxmlformats.org/officeDocument/2006/relationships/hyperlink" Target="https://truthinitiative.org/research-resources/targeted-communities/tobacco-use-african-american-community" TargetMode="External"/><Relationship Id="rId7" Type="http://schemas.openxmlformats.org/officeDocument/2006/relationships/hyperlink" Target="https://truthinitiative.org/sites/default/files/media/files/2020/12/Local-flavored-tobacco-policies-Sept-30-FINAL.pdf" TargetMode="External"/><Relationship Id="rId12" Type="http://schemas.openxmlformats.org/officeDocument/2006/relationships/hyperlink" Target="https://www.canada.ca/en/public-health/services/publications/science-research-data/inequalities-smoking-infographic.html" TargetMode="External"/><Relationship Id="rId17" Type="http://schemas.openxmlformats.org/officeDocument/2006/relationships/hyperlink" Target="http://www.refworld.org/docid/51ef9e134.html" TargetMode="External"/><Relationship Id="rId2" Type="http://schemas.openxmlformats.org/officeDocument/2006/relationships/hyperlink" Target="https://truthinitiative.org/sites/default/files/media/files/2019/03/truth-initiative-menthol-fact-sheet-dec2018.pdf" TargetMode="External"/><Relationship Id="rId16" Type="http://schemas.openxmlformats.org/officeDocument/2006/relationships/hyperlink" Target="https://www.who.int/fctc/treaty_instruments/Guideliness_Articles_9_10_rev_240613.pdf?ua=1" TargetMode="External"/><Relationship Id="rId1" Type="http://schemas.openxmlformats.org/officeDocument/2006/relationships/hyperlink" Target="https://www.who.int/news-room/fact-sheets/detail/tobacco" TargetMode="External"/><Relationship Id="rId6" Type="http://schemas.openxmlformats.org/officeDocument/2006/relationships/hyperlink" Target="https://www.publichealthlawcenter.org/sites/default/files/resources/tclc-fs-global-flavored-regs-2015.pdf" TargetMode="External"/><Relationship Id="rId11" Type="http://schemas.openxmlformats.org/officeDocument/2006/relationships/hyperlink" Target="https://www.smokefree.org.nz/smoking-its-effects/facts-figures" TargetMode="External"/><Relationship Id="rId5" Type="http://schemas.openxmlformats.org/officeDocument/2006/relationships/hyperlink" Target="https://www.publichealthlawcenter.org/sites/default/files/resources/Supplement-to-Menthol-Citizen-Petition.pdf" TargetMode="External"/><Relationship Id="rId15" Type="http://schemas.openxmlformats.org/officeDocument/2006/relationships/hyperlink" Target="https://www.refworld.org/docid/3ae6b3940.html" TargetMode="External"/><Relationship Id="rId10" Type="http://schemas.openxmlformats.org/officeDocument/2006/relationships/hyperlink" Target="https://www.health.govt.nz/our-work/preventative-health-wellness/tobacco-control/smokefree-aotearoa-2025-action-plan/history-smokefree-aotearoa-2025" TargetMode="External"/><Relationship Id="rId4" Type="http://schemas.openxmlformats.org/officeDocument/2006/relationships/hyperlink" Target="https://truthinitiative.org/research-resources/targeted-communities/tobacco-social-justice-issue-racial-and-ethnic-minorities" TargetMode="External"/><Relationship Id="rId9" Type="http://schemas.openxmlformats.org/officeDocument/2006/relationships/hyperlink" Target="https://www.aihw.gov.au/reports/alcohol/alcohol-tobacco-other-drugs-australia/contents/priority-populations/aboriginal-and-torres-strait-islander-people" TargetMode="External"/><Relationship Id="rId14" Type="http://schemas.openxmlformats.org/officeDocument/2006/relationships/hyperlink" Target="https://www.refworld.org/docid/3ae6b394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nah%20Gregory\My%20Documents\Special%20Ops%20Survivors\%23ThankYou%20Campaign\ASH%20MediaPolicy%20Briefing%20Templates\ASH%20Media&amp;Policy%20Briefing%20Templates\ASH-MediaBrief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2B5603347BAABA4EA96E488B55BE438A" ma:contentTypeVersion="13" ma:contentTypeDescription="Create a new document." ma:contentTypeScope="" ma:versionID="c2899abe3a3d039c718b9756fb1ecd33">
  <xsd:schema xmlns:xsd="http://www.w3.org/2001/XMLSchema" xmlns:xs="http://www.w3.org/2001/XMLSchema" xmlns:p="http://schemas.microsoft.com/office/2006/metadata/properties" xmlns:ns2="6659485a-0356-46ea-9757-34548b29d571" xmlns:ns3="6f0858f9-c50b-421d-b2b6-fec44967a867" targetNamespace="http://schemas.microsoft.com/office/2006/metadata/properties" ma:root="true" ma:fieldsID="1bc2d8a1f7324d5898940cbc02d0fcbc" ns2:_="" ns3:_="">
    <xsd:import namespace="6659485a-0356-46ea-9757-34548b29d571"/>
    <xsd:import namespace="6f0858f9-c50b-421d-b2b6-fec44967a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485a-0356-46ea-9757-34548b29d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858f9-c50b-421d-b2b6-fec44967a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376C1-AF62-412E-BDC4-C9CAE8B55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14D06-8B79-4209-A59A-869962F4B636}">
  <ds:schemaRefs>
    <ds:schemaRef ds:uri="http://schemas.microsoft.com/sharepoint/v3/contenttype/forms"/>
  </ds:schemaRefs>
</ds:datastoreItem>
</file>

<file path=customXml/itemProps3.xml><?xml version="1.0" encoding="utf-8"?>
<ds:datastoreItem xmlns:ds="http://schemas.openxmlformats.org/officeDocument/2006/customXml" ds:itemID="{B0F61EDF-A2F4-49C5-99D4-8917F3BD7BF9}">
  <ds:schemaRefs>
    <ds:schemaRef ds:uri="http://schemas.openxmlformats.org/officeDocument/2006/bibliography"/>
  </ds:schemaRefs>
</ds:datastoreItem>
</file>

<file path=customXml/itemProps4.xml><?xml version="1.0" encoding="utf-8"?>
<ds:datastoreItem xmlns:ds="http://schemas.openxmlformats.org/officeDocument/2006/customXml" ds:itemID="{ACDA1A4E-4229-4693-A0CE-C3790B0FD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485a-0356-46ea-9757-34548b29d571"/>
    <ds:schemaRef ds:uri="6f0858f9-c50b-421d-b2b6-fec44967a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ASH-MediaBriefing-template</Template>
  <TotalTime>2</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Spooks, Ltd.</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Gregory</dc:creator>
  <cp:lastModifiedBy>Kelsey Romeo-Stuppy</cp:lastModifiedBy>
  <cp:revision>2</cp:revision>
  <cp:lastPrinted>2016-10-04T17:21:00Z</cp:lastPrinted>
  <dcterms:created xsi:type="dcterms:W3CDTF">2022-06-23T14:05:00Z</dcterms:created>
  <dcterms:modified xsi:type="dcterms:W3CDTF">2022-06-23T14:05:00Z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0x0101002B5603347BAABA4EA96E488B55BE438A</vt:lpwstr>
  </property>
  <property fmtid="{D5CDD505-2E9C-101B-9397-08002B2CF9AE}" pid="3" name="Order">
    <vt:r8>1478100</vt:r8>
  </property>
</Properties>
</file>