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C8AAEC" w14:textId="77777777" w:rsidR="00AE0790" w:rsidRDefault="00AE0790" w:rsidP="00ED1F74">
      <w:pPr>
        <w:spacing w:after="0" w:line="240" w:lineRule="auto"/>
        <w:contextualSpacing/>
      </w:pPr>
    </w:p>
    <w:p w14:paraId="65CB34E8" w14:textId="77777777" w:rsidR="00AE0790" w:rsidRDefault="00AE0790" w:rsidP="00ED1F74">
      <w:pPr>
        <w:spacing w:after="0" w:line="240" w:lineRule="auto"/>
        <w:contextualSpacing/>
        <w:jc w:val="center"/>
        <w:rPr>
          <w:b/>
          <w:bCs/>
        </w:rPr>
      </w:pPr>
    </w:p>
    <w:p w14:paraId="508FB6E0" w14:textId="77777777" w:rsidR="0036134B" w:rsidRDefault="0036134B" w:rsidP="0036134B">
      <w:pPr>
        <w:spacing w:after="0" w:line="240" w:lineRule="auto"/>
        <w:contextualSpacing/>
      </w:pPr>
    </w:p>
    <w:p w14:paraId="69DBE92D" w14:textId="36FD2325" w:rsidR="00ED1F74" w:rsidRPr="0036134B" w:rsidRDefault="0036134B" w:rsidP="0036134B">
      <w:pPr>
        <w:spacing w:after="0" w:line="240" w:lineRule="auto"/>
        <w:contextualSpacing/>
      </w:pPr>
      <w:r>
        <w:t>3</w:t>
      </w:r>
      <w:r w:rsidR="00357397">
        <w:t>1</w:t>
      </w:r>
      <w:r>
        <w:t xml:space="preserve"> August 2023</w:t>
      </w:r>
    </w:p>
    <w:p w14:paraId="2B0970C0" w14:textId="77777777" w:rsidR="00ED1F74" w:rsidRDefault="00ED1F74" w:rsidP="00ED1F74">
      <w:pPr>
        <w:spacing w:after="0" w:line="240" w:lineRule="auto"/>
        <w:contextualSpacing/>
        <w:jc w:val="center"/>
        <w:rPr>
          <w:b/>
          <w:bCs/>
        </w:rPr>
      </w:pPr>
    </w:p>
    <w:p w14:paraId="6102ABB6" w14:textId="67B2AF39" w:rsidR="0036134B" w:rsidRDefault="00AE0790" w:rsidP="0036134B">
      <w:pPr>
        <w:spacing w:after="0" w:line="240" w:lineRule="auto"/>
        <w:ind w:left="720" w:right="720"/>
        <w:contextualSpacing/>
        <w:jc w:val="center"/>
        <w:rPr>
          <w:b/>
          <w:bCs/>
        </w:rPr>
      </w:pPr>
      <w:r w:rsidRPr="00AE0790">
        <w:rPr>
          <w:b/>
          <w:bCs/>
        </w:rPr>
        <w:t>Submission to the United Nations Committee on the Elimination of Racial Discrimination</w:t>
      </w:r>
      <w:r w:rsidR="0036134B">
        <w:rPr>
          <w:b/>
          <w:bCs/>
        </w:rPr>
        <w:t>’s</w:t>
      </w:r>
      <w:r w:rsidR="00ED1F74">
        <w:rPr>
          <w:b/>
          <w:bCs/>
        </w:rPr>
        <w:t xml:space="preserve"> “</w:t>
      </w:r>
      <w:r w:rsidRPr="00AE0790">
        <w:rPr>
          <w:b/>
          <w:bCs/>
        </w:rPr>
        <w:t>Call for Contributions on the Draft General Recommendation</w:t>
      </w:r>
      <w:r w:rsidR="00CF3B00">
        <w:rPr>
          <w:b/>
          <w:bCs/>
        </w:rPr>
        <w:t xml:space="preserve"> No.</w:t>
      </w:r>
      <w:r w:rsidRPr="00AE0790">
        <w:rPr>
          <w:b/>
          <w:bCs/>
        </w:rPr>
        <w:t xml:space="preserve"> 37 on Racial discrimination in the enjoyment of the right to health”</w:t>
      </w:r>
    </w:p>
    <w:p w14:paraId="29CF3F79" w14:textId="77777777" w:rsidR="0036134B" w:rsidRDefault="0036134B" w:rsidP="00ED1F74">
      <w:pPr>
        <w:spacing w:after="0" w:line="240" w:lineRule="auto"/>
        <w:contextualSpacing/>
        <w:jc w:val="both"/>
      </w:pPr>
    </w:p>
    <w:p w14:paraId="04CB575D" w14:textId="1D973E49" w:rsidR="005F5EEF" w:rsidRDefault="00ED1F74" w:rsidP="00ED1F74">
      <w:pPr>
        <w:spacing w:after="0" w:line="240" w:lineRule="auto"/>
        <w:contextualSpacing/>
        <w:jc w:val="both"/>
      </w:pPr>
      <w:r w:rsidRPr="00ED1F74">
        <w:t>Human Rights Watch</w:t>
      </w:r>
      <w:r w:rsidR="006A7757" w:rsidRPr="006A7757">
        <w:t xml:space="preserve"> would like to express our appreciation to the</w:t>
      </w:r>
      <w:r w:rsidR="006A7757">
        <w:t xml:space="preserve"> </w:t>
      </w:r>
      <w:r w:rsidR="00273C4D" w:rsidRPr="00AE0790">
        <w:t>Committee on the Elimination of Racial Discrimination</w:t>
      </w:r>
      <w:r w:rsidR="00273C4D" w:rsidRPr="00273C4D">
        <w:rPr>
          <w:b/>
          <w:bCs/>
        </w:rPr>
        <w:t xml:space="preserve"> </w:t>
      </w:r>
      <w:r w:rsidRPr="00ED1F74">
        <w:t>(</w:t>
      </w:r>
      <w:r w:rsidR="00704FA7">
        <w:t>CERD</w:t>
      </w:r>
      <w:r w:rsidR="001023BF">
        <w:t>, or the “Committee”</w:t>
      </w:r>
      <w:r w:rsidRPr="00ED1F74">
        <w:t>)</w:t>
      </w:r>
      <w:r w:rsidR="007D1F98" w:rsidRPr="007D1F98">
        <w:t xml:space="preserve"> for </w:t>
      </w:r>
      <w:r w:rsidR="00D75886">
        <w:t>the</w:t>
      </w:r>
      <w:r w:rsidR="007D1F98" w:rsidRPr="007D1F98">
        <w:t xml:space="preserve"> opportunity to </w:t>
      </w:r>
      <w:r w:rsidR="007D1F98">
        <w:t xml:space="preserve">provide it with this submission, which responds to </w:t>
      </w:r>
      <w:r w:rsidR="000E2FFF">
        <w:t xml:space="preserve">its </w:t>
      </w:r>
      <w:r w:rsidR="005F5EEF" w:rsidRPr="005F5EEF">
        <w:t>call for contributions on the draft general recommendation</w:t>
      </w:r>
      <w:r w:rsidR="00CF3B00">
        <w:t xml:space="preserve"> No.</w:t>
      </w:r>
      <w:r w:rsidR="005F5EEF" w:rsidRPr="005F5EEF">
        <w:t xml:space="preserve"> 37 on racial discrimination in the enjoyment of the right to health</w:t>
      </w:r>
      <w:r w:rsidR="008957C7">
        <w:t>.</w:t>
      </w:r>
      <w:r w:rsidR="003E5FBE">
        <w:rPr>
          <w:rStyle w:val="FootnoteReference"/>
        </w:rPr>
        <w:footnoteReference w:id="2"/>
      </w:r>
      <w:r w:rsidR="008957C7">
        <w:t xml:space="preserve"> </w:t>
      </w:r>
    </w:p>
    <w:p w14:paraId="5315823D" w14:textId="77777777" w:rsidR="00E95BF2" w:rsidRDefault="00E95BF2" w:rsidP="00ED1F74">
      <w:pPr>
        <w:spacing w:after="0" w:line="240" w:lineRule="auto"/>
        <w:contextualSpacing/>
        <w:jc w:val="both"/>
      </w:pPr>
    </w:p>
    <w:p w14:paraId="53B485FA" w14:textId="18B2A619" w:rsidR="00E95BF2" w:rsidRDefault="00E95BF2" w:rsidP="00ED1F74">
      <w:pPr>
        <w:spacing w:after="0" w:line="240" w:lineRule="auto"/>
        <w:contextualSpacing/>
        <w:jc w:val="both"/>
      </w:pPr>
      <w:r w:rsidRPr="00E95BF2">
        <w:t>Human Rights Watch is an independent, international non-governmental organization that investigates and reports on rights violations in over 100 countries worldwide. Human Rights Watch documents and reports on human rights abuses and directs advocacy toward governments, armed groups, and businesses, pressing them to change or enforce their laws, policies, and practices to respect and uphold rights for all.</w:t>
      </w:r>
    </w:p>
    <w:p w14:paraId="68D59CD5" w14:textId="77777777" w:rsidR="005F5EEF" w:rsidRDefault="005F5EEF" w:rsidP="00ED1F74">
      <w:pPr>
        <w:spacing w:after="0" w:line="240" w:lineRule="auto"/>
        <w:contextualSpacing/>
        <w:jc w:val="both"/>
      </w:pPr>
    </w:p>
    <w:p w14:paraId="30CE35CA" w14:textId="35BDF473" w:rsidR="0075168A" w:rsidRDefault="00F851EE" w:rsidP="00ED1F74">
      <w:pPr>
        <w:spacing w:after="0" w:line="240" w:lineRule="auto"/>
        <w:contextualSpacing/>
        <w:jc w:val="both"/>
      </w:pPr>
      <w:r>
        <w:t xml:space="preserve">For years, Human Rights Watch has investigated </w:t>
      </w:r>
      <w:r w:rsidR="0075168A">
        <w:t>how</w:t>
      </w:r>
      <w:r>
        <w:t xml:space="preserve"> </w:t>
      </w:r>
      <w:r w:rsidR="0075168A" w:rsidRPr="0075168A">
        <w:t xml:space="preserve">systemic racism and intersectional discrimination </w:t>
      </w:r>
      <w:r w:rsidR="00F83E3F">
        <w:t xml:space="preserve">oppress </w:t>
      </w:r>
      <w:r w:rsidR="005D0EC3" w:rsidRPr="005D0EC3">
        <w:t>Black, Indigenous, and people of color (BIPOC) communities</w:t>
      </w:r>
      <w:r w:rsidR="00F83E3F">
        <w:t xml:space="preserve"> world</w:t>
      </w:r>
      <w:r w:rsidR="00E84FFB">
        <w:t>wide</w:t>
      </w:r>
      <w:r w:rsidR="00F83E3F">
        <w:t xml:space="preserve">, documenting </w:t>
      </w:r>
      <w:r w:rsidR="006A7757">
        <w:t xml:space="preserve">policies and practices of </w:t>
      </w:r>
      <w:r w:rsidR="00D75886">
        <w:t>States</w:t>
      </w:r>
      <w:r w:rsidR="00E84FFB">
        <w:t xml:space="preserve"> and third parties</w:t>
      </w:r>
      <w:r w:rsidR="006A7757">
        <w:t xml:space="preserve"> that are inconsistent with </w:t>
      </w:r>
      <w:r w:rsidR="00D75886">
        <w:t xml:space="preserve">international human rights law and </w:t>
      </w:r>
      <w:r w:rsidR="0075168A">
        <w:t>the International Convention on the Elimination of All Forms of Racial Discrimination (ICERD</w:t>
      </w:r>
      <w:r w:rsidR="00513113">
        <w:t>, or the “Convention”</w:t>
      </w:r>
      <w:r w:rsidR="0075168A">
        <w:t>)</w:t>
      </w:r>
      <w:r w:rsidR="00D75886">
        <w:t xml:space="preserve">, in particular. </w:t>
      </w:r>
    </w:p>
    <w:p w14:paraId="598716E1" w14:textId="77777777" w:rsidR="00D020D8" w:rsidRDefault="00D020D8" w:rsidP="0067496D">
      <w:pPr>
        <w:spacing w:after="0" w:line="240" w:lineRule="auto"/>
        <w:contextualSpacing/>
        <w:jc w:val="both"/>
      </w:pPr>
    </w:p>
    <w:p w14:paraId="08280858" w14:textId="3A6A08D0" w:rsidR="008A4804" w:rsidRDefault="00664789" w:rsidP="00977775">
      <w:pPr>
        <w:spacing w:after="0" w:line="240" w:lineRule="auto"/>
        <w:contextualSpacing/>
        <w:jc w:val="both"/>
      </w:pPr>
      <w:r>
        <w:t>D</w:t>
      </w:r>
      <w:r w:rsidR="00CC37AD">
        <w:t xml:space="preserve">rawing from some of this research, </w:t>
      </w:r>
      <w:r w:rsidR="0067496D">
        <w:t xml:space="preserve">Human Rights Watch </w:t>
      </w:r>
      <w:r w:rsidR="00017741">
        <w:t xml:space="preserve">recently </w:t>
      </w:r>
      <w:r w:rsidR="0067496D">
        <w:t>provided the Committee with a submission</w:t>
      </w:r>
      <w:r w:rsidR="00CC37AD">
        <w:t xml:space="preserve"> during its 107</w:t>
      </w:r>
      <w:r w:rsidR="00CC37AD" w:rsidRPr="002F47E9">
        <w:rPr>
          <w:vertAlign w:val="superscript"/>
        </w:rPr>
        <w:t>th</w:t>
      </w:r>
      <w:r w:rsidR="00CC37AD">
        <w:t xml:space="preserve"> Session in August 2022</w:t>
      </w:r>
      <w:r>
        <w:t>, produced alongside</w:t>
      </w:r>
      <w:r w:rsidR="00E22562" w:rsidRPr="00E22562">
        <w:t xml:space="preserve"> colleague</w:t>
      </w:r>
      <w:r w:rsidR="00E22562">
        <w:t>s from</w:t>
      </w:r>
      <w:r>
        <w:t xml:space="preserve"> </w:t>
      </w:r>
      <w:r w:rsidRPr="008A749D">
        <w:t>Amnesty International</w:t>
      </w:r>
      <w:r>
        <w:t>, the</w:t>
      </w:r>
      <w:r w:rsidRPr="008A749D">
        <w:t xml:space="preserve"> Global Justice Center</w:t>
      </w:r>
      <w:r>
        <w:t xml:space="preserve">, and the </w:t>
      </w:r>
      <w:r w:rsidRPr="008A749D">
        <w:t>Southern Rural Black Women’s Initiative for Economic and Social Justice</w:t>
      </w:r>
      <w:r>
        <w:t>,</w:t>
      </w:r>
      <w:r w:rsidR="00E22562">
        <w:t xml:space="preserve"> </w:t>
      </w:r>
      <w:r w:rsidR="00CC37AD">
        <w:t xml:space="preserve">which </w:t>
      </w:r>
      <w:r w:rsidR="00007CE7">
        <w:t>outlined</w:t>
      </w:r>
      <w:r w:rsidR="00CC37AD">
        <w:t xml:space="preserve"> policies of the United States government </w:t>
      </w:r>
      <w:r w:rsidR="00FC6F79">
        <w:t xml:space="preserve">that </w:t>
      </w:r>
      <w:r w:rsidR="00007CE7" w:rsidRPr="00007CE7">
        <w:t>disproportionately impact the human rights</w:t>
      </w:r>
      <w:r w:rsidR="00385F53">
        <w:t xml:space="preserve"> — and particularly the right to health — </w:t>
      </w:r>
      <w:r w:rsidR="00007CE7" w:rsidRPr="00007CE7">
        <w:t xml:space="preserve">of </w:t>
      </w:r>
      <w:r w:rsidR="00385F53">
        <w:t>BIPOC women</w:t>
      </w:r>
      <w:r w:rsidR="00CB6F7C">
        <w:t xml:space="preserve"> in the country</w:t>
      </w:r>
      <w:r w:rsidR="00007CE7">
        <w:t>.</w:t>
      </w:r>
      <w:r w:rsidR="00007CE7">
        <w:rPr>
          <w:rStyle w:val="FootnoteReference"/>
        </w:rPr>
        <w:footnoteReference w:id="3"/>
      </w:r>
      <w:r w:rsidR="00D549C8">
        <w:t xml:space="preserve"> </w:t>
      </w:r>
    </w:p>
    <w:p w14:paraId="20D51086" w14:textId="77777777" w:rsidR="00977775" w:rsidRDefault="00977775" w:rsidP="00977775">
      <w:pPr>
        <w:spacing w:after="0" w:line="240" w:lineRule="auto"/>
        <w:contextualSpacing/>
        <w:jc w:val="both"/>
      </w:pPr>
    </w:p>
    <w:p w14:paraId="6B82B674" w14:textId="42AE5DDC" w:rsidR="00B342C6" w:rsidRDefault="00D0270D" w:rsidP="00D728E4">
      <w:pPr>
        <w:spacing w:after="0" w:line="240" w:lineRule="auto"/>
        <w:contextualSpacing/>
        <w:jc w:val="both"/>
      </w:pPr>
      <w:r>
        <w:t xml:space="preserve">Human Rights Watch </w:t>
      </w:r>
      <w:r w:rsidR="005575E5" w:rsidRPr="005575E5">
        <w:t>strongly support</w:t>
      </w:r>
      <w:r w:rsidR="005575E5">
        <w:t>s the Committee</w:t>
      </w:r>
      <w:r w:rsidR="00AE2DD8">
        <w:t>’s effort</w:t>
      </w:r>
      <w:r w:rsidR="005575E5">
        <w:t xml:space="preserve"> </w:t>
      </w:r>
      <w:r w:rsidRPr="00D0270D">
        <w:t>to provide clarity and guidance on</w:t>
      </w:r>
      <w:r w:rsidR="00F36279">
        <w:t xml:space="preserve"> the</w:t>
      </w:r>
      <w:r w:rsidRPr="00D0270D">
        <w:t xml:space="preserve"> obligations </w:t>
      </w:r>
      <w:r w:rsidR="008C353C" w:rsidRPr="008C353C">
        <w:t xml:space="preserve">under </w:t>
      </w:r>
      <w:r w:rsidRPr="00D0270D">
        <w:t>ICERD regarding the right to health.</w:t>
      </w:r>
      <w:r w:rsidR="00742924">
        <w:t xml:space="preserve"> </w:t>
      </w:r>
      <w:r w:rsidR="00F4655E">
        <w:t xml:space="preserve">This </w:t>
      </w:r>
      <w:r w:rsidR="005B299F">
        <w:t xml:space="preserve">submission </w:t>
      </w:r>
      <w:r w:rsidR="00F4655E">
        <w:t xml:space="preserve">aims to </w:t>
      </w:r>
      <w:r w:rsidR="00D728E4">
        <w:t xml:space="preserve">advance </w:t>
      </w:r>
      <w:r w:rsidR="00742924">
        <w:t xml:space="preserve">this effort by </w:t>
      </w:r>
      <w:r w:rsidR="00CC3D53">
        <w:t>recommending how</w:t>
      </w:r>
      <w:r w:rsidR="00742924">
        <w:t xml:space="preserve"> the Committee</w:t>
      </w:r>
      <w:r w:rsidR="00CC3D53">
        <w:t xml:space="preserve"> can</w:t>
      </w:r>
      <w:r w:rsidR="00742924">
        <w:t xml:space="preserve"> </w:t>
      </w:r>
      <w:r w:rsidR="00CC3D53">
        <w:t>clarify</w:t>
      </w:r>
      <w:r w:rsidR="00742924">
        <w:t xml:space="preserve"> and </w:t>
      </w:r>
      <w:r w:rsidR="00CC3D53">
        <w:t>elaborate</w:t>
      </w:r>
      <w:r w:rsidR="00742924">
        <w:t xml:space="preserve"> on </w:t>
      </w:r>
      <w:r w:rsidR="00E013D6">
        <w:t>specific language used in its</w:t>
      </w:r>
      <w:r w:rsidR="00D728E4">
        <w:t xml:space="preserve"> “</w:t>
      </w:r>
      <w:r w:rsidR="00D728E4" w:rsidRPr="00491E71">
        <w:t xml:space="preserve">First draft </w:t>
      </w:r>
      <w:r w:rsidR="00D728E4" w:rsidRPr="00491E71">
        <w:lastRenderedPageBreak/>
        <w:t>General recommendation No. 37 (2023) on Racial discrimination in the enjoyment of the right to healt</w:t>
      </w:r>
      <w:r w:rsidR="00D728E4">
        <w:t>h”</w:t>
      </w:r>
      <w:r w:rsidR="00D90EB8">
        <w:t xml:space="preserve"> (</w:t>
      </w:r>
      <w:r w:rsidR="00343F0A">
        <w:t>Draft GR</w:t>
      </w:r>
      <w:r w:rsidR="00D90EB8">
        <w:t xml:space="preserve"> No. 37).</w:t>
      </w:r>
      <w:r w:rsidR="00BD492F">
        <w:rPr>
          <w:rStyle w:val="FootnoteReference"/>
        </w:rPr>
        <w:footnoteReference w:id="4"/>
      </w:r>
      <w:r w:rsidR="00064EC7">
        <w:t xml:space="preserve"> </w:t>
      </w:r>
    </w:p>
    <w:p w14:paraId="62CFEE22" w14:textId="77777777" w:rsidR="00122BC5" w:rsidRDefault="00122BC5" w:rsidP="00D728E4">
      <w:pPr>
        <w:spacing w:after="0" w:line="240" w:lineRule="auto"/>
        <w:contextualSpacing/>
        <w:jc w:val="both"/>
      </w:pPr>
    </w:p>
    <w:p w14:paraId="48DA893A" w14:textId="0C2B8823" w:rsidR="00B242C4" w:rsidRDefault="008D7EEE" w:rsidP="00DE1C44">
      <w:pPr>
        <w:spacing w:after="0" w:line="240" w:lineRule="auto"/>
        <w:contextualSpacing/>
        <w:jc w:val="both"/>
      </w:pPr>
      <w:r>
        <w:t xml:space="preserve">Copied below, we have included sections of </w:t>
      </w:r>
      <w:r w:rsidR="002C418F">
        <w:t>Draft GR No. 37</w:t>
      </w:r>
      <w:r w:rsidR="007B5976">
        <w:t xml:space="preserve">, each of which are followed </w:t>
      </w:r>
      <w:r>
        <w:t>by brief</w:t>
      </w:r>
      <w:r w:rsidR="009A4C2A">
        <w:t xml:space="preserve"> </w:t>
      </w:r>
      <w:r w:rsidR="004D2D56">
        <w:t>recommendations</w:t>
      </w:r>
      <w:r w:rsidR="00CD317B">
        <w:t xml:space="preserve"> for </w:t>
      </w:r>
      <w:r w:rsidR="0088135F">
        <w:t>clarification and elaboration</w:t>
      </w:r>
      <w:r w:rsidR="00F31174">
        <w:t xml:space="preserve"> that </w:t>
      </w:r>
      <w:r w:rsidR="00410341">
        <w:t xml:space="preserve">are </w:t>
      </w:r>
      <w:r w:rsidR="0088135F">
        <w:t xml:space="preserve">based on our experience documenting human rights abuses and advocating with </w:t>
      </w:r>
      <w:r w:rsidR="0097526F" w:rsidRPr="0097526F">
        <w:t>governments</w:t>
      </w:r>
      <w:r w:rsidR="0097526F">
        <w:t xml:space="preserve"> and other parties to respect, protect, and fulfil human rights</w:t>
      </w:r>
      <w:r w:rsidR="008E6A39">
        <w:t xml:space="preserve"> </w:t>
      </w:r>
      <w:r w:rsidR="008D003A">
        <w:t>and the right to health</w:t>
      </w:r>
      <w:r w:rsidR="008E6A39">
        <w:t xml:space="preserve">, in particular. </w:t>
      </w:r>
    </w:p>
    <w:p w14:paraId="641747E3" w14:textId="77777777" w:rsidR="00B242C4" w:rsidRDefault="00B242C4" w:rsidP="00DE1C44">
      <w:pPr>
        <w:spacing w:after="0" w:line="240" w:lineRule="auto"/>
        <w:contextualSpacing/>
        <w:jc w:val="both"/>
      </w:pPr>
    </w:p>
    <w:p w14:paraId="54B7936A" w14:textId="51793AA0" w:rsidR="00B91B9F" w:rsidRPr="00B91B9F" w:rsidRDefault="00310228" w:rsidP="00DE1C44">
      <w:pPr>
        <w:spacing w:after="0" w:line="240" w:lineRule="auto"/>
        <w:contextualSpacing/>
        <w:jc w:val="both"/>
        <w:rPr>
          <w:b/>
          <w:bCs/>
          <w:u w:val="single"/>
        </w:rPr>
      </w:pPr>
      <w:r w:rsidRPr="00B91B9F">
        <w:rPr>
          <w:b/>
          <w:bCs/>
          <w:u w:val="single"/>
        </w:rPr>
        <w:t>Re</w:t>
      </w:r>
      <w:r w:rsidR="00BB098D" w:rsidRPr="00B91B9F">
        <w:rPr>
          <w:b/>
          <w:bCs/>
          <w:u w:val="single"/>
        </w:rPr>
        <w:t>commendations</w:t>
      </w:r>
      <w:r w:rsidRPr="00B91B9F">
        <w:rPr>
          <w:b/>
          <w:bCs/>
          <w:u w:val="single"/>
        </w:rPr>
        <w:t xml:space="preserve"> for Clarification and Elaboration</w:t>
      </w:r>
    </w:p>
    <w:p w14:paraId="03F3CFA6" w14:textId="7B1DBB77" w:rsidR="003844FC" w:rsidRDefault="00CF3B00" w:rsidP="00DE1C44">
      <w:pPr>
        <w:spacing w:after="0" w:line="240" w:lineRule="auto"/>
        <w:contextualSpacing/>
        <w:jc w:val="both"/>
      </w:pPr>
      <w:r>
        <w:t>T</w:t>
      </w:r>
      <w:r w:rsidR="003844FC">
        <w:t xml:space="preserve">he </w:t>
      </w:r>
      <w:r w:rsidR="00410341">
        <w:t xml:space="preserve">potential for the </w:t>
      </w:r>
      <w:r w:rsidR="00644892">
        <w:t xml:space="preserve">Committee’s </w:t>
      </w:r>
      <w:r w:rsidR="00644892" w:rsidRPr="00D8071A">
        <w:t>general recommendation on racial discrimination and the right to health</w:t>
      </w:r>
      <w:r w:rsidR="00644892">
        <w:t xml:space="preserve"> to provide clarity and guidance on the obligations under ICERD </w:t>
      </w:r>
      <w:r w:rsidR="00410341">
        <w:t xml:space="preserve">would be significantly strengthened by </w:t>
      </w:r>
      <w:r w:rsidR="00D2134A">
        <w:t>clarification</w:t>
      </w:r>
      <w:r w:rsidR="0021307E">
        <w:t xml:space="preserve"> in future drafts</w:t>
      </w:r>
      <w:r w:rsidR="00724D99">
        <w:t xml:space="preserve"> of the following provisions.</w:t>
      </w:r>
    </w:p>
    <w:p w14:paraId="44705ECF" w14:textId="241D04B9" w:rsidR="006A125E" w:rsidRDefault="006A125E" w:rsidP="00064EC7">
      <w:pPr>
        <w:spacing w:after="0" w:line="240" w:lineRule="auto"/>
        <w:contextualSpacing/>
        <w:jc w:val="both"/>
      </w:pPr>
    </w:p>
    <w:p w14:paraId="7E2DAF9F" w14:textId="14FF6743" w:rsidR="00064EC7" w:rsidRPr="005640DA" w:rsidRDefault="005640DA" w:rsidP="005640DA">
      <w:pPr>
        <w:spacing w:after="0" w:line="240" w:lineRule="auto"/>
        <w:ind w:left="720" w:right="720"/>
        <w:jc w:val="both"/>
        <w:rPr>
          <w:b/>
          <w:bCs/>
        </w:rPr>
      </w:pPr>
      <w:r w:rsidRPr="00105F7D">
        <w:rPr>
          <w:b/>
          <w:bCs/>
          <w:u w:val="single"/>
        </w:rPr>
        <w:t>II(B)(2)(a)(iii):</w:t>
      </w:r>
      <w:r w:rsidRPr="005640DA">
        <w:rPr>
          <w:b/>
          <w:bCs/>
        </w:rPr>
        <w:t xml:space="preserve"> </w:t>
      </w:r>
      <w:r w:rsidR="009E1E31" w:rsidRPr="005640DA">
        <w:rPr>
          <w:b/>
          <w:bCs/>
        </w:rPr>
        <w:t>“</w:t>
      </w:r>
      <w:r w:rsidR="00064EC7" w:rsidRPr="005640DA">
        <w:rPr>
          <w:b/>
          <w:bCs/>
        </w:rPr>
        <w:t xml:space="preserve">Failure to provide </w:t>
      </w:r>
      <w:r w:rsidR="00064EC7" w:rsidRPr="005640DA">
        <w:rPr>
          <w:b/>
          <w:bCs/>
          <w:u w:val="single"/>
        </w:rPr>
        <w:t>reasonable, proportionate and steadily progressive</w:t>
      </w:r>
      <w:r w:rsidR="00064EC7" w:rsidRPr="005640DA">
        <w:rPr>
          <w:b/>
          <w:bCs/>
        </w:rPr>
        <w:t xml:space="preserve"> availability of primary health care, hospitals, </w:t>
      </w:r>
      <w:proofErr w:type="gramStart"/>
      <w:r w:rsidR="00064EC7" w:rsidRPr="005640DA">
        <w:rPr>
          <w:b/>
          <w:bCs/>
        </w:rPr>
        <w:t>clinics</w:t>
      </w:r>
      <w:proofErr w:type="gramEnd"/>
      <w:r w:rsidR="00064EC7" w:rsidRPr="005640DA">
        <w:rPr>
          <w:b/>
          <w:bCs/>
        </w:rPr>
        <w:t xml:space="preserve"> and other health-related services, trained medical and professional personnel, and essential medicine</w:t>
      </w:r>
      <w:r w:rsidR="00D95443" w:rsidRPr="005640DA">
        <w:rPr>
          <w:b/>
          <w:bCs/>
        </w:rPr>
        <w:t xml:space="preserve">. Distribution of public health and health-care facilities, </w:t>
      </w:r>
      <w:proofErr w:type="gramStart"/>
      <w:r w:rsidR="00D95443" w:rsidRPr="005640DA">
        <w:rPr>
          <w:b/>
          <w:bCs/>
        </w:rPr>
        <w:t>goods</w:t>
      </w:r>
      <w:proofErr w:type="gramEnd"/>
      <w:r w:rsidR="00D95443" w:rsidRPr="005640DA">
        <w:rPr>
          <w:b/>
          <w:bCs/>
        </w:rPr>
        <w:t xml:space="preserve"> and services, as well as </w:t>
      </w:r>
      <w:proofErr w:type="spellStart"/>
      <w:r w:rsidR="00D95443" w:rsidRPr="005640DA">
        <w:rPr>
          <w:b/>
          <w:bCs/>
        </w:rPr>
        <w:t>programmes</w:t>
      </w:r>
      <w:proofErr w:type="spellEnd"/>
      <w:r w:rsidR="00D95443" w:rsidRPr="005640DA">
        <w:rPr>
          <w:b/>
          <w:bCs/>
        </w:rPr>
        <w:t>, are oftentimes disproportionately lacking in areas where individuals and groups protected under the Convention are spatially concentrated</w:t>
      </w:r>
      <w:r w:rsidR="00064EC7" w:rsidRPr="005640DA">
        <w:rPr>
          <w:b/>
          <w:bCs/>
        </w:rPr>
        <w:t>.”</w:t>
      </w:r>
      <w:r w:rsidR="00213F65" w:rsidRPr="005640DA">
        <w:rPr>
          <w:rStyle w:val="FootnoteReference"/>
          <w:b/>
          <w:bCs/>
        </w:rPr>
        <w:footnoteReference w:id="5"/>
      </w:r>
    </w:p>
    <w:p w14:paraId="2053739B" w14:textId="77777777" w:rsidR="00064EC7" w:rsidRDefault="00064EC7" w:rsidP="00064EC7">
      <w:pPr>
        <w:spacing w:after="0" w:line="240" w:lineRule="auto"/>
        <w:contextualSpacing/>
        <w:jc w:val="both"/>
      </w:pPr>
    </w:p>
    <w:p w14:paraId="28F1EDC8" w14:textId="37717802" w:rsidR="00842BF1" w:rsidRDefault="00A23488" w:rsidP="00CB33E6">
      <w:pPr>
        <w:spacing w:after="0" w:line="240" w:lineRule="auto"/>
        <w:contextualSpacing/>
        <w:jc w:val="both"/>
      </w:pPr>
      <w:r>
        <w:t>We</w:t>
      </w:r>
      <w:r w:rsidR="00CB45BA">
        <w:t xml:space="preserve"> </w:t>
      </w:r>
      <w:r w:rsidR="00CC449B">
        <w:t>recommend</w:t>
      </w:r>
      <w:r w:rsidR="002B0994">
        <w:t xml:space="preserve"> that the Committee provide additional language</w:t>
      </w:r>
      <w:r w:rsidR="00574A25">
        <w:t xml:space="preserve"> in future drafts</w:t>
      </w:r>
      <w:r w:rsidR="00460282">
        <w:t xml:space="preserve"> that clarifies </w:t>
      </w:r>
      <w:r w:rsidR="007B3177">
        <w:t xml:space="preserve">the meaning of </w:t>
      </w:r>
      <w:r w:rsidR="00B43667">
        <w:t>“</w:t>
      </w:r>
      <w:r w:rsidR="007B3177">
        <w:t xml:space="preserve">reasonable, </w:t>
      </w:r>
      <w:r w:rsidR="007B3177" w:rsidRPr="007B3177">
        <w:t>proportionate and steadily progressive</w:t>
      </w:r>
      <w:r w:rsidR="00B43667">
        <w:t xml:space="preserve">,” as used in </w:t>
      </w:r>
      <w:r w:rsidR="00D06F05">
        <w:t>the</w:t>
      </w:r>
      <w:r w:rsidR="00B43667">
        <w:t xml:space="preserve"> context</w:t>
      </w:r>
      <w:r w:rsidR="00D06F05">
        <w:t xml:space="preserve"> of </w:t>
      </w:r>
      <w:r w:rsidR="00D06F05" w:rsidRPr="00213F65">
        <w:t>II(B)(2)(a)(iii)</w:t>
      </w:r>
      <w:r w:rsidR="00D06F05">
        <w:t xml:space="preserve"> above</w:t>
      </w:r>
      <w:r w:rsidR="007B3177">
        <w:t xml:space="preserve">. </w:t>
      </w:r>
    </w:p>
    <w:p w14:paraId="507D11EA" w14:textId="77777777" w:rsidR="00842BF1" w:rsidRDefault="00842BF1" w:rsidP="00CB33E6">
      <w:pPr>
        <w:spacing w:after="0" w:line="240" w:lineRule="auto"/>
        <w:contextualSpacing/>
        <w:jc w:val="both"/>
      </w:pPr>
    </w:p>
    <w:p w14:paraId="32D6A006" w14:textId="418339B3" w:rsidR="00D60968" w:rsidRDefault="006F7FCF" w:rsidP="00CB33E6">
      <w:pPr>
        <w:spacing w:after="0" w:line="240" w:lineRule="auto"/>
        <w:contextualSpacing/>
        <w:jc w:val="both"/>
      </w:pPr>
      <w:r>
        <w:t>Given that the accepted standard under international human rights law</w:t>
      </w:r>
      <w:r w:rsidR="0085615B">
        <w:t xml:space="preserve"> (e.g., </w:t>
      </w:r>
      <w:r w:rsidR="00DC07E0">
        <w:t>a</w:t>
      </w:r>
      <w:r w:rsidR="0085615B">
        <w:t>rticle</w:t>
      </w:r>
      <w:r>
        <w:t xml:space="preserve"> 2.1 of the </w:t>
      </w:r>
      <w:r w:rsidR="0085615B" w:rsidRPr="00551554">
        <w:t xml:space="preserve">International Covenant on Economic, Social and Cultural Rights </w:t>
      </w:r>
      <w:r w:rsidR="0085615B">
        <w:t>(</w:t>
      </w:r>
      <w:r>
        <w:t>ICESR</w:t>
      </w:r>
      <w:r w:rsidR="0085615B">
        <w:t>)</w:t>
      </w:r>
      <w:r w:rsidR="007A08C8">
        <w:t xml:space="preserve"> and </w:t>
      </w:r>
      <w:r w:rsidR="00527284">
        <w:t>Committee on Economic, Social and Cultural Rights</w:t>
      </w:r>
      <w:r w:rsidR="007A08C8">
        <w:t xml:space="preserve"> (CESCR)</w:t>
      </w:r>
      <w:r w:rsidR="00527284">
        <w:t xml:space="preserve"> General Comment No. 3</w:t>
      </w:r>
      <w:r w:rsidR="0085615B">
        <w:t>)</w:t>
      </w:r>
      <w:r>
        <w:t xml:space="preserve"> is </w:t>
      </w:r>
      <w:r w:rsidR="00AC5126">
        <w:t xml:space="preserve">that States’ </w:t>
      </w:r>
      <w:r w:rsidR="00183E26">
        <w:t>have</w:t>
      </w:r>
      <w:r w:rsidR="0085615B">
        <w:t>, inter alia,</w:t>
      </w:r>
      <w:r w:rsidR="00183E26">
        <w:t xml:space="preserve"> an </w:t>
      </w:r>
      <w:r>
        <w:t xml:space="preserve">obligation to </w:t>
      </w:r>
      <w:r w:rsidR="00803C0E">
        <w:t>realize</w:t>
      </w:r>
      <w:r>
        <w:t xml:space="preserve"> rights “progressively</w:t>
      </w:r>
      <w:r w:rsidR="00B36A8C">
        <w:t>,</w:t>
      </w:r>
      <w:r>
        <w:t>”</w:t>
      </w:r>
      <w:r w:rsidR="00803C0E">
        <w:t xml:space="preserve"> </w:t>
      </w:r>
      <w:r w:rsidR="0015159A">
        <w:t xml:space="preserve">we would appreciate </w:t>
      </w:r>
      <w:r w:rsidR="00B67166">
        <w:t xml:space="preserve">the Committee’s </w:t>
      </w:r>
      <w:r w:rsidR="0015159A">
        <w:t>clarification about</w:t>
      </w:r>
      <w:r w:rsidR="00803C0E">
        <w:t xml:space="preserve"> what the qualifier “</w:t>
      </w:r>
      <w:r w:rsidR="008248A0">
        <w:t>steadily” add</w:t>
      </w:r>
      <w:r w:rsidR="00B54913">
        <w:t>s</w:t>
      </w:r>
      <w:r w:rsidR="00B67166">
        <w:t xml:space="preserve"> to this existing standard</w:t>
      </w:r>
      <w:r w:rsidR="00D90DC7">
        <w:t>.</w:t>
      </w:r>
      <w:r w:rsidR="0085615B">
        <w:rPr>
          <w:rStyle w:val="FootnoteReference"/>
        </w:rPr>
        <w:footnoteReference w:id="6"/>
      </w:r>
      <w:r w:rsidR="008248A0">
        <w:t xml:space="preserve"> </w:t>
      </w:r>
      <w:r w:rsidR="00582FE4">
        <w:t>W</w:t>
      </w:r>
      <w:r w:rsidR="00EC32D3">
        <w:t xml:space="preserve">e recommend that the Committee </w:t>
      </w:r>
      <w:r w:rsidR="002A07B0">
        <w:t xml:space="preserve">consider </w:t>
      </w:r>
      <w:r w:rsidR="008248A0">
        <w:t xml:space="preserve"> </w:t>
      </w:r>
      <w:r w:rsidR="00FF179F">
        <w:t xml:space="preserve">whether </w:t>
      </w:r>
      <w:r w:rsidR="00EC32D3">
        <w:t>th</w:t>
      </w:r>
      <w:r w:rsidR="002A07B0">
        <w:t>is</w:t>
      </w:r>
      <w:r w:rsidR="00EC32D3">
        <w:t xml:space="preserve"> </w:t>
      </w:r>
      <w:r w:rsidR="005A5CA8">
        <w:t>qualifier</w:t>
      </w:r>
      <w:r w:rsidR="00E10951">
        <w:t xml:space="preserve"> </w:t>
      </w:r>
      <w:r w:rsidR="008248A0">
        <w:t>strengthen</w:t>
      </w:r>
      <w:r w:rsidR="00FF179F">
        <w:t>s</w:t>
      </w:r>
      <w:r w:rsidR="008248A0">
        <w:t xml:space="preserve"> </w:t>
      </w:r>
      <w:r w:rsidR="00457FE9">
        <w:t xml:space="preserve">the </w:t>
      </w:r>
      <w:r w:rsidR="009A2A07">
        <w:t>meaning</w:t>
      </w:r>
      <w:r w:rsidR="00457FE9">
        <w:t xml:space="preserve"> of “progressive</w:t>
      </w:r>
      <w:r w:rsidR="00357397">
        <w:t>,</w:t>
      </w:r>
      <w:r w:rsidR="00457FE9">
        <w:t xml:space="preserve">” </w:t>
      </w:r>
      <w:r w:rsidR="0000242D">
        <w:t>as opposed to weakening it</w:t>
      </w:r>
      <w:r w:rsidR="00750827">
        <w:t xml:space="preserve">. Similarly, we recommend that the Committee consider </w:t>
      </w:r>
      <w:r w:rsidR="00582FE3">
        <w:t xml:space="preserve">whether </w:t>
      </w:r>
      <w:r w:rsidR="00750827">
        <w:t xml:space="preserve">the call for “reasonable” and “proportionate” availability </w:t>
      </w:r>
      <w:r w:rsidR="00F74D1C">
        <w:t>strengthens or weakens</w:t>
      </w:r>
      <w:r w:rsidR="00F904F5">
        <w:t xml:space="preserve"> the existing standard</w:t>
      </w:r>
      <w:r w:rsidR="0000242D">
        <w:t>.</w:t>
      </w:r>
      <w:r w:rsidR="00457FE9">
        <w:t xml:space="preserve"> </w:t>
      </w:r>
    </w:p>
    <w:p w14:paraId="69E3A307" w14:textId="77777777" w:rsidR="00D60968" w:rsidRDefault="00D60968" w:rsidP="00CB33E6">
      <w:pPr>
        <w:spacing w:after="0" w:line="240" w:lineRule="auto"/>
        <w:contextualSpacing/>
        <w:jc w:val="both"/>
      </w:pPr>
    </w:p>
    <w:p w14:paraId="01226B4D" w14:textId="6B5A8587" w:rsidR="004A30D3" w:rsidRDefault="00F904F5" w:rsidP="004A30D3">
      <w:pPr>
        <w:spacing w:after="0" w:line="240" w:lineRule="auto"/>
        <w:contextualSpacing/>
        <w:jc w:val="both"/>
      </w:pPr>
      <w:r>
        <w:t>W</w:t>
      </w:r>
      <w:r w:rsidR="004A30D3">
        <w:t xml:space="preserve">e also recommend that the Committee provide non-exhaustive examples of healthcare policies that would be </w:t>
      </w:r>
      <w:r w:rsidR="004A30D3" w:rsidRPr="0020477E">
        <w:t>unreasonable</w:t>
      </w:r>
      <w:r w:rsidR="004A30D3">
        <w:t>, disproportionate, and not steadily progressive. It can also clarify what bodies of law or other objective standards the Committee draw</w:t>
      </w:r>
      <w:r w:rsidR="00855481">
        <w:t xml:space="preserve">s </w:t>
      </w:r>
      <w:r w:rsidR="004A30D3">
        <w:t xml:space="preserve">upon to determine reasonableness, proportionality, and the steadily progressive nature of policies that impact healthcare availability. </w:t>
      </w:r>
    </w:p>
    <w:p w14:paraId="4AC145E5" w14:textId="6D214618" w:rsidR="1B955460" w:rsidRDefault="1B955460" w:rsidP="465EEE3C">
      <w:pPr>
        <w:spacing w:after="0" w:line="240" w:lineRule="auto"/>
        <w:contextualSpacing/>
        <w:jc w:val="both"/>
      </w:pPr>
    </w:p>
    <w:p w14:paraId="7D36BA1F" w14:textId="5CFD0171" w:rsidR="00110F0F" w:rsidRDefault="00E73ADC" w:rsidP="6CBE5749">
      <w:pPr>
        <w:spacing w:after="0" w:line="240" w:lineRule="auto"/>
        <w:contextualSpacing/>
        <w:jc w:val="both"/>
      </w:pPr>
      <w:r>
        <w:t xml:space="preserve">Additionally, </w:t>
      </w:r>
      <w:r w:rsidR="00504002">
        <w:t xml:space="preserve">we would greatly appreciate </w:t>
      </w:r>
      <w:r w:rsidR="00855481">
        <w:t xml:space="preserve">further clarification </w:t>
      </w:r>
      <w:r w:rsidR="00543573">
        <w:t xml:space="preserve">from </w:t>
      </w:r>
      <w:r w:rsidR="00B757DF">
        <w:t xml:space="preserve">the </w:t>
      </w:r>
      <w:r w:rsidR="00AD1D49">
        <w:t>Committee</w:t>
      </w:r>
      <w:r w:rsidR="00543573">
        <w:t xml:space="preserve"> </w:t>
      </w:r>
      <w:r w:rsidR="00AD1D49">
        <w:t xml:space="preserve">with respect to the </w:t>
      </w:r>
      <w:r w:rsidR="005244B6">
        <w:t>temporal</w:t>
      </w:r>
      <w:r w:rsidR="00654A5F">
        <w:t xml:space="preserve"> dimension</w:t>
      </w:r>
      <w:r w:rsidR="00AD1D49">
        <w:t xml:space="preserve"> of</w:t>
      </w:r>
      <w:r w:rsidR="005A05D0">
        <w:t xml:space="preserve"> </w:t>
      </w:r>
      <w:r w:rsidR="00A005A5">
        <w:t xml:space="preserve">the States’ </w:t>
      </w:r>
      <w:r w:rsidR="00350EEC">
        <w:t>duty to progressively realize the right</w:t>
      </w:r>
      <w:r w:rsidR="005A5A86">
        <w:t xml:space="preserve"> to health</w:t>
      </w:r>
      <w:r w:rsidR="00350EEC">
        <w:t xml:space="preserve">. </w:t>
      </w:r>
      <w:proofErr w:type="gramStart"/>
      <w:r w:rsidR="00375032">
        <w:t xml:space="preserve">In particular, </w:t>
      </w:r>
      <w:r w:rsidR="003F6929">
        <w:t>given</w:t>
      </w:r>
      <w:proofErr w:type="gramEnd"/>
      <w:r w:rsidR="003F6929">
        <w:t xml:space="preserve"> the </w:t>
      </w:r>
      <w:r w:rsidR="003F6929">
        <w:lastRenderedPageBreak/>
        <w:t xml:space="preserve">Committee’s </w:t>
      </w:r>
      <w:r w:rsidR="00682829">
        <w:t xml:space="preserve">attention to </w:t>
      </w:r>
      <w:r w:rsidR="003F6929">
        <w:t xml:space="preserve">the </w:t>
      </w:r>
      <w:r w:rsidR="00DE1667">
        <w:t xml:space="preserve">subjective </w:t>
      </w:r>
      <w:r w:rsidR="00BC4420">
        <w:t>perspectives of rights holders</w:t>
      </w:r>
      <w:r w:rsidR="00682829">
        <w:t xml:space="preserve"> throughout Draft GR No. 37</w:t>
      </w:r>
      <w:r w:rsidR="00BC4420">
        <w:t>,</w:t>
      </w:r>
      <w:r w:rsidR="00D2049B">
        <w:t xml:space="preserve"> we would </w:t>
      </w:r>
      <w:r w:rsidR="00DB0121">
        <w:t xml:space="preserve">appreciate </w:t>
      </w:r>
      <w:r w:rsidR="008E29DF">
        <w:t xml:space="preserve">any elaboration </w:t>
      </w:r>
      <w:r w:rsidR="00607F48">
        <w:t xml:space="preserve">on whether </w:t>
      </w:r>
      <w:r w:rsidR="03326F54">
        <w:t xml:space="preserve">and how </w:t>
      </w:r>
      <w:r w:rsidR="00607F48">
        <w:t xml:space="preserve">the Committee </w:t>
      </w:r>
      <w:r w:rsidR="6991718B">
        <w:t xml:space="preserve">may </w:t>
      </w:r>
      <w:r w:rsidR="00607F48">
        <w:t>consider</w:t>
      </w:r>
      <w:r w:rsidR="5F326390">
        <w:t xml:space="preserve"> </w:t>
      </w:r>
      <w:r w:rsidR="00607F48">
        <w:t xml:space="preserve">rights holders’ </w:t>
      </w:r>
      <w:r w:rsidR="00DA7EA8">
        <w:t xml:space="preserve">subjective </w:t>
      </w:r>
      <w:r w:rsidR="00607F48">
        <w:t xml:space="preserve">experience </w:t>
      </w:r>
      <w:r w:rsidR="00FC200B">
        <w:t>of</w:t>
      </w:r>
      <w:r w:rsidR="00CD105A">
        <w:t xml:space="preserve"> </w:t>
      </w:r>
      <w:r w:rsidR="00BB5FE7">
        <w:t xml:space="preserve">the </w:t>
      </w:r>
      <w:r w:rsidR="00CD105A">
        <w:t>time</w:t>
      </w:r>
      <w:r w:rsidR="009A48AC">
        <w:t xml:space="preserve"> involved in progressive realization</w:t>
      </w:r>
      <w:r w:rsidR="00CD105A">
        <w:t xml:space="preserve"> </w:t>
      </w:r>
      <w:r w:rsidR="00FD2A8B">
        <w:t>(i.e., “</w:t>
      </w:r>
      <w:r w:rsidR="009A48AC" w:rsidRPr="009A48AC">
        <w:t>waiting for rights</w:t>
      </w:r>
      <w:r w:rsidR="009A48AC">
        <w:t xml:space="preserve">”) </w:t>
      </w:r>
      <w:r w:rsidR="00066484">
        <w:t xml:space="preserve">in considering </w:t>
      </w:r>
      <w:r w:rsidR="003B1D25">
        <w:t>how States may or may not be meeting their treaty obligations.</w:t>
      </w:r>
      <w:r w:rsidR="003B1D25">
        <w:rPr>
          <w:rStyle w:val="FootnoteReference"/>
        </w:rPr>
        <w:footnoteReference w:id="7"/>
      </w:r>
    </w:p>
    <w:p w14:paraId="0B9A7DF4" w14:textId="77777777" w:rsidR="00BA0B8C" w:rsidRDefault="00BA0B8C" w:rsidP="00BA0B8C">
      <w:pPr>
        <w:spacing w:after="0" w:line="240" w:lineRule="auto"/>
        <w:ind w:right="720"/>
        <w:jc w:val="both"/>
      </w:pPr>
    </w:p>
    <w:p w14:paraId="23C1203A" w14:textId="3FC5354C" w:rsidR="004F5D4A" w:rsidRDefault="004F5D4A" w:rsidP="004F5D4A">
      <w:pPr>
        <w:spacing w:after="0" w:line="240" w:lineRule="auto"/>
        <w:ind w:left="720" w:right="720"/>
        <w:jc w:val="both"/>
        <w:rPr>
          <w:b/>
          <w:bCs/>
        </w:rPr>
      </w:pPr>
      <w:r w:rsidRPr="465EEE3C">
        <w:rPr>
          <w:b/>
          <w:bCs/>
          <w:u w:val="single"/>
        </w:rPr>
        <w:t>II(B)(2)(b):</w:t>
      </w:r>
      <w:r w:rsidRPr="465EEE3C">
        <w:rPr>
          <w:b/>
          <w:bCs/>
        </w:rPr>
        <w:t xml:space="preserve"> “Structural racial discrimination nullifies or restricts disproportionately access of groups within the purview of the Convention to public health, healthcare facilities, services, and goods. Under the reporting procedure, the Committee has found that high number[s] of persons belonging to groups within the purview of the Convention do not have access to stable and </w:t>
      </w:r>
      <w:r w:rsidRPr="465EEE3C">
        <w:rPr>
          <w:b/>
          <w:bCs/>
          <w:u w:val="single"/>
        </w:rPr>
        <w:t>affordable health care</w:t>
      </w:r>
      <w:r w:rsidR="0067294C" w:rsidRPr="465EEE3C">
        <w:rPr>
          <w:b/>
          <w:bCs/>
        </w:rPr>
        <w:t>.</w:t>
      </w:r>
      <w:r w:rsidRPr="465EEE3C">
        <w:rPr>
          <w:b/>
          <w:bCs/>
        </w:rPr>
        <w:t>”</w:t>
      </w:r>
    </w:p>
    <w:p w14:paraId="29EA5174" w14:textId="77777777" w:rsidR="0067294C" w:rsidRDefault="0067294C" w:rsidP="0067294C">
      <w:pPr>
        <w:spacing w:after="0" w:line="240" w:lineRule="auto"/>
        <w:ind w:right="720"/>
        <w:jc w:val="both"/>
      </w:pPr>
    </w:p>
    <w:p w14:paraId="0237C928" w14:textId="77777777" w:rsidR="007378C9" w:rsidRDefault="0067294C" w:rsidP="0067294C">
      <w:pPr>
        <w:spacing w:after="0" w:line="240" w:lineRule="auto"/>
        <w:contextualSpacing/>
        <w:jc w:val="both"/>
      </w:pPr>
      <w:r>
        <w:t xml:space="preserve">We recommend that the Committee provide additional language in future drafts that clarifies the meaning of </w:t>
      </w:r>
      <w:r w:rsidR="00F73EB5">
        <w:t>“affordable health care</w:t>
      </w:r>
      <w:r>
        <w:t xml:space="preserve">” </w:t>
      </w:r>
      <w:r w:rsidRPr="00D06F05">
        <w:t xml:space="preserve">as used in </w:t>
      </w:r>
      <w:r>
        <w:t>the</w:t>
      </w:r>
      <w:r w:rsidRPr="00D06F05">
        <w:t xml:space="preserve"> context</w:t>
      </w:r>
      <w:r>
        <w:t xml:space="preserve"> of </w:t>
      </w:r>
      <w:r w:rsidRPr="00D06F05">
        <w:t xml:space="preserve">II(B)(2)(b) </w:t>
      </w:r>
      <w:r>
        <w:t xml:space="preserve">above. </w:t>
      </w:r>
    </w:p>
    <w:p w14:paraId="1BA0B777" w14:textId="77777777" w:rsidR="007378C9" w:rsidRDefault="007378C9" w:rsidP="0067294C">
      <w:pPr>
        <w:spacing w:after="0" w:line="240" w:lineRule="auto"/>
        <w:contextualSpacing/>
        <w:jc w:val="both"/>
      </w:pPr>
    </w:p>
    <w:p w14:paraId="24BA4AFA" w14:textId="4693A2B2" w:rsidR="004806EC" w:rsidRDefault="004E1146" w:rsidP="004E6D2C">
      <w:pPr>
        <w:spacing w:after="0" w:line="240" w:lineRule="auto"/>
        <w:contextualSpacing/>
        <w:jc w:val="both"/>
      </w:pPr>
      <w:proofErr w:type="gramStart"/>
      <w:r>
        <w:t>In particular, we</w:t>
      </w:r>
      <w:proofErr w:type="gramEnd"/>
      <w:r>
        <w:t xml:space="preserve"> would appreciate the Committee’s clarification</w:t>
      </w:r>
      <w:r w:rsidR="00B12ACF">
        <w:t xml:space="preserve"> of whether</w:t>
      </w:r>
      <w:r w:rsidR="6D4B7E90">
        <w:t>,</w:t>
      </w:r>
      <w:r>
        <w:t xml:space="preserve"> </w:t>
      </w:r>
      <w:r w:rsidR="007459C9">
        <w:t>and if so when</w:t>
      </w:r>
      <w:r w:rsidR="2A90DE24">
        <w:t>,</w:t>
      </w:r>
      <w:r w:rsidR="007459C9">
        <w:t xml:space="preserve"> </w:t>
      </w:r>
      <w:r w:rsidR="00874CF8">
        <w:t xml:space="preserve">the </w:t>
      </w:r>
      <w:r>
        <w:t xml:space="preserve">affordability </w:t>
      </w:r>
      <w:r w:rsidR="00874CF8">
        <w:t xml:space="preserve">of health care </w:t>
      </w:r>
      <w:r>
        <w:t xml:space="preserve">under ICERD </w:t>
      </w:r>
      <w:r w:rsidR="2CBF7DCA">
        <w:t>requires that</w:t>
      </w:r>
      <w:r>
        <w:t xml:space="preserve"> healthcare goods and services </w:t>
      </w:r>
      <w:r w:rsidR="00234069">
        <w:t>be freely available.</w:t>
      </w:r>
      <w:r w:rsidR="00CE059C">
        <w:t xml:space="preserve"> For example, during the Covid-19 pandemic, vaccines were often distributed at no cost and treated as global public goods</w:t>
      </w:r>
      <w:r w:rsidR="004B3F38">
        <w:t>,</w:t>
      </w:r>
      <w:r w:rsidR="00133E98">
        <w:t xml:space="preserve"> </w:t>
      </w:r>
      <w:r w:rsidR="00F34088">
        <w:t>a precedent</w:t>
      </w:r>
      <w:r w:rsidR="00133E98">
        <w:t xml:space="preserve"> </w:t>
      </w:r>
      <w:r w:rsidR="00F45CBC">
        <w:t xml:space="preserve">which </w:t>
      </w:r>
      <w:r w:rsidR="00F34088">
        <w:t>re</w:t>
      </w:r>
      <w:r w:rsidR="004E6D2C">
        <w:t xml:space="preserve">cognized that the </w:t>
      </w:r>
      <w:r w:rsidR="00CE059C">
        <w:t>right to health</w:t>
      </w:r>
      <w:r w:rsidR="00F01763">
        <w:t xml:space="preserve">, particularly for socially and economically marginalized </w:t>
      </w:r>
      <w:r w:rsidR="00002C2C">
        <w:t>populations, sometimes</w:t>
      </w:r>
      <w:r w:rsidR="004E6D2C">
        <w:t xml:space="preserve"> require</w:t>
      </w:r>
      <w:r w:rsidR="00002C2C">
        <w:t xml:space="preserve">d the provision of </w:t>
      </w:r>
      <w:r w:rsidR="004E6D2C">
        <w:t>free health care</w:t>
      </w:r>
      <w:r w:rsidR="00CE059C">
        <w:t xml:space="preserve">. </w:t>
      </w:r>
    </w:p>
    <w:p w14:paraId="18AB0E83" w14:textId="012DDEEF" w:rsidR="004806EC" w:rsidRDefault="004806EC" w:rsidP="004E6D2C">
      <w:pPr>
        <w:spacing w:after="0" w:line="240" w:lineRule="auto"/>
        <w:contextualSpacing/>
        <w:jc w:val="both"/>
      </w:pPr>
    </w:p>
    <w:p w14:paraId="27850D22" w14:textId="4790460A" w:rsidR="004806EC" w:rsidRDefault="00002C2C" w:rsidP="004E6D2C">
      <w:pPr>
        <w:spacing w:after="0" w:line="240" w:lineRule="auto"/>
        <w:contextualSpacing/>
        <w:jc w:val="both"/>
      </w:pPr>
      <w:r>
        <w:t>As such, we would w</w:t>
      </w:r>
      <w:r w:rsidR="0055167F">
        <w:t xml:space="preserve">elcome the Committee’s </w:t>
      </w:r>
      <w:r>
        <w:t xml:space="preserve">elaboration </w:t>
      </w:r>
      <w:r w:rsidR="004C07FF">
        <w:t>o</w:t>
      </w:r>
      <w:r w:rsidR="00056213">
        <w:t xml:space="preserve">n the circumstances under which </w:t>
      </w:r>
      <w:r w:rsidR="000F2E38">
        <w:t xml:space="preserve">effective </w:t>
      </w:r>
      <w:r w:rsidR="00056213">
        <w:t xml:space="preserve">access to health care </w:t>
      </w:r>
      <w:r w:rsidR="000F2E38">
        <w:t xml:space="preserve">requires that </w:t>
      </w:r>
      <w:r w:rsidR="006647B3">
        <w:t xml:space="preserve">health goods and services be </w:t>
      </w:r>
      <w:r w:rsidR="00056213">
        <w:t>free</w:t>
      </w:r>
      <w:r w:rsidR="006647B3">
        <w:t xml:space="preserve"> to users </w:t>
      </w:r>
      <w:r w:rsidR="00056213">
        <w:t>rather than</w:t>
      </w:r>
      <w:r w:rsidR="006647B3">
        <w:t xml:space="preserve"> provided at </w:t>
      </w:r>
      <w:r w:rsidR="00FD79D0">
        <w:t>reduced cost</w:t>
      </w:r>
      <w:r w:rsidR="00056213">
        <w:t>.</w:t>
      </w:r>
      <w:r w:rsidR="00C647F9">
        <w:t xml:space="preserve"> </w:t>
      </w:r>
    </w:p>
    <w:p w14:paraId="29205C95" w14:textId="77777777" w:rsidR="004F5D4A" w:rsidRDefault="004F5D4A" w:rsidP="00BA0B8C">
      <w:pPr>
        <w:spacing w:after="0" w:line="240" w:lineRule="auto"/>
        <w:ind w:right="720"/>
        <w:jc w:val="both"/>
      </w:pPr>
    </w:p>
    <w:p w14:paraId="4C4C1F99" w14:textId="66A6B02C" w:rsidR="00064EC7" w:rsidRPr="005640DA" w:rsidRDefault="005640DA" w:rsidP="005640DA">
      <w:pPr>
        <w:pStyle w:val="ListParagraph"/>
        <w:spacing w:after="0" w:line="240" w:lineRule="auto"/>
        <w:ind w:right="720"/>
        <w:jc w:val="both"/>
        <w:rPr>
          <w:b/>
          <w:bCs/>
        </w:rPr>
      </w:pPr>
      <w:r w:rsidRPr="00105F7D">
        <w:rPr>
          <w:b/>
          <w:bCs/>
          <w:u w:val="single"/>
        </w:rPr>
        <w:t>II(B)(2)(b)-(b)(iii):</w:t>
      </w:r>
      <w:r w:rsidR="00061D67">
        <w:rPr>
          <w:b/>
          <w:bCs/>
        </w:rPr>
        <w:t xml:space="preserve"> </w:t>
      </w:r>
      <w:r w:rsidR="00064EC7" w:rsidRPr="005640DA">
        <w:rPr>
          <w:b/>
          <w:bCs/>
        </w:rPr>
        <w:t>“</w:t>
      </w:r>
      <w:r w:rsidR="0025117C" w:rsidRPr="005640DA">
        <w:rPr>
          <w:b/>
          <w:bCs/>
        </w:rPr>
        <w:t>Under the reporting procedure, the Committee has found that high number</w:t>
      </w:r>
      <w:r w:rsidR="00061D67">
        <w:rPr>
          <w:b/>
          <w:bCs/>
        </w:rPr>
        <w:t>[s]</w:t>
      </w:r>
      <w:r w:rsidR="0025117C" w:rsidRPr="005640DA">
        <w:rPr>
          <w:b/>
          <w:bCs/>
        </w:rPr>
        <w:t xml:space="preserve"> of persons belonging to groups within the purview of the Convention do not have access to stable and affordable health care. </w:t>
      </w:r>
      <w:proofErr w:type="gramStart"/>
      <w:r w:rsidR="0025117C" w:rsidRPr="005640DA">
        <w:rPr>
          <w:b/>
          <w:bCs/>
        </w:rPr>
        <w:t>A number of</w:t>
      </w:r>
      <w:proofErr w:type="gramEnd"/>
      <w:r w:rsidR="0025117C" w:rsidRPr="005640DA">
        <w:rPr>
          <w:b/>
          <w:bCs/>
        </w:rPr>
        <w:t xml:space="preserve"> causes, acts and omissions, lead to this outcome … </w:t>
      </w:r>
      <w:r w:rsidR="000D4E64" w:rsidRPr="005640DA">
        <w:rPr>
          <w:b/>
          <w:bCs/>
        </w:rPr>
        <w:t xml:space="preserve">(iii) </w:t>
      </w:r>
      <w:r w:rsidR="00064EC7" w:rsidRPr="007614E9">
        <w:rPr>
          <w:b/>
          <w:u w:val="single"/>
        </w:rPr>
        <w:t>Disproportionately unequal coverage</w:t>
      </w:r>
      <w:r w:rsidR="00064EC7" w:rsidRPr="005640DA">
        <w:rPr>
          <w:b/>
          <w:bCs/>
        </w:rPr>
        <w:t xml:space="preserve"> due to </w:t>
      </w:r>
      <w:r w:rsidR="00064EC7" w:rsidRPr="005640DA">
        <w:rPr>
          <w:b/>
          <w:bCs/>
          <w:u w:val="single"/>
        </w:rPr>
        <w:t>discrepancies of distribution</w:t>
      </w:r>
      <w:r w:rsidR="00064EC7" w:rsidRPr="005640DA">
        <w:rPr>
          <w:b/>
          <w:bCs/>
        </w:rPr>
        <w:t xml:space="preserve"> of resources within the State</w:t>
      </w:r>
      <w:r w:rsidR="00D333B0" w:rsidRPr="005640DA">
        <w:rPr>
          <w:b/>
          <w:bCs/>
        </w:rPr>
        <w:t>.</w:t>
      </w:r>
      <w:r w:rsidR="00064EC7" w:rsidRPr="005640DA">
        <w:rPr>
          <w:b/>
          <w:bCs/>
        </w:rPr>
        <w:t>”</w:t>
      </w:r>
      <w:r w:rsidR="000D773C" w:rsidRPr="005640DA">
        <w:rPr>
          <w:rStyle w:val="FootnoteReference"/>
          <w:b/>
          <w:bCs/>
        </w:rPr>
        <w:footnoteReference w:id="8"/>
      </w:r>
    </w:p>
    <w:p w14:paraId="18C42DC8" w14:textId="77777777" w:rsidR="00A0633E" w:rsidRDefault="00A0633E" w:rsidP="00A0633E">
      <w:pPr>
        <w:spacing w:after="0" w:line="240" w:lineRule="auto"/>
        <w:contextualSpacing/>
        <w:jc w:val="both"/>
      </w:pPr>
    </w:p>
    <w:p w14:paraId="4890EF0A" w14:textId="5AC1C1A5" w:rsidR="007614E9" w:rsidRDefault="00056213" w:rsidP="00A0633E">
      <w:pPr>
        <w:spacing w:after="0" w:line="240" w:lineRule="auto"/>
        <w:contextualSpacing/>
        <w:jc w:val="both"/>
      </w:pPr>
      <w:r>
        <w:t>W</w:t>
      </w:r>
      <w:r w:rsidR="00737504">
        <w:t xml:space="preserve">e strongly support the Committee’s clarification that “discrepancies of distribution” </w:t>
      </w:r>
      <w:r w:rsidR="00447389">
        <w:t xml:space="preserve">can be </w:t>
      </w:r>
      <w:r w:rsidR="00A929AA">
        <w:t xml:space="preserve">the cause of </w:t>
      </w:r>
      <w:r w:rsidR="00737504">
        <w:t xml:space="preserve">a States’ failure to ensure healthcare access in a manner consistent with </w:t>
      </w:r>
      <w:r w:rsidR="00E86E3E">
        <w:t>its</w:t>
      </w:r>
      <w:r w:rsidR="00737504">
        <w:t xml:space="preserve"> treaty obligations under ICERD.</w:t>
      </w:r>
      <w:r w:rsidR="00857E45">
        <w:t xml:space="preserve"> However, w</w:t>
      </w:r>
      <w:r w:rsidR="00D06F05">
        <w:t xml:space="preserve">e </w:t>
      </w:r>
      <w:r w:rsidR="005A2637">
        <w:t>recommend</w:t>
      </w:r>
      <w:r w:rsidR="00D06F05">
        <w:t xml:space="preserve"> that the Committee provide additional language in future drafts that clarifies the meaning</w:t>
      </w:r>
      <w:r w:rsidR="007614E9">
        <w:t>s</w:t>
      </w:r>
      <w:r w:rsidR="00D06F05">
        <w:t xml:space="preserve"> of</w:t>
      </w:r>
      <w:r w:rsidR="007614E9">
        <w:t xml:space="preserve"> both “disproportionately unequal coverage” and</w:t>
      </w:r>
      <w:r w:rsidR="00D06F05">
        <w:t xml:space="preserve"> “</w:t>
      </w:r>
      <w:r w:rsidR="00D06F05" w:rsidRPr="00D06F05">
        <w:t>discrepancies</w:t>
      </w:r>
      <w:r w:rsidR="001A3D9A">
        <w:t xml:space="preserve"> of distribution</w:t>
      </w:r>
      <w:r w:rsidR="00D06F05">
        <w:t>,</w:t>
      </w:r>
      <w:r w:rsidR="00D06F05" w:rsidRPr="00D06F05">
        <w:t xml:space="preserve">” as used in </w:t>
      </w:r>
      <w:r w:rsidR="000D3CE4">
        <w:t>the</w:t>
      </w:r>
      <w:r w:rsidR="00D06F05" w:rsidRPr="00D06F05">
        <w:t xml:space="preserve"> context</w:t>
      </w:r>
      <w:r w:rsidR="00D06F05">
        <w:t xml:space="preserve"> of </w:t>
      </w:r>
      <w:r w:rsidR="00D06F05" w:rsidRPr="00D06F05">
        <w:t xml:space="preserve">II(B)(2)(b)(iii) </w:t>
      </w:r>
      <w:r w:rsidR="00D06F05">
        <w:t xml:space="preserve">above. </w:t>
      </w:r>
    </w:p>
    <w:p w14:paraId="34AF581D" w14:textId="77777777" w:rsidR="00A66843" w:rsidRDefault="00A66843" w:rsidP="00A0633E">
      <w:pPr>
        <w:spacing w:after="0" w:line="240" w:lineRule="auto"/>
        <w:contextualSpacing/>
        <w:jc w:val="both"/>
      </w:pPr>
    </w:p>
    <w:p w14:paraId="3AD99BDE" w14:textId="674492F2" w:rsidR="00A66843" w:rsidRDefault="00A66843" w:rsidP="00E96189">
      <w:pPr>
        <w:spacing w:after="0" w:line="240" w:lineRule="auto"/>
        <w:contextualSpacing/>
        <w:jc w:val="both"/>
      </w:pPr>
      <w:r>
        <w:t>Regarding “disproportionately unequal coverage</w:t>
      </w:r>
      <w:r w:rsidR="00EB6E26">
        <w:t xml:space="preserve">,” we would appreciate </w:t>
      </w:r>
      <w:r w:rsidR="00E16ABB">
        <w:t xml:space="preserve">the Committee’s </w:t>
      </w:r>
      <w:r w:rsidR="00B120DB">
        <w:t>clarificat</w:t>
      </w:r>
      <w:r w:rsidR="00502AD6">
        <w:t xml:space="preserve">ion of whether and how </w:t>
      </w:r>
      <w:r w:rsidR="001E7B31">
        <w:t xml:space="preserve">it </w:t>
      </w:r>
      <w:r w:rsidR="00502AD6">
        <w:t xml:space="preserve">may </w:t>
      </w:r>
      <w:r w:rsidR="001E7B31">
        <w:t xml:space="preserve">ever </w:t>
      </w:r>
      <w:r w:rsidR="00502AD6">
        <w:t>consider</w:t>
      </w:r>
      <w:r w:rsidR="005C6BEE">
        <w:t xml:space="preserve"> the</w:t>
      </w:r>
      <w:r w:rsidR="00502AD6">
        <w:t xml:space="preserve"> </w:t>
      </w:r>
      <w:r w:rsidR="001E7B31">
        <w:t>“</w:t>
      </w:r>
      <w:r w:rsidR="00502AD6">
        <w:t>unequal coverage</w:t>
      </w:r>
      <w:r w:rsidR="001E7B31">
        <w:t xml:space="preserve">” </w:t>
      </w:r>
      <w:r w:rsidR="009178ED">
        <w:t>“due to disc</w:t>
      </w:r>
      <w:r w:rsidR="00660477">
        <w:t xml:space="preserve">repancies of distribution of resources” between </w:t>
      </w:r>
      <w:r w:rsidR="005C6BEE">
        <w:t xml:space="preserve">individuals and communities protected by the Convention to be proportionate. </w:t>
      </w:r>
      <w:r w:rsidR="00D95EC8">
        <w:t>If, however,</w:t>
      </w:r>
      <w:r w:rsidR="007B1DD9">
        <w:t xml:space="preserve"> </w:t>
      </w:r>
      <w:r w:rsidR="00EF26F0">
        <w:t xml:space="preserve">the Committee considers </w:t>
      </w:r>
      <w:r w:rsidR="007B1DD9">
        <w:t xml:space="preserve">"unequal coverage” due to “discrepancies of distribution” </w:t>
      </w:r>
      <w:r w:rsidR="002033A2">
        <w:t xml:space="preserve">unacceptable </w:t>
      </w:r>
      <w:r w:rsidR="00515C1C">
        <w:t xml:space="preserve">under ICERD, </w:t>
      </w:r>
      <w:r w:rsidR="00DF7C3C">
        <w:t xml:space="preserve">we recommend that the Committee remove the qualifier “disproportionately.” </w:t>
      </w:r>
    </w:p>
    <w:p w14:paraId="4A935975" w14:textId="77777777" w:rsidR="00A66843" w:rsidRDefault="00A66843" w:rsidP="00E96189">
      <w:pPr>
        <w:spacing w:after="0" w:line="240" w:lineRule="auto"/>
        <w:contextualSpacing/>
        <w:jc w:val="both"/>
      </w:pPr>
    </w:p>
    <w:p w14:paraId="7AA14175" w14:textId="4334D9FC" w:rsidR="00DE7804" w:rsidRDefault="00A66843" w:rsidP="00A0633E">
      <w:pPr>
        <w:spacing w:after="0" w:line="240" w:lineRule="auto"/>
        <w:contextualSpacing/>
        <w:jc w:val="both"/>
      </w:pPr>
      <w:r>
        <w:lastRenderedPageBreak/>
        <w:t>R</w:t>
      </w:r>
      <w:r w:rsidR="00B54602">
        <w:t>egarding “discrepancies of distribution,” a</w:t>
      </w:r>
      <w:r w:rsidR="00E96189">
        <w:t>lthough</w:t>
      </w:r>
      <w:r w:rsidR="00C86C53">
        <w:t xml:space="preserve"> the Committee includes a footnote to this </w:t>
      </w:r>
      <w:r w:rsidR="004D5A11">
        <w:t>paragraph</w:t>
      </w:r>
      <w:r w:rsidR="00C86C53">
        <w:t xml:space="preserve"> cit</w:t>
      </w:r>
      <w:r w:rsidR="0073655B">
        <w:t>ing</w:t>
      </w:r>
      <w:r w:rsidR="00C86C53">
        <w:t xml:space="preserve"> to CERD’s</w:t>
      </w:r>
      <w:r w:rsidR="004D5A11">
        <w:t xml:space="preserve"> 2022 concluding observations on Brazil</w:t>
      </w:r>
      <w:r w:rsidR="00A8642C">
        <w:t xml:space="preserve">, this document does </w:t>
      </w:r>
      <w:r w:rsidR="003156F3">
        <w:t xml:space="preserve">not use </w:t>
      </w:r>
      <w:r w:rsidR="00EC3249">
        <w:t>this standard</w:t>
      </w:r>
      <w:r w:rsidR="00B54602">
        <w:t>.</w:t>
      </w:r>
      <w:r w:rsidR="00EC3249">
        <w:rPr>
          <w:rStyle w:val="FootnoteReference"/>
        </w:rPr>
        <w:footnoteReference w:id="9"/>
      </w:r>
      <w:r w:rsidR="001B43A7">
        <w:t xml:space="preserve"> </w:t>
      </w:r>
      <w:r w:rsidR="00284827">
        <w:t>Instead,</w:t>
      </w:r>
      <w:r w:rsidR="00EC3249">
        <w:t xml:space="preserve"> it</w:t>
      </w:r>
      <w:r w:rsidR="003156F3">
        <w:t xml:space="preserve"> discuss</w:t>
      </w:r>
      <w:r w:rsidR="00EC3249">
        <w:t>es</w:t>
      </w:r>
      <w:r w:rsidR="003156F3">
        <w:t xml:space="preserve"> </w:t>
      </w:r>
      <w:r w:rsidR="003156F3" w:rsidRPr="00064EC7">
        <w:t xml:space="preserve">“inadequate funding to implement policies” and </w:t>
      </w:r>
      <w:r w:rsidR="008C1809">
        <w:t>the need to “</w:t>
      </w:r>
      <w:r w:rsidR="008C1809" w:rsidRPr="008C1809">
        <w:t>prioritize vaccine distribution to indigenous communities</w:t>
      </w:r>
      <w:r w:rsidR="008C1809">
        <w:t>.”</w:t>
      </w:r>
      <w:r w:rsidR="004D5A11">
        <w:rPr>
          <w:rStyle w:val="FootnoteReference"/>
        </w:rPr>
        <w:footnoteReference w:id="10"/>
      </w:r>
      <w:r w:rsidR="00895030">
        <w:t xml:space="preserve"> </w:t>
      </w:r>
      <w:r w:rsidR="00D60968">
        <w:t>As such</w:t>
      </w:r>
      <w:r w:rsidR="00895030">
        <w:t xml:space="preserve">, we would appreciate additional clarification </w:t>
      </w:r>
      <w:r w:rsidR="00ED1D0D">
        <w:t>about</w:t>
      </w:r>
      <w:r w:rsidR="00895030">
        <w:t xml:space="preserve"> what </w:t>
      </w:r>
      <w:r w:rsidR="00ED1D0D">
        <w:t xml:space="preserve">the Committee </w:t>
      </w:r>
      <w:r w:rsidR="00895030">
        <w:t>may or may not</w:t>
      </w:r>
      <w:r w:rsidR="00ED1D0D">
        <w:t xml:space="preserve"> consider to</w:t>
      </w:r>
      <w:r w:rsidR="00895030">
        <w:t xml:space="preserve"> constitute a </w:t>
      </w:r>
      <w:r w:rsidR="00ED1D0D">
        <w:t>“</w:t>
      </w:r>
      <w:r w:rsidR="00895030">
        <w:t>discrepancy of distribution</w:t>
      </w:r>
      <w:r w:rsidR="00ED1D0D">
        <w:t>”</w:t>
      </w:r>
      <w:r w:rsidR="00895030">
        <w:t xml:space="preserve"> </w:t>
      </w:r>
      <w:r w:rsidR="008C1809">
        <w:t xml:space="preserve">that produces </w:t>
      </w:r>
      <w:r w:rsidR="00ED1D0D">
        <w:t>r</w:t>
      </w:r>
      <w:r w:rsidR="00ED1D0D" w:rsidRPr="00ED1D0D">
        <w:t>acial discrimination in physical, affordable, and information accessibilit</w:t>
      </w:r>
      <w:r w:rsidR="00FC3C99">
        <w:t xml:space="preserve">y to health care. </w:t>
      </w:r>
      <w:r w:rsidR="008C1809">
        <w:t xml:space="preserve">For example, the committee </w:t>
      </w:r>
      <w:r w:rsidR="008C1809" w:rsidRPr="008C1809">
        <w:t xml:space="preserve">could provide </w:t>
      </w:r>
      <w:r w:rsidR="008C1809">
        <w:t xml:space="preserve">additional, </w:t>
      </w:r>
      <w:r w:rsidR="008C1809" w:rsidRPr="008C1809">
        <w:t xml:space="preserve">non-exhaustive examples of </w:t>
      </w:r>
      <w:r w:rsidR="008C1809">
        <w:t>such</w:t>
      </w:r>
      <w:r w:rsidR="008C1809" w:rsidRPr="008C1809">
        <w:t xml:space="preserve"> policies</w:t>
      </w:r>
      <w:r w:rsidR="00AC3C8B">
        <w:t>,</w:t>
      </w:r>
      <w:r w:rsidR="008C1809">
        <w:t xml:space="preserve"> </w:t>
      </w:r>
      <w:r w:rsidR="000A485F">
        <w:t>an explanatory parenthetical to the existing footnote</w:t>
      </w:r>
      <w:r w:rsidR="00AC3C8B">
        <w:t xml:space="preserve">, or additional information about quantitative metrics that can help establish discrepancies inconsistent with the </w:t>
      </w:r>
      <w:r w:rsidR="00435370">
        <w:t xml:space="preserve">Convention. </w:t>
      </w:r>
    </w:p>
    <w:p w14:paraId="59300549" w14:textId="77777777" w:rsidR="00A0633E" w:rsidRDefault="00A0633E" w:rsidP="00A0633E">
      <w:pPr>
        <w:spacing w:after="0" w:line="240" w:lineRule="auto"/>
        <w:contextualSpacing/>
        <w:jc w:val="both"/>
      </w:pPr>
    </w:p>
    <w:p w14:paraId="02000667" w14:textId="748D2128" w:rsidR="00064EC7" w:rsidRPr="00F71C2D" w:rsidRDefault="00F71C2D" w:rsidP="00F71C2D">
      <w:pPr>
        <w:spacing w:after="0" w:line="240" w:lineRule="auto"/>
        <w:ind w:left="720" w:right="720"/>
        <w:jc w:val="both"/>
        <w:rPr>
          <w:b/>
          <w:bCs/>
        </w:rPr>
      </w:pPr>
      <w:r w:rsidRPr="00F71C2D">
        <w:rPr>
          <w:b/>
          <w:bCs/>
          <w:u w:val="single"/>
        </w:rPr>
        <w:t>II(B)(2)(b)</w:t>
      </w:r>
      <w:r w:rsidR="0067294C">
        <w:rPr>
          <w:b/>
          <w:bCs/>
          <w:u w:val="single"/>
        </w:rPr>
        <w:t>-(b</w:t>
      </w:r>
      <w:r w:rsidRPr="00F71C2D">
        <w:rPr>
          <w:b/>
          <w:bCs/>
          <w:u w:val="single"/>
        </w:rPr>
        <w:t>)(v):</w:t>
      </w:r>
      <w:r w:rsidRPr="00F71C2D">
        <w:rPr>
          <w:b/>
          <w:bCs/>
        </w:rPr>
        <w:t xml:space="preserve"> </w:t>
      </w:r>
      <w:r w:rsidR="00064EC7" w:rsidRPr="00F71C2D">
        <w:rPr>
          <w:b/>
          <w:bCs/>
        </w:rPr>
        <w:t>“</w:t>
      </w:r>
      <w:r w:rsidR="00E83618" w:rsidRPr="005640DA">
        <w:rPr>
          <w:b/>
          <w:bCs/>
        </w:rPr>
        <w:t>Under the reporting procedure, the Committee has found that high number</w:t>
      </w:r>
      <w:r w:rsidR="00E83618">
        <w:rPr>
          <w:b/>
          <w:bCs/>
        </w:rPr>
        <w:t>[s]</w:t>
      </w:r>
      <w:r w:rsidR="00E83618" w:rsidRPr="005640DA">
        <w:rPr>
          <w:b/>
          <w:bCs/>
        </w:rPr>
        <w:t xml:space="preserve"> of persons belonging to groups within the purview of the Convention do not have access to stable and affordable health care. A number of causes, acts and omissions, lead to this outcome … </w:t>
      </w:r>
      <w:r w:rsidR="00E83618">
        <w:rPr>
          <w:b/>
          <w:bCs/>
        </w:rPr>
        <w:t xml:space="preserve">(v) </w:t>
      </w:r>
      <w:proofErr w:type="spellStart"/>
      <w:r w:rsidR="00B4351D" w:rsidRPr="00E83618">
        <w:rPr>
          <w:b/>
          <w:bCs/>
          <w:u w:val="single"/>
        </w:rPr>
        <w:t>Privatisation</w:t>
      </w:r>
      <w:proofErr w:type="spellEnd"/>
      <w:r w:rsidR="00B4351D" w:rsidRPr="00E83618">
        <w:rPr>
          <w:b/>
          <w:bCs/>
          <w:u w:val="single"/>
        </w:rPr>
        <w:t xml:space="preserve"> and </w:t>
      </w:r>
      <w:proofErr w:type="spellStart"/>
      <w:r w:rsidR="00B4351D" w:rsidRPr="00E83618">
        <w:rPr>
          <w:b/>
          <w:bCs/>
          <w:u w:val="single"/>
        </w:rPr>
        <w:t>commercialisation</w:t>
      </w:r>
      <w:proofErr w:type="spellEnd"/>
      <w:r w:rsidR="00B4351D" w:rsidRPr="00B4351D">
        <w:rPr>
          <w:b/>
          <w:bCs/>
        </w:rPr>
        <w:t xml:space="preserve"> </w:t>
      </w:r>
      <w:r w:rsidR="00B4351D" w:rsidRPr="00E83618">
        <w:rPr>
          <w:b/>
          <w:bCs/>
          <w:u w:val="single"/>
        </w:rPr>
        <w:t>without due regard to accessibility in practice</w:t>
      </w:r>
      <w:r w:rsidR="00B4351D" w:rsidRPr="00B4351D">
        <w:rPr>
          <w:b/>
          <w:bCs/>
        </w:rPr>
        <w:t xml:space="preserve"> by persons subject to racial discrimination, including undocumented pregnant women</w:t>
      </w:r>
      <w:proofErr w:type="gramStart"/>
      <w:r w:rsidR="00064EC7" w:rsidRPr="00F71C2D">
        <w:rPr>
          <w:b/>
          <w:bCs/>
        </w:rPr>
        <w:t>… ”</w:t>
      </w:r>
      <w:proofErr w:type="gramEnd"/>
      <w:r w:rsidR="008B1FEC" w:rsidRPr="00F71C2D">
        <w:rPr>
          <w:rStyle w:val="FootnoteReference"/>
          <w:b/>
          <w:bCs/>
        </w:rPr>
        <w:footnoteReference w:id="11"/>
      </w:r>
    </w:p>
    <w:p w14:paraId="79805499" w14:textId="77777777" w:rsidR="00A0633E" w:rsidRDefault="00A0633E" w:rsidP="00A0633E">
      <w:pPr>
        <w:spacing w:after="0" w:line="240" w:lineRule="auto"/>
        <w:contextualSpacing/>
        <w:jc w:val="both"/>
      </w:pPr>
    </w:p>
    <w:p w14:paraId="4B04F554" w14:textId="07136388" w:rsidR="00C3335F" w:rsidRDefault="00D81648" w:rsidP="00C3335F">
      <w:pPr>
        <w:spacing w:after="0" w:line="240" w:lineRule="auto"/>
        <w:contextualSpacing/>
        <w:jc w:val="both"/>
      </w:pPr>
      <w:r>
        <w:t xml:space="preserve">We </w:t>
      </w:r>
      <w:r w:rsidR="00056213">
        <w:t xml:space="preserve">strongly support </w:t>
      </w:r>
      <w:r w:rsidR="00B715B6">
        <w:t xml:space="preserve">the </w:t>
      </w:r>
      <w:r w:rsidR="00056213">
        <w:t xml:space="preserve">Committee’s </w:t>
      </w:r>
      <w:r w:rsidR="00701007">
        <w:t>attention to</w:t>
      </w:r>
      <w:r w:rsidR="00A60BE2">
        <w:t xml:space="preserve"> </w:t>
      </w:r>
      <w:r w:rsidR="00B715B6">
        <w:t>“</w:t>
      </w:r>
      <w:proofErr w:type="spellStart"/>
      <w:r w:rsidR="00B715B6">
        <w:t>privati</w:t>
      </w:r>
      <w:r w:rsidR="008962F8">
        <w:t>s</w:t>
      </w:r>
      <w:r w:rsidR="00B715B6">
        <w:t>ation</w:t>
      </w:r>
      <w:proofErr w:type="spellEnd"/>
      <w:r w:rsidR="00B715B6">
        <w:t xml:space="preserve"> and commercialization</w:t>
      </w:r>
      <w:r w:rsidR="00A60BE2">
        <w:t>,</w:t>
      </w:r>
      <w:r w:rsidR="004C7D8B">
        <w:t>”</w:t>
      </w:r>
      <w:r w:rsidR="00A60BE2">
        <w:t xml:space="preserve"> as well as </w:t>
      </w:r>
      <w:r w:rsidR="004E68A7">
        <w:t>its</w:t>
      </w:r>
      <w:r w:rsidR="00A60BE2">
        <w:t xml:space="preserve"> use of these </w:t>
      </w:r>
      <w:r w:rsidR="003E0A78">
        <w:t xml:space="preserve">two </w:t>
      </w:r>
      <w:r w:rsidR="00A60BE2">
        <w:t xml:space="preserve">distinct </w:t>
      </w:r>
      <w:r w:rsidR="004E68A7">
        <w:t xml:space="preserve">terms, which </w:t>
      </w:r>
      <w:r w:rsidR="00B715B6">
        <w:t>reflect nuance</w:t>
      </w:r>
      <w:r w:rsidR="004E68A7">
        <w:t>d differences</w:t>
      </w:r>
      <w:r w:rsidR="006E03D6">
        <w:t xml:space="preserve"> in circumstances and policy</w:t>
      </w:r>
      <w:r w:rsidR="00B715B6">
        <w:t>.</w:t>
      </w:r>
      <w:r>
        <w:t xml:space="preserve"> </w:t>
      </w:r>
      <w:r w:rsidR="00284827">
        <w:t>T</w:t>
      </w:r>
      <w:r w:rsidR="006E03D6">
        <w:t xml:space="preserve">o make the scope of the </w:t>
      </w:r>
      <w:r w:rsidR="00701007">
        <w:t>Committee’s</w:t>
      </w:r>
      <w:r w:rsidR="006E03D6">
        <w:t xml:space="preserve"> </w:t>
      </w:r>
      <w:r w:rsidR="00701007">
        <w:t>attention</w:t>
      </w:r>
      <w:r w:rsidR="00D92702">
        <w:t xml:space="preserve"> clearer, </w:t>
      </w:r>
      <w:r w:rsidR="006E03D6">
        <w:t>w</w:t>
      </w:r>
      <w:r w:rsidR="00C3335F">
        <w:t xml:space="preserve">e </w:t>
      </w:r>
      <w:r w:rsidR="00D92702">
        <w:t>recommend</w:t>
      </w:r>
      <w:r w:rsidR="00C3335F">
        <w:t xml:space="preserve"> that the Committee provide additional language in future drafts that clarifies the meanings of both “</w:t>
      </w:r>
      <w:proofErr w:type="spellStart"/>
      <w:r w:rsidR="00C3335F" w:rsidRPr="00064EC7">
        <w:t>privatisation</w:t>
      </w:r>
      <w:proofErr w:type="spellEnd"/>
      <w:r w:rsidR="00C3335F" w:rsidRPr="00064EC7">
        <w:t xml:space="preserve"> and commercialization</w:t>
      </w:r>
      <w:r w:rsidR="00C3335F" w:rsidRPr="00D06F05">
        <w:t>”</w:t>
      </w:r>
      <w:r w:rsidR="00C3335F">
        <w:t xml:space="preserve"> and “</w:t>
      </w:r>
      <w:r w:rsidR="00C3335F" w:rsidRPr="00064EC7">
        <w:t>without due regard to accessibility in practice</w:t>
      </w:r>
      <w:r w:rsidR="00C3335F">
        <w:t>,”</w:t>
      </w:r>
      <w:r w:rsidR="00C3335F" w:rsidRPr="00D06F05">
        <w:t xml:space="preserve"> as used in </w:t>
      </w:r>
      <w:r w:rsidR="00C3335F">
        <w:t>the</w:t>
      </w:r>
      <w:r w:rsidR="00C3335F" w:rsidRPr="00D06F05">
        <w:t xml:space="preserve"> context</w:t>
      </w:r>
      <w:r w:rsidR="00C3335F">
        <w:t xml:space="preserve"> of </w:t>
      </w:r>
      <w:r w:rsidR="00C3335F" w:rsidRPr="00C3335F">
        <w:t>II(B)(2)(b)(v)</w:t>
      </w:r>
      <w:r w:rsidR="00C3335F">
        <w:t xml:space="preserve"> above. </w:t>
      </w:r>
    </w:p>
    <w:p w14:paraId="20CF47DF" w14:textId="77777777" w:rsidR="00C3335F" w:rsidRDefault="00C3335F" w:rsidP="00A0633E">
      <w:pPr>
        <w:spacing w:after="0" w:line="240" w:lineRule="auto"/>
        <w:contextualSpacing/>
        <w:jc w:val="both"/>
      </w:pPr>
    </w:p>
    <w:p w14:paraId="56024C9F" w14:textId="706FD71E" w:rsidR="00064EC7" w:rsidRPr="00064EC7" w:rsidRDefault="00C71C02" w:rsidP="00A0633E">
      <w:pPr>
        <w:spacing w:after="0" w:line="240" w:lineRule="auto"/>
        <w:contextualSpacing/>
        <w:jc w:val="both"/>
      </w:pPr>
      <w:r>
        <w:t xml:space="preserve">Regarding </w:t>
      </w:r>
      <w:r w:rsidR="00064EC7" w:rsidRPr="00064EC7">
        <w:t>“</w:t>
      </w:r>
      <w:proofErr w:type="spellStart"/>
      <w:r w:rsidR="00064EC7" w:rsidRPr="00064EC7">
        <w:t>privatisation</w:t>
      </w:r>
      <w:proofErr w:type="spellEnd"/>
      <w:r w:rsidR="00064EC7" w:rsidRPr="00064EC7">
        <w:t xml:space="preserve"> and commercialization,” </w:t>
      </w:r>
      <w:r w:rsidR="00813A0C">
        <w:t xml:space="preserve">we </w:t>
      </w:r>
      <w:r>
        <w:t>would appreciate additional clarification about whether</w:t>
      </w:r>
      <w:r w:rsidR="004B3DBC">
        <w:t xml:space="preserve"> </w:t>
      </w:r>
      <w:r w:rsidR="00064EC7" w:rsidRPr="00064EC7">
        <w:t xml:space="preserve">this includes situations where individuals </w:t>
      </w:r>
      <w:r w:rsidR="001C311E">
        <w:t xml:space="preserve">and communities protected by the Convention </w:t>
      </w:r>
      <w:r w:rsidR="00064EC7" w:rsidRPr="00064EC7">
        <w:t>are already</w:t>
      </w:r>
      <w:r w:rsidR="00B87EB3">
        <w:t xml:space="preserve"> heavily </w:t>
      </w:r>
      <w:r w:rsidR="00064EC7" w:rsidRPr="00064EC7">
        <w:t xml:space="preserve">reliant on private sector </w:t>
      </w:r>
      <w:r w:rsidR="00B87EB3">
        <w:t xml:space="preserve">actors </w:t>
      </w:r>
      <w:r w:rsidR="00064EC7" w:rsidRPr="00064EC7">
        <w:t xml:space="preserve">for the delivery of healthcare goods and services, in addition to situations where </w:t>
      </w:r>
      <w:r w:rsidR="00005BE8">
        <w:t xml:space="preserve">States may be </w:t>
      </w:r>
      <w:r w:rsidR="00064EC7" w:rsidRPr="00064EC7">
        <w:t>pursuing policies that increase this reliance on private actors</w:t>
      </w:r>
      <w:r w:rsidR="00813A0C">
        <w:t xml:space="preserve"> (i.e., efforts to privatize or commercialize health care). </w:t>
      </w:r>
    </w:p>
    <w:p w14:paraId="1CA79848" w14:textId="77777777" w:rsidR="00A0633E" w:rsidRDefault="00A0633E" w:rsidP="00A0633E">
      <w:pPr>
        <w:spacing w:after="0" w:line="240" w:lineRule="auto"/>
        <w:contextualSpacing/>
        <w:jc w:val="both"/>
      </w:pPr>
    </w:p>
    <w:p w14:paraId="31425A3D" w14:textId="77B31607" w:rsidR="00064EC7" w:rsidRPr="00064EC7" w:rsidRDefault="00813A0C" w:rsidP="00A0633E">
      <w:pPr>
        <w:spacing w:after="0" w:line="240" w:lineRule="auto"/>
        <w:contextualSpacing/>
        <w:jc w:val="both"/>
      </w:pPr>
      <w:r>
        <w:t>Additionally, we would appreciate additional clarification about</w:t>
      </w:r>
      <w:r w:rsidRPr="00813A0C">
        <w:t xml:space="preserve"> </w:t>
      </w:r>
      <w:r>
        <w:t>what the Committee may or may not consider to constitute a “</w:t>
      </w:r>
      <w:r w:rsidR="00064EC7" w:rsidRPr="00064EC7">
        <w:t>due regard to accessibility in practice</w:t>
      </w:r>
      <w:r>
        <w:t xml:space="preserve">.” </w:t>
      </w:r>
      <w:proofErr w:type="gramStart"/>
      <w:r>
        <w:t xml:space="preserve">In particular, </w:t>
      </w:r>
      <w:r w:rsidR="00F87E76">
        <w:t>it</w:t>
      </w:r>
      <w:proofErr w:type="gramEnd"/>
      <w:r w:rsidR="00F87E76">
        <w:t xml:space="preserve"> would be helpful for the Committee to elaborate, potentially through non-exhaustive examples, on the</w:t>
      </w:r>
      <w:r w:rsidR="00064EC7" w:rsidRPr="00064EC7">
        <w:t xml:space="preserve"> procedural responsibilities (i.e., “due regard”) of states parties with respect to preemptively assessing policies’ de facto (i.e., “in practice”) impacts on healthcare accessibility across its various dimensions. </w:t>
      </w:r>
    </w:p>
    <w:p w14:paraId="163FC907" w14:textId="77777777" w:rsidR="00A0633E" w:rsidRDefault="00A0633E" w:rsidP="00A0633E">
      <w:pPr>
        <w:spacing w:after="0" w:line="240" w:lineRule="auto"/>
        <w:contextualSpacing/>
        <w:jc w:val="both"/>
      </w:pPr>
    </w:p>
    <w:p w14:paraId="598CA4E9" w14:textId="14834707" w:rsidR="00064EC7" w:rsidRPr="00A0633E" w:rsidRDefault="00064EC7" w:rsidP="009128BD">
      <w:pPr>
        <w:pStyle w:val="ListParagraph"/>
        <w:spacing w:after="0" w:line="240" w:lineRule="auto"/>
        <w:ind w:right="720"/>
        <w:jc w:val="both"/>
        <w:rPr>
          <w:b/>
          <w:bCs/>
        </w:rPr>
      </w:pPr>
      <w:r w:rsidRPr="009128BD">
        <w:rPr>
          <w:b/>
          <w:bCs/>
          <w:u w:val="single"/>
        </w:rPr>
        <w:t>III(A)(25)</w:t>
      </w:r>
      <w:r w:rsidR="009128BD">
        <w:rPr>
          <w:b/>
          <w:bCs/>
        </w:rPr>
        <w:t>:</w:t>
      </w:r>
      <w:r w:rsidRPr="00A0633E">
        <w:rPr>
          <w:b/>
          <w:bCs/>
        </w:rPr>
        <w:t xml:space="preserve"> “The status of the prohibition of racial discrimination in international law, as one of the most egregious forms of discrimination, and the link between the right to health and the right to life leave States a </w:t>
      </w:r>
      <w:r w:rsidRPr="00A0633E">
        <w:rPr>
          <w:b/>
          <w:bCs/>
          <w:u w:val="single"/>
        </w:rPr>
        <w:t>very narrow margin of appreciation</w:t>
      </w:r>
      <w:r w:rsidRPr="00A0633E">
        <w:rPr>
          <w:b/>
          <w:bCs/>
        </w:rPr>
        <w:t xml:space="preserve"> in differentiations of treatment in fulfilling their obligations to respect the right to health.” </w:t>
      </w:r>
    </w:p>
    <w:p w14:paraId="0A92DD1D" w14:textId="77777777" w:rsidR="00182D76" w:rsidRDefault="00182D76" w:rsidP="00A0633E">
      <w:pPr>
        <w:spacing w:after="0" w:line="240" w:lineRule="auto"/>
        <w:contextualSpacing/>
        <w:jc w:val="both"/>
      </w:pPr>
    </w:p>
    <w:p w14:paraId="5872D03A" w14:textId="28407A51" w:rsidR="00627872" w:rsidRDefault="00627872" w:rsidP="00627872">
      <w:pPr>
        <w:spacing w:after="0" w:line="240" w:lineRule="auto"/>
        <w:contextualSpacing/>
        <w:jc w:val="both"/>
      </w:pPr>
      <w:r>
        <w:t xml:space="preserve">We </w:t>
      </w:r>
      <w:r w:rsidR="00CC3D53">
        <w:t>recommend</w:t>
      </w:r>
      <w:r>
        <w:t xml:space="preserve"> that the Committee provide additional language in future drafts that clarifies the meaning of </w:t>
      </w:r>
      <w:r w:rsidRPr="00627872">
        <w:t>“very narrow margin of appreciation</w:t>
      </w:r>
      <w:r>
        <w:t xml:space="preserve">,” </w:t>
      </w:r>
      <w:r w:rsidRPr="00D06F05">
        <w:t xml:space="preserve">as used in </w:t>
      </w:r>
      <w:r>
        <w:t>the</w:t>
      </w:r>
      <w:r w:rsidRPr="00D06F05">
        <w:t xml:space="preserve"> context</w:t>
      </w:r>
      <w:r>
        <w:t xml:space="preserve"> of </w:t>
      </w:r>
      <w:r w:rsidR="00C11E1B" w:rsidRPr="00C11E1B">
        <w:t>III(A)(25)</w:t>
      </w:r>
      <w:r w:rsidR="00C11E1B">
        <w:t xml:space="preserve"> above. </w:t>
      </w:r>
    </w:p>
    <w:p w14:paraId="07A9BCC8" w14:textId="77777777" w:rsidR="0027431A" w:rsidRDefault="0027431A" w:rsidP="00627872">
      <w:pPr>
        <w:spacing w:after="0" w:line="240" w:lineRule="auto"/>
        <w:contextualSpacing/>
        <w:jc w:val="both"/>
      </w:pPr>
    </w:p>
    <w:p w14:paraId="1FC34992" w14:textId="3863AB4A" w:rsidR="00C36F18" w:rsidRDefault="0027431A" w:rsidP="003C2629">
      <w:pPr>
        <w:spacing w:after="0" w:line="240" w:lineRule="auto"/>
        <w:contextualSpacing/>
        <w:jc w:val="both"/>
      </w:pPr>
      <w:proofErr w:type="gramStart"/>
      <w:r>
        <w:t>In particular, we</w:t>
      </w:r>
      <w:proofErr w:type="gramEnd"/>
      <w:r>
        <w:t xml:space="preserve"> </w:t>
      </w:r>
      <w:r w:rsidR="003C2629">
        <w:t xml:space="preserve">would appreciate the Committee’s clarification about any </w:t>
      </w:r>
      <w:r w:rsidRPr="0027431A">
        <w:t xml:space="preserve">bodies of law or other objective standards </w:t>
      </w:r>
      <w:r w:rsidR="004324A0">
        <w:t xml:space="preserve">that </w:t>
      </w:r>
      <w:r w:rsidRPr="0027431A">
        <w:t xml:space="preserve">may </w:t>
      </w:r>
      <w:r w:rsidR="00D95255">
        <w:t>inform the Committee’s</w:t>
      </w:r>
      <w:r w:rsidR="004324A0">
        <w:t xml:space="preserve"> </w:t>
      </w:r>
      <w:r w:rsidR="00D95255">
        <w:t xml:space="preserve">definition and application of the </w:t>
      </w:r>
      <w:r w:rsidR="004324A0">
        <w:t>“</w:t>
      </w:r>
      <w:r w:rsidR="004324A0" w:rsidRPr="00627872">
        <w:t>very narrow margin of appreciation</w:t>
      </w:r>
      <w:r w:rsidR="004324A0">
        <w:t>” standard</w:t>
      </w:r>
      <w:r w:rsidR="00B00373">
        <w:t xml:space="preserve"> in this context</w:t>
      </w:r>
      <w:r w:rsidR="004324A0">
        <w:t xml:space="preserve">. </w:t>
      </w:r>
      <w:r w:rsidR="00E77EAB">
        <w:t xml:space="preserve">For example, </w:t>
      </w:r>
      <w:r w:rsidR="00EC16CC">
        <w:t xml:space="preserve">it would be helpful </w:t>
      </w:r>
      <w:r w:rsidR="00701007">
        <w:t xml:space="preserve">for the Committee </w:t>
      </w:r>
      <w:r w:rsidR="00EC16CC">
        <w:t xml:space="preserve">to </w:t>
      </w:r>
      <w:r w:rsidR="00701007">
        <w:t>explain</w:t>
      </w:r>
      <w:r w:rsidR="00EC16CC">
        <w:t xml:space="preserve"> whether and how</w:t>
      </w:r>
      <w:r w:rsidR="00084392">
        <w:t xml:space="preserve"> the </w:t>
      </w:r>
      <w:r w:rsidR="00084392" w:rsidRPr="00084392">
        <w:t>margin of appreciation</w:t>
      </w:r>
      <w:r w:rsidR="00084392">
        <w:t xml:space="preserve"> doctrine</w:t>
      </w:r>
      <w:r w:rsidR="00895AC4">
        <w:t xml:space="preserve">, as developed in </w:t>
      </w:r>
      <w:r w:rsidR="00895AC4" w:rsidRPr="00084392">
        <w:t>European Court of Human Rights</w:t>
      </w:r>
      <w:r w:rsidR="00895AC4">
        <w:t xml:space="preserve"> jurisprudence, </w:t>
      </w:r>
      <w:r w:rsidR="00EC16CC">
        <w:t xml:space="preserve">may </w:t>
      </w:r>
      <w:r w:rsidR="00084392">
        <w:t xml:space="preserve">inform CERD’s </w:t>
      </w:r>
      <w:r w:rsidR="00B6677E">
        <w:t>understanding and application</w:t>
      </w:r>
      <w:r w:rsidR="00EC16CC">
        <w:t xml:space="preserve"> of </w:t>
      </w:r>
      <w:r w:rsidR="001D5533">
        <w:t>this</w:t>
      </w:r>
      <w:r w:rsidR="00EC16CC">
        <w:t xml:space="preserve"> </w:t>
      </w:r>
      <w:r w:rsidR="00084392">
        <w:t>standard</w:t>
      </w:r>
      <w:r w:rsidR="00EC16CC">
        <w:t xml:space="preserve">. </w:t>
      </w:r>
    </w:p>
    <w:p w14:paraId="04AE8993" w14:textId="77777777" w:rsidR="004B1289" w:rsidRDefault="004B1289" w:rsidP="00ED1F74">
      <w:pPr>
        <w:spacing w:after="0" w:line="240" w:lineRule="auto"/>
        <w:contextualSpacing/>
        <w:jc w:val="both"/>
      </w:pPr>
    </w:p>
    <w:p w14:paraId="47AB9EA9" w14:textId="7DA3BAF5" w:rsidR="001C44A0" w:rsidRPr="00B91B9F" w:rsidRDefault="00AB7C1B" w:rsidP="00AB7C1B">
      <w:pPr>
        <w:spacing w:after="0" w:line="240" w:lineRule="auto"/>
        <w:contextualSpacing/>
        <w:jc w:val="both"/>
        <w:rPr>
          <w:b/>
          <w:u w:val="single"/>
        </w:rPr>
      </w:pPr>
      <w:r w:rsidRPr="00B91B9F">
        <w:rPr>
          <w:b/>
          <w:bCs/>
          <w:u w:val="single"/>
        </w:rPr>
        <w:t>Conclusion</w:t>
      </w:r>
    </w:p>
    <w:p w14:paraId="3BC16918" w14:textId="6B2A8BD8" w:rsidR="0093724E" w:rsidRDefault="001C44A0" w:rsidP="0093724E">
      <w:pPr>
        <w:spacing w:after="0" w:line="240" w:lineRule="auto"/>
        <w:contextualSpacing/>
        <w:jc w:val="both"/>
      </w:pPr>
      <w:r w:rsidRPr="00F15462">
        <w:t>Human Rights Watch</w:t>
      </w:r>
      <w:r w:rsidR="00AB7C1B" w:rsidRPr="00AB7C1B">
        <w:t xml:space="preserve"> </w:t>
      </w:r>
      <w:r w:rsidR="00FE5110" w:rsidRPr="00F15462">
        <w:t xml:space="preserve">would like to </w:t>
      </w:r>
      <w:r w:rsidR="00AB7C1B" w:rsidRPr="00AB7C1B">
        <w:t xml:space="preserve">thank </w:t>
      </w:r>
      <w:r w:rsidRPr="00F15462">
        <w:t xml:space="preserve">the Committee </w:t>
      </w:r>
      <w:r w:rsidR="00346526" w:rsidRPr="00F15462">
        <w:t xml:space="preserve">again </w:t>
      </w:r>
      <w:r w:rsidRPr="00F15462">
        <w:t xml:space="preserve">for the opportunity to </w:t>
      </w:r>
      <w:r w:rsidR="00FE5110" w:rsidRPr="00F15462">
        <w:t xml:space="preserve">provide comments on </w:t>
      </w:r>
      <w:r w:rsidR="00346526" w:rsidRPr="00F15462">
        <w:t>its “First draft General recommendation No. 37 (2023) on Racial discrimination in the enjoyment of the right to health</w:t>
      </w:r>
      <w:r w:rsidR="001D5533">
        <w:t>.”</w:t>
      </w:r>
      <w:r w:rsidR="00346526" w:rsidRPr="00F15462">
        <w:t xml:space="preserve"> As noted above, we strongly </w:t>
      </w:r>
      <w:r w:rsidR="008B60EF" w:rsidRPr="00F15462">
        <w:t>support the</w:t>
      </w:r>
      <w:r w:rsidR="00346526" w:rsidRPr="00F15462">
        <w:t xml:space="preserve"> Committee’s effort to provide clarity and guidance on the obligations under ICERD regarding the right to </w:t>
      </w:r>
      <w:proofErr w:type="gramStart"/>
      <w:r w:rsidR="00346526" w:rsidRPr="00F15462">
        <w:t>health, and</w:t>
      </w:r>
      <w:proofErr w:type="gramEnd"/>
      <w:r w:rsidR="00346526" w:rsidRPr="00F15462">
        <w:t xml:space="preserve"> </w:t>
      </w:r>
      <w:r w:rsidR="00F15462" w:rsidRPr="00F15462">
        <w:t xml:space="preserve">are hopeful that the above </w:t>
      </w:r>
      <w:r w:rsidR="00CC3D53">
        <w:t>recommendations</w:t>
      </w:r>
      <w:r w:rsidR="00F15462" w:rsidRPr="00F15462">
        <w:t xml:space="preserve"> for clarification will contribute to this effort. </w:t>
      </w:r>
    </w:p>
    <w:p w14:paraId="6E736E97" w14:textId="77777777" w:rsidR="0093724E" w:rsidRDefault="0093724E" w:rsidP="0093724E">
      <w:pPr>
        <w:spacing w:after="0" w:line="240" w:lineRule="auto"/>
        <w:contextualSpacing/>
        <w:jc w:val="both"/>
      </w:pPr>
    </w:p>
    <w:p w14:paraId="7C1E6628" w14:textId="4C9A5826" w:rsidR="0097374D" w:rsidRDefault="00327998" w:rsidP="0093724E">
      <w:pPr>
        <w:spacing w:after="0" w:line="240" w:lineRule="auto"/>
        <w:contextualSpacing/>
        <w:jc w:val="both"/>
      </w:pPr>
      <w:r w:rsidRPr="00327998">
        <w:t xml:space="preserve">We would be happy to provide </w:t>
      </w:r>
      <w:r>
        <w:t xml:space="preserve">any </w:t>
      </w:r>
      <w:r w:rsidRPr="00327998">
        <w:t>additional information,</w:t>
      </w:r>
      <w:r w:rsidR="00813547">
        <w:t xml:space="preserve"> </w:t>
      </w:r>
      <w:proofErr w:type="gramStart"/>
      <w:r w:rsidRPr="00327998">
        <w:t>and also</w:t>
      </w:r>
      <w:proofErr w:type="gramEnd"/>
      <w:r w:rsidRPr="00327998">
        <w:t xml:space="preserve"> welcome the opportunity to further discuss our recommendations</w:t>
      </w:r>
      <w:r>
        <w:t xml:space="preserve">. </w:t>
      </w:r>
      <w:r w:rsidR="0097374D">
        <w:t xml:space="preserve">Please feel free to </w:t>
      </w:r>
      <w:r w:rsidR="00FC6F68" w:rsidRPr="00FC6F68">
        <w:t xml:space="preserve">contact </w:t>
      </w:r>
      <w:r w:rsidR="005B41EC">
        <w:t xml:space="preserve">A. </w:t>
      </w:r>
      <w:r w:rsidR="00924CB7">
        <w:t>Kayum Ahmed (</w:t>
      </w:r>
      <w:hyperlink r:id="rId8" w:history="1">
        <w:r w:rsidR="00962B03" w:rsidRPr="00EE1369">
          <w:rPr>
            <w:rStyle w:val="Hyperlink"/>
          </w:rPr>
          <w:t>ahmedk@hrw.org</w:t>
        </w:r>
      </w:hyperlink>
      <w:r w:rsidR="00962B03">
        <w:t xml:space="preserve">), </w:t>
      </w:r>
      <w:r w:rsidR="00FC6F68" w:rsidRPr="00FC6F68">
        <w:t>Matt McConnell (</w:t>
      </w:r>
      <w:hyperlink r:id="rId9" w:history="1">
        <w:r w:rsidR="00924CB7" w:rsidRPr="00EE1369">
          <w:rPr>
            <w:rStyle w:val="Hyperlink"/>
          </w:rPr>
          <w:t>mcconnm@hrw.org</w:t>
        </w:r>
      </w:hyperlink>
      <w:r w:rsidR="00FC6F68" w:rsidRPr="00FC6F68">
        <w:t>)</w:t>
      </w:r>
      <w:r w:rsidR="00924CB7">
        <w:t xml:space="preserve">, </w:t>
      </w:r>
      <w:r w:rsidR="00962B03">
        <w:t xml:space="preserve">and </w:t>
      </w:r>
      <w:r w:rsidR="0097374D">
        <w:t xml:space="preserve">Almaz </w:t>
      </w:r>
      <w:r w:rsidR="00924CB7">
        <w:t>Teffera (</w:t>
      </w:r>
      <w:hyperlink r:id="rId10" w:history="1">
        <w:r w:rsidR="00924CB7" w:rsidRPr="00EE1369">
          <w:rPr>
            <w:rStyle w:val="Hyperlink"/>
          </w:rPr>
          <w:t>teffera@hrw.org</w:t>
        </w:r>
      </w:hyperlink>
      <w:r w:rsidR="00924CB7">
        <w:t xml:space="preserve">) </w:t>
      </w:r>
      <w:r w:rsidR="00962B03">
        <w:t xml:space="preserve">to arrange such a meeting. </w:t>
      </w:r>
    </w:p>
    <w:p w14:paraId="43BB0C66" w14:textId="77777777" w:rsidR="0093724E" w:rsidRDefault="0093724E" w:rsidP="00AB7C1B">
      <w:pPr>
        <w:spacing w:after="0" w:line="240" w:lineRule="auto"/>
        <w:contextualSpacing/>
        <w:jc w:val="both"/>
      </w:pPr>
    </w:p>
    <w:p w14:paraId="2F377B9B" w14:textId="1B05524C" w:rsidR="00AB7C1B" w:rsidRDefault="00AB7C1B" w:rsidP="00ED1F74">
      <w:pPr>
        <w:spacing w:after="0" w:line="240" w:lineRule="auto"/>
        <w:contextualSpacing/>
        <w:jc w:val="both"/>
      </w:pPr>
      <w:r w:rsidRPr="00AB7C1B">
        <w:t>Sincerely,</w:t>
      </w:r>
    </w:p>
    <w:p w14:paraId="58B29D82" w14:textId="77777777" w:rsidR="003B7699" w:rsidRDefault="003B7699" w:rsidP="00ED1F74">
      <w:pPr>
        <w:spacing w:after="0" w:line="240" w:lineRule="auto"/>
        <w:contextualSpacing/>
        <w:jc w:val="both"/>
      </w:pPr>
    </w:p>
    <w:p w14:paraId="13D449F6" w14:textId="77777777" w:rsidR="0038735E" w:rsidRDefault="0038735E" w:rsidP="00ED1F74">
      <w:pPr>
        <w:spacing w:after="0" w:line="240" w:lineRule="auto"/>
        <w:contextualSpacing/>
        <w:jc w:val="both"/>
      </w:pP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0"/>
        <w:gridCol w:w="3121"/>
        <w:gridCol w:w="3119"/>
      </w:tblGrid>
      <w:tr w:rsidR="00C932A2" w14:paraId="2F2AD257" w14:textId="77777777" w:rsidTr="001400FF">
        <w:trPr>
          <w:jc w:val="center"/>
        </w:trPr>
        <w:tc>
          <w:tcPr>
            <w:tcW w:w="1667" w:type="pct"/>
          </w:tcPr>
          <w:p w14:paraId="71A56CC6" w14:textId="449F23B5" w:rsidR="006646A8" w:rsidRPr="0038735E" w:rsidRDefault="005B41EC" w:rsidP="0038735E">
            <w:pPr>
              <w:contextualSpacing/>
              <w:rPr>
                <w:b/>
                <w:bCs/>
              </w:rPr>
            </w:pPr>
            <w:r>
              <w:rPr>
                <w:b/>
                <w:bCs/>
              </w:rPr>
              <w:t xml:space="preserve">A. </w:t>
            </w:r>
            <w:r w:rsidR="006646A8" w:rsidRPr="0038735E">
              <w:rPr>
                <w:b/>
                <w:bCs/>
              </w:rPr>
              <w:t>Kayum Ahmed</w:t>
            </w:r>
          </w:p>
          <w:p w14:paraId="543FEE4C" w14:textId="77777777" w:rsidR="0038735E" w:rsidRDefault="0038735E" w:rsidP="0038735E">
            <w:pPr>
              <w:contextualSpacing/>
            </w:pPr>
          </w:p>
          <w:p w14:paraId="1B235622" w14:textId="77777777" w:rsidR="00C932A2" w:rsidRDefault="00B049DF" w:rsidP="0038735E">
            <w:pPr>
              <w:contextualSpacing/>
            </w:pPr>
            <w:r w:rsidRPr="00B049DF">
              <w:t xml:space="preserve">Special Advisor, </w:t>
            </w:r>
          </w:p>
          <w:p w14:paraId="439F050B" w14:textId="03E24951" w:rsidR="006646A8" w:rsidRDefault="00B049DF" w:rsidP="0038735E">
            <w:pPr>
              <w:contextualSpacing/>
            </w:pPr>
            <w:r w:rsidRPr="00B049DF">
              <w:t>Right to Health</w:t>
            </w:r>
          </w:p>
          <w:p w14:paraId="2E1C25E2" w14:textId="385D2E10" w:rsidR="0038735E" w:rsidRDefault="0038735E" w:rsidP="0038735E">
            <w:pPr>
              <w:contextualSpacing/>
            </w:pPr>
            <w:r>
              <w:t>Human Rights Watch</w:t>
            </w:r>
          </w:p>
        </w:tc>
        <w:tc>
          <w:tcPr>
            <w:tcW w:w="1667" w:type="pct"/>
          </w:tcPr>
          <w:p w14:paraId="200795AA" w14:textId="77777777" w:rsidR="006646A8" w:rsidRPr="0038735E" w:rsidRDefault="006646A8" w:rsidP="0038735E">
            <w:pPr>
              <w:contextualSpacing/>
              <w:rPr>
                <w:b/>
                <w:bCs/>
              </w:rPr>
            </w:pPr>
            <w:r w:rsidRPr="0038735E">
              <w:rPr>
                <w:b/>
                <w:bCs/>
              </w:rPr>
              <w:t>Matt McConnell</w:t>
            </w:r>
          </w:p>
          <w:p w14:paraId="7618DD80" w14:textId="77777777" w:rsidR="0038735E" w:rsidRDefault="0038735E" w:rsidP="0038735E">
            <w:pPr>
              <w:contextualSpacing/>
            </w:pPr>
          </w:p>
          <w:p w14:paraId="79B8A836" w14:textId="77777777" w:rsidR="00C932A2" w:rsidRDefault="0038735E" w:rsidP="0038735E">
            <w:pPr>
              <w:contextualSpacing/>
            </w:pPr>
            <w:r w:rsidRPr="00B049DF">
              <w:t>Researcher</w:t>
            </w:r>
            <w:r>
              <w:t xml:space="preserve">, </w:t>
            </w:r>
          </w:p>
          <w:p w14:paraId="3FA7896F" w14:textId="35F194E8" w:rsidR="00B049DF" w:rsidRDefault="00B049DF" w:rsidP="0038735E">
            <w:pPr>
              <w:contextualSpacing/>
            </w:pPr>
            <w:r w:rsidRPr="00B049DF">
              <w:t xml:space="preserve">Economic Justice </w:t>
            </w:r>
            <w:r w:rsidR="0038735E">
              <w:t>&amp;</w:t>
            </w:r>
            <w:r w:rsidRPr="00B049DF">
              <w:t xml:space="preserve"> Rights</w:t>
            </w:r>
          </w:p>
          <w:p w14:paraId="08E61BC2" w14:textId="19504C08" w:rsidR="0038735E" w:rsidRDefault="0038735E" w:rsidP="0038735E">
            <w:pPr>
              <w:contextualSpacing/>
            </w:pPr>
            <w:r>
              <w:t>Human Rights Watch</w:t>
            </w:r>
          </w:p>
        </w:tc>
        <w:tc>
          <w:tcPr>
            <w:tcW w:w="1666" w:type="pct"/>
          </w:tcPr>
          <w:p w14:paraId="603E6554" w14:textId="77777777" w:rsidR="006646A8" w:rsidRPr="0038735E" w:rsidRDefault="006646A8" w:rsidP="0038735E">
            <w:pPr>
              <w:contextualSpacing/>
              <w:rPr>
                <w:b/>
                <w:bCs/>
              </w:rPr>
            </w:pPr>
            <w:r w:rsidRPr="0038735E">
              <w:rPr>
                <w:b/>
                <w:bCs/>
              </w:rPr>
              <w:t>Almaz Teffera</w:t>
            </w:r>
          </w:p>
          <w:p w14:paraId="3186A6BB" w14:textId="77777777" w:rsidR="0038735E" w:rsidRDefault="0038735E" w:rsidP="0038735E">
            <w:pPr>
              <w:contextualSpacing/>
            </w:pPr>
          </w:p>
          <w:p w14:paraId="2F1641AD" w14:textId="77777777" w:rsidR="00C932A2" w:rsidRDefault="0038735E" w:rsidP="0038735E">
            <w:pPr>
              <w:contextualSpacing/>
            </w:pPr>
            <w:r w:rsidRPr="0038735E">
              <w:t xml:space="preserve">Researcher, </w:t>
            </w:r>
          </w:p>
          <w:p w14:paraId="41A24EA4" w14:textId="0FEA6AF7" w:rsidR="0038735E" w:rsidRDefault="0038735E" w:rsidP="0038735E">
            <w:pPr>
              <w:contextualSpacing/>
            </w:pPr>
            <w:r w:rsidRPr="0038735E">
              <w:t>Racism in Europe</w:t>
            </w:r>
          </w:p>
          <w:p w14:paraId="7EC38DFB" w14:textId="0AAFB017" w:rsidR="0038735E" w:rsidRDefault="0038735E" w:rsidP="0038735E">
            <w:pPr>
              <w:contextualSpacing/>
            </w:pPr>
            <w:r>
              <w:t>Human Rights Watch</w:t>
            </w:r>
          </w:p>
        </w:tc>
      </w:tr>
    </w:tbl>
    <w:p w14:paraId="7B074FE9" w14:textId="24961056" w:rsidR="00AB7C1B" w:rsidRDefault="00AB7C1B" w:rsidP="0038735E">
      <w:pPr>
        <w:spacing w:after="0" w:line="240" w:lineRule="auto"/>
        <w:contextualSpacing/>
        <w:jc w:val="center"/>
      </w:pPr>
    </w:p>
    <w:p w14:paraId="1D9E9056" w14:textId="77777777" w:rsidR="00AB7C1B" w:rsidRDefault="00AB7C1B" w:rsidP="00ED1F74">
      <w:pPr>
        <w:spacing w:after="0" w:line="240" w:lineRule="auto"/>
        <w:contextualSpacing/>
        <w:jc w:val="both"/>
      </w:pPr>
    </w:p>
    <w:sectPr w:rsidR="00AB7C1B" w:rsidSect="00777AFB">
      <w:headerReference w:type="default" r:id="rId11"/>
      <w:headerReference w:type="first" r:id="rId12"/>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91899" w14:textId="77777777" w:rsidR="00D47F13" w:rsidRDefault="00D47F13" w:rsidP="00AE0790">
      <w:pPr>
        <w:spacing w:after="0" w:line="240" w:lineRule="auto"/>
      </w:pPr>
      <w:r>
        <w:separator/>
      </w:r>
    </w:p>
  </w:endnote>
  <w:endnote w:type="continuationSeparator" w:id="0">
    <w:p w14:paraId="66D0A8C4" w14:textId="77777777" w:rsidR="00D47F13" w:rsidRDefault="00D47F13" w:rsidP="00AE0790">
      <w:pPr>
        <w:spacing w:after="0" w:line="240" w:lineRule="auto"/>
      </w:pPr>
      <w:r>
        <w:continuationSeparator/>
      </w:r>
    </w:p>
  </w:endnote>
  <w:endnote w:type="continuationNotice" w:id="1">
    <w:p w14:paraId="5FAAE725" w14:textId="77777777" w:rsidR="00D47F13" w:rsidRDefault="00D47F1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CE16BA" w14:textId="77777777" w:rsidR="00D47F13" w:rsidRDefault="00D47F13" w:rsidP="00AE0790">
      <w:pPr>
        <w:spacing w:after="0" w:line="240" w:lineRule="auto"/>
      </w:pPr>
      <w:r>
        <w:separator/>
      </w:r>
    </w:p>
  </w:footnote>
  <w:footnote w:type="continuationSeparator" w:id="0">
    <w:p w14:paraId="723D0AE2" w14:textId="77777777" w:rsidR="00D47F13" w:rsidRDefault="00D47F13" w:rsidP="00AE0790">
      <w:pPr>
        <w:spacing w:after="0" w:line="240" w:lineRule="auto"/>
      </w:pPr>
      <w:r>
        <w:continuationSeparator/>
      </w:r>
    </w:p>
  </w:footnote>
  <w:footnote w:type="continuationNotice" w:id="1">
    <w:p w14:paraId="26B2D57C" w14:textId="77777777" w:rsidR="00D47F13" w:rsidRDefault="00D47F13">
      <w:pPr>
        <w:spacing w:after="0" w:line="240" w:lineRule="auto"/>
      </w:pPr>
    </w:p>
  </w:footnote>
  <w:footnote w:id="2">
    <w:p w14:paraId="582BCDDA" w14:textId="5FBC0759" w:rsidR="003E5FBE" w:rsidRPr="00742924" w:rsidRDefault="003E5FBE" w:rsidP="00204F77">
      <w:pPr>
        <w:pStyle w:val="FootnoteText"/>
        <w:contextualSpacing/>
        <w:rPr>
          <w:sz w:val="18"/>
          <w:szCs w:val="18"/>
        </w:rPr>
      </w:pPr>
      <w:r w:rsidRPr="00742924">
        <w:rPr>
          <w:rStyle w:val="FootnoteReference"/>
          <w:sz w:val="18"/>
          <w:szCs w:val="18"/>
        </w:rPr>
        <w:footnoteRef/>
      </w:r>
      <w:r w:rsidRPr="00742924">
        <w:rPr>
          <w:sz w:val="18"/>
          <w:szCs w:val="18"/>
        </w:rPr>
        <w:t xml:space="preserve"> Office of the High Commissioner for Human Rights, Committee on the Elimination of Racial Discrimination</w:t>
      </w:r>
      <w:r w:rsidR="006E3D38" w:rsidRPr="00742924">
        <w:rPr>
          <w:sz w:val="18"/>
          <w:szCs w:val="18"/>
        </w:rPr>
        <w:t xml:space="preserve">, “Call for contributions: Draft General Recommendation n°37 on Racial discrimination in the enjoyment of the right to health,” </w:t>
      </w:r>
      <w:hyperlink r:id="rId1" w:history="1">
        <w:r w:rsidR="006E3D38" w:rsidRPr="00742924">
          <w:rPr>
            <w:rStyle w:val="Hyperlink"/>
            <w:sz w:val="18"/>
            <w:szCs w:val="18"/>
          </w:rPr>
          <w:t>https://www.ohchr.org/en/calls-for-input/2023/call-contributions-draft-general-recommendation-ndeg37-racial-discrimination</w:t>
        </w:r>
      </w:hyperlink>
      <w:r w:rsidR="006E3D38" w:rsidRPr="00742924">
        <w:rPr>
          <w:sz w:val="18"/>
          <w:szCs w:val="18"/>
        </w:rPr>
        <w:t xml:space="preserve">. </w:t>
      </w:r>
    </w:p>
  </w:footnote>
  <w:footnote w:id="3">
    <w:p w14:paraId="42E94298" w14:textId="72F0D298" w:rsidR="00007CE7" w:rsidRPr="00742924" w:rsidRDefault="00007CE7" w:rsidP="00204F77">
      <w:pPr>
        <w:pStyle w:val="FootnoteText"/>
        <w:contextualSpacing/>
        <w:rPr>
          <w:sz w:val="18"/>
          <w:szCs w:val="18"/>
        </w:rPr>
      </w:pPr>
      <w:r w:rsidRPr="00742924">
        <w:rPr>
          <w:rStyle w:val="FootnoteReference"/>
          <w:sz w:val="18"/>
          <w:szCs w:val="18"/>
        </w:rPr>
        <w:footnoteRef/>
      </w:r>
      <w:r w:rsidRPr="00742924">
        <w:rPr>
          <w:sz w:val="18"/>
          <w:szCs w:val="18"/>
        </w:rPr>
        <w:t xml:space="preserve"> See </w:t>
      </w:r>
      <w:r w:rsidR="00F34B2C" w:rsidRPr="00742924">
        <w:rPr>
          <w:sz w:val="18"/>
          <w:szCs w:val="18"/>
        </w:rPr>
        <w:t xml:space="preserve">Global Justice Center, “United States of America: Submission to the United Nations Committee on the Elimination of Racial Discrimination, 107th Session, August 8 – 30, 2022,” </w:t>
      </w:r>
      <w:r w:rsidR="008E2801" w:rsidRPr="00742924">
        <w:rPr>
          <w:sz w:val="18"/>
          <w:szCs w:val="18"/>
        </w:rPr>
        <w:t xml:space="preserve">July 15, 2022, </w:t>
      </w:r>
      <w:hyperlink r:id="rId2" w:history="1">
        <w:r w:rsidR="008E2801" w:rsidRPr="00742924">
          <w:rPr>
            <w:rStyle w:val="Hyperlink"/>
            <w:sz w:val="18"/>
            <w:szCs w:val="18"/>
          </w:rPr>
          <w:t>https://www.hrw.org/news/2022/07/15/us-joint-submission-united-nations-committee-elimination-racial-discrimination</w:t>
        </w:r>
      </w:hyperlink>
      <w:r w:rsidR="008E2801" w:rsidRPr="00742924">
        <w:rPr>
          <w:sz w:val="18"/>
          <w:szCs w:val="18"/>
        </w:rPr>
        <w:t xml:space="preserve"> (</w:t>
      </w:r>
      <w:r w:rsidR="008056ED" w:rsidRPr="00742924">
        <w:rPr>
          <w:sz w:val="18"/>
          <w:szCs w:val="18"/>
        </w:rPr>
        <w:t xml:space="preserve">focusing on the disproportionate racialized human rights impacts of abortion restrictions, the shackling of pregnant prisoners, and racial inequalities in cervical cancer mortality). </w:t>
      </w:r>
      <w:r w:rsidR="00C66705" w:rsidRPr="00742924">
        <w:rPr>
          <w:sz w:val="18"/>
          <w:szCs w:val="18"/>
        </w:rPr>
        <w:t xml:space="preserve">See also, </w:t>
      </w:r>
      <w:r w:rsidR="00017DF5" w:rsidRPr="00742924">
        <w:rPr>
          <w:sz w:val="18"/>
          <w:szCs w:val="18"/>
        </w:rPr>
        <w:t xml:space="preserve">Human Rights Watch &amp; American Civil Liberties Union, “Joint Submission Regarding the United States’ Record Under the International Convention on the Elimination of All Forms of Racial Discrimination: Racial Discrimination in the United States,” August 8, 2022, </w:t>
      </w:r>
      <w:hyperlink r:id="rId3" w:history="1">
        <w:r w:rsidR="00017DF5" w:rsidRPr="00742924">
          <w:rPr>
            <w:rStyle w:val="Hyperlink"/>
            <w:sz w:val="18"/>
            <w:szCs w:val="18"/>
          </w:rPr>
          <w:t>https://www.hrw.org/report/2022/08/08/racial-discrimination-united-states/human-rights-watch/aclu-joint-submission</w:t>
        </w:r>
      </w:hyperlink>
      <w:r w:rsidR="00017DF5" w:rsidRPr="00742924">
        <w:rPr>
          <w:sz w:val="18"/>
          <w:szCs w:val="18"/>
        </w:rPr>
        <w:t xml:space="preserve">. </w:t>
      </w:r>
    </w:p>
  </w:footnote>
  <w:footnote w:id="4">
    <w:p w14:paraId="74713005" w14:textId="792BDB44" w:rsidR="00BD492F" w:rsidRPr="006A37FE" w:rsidRDefault="00BD492F" w:rsidP="00204F77">
      <w:pPr>
        <w:pStyle w:val="FootnoteText"/>
        <w:contextualSpacing/>
        <w:rPr>
          <w:sz w:val="18"/>
          <w:szCs w:val="18"/>
        </w:rPr>
      </w:pPr>
      <w:r w:rsidRPr="006A37FE">
        <w:rPr>
          <w:rStyle w:val="FootnoteReference"/>
          <w:sz w:val="18"/>
          <w:szCs w:val="18"/>
        </w:rPr>
        <w:footnoteRef/>
      </w:r>
      <w:r w:rsidRPr="006A37FE">
        <w:rPr>
          <w:sz w:val="18"/>
          <w:szCs w:val="18"/>
        </w:rPr>
        <w:t xml:space="preserve"> Committee on the Elimination of Racial Discrimination, “First draft General recommendation No. 37 (2023) on Racial discrimination in the enjoyment of the right to health,” </w:t>
      </w:r>
      <w:r w:rsidR="00D67467" w:rsidRPr="006A37FE">
        <w:rPr>
          <w:sz w:val="18"/>
          <w:szCs w:val="18"/>
        </w:rPr>
        <w:t xml:space="preserve">May 12, 2023, CERD/C/GC/R.37, </w:t>
      </w:r>
      <w:hyperlink r:id="rId4" w:history="1">
        <w:r w:rsidR="00D67467" w:rsidRPr="006A37FE">
          <w:rPr>
            <w:rStyle w:val="Hyperlink"/>
            <w:sz w:val="18"/>
            <w:szCs w:val="18"/>
          </w:rPr>
          <w:t>https://www.ohchr.org/en/documents/general-comments-and-recommendations/first-draft-general-recommendation-no-37-2023-racial</w:t>
        </w:r>
      </w:hyperlink>
      <w:r w:rsidR="00BD2619" w:rsidRPr="006A37FE">
        <w:rPr>
          <w:sz w:val="18"/>
          <w:szCs w:val="18"/>
        </w:rPr>
        <w:t xml:space="preserve"> (hereinafter “Draft GR No. 37”).</w:t>
      </w:r>
    </w:p>
  </w:footnote>
  <w:footnote w:id="5">
    <w:p w14:paraId="4A19902F" w14:textId="75AF7CD4" w:rsidR="00213F65" w:rsidRPr="006A37FE" w:rsidRDefault="00213F65" w:rsidP="00204F77">
      <w:pPr>
        <w:pStyle w:val="FootnoteText"/>
        <w:contextualSpacing/>
        <w:rPr>
          <w:sz w:val="18"/>
          <w:szCs w:val="18"/>
        </w:rPr>
      </w:pPr>
      <w:r w:rsidRPr="006A37FE">
        <w:rPr>
          <w:rStyle w:val="FootnoteReference"/>
          <w:sz w:val="18"/>
          <w:szCs w:val="18"/>
        </w:rPr>
        <w:footnoteRef/>
      </w:r>
      <w:r w:rsidRPr="006A37FE">
        <w:rPr>
          <w:sz w:val="18"/>
          <w:szCs w:val="18"/>
        </w:rPr>
        <w:t xml:space="preserve"> </w:t>
      </w:r>
      <w:r w:rsidR="00834858" w:rsidRPr="006A37FE">
        <w:rPr>
          <w:sz w:val="18"/>
          <w:szCs w:val="18"/>
        </w:rPr>
        <w:t xml:space="preserve">Ibid., at </w:t>
      </w:r>
      <w:r w:rsidRPr="006A37FE">
        <w:rPr>
          <w:sz w:val="18"/>
          <w:szCs w:val="18"/>
        </w:rPr>
        <w:t>II(B)(2)(a)(iii) (</w:t>
      </w:r>
      <w:r w:rsidR="005640DA" w:rsidRPr="006A37FE">
        <w:rPr>
          <w:sz w:val="18"/>
          <w:szCs w:val="18"/>
        </w:rPr>
        <w:t>underline</w:t>
      </w:r>
      <w:r w:rsidRPr="006A37FE">
        <w:rPr>
          <w:sz w:val="18"/>
          <w:szCs w:val="18"/>
        </w:rPr>
        <w:t xml:space="preserve"> added)</w:t>
      </w:r>
      <w:r w:rsidR="00834858" w:rsidRPr="006A37FE">
        <w:rPr>
          <w:sz w:val="18"/>
          <w:szCs w:val="18"/>
        </w:rPr>
        <w:t>.</w:t>
      </w:r>
    </w:p>
  </w:footnote>
  <w:footnote w:id="6">
    <w:p w14:paraId="17886149" w14:textId="73435C56" w:rsidR="0085615B" w:rsidRPr="006A37FE" w:rsidRDefault="0085615B">
      <w:pPr>
        <w:pStyle w:val="FootnoteText"/>
        <w:rPr>
          <w:sz w:val="18"/>
          <w:szCs w:val="18"/>
        </w:rPr>
      </w:pPr>
      <w:r w:rsidRPr="006A37FE">
        <w:rPr>
          <w:rStyle w:val="FootnoteReference"/>
          <w:sz w:val="18"/>
          <w:szCs w:val="18"/>
        </w:rPr>
        <w:footnoteRef/>
      </w:r>
      <w:r w:rsidRPr="006A37FE">
        <w:rPr>
          <w:sz w:val="18"/>
          <w:szCs w:val="18"/>
        </w:rPr>
        <w:t xml:space="preserve"> </w:t>
      </w:r>
      <w:r w:rsidR="00527284" w:rsidRPr="006A37FE">
        <w:rPr>
          <w:sz w:val="18"/>
          <w:szCs w:val="18"/>
        </w:rPr>
        <w:t xml:space="preserve">See </w:t>
      </w:r>
      <w:r w:rsidRPr="006A37FE">
        <w:rPr>
          <w:sz w:val="18"/>
          <w:szCs w:val="18"/>
        </w:rPr>
        <w:t xml:space="preserve">International Covenant on Economic, Social and Cultural Rights, December 16, 1966, General Assembly resolution 2200A (XXI), </w:t>
      </w:r>
      <w:hyperlink r:id="rId5" w:history="1">
        <w:r w:rsidRPr="006A37FE">
          <w:rPr>
            <w:rStyle w:val="Hyperlink"/>
            <w:sz w:val="18"/>
            <w:szCs w:val="18"/>
          </w:rPr>
          <w:t>https://www.ohchr.org/en/instruments-mechanisms/instruments/international-covenant-economic-social-and-cultural-rights</w:t>
        </w:r>
      </w:hyperlink>
      <w:r w:rsidRPr="006A37FE">
        <w:rPr>
          <w:sz w:val="18"/>
          <w:szCs w:val="18"/>
        </w:rPr>
        <w:t xml:space="preserve"> (hereinafter “ICESCR”)</w:t>
      </w:r>
      <w:r w:rsidR="007A08C8" w:rsidRPr="006A37FE">
        <w:rPr>
          <w:sz w:val="18"/>
          <w:szCs w:val="18"/>
        </w:rPr>
        <w:t xml:space="preserve">; Committee on Economic, Social and Cultural Rights (CESCR), “CESCR General Comment No. 3: The Nature of States Parties’ Obligations,” December 14, 1990, E/1991/23, </w:t>
      </w:r>
      <w:hyperlink r:id="rId6" w:history="1">
        <w:r w:rsidR="007A08C8" w:rsidRPr="006A37FE">
          <w:rPr>
            <w:rStyle w:val="Hyperlink"/>
            <w:sz w:val="18"/>
            <w:szCs w:val="18"/>
          </w:rPr>
          <w:t>https://www.refworld.org/pdfid/4538838e10.pdf</w:t>
        </w:r>
      </w:hyperlink>
      <w:r w:rsidR="007A08C8" w:rsidRPr="006A37FE">
        <w:rPr>
          <w:sz w:val="18"/>
          <w:szCs w:val="18"/>
        </w:rPr>
        <w:t xml:space="preserve"> (discussing ICESCR, Art. 2.1). </w:t>
      </w:r>
    </w:p>
  </w:footnote>
  <w:footnote w:id="7">
    <w:p w14:paraId="60241463" w14:textId="77777777" w:rsidR="00406FCD" w:rsidRPr="006A37FE" w:rsidRDefault="003B1D25" w:rsidP="00406FCD">
      <w:pPr>
        <w:pStyle w:val="FootnoteText"/>
        <w:rPr>
          <w:sz w:val="18"/>
          <w:szCs w:val="18"/>
        </w:rPr>
      </w:pPr>
      <w:r w:rsidRPr="006A37FE">
        <w:rPr>
          <w:rStyle w:val="FootnoteReference"/>
          <w:sz w:val="18"/>
          <w:szCs w:val="18"/>
        </w:rPr>
        <w:footnoteRef/>
      </w:r>
      <w:r w:rsidR="00412FE4" w:rsidRPr="006A37FE">
        <w:rPr>
          <w:sz w:val="18"/>
          <w:szCs w:val="18"/>
        </w:rPr>
        <w:t xml:space="preserve"> For further </w:t>
      </w:r>
      <w:r w:rsidR="00B116A1" w:rsidRPr="006A37FE">
        <w:rPr>
          <w:sz w:val="18"/>
          <w:szCs w:val="18"/>
        </w:rPr>
        <w:t xml:space="preserve">discussion of this concept, see, for example, </w:t>
      </w:r>
      <w:r w:rsidR="00412FE4" w:rsidRPr="006A37FE">
        <w:rPr>
          <w:sz w:val="18"/>
          <w:szCs w:val="18"/>
        </w:rPr>
        <w:t>K. G. Young,</w:t>
      </w:r>
      <w:r w:rsidR="00406FCD" w:rsidRPr="006A37FE">
        <w:rPr>
          <w:sz w:val="18"/>
          <w:szCs w:val="18"/>
        </w:rPr>
        <w:t xml:space="preserve"> “Waiting for Rights: Progressive Realization</w:t>
      </w:r>
    </w:p>
    <w:p w14:paraId="23229874" w14:textId="436D5F31" w:rsidR="003B1D25" w:rsidRPr="006A37FE" w:rsidRDefault="00406FCD">
      <w:pPr>
        <w:pStyle w:val="FootnoteText"/>
        <w:rPr>
          <w:sz w:val="18"/>
          <w:szCs w:val="18"/>
        </w:rPr>
      </w:pPr>
      <w:r w:rsidRPr="006A37FE">
        <w:rPr>
          <w:sz w:val="18"/>
          <w:szCs w:val="18"/>
        </w:rPr>
        <w:t xml:space="preserve">and Lost Time,” </w:t>
      </w:r>
      <w:r w:rsidR="00412FE4" w:rsidRPr="006A37FE">
        <w:rPr>
          <w:i/>
          <w:iCs/>
          <w:sz w:val="18"/>
          <w:szCs w:val="18"/>
        </w:rPr>
        <w:t>The Future of Economic and Social Rights</w:t>
      </w:r>
      <w:r w:rsidRPr="006A37FE">
        <w:rPr>
          <w:sz w:val="18"/>
          <w:szCs w:val="18"/>
        </w:rPr>
        <w:t xml:space="preserve">, </w:t>
      </w:r>
      <w:r w:rsidR="00412FE4" w:rsidRPr="006A37FE">
        <w:rPr>
          <w:sz w:val="18"/>
          <w:szCs w:val="18"/>
        </w:rPr>
        <w:t>Cambridge: Cambridge University Press</w:t>
      </w:r>
      <w:r w:rsidRPr="006A37FE">
        <w:rPr>
          <w:sz w:val="18"/>
          <w:szCs w:val="18"/>
        </w:rPr>
        <w:t xml:space="preserve">, 2019. </w:t>
      </w:r>
    </w:p>
  </w:footnote>
  <w:footnote w:id="8">
    <w:p w14:paraId="14665D90" w14:textId="37A6FAF3" w:rsidR="000D773C" w:rsidRPr="006A37FE" w:rsidRDefault="000D773C" w:rsidP="00204F77">
      <w:pPr>
        <w:pStyle w:val="FootnoteText"/>
        <w:contextualSpacing/>
        <w:rPr>
          <w:sz w:val="18"/>
          <w:szCs w:val="18"/>
        </w:rPr>
      </w:pPr>
      <w:r w:rsidRPr="006A37FE">
        <w:rPr>
          <w:rStyle w:val="FootnoteReference"/>
          <w:sz w:val="18"/>
          <w:szCs w:val="18"/>
        </w:rPr>
        <w:footnoteRef/>
      </w:r>
      <w:r w:rsidRPr="006A37FE">
        <w:rPr>
          <w:sz w:val="18"/>
          <w:szCs w:val="18"/>
        </w:rPr>
        <w:t xml:space="preserve"> </w:t>
      </w:r>
      <w:r w:rsidR="00C0304D" w:rsidRPr="006A37FE">
        <w:rPr>
          <w:sz w:val="18"/>
          <w:szCs w:val="18"/>
        </w:rPr>
        <w:t>Draft GR No. 37</w:t>
      </w:r>
      <w:r w:rsidRPr="006A37FE">
        <w:rPr>
          <w:sz w:val="18"/>
          <w:szCs w:val="18"/>
        </w:rPr>
        <w:t>, at II(B)(2)(b)</w:t>
      </w:r>
      <w:r w:rsidR="00924697" w:rsidRPr="006A37FE">
        <w:rPr>
          <w:sz w:val="18"/>
          <w:szCs w:val="18"/>
        </w:rPr>
        <w:t>-(b)</w:t>
      </w:r>
      <w:r w:rsidRPr="006A37FE">
        <w:rPr>
          <w:sz w:val="18"/>
          <w:szCs w:val="18"/>
        </w:rPr>
        <w:t>(iii) (</w:t>
      </w:r>
      <w:r w:rsidR="00E532F9" w:rsidRPr="006A37FE">
        <w:rPr>
          <w:sz w:val="18"/>
          <w:szCs w:val="18"/>
        </w:rPr>
        <w:t xml:space="preserve">underline </w:t>
      </w:r>
      <w:r w:rsidRPr="006A37FE">
        <w:rPr>
          <w:sz w:val="18"/>
          <w:szCs w:val="18"/>
        </w:rPr>
        <w:t xml:space="preserve">added). </w:t>
      </w:r>
    </w:p>
  </w:footnote>
  <w:footnote w:id="9">
    <w:p w14:paraId="09B16D61" w14:textId="77777777" w:rsidR="00EC3249" w:rsidRPr="006A37FE" w:rsidRDefault="00EC3249" w:rsidP="00EC3249">
      <w:pPr>
        <w:spacing w:after="0" w:line="240" w:lineRule="auto"/>
        <w:contextualSpacing/>
        <w:rPr>
          <w:sz w:val="18"/>
          <w:szCs w:val="18"/>
        </w:rPr>
      </w:pPr>
      <w:r w:rsidRPr="006A37FE">
        <w:rPr>
          <w:rStyle w:val="FootnoteReference"/>
          <w:sz w:val="18"/>
          <w:szCs w:val="18"/>
        </w:rPr>
        <w:footnoteRef/>
      </w:r>
      <w:r w:rsidRPr="006A37FE">
        <w:rPr>
          <w:sz w:val="18"/>
          <w:szCs w:val="18"/>
        </w:rPr>
        <w:t xml:space="preserve"> Committee on the Elimination of Racial Discrimination, “Concluding observations on the combined eighteenth to twentieth periodic reports of Brazil,” December 19, 2022, CERD/C/BRA/CO/18-20, </w:t>
      </w:r>
      <w:hyperlink r:id="rId7" w:history="1">
        <w:r w:rsidRPr="006A37FE">
          <w:rPr>
            <w:rStyle w:val="Hyperlink"/>
            <w:sz w:val="18"/>
            <w:szCs w:val="18"/>
          </w:rPr>
          <w:t>https://tbinternet.ohchr.org/_layouts/15/treatybodyexternal/Download.aspx?symbolno=CERD%2FC%2FBRA%2FCO%2F18-20&amp;Lang=en</w:t>
        </w:r>
      </w:hyperlink>
      <w:r w:rsidRPr="006A37FE">
        <w:rPr>
          <w:sz w:val="18"/>
          <w:szCs w:val="18"/>
        </w:rPr>
        <w:t xml:space="preserve">. </w:t>
      </w:r>
    </w:p>
  </w:footnote>
  <w:footnote w:id="10">
    <w:p w14:paraId="76BDD5A3" w14:textId="77777777" w:rsidR="004D5A11" w:rsidRPr="006A37FE" w:rsidRDefault="004D5A11" w:rsidP="00204F77">
      <w:pPr>
        <w:spacing w:after="0" w:line="240" w:lineRule="auto"/>
        <w:contextualSpacing/>
        <w:rPr>
          <w:sz w:val="18"/>
          <w:szCs w:val="18"/>
        </w:rPr>
      </w:pPr>
      <w:r w:rsidRPr="006A37FE">
        <w:rPr>
          <w:rStyle w:val="FootnoteReference"/>
          <w:sz w:val="18"/>
          <w:szCs w:val="18"/>
        </w:rPr>
        <w:footnoteRef/>
      </w:r>
      <w:r w:rsidRPr="006A37FE">
        <w:rPr>
          <w:sz w:val="18"/>
          <w:szCs w:val="18"/>
        </w:rPr>
        <w:t xml:space="preserve"> </w:t>
      </w:r>
      <w:r w:rsidR="00EC3249" w:rsidRPr="006A37FE">
        <w:rPr>
          <w:sz w:val="18"/>
          <w:szCs w:val="18"/>
        </w:rPr>
        <w:t>Ibid.</w:t>
      </w:r>
      <w:r w:rsidR="003156F3" w:rsidRPr="006A37FE">
        <w:rPr>
          <w:sz w:val="18"/>
          <w:szCs w:val="18"/>
        </w:rPr>
        <w:t xml:space="preserve">, at para. 15. </w:t>
      </w:r>
    </w:p>
  </w:footnote>
  <w:footnote w:id="11">
    <w:p w14:paraId="153521F1" w14:textId="06516082" w:rsidR="008B1FEC" w:rsidRPr="006A37FE" w:rsidRDefault="008B1FEC" w:rsidP="00204F77">
      <w:pPr>
        <w:pStyle w:val="FootnoteText"/>
        <w:contextualSpacing/>
        <w:rPr>
          <w:sz w:val="18"/>
          <w:szCs w:val="18"/>
        </w:rPr>
      </w:pPr>
      <w:r w:rsidRPr="006A37FE">
        <w:rPr>
          <w:rStyle w:val="FootnoteReference"/>
          <w:sz w:val="18"/>
          <w:szCs w:val="18"/>
        </w:rPr>
        <w:footnoteRef/>
      </w:r>
      <w:r w:rsidRPr="006A37FE">
        <w:rPr>
          <w:sz w:val="18"/>
          <w:szCs w:val="18"/>
        </w:rPr>
        <w:t xml:space="preserve"> </w:t>
      </w:r>
      <w:r w:rsidR="00DE7804" w:rsidRPr="006A37FE">
        <w:rPr>
          <w:sz w:val="18"/>
          <w:szCs w:val="18"/>
        </w:rPr>
        <w:t xml:space="preserve">Draft GR No. 37, at </w:t>
      </w:r>
      <w:r w:rsidRPr="006A37FE">
        <w:rPr>
          <w:sz w:val="18"/>
          <w:szCs w:val="18"/>
        </w:rPr>
        <w:t>II(B)(2)(b)(v) (</w:t>
      </w:r>
      <w:r w:rsidR="000340EA" w:rsidRPr="006A37FE">
        <w:rPr>
          <w:sz w:val="18"/>
          <w:szCs w:val="18"/>
        </w:rPr>
        <w:t xml:space="preserve">underline </w:t>
      </w:r>
      <w:r w:rsidRPr="006A37FE">
        <w:rPr>
          <w:sz w:val="18"/>
          <w:szCs w:val="18"/>
        </w:rPr>
        <w:t xml:space="preserve">added).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580D59" w14:textId="2D971829" w:rsidR="00AE0790" w:rsidRPr="00AE0790" w:rsidRDefault="00AE0790" w:rsidP="00AE0790">
    <w:pPr>
      <w:pStyle w:val="Header"/>
      <w:contextualSpacing/>
      <w:rPr>
        <w:sz w:val="18"/>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69AD5" w14:textId="77777777" w:rsidR="00777AFB" w:rsidRPr="00AE0790" w:rsidRDefault="00777AFB" w:rsidP="00777AFB">
    <w:pPr>
      <w:pStyle w:val="Header"/>
      <w:contextualSpacing/>
      <w:rPr>
        <w:sz w:val="18"/>
        <w:szCs w:val="18"/>
      </w:rPr>
    </w:pPr>
    <w:r>
      <w:rPr>
        <w:noProof/>
        <w:sz w:val="18"/>
        <w:szCs w:val="18"/>
      </w:rPr>
      <w:drawing>
        <wp:anchor distT="0" distB="0" distL="114300" distR="114300" simplePos="0" relativeHeight="251658240" behindDoc="1" locked="0" layoutInCell="1" allowOverlap="1" wp14:anchorId="688FFF6F" wp14:editId="774731BE">
          <wp:simplePos x="0" y="0"/>
          <wp:positionH relativeFrom="column">
            <wp:posOffset>5007433</wp:posOffset>
          </wp:positionH>
          <wp:positionV relativeFrom="paragraph">
            <wp:posOffset>-32356</wp:posOffset>
          </wp:positionV>
          <wp:extent cx="858520" cy="1115695"/>
          <wp:effectExtent l="0" t="0" r="0" b="8255"/>
          <wp:wrapTight wrapText="bothSides">
            <wp:wrapPolygon edited="0">
              <wp:start x="0" y="0"/>
              <wp:lineTo x="0" y="21391"/>
              <wp:lineTo x="21089" y="21391"/>
              <wp:lineTo x="21089" y="0"/>
              <wp:lineTo x="0" y="0"/>
            </wp:wrapPolygon>
          </wp:wrapTight>
          <wp:docPr id="1875343139" name="Picture 1875343139" descr="A blue and white rectangular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43139" name="Picture 3" descr="A blue and white rectangular sign&#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58520" cy="1115695"/>
                  </a:xfrm>
                  <a:prstGeom prst="rect">
                    <a:avLst/>
                  </a:prstGeom>
                  <a:noFill/>
                </pic:spPr>
              </pic:pic>
            </a:graphicData>
          </a:graphic>
          <wp14:sizeRelH relativeFrom="page">
            <wp14:pctWidth>0</wp14:pctWidth>
          </wp14:sizeRelH>
          <wp14:sizeRelV relativeFrom="page">
            <wp14:pctHeight>0</wp14:pctHeight>
          </wp14:sizeRelV>
        </wp:anchor>
      </w:drawing>
    </w:r>
    <w:r w:rsidRPr="00AE0790">
      <w:rPr>
        <w:sz w:val="18"/>
        <w:szCs w:val="18"/>
      </w:rPr>
      <w:t>350 Fifth Avenue, 34th Floor</w:t>
    </w:r>
  </w:p>
  <w:p w14:paraId="19CEA563" w14:textId="77777777" w:rsidR="00777AFB" w:rsidRPr="00AE0790" w:rsidRDefault="00777AFB" w:rsidP="00777AFB">
    <w:pPr>
      <w:pStyle w:val="Header"/>
      <w:contextualSpacing/>
      <w:rPr>
        <w:sz w:val="18"/>
        <w:szCs w:val="18"/>
      </w:rPr>
    </w:pPr>
    <w:r w:rsidRPr="00AE0790">
      <w:rPr>
        <w:sz w:val="18"/>
        <w:szCs w:val="18"/>
      </w:rPr>
      <w:t>New York, NY 10118-3299</w:t>
    </w:r>
  </w:p>
  <w:p w14:paraId="27AB8FCC" w14:textId="77777777" w:rsidR="00777AFB" w:rsidRPr="00AE0790" w:rsidRDefault="00777AFB" w:rsidP="00777AFB">
    <w:pPr>
      <w:pStyle w:val="Header"/>
      <w:contextualSpacing/>
      <w:rPr>
        <w:sz w:val="18"/>
        <w:szCs w:val="18"/>
      </w:rPr>
    </w:pPr>
    <w:r w:rsidRPr="00AE0790">
      <w:rPr>
        <w:sz w:val="18"/>
        <w:szCs w:val="18"/>
      </w:rPr>
      <w:t>Tel: +1-212-290-4700</w:t>
    </w:r>
  </w:p>
  <w:p w14:paraId="7BB84DDD" w14:textId="77777777" w:rsidR="00777AFB" w:rsidRPr="00AE0790" w:rsidRDefault="00777AFB" w:rsidP="00777AFB">
    <w:pPr>
      <w:pStyle w:val="Header"/>
      <w:contextualSpacing/>
      <w:rPr>
        <w:sz w:val="18"/>
        <w:szCs w:val="18"/>
      </w:rPr>
    </w:pPr>
    <w:r w:rsidRPr="00AE0790">
      <w:rPr>
        <w:sz w:val="18"/>
        <w:szCs w:val="18"/>
      </w:rPr>
      <w:t>Fax: +1-212-736-1300; 917-591-3452</w:t>
    </w:r>
  </w:p>
  <w:p w14:paraId="22525457" w14:textId="77777777" w:rsidR="00777AFB" w:rsidRDefault="00777AF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217470"/>
    <w:multiLevelType w:val="hybridMultilevel"/>
    <w:tmpl w:val="91865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B604D07"/>
    <w:multiLevelType w:val="multilevel"/>
    <w:tmpl w:val="AA0AE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52C9233B"/>
    <w:multiLevelType w:val="multilevel"/>
    <w:tmpl w:val="AA0AE25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69424EAD"/>
    <w:multiLevelType w:val="hybridMultilevel"/>
    <w:tmpl w:val="025285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FCB12FD"/>
    <w:multiLevelType w:val="hybridMultilevel"/>
    <w:tmpl w:val="432A1B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10716237">
    <w:abstractNumId w:val="2"/>
  </w:num>
  <w:num w:numId="2" w16cid:durableId="1999574131">
    <w:abstractNumId w:val="0"/>
  </w:num>
  <w:num w:numId="3" w16cid:durableId="554243560">
    <w:abstractNumId w:val="1"/>
  </w:num>
  <w:num w:numId="4" w16cid:durableId="745494767">
    <w:abstractNumId w:val="3"/>
  </w:num>
  <w:num w:numId="5" w16cid:durableId="20611296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0790"/>
    <w:rsid w:val="0000242D"/>
    <w:rsid w:val="00002C2C"/>
    <w:rsid w:val="00003744"/>
    <w:rsid w:val="00005BE8"/>
    <w:rsid w:val="00007CE7"/>
    <w:rsid w:val="00007EF1"/>
    <w:rsid w:val="00017741"/>
    <w:rsid w:val="00017DF5"/>
    <w:rsid w:val="00021795"/>
    <w:rsid w:val="000340EA"/>
    <w:rsid w:val="000349F8"/>
    <w:rsid w:val="0004660C"/>
    <w:rsid w:val="00056213"/>
    <w:rsid w:val="00060316"/>
    <w:rsid w:val="00061D67"/>
    <w:rsid w:val="00061DA4"/>
    <w:rsid w:val="00064EC7"/>
    <w:rsid w:val="00066484"/>
    <w:rsid w:val="00074E9B"/>
    <w:rsid w:val="00080B8E"/>
    <w:rsid w:val="00084392"/>
    <w:rsid w:val="000A485F"/>
    <w:rsid w:val="000C12EE"/>
    <w:rsid w:val="000C27FA"/>
    <w:rsid w:val="000C3D5E"/>
    <w:rsid w:val="000D3CE4"/>
    <w:rsid w:val="000D4E64"/>
    <w:rsid w:val="000D773C"/>
    <w:rsid w:val="000E2FFF"/>
    <w:rsid w:val="000F2E38"/>
    <w:rsid w:val="000F3082"/>
    <w:rsid w:val="000F643E"/>
    <w:rsid w:val="001023BF"/>
    <w:rsid w:val="00105F7D"/>
    <w:rsid w:val="0010657C"/>
    <w:rsid w:val="00110F0F"/>
    <w:rsid w:val="001179C3"/>
    <w:rsid w:val="0012183B"/>
    <w:rsid w:val="00122BC5"/>
    <w:rsid w:val="00124393"/>
    <w:rsid w:val="00133E98"/>
    <w:rsid w:val="00137747"/>
    <w:rsid w:val="001400FF"/>
    <w:rsid w:val="0014458D"/>
    <w:rsid w:val="00144C7B"/>
    <w:rsid w:val="00145415"/>
    <w:rsid w:val="0015159A"/>
    <w:rsid w:val="00172EC1"/>
    <w:rsid w:val="00173502"/>
    <w:rsid w:val="00182094"/>
    <w:rsid w:val="00182D76"/>
    <w:rsid w:val="00183E26"/>
    <w:rsid w:val="00197E8E"/>
    <w:rsid w:val="001A3D9A"/>
    <w:rsid w:val="001B43A7"/>
    <w:rsid w:val="001C311E"/>
    <w:rsid w:val="001C44A0"/>
    <w:rsid w:val="001C7A4B"/>
    <w:rsid w:val="001D4BA6"/>
    <w:rsid w:val="001D5533"/>
    <w:rsid w:val="001D6D71"/>
    <w:rsid w:val="001E1522"/>
    <w:rsid w:val="001E7B31"/>
    <w:rsid w:val="002033A2"/>
    <w:rsid w:val="0020477E"/>
    <w:rsid w:val="00204F77"/>
    <w:rsid w:val="0021307E"/>
    <w:rsid w:val="00213F65"/>
    <w:rsid w:val="00231294"/>
    <w:rsid w:val="00234069"/>
    <w:rsid w:val="00234FA1"/>
    <w:rsid w:val="00242920"/>
    <w:rsid w:val="00247B4C"/>
    <w:rsid w:val="0025117C"/>
    <w:rsid w:val="002556C6"/>
    <w:rsid w:val="00255DD7"/>
    <w:rsid w:val="00267289"/>
    <w:rsid w:val="00273C4D"/>
    <w:rsid w:val="00273DE8"/>
    <w:rsid w:val="0027431A"/>
    <w:rsid w:val="00282F11"/>
    <w:rsid w:val="00284827"/>
    <w:rsid w:val="00287503"/>
    <w:rsid w:val="00290116"/>
    <w:rsid w:val="002A07B0"/>
    <w:rsid w:val="002B0994"/>
    <w:rsid w:val="002C418F"/>
    <w:rsid w:val="002D0F31"/>
    <w:rsid w:val="002D6CEC"/>
    <w:rsid w:val="002F47E9"/>
    <w:rsid w:val="0030656E"/>
    <w:rsid w:val="00310228"/>
    <w:rsid w:val="00312ECA"/>
    <w:rsid w:val="003156F3"/>
    <w:rsid w:val="00322444"/>
    <w:rsid w:val="00323576"/>
    <w:rsid w:val="00325F0E"/>
    <w:rsid w:val="00327998"/>
    <w:rsid w:val="00330D23"/>
    <w:rsid w:val="00331822"/>
    <w:rsid w:val="00343F0A"/>
    <w:rsid w:val="00344557"/>
    <w:rsid w:val="00346526"/>
    <w:rsid w:val="00350EEC"/>
    <w:rsid w:val="00357397"/>
    <w:rsid w:val="0036134B"/>
    <w:rsid w:val="00374898"/>
    <w:rsid w:val="00375032"/>
    <w:rsid w:val="003844FC"/>
    <w:rsid w:val="00385F53"/>
    <w:rsid w:val="0038735E"/>
    <w:rsid w:val="003929DD"/>
    <w:rsid w:val="003B1D25"/>
    <w:rsid w:val="003B4F1F"/>
    <w:rsid w:val="003B7699"/>
    <w:rsid w:val="003C0347"/>
    <w:rsid w:val="003C2629"/>
    <w:rsid w:val="003D69CD"/>
    <w:rsid w:val="003D6B5A"/>
    <w:rsid w:val="003E0A78"/>
    <w:rsid w:val="003E308D"/>
    <w:rsid w:val="003E5FBE"/>
    <w:rsid w:val="003F0FD9"/>
    <w:rsid w:val="003F6929"/>
    <w:rsid w:val="004058C8"/>
    <w:rsid w:val="00406FCD"/>
    <w:rsid w:val="00410341"/>
    <w:rsid w:val="00412FE4"/>
    <w:rsid w:val="0042108E"/>
    <w:rsid w:val="004324A0"/>
    <w:rsid w:val="00435370"/>
    <w:rsid w:val="00447389"/>
    <w:rsid w:val="00452D6F"/>
    <w:rsid w:val="00457184"/>
    <w:rsid w:val="00457FE9"/>
    <w:rsid w:val="00460282"/>
    <w:rsid w:val="00465A96"/>
    <w:rsid w:val="00471508"/>
    <w:rsid w:val="00472224"/>
    <w:rsid w:val="004753B8"/>
    <w:rsid w:val="00476CC1"/>
    <w:rsid w:val="004806EC"/>
    <w:rsid w:val="00481B57"/>
    <w:rsid w:val="004868BD"/>
    <w:rsid w:val="00487F72"/>
    <w:rsid w:val="00490102"/>
    <w:rsid w:val="004919FA"/>
    <w:rsid w:val="00491E71"/>
    <w:rsid w:val="00494FA7"/>
    <w:rsid w:val="0049510E"/>
    <w:rsid w:val="00497EBE"/>
    <w:rsid w:val="004A1CF5"/>
    <w:rsid w:val="004A30D3"/>
    <w:rsid w:val="004B1289"/>
    <w:rsid w:val="004B3DBC"/>
    <w:rsid w:val="004B3F38"/>
    <w:rsid w:val="004B3F85"/>
    <w:rsid w:val="004B57B6"/>
    <w:rsid w:val="004C03FC"/>
    <w:rsid w:val="004C07FF"/>
    <w:rsid w:val="004C381A"/>
    <w:rsid w:val="004C7D8B"/>
    <w:rsid w:val="004D2D56"/>
    <w:rsid w:val="004D30FA"/>
    <w:rsid w:val="004D5A11"/>
    <w:rsid w:val="004E1146"/>
    <w:rsid w:val="004E68A7"/>
    <w:rsid w:val="004E6D2C"/>
    <w:rsid w:val="004F3425"/>
    <w:rsid w:val="004F3C04"/>
    <w:rsid w:val="004F5D4A"/>
    <w:rsid w:val="00502AD6"/>
    <w:rsid w:val="00504002"/>
    <w:rsid w:val="00513113"/>
    <w:rsid w:val="00515C1C"/>
    <w:rsid w:val="005244B6"/>
    <w:rsid w:val="00527284"/>
    <w:rsid w:val="0054252A"/>
    <w:rsid w:val="00543573"/>
    <w:rsid w:val="00547D70"/>
    <w:rsid w:val="00551554"/>
    <w:rsid w:val="0055167F"/>
    <w:rsid w:val="00555EA6"/>
    <w:rsid w:val="005575E5"/>
    <w:rsid w:val="005640DA"/>
    <w:rsid w:val="00574A25"/>
    <w:rsid w:val="00582FE3"/>
    <w:rsid w:val="00582FE4"/>
    <w:rsid w:val="00592B1E"/>
    <w:rsid w:val="005A05D0"/>
    <w:rsid w:val="005A2637"/>
    <w:rsid w:val="005A5A86"/>
    <w:rsid w:val="005A5CA8"/>
    <w:rsid w:val="005B1E61"/>
    <w:rsid w:val="005B299F"/>
    <w:rsid w:val="005B41EC"/>
    <w:rsid w:val="005B4F42"/>
    <w:rsid w:val="005B5738"/>
    <w:rsid w:val="005B759A"/>
    <w:rsid w:val="005C6BEE"/>
    <w:rsid w:val="005D0EC3"/>
    <w:rsid w:val="005D25A2"/>
    <w:rsid w:val="005E2644"/>
    <w:rsid w:val="005E3B86"/>
    <w:rsid w:val="005E4BCD"/>
    <w:rsid w:val="005F5EEF"/>
    <w:rsid w:val="00601A9D"/>
    <w:rsid w:val="00607F48"/>
    <w:rsid w:val="0062114D"/>
    <w:rsid w:val="00627872"/>
    <w:rsid w:val="0063203F"/>
    <w:rsid w:val="00644892"/>
    <w:rsid w:val="00654A5F"/>
    <w:rsid w:val="00660477"/>
    <w:rsid w:val="006646A8"/>
    <w:rsid w:val="00664789"/>
    <w:rsid w:val="006647B3"/>
    <w:rsid w:val="0067294C"/>
    <w:rsid w:val="00673B99"/>
    <w:rsid w:val="0067496D"/>
    <w:rsid w:val="00676ABF"/>
    <w:rsid w:val="006822F1"/>
    <w:rsid w:val="00682829"/>
    <w:rsid w:val="00686382"/>
    <w:rsid w:val="00695547"/>
    <w:rsid w:val="006A125E"/>
    <w:rsid w:val="006A37FE"/>
    <w:rsid w:val="006A7757"/>
    <w:rsid w:val="006B6532"/>
    <w:rsid w:val="006C2064"/>
    <w:rsid w:val="006C2EBF"/>
    <w:rsid w:val="006D0618"/>
    <w:rsid w:val="006E03D6"/>
    <w:rsid w:val="006E3D38"/>
    <w:rsid w:val="006F0848"/>
    <w:rsid w:val="006F1274"/>
    <w:rsid w:val="006F7FCF"/>
    <w:rsid w:val="007004CA"/>
    <w:rsid w:val="00701007"/>
    <w:rsid w:val="00704FA7"/>
    <w:rsid w:val="00706B17"/>
    <w:rsid w:val="00706DA3"/>
    <w:rsid w:val="00713823"/>
    <w:rsid w:val="00724D99"/>
    <w:rsid w:val="0073655B"/>
    <w:rsid w:val="00737504"/>
    <w:rsid w:val="007378C9"/>
    <w:rsid w:val="00742924"/>
    <w:rsid w:val="007459C9"/>
    <w:rsid w:val="00750827"/>
    <w:rsid w:val="0075168A"/>
    <w:rsid w:val="007578DA"/>
    <w:rsid w:val="007614E9"/>
    <w:rsid w:val="00777AFB"/>
    <w:rsid w:val="00781E30"/>
    <w:rsid w:val="00782A19"/>
    <w:rsid w:val="00795F6C"/>
    <w:rsid w:val="007A08C8"/>
    <w:rsid w:val="007B1DD9"/>
    <w:rsid w:val="007B288A"/>
    <w:rsid w:val="007B3177"/>
    <w:rsid w:val="007B4704"/>
    <w:rsid w:val="007B5976"/>
    <w:rsid w:val="007D1F98"/>
    <w:rsid w:val="007F0ACF"/>
    <w:rsid w:val="00803C0E"/>
    <w:rsid w:val="008056ED"/>
    <w:rsid w:val="008102FC"/>
    <w:rsid w:val="00813547"/>
    <w:rsid w:val="00813A0C"/>
    <w:rsid w:val="008248A0"/>
    <w:rsid w:val="00834858"/>
    <w:rsid w:val="00842BF1"/>
    <w:rsid w:val="00855481"/>
    <w:rsid w:val="0085615B"/>
    <w:rsid w:val="00857E45"/>
    <w:rsid w:val="00862596"/>
    <w:rsid w:val="00874CF8"/>
    <w:rsid w:val="00875F24"/>
    <w:rsid w:val="00881322"/>
    <w:rsid w:val="0088135F"/>
    <w:rsid w:val="008871CA"/>
    <w:rsid w:val="00890F26"/>
    <w:rsid w:val="00895030"/>
    <w:rsid w:val="008957C7"/>
    <w:rsid w:val="00895AC4"/>
    <w:rsid w:val="008962F8"/>
    <w:rsid w:val="008A4804"/>
    <w:rsid w:val="008A749D"/>
    <w:rsid w:val="008B1FEC"/>
    <w:rsid w:val="008B60EF"/>
    <w:rsid w:val="008C1809"/>
    <w:rsid w:val="008C1DA0"/>
    <w:rsid w:val="008C2455"/>
    <w:rsid w:val="008C2D8B"/>
    <w:rsid w:val="008C353C"/>
    <w:rsid w:val="008D003A"/>
    <w:rsid w:val="008D6941"/>
    <w:rsid w:val="008D78BA"/>
    <w:rsid w:val="008D7B26"/>
    <w:rsid w:val="008D7EEE"/>
    <w:rsid w:val="008E0A60"/>
    <w:rsid w:val="008E2801"/>
    <w:rsid w:val="008E29DF"/>
    <w:rsid w:val="008E3794"/>
    <w:rsid w:val="008E6A39"/>
    <w:rsid w:val="008F3506"/>
    <w:rsid w:val="009128BD"/>
    <w:rsid w:val="009178ED"/>
    <w:rsid w:val="00922F19"/>
    <w:rsid w:val="00924697"/>
    <w:rsid w:val="00924CB7"/>
    <w:rsid w:val="0093724E"/>
    <w:rsid w:val="00955603"/>
    <w:rsid w:val="009609B7"/>
    <w:rsid w:val="00962B03"/>
    <w:rsid w:val="009711E5"/>
    <w:rsid w:val="0097374D"/>
    <w:rsid w:val="0097526F"/>
    <w:rsid w:val="00977775"/>
    <w:rsid w:val="00977DAF"/>
    <w:rsid w:val="00986FC6"/>
    <w:rsid w:val="00987B46"/>
    <w:rsid w:val="009A1A62"/>
    <w:rsid w:val="009A2054"/>
    <w:rsid w:val="009A2A07"/>
    <w:rsid w:val="009A48AC"/>
    <w:rsid w:val="009A4C2A"/>
    <w:rsid w:val="009A7298"/>
    <w:rsid w:val="009B72E9"/>
    <w:rsid w:val="009C7FA5"/>
    <w:rsid w:val="009E1E31"/>
    <w:rsid w:val="009E3AE2"/>
    <w:rsid w:val="00A005A5"/>
    <w:rsid w:val="00A0292B"/>
    <w:rsid w:val="00A03BF1"/>
    <w:rsid w:val="00A0633E"/>
    <w:rsid w:val="00A13932"/>
    <w:rsid w:val="00A14546"/>
    <w:rsid w:val="00A23488"/>
    <w:rsid w:val="00A321FD"/>
    <w:rsid w:val="00A549E1"/>
    <w:rsid w:val="00A60BE2"/>
    <w:rsid w:val="00A66843"/>
    <w:rsid w:val="00A73540"/>
    <w:rsid w:val="00A75850"/>
    <w:rsid w:val="00A8642C"/>
    <w:rsid w:val="00A929AA"/>
    <w:rsid w:val="00A92FA1"/>
    <w:rsid w:val="00A954AD"/>
    <w:rsid w:val="00A971CF"/>
    <w:rsid w:val="00AB7C1B"/>
    <w:rsid w:val="00AC23F2"/>
    <w:rsid w:val="00AC3C8B"/>
    <w:rsid w:val="00AC5126"/>
    <w:rsid w:val="00AD1D49"/>
    <w:rsid w:val="00AD39ED"/>
    <w:rsid w:val="00AD4BD5"/>
    <w:rsid w:val="00AD61EC"/>
    <w:rsid w:val="00AE0790"/>
    <w:rsid w:val="00AE2DD8"/>
    <w:rsid w:val="00AF04A3"/>
    <w:rsid w:val="00B00373"/>
    <w:rsid w:val="00B049DF"/>
    <w:rsid w:val="00B115D5"/>
    <w:rsid w:val="00B116A1"/>
    <w:rsid w:val="00B120DB"/>
    <w:rsid w:val="00B12ACF"/>
    <w:rsid w:val="00B13D7A"/>
    <w:rsid w:val="00B223AE"/>
    <w:rsid w:val="00B224E9"/>
    <w:rsid w:val="00B242C4"/>
    <w:rsid w:val="00B31201"/>
    <w:rsid w:val="00B31937"/>
    <w:rsid w:val="00B342C6"/>
    <w:rsid w:val="00B36A8C"/>
    <w:rsid w:val="00B40DA4"/>
    <w:rsid w:val="00B432EC"/>
    <w:rsid w:val="00B4351D"/>
    <w:rsid w:val="00B43667"/>
    <w:rsid w:val="00B510A1"/>
    <w:rsid w:val="00B54602"/>
    <w:rsid w:val="00B54913"/>
    <w:rsid w:val="00B574E1"/>
    <w:rsid w:val="00B6505E"/>
    <w:rsid w:val="00B65B60"/>
    <w:rsid w:val="00B6677E"/>
    <w:rsid w:val="00B67166"/>
    <w:rsid w:val="00B715B6"/>
    <w:rsid w:val="00B757DF"/>
    <w:rsid w:val="00B869E4"/>
    <w:rsid w:val="00B87618"/>
    <w:rsid w:val="00B87EB3"/>
    <w:rsid w:val="00B91B9F"/>
    <w:rsid w:val="00B92067"/>
    <w:rsid w:val="00B97693"/>
    <w:rsid w:val="00BA0B8C"/>
    <w:rsid w:val="00BA1B5C"/>
    <w:rsid w:val="00BB0666"/>
    <w:rsid w:val="00BB098D"/>
    <w:rsid w:val="00BB5FE7"/>
    <w:rsid w:val="00BC4420"/>
    <w:rsid w:val="00BD2619"/>
    <w:rsid w:val="00BD3941"/>
    <w:rsid w:val="00BD492F"/>
    <w:rsid w:val="00BF1899"/>
    <w:rsid w:val="00BF4995"/>
    <w:rsid w:val="00C006F2"/>
    <w:rsid w:val="00C0304D"/>
    <w:rsid w:val="00C11E1B"/>
    <w:rsid w:val="00C207C1"/>
    <w:rsid w:val="00C3335F"/>
    <w:rsid w:val="00C36F18"/>
    <w:rsid w:val="00C504CD"/>
    <w:rsid w:val="00C647F9"/>
    <w:rsid w:val="00C66705"/>
    <w:rsid w:val="00C67979"/>
    <w:rsid w:val="00C67D5C"/>
    <w:rsid w:val="00C71C02"/>
    <w:rsid w:val="00C803F7"/>
    <w:rsid w:val="00C80C21"/>
    <w:rsid w:val="00C86C53"/>
    <w:rsid w:val="00C932A2"/>
    <w:rsid w:val="00C97D37"/>
    <w:rsid w:val="00CA1580"/>
    <w:rsid w:val="00CA7DEF"/>
    <w:rsid w:val="00CB33E6"/>
    <w:rsid w:val="00CB45BA"/>
    <w:rsid w:val="00CB6F7C"/>
    <w:rsid w:val="00CC05BF"/>
    <w:rsid w:val="00CC11F8"/>
    <w:rsid w:val="00CC37AD"/>
    <w:rsid w:val="00CC3D53"/>
    <w:rsid w:val="00CC449B"/>
    <w:rsid w:val="00CD105A"/>
    <w:rsid w:val="00CD317B"/>
    <w:rsid w:val="00CE059C"/>
    <w:rsid w:val="00CE553F"/>
    <w:rsid w:val="00CF3B00"/>
    <w:rsid w:val="00CF5F70"/>
    <w:rsid w:val="00D020D8"/>
    <w:rsid w:val="00D0270D"/>
    <w:rsid w:val="00D03F91"/>
    <w:rsid w:val="00D06F05"/>
    <w:rsid w:val="00D14187"/>
    <w:rsid w:val="00D2049B"/>
    <w:rsid w:val="00D2134A"/>
    <w:rsid w:val="00D219DB"/>
    <w:rsid w:val="00D333B0"/>
    <w:rsid w:val="00D47F13"/>
    <w:rsid w:val="00D50CE9"/>
    <w:rsid w:val="00D50DE0"/>
    <w:rsid w:val="00D514ED"/>
    <w:rsid w:val="00D549C8"/>
    <w:rsid w:val="00D5630E"/>
    <w:rsid w:val="00D60968"/>
    <w:rsid w:val="00D67467"/>
    <w:rsid w:val="00D728E4"/>
    <w:rsid w:val="00D72D28"/>
    <w:rsid w:val="00D75886"/>
    <w:rsid w:val="00D8071A"/>
    <w:rsid w:val="00D81648"/>
    <w:rsid w:val="00D8777B"/>
    <w:rsid w:val="00D90DC7"/>
    <w:rsid w:val="00D90EB8"/>
    <w:rsid w:val="00D92702"/>
    <w:rsid w:val="00D95255"/>
    <w:rsid w:val="00D95443"/>
    <w:rsid w:val="00D95EC8"/>
    <w:rsid w:val="00DA06E5"/>
    <w:rsid w:val="00DA3DFF"/>
    <w:rsid w:val="00DA7EA8"/>
    <w:rsid w:val="00DB0121"/>
    <w:rsid w:val="00DB1D7D"/>
    <w:rsid w:val="00DB5F7F"/>
    <w:rsid w:val="00DC07E0"/>
    <w:rsid w:val="00DC21DC"/>
    <w:rsid w:val="00DC6719"/>
    <w:rsid w:val="00DE1667"/>
    <w:rsid w:val="00DE1C44"/>
    <w:rsid w:val="00DE5D1A"/>
    <w:rsid w:val="00DE6F43"/>
    <w:rsid w:val="00DE7804"/>
    <w:rsid w:val="00DF7C3C"/>
    <w:rsid w:val="00E013D6"/>
    <w:rsid w:val="00E10951"/>
    <w:rsid w:val="00E13D56"/>
    <w:rsid w:val="00E16ABB"/>
    <w:rsid w:val="00E22562"/>
    <w:rsid w:val="00E40648"/>
    <w:rsid w:val="00E532F9"/>
    <w:rsid w:val="00E57BB4"/>
    <w:rsid w:val="00E60BE5"/>
    <w:rsid w:val="00E67990"/>
    <w:rsid w:val="00E73ADC"/>
    <w:rsid w:val="00E753FF"/>
    <w:rsid w:val="00E77EAB"/>
    <w:rsid w:val="00E814ED"/>
    <w:rsid w:val="00E83618"/>
    <w:rsid w:val="00E83ED8"/>
    <w:rsid w:val="00E84FFB"/>
    <w:rsid w:val="00E86E3E"/>
    <w:rsid w:val="00E95BF2"/>
    <w:rsid w:val="00E96189"/>
    <w:rsid w:val="00EB6E26"/>
    <w:rsid w:val="00EC16CC"/>
    <w:rsid w:val="00EC2EC3"/>
    <w:rsid w:val="00EC3249"/>
    <w:rsid w:val="00EC32D3"/>
    <w:rsid w:val="00ED1D0D"/>
    <w:rsid w:val="00ED1F74"/>
    <w:rsid w:val="00ED296D"/>
    <w:rsid w:val="00EE553C"/>
    <w:rsid w:val="00EF0EC4"/>
    <w:rsid w:val="00EF26F0"/>
    <w:rsid w:val="00F01763"/>
    <w:rsid w:val="00F03E11"/>
    <w:rsid w:val="00F15462"/>
    <w:rsid w:val="00F20902"/>
    <w:rsid w:val="00F23A9E"/>
    <w:rsid w:val="00F31174"/>
    <w:rsid w:val="00F32D25"/>
    <w:rsid w:val="00F34088"/>
    <w:rsid w:val="00F34B2C"/>
    <w:rsid w:val="00F36279"/>
    <w:rsid w:val="00F45CBC"/>
    <w:rsid w:val="00F4655E"/>
    <w:rsid w:val="00F47B06"/>
    <w:rsid w:val="00F51BE8"/>
    <w:rsid w:val="00F528DC"/>
    <w:rsid w:val="00F548CE"/>
    <w:rsid w:val="00F570C7"/>
    <w:rsid w:val="00F63FF5"/>
    <w:rsid w:val="00F71C2D"/>
    <w:rsid w:val="00F7351A"/>
    <w:rsid w:val="00F73EB5"/>
    <w:rsid w:val="00F74D1C"/>
    <w:rsid w:val="00F7562C"/>
    <w:rsid w:val="00F82888"/>
    <w:rsid w:val="00F83E3F"/>
    <w:rsid w:val="00F851EE"/>
    <w:rsid w:val="00F87E76"/>
    <w:rsid w:val="00F904F5"/>
    <w:rsid w:val="00F9761E"/>
    <w:rsid w:val="00FC200B"/>
    <w:rsid w:val="00FC3C99"/>
    <w:rsid w:val="00FC6F68"/>
    <w:rsid w:val="00FC6F79"/>
    <w:rsid w:val="00FC7621"/>
    <w:rsid w:val="00FD2A8B"/>
    <w:rsid w:val="00FD79D0"/>
    <w:rsid w:val="00FE4C5A"/>
    <w:rsid w:val="00FE5110"/>
    <w:rsid w:val="00FF179F"/>
    <w:rsid w:val="00FF5508"/>
    <w:rsid w:val="01E9A8F7"/>
    <w:rsid w:val="03326F54"/>
    <w:rsid w:val="08BF3647"/>
    <w:rsid w:val="0CBDCBC4"/>
    <w:rsid w:val="10E01303"/>
    <w:rsid w:val="11664333"/>
    <w:rsid w:val="139F277B"/>
    <w:rsid w:val="1824B80A"/>
    <w:rsid w:val="1844B4D0"/>
    <w:rsid w:val="1A38CD94"/>
    <w:rsid w:val="1B22AA72"/>
    <w:rsid w:val="1B955460"/>
    <w:rsid w:val="1CA57BB3"/>
    <w:rsid w:val="1F2F6223"/>
    <w:rsid w:val="20286C61"/>
    <w:rsid w:val="2307307B"/>
    <w:rsid w:val="2385FCF2"/>
    <w:rsid w:val="23B46BDE"/>
    <w:rsid w:val="241765A5"/>
    <w:rsid w:val="24571B13"/>
    <w:rsid w:val="26272FC4"/>
    <w:rsid w:val="262BB63C"/>
    <w:rsid w:val="267EE704"/>
    <w:rsid w:val="2907AD1F"/>
    <w:rsid w:val="29373C8C"/>
    <w:rsid w:val="2A90DE24"/>
    <w:rsid w:val="2C1413F8"/>
    <w:rsid w:val="2CBF7DCA"/>
    <w:rsid w:val="2F354735"/>
    <w:rsid w:val="2F8D79EB"/>
    <w:rsid w:val="35082405"/>
    <w:rsid w:val="351F2281"/>
    <w:rsid w:val="357156AE"/>
    <w:rsid w:val="37FBFCC8"/>
    <w:rsid w:val="38ED1F63"/>
    <w:rsid w:val="39E5ECA2"/>
    <w:rsid w:val="3A2918D9"/>
    <w:rsid w:val="3A8E6C65"/>
    <w:rsid w:val="3B7165B8"/>
    <w:rsid w:val="3B776589"/>
    <w:rsid w:val="3C697208"/>
    <w:rsid w:val="3DAE100E"/>
    <w:rsid w:val="3DC8920D"/>
    <w:rsid w:val="3DD5FAAF"/>
    <w:rsid w:val="3F9A760D"/>
    <w:rsid w:val="42ACAF44"/>
    <w:rsid w:val="43304BB4"/>
    <w:rsid w:val="440E9D6A"/>
    <w:rsid w:val="4555DC4F"/>
    <w:rsid w:val="45BC652C"/>
    <w:rsid w:val="46319922"/>
    <w:rsid w:val="465EEE3C"/>
    <w:rsid w:val="466FD51B"/>
    <w:rsid w:val="47D4271E"/>
    <w:rsid w:val="4820741B"/>
    <w:rsid w:val="499C03C0"/>
    <w:rsid w:val="4C20C7C4"/>
    <w:rsid w:val="4C52395D"/>
    <w:rsid w:val="4D3BCF92"/>
    <w:rsid w:val="528B464B"/>
    <w:rsid w:val="52D7656D"/>
    <w:rsid w:val="5E477044"/>
    <w:rsid w:val="5EBD35D1"/>
    <w:rsid w:val="5F17979A"/>
    <w:rsid w:val="5F326390"/>
    <w:rsid w:val="604E8651"/>
    <w:rsid w:val="609BD6A4"/>
    <w:rsid w:val="60DE639F"/>
    <w:rsid w:val="63ADC336"/>
    <w:rsid w:val="64160461"/>
    <w:rsid w:val="64A0BE02"/>
    <w:rsid w:val="65D02723"/>
    <w:rsid w:val="665F3EAE"/>
    <w:rsid w:val="67DA01D2"/>
    <w:rsid w:val="6944974E"/>
    <w:rsid w:val="695C4052"/>
    <w:rsid w:val="6991718B"/>
    <w:rsid w:val="6CBE5749"/>
    <w:rsid w:val="6D4B7E90"/>
    <w:rsid w:val="6DBC6614"/>
    <w:rsid w:val="6FBAD168"/>
    <w:rsid w:val="749DF6DA"/>
    <w:rsid w:val="751FEB1E"/>
    <w:rsid w:val="76928BCD"/>
    <w:rsid w:val="7875799A"/>
    <w:rsid w:val="7A325153"/>
    <w:rsid w:val="7B760445"/>
    <w:rsid w:val="7CE5D343"/>
    <w:rsid w:val="7F858C40"/>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000BAD"/>
  <w15:chartTrackingRefBased/>
  <w15:docId w15:val="{73A8F0FD-A07B-4234-85C3-3208F9E88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787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079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E0790"/>
  </w:style>
  <w:style w:type="paragraph" w:styleId="Footer">
    <w:name w:val="footer"/>
    <w:basedOn w:val="Normal"/>
    <w:link w:val="FooterChar"/>
    <w:uiPriority w:val="99"/>
    <w:unhideWhenUsed/>
    <w:rsid w:val="00AE079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E0790"/>
  </w:style>
  <w:style w:type="character" w:styleId="CommentReference">
    <w:name w:val="annotation reference"/>
    <w:basedOn w:val="DefaultParagraphFont"/>
    <w:uiPriority w:val="99"/>
    <w:semiHidden/>
    <w:unhideWhenUsed/>
    <w:rsid w:val="00273C4D"/>
    <w:rPr>
      <w:sz w:val="16"/>
      <w:szCs w:val="16"/>
    </w:rPr>
  </w:style>
  <w:style w:type="paragraph" w:styleId="CommentText">
    <w:name w:val="annotation text"/>
    <w:basedOn w:val="Normal"/>
    <w:link w:val="CommentTextChar"/>
    <w:uiPriority w:val="99"/>
    <w:unhideWhenUsed/>
    <w:rsid w:val="00273C4D"/>
    <w:pPr>
      <w:spacing w:line="240" w:lineRule="auto"/>
    </w:pPr>
    <w:rPr>
      <w:sz w:val="20"/>
      <w:szCs w:val="20"/>
    </w:rPr>
  </w:style>
  <w:style w:type="character" w:customStyle="1" w:styleId="CommentTextChar">
    <w:name w:val="Comment Text Char"/>
    <w:basedOn w:val="DefaultParagraphFont"/>
    <w:link w:val="CommentText"/>
    <w:uiPriority w:val="99"/>
    <w:rsid w:val="00273C4D"/>
    <w:rPr>
      <w:sz w:val="20"/>
      <w:szCs w:val="20"/>
    </w:rPr>
  </w:style>
  <w:style w:type="paragraph" w:styleId="CommentSubject">
    <w:name w:val="annotation subject"/>
    <w:basedOn w:val="CommentText"/>
    <w:next w:val="CommentText"/>
    <w:link w:val="CommentSubjectChar"/>
    <w:uiPriority w:val="99"/>
    <w:semiHidden/>
    <w:unhideWhenUsed/>
    <w:rsid w:val="00273C4D"/>
    <w:rPr>
      <w:b/>
      <w:bCs/>
    </w:rPr>
  </w:style>
  <w:style w:type="character" w:customStyle="1" w:styleId="CommentSubjectChar">
    <w:name w:val="Comment Subject Char"/>
    <w:basedOn w:val="CommentTextChar"/>
    <w:link w:val="CommentSubject"/>
    <w:uiPriority w:val="99"/>
    <w:semiHidden/>
    <w:rsid w:val="00273C4D"/>
    <w:rPr>
      <w:b/>
      <w:bCs/>
      <w:sz w:val="20"/>
      <w:szCs w:val="20"/>
    </w:rPr>
  </w:style>
  <w:style w:type="character" w:styleId="Hyperlink">
    <w:name w:val="Hyperlink"/>
    <w:basedOn w:val="DefaultParagraphFont"/>
    <w:uiPriority w:val="99"/>
    <w:unhideWhenUsed/>
    <w:rsid w:val="00273C4D"/>
    <w:rPr>
      <w:color w:val="0563C1" w:themeColor="hyperlink"/>
      <w:u w:val="single"/>
    </w:rPr>
  </w:style>
  <w:style w:type="character" w:styleId="UnresolvedMention">
    <w:name w:val="Unresolved Mention"/>
    <w:basedOn w:val="DefaultParagraphFont"/>
    <w:uiPriority w:val="99"/>
    <w:semiHidden/>
    <w:unhideWhenUsed/>
    <w:rsid w:val="00273C4D"/>
    <w:rPr>
      <w:color w:val="605E5C"/>
      <w:shd w:val="clear" w:color="auto" w:fill="E1DFDD"/>
    </w:rPr>
  </w:style>
  <w:style w:type="paragraph" w:styleId="FootnoteText">
    <w:name w:val="footnote text"/>
    <w:basedOn w:val="Normal"/>
    <w:link w:val="FootnoteTextChar"/>
    <w:uiPriority w:val="99"/>
    <w:semiHidden/>
    <w:unhideWhenUsed/>
    <w:rsid w:val="00007CE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07CE7"/>
    <w:rPr>
      <w:sz w:val="20"/>
      <w:szCs w:val="20"/>
    </w:rPr>
  </w:style>
  <w:style w:type="character" w:styleId="FootnoteReference">
    <w:name w:val="footnote reference"/>
    <w:basedOn w:val="DefaultParagraphFont"/>
    <w:uiPriority w:val="99"/>
    <w:semiHidden/>
    <w:unhideWhenUsed/>
    <w:rsid w:val="00007CE7"/>
    <w:rPr>
      <w:vertAlign w:val="superscript"/>
    </w:rPr>
  </w:style>
  <w:style w:type="character" w:styleId="FollowedHyperlink">
    <w:name w:val="FollowedHyperlink"/>
    <w:basedOn w:val="DefaultParagraphFont"/>
    <w:uiPriority w:val="99"/>
    <w:semiHidden/>
    <w:unhideWhenUsed/>
    <w:rsid w:val="00BA1B5C"/>
    <w:rPr>
      <w:color w:val="954F72" w:themeColor="followedHyperlink"/>
      <w:u w:val="single"/>
    </w:rPr>
  </w:style>
  <w:style w:type="paragraph" w:styleId="ListParagraph">
    <w:name w:val="List Paragraph"/>
    <w:basedOn w:val="Normal"/>
    <w:uiPriority w:val="34"/>
    <w:qFormat/>
    <w:rsid w:val="00A0633E"/>
    <w:pPr>
      <w:ind w:left="720"/>
      <w:contextualSpacing/>
    </w:pPr>
  </w:style>
  <w:style w:type="paragraph" w:styleId="Revision">
    <w:name w:val="Revision"/>
    <w:hidden/>
    <w:uiPriority w:val="99"/>
    <w:semiHidden/>
    <w:rsid w:val="00122BC5"/>
    <w:pPr>
      <w:spacing w:after="0" w:line="240" w:lineRule="auto"/>
    </w:pPr>
  </w:style>
  <w:style w:type="character" w:styleId="Mention">
    <w:name w:val="Mention"/>
    <w:basedOn w:val="DefaultParagraphFont"/>
    <w:uiPriority w:val="99"/>
    <w:unhideWhenUsed/>
    <w:rsid w:val="000349F8"/>
    <w:rPr>
      <w:color w:val="2B579A"/>
      <w:shd w:val="clear" w:color="auto" w:fill="E1DFDD"/>
    </w:rPr>
  </w:style>
  <w:style w:type="paragraph" w:styleId="NormalWeb">
    <w:name w:val="Normal (Web)"/>
    <w:basedOn w:val="Normal"/>
    <w:uiPriority w:val="99"/>
    <w:semiHidden/>
    <w:unhideWhenUsed/>
    <w:rsid w:val="00686382"/>
    <w:rPr>
      <w:rFonts w:ascii="Times New Roman" w:hAnsi="Times New Roman" w:cs="Times New Roman"/>
      <w:sz w:val="24"/>
      <w:szCs w:val="24"/>
    </w:rPr>
  </w:style>
  <w:style w:type="paragraph" w:customStyle="1" w:styleId="pf0">
    <w:name w:val="pf0"/>
    <w:basedOn w:val="Normal"/>
    <w:rsid w:val="00686382"/>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cf01">
    <w:name w:val="cf01"/>
    <w:basedOn w:val="DefaultParagraphFont"/>
    <w:rsid w:val="00686382"/>
    <w:rPr>
      <w:rFonts w:ascii="Segoe UI" w:hAnsi="Segoe UI" w:cs="Segoe UI" w:hint="default"/>
      <w:sz w:val="18"/>
      <w:szCs w:val="18"/>
    </w:rPr>
  </w:style>
  <w:style w:type="character" w:customStyle="1" w:styleId="cf11">
    <w:name w:val="cf11"/>
    <w:basedOn w:val="DefaultParagraphFont"/>
    <w:rsid w:val="00686382"/>
    <w:rPr>
      <w:rFonts w:ascii="Segoe UI" w:hAnsi="Segoe UI" w:cs="Segoe UI" w:hint="default"/>
      <w:color w:val="2B579A"/>
      <w:sz w:val="18"/>
      <w:szCs w:val="18"/>
      <w:shd w:val="clear" w:color="auto" w:fill="E1DFDD"/>
    </w:rPr>
  </w:style>
  <w:style w:type="table" w:styleId="TableGrid">
    <w:name w:val="Table Grid"/>
    <w:basedOn w:val="TableNormal"/>
    <w:uiPriority w:val="39"/>
    <w:rsid w:val="006646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4557732">
      <w:bodyDiv w:val="1"/>
      <w:marLeft w:val="0"/>
      <w:marRight w:val="0"/>
      <w:marTop w:val="0"/>
      <w:marBottom w:val="0"/>
      <w:divBdr>
        <w:top w:val="none" w:sz="0" w:space="0" w:color="auto"/>
        <w:left w:val="none" w:sz="0" w:space="0" w:color="auto"/>
        <w:bottom w:val="none" w:sz="0" w:space="0" w:color="auto"/>
        <w:right w:val="none" w:sz="0" w:space="0" w:color="auto"/>
      </w:divBdr>
    </w:div>
    <w:div w:id="292365192">
      <w:bodyDiv w:val="1"/>
      <w:marLeft w:val="0"/>
      <w:marRight w:val="0"/>
      <w:marTop w:val="0"/>
      <w:marBottom w:val="0"/>
      <w:divBdr>
        <w:top w:val="none" w:sz="0" w:space="0" w:color="auto"/>
        <w:left w:val="none" w:sz="0" w:space="0" w:color="auto"/>
        <w:bottom w:val="none" w:sz="0" w:space="0" w:color="auto"/>
        <w:right w:val="none" w:sz="0" w:space="0" w:color="auto"/>
      </w:divBdr>
    </w:div>
    <w:div w:id="344287971">
      <w:bodyDiv w:val="1"/>
      <w:marLeft w:val="0"/>
      <w:marRight w:val="0"/>
      <w:marTop w:val="0"/>
      <w:marBottom w:val="0"/>
      <w:divBdr>
        <w:top w:val="none" w:sz="0" w:space="0" w:color="auto"/>
        <w:left w:val="none" w:sz="0" w:space="0" w:color="auto"/>
        <w:bottom w:val="none" w:sz="0" w:space="0" w:color="auto"/>
        <w:right w:val="none" w:sz="0" w:space="0" w:color="auto"/>
      </w:divBdr>
    </w:div>
    <w:div w:id="458186110">
      <w:bodyDiv w:val="1"/>
      <w:marLeft w:val="0"/>
      <w:marRight w:val="0"/>
      <w:marTop w:val="0"/>
      <w:marBottom w:val="0"/>
      <w:divBdr>
        <w:top w:val="none" w:sz="0" w:space="0" w:color="auto"/>
        <w:left w:val="none" w:sz="0" w:space="0" w:color="auto"/>
        <w:bottom w:val="none" w:sz="0" w:space="0" w:color="auto"/>
        <w:right w:val="none" w:sz="0" w:space="0" w:color="auto"/>
      </w:divBdr>
    </w:div>
    <w:div w:id="1178622868">
      <w:bodyDiv w:val="1"/>
      <w:marLeft w:val="0"/>
      <w:marRight w:val="0"/>
      <w:marTop w:val="0"/>
      <w:marBottom w:val="0"/>
      <w:divBdr>
        <w:top w:val="none" w:sz="0" w:space="0" w:color="auto"/>
        <w:left w:val="none" w:sz="0" w:space="0" w:color="auto"/>
        <w:bottom w:val="none" w:sz="0" w:space="0" w:color="auto"/>
        <w:right w:val="none" w:sz="0" w:space="0" w:color="auto"/>
      </w:divBdr>
      <w:divsChild>
        <w:div w:id="758403803">
          <w:marLeft w:val="0"/>
          <w:marRight w:val="0"/>
          <w:marTop w:val="0"/>
          <w:marBottom w:val="0"/>
          <w:divBdr>
            <w:top w:val="none" w:sz="0" w:space="0" w:color="auto"/>
            <w:left w:val="none" w:sz="0" w:space="0" w:color="auto"/>
            <w:bottom w:val="none" w:sz="0" w:space="0" w:color="auto"/>
            <w:right w:val="none" w:sz="0" w:space="0" w:color="auto"/>
          </w:divBdr>
          <w:divsChild>
            <w:div w:id="191142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794549">
      <w:bodyDiv w:val="1"/>
      <w:marLeft w:val="0"/>
      <w:marRight w:val="0"/>
      <w:marTop w:val="0"/>
      <w:marBottom w:val="0"/>
      <w:divBdr>
        <w:top w:val="none" w:sz="0" w:space="0" w:color="auto"/>
        <w:left w:val="none" w:sz="0" w:space="0" w:color="auto"/>
        <w:bottom w:val="none" w:sz="0" w:space="0" w:color="auto"/>
        <w:right w:val="none" w:sz="0" w:space="0" w:color="auto"/>
      </w:divBdr>
    </w:div>
    <w:div w:id="1310133317">
      <w:bodyDiv w:val="1"/>
      <w:marLeft w:val="0"/>
      <w:marRight w:val="0"/>
      <w:marTop w:val="0"/>
      <w:marBottom w:val="0"/>
      <w:divBdr>
        <w:top w:val="none" w:sz="0" w:space="0" w:color="auto"/>
        <w:left w:val="none" w:sz="0" w:space="0" w:color="auto"/>
        <w:bottom w:val="none" w:sz="0" w:space="0" w:color="auto"/>
        <w:right w:val="none" w:sz="0" w:space="0" w:color="auto"/>
      </w:divBdr>
    </w:div>
    <w:div w:id="1585914799">
      <w:bodyDiv w:val="1"/>
      <w:marLeft w:val="0"/>
      <w:marRight w:val="0"/>
      <w:marTop w:val="0"/>
      <w:marBottom w:val="0"/>
      <w:divBdr>
        <w:top w:val="none" w:sz="0" w:space="0" w:color="auto"/>
        <w:left w:val="none" w:sz="0" w:space="0" w:color="auto"/>
        <w:bottom w:val="none" w:sz="0" w:space="0" w:color="auto"/>
        <w:right w:val="none" w:sz="0" w:space="0" w:color="auto"/>
      </w:divBdr>
      <w:divsChild>
        <w:div w:id="1681857393">
          <w:marLeft w:val="0"/>
          <w:marRight w:val="0"/>
          <w:marTop w:val="100"/>
          <w:marBottom w:val="0"/>
          <w:divBdr>
            <w:top w:val="single" w:sz="2" w:space="0" w:color="auto"/>
            <w:left w:val="single" w:sz="2" w:space="0" w:color="auto"/>
            <w:bottom w:val="single" w:sz="2" w:space="0" w:color="auto"/>
            <w:right w:val="single" w:sz="2" w:space="0" w:color="auto"/>
          </w:divBdr>
        </w:div>
      </w:divsChild>
    </w:div>
    <w:div w:id="21039867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hmedk@hrw.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ustomXml" Target="../customXml/item2.xml"/><Relationship Id="rId10" Type="http://schemas.openxmlformats.org/officeDocument/2006/relationships/hyperlink" Target="mailto:teffera@hrw.org" TargetMode="External"/><Relationship Id="rId4" Type="http://schemas.openxmlformats.org/officeDocument/2006/relationships/settings" Target="settings.xml"/><Relationship Id="rId9" Type="http://schemas.openxmlformats.org/officeDocument/2006/relationships/hyperlink" Target="mailto:mcconnm@hrw.org" TargetMode="External"/><Relationship Id="rId14"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www.hrw.org/report/2022/08/08/racial-discrimination-united-states/human-rights-watch/aclu-joint-submission" TargetMode="External"/><Relationship Id="rId7" Type="http://schemas.openxmlformats.org/officeDocument/2006/relationships/hyperlink" Target="https://tbinternet.ohchr.org/_layouts/15/treatybodyexternal/Download.aspx?symbolno=CERD%2FC%2FBRA%2FCO%2F18-20&amp;Lang=en" TargetMode="External"/><Relationship Id="rId2" Type="http://schemas.openxmlformats.org/officeDocument/2006/relationships/hyperlink" Target="https://www.hrw.org/news/2022/07/15/us-joint-submission-united-nations-committee-elimination-racial-discrimination" TargetMode="External"/><Relationship Id="rId1" Type="http://schemas.openxmlformats.org/officeDocument/2006/relationships/hyperlink" Target="https://www.ohchr.org/en/calls-for-input/2023/call-contributions-draft-general-recommendation-ndeg37-racial-discrimination" TargetMode="External"/><Relationship Id="rId6" Type="http://schemas.openxmlformats.org/officeDocument/2006/relationships/hyperlink" Target="https://www.refworld.org/pdfid/4538838e10.pdf" TargetMode="External"/><Relationship Id="rId5" Type="http://schemas.openxmlformats.org/officeDocument/2006/relationships/hyperlink" Target="https://www.ohchr.org/en/instruments-mechanisms/instruments/international-covenant-economic-social-and-cultural-rights" TargetMode="External"/><Relationship Id="rId4" Type="http://schemas.openxmlformats.org/officeDocument/2006/relationships/hyperlink" Target="https://www.ohchr.org/en/documents/general-comments-and-recommendations/first-draft-general-recommendation-no-37-2023-racial"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9D953D6983EF5F4EB0B6A5354F975E96" ma:contentTypeVersion="14" ma:contentTypeDescription="Create a new document." ma:contentTypeScope="" ma:versionID="5a8f1c7c54ced117300a31ab80fdb6cf">
  <xsd:schema xmlns:xsd="http://www.w3.org/2001/XMLSchema" xmlns:xs="http://www.w3.org/2001/XMLSchema" xmlns:p="http://schemas.microsoft.com/office/2006/metadata/properties" xmlns:ns2="d42e65b2-cf21-49c1-b27d-d23f90380c0e" xmlns:ns3="9c2e4527-2efa-4ade-b3d6-b2418af14986" targetNamespace="http://schemas.microsoft.com/office/2006/metadata/properties" ma:root="true" ma:fieldsID="fe5bf3928b24d50e9851c65f16440570" ns2:_="" ns3:_="">
    <xsd:import namespace="d42e65b2-cf21-49c1-b27d-d23f90380c0e"/>
    <xsd:import namespace="9c2e4527-2efa-4ade-b3d6-b2418af14986"/>
    <xsd:element name="properties">
      <xsd:complexType>
        <xsd:sequence>
          <xsd:element name="documentManagement">
            <xsd:complexType>
              <xsd:all>
                <xsd:element ref="ns2:Contributor" minOccurs="0"/>
                <xsd:element ref="ns2:Category" minOccurs="0"/>
                <xsd:element ref="ns2:Doctype" minOccurs="0"/>
                <xsd:element ref="ns2:MediaServiceMetadata" minOccurs="0"/>
                <xsd:element ref="ns2:MediaServiceFastMetadata" minOccurs="0"/>
                <xsd:element ref="ns2:MediaServiceObjectDetectorVersions" minOccurs="0"/>
                <xsd:element ref="ns3:SharedWithUsers" minOccurs="0"/>
                <xsd:element ref="ns3:SharedWithDetails" minOccurs="0"/>
                <xsd:element ref="ns2:Postingdate" minOccurs="0"/>
                <xsd:element ref="ns2:Postedonlin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42e65b2-cf21-49c1-b27d-d23f90380c0e" elementFormDefault="qualified">
    <xsd:import namespace="http://schemas.microsoft.com/office/2006/documentManagement/types"/>
    <xsd:import namespace="http://schemas.microsoft.com/office/infopath/2007/PartnerControls"/>
    <xsd:element name="Contributor" ma:index="8" nillable="true" ma:displayName="Contributor" ma:description="Who submitted this document?&#10;Click and enter the contributor's name" ma:format="Dropdown" ma:internalName="Contributor">
      <xsd:simpleType>
        <xsd:restriction base="dms:Text">
          <xsd:maxLength value="255"/>
        </xsd:restriction>
      </xsd:simpleType>
    </xsd:element>
    <xsd:element name="Category" ma:index="9" nillable="true" ma:displayName="Category" ma:format="Dropdown" ma:internalName="Category">
      <xsd:simpleType>
        <xsd:union memberTypes="dms:Text">
          <xsd:simpleType>
            <xsd:restriction base="dms:Choice">
              <xsd:enumeration value="States"/>
              <xsd:enumeration value="NHRIs"/>
              <xsd:enumeration value="UN entities"/>
              <xsd:enumeration value="Regional mechanism"/>
              <xsd:enumeration value="National mechanism"/>
              <xsd:enumeration value="CSOs"/>
              <xsd:enumeration value="Academia"/>
              <xsd:enumeration value="Individuals"/>
            </xsd:restriction>
          </xsd:simpleType>
        </xsd:union>
      </xsd:simpleType>
    </xsd:element>
    <xsd:element name="Doctype" ma:index="10" nillable="true" ma:displayName="Doc type" ma:default="input" ma:format="Dropdown" ma:internalName="Doctype">
      <xsd:simpleType>
        <xsd:union memberTypes="dms:Text">
          <xsd:simpleType>
            <xsd:restriction base="dms:Choice">
              <xsd:enumeration value="note verbale"/>
              <xsd:enumeration value="cover letter"/>
              <xsd:enumeration value="input"/>
              <xsd:enumeration value="annex"/>
              <xsd:enumeration value="French translation"/>
              <xsd:enumeration value="Spanish translation"/>
              <xsd:enumeration value="Arabic translation"/>
              <xsd:enumeration value="Russian translation"/>
              <xsd:enumeration value="Chinese translation"/>
            </xsd:restriction>
          </xsd:simpleType>
        </xsd:union>
      </xsd:simple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ObjectDetectorVersions" ma:index="13" nillable="true" ma:displayName="MediaServiceObjectDetectorVersions" ma:hidden="true" ma:indexed="true" ma:internalName="MediaServiceObjectDetectorVersions" ma:readOnly="true">
      <xsd:simpleType>
        <xsd:restriction base="dms:Text"/>
      </xsd:simpleType>
    </xsd:element>
    <xsd:element name="Postingdate" ma:index="16" nillable="true" ma:displayName="Posting date" ma:format="DateOnly" ma:internalName="Postingdate">
      <xsd:simpleType>
        <xsd:restriction base="dms:DateTime"/>
      </xsd:simpleType>
    </xsd:element>
    <xsd:element name="Postedonline" ma:index="17" nillable="true" ma:displayName="Posted online" ma:default="0" ma:format="Dropdown" ma:internalName="Postedonlin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c2e4527-2efa-4ade-b3d6-b2418af14986"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Category xmlns="d42e65b2-cf21-49c1-b27d-d23f90380c0e">CSOs</Category>
    <Doctype xmlns="d42e65b2-cf21-49c1-b27d-d23f90380c0e">input</Doctype>
    <Contributor xmlns="d42e65b2-cf21-49c1-b27d-d23f90380c0e">Human Rights Watch</Contributor>
    <Postingdate xmlns="d42e65b2-cf21-49c1-b27d-d23f90380c0e" xsi:nil="true"/>
    <Postedonline xmlns="d42e65b2-cf21-49c1-b27d-d23f90380c0e">false</Postedonline>
  </documentManagement>
</p:properties>
</file>

<file path=customXml/itemProps1.xml><?xml version="1.0" encoding="utf-8"?>
<ds:datastoreItem xmlns:ds="http://schemas.openxmlformats.org/officeDocument/2006/customXml" ds:itemID="{A28D5F47-2E41-41AE-9D50-22EC34CCDC0F}">
  <ds:schemaRefs>
    <ds:schemaRef ds:uri="http://schemas.openxmlformats.org/officeDocument/2006/bibliography"/>
  </ds:schemaRefs>
</ds:datastoreItem>
</file>

<file path=customXml/itemProps2.xml><?xml version="1.0" encoding="utf-8"?>
<ds:datastoreItem xmlns:ds="http://schemas.openxmlformats.org/officeDocument/2006/customXml" ds:itemID="{964B6250-B1F4-4E86-8A28-A00D0A04AD05}"/>
</file>

<file path=customXml/itemProps3.xml><?xml version="1.0" encoding="utf-8"?>
<ds:datastoreItem xmlns:ds="http://schemas.openxmlformats.org/officeDocument/2006/customXml" ds:itemID="{9D1B3F42-7F13-46C0-B034-56468205A988}"/>
</file>

<file path=customXml/itemProps4.xml><?xml version="1.0" encoding="utf-8"?>
<ds:datastoreItem xmlns:ds="http://schemas.openxmlformats.org/officeDocument/2006/customXml" ds:itemID="{1004081D-3A66-444B-A459-2A8E73040A97}"/>
</file>

<file path=docProps/app.xml><?xml version="1.0" encoding="utf-8"?>
<Properties xmlns="http://schemas.openxmlformats.org/officeDocument/2006/extended-properties" xmlns:vt="http://schemas.openxmlformats.org/officeDocument/2006/docPropsVTypes">
  <Template>Normal.dotm</Template>
  <TotalTime>1</TotalTime>
  <Pages>5</Pages>
  <Words>1958</Words>
  <Characters>11165</Characters>
  <Application>Microsoft Office Word</Application>
  <DocSecurity>4</DocSecurity>
  <Lines>93</Lines>
  <Paragraphs>26</Paragraphs>
  <ScaleCrop>false</ScaleCrop>
  <Company/>
  <LinksUpToDate>false</LinksUpToDate>
  <CharactersWithSpaces>13097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McConnell</dc:creator>
  <cp:keywords/>
  <dc:description/>
  <cp:lastModifiedBy>Bashar Jamal</cp:lastModifiedBy>
  <cp:revision>2</cp:revision>
  <dcterms:created xsi:type="dcterms:W3CDTF">2023-09-25T15:15:00Z</dcterms:created>
  <dcterms:modified xsi:type="dcterms:W3CDTF">2023-09-25T15:15:00Z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0x0101009D953D6983EF5F4EB0B6A5354F975E96</vt:lpwstr>
  </property>
</Properties>
</file>