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63CA" w14:textId="77777777" w:rsidR="00290900" w:rsidRPr="00710ED4" w:rsidRDefault="00290900" w:rsidP="00290900">
      <w:pPr>
        <w:rPr>
          <w:b/>
          <w:bCs/>
        </w:rPr>
      </w:pPr>
    </w:p>
    <w:p w14:paraId="3591BD59" w14:textId="77777777" w:rsidR="00710ED4" w:rsidRPr="00710ED4" w:rsidRDefault="00710ED4" w:rsidP="00710ED4">
      <w:pPr>
        <w:jc w:val="center"/>
        <w:rPr>
          <w:b/>
          <w:bCs/>
        </w:rPr>
      </w:pPr>
      <w:r w:rsidRPr="00710ED4">
        <w:rPr>
          <w:b/>
          <w:bCs/>
        </w:rPr>
        <w:t>Comments on the Draft General Recommendation n°37 on Racial discrimination in the enjoyment of the right to health</w:t>
      </w:r>
    </w:p>
    <w:p w14:paraId="3319D4C0" w14:textId="77777777" w:rsidR="00710ED4" w:rsidRDefault="00710ED4" w:rsidP="00710ED4"/>
    <w:p w14:paraId="0103A64A" w14:textId="77777777" w:rsidR="00710ED4" w:rsidRDefault="00710ED4" w:rsidP="00710ED4">
      <w:r>
        <w:t xml:space="preserve">Founded in 1967, Action on Smoking and Health (ASH) is the United States’ oldest organization devoted to fight the harms caused by tobacco, both in the US and globally, and is dedicated to a world with zero tobacco deaths.  Action on Smoking and Health, an organization with consultative ECOSOC status,  is joined in this submission by 209 signatories. They include, among others, academic institutions, legal centers, and public health advocacy organizations from 61 countries around the world. We are writing to highlight the importance of including tobacco in General Recommendation 37. </w:t>
      </w:r>
    </w:p>
    <w:p w14:paraId="040F24E0" w14:textId="77777777" w:rsidR="00710ED4" w:rsidRDefault="00710ED4" w:rsidP="00710ED4"/>
    <w:p w14:paraId="54065D7F" w14:textId="77777777" w:rsidR="00710ED4" w:rsidRDefault="00710ED4" w:rsidP="00710ED4">
      <w:r>
        <w:t xml:space="preserve">Tobacco use is the single leading cause of preventable death and disease worldwide  and causes more than 8 million deaths per year.  Over 80% of the world’s 1.3 billion tobacco users live in low-and middle-income countries.  “Marginalized and vulnerable populations- including, people in low-and middle-income communities, women, children, racial and ethnic minorities, LGBTQI+ persons, and Indigenous peoples, bear a disproportionate burden of tobacco-related harm.”  </w:t>
      </w:r>
    </w:p>
    <w:p w14:paraId="133DB859" w14:textId="77777777" w:rsidR="00710ED4" w:rsidRDefault="00710ED4" w:rsidP="00710ED4"/>
    <w:p w14:paraId="41D5F570" w14:textId="77777777" w:rsidR="00710ED4" w:rsidRDefault="00710ED4" w:rsidP="00710ED4">
      <w:r>
        <w:t xml:space="preserve">We are pleased to see tobacco mentioned in section II(B)(12)(a)(i) under Racial discrimination in availability of public health, including essential medicine. While we applaud this inclusion, respectfully, tobacco impacts several other areas of the right to health and should be further included throughout other areas of General Recommendation 37. This submission will briefly describe some of the key issues impacting tobacco, race, and the right to health and will provide recommendations for additions to General Recommendation 37. </w:t>
      </w:r>
    </w:p>
    <w:p w14:paraId="4835B1FD" w14:textId="77777777" w:rsidR="00710ED4" w:rsidRDefault="00710ED4" w:rsidP="00710ED4"/>
    <w:p w14:paraId="4EFA0AC1" w14:textId="77777777" w:rsidR="00710ED4" w:rsidRPr="00710ED4" w:rsidRDefault="00710ED4" w:rsidP="00710ED4">
      <w:pPr>
        <w:rPr>
          <w:b/>
          <w:bCs/>
          <w:u w:val="single"/>
        </w:rPr>
      </w:pPr>
      <w:r w:rsidRPr="00710ED4">
        <w:rPr>
          <w:b/>
          <w:bCs/>
          <w:u w:val="single"/>
        </w:rPr>
        <w:t>Background</w:t>
      </w:r>
    </w:p>
    <w:p w14:paraId="697B71C4" w14:textId="77777777" w:rsidR="00710ED4" w:rsidRDefault="00710ED4" w:rsidP="00710ED4"/>
    <w:p w14:paraId="3FC85C5F" w14:textId="77777777" w:rsidR="00710ED4" w:rsidRDefault="00710ED4" w:rsidP="00710ED4">
      <w:pPr>
        <w:rPr>
          <w:i/>
          <w:iCs/>
        </w:rPr>
      </w:pPr>
      <w:r w:rsidRPr="00710ED4">
        <w:rPr>
          <w:i/>
          <w:iCs/>
        </w:rPr>
        <w:t>The Framework Convention on Tobacco Control (FCTC)</w:t>
      </w:r>
    </w:p>
    <w:p w14:paraId="7677091D" w14:textId="77777777" w:rsidR="00710ED4" w:rsidRPr="00710ED4" w:rsidRDefault="00710ED4" w:rsidP="00710ED4">
      <w:pPr>
        <w:rPr>
          <w:i/>
          <w:iCs/>
        </w:rPr>
      </w:pPr>
    </w:p>
    <w:p w14:paraId="048C7F22" w14:textId="77777777" w:rsidR="00710ED4" w:rsidRDefault="00710ED4" w:rsidP="00710ED4">
      <w:r>
        <w:t xml:space="preserve">The WHO Framework Convention on Tobacco Control (FCTC) is an international treaty that reaffirms the right of all people to the highest standard of health, recalling the International Covenant on Economic, Social and Cultural Rights, the Convention on the Elimination of All Forms of Discrimination against Women, the Convention on the Rights of the Child, as well as the Constitution of the World Health Organization.  </w:t>
      </w:r>
    </w:p>
    <w:p w14:paraId="1BFDD750" w14:textId="77777777" w:rsidR="00710ED4" w:rsidRDefault="00710ED4" w:rsidP="00710ED4"/>
    <w:p w14:paraId="1CF5EDEE" w14:textId="77777777" w:rsidR="00710ED4" w:rsidRDefault="00710ED4" w:rsidP="00710ED4">
      <w:r>
        <w:t>The FCTC  has been instrumental in changing the global conversation about tobacco, and many of its articles address rights that are important to the implementation of ICERD, including:</w:t>
      </w:r>
    </w:p>
    <w:p w14:paraId="21B58E3E" w14:textId="6F458BD0" w:rsidR="00710ED4" w:rsidRDefault="00710ED4" w:rsidP="00043CBB">
      <w:pPr>
        <w:pStyle w:val="ListParagraph"/>
        <w:numPr>
          <w:ilvl w:val="0"/>
          <w:numId w:val="7"/>
        </w:numPr>
      </w:pPr>
      <w:r>
        <w:t>Right to health and life – FCTC Articles 9, 10, 11, 12, 13, 14, and 16</w:t>
      </w:r>
    </w:p>
    <w:p w14:paraId="4D1E9EA3" w14:textId="11DF2092" w:rsidR="00710ED4" w:rsidRDefault="00710ED4" w:rsidP="00043CBB">
      <w:pPr>
        <w:pStyle w:val="ListParagraph"/>
        <w:numPr>
          <w:ilvl w:val="0"/>
          <w:numId w:val="7"/>
        </w:numPr>
      </w:pPr>
      <w:r>
        <w:t>Right to a healthy environment – FCTC Articles 8, 17, and 18</w:t>
      </w:r>
    </w:p>
    <w:p w14:paraId="2AB8C34F" w14:textId="193E5AC5" w:rsidR="00710ED4" w:rsidRDefault="00710ED4" w:rsidP="00043CBB">
      <w:pPr>
        <w:pStyle w:val="ListParagraph"/>
        <w:numPr>
          <w:ilvl w:val="0"/>
          <w:numId w:val="7"/>
        </w:numPr>
      </w:pPr>
      <w:r>
        <w:t>Children’s rights – FCTC Article 8, 12, 13, 16 and 17</w:t>
      </w:r>
    </w:p>
    <w:p w14:paraId="0D297D5A" w14:textId="6CB70A5A" w:rsidR="00710ED4" w:rsidRDefault="00710ED4" w:rsidP="00043CBB">
      <w:pPr>
        <w:pStyle w:val="ListParagraph"/>
        <w:numPr>
          <w:ilvl w:val="0"/>
          <w:numId w:val="7"/>
        </w:numPr>
      </w:pPr>
      <w:r>
        <w:t>Women’s rights – FCTC Article 8, and 13</w:t>
      </w:r>
    </w:p>
    <w:p w14:paraId="0BBA9C66" w14:textId="77777777" w:rsidR="00710ED4" w:rsidRDefault="00710ED4" w:rsidP="00710ED4"/>
    <w:p w14:paraId="681CE07C" w14:textId="77777777" w:rsidR="00710ED4" w:rsidRDefault="00710ED4" w:rsidP="00710ED4"/>
    <w:p w14:paraId="110E9919" w14:textId="77777777" w:rsidR="00710ED4" w:rsidRDefault="00710ED4" w:rsidP="00710ED4">
      <w:pPr>
        <w:rPr>
          <w:i/>
          <w:iCs/>
        </w:rPr>
      </w:pPr>
      <w:r w:rsidRPr="00710ED4">
        <w:rPr>
          <w:i/>
          <w:iCs/>
        </w:rPr>
        <w:lastRenderedPageBreak/>
        <w:t>Indigenous peoples</w:t>
      </w:r>
    </w:p>
    <w:p w14:paraId="5232D288" w14:textId="77777777" w:rsidR="00710ED4" w:rsidRPr="00710ED4" w:rsidRDefault="00710ED4" w:rsidP="00710ED4">
      <w:pPr>
        <w:rPr>
          <w:i/>
          <w:iCs/>
        </w:rPr>
      </w:pPr>
    </w:p>
    <w:p w14:paraId="781415B7" w14:textId="77777777" w:rsidR="00710ED4" w:rsidRDefault="00710ED4" w:rsidP="00710ED4">
      <w:r>
        <w:t xml:space="preserve">The Preamble of the WHO FCTC states that Parties to the Convention are ‘Deeply concerned about the high levels of smoking and other forms of tobacco consumption by Indigenous peoples.’  The prevalence of tobacco use amongst Indigenous peoples is higher in some places than amongst the general population, often with disproportionately detrimental impacts on their health, economic and cultural well-being.  This list is not exhaustive, but simply meant to serve as an example of how tobacco is an issue that impacts racial groups around the world. </w:t>
      </w:r>
    </w:p>
    <w:p w14:paraId="3592122E" w14:textId="77777777" w:rsidR="00710ED4" w:rsidRDefault="00710ED4" w:rsidP="00710ED4"/>
    <w:p w14:paraId="3FD03C90" w14:textId="3C5789CE" w:rsidR="00710ED4" w:rsidRDefault="00710ED4" w:rsidP="00710ED4">
      <w:pPr>
        <w:pStyle w:val="ListParagraph"/>
        <w:numPr>
          <w:ilvl w:val="0"/>
          <w:numId w:val="2"/>
        </w:numPr>
      </w:pPr>
      <w:r>
        <w:t xml:space="preserve">In Australia, where prevalence among Australian Aboriginal and Torres Strait Islander Peoples is almost twice that of the general population.   </w:t>
      </w:r>
    </w:p>
    <w:p w14:paraId="32B02F96" w14:textId="4099390E" w:rsidR="00710ED4" w:rsidRDefault="00710ED4" w:rsidP="00710ED4">
      <w:pPr>
        <w:pStyle w:val="ListParagraph"/>
        <w:numPr>
          <w:ilvl w:val="0"/>
          <w:numId w:val="2"/>
        </w:numPr>
      </w:pPr>
      <w:r>
        <w:t xml:space="preserve">In New Zealand, where smoking prevalence is almost twice as high among Māori versus general population.  </w:t>
      </w:r>
    </w:p>
    <w:p w14:paraId="2C1E6E14" w14:textId="0C2D1A7D" w:rsidR="00710ED4" w:rsidRDefault="00710ED4" w:rsidP="00710ED4">
      <w:pPr>
        <w:pStyle w:val="ListParagraph"/>
        <w:numPr>
          <w:ilvl w:val="0"/>
          <w:numId w:val="2"/>
        </w:numPr>
      </w:pPr>
      <w:r>
        <w:t xml:space="preserve">In Canada, where smoking rates are 2.5 times higher among Inuit, and higher among First Nations people overall.  </w:t>
      </w:r>
    </w:p>
    <w:p w14:paraId="2671ADEA" w14:textId="575D75C1" w:rsidR="00710ED4" w:rsidRDefault="00710ED4" w:rsidP="00710ED4">
      <w:pPr>
        <w:pStyle w:val="ListParagraph"/>
        <w:numPr>
          <w:ilvl w:val="0"/>
          <w:numId w:val="2"/>
        </w:numPr>
      </w:pPr>
      <w:r>
        <w:t xml:space="preserve">In the United States, American Indian, Alaska natives have the highest rates of smoking prevalence.  </w:t>
      </w:r>
    </w:p>
    <w:p w14:paraId="7229A9C5" w14:textId="77777777" w:rsidR="00710ED4" w:rsidRDefault="00710ED4" w:rsidP="00710ED4"/>
    <w:p w14:paraId="4362DA82" w14:textId="77777777" w:rsidR="00710ED4" w:rsidRDefault="00710ED4" w:rsidP="00710ED4">
      <w:pPr>
        <w:rPr>
          <w:i/>
          <w:iCs/>
        </w:rPr>
      </w:pPr>
      <w:r w:rsidRPr="00710ED4">
        <w:rPr>
          <w:i/>
          <w:iCs/>
        </w:rPr>
        <w:t>Targeted advertising and flavors</w:t>
      </w:r>
    </w:p>
    <w:p w14:paraId="424B6B9C" w14:textId="77777777" w:rsidR="00710ED4" w:rsidRPr="00710ED4" w:rsidRDefault="00710ED4" w:rsidP="00710ED4">
      <w:pPr>
        <w:rPr>
          <w:i/>
          <w:iCs/>
        </w:rPr>
      </w:pPr>
    </w:p>
    <w:p w14:paraId="42659574" w14:textId="13B1C61B" w:rsidR="00710ED4" w:rsidRDefault="00710ED4" w:rsidP="00710ED4">
      <w:r>
        <w:t xml:space="preserve">Tobacco companies misappropriate Indigenous traditions and symbols in marketing and target </w:t>
      </w:r>
      <w:r>
        <w:t>flavored</w:t>
      </w:r>
      <w:r>
        <w:t xml:space="preserve"> products to marginalized and vulnerable populations, for example, African Americans in the United States. Tobacco companies have strategically targeted racial and ethnic communities for decades. </w:t>
      </w:r>
    </w:p>
    <w:p w14:paraId="0BED4DDE" w14:textId="77777777" w:rsidR="00710ED4" w:rsidRDefault="00710ED4" w:rsidP="00710ED4"/>
    <w:p w14:paraId="29D0F16D" w14:textId="77777777" w:rsidR="00710ED4" w:rsidRDefault="00710ED4" w:rsidP="00710ED4">
      <w:pPr>
        <w:rPr>
          <w:i/>
          <w:iCs/>
        </w:rPr>
      </w:pPr>
      <w:r w:rsidRPr="00710ED4">
        <w:rPr>
          <w:i/>
          <w:iCs/>
        </w:rPr>
        <w:t>Culturally competent cessation support</w:t>
      </w:r>
    </w:p>
    <w:p w14:paraId="5C9CF771" w14:textId="77777777" w:rsidR="00710ED4" w:rsidRPr="00710ED4" w:rsidRDefault="00710ED4" w:rsidP="00710ED4">
      <w:pPr>
        <w:rPr>
          <w:i/>
          <w:iCs/>
        </w:rPr>
      </w:pPr>
    </w:p>
    <w:p w14:paraId="4FCAA9C7" w14:textId="77777777" w:rsidR="00710ED4" w:rsidRDefault="00710ED4" w:rsidP="00710ED4">
      <w:r>
        <w:t xml:space="preserve">The Guiding Principles of the WHO FCTC highlight the need for Parties to take measures to promote the participation of Indigenous people and communities in the development, implementation and evaluation of tobacco control programs that are socially and culturally appropriate.  This is necessary because, as just one example, “African American adults have been found to be more likely to express interest in quitting and more likely to have tried to quit in the past year than white adults, but are less likely to use proven treatments (e.g., counseling and/or medications) and are less likely to succeed in quitting.”  Culturally competent cessation support is necessary to help end the tobacco epidemic. </w:t>
      </w:r>
    </w:p>
    <w:p w14:paraId="2CE02690" w14:textId="77777777" w:rsidR="00710ED4" w:rsidRDefault="00710ED4" w:rsidP="00710ED4"/>
    <w:p w14:paraId="2E34320A" w14:textId="77777777" w:rsidR="00710ED4" w:rsidRDefault="00710ED4" w:rsidP="00710ED4">
      <w:pPr>
        <w:rPr>
          <w:i/>
          <w:iCs/>
        </w:rPr>
      </w:pPr>
      <w:r w:rsidRPr="00710ED4">
        <w:rPr>
          <w:i/>
          <w:iCs/>
        </w:rPr>
        <w:t>Sustainable Development Goals (SDGs)</w:t>
      </w:r>
    </w:p>
    <w:p w14:paraId="428EBBE8" w14:textId="77777777" w:rsidR="00710ED4" w:rsidRPr="00710ED4" w:rsidRDefault="00710ED4" w:rsidP="00710ED4">
      <w:pPr>
        <w:rPr>
          <w:i/>
          <w:iCs/>
        </w:rPr>
      </w:pPr>
    </w:p>
    <w:p w14:paraId="2370674D" w14:textId="77777777" w:rsidR="00710ED4" w:rsidRDefault="00710ED4" w:rsidP="00710ED4">
      <w:r>
        <w:t xml:space="preserve">The negative impact of tobacco on global development was recognized by the global community in September 2015, when all United Nations Member States adopted the UN Sustainable Development Goals (SDGs) which include Target 3.a which calls on countries to “Strengthen the implementation of the World Health Organization Framework Convention on Tobacco Control in all countries, as appropriate.” Target 3.4 goes on to call on countries to “by 2030, reduce by one third premature mortality from non-communicable diseases through prevention and treatment”. The FCTC, and tobacco control, is considered an accelerator for sustainable development overall.  </w:t>
      </w:r>
    </w:p>
    <w:p w14:paraId="41BA9C05" w14:textId="77777777" w:rsidR="00710ED4" w:rsidRDefault="00710ED4" w:rsidP="00710ED4"/>
    <w:p w14:paraId="36A5A4EA" w14:textId="77777777" w:rsidR="00710ED4" w:rsidRDefault="00710ED4" w:rsidP="00710ED4"/>
    <w:p w14:paraId="2A37BB42" w14:textId="77777777" w:rsidR="00710ED4" w:rsidRDefault="00710ED4" w:rsidP="00710ED4"/>
    <w:p w14:paraId="371794FD" w14:textId="77777777" w:rsidR="00710ED4" w:rsidRPr="00710ED4" w:rsidRDefault="00710ED4" w:rsidP="00710ED4">
      <w:pPr>
        <w:rPr>
          <w:b/>
          <w:bCs/>
          <w:u w:val="single"/>
        </w:rPr>
      </w:pPr>
      <w:r w:rsidRPr="00710ED4">
        <w:rPr>
          <w:b/>
          <w:bCs/>
          <w:u w:val="single"/>
        </w:rPr>
        <w:lastRenderedPageBreak/>
        <w:t>Recommendations</w:t>
      </w:r>
    </w:p>
    <w:p w14:paraId="1EBB88BA" w14:textId="77777777" w:rsidR="00710ED4" w:rsidRDefault="00710ED4" w:rsidP="00710ED4"/>
    <w:p w14:paraId="1B7900BE" w14:textId="77777777" w:rsidR="00710ED4" w:rsidRDefault="00710ED4" w:rsidP="00710ED4">
      <w:r>
        <w:t>We respectfully suggest that the Committee’s General Recommendation No.37 on racial discrimination and the right to health include clear and specific language and recommendations that:</w:t>
      </w:r>
    </w:p>
    <w:p w14:paraId="0C1E4335" w14:textId="77777777" w:rsidR="00710ED4" w:rsidRDefault="00710ED4" w:rsidP="00710ED4"/>
    <w:p w14:paraId="0004F4FE" w14:textId="77777777" w:rsidR="00710ED4" w:rsidRPr="00710ED4" w:rsidRDefault="00710ED4" w:rsidP="00710ED4">
      <w:pPr>
        <w:rPr>
          <w:i/>
          <w:iCs/>
        </w:rPr>
      </w:pPr>
      <w:r w:rsidRPr="00710ED4">
        <w:rPr>
          <w:i/>
          <w:iCs/>
        </w:rPr>
        <w:t>The Framework Convention on Tobacco Control</w:t>
      </w:r>
    </w:p>
    <w:p w14:paraId="5937523E" w14:textId="77777777" w:rsidR="00710ED4" w:rsidRDefault="00710ED4" w:rsidP="00710ED4"/>
    <w:p w14:paraId="3A5B078A" w14:textId="73E1D158" w:rsidR="00710ED4" w:rsidRDefault="00710ED4" w:rsidP="00710ED4">
      <w:pPr>
        <w:pStyle w:val="ListParagraph"/>
        <w:numPr>
          <w:ilvl w:val="0"/>
          <w:numId w:val="2"/>
        </w:numPr>
      </w:pPr>
      <w:r>
        <w:t xml:space="preserve">Call on all state parties to ICERD to sign, ratify, and fully implement all articles of the Framework Convention on Tobacco Control. </w:t>
      </w:r>
    </w:p>
    <w:p w14:paraId="513D19DD" w14:textId="71EAFE72" w:rsidR="00710ED4" w:rsidRDefault="00710ED4" w:rsidP="00710ED4">
      <w:pPr>
        <w:pStyle w:val="ListParagraph"/>
        <w:numPr>
          <w:ilvl w:val="0"/>
          <w:numId w:val="2"/>
        </w:numPr>
      </w:pPr>
      <w:r>
        <w:t>Countries should implement provisions of the WHO FCTC, and tobacco control measures more generally, in ways that take account of health disparities among racial groups;</w:t>
      </w:r>
    </w:p>
    <w:p w14:paraId="3016203B" w14:textId="77777777" w:rsidR="00710ED4" w:rsidRDefault="00710ED4" w:rsidP="00710ED4"/>
    <w:p w14:paraId="5BDF5551" w14:textId="77777777" w:rsidR="00710ED4" w:rsidRPr="00710ED4" w:rsidRDefault="00710ED4" w:rsidP="00710ED4">
      <w:pPr>
        <w:rPr>
          <w:i/>
          <w:iCs/>
        </w:rPr>
      </w:pPr>
      <w:r w:rsidRPr="00710ED4">
        <w:rPr>
          <w:i/>
          <w:iCs/>
        </w:rPr>
        <w:t>Culturally competent cessation support</w:t>
      </w:r>
    </w:p>
    <w:p w14:paraId="21D8F51F" w14:textId="77777777" w:rsidR="00710ED4" w:rsidRDefault="00710ED4" w:rsidP="00710ED4"/>
    <w:p w14:paraId="1B4060EF" w14:textId="4EB41CB2" w:rsidR="00710ED4" w:rsidRDefault="00710ED4" w:rsidP="00710ED4">
      <w:pPr>
        <w:pStyle w:val="ListParagraph"/>
        <w:numPr>
          <w:ilvl w:val="0"/>
          <w:numId w:val="2"/>
        </w:numPr>
      </w:pPr>
      <w:r>
        <w:t xml:space="preserve">Call on state parties, in accordance with Article 14 of the FCTC, to provide culturally competent tobacco cessation support. </w:t>
      </w:r>
    </w:p>
    <w:p w14:paraId="7BA4EBFE" w14:textId="77777777" w:rsidR="00710ED4" w:rsidRDefault="00710ED4" w:rsidP="00710ED4"/>
    <w:p w14:paraId="00FE6A89" w14:textId="77777777" w:rsidR="00710ED4" w:rsidRPr="00710ED4" w:rsidRDefault="00710ED4" w:rsidP="00710ED4">
      <w:pPr>
        <w:rPr>
          <w:i/>
          <w:iCs/>
        </w:rPr>
      </w:pPr>
      <w:r w:rsidRPr="00710ED4">
        <w:rPr>
          <w:i/>
          <w:iCs/>
        </w:rPr>
        <w:t>Targeted advertising and flavors</w:t>
      </w:r>
    </w:p>
    <w:p w14:paraId="3B49B59A" w14:textId="77777777" w:rsidR="00710ED4" w:rsidRDefault="00710ED4" w:rsidP="00710ED4"/>
    <w:p w14:paraId="15C8B8C1" w14:textId="5070E7F2" w:rsidR="00710ED4" w:rsidRDefault="00710ED4" w:rsidP="00710ED4">
      <w:pPr>
        <w:pStyle w:val="ListParagraph"/>
        <w:numPr>
          <w:ilvl w:val="0"/>
          <w:numId w:val="2"/>
        </w:numPr>
      </w:pPr>
      <w:r>
        <w:t xml:space="preserve">Call on state parties, in accordance with the FCTC, to implement and enforce a comprehensive ban on tobacco advertising, promotion and sponsorship; </w:t>
      </w:r>
    </w:p>
    <w:p w14:paraId="506480F4" w14:textId="3E30DF27" w:rsidR="00710ED4" w:rsidRDefault="00710ED4" w:rsidP="00710ED4">
      <w:pPr>
        <w:pStyle w:val="ListParagraph"/>
        <w:numPr>
          <w:ilvl w:val="0"/>
          <w:numId w:val="2"/>
        </w:numPr>
      </w:pPr>
      <w:r>
        <w:t>Call on state parties, in accordance with the FCTC, to prohibit flavors in tobacco products.</w:t>
      </w:r>
    </w:p>
    <w:p w14:paraId="3AB3FD5D" w14:textId="77777777" w:rsidR="00710ED4" w:rsidRDefault="00710ED4" w:rsidP="00710ED4"/>
    <w:p w14:paraId="260BA1C4" w14:textId="77777777" w:rsidR="00710ED4" w:rsidRPr="00710ED4" w:rsidRDefault="00710ED4" w:rsidP="00710ED4">
      <w:pPr>
        <w:rPr>
          <w:i/>
          <w:iCs/>
        </w:rPr>
      </w:pPr>
      <w:r w:rsidRPr="00710ED4">
        <w:rPr>
          <w:i/>
          <w:iCs/>
        </w:rPr>
        <w:t>Indigenous Peoples</w:t>
      </w:r>
    </w:p>
    <w:p w14:paraId="2749B2E6" w14:textId="77777777" w:rsidR="00710ED4" w:rsidRDefault="00710ED4" w:rsidP="00710ED4"/>
    <w:p w14:paraId="72C46430" w14:textId="77777777" w:rsidR="00710ED4" w:rsidRDefault="00710ED4" w:rsidP="00710ED4">
      <w:pPr>
        <w:pStyle w:val="ListParagraph"/>
        <w:numPr>
          <w:ilvl w:val="0"/>
          <w:numId w:val="2"/>
        </w:numPr>
      </w:pPr>
      <w:r>
        <w:t>Affirm, in line with Article 24 of United Nations Declaration on The Rights of Indigenous Peoples (UNDRIP), that Indigenous peoples have the right to the highest attainable standard of health. And that:</w:t>
      </w:r>
    </w:p>
    <w:p w14:paraId="1B479F54" w14:textId="77777777" w:rsidR="00710ED4" w:rsidRDefault="00710ED4" w:rsidP="00710ED4">
      <w:pPr>
        <w:pStyle w:val="ListParagraph"/>
        <w:numPr>
          <w:ilvl w:val="1"/>
          <w:numId w:val="2"/>
        </w:numPr>
      </w:pPr>
      <w:r>
        <w:t xml:space="preserve">Health includes physical and mental health, free from addictions such as tobacco. </w:t>
      </w:r>
    </w:p>
    <w:p w14:paraId="3562394D" w14:textId="443408EF" w:rsidR="00710ED4" w:rsidRDefault="00710ED4" w:rsidP="00710ED4">
      <w:pPr>
        <w:pStyle w:val="ListParagraph"/>
        <w:numPr>
          <w:ilvl w:val="1"/>
          <w:numId w:val="2"/>
        </w:numPr>
      </w:pPr>
      <w:r>
        <w:t xml:space="preserve">The Tobacco Industry, their products, and their associates obstruct this fundamental human right to health. </w:t>
      </w:r>
    </w:p>
    <w:p w14:paraId="143D052F" w14:textId="63364A8B" w:rsidR="00710ED4" w:rsidRDefault="00710ED4" w:rsidP="00710ED4">
      <w:pPr>
        <w:pStyle w:val="ListParagraph"/>
        <w:numPr>
          <w:ilvl w:val="0"/>
          <w:numId w:val="5"/>
        </w:numPr>
      </w:pPr>
      <w:r>
        <w:t>Recall that it is incumbent on States to undertake steps to achieve the full realization of this right and protect the health of Indigenous peoples.</w:t>
      </w:r>
    </w:p>
    <w:p w14:paraId="03FC971F" w14:textId="77777777" w:rsidR="00710ED4" w:rsidRPr="00710ED4" w:rsidRDefault="00710ED4" w:rsidP="00710ED4">
      <w:pPr>
        <w:rPr>
          <w:i/>
          <w:iCs/>
        </w:rPr>
      </w:pPr>
    </w:p>
    <w:p w14:paraId="0C3E38D6" w14:textId="77777777" w:rsidR="00710ED4" w:rsidRPr="00710ED4" w:rsidRDefault="00710ED4" w:rsidP="00710ED4">
      <w:pPr>
        <w:rPr>
          <w:i/>
          <w:iCs/>
        </w:rPr>
      </w:pPr>
      <w:r w:rsidRPr="00710ED4">
        <w:rPr>
          <w:i/>
          <w:iCs/>
        </w:rPr>
        <w:t>Sustainable Development Goals (SDGs)</w:t>
      </w:r>
    </w:p>
    <w:p w14:paraId="4A17228A" w14:textId="77777777" w:rsidR="00710ED4" w:rsidRDefault="00710ED4" w:rsidP="00710ED4"/>
    <w:p w14:paraId="7494D5D5" w14:textId="59B042F8" w:rsidR="00710ED4" w:rsidRDefault="00710ED4" w:rsidP="00710ED4">
      <w:pPr>
        <w:pStyle w:val="ListParagraph"/>
        <w:numPr>
          <w:ilvl w:val="0"/>
          <w:numId w:val="5"/>
        </w:numPr>
      </w:pPr>
      <w:r>
        <w:t xml:space="preserve">Affirm the connection between the right to health and the SDGs, including SDG 3.a, which calls for implementation of the Framework Convention on Tobacco Control. </w:t>
      </w:r>
    </w:p>
    <w:p w14:paraId="0CDC3415" w14:textId="77777777" w:rsidR="00710ED4" w:rsidRDefault="00710ED4" w:rsidP="00710ED4"/>
    <w:p w14:paraId="76C6CC16" w14:textId="77777777" w:rsidR="00710ED4" w:rsidRDefault="00710ED4" w:rsidP="00710ED4">
      <w:r>
        <w:t xml:space="preserve">Thank you for the opportunity to provide input; General Recommendation 37 will have an important impact at the national and international level. Thank you for protecting the right to health of everyone, of every race. </w:t>
      </w:r>
    </w:p>
    <w:p w14:paraId="43906C9E" w14:textId="77777777" w:rsidR="00710ED4" w:rsidRDefault="00710ED4" w:rsidP="00710ED4"/>
    <w:p w14:paraId="16A3B05C" w14:textId="77777777" w:rsidR="00710ED4" w:rsidRDefault="00710ED4" w:rsidP="00710ED4">
      <w:r>
        <w:t xml:space="preserve">Signed, </w:t>
      </w:r>
    </w:p>
    <w:p w14:paraId="51BFA452" w14:textId="26DF902C" w:rsidR="00710ED4" w:rsidRDefault="00710ED4" w:rsidP="00710ED4"/>
    <w:p w14:paraId="785C45F9" w14:textId="77777777" w:rsidR="00710ED4" w:rsidRDefault="00710ED4" w:rsidP="00710ED4">
      <w:pPr>
        <w:sectPr w:rsidR="00710ED4" w:rsidSect="00016D40">
          <w:headerReference w:type="first" r:id="rId10"/>
          <w:footerReference w:type="first" r:id="rId11"/>
          <w:pgSz w:w="12240" w:h="15840"/>
          <w:pgMar w:top="1080" w:right="1080" w:bottom="1080" w:left="1080" w:header="720" w:footer="720" w:gutter="0"/>
          <w:cols w:space="720"/>
          <w:titlePg/>
          <w:docGrid w:linePitch="360"/>
        </w:sectPr>
      </w:pPr>
    </w:p>
    <w:p w14:paraId="400FC0B2" w14:textId="77777777" w:rsidR="00710ED4" w:rsidRDefault="00710ED4" w:rsidP="00710ED4">
      <w:r>
        <w:lastRenderedPageBreak/>
        <w:t>2Space PBC</w:t>
      </w:r>
    </w:p>
    <w:p w14:paraId="37603D83" w14:textId="77777777" w:rsidR="00710ED4" w:rsidRDefault="00710ED4" w:rsidP="00710ED4">
      <w:r>
        <w:t>ACT Health Promotion/ACT Promoção da Saúde</w:t>
      </w:r>
    </w:p>
    <w:p w14:paraId="0224A40F" w14:textId="77777777" w:rsidR="00710ED4" w:rsidRDefault="00710ED4" w:rsidP="00710ED4">
      <w:r>
        <w:t>ACT-Alliance contre le tabac</w:t>
      </w:r>
    </w:p>
    <w:p w14:paraId="52B68247" w14:textId="77777777" w:rsidR="00710ED4" w:rsidRDefault="00710ED4" w:rsidP="00710ED4">
      <w:r>
        <w:t>Action on Smoking &amp; Health - Philippines</w:t>
      </w:r>
    </w:p>
    <w:p w14:paraId="3EB0CBCA" w14:textId="77777777" w:rsidR="00710ED4" w:rsidRDefault="00710ED4" w:rsidP="00710ED4">
      <w:r>
        <w:t>Action on Smoking and Health</w:t>
      </w:r>
    </w:p>
    <w:p w14:paraId="1F86E7BD" w14:textId="77777777" w:rsidR="00710ED4" w:rsidRDefault="00710ED4" w:rsidP="00710ED4">
      <w:r>
        <w:t>Advancing Synergy</w:t>
      </w:r>
    </w:p>
    <w:p w14:paraId="157511F5" w14:textId="77777777" w:rsidR="00710ED4" w:rsidRDefault="00710ED4" w:rsidP="00710ED4">
      <w:r>
        <w:t>Advocacy center «Life»</w:t>
      </w:r>
    </w:p>
    <w:p w14:paraId="473EA4BE" w14:textId="77777777" w:rsidR="00710ED4" w:rsidRDefault="00710ED4" w:rsidP="00710ED4">
      <w:r>
        <w:t>Afectados por Tabaquismo en Extremadura</w:t>
      </w:r>
    </w:p>
    <w:p w14:paraId="4942E477" w14:textId="77777777" w:rsidR="00710ED4" w:rsidRDefault="00710ED4" w:rsidP="00710ED4">
      <w:r>
        <w:t>African American Tobacco Control Leadership Council</w:t>
      </w:r>
    </w:p>
    <w:p w14:paraId="26438219" w14:textId="77777777" w:rsidR="00710ED4" w:rsidRDefault="00710ED4" w:rsidP="00710ED4">
      <w:r>
        <w:t>African Tobacco Control Alliance (ATCA)</w:t>
      </w:r>
    </w:p>
    <w:p w14:paraId="06E2BCE5" w14:textId="77777777" w:rsidR="00710ED4" w:rsidRPr="00710ED4" w:rsidRDefault="00710ED4" w:rsidP="00710ED4">
      <w:pPr>
        <w:rPr>
          <w:lang w:val="fr-FR"/>
        </w:rPr>
      </w:pPr>
      <w:r w:rsidRPr="00710ED4">
        <w:rPr>
          <w:lang w:val="fr-FR"/>
        </w:rPr>
        <w:t>Afrique Sans Tabac</w:t>
      </w:r>
    </w:p>
    <w:p w14:paraId="43755F6E" w14:textId="77777777" w:rsidR="00710ED4" w:rsidRPr="00710ED4" w:rsidRDefault="00710ED4" w:rsidP="00710ED4">
      <w:pPr>
        <w:rPr>
          <w:lang w:val="fr-FR"/>
        </w:rPr>
      </w:pPr>
      <w:r w:rsidRPr="00710ED4">
        <w:rPr>
          <w:lang w:val="fr-FR"/>
        </w:rPr>
        <w:t>Aktionsbündnis Nichtrauchen e.V. (ABNR e.V.)</w:t>
      </w:r>
    </w:p>
    <w:p w14:paraId="08DAC852" w14:textId="77777777" w:rsidR="00710ED4" w:rsidRDefault="00710ED4" w:rsidP="00710ED4">
      <w:r>
        <w:t>Alameda County Tobacco Control Coalition</w:t>
      </w:r>
    </w:p>
    <w:p w14:paraId="4C439E99" w14:textId="77777777" w:rsidR="00710ED4" w:rsidRDefault="00710ED4" w:rsidP="00710ED4">
      <w:r>
        <w:t>Anti-smoking Crusaders</w:t>
      </w:r>
    </w:p>
    <w:p w14:paraId="59281EE2" w14:textId="77777777" w:rsidR="00710ED4" w:rsidRDefault="00710ED4" w:rsidP="00710ED4">
      <w:r>
        <w:t>Anti-smoking Jordanian society</w:t>
      </w:r>
    </w:p>
    <w:p w14:paraId="7335B2FE" w14:textId="77777777" w:rsidR="00710ED4" w:rsidRDefault="00710ED4" w:rsidP="00710ED4">
      <w:r>
        <w:t>Anti-Vaping Champions at UCLA</w:t>
      </w:r>
    </w:p>
    <w:p w14:paraId="6E20B3E1" w14:textId="77777777" w:rsidR="00710ED4" w:rsidRDefault="00710ED4" w:rsidP="00710ED4">
      <w:r>
        <w:t>AP HP</w:t>
      </w:r>
    </w:p>
    <w:p w14:paraId="77A1B772" w14:textId="77777777" w:rsidR="00710ED4" w:rsidRDefault="00710ED4" w:rsidP="00710ED4">
      <w:r>
        <w:t>Arizonans Concerned About Smoking, Inc.</w:t>
      </w:r>
    </w:p>
    <w:p w14:paraId="1207823C" w14:textId="77777777" w:rsidR="00710ED4" w:rsidRDefault="00710ED4" w:rsidP="00710ED4">
      <w:r>
        <w:t>ASH Canada</w:t>
      </w:r>
    </w:p>
    <w:p w14:paraId="451BE7FA" w14:textId="77777777" w:rsidR="00710ED4" w:rsidRDefault="00710ED4" w:rsidP="00710ED4">
      <w:r>
        <w:t>ASH Scotland</w:t>
      </w:r>
    </w:p>
    <w:p w14:paraId="5A9F33CA" w14:textId="77777777" w:rsidR="00710ED4" w:rsidRDefault="00710ED4" w:rsidP="00710ED4">
      <w:r>
        <w:t>Asian Pacific Islander Coalition Advocating Together (APICAT) for Health</w:t>
      </w:r>
    </w:p>
    <w:p w14:paraId="2892C1A6" w14:textId="77777777" w:rsidR="00710ED4" w:rsidRDefault="00710ED4" w:rsidP="00710ED4">
      <w:r>
        <w:t>Association for Nonsmokers-Minnesota</w:t>
      </w:r>
    </w:p>
    <w:p w14:paraId="211BBB0C" w14:textId="77777777" w:rsidR="00710ED4" w:rsidRDefault="00710ED4" w:rsidP="00710ED4">
      <w:r>
        <w:t>Asthma and Allergy Foundation of America</w:t>
      </w:r>
    </w:p>
    <w:p w14:paraId="3FE3889C" w14:textId="77777777" w:rsidR="00710ED4" w:rsidRDefault="00710ED4" w:rsidP="00710ED4">
      <w:r>
        <w:t>Austrian Council on Smoking and Health</w:t>
      </w:r>
    </w:p>
    <w:p w14:paraId="16FCACEE" w14:textId="77777777" w:rsidR="00710ED4" w:rsidRDefault="00710ED4" w:rsidP="00710ED4">
      <w:r>
        <w:t>Back To Life Housing</w:t>
      </w:r>
    </w:p>
    <w:p w14:paraId="7682DB48" w14:textId="77777777" w:rsidR="00710ED4" w:rsidRDefault="00710ED4" w:rsidP="00710ED4">
      <w:r>
        <w:t>Bahrain Anti-smoking Society</w:t>
      </w:r>
    </w:p>
    <w:p w14:paraId="15235B89" w14:textId="77777777" w:rsidR="00710ED4" w:rsidRDefault="00710ED4" w:rsidP="00710ED4">
      <w:r>
        <w:t>Bay Area Community Resources and Marin County Health and Human Services (Youth Advocacy Committee)</w:t>
      </w:r>
    </w:p>
    <w:p w14:paraId="087B4C59" w14:textId="77777777" w:rsidR="00710ED4" w:rsidRDefault="00710ED4" w:rsidP="00710ED4">
      <w:r>
        <w:t>Black Paris Tours</w:t>
      </w:r>
    </w:p>
    <w:p w14:paraId="7D2CA0EF" w14:textId="77777777" w:rsidR="00710ED4" w:rsidRDefault="00710ED4" w:rsidP="00710ED4">
      <w:r>
        <w:t>BlueLink Foundation</w:t>
      </w:r>
    </w:p>
    <w:p w14:paraId="3426F047" w14:textId="77777777" w:rsidR="00710ED4" w:rsidRDefault="00710ED4" w:rsidP="00710ED4">
      <w:r>
        <w:t>Breathe California of the Bay Area, Golden Gate and Central Coast</w:t>
      </w:r>
    </w:p>
    <w:p w14:paraId="54DCAC95" w14:textId="77777777" w:rsidR="00710ED4" w:rsidRDefault="00710ED4" w:rsidP="00710ED4">
      <w:r>
        <w:t>Bridges Diasporic Arts</w:t>
      </w:r>
    </w:p>
    <w:p w14:paraId="30D5B356" w14:textId="77777777" w:rsidR="00710ED4" w:rsidRDefault="00710ED4" w:rsidP="00710ED4">
      <w:r>
        <w:t>Butte County Public Health Tobacco Education Program</w:t>
      </w:r>
    </w:p>
    <w:p w14:paraId="114DB09A" w14:textId="77777777" w:rsidR="00710ED4" w:rsidRDefault="00710ED4" w:rsidP="00710ED4">
      <w:r>
        <w:t>CA LGBTQ Health and Human Services Network</w:t>
      </w:r>
    </w:p>
    <w:p w14:paraId="6C7CCCEC" w14:textId="77777777" w:rsidR="00710ED4" w:rsidRDefault="00710ED4" w:rsidP="00710ED4">
      <w:r>
        <w:t>Campaign for Tobacco-Free Kids</w:t>
      </w:r>
    </w:p>
    <w:p w14:paraId="0ACE76CB" w14:textId="77777777" w:rsidR="00710ED4" w:rsidRDefault="00710ED4" w:rsidP="00710ED4">
      <w:r>
        <w:t>Cancer Aid Society</w:t>
      </w:r>
    </w:p>
    <w:p w14:paraId="2DB0035E" w14:textId="77777777" w:rsidR="00710ED4" w:rsidRDefault="00710ED4" w:rsidP="00710ED4">
      <w:r>
        <w:t>Center for MultiCultural Health</w:t>
      </w:r>
    </w:p>
    <w:p w14:paraId="547DFAC6" w14:textId="77777777" w:rsidR="00710ED4" w:rsidRDefault="00710ED4" w:rsidP="00710ED4">
      <w:r>
        <w:t>Child Labor Coalition</w:t>
      </w:r>
    </w:p>
    <w:p w14:paraId="000A5EAB" w14:textId="77777777" w:rsidR="00710ED4" w:rsidRDefault="00710ED4" w:rsidP="00710ED4">
      <w:r>
        <w:t>CIET Uruguay</w:t>
      </w:r>
    </w:p>
    <w:p w14:paraId="28DE6658" w14:textId="77777777" w:rsidR="00710ED4" w:rsidRDefault="00710ED4" w:rsidP="00710ED4">
      <w:r>
        <w:t>Cigarette Butt Pollution Project</w:t>
      </w:r>
    </w:p>
    <w:p w14:paraId="7708F57D" w14:textId="77777777" w:rsidR="00710ED4" w:rsidRDefault="00710ED4" w:rsidP="00710ED4">
      <w:r>
        <w:t>CILTAS-MS</w:t>
      </w:r>
    </w:p>
    <w:p w14:paraId="2DBEBABE" w14:textId="77777777" w:rsidR="00710ED4" w:rsidRDefault="00710ED4" w:rsidP="00710ED4">
      <w:r>
        <w:t>CLAS Coalition for Americas' Health</w:t>
      </w:r>
    </w:p>
    <w:p w14:paraId="090EC818" w14:textId="77777777" w:rsidR="00710ED4" w:rsidRDefault="00710ED4" w:rsidP="00710ED4">
      <w:r>
        <w:t>CleanEarth4Kids.org</w:t>
      </w:r>
    </w:p>
    <w:p w14:paraId="171EF59F" w14:textId="77777777" w:rsidR="00710ED4" w:rsidRDefault="00710ED4" w:rsidP="00710ED4">
      <w:r>
        <w:t>CNPT</w:t>
      </w:r>
    </w:p>
    <w:p w14:paraId="19C19162" w14:textId="77777777" w:rsidR="00710ED4" w:rsidRDefault="00710ED4" w:rsidP="00710ED4">
      <w:r>
        <w:t>Coalition for a Smoke-Free Long Beach and Long Beach Environmental Alliance</w:t>
      </w:r>
    </w:p>
    <w:p w14:paraId="31F30E0E" w14:textId="77777777" w:rsidR="00710ED4" w:rsidRPr="00710ED4" w:rsidRDefault="00710ED4" w:rsidP="00710ED4">
      <w:pPr>
        <w:rPr>
          <w:lang w:val="fr-FR"/>
        </w:rPr>
      </w:pPr>
      <w:r w:rsidRPr="00710ED4">
        <w:rPr>
          <w:lang w:val="fr-FR"/>
        </w:rPr>
        <w:t>Colegio de Odontólogos y Estomatólogos de la I Región</w:t>
      </w:r>
    </w:p>
    <w:p w14:paraId="546F046E" w14:textId="77777777" w:rsidR="00710ED4" w:rsidRDefault="00710ED4" w:rsidP="00710ED4">
      <w:r>
        <w:t>Colorado Black Health Collaborative</w:t>
      </w:r>
    </w:p>
    <w:p w14:paraId="4209C587" w14:textId="77777777" w:rsidR="00710ED4" w:rsidRDefault="00710ED4" w:rsidP="00710ED4">
      <w:r>
        <w:t>Colorado Council of Black Nurses Inc.</w:t>
      </w:r>
    </w:p>
    <w:p w14:paraId="0BEBB685" w14:textId="77777777" w:rsidR="00710ED4" w:rsidRPr="00710ED4" w:rsidRDefault="00710ED4" w:rsidP="00710ED4">
      <w:pPr>
        <w:rPr>
          <w:lang w:val="fr-FR"/>
        </w:rPr>
      </w:pPr>
      <w:r w:rsidRPr="00710ED4">
        <w:rPr>
          <w:lang w:val="fr-FR"/>
        </w:rPr>
        <w:t>Comité national contre le tabagisme, CNCT</w:t>
      </w:r>
    </w:p>
    <w:p w14:paraId="6CC5C410" w14:textId="77777777" w:rsidR="00710ED4" w:rsidRDefault="00710ED4" w:rsidP="00710ED4">
      <w:r>
        <w:t>Communities of color</w:t>
      </w:r>
    </w:p>
    <w:p w14:paraId="79FF790B" w14:textId="77777777" w:rsidR="00710ED4" w:rsidRDefault="00710ED4" w:rsidP="00710ED4">
      <w:r>
        <w:t>Community Wellness Alliance</w:t>
      </w:r>
    </w:p>
    <w:p w14:paraId="58D3961A" w14:textId="77777777" w:rsidR="00710ED4" w:rsidRDefault="00710ED4" w:rsidP="00710ED4">
      <w:r>
        <w:t>Consumers for Affordable Health Care</w:t>
      </w:r>
    </w:p>
    <w:p w14:paraId="48324E11" w14:textId="77777777" w:rsidR="00710ED4" w:rsidRDefault="00710ED4" w:rsidP="00710ED4">
      <w:r>
        <w:t>Contra Costa Health</w:t>
      </w:r>
    </w:p>
    <w:p w14:paraId="4CE9CE39" w14:textId="77777777" w:rsidR="00710ED4" w:rsidRDefault="00710ED4" w:rsidP="00710ED4">
      <w:r>
        <w:t>Corporate Accountability</w:t>
      </w:r>
    </w:p>
    <w:p w14:paraId="409937B3" w14:textId="77777777" w:rsidR="00710ED4" w:rsidRDefault="00710ED4" w:rsidP="00710ED4">
      <w:r>
        <w:t>Counter Tools</w:t>
      </w:r>
    </w:p>
    <w:p w14:paraId="50FAA372" w14:textId="77777777" w:rsidR="00710ED4" w:rsidRDefault="00710ED4" w:rsidP="00710ED4">
      <w:r>
        <w:t>DC Tobacco Free Coalition</w:t>
      </w:r>
    </w:p>
    <w:p w14:paraId="3A5D28F4" w14:textId="77777777" w:rsidR="00710ED4" w:rsidRDefault="00710ED4" w:rsidP="00710ED4">
      <w:r>
        <w:t>Department of Environmental Health Surveillance and Occupational Health, Secretariat and Surveillance in Health and Environment, Ministry of Health of Brazil-DSAST/SVSA/MS</w:t>
      </w:r>
    </w:p>
    <w:p w14:paraId="22F8D8A2" w14:textId="77777777" w:rsidR="00710ED4" w:rsidRDefault="00710ED4" w:rsidP="00710ED4">
      <w:r>
        <w:t>Department of Public Health Sciences</w:t>
      </w:r>
    </w:p>
    <w:p w14:paraId="3F9B76F9" w14:textId="77777777" w:rsidR="00710ED4" w:rsidRDefault="00710ED4" w:rsidP="00710ED4">
      <w:r>
        <w:t>Dr.D Y Patil Dental College and Hospital</w:t>
      </w:r>
    </w:p>
    <w:p w14:paraId="4A300A2B" w14:textId="77777777" w:rsidR="00710ED4" w:rsidRDefault="00710ED4" w:rsidP="00710ED4">
      <w:r>
        <w:t>Drug Fight Malawi</w:t>
      </w:r>
    </w:p>
    <w:p w14:paraId="3002FA0D" w14:textId="77777777" w:rsidR="00710ED4" w:rsidRDefault="00710ED4" w:rsidP="00710ED4">
      <w:r>
        <w:t>Enough of Gun Violence</w:t>
      </w:r>
    </w:p>
    <w:p w14:paraId="7D3F83CF" w14:textId="77777777" w:rsidR="00710ED4" w:rsidRDefault="00710ED4" w:rsidP="00710ED4">
      <w:r>
        <w:t>Equality California</w:t>
      </w:r>
    </w:p>
    <w:p w14:paraId="08B09A28" w14:textId="77777777" w:rsidR="00710ED4" w:rsidRDefault="00710ED4" w:rsidP="00710ED4">
      <w:r>
        <w:t>EqualityMaine</w:t>
      </w:r>
    </w:p>
    <w:p w14:paraId="7A16B10B" w14:textId="77777777" w:rsidR="00710ED4" w:rsidRDefault="00710ED4" w:rsidP="00710ED4">
      <w:r>
        <w:t>European Network for Smoking and Tobacco Prevention - ENSP</w:t>
      </w:r>
    </w:p>
    <w:p w14:paraId="5392DBE5" w14:textId="77777777" w:rsidR="00710ED4" w:rsidRDefault="00710ED4" w:rsidP="00710ED4">
      <w:r>
        <w:t>Greater Friendship Missionary Baptist Church</w:t>
      </w:r>
    </w:p>
    <w:p w14:paraId="440AC56B" w14:textId="77777777" w:rsidR="00710ED4" w:rsidRDefault="00710ED4" w:rsidP="00710ED4">
      <w:r>
        <w:t>Federación de Asociaciones de Enfermería Familiar y Comunitaria (FAECAP)</w:t>
      </w:r>
    </w:p>
    <w:p w14:paraId="6C4482EB" w14:textId="77777777" w:rsidR="00710ED4" w:rsidRDefault="00710ED4" w:rsidP="00710ED4">
      <w:r>
        <w:t>Federation of Malaysian Consumers Association (FOMCA)</w:t>
      </w:r>
    </w:p>
    <w:p w14:paraId="1B5F648A" w14:textId="77777777" w:rsidR="00710ED4" w:rsidRDefault="00710ED4" w:rsidP="00710ED4">
      <w:r>
        <w:lastRenderedPageBreak/>
        <w:t>FIC Bolivia/Fundacion Bolivia Saludable/Alianza por la Salud</w:t>
      </w:r>
    </w:p>
    <w:p w14:paraId="35A0BCA7" w14:textId="77777777" w:rsidR="00710ED4" w:rsidRDefault="00710ED4" w:rsidP="00710ED4">
      <w:r>
        <w:t>Fundación Bolivia Saludable</w:t>
      </w:r>
    </w:p>
    <w:p w14:paraId="7272272F" w14:textId="77777777" w:rsidR="00710ED4" w:rsidRDefault="00710ED4" w:rsidP="00710ED4">
      <w:r>
        <w:t>Fundación Canaria Dental</w:t>
      </w:r>
    </w:p>
    <w:p w14:paraId="20563215" w14:textId="77777777" w:rsidR="00710ED4" w:rsidRDefault="00710ED4" w:rsidP="00710ED4">
      <w:r>
        <w:t>Fundación Ellen Riegner de Casas</w:t>
      </w:r>
    </w:p>
    <w:p w14:paraId="25CC1AC9" w14:textId="77777777" w:rsidR="00710ED4" w:rsidRDefault="00710ED4" w:rsidP="00710ED4">
      <w:r>
        <w:t>Fundación Interamericana del Corazón Argentina</w:t>
      </w:r>
    </w:p>
    <w:p w14:paraId="222C4B9E" w14:textId="77777777" w:rsidR="00710ED4" w:rsidRDefault="00710ED4" w:rsidP="00710ED4">
      <w:r>
        <w:t>Gangstas To Growers</w:t>
      </w:r>
    </w:p>
    <w:p w14:paraId="185DA186" w14:textId="77777777" w:rsidR="00710ED4" w:rsidRDefault="00710ED4" w:rsidP="00710ED4">
      <w:r>
        <w:t>Generational Health Network</w:t>
      </w:r>
    </w:p>
    <w:p w14:paraId="5B0A6333" w14:textId="77777777" w:rsidR="00710ED4" w:rsidRDefault="00710ED4" w:rsidP="00710ED4">
      <w:r>
        <w:t>German Network for Tobacco free Healthcare Services</w:t>
      </w:r>
    </w:p>
    <w:p w14:paraId="388C8D58" w14:textId="77777777" w:rsidR="00710ED4" w:rsidRDefault="00710ED4" w:rsidP="00710ED4">
      <w:r>
        <w:t>GISS Center</w:t>
      </w:r>
    </w:p>
    <w:p w14:paraId="03173F71" w14:textId="77777777" w:rsidR="00710ED4" w:rsidRDefault="00710ED4" w:rsidP="00710ED4">
      <w:r>
        <w:t>Global Allergy &amp; Airways Patient Platform</w:t>
      </w:r>
    </w:p>
    <w:p w14:paraId="2DE976B1" w14:textId="77777777" w:rsidR="00710ED4" w:rsidRDefault="00710ED4" w:rsidP="00710ED4">
      <w:r>
        <w:t>Global Alliance for Tobacco Control</w:t>
      </w:r>
    </w:p>
    <w:p w14:paraId="707B3752" w14:textId="77777777" w:rsidR="00710ED4" w:rsidRDefault="00710ED4" w:rsidP="00710ED4">
      <w:r>
        <w:t>Global Health Visions (GHV)</w:t>
      </w:r>
    </w:p>
    <w:p w14:paraId="42063F86" w14:textId="77777777" w:rsidR="00710ED4" w:rsidRDefault="00710ED4" w:rsidP="00710ED4">
      <w:r>
        <w:t>Gravenstein Health Action Coalition</w:t>
      </w:r>
    </w:p>
    <w:p w14:paraId="04BFBF8A" w14:textId="77777777" w:rsidR="00710ED4" w:rsidRDefault="00710ED4" w:rsidP="00710ED4">
      <w:r>
        <w:t>GRESP/APMGF</w:t>
      </w:r>
    </w:p>
    <w:p w14:paraId="4B23CC07" w14:textId="77777777" w:rsidR="00710ED4" w:rsidRDefault="00710ED4" w:rsidP="00710ED4">
      <w:r>
        <w:t>Haakro Welfare Association.(HWA)</w:t>
      </w:r>
    </w:p>
    <w:p w14:paraId="3756F98B" w14:textId="77777777" w:rsidR="00710ED4" w:rsidRDefault="00710ED4" w:rsidP="00710ED4">
      <w:r>
        <w:t>Healis Sekhsaria Institute for Public Health--only an affiliate</w:t>
      </w:r>
    </w:p>
    <w:p w14:paraId="1EB00A89" w14:textId="77777777" w:rsidR="00710ED4" w:rsidRDefault="00710ED4" w:rsidP="00710ED4">
      <w:r>
        <w:t>Health Funds for a Smokefree Netherlands</w:t>
      </w:r>
    </w:p>
    <w:p w14:paraId="6290F6B8" w14:textId="77777777" w:rsidR="00710ED4" w:rsidRDefault="00710ED4" w:rsidP="00710ED4">
      <w:r>
        <w:t>Health Institute Association (Turkey) (Sagliga Evet Dernegi</w:t>
      </w:r>
    </w:p>
    <w:p w14:paraId="6E55DF96" w14:textId="77777777" w:rsidR="00710ED4" w:rsidRDefault="00710ED4" w:rsidP="00710ED4">
      <w:r>
        <w:t>Healthier Lyon County</w:t>
      </w:r>
    </w:p>
    <w:p w14:paraId="6F6F6929" w14:textId="77777777" w:rsidR="00710ED4" w:rsidRDefault="00710ED4" w:rsidP="00710ED4">
      <w:r>
        <w:t>Healthy Black Families, Inc.</w:t>
      </w:r>
    </w:p>
    <w:p w14:paraId="20224AD9" w14:textId="77777777" w:rsidR="00710ED4" w:rsidRDefault="00710ED4" w:rsidP="00710ED4">
      <w:r>
        <w:t>Healthy DC &amp; Me Leadership Coalition</w:t>
      </w:r>
    </w:p>
    <w:p w14:paraId="5E9E3189" w14:textId="77777777" w:rsidR="00710ED4" w:rsidRDefault="00710ED4" w:rsidP="00710ED4">
      <w:r>
        <w:t>Howard University Cancer Center</w:t>
      </w:r>
    </w:p>
    <w:p w14:paraId="75DF3247" w14:textId="77777777" w:rsidR="00710ED4" w:rsidRDefault="00710ED4" w:rsidP="00710ED4">
      <w:r>
        <w:t>Hyah belatadkheen</w:t>
      </w:r>
    </w:p>
    <w:p w14:paraId="0E98C203" w14:textId="77777777" w:rsidR="00710ED4" w:rsidRDefault="00710ED4" w:rsidP="00710ED4">
      <w:r>
        <w:t>IFMSA Brazil</w:t>
      </w:r>
    </w:p>
    <w:p w14:paraId="15579614" w14:textId="77777777" w:rsidR="00710ED4" w:rsidRDefault="00710ED4" w:rsidP="00710ED4">
      <w:r>
        <w:t>International Alliance of Women</w:t>
      </w:r>
    </w:p>
    <w:p w14:paraId="5C253E74" w14:textId="77777777" w:rsidR="00710ED4" w:rsidRDefault="00710ED4" w:rsidP="00710ED4">
      <w:r>
        <w:t>International Tobacco Control Policy Evaluation Project (ITC Project)</w:t>
      </w:r>
    </w:p>
    <w:p w14:paraId="1BD9C308" w14:textId="77777777" w:rsidR="00710ED4" w:rsidRDefault="00710ED4" w:rsidP="00710ED4">
      <w:r>
        <w:t>International Union Against Tuberculosis and Lung Disease</w:t>
      </w:r>
    </w:p>
    <w:p w14:paraId="0C1BCA0C" w14:textId="77777777" w:rsidR="00710ED4" w:rsidRPr="00710ED4" w:rsidRDefault="00710ED4" w:rsidP="00710ED4">
      <w:pPr>
        <w:rPr>
          <w:lang w:val="fr-FR"/>
        </w:rPr>
      </w:pPr>
      <w:r w:rsidRPr="00710ED4">
        <w:rPr>
          <w:lang w:val="fr-FR"/>
        </w:rPr>
        <w:t>Islamic Renaissance Malaysia</w:t>
      </w:r>
    </w:p>
    <w:p w14:paraId="2122F46B" w14:textId="77777777" w:rsidR="00710ED4" w:rsidRPr="00710ED4" w:rsidRDefault="00710ED4" w:rsidP="00710ED4">
      <w:pPr>
        <w:rPr>
          <w:lang w:val="fr-FR"/>
        </w:rPr>
      </w:pPr>
      <w:r w:rsidRPr="00710ED4">
        <w:rPr>
          <w:lang w:val="fr-FR"/>
        </w:rPr>
        <w:t>Istituto Superiore di Sanità</w:t>
      </w:r>
    </w:p>
    <w:p w14:paraId="55078057" w14:textId="77777777" w:rsidR="00710ED4" w:rsidRDefault="00710ED4" w:rsidP="00710ED4">
      <w:r>
        <w:t>Japan Society for Tobacco Control</w:t>
      </w:r>
    </w:p>
    <w:p w14:paraId="1BD370C9" w14:textId="77777777" w:rsidR="00710ED4" w:rsidRDefault="00710ED4" w:rsidP="00710ED4">
      <w:r>
        <w:t>Jump at the Sun Consultants, LLC</w:t>
      </w:r>
    </w:p>
    <w:p w14:paraId="199A8712" w14:textId="77777777" w:rsidR="00710ED4" w:rsidRDefault="00710ED4" w:rsidP="00710ED4">
      <w:r>
        <w:t>Kavali Consulting LLC</w:t>
      </w:r>
    </w:p>
    <w:p w14:paraId="583C6BEB" w14:textId="77777777" w:rsidR="00710ED4" w:rsidRDefault="00710ED4" w:rsidP="00710ED4">
      <w:r>
        <w:t>Kenya Tobacco Control Alliance -Ketca</w:t>
      </w:r>
    </w:p>
    <w:p w14:paraId="210500EC" w14:textId="77777777" w:rsidR="00710ED4" w:rsidRDefault="00710ED4" w:rsidP="00710ED4">
      <w:r>
        <w:t>Korea Health Promotion Institute</w:t>
      </w:r>
    </w:p>
    <w:p w14:paraId="58011C73" w14:textId="77777777" w:rsidR="00710ED4" w:rsidRDefault="00710ED4" w:rsidP="00710ED4">
      <w:r>
        <w:t>Leadership Council for Healthy Communities</w:t>
      </w:r>
    </w:p>
    <w:p w14:paraId="3DAD42E4" w14:textId="77777777" w:rsidR="00710ED4" w:rsidRDefault="00710ED4" w:rsidP="00710ED4">
      <w:r>
        <w:t>LGBTQ Center OC</w:t>
      </w:r>
    </w:p>
    <w:p w14:paraId="3AEBF9DF" w14:textId="77777777" w:rsidR="00710ED4" w:rsidRDefault="00710ED4" w:rsidP="00710ED4">
      <w:r>
        <w:t>Lithuanian Tobacco and Alcohol Control Coalition</w:t>
      </w:r>
    </w:p>
    <w:p w14:paraId="09DDC013" w14:textId="77777777" w:rsidR="00710ED4" w:rsidRDefault="00710ED4" w:rsidP="00710ED4">
      <w:r>
        <w:t>Louisiana Public Health Institute</w:t>
      </w:r>
    </w:p>
    <w:p w14:paraId="1B1E4723" w14:textId="77777777" w:rsidR="00710ED4" w:rsidRDefault="00710ED4" w:rsidP="00710ED4">
      <w:r>
        <w:t>Lovexair Foundation</w:t>
      </w:r>
    </w:p>
    <w:p w14:paraId="739BBFF6" w14:textId="77777777" w:rsidR="00710ED4" w:rsidRDefault="00710ED4" w:rsidP="00710ED4">
      <w:r>
        <w:t>M.I. Mother's Keeper</w:t>
      </w:r>
    </w:p>
    <w:p w14:paraId="39202DB0" w14:textId="77777777" w:rsidR="00710ED4" w:rsidRDefault="00710ED4" w:rsidP="00710ED4">
      <w:r>
        <w:t>Maine Chapter, American Academy of Pediatrics</w:t>
      </w:r>
    </w:p>
    <w:p w14:paraId="22859361" w14:textId="77777777" w:rsidR="00710ED4" w:rsidRDefault="00710ED4" w:rsidP="00710ED4">
      <w:r>
        <w:t>Maine Community Action Partnership</w:t>
      </w:r>
    </w:p>
    <w:p w14:paraId="7973ACED" w14:textId="77777777" w:rsidR="00710ED4" w:rsidRDefault="00710ED4" w:rsidP="00710ED4">
      <w:r>
        <w:t>Maine Medical Association</w:t>
      </w:r>
    </w:p>
    <w:p w14:paraId="65BE053E" w14:textId="77777777" w:rsidR="00710ED4" w:rsidRDefault="00710ED4" w:rsidP="00710ED4">
      <w:r>
        <w:t>Making it Count</w:t>
      </w:r>
    </w:p>
    <w:p w14:paraId="45DC132F" w14:textId="77777777" w:rsidR="00710ED4" w:rsidRDefault="00710ED4" w:rsidP="00710ED4">
      <w:r>
        <w:t>Malaysian Women's Action for Tobacco Control and Health (MyWATCH)</w:t>
      </w:r>
    </w:p>
    <w:p w14:paraId="26D8CEFD" w14:textId="77777777" w:rsidR="00710ED4" w:rsidRDefault="00710ED4" w:rsidP="00710ED4">
      <w:r>
        <w:t>Mariposa Health and Wellness Coalition</w:t>
      </w:r>
    </w:p>
    <w:p w14:paraId="66897C60" w14:textId="77777777" w:rsidR="00710ED4" w:rsidRDefault="00710ED4" w:rsidP="00710ED4">
      <w:r>
        <w:t>Meqoamia community development organization</w:t>
      </w:r>
    </w:p>
    <w:p w14:paraId="43755F1E" w14:textId="77777777" w:rsidR="00710ED4" w:rsidRDefault="00710ED4" w:rsidP="00710ED4">
      <w:r>
        <w:t>Mile High Medical Society</w:t>
      </w:r>
    </w:p>
    <w:p w14:paraId="08CEDF7D" w14:textId="77777777" w:rsidR="00710ED4" w:rsidRDefault="00710ED4" w:rsidP="00710ED4">
      <w:r>
        <w:t>Minnesota Society for Public Health Education</w:t>
      </w:r>
    </w:p>
    <w:p w14:paraId="03606CDF" w14:textId="77777777" w:rsidR="00710ED4" w:rsidRDefault="00710ED4" w:rsidP="00710ED4">
      <w:r>
        <w:t>Mircea and Partners Law Firm</w:t>
      </w:r>
    </w:p>
    <w:p w14:paraId="253D4BCE" w14:textId="77777777" w:rsidR="00710ED4" w:rsidRDefault="00710ED4" w:rsidP="00710ED4">
      <w:r>
        <w:t>Movendi International</w:t>
      </w:r>
    </w:p>
    <w:p w14:paraId="3B91D86E" w14:textId="77777777" w:rsidR="00710ED4" w:rsidRDefault="00710ED4" w:rsidP="00710ED4">
      <w:r>
        <w:t>National council against smoking</w:t>
      </w:r>
    </w:p>
    <w:p w14:paraId="6528CF72" w14:textId="77777777" w:rsidR="00710ED4" w:rsidRDefault="00710ED4" w:rsidP="00710ED4">
      <w:r>
        <w:t>National Jordanian Anti-smoking Society</w:t>
      </w:r>
    </w:p>
    <w:p w14:paraId="69AB404C" w14:textId="77777777" w:rsidR="00710ED4" w:rsidRDefault="00710ED4" w:rsidP="00710ED4">
      <w:r>
        <w:t>National LGBT Cancer Network</w:t>
      </w:r>
    </w:p>
    <w:p w14:paraId="69CE956C" w14:textId="77777777" w:rsidR="00710ED4" w:rsidRDefault="00710ED4" w:rsidP="00710ED4">
      <w:r>
        <w:t>NCD unit in Ministry of health Zanzibar</w:t>
      </w:r>
    </w:p>
    <w:p w14:paraId="35474D11" w14:textId="77777777" w:rsidR="00710ED4" w:rsidRDefault="00710ED4" w:rsidP="00710ED4">
      <w:r>
        <w:t>Neighborhood Planning Unit H - Adamsville</w:t>
      </w:r>
    </w:p>
    <w:p w14:paraId="0B64502F" w14:textId="77777777" w:rsidR="00710ED4" w:rsidRDefault="00710ED4" w:rsidP="00710ED4">
      <w:r>
        <w:t>New England Arab American Organization (NEAAO)</w:t>
      </w:r>
    </w:p>
    <w:p w14:paraId="2264C7BC" w14:textId="77777777" w:rsidR="00710ED4" w:rsidRDefault="00710ED4" w:rsidP="00710ED4">
      <w:r>
        <w:t>New York State Public Health Association</w:t>
      </w:r>
    </w:p>
    <w:p w14:paraId="0F4F34AB" w14:textId="77777777" w:rsidR="00710ED4" w:rsidRDefault="00710ED4" w:rsidP="00710ED4">
      <w:r>
        <w:t>NHMRC Centre of Research Excellence on Achieving the Tobacco Endgame</w:t>
      </w:r>
    </w:p>
    <w:p w14:paraId="6CA42E87" w14:textId="77777777" w:rsidR="00710ED4" w:rsidRDefault="00710ED4" w:rsidP="00710ED4">
      <w:r>
        <w:t>Nofumadores.org</w:t>
      </w:r>
    </w:p>
    <w:p w14:paraId="7199E9E6" w14:textId="77777777" w:rsidR="00710ED4" w:rsidRDefault="00710ED4" w:rsidP="00710ED4">
      <w:r>
        <w:t>North American Quitline Consortium</w:t>
      </w:r>
    </w:p>
    <w:p w14:paraId="38AF1C4F" w14:textId="77777777" w:rsidR="00710ED4" w:rsidRDefault="00710ED4" w:rsidP="00710ED4">
      <w:r>
        <w:t>Northeast Ohio Black Health Coalition</w:t>
      </w:r>
    </w:p>
    <w:p w14:paraId="30DDD100" w14:textId="77777777" w:rsidR="00710ED4" w:rsidRDefault="00710ED4" w:rsidP="00710ED4">
      <w:r>
        <w:t>Norwegian Cancer Society</w:t>
      </w:r>
    </w:p>
    <w:p w14:paraId="48A7BFB8" w14:textId="77777777" w:rsidR="00710ED4" w:rsidRDefault="00710ED4" w:rsidP="00710ED4">
      <w:r>
        <w:t>Nursing Association of Moldova</w:t>
      </w:r>
    </w:p>
    <w:p w14:paraId="6672E410" w14:textId="77777777" w:rsidR="00710ED4" w:rsidRDefault="00710ED4" w:rsidP="00710ED4">
      <w:r>
        <w:t>NY SAHY</w:t>
      </w:r>
    </w:p>
    <w:p w14:paraId="60A41B11" w14:textId="77777777" w:rsidR="00710ED4" w:rsidRDefault="00710ED4" w:rsidP="00710ED4">
      <w:r>
        <w:t>Office of Samoan Affairs</w:t>
      </w:r>
    </w:p>
    <w:p w14:paraId="12AF528A" w14:textId="77777777" w:rsidR="00710ED4" w:rsidRDefault="00710ED4" w:rsidP="00710ED4">
      <w:r>
        <w:t>OMIS Uruguay</w:t>
      </w:r>
    </w:p>
    <w:p w14:paraId="6AFE392B" w14:textId="77777777" w:rsidR="00710ED4" w:rsidRDefault="00710ED4" w:rsidP="00710ED4">
      <w:r>
        <w:t>Parents Against Vaping e-cigarettes</w:t>
      </w:r>
    </w:p>
    <w:p w14:paraId="35E419F0" w14:textId="77777777" w:rsidR="00710ED4" w:rsidRDefault="00710ED4" w:rsidP="00710ED4">
      <w:r>
        <w:t>Physicians for a Smoke-Free Canada</w:t>
      </w:r>
    </w:p>
    <w:p w14:paraId="0AC3D4A6" w14:textId="77777777" w:rsidR="00710ED4" w:rsidRDefault="00710ED4" w:rsidP="00710ED4">
      <w:r>
        <w:t>Preventing Tobacco Addiction Foundation</w:t>
      </w:r>
    </w:p>
    <w:p w14:paraId="15C18A39" w14:textId="77777777" w:rsidR="00710ED4" w:rsidRDefault="00710ED4" w:rsidP="00710ED4">
      <w:r>
        <w:t>PROGGA, Knowledge for Progress</w:t>
      </w:r>
    </w:p>
    <w:p w14:paraId="3CE05CBD" w14:textId="77777777" w:rsidR="00710ED4" w:rsidRDefault="00710ED4" w:rsidP="00710ED4">
      <w:r>
        <w:t>PROI</w:t>
      </w:r>
    </w:p>
    <w:p w14:paraId="065282B3" w14:textId="77777777" w:rsidR="00710ED4" w:rsidRDefault="00710ED4" w:rsidP="00710ED4">
      <w:r>
        <w:t>Project Success Coalition</w:t>
      </w:r>
    </w:p>
    <w:p w14:paraId="266CBDCF" w14:textId="77777777" w:rsidR="00710ED4" w:rsidRDefault="00710ED4" w:rsidP="00710ED4">
      <w:r>
        <w:t>Public Health Law Center</w:t>
      </w:r>
    </w:p>
    <w:p w14:paraId="34BA6B31" w14:textId="77777777" w:rsidR="00710ED4" w:rsidRDefault="00710ED4" w:rsidP="00710ED4">
      <w:r>
        <w:t>Race, Racism and the Law</w:t>
      </w:r>
    </w:p>
    <w:p w14:paraId="6EAF0B18" w14:textId="77777777" w:rsidR="00710ED4" w:rsidRDefault="00710ED4" w:rsidP="00710ED4">
      <w:r>
        <w:t>Rajasthan Cancer Foundation</w:t>
      </w:r>
    </w:p>
    <w:p w14:paraId="4C497ED2" w14:textId="77777777" w:rsidR="00710ED4" w:rsidRDefault="00710ED4" w:rsidP="00710ED4">
      <w:r>
        <w:t>RENATA</w:t>
      </w:r>
    </w:p>
    <w:p w14:paraId="3A9315BB" w14:textId="77777777" w:rsidR="00710ED4" w:rsidRDefault="00710ED4" w:rsidP="00710ED4">
      <w:r>
        <w:t>ROVER Tobacco Control Library</w:t>
      </w:r>
    </w:p>
    <w:p w14:paraId="37B57FCD" w14:textId="77777777" w:rsidR="00710ED4" w:rsidRDefault="00710ED4" w:rsidP="00710ED4">
      <w:r>
        <w:t>Rural Health Unit- Talisayan</w:t>
      </w:r>
    </w:p>
    <w:p w14:paraId="48F49F48" w14:textId="77777777" w:rsidR="00710ED4" w:rsidRDefault="00710ED4" w:rsidP="00710ED4">
      <w:r>
        <w:t>Salud Justa Mx</w:t>
      </w:r>
    </w:p>
    <w:p w14:paraId="6B8F75C1" w14:textId="77777777" w:rsidR="00710ED4" w:rsidRDefault="00710ED4" w:rsidP="00710ED4">
      <w:r>
        <w:t>Save A Girl Save A World</w:t>
      </w:r>
    </w:p>
    <w:p w14:paraId="79A55CD4" w14:textId="77777777" w:rsidR="00710ED4" w:rsidRDefault="00710ED4" w:rsidP="00710ED4">
      <w:r>
        <w:t>shinelife international foundation</w:t>
      </w:r>
    </w:p>
    <w:p w14:paraId="57E72AA0" w14:textId="77777777" w:rsidR="00710ED4" w:rsidRDefault="00710ED4" w:rsidP="00710ED4">
      <w:r>
        <w:lastRenderedPageBreak/>
        <w:t>Shivi Development Society</w:t>
      </w:r>
    </w:p>
    <w:p w14:paraId="5A5B0E78" w14:textId="77777777" w:rsidR="00710ED4" w:rsidRDefault="00710ED4" w:rsidP="00710ED4">
      <w:r>
        <w:t>Sierra Leone Alliance Against Hunger and Malnutrition (SLAAHM)</w:t>
      </w:r>
    </w:p>
    <w:p w14:paraId="72470355" w14:textId="77777777" w:rsidR="00710ED4" w:rsidRDefault="00710ED4" w:rsidP="00710ED4">
      <w:r>
        <w:t>SITAB (Italian Society of Tobaccology)</w:t>
      </w:r>
    </w:p>
    <w:p w14:paraId="2957C9BE" w14:textId="77777777" w:rsidR="00710ED4" w:rsidRDefault="00710ED4" w:rsidP="00710ED4">
      <w:r>
        <w:t>SLO Co. Tobacco Control Coalition</w:t>
      </w:r>
    </w:p>
    <w:p w14:paraId="27E34D39" w14:textId="77777777" w:rsidR="00710ED4" w:rsidRDefault="00710ED4" w:rsidP="00710ED4">
      <w:r>
        <w:t>Smoke Free Israel</w:t>
      </w:r>
    </w:p>
    <w:p w14:paraId="56165D52" w14:textId="77777777" w:rsidR="00710ED4" w:rsidRDefault="00710ED4" w:rsidP="00710ED4">
      <w:r>
        <w:t>Smoke Free Outdoor Areas Antelope Valley Coalition</w:t>
      </w:r>
    </w:p>
    <w:p w14:paraId="3306F5EC" w14:textId="77777777" w:rsidR="00710ED4" w:rsidRDefault="00710ED4" w:rsidP="00710ED4">
      <w:r>
        <w:t>Smoke Free St. Joe Coalition</w:t>
      </w:r>
    </w:p>
    <w:p w14:paraId="2D151E20" w14:textId="77777777" w:rsidR="00710ED4" w:rsidRDefault="00710ED4" w:rsidP="00710ED4">
      <w:r>
        <w:t>Smokefree Air For Everyone</w:t>
      </w:r>
    </w:p>
    <w:p w14:paraId="1E317EBB" w14:textId="77777777" w:rsidR="00710ED4" w:rsidRDefault="00710ED4" w:rsidP="00710ED4">
      <w:r>
        <w:t>Smoking Cessation Leadership Center</w:t>
      </w:r>
    </w:p>
    <w:p w14:paraId="6BD77BE3" w14:textId="77777777" w:rsidR="00710ED4" w:rsidRDefault="00710ED4" w:rsidP="00710ED4">
      <w:r>
        <w:t>Social Liberation n Health Network</w:t>
      </w:r>
    </w:p>
    <w:p w14:paraId="44B896E5" w14:textId="77777777" w:rsidR="00710ED4" w:rsidRPr="00710ED4" w:rsidRDefault="00710ED4" w:rsidP="00710ED4">
      <w:pPr>
        <w:rPr>
          <w:lang w:val="fr-FR"/>
        </w:rPr>
      </w:pPr>
      <w:r w:rsidRPr="00710ED4">
        <w:rPr>
          <w:lang w:val="fr-FR"/>
        </w:rPr>
        <w:t>Sociedad Española de Especialistas en Tabaquismo (SEDET)</w:t>
      </w:r>
    </w:p>
    <w:p w14:paraId="7881AA87" w14:textId="77777777" w:rsidR="00710ED4" w:rsidRDefault="00710ED4" w:rsidP="00710ED4">
      <w:r>
        <w:t>Societat Catalana d'Atenció i Tractament del Consum del Tabac (SCATT)</w:t>
      </w:r>
    </w:p>
    <w:p w14:paraId="2177E6FE" w14:textId="77777777" w:rsidR="00710ED4" w:rsidRDefault="00710ED4" w:rsidP="00710ED4">
      <w:r>
        <w:t>Society for Oral Cancer and Health</w:t>
      </w:r>
    </w:p>
    <w:p w14:paraId="0FE5721F" w14:textId="77777777" w:rsidR="00710ED4" w:rsidRDefault="00710ED4" w:rsidP="00710ED4">
      <w:r>
        <w:t>Southeast Asia Tobacco Control Alliance</w:t>
      </w:r>
    </w:p>
    <w:p w14:paraId="7057CC8D" w14:textId="77777777" w:rsidR="00710ED4" w:rsidRDefault="00710ED4" w:rsidP="00710ED4">
      <w:r>
        <w:t>Stan Martin Consulting</w:t>
      </w:r>
    </w:p>
    <w:p w14:paraId="734F2D63" w14:textId="77777777" w:rsidR="00710ED4" w:rsidRDefault="00710ED4" w:rsidP="00710ED4">
      <w:r>
        <w:t>Strategic Institute for Public Health Education &amp; Research (SIPHER)</w:t>
      </w:r>
    </w:p>
    <w:p w14:paraId="3F8D2C05" w14:textId="77777777" w:rsidR="00710ED4" w:rsidRDefault="00710ED4" w:rsidP="00710ED4">
      <w:r>
        <w:t>Swedish Heart Lung Foundation</w:t>
      </w:r>
    </w:p>
    <w:p w14:paraId="25DE9BCD" w14:textId="77777777" w:rsidR="00710ED4" w:rsidRDefault="00710ED4" w:rsidP="00710ED4">
      <w:r>
        <w:t>Swiss Association for Tobacco Control</w:t>
      </w:r>
    </w:p>
    <w:p w14:paraId="680BD519" w14:textId="77777777" w:rsidR="00710ED4" w:rsidRDefault="00710ED4" w:rsidP="00710ED4">
      <w:r>
        <w:t>T&amp;T Consulting Limited</w:t>
      </w:r>
    </w:p>
    <w:p w14:paraId="28FB00D1" w14:textId="77777777" w:rsidR="00710ED4" w:rsidRDefault="00710ED4" w:rsidP="00710ED4">
      <w:r>
        <w:t>Tabac Liberte</w:t>
      </w:r>
    </w:p>
    <w:p w14:paraId="405B1882" w14:textId="77777777" w:rsidR="00710ED4" w:rsidRDefault="00710ED4" w:rsidP="00710ED4">
      <w:r>
        <w:t>Tanzania Tobacco Control Forum</w:t>
      </w:r>
    </w:p>
    <w:p w14:paraId="01C8111E" w14:textId="77777777" w:rsidR="00710ED4" w:rsidRDefault="00710ED4" w:rsidP="00710ED4">
      <w:r>
        <w:t>TB PROOF</w:t>
      </w:r>
    </w:p>
    <w:p w14:paraId="73454FDC" w14:textId="77777777" w:rsidR="00710ED4" w:rsidRDefault="00710ED4" w:rsidP="00710ED4">
      <w:r>
        <w:t>Te Ao Hurihuri</w:t>
      </w:r>
    </w:p>
    <w:p w14:paraId="4515B252" w14:textId="77777777" w:rsidR="00710ED4" w:rsidRDefault="00710ED4" w:rsidP="00710ED4">
      <w:r>
        <w:t>Temperance Awakening</w:t>
      </w:r>
    </w:p>
    <w:p w14:paraId="6C66C6E2" w14:textId="77777777" w:rsidR="00710ED4" w:rsidRDefault="00710ED4" w:rsidP="00710ED4">
      <w:r>
        <w:t>Tennessee Tribune Newspaper</w:t>
      </w:r>
    </w:p>
    <w:p w14:paraId="3DE8B6CD" w14:textId="77777777" w:rsidR="00710ED4" w:rsidRDefault="00710ED4" w:rsidP="00710ED4">
      <w:r>
        <w:t>The Arab Council for Social Responsibility</w:t>
      </w:r>
    </w:p>
    <w:p w14:paraId="23B9A320" w14:textId="77777777" w:rsidR="00710ED4" w:rsidRDefault="00710ED4" w:rsidP="00710ED4">
      <w:r>
        <w:t>The Center for Black Health &amp; Equity</w:t>
      </w:r>
    </w:p>
    <w:p w14:paraId="23B3D57F" w14:textId="77777777" w:rsidR="00710ED4" w:rsidRDefault="00710ED4" w:rsidP="00710ED4">
      <w:r>
        <w:t>The Danish Heart Foundation</w:t>
      </w:r>
    </w:p>
    <w:p w14:paraId="45123EEE" w14:textId="77777777" w:rsidR="00710ED4" w:rsidRDefault="00710ED4" w:rsidP="00710ED4">
      <w:r>
        <w:t>The Girls Association for Development</w:t>
      </w:r>
    </w:p>
    <w:p w14:paraId="68050979" w14:textId="77777777" w:rsidR="00710ED4" w:rsidRDefault="00710ED4" w:rsidP="00710ED4">
      <w:r>
        <w:t>The Israeli Medical Association for Smoking Cessation and Prevention</w:t>
      </w:r>
    </w:p>
    <w:p w14:paraId="24495F12" w14:textId="77777777" w:rsidR="00710ED4" w:rsidRDefault="00710ED4" w:rsidP="00710ED4">
      <w:r>
        <w:t>The Louisiana Campaign for Tobacco-Free Living</w:t>
      </w:r>
    </w:p>
    <w:p w14:paraId="2DD0EF89" w14:textId="77777777" w:rsidR="00710ED4" w:rsidRDefault="00710ED4" w:rsidP="00710ED4">
      <w:r>
        <w:t>The Lutheran Outreach Community Based Organization</w:t>
      </w:r>
    </w:p>
    <w:p w14:paraId="438224E0" w14:textId="77777777" w:rsidR="00710ED4" w:rsidRDefault="00710ED4" w:rsidP="00710ED4">
      <w:r>
        <w:t>The Scribes of Heru Writers Collective</w:t>
      </w:r>
    </w:p>
    <w:p w14:paraId="72CD7180" w14:textId="77777777" w:rsidR="00710ED4" w:rsidRDefault="00710ED4" w:rsidP="00710ED4">
      <w:r>
        <w:t>The Spanish COPD Patient association, APEPOC</w:t>
      </w:r>
    </w:p>
    <w:p w14:paraId="4E882A52" w14:textId="77777777" w:rsidR="00710ED4" w:rsidRDefault="00710ED4" w:rsidP="00710ED4">
      <w:r>
        <w:t>The University of Kansas Cancer Center</w:t>
      </w:r>
    </w:p>
    <w:p w14:paraId="58CC5824" w14:textId="77777777" w:rsidR="00710ED4" w:rsidRDefault="00710ED4" w:rsidP="00710ED4">
      <w:r>
        <w:t>Tobacco Control Alliance</w:t>
      </w:r>
    </w:p>
    <w:p w14:paraId="325E3A71" w14:textId="77777777" w:rsidR="00710ED4" w:rsidRDefault="00710ED4" w:rsidP="00710ED4">
      <w:r>
        <w:t>Tobacco Control Area . Spanish Society of Pneumology and Thoracic Surgery</w:t>
      </w:r>
    </w:p>
    <w:p w14:paraId="63F4C0F6" w14:textId="77777777" w:rsidR="00710ED4" w:rsidRDefault="00710ED4" w:rsidP="00710ED4">
      <w:r>
        <w:t>Tobacco Education &amp; Advocacy of the Midlands</w:t>
      </w:r>
    </w:p>
    <w:p w14:paraId="3F9B9B3F" w14:textId="77777777" w:rsidR="00710ED4" w:rsidRDefault="00710ED4" w:rsidP="00710ED4">
      <w:r>
        <w:t>Tobacco Free Portfolios</w:t>
      </w:r>
    </w:p>
    <w:p w14:paraId="4F9F9FB8" w14:textId="77777777" w:rsidR="00710ED4" w:rsidRDefault="00710ED4" w:rsidP="00710ED4">
      <w:r>
        <w:t>Tobacco Monitor</w:t>
      </w:r>
    </w:p>
    <w:p w14:paraId="39BF3BE6" w14:textId="77777777" w:rsidR="00710ED4" w:rsidRDefault="00710ED4" w:rsidP="00710ED4">
      <w:r>
        <w:t>TobaccoFree Research Institute Ireland</w:t>
      </w:r>
    </w:p>
    <w:p w14:paraId="7869A92A" w14:textId="77777777" w:rsidR="00710ED4" w:rsidRDefault="00710ED4" w:rsidP="00710ED4">
      <w:r>
        <w:t>Transcending Institutions and Communities Inc.</w:t>
      </w:r>
    </w:p>
    <w:p w14:paraId="088B9C75" w14:textId="77777777" w:rsidR="00710ED4" w:rsidRPr="00710ED4" w:rsidRDefault="00710ED4" w:rsidP="00710ED4">
      <w:pPr>
        <w:rPr>
          <w:lang w:val="fr-FR"/>
        </w:rPr>
      </w:pPr>
      <w:r w:rsidRPr="00710ED4">
        <w:rPr>
          <w:lang w:val="fr-FR"/>
        </w:rPr>
        <w:t>Tulasi Mehar UNESCO Club</w:t>
      </w:r>
    </w:p>
    <w:p w14:paraId="6EFDF311" w14:textId="77777777" w:rsidR="00710ED4" w:rsidRPr="00710ED4" w:rsidRDefault="00710ED4" w:rsidP="00710ED4">
      <w:pPr>
        <w:rPr>
          <w:lang w:val="fr-FR"/>
        </w:rPr>
      </w:pPr>
      <w:r w:rsidRPr="00710ED4">
        <w:rPr>
          <w:lang w:val="fr-FR"/>
        </w:rPr>
        <w:t>Uganda Non- Communicable Disease Alliance (UNCDA)</w:t>
      </w:r>
    </w:p>
    <w:p w14:paraId="1F62C6B8" w14:textId="77777777" w:rsidR="00710ED4" w:rsidRDefault="00710ED4" w:rsidP="00710ED4">
      <w:r>
        <w:t>Union for International Cancer Control</w:t>
      </w:r>
    </w:p>
    <w:p w14:paraId="2B6E37EB" w14:textId="77777777" w:rsidR="00710ED4" w:rsidRDefault="00710ED4" w:rsidP="00710ED4">
      <w:r>
        <w:t>Vision for Alternative Development</w:t>
      </w:r>
    </w:p>
    <w:p w14:paraId="3E63F941" w14:textId="77777777" w:rsidR="00710ED4" w:rsidRDefault="00710ED4" w:rsidP="00710ED4">
      <w:r>
        <w:t>Vital Strategies</w:t>
      </w:r>
    </w:p>
    <w:p w14:paraId="1C5E0603" w14:textId="77777777" w:rsidR="00710ED4" w:rsidRDefault="00710ED4" w:rsidP="00710ED4">
      <w:r>
        <w:t>Volunteers Against Smoking and Tobacco</w:t>
      </w:r>
    </w:p>
    <w:p w14:paraId="5E195AEF" w14:textId="77777777" w:rsidR="00710ED4" w:rsidRDefault="00710ED4" w:rsidP="00710ED4">
      <w:r>
        <w:t>WALK</w:t>
      </w:r>
    </w:p>
    <w:p w14:paraId="0DC2655C" w14:textId="77777777" w:rsidR="00710ED4" w:rsidRDefault="00710ED4" w:rsidP="00710ED4">
      <w:r>
        <w:t>William S. Robinson &amp; Associates, Inc.</w:t>
      </w:r>
    </w:p>
    <w:p w14:paraId="75B7286D" w14:textId="77777777" w:rsidR="00710ED4" w:rsidRDefault="00710ED4" w:rsidP="00710ED4">
      <w:r>
        <w:t>Winona County Alliance for Substance Abuse</w:t>
      </w:r>
    </w:p>
    <w:p w14:paraId="0E96CBAC" w14:textId="77777777" w:rsidR="00710ED4" w:rsidRDefault="00710ED4" w:rsidP="00710ED4">
      <w:r>
        <w:t>Wisconsin African American Tobacco Prevention Network</w:t>
      </w:r>
    </w:p>
    <w:p w14:paraId="4A103284" w14:textId="77777777" w:rsidR="00710ED4" w:rsidRDefault="00710ED4" w:rsidP="00710ED4">
      <w:r>
        <w:t>Wisconsin Tobacco Prevention and Poverty Network</w:t>
      </w:r>
    </w:p>
    <w:p w14:paraId="6A6ED229" w14:textId="77777777" w:rsidR="00710ED4" w:rsidRDefault="00710ED4" w:rsidP="00710ED4">
      <w:r>
        <w:t>Women Advancing Nutrition Dietetics and Agriculture (WANDA)</w:t>
      </w:r>
    </w:p>
    <w:p w14:paraId="3881516D" w14:textId="77777777" w:rsidR="00710ED4" w:rsidRDefault="00710ED4" w:rsidP="00710ED4">
      <w:r>
        <w:t>Women Watch Afrika, Inc.</w:t>
      </w:r>
    </w:p>
    <w:p w14:paraId="541D96F7" w14:textId="77777777" w:rsidR="00710ED4" w:rsidRDefault="00710ED4" w:rsidP="00710ED4">
      <w:r>
        <w:t>Women's Coalition Against Cancer -(wocaca)</w:t>
      </w:r>
    </w:p>
    <w:p w14:paraId="0E356FCE" w14:textId="77777777" w:rsidR="00710ED4" w:rsidRDefault="00710ED4" w:rsidP="00710ED4">
      <w:r>
        <w:t>Women's Participation Institute</w:t>
      </w:r>
    </w:p>
    <w:p w14:paraId="330EDECB" w14:textId="77777777" w:rsidR="00710ED4" w:rsidRDefault="00710ED4" w:rsidP="00710ED4">
      <w:r>
        <w:t>XQNS citizen initiative for the improvement of the Tobacco Law in Spain</w:t>
      </w:r>
    </w:p>
    <w:p w14:paraId="5C85EAFC" w14:textId="77777777" w:rsidR="00710ED4" w:rsidRDefault="00710ED4" w:rsidP="00710ED4">
      <w:r>
        <w:t>YAADA</w:t>
      </w:r>
    </w:p>
    <w:p w14:paraId="1894AC34" w14:textId="77777777" w:rsidR="00710ED4" w:rsidRDefault="00710ED4" w:rsidP="00710ED4">
      <w:r>
        <w:t>YMCA DC Youth &amp; Government</w:t>
      </w:r>
    </w:p>
    <w:p w14:paraId="1A9EF486" w14:textId="77777777" w:rsidR="00710ED4" w:rsidRDefault="00710ED4" w:rsidP="00710ED4">
      <w:r>
        <w:t>Youth and Women for Change in Eswatini</w:t>
      </w:r>
    </w:p>
    <w:p w14:paraId="06F54B56" w14:textId="77777777" w:rsidR="00710ED4" w:rsidRDefault="00710ED4" w:rsidP="00710ED4">
      <w:pPr>
        <w:sectPr w:rsidR="00710ED4" w:rsidSect="00710ED4">
          <w:type w:val="continuous"/>
          <w:pgSz w:w="12240" w:h="15840"/>
          <w:pgMar w:top="1080" w:right="1080" w:bottom="1080" w:left="1080" w:header="720" w:footer="720" w:gutter="0"/>
          <w:cols w:num="2" w:space="720"/>
          <w:titlePg/>
          <w:docGrid w:linePitch="360"/>
        </w:sectPr>
      </w:pPr>
    </w:p>
    <w:p w14:paraId="5F1783E8" w14:textId="77777777" w:rsidR="00710ED4" w:rsidRDefault="00710ED4" w:rsidP="00710ED4"/>
    <w:p w14:paraId="2EAB0DAE" w14:textId="77777777" w:rsidR="00290900" w:rsidRPr="00290900" w:rsidRDefault="00290900" w:rsidP="00290900"/>
    <w:p w14:paraId="7338A91F" w14:textId="00257646" w:rsidR="00290900" w:rsidRDefault="00290900" w:rsidP="00290900"/>
    <w:p w14:paraId="3836FECC" w14:textId="30D9A7C3" w:rsidR="007515E9" w:rsidRPr="007515E9" w:rsidRDefault="007515E9" w:rsidP="007515E9"/>
    <w:p w14:paraId="2905A8ED" w14:textId="592E51B4" w:rsidR="007515E9" w:rsidRPr="007515E9" w:rsidRDefault="007515E9" w:rsidP="007515E9"/>
    <w:p w14:paraId="61015CC7" w14:textId="0C5117D6" w:rsidR="007515E9" w:rsidRPr="007515E9" w:rsidRDefault="007515E9" w:rsidP="007515E9"/>
    <w:p w14:paraId="1E0C228B" w14:textId="5295F201" w:rsidR="007515E9" w:rsidRPr="007515E9" w:rsidRDefault="007515E9" w:rsidP="007515E9"/>
    <w:p w14:paraId="5D720374" w14:textId="79FB52FA" w:rsidR="007515E9" w:rsidRPr="007515E9" w:rsidRDefault="007515E9" w:rsidP="007515E9"/>
    <w:p w14:paraId="39AB38DB" w14:textId="78B10318" w:rsidR="007515E9" w:rsidRPr="007515E9" w:rsidRDefault="007515E9" w:rsidP="007515E9"/>
    <w:p w14:paraId="39D0B23F" w14:textId="1652DE8D" w:rsidR="007515E9" w:rsidRDefault="007515E9" w:rsidP="007515E9"/>
    <w:p w14:paraId="5FE0772E" w14:textId="77777777" w:rsidR="007515E9" w:rsidRDefault="007515E9" w:rsidP="007515E9">
      <w:pPr>
        <w:tabs>
          <w:tab w:val="left" w:pos="4530"/>
        </w:tabs>
      </w:pPr>
      <w:r>
        <w:tab/>
      </w:r>
    </w:p>
    <w:p w14:paraId="2846E023" w14:textId="77777777" w:rsidR="007515E9" w:rsidRDefault="007515E9" w:rsidP="007515E9">
      <w:pPr>
        <w:tabs>
          <w:tab w:val="left" w:pos="4530"/>
        </w:tabs>
      </w:pPr>
    </w:p>
    <w:p w14:paraId="30AA0F85" w14:textId="77777777" w:rsidR="007515E9" w:rsidRDefault="007515E9" w:rsidP="007515E9">
      <w:pPr>
        <w:tabs>
          <w:tab w:val="left" w:pos="4530"/>
        </w:tabs>
      </w:pPr>
    </w:p>
    <w:p w14:paraId="47FC36ED" w14:textId="77777777" w:rsidR="007515E9" w:rsidRDefault="007515E9" w:rsidP="007515E9">
      <w:pPr>
        <w:tabs>
          <w:tab w:val="left" w:pos="4530"/>
        </w:tabs>
      </w:pPr>
    </w:p>
    <w:p w14:paraId="2D1BB05C" w14:textId="77777777" w:rsidR="007515E9" w:rsidRDefault="007515E9" w:rsidP="007515E9">
      <w:pPr>
        <w:tabs>
          <w:tab w:val="left" w:pos="4530"/>
        </w:tabs>
      </w:pPr>
    </w:p>
    <w:p w14:paraId="123ED30D" w14:textId="77777777" w:rsidR="007515E9" w:rsidRDefault="007515E9" w:rsidP="007515E9">
      <w:pPr>
        <w:tabs>
          <w:tab w:val="left" w:pos="4530"/>
        </w:tabs>
      </w:pPr>
    </w:p>
    <w:p w14:paraId="3FEB9AC4" w14:textId="77777777" w:rsidR="007515E9" w:rsidRDefault="007515E9" w:rsidP="007515E9">
      <w:pPr>
        <w:tabs>
          <w:tab w:val="left" w:pos="4530"/>
        </w:tabs>
      </w:pPr>
    </w:p>
    <w:p w14:paraId="44A015A2" w14:textId="77777777" w:rsidR="007515E9" w:rsidRDefault="007515E9" w:rsidP="007515E9">
      <w:pPr>
        <w:tabs>
          <w:tab w:val="left" w:pos="4530"/>
        </w:tabs>
      </w:pPr>
    </w:p>
    <w:p w14:paraId="37532C70" w14:textId="77777777" w:rsidR="007515E9" w:rsidRDefault="007515E9" w:rsidP="007515E9">
      <w:pPr>
        <w:tabs>
          <w:tab w:val="left" w:pos="4530"/>
        </w:tabs>
      </w:pPr>
    </w:p>
    <w:p w14:paraId="0624F972" w14:textId="77777777" w:rsidR="007515E9" w:rsidRDefault="007515E9" w:rsidP="007515E9">
      <w:pPr>
        <w:tabs>
          <w:tab w:val="left" w:pos="4530"/>
        </w:tabs>
      </w:pPr>
    </w:p>
    <w:p w14:paraId="441A81B1" w14:textId="77777777" w:rsidR="007515E9" w:rsidRDefault="007515E9" w:rsidP="007515E9">
      <w:pPr>
        <w:tabs>
          <w:tab w:val="left" w:pos="4530"/>
        </w:tabs>
      </w:pPr>
    </w:p>
    <w:p w14:paraId="1C0244DA" w14:textId="77777777" w:rsidR="007515E9" w:rsidRDefault="007515E9" w:rsidP="007515E9">
      <w:pPr>
        <w:tabs>
          <w:tab w:val="left" w:pos="4530"/>
        </w:tabs>
      </w:pPr>
    </w:p>
    <w:p w14:paraId="2045B77B" w14:textId="77777777" w:rsidR="007515E9" w:rsidRDefault="007515E9" w:rsidP="007515E9">
      <w:pPr>
        <w:tabs>
          <w:tab w:val="left" w:pos="4530"/>
        </w:tabs>
      </w:pPr>
    </w:p>
    <w:p w14:paraId="6F5F5BDF" w14:textId="77777777" w:rsidR="007515E9" w:rsidRDefault="007515E9" w:rsidP="007515E9">
      <w:pPr>
        <w:tabs>
          <w:tab w:val="left" w:pos="4530"/>
        </w:tabs>
      </w:pPr>
    </w:p>
    <w:p w14:paraId="1815CD71" w14:textId="77777777" w:rsidR="007515E9" w:rsidRDefault="007515E9" w:rsidP="007515E9">
      <w:pPr>
        <w:tabs>
          <w:tab w:val="left" w:pos="4530"/>
        </w:tabs>
      </w:pPr>
    </w:p>
    <w:p w14:paraId="52281C07" w14:textId="77777777" w:rsidR="007515E9" w:rsidRDefault="007515E9" w:rsidP="007515E9">
      <w:pPr>
        <w:tabs>
          <w:tab w:val="left" w:pos="4530"/>
        </w:tabs>
      </w:pPr>
    </w:p>
    <w:p w14:paraId="054FFEEB" w14:textId="77777777" w:rsidR="007515E9" w:rsidRDefault="007515E9" w:rsidP="007515E9">
      <w:pPr>
        <w:tabs>
          <w:tab w:val="left" w:pos="4530"/>
        </w:tabs>
      </w:pPr>
    </w:p>
    <w:p w14:paraId="55779D10" w14:textId="77777777" w:rsidR="007515E9" w:rsidRDefault="007515E9" w:rsidP="007515E9">
      <w:pPr>
        <w:tabs>
          <w:tab w:val="left" w:pos="4530"/>
        </w:tabs>
      </w:pPr>
    </w:p>
    <w:p w14:paraId="40B496A4" w14:textId="77777777" w:rsidR="007515E9" w:rsidRDefault="007515E9" w:rsidP="007515E9">
      <w:pPr>
        <w:tabs>
          <w:tab w:val="left" w:pos="4530"/>
        </w:tabs>
      </w:pPr>
    </w:p>
    <w:p w14:paraId="04307B87" w14:textId="4C6F45DD" w:rsidR="007515E9" w:rsidRDefault="007515E9" w:rsidP="007515E9">
      <w:pPr>
        <w:tabs>
          <w:tab w:val="left" w:pos="4530"/>
        </w:tabs>
      </w:pPr>
    </w:p>
    <w:p w14:paraId="75805427" w14:textId="57295D0B" w:rsidR="00BC4A4A" w:rsidRPr="00BC4A4A" w:rsidRDefault="00BC4A4A" w:rsidP="00BC4A4A"/>
    <w:p w14:paraId="68E35904" w14:textId="74DAEF7A" w:rsidR="00BC4A4A" w:rsidRPr="00BC4A4A" w:rsidRDefault="00BC4A4A" w:rsidP="00BC4A4A"/>
    <w:p w14:paraId="0E221349" w14:textId="4C4A83A7" w:rsidR="00BC4A4A" w:rsidRPr="00BC4A4A" w:rsidRDefault="00BC4A4A" w:rsidP="00BC4A4A"/>
    <w:p w14:paraId="61A976FB" w14:textId="3D4668CE" w:rsidR="00BC4A4A" w:rsidRPr="00BC4A4A" w:rsidRDefault="00BC4A4A" w:rsidP="00BC4A4A"/>
    <w:p w14:paraId="3D9E4A40" w14:textId="7C933C02" w:rsidR="00BC4A4A" w:rsidRPr="00BC4A4A" w:rsidRDefault="00BC4A4A" w:rsidP="00BC4A4A"/>
    <w:p w14:paraId="377212DC" w14:textId="2E4A5EC2" w:rsidR="00BC4A4A" w:rsidRPr="00BC4A4A" w:rsidRDefault="00BC4A4A" w:rsidP="00BC4A4A"/>
    <w:p w14:paraId="76221456" w14:textId="14731B9C" w:rsidR="00BC4A4A" w:rsidRPr="00BC4A4A" w:rsidRDefault="00BC4A4A" w:rsidP="00BC4A4A"/>
    <w:p w14:paraId="1EF6E699" w14:textId="00F93488" w:rsidR="00BC4A4A" w:rsidRDefault="00BC4A4A" w:rsidP="00BC4A4A"/>
    <w:p w14:paraId="7360FAAD" w14:textId="6A7DC4AB" w:rsidR="00BC4A4A" w:rsidRPr="00BC4A4A" w:rsidRDefault="00BC4A4A" w:rsidP="00BC4A4A">
      <w:pPr>
        <w:tabs>
          <w:tab w:val="left" w:pos="6830"/>
        </w:tabs>
      </w:pPr>
      <w:r>
        <w:tab/>
      </w:r>
    </w:p>
    <w:sectPr w:rsidR="00BC4A4A" w:rsidRPr="00BC4A4A" w:rsidSect="00710ED4">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31FF" w14:textId="77777777" w:rsidR="00CE7B62" w:rsidRDefault="00CE7B62" w:rsidP="00E73617">
      <w:r>
        <w:separator/>
      </w:r>
    </w:p>
  </w:endnote>
  <w:endnote w:type="continuationSeparator" w:id="0">
    <w:p w14:paraId="1B0CBB0D" w14:textId="77777777" w:rsidR="00CE7B62" w:rsidRDefault="00CE7B62" w:rsidP="00E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Century Gothic">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DC29" w14:textId="77777777" w:rsidR="00986CD2" w:rsidRDefault="00B94D85" w:rsidP="0055496E">
    <w:pPr>
      <w:pStyle w:val="Footer"/>
      <w:tabs>
        <w:tab w:val="clear" w:pos="4680"/>
        <w:tab w:val="clear" w:pos="9360"/>
        <w:tab w:val="left" w:pos="8540"/>
      </w:tabs>
    </w:pPr>
    <w:r>
      <w:rPr>
        <w:noProof/>
      </w:rPr>
      <mc:AlternateContent>
        <mc:Choice Requires="wps">
          <w:drawing>
            <wp:anchor distT="0" distB="0" distL="114300" distR="114300" simplePos="0" relativeHeight="251663360" behindDoc="0" locked="0" layoutInCell="1" allowOverlap="1" wp14:anchorId="073AB319" wp14:editId="71F56EEA">
              <wp:simplePos x="0" y="0"/>
              <wp:positionH relativeFrom="column">
                <wp:posOffset>1079500</wp:posOffset>
              </wp:positionH>
              <wp:positionV relativeFrom="paragraph">
                <wp:posOffset>-266065</wp:posOffset>
              </wp:positionV>
              <wp:extent cx="45466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3985"/>
                      </a:xfrm>
                      <a:prstGeom prst="rect">
                        <a:avLst/>
                      </a:prstGeom>
                      <a:noFill/>
                      <a:ln w="9525">
                        <a:noFill/>
                        <a:miter lim="800000"/>
                        <a:headEnd/>
                        <a:tailEnd/>
                      </a:ln>
                    </wps:spPr>
                    <wps:txbx>
                      <w:txbxContent>
                        <w:p w14:paraId="6FAD06FC" w14:textId="4C7254AB" w:rsidR="00B94D85" w:rsidRPr="00BC4A4A" w:rsidRDefault="00B94D85" w:rsidP="00B94D85">
                          <w:pPr>
                            <w:jc w:val="center"/>
                            <w:rPr>
                              <w:rFonts w:ascii="Century Gothic" w:hAnsi="Century Gothic" w:cstheme="majorHAnsi"/>
                              <w:color w:val="262626" w:themeColor="text1" w:themeTint="D9"/>
                              <w:sz w:val="20"/>
                              <w:szCs w:val="22"/>
                            </w:rPr>
                          </w:pPr>
                          <w:r w:rsidRPr="00BC4A4A">
                            <w:rPr>
                              <w:rFonts w:ascii="Century Gothic" w:hAnsi="Century Gothic" w:cstheme="majorHAnsi"/>
                              <w:color w:val="262626" w:themeColor="text1" w:themeTint="D9"/>
                              <w:sz w:val="20"/>
                              <w:szCs w:val="22"/>
                            </w:rPr>
                            <w:t>1250 Connecticut Avenue, NW</w:t>
                          </w:r>
                          <w:r w:rsidR="00E446CE" w:rsidRPr="00BC4A4A">
                            <w:rPr>
                              <w:rFonts w:ascii="Century Gothic" w:hAnsi="Century Gothic" w:cstheme="majorHAnsi"/>
                              <w:color w:val="262626" w:themeColor="text1" w:themeTint="D9"/>
                              <w:sz w:val="20"/>
                              <w:szCs w:val="22"/>
                            </w:rPr>
                            <w:t xml:space="preserve"> </w:t>
                          </w:r>
                          <w:r w:rsidR="007515E9" w:rsidRPr="00BC4A4A">
                            <w:rPr>
                              <w:rFonts w:ascii="Cambria Math" w:hAnsi="Cambria Math" w:cs="Cambria Math"/>
                              <w:color w:val="262626" w:themeColor="text1" w:themeTint="D9"/>
                              <w:sz w:val="20"/>
                              <w:szCs w:val="22"/>
                            </w:rPr>
                            <w:t>•</w:t>
                          </w:r>
                          <w:r w:rsidRPr="00BC4A4A">
                            <w:rPr>
                              <w:rFonts w:ascii="Century Gothic" w:hAnsi="Century Gothic" w:cstheme="majorHAnsi"/>
                              <w:color w:val="262626" w:themeColor="text1" w:themeTint="D9"/>
                              <w:sz w:val="20"/>
                              <w:szCs w:val="22"/>
                            </w:rPr>
                            <w:t xml:space="preserve"> </w:t>
                          </w:r>
                          <w:r w:rsidR="007515E9" w:rsidRPr="00BC4A4A">
                            <w:rPr>
                              <w:rFonts w:ascii="Century Gothic" w:hAnsi="Century Gothic" w:cstheme="majorHAnsi"/>
                              <w:color w:val="262626" w:themeColor="text1" w:themeTint="D9"/>
                              <w:sz w:val="20"/>
                              <w:szCs w:val="22"/>
                            </w:rPr>
                            <w:t>7th</w:t>
                          </w:r>
                          <w:r w:rsidR="00E446CE" w:rsidRPr="00BC4A4A">
                            <w:rPr>
                              <w:rFonts w:ascii="Century Gothic" w:hAnsi="Century Gothic" w:cstheme="majorHAnsi"/>
                              <w:color w:val="262626" w:themeColor="text1" w:themeTint="D9"/>
                              <w:sz w:val="20"/>
                              <w:szCs w:val="22"/>
                            </w:rPr>
                            <w:t xml:space="preserve"> Floor </w:t>
                          </w:r>
                          <w:r w:rsidR="007515E9" w:rsidRPr="00BC4A4A">
                            <w:rPr>
                              <w:rFonts w:ascii="Cambria Math" w:hAnsi="Cambria Math" w:cs="Cambria Math"/>
                              <w:color w:val="262626" w:themeColor="text1" w:themeTint="D9"/>
                              <w:sz w:val="20"/>
                              <w:szCs w:val="22"/>
                            </w:rPr>
                            <w:t>•</w:t>
                          </w:r>
                          <w:r w:rsidR="00E446CE" w:rsidRPr="00BC4A4A">
                            <w:rPr>
                              <w:rFonts w:ascii="Century Gothic" w:hAnsi="Century Gothic" w:cstheme="majorHAnsi"/>
                              <w:color w:val="262626" w:themeColor="text1" w:themeTint="D9"/>
                              <w:sz w:val="20"/>
                              <w:szCs w:val="22"/>
                            </w:rPr>
                            <w:t xml:space="preserve"> </w:t>
                          </w:r>
                          <w:r w:rsidRPr="00BC4A4A">
                            <w:rPr>
                              <w:rFonts w:ascii="Century Gothic" w:hAnsi="Century Gothic" w:cstheme="majorHAnsi"/>
                              <w:color w:val="262626" w:themeColor="text1" w:themeTint="D9"/>
                              <w:sz w:val="20"/>
                              <w:szCs w:val="22"/>
                            </w:rPr>
                            <w:t>Washington D.C. 20036</w:t>
                          </w:r>
                        </w:p>
                        <w:p w14:paraId="5BF1D4AD" w14:textId="4CEE1F9B" w:rsidR="00B94D85" w:rsidRPr="00BC4A4A" w:rsidRDefault="00BC4A4A" w:rsidP="00B94D85">
                          <w:pPr>
                            <w:jc w:val="center"/>
                            <w:rPr>
                              <w:rFonts w:ascii="Century Gothic" w:hAnsi="Century Gothic" w:cstheme="majorHAnsi"/>
                              <w:color w:val="262626" w:themeColor="text1" w:themeTint="D9"/>
                              <w:sz w:val="20"/>
                              <w:szCs w:val="22"/>
                            </w:rPr>
                          </w:pPr>
                          <w:r w:rsidRPr="00BC4A4A">
                            <w:rPr>
                              <w:rFonts w:ascii="Century Gothic" w:hAnsi="Century Gothic" w:cstheme="majorHAnsi"/>
                              <w:b/>
                              <w:bCs/>
                              <w:color w:val="262626" w:themeColor="text1" w:themeTint="D9"/>
                              <w:sz w:val="20"/>
                              <w:szCs w:val="22"/>
                            </w:rPr>
                            <w:t>p</w:t>
                          </w:r>
                          <w:r w:rsidR="00B94D85" w:rsidRPr="00BC4A4A">
                            <w:rPr>
                              <w:rFonts w:ascii="Century Gothic" w:hAnsi="Century Gothic" w:cstheme="majorHAnsi"/>
                              <w:color w:val="262626" w:themeColor="text1" w:themeTint="D9"/>
                              <w:sz w:val="20"/>
                              <w:szCs w:val="22"/>
                            </w:rPr>
                            <w:t xml:space="preserve"> 202 659 4310</w:t>
                          </w:r>
                          <w:r w:rsidR="0055496E" w:rsidRPr="00BC4A4A">
                            <w:rPr>
                              <w:rFonts w:ascii="Century Gothic" w:hAnsi="Century Gothic" w:cstheme="majorHAnsi"/>
                              <w:color w:val="262626" w:themeColor="text1" w:themeTint="D9"/>
                              <w:sz w:val="20"/>
                              <w:szCs w:val="22"/>
                            </w:rPr>
                            <w:t xml:space="preserve">   </w:t>
                          </w:r>
                          <w:r w:rsidR="0055496E" w:rsidRPr="00BC4A4A">
                            <w:rPr>
                              <w:rFonts w:ascii="Century Gothic" w:hAnsi="Century Gothic" w:cstheme="majorHAnsi"/>
                              <w:b/>
                              <w:bCs/>
                              <w:color w:val="262626" w:themeColor="text1" w:themeTint="D9"/>
                              <w:sz w:val="20"/>
                              <w:szCs w:val="22"/>
                            </w:rPr>
                            <w:t>f</w:t>
                          </w:r>
                          <w:r w:rsidR="0055496E" w:rsidRPr="00BC4A4A">
                            <w:rPr>
                              <w:rFonts w:ascii="Century Gothic" w:hAnsi="Century Gothic" w:cstheme="majorHAnsi"/>
                              <w:color w:val="262626" w:themeColor="text1" w:themeTint="D9"/>
                              <w:sz w:val="20"/>
                              <w:szCs w:val="22"/>
                            </w:rPr>
                            <w:t xml:space="preserve"> 202 261 3508</w:t>
                          </w:r>
                        </w:p>
                        <w:p w14:paraId="6778D6AC" w14:textId="77777777" w:rsidR="00B94D85" w:rsidRPr="00BC4A4A" w:rsidRDefault="00B94D85" w:rsidP="00B94D85">
                          <w:pPr>
                            <w:jc w:val="center"/>
                            <w:rPr>
                              <w:rFonts w:asciiTheme="majorHAnsi" w:hAnsiTheme="majorHAnsi" w:cstheme="majorHAnsi"/>
                              <w:b/>
                              <w:color w:val="FF0000"/>
                              <w:sz w:val="28"/>
                              <w:szCs w:val="28"/>
                            </w:rPr>
                          </w:pPr>
                          <w:r w:rsidRPr="00BC4A4A">
                            <w:rPr>
                              <w:rFonts w:asciiTheme="majorHAnsi" w:hAnsiTheme="majorHAnsi" w:cstheme="majorHAnsi"/>
                              <w:b/>
                              <w:color w:val="FF0000"/>
                              <w:sz w:val="28"/>
                              <w:szCs w:val="28"/>
                            </w:rPr>
                            <w:t>ash.org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AB319" id="_x0000_t202" coordsize="21600,21600" o:spt="202" path="m,l,21600r21600,l21600,xe">
              <v:stroke joinstyle="miter"/>
              <v:path gradientshapeok="t" o:connecttype="rect"/>
            </v:shapetype>
            <v:shape id="Text Box 2" o:spid="_x0000_s1026" type="#_x0000_t202" style="position:absolute;margin-left:85pt;margin-top:-20.95pt;width:35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" filled="f" stroked="f">
              <v:textbox style="mso-fit-shape-to-text:t">
                <w:txbxContent>
                  <w:p w14:paraId="6FAD06FC" w14:textId="4C7254AB" w:rsidR="00B94D85" w:rsidRPr="00BC4A4A" w:rsidRDefault="00B94D85" w:rsidP="00B94D85">
                    <w:pPr>
                      <w:jc w:val="center"/>
                      <w:rPr>
                        <w:rFonts w:ascii="Century Gothic" w:hAnsi="Century Gothic" w:cstheme="majorHAnsi"/>
                        <w:color w:val="262626" w:themeColor="text1" w:themeTint="D9"/>
                        <w:sz w:val="20"/>
                        <w:szCs w:val="22"/>
                      </w:rPr>
                    </w:pPr>
                    <w:r w:rsidRPr="00BC4A4A">
                      <w:rPr>
                        <w:rFonts w:ascii="Century Gothic" w:hAnsi="Century Gothic" w:cstheme="majorHAnsi"/>
                        <w:color w:val="262626" w:themeColor="text1" w:themeTint="D9"/>
                        <w:sz w:val="20"/>
                        <w:szCs w:val="22"/>
                      </w:rPr>
                      <w:t>1250 Connecticut Avenue, NW</w:t>
                    </w:r>
                    <w:r w:rsidR="00E446CE" w:rsidRPr="00BC4A4A">
                      <w:rPr>
                        <w:rFonts w:ascii="Century Gothic" w:hAnsi="Century Gothic" w:cstheme="majorHAnsi"/>
                        <w:color w:val="262626" w:themeColor="text1" w:themeTint="D9"/>
                        <w:sz w:val="20"/>
                        <w:szCs w:val="22"/>
                      </w:rPr>
                      <w:t xml:space="preserve"> </w:t>
                    </w:r>
                    <w:r w:rsidR="007515E9" w:rsidRPr="00BC4A4A">
                      <w:rPr>
                        <w:rFonts w:ascii="Cambria Math" w:hAnsi="Cambria Math" w:cs="Cambria Math"/>
                        <w:color w:val="262626" w:themeColor="text1" w:themeTint="D9"/>
                        <w:sz w:val="20"/>
                        <w:szCs w:val="22"/>
                      </w:rPr>
                      <w:t>•</w:t>
                    </w:r>
                    <w:r w:rsidRPr="00BC4A4A">
                      <w:rPr>
                        <w:rFonts w:ascii="Century Gothic" w:hAnsi="Century Gothic" w:cstheme="majorHAnsi"/>
                        <w:color w:val="262626" w:themeColor="text1" w:themeTint="D9"/>
                        <w:sz w:val="20"/>
                        <w:szCs w:val="22"/>
                      </w:rPr>
                      <w:t xml:space="preserve"> </w:t>
                    </w:r>
                    <w:r w:rsidR="007515E9" w:rsidRPr="00BC4A4A">
                      <w:rPr>
                        <w:rFonts w:ascii="Century Gothic" w:hAnsi="Century Gothic" w:cstheme="majorHAnsi"/>
                        <w:color w:val="262626" w:themeColor="text1" w:themeTint="D9"/>
                        <w:sz w:val="20"/>
                        <w:szCs w:val="22"/>
                      </w:rPr>
                      <w:t>7th</w:t>
                    </w:r>
                    <w:r w:rsidR="00E446CE" w:rsidRPr="00BC4A4A">
                      <w:rPr>
                        <w:rFonts w:ascii="Century Gothic" w:hAnsi="Century Gothic" w:cstheme="majorHAnsi"/>
                        <w:color w:val="262626" w:themeColor="text1" w:themeTint="D9"/>
                        <w:sz w:val="20"/>
                        <w:szCs w:val="22"/>
                      </w:rPr>
                      <w:t xml:space="preserve"> Floor </w:t>
                    </w:r>
                    <w:r w:rsidR="007515E9" w:rsidRPr="00BC4A4A">
                      <w:rPr>
                        <w:rFonts w:ascii="Cambria Math" w:hAnsi="Cambria Math" w:cs="Cambria Math"/>
                        <w:color w:val="262626" w:themeColor="text1" w:themeTint="D9"/>
                        <w:sz w:val="20"/>
                        <w:szCs w:val="22"/>
                      </w:rPr>
                      <w:t>•</w:t>
                    </w:r>
                    <w:r w:rsidR="00E446CE" w:rsidRPr="00BC4A4A">
                      <w:rPr>
                        <w:rFonts w:ascii="Century Gothic" w:hAnsi="Century Gothic" w:cstheme="majorHAnsi"/>
                        <w:color w:val="262626" w:themeColor="text1" w:themeTint="D9"/>
                        <w:sz w:val="20"/>
                        <w:szCs w:val="22"/>
                      </w:rPr>
                      <w:t xml:space="preserve"> </w:t>
                    </w:r>
                    <w:r w:rsidRPr="00BC4A4A">
                      <w:rPr>
                        <w:rFonts w:ascii="Century Gothic" w:hAnsi="Century Gothic" w:cstheme="majorHAnsi"/>
                        <w:color w:val="262626" w:themeColor="text1" w:themeTint="D9"/>
                        <w:sz w:val="20"/>
                        <w:szCs w:val="22"/>
                      </w:rPr>
                      <w:t>Washington D.C. 20036</w:t>
                    </w:r>
                  </w:p>
                  <w:p w14:paraId="5BF1D4AD" w14:textId="4CEE1F9B" w:rsidR="00B94D85" w:rsidRPr="00BC4A4A" w:rsidRDefault="00BC4A4A" w:rsidP="00B94D85">
                    <w:pPr>
                      <w:jc w:val="center"/>
                      <w:rPr>
                        <w:rFonts w:ascii="Century Gothic" w:hAnsi="Century Gothic" w:cstheme="majorHAnsi"/>
                        <w:color w:val="262626" w:themeColor="text1" w:themeTint="D9"/>
                        <w:sz w:val="20"/>
                        <w:szCs w:val="22"/>
                      </w:rPr>
                    </w:pPr>
                    <w:r w:rsidRPr="00BC4A4A">
                      <w:rPr>
                        <w:rFonts w:ascii="Century Gothic" w:hAnsi="Century Gothic" w:cstheme="majorHAnsi"/>
                        <w:b/>
                        <w:bCs/>
                        <w:color w:val="262626" w:themeColor="text1" w:themeTint="D9"/>
                        <w:sz w:val="20"/>
                        <w:szCs w:val="22"/>
                      </w:rPr>
                      <w:t>p</w:t>
                    </w:r>
                    <w:r w:rsidR="00B94D85" w:rsidRPr="00BC4A4A">
                      <w:rPr>
                        <w:rFonts w:ascii="Century Gothic" w:hAnsi="Century Gothic" w:cstheme="majorHAnsi"/>
                        <w:color w:val="262626" w:themeColor="text1" w:themeTint="D9"/>
                        <w:sz w:val="20"/>
                        <w:szCs w:val="22"/>
                      </w:rPr>
                      <w:t xml:space="preserve"> 202 659 4310</w:t>
                    </w:r>
                    <w:r w:rsidR="0055496E" w:rsidRPr="00BC4A4A">
                      <w:rPr>
                        <w:rFonts w:ascii="Century Gothic" w:hAnsi="Century Gothic" w:cstheme="majorHAnsi"/>
                        <w:color w:val="262626" w:themeColor="text1" w:themeTint="D9"/>
                        <w:sz w:val="20"/>
                        <w:szCs w:val="22"/>
                      </w:rPr>
                      <w:t xml:space="preserve">   </w:t>
                    </w:r>
                    <w:r w:rsidR="0055496E" w:rsidRPr="00BC4A4A">
                      <w:rPr>
                        <w:rFonts w:ascii="Century Gothic" w:hAnsi="Century Gothic" w:cstheme="majorHAnsi"/>
                        <w:b/>
                        <w:bCs/>
                        <w:color w:val="262626" w:themeColor="text1" w:themeTint="D9"/>
                        <w:sz w:val="20"/>
                        <w:szCs w:val="22"/>
                      </w:rPr>
                      <w:t>f</w:t>
                    </w:r>
                    <w:r w:rsidR="0055496E" w:rsidRPr="00BC4A4A">
                      <w:rPr>
                        <w:rFonts w:ascii="Century Gothic" w:hAnsi="Century Gothic" w:cstheme="majorHAnsi"/>
                        <w:color w:val="262626" w:themeColor="text1" w:themeTint="D9"/>
                        <w:sz w:val="20"/>
                        <w:szCs w:val="22"/>
                      </w:rPr>
                      <w:t xml:space="preserve"> 202 261 3508</w:t>
                    </w:r>
                  </w:p>
                  <w:p w14:paraId="6778D6AC" w14:textId="77777777" w:rsidR="00B94D85" w:rsidRPr="00BC4A4A" w:rsidRDefault="00B94D85" w:rsidP="00B94D85">
                    <w:pPr>
                      <w:jc w:val="center"/>
                      <w:rPr>
                        <w:rFonts w:asciiTheme="majorHAnsi" w:hAnsiTheme="majorHAnsi" w:cstheme="majorHAnsi"/>
                        <w:b/>
                        <w:color w:val="FF0000"/>
                        <w:sz w:val="28"/>
                        <w:szCs w:val="28"/>
                      </w:rPr>
                    </w:pPr>
                    <w:r w:rsidRPr="00BC4A4A">
                      <w:rPr>
                        <w:rFonts w:asciiTheme="majorHAnsi" w:hAnsiTheme="majorHAnsi" w:cstheme="majorHAnsi"/>
                        <w:b/>
                        <w:color w:val="FF0000"/>
                        <w:sz w:val="28"/>
                        <w:szCs w:val="28"/>
                      </w:rPr>
                      <w:t>ash.org</w:t>
                    </w:r>
                  </w:p>
                </w:txbxContent>
              </v:textbox>
            </v:shape>
          </w:pict>
        </mc:Fallback>
      </mc:AlternateContent>
    </w:r>
    <w:r w:rsidR="005549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0BE4" w14:textId="77777777" w:rsidR="00CE7B62" w:rsidRDefault="00CE7B62" w:rsidP="00E73617">
      <w:r>
        <w:separator/>
      </w:r>
    </w:p>
  </w:footnote>
  <w:footnote w:type="continuationSeparator" w:id="0">
    <w:p w14:paraId="16757E56" w14:textId="77777777" w:rsidR="00CE7B62" w:rsidRDefault="00CE7B62" w:rsidP="00E7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E0D" w14:textId="73FBF7CB" w:rsidR="00986CD2" w:rsidRDefault="006B5EAF">
    <w:pPr>
      <w:pStyle w:val="Header"/>
    </w:pPr>
    <w:r>
      <w:rPr>
        <w:noProof/>
      </w:rPr>
      <w:drawing>
        <wp:inline distT="0" distB="0" distL="0" distR="0" wp14:anchorId="65956870" wp14:editId="7FA88614">
          <wp:extent cx="6400800" cy="113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32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098"/>
    <w:multiLevelType w:val="hybridMultilevel"/>
    <w:tmpl w:val="5B88CE38"/>
    <w:lvl w:ilvl="0" w:tplc="B4827F3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C584D"/>
    <w:multiLevelType w:val="hybridMultilevel"/>
    <w:tmpl w:val="6268AA8E"/>
    <w:lvl w:ilvl="0" w:tplc="B4827F3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2869"/>
    <w:multiLevelType w:val="hybridMultilevel"/>
    <w:tmpl w:val="0A304FE4"/>
    <w:lvl w:ilvl="0" w:tplc="B4827F3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C29"/>
    <w:multiLevelType w:val="hybridMultilevel"/>
    <w:tmpl w:val="07140A20"/>
    <w:lvl w:ilvl="0" w:tplc="B4827F3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F6010"/>
    <w:multiLevelType w:val="hybridMultilevel"/>
    <w:tmpl w:val="6A06C574"/>
    <w:lvl w:ilvl="0" w:tplc="B4827F3C">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5215A"/>
    <w:multiLevelType w:val="hybridMultilevel"/>
    <w:tmpl w:val="10C6B97C"/>
    <w:lvl w:ilvl="0" w:tplc="B4827F3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C1017"/>
    <w:multiLevelType w:val="hybridMultilevel"/>
    <w:tmpl w:val="09D2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42205">
    <w:abstractNumId w:val="6"/>
  </w:num>
  <w:num w:numId="2" w16cid:durableId="2060737510">
    <w:abstractNumId w:val="4"/>
  </w:num>
  <w:num w:numId="3" w16cid:durableId="1250114768">
    <w:abstractNumId w:val="3"/>
  </w:num>
  <w:num w:numId="4" w16cid:durableId="1764259234">
    <w:abstractNumId w:val="2"/>
  </w:num>
  <w:num w:numId="5" w16cid:durableId="1526822696">
    <w:abstractNumId w:val="1"/>
  </w:num>
  <w:num w:numId="6" w16cid:durableId="1698458397">
    <w:abstractNumId w:val="0"/>
  </w:num>
  <w:num w:numId="7" w16cid:durableId="758986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E73617"/>
    <w:rsid w:val="00016D40"/>
    <w:rsid w:val="000327E4"/>
    <w:rsid w:val="00037AB6"/>
    <w:rsid w:val="00043CBB"/>
    <w:rsid w:val="000510F3"/>
    <w:rsid w:val="00070D81"/>
    <w:rsid w:val="00072540"/>
    <w:rsid w:val="001C0D02"/>
    <w:rsid w:val="00214085"/>
    <w:rsid w:val="00290900"/>
    <w:rsid w:val="00356FD7"/>
    <w:rsid w:val="003A64D3"/>
    <w:rsid w:val="003C7C25"/>
    <w:rsid w:val="00413DC6"/>
    <w:rsid w:val="00487822"/>
    <w:rsid w:val="004F69E8"/>
    <w:rsid w:val="0050348D"/>
    <w:rsid w:val="0055496E"/>
    <w:rsid w:val="005A2EB1"/>
    <w:rsid w:val="005B7742"/>
    <w:rsid w:val="006B13F0"/>
    <w:rsid w:val="006B3C04"/>
    <w:rsid w:val="006B5EAF"/>
    <w:rsid w:val="00710ED4"/>
    <w:rsid w:val="00714FEC"/>
    <w:rsid w:val="007515E9"/>
    <w:rsid w:val="00837BA9"/>
    <w:rsid w:val="0087195F"/>
    <w:rsid w:val="008C4FD9"/>
    <w:rsid w:val="00986CD2"/>
    <w:rsid w:val="009F5596"/>
    <w:rsid w:val="00A167E0"/>
    <w:rsid w:val="00A835FA"/>
    <w:rsid w:val="00B35008"/>
    <w:rsid w:val="00B94D85"/>
    <w:rsid w:val="00BC4A4A"/>
    <w:rsid w:val="00BE3BEF"/>
    <w:rsid w:val="00C215FB"/>
    <w:rsid w:val="00CE7B62"/>
    <w:rsid w:val="00E446CE"/>
    <w:rsid w:val="00E51619"/>
    <w:rsid w:val="00E67ED3"/>
    <w:rsid w:val="00E73617"/>
    <w:rsid w:val="00F14218"/>
    <w:rsid w:val="00F57264"/>
    <w:rsid w:val="00FD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5336E"/>
  <w15:docId w15:val="{F370A453-4A6B-4D31-80B0-47E0A1A5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96"/>
  </w:style>
  <w:style w:type="paragraph" w:styleId="Heading1">
    <w:name w:val="heading 1"/>
    <w:basedOn w:val="Normal"/>
    <w:next w:val="Normal"/>
    <w:link w:val="Heading1Char"/>
    <w:uiPriority w:val="9"/>
    <w:qFormat/>
    <w:rsid w:val="002140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85"/>
    <w:rPr>
      <w:rFonts w:ascii="Lucida Grande" w:hAnsi="Lucida Grande" w:cs="Lucida Grande"/>
      <w:sz w:val="18"/>
      <w:szCs w:val="18"/>
    </w:rPr>
  </w:style>
  <w:style w:type="paragraph" w:styleId="Header">
    <w:name w:val="header"/>
    <w:basedOn w:val="Normal"/>
    <w:link w:val="HeaderChar"/>
    <w:uiPriority w:val="99"/>
    <w:unhideWhenUsed/>
    <w:rsid w:val="00E73617"/>
    <w:pPr>
      <w:tabs>
        <w:tab w:val="center" w:pos="4680"/>
        <w:tab w:val="right" w:pos="9360"/>
      </w:tabs>
    </w:pPr>
  </w:style>
  <w:style w:type="character" w:customStyle="1" w:styleId="HeaderChar">
    <w:name w:val="Header Char"/>
    <w:basedOn w:val="DefaultParagraphFont"/>
    <w:link w:val="Header"/>
    <w:uiPriority w:val="99"/>
    <w:rsid w:val="00E73617"/>
  </w:style>
  <w:style w:type="paragraph" w:styleId="Footer">
    <w:name w:val="footer"/>
    <w:basedOn w:val="Normal"/>
    <w:link w:val="FooterChar"/>
    <w:uiPriority w:val="99"/>
    <w:unhideWhenUsed/>
    <w:rsid w:val="00E73617"/>
    <w:pPr>
      <w:tabs>
        <w:tab w:val="center" w:pos="4680"/>
        <w:tab w:val="right" w:pos="9360"/>
      </w:tabs>
    </w:pPr>
  </w:style>
  <w:style w:type="character" w:customStyle="1" w:styleId="FooterChar">
    <w:name w:val="Footer Char"/>
    <w:basedOn w:val="DefaultParagraphFont"/>
    <w:link w:val="Footer"/>
    <w:uiPriority w:val="99"/>
    <w:rsid w:val="00E73617"/>
  </w:style>
  <w:style w:type="paragraph" w:styleId="ListParagraph">
    <w:name w:val="List Paragraph"/>
    <w:basedOn w:val="Normal"/>
    <w:uiPriority w:val="34"/>
    <w:qFormat/>
    <w:rsid w:val="0071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73121">
      <w:bodyDiv w:val="1"/>
      <w:marLeft w:val="0"/>
      <w:marRight w:val="0"/>
      <w:marTop w:val="0"/>
      <w:marBottom w:val="0"/>
      <w:divBdr>
        <w:top w:val="none" w:sz="0" w:space="0" w:color="auto"/>
        <w:left w:val="none" w:sz="0" w:space="0" w:color="auto"/>
        <w:bottom w:val="none" w:sz="0" w:space="0" w:color="auto"/>
        <w:right w:val="none" w:sz="0" w:space="0" w:color="auto"/>
      </w:divBdr>
    </w:div>
    <w:div w:id="1163931542">
      <w:bodyDiv w:val="1"/>
      <w:marLeft w:val="0"/>
      <w:marRight w:val="0"/>
      <w:marTop w:val="0"/>
      <w:marBottom w:val="0"/>
      <w:divBdr>
        <w:top w:val="none" w:sz="0" w:space="0" w:color="auto"/>
        <w:left w:val="none" w:sz="0" w:space="0" w:color="auto"/>
        <w:bottom w:val="none" w:sz="0" w:space="0" w:color="auto"/>
        <w:right w:val="none" w:sz="0" w:space="0" w:color="auto"/>
      </w:divBdr>
    </w:div>
    <w:div w:id="1553158020">
      <w:bodyDiv w:val="1"/>
      <w:marLeft w:val="0"/>
      <w:marRight w:val="0"/>
      <w:marTop w:val="0"/>
      <w:marBottom w:val="0"/>
      <w:divBdr>
        <w:top w:val="none" w:sz="0" w:space="0" w:color="auto"/>
        <w:left w:val="none" w:sz="0" w:space="0" w:color="auto"/>
        <w:bottom w:val="none" w:sz="0" w:space="0" w:color="auto"/>
        <w:right w:val="none" w:sz="0" w:space="0" w:color="auto"/>
      </w:divBdr>
    </w:div>
    <w:div w:id="1595506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nah%20Gregory\My%20Documents\Special%20Ops%20Survivors\%23ThankYou%20Campaign\ASH%20MediaPolicy%20Briefing%20Templates\ASH%20Media&amp;Policy%20Briefing%20Templates\ASH-MediaBrief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Action on Smoking and Health</Contributor>
    <Postingdate xmlns="d42e65b2-cf21-49c1-b27d-d23f90380c0e" xsi:nil="true"/>
    <Postedonline xmlns="d42e65b2-cf21-49c1-b27d-d23f90380c0e">false</Posted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45C22-C1CA-4C30-8D47-7D43213436E9}">
  <ds:schemaRefs>
    <ds:schemaRef ds:uri="http://schemas.microsoft.com/office/2006/metadata/properties"/>
    <ds:schemaRef ds:uri="http://schemas.microsoft.com/office/infopath/2007/PartnerControls"/>
    <ds:schemaRef ds:uri="6f0858f9-c50b-421d-b2b6-fec44967a867"/>
    <ds:schemaRef ds:uri="6659485a-0356-46ea-9757-34548b29d571"/>
  </ds:schemaRefs>
</ds:datastoreItem>
</file>

<file path=customXml/itemProps2.xml><?xml version="1.0" encoding="utf-8"?>
<ds:datastoreItem xmlns:ds="http://schemas.openxmlformats.org/officeDocument/2006/customXml" ds:itemID="{08D0DA71-F92E-444E-90BA-61533C3B3E68}"/>
</file>

<file path=customXml/itemProps3.xml><?xml version="1.0" encoding="utf-8"?>
<ds:datastoreItem xmlns:ds="http://schemas.openxmlformats.org/officeDocument/2006/customXml" ds:itemID="{D303B227-E651-4FBC-8B3D-13E9E8D10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ASH-MediaBriefing-template</Template>
  <TotalTime>7</TotalTime>
  <Pages>7</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Spooks, Ltd.</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Gregory</dc:creator>
  <cp:lastModifiedBy>Kelsey Romeo-Stuppy</cp:lastModifiedBy>
  <cp:revision>3</cp:revision>
  <cp:lastPrinted>2016-10-04T17:21:00Z</cp:lastPrinted>
  <dcterms:created xsi:type="dcterms:W3CDTF">2023-08-03T21:42:00Z</dcterms:created>
  <dcterms:modified xsi:type="dcterms:W3CDTF">2023-08-03T21:43:00Z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322900</vt:r8>
  </property>
  <property fmtid="{D5CDD505-2E9C-101B-9397-08002B2CF9AE}" pid="4" name="MediaServiceImageTags">
    <vt:lpwstr/>
  </property>
</Properties>
</file>