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C2AD" w14:textId="53A95FB0" w:rsidR="00ED2BF6" w:rsidRPr="00B158EC" w:rsidRDefault="00000000" w:rsidP="003C44EF">
      <w:pPr>
        <w:pStyle w:val="Title"/>
        <w:jc w:val="center"/>
        <w:rPr>
          <w:rFonts w:ascii="Arial" w:hAnsi="Arial" w:cs="Arial"/>
          <w:color w:val="000000" w:themeColor="text1"/>
          <w:sz w:val="28"/>
          <w:szCs w:val="28"/>
        </w:rPr>
      </w:pPr>
      <w:r w:rsidRPr="00B158EC">
        <w:rPr>
          <w:rFonts w:ascii="Arial" w:hAnsi="Arial" w:cs="Arial"/>
          <w:color w:val="000000" w:themeColor="text1"/>
          <w:sz w:val="28"/>
          <w:szCs w:val="28"/>
        </w:rPr>
        <w:t>INPUT OF INDONESIAN ORGANIZATIONS OF PERSONS WITH DISABILITIES IN THE PREPARATION OF GENERAL COMMENTS ON ARTICLE 11 OF CRPD</w:t>
      </w:r>
    </w:p>
    <w:p w14:paraId="04F54629" w14:textId="2D6BC761" w:rsidR="00ED2BF6" w:rsidRPr="00B158EC" w:rsidRDefault="00ED2BF6">
      <w:pPr>
        <w:spacing w:after="120" w:line="240" w:lineRule="auto"/>
        <w:jc w:val="both"/>
        <w:rPr>
          <w:rFonts w:ascii="Arial" w:eastAsia="Arial" w:hAnsi="Arial" w:cs="Arial"/>
          <w:color w:val="000000" w:themeColor="text1"/>
          <w:sz w:val="24"/>
          <w:szCs w:val="24"/>
        </w:rPr>
      </w:pPr>
    </w:p>
    <w:sdt>
      <w:sdtPr>
        <w:id w:val="768120500"/>
        <w:docPartObj>
          <w:docPartGallery w:val="Table of Contents"/>
          <w:docPartUnique/>
        </w:docPartObj>
      </w:sdtPr>
      <w:sdtEndPr>
        <w:rPr>
          <w:rFonts w:ascii="Calibri" w:eastAsia="Calibri" w:hAnsi="Calibri" w:cs="Calibri"/>
          <w:b/>
          <w:bCs/>
          <w:noProof/>
          <w:color w:val="auto"/>
          <w:sz w:val="22"/>
          <w:szCs w:val="22"/>
        </w:rPr>
      </w:sdtEndPr>
      <w:sdtContent>
        <w:p w14:paraId="03502065" w14:textId="26764794" w:rsidR="006F4CF8" w:rsidRDefault="006F4CF8">
          <w:pPr>
            <w:pStyle w:val="TOCHeading"/>
          </w:pPr>
          <w:r>
            <w:t>Contents</w:t>
          </w:r>
        </w:p>
        <w:p w14:paraId="2ED831D6" w14:textId="6AD7A1CC" w:rsidR="006F4CF8" w:rsidRDefault="006F4CF8">
          <w:pPr>
            <w:pStyle w:val="TOC1"/>
            <w:tabs>
              <w:tab w:val="left" w:pos="660"/>
              <w:tab w:val="right" w:leader="dot" w:pos="9350"/>
            </w:tabs>
            <w:rPr>
              <w:noProof/>
            </w:rPr>
          </w:pPr>
          <w:r>
            <w:fldChar w:fldCharType="begin"/>
          </w:r>
          <w:r>
            <w:instrText xml:space="preserve"> TOC \o "1-3" \h \z \u </w:instrText>
          </w:r>
          <w:r>
            <w:fldChar w:fldCharType="separate"/>
          </w:r>
          <w:hyperlink w:anchor="_Toc127224659" w:history="1">
            <w:r w:rsidRPr="006B6EB0">
              <w:rPr>
                <w:rStyle w:val="Hyperlink"/>
                <w:rFonts w:ascii="Arial" w:hAnsi="Arial" w:cs="Arial"/>
                <w:b/>
                <w:bCs/>
                <w:noProof/>
              </w:rPr>
              <w:t>A.</w:t>
            </w:r>
            <w:r>
              <w:rPr>
                <w:noProof/>
              </w:rPr>
              <w:tab/>
            </w:r>
            <w:r w:rsidRPr="006B6EB0">
              <w:rPr>
                <w:rStyle w:val="Hyperlink"/>
                <w:rFonts w:ascii="Arial" w:hAnsi="Arial" w:cs="Arial"/>
                <w:b/>
                <w:bCs/>
                <w:noProof/>
              </w:rPr>
              <w:t>Introduction</w:t>
            </w:r>
            <w:r>
              <w:rPr>
                <w:noProof/>
                <w:webHidden/>
              </w:rPr>
              <w:tab/>
            </w:r>
            <w:r>
              <w:rPr>
                <w:noProof/>
                <w:webHidden/>
              </w:rPr>
              <w:fldChar w:fldCharType="begin"/>
            </w:r>
            <w:r>
              <w:rPr>
                <w:noProof/>
                <w:webHidden/>
              </w:rPr>
              <w:instrText xml:space="preserve"> PAGEREF _Toc127224659 \h </w:instrText>
            </w:r>
            <w:r>
              <w:rPr>
                <w:noProof/>
                <w:webHidden/>
              </w:rPr>
            </w:r>
            <w:r>
              <w:rPr>
                <w:noProof/>
                <w:webHidden/>
              </w:rPr>
              <w:fldChar w:fldCharType="separate"/>
            </w:r>
            <w:r>
              <w:rPr>
                <w:noProof/>
                <w:webHidden/>
              </w:rPr>
              <w:t>1</w:t>
            </w:r>
            <w:r>
              <w:rPr>
                <w:noProof/>
                <w:webHidden/>
              </w:rPr>
              <w:fldChar w:fldCharType="end"/>
            </w:r>
          </w:hyperlink>
        </w:p>
        <w:p w14:paraId="36FCA3AD" w14:textId="5AA64F71" w:rsidR="006F4CF8" w:rsidRDefault="006F4CF8">
          <w:pPr>
            <w:pStyle w:val="TOC1"/>
            <w:tabs>
              <w:tab w:val="left" w:pos="660"/>
              <w:tab w:val="right" w:leader="dot" w:pos="9350"/>
            </w:tabs>
            <w:rPr>
              <w:noProof/>
            </w:rPr>
          </w:pPr>
          <w:hyperlink w:anchor="_Toc127224660" w:history="1">
            <w:r w:rsidRPr="006B6EB0">
              <w:rPr>
                <w:rStyle w:val="Hyperlink"/>
                <w:rFonts w:ascii="Arial" w:hAnsi="Arial" w:cs="Arial"/>
                <w:b/>
                <w:bCs/>
                <w:noProof/>
              </w:rPr>
              <w:t>B.</w:t>
            </w:r>
            <w:r>
              <w:rPr>
                <w:noProof/>
              </w:rPr>
              <w:tab/>
            </w:r>
            <w:r w:rsidRPr="006B6EB0">
              <w:rPr>
                <w:rStyle w:val="Hyperlink"/>
                <w:rFonts w:ascii="Arial" w:hAnsi="Arial" w:cs="Arial"/>
                <w:b/>
                <w:bCs/>
                <w:noProof/>
              </w:rPr>
              <w:t>Policies, programs or action plans aimed at protecting persons with disabilities in emergency and humanitarian situations.</w:t>
            </w:r>
            <w:r>
              <w:rPr>
                <w:noProof/>
                <w:webHidden/>
              </w:rPr>
              <w:tab/>
            </w:r>
            <w:r>
              <w:rPr>
                <w:noProof/>
                <w:webHidden/>
              </w:rPr>
              <w:fldChar w:fldCharType="begin"/>
            </w:r>
            <w:r>
              <w:rPr>
                <w:noProof/>
                <w:webHidden/>
              </w:rPr>
              <w:instrText xml:space="preserve"> PAGEREF _Toc127224660 \h </w:instrText>
            </w:r>
            <w:r>
              <w:rPr>
                <w:noProof/>
                <w:webHidden/>
              </w:rPr>
            </w:r>
            <w:r>
              <w:rPr>
                <w:noProof/>
                <w:webHidden/>
              </w:rPr>
              <w:fldChar w:fldCharType="separate"/>
            </w:r>
            <w:r>
              <w:rPr>
                <w:noProof/>
                <w:webHidden/>
              </w:rPr>
              <w:t>1</w:t>
            </w:r>
            <w:r>
              <w:rPr>
                <w:noProof/>
                <w:webHidden/>
              </w:rPr>
              <w:fldChar w:fldCharType="end"/>
            </w:r>
          </w:hyperlink>
        </w:p>
        <w:p w14:paraId="152001E3" w14:textId="25BD89C2" w:rsidR="006F4CF8" w:rsidRDefault="006F4CF8">
          <w:pPr>
            <w:pStyle w:val="TOC1"/>
            <w:tabs>
              <w:tab w:val="left" w:pos="660"/>
              <w:tab w:val="right" w:leader="dot" w:pos="9350"/>
            </w:tabs>
            <w:rPr>
              <w:noProof/>
            </w:rPr>
          </w:pPr>
          <w:hyperlink w:anchor="_Toc127224661" w:history="1">
            <w:r w:rsidRPr="006B6EB0">
              <w:rPr>
                <w:rStyle w:val="Hyperlink"/>
                <w:rFonts w:ascii="Arial" w:hAnsi="Arial" w:cs="Arial"/>
                <w:b/>
                <w:bCs/>
                <w:noProof/>
              </w:rPr>
              <w:t>C.</w:t>
            </w:r>
            <w:r>
              <w:rPr>
                <w:noProof/>
              </w:rPr>
              <w:tab/>
            </w:r>
            <w:r w:rsidRPr="006B6EB0">
              <w:rPr>
                <w:rStyle w:val="Hyperlink"/>
                <w:rFonts w:ascii="Arial" w:hAnsi="Arial" w:cs="Arial"/>
                <w:b/>
                <w:bCs/>
                <w:noProof/>
              </w:rPr>
              <w:t>Obstacles faced by the persons with disabilities</w:t>
            </w:r>
            <w:r>
              <w:rPr>
                <w:noProof/>
                <w:webHidden/>
              </w:rPr>
              <w:tab/>
            </w:r>
            <w:r>
              <w:rPr>
                <w:noProof/>
                <w:webHidden/>
              </w:rPr>
              <w:fldChar w:fldCharType="begin"/>
            </w:r>
            <w:r>
              <w:rPr>
                <w:noProof/>
                <w:webHidden/>
              </w:rPr>
              <w:instrText xml:space="preserve"> PAGEREF _Toc127224661 \h </w:instrText>
            </w:r>
            <w:r>
              <w:rPr>
                <w:noProof/>
                <w:webHidden/>
              </w:rPr>
            </w:r>
            <w:r>
              <w:rPr>
                <w:noProof/>
                <w:webHidden/>
              </w:rPr>
              <w:fldChar w:fldCharType="separate"/>
            </w:r>
            <w:r>
              <w:rPr>
                <w:noProof/>
                <w:webHidden/>
              </w:rPr>
              <w:t>5</w:t>
            </w:r>
            <w:r>
              <w:rPr>
                <w:noProof/>
                <w:webHidden/>
              </w:rPr>
              <w:fldChar w:fldCharType="end"/>
            </w:r>
          </w:hyperlink>
        </w:p>
        <w:p w14:paraId="07F5135F" w14:textId="49C3D3DC" w:rsidR="006F4CF8" w:rsidRDefault="006F4CF8">
          <w:pPr>
            <w:pStyle w:val="TOC1"/>
            <w:tabs>
              <w:tab w:val="left" w:pos="660"/>
              <w:tab w:val="right" w:leader="dot" w:pos="9350"/>
            </w:tabs>
            <w:rPr>
              <w:noProof/>
            </w:rPr>
          </w:pPr>
          <w:hyperlink w:anchor="_Toc127224662" w:history="1">
            <w:r w:rsidRPr="006B6EB0">
              <w:rPr>
                <w:rStyle w:val="Hyperlink"/>
                <w:rFonts w:ascii="Arial" w:hAnsi="Arial" w:cs="Arial"/>
                <w:b/>
                <w:bCs/>
                <w:noProof/>
              </w:rPr>
              <w:t>D.</w:t>
            </w:r>
            <w:r>
              <w:rPr>
                <w:noProof/>
              </w:rPr>
              <w:tab/>
            </w:r>
            <w:r w:rsidRPr="006B6EB0">
              <w:rPr>
                <w:rStyle w:val="Hyperlink"/>
                <w:rFonts w:ascii="Arial" w:hAnsi="Arial" w:cs="Arial"/>
                <w:b/>
                <w:bCs/>
                <w:noProof/>
              </w:rPr>
              <w:t>Participation of Persons with disabilities in Disaster Management</w:t>
            </w:r>
            <w:r>
              <w:rPr>
                <w:noProof/>
                <w:webHidden/>
              </w:rPr>
              <w:tab/>
            </w:r>
            <w:r>
              <w:rPr>
                <w:noProof/>
                <w:webHidden/>
              </w:rPr>
              <w:fldChar w:fldCharType="begin"/>
            </w:r>
            <w:r>
              <w:rPr>
                <w:noProof/>
                <w:webHidden/>
              </w:rPr>
              <w:instrText xml:space="preserve"> PAGEREF _Toc127224662 \h </w:instrText>
            </w:r>
            <w:r>
              <w:rPr>
                <w:noProof/>
                <w:webHidden/>
              </w:rPr>
            </w:r>
            <w:r>
              <w:rPr>
                <w:noProof/>
                <w:webHidden/>
              </w:rPr>
              <w:fldChar w:fldCharType="separate"/>
            </w:r>
            <w:r>
              <w:rPr>
                <w:noProof/>
                <w:webHidden/>
              </w:rPr>
              <w:t>8</w:t>
            </w:r>
            <w:r>
              <w:rPr>
                <w:noProof/>
                <w:webHidden/>
              </w:rPr>
              <w:fldChar w:fldCharType="end"/>
            </w:r>
          </w:hyperlink>
        </w:p>
        <w:p w14:paraId="5FF4D5F0" w14:textId="54072FE1" w:rsidR="006F4CF8" w:rsidRDefault="006F4CF8">
          <w:pPr>
            <w:pStyle w:val="TOC2"/>
            <w:tabs>
              <w:tab w:val="right" w:leader="dot" w:pos="9350"/>
            </w:tabs>
            <w:rPr>
              <w:noProof/>
            </w:rPr>
          </w:pPr>
          <w:hyperlink w:anchor="_Toc127224663" w:history="1">
            <w:r w:rsidRPr="006B6EB0">
              <w:rPr>
                <w:rStyle w:val="Hyperlink"/>
                <w:rFonts w:ascii="Arial" w:eastAsia="Arial" w:hAnsi="Arial" w:cs="Arial"/>
                <w:b/>
                <w:noProof/>
              </w:rPr>
              <w:t>Participation of Children and Women with Disabilities</w:t>
            </w:r>
            <w:r>
              <w:rPr>
                <w:noProof/>
                <w:webHidden/>
              </w:rPr>
              <w:tab/>
            </w:r>
            <w:r>
              <w:rPr>
                <w:noProof/>
                <w:webHidden/>
              </w:rPr>
              <w:fldChar w:fldCharType="begin"/>
            </w:r>
            <w:r>
              <w:rPr>
                <w:noProof/>
                <w:webHidden/>
              </w:rPr>
              <w:instrText xml:space="preserve"> PAGEREF _Toc127224663 \h </w:instrText>
            </w:r>
            <w:r>
              <w:rPr>
                <w:noProof/>
                <w:webHidden/>
              </w:rPr>
            </w:r>
            <w:r>
              <w:rPr>
                <w:noProof/>
                <w:webHidden/>
              </w:rPr>
              <w:fldChar w:fldCharType="separate"/>
            </w:r>
            <w:r>
              <w:rPr>
                <w:noProof/>
                <w:webHidden/>
              </w:rPr>
              <w:t>8</w:t>
            </w:r>
            <w:r>
              <w:rPr>
                <w:noProof/>
                <w:webHidden/>
              </w:rPr>
              <w:fldChar w:fldCharType="end"/>
            </w:r>
          </w:hyperlink>
        </w:p>
        <w:p w14:paraId="4EC03B64" w14:textId="4AB12172" w:rsidR="006F4CF8" w:rsidRDefault="006F4CF8">
          <w:pPr>
            <w:pStyle w:val="TOC1"/>
            <w:tabs>
              <w:tab w:val="left" w:pos="440"/>
              <w:tab w:val="right" w:leader="dot" w:pos="9350"/>
            </w:tabs>
            <w:rPr>
              <w:noProof/>
            </w:rPr>
          </w:pPr>
          <w:hyperlink w:anchor="_Toc127224664" w:history="1">
            <w:r w:rsidRPr="006B6EB0">
              <w:rPr>
                <w:rStyle w:val="Hyperlink"/>
                <w:rFonts w:ascii="Arial" w:hAnsi="Arial" w:cs="Arial"/>
                <w:b/>
                <w:bCs/>
                <w:noProof/>
              </w:rPr>
              <w:t>E.</w:t>
            </w:r>
            <w:r>
              <w:rPr>
                <w:noProof/>
              </w:rPr>
              <w:tab/>
            </w:r>
            <w:r w:rsidRPr="006B6EB0">
              <w:rPr>
                <w:rStyle w:val="Hyperlink"/>
                <w:rFonts w:ascii="Arial" w:hAnsi="Arial" w:cs="Arial"/>
                <w:b/>
                <w:bCs/>
                <w:noProof/>
              </w:rPr>
              <w:t>Recommendations</w:t>
            </w:r>
            <w:r>
              <w:rPr>
                <w:noProof/>
                <w:webHidden/>
              </w:rPr>
              <w:tab/>
            </w:r>
            <w:r>
              <w:rPr>
                <w:noProof/>
                <w:webHidden/>
              </w:rPr>
              <w:fldChar w:fldCharType="begin"/>
            </w:r>
            <w:r>
              <w:rPr>
                <w:noProof/>
                <w:webHidden/>
              </w:rPr>
              <w:instrText xml:space="preserve"> PAGEREF _Toc127224664 \h </w:instrText>
            </w:r>
            <w:r>
              <w:rPr>
                <w:noProof/>
                <w:webHidden/>
              </w:rPr>
            </w:r>
            <w:r>
              <w:rPr>
                <w:noProof/>
                <w:webHidden/>
              </w:rPr>
              <w:fldChar w:fldCharType="separate"/>
            </w:r>
            <w:r>
              <w:rPr>
                <w:noProof/>
                <w:webHidden/>
              </w:rPr>
              <w:t>9</w:t>
            </w:r>
            <w:r>
              <w:rPr>
                <w:noProof/>
                <w:webHidden/>
              </w:rPr>
              <w:fldChar w:fldCharType="end"/>
            </w:r>
          </w:hyperlink>
        </w:p>
        <w:p w14:paraId="3FB3580D" w14:textId="5B1DD5AA" w:rsidR="006F4CF8" w:rsidRDefault="006F4CF8">
          <w:pPr>
            <w:pStyle w:val="TOC1"/>
            <w:tabs>
              <w:tab w:val="right" w:leader="dot" w:pos="9350"/>
            </w:tabs>
            <w:rPr>
              <w:noProof/>
            </w:rPr>
          </w:pPr>
          <w:hyperlink w:anchor="_Toc127224665" w:history="1">
            <w:r w:rsidRPr="006B6EB0">
              <w:rPr>
                <w:rStyle w:val="Hyperlink"/>
                <w:rFonts w:ascii="Arial" w:hAnsi="Arial" w:cs="Arial"/>
                <w:b/>
                <w:bCs/>
                <w:noProof/>
              </w:rPr>
              <w:t>Profile of CIQAL</w:t>
            </w:r>
            <w:r>
              <w:rPr>
                <w:noProof/>
                <w:webHidden/>
              </w:rPr>
              <w:tab/>
            </w:r>
            <w:r>
              <w:rPr>
                <w:noProof/>
                <w:webHidden/>
              </w:rPr>
              <w:fldChar w:fldCharType="begin"/>
            </w:r>
            <w:r>
              <w:rPr>
                <w:noProof/>
                <w:webHidden/>
              </w:rPr>
              <w:instrText xml:space="preserve"> PAGEREF _Toc127224665 \h </w:instrText>
            </w:r>
            <w:r>
              <w:rPr>
                <w:noProof/>
                <w:webHidden/>
              </w:rPr>
            </w:r>
            <w:r>
              <w:rPr>
                <w:noProof/>
                <w:webHidden/>
              </w:rPr>
              <w:fldChar w:fldCharType="separate"/>
            </w:r>
            <w:r>
              <w:rPr>
                <w:noProof/>
                <w:webHidden/>
              </w:rPr>
              <w:t>10</w:t>
            </w:r>
            <w:r>
              <w:rPr>
                <w:noProof/>
                <w:webHidden/>
              </w:rPr>
              <w:fldChar w:fldCharType="end"/>
            </w:r>
          </w:hyperlink>
        </w:p>
        <w:p w14:paraId="33F76ED3" w14:textId="229AC4A2" w:rsidR="006F4CF8" w:rsidRDefault="006F4CF8">
          <w:r>
            <w:rPr>
              <w:b/>
              <w:bCs/>
              <w:noProof/>
            </w:rPr>
            <w:fldChar w:fldCharType="end"/>
          </w:r>
        </w:p>
      </w:sdtContent>
    </w:sdt>
    <w:p w14:paraId="5091482B" w14:textId="08D4B8D2" w:rsidR="00ED2BF6" w:rsidRPr="00B158EC" w:rsidRDefault="00000000" w:rsidP="009516F3">
      <w:pPr>
        <w:pStyle w:val="Heading1"/>
        <w:numPr>
          <w:ilvl w:val="0"/>
          <w:numId w:val="9"/>
        </w:numPr>
        <w:ind w:left="360"/>
        <w:rPr>
          <w:rFonts w:ascii="Arial" w:hAnsi="Arial" w:cs="Arial"/>
          <w:b/>
          <w:bCs/>
          <w:color w:val="000000" w:themeColor="text1"/>
        </w:rPr>
      </w:pPr>
      <w:bookmarkStart w:id="0" w:name="_Toc127224659"/>
      <w:r w:rsidRPr="00B158EC">
        <w:rPr>
          <w:rFonts w:ascii="Arial" w:hAnsi="Arial" w:cs="Arial"/>
          <w:b/>
          <w:bCs/>
          <w:color w:val="000000" w:themeColor="text1"/>
        </w:rPr>
        <w:t>Introduction</w:t>
      </w:r>
      <w:bookmarkEnd w:id="0"/>
    </w:p>
    <w:p w14:paraId="138755FB" w14:textId="1FAFEBBD" w:rsidR="00DE716C" w:rsidRPr="00B158EC" w:rsidRDefault="00DE716C" w:rsidP="0015678B">
      <w:pPr>
        <w:numPr>
          <w:ilvl w:val="0"/>
          <w:numId w:val="1"/>
        </w:numPr>
        <w:pBdr>
          <w:top w:val="nil"/>
          <w:left w:val="nil"/>
          <w:bottom w:val="nil"/>
          <w:right w:val="nil"/>
          <w:between w:val="nil"/>
        </w:pBdr>
        <w:spacing w:after="120" w:line="240" w:lineRule="auto"/>
        <w:ind w:left="36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This document is the submission of the Indonesian Disabled Persons Organization to the CRPD Committee which is preparing a new General Comment on Article 11 of the UNCRPD (Situations of Risk and Humanitarian Emergency). This report was prepared based on of discussions and workshops, including on 26-27 January 2023, in Yogyakarta.</w:t>
      </w:r>
    </w:p>
    <w:p w14:paraId="451BB0D4" w14:textId="77777777" w:rsidR="00B73475" w:rsidRPr="00B158EC" w:rsidRDefault="00DE716C" w:rsidP="0015678B">
      <w:pPr>
        <w:numPr>
          <w:ilvl w:val="0"/>
          <w:numId w:val="1"/>
        </w:numPr>
        <w:pBdr>
          <w:top w:val="nil"/>
          <w:left w:val="nil"/>
          <w:bottom w:val="nil"/>
          <w:right w:val="nil"/>
          <w:between w:val="nil"/>
        </w:pBdr>
        <w:spacing w:after="120" w:line="240" w:lineRule="auto"/>
        <w:ind w:left="36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 xml:space="preserve">Organizations for Persons with Disabilities who were involved in preparing the input were: </w:t>
      </w:r>
    </w:p>
    <w:p w14:paraId="04307FFB" w14:textId="1DF0BC80" w:rsidR="00B73475" w:rsidRPr="00B158EC" w:rsidRDefault="00DE716C" w:rsidP="00B73475">
      <w:pPr>
        <w:pStyle w:val="ListParagraph"/>
        <w:numPr>
          <w:ilvl w:val="0"/>
          <w:numId w:val="7"/>
        </w:numPr>
        <w:pBdr>
          <w:top w:val="nil"/>
          <w:left w:val="nil"/>
          <w:bottom w:val="nil"/>
          <w:right w:val="nil"/>
          <w:between w:val="nil"/>
        </w:pBdr>
        <w:spacing w:after="120" w:line="240" w:lineRule="auto"/>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CIQAL (Center for Improving Qualified Activity in Life of People with Disabilities)</w:t>
      </w:r>
      <w:r w:rsidR="00B73475" w:rsidRPr="00B158EC">
        <w:rPr>
          <w:rFonts w:ascii="Arial" w:eastAsia="Arial" w:hAnsi="Arial" w:cs="Arial"/>
          <w:color w:val="000000" w:themeColor="text1"/>
          <w:sz w:val="24"/>
          <w:szCs w:val="24"/>
        </w:rPr>
        <w:t>, Yogyakarta</w:t>
      </w:r>
    </w:p>
    <w:p w14:paraId="26528794" w14:textId="77777777" w:rsidR="00B73475" w:rsidRPr="00B158EC" w:rsidRDefault="00DE716C" w:rsidP="00B73475">
      <w:pPr>
        <w:pStyle w:val="ListParagraph"/>
        <w:numPr>
          <w:ilvl w:val="0"/>
          <w:numId w:val="7"/>
        </w:numPr>
        <w:pBdr>
          <w:top w:val="nil"/>
          <w:left w:val="nil"/>
          <w:bottom w:val="nil"/>
          <w:right w:val="nil"/>
          <w:between w:val="nil"/>
        </w:pBdr>
        <w:spacing w:after="120" w:line="240" w:lineRule="auto"/>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OHANA (Organisasi Harapan Nusantara</w:t>
      </w:r>
      <w:r w:rsidR="00B73475" w:rsidRPr="00B158EC">
        <w:rPr>
          <w:rFonts w:ascii="Arial" w:eastAsia="Arial" w:hAnsi="Arial" w:cs="Arial"/>
          <w:color w:val="000000" w:themeColor="text1"/>
          <w:sz w:val="24"/>
          <w:szCs w:val="24"/>
        </w:rPr>
        <w:t xml:space="preserve"> Indonesia</w:t>
      </w:r>
      <w:r w:rsidR="00CF3C2D" w:rsidRPr="00B158EC">
        <w:rPr>
          <w:rFonts w:ascii="Arial" w:eastAsia="Arial" w:hAnsi="Arial" w:cs="Arial"/>
          <w:color w:val="000000" w:themeColor="text1"/>
          <w:sz w:val="24"/>
          <w:szCs w:val="24"/>
        </w:rPr>
        <w:t>)</w:t>
      </w:r>
      <w:r w:rsidRPr="00B158EC">
        <w:rPr>
          <w:rFonts w:ascii="Arial" w:eastAsia="Arial" w:hAnsi="Arial" w:cs="Arial"/>
          <w:color w:val="000000" w:themeColor="text1"/>
          <w:sz w:val="24"/>
          <w:szCs w:val="24"/>
        </w:rPr>
        <w:t xml:space="preserve">, </w:t>
      </w:r>
      <w:r w:rsidR="00B73475" w:rsidRPr="00B158EC">
        <w:rPr>
          <w:rFonts w:ascii="Arial" w:eastAsia="Arial" w:hAnsi="Arial" w:cs="Arial"/>
          <w:color w:val="000000" w:themeColor="text1"/>
          <w:sz w:val="24"/>
          <w:szCs w:val="24"/>
        </w:rPr>
        <w:t>Yogyakarta</w:t>
      </w:r>
    </w:p>
    <w:p w14:paraId="324F6F3E" w14:textId="46F24618" w:rsidR="00B73475" w:rsidRPr="00B158EC" w:rsidRDefault="00DE716C" w:rsidP="00B73475">
      <w:pPr>
        <w:pStyle w:val="ListParagraph"/>
        <w:numPr>
          <w:ilvl w:val="0"/>
          <w:numId w:val="7"/>
        </w:numPr>
        <w:pBdr>
          <w:top w:val="nil"/>
          <w:left w:val="nil"/>
          <w:bottom w:val="nil"/>
          <w:right w:val="nil"/>
          <w:between w:val="nil"/>
        </w:pBdr>
        <w:spacing w:after="120" w:line="240" w:lineRule="auto"/>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CAI (Cahaya In</w:t>
      </w:r>
      <w:r w:rsidR="00B73475" w:rsidRPr="00B158EC">
        <w:rPr>
          <w:rFonts w:ascii="Arial" w:eastAsia="Arial" w:hAnsi="Arial" w:cs="Arial"/>
          <w:color w:val="000000" w:themeColor="text1"/>
          <w:sz w:val="24"/>
          <w:szCs w:val="24"/>
        </w:rPr>
        <w:t>k</w:t>
      </w:r>
      <w:r w:rsidRPr="00B158EC">
        <w:rPr>
          <w:rFonts w:ascii="Arial" w:eastAsia="Arial" w:hAnsi="Arial" w:cs="Arial"/>
          <w:color w:val="000000" w:themeColor="text1"/>
          <w:sz w:val="24"/>
          <w:szCs w:val="24"/>
        </w:rPr>
        <w:t>lusi Indonesia</w:t>
      </w:r>
      <w:r w:rsidR="002D603C" w:rsidRPr="00B158EC">
        <w:rPr>
          <w:rFonts w:ascii="Arial" w:eastAsia="Arial" w:hAnsi="Arial" w:cs="Arial"/>
          <w:color w:val="000000" w:themeColor="text1"/>
          <w:sz w:val="24"/>
          <w:szCs w:val="24"/>
        </w:rPr>
        <w:t>)</w:t>
      </w:r>
      <w:r w:rsidRPr="00B158EC">
        <w:rPr>
          <w:rFonts w:ascii="Arial" w:eastAsia="Arial" w:hAnsi="Arial" w:cs="Arial"/>
          <w:color w:val="000000" w:themeColor="text1"/>
          <w:sz w:val="24"/>
          <w:szCs w:val="24"/>
        </w:rPr>
        <w:t xml:space="preserve">, </w:t>
      </w:r>
      <w:r w:rsidR="00B73475" w:rsidRPr="00B158EC">
        <w:rPr>
          <w:rFonts w:ascii="Arial" w:eastAsia="Arial" w:hAnsi="Arial" w:cs="Arial"/>
          <w:color w:val="000000" w:themeColor="text1"/>
          <w:sz w:val="24"/>
          <w:szCs w:val="24"/>
        </w:rPr>
        <w:t xml:space="preserve">Bandung, </w:t>
      </w:r>
      <w:r w:rsidR="00290D10" w:rsidRPr="00B158EC">
        <w:rPr>
          <w:rFonts w:ascii="Arial" w:eastAsia="Arial" w:hAnsi="Arial" w:cs="Arial"/>
          <w:color w:val="000000" w:themeColor="text1"/>
          <w:sz w:val="24"/>
          <w:szCs w:val="24"/>
        </w:rPr>
        <w:t xml:space="preserve">Jawa Barat - Cahaya Inclusion Indonesia, Bandung, </w:t>
      </w:r>
      <w:r w:rsidR="00B73475" w:rsidRPr="00B158EC">
        <w:rPr>
          <w:rFonts w:ascii="Arial" w:eastAsia="Arial" w:hAnsi="Arial" w:cs="Arial"/>
          <w:color w:val="000000" w:themeColor="text1"/>
          <w:sz w:val="24"/>
          <w:szCs w:val="24"/>
        </w:rPr>
        <w:t>West Java</w:t>
      </w:r>
    </w:p>
    <w:p w14:paraId="557D9335" w14:textId="4448A775" w:rsidR="00290D10" w:rsidRPr="00B158EC" w:rsidRDefault="00DE716C" w:rsidP="00B73475">
      <w:pPr>
        <w:pStyle w:val="ListParagraph"/>
        <w:numPr>
          <w:ilvl w:val="0"/>
          <w:numId w:val="7"/>
        </w:numPr>
        <w:pBdr>
          <w:top w:val="nil"/>
          <w:left w:val="nil"/>
          <w:bottom w:val="nil"/>
          <w:right w:val="nil"/>
          <w:between w:val="nil"/>
        </w:pBdr>
        <w:spacing w:after="120" w:line="240" w:lineRule="auto"/>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 xml:space="preserve">Sehati Sukoharjo, </w:t>
      </w:r>
      <w:r w:rsidR="00290D10" w:rsidRPr="00B158EC">
        <w:rPr>
          <w:rFonts w:ascii="Arial" w:eastAsia="Arial" w:hAnsi="Arial" w:cs="Arial"/>
          <w:color w:val="000000" w:themeColor="text1"/>
          <w:sz w:val="24"/>
          <w:szCs w:val="24"/>
        </w:rPr>
        <w:t xml:space="preserve">Sukoharjo, </w:t>
      </w:r>
      <w:r w:rsidR="00B73475" w:rsidRPr="00B158EC">
        <w:rPr>
          <w:rFonts w:ascii="Arial" w:eastAsia="Arial" w:hAnsi="Arial" w:cs="Arial"/>
          <w:color w:val="000000" w:themeColor="text1"/>
          <w:sz w:val="24"/>
          <w:szCs w:val="24"/>
        </w:rPr>
        <w:t>Central Java</w:t>
      </w:r>
    </w:p>
    <w:p w14:paraId="708A7914" w14:textId="261FA3D2" w:rsidR="00ED2BF6" w:rsidRPr="00B158EC" w:rsidRDefault="00DE716C" w:rsidP="00B73475">
      <w:pPr>
        <w:pStyle w:val="ListParagraph"/>
        <w:numPr>
          <w:ilvl w:val="0"/>
          <w:numId w:val="7"/>
        </w:numPr>
        <w:pBdr>
          <w:top w:val="nil"/>
          <w:left w:val="nil"/>
          <w:bottom w:val="nil"/>
          <w:right w:val="nil"/>
          <w:between w:val="nil"/>
        </w:pBdr>
        <w:spacing w:after="120" w:line="240" w:lineRule="auto"/>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PPDK (</w:t>
      </w:r>
      <w:r w:rsidR="00290D10" w:rsidRPr="00B158EC">
        <w:rPr>
          <w:rFonts w:ascii="Arial" w:eastAsia="Arial" w:hAnsi="Arial" w:cs="Arial"/>
          <w:color w:val="000000" w:themeColor="text1"/>
          <w:sz w:val="24"/>
          <w:szCs w:val="24"/>
        </w:rPr>
        <w:t xml:space="preserve">Perkumpulan Penyandang Disabilitas Klaten), Klaten, Jawa Tengah - </w:t>
      </w:r>
      <w:r w:rsidRPr="00B158EC">
        <w:rPr>
          <w:rFonts w:ascii="Arial" w:eastAsia="Arial" w:hAnsi="Arial" w:cs="Arial"/>
          <w:color w:val="000000" w:themeColor="text1"/>
          <w:sz w:val="24"/>
          <w:szCs w:val="24"/>
        </w:rPr>
        <w:t>Association of Persons with Disabilities Klaten)</w:t>
      </w:r>
      <w:r w:rsidR="00290D10" w:rsidRPr="00B158EC">
        <w:rPr>
          <w:rFonts w:ascii="Arial" w:eastAsia="Arial" w:hAnsi="Arial" w:cs="Arial"/>
          <w:color w:val="000000" w:themeColor="text1"/>
          <w:sz w:val="24"/>
          <w:szCs w:val="24"/>
        </w:rPr>
        <w:t>, Kl</w:t>
      </w:r>
      <w:r w:rsidR="00790071" w:rsidRPr="00B158EC">
        <w:rPr>
          <w:rFonts w:ascii="Arial" w:eastAsia="Arial" w:hAnsi="Arial" w:cs="Arial"/>
          <w:color w:val="000000" w:themeColor="text1"/>
          <w:sz w:val="24"/>
          <w:szCs w:val="24"/>
        </w:rPr>
        <w:t>a</w:t>
      </w:r>
      <w:r w:rsidR="00290D10" w:rsidRPr="00B158EC">
        <w:rPr>
          <w:rFonts w:ascii="Arial" w:eastAsia="Arial" w:hAnsi="Arial" w:cs="Arial"/>
          <w:color w:val="000000" w:themeColor="text1"/>
          <w:sz w:val="24"/>
          <w:szCs w:val="24"/>
        </w:rPr>
        <w:t>ten, Central Java.</w:t>
      </w:r>
    </w:p>
    <w:p w14:paraId="4EF68E99" w14:textId="77777777" w:rsidR="00ED2BF6" w:rsidRPr="00B158EC" w:rsidRDefault="00ED2BF6">
      <w:pPr>
        <w:spacing w:after="120" w:line="240" w:lineRule="auto"/>
        <w:jc w:val="both"/>
        <w:rPr>
          <w:rFonts w:ascii="Arial" w:eastAsia="Arial" w:hAnsi="Arial" w:cs="Arial"/>
          <w:color w:val="000000" w:themeColor="text1"/>
          <w:sz w:val="24"/>
          <w:szCs w:val="24"/>
        </w:rPr>
      </w:pPr>
    </w:p>
    <w:p w14:paraId="63C96B6E" w14:textId="2ACB8FBA" w:rsidR="00ED2BF6" w:rsidRPr="00B158EC" w:rsidRDefault="00000000" w:rsidP="00EA6201">
      <w:pPr>
        <w:pStyle w:val="Heading1"/>
        <w:numPr>
          <w:ilvl w:val="0"/>
          <w:numId w:val="9"/>
        </w:numPr>
        <w:ind w:left="360"/>
        <w:rPr>
          <w:rFonts w:ascii="Arial" w:hAnsi="Arial" w:cs="Arial"/>
          <w:b/>
          <w:bCs/>
          <w:color w:val="000000" w:themeColor="text1"/>
        </w:rPr>
      </w:pPr>
      <w:bookmarkStart w:id="1" w:name="_Toc127224660"/>
      <w:r w:rsidRPr="00B158EC">
        <w:rPr>
          <w:rFonts w:ascii="Arial" w:hAnsi="Arial" w:cs="Arial"/>
          <w:b/>
          <w:bCs/>
          <w:color w:val="000000" w:themeColor="text1"/>
        </w:rPr>
        <w:lastRenderedPageBreak/>
        <w:t>Policies, programs or action plans aimed at protecting persons with disabilities in emergency and humanitarian situations</w:t>
      </w:r>
      <w:r w:rsidR="0015678B" w:rsidRPr="00B158EC">
        <w:rPr>
          <w:rFonts w:ascii="Arial" w:hAnsi="Arial" w:cs="Arial"/>
          <w:b/>
          <w:bCs/>
          <w:color w:val="000000" w:themeColor="text1"/>
        </w:rPr>
        <w:t>.</w:t>
      </w:r>
      <w:bookmarkEnd w:id="1"/>
    </w:p>
    <w:p w14:paraId="412B51B9" w14:textId="7AA5D2F9" w:rsidR="00ED2BF6" w:rsidRPr="00B158EC" w:rsidRDefault="00000000" w:rsidP="0015678B">
      <w:pPr>
        <w:numPr>
          <w:ilvl w:val="0"/>
          <w:numId w:val="1"/>
        </w:numPr>
        <w:pBdr>
          <w:top w:val="nil"/>
          <w:left w:val="nil"/>
          <w:bottom w:val="nil"/>
          <w:right w:val="nil"/>
          <w:between w:val="nil"/>
        </w:pBdr>
        <w:spacing w:after="120" w:line="240" w:lineRule="auto"/>
        <w:ind w:left="36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Regulations related to disasters and emergency situations are not fully inclusive, although there have been several regulations that emphasize affirmation of persons with disabilities in disaster situations.</w:t>
      </w:r>
      <w:r w:rsidRPr="00B158EC">
        <w:rPr>
          <w:rFonts w:ascii="Arial" w:eastAsia="Arial" w:hAnsi="Arial" w:cs="Arial"/>
          <w:color w:val="000000" w:themeColor="text1"/>
          <w:sz w:val="24"/>
          <w:szCs w:val="24"/>
          <w:vertAlign w:val="superscript"/>
        </w:rPr>
        <w:footnoteReference w:id="1"/>
      </w:r>
      <w:r w:rsidRPr="00B158EC">
        <w:rPr>
          <w:rFonts w:ascii="Arial" w:eastAsia="Arial" w:hAnsi="Arial" w:cs="Arial"/>
          <w:color w:val="000000" w:themeColor="text1"/>
          <w:sz w:val="24"/>
          <w:szCs w:val="24"/>
        </w:rPr>
        <w:t xml:space="preserve"> </w:t>
      </w:r>
    </w:p>
    <w:p w14:paraId="35EAFC3A" w14:textId="469B82D5"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In the context of disaster management, the number of regulations that could be said to be inclusive of persons with disabilities, include: </w:t>
      </w:r>
    </w:p>
    <w:p w14:paraId="12DB04A1" w14:textId="5E07840F" w:rsidR="00ED2BF6" w:rsidRPr="00B158EC" w:rsidRDefault="00000000">
      <w:pPr>
        <w:numPr>
          <w:ilvl w:val="0"/>
          <w:numId w:val="3"/>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Law No. 24 of 2007 concerning Disaster Management</w:t>
      </w:r>
      <w:r w:rsidR="00B73475" w:rsidRPr="00B158EC">
        <w:rPr>
          <w:rFonts w:ascii="Arial" w:eastAsia="Arial" w:hAnsi="Arial" w:cs="Arial"/>
          <w:color w:val="000000" w:themeColor="text1"/>
          <w:sz w:val="24"/>
          <w:szCs w:val="24"/>
        </w:rPr>
        <w:t>.</w:t>
      </w:r>
      <w:r w:rsidR="00CF3C2D" w:rsidRPr="00B158EC">
        <w:rPr>
          <w:rFonts w:ascii="Arial" w:eastAsia="Arial" w:hAnsi="Arial" w:cs="Arial"/>
          <w:color w:val="000000" w:themeColor="text1"/>
          <w:sz w:val="24"/>
          <w:szCs w:val="24"/>
        </w:rPr>
        <w:t xml:space="preserve"> </w:t>
      </w:r>
      <w:r w:rsidRPr="00B158EC">
        <w:rPr>
          <w:rFonts w:ascii="Arial" w:eastAsia="Arial" w:hAnsi="Arial" w:cs="Arial"/>
          <w:color w:val="000000" w:themeColor="text1"/>
          <w:sz w:val="24"/>
          <w:szCs w:val="24"/>
        </w:rPr>
        <w:t>Protection of vulnerable groups is reaffirmed in Article 48 of the Law and Article 55 confirms that one of these vulnerable groups is persons with disabilities, apart from infants, toddlers, children, pregnant or breastfeeding mothers, and the elderly.</w:t>
      </w:r>
      <w:r w:rsidR="00584B7E" w:rsidRPr="00B158EC">
        <w:rPr>
          <w:rFonts w:ascii="Arial" w:eastAsia="Arial" w:hAnsi="Arial" w:cs="Arial"/>
          <w:color w:val="000000" w:themeColor="text1"/>
          <w:sz w:val="24"/>
          <w:szCs w:val="24"/>
        </w:rPr>
        <w:t xml:space="preserve"> Even though, Article 3 paragraph (2) of this Law does not include disabilities as a basis of discriminations</w:t>
      </w:r>
      <w:r w:rsidR="00504D48" w:rsidRPr="00B158EC">
        <w:rPr>
          <w:rFonts w:ascii="Arial" w:eastAsia="Arial" w:hAnsi="Arial" w:cs="Arial"/>
          <w:color w:val="000000" w:themeColor="text1"/>
          <w:sz w:val="24"/>
          <w:szCs w:val="24"/>
        </w:rPr>
        <w:t xml:space="preserve">, and only </w:t>
      </w:r>
      <w:r w:rsidR="00584B7E" w:rsidRPr="00B158EC">
        <w:rPr>
          <w:rFonts w:ascii="Arial" w:eastAsia="Arial" w:hAnsi="Arial" w:cs="Arial"/>
          <w:color w:val="000000" w:themeColor="text1"/>
          <w:sz w:val="24"/>
          <w:szCs w:val="24"/>
        </w:rPr>
        <w:t>emphasizes the principle of non-discrimination</w:t>
      </w:r>
      <w:r w:rsidR="00504D48" w:rsidRPr="00B158EC">
        <w:rPr>
          <w:rFonts w:ascii="Arial" w:eastAsia="Arial" w:hAnsi="Arial" w:cs="Arial"/>
          <w:color w:val="000000" w:themeColor="text1"/>
          <w:sz w:val="24"/>
          <w:szCs w:val="24"/>
        </w:rPr>
        <w:t xml:space="preserve"> based on</w:t>
      </w:r>
      <w:r w:rsidR="00584B7E" w:rsidRPr="00B158EC">
        <w:rPr>
          <w:rFonts w:ascii="Arial" w:eastAsia="Arial" w:hAnsi="Arial" w:cs="Arial"/>
          <w:color w:val="000000" w:themeColor="text1"/>
          <w:sz w:val="24"/>
          <w:szCs w:val="24"/>
        </w:rPr>
        <w:t xml:space="preserve"> gender, ethnicity, religion, race, and any political beliefs.</w:t>
      </w:r>
    </w:p>
    <w:p w14:paraId="774D59DE" w14:textId="77777777" w:rsidR="00ED2BF6" w:rsidRPr="00B158EC" w:rsidRDefault="00000000">
      <w:pPr>
        <w:numPr>
          <w:ilvl w:val="0"/>
          <w:numId w:val="3"/>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Law No. 8 of 2016 concerning Persons with Disabilities emphasizes disaster situations, namely in Article 20, that the right to protection from disasters for Persons with Disabilities includes the right to: a) obtain easily accessible information about a disaster; b) knowledge about disaster risk reduction; c) get priority in the process of rescue and evacuation in a disaster situation; d) obtain easily accessible rescue and evacuation means and facilities; and e) acquire priorities and facilities that are easily accessible at evacuation sites.</w:t>
      </w:r>
    </w:p>
    <w:p w14:paraId="6D7DA17E" w14:textId="77777777"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In addition to the policies above, a number of Actions and Programs are emphasized in regulations derived from existing laws, such as Government Regulation No. 70 of 2019 concerning Planning, Implementation, and Evaluation of Respect, Protection, and Fulfillment of the Rights of Persons with Disabilities, one of the strategic objectives of which emphasizes: "”</w:t>
      </w:r>
      <w:r w:rsidRPr="00B158EC">
        <w:rPr>
          <w:rFonts w:ascii="Arial" w:eastAsia="Arial" w:hAnsi="Arial" w:cs="Arial"/>
          <w:i/>
          <w:color w:val="000000" w:themeColor="text1"/>
          <w:sz w:val="24"/>
          <w:szCs w:val="24"/>
        </w:rPr>
        <w:t>Providing an environment of barriers to Persons with Disabilities</w:t>
      </w:r>
      <w:r w:rsidRPr="00B158EC">
        <w:rPr>
          <w:rFonts w:ascii="Arial" w:eastAsia="Arial" w:hAnsi="Arial" w:cs="Arial"/>
          <w:color w:val="000000" w:themeColor="text1"/>
          <w:sz w:val="24"/>
          <w:szCs w:val="24"/>
        </w:rPr>
        <w:t>", with an implementation strategy: “</w:t>
      </w:r>
      <w:r w:rsidRPr="00B158EC">
        <w:rPr>
          <w:rFonts w:ascii="Arial" w:eastAsia="Arial" w:hAnsi="Arial" w:cs="Arial"/>
          <w:i/>
          <w:color w:val="000000" w:themeColor="text1"/>
          <w:sz w:val="24"/>
          <w:szCs w:val="24"/>
        </w:rPr>
        <w:t>Ensuring that the Minimum Service Standard indicators are in accordance with the principles of non-discrimination and proper accommodation for Persons with Disabilities</w:t>
      </w:r>
      <w:r w:rsidRPr="00B158EC">
        <w:rPr>
          <w:rFonts w:ascii="Arial" w:eastAsia="Arial" w:hAnsi="Arial" w:cs="Arial"/>
          <w:color w:val="000000" w:themeColor="text1"/>
          <w:sz w:val="24"/>
          <w:szCs w:val="24"/>
        </w:rPr>
        <w:t>”, with the achievement target: “</w:t>
      </w:r>
      <w:r w:rsidRPr="00B158EC">
        <w:rPr>
          <w:rFonts w:ascii="Arial" w:eastAsia="Arial" w:hAnsi="Arial" w:cs="Arial"/>
          <w:i/>
          <w:color w:val="000000" w:themeColor="text1"/>
          <w:sz w:val="24"/>
          <w:szCs w:val="24"/>
        </w:rPr>
        <w:t>Availability of standards and guidelines for disaster management services for Persons with Disabilities in accordance with the provisions of Minimum Service Standards</w:t>
      </w:r>
      <w:r w:rsidRPr="00B158EC">
        <w:rPr>
          <w:rFonts w:ascii="Arial" w:eastAsia="Arial" w:hAnsi="Arial" w:cs="Arial"/>
          <w:color w:val="000000" w:themeColor="text1"/>
          <w:sz w:val="24"/>
          <w:szCs w:val="24"/>
        </w:rPr>
        <w:t xml:space="preserve">”. This is also regulated in the Regulation of the Minister of National </w:t>
      </w:r>
      <w:r w:rsidRPr="00B158EC">
        <w:rPr>
          <w:rFonts w:ascii="Arial" w:eastAsia="Arial" w:hAnsi="Arial" w:cs="Arial"/>
          <w:color w:val="000000" w:themeColor="text1"/>
          <w:sz w:val="24"/>
          <w:szCs w:val="24"/>
        </w:rPr>
        <w:lastRenderedPageBreak/>
        <w:t>Development Planning/Head of the National Development Planning Agency of the Republic of Indonesia Number 3 of 2021 concerning the National Action Plan for Disabilities.</w:t>
      </w:r>
    </w:p>
    <w:p w14:paraId="07A944C1" w14:textId="5CD21734"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Minimum Service Standards (regulation) have been regulated.</w:t>
      </w:r>
      <w:r w:rsidRPr="00B158EC">
        <w:rPr>
          <w:rFonts w:ascii="Arial" w:eastAsia="Arial" w:hAnsi="Arial" w:cs="Arial"/>
          <w:color w:val="000000" w:themeColor="text1"/>
          <w:sz w:val="24"/>
          <w:szCs w:val="24"/>
          <w:vertAlign w:val="superscript"/>
        </w:rPr>
        <w:footnoteReference w:id="2"/>
      </w:r>
      <w:r w:rsidRPr="00B158EC">
        <w:rPr>
          <w:rFonts w:ascii="Arial" w:eastAsia="Arial" w:hAnsi="Arial" w:cs="Arial"/>
          <w:color w:val="000000" w:themeColor="text1"/>
          <w:sz w:val="24"/>
          <w:szCs w:val="24"/>
        </w:rPr>
        <w:t xml:space="preserve"> However, Government Regulation 2/2018 and the Ministry of Home Affairs Regulations 101/2018 do not mention persons with disabilities or vulnerable groups. The Regulation must be revised and aligned with CRPD Convention.  </w:t>
      </w:r>
    </w:p>
    <w:p w14:paraId="03BF5BD6" w14:textId="02D11251"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Regulation of the Head of the National Agency for Disaster Countermeasures (Perka BNPB) No. 14 Year 2014 concerning Management, Protection and Participation of Persons with Disabilities in Disaster Management emphasizes the participation of persons with disabilities. Articles 4 to 7 of this Regulation</w:t>
      </w:r>
      <w:r w:rsidRPr="00B158EC">
        <w:rPr>
          <w:rFonts w:ascii="Arial" w:eastAsia="Arial" w:hAnsi="Arial" w:cs="Arial"/>
          <w:i/>
          <w:color w:val="000000" w:themeColor="text1"/>
          <w:sz w:val="24"/>
          <w:szCs w:val="24"/>
        </w:rPr>
        <w:t xml:space="preserve"> </w:t>
      </w:r>
      <w:r w:rsidRPr="00B158EC">
        <w:rPr>
          <w:rFonts w:ascii="Arial" w:eastAsia="Arial" w:hAnsi="Arial" w:cs="Arial"/>
          <w:color w:val="000000" w:themeColor="text1"/>
          <w:sz w:val="24"/>
          <w:szCs w:val="24"/>
        </w:rPr>
        <w:t xml:space="preserve">regulate the Disaster Disability Service Unit. Furthermore, this Regulation regulates: </w:t>
      </w:r>
    </w:p>
    <w:tbl>
      <w:tblPr>
        <w:tblStyle w:val="a"/>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3"/>
        <w:gridCol w:w="7088"/>
      </w:tblGrid>
      <w:tr w:rsidR="00B158EC" w:rsidRPr="00B158EC" w14:paraId="46774BDB" w14:textId="77777777">
        <w:tc>
          <w:tcPr>
            <w:tcW w:w="1903" w:type="dxa"/>
          </w:tcPr>
          <w:p w14:paraId="5F32CB4D" w14:textId="77777777" w:rsidR="00ED2BF6" w:rsidRPr="00B158EC" w:rsidRDefault="00000000">
            <w:pPr>
              <w:spacing w:after="120"/>
              <w:jc w:val="both"/>
              <w:rPr>
                <w:rFonts w:ascii="Arial" w:eastAsia="Arial" w:hAnsi="Arial" w:cs="Arial"/>
                <w:b/>
                <w:color w:val="000000" w:themeColor="text1"/>
                <w:sz w:val="24"/>
                <w:szCs w:val="24"/>
              </w:rPr>
            </w:pPr>
            <w:r w:rsidRPr="00B158EC">
              <w:rPr>
                <w:rFonts w:ascii="Arial" w:eastAsia="Arial" w:hAnsi="Arial" w:cs="Arial"/>
                <w:b/>
                <w:color w:val="000000" w:themeColor="text1"/>
                <w:sz w:val="24"/>
                <w:szCs w:val="24"/>
              </w:rPr>
              <w:t>Article</w:t>
            </w:r>
          </w:p>
        </w:tc>
        <w:tc>
          <w:tcPr>
            <w:tcW w:w="7088" w:type="dxa"/>
          </w:tcPr>
          <w:p w14:paraId="3AAE2968" w14:textId="77777777" w:rsidR="00ED2BF6" w:rsidRPr="00B158EC" w:rsidRDefault="00000000">
            <w:pPr>
              <w:spacing w:after="120"/>
              <w:jc w:val="both"/>
              <w:rPr>
                <w:rFonts w:ascii="Arial" w:eastAsia="Arial" w:hAnsi="Arial" w:cs="Arial"/>
                <w:b/>
                <w:color w:val="000000" w:themeColor="text1"/>
                <w:sz w:val="24"/>
                <w:szCs w:val="24"/>
              </w:rPr>
            </w:pPr>
            <w:r w:rsidRPr="00B158EC">
              <w:rPr>
                <w:rFonts w:ascii="Arial" w:eastAsia="Arial" w:hAnsi="Arial" w:cs="Arial"/>
                <w:b/>
                <w:color w:val="000000" w:themeColor="text1"/>
                <w:sz w:val="24"/>
                <w:szCs w:val="24"/>
              </w:rPr>
              <w:t>Aspect of Regulation</w:t>
            </w:r>
          </w:p>
        </w:tc>
      </w:tr>
      <w:tr w:rsidR="00B158EC" w:rsidRPr="00B158EC" w14:paraId="6EA9EF55" w14:textId="77777777">
        <w:tc>
          <w:tcPr>
            <w:tcW w:w="1903" w:type="dxa"/>
          </w:tcPr>
          <w:p w14:paraId="69A5D890"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8</w:t>
            </w:r>
          </w:p>
        </w:tc>
        <w:tc>
          <w:tcPr>
            <w:tcW w:w="7088" w:type="dxa"/>
          </w:tcPr>
          <w:p w14:paraId="1A71FB82"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All aspects of disaster management must provide easy access for persons with disabilities</w:t>
            </w:r>
          </w:p>
          <w:p w14:paraId="21CA72FC" w14:textId="77777777" w:rsidR="00ED2BF6" w:rsidRPr="00B158EC" w:rsidRDefault="00ED2BF6">
            <w:pPr>
              <w:spacing w:after="120"/>
              <w:jc w:val="both"/>
              <w:rPr>
                <w:rFonts w:ascii="Arial" w:eastAsia="Arial" w:hAnsi="Arial" w:cs="Arial"/>
                <w:color w:val="000000" w:themeColor="text1"/>
                <w:sz w:val="24"/>
                <w:szCs w:val="24"/>
              </w:rPr>
            </w:pPr>
          </w:p>
        </w:tc>
      </w:tr>
      <w:tr w:rsidR="00B158EC" w:rsidRPr="00B158EC" w14:paraId="6D300750" w14:textId="77777777">
        <w:tc>
          <w:tcPr>
            <w:tcW w:w="1903" w:type="dxa"/>
          </w:tcPr>
          <w:p w14:paraId="084F7C27"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9</w:t>
            </w:r>
          </w:p>
        </w:tc>
        <w:tc>
          <w:tcPr>
            <w:tcW w:w="7088" w:type="dxa"/>
          </w:tcPr>
          <w:p w14:paraId="6C5AA9C6"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Active involvement of persons with disabilities in the planning, implementation, monitoring, evaluation stages as well as in the Disaster Risk Reduction (DRR) Forum</w:t>
            </w:r>
          </w:p>
        </w:tc>
      </w:tr>
      <w:tr w:rsidR="00B158EC" w:rsidRPr="00B158EC" w14:paraId="0C7BF693" w14:textId="77777777">
        <w:tc>
          <w:tcPr>
            <w:tcW w:w="1903" w:type="dxa"/>
          </w:tcPr>
          <w:p w14:paraId="669587F7"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10</w:t>
            </w:r>
          </w:p>
        </w:tc>
        <w:tc>
          <w:tcPr>
            <w:tcW w:w="7088" w:type="dxa"/>
          </w:tcPr>
          <w:p w14:paraId="118DEAF8"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Development of independence through capacity building of persons with disabilities</w:t>
            </w:r>
          </w:p>
        </w:tc>
      </w:tr>
      <w:tr w:rsidR="00B158EC" w:rsidRPr="00B158EC" w14:paraId="6D1CD7B3" w14:textId="77777777">
        <w:tc>
          <w:tcPr>
            <w:tcW w:w="1903" w:type="dxa"/>
          </w:tcPr>
          <w:p w14:paraId="0AAF2E03"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11</w:t>
            </w:r>
          </w:p>
        </w:tc>
        <w:tc>
          <w:tcPr>
            <w:tcW w:w="7088" w:type="dxa"/>
          </w:tcPr>
          <w:p w14:paraId="7D84DCF0"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Early warning systems according to various disabilities, as well as preparedness at the household level</w:t>
            </w:r>
          </w:p>
        </w:tc>
      </w:tr>
      <w:tr w:rsidR="00B158EC" w:rsidRPr="00B158EC" w14:paraId="109836B0" w14:textId="77777777">
        <w:tc>
          <w:tcPr>
            <w:tcW w:w="1903" w:type="dxa"/>
          </w:tcPr>
          <w:p w14:paraId="068BD941"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12-19</w:t>
            </w:r>
          </w:p>
        </w:tc>
        <w:tc>
          <w:tcPr>
            <w:tcW w:w="7088" w:type="dxa"/>
          </w:tcPr>
          <w:p w14:paraId="3E1A4364"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Emergency response, by taking into account the special needs of persons with disabilities, including the availability of special aids and companions</w:t>
            </w:r>
          </w:p>
        </w:tc>
      </w:tr>
      <w:tr w:rsidR="00ED2BF6" w:rsidRPr="00B158EC" w14:paraId="6DBC7F30" w14:textId="77777777">
        <w:tc>
          <w:tcPr>
            <w:tcW w:w="1903" w:type="dxa"/>
          </w:tcPr>
          <w:p w14:paraId="3A76ABDF"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Article 20</w:t>
            </w:r>
          </w:p>
        </w:tc>
        <w:tc>
          <w:tcPr>
            <w:tcW w:w="7088" w:type="dxa"/>
          </w:tcPr>
          <w:p w14:paraId="75AC4ABF" w14:textId="77777777" w:rsidR="00ED2BF6" w:rsidRPr="00B158EC" w:rsidRDefault="00000000">
            <w:pPr>
              <w:spacing w:after="120"/>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After the disaster, efforts are oriented towards DRR and meeting the special needs of persons with disabilities</w:t>
            </w:r>
          </w:p>
        </w:tc>
      </w:tr>
    </w:tbl>
    <w:p w14:paraId="736853BD" w14:textId="77777777" w:rsidR="00ED2BF6" w:rsidRPr="00B158EC" w:rsidRDefault="00ED2BF6">
      <w:pPr>
        <w:pBdr>
          <w:top w:val="nil"/>
          <w:left w:val="nil"/>
          <w:bottom w:val="nil"/>
          <w:right w:val="nil"/>
          <w:between w:val="nil"/>
        </w:pBdr>
        <w:spacing w:after="120" w:line="240" w:lineRule="auto"/>
        <w:jc w:val="both"/>
        <w:rPr>
          <w:rFonts w:ascii="Arial" w:eastAsia="Arial" w:hAnsi="Arial" w:cs="Arial"/>
          <w:color w:val="000000" w:themeColor="text1"/>
          <w:sz w:val="24"/>
          <w:szCs w:val="24"/>
        </w:rPr>
      </w:pPr>
    </w:p>
    <w:p w14:paraId="04616AE1" w14:textId="77777777"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The regulation actually have specifically regulated how people with disabilities must be actively involved in the pre, during and post-disaster stages, but it needs to be ensured in the context of its implementation. </w:t>
      </w:r>
    </w:p>
    <w:p w14:paraId="284DFEE6" w14:textId="77777777"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In the implementation of disaster prevention (pre-disaster), practice in the field is still not inclusive. This is illustrated by the following conditions: </w:t>
      </w:r>
    </w:p>
    <w:p w14:paraId="53388A21" w14:textId="29B85A89"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lastRenderedPageBreak/>
        <w:t>Access to disaster information is not evenly distributed and easily accessed by persons with disabilities and does not pay attention to the needs of all types of disabilities;</w:t>
      </w:r>
    </w:p>
    <w:p w14:paraId="3B180641" w14:textId="2075FA96"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Access to capacity building for persons with disabilities in disaster is still minimal, training is still mostly for non-disabled persons;</w:t>
      </w:r>
    </w:p>
    <w:p w14:paraId="23B4C587" w14:textId="691B1B8A"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Safety signs still do not accommodate all types of disabilities. For deaf people and blind people it is almost nonexistent;</w:t>
      </w:r>
    </w:p>
    <w:p w14:paraId="690AA4AE" w14:textId="42792C76"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There is a low involvement of persons with disabilities in making Disaster Risk Maps and preparing other documents such as Disaster Management Plans, Contingency Plans, Disaster Emergency </w:t>
      </w:r>
      <w:r w:rsidR="002D4AE9" w:rsidRPr="00B158EC">
        <w:rPr>
          <w:rFonts w:ascii="Arial" w:eastAsia="Arial" w:hAnsi="Arial" w:cs="Arial"/>
          <w:color w:val="000000" w:themeColor="text1"/>
          <w:sz w:val="24"/>
          <w:szCs w:val="24"/>
        </w:rPr>
        <w:t xml:space="preserve">(Evacuation) </w:t>
      </w:r>
      <w:r w:rsidRPr="00B158EC">
        <w:rPr>
          <w:rFonts w:ascii="Arial" w:eastAsia="Arial" w:hAnsi="Arial" w:cs="Arial"/>
          <w:color w:val="000000" w:themeColor="text1"/>
          <w:sz w:val="24"/>
          <w:szCs w:val="24"/>
        </w:rPr>
        <w:t xml:space="preserve">Management Plans, etc. However, there has been involvement of persons with disabilities in preparing disaster documents, such as in Kepuharjo </w:t>
      </w:r>
      <w:r w:rsidR="004B6450" w:rsidRPr="00B158EC">
        <w:rPr>
          <w:rFonts w:ascii="Arial" w:eastAsia="Arial" w:hAnsi="Arial" w:cs="Arial"/>
          <w:color w:val="000000" w:themeColor="text1"/>
          <w:sz w:val="24"/>
          <w:szCs w:val="24"/>
        </w:rPr>
        <w:t>Village</w:t>
      </w:r>
      <w:r w:rsidRPr="00B158EC">
        <w:rPr>
          <w:rFonts w:ascii="Arial" w:eastAsia="Arial" w:hAnsi="Arial" w:cs="Arial"/>
          <w:color w:val="000000" w:themeColor="text1"/>
          <w:sz w:val="24"/>
          <w:szCs w:val="24"/>
        </w:rPr>
        <w:t xml:space="preserve">, Glagaharjo </w:t>
      </w:r>
      <w:r w:rsidR="004B6450" w:rsidRPr="00B158EC">
        <w:rPr>
          <w:rFonts w:ascii="Arial" w:eastAsia="Arial" w:hAnsi="Arial" w:cs="Arial"/>
          <w:color w:val="000000" w:themeColor="text1"/>
          <w:sz w:val="24"/>
          <w:szCs w:val="24"/>
        </w:rPr>
        <w:t>Village</w:t>
      </w:r>
      <w:r w:rsidRPr="00B158EC">
        <w:rPr>
          <w:rFonts w:ascii="Arial" w:eastAsia="Arial" w:hAnsi="Arial" w:cs="Arial"/>
          <w:color w:val="000000" w:themeColor="text1"/>
          <w:sz w:val="24"/>
          <w:szCs w:val="24"/>
        </w:rPr>
        <w:t xml:space="preserve">, and Wukirsari </w:t>
      </w:r>
      <w:r w:rsidR="004B6450" w:rsidRPr="00B158EC">
        <w:rPr>
          <w:rFonts w:ascii="Arial" w:eastAsia="Arial" w:hAnsi="Arial" w:cs="Arial"/>
          <w:color w:val="000000" w:themeColor="text1"/>
          <w:sz w:val="24"/>
          <w:szCs w:val="24"/>
        </w:rPr>
        <w:t xml:space="preserve">Village </w:t>
      </w:r>
      <w:r w:rsidRPr="00B158EC">
        <w:rPr>
          <w:rFonts w:ascii="Arial" w:eastAsia="Arial" w:hAnsi="Arial" w:cs="Arial"/>
          <w:color w:val="000000" w:themeColor="text1"/>
          <w:sz w:val="24"/>
          <w:szCs w:val="24"/>
        </w:rPr>
        <w:t>in Cangkringan</w:t>
      </w:r>
      <w:r w:rsidR="004B6450" w:rsidRPr="00B158EC">
        <w:rPr>
          <w:rFonts w:ascii="Arial" w:eastAsia="Arial" w:hAnsi="Arial" w:cs="Arial"/>
          <w:color w:val="000000" w:themeColor="text1"/>
          <w:sz w:val="24"/>
          <w:szCs w:val="24"/>
        </w:rPr>
        <w:t xml:space="preserve"> Sub-District</w:t>
      </w:r>
      <w:r w:rsidRPr="00B158EC">
        <w:rPr>
          <w:rFonts w:ascii="Arial" w:eastAsia="Arial" w:hAnsi="Arial" w:cs="Arial"/>
          <w:color w:val="000000" w:themeColor="text1"/>
          <w:sz w:val="24"/>
          <w:szCs w:val="24"/>
        </w:rPr>
        <w:t>, Sleman Regency</w:t>
      </w:r>
      <w:r w:rsidR="004B6450" w:rsidRPr="00B158EC">
        <w:rPr>
          <w:rFonts w:ascii="Arial" w:eastAsia="Arial" w:hAnsi="Arial" w:cs="Arial"/>
          <w:color w:val="000000" w:themeColor="text1"/>
          <w:sz w:val="24"/>
          <w:szCs w:val="24"/>
        </w:rPr>
        <w:t xml:space="preserve"> (province of Yogyakarta Special Region)</w:t>
      </w:r>
      <w:r w:rsidRPr="00B158EC">
        <w:rPr>
          <w:rFonts w:ascii="Arial" w:eastAsia="Arial" w:hAnsi="Arial" w:cs="Arial"/>
          <w:color w:val="000000" w:themeColor="text1"/>
          <w:sz w:val="24"/>
          <w:szCs w:val="24"/>
        </w:rPr>
        <w:t>, and several areas in Klaten</w:t>
      </w:r>
      <w:r w:rsidR="004B6450" w:rsidRPr="00B158EC">
        <w:rPr>
          <w:rFonts w:ascii="Arial" w:eastAsia="Arial" w:hAnsi="Arial" w:cs="Arial"/>
          <w:color w:val="000000" w:themeColor="text1"/>
          <w:sz w:val="24"/>
          <w:szCs w:val="24"/>
        </w:rPr>
        <w:t xml:space="preserve"> Regency (province of Central Java)</w:t>
      </w:r>
      <w:r w:rsidRPr="00B158EC">
        <w:rPr>
          <w:rFonts w:ascii="Arial" w:eastAsia="Arial" w:hAnsi="Arial" w:cs="Arial"/>
          <w:color w:val="000000" w:themeColor="text1"/>
          <w:sz w:val="24"/>
          <w:szCs w:val="24"/>
        </w:rPr>
        <w:t>;</w:t>
      </w:r>
    </w:p>
    <w:p w14:paraId="585CA2D7" w14:textId="2241D65C"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There are inadequate safety tools available that suit persons with disabilities in all their diversity;</w:t>
      </w:r>
    </w:p>
    <w:p w14:paraId="74E00711" w14:textId="77777777"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DRR activists still do not know how to interact with persons with disabilities, and;</w:t>
      </w:r>
    </w:p>
    <w:p w14:paraId="517C05C5" w14:textId="52C94610" w:rsidR="00ED2BF6" w:rsidRPr="00B158EC" w:rsidRDefault="00000000">
      <w:pPr>
        <w:numPr>
          <w:ilvl w:val="0"/>
          <w:numId w:val="6"/>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Government and public buildings have not made safety briefings on DRR a standard/SOP, especially for persons with disabilities, including accessible building structures.</w:t>
      </w:r>
    </w:p>
    <w:p w14:paraId="1DF6344E" w14:textId="77777777"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In the event of a disaster (emergency response), in practice there is still no inclusion. Conditions that often occur are as follows:</w:t>
      </w:r>
    </w:p>
    <w:p w14:paraId="094150BB" w14:textId="691BC04D" w:rsidR="00ED2BF6" w:rsidRPr="00B158EC" w:rsidRDefault="00000000">
      <w:pPr>
        <w:numPr>
          <w:ilvl w:val="0"/>
          <w:numId w:val="2"/>
        </w:numP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rescuers do not understand how to interact with persons with disabilities covering all the range of disability constituencies including their self-rescue techniques; in practice, they use some methods that are not in accordance with  the rights of persons with disabilities, such as violence and coercion.</w:t>
      </w:r>
    </w:p>
    <w:p w14:paraId="29C2D8D9" w14:textId="68AD4873" w:rsidR="00ED2BF6" w:rsidRPr="00B158EC" w:rsidRDefault="00000000">
      <w:pPr>
        <w:numPr>
          <w:ilvl w:val="0"/>
          <w:numId w:val="2"/>
        </w:numP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Disaster emergency management still does not meet the needs of survivors with disabilities, such as ensuring accessible shelter, types of emergency assistance, and support for basic needs of persons with disabilities. </w:t>
      </w:r>
    </w:p>
    <w:p w14:paraId="3305B82D" w14:textId="4E25C0EB" w:rsidR="00ED2BF6" w:rsidRPr="00B158EC" w:rsidRDefault="00000000">
      <w:pPr>
        <w:numPr>
          <w:ilvl w:val="0"/>
          <w:numId w:val="2"/>
        </w:numP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Inadequacy of data, especially disability disaggregated data, at the lowest level of government structure, such as villages, regarding the management of data of persons with disabilities</w:t>
      </w:r>
      <w:r w:rsidR="005975BF" w:rsidRPr="00B158EC">
        <w:rPr>
          <w:rFonts w:ascii="Arial" w:eastAsia="Arial" w:hAnsi="Arial" w:cs="Arial"/>
          <w:color w:val="000000" w:themeColor="text1"/>
          <w:sz w:val="24"/>
          <w:szCs w:val="24"/>
        </w:rPr>
        <w:t xml:space="preserve"> </w:t>
      </w:r>
      <w:r w:rsidRPr="00B158EC">
        <w:rPr>
          <w:rFonts w:ascii="Arial" w:eastAsia="Arial" w:hAnsi="Arial" w:cs="Arial"/>
          <w:color w:val="000000" w:themeColor="text1"/>
          <w:sz w:val="24"/>
          <w:szCs w:val="24"/>
        </w:rPr>
        <w:t>by name and address. For example, during the Cianjur earthquake in 2022, the CAI Institute on D+6 (6 days after earthquake/disaster) confirmed data on survivors with disabilities to the Emergency Response Command Post, the Women, Children, and Disability Cluster Post and the Health Cluster Post, and all of them stated that it was not available.</w:t>
      </w:r>
    </w:p>
    <w:p w14:paraId="7D776ACA" w14:textId="05E8BD61" w:rsidR="00ED2BF6" w:rsidRPr="00B158EC" w:rsidRDefault="00000000">
      <w:pPr>
        <w:numPr>
          <w:ilvl w:val="0"/>
          <w:numId w:val="2"/>
        </w:numP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lastRenderedPageBreak/>
        <w:t>Persons with disabilities survivor groups are often positioned as parties who must be helped (charity perspective), not as people who have the ability to carry out rescues independently.</w:t>
      </w:r>
    </w:p>
    <w:p w14:paraId="6948BC6B" w14:textId="793A6F26" w:rsidR="00ED2BF6" w:rsidRPr="00B158EC" w:rsidRDefault="00000000">
      <w:pPr>
        <w:numPr>
          <w:ilvl w:val="0"/>
          <w:numId w:val="2"/>
        </w:numP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There is no mechanism for providing assistance based on the diversity of needs s during disaster situation, such as ensuring accessible access and distribution of food aid. </w:t>
      </w:r>
    </w:p>
    <w:p w14:paraId="26714A96" w14:textId="77777777"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In addition, at the post-disaster level, in practice it is also not fully inclusive, for the following reasons: </w:t>
      </w:r>
    </w:p>
    <w:p w14:paraId="63471DAE" w14:textId="51C7048F" w:rsidR="00ED2BF6" w:rsidRPr="00B158EC" w:rsidRDefault="00000000">
      <w:pPr>
        <w:numPr>
          <w:ilvl w:val="0"/>
          <w:numId w:val="5"/>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Relevant leading sectors tasked with carrying out rehabilitation and reconstruction support often do not pay attention to the rights and needs of survivors with disabilities, for example: offering inaccessible housing, family kit support that does not match the needs of persons with disabilities, etc.</w:t>
      </w:r>
    </w:p>
    <w:p w14:paraId="3A4A771A" w14:textId="6212BB1D" w:rsidR="00ED2BF6" w:rsidRPr="00B158EC" w:rsidRDefault="00000000">
      <w:pPr>
        <w:numPr>
          <w:ilvl w:val="0"/>
          <w:numId w:val="5"/>
        </w:numPr>
        <w:pBdr>
          <w:top w:val="nil"/>
          <w:left w:val="nil"/>
          <w:bottom w:val="nil"/>
          <w:right w:val="nil"/>
          <w:between w:val="nil"/>
        </w:pBdr>
        <w:spacing w:after="120" w:line="240" w:lineRule="auto"/>
        <w:jc w:val="both"/>
        <w:rPr>
          <w:rFonts w:ascii="Arial" w:hAnsi="Arial" w:cs="Arial"/>
          <w:color w:val="000000" w:themeColor="text1"/>
          <w:sz w:val="24"/>
          <w:szCs w:val="24"/>
        </w:rPr>
      </w:pPr>
      <w:r w:rsidRPr="00B158EC">
        <w:rPr>
          <w:rFonts w:ascii="Arial" w:eastAsia="Arial" w:hAnsi="Arial" w:cs="Arial"/>
          <w:color w:val="000000" w:themeColor="text1"/>
          <w:sz w:val="24"/>
          <w:szCs w:val="24"/>
        </w:rPr>
        <w:t>Survivors with disabilities are often excluded from planning rehabilitation and reconstruction programs, in that persons with disabilities do not get priority in restoring their livelihoods after a disaster and general policies prioritise and are catered to people without disabilities.</w:t>
      </w:r>
    </w:p>
    <w:p w14:paraId="55C7E095" w14:textId="76888534"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In Central Java, there was an initiation for the formation of a Disability Service Unit for Disaster Management (ULD-PB) at the National Board for Disaster Management at Provincial and District levels. In Klaten District, ULD-PB was formed in 2017. The volunteers were persons with disabilities and non-disabled people. ULD-PB carries out capacity building on DRR such as training for certified DRR facilitators. As a follow-up to the training, the trained ULD-PB volunteers carried out DRR socialization to special needs schools with materials such as; hazard mapping of earthquake, flood, and wind disaster. And ULD-PB encourages these activities to become part of the extracurricular activities at the special needs schools.</w:t>
      </w:r>
    </w:p>
    <w:p w14:paraId="6FFFA08C" w14:textId="1A5EA1B8"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Yogyakarta already has Disaster Alert for the Disabled team (DIFAGANA) initiated by the Social Service whose volunteers are taken from 5 districts/cities and receive the Capacity Building program. However, the obstacles faced include that DIFAGANA has not been disseminated to all people with disabilities so that disaster management skills cannot be transferred to other residents/persons with disabilities. At first DIFAGANA was formed to fill the void in disability perspective and involvement in the TAGANA Organization, but in reality DIFAGANA has not been able to mainstream disability in disaster management.</w:t>
      </w:r>
    </w:p>
    <w:p w14:paraId="3CBF14B1" w14:textId="23257404"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Government of Indonesia also formed the Disaster Resilient Village (DESTANA), which consists of volunteer members from elements of hamlet heads, youth, Family Welfare Development (PKK), etc.; not all DESTANA are inclusive; in Sukoharjo, they finally made DESTANA Inclusion, initiated by the National Board for Disaster Management. Some regions require participants who are persons with disabilities.</w:t>
      </w:r>
    </w:p>
    <w:p w14:paraId="0989B1A1" w14:textId="6EE07B91"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Through the Ministry of Education and Culture, the Government of Indonesia has also integrated disaster education, including for persons with disabilities, in the Scouting Education curriculum at schools. This was initiated by a number of organizations of persons with disabilities at lower levels and was later adopted as a national policy. However, the challenge is that development is still needed on how to operationalize </w:t>
      </w:r>
      <w:r w:rsidRPr="00B158EC">
        <w:rPr>
          <w:rFonts w:ascii="Arial" w:eastAsia="Arial" w:hAnsi="Arial" w:cs="Arial"/>
          <w:color w:val="000000" w:themeColor="text1"/>
          <w:sz w:val="24"/>
          <w:szCs w:val="24"/>
        </w:rPr>
        <w:lastRenderedPageBreak/>
        <w:t xml:space="preserve">the curriculum and it is necessary to ensure that the rights of persons with disabilities in disaster situations are truly understood by teachers, assistants and students. </w:t>
      </w:r>
    </w:p>
    <w:p w14:paraId="0270337A" w14:textId="77777777" w:rsidR="00ED2BF6" w:rsidRPr="00B158EC" w:rsidRDefault="00ED2BF6">
      <w:pPr>
        <w:pBdr>
          <w:top w:val="nil"/>
          <w:left w:val="nil"/>
          <w:bottom w:val="nil"/>
          <w:right w:val="nil"/>
          <w:between w:val="nil"/>
        </w:pBdr>
        <w:spacing w:after="120" w:line="240" w:lineRule="auto"/>
        <w:jc w:val="both"/>
        <w:rPr>
          <w:rFonts w:ascii="Arial" w:eastAsia="Arial" w:hAnsi="Arial" w:cs="Arial"/>
          <w:color w:val="000000" w:themeColor="text1"/>
          <w:sz w:val="24"/>
          <w:szCs w:val="24"/>
        </w:rPr>
      </w:pPr>
    </w:p>
    <w:p w14:paraId="25737576" w14:textId="2A0DAA38" w:rsidR="00ED2BF6" w:rsidRPr="00B158EC" w:rsidRDefault="00000000" w:rsidP="00F7305F">
      <w:pPr>
        <w:pStyle w:val="Heading1"/>
        <w:numPr>
          <w:ilvl w:val="0"/>
          <w:numId w:val="9"/>
        </w:numPr>
        <w:ind w:left="360"/>
        <w:rPr>
          <w:rFonts w:ascii="Arial" w:hAnsi="Arial" w:cs="Arial"/>
          <w:b/>
          <w:bCs/>
          <w:color w:val="000000" w:themeColor="text1"/>
        </w:rPr>
      </w:pPr>
      <w:bookmarkStart w:id="2" w:name="_Toc127224661"/>
      <w:r w:rsidRPr="00B158EC">
        <w:rPr>
          <w:rFonts w:ascii="Arial" w:hAnsi="Arial" w:cs="Arial"/>
          <w:b/>
          <w:bCs/>
          <w:color w:val="000000" w:themeColor="text1"/>
        </w:rPr>
        <w:t>Obstacles faced by the persons with disabilities</w:t>
      </w:r>
      <w:bookmarkEnd w:id="2"/>
      <w:r w:rsidRPr="00B158EC">
        <w:rPr>
          <w:rFonts w:ascii="Arial" w:hAnsi="Arial" w:cs="Arial"/>
          <w:b/>
          <w:bCs/>
          <w:color w:val="000000" w:themeColor="text1"/>
        </w:rPr>
        <w:t xml:space="preserve"> </w:t>
      </w:r>
    </w:p>
    <w:p w14:paraId="596DF4CD" w14:textId="77777777" w:rsidR="00ED2BF6" w:rsidRPr="00B158EC" w:rsidRDefault="00000000">
      <w:pPr>
        <w:spacing w:after="120" w:line="240" w:lineRule="auto"/>
        <w:ind w:left="426" w:hanging="426"/>
        <w:jc w:val="both"/>
        <w:rPr>
          <w:rFonts w:ascii="Arial" w:eastAsia="Arial" w:hAnsi="Arial" w:cs="Arial"/>
          <w:b/>
          <w:color w:val="000000" w:themeColor="text1"/>
          <w:sz w:val="24"/>
          <w:szCs w:val="24"/>
        </w:rPr>
      </w:pPr>
      <w:r w:rsidRPr="00B158EC">
        <w:rPr>
          <w:rFonts w:ascii="Arial" w:eastAsia="Arial" w:hAnsi="Arial" w:cs="Arial"/>
          <w:b/>
          <w:color w:val="000000" w:themeColor="text1"/>
          <w:sz w:val="24"/>
          <w:szCs w:val="24"/>
        </w:rPr>
        <w:t>General Obstacles</w:t>
      </w:r>
    </w:p>
    <w:p w14:paraId="6A555182" w14:textId="20C0118C"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In general, the absence of disaggregated data by name and address is one of the biggest obstacle in ensuring the protection of persons with disabilities in disaster and humanitarian emergency situations, both data in disaster-prone areas/humanitarian emergencies, as well as data on the increase in the number of disabled people after a disaster. Data collection still does not provide information about victims (of disaster or humanitarian situation) who are people with disabilities and those who are not. Initiatives for data collection have been carried out, such as after the earthquake in Palu, Central Sulawesi, but were not followed up.</w:t>
      </w:r>
    </w:p>
    <w:p w14:paraId="6624DDC9" w14:textId="7F9C8C1C"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national data collection platform owned by the Government, namely the Integrated Social Welfare Data (DTKS), does not include disaggregation by disability nor does it gather information on barriers that persons with disabilities face. This has resulted in the absence of policy priorities for ensuring assistive devices, inclusive evacuation processes, and post-disaster/emergency humanitarian recovery for persons with disabilities. In addition, the necessary evacuation tools/safety tools are inadequate. The lack of understanding and knowledge of data collectors/assessors about persons with disabilities is also the</w:t>
      </w:r>
      <w:r w:rsidR="0058054D" w:rsidRPr="00B158EC">
        <w:rPr>
          <w:rFonts w:ascii="Arial" w:eastAsia="Arial" w:hAnsi="Arial" w:cs="Arial"/>
          <w:color w:val="000000" w:themeColor="text1"/>
          <w:sz w:val="24"/>
          <w:szCs w:val="24"/>
        </w:rPr>
        <w:t xml:space="preserve"> r</w:t>
      </w:r>
      <w:r w:rsidRPr="00B158EC">
        <w:rPr>
          <w:rFonts w:ascii="Arial" w:eastAsia="Arial" w:hAnsi="Arial" w:cs="Arial"/>
          <w:color w:val="000000" w:themeColor="text1"/>
          <w:sz w:val="24"/>
          <w:szCs w:val="24"/>
        </w:rPr>
        <w:t>eason for the difficulty of collecting data at the village level.</w:t>
      </w:r>
    </w:p>
    <w:p w14:paraId="2F5D6800" w14:textId="77777777"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10-year Census and 5-year National Socioeconomic Survey have integrated the Washington Group Question on Disability. However, each agency has its own data and has not been compiled nationally and a single identity policy has yet to materialize, including for persons with disabilities. Data at the Population and Civil Registration Service at the lowest level is also not updated, only recorded once every 10 years or even for a lifetime. This has an impact on the disability situation which sometimes changes, and the inability to accurately identify vulnerabilities and potential disasters. This resulted in the mapping of disaster risk that could not be raised.</w:t>
      </w:r>
    </w:p>
    <w:p w14:paraId="2D6B84C5" w14:textId="4E928D46"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Data in evacuation sites is not yet systematic, there is no disaggregated data, about victims with disabilities and without, so that facilities and services are often inappropriate and not accessible for various groups of people with disabilities, such as evacuation sites, toilets, etc. The same thing also happened in the locations of disaster-prone villages and</w:t>
      </w:r>
      <w:r w:rsidR="00E71F07">
        <w:rPr>
          <w:rFonts w:ascii="Arial" w:eastAsia="Arial" w:hAnsi="Arial" w:cs="Arial"/>
          <w:color w:val="000000" w:themeColor="text1"/>
          <w:sz w:val="24"/>
          <w:szCs w:val="24"/>
        </w:rPr>
        <w:t xml:space="preserve"> IDPs</w:t>
      </w:r>
      <w:r w:rsidRPr="00B158EC">
        <w:rPr>
          <w:rFonts w:ascii="Arial" w:eastAsia="Arial" w:hAnsi="Arial" w:cs="Arial"/>
          <w:color w:val="000000" w:themeColor="text1"/>
          <w:sz w:val="24"/>
          <w:szCs w:val="24"/>
        </w:rPr>
        <w:t xml:space="preserve"> villages (called Sister Villages), when a disaster occurs, persons with disabilities who are evacuated to the nearest safe villages do not get accessible housing/dwelling.</w:t>
      </w:r>
    </w:p>
    <w:p w14:paraId="10D138F5" w14:textId="284E8462"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There are no easy and widespread guidelines and sources of information related to disaster mitigation and disaster management that are inclusive for volunteers. Similarly, there are no comprehensive guidelines related to resilience and the resilience of persons with disabilities during disaster situations.</w:t>
      </w:r>
    </w:p>
    <w:p w14:paraId="4582DC1B" w14:textId="226EB6A8"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lastRenderedPageBreak/>
        <w:t xml:space="preserve">Early warning information is not yet fully accessible to all persons with disabilities in disaster-prone areas; assurance of information and follow-up of information, for example, information from persons with disabilities from disaster locations can be provided to volunteers who can indeed provide a quick response. However, because it is not done, there is no quick response that can be done when a disaster occurs. </w:t>
      </w:r>
    </w:p>
    <w:p w14:paraId="4842CE20" w14:textId="0C621A89"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technology used in disaster is actually not known/accessed/accessible to/understood by persons with disabilities. In a number of areas, this initiative was carried out by creating applications that provide access for a variety of people disabilities, but this was not fully implemented at the level of disaster-prone areas or nationally.</w:t>
      </w:r>
    </w:p>
    <w:p w14:paraId="45EA850E" w14:textId="19F608FD"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There is no post-disaster recovery (rehabilitation and reconstruction) based on a variety of disabilities. In the process of returning from the shelter to their homes, there has been no attempt to return persons with disabilities systematically after the disaster according to the rights and needs of this diverse group. Trauma recovery for the disability community is also not complete. So far, recovery has only been limited to providing basic necessities, without any psychosocial intervention. </w:t>
      </w:r>
    </w:p>
    <w:p w14:paraId="50FF4559" w14:textId="0EC38A1C" w:rsidR="00ED2BF6" w:rsidRPr="00B158EC" w:rsidRDefault="00000000">
      <w:pPr>
        <w:pBdr>
          <w:top w:val="nil"/>
          <w:left w:val="nil"/>
          <w:bottom w:val="nil"/>
          <w:right w:val="nil"/>
          <w:between w:val="nil"/>
        </w:pBdr>
        <w:spacing w:after="120" w:line="240" w:lineRule="auto"/>
        <w:jc w:val="both"/>
        <w:rPr>
          <w:rFonts w:ascii="Arial" w:eastAsia="Arial" w:hAnsi="Arial" w:cs="Arial"/>
          <w:b/>
          <w:i/>
          <w:color w:val="000000" w:themeColor="text1"/>
          <w:sz w:val="24"/>
          <w:szCs w:val="24"/>
        </w:rPr>
      </w:pPr>
      <w:r w:rsidRPr="00B158EC">
        <w:rPr>
          <w:rFonts w:ascii="Arial" w:eastAsia="Arial" w:hAnsi="Arial" w:cs="Arial"/>
          <w:b/>
          <w:i/>
          <w:color w:val="000000" w:themeColor="text1"/>
          <w:sz w:val="24"/>
          <w:szCs w:val="24"/>
        </w:rPr>
        <w:t>Women, children, and older persons with disabilities</w:t>
      </w:r>
    </w:p>
    <w:p w14:paraId="6C144A4F" w14:textId="1207B139"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lack of access to information about the women, children and older persons with disabil</w:t>
      </w:r>
      <w:r w:rsidR="00CF3C2D" w:rsidRPr="00B158EC">
        <w:rPr>
          <w:rFonts w:ascii="Arial" w:eastAsia="Arial" w:hAnsi="Arial" w:cs="Arial"/>
          <w:color w:val="000000" w:themeColor="text1"/>
          <w:sz w:val="24"/>
          <w:szCs w:val="24"/>
        </w:rPr>
        <w:t>iti</w:t>
      </w:r>
      <w:r w:rsidRPr="00B158EC">
        <w:rPr>
          <w:rFonts w:ascii="Arial" w:eastAsia="Arial" w:hAnsi="Arial" w:cs="Arial"/>
          <w:color w:val="000000" w:themeColor="text1"/>
          <w:sz w:val="24"/>
          <w:szCs w:val="24"/>
        </w:rPr>
        <w:t>es, their lack of involvement in training or strengthening programs on disaster mitigation and the lack of budgeting in disability management means that the specific needs of a variety of persons with disabilities are often not accommodated.</w:t>
      </w:r>
    </w:p>
    <w:p w14:paraId="6173B6E0" w14:textId="5F70ACFB"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In practice, the evacuation of persons with disabilities is left to the family, especially those with </w:t>
      </w:r>
      <w:r w:rsidR="001515DB" w:rsidRPr="00B158EC">
        <w:rPr>
          <w:rFonts w:ascii="Arial" w:eastAsia="Arial" w:hAnsi="Arial" w:cs="Arial"/>
          <w:color w:val="000000" w:themeColor="text1"/>
          <w:sz w:val="24"/>
          <w:szCs w:val="24"/>
        </w:rPr>
        <w:t>persons with psychosocial disabilities or persons with intellectual disabilities</w:t>
      </w:r>
      <w:r w:rsidR="00C20085" w:rsidRPr="00B158EC">
        <w:rPr>
          <w:rFonts w:ascii="Arial" w:eastAsia="Arial" w:hAnsi="Arial" w:cs="Arial"/>
          <w:color w:val="000000" w:themeColor="text1"/>
          <w:sz w:val="24"/>
          <w:szCs w:val="24"/>
        </w:rPr>
        <w:t xml:space="preserve"> </w:t>
      </w:r>
      <w:r w:rsidRPr="00B158EC">
        <w:rPr>
          <w:rFonts w:ascii="Arial" w:eastAsia="Arial" w:hAnsi="Arial" w:cs="Arial"/>
          <w:color w:val="000000" w:themeColor="text1"/>
          <w:sz w:val="24"/>
          <w:szCs w:val="24"/>
        </w:rPr>
        <w:t xml:space="preserve">and high support needs. The reason is due to ignorance of the procedures and procedures for meeting their needs when they are in shelters or </w:t>
      </w:r>
      <w:r w:rsidR="004F786E">
        <w:rPr>
          <w:rFonts w:ascii="Arial" w:eastAsia="Arial" w:hAnsi="Arial" w:cs="Arial"/>
          <w:color w:val="000000" w:themeColor="text1"/>
          <w:sz w:val="24"/>
          <w:szCs w:val="24"/>
        </w:rPr>
        <w:t>IDPs</w:t>
      </w:r>
      <w:r w:rsidRPr="00B158EC">
        <w:rPr>
          <w:rFonts w:ascii="Arial" w:eastAsia="Arial" w:hAnsi="Arial" w:cs="Arial"/>
          <w:color w:val="000000" w:themeColor="text1"/>
          <w:sz w:val="24"/>
          <w:szCs w:val="24"/>
        </w:rPr>
        <w:t xml:space="preserve"> camps, as well as the lack of adequate and accessible accommodation for them. Another obstacle is that families also often do not pay attention to persons with disabilities, especially children, women and older persons with disabilities in disaster situations, such as their basic needs that must be provided for them.</w:t>
      </w:r>
    </w:p>
    <w:p w14:paraId="2F3BAB15" w14:textId="77777777"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Access to security and protection for women with disabilities during the emergency response, such as special facilities and infrastructure, is still lacking, making them vulnerable to physical violence and sexual violence due to a lack of facilities and infrastructure in evacuation sites or shelters.</w:t>
      </w:r>
    </w:p>
    <w:p w14:paraId="1F1F1A33" w14:textId="676CE2A7"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Access to health (providing facilities for examination, sanitation, assistive devices, special medicines) is also inadequate in </w:t>
      </w:r>
      <w:r w:rsidR="004F786E">
        <w:rPr>
          <w:rFonts w:ascii="Arial" w:eastAsia="Arial" w:hAnsi="Arial" w:cs="Arial"/>
          <w:color w:val="000000" w:themeColor="text1"/>
          <w:sz w:val="24"/>
          <w:szCs w:val="24"/>
        </w:rPr>
        <w:t>IDPs</w:t>
      </w:r>
      <w:r w:rsidRPr="00B158EC">
        <w:rPr>
          <w:rFonts w:ascii="Arial" w:eastAsia="Arial" w:hAnsi="Arial" w:cs="Arial"/>
          <w:color w:val="000000" w:themeColor="text1"/>
          <w:sz w:val="24"/>
          <w:szCs w:val="24"/>
        </w:rPr>
        <w:t xml:space="preserve"> camps or shelters. Several facilities are still not accessible to, nor inclusive of persons with disabilities making it increasingly difficult to access medicines or routine therapy for children with cerebral palsy and intellectual disabilities.</w:t>
      </w:r>
    </w:p>
    <w:p w14:paraId="073CDAA4" w14:textId="6871922F"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Access to food is still equalized with </w:t>
      </w:r>
      <w:r w:rsidR="00F2432A">
        <w:rPr>
          <w:rFonts w:ascii="Arial" w:eastAsia="Arial" w:hAnsi="Arial" w:cs="Arial"/>
          <w:color w:val="000000" w:themeColor="text1"/>
          <w:sz w:val="24"/>
          <w:szCs w:val="24"/>
        </w:rPr>
        <w:t xml:space="preserve">IDPs </w:t>
      </w:r>
      <w:r w:rsidRPr="00B158EC">
        <w:rPr>
          <w:rFonts w:ascii="Arial" w:eastAsia="Arial" w:hAnsi="Arial" w:cs="Arial"/>
          <w:color w:val="000000" w:themeColor="text1"/>
          <w:sz w:val="24"/>
          <w:szCs w:val="24"/>
        </w:rPr>
        <w:t>in general, access to food is not accessible to nor inclusive of people with disabilities.</w:t>
      </w:r>
    </w:p>
    <w:p w14:paraId="449C7D53" w14:textId="77F9A1A8"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Access to protection and fulfillment of the rights of persons with disabilities: accessibility and accommodations have not been fully met, for example bathrooms in </w:t>
      </w:r>
      <w:r w:rsidR="00B15B9B">
        <w:rPr>
          <w:rFonts w:ascii="Arial" w:eastAsia="Arial" w:hAnsi="Arial" w:cs="Arial"/>
          <w:color w:val="000000" w:themeColor="text1"/>
          <w:sz w:val="24"/>
          <w:szCs w:val="24"/>
        </w:rPr>
        <w:lastRenderedPageBreak/>
        <w:t xml:space="preserve">IDPs </w:t>
      </w:r>
      <w:r w:rsidRPr="00B158EC">
        <w:rPr>
          <w:rFonts w:ascii="Arial" w:eastAsia="Arial" w:hAnsi="Arial" w:cs="Arial"/>
          <w:color w:val="000000" w:themeColor="text1"/>
          <w:sz w:val="24"/>
          <w:szCs w:val="24"/>
        </w:rPr>
        <w:t>camps or other facilities that are inadequate and not accessible for women, children and the older persons with disabilities.</w:t>
      </w:r>
    </w:p>
    <w:p w14:paraId="4280B863" w14:textId="12BBFE14"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Access to education for children with disabilities in inclusive schools is impeded. For example, during the eruption of Mount Merapi, children who fled to nearby villages (sister villages) had to attend schools (buffers) which were not fully accessible to them.</w:t>
      </w:r>
    </w:p>
    <w:p w14:paraId="5F2E82A2" w14:textId="3960F205"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The lack of capacity building and knowledge programmes for volunteers, especially related to the rights of women, children, and older persons with disabilities.</w:t>
      </w:r>
    </w:p>
    <w:p w14:paraId="1656646F" w14:textId="12C289F1"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Procedures for health services, security and disaster emergency response are not fully aware of the rights nor do they fully understand the needs or pay attention to children with disabilities, such as their fear and sensitivity to sounds of ambulance sirens, the use of uniforms when handling, etc. this has resulted in children being even further traumatized.</w:t>
      </w:r>
    </w:p>
    <w:p w14:paraId="0B57B92A" w14:textId="4C329CC5" w:rsidR="00ED2BF6" w:rsidRPr="00B158EC" w:rsidRDefault="00000000" w:rsidP="003121AD">
      <w:pPr>
        <w:pStyle w:val="Heading1"/>
        <w:numPr>
          <w:ilvl w:val="0"/>
          <w:numId w:val="9"/>
        </w:numPr>
        <w:ind w:left="360"/>
        <w:rPr>
          <w:rFonts w:ascii="Arial" w:hAnsi="Arial" w:cs="Arial"/>
          <w:b/>
          <w:bCs/>
          <w:color w:val="000000" w:themeColor="text1"/>
        </w:rPr>
      </w:pPr>
      <w:bookmarkStart w:id="3" w:name="_gjdgxs" w:colFirst="0" w:colLast="0"/>
      <w:bookmarkStart w:id="4" w:name="_Toc127224662"/>
      <w:bookmarkEnd w:id="3"/>
      <w:r w:rsidRPr="00B158EC">
        <w:rPr>
          <w:rFonts w:ascii="Arial" w:hAnsi="Arial" w:cs="Arial"/>
          <w:b/>
          <w:bCs/>
          <w:color w:val="000000" w:themeColor="text1"/>
        </w:rPr>
        <w:t>Participation of Persons with disabilities in Disaster Management</w:t>
      </w:r>
      <w:bookmarkEnd w:id="4"/>
      <w:r w:rsidRPr="00B158EC">
        <w:rPr>
          <w:rFonts w:ascii="Arial" w:hAnsi="Arial" w:cs="Arial"/>
          <w:b/>
          <w:bCs/>
          <w:color w:val="000000" w:themeColor="text1"/>
        </w:rPr>
        <w:t xml:space="preserve"> </w:t>
      </w:r>
    </w:p>
    <w:p w14:paraId="3F6734A2" w14:textId="4CB51093"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In general, persons with disabilities have been involved in a number of disaster management and humanitarian emergency programs, both at the central and regional levels. However, participation is not fully effective in promoting inclusive policies, programs and disaster management.</w:t>
      </w:r>
    </w:p>
    <w:p w14:paraId="755B036A" w14:textId="2FF871C8"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At the regional level, participation will be determined by the presence and groups of persons with disabilities in the area. In the event that the Regional Apparatus Organization) is organized and understands disaster issues, the region usually involves the organi</w:t>
      </w:r>
      <w:r w:rsidR="00B73475" w:rsidRPr="00B158EC">
        <w:rPr>
          <w:rFonts w:ascii="Arial" w:eastAsia="Arial" w:hAnsi="Arial" w:cs="Arial"/>
          <w:color w:val="000000" w:themeColor="text1"/>
          <w:sz w:val="24"/>
          <w:szCs w:val="24"/>
        </w:rPr>
        <w:t>z</w:t>
      </w:r>
      <w:r w:rsidRPr="00B158EC">
        <w:rPr>
          <w:rFonts w:ascii="Arial" w:eastAsia="Arial" w:hAnsi="Arial" w:cs="Arial"/>
          <w:color w:val="000000" w:themeColor="text1"/>
          <w:sz w:val="24"/>
          <w:szCs w:val="24"/>
        </w:rPr>
        <w:t>ations of persons with disabilities (OPD). However, there are many areas where OPD is not involved at all. The same thing happened in the countryside. In terms of budgeting, the involvement of persons with disabilities in Village Development Planning Meetings, including those regarding disaster planning, occurs when there is already a village disability group. In several areas, to encourage this participation, the Village makes Village Regulations and then includes aspects of participation in it.</w:t>
      </w:r>
    </w:p>
    <w:p w14:paraId="3F9EEE2C" w14:textId="019ACCC8"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The knowledge and ability of persons with disabilities to encourage inclusive policies and budgeting is still not optimal. Strengthening the capacity of persons with disabilities and the community related to the decision-making process and budget politics, at the lowest level to the national level is still not maximized, especially in conflict-prone areas. </w:t>
      </w:r>
    </w:p>
    <w:p w14:paraId="4F23E0C8" w14:textId="77777777" w:rsidR="00ED2BF6" w:rsidRPr="00B158EC" w:rsidRDefault="00000000">
      <w:pPr>
        <w:pStyle w:val="Heading2"/>
        <w:spacing w:before="0" w:after="120" w:line="240" w:lineRule="auto"/>
        <w:jc w:val="both"/>
        <w:rPr>
          <w:rFonts w:ascii="Arial" w:eastAsia="Arial" w:hAnsi="Arial" w:cs="Arial"/>
          <w:b/>
          <w:color w:val="000000" w:themeColor="text1"/>
          <w:sz w:val="24"/>
          <w:szCs w:val="24"/>
        </w:rPr>
      </w:pPr>
      <w:bookmarkStart w:id="5" w:name="_Toc127224663"/>
      <w:r w:rsidRPr="00B158EC">
        <w:rPr>
          <w:rFonts w:ascii="Arial" w:eastAsia="Arial" w:hAnsi="Arial" w:cs="Arial"/>
          <w:b/>
          <w:color w:val="000000" w:themeColor="text1"/>
          <w:sz w:val="24"/>
          <w:szCs w:val="24"/>
        </w:rPr>
        <w:t>Participation of Children and Women with Disabilities</w:t>
      </w:r>
      <w:bookmarkEnd w:id="5"/>
      <w:r w:rsidRPr="00B158EC">
        <w:rPr>
          <w:rFonts w:ascii="Arial" w:eastAsia="Arial" w:hAnsi="Arial" w:cs="Arial"/>
          <w:b/>
          <w:color w:val="000000" w:themeColor="text1"/>
          <w:sz w:val="24"/>
          <w:szCs w:val="24"/>
        </w:rPr>
        <w:t xml:space="preserve"> </w:t>
      </w:r>
    </w:p>
    <w:p w14:paraId="2E73277B" w14:textId="2AAEB9D3"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t>Children have not been much involved, both in decision-making and policy formulation, preparation of protocols and prevention mechanisms. The government needs to find methods and strategies for involving children's participation in disaster processes that are in accordance with the best interests of children, especially children with disabilities who require more support to express their views.</w:t>
      </w:r>
    </w:p>
    <w:p w14:paraId="12BE76D3" w14:textId="0C1B8ABB" w:rsidR="00ED2BF6" w:rsidRPr="00B158EC" w:rsidRDefault="00000000">
      <w:pPr>
        <w:numPr>
          <w:ilvl w:val="0"/>
          <w:numId w:val="1"/>
        </w:numPr>
        <w:pBdr>
          <w:top w:val="nil"/>
          <w:left w:val="nil"/>
          <w:bottom w:val="nil"/>
          <w:right w:val="nil"/>
          <w:between w:val="nil"/>
        </w:pBdr>
        <w:spacing w:after="120" w:line="240" w:lineRule="auto"/>
        <w:ind w:left="426" w:hanging="426"/>
        <w:jc w:val="both"/>
        <w:rPr>
          <w:rFonts w:ascii="Arial" w:hAnsi="Arial" w:cs="Arial"/>
          <w:color w:val="000000" w:themeColor="text1"/>
          <w:sz w:val="24"/>
          <w:szCs w:val="24"/>
        </w:rPr>
      </w:pPr>
      <w:r w:rsidRPr="00B158EC">
        <w:rPr>
          <w:rFonts w:ascii="Arial" w:eastAsia="Arial" w:hAnsi="Arial" w:cs="Arial"/>
          <w:color w:val="000000" w:themeColor="text1"/>
          <w:sz w:val="24"/>
          <w:szCs w:val="24"/>
        </w:rPr>
        <w:lastRenderedPageBreak/>
        <w:t xml:space="preserve">Women with disabilities have been involved in disaster programs, although not optimally. For example, in terms of prevention, response and recovery, very few women with disabilities have been exposed to or involved in these discussions and decision-making spaces. </w:t>
      </w:r>
    </w:p>
    <w:p w14:paraId="2FE127AA" w14:textId="17A5D3F5"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 xml:space="preserve">In practice, disaster management in the regions, such as in DIFAGANA and ULD-PB Disaster Management, have involved organizations of persons with disabilities and include women with disabilities. However, this practice is not evenly distributed in all regions and there is no systematic SOP or standard that must be followed. </w:t>
      </w:r>
    </w:p>
    <w:p w14:paraId="6BBB6246" w14:textId="0C28F76C" w:rsidR="00ED2BF6" w:rsidRPr="00B158EC" w:rsidRDefault="00000000">
      <w:pPr>
        <w:numPr>
          <w:ilvl w:val="0"/>
          <w:numId w:val="1"/>
        </w:numPr>
        <w:pBdr>
          <w:top w:val="nil"/>
          <w:left w:val="nil"/>
          <w:bottom w:val="nil"/>
          <w:right w:val="nil"/>
          <w:between w:val="nil"/>
        </w:pBdr>
        <w:spacing w:after="120" w:line="240" w:lineRule="auto"/>
        <w:ind w:left="360"/>
        <w:jc w:val="both"/>
        <w:rPr>
          <w:rFonts w:ascii="Arial" w:hAnsi="Arial" w:cs="Arial"/>
          <w:color w:val="000000" w:themeColor="text1"/>
          <w:sz w:val="24"/>
          <w:szCs w:val="24"/>
        </w:rPr>
      </w:pPr>
      <w:r w:rsidRPr="00B158EC">
        <w:rPr>
          <w:rFonts w:ascii="Arial" w:eastAsia="Arial" w:hAnsi="Arial" w:cs="Arial"/>
          <w:color w:val="000000" w:themeColor="text1"/>
          <w:sz w:val="24"/>
          <w:szCs w:val="24"/>
        </w:rPr>
        <w:t>Older persons do not yet participate in both decision-making and policy formulation, preparation of protocols and prevention mechanisms. Whereas during prevention/pre-disaster and recovery/post-disaster, they have the right to know</w:t>
      </w:r>
      <w:r w:rsidR="0005553B" w:rsidRPr="00B158EC">
        <w:rPr>
          <w:rFonts w:ascii="Arial" w:eastAsia="Arial" w:hAnsi="Arial" w:cs="Arial"/>
          <w:color w:val="000000" w:themeColor="text1"/>
          <w:sz w:val="24"/>
          <w:szCs w:val="24"/>
        </w:rPr>
        <w:t xml:space="preserve"> and what measures are taken to outreach to them</w:t>
      </w:r>
      <w:r w:rsidRPr="00B158EC">
        <w:rPr>
          <w:rFonts w:ascii="Arial" w:eastAsia="Arial" w:hAnsi="Arial" w:cs="Arial"/>
          <w:color w:val="000000" w:themeColor="text1"/>
          <w:sz w:val="24"/>
          <w:szCs w:val="24"/>
        </w:rPr>
        <w:t xml:space="preserve">. The goal is for older people with disabilities to anticipate and be better prepared to face disasters, at least for themselves. </w:t>
      </w:r>
    </w:p>
    <w:p w14:paraId="112ACFF2" w14:textId="77777777" w:rsidR="00ED2BF6" w:rsidRPr="00B158EC" w:rsidRDefault="00000000" w:rsidP="005400B0">
      <w:pPr>
        <w:pStyle w:val="Heading1"/>
        <w:numPr>
          <w:ilvl w:val="0"/>
          <w:numId w:val="9"/>
        </w:numPr>
        <w:ind w:left="360"/>
        <w:rPr>
          <w:rFonts w:ascii="Arial" w:hAnsi="Arial" w:cs="Arial"/>
          <w:b/>
          <w:bCs/>
          <w:color w:val="000000" w:themeColor="text1"/>
        </w:rPr>
      </w:pPr>
      <w:bookmarkStart w:id="6" w:name="_Toc127224664"/>
      <w:r w:rsidRPr="00B158EC">
        <w:rPr>
          <w:rFonts w:ascii="Arial" w:hAnsi="Arial" w:cs="Arial"/>
          <w:b/>
          <w:bCs/>
          <w:color w:val="000000" w:themeColor="text1"/>
        </w:rPr>
        <w:t>Recommendations</w:t>
      </w:r>
      <w:bookmarkEnd w:id="6"/>
      <w:r w:rsidRPr="00B158EC">
        <w:rPr>
          <w:rFonts w:ascii="Arial" w:hAnsi="Arial" w:cs="Arial"/>
          <w:b/>
          <w:bCs/>
          <w:color w:val="000000" w:themeColor="text1"/>
        </w:rPr>
        <w:t xml:space="preserve"> </w:t>
      </w:r>
    </w:p>
    <w:p w14:paraId="5D7DC10C" w14:textId="77777777" w:rsidR="00BA25A0" w:rsidRPr="00B158EC" w:rsidRDefault="00000000" w:rsidP="00BA25A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Redouble efforts to increase the active participation of all persons with disabilities in all decision-making processes related to policies, protocols, mechanisms for disaster prevention, response and recovery, to ensure that these policies are inclusive and at the same time implemented according to the rights of persons with disabilities. Also included in this is establishing Minimum Service Standards for Disaster Management in accordance with CRPD principles and provisions for implementation across all regions.</w:t>
      </w:r>
      <w:r w:rsidR="00BA25A0" w:rsidRPr="00B158EC">
        <w:rPr>
          <w:rFonts w:ascii="Arial" w:eastAsia="Arial" w:hAnsi="Arial" w:cs="Arial"/>
          <w:color w:val="000000" w:themeColor="text1"/>
          <w:sz w:val="24"/>
          <w:szCs w:val="24"/>
        </w:rPr>
        <w:t xml:space="preserve"> </w:t>
      </w:r>
      <w:r w:rsidRPr="00B158EC">
        <w:rPr>
          <w:rFonts w:ascii="Arial" w:eastAsia="Arial" w:hAnsi="Arial" w:cs="Arial"/>
          <w:color w:val="000000" w:themeColor="text1"/>
          <w:sz w:val="24"/>
          <w:szCs w:val="24"/>
        </w:rPr>
        <w:t xml:space="preserve">National and regional disaster management agencies need to carry out regular accessibility audits in existing evacuation barracks, so that accessibility and accommodation can be ensured if disaster strikes at any time. </w:t>
      </w:r>
      <w:r w:rsidR="001764D7" w:rsidRPr="00B158EC">
        <w:rPr>
          <w:rFonts w:ascii="Arial" w:eastAsia="Arial" w:hAnsi="Arial" w:cs="Arial"/>
          <w:color w:val="000000" w:themeColor="text1"/>
          <w:sz w:val="24"/>
          <w:szCs w:val="24"/>
        </w:rPr>
        <w:t xml:space="preserve">This includes ensuring </w:t>
      </w:r>
      <w:r w:rsidR="00927306" w:rsidRPr="00B158EC">
        <w:rPr>
          <w:rFonts w:ascii="Arial" w:eastAsia="Arial" w:hAnsi="Arial" w:cs="Arial"/>
          <w:color w:val="000000" w:themeColor="text1"/>
          <w:sz w:val="24"/>
          <w:szCs w:val="24"/>
        </w:rPr>
        <w:t xml:space="preserve">safety and </w:t>
      </w:r>
      <w:r w:rsidR="001764D7" w:rsidRPr="00B158EC">
        <w:rPr>
          <w:rFonts w:ascii="Arial" w:eastAsia="Arial" w:hAnsi="Arial" w:cs="Arial"/>
          <w:color w:val="000000" w:themeColor="text1"/>
          <w:sz w:val="24"/>
          <w:szCs w:val="24"/>
        </w:rPr>
        <w:t xml:space="preserve">security guarantees for children and women with disabilities in </w:t>
      </w:r>
      <w:r w:rsidR="00DF01E9" w:rsidRPr="00B158EC">
        <w:rPr>
          <w:rFonts w:ascii="Arial" w:eastAsia="Arial" w:hAnsi="Arial" w:cs="Arial"/>
          <w:color w:val="000000" w:themeColor="text1"/>
          <w:sz w:val="24"/>
          <w:szCs w:val="24"/>
        </w:rPr>
        <w:t xml:space="preserve">site of </w:t>
      </w:r>
      <w:r w:rsidR="001764D7" w:rsidRPr="00B158EC">
        <w:rPr>
          <w:rFonts w:ascii="Arial" w:eastAsia="Arial" w:hAnsi="Arial" w:cs="Arial"/>
          <w:color w:val="000000" w:themeColor="text1"/>
          <w:sz w:val="24"/>
          <w:szCs w:val="24"/>
        </w:rPr>
        <w:t xml:space="preserve">and during evacuation, </w:t>
      </w:r>
      <w:r w:rsidR="00B8555D" w:rsidRPr="00B158EC">
        <w:rPr>
          <w:rFonts w:ascii="Arial" w:eastAsia="Arial" w:hAnsi="Arial" w:cs="Arial"/>
          <w:color w:val="000000" w:themeColor="text1"/>
          <w:sz w:val="24"/>
          <w:szCs w:val="24"/>
        </w:rPr>
        <w:t xml:space="preserve">and </w:t>
      </w:r>
      <w:r w:rsidR="001764D7" w:rsidRPr="00B158EC">
        <w:rPr>
          <w:rFonts w:ascii="Arial" w:eastAsia="Arial" w:hAnsi="Arial" w:cs="Arial"/>
          <w:color w:val="000000" w:themeColor="text1"/>
          <w:sz w:val="24"/>
          <w:szCs w:val="24"/>
        </w:rPr>
        <w:t>ensuring infrastructure and facilities that are accessible and safe, so as to avoid things that make them vulnerable to physical and sexual violence.</w:t>
      </w:r>
    </w:p>
    <w:p w14:paraId="418263AC" w14:textId="209A60BC" w:rsidR="00EA2DED" w:rsidRPr="00B158EC" w:rsidRDefault="00F22EAC" w:rsidP="00BA25A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Ensuring the development of disaggregated data based on disability barriers</w:t>
      </w:r>
      <w:r w:rsidR="00184406" w:rsidRPr="00B158EC">
        <w:rPr>
          <w:rFonts w:ascii="Arial" w:eastAsia="Arial" w:hAnsi="Arial" w:cs="Arial"/>
          <w:color w:val="000000" w:themeColor="text1"/>
          <w:sz w:val="24"/>
          <w:szCs w:val="24"/>
        </w:rPr>
        <w:t>,</w:t>
      </w:r>
      <w:r w:rsidRPr="00B158EC">
        <w:rPr>
          <w:rFonts w:ascii="Arial" w:eastAsia="Arial" w:hAnsi="Arial" w:cs="Arial"/>
          <w:color w:val="000000" w:themeColor="text1"/>
          <w:sz w:val="24"/>
          <w:szCs w:val="24"/>
        </w:rPr>
        <w:t xml:space="preserve"> completely by name by address, especially in disaster-prone areas, to ensure identification of their needs in disaster situations, dissemination of disaster-related information and knowledge in accordance with a variety of communications, development of appropriate early warning systems and access for all persons with disabilities, as well as ensuring priority efforts for persons with disabilities in the evacuation process when a disaster occurs.</w:t>
      </w:r>
    </w:p>
    <w:p w14:paraId="5964CE95" w14:textId="7ADB135A"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Review, study and revise specific regulations and rules related to disasters, including programs and budgets are not inclusive of persons with disabilities in disaster situations, so that they comply with CRPD principles and provisions. This includes the formulation of rules of the game (SOP) that uphold inclusion, accessibility and provide accommodations for persons with disabilities which can be used as a reference in socialization, monitoring and evaluation.</w:t>
      </w:r>
    </w:p>
    <w:p w14:paraId="0B56126F" w14:textId="526A143E"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 xml:space="preserve">Develop guidelines for handling disasters and humanitarian emergencies that can be used by other policy makers and field implementers to ensure the rights and basic needs of persons with disabilities in times of disaster and emergency. This also includes making a guide that can be accessed by all people with disabilities in all their </w:t>
      </w:r>
      <w:r w:rsidRPr="00B158EC">
        <w:rPr>
          <w:rFonts w:ascii="Arial" w:eastAsia="Arial" w:hAnsi="Arial" w:cs="Arial"/>
          <w:color w:val="000000" w:themeColor="text1"/>
          <w:sz w:val="24"/>
          <w:szCs w:val="24"/>
        </w:rPr>
        <w:lastRenderedPageBreak/>
        <w:t>diversity as initial information for them in dealing with disaster and emergency situations.</w:t>
      </w:r>
    </w:p>
    <w:p w14:paraId="000DD9CF" w14:textId="3888A14A"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Maximize and duplicate technology that can be used in disasters and disseminating it to all persons with disabilities, especially those in disaster and conflict-prone areas, including the need to use cultural, language and character methods, which are in accordance with the culture people in their respective regions.</w:t>
      </w:r>
    </w:p>
    <w:p w14:paraId="2E69977E" w14:textId="6BAA5876"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Incorporate information and material about disasters into the education and extracurricular curricula of all children as has been implemented in scouting education. This also includes education for children with high support needs, and across all schools.</w:t>
      </w:r>
    </w:p>
    <w:p w14:paraId="23E58695" w14:textId="7D3A51E6"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Mainstreaming the rights of people with disabilities issues and involving persons with disabilities in disasters, for example involving them in carrying out activities as resource persons in socialization activities, capacity building in disasters etc. This is to ensure that there is a full understanding of persons with disabilities in disaster situations for all stakeholders involved. An example is that all parties must understand that assistive devices are an important and inseparable part of persons with disabilities in a disaster situation.</w:t>
      </w:r>
    </w:p>
    <w:p w14:paraId="3768C005" w14:textId="77777777"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The need to encourage budgeting for persons with disabilities in disaster programs, both in pre-disaster/mitigation, disaster events/emergency response, and recovery/post-disaster processes to ensure that resources are available to ensure that persons with disabilities are included, participate and benefit from available services in all phases of emergencies on an equal basis with others.</w:t>
      </w:r>
    </w:p>
    <w:p w14:paraId="489B5B01" w14:textId="4164ED60" w:rsidR="00ED2BF6" w:rsidRPr="00B158EC" w:rsidRDefault="00000000">
      <w:pPr>
        <w:numPr>
          <w:ilvl w:val="3"/>
          <w:numId w:val="1"/>
        </w:numPr>
        <w:pBdr>
          <w:top w:val="nil"/>
          <w:left w:val="nil"/>
          <w:bottom w:val="nil"/>
          <w:right w:val="nil"/>
          <w:between w:val="nil"/>
        </w:pBdr>
        <w:spacing w:after="120" w:line="240" w:lineRule="auto"/>
        <w:ind w:left="284" w:hanging="284"/>
        <w:jc w:val="both"/>
        <w:rPr>
          <w:rFonts w:ascii="Arial" w:eastAsia="Arial" w:hAnsi="Arial" w:cs="Arial"/>
          <w:color w:val="000000" w:themeColor="text1"/>
          <w:sz w:val="24"/>
          <w:szCs w:val="24"/>
        </w:rPr>
      </w:pPr>
      <w:r w:rsidRPr="00B158EC">
        <w:rPr>
          <w:rFonts w:ascii="Arial" w:eastAsia="Arial" w:hAnsi="Arial" w:cs="Arial"/>
          <w:color w:val="000000" w:themeColor="text1"/>
          <w:sz w:val="24"/>
          <w:szCs w:val="24"/>
        </w:rPr>
        <w:t>Encouraging collaboration and cooperation networks between actors involved in disaster, development, and organizations of persons with disabilities. This aims to ensure that an inclusive approach can be implemented in every process of disaster management. Also included in this is synergy between actors at the provincial/district/city level down to the villages, both in terms of planning, budgeting, implementation, monitoring and evaluation.</w:t>
      </w:r>
    </w:p>
    <w:p w14:paraId="0AFF1161" w14:textId="6953E9F0" w:rsidR="00ED2BF6" w:rsidRPr="00B158EC" w:rsidRDefault="00ED2BF6">
      <w:pPr>
        <w:spacing w:after="120" w:line="240" w:lineRule="auto"/>
        <w:jc w:val="both"/>
        <w:rPr>
          <w:rFonts w:ascii="Arial" w:eastAsia="Arial" w:hAnsi="Arial" w:cs="Arial"/>
          <w:color w:val="000000" w:themeColor="text1"/>
          <w:sz w:val="24"/>
          <w:szCs w:val="24"/>
        </w:rPr>
      </w:pPr>
    </w:p>
    <w:p w14:paraId="583D8ADA" w14:textId="4C04A576" w:rsidR="00C65D74" w:rsidRPr="00B158EC" w:rsidRDefault="00C65D74">
      <w:pPr>
        <w:spacing w:after="120" w:line="240" w:lineRule="auto"/>
        <w:jc w:val="both"/>
        <w:rPr>
          <w:rFonts w:ascii="Arial" w:eastAsia="Arial" w:hAnsi="Arial" w:cs="Arial"/>
          <w:color w:val="000000" w:themeColor="text1"/>
          <w:sz w:val="24"/>
          <w:szCs w:val="24"/>
        </w:rPr>
      </w:pPr>
    </w:p>
    <w:p w14:paraId="694C78A8" w14:textId="2F46FF92" w:rsidR="00C65D74" w:rsidRPr="005E572E" w:rsidRDefault="00573482" w:rsidP="00C155AD">
      <w:pPr>
        <w:pStyle w:val="Heading1"/>
        <w:rPr>
          <w:rFonts w:ascii="Arial" w:hAnsi="Arial" w:cs="Arial"/>
          <w:b/>
          <w:bCs/>
          <w:color w:val="000000" w:themeColor="text1"/>
          <w:sz w:val="28"/>
          <w:szCs w:val="28"/>
        </w:rPr>
      </w:pPr>
      <w:bookmarkStart w:id="7" w:name="_Toc127224665"/>
      <w:r>
        <w:rPr>
          <w:rFonts w:ascii="Arial" w:hAnsi="Arial" w:cs="Arial"/>
          <w:b/>
          <w:bCs/>
          <w:color w:val="000000" w:themeColor="text1"/>
          <w:sz w:val="28"/>
          <w:szCs w:val="28"/>
        </w:rPr>
        <w:t xml:space="preserve">Short </w:t>
      </w:r>
      <w:r w:rsidR="00ED080F" w:rsidRPr="005E572E">
        <w:rPr>
          <w:rFonts w:ascii="Arial" w:hAnsi="Arial" w:cs="Arial"/>
          <w:b/>
          <w:bCs/>
          <w:color w:val="000000" w:themeColor="text1"/>
          <w:sz w:val="28"/>
          <w:szCs w:val="28"/>
        </w:rPr>
        <w:t>Profile of CIQAL</w:t>
      </w:r>
      <w:bookmarkEnd w:id="7"/>
      <w:r w:rsidR="00ED080F" w:rsidRPr="005E572E">
        <w:rPr>
          <w:rFonts w:ascii="Arial" w:hAnsi="Arial" w:cs="Arial"/>
          <w:b/>
          <w:bCs/>
          <w:color w:val="000000" w:themeColor="text1"/>
          <w:sz w:val="28"/>
          <w:szCs w:val="28"/>
        </w:rPr>
        <w:t xml:space="preserve"> </w:t>
      </w:r>
    </w:p>
    <w:p w14:paraId="4CA14067" w14:textId="68A2A9FA" w:rsidR="000F3661" w:rsidRPr="00B158EC" w:rsidRDefault="000F3661" w:rsidP="00AF1FA6">
      <w:pPr>
        <w:spacing w:after="120" w:line="240" w:lineRule="auto"/>
        <w:jc w:val="both"/>
        <w:rPr>
          <w:rFonts w:ascii="Arial" w:eastAsia="Arial" w:hAnsi="Arial" w:cs="Arial"/>
          <w:color w:val="000000" w:themeColor="text1"/>
          <w:sz w:val="24"/>
          <w:szCs w:val="24"/>
        </w:rPr>
      </w:pPr>
      <w:r w:rsidRPr="009C52C3">
        <w:rPr>
          <w:rFonts w:ascii="Arial" w:eastAsia="Arial" w:hAnsi="Arial" w:cs="Arial"/>
          <w:color w:val="000000" w:themeColor="text1"/>
          <w:sz w:val="24"/>
          <w:szCs w:val="24"/>
        </w:rPr>
        <w:t xml:space="preserve">CIQAL or </w:t>
      </w:r>
      <w:r w:rsidRPr="009C52C3">
        <w:rPr>
          <w:rFonts w:ascii="Arial" w:eastAsia="Arial" w:hAnsi="Arial" w:cs="Arial"/>
          <w:color w:val="000000" w:themeColor="text1"/>
          <w:sz w:val="24"/>
          <w:szCs w:val="24"/>
        </w:rPr>
        <w:t>Center for Improving Qualified Activities in Live of People with Disabilities</w:t>
      </w:r>
      <w:r w:rsidR="009C52C3">
        <w:rPr>
          <w:rFonts w:ascii="Arial" w:eastAsia="Arial" w:hAnsi="Arial" w:cs="Arial"/>
          <w:color w:val="000000" w:themeColor="text1"/>
          <w:sz w:val="24"/>
          <w:szCs w:val="24"/>
        </w:rPr>
        <w:t xml:space="preserve"> </w:t>
      </w:r>
      <w:r w:rsidR="009C52C3" w:rsidRPr="009C52C3">
        <w:rPr>
          <w:rFonts w:ascii="Arial" w:eastAsia="Arial" w:hAnsi="Arial" w:cs="Arial"/>
          <w:color w:val="000000" w:themeColor="text1"/>
          <w:sz w:val="24"/>
          <w:szCs w:val="24"/>
        </w:rPr>
        <w:t>is a center for developing the potential and quality of life of persons with disabilities in an inclusive society.</w:t>
      </w:r>
      <w:r w:rsidR="00FC3486">
        <w:rPr>
          <w:rFonts w:ascii="Arial" w:eastAsia="Arial" w:hAnsi="Arial" w:cs="Arial"/>
          <w:color w:val="000000" w:themeColor="text1"/>
          <w:sz w:val="24"/>
          <w:szCs w:val="24"/>
        </w:rPr>
        <w:t xml:space="preserve"> </w:t>
      </w:r>
      <w:r w:rsidR="00F92F8C" w:rsidRPr="00F92F8C">
        <w:rPr>
          <w:rFonts w:ascii="Arial" w:eastAsia="Arial" w:hAnsi="Arial" w:cs="Arial"/>
          <w:color w:val="000000" w:themeColor="text1"/>
          <w:sz w:val="24"/>
          <w:szCs w:val="24"/>
        </w:rPr>
        <w:t>To achieve this, CIQAL has a mission</w:t>
      </w:r>
      <w:r w:rsidR="002E4B41">
        <w:rPr>
          <w:rFonts w:ascii="Arial" w:eastAsia="Arial" w:hAnsi="Arial" w:cs="Arial"/>
          <w:color w:val="000000" w:themeColor="text1"/>
          <w:sz w:val="24"/>
          <w:szCs w:val="24"/>
        </w:rPr>
        <w:t>s</w:t>
      </w:r>
      <w:r w:rsidR="00F92F8C" w:rsidRPr="00F92F8C">
        <w:rPr>
          <w:rFonts w:ascii="Arial" w:eastAsia="Arial" w:hAnsi="Arial" w:cs="Arial"/>
          <w:color w:val="000000" w:themeColor="text1"/>
          <w:sz w:val="24"/>
          <w:szCs w:val="24"/>
        </w:rPr>
        <w:t>:</w:t>
      </w:r>
      <w:r w:rsidR="002E4B41">
        <w:rPr>
          <w:rFonts w:ascii="Arial" w:eastAsia="Arial" w:hAnsi="Arial" w:cs="Arial"/>
          <w:color w:val="000000" w:themeColor="text1"/>
          <w:sz w:val="24"/>
          <w:szCs w:val="24"/>
        </w:rPr>
        <w:t xml:space="preserve"> 1) </w:t>
      </w:r>
      <w:r w:rsidR="00F92F8C" w:rsidRPr="00F92F8C">
        <w:rPr>
          <w:rFonts w:ascii="Arial" w:eastAsia="Arial" w:hAnsi="Arial" w:cs="Arial"/>
          <w:color w:val="000000" w:themeColor="text1"/>
          <w:sz w:val="24"/>
          <w:szCs w:val="24"/>
        </w:rPr>
        <w:t>Encouraging inclusive public policies</w:t>
      </w:r>
      <w:r w:rsidR="002E4B41">
        <w:rPr>
          <w:rFonts w:ascii="Arial" w:eastAsia="Arial" w:hAnsi="Arial" w:cs="Arial"/>
          <w:color w:val="000000" w:themeColor="text1"/>
          <w:sz w:val="24"/>
          <w:szCs w:val="24"/>
        </w:rPr>
        <w:t xml:space="preserve">; 2) </w:t>
      </w:r>
      <w:r w:rsidR="00F92F8C" w:rsidRPr="00F92F8C">
        <w:rPr>
          <w:rFonts w:ascii="Arial" w:eastAsia="Arial" w:hAnsi="Arial" w:cs="Arial"/>
          <w:color w:val="000000" w:themeColor="text1"/>
          <w:sz w:val="24"/>
          <w:szCs w:val="24"/>
        </w:rPr>
        <w:t>Carry out economic empowerment of Persons with Disabilities in an inclusive manner</w:t>
      </w:r>
      <w:r w:rsidR="002E4B41">
        <w:rPr>
          <w:rFonts w:ascii="Arial" w:eastAsia="Arial" w:hAnsi="Arial" w:cs="Arial"/>
          <w:color w:val="000000" w:themeColor="text1"/>
          <w:sz w:val="24"/>
          <w:szCs w:val="24"/>
        </w:rPr>
        <w:t xml:space="preserve">; 3) </w:t>
      </w:r>
      <w:r w:rsidR="00F92F8C" w:rsidRPr="00F92F8C">
        <w:rPr>
          <w:rFonts w:ascii="Arial" w:eastAsia="Arial" w:hAnsi="Arial" w:cs="Arial"/>
          <w:color w:val="000000" w:themeColor="text1"/>
          <w:sz w:val="24"/>
          <w:szCs w:val="24"/>
        </w:rPr>
        <w:t>Providing assistance services for women with disabilities and children with disabilities who are victims of violence</w:t>
      </w:r>
      <w:r w:rsidR="002E4B41">
        <w:rPr>
          <w:rFonts w:ascii="Arial" w:eastAsia="Arial" w:hAnsi="Arial" w:cs="Arial"/>
          <w:color w:val="000000" w:themeColor="text1"/>
          <w:sz w:val="24"/>
          <w:szCs w:val="24"/>
        </w:rPr>
        <w:t xml:space="preserve">; 4) </w:t>
      </w:r>
      <w:r w:rsidR="00F92F8C" w:rsidRPr="00F92F8C">
        <w:rPr>
          <w:rFonts w:ascii="Arial" w:eastAsia="Arial" w:hAnsi="Arial" w:cs="Arial"/>
          <w:color w:val="000000" w:themeColor="text1"/>
          <w:sz w:val="24"/>
          <w:szCs w:val="24"/>
        </w:rPr>
        <w:t>Carry out the development of inclusive Disaster Risk Reduction.</w:t>
      </w:r>
      <w:r w:rsidR="002E4B4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w:t>
      </w:r>
      <w:r w:rsidRPr="000F3661">
        <w:rPr>
          <w:rFonts w:ascii="Arial" w:eastAsia="Arial" w:hAnsi="Arial" w:cs="Arial"/>
          <w:color w:val="000000" w:themeColor="text1"/>
          <w:sz w:val="24"/>
          <w:szCs w:val="24"/>
        </w:rPr>
        <w:t xml:space="preserve">mail: </w:t>
      </w:r>
      <w:hyperlink r:id="rId8" w:history="1">
        <w:r w:rsidR="0019472D" w:rsidRPr="00B423F1">
          <w:rPr>
            <w:rStyle w:val="Hyperlink"/>
            <w:rFonts w:ascii="Arial" w:eastAsia="Arial" w:hAnsi="Arial" w:cs="Arial"/>
            <w:sz w:val="24"/>
            <w:szCs w:val="24"/>
          </w:rPr>
          <w:t>ciqaljogja@gmail.com</w:t>
        </w:r>
      </w:hyperlink>
      <w:r w:rsidR="0019472D">
        <w:rPr>
          <w:rFonts w:ascii="Arial" w:eastAsia="Arial" w:hAnsi="Arial" w:cs="Arial"/>
          <w:color w:val="000000" w:themeColor="text1"/>
          <w:sz w:val="24"/>
          <w:szCs w:val="24"/>
        </w:rPr>
        <w:t xml:space="preserve"> | </w:t>
      </w:r>
      <w:r w:rsidR="0019472D" w:rsidRPr="0019472D">
        <w:rPr>
          <w:rFonts w:ascii="Arial" w:eastAsia="Arial" w:hAnsi="Arial" w:cs="Arial"/>
          <w:color w:val="000000" w:themeColor="text1"/>
          <w:sz w:val="24"/>
          <w:szCs w:val="24"/>
        </w:rPr>
        <w:t>website: ciqal.or.id</w:t>
      </w:r>
      <w:r w:rsidR="001A14AD">
        <w:rPr>
          <w:rFonts w:ascii="Arial" w:eastAsia="Arial" w:hAnsi="Arial" w:cs="Arial"/>
          <w:color w:val="000000" w:themeColor="text1"/>
          <w:sz w:val="24"/>
          <w:szCs w:val="24"/>
        </w:rPr>
        <w:t xml:space="preserve"> </w:t>
      </w:r>
    </w:p>
    <w:sectPr w:rsidR="000F3661" w:rsidRPr="00B158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BAE9" w14:textId="77777777" w:rsidR="00885AB1" w:rsidRDefault="00885AB1">
      <w:pPr>
        <w:spacing w:after="0" w:line="240" w:lineRule="auto"/>
      </w:pPr>
      <w:r>
        <w:separator/>
      </w:r>
    </w:p>
  </w:endnote>
  <w:endnote w:type="continuationSeparator" w:id="0">
    <w:p w14:paraId="43C7C0A7" w14:textId="77777777" w:rsidR="00885AB1" w:rsidRDefault="008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D812"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FE80" w14:textId="77777777" w:rsidR="00ED2BF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E716C">
      <w:rPr>
        <w:noProof/>
        <w:color w:val="000000"/>
      </w:rPr>
      <w:t>1</w:t>
    </w:r>
    <w:r>
      <w:rPr>
        <w:color w:val="000000"/>
      </w:rPr>
      <w:fldChar w:fldCharType="end"/>
    </w:r>
  </w:p>
  <w:p w14:paraId="47E06245"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0CE2"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8B76" w14:textId="77777777" w:rsidR="00885AB1" w:rsidRDefault="00885AB1">
      <w:pPr>
        <w:spacing w:after="0" w:line="240" w:lineRule="auto"/>
      </w:pPr>
      <w:r>
        <w:separator/>
      </w:r>
    </w:p>
  </w:footnote>
  <w:footnote w:type="continuationSeparator" w:id="0">
    <w:p w14:paraId="0C125915" w14:textId="77777777" w:rsidR="00885AB1" w:rsidRDefault="00885AB1">
      <w:pPr>
        <w:spacing w:after="0" w:line="240" w:lineRule="auto"/>
      </w:pPr>
      <w:r>
        <w:continuationSeparator/>
      </w:r>
    </w:p>
  </w:footnote>
  <w:footnote w:id="1">
    <w:p w14:paraId="104D2117" w14:textId="77777777" w:rsidR="00ED2BF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such as: Law 24/2007 concerning Disaster Management, Law No. 8 of 2016 concerning Persons with Disabilities, Government Regulation No. 70 of 2019 concerning Planning, Implementation, and Evaluation of Respect, Protection, and Fulfillment of the Rights of Persons with Disabilities, Government Regulation 42/2020 concerning Accessibility to Settlements, Public Services, and Protection from Disasters for Persons with Disabilities, Regulation of the Minister of National Development Planning/Head of the Planning Agency National Development of the Republic of Indonesia No. 3 of 2021 concerning Implementation of Government Regulation Number 70 of 2019 concerning Planning, Implementation and Evaluation of Respect, Protection and Fulfillment of the Rights of Persons with Disabilities, Regulation of the Head of the National Agency for Disaster Countermeasures (Perka BNPB) 13/2014 concerning gender mainstreaming in the field of disaster management, Perka BNPB 14 /2014 concerning the Handling, Protection and Participation of Persons with Disabilities in emergency and humanitarian situation.</w:t>
      </w:r>
    </w:p>
  </w:footnote>
  <w:footnote w:id="2">
    <w:p w14:paraId="79FB375C" w14:textId="77777777" w:rsidR="00ED2BF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E.g. in Government Regulation Number 2 of 2018 concerning Minimum Service Standards (on Disaster Handling Management) and Regulation of the Minister of Home Affairs of the Republic of Indonesia Number 101 of 2018 concerning Basic Service Technical Standards in District/City Regional Disaster Sub-Agency Minimum Service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B214"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313C"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511A" w14:textId="77777777" w:rsidR="00ED2BF6" w:rsidRDefault="00ED2B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6D1"/>
    <w:multiLevelType w:val="multilevel"/>
    <w:tmpl w:val="29305E78"/>
    <w:lvl w:ilvl="0">
      <w:start w:val="1"/>
      <w:numFmt w:val="lowerLetter"/>
      <w:lvlText w:val="%1."/>
      <w:lvlJc w:val="left"/>
      <w:pPr>
        <w:ind w:left="1440" w:hanging="360"/>
      </w:pPr>
      <w:rPr>
        <w:rFonts w:ascii="Arial" w:eastAsia="Arial" w:hAnsi="Arial" w:cs="Aria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6855D7"/>
    <w:multiLevelType w:val="hybridMultilevel"/>
    <w:tmpl w:val="4A1A2264"/>
    <w:lvl w:ilvl="0" w:tplc="AD2C03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2C72"/>
    <w:multiLevelType w:val="multilevel"/>
    <w:tmpl w:val="791CA902"/>
    <w:lvl w:ilvl="0">
      <w:start w:val="1"/>
      <w:numFmt w:val="lowerLetter"/>
      <w:lvlText w:val="%1."/>
      <w:lvlJc w:val="left"/>
      <w:pPr>
        <w:ind w:left="1440" w:hanging="360"/>
      </w:pPr>
      <w:rPr>
        <w:rFonts w:ascii="Arial" w:eastAsia="Arial" w:hAnsi="Arial" w:cs="Aria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E9B74FA"/>
    <w:multiLevelType w:val="multilevel"/>
    <w:tmpl w:val="C9DCB300"/>
    <w:lvl w:ilvl="0">
      <w:start w:val="1"/>
      <w:numFmt w:val="lowerLetter"/>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F5D17"/>
    <w:multiLevelType w:val="hybridMultilevel"/>
    <w:tmpl w:val="A344E748"/>
    <w:lvl w:ilvl="0" w:tplc="57304B5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D7243"/>
    <w:multiLevelType w:val="hybridMultilevel"/>
    <w:tmpl w:val="9452827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57B59F0"/>
    <w:multiLevelType w:val="multilevel"/>
    <w:tmpl w:val="1A00B4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BE78B0"/>
    <w:multiLevelType w:val="multilevel"/>
    <w:tmpl w:val="A54E1856"/>
    <w:lvl w:ilvl="0">
      <w:start w:val="1"/>
      <w:numFmt w:val="lowerLetter"/>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BD6E67"/>
    <w:multiLevelType w:val="multilevel"/>
    <w:tmpl w:val="64DCB55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3513658">
    <w:abstractNumId w:val="8"/>
  </w:num>
  <w:num w:numId="2" w16cid:durableId="1852604342">
    <w:abstractNumId w:val="0"/>
  </w:num>
  <w:num w:numId="3" w16cid:durableId="455489202">
    <w:abstractNumId w:val="3"/>
  </w:num>
  <w:num w:numId="4" w16cid:durableId="2010598559">
    <w:abstractNumId w:val="6"/>
  </w:num>
  <w:num w:numId="5" w16cid:durableId="1074931133">
    <w:abstractNumId w:val="7"/>
  </w:num>
  <w:num w:numId="6" w16cid:durableId="1144199269">
    <w:abstractNumId w:val="2"/>
  </w:num>
  <w:num w:numId="7" w16cid:durableId="355693551">
    <w:abstractNumId w:val="5"/>
  </w:num>
  <w:num w:numId="8" w16cid:durableId="502621266">
    <w:abstractNumId w:val="4"/>
  </w:num>
  <w:num w:numId="9" w16cid:durableId="140891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F6"/>
    <w:rsid w:val="000222CD"/>
    <w:rsid w:val="000457E0"/>
    <w:rsid w:val="00046F32"/>
    <w:rsid w:val="0005553B"/>
    <w:rsid w:val="000740EB"/>
    <w:rsid w:val="00075C32"/>
    <w:rsid w:val="000E7010"/>
    <w:rsid w:val="000F3661"/>
    <w:rsid w:val="00141DA0"/>
    <w:rsid w:val="001515DB"/>
    <w:rsid w:val="0015678B"/>
    <w:rsid w:val="001764D7"/>
    <w:rsid w:val="00184406"/>
    <w:rsid w:val="0019472D"/>
    <w:rsid w:val="001A14AD"/>
    <w:rsid w:val="001A3154"/>
    <w:rsid w:val="001D0F93"/>
    <w:rsid w:val="00290D10"/>
    <w:rsid w:val="002A202B"/>
    <w:rsid w:val="002D4AE9"/>
    <w:rsid w:val="002D603C"/>
    <w:rsid w:val="002E2055"/>
    <w:rsid w:val="002E4B41"/>
    <w:rsid w:val="00310F04"/>
    <w:rsid w:val="003121AD"/>
    <w:rsid w:val="0032626E"/>
    <w:rsid w:val="003717C3"/>
    <w:rsid w:val="003A1366"/>
    <w:rsid w:val="003B4E42"/>
    <w:rsid w:val="003B5821"/>
    <w:rsid w:val="003C44EF"/>
    <w:rsid w:val="003C7126"/>
    <w:rsid w:val="00400488"/>
    <w:rsid w:val="00407F26"/>
    <w:rsid w:val="00452EE9"/>
    <w:rsid w:val="00461C27"/>
    <w:rsid w:val="00481C4B"/>
    <w:rsid w:val="004866D7"/>
    <w:rsid w:val="004B0DED"/>
    <w:rsid w:val="004B6450"/>
    <w:rsid w:val="004F786E"/>
    <w:rsid w:val="00504D48"/>
    <w:rsid w:val="005400B0"/>
    <w:rsid w:val="00573482"/>
    <w:rsid w:val="00580389"/>
    <w:rsid w:val="0058054D"/>
    <w:rsid w:val="00584B7E"/>
    <w:rsid w:val="005975BF"/>
    <w:rsid w:val="005B0964"/>
    <w:rsid w:val="005B5707"/>
    <w:rsid w:val="005E47A0"/>
    <w:rsid w:val="005E572E"/>
    <w:rsid w:val="006849FC"/>
    <w:rsid w:val="006F4CF8"/>
    <w:rsid w:val="0070556C"/>
    <w:rsid w:val="00790071"/>
    <w:rsid w:val="00791D10"/>
    <w:rsid w:val="00836B5A"/>
    <w:rsid w:val="00842234"/>
    <w:rsid w:val="00874400"/>
    <w:rsid w:val="00885AB1"/>
    <w:rsid w:val="00927306"/>
    <w:rsid w:val="009516F3"/>
    <w:rsid w:val="0097539B"/>
    <w:rsid w:val="009963B3"/>
    <w:rsid w:val="009B500D"/>
    <w:rsid w:val="009C52C3"/>
    <w:rsid w:val="00A2614D"/>
    <w:rsid w:val="00A66E40"/>
    <w:rsid w:val="00A7288A"/>
    <w:rsid w:val="00AE790E"/>
    <w:rsid w:val="00AF1FA6"/>
    <w:rsid w:val="00B158EC"/>
    <w:rsid w:val="00B15B9B"/>
    <w:rsid w:val="00B3679B"/>
    <w:rsid w:val="00B50254"/>
    <w:rsid w:val="00B73475"/>
    <w:rsid w:val="00B8555D"/>
    <w:rsid w:val="00BA25A0"/>
    <w:rsid w:val="00BA2FBD"/>
    <w:rsid w:val="00BC2587"/>
    <w:rsid w:val="00BE1A4E"/>
    <w:rsid w:val="00C144F1"/>
    <w:rsid w:val="00C155AD"/>
    <w:rsid w:val="00C20085"/>
    <w:rsid w:val="00C24176"/>
    <w:rsid w:val="00C249F1"/>
    <w:rsid w:val="00C65D74"/>
    <w:rsid w:val="00C824B4"/>
    <w:rsid w:val="00CF3C2D"/>
    <w:rsid w:val="00DB2A3D"/>
    <w:rsid w:val="00DE716C"/>
    <w:rsid w:val="00DF01E9"/>
    <w:rsid w:val="00DF05A2"/>
    <w:rsid w:val="00E21B54"/>
    <w:rsid w:val="00E57B47"/>
    <w:rsid w:val="00E71F07"/>
    <w:rsid w:val="00EA2DED"/>
    <w:rsid w:val="00EA6201"/>
    <w:rsid w:val="00EB331E"/>
    <w:rsid w:val="00ED080F"/>
    <w:rsid w:val="00ED2BF6"/>
    <w:rsid w:val="00F059D5"/>
    <w:rsid w:val="00F22EAC"/>
    <w:rsid w:val="00F2432A"/>
    <w:rsid w:val="00F33D34"/>
    <w:rsid w:val="00F7305F"/>
    <w:rsid w:val="00F92F8C"/>
    <w:rsid w:val="00FC3486"/>
    <w:rsid w:val="00FD3037"/>
    <w:rsid w:val="00FD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2952"/>
  <w15:docId w15:val="{14F090FF-776F-455D-AFAA-CF3D9459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44F1"/>
    <w:rPr>
      <w:b/>
      <w:bCs/>
    </w:rPr>
  </w:style>
  <w:style w:type="character" w:customStyle="1" w:styleId="CommentSubjectChar">
    <w:name w:val="Comment Subject Char"/>
    <w:basedOn w:val="CommentTextChar"/>
    <w:link w:val="CommentSubject"/>
    <w:uiPriority w:val="99"/>
    <w:semiHidden/>
    <w:rsid w:val="00C144F1"/>
    <w:rPr>
      <w:b/>
      <w:bCs/>
      <w:sz w:val="20"/>
      <w:szCs w:val="20"/>
    </w:rPr>
  </w:style>
  <w:style w:type="paragraph" w:styleId="Revision">
    <w:name w:val="Revision"/>
    <w:hidden/>
    <w:uiPriority w:val="99"/>
    <w:semiHidden/>
    <w:rsid w:val="00584B7E"/>
    <w:pPr>
      <w:spacing w:after="0" w:line="240" w:lineRule="auto"/>
    </w:pPr>
  </w:style>
  <w:style w:type="paragraph" w:styleId="ListParagraph">
    <w:name w:val="List Paragraph"/>
    <w:basedOn w:val="Normal"/>
    <w:uiPriority w:val="34"/>
    <w:qFormat/>
    <w:rsid w:val="00B73475"/>
    <w:pPr>
      <w:ind w:left="720"/>
      <w:contextualSpacing/>
    </w:pPr>
  </w:style>
  <w:style w:type="paragraph" w:styleId="TOCHeading">
    <w:name w:val="TOC Heading"/>
    <w:basedOn w:val="Heading1"/>
    <w:next w:val="Normal"/>
    <w:uiPriority w:val="39"/>
    <w:unhideWhenUsed/>
    <w:qFormat/>
    <w:rsid w:val="006F4CF8"/>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6F4CF8"/>
    <w:pPr>
      <w:spacing w:after="100"/>
    </w:pPr>
  </w:style>
  <w:style w:type="paragraph" w:styleId="TOC2">
    <w:name w:val="toc 2"/>
    <w:basedOn w:val="Normal"/>
    <w:next w:val="Normal"/>
    <w:autoRedefine/>
    <w:uiPriority w:val="39"/>
    <w:unhideWhenUsed/>
    <w:rsid w:val="006F4CF8"/>
    <w:pPr>
      <w:spacing w:after="100"/>
      <w:ind w:left="220"/>
    </w:pPr>
  </w:style>
  <w:style w:type="character" w:styleId="Hyperlink">
    <w:name w:val="Hyperlink"/>
    <w:basedOn w:val="DefaultParagraphFont"/>
    <w:uiPriority w:val="99"/>
    <w:unhideWhenUsed/>
    <w:rsid w:val="006F4CF8"/>
    <w:rPr>
      <w:color w:val="0000FF" w:themeColor="hyperlink"/>
      <w:u w:val="single"/>
    </w:rPr>
  </w:style>
  <w:style w:type="character" w:styleId="UnresolvedMention">
    <w:name w:val="Unresolved Mention"/>
    <w:basedOn w:val="DefaultParagraphFont"/>
    <w:uiPriority w:val="99"/>
    <w:semiHidden/>
    <w:unhideWhenUsed/>
    <w:rsid w:val="0019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qaljogj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4A41-B3FB-4D64-87F2-B1E8EBD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4025</Words>
  <Characters>23429</Characters>
  <Application>Microsoft Office Word</Application>
  <DocSecurity>0</DocSecurity>
  <Lines>403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dwisuka</dc:creator>
  <cp:lastModifiedBy>Muhammad Hafiz</cp:lastModifiedBy>
  <cp:revision>37</cp:revision>
  <dcterms:created xsi:type="dcterms:W3CDTF">2023-02-13T16:54:00Z</dcterms:created>
  <dcterms:modified xsi:type="dcterms:W3CDTF">2023-02-13T17:01:00Z</dcterms:modified>
</cp:coreProperties>
</file>