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CCF07" w14:textId="77777777" w:rsidR="00872064" w:rsidRDefault="00300931" w:rsidP="009A6D8D">
      <w:pPr>
        <w:pStyle w:val="Title"/>
        <w:spacing w:line="276" w:lineRule="auto"/>
        <w:jc w:val="center"/>
        <w:rPr>
          <w:sz w:val="28"/>
          <w:szCs w:val="28"/>
        </w:rPr>
      </w:pPr>
      <w:r>
        <w:rPr>
          <w:noProof/>
          <w:sz w:val="28"/>
          <w:szCs w:val="28"/>
        </w:rPr>
        <w:drawing>
          <wp:inline distT="0" distB="0" distL="0" distR="0" wp14:anchorId="46DBF0C4" wp14:editId="2D2BAAFD">
            <wp:extent cx="3586039" cy="840956"/>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6381" cy="869177"/>
                    </a:xfrm>
                    <a:prstGeom prst="rect">
                      <a:avLst/>
                    </a:prstGeom>
                  </pic:spPr>
                </pic:pic>
              </a:graphicData>
            </a:graphic>
          </wp:inline>
        </w:drawing>
      </w:r>
    </w:p>
    <w:p w14:paraId="0A2F118F" w14:textId="5AE58219" w:rsidR="00F07D0A" w:rsidRDefault="002F01C0" w:rsidP="009A6D8D">
      <w:pPr>
        <w:pStyle w:val="Title"/>
        <w:spacing w:line="276" w:lineRule="auto"/>
        <w:jc w:val="center"/>
        <w:rPr>
          <w:sz w:val="28"/>
          <w:szCs w:val="28"/>
        </w:rPr>
      </w:pPr>
      <w:r w:rsidRPr="00F07D0A">
        <w:rPr>
          <w:sz w:val="28"/>
          <w:szCs w:val="28"/>
        </w:rPr>
        <w:t xml:space="preserve">Submission to the </w:t>
      </w:r>
      <w:r w:rsidR="0094617A" w:rsidRPr="00F07D0A">
        <w:rPr>
          <w:sz w:val="28"/>
          <w:szCs w:val="28"/>
        </w:rPr>
        <w:t>Committee</w:t>
      </w:r>
      <w:r w:rsidRPr="00F07D0A">
        <w:rPr>
          <w:sz w:val="28"/>
          <w:szCs w:val="28"/>
        </w:rPr>
        <w:t xml:space="preserve"> on the Rights of Persons with Disabilities</w:t>
      </w:r>
      <w:r w:rsidR="0094617A" w:rsidRPr="00F07D0A">
        <w:rPr>
          <w:sz w:val="28"/>
          <w:szCs w:val="28"/>
        </w:rPr>
        <w:t xml:space="preserve"> regarding </w:t>
      </w:r>
    </w:p>
    <w:p w14:paraId="10CFB281" w14:textId="4E861DB9" w:rsidR="002F01C0" w:rsidRPr="00F07D0A" w:rsidRDefault="0094617A" w:rsidP="009A6D8D">
      <w:pPr>
        <w:pStyle w:val="Title"/>
        <w:spacing w:line="276" w:lineRule="auto"/>
        <w:jc w:val="center"/>
        <w:rPr>
          <w:sz w:val="28"/>
          <w:szCs w:val="28"/>
        </w:rPr>
      </w:pPr>
      <w:r w:rsidRPr="00F07D0A">
        <w:rPr>
          <w:sz w:val="28"/>
          <w:szCs w:val="28"/>
        </w:rPr>
        <w:t>Article 11 of the Convention</w:t>
      </w:r>
    </w:p>
    <w:p w14:paraId="1ECD0874" w14:textId="1DA322C6" w:rsidR="00DC1553" w:rsidRPr="00541AAD" w:rsidRDefault="00DC1553" w:rsidP="009A6D8D">
      <w:pPr>
        <w:pStyle w:val="Subtitle"/>
        <w:spacing w:line="276" w:lineRule="auto"/>
        <w:jc w:val="center"/>
        <w:rPr>
          <w:rFonts w:ascii="Times New Roman" w:hAnsi="Times New Roman" w:cs="Times New Roman"/>
          <w:color w:val="000000" w:themeColor="text1"/>
          <w:sz w:val="24"/>
          <w:szCs w:val="24"/>
        </w:rPr>
      </w:pPr>
      <w:r w:rsidRPr="00541AAD">
        <w:rPr>
          <w:rFonts w:ascii="Times New Roman" w:hAnsi="Times New Roman" w:cs="Times New Roman"/>
          <w:color w:val="000000" w:themeColor="text1"/>
          <w:sz w:val="24"/>
          <w:szCs w:val="24"/>
        </w:rPr>
        <w:t xml:space="preserve">February </w:t>
      </w:r>
      <w:r w:rsidR="00F07D0A">
        <w:rPr>
          <w:rFonts w:ascii="Times New Roman" w:hAnsi="Times New Roman" w:cs="Times New Roman"/>
          <w:color w:val="000000" w:themeColor="text1"/>
          <w:sz w:val="24"/>
          <w:szCs w:val="24"/>
        </w:rPr>
        <w:t>1</w:t>
      </w:r>
      <w:r w:rsidR="00933494">
        <w:rPr>
          <w:rFonts w:ascii="Times New Roman" w:hAnsi="Times New Roman" w:cs="Times New Roman"/>
          <w:color w:val="000000" w:themeColor="text1"/>
          <w:sz w:val="24"/>
          <w:szCs w:val="24"/>
        </w:rPr>
        <w:t>5</w:t>
      </w:r>
      <w:r w:rsidRPr="00541AAD">
        <w:rPr>
          <w:rFonts w:ascii="Times New Roman" w:hAnsi="Times New Roman" w:cs="Times New Roman"/>
          <w:color w:val="000000" w:themeColor="text1"/>
          <w:sz w:val="24"/>
          <w:szCs w:val="24"/>
        </w:rPr>
        <w:t>, 2023</w:t>
      </w:r>
    </w:p>
    <w:p w14:paraId="479CA825" w14:textId="06183E78" w:rsidR="002F01C0" w:rsidRDefault="002F01C0" w:rsidP="009A6D8D">
      <w:pPr>
        <w:pStyle w:val="Heading1"/>
        <w:spacing w:line="276" w:lineRule="auto"/>
      </w:pPr>
      <w:r w:rsidRPr="00542606">
        <w:t>Introduction</w:t>
      </w:r>
    </w:p>
    <w:p w14:paraId="6B21372A" w14:textId="0522DC6A" w:rsidR="003669D6" w:rsidRPr="005F7CA2" w:rsidRDefault="00763980" w:rsidP="009A6D8D">
      <w:pPr>
        <w:spacing w:line="276" w:lineRule="auto"/>
        <w:ind w:firstLine="720"/>
      </w:pPr>
      <w:r>
        <w:t>The Harvard Law School Project on Disability (HPOD) welcomes th</w:t>
      </w:r>
      <w:r w:rsidR="00074A19">
        <w:t>is</w:t>
      </w:r>
      <w:r>
        <w:t xml:space="preserve"> opportunity to </w:t>
      </w:r>
      <w:r w:rsidR="00074A19">
        <w:t xml:space="preserve">provide inputs to the </w:t>
      </w:r>
      <w:r>
        <w:t>Committee on the Rights of Persons with Disabilities</w:t>
      </w:r>
      <w:r w:rsidR="009B1BBB">
        <w:t xml:space="preserve"> (the “Committee”)</w:t>
      </w:r>
      <w:r w:rsidR="00074A19">
        <w:t xml:space="preserve"> for its day of general discussion on </w:t>
      </w:r>
      <w:r w:rsidR="005F7CA2" w:rsidRPr="005F7CA2">
        <w:t xml:space="preserve">Article </w:t>
      </w:r>
      <w:r w:rsidR="005F7CA2">
        <w:t xml:space="preserve">11 </w:t>
      </w:r>
      <w:r w:rsidR="00F82453">
        <w:t xml:space="preserve">of the </w:t>
      </w:r>
      <w:r w:rsidR="005B0205" w:rsidRPr="00EB7D45">
        <w:t>Convention on the Rights of Persons with Disabilities</w:t>
      </w:r>
      <w:r w:rsidR="005B0205">
        <w:t xml:space="preserve"> (CRPD)</w:t>
      </w:r>
      <w:r w:rsidR="00074A19">
        <w:t>.</w:t>
      </w:r>
      <w:r w:rsidR="00074A19">
        <w:rPr>
          <w:rStyle w:val="FootnoteReference"/>
        </w:rPr>
        <w:footnoteReference w:id="1"/>
      </w:r>
      <w:r w:rsidR="00074A19">
        <w:t xml:space="preserve"> </w:t>
      </w:r>
      <w:r w:rsidR="0034710D">
        <w:t>Th</w:t>
      </w:r>
      <w:r w:rsidR="002203F0">
        <w:t xml:space="preserve">is submission aims to </w:t>
      </w:r>
      <w:r w:rsidR="00494365">
        <w:t xml:space="preserve">summarize </w:t>
      </w:r>
      <w:r w:rsidR="009E62B9">
        <w:t xml:space="preserve">the Committee’s </w:t>
      </w:r>
      <w:r w:rsidR="00097BEB">
        <w:t>current</w:t>
      </w:r>
      <w:r w:rsidR="003A1E73">
        <w:t xml:space="preserve"> approach to </w:t>
      </w:r>
      <w:r w:rsidR="004176D5">
        <w:t xml:space="preserve">holding </w:t>
      </w:r>
      <w:r w:rsidR="00A05E64">
        <w:t>States parties</w:t>
      </w:r>
      <w:r w:rsidR="00097BEB">
        <w:t xml:space="preserve"> </w:t>
      </w:r>
      <w:r w:rsidR="004176D5">
        <w:t>accountable for their climate-related obligations under the CRPD through its concluding observations</w:t>
      </w:r>
      <w:r w:rsidR="00C45AC8">
        <w:t xml:space="preserve">, </w:t>
      </w:r>
      <w:r w:rsidR="00AC2E85">
        <w:t xml:space="preserve">in order to </w:t>
      </w:r>
      <w:r w:rsidR="00A81C26">
        <w:t>identify</w:t>
      </w:r>
      <w:r w:rsidR="0061564E">
        <w:t xml:space="preserve"> ways that the Committee may </w:t>
      </w:r>
      <w:r w:rsidR="00A33E37">
        <w:t xml:space="preserve">provide states parties more robust normative guidance </w:t>
      </w:r>
      <w:r w:rsidR="00F72AA7">
        <w:t>relating to these obligations in the form of a future general comment on Article 11.</w:t>
      </w:r>
      <w:bookmarkStart w:id="0" w:name="_Ref126569516"/>
      <w:r w:rsidR="006B640B">
        <w:rPr>
          <w:rStyle w:val="FootnoteReference"/>
        </w:rPr>
        <w:footnoteReference w:id="2"/>
      </w:r>
      <w:bookmarkEnd w:id="0"/>
    </w:p>
    <w:p w14:paraId="6536BB8D" w14:textId="744E4196" w:rsidR="002F01C0" w:rsidRDefault="002F01C0" w:rsidP="009A6D8D">
      <w:pPr>
        <w:pStyle w:val="Heading1"/>
        <w:spacing w:line="276" w:lineRule="auto"/>
      </w:pPr>
      <w:r w:rsidRPr="00542606">
        <w:t>Statement of Interest</w:t>
      </w:r>
    </w:p>
    <w:p w14:paraId="31683490" w14:textId="40F57E08" w:rsidR="002F01C0" w:rsidRPr="00542606" w:rsidRDefault="00074A19" w:rsidP="009A6D8D">
      <w:pPr>
        <w:spacing w:line="276" w:lineRule="auto"/>
        <w:ind w:firstLine="720"/>
      </w:pPr>
      <w:r>
        <w:t xml:space="preserve">HPOD </w:t>
      </w:r>
      <w:r w:rsidR="00EB7D45" w:rsidRPr="00EB7D45">
        <w:t>is a global center on disability rights law and policy based at the Harvard Law School in Cambridge, MA</w:t>
      </w:r>
      <w:r w:rsidR="00BD5EA4">
        <w:t xml:space="preserve">, </w:t>
      </w:r>
      <w:r w:rsidR="00C34839">
        <w:t>USA</w:t>
      </w:r>
      <w:r w:rsidR="005D3EBE">
        <w:t>,</w:t>
      </w:r>
      <w:r w:rsidR="00EB7D45" w:rsidRPr="00EB7D45">
        <w:t xml:space="preserve"> that has worked in some forty-four countries by providing technical support to public and private actors and by producing </w:t>
      </w:r>
      <w:r w:rsidR="005272FB">
        <w:t xml:space="preserve">leading </w:t>
      </w:r>
      <w:r w:rsidR="00EB7D45" w:rsidRPr="00EB7D45">
        <w:t>academic scholarship on the CRPD.</w:t>
      </w:r>
      <w:r w:rsidR="005B0205">
        <w:t xml:space="preserve"> </w:t>
      </w:r>
      <w:r w:rsidR="001443BA">
        <w:t>Deeply concerned by the existential threat posed by climate change, HPOD</w:t>
      </w:r>
      <w:r w:rsidR="00132E0F">
        <w:t xml:space="preserve"> has increasingly focused on the moral and legal imperative for disability-inclusive climate action. HPOD’s </w:t>
      </w:r>
      <w:r w:rsidR="00F90B95">
        <w:t>scholarship</w:t>
      </w:r>
      <w:r w:rsidR="00670BC2">
        <w:t xml:space="preserve">, which includes recent publications in </w:t>
      </w:r>
      <w:r w:rsidR="00670BC2">
        <w:rPr>
          <w:i/>
          <w:iCs/>
        </w:rPr>
        <w:t>Nature</w:t>
      </w:r>
      <w:r w:rsidR="00670BC2">
        <w:t xml:space="preserve">, </w:t>
      </w:r>
      <w:r w:rsidR="00670BC2">
        <w:rPr>
          <w:i/>
          <w:iCs/>
        </w:rPr>
        <w:t>The Lancet</w:t>
      </w:r>
      <w:r w:rsidR="00670BC2">
        <w:t xml:space="preserve">, and </w:t>
      </w:r>
      <w:r w:rsidR="00670BC2">
        <w:rPr>
          <w:i/>
          <w:iCs/>
        </w:rPr>
        <w:t>Human Rights Quarterly</w:t>
      </w:r>
      <w:r w:rsidR="00670BC2">
        <w:t>,</w:t>
      </w:r>
      <w:r w:rsidR="00670BC2">
        <w:rPr>
          <w:rStyle w:val="FootnoteReference"/>
        </w:rPr>
        <w:footnoteReference w:id="3"/>
      </w:r>
      <w:r w:rsidR="007A06CB">
        <w:t xml:space="preserve"> </w:t>
      </w:r>
      <w:r w:rsidR="00557C96">
        <w:t>and</w:t>
      </w:r>
      <w:r w:rsidR="007A06CB">
        <w:t xml:space="preserve"> a forthcoming symposium</w:t>
      </w:r>
      <w:r w:rsidR="00284BB6">
        <w:t>,</w:t>
      </w:r>
      <w:r w:rsidR="00BC2D19">
        <w:rPr>
          <w:rStyle w:val="FootnoteReference"/>
        </w:rPr>
        <w:footnoteReference w:id="4"/>
      </w:r>
      <w:r w:rsidR="00F90B95">
        <w:t xml:space="preserve"> </w:t>
      </w:r>
      <w:r w:rsidR="00DC6934">
        <w:t xml:space="preserve">as well as </w:t>
      </w:r>
      <w:r w:rsidR="00007DEF">
        <w:t>its</w:t>
      </w:r>
      <w:r w:rsidR="008D55A8">
        <w:t xml:space="preserve"> advocacy,</w:t>
      </w:r>
      <w:r w:rsidR="007C1A85">
        <w:t xml:space="preserve"> which include a September 2022 convening of climate researchers as well as </w:t>
      </w:r>
      <w:r w:rsidR="001443BA">
        <w:t>collaboration with</w:t>
      </w:r>
      <w:r w:rsidR="007C1A85">
        <w:t xml:space="preserve"> organizations of </w:t>
      </w:r>
      <w:r w:rsidR="007C1A85">
        <w:lastRenderedPageBreak/>
        <w:t>persons with disabilities (OPD</w:t>
      </w:r>
      <w:r w:rsidR="00A20088">
        <w:t>s</w:t>
      </w:r>
      <w:r w:rsidR="007C1A85">
        <w:t>)</w:t>
      </w:r>
      <w:r w:rsidR="009B1BBB">
        <w:t xml:space="preserve"> on climate action</w:t>
      </w:r>
      <w:r w:rsidR="007C1A85">
        <w:t>,</w:t>
      </w:r>
      <w:r w:rsidR="004A6710">
        <w:rPr>
          <w:rStyle w:val="FootnoteReference"/>
        </w:rPr>
        <w:footnoteReference w:id="5"/>
      </w:r>
      <w:r w:rsidR="007C1A85">
        <w:t xml:space="preserve"> </w:t>
      </w:r>
      <w:r w:rsidR="007750FC">
        <w:t xml:space="preserve">among other activities, have </w:t>
      </w:r>
      <w:r w:rsidR="00124E10">
        <w:t>inform</w:t>
      </w:r>
      <w:r w:rsidR="007750FC">
        <w:t>ed</w:t>
      </w:r>
      <w:r w:rsidR="00124E10">
        <w:t xml:space="preserve"> </w:t>
      </w:r>
      <w:r w:rsidR="00B73586">
        <w:t xml:space="preserve">the </w:t>
      </w:r>
      <w:r w:rsidR="002D7823">
        <w:t>present</w:t>
      </w:r>
      <w:r w:rsidR="00F5121B">
        <w:t xml:space="preserve"> submission.</w:t>
      </w:r>
    </w:p>
    <w:p w14:paraId="6FD3EF06" w14:textId="24D63AAC" w:rsidR="00EF29AD" w:rsidRDefault="00EF29AD" w:rsidP="009A6D8D">
      <w:pPr>
        <w:pStyle w:val="Heading1"/>
        <w:spacing w:line="276" w:lineRule="auto"/>
      </w:pPr>
      <w:r>
        <w:t>Content of Article 11</w:t>
      </w:r>
    </w:p>
    <w:p w14:paraId="7AA38F02" w14:textId="621CA3D4" w:rsidR="00717B77" w:rsidRDefault="00F479D7" w:rsidP="009A6D8D">
      <w:pPr>
        <w:spacing w:line="276" w:lineRule="auto"/>
        <w:ind w:firstLine="720"/>
      </w:pPr>
      <w:r>
        <w:t>The wide-ranging effects that climate change portends for the liberty, health, and economic, food, and personal security of persons with disabilities would make climate change an issue that the Committee could address across multiple CRPD articles. However, the Committee has largely addressed climate-related issues within the remit of Article 11.</w:t>
      </w:r>
      <w:r w:rsidR="00424833">
        <w:t xml:space="preserve"> Article 11 requires </w:t>
      </w:r>
      <w:r w:rsidR="007C377F">
        <w:t>States parties</w:t>
      </w:r>
      <w:r w:rsidR="00424833" w:rsidRPr="00306FBD">
        <w:t xml:space="preserve"> </w:t>
      </w:r>
      <w:r w:rsidR="00424833">
        <w:t>to “</w:t>
      </w:r>
      <w:r w:rsidR="00424833" w:rsidRPr="00306FBD">
        <w:t>take, in accordance with their obligations under international law, including international humanitarian law and international human rights law, all necessary measures to ensure the protection and safety of persons with disabilities in situations of risk, including situations of armed conflict, humanitarian emergencies and the occurrence of natural disasters.</w:t>
      </w:r>
      <w:r w:rsidR="00424833">
        <w:t>”</w:t>
      </w:r>
      <w:r w:rsidR="00436A4A">
        <w:rPr>
          <w:rStyle w:val="FootnoteReference"/>
        </w:rPr>
        <w:footnoteReference w:id="6"/>
      </w:r>
      <w:r w:rsidR="00424833">
        <w:t xml:space="preserve"> </w:t>
      </w:r>
      <w:r w:rsidR="00717B77">
        <w:t>As such, t</w:t>
      </w:r>
      <w:r w:rsidR="00A14F1A">
        <w:t>he</w:t>
      </w:r>
      <w:r>
        <w:t xml:space="preserve"> Committee has a long track record of addressing disaster risk reduction under Article 11</w:t>
      </w:r>
      <w:r w:rsidR="00CE5525">
        <w:t>.</w:t>
      </w:r>
      <w:r>
        <w:rPr>
          <w:rStyle w:val="FootnoteReference"/>
        </w:rPr>
        <w:footnoteReference w:id="7"/>
      </w:r>
      <w:r w:rsidR="00240622">
        <w:t xml:space="preserve"> </w:t>
      </w:r>
    </w:p>
    <w:p w14:paraId="40E3443B" w14:textId="2A2BBC79" w:rsidR="004D5749" w:rsidRDefault="00C86ADD" w:rsidP="009A6D8D">
      <w:pPr>
        <w:spacing w:line="276" w:lineRule="auto"/>
        <w:ind w:firstLine="720"/>
        <w:rPr>
          <w:rFonts w:eastAsia="Times New Roman"/>
        </w:rPr>
      </w:pPr>
      <w:r>
        <w:t>Although</w:t>
      </w:r>
      <w:r w:rsidR="00454F9D">
        <w:t>, as described below,</w:t>
      </w:r>
      <w:r>
        <w:t xml:space="preserve"> the Committee</w:t>
      </w:r>
      <w:r w:rsidR="00C67A8B">
        <w:t xml:space="preserve"> has </w:t>
      </w:r>
      <w:r w:rsidR="00454F9D">
        <w:t xml:space="preserve">recognized a link between climate change and natural disasters </w:t>
      </w:r>
      <w:r w:rsidR="00874C68">
        <w:t xml:space="preserve">in its recent concluding observations, </w:t>
      </w:r>
      <w:r w:rsidR="00CE5525">
        <w:t xml:space="preserve">climate change </w:t>
      </w:r>
      <w:r>
        <w:t xml:space="preserve">portends myriad adverse effects on persons with disabilities beyond climate change-induced disasters. </w:t>
      </w:r>
      <w:r w:rsidR="00874C68">
        <w:t xml:space="preserve">For example, </w:t>
      </w:r>
      <w:r w:rsidR="00904F9F" w:rsidRPr="00E364A5">
        <w:t>e</w:t>
      </w:r>
      <w:r w:rsidR="00904F9F" w:rsidRPr="00E364A5">
        <w:rPr>
          <w:rFonts w:eastAsia="Times New Roman"/>
        </w:rPr>
        <w:t>levated ambient temperatures negatively impact the health of people with conditions such as albinism, spinal cord injuries, and multiple sclerosis. Individuals with albinism are at heightened risk of skin cancer due to harmful ultraviolet radiation and inequality in accessing healthcare and indoor employment opportunities.</w:t>
      </w:r>
      <w:r w:rsidR="00904F9F" w:rsidRPr="00E364A5">
        <w:rPr>
          <w:rStyle w:val="FootnoteReference"/>
          <w:rFonts w:eastAsia="Times New Roman"/>
        </w:rPr>
        <w:footnoteReference w:id="8"/>
      </w:r>
      <w:r w:rsidR="00904F9F" w:rsidRPr="00E364A5">
        <w:rPr>
          <w:rFonts w:eastAsia="Times New Roman"/>
        </w:rPr>
        <w:t xml:space="preserve"> Thermoregulation is affected synergistically in people with spinal cord injury by the decentralized autonomic nervous system, disrupted hypothalamus input, and medication.</w:t>
      </w:r>
      <w:r w:rsidR="00904F9F" w:rsidRPr="00E364A5">
        <w:rPr>
          <w:rStyle w:val="FootnoteReference"/>
          <w:rFonts w:eastAsia="Times New Roman"/>
        </w:rPr>
        <w:footnoteReference w:id="9"/>
      </w:r>
      <w:r w:rsidR="00904F9F" w:rsidRPr="00E364A5">
        <w:rPr>
          <w:rFonts w:eastAsia="Times New Roman"/>
        </w:rPr>
        <w:t xml:space="preserve"> Between 60-80% of multiple sclerosis patients have been reported to have exacerbated symptoms with higher ambient temperatures or elevated core body temperature due to exercise</w:t>
      </w:r>
      <w:r w:rsidR="00CB0D5E">
        <w:rPr>
          <w:rFonts w:eastAsia="Times New Roman"/>
        </w:rPr>
        <w:t>,</w:t>
      </w:r>
      <w:r w:rsidR="00904F9F" w:rsidRPr="00E364A5">
        <w:rPr>
          <w:rStyle w:val="FootnoteReference"/>
          <w:rFonts w:eastAsia="Times New Roman"/>
        </w:rPr>
        <w:footnoteReference w:id="10"/>
      </w:r>
      <w:r w:rsidR="00904F9F" w:rsidRPr="00E364A5">
        <w:rPr>
          <w:rFonts w:eastAsia="Times New Roman"/>
        </w:rPr>
        <w:t xml:space="preserve"> </w:t>
      </w:r>
      <w:r w:rsidR="00CB0D5E">
        <w:rPr>
          <w:rFonts w:eastAsia="Times New Roman"/>
        </w:rPr>
        <w:t>and d</w:t>
      </w:r>
      <w:r w:rsidR="00904F9F" w:rsidRPr="00E364A5">
        <w:rPr>
          <w:rFonts w:eastAsia="Times New Roman"/>
        </w:rPr>
        <w:t>uring periods of unusually warm weather or high humidity, individuals with multiple sclerosis have a greater</w:t>
      </w:r>
      <w:r w:rsidR="00904F9F" w:rsidRPr="00E364A5" w:rsidDel="002A59DE">
        <w:rPr>
          <w:rFonts w:eastAsia="Times New Roman"/>
        </w:rPr>
        <w:t xml:space="preserve"> </w:t>
      </w:r>
      <w:r w:rsidR="00904F9F" w:rsidRPr="00E364A5">
        <w:rPr>
          <w:rFonts w:eastAsia="Times New Roman"/>
        </w:rPr>
        <w:t>likelihood of seeking emergency room or inpatient visit care</w:t>
      </w:r>
      <w:r w:rsidR="00CB0D5E">
        <w:rPr>
          <w:rFonts w:eastAsia="Times New Roman"/>
        </w:rPr>
        <w:t>.</w:t>
      </w:r>
      <w:r w:rsidR="00904F9F" w:rsidRPr="00E364A5">
        <w:rPr>
          <w:rStyle w:val="FootnoteReference"/>
          <w:rFonts w:eastAsia="Times New Roman"/>
        </w:rPr>
        <w:footnoteReference w:id="11"/>
      </w:r>
      <w:r w:rsidR="00CB0D5E">
        <w:t xml:space="preserve"> </w:t>
      </w:r>
      <w:r w:rsidR="002944D9">
        <w:t>Last</w:t>
      </w:r>
      <w:r w:rsidR="00CB0D5E">
        <w:t xml:space="preserve">, </w:t>
      </w:r>
      <w:r w:rsidR="004D5749" w:rsidRPr="00E364A5">
        <w:rPr>
          <w:rFonts w:eastAsia="Times New Roman"/>
        </w:rPr>
        <w:t xml:space="preserve">having a psychosocial disability triples the risk of mortality during </w:t>
      </w:r>
      <w:r w:rsidR="004D5749" w:rsidRPr="00E364A5">
        <w:rPr>
          <w:rFonts w:eastAsia="Times New Roman"/>
        </w:rPr>
        <w:lastRenderedPageBreak/>
        <w:t>heatwaves</w:t>
      </w:r>
      <w:r w:rsidR="00CB0D5E">
        <w:rPr>
          <w:rFonts w:eastAsia="Times New Roman"/>
        </w:rPr>
        <w:t xml:space="preserve">, potentially due </w:t>
      </w:r>
      <w:r w:rsidR="004D5749" w:rsidRPr="00E364A5">
        <w:rPr>
          <w:rFonts w:eastAsia="Times New Roman"/>
        </w:rPr>
        <w:t>to medications such as antipsychotics, antidepressants, and neuroleptics that affect thermoregulation used by some persons with mental disabilities.</w:t>
      </w:r>
      <w:r w:rsidR="004D5749" w:rsidRPr="00E364A5">
        <w:rPr>
          <w:rStyle w:val="FootnoteReference"/>
          <w:rFonts w:eastAsia="Times New Roman"/>
        </w:rPr>
        <w:footnoteReference w:id="12"/>
      </w:r>
    </w:p>
    <w:p w14:paraId="6AEA35BC" w14:textId="6AD89529" w:rsidR="002E36F6" w:rsidRDefault="001C3967" w:rsidP="009A6D8D">
      <w:pPr>
        <w:spacing w:line="276" w:lineRule="auto"/>
        <w:ind w:firstLine="720"/>
      </w:pPr>
      <w:r>
        <w:rPr>
          <w:rFonts w:eastAsia="Times New Roman"/>
        </w:rPr>
        <w:t xml:space="preserve">Thus, it is critical that the Committee respond to </w:t>
      </w:r>
      <w:r w:rsidR="001E7410">
        <w:rPr>
          <w:rFonts w:eastAsia="Times New Roman"/>
        </w:rPr>
        <w:t xml:space="preserve">growing evidence </w:t>
      </w:r>
      <w:r w:rsidR="00A34EB7">
        <w:rPr>
          <w:rFonts w:eastAsia="Times New Roman"/>
        </w:rPr>
        <w:t>of the broad-based effects of climate change on persons with disabilities</w:t>
      </w:r>
      <w:r w:rsidR="00543D65" w:rsidRPr="00E364A5">
        <w:rPr>
          <w:rFonts w:eastAsia="Times New Roman"/>
          <w:vertAlign w:val="superscript"/>
        </w:rPr>
        <w:footnoteReference w:id="13"/>
      </w:r>
      <w:r>
        <w:rPr>
          <w:rFonts w:eastAsia="Times New Roman"/>
        </w:rPr>
        <w:t xml:space="preserve"> by strengthening </w:t>
      </w:r>
      <w:r w:rsidR="004C66A6">
        <w:rPr>
          <w:rFonts w:eastAsia="Times New Roman"/>
        </w:rPr>
        <w:t>its</w:t>
      </w:r>
      <w:r w:rsidR="00E237CC">
        <w:rPr>
          <w:rFonts w:eastAsia="Times New Roman"/>
        </w:rPr>
        <w:t xml:space="preserve"> </w:t>
      </w:r>
      <w:r w:rsidR="00EF5EE5">
        <w:rPr>
          <w:rFonts w:eastAsia="Times New Roman"/>
        </w:rPr>
        <w:t xml:space="preserve">current </w:t>
      </w:r>
      <w:r w:rsidR="00E237CC">
        <w:rPr>
          <w:rFonts w:eastAsia="Times New Roman"/>
        </w:rPr>
        <w:t>approach</w:t>
      </w:r>
      <w:r w:rsidR="00DC2AE1" w:rsidRPr="00DC2AE1">
        <w:rPr>
          <w:rFonts w:eastAsia="Times New Roman"/>
        </w:rPr>
        <w:t xml:space="preserve"> </w:t>
      </w:r>
      <w:r w:rsidR="00DC2AE1">
        <w:rPr>
          <w:rFonts w:eastAsia="Times New Roman"/>
        </w:rPr>
        <w:t>to climate change</w:t>
      </w:r>
      <w:r w:rsidR="00291F84">
        <w:rPr>
          <w:rFonts w:eastAsia="Times New Roman"/>
        </w:rPr>
        <w:t>,</w:t>
      </w:r>
      <w:r w:rsidR="00E237CC">
        <w:rPr>
          <w:rFonts w:eastAsia="Times New Roman"/>
        </w:rPr>
        <w:t xml:space="preserve"> </w:t>
      </w:r>
      <w:r w:rsidR="00B43BF4">
        <w:rPr>
          <w:rFonts w:eastAsia="Times New Roman"/>
        </w:rPr>
        <w:t xml:space="preserve">as discerned from </w:t>
      </w:r>
      <w:r w:rsidR="00E237CC">
        <w:rPr>
          <w:rFonts w:eastAsia="Times New Roman"/>
        </w:rPr>
        <w:t>its concluding observations</w:t>
      </w:r>
      <w:r w:rsidR="00164867">
        <w:rPr>
          <w:rFonts w:eastAsia="Times New Roman"/>
        </w:rPr>
        <w:t xml:space="preserve"> on </w:t>
      </w:r>
      <w:r w:rsidR="0055009B">
        <w:rPr>
          <w:rFonts w:eastAsia="Times New Roman"/>
        </w:rPr>
        <w:t>States parties</w:t>
      </w:r>
      <w:r w:rsidR="00164867">
        <w:rPr>
          <w:rFonts w:eastAsia="Times New Roman"/>
        </w:rPr>
        <w:t>’ reports.</w:t>
      </w:r>
      <w:r w:rsidR="002F303F">
        <w:rPr>
          <w:rFonts w:eastAsia="Times New Roman"/>
        </w:rPr>
        <w:t xml:space="preserve"> </w:t>
      </w:r>
      <w:r w:rsidR="00275CD6">
        <w:rPr>
          <w:rFonts w:eastAsia="Times New Roman"/>
        </w:rPr>
        <w:t xml:space="preserve"> </w:t>
      </w:r>
    </w:p>
    <w:p w14:paraId="1925E7F2" w14:textId="16B92807" w:rsidR="002F01C0" w:rsidRDefault="004B12A5" w:rsidP="009A6D8D">
      <w:pPr>
        <w:pStyle w:val="Heading1"/>
        <w:spacing w:line="276" w:lineRule="auto"/>
      </w:pPr>
      <w:r>
        <w:t xml:space="preserve">Limitations in </w:t>
      </w:r>
      <w:r w:rsidR="00247C70">
        <w:t>the Committee’s Observations</w:t>
      </w:r>
    </w:p>
    <w:p w14:paraId="2C7162E4" w14:textId="3BF5F13F" w:rsidR="0054267F" w:rsidRDefault="009B1BBB" w:rsidP="009A6D8D">
      <w:pPr>
        <w:spacing w:line="276" w:lineRule="auto"/>
      </w:pPr>
      <w:r>
        <w:tab/>
        <w:t>The Committee has a mixed record on addressing the disproportionate effects of climate change on persons with disabilities</w:t>
      </w:r>
      <w:r w:rsidR="00223701">
        <w:t xml:space="preserve"> in its concluding observations on </w:t>
      </w:r>
      <w:r w:rsidR="0055009B">
        <w:t>States parties</w:t>
      </w:r>
      <w:r w:rsidR="00223701">
        <w:t xml:space="preserve">’ report, </w:t>
      </w:r>
      <w:r w:rsidR="00D93385">
        <w:t>a critical mechanism for monitoring CRPD implementation</w:t>
      </w:r>
      <w:r>
        <w:t xml:space="preserve">. </w:t>
      </w:r>
      <w:r w:rsidR="00E536A1">
        <w:t>While</w:t>
      </w:r>
      <w:r w:rsidR="003A0ED2" w:rsidRPr="003A0ED2">
        <w:t xml:space="preserve"> </w:t>
      </w:r>
      <w:r w:rsidR="003A0ED2">
        <w:t>in recent years</w:t>
      </w:r>
      <w:r w:rsidR="00E536A1">
        <w:t xml:space="preserve"> </w:t>
      </w:r>
      <w:r w:rsidR="003A0ED2">
        <w:t>the Committee</w:t>
      </w:r>
      <w:r w:rsidR="00E536A1">
        <w:t xml:space="preserve"> has </w:t>
      </w:r>
      <w:r w:rsidR="003A0ED2">
        <w:t xml:space="preserve">more frequently </w:t>
      </w:r>
      <w:r w:rsidR="00242DA6">
        <w:t>addressed these effects</w:t>
      </w:r>
      <w:r w:rsidR="001813C3">
        <w:t xml:space="preserve"> in its concluding observations on the reports of states parties, </w:t>
      </w:r>
      <w:r w:rsidR="00547E07">
        <w:t xml:space="preserve">it </w:t>
      </w:r>
      <w:r w:rsidR="001813C3">
        <w:t xml:space="preserve">has done so </w:t>
      </w:r>
      <w:r w:rsidR="0017420B">
        <w:t xml:space="preserve">with a limited focus on disaster risk reduction, </w:t>
      </w:r>
      <w:r w:rsidR="001813C3">
        <w:t xml:space="preserve">inconsistently, with a narrow focus on procedural </w:t>
      </w:r>
      <w:r w:rsidR="00E86592">
        <w:t xml:space="preserve">gaps, </w:t>
      </w:r>
      <w:r w:rsidR="0017420B">
        <w:t xml:space="preserve">and </w:t>
      </w:r>
      <w:r w:rsidR="00E86592">
        <w:t xml:space="preserve">without specificity. </w:t>
      </w:r>
      <w:r w:rsidR="00114F0F">
        <w:t>These limitations in the Committee’s approach to monitoring states parties’ climate-related CRPD obligations</w:t>
      </w:r>
      <w:r w:rsidR="00D9410C">
        <w:t xml:space="preserve"> may </w:t>
      </w:r>
      <w:r w:rsidR="00DC0902">
        <w:t xml:space="preserve">have </w:t>
      </w:r>
      <w:r w:rsidR="006A776B">
        <w:t xml:space="preserve">the effect of limiting the </w:t>
      </w:r>
      <w:r w:rsidR="00235C31">
        <w:t>role of the Committee in promoting disability-inclusive climate action.</w:t>
      </w:r>
    </w:p>
    <w:p w14:paraId="4CBB9554" w14:textId="53514A23" w:rsidR="00B5076D" w:rsidRPr="004A4769" w:rsidRDefault="00B5076D" w:rsidP="00CB4D34">
      <w:pPr>
        <w:pStyle w:val="Heading2"/>
      </w:pPr>
      <w:r w:rsidRPr="004A4769">
        <w:t>Focus on Disaster</w:t>
      </w:r>
      <w:r w:rsidR="00EE62A0">
        <w:t>s</w:t>
      </w:r>
      <w:r w:rsidRPr="004A4769">
        <w:t xml:space="preserve"> </w:t>
      </w:r>
    </w:p>
    <w:p w14:paraId="6D56C7D8" w14:textId="533AE26F" w:rsidR="00B5076D" w:rsidRPr="00DD4D61" w:rsidRDefault="00B5076D" w:rsidP="009A6D8D">
      <w:pPr>
        <w:spacing w:line="276" w:lineRule="auto"/>
        <w:ind w:firstLine="720"/>
      </w:pPr>
      <w:r>
        <w:t>First,</w:t>
      </w:r>
      <w:r w:rsidR="00140984">
        <w:t xml:space="preserve"> as mentioned above,</w:t>
      </w:r>
      <w:r>
        <w:t xml:space="preserve"> t</w:t>
      </w:r>
      <w:r w:rsidRPr="001267F5">
        <w:t xml:space="preserve">he Committee has generally focused on </w:t>
      </w:r>
      <w:r>
        <w:t xml:space="preserve">the narrower thematic area of </w:t>
      </w:r>
      <w:r w:rsidRPr="001267F5">
        <w:t xml:space="preserve">disaster risk reduction in its </w:t>
      </w:r>
      <w:proofErr w:type="gramStart"/>
      <w:r w:rsidRPr="001267F5">
        <w:t>Article</w:t>
      </w:r>
      <w:proofErr w:type="gramEnd"/>
      <w:r w:rsidRPr="001267F5">
        <w:t xml:space="preserve"> 11 observations</w:t>
      </w:r>
      <w:r>
        <w:t>, rather than the broader implications of climate change</w:t>
      </w:r>
      <w:r w:rsidRPr="001267F5">
        <w:t>.</w:t>
      </w:r>
      <w:r w:rsidR="00325936">
        <w:rPr>
          <w:rStyle w:val="FootnoteReference"/>
        </w:rPr>
        <w:footnoteReference w:id="14"/>
      </w:r>
      <w:r w:rsidRPr="001267F5">
        <w:t xml:space="preserve"> But failure to address climate change outside the context of natural disasters risks ignoring the myriad other negative effects of climate change, such as the deleterious effects of rising temperatures on thermoregulation and mental health. </w:t>
      </w:r>
      <w:r w:rsidR="00B95409">
        <w:t>Similarly</w:t>
      </w:r>
      <w:r w:rsidR="006E15D3">
        <w:t>, the</w:t>
      </w:r>
      <w:r w:rsidRPr="001267F5">
        <w:t xml:space="preserve"> Committee’s frequent reference to the Sendai Framework</w:t>
      </w:r>
      <w:r w:rsidR="00114644">
        <w:t xml:space="preserve"> </w:t>
      </w:r>
      <w:r w:rsidR="00743BD1">
        <w:t>for Disaster Risk Reduction</w:t>
      </w:r>
      <w:r w:rsidR="00D05F70">
        <w:t xml:space="preserve"> in its </w:t>
      </w:r>
      <w:r w:rsidR="000B56DF">
        <w:t xml:space="preserve">recommendations to </w:t>
      </w:r>
      <w:r w:rsidR="0055009B">
        <w:t>States parties</w:t>
      </w:r>
      <w:r w:rsidR="000B56DF">
        <w:t xml:space="preserve"> under Article 11</w:t>
      </w:r>
      <w:r w:rsidR="00D67543">
        <w:t xml:space="preserve"> </w:t>
      </w:r>
      <w:r w:rsidRPr="001267F5">
        <w:t>risk</w:t>
      </w:r>
      <w:r w:rsidR="00C2222E">
        <w:t>s</w:t>
      </w:r>
      <w:r w:rsidRPr="001267F5">
        <w:t xml:space="preserve"> </w:t>
      </w:r>
      <w:r w:rsidR="00BD6E06">
        <w:t xml:space="preserve">conveying </w:t>
      </w:r>
      <w:r w:rsidR="00ED5774">
        <w:t xml:space="preserve">that </w:t>
      </w:r>
      <w:r w:rsidR="0055009B">
        <w:t>States parties</w:t>
      </w:r>
      <w:r w:rsidR="00ED5774">
        <w:t xml:space="preserve"> </w:t>
      </w:r>
      <w:r w:rsidR="00C45509">
        <w:t xml:space="preserve">may fulfill </w:t>
      </w:r>
      <w:r w:rsidR="00C62809">
        <w:t xml:space="preserve">their </w:t>
      </w:r>
      <w:r w:rsidR="00654643">
        <w:t xml:space="preserve">climate-related CRPD obligations </w:t>
      </w:r>
      <w:r w:rsidR="008812EE">
        <w:t xml:space="preserve">through </w:t>
      </w:r>
      <w:r w:rsidR="004A71DE">
        <w:t>adopting</w:t>
      </w:r>
      <w:r w:rsidRPr="001267F5">
        <w:t xml:space="preserve"> Sendai Framework-compliant measures. </w:t>
      </w:r>
      <w:r w:rsidR="00941535">
        <w:t xml:space="preserve">By contrast, the </w:t>
      </w:r>
      <w:r w:rsidR="00AD6922">
        <w:t xml:space="preserve">Committee has </w:t>
      </w:r>
      <w:r w:rsidR="004F45C6">
        <w:t xml:space="preserve">less frequently referenced international norms </w:t>
      </w:r>
      <w:r w:rsidR="004F45C6">
        <w:t>that addresses climate change beyond the narrow context of disaster risk reduction</w:t>
      </w:r>
      <w:r w:rsidR="004F45C6">
        <w:t xml:space="preserve">. For example, </w:t>
      </w:r>
      <w:r w:rsidR="002A23CA">
        <w:t>i</w:t>
      </w:r>
      <w:r w:rsidR="002A23CA">
        <w:t xml:space="preserve">n the five-year period spanning its </w:t>
      </w:r>
      <w:r w:rsidR="002A23CA" w:rsidRPr="0009536B">
        <w:t>17</w:t>
      </w:r>
      <w:r w:rsidR="002A23CA" w:rsidRPr="0009536B">
        <w:rPr>
          <w:vertAlign w:val="superscript"/>
        </w:rPr>
        <w:t>th</w:t>
      </w:r>
      <w:r w:rsidR="002A23CA" w:rsidRPr="0009536B">
        <w:t xml:space="preserve"> to 27</w:t>
      </w:r>
      <w:r w:rsidR="002A23CA" w:rsidRPr="0009536B">
        <w:rPr>
          <w:vertAlign w:val="superscript"/>
        </w:rPr>
        <w:t>th</w:t>
      </w:r>
      <w:r w:rsidR="002A23CA" w:rsidRPr="0009536B">
        <w:t xml:space="preserve"> sessions</w:t>
      </w:r>
      <w:r w:rsidR="002A23CA">
        <w:t xml:space="preserve">, </w:t>
      </w:r>
      <w:r w:rsidR="00B2204F">
        <w:t>the Committee has referenced Sustainable Development Goal 13</w:t>
      </w:r>
      <w:r w:rsidR="00DA3A93">
        <w:t xml:space="preserve"> </w:t>
      </w:r>
      <w:r w:rsidR="00613C6E">
        <w:t>five</w:t>
      </w:r>
      <w:r w:rsidR="00B2204F">
        <w:t xml:space="preserve"> </w:t>
      </w:r>
      <w:r w:rsidR="00CF0296">
        <w:t>times</w:t>
      </w:r>
      <w:r w:rsidR="00CF0296">
        <w:rPr>
          <w:rStyle w:val="FootnoteReference"/>
        </w:rPr>
        <w:footnoteReference w:id="15"/>
      </w:r>
      <w:r w:rsidR="00CF0296">
        <w:t xml:space="preserve"> </w:t>
      </w:r>
      <w:r w:rsidR="002A23CA">
        <w:t>and</w:t>
      </w:r>
      <w:r w:rsidR="00CF0296">
        <w:t xml:space="preserve"> the Paris Agreement </w:t>
      </w:r>
      <w:r w:rsidR="00AD6922">
        <w:t xml:space="preserve">only </w:t>
      </w:r>
      <w:r w:rsidR="001743AA">
        <w:t>once</w:t>
      </w:r>
      <w:r w:rsidR="00195CA3">
        <w:t>.</w:t>
      </w:r>
      <w:bookmarkStart w:id="1" w:name="_Ref126569252"/>
      <w:r w:rsidR="006B03B3">
        <w:rPr>
          <w:rStyle w:val="FootnoteReference"/>
        </w:rPr>
        <w:footnoteReference w:id="16"/>
      </w:r>
      <w:bookmarkEnd w:id="1"/>
      <w:r w:rsidRPr="001267F5">
        <w:t xml:space="preserve"> </w:t>
      </w:r>
      <w:r w:rsidR="002A23CA">
        <w:t xml:space="preserve">Moreover, </w:t>
      </w:r>
      <w:r w:rsidR="0064417F">
        <w:t>these</w:t>
      </w:r>
      <w:r w:rsidR="002A23CA">
        <w:t xml:space="preserve"> references </w:t>
      </w:r>
      <w:r w:rsidR="005320BC">
        <w:t xml:space="preserve">are limited to recommendations that States </w:t>
      </w:r>
      <w:r w:rsidR="00244DCD">
        <w:t>p</w:t>
      </w:r>
      <w:r w:rsidR="005320BC">
        <w:t>arties undertake disability-inclusive disaster reduction measures</w:t>
      </w:r>
      <w:r w:rsidR="0064417F">
        <w:t xml:space="preserve"> that align with </w:t>
      </w:r>
      <w:r w:rsidR="0064417F">
        <w:t>these norms</w:t>
      </w:r>
      <w:r w:rsidR="0064417F">
        <w:t xml:space="preserve">, even though </w:t>
      </w:r>
      <w:r w:rsidR="00244DCD">
        <w:t xml:space="preserve">these norms </w:t>
      </w:r>
      <w:r w:rsidR="000A0883">
        <w:t>encompass a</w:t>
      </w:r>
      <w:r w:rsidR="00244DCD">
        <w:t xml:space="preserve"> broader</w:t>
      </w:r>
      <w:r w:rsidR="000A0883">
        <w:t xml:space="preserve"> range of climate action</w:t>
      </w:r>
      <w:r w:rsidR="00244DCD">
        <w:t xml:space="preserve">. </w:t>
      </w:r>
    </w:p>
    <w:p w14:paraId="395B3C6E" w14:textId="4461D880" w:rsidR="00695895" w:rsidRPr="007E0574" w:rsidRDefault="00695895" w:rsidP="00CB4D34">
      <w:pPr>
        <w:pStyle w:val="Heading2"/>
      </w:pPr>
      <w:r w:rsidRPr="007E0574">
        <w:t>Inconsistency</w:t>
      </w:r>
    </w:p>
    <w:p w14:paraId="7D82DEBB" w14:textId="536162D0" w:rsidR="00247C70" w:rsidRDefault="00EA3307" w:rsidP="009A6D8D">
      <w:pPr>
        <w:spacing w:line="276" w:lineRule="auto"/>
        <w:ind w:firstLine="720"/>
      </w:pPr>
      <w:r>
        <w:t>I</w:t>
      </w:r>
      <w:r w:rsidR="00E708E2">
        <w:t xml:space="preserve">n the five-year period spanning its </w:t>
      </w:r>
      <w:r w:rsidR="0009536B" w:rsidRPr="0009536B">
        <w:t>17</w:t>
      </w:r>
      <w:r w:rsidR="0009536B" w:rsidRPr="0009536B">
        <w:rPr>
          <w:vertAlign w:val="superscript"/>
        </w:rPr>
        <w:t>th</w:t>
      </w:r>
      <w:r w:rsidR="0009536B" w:rsidRPr="0009536B">
        <w:t xml:space="preserve"> to 27</w:t>
      </w:r>
      <w:r w:rsidR="0009536B" w:rsidRPr="0009536B">
        <w:rPr>
          <w:vertAlign w:val="superscript"/>
        </w:rPr>
        <w:t>th</w:t>
      </w:r>
      <w:r w:rsidR="0009536B" w:rsidRPr="0009536B">
        <w:t xml:space="preserve"> sessions, the Committee has adopted concluding observations for 61 </w:t>
      </w:r>
      <w:r w:rsidR="0055009B">
        <w:t>States parties</w:t>
      </w:r>
      <w:r w:rsidR="00E708E2">
        <w:t xml:space="preserve">, but has mentioned </w:t>
      </w:r>
      <w:r w:rsidR="0009536B" w:rsidRPr="0009536B">
        <w:t xml:space="preserve">“climate change” in </w:t>
      </w:r>
      <w:r w:rsidR="00E708E2">
        <w:t xml:space="preserve">only </w:t>
      </w:r>
      <w:r w:rsidR="0009536B" w:rsidRPr="0009536B">
        <w:t>7 of</w:t>
      </w:r>
      <w:r w:rsidR="00E708E2">
        <w:t xml:space="preserve"> them</w:t>
      </w:r>
      <w:r w:rsidR="001A0B46">
        <w:t xml:space="preserve">: </w:t>
      </w:r>
      <w:r w:rsidR="0009536B" w:rsidRPr="0009536B">
        <w:t xml:space="preserve">Japan, Laos, and Singapore in 2022; Australia in 2019; Seychelles in 2018; Panama and </w:t>
      </w:r>
      <w:r w:rsidR="0009536B" w:rsidRPr="0009536B">
        <w:lastRenderedPageBreak/>
        <w:t>Honduras in 2017.</w:t>
      </w:r>
      <w:r w:rsidR="002467B8">
        <w:rPr>
          <w:rStyle w:val="FootnoteReference"/>
        </w:rPr>
        <w:footnoteReference w:id="17"/>
      </w:r>
      <w:r w:rsidR="00E708E2">
        <w:t xml:space="preserve"> </w:t>
      </w:r>
      <w:r w:rsidR="008E36B2">
        <w:t>Also</w:t>
      </w:r>
      <w:r w:rsidR="0009536B">
        <w:t>, i</w:t>
      </w:r>
      <w:r w:rsidR="0009536B" w:rsidRPr="0009536B">
        <w:t xml:space="preserve">t has conspicuously not mentioned “climate change” in its concluding observations for some </w:t>
      </w:r>
      <w:r w:rsidR="008E36B2">
        <w:t xml:space="preserve">notably </w:t>
      </w:r>
      <w:r w:rsidR="0009536B" w:rsidRPr="0009536B">
        <w:t>climate</w:t>
      </w:r>
      <w:r w:rsidR="008E36B2">
        <w:t xml:space="preserve"> change</w:t>
      </w:r>
      <w:r w:rsidR="0009536B" w:rsidRPr="0009536B">
        <w:t>-affected countries, such as Vanuatu in 2019 and the Philippines in 2018.</w:t>
      </w:r>
      <w:r w:rsidR="0060077E">
        <w:rPr>
          <w:rStyle w:val="FootnoteReference"/>
        </w:rPr>
        <w:footnoteReference w:id="18"/>
      </w:r>
      <w:r w:rsidR="0060077E">
        <w:t xml:space="preserve"> </w:t>
      </w:r>
      <w:r w:rsidR="008E36B2">
        <w:t>Similarly</w:t>
      </w:r>
      <w:r w:rsidR="0009536B" w:rsidRPr="0009536B">
        <w:t xml:space="preserve">, in its observations for Bangladesh, </w:t>
      </w:r>
      <w:r w:rsidR="0011268F">
        <w:t>the Committee</w:t>
      </w:r>
      <w:r w:rsidR="0009536B" w:rsidRPr="0009536B">
        <w:t xml:space="preserve"> mentioned “climate change” only in the context of citing the full name of the Paris </w:t>
      </w:r>
      <w:r w:rsidR="005B3547">
        <w:t>Climate Accords</w:t>
      </w:r>
      <w:r w:rsidR="0009536B" w:rsidRPr="0009536B">
        <w:t>.</w:t>
      </w:r>
      <w:r w:rsidR="0060077E">
        <w:rPr>
          <w:rStyle w:val="FootnoteReference"/>
        </w:rPr>
        <w:footnoteReference w:id="19"/>
      </w:r>
      <w:r w:rsidR="00453594">
        <w:t xml:space="preserve"> Thus, the </w:t>
      </w:r>
      <w:r w:rsidR="0035264F">
        <w:t xml:space="preserve">Committee to date has not consistently raised the implications of climate change for persons with disabilities in its concluding observations, </w:t>
      </w:r>
      <w:r w:rsidR="0030168B">
        <w:t xml:space="preserve">thereby missing opportunities to monitor </w:t>
      </w:r>
      <w:r w:rsidR="0055009B">
        <w:t>States parties</w:t>
      </w:r>
      <w:r w:rsidR="0030168B">
        <w:t>’ fulfillment of</w:t>
      </w:r>
      <w:r w:rsidR="00E536A1">
        <w:t xml:space="preserve"> climate-related CRPD obligations.</w:t>
      </w:r>
      <w:r w:rsidR="00C448E9">
        <w:t xml:space="preserve"> </w:t>
      </w:r>
      <w:r w:rsidR="00461236">
        <w:t xml:space="preserve">While to a certain extent the Committee’s inconsistency may reflect a lack of </w:t>
      </w:r>
      <w:r w:rsidR="00F33547">
        <w:t xml:space="preserve">focus by </w:t>
      </w:r>
      <w:r w:rsidR="0055009B">
        <w:t>States parties</w:t>
      </w:r>
      <w:r w:rsidR="00F33547">
        <w:t xml:space="preserve"> and civil society</w:t>
      </w:r>
      <w:r w:rsidR="00462F50">
        <w:t xml:space="preserve"> organizations</w:t>
      </w:r>
      <w:r w:rsidR="00F33547">
        <w:t xml:space="preserve"> on climate change, </w:t>
      </w:r>
      <w:r w:rsidR="00AE1623">
        <w:t xml:space="preserve">the Committee’s current approach risks signaling that </w:t>
      </w:r>
      <w:r w:rsidR="00597FE3">
        <w:t xml:space="preserve">only certain </w:t>
      </w:r>
      <w:r w:rsidR="0055009B">
        <w:t>States parties</w:t>
      </w:r>
      <w:r w:rsidR="00597FE3">
        <w:t xml:space="preserve"> have </w:t>
      </w:r>
      <w:r w:rsidR="00A7597F">
        <w:t>climate-related obligations under the CRPD</w:t>
      </w:r>
      <w:r w:rsidR="00DE1685">
        <w:t>, while others do not.</w:t>
      </w:r>
    </w:p>
    <w:p w14:paraId="2E69F271" w14:textId="31544967" w:rsidR="006B5194" w:rsidRDefault="00695895" w:rsidP="00CB4D34">
      <w:pPr>
        <w:pStyle w:val="Heading2"/>
      </w:pPr>
      <w:r w:rsidRPr="007E0574">
        <w:t>Procedural Focus</w:t>
      </w:r>
    </w:p>
    <w:p w14:paraId="619CEB45" w14:textId="50F224BB" w:rsidR="003E146C" w:rsidRPr="004A4769" w:rsidRDefault="00B33857" w:rsidP="009A6D8D">
      <w:pPr>
        <w:spacing w:line="276" w:lineRule="auto"/>
        <w:ind w:firstLine="720"/>
      </w:pPr>
      <w:r>
        <w:t xml:space="preserve">The Committee’s recommendations have focused on procedural justice concerns in </w:t>
      </w:r>
      <w:r w:rsidR="0055009B">
        <w:t>States parties</w:t>
      </w:r>
      <w:r w:rsidR="002A6500">
        <w:t>’</w:t>
      </w:r>
      <w:r>
        <w:t xml:space="preserve"> development of disaster risk reduction and climate change policies and plans. </w:t>
      </w:r>
      <w:r w:rsidR="00D95623">
        <w:t xml:space="preserve">To illustrate, in its most recent session, the Committee expressed by concern at a lack of consultation with OPDs </w:t>
      </w:r>
      <w:r w:rsidR="005155BF">
        <w:t>in Japan, Laos, and Singapore</w:t>
      </w:r>
      <w:r w:rsidR="004B54A3">
        <w:t xml:space="preserve">. With slight variations in its language, the Committee </w:t>
      </w:r>
      <w:r w:rsidR="00A20088">
        <w:t xml:space="preserve">recommended </w:t>
      </w:r>
      <w:r w:rsidR="004B54A3">
        <w:t xml:space="preserve">that each </w:t>
      </w:r>
      <w:r w:rsidR="00A05E64">
        <w:t>States party</w:t>
      </w:r>
      <w:r w:rsidR="004B54A3">
        <w:t xml:space="preserve"> </w:t>
      </w:r>
      <w:r w:rsidR="004C0EDC">
        <w:t>e</w:t>
      </w:r>
      <w:r w:rsidR="00D066E3" w:rsidRPr="00D066E3">
        <w:t>nsure th</w:t>
      </w:r>
      <w:r w:rsidR="00EB5A56">
        <w:t>e effective involvement of OPDs in</w:t>
      </w:r>
      <w:r w:rsidR="001A47D8">
        <w:t xml:space="preserve"> designing and implementing</w:t>
      </w:r>
      <w:r w:rsidR="00D066E3" w:rsidRPr="00D066E3">
        <w:t xml:space="preserve"> disaster risk reduction plans and strategies and policies on climate change at all levels are formulated together with persons with disabilities</w:t>
      </w:r>
      <w:r w:rsidR="00D32007">
        <w:t>.</w:t>
      </w:r>
      <w:r w:rsidR="00E308AB">
        <w:rPr>
          <w:rStyle w:val="FootnoteReference"/>
        </w:rPr>
        <w:footnoteReference w:id="20"/>
      </w:r>
      <w:r w:rsidR="00E308AB">
        <w:t xml:space="preserve"> </w:t>
      </w:r>
      <w:r w:rsidR="00041DF3">
        <w:t xml:space="preserve"> By contrast, </w:t>
      </w:r>
      <w:r w:rsidR="0062539D">
        <w:t>the Committee</w:t>
      </w:r>
      <w:r w:rsidR="00081725">
        <w:t xml:space="preserve"> </w:t>
      </w:r>
      <w:r w:rsidR="00FA51CF">
        <w:t>do</w:t>
      </w:r>
      <w:r w:rsidR="0062539D">
        <w:t>es</w:t>
      </w:r>
      <w:r w:rsidR="00FA51CF">
        <w:t xml:space="preserve"> not</w:t>
      </w:r>
      <w:r w:rsidR="00081725">
        <w:t xml:space="preserve"> allude to the substantive content of</w:t>
      </w:r>
      <w:r w:rsidR="00891B5D">
        <w:t xml:space="preserve"> these plans, strategies, and policies</w:t>
      </w:r>
      <w:r w:rsidR="00041DF3">
        <w:t>.</w:t>
      </w:r>
      <w:r w:rsidR="00891B5D">
        <w:t xml:space="preserve"> </w:t>
      </w:r>
      <w:r w:rsidR="00041DF3">
        <w:t xml:space="preserve">It </w:t>
      </w:r>
      <w:r w:rsidR="00891B5D">
        <w:t>recommend</w:t>
      </w:r>
      <w:r w:rsidR="00041DF3">
        <w:t>s</w:t>
      </w:r>
      <w:r w:rsidR="0039606E">
        <w:t xml:space="preserve">, for instance, that Japan ensure they </w:t>
      </w:r>
      <w:r w:rsidR="00891B5D">
        <w:t>“</w:t>
      </w:r>
      <w:r w:rsidR="00D066E3" w:rsidRPr="00D066E3">
        <w:t xml:space="preserve">explicitly respond to </w:t>
      </w:r>
      <w:r w:rsidR="0039606E">
        <w:t>[persons with disabilities’]</w:t>
      </w:r>
      <w:r w:rsidR="00D066E3" w:rsidRPr="00D066E3">
        <w:t xml:space="preserve"> specific needs in all situations of risk”</w:t>
      </w:r>
      <w:r w:rsidR="0039606E">
        <w:t xml:space="preserve"> and that </w:t>
      </w:r>
      <w:r w:rsidR="00041DF3">
        <w:t>Singapore ensure they are “comprehensive.”</w:t>
      </w:r>
      <w:r w:rsidR="00E308AB">
        <w:rPr>
          <w:rStyle w:val="FootnoteReference"/>
        </w:rPr>
        <w:footnoteReference w:id="21"/>
      </w:r>
      <w:r w:rsidR="00E308AB">
        <w:t xml:space="preserve"> </w:t>
      </w:r>
      <w:r w:rsidR="00FF008E">
        <w:t xml:space="preserve">Its most clear substantive recommendation </w:t>
      </w:r>
      <w:r w:rsidR="00F71B87">
        <w:t xml:space="preserve">for the content of climate plans, strategies, and policies </w:t>
      </w:r>
      <w:r w:rsidR="0034273D">
        <w:t>is found</w:t>
      </w:r>
      <w:r w:rsidR="00F71B87">
        <w:t xml:space="preserve"> in its</w:t>
      </w:r>
      <w:r w:rsidR="0034273D">
        <w:t xml:space="preserve"> 2018 </w:t>
      </w:r>
      <w:r w:rsidR="00F71B87">
        <w:t xml:space="preserve">observations for Seychelles, </w:t>
      </w:r>
      <w:r w:rsidR="00786069">
        <w:t>where</w:t>
      </w:r>
      <w:r w:rsidR="00F71B87">
        <w:t xml:space="preserve"> it recommended </w:t>
      </w:r>
      <w:r w:rsidR="002A129C">
        <w:t xml:space="preserve">that the </w:t>
      </w:r>
      <w:r w:rsidR="00A05E64">
        <w:t>States party</w:t>
      </w:r>
      <w:r w:rsidR="002A129C">
        <w:t xml:space="preserve"> </w:t>
      </w:r>
      <w:r w:rsidR="00F71B87">
        <w:t xml:space="preserve">ensure that </w:t>
      </w:r>
      <w:r w:rsidR="00D34F54">
        <w:t>persons with disabilities have “</w:t>
      </w:r>
      <w:r w:rsidR="00D34F54" w:rsidRPr="00D34F54">
        <w:t>a single point of contact in situations of emergency and disasters</w:t>
      </w:r>
      <w:r w:rsidR="00D34F54">
        <w:t>.”</w:t>
      </w:r>
      <w:r w:rsidR="00E308AB">
        <w:rPr>
          <w:rStyle w:val="FootnoteReference"/>
        </w:rPr>
        <w:footnoteReference w:id="22"/>
      </w:r>
      <w:r w:rsidR="00E308AB">
        <w:t xml:space="preserve"> </w:t>
      </w:r>
      <w:r w:rsidR="00162C5B">
        <w:t xml:space="preserve"> Thus, </w:t>
      </w:r>
      <w:r w:rsidR="00C71A35">
        <w:t xml:space="preserve">despite the importance of procedural justice in the development and implementation of </w:t>
      </w:r>
      <w:r w:rsidR="00B03E51">
        <w:t xml:space="preserve">climate measures, </w:t>
      </w:r>
      <w:r w:rsidR="00AB0FB4">
        <w:t xml:space="preserve">where the Committee </w:t>
      </w:r>
      <w:r w:rsidR="00F47A0F">
        <w:t xml:space="preserve">addresses </w:t>
      </w:r>
      <w:r w:rsidR="002438BF">
        <w:t xml:space="preserve">the </w:t>
      </w:r>
      <w:r w:rsidR="00F47A0F">
        <w:t xml:space="preserve">effects </w:t>
      </w:r>
      <w:r w:rsidR="002438BF">
        <w:t xml:space="preserve">of climate change </w:t>
      </w:r>
      <w:r w:rsidR="00F47A0F">
        <w:t xml:space="preserve">on persons with disabilities in its concluding observations, it provides only limited guidance on the substantive content of </w:t>
      </w:r>
      <w:r w:rsidR="0055009B">
        <w:t>States parties</w:t>
      </w:r>
      <w:r w:rsidR="00F47A0F">
        <w:t xml:space="preserve">’ </w:t>
      </w:r>
      <w:r w:rsidR="00E56EC7">
        <w:t>plans, policies, and strategies</w:t>
      </w:r>
      <w:r w:rsidR="00F523C3">
        <w:t xml:space="preserve">, </w:t>
      </w:r>
      <w:r w:rsidR="008325C9">
        <w:t>which risks</w:t>
      </w:r>
      <w:r w:rsidR="00614CEA">
        <w:t xml:space="preserve"> </w:t>
      </w:r>
      <w:r w:rsidR="008E021C">
        <w:t>blunting</w:t>
      </w:r>
      <w:r w:rsidR="006C2938">
        <w:t xml:space="preserve"> the impact of its recommendations.</w:t>
      </w:r>
    </w:p>
    <w:p w14:paraId="18CBEB82" w14:textId="461D8742" w:rsidR="00695895" w:rsidRPr="007E0574" w:rsidRDefault="00695895" w:rsidP="00CB4D34">
      <w:pPr>
        <w:pStyle w:val="Heading2"/>
      </w:pPr>
      <w:r w:rsidRPr="007E0574">
        <w:t>Lack of Specificity</w:t>
      </w:r>
    </w:p>
    <w:p w14:paraId="5C9CB48E" w14:textId="375CF549" w:rsidR="00883B2F" w:rsidRDefault="009E7587" w:rsidP="00360968">
      <w:pPr>
        <w:spacing w:line="276" w:lineRule="auto"/>
        <w:ind w:firstLine="720"/>
      </w:pPr>
      <w:r>
        <w:t xml:space="preserve">Last, </w:t>
      </w:r>
      <w:r w:rsidR="00906AC5">
        <w:t xml:space="preserve">where the Committee </w:t>
      </w:r>
      <w:r w:rsidR="008F245D">
        <w:t xml:space="preserve">addresses gaps </w:t>
      </w:r>
      <w:r w:rsidR="00F06566">
        <w:t xml:space="preserve">in </w:t>
      </w:r>
      <w:r w:rsidR="0055009B">
        <w:t>States parties</w:t>
      </w:r>
      <w:r w:rsidR="00F06566">
        <w:t>’</w:t>
      </w:r>
      <w:r w:rsidR="00015EAA">
        <w:t xml:space="preserve"> climate-related</w:t>
      </w:r>
      <w:r w:rsidR="00F06566">
        <w:t xml:space="preserve"> </w:t>
      </w:r>
      <w:r w:rsidR="0079422B">
        <w:t>plans, policies, and strategies</w:t>
      </w:r>
      <w:r w:rsidR="00A62C16">
        <w:t xml:space="preserve">, </w:t>
      </w:r>
      <w:r w:rsidR="00946030">
        <w:t xml:space="preserve">it </w:t>
      </w:r>
      <w:r w:rsidR="00E9491E">
        <w:t>only rarely does so with specificity.</w:t>
      </w:r>
      <w:r w:rsidR="00EE48B2">
        <w:t xml:space="preserve"> For example, </w:t>
      </w:r>
      <w:r w:rsidR="00001AEA">
        <w:t>the Committee’s</w:t>
      </w:r>
      <w:r w:rsidR="00001AEA" w:rsidRPr="00001AEA">
        <w:t xml:space="preserve"> observations </w:t>
      </w:r>
      <w:proofErr w:type="gramStart"/>
      <w:r w:rsidR="00872CC8">
        <w:t>on</w:t>
      </w:r>
      <w:proofErr w:type="gramEnd"/>
      <w:r w:rsidR="00001AEA" w:rsidRPr="00001AEA">
        <w:t xml:space="preserve"> Seychelles </w:t>
      </w:r>
      <w:r w:rsidR="00BC2ACD">
        <w:t xml:space="preserve">include its </w:t>
      </w:r>
      <w:r w:rsidR="00001AEA" w:rsidRPr="00001AEA">
        <w:t xml:space="preserve">lone reference to a </w:t>
      </w:r>
      <w:r w:rsidR="00A05E64">
        <w:t>States party</w:t>
      </w:r>
      <w:r w:rsidR="00001AEA" w:rsidRPr="00001AEA">
        <w:t>’s climate-related policy by name. The Committee was concerned by “the lack of inclusion of a disability perspective in the Disaster Risk Management Act (2014) and the absence of participation of persons with disabilities through their representative organizations in the design and implementation of laws, strategies and plans relating to climate change and situations of risk</w:t>
      </w:r>
      <w:r w:rsidR="00130E89">
        <w:t>.</w:t>
      </w:r>
      <w:r w:rsidR="00001AEA" w:rsidRPr="00001AEA">
        <w:t>”</w:t>
      </w:r>
      <w:r w:rsidR="00130E89">
        <w:rPr>
          <w:rStyle w:val="FootnoteReference"/>
        </w:rPr>
        <w:footnoteReference w:id="23"/>
      </w:r>
      <w:r w:rsidR="00001AEA" w:rsidRPr="00001AEA">
        <w:t xml:space="preserve"> </w:t>
      </w:r>
      <w:r w:rsidR="00CB0CF0">
        <w:t>In a similar vein</w:t>
      </w:r>
      <w:r w:rsidR="002F743F">
        <w:t xml:space="preserve">, the Committee </w:t>
      </w:r>
      <w:r w:rsidR="00F464A4">
        <w:t>specifically mentioned “</w:t>
      </w:r>
      <w:r w:rsidR="00F464A4" w:rsidRPr="004857EB">
        <w:t>National Disaster Prevention and Control Committee”</w:t>
      </w:r>
      <w:r w:rsidR="003A6ACA">
        <w:t xml:space="preserve"> as a relevant </w:t>
      </w:r>
      <w:r w:rsidR="00FE06A2">
        <w:t xml:space="preserve">authority </w:t>
      </w:r>
      <w:r w:rsidR="00E92D9E">
        <w:t xml:space="preserve">where </w:t>
      </w:r>
      <w:r w:rsidR="00406629">
        <w:t xml:space="preserve">OPD </w:t>
      </w:r>
      <w:r w:rsidR="0026300A">
        <w:t xml:space="preserve">representation </w:t>
      </w:r>
      <w:r w:rsidR="004A0F5F">
        <w:t xml:space="preserve">is </w:t>
      </w:r>
      <w:r w:rsidR="00647EFC">
        <w:t xml:space="preserve">needed as part of its recommendation </w:t>
      </w:r>
      <w:r w:rsidR="00A87CD0">
        <w:t>that</w:t>
      </w:r>
      <w:r w:rsidR="004857EB">
        <w:t xml:space="preserve"> Laos </w:t>
      </w:r>
      <w:r w:rsidR="005701F8">
        <w:t>ensure OPDs</w:t>
      </w:r>
      <w:r w:rsidR="00A87CD0">
        <w:t xml:space="preserve">’ involvement in </w:t>
      </w:r>
      <w:r w:rsidR="005701F8">
        <w:t xml:space="preserve">designing and implementing </w:t>
      </w:r>
      <w:r w:rsidR="006912C6">
        <w:t>climate-related policies</w:t>
      </w:r>
      <w:r w:rsidR="00F464A4">
        <w:t>.</w:t>
      </w:r>
      <w:r w:rsidR="00B76EC7">
        <w:rPr>
          <w:rStyle w:val="FootnoteReference"/>
        </w:rPr>
        <w:footnoteReference w:id="24"/>
      </w:r>
      <w:r w:rsidR="00F464A4">
        <w:t xml:space="preserve"> </w:t>
      </w:r>
      <w:r w:rsidR="003B4668">
        <w:t xml:space="preserve">The Committee’s specific </w:t>
      </w:r>
      <w:r w:rsidR="00A10674">
        <w:t>reference</w:t>
      </w:r>
      <w:r w:rsidR="0039594C">
        <w:t>s</w:t>
      </w:r>
      <w:r w:rsidR="00A10674">
        <w:t xml:space="preserve"> to relevant Seychelles’ </w:t>
      </w:r>
      <w:r w:rsidR="00B854CA">
        <w:t xml:space="preserve">legislation and </w:t>
      </w:r>
      <w:r w:rsidR="003E2692">
        <w:t>Laos’</w:t>
      </w:r>
      <w:r w:rsidR="00A10674">
        <w:t xml:space="preserve"> </w:t>
      </w:r>
      <w:r w:rsidR="006C583A">
        <w:t xml:space="preserve">policy-making body </w:t>
      </w:r>
      <w:r w:rsidR="00DD68D5">
        <w:t xml:space="preserve">likely </w:t>
      </w:r>
      <w:r w:rsidR="002A5536">
        <w:t xml:space="preserve">will help clarify to those </w:t>
      </w:r>
      <w:r w:rsidR="0055009B">
        <w:t>States parties</w:t>
      </w:r>
      <w:r w:rsidR="002A5536">
        <w:t xml:space="preserve"> </w:t>
      </w:r>
      <w:r w:rsidR="008C6542">
        <w:t xml:space="preserve">how their CRPD obligations map onto their domestic law and policy frameworks. </w:t>
      </w:r>
      <w:r w:rsidR="000F3200">
        <w:t>However, b</w:t>
      </w:r>
      <w:r w:rsidR="00E8131B">
        <w:t xml:space="preserve">y generally failing to </w:t>
      </w:r>
      <w:r w:rsidR="000B0829">
        <w:t xml:space="preserve">use this degree of specificity in its </w:t>
      </w:r>
      <w:r w:rsidR="00363D1D">
        <w:t>other</w:t>
      </w:r>
      <w:r w:rsidR="00BD411B">
        <w:t xml:space="preserve"> climate change-related</w:t>
      </w:r>
      <w:r w:rsidR="00363D1D">
        <w:t xml:space="preserve"> </w:t>
      </w:r>
      <w:r w:rsidR="004B5361">
        <w:t>observations</w:t>
      </w:r>
      <w:r w:rsidR="00360968">
        <w:t xml:space="preserve">, the Committee </w:t>
      </w:r>
      <w:r w:rsidR="00081DDD">
        <w:t xml:space="preserve">risks </w:t>
      </w:r>
      <w:r w:rsidR="008C06AB">
        <w:t xml:space="preserve">giving </w:t>
      </w:r>
      <w:r w:rsidR="0055009B">
        <w:t>States parties</w:t>
      </w:r>
      <w:r w:rsidR="008C06AB">
        <w:t xml:space="preserve"> </w:t>
      </w:r>
      <w:r w:rsidR="00AC2B72">
        <w:t xml:space="preserve">too much leeway </w:t>
      </w:r>
      <w:r w:rsidR="0057471D">
        <w:t>to</w:t>
      </w:r>
      <w:r w:rsidR="00AC2B72">
        <w:t xml:space="preserve"> </w:t>
      </w:r>
      <w:r w:rsidR="00C81851">
        <w:t xml:space="preserve">identify themselves </w:t>
      </w:r>
      <w:r w:rsidR="00C82632">
        <w:t xml:space="preserve">which </w:t>
      </w:r>
      <w:r w:rsidR="00134D53">
        <w:t>plans, policies, and strategies</w:t>
      </w:r>
      <w:r w:rsidR="002317AF">
        <w:t xml:space="preserve"> </w:t>
      </w:r>
      <w:r w:rsidR="00271189">
        <w:t xml:space="preserve">require </w:t>
      </w:r>
      <w:r w:rsidR="002D5BEF">
        <w:t>modification</w:t>
      </w:r>
      <w:r w:rsidR="00483010">
        <w:t>.</w:t>
      </w:r>
    </w:p>
    <w:p w14:paraId="6848CBF2" w14:textId="42FB518E" w:rsidR="004A4A96" w:rsidRDefault="003C7D38" w:rsidP="009A6D8D">
      <w:pPr>
        <w:pStyle w:val="Heading1"/>
        <w:spacing w:line="276" w:lineRule="auto"/>
      </w:pPr>
      <w:r>
        <w:t xml:space="preserve">Contents of </w:t>
      </w:r>
      <w:r w:rsidR="000814F9">
        <w:t xml:space="preserve">the Article 11 </w:t>
      </w:r>
      <w:r w:rsidR="00F030D5">
        <w:t>General Comment</w:t>
      </w:r>
    </w:p>
    <w:p w14:paraId="7C9A6667" w14:textId="4667922D" w:rsidR="004A4769" w:rsidRDefault="004A4A96" w:rsidP="009A6D8D">
      <w:pPr>
        <w:spacing w:line="276" w:lineRule="auto"/>
      </w:pPr>
      <w:r>
        <w:tab/>
      </w:r>
      <w:r w:rsidR="00E013E2">
        <w:t xml:space="preserve">The development of a general comment on Article 11 presents the Committee an important opportunity to strengthen its </w:t>
      </w:r>
      <w:r w:rsidR="00402220">
        <w:t xml:space="preserve">current </w:t>
      </w:r>
      <w:r w:rsidR="00E013E2">
        <w:t xml:space="preserve">approach to </w:t>
      </w:r>
      <w:r w:rsidR="0055009B">
        <w:t>States parties</w:t>
      </w:r>
      <w:r w:rsidR="00E013E2">
        <w:t>’ climate-related obligations under the CRPD</w:t>
      </w:r>
      <w:r w:rsidR="00AD58F2">
        <w:t xml:space="preserve">, as discernible in its concluding observations. </w:t>
      </w:r>
      <w:r w:rsidR="00443D2A">
        <w:t xml:space="preserve">The </w:t>
      </w:r>
      <w:r w:rsidR="00BC45AD">
        <w:t xml:space="preserve">Committee should </w:t>
      </w:r>
      <w:r w:rsidR="00171DF4">
        <w:t xml:space="preserve">seize this opportunity to </w:t>
      </w:r>
      <w:r w:rsidR="00657401">
        <w:t xml:space="preserve">shore </w:t>
      </w:r>
      <w:r w:rsidR="000F4530">
        <w:t xml:space="preserve">up each of the </w:t>
      </w:r>
      <w:r w:rsidR="00A73242">
        <w:t xml:space="preserve">above-mentioned </w:t>
      </w:r>
      <w:r w:rsidR="00443D2A">
        <w:t xml:space="preserve">limitations in its </w:t>
      </w:r>
      <w:r w:rsidR="00E23A47">
        <w:t>current approach</w:t>
      </w:r>
      <w:r w:rsidR="00A10FDE">
        <w:t xml:space="preserve">, by </w:t>
      </w:r>
      <w:r w:rsidR="00B0761F">
        <w:t xml:space="preserve">clarifying that </w:t>
      </w:r>
      <w:r w:rsidR="0055009B">
        <w:t>States parties</w:t>
      </w:r>
      <w:r w:rsidR="00411DE9">
        <w:t xml:space="preserve">’ </w:t>
      </w:r>
      <w:proofErr w:type="gramStart"/>
      <w:r w:rsidR="00411DE9">
        <w:t>climate-related</w:t>
      </w:r>
      <w:proofErr w:type="gramEnd"/>
      <w:r w:rsidR="00411DE9">
        <w:t xml:space="preserve"> CRPD obligations extend beyond disaster risk reduction</w:t>
      </w:r>
      <w:r w:rsidR="001D580F">
        <w:t>;</w:t>
      </w:r>
      <w:r w:rsidR="00411DE9">
        <w:t xml:space="preserve"> </w:t>
      </w:r>
      <w:r w:rsidR="00EE071C">
        <w:t xml:space="preserve">affirming that </w:t>
      </w:r>
      <w:r w:rsidR="00473604">
        <w:t xml:space="preserve">all </w:t>
      </w:r>
      <w:r w:rsidR="0055009B">
        <w:t>States parties</w:t>
      </w:r>
      <w:r w:rsidR="00473604">
        <w:t xml:space="preserve"> have </w:t>
      </w:r>
      <w:r w:rsidR="003D5E7E">
        <w:t>such obligations</w:t>
      </w:r>
      <w:r w:rsidR="00E25996">
        <w:t>;</w:t>
      </w:r>
      <w:r w:rsidR="003D5E7E">
        <w:t xml:space="preserve"> </w:t>
      </w:r>
      <w:r w:rsidR="00330E33">
        <w:t xml:space="preserve">articulating </w:t>
      </w:r>
      <w:r w:rsidR="00FF152E">
        <w:t>substantive guidelines and indicators for fulfilling these obligations</w:t>
      </w:r>
      <w:r w:rsidR="004873A5">
        <w:t>;</w:t>
      </w:r>
      <w:r w:rsidR="00FF152E">
        <w:t xml:space="preserve"> and </w:t>
      </w:r>
      <w:r w:rsidR="00F41D0B">
        <w:t xml:space="preserve">identifying specific </w:t>
      </w:r>
      <w:r w:rsidR="00E33CC6">
        <w:t>measures</w:t>
      </w:r>
      <w:r w:rsidR="00BE2041">
        <w:t xml:space="preserve"> that </w:t>
      </w:r>
      <w:r w:rsidR="0055009B">
        <w:t>States parties</w:t>
      </w:r>
      <w:r w:rsidR="001128E4">
        <w:t xml:space="preserve"> </w:t>
      </w:r>
      <w:r w:rsidR="009D3A1C">
        <w:t xml:space="preserve">must </w:t>
      </w:r>
      <w:r w:rsidR="003F0198">
        <w:t xml:space="preserve">amend or adopt </w:t>
      </w:r>
      <w:r w:rsidR="00131674">
        <w:t xml:space="preserve">to </w:t>
      </w:r>
      <w:r w:rsidR="00B93821">
        <w:t>satisfy their obligations.</w:t>
      </w:r>
    </w:p>
    <w:p w14:paraId="70F65174" w14:textId="47196F0D" w:rsidR="00FE4844" w:rsidRDefault="00FE4844" w:rsidP="00CB4D34">
      <w:pPr>
        <w:pStyle w:val="Heading2"/>
        <w:numPr>
          <w:ilvl w:val="0"/>
          <w:numId w:val="4"/>
        </w:numPr>
      </w:pPr>
      <w:r>
        <w:t xml:space="preserve">Clarify That </w:t>
      </w:r>
      <w:r w:rsidR="00DA0406" w:rsidRPr="005D6400">
        <w:t>States</w:t>
      </w:r>
      <w:r w:rsidR="00DA0406">
        <w:t xml:space="preserve"> Parties’ Climate-Related CRPD Obligations </w:t>
      </w:r>
      <w:r w:rsidR="006148AE">
        <w:t>Extend</w:t>
      </w:r>
      <w:r w:rsidR="00E96B28">
        <w:t xml:space="preserve"> </w:t>
      </w:r>
      <w:r>
        <w:t>beyond Natural Disasters</w:t>
      </w:r>
    </w:p>
    <w:p w14:paraId="349FCE12" w14:textId="67393B3B" w:rsidR="00FE4844" w:rsidRPr="009910E1" w:rsidRDefault="005E2BE7" w:rsidP="009A6D8D">
      <w:pPr>
        <w:spacing w:line="276" w:lineRule="auto"/>
        <w:ind w:firstLine="720"/>
      </w:pPr>
      <w:r>
        <w:t xml:space="preserve">The </w:t>
      </w:r>
      <w:r w:rsidR="00A40604">
        <w:t>Committee</w:t>
      </w:r>
      <w:r>
        <w:t xml:space="preserve"> should </w:t>
      </w:r>
      <w:r w:rsidR="00603B31">
        <w:t xml:space="preserve">expand on its </w:t>
      </w:r>
      <w:r w:rsidR="009C2936">
        <w:t xml:space="preserve">current approach </w:t>
      </w:r>
      <w:r w:rsidR="00615681">
        <w:t xml:space="preserve">to climate </w:t>
      </w:r>
      <w:r w:rsidR="00E03732">
        <w:t>change</w:t>
      </w:r>
      <w:r w:rsidR="00A45679">
        <w:t xml:space="preserve">, which </w:t>
      </w:r>
      <w:r w:rsidR="00C534DE">
        <w:t>merely</w:t>
      </w:r>
      <w:r w:rsidR="00AC383A">
        <w:t xml:space="preserve"> </w:t>
      </w:r>
      <w:r w:rsidR="00E47FB2">
        <w:t>acknowledg</w:t>
      </w:r>
      <w:r w:rsidR="00A45679">
        <w:t>es</w:t>
      </w:r>
      <w:r w:rsidR="00E47FB2">
        <w:t xml:space="preserve"> </w:t>
      </w:r>
      <w:r w:rsidR="003A1C6D">
        <w:t>climate change’s</w:t>
      </w:r>
      <w:r w:rsidR="00E47FB2">
        <w:t xml:space="preserve"> connection </w:t>
      </w:r>
      <w:r w:rsidR="00AC383A">
        <w:t xml:space="preserve">to </w:t>
      </w:r>
      <w:r w:rsidR="00D61C30">
        <w:t xml:space="preserve">natural disasters. </w:t>
      </w:r>
      <w:r w:rsidR="004F7252">
        <w:t xml:space="preserve">As mentioned above, </w:t>
      </w:r>
      <w:r w:rsidR="00A40604">
        <w:t xml:space="preserve">the Committee </w:t>
      </w:r>
      <w:r w:rsidR="005D3D5B">
        <w:t xml:space="preserve">only recently has </w:t>
      </w:r>
      <w:r w:rsidR="00C753AD">
        <w:t>made this linkage</w:t>
      </w:r>
      <w:r w:rsidR="00B0512D">
        <w:t xml:space="preserve"> in a handful of concluding observations</w:t>
      </w:r>
      <w:r w:rsidR="00F8197A">
        <w:t xml:space="preserve">. </w:t>
      </w:r>
      <w:r w:rsidR="00BB14EB">
        <w:t>Trenchantly</w:t>
      </w:r>
      <w:r w:rsidR="00F8197A">
        <w:t xml:space="preserve">, </w:t>
      </w:r>
      <w:r w:rsidR="00A05789">
        <w:t>the Committee</w:t>
      </w:r>
      <w:r w:rsidR="00520D51">
        <w:t xml:space="preserve">’s </w:t>
      </w:r>
      <w:r w:rsidR="009D5E11">
        <w:t xml:space="preserve">narrow </w:t>
      </w:r>
      <w:r w:rsidR="00B65D8B">
        <w:t>focus</w:t>
      </w:r>
      <w:r w:rsidR="00C55E2F">
        <w:t xml:space="preserve"> </w:t>
      </w:r>
      <w:r w:rsidR="00C67173">
        <w:t>on natural disasters</w:t>
      </w:r>
      <w:r w:rsidR="00860A9D">
        <w:t xml:space="preserve"> </w:t>
      </w:r>
      <w:r w:rsidR="00BC07A2">
        <w:t xml:space="preserve">prevents it </w:t>
      </w:r>
      <w:r w:rsidR="00CB5CD6">
        <w:t xml:space="preserve">from </w:t>
      </w:r>
      <w:r w:rsidR="00B5498B">
        <w:t xml:space="preserve">addressing </w:t>
      </w:r>
      <w:r w:rsidR="00077E7F">
        <w:t xml:space="preserve">the far-reaching effects of climate change beyond disaster </w:t>
      </w:r>
      <w:r w:rsidR="00CE4F6A">
        <w:t>scenarios</w:t>
      </w:r>
      <w:r w:rsidR="00C67173">
        <w:t xml:space="preserve">. </w:t>
      </w:r>
      <w:r w:rsidR="00FE4844">
        <w:t xml:space="preserve">One way </w:t>
      </w:r>
      <w:r w:rsidR="00307D23">
        <w:t xml:space="preserve">that the Committee may </w:t>
      </w:r>
      <w:r w:rsidR="00FE4844">
        <w:t>justify</w:t>
      </w:r>
      <w:r w:rsidR="00DA51DC">
        <w:t xml:space="preserve"> a broader approach to climate change under </w:t>
      </w:r>
      <w:r w:rsidR="009E255A">
        <w:t xml:space="preserve">the aegis of Article 11 is </w:t>
      </w:r>
      <w:r w:rsidR="00FE4844">
        <w:t xml:space="preserve">to clarify that </w:t>
      </w:r>
      <w:r w:rsidR="0040484D">
        <w:t xml:space="preserve">the phrase </w:t>
      </w:r>
      <w:r w:rsidR="00FE4844">
        <w:t>“situations of risk” encompasses the effects of climate change beyond natural disasters.</w:t>
      </w:r>
      <w:r w:rsidR="00B11655">
        <w:t xml:space="preserve"> </w:t>
      </w:r>
      <w:r w:rsidR="00BC3953">
        <w:t xml:space="preserve">Although Article 11 </w:t>
      </w:r>
      <w:r w:rsidR="000E5614">
        <w:t xml:space="preserve">does expressly </w:t>
      </w:r>
      <w:r w:rsidR="00BB4522">
        <w:t xml:space="preserve">mention </w:t>
      </w:r>
      <w:r w:rsidR="00D41BB3">
        <w:t xml:space="preserve">natural disasters as </w:t>
      </w:r>
      <w:r w:rsidR="000174ED">
        <w:t xml:space="preserve">one </w:t>
      </w:r>
      <w:r w:rsidR="00F16E66">
        <w:t xml:space="preserve">example of </w:t>
      </w:r>
      <w:r w:rsidR="00390919">
        <w:t xml:space="preserve">a situation of risk covered by Article 11, </w:t>
      </w:r>
      <w:r w:rsidR="00F674A0">
        <w:t xml:space="preserve">nothing in the plain language of this article </w:t>
      </w:r>
      <w:r w:rsidR="00457361">
        <w:t xml:space="preserve">limits </w:t>
      </w:r>
      <w:r w:rsidR="003853DD">
        <w:t xml:space="preserve">the Committee to </w:t>
      </w:r>
      <w:r w:rsidR="007F0406">
        <w:t xml:space="preserve">addressing only </w:t>
      </w:r>
      <w:r w:rsidR="00BA5877">
        <w:t xml:space="preserve">the three kinds of situations </w:t>
      </w:r>
      <w:r w:rsidR="00B93B0E">
        <w:t xml:space="preserve">described therein. </w:t>
      </w:r>
      <w:r w:rsidR="000E306A">
        <w:t>By clarifying, for example, that</w:t>
      </w:r>
      <w:r w:rsidR="00CF42F1">
        <w:t xml:space="preserve"> slow-onset </w:t>
      </w:r>
      <w:r w:rsidR="003030B7">
        <w:t>effects</w:t>
      </w:r>
      <w:r w:rsidR="00FC7B06">
        <w:t xml:space="preserve"> of</w:t>
      </w:r>
      <w:r w:rsidR="003030B7">
        <w:t xml:space="preserve"> </w:t>
      </w:r>
      <w:r w:rsidR="00CF42F1">
        <w:t>climate change</w:t>
      </w:r>
      <w:r w:rsidR="00321E29">
        <w:t>,</w:t>
      </w:r>
      <w:r w:rsidR="003030B7">
        <w:t xml:space="preserve"> including </w:t>
      </w:r>
      <w:r w:rsidR="00C018E5">
        <w:t>elevated temperatures</w:t>
      </w:r>
      <w:r w:rsidR="00D05544">
        <w:t xml:space="preserve"> or rising sea levels</w:t>
      </w:r>
      <w:r w:rsidR="00C018E5">
        <w:t xml:space="preserve">, </w:t>
      </w:r>
      <w:r w:rsidR="00D80AC4">
        <w:t xml:space="preserve">may </w:t>
      </w:r>
      <w:r w:rsidR="00C74B94">
        <w:t xml:space="preserve">qualify as “situations of risk,” </w:t>
      </w:r>
      <w:r w:rsidR="00AC5C39">
        <w:t xml:space="preserve">the Committee </w:t>
      </w:r>
      <w:r w:rsidR="00527BC9">
        <w:t xml:space="preserve">could justify </w:t>
      </w:r>
      <w:r w:rsidR="00DE19FF">
        <w:t xml:space="preserve">addressing a broader range of climate impacts </w:t>
      </w:r>
      <w:r w:rsidR="00ED24F3">
        <w:t>under Article 11</w:t>
      </w:r>
      <w:r w:rsidR="003850F7">
        <w:t xml:space="preserve">, thereby </w:t>
      </w:r>
      <w:r w:rsidR="009711D7">
        <w:t xml:space="preserve">providing a strong </w:t>
      </w:r>
      <w:r w:rsidR="00C52CEB">
        <w:t xml:space="preserve">normative rationale </w:t>
      </w:r>
      <w:r w:rsidR="00FC6AAA">
        <w:t>for</w:t>
      </w:r>
      <w:r w:rsidR="00855163">
        <w:t xml:space="preserve"> </w:t>
      </w:r>
      <w:r w:rsidR="00FC7FE0">
        <w:t>more comprehensive</w:t>
      </w:r>
      <w:r w:rsidR="00B133EA">
        <w:t xml:space="preserve"> </w:t>
      </w:r>
      <w:r w:rsidR="00FA096D">
        <w:t xml:space="preserve">vigilance of </w:t>
      </w:r>
      <w:r w:rsidR="007C377F">
        <w:t>States parties</w:t>
      </w:r>
      <w:r w:rsidR="005C5C7F">
        <w:t>’</w:t>
      </w:r>
      <w:r w:rsidR="00545E70">
        <w:t xml:space="preserve"> climate-related CRPD obligations.</w:t>
      </w:r>
    </w:p>
    <w:p w14:paraId="5B4D54EC" w14:textId="4A207D65" w:rsidR="00A2627A" w:rsidRPr="00CB4D34" w:rsidRDefault="00BD7D32" w:rsidP="00CB4D34">
      <w:pPr>
        <w:pStyle w:val="Heading2"/>
        <w:numPr>
          <w:ilvl w:val="0"/>
          <w:numId w:val="4"/>
        </w:numPr>
      </w:pPr>
      <w:r>
        <w:t xml:space="preserve">Consistently </w:t>
      </w:r>
      <w:r w:rsidR="00E462FF" w:rsidRPr="00CB4D34">
        <w:t xml:space="preserve">Affirm </w:t>
      </w:r>
      <w:r w:rsidR="006F4A25" w:rsidRPr="00CB4D34">
        <w:t>That</w:t>
      </w:r>
      <w:r w:rsidR="00E462FF" w:rsidRPr="00CB4D34">
        <w:t xml:space="preserve"> </w:t>
      </w:r>
      <w:r w:rsidR="004B5028" w:rsidRPr="00CB4D34">
        <w:t>All</w:t>
      </w:r>
      <w:r w:rsidR="00E73A80" w:rsidRPr="00CB4D34">
        <w:t xml:space="preserve"> States Parties</w:t>
      </w:r>
      <w:r w:rsidR="00124FFB" w:rsidRPr="00CB4D34">
        <w:t xml:space="preserve"> Have</w:t>
      </w:r>
      <w:r w:rsidR="00E73A80" w:rsidRPr="00CB4D34">
        <w:t xml:space="preserve"> </w:t>
      </w:r>
      <w:r w:rsidR="00E462FF" w:rsidRPr="00CB4D34">
        <w:t>Climate</w:t>
      </w:r>
      <w:r w:rsidR="00453E17" w:rsidRPr="00CB4D34">
        <w:t xml:space="preserve">-Related </w:t>
      </w:r>
      <w:r w:rsidR="002F12DC" w:rsidRPr="00CB4D34">
        <w:t xml:space="preserve">CRPD </w:t>
      </w:r>
      <w:r w:rsidR="00453E17" w:rsidRPr="00CB4D34">
        <w:t>Obligations</w:t>
      </w:r>
    </w:p>
    <w:p w14:paraId="265CD5A2" w14:textId="277D57F1" w:rsidR="00284514" w:rsidRPr="00284514" w:rsidRDefault="007621ED" w:rsidP="009A6D8D">
      <w:pPr>
        <w:spacing w:line="276" w:lineRule="auto"/>
        <w:ind w:firstLine="720"/>
      </w:pPr>
      <w:r>
        <w:t>Given</w:t>
      </w:r>
      <w:r w:rsidR="00FB405B">
        <w:t xml:space="preserve"> the existential threat that climate change poses </w:t>
      </w:r>
      <w:r w:rsidR="005A0BA6">
        <w:t xml:space="preserve">around the world, </w:t>
      </w:r>
      <w:r w:rsidR="00E316D4">
        <w:t xml:space="preserve">the </w:t>
      </w:r>
      <w:r w:rsidR="00066850">
        <w:t xml:space="preserve">Committee </w:t>
      </w:r>
      <w:r w:rsidR="00801C3C">
        <w:t xml:space="preserve">should </w:t>
      </w:r>
      <w:r w:rsidR="00722B6F">
        <w:t xml:space="preserve">take care to </w:t>
      </w:r>
      <w:r w:rsidR="00CE0560">
        <w:t xml:space="preserve">alert </w:t>
      </w:r>
      <w:r w:rsidR="007C377F">
        <w:t>States parties</w:t>
      </w:r>
      <w:r w:rsidR="00CE0560">
        <w:t xml:space="preserve"> of its intention to address</w:t>
      </w:r>
      <w:r w:rsidR="0035132E">
        <w:t xml:space="preserve"> climate</w:t>
      </w:r>
      <w:r w:rsidR="00AD3AA9">
        <w:t xml:space="preserve"> change consistently</w:t>
      </w:r>
      <w:r w:rsidR="000C70B8">
        <w:t xml:space="preserve"> in its</w:t>
      </w:r>
      <w:r w:rsidR="00095ABC">
        <w:t xml:space="preserve"> future</w:t>
      </w:r>
      <w:r w:rsidR="000C70B8">
        <w:t xml:space="preserve"> monitoring and oversight activities.</w:t>
      </w:r>
      <w:r w:rsidR="00AD3AA9">
        <w:t xml:space="preserve"> </w:t>
      </w:r>
      <w:r w:rsidR="009E2B10">
        <w:t xml:space="preserve">For example, </w:t>
      </w:r>
      <w:r w:rsidR="005A0BA6">
        <w:t>t</w:t>
      </w:r>
      <w:r w:rsidR="00194233">
        <w:t xml:space="preserve">he Committee </w:t>
      </w:r>
      <w:r w:rsidR="00452F0E">
        <w:t xml:space="preserve">should commit </w:t>
      </w:r>
      <w:r w:rsidR="00CA198E">
        <w:t xml:space="preserve">to addressing </w:t>
      </w:r>
      <w:r w:rsidR="004E0BED">
        <w:t xml:space="preserve">climate change in </w:t>
      </w:r>
      <w:r w:rsidR="00F6722E">
        <w:t xml:space="preserve">all </w:t>
      </w:r>
      <w:r w:rsidR="00A1420D">
        <w:t xml:space="preserve">its </w:t>
      </w:r>
      <w:r w:rsidR="004B627A">
        <w:t xml:space="preserve">lists of issues and </w:t>
      </w:r>
      <w:r w:rsidR="00A1420D">
        <w:t xml:space="preserve">concluding observations, irrespective of whether </w:t>
      </w:r>
      <w:r w:rsidR="007C377F">
        <w:t>States parties</w:t>
      </w:r>
      <w:r w:rsidR="00532941">
        <w:t xml:space="preserve"> or civil society </w:t>
      </w:r>
      <w:r w:rsidR="00737D2F">
        <w:t xml:space="preserve">submissions </w:t>
      </w:r>
      <w:r w:rsidR="004B627A">
        <w:t>themselves broach this issue</w:t>
      </w:r>
      <w:r w:rsidR="00341771">
        <w:t xml:space="preserve">. </w:t>
      </w:r>
      <w:r w:rsidR="0094420E">
        <w:t xml:space="preserve">Furthermore, </w:t>
      </w:r>
      <w:r w:rsidR="002C194D">
        <w:t xml:space="preserve">in contrast to </w:t>
      </w:r>
      <w:r w:rsidR="00636CC8">
        <w:t xml:space="preserve">its </w:t>
      </w:r>
      <w:r w:rsidR="0009550C">
        <w:t xml:space="preserve">current tendency to </w:t>
      </w:r>
      <w:r w:rsidR="00626082">
        <w:t xml:space="preserve">raise climate-related </w:t>
      </w:r>
      <w:r w:rsidR="00270EA5">
        <w:t xml:space="preserve">issues in its concluding observations </w:t>
      </w:r>
      <w:r w:rsidR="00513D1A">
        <w:t xml:space="preserve">for </w:t>
      </w:r>
      <w:r w:rsidR="007C377F">
        <w:t>States parties</w:t>
      </w:r>
      <w:r w:rsidR="00513D1A">
        <w:t xml:space="preserve"> </w:t>
      </w:r>
      <w:r w:rsidR="00F30410">
        <w:t>facing</w:t>
      </w:r>
      <w:r w:rsidR="00DF7D36">
        <w:t xml:space="preserve"> </w:t>
      </w:r>
      <w:r w:rsidR="00F91E0C">
        <w:t>immediate</w:t>
      </w:r>
      <w:r w:rsidR="00D70D3B">
        <w:t xml:space="preserve"> climate risks, </w:t>
      </w:r>
      <w:r w:rsidR="0094420E">
        <w:t xml:space="preserve">the Committee should also consider </w:t>
      </w:r>
      <w:r w:rsidR="00C63C47">
        <w:t xml:space="preserve">clarifying </w:t>
      </w:r>
      <w:r w:rsidR="00605CFB">
        <w:t xml:space="preserve">that </w:t>
      </w:r>
      <w:r w:rsidR="006F465D">
        <w:t xml:space="preserve">climate-related CRPD obligations </w:t>
      </w:r>
      <w:r w:rsidR="005E30BB">
        <w:t xml:space="preserve">are not limited to those </w:t>
      </w:r>
      <w:r w:rsidR="007C377F">
        <w:t>States parties</w:t>
      </w:r>
      <w:r w:rsidR="005E30BB">
        <w:t xml:space="preserve"> </w:t>
      </w:r>
      <w:r w:rsidR="00F44A85">
        <w:t>that</w:t>
      </w:r>
      <w:r w:rsidR="005E30BB">
        <w:t xml:space="preserve"> </w:t>
      </w:r>
      <w:r w:rsidR="004C2ED0">
        <w:t xml:space="preserve">might be </w:t>
      </w:r>
      <w:r w:rsidR="0034064B">
        <w:t xml:space="preserve">most greatly </w:t>
      </w:r>
      <w:r w:rsidR="00D41EAD">
        <w:t xml:space="preserve">affected by </w:t>
      </w:r>
      <w:r w:rsidR="00204139">
        <w:t>climate change.</w:t>
      </w:r>
      <w:r w:rsidR="00117336">
        <w:t xml:space="preserve"> </w:t>
      </w:r>
      <w:r w:rsidR="000A2D85">
        <w:t xml:space="preserve">Indeed, the Committee </w:t>
      </w:r>
      <w:r w:rsidR="008020AD">
        <w:t>might</w:t>
      </w:r>
      <w:r w:rsidR="000A2D85">
        <w:t xml:space="preserve"> consider </w:t>
      </w:r>
      <w:r w:rsidR="00A25FED">
        <w:t>broadening the scope of its guidance</w:t>
      </w:r>
      <w:r w:rsidR="009B0415">
        <w:t xml:space="preserve"> to address </w:t>
      </w:r>
      <w:r w:rsidR="002F0714">
        <w:t>t</w:t>
      </w:r>
      <w:r w:rsidR="007932E5">
        <w:t xml:space="preserve">he </w:t>
      </w:r>
      <w:proofErr w:type="gramStart"/>
      <w:r w:rsidR="007932E5">
        <w:t>climate-related</w:t>
      </w:r>
      <w:proofErr w:type="gramEnd"/>
      <w:r w:rsidR="007932E5">
        <w:t xml:space="preserve"> CRPD obligations of </w:t>
      </w:r>
      <w:r w:rsidR="007C377F">
        <w:t>States parties</w:t>
      </w:r>
      <w:r w:rsidR="007932E5">
        <w:t xml:space="preserve"> who </w:t>
      </w:r>
      <w:r w:rsidR="00AA00B5">
        <w:t xml:space="preserve">disproportionately contribute to </w:t>
      </w:r>
      <w:r w:rsidR="004E0CED">
        <w:t xml:space="preserve">climate change </w:t>
      </w:r>
      <w:r w:rsidR="00342981">
        <w:t>through consumption and production of fossil fuels</w:t>
      </w:r>
      <w:r w:rsidR="0043344C">
        <w:t xml:space="preserve">. Such an approach </w:t>
      </w:r>
      <w:r w:rsidR="00660D88">
        <w:t xml:space="preserve">would </w:t>
      </w:r>
      <w:r w:rsidR="007E7406">
        <w:t xml:space="preserve">only further strengthen the Committee’s </w:t>
      </w:r>
      <w:r w:rsidR="00361339">
        <w:t xml:space="preserve">engagement </w:t>
      </w:r>
      <w:r w:rsidR="006C4174">
        <w:t xml:space="preserve">on </w:t>
      </w:r>
      <w:r w:rsidR="002B2632">
        <w:t xml:space="preserve">the </w:t>
      </w:r>
      <w:r w:rsidR="00543AC1">
        <w:t>outsized effects of climate change on persons with disabilities.</w:t>
      </w:r>
      <w:r w:rsidR="00342981">
        <w:t xml:space="preserve"> </w:t>
      </w:r>
    </w:p>
    <w:p w14:paraId="2A8A5A39" w14:textId="3887300F" w:rsidR="00EA46A8" w:rsidRDefault="00EA46A8" w:rsidP="00CB4D34">
      <w:pPr>
        <w:pStyle w:val="Heading2"/>
        <w:numPr>
          <w:ilvl w:val="0"/>
          <w:numId w:val="4"/>
        </w:numPr>
      </w:pPr>
      <w:r>
        <w:t xml:space="preserve">Articulate </w:t>
      </w:r>
      <w:r w:rsidR="006127F8">
        <w:t xml:space="preserve">Substantive </w:t>
      </w:r>
      <w:r w:rsidR="006127F8" w:rsidRPr="005D6400">
        <w:t>Climate</w:t>
      </w:r>
      <w:r w:rsidR="006127F8">
        <w:t xml:space="preserve">-Related </w:t>
      </w:r>
      <w:r w:rsidR="000C669B">
        <w:t>CRPD</w:t>
      </w:r>
      <w:r w:rsidR="006127F8">
        <w:t xml:space="preserve"> Obligations</w:t>
      </w:r>
    </w:p>
    <w:p w14:paraId="6BD361AB" w14:textId="6936CAC4" w:rsidR="00C6492C" w:rsidRPr="00793101" w:rsidRDefault="00570B87" w:rsidP="001C5B03">
      <w:pPr>
        <w:spacing w:line="276" w:lineRule="auto"/>
        <w:ind w:firstLine="720"/>
      </w:pPr>
      <w:r>
        <w:t>While the</w:t>
      </w:r>
      <w:r w:rsidR="00420429">
        <w:t xml:space="preserve"> Committee</w:t>
      </w:r>
      <w:r w:rsidR="00DD057D">
        <w:t xml:space="preserve"> ha</w:t>
      </w:r>
      <w:r w:rsidR="00420429">
        <w:t>s focus</w:t>
      </w:r>
      <w:r w:rsidR="00DD057D">
        <w:t>ed</w:t>
      </w:r>
      <w:r w:rsidR="00420429">
        <w:t xml:space="preserve"> on climate-related procedural justice in its concluding observations</w:t>
      </w:r>
      <w:r w:rsidR="003E4ECF">
        <w:t>,</w:t>
      </w:r>
      <w:r w:rsidR="00F9409F">
        <w:t xml:space="preserve"> it has done little to articulate </w:t>
      </w:r>
      <w:r w:rsidR="007C377F">
        <w:t>States parties</w:t>
      </w:r>
      <w:r w:rsidR="00F9409F">
        <w:t>’ substantive climate-related CRPD obligations</w:t>
      </w:r>
      <w:r w:rsidR="00705101">
        <w:t xml:space="preserve">. </w:t>
      </w:r>
      <w:r w:rsidR="00843D52">
        <w:t xml:space="preserve">As the </w:t>
      </w:r>
      <w:r w:rsidR="00CD540A">
        <w:t xml:space="preserve">Committee </w:t>
      </w:r>
      <w:r w:rsidR="002E170A">
        <w:t>recommended</w:t>
      </w:r>
      <w:r w:rsidR="00B110AF">
        <w:t xml:space="preserve"> that</w:t>
      </w:r>
      <w:r w:rsidR="002E170A">
        <w:t xml:space="preserve"> </w:t>
      </w:r>
      <w:r w:rsidR="00A0654E">
        <w:t>Seychelles</w:t>
      </w:r>
      <w:r w:rsidR="00CD7F91">
        <w:t xml:space="preserve"> provide a single point of contact in disaster and emergency situations, </w:t>
      </w:r>
      <w:r w:rsidR="005A3D65">
        <w:t xml:space="preserve">it should also </w:t>
      </w:r>
      <w:r w:rsidR="00D229F0">
        <w:t xml:space="preserve">develop a </w:t>
      </w:r>
      <w:r w:rsidR="00787295">
        <w:t xml:space="preserve">series of </w:t>
      </w:r>
      <w:r w:rsidR="00E83C24">
        <w:rPr>
          <w:i/>
          <w:iCs/>
        </w:rPr>
        <w:t xml:space="preserve">de minimis </w:t>
      </w:r>
      <w:r w:rsidR="00787295">
        <w:t xml:space="preserve">measures that </w:t>
      </w:r>
      <w:r w:rsidR="003C3707">
        <w:t xml:space="preserve">all </w:t>
      </w:r>
      <w:r w:rsidR="007C377F">
        <w:t>States parties</w:t>
      </w:r>
      <w:r w:rsidR="003C3707">
        <w:t xml:space="preserve"> </w:t>
      </w:r>
      <w:r w:rsidR="002B4B65">
        <w:t>should</w:t>
      </w:r>
      <w:r w:rsidR="00584C35">
        <w:t xml:space="preserve"> </w:t>
      </w:r>
      <w:r w:rsidR="00012942">
        <w:t xml:space="preserve">undertake </w:t>
      </w:r>
      <w:r w:rsidR="00E96A57">
        <w:t xml:space="preserve">under Article 11, as well as other CRPD articles. </w:t>
      </w:r>
      <w:r w:rsidR="0032608C">
        <w:t xml:space="preserve">For example, </w:t>
      </w:r>
      <w:r w:rsidR="004666C8">
        <w:t xml:space="preserve">beyond </w:t>
      </w:r>
      <w:r w:rsidR="005D7039">
        <w:t>adopting</w:t>
      </w:r>
      <w:r w:rsidR="006E0510">
        <w:t xml:space="preserve"> </w:t>
      </w:r>
      <w:r w:rsidR="00F81BC1">
        <w:t>disability-inclusive disaster risk reduction</w:t>
      </w:r>
      <w:r w:rsidR="009E4C42">
        <w:t xml:space="preserve"> measures</w:t>
      </w:r>
      <w:r w:rsidR="00D50360">
        <w:t xml:space="preserve"> militated by the Sendai Framework,</w:t>
      </w:r>
      <w:r w:rsidR="00F81BC1">
        <w:t xml:space="preserve"> </w:t>
      </w:r>
      <w:r w:rsidR="00073F42">
        <w:t xml:space="preserve">the </w:t>
      </w:r>
      <w:r w:rsidR="00DE6023">
        <w:t xml:space="preserve">Committee might consider </w:t>
      </w:r>
      <w:r w:rsidR="00C5647C">
        <w:t xml:space="preserve">recommending </w:t>
      </w:r>
      <w:r w:rsidR="000A358F">
        <w:t xml:space="preserve">that </w:t>
      </w:r>
      <w:r w:rsidR="007C377F">
        <w:t>States parties</w:t>
      </w:r>
      <w:r w:rsidR="004266A5">
        <w:t xml:space="preserve"> </w:t>
      </w:r>
      <w:r w:rsidR="00BC3F30">
        <w:t>establish</w:t>
      </w:r>
      <w:r w:rsidR="0020507B">
        <w:t xml:space="preserve"> </w:t>
      </w:r>
      <w:r w:rsidR="00A87261">
        <w:t xml:space="preserve">cooling </w:t>
      </w:r>
      <w:r w:rsidR="005E2071">
        <w:t xml:space="preserve">centers </w:t>
      </w:r>
      <w:r w:rsidR="00F30A9A">
        <w:t xml:space="preserve">to </w:t>
      </w:r>
      <w:r w:rsidR="00735641">
        <w:t xml:space="preserve">assist </w:t>
      </w:r>
      <w:r w:rsidR="00850BE7">
        <w:t>persons with disabilities affected by elevated temperatures</w:t>
      </w:r>
      <w:r w:rsidR="00266407">
        <w:t>;</w:t>
      </w:r>
      <w:r w:rsidR="00692C0E">
        <w:t xml:space="preserve"> </w:t>
      </w:r>
      <w:r w:rsidR="00AD730B">
        <w:t>provide access to alternative medications</w:t>
      </w:r>
      <w:r w:rsidR="00342BD8">
        <w:t xml:space="preserve">, </w:t>
      </w:r>
      <w:r w:rsidR="00AD730B">
        <w:t>therapies</w:t>
      </w:r>
      <w:r w:rsidR="00342BD8">
        <w:t xml:space="preserve">, and other health care services to persons with disabilities </w:t>
      </w:r>
      <w:r w:rsidR="00F700EB">
        <w:t xml:space="preserve">experiencing </w:t>
      </w:r>
      <w:r w:rsidR="00240717">
        <w:t>thermo-</w:t>
      </w:r>
      <w:r w:rsidR="00F700EB">
        <w:t>dysregulation</w:t>
      </w:r>
      <w:r w:rsidR="00A645C8">
        <w:t>;</w:t>
      </w:r>
      <w:r w:rsidR="00F700EB">
        <w:t xml:space="preserve"> </w:t>
      </w:r>
      <w:r w:rsidR="00AB6580">
        <w:t>design</w:t>
      </w:r>
      <w:r w:rsidR="009667D3">
        <w:t xml:space="preserve"> </w:t>
      </w:r>
      <w:r w:rsidR="002207EE">
        <w:t xml:space="preserve">social assistance </w:t>
      </w:r>
      <w:r w:rsidR="00143394">
        <w:t xml:space="preserve">and vocational </w:t>
      </w:r>
      <w:r w:rsidR="00816CBE">
        <w:t xml:space="preserve">programs to </w:t>
      </w:r>
      <w:r w:rsidR="00106E81">
        <w:t xml:space="preserve">identify and </w:t>
      </w:r>
      <w:r w:rsidR="00BF1B01">
        <w:t xml:space="preserve">support </w:t>
      </w:r>
      <w:r w:rsidR="00FD2B4F">
        <w:t xml:space="preserve">persons with disabilities whose </w:t>
      </w:r>
      <w:r w:rsidR="007C3133">
        <w:t xml:space="preserve">livelihoods </w:t>
      </w:r>
      <w:r w:rsidR="0057032C">
        <w:t>are</w:t>
      </w:r>
      <w:r w:rsidR="007C3133">
        <w:t xml:space="preserve"> </w:t>
      </w:r>
      <w:r w:rsidR="00AA0EC2">
        <w:t>endangered</w:t>
      </w:r>
      <w:r w:rsidR="007C3133">
        <w:t xml:space="preserve"> by </w:t>
      </w:r>
      <w:r w:rsidR="00882BD9">
        <w:t>climate change</w:t>
      </w:r>
      <w:r w:rsidR="00A022A8">
        <w:t>;</w:t>
      </w:r>
      <w:r w:rsidR="00EA04E3">
        <w:t xml:space="preserve"> </w:t>
      </w:r>
      <w:r w:rsidR="009D5278">
        <w:t xml:space="preserve">and create </w:t>
      </w:r>
      <w:r w:rsidR="00A41F58">
        <w:t xml:space="preserve">equitable </w:t>
      </w:r>
      <w:r w:rsidR="00521E85">
        <w:t>pathways</w:t>
      </w:r>
      <w:r w:rsidR="003D58E0">
        <w:t xml:space="preserve"> for </w:t>
      </w:r>
      <w:r w:rsidR="00584A3E">
        <w:t xml:space="preserve">persons with disabilities residing in coastal areas </w:t>
      </w:r>
      <w:r w:rsidR="00D21A2C">
        <w:t xml:space="preserve">to relocate, </w:t>
      </w:r>
      <w:r w:rsidR="00F700EB">
        <w:t xml:space="preserve">among many other </w:t>
      </w:r>
      <w:r w:rsidR="00DE051C">
        <w:t xml:space="preserve">possible </w:t>
      </w:r>
      <w:r w:rsidR="00E45683">
        <w:t>conc</w:t>
      </w:r>
      <w:r w:rsidR="00A743E2">
        <w:t>r</w:t>
      </w:r>
      <w:r w:rsidR="00E45683">
        <w:t xml:space="preserve">ete measures. </w:t>
      </w:r>
      <w:r w:rsidR="001C2A7A">
        <w:t>Also, i</w:t>
      </w:r>
      <w:r w:rsidR="00F41E89">
        <w:t>n articulating</w:t>
      </w:r>
      <w:r w:rsidR="00685DF7">
        <w:t xml:space="preserve"> a clearer vision of the</w:t>
      </w:r>
      <w:r w:rsidR="00F41E89">
        <w:t xml:space="preserve"> </w:t>
      </w:r>
      <w:r w:rsidR="000C02F1">
        <w:t xml:space="preserve">substantive </w:t>
      </w:r>
      <w:r w:rsidR="00A21BEF">
        <w:t xml:space="preserve">measures </w:t>
      </w:r>
      <w:r w:rsidR="007F1F92">
        <w:t xml:space="preserve">that </w:t>
      </w:r>
      <w:r w:rsidR="007C377F">
        <w:t>States parties</w:t>
      </w:r>
      <w:r w:rsidR="007F1F92">
        <w:t xml:space="preserve"> </w:t>
      </w:r>
      <w:r w:rsidR="00883EF1">
        <w:t xml:space="preserve">must </w:t>
      </w:r>
      <w:r w:rsidR="007F5E15">
        <w:t xml:space="preserve">take </w:t>
      </w:r>
      <w:r w:rsidR="00D86C4B">
        <w:t xml:space="preserve">to fulfill their climate-related </w:t>
      </w:r>
      <w:r w:rsidR="003F5318">
        <w:t xml:space="preserve">CRPD </w:t>
      </w:r>
      <w:r w:rsidR="00D86C4B">
        <w:t>obligations</w:t>
      </w:r>
      <w:r w:rsidR="00C65526">
        <w:t xml:space="preserve">, </w:t>
      </w:r>
      <w:r w:rsidR="009D48F8">
        <w:t xml:space="preserve">given the </w:t>
      </w:r>
      <w:r w:rsidR="003C1D13">
        <w:t xml:space="preserve">cross-cutting effects of climate change, </w:t>
      </w:r>
      <w:r w:rsidR="00C65526">
        <w:t>t</w:t>
      </w:r>
      <w:r w:rsidR="00C6492C">
        <w:t xml:space="preserve">he Committee might also consider clarifying the </w:t>
      </w:r>
      <w:r w:rsidR="00350A97">
        <w:t>implications</w:t>
      </w:r>
      <w:r w:rsidR="0092167B">
        <w:t xml:space="preserve"> of </w:t>
      </w:r>
      <w:r w:rsidR="00C6492C">
        <w:t xml:space="preserve">climate </w:t>
      </w:r>
      <w:r w:rsidR="00491719">
        <w:t>change</w:t>
      </w:r>
      <w:r w:rsidR="00C6492C">
        <w:t xml:space="preserve"> on </w:t>
      </w:r>
      <w:r w:rsidR="007C377F">
        <w:t>States parties</w:t>
      </w:r>
      <w:r w:rsidR="00C6492C">
        <w:t>’ obligations under the Article 9 right to accessibility, Article 25 right to health, and the Article 28 right to adequate standard of living and social protection</w:t>
      </w:r>
      <w:r w:rsidR="00E16F16">
        <w:t xml:space="preserve">, among other </w:t>
      </w:r>
      <w:r w:rsidR="0063119C">
        <w:t>pertinent articles</w:t>
      </w:r>
      <w:r w:rsidR="00C6492C">
        <w:t>.</w:t>
      </w:r>
    </w:p>
    <w:p w14:paraId="470D4B9D" w14:textId="414B492B" w:rsidR="00601168" w:rsidRDefault="00C441AC" w:rsidP="00CB4D34">
      <w:pPr>
        <w:pStyle w:val="Heading2"/>
        <w:numPr>
          <w:ilvl w:val="0"/>
          <w:numId w:val="4"/>
        </w:numPr>
      </w:pPr>
      <w:r>
        <w:t>Identify</w:t>
      </w:r>
      <w:r w:rsidR="00E85447">
        <w:t xml:space="preserve"> Specific </w:t>
      </w:r>
      <w:r w:rsidR="00EF7BF7">
        <w:t xml:space="preserve">Ways </w:t>
      </w:r>
      <w:r w:rsidR="008144D6" w:rsidRPr="005D6400">
        <w:t>for</w:t>
      </w:r>
      <w:r w:rsidR="008144D6">
        <w:t xml:space="preserve"> States Parties to </w:t>
      </w:r>
      <w:r w:rsidR="00130A98">
        <w:t xml:space="preserve">Fulfill </w:t>
      </w:r>
      <w:r w:rsidR="0033038D">
        <w:t xml:space="preserve">Their </w:t>
      </w:r>
      <w:r w:rsidR="006D0EB8">
        <w:t>Climate-Related CRPD Obligations</w:t>
      </w:r>
    </w:p>
    <w:p w14:paraId="0042DF86" w14:textId="7806F2C3" w:rsidR="00C22979" w:rsidRPr="00C22979" w:rsidRDefault="0059524E" w:rsidP="000903D5">
      <w:pPr>
        <w:spacing w:line="276" w:lineRule="auto"/>
        <w:ind w:firstLine="720"/>
      </w:pPr>
      <w:r>
        <w:t xml:space="preserve">As mentioned above, </w:t>
      </w:r>
      <w:r w:rsidR="00D5622F">
        <w:t xml:space="preserve">in </w:t>
      </w:r>
      <w:r w:rsidR="00D7525A">
        <w:t xml:space="preserve">isolated instances </w:t>
      </w:r>
      <w:r w:rsidR="000833A3">
        <w:t xml:space="preserve">the Committee </w:t>
      </w:r>
      <w:r w:rsidR="00DF1018">
        <w:t xml:space="preserve">has demonstrated its capacity </w:t>
      </w:r>
      <w:r w:rsidR="003878C9">
        <w:t xml:space="preserve">to </w:t>
      </w:r>
      <w:r w:rsidR="00924EB9">
        <w:t>recommend</w:t>
      </w:r>
      <w:r w:rsidR="003D73F6">
        <w:t xml:space="preserve"> </w:t>
      </w:r>
      <w:r w:rsidR="003E267C">
        <w:t xml:space="preserve">that </w:t>
      </w:r>
      <w:r w:rsidR="007C377F">
        <w:t>States parties</w:t>
      </w:r>
      <w:r w:rsidR="003E267C">
        <w:t xml:space="preserve"> adopt </w:t>
      </w:r>
      <w:r w:rsidR="00811CA2">
        <w:t>specific</w:t>
      </w:r>
      <w:r w:rsidR="009B3063">
        <w:t xml:space="preserve"> </w:t>
      </w:r>
      <w:r w:rsidR="00924EB9">
        <w:t>provisions</w:t>
      </w:r>
      <w:r w:rsidR="00ED6B53">
        <w:t xml:space="preserve"> </w:t>
      </w:r>
      <w:r w:rsidR="006D4C5C">
        <w:t xml:space="preserve">to fulfill </w:t>
      </w:r>
      <w:r w:rsidR="00AB1686">
        <w:t>their</w:t>
      </w:r>
      <w:r w:rsidR="0033767E">
        <w:t xml:space="preserve"> </w:t>
      </w:r>
      <w:proofErr w:type="gramStart"/>
      <w:r w:rsidR="00287739">
        <w:t>climate-related</w:t>
      </w:r>
      <w:proofErr w:type="gramEnd"/>
      <w:r w:rsidR="00287739">
        <w:t xml:space="preserve"> CRPD obligations. </w:t>
      </w:r>
      <w:r w:rsidR="00F9672E">
        <w:t>While t</w:t>
      </w:r>
      <w:r w:rsidR="00512AC1">
        <w:t xml:space="preserve">he Committee has generally instructed </w:t>
      </w:r>
      <w:r w:rsidR="007C377F">
        <w:t>States parties</w:t>
      </w:r>
      <w:r w:rsidR="00512AC1">
        <w:t xml:space="preserve"> to refer to the Sendai Framework to ensure their disaster risk reduction measures are disability inclusive</w:t>
      </w:r>
      <w:r w:rsidR="00F322D6">
        <w:t>,</w:t>
      </w:r>
      <w:r w:rsidR="00512AC1">
        <w:rPr>
          <w:rStyle w:val="FootnoteReference"/>
        </w:rPr>
        <w:footnoteReference w:id="25"/>
      </w:r>
      <w:r w:rsidR="00512AC1">
        <w:t xml:space="preserve"> </w:t>
      </w:r>
      <w:r w:rsidR="00D6277E">
        <w:t xml:space="preserve">the Committee should </w:t>
      </w:r>
      <w:r w:rsidR="00DE3353" w:rsidRPr="001267F5">
        <w:t xml:space="preserve">reference </w:t>
      </w:r>
      <w:r w:rsidR="003971B6">
        <w:t xml:space="preserve">measures that </w:t>
      </w:r>
      <w:r w:rsidR="007C377F">
        <w:t>States parties</w:t>
      </w:r>
      <w:r w:rsidR="003971B6">
        <w:t xml:space="preserve"> should take </w:t>
      </w:r>
      <w:r w:rsidR="000525F2">
        <w:t xml:space="preserve">in conjunction with </w:t>
      </w:r>
      <w:r w:rsidR="00DE3353" w:rsidRPr="001267F5">
        <w:t>other climate-related</w:t>
      </w:r>
      <w:r w:rsidR="00244B41">
        <w:t xml:space="preserve"> international</w:t>
      </w:r>
      <w:r w:rsidR="009A2182">
        <w:t xml:space="preserve"> norms</w:t>
      </w:r>
      <w:r w:rsidR="00DE3353" w:rsidRPr="001267F5">
        <w:t>, such as the Paris Agreement.</w:t>
      </w:r>
      <w:r w:rsidR="00175149">
        <w:rPr>
          <w:rStyle w:val="FootnoteReference"/>
        </w:rPr>
        <w:footnoteReference w:id="26"/>
      </w:r>
      <w:r w:rsidR="008D316D">
        <w:t xml:space="preserve"> </w:t>
      </w:r>
      <w:r w:rsidR="00C93F54">
        <w:t xml:space="preserve">To this end, </w:t>
      </w:r>
      <w:r w:rsidR="00CF305A">
        <w:t xml:space="preserve">the Committee </w:t>
      </w:r>
      <w:r w:rsidR="00CE7DEA">
        <w:t xml:space="preserve">might </w:t>
      </w:r>
      <w:r w:rsidR="0094108C">
        <w:t xml:space="preserve">consider </w:t>
      </w:r>
      <w:r w:rsidR="007563F9">
        <w:t xml:space="preserve">referencing </w:t>
      </w:r>
      <w:r w:rsidR="00576FC3">
        <w:t>national</w:t>
      </w:r>
      <w:r w:rsidR="00D6471B">
        <w:t xml:space="preserve">ly </w:t>
      </w:r>
      <w:r w:rsidR="0072257D">
        <w:t>determined</w:t>
      </w:r>
      <w:r w:rsidR="00D6471B">
        <w:t xml:space="preserve"> contributions </w:t>
      </w:r>
      <w:r w:rsidR="002C45C9">
        <w:t xml:space="preserve">or other </w:t>
      </w:r>
      <w:r w:rsidR="00FA14B6">
        <w:t xml:space="preserve">measures </w:t>
      </w:r>
      <w:r w:rsidR="00B0701E">
        <w:t xml:space="preserve">that </w:t>
      </w:r>
      <w:r w:rsidR="0095613B">
        <w:t>either e</w:t>
      </w:r>
      <w:r w:rsidR="00A43AE6">
        <w:t>as</w:t>
      </w:r>
      <w:r w:rsidR="0095613B">
        <w:t>e</w:t>
      </w:r>
      <w:r w:rsidR="00A43AE6">
        <w:t xml:space="preserve"> </w:t>
      </w:r>
      <w:r w:rsidR="00141132">
        <w:t xml:space="preserve">the </w:t>
      </w:r>
      <w:r w:rsidR="00EC5143">
        <w:t>climate burden of persons with disabilities</w:t>
      </w:r>
      <w:r w:rsidR="009E09CA">
        <w:t>,</w:t>
      </w:r>
      <w:r w:rsidR="0095613B">
        <w:t xml:space="preserve"> promote their </w:t>
      </w:r>
      <w:r w:rsidR="001F6668">
        <w:t>participation</w:t>
      </w:r>
      <w:r w:rsidR="0095613B">
        <w:t xml:space="preserve"> in </w:t>
      </w:r>
      <w:r w:rsidR="00CC377F" w:rsidRPr="00CC377F">
        <w:t xml:space="preserve">sustainable employment and economic empowerment activities that promote climate resilience, </w:t>
      </w:r>
      <w:r w:rsidR="00B26D25">
        <w:t>such as</w:t>
      </w:r>
      <w:r w:rsidR="00CC377F" w:rsidRPr="00CC377F">
        <w:t xml:space="preserve"> climate-sensitive agriculture and related activities that promote food security</w:t>
      </w:r>
      <w:r w:rsidR="00B54291">
        <w:t xml:space="preserve">, or </w:t>
      </w:r>
      <w:r w:rsidR="001002C5">
        <w:t xml:space="preserve">promote </w:t>
      </w:r>
      <w:r w:rsidR="00644E12">
        <w:t>the</w:t>
      </w:r>
      <w:r w:rsidR="000221B3">
        <w:t xml:space="preserve">ir </w:t>
      </w:r>
      <w:r w:rsidR="008C243E">
        <w:t xml:space="preserve">equitable transition into </w:t>
      </w:r>
      <w:r w:rsidR="00594096">
        <w:t xml:space="preserve">“green jobs” </w:t>
      </w:r>
      <w:r w:rsidR="00895F77">
        <w:t xml:space="preserve">that </w:t>
      </w:r>
      <w:r w:rsidR="008F65A5">
        <w:t xml:space="preserve">facilitate </w:t>
      </w:r>
      <w:r w:rsidR="0077582C">
        <w:t>decarbonization</w:t>
      </w:r>
      <w:r w:rsidR="0095613B">
        <w:t xml:space="preserve">. </w:t>
      </w:r>
      <w:r w:rsidR="00154E5E">
        <w:t xml:space="preserve">The Committee might also </w:t>
      </w:r>
      <w:r w:rsidR="00B64712">
        <w:t xml:space="preserve">make direct references to </w:t>
      </w:r>
      <w:r w:rsidR="00C961C9">
        <w:t>good practice</w:t>
      </w:r>
      <w:r w:rsidR="00954075">
        <w:t xml:space="preserve">s </w:t>
      </w:r>
      <w:r w:rsidR="00252FB4">
        <w:t xml:space="preserve">identified in certain </w:t>
      </w:r>
      <w:r w:rsidR="007C377F">
        <w:t>States parties</w:t>
      </w:r>
      <w:r w:rsidR="00252FB4">
        <w:t xml:space="preserve"> that may be worthy of replication.</w:t>
      </w:r>
      <w:r w:rsidR="00FE354E">
        <w:t xml:space="preserve"> </w:t>
      </w:r>
      <w:r w:rsidR="00E23B5B">
        <w:t>Last</w:t>
      </w:r>
      <w:r w:rsidR="00FE354E">
        <w:t xml:space="preserve">, the </w:t>
      </w:r>
      <w:r w:rsidR="00EE5902">
        <w:t xml:space="preserve">Committee </w:t>
      </w:r>
      <w:r w:rsidR="005025B1">
        <w:t xml:space="preserve">might </w:t>
      </w:r>
      <w:r w:rsidR="00B66D91">
        <w:t xml:space="preserve">specifically recommend measures aimed at </w:t>
      </w:r>
      <w:r w:rsidR="006D5788">
        <w:t xml:space="preserve">combating </w:t>
      </w:r>
      <w:r w:rsidR="00964B1F">
        <w:t xml:space="preserve">perceptions that persons with </w:t>
      </w:r>
      <w:r w:rsidR="00321FCB">
        <w:t>disabilities</w:t>
      </w:r>
      <w:r w:rsidR="00964B1F">
        <w:t xml:space="preserve"> are inherently vulnerable to </w:t>
      </w:r>
      <w:r w:rsidR="004B533E">
        <w:t xml:space="preserve">climate risks </w:t>
      </w:r>
      <w:r w:rsidR="00490386">
        <w:t xml:space="preserve">and </w:t>
      </w:r>
      <w:r w:rsidR="00EB606A">
        <w:t xml:space="preserve">demonstrating the many ways that </w:t>
      </w:r>
      <w:r w:rsidR="008138DC">
        <w:t xml:space="preserve">persons with disabilities </w:t>
      </w:r>
      <w:r w:rsidR="006A10AA">
        <w:t xml:space="preserve">are climate actors </w:t>
      </w:r>
      <w:r w:rsidR="00780CEF">
        <w:t>capable of</w:t>
      </w:r>
      <w:r w:rsidR="00551224">
        <w:t xml:space="preserve"> </w:t>
      </w:r>
      <w:r w:rsidR="00ED7BE6">
        <w:t>meaningful</w:t>
      </w:r>
      <w:r w:rsidR="00384C03">
        <w:t>ly</w:t>
      </w:r>
      <w:r w:rsidR="00A360F4">
        <w:t xml:space="preserve"> </w:t>
      </w:r>
      <w:r w:rsidR="00ED7BE6">
        <w:t>contribut</w:t>
      </w:r>
      <w:r w:rsidR="00A360F4">
        <w:t>i</w:t>
      </w:r>
      <w:r w:rsidR="0022150F">
        <w:t>ng to the global climate crisis.</w:t>
      </w:r>
      <w:r w:rsidR="00A360F4">
        <w:t xml:space="preserve"> </w:t>
      </w:r>
    </w:p>
    <w:p w14:paraId="235540AC" w14:textId="08F3C7A9" w:rsidR="00A72748" w:rsidRDefault="00A72748" w:rsidP="009A6D8D">
      <w:pPr>
        <w:pStyle w:val="Heading1"/>
        <w:spacing w:line="276" w:lineRule="auto"/>
      </w:pPr>
      <w:r>
        <w:t>Conclusion</w:t>
      </w:r>
    </w:p>
    <w:p w14:paraId="0B3F5FA9" w14:textId="539769A0" w:rsidR="00B36CD5" w:rsidRPr="00B36CD5" w:rsidRDefault="00B36CD5" w:rsidP="009A6D8D">
      <w:pPr>
        <w:spacing w:line="276" w:lineRule="auto"/>
      </w:pPr>
      <w:r>
        <w:tab/>
      </w:r>
      <w:r w:rsidR="00350034">
        <w:t>HPOD</w:t>
      </w:r>
      <w:r w:rsidR="00F1152C">
        <w:t xml:space="preserve"> greatly appreciate</w:t>
      </w:r>
      <w:r w:rsidR="001E0D25">
        <w:t>s the Committee</w:t>
      </w:r>
      <w:r w:rsidR="00637205">
        <w:t xml:space="preserve"> member</w:t>
      </w:r>
      <w:r w:rsidR="001E0D25">
        <w:t>s</w:t>
      </w:r>
      <w:r w:rsidR="00637205">
        <w:t>’</w:t>
      </w:r>
      <w:r w:rsidR="00F1152C">
        <w:t xml:space="preserve"> time and consideration </w:t>
      </w:r>
      <w:r w:rsidR="0063397E">
        <w:t>regarding this submission and look</w:t>
      </w:r>
      <w:r w:rsidR="00F02ED4">
        <w:t>s</w:t>
      </w:r>
      <w:r w:rsidR="0063397E">
        <w:t xml:space="preserve"> forward to future opportunities to inform the </w:t>
      </w:r>
      <w:r w:rsidR="00624E7B">
        <w:t xml:space="preserve">Committee’s important work in this </w:t>
      </w:r>
      <w:r w:rsidR="00FF0D3B">
        <w:t xml:space="preserve">critical </w:t>
      </w:r>
      <w:r w:rsidR="00624E7B">
        <w:t>area.</w:t>
      </w:r>
    </w:p>
    <w:sectPr w:rsidR="00B36CD5" w:rsidRPr="00B36CD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58E27" w14:textId="77777777" w:rsidR="0089794F" w:rsidRDefault="0089794F" w:rsidP="00074A19">
      <w:r>
        <w:separator/>
      </w:r>
    </w:p>
  </w:endnote>
  <w:endnote w:type="continuationSeparator" w:id="0">
    <w:p w14:paraId="4AA6B24C" w14:textId="77777777" w:rsidR="0089794F" w:rsidRDefault="0089794F" w:rsidP="00074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3207427"/>
      <w:docPartObj>
        <w:docPartGallery w:val="Page Numbers (Bottom of Page)"/>
        <w:docPartUnique/>
      </w:docPartObj>
    </w:sdtPr>
    <w:sdtEndPr>
      <w:rPr>
        <w:rStyle w:val="PageNumber"/>
      </w:rPr>
    </w:sdtEndPr>
    <w:sdtContent>
      <w:p w14:paraId="69C46579" w14:textId="79609B7E" w:rsidR="0068105D" w:rsidRDefault="0068105D" w:rsidP="00203A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F1FEB0" w14:textId="77777777" w:rsidR="0068105D" w:rsidRDefault="006810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8585095"/>
      <w:docPartObj>
        <w:docPartGallery w:val="Page Numbers (Bottom of Page)"/>
        <w:docPartUnique/>
      </w:docPartObj>
    </w:sdtPr>
    <w:sdtEndPr>
      <w:rPr>
        <w:rStyle w:val="PageNumber"/>
      </w:rPr>
    </w:sdtEndPr>
    <w:sdtContent>
      <w:p w14:paraId="05CB49ED" w14:textId="5AF876B2" w:rsidR="0068105D" w:rsidRDefault="0068105D" w:rsidP="00203A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0B265B" w14:textId="77777777" w:rsidR="0068105D" w:rsidRDefault="00681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98EC8" w14:textId="77777777" w:rsidR="0089794F" w:rsidRDefault="0089794F" w:rsidP="00074A19">
      <w:r>
        <w:separator/>
      </w:r>
    </w:p>
  </w:footnote>
  <w:footnote w:type="continuationSeparator" w:id="0">
    <w:p w14:paraId="47EDE932" w14:textId="77777777" w:rsidR="0089794F" w:rsidRDefault="0089794F" w:rsidP="00074A19">
      <w:r>
        <w:continuationSeparator/>
      </w:r>
    </w:p>
  </w:footnote>
  <w:footnote w:id="1">
    <w:p w14:paraId="3B871219" w14:textId="6B5962FE" w:rsidR="00074A19" w:rsidRPr="008918F9" w:rsidRDefault="00074A19" w:rsidP="00DF7ACB">
      <w:pPr>
        <w:pStyle w:val="FootnoteText"/>
      </w:pPr>
      <w:r w:rsidRPr="008918F9">
        <w:rPr>
          <w:rStyle w:val="FootnoteReference"/>
        </w:rPr>
        <w:footnoteRef/>
      </w:r>
      <w:r w:rsidRPr="008918F9">
        <w:t xml:space="preserve"> </w:t>
      </w:r>
      <w:r w:rsidR="000A1625">
        <w:t>Comm</w:t>
      </w:r>
      <w:r w:rsidR="00E300AC">
        <w:t>.</w:t>
      </w:r>
      <w:r w:rsidR="000A1625">
        <w:t xml:space="preserve"> on the Rights of Persons with Disabilities, </w:t>
      </w:r>
      <w:r w:rsidR="000A1625" w:rsidRPr="001174B9">
        <w:rPr>
          <w:i/>
          <w:iCs/>
        </w:rPr>
        <w:t>Day of General Discussion and call for written submissions on article 11 of the Convention</w:t>
      </w:r>
      <w:r w:rsidR="000A1625" w:rsidRPr="000A1625">
        <w:t xml:space="preserve"> </w:t>
      </w:r>
      <w:r w:rsidR="000A1625">
        <w:t xml:space="preserve">(Feb. 15, 2023), </w:t>
      </w:r>
      <w:hyperlink r:id="rId1" w:history="1">
        <w:r w:rsidR="000A1625" w:rsidRPr="00203AEC">
          <w:rPr>
            <w:rStyle w:val="Hyperlink"/>
          </w:rPr>
          <w:t>https://www.ohchr.org/en/calls-for-input/2023/call-written-submissions-related-day-general-discussion-organized-committee</w:t>
        </w:r>
      </w:hyperlink>
      <w:r w:rsidR="00941604" w:rsidRPr="001174B9">
        <w:rPr>
          <w:rStyle w:val="Hyperlink"/>
          <w:color w:val="000000" w:themeColor="text1"/>
          <w:u w:val="none"/>
        </w:rPr>
        <w:t>.</w:t>
      </w:r>
    </w:p>
  </w:footnote>
  <w:footnote w:id="2">
    <w:p w14:paraId="6E2DAAD7" w14:textId="4D843971" w:rsidR="006B640B" w:rsidRDefault="006B640B" w:rsidP="00DF7ACB">
      <w:pPr>
        <w:pStyle w:val="FootnoteText"/>
      </w:pPr>
      <w:r>
        <w:rPr>
          <w:rStyle w:val="FootnoteReference"/>
        </w:rPr>
        <w:footnoteRef/>
      </w:r>
      <w:r>
        <w:t xml:space="preserve"> </w:t>
      </w:r>
      <w:r w:rsidR="000C3F18">
        <w:t xml:space="preserve">G.A. Res. 61/106, </w:t>
      </w:r>
      <w:r w:rsidR="00EE6403">
        <w:t xml:space="preserve">Art. 11, </w:t>
      </w:r>
      <w:r w:rsidR="00567733">
        <w:t>Convention on the Rights of Persons with Disabilities</w:t>
      </w:r>
      <w:r w:rsidR="009D13B4">
        <w:t xml:space="preserve"> (</w:t>
      </w:r>
      <w:r w:rsidR="00651E3A">
        <w:t>ent</w:t>
      </w:r>
      <w:r w:rsidR="003022AD">
        <w:t>ered</w:t>
      </w:r>
      <w:r w:rsidR="006B2810">
        <w:t xml:space="preserve"> </w:t>
      </w:r>
      <w:r w:rsidR="00651E3A">
        <w:t>into force</w:t>
      </w:r>
      <w:r w:rsidR="006B2810">
        <w:t xml:space="preserve"> on</w:t>
      </w:r>
      <w:r w:rsidR="00651E3A">
        <w:t xml:space="preserve"> </w:t>
      </w:r>
      <w:r w:rsidR="00941141">
        <w:t>May 3, 2008</w:t>
      </w:r>
      <w:r w:rsidR="009D13B4">
        <w:t>)</w:t>
      </w:r>
      <w:r w:rsidR="00E87037">
        <w:t>.</w:t>
      </w:r>
    </w:p>
  </w:footnote>
  <w:footnote w:id="3">
    <w:p w14:paraId="4738F9DF" w14:textId="4AA00C23" w:rsidR="00670BC2" w:rsidRPr="00467E89" w:rsidRDefault="00670BC2" w:rsidP="00DF7ACB">
      <w:pPr>
        <w:pStyle w:val="FootnoteText"/>
        <w:rPr>
          <w:b/>
          <w:bCs/>
        </w:rPr>
      </w:pPr>
      <w:r w:rsidRPr="008918F9">
        <w:rPr>
          <w:rStyle w:val="FootnoteReference"/>
        </w:rPr>
        <w:footnoteRef/>
      </w:r>
      <w:r w:rsidRPr="008918F9">
        <w:t xml:space="preserve"> </w:t>
      </w:r>
      <w:r w:rsidR="00181EE8" w:rsidRPr="008918F9">
        <w:t>Penelope J.S. Stein</w:t>
      </w:r>
      <w:r w:rsidR="00BD3ED6">
        <w:t xml:space="preserve"> &amp; </w:t>
      </w:r>
      <w:r w:rsidR="00980FEC">
        <w:t>Michael Ashley Stein</w:t>
      </w:r>
      <w:r w:rsidR="00BD3ED6">
        <w:t xml:space="preserve"> et al.</w:t>
      </w:r>
      <w:r w:rsidR="00507F90">
        <w:t>,</w:t>
      </w:r>
      <w:r w:rsidR="00BD3ED6">
        <w:t xml:space="preserve"> </w:t>
      </w:r>
      <w:r w:rsidR="00467E89" w:rsidRPr="00E27A81">
        <w:rPr>
          <w:i/>
          <w:iCs/>
        </w:rPr>
        <w:t>The role of the scientific community in strengthening disability-inclusive climate resilience</w:t>
      </w:r>
      <w:r w:rsidR="00467E89" w:rsidRPr="00467E89">
        <w:t>,</w:t>
      </w:r>
      <w:r w:rsidR="00D609F4">
        <w:t xml:space="preserve"> </w:t>
      </w:r>
      <w:r w:rsidR="00D609F4" w:rsidRPr="00C71708">
        <w:rPr>
          <w:smallCaps/>
        </w:rPr>
        <w:t xml:space="preserve">Nature Climate </w:t>
      </w:r>
      <w:r w:rsidR="00D609F4" w:rsidRPr="00E27A81">
        <w:rPr>
          <w:smallCaps/>
        </w:rPr>
        <w:t>Change</w:t>
      </w:r>
      <w:r w:rsidR="00E828DC">
        <w:t xml:space="preserve"> (2023), </w:t>
      </w:r>
      <w:hyperlink r:id="rId2" w:history="1">
        <w:r w:rsidR="00C55DFE" w:rsidRPr="00203AEC">
          <w:rPr>
            <w:rStyle w:val="Hyperlink"/>
          </w:rPr>
          <w:t>https://doi.org/10.1038/s41558-022-01564-6</w:t>
        </w:r>
      </w:hyperlink>
      <w:r w:rsidR="0036272E">
        <w:t>;</w:t>
      </w:r>
      <w:r w:rsidRPr="008918F9">
        <w:t xml:space="preserve"> </w:t>
      </w:r>
      <w:r w:rsidR="009D09DE" w:rsidRPr="008918F9">
        <w:t xml:space="preserve">Penelope J.S. Stein &amp; Michael Ashley Stein, </w:t>
      </w:r>
      <w:r w:rsidR="009D09DE" w:rsidRPr="00E27A81">
        <w:rPr>
          <w:i/>
          <w:iCs/>
        </w:rPr>
        <w:t>Climate Change and the Right Health of People with Disabilities</w:t>
      </w:r>
      <w:r w:rsidR="009D09DE" w:rsidRPr="008918F9">
        <w:t xml:space="preserve">, 10 </w:t>
      </w:r>
      <w:r w:rsidR="007D1A2B" w:rsidRPr="00E27A81">
        <w:rPr>
          <w:smallCaps/>
        </w:rPr>
        <w:t xml:space="preserve">The Lancet </w:t>
      </w:r>
      <w:r w:rsidR="002C3ED6" w:rsidRPr="00E27A81">
        <w:rPr>
          <w:smallCaps/>
        </w:rPr>
        <w:t>Glob</w:t>
      </w:r>
      <w:r w:rsidR="002C3ED6">
        <w:rPr>
          <w:smallCaps/>
        </w:rPr>
        <w:t>.</w:t>
      </w:r>
      <w:r w:rsidR="002C3ED6" w:rsidRPr="00E27A81">
        <w:rPr>
          <w:smallCaps/>
        </w:rPr>
        <w:t xml:space="preserve"> </w:t>
      </w:r>
      <w:r w:rsidR="007D1A2B" w:rsidRPr="00E27A81">
        <w:rPr>
          <w:smallCaps/>
        </w:rPr>
        <w:t>Health</w:t>
      </w:r>
      <w:r w:rsidR="007D1A2B" w:rsidRPr="008918F9">
        <w:t xml:space="preserve"> </w:t>
      </w:r>
      <w:r w:rsidR="009D09DE" w:rsidRPr="008918F9">
        <w:t>E25 (202</w:t>
      </w:r>
      <w:r w:rsidR="00137E38">
        <w:t>2</w:t>
      </w:r>
      <w:r w:rsidR="009D09DE" w:rsidRPr="008918F9">
        <w:t xml:space="preserve">), </w:t>
      </w:r>
      <w:hyperlink r:id="rId3" w:history="1">
        <w:r w:rsidR="0036272E" w:rsidRPr="00203AEC">
          <w:rPr>
            <w:rStyle w:val="Hyperlink"/>
          </w:rPr>
          <w:t>https://doi.org/10.1016/S2214-109X(21)00542-8</w:t>
        </w:r>
      </w:hyperlink>
      <w:r w:rsidR="009D09DE" w:rsidRPr="008918F9">
        <w:t xml:space="preserve">; </w:t>
      </w:r>
      <w:r w:rsidR="00E27A81" w:rsidRPr="008918F9">
        <w:t>Penelope J.S. Stein</w:t>
      </w:r>
      <w:r w:rsidR="00E27A81">
        <w:t xml:space="preserve"> &amp; </w:t>
      </w:r>
      <w:r w:rsidR="00E27A81" w:rsidRPr="008918F9">
        <w:t>Michael Ashley Stei</w:t>
      </w:r>
      <w:r w:rsidR="00E27A81">
        <w:t>n,</w:t>
      </w:r>
      <w:r w:rsidR="009D09DE" w:rsidRPr="008918F9">
        <w:t xml:space="preserve"> </w:t>
      </w:r>
      <w:r w:rsidR="009D09DE" w:rsidRPr="00E27A81">
        <w:rPr>
          <w:i/>
          <w:iCs/>
        </w:rPr>
        <w:t>Disability, Human Rights, and Climate Justice</w:t>
      </w:r>
      <w:r w:rsidR="00E27A81">
        <w:t>,</w:t>
      </w:r>
      <w:r w:rsidR="009D09DE" w:rsidRPr="008918F9">
        <w:t xml:space="preserve"> </w:t>
      </w:r>
      <w:r w:rsidR="00E27A81">
        <w:t xml:space="preserve">44 </w:t>
      </w:r>
      <w:r w:rsidR="009D09DE" w:rsidRPr="00E27A81">
        <w:rPr>
          <w:smallCaps/>
        </w:rPr>
        <w:t>Hum</w:t>
      </w:r>
      <w:r w:rsidR="00C55648">
        <w:rPr>
          <w:smallCaps/>
        </w:rPr>
        <w:t>.</w:t>
      </w:r>
      <w:r w:rsidR="009D09DE" w:rsidRPr="00E27A81">
        <w:rPr>
          <w:smallCaps/>
        </w:rPr>
        <w:t xml:space="preserve"> </w:t>
      </w:r>
      <w:proofErr w:type="spellStart"/>
      <w:r w:rsidR="009D09DE" w:rsidRPr="00E27A81">
        <w:rPr>
          <w:smallCaps/>
        </w:rPr>
        <w:t>Rts</w:t>
      </w:r>
      <w:proofErr w:type="spellEnd"/>
      <w:r w:rsidR="00C55648">
        <w:rPr>
          <w:smallCaps/>
        </w:rPr>
        <w:t>.</w:t>
      </w:r>
      <w:r w:rsidR="009D09DE" w:rsidRPr="00E27A81">
        <w:rPr>
          <w:smallCaps/>
        </w:rPr>
        <w:t xml:space="preserve"> Quarterly</w:t>
      </w:r>
      <w:r w:rsidR="00E27A81">
        <w:t xml:space="preserve"> </w:t>
      </w:r>
      <w:r w:rsidR="009D09DE" w:rsidRPr="008918F9">
        <w:t>81</w:t>
      </w:r>
      <w:r w:rsidR="00E27A81">
        <w:t xml:space="preserve"> (2022)</w:t>
      </w:r>
      <w:r w:rsidR="009D09DE" w:rsidRPr="008918F9">
        <w:t xml:space="preserve">, </w:t>
      </w:r>
      <w:hyperlink r:id="rId4" w:history="1">
        <w:r w:rsidR="009D09DE" w:rsidRPr="008918F9">
          <w:rPr>
            <w:rStyle w:val="Hyperlink"/>
            <w:lang w:val="en-GB"/>
          </w:rPr>
          <w:t>https://doi.org/10.1353/hrq.2022.0003</w:t>
        </w:r>
      </w:hyperlink>
      <w:r w:rsidR="009D09DE" w:rsidRPr="008918F9">
        <w:rPr>
          <w:lang w:val="en-GB"/>
        </w:rPr>
        <w:t>.</w:t>
      </w:r>
    </w:p>
  </w:footnote>
  <w:footnote w:id="4">
    <w:p w14:paraId="3244E26F" w14:textId="5479C0E1" w:rsidR="00BC2D19" w:rsidRDefault="00BC2D19" w:rsidP="00DF7ACB">
      <w:pPr>
        <w:pStyle w:val="FootnoteText"/>
      </w:pPr>
      <w:r>
        <w:rPr>
          <w:rStyle w:val="FootnoteReference"/>
        </w:rPr>
        <w:footnoteRef/>
      </w:r>
      <w:r>
        <w:t xml:space="preserve"> </w:t>
      </w:r>
      <w:r w:rsidRPr="001174B9">
        <w:rPr>
          <w:i/>
          <w:iCs/>
        </w:rPr>
        <w:t>Disability and Climate Change: Call for Digital Symposium Submissions</w:t>
      </w:r>
      <w:r>
        <w:t xml:space="preserve">, </w:t>
      </w:r>
      <w:r w:rsidRPr="00B6009B">
        <w:rPr>
          <w:smallCaps/>
        </w:rPr>
        <w:t>HPOD.org</w:t>
      </w:r>
      <w:r>
        <w:t xml:space="preserve"> (</w:t>
      </w:r>
      <w:r w:rsidR="00C12CCB">
        <w:t>Nov</w:t>
      </w:r>
      <w:r>
        <w:t>.</w:t>
      </w:r>
      <w:r w:rsidR="00C12CCB">
        <w:t xml:space="preserve"> 10</w:t>
      </w:r>
      <w:r>
        <w:t>, 2022),</w:t>
      </w:r>
      <w:r w:rsidR="00C12CCB">
        <w:t xml:space="preserve"> </w:t>
      </w:r>
      <w:hyperlink r:id="rId5" w:history="1">
        <w:r w:rsidR="00C12CCB" w:rsidRPr="00A20C3F">
          <w:rPr>
            <w:rStyle w:val="Hyperlink"/>
          </w:rPr>
          <w:t>https://hpod.law.harvard.edu/news/entry/climate-change-call</w:t>
        </w:r>
      </w:hyperlink>
      <w:r w:rsidR="00057B71">
        <w:t xml:space="preserve"> (co-organized </w:t>
      </w:r>
      <w:r w:rsidR="0023309D">
        <w:t>with</w:t>
      </w:r>
      <w:r w:rsidR="00057B71">
        <w:t xml:space="preserve"> </w:t>
      </w:r>
      <w:r w:rsidR="00057B71" w:rsidRPr="00057B71">
        <w:t>the Petrie-</w:t>
      </w:r>
      <w:proofErr w:type="spellStart"/>
      <w:r w:rsidR="00057B71" w:rsidRPr="00057B71">
        <w:t>Flom</w:t>
      </w:r>
      <w:proofErr w:type="spellEnd"/>
      <w:r w:rsidR="00057B71" w:rsidRPr="00057B71">
        <w:t xml:space="preserve"> Center for Health Law Policy, Biotechnology, and Bioethics at Harvard Law School and the Disability-Inclusive Climate Action Research </w:t>
      </w:r>
      <w:proofErr w:type="spellStart"/>
      <w:r w:rsidR="00057B71" w:rsidRPr="00057B71">
        <w:t>Programme</w:t>
      </w:r>
      <w:proofErr w:type="spellEnd"/>
      <w:r w:rsidR="00057B71" w:rsidRPr="00057B71">
        <w:t xml:space="preserve"> at McGill Law Faculty</w:t>
      </w:r>
      <w:r w:rsidR="00057B71">
        <w:t>)</w:t>
      </w:r>
      <w:r w:rsidR="00C12CCB">
        <w:t xml:space="preserve">. </w:t>
      </w:r>
    </w:p>
  </w:footnote>
  <w:footnote w:id="5">
    <w:p w14:paraId="60DE66E5" w14:textId="08227488" w:rsidR="004A6710" w:rsidRPr="008918F9" w:rsidRDefault="004A6710" w:rsidP="00DF7ACB">
      <w:pPr>
        <w:pStyle w:val="FootnoteText"/>
      </w:pPr>
      <w:r w:rsidRPr="008918F9">
        <w:rPr>
          <w:rStyle w:val="FootnoteReference"/>
        </w:rPr>
        <w:footnoteRef/>
      </w:r>
      <w:r w:rsidR="00BB0B5C">
        <w:t xml:space="preserve"> </w:t>
      </w:r>
      <w:r w:rsidR="00BB0B5C" w:rsidRPr="001174B9">
        <w:rPr>
          <w:i/>
          <w:iCs/>
        </w:rPr>
        <w:t>Disability Climate Justice: Towards Evidence-Based Research on Disability and Climate Change</w:t>
      </w:r>
      <w:r w:rsidR="00B6009B">
        <w:t xml:space="preserve">, </w:t>
      </w:r>
      <w:r w:rsidR="00B6009B" w:rsidRPr="00B6009B">
        <w:rPr>
          <w:smallCaps/>
        </w:rPr>
        <w:t>HPOD.org</w:t>
      </w:r>
      <w:r w:rsidR="00BB0B5C">
        <w:t xml:space="preserve"> (Sep. 29, 2022)</w:t>
      </w:r>
      <w:r w:rsidR="00BF1751">
        <w:t>,</w:t>
      </w:r>
      <w:r w:rsidRPr="008918F9">
        <w:t xml:space="preserve"> </w:t>
      </w:r>
      <w:hyperlink r:id="rId6" w:history="1">
        <w:r w:rsidRPr="008918F9">
          <w:rPr>
            <w:rStyle w:val="Hyperlink"/>
          </w:rPr>
          <w:t>https://hpod.law.harvard.edu/events/event/disability-climate-justice-conference</w:t>
        </w:r>
      </w:hyperlink>
      <w:r w:rsidRPr="008918F9">
        <w:t xml:space="preserve">; </w:t>
      </w:r>
      <w:r w:rsidR="009D13B4">
        <w:t xml:space="preserve">Hezzy Smith, </w:t>
      </w:r>
      <w:r w:rsidR="00EB1F5C" w:rsidRPr="001174B9">
        <w:rPr>
          <w:i/>
          <w:iCs/>
        </w:rPr>
        <w:t>Disability-Inclusive</w:t>
      </w:r>
      <w:r w:rsidR="006B7FCE" w:rsidRPr="001174B9">
        <w:rPr>
          <w:i/>
          <w:iCs/>
        </w:rPr>
        <w:t xml:space="preserve"> </w:t>
      </w:r>
      <w:r w:rsidR="00EB1F5C" w:rsidRPr="001174B9">
        <w:rPr>
          <w:i/>
          <w:iCs/>
        </w:rPr>
        <w:t>Climate Action: Lessons from the Historic 2022 Flooding in Bangladesh</w:t>
      </w:r>
      <w:r w:rsidR="00B6009B">
        <w:t xml:space="preserve">, </w:t>
      </w:r>
      <w:r w:rsidR="00B6009B" w:rsidRPr="00B6009B">
        <w:rPr>
          <w:smallCaps/>
        </w:rPr>
        <w:t>HPOD.org</w:t>
      </w:r>
      <w:r w:rsidR="00EB1F5C" w:rsidRPr="00EB1F5C">
        <w:t xml:space="preserve"> </w:t>
      </w:r>
      <w:r w:rsidR="00EB1F5C">
        <w:t>(</w:t>
      </w:r>
      <w:r w:rsidR="00BF1751">
        <w:t xml:space="preserve">Sep. 23, 2022), </w:t>
      </w:r>
      <w:hyperlink r:id="rId7" w:history="1">
        <w:r w:rsidR="00EB1F5C" w:rsidRPr="00203AEC">
          <w:rPr>
            <w:rStyle w:val="Hyperlink"/>
          </w:rPr>
          <w:t>https://hpod.law.harvard.edu/news/entry/disability-climate-action-bangladesh</w:t>
        </w:r>
      </w:hyperlink>
      <w:r w:rsidRPr="008918F9">
        <w:t xml:space="preserve">. </w:t>
      </w:r>
    </w:p>
  </w:footnote>
  <w:footnote w:id="6">
    <w:p w14:paraId="449FC0BE" w14:textId="179D8650" w:rsidR="00436A4A" w:rsidRDefault="00436A4A" w:rsidP="00DF7ACB">
      <w:pPr>
        <w:pStyle w:val="FootnoteText"/>
      </w:pPr>
      <w:r>
        <w:rPr>
          <w:rStyle w:val="FootnoteReference"/>
        </w:rPr>
        <w:footnoteRef/>
      </w:r>
      <w:r>
        <w:t xml:space="preserve"> </w:t>
      </w:r>
      <w:r w:rsidR="002C3ED6">
        <w:t xml:space="preserve">G.A. Res. 61/106, </w:t>
      </w:r>
      <w:r>
        <w:rPr>
          <w:i/>
          <w:iCs/>
        </w:rPr>
        <w:t xml:space="preserve">supra </w:t>
      </w:r>
      <w:r>
        <w:t xml:space="preserve">note </w:t>
      </w:r>
      <w:r>
        <w:fldChar w:fldCharType="begin"/>
      </w:r>
      <w:r>
        <w:instrText xml:space="preserve"> NOTEREF _Ref126569516 \h </w:instrText>
      </w:r>
      <w:r w:rsidR="00DF7ACB">
        <w:instrText xml:space="preserve"> \* MERGEFORMAT </w:instrText>
      </w:r>
      <w:r>
        <w:fldChar w:fldCharType="separate"/>
      </w:r>
      <w:r>
        <w:t>2</w:t>
      </w:r>
      <w:r>
        <w:fldChar w:fldCharType="end"/>
      </w:r>
      <w:r>
        <w:t xml:space="preserve">, at </w:t>
      </w:r>
      <w:r w:rsidR="002C3ED6">
        <w:t>A</w:t>
      </w:r>
      <w:r>
        <w:t>rt. 11.</w:t>
      </w:r>
    </w:p>
  </w:footnote>
  <w:footnote w:id="7">
    <w:p w14:paraId="7A15064E" w14:textId="35D709F1" w:rsidR="00F479D7" w:rsidRPr="008918F9" w:rsidRDefault="00F479D7" w:rsidP="00DF7ACB">
      <w:pPr>
        <w:pStyle w:val="FootnoteText"/>
      </w:pPr>
      <w:r w:rsidRPr="008918F9">
        <w:rPr>
          <w:rStyle w:val="FootnoteReference"/>
        </w:rPr>
        <w:footnoteRef/>
      </w:r>
      <w:r w:rsidRPr="008918F9">
        <w:t xml:space="preserve"> </w:t>
      </w:r>
      <w:r w:rsidR="006F3FEE">
        <w:t xml:space="preserve">Stephanie </w:t>
      </w:r>
      <w:proofErr w:type="spellStart"/>
      <w:r w:rsidR="001D39B3">
        <w:t>Motz</w:t>
      </w:r>
      <w:proofErr w:type="spellEnd"/>
      <w:r w:rsidR="001D39B3">
        <w:t xml:space="preserve">, </w:t>
      </w:r>
      <w:r w:rsidR="001D39B3">
        <w:rPr>
          <w:i/>
          <w:iCs/>
        </w:rPr>
        <w:t>Article 11</w:t>
      </w:r>
      <w:r w:rsidR="005C5508">
        <w:rPr>
          <w:i/>
          <w:iCs/>
        </w:rPr>
        <w:t>: Situations of Risk and Humanitarian Emergencies</w:t>
      </w:r>
      <w:r w:rsidR="001D39B3">
        <w:t>,</w:t>
      </w:r>
      <w:r w:rsidR="001D39B3" w:rsidRPr="008918F9">
        <w:t xml:space="preserve"> </w:t>
      </w:r>
      <w:r w:rsidRPr="008918F9">
        <w:rPr>
          <w:smallCaps/>
        </w:rPr>
        <w:t>The UN Convention on the Rights of Persons with Disabilities: A Commentary</w:t>
      </w:r>
      <w:r w:rsidR="00C55DFE">
        <w:rPr>
          <w:smallCaps/>
        </w:rPr>
        <w:t xml:space="preserve"> </w:t>
      </w:r>
      <w:r w:rsidR="0071031A">
        <w:rPr>
          <w:smallCaps/>
        </w:rPr>
        <w:t>332</w:t>
      </w:r>
      <w:r w:rsidR="00F44438">
        <w:rPr>
          <w:smallCaps/>
        </w:rPr>
        <w:t>–</w:t>
      </w:r>
      <w:r w:rsidR="0071031A">
        <w:rPr>
          <w:smallCaps/>
        </w:rPr>
        <w:t>33</w:t>
      </w:r>
      <w:r w:rsidR="00F44438">
        <w:rPr>
          <w:smallCaps/>
        </w:rPr>
        <w:t xml:space="preserve"> </w:t>
      </w:r>
      <w:r w:rsidRPr="008918F9">
        <w:t>(</w:t>
      </w:r>
      <w:proofErr w:type="spellStart"/>
      <w:r w:rsidR="000C69FE" w:rsidRPr="000C69FE">
        <w:t>Ilias</w:t>
      </w:r>
      <w:proofErr w:type="spellEnd"/>
      <w:r w:rsidR="000C69FE" w:rsidRPr="000C69FE">
        <w:t xml:space="preserve"> </w:t>
      </w:r>
      <w:proofErr w:type="spellStart"/>
      <w:r w:rsidR="000C69FE" w:rsidRPr="000C69FE">
        <w:t>Bantekas</w:t>
      </w:r>
      <w:proofErr w:type="spellEnd"/>
      <w:r w:rsidR="000C69FE" w:rsidRPr="000C69FE">
        <w:t>, Michael Ashley Stei</w:t>
      </w:r>
      <w:r w:rsidR="000C69FE">
        <w:t xml:space="preserve">n &amp; </w:t>
      </w:r>
      <w:r w:rsidR="000C69FE" w:rsidRPr="000C69FE">
        <w:t xml:space="preserve">Dimitris </w:t>
      </w:r>
      <w:proofErr w:type="spellStart"/>
      <w:r w:rsidR="000C69FE" w:rsidRPr="000C69FE">
        <w:t>Anastasiou</w:t>
      </w:r>
      <w:proofErr w:type="spellEnd"/>
      <w:r w:rsidR="000C69FE">
        <w:t xml:space="preserve"> </w:t>
      </w:r>
      <w:r w:rsidRPr="008918F9">
        <w:t>eds.</w:t>
      </w:r>
      <w:r w:rsidR="000C69FE">
        <w:t>,</w:t>
      </w:r>
      <w:r w:rsidRPr="008918F9">
        <w:t xml:space="preserve"> 2018).</w:t>
      </w:r>
    </w:p>
  </w:footnote>
  <w:footnote w:id="8">
    <w:p w14:paraId="3854523D" w14:textId="6E614EE7" w:rsidR="00904F9F" w:rsidRPr="008918F9" w:rsidRDefault="00904F9F" w:rsidP="001174B9">
      <w:pPr>
        <w:pStyle w:val="FootnoteText"/>
      </w:pPr>
      <w:r w:rsidRPr="008918F9">
        <w:rPr>
          <w:rStyle w:val="FootnoteReference"/>
        </w:rPr>
        <w:footnoteRef/>
      </w:r>
      <w:r w:rsidRPr="002A6FEA">
        <w:t xml:space="preserve"> </w:t>
      </w:r>
      <w:r w:rsidR="000C69FE" w:rsidRPr="000C69FE">
        <w:t>Barbara </w:t>
      </w:r>
      <w:proofErr w:type="spellStart"/>
      <w:r w:rsidR="000C69FE" w:rsidRPr="000C69FE">
        <w:t>Astle</w:t>
      </w:r>
      <w:proofErr w:type="spellEnd"/>
      <w:r w:rsidR="00EE6403">
        <w:t xml:space="preserve"> et al.</w:t>
      </w:r>
      <w:r w:rsidR="00594EF7" w:rsidRPr="002A6FEA">
        <w:t>,</w:t>
      </w:r>
      <w:r w:rsidRPr="002A6FEA">
        <w:t xml:space="preserve"> </w:t>
      </w:r>
      <w:r w:rsidRPr="00DF151A">
        <w:rPr>
          <w:i/>
          <w:iCs/>
        </w:rPr>
        <w:t>Global Impact of Climate Change on Persons with Albinism: A Human Rights Issue</w:t>
      </w:r>
      <w:r w:rsidR="00DF151A">
        <w:t>,</w:t>
      </w:r>
      <w:r w:rsidRPr="008918F9">
        <w:t xml:space="preserve"> </w:t>
      </w:r>
      <w:r w:rsidR="00EE6403">
        <w:t xml:space="preserve">9 </w:t>
      </w:r>
      <w:r w:rsidRPr="001174B9">
        <w:rPr>
          <w:smallCaps/>
        </w:rPr>
        <w:t>J</w:t>
      </w:r>
      <w:r w:rsidR="0027343B">
        <w:rPr>
          <w:smallCaps/>
        </w:rPr>
        <w:t>.</w:t>
      </w:r>
      <w:r w:rsidRPr="001174B9">
        <w:rPr>
          <w:smallCaps/>
        </w:rPr>
        <w:t xml:space="preserve"> </w:t>
      </w:r>
      <w:r w:rsidR="00DF151A" w:rsidRPr="001174B9">
        <w:rPr>
          <w:smallCaps/>
        </w:rPr>
        <w:t xml:space="preserve">of </w:t>
      </w:r>
      <w:r w:rsidRPr="001174B9">
        <w:rPr>
          <w:smallCaps/>
        </w:rPr>
        <w:t>Clim</w:t>
      </w:r>
      <w:r w:rsidR="00DF151A" w:rsidRPr="001174B9">
        <w:rPr>
          <w:smallCaps/>
        </w:rPr>
        <w:t>ate</w:t>
      </w:r>
      <w:r w:rsidRPr="001174B9">
        <w:rPr>
          <w:smallCaps/>
        </w:rPr>
        <w:t xml:space="preserve"> Chang</w:t>
      </w:r>
      <w:r w:rsidR="00DF151A" w:rsidRPr="001174B9">
        <w:rPr>
          <w:smallCaps/>
        </w:rPr>
        <w:t>e</w:t>
      </w:r>
      <w:r w:rsidRPr="001174B9">
        <w:rPr>
          <w:smallCaps/>
        </w:rPr>
        <w:t xml:space="preserve"> Health</w:t>
      </w:r>
      <w:r w:rsidR="00DF151A">
        <w:t xml:space="preserve"> (</w:t>
      </w:r>
      <w:r w:rsidRPr="008918F9">
        <w:t>2022</w:t>
      </w:r>
      <w:r w:rsidR="00DF151A">
        <w:t>)</w:t>
      </w:r>
      <w:r w:rsidR="00EE6403">
        <w:t xml:space="preserve">, </w:t>
      </w:r>
      <w:hyperlink r:id="rId8" w:history="1">
        <w:r w:rsidRPr="008918F9">
          <w:rPr>
            <w:rStyle w:val="Hyperlink"/>
          </w:rPr>
          <w:t>https://doi.org/10.1016/j.joclim.2022.100190</w:t>
        </w:r>
      </w:hyperlink>
      <w:r w:rsidRPr="008918F9">
        <w:t>.</w:t>
      </w:r>
    </w:p>
  </w:footnote>
  <w:footnote w:id="9">
    <w:p w14:paraId="15E3CE5F" w14:textId="0906A389" w:rsidR="00904F9F" w:rsidRPr="008918F9" w:rsidRDefault="00904F9F" w:rsidP="001174B9">
      <w:pPr>
        <w:pStyle w:val="FootnoteText"/>
      </w:pPr>
      <w:r w:rsidRPr="008918F9">
        <w:rPr>
          <w:rStyle w:val="FootnoteReference"/>
        </w:rPr>
        <w:footnoteRef/>
      </w:r>
      <w:r w:rsidRPr="00C03EED">
        <w:t xml:space="preserve"> </w:t>
      </w:r>
      <w:r w:rsidR="000C69FE" w:rsidRPr="000C69FE">
        <w:t xml:space="preserve">John P. </w:t>
      </w:r>
      <w:proofErr w:type="spellStart"/>
      <w:r w:rsidR="000C69FE" w:rsidRPr="000C69FE">
        <w:t>Handrakis</w:t>
      </w:r>
      <w:proofErr w:type="spellEnd"/>
      <w:r w:rsidR="005E6F2A">
        <w:t xml:space="preserve"> et al.</w:t>
      </w:r>
      <w:r w:rsidR="00B47EAA">
        <w:t>,</w:t>
      </w:r>
      <w:r w:rsidRPr="00C03EED">
        <w:t xml:space="preserve"> </w:t>
      </w:r>
      <w:proofErr w:type="spellStart"/>
      <w:r w:rsidRPr="001174B9">
        <w:rPr>
          <w:i/>
          <w:iCs/>
        </w:rPr>
        <w:t>Thermodysregulation</w:t>
      </w:r>
      <w:proofErr w:type="spellEnd"/>
      <w:r w:rsidRPr="001174B9">
        <w:rPr>
          <w:i/>
          <w:iCs/>
        </w:rPr>
        <w:t xml:space="preserve"> in persons with spinal cord injury: case series on use of the autonomic standards</w:t>
      </w:r>
      <w:r w:rsidR="002A6FEA">
        <w:t xml:space="preserve">, </w:t>
      </w:r>
      <w:r w:rsidR="00E07C20">
        <w:t xml:space="preserve">3 </w:t>
      </w:r>
      <w:r w:rsidRPr="00E0068D">
        <w:rPr>
          <w:smallCaps/>
        </w:rPr>
        <w:t>Spinal Cord Ser</w:t>
      </w:r>
      <w:r w:rsidR="00AE070B">
        <w:rPr>
          <w:smallCaps/>
        </w:rPr>
        <w:t>ies &amp;</w:t>
      </w:r>
      <w:r w:rsidRPr="00E0068D">
        <w:rPr>
          <w:smallCaps/>
        </w:rPr>
        <w:t xml:space="preserve"> Cases</w:t>
      </w:r>
      <w:r w:rsidR="00E07C20">
        <w:rPr>
          <w:smallCaps/>
        </w:rPr>
        <w:t xml:space="preserve"> </w:t>
      </w:r>
      <w:r w:rsidRPr="008918F9">
        <w:t>(2017)</w:t>
      </w:r>
      <w:r w:rsidR="00305178">
        <w:t>,</w:t>
      </w:r>
      <w:r w:rsidR="00D2318B">
        <w:t xml:space="preserve"> </w:t>
      </w:r>
      <w:r w:rsidR="00D2318B" w:rsidRPr="00D2318B">
        <w:t>https://doi.org/10.1038/s41394-017-0026-7</w:t>
      </w:r>
      <w:r w:rsidRPr="008918F9">
        <w:t>.</w:t>
      </w:r>
    </w:p>
  </w:footnote>
  <w:footnote w:id="10">
    <w:p w14:paraId="5F70CEAD" w14:textId="533C0F52" w:rsidR="00904F9F" w:rsidRPr="001174B9" w:rsidRDefault="00904F9F" w:rsidP="001174B9">
      <w:pPr>
        <w:pStyle w:val="FootnoteText"/>
      </w:pPr>
      <w:r w:rsidRPr="008918F9">
        <w:rPr>
          <w:rStyle w:val="FootnoteReference"/>
        </w:rPr>
        <w:footnoteRef/>
      </w:r>
      <w:r w:rsidRPr="00507F90">
        <w:t xml:space="preserve"> </w:t>
      </w:r>
      <w:r w:rsidR="0010276E" w:rsidRPr="001174B9">
        <w:t>Scott L</w:t>
      </w:r>
      <w:r w:rsidR="0010276E" w:rsidRPr="00507F90">
        <w:t>.</w:t>
      </w:r>
      <w:r w:rsidR="0010276E" w:rsidRPr="001174B9">
        <w:t xml:space="preserve"> Davis</w:t>
      </w:r>
      <w:r w:rsidR="005E6F2A" w:rsidRPr="00507F90">
        <w:t xml:space="preserve"> et al.</w:t>
      </w:r>
      <w:r w:rsidR="00507F90" w:rsidRPr="001174B9">
        <w:t>,</w:t>
      </w:r>
      <w:r w:rsidR="0010276E" w:rsidRPr="00507F90">
        <w:t xml:space="preserve"> </w:t>
      </w:r>
      <w:r w:rsidRPr="00DC5B4E">
        <w:rPr>
          <w:i/>
          <w:iCs/>
        </w:rPr>
        <w:t>Thermoregulation in multiple sclerosis</w:t>
      </w:r>
      <w:r w:rsidR="000E1757">
        <w:t>,</w:t>
      </w:r>
      <w:r w:rsidR="008733B5">
        <w:t xml:space="preserve"> 109</w:t>
      </w:r>
      <w:r w:rsidRPr="008918F9">
        <w:t xml:space="preserve"> J</w:t>
      </w:r>
      <w:r w:rsidRPr="002278FE">
        <w:rPr>
          <w:smallCaps/>
        </w:rPr>
        <w:t>. Appl</w:t>
      </w:r>
      <w:r w:rsidR="00205989">
        <w:rPr>
          <w:smallCaps/>
        </w:rPr>
        <w:t>ied</w:t>
      </w:r>
      <w:r w:rsidRPr="002278FE">
        <w:rPr>
          <w:smallCaps/>
        </w:rPr>
        <w:t xml:space="preserve"> </w:t>
      </w:r>
      <w:r w:rsidRPr="001174B9">
        <w:rPr>
          <w:smallCaps/>
        </w:rPr>
        <w:t>Physiol</w:t>
      </w:r>
      <w:r w:rsidR="00100F13">
        <w:rPr>
          <w:smallCaps/>
        </w:rPr>
        <w:t>ogy</w:t>
      </w:r>
      <w:r w:rsidRPr="001174B9">
        <w:t xml:space="preserve"> 1531</w:t>
      </w:r>
      <w:r w:rsidR="008733B5" w:rsidRPr="001174B9">
        <w:t xml:space="preserve"> (2010)</w:t>
      </w:r>
      <w:r w:rsidR="0010276E" w:rsidRPr="001174B9">
        <w:t xml:space="preserve">, </w:t>
      </w:r>
      <w:hyperlink r:id="rId9" w:history="1">
        <w:r w:rsidR="0010276E" w:rsidRPr="00B8414F">
          <w:rPr>
            <w:rStyle w:val="Hyperlink"/>
          </w:rPr>
          <w:t>https://doi.org/10.1152/japplphysiol.00460.2010</w:t>
        </w:r>
      </w:hyperlink>
      <w:r w:rsidRPr="001174B9">
        <w:t>.</w:t>
      </w:r>
    </w:p>
  </w:footnote>
  <w:footnote w:id="11">
    <w:p w14:paraId="05B5BD96" w14:textId="6E192240" w:rsidR="00904F9F" w:rsidRPr="004C59B9" w:rsidRDefault="00904F9F" w:rsidP="001174B9">
      <w:pPr>
        <w:pStyle w:val="FootnoteText"/>
      </w:pPr>
      <w:r w:rsidRPr="008918F9">
        <w:rPr>
          <w:rStyle w:val="FootnoteReference"/>
        </w:rPr>
        <w:footnoteRef/>
      </w:r>
      <w:r w:rsidRPr="001174B9">
        <w:t xml:space="preserve"> </w:t>
      </w:r>
      <w:r w:rsidR="004C59B9" w:rsidRPr="001174B9">
        <w:t xml:space="preserve">Holly </w:t>
      </w:r>
      <w:proofErr w:type="spellStart"/>
      <w:r w:rsidR="004C59B9" w:rsidRPr="001174B9">
        <w:t>Elser</w:t>
      </w:r>
      <w:proofErr w:type="spellEnd"/>
      <w:r w:rsidR="004C59B9" w:rsidRPr="001174B9">
        <w:t xml:space="preserve"> et al.</w:t>
      </w:r>
      <w:r w:rsidR="00E03B9E">
        <w:t>,</w:t>
      </w:r>
      <w:r w:rsidRPr="008918F9">
        <w:t xml:space="preserve"> </w:t>
      </w:r>
      <w:r w:rsidRPr="00536086">
        <w:rPr>
          <w:i/>
          <w:iCs/>
        </w:rPr>
        <w:t>Anomalously warm weather and acute care visits in patients with multiple sclerosis: A retrospective study of privately insured individuals in the US</w:t>
      </w:r>
      <w:r w:rsidR="006B7FCE">
        <w:t>,</w:t>
      </w:r>
      <w:r w:rsidRPr="008918F9">
        <w:t xml:space="preserve"> </w:t>
      </w:r>
      <w:r w:rsidR="003C0627">
        <w:t xml:space="preserve">18 </w:t>
      </w:r>
      <w:proofErr w:type="spellStart"/>
      <w:r w:rsidRPr="00E03B9E">
        <w:rPr>
          <w:smallCaps/>
        </w:rPr>
        <w:t>PLoS</w:t>
      </w:r>
      <w:proofErr w:type="spellEnd"/>
      <w:r w:rsidRPr="00E03B9E">
        <w:rPr>
          <w:smallCaps/>
        </w:rPr>
        <w:t xml:space="preserve"> Medicine</w:t>
      </w:r>
      <w:r w:rsidR="005344FA">
        <w:t xml:space="preserve"> (2021)</w:t>
      </w:r>
      <w:r w:rsidR="004C59B9">
        <w:t xml:space="preserve">, </w:t>
      </w:r>
      <w:hyperlink r:id="rId10" w:history="1">
        <w:r w:rsidR="004C59B9" w:rsidRPr="004C59B9">
          <w:rPr>
            <w:rStyle w:val="Hyperlink"/>
          </w:rPr>
          <w:t>https://doi.org/10.1371/journal.pmed.1003580</w:t>
        </w:r>
      </w:hyperlink>
      <w:r w:rsidR="00CB0D5E" w:rsidRPr="008918F9">
        <w:t xml:space="preserve">; </w:t>
      </w:r>
      <w:r w:rsidR="004C59B9" w:rsidRPr="004C59B9">
        <w:t>Gill Chacko</w:t>
      </w:r>
      <w:r w:rsidR="004C59B9" w:rsidRPr="004C59B9" w:rsidDel="004C59B9">
        <w:t xml:space="preserve"> </w:t>
      </w:r>
      <w:r w:rsidR="004C59B9">
        <w:t xml:space="preserve">et al., </w:t>
      </w:r>
      <w:r w:rsidR="00CB0D5E" w:rsidRPr="006D3E2C">
        <w:rPr>
          <w:i/>
          <w:iCs/>
        </w:rPr>
        <w:t>Heat Exposure and Multiple Sclerosis—A Regional and Temporal Analysis</w:t>
      </w:r>
      <w:r w:rsidR="006D3E2C">
        <w:t>,</w:t>
      </w:r>
      <w:r w:rsidR="00CB0D5E" w:rsidRPr="008918F9">
        <w:t xml:space="preserve"> </w:t>
      </w:r>
      <w:r w:rsidR="006D3E2C">
        <w:t xml:space="preserve">18 </w:t>
      </w:r>
      <w:r w:rsidR="00CB0D5E" w:rsidRPr="006D3E2C">
        <w:rPr>
          <w:smallCaps/>
        </w:rPr>
        <w:t>Int</w:t>
      </w:r>
      <w:r w:rsidR="006D3E2C" w:rsidRPr="006D3E2C">
        <w:rPr>
          <w:smallCaps/>
        </w:rPr>
        <w:t xml:space="preserve">’l J. </w:t>
      </w:r>
      <w:r w:rsidR="00CB0D5E" w:rsidRPr="006D3E2C">
        <w:rPr>
          <w:smallCaps/>
        </w:rPr>
        <w:t>Env</w:t>
      </w:r>
      <w:r w:rsidR="007E424B">
        <w:rPr>
          <w:smallCaps/>
        </w:rPr>
        <w:t>’</w:t>
      </w:r>
      <w:r w:rsidR="00202ADA">
        <w:rPr>
          <w:smallCaps/>
        </w:rPr>
        <w:t>t</w:t>
      </w:r>
      <w:r w:rsidR="00CB0D5E" w:rsidRPr="006D3E2C">
        <w:rPr>
          <w:smallCaps/>
        </w:rPr>
        <w:t xml:space="preserve"> </w:t>
      </w:r>
      <w:proofErr w:type="spellStart"/>
      <w:r w:rsidR="00CB0D5E" w:rsidRPr="006D3E2C">
        <w:rPr>
          <w:smallCaps/>
        </w:rPr>
        <w:t>R</w:t>
      </w:r>
      <w:r w:rsidR="007E424B">
        <w:rPr>
          <w:smallCaps/>
        </w:rPr>
        <w:t>sch</w:t>
      </w:r>
      <w:proofErr w:type="spellEnd"/>
      <w:r w:rsidR="007E424B">
        <w:rPr>
          <w:smallCaps/>
        </w:rPr>
        <w:t>.</w:t>
      </w:r>
      <w:r w:rsidR="00CB0D5E" w:rsidRPr="006D3E2C">
        <w:rPr>
          <w:smallCaps/>
        </w:rPr>
        <w:t xml:space="preserve"> </w:t>
      </w:r>
      <w:r w:rsidR="006D3E2C" w:rsidRPr="006D3E2C">
        <w:rPr>
          <w:smallCaps/>
        </w:rPr>
        <w:t>&amp;</w:t>
      </w:r>
      <w:r w:rsidR="00CB0D5E" w:rsidRPr="006D3E2C">
        <w:rPr>
          <w:smallCaps/>
        </w:rPr>
        <w:t xml:space="preserve"> Pub</w:t>
      </w:r>
      <w:r w:rsidR="006D3E2C" w:rsidRPr="006D3E2C">
        <w:rPr>
          <w:smallCaps/>
        </w:rPr>
        <w:t>.</w:t>
      </w:r>
      <w:r w:rsidR="00CB0D5E" w:rsidRPr="006D3E2C">
        <w:rPr>
          <w:smallCaps/>
        </w:rPr>
        <w:t xml:space="preserve"> Health</w:t>
      </w:r>
      <w:r w:rsidR="006D3E2C">
        <w:t xml:space="preserve"> </w:t>
      </w:r>
      <w:r w:rsidR="006D3E2C" w:rsidRPr="008918F9">
        <w:t>(2021)</w:t>
      </w:r>
      <w:r w:rsidR="004C59B9">
        <w:t>,</w:t>
      </w:r>
      <w:r w:rsidR="00FF60E4">
        <w:t xml:space="preserve"> </w:t>
      </w:r>
      <w:hyperlink r:id="rId11" w:history="1">
        <w:r w:rsidR="00FF60E4" w:rsidRPr="00635BA2">
          <w:rPr>
            <w:rStyle w:val="Hyperlink"/>
          </w:rPr>
          <w:t>https://doi.org/10.3390/ijerph18115962</w:t>
        </w:r>
      </w:hyperlink>
      <w:r w:rsidR="00CB0D5E" w:rsidRPr="008918F9">
        <w:t>.</w:t>
      </w:r>
      <w:r w:rsidRPr="008918F9">
        <w:t xml:space="preserve">  </w:t>
      </w:r>
    </w:p>
  </w:footnote>
  <w:footnote w:id="12">
    <w:p w14:paraId="201CEB8A" w14:textId="30E0ABD2" w:rsidR="004D5749" w:rsidRPr="008918F9" w:rsidRDefault="004D5749" w:rsidP="001174B9">
      <w:pPr>
        <w:pStyle w:val="FootnoteText"/>
      </w:pPr>
      <w:r w:rsidRPr="008918F9">
        <w:rPr>
          <w:rStyle w:val="FootnoteReference"/>
        </w:rPr>
        <w:footnoteRef/>
      </w:r>
      <w:r w:rsidRPr="008918F9">
        <w:t xml:space="preserve"> </w:t>
      </w:r>
      <w:r w:rsidR="004C59B9" w:rsidRPr="004C59B9">
        <w:t>Terence W.H Chong</w:t>
      </w:r>
      <w:r w:rsidR="004C59B9" w:rsidRPr="004C59B9" w:rsidDel="004C59B9">
        <w:t xml:space="preserve"> </w:t>
      </w:r>
      <w:r w:rsidR="004C59B9">
        <w:t xml:space="preserve">et al., </w:t>
      </w:r>
      <w:r w:rsidRPr="004B613E">
        <w:rPr>
          <w:i/>
          <w:iCs/>
        </w:rPr>
        <w:t>Layer upon layer: thermoregulation in schizophrenia</w:t>
      </w:r>
      <w:r w:rsidR="004B613E">
        <w:t>,</w:t>
      </w:r>
      <w:r w:rsidRPr="008918F9">
        <w:t xml:space="preserve"> </w:t>
      </w:r>
      <w:r w:rsidR="005C1A50">
        <w:t xml:space="preserve">69 </w:t>
      </w:r>
      <w:r w:rsidRPr="007B0CDF">
        <w:rPr>
          <w:smallCaps/>
        </w:rPr>
        <w:t>Schizophr</w:t>
      </w:r>
      <w:r w:rsidR="004644A8">
        <w:rPr>
          <w:smallCaps/>
        </w:rPr>
        <w:t>enia</w:t>
      </w:r>
      <w:r w:rsidRPr="007B0CDF">
        <w:rPr>
          <w:smallCaps/>
        </w:rPr>
        <w:t xml:space="preserve"> </w:t>
      </w:r>
      <w:proofErr w:type="spellStart"/>
      <w:r w:rsidRPr="007B0CDF">
        <w:rPr>
          <w:smallCaps/>
        </w:rPr>
        <w:t>Rs</w:t>
      </w:r>
      <w:r w:rsidR="00BA6793">
        <w:rPr>
          <w:smallCaps/>
        </w:rPr>
        <w:t>ch</w:t>
      </w:r>
      <w:proofErr w:type="spellEnd"/>
      <w:r w:rsidRPr="007B0CDF">
        <w:rPr>
          <w:smallCaps/>
        </w:rPr>
        <w:t>.</w:t>
      </w:r>
      <w:r w:rsidRPr="008918F9">
        <w:t xml:space="preserve"> </w:t>
      </w:r>
      <w:r w:rsidR="00055CDD">
        <w:t>149, 149</w:t>
      </w:r>
      <w:r w:rsidR="003C0627" w:rsidRPr="008918F9">
        <w:t>–</w:t>
      </w:r>
      <w:r w:rsidR="00055CDD">
        <w:t>57 (</w:t>
      </w:r>
      <w:r w:rsidRPr="008918F9">
        <w:t>2004</w:t>
      </w:r>
      <w:r w:rsidR="00055CDD">
        <w:t>)</w:t>
      </w:r>
      <w:r w:rsidR="00FF649D">
        <w:t xml:space="preserve">, </w:t>
      </w:r>
      <w:hyperlink r:id="rId12" w:history="1">
        <w:r w:rsidRPr="008918F9">
          <w:rPr>
            <w:rStyle w:val="Hyperlink"/>
          </w:rPr>
          <w:t>https://doi.org/10.1016/s0920-9964(03)00222-6</w:t>
        </w:r>
      </w:hyperlink>
      <w:r w:rsidR="00CB0D5E" w:rsidRPr="008918F9">
        <w:t xml:space="preserve">; </w:t>
      </w:r>
      <w:proofErr w:type="spellStart"/>
      <w:r w:rsidR="0010276E" w:rsidRPr="001174B9">
        <w:t>Abderrezak</w:t>
      </w:r>
      <w:proofErr w:type="spellEnd"/>
      <w:r w:rsidR="0010276E">
        <w:t xml:space="preserve"> </w:t>
      </w:r>
      <w:proofErr w:type="spellStart"/>
      <w:r w:rsidR="0010276E" w:rsidRPr="001174B9">
        <w:t>Bouchama</w:t>
      </w:r>
      <w:proofErr w:type="spellEnd"/>
      <w:r w:rsidR="0010276E">
        <w:t xml:space="preserve"> </w:t>
      </w:r>
      <w:r w:rsidR="0010276E" w:rsidRPr="0010276E">
        <w:t>et al</w:t>
      </w:r>
      <w:r w:rsidR="00CB0D5E" w:rsidRPr="008918F9">
        <w:t>.</w:t>
      </w:r>
      <w:r w:rsidR="0010276E">
        <w:t>,</w:t>
      </w:r>
      <w:r w:rsidR="00CB0D5E" w:rsidRPr="008918F9">
        <w:t xml:space="preserve"> </w:t>
      </w:r>
      <w:r w:rsidR="00CB0D5E" w:rsidRPr="00233ECE">
        <w:rPr>
          <w:i/>
          <w:iCs/>
        </w:rPr>
        <w:t>Prognostic Factors in Heat Wave–Related Deaths: A Meta-analysis</w:t>
      </w:r>
      <w:r w:rsidR="00233ECE">
        <w:t>,</w:t>
      </w:r>
      <w:r w:rsidR="00CB0D5E" w:rsidRPr="008918F9">
        <w:t xml:space="preserve"> </w:t>
      </w:r>
      <w:r w:rsidR="005C1A50">
        <w:t xml:space="preserve">167 </w:t>
      </w:r>
      <w:r w:rsidR="00CB0D5E" w:rsidRPr="006F77AB">
        <w:rPr>
          <w:smallCaps/>
        </w:rPr>
        <w:t>Arch</w:t>
      </w:r>
      <w:r w:rsidR="00DC3787">
        <w:rPr>
          <w:smallCaps/>
        </w:rPr>
        <w:t>ives of</w:t>
      </w:r>
      <w:r w:rsidR="00CB0D5E" w:rsidRPr="006F77AB">
        <w:rPr>
          <w:smallCaps/>
        </w:rPr>
        <w:t xml:space="preserve"> Intern</w:t>
      </w:r>
      <w:r w:rsidR="00DC3787">
        <w:rPr>
          <w:smallCaps/>
        </w:rPr>
        <w:t>al</w:t>
      </w:r>
      <w:r w:rsidR="00CB0D5E" w:rsidRPr="006F77AB">
        <w:rPr>
          <w:smallCaps/>
        </w:rPr>
        <w:t xml:space="preserve"> Med.</w:t>
      </w:r>
      <w:r w:rsidR="00CB0D5E" w:rsidRPr="008918F9">
        <w:t xml:space="preserve"> </w:t>
      </w:r>
      <w:r w:rsidR="00055CDD">
        <w:t xml:space="preserve">2170, </w:t>
      </w:r>
      <w:r w:rsidR="00055CDD" w:rsidRPr="008918F9">
        <w:t>2170–6</w:t>
      </w:r>
      <w:r w:rsidR="00055CDD">
        <w:t xml:space="preserve"> </w:t>
      </w:r>
      <w:r w:rsidR="005C1A50">
        <w:t>(</w:t>
      </w:r>
      <w:r w:rsidR="00CB0D5E" w:rsidRPr="008918F9">
        <w:t>2007</w:t>
      </w:r>
      <w:r w:rsidR="005C1A50">
        <w:t>)</w:t>
      </w:r>
      <w:r w:rsidR="00FF649D">
        <w:t>,</w:t>
      </w:r>
      <w:r w:rsidR="00CB0D5E" w:rsidRPr="008918F9">
        <w:t xml:space="preserve"> </w:t>
      </w:r>
      <w:hyperlink r:id="rId13" w:history="1">
        <w:r w:rsidR="00CB0D5E" w:rsidRPr="008918F9">
          <w:rPr>
            <w:rStyle w:val="Hyperlink"/>
          </w:rPr>
          <w:t>https://doi.org/10.1001/archinte.167.20.ira70009</w:t>
        </w:r>
      </w:hyperlink>
      <w:r w:rsidR="00CB0D5E" w:rsidRPr="008918F9">
        <w:t>.</w:t>
      </w:r>
    </w:p>
  </w:footnote>
  <w:footnote w:id="13">
    <w:p w14:paraId="6B4D3FC7" w14:textId="126E3720" w:rsidR="00543D65" w:rsidRPr="00FF649D" w:rsidRDefault="00543D65" w:rsidP="001174B9">
      <w:pPr>
        <w:pBdr>
          <w:top w:val="nil"/>
          <w:left w:val="nil"/>
          <w:bottom w:val="nil"/>
          <w:right w:val="nil"/>
          <w:between w:val="nil"/>
        </w:pBdr>
        <w:rPr>
          <w:rFonts w:eastAsia="Times New Roman"/>
          <w:b/>
          <w:color w:val="000000"/>
          <w:sz w:val="20"/>
          <w:szCs w:val="20"/>
        </w:rPr>
      </w:pPr>
      <w:r w:rsidRPr="008918F9">
        <w:rPr>
          <w:sz w:val="20"/>
          <w:szCs w:val="20"/>
          <w:vertAlign w:val="superscript"/>
        </w:rPr>
        <w:footnoteRef/>
      </w:r>
      <w:r w:rsidRPr="008918F9">
        <w:rPr>
          <w:rFonts w:eastAsia="Times New Roman"/>
          <w:color w:val="000000"/>
          <w:sz w:val="20"/>
          <w:szCs w:val="20"/>
        </w:rPr>
        <w:t xml:space="preserve"> Hum. </w:t>
      </w:r>
      <w:proofErr w:type="spellStart"/>
      <w:r w:rsidRPr="008918F9">
        <w:rPr>
          <w:rFonts w:eastAsia="Times New Roman"/>
          <w:color w:val="000000"/>
          <w:sz w:val="20"/>
          <w:szCs w:val="20"/>
        </w:rPr>
        <w:t>Rts</w:t>
      </w:r>
      <w:proofErr w:type="spellEnd"/>
      <w:r w:rsidRPr="008918F9">
        <w:rPr>
          <w:rFonts w:eastAsia="Times New Roman"/>
          <w:color w:val="000000"/>
          <w:sz w:val="20"/>
          <w:szCs w:val="20"/>
        </w:rPr>
        <w:t xml:space="preserve">. Council, Rep. of the Off. of the U.N. High Comm’r for Hum. </w:t>
      </w:r>
      <w:proofErr w:type="spellStart"/>
      <w:r w:rsidRPr="008918F9">
        <w:rPr>
          <w:rFonts w:eastAsia="Times New Roman"/>
          <w:color w:val="000000"/>
          <w:sz w:val="20"/>
          <w:szCs w:val="20"/>
        </w:rPr>
        <w:t>Rts</w:t>
      </w:r>
      <w:proofErr w:type="spellEnd"/>
      <w:r w:rsidRPr="008918F9">
        <w:rPr>
          <w:rFonts w:eastAsia="Times New Roman"/>
          <w:color w:val="000000"/>
          <w:sz w:val="20"/>
          <w:szCs w:val="20"/>
        </w:rPr>
        <w:t xml:space="preserve">., </w:t>
      </w:r>
      <w:r w:rsidRPr="00E300AC">
        <w:rPr>
          <w:rFonts w:eastAsia="Times New Roman"/>
          <w:color w:val="000000"/>
          <w:sz w:val="20"/>
          <w:szCs w:val="20"/>
        </w:rPr>
        <w:t>Analytical Study on the Promotion and Protection of the Rights of Persons with Disabilities in the Context of Climate Change</w:t>
      </w:r>
      <w:r w:rsidRPr="008918F9">
        <w:rPr>
          <w:rFonts w:eastAsia="Times New Roman"/>
          <w:color w:val="000000"/>
          <w:sz w:val="20"/>
          <w:szCs w:val="20"/>
        </w:rPr>
        <w:t xml:space="preserve">, ¶¶ 4–7, U.N. Doc. A/HRC/44/30 (Apr. 22, 2020), </w:t>
      </w:r>
      <w:hyperlink r:id="rId14">
        <w:r w:rsidRPr="008918F9">
          <w:rPr>
            <w:rFonts w:eastAsia="Times New Roman"/>
            <w:color w:val="0563C1"/>
            <w:sz w:val="20"/>
            <w:szCs w:val="20"/>
            <w:u w:val="single"/>
          </w:rPr>
          <w:t>http://undocs.org/A/HRC/44/30</w:t>
        </w:r>
      </w:hyperlink>
      <w:r w:rsidR="00FF649D" w:rsidRPr="001174B9">
        <w:rPr>
          <w:rFonts w:eastAsia="Times New Roman"/>
          <w:color w:val="000000" w:themeColor="text1"/>
          <w:sz w:val="20"/>
          <w:szCs w:val="20"/>
        </w:rPr>
        <w:t>.</w:t>
      </w:r>
    </w:p>
  </w:footnote>
  <w:footnote w:id="14">
    <w:p w14:paraId="09F320AA" w14:textId="362C58A1" w:rsidR="00325936" w:rsidRPr="00BE5865" w:rsidRDefault="00325936" w:rsidP="00DF7ACB">
      <w:pPr>
        <w:pStyle w:val="FootnoteText"/>
      </w:pPr>
      <w:r>
        <w:rPr>
          <w:rStyle w:val="FootnoteReference"/>
        </w:rPr>
        <w:footnoteRef/>
      </w:r>
      <w:r>
        <w:t xml:space="preserve"> </w:t>
      </w:r>
      <w:proofErr w:type="spellStart"/>
      <w:r w:rsidR="00BE5865">
        <w:t>Motz</w:t>
      </w:r>
      <w:proofErr w:type="spellEnd"/>
      <w:r w:rsidR="00BE5865">
        <w:t xml:space="preserve">, </w:t>
      </w:r>
      <w:r w:rsidR="00BE5865">
        <w:rPr>
          <w:i/>
          <w:iCs/>
        </w:rPr>
        <w:t xml:space="preserve">supra </w:t>
      </w:r>
      <w:r w:rsidR="00BE5865">
        <w:t>n</w:t>
      </w:r>
      <w:r w:rsidR="00BD21FF">
        <w:t>ote</w:t>
      </w:r>
      <w:r w:rsidR="00BE5865">
        <w:t xml:space="preserve"> </w:t>
      </w:r>
      <w:r w:rsidR="00BD21FF">
        <w:t>6</w:t>
      </w:r>
      <w:r w:rsidR="00BE5865">
        <w:t xml:space="preserve">, </w:t>
      </w:r>
      <w:r w:rsidR="00480680">
        <w:t>at 333</w:t>
      </w:r>
      <w:r w:rsidR="00832B15">
        <w:t xml:space="preserve"> n.152</w:t>
      </w:r>
      <w:r w:rsidR="003D2EBB">
        <w:t xml:space="preserve"> (collecting examples)</w:t>
      </w:r>
      <w:r w:rsidR="00480680">
        <w:t>.</w:t>
      </w:r>
    </w:p>
  </w:footnote>
  <w:footnote w:id="15">
    <w:p w14:paraId="6C42D24A" w14:textId="632152E8" w:rsidR="00CF0296" w:rsidRDefault="00CF0296">
      <w:pPr>
        <w:pStyle w:val="FootnoteText"/>
      </w:pPr>
      <w:r>
        <w:rPr>
          <w:rStyle w:val="FootnoteReference"/>
        </w:rPr>
        <w:footnoteRef/>
      </w:r>
      <w:r>
        <w:t xml:space="preserve"> </w:t>
      </w:r>
      <w:r w:rsidR="00613C6E">
        <w:t xml:space="preserve">Comm. on the Rights of Persons with Disabilities, Concluding observations on the initial report of Indonesia, ¶ 27, U.N. Doc. </w:t>
      </w:r>
      <w:r w:rsidR="00613C6E" w:rsidRPr="00FA4804">
        <w:t>CRPD/C/</w:t>
      </w:r>
      <w:r w:rsidR="00613C6E">
        <w:t>IDN</w:t>
      </w:r>
      <w:r w:rsidR="00613C6E" w:rsidRPr="00FA4804">
        <w:t>/CO/1</w:t>
      </w:r>
      <w:r w:rsidR="00613C6E">
        <w:t xml:space="preserve"> (Oct. 12, 2022), </w:t>
      </w:r>
      <w:hyperlink r:id="rId15" w:history="1">
        <w:r w:rsidR="00613C6E" w:rsidRPr="008B5A13">
          <w:rPr>
            <w:rStyle w:val="Hyperlink"/>
          </w:rPr>
          <w:t>http://undocs.org/CRPD/C/IDN/CO/1</w:t>
        </w:r>
      </w:hyperlink>
      <w:r w:rsidR="00613C6E">
        <w:t xml:space="preserve">; </w:t>
      </w:r>
      <w:r w:rsidR="00C63F4A">
        <w:t xml:space="preserve">Comm. on the Rights of Persons with Disabilities, Concluding observations on the initial report of Bangladesh, ¶ 24, U.N. Doc. </w:t>
      </w:r>
      <w:r w:rsidR="00C63F4A" w:rsidRPr="00FA4804">
        <w:t>CRPD/C/BGD/CO/1</w:t>
      </w:r>
      <w:r w:rsidR="00C63F4A">
        <w:t xml:space="preserve"> (Oct. 11, 2022), </w:t>
      </w:r>
      <w:hyperlink r:id="rId16" w:history="1">
        <w:r w:rsidR="00C63F4A" w:rsidRPr="00E300AC">
          <w:rPr>
            <w:rStyle w:val="Hyperlink"/>
          </w:rPr>
          <w:t>http://undocs.org/CRPD/C/BGD/CO/1</w:t>
        </w:r>
      </w:hyperlink>
      <w:r w:rsidR="00C63F4A">
        <w:t xml:space="preserve">; </w:t>
      </w:r>
      <w:r w:rsidR="00F02D95">
        <w:t>Comm. on the Rights of Persons with Disabilities,</w:t>
      </w:r>
      <w:r w:rsidR="00F02D95" w:rsidRPr="00B8414F">
        <w:rPr>
          <w:lang w:val="fr-FR"/>
        </w:rPr>
        <w:t xml:space="preserve"> </w:t>
      </w:r>
      <w:r w:rsidR="00F02D95">
        <w:t xml:space="preserve">Concluding observations on the initial report of Singapore, ¶ 22(b), U.N. Doc. </w:t>
      </w:r>
      <w:r w:rsidR="00F02D95" w:rsidRPr="00FA4804">
        <w:t>CRPD/C/</w:t>
      </w:r>
      <w:r w:rsidR="00F02D95">
        <w:t>SGP</w:t>
      </w:r>
      <w:r w:rsidR="00F02D95" w:rsidRPr="00FA4804">
        <w:t>/CO/1</w:t>
      </w:r>
      <w:r w:rsidR="00F02D95">
        <w:t xml:space="preserve"> (Oct. 5, 2022), </w:t>
      </w:r>
      <w:hyperlink r:id="rId17" w:history="1">
        <w:r w:rsidR="00F02D95" w:rsidRPr="001A0923">
          <w:rPr>
            <w:rStyle w:val="Hyperlink"/>
          </w:rPr>
          <w:t>http://undocs.org/CRPD/C/SGP/CO/1</w:t>
        </w:r>
      </w:hyperlink>
      <w:r w:rsidR="00F02D95" w:rsidRPr="0009536B">
        <w:t xml:space="preserve">; </w:t>
      </w:r>
      <w:r w:rsidR="00CC4CC4">
        <w:t>Comm. on the Rights of Persons with Disabilities,</w:t>
      </w:r>
      <w:r w:rsidR="00CC4CC4" w:rsidRPr="00B8414F">
        <w:rPr>
          <w:lang w:val="fr-FR"/>
        </w:rPr>
        <w:t xml:space="preserve"> </w:t>
      </w:r>
      <w:r w:rsidR="00CC4CC4">
        <w:t>Concluding observations on the initial report of</w:t>
      </w:r>
      <w:r w:rsidR="00CC4CC4">
        <w:t xml:space="preserve"> </w:t>
      </w:r>
      <w:r w:rsidR="00CC4CC4">
        <w:t>Jamaica, ¶</w:t>
      </w:r>
      <w:r w:rsidR="00CC4CC4">
        <w:t xml:space="preserve"> </w:t>
      </w:r>
      <w:r w:rsidR="00CA4E15">
        <w:t xml:space="preserve">21(b), </w:t>
      </w:r>
      <w:r w:rsidR="00CC4CC4">
        <w:t xml:space="preserve">U.N. Doc. </w:t>
      </w:r>
      <w:r w:rsidR="00CC4CC4" w:rsidRPr="002F5549">
        <w:t>CRPD/C/JAM/CO/1</w:t>
      </w:r>
      <w:r w:rsidR="00CC4CC4">
        <w:t xml:space="preserve"> (</w:t>
      </w:r>
      <w:r w:rsidR="00CC4CC4">
        <w:t>May</w:t>
      </w:r>
      <w:r w:rsidR="00CC4CC4">
        <w:t xml:space="preserve"> 2</w:t>
      </w:r>
      <w:r w:rsidR="00CC4CC4">
        <w:t>0</w:t>
      </w:r>
      <w:r w:rsidR="00CC4CC4">
        <w:t xml:space="preserve">, 2022), </w:t>
      </w:r>
      <w:hyperlink r:id="rId18" w:history="1">
        <w:r w:rsidR="00CC4CC4" w:rsidRPr="008B5A13">
          <w:rPr>
            <w:rStyle w:val="Hyperlink"/>
          </w:rPr>
          <w:t>http://undocs.org/CRPD/C/JAM/CO/1</w:t>
        </w:r>
      </w:hyperlink>
      <w:r w:rsidR="00CC4CC4">
        <w:t xml:space="preserve">; </w:t>
      </w:r>
      <w:r w:rsidR="00837E95">
        <w:t>Comm. on the Rights of Persons with Disabilities,</w:t>
      </w:r>
      <w:r w:rsidR="00837E95" w:rsidRPr="00B8414F">
        <w:rPr>
          <w:lang w:val="fr-FR"/>
        </w:rPr>
        <w:t xml:space="preserve"> </w:t>
      </w:r>
      <w:r w:rsidR="00837E95">
        <w:t>Concluding observations on the initial report of Vanuatu, ¶ 21</w:t>
      </w:r>
      <w:r w:rsidR="007A020D">
        <w:t>(b)</w:t>
      </w:r>
      <w:r w:rsidR="00837E95">
        <w:t xml:space="preserve">, U.N. Doc. </w:t>
      </w:r>
      <w:r w:rsidR="00837E95" w:rsidRPr="00FA4804">
        <w:t>CRPD/C/</w:t>
      </w:r>
      <w:r w:rsidR="00837E95">
        <w:t>VUT</w:t>
      </w:r>
      <w:r w:rsidR="00837E95" w:rsidRPr="00FA4804">
        <w:t>/CO/1</w:t>
      </w:r>
      <w:r w:rsidR="00837E95">
        <w:t xml:space="preserve"> (May 13, 2019), </w:t>
      </w:r>
      <w:hyperlink r:id="rId19" w:history="1">
        <w:r w:rsidR="00837E95" w:rsidRPr="005E0C5D">
          <w:rPr>
            <w:rStyle w:val="Hyperlink"/>
          </w:rPr>
          <w:t>http://undocs.org/CRPD/C/VUT/CO/1</w:t>
        </w:r>
      </w:hyperlink>
      <w:r w:rsidR="00CC4CC4">
        <w:t>.</w:t>
      </w:r>
    </w:p>
  </w:footnote>
  <w:footnote w:id="16">
    <w:p w14:paraId="4F471E14" w14:textId="114DD7FB" w:rsidR="006B03B3" w:rsidRDefault="006B03B3" w:rsidP="00DF7ACB">
      <w:pPr>
        <w:pStyle w:val="FootnoteText"/>
      </w:pPr>
      <w:r>
        <w:rPr>
          <w:rStyle w:val="FootnoteReference"/>
        </w:rPr>
        <w:footnoteRef/>
      </w:r>
      <w:r>
        <w:t xml:space="preserve"> </w:t>
      </w:r>
      <w:r w:rsidR="0028773E">
        <w:t>Comm</w:t>
      </w:r>
      <w:r w:rsidR="00E148AA">
        <w:t>.</w:t>
      </w:r>
      <w:r w:rsidR="0028773E">
        <w:t xml:space="preserve"> on the Rights of Persons with Disabilities,</w:t>
      </w:r>
      <w:r>
        <w:t xml:space="preserve"> </w:t>
      </w:r>
      <w:r w:rsidR="00A9139D">
        <w:t xml:space="preserve">Concluding observations on the initial report of </w:t>
      </w:r>
      <w:r>
        <w:t>Bangladesh</w:t>
      </w:r>
      <w:r w:rsidR="00A9139D">
        <w:t xml:space="preserve">, </w:t>
      </w:r>
      <w:r w:rsidR="00660A60">
        <w:t xml:space="preserve">¶ 24, </w:t>
      </w:r>
      <w:r w:rsidR="00FA4804">
        <w:t xml:space="preserve">U.N. Doc. </w:t>
      </w:r>
      <w:r w:rsidR="00FA4804" w:rsidRPr="00FA4804">
        <w:t>CRPD/C/BGD/CO/1</w:t>
      </w:r>
      <w:r w:rsidR="00A9139D">
        <w:t xml:space="preserve"> (Oct. 11, 2022)</w:t>
      </w:r>
      <w:r w:rsidR="00E300AC">
        <w:t xml:space="preserve">, </w:t>
      </w:r>
      <w:hyperlink r:id="rId20" w:history="1">
        <w:r w:rsidR="00E300AC" w:rsidRPr="00E300AC">
          <w:rPr>
            <w:rStyle w:val="Hyperlink"/>
          </w:rPr>
          <w:t>http://undocs.org/CRPD/C/BGD/CO/1</w:t>
        </w:r>
      </w:hyperlink>
      <w:r w:rsidR="00FA4804">
        <w:t>.</w:t>
      </w:r>
    </w:p>
  </w:footnote>
  <w:footnote w:id="17">
    <w:p w14:paraId="4C49DF44" w14:textId="476F6D84" w:rsidR="002467B8" w:rsidRPr="00B8414F" w:rsidRDefault="002467B8" w:rsidP="00DF7ACB">
      <w:pPr>
        <w:pStyle w:val="FootnoteText"/>
        <w:rPr>
          <w:lang w:val="fr-FR"/>
        </w:rPr>
      </w:pPr>
      <w:r>
        <w:rPr>
          <w:rStyle w:val="FootnoteReference"/>
        </w:rPr>
        <w:footnoteRef/>
      </w:r>
      <w:r w:rsidRPr="00B8414F">
        <w:rPr>
          <w:lang w:val="fr-FR"/>
        </w:rPr>
        <w:t xml:space="preserve"> </w:t>
      </w:r>
      <w:r w:rsidR="007E424B">
        <w:t>Comm. on the Rights of Persons with Disabilities</w:t>
      </w:r>
      <w:r w:rsidR="00356B5F">
        <w:t>,</w:t>
      </w:r>
      <w:r w:rsidR="007E424B" w:rsidRPr="00B8414F">
        <w:rPr>
          <w:lang w:val="fr-FR"/>
        </w:rPr>
        <w:t xml:space="preserve"> </w:t>
      </w:r>
      <w:r w:rsidR="00356B5F">
        <w:t>Concluding observations on the initial report of Japan, ¶</w:t>
      </w:r>
      <w:r w:rsidR="00534BB4">
        <w:t>¶</w:t>
      </w:r>
      <w:r w:rsidR="00356B5F">
        <w:t xml:space="preserve"> </w:t>
      </w:r>
      <w:r w:rsidR="00534BB4">
        <w:t>25(c) &amp; 26(e)</w:t>
      </w:r>
      <w:r w:rsidR="00356B5F">
        <w:t xml:space="preserve">, U.N. Doc. </w:t>
      </w:r>
      <w:r w:rsidR="00356B5F" w:rsidRPr="00FA4804">
        <w:t>CRPD/C/</w:t>
      </w:r>
      <w:r w:rsidR="00356B5F">
        <w:t>JPN</w:t>
      </w:r>
      <w:r w:rsidR="00356B5F" w:rsidRPr="00FA4804">
        <w:t>/CO/1</w:t>
      </w:r>
      <w:r w:rsidR="00356B5F">
        <w:t xml:space="preserve"> (Oct. </w:t>
      </w:r>
      <w:r w:rsidR="0078245C">
        <w:t>7</w:t>
      </w:r>
      <w:r w:rsidR="00356B5F">
        <w:t xml:space="preserve">, 2022), </w:t>
      </w:r>
      <w:hyperlink r:id="rId21" w:history="1">
        <w:r w:rsidR="0078245C" w:rsidRPr="0078245C">
          <w:rPr>
            <w:rStyle w:val="Hyperlink"/>
          </w:rPr>
          <w:t>http://undocs.org/CRPD/C/JPN/CO/1</w:t>
        </w:r>
      </w:hyperlink>
      <w:r w:rsidR="0078245C">
        <w:t>; Comm. on the Rights of Persons with Disabilities,</w:t>
      </w:r>
      <w:r w:rsidR="0078245C" w:rsidRPr="00B8414F">
        <w:rPr>
          <w:lang w:val="fr-FR"/>
        </w:rPr>
        <w:t xml:space="preserve"> </w:t>
      </w:r>
      <w:r w:rsidR="0078245C">
        <w:t xml:space="preserve">Concluding observations on the initial report of </w:t>
      </w:r>
      <w:r w:rsidR="00E42FFF" w:rsidRPr="00E42FFF">
        <w:t>the Lao People’s Democratic Republic</w:t>
      </w:r>
      <w:r w:rsidR="0078245C">
        <w:t>, ¶</w:t>
      </w:r>
      <w:r w:rsidR="001372C8">
        <w:t>¶</w:t>
      </w:r>
      <w:r w:rsidR="0078245C">
        <w:t xml:space="preserve"> </w:t>
      </w:r>
      <w:r w:rsidR="001372C8">
        <w:t>18(c) &amp; 19(c)</w:t>
      </w:r>
      <w:r w:rsidR="0078245C">
        <w:t xml:space="preserve">, U.N. Doc. </w:t>
      </w:r>
      <w:r w:rsidR="0078245C" w:rsidRPr="00FA4804">
        <w:t>CRPD/C/</w:t>
      </w:r>
      <w:r w:rsidR="00E42FFF">
        <w:t>LAO</w:t>
      </w:r>
      <w:r w:rsidR="0078245C" w:rsidRPr="00FA4804">
        <w:t>/CO/1</w:t>
      </w:r>
      <w:r w:rsidR="0078245C">
        <w:t xml:space="preserve"> (</w:t>
      </w:r>
      <w:r w:rsidR="00E42FFF">
        <w:t>Sept</w:t>
      </w:r>
      <w:r w:rsidR="0078245C">
        <w:t xml:space="preserve">. </w:t>
      </w:r>
      <w:r w:rsidR="00E42FFF">
        <w:t>30</w:t>
      </w:r>
      <w:r w:rsidR="0078245C">
        <w:t xml:space="preserve">, 2022), </w:t>
      </w:r>
      <w:hyperlink r:id="rId22" w:history="1">
        <w:r w:rsidR="00E42FFF" w:rsidRPr="00E42FFF">
          <w:rPr>
            <w:rStyle w:val="Hyperlink"/>
          </w:rPr>
          <w:t>http://undocs.org/CRPD/C/LAO/CO/1</w:t>
        </w:r>
      </w:hyperlink>
      <w:r w:rsidR="0078245C">
        <w:t>;</w:t>
      </w:r>
      <w:r w:rsidR="0078245C" w:rsidRPr="0009536B">
        <w:t xml:space="preserve"> </w:t>
      </w:r>
      <w:r w:rsidR="001372C8">
        <w:t>Comm. on the Rights of Persons with Disabilities,</w:t>
      </w:r>
      <w:r w:rsidR="001372C8" w:rsidRPr="00B8414F">
        <w:rPr>
          <w:lang w:val="fr-FR"/>
        </w:rPr>
        <w:t xml:space="preserve"> </w:t>
      </w:r>
      <w:r w:rsidR="001372C8">
        <w:t>Concluding observations on the initial report of Singapore, ¶¶ 2</w:t>
      </w:r>
      <w:r w:rsidR="001A0923">
        <w:t>1</w:t>
      </w:r>
      <w:r w:rsidR="001372C8">
        <w:t>(</w:t>
      </w:r>
      <w:r w:rsidR="001A0923">
        <w:t>b</w:t>
      </w:r>
      <w:r w:rsidR="001372C8">
        <w:t xml:space="preserve">) &amp; </w:t>
      </w:r>
      <w:r w:rsidR="001A0923">
        <w:t>22(b)</w:t>
      </w:r>
      <w:r w:rsidR="001372C8">
        <w:t xml:space="preserve">, U.N. Doc. </w:t>
      </w:r>
      <w:r w:rsidR="001372C8" w:rsidRPr="00FA4804">
        <w:t>CRPD/C/</w:t>
      </w:r>
      <w:r w:rsidR="00E77824">
        <w:t>SGP</w:t>
      </w:r>
      <w:r w:rsidR="001372C8" w:rsidRPr="00FA4804">
        <w:t>/CO/1</w:t>
      </w:r>
      <w:r w:rsidR="001372C8">
        <w:t xml:space="preserve"> (Oct. </w:t>
      </w:r>
      <w:r w:rsidR="001A0923">
        <w:t>5</w:t>
      </w:r>
      <w:r w:rsidR="001372C8">
        <w:t xml:space="preserve">, 2022), </w:t>
      </w:r>
      <w:hyperlink r:id="rId23" w:history="1">
        <w:r w:rsidR="001A0923" w:rsidRPr="001A0923">
          <w:rPr>
            <w:rStyle w:val="Hyperlink"/>
          </w:rPr>
          <w:t>http://undocs.org/CRPD/C/SGP/CO/1</w:t>
        </w:r>
      </w:hyperlink>
      <w:r w:rsidR="00CE73B0" w:rsidRPr="0009536B">
        <w:t xml:space="preserve">; </w:t>
      </w:r>
      <w:r w:rsidR="004D0D3C">
        <w:t>Comm. on the Rights of Persons with Disabilities,</w:t>
      </w:r>
      <w:r w:rsidR="004D0D3C" w:rsidRPr="00B8414F">
        <w:rPr>
          <w:lang w:val="fr-FR"/>
        </w:rPr>
        <w:t xml:space="preserve"> </w:t>
      </w:r>
      <w:r w:rsidR="004D0D3C">
        <w:t xml:space="preserve">Concluding observations on the </w:t>
      </w:r>
      <w:r w:rsidR="001E597B">
        <w:t xml:space="preserve">combined </w:t>
      </w:r>
      <w:r w:rsidR="004D0D3C">
        <w:t xml:space="preserve">second </w:t>
      </w:r>
      <w:r w:rsidR="001E597B">
        <w:t>and third</w:t>
      </w:r>
      <w:r w:rsidR="004D0D3C">
        <w:t xml:space="preserve"> report of Australia, ¶ 21, U.N. Doc. </w:t>
      </w:r>
      <w:r w:rsidR="004D0D3C" w:rsidRPr="00FA4804">
        <w:t>CRPD/C/</w:t>
      </w:r>
      <w:r w:rsidR="006169C3">
        <w:t>AUS</w:t>
      </w:r>
      <w:r w:rsidR="004D0D3C" w:rsidRPr="00FA4804">
        <w:t>/CO/</w:t>
      </w:r>
      <w:r w:rsidR="006169C3">
        <w:t>2-3</w:t>
      </w:r>
      <w:r w:rsidR="004D0D3C">
        <w:t xml:space="preserve"> (Oct. </w:t>
      </w:r>
      <w:r w:rsidR="006169C3">
        <w:t>1</w:t>
      </w:r>
      <w:r w:rsidR="004D0D3C">
        <w:t xml:space="preserve">5, 2019), </w:t>
      </w:r>
      <w:hyperlink r:id="rId24" w:history="1">
        <w:r w:rsidR="004D7715" w:rsidRPr="008B5A13">
          <w:rPr>
            <w:rStyle w:val="Hyperlink"/>
          </w:rPr>
          <w:t>http://undocs.org/CRPD/C/AUS/CO/2-3</w:t>
        </w:r>
      </w:hyperlink>
      <w:r w:rsidR="00CE73B0" w:rsidRPr="0009536B">
        <w:t xml:space="preserve">; </w:t>
      </w:r>
      <w:r w:rsidR="00E347C1">
        <w:t>Comm. on the Rights of Persons with Disabilities,</w:t>
      </w:r>
      <w:r w:rsidR="00E347C1" w:rsidRPr="00B8414F">
        <w:rPr>
          <w:lang w:val="fr-FR"/>
        </w:rPr>
        <w:t xml:space="preserve"> </w:t>
      </w:r>
      <w:r w:rsidR="00E347C1">
        <w:t xml:space="preserve">Concluding observations on the initial report of </w:t>
      </w:r>
      <w:r w:rsidR="00F023C9">
        <w:t>Seychelles</w:t>
      </w:r>
      <w:r w:rsidR="00E347C1">
        <w:t>, ¶¶ 2</w:t>
      </w:r>
      <w:r w:rsidR="00F023C9">
        <w:t>2</w:t>
      </w:r>
      <w:r w:rsidR="00E347C1">
        <w:t xml:space="preserve"> &amp; 2</w:t>
      </w:r>
      <w:r w:rsidR="00F023C9">
        <w:t>3</w:t>
      </w:r>
      <w:r w:rsidR="00E347C1">
        <w:t xml:space="preserve">, U.N. Doc. </w:t>
      </w:r>
      <w:r w:rsidR="00E347C1" w:rsidRPr="00FA4804">
        <w:t>CRPD/C/</w:t>
      </w:r>
      <w:r w:rsidR="00E347C1">
        <w:t>SYC</w:t>
      </w:r>
      <w:r w:rsidR="00E347C1" w:rsidRPr="00FA4804">
        <w:t>/CO/1</w:t>
      </w:r>
      <w:r w:rsidR="00E347C1">
        <w:t xml:space="preserve"> (</w:t>
      </w:r>
      <w:r w:rsidR="00F023C9">
        <w:t>Apr</w:t>
      </w:r>
      <w:r w:rsidR="00E347C1">
        <w:t xml:space="preserve">. </w:t>
      </w:r>
      <w:r w:rsidR="00F023C9">
        <w:t>16</w:t>
      </w:r>
      <w:r w:rsidR="00E347C1">
        <w:t>, 2</w:t>
      </w:r>
      <w:r w:rsidR="00F023C9">
        <w:t>018</w:t>
      </w:r>
      <w:r w:rsidR="00E347C1">
        <w:t xml:space="preserve">), </w:t>
      </w:r>
      <w:hyperlink r:id="rId25" w:history="1">
        <w:r w:rsidR="00E347C1" w:rsidRPr="00E347C1">
          <w:rPr>
            <w:rStyle w:val="Hyperlink"/>
          </w:rPr>
          <w:t>http://undocs.org/CRPD/C/SYC/CO/1</w:t>
        </w:r>
      </w:hyperlink>
      <w:r w:rsidR="00CE73B0" w:rsidRPr="0009536B">
        <w:t xml:space="preserve">; </w:t>
      </w:r>
      <w:r w:rsidR="00DF7ACB">
        <w:t>Comm. on the Rights of Persons with Disabilities,</w:t>
      </w:r>
      <w:r w:rsidR="00DF7ACB" w:rsidRPr="00B8414F">
        <w:rPr>
          <w:lang w:val="fr-FR"/>
        </w:rPr>
        <w:t xml:space="preserve"> </w:t>
      </w:r>
      <w:r w:rsidR="00DF7ACB">
        <w:t xml:space="preserve">Concluding observations on the initial report of </w:t>
      </w:r>
      <w:r w:rsidR="003F6773">
        <w:t>Panama</w:t>
      </w:r>
      <w:r w:rsidR="00DF7ACB">
        <w:t>, ¶ 2</w:t>
      </w:r>
      <w:r w:rsidR="006343B4">
        <w:t>9(b)</w:t>
      </w:r>
      <w:r w:rsidR="00DF7ACB">
        <w:t xml:space="preserve">, U.N. Doc. </w:t>
      </w:r>
      <w:r w:rsidR="00DF7ACB" w:rsidRPr="00FA4804">
        <w:t>CRPD/C/</w:t>
      </w:r>
      <w:r w:rsidR="003F6773">
        <w:t>PAN</w:t>
      </w:r>
      <w:r w:rsidR="00DF7ACB" w:rsidRPr="00FA4804">
        <w:t>/CO/1</w:t>
      </w:r>
      <w:r w:rsidR="00DF7ACB">
        <w:t xml:space="preserve"> (</w:t>
      </w:r>
      <w:r w:rsidR="00205771">
        <w:t>Sept</w:t>
      </w:r>
      <w:r w:rsidR="00DF7ACB">
        <w:t xml:space="preserve">. </w:t>
      </w:r>
      <w:r w:rsidR="00205771">
        <w:t>29</w:t>
      </w:r>
      <w:r w:rsidR="00DF7ACB">
        <w:t xml:space="preserve">, 2017), </w:t>
      </w:r>
      <w:hyperlink r:id="rId26" w:history="1">
        <w:r w:rsidR="003F6773" w:rsidRPr="003F6773">
          <w:rPr>
            <w:rStyle w:val="Hyperlink"/>
          </w:rPr>
          <w:t>http://undocs.org/CRPD/C/PAN/CO/1</w:t>
        </w:r>
      </w:hyperlink>
      <w:r w:rsidR="00DF7ACB">
        <w:t>; Comm. on the Rights of Persons with Disabilities,</w:t>
      </w:r>
      <w:r w:rsidR="00DF7ACB" w:rsidRPr="00B8414F">
        <w:rPr>
          <w:lang w:val="fr-FR"/>
        </w:rPr>
        <w:t xml:space="preserve"> </w:t>
      </w:r>
      <w:r w:rsidR="00DF7ACB">
        <w:t xml:space="preserve">Concluding observations on the initial report of </w:t>
      </w:r>
      <w:r w:rsidR="003F6773">
        <w:t>Honduras</w:t>
      </w:r>
      <w:r w:rsidR="00DF7ACB">
        <w:t xml:space="preserve">, ¶ </w:t>
      </w:r>
      <w:r w:rsidR="00205771">
        <w:t>26</w:t>
      </w:r>
      <w:r w:rsidR="00DF7ACB">
        <w:t xml:space="preserve">, U.N. Doc. </w:t>
      </w:r>
      <w:r w:rsidR="00DF7ACB" w:rsidRPr="00FA4804">
        <w:t>CRPD/C/</w:t>
      </w:r>
      <w:r w:rsidR="003E1A59">
        <w:t>HND</w:t>
      </w:r>
      <w:r w:rsidR="00DF7ACB" w:rsidRPr="00FA4804">
        <w:t>/CO/1</w:t>
      </w:r>
      <w:r w:rsidR="00DF7ACB">
        <w:t xml:space="preserve"> (</w:t>
      </w:r>
      <w:r w:rsidR="00205771">
        <w:t>May</w:t>
      </w:r>
      <w:r w:rsidR="00DF7ACB">
        <w:t xml:space="preserve">. </w:t>
      </w:r>
      <w:r w:rsidR="00205771">
        <w:t>4</w:t>
      </w:r>
      <w:r w:rsidR="00DF7ACB">
        <w:t xml:space="preserve">, 2017), </w:t>
      </w:r>
      <w:hyperlink r:id="rId27" w:history="1">
        <w:r w:rsidR="003E1A59" w:rsidRPr="003E1A59">
          <w:rPr>
            <w:rStyle w:val="Hyperlink"/>
          </w:rPr>
          <w:t>http://undocs.org/CRPD/C/HND/CO/1</w:t>
        </w:r>
      </w:hyperlink>
      <w:r w:rsidRPr="00B8414F">
        <w:rPr>
          <w:lang w:val="fr-FR"/>
        </w:rPr>
        <w:t>.</w:t>
      </w:r>
    </w:p>
  </w:footnote>
  <w:footnote w:id="18">
    <w:p w14:paraId="4BE42F31" w14:textId="7AF8C268" w:rsidR="0060077E" w:rsidRPr="00B8414F" w:rsidRDefault="0060077E" w:rsidP="00DF7ACB">
      <w:pPr>
        <w:pStyle w:val="FootnoteText"/>
        <w:rPr>
          <w:lang w:val="fr-FR"/>
        </w:rPr>
      </w:pPr>
      <w:r>
        <w:rPr>
          <w:rStyle w:val="FootnoteReference"/>
        </w:rPr>
        <w:footnoteRef/>
      </w:r>
      <w:r w:rsidRPr="00B8414F">
        <w:rPr>
          <w:lang w:val="fr-FR"/>
        </w:rPr>
        <w:t xml:space="preserve"> </w:t>
      </w:r>
      <w:r w:rsidR="0061389C">
        <w:t>Comm. on the Rights of Persons with Disabilities,</w:t>
      </w:r>
      <w:r w:rsidR="0061389C" w:rsidRPr="00B8414F">
        <w:rPr>
          <w:lang w:val="fr-FR"/>
        </w:rPr>
        <w:t xml:space="preserve"> </w:t>
      </w:r>
      <w:r w:rsidR="0061389C">
        <w:t>Concluding observations on the initial report of Vanuatu, ¶¶ 2</w:t>
      </w:r>
      <w:r w:rsidR="005E0C5D">
        <w:t>0–21</w:t>
      </w:r>
      <w:r w:rsidR="0061389C">
        <w:t xml:space="preserve">, U.N. Doc. </w:t>
      </w:r>
      <w:r w:rsidR="0061389C" w:rsidRPr="00FA4804">
        <w:t>CRPD/C/</w:t>
      </w:r>
      <w:r w:rsidR="00F37A59">
        <w:t>VUT</w:t>
      </w:r>
      <w:r w:rsidR="0061389C" w:rsidRPr="00FA4804">
        <w:t>/CO/1</w:t>
      </w:r>
      <w:r w:rsidR="0061389C">
        <w:t xml:space="preserve"> (</w:t>
      </w:r>
      <w:r w:rsidR="0065433A">
        <w:t>May 13, 2019</w:t>
      </w:r>
      <w:r w:rsidR="0061389C">
        <w:t xml:space="preserve">), </w:t>
      </w:r>
      <w:hyperlink r:id="rId28" w:history="1">
        <w:r w:rsidR="005E0C5D" w:rsidRPr="005E0C5D">
          <w:rPr>
            <w:rStyle w:val="Hyperlink"/>
          </w:rPr>
          <w:t>http://undocs.org/CRPD/C/VUT/CO/1</w:t>
        </w:r>
      </w:hyperlink>
      <w:r w:rsidR="0061389C">
        <w:t>; Comm. on the Rights of Persons with Disabilities,</w:t>
      </w:r>
      <w:r w:rsidR="0061389C" w:rsidRPr="00B8414F">
        <w:rPr>
          <w:lang w:val="fr-FR"/>
        </w:rPr>
        <w:t xml:space="preserve"> </w:t>
      </w:r>
      <w:r w:rsidR="0061389C">
        <w:t xml:space="preserve">Concluding observations on the initial report of </w:t>
      </w:r>
      <w:r w:rsidR="0061389C" w:rsidRPr="00E42FFF">
        <w:t xml:space="preserve">the </w:t>
      </w:r>
      <w:r w:rsidR="0061389C">
        <w:t xml:space="preserve">Philippines, ¶¶ </w:t>
      </w:r>
      <w:r w:rsidR="00BF0CE0">
        <w:t>22– 23</w:t>
      </w:r>
      <w:r w:rsidR="0061389C">
        <w:t xml:space="preserve">, U.N. Doc. </w:t>
      </w:r>
      <w:r w:rsidR="0061389C" w:rsidRPr="00FA4804">
        <w:t>CRPD/C/</w:t>
      </w:r>
      <w:r w:rsidR="004953A1">
        <w:t>PH</w:t>
      </w:r>
      <w:r w:rsidR="005B16C3">
        <w:t>L</w:t>
      </w:r>
      <w:r w:rsidR="0061389C" w:rsidRPr="00FA4804">
        <w:t>/CO/1</w:t>
      </w:r>
      <w:r w:rsidR="0061389C">
        <w:t xml:space="preserve"> (</w:t>
      </w:r>
      <w:r w:rsidR="00B31569">
        <w:t>Oct</w:t>
      </w:r>
      <w:r w:rsidR="0061389C">
        <w:t xml:space="preserve">. </w:t>
      </w:r>
      <w:r w:rsidR="00B31569">
        <w:t>16</w:t>
      </w:r>
      <w:r w:rsidR="0061389C">
        <w:t>, 20</w:t>
      </w:r>
      <w:r w:rsidR="00B31569">
        <w:t>18</w:t>
      </w:r>
      <w:r w:rsidR="0061389C">
        <w:t xml:space="preserve">), </w:t>
      </w:r>
      <w:hyperlink r:id="rId29" w:history="1">
        <w:r w:rsidR="00BF0CE0" w:rsidRPr="00BF0CE0">
          <w:rPr>
            <w:rStyle w:val="Hyperlink"/>
          </w:rPr>
          <w:t>http://undocs.org/CRPD/C/PHL/CO/1</w:t>
        </w:r>
      </w:hyperlink>
      <w:r w:rsidRPr="00B8414F">
        <w:rPr>
          <w:lang w:val="fr-FR"/>
        </w:rPr>
        <w:t>.</w:t>
      </w:r>
    </w:p>
  </w:footnote>
  <w:footnote w:id="19">
    <w:p w14:paraId="7B0E0411" w14:textId="3446FA1B" w:rsidR="0060077E" w:rsidRPr="00B8414F" w:rsidRDefault="0060077E" w:rsidP="00DF7ACB">
      <w:pPr>
        <w:pStyle w:val="FootnoteText"/>
        <w:rPr>
          <w:lang w:val="fr-FR"/>
        </w:rPr>
      </w:pPr>
      <w:r>
        <w:rPr>
          <w:rStyle w:val="FootnoteReference"/>
        </w:rPr>
        <w:footnoteRef/>
      </w:r>
      <w:r w:rsidRPr="00B8414F">
        <w:rPr>
          <w:lang w:val="fr-FR"/>
        </w:rPr>
        <w:t xml:space="preserve"> </w:t>
      </w:r>
      <w:r w:rsidR="004F595B">
        <w:t xml:space="preserve">Comm. on the Rights of Persons with Disabilities, Concluding observations on the initial report of Bangladesh, ¶ 24, U.N. Doc. </w:t>
      </w:r>
      <w:r w:rsidR="004F595B" w:rsidRPr="00FA4804">
        <w:t>CRPD/C/BGD/CO/1</w:t>
      </w:r>
      <w:r w:rsidR="004F595B">
        <w:t xml:space="preserve"> (Oct. 11, 2022), </w:t>
      </w:r>
      <w:hyperlink r:id="rId30" w:history="1">
        <w:r w:rsidR="004F595B" w:rsidRPr="00E300AC">
          <w:rPr>
            <w:rStyle w:val="Hyperlink"/>
          </w:rPr>
          <w:t>http://undocs.org/CRPD/C/BGD/CO/1</w:t>
        </w:r>
      </w:hyperlink>
      <w:r w:rsidRPr="00B8414F">
        <w:rPr>
          <w:lang w:val="fr-FR"/>
        </w:rPr>
        <w:t>.</w:t>
      </w:r>
    </w:p>
  </w:footnote>
  <w:footnote w:id="20">
    <w:p w14:paraId="29402B9E" w14:textId="07FC5A35" w:rsidR="00E308AB" w:rsidRDefault="00E308AB" w:rsidP="00DF7ACB">
      <w:pPr>
        <w:pStyle w:val="FootnoteText"/>
      </w:pPr>
      <w:r>
        <w:rPr>
          <w:rStyle w:val="FootnoteReference"/>
        </w:rPr>
        <w:footnoteRef/>
      </w:r>
      <w:r>
        <w:t xml:space="preserve"> </w:t>
      </w:r>
      <w:r w:rsidR="000028C8">
        <w:t>Comm. on the Rights of Persons with Disabilities,</w:t>
      </w:r>
      <w:r w:rsidR="000028C8" w:rsidRPr="00B8414F">
        <w:rPr>
          <w:lang w:val="fr-FR"/>
        </w:rPr>
        <w:t xml:space="preserve"> </w:t>
      </w:r>
      <w:r w:rsidR="000028C8">
        <w:t>Concluding observations on the initial report of Japan, ¶</w:t>
      </w:r>
      <w:r w:rsidR="00FF36E2">
        <w:t xml:space="preserve"> </w:t>
      </w:r>
      <w:r w:rsidR="000028C8">
        <w:t xml:space="preserve"> 26(e), U.N. Doc. </w:t>
      </w:r>
      <w:r w:rsidR="000028C8" w:rsidRPr="00FA4804">
        <w:t>CRPD/C/</w:t>
      </w:r>
      <w:r w:rsidR="000028C8">
        <w:t>JPN</w:t>
      </w:r>
      <w:r w:rsidR="000028C8" w:rsidRPr="00FA4804">
        <w:t>/CO/1</w:t>
      </w:r>
      <w:r w:rsidR="000028C8">
        <w:t xml:space="preserve"> (Oct. 7, 2022), </w:t>
      </w:r>
      <w:hyperlink r:id="rId31" w:history="1">
        <w:r w:rsidR="000028C8" w:rsidRPr="0078245C">
          <w:rPr>
            <w:rStyle w:val="Hyperlink"/>
          </w:rPr>
          <w:t>http://undocs.org/CRPD/C/JPN/CO/1</w:t>
        </w:r>
      </w:hyperlink>
      <w:r w:rsidR="000028C8">
        <w:t>; Comm. on the Rights of Persons with Disabilities,</w:t>
      </w:r>
      <w:r w:rsidR="000028C8" w:rsidRPr="00B8414F">
        <w:rPr>
          <w:lang w:val="fr-FR"/>
        </w:rPr>
        <w:t xml:space="preserve"> </w:t>
      </w:r>
      <w:r w:rsidR="000028C8">
        <w:t xml:space="preserve">Concluding observations on the initial report of </w:t>
      </w:r>
      <w:r w:rsidR="000028C8" w:rsidRPr="00E42FFF">
        <w:t>the Lao People’s Democratic Republic</w:t>
      </w:r>
      <w:r w:rsidR="000028C8">
        <w:t>, ¶</w:t>
      </w:r>
      <w:r w:rsidR="00FF36E2">
        <w:t xml:space="preserve"> </w:t>
      </w:r>
      <w:r w:rsidR="000028C8">
        <w:t xml:space="preserve">19(c), U.N. Doc. </w:t>
      </w:r>
      <w:r w:rsidR="000028C8" w:rsidRPr="00FA4804">
        <w:t>CRPD/C/</w:t>
      </w:r>
      <w:r w:rsidR="000028C8">
        <w:t>LAO</w:t>
      </w:r>
      <w:r w:rsidR="000028C8" w:rsidRPr="00FA4804">
        <w:t>/CO/1</w:t>
      </w:r>
      <w:r w:rsidR="000028C8">
        <w:t xml:space="preserve"> (Sept. 30, 2022), </w:t>
      </w:r>
      <w:hyperlink r:id="rId32" w:history="1">
        <w:r w:rsidR="000028C8" w:rsidRPr="00E42FFF">
          <w:rPr>
            <w:rStyle w:val="Hyperlink"/>
          </w:rPr>
          <w:t>http://undocs.org/CRPD/C/LAO/CO/1</w:t>
        </w:r>
      </w:hyperlink>
      <w:r w:rsidR="000028C8">
        <w:t>;</w:t>
      </w:r>
      <w:r w:rsidR="000028C8" w:rsidRPr="0009536B">
        <w:t xml:space="preserve"> </w:t>
      </w:r>
      <w:r w:rsidR="000028C8">
        <w:t>Comm. on the Rights of Persons with Disabilities,</w:t>
      </w:r>
      <w:r w:rsidR="000028C8" w:rsidRPr="00B8414F">
        <w:rPr>
          <w:lang w:val="fr-FR"/>
        </w:rPr>
        <w:t xml:space="preserve"> </w:t>
      </w:r>
      <w:r w:rsidR="000028C8">
        <w:t xml:space="preserve">Concluding observations on the initial report of Singapore, ¶ 22(b), U.N. Doc. </w:t>
      </w:r>
      <w:r w:rsidR="000028C8" w:rsidRPr="00FA4804">
        <w:t>CRPD/C/</w:t>
      </w:r>
      <w:r w:rsidR="000028C8">
        <w:t>SGP</w:t>
      </w:r>
      <w:r w:rsidR="000028C8" w:rsidRPr="00FA4804">
        <w:t>/CO/1</w:t>
      </w:r>
      <w:r w:rsidR="000028C8">
        <w:t xml:space="preserve"> (Oct. 5, 2022), </w:t>
      </w:r>
      <w:hyperlink r:id="rId33" w:history="1">
        <w:r w:rsidR="000028C8" w:rsidRPr="001A0923">
          <w:rPr>
            <w:rStyle w:val="Hyperlink"/>
          </w:rPr>
          <w:t>http://undocs.org/CRPD/C/SGP/CO/1</w:t>
        </w:r>
      </w:hyperlink>
      <w:r>
        <w:t>.</w:t>
      </w:r>
    </w:p>
  </w:footnote>
  <w:footnote w:id="21">
    <w:p w14:paraId="0864D9E0" w14:textId="606206A7" w:rsidR="00E308AB" w:rsidRPr="00137E38" w:rsidRDefault="00E308AB" w:rsidP="00DF7ACB">
      <w:pPr>
        <w:pStyle w:val="FootnoteText"/>
        <w:rPr>
          <w:lang w:val="fr-FR"/>
        </w:rPr>
      </w:pPr>
      <w:r>
        <w:rPr>
          <w:rStyle w:val="FootnoteReference"/>
        </w:rPr>
        <w:footnoteRef/>
      </w:r>
      <w:r w:rsidRPr="00137E38">
        <w:rPr>
          <w:lang w:val="fr-FR"/>
        </w:rPr>
        <w:t xml:space="preserve"> </w:t>
      </w:r>
      <w:r w:rsidR="00EA6277">
        <w:t>Comm. on the Rights of Persons with Disabilities,</w:t>
      </w:r>
      <w:r w:rsidR="00EA6277" w:rsidRPr="00B8414F">
        <w:rPr>
          <w:lang w:val="fr-FR"/>
        </w:rPr>
        <w:t xml:space="preserve"> </w:t>
      </w:r>
      <w:r w:rsidR="00EA6277">
        <w:t xml:space="preserve">Concluding observations on the initial report of Japan, ¶  26(e), U.N. Doc. </w:t>
      </w:r>
      <w:r w:rsidR="00EA6277" w:rsidRPr="00FA4804">
        <w:t>CRPD/C/</w:t>
      </w:r>
      <w:r w:rsidR="00EA6277">
        <w:t>JPN</w:t>
      </w:r>
      <w:r w:rsidR="00EA6277" w:rsidRPr="00FA4804">
        <w:t>/CO/1</w:t>
      </w:r>
      <w:r w:rsidR="00EA6277">
        <w:t xml:space="preserve"> (Oct. 7, 2022), </w:t>
      </w:r>
      <w:hyperlink r:id="rId34" w:history="1">
        <w:r w:rsidR="00EA6277" w:rsidRPr="0078245C">
          <w:rPr>
            <w:rStyle w:val="Hyperlink"/>
          </w:rPr>
          <w:t>http://undocs.org/CRPD/C/JPN/CO/1</w:t>
        </w:r>
      </w:hyperlink>
      <w:r w:rsidR="00EA6277">
        <w:t>; Comm. on the Rights of Persons with Disabilities,</w:t>
      </w:r>
      <w:r w:rsidR="00EA6277" w:rsidRPr="00B8414F">
        <w:rPr>
          <w:lang w:val="fr-FR"/>
        </w:rPr>
        <w:t xml:space="preserve"> </w:t>
      </w:r>
      <w:r w:rsidR="00EA6277">
        <w:t xml:space="preserve">Concluding observations on the initial report of Singapore, ¶ 22(b), U.N. Doc. </w:t>
      </w:r>
      <w:r w:rsidR="00EA6277" w:rsidRPr="00FA4804">
        <w:t>CRPD/C/</w:t>
      </w:r>
      <w:r w:rsidR="00EA6277">
        <w:t>SGP</w:t>
      </w:r>
      <w:r w:rsidR="00EA6277" w:rsidRPr="00FA4804">
        <w:t>/CO/1</w:t>
      </w:r>
      <w:r w:rsidR="00EA6277">
        <w:t xml:space="preserve"> (Oct. 5, 2022), </w:t>
      </w:r>
      <w:hyperlink r:id="rId35" w:history="1">
        <w:r w:rsidR="00EA6277" w:rsidRPr="001A0923">
          <w:rPr>
            <w:rStyle w:val="Hyperlink"/>
          </w:rPr>
          <w:t>http://undocs.org/CRPD/C/SGP/CO/1</w:t>
        </w:r>
      </w:hyperlink>
      <w:r w:rsidR="00DB6CB8" w:rsidRPr="00137E38">
        <w:rPr>
          <w:lang w:val="fr-FR"/>
        </w:rPr>
        <w:t>.</w:t>
      </w:r>
    </w:p>
  </w:footnote>
  <w:footnote w:id="22">
    <w:p w14:paraId="5F1C6ACB" w14:textId="6B07F20A" w:rsidR="00E308AB" w:rsidRPr="00137E38" w:rsidRDefault="00E308AB" w:rsidP="00DF7ACB">
      <w:pPr>
        <w:pStyle w:val="FootnoteText"/>
        <w:rPr>
          <w:lang w:val="fr-FR"/>
        </w:rPr>
      </w:pPr>
      <w:r>
        <w:rPr>
          <w:rStyle w:val="FootnoteReference"/>
        </w:rPr>
        <w:footnoteRef/>
      </w:r>
      <w:r w:rsidRPr="00137E38">
        <w:rPr>
          <w:lang w:val="fr-FR"/>
        </w:rPr>
        <w:t xml:space="preserve"> </w:t>
      </w:r>
      <w:r w:rsidR="004843D8">
        <w:t>Comm. on the Rights of Persons with Disabilities,</w:t>
      </w:r>
      <w:r w:rsidR="004843D8" w:rsidRPr="00B8414F">
        <w:rPr>
          <w:lang w:val="fr-FR"/>
        </w:rPr>
        <w:t xml:space="preserve"> </w:t>
      </w:r>
      <w:r w:rsidR="004843D8">
        <w:t xml:space="preserve">Concluding observations on the initial report of Seychelles, ¶ 23, U.N. Doc. </w:t>
      </w:r>
      <w:r w:rsidR="004843D8" w:rsidRPr="00FA4804">
        <w:t>CRPD/C/</w:t>
      </w:r>
      <w:r w:rsidR="004843D8">
        <w:t>SYC</w:t>
      </w:r>
      <w:r w:rsidR="004843D8" w:rsidRPr="00FA4804">
        <w:t>/CO/1</w:t>
      </w:r>
      <w:r w:rsidR="004843D8">
        <w:t xml:space="preserve"> (Apr. 16, 2018), </w:t>
      </w:r>
      <w:hyperlink r:id="rId36" w:history="1">
        <w:r w:rsidR="004843D8" w:rsidRPr="00E347C1">
          <w:rPr>
            <w:rStyle w:val="Hyperlink"/>
          </w:rPr>
          <w:t>http://undocs.org/CRPD/C/SYC/CO/1</w:t>
        </w:r>
      </w:hyperlink>
      <w:r w:rsidRPr="00137E38">
        <w:rPr>
          <w:lang w:val="fr-FR"/>
        </w:rPr>
        <w:t>.</w:t>
      </w:r>
    </w:p>
  </w:footnote>
  <w:footnote w:id="23">
    <w:p w14:paraId="35713191" w14:textId="2ADD67E3" w:rsidR="00130E89" w:rsidRDefault="00130E89" w:rsidP="00DF7ACB">
      <w:pPr>
        <w:pStyle w:val="FootnoteText"/>
      </w:pPr>
      <w:r>
        <w:rPr>
          <w:rStyle w:val="FootnoteReference"/>
        </w:rPr>
        <w:footnoteRef/>
      </w:r>
      <w:r>
        <w:t xml:space="preserve"> </w:t>
      </w:r>
      <w:r w:rsidR="004843D8">
        <w:rPr>
          <w:i/>
          <w:iCs/>
        </w:rPr>
        <w:t xml:space="preserve">Id. </w:t>
      </w:r>
      <w:r w:rsidR="004843D8">
        <w:t>at ¶ 22</w:t>
      </w:r>
      <w:r>
        <w:t>.</w:t>
      </w:r>
    </w:p>
  </w:footnote>
  <w:footnote w:id="24">
    <w:p w14:paraId="27F97638" w14:textId="63BBE11D" w:rsidR="00B76EC7" w:rsidRDefault="00B76EC7">
      <w:pPr>
        <w:pStyle w:val="FootnoteText"/>
      </w:pPr>
      <w:r>
        <w:rPr>
          <w:rStyle w:val="FootnoteReference"/>
        </w:rPr>
        <w:footnoteRef/>
      </w:r>
      <w:r>
        <w:t xml:space="preserve"> Comm. on the Rights of Persons with Disabilities,</w:t>
      </w:r>
      <w:r w:rsidRPr="00B8414F">
        <w:rPr>
          <w:lang w:val="fr-FR"/>
        </w:rPr>
        <w:t xml:space="preserve"> </w:t>
      </w:r>
      <w:r>
        <w:t xml:space="preserve">Concluding observations on the initial report of </w:t>
      </w:r>
      <w:r w:rsidRPr="00E42FFF">
        <w:t>the Lao People’s Democratic Republic</w:t>
      </w:r>
      <w:r>
        <w:t xml:space="preserve">, ¶ 19(c), U.N. Doc. </w:t>
      </w:r>
      <w:r w:rsidRPr="00FA4804">
        <w:t>CRPD/C/</w:t>
      </w:r>
      <w:r>
        <w:t>LAO</w:t>
      </w:r>
      <w:r w:rsidRPr="00FA4804">
        <w:t>/CO/1</w:t>
      </w:r>
      <w:r>
        <w:t xml:space="preserve"> (Sept. 30, 2022), </w:t>
      </w:r>
      <w:hyperlink r:id="rId37" w:history="1">
        <w:r w:rsidRPr="00E42FFF">
          <w:rPr>
            <w:rStyle w:val="Hyperlink"/>
          </w:rPr>
          <w:t>http://undocs.org/CRPD/C/LAO/CO/1</w:t>
        </w:r>
      </w:hyperlink>
      <w:r>
        <w:t>.</w:t>
      </w:r>
    </w:p>
  </w:footnote>
  <w:footnote w:id="25">
    <w:p w14:paraId="711A28B7" w14:textId="0AE74BDB" w:rsidR="00512AC1" w:rsidRPr="008A5E6A" w:rsidRDefault="00512AC1" w:rsidP="00DF7ACB">
      <w:pPr>
        <w:pStyle w:val="FootnoteText"/>
      </w:pPr>
      <w:r>
        <w:rPr>
          <w:rStyle w:val="FootnoteReference"/>
        </w:rPr>
        <w:footnoteRef/>
      </w:r>
      <w:r>
        <w:t xml:space="preserve"> </w:t>
      </w:r>
      <w:proofErr w:type="spellStart"/>
      <w:r>
        <w:t>Motz</w:t>
      </w:r>
      <w:proofErr w:type="spellEnd"/>
      <w:r>
        <w:t xml:space="preserve">, </w:t>
      </w:r>
      <w:r>
        <w:rPr>
          <w:i/>
          <w:iCs/>
        </w:rPr>
        <w:t xml:space="preserve">supra </w:t>
      </w:r>
      <w:r>
        <w:t xml:space="preserve">note </w:t>
      </w:r>
      <w:r w:rsidR="00BD21FF">
        <w:t>6</w:t>
      </w:r>
      <w:r>
        <w:t>, at 333 n.156 (collecting examples).</w:t>
      </w:r>
    </w:p>
  </w:footnote>
  <w:footnote w:id="26">
    <w:p w14:paraId="53A20466" w14:textId="0317C167" w:rsidR="00175149" w:rsidRDefault="00175149" w:rsidP="00DF7ACB">
      <w:pPr>
        <w:pStyle w:val="FootnoteText"/>
      </w:pPr>
      <w:r>
        <w:rPr>
          <w:rStyle w:val="FootnoteReference"/>
        </w:rPr>
        <w:footnoteRef/>
      </w:r>
      <w:r>
        <w:t xml:space="preserve"> </w:t>
      </w:r>
      <w:r w:rsidR="001711E6">
        <w:rPr>
          <w:i/>
          <w:iCs/>
        </w:rPr>
        <w:t>See, e.g.</w:t>
      </w:r>
      <w:r w:rsidR="001711E6">
        <w:t xml:space="preserve">, </w:t>
      </w:r>
      <w:r w:rsidR="007E424B">
        <w:t xml:space="preserve">Comm. on the Rights of Persons with Disabilities, </w:t>
      </w:r>
      <w:r w:rsidR="007E424B">
        <w:rPr>
          <w:i/>
          <w:iCs/>
        </w:rPr>
        <w:t xml:space="preserve">supra </w:t>
      </w:r>
      <w:r w:rsidR="007E424B">
        <w:t xml:space="preserve">note </w:t>
      </w:r>
      <w:r w:rsidR="00D91DC7">
        <w:fldChar w:fldCharType="begin"/>
      </w:r>
      <w:r w:rsidR="00D91DC7">
        <w:instrText xml:space="preserve"> NOTEREF _Ref126569252 \h </w:instrText>
      </w:r>
      <w:r w:rsidR="00DF7ACB">
        <w:instrText xml:space="preserve"> \* MERGEFORMAT </w:instrText>
      </w:r>
      <w:r w:rsidR="00D91DC7">
        <w:fldChar w:fldCharType="separate"/>
      </w:r>
      <w:r w:rsidR="00D91DC7">
        <w:t>14</w:t>
      </w:r>
      <w:r w:rsidR="00D91DC7">
        <w:fldChar w:fldCharType="end"/>
      </w:r>
      <w:r w:rsidR="007E424B">
        <w:t>, a</w:t>
      </w:r>
      <w:r w:rsidR="00D91DC7">
        <w:t>t ¶ 24</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101"/>
    <w:multiLevelType w:val="hybridMultilevel"/>
    <w:tmpl w:val="E94E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85F7D"/>
    <w:multiLevelType w:val="hybridMultilevel"/>
    <w:tmpl w:val="D8968398"/>
    <w:lvl w:ilvl="0" w:tplc="DE8C4DDC">
      <w:start w:val="1"/>
      <w:numFmt w:val="decimal"/>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0296D"/>
    <w:multiLevelType w:val="hybridMultilevel"/>
    <w:tmpl w:val="3B5A3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5144160">
    <w:abstractNumId w:val="0"/>
  </w:num>
  <w:num w:numId="2" w16cid:durableId="551187296">
    <w:abstractNumId w:val="1"/>
  </w:num>
  <w:num w:numId="3" w16cid:durableId="1790397532">
    <w:abstractNumId w:val="2"/>
  </w:num>
  <w:num w:numId="4" w16cid:durableId="54776684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1C0"/>
    <w:rsid w:val="00001AEA"/>
    <w:rsid w:val="000028C8"/>
    <w:rsid w:val="0000334F"/>
    <w:rsid w:val="00007DEF"/>
    <w:rsid w:val="00012942"/>
    <w:rsid w:val="00013EC3"/>
    <w:rsid w:val="000157D0"/>
    <w:rsid w:val="00015EAA"/>
    <w:rsid w:val="000174ED"/>
    <w:rsid w:val="000221B3"/>
    <w:rsid w:val="00027080"/>
    <w:rsid w:val="00027ABC"/>
    <w:rsid w:val="00032105"/>
    <w:rsid w:val="00035B7E"/>
    <w:rsid w:val="00037786"/>
    <w:rsid w:val="00041DF3"/>
    <w:rsid w:val="000423AC"/>
    <w:rsid w:val="0004382A"/>
    <w:rsid w:val="0004546A"/>
    <w:rsid w:val="000525F2"/>
    <w:rsid w:val="0005374A"/>
    <w:rsid w:val="00055CDD"/>
    <w:rsid w:val="00057B71"/>
    <w:rsid w:val="0006509F"/>
    <w:rsid w:val="00066850"/>
    <w:rsid w:val="00067A35"/>
    <w:rsid w:val="000705FA"/>
    <w:rsid w:val="00073F42"/>
    <w:rsid w:val="00074A19"/>
    <w:rsid w:val="00075BBE"/>
    <w:rsid w:val="00077E7F"/>
    <w:rsid w:val="000814F9"/>
    <w:rsid w:val="00081725"/>
    <w:rsid w:val="00081DDD"/>
    <w:rsid w:val="000833A3"/>
    <w:rsid w:val="000903D5"/>
    <w:rsid w:val="00091A53"/>
    <w:rsid w:val="0009472A"/>
    <w:rsid w:val="0009536B"/>
    <w:rsid w:val="0009550C"/>
    <w:rsid w:val="00095ABC"/>
    <w:rsid w:val="00097BEB"/>
    <w:rsid w:val="000A0883"/>
    <w:rsid w:val="000A1625"/>
    <w:rsid w:val="000A2D85"/>
    <w:rsid w:val="000A358F"/>
    <w:rsid w:val="000B0829"/>
    <w:rsid w:val="000B513C"/>
    <w:rsid w:val="000B56DF"/>
    <w:rsid w:val="000B65D8"/>
    <w:rsid w:val="000C02F1"/>
    <w:rsid w:val="000C1AFF"/>
    <w:rsid w:val="000C3CAC"/>
    <w:rsid w:val="000C3F18"/>
    <w:rsid w:val="000C669B"/>
    <w:rsid w:val="000C69FE"/>
    <w:rsid w:val="000C70B8"/>
    <w:rsid w:val="000D2C2B"/>
    <w:rsid w:val="000D71A4"/>
    <w:rsid w:val="000E1757"/>
    <w:rsid w:val="000E2039"/>
    <w:rsid w:val="000E24B8"/>
    <w:rsid w:val="000E306A"/>
    <w:rsid w:val="000E5614"/>
    <w:rsid w:val="000E7B11"/>
    <w:rsid w:val="000F2348"/>
    <w:rsid w:val="000F3200"/>
    <w:rsid w:val="000F4530"/>
    <w:rsid w:val="000F6A25"/>
    <w:rsid w:val="001002C5"/>
    <w:rsid w:val="00100CF6"/>
    <w:rsid w:val="00100F13"/>
    <w:rsid w:val="0010276E"/>
    <w:rsid w:val="00103F90"/>
    <w:rsid w:val="0010549D"/>
    <w:rsid w:val="00106E81"/>
    <w:rsid w:val="001071CB"/>
    <w:rsid w:val="0010766E"/>
    <w:rsid w:val="001079DE"/>
    <w:rsid w:val="0011268F"/>
    <w:rsid w:val="001128E4"/>
    <w:rsid w:val="00114644"/>
    <w:rsid w:val="001146D6"/>
    <w:rsid w:val="00114F0F"/>
    <w:rsid w:val="00117336"/>
    <w:rsid w:val="001174B9"/>
    <w:rsid w:val="00124E10"/>
    <w:rsid w:val="00124FFB"/>
    <w:rsid w:val="00126505"/>
    <w:rsid w:val="001267F5"/>
    <w:rsid w:val="00130A98"/>
    <w:rsid w:val="00130E89"/>
    <w:rsid w:val="00131674"/>
    <w:rsid w:val="00132E0F"/>
    <w:rsid w:val="00134D53"/>
    <w:rsid w:val="00135223"/>
    <w:rsid w:val="001365CF"/>
    <w:rsid w:val="001372C8"/>
    <w:rsid w:val="00137E38"/>
    <w:rsid w:val="00137FAA"/>
    <w:rsid w:val="00140984"/>
    <w:rsid w:val="00141132"/>
    <w:rsid w:val="00141DD0"/>
    <w:rsid w:val="00143394"/>
    <w:rsid w:val="001443BA"/>
    <w:rsid w:val="0014547A"/>
    <w:rsid w:val="00152D2E"/>
    <w:rsid w:val="00154E5E"/>
    <w:rsid w:val="0015698C"/>
    <w:rsid w:val="00162C5B"/>
    <w:rsid w:val="0016354D"/>
    <w:rsid w:val="00164867"/>
    <w:rsid w:val="0016594A"/>
    <w:rsid w:val="001711E6"/>
    <w:rsid w:val="00171DF4"/>
    <w:rsid w:val="00171FC7"/>
    <w:rsid w:val="0017294C"/>
    <w:rsid w:val="0017420B"/>
    <w:rsid w:val="001743AA"/>
    <w:rsid w:val="00175149"/>
    <w:rsid w:val="00175C44"/>
    <w:rsid w:val="001813C3"/>
    <w:rsid w:val="00181BC4"/>
    <w:rsid w:val="00181EE8"/>
    <w:rsid w:val="0018478C"/>
    <w:rsid w:val="0018486D"/>
    <w:rsid w:val="001904A0"/>
    <w:rsid w:val="0019081F"/>
    <w:rsid w:val="00194233"/>
    <w:rsid w:val="00195CA3"/>
    <w:rsid w:val="00197F42"/>
    <w:rsid w:val="001A0923"/>
    <w:rsid w:val="001A0B46"/>
    <w:rsid w:val="001A3BFA"/>
    <w:rsid w:val="001A44AD"/>
    <w:rsid w:val="001A47D8"/>
    <w:rsid w:val="001A5CC7"/>
    <w:rsid w:val="001A658F"/>
    <w:rsid w:val="001B00C0"/>
    <w:rsid w:val="001C2A7A"/>
    <w:rsid w:val="001C3967"/>
    <w:rsid w:val="001C413D"/>
    <w:rsid w:val="001C515C"/>
    <w:rsid w:val="001C5582"/>
    <w:rsid w:val="001C57E4"/>
    <w:rsid w:val="001C5B03"/>
    <w:rsid w:val="001D39B3"/>
    <w:rsid w:val="001D580F"/>
    <w:rsid w:val="001E0D25"/>
    <w:rsid w:val="001E1324"/>
    <w:rsid w:val="001E16FF"/>
    <w:rsid w:val="001E310D"/>
    <w:rsid w:val="001E597B"/>
    <w:rsid w:val="001E7410"/>
    <w:rsid w:val="001F6668"/>
    <w:rsid w:val="00202ADA"/>
    <w:rsid w:val="00202CE4"/>
    <w:rsid w:val="00204139"/>
    <w:rsid w:val="0020496A"/>
    <w:rsid w:val="0020507B"/>
    <w:rsid w:val="00205771"/>
    <w:rsid w:val="00205989"/>
    <w:rsid w:val="00210E80"/>
    <w:rsid w:val="00212428"/>
    <w:rsid w:val="002203F0"/>
    <w:rsid w:val="002207EE"/>
    <w:rsid w:val="0022150F"/>
    <w:rsid w:val="00223701"/>
    <w:rsid w:val="00225F50"/>
    <w:rsid w:val="002278FE"/>
    <w:rsid w:val="00230B89"/>
    <w:rsid w:val="002317AF"/>
    <w:rsid w:val="00231FD4"/>
    <w:rsid w:val="0023309D"/>
    <w:rsid w:val="00233ECE"/>
    <w:rsid w:val="00234E6C"/>
    <w:rsid w:val="00235C31"/>
    <w:rsid w:val="00236F6E"/>
    <w:rsid w:val="0023707A"/>
    <w:rsid w:val="00240622"/>
    <w:rsid w:val="00240717"/>
    <w:rsid w:val="00240A8F"/>
    <w:rsid w:val="00242DA6"/>
    <w:rsid w:val="00242F51"/>
    <w:rsid w:val="002438BF"/>
    <w:rsid w:val="00244B41"/>
    <w:rsid w:val="00244DCD"/>
    <w:rsid w:val="002467B8"/>
    <w:rsid w:val="00247C70"/>
    <w:rsid w:val="00252FB4"/>
    <w:rsid w:val="002565C2"/>
    <w:rsid w:val="00262D5A"/>
    <w:rsid w:val="0026300A"/>
    <w:rsid w:val="00266407"/>
    <w:rsid w:val="002669A2"/>
    <w:rsid w:val="00270C1D"/>
    <w:rsid w:val="00270EA5"/>
    <w:rsid w:val="00271189"/>
    <w:rsid w:val="0027343B"/>
    <w:rsid w:val="00273623"/>
    <w:rsid w:val="00275CD6"/>
    <w:rsid w:val="002836BF"/>
    <w:rsid w:val="00284514"/>
    <w:rsid w:val="00284BB6"/>
    <w:rsid w:val="00287567"/>
    <w:rsid w:val="00287739"/>
    <w:rsid w:val="0028773E"/>
    <w:rsid w:val="00291F84"/>
    <w:rsid w:val="00293DD3"/>
    <w:rsid w:val="00293F95"/>
    <w:rsid w:val="002944D9"/>
    <w:rsid w:val="002A129C"/>
    <w:rsid w:val="002A23CA"/>
    <w:rsid w:val="002A2EBF"/>
    <w:rsid w:val="002A5536"/>
    <w:rsid w:val="002A6500"/>
    <w:rsid w:val="002A6FEA"/>
    <w:rsid w:val="002B0A05"/>
    <w:rsid w:val="002B2632"/>
    <w:rsid w:val="002B4B65"/>
    <w:rsid w:val="002B5C38"/>
    <w:rsid w:val="002B7B53"/>
    <w:rsid w:val="002C0C9A"/>
    <w:rsid w:val="002C10A6"/>
    <w:rsid w:val="002C194D"/>
    <w:rsid w:val="002C3ED6"/>
    <w:rsid w:val="002C45C9"/>
    <w:rsid w:val="002C5F98"/>
    <w:rsid w:val="002C67C9"/>
    <w:rsid w:val="002D548C"/>
    <w:rsid w:val="002D5BEF"/>
    <w:rsid w:val="002D7823"/>
    <w:rsid w:val="002E170A"/>
    <w:rsid w:val="002E36F6"/>
    <w:rsid w:val="002E65EE"/>
    <w:rsid w:val="002F01C0"/>
    <w:rsid w:val="002F0714"/>
    <w:rsid w:val="002F12DC"/>
    <w:rsid w:val="002F303F"/>
    <w:rsid w:val="002F5549"/>
    <w:rsid w:val="002F743F"/>
    <w:rsid w:val="00300931"/>
    <w:rsid w:val="0030137C"/>
    <w:rsid w:val="0030168B"/>
    <w:rsid w:val="003022AD"/>
    <w:rsid w:val="003030B7"/>
    <w:rsid w:val="00305178"/>
    <w:rsid w:val="00306FBD"/>
    <w:rsid w:val="00307D23"/>
    <w:rsid w:val="00312147"/>
    <w:rsid w:val="00313532"/>
    <w:rsid w:val="00321E29"/>
    <w:rsid w:val="00321FCB"/>
    <w:rsid w:val="003220C3"/>
    <w:rsid w:val="00325936"/>
    <w:rsid w:val="0032608C"/>
    <w:rsid w:val="0033038D"/>
    <w:rsid w:val="00330E33"/>
    <w:rsid w:val="0033767E"/>
    <w:rsid w:val="0034064B"/>
    <w:rsid w:val="00341771"/>
    <w:rsid w:val="00341DA3"/>
    <w:rsid w:val="0034273D"/>
    <w:rsid w:val="00342981"/>
    <w:rsid w:val="00342BD8"/>
    <w:rsid w:val="00345112"/>
    <w:rsid w:val="0034710D"/>
    <w:rsid w:val="00350034"/>
    <w:rsid w:val="00350A97"/>
    <w:rsid w:val="0035132E"/>
    <w:rsid w:val="0035264F"/>
    <w:rsid w:val="00353094"/>
    <w:rsid w:val="0035366F"/>
    <w:rsid w:val="003566B1"/>
    <w:rsid w:val="00356B5F"/>
    <w:rsid w:val="00360968"/>
    <w:rsid w:val="00360E95"/>
    <w:rsid w:val="00361339"/>
    <w:rsid w:val="0036272E"/>
    <w:rsid w:val="00363D1D"/>
    <w:rsid w:val="003669D6"/>
    <w:rsid w:val="00372A23"/>
    <w:rsid w:val="00384621"/>
    <w:rsid w:val="00384C03"/>
    <w:rsid w:val="003850F7"/>
    <w:rsid w:val="003853DD"/>
    <w:rsid w:val="003878C9"/>
    <w:rsid w:val="00390919"/>
    <w:rsid w:val="0039594C"/>
    <w:rsid w:val="0039606E"/>
    <w:rsid w:val="003971B6"/>
    <w:rsid w:val="003A0ED2"/>
    <w:rsid w:val="003A1C6D"/>
    <w:rsid w:val="003A1E73"/>
    <w:rsid w:val="003A2EC5"/>
    <w:rsid w:val="003A43EB"/>
    <w:rsid w:val="003A6ACA"/>
    <w:rsid w:val="003B3741"/>
    <w:rsid w:val="003B4668"/>
    <w:rsid w:val="003B6457"/>
    <w:rsid w:val="003C0627"/>
    <w:rsid w:val="003C1D13"/>
    <w:rsid w:val="003C1D71"/>
    <w:rsid w:val="003C3707"/>
    <w:rsid w:val="003C5CE2"/>
    <w:rsid w:val="003C7B0A"/>
    <w:rsid w:val="003C7D38"/>
    <w:rsid w:val="003D2EBB"/>
    <w:rsid w:val="003D58E0"/>
    <w:rsid w:val="003D5DF0"/>
    <w:rsid w:val="003D5E7E"/>
    <w:rsid w:val="003D73F6"/>
    <w:rsid w:val="003E146C"/>
    <w:rsid w:val="003E1A59"/>
    <w:rsid w:val="003E267C"/>
    <w:rsid w:val="003E2692"/>
    <w:rsid w:val="003E3028"/>
    <w:rsid w:val="003E4816"/>
    <w:rsid w:val="003E4ECF"/>
    <w:rsid w:val="003E6975"/>
    <w:rsid w:val="003E7165"/>
    <w:rsid w:val="003F0198"/>
    <w:rsid w:val="003F03A0"/>
    <w:rsid w:val="003F414B"/>
    <w:rsid w:val="003F5318"/>
    <w:rsid w:val="003F5788"/>
    <w:rsid w:val="003F6773"/>
    <w:rsid w:val="00400F37"/>
    <w:rsid w:val="00400F46"/>
    <w:rsid w:val="004018A1"/>
    <w:rsid w:val="00402220"/>
    <w:rsid w:val="004024B1"/>
    <w:rsid w:val="0040484D"/>
    <w:rsid w:val="00404C51"/>
    <w:rsid w:val="00406629"/>
    <w:rsid w:val="00411DE9"/>
    <w:rsid w:val="00412894"/>
    <w:rsid w:val="00416162"/>
    <w:rsid w:val="004176D5"/>
    <w:rsid w:val="00420429"/>
    <w:rsid w:val="00424833"/>
    <w:rsid w:val="004266A5"/>
    <w:rsid w:val="004266B5"/>
    <w:rsid w:val="0043344C"/>
    <w:rsid w:val="004348B5"/>
    <w:rsid w:val="0043574C"/>
    <w:rsid w:val="00435E22"/>
    <w:rsid w:val="00436A4A"/>
    <w:rsid w:val="00443D2A"/>
    <w:rsid w:val="00447F9C"/>
    <w:rsid w:val="0045250F"/>
    <w:rsid w:val="00452F0E"/>
    <w:rsid w:val="00453594"/>
    <w:rsid w:val="00453D5A"/>
    <w:rsid w:val="00453E17"/>
    <w:rsid w:val="00454EE0"/>
    <w:rsid w:val="00454F9D"/>
    <w:rsid w:val="00455AE4"/>
    <w:rsid w:val="00457361"/>
    <w:rsid w:val="00461236"/>
    <w:rsid w:val="004616BF"/>
    <w:rsid w:val="00461A1F"/>
    <w:rsid w:val="00462F50"/>
    <w:rsid w:val="004644A8"/>
    <w:rsid w:val="004666C8"/>
    <w:rsid w:val="00466ED1"/>
    <w:rsid w:val="00467E89"/>
    <w:rsid w:val="00473604"/>
    <w:rsid w:val="0047674E"/>
    <w:rsid w:val="00480680"/>
    <w:rsid w:val="00481A0D"/>
    <w:rsid w:val="00483010"/>
    <w:rsid w:val="004830F3"/>
    <w:rsid w:val="004838EE"/>
    <w:rsid w:val="004843D8"/>
    <w:rsid w:val="00484895"/>
    <w:rsid w:val="004857EB"/>
    <w:rsid w:val="004873A5"/>
    <w:rsid w:val="00490386"/>
    <w:rsid w:val="00491719"/>
    <w:rsid w:val="00494365"/>
    <w:rsid w:val="004953A1"/>
    <w:rsid w:val="004968D6"/>
    <w:rsid w:val="004A0F5F"/>
    <w:rsid w:val="004A2063"/>
    <w:rsid w:val="004A2944"/>
    <w:rsid w:val="004A4769"/>
    <w:rsid w:val="004A4A96"/>
    <w:rsid w:val="004A6710"/>
    <w:rsid w:val="004A71DE"/>
    <w:rsid w:val="004A7898"/>
    <w:rsid w:val="004B12A5"/>
    <w:rsid w:val="004B19BD"/>
    <w:rsid w:val="004B5028"/>
    <w:rsid w:val="004B533E"/>
    <w:rsid w:val="004B5361"/>
    <w:rsid w:val="004B54A3"/>
    <w:rsid w:val="004B613E"/>
    <w:rsid w:val="004B627A"/>
    <w:rsid w:val="004C0D2E"/>
    <w:rsid w:val="004C0EDC"/>
    <w:rsid w:val="004C2ED0"/>
    <w:rsid w:val="004C3EE9"/>
    <w:rsid w:val="004C497D"/>
    <w:rsid w:val="004C4F45"/>
    <w:rsid w:val="004C59B9"/>
    <w:rsid w:val="004C66A6"/>
    <w:rsid w:val="004C6E76"/>
    <w:rsid w:val="004C7673"/>
    <w:rsid w:val="004D0D3C"/>
    <w:rsid w:val="004D1AEA"/>
    <w:rsid w:val="004D26B8"/>
    <w:rsid w:val="004D5749"/>
    <w:rsid w:val="004D6C27"/>
    <w:rsid w:val="004D72BA"/>
    <w:rsid w:val="004D7715"/>
    <w:rsid w:val="004E0BED"/>
    <w:rsid w:val="004E0CED"/>
    <w:rsid w:val="004E1F8A"/>
    <w:rsid w:val="004E5E3E"/>
    <w:rsid w:val="004E651E"/>
    <w:rsid w:val="004F09A2"/>
    <w:rsid w:val="004F45C6"/>
    <w:rsid w:val="004F595B"/>
    <w:rsid w:val="004F7252"/>
    <w:rsid w:val="005025B1"/>
    <w:rsid w:val="0050540F"/>
    <w:rsid w:val="00507F90"/>
    <w:rsid w:val="005105F1"/>
    <w:rsid w:val="005116E1"/>
    <w:rsid w:val="00512AC1"/>
    <w:rsid w:val="00513D1A"/>
    <w:rsid w:val="00514994"/>
    <w:rsid w:val="005155BF"/>
    <w:rsid w:val="00520D51"/>
    <w:rsid w:val="00521E85"/>
    <w:rsid w:val="00525B96"/>
    <w:rsid w:val="005272FB"/>
    <w:rsid w:val="00527BC9"/>
    <w:rsid w:val="00530F5E"/>
    <w:rsid w:val="005320BC"/>
    <w:rsid w:val="00532941"/>
    <w:rsid w:val="005344FA"/>
    <w:rsid w:val="00534BB4"/>
    <w:rsid w:val="00536086"/>
    <w:rsid w:val="0053710A"/>
    <w:rsid w:val="00541AAD"/>
    <w:rsid w:val="00541CB4"/>
    <w:rsid w:val="00542606"/>
    <w:rsid w:val="0054267F"/>
    <w:rsid w:val="00543AC1"/>
    <w:rsid w:val="00543D65"/>
    <w:rsid w:val="00545E70"/>
    <w:rsid w:val="00546F68"/>
    <w:rsid w:val="00547E07"/>
    <w:rsid w:val="0055009B"/>
    <w:rsid w:val="00551224"/>
    <w:rsid w:val="00555779"/>
    <w:rsid w:val="00556026"/>
    <w:rsid w:val="00557C96"/>
    <w:rsid w:val="00563202"/>
    <w:rsid w:val="00565ACD"/>
    <w:rsid w:val="00566031"/>
    <w:rsid w:val="005665C4"/>
    <w:rsid w:val="00567733"/>
    <w:rsid w:val="00567FEC"/>
    <w:rsid w:val="005701F8"/>
    <w:rsid w:val="0057032C"/>
    <w:rsid w:val="00570B87"/>
    <w:rsid w:val="0057471D"/>
    <w:rsid w:val="0057474A"/>
    <w:rsid w:val="005747BB"/>
    <w:rsid w:val="00576FC3"/>
    <w:rsid w:val="00577507"/>
    <w:rsid w:val="00580C3C"/>
    <w:rsid w:val="00584A3E"/>
    <w:rsid w:val="00584C35"/>
    <w:rsid w:val="00590123"/>
    <w:rsid w:val="00590BA6"/>
    <w:rsid w:val="0059277F"/>
    <w:rsid w:val="00592DB9"/>
    <w:rsid w:val="00594096"/>
    <w:rsid w:val="00594EF7"/>
    <w:rsid w:val="0059524E"/>
    <w:rsid w:val="00597FE3"/>
    <w:rsid w:val="005A0BA6"/>
    <w:rsid w:val="005A1089"/>
    <w:rsid w:val="005A3D65"/>
    <w:rsid w:val="005A4526"/>
    <w:rsid w:val="005A5D0B"/>
    <w:rsid w:val="005B0205"/>
    <w:rsid w:val="005B0798"/>
    <w:rsid w:val="005B0880"/>
    <w:rsid w:val="005B16C3"/>
    <w:rsid w:val="005B1D7F"/>
    <w:rsid w:val="005B3547"/>
    <w:rsid w:val="005B3C95"/>
    <w:rsid w:val="005B3EF3"/>
    <w:rsid w:val="005C1A50"/>
    <w:rsid w:val="005C5508"/>
    <w:rsid w:val="005C5C7F"/>
    <w:rsid w:val="005C5F55"/>
    <w:rsid w:val="005C612F"/>
    <w:rsid w:val="005D3D5B"/>
    <w:rsid w:val="005D3EBE"/>
    <w:rsid w:val="005D46D7"/>
    <w:rsid w:val="005D6400"/>
    <w:rsid w:val="005D7039"/>
    <w:rsid w:val="005E0C5D"/>
    <w:rsid w:val="005E2071"/>
    <w:rsid w:val="005E2787"/>
    <w:rsid w:val="005E2BE7"/>
    <w:rsid w:val="005E30BB"/>
    <w:rsid w:val="005E45E3"/>
    <w:rsid w:val="005E5BAC"/>
    <w:rsid w:val="005E670A"/>
    <w:rsid w:val="005E6F2A"/>
    <w:rsid w:val="005F493F"/>
    <w:rsid w:val="005F7CA2"/>
    <w:rsid w:val="0060077E"/>
    <w:rsid w:val="00600A7E"/>
    <w:rsid w:val="00601168"/>
    <w:rsid w:val="00603B31"/>
    <w:rsid w:val="00605346"/>
    <w:rsid w:val="00605CFB"/>
    <w:rsid w:val="006062F5"/>
    <w:rsid w:val="006127F8"/>
    <w:rsid w:val="0061389C"/>
    <w:rsid w:val="00613C6E"/>
    <w:rsid w:val="006148AE"/>
    <w:rsid w:val="00614CEA"/>
    <w:rsid w:val="0061564E"/>
    <w:rsid w:val="00615681"/>
    <w:rsid w:val="006158A4"/>
    <w:rsid w:val="0061668E"/>
    <w:rsid w:val="006169C3"/>
    <w:rsid w:val="0062227D"/>
    <w:rsid w:val="0062291A"/>
    <w:rsid w:val="00623BAA"/>
    <w:rsid w:val="00624E7B"/>
    <w:rsid w:val="0062539D"/>
    <w:rsid w:val="006253AB"/>
    <w:rsid w:val="00626082"/>
    <w:rsid w:val="006270EE"/>
    <w:rsid w:val="006300A7"/>
    <w:rsid w:val="00630FA2"/>
    <w:rsid w:val="00631165"/>
    <w:rsid w:val="0063119C"/>
    <w:rsid w:val="00632AF3"/>
    <w:rsid w:val="0063397E"/>
    <w:rsid w:val="006343B4"/>
    <w:rsid w:val="006359DE"/>
    <w:rsid w:val="00635B83"/>
    <w:rsid w:val="00636CC8"/>
    <w:rsid w:val="00637205"/>
    <w:rsid w:val="0064417F"/>
    <w:rsid w:val="00644E12"/>
    <w:rsid w:val="00647EFC"/>
    <w:rsid w:val="00651E3A"/>
    <w:rsid w:val="0065433A"/>
    <w:rsid w:val="00654643"/>
    <w:rsid w:val="00654D91"/>
    <w:rsid w:val="00657401"/>
    <w:rsid w:val="00660A60"/>
    <w:rsid w:val="00660D88"/>
    <w:rsid w:val="00664A2D"/>
    <w:rsid w:val="00670BC2"/>
    <w:rsid w:val="00670C48"/>
    <w:rsid w:val="00674533"/>
    <w:rsid w:val="00676DAB"/>
    <w:rsid w:val="0068105D"/>
    <w:rsid w:val="006810EB"/>
    <w:rsid w:val="00685DF7"/>
    <w:rsid w:val="00687168"/>
    <w:rsid w:val="0068751E"/>
    <w:rsid w:val="006912C6"/>
    <w:rsid w:val="00692C0E"/>
    <w:rsid w:val="00695895"/>
    <w:rsid w:val="00695FA2"/>
    <w:rsid w:val="00697E5A"/>
    <w:rsid w:val="006A10AA"/>
    <w:rsid w:val="006A41E3"/>
    <w:rsid w:val="006A6B96"/>
    <w:rsid w:val="006A776B"/>
    <w:rsid w:val="006B03B3"/>
    <w:rsid w:val="006B12F4"/>
    <w:rsid w:val="006B2810"/>
    <w:rsid w:val="006B4048"/>
    <w:rsid w:val="006B5194"/>
    <w:rsid w:val="006B640B"/>
    <w:rsid w:val="006B7FCE"/>
    <w:rsid w:val="006C251C"/>
    <w:rsid w:val="006C2938"/>
    <w:rsid w:val="006C4174"/>
    <w:rsid w:val="006C525D"/>
    <w:rsid w:val="006C583A"/>
    <w:rsid w:val="006C7EC1"/>
    <w:rsid w:val="006D0EB8"/>
    <w:rsid w:val="006D3E2C"/>
    <w:rsid w:val="006D4C5C"/>
    <w:rsid w:val="006D5788"/>
    <w:rsid w:val="006E0510"/>
    <w:rsid w:val="006E0919"/>
    <w:rsid w:val="006E15D3"/>
    <w:rsid w:val="006E1EFB"/>
    <w:rsid w:val="006E2E83"/>
    <w:rsid w:val="006F104F"/>
    <w:rsid w:val="006F1CDC"/>
    <w:rsid w:val="006F3FEE"/>
    <w:rsid w:val="006F465D"/>
    <w:rsid w:val="006F4A25"/>
    <w:rsid w:val="006F58AC"/>
    <w:rsid w:val="006F77AB"/>
    <w:rsid w:val="007023B4"/>
    <w:rsid w:val="00704188"/>
    <w:rsid w:val="00705101"/>
    <w:rsid w:val="0071031A"/>
    <w:rsid w:val="0071243B"/>
    <w:rsid w:val="00714478"/>
    <w:rsid w:val="00716FBC"/>
    <w:rsid w:val="007173DF"/>
    <w:rsid w:val="00717B77"/>
    <w:rsid w:val="0072104B"/>
    <w:rsid w:val="0072257D"/>
    <w:rsid w:val="00722B6F"/>
    <w:rsid w:val="007258EA"/>
    <w:rsid w:val="00727A63"/>
    <w:rsid w:val="00735641"/>
    <w:rsid w:val="007356FE"/>
    <w:rsid w:val="00737D2F"/>
    <w:rsid w:val="0074185E"/>
    <w:rsid w:val="00741CD4"/>
    <w:rsid w:val="00743BD1"/>
    <w:rsid w:val="0075431E"/>
    <w:rsid w:val="007563F9"/>
    <w:rsid w:val="007621ED"/>
    <w:rsid w:val="00762477"/>
    <w:rsid w:val="00762E7F"/>
    <w:rsid w:val="00763980"/>
    <w:rsid w:val="007641B8"/>
    <w:rsid w:val="007656C6"/>
    <w:rsid w:val="00766152"/>
    <w:rsid w:val="00770406"/>
    <w:rsid w:val="00773002"/>
    <w:rsid w:val="0077324D"/>
    <w:rsid w:val="007750FC"/>
    <w:rsid w:val="0077582C"/>
    <w:rsid w:val="00776874"/>
    <w:rsid w:val="00780CEF"/>
    <w:rsid w:val="0078242D"/>
    <w:rsid w:val="0078245C"/>
    <w:rsid w:val="00783535"/>
    <w:rsid w:val="00786069"/>
    <w:rsid w:val="00787295"/>
    <w:rsid w:val="00790D32"/>
    <w:rsid w:val="00791735"/>
    <w:rsid w:val="00793101"/>
    <w:rsid w:val="007932E5"/>
    <w:rsid w:val="007937B3"/>
    <w:rsid w:val="0079422B"/>
    <w:rsid w:val="00797BBA"/>
    <w:rsid w:val="007A020D"/>
    <w:rsid w:val="007A06CB"/>
    <w:rsid w:val="007A271D"/>
    <w:rsid w:val="007A3AA5"/>
    <w:rsid w:val="007B0CDF"/>
    <w:rsid w:val="007B1A0D"/>
    <w:rsid w:val="007B5383"/>
    <w:rsid w:val="007C0B41"/>
    <w:rsid w:val="007C1A85"/>
    <w:rsid w:val="007C219F"/>
    <w:rsid w:val="007C3133"/>
    <w:rsid w:val="007C377F"/>
    <w:rsid w:val="007C562E"/>
    <w:rsid w:val="007D1A2B"/>
    <w:rsid w:val="007D22B8"/>
    <w:rsid w:val="007E0574"/>
    <w:rsid w:val="007E0E41"/>
    <w:rsid w:val="007E201B"/>
    <w:rsid w:val="007E424B"/>
    <w:rsid w:val="007E7406"/>
    <w:rsid w:val="007F0406"/>
    <w:rsid w:val="007F1F92"/>
    <w:rsid w:val="007F2C22"/>
    <w:rsid w:val="007F50BB"/>
    <w:rsid w:val="007F5E15"/>
    <w:rsid w:val="007F665E"/>
    <w:rsid w:val="00801C3C"/>
    <w:rsid w:val="008020AD"/>
    <w:rsid w:val="00805BB5"/>
    <w:rsid w:val="00806111"/>
    <w:rsid w:val="00811CA2"/>
    <w:rsid w:val="00811CE9"/>
    <w:rsid w:val="008138DC"/>
    <w:rsid w:val="008144D6"/>
    <w:rsid w:val="00814779"/>
    <w:rsid w:val="00816CBE"/>
    <w:rsid w:val="00821CC2"/>
    <w:rsid w:val="00822DCE"/>
    <w:rsid w:val="008304ED"/>
    <w:rsid w:val="008325C9"/>
    <w:rsid w:val="00832B15"/>
    <w:rsid w:val="008348F0"/>
    <w:rsid w:val="00834F01"/>
    <w:rsid w:val="0083504E"/>
    <w:rsid w:val="00837E95"/>
    <w:rsid w:val="00841ED3"/>
    <w:rsid w:val="00843D52"/>
    <w:rsid w:val="00847A94"/>
    <w:rsid w:val="00850BE7"/>
    <w:rsid w:val="00855163"/>
    <w:rsid w:val="00856CD3"/>
    <w:rsid w:val="00857D15"/>
    <w:rsid w:val="00860A9D"/>
    <w:rsid w:val="00866CC8"/>
    <w:rsid w:val="00867688"/>
    <w:rsid w:val="00872064"/>
    <w:rsid w:val="00872CC8"/>
    <w:rsid w:val="008733B5"/>
    <w:rsid w:val="00874C68"/>
    <w:rsid w:val="008766B8"/>
    <w:rsid w:val="008812EE"/>
    <w:rsid w:val="00882BD9"/>
    <w:rsid w:val="00883B2F"/>
    <w:rsid w:val="00883EF1"/>
    <w:rsid w:val="0088766C"/>
    <w:rsid w:val="008909F3"/>
    <w:rsid w:val="008918F9"/>
    <w:rsid w:val="00891B5D"/>
    <w:rsid w:val="00895F77"/>
    <w:rsid w:val="0089794F"/>
    <w:rsid w:val="008A17F6"/>
    <w:rsid w:val="008A1C5E"/>
    <w:rsid w:val="008A1F6F"/>
    <w:rsid w:val="008A38E2"/>
    <w:rsid w:val="008A5E6A"/>
    <w:rsid w:val="008A74DA"/>
    <w:rsid w:val="008B309E"/>
    <w:rsid w:val="008C06AB"/>
    <w:rsid w:val="008C243E"/>
    <w:rsid w:val="008C6542"/>
    <w:rsid w:val="008C74D2"/>
    <w:rsid w:val="008D2983"/>
    <w:rsid w:val="008D316D"/>
    <w:rsid w:val="008D510B"/>
    <w:rsid w:val="008D55A8"/>
    <w:rsid w:val="008D7C84"/>
    <w:rsid w:val="008E021C"/>
    <w:rsid w:val="008E0CD2"/>
    <w:rsid w:val="008E36B2"/>
    <w:rsid w:val="008F245D"/>
    <w:rsid w:val="008F3CEF"/>
    <w:rsid w:val="008F49F9"/>
    <w:rsid w:val="008F51FA"/>
    <w:rsid w:val="008F65A5"/>
    <w:rsid w:val="008F7B2D"/>
    <w:rsid w:val="008F7DBB"/>
    <w:rsid w:val="0090086F"/>
    <w:rsid w:val="009016B5"/>
    <w:rsid w:val="00902689"/>
    <w:rsid w:val="00903A4F"/>
    <w:rsid w:val="00903EF0"/>
    <w:rsid w:val="00904CE3"/>
    <w:rsid w:val="00904F9F"/>
    <w:rsid w:val="00905FC8"/>
    <w:rsid w:val="00906AC5"/>
    <w:rsid w:val="00907528"/>
    <w:rsid w:val="00914CFD"/>
    <w:rsid w:val="0091685C"/>
    <w:rsid w:val="00917E8E"/>
    <w:rsid w:val="00921126"/>
    <w:rsid w:val="0092167B"/>
    <w:rsid w:val="00921AB4"/>
    <w:rsid w:val="00924EB9"/>
    <w:rsid w:val="009310B6"/>
    <w:rsid w:val="009319D5"/>
    <w:rsid w:val="00933494"/>
    <w:rsid w:val="00935C0B"/>
    <w:rsid w:val="00935E03"/>
    <w:rsid w:val="009373D0"/>
    <w:rsid w:val="0094108C"/>
    <w:rsid w:val="00941141"/>
    <w:rsid w:val="00941535"/>
    <w:rsid w:val="00941604"/>
    <w:rsid w:val="0094420E"/>
    <w:rsid w:val="00946030"/>
    <w:rsid w:val="0094617A"/>
    <w:rsid w:val="00947EDC"/>
    <w:rsid w:val="00954075"/>
    <w:rsid w:val="00955B0D"/>
    <w:rsid w:val="0095613B"/>
    <w:rsid w:val="00962802"/>
    <w:rsid w:val="00964B1F"/>
    <w:rsid w:val="009653D1"/>
    <w:rsid w:val="009667D3"/>
    <w:rsid w:val="00967BE2"/>
    <w:rsid w:val="009711D7"/>
    <w:rsid w:val="00977076"/>
    <w:rsid w:val="00980FEC"/>
    <w:rsid w:val="0098270F"/>
    <w:rsid w:val="00982EE1"/>
    <w:rsid w:val="009859FB"/>
    <w:rsid w:val="009910E1"/>
    <w:rsid w:val="00993AAB"/>
    <w:rsid w:val="00995AEA"/>
    <w:rsid w:val="00997F02"/>
    <w:rsid w:val="009A0230"/>
    <w:rsid w:val="009A2182"/>
    <w:rsid w:val="009A6D8D"/>
    <w:rsid w:val="009B0352"/>
    <w:rsid w:val="009B0415"/>
    <w:rsid w:val="009B18C2"/>
    <w:rsid w:val="009B1BBB"/>
    <w:rsid w:val="009B3063"/>
    <w:rsid w:val="009B339E"/>
    <w:rsid w:val="009B393E"/>
    <w:rsid w:val="009B625B"/>
    <w:rsid w:val="009C2936"/>
    <w:rsid w:val="009C3131"/>
    <w:rsid w:val="009D09DE"/>
    <w:rsid w:val="009D13B4"/>
    <w:rsid w:val="009D3A1C"/>
    <w:rsid w:val="009D48F8"/>
    <w:rsid w:val="009D5278"/>
    <w:rsid w:val="009D5E11"/>
    <w:rsid w:val="009D6B24"/>
    <w:rsid w:val="009E09CA"/>
    <w:rsid w:val="009E255A"/>
    <w:rsid w:val="009E2B10"/>
    <w:rsid w:val="009E4C42"/>
    <w:rsid w:val="009E62B9"/>
    <w:rsid w:val="009E646B"/>
    <w:rsid w:val="009E7587"/>
    <w:rsid w:val="009F019C"/>
    <w:rsid w:val="009F268A"/>
    <w:rsid w:val="00A00357"/>
    <w:rsid w:val="00A010B9"/>
    <w:rsid w:val="00A01300"/>
    <w:rsid w:val="00A022A8"/>
    <w:rsid w:val="00A05789"/>
    <w:rsid w:val="00A05E64"/>
    <w:rsid w:val="00A0654E"/>
    <w:rsid w:val="00A10674"/>
    <w:rsid w:val="00A10FDE"/>
    <w:rsid w:val="00A1420D"/>
    <w:rsid w:val="00A14F1A"/>
    <w:rsid w:val="00A16364"/>
    <w:rsid w:val="00A20088"/>
    <w:rsid w:val="00A2034C"/>
    <w:rsid w:val="00A21BEF"/>
    <w:rsid w:val="00A23EC8"/>
    <w:rsid w:val="00A240AF"/>
    <w:rsid w:val="00A25FED"/>
    <w:rsid w:val="00A2627A"/>
    <w:rsid w:val="00A33CFF"/>
    <w:rsid w:val="00A33E37"/>
    <w:rsid w:val="00A34EB7"/>
    <w:rsid w:val="00A360F4"/>
    <w:rsid w:val="00A40604"/>
    <w:rsid w:val="00A40BFE"/>
    <w:rsid w:val="00A41F58"/>
    <w:rsid w:val="00A43AE6"/>
    <w:rsid w:val="00A44593"/>
    <w:rsid w:val="00A4498E"/>
    <w:rsid w:val="00A45679"/>
    <w:rsid w:val="00A45D33"/>
    <w:rsid w:val="00A45D49"/>
    <w:rsid w:val="00A47704"/>
    <w:rsid w:val="00A54455"/>
    <w:rsid w:val="00A57834"/>
    <w:rsid w:val="00A62C16"/>
    <w:rsid w:val="00A639C1"/>
    <w:rsid w:val="00A645C8"/>
    <w:rsid w:val="00A66B88"/>
    <w:rsid w:val="00A72748"/>
    <w:rsid w:val="00A73242"/>
    <w:rsid w:val="00A735AC"/>
    <w:rsid w:val="00A743E2"/>
    <w:rsid w:val="00A7597F"/>
    <w:rsid w:val="00A76E1A"/>
    <w:rsid w:val="00A81C26"/>
    <w:rsid w:val="00A84407"/>
    <w:rsid w:val="00A87261"/>
    <w:rsid w:val="00A87CD0"/>
    <w:rsid w:val="00A9139D"/>
    <w:rsid w:val="00A93A47"/>
    <w:rsid w:val="00A978F0"/>
    <w:rsid w:val="00AA00B5"/>
    <w:rsid w:val="00AA08B6"/>
    <w:rsid w:val="00AA0EC2"/>
    <w:rsid w:val="00AA1D79"/>
    <w:rsid w:val="00AA5F0A"/>
    <w:rsid w:val="00AA5F26"/>
    <w:rsid w:val="00AB0FB4"/>
    <w:rsid w:val="00AB1686"/>
    <w:rsid w:val="00AB6580"/>
    <w:rsid w:val="00AC1A0F"/>
    <w:rsid w:val="00AC2B72"/>
    <w:rsid w:val="00AC2E85"/>
    <w:rsid w:val="00AC383A"/>
    <w:rsid w:val="00AC5C39"/>
    <w:rsid w:val="00AC6A73"/>
    <w:rsid w:val="00AD396F"/>
    <w:rsid w:val="00AD3AA9"/>
    <w:rsid w:val="00AD3B07"/>
    <w:rsid w:val="00AD58F2"/>
    <w:rsid w:val="00AD6922"/>
    <w:rsid w:val="00AD730B"/>
    <w:rsid w:val="00AE070B"/>
    <w:rsid w:val="00AE07BC"/>
    <w:rsid w:val="00AE1623"/>
    <w:rsid w:val="00AE27E6"/>
    <w:rsid w:val="00AF04D6"/>
    <w:rsid w:val="00AF2BFD"/>
    <w:rsid w:val="00AF2F56"/>
    <w:rsid w:val="00AF4F19"/>
    <w:rsid w:val="00B001A8"/>
    <w:rsid w:val="00B02185"/>
    <w:rsid w:val="00B03E51"/>
    <w:rsid w:val="00B0512D"/>
    <w:rsid w:val="00B059AF"/>
    <w:rsid w:val="00B06AB6"/>
    <w:rsid w:val="00B0701E"/>
    <w:rsid w:val="00B0761F"/>
    <w:rsid w:val="00B110AF"/>
    <w:rsid w:val="00B11655"/>
    <w:rsid w:val="00B12A7C"/>
    <w:rsid w:val="00B133EA"/>
    <w:rsid w:val="00B1470C"/>
    <w:rsid w:val="00B2204F"/>
    <w:rsid w:val="00B256C2"/>
    <w:rsid w:val="00B26D25"/>
    <w:rsid w:val="00B273B9"/>
    <w:rsid w:val="00B27C41"/>
    <w:rsid w:val="00B31569"/>
    <w:rsid w:val="00B33857"/>
    <w:rsid w:val="00B35E2B"/>
    <w:rsid w:val="00B36CD5"/>
    <w:rsid w:val="00B37F0C"/>
    <w:rsid w:val="00B43BF4"/>
    <w:rsid w:val="00B47EAA"/>
    <w:rsid w:val="00B5076D"/>
    <w:rsid w:val="00B54291"/>
    <w:rsid w:val="00B5498B"/>
    <w:rsid w:val="00B563FA"/>
    <w:rsid w:val="00B6009B"/>
    <w:rsid w:val="00B616EA"/>
    <w:rsid w:val="00B64712"/>
    <w:rsid w:val="00B64FCB"/>
    <w:rsid w:val="00B65D8B"/>
    <w:rsid w:val="00B66331"/>
    <w:rsid w:val="00B6694C"/>
    <w:rsid w:val="00B66D91"/>
    <w:rsid w:val="00B73586"/>
    <w:rsid w:val="00B73A7B"/>
    <w:rsid w:val="00B74842"/>
    <w:rsid w:val="00B76938"/>
    <w:rsid w:val="00B76EC7"/>
    <w:rsid w:val="00B7719F"/>
    <w:rsid w:val="00B8414F"/>
    <w:rsid w:val="00B854CA"/>
    <w:rsid w:val="00B87970"/>
    <w:rsid w:val="00B93821"/>
    <w:rsid w:val="00B93B0E"/>
    <w:rsid w:val="00B95409"/>
    <w:rsid w:val="00B95C46"/>
    <w:rsid w:val="00BA31BA"/>
    <w:rsid w:val="00BA5877"/>
    <w:rsid w:val="00BA6793"/>
    <w:rsid w:val="00BA7CC3"/>
    <w:rsid w:val="00BB0B5C"/>
    <w:rsid w:val="00BB14EB"/>
    <w:rsid w:val="00BB4522"/>
    <w:rsid w:val="00BC07A2"/>
    <w:rsid w:val="00BC0C8A"/>
    <w:rsid w:val="00BC1EDC"/>
    <w:rsid w:val="00BC2ACD"/>
    <w:rsid w:val="00BC2D19"/>
    <w:rsid w:val="00BC3953"/>
    <w:rsid w:val="00BC3CF7"/>
    <w:rsid w:val="00BC3F30"/>
    <w:rsid w:val="00BC45AD"/>
    <w:rsid w:val="00BD21FF"/>
    <w:rsid w:val="00BD27C1"/>
    <w:rsid w:val="00BD3A2C"/>
    <w:rsid w:val="00BD3ED6"/>
    <w:rsid w:val="00BD411B"/>
    <w:rsid w:val="00BD480B"/>
    <w:rsid w:val="00BD58DB"/>
    <w:rsid w:val="00BD5EA4"/>
    <w:rsid w:val="00BD6E06"/>
    <w:rsid w:val="00BD7B10"/>
    <w:rsid w:val="00BD7D32"/>
    <w:rsid w:val="00BE2041"/>
    <w:rsid w:val="00BE2AD4"/>
    <w:rsid w:val="00BE31B9"/>
    <w:rsid w:val="00BE4F85"/>
    <w:rsid w:val="00BE5865"/>
    <w:rsid w:val="00BF01A1"/>
    <w:rsid w:val="00BF0CE0"/>
    <w:rsid w:val="00BF1751"/>
    <w:rsid w:val="00BF1B01"/>
    <w:rsid w:val="00BF1CF3"/>
    <w:rsid w:val="00BF279C"/>
    <w:rsid w:val="00C018E5"/>
    <w:rsid w:val="00C01B00"/>
    <w:rsid w:val="00C03EED"/>
    <w:rsid w:val="00C065AC"/>
    <w:rsid w:val="00C11453"/>
    <w:rsid w:val="00C12CCB"/>
    <w:rsid w:val="00C20034"/>
    <w:rsid w:val="00C2222E"/>
    <w:rsid w:val="00C22979"/>
    <w:rsid w:val="00C2616F"/>
    <w:rsid w:val="00C3087C"/>
    <w:rsid w:val="00C34839"/>
    <w:rsid w:val="00C441AC"/>
    <w:rsid w:val="00C448E9"/>
    <w:rsid w:val="00C45509"/>
    <w:rsid w:val="00C45AC8"/>
    <w:rsid w:val="00C513EB"/>
    <w:rsid w:val="00C51791"/>
    <w:rsid w:val="00C52CEB"/>
    <w:rsid w:val="00C534DE"/>
    <w:rsid w:val="00C55648"/>
    <w:rsid w:val="00C55DFE"/>
    <w:rsid w:val="00C55E2F"/>
    <w:rsid w:val="00C5647C"/>
    <w:rsid w:val="00C57FD5"/>
    <w:rsid w:val="00C62809"/>
    <w:rsid w:val="00C63C47"/>
    <w:rsid w:val="00C63F4A"/>
    <w:rsid w:val="00C6492C"/>
    <w:rsid w:val="00C65526"/>
    <w:rsid w:val="00C67173"/>
    <w:rsid w:val="00C67A8B"/>
    <w:rsid w:val="00C67D3A"/>
    <w:rsid w:val="00C71708"/>
    <w:rsid w:val="00C71A35"/>
    <w:rsid w:val="00C74B94"/>
    <w:rsid w:val="00C753AD"/>
    <w:rsid w:val="00C75C12"/>
    <w:rsid w:val="00C80671"/>
    <w:rsid w:val="00C8123A"/>
    <w:rsid w:val="00C81851"/>
    <w:rsid w:val="00C82632"/>
    <w:rsid w:val="00C86ADD"/>
    <w:rsid w:val="00C93F54"/>
    <w:rsid w:val="00C961C9"/>
    <w:rsid w:val="00CA198E"/>
    <w:rsid w:val="00CA4E15"/>
    <w:rsid w:val="00CB0CF0"/>
    <w:rsid w:val="00CB0D5E"/>
    <w:rsid w:val="00CB3FF5"/>
    <w:rsid w:val="00CB4D34"/>
    <w:rsid w:val="00CB5CD6"/>
    <w:rsid w:val="00CB7A6A"/>
    <w:rsid w:val="00CC16F9"/>
    <w:rsid w:val="00CC377F"/>
    <w:rsid w:val="00CC4CC4"/>
    <w:rsid w:val="00CD3FFC"/>
    <w:rsid w:val="00CD540A"/>
    <w:rsid w:val="00CD789D"/>
    <w:rsid w:val="00CD7F91"/>
    <w:rsid w:val="00CE0560"/>
    <w:rsid w:val="00CE2235"/>
    <w:rsid w:val="00CE4F6A"/>
    <w:rsid w:val="00CE5525"/>
    <w:rsid w:val="00CE73B0"/>
    <w:rsid w:val="00CE7DEA"/>
    <w:rsid w:val="00CF0296"/>
    <w:rsid w:val="00CF1D25"/>
    <w:rsid w:val="00CF20DA"/>
    <w:rsid w:val="00CF305A"/>
    <w:rsid w:val="00CF42F1"/>
    <w:rsid w:val="00D02E04"/>
    <w:rsid w:val="00D05544"/>
    <w:rsid w:val="00D05F70"/>
    <w:rsid w:val="00D066E3"/>
    <w:rsid w:val="00D1415C"/>
    <w:rsid w:val="00D15C42"/>
    <w:rsid w:val="00D1684E"/>
    <w:rsid w:val="00D21A2C"/>
    <w:rsid w:val="00D229F0"/>
    <w:rsid w:val="00D2318B"/>
    <w:rsid w:val="00D23373"/>
    <w:rsid w:val="00D24F61"/>
    <w:rsid w:val="00D26549"/>
    <w:rsid w:val="00D26CE9"/>
    <w:rsid w:val="00D32007"/>
    <w:rsid w:val="00D324B0"/>
    <w:rsid w:val="00D33BEC"/>
    <w:rsid w:val="00D34F54"/>
    <w:rsid w:val="00D41BB3"/>
    <w:rsid w:val="00D41EAD"/>
    <w:rsid w:val="00D44E92"/>
    <w:rsid w:val="00D47F87"/>
    <w:rsid w:val="00D50360"/>
    <w:rsid w:val="00D5622F"/>
    <w:rsid w:val="00D56E7A"/>
    <w:rsid w:val="00D609F4"/>
    <w:rsid w:val="00D61C30"/>
    <w:rsid w:val="00D6277E"/>
    <w:rsid w:val="00D637CD"/>
    <w:rsid w:val="00D63F64"/>
    <w:rsid w:val="00D6471B"/>
    <w:rsid w:val="00D662B4"/>
    <w:rsid w:val="00D67543"/>
    <w:rsid w:val="00D70D3B"/>
    <w:rsid w:val="00D74C59"/>
    <w:rsid w:val="00D7525A"/>
    <w:rsid w:val="00D80AC4"/>
    <w:rsid w:val="00D83816"/>
    <w:rsid w:val="00D86C4B"/>
    <w:rsid w:val="00D91DC7"/>
    <w:rsid w:val="00D93385"/>
    <w:rsid w:val="00D93F42"/>
    <w:rsid w:val="00D9410C"/>
    <w:rsid w:val="00D95623"/>
    <w:rsid w:val="00D97E1B"/>
    <w:rsid w:val="00DA0406"/>
    <w:rsid w:val="00DA0A22"/>
    <w:rsid w:val="00DA13B7"/>
    <w:rsid w:val="00DA23CD"/>
    <w:rsid w:val="00DA3A93"/>
    <w:rsid w:val="00DA51DC"/>
    <w:rsid w:val="00DA6F30"/>
    <w:rsid w:val="00DB517B"/>
    <w:rsid w:val="00DB6B55"/>
    <w:rsid w:val="00DB6CB8"/>
    <w:rsid w:val="00DC01B0"/>
    <w:rsid w:val="00DC0902"/>
    <w:rsid w:val="00DC1553"/>
    <w:rsid w:val="00DC17CC"/>
    <w:rsid w:val="00DC2AE1"/>
    <w:rsid w:val="00DC3787"/>
    <w:rsid w:val="00DC5B4E"/>
    <w:rsid w:val="00DC6934"/>
    <w:rsid w:val="00DD0350"/>
    <w:rsid w:val="00DD057D"/>
    <w:rsid w:val="00DD4D61"/>
    <w:rsid w:val="00DD68D5"/>
    <w:rsid w:val="00DD7121"/>
    <w:rsid w:val="00DE051C"/>
    <w:rsid w:val="00DE1685"/>
    <w:rsid w:val="00DE19FF"/>
    <w:rsid w:val="00DE3353"/>
    <w:rsid w:val="00DE6023"/>
    <w:rsid w:val="00DE6C8A"/>
    <w:rsid w:val="00DF04B2"/>
    <w:rsid w:val="00DF1018"/>
    <w:rsid w:val="00DF151A"/>
    <w:rsid w:val="00DF6093"/>
    <w:rsid w:val="00DF6393"/>
    <w:rsid w:val="00DF7ACB"/>
    <w:rsid w:val="00DF7D36"/>
    <w:rsid w:val="00E0068D"/>
    <w:rsid w:val="00E013E2"/>
    <w:rsid w:val="00E03732"/>
    <w:rsid w:val="00E03B9E"/>
    <w:rsid w:val="00E05BE1"/>
    <w:rsid w:val="00E07C20"/>
    <w:rsid w:val="00E148AA"/>
    <w:rsid w:val="00E155AB"/>
    <w:rsid w:val="00E16F16"/>
    <w:rsid w:val="00E20423"/>
    <w:rsid w:val="00E237CC"/>
    <w:rsid w:val="00E23A47"/>
    <w:rsid w:val="00E23B5B"/>
    <w:rsid w:val="00E25996"/>
    <w:rsid w:val="00E26DCD"/>
    <w:rsid w:val="00E27A81"/>
    <w:rsid w:val="00E300AC"/>
    <w:rsid w:val="00E30109"/>
    <w:rsid w:val="00E308AB"/>
    <w:rsid w:val="00E31676"/>
    <w:rsid w:val="00E316D4"/>
    <w:rsid w:val="00E317D1"/>
    <w:rsid w:val="00E318B3"/>
    <w:rsid w:val="00E324FE"/>
    <w:rsid w:val="00E3291A"/>
    <w:rsid w:val="00E33CC6"/>
    <w:rsid w:val="00E347C1"/>
    <w:rsid w:val="00E42366"/>
    <w:rsid w:val="00E42FFF"/>
    <w:rsid w:val="00E45683"/>
    <w:rsid w:val="00E456A4"/>
    <w:rsid w:val="00E462F7"/>
    <w:rsid w:val="00E462FF"/>
    <w:rsid w:val="00E47FB2"/>
    <w:rsid w:val="00E536A1"/>
    <w:rsid w:val="00E55A0D"/>
    <w:rsid w:val="00E55BD4"/>
    <w:rsid w:val="00E56EC7"/>
    <w:rsid w:val="00E60B39"/>
    <w:rsid w:val="00E708E2"/>
    <w:rsid w:val="00E72875"/>
    <w:rsid w:val="00E73A80"/>
    <w:rsid w:val="00E7537A"/>
    <w:rsid w:val="00E754BF"/>
    <w:rsid w:val="00E77824"/>
    <w:rsid w:val="00E8131B"/>
    <w:rsid w:val="00E828DC"/>
    <w:rsid w:val="00E83C24"/>
    <w:rsid w:val="00E85447"/>
    <w:rsid w:val="00E86592"/>
    <w:rsid w:val="00E87037"/>
    <w:rsid w:val="00E92D9E"/>
    <w:rsid w:val="00E9491E"/>
    <w:rsid w:val="00E954B0"/>
    <w:rsid w:val="00E96A57"/>
    <w:rsid w:val="00E96B28"/>
    <w:rsid w:val="00EA04E3"/>
    <w:rsid w:val="00EA0A37"/>
    <w:rsid w:val="00EA2A8E"/>
    <w:rsid w:val="00EA3307"/>
    <w:rsid w:val="00EA46A8"/>
    <w:rsid w:val="00EA6277"/>
    <w:rsid w:val="00EB1545"/>
    <w:rsid w:val="00EB1750"/>
    <w:rsid w:val="00EB1F5C"/>
    <w:rsid w:val="00EB3543"/>
    <w:rsid w:val="00EB4213"/>
    <w:rsid w:val="00EB5A56"/>
    <w:rsid w:val="00EB606A"/>
    <w:rsid w:val="00EB7D45"/>
    <w:rsid w:val="00EC5143"/>
    <w:rsid w:val="00ED24F3"/>
    <w:rsid w:val="00ED5774"/>
    <w:rsid w:val="00ED6B53"/>
    <w:rsid w:val="00ED7BE6"/>
    <w:rsid w:val="00ED7C13"/>
    <w:rsid w:val="00EE019E"/>
    <w:rsid w:val="00EE071C"/>
    <w:rsid w:val="00EE08BF"/>
    <w:rsid w:val="00EE48B2"/>
    <w:rsid w:val="00EE5902"/>
    <w:rsid w:val="00EE6001"/>
    <w:rsid w:val="00EE62A0"/>
    <w:rsid w:val="00EE6403"/>
    <w:rsid w:val="00EF29AD"/>
    <w:rsid w:val="00EF345E"/>
    <w:rsid w:val="00EF5EE5"/>
    <w:rsid w:val="00EF70DF"/>
    <w:rsid w:val="00EF7BF7"/>
    <w:rsid w:val="00F0013C"/>
    <w:rsid w:val="00F020F5"/>
    <w:rsid w:val="00F023C9"/>
    <w:rsid w:val="00F02D95"/>
    <w:rsid w:val="00F02ED4"/>
    <w:rsid w:val="00F030D5"/>
    <w:rsid w:val="00F03F30"/>
    <w:rsid w:val="00F03FC0"/>
    <w:rsid w:val="00F06566"/>
    <w:rsid w:val="00F07681"/>
    <w:rsid w:val="00F07BDF"/>
    <w:rsid w:val="00F07D0A"/>
    <w:rsid w:val="00F07E6D"/>
    <w:rsid w:val="00F1152C"/>
    <w:rsid w:val="00F15614"/>
    <w:rsid w:val="00F16E66"/>
    <w:rsid w:val="00F22886"/>
    <w:rsid w:val="00F30410"/>
    <w:rsid w:val="00F30A9A"/>
    <w:rsid w:val="00F322D6"/>
    <w:rsid w:val="00F33547"/>
    <w:rsid w:val="00F37A59"/>
    <w:rsid w:val="00F37DE6"/>
    <w:rsid w:val="00F41D0B"/>
    <w:rsid w:val="00F41E89"/>
    <w:rsid w:val="00F44438"/>
    <w:rsid w:val="00F44A85"/>
    <w:rsid w:val="00F464A4"/>
    <w:rsid w:val="00F470D8"/>
    <w:rsid w:val="00F479D7"/>
    <w:rsid w:val="00F47A0F"/>
    <w:rsid w:val="00F47C51"/>
    <w:rsid w:val="00F5121B"/>
    <w:rsid w:val="00F523C3"/>
    <w:rsid w:val="00F61968"/>
    <w:rsid w:val="00F6722E"/>
    <w:rsid w:val="00F674A0"/>
    <w:rsid w:val="00F700EB"/>
    <w:rsid w:val="00F71B87"/>
    <w:rsid w:val="00F72AA7"/>
    <w:rsid w:val="00F77823"/>
    <w:rsid w:val="00F8197A"/>
    <w:rsid w:val="00F81BC1"/>
    <w:rsid w:val="00F82453"/>
    <w:rsid w:val="00F86439"/>
    <w:rsid w:val="00F87306"/>
    <w:rsid w:val="00F87F4D"/>
    <w:rsid w:val="00F90B95"/>
    <w:rsid w:val="00F91E0C"/>
    <w:rsid w:val="00F935D7"/>
    <w:rsid w:val="00F9409F"/>
    <w:rsid w:val="00F94173"/>
    <w:rsid w:val="00F949CC"/>
    <w:rsid w:val="00F9672E"/>
    <w:rsid w:val="00FA096D"/>
    <w:rsid w:val="00FA14B6"/>
    <w:rsid w:val="00FA4804"/>
    <w:rsid w:val="00FA51CF"/>
    <w:rsid w:val="00FA60E6"/>
    <w:rsid w:val="00FA7B90"/>
    <w:rsid w:val="00FA7E86"/>
    <w:rsid w:val="00FB1D94"/>
    <w:rsid w:val="00FB405B"/>
    <w:rsid w:val="00FC1BC2"/>
    <w:rsid w:val="00FC4A99"/>
    <w:rsid w:val="00FC6AAA"/>
    <w:rsid w:val="00FC7B06"/>
    <w:rsid w:val="00FC7FE0"/>
    <w:rsid w:val="00FD2523"/>
    <w:rsid w:val="00FD2B4F"/>
    <w:rsid w:val="00FD2F7F"/>
    <w:rsid w:val="00FE0169"/>
    <w:rsid w:val="00FE04BE"/>
    <w:rsid w:val="00FE06A2"/>
    <w:rsid w:val="00FE0C52"/>
    <w:rsid w:val="00FE354E"/>
    <w:rsid w:val="00FE4844"/>
    <w:rsid w:val="00FE66ED"/>
    <w:rsid w:val="00FF008E"/>
    <w:rsid w:val="00FF0D3B"/>
    <w:rsid w:val="00FF152E"/>
    <w:rsid w:val="00FF36E2"/>
    <w:rsid w:val="00FF60E4"/>
    <w:rsid w:val="00FF649D"/>
    <w:rsid w:val="00FF75A8"/>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A34B9"/>
  <w15:chartTrackingRefBased/>
  <w15:docId w15:val="{CEE6D871-F077-B644-9F6A-A2847765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CA2"/>
    <w:rPr>
      <w:rFonts w:ascii="Times New Roman" w:hAnsi="Times New Roman" w:cs="Times New Roman"/>
    </w:rPr>
  </w:style>
  <w:style w:type="paragraph" w:styleId="Heading1">
    <w:name w:val="heading 1"/>
    <w:basedOn w:val="Normal"/>
    <w:next w:val="Normal"/>
    <w:link w:val="Heading1Char"/>
    <w:uiPriority w:val="9"/>
    <w:qFormat/>
    <w:rsid w:val="00542606"/>
    <w:pPr>
      <w:keepNext/>
      <w:keepLines/>
      <w:spacing w:before="240"/>
      <w:outlineLvl w:val="0"/>
    </w:pPr>
    <w:rPr>
      <w:rFonts w:eastAsiaTheme="majorEastAsia"/>
      <w:b/>
      <w:bCs/>
      <w:color w:val="000000" w:themeColor="text1"/>
    </w:rPr>
  </w:style>
  <w:style w:type="paragraph" w:styleId="Heading2">
    <w:name w:val="heading 2"/>
    <w:basedOn w:val="ListParagraph"/>
    <w:next w:val="Normal"/>
    <w:link w:val="Heading2Char"/>
    <w:uiPriority w:val="9"/>
    <w:unhideWhenUsed/>
    <w:qFormat/>
    <w:rsid w:val="00CB4D34"/>
    <w:pPr>
      <w:keepNext/>
      <w:numPr>
        <w:numId w:val="2"/>
      </w:numPr>
      <w:spacing w:before="240" w:line="276" w:lineRule="auto"/>
      <w:outlineLvl w:val="1"/>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2606"/>
    <w:pPr>
      <w:contextualSpacing/>
    </w:pPr>
    <w:rPr>
      <w:rFonts w:eastAsiaTheme="majorEastAsia"/>
      <w:spacing w:val="-10"/>
      <w:kern w:val="28"/>
      <w:sz w:val="32"/>
      <w:szCs w:val="32"/>
    </w:rPr>
  </w:style>
  <w:style w:type="character" w:customStyle="1" w:styleId="TitleChar">
    <w:name w:val="Title Char"/>
    <w:basedOn w:val="DefaultParagraphFont"/>
    <w:link w:val="Title"/>
    <w:uiPriority w:val="10"/>
    <w:rsid w:val="00542606"/>
    <w:rPr>
      <w:rFonts w:ascii="Times New Roman" w:eastAsiaTheme="majorEastAsia" w:hAnsi="Times New Roman" w:cs="Times New Roman"/>
      <w:spacing w:val="-10"/>
      <w:kern w:val="28"/>
      <w:sz w:val="32"/>
      <w:szCs w:val="32"/>
    </w:rPr>
  </w:style>
  <w:style w:type="character" w:customStyle="1" w:styleId="Heading1Char">
    <w:name w:val="Heading 1 Char"/>
    <w:basedOn w:val="DefaultParagraphFont"/>
    <w:link w:val="Heading1"/>
    <w:uiPriority w:val="9"/>
    <w:rsid w:val="00542606"/>
    <w:rPr>
      <w:rFonts w:ascii="Times New Roman" w:eastAsiaTheme="majorEastAsia" w:hAnsi="Times New Roman" w:cs="Times New Roman"/>
      <w:b/>
      <w:bCs/>
      <w:color w:val="000000" w:themeColor="text1"/>
    </w:rPr>
  </w:style>
  <w:style w:type="paragraph" w:styleId="FootnoteText">
    <w:name w:val="footnote text"/>
    <w:basedOn w:val="Normal"/>
    <w:link w:val="FootnoteTextChar"/>
    <w:uiPriority w:val="99"/>
    <w:semiHidden/>
    <w:unhideWhenUsed/>
    <w:rsid w:val="00074A19"/>
    <w:rPr>
      <w:sz w:val="20"/>
      <w:szCs w:val="20"/>
    </w:rPr>
  </w:style>
  <w:style w:type="character" w:customStyle="1" w:styleId="FootnoteTextChar">
    <w:name w:val="Footnote Text Char"/>
    <w:basedOn w:val="DefaultParagraphFont"/>
    <w:link w:val="FootnoteText"/>
    <w:uiPriority w:val="99"/>
    <w:semiHidden/>
    <w:rsid w:val="00074A1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074A19"/>
    <w:rPr>
      <w:vertAlign w:val="superscript"/>
    </w:rPr>
  </w:style>
  <w:style w:type="character" w:styleId="Hyperlink">
    <w:name w:val="Hyperlink"/>
    <w:basedOn w:val="DefaultParagraphFont"/>
    <w:uiPriority w:val="99"/>
    <w:unhideWhenUsed/>
    <w:rsid w:val="00074A19"/>
    <w:rPr>
      <w:color w:val="0563C1" w:themeColor="hyperlink"/>
      <w:u w:val="single"/>
    </w:rPr>
  </w:style>
  <w:style w:type="character" w:styleId="UnresolvedMention">
    <w:name w:val="Unresolved Mention"/>
    <w:basedOn w:val="DefaultParagraphFont"/>
    <w:uiPriority w:val="99"/>
    <w:semiHidden/>
    <w:unhideWhenUsed/>
    <w:rsid w:val="00074A19"/>
    <w:rPr>
      <w:color w:val="605E5C"/>
      <w:shd w:val="clear" w:color="auto" w:fill="E1DFDD"/>
    </w:rPr>
  </w:style>
  <w:style w:type="paragraph" w:styleId="Footer">
    <w:name w:val="footer"/>
    <w:basedOn w:val="Normal"/>
    <w:link w:val="FooterChar"/>
    <w:uiPriority w:val="99"/>
    <w:unhideWhenUsed/>
    <w:rsid w:val="0068105D"/>
    <w:pPr>
      <w:tabs>
        <w:tab w:val="center" w:pos="4680"/>
        <w:tab w:val="right" w:pos="9360"/>
      </w:tabs>
    </w:pPr>
  </w:style>
  <w:style w:type="character" w:customStyle="1" w:styleId="FooterChar">
    <w:name w:val="Footer Char"/>
    <w:basedOn w:val="DefaultParagraphFont"/>
    <w:link w:val="Footer"/>
    <w:uiPriority w:val="99"/>
    <w:rsid w:val="0068105D"/>
    <w:rPr>
      <w:rFonts w:ascii="Times New Roman" w:hAnsi="Times New Roman" w:cs="Times New Roman"/>
    </w:rPr>
  </w:style>
  <w:style w:type="character" w:styleId="PageNumber">
    <w:name w:val="page number"/>
    <w:basedOn w:val="DefaultParagraphFont"/>
    <w:uiPriority w:val="99"/>
    <w:semiHidden/>
    <w:unhideWhenUsed/>
    <w:rsid w:val="0068105D"/>
  </w:style>
  <w:style w:type="character" w:styleId="FollowedHyperlink">
    <w:name w:val="FollowedHyperlink"/>
    <w:basedOn w:val="DefaultParagraphFont"/>
    <w:uiPriority w:val="99"/>
    <w:semiHidden/>
    <w:unhideWhenUsed/>
    <w:rsid w:val="00670BC2"/>
    <w:rPr>
      <w:color w:val="954F72" w:themeColor="followedHyperlink"/>
      <w:u w:val="single"/>
    </w:rPr>
  </w:style>
  <w:style w:type="paragraph" w:styleId="ListParagraph">
    <w:name w:val="List Paragraph"/>
    <w:basedOn w:val="Normal"/>
    <w:uiPriority w:val="34"/>
    <w:qFormat/>
    <w:rsid w:val="00695895"/>
    <w:pPr>
      <w:ind w:left="720"/>
      <w:contextualSpacing/>
    </w:pPr>
  </w:style>
  <w:style w:type="character" w:customStyle="1" w:styleId="Heading2Char">
    <w:name w:val="Heading 2 Char"/>
    <w:basedOn w:val="DefaultParagraphFont"/>
    <w:link w:val="Heading2"/>
    <w:uiPriority w:val="9"/>
    <w:rsid w:val="00CB4D34"/>
    <w:rPr>
      <w:rFonts w:ascii="Times New Roman" w:hAnsi="Times New Roman" w:cs="Times New Roman"/>
      <w:b/>
      <w:bCs/>
      <w:i/>
      <w:iCs/>
    </w:rPr>
  </w:style>
  <w:style w:type="paragraph" w:styleId="NormalWeb">
    <w:name w:val="Normal (Web)"/>
    <w:basedOn w:val="Normal"/>
    <w:uiPriority w:val="99"/>
    <w:semiHidden/>
    <w:unhideWhenUsed/>
    <w:rsid w:val="00306FBD"/>
  </w:style>
  <w:style w:type="paragraph" w:styleId="Subtitle">
    <w:name w:val="Subtitle"/>
    <w:basedOn w:val="Normal"/>
    <w:next w:val="Normal"/>
    <w:link w:val="SubtitleChar"/>
    <w:uiPriority w:val="11"/>
    <w:qFormat/>
    <w:rsid w:val="00541AA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41AAD"/>
    <w:rPr>
      <w:rFonts w:eastAsiaTheme="minorEastAsia"/>
      <w:color w:val="5A5A5A" w:themeColor="text1" w:themeTint="A5"/>
      <w:spacing w:val="15"/>
      <w:sz w:val="22"/>
      <w:szCs w:val="22"/>
    </w:rPr>
  </w:style>
  <w:style w:type="paragraph" w:styleId="Revision">
    <w:name w:val="Revision"/>
    <w:hidden/>
    <w:uiPriority w:val="99"/>
    <w:semiHidden/>
    <w:rsid w:val="00CC16F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257165">
      <w:bodyDiv w:val="1"/>
      <w:marLeft w:val="0"/>
      <w:marRight w:val="0"/>
      <w:marTop w:val="0"/>
      <w:marBottom w:val="0"/>
      <w:divBdr>
        <w:top w:val="none" w:sz="0" w:space="0" w:color="auto"/>
        <w:left w:val="none" w:sz="0" w:space="0" w:color="auto"/>
        <w:bottom w:val="none" w:sz="0" w:space="0" w:color="auto"/>
        <w:right w:val="none" w:sz="0" w:space="0" w:color="auto"/>
      </w:divBdr>
    </w:div>
    <w:div w:id="317609767">
      <w:bodyDiv w:val="1"/>
      <w:marLeft w:val="0"/>
      <w:marRight w:val="0"/>
      <w:marTop w:val="0"/>
      <w:marBottom w:val="0"/>
      <w:divBdr>
        <w:top w:val="none" w:sz="0" w:space="0" w:color="auto"/>
        <w:left w:val="none" w:sz="0" w:space="0" w:color="auto"/>
        <w:bottom w:val="none" w:sz="0" w:space="0" w:color="auto"/>
        <w:right w:val="none" w:sz="0" w:space="0" w:color="auto"/>
      </w:divBdr>
    </w:div>
    <w:div w:id="1312053438">
      <w:bodyDiv w:val="1"/>
      <w:marLeft w:val="0"/>
      <w:marRight w:val="0"/>
      <w:marTop w:val="0"/>
      <w:marBottom w:val="0"/>
      <w:divBdr>
        <w:top w:val="none" w:sz="0" w:space="0" w:color="auto"/>
        <w:left w:val="none" w:sz="0" w:space="0" w:color="auto"/>
        <w:bottom w:val="none" w:sz="0" w:space="0" w:color="auto"/>
        <w:right w:val="none" w:sz="0" w:space="0" w:color="auto"/>
      </w:divBdr>
    </w:div>
    <w:div w:id="1339847705">
      <w:bodyDiv w:val="1"/>
      <w:marLeft w:val="0"/>
      <w:marRight w:val="0"/>
      <w:marTop w:val="0"/>
      <w:marBottom w:val="0"/>
      <w:divBdr>
        <w:top w:val="none" w:sz="0" w:space="0" w:color="auto"/>
        <w:left w:val="none" w:sz="0" w:space="0" w:color="auto"/>
        <w:bottom w:val="none" w:sz="0" w:space="0" w:color="auto"/>
        <w:right w:val="none" w:sz="0" w:space="0" w:color="auto"/>
      </w:divBdr>
    </w:div>
    <w:div w:id="1772359124">
      <w:bodyDiv w:val="1"/>
      <w:marLeft w:val="0"/>
      <w:marRight w:val="0"/>
      <w:marTop w:val="0"/>
      <w:marBottom w:val="0"/>
      <w:divBdr>
        <w:top w:val="none" w:sz="0" w:space="0" w:color="auto"/>
        <w:left w:val="none" w:sz="0" w:space="0" w:color="auto"/>
        <w:bottom w:val="none" w:sz="0" w:space="0" w:color="auto"/>
        <w:right w:val="none" w:sz="0" w:space="0" w:color="auto"/>
      </w:divBdr>
      <w:divsChild>
        <w:div w:id="17781668">
          <w:marLeft w:val="0"/>
          <w:marRight w:val="0"/>
          <w:marTop w:val="0"/>
          <w:marBottom w:val="0"/>
          <w:divBdr>
            <w:top w:val="none" w:sz="0" w:space="0" w:color="auto"/>
            <w:left w:val="none" w:sz="0" w:space="0" w:color="auto"/>
            <w:bottom w:val="none" w:sz="0" w:space="0" w:color="auto"/>
            <w:right w:val="none" w:sz="0" w:space="0" w:color="auto"/>
          </w:divBdr>
          <w:divsChild>
            <w:div w:id="800998972">
              <w:marLeft w:val="0"/>
              <w:marRight w:val="0"/>
              <w:marTop w:val="0"/>
              <w:marBottom w:val="0"/>
              <w:divBdr>
                <w:top w:val="none" w:sz="0" w:space="0" w:color="auto"/>
                <w:left w:val="none" w:sz="0" w:space="0" w:color="auto"/>
                <w:bottom w:val="none" w:sz="0" w:space="0" w:color="auto"/>
                <w:right w:val="none" w:sz="0" w:space="0" w:color="auto"/>
              </w:divBdr>
              <w:divsChild>
                <w:div w:id="2111317856">
                  <w:marLeft w:val="0"/>
                  <w:marRight w:val="0"/>
                  <w:marTop w:val="0"/>
                  <w:marBottom w:val="0"/>
                  <w:divBdr>
                    <w:top w:val="none" w:sz="0" w:space="0" w:color="auto"/>
                    <w:left w:val="none" w:sz="0" w:space="0" w:color="auto"/>
                    <w:bottom w:val="none" w:sz="0" w:space="0" w:color="auto"/>
                    <w:right w:val="none" w:sz="0" w:space="0" w:color="auto"/>
                  </w:divBdr>
                  <w:divsChild>
                    <w:div w:id="7108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27295">
      <w:bodyDiv w:val="1"/>
      <w:marLeft w:val="0"/>
      <w:marRight w:val="0"/>
      <w:marTop w:val="0"/>
      <w:marBottom w:val="0"/>
      <w:divBdr>
        <w:top w:val="none" w:sz="0" w:space="0" w:color="auto"/>
        <w:left w:val="none" w:sz="0" w:space="0" w:color="auto"/>
        <w:bottom w:val="none" w:sz="0" w:space="0" w:color="auto"/>
        <w:right w:val="none" w:sz="0" w:space="0" w:color="auto"/>
      </w:divBdr>
    </w:div>
    <w:div w:id="1892812293">
      <w:bodyDiv w:val="1"/>
      <w:marLeft w:val="0"/>
      <w:marRight w:val="0"/>
      <w:marTop w:val="0"/>
      <w:marBottom w:val="0"/>
      <w:divBdr>
        <w:top w:val="none" w:sz="0" w:space="0" w:color="auto"/>
        <w:left w:val="none" w:sz="0" w:space="0" w:color="auto"/>
        <w:bottom w:val="none" w:sz="0" w:space="0" w:color="auto"/>
        <w:right w:val="none" w:sz="0" w:space="0" w:color="auto"/>
      </w:divBdr>
      <w:divsChild>
        <w:div w:id="1725988559">
          <w:marLeft w:val="0"/>
          <w:marRight w:val="0"/>
          <w:marTop w:val="0"/>
          <w:marBottom w:val="0"/>
          <w:divBdr>
            <w:top w:val="none" w:sz="0" w:space="0" w:color="auto"/>
            <w:left w:val="none" w:sz="0" w:space="0" w:color="auto"/>
            <w:bottom w:val="none" w:sz="0" w:space="0" w:color="auto"/>
            <w:right w:val="none" w:sz="0" w:space="0" w:color="auto"/>
          </w:divBdr>
          <w:divsChild>
            <w:div w:id="68042872">
              <w:marLeft w:val="0"/>
              <w:marRight w:val="0"/>
              <w:marTop w:val="0"/>
              <w:marBottom w:val="0"/>
              <w:divBdr>
                <w:top w:val="none" w:sz="0" w:space="0" w:color="auto"/>
                <w:left w:val="none" w:sz="0" w:space="0" w:color="auto"/>
                <w:bottom w:val="none" w:sz="0" w:space="0" w:color="auto"/>
                <w:right w:val="none" w:sz="0" w:space="0" w:color="auto"/>
              </w:divBdr>
              <w:divsChild>
                <w:div w:id="10239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94902">
      <w:bodyDiv w:val="1"/>
      <w:marLeft w:val="0"/>
      <w:marRight w:val="0"/>
      <w:marTop w:val="0"/>
      <w:marBottom w:val="0"/>
      <w:divBdr>
        <w:top w:val="none" w:sz="0" w:space="0" w:color="auto"/>
        <w:left w:val="none" w:sz="0" w:space="0" w:color="auto"/>
        <w:bottom w:val="none" w:sz="0" w:space="0" w:color="auto"/>
        <w:right w:val="none" w:sz="0" w:space="0" w:color="auto"/>
      </w:divBdr>
      <w:divsChild>
        <w:div w:id="1385135336">
          <w:marLeft w:val="0"/>
          <w:marRight w:val="0"/>
          <w:marTop w:val="0"/>
          <w:marBottom w:val="0"/>
          <w:divBdr>
            <w:top w:val="none" w:sz="0" w:space="0" w:color="auto"/>
            <w:left w:val="none" w:sz="0" w:space="0" w:color="auto"/>
            <w:bottom w:val="none" w:sz="0" w:space="0" w:color="auto"/>
            <w:right w:val="none" w:sz="0" w:space="0" w:color="auto"/>
          </w:divBdr>
          <w:divsChild>
            <w:div w:id="58871382">
              <w:marLeft w:val="0"/>
              <w:marRight w:val="0"/>
              <w:marTop w:val="0"/>
              <w:marBottom w:val="0"/>
              <w:divBdr>
                <w:top w:val="none" w:sz="0" w:space="0" w:color="auto"/>
                <w:left w:val="none" w:sz="0" w:space="0" w:color="auto"/>
                <w:bottom w:val="none" w:sz="0" w:space="0" w:color="auto"/>
                <w:right w:val="none" w:sz="0" w:space="0" w:color="auto"/>
              </w:divBdr>
              <w:divsChild>
                <w:div w:id="645816036">
                  <w:marLeft w:val="0"/>
                  <w:marRight w:val="0"/>
                  <w:marTop w:val="0"/>
                  <w:marBottom w:val="0"/>
                  <w:divBdr>
                    <w:top w:val="none" w:sz="0" w:space="0" w:color="auto"/>
                    <w:left w:val="none" w:sz="0" w:space="0" w:color="auto"/>
                    <w:bottom w:val="none" w:sz="0" w:space="0" w:color="auto"/>
                    <w:right w:val="none" w:sz="0" w:space="0" w:color="auto"/>
                  </w:divBdr>
                  <w:divsChild>
                    <w:div w:id="3202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doi.org/10.1001/archinte.167.20.ira70009" TargetMode="External"/><Relationship Id="rId18" Type="http://schemas.openxmlformats.org/officeDocument/2006/relationships/hyperlink" Target="http://undocs.org/CRPD/C/JAM/CO/1" TargetMode="External"/><Relationship Id="rId26" Type="http://schemas.openxmlformats.org/officeDocument/2006/relationships/hyperlink" Target="http://undocs.org/CRPD/C/PAN/CO/1" TargetMode="External"/><Relationship Id="rId21" Type="http://schemas.openxmlformats.org/officeDocument/2006/relationships/hyperlink" Target="http://undocs.org/CRPD/C/JPN/CO/1" TargetMode="External"/><Relationship Id="rId34" Type="http://schemas.openxmlformats.org/officeDocument/2006/relationships/hyperlink" Target="http://undocs.org/CRPD/C/JPN/CO/1" TargetMode="External"/><Relationship Id="rId7" Type="http://schemas.openxmlformats.org/officeDocument/2006/relationships/hyperlink" Target="https://hpod.law.harvard.edu/news/entry/disability-climate-action-bangladesh" TargetMode="External"/><Relationship Id="rId12" Type="http://schemas.openxmlformats.org/officeDocument/2006/relationships/hyperlink" Target="https://doi.org/10.1016/s0920-9964(03)00222-6" TargetMode="External"/><Relationship Id="rId17" Type="http://schemas.openxmlformats.org/officeDocument/2006/relationships/hyperlink" Target="http://undocs.org/CRPD/C/SGP/CO/1" TargetMode="External"/><Relationship Id="rId25" Type="http://schemas.openxmlformats.org/officeDocument/2006/relationships/hyperlink" Target="http://undocs.org/CRPD/C/SYC/CO/1" TargetMode="External"/><Relationship Id="rId33" Type="http://schemas.openxmlformats.org/officeDocument/2006/relationships/hyperlink" Target="http://undocs.org/CRPD/C/SGP/CO/1" TargetMode="External"/><Relationship Id="rId2" Type="http://schemas.openxmlformats.org/officeDocument/2006/relationships/hyperlink" Target="https://doi.org/10.1038/s41558-022-01564-6" TargetMode="External"/><Relationship Id="rId16" Type="http://schemas.openxmlformats.org/officeDocument/2006/relationships/hyperlink" Target="http://undocs.org/CRPD/C/BGD/CO/1" TargetMode="External"/><Relationship Id="rId20" Type="http://schemas.openxmlformats.org/officeDocument/2006/relationships/hyperlink" Target="http://undocs.org/CRPD/C/BGD/CO/1" TargetMode="External"/><Relationship Id="rId29" Type="http://schemas.openxmlformats.org/officeDocument/2006/relationships/hyperlink" Target="http://undocs.org/CRPD/C/PHL/CO/1" TargetMode="External"/><Relationship Id="rId1" Type="http://schemas.openxmlformats.org/officeDocument/2006/relationships/hyperlink" Target="https://www.ohchr.org/en/calls-for-input/2023/call-written-submissions-related-day-general-discussion-organized-committee" TargetMode="External"/><Relationship Id="rId6" Type="http://schemas.openxmlformats.org/officeDocument/2006/relationships/hyperlink" Target="https://hpod.law.harvard.edu/events/event/disability-climate-justice-conference" TargetMode="External"/><Relationship Id="rId11" Type="http://schemas.openxmlformats.org/officeDocument/2006/relationships/hyperlink" Target="https://doi.org/10.3390/ijerph18115962" TargetMode="External"/><Relationship Id="rId24" Type="http://schemas.openxmlformats.org/officeDocument/2006/relationships/hyperlink" Target="http://undocs.org/CRPD/C/AUS/CO/2-3" TargetMode="External"/><Relationship Id="rId32" Type="http://schemas.openxmlformats.org/officeDocument/2006/relationships/hyperlink" Target="http://undocs.org/CRPD/C/LAO/CO/1" TargetMode="External"/><Relationship Id="rId37" Type="http://schemas.openxmlformats.org/officeDocument/2006/relationships/hyperlink" Target="http://undocs.org/CRPD/C/LAO/CO/1" TargetMode="External"/><Relationship Id="rId5" Type="http://schemas.openxmlformats.org/officeDocument/2006/relationships/hyperlink" Target="https://hpod.law.harvard.edu/news/entry/climate-change-call" TargetMode="External"/><Relationship Id="rId15" Type="http://schemas.openxmlformats.org/officeDocument/2006/relationships/hyperlink" Target="http://undocs.org/CRPD/C/IDN/CO/1" TargetMode="External"/><Relationship Id="rId23" Type="http://schemas.openxmlformats.org/officeDocument/2006/relationships/hyperlink" Target="http://undocs.org/CRPD/C/SGP/CO/1" TargetMode="External"/><Relationship Id="rId28" Type="http://schemas.openxmlformats.org/officeDocument/2006/relationships/hyperlink" Target="http://undocs.org/CRPD/C/VUT/CO/1" TargetMode="External"/><Relationship Id="rId36" Type="http://schemas.openxmlformats.org/officeDocument/2006/relationships/hyperlink" Target="http://undocs.org/CRPD/C/SYC/CO/1" TargetMode="External"/><Relationship Id="rId10" Type="http://schemas.openxmlformats.org/officeDocument/2006/relationships/hyperlink" Target="https://doi.org/10.1371/journal.pmed.1003580" TargetMode="External"/><Relationship Id="rId19" Type="http://schemas.openxmlformats.org/officeDocument/2006/relationships/hyperlink" Target="http://undocs.org/CRPD/C/VUT/CO/1" TargetMode="External"/><Relationship Id="rId31" Type="http://schemas.openxmlformats.org/officeDocument/2006/relationships/hyperlink" Target="http://undocs.org/CRPD/C/JPN/CO/1" TargetMode="External"/><Relationship Id="rId4" Type="http://schemas.openxmlformats.org/officeDocument/2006/relationships/hyperlink" Target="https://doi.org/10.1353/hrq.2022.0003" TargetMode="External"/><Relationship Id="rId9" Type="http://schemas.openxmlformats.org/officeDocument/2006/relationships/hyperlink" Target="https://doi.org/10.1152/japplphysiol.00460.2010" TargetMode="External"/><Relationship Id="rId14" Type="http://schemas.openxmlformats.org/officeDocument/2006/relationships/hyperlink" Target="http://undocs.org/A/HRC/44/30" TargetMode="External"/><Relationship Id="rId22" Type="http://schemas.openxmlformats.org/officeDocument/2006/relationships/hyperlink" Target="http://undocs.org/CRPD/C/LAO/CO/1" TargetMode="External"/><Relationship Id="rId27" Type="http://schemas.openxmlformats.org/officeDocument/2006/relationships/hyperlink" Target="http://undocs.org/CRPD/C/HND/CO/1" TargetMode="External"/><Relationship Id="rId30" Type="http://schemas.openxmlformats.org/officeDocument/2006/relationships/hyperlink" Target="http://undocs.org/CRPD/C/BGD/CO/1" TargetMode="External"/><Relationship Id="rId35" Type="http://schemas.openxmlformats.org/officeDocument/2006/relationships/hyperlink" Target="http://undocs.org/CRPD/C/SGP/CO/1" TargetMode="External"/><Relationship Id="rId8" Type="http://schemas.openxmlformats.org/officeDocument/2006/relationships/hyperlink" Target="https://doi.org/10.1016/j.joclim.2022.100190" TargetMode="External"/><Relationship Id="rId3" Type="http://schemas.openxmlformats.org/officeDocument/2006/relationships/hyperlink" Target="https://doi.org/10.1016/S2214-109X(21)0054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F19C3-F0C8-AB4D-8285-505260FB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2625</Words>
  <Characters>14964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Hezzy</dc:creator>
  <cp:keywords/>
  <dc:description/>
  <cp:lastModifiedBy>Smith, Hezzy</cp:lastModifiedBy>
  <cp:revision>2</cp:revision>
  <dcterms:created xsi:type="dcterms:W3CDTF">2023-02-15T02:46:00Z</dcterms:created>
  <dcterms:modified xsi:type="dcterms:W3CDTF">2023-02-15T02:46:00Z</dcterms:modified>
</cp:coreProperties>
</file>