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4A82" w14:textId="2C296AA9" w:rsidR="0080256D" w:rsidRPr="00F71CC9" w:rsidRDefault="009163F5" w:rsidP="00F71CC9">
      <w:pPr>
        <w:pStyle w:val="xxxmsonormal"/>
        <w:shd w:val="clear" w:color="auto" w:fill="FFFFFF"/>
        <w:jc w:val="center"/>
        <w:rPr>
          <w:rStyle w:val="xxcontentpasted0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SG"/>
        </w:rPr>
      </w:pPr>
      <w:r w:rsidRPr="00F71CC9">
        <w:rPr>
          <w:rStyle w:val="xxcontentpasted0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SG"/>
        </w:rPr>
        <w:t>The cause of peace is the cause of women</w:t>
      </w:r>
    </w:p>
    <w:p w14:paraId="4365B444" w14:textId="77777777" w:rsidR="009163F5" w:rsidRPr="003F0574" w:rsidRDefault="009163F5" w:rsidP="00105519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37A5BC04" w14:textId="605FAB86" w:rsidR="00CA2189" w:rsidRPr="001250A1" w:rsidRDefault="002111E7" w:rsidP="00444543">
      <w:pPr>
        <w:pStyle w:val="xxxmsonormal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Fonts w:asciiTheme="minorHAnsi" w:hAnsiTheme="minorHAnsi" w:cstheme="minorHAnsi"/>
          <w:color w:val="000000"/>
          <w:sz w:val="24"/>
          <w:szCs w:val="24"/>
        </w:rPr>
        <w:t>The Committee on the Elimination of Discrimination against Women (CEDAW) unequivocally condemns the escalating violence in the Middle East that has killed thousands of civilians, including women and children.</w:t>
      </w:r>
    </w:p>
    <w:p w14:paraId="3FCE1746" w14:textId="77777777" w:rsidR="001250A1" w:rsidRPr="001250A1" w:rsidRDefault="001250A1" w:rsidP="00444543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  <w:lang w:val="en-SG"/>
        </w:rPr>
      </w:pPr>
    </w:p>
    <w:p w14:paraId="49884B29" w14:textId="09D42F68" w:rsidR="00444543" w:rsidRPr="001250A1" w:rsidRDefault="009E33B2" w:rsidP="00444543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Committee </w:t>
      </w:r>
      <w:r w:rsidR="006B29E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urgently calls 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="005C2DE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8A091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initiation</w:t>
      </w:r>
      <w:r w:rsidR="00DB10A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2CE0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of</w:t>
      </w:r>
      <w:r w:rsidR="006B29E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inclusive peace talks</w:t>
      </w:r>
      <w:r w:rsidR="0092182D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71274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upholds the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truth 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that the </w:t>
      </w:r>
      <w:r w:rsidR="00764F0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lived realit</w:t>
      </w:r>
      <w:r w:rsidR="005B03D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ies</w:t>
      </w:r>
      <w:r w:rsidR="00764F0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2DE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of Israelis and Palestinians </w:t>
      </w:r>
      <w:r w:rsidR="005B03D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are</w:t>
      </w:r>
      <w:r w:rsidR="005C2DE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deeply intertwined</w:t>
      </w:r>
      <w:r w:rsidR="005B03D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, a fact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03D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that 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requires</w:t>
      </w:r>
      <w:r w:rsidR="0090522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constructive</w:t>
      </w:r>
      <w:r w:rsidR="0082567B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dialogue with </w:t>
      </w:r>
      <w:r w:rsidR="004701C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 aim</w:t>
      </w:r>
      <w:r w:rsidR="00760D6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of a</w:t>
      </w:r>
      <w:r w:rsidR="005864D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chieving</w:t>
      </w:r>
      <w:r w:rsidR="00E16AED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153D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sustainable peace</w:t>
      </w:r>
      <w:r w:rsidR="00F21FA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0C0C94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ommittee stands by </w:t>
      </w:r>
      <w:r w:rsidR="0044454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 initiatives for peace by Israeli and Palestinian women.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It 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calls</w:t>
      </w:r>
      <w:r w:rsidR="00B02D70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on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the international community to do 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everything 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in its power to contribute to </w:t>
      </w:r>
      <w:r w:rsidR="002F155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cessation </w:t>
      </w:r>
      <w:r w:rsidR="002F155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of the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war</w:t>
      </w:r>
      <w:r w:rsidR="002F155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and to 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sustainable 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peace process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  <w:r w:rsidR="00FA75F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694B5C" w14:textId="77777777" w:rsidR="00F21FAA" w:rsidRPr="001250A1" w:rsidRDefault="00F21FAA" w:rsidP="00F21FAA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779FEF45" w14:textId="1A2C9BB1" w:rsidR="00BF37A1" w:rsidRPr="001250A1" w:rsidRDefault="005B03D1" w:rsidP="00BF37A1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 Committee</w:t>
      </w:r>
      <w:r w:rsidR="00F21FA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calls</w:t>
      </w:r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for the </w:t>
      </w:r>
      <w:r w:rsidR="0068791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immediate and </w:t>
      </w:r>
      <w:r w:rsidR="006175F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full </w:t>
      </w:r>
      <w:r w:rsidR="009C353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respect </w:t>
      </w:r>
      <w:r w:rsidR="006175F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international </w:t>
      </w:r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human rights law, including all 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rights under the CEDAW Convention, </w:t>
      </w:r>
      <w:r w:rsidR="009C353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E404F9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for the </w:t>
      </w:r>
      <w:r w:rsidR="009C353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gender-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responsive </w:t>
      </w:r>
      <w:r w:rsidR="009C353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implementation of</w:t>
      </w:r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3166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international </w:t>
      </w:r>
      <w:r w:rsidR="00CA2189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human and </w:t>
      </w:r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humanitarian law </w:t>
      </w:r>
      <w:proofErr w:type="gramStart"/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at all times</w:t>
      </w:r>
      <w:proofErr w:type="gramEnd"/>
      <w:r w:rsidR="0046362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8791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Committee </w:t>
      </w:r>
      <w:r w:rsidR="00264ACD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stresses the </w:t>
      </w:r>
      <w:r w:rsidR="0068791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urgently needed </w:t>
      </w:r>
      <w:r w:rsidR="00892D8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humanitarian </w:t>
      </w:r>
      <w:r w:rsidR="00B02D70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corridor</w:t>
      </w:r>
      <w:r w:rsidR="00892D8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892D8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be sustained</w:t>
      </w:r>
      <w:r w:rsidR="00264ACD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  <w:r w:rsidR="00BF37A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37A1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protection of civilians is the bedrock of modern international humanitarian and human rights law.</w:t>
      </w:r>
    </w:p>
    <w:p w14:paraId="43ACA004" w14:textId="4DAB173D" w:rsidR="00264ACD" w:rsidRPr="001250A1" w:rsidRDefault="00264ACD" w:rsidP="00D768B2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4C9F75B4" w14:textId="2C2B5D3C" w:rsidR="00450A56" w:rsidRPr="001250A1" w:rsidRDefault="00264ACD" w:rsidP="00D768B2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Committee calls upon all parties to </w:t>
      </w:r>
      <w:r w:rsidR="00F92618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systematically address </w:t>
      </w:r>
      <w:r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gender dimension of conflict</w:t>
      </w:r>
      <w:r w:rsidR="0071274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33C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It is </w:t>
      </w:r>
      <w:r w:rsidR="0071274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deeply </w:t>
      </w:r>
      <w:r w:rsidR="006333C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concerned that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6704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gender</w:t>
      </w:r>
      <w:r w:rsidR="00BA55D8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ed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dimensions of conflict</w:t>
      </w:r>
      <w:r w:rsidR="00974E7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will be </w:t>
      </w:r>
      <w:r w:rsidR="006175F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significantly </w:t>
      </w:r>
      <w:r w:rsidR="0059775A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exacerbated for women who are internally displaced</w:t>
      </w:r>
      <w:r w:rsidR="00F71CC9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ABE1FA" w14:textId="77777777" w:rsidR="00D768B2" w:rsidRPr="001250A1" w:rsidRDefault="00D768B2" w:rsidP="00D768B2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30035E48" w14:textId="1371CE2F" w:rsidR="00F35E59" w:rsidRPr="001250A1" w:rsidRDefault="00C561DF" w:rsidP="00D768B2">
      <w:pPr>
        <w:pStyle w:val="xxxmsonormal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</w:t>
      </w:r>
      <w:r w:rsidR="005C62B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Committee</w:t>
      </w:r>
      <w:r w:rsidR="00252E32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recalls</w:t>
      </w:r>
      <w:r w:rsidR="005C62B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731667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international norms and standards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confirmed by </w:t>
      </w:r>
      <w:r w:rsidR="00E644B5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CEDAW </w:t>
      </w:r>
      <w:r w:rsidR="00E644B5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General Recommendation No. 30 (2013) on </w:t>
      </w:r>
      <w:r w:rsidR="00E644B5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women in conflict prevention, conflict and post-conflict situations, </w:t>
      </w:r>
      <w:r w:rsidR="00C8145B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the Beijing Declaration and Platform for Action, 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UN Security Council resolution 1325 (2000) and the subsequent resolutions</w:t>
      </w:r>
      <w:r w:rsidR="00CA09D9" w:rsidRPr="001250A1">
        <w:rPr>
          <w:rStyle w:val="FootnoteReference"/>
          <w:rFonts w:asciiTheme="minorHAnsi" w:hAnsiTheme="minorHAnsi" w:cstheme="minorHAnsi"/>
          <w:color w:val="000000"/>
          <w:sz w:val="24"/>
          <w:szCs w:val="24"/>
          <w:lang w:val="en-SG"/>
        </w:rPr>
        <w:footnoteReference w:id="1"/>
      </w:r>
      <w:r w:rsidR="00CA09D9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forming the Women, </w:t>
      </w:r>
      <w:proofErr w:type="gramStart"/>
      <w:r w:rsidR="005C62B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Peace</w:t>
      </w:r>
      <w:proofErr w:type="gramEnd"/>
      <w:r w:rsidR="005C62B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and Security Agenda</w:t>
      </w:r>
      <w:r w:rsidR="006175F6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. It </w:t>
      </w:r>
      <w:r w:rsidR="00B83F49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similarly recalls</w:t>
      </w:r>
      <w:r w:rsidR="00E644B5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</w:t>
      </w:r>
      <w:r w:rsidR="00252E32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>Human Rights Council resolution 45/28</w:t>
      </w:r>
      <w:r w:rsidR="00330069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(2020)</w:t>
      </w:r>
      <w:r w:rsidR="00252E32" w:rsidRPr="001250A1">
        <w:rPr>
          <w:rFonts w:asciiTheme="minorHAnsi" w:hAnsiTheme="minorHAnsi" w:cstheme="minorHAnsi"/>
          <w:color w:val="000000"/>
          <w:sz w:val="24"/>
          <w:szCs w:val="24"/>
          <w:lang w:val="en-SG"/>
        </w:rPr>
        <w:t xml:space="preserve"> on </w:t>
      </w:r>
      <w:r w:rsidR="00CA09D9" w:rsidRPr="001250A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252E32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romoting and protecting the human rights of women and girls in conflict and post-conflict situations </w:t>
      </w:r>
      <w:proofErr w:type="gramStart"/>
      <w:r w:rsidR="00252E32" w:rsidRPr="001250A1">
        <w:rPr>
          <w:rFonts w:asciiTheme="minorHAnsi" w:hAnsiTheme="minorHAnsi" w:cstheme="minorHAnsi"/>
          <w:color w:val="000000"/>
          <w:sz w:val="24"/>
          <w:szCs w:val="24"/>
        </w:rPr>
        <w:t>on the occasion of</w:t>
      </w:r>
      <w:proofErr w:type="gramEnd"/>
      <w:r w:rsidR="00252E32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the twentieth anniversary of Security Council resolution </w:t>
      </w:r>
      <w:r w:rsidR="000A3E91" w:rsidRPr="001250A1">
        <w:rPr>
          <w:rFonts w:asciiTheme="minorHAnsi" w:hAnsiTheme="minorHAnsi" w:cstheme="minorHAnsi"/>
          <w:color w:val="000000"/>
          <w:sz w:val="24"/>
          <w:szCs w:val="24"/>
        </w:rPr>
        <w:t>1325</w:t>
      </w:r>
      <w:r w:rsidR="00A27110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(2000)</w:t>
      </w:r>
      <w:r w:rsidR="000A3E9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and</w:t>
      </w:r>
      <w:r w:rsidR="005C62B6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730" w:rsidRPr="001250A1">
        <w:rPr>
          <w:rFonts w:asciiTheme="minorHAnsi" w:hAnsiTheme="minorHAnsi" w:cstheme="minorHAnsi"/>
          <w:color w:val="000000"/>
          <w:sz w:val="24"/>
          <w:szCs w:val="24"/>
        </w:rPr>
        <w:t>urges their full implementation</w:t>
      </w:r>
      <w:r w:rsidR="0079158D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8505D" w:rsidRPr="001250A1">
        <w:rPr>
          <w:rFonts w:asciiTheme="minorHAnsi" w:hAnsiTheme="minorHAnsi" w:cstheme="minorHAnsi"/>
          <w:color w:val="000000"/>
          <w:sz w:val="24"/>
          <w:szCs w:val="24"/>
        </w:rPr>
        <w:t>by all actors</w:t>
      </w:r>
      <w:r w:rsidR="00780159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for inclusive and sustainable peace</w:t>
      </w:r>
      <w:r w:rsidR="00D57730" w:rsidRPr="001250A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273F66F" w14:textId="77777777" w:rsidR="00F35E59" w:rsidRPr="001250A1" w:rsidRDefault="00F35E59" w:rsidP="00D768B2">
      <w:pPr>
        <w:pStyle w:val="xxxmsonormal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1C70E1E6" w14:textId="58412B8F" w:rsidR="006777D3" w:rsidRPr="001250A1" w:rsidRDefault="00D768B2" w:rsidP="00D768B2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1250A1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8145B" w:rsidRPr="001250A1">
        <w:rPr>
          <w:rFonts w:asciiTheme="minorHAnsi" w:hAnsiTheme="minorHAnsi" w:cstheme="minorHAnsi"/>
          <w:color w:val="000000"/>
          <w:sz w:val="24"/>
          <w:szCs w:val="24"/>
        </w:rPr>
        <w:t>n line with these instruments, the Committee</w:t>
      </w:r>
      <w:r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</w:rPr>
        <w:t>emphasizes</w:t>
      </w:r>
      <w:r w:rsidR="00BA55D8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370BDC" w:rsidRPr="001250A1">
        <w:rPr>
          <w:rFonts w:asciiTheme="minorHAnsi" w:hAnsiTheme="minorHAnsi" w:cstheme="minorHAnsi"/>
          <w:color w:val="000000"/>
          <w:sz w:val="24"/>
          <w:szCs w:val="24"/>
        </w:rPr>
        <w:t>primacy</w:t>
      </w:r>
      <w:r w:rsidR="005C62B6" w:rsidRPr="001250A1">
        <w:rPr>
          <w:rFonts w:asciiTheme="minorHAnsi" w:hAnsiTheme="minorHAnsi" w:cstheme="minorHAnsi"/>
          <w:color w:val="000000"/>
          <w:sz w:val="24"/>
          <w:szCs w:val="24"/>
        </w:rPr>
        <w:t xml:space="preserve"> of the 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equal </w:t>
      </w:r>
      <w:r w:rsidR="00A8312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representation 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8A1A41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Israeli and Palestinian 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women 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in</w:t>
      </w:r>
      <w:r w:rsidR="00A83127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humanitarian operations and in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567B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all peace efforts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, bearing in mind that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 is </w:t>
      </w:r>
      <w:r w:rsidR="00A1014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fundamental 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human right</w:t>
      </w:r>
      <w:r w:rsidR="00A1014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of women</w:t>
      </w:r>
      <w:r w:rsidR="006777D3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to</w:t>
      </w:r>
      <w:r w:rsidR="0082567B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equally participate in the design of their future</w:t>
      </w:r>
      <w:r w:rsidR="00C561DF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, and that </w:t>
      </w:r>
      <w:r w:rsidR="0082567B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experience has </w:t>
      </w:r>
      <w:r w:rsidR="00D57730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proven that women’s </w:t>
      </w:r>
      <w:r w:rsidR="00370BDC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constructive </w:t>
      </w:r>
      <w:r w:rsidR="00B83F49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engagement </w:t>
      </w:r>
      <w:r w:rsidR="0082567B" w:rsidRPr="001250A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in peace negotiations, leads to a more durable peace. </w:t>
      </w:r>
      <w:r w:rsidR="006238D8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Women are proven mediators that need to always be at the peace negotiation table on an equal footing</w:t>
      </w:r>
      <w:r w:rsid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238D8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as</w:t>
      </w:r>
      <w:r w:rsidR="006238D8" w:rsidRPr="001250A1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6238D8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women are the path to peac</w:t>
      </w:r>
      <w:r w:rsidR="00F92618" w:rsidRPr="001250A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7F7860" w:rsidRPr="001250A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006E25" w14:textId="77777777" w:rsidR="00264ACD" w:rsidRPr="003F0574" w:rsidRDefault="00264ACD" w:rsidP="00D768B2">
      <w:pPr>
        <w:pStyle w:val="xxxmsonormal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B5C9742" w14:textId="77777777" w:rsidR="006601B8" w:rsidRPr="003F0574" w:rsidRDefault="006601B8" w:rsidP="00D768B2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52D34C49" w14:textId="77777777" w:rsidR="00067780" w:rsidRPr="003F0574" w:rsidRDefault="00067780" w:rsidP="00105519">
      <w:pPr>
        <w:pStyle w:val="xxxmsonormal"/>
        <w:shd w:val="clear" w:color="auto" w:fill="FFFFFF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34F909F4" w14:textId="5CB60297" w:rsidR="00C81ACB" w:rsidRPr="003F0574" w:rsidRDefault="00105519" w:rsidP="00C515D1">
      <w:pPr>
        <w:pStyle w:val="xxxmsonormal"/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  <w:lang w:val="en-SG"/>
        </w:rPr>
      </w:pPr>
      <w:r w:rsidRPr="003F0574">
        <w:rPr>
          <w:rStyle w:val="xxcontentpasted0"/>
          <w:rFonts w:asciiTheme="minorHAnsi" w:hAnsiTheme="minorHAnsi" w:cstheme="minorHAnsi"/>
          <w:color w:val="000000"/>
          <w:sz w:val="24"/>
          <w:szCs w:val="24"/>
          <w:lang w:val="en-SG"/>
        </w:rPr>
        <w:t> </w:t>
      </w:r>
      <w:r w:rsidRPr="003F0574">
        <w:rPr>
          <w:rStyle w:val="xxcontentpasted0"/>
          <w:rFonts w:asciiTheme="minorHAnsi" w:hAnsiTheme="minorHAnsi" w:cstheme="minorHAnsi"/>
          <w:color w:val="000000"/>
          <w:sz w:val="24"/>
          <w:szCs w:val="24"/>
        </w:rPr>
        <w:t> </w:t>
      </w:r>
      <w:r w:rsidRPr="003F0574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 </w:t>
      </w:r>
    </w:p>
    <w:sectPr w:rsidR="00C81ACB" w:rsidRPr="003F0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18AB" w14:textId="77777777" w:rsidR="00762924" w:rsidRDefault="00762924" w:rsidP="00CA09D9">
      <w:r>
        <w:separator/>
      </w:r>
    </w:p>
  </w:endnote>
  <w:endnote w:type="continuationSeparator" w:id="0">
    <w:p w14:paraId="1114ECED" w14:textId="77777777" w:rsidR="00762924" w:rsidRDefault="00762924" w:rsidP="00CA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2E6" w14:textId="77777777" w:rsidR="00762924" w:rsidRDefault="00762924" w:rsidP="00CA09D9">
      <w:r>
        <w:separator/>
      </w:r>
    </w:p>
  </w:footnote>
  <w:footnote w:type="continuationSeparator" w:id="0">
    <w:p w14:paraId="5C10FCF4" w14:textId="77777777" w:rsidR="00762924" w:rsidRDefault="00762924" w:rsidP="00CA09D9">
      <w:r>
        <w:continuationSeparator/>
      </w:r>
    </w:p>
  </w:footnote>
  <w:footnote w:id="1">
    <w:p w14:paraId="6C8AC91F" w14:textId="77777777" w:rsidR="00CA09D9" w:rsidRPr="00CC4EE2" w:rsidRDefault="00CA09D9" w:rsidP="00CA09D9">
      <w:pPr>
        <w:pStyle w:val="FootnoteText"/>
        <w:rPr>
          <w:rFonts w:ascii="Times New Roman" w:hAnsi="Times New Roman" w:cs="Times New Roman"/>
        </w:rPr>
      </w:pPr>
      <w:r w:rsidRPr="00CC4EE2">
        <w:rPr>
          <w:rStyle w:val="FootnoteReference"/>
          <w:rFonts w:ascii="Times New Roman" w:hAnsi="Times New Roman" w:cs="Times New Roman"/>
        </w:rPr>
        <w:footnoteRef/>
      </w:r>
      <w:r w:rsidRPr="00CC4EE2">
        <w:rPr>
          <w:rFonts w:ascii="Times New Roman" w:hAnsi="Times New Roman" w:cs="Times New Roman"/>
        </w:rPr>
        <w:t xml:space="preserve"> 1327 (2000), 1366 (2001), 1408 (2002), 1820 (2008), 1888 (2009), 1889 (2009), 1960 (2010), 2106 (2013), 2122 (2013), 2242 (2015), 2272 (2016), 2331 (2016), 2467(2019), 2493 (2019)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964F0"/>
    <w:multiLevelType w:val="hybridMultilevel"/>
    <w:tmpl w:val="EF8A013A"/>
    <w:lvl w:ilvl="0" w:tplc="B0CE569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1DA9"/>
    <w:multiLevelType w:val="hybridMultilevel"/>
    <w:tmpl w:val="DB42FD84"/>
    <w:lvl w:ilvl="0" w:tplc="AA6698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41427">
    <w:abstractNumId w:val="1"/>
  </w:num>
  <w:num w:numId="2" w16cid:durableId="87303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19"/>
    <w:rsid w:val="0001204E"/>
    <w:rsid w:val="000237F8"/>
    <w:rsid w:val="000272F5"/>
    <w:rsid w:val="00034247"/>
    <w:rsid w:val="00050F59"/>
    <w:rsid w:val="00057E0B"/>
    <w:rsid w:val="00065404"/>
    <w:rsid w:val="00067780"/>
    <w:rsid w:val="000766CF"/>
    <w:rsid w:val="00083C49"/>
    <w:rsid w:val="000A3E91"/>
    <w:rsid w:val="000B07E8"/>
    <w:rsid w:val="000C0C94"/>
    <w:rsid w:val="000C762F"/>
    <w:rsid w:val="000D283D"/>
    <w:rsid w:val="000D5409"/>
    <w:rsid w:val="00101165"/>
    <w:rsid w:val="00105519"/>
    <w:rsid w:val="00117591"/>
    <w:rsid w:val="00123729"/>
    <w:rsid w:val="001250A1"/>
    <w:rsid w:val="00137342"/>
    <w:rsid w:val="0016652F"/>
    <w:rsid w:val="00174DD8"/>
    <w:rsid w:val="001847C1"/>
    <w:rsid w:val="00186941"/>
    <w:rsid w:val="00186D3E"/>
    <w:rsid w:val="001C0559"/>
    <w:rsid w:val="001C2259"/>
    <w:rsid w:val="001C742A"/>
    <w:rsid w:val="001F0E9E"/>
    <w:rsid w:val="001F42DE"/>
    <w:rsid w:val="002009ED"/>
    <w:rsid w:val="002111E7"/>
    <w:rsid w:val="002141E5"/>
    <w:rsid w:val="002155FA"/>
    <w:rsid w:val="00220FDF"/>
    <w:rsid w:val="00222977"/>
    <w:rsid w:val="00241A8E"/>
    <w:rsid w:val="00245737"/>
    <w:rsid w:val="002478C6"/>
    <w:rsid w:val="00252E32"/>
    <w:rsid w:val="002621C1"/>
    <w:rsid w:val="0026343E"/>
    <w:rsid w:val="00264ACD"/>
    <w:rsid w:val="00280D96"/>
    <w:rsid w:val="0029411F"/>
    <w:rsid w:val="00296290"/>
    <w:rsid w:val="002A5FFF"/>
    <w:rsid w:val="002A6AF3"/>
    <w:rsid w:val="002C0CF6"/>
    <w:rsid w:val="002C1BA3"/>
    <w:rsid w:val="002C6704"/>
    <w:rsid w:val="002D607E"/>
    <w:rsid w:val="002F1552"/>
    <w:rsid w:val="002F251B"/>
    <w:rsid w:val="002F43F5"/>
    <w:rsid w:val="00300F1D"/>
    <w:rsid w:val="00320D14"/>
    <w:rsid w:val="00330069"/>
    <w:rsid w:val="00334433"/>
    <w:rsid w:val="00365B91"/>
    <w:rsid w:val="00370BDC"/>
    <w:rsid w:val="00372C87"/>
    <w:rsid w:val="0038312E"/>
    <w:rsid w:val="003C0F6F"/>
    <w:rsid w:val="003D0F03"/>
    <w:rsid w:val="003D1F31"/>
    <w:rsid w:val="003F0574"/>
    <w:rsid w:val="00422175"/>
    <w:rsid w:val="00423720"/>
    <w:rsid w:val="004249D0"/>
    <w:rsid w:val="00444543"/>
    <w:rsid w:val="00450A56"/>
    <w:rsid w:val="00454491"/>
    <w:rsid w:val="0046362C"/>
    <w:rsid w:val="004701C7"/>
    <w:rsid w:val="00491B5D"/>
    <w:rsid w:val="004960B5"/>
    <w:rsid w:val="004D336B"/>
    <w:rsid w:val="004D5C54"/>
    <w:rsid w:val="004F7468"/>
    <w:rsid w:val="004F7CAD"/>
    <w:rsid w:val="00507DD8"/>
    <w:rsid w:val="00510B86"/>
    <w:rsid w:val="00521E76"/>
    <w:rsid w:val="0052540F"/>
    <w:rsid w:val="00525F47"/>
    <w:rsid w:val="00535BC4"/>
    <w:rsid w:val="005611E4"/>
    <w:rsid w:val="00573229"/>
    <w:rsid w:val="005864DA"/>
    <w:rsid w:val="005939D0"/>
    <w:rsid w:val="0059775A"/>
    <w:rsid w:val="005B03D1"/>
    <w:rsid w:val="005C26FE"/>
    <w:rsid w:val="005C2DEA"/>
    <w:rsid w:val="005C5BB9"/>
    <w:rsid w:val="005C62B6"/>
    <w:rsid w:val="005D31AF"/>
    <w:rsid w:val="005E174D"/>
    <w:rsid w:val="00604EC2"/>
    <w:rsid w:val="006175F6"/>
    <w:rsid w:val="006238D8"/>
    <w:rsid w:val="006333C6"/>
    <w:rsid w:val="00644939"/>
    <w:rsid w:val="00647ECC"/>
    <w:rsid w:val="006601B8"/>
    <w:rsid w:val="006732E9"/>
    <w:rsid w:val="006777D3"/>
    <w:rsid w:val="0068306A"/>
    <w:rsid w:val="00687911"/>
    <w:rsid w:val="00694F38"/>
    <w:rsid w:val="006B200A"/>
    <w:rsid w:val="006B29E7"/>
    <w:rsid w:val="006C738E"/>
    <w:rsid w:val="006E7DFF"/>
    <w:rsid w:val="006F30EC"/>
    <w:rsid w:val="0071274F"/>
    <w:rsid w:val="00712CE0"/>
    <w:rsid w:val="0071594F"/>
    <w:rsid w:val="0071629E"/>
    <w:rsid w:val="00717CDB"/>
    <w:rsid w:val="0072002B"/>
    <w:rsid w:val="00721522"/>
    <w:rsid w:val="00721AE5"/>
    <w:rsid w:val="00731667"/>
    <w:rsid w:val="00746B19"/>
    <w:rsid w:val="00760D62"/>
    <w:rsid w:val="00760ED0"/>
    <w:rsid w:val="00762345"/>
    <w:rsid w:val="00762924"/>
    <w:rsid w:val="00764F01"/>
    <w:rsid w:val="00780159"/>
    <w:rsid w:val="00782660"/>
    <w:rsid w:val="00782A6F"/>
    <w:rsid w:val="00784D0D"/>
    <w:rsid w:val="0078505D"/>
    <w:rsid w:val="0079158D"/>
    <w:rsid w:val="00792BC6"/>
    <w:rsid w:val="00795BFC"/>
    <w:rsid w:val="007A153D"/>
    <w:rsid w:val="007A384D"/>
    <w:rsid w:val="007B1CB1"/>
    <w:rsid w:val="007E5A74"/>
    <w:rsid w:val="007F7860"/>
    <w:rsid w:val="0080256D"/>
    <w:rsid w:val="00806A78"/>
    <w:rsid w:val="0082567B"/>
    <w:rsid w:val="008329E1"/>
    <w:rsid w:val="008351C7"/>
    <w:rsid w:val="008747F1"/>
    <w:rsid w:val="00892D8C"/>
    <w:rsid w:val="008A091F"/>
    <w:rsid w:val="008A0BBE"/>
    <w:rsid w:val="008A1A41"/>
    <w:rsid w:val="008B1E1A"/>
    <w:rsid w:val="008B3860"/>
    <w:rsid w:val="008C1003"/>
    <w:rsid w:val="008F2156"/>
    <w:rsid w:val="00904A45"/>
    <w:rsid w:val="00905221"/>
    <w:rsid w:val="009152F1"/>
    <w:rsid w:val="009163F5"/>
    <w:rsid w:val="0092182D"/>
    <w:rsid w:val="00933001"/>
    <w:rsid w:val="00936735"/>
    <w:rsid w:val="00950CE4"/>
    <w:rsid w:val="0095394B"/>
    <w:rsid w:val="00962EC9"/>
    <w:rsid w:val="0097176B"/>
    <w:rsid w:val="00974E7F"/>
    <w:rsid w:val="0098541B"/>
    <w:rsid w:val="0098621D"/>
    <w:rsid w:val="00995749"/>
    <w:rsid w:val="0099645F"/>
    <w:rsid w:val="009B0B78"/>
    <w:rsid w:val="009B1745"/>
    <w:rsid w:val="009B6F5B"/>
    <w:rsid w:val="009C0D96"/>
    <w:rsid w:val="009C353F"/>
    <w:rsid w:val="009D6FAD"/>
    <w:rsid w:val="009D7398"/>
    <w:rsid w:val="009E33B2"/>
    <w:rsid w:val="009F69E2"/>
    <w:rsid w:val="009F7EA4"/>
    <w:rsid w:val="00A0138A"/>
    <w:rsid w:val="00A068A1"/>
    <w:rsid w:val="00A1014C"/>
    <w:rsid w:val="00A174BE"/>
    <w:rsid w:val="00A25619"/>
    <w:rsid w:val="00A27110"/>
    <w:rsid w:val="00A47051"/>
    <w:rsid w:val="00A5691F"/>
    <w:rsid w:val="00A57AE3"/>
    <w:rsid w:val="00A66F3C"/>
    <w:rsid w:val="00A74F6D"/>
    <w:rsid w:val="00A76406"/>
    <w:rsid w:val="00A83127"/>
    <w:rsid w:val="00A95E0E"/>
    <w:rsid w:val="00AB0615"/>
    <w:rsid w:val="00AC7DD3"/>
    <w:rsid w:val="00AE148C"/>
    <w:rsid w:val="00AE4134"/>
    <w:rsid w:val="00AF741A"/>
    <w:rsid w:val="00B02D70"/>
    <w:rsid w:val="00B062B5"/>
    <w:rsid w:val="00B3582C"/>
    <w:rsid w:val="00B35C32"/>
    <w:rsid w:val="00B5674E"/>
    <w:rsid w:val="00B607FC"/>
    <w:rsid w:val="00B74B39"/>
    <w:rsid w:val="00B83F49"/>
    <w:rsid w:val="00B87D9D"/>
    <w:rsid w:val="00BA55D8"/>
    <w:rsid w:val="00BA6F7C"/>
    <w:rsid w:val="00BA7251"/>
    <w:rsid w:val="00BB7358"/>
    <w:rsid w:val="00BE6A0F"/>
    <w:rsid w:val="00BF1A10"/>
    <w:rsid w:val="00BF37A1"/>
    <w:rsid w:val="00BF717B"/>
    <w:rsid w:val="00C0481D"/>
    <w:rsid w:val="00C30EAC"/>
    <w:rsid w:val="00C515D1"/>
    <w:rsid w:val="00C561DF"/>
    <w:rsid w:val="00C64315"/>
    <w:rsid w:val="00C767E7"/>
    <w:rsid w:val="00C8145B"/>
    <w:rsid w:val="00C81ACB"/>
    <w:rsid w:val="00CA09D9"/>
    <w:rsid w:val="00CA2189"/>
    <w:rsid w:val="00CC6084"/>
    <w:rsid w:val="00CE5B93"/>
    <w:rsid w:val="00D02D54"/>
    <w:rsid w:val="00D2073D"/>
    <w:rsid w:val="00D276F6"/>
    <w:rsid w:val="00D3781C"/>
    <w:rsid w:val="00D50F23"/>
    <w:rsid w:val="00D57730"/>
    <w:rsid w:val="00D60D5B"/>
    <w:rsid w:val="00D636DD"/>
    <w:rsid w:val="00D768B2"/>
    <w:rsid w:val="00D86B25"/>
    <w:rsid w:val="00DB10A7"/>
    <w:rsid w:val="00DB6D5D"/>
    <w:rsid w:val="00DD1D07"/>
    <w:rsid w:val="00DF310B"/>
    <w:rsid w:val="00DF4F36"/>
    <w:rsid w:val="00E12EDD"/>
    <w:rsid w:val="00E16AED"/>
    <w:rsid w:val="00E24609"/>
    <w:rsid w:val="00E33B1F"/>
    <w:rsid w:val="00E35739"/>
    <w:rsid w:val="00E404F9"/>
    <w:rsid w:val="00E61177"/>
    <w:rsid w:val="00E644B5"/>
    <w:rsid w:val="00E66CC3"/>
    <w:rsid w:val="00EA57B3"/>
    <w:rsid w:val="00ED4951"/>
    <w:rsid w:val="00EF2983"/>
    <w:rsid w:val="00F15F51"/>
    <w:rsid w:val="00F21FAA"/>
    <w:rsid w:val="00F2598B"/>
    <w:rsid w:val="00F269D6"/>
    <w:rsid w:val="00F35E59"/>
    <w:rsid w:val="00F45FF0"/>
    <w:rsid w:val="00F61F95"/>
    <w:rsid w:val="00F704D9"/>
    <w:rsid w:val="00F71CC9"/>
    <w:rsid w:val="00F76BB5"/>
    <w:rsid w:val="00F77373"/>
    <w:rsid w:val="00F92618"/>
    <w:rsid w:val="00FA75F8"/>
    <w:rsid w:val="00FB09E4"/>
    <w:rsid w:val="00FB4075"/>
    <w:rsid w:val="00FB72C4"/>
    <w:rsid w:val="00FC4D31"/>
    <w:rsid w:val="00FC75CF"/>
    <w:rsid w:val="00FD606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58657"/>
  <w15:chartTrackingRefBased/>
  <w15:docId w15:val="{840B87E9-FF35-49C6-8D76-F5F7C00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19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105519"/>
  </w:style>
  <w:style w:type="character" w:customStyle="1" w:styleId="xxcontentpasted0">
    <w:name w:val="x_xcontentpasted0"/>
    <w:basedOn w:val="DefaultParagraphFont"/>
    <w:rsid w:val="00105519"/>
  </w:style>
  <w:style w:type="character" w:customStyle="1" w:styleId="xcontentpasted0">
    <w:name w:val="x_contentpasted0"/>
    <w:basedOn w:val="DefaultParagraphFont"/>
    <w:rsid w:val="00105519"/>
  </w:style>
  <w:style w:type="character" w:customStyle="1" w:styleId="xxxcontentpasted0">
    <w:name w:val="x_xxcontentpasted0"/>
    <w:basedOn w:val="DefaultParagraphFont"/>
    <w:rsid w:val="00105519"/>
  </w:style>
  <w:style w:type="character" w:styleId="CommentReference">
    <w:name w:val="annotation reference"/>
    <w:basedOn w:val="DefaultParagraphFont"/>
    <w:uiPriority w:val="99"/>
    <w:semiHidden/>
    <w:unhideWhenUsed/>
    <w:rsid w:val="008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860"/>
    <w:rPr>
      <w:rFonts w:ascii="Calibri" w:hAnsi="Calibri" w:cs="Calibri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60"/>
    <w:rPr>
      <w:rFonts w:ascii="Calibri" w:hAnsi="Calibri" w:cs="Calibri"/>
      <w:b/>
      <w:bCs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56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49D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81A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D9"/>
    <w:rPr>
      <w:rFonts w:ascii="Calibri" w:hAnsi="Calibri" w:cs="Calibri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A09D9"/>
    <w:rPr>
      <w:vertAlign w:val="superscript"/>
    </w:rPr>
  </w:style>
  <w:style w:type="character" w:customStyle="1" w:styleId="apple-converted-space">
    <w:name w:val="apple-converted-space"/>
    <w:basedOn w:val="DefaultParagraphFont"/>
    <w:rsid w:val="0062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CC43CA-A2BF-427E-BB91-E37338C7694F}"/>
</file>

<file path=customXml/itemProps2.xml><?xml version="1.0" encoding="utf-8"?>
<ds:datastoreItem xmlns:ds="http://schemas.openxmlformats.org/officeDocument/2006/customXml" ds:itemID="{61B0D7D8-0E1D-4B6A-BE20-86525664245E}"/>
</file>

<file path=customXml/itemProps3.xml><?xml version="1.0" encoding="utf-8"?>
<ds:datastoreItem xmlns:ds="http://schemas.openxmlformats.org/officeDocument/2006/customXml" ds:itemID="{17BC2D96-AC2D-4220-9A8D-652F3E2B1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Celine Georgi</dc:title>
  <dc:subject/>
  <dc:creator>Jakob Schneider</dc:creator>
  <cp:keywords/>
  <dc:description/>
  <cp:lastModifiedBy>Celine Georgi</cp:lastModifiedBy>
  <cp:revision>3</cp:revision>
  <dcterms:created xsi:type="dcterms:W3CDTF">2023-10-27T13:40:00Z</dcterms:created>
  <dcterms:modified xsi:type="dcterms:W3CDTF">2023-10-27T13:45:00Z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Urgent&amp;#58; Statement to be published on CEDAW website today</vt:lpwstr>
  </property>
</Properties>
</file>