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36DC2" w14:textId="77777777" w:rsidR="007753D9" w:rsidRPr="003B3055" w:rsidRDefault="007753D9" w:rsidP="007753D9">
      <w:pPr>
        <w:ind w:left="2124" w:right="-93" w:hanging="1416"/>
        <w:contextualSpacing/>
        <w:jc w:val="both"/>
        <w:rPr>
          <w:rFonts w:ascii="Bookman Old Style" w:hAnsi="Bookman Old Style" w:cs="Arial"/>
          <w:b/>
        </w:rPr>
      </w:pPr>
    </w:p>
    <w:p w14:paraId="7C4658CE" w14:textId="77777777" w:rsidR="007753D9" w:rsidRPr="003B3055" w:rsidRDefault="007753D9" w:rsidP="007753D9">
      <w:pPr>
        <w:pStyle w:val="Sinespaciado"/>
        <w:jc w:val="center"/>
        <w:rPr>
          <w:rFonts w:ascii="Bookman Old Style" w:hAnsi="Bookman Old Style" w:cs="Arial"/>
          <w:b/>
          <w:color w:val="000000" w:themeColor="text1"/>
          <w:sz w:val="24"/>
          <w:szCs w:val="24"/>
          <w:lang w:val="es-BO"/>
        </w:rPr>
      </w:pPr>
      <w:r w:rsidRPr="003B3055">
        <w:rPr>
          <w:rFonts w:ascii="Bookman Old Style" w:hAnsi="Bookman Old Style" w:cs="Arial"/>
          <w:b/>
          <w:color w:val="000000" w:themeColor="text1"/>
          <w:sz w:val="24"/>
          <w:szCs w:val="24"/>
          <w:lang w:val="es-BO"/>
        </w:rPr>
        <w:t>COMENTARIOS DEL ESTADO PLURINACIONAL DE BOLIVIA AL PROYECTO DE RECOMENDACIÓN GENERAL SOBRE DERECHOS DE LAS MUJERES Y LAS NIÑAS INDÍGENAS</w:t>
      </w:r>
    </w:p>
    <w:p w14:paraId="31C9D2EB" w14:textId="77777777" w:rsidR="007753D9" w:rsidRPr="003B3055" w:rsidRDefault="007753D9" w:rsidP="007753D9">
      <w:pPr>
        <w:pStyle w:val="Sinespaciado"/>
        <w:jc w:val="both"/>
        <w:rPr>
          <w:rFonts w:ascii="Bookman Old Style" w:hAnsi="Bookman Old Style" w:cs="Arial"/>
          <w:b/>
          <w:color w:val="000000" w:themeColor="text1"/>
          <w:sz w:val="24"/>
          <w:szCs w:val="24"/>
          <w:lang w:val="es-BO"/>
        </w:rPr>
      </w:pPr>
    </w:p>
    <w:p w14:paraId="26AD536B" w14:textId="77777777" w:rsidR="007753D9" w:rsidRPr="003B3055" w:rsidRDefault="007753D9" w:rsidP="007753D9">
      <w:pPr>
        <w:pStyle w:val="Sinespaciado"/>
        <w:jc w:val="both"/>
        <w:rPr>
          <w:rFonts w:ascii="Bookman Old Style" w:hAnsi="Bookman Old Style" w:cs="Arial"/>
          <w:b/>
          <w:color w:val="000000" w:themeColor="text1"/>
          <w:sz w:val="24"/>
          <w:szCs w:val="24"/>
          <w:lang w:val="es-BO"/>
        </w:rPr>
      </w:pPr>
    </w:p>
    <w:p w14:paraId="626605BD" w14:textId="77777777" w:rsidR="007753D9" w:rsidRDefault="007753D9" w:rsidP="007753D9">
      <w:pPr>
        <w:pStyle w:val="Sinespaciado"/>
        <w:jc w:val="both"/>
        <w:rPr>
          <w:rFonts w:ascii="Bookman Old Style" w:hAnsi="Bookman Old Style" w:cs="Arial"/>
          <w:b/>
          <w:color w:val="000000" w:themeColor="text1"/>
          <w:sz w:val="24"/>
          <w:szCs w:val="24"/>
          <w:lang w:val="es-BO"/>
        </w:rPr>
      </w:pPr>
      <w:r w:rsidRPr="003B3055">
        <w:rPr>
          <w:rFonts w:ascii="Bookman Old Style" w:hAnsi="Bookman Old Style" w:cs="Arial"/>
          <w:b/>
          <w:color w:val="000000" w:themeColor="text1"/>
          <w:sz w:val="24"/>
          <w:szCs w:val="24"/>
          <w:lang w:val="es-BO"/>
        </w:rPr>
        <w:t xml:space="preserve">COMENTARIOS GENERALES </w:t>
      </w:r>
    </w:p>
    <w:p w14:paraId="7EF703A4" w14:textId="77777777" w:rsidR="007753D9" w:rsidRPr="003B3055" w:rsidRDefault="007753D9" w:rsidP="007753D9">
      <w:pPr>
        <w:pStyle w:val="Sinespaciado"/>
        <w:jc w:val="both"/>
        <w:rPr>
          <w:rFonts w:ascii="Bookman Old Style" w:hAnsi="Bookman Old Style" w:cs="Arial"/>
          <w:b/>
          <w:color w:val="000000" w:themeColor="text1"/>
          <w:sz w:val="18"/>
          <w:szCs w:val="12"/>
          <w:lang w:val="es-BO"/>
        </w:rPr>
      </w:pPr>
    </w:p>
    <w:p w14:paraId="65539E91" w14:textId="77777777" w:rsidR="007753D9" w:rsidRDefault="007753D9" w:rsidP="007753D9">
      <w:pPr>
        <w:jc w:val="both"/>
        <w:rPr>
          <w:rFonts w:ascii="Bookman Old Style" w:hAnsi="Bookman Old Style" w:cs="Arial"/>
        </w:rPr>
      </w:pPr>
    </w:p>
    <w:p w14:paraId="53F70168" w14:textId="77777777" w:rsidR="007753D9" w:rsidRDefault="007753D9" w:rsidP="007753D9">
      <w:pPr>
        <w:jc w:val="both"/>
        <w:rPr>
          <w:rFonts w:ascii="Bookman Old Style" w:hAnsi="Bookman Old Style" w:cs="Arial"/>
        </w:rPr>
      </w:pPr>
      <w:r>
        <w:rPr>
          <w:rFonts w:ascii="Bookman Old Style" w:hAnsi="Bookman Old Style" w:cs="Arial"/>
        </w:rPr>
        <w:t>Reconocemos y v</w:t>
      </w:r>
      <w:r w:rsidRPr="003B3055">
        <w:rPr>
          <w:rFonts w:ascii="Bookman Old Style" w:hAnsi="Bookman Old Style" w:cs="Arial"/>
        </w:rPr>
        <w:t>aloramos el trabajo del CEDAW</w:t>
      </w:r>
      <w:r>
        <w:rPr>
          <w:rFonts w:ascii="Bookman Old Style" w:hAnsi="Bookman Old Style" w:cs="Arial"/>
        </w:rPr>
        <w:t>, como una instancia que ha liderado la reivindicación de derechos de las mujeres alrededor del mundo, y con esta iniciativa se enfoca en los derechos de las mujeres y niñas indígenas</w:t>
      </w:r>
      <w:r w:rsidRPr="003B3055">
        <w:rPr>
          <w:rFonts w:ascii="Bookman Old Style" w:hAnsi="Bookman Old Style" w:cs="Arial"/>
        </w:rPr>
        <w:t xml:space="preserve">. </w:t>
      </w:r>
    </w:p>
    <w:p w14:paraId="45FDDFBA" w14:textId="77777777" w:rsidR="007753D9" w:rsidRDefault="007753D9" w:rsidP="007753D9">
      <w:pPr>
        <w:jc w:val="both"/>
        <w:rPr>
          <w:rFonts w:ascii="Bookman Old Style" w:hAnsi="Bookman Old Style" w:cs="Arial"/>
        </w:rPr>
      </w:pPr>
    </w:p>
    <w:p w14:paraId="377CC075" w14:textId="23AFA598" w:rsidR="007753D9" w:rsidRPr="003B3055" w:rsidRDefault="007753D9" w:rsidP="007753D9">
      <w:pPr>
        <w:jc w:val="both"/>
        <w:rPr>
          <w:rFonts w:ascii="Bookman Old Style" w:hAnsi="Bookman Old Style" w:cs="Arial"/>
        </w:rPr>
      </w:pPr>
      <w:r>
        <w:rPr>
          <w:rFonts w:ascii="Bookman Old Style" w:hAnsi="Bookman Old Style" w:cs="Arial"/>
        </w:rPr>
        <w:t xml:space="preserve">Se debe destacar que la </w:t>
      </w:r>
      <w:r w:rsidRPr="003B3055">
        <w:rPr>
          <w:rFonts w:ascii="Bookman Old Style" w:hAnsi="Bookman Old Style" w:cs="Arial"/>
        </w:rPr>
        <w:t>Recomendación General 39 del CEDAW</w:t>
      </w:r>
      <w:r>
        <w:rPr>
          <w:rFonts w:ascii="Bookman Old Style" w:hAnsi="Bookman Old Style" w:cs="Arial"/>
        </w:rPr>
        <w:t xml:space="preserve">, aborda particularidades </w:t>
      </w:r>
      <w:r w:rsidRPr="003B3055">
        <w:rPr>
          <w:rFonts w:ascii="Bookman Old Style" w:hAnsi="Bookman Old Style" w:cs="Arial"/>
        </w:rPr>
        <w:t>de las mujeres y niñas indígenas</w:t>
      </w:r>
      <w:r>
        <w:rPr>
          <w:rFonts w:ascii="Bookman Old Style" w:hAnsi="Bookman Old Style" w:cs="Arial"/>
        </w:rPr>
        <w:t xml:space="preserve"> respecto a la generalidad de derechos reconocidos para ellas. Asimismo, </w:t>
      </w:r>
      <w:r w:rsidRPr="003B3055">
        <w:rPr>
          <w:rFonts w:ascii="Bookman Old Style" w:hAnsi="Bookman Old Style" w:cs="Arial"/>
        </w:rPr>
        <w:t xml:space="preserve"> representa un</w:t>
      </w:r>
      <w:r>
        <w:rPr>
          <w:rFonts w:ascii="Bookman Old Style" w:hAnsi="Bookman Old Style" w:cs="Arial"/>
        </w:rPr>
        <w:t xml:space="preserve">a </w:t>
      </w:r>
      <w:r w:rsidRPr="003B3055">
        <w:rPr>
          <w:rFonts w:ascii="Bookman Old Style" w:hAnsi="Bookman Old Style" w:cs="Arial"/>
        </w:rPr>
        <w:t>oportun</w:t>
      </w:r>
      <w:r>
        <w:rPr>
          <w:rFonts w:ascii="Bookman Old Style" w:hAnsi="Bookman Old Style" w:cs="Arial"/>
        </w:rPr>
        <w:t>idad</w:t>
      </w:r>
      <w:r w:rsidRPr="003B3055">
        <w:rPr>
          <w:rFonts w:ascii="Bookman Old Style" w:hAnsi="Bookman Old Style" w:cs="Arial"/>
        </w:rPr>
        <w:t xml:space="preserve"> en el </w:t>
      </w:r>
      <w:r>
        <w:rPr>
          <w:rFonts w:ascii="Bookman Old Style" w:hAnsi="Bookman Old Style" w:cs="Arial"/>
        </w:rPr>
        <w:t xml:space="preserve">fortalecimiento </w:t>
      </w:r>
      <w:r w:rsidR="00961D9A">
        <w:rPr>
          <w:rFonts w:ascii="Bookman Old Style" w:hAnsi="Bookman Old Style" w:cs="Arial"/>
        </w:rPr>
        <w:t xml:space="preserve">del </w:t>
      </w:r>
      <w:r w:rsidRPr="003B3055">
        <w:rPr>
          <w:rFonts w:ascii="Bookman Old Style" w:hAnsi="Bookman Old Style" w:cs="Arial"/>
        </w:rPr>
        <w:t xml:space="preserve">reconocimiento y la protección </w:t>
      </w:r>
      <w:r w:rsidR="00961D9A">
        <w:rPr>
          <w:rFonts w:ascii="Bookman Old Style" w:hAnsi="Bookman Old Style" w:cs="Arial"/>
        </w:rPr>
        <w:t xml:space="preserve">de </w:t>
      </w:r>
      <w:r>
        <w:rPr>
          <w:rFonts w:ascii="Bookman Old Style" w:hAnsi="Bookman Old Style" w:cs="Arial"/>
        </w:rPr>
        <w:t>sus</w:t>
      </w:r>
      <w:r w:rsidRPr="003B3055">
        <w:rPr>
          <w:rFonts w:ascii="Bookman Old Style" w:hAnsi="Bookman Old Style" w:cs="Arial"/>
        </w:rPr>
        <w:t xml:space="preserve"> derechos. Esta Recomendación permitirá </w:t>
      </w:r>
      <w:r>
        <w:rPr>
          <w:rFonts w:ascii="Bookman Old Style" w:hAnsi="Bookman Old Style" w:cs="Arial"/>
        </w:rPr>
        <w:t>también identificar</w:t>
      </w:r>
      <w:r w:rsidRPr="003B3055">
        <w:rPr>
          <w:rFonts w:ascii="Bookman Old Style" w:hAnsi="Bookman Old Style" w:cs="Arial"/>
        </w:rPr>
        <w:t xml:space="preserve"> </w:t>
      </w:r>
      <w:r>
        <w:rPr>
          <w:rFonts w:ascii="Bookman Old Style" w:hAnsi="Bookman Old Style" w:cs="Arial"/>
        </w:rPr>
        <w:t xml:space="preserve">los desafíos y las </w:t>
      </w:r>
      <w:r w:rsidRPr="003B3055">
        <w:rPr>
          <w:rFonts w:ascii="Bookman Old Style" w:hAnsi="Bookman Old Style" w:cs="Arial"/>
        </w:rPr>
        <w:t xml:space="preserve">necesidades en el desarrollo de políticas, además de valorar el </w:t>
      </w:r>
      <w:r>
        <w:rPr>
          <w:rFonts w:ascii="Bookman Old Style" w:hAnsi="Bookman Old Style" w:cs="Arial"/>
        </w:rPr>
        <w:t xml:space="preserve">importante </w:t>
      </w:r>
      <w:r w:rsidRPr="003B3055">
        <w:rPr>
          <w:rFonts w:ascii="Bookman Old Style" w:hAnsi="Bookman Old Style" w:cs="Arial"/>
        </w:rPr>
        <w:t xml:space="preserve">aporte de las mujeres y niñas indígenas a la sociedad en su conjunto. </w:t>
      </w:r>
    </w:p>
    <w:p w14:paraId="47F012D5" w14:textId="77777777" w:rsidR="007753D9" w:rsidRPr="003B3055" w:rsidRDefault="007753D9" w:rsidP="007753D9">
      <w:pPr>
        <w:jc w:val="both"/>
        <w:rPr>
          <w:rFonts w:ascii="Bookman Old Style" w:hAnsi="Bookman Old Style" w:cs="Arial"/>
        </w:rPr>
      </w:pPr>
    </w:p>
    <w:p w14:paraId="600F5669" w14:textId="7DE7AE57" w:rsidR="007753D9" w:rsidRPr="003B3055" w:rsidRDefault="007753D9" w:rsidP="007753D9">
      <w:pPr>
        <w:jc w:val="both"/>
        <w:rPr>
          <w:rFonts w:ascii="Bookman Old Style" w:hAnsi="Bookman Old Style" w:cs="Arial"/>
        </w:rPr>
      </w:pPr>
      <w:r>
        <w:rPr>
          <w:rFonts w:ascii="Bookman Old Style" w:hAnsi="Bookman Old Style" w:cs="Arial"/>
        </w:rPr>
        <w:t xml:space="preserve">En sociedades diversas, el respeto y </w:t>
      </w:r>
      <w:r w:rsidRPr="003B3055">
        <w:rPr>
          <w:rFonts w:ascii="Bookman Old Style" w:hAnsi="Bookman Old Style" w:cs="Arial"/>
        </w:rPr>
        <w:t xml:space="preserve">reconocimiento </w:t>
      </w:r>
      <w:r>
        <w:rPr>
          <w:rFonts w:ascii="Bookman Old Style" w:hAnsi="Bookman Old Style" w:cs="Arial"/>
        </w:rPr>
        <w:t>de</w:t>
      </w:r>
      <w:r w:rsidRPr="003B3055">
        <w:rPr>
          <w:rFonts w:ascii="Bookman Old Style" w:hAnsi="Bookman Old Style" w:cs="Arial"/>
        </w:rPr>
        <w:t xml:space="preserve"> la pluralidad económica, social, jurídica, política y cultural debiera </w:t>
      </w:r>
      <w:r>
        <w:rPr>
          <w:rFonts w:ascii="Bookman Old Style" w:hAnsi="Bookman Old Style" w:cs="Arial"/>
        </w:rPr>
        <w:t>ser el eje de las políticas de desarrollo. Para ello, son</w:t>
      </w:r>
      <w:r w:rsidRPr="003B3055">
        <w:rPr>
          <w:rFonts w:ascii="Bookman Old Style" w:hAnsi="Bookman Old Style" w:cs="Arial"/>
        </w:rPr>
        <w:t xml:space="preserve"> necesarios</w:t>
      </w:r>
      <w:r>
        <w:rPr>
          <w:rFonts w:ascii="Bookman Old Style" w:hAnsi="Bookman Old Style" w:cs="Arial"/>
        </w:rPr>
        <w:t xml:space="preserve"> los</w:t>
      </w:r>
      <w:r w:rsidRPr="003B3055">
        <w:rPr>
          <w:rFonts w:ascii="Bookman Old Style" w:hAnsi="Bookman Old Style" w:cs="Arial"/>
        </w:rPr>
        <w:t xml:space="preserve"> procesos de descolonización y despatriarcalización</w:t>
      </w:r>
      <w:r>
        <w:rPr>
          <w:rFonts w:ascii="Bookman Old Style" w:hAnsi="Bookman Old Style" w:cs="Arial"/>
        </w:rPr>
        <w:t xml:space="preserve"> a fin de</w:t>
      </w:r>
      <w:r w:rsidRPr="003B3055">
        <w:rPr>
          <w:rFonts w:ascii="Bookman Old Style" w:hAnsi="Bookman Old Style" w:cs="Arial"/>
        </w:rPr>
        <w:t xml:space="preserve"> superar estructuras coloniales que </w:t>
      </w:r>
      <w:r>
        <w:rPr>
          <w:rFonts w:ascii="Bookman Old Style" w:hAnsi="Bookman Old Style" w:cs="Arial"/>
        </w:rPr>
        <w:t>excluyen</w:t>
      </w:r>
      <w:r w:rsidRPr="003B3055">
        <w:rPr>
          <w:rFonts w:ascii="Bookman Old Style" w:hAnsi="Bookman Old Style" w:cs="Arial"/>
        </w:rPr>
        <w:t xml:space="preserve"> conocimientos y formas de organización de los pueblos indígenas</w:t>
      </w:r>
      <w:r>
        <w:rPr>
          <w:rFonts w:ascii="Bookman Old Style" w:hAnsi="Bookman Old Style" w:cs="Arial"/>
        </w:rPr>
        <w:t>, así como la desvinculación de la histórica desigualdad entre hombre y mujeres.</w:t>
      </w:r>
    </w:p>
    <w:p w14:paraId="4772DC9A" w14:textId="77777777" w:rsidR="007753D9" w:rsidRPr="003B3055" w:rsidRDefault="007753D9" w:rsidP="007753D9">
      <w:pPr>
        <w:jc w:val="both"/>
        <w:rPr>
          <w:rFonts w:ascii="Bookman Old Style" w:hAnsi="Bookman Old Style" w:cs="Arial"/>
          <w:sz w:val="12"/>
          <w:szCs w:val="12"/>
        </w:rPr>
      </w:pPr>
    </w:p>
    <w:p w14:paraId="1C85CD59" w14:textId="45CD8874" w:rsidR="007753D9" w:rsidRPr="003B3055" w:rsidRDefault="007753D9" w:rsidP="007753D9">
      <w:pPr>
        <w:jc w:val="both"/>
        <w:rPr>
          <w:rFonts w:ascii="Bookman Old Style" w:hAnsi="Bookman Old Style" w:cs="Arial"/>
        </w:rPr>
      </w:pPr>
      <w:r>
        <w:rPr>
          <w:rFonts w:ascii="Bookman Old Style" w:hAnsi="Bookman Old Style" w:cs="Arial"/>
        </w:rPr>
        <w:t>Consideramos que l</w:t>
      </w:r>
      <w:r w:rsidRPr="003B3055">
        <w:rPr>
          <w:rFonts w:ascii="Bookman Old Style" w:hAnsi="Bookman Old Style" w:cs="Arial"/>
        </w:rPr>
        <w:t>a Recomendación</w:t>
      </w:r>
      <w:r>
        <w:rPr>
          <w:rFonts w:ascii="Bookman Old Style" w:hAnsi="Bookman Old Style" w:cs="Arial"/>
        </w:rPr>
        <w:t xml:space="preserve">, </w:t>
      </w:r>
      <w:r w:rsidRPr="003B3055">
        <w:rPr>
          <w:rFonts w:ascii="Bookman Old Style" w:hAnsi="Bookman Old Style" w:cs="Arial"/>
        </w:rPr>
        <w:t xml:space="preserve">también </w:t>
      </w:r>
      <w:r>
        <w:rPr>
          <w:rFonts w:ascii="Bookman Old Style" w:hAnsi="Bookman Old Style" w:cs="Arial"/>
        </w:rPr>
        <w:t xml:space="preserve">debe abordar </w:t>
      </w:r>
      <w:r w:rsidRPr="003B3055">
        <w:rPr>
          <w:rFonts w:ascii="Bookman Old Style" w:hAnsi="Bookman Old Style" w:cs="Arial"/>
        </w:rPr>
        <w:t xml:space="preserve">las vivencias y lógicas colectivas que rigen la vida y las relaciones de los pueblos indígenas. El respeto a sus culturas y formas </w:t>
      </w:r>
      <w:r w:rsidR="00961D9A">
        <w:rPr>
          <w:rFonts w:ascii="Bookman Old Style" w:hAnsi="Bookman Old Style" w:cs="Arial"/>
        </w:rPr>
        <w:t xml:space="preserve">propias </w:t>
      </w:r>
      <w:r w:rsidRPr="003B3055">
        <w:rPr>
          <w:rFonts w:ascii="Bookman Old Style" w:hAnsi="Bookman Old Style" w:cs="Arial"/>
        </w:rPr>
        <w:t xml:space="preserve">de organización representa un componente central y necesario para </w:t>
      </w:r>
      <w:r>
        <w:rPr>
          <w:rFonts w:ascii="Bookman Old Style" w:hAnsi="Bookman Old Style" w:cs="Arial"/>
        </w:rPr>
        <w:t>visibilizar</w:t>
      </w:r>
      <w:r w:rsidRPr="003B3055">
        <w:rPr>
          <w:rFonts w:ascii="Bookman Old Style" w:hAnsi="Bookman Old Style" w:cs="Arial"/>
        </w:rPr>
        <w:t xml:space="preserve"> situaciones de discriminación interseccional que sufren las mujeres y las niñas indígenas.</w:t>
      </w:r>
    </w:p>
    <w:p w14:paraId="54239B29" w14:textId="77777777" w:rsidR="007753D9" w:rsidRPr="003B3055" w:rsidRDefault="007753D9" w:rsidP="007753D9">
      <w:pPr>
        <w:jc w:val="both"/>
        <w:rPr>
          <w:rFonts w:ascii="Bookman Old Style" w:hAnsi="Bookman Old Style" w:cs="Arial"/>
          <w:sz w:val="12"/>
          <w:szCs w:val="12"/>
        </w:rPr>
      </w:pPr>
    </w:p>
    <w:p w14:paraId="750446D6" w14:textId="77777777" w:rsidR="007753D9" w:rsidRPr="003B3055" w:rsidRDefault="007753D9" w:rsidP="007753D9">
      <w:pPr>
        <w:jc w:val="both"/>
        <w:rPr>
          <w:rFonts w:ascii="Bookman Old Style" w:hAnsi="Bookman Old Style" w:cs="Arial"/>
        </w:rPr>
      </w:pPr>
      <w:r>
        <w:rPr>
          <w:rFonts w:ascii="Bookman Old Style" w:hAnsi="Bookman Old Style" w:cs="Arial"/>
        </w:rPr>
        <w:t>Por lo tanto, desde una</w:t>
      </w:r>
      <w:r w:rsidRPr="003B3055">
        <w:rPr>
          <w:rFonts w:ascii="Bookman Old Style" w:hAnsi="Bookman Old Style" w:cs="Arial"/>
        </w:rPr>
        <w:t xml:space="preserve"> visión holística </w:t>
      </w:r>
      <w:r>
        <w:rPr>
          <w:rFonts w:ascii="Bookman Old Style" w:hAnsi="Bookman Old Style" w:cs="Arial"/>
        </w:rPr>
        <w:t>se debe</w:t>
      </w:r>
      <w:r w:rsidRPr="003B3055">
        <w:rPr>
          <w:rFonts w:ascii="Bookman Old Style" w:hAnsi="Bookman Old Style" w:cs="Arial"/>
        </w:rPr>
        <w:t xml:space="preserve"> recono</w:t>
      </w:r>
      <w:r>
        <w:rPr>
          <w:rFonts w:ascii="Bookman Old Style" w:hAnsi="Bookman Old Style" w:cs="Arial"/>
        </w:rPr>
        <w:t>cer</w:t>
      </w:r>
      <w:r w:rsidRPr="003B3055">
        <w:rPr>
          <w:rFonts w:ascii="Bookman Old Style" w:hAnsi="Bookman Old Style" w:cs="Arial"/>
        </w:rPr>
        <w:t xml:space="preserve"> la pluralidad como </w:t>
      </w:r>
      <w:r>
        <w:rPr>
          <w:rFonts w:ascii="Bookman Old Style" w:hAnsi="Bookman Old Style" w:cs="Arial"/>
        </w:rPr>
        <w:t xml:space="preserve">parte de las riquezas que tiene la humanidad, </w:t>
      </w:r>
      <w:r w:rsidRPr="003B3055">
        <w:rPr>
          <w:rFonts w:ascii="Bookman Old Style" w:hAnsi="Bookman Old Style" w:cs="Arial"/>
        </w:rPr>
        <w:t>en lugar de censurarla,</w:t>
      </w:r>
      <w:r>
        <w:rPr>
          <w:rFonts w:ascii="Bookman Old Style" w:hAnsi="Bookman Old Style" w:cs="Arial"/>
        </w:rPr>
        <w:t xml:space="preserve"> apartarla,</w:t>
      </w:r>
      <w:r w:rsidRPr="003B3055">
        <w:rPr>
          <w:rFonts w:ascii="Bookman Old Style" w:hAnsi="Bookman Old Style" w:cs="Arial"/>
        </w:rPr>
        <w:t xml:space="preserve"> invisibilizarla o castigarla.</w:t>
      </w:r>
    </w:p>
    <w:p w14:paraId="401E82DE" w14:textId="77777777" w:rsidR="007753D9" w:rsidRPr="003B3055" w:rsidRDefault="007753D9" w:rsidP="007753D9">
      <w:pPr>
        <w:jc w:val="both"/>
        <w:rPr>
          <w:rFonts w:ascii="Bookman Old Style" w:hAnsi="Bookman Old Style" w:cs="Arial"/>
        </w:rPr>
      </w:pPr>
    </w:p>
    <w:p w14:paraId="6D8F53B1" w14:textId="77777777" w:rsidR="007753D9" w:rsidRPr="003B3055" w:rsidRDefault="007753D9" w:rsidP="007753D9">
      <w:pPr>
        <w:jc w:val="both"/>
        <w:rPr>
          <w:rFonts w:ascii="Bookman Old Style" w:hAnsi="Bookman Old Style" w:cs="Arial"/>
          <w:b/>
          <w:bCs/>
        </w:rPr>
      </w:pPr>
      <w:r w:rsidRPr="003B3055">
        <w:rPr>
          <w:rFonts w:ascii="Bookman Old Style" w:hAnsi="Bookman Old Style" w:cs="Arial"/>
          <w:b/>
          <w:bCs/>
        </w:rPr>
        <w:t xml:space="preserve">COMENTARIOS ESPECÍFICOS </w:t>
      </w:r>
    </w:p>
    <w:p w14:paraId="2E8A8D5C" w14:textId="77777777" w:rsidR="007753D9" w:rsidRPr="003B3055" w:rsidRDefault="007753D9" w:rsidP="007753D9">
      <w:pPr>
        <w:jc w:val="both"/>
        <w:rPr>
          <w:rFonts w:ascii="Bookman Old Style" w:hAnsi="Bookman Old Style" w:cs="Arial"/>
          <w:sz w:val="12"/>
          <w:szCs w:val="12"/>
        </w:rPr>
      </w:pPr>
    </w:p>
    <w:p w14:paraId="145DD72B" w14:textId="24707AFB" w:rsidR="007753D9" w:rsidRPr="003B3055" w:rsidRDefault="007753D9" w:rsidP="007753D9">
      <w:pPr>
        <w:jc w:val="both"/>
        <w:rPr>
          <w:rFonts w:ascii="Bookman Old Style" w:hAnsi="Bookman Old Style" w:cs="Arial"/>
        </w:rPr>
      </w:pPr>
      <w:r w:rsidRPr="003B3055">
        <w:rPr>
          <w:rFonts w:ascii="Bookman Old Style" w:hAnsi="Bookman Old Style" w:cs="Arial"/>
          <w:b/>
          <w:bCs/>
          <w:u w:val="single"/>
        </w:rPr>
        <w:t>Párrafo 2:</w:t>
      </w:r>
      <w:r w:rsidRPr="003B3055">
        <w:rPr>
          <w:rFonts w:ascii="Bookman Old Style" w:hAnsi="Bookman Old Style" w:cs="Arial"/>
        </w:rPr>
        <w:t xml:space="preserve"> La Recomendación reconoce el papel fundamental de las mujeres y las niñas indígenas en sus comunidades como l</w:t>
      </w:r>
      <w:r w:rsidR="00961D9A">
        <w:rPr>
          <w:rFonts w:ascii="Bookman Old Style" w:hAnsi="Bookman Old Style" w:cs="Arial"/>
        </w:rPr>
        <w:t>i</w:t>
      </w:r>
      <w:r w:rsidRPr="003B3055">
        <w:rPr>
          <w:rFonts w:ascii="Bookman Old Style" w:hAnsi="Bookman Old Style" w:cs="Arial"/>
        </w:rPr>
        <w:t>deres</w:t>
      </w:r>
      <w:r w:rsidR="00961D9A">
        <w:rPr>
          <w:rFonts w:ascii="Bookman Old Style" w:hAnsi="Bookman Old Style" w:cs="Arial"/>
        </w:rPr>
        <w:t>as</w:t>
      </w:r>
      <w:r w:rsidRPr="003B3055">
        <w:rPr>
          <w:rFonts w:ascii="Bookman Old Style" w:hAnsi="Bookman Old Style" w:cs="Arial"/>
        </w:rPr>
        <w:t xml:space="preserve">, transmisoras de culturas, guardianas de la biodiversidad, etc. </w:t>
      </w:r>
      <w:r>
        <w:rPr>
          <w:rFonts w:ascii="Bookman Old Style" w:hAnsi="Bookman Old Style" w:cs="Arial"/>
        </w:rPr>
        <w:t>Consideramos</w:t>
      </w:r>
      <w:r w:rsidRPr="003B3055">
        <w:rPr>
          <w:rFonts w:ascii="Bookman Old Style" w:hAnsi="Bookman Old Style" w:cs="Arial"/>
        </w:rPr>
        <w:t xml:space="preserve"> que esos</w:t>
      </w:r>
      <w:r>
        <w:rPr>
          <w:rFonts w:ascii="Bookman Old Style" w:hAnsi="Bookman Old Style" w:cs="Arial"/>
        </w:rPr>
        <w:t>, y otros</w:t>
      </w:r>
      <w:r w:rsidRPr="003B3055">
        <w:rPr>
          <w:rFonts w:ascii="Bookman Old Style" w:hAnsi="Bookman Old Style" w:cs="Arial"/>
        </w:rPr>
        <w:t xml:space="preserve"> </w:t>
      </w:r>
      <w:r w:rsidRPr="003B3055">
        <w:rPr>
          <w:rFonts w:ascii="Bookman Old Style" w:hAnsi="Bookman Old Style" w:cs="Arial"/>
        </w:rPr>
        <w:lastRenderedPageBreak/>
        <w:t xml:space="preserve">roles </w:t>
      </w:r>
      <w:r>
        <w:rPr>
          <w:rFonts w:ascii="Bookman Old Style" w:hAnsi="Bookman Old Style" w:cs="Arial"/>
        </w:rPr>
        <w:t xml:space="preserve">que desempeñan </w:t>
      </w:r>
      <w:r w:rsidRPr="003B3055">
        <w:rPr>
          <w:rFonts w:ascii="Bookman Old Style" w:hAnsi="Bookman Old Style" w:cs="Arial"/>
        </w:rPr>
        <w:t xml:space="preserve">son fundamentales </w:t>
      </w:r>
      <w:r>
        <w:rPr>
          <w:rFonts w:ascii="Bookman Old Style" w:hAnsi="Bookman Old Style" w:cs="Arial"/>
        </w:rPr>
        <w:t xml:space="preserve">no </w:t>
      </w:r>
      <w:r w:rsidRPr="003B3055">
        <w:rPr>
          <w:rFonts w:ascii="Bookman Old Style" w:hAnsi="Bookman Old Style" w:cs="Arial"/>
        </w:rPr>
        <w:t xml:space="preserve">solamente al interior de las comunidades, sino también respecto de los territorios que ocupan y los países donde viven. Coincidimos en resaltar que estos valores son vitales para la subsistencia de la vida a todo nivel. Así, las mujeres y niñas indígenas son importantes </w:t>
      </w:r>
      <w:r>
        <w:rPr>
          <w:rFonts w:ascii="Bookman Old Style" w:hAnsi="Bookman Old Style" w:cs="Arial"/>
        </w:rPr>
        <w:t xml:space="preserve">no </w:t>
      </w:r>
      <w:r w:rsidRPr="003B3055">
        <w:rPr>
          <w:rFonts w:ascii="Bookman Old Style" w:hAnsi="Bookman Old Style" w:cs="Arial"/>
        </w:rPr>
        <w:t xml:space="preserve">solamente para su comunidad, sino para la sociedad en su conjunto. </w:t>
      </w:r>
    </w:p>
    <w:p w14:paraId="6F1450CE" w14:textId="77777777" w:rsidR="007753D9" w:rsidRPr="003B3055" w:rsidRDefault="007753D9" w:rsidP="007753D9">
      <w:pPr>
        <w:jc w:val="both"/>
        <w:rPr>
          <w:rFonts w:ascii="Bookman Old Style" w:hAnsi="Bookman Old Style" w:cs="Arial"/>
        </w:rPr>
      </w:pPr>
    </w:p>
    <w:p w14:paraId="796CD3E9" w14:textId="2585E754" w:rsidR="007753D9" w:rsidRPr="003B3055" w:rsidRDefault="007753D9" w:rsidP="007753D9">
      <w:pPr>
        <w:jc w:val="both"/>
        <w:rPr>
          <w:rFonts w:ascii="Bookman Old Style" w:hAnsi="Bookman Old Style" w:cs="Arial"/>
        </w:rPr>
      </w:pPr>
      <w:r w:rsidRPr="003B3055">
        <w:rPr>
          <w:rFonts w:ascii="Bookman Old Style" w:hAnsi="Bookman Old Style" w:cs="Arial"/>
        </w:rPr>
        <w:t xml:space="preserve">En el mismo párrafo y a lo largo del documento, se sugiere </w:t>
      </w:r>
      <w:r w:rsidRPr="00B348FA">
        <w:rPr>
          <w:rFonts w:ascii="Bookman Old Style" w:hAnsi="Bookman Old Style" w:cs="Arial"/>
          <w:u w:val="single"/>
        </w:rPr>
        <w:t xml:space="preserve">eliminar </w:t>
      </w:r>
      <w:r w:rsidRPr="003B3055">
        <w:rPr>
          <w:rFonts w:ascii="Bookman Old Style" w:hAnsi="Bookman Old Style" w:cs="Arial"/>
          <w:u w:val="single"/>
        </w:rPr>
        <w:t>el término “</w:t>
      </w:r>
      <w:r w:rsidRPr="003B3055">
        <w:rPr>
          <w:rFonts w:ascii="Bookman Old Style" w:hAnsi="Bookman Old Style" w:cs="Arial"/>
          <w:i/>
          <w:iCs/>
          <w:u w:val="single"/>
        </w:rPr>
        <w:t>raza</w:t>
      </w:r>
      <w:r w:rsidRPr="003B3055">
        <w:rPr>
          <w:rFonts w:ascii="Bookman Old Style" w:hAnsi="Bookman Old Style" w:cs="Arial"/>
          <w:u w:val="single"/>
        </w:rPr>
        <w:t>”</w:t>
      </w:r>
      <w:r>
        <w:rPr>
          <w:rFonts w:ascii="Bookman Old Style" w:hAnsi="Bookman Old Style" w:cs="Arial"/>
          <w:u w:val="single"/>
        </w:rPr>
        <w:t>,</w:t>
      </w:r>
      <w:r w:rsidRPr="003B3055">
        <w:rPr>
          <w:rFonts w:ascii="Bookman Old Style" w:hAnsi="Bookman Old Style" w:cs="Arial"/>
        </w:rPr>
        <w:t xml:space="preserve"> </w:t>
      </w:r>
      <w:r>
        <w:rPr>
          <w:rFonts w:ascii="Bookman Old Style" w:hAnsi="Bookman Old Style" w:cs="Arial"/>
        </w:rPr>
        <w:t xml:space="preserve">pues el mismo </w:t>
      </w:r>
      <w:r w:rsidR="00961D9A">
        <w:rPr>
          <w:rFonts w:ascii="Bookman Old Style" w:hAnsi="Bookman Old Style" w:cs="Arial"/>
        </w:rPr>
        <w:t>p</w:t>
      </w:r>
      <w:r w:rsidR="00961D9A">
        <w:rPr>
          <w:rFonts w:ascii="Bookman Old Style" w:hAnsi="Bookman Old Style" w:cs="Arial"/>
        </w:rPr>
        <w:t>odría</w:t>
      </w:r>
      <w:r w:rsidR="00961D9A">
        <w:rPr>
          <w:rFonts w:ascii="Bookman Old Style" w:hAnsi="Bookman Old Style" w:cs="Arial"/>
        </w:rPr>
        <w:t xml:space="preserve"> </w:t>
      </w:r>
      <w:r w:rsidR="00961D9A">
        <w:rPr>
          <w:rFonts w:ascii="Bookman Old Style" w:hAnsi="Bookman Old Style" w:cs="Arial"/>
        </w:rPr>
        <w:t>constituirse en</w:t>
      </w:r>
      <w:r>
        <w:rPr>
          <w:rFonts w:ascii="Bookman Old Style" w:hAnsi="Bookman Old Style" w:cs="Arial"/>
        </w:rPr>
        <w:t xml:space="preserve"> un término discriminatorio y/o despectivo; vastas</w:t>
      </w:r>
      <w:r w:rsidRPr="003B3055">
        <w:rPr>
          <w:rFonts w:ascii="Bookman Old Style" w:hAnsi="Bookman Old Style" w:cs="Arial"/>
        </w:rPr>
        <w:t xml:space="preserve"> discusiones sobre el término</w:t>
      </w:r>
      <w:r>
        <w:rPr>
          <w:rFonts w:ascii="Bookman Old Style" w:hAnsi="Bookman Old Style" w:cs="Arial"/>
        </w:rPr>
        <w:t>,</w:t>
      </w:r>
      <w:r w:rsidRPr="003B3055">
        <w:rPr>
          <w:rFonts w:ascii="Bookman Old Style" w:hAnsi="Bookman Old Style" w:cs="Arial"/>
        </w:rPr>
        <w:t xml:space="preserve"> denotan que hablar de razas puede entenderse como un intento por clasificar a los seres humanos en categorías.</w:t>
      </w:r>
    </w:p>
    <w:p w14:paraId="5F0A9332" w14:textId="77777777" w:rsidR="007753D9" w:rsidRPr="003B3055" w:rsidRDefault="007753D9" w:rsidP="007753D9">
      <w:pPr>
        <w:jc w:val="both"/>
        <w:rPr>
          <w:rFonts w:ascii="Bookman Old Style" w:hAnsi="Bookman Old Style" w:cs="Arial"/>
        </w:rPr>
      </w:pPr>
    </w:p>
    <w:p w14:paraId="33BDC141" w14:textId="77777777" w:rsidR="007753D9" w:rsidRPr="003B3055" w:rsidRDefault="007753D9" w:rsidP="007753D9">
      <w:pPr>
        <w:jc w:val="both"/>
        <w:rPr>
          <w:rFonts w:ascii="Bookman Old Style" w:hAnsi="Bookman Old Style" w:cs="Arial"/>
        </w:rPr>
      </w:pPr>
      <w:r w:rsidRPr="003B3055">
        <w:rPr>
          <w:rFonts w:ascii="Bookman Old Style" w:hAnsi="Bookman Old Style" w:cs="Arial"/>
          <w:b/>
          <w:bCs/>
        </w:rPr>
        <w:t>Párrafo 3:</w:t>
      </w:r>
      <w:r w:rsidRPr="003B3055">
        <w:rPr>
          <w:rFonts w:ascii="Bookman Old Style" w:hAnsi="Bookman Old Style" w:cs="Arial"/>
        </w:rPr>
        <w:t xml:space="preserve"> Se sugiere </w:t>
      </w:r>
      <w:r>
        <w:rPr>
          <w:rFonts w:ascii="Bookman Old Style" w:hAnsi="Bookman Old Style" w:cs="Arial"/>
        </w:rPr>
        <w:t>destacar</w:t>
      </w:r>
      <w:r w:rsidRPr="003B3055">
        <w:rPr>
          <w:rFonts w:ascii="Bookman Old Style" w:hAnsi="Bookman Old Style" w:cs="Arial"/>
        </w:rPr>
        <w:t xml:space="preserve"> el </w:t>
      </w:r>
      <w:r w:rsidRPr="003B3055">
        <w:rPr>
          <w:rFonts w:ascii="Bookman Old Style" w:hAnsi="Bookman Old Style" w:cs="Arial"/>
          <w:u w:val="single"/>
        </w:rPr>
        <w:t xml:space="preserve">carácter </w:t>
      </w:r>
      <w:r w:rsidRPr="003B3055">
        <w:rPr>
          <w:rFonts w:ascii="Bookman Old Style" w:hAnsi="Bookman Old Style" w:cs="Arial"/>
          <w:i/>
          <w:iCs/>
          <w:u w:val="single"/>
        </w:rPr>
        <w:t>pluricultural</w:t>
      </w:r>
      <w:r w:rsidRPr="003B3055">
        <w:rPr>
          <w:rFonts w:ascii="Bookman Old Style" w:hAnsi="Bookman Old Style" w:cs="Arial"/>
        </w:rPr>
        <w:t xml:space="preserve"> de la identidad de las mujeres y niñas indígenas en lugar de “polifacético”. Reconociendo la coexistencia de diferentes cultura</w:t>
      </w:r>
      <w:r>
        <w:rPr>
          <w:rFonts w:ascii="Bookman Old Style" w:hAnsi="Bookman Old Style" w:cs="Arial"/>
        </w:rPr>
        <w:t>s</w:t>
      </w:r>
      <w:r w:rsidRPr="003B3055">
        <w:rPr>
          <w:rFonts w:ascii="Bookman Old Style" w:hAnsi="Bookman Old Style" w:cs="Arial"/>
        </w:rPr>
        <w:t xml:space="preserve"> en un mismo espacio. </w:t>
      </w:r>
    </w:p>
    <w:p w14:paraId="11AB9729" w14:textId="77777777" w:rsidR="007753D9" w:rsidRPr="003B3055" w:rsidRDefault="007753D9" w:rsidP="007753D9">
      <w:pPr>
        <w:jc w:val="both"/>
        <w:rPr>
          <w:rFonts w:ascii="Bookman Old Style" w:hAnsi="Bookman Old Style" w:cs="Arial"/>
        </w:rPr>
      </w:pPr>
    </w:p>
    <w:p w14:paraId="7ED2AA60" w14:textId="77777777" w:rsidR="007753D9" w:rsidRPr="00054A76" w:rsidRDefault="007753D9" w:rsidP="007753D9">
      <w:pPr>
        <w:jc w:val="both"/>
        <w:rPr>
          <w:rFonts w:ascii="Bookman Old Style" w:hAnsi="Bookman Old Style" w:cs="Arial"/>
          <w:u w:val="single"/>
        </w:rPr>
      </w:pPr>
      <w:r w:rsidRPr="003B3055">
        <w:rPr>
          <w:rFonts w:ascii="Bookman Old Style" w:hAnsi="Bookman Old Style" w:cs="Arial"/>
          <w:b/>
          <w:bCs/>
        </w:rPr>
        <w:t>Párrafo 4:</w:t>
      </w:r>
      <w:r w:rsidRPr="003B3055">
        <w:rPr>
          <w:rFonts w:ascii="Bookman Old Style" w:hAnsi="Bookman Old Style" w:cs="Arial"/>
        </w:rPr>
        <w:t xml:space="preserve"> Se sugiere incluir: La perspectiva de las mujeres y las niñas indígenas implica comprender: la historia, experiencia, </w:t>
      </w:r>
      <w:r w:rsidRPr="00054A76">
        <w:rPr>
          <w:rFonts w:ascii="Bookman Old Style" w:hAnsi="Bookman Old Style" w:cs="Arial"/>
          <w:i/>
          <w:iCs/>
          <w:u w:val="single"/>
        </w:rPr>
        <w:t xml:space="preserve">costumbres, cosmovisión, formas de organización… </w:t>
      </w:r>
    </w:p>
    <w:p w14:paraId="72DF24B3" w14:textId="77777777" w:rsidR="007753D9" w:rsidRPr="003B3055" w:rsidRDefault="007753D9" w:rsidP="007753D9">
      <w:pPr>
        <w:jc w:val="both"/>
        <w:rPr>
          <w:rFonts w:ascii="Bookman Old Style" w:hAnsi="Bookman Old Style" w:cs="Arial"/>
        </w:rPr>
      </w:pPr>
    </w:p>
    <w:p w14:paraId="758FE2BB" w14:textId="77777777" w:rsidR="007753D9" w:rsidRPr="003B3055" w:rsidRDefault="007753D9" w:rsidP="007753D9">
      <w:pPr>
        <w:jc w:val="both"/>
        <w:rPr>
          <w:rFonts w:ascii="Bookman Old Style" w:hAnsi="Bookman Old Style" w:cs="Arial"/>
        </w:rPr>
      </w:pPr>
      <w:r w:rsidRPr="003B3055">
        <w:rPr>
          <w:rFonts w:ascii="Bookman Old Style" w:hAnsi="Bookman Old Style" w:cs="Arial"/>
          <w:b/>
          <w:bCs/>
        </w:rPr>
        <w:t>Párrafo 5:</w:t>
      </w:r>
      <w:r w:rsidRPr="003B3055">
        <w:rPr>
          <w:rFonts w:ascii="Bookman Old Style" w:hAnsi="Bookman Old Style" w:cs="Arial"/>
        </w:rPr>
        <w:t xml:space="preserve"> Indicar la prohibición </w:t>
      </w:r>
      <w:r w:rsidRPr="00054A76">
        <w:rPr>
          <w:rFonts w:ascii="Bookman Old Style" w:hAnsi="Bookman Old Style" w:cs="Arial"/>
          <w:u w:val="single"/>
        </w:rPr>
        <w:t>y</w:t>
      </w:r>
      <w:r w:rsidRPr="00054A76">
        <w:rPr>
          <w:rFonts w:ascii="Bookman Old Style" w:hAnsi="Bookman Old Style" w:cs="Arial"/>
          <w:i/>
          <w:iCs/>
          <w:u w:val="single"/>
        </w:rPr>
        <w:t xml:space="preserve"> eliminación</w:t>
      </w:r>
      <w:r w:rsidRPr="003B3055">
        <w:rPr>
          <w:rFonts w:ascii="Bookman Old Style" w:hAnsi="Bookman Old Style" w:cs="Arial"/>
        </w:rPr>
        <w:t xml:space="preserve"> de la discriminación…</w:t>
      </w:r>
    </w:p>
    <w:p w14:paraId="2BFA1BF1" w14:textId="77777777" w:rsidR="007753D9" w:rsidRPr="003B3055" w:rsidRDefault="007753D9" w:rsidP="007753D9">
      <w:pPr>
        <w:jc w:val="both"/>
        <w:rPr>
          <w:rFonts w:ascii="Bookman Old Style" w:hAnsi="Bookman Old Style" w:cs="Arial"/>
        </w:rPr>
      </w:pPr>
    </w:p>
    <w:p w14:paraId="350EB7B4" w14:textId="3C135AC7" w:rsidR="007753D9" w:rsidRDefault="007753D9" w:rsidP="007753D9">
      <w:pPr>
        <w:jc w:val="both"/>
        <w:rPr>
          <w:rFonts w:ascii="Bookman Old Style" w:hAnsi="Bookman Old Style" w:cs="Arial"/>
        </w:rPr>
      </w:pPr>
      <w:r w:rsidRPr="003B3055">
        <w:rPr>
          <w:rFonts w:ascii="Bookman Old Style" w:hAnsi="Bookman Old Style" w:cs="Arial"/>
          <w:b/>
          <w:bCs/>
        </w:rPr>
        <w:t>Párrafo 10:</w:t>
      </w:r>
      <w:r w:rsidRPr="003B3055">
        <w:rPr>
          <w:rFonts w:ascii="Bookman Old Style" w:hAnsi="Bookman Old Style" w:cs="Arial"/>
        </w:rPr>
        <w:t xml:space="preserve"> La recopilación de los datos para evaluar la situación de las mujeres y las niñas indígenas, la discriminación y violencia de género que sufren, es urgente y necesaria, pero debe basarse en un previo reconocimiento respecto de los sistemas </w:t>
      </w:r>
      <w:r>
        <w:rPr>
          <w:rFonts w:ascii="Bookman Old Style" w:hAnsi="Bookman Old Style" w:cs="Arial"/>
        </w:rPr>
        <w:t>“</w:t>
      </w:r>
      <w:r w:rsidRPr="003B3055">
        <w:rPr>
          <w:rFonts w:ascii="Bookman Old Style" w:hAnsi="Bookman Old Style" w:cs="Arial"/>
        </w:rPr>
        <w:t>sexo – genéricos</w:t>
      </w:r>
      <w:r>
        <w:rPr>
          <w:rFonts w:ascii="Bookman Old Style" w:hAnsi="Bookman Old Style" w:cs="Arial"/>
        </w:rPr>
        <w:t>”</w:t>
      </w:r>
      <w:r w:rsidRPr="003B3055">
        <w:rPr>
          <w:rFonts w:ascii="Bookman Old Style" w:hAnsi="Bookman Old Style" w:cs="Arial"/>
        </w:rPr>
        <w:t xml:space="preserve"> que rigen la vida al interior de las naciones indígenas. Así, los instrumentos de recojo de datos deben también dar cuenta de esas lógicas, para no aplicar una visión dual masculino – femenino, donde pueden estarse desarrollando órdenes más complejos, </w:t>
      </w:r>
      <w:r w:rsidR="00C8599A">
        <w:rPr>
          <w:rFonts w:ascii="Bookman Old Style" w:hAnsi="Bookman Old Style" w:cs="Arial"/>
        </w:rPr>
        <w:t xml:space="preserve">diversos, </w:t>
      </w:r>
      <w:r w:rsidRPr="003B3055">
        <w:rPr>
          <w:rFonts w:ascii="Bookman Old Style" w:hAnsi="Bookman Old Style" w:cs="Arial"/>
        </w:rPr>
        <w:t>flexibles o difuminados. De la misma manera, es necesario conocer de qué modos, a qué niveles y con cu</w:t>
      </w:r>
      <w:r>
        <w:rPr>
          <w:rFonts w:ascii="Bookman Old Style" w:hAnsi="Bookman Old Style" w:cs="Arial"/>
        </w:rPr>
        <w:t>a</w:t>
      </w:r>
      <w:r w:rsidRPr="003B3055">
        <w:rPr>
          <w:rFonts w:ascii="Bookman Old Style" w:hAnsi="Bookman Old Style" w:cs="Arial"/>
        </w:rPr>
        <w:t>nta profundidad esos sistemas de género están siendo violentados desde las prácticas hegemónicas de los Estados – Nación.</w:t>
      </w:r>
    </w:p>
    <w:p w14:paraId="10AA555A" w14:textId="77777777" w:rsidR="007753D9" w:rsidRPr="003B3055" w:rsidRDefault="007753D9" w:rsidP="007753D9">
      <w:pPr>
        <w:jc w:val="both"/>
        <w:rPr>
          <w:rFonts w:ascii="Bookman Old Style" w:hAnsi="Bookman Old Style" w:cs="Arial"/>
        </w:rPr>
      </w:pPr>
    </w:p>
    <w:p w14:paraId="719912D1" w14:textId="77777777" w:rsidR="007753D9" w:rsidRPr="003B3055" w:rsidRDefault="007753D9" w:rsidP="007753D9">
      <w:pPr>
        <w:jc w:val="both"/>
        <w:rPr>
          <w:rFonts w:ascii="Bookman Old Style" w:hAnsi="Bookman Old Style" w:cs="Arial"/>
        </w:rPr>
      </w:pPr>
      <w:r w:rsidRPr="003B3055">
        <w:rPr>
          <w:rFonts w:ascii="Bookman Old Style" w:hAnsi="Bookman Old Style" w:cs="Arial"/>
          <w:b/>
          <w:bCs/>
        </w:rPr>
        <w:t>Párrafo 13:</w:t>
      </w:r>
      <w:r w:rsidRPr="003B3055">
        <w:rPr>
          <w:rFonts w:ascii="Bookman Old Style" w:hAnsi="Bookman Old Style" w:cs="Arial"/>
        </w:rPr>
        <w:t xml:space="preserve"> Considerar incluir después de la oración “la falta de acción estatal…”. </w:t>
      </w:r>
      <w:r w:rsidRPr="00054A76">
        <w:rPr>
          <w:rFonts w:ascii="Bookman Old Style" w:hAnsi="Bookman Old Style" w:cs="Arial"/>
          <w:u w:val="single"/>
        </w:rPr>
        <w:t>Una mención a la necesidad de dar cumplimiento a compromisos establecidos en acuerdos internacionales como el Acuerdo de París, en cuanto a la cooperación para el desarrollo de medidas para la mitigación y adaptación al cambio climático</w:t>
      </w:r>
      <w:r w:rsidRPr="003B3055">
        <w:rPr>
          <w:rFonts w:ascii="Bookman Old Style" w:hAnsi="Bookman Old Style" w:cs="Arial"/>
        </w:rPr>
        <w:t>.</w:t>
      </w:r>
    </w:p>
    <w:p w14:paraId="1873D3D0" w14:textId="77777777" w:rsidR="007753D9" w:rsidRPr="003B3055" w:rsidRDefault="007753D9" w:rsidP="007753D9">
      <w:pPr>
        <w:jc w:val="both"/>
        <w:rPr>
          <w:rFonts w:ascii="Bookman Old Style" w:hAnsi="Bookman Old Style" w:cs="Arial"/>
        </w:rPr>
      </w:pPr>
    </w:p>
    <w:p w14:paraId="2E919E04" w14:textId="77777777" w:rsidR="007753D9" w:rsidRPr="005C0C76" w:rsidRDefault="007753D9" w:rsidP="007753D9">
      <w:pPr>
        <w:jc w:val="both"/>
        <w:rPr>
          <w:rFonts w:ascii="Bookman Old Style" w:hAnsi="Bookman Old Style" w:cs="Arial"/>
          <w:bCs/>
          <w:lang w:val="es-ES"/>
        </w:rPr>
      </w:pPr>
      <w:r w:rsidRPr="003B3055">
        <w:rPr>
          <w:rFonts w:ascii="Bookman Old Style" w:hAnsi="Bookman Old Style" w:cs="Arial"/>
          <w:b/>
          <w:bCs/>
        </w:rPr>
        <w:t>Párrafo 11:</w:t>
      </w:r>
      <w:r w:rsidRPr="003B3055">
        <w:rPr>
          <w:rFonts w:ascii="Bookman Old Style" w:hAnsi="Bookman Old Style" w:cs="Arial"/>
        </w:rPr>
        <w:t xml:space="preserve"> </w:t>
      </w:r>
      <w:r w:rsidRPr="00054A76">
        <w:rPr>
          <w:rFonts w:ascii="Bookman Old Style" w:hAnsi="Bookman Old Style" w:cs="Arial"/>
          <w:u w:val="single"/>
        </w:rPr>
        <w:t xml:space="preserve">Se sugiere incluir el gran riesgo que enfrentan las mujeres y niñas indígenas en contextos de conflicto, crisis sociales, políticas y/o quiebres </w:t>
      </w:r>
      <w:r w:rsidRPr="00054A76">
        <w:rPr>
          <w:rFonts w:ascii="Bookman Old Style" w:hAnsi="Bookman Old Style" w:cs="Arial"/>
          <w:u w:val="single"/>
        </w:rPr>
        <w:lastRenderedPageBreak/>
        <w:t xml:space="preserve">constitucionales y el retroceso que estas situaciones generan en el reconocimiento de sus derechos humanos. </w:t>
      </w:r>
    </w:p>
    <w:p w14:paraId="2367D5EC" w14:textId="77777777" w:rsidR="007753D9" w:rsidRPr="003B3055" w:rsidRDefault="007753D9" w:rsidP="007753D9">
      <w:pPr>
        <w:jc w:val="both"/>
        <w:rPr>
          <w:rFonts w:ascii="Bookman Old Style" w:hAnsi="Bookman Old Style" w:cs="Arial"/>
        </w:rPr>
      </w:pPr>
    </w:p>
    <w:p w14:paraId="618689BC" w14:textId="77777777" w:rsidR="007753D9" w:rsidRDefault="007753D9" w:rsidP="007753D9">
      <w:pPr>
        <w:jc w:val="both"/>
        <w:rPr>
          <w:rFonts w:ascii="Bookman Old Style" w:hAnsi="Bookman Old Style" w:cs="Arial"/>
        </w:rPr>
      </w:pPr>
      <w:r w:rsidRPr="003B3055">
        <w:rPr>
          <w:rFonts w:ascii="Bookman Old Style" w:hAnsi="Bookman Old Style" w:cs="Arial"/>
          <w:b/>
          <w:bCs/>
        </w:rPr>
        <w:t>Párrafos 22 – 25:</w:t>
      </w:r>
      <w:r w:rsidRPr="003B3055">
        <w:rPr>
          <w:rFonts w:ascii="Bookman Old Style" w:hAnsi="Bookman Old Style" w:cs="Arial"/>
        </w:rPr>
        <w:t xml:space="preserve"> </w:t>
      </w:r>
      <w:r>
        <w:rPr>
          <w:rFonts w:ascii="Bookman Old Style" w:hAnsi="Bookman Old Style" w:cs="Arial"/>
        </w:rPr>
        <w:t xml:space="preserve">La distribución equitativa y titulación de las tierras para mujeres es fundamental. </w:t>
      </w:r>
      <w:r w:rsidRPr="003B3055">
        <w:rPr>
          <w:rFonts w:ascii="Bookman Old Style" w:hAnsi="Bookman Old Style" w:cs="Arial"/>
        </w:rPr>
        <w:t>En la experiencia de Bolivia, la Ley 3545 de Reconducción Comunitaria de la Reforma Agraria, establece la priorización de la participación de la mujer en procesos de saneamiento y distribución de tierra, garantizando la emisión de títulos de propiedad a las mujeres que se encuentren trabajando la tierra independientemente de su estado civil. A partir de esta decisión se han tenido avance</w:t>
      </w:r>
      <w:r>
        <w:rPr>
          <w:rFonts w:ascii="Bookman Old Style" w:hAnsi="Bookman Old Style" w:cs="Arial"/>
        </w:rPr>
        <w:t>s importantes</w:t>
      </w:r>
      <w:r w:rsidRPr="003B3055">
        <w:rPr>
          <w:rFonts w:ascii="Bookman Old Style" w:hAnsi="Bookman Old Style" w:cs="Arial"/>
        </w:rPr>
        <w:t xml:space="preserve"> en términos de derechos económicos y lucha contra la extrema pobreza e</w:t>
      </w:r>
      <w:r>
        <w:rPr>
          <w:rFonts w:ascii="Bookman Old Style" w:hAnsi="Bookman Old Style" w:cs="Arial"/>
        </w:rPr>
        <w:t>n favor de las mujeres indígena-</w:t>
      </w:r>
      <w:r w:rsidRPr="003B3055">
        <w:rPr>
          <w:rFonts w:ascii="Bookman Old Style" w:hAnsi="Bookman Old Style" w:cs="Arial"/>
        </w:rPr>
        <w:t>originari</w:t>
      </w:r>
      <w:r>
        <w:rPr>
          <w:rFonts w:ascii="Bookman Old Style" w:hAnsi="Bookman Old Style" w:cs="Arial"/>
        </w:rPr>
        <w:t>a-</w:t>
      </w:r>
      <w:r w:rsidRPr="003B3055">
        <w:rPr>
          <w:rFonts w:ascii="Bookman Old Style" w:hAnsi="Bookman Old Style" w:cs="Arial"/>
        </w:rPr>
        <w:t>campesinas</w:t>
      </w:r>
      <w:r>
        <w:rPr>
          <w:rFonts w:ascii="Bookman Old Style" w:hAnsi="Bookman Old Style" w:cs="Arial"/>
        </w:rPr>
        <w:t xml:space="preserve">, </w:t>
      </w:r>
      <w:r w:rsidRPr="003B3055">
        <w:rPr>
          <w:rFonts w:ascii="Bookman Old Style" w:hAnsi="Bookman Old Style" w:cs="Arial"/>
        </w:rPr>
        <w:t xml:space="preserve">sus familias, y la sociedad en su conjunto, tomando en cuenta que esta medida constituye un elemento clave para garantizar la seguridad y soberanía alimentaria. </w:t>
      </w:r>
    </w:p>
    <w:p w14:paraId="015EEAAF" w14:textId="77777777" w:rsidR="007753D9" w:rsidRPr="003B3055" w:rsidRDefault="007753D9" w:rsidP="007753D9">
      <w:pPr>
        <w:jc w:val="both"/>
        <w:rPr>
          <w:rFonts w:ascii="Bookman Old Style" w:hAnsi="Bookman Old Style" w:cs="Arial"/>
        </w:rPr>
      </w:pPr>
    </w:p>
    <w:p w14:paraId="315DF8F1" w14:textId="77777777" w:rsidR="007753D9" w:rsidRPr="003B3055" w:rsidRDefault="007753D9" w:rsidP="007753D9">
      <w:pPr>
        <w:jc w:val="both"/>
        <w:rPr>
          <w:rFonts w:ascii="Bookman Old Style" w:hAnsi="Bookman Old Style" w:cs="Arial"/>
        </w:rPr>
      </w:pPr>
      <w:r>
        <w:rPr>
          <w:rFonts w:ascii="Bookman Old Style" w:hAnsi="Bookman Old Style" w:cs="Arial"/>
        </w:rPr>
        <w:t>E</w:t>
      </w:r>
      <w:r w:rsidRPr="003B3055">
        <w:rPr>
          <w:rFonts w:ascii="Bookman Old Style" w:hAnsi="Bookman Old Style" w:cs="Arial"/>
        </w:rPr>
        <w:t xml:space="preserve">sta medida, se complementa </w:t>
      </w:r>
      <w:r>
        <w:rPr>
          <w:rFonts w:ascii="Bookman Old Style" w:hAnsi="Bookman Old Style" w:cs="Arial"/>
        </w:rPr>
        <w:t>con</w:t>
      </w:r>
      <w:r w:rsidRPr="003B3055">
        <w:rPr>
          <w:rFonts w:ascii="Bookman Old Style" w:hAnsi="Bookman Old Style" w:cs="Arial"/>
        </w:rPr>
        <w:t xml:space="preserve"> programas para el acceso al agua potable y sistemas de riego, como otros servicios básicos y recursos.</w:t>
      </w:r>
      <w:r>
        <w:rPr>
          <w:rFonts w:ascii="Bookman Old Style" w:hAnsi="Bookman Old Style" w:cs="Arial"/>
        </w:rPr>
        <w:t xml:space="preserve"> En este sentido, </w:t>
      </w:r>
      <w:r w:rsidRPr="00054A76">
        <w:rPr>
          <w:rFonts w:ascii="Bookman Old Style" w:hAnsi="Bookman Old Style" w:cs="Arial"/>
          <w:u w:val="single"/>
        </w:rPr>
        <w:t>se sugiere mencionar la importancia de la Declaración de las Naciones Unidas sobre los Derechos de los Campesinos y de Otras Personas que Trabajan en las Zonas Rurales – UNDROP</w:t>
      </w:r>
      <w:r>
        <w:rPr>
          <w:rFonts w:ascii="Bookman Old Style" w:hAnsi="Bookman Old Style" w:cs="Arial"/>
        </w:rPr>
        <w:t xml:space="preserve">, como un documento internacional que reconoce la importancia de abordar derechos de los y las campesinas y otras personas que trabajan en áreas rurales. </w:t>
      </w:r>
      <w:r w:rsidRPr="003B3055">
        <w:rPr>
          <w:rFonts w:ascii="Bookman Old Style" w:hAnsi="Bookman Old Style" w:cs="Arial"/>
        </w:rPr>
        <w:t xml:space="preserve"> </w:t>
      </w:r>
    </w:p>
    <w:p w14:paraId="7D240652" w14:textId="77777777" w:rsidR="007753D9" w:rsidRPr="003B3055" w:rsidRDefault="007753D9" w:rsidP="007753D9">
      <w:pPr>
        <w:jc w:val="both"/>
        <w:rPr>
          <w:rFonts w:ascii="Bookman Old Style" w:hAnsi="Bookman Old Style" w:cs="Arial"/>
        </w:rPr>
      </w:pPr>
    </w:p>
    <w:p w14:paraId="6A137C26" w14:textId="77777777" w:rsidR="007753D9" w:rsidRPr="003B3055" w:rsidRDefault="007753D9" w:rsidP="007753D9">
      <w:pPr>
        <w:jc w:val="both"/>
        <w:rPr>
          <w:rFonts w:ascii="Bookman Old Style" w:hAnsi="Bookman Old Style" w:cs="Arial"/>
        </w:rPr>
      </w:pPr>
      <w:r w:rsidRPr="003B3055">
        <w:rPr>
          <w:rFonts w:ascii="Bookman Old Style" w:hAnsi="Bookman Old Style" w:cs="Arial"/>
        </w:rPr>
        <w:t xml:space="preserve">Es importante reiterar el impulso de este tipo de </w:t>
      </w:r>
      <w:r>
        <w:rPr>
          <w:rFonts w:ascii="Bookman Old Style" w:hAnsi="Bookman Old Style" w:cs="Arial"/>
        </w:rPr>
        <w:t xml:space="preserve">programas y </w:t>
      </w:r>
      <w:r w:rsidRPr="003B3055">
        <w:rPr>
          <w:rFonts w:ascii="Bookman Old Style" w:hAnsi="Bookman Old Style" w:cs="Arial"/>
        </w:rPr>
        <w:t>medidas conjuntas desde la Recomendación General para</w:t>
      </w:r>
      <w:r>
        <w:rPr>
          <w:rFonts w:ascii="Bookman Old Style" w:hAnsi="Bookman Old Style" w:cs="Arial"/>
        </w:rPr>
        <w:t xml:space="preserve"> tener una visión holística al hablar de seguridad y soberanía alimentaria y el importante rol de las mujeres indígenas.</w:t>
      </w:r>
    </w:p>
    <w:p w14:paraId="088EA5E2" w14:textId="77777777" w:rsidR="007753D9" w:rsidRPr="003B3055" w:rsidRDefault="007753D9" w:rsidP="007753D9">
      <w:pPr>
        <w:jc w:val="both"/>
        <w:rPr>
          <w:rFonts w:ascii="Bookman Old Style" w:hAnsi="Bookman Old Style" w:cs="Arial"/>
        </w:rPr>
      </w:pPr>
    </w:p>
    <w:p w14:paraId="637E8E0A" w14:textId="77777777" w:rsidR="007753D9" w:rsidRPr="003B3055" w:rsidRDefault="007753D9" w:rsidP="007753D9">
      <w:pPr>
        <w:jc w:val="both"/>
        <w:rPr>
          <w:rFonts w:ascii="Bookman Old Style" w:hAnsi="Bookman Old Style" w:cs="Arial"/>
          <w:i/>
          <w:iCs/>
          <w:lang w:val="es-ES"/>
        </w:rPr>
      </w:pPr>
      <w:r w:rsidRPr="003B3055">
        <w:rPr>
          <w:rFonts w:ascii="Bookman Old Style" w:hAnsi="Bookman Old Style" w:cs="Arial"/>
          <w:b/>
          <w:bCs/>
          <w:lang w:val="es-ES"/>
        </w:rPr>
        <w:t>Párrafo 28:</w:t>
      </w:r>
      <w:r w:rsidRPr="003B3055">
        <w:rPr>
          <w:rFonts w:ascii="Bookman Old Style" w:hAnsi="Bookman Old Style" w:cs="Arial"/>
          <w:lang w:val="es-ES"/>
        </w:rPr>
        <w:t xml:space="preserve"> </w:t>
      </w:r>
      <w:r w:rsidRPr="003B3055">
        <w:rPr>
          <w:rFonts w:ascii="Bookman Old Style" w:hAnsi="Bookman Old Style" w:cs="Arial"/>
          <w:u w:val="single"/>
          <w:lang w:val="es-ES"/>
        </w:rPr>
        <w:t>Inciso G)</w:t>
      </w:r>
      <w:r>
        <w:rPr>
          <w:rFonts w:ascii="Bookman Old Style" w:hAnsi="Bookman Old Style" w:cs="Arial"/>
          <w:lang w:val="es-ES"/>
        </w:rPr>
        <w:t xml:space="preserve"> se sugiere complementar la redacción de la siguiente forma</w:t>
      </w:r>
      <w:r w:rsidRPr="003B3055">
        <w:rPr>
          <w:rFonts w:ascii="Bookman Old Style" w:hAnsi="Bookman Old Style" w:cs="Arial"/>
          <w:lang w:val="es-ES"/>
        </w:rPr>
        <w:t xml:space="preserve">: </w:t>
      </w:r>
      <w:r>
        <w:rPr>
          <w:rFonts w:ascii="Bookman Old Style" w:hAnsi="Bookman Old Style" w:cs="Arial"/>
          <w:lang w:val="es-ES"/>
        </w:rPr>
        <w:t>(</w:t>
      </w:r>
      <w:r w:rsidRPr="003B3055">
        <w:rPr>
          <w:rFonts w:ascii="Bookman Old Style" w:hAnsi="Bookman Old Style" w:cs="Arial"/>
          <w:lang w:val="es-ES"/>
        </w:rPr>
        <w:t>…</w:t>
      </w:r>
      <w:r>
        <w:rPr>
          <w:rFonts w:ascii="Bookman Old Style" w:hAnsi="Bookman Old Style" w:cs="Arial"/>
          <w:lang w:val="es-ES"/>
        </w:rPr>
        <w:t>)</w:t>
      </w:r>
      <w:r w:rsidRPr="003B3055">
        <w:rPr>
          <w:rFonts w:ascii="Bookman Old Style" w:hAnsi="Bookman Old Style" w:cs="Arial"/>
          <w:lang w:val="es-ES"/>
        </w:rPr>
        <w:t xml:space="preserve"> acceso adecuado a la información, </w:t>
      </w:r>
      <w:r w:rsidRPr="00566CFC">
        <w:rPr>
          <w:rFonts w:ascii="Bookman Old Style" w:hAnsi="Bookman Old Style" w:cs="Arial"/>
          <w:i/>
          <w:iCs/>
          <w:u w:val="single"/>
          <w:lang w:val="es-ES"/>
        </w:rPr>
        <w:t>incluyendo en lenguas indígenas, sobre leyes existentes y oportunidades para ejercer sus derechos en virtud de la Convención, considerando, además, los compromisos de los Estados de conformidad con la Resolución</w:t>
      </w:r>
      <w:r w:rsidRPr="00566CFC">
        <w:rPr>
          <w:rFonts w:ascii="Bookman Old Style" w:eastAsia="Calibri" w:hAnsi="Bookman Old Style" w:cs="Calibri"/>
          <w:i/>
          <w:iCs/>
          <w:sz w:val="22"/>
          <w:szCs w:val="22"/>
          <w:u w:val="single"/>
          <w:lang w:val="es-ES"/>
        </w:rPr>
        <w:t xml:space="preserve"> </w:t>
      </w:r>
      <w:r w:rsidRPr="00566CFC">
        <w:rPr>
          <w:rFonts w:ascii="Bookman Old Style" w:hAnsi="Bookman Old Style" w:cs="Arial"/>
          <w:i/>
          <w:iCs/>
          <w:u w:val="single"/>
          <w:lang w:val="es-ES"/>
        </w:rPr>
        <w:t>A/RES/74/135 que proclama el Decenio Internacional de las Lenguas Indígenas.</w:t>
      </w:r>
      <w:r w:rsidRPr="003B3055">
        <w:rPr>
          <w:rFonts w:ascii="Bookman Old Style" w:hAnsi="Bookman Old Style" w:cs="Arial"/>
          <w:lang w:val="es-ES"/>
        </w:rPr>
        <w:t xml:space="preserve"> </w:t>
      </w:r>
    </w:p>
    <w:p w14:paraId="091C05A7" w14:textId="77777777" w:rsidR="007753D9" w:rsidRPr="003B3055" w:rsidRDefault="007753D9" w:rsidP="007753D9">
      <w:pPr>
        <w:jc w:val="both"/>
        <w:rPr>
          <w:rFonts w:ascii="Bookman Old Style" w:hAnsi="Bookman Old Style" w:cs="Arial"/>
        </w:rPr>
      </w:pPr>
    </w:p>
    <w:p w14:paraId="1311A05A" w14:textId="77777777" w:rsidR="007753D9" w:rsidRPr="003B3055" w:rsidRDefault="007753D9" w:rsidP="007753D9">
      <w:pPr>
        <w:jc w:val="both"/>
        <w:rPr>
          <w:rFonts w:ascii="Bookman Old Style" w:hAnsi="Bookman Old Style" w:cs="Arial"/>
          <w:lang w:val="es-MX"/>
        </w:rPr>
      </w:pPr>
      <w:r w:rsidRPr="003B3055">
        <w:rPr>
          <w:rFonts w:ascii="Bookman Old Style" w:hAnsi="Bookman Old Style" w:cs="Arial"/>
          <w:b/>
          <w:bCs/>
        </w:rPr>
        <w:t>Párrafo 30:</w:t>
      </w:r>
      <w:r w:rsidRPr="003B3055">
        <w:rPr>
          <w:rFonts w:ascii="Bookman Old Style" w:hAnsi="Bookman Old Style" w:cs="Arial"/>
        </w:rPr>
        <w:t xml:space="preserve"> Es importante que </w:t>
      </w:r>
      <w:r w:rsidRPr="003B3055">
        <w:rPr>
          <w:rFonts w:ascii="Bookman Old Style" w:hAnsi="Bookman Old Style" w:cs="Arial"/>
          <w:lang w:val="es-ES"/>
        </w:rPr>
        <w:t xml:space="preserve">las </w:t>
      </w:r>
      <w:r w:rsidRPr="003B3055">
        <w:rPr>
          <w:rFonts w:ascii="Bookman Old Style" w:hAnsi="Bookman Old Style" w:cs="Arial"/>
        </w:rPr>
        <w:t>leyes nacionales permitan a l</w:t>
      </w:r>
      <w:r w:rsidRPr="00B348FA">
        <w:rPr>
          <w:rFonts w:ascii="Bookman Old Style" w:hAnsi="Bookman Old Style" w:cs="Arial"/>
          <w:lang w:val="es-ES"/>
        </w:rPr>
        <w:t>os pueblos</w:t>
      </w:r>
      <w:r w:rsidRPr="003B3055">
        <w:rPr>
          <w:rFonts w:ascii="Bookman Old Style" w:hAnsi="Bookman Old Style" w:cs="Arial"/>
        </w:rPr>
        <w:t xml:space="preserve"> indígenas </w:t>
      </w:r>
      <w:r w:rsidRPr="00B348FA">
        <w:rPr>
          <w:rFonts w:ascii="Bookman Old Style" w:hAnsi="Bookman Old Style" w:cs="Arial"/>
          <w:lang w:val="es-ES"/>
        </w:rPr>
        <w:t>aplicar</w:t>
      </w:r>
      <w:r w:rsidRPr="003B3055">
        <w:rPr>
          <w:rFonts w:ascii="Bookman Old Style" w:hAnsi="Bookman Old Style" w:cs="Arial"/>
        </w:rPr>
        <w:t xml:space="preserve"> sus </w:t>
      </w:r>
      <w:r w:rsidRPr="00B348FA">
        <w:rPr>
          <w:rFonts w:ascii="Bookman Old Style" w:hAnsi="Bookman Old Style" w:cs="Arial"/>
          <w:lang w:val="es-ES"/>
        </w:rPr>
        <w:t xml:space="preserve">normas y </w:t>
      </w:r>
      <w:r w:rsidRPr="003B3055">
        <w:rPr>
          <w:rFonts w:ascii="Bookman Old Style" w:hAnsi="Bookman Old Style" w:cs="Arial"/>
        </w:rPr>
        <w:t xml:space="preserve">sistemas </w:t>
      </w:r>
      <w:r w:rsidRPr="00B348FA">
        <w:rPr>
          <w:rFonts w:ascii="Bookman Old Style" w:hAnsi="Bookman Old Style" w:cs="Arial"/>
          <w:lang w:val="es-ES"/>
        </w:rPr>
        <w:t xml:space="preserve">de </w:t>
      </w:r>
      <w:r>
        <w:rPr>
          <w:rFonts w:ascii="Bookman Old Style" w:hAnsi="Bookman Old Style" w:cs="Arial"/>
        </w:rPr>
        <w:t>just</w:t>
      </w:r>
      <w:r w:rsidRPr="003B3055">
        <w:rPr>
          <w:rFonts w:ascii="Bookman Old Style" w:hAnsi="Bookman Old Style" w:cs="Arial"/>
        </w:rPr>
        <w:t>icia</w:t>
      </w:r>
      <w:r w:rsidRPr="003B3055">
        <w:rPr>
          <w:rFonts w:ascii="Bookman Old Style" w:hAnsi="Bookman Old Style" w:cs="Arial"/>
          <w:lang w:val="es-ES"/>
        </w:rPr>
        <w:t>. El</w:t>
      </w:r>
      <w:r w:rsidRPr="003B3055">
        <w:rPr>
          <w:rFonts w:ascii="Bookman Old Style" w:hAnsi="Bookman Old Style" w:cs="Arial"/>
        </w:rPr>
        <w:t xml:space="preserve"> pluralismo jurídico</w:t>
      </w:r>
      <w:r w:rsidRPr="003B3055">
        <w:rPr>
          <w:rFonts w:ascii="Bookman Old Style" w:hAnsi="Bookman Old Style" w:cs="Arial"/>
          <w:lang w:val="es-ES"/>
        </w:rPr>
        <w:t xml:space="preserve">, </w:t>
      </w:r>
      <w:r>
        <w:rPr>
          <w:rFonts w:ascii="Bookman Old Style" w:hAnsi="Bookman Old Style" w:cs="Arial"/>
          <w:lang w:val="es-ES"/>
        </w:rPr>
        <w:t>denominado así</w:t>
      </w:r>
      <w:r w:rsidRPr="003B3055">
        <w:rPr>
          <w:rFonts w:ascii="Bookman Old Style" w:hAnsi="Bookman Old Style" w:cs="Arial"/>
          <w:lang w:val="es-ES"/>
        </w:rPr>
        <w:t xml:space="preserve"> en Bolivia,</w:t>
      </w:r>
      <w:r w:rsidRPr="003B3055">
        <w:rPr>
          <w:rFonts w:ascii="Bookman Old Style" w:hAnsi="Bookman Old Style" w:cs="Arial"/>
        </w:rPr>
        <w:t xml:space="preserve"> forja de manera categórica la igualdad jerárquica de la justicia ordinaria y la justicia indígena originaria campesina</w:t>
      </w:r>
      <w:r w:rsidRPr="003B3055">
        <w:rPr>
          <w:rFonts w:ascii="Bookman Old Style" w:hAnsi="Bookman Old Style" w:cs="Arial"/>
          <w:lang w:val="es-MX"/>
        </w:rPr>
        <w:t xml:space="preserve">; </w:t>
      </w:r>
      <w:r>
        <w:rPr>
          <w:rFonts w:ascii="Bookman Old Style" w:hAnsi="Bookman Old Style" w:cs="Arial"/>
          <w:lang w:val="es-MX"/>
        </w:rPr>
        <w:t>co</w:t>
      </w:r>
      <w:r w:rsidRPr="003B3055">
        <w:rPr>
          <w:rFonts w:ascii="Bookman Old Style" w:hAnsi="Bookman Old Style" w:cs="Arial"/>
          <w:lang w:val="es-MX"/>
        </w:rPr>
        <w:t>exist</w:t>
      </w:r>
      <w:r>
        <w:rPr>
          <w:rFonts w:ascii="Bookman Old Style" w:hAnsi="Bookman Old Style" w:cs="Arial"/>
          <w:lang w:val="es-MX"/>
        </w:rPr>
        <w:t xml:space="preserve">iendo de manera complementaria </w:t>
      </w:r>
      <w:r w:rsidRPr="003B3055">
        <w:rPr>
          <w:rFonts w:ascii="Bookman Old Style" w:hAnsi="Bookman Old Style" w:cs="Arial"/>
          <w:lang w:val="es-MX"/>
        </w:rPr>
        <w:t xml:space="preserve">dos sistemas o corrientes jurídicas: por un lado, la Justicia Ordinaria con toda la trayectoria histórica, social y científica que ha </w:t>
      </w:r>
      <w:r w:rsidRPr="003B3055">
        <w:rPr>
          <w:rFonts w:ascii="Bookman Old Style" w:hAnsi="Bookman Old Style" w:cs="Arial"/>
          <w:lang w:val="es-MX"/>
        </w:rPr>
        <w:lastRenderedPageBreak/>
        <w:t xml:space="preserve">tenido; y por el otro lado el Sistema Jurídico Indígena Originario Campesino, que emerge de la </w:t>
      </w:r>
      <w:r>
        <w:rPr>
          <w:rFonts w:ascii="Bookman Old Style" w:hAnsi="Bookman Old Style" w:cs="Arial"/>
          <w:lang w:val="es-MX"/>
        </w:rPr>
        <w:t>construcción cultural histórica</w:t>
      </w:r>
      <w:r w:rsidRPr="003B3055">
        <w:rPr>
          <w:rFonts w:ascii="Bookman Old Style" w:hAnsi="Bookman Old Style" w:cs="Arial"/>
          <w:lang w:val="es-MX"/>
        </w:rPr>
        <w:t xml:space="preserve"> de los pueblos</w:t>
      </w:r>
      <w:r>
        <w:rPr>
          <w:rFonts w:ascii="Bookman Old Style" w:hAnsi="Bookman Old Style" w:cs="Arial"/>
          <w:lang w:val="es-MX"/>
        </w:rPr>
        <w:t xml:space="preserve"> indígenas</w:t>
      </w:r>
      <w:r w:rsidRPr="003B3055">
        <w:rPr>
          <w:rFonts w:ascii="Bookman Old Style" w:hAnsi="Bookman Old Style" w:cs="Arial"/>
          <w:lang w:val="es-MX"/>
        </w:rPr>
        <w:t>.</w:t>
      </w:r>
    </w:p>
    <w:p w14:paraId="26415784" w14:textId="77777777" w:rsidR="007753D9" w:rsidRPr="003B3055" w:rsidRDefault="007753D9" w:rsidP="007753D9">
      <w:pPr>
        <w:jc w:val="both"/>
        <w:rPr>
          <w:rFonts w:ascii="Bookman Old Style" w:hAnsi="Bookman Old Style" w:cs="Arial"/>
          <w:lang w:val="es-MX"/>
        </w:rPr>
      </w:pPr>
    </w:p>
    <w:p w14:paraId="33C72CFC" w14:textId="77777777" w:rsidR="007753D9" w:rsidRPr="003B3055" w:rsidRDefault="007753D9" w:rsidP="007753D9">
      <w:pPr>
        <w:jc w:val="both"/>
        <w:rPr>
          <w:rFonts w:ascii="Bookman Old Style" w:hAnsi="Bookman Old Style" w:cs="Arial"/>
          <w:lang w:val="es-MX"/>
        </w:rPr>
      </w:pPr>
      <w:r w:rsidRPr="003B3055">
        <w:rPr>
          <w:rFonts w:ascii="Bookman Old Style" w:hAnsi="Bookman Old Style" w:cs="Arial"/>
          <w:b/>
          <w:bCs/>
          <w:lang w:val="es-MX"/>
        </w:rPr>
        <w:t xml:space="preserve">Párrafo 41: </w:t>
      </w:r>
      <w:r w:rsidRPr="003B3055">
        <w:rPr>
          <w:rFonts w:ascii="Bookman Old Style" w:hAnsi="Bookman Old Style" w:cs="Arial"/>
          <w:lang w:val="es-MX"/>
        </w:rPr>
        <w:t>Considerar reemplazar “probabilidades de ser violadas” por “</w:t>
      </w:r>
      <w:r w:rsidRPr="00566CFC">
        <w:rPr>
          <w:rFonts w:ascii="Bookman Old Style" w:hAnsi="Bookman Old Style" w:cs="Arial"/>
          <w:i/>
          <w:iCs/>
          <w:u w:val="single"/>
          <w:lang w:val="es-MX"/>
        </w:rPr>
        <w:t>probabilidades de ser víctimas de violencia sexual”.</w:t>
      </w:r>
    </w:p>
    <w:p w14:paraId="7B1584B4" w14:textId="77777777" w:rsidR="007753D9" w:rsidRPr="003B3055" w:rsidRDefault="007753D9" w:rsidP="007753D9">
      <w:pPr>
        <w:jc w:val="both"/>
        <w:rPr>
          <w:rFonts w:ascii="Bookman Old Style" w:hAnsi="Bookman Old Style" w:cs="Arial"/>
          <w:b/>
          <w:bCs/>
          <w:lang w:val="es-MX"/>
        </w:rPr>
      </w:pPr>
    </w:p>
    <w:p w14:paraId="0390E056" w14:textId="77777777" w:rsidR="007753D9" w:rsidRPr="003B3055" w:rsidRDefault="007753D9" w:rsidP="007753D9">
      <w:pPr>
        <w:jc w:val="both"/>
        <w:rPr>
          <w:rFonts w:ascii="Bookman Old Style" w:eastAsia="Calibri" w:hAnsi="Bookman Old Style" w:cs="Arial"/>
          <w:b/>
          <w:color w:val="000000" w:themeColor="text1"/>
        </w:rPr>
      </w:pPr>
      <w:r w:rsidRPr="003B3055">
        <w:rPr>
          <w:rFonts w:ascii="Bookman Old Style" w:hAnsi="Bookman Old Style" w:cs="Arial"/>
          <w:b/>
          <w:bCs/>
          <w:lang w:val="es-MX"/>
        </w:rPr>
        <w:t>Párrafos 48 y 49:</w:t>
      </w:r>
      <w:r w:rsidRPr="003B3055">
        <w:rPr>
          <w:rFonts w:ascii="Bookman Old Style" w:hAnsi="Bookman Old Style" w:cs="Arial"/>
          <w:lang w:val="es-MX"/>
        </w:rPr>
        <w:t xml:space="preserve"> La</w:t>
      </w:r>
      <w:r w:rsidRPr="003B3055">
        <w:rPr>
          <w:rFonts w:ascii="Bookman Old Style" w:hAnsi="Bookman Old Style" w:cs="Arial"/>
          <w:lang w:val="es-ES"/>
        </w:rPr>
        <w:t xml:space="preserve"> democracia paritaria no s</w:t>
      </w:r>
      <w:r>
        <w:rPr>
          <w:rFonts w:ascii="Bookman Old Style" w:hAnsi="Bookman Old Style" w:cs="Arial"/>
          <w:lang w:val="es-ES"/>
        </w:rPr>
        <w:t>ó</w:t>
      </w:r>
      <w:r w:rsidRPr="003B3055">
        <w:rPr>
          <w:rFonts w:ascii="Bookman Old Style" w:hAnsi="Bookman Old Style" w:cs="Arial"/>
          <w:lang w:val="es-ES"/>
        </w:rPr>
        <w:t>lo debería ser entendida como la igualdad entre hombres y mujeres en el ámbito público-político a través de un sistema democrático representativo, sino también en el mundo de la vida y su propia cosmovisión de la complementariedad entre hombres y mujeres a través de la</w:t>
      </w:r>
      <w:r w:rsidRPr="003B3055">
        <w:rPr>
          <w:rFonts w:ascii="Bookman Old Style" w:hAnsi="Bookman Old Style" w:cs="Arial"/>
          <w:lang w:val="es-MX"/>
        </w:rPr>
        <w:t xml:space="preserve"> democracia intercultural.</w:t>
      </w:r>
    </w:p>
    <w:p w14:paraId="67FAE8EE" w14:textId="77777777" w:rsidR="007753D9" w:rsidRPr="003B3055" w:rsidRDefault="007753D9" w:rsidP="007753D9">
      <w:pPr>
        <w:jc w:val="both"/>
        <w:rPr>
          <w:rFonts w:ascii="Bookman Old Style" w:hAnsi="Bookman Old Style" w:cs="Arial"/>
        </w:rPr>
      </w:pPr>
    </w:p>
    <w:p w14:paraId="1FC6DA50" w14:textId="0101E0A4" w:rsidR="007753D9" w:rsidRPr="003B3055" w:rsidRDefault="007753D9" w:rsidP="007753D9">
      <w:pPr>
        <w:jc w:val="both"/>
        <w:rPr>
          <w:rFonts w:ascii="Bookman Old Style" w:hAnsi="Bookman Old Style" w:cs="Arial"/>
        </w:rPr>
      </w:pPr>
      <w:r w:rsidRPr="003B3055">
        <w:rPr>
          <w:rFonts w:ascii="Bookman Old Style" w:hAnsi="Bookman Old Style" w:cs="Arial"/>
          <w:b/>
          <w:bCs/>
        </w:rPr>
        <w:t>Párrafo 50</w:t>
      </w:r>
      <w:r w:rsidRPr="003B3055">
        <w:rPr>
          <w:rFonts w:ascii="Bookman Old Style" w:hAnsi="Bookman Old Style" w:cs="Arial"/>
        </w:rPr>
        <w:t xml:space="preserve">: Es importante reconocer a las mujeres y </w:t>
      </w:r>
      <w:r>
        <w:rPr>
          <w:rFonts w:ascii="Bookman Old Style" w:hAnsi="Bookman Old Style" w:cs="Arial"/>
        </w:rPr>
        <w:t xml:space="preserve">a </w:t>
      </w:r>
      <w:r w:rsidRPr="003B3055">
        <w:rPr>
          <w:rFonts w:ascii="Bookman Old Style" w:hAnsi="Bookman Old Style" w:cs="Arial"/>
        </w:rPr>
        <w:t xml:space="preserve">las niñas indígenas como </w:t>
      </w:r>
      <w:r w:rsidRPr="00CE708D">
        <w:rPr>
          <w:rFonts w:ascii="Bookman Old Style" w:hAnsi="Bookman Old Style" w:cs="Arial"/>
          <w:i/>
          <w:iCs/>
          <w:u w:val="single"/>
        </w:rPr>
        <w:t>sujetos políticos</w:t>
      </w:r>
      <w:r w:rsidRPr="003B3055">
        <w:rPr>
          <w:rFonts w:ascii="Bookman Old Style" w:hAnsi="Bookman Old Style" w:cs="Arial"/>
        </w:rPr>
        <w:t xml:space="preserve">. Por ejemplo, en la historia boliviana, las mujeres han tenido un papel central en la recuperación de la democracia a fines de los años 70, en el proceso de la Asamblea Constituyente durante el primer decenio de este siglo </w:t>
      </w:r>
      <w:r>
        <w:rPr>
          <w:rFonts w:ascii="Bookman Old Style" w:hAnsi="Bookman Old Style" w:cs="Arial"/>
        </w:rPr>
        <w:t xml:space="preserve">y </w:t>
      </w:r>
      <w:r w:rsidRPr="003B3055">
        <w:rPr>
          <w:rFonts w:ascii="Bookman Old Style" w:hAnsi="Bookman Old Style" w:cs="Arial"/>
        </w:rPr>
        <w:t xml:space="preserve">también en </w:t>
      </w:r>
      <w:r>
        <w:rPr>
          <w:rFonts w:ascii="Bookman Old Style" w:hAnsi="Bookman Old Style" w:cs="Arial"/>
        </w:rPr>
        <w:t xml:space="preserve">el año </w:t>
      </w:r>
      <w:r w:rsidRPr="003B3055">
        <w:rPr>
          <w:rFonts w:ascii="Bookman Old Style" w:hAnsi="Bookman Old Style" w:cs="Arial"/>
        </w:rPr>
        <w:t>2020</w:t>
      </w:r>
      <w:r w:rsidR="000B54CC">
        <w:rPr>
          <w:rFonts w:ascii="Bookman Old Style" w:hAnsi="Bookman Old Style" w:cs="Arial"/>
        </w:rPr>
        <w:t>, durante la recuperación de la democracia</w:t>
      </w:r>
      <w:r w:rsidRPr="003B3055">
        <w:rPr>
          <w:rFonts w:ascii="Bookman Old Style" w:hAnsi="Bookman Old Style" w:cs="Arial"/>
        </w:rPr>
        <w:t xml:space="preserve">. Las mujeres y las niñas indígenas son sujetos de protección, pero también son sujetos políticos con capacidad de </w:t>
      </w:r>
      <w:r>
        <w:rPr>
          <w:rFonts w:ascii="Bookman Old Style" w:hAnsi="Bookman Old Style" w:cs="Arial"/>
        </w:rPr>
        <w:t>incidencia</w:t>
      </w:r>
      <w:r w:rsidRPr="003B3055">
        <w:rPr>
          <w:rFonts w:ascii="Bookman Old Style" w:hAnsi="Bookman Old Style" w:cs="Arial"/>
        </w:rPr>
        <w:t>; es importante que la Recomendación reconozca esa condición.</w:t>
      </w:r>
    </w:p>
    <w:p w14:paraId="2AB1FF76" w14:textId="77777777" w:rsidR="007753D9" w:rsidRPr="003B3055" w:rsidRDefault="007753D9" w:rsidP="007753D9">
      <w:pPr>
        <w:jc w:val="both"/>
        <w:rPr>
          <w:rFonts w:ascii="Bookman Old Style" w:hAnsi="Bookman Old Style" w:cs="Arial"/>
        </w:rPr>
      </w:pPr>
    </w:p>
    <w:p w14:paraId="09A227E3" w14:textId="77777777" w:rsidR="007753D9" w:rsidRPr="00887F4B" w:rsidRDefault="007753D9" w:rsidP="007753D9">
      <w:pPr>
        <w:jc w:val="both"/>
        <w:rPr>
          <w:rFonts w:ascii="Bookman Old Style" w:hAnsi="Bookman Old Style" w:cs="Arial"/>
        </w:rPr>
      </w:pPr>
      <w:r w:rsidRPr="003B3055">
        <w:rPr>
          <w:rFonts w:ascii="Bookman Old Style" w:hAnsi="Bookman Old Style" w:cs="Arial"/>
          <w:b/>
          <w:bCs/>
        </w:rPr>
        <w:t>Párrafo 52:</w:t>
      </w:r>
      <w:r w:rsidRPr="003B3055">
        <w:rPr>
          <w:rFonts w:ascii="Bookman Old Style" w:hAnsi="Bookman Old Style" w:cs="Arial"/>
        </w:rPr>
        <w:t xml:space="preserve"> En el inciso E) se sugiere incluir después de “cargos políticos…” </w:t>
      </w:r>
      <w:r w:rsidRPr="003B3055">
        <w:rPr>
          <w:rFonts w:ascii="Bookman Old Style" w:hAnsi="Bookman Old Style" w:cs="Arial"/>
          <w:i/>
          <w:iCs/>
        </w:rPr>
        <w:t xml:space="preserve">y </w:t>
      </w:r>
      <w:r w:rsidRPr="00CE708D">
        <w:rPr>
          <w:rFonts w:ascii="Bookman Old Style" w:hAnsi="Bookman Old Style" w:cs="Arial"/>
          <w:i/>
          <w:iCs/>
          <w:u w:val="single"/>
        </w:rPr>
        <w:t>espacios de toma de decisión.</w:t>
      </w:r>
    </w:p>
    <w:p w14:paraId="2CE0F706" w14:textId="77777777" w:rsidR="007753D9" w:rsidRPr="003B3055" w:rsidRDefault="007753D9" w:rsidP="007753D9">
      <w:pPr>
        <w:jc w:val="both"/>
        <w:rPr>
          <w:rFonts w:ascii="Bookman Old Style" w:hAnsi="Bookman Old Style" w:cs="Arial"/>
          <w:b/>
          <w:bCs/>
        </w:rPr>
      </w:pPr>
    </w:p>
    <w:p w14:paraId="4D716690" w14:textId="77777777" w:rsidR="007753D9" w:rsidRPr="003B3055" w:rsidRDefault="007753D9" w:rsidP="007753D9">
      <w:pPr>
        <w:jc w:val="both"/>
        <w:rPr>
          <w:rFonts w:ascii="Bookman Old Style" w:hAnsi="Bookman Old Style" w:cs="Arial"/>
        </w:rPr>
      </w:pPr>
      <w:r w:rsidRPr="003B3055">
        <w:rPr>
          <w:rFonts w:ascii="Bookman Old Style" w:hAnsi="Bookman Old Style" w:cs="Arial"/>
          <w:b/>
          <w:bCs/>
        </w:rPr>
        <w:t xml:space="preserve">Párrafo 56: </w:t>
      </w:r>
      <w:r w:rsidRPr="003B3055">
        <w:rPr>
          <w:rFonts w:ascii="Bookman Old Style" w:hAnsi="Bookman Old Style" w:cs="Arial"/>
        </w:rPr>
        <w:t xml:space="preserve">Se </w:t>
      </w:r>
      <w:r>
        <w:rPr>
          <w:rFonts w:ascii="Bookman Old Style" w:hAnsi="Bookman Old Style" w:cs="Arial"/>
        </w:rPr>
        <w:t>sugiere incluir un inciso con la siguiente redacción</w:t>
      </w:r>
      <w:r w:rsidRPr="003B3055">
        <w:rPr>
          <w:rFonts w:ascii="Bookman Old Style" w:hAnsi="Bookman Old Style" w:cs="Arial"/>
        </w:rPr>
        <w:t xml:space="preserve">: </w:t>
      </w:r>
      <w:r>
        <w:rPr>
          <w:rFonts w:ascii="Bookman Old Style" w:hAnsi="Bookman Old Style" w:cs="Arial"/>
        </w:rPr>
        <w:t>“</w:t>
      </w:r>
      <w:r w:rsidRPr="003B3055">
        <w:rPr>
          <w:rFonts w:ascii="Bookman Old Style" w:hAnsi="Bookman Old Style" w:cs="Arial"/>
        </w:rPr>
        <w:t>Promover y crear políticas</w:t>
      </w:r>
      <w:r>
        <w:rPr>
          <w:rFonts w:ascii="Bookman Old Style" w:hAnsi="Bookman Old Style" w:cs="Arial"/>
        </w:rPr>
        <w:t xml:space="preserve"> públicas</w:t>
      </w:r>
      <w:r w:rsidRPr="003B3055">
        <w:rPr>
          <w:rFonts w:ascii="Bookman Old Style" w:hAnsi="Bookman Old Style" w:cs="Arial"/>
        </w:rPr>
        <w:t xml:space="preserve"> para evitar la deserción escolar, combatir el analfabetismo, y crear sistemas/modelos educativos gratuitos que contemplen </w:t>
      </w:r>
      <w:r>
        <w:rPr>
          <w:rFonts w:ascii="Bookman Old Style" w:hAnsi="Bookman Old Style" w:cs="Arial"/>
        </w:rPr>
        <w:t xml:space="preserve">los </w:t>
      </w:r>
      <w:r w:rsidRPr="003B3055">
        <w:rPr>
          <w:rFonts w:ascii="Bookman Old Style" w:hAnsi="Bookman Old Style" w:cs="Arial"/>
        </w:rPr>
        <w:t xml:space="preserve">conocimientos, </w:t>
      </w:r>
      <w:r>
        <w:rPr>
          <w:rFonts w:ascii="Bookman Old Style" w:hAnsi="Bookman Old Style" w:cs="Arial"/>
        </w:rPr>
        <w:t xml:space="preserve">la </w:t>
      </w:r>
      <w:r w:rsidRPr="003B3055">
        <w:rPr>
          <w:rFonts w:ascii="Bookman Old Style" w:hAnsi="Bookman Old Style" w:cs="Arial"/>
        </w:rPr>
        <w:t xml:space="preserve">cultura y </w:t>
      </w:r>
      <w:r>
        <w:rPr>
          <w:rFonts w:ascii="Bookman Old Style" w:hAnsi="Bookman Old Style" w:cs="Arial"/>
        </w:rPr>
        <w:t xml:space="preserve">las </w:t>
      </w:r>
      <w:r w:rsidRPr="003B3055">
        <w:rPr>
          <w:rFonts w:ascii="Bookman Old Style" w:hAnsi="Bookman Old Style" w:cs="Arial"/>
        </w:rPr>
        <w:t>tradiciones indígenas</w:t>
      </w:r>
      <w:r>
        <w:rPr>
          <w:rFonts w:ascii="Bookman Old Style" w:hAnsi="Bookman Old Style" w:cs="Arial"/>
        </w:rPr>
        <w:t>”</w:t>
      </w:r>
      <w:r w:rsidRPr="003B3055">
        <w:rPr>
          <w:rFonts w:ascii="Bookman Old Style" w:hAnsi="Bookman Old Style" w:cs="Arial"/>
        </w:rPr>
        <w:t>.</w:t>
      </w:r>
    </w:p>
    <w:p w14:paraId="127883CC" w14:textId="77777777" w:rsidR="007753D9" w:rsidRDefault="007753D9" w:rsidP="007753D9">
      <w:pPr>
        <w:jc w:val="both"/>
        <w:rPr>
          <w:rFonts w:ascii="Bookman Old Style" w:hAnsi="Bookman Old Style" w:cs="Arial"/>
        </w:rPr>
      </w:pPr>
    </w:p>
    <w:p w14:paraId="3464E8A6" w14:textId="77777777" w:rsidR="007753D9" w:rsidRPr="003B3055" w:rsidRDefault="007753D9" w:rsidP="007753D9">
      <w:pPr>
        <w:jc w:val="both"/>
        <w:rPr>
          <w:rFonts w:ascii="Bookman Old Style" w:hAnsi="Bookman Old Style" w:cs="Arial"/>
        </w:rPr>
      </w:pPr>
      <w:r w:rsidRPr="003B3055">
        <w:rPr>
          <w:rFonts w:ascii="Bookman Old Style" w:hAnsi="Bookman Old Style" w:cs="Arial"/>
        </w:rPr>
        <w:t xml:space="preserve">En la experiencia </w:t>
      </w:r>
      <w:r>
        <w:rPr>
          <w:rFonts w:ascii="Bookman Old Style" w:hAnsi="Bookman Old Style" w:cs="Arial"/>
        </w:rPr>
        <w:t>boliviana</w:t>
      </w:r>
      <w:r w:rsidRPr="003B3055">
        <w:rPr>
          <w:rFonts w:ascii="Bookman Old Style" w:hAnsi="Bookman Old Style" w:cs="Arial"/>
        </w:rPr>
        <w:t xml:space="preserve">, se ha creado el bono </w:t>
      </w:r>
      <w:r w:rsidRPr="003B3055">
        <w:rPr>
          <w:rFonts w:ascii="Bookman Old Style" w:hAnsi="Bookman Old Style" w:cs="Arial"/>
          <w:i/>
          <w:iCs/>
        </w:rPr>
        <w:t>Juancito Pinto</w:t>
      </w:r>
      <w:r w:rsidRPr="003B3055">
        <w:rPr>
          <w:rFonts w:ascii="Bookman Old Style" w:hAnsi="Bookman Old Style" w:cs="Arial"/>
        </w:rPr>
        <w:t xml:space="preserve"> </w:t>
      </w:r>
      <w:r>
        <w:rPr>
          <w:rFonts w:ascii="Bookman Old Style" w:hAnsi="Bookman Old Style" w:cs="Arial"/>
        </w:rPr>
        <w:t>(entrega directa de recursos</w:t>
      </w:r>
      <w:r w:rsidRPr="0070328D">
        <w:rPr>
          <w:rFonts w:ascii="Bookman Old Style" w:hAnsi="Bookman Old Style" w:cs="Arial"/>
        </w:rPr>
        <w:t xml:space="preserve"> </w:t>
      </w:r>
      <w:r w:rsidRPr="003B3055">
        <w:rPr>
          <w:rFonts w:ascii="Bookman Old Style" w:hAnsi="Bookman Old Style" w:cs="Arial"/>
        </w:rPr>
        <w:t>a niñas y niños en edad escolar</w:t>
      </w:r>
      <w:r>
        <w:rPr>
          <w:rFonts w:ascii="Bookman Old Style" w:hAnsi="Bookman Old Style" w:cs="Arial"/>
        </w:rPr>
        <w:t xml:space="preserve">) </w:t>
      </w:r>
      <w:r w:rsidRPr="003B3055">
        <w:rPr>
          <w:rFonts w:ascii="Bookman Old Style" w:hAnsi="Bookman Old Style" w:cs="Arial"/>
        </w:rPr>
        <w:t xml:space="preserve">con el objetivo de reducir la deserción escolar y ha tenido un éxito significado desde su implementación en </w:t>
      </w:r>
      <w:r>
        <w:rPr>
          <w:rFonts w:ascii="Bookman Old Style" w:hAnsi="Bookman Old Style" w:cs="Arial"/>
        </w:rPr>
        <w:t xml:space="preserve">el año </w:t>
      </w:r>
      <w:r w:rsidRPr="003B3055">
        <w:rPr>
          <w:rFonts w:ascii="Bookman Old Style" w:hAnsi="Bookman Old Style" w:cs="Arial"/>
        </w:rPr>
        <w:t xml:space="preserve">2006. Asimismo, se aprobó la Ley </w:t>
      </w:r>
      <w:proofErr w:type="spellStart"/>
      <w:r w:rsidRPr="003B3055">
        <w:rPr>
          <w:rFonts w:ascii="Bookman Old Style" w:hAnsi="Bookman Old Style" w:cs="Arial"/>
        </w:rPr>
        <w:t>Aveliño</w:t>
      </w:r>
      <w:proofErr w:type="spellEnd"/>
      <w:r w:rsidRPr="003B3055">
        <w:rPr>
          <w:rFonts w:ascii="Bookman Old Style" w:hAnsi="Bookman Old Style" w:cs="Arial"/>
        </w:rPr>
        <w:t xml:space="preserve"> </w:t>
      </w:r>
      <w:proofErr w:type="spellStart"/>
      <w:r w:rsidRPr="003B3055">
        <w:rPr>
          <w:rFonts w:ascii="Bookman Old Style" w:hAnsi="Bookman Old Style" w:cs="Arial"/>
        </w:rPr>
        <w:t>Sinañi</w:t>
      </w:r>
      <w:proofErr w:type="spellEnd"/>
      <w:r w:rsidRPr="003B3055">
        <w:rPr>
          <w:rFonts w:ascii="Bookman Old Style" w:hAnsi="Bookman Old Style" w:cs="Arial"/>
        </w:rPr>
        <w:t xml:space="preserve"> – Elizardo Pérez, que establece que toda persona tiene derecho a recibir una educación en todos los niveles de manera universal, productiva, gratuita, integral e intercultural, sin discriminación; </w:t>
      </w:r>
      <w:r>
        <w:rPr>
          <w:rFonts w:ascii="Bookman Old Style" w:hAnsi="Bookman Old Style" w:cs="Arial"/>
        </w:rPr>
        <w:t xml:space="preserve">instituyendo además </w:t>
      </w:r>
      <w:r w:rsidRPr="003B3055">
        <w:rPr>
          <w:rFonts w:ascii="Bookman Old Style" w:hAnsi="Bookman Old Style" w:cs="Arial"/>
        </w:rPr>
        <w:t>que la educación constituye una función suprema y primera responsabilidad financiera del Estado.</w:t>
      </w:r>
      <w:r>
        <w:rPr>
          <w:rFonts w:ascii="Bookman Old Style" w:hAnsi="Bookman Old Style" w:cs="Arial"/>
        </w:rPr>
        <w:t xml:space="preserve"> Además, se ha implementado de manera exitosa un enfoque de educación </w:t>
      </w:r>
      <w:proofErr w:type="spellStart"/>
      <w:r>
        <w:rPr>
          <w:rFonts w:ascii="Bookman Old Style" w:hAnsi="Bookman Old Style" w:cs="Arial"/>
        </w:rPr>
        <w:t>intracultural</w:t>
      </w:r>
      <w:proofErr w:type="spellEnd"/>
      <w:r>
        <w:rPr>
          <w:rFonts w:ascii="Bookman Old Style" w:hAnsi="Bookman Old Style" w:cs="Arial"/>
        </w:rPr>
        <w:t>, intercultural y plurilingüe, que se ha materializado en la elaboración e implementación de los currículos regionalizados acorde al contexto de los pueblos indígenas.</w:t>
      </w:r>
    </w:p>
    <w:p w14:paraId="1E3E0358" w14:textId="77777777" w:rsidR="007753D9" w:rsidRPr="003B3055" w:rsidRDefault="007753D9" w:rsidP="007753D9">
      <w:pPr>
        <w:jc w:val="both"/>
        <w:rPr>
          <w:rFonts w:ascii="Bookman Old Style" w:hAnsi="Bookman Old Style" w:cs="Arial"/>
          <w:i/>
          <w:iCs/>
        </w:rPr>
      </w:pPr>
    </w:p>
    <w:p w14:paraId="4C13150B" w14:textId="77777777" w:rsidR="007753D9" w:rsidRPr="003B3055" w:rsidRDefault="007753D9" w:rsidP="007753D9">
      <w:pPr>
        <w:jc w:val="both"/>
        <w:rPr>
          <w:rFonts w:ascii="Bookman Old Style" w:hAnsi="Bookman Old Style" w:cs="Arial"/>
        </w:rPr>
      </w:pPr>
      <w:r w:rsidRPr="003B3055">
        <w:rPr>
          <w:rFonts w:ascii="Bookman Old Style" w:hAnsi="Bookman Old Style" w:cs="Arial"/>
          <w:b/>
          <w:bCs/>
        </w:rPr>
        <w:lastRenderedPageBreak/>
        <w:t>Párrafo 57- 58:</w:t>
      </w:r>
      <w:r w:rsidRPr="003B3055">
        <w:rPr>
          <w:rFonts w:ascii="Bookman Old Style" w:hAnsi="Bookman Old Style" w:cs="Arial"/>
        </w:rPr>
        <w:t xml:space="preserve"> se sugiere reemplazar en el P57 “espíritu empresarial” por </w:t>
      </w:r>
      <w:r w:rsidRPr="00CE708D">
        <w:rPr>
          <w:rFonts w:ascii="Bookman Old Style" w:hAnsi="Bookman Old Style" w:cs="Arial"/>
          <w:i/>
          <w:iCs/>
          <w:u w:val="single"/>
        </w:rPr>
        <w:t>empoderamiento económico</w:t>
      </w:r>
      <w:r w:rsidRPr="003B3055">
        <w:rPr>
          <w:rFonts w:ascii="Bookman Old Style" w:hAnsi="Bookman Old Style" w:cs="Arial"/>
        </w:rPr>
        <w:t xml:space="preserve">. </w:t>
      </w:r>
    </w:p>
    <w:p w14:paraId="131B2B2E" w14:textId="77777777" w:rsidR="007753D9" w:rsidRDefault="007753D9" w:rsidP="007753D9">
      <w:pPr>
        <w:jc w:val="both"/>
        <w:rPr>
          <w:rFonts w:ascii="Bookman Old Style" w:hAnsi="Bookman Old Style" w:cs="Arial"/>
        </w:rPr>
      </w:pPr>
    </w:p>
    <w:p w14:paraId="14543192" w14:textId="6EC21003" w:rsidR="007753D9" w:rsidRPr="003B3055" w:rsidRDefault="007753D9" w:rsidP="007753D9">
      <w:pPr>
        <w:jc w:val="both"/>
        <w:rPr>
          <w:rFonts w:ascii="Bookman Old Style" w:hAnsi="Bookman Old Style" w:cs="Arial"/>
        </w:rPr>
      </w:pPr>
      <w:r w:rsidRPr="003B3055">
        <w:rPr>
          <w:rFonts w:ascii="Bookman Old Style" w:hAnsi="Bookman Old Style" w:cs="Arial"/>
        </w:rPr>
        <w:t xml:space="preserve">Asimismo, se sugiere incluir </w:t>
      </w:r>
      <w:r>
        <w:rPr>
          <w:rFonts w:ascii="Bookman Old Style" w:hAnsi="Bookman Old Style" w:cs="Arial"/>
        </w:rPr>
        <w:t xml:space="preserve">en </w:t>
      </w:r>
      <w:r w:rsidRPr="003B3055">
        <w:rPr>
          <w:rFonts w:ascii="Bookman Old Style" w:hAnsi="Bookman Old Style" w:cs="Arial"/>
        </w:rPr>
        <w:t xml:space="preserve">un inciso: </w:t>
      </w:r>
      <w:r>
        <w:rPr>
          <w:rFonts w:ascii="Bookman Old Style" w:hAnsi="Bookman Old Style" w:cs="Arial"/>
        </w:rPr>
        <w:t>“</w:t>
      </w:r>
      <w:r w:rsidRPr="003B3055">
        <w:rPr>
          <w:rFonts w:ascii="Bookman Old Style" w:hAnsi="Bookman Old Style" w:cs="Arial"/>
        </w:rPr>
        <w:t xml:space="preserve">Promover e implementar programas y políticas de acceso a créditos </w:t>
      </w:r>
      <w:r w:rsidR="000B54CC">
        <w:rPr>
          <w:rFonts w:ascii="Bookman Old Style" w:hAnsi="Bookman Old Style" w:cs="Arial"/>
        </w:rPr>
        <w:t xml:space="preserve">para mujeres indígenas </w:t>
      </w:r>
      <w:r w:rsidRPr="003B3055">
        <w:rPr>
          <w:rFonts w:ascii="Bookman Old Style" w:hAnsi="Bookman Old Style" w:cs="Arial"/>
        </w:rPr>
        <w:t>con facilidades de pago para impulsar emprendimientos agropecuarios, manufactureros</w:t>
      </w:r>
      <w:r>
        <w:rPr>
          <w:rFonts w:ascii="Bookman Old Style" w:hAnsi="Bookman Old Style" w:cs="Arial"/>
        </w:rPr>
        <w:t>, de</w:t>
      </w:r>
      <w:r w:rsidRPr="003B3055">
        <w:rPr>
          <w:rFonts w:ascii="Bookman Old Style" w:hAnsi="Bookman Old Style" w:cs="Arial"/>
        </w:rPr>
        <w:t xml:space="preserve"> turismo, entre otros</w:t>
      </w:r>
      <w:r>
        <w:rPr>
          <w:rFonts w:ascii="Bookman Old Style" w:hAnsi="Bookman Old Style" w:cs="Arial"/>
        </w:rPr>
        <w:t>”</w:t>
      </w:r>
      <w:r w:rsidRPr="003B3055">
        <w:rPr>
          <w:rFonts w:ascii="Bookman Old Style" w:hAnsi="Bookman Old Style" w:cs="Arial"/>
        </w:rPr>
        <w:t xml:space="preserve">.  </w:t>
      </w:r>
    </w:p>
    <w:p w14:paraId="7CFE67CE" w14:textId="77777777" w:rsidR="007753D9" w:rsidRPr="003B3055" w:rsidRDefault="007753D9" w:rsidP="007753D9">
      <w:pPr>
        <w:jc w:val="both"/>
        <w:rPr>
          <w:rFonts w:ascii="Bookman Old Style" w:hAnsi="Bookman Old Style" w:cs="Arial"/>
          <w:i/>
          <w:iCs/>
        </w:rPr>
      </w:pPr>
      <w:r w:rsidRPr="003B3055">
        <w:rPr>
          <w:rFonts w:ascii="Bookman Old Style" w:hAnsi="Bookman Old Style" w:cs="Arial"/>
        </w:rPr>
        <w:t xml:space="preserve"> </w:t>
      </w:r>
      <w:r w:rsidRPr="003B3055">
        <w:rPr>
          <w:rFonts w:ascii="Bookman Old Style" w:hAnsi="Bookman Old Style" w:cs="Arial"/>
          <w:i/>
          <w:iCs/>
        </w:rPr>
        <w:t xml:space="preserve"> </w:t>
      </w:r>
    </w:p>
    <w:p w14:paraId="46E14BC3" w14:textId="77777777" w:rsidR="007753D9" w:rsidRPr="003B3055" w:rsidRDefault="007753D9" w:rsidP="007753D9">
      <w:pPr>
        <w:jc w:val="both"/>
        <w:rPr>
          <w:rFonts w:ascii="Bookman Old Style" w:hAnsi="Bookman Old Style" w:cs="Arial"/>
          <w:lang w:val="es-ES"/>
        </w:rPr>
      </w:pPr>
      <w:r w:rsidRPr="003B3055">
        <w:rPr>
          <w:rFonts w:ascii="Bookman Old Style" w:hAnsi="Bookman Old Style" w:cs="Arial"/>
          <w:b/>
          <w:bCs/>
        </w:rPr>
        <w:t>Párrafo 61:</w:t>
      </w:r>
      <w:r w:rsidRPr="003B3055">
        <w:rPr>
          <w:rFonts w:ascii="Bookman Old Style" w:hAnsi="Bookman Old Style" w:cs="Arial"/>
        </w:rPr>
        <w:t xml:space="preserve"> Consideramos fundamental </w:t>
      </w:r>
      <w:r w:rsidRPr="003B3055">
        <w:rPr>
          <w:rFonts w:ascii="Bookman Old Style" w:hAnsi="Bookman Old Style" w:cs="Arial"/>
          <w:lang w:val="es-ES"/>
        </w:rPr>
        <w:t xml:space="preserve">hacer énfasis en el </w:t>
      </w:r>
      <w:r w:rsidRPr="003B3055">
        <w:rPr>
          <w:rFonts w:ascii="Bookman Old Style" w:hAnsi="Bookman Old Style" w:cs="Arial"/>
        </w:rPr>
        <w:t>respeto</w:t>
      </w:r>
      <w:r w:rsidRPr="003B3055">
        <w:rPr>
          <w:rFonts w:ascii="Bookman Old Style" w:hAnsi="Bookman Old Style" w:cs="Arial"/>
          <w:lang w:val="es-ES"/>
        </w:rPr>
        <w:t xml:space="preserve"> a</w:t>
      </w:r>
      <w:r w:rsidRPr="003B3055">
        <w:rPr>
          <w:rFonts w:ascii="Bookman Old Style" w:hAnsi="Bookman Old Style" w:cs="Arial"/>
        </w:rPr>
        <w:t xml:space="preserve"> las expresiones, prácticas culturales, cosmovisiones, costumbres y tradiciones de los pueblos ind</w:t>
      </w:r>
      <w:r>
        <w:rPr>
          <w:rFonts w:ascii="Bookman Old Style" w:hAnsi="Bookman Old Style" w:cs="Arial"/>
        </w:rPr>
        <w:t>í</w:t>
      </w:r>
      <w:r w:rsidRPr="003B3055">
        <w:rPr>
          <w:rFonts w:ascii="Bookman Old Style" w:hAnsi="Bookman Old Style" w:cs="Arial"/>
        </w:rPr>
        <w:t>g</w:t>
      </w:r>
      <w:r>
        <w:rPr>
          <w:rFonts w:ascii="Bookman Old Style" w:hAnsi="Bookman Old Style" w:cs="Arial"/>
        </w:rPr>
        <w:t>enas, y profundizar la reflexió</w:t>
      </w:r>
      <w:r w:rsidRPr="003B3055">
        <w:rPr>
          <w:rFonts w:ascii="Bookman Old Style" w:hAnsi="Bookman Old Style" w:cs="Arial"/>
        </w:rPr>
        <w:t>n sobre las formas de reparar la p</w:t>
      </w:r>
      <w:r>
        <w:rPr>
          <w:rFonts w:ascii="Bookman Old Style" w:hAnsi="Bookman Old Style" w:cs="Arial"/>
        </w:rPr>
        <w:t>é</w:t>
      </w:r>
      <w:r w:rsidRPr="003B3055">
        <w:rPr>
          <w:rFonts w:ascii="Bookman Old Style" w:hAnsi="Bookman Old Style" w:cs="Arial"/>
        </w:rPr>
        <w:t>rdida o el da</w:t>
      </w:r>
      <w:r>
        <w:rPr>
          <w:rFonts w:ascii="Bookman Old Style" w:hAnsi="Bookman Old Style" w:cs="Arial"/>
        </w:rPr>
        <w:t>ñ</w:t>
      </w:r>
      <w:r w:rsidRPr="003B3055">
        <w:rPr>
          <w:rFonts w:ascii="Bookman Old Style" w:hAnsi="Bookman Old Style" w:cs="Arial"/>
        </w:rPr>
        <w:t>o del patrimonio cultural de estos.</w:t>
      </w:r>
      <w:r w:rsidRPr="003B3055">
        <w:rPr>
          <w:rFonts w:ascii="Bookman Old Style" w:hAnsi="Bookman Old Style" w:cs="Arial"/>
          <w:lang w:val="es-ES"/>
        </w:rPr>
        <w:t xml:space="preserve"> </w:t>
      </w:r>
      <w:r w:rsidRPr="003B3055">
        <w:rPr>
          <w:rFonts w:ascii="Bookman Old Style" w:hAnsi="Bookman Old Style" w:cs="Arial"/>
        </w:rPr>
        <w:t xml:space="preserve">Lastimosamente, la pandemia del COVID-19 ha exacerbado aún más la desigualdad y situación de vulnerabilidad de los pueblos </w:t>
      </w:r>
      <w:r>
        <w:rPr>
          <w:rFonts w:ascii="Bookman Old Style" w:hAnsi="Bookman Old Style" w:cs="Arial"/>
        </w:rPr>
        <w:t>indígenas</w:t>
      </w:r>
      <w:r w:rsidRPr="003B3055">
        <w:rPr>
          <w:rFonts w:ascii="Bookman Old Style" w:hAnsi="Bookman Old Style" w:cs="Arial"/>
          <w:lang w:val="es-ES"/>
        </w:rPr>
        <w:t>, siendo exponencialmente diferenciado para las mujeres y niñas indígenas.</w:t>
      </w:r>
      <w:r w:rsidRPr="003B3055">
        <w:rPr>
          <w:rFonts w:ascii="Bookman Old Style" w:hAnsi="Bookman Old Style" w:cs="Arial"/>
        </w:rPr>
        <w:t xml:space="preserve"> </w:t>
      </w:r>
      <w:r w:rsidRPr="003B3055">
        <w:rPr>
          <w:rFonts w:ascii="Bookman Old Style" w:hAnsi="Bookman Old Style" w:cs="Arial"/>
          <w:lang w:val="es-ES"/>
        </w:rPr>
        <w:t xml:space="preserve">Creemos </w:t>
      </w:r>
      <w:r>
        <w:rPr>
          <w:rFonts w:ascii="Bookman Old Style" w:hAnsi="Bookman Old Style" w:cs="Arial"/>
          <w:lang w:val="es-ES"/>
        </w:rPr>
        <w:t>importante</w:t>
      </w:r>
      <w:r w:rsidRPr="003B3055">
        <w:rPr>
          <w:rFonts w:ascii="Bookman Old Style" w:hAnsi="Bookman Old Style" w:cs="Arial"/>
          <w:lang w:val="es-ES"/>
        </w:rPr>
        <w:t xml:space="preserve"> reforzar el reconocimiento del valor de la medicina tradicional y el rol de las mujeres indígenas, así como recomendar la promoción y resguardo de esta</w:t>
      </w:r>
      <w:r>
        <w:rPr>
          <w:rFonts w:ascii="Bookman Old Style" w:hAnsi="Bookman Old Style" w:cs="Arial"/>
          <w:lang w:val="es-ES"/>
        </w:rPr>
        <w:t>s</w:t>
      </w:r>
      <w:r w:rsidRPr="003B3055">
        <w:rPr>
          <w:rFonts w:ascii="Bookman Old Style" w:hAnsi="Bookman Old Style" w:cs="Arial"/>
          <w:lang w:val="es-ES"/>
        </w:rPr>
        <w:t xml:space="preserve"> práctica</w:t>
      </w:r>
      <w:r>
        <w:rPr>
          <w:rFonts w:ascii="Bookman Old Style" w:hAnsi="Bookman Old Style" w:cs="Arial"/>
          <w:lang w:val="es-ES"/>
        </w:rPr>
        <w:t>s</w:t>
      </w:r>
      <w:r w:rsidRPr="003B3055">
        <w:rPr>
          <w:rFonts w:ascii="Bookman Old Style" w:hAnsi="Bookman Old Style" w:cs="Arial"/>
          <w:lang w:val="es-ES"/>
        </w:rPr>
        <w:t>.</w:t>
      </w:r>
    </w:p>
    <w:p w14:paraId="4C24507B" w14:textId="77777777" w:rsidR="007753D9" w:rsidRPr="003B3055" w:rsidRDefault="007753D9" w:rsidP="007753D9">
      <w:pPr>
        <w:jc w:val="both"/>
        <w:rPr>
          <w:rFonts w:ascii="Bookman Old Style" w:hAnsi="Bookman Old Style" w:cs="Arial"/>
          <w:lang w:val="es-ES"/>
        </w:rPr>
      </w:pPr>
    </w:p>
    <w:p w14:paraId="283053F4" w14:textId="77777777" w:rsidR="007753D9" w:rsidRPr="003B3055" w:rsidRDefault="007753D9" w:rsidP="007753D9">
      <w:pPr>
        <w:jc w:val="both"/>
        <w:rPr>
          <w:rFonts w:ascii="Bookman Old Style" w:hAnsi="Bookman Old Style" w:cs="Arial"/>
          <w:lang w:val="es-ES"/>
        </w:rPr>
      </w:pPr>
      <w:r w:rsidRPr="003B3055">
        <w:rPr>
          <w:rFonts w:ascii="Bookman Old Style" w:hAnsi="Bookman Old Style" w:cs="Arial"/>
          <w:lang w:val="es-ES"/>
        </w:rPr>
        <w:t xml:space="preserve">Se sugiere incluir un inciso en el que se destaque la importancia de promover y reconocer el valor de la medicina tradicional, conocimientos tradicionales como la partería indígena, la espiritualidad y </w:t>
      </w:r>
      <w:r>
        <w:rPr>
          <w:rFonts w:ascii="Bookman Old Style" w:hAnsi="Bookman Old Style" w:cs="Arial"/>
          <w:lang w:val="es-ES"/>
        </w:rPr>
        <w:t>su relación armónica</w:t>
      </w:r>
      <w:r w:rsidRPr="003B3055">
        <w:rPr>
          <w:rFonts w:ascii="Bookman Old Style" w:hAnsi="Bookman Old Style" w:cs="Arial"/>
          <w:lang w:val="es-ES"/>
        </w:rPr>
        <w:t xml:space="preserve"> con la Madre Tierra.</w:t>
      </w:r>
    </w:p>
    <w:p w14:paraId="6111863D" w14:textId="77777777" w:rsidR="007753D9" w:rsidRPr="003B3055" w:rsidRDefault="007753D9" w:rsidP="007753D9">
      <w:pPr>
        <w:jc w:val="both"/>
        <w:rPr>
          <w:rFonts w:ascii="Bookman Old Style" w:hAnsi="Bookman Old Style" w:cs="Arial"/>
          <w:lang w:val="es-ES"/>
        </w:rPr>
      </w:pPr>
    </w:p>
    <w:p w14:paraId="7857C0C0" w14:textId="77777777" w:rsidR="007753D9" w:rsidRPr="003B3055" w:rsidRDefault="007753D9" w:rsidP="007753D9">
      <w:pPr>
        <w:jc w:val="both"/>
        <w:rPr>
          <w:rFonts w:ascii="Bookman Old Style" w:eastAsia="Calibri" w:hAnsi="Bookman Old Style" w:cs="Arial"/>
          <w:b/>
          <w:bCs/>
          <w:color w:val="000000" w:themeColor="text1"/>
        </w:rPr>
      </w:pPr>
      <w:r w:rsidRPr="003B3055">
        <w:rPr>
          <w:rFonts w:ascii="Bookman Old Style" w:hAnsi="Bookman Old Style" w:cs="Arial"/>
          <w:b/>
          <w:bCs/>
          <w:lang w:val="es-ES"/>
        </w:rPr>
        <w:t xml:space="preserve">Párrafo 78:  </w:t>
      </w:r>
    </w:p>
    <w:p w14:paraId="598A89D9" w14:textId="77777777" w:rsidR="007753D9" w:rsidRPr="003B3055" w:rsidRDefault="007753D9" w:rsidP="007753D9">
      <w:pPr>
        <w:jc w:val="both"/>
        <w:rPr>
          <w:rFonts w:ascii="Bookman Old Style" w:eastAsia="Calibri" w:hAnsi="Bookman Old Style" w:cs="Arial"/>
          <w:b/>
          <w:color w:val="000000" w:themeColor="text1"/>
        </w:rPr>
      </w:pPr>
    </w:p>
    <w:p w14:paraId="32D72CAA" w14:textId="77777777" w:rsidR="007753D9" w:rsidRPr="003B3055" w:rsidRDefault="007753D9" w:rsidP="007753D9">
      <w:pPr>
        <w:jc w:val="both"/>
        <w:rPr>
          <w:rFonts w:ascii="Bookman Old Style" w:hAnsi="Bookman Old Style" w:cs="Arial"/>
        </w:rPr>
      </w:pPr>
      <w:r w:rsidRPr="003B3055">
        <w:rPr>
          <w:rFonts w:ascii="Bookman Old Style" w:eastAsia="Times New Roman" w:hAnsi="Bookman Old Style" w:cs="Arial"/>
          <w:lang w:eastAsia="es-BO"/>
        </w:rPr>
        <w:t xml:space="preserve">Se reitera la sugerencia de mencionar </w:t>
      </w:r>
      <w:r w:rsidRPr="003B3055">
        <w:rPr>
          <w:rFonts w:ascii="Bookman Old Style" w:hAnsi="Bookman Old Style" w:cs="Arial"/>
        </w:rPr>
        <w:t xml:space="preserve">la necesidad de dar cumplimiento a compromisos establecidos en acuerdos internacionales como el Acuerdo de París, en cuanto a la cooperación para el desarrollo de medidas para la mitigación y adaptación al cambio climático </w:t>
      </w:r>
      <w:r>
        <w:rPr>
          <w:rFonts w:ascii="Bookman Old Style" w:hAnsi="Bookman Old Style" w:cs="Arial"/>
        </w:rPr>
        <w:t>en</w:t>
      </w:r>
      <w:r w:rsidRPr="003B3055">
        <w:rPr>
          <w:rFonts w:ascii="Bookman Old Style" w:hAnsi="Bookman Old Style" w:cs="Arial"/>
        </w:rPr>
        <w:t xml:space="preserve"> países en desarrollo.</w:t>
      </w:r>
    </w:p>
    <w:p w14:paraId="03D93FA4" w14:textId="77777777" w:rsidR="007753D9" w:rsidRPr="003B3055" w:rsidRDefault="007753D9" w:rsidP="007753D9">
      <w:pPr>
        <w:jc w:val="both"/>
        <w:rPr>
          <w:rFonts w:ascii="Bookman Old Style" w:hAnsi="Bookman Old Style" w:cs="Arial"/>
        </w:rPr>
      </w:pPr>
    </w:p>
    <w:p w14:paraId="406B2DCD" w14:textId="77777777" w:rsidR="007753D9" w:rsidRPr="003B3055" w:rsidRDefault="007753D9" w:rsidP="007753D9">
      <w:pPr>
        <w:jc w:val="both"/>
        <w:rPr>
          <w:rFonts w:ascii="Bookman Old Style" w:hAnsi="Bookman Old Style" w:cs="Arial"/>
        </w:rPr>
      </w:pPr>
      <w:r w:rsidRPr="003B3055">
        <w:rPr>
          <w:rFonts w:ascii="Bookman Old Style" w:hAnsi="Bookman Old Style" w:cs="Arial"/>
        </w:rPr>
        <w:t xml:space="preserve">Asimismo, en el ámbito tanto de protección de derechos de los pueblos indígenas y la justicia climática, </w:t>
      </w:r>
      <w:r>
        <w:rPr>
          <w:rFonts w:ascii="Bookman Old Style" w:hAnsi="Bookman Old Style" w:cs="Arial"/>
        </w:rPr>
        <w:t>se</w:t>
      </w:r>
      <w:r w:rsidRPr="003B3055">
        <w:rPr>
          <w:rFonts w:ascii="Bookman Old Style" w:hAnsi="Bookman Old Style" w:cs="Arial"/>
        </w:rPr>
        <w:t xml:space="preserve"> deben garantizar</w:t>
      </w:r>
      <w:r>
        <w:rPr>
          <w:rFonts w:ascii="Bookman Old Style" w:hAnsi="Bookman Old Style" w:cs="Arial"/>
        </w:rPr>
        <w:t xml:space="preserve"> la igualdad de derechos</w:t>
      </w:r>
      <w:r w:rsidRPr="003B3055">
        <w:rPr>
          <w:rFonts w:ascii="Bookman Old Style" w:hAnsi="Bookman Old Style" w:cs="Arial"/>
        </w:rPr>
        <w:t xml:space="preserve"> a nivel nacional pero también en espacios de arbitraje internacionales en los que empresas transnacionales tienen gran capacidad y recursos para su defensa a diferenci</w:t>
      </w:r>
      <w:r>
        <w:rPr>
          <w:rFonts w:ascii="Bookman Old Style" w:hAnsi="Bookman Old Style" w:cs="Arial"/>
        </w:rPr>
        <w:t>a de comunidades indígenas y/o E</w:t>
      </w:r>
      <w:r w:rsidRPr="003B3055">
        <w:rPr>
          <w:rFonts w:ascii="Bookman Old Style" w:hAnsi="Bookman Old Style" w:cs="Arial"/>
        </w:rPr>
        <w:t>stados. Por lo que impulsar un instrumento vinculante sobre la regulación de actividades de empresas transnacionales y lo</w:t>
      </w:r>
      <w:r>
        <w:rPr>
          <w:rFonts w:ascii="Bookman Old Style" w:hAnsi="Bookman Old Style" w:cs="Arial"/>
        </w:rPr>
        <w:t xml:space="preserve">s derechos humanos puede constituirse en una herramienta fundamental </w:t>
      </w:r>
      <w:r w:rsidRPr="003B3055">
        <w:rPr>
          <w:rFonts w:ascii="Bookman Old Style" w:hAnsi="Bookman Old Style" w:cs="Arial"/>
        </w:rPr>
        <w:t>que aborde esta problemática.</w:t>
      </w:r>
    </w:p>
    <w:p w14:paraId="6AC8E64A" w14:textId="77777777" w:rsidR="007753D9" w:rsidRPr="003B3055" w:rsidRDefault="007753D9" w:rsidP="007753D9">
      <w:pPr>
        <w:jc w:val="both"/>
        <w:rPr>
          <w:rFonts w:ascii="Bookman Old Style" w:hAnsi="Bookman Old Style" w:cs="Arial"/>
        </w:rPr>
      </w:pPr>
    </w:p>
    <w:p w14:paraId="38379666" w14:textId="77777777" w:rsidR="007753D9" w:rsidRPr="003B3055" w:rsidRDefault="007753D9" w:rsidP="007753D9">
      <w:pPr>
        <w:jc w:val="both"/>
        <w:rPr>
          <w:rFonts w:ascii="Bookman Old Style" w:hAnsi="Bookman Old Style" w:cs="Arial"/>
          <w:b/>
          <w:bCs/>
        </w:rPr>
      </w:pPr>
      <w:r w:rsidRPr="003B3055">
        <w:rPr>
          <w:rFonts w:ascii="Bookman Old Style" w:hAnsi="Bookman Old Style" w:cs="Arial"/>
          <w:b/>
          <w:bCs/>
        </w:rPr>
        <w:t>Párrafo 80:</w:t>
      </w:r>
    </w:p>
    <w:p w14:paraId="4791A816" w14:textId="77777777" w:rsidR="007753D9" w:rsidRPr="003B3055" w:rsidRDefault="007753D9" w:rsidP="007753D9">
      <w:pPr>
        <w:jc w:val="both"/>
        <w:rPr>
          <w:rFonts w:ascii="Bookman Old Style" w:hAnsi="Bookman Old Style" w:cs="Arial"/>
          <w:b/>
          <w:bCs/>
        </w:rPr>
      </w:pPr>
    </w:p>
    <w:p w14:paraId="39EA3673" w14:textId="3EFFB1B5" w:rsidR="007753D9" w:rsidRPr="003B3055" w:rsidRDefault="007753D9" w:rsidP="007753D9">
      <w:pPr>
        <w:jc w:val="both"/>
        <w:rPr>
          <w:rFonts w:ascii="Bookman Old Style" w:hAnsi="Bookman Old Style" w:cs="Arial"/>
        </w:rPr>
      </w:pPr>
      <w:r w:rsidRPr="003B3055">
        <w:rPr>
          <w:rFonts w:ascii="Bookman Old Style" w:hAnsi="Bookman Old Style" w:cs="Arial"/>
        </w:rPr>
        <w:lastRenderedPageBreak/>
        <w:t xml:space="preserve">Tomando en cuenta que la pandemia del </w:t>
      </w:r>
      <w:r>
        <w:rPr>
          <w:rFonts w:ascii="Bookman Old Style" w:hAnsi="Bookman Old Style" w:cs="Arial"/>
        </w:rPr>
        <w:t>COVID</w:t>
      </w:r>
      <w:r w:rsidRPr="003B3055">
        <w:rPr>
          <w:rFonts w:ascii="Bookman Old Style" w:hAnsi="Bookman Old Style" w:cs="Arial"/>
        </w:rPr>
        <w:t xml:space="preserve">-19 ha develado las grandes inequidades y brechas en el acceso a medicamentos, insumos y vacunas entre países desarrollados y en desarrollo, situación que afecta en mayor medida a poblaciones </w:t>
      </w:r>
      <w:r w:rsidR="000B54CC">
        <w:rPr>
          <w:rFonts w:ascii="Bookman Old Style" w:hAnsi="Bookman Old Style" w:cs="Arial"/>
        </w:rPr>
        <w:t>en situación de vulnerabilidad</w:t>
      </w:r>
      <w:r>
        <w:rPr>
          <w:rFonts w:ascii="Bookman Old Style" w:hAnsi="Bookman Old Style" w:cs="Arial"/>
        </w:rPr>
        <w:t>. En este entendido, e</w:t>
      </w:r>
      <w:r w:rsidRPr="003B3055">
        <w:rPr>
          <w:rFonts w:ascii="Bookman Old Style" w:hAnsi="Bookman Old Style" w:cs="Arial"/>
        </w:rPr>
        <w:t>s necesario</w:t>
      </w:r>
      <w:r w:rsidR="000B54CC">
        <w:rPr>
          <w:rFonts w:ascii="Bookman Old Style" w:hAnsi="Bookman Old Style" w:cs="Arial"/>
        </w:rPr>
        <w:t>,</w:t>
      </w:r>
      <w:r>
        <w:rPr>
          <w:rFonts w:ascii="Bookman Old Style" w:hAnsi="Bookman Old Style" w:cs="Arial"/>
        </w:rPr>
        <w:t xml:space="preserve"> </w:t>
      </w:r>
      <w:r w:rsidRPr="003B3055">
        <w:rPr>
          <w:rFonts w:ascii="Bookman Old Style" w:hAnsi="Bookman Old Style" w:cs="Arial"/>
        </w:rPr>
        <w:t xml:space="preserve">además de garantizar un acceso equitativo y oportuno a medicamentos, insumos y vacunas </w:t>
      </w:r>
      <w:r>
        <w:rPr>
          <w:rFonts w:ascii="Bookman Old Style" w:hAnsi="Bookman Old Style" w:cs="Arial"/>
        </w:rPr>
        <w:t>para ellas</w:t>
      </w:r>
      <w:r w:rsidR="000B54CC">
        <w:rPr>
          <w:rFonts w:ascii="Bookman Old Style" w:hAnsi="Bookman Old Style" w:cs="Arial"/>
        </w:rPr>
        <w:t>,</w:t>
      </w:r>
      <w:r w:rsidRPr="003B3055">
        <w:rPr>
          <w:rFonts w:ascii="Bookman Old Style" w:hAnsi="Bookman Old Style" w:cs="Arial"/>
        </w:rPr>
        <w:t xml:space="preserve"> incluir sus necesidades y experiencias </w:t>
      </w:r>
      <w:r>
        <w:rPr>
          <w:rFonts w:ascii="Bookman Old Style" w:hAnsi="Bookman Old Style" w:cs="Arial"/>
        </w:rPr>
        <w:t xml:space="preserve">de </w:t>
      </w:r>
      <w:r w:rsidR="000B54CC">
        <w:rPr>
          <w:rFonts w:ascii="Bookman Old Style" w:hAnsi="Bookman Old Style" w:cs="Arial"/>
        </w:rPr>
        <w:t>di</w:t>
      </w:r>
      <w:r w:rsidR="000B54CC">
        <w:rPr>
          <w:rFonts w:ascii="Bookman Old Style" w:hAnsi="Bookman Old Style" w:cs="Arial"/>
        </w:rPr>
        <w:t>ferentes</w:t>
      </w:r>
      <w:r w:rsidR="000B54CC">
        <w:rPr>
          <w:rFonts w:ascii="Bookman Old Style" w:hAnsi="Bookman Old Style" w:cs="Arial"/>
        </w:rPr>
        <w:t xml:space="preserve"> </w:t>
      </w:r>
      <w:r>
        <w:rPr>
          <w:rFonts w:ascii="Bookman Old Style" w:hAnsi="Bookman Old Style" w:cs="Arial"/>
        </w:rPr>
        <w:t xml:space="preserve">grupos poblacionales </w:t>
      </w:r>
      <w:r w:rsidRPr="003B3055">
        <w:rPr>
          <w:rFonts w:ascii="Bookman Old Style" w:hAnsi="Bookman Old Style" w:cs="Arial"/>
        </w:rPr>
        <w:t>en las distintas decisiones que se tomen en espacios multilaterales. Por ejemplo, en</w:t>
      </w:r>
      <w:r>
        <w:rPr>
          <w:rFonts w:ascii="Bookman Old Style" w:hAnsi="Bookman Old Style" w:cs="Arial"/>
        </w:rPr>
        <w:t xml:space="preserve"> el marco de</w:t>
      </w:r>
      <w:r w:rsidRPr="003B3055">
        <w:rPr>
          <w:rFonts w:ascii="Bookman Old Style" w:hAnsi="Bookman Old Style" w:cs="Arial"/>
        </w:rPr>
        <w:t xml:space="preserve"> la Organizaci</w:t>
      </w:r>
      <w:r>
        <w:rPr>
          <w:rFonts w:ascii="Bookman Old Style" w:hAnsi="Bookman Old Style" w:cs="Arial"/>
        </w:rPr>
        <w:t>ón Mundial de la Salud, se deberían</w:t>
      </w:r>
      <w:r w:rsidRPr="003B3055">
        <w:rPr>
          <w:rFonts w:ascii="Bookman Old Style" w:hAnsi="Bookman Old Style" w:cs="Arial"/>
        </w:rPr>
        <w:t xml:space="preserve"> tomar en cuenta experiencias</w:t>
      </w:r>
      <w:r>
        <w:rPr>
          <w:rFonts w:ascii="Bookman Old Style" w:hAnsi="Bookman Old Style" w:cs="Arial"/>
        </w:rPr>
        <w:t xml:space="preserve"> diversos sectores de la sociedad, como pueden ser la mujeres y niñas indígenas,</w:t>
      </w:r>
      <w:r w:rsidRPr="003B3055">
        <w:rPr>
          <w:rFonts w:ascii="Bookman Old Style" w:hAnsi="Bookman Old Style" w:cs="Arial"/>
        </w:rPr>
        <w:t xml:space="preserve"> durante la negociación de</w:t>
      </w:r>
      <w:r>
        <w:rPr>
          <w:rFonts w:ascii="Bookman Old Style" w:hAnsi="Bookman Old Style" w:cs="Arial"/>
        </w:rPr>
        <w:t xml:space="preserve"> un</w:t>
      </w:r>
      <w:r w:rsidRPr="003B3055">
        <w:rPr>
          <w:rFonts w:ascii="Bookman Old Style" w:hAnsi="Bookman Old Style" w:cs="Arial"/>
        </w:rPr>
        <w:t xml:space="preserve"> posible documento vinculante sobre la preparación y respuesta frente a </w:t>
      </w:r>
      <w:r>
        <w:rPr>
          <w:rFonts w:ascii="Bookman Old Style" w:hAnsi="Bookman Old Style" w:cs="Arial"/>
        </w:rPr>
        <w:t xml:space="preserve">futuras </w:t>
      </w:r>
      <w:r w:rsidRPr="003B3055">
        <w:rPr>
          <w:rFonts w:ascii="Bookman Old Style" w:hAnsi="Bookman Old Style" w:cs="Arial"/>
        </w:rPr>
        <w:t xml:space="preserve">emergencias sanitarias.   </w:t>
      </w:r>
    </w:p>
    <w:p w14:paraId="6937A72D" w14:textId="77777777" w:rsidR="007753D9" w:rsidRPr="003B3055" w:rsidRDefault="007753D9" w:rsidP="007753D9">
      <w:pPr>
        <w:jc w:val="both"/>
        <w:rPr>
          <w:rFonts w:ascii="Bookman Old Style" w:eastAsia="Times New Roman" w:hAnsi="Bookman Old Style" w:cs="Arial"/>
          <w:lang w:eastAsia="es-BO"/>
        </w:rPr>
      </w:pPr>
    </w:p>
    <w:p w14:paraId="17155B8B" w14:textId="77777777" w:rsidR="007753D9" w:rsidRPr="003B3055" w:rsidRDefault="007753D9" w:rsidP="007753D9">
      <w:pPr>
        <w:rPr>
          <w:rFonts w:ascii="Bookman Old Style" w:hAnsi="Bookman Old Style" w:cs="Arial"/>
        </w:rPr>
      </w:pPr>
    </w:p>
    <w:p w14:paraId="0280F63C" w14:textId="77777777" w:rsidR="007753D9" w:rsidRDefault="007753D9"/>
    <w:sectPr w:rsidR="007753D9" w:rsidSect="00501BC1">
      <w:headerReference w:type="default" r:id="rId6"/>
      <w:footerReference w:type="even" r:id="rId7"/>
      <w:footerReference w:type="default" r:id="rId8"/>
      <w:pgSz w:w="12240" w:h="15840"/>
      <w:pgMar w:top="1979" w:right="1467" w:bottom="1814"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73B1B" w14:textId="77777777" w:rsidR="00976A9C" w:rsidRDefault="00976A9C">
      <w:r>
        <w:separator/>
      </w:r>
    </w:p>
  </w:endnote>
  <w:endnote w:type="continuationSeparator" w:id="0">
    <w:p w14:paraId="3F618AED" w14:textId="77777777" w:rsidR="00976A9C" w:rsidRDefault="00976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Roboto Light">
    <w:panose1 w:val="02000000000000000000"/>
    <w:charset w:val="00"/>
    <w:family w:val="auto"/>
    <w:pitch w:val="variable"/>
    <w:sig w:usb0="E00002FF" w:usb1="5000205B" w:usb2="00000020"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432214337"/>
      <w:docPartObj>
        <w:docPartGallery w:val="Page Numbers (Bottom of Page)"/>
        <w:docPartUnique/>
      </w:docPartObj>
    </w:sdtPr>
    <w:sdtEndPr>
      <w:rPr>
        <w:rStyle w:val="Nmerodepgina"/>
      </w:rPr>
    </w:sdtEndPr>
    <w:sdtContent>
      <w:p w14:paraId="1CC58A36" w14:textId="77777777" w:rsidR="003B3055" w:rsidRDefault="00976A9C" w:rsidP="002372CF">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14:paraId="6153E839" w14:textId="77777777" w:rsidR="003B3055" w:rsidRDefault="00976A9C" w:rsidP="003B3055">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292587208"/>
      <w:docPartObj>
        <w:docPartGallery w:val="Page Numbers (Bottom of Page)"/>
        <w:docPartUnique/>
      </w:docPartObj>
    </w:sdtPr>
    <w:sdtEndPr>
      <w:rPr>
        <w:rStyle w:val="Nmerodepgina"/>
      </w:rPr>
    </w:sdtEndPr>
    <w:sdtContent>
      <w:p w14:paraId="13CB89D4" w14:textId="77777777" w:rsidR="003B3055" w:rsidRDefault="00976A9C" w:rsidP="002372CF">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5</w:t>
        </w:r>
        <w:r>
          <w:rPr>
            <w:rStyle w:val="Nmerodepgina"/>
          </w:rPr>
          <w:fldChar w:fldCharType="end"/>
        </w:r>
      </w:p>
    </w:sdtContent>
  </w:sdt>
  <w:p w14:paraId="02733FE5" w14:textId="77777777" w:rsidR="007165F1" w:rsidRDefault="00976A9C" w:rsidP="003B3055">
    <w:pPr>
      <w:pStyle w:val="Piedepgina"/>
      <w:ind w:right="360"/>
    </w:pPr>
    <w:r>
      <w:rPr>
        <w:noProof/>
        <w:lang w:val="es-ES" w:eastAsia="es-ES"/>
      </w:rPr>
      <mc:AlternateContent>
        <mc:Choice Requires="wps">
          <w:drawing>
            <wp:anchor distT="0" distB="0" distL="114300" distR="114300" simplePos="0" relativeHeight="251660288" behindDoc="0" locked="0" layoutInCell="1" allowOverlap="1" wp14:anchorId="147498BF" wp14:editId="5814A40A">
              <wp:simplePos x="0" y="0"/>
              <wp:positionH relativeFrom="column">
                <wp:posOffset>-990600</wp:posOffset>
              </wp:positionH>
              <wp:positionV relativeFrom="paragraph">
                <wp:posOffset>-497205</wp:posOffset>
              </wp:positionV>
              <wp:extent cx="7635240" cy="253365"/>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7635240" cy="253365"/>
                      </a:xfrm>
                      <a:prstGeom prst="rect">
                        <a:avLst/>
                      </a:prstGeom>
                      <a:noFill/>
                      <a:ln w="6350">
                        <a:noFill/>
                      </a:ln>
                    </wps:spPr>
                    <wps:txbx>
                      <w:txbxContent>
                        <w:p w14:paraId="29659015" w14:textId="77777777" w:rsidR="00AA41A0" w:rsidRPr="00A76936" w:rsidRDefault="00976A9C" w:rsidP="00AA41A0">
                          <w:pPr>
                            <w:pStyle w:val="Piedepgina"/>
                            <w:jc w:val="center"/>
                            <w:rPr>
                              <w:rFonts w:ascii="Roboto Light" w:hAnsi="Roboto Light"/>
                              <w:i/>
                              <w:iCs/>
                              <w:sz w:val="18"/>
                              <w:szCs w:val="18"/>
                            </w:rPr>
                          </w:pPr>
                          <w:r>
                            <w:rPr>
                              <w:rFonts w:ascii="Roboto Light" w:hAnsi="Roboto Light"/>
                              <w:i/>
                              <w:iCs/>
                              <w:sz w:val="18"/>
                              <w:szCs w:val="18"/>
                            </w:rPr>
                            <w:t>“</w:t>
                          </w:r>
                          <w:r w:rsidRPr="00391090">
                            <w:rPr>
                              <w:rFonts w:ascii="Roboto Light" w:hAnsi="Roboto Light"/>
                              <w:i/>
                              <w:iCs/>
                              <w:sz w:val="18"/>
                              <w:szCs w:val="18"/>
                            </w:rPr>
                            <w:t>2022 Año de la Revolución</w:t>
                          </w:r>
                          <w:r>
                            <w:rPr>
                              <w:rFonts w:ascii="Roboto Light" w:hAnsi="Roboto Light"/>
                              <w:i/>
                              <w:iCs/>
                              <w:sz w:val="18"/>
                              <w:szCs w:val="18"/>
                            </w:rPr>
                            <w:t xml:space="preserve"> Cultural</w:t>
                          </w:r>
                          <w:r w:rsidRPr="00391090">
                            <w:rPr>
                              <w:rFonts w:ascii="Roboto Light" w:hAnsi="Roboto Light"/>
                              <w:i/>
                              <w:iCs/>
                              <w:sz w:val="18"/>
                              <w:szCs w:val="18"/>
                            </w:rPr>
                            <w:t xml:space="preserve"> para la Despatriarcalización: Por una Vida Libre de Violencia Contra las Mujeres</w:t>
                          </w:r>
                          <w:r>
                            <w:rPr>
                              <w:rFonts w:ascii="Roboto Light" w:hAnsi="Roboto Light"/>
                              <w:i/>
                              <w:iCs/>
                              <w:sz w:val="18"/>
                              <w:szCs w:val="18"/>
                            </w:rPr>
                            <w:t>”</w:t>
                          </w:r>
                        </w:p>
                        <w:p w14:paraId="38552C07" w14:textId="77777777" w:rsidR="00AA41A0" w:rsidRPr="004B014F" w:rsidRDefault="00976A9C" w:rsidP="00AA41A0">
                          <w:pPr>
                            <w:jc w:val="center"/>
                            <w:rPr>
                              <w:rFonts w:ascii="Cambria" w:hAnsi="Cambria"/>
                              <w:i/>
                              <w:iCs/>
                              <w:color w:val="424242"/>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7498BF" id="_x0000_t202" coordsize="21600,21600" o:spt="202" path="m,l,21600r21600,l21600,xe">
              <v:stroke joinstyle="miter"/>
              <v:path gradientshapeok="t" o:connecttype="rect"/>
            </v:shapetype>
            <v:shape id="Cuadro de texto 6" o:spid="_x0000_s1026" type="#_x0000_t202" style="position:absolute;margin-left:-78pt;margin-top:-39.15pt;width:601.2pt;height:19.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" filled="f" stroked="f" strokeweight=".5pt">
              <v:textbox>
                <w:txbxContent>
                  <w:p w14:paraId="29659015" w14:textId="77777777" w:rsidR="00AA41A0" w:rsidRPr="00A76936" w:rsidRDefault="00000000" w:rsidP="00AA41A0">
                    <w:pPr>
                      <w:pStyle w:val="Piedepgina"/>
                      <w:jc w:val="center"/>
                      <w:rPr>
                        <w:rFonts w:ascii="Roboto Light" w:hAnsi="Roboto Light"/>
                        <w:i/>
                        <w:iCs/>
                        <w:sz w:val="18"/>
                        <w:szCs w:val="18"/>
                      </w:rPr>
                    </w:pPr>
                    <w:r>
                      <w:rPr>
                        <w:rFonts w:ascii="Roboto Light" w:hAnsi="Roboto Light"/>
                        <w:i/>
                        <w:iCs/>
                        <w:sz w:val="18"/>
                        <w:szCs w:val="18"/>
                      </w:rPr>
                      <w:t>“</w:t>
                    </w:r>
                    <w:r w:rsidRPr="00391090">
                      <w:rPr>
                        <w:rFonts w:ascii="Roboto Light" w:hAnsi="Roboto Light"/>
                        <w:i/>
                        <w:iCs/>
                        <w:sz w:val="18"/>
                        <w:szCs w:val="18"/>
                      </w:rPr>
                      <w:t>2022 Año de la Revolución</w:t>
                    </w:r>
                    <w:r>
                      <w:rPr>
                        <w:rFonts w:ascii="Roboto Light" w:hAnsi="Roboto Light"/>
                        <w:i/>
                        <w:iCs/>
                        <w:sz w:val="18"/>
                        <w:szCs w:val="18"/>
                      </w:rPr>
                      <w:t xml:space="preserve"> Cultural</w:t>
                    </w:r>
                    <w:r w:rsidRPr="00391090">
                      <w:rPr>
                        <w:rFonts w:ascii="Roboto Light" w:hAnsi="Roboto Light"/>
                        <w:i/>
                        <w:iCs/>
                        <w:sz w:val="18"/>
                        <w:szCs w:val="18"/>
                      </w:rPr>
                      <w:t xml:space="preserve"> para la Despatriarcalización: Por una Vida Libre de Violencia Contra las Mujeres</w:t>
                    </w:r>
                    <w:r>
                      <w:rPr>
                        <w:rFonts w:ascii="Roboto Light" w:hAnsi="Roboto Light"/>
                        <w:i/>
                        <w:iCs/>
                        <w:sz w:val="18"/>
                        <w:szCs w:val="18"/>
                      </w:rPr>
                      <w:t>”</w:t>
                    </w:r>
                  </w:p>
                  <w:p w14:paraId="38552C07" w14:textId="77777777" w:rsidR="00AA41A0" w:rsidRPr="004B014F" w:rsidRDefault="00000000" w:rsidP="00AA41A0">
                    <w:pPr>
                      <w:jc w:val="center"/>
                      <w:rPr>
                        <w:rFonts w:ascii="Cambria" w:hAnsi="Cambria"/>
                        <w:i/>
                        <w:iCs/>
                        <w:color w:val="424242"/>
                        <w:sz w:val="18"/>
                        <w:szCs w:val="18"/>
                      </w:rPr>
                    </w:pPr>
                  </w:p>
                </w:txbxContent>
              </v:textbox>
            </v:shape>
          </w:pict>
        </mc:Fallback>
      </mc:AlternateContent>
    </w:r>
    <w:r>
      <w:rPr>
        <w:noProof/>
        <w:lang w:val="es-ES" w:eastAsia="es-ES"/>
      </w:rPr>
      <mc:AlternateContent>
        <mc:Choice Requires="wps">
          <w:drawing>
            <wp:anchor distT="0" distB="0" distL="114300" distR="114300" simplePos="0" relativeHeight="251659264" behindDoc="0" locked="0" layoutInCell="1" allowOverlap="1" wp14:anchorId="2AE5E681" wp14:editId="50C8B8A8">
              <wp:simplePos x="0" y="0"/>
              <wp:positionH relativeFrom="column">
                <wp:posOffset>1421765</wp:posOffset>
              </wp:positionH>
              <wp:positionV relativeFrom="paragraph">
                <wp:posOffset>-499745</wp:posOffset>
              </wp:positionV>
              <wp:extent cx="2874645" cy="167640"/>
              <wp:effectExtent l="0" t="0" r="1905" b="381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74645" cy="16764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CEABA5C" id="Rectángulo 1" o:spid="_x0000_s1026" style="position:absolute;margin-left:111.95pt;margin-top:-39.35pt;width:226.35pt;height:1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" fillcolor="white [3201]" strokecolor="white [3212]" strokeweight="1pt">
              <v:path arrowok="t"/>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FCE0E" w14:textId="77777777" w:rsidR="00976A9C" w:rsidRDefault="00976A9C">
      <w:r>
        <w:separator/>
      </w:r>
    </w:p>
  </w:footnote>
  <w:footnote w:type="continuationSeparator" w:id="0">
    <w:p w14:paraId="3D87DFA7" w14:textId="77777777" w:rsidR="00976A9C" w:rsidRDefault="00976A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9E3CE" w14:textId="77777777" w:rsidR="00DA3EA3" w:rsidRDefault="00976A9C">
    <w:pPr>
      <w:pStyle w:val="Encabezado"/>
    </w:pPr>
    <w:r>
      <w:rPr>
        <w:rFonts w:ascii="Arial Black" w:hAnsi="Arial Black"/>
        <w:b/>
        <w:noProof/>
        <w:lang w:val="es-ES" w:eastAsia="es-ES"/>
      </w:rPr>
      <w:drawing>
        <wp:inline distT="0" distB="0" distL="0" distR="0" wp14:anchorId="7685174E" wp14:editId="6ADBFC8D">
          <wp:extent cx="3542128" cy="916681"/>
          <wp:effectExtent l="0" t="0" r="0"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stretch>
                    <a:fillRect/>
                  </a:stretch>
                </pic:blipFill>
                <pic:spPr>
                  <a:xfrm>
                    <a:off x="0" y="0"/>
                    <a:ext cx="3542128" cy="91668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3D9"/>
    <w:rsid w:val="000B54CC"/>
    <w:rsid w:val="001276C8"/>
    <w:rsid w:val="007753D9"/>
    <w:rsid w:val="00961D9A"/>
    <w:rsid w:val="00976A9C"/>
    <w:rsid w:val="00C8599A"/>
    <w:rsid w:val="00F54E7F"/>
  </w:rsids>
  <m:mathPr>
    <m:mathFont m:val="Cambria Math"/>
    <m:brkBin m:val="before"/>
    <m:brkBinSub m:val="--"/>
    <m:smallFrac m:val="0"/>
    <m:dispDef/>
    <m:lMargin m:val="0"/>
    <m:rMargin m:val="0"/>
    <m:defJc m:val="centerGroup"/>
    <m:wrapIndent m:val="1440"/>
    <m:intLim m:val="subSup"/>
    <m:naryLim m:val="undOvr"/>
  </m:mathPr>
  <w:themeFontLang w:val="es-CH"/>
  <w:clrSchemeMapping w:bg1="light1" w:t1="dark1" w:bg2="light2" w:t2="dark2" w:accent1="accent1" w:accent2="accent2" w:accent3="accent3" w:accent4="accent4" w:accent5="accent5" w:accent6="accent6" w:hyperlink="hyperlink" w:followedHyperlink="followedHyperlink"/>
  <w:decimalSymbol w:val="."/>
  <w:listSeparator w:val=";"/>
  <w14:docId w14:val="6137A0F0"/>
  <w15:chartTrackingRefBased/>
  <w15:docId w15:val="{43B84412-2353-AD49-BB25-7B159E7C7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53D9"/>
    <w:rPr>
      <w:lang w:val="es-B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753D9"/>
    <w:pPr>
      <w:tabs>
        <w:tab w:val="center" w:pos="4419"/>
        <w:tab w:val="right" w:pos="8838"/>
      </w:tabs>
    </w:pPr>
  </w:style>
  <w:style w:type="character" w:customStyle="1" w:styleId="EncabezadoCar">
    <w:name w:val="Encabezado Car"/>
    <w:basedOn w:val="Fuentedeprrafopredeter"/>
    <w:link w:val="Encabezado"/>
    <w:uiPriority w:val="99"/>
    <w:rsid w:val="007753D9"/>
    <w:rPr>
      <w:lang w:val="es-BO"/>
    </w:rPr>
  </w:style>
  <w:style w:type="paragraph" w:styleId="Piedepgina">
    <w:name w:val="footer"/>
    <w:basedOn w:val="Normal"/>
    <w:link w:val="PiedepginaCar"/>
    <w:uiPriority w:val="99"/>
    <w:unhideWhenUsed/>
    <w:qFormat/>
    <w:rsid w:val="007753D9"/>
    <w:pPr>
      <w:tabs>
        <w:tab w:val="center" w:pos="4419"/>
        <w:tab w:val="right" w:pos="8838"/>
      </w:tabs>
    </w:pPr>
  </w:style>
  <w:style w:type="character" w:customStyle="1" w:styleId="PiedepginaCar">
    <w:name w:val="Pie de página Car"/>
    <w:basedOn w:val="Fuentedeprrafopredeter"/>
    <w:link w:val="Piedepgina"/>
    <w:uiPriority w:val="99"/>
    <w:qFormat/>
    <w:rsid w:val="007753D9"/>
    <w:rPr>
      <w:lang w:val="es-BO"/>
    </w:rPr>
  </w:style>
  <w:style w:type="paragraph" w:styleId="Sinespaciado">
    <w:name w:val="No Spacing"/>
    <w:link w:val="SinespaciadoCar"/>
    <w:uiPriority w:val="1"/>
    <w:qFormat/>
    <w:rsid w:val="007753D9"/>
    <w:rPr>
      <w:rFonts w:ascii="Calibri" w:eastAsia="Calibri" w:hAnsi="Calibri" w:cs="Times New Roman"/>
      <w:sz w:val="22"/>
      <w:szCs w:val="22"/>
      <w:lang w:val="es-ES"/>
    </w:rPr>
  </w:style>
  <w:style w:type="character" w:customStyle="1" w:styleId="SinespaciadoCar">
    <w:name w:val="Sin espaciado Car"/>
    <w:link w:val="Sinespaciado"/>
    <w:uiPriority w:val="1"/>
    <w:qFormat/>
    <w:locked/>
    <w:rsid w:val="007753D9"/>
    <w:rPr>
      <w:rFonts w:ascii="Calibri" w:eastAsia="Calibri" w:hAnsi="Calibri" w:cs="Times New Roman"/>
      <w:sz w:val="22"/>
      <w:szCs w:val="22"/>
      <w:lang w:val="es-ES"/>
    </w:rPr>
  </w:style>
  <w:style w:type="character" w:styleId="Nmerodepgina">
    <w:name w:val="page number"/>
    <w:basedOn w:val="Fuentedeprrafopredeter"/>
    <w:uiPriority w:val="99"/>
    <w:semiHidden/>
    <w:unhideWhenUsed/>
    <w:rsid w:val="007753D9"/>
  </w:style>
  <w:style w:type="paragraph" w:styleId="Revisin">
    <w:name w:val="Revision"/>
    <w:hidden/>
    <w:uiPriority w:val="99"/>
    <w:semiHidden/>
    <w:rsid w:val="00961D9A"/>
    <w:rPr>
      <w:lang w:val="es-B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1928</Words>
  <Characters>10607</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ministroconsejero</dc:creator>
  <cp:keywords/>
  <dc:description/>
  <cp:lastModifiedBy>Microsoft Office User</cp:lastModifiedBy>
  <cp:revision>3</cp:revision>
  <dcterms:created xsi:type="dcterms:W3CDTF">2022-09-01T11:42:00Z</dcterms:created>
  <dcterms:modified xsi:type="dcterms:W3CDTF">2022-09-01T12:02:00Z</dcterms:modified>
</cp:coreProperties>
</file>