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C4E4" w14:textId="77777777" w:rsidR="009A13C2" w:rsidRPr="00DC5DEE" w:rsidRDefault="009A13C2" w:rsidP="009A13C2">
      <w:pPr>
        <w:jc w:val="center"/>
        <w:rPr>
          <w:rFonts w:asciiTheme="majorBidi" w:hAnsiTheme="majorBidi" w:cstheme="majorBidi"/>
          <w:b/>
          <w:bCs/>
          <w:sz w:val="28"/>
          <w:szCs w:val="28"/>
          <w:lang w:val="en-US"/>
        </w:rPr>
      </w:pPr>
      <w:r w:rsidRPr="00DC5DEE">
        <w:rPr>
          <w:rFonts w:asciiTheme="majorBidi" w:hAnsiTheme="majorBidi" w:cstheme="majorBidi"/>
          <w:b/>
          <w:bCs/>
          <w:sz w:val="28"/>
          <w:szCs w:val="28"/>
          <w:lang w:val="en-US"/>
        </w:rPr>
        <w:t xml:space="preserve">Consultation on draft General Comment No. 1 on Enforced Disappearances </w:t>
      </w:r>
    </w:p>
    <w:p w14:paraId="11E744A9" w14:textId="77777777" w:rsidR="009A13C2" w:rsidRPr="00DC5DEE" w:rsidRDefault="009A13C2" w:rsidP="009A13C2">
      <w:pPr>
        <w:jc w:val="center"/>
        <w:rPr>
          <w:rFonts w:asciiTheme="majorBidi" w:hAnsiTheme="majorBidi" w:cstheme="majorBidi"/>
          <w:b/>
          <w:bCs/>
          <w:sz w:val="28"/>
          <w:szCs w:val="28"/>
          <w:lang w:val="en-US"/>
        </w:rPr>
      </w:pPr>
      <w:r w:rsidRPr="00DC5DEE">
        <w:rPr>
          <w:rFonts w:asciiTheme="majorBidi" w:hAnsiTheme="majorBidi" w:cstheme="majorBidi"/>
          <w:b/>
          <w:bCs/>
          <w:sz w:val="28"/>
          <w:szCs w:val="28"/>
          <w:lang w:val="en-US"/>
        </w:rPr>
        <w:t>in the context of Migration</w:t>
      </w:r>
    </w:p>
    <w:p w14:paraId="7041B519" w14:textId="515EBBB7" w:rsidR="009A13C2" w:rsidRDefault="009A13C2" w:rsidP="009A13C2">
      <w:pPr>
        <w:jc w:val="center"/>
        <w:rPr>
          <w:rFonts w:asciiTheme="majorBidi" w:hAnsiTheme="majorBidi" w:cstheme="majorBidi"/>
          <w:lang w:val="en-US"/>
        </w:rPr>
      </w:pPr>
    </w:p>
    <w:p w14:paraId="40DE182C" w14:textId="77777777" w:rsidR="00961E96" w:rsidRPr="00547842" w:rsidRDefault="00961E96" w:rsidP="00961E96">
      <w:pPr>
        <w:jc w:val="center"/>
        <w:rPr>
          <w:rFonts w:asciiTheme="majorBidi" w:hAnsiTheme="majorBidi" w:cstheme="majorBidi"/>
        </w:rPr>
      </w:pPr>
      <w:r w:rsidRPr="00547842">
        <w:rPr>
          <w:rFonts w:asciiTheme="majorBidi" w:hAnsiTheme="majorBidi" w:cstheme="majorBidi"/>
        </w:rPr>
        <w:t xml:space="preserve">Anna </w:t>
      </w:r>
      <w:proofErr w:type="spellStart"/>
      <w:r w:rsidRPr="00547842">
        <w:rPr>
          <w:rFonts w:asciiTheme="majorBidi" w:hAnsiTheme="majorBidi" w:cstheme="majorBidi"/>
        </w:rPr>
        <w:t>Rahel</w:t>
      </w:r>
      <w:proofErr w:type="spellEnd"/>
      <w:r w:rsidRPr="00547842">
        <w:rPr>
          <w:rFonts w:asciiTheme="majorBidi" w:hAnsiTheme="majorBidi" w:cstheme="majorBidi"/>
        </w:rPr>
        <w:t xml:space="preserve"> Fischer, LL.M, Associate </w:t>
      </w:r>
      <w:proofErr w:type="spellStart"/>
      <w:r w:rsidRPr="00547842">
        <w:rPr>
          <w:rFonts w:asciiTheme="majorBidi" w:hAnsiTheme="majorBidi" w:cstheme="majorBidi"/>
        </w:rPr>
        <w:t>Researcher</w:t>
      </w:r>
      <w:proofErr w:type="spellEnd"/>
      <w:r w:rsidRPr="00547842">
        <w:rPr>
          <w:rFonts w:asciiTheme="majorBidi" w:hAnsiTheme="majorBidi" w:cstheme="majorBidi"/>
        </w:rPr>
        <w:t xml:space="preserve">, </w:t>
      </w:r>
      <w:r w:rsidRPr="00F9127A">
        <w:rPr>
          <w:rFonts w:asciiTheme="majorBidi" w:hAnsiTheme="majorBidi" w:cstheme="majorBidi"/>
        </w:rPr>
        <w:t>Université du Québec à Montréal</w:t>
      </w:r>
    </w:p>
    <w:p w14:paraId="3A543DF0" w14:textId="41FA5311" w:rsidR="007D090F" w:rsidRPr="00547842" w:rsidRDefault="00F9127A" w:rsidP="00961E96">
      <w:pPr>
        <w:jc w:val="center"/>
        <w:rPr>
          <w:rFonts w:asciiTheme="majorBidi" w:eastAsia="Times New Roman" w:hAnsiTheme="majorBidi" w:cstheme="majorBidi"/>
        </w:rPr>
      </w:pPr>
      <w:r w:rsidRPr="00547842">
        <w:rPr>
          <w:rFonts w:asciiTheme="majorBidi" w:eastAsia="Times New Roman" w:hAnsiTheme="majorBidi" w:cstheme="majorBidi"/>
          <w:color w:val="222222"/>
          <w:shd w:val="clear" w:color="auto" w:fill="FFFFFF"/>
        </w:rPr>
        <w:t xml:space="preserve">Bernard </w:t>
      </w:r>
      <w:proofErr w:type="spellStart"/>
      <w:r w:rsidRPr="00547842">
        <w:rPr>
          <w:rFonts w:asciiTheme="majorBidi" w:eastAsia="Times New Roman" w:hAnsiTheme="majorBidi" w:cstheme="majorBidi"/>
          <w:color w:val="222222"/>
          <w:shd w:val="clear" w:color="auto" w:fill="FFFFFF"/>
        </w:rPr>
        <w:t>Duhaime</w:t>
      </w:r>
      <w:proofErr w:type="spellEnd"/>
      <w:r w:rsidRPr="00547842">
        <w:rPr>
          <w:rFonts w:asciiTheme="majorBidi" w:eastAsia="Times New Roman" w:hAnsiTheme="majorBidi" w:cstheme="majorBidi"/>
          <w:color w:val="222222"/>
          <w:shd w:val="clear" w:color="auto" w:fill="FFFFFF"/>
        </w:rPr>
        <w:t xml:space="preserve">, </w:t>
      </w:r>
      <w:proofErr w:type="spellStart"/>
      <w:r w:rsidRPr="00547842">
        <w:rPr>
          <w:rFonts w:asciiTheme="majorBidi" w:eastAsia="Times New Roman" w:hAnsiTheme="majorBidi" w:cstheme="majorBidi"/>
          <w:color w:val="222222"/>
          <w:shd w:val="clear" w:color="auto" w:fill="FFFFFF"/>
        </w:rPr>
        <w:t>Ad.E</w:t>
      </w:r>
      <w:proofErr w:type="spellEnd"/>
      <w:r w:rsidRPr="00547842">
        <w:rPr>
          <w:rFonts w:asciiTheme="majorBidi" w:eastAsia="Times New Roman" w:hAnsiTheme="majorBidi" w:cstheme="majorBidi"/>
          <w:color w:val="222222"/>
          <w:shd w:val="clear" w:color="auto" w:fill="FFFFFF"/>
        </w:rPr>
        <w:t>., Professeur titulaire à l’Université du Québec à Montréal</w:t>
      </w:r>
    </w:p>
    <w:p w14:paraId="32E9EDFE" w14:textId="20078D40" w:rsidR="007D090F" w:rsidRPr="001F6014" w:rsidRDefault="007D090F" w:rsidP="00961E96">
      <w:pPr>
        <w:jc w:val="center"/>
        <w:rPr>
          <w:rFonts w:asciiTheme="majorBidi" w:hAnsiTheme="majorBidi" w:cstheme="majorBidi"/>
          <w:lang w:val="en-US"/>
        </w:rPr>
      </w:pPr>
      <w:proofErr w:type="spellStart"/>
      <w:r w:rsidRPr="001F6014">
        <w:rPr>
          <w:rFonts w:asciiTheme="majorBidi" w:hAnsiTheme="majorBidi" w:cstheme="majorBidi"/>
          <w:lang w:val="en-US"/>
        </w:rPr>
        <w:t>Lene</w:t>
      </w:r>
      <w:proofErr w:type="spellEnd"/>
      <w:r w:rsidRPr="001F6014">
        <w:rPr>
          <w:rFonts w:asciiTheme="majorBidi" w:hAnsiTheme="majorBidi" w:cstheme="majorBidi"/>
          <w:lang w:val="en-US"/>
        </w:rPr>
        <w:t xml:space="preserve"> </w:t>
      </w:r>
      <w:proofErr w:type="spellStart"/>
      <w:r w:rsidRPr="001F6014">
        <w:rPr>
          <w:rFonts w:asciiTheme="majorBidi" w:hAnsiTheme="majorBidi" w:cstheme="majorBidi"/>
          <w:lang w:val="en-US"/>
        </w:rPr>
        <w:t>Guercke</w:t>
      </w:r>
      <w:proofErr w:type="spellEnd"/>
      <w:r w:rsidR="00961E96">
        <w:rPr>
          <w:rFonts w:asciiTheme="majorBidi" w:hAnsiTheme="majorBidi" w:cstheme="majorBidi"/>
          <w:lang w:val="en-US"/>
        </w:rPr>
        <w:t>,</w:t>
      </w:r>
      <w:r w:rsidRPr="001F6014">
        <w:rPr>
          <w:rFonts w:asciiTheme="majorBidi" w:hAnsiTheme="majorBidi" w:cstheme="majorBidi"/>
          <w:lang w:val="en-US"/>
        </w:rPr>
        <w:t xml:space="preserve"> PhD, Independent </w:t>
      </w:r>
      <w:r w:rsidR="00F9127A" w:rsidRPr="001F6014">
        <w:rPr>
          <w:rFonts w:asciiTheme="majorBidi" w:hAnsiTheme="majorBidi" w:cstheme="majorBidi"/>
          <w:lang w:val="en-US"/>
        </w:rPr>
        <w:t>R</w:t>
      </w:r>
      <w:r w:rsidRPr="001F6014">
        <w:rPr>
          <w:rFonts w:asciiTheme="majorBidi" w:hAnsiTheme="majorBidi" w:cstheme="majorBidi"/>
          <w:lang w:val="en-US"/>
        </w:rPr>
        <w:t>esearcher</w:t>
      </w:r>
    </w:p>
    <w:p w14:paraId="2292F8CF" w14:textId="77777777" w:rsidR="007D090F" w:rsidRPr="00CE1460" w:rsidRDefault="007D090F" w:rsidP="009A13C2">
      <w:pPr>
        <w:jc w:val="center"/>
        <w:rPr>
          <w:rFonts w:asciiTheme="majorBidi" w:hAnsiTheme="majorBidi" w:cstheme="majorBidi"/>
          <w:lang w:val="en-US"/>
        </w:rPr>
      </w:pPr>
    </w:p>
    <w:p w14:paraId="23CD78A5" w14:textId="233A51FD" w:rsidR="009A13C2" w:rsidRDefault="009A13C2" w:rsidP="009A13C2">
      <w:pPr>
        <w:jc w:val="center"/>
        <w:rPr>
          <w:rFonts w:asciiTheme="majorBidi" w:hAnsiTheme="majorBidi" w:cstheme="majorBidi"/>
          <w:lang w:val="en-US"/>
        </w:rPr>
      </w:pPr>
      <w:r>
        <w:rPr>
          <w:rFonts w:asciiTheme="majorBidi" w:hAnsiTheme="majorBidi" w:cstheme="majorBidi"/>
          <w:lang w:val="en-US"/>
        </w:rPr>
        <w:t>(2</w:t>
      </w:r>
      <w:r w:rsidR="00734D84">
        <w:rPr>
          <w:rFonts w:asciiTheme="majorBidi" w:hAnsiTheme="majorBidi" w:cstheme="majorBidi"/>
          <w:lang w:val="en-US"/>
        </w:rPr>
        <w:t>4</w:t>
      </w:r>
      <w:r w:rsidR="00CE1460">
        <w:rPr>
          <w:rFonts w:asciiTheme="majorBidi" w:hAnsiTheme="majorBidi" w:cstheme="majorBidi"/>
          <w:lang w:val="en-US"/>
        </w:rPr>
        <w:t>91</w:t>
      </w:r>
      <w:r>
        <w:rPr>
          <w:rFonts w:asciiTheme="majorBidi" w:hAnsiTheme="majorBidi" w:cstheme="majorBidi"/>
          <w:lang w:val="en-US"/>
        </w:rPr>
        <w:t xml:space="preserve"> words)</w:t>
      </w:r>
    </w:p>
    <w:p w14:paraId="363F0A06" w14:textId="58ACD2AD" w:rsidR="009A13C2" w:rsidRDefault="009A13C2" w:rsidP="009A13C2">
      <w:pPr>
        <w:jc w:val="both"/>
        <w:rPr>
          <w:rFonts w:asciiTheme="majorBidi" w:hAnsiTheme="majorBidi" w:cstheme="majorBidi"/>
          <w:i/>
          <w:iCs/>
          <w:lang w:val="en-US"/>
        </w:rPr>
      </w:pPr>
    </w:p>
    <w:p w14:paraId="0EACEB2D" w14:textId="77777777" w:rsidR="009A13C2" w:rsidRDefault="009A13C2" w:rsidP="009A13C2">
      <w:pPr>
        <w:jc w:val="both"/>
        <w:rPr>
          <w:rFonts w:asciiTheme="majorBidi" w:hAnsiTheme="majorBidi" w:cstheme="majorBidi"/>
          <w:i/>
          <w:iCs/>
          <w:lang w:val="en-US"/>
        </w:rPr>
      </w:pPr>
    </w:p>
    <w:p w14:paraId="6202EFFA" w14:textId="2B704FAA" w:rsidR="009A13C2" w:rsidRPr="00ED689B" w:rsidRDefault="009A13C2" w:rsidP="009A13C2">
      <w:pPr>
        <w:jc w:val="both"/>
        <w:rPr>
          <w:rFonts w:asciiTheme="majorBidi" w:hAnsiTheme="majorBidi" w:cstheme="majorBidi"/>
          <w:i/>
          <w:iCs/>
          <w:lang w:val="en-US"/>
        </w:rPr>
      </w:pPr>
      <w:r w:rsidRPr="00ED689B">
        <w:rPr>
          <w:rFonts w:asciiTheme="majorBidi" w:hAnsiTheme="majorBidi" w:cstheme="majorBidi"/>
          <w:i/>
          <w:iCs/>
          <w:lang w:val="en-US"/>
        </w:rPr>
        <w:t>Introduction</w:t>
      </w:r>
    </w:p>
    <w:p w14:paraId="25BD2DA0" w14:textId="77777777" w:rsidR="009A13C2" w:rsidRDefault="009A13C2" w:rsidP="009A13C2">
      <w:pPr>
        <w:jc w:val="both"/>
        <w:rPr>
          <w:rFonts w:asciiTheme="majorBidi" w:hAnsiTheme="majorBidi" w:cstheme="majorBidi"/>
          <w:lang w:val="en-US"/>
        </w:rPr>
      </w:pPr>
    </w:p>
    <w:p w14:paraId="5DABA0DE" w14:textId="0A7671DC" w:rsidR="009A13C2" w:rsidRPr="001A3595" w:rsidRDefault="009A13C2" w:rsidP="00B36934">
      <w:pPr>
        <w:jc w:val="both"/>
        <w:rPr>
          <w:rFonts w:asciiTheme="majorBidi" w:hAnsiTheme="majorBidi"/>
          <w:b/>
          <w:bCs/>
          <w:lang w:val="en-US"/>
        </w:rPr>
      </w:pPr>
      <w:r w:rsidRPr="00AD1480">
        <w:rPr>
          <w:rFonts w:asciiTheme="majorBidi" w:hAnsiTheme="majorBidi" w:cstheme="majorBidi"/>
          <w:color w:val="000000" w:themeColor="text1"/>
          <w:lang w:val="en-US"/>
        </w:rPr>
        <w:t xml:space="preserve">§ 1. </w:t>
      </w:r>
      <w:r w:rsidR="00736967" w:rsidRPr="00736967">
        <w:rPr>
          <w:rFonts w:asciiTheme="majorBidi" w:hAnsiTheme="majorBidi" w:cstheme="majorBidi"/>
          <w:color w:val="000000" w:themeColor="text1"/>
          <w:lang w:val="en-US"/>
        </w:rPr>
        <w:t>Migrant disappearances result from their being forced onto dangerous migration routes and thus increasingly exposed to smuggling networks, as well as from illegal practices such as secret detention and summary rejection by border control personnel</w:t>
      </w:r>
      <w:r w:rsidR="00AD1480" w:rsidRPr="00380BD8">
        <w:rPr>
          <w:rFonts w:asciiTheme="majorBidi" w:hAnsiTheme="majorBidi" w:cstheme="majorBidi"/>
          <w:color w:val="000000" w:themeColor="text1"/>
          <w:lang w:val="en-US"/>
        </w:rPr>
        <w:t>.</w:t>
      </w:r>
      <w:r w:rsidR="00CE4A1A" w:rsidRPr="00380BD8">
        <w:rPr>
          <w:rStyle w:val="FootnoteReference"/>
          <w:rFonts w:asciiTheme="majorBidi" w:hAnsiTheme="majorBidi" w:cstheme="majorBidi"/>
          <w:color w:val="000000" w:themeColor="text1"/>
          <w:lang w:val="en-US"/>
        </w:rPr>
        <w:footnoteReference w:id="1"/>
      </w:r>
      <w:r w:rsidRPr="00380BD8">
        <w:rPr>
          <w:rFonts w:asciiTheme="majorBidi" w:hAnsiTheme="majorBidi" w:cstheme="majorBidi"/>
          <w:color w:val="000000" w:themeColor="text1"/>
          <w:lang w:val="en-US"/>
        </w:rPr>
        <w:t xml:space="preserve"> </w:t>
      </w:r>
      <w:r w:rsidR="00AD1480" w:rsidRPr="00380BD8">
        <w:rPr>
          <w:rFonts w:asciiTheme="majorBidi" w:hAnsiTheme="majorBidi" w:cstheme="majorBidi"/>
          <w:color w:val="000000" w:themeColor="text1"/>
          <w:lang w:val="en-US"/>
        </w:rPr>
        <w:t xml:space="preserve">They also </w:t>
      </w:r>
      <w:r w:rsidR="00736967">
        <w:rPr>
          <w:rFonts w:asciiTheme="majorBidi" w:hAnsiTheme="majorBidi" w:cstheme="majorBidi"/>
          <w:color w:val="000000" w:themeColor="text1"/>
          <w:lang w:val="en-US"/>
        </w:rPr>
        <w:t>stem</w:t>
      </w:r>
      <w:r w:rsidR="00AD1480" w:rsidRPr="00380BD8">
        <w:rPr>
          <w:rFonts w:asciiTheme="majorBidi" w:hAnsiTheme="majorBidi" w:cstheme="majorBidi"/>
          <w:color w:val="000000" w:themeColor="text1"/>
          <w:lang w:val="en-US"/>
        </w:rPr>
        <w:t xml:space="preserve"> from</w:t>
      </w:r>
      <w:r w:rsidRPr="00380BD8">
        <w:rPr>
          <w:rFonts w:asciiTheme="majorBidi" w:hAnsiTheme="majorBidi" w:cstheme="majorBidi"/>
          <w:color w:val="000000" w:themeColor="text1"/>
          <w:lang w:val="en-US"/>
        </w:rPr>
        <w:t xml:space="preserve"> high level</w:t>
      </w:r>
      <w:r w:rsidR="00613C1D">
        <w:rPr>
          <w:rFonts w:asciiTheme="majorBidi" w:hAnsiTheme="majorBidi" w:cstheme="majorBidi"/>
          <w:color w:val="000000" w:themeColor="text1"/>
          <w:lang w:val="en-US"/>
        </w:rPr>
        <w:t>s</w:t>
      </w:r>
      <w:r w:rsidRPr="00380BD8">
        <w:rPr>
          <w:rFonts w:asciiTheme="majorBidi" w:hAnsiTheme="majorBidi" w:cstheme="majorBidi"/>
          <w:color w:val="000000" w:themeColor="text1"/>
          <w:lang w:val="en-US"/>
        </w:rPr>
        <w:t xml:space="preserve"> of impunity that </w:t>
      </w:r>
      <w:r w:rsidR="00957A95" w:rsidRPr="00380BD8">
        <w:rPr>
          <w:rFonts w:asciiTheme="majorBidi" w:hAnsiTheme="majorBidi" w:cstheme="majorBidi"/>
          <w:color w:val="000000" w:themeColor="text1"/>
          <w:lang w:val="en-US"/>
        </w:rPr>
        <w:t>characterizes</w:t>
      </w:r>
      <w:r w:rsidRPr="00380BD8">
        <w:rPr>
          <w:rFonts w:asciiTheme="majorBidi" w:hAnsiTheme="majorBidi" w:cstheme="majorBidi"/>
          <w:color w:val="000000" w:themeColor="text1"/>
          <w:lang w:val="en-US"/>
        </w:rPr>
        <w:t xml:space="preserve"> the </w:t>
      </w:r>
      <w:r w:rsidR="00AD1480" w:rsidRPr="00380BD8">
        <w:rPr>
          <w:rFonts w:asciiTheme="majorBidi" w:hAnsiTheme="majorBidi" w:cstheme="majorBidi"/>
          <w:color w:val="000000" w:themeColor="text1"/>
          <w:lang w:val="en-US"/>
        </w:rPr>
        <w:t xml:space="preserve">criminal and forensic </w:t>
      </w:r>
      <w:r w:rsidRPr="00380BD8">
        <w:rPr>
          <w:rFonts w:asciiTheme="majorBidi" w:hAnsiTheme="majorBidi" w:cstheme="majorBidi"/>
          <w:color w:val="000000" w:themeColor="text1"/>
          <w:lang w:val="en-US"/>
        </w:rPr>
        <w:t xml:space="preserve">investigation and search efforts to clarify the circumstances of </w:t>
      </w:r>
      <w:r w:rsidR="00380BD8" w:rsidRPr="00380BD8">
        <w:rPr>
          <w:rFonts w:asciiTheme="majorBidi" w:hAnsiTheme="majorBidi" w:cstheme="majorBidi"/>
          <w:color w:val="000000" w:themeColor="text1"/>
          <w:lang w:val="en-US"/>
        </w:rPr>
        <w:t xml:space="preserve">and establish the truth about </w:t>
      </w:r>
      <w:r w:rsidRPr="00380BD8">
        <w:rPr>
          <w:rFonts w:asciiTheme="majorBidi" w:hAnsiTheme="majorBidi" w:cstheme="majorBidi"/>
          <w:color w:val="000000" w:themeColor="text1"/>
          <w:lang w:val="en-US"/>
        </w:rPr>
        <w:t>these disappearances.</w:t>
      </w:r>
      <w:r w:rsidR="00F13813" w:rsidRPr="00380BD8">
        <w:rPr>
          <w:rFonts w:asciiTheme="majorBidi" w:hAnsiTheme="majorBidi" w:cstheme="majorBidi"/>
          <w:color w:val="000000" w:themeColor="text1"/>
          <w:lang w:val="en-US"/>
        </w:rPr>
        <w:t xml:space="preserve"> </w:t>
      </w:r>
      <w:r w:rsidRPr="00380BD8">
        <w:rPr>
          <w:rFonts w:asciiTheme="majorBidi" w:hAnsiTheme="majorBidi" w:cstheme="majorBidi"/>
          <w:color w:val="000000" w:themeColor="text1"/>
          <w:lang w:val="en-US"/>
        </w:rPr>
        <w:t>In th</w:t>
      </w:r>
      <w:r w:rsidR="00957A95" w:rsidRPr="00380BD8">
        <w:rPr>
          <w:rFonts w:asciiTheme="majorBidi" w:hAnsiTheme="majorBidi" w:cstheme="majorBidi"/>
          <w:color w:val="000000" w:themeColor="text1"/>
          <w:lang w:val="en-US"/>
        </w:rPr>
        <w:t>ese</w:t>
      </w:r>
      <w:r w:rsidRPr="00380BD8">
        <w:rPr>
          <w:rFonts w:asciiTheme="majorBidi" w:hAnsiTheme="majorBidi" w:cstheme="majorBidi"/>
          <w:color w:val="000000" w:themeColor="text1"/>
          <w:lang w:val="en-US"/>
        </w:rPr>
        <w:t xml:space="preserve"> context</w:t>
      </w:r>
      <w:r w:rsidR="00957A95" w:rsidRPr="00380BD8">
        <w:rPr>
          <w:rFonts w:asciiTheme="majorBidi" w:hAnsiTheme="majorBidi" w:cstheme="majorBidi"/>
          <w:color w:val="000000" w:themeColor="text1"/>
          <w:lang w:val="en-US"/>
        </w:rPr>
        <w:t>s</w:t>
      </w:r>
      <w:r w:rsidRPr="00380BD8">
        <w:rPr>
          <w:rFonts w:asciiTheme="majorBidi" w:hAnsiTheme="majorBidi" w:cstheme="majorBidi"/>
          <w:color w:val="000000" w:themeColor="text1"/>
          <w:lang w:val="en-US"/>
        </w:rPr>
        <w:t xml:space="preserve">, migrants have </w:t>
      </w:r>
      <w:r w:rsidR="00957A95" w:rsidRPr="00380BD8">
        <w:rPr>
          <w:rFonts w:asciiTheme="majorBidi" w:hAnsiTheme="majorBidi" w:cstheme="majorBidi"/>
          <w:color w:val="000000" w:themeColor="text1"/>
          <w:lang w:val="en-US"/>
        </w:rPr>
        <w:t xml:space="preserve">oftentimes </w:t>
      </w:r>
      <w:r w:rsidRPr="00380BD8">
        <w:rPr>
          <w:rFonts w:asciiTheme="majorBidi" w:hAnsiTheme="majorBidi" w:cstheme="majorBidi"/>
          <w:color w:val="000000" w:themeColor="text1"/>
          <w:lang w:val="en-US"/>
        </w:rPr>
        <w:t>been pushed back into geographical areas such as the desert and the sea, which pose a</w:t>
      </w:r>
      <w:r w:rsidR="00AD1480" w:rsidRPr="00380BD8">
        <w:rPr>
          <w:rFonts w:asciiTheme="majorBidi" w:hAnsiTheme="majorBidi" w:cstheme="majorBidi"/>
          <w:color w:val="000000" w:themeColor="text1"/>
          <w:lang w:val="en-US"/>
        </w:rPr>
        <w:t xml:space="preserve"> foreseeable</w:t>
      </w:r>
      <w:r w:rsidRPr="00380BD8">
        <w:rPr>
          <w:rFonts w:asciiTheme="majorBidi" w:hAnsiTheme="majorBidi" w:cstheme="majorBidi"/>
          <w:color w:val="000000" w:themeColor="text1"/>
          <w:lang w:val="en-US"/>
        </w:rPr>
        <w:t xml:space="preserve"> risk to their lives.</w:t>
      </w:r>
      <w:r w:rsidRPr="00380BD8">
        <w:rPr>
          <w:rStyle w:val="FootnoteReference"/>
          <w:rFonts w:asciiTheme="majorBidi" w:hAnsiTheme="majorBidi" w:cstheme="majorBidi"/>
          <w:color w:val="000000" w:themeColor="text1"/>
          <w:lang w:val="en-US"/>
        </w:rPr>
        <w:footnoteReference w:id="2"/>
      </w:r>
      <w:r w:rsidRPr="00380BD8">
        <w:rPr>
          <w:rFonts w:asciiTheme="majorBidi" w:hAnsiTheme="majorBidi" w:cstheme="majorBidi"/>
          <w:color w:val="000000" w:themeColor="text1"/>
          <w:lang w:val="en-US"/>
        </w:rPr>
        <w:t xml:space="preserve"> Although there is increasing informatio</w:t>
      </w:r>
      <w:r w:rsidRPr="002C314F">
        <w:rPr>
          <w:rFonts w:asciiTheme="majorBidi" w:hAnsiTheme="majorBidi" w:cstheme="majorBidi"/>
          <w:lang w:val="en-US"/>
        </w:rPr>
        <w:t>n on the number and scale of these cases of disappearances, there is little access to justice, truth and reparation, perpetuating the cycle of widespread impunity.</w:t>
      </w:r>
      <w:r w:rsidR="002F7C66" w:rsidRPr="002F7C66">
        <w:rPr>
          <w:rFonts w:asciiTheme="majorBidi" w:hAnsiTheme="majorBidi" w:cstheme="majorBidi"/>
          <w:lang w:val="en-US"/>
        </w:rPr>
        <w:t xml:space="preserve"> </w:t>
      </w:r>
      <w:r w:rsidR="002F7C66" w:rsidRPr="001B140E">
        <w:rPr>
          <w:rFonts w:asciiTheme="majorBidi" w:hAnsiTheme="majorBidi" w:cstheme="majorBidi"/>
          <w:lang w:val="en-US"/>
        </w:rPr>
        <w:t xml:space="preserve">While these practices do not constitute </w:t>
      </w:r>
      <w:r w:rsidR="002F7C66" w:rsidRPr="001B140E">
        <w:rPr>
          <w:rFonts w:asciiTheme="majorBidi" w:hAnsiTheme="majorBidi" w:cstheme="majorBidi"/>
          <w:i/>
          <w:iCs/>
          <w:lang w:val="en-US"/>
        </w:rPr>
        <w:t xml:space="preserve">enforced </w:t>
      </w:r>
      <w:r w:rsidR="002F7C66" w:rsidRPr="001B140E">
        <w:rPr>
          <w:rFonts w:asciiTheme="majorBidi" w:hAnsiTheme="majorBidi" w:cstheme="majorBidi"/>
          <w:lang w:val="en-US"/>
        </w:rPr>
        <w:t>disappearances</w:t>
      </w:r>
      <w:r w:rsidR="00B36934">
        <w:rPr>
          <w:rFonts w:asciiTheme="majorBidi" w:hAnsiTheme="majorBidi" w:cstheme="majorBidi"/>
          <w:lang w:val="en-US"/>
        </w:rPr>
        <w:t xml:space="preserve"> </w:t>
      </w:r>
      <w:proofErr w:type="spellStart"/>
      <w:r w:rsidR="00B36934" w:rsidRPr="00B36934">
        <w:rPr>
          <w:rFonts w:asciiTheme="majorBidi" w:hAnsiTheme="majorBidi" w:cstheme="majorBidi"/>
          <w:i/>
          <w:iCs/>
          <w:lang w:val="en-US"/>
        </w:rPr>
        <w:t>stricto</w:t>
      </w:r>
      <w:proofErr w:type="spellEnd"/>
      <w:r w:rsidR="00B36934" w:rsidRPr="00B36934">
        <w:rPr>
          <w:rFonts w:asciiTheme="majorBidi" w:hAnsiTheme="majorBidi" w:cstheme="majorBidi"/>
          <w:i/>
          <w:iCs/>
          <w:lang w:val="en-US"/>
        </w:rPr>
        <w:t xml:space="preserve"> </w:t>
      </w:r>
      <w:proofErr w:type="spellStart"/>
      <w:r w:rsidR="00B36934" w:rsidRPr="00B36934">
        <w:rPr>
          <w:rFonts w:asciiTheme="majorBidi" w:hAnsiTheme="majorBidi" w:cstheme="majorBidi"/>
          <w:i/>
          <w:iCs/>
          <w:lang w:val="en-US"/>
        </w:rPr>
        <w:t>sensu</w:t>
      </w:r>
      <w:proofErr w:type="spellEnd"/>
      <w:r w:rsidR="002F7C66" w:rsidRPr="001B140E">
        <w:rPr>
          <w:rFonts w:asciiTheme="majorBidi" w:hAnsiTheme="majorBidi" w:cstheme="majorBidi"/>
          <w:lang w:val="en-US"/>
        </w:rPr>
        <w:t xml:space="preserve">, </w:t>
      </w:r>
      <w:r w:rsidR="007F54C6">
        <w:rPr>
          <w:rFonts w:asciiTheme="majorBidi" w:hAnsiTheme="majorBidi" w:cstheme="majorBidi"/>
          <w:lang w:val="en-US"/>
        </w:rPr>
        <w:t>they</w:t>
      </w:r>
      <w:r w:rsidR="002F7C66" w:rsidRPr="001B140E">
        <w:rPr>
          <w:rFonts w:asciiTheme="majorBidi" w:hAnsiTheme="majorBidi" w:cstheme="majorBidi"/>
          <w:lang w:val="en-US"/>
        </w:rPr>
        <w:t xml:space="preserve"> </w:t>
      </w:r>
      <w:r w:rsidR="002F7C66">
        <w:rPr>
          <w:rFonts w:asciiTheme="majorBidi" w:hAnsiTheme="majorBidi" w:cstheme="majorBidi"/>
          <w:lang w:val="en-US"/>
        </w:rPr>
        <w:t xml:space="preserve">have </w:t>
      </w:r>
      <w:proofErr w:type="gramStart"/>
      <w:r w:rsidR="002F7C66">
        <w:rPr>
          <w:rFonts w:asciiTheme="majorBidi" w:hAnsiTheme="majorBidi" w:cstheme="majorBidi"/>
          <w:lang w:val="en-US"/>
        </w:rPr>
        <w:t>been considered to be</w:t>
      </w:r>
      <w:proofErr w:type="gramEnd"/>
      <w:r w:rsidR="002F7C66">
        <w:rPr>
          <w:rFonts w:asciiTheme="majorBidi" w:hAnsiTheme="majorBidi" w:cstheme="majorBidi"/>
          <w:lang w:val="en-US"/>
        </w:rPr>
        <w:t xml:space="preserve"> </w:t>
      </w:r>
      <w:r w:rsidR="002F7C66" w:rsidRPr="001B140E">
        <w:rPr>
          <w:rFonts w:asciiTheme="majorBidi" w:hAnsiTheme="majorBidi" w:cstheme="majorBidi"/>
          <w:lang w:val="en-US"/>
        </w:rPr>
        <w:t>tantamount to disappearances.</w:t>
      </w:r>
      <w:r w:rsidR="002F7C66">
        <w:rPr>
          <w:rStyle w:val="FootnoteReference"/>
          <w:rFonts w:asciiTheme="majorBidi" w:hAnsiTheme="majorBidi" w:cstheme="majorBidi"/>
        </w:rPr>
        <w:footnoteReference w:id="3"/>
      </w:r>
    </w:p>
    <w:p w14:paraId="2CD9A84B" w14:textId="77777777" w:rsidR="009A13C2" w:rsidRPr="007F54C6" w:rsidRDefault="009A13C2" w:rsidP="009A13C2">
      <w:pPr>
        <w:jc w:val="both"/>
        <w:rPr>
          <w:rFonts w:asciiTheme="majorBidi" w:hAnsiTheme="majorBidi" w:cstheme="majorBidi"/>
          <w:lang w:val="en-US"/>
        </w:rPr>
      </w:pPr>
    </w:p>
    <w:p w14:paraId="63730590" w14:textId="1D5B55F5" w:rsidR="001A3595" w:rsidRPr="007F54C6" w:rsidRDefault="009A13C2" w:rsidP="00B36934">
      <w:pPr>
        <w:jc w:val="both"/>
        <w:rPr>
          <w:rFonts w:asciiTheme="majorBidi" w:hAnsiTheme="majorBidi" w:cstheme="majorBidi"/>
          <w:lang w:val="en-US"/>
        </w:rPr>
      </w:pPr>
      <w:r w:rsidRPr="007F54C6">
        <w:rPr>
          <w:rFonts w:asciiTheme="majorBidi" w:hAnsiTheme="majorBidi" w:cstheme="majorBidi"/>
          <w:lang w:val="en-US"/>
        </w:rPr>
        <w:t xml:space="preserve">§ </w:t>
      </w:r>
      <w:r w:rsidR="00BC3997" w:rsidRPr="007F54C6">
        <w:rPr>
          <w:rFonts w:asciiTheme="majorBidi" w:hAnsiTheme="majorBidi" w:cstheme="majorBidi"/>
          <w:lang w:val="en-US"/>
        </w:rPr>
        <w:t>2</w:t>
      </w:r>
      <w:r w:rsidRPr="007F54C6">
        <w:rPr>
          <w:rFonts w:asciiTheme="majorBidi" w:hAnsiTheme="majorBidi" w:cstheme="majorBidi"/>
          <w:lang w:val="en-US"/>
        </w:rPr>
        <w:t xml:space="preserve">. </w:t>
      </w:r>
      <w:r w:rsidR="001A3595" w:rsidRPr="007F54C6">
        <w:rPr>
          <w:rFonts w:asciiTheme="majorBidi" w:hAnsiTheme="majorBidi" w:cstheme="majorBidi"/>
          <w:lang w:val="en-US"/>
        </w:rPr>
        <w:t xml:space="preserve">This contribution </w:t>
      </w:r>
      <w:r w:rsidR="0031443D">
        <w:rPr>
          <w:rFonts w:asciiTheme="majorBidi" w:hAnsiTheme="majorBidi" w:cstheme="majorBidi"/>
          <w:lang w:val="en-US"/>
        </w:rPr>
        <w:t>considers</w:t>
      </w:r>
      <w:r w:rsidR="001A3595" w:rsidRPr="007F54C6">
        <w:rPr>
          <w:rFonts w:asciiTheme="majorBidi" w:hAnsiTheme="majorBidi" w:cstheme="majorBidi"/>
          <w:lang w:val="en-US"/>
        </w:rPr>
        <w:t xml:space="preserve"> the obligations of States Parties to the 2006 International Convention for the Protection of All Persons from Enforced Disappearance (ICPPED) in relation to the various risk factors faced by migrants in transit from one country to another</w:t>
      </w:r>
      <w:r w:rsidR="001D4223" w:rsidRPr="007F54C6">
        <w:rPr>
          <w:rFonts w:asciiTheme="majorBidi" w:hAnsiTheme="majorBidi" w:cstheme="majorBidi"/>
          <w:lang w:val="en-US"/>
        </w:rPr>
        <w:t xml:space="preserve"> </w:t>
      </w:r>
      <w:r w:rsidR="001A3595" w:rsidRPr="007F54C6">
        <w:rPr>
          <w:rFonts w:asciiTheme="majorBidi" w:hAnsiTheme="majorBidi" w:cstheme="majorBidi"/>
          <w:lang w:val="en-US"/>
        </w:rPr>
        <w:t xml:space="preserve">and the impact of repeated pushbacks on land and sea in contravention of the non-refoulement principle. </w:t>
      </w:r>
      <w:r w:rsidRPr="007F54C6">
        <w:rPr>
          <w:rFonts w:asciiTheme="majorBidi" w:hAnsiTheme="majorBidi" w:cstheme="majorBidi"/>
          <w:lang w:val="en-US"/>
        </w:rPr>
        <w:t xml:space="preserve">In this context, we </w:t>
      </w:r>
      <w:r w:rsidR="0061693D" w:rsidRPr="007F54C6">
        <w:rPr>
          <w:rFonts w:asciiTheme="majorBidi" w:hAnsiTheme="majorBidi" w:cstheme="majorBidi"/>
          <w:lang w:val="en-US"/>
        </w:rPr>
        <w:t xml:space="preserve">propose that if systematic impunity for </w:t>
      </w:r>
      <w:r w:rsidR="000B14DC">
        <w:rPr>
          <w:rFonts w:asciiTheme="majorBidi" w:hAnsiTheme="majorBidi" w:cstheme="majorBidi"/>
          <w:lang w:val="en-US"/>
        </w:rPr>
        <w:t xml:space="preserve">migrant </w:t>
      </w:r>
      <w:r w:rsidR="0061693D" w:rsidRPr="007F54C6">
        <w:rPr>
          <w:rFonts w:asciiTheme="majorBidi" w:hAnsiTheme="majorBidi" w:cstheme="majorBidi"/>
          <w:lang w:val="en-US"/>
        </w:rPr>
        <w:t>disappearance</w:t>
      </w:r>
      <w:r w:rsidR="000B14DC">
        <w:rPr>
          <w:rFonts w:asciiTheme="majorBidi" w:hAnsiTheme="majorBidi" w:cstheme="majorBidi"/>
          <w:lang w:val="en-US"/>
        </w:rPr>
        <w:t>s</w:t>
      </w:r>
      <w:r w:rsidR="0061693D" w:rsidRPr="007F54C6">
        <w:rPr>
          <w:rFonts w:asciiTheme="majorBidi" w:hAnsiTheme="majorBidi" w:cstheme="majorBidi"/>
          <w:lang w:val="en-US"/>
        </w:rPr>
        <w:t xml:space="preserve">, in circumstances where the State </w:t>
      </w:r>
      <w:r w:rsidR="001D4223" w:rsidRPr="007F54C6">
        <w:rPr>
          <w:rFonts w:asciiTheme="majorBidi" w:hAnsiTheme="majorBidi" w:cstheme="majorBidi"/>
          <w:lang w:val="en-US"/>
        </w:rPr>
        <w:t>“</w:t>
      </w:r>
      <w:r w:rsidR="0061693D" w:rsidRPr="007F54C6">
        <w:rPr>
          <w:rFonts w:asciiTheme="majorBidi" w:hAnsiTheme="majorBidi" w:cstheme="majorBidi"/>
          <w:lang w:val="en-US"/>
        </w:rPr>
        <w:t>knew or had reason to know</w:t>
      </w:r>
      <w:r w:rsidR="001D4223" w:rsidRPr="007F54C6">
        <w:rPr>
          <w:rFonts w:asciiTheme="majorBidi" w:hAnsiTheme="majorBidi" w:cstheme="majorBidi"/>
          <w:lang w:val="en-US"/>
        </w:rPr>
        <w:t>”</w:t>
      </w:r>
      <w:r w:rsidR="0061693D" w:rsidRPr="007F54C6">
        <w:rPr>
          <w:rFonts w:asciiTheme="majorBidi" w:hAnsiTheme="majorBidi" w:cstheme="majorBidi"/>
          <w:lang w:val="en-US"/>
        </w:rPr>
        <w:t xml:space="preserve"> of the risk of disappearance of migrants and should have taken appropriate measures to prevent such risk from materializing</w:t>
      </w:r>
      <w:r w:rsidRPr="007F54C6">
        <w:rPr>
          <w:rFonts w:asciiTheme="majorBidi" w:hAnsiTheme="majorBidi" w:cstheme="majorBidi"/>
          <w:lang w:val="en-US"/>
        </w:rPr>
        <w:t>, raises to a certain level</w:t>
      </w:r>
      <w:r w:rsidR="0061693D" w:rsidRPr="007F54C6">
        <w:rPr>
          <w:rFonts w:asciiTheme="majorBidi" w:hAnsiTheme="majorBidi" w:cstheme="majorBidi"/>
          <w:lang w:val="en-US"/>
        </w:rPr>
        <w:t>,</w:t>
      </w:r>
      <w:r w:rsidRPr="007F54C6">
        <w:rPr>
          <w:rFonts w:asciiTheme="majorBidi" w:hAnsiTheme="majorBidi" w:cstheme="majorBidi"/>
          <w:lang w:val="en-US"/>
        </w:rPr>
        <w:t xml:space="preserve"> </w:t>
      </w:r>
      <w:r w:rsidR="0061693D" w:rsidRPr="007F54C6">
        <w:rPr>
          <w:rFonts w:asciiTheme="majorBidi" w:hAnsiTheme="majorBidi" w:cstheme="majorBidi"/>
          <w:lang w:val="en-US"/>
        </w:rPr>
        <w:t xml:space="preserve">such actions </w:t>
      </w:r>
      <w:r w:rsidR="00B36934">
        <w:rPr>
          <w:rFonts w:asciiTheme="majorBidi" w:hAnsiTheme="majorBidi" w:cstheme="majorBidi"/>
          <w:lang w:val="en-US"/>
        </w:rPr>
        <w:t>go beyond a mere violation</w:t>
      </w:r>
      <w:r w:rsidR="0061693D" w:rsidRPr="007F54C6">
        <w:rPr>
          <w:rFonts w:asciiTheme="majorBidi" w:hAnsiTheme="majorBidi" w:cstheme="majorBidi"/>
          <w:lang w:val="en-US"/>
        </w:rPr>
        <w:t xml:space="preserve"> of Article 3 of the ICPPED or a breach of due diligence, but could </w:t>
      </w:r>
      <w:r w:rsidR="007D090F">
        <w:rPr>
          <w:rFonts w:asciiTheme="majorBidi" w:hAnsiTheme="majorBidi" w:cstheme="majorBidi"/>
          <w:lang w:val="en-US"/>
        </w:rPr>
        <w:t xml:space="preserve">rather </w:t>
      </w:r>
      <w:r w:rsidR="0061693D" w:rsidRPr="007F54C6">
        <w:rPr>
          <w:rFonts w:asciiTheme="majorBidi" w:hAnsiTheme="majorBidi" w:cstheme="majorBidi"/>
          <w:lang w:val="en-US"/>
        </w:rPr>
        <w:t xml:space="preserve">be qualified as </w:t>
      </w:r>
      <w:r w:rsidR="00B36934">
        <w:rPr>
          <w:rFonts w:asciiTheme="majorBidi" w:hAnsiTheme="majorBidi" w:cstheme="majorBidi"/>
          <w:lang w:val="en-US"/>
        </w:rPr>
        <w:t>“</w:t>
      </w:r>
      <w:r w:rsidR="0061693D" w:rsidRPr="007F54C6">
        <w:rPr>
          <w:rFonts w:asciiTheme="majorBidi" w:hAnsiTheme="majorBidi" w:cstheme="majorBidi"/>
          <w:lang w:val="en-US"/>
        </w:rPr>
        <w:t>acquiescence</w:t>
      </w:r>
      <w:r w:rsidR="00B36934">
        <w:rPr>
          <w:rFonts w:asciiTheme="majorBidi" w:hAnsiTheme="majorBidi" w:cstheme="majorBidi"/>
          <w:lang w:val="en-US"/>
        </w:rPr>
        <w:t>”</w:t>
      </w:r>
      <w:r w:rsidR="0061693D" w:rsidRPr="007F54C6">
        <w:rPr>
          <w:rFonts w:asciiTheme="majorBidi" w:hAnsiTheme="majorBidi" w:cstheme="majorBidi"/>
          <w:lang w:val="en-US"/>
        </w:rPr>
        <w:t xml:space="preserve"> within the meaning of Article 2 of the ICPPED.</w:t>
      </w:r>
      <w:r w:rsidR="00B36934">
        <w:rPr>
          <w:rFonts w:asciiTheme="majorBidi" w:hAnsiTheme="majorBidi" w:cstheme="majorBidi"/>
          <w:lang w:val="en-US"/>
        </w:rPr>
        <w:t xml:space="preserve"> </w:t>
      </w:r>
      <w:r w:rsidR="00B36934" w:rsidRPr="00B36934">
        <w:rPr>
          <w:rFonts w:asciiTheme="majorBidi" w:hAnsiTheme="majorBidi" w:cstheme="majorBidi"/>
          <w:lang w:val="en-US"/>
        </w:rPr>
        <w:t xml:space="preserve">Indeed, as the UN </w:t>
      </w:r>
      <w:r w:rsidR="00B36934">
        <w:rPr>
          <w:rFonts w:asciiTheme="majorBidi" w:hAnsiTheme="majorBidi" w:cstheme="majorBidi"/>
          <w:lang w:val="en-US"/>
        </w:rPr>
        <w:t>W</w:t>
      </w:r>
      <w:r w:rsidR="00B36934" w:rsidRPr="00B36934">
        <w:rPr>
          <w:rFonts w:asciiTheme="majorBidi" w:hAnsiTheme="majorBidi" w:cstheme="majorBidi"/>
          <w:lang w:val="en-US"/>
        </w:rPr>
        <w:t>orking Group on Enforced or Involuntary Disappearances indicated in its 2017 Report on enforced disappearances in the context of migration, “systematic situations of impunity regarding the abduction and detention of migrants by private actors, including smugglers or traffickers, could be considered in certain circumstances as a form of acquiescence and, as such, constitute enforced disappearance</w:t>
      </w:r>
      <w:r w:rsidR="00B36934">
        <w:rPr>
          <w:rFonts w:asciiTheme="majorBidi" w:hAnsiTheme="majorBidi" w:cstheme="majorBidi"/>
          <w:lang w:val="en-US"/>
        </w:rPr>
        <w:t>.</w:t>
      </w:r>
      <w:r w:rsidR="00B36934" w:rsidRPr="00B36934">
        <w:rPr>
          <w:rFonts w:asciiTheme="majorBidi" w:hAnsiTheme="majorBidi" w:cstheme="majorBidi"/>
          <w:lang w:val="en-US"/>
        </w:rPr>
        <w:t>”</w:t>
      </w:r>
      <w:r w:rsidR="00B36934" w:rsidRPr="00B36934">
        <w:rPr>
          <w:rFonts w:asciiTheme="majorBidi" w:hAnsiTheme="majorBidi" w:cstheme="majorBidi"/>
          <w:vertAlign w:val="superscript"/>
          <w:lang w:val="en-US"/>
        </w:rPr>
        <w:footnoteReference w:id="4"/>
      </w:r>
      <w:r w:rsidR="00B36934">
        <w:rPr>
          <w:rFonts w:asciiTheme="majorBidi" w:hAnsiTheme="majorBidi" w:cstheme="majorBidi"/>
          <w:lang w:val="en-US"/>
        </w:rPr>
        <w:t xml:space="preserve"> </w:t>
      </w:r>
      <w:r w:rsidR="00B36934">
        <w:rPr>
          <w:rFonts w:asciiTheme="majorBidi" w:hAnsiTheme="majorBidi" w:cstheme="majorBidi"/>
          <w:color w:val="000000"/>
          <w:lang w:val="en-US"/>
        </w:rPr>
        <w:t>Given</w:t>
      </w:r>
      <w:r w:rsidR="007F54C6" w:rsidRPr="007F54C6">
        <w:rPr>
          <w:rFonts w:asciiTheme="majorBidi" w:hAnsiTheme="majorBidi" w:cstheme="majorBidi"/>
          <w:color w:val="000000"/>
          <w:lang w:val="en-US"/>
        </w:rPr>
        <w:t xml:space="preserve"> </w:t>
      </w:r>
      <w:r w:rsidR="00B36934" w:rsidRPr="00B36934">
        <w:rPr>
          <w:rFonts w:asciiTheme="majorBidi" w:hAnsiTheme="majorBidi" w:cstheme="majorBidi"/>
          <w:color w:val="000000"/>
          <w:lang w:val="en-US"/>
        </w:rPr>
        <w:t xml:space="preserve">the aim of the General Comment to assist </w:t>
      </w:r>
      <w:r w:rsidR="00CB4ACA">
        <w:rPr>
          <w:rFonts w:asciiTheme="majorBidi" w:hAnsiTheme="majorBidi" w:cstheme="majorBidi"/>
          <w:color w:val="000000"/>
          <w:lang w:val="en-US"/>
        </w:rPr>
        <w:t>S</w:t>
      </w:r>
      <w:r w:rsidR="00B36934" w:rsidRPr="00B36934">
        <w:rPr>
          <w:rFonts w:asciiTheme="majorBidi" w:hAnsiTheme="majorBidi" w:cstheme="majorBidi"/>
          <w:color w:val="000000"/>
          <w:lang w:val="en-US"/>
        </w:rPr>
        <w:t>tates in developing policies to protect migrants</w:t>
      </w:r>
      <w:r w:rsidR="007F54C6" w:rsidRPr="007F54C6">
        <w:rPr>
          <w:rFonts w:asciiTheme="majorBidi" w:hAnsiTheme="majorBidi" w:cstheme="majorBidi"/>
          <w:color w:val="000000"/>
          <w:lang w:val="en-US"/>
        </w:rPr>
        <w:t xml:space="preserve">, </w:t>
      </w:r>
      <w:r w:rsidR="00B36934">
        <w:rPr>
          <w:rFonts w:asciiTheme="majorBidi" w:hAnsiTheme="majorBidi" w:cstheme="majorBidi"/>
          <w:color w:val="000000"/>
          <w:lang w:val="en-US"/>
        </w:rPr>
        <w:t>the latter should</w:t>
      </w:r>
      <w:r w:rsidR="007F54C6" w:rsidRPr="007F54C6">
        <w:rPr>
          <w:rFonts w:asciiTheme="majorBidi" w:hAnsiTheme="majorBidi" w:cstheme="majorBidi"/>
          <w:color w:val="000000"/>
          <w:lang w:val="en-US"/>
        </w:rPr>
        <w:t xml:space="preserve"> highlight what obligations </w:t>
      </w:r>
      <w:r w:rsidR="00CB4ACA">
        <w:rPr>
          <w:rFonts w:asciiTheme="majorBidi" w:hAnsiTheme="majorBidi" w:cstheme="majorBidi"/>
          <w:color w:val="000000"/>
          <w:lang w:val="en-US"/>
        </w:rPr>
        <w:t>s</w:t>
      </w:r>
      <w:r w:rsidR="007F54C6" w:rsidRPr="007F54C6">
        <w:rPr>
          <w:rFonts w:asciiTheme="majorBidi" w:hAnsiTheme="majorBidi" w:cstheme="majorBidi"/>
          <w:color w:val="000000"/>
          <w:lang w:val="en-US"/>
        </w:rPr>
        <w:t xml:space="preserve">tate actors have in relation to the prevention of enforced disappearances in contexts of corruption, widespread </w:t>
      </w:r>
      <w:r w:rsidR="007F54C6" w:rsidRPr="007F54C6">
        <w:rPr>
          <w:rFonts w:asciiTheme="majorBidi" w:hAnsiTheme="majorBidi" w:cstheme="majorBidi"/>
          <w:color w:val="000000"/>
          <w:lang w:val="en-US"/>
        </w:rPr>
        <w:lastRenderedPageBreak/>
        <w:t>violence and discrimination, and under which conditions a failure to act (both in preventing and responding to disappearances) constitutes acquiescence</w:t>
      </w:r>
      <w:r w:rsidR="0031443D">
        <w:rPr>
          <w:rFonts w:asciiTheme="majorBidi" w:hAnsiTheme="majorBidi" w:cstheme="majorBidi"/>
          <w:color w:val="000000"/>
          <w:lang w:val="en-US"/>
        </w:rPr>
        <w:t>.</w:t>
      </w:r>
    </w:p>
    <w:p w14:paraId="524F5A25" w14:textId="797D80E8" w:rsidR="001A3595" w:rsidRDefault="001A3595" w:rsidP="009A13C2">
      <w:pPr>
        <w:jc w:val="both"/>
        <w:rPr>
          <w:rFonts w:asciiTheme="majorBidi" w:hAnsiTheme="majorBidi" w:cstheme="majorBidi"/>
          <w:lang w:val="en-US"/>
        </w:rPr>
      </w:pPr>
    </w:p>
    <w:p w14:paraId="03789A1C" w14:textId="73E07B14" w:rsidR="00BC3997" w:rsidRPr="00BC3997" w:rsidRDefault="00BF16A1" w:rsidP="00BC3997">
      <w:pPr>
        <w:jc w:val="both"/>
        <w:rPr>
          <w:rFonts w:asciiTheme="majorBidi" w:hAnsiTheme="majorBidi" w:cstheme="majorBidi"/>
          <w:lang w:val="en-US"/>
        </w:rPr>
      </w:pPr>
      <w:r>
        <w:rPr>
          <w:rFonts w:asciiTheme="majorBidi" w:hAnsiTheme="majorBidi" w:cstheme="majorBidi"/>
          <w:lang w:val="en-US"/>
        </w:rPr>
        <w:t xml:space="preserve">§ </w:t>
      </w:r>
      <w:r w:rsidR="00BC3997">
        <w:rPr>
          <w:rFonts w:asciiTheme="majorBidi" w:hAnsiTheme="majorBidi" w:cstheme="majorBidi"/>
          <w:lang w:val="en-US"/>
        </w:rPr>
        <w:t>3.</w:t>
      </w:r>
      <w:r>
        <w:rPr>
          <w:rFonts w:asciiTheme="majorBidi" w:hAnsiTheme="majorBidi" w:cstheme="majorBidi"/>
          <w:lang w:val="en-US"/>
        </w:rPr>
        <w:t xml:space="preserve"> </w:t>
      </w:r>
      <w:r w:rsidR="00DC1FC5">
        <w:rPr>
          <w:rFonts w:asciiTheme="majorBidi" w:hAnsiTheme="majorBidi" w:cstheme="majorBidi"/>
          <w:lang w:val="en-US"/>
        </w:rPr>
        <w:t xml:space="preserve">The distinction between </w:t>
      </w:r>
      <w:r w:rsidR="00B36934">
        <w:rPr>
          <w:rFonts w:asciiTheme="majorBidi" w:hAnsiTheme="majorBidi" w:cstheme="majorBidi"/>
          <w:lang w:val="en-US"/>
        </w:rPr>
        <w:t xml:space="preserve">the concept of </w:t>
      </w:r>
      <w:r w:rsidR="00DC1FC5">
        <w:rPr>
          <w:rFonts w:asciiTheme="majorBidi" w:hAnsiTheme="majorBidi" w:cstheme="majorBidi"/>
          <w:lang w:val="en-US"/>
        </w:rPr>
        <w:t xml:space="preserve">breaches of due diligence obligations and </w:t>
      </w:r>
      <w:r w:rsidR="00B36934">
        <w:rPr>
          <w:rFonts w:asciiTheme="majorBidi" w:hAnsiTheme="majorBidi" w:cstheme="majorBidi"/>
          <w:lang w:val="en-US"/>
        </w:rPr>
        <w:t xml:space="preserve">the concept of </w:t>
      </w:r>
      <w:r w:rsidR="00DC1FC5">
        <w:rPr>
          <w:rFonts w:asciiTheme="majorBidi" w:hAnsiTheme="majorBidi" w:cstheme="majorBidi"/>
          <w:lang w:val="en-US"/>
        </w:rPr>
        <w:t xml:space="preserve">acquiescence in these cases is crucial because </w:t>
      </w:r>
      <w:r w:rsidR="00DC1FC5" w:rsidRPr="00DC1FC5">
        <w:rPr>
          <w:rFonts w:asciiTheme="majorBidi" w:hAnsiTheme="majorBidi" w:cstheme="majorBidi"/>
          <w:lang w:val="en-US"/>
        </w:rPr>
        <w:t xml:space="preserve">disappearances committed by non-state actors </w:t>
      </w:r>
      <w:r w:rsidR="00DC1FC5">
        <w:rPr>
          <w:rFonts w:asciiTheme="majorBidi" w:hAnsiTheme="majorBidi" w:cstheme="majorBidi"/>
          <w:lang w:val="en-US"/>
        </w:rPr>
        <w:t xml:space="preserve">or </w:t>
      </w:r>
      <w:proofErr w:type="gramStart"/>
      <w:r w:rsidR="000F0B46">
        <w:rPr>
          <w:rFonts w:asciiTheme="majorBidi" w:hAnsiTheme="majorBidi" w:cstheme="majorBidi"/>
          <w:lang w:val="en-US"/>
        </w:rPr>
        <w:t>as a result of</w:t>
      </w:r>
      <w:proofErr w:type="gramEnd"/>
      <w:r w:rsidR="000F0B46">
        <w:rPr>
          <w:rFonts w:asciiTheme="majorBidi" w:hAnsiTheme="majorBidi" w:cstheme="majorBidi"/>
          <w:lang w:val="en-US"/>
        </w:rPr>
        <w:t xml:space="preserve"> </w:t>
      </w:r>
      <w:r w:rsidR="00DC1FC5">
        <w:rPr>
          <w:rFonts w:asciiTheme="majorBidi" w:hAnsiTheme="majorBidi" w:cstheme="majorBidi"/>
          <w:lang w:val="en-US"/>
        </w:rPr>
        <w:t>omissions that place migrants in a dangerous si</w:t>
      </w:r>
      <w:r w:rsidR="001D4223">
        <w:rPr>
          <w:rFonts w:asciiTheme="majorBidi" w:hAnsiTheme="majorBidi" w:cstheme="majorBidi"/>
          <w:lang w:val="en-US"/>
        </w:rPr>
        <w:t>tu</w:t>
      </w:r>
      <w:r w:rsidR="00DC1FC5">
        <w:rPr>
          <w:rFonts w:asciiTheme="majorBidi" w:hAnsiTheme="majorBidi" w:cstheme="majorBidi"/>
          <w:lang w:val="en-US"/>
        </w:rPr>
        <w:t xml:space="preserve">ation resulting in their disappearance </w:t>
      </w:r>
      <w:r w:rsidR="00DC1FC5" w:rsidRPr="00DC1FC5">
        <w:rPr>
          <w:rFonts w:asciiTheme="majorBidi" w:hAnsiTheme="majorBidi" w:cstheme="majorBidi"/>
          <w:lang w:val="en-US"/>
        </w:rPr>
        <w:t xml:space="preserve">can be directly attributed to the </w:t>
      </w:r>
      <w:r w:rsidR="006E054F">
        <w:rPr>
          <w:rFonts w:asciiTheme="majorBidi" w:hAnsiTheme="majorBidi" w:cstheme="majorBidi"/>
          <w:lang w:val="en-US"/>
        </w:rPr>
        <w:t>S</w:t>
      </w:r>
      <w:r w:rsidR="00DC1FC5" w:rsidRPr="00DC1FC5">
        <w:rPr>
          <w:rFonts w:asciiTheme="majorBidi" w:hAnsiTheme="majorBidi" w:cstheme="majorBidi"/>
          <w:lang w:val="en-US"/>
        </w:rPr>
        <w:t xml:space="preserve">tate if the perpetrators act with the </w:t>
      </w:r>
      <w:proofErr w:type="spellStart"/>
      <w:r w:rsidR="00DC1FC5" w:rsidRPr="00DC1FC5">
        <w:rPr>
          <w:rFonts w:asciiTheme="majorBidi" w:hAnsiTheme="majorBidi" w:cstheme="majorBidi"/>
          <w:i/>
          <w:iCs/>
          <w:lang w:val="en-US"/>
        </w:rPr>
        <w:t>authorisation</w:t>
      </w:r>
      <w:proofErr w:type="spellEnd"/>
      <w:r w:rsidR="00DC1FC5" w:rsidRPr="00DC1FC5">
        <w:rPr>
          <w:rFonts w:asciiTheme="majorBidi" w:hAnsiTheme="majorBidi" w:cstheme="majorBidi"/>
          <w:i/>
          <w:iCs/>
          <w:lang w:val="en-US"/>
        </w:rPr>
        <w:t>, support o</w:t>
      </w:r>
      <w:r w:rsidR="00DC1FC5">
        <w:rPr>
          <w:rFonts w:asciiTheme="majorBidi" w:hAnsiTheme="majorBidi" w:cstheme="majorBidi"/>
          <w:i/>
          <w:iCs/>
          <w:lang w:val="en-US"/>
        </w:rPr>
        <w:t xml:space="preserve">r </w:t>
      </w:r>
      <w:r w:rsidR="00DC1FC5" w:rsidRPr="00DC1FC5">
        <w:rPr>
          <w:rFonts w:asciiTheme="majorBidi" w:hAnsiTheme="majorBidi" w:cstheme="majorBidi"/>
          <w:i/>
          <w:iCs/>
          <w:lang w:val="en-US"/>
        </w:rPr>
        <w:t xml:space="preserve">acquiescence </w:t>
      </w:r>
      <w:r w:rsidR="00DC1FC5" w:rsidRPr="00DC1FC5">
        <w:rPr>
          <w:rFonts w:asciiTheme="majorBidi" w:hAnsiTheme="majorBidi" w:cstheme="majorBidi"/>
          <w:lang w:val="en-US"/>
        </w:rPr>
        <w:t>of a state actor</w:t>
      </w:r>
      <w:r w:rsidR="00DC1FC5">
        <w:rPr>
          <w:rFonts w:asciiTheme="majorBidi" w:hAnsiTheme="majorBidi" w:cstheme="majorBidi"/>
          <w:lang w:val="en-US"/>
        </w:rPr>
        <w:t xml:space="preserve"> as outlined in Article 2 ICCPED</w:t>
      </w:r>
      <w:r w:rsidR="00BC3997">
        <w:rPr>
          <w:rFonts w:asciiTheme="majorBidi" w:hAnsiTheme="majorBidi" w:cstheme="majorBidi"/>
          <w:lang w:val="en-US"/>
        </w:rPr>
        <w:t>. T</w:t>
      </w:r>
      <w:r w:rsidR="00DC1FC5" w:rsidRPr="00DC1FC5">
        <w:rPr>
          <w:rFonts w:asciiTheme="majorBidi" w:hAnsiTheme="majorBidi" w:cstheme="majorBidi"/>
          <w:lang w:val="en-US"/>
        </w:rPr>
        <w:t xml:space="preserve">his makes the disappearance an </w:t>
      </w:r>
      <w:r w:rsidR="00DC1FC5" w:rsidRPr="00DC1FC5">
        <w:rPr>
          <w:rFonts w:asciiTheme="majorBidi" w:hAnsiTheme="majorBidi" w:cstheme="majorBidi"/>
          <w:i/>
          <w:iCs/>
          <w:lang w:val="en-US"/>
        </w:rPr>
        <w:t xml:space="preserve">enforced </w:t>
      </w:r>
      <w:r w:rsidR="00DC1FC5" w:rsidRPr="00DC1FC5">
        <w:rPr>
          <w:rFonts w:asciiTheme="majorBidi" w:hAnsiTheme="majorBidi" w:cstheme="majorBidi"/>
          <w:lang w:val="en-US"/>
        </w:rPr>
        <w:t xml:space="preserve">disappearance </w:t>
      </w:r>
      <w:r w:rsidR="006E054F">
        <w:rPr>
          <w:rFonts w:asciiTheme="majorBidi" w:hAnsiTheme="majorBidi" w:cstheme="majorBidi"/>
          <w:lang w:val="en-US"/>
        </w:rPr>
        <w:t>under international law</w:t>
      </w:r>
      <w:r w:rsidR="000B14DC">
        <w:rPr>
          <w:rFonts w:asciiTheme="majorBidi" w:hAnsiTheme="majorBidi" w:cstheme="majorBidi"/>
          <w:lang w:val="en-US"/>
        </w:rPr>
        <w:t xml:space="preserve">, </w:t>
      </w:r>
      <w:r w:rsidR="00DC1FC5" w:rsidRPr="00DC1FC5">
        <w:rPr>
          <w:rFonts w:asciiTheme="majorBidi" w:hAnsiTheme="majorBidi" w:cstheme="majorBidi"/>
          <w:lang w:val="en-US"/>
        </w:rPr>
        <w:t>thereby engag</w:t>
      </w:r>
      <w:r w:rsidR="000B14DC">
        <w:rPr>
          <w:rFonts w:asciiTheme="majorBidi" w:hAnsiTheme="majorBidi" w:cstheme="majorBidi"/>
          <w:lang w:val="en-US"/>
        </w:rPr>
        <w:t>ing</w:t>
      </w:r>
      <w:r w:rsidR="00DC1FC5" w:rsidRPr="00DC1FC5">
        <w:rPr>
          <w:rFonts w:asciiTheme="majorBidi" w:hAnsiTheme="majorBidi" w:cstheme="majorBidi"/>
          <w:lang w:val="en-US"/>
        </w:rPr>
        <w:t xml:space="preserve"> the </w:t>
      </w:r>
      <w:r w:rsidR="006E054F">
        <w:rPr>
          <w:rFonts w:asciiTheme="majorBidi" w:hAnsiTheme="majorBidi" w:cstheme="majorBidi"/>
          <w:lang w:val="en-US"/>
        </w:rPr>
        <w:t xml:space="preserve">direct </w:t>
      </w:r>
      <w:r w:rsidR="00DC1FC5" w:rsidRPr="00DC1FC5">
        <w:rPr>
          <w:rFonts w:asciiTheme="majorBidi" w:hAnsiTheme="majorBidi" w:cstheme="majorBidi"/>
          <w:lang w:val="en-US"/>
        </w:rPr>
        <w:t xml:space="preserve">responsibility of the </w:t>
      </w:r>
      <w:r w:rsidR="006E054F">
        <w:rPr>
          <w:rFonts w:asciiTheme="majorBidi" w:hAnsiTheme="majorBidi" w:cstheme="majorBidi"/>
          <w:lang w:val="en-US"/>
        </w:rPr>
        <w:t>S</w:t>
      </w:r>
      <w:r w:rsidR="00DC1FC5" w:rsidRPr="00DC1FC5">
        <w:rPr>
          <w:rFonts w:asciiTheme="majorBidi" w:hAnsiTheme="majorBidi" w:cstheme="majorBidi"/>
          <w:lang w:val="en-US"/>
        </w:rPr>
        <w:t>tate</w:t>
      </w:r>
      <w:r w:rsidR="000B14DC">
        <w:rPr>
          <w:rFonts w:asciiTheme="majorBidi" w:hAnsiTheme="majorBidi" w:cstheme="majorBidi"/>
          <w:lang w:val="en-US"/>
        </w:rPr>
        <w:t>,</w:t>
      </w:r>
      <w:r w:rsidR="00BC3997">
        <w:rPr>
          <w:rFonts w:asciiTheme="majorBidi" w:hAnsiTheme="majorBidi" w:cstheme="majorBidi"/>
          <w:lang w:val="en-US"/>
        </w:rPr>
        <w:t xml:space="preserve"> </w:t>
      </w:r>
      <w:r w:rsidR="006E054F">
        <w:rPr>
          <w:rFonts w:asciiTheme="majorBidi" w:hAnsiTheme="majorBidi" w:cstheme="majorBidi"/>
          <w:lang w:val="en-US"/>
        </w:rPr>
        <w:t xml:space="preserve">and </w:t>
      </w:r>
      <w:r w:rsidR="00BC3997">
        <w:rPr>
          <w:rFonts w:asciiTheme="majorBidi" w:hAnsiTheme="majorBidi" w:cstheme="majorBidi"/>
          <w:lang w:val="en-US"/>
        </w:rPr>
        <w:t>result</w:t>
      </w:r>
      <w:r w:rsidR="006E054F">
        <w:rPr>
          <w:rFonts w:asciiTheme="majorBidi" w:hAnsiTheme="majorBidi" w:cstheme="majorBidi"/>
          <w:lang w:val="en-US"/>
        </w:rPr>
        <w:t>s</w:t>
      </w:r>
      <w:r w:rsidR="00BC3997">
        <w:rPr>
          <w:rFonts w:asciiTheme="majorBidi" w:hAnsiTheme="majorBidi" w:cstheme="majorBidi"/>
          <w:lang w:val="en-US"/>
        </w:rPr>
        <w:t xml:space="preserve"> in</w:t>
      </w:r>
      <w:r w:rsidR="00BC3997" w:rsidRPr="00BC3997">
        <w:rPr>
          <w:rFonts w:asciiTheme="majorBidi" w:hAnsiTheme="majorBidi" w:cstheme="majorBidi"/>
          <w:lang w:val="en-US"/>
        </w:rPr>
        <w:t xml:space="preserve"> </w:t>
      </w:r>
      <w:r w:rsidR="006E054F">
        <w:rPr>
          <w:rFonts w:asciiTheme="majorBidi" w:hAnsiTheme="majorBidi" w:cstheme="majorBidi"/>
          <w:lang w:val="en-US"/>
        </w:rPr>
        <w:t>specific</w:t>
      </w:r>
      <w:r w:rsidR="00BC3997" w:rsidRPr="00BC3997">
        <w:rPr>
          <w:rFonts w:asciiTheme="majorBidi" w:hAnsiTheme="majorBidi" w:cstheme="majorBidi"/>
          <w:lang w:val="en-US"/>
        </w:rPr>
        <w:t xml:space="preserve"> obligations </w:t>
      </w:r>
      <w:r w:rsidR="00BC3997">
        <w:rPr>
          <w:rFonts w:asciiTheme="majorBidi" w:hAnsiTheme="majorBidi" w:cstheme="majorBidi"/>
          <w:lang w:val="en-US"/>
        </w:rPr>
        <w:t>vis-à-vis</w:t>
      </w:r>
      <w:r w:rsidR="00BC3997" w:rsidRPr="00BC3997">
        <w:rPr>
          <w:rFonts w:asciiTheme="majorBidi" w:hAnsiTheme="majorBidi" w:cstheme="majorBidi"/>
          <w:lang w:val="en-US"/>
        </w:rPr>
        <w:t xml:space="preserve"> victims, particularly with respect to reparations. </w:t>
      </w:r>
    </w:p>
    <w:p w14:paraId="29E19119" w14:textId="77777777" w:rsidR="00BF16A1" w:rsidRPr="00350166" w:rsidRDefault="00BF16A1" w:rsidP="009A13C2">
      <w:pPr>
        <w:jc w:val="both"/>
        <w:rPr>
          <w:rFonts w:asciiTheme="majorBidi" w:hAnsiTheme="majorBidi" w:cstheme="majorBidi"/>
          <w:color w:val="000000" w:themeColor="text1"/>
          <w:lang w:val="en-US"/>
        </w:rPr>
      </w:pPr>
    </w:p>
    <w:p w14:paraId="351A1831" w14:textId="225FDC16" w:rsidR="009A13C2" w:rsidRPr="003F2864" w:rsidRDefault="00BF16A1" w:rsidP="00D15E9E">
      <w:pPr>
        <w:jc w:val="both"/>
        <w:rPr>
          <w:rFonts w:asciiTheme="majorBidi" w:hAnsiTheme="majorBidi" w:cstheme="majorBidi"/>
          <w:lang w:val="en-US"/>
        </w:rPr>
      </w:pPr>
      <w:r w:rsidRPr="003F2864">
        <w:rPr>
          <w:rFonts w:asciiTheme="majorBidi" w:hAnsiTheme="majorBidi" w:cstheme="majorBidi"/>
          <w:color w:val="000000" w:themeColor="text1"/>
          <w:lang w:val="en-US"/>
        </w:rPr>
        <w:t xml:space="preserve">§ </w:t>
      </w:r>
      <w:r w:rsidR="00BC3997" w:rsidRPr="003F2864">
        <w:rPr>
          <w:rFonts w:asciiTheme="majorBidi" w:hAnsiTheme="majorBidi" w:cstheme="majorBidi"/>
          <w:color w:val="000000" w:themeColor="text1"/>
          <w:lang w:val="en-US"/>
        </w:rPr>
        <w:t>4</w:t>
      </w:r>
      <w:r w:rsidRPr="003F2864">
        <w:rPr>
          <w:rFonts w:asciiTheme="majorBidi" w:hAnsiTheme="majorBidi" w:cstheme="majorBidi"/>
          <w:color w:val="000000" w:themeColor="text1"/>
          <w:lang w:val="en-US"/>
        </w:rPr>
        <w:t xml:space="preserve">. </w:t>
      </w:r>
      <w:r w:rsidR="009A13C2" w:rsidRPr="003F2864">
        <w:rPr>
          <w:rFonts w:asciiTheme="majorBidi" w:hAnsiTheme="majorBidi" w:cstheme="majorBidi"/>
          <w:color w:val="000000" w:themeColor="text1"/>
          <w:lang w:val="en-US"/>
        </w:rPr>
        <w:t>Th</w:t>
      </w:r>
      <w:r w:rsidR="000D61F5" w:rsidRPr="003F2864">
        <w:rPr>
          <w:rFonts w:asciiTheme="majorBidi" w:hAnsiTheme="majorBidi" w:cstheme="majorBidi"/>
          <w:color w:val="000000" w:themeColor="text1"/>
          <w:lang w:val="en-US"/>
        </w:rPr>
        <w:t xml:space="preserve">ese </w:t>
      </w:r>
      <w:r w:rsidR="000D61F5" w:rsidRPr="003F2864">
        <w:rPr>
          <w:rFonts w:asciiTheme="majorBidi" w:hAnsiTheme="majorBidi" w:cstheme="majorBidi"/>
          <w:lang w:val="en-US"/>
        </w:rPr>
        <w:t>considerations</w:t>
      </w:r>
      <w:r w:rsidR="009A13C2" w:rsidRPr="003F2864">
        <w:rPr>
          <w:rFonts w:asciiTheme="majorBidi" w:hAnsiTheme="majorBidi" w:cstheme="majorBidi"/>
          <w:lang w:val="en-US"/>
        </w:rPr>
        <w:t xml:space="preserve"> </w:t>
      </w:r>
      <w:r w:rsidR="000D61F5" w:rsidRPr="003F2864">
        <w:rPr>
          <w:rFonts w:asciiTheme="majorBidi" w:hAnsiTheme="majorBidi" w:cstheme="majorBidi"/>
          <w:lang w:val="en-US"/>
        </w:rPr>
        <w:t>are</w:t>
      </w:r>
      <w:r w:rsidR="009A13C2" w:rsidRPr="003F2864">
        <w:rPr>
          <w:rFonts w:asciiTheme="majorBidi" w:hAnsiTheme="majorBidi" w:cstheme="majorBidi"/>
          <w:lang w:val="en-US"/>
        </w:rPr>
        <w:t xml:space="preserve"> </w:t>
      </w:r>
      <w:r w:rsidR="009A13C2" w:rsidRPr="003F2864">
        <w:rPr>
          <w:rFonts w:asciiTheme="majorBidi" w:hAnsiTheme="majorBidi" w:cstheme="majorBidi"/>
          <w:lang w:val="en-GB"/>
        </w:rPr>
        <w:t xml:space="preserve">essential because of the frequent blurring between the boundaries of recommended </w:t>
      </w:r>
      <w:r w:rsidR="009A13C2" w:rsidRPr="003F2864">
        <w:rPr>
          <w:rFonts w:asciiTheme="majorBidi" w:hAnsiTheme="majorBidi" w:cstheme="majorBidi"/>
          <w:i/>
          <w:iCs/>
          <w:lang w:val="en-GB"/>
        </w:rPr>
        <w:t xml:space="preserve">optional </w:t>
      </w:r>
      <w:r w:rsidR="009A13C2" w:rsidRPr="003F2864">
        <w:rPr>
          <w:rFonts w:asciiTheme="majorBidi" w:hAnsiTheme="majorBidi" w:cstheme="majorBidi"/>
          <w:lang w:val="en-GB"/>
        </w:rPr>
        <w:t xml:space="preserve">practices of States </w:t>
      </w:r>
      <w:r w:rsidR="004747FD" w:rsidRPr="003F2864">
        <w:rPr>
          <w:rFonts w:asciiTheme="majorBidi" w:hAnsiTheme="majorBidi" w:cstheme="majorBidi"/>
          <w:lang w:val="en-GB"/>
        </w:rPr>
        <w:t xml:space="preserve">and </w:t>
      </w:r>
      <w:r w:rsidR="009A13C2" w:rsidRPr="003F2864">
        <w:rPr>
          <w:rFonts w:asciiTheme="majorBidi" w:hAnsiTheme="majorBidi" w:cstheme="majorBidi"/>
          <w:i/>
          <w:iCs/>
          <w:lang w:val="en-GB"/>
        </w:rPr>
        <w:t>legally binding</w:t>
      </w:r>
      <w:r w:rsidR="009A13C2" w:rsidRPr="003F2864">
        <w:rPr>
          <w:rFonts w:asciiTheme="majorBidi" w:hAnsiTheme="majorBidi" w:cstheme="majorBidi"/>
          <w:lang w:val="en-GB"/>
        </w:rPr>
        <w:t xml:space="preserve"> </w:t>
      </w:r>
      <w:r w:rsidR="00CB4ACA" w:rsidRPr="003F2864">
        <w:rPr>
          <w:rFonts w:asciiTheme="majorBidi" w:hAnsiTheme="majorBidi" w:cstheme="majorBidi"/>
          <w:lang w:val="en-GB"/>
        </w:rPr>
        <w:t>s</w:t>
      </w:r>
      <w:r w:rsidR="009A13C2" w:rsidRPr="003F2864">
        <w:rPr>
          <w:rFonts w:asciiTheme="majorBidi" w:hAnsiTheme="majorBidi" w:cstheme="majorBidi"/>
          <w:lang w:val="en-GB"/>
        </w:rPr>
        <w:t>tate obligations enshrined in treaty and customary law</w:t>
      </w:r>
      <w:r w:rsidR="006E054F" w:rsidRPr="003F2864">
        <w:rPr>
          <w:rFonts w:asciiTheme="majorBidi" w:hAnsiTheme="majorBidi" w:cstheme="majorBidi"/>
          <w:lang w:val="en-GB"/>
        </w:rPr>
        <w:t xml:space="preserve"> - </w:t>
      </w:r>
      <w:r w:rsidR="009A13C2" w:rsidRPr="003F2864">
        <w:rPr>
          <w:rFonts w:asciiTheme="majorBidi" w:hAnsiTheme="majorBidi" w:cstheme="majorBidi"/>
          <w:lang w:val="en-GB"/>
        </w:rPr>
        <w:t xml:space="preserve">some of which have acquired </w:t>
      </w:r>
      <w:r w:rsidR="009A13C2" w:rsidRPr="003F2864">
        <w:rPr>
          <w:rFonts w:asciiTheme="majorBidi" w:hAnsiTheme="majorBidi" w:cstheme="majorBidi"/>
          <w:i/>
          <w:iCs/>
          <w:lang w:val="en-GB"/>
        </w:rPr>
        <w:t>jus cogens</w:t>
      </w:r>
      <w:r w:rsidR="009A13C2" w:rsidRPr="003F2864">
        <w:rPr>
          <w:rFonts w:asciiTheme="majorBidi" w:hAnsiTheme="majorBidi" w:cstheme="majorBidi"/>
          <w:lang w:val="en-GB"/>
        </w:rPr>
        <w:t xml:space="preserve"> status</w:t>
      </w:r>
      <w:r w:rsidR="006E054F" w:rsidRPr="003F2864">
        <w:rPr>
          <w:rFonts w:asciiTheme="majorBidi" w:hAnsiTheme="majorBidi" w:cstheme="majorBidi"/>
          <w:lang w:val="en-GB"/>
        </w:rPr>
        <w:t xml:space="preserve"> -</w:t>
      </w:r>
      <w:r w:rsidR="009A13C2" w:rsidRPr="003F2864">
        <w:rPr>
          <w:rFonts w:asciiTheme="majorBidi" w:hAnsiTheme="majorBidi" w:cstheme="majorBidi"/>
          <w:lang w:val="en-GB"/>
        </w:rPr>
        <w:t xml:space="preserve"> in the context of migrant disappearances, including enforced disappearances.</w:t>
      </w:r>
      <w:r w:rsidR="001A3595" w:rsidRPr="003F2864">
        <w:rPr>
          <w:rFonts w:asciiTheme="majorBidi" w:hAnsiTheme="majorBidi" w:cstheme="majorBidi"/>
          <w:lang w:val="en-GB"/>
        </w:rPr>
        <w:t xml:space="preserve"> </w:t>
      </w:r>
      <w:r w:rsidRPr="003F2864">
        <w:rPr>
          <w:rFonts w:asciiTheme="majorBidi" w:hAnsiTheme="majorBidi" w:cstheme="majorBidi"/>
          <w:lang w:val="en-US"/>
        </w:rPr>
        <w:t xml:space="preserve">Highlighting the element of impunity in these cases, the specific vulnerability </w:t>
      </w:r>
      <w:r w:rsidR="00751066" w:rsidRPr="003F2864">
        <w:rPr>
          <w:rFonts w:asciiTheme="majorBidi" w:hAnsiTheme="majorBidi" w:cstheme="majorBidi"/>
          <w:lang w:val="en-US"/>
        </w:rPr>
        <w:t xml:space="preserve">to which </w:t>
      </w:r>
      <w:r w:rsidRPr="003F2864">
        <w:rPr>
          <w:rFonts w:asciiTheme="majorBidi" w:hAnsiTheme="majorBidi" w:cstheme="majorBidi"/>
          <w:lang w:val="en-US"/>
        </w:rPr>
        <w:t>migrants</w:t>
      </w:r>
      <w:r w:rsidR="00751066" w:rsidRPr="003F2864">
        <w:rPr>
          <w:rFonts w:asciiTheme="majorBidi" w:hAnsiTheme="majorBidi" w:cstheme="majorBidi"/>
          <w:lang w:val="en-US"/>
        </w:rPr>
        <w:t xml:space="preserve"> are exposed</w:t>
      </w:r>
      <w:r w:rsidRPr="003F2864">
        <w:rPr>
          <w:rFonts w:asciiTheme="majorBidi" w:hAnsiTheme="majorBidi" w:cstheme="majorBidi"/>
          <w:lang w:val="en-US"/>
        </w:rPr>
        <w:t>,</w:t>
      </w:r>
      <w:r w:rsidRPr="003F2864">
        <w:rPr>
          <w:rStyle w:val="FootnoteReference"/>
          <w:rFonts w:asciiTheme="majorBidi" w:hAnsiTheme="majorBidi" w:cstheme="majorBidi"/>
          <w:lang w:val="en-US"/>
        </w:rPr>
        <w:footnoteReference w:id="5"/>
      </w:r>
      <w:r w:rsidRPr="003F2864">
        <w:rPr>
          <w:rFonts w:asciiTheme="majorBidi" w:hAnsiTheme="majorBidi" w:cstheme="majorBidi"/>
          <w:lang w:val="en-US"/>
        </w:rPr>
        <w:t xml:space="preserve"> and the specific endangerment emerging from widely reported risks faced by migrants through </w:t>
      </w:r>
      <w:r w:rsidRPr="003F2864">
        <w:rPr>
          <w:rFonts w:asciiTheme="majorBidi" w:hAnsiTheme="majorBidi" w:cstheme="majorBidi"/>
          <w:i/>
          <w:iCs/>
          <w:lang w:val="en-US"/>
        </w:rPr>
        <w:t>refoulement</w:t>
      </w:r>
      <w:r w:rsidRPr="003F2864">
        <w:rPr>
          <w:rFonts w:asciiTheme="majorBidi" w:hAnsiTheme="majorBidi" w:cstheme="majorBidi"/>
          <w:lang w:val="en-US"/>
        </w:rPr>
        <w:t xml:space="preserve"> and increasingly </w:t>
      </w:r>
      <w:r w:rsidR="006E054F" w:rsidRPr="003F2864">
        <w:rPr>
          <w:rFonts w:asciiTheme="majorBidi" w:hAnsiTheme="majorBidi" w:cstheme="majorBidi"/>
          <w:lang w:val="en-US"/>
        </w:rPr>
        <w:t>precarious</w:t>
      </w:r>
      <w:r w:rsidRPr="003F2864">
        <w:rPr>
          <w:rFonts w:asciiTheme="majorBidi" w:hAnsiTheme="majorBidi" w:cstheme="majorBidi"/>
          <w:lang w:val="en-US"/>
        </w:rPr>
        <w:t xml:space="preserve"> migration routes,</w:t>
      </w:r>
      <w:r w:rsidR="00005A59" w:rsidRPr="003F2864">
        <w:rPr>
          <w:rStyle w:val="FootnoteReference"/>
          <w:rFonts w:asciiTheme="majorBidi" w:hAnsiTheme="majorBidi" w:cstheme="majorBidi"/>
          <w:lang w:val="en-US"/>
        </w:rPr>
        <w:footnoteReference w:id="6"/>
      </w:r>
      <w:r w:rsidRPr="003F2864">
        <w:rPr>
          <w:rFonts w:asciiTheme="majorBidi" w:hAnsiTheme="majorBidi" w:cstheme="majorBidi"/>
          <w:lang w:val="en-US"/>
        </w:rPr>
        <w:t xml:space="preserve"> </w:t>
      </w:r>
      <w:r w:rsidR="001A3595" w:rsidRPr="003F2864">
        <w:rPr>
          <w:rFonts w:asciiTheme="majorBidi" w:hAnsiTheme="majorBidi" w:cstheme="majorBidi"/>
          <w:lang w:val="en-GB"/>
        </w:rPr>
        <w:t xml:space="preserve">we suggest </w:t>
      </w:r>
      <w:r w:rsidRPr="003F2864">
        <w:rPr>
          <w:rFonts w:asciiTheme="majorBidi" w:hAnsiTheme="majorBidi" w:cstheme="majorBidi"/>
          <w:lang w:val="en-GB"/>
        </w:rPr>
        <w:t xml:space="preserve">avenues for further elaboration of what the required preventive measures would need to entail </w:t>
      </w:r>
      <w:proofErr w:type="gramStart"/>
      <w:r w:rsidR="003F2864">
        <w:rPr>
          <w:rFonts w:asciiTheme="majorBidi" w:hAnsiTheme="majorBidi" w:cstheme="majorBidi"/>
          <w:lang w:val="en-GB"/>
        </w:rPr>
        <w:t xml:space="preserve">in order </w:t>
      </w:r>
      <w:r w:rsidR="003F2864" w:rsidRPr="00547842">
        <w:rPr>
          <w:rFonts w:asciiTheme="majorBidi" w:hAnsiTheme="majorBidi" w:cstheme="majorBidi"/>
          <w:color w:val="000000"/>
          <w:lang w:val="en-US"/>
        </w:rPr>
        <w:t>to</w:t>
      </w:r>
      <w:proofErr w:type="gramEnd"/>
      <w:r w:rsidR="003F2864" w:rsidRPr="00547842">
        <w:rPr>
          <w:rFonts w:asciiTheme="majorBidi" w:hAnsiTheme="majorBidi" w:cstheme="majorBidi"/>
          <w:color w:val="000000"/>
          <w:lang w:val="en-US"/>
        </w:rPr>
        <w:t xml:space="preserve"> avoid acquiescing to a disappearance</w:t>
      </w:r>
      <w:r w:rsidR="00D15E9E" w:rsidRPr="003F2864">
        <w:rPr>
          <w:rFonts w:asciiTheme="majorBidi" w:hAnsiTheme="majorBidi" w:cstheme="majorBidi"/>
          <w:lang w:val="en-GB"/>
        </w:rPr>
        <w:t>.</w:t>
      </w:r>
    </w:p>
    <w:p w14:paraId="3FAE3460" w14:textId="77777777" w:rsidR="009A13C2" w:rsidRDefault="009A13C2" w:rsidP="009A13C2">
      <w:pPr>
        <w:jc w:val="both"/>
        <w:rPr>
          <w:rFonts w:asciiTheme="majorBidi" w:hAnsiTheme="majorBidi" w:cstheme="majorBidi"/>
          <w:bCs/>
          <w:i/>
          <w:lang w:val="en-GB"/>
        </w:rPr>
      </w:pPr>
    </w:p>
    <w:p w14:paraId="191C23B7" w14:textId="77777777" w:rsidR="009A13C2" w:rsidRPr="007E0B83" w:rsidRDefault="009A13C2" w:rsidP="009A13C2">
      <w:pPr>
        <w:numPr>
          <w:ilvl w:val="0"/>
          <w:numId w:val="2"/>
        </w:numPr>
        <w:rPr>
          <w:rFonts w:asciiTheme="majorBidi" w:hAnsiTheme="majorBidi" w:cstheme="majorBidi"/>
          <w:i/>
          <w:lang w:val="en-US"/>
        </w:rPr>
      </w:pPr>
      <w:r w:rsidRPr="007E0B83">
        <w:rPr>
          <w:rFonts w:asciiTheme="majorBidi" w:hAnsiTheme="majorBidi" w:cstheme="majorBidi"/>
          <w:i/>
          <w:lang w:val="en-US"/>
        </w:rPr>
        <w:t>Systematic Impunity in the Context of Migrant Disappearances</w:t>
      </w:r>
    </w:p>
    <w:p w14:paraId="6792D8FA" w14:textId="77777777" w:rsidR="009A13C2" w:rsidRDefault="009A13C2" w:rsidP="009A13C2">
      <w:pPr>
        <w:rPr>
          <w:rFonts w:asciiTheme="majorBidi" w:hAnsiTheme="majorBidi" w:cstheme="majorBidi"/>
          <w:lang w:val="en-US"/>
        </w:rPr>
      </w:pPr>
    </w:p>
    <w:p w14:paraId="079AE330" w14:textId="7EE289A6" w:rsidR="009A13C2" w:rsidRDefault="009A13C2" w:rsidP="005A456C">
      <w:pPr>
        <w:jc w:val="both"/>
        <w:rPr>
          <w:rFonts w:asciiTheme="majorBidi" w:hAnsiTheme="majorBidi" w:cstheme="majorBidi"/>
          <w:lang w:val="en-US"/>
        </w:rPr>
      </w:pPr>
      <w:r>
        <w:rPr>
          <w:rFonts w:asciiTheme="majorBidi" w:hAnsiTheme="majorBidi" w:cstheme="majorBidi"/>
          <w:lang w:val="en-US"/>
        </w:rPr>
        <w:t xml:space="preserve">§ 5. </w:t>
      </w:r>
      <w:r w:rsidRPr="005A4539">
        <w:rPr>
          <w:rFonts w:asciiTheme="majorBidi" w:hAnsiTheme="majorBidi" w:cstheme="majorBidi"/>
          <w:lang w:val="en-US"/>
        </w:rPr>
        <w:t>Addressing impunity in the context of disappearance of migrants is a key guiding principle of the Convention</w:t>
      </w:r>
      <w:r>
        <w:rPr>
          <w:rFonts w:asciiTheme="majorBidi" w:hAnsiTheme="majorBidi" w:cstheme="majorBidi"/>
          <w:lang w:val="en-US"/>
        </w:rPr>
        <w:t>.</w:t>
      </w:r>
      <w:r>
        <w:rPr>
          <w:rStyle w:val="FootnoteReference"/>
          <w:rFonts w:asciiTheme="majorBidi" w:hAnsiTheme="majorBidi" w:cstheme="majorBidi"/>
          <w:lang w:val="en-US"/>
        </w:rPr>
        <w:footnoteReference w:id="7"/>
      </w:r>
      <w:r>
        <w:rPr>
          <w:rFonts w:asciiTheme="majorBidi" w:hAnsiTheme="majorBidi" w:cstheme="majorBidi"/>
          <w:lang w:val="en-US"/>
        </w:rPr>
        <w:t xml:space="preserve"> </w:t>
      </w:r>
      <w:r w:rsidRPr="001148C6">
        <w:rPr>
          <w:rFonts w:asciiTheme="majorBidi" w:hAnsiTheme="majorBidi" w:cstheme="majorBidi"/>
          <w:lang w:val="en-US"/>
        </w:rPr>
        <w:t xml:space="preserve">Impunity reflects “the total lack of investigation, prosecution, capture, trial and conviction of those </w:t>
      </w:r>
      <w:proofErr w:type="gramStart"/>
      <w:r w:rsidRPr="001148C6">
        <w:rPr>
          <w:rFonts w:asciiTheme="majorBidi" w:hAnsiTheme="majorBidi" w:cstheme="majorBidi"/>
          <w:lang w:val="en-US"/>
        </w:rPr>
        <w:t>responsible“</w:t>
      </w:r>
      <w:proofErr w:type="gramEnd"/>
      <w:r w:rsidRPr="001148C6">
        <w:rPr>
          <w:rFonts w:asciiTheme="majorBidi" w:hAnsiTheme="majorBidi" w:cstheme="majorBidi"/>
          <w:vertAlign w:val="superscript"/>
          <w:lang w:val="en-US"/>
        </w:rPr>
        <w:footnoteReference w:id="8"/>
      </w:r>
      <w:r w:rsidRPr="001148C6">
        <w:rPr>
          <w:rFonts w:asciiTheme="majorBidi" w:hAnsiTheme="majorBidi" w:cstheme="majorBidi"/>
          <w:lang w:val="en-US"/>
        </w:rPr>
        <w:t xml:space="preserve"> constituting a violation of rights </w:t>
      </w:r>
      <w:r w:rsidRPr="00005A59">
        <w:rPr>
          <w:rFonts w:asciiTheme="majorBidi" w:hAnsiTheme="majorBidi" w:cstheme="majorBidi"/>
          <w:i/>
          <w:iCs/>
          <w:lang w:val="en-US"/>
        </w:rPr>
        <w:t>per se</w:t>
      </w:r>
      <w:r w:rsidRPr="001148C6">
        <w:rPr>
          <w:rFonts w:asciiTheme="majorBidi" w:hAnsiTheme="majorBidi" w:cstheme="majorBidi"/>
          <w:lang w:val="en-US"/>
        </w:rPr>
        <w:t>.</w:t>
      </w:r>
      <w:r w:rsidRPr="001148C6">
        <w:rPr>
          <w:rFonts w:asciiTheme="majorBidi" w:hAnsiTheme="majorBidi" w:cstheme="majorBidi"/>
          <w:vertAlign w:val="superscript"/>
          <w:lang w:val="en-US"/>
        </w:rPr>
        <w:footnoteReference w:id="9"/>
      </w:r>
      <w:r>
        <w:rPr>
          <w:rFonts w:asciiTheme="majorBidi" w:hAnsiTheme="majorBidi" w:cstheme="majorBidi"/>
          <w:lang w:val="en-US"/>
        </w:rPr>
        <w:t xml:space="preserve"> </w:t>
      </w:r>
      <w:r w:rsidR="005A456C">
        <w:rPr>
          <w:rFonts w:asciiTheme="majorBidi" w:hAnsiTheme="majorBidi" w:cstheme="majorBidi"/>
          <w:lang w:val="en-US"/>
        </w:rPr>
        <w:t>It also includes t</w:t>
      </w:r>
      <w:r w:rsidR="005A456C" w:rsidRPr="005A456C">
        <w:rPr>
          <w:rFonts w:asciiTheme="majorBidi" w:hAnsiTheme="majorBidi" w:cstheme="majorBidi"/>
          <w:lang w:val="en-US"/>
        </w:rPr>
        <w:t>he lack of identification of human remains</w:t>
      </w:r>
      <w:r w:rsidR="005A456C">
        <w:rPr>
          <w:rFonts w:asciiTheme="majorBidi" w:hAnsiTheme="majorBidi" w:cstheme="majorBidi"/>
          <w:lang w:val="en-US"/>
        </w:rPr>
        <w:t xml:space="preserve">, </w:t>
      </w:r>
      <w:r w:rsidR="005A456C" w:rsidRPr="005A456C">
        <w:rPr>
          <w:rFonts w:asciiTheme="majorBidi" w:hAnsiTheme="majorBidi" w:cstheme="majorBidi"/>
          <w:lang w:val="en-US"/>
        </w:rPr>
        <w:t>of search operations and forensic investigations</w:t>
      </w:r>
      <w:r w:rsidR="005A456C">
        <w:rPr>
          <w:rFonts w:asciiTheme="majorBidi" w:hAnsiTheme="majorBidi" w:cstheme="majorBidi"/>
          <w:lang w:val="en-US"/>
        </w:rPr>
        <w:t>.</w:t>
      </w:r>
      <w:r w:rsidR="005A456C" w:rsidRPr="005A456C">
        <w:rPr>
          <w:rFonts w:asciiTheme="majorBidi" w:hAnsiTheme="majorBidi" w:cstheme="majorBidi"/>
          <w:lang w:val="en-US"/>
        </w:rPr>
        <w:t xml:space="preserve"> </w:t>
      </w:r>
      <w:r w:rsidR="00BF16A1">
        <w:rPr>
          <w:rFonts w:asciiTheme="majorBidi" w:hAnsiTheme="majorBidi" w:cstheme="majorBidi"/>
          <w:lang w:val="en-US"/>
        </w:rPr>
        <w:t xml:space="preserve">Importantly, </w:t>
      </w:r>
      <w:r w:rsidR="00695781" w:rsidRPr="00695781">
        <w:rPr>
          <w:rFonts w:asciiTheme="majorBidi" w:hAnsiTheme="majorBidi" w:cstheme="majorBidi"/>
          <w:lang w:val="en-US"/>
        </w:rPr>
        <w:t>the failure of the judiciary to provide an adequate response to serious crimes leads to the creation of “fertile ground” for “the chronic repetition of human rights violations and the total defenselessness of the victims and their next of kin</w:t>
      </w:r>
      <w:r w:rsidR="00695781">
        <w:rPr>
          <w:rFonts w:asciiTheme="majorBidi" w:hAnsiTheme="majorBidi" w:cstheme="majorBidi"/>
          <w:lang w:val="en-US"/>
        </w:rPr>
        <w:t>,” which therefore indicates a constant failure to prevent.</w:t>
      </w:r>
      <w:r w:rsidR="00695781">
        <w:rPr>
          <w:rStyle w:val="FootnoteReference"/>
          <w:rFonts w:asciiTheme="majorBidi" w:hAnsiTheme="majorBidi" w:cstheme="majorBidi"/>
        </w:rPr>
        <w:footnoteReference w:id="10"/>
      </w:r>
      <w:r w:rsidR="00695781" w:rsidRPr="00695781">
        <w:rPr>
          <w:lang w:val="en-US"/>
        </w:rPr>
        <w:t xml:space="preserve"> </w:t>
      </w:r>
      <w:r w:rsidRPr="00E547D6">
        <w:rPr>
          <w:rFonts w:asciiTheme="majorBidi" w:hAnsiTheme="majorBidi" w:cstheme="majorBidi"/>
          <w:lang w:val="en-GB"/>
        </w:rPr>
        <w:t>Since the ICPPED’s preamble stipulates the combat of impunity as its central aim, the interpretation of the elements of definition of enforced disappearances</w:t>
      </w:r>
      <w:r w:rsidR="005A456C">
        <w:rPr>
          <w:rFonts w:asciiTheme="majorBidi" w:hAnsiTheme="majorBidi" w:cstheme="majorBidi"/>
          <w:lang w:val="en-GB"/>
        </w:rPr>
        <w:t xml:space="preserve"> </w:t>
      </w:r>
      <w:r w:rsidRPr="00E547D6">
        <w:rPr>
          <w:rFonts w:asciiTheme="majorBidi" w:hAnsiTheme="majorBidi" w:cstheme="majorBidi"/>
          <w:lang w:val="en-GB"/>
        </w:rPr>
        <w:t>may be expanded for the purpose of preventing impunity.</w:t>
      </w:r>
      <w:r w:rsidRPr="00E547D6">
        <w:rPr>
          <w:rFonts w:asciiTheme="majorBidi" w:hAnsiTheme="majorBidi" w:cstheme="majorBidi"/>
          <w:vertAlign w:val="superscript"/>
          <w:lang w:val="en-GB"/>
        </w:rPr>
        <w:footnoteReference w:id="11"/>
      </w:r>
      <w:r w:rsidRPr="00E547D6">
        <w:rPr>
          <w:rFonts w:asciiTheme="majorBidi" w:hAnsiTheme="majorBidi" w:cstheme="majorBidi"/>
          <w:lang w:val="en-US"/>
        </w:rPr>
        <w:t xml:space="preserve"> </w:t>
      </w:r>
      <w:r w:rsidR="009A3AE0">
        <w:rPr>
          <w:rFonts w:asciiTheme="majorBidi" w:hAnsiTheme="majorBidi" w:cstheme="majorBidi"/>
          <w:lang w:val="en-US"/>
        </w:rPr>
        <w:t xml:space="preserve"> </w:t>
      </w:r>
      <w:r w:rsidR="00C26F8C">
        <w:rPr>
          <w:rFonts w:asciiTheme="majorBidi" w:hAnsiTheme="majorBidi" w:cstheme="majorBidi"/>
          <w:lang w:val="en-US"/>
        </w:rPr>
        <w:t xml:space="preserve"> </w:t>
      </w:r>
    </w:p>
    <w:p w14:paraId="5C0A5F49" w14:textId="77777777" w:rsidR="009A13C2" w:rsidRDefault="009A13C2" w:rsidP="009A13C2">
      <w:pPr>
        <w:jc w:val="both"/>
        <w:rPr>
          <w:rFonts w:asciiTheme="majorBidi" w:hAnsiTheme="majorBidi" w:cstheme="majorBidi"/>
          <w:lang w:val="en-US"/>
        </w:rPr>
      </w:pPr>
    </w:p>
    <w:p w14:paraId="14F64BDD" w14:textId="37337F73" w:rsidR="009A13C2" w:rsidRPr="00612524" w:rsidRDefault="009A13C2" w:rsidP="009A13C2">
      <w:pPr>
        <w:jc w:val="both"/>
        <w:rPr>
          <w:rFonts w:asciiTheme="majorBidi" w:hAnsiTheme="majorBidi" w:cstheme="majorBidi"/>
          <w:lang w:val="en-US"/>
        </w:rPr>
      </w:pPr>
      <w:r>
        <w:rPr>
          <w:rFonts w:asciiTheme="majorBidi" w:hAnsiTheme="majorBidi" w:cstheme="majorBidi"/>
          <w:lang w:val="en-US"/>
        </w:rPr>
        <w:t xml:space="preserve">§ 6. </w:t>
      </w:r>
      <w:r w:rsidRPr="001B32D6">
        <w:rPr>
          <w:rFonts w:asciiTheme="majorBidi" w:hAnsiTheme="majorBidi" w:cstheme="majorBidi"/>
          <w:lang w:val="en-GB"/>
        </w:rPr>
        <w:t xml:space="preserve">The current situation of migrant disappearances demonstrates that impunity is a widespread phenomenon. </w:t>
      </w:r>
      <w:r w:rsidRPr="001148C6">
        <w:rPr>
          <w:rFonts w:asciiTheme="majorBidi" w:hAnsiTheme="majorBidi" w:cstheme="majorBidi"/>
          <w:lang w:val="en-US"/>
        </w:rPr>
        <w:t xml:space="preserve">The migration context is </w:t>
      </w:r>
      <w:r w:rsidR="00751066">
        <w:rPr>
          <w:rFonts w:asciiTheme="majorBidi" w:hAnsiTheme="majorBidi" w:cstheme="majorBidi"/>
          <w:lang w:val="en-US"/>
        </w:rPr>
        <w:t xml:space="preserve">widely </w:t>
      </w:r>
      <w:r w:rsidRPr="001148C6">
        <w:rPr>
          <w:rFonts w:asciiTheme="majorBidi" w:hAnsiTheme="majorBidi" w:cstheme="majorBidi"/>
          <w:lang w:val="en-US"/>
        </w:rPr>
        <w:t>described as characterized by racialized forms of violence such as racial profiling,</w:t>
      </w:r>
      <w:r w:rsidRPr="001148C6">
        <w:rPr>
          <w:rFonts w:asciiTheme="majorBidi" w:hAnsiTheme="majorBidi" w:cstheme="majorBidi"/>
          <w:vertAlign w:val="superscript"/>
          <w:lang w:val="en-US"/>
        </w:rPr>
        <w:footnoteReference w:id="12"/>
      </w:r>
      <w:r w:rsidRPr="001148C6">
        <w:rPr>
          <w:rFonts w:asciiTheme="majorBidi" w:hAnsiTheme="majorBidi" w:cstheme="majorBidi"/>
          <w:lang w:val="en-US"/>
        </w:rPr>
        <w:t xml:space="preserve"> </w:t>
      </w:r>
      <w:r w:rsidRPr="00547842">
        <w:rPr>
          <w:rFonts w:asciiTheme="majorBidi" w:hAnsiTheme="majorBidi" w:cstheme="majorBidi"/>
          <w:i/>
          <w:iCs/>
          <w:lang w:val="en-US"/>
        </w:rPr>
        <w:t>de jure</w:t>
      </w:r>
      <w:r w:rsidRPr="001148C6">
        <w:rPr>
          <w:rFonts w:asciiTheme="majorBidi" w:hAnsiTheme="majorBidi" w:cstheme="majorBidi"/>
          <w:lang w:val="en-US"/>
        </w:rPr>
        <w:t xml:space="preserve"> and </w:t>
      </w:r>
      <w:r w:rsidRPr="00547842">
        <w:rPr>
          <w:rFonts w:asciiTheme="majorBidi" w:hAnsiTheme="majorBidi" w:cstheme="majorBidi"/>
          <w:i/>
          <w:iCs/>
          <w:lang w:val="en-US"/>
        </w:rPr>
        <w:t xml:space="preserve">de facto </w:t>
      </w:r>
      <w:r w:rsidRPr="001148C6">
        <w:rPr>
          <w:rFonts w:asciiTheme="majorBidi" w:hAnsiTheme="majorBidi" w:cstheme="majorBidi"/>
          <w:lang w:val="en-US"/>
        </w:rPr>
        <w:t>situations of vulnerability</w:t>
      </w:r>
      <w:r w:rsidR="00BE1060">
        <w:rPr>
          <w:rFonts w:asciiTheme="majorBidi" w:hAnsiTheme="majorBidi" w:cstheme="majorBidi"/>
          <w:lang w:val="en-US"/>
        </w:rPr>
        <w:t>,</w:t>
      </w:r>
      <w:r w:rsidRPr="001148C6">
        <w:rPr>
          <w:rFonts w:asciiTheme="majorBidi" w:hAnsiTheme="majorBidi" w:cstheme="majorBidi"/>
          <w:vertAlign w:val="superscript"/>
          <w:lang w:val="en-US"/>
        </w:rPr>
        <w:footnoteReference w:id="13"/>
      </w:r>
      <w:r w:rsidRPr="001148C6">
        <w:rPr>
          <w:rFonts w:asciiTheme="majorBidi" w:hAnsiTheme="majorBidi" w:cstheme="majorBidi"/>
          <w:lang w:val="en-US"/>
        </w:rPr>
        <w:t xml:space="preserve"> </w:t>
      </w:r>
      <w:r w:rsidR="00C26F8C">
        <w:rPr>
          <w:rFonts w:asciiTheme="majorBidi" w:hAnsiTheme="majorBidi" w:cstheme="majorBidi"/>
          <w:lang w:val="en-US"/>
        </w:rPr>
        <w:t>mental and physical torture and ill treatment</w:t>
      </w:r>
      <w:r w:rsidRPr="001148C6">
        <w:rPr>
          <w:rFonts w:asciiTheme="majorBidi" w:hAnsiTheme="majorBidi" w:cstheme="majorBidi"/>
          <w:lang w:val="en-US"/>
        </w:rPr>
        <w:t>,</w:t>
      </w:r>
      <w:r w:rsidRPr="001148C6">
        <w:rPr>
          <w:rFonts w:asciiTheme="majorBidi" w:hAnsiTheme="majorBidi" w:cstheme="majorBidi"/>
          <w:vertAlign w:val="superscript"/>
          <w:lang w:val="en-US"/>
        </w:rPr>
        <w:footnoteReference w:id="14"/>
      </w:r>
      <w:r w:rsidRPr="001148C6">
        <w:rPr>
          <w:rFonts w:asciiTheme="majorBidi" w:hAnsiTheme="majorBidi" w:cstheme="majorBidi"/>
          <w:lang w:val="en-US"/>
        </w:rPr>
        <w:t xml:space="preserve"> lack of prospects for redress and accountability for the violations of the rights of migrants, lack of effective and prompt investigation into these violations, lack of procedural safeguards,</w:t>
      </w:r>
      <w:r w:rsidRPr="001148C6">
        <w:rPr>
          <w:rFonts w:asciiTheme="majorBidi" w:hAnsiTheme="majorBidi" w:cstheme="majorBidi"/>
          <w:vertAlign w:val="superscript"/>
          <w:lang w:val="en-US"/>
        </w:rPr>
        <w:footnoteReference w:id="15"/>
      </w:r>
      <w:r w:rsidRPr="001148C6">
        <w:rPr>
          <w:rFonts w:asciiTheme="majorBidi" w:hAnsiTheme="majorBidi" w:cstheme="majorBidi"/>
          <w:lang w:val="en-US"/>
        </w:rPr>
        <w:t xml:space="preserve"> frequent situations of removal of the victim’s protection from the law</w:t>
      </w:r>
      <w:r w:rsidRPr="001148C6">
        <w:rPr>
          <w:rFonts w:asciiTheme="majorBidi" w:hAnsiTheme="majorBidi" w:cstheme="majorBidi"/>
          <w:vertAlign w:val="superscript"/>
          <w:lang w:val="en-US"/>
        </w:rPr>
        <w:footnoteReference w:id="16"/>
      </w:r>
      <w:r w:rsidRPr="001148C6">
        <w:rPr>
          <w:rFonts w:asciiTheme="majorBidi" w:hAnsiTheme="majorBidi" w:cstheme="majorBidi"/>
          <w:lang w:val="en-US"/>
        </w:rPr>
        <w:t xml:space="preserve"> </w:t>
      </w:r>
      <w:r w:rsidR="00C26F8C">
        <w:rPr>
          <w:rFonts w:asciiTheme="majorBidi" w:hAnsiTheme="majorBidi" w:cstheme="majorBidi"/>
          <w:lang w:val="en-US"/>
        </w:rPr>
        <w:t>owed to</w:t>
      </w:r>
      <w:r w:rsidRPr="001148C6">
        <w:rPr>
          <w:rFonts w:asciiTheme="majorBidi" w:hAnsiTheme="majorBidi" w:cstheme="majorBidi"/>
          <w:lang w:val="en-US"/>
        </w:rPr>
        <w:t xml:space="preserve"> the clandestine (re-)</w:t>
      </w:r>
      <w:r w:rsidR="00751066">
        <w:rPr>
          <w:rFonts w:asciiTheme="majorBidi" w:hAnsiTheme="majorBidi" w:cstheme="majorBidi"/>
          <w:lang w:val="en-US"/>
        </w:rPr>
        <w:t xml:space="preserve"> </w:t>
      </w:r>
      <w:r w:rsidRPr="001148C6">
        <w:rPr>
          <w:rFonts w:asciiTheme="majorBidi" w:hAnsiTheme="majorBidi" w:cstheme="majorBidi"/>
          <w:lang w:val="en-US"/>
        </w:rPr>
        <w:t>expulsion from national territory executed by national and regional border police,</w:t>
      </w:r>
      <w:r w:rsidRPr="001148C6">
        <w:rPr>
          <w:rFonts w:asciiTheme="majorBidi" w:hAnsiTheme="majorBidi" w:cstheme="majorBidi"/>
          <w:vertAlign w:val="superscript"/>
          <w:lang w:val="en-US"/>
        </w:rPr>
        <w:footnoteReference w:id="17"/>
      </w:r>
      <w:r w:rsidRPr="001148C6">
        <w:rPr>
          <w:rFonts w:asciiTheme="majorBidi" w:hAnsiTheme="majorBidi" w:cstheme="majorBidi"/>
          <w:lang w:val="en-US"/>
        </w:rPr>
        <w:t xml:space="preserve"> and </w:t>
      </w:r>
      <w:r w:rsidR="003B471E">
        <w:rPr>
          <w:rFonts w:asciiTheme="majorBidi" w:hAnsiTheme="majorBidi" w:cstheme="majorBidi"/>
          <w:lang w:val="en-US"/>
        </w:rPr>
        <w:t xml:space="preserve">incommunicado </w:t>
      </w:r>
      <w:r w:rsidRPr="001148C6">
        <w:rPr>
          <w:rFonts w:asciiTheme="majorBidi" w:hAnsiTheme="majorBidi" w:cstheme="majorBidi"/>
          <w:lang w:val="en-US"/>
        </w:rPr>
        <w:t xml:space="preserve">detention in unofficial detention </w:t>
      </w:r>
      <w:r w:rsidRPr="00612524">
        <w:rPr>
          <w:rFonts w:asciiTheme="majorBidi" w:hAnsiTheme="majorBidi" w:cstheme="majorBidi"/>
          <w:lang w:val="en-US"/>
        </w:rPr>
        <w:t>center</w:t>
      </w:r>
      <w:r w:rsidR="00C26F8C" w:rsidRPr="00612524">
        <w:rPr>
          <w:rFonts w:asciiTheme="majorBidi" w:hAnsiTheme="majorBidi" w:cstheme="majorBidi"/>
          <w:lang w:val="en-US"/>
        </w:rPr>
        <w:t>s</w:t>
      </w:r>
      <w:r w:rsidRPr="00612524">
        <w:rPr>
          <w:rFonts w:asciiTheme="majorBidi" w:hAnsiTheme="majorBidi" w:cstheme="majorBidi"/>
          <w:lang w:val="en-US"/>
        </w:rPr>
        <w:t xml:space="preserve"> without access to legal counsel</w:t>
      </w:r>
      <w:r w:rsidR="003B471E" w:rsidRPr="00612524">
        <w:rPr>
          <w:rFonts w:asciiTheme="majorBidi" w:hAnsiTheme="majorBidi" w:cstheme="majorBidi"/>
          <w:lang w:val="en-US"/>
        </w:rPr>
        <w:t xml:space="preserve"> or interpreter</w:t>
      </w:r>
      <w:r w:rsidRPr="00612524">
        <w:rPr>
          <w:rFonts w:asciiTheme="majorBidi" w:hAnsiTheme="majorBidi" w:cstheme="majorBidi"/>
          <w:lang w:val="en-US"/>
        </w:rPr>
        <w:t>.</w:t>
      </w:r>
      <w:r w:rsidRPr="00612524">
        <w:rPr>
          <w:rFonts w:asciiTheme="majorBidi" w:hAnsiTheme="majorBidi" w:cstheme="majorBidi"/>
          <w:vertAlign w:val="superscript"/>
          <w:lang w:val="en-US"/>
        </w:rPr>
        <w:footnoteReference w:id="18"/>
      </w:r>
    </w:p>
    <w:p w14:paraId="47C916AE" w14:textId="77777777" w:rsidR="009A13C2" w:rsidRPr="00612524" w:rsidRDefault="009A13C2" w:rsidP="009A13C2">
      <w:pPr>
        <w:jc w:val="both"/>
        <w:rPr>
          <w:rFonts w:asciiTheme="majorBidi" w:hAnsiTheme="majorBidi" w:cstheme="majorBidi"/>
          <w:lang w:val="en-US"/>
        </w:rPr>
      </w:pPr>
    </w:p>
    <w:p w14:paraId="26F2634C" w14:textId="571C157D" w:rsidR="006C2302" w:rsidRDefault="009A13C2" w:rsidP="009A13C2">
      <w:pPr>
        <w:jc w:val="both"/>
        <w:rPr>
          <w:rFonts w:asciiTheme="majorBidi" w:hAnsiTheme="majorBidi" w:cstheme="majorBidi"/>
          <w:lang w:val="en-US"/>
        </w:rPr>
      </w:pPr>
      <w:r w:rsidRPr="00612524">
        <w:rPr>
          <w:rFonts w:asciiTheme="majorBidi" w:hAnsiTheme="majorBidi" w:cstheme="majorBidi"/>
          <w:lang w:val="en-US"/>
        </w:rPr>
        <w:t xml:space="preserve">§ </w:t>
      </w:r>
      <w:r w:rsidR="0031247F" w:rsidRPr="00612524">
        <w:rPr>
          <w:rFonts w:asciiTheme="majorBidi" w:hAnsiTheme="majorBidi" w:cstheme="majorBidi"/>
          <w:lang w:val="en-US"/>
        </w:rPr>
        <w:t>7</w:t>
      </w:r>
      <w:r w:rsidRPr="00612524">
        <w:rPr>
          <w:rFonts w:asciiTheme="majorBidi" w:hAnsiTheme="majorBidi" w:cstheme="majorBidi"/>
          <w:lang w:val="en-US"/>
        </w:rPr>
        <w:t xml:space="preserve">. </w:t>
      </w:r>
      <w:r w:rsidR="00C26F8C" w:rsidRPr="00612524">
        <w:rPr>
          <w:rFonts w:asciiTheme="majorBidi" w:hAnsiTheme="majorBidi" w:cstheme="majorBidi"/>
          <w:lang w:val="en-US"/>
        </w:rPr>
        <w:t xml:space="preserve">In particular, </w:t>
      </w:r>
      <w:r w:rsidR="0031247F" w:rsidRPr="00612524">
        <w:rPr>
          <w:rFonts w:asciiTheme="majorBidi" w:hAnsiTheme="majorBidi" w:cstheme="majorBidi"/>
          <w:lang w:val="en-US"/>
        </w:rPr>
        <w:t xml:space="preserve">the </w:t>
      </w:r>
      <w:r w:rsidR="00F14DD0">
        <w:rPr>
          <w:rFonts w:asciiTheme="majorBidi" w:hAnsiTheme="majorBidi" w:cstheme="majorBidi"/>
          <w:lang w:val="en-US"/>
        </w:rPr>
        <w:t xml:space="preserve">conduct </w:t>
      </w:r>
      <w:r w:rsidR="0031247F" w:rsidRPr="00612524">
        <w:rPr>
          <w:rFonts w:asciiTheme="majorBidi" w:hAnsiTheme="majorBidi" w:cstheme="majorBidi"/>
          <w:lang w:val="en-US"/>
        </w:rPr>
        <w:t xml:space="preserve">of </w:t>
      </w:r>
      <w:r w:rsidR="0031247F" w:rsidRPr="003F2864">
        <w:rPr>
          <w:rFonts w:asciiTheme="majorBidi" w:hAnsiTheme="majorBidi" w:cstheme="majorBidi"/>
          <w:i/>
          <w:iCs/>
          <w:lang w:val="en-US"/>
        </w:rPr>
        <w:t>ex officio</w:t>
      </w:r>
      <w:r w:rsidR="0031247F" w:rsidRPr="00612524">
        <w:rPr>
          <w:rFonts w:asciiTheme="majorBidi" w:hAnsiTheme="majorBidi" w:cstheme="majorBidi"/>
          <w:lang w:val="en-US"/>
        </w:rPr>
        <w:t xml:space="preserve"> investigations, as</w:t>
      </w:r>
      <w:r w:rsidR="00224AC4">
        <w:rPr>
          <w:rFonts w:asciiTheme="majorBidi" w:hAnsiTheme="majorBidi" w:cstheme="majorBidi"/>
          <w:lang w:val="en-US"/>
        </w:rPr>
        <w:t xml:space="preserve"> a</w:t>
      </w:r>
      <w:r w:rsidR="0031247F" w:rsidRPr="00612524">
        <w:rPr>
          <w:rFonts w:asciiTheme="majorBidi" w:hAnsiTheme="majorBidi" w:cstheme="majorBidi"/>
          <w:lang w:val="en-US"/>
        </w:rPr>
        <w:t xml:space="preserve"> procedural obligation provided for in international law </w:t>
      </w:r>
      <w:r w:rsidR="003B471E" w:rsidRPr="00612524">
        <w:rPr>
          <w:rFonts w:asciiTheme="majorBidi" w:hAnsiTheme="majorBidi" w:cstheme="majorBidi"/>
          <w:lang w:val="en-US"/>
        </w:rPr>
        <w:t>after a disappearance has been reported</w:t>
      </w:r>
      <w:r w:rsidR="0031247F" w:rsidRPr="00612524">
        <w:rPr>
          <w:rFonts w:asciiTheme="majorBidi" w:hAnsiTheme="majorBidi" w:cstheme="majorBidi"/>
          <w:lang w:val="en-US"/>
        </w:rPr>
        <w:t xml:space="preserve">, </w:t>
      </w:r>
      <w:r w:rsidRPr="00612524">
        <w:rPr>
          <w:rFonts w:asciiTheme="majorBidi" w:hAnsiTheme="majorBidi" w:cstheme="majorBidi"/>
          <w:lang w:val="en-US"/>
        </w:rPr>
        <w:t xml:space="preserve">and the </w:t>
      </w:r>
      <w:r w:rsidR="00695781" w:rsidRPr="00612524">
        <w:rPr>
          <w:rFonts w:asciiTheme="majorBidi" w:hAnsiTheme="majorBidi" w:cstheme="majorBidi"/>
          <w:lang w:val="en-US"/>
        </w:rPr>
        <w:t>duty</w:t>
      </w:r>
      <w:r w:rsidRPr="00612524">
        <w:rPr>
          <w:rFonts w:asciiTheme="majorBidi" w:hAnsiTheme="majorBidi" w:cstheme="majorBidi"/>
          <w:lang w:val="en-US"/>
        </w:rPr>
        <w:t xml:space="preserve"> to provide information about persons deprived of libert</w:t>
      </w:r>
      <w:r w:rsidR="003B471E" w:rsidRPr="00612524">
        <w:rPr>
          <w:rFonts w:asciiTheme="majorBidi" w:hAnsiTheme="majorBidi" w:cstheme="majorBidi"/>
          <w:lang w:val="en-US"/>
        </w:rPr>
        <w:t>y</w:t>
      </w:r>
      <w:r w:rsidRPr="00612524">
        <w:rPr>
          <w:rFonts w:asciiTheme="majorBidi" w:hAnsiTheme="majorBidi" w:cstheme="majorBidi"/>
          <w:lang w:val="en-US"/>
        </w:rPr>
        <w:t xml:space="preserve">, </w:t>
      </w:r>
      <w:r w:rsidR="00612524" w:rsidRPr="00612524">
        <w:rPr>
          <w:rFonts w:asciiTheme="majorBidi" w:hAnsiTheme="majorBidi" w:cstheme="majorBidi"/>
          <w:lang w:val="en-US"/>
        </w:rPr>
        <w:t>are crucial obligations that are reportedly ignored in most cases of disappearance of migrants, despite being central to preventing violations of their rights</w:t>
      </w:r>
      <w:r>
        <w:rPr>
          <w:rFonts w:asciiTheme="majorBidi" w:hAnsiTheme="majorBidi" w:cstheme="majorBidi"/>
          <w:lang w:val="en-US"/>
        </w:rPr>
        <w:t xml:space="preserve">. </w:t>
      </w:r>
    </w:p>
    <w:p w14:paraId="6C506043" w14:textId="77777777" w:rsidR="006C2302" w:rsidRDefault="006C2302" w:rsidP="009A13C2">
      <w:pPr>
        <w:jc w:val="both"/>
        <w:rPr>
          <w:rFonts w:asciiTheme="majorBidi" w:hAnsiTheme="majorBidi" w:cstheme="majorBidi"/>
          <w:lang w:val="en-US"/>
        </w:rPr>
      </w:pPr>
    </w:p>
    <w:p w14:paraId="0877F04C" w14:textId="36AEC9CF" w:rsidR="009A13C2" w:rsidRDefault="0031247F" w:rsidP="00612524">
      <w:pPr>
        <w:jc w:val="both"/>
        <w:rPr>
          <w:rFonts w:asciiTheme="majorBidi" w:hAnsiTheme="majorBidi" w:cstheme="majorBidi"/>
          <w:lang w:val="en-GB"/>
        </w:rPr>
      </w:pPr>
      <w:r>
        <w:rPr>
          <w:rFonts w:asciiTheme="majorBidi" w:hAnsiTheme="majorBidi" w:cstheme="majorBidi"/>
          <w:lang w:val="en-US"/>
        </w:rPr>
        <w:t xml:space="preserve">§ 8. </w:t>
      </w:r>
      <w:r w:rsidR="009A13C2">
        <w:rPr>
          <w:rFonts w:asciiTheme="majorBidi" w:hAnsiTheme="majorBidi" w:cstheme="majorBidi"/>
          <w:lang w:val="en-GB"/>
        </w:rPr>
        <w:t>The</w:t>
      </w:r>
      <w:r w:rsidR="009A13C2" w:rsidRPr="00FA65CD">
        <w:rPr>
          <w:rFonts w:asciiTheme="majorBidi" w:hAnsiTheme="majorBidi" w:cstheme="majorBidi"/>
          <w:lang w:val="en-GB"/>
        </w:rPr>
        <w:t xml:space="preserve"> Case </w:t>
      </w:r>
      <w:r w:rsidR="009A13C2" w:rsidRPr="00FA65CD">
        <w:rPr>
          <w:rFonts w:asciiTheme="majorBidi" w:hAnsiTheme="majorBidi" w:cstheme="majorBidi"/>
          <w:i/>
          <w:iCs/>
          <w:lang w:val="en-GB"/>
        </w:rPr>
        <w:t xml:space="preserve">La </w:t>
      </w:r>
      <w:proofErr w:type="spellStart"/>
      <w:r w:rsidR="009A13C2" w:rsidRPr="00FA65CD">
        <w:rPr>
          <w:rFonts w:asciiTheme="majorBidi" w:hAnsiTheme="majorBidi" w:cstheme="majorBidi"/>
          <w:i/>
          <w:iCs/>
          <w:lang w:val="en-GB"/>
        </w:rPr>
        <w:t>Ca</w:t>
      </w:r>
      <w:r w:rsidR="009A13C2">
        <w:rPr>
          <w:rFonts w:asciiTheme="majorBidi" w:hAnsiTheme="majorBidi" w:cstheme="majorBidi"/>
          <w:i/>
          <w:iCs/>
          <w:lang w:val="en-GB"/>
        </w:rPr>
        <w:t>n</w:t>
      </w:r>
      <w:r w:rsidR="009A13C2" w:rsidRPr="00FA65CD">
        <w:rPr>
          <w:rFonts w:asciiTheme="majorBidi" w:hAnsiTheme="majorBidi" w:cstheme="majorBidi"/>
          <w:i/>
          <w:iCs/>
          <w:lang w:val="en-GB"/>
        </w:rPr>
        <w:t>tuta</w:t>
      </w:r>
      <w:proofErr w:type="spellEnd"/>
      <w:r w:rsidR="009A13C2" w:rsidRPr="00FA65CD">
        <w:rPr>
          <w:rFonts w:asciiTheme="majorBidi" w:hAnsiTheme="majorBidi" w:cstheme="majorBidi"/>
          <w:i/>
          <w:iCs/>
          <w:lang w:val="en-GB"/>
        </w:rPr>
        <w:t xml:space="preserve"> v. Peru</w:t>
      </w:r>
      <w:r w:rsidR="009A13C2">
        <w:rPr>
          <w:rFonts w:asciiTheme="majorBidi" w:hAnsiTheme="majorBidi" w:cstheme="majorBidi"/>
          <w:lang w:val="en-GB"/>
        </w:rPr>
        <w:t xml:space="preserve"> confirms that the context of </w:t>
      </w:r>
      <w:r w:rsidR="00B00957">
        <w:rPr>
          <w:rFonts w:asciiTheme="majorBidi" w:hAnsiTheme="majorBidi" w:cstheme="majorBidi"/>
          <w:lang w:val="en-GB"/>
        </w:rPr>
        <w:t>“a generalized scenario of impunity</w:t>
      </w:r>
      <w:r w:rsidR="00F9127A">
        <w:rPr>
          <w:rFonts w:asciiTheme="majorBidi" w:hAnsiTheme="majorBidi" w:cstheme="majorBidi"/>
          <w:lang w:val="en-GB"/>
        </w:rPr>
        <w:t>,</w:t>
      </w:r>
      <w:r w:rsidR="00B00957">
        <w:rPr>
          <w:rFonts w:asciiTheme="majorBidi" w:hAnsiTheme="majorBidi" w:cstheme="majorBidi"/>
          <w:lang w:val="en-GB"/>
        </w:rPr>
        <w:t>” considering</w:t>
      </w:r>
      <w:r w:rsidR="009A13C2" w:rsidRPr="0014749C">
        <w:rPr>
          <w:rFonts w:asciiTheme="majorBidi" w:hAnsiTheme="majorBidi" w:cstheme="majorBidi"/>
          <w:lang w:val="en-GB"/>
        </w:rPr>
        <w:t xml:space="preserve"> </w:t>
      </w:r>
      <w:r w:rsidR="00B00957">
        <w:rPr>
          <w:rFonts w:asciiTheme="majorBidi" w:hAnsiTheme="majorBidi" w:cstheme="majorBidi"/>
          <w:lang w:val="en-GB"/>
        </w:rPr>
        <w:t>the introduction of legal mechanisms that prevented investigations into grave human rights violations</w:t>
      </w:r>
      <w:r w:rsidR="00F65BCB">
        <w:rPr>
          <w:rFonts w:asciiTheme="majorBidi" w:hAnsiTheme="majorBidi" w:cstheme="majorBidi"/>
          <w:lang w:val="en-GB"/>
        </w:rPr>
        <w:t xml:space="preserve">, therefore prolonging these, </w:t>
      </w:r>
      <w:r w:rsidR="009A13C2">
        <w:rPr>
          <w:rFonts w:asciiTheme="majorBidi" w:hAnsiTheme="majorBidi" w:cstheme="majorBidi"/>
          <w:lang w:val="en-GB"/>
        </w:rPr>
        <w:t>is relevant as a determinant of a breach of state obligations.</w:t>
      </w:r>
      <w:r w:rsidR="009A13C2">
        <w:rPr>
          <w:rStyle w:val="FootnoteReference"/>
          <w:rFonts w:asciiTheme="majorBidi" w:hAnsiTheme="majorBidi" w:cstheme="majorBidi"/>
          <w:lang w:val="en-GB"/>
        </w:rPr>
        <w:footnoteReference w:id="19"/>
      </w:r>
      <w:r w:rsidR="009A13C2">
        <w:rPr>
          <w:rFonts w:asciiTheme="majorBidi" w:hAnsiTheme="majorBidi" w:cstheme="majorBidi"/>
          <w:lang w:val="en-GB"/>
        </w:rPr>
        <w:t xml:space="preserve"> </w:t>
      </w:r>
      <w:r w:rsidR="009A13C2" w:rsidRPr="000037AA">
        <w:rPr>
          <w:rFonts w:asciiTheme="majorBidi" w:hAnsiTheme="majorBidi" w:cstheme="majorBidi"/>
          <w:lang w:val="en-US"/>
        </w:rPr>
        <w:t xml:space="preserve">Importantly, </w:t>
      </w:r>
      <w:r w:rsidR="00612524" w:rsidRPr="00612524">
        <w:rPr>
          <w:rFonts w:asciiTheme="majorBidi" w:hAnsiTheme="majorBidi" w:cstheme="majorBidi"/>
          <w:lang w:val="en-US"/>
        </w:rPr>
        <w:t xml:space="preserve">whether justice has been served within a reasonable time and </w:t>
      </w:r>
      <w:r w:rsidR="009A13C2" w:rsidRPr="000037AA">
        <w:rPr>
          <w:rFonts w:asciiTheme="majorBidi" w:hAnsiTheme="majorBidi" w:cstheme="majorBidi"/>
          <w:lang w:val="en-US"/>
        </w:rPr>
        <w:t xml:space="preserve">whether interstate cooperation in investigations has occurred and </w:t>
      </w:r>
      <w:r w:rsidR="009A13C2" w:rsidRPr="009C13C3">
        <w:rPr>
          <w:rFonts w:asciiTheme="majorBidi" w:hAnsiTheme="majorBidi" w:cstheme="majorBidi"/>
          <w:color w:val="000000" w:themeColor="text1"/>
          <w:lang w:val="en-US"/>
        </w:rPr>
        <w:t>been effective</w:t>
      </w:r>
      <w:r w:rsidR="00B66D84" w:rsidRPr="009C13C3">
        <w:rPr>
          <w:rFonts w:asciiTheme="majorBidi" w:hAnsiTheme="majorBidi" w:cstheme="majorBidi"/>
          <w:color w:val="000000" w:themeColor="text1"/>
          <w:lang w:val="en-US"/>
        </w:rPr>
        <w:t xml:space="preserve"> was</w:t>
      </w:r>
      <w:r w:rsidR="009A13C2" w:rsidRPr="009C13C3">
        <w:rPr>
          <w:rFonts w:asciiTheme="majorBidi" w:hAnsiTheme="majorBidi" w:cstheme="majorBidi"/>
          <w:color w:val="000000" w:themeColor="text1"/>
          <w:lang w:val="en-US"/>
        </w:rPr>
        <w:t xml:space="preserve"> considered to be among the elements necessary to combat impunity.</w:t>
      </w:r>
      <w:r w:rsidR="009A13C2" w:rsidRPr="009C13C3">
        <w:rPr>
          <w:rStyle w:val="FootnoteReference"/>
          <w:rFonts w:asciiTheme="majorBidi" w:hAnsiTheme="majorBidi" w:cstheme="majorBidi"/>
          <w:color w:val="000000" w:themeColor="text1"/>
        </w:rPr>
        <w:footnoteReference w:id="20"/>
      </w:r>
      <w:r w:rsidR="009A13C2" w:rsidRPr="009C13C3">
        <w:rPr>
          <w:rFonts w:asciiTheme="majorBidi" w:eastAsia="Times New Roman" w:hAnsiTheme="majorBidi" w:cstheme="majorBidi"/>
          <w:color w:val="000000" w:themeColor="text1"/>
          <w:lang w:val="en-GB"/>
        </w:rPr>
        <w:t xml:space="preserve"> </w:t>
      </w:r>
      <w:r w:rsidR="009A13C2" w:rsidRPr="009C13C3">
        <w:rPr>
          <w:rFonts w:asciiTheme="majorBidi" w:hAnsiTheme="majorBidi" w:cstheme="majorBidi"/>
          <w:color w:val="000000" w:themeColor="text1"/>
          <w:lang w:val="en-GB"/>
        </w:rPr>
        <w:t xml:space="preserve">The failure to identify human remains and the failure to search for such remains </w:t>
      </w:r>
      <w:r w:rsidR="00B66D84" w:rsidRPr="009C13C3">
        <w:rPr>
          <w:rFonts w:asciiTheme="majorBidi" w:hAnsiTheme="majorBidi" w:cstheme="majorBidi"/>
          <w:color w:val="000000" w:themeColor="text1"/>
          <w:lang w:val="en-GB"/>
        </w:rPr>
        <w:t xml:space="preserve">was found to </w:t>
      </w:r>
      <w:r w:rsidR="005278DB" w:rsidRPr="009C13C3">
        <w:rPr>
          <w:rFonts w:asciiTheme="majorBidi" w:hAnsiTheme="majorBidi" w:cstheme="majorBidi"/>
          <w:color w:val="000000" w:themeColor="text1"/>
          <w:lang w:val="en-GB"/>
        </w:rPr>
        <w:t xml:space="preserve">contribute to </w:t>
      </w:r>
      <w:r w:rsidR="009A13C2" w:rsidRPr="009C13C3">
        <w:rPr>
          <w:rFonts w:asciiTheme="majorBidi" w:hAnsiTheme="majorBidi" w:cstheme="majorBidi"/>
          <w:color w:val="000000" w:themeColor="text1"/>
          <w:lang w:val="en-GB"/>
        </w:rPr>
        <w:t>perpetuating impunity.</w:t>
      </w:r>
      <w:r w:rsidR="009A13C2" w:rsidRPr="009C13C3">
        <w:rPr>
          <w:rFonts w:asciiTheme="majorBidi" w:hAnsiTheme="majorBidi" w:cstheme="majorBidi"/>
          <w:color w:val="000000" w:themeColor="text1"/>
          <w:vertAlign w:val="superscript"/>
          <w:lang w:val="en-US"/>
        </w:rPr>
        <w:footnoteReference w:id="21"/>
      </w:r>
      <w:r w:rsidR="009A13C2" w:rsidRPr="009C13C3">
        <w:rPr>
          <w:rFonts w:asciiTheme="majorBidi" w:hAnsiTheme="majorBidi" w:cstheme="majorBidi"/>
          <w:color w:val="000000" w:themeColor="text1"/>
          <w:vertAlign w:val="superscript"/>
          <w:lang w:val="en-US"/>
        </w:rPr>
        <w:t xml:space="preserve"> </w:t>
      </w:r>
      <w:r w:rsidR="00B66D84" w:rsidRPr="009C13C3">
        <w:rPr>
          <w:rFonts w:asciiTheme="majorBidi" w:hAnsiTheme="majorBidi" w:cstheme="majorBidi"/>
          <w:color w:val="000000" w:themeColor="text1"/>
          <w:lang w:val="en-GB"/>
        </w:rPr>
        <w:t>The Court</w:t>
      </w:r>
      <w:r w:rsidR="009A13C2" w:rsidRPr="009C13C3">
        <w:rPr>
          <w:rFonts w:asciiTheme="majorBidi" w:hAnsiTheme="majorBidi" w:cstheme="majorBidi"/>
          <w:color w:val="000000" w:themeColor="text1"/>
          <w:lang w:val="en-GB"/>
        </w:rPr>
        <w:t xml:space="preserve"> also noted that impunity combined with non-compliance with </w:t>
      </w:r>
      <w:r w:rsidR="009A13C2" w:rsidRPr="00837839">
        <w:rPr>
          <w:rFonts w:asciiTheme="majorBidi" w:hAnsiTheme="majorBidi" w:cstheme="majorBidi"/>
          <w:lang w:val="en-GB"/>
        </w:rPr>
        <w:t xml:space="preserve">protection and investigation obligations exacerbates the international responsibility of the </w:t>
      </w:r>
      <w:r w:rsidR="00CB4ACA">
        <w:rPr>
          <w:rFonts w:asciiTheme="majorBidi" w:hAnsiTheme="majorBidi" w:cstheme="majorBidi"/>
          <w:lang w:val="en-GB"/>
        </w:rPr>
        <w:t>S</w:t>
      </w:r>
      <w:r w:rsidR="009A13C2" w:rsidRPr="00837839">
        <w:rPr>
          <w:rFonts w:asciiTheme="majorBidi" w:hAnsiTheme="majorBidi" w:cstheme="majorBidi"/>
          <w:lang w:val="en-GB"/>
        </w:rPr>
        <w:t>tate.</w:t>
      </w:r>
      <w:r w:rsidR="009A13C2">
        <w:rPr>
          <w:rStyle w:val="FootnoteReference"/>
          <w:rFonts w:asciiTheme="majorBidi" w:hAnsiTheme="majorBidi" w:cstheme="majorBidi"/>
        </w:rPr>
        <w:footnoteReference w:id="22"/>
      </w:r>
    </w:p>
    <w:p w14:paraId="7C4A5A57" w14:textId="77777777" w:rsidR="009A13C2" w:rsidRDefault="009A13C2" w:rsidP="009A13C2">
      <w:pPr>
        <w:jc w:val="both"/>
        <w:rPr>
          <w:rFonts w:asciiTheme="majorBidi" w:hAnsiTheme="majorBidi" w:cstheme="majorBidi"/>
          <w:lang w:val="en-GB"/>
        </w:rPr>
      </w:pPr>
    </w:p>
    <w:p w14:paraId="4B78A76D" w14:textId="3469CEF3" w:rsidR="009A13C2" w:rsidRPr="0036624C" w:rsidRDefault="009A13C2" w:rsidP="006C2302">
      <w:pPr>
        <w:jc w:val="both"/>
        <w:rPr>
          <w:rFonts w:asciiTheme="majorBidi" w:hAnsiTheme="majorBidi" w:cstheme="majorBidi"/>
          <w:lang w:val="en-US"/>
        </w:rPr>
      </w:pPr>
      <w:r>
        <w:rPr>
          <w:rFonts w:asciiTheme="majorBidi" w:hAnsiTheme="majorBidi" w:cstheme="majorBidi"/>
          <w:lang w:val="en-GB"/>
        </w:rPr>
        <w:t xml:space="preserve">§ </w:t>
      </w:r>
      <w:r w:rsidR="0031247F">
        <w:rPr>
          <w:rFonts w:asciiTheme="majorBidi" w:hAnsiTheme="majorBidi" w:cstheme="majorBidi"/>
          <w:lang w:val="en-GB"/>
        </w:rPr>
        <w:t>9</w:t>
      </w:r>
      <w:r>
        <w:rPr>
          <w:rFonts w:asciiTheme="majorBidi" w:hAnsiTheme="majorBidi" w:cstheme="majorBidi"/>
          <w:lang w:val="en-GB"/>
        </w:rPr>
        <w:t xml:space="preserve">. </w:t>
      </w:r>
      <w:r w:rsidR="00F604F0">
        <w:rPr>
          <w:rFonts w:asciiTheme="majorBidi" w:hAnsiTheme="majorBidi" w:cstheme="majorBidi"/>
          <w:lang w:val="en-GB"/>
        </w:rPr>
        <w:t>In c</w:t>
      </w:r>
      <w:r w:rsidR="009C13C3">
        <w:rPr>
          <w:rFonts w:asciiTheme="majorBidi" w:hAnsiTheme="majorBidi" w:cstheme="majorBidi"/>
          <w:lang w:val="en-GB"/>
        </w:rPr>
        <w:t>onclu</w:t>
      </w:r>
      <w:r w:rsidR="00F604F0">
        <w:rPr>
          <w:rFonts w:asciiTheme="majorBidi" w:hAnsiTheme="majorBidi" w:cstheme="majorBidi"/>
          <w:lang w:val="en-GB"/>
        </w:rPr>
        <w:t>sion</w:t>
      </w:r>
      <w:r w:rsidR="009C13C3">
        <w:rPr>
          <w:rFonts w:asciiTheme="majorBidi" w:hAnsiTheme="majorBidi" w:cstheme="majorBidi"/>
          <w:lang w:val="en-GB"/>
        </w:rPr>
        <w:t>, a</w:t>
      </w:r>
      <w:r w:rsidRPr="0036624C">
        <w:rPr>
          <w:rFonts w:asciiTheme="majorBidi" w:hAnsiTheme="majorBidi" w:cstheme="majorBidi"/>
          <w:lang w:val="en-US"/>
        </w:rPr>
        <w:t>ccord</w:t>
      </w:r>
      <w:r w:rsidR="005E29FA">
        <w:rPr>
          <w:rFonts w:asciiTheme="majorBidi" w:hAnsiTheme="majorBidi" w:cstheme="majorBidi"/>
          <w:lang w:val="en-US"/>
        </w:rPr>
        <w:t>i</w:t>
      </w:r>
      <w:r w:rsidRPr="0036624C">
        <w:rPr>
          <w:rFonts w:asciiTheme="majorBidi" w:hAnsiTheme="majorBidi" w:cstheme="majorBidi"/>
          <w:lang w:val="en-US"/>
        </w:rPr>
        <w:t>n</w:t>
      </w:r>
      <w:r w:rsidR="005E29FA">
        <w:rPr>
          <w:rFonts w:asciiTheme="majorBidi" w:hAnsiTheme="majorBidi" w:cstheme="majorBidi"/>
          <w:lang w:val="en-US"/>
        </w:rPr>
        <w:t xml:space="preserve">g </w:t>
      </w:r>
      <w:r w:rsidRPr="0036624C">
        <w:rPr>
          <w:rFonts w:asciiTheme="majorBidi" w:hAnsiTheme="majorBidi" w:cstheme="majorBidi"/>
          <w:lang w:val="en-US"/>
        </w:rPr>
        <w:t xml:space="preserve">to regional jurisprudence and the overarching purpose of the </w:t>
      </w:r>
      <w:r w:rsidR="001E6F07">
        <w:rPr>
          <w:rFonts w:asciiTheme="majorBidi" w:hAnsiTheme="majorBidi" w:cstheme="majorBidi"/>
          <w:lang w:val="en-US"/>
        </w:rPr>
        <w:t>ICPPED</w:t>
      </w:r>
      <w:r w:rsidR="001E6F07" w:rsidRPr="0036624C">
        <w:rPr>
          <w:rFonts w:asciiTheme="majorBidi" w:hAnsiTheme="majorBidi" w:cstheme="majorBidi"/>
          <w:lang w:val="en-US"/>
        </w:rPr>
        <w:t xml:space="preserve"> </w:t>
      </w:r>
      <w:r w:rsidRPr="0036624C">
        <w:rPr>
          <w:rFonts w:asciiTheme="majorBidi" w:hAnsiTheme="majorBidi" w:cstheme="majorBidi"/>
          <w:lang w:val="en-US"/>
        </w:rPr>
        <w:t xml:space="preserve">enshrined in its preamble, </w:t>
      </w:r>
      <w:r w:rsidR="00E843E0">
        <w:rPr>
          <w:rFonts w:asciiTheme="majorBidi" w:hAnsiTheme="majorBidi" w:cstheme="majorBidi"/>
          <w:lang w:val="en-US"/>
        </w:rPr>
        <w:t>high levels of</w:t>
      </w:r>
      <w:r w:rsidRPr="0036624C">
        <w:rPr>
          <w:rFonts w:asciiTheme="majorBidi" w:hAnsiTheme="majorBidi" w:cstheme="majorBidi"/>
          <w:lang w:val="en-US"/>
        </w:rPr>
        <w:t xml:space="preserve"> impunity</w:t>
      </w:r>
      <w:r w:rsidR="009C13C3">
        <w:rPr>
          <w:rFonts w:asciiTheme="majorBidi" w:hAnsiTheme="majorBidi" w:cstheme="majorBidi"/>
          <w:lang w:val="en-US"/>
        </w:rPr>
        <w:t xml:space="preserve">, </w:t>
      </w:r>
      <w:r w:rsidR="00D6128E">
        <w:rPr>
          <w:rFonts w:asciiTheme="majorBidi" w:hAnsiTheme="majorBidi" w:cstheme="majorBidi"/>
          <w:lang w:val="en-US"/>
        </w:rPr>
        <w:t xml:space="preserve">which contribute to the repetition </w:t>
      </w:r>
      <w:r w:rsidR="009C13C3">
        <w:rPr>
          <w:rFonts w:asciiTheme="majorBidi" w:hAnsiTheme="majorBidi" w:cstheme="majorBidi"/>
          <w:lang w:val="en-US"/>
        </w:rPr>
        <w:t xml:space="preserve">and prolonging </w:t>
      </w:r>
      <w:r w:rsidR="00D6128E">
        <w:rPr>
          <w:rFonts w:asciiTheme="majorBidi" w:hAnsiTheme="majorBidi" w:cstheme="majorBidi"/>
          <w:lang w:val="en-US"/>
        </w:rPr>
        <w:t xml:space="preserve">of </w:t>
      </w:r>
      <w:r w:rsidR="009C13C3">
        <w:rPr>
          <w:rFonts w:asciiTheme="majorBidi" w:hAnsiTheme="majorBidi" w:cstheme="majorBidi"/>
          <w:lang w:val="en-US"/>
        </w:rPr>
        <w:t>grave human rights violations,</w:t>
      </w:r>
      <w:r w:rsidRPr="0036624C">
        <w:rPr>
          <w:rFonts w:asciiTheme="majorBidi" w:hAnsiTheme="majorBidi" w:cstheme="majorBidi"/>
          <w:lang w:val="en-US"/>
        </w:rPr>
        <w:t xml:space="preserve"> </w:t>
      </w:r>
      <w:r w:rsidR="002D7437">
        <w:rPr>
          <w:rFonts w:asciiTheme="majorBidi" w:hAnsiTheme="majorBidi" w:cstheme="majorBidi"/>
          <w:lang w:val="en-US"/>
        </w:rPr>
        <w:t xml:space="preserve">should be considered as </w:t>
      </w:r>
      <w:r w:rsidRPr="0036624C">
        <w:rPr>
          <w:rFonts w:asciiTheme="majorBidi" w:hAnsiTheme="majorBidi" w:cstheme="majorBidi"/>
          <w:lang w:val="en-US"/>
        </w:rPr>
        <w:t>present</w:t>
      </w:r>
      <w:r w:rsidR="002D7437">
        <w:rPr>
          <w:rFonts w:asciiTheme="majorBidi" w:hAnsiTheme="majorBidi" w:cstheme="majorBidi"/>
          <w:lang w:val="en-US"/>
        </w:rPr>
        <w:t>ing</w:t>
      </w:r>
      <w:r w:rsidRPr="0036624C">
        <w:rPr>
          <w:rFonts w:asciiTheme="majorBidi" w:hAnsiTheme="majorBidi" w:cstheme="majorBidi"/>
          <w:lang w:val="en-US"/>
        </w:rPr>
        <w:t xml:space="preserve"> an aggravating factor in establishing violations related to enforced disappearance</w:t>
      </w:r>
      <w:r w:rsidR="006C2302">
        <w:rPr>
          <w:rFonts w:asciiTheme="majorBidi" w:hAnsiTheme="majorBidi" w:cstheme="majorBidi"/>
          <w:lang w:val="en-US"/>
        </w:rPr>
        <w:t xml:space="preserve">, including </w:t>
      </w:r>
      <w:r w:rsidR="006C2302" w:rsidRPr="006C2302">
        <w:rPr>
          <w:rFonts w:asciiTheme="majorBidi" w:hAnsiTheme="majorBidi" w:cstheme="majorBidi"/>
          <w:lang w:val="en-US"/>
        </w:rPr>
        <w:t>in establishing whether the State has acquiesced in the violation of rights</w:t>
      </w:r>
      <w:r w:rsidRPr="0036624C">
        <w:rPr>
          <w:rFonts w:asciiTheme="majorBidi" w:hAnsiTheme="majorBidi" w:cstheme="majorBidi"/>
          <w:lang w:val="en-US"/>
        </w:rPr>
        <w:t>.</w:t>
      </w:r>
      <w:r>
        <w:rPr>
          <w:rFonts w:asciiTheme="majorBidi" w:hAnsiTheme="majorBidi" w:cstheme="majorBidi"/>
          <w:lang w:val="en-US"/>
        </w:rPr>
        <w:t xml:space="preserve"> </w:t>
      </w:r>
    </w:p>
    <w:p w14:paraId="6EBBE91F" w14:textId="77777777" w:rsidR="009A13C2" w:rsidRDefault="009A13C2" w:rsidP="009A13C2">
      <w:pPr>
        <w:jc w:val="both"/>
        <w:rPr>
          <w:rFonts w:asciiTheme="majorBidi" w:hAnsiTheme="majorBidi" w:cstheme="majorBidi"/>
          <w:lang w:val="en-US"/>
        </w:rPr>
      </w:pPr>
    </w:p>
    <w:p w14:paraId="39EB3303" w14:textId="24EEE32B" w:rsidR="009A13C2" w:rsidRDefault="009A13C2" w:rsidP="00612524">
      <w:pPr>
        <w:pStyle w:val="ListParagraph"/>
        <w:numPr>
          <w:ilvl w:val="0"/>
          <w:numId w:val="2"/>
        </w:numPr>
        <w:jc w:val="both"/>
        <w:rPr>
          <w:rFonts w:asciiTheme="majorBidi" w:hAnsiTheme="majorBidi" w:cstheme="majorBidi"/>
          <w:i/>
          <w:iCs/>
          <w:lang w:val="en-US"/>
        </w:rPr>
      </w:pPr>
      <w:r w:rsidRPr="005A7A2E">
        <w:rPr>
          <w:rFonts w:asciiTheme="majorBidi" w:hAnsiTheme="majorBidi" w:cstheme="majorBidi"/>
          <w:i/>
          <w:iCs/>
          <w:lang w:val="en-US"/>
        </w:rPr>
        <w:t>Risk Awareness</w:t>
      </w:r>
      <w:r>
        <w:rPr>
          <w:rFonts w:asciiTheme="majorBidi" w:hAnsiTheme="majorBidi" w:cstheme="majorBidi"/>
          <w:i/>
          <w:iCs/>
          <w:lang w:val="en-US"/>
        </w:rPr>
        <w:t xml:space="preserve"> and Foreseeability</w:t>
      </w:r>
      <w:r w:rsidRPr="005A7A2E">
        <w:rPr>
          <w:rFonts w:asciiTheme="majorBidi" w:hAnsiTheme="majorBidi" w:cstheme="majorBidi"/>
          <w:i/>
          <w:iCs/>
          <w:lang w:val="en-US"/>
        </w:rPr>
        <w:t xml:space="preserve"> </w:t>
      </w:r>
    </w:p>
    <w:p w14:paraId="0F10D189" w14:textId="77777777" w:rsidR="009A13C2" w:rsidRDefault="009A13C2" w:rsidP="009A13C2">
      <w:pPr>
        <w:jc w:val="both"/>
        <w:rPr>
          <w:rFonts w:asciiTheme="majorBidi" w:hAnsiTheme="majorBidi" w:cstheme="majorBidi"/>
          <w:lang w:val="en-US"/>
        </w:rPr>
      </w:pPr>
    </w:p>
    <w:p w14:paraId="13432746" w14:textId="516BCFAD" w:rsidR="009A13C2" w:rsidRDefault="0031247F" w:rsidP="00966030">
      <w:pPr>
        <w:tabs>
          <w:tab w:val="left" w:pos="4050"/>
        </w:tabs>
        <w:jc w:val="both"/>
        <w:rPr>
          <w:rFonts w:asciiTheme="majorBidi" w:hAnsiTheme="majorBidi" w:cstheme="majorBidi"/>
          <w:lang w:val="en-US"/>
        </w:rPr>
      </w:pPr>
      <w:r>
        <w:rPr>
          <w:rFonts w:asciiTheme="majorBidi" w:hAnsiTheme="majorBidi" w:cstheme="majorBidi"/>
          <w:lang w:val="en-US"/>
        </w:rPr>
        <w:t xml:space="preserve">§ 10. </w:t>
      </w:r>
      <w:r w:rsidR="00966030" w:rsidRPr="00966030">
        <w:rPr>
          <w:rFonts w:asciiTheme="majorBidi" w:hAnsiTheme="majorBidi" w:cstheme="majorBidi"/>
          <w:lang w:val="en-US"/>
        </w:rPr>
        <w:t>The basis for an attribution test for both</w:t>
      </w:r>
      <w:r w:rsidR="00966030">
        <w:rPr>
          <w:rFonts w:asciiTheme="majorBidi" w:hAnsiTheme="majorBidi" w:cstheme="majorBidi"/>
          <w:lang w:val="en-US"/>
        </w:rPr>
        <w:t xml:space="preserve"> acquiescence and due diligence is a</w:t>
      </w:r>
      <w:r w:rsidR="009A13C2" w:rsidRPr="00BA1584">
        <w:rPr>
          <w:rFonts w:asciiTheme="majorBidi" w:hAnsiTheme="majorBidi" w:cstheme="majorBidi"/>
          <w:lang w:val="en-US"/>
        </w:rPr>
        <w:t xml:space="preserve">n assessment of </w:t>
      </w:r>
      <w:r w:rsidR="009A13C2" w:rsidRPr="0031247F">
        <w:rPr>
          <w:rFonts w:asciiTheme="majorBidi" w:hAnsiTheme="majorBidi" w:cstheme="majorBidi"/>
          <w:lang w:val="en-US"/>
        </w:rPr>
        <w:t>the foreseeability of risk.</w:t>
      </w:r>
      <w:r w:rsidR="009A13C2">
        <w:rPr>
          <w:rFonts w:asciiTheme="majorBidi" w:hAnsiTheme="majorBidi" w:cstheme="majorBidi"/>
          <w:lang w:val="en-US"/>
        </w:rPr>
        <w:t xml:space="preserve"> </w:t>
      </w:r>
      <w:r w:rsidR="00932DA5" w:rsidRPr="00433D49">
        <w:rPr>
          <w:rFonts w:asciiTheme="majorBidi" w:hAnsiTheme="majorBidi" w:cstheme="majorBidi"/>
          <w:lang w:val="en-US"/>
        </w:rPr>
        <w:t xml:space="preserve">In assessing whether the </w:t>
      </w:r>
      <w:r w:rsidR="00612524">
        <w:rPr>
          <w:rFonts w:asciiTheme="majorBidi" w:hAnsiTheme="majorBidi" w:cstheme="majorBidi"/>
          <w:lang w:val="en-US"/>
        </w:rPr>
        <w:t>S</w:t>
      </w:r>
      <w:r w:rsidR="00932DA5" w:rsidRPr="00433D49">
        <w:rPr>
          <w:rFonts w:asciiTheme="majorBidi" w:hAnsiTheme="majorBidi" w:cstheme="majorBidi"/>
          <w:lang w:val="en-US"/>
        </w:rPr>
        <w:t xml:space="preserve">tate knew or should have known of a real and imminent risk, </w:t>
      </w:r>
      <w:r w:rsidR="00B72243">
        <w:rPr>
          <w:rFonts w:asciiTheme="majorBidi" w:hAnsiTheme="majorBidi" w:cstheme="majorBidi"/>
          <w:lang w:val="en-US"/>
        </w:rPr>
        <w:t xml:space="preserve">regional Courts </w:t>
      </w:r>
      <w:r w:rsidR="00932DA5" w:rsidRPr="00433D49">
        <w:rPr>
          <w:rFonts w:asciiTheme="majorBidi" w:hAnsiTheme="majorBidi" w:cstheme="majorBidi"/>
          <w:lang w:val="en-US"/>
        </w:rPr>
        <w:t>consider</w:t>
      </w:r>
      <w:r w:rsidR="00B72243">
        <w:rPr>
          <w:rFonts w:asciiTheme="majorBidi" w:hAnsiTheme="majorBidi" w:cstheme="majorBidi"/>
          <w:lang w:val="en-US"/>
        </w:rPr>
        <w:t>ed</w:t>
      </w:r>
      <w:r w:rsidR="00932DA5" w:rsidRPr="00433D49">
        <w:rPr>
          <w:rFonts w:asciiTheme="majorBidi" w:hAnsiTheme="majorBidi" w:cstheme="majorBidi"/>
          <w:lang w:val="en-US"/>
        </w:rPr>
        <w:t xml:space="preserve"> whether there was information in advance that served as evidence </w:t>
      </w:r>
      <w:proofErr w:type="gramStart"/>
      <w:r w:rsidR="00932DA5" w:rsidRPr="00433D49">
        <w:rPr>
          <w:rFonts w:asciiTheme="majorBidi" w:hAnsiTheme="majorBidi" w:cstheme="majorBidi"/>
          <w:lang w:val="en-US"/>
        </w:rPr>
        <w:t>on the basis of</w:t>
      </w:r>
      <w:proofErr w:type="gramEnd"/>
      <w:r w:rsidR="00932DA5" w:rsidRPr="00433D49">
        <w:rPr>
          <w:rFonts w:asciiTheme="majorBidi" w:hAnsiTheme="majorBidi" w:cstheme="majorBidi"/>
          <w:lang w:val="en-US"/>
        </w:rPr>
        <w:t xml:space="preserve"> which the </w:t>
      </w:r>
      <w:r w:rsidR="00CB4ACA">
        <w:rPr>
          <w:rFonts w:asciiTheme="majorBidi" w:hAnsiTheme="majorBidi" w:cstheme="majorBidi"/>
          <w:lang w:val="en-US"/>
        </w:rPr>
        <w:t>S</w:t>
      </w:r>
      <w:r w:rsidR="00932DA5" w:rsidRPr="00433D49">
        <w:rPr>
          <w:rFonts w:asciiTheme="majorBidi" w:hAnsiTheme="majorBidi" w:cstheme="majorBidi"/>
          <w:lang w:val="en-US"/>
        </w:rPr>
        <w:t>tate should have decided to take action.</w:t>
      </w:r>
    </w:p>
    <w:p w14:paraId="12466C3E" w14:textId="77777777" w:rsidR="009A13C2" w:rsidRDefault="009A13C2" w:rsidP="009A13C2">
      <w:pPr>
        <w:jc w:val="both"/>
        <w:rPr>
          <w:rFonts w:asciiTheme="majorBidi" w:hAnsiTheme="majorBidi" w:cstheme="majorBidi"/>
          <w:lang w:val="en-US"/>
        </w:rPr>
      </w:pPr>
    </w:p>
    <w:p w14:paraId="188E9356" w14:textId="300B0A79" w:rsidR="009A13C2" w:rsidRPr="00070935" w:rsidRDefault="0031247F" w:rsidP="00070935">
      <w:pPr>
        <w:jc w:val="both"/>
        <w:rPr>
          <w:rFonts w:asciiTheme="majorBidi" w:hAnsiTheme="majorBidi" w:cstheme="majorBidi"/>
          <w:b/>
          <w:bCs/>
          <w:sz w:val="20"/>
          <w:szCs w:val="20"/>
          <w:lang w:val="en-US"/>
        </w:rPr>
      </w:pPr>
      <w:r>
        <w:rPr>
          <w:rFonts w:asciiTheme="majorBidi" w:hAnsiTheme="majorBidi" w:cstheme="majorBidi"/>
          <w:lang w:val="en-US"/>
        </w:rPr>
        <w:t xml:space="preserve">§ 11. </w:t>
      </w:r>
      <w:r w:rsidR="00E65F21">
        <w:rPr>
          <w:rFonts w:asciiTheme="majorBidi" w:hAnsiTheme="majorBidi" w:cstheme="majorBidi"/>
          <w:lang w:val="en-US"/>
        </w:rPr>
        <w:t>T</w:t>
      </w:r>
      <w:r w:rsidR="009A13C2" w:rsidRPr="00BA1584">
        <w:rPr>
          <w:rFonts w:asciiTheme="majorBidi" w:hAnsiTheme="majorBidi" w:cstheme="majorBidi"/>
          <w:lang w:val="en-US"/>
        </w:rPr>
        <w:t xml:space="preserve">he test in the </w:t>
      </w:r>
      <w:r w:rsidR="009A13C2" w:rsidRPr="00612524">
        <w:rPr>
          <w:rFonts w:asciiTheme="majorBidi" w:hAnsiTheme="majorBidi" w:cstheme="majorBidi"/>
          <w:i/>
          <w:iCs/>
          <w:lang w:val="en-US"/>
        </w:rPr>
        <w:t xml:space="preserve">Osman </w:t>
      </w:r>
      <w:r w:rsidR="009A13C2" w:rsidRPr="00BA1584">
        <w:rPr>
          <w:rFonts w:asciiTheme="majorBidi" w:hAnsiTheme="majorBidi" w:cstheme="majorBidi"/>
          <w:lang w:val="en-US"/>
        </w:rPr>
        <w:t>case established that the right to life imposes a positive obligation on competent authorities to take preventive operational measures to protect a person whose life is endangered by the criminal acts of another person. For such an obligation to arise, it must be shown that the authorities knew or should have known of a real and imminent risk to the life of a particular person and that they failed to take measures within the scope of their powers which could reasonably have been expected to avoid that risk</w:t>
      </w:r>
      <w:r w:rsidR="009A13C2">
        <w:rPr>
          <w:rFonts w:asciiTheme="majorBidi" w:hAnsiTheme="majorBidi" w:cstheme="majorBidi"/>
          <w:lang w:val="en-US"/>
        </w:rPr>
        <w:t>.</w:t>
      </w:r>
      <w:r w:rsidR="009A13C2">
        <w:rPr>
          <w:rStyle w:val="FootnoteReference"/>
          <w:rFonts w:asciiTheme="majorBidi" w:hAnsiTheme="majorBidi" w:cstheme="majorBidi"/>
        </w:rPr>
        <w:footnoteReference w:id="23"/>
      </w:r>
      <w:r w:rsidR="00E843E0" w:rsidRPr="00E843E0">
        <w:rPr>
          <w:rStyle w:val="CommentSubjectChar"/>
          <w:rFonts w:asciiTheme="majorBidi" w:hAnsiTheme="majorBidi" w:cstheme="majorBidi"/>
          <w:lang w:val="en-US"/>
        </w:rPr>
        <w:t xml:space="preserve"> </w:t>
      </w:r>
      <w:r w:rsidR="00E843E0" w:rsidRPr="00E843E0">
        <w:rPr>
          <w:rStyle w:val="CommentSubjectChar"/>
          <w:rFonts w:asciiTheme="majorBidi" w:hAnsiTheme="majorBidi" w:cstheme="majorBidi"/>
          <w:b w:val="0"/>
          <w:bCs w:val="0"/>
          <w:sz w:val="24"/>
          <w:szCs w:val="24"/>
          <w:lang w:val="en-US"/>
        </w:rPr>
        <w:t xml:space="preserve">Drawing on this test, </w:t>
      </w:r>
      <w:r w:rsidR="00E843E0" w:rsidRPr="00E843E0">
        <w:rPr>
          <w:rFonts w:asciiTheme="majorBidi" w:hAnsiTheme="majorBidi" w:cstheme="majorBidi"/>
          <w:lang w:val="en-US"/>
        </w:rPr>
        <w:t>t</w:t>
      </w:r>
      <w:r w:rsidR="00310698" w:rsidRPr="00E843E0">
        <w:rPr>
          <w:rFonts w:asciiTheme="majorBidi" w:hAnsiTheme="majorBidi" w:cstheme="majorBidi"/>
          <w:lang w:val="en-US"/>
        </w:rPr>
        <w:t>he</w:t>
      </w:r>
      <w:r w:rsidR="00310698" w:rsidRPr="00310698">
        <w:rPr>
          <w:rFonts w:asciiTheme="majorBidi" w:hAnsiTheme="majorBidi" w:cstheme="majorBidi"/>
          <w:lang w:val="en-US"/>
        </w:rPr>
        <w:t xml:space="preserve"> presence of officials</w:t>
      </w:r>
      <w:r w:rsidR="00310698">
        <w:rPr>
          <w:rFonts w:asciiTheme="majorBidi" w:hAnsiTheme="majorBidi" w:cstheme="majorBidi"/>
          <w:lang w:val="en-US"/>
        </w:rPr>
        <w:t xml:space="preserve"> handing individuals back to a dangerous situation while they had knowledge of the potential risk of infringements of the individual´s rights</w:t>
      </w:r>
      <w:r w:rsidR="00310698" w:rsidRPr="00310698">
        <w:rPr>
          <w:rFonts w:asciiTheme="majorBidi" w:hAnsiTheme="majorBidi" w:cstheme="majorBidi"/>
          <w:lang w:val="en-US"/>
        </w:rPr>
        <w:t xml:space="preserve"> counted as an attribution test</w:t>
      </w:r>
      <w:r w:rsidR="00E843E0">
        <w:rPr>
          <w:rFonts w:asciiTheme="majorBidi" w:hAnsiTheme="majorBidi" w:cstheme="majorBidi"/>
          <w:lang w:val="en-US"/>
        </w:rPr>
        <w:t xml:space="preserve"> for acquiescence</w:t>
      </w:r>
      <w:r w:rsidR="00310698" w:rsidRPr="00310698">
        <w:rPr>
          <w:rFonts w:asciiTheme="majorBidi" w:hAnsiTheme="majorBidi" w:cstheme="majorBidi"/>
          <w:lang w:val="en-US"/>
        </w:rPr>
        <w:t>.</w:t>
      </w:r>
      <w:r w:rsidR="00310698" w:rsidRPr="00310698">
        <w:rPr>
          <w:rFonts w:asciiTheme="majorBidi" w:hAnsiTheme="majorBidi" w:cstheme="majorBidi"/>
          <w:vertAlign w:val="superscript"/>
          <w:lang w:val="en-US"/>
        </w:rPr>
        <w:footnoteReference w:id="24"/>
      </w:r>
      <w:r w:rsidR="00310698" w:rsidRPr="00310698">
        <w:rPr>
          <w:rFonts w:asciiTheme="majorBidi" w:hAnsiTheme="majorBidi" w:cstheme="majorBidi"/>
          <w:b/>
          <w:bCs/>
          <w:sz w:val="20"/>
          <w:szCs w:val="20"/>
          <w:lang w:val="en-US"/>
        </w:rPr>
        <w:t xml:space="preserve"> </w:t>
      </w:r>
      <w:r w:rsidR="005E29FA">
        <w:rPr>
          <w:rFonts w:asciiTheme="majorBidi" w:hAnsiTheme="majorBidi" w:cstheme="majorBidi"/>
          <w:lang w:val="en-US"/>
        </w:rPr>
        <w:t>Risk awareness</w:t>
      </w:r>
      <w:r w:rsidR="00310698">
        <w:rPr>
          <w:rFonts w:asciiTheme="majorBidi" w:hAnsiTheme="majorBidi" w:cstheme="majorBidi"/>
          <w:lang w:val="en-US"/>
        </w:rPr>
        <w:t xml:space="preserve"> has </w:t>
      </w:r>
      <w:r w:rsidR="00B72243">
        <w:rPr>
          <w:rFonts w:asciiTheme="majorBidi" w:hAnsiTheme="majorBidi" w:cstheme="majorBidi"/>
          <w:lang w:val="en-US"/>
        </w:rPr>
        <w:t xml:space="preserve">also </w:t>
      </w:r>
      <w:r w:rsidR="00310698">
        <w:rPr>
          <w:rFonts w:asciiTheme="majorBidi" w:hAnsiTheme="majorBidi" w:cstheme="majorBidi"/>
          <w:lang w:val="en-US"/>
        </w:rPr>
        <w:t xml:space="preserve">been </w:t>
      </w:r>
      <w:r w:rsidR="00310698" w:rsidRPr="00380BD8">
        <w:rPr>
          <w:rFonts w:asciiTheme="majorBidi" w:hAnsiTheme="majorBidi" w:cstheme="majorBidi"/>
          <w:color w:val="000000" w:themeColor="text1"/>
          <w:lang w:val="en-US"/>
        </w:rPr>
        <w:t>determined based on various reports outlining that the up-to-date policy methods for prevention have been ineffective</w:t>
      </w:r>
      <w:r w:rsidR="00F13B39" w:rsidRPr="00380BD8">
        <w:rPr>
          <w:rFonts w:asciiTheme="majorBidi" w:hAnsiTheme="majorBidi" w:cstheme="majorBidi"/>
          <w:color w:val="000000" w:themeColor="text1"/>
          <w:lang w:val="en-US"/>
        </w:rPr>
        <w:t>.</w:t>
      </w:r>
      <w:r w:rsidR="00310698" w:rsidRPr="00380BD8">
        <w:rPr>
          <w:rFonts w:asciiTheme="majorBidi" w:hAnsiTheme="majorBidi" w:cstheme="majorBidi"/>
          <w:color w:val="000000" w:themeColor="text1"/>
          <w:vertAlign w:val="superscript"/>
          <w:lang w:val="en-US"/>
        </w:rPr>
        <w:footnoteReference w:id="25"/>
      </w:r>
      <w:r w:rsidR="00310698" w:rsidRPr="00380BD8">
        <w:rPr>
          <w:rFonts w:asciiTheme="majorBidi" w:hAnsiTheme="majorBidi" w:cstheme="majorBidi"/>
          <w:color w:val="000000" w:themeColor="text1"/>
          <w:lang w:val="en-US"/>
        </w:rPr>
        <w:t xml:space="preserve">  </w:t>
      </w:r>
    </w:p>
    <w:p w14:paraId="15BFE285" w14:textId="7D61BFD6" w:rsidR="002864EF" w:rsidRDefault="002864EF" w:rsidP="009A13C2">
      <w:pPr>
        <w:jc w:val="both"/>
        <w:rPr>
          <w:rFonts w:asciiTheme="majorBidi" w:hAnsiTheme="majorBidi" w:cstheme="majorBidi"/>
          <w:lang w:val="en-US"/>
        </w:rPr>
      </w:pPr>
    </w:p>
    <w:p w14:paraId="0E922394" w14:textId="159B2975" w:rsidR="009A13C2" w:rsidRPr="002864EF" w:rsidRDefault="0031247F" w:rsidP="00F13B39">
      <w:pPr>
        <w:jc w:val="both"/>
        <w:rPr>
          <w:rFonts w:asciiTheme="majorBidi" w:hAnsiTheme="majorBidi" w:cstheme="majorBidi"/>
          <w:lang w:val="en-GB"/>
        </w:rPr>
      </w:pPr>
      <w:r>
        <w:rPr>
          <w:rFonts w:asciiTheme="majorBidi" w:hAnsiTheme="majorBidi" w:cstheme="majorBidi"/>
          <w:lang w:val="en-GB"/>
        </w:rPr>
        <w:t>§ 1</w:t>
      </w:r>
      <w:r w:rsidR="00070935">
        <w:rPr>
          <w:rFonts w:asciiTheme="majorBidi" w:hAnsiTheme="majorBidi" w:cstheme="majorBidi"/>
          <w:lang w:val="en-GB"/>
        </w:rPr>
        <w:t>2</w:t>
      </w:r>
      <w:r>
        <w:rPr>
          <w:rFonts w:asciiTheme="majorBidi" w:hAnsiTheme="majorBidi" w:cstheme="majorBidi"/>
          <w:lang w:val="en-GB"/>
        </w:rPr>
        <w:t xml:space="preserve">. </w:t>
      </w:r>
      <w:r w:rsidR="00D34E9F">
        <w:rPr>
          <w:rFonts w:asciiTheme="majorBidi" w:hAnsiTheme="majorBidi" w:cstheme="majorBidi"/>
          <w:lang w:val="en-GB"/>
        </w:rPr>
        <w:t>In addition</w:t>
      </w:r>
      <w:r w:rsidR="006E7212">
        <w:rPr>
          <w:rFonts w:asciiTheme="majorBidi" w:hAnsiTheme="majorBidi" w:cstheme="majorBidi"/>
          <w:lang w:val="en-GB"/>
        </w:rPr>
        <w:t xml:space="preserve">, case law suggests that </w:t>
      </w:r>
      <w:r w:rsidR="002864EF" w:rsidRPr="002864EF">
        <w:rPr>
          <w:rFonts w:asciiTheme="majorBidi" w:hAnsiTheme="majorBidi" w:cstheme="majorBidi"/>
          <w:lang w:val="en-GB"/>
        </w:rPr>
        <w:t xml:space="preserve">elements of structural marginalisation in situations where the </w:t>
      </w:r>
      <w:r w:rsidR="00612524">
        <w:rPr>
          <w:rFonts w:asciiTheme="majorBidi" w:hAnsiTheme="majorBidi" w:cstheme="majorBidi"/>
          <w:lang w:val="en-GB"/>
        </w:rPr>
        <w:t>S</w:t>
      </w:r>
      <w:r w:rsidR="002864EF" w:rsidRPr="002864EF">
        <w:rPr>
          <w:rFonts w:asciiTheme="majorBidi" w:hAnsiTheme="majorBidi" w:cstheme="majorBidi"/>
          <w:lang w:val="en-GB"/>
        </w:rPr>
        <w:t>tate fails to monitor a region known for dangerous activities</w:t>
      </w:r>
      <w:r w:rsidR="00B72243">
        <w:rPr>
          <w:rFonts w:asciiTheme="majorBidi" w:hAnsiTheme="majorBidi" w:cstheme="majorBidi"/>
          <w:lang w:val="en-GB"/>
        </w:rPr>
        <w:t xml:space="preserve"> and </w:t>
      </w:r>
      <w:r w:rsidR="002864EF" w:rsidRPr="002864EF">
        <w:rPr>
          <w:rFonts w:asciiTheme="majorBidi" w:hAnsiTheme="majorBidi" w:cstheme="majorBidi"/>
          <w:lang w:val="en-GB"/>
        </w:rPr>
        <w:t>natural hazards present indicators that should have triggered heightened vigilance and reason to be aware of potential harm.</w:t>
      </w:r>
      <w:r w:rsidR="003014EA">
        <w:rPr>
          <w:rStyle w:val="FootnoteReference"/>
          <w:rFonts w:asciiTheme="majorBidi" w:hAnsiTheme="majorBidi" w:cstheme="majorBidi"/>
          <w:lang w:val="en-GB"/>
        </w:rPr>
        <w:footnoteReference w:id="26"/>
      </w:r>
      <w:r w:rsidR="002864EF" w:rsidRPr="002864EF">
        <w:rPr>
          <w:rFonts w:asciiTheme="majorBidi" w:hAnsiTheme="majorBidi" w:cstheme="majorBidi"/>
          <w:lang w:val="en-GB"/>
        </w:rPr>
        <w:t xml:space="preserve"> In the context of migration, the special position of </w:t>
      </w:r>
      <w:r w:rsidR="00CB4ACA">
        <w:rPr>
          <w:rFonts w:asciiTheme="majorBidi" w:hAnsiTheme="majorBidi" w:cstheme="majorBidi"/>
          <w:lang w:val="en-GB"/>
        </w:rPr>
        <w:t>s</w:t>
      </w:r>
      <w:r w:rsidR="002864EF" w:rsidRPr="002864EF">
        <w:rPr>
          <w:rFonts w:asciiTheme="majorBidi" w:hAnsiTheme="majorBidi" w:cstheme="majorBidi"/>
          <w:lang w:val="en-GB"/>
        </w:rPr>
        <w:t>tate authorities as guarantors of rights controlling a particular geographical area where widespread violence against migrants as a particularly vulnerable group has been documented</w:t>
      </w:r>
      <w:r w:rsidR="006E7212">
        <w:rPr>
          <w:rFonts w:asciiTheme="majorBidi" w:hAnsiTheme="majorBidi" w:cstheme="majorBidi"/>
          <w:lang w:val="en-GB"/>
        </w:rPr>
        <w:t>,</w:t>
      </w:r>
      <w:r w:rsidR="002864EF" w:rsidRPr="002864EF">
        <w:rPr>
          <w:rFonts w:asciiTheme="majorBidi" w:hAnsiTheme="majorBidi" w:cstheme="majorBidi"/>
          <w:lang w:val="en-GB"/>
        </w:rPr>
        <w:t xml:space="preserve"> or where dangerous conditions have been reported</w:t>
      </w:r>
      <w:r w:rsidR="006E7212">
        <w:rPr>
          <w:rFonts w:asciiTheme="majorBidi" w:hAnsiTheme="majorBidi" w:cstheme="majorBidi"/>
          <w:lang w:val="en-GB"/>
        </w:rPr>
        <w:t>,</w:t>
      </w:r>
      <w:r w:rsidR="003014EA">
        <w:rPr>
          <w:rFonts w:asciiTheme="majorBidi" w:hAnsiTheme="majorBidi" w:cstheme="majorBidi"/>
          <w:lang w:val="en-GB"/>
        </w:rPr>
        <w:t xml:space="preserve"> </w:t>
      </w:r>
      <w:r w:rsidR="002864EF" w:rsidRPr="002864EF">
        <w:rPr>
          <w:rFonts w:asciiTheme="majorBidi" w:hAnsiTheme="majorBidi" w:cstheme="majorBidi"/>
          <w:lang w:val="en-GB"/>
        </w:rPr>
        <w:t>suggests a heightened obligation</w:t>
      </w:r>
      <w:r w:rsidR="003014EA">
        <w:rPr>
          <w:rFonts w:asciiTheme="majorBidi" w:hAnsiTheme="majorBidi" w:cstheme="majorBidi"/>
          <w:lang w:val="en-GB"/>
        </w:rPr>
        <w:t xml:space="preserve"> of vigilance prompting a general state of awareness of the risk that disappearances can occur</w:t>
      </w:r>
      <w:r w:rsidR="002864EF" w:rsidRPr="002864EF">
        <w:rPr>
          <w:rFonts w:asciiTheme="majorBidi" w:hAnsiTheme="majorBidi" w:cstheme="majorBidi"/>
          <w:lang w:val="en-GB"/>
        </w:rPr>
        <w:t xml:space="preserve">. </w:t>
      </w:r>
    </w:p>
    <w:p w14:paraId="5718AFEC" w14:textId="77777777" w:rsidR="002864EF" w:rsidRPr="005E29FA" w:rsidRDefault="002864EF" w:rsidP="009A13C2">
      <w:pPr>
        <w:jc w:val="both"/>
        <w:rPr>
          <w:rFonts w:asciiTheme="majorBidi" w:hAnsiTheme="majorBidi" w:cstheme="majorBidi"/>
          <w:i/>
          <w:iCs/>
          <w:lang w:val="en-GB"/>
        </w:rPr>
      </w:pPr>
    </w:p>
    <w:p w14:paraId="176B90C0" w14:textId="77777777" w:rsidR="009A13C2" w:rsidRPr="005A7A2E" w:rsidRDefault="009A13C2" w:rsidP="00612524">
      <w:pPr>
        <w:pStyle w:val="ListParagraph"/>
        <w:numPr>
          <w:ilvl w:val="0"/>
          <w:numId w:val="2"/>
        </w:numPr>
        <w:jc w:val="both"/>
        <w:rPr>
          <w:rFonts w:asciiTheme="majorBidi" w:hAnsiTheme="majorBidi" w:cstheme="majorBidi"/>
          <w:i/>
          <w:iCs/>
          <w:lang w:val="en-US"/>
        </w:rPr>
      </w:pPr>
      <w:r>
        <w:rPr>
          <w:rFonts w:asciiTheme="majorBidi" w:hAnsiTheme="majorBidi" w:cstheme="majorBidi"/>
          <w:i/>
          <w:iCs/>
          <w:lang w:val="en-US"/>
        </w:rPr>
        <w:t>Impunity and Acquiescence</w:t>
      </w:r>
    </w:p>
    <w:p w14:paraId="149CE121" w14:textId="77777777" w:rsidR="009A13C2" w:rsidRDefault="009A13C2" w:rsidP="009A13C2">
      <w:pPr>
        <w:jc w:val="both"/>
        <w:rPr>
          <w:rFonts w:asciiTheme="majorBidi" w:hAnsiTheme="majorBidi" w:cstheme="majorBidi"/>
          <w:lang w:val="en-US"/>
        </w:rPr>
      </w:pPr>
    </w:p>
    <w:p w14:paraId="69586A6A" w14:textId="7F70F796" w:rsidR="009A13C2" w:rsidRPr="00F13B39" w:rsidRDefault="00F13B39" w:rsidP="005E29FA">
      <w:pPr>
        <w:jc w:val="both"/>
        <w:rPr>
          <w:rFonts w:asciiTheme="majorBidi" w:hAnsiTheme="majorBidi"/>
          <w:lang w:val="en-US"/>
        </w:rPr>
      </w:pPr>
      <w:r w:rsidRPr="00E65F21">
        <w:rPr>
          <w:rFonts w:asciiTheme="majorBidi" w:hAnsiTheme="majorBidi" w:cstheme="majorBidi"/>
          <w:color w:val="000000" w:themeColor="text1"/>
          <w:lang w:val="en-US"/>
        </w:rPr>
        <w:t>§1</w:t>
      </w:r>
      <w:r w:rsidR="00070935">
        <w:rPr>
          <w:rFonts w:asciiTheme="majorBidi" w:hAnsiTheme="majorBidi" w:cstheme="majorBidi"/>
          <w:color w:val="000000" w:themeColor="text1"/>
          <w:lang w:val="en-US"/>
        </w:rPr>
        <w:t>3</w:t>
      </w:r>
      <w:r w:rsidRPr="00E65F21">
        <w:rPr>
          <w:rFonts w:asciiTheme="majorBidi" w:hAnsiTheme="majorBidi" w:cstheme="majorBidi"/>
          <w:color w:val="000000" w:themeColor="text1"/>
          <w:lang w:val="en-US"/>
        </w:rPr>
        <w:t xml:space="preserve">. </w:t>
      </w:r>
      <w:r w:rsidR="00E65F21" w:rsidRPr="00E65F21">
        <w:rPr>
          <w:rFonts w:asciiTheme="majorBidi" w:hAnsiTheme="majorBidi" w:cstheme="majorBidi"/>
          <w:color w:val="000000" w:themeColor="text1"/>
          <w:lang w:val="en-GB"/>
        </w:rPr>
        <w:t xml:space="preserve">While the </w:t>
      </w:r>
      <w:proofErr w:type="gramStart"/>
      <w:r w:rsidR="00E65F21" w:rsidRPr="00E65F21">
        <w:rPr>
          <w:rFonts w:asciiTheme="majorBidi" w:hAnsiTheme="majorBidi" w:cstheme="majorBidi"/>
          <w:color w:val="000000" w:themeColor="text1"/>
          <w:lang w:val="en-GB"/>
        </w:rPr>
        <w:t>aforementioned case</w:t>
      </w:r>
      <w:proofErr w:type="gramEnd"/>
      <w:r w:rsidR="00E65F21" w:rsidRPr="00E65F21">
        <w:rPr>
          <w:rFonts w:asciiTheme="majorBidi" w:hAnsiTheme="majorBidi" w:cstheme="majorBidi"/>
          <w:color w:val="000000" w:themeColor="text1"/>
          <w:lang w:val="en-GB"/>
        </w:rPr>
        <w:t xml:space="preserve"> law </w:t>
      </w:r>
      <w:r w:rsidR="006B04E5">
        <w:rPr>
          <w:rFonts w:asciiTheme="majorBidi" w:hAnsiTheme="majorBidi" w:cstheme="majorBidi"/>
          <w:color w:val="000000" w:themeColor="text1"/>
          <w:lang w:val="en-GB"/>
        </w:rPr>
        <w:t>addressed</w:t>
      </w:r>
      <w:r w:rsidR="006B04E5" w:rsidRPr="00E65F21">
        <w:rPr>
          <w:rFonts w:asciiTheme="majorBidi" w:hAnsiTheme="majorBidi" w:cstheme="majorBidi"/>
          <w:color w:val="000000" w:themeColor="text1"/>
          <w:lang w:val="en-GB"/>
        </w:rPr>
        <w:t xml:space="preserve"> </w:t>
      </w:r>
      <w:r w:rsidR="00E65F21" w:rsidRPr="00E65F21">
        <w:rPr>
          <w:rFonts w:asciiTheme="majorBidi" w:hAnsiTheme="majorBidi" w:cstheme="majorBidi"/>
          <w:color w:val="000000" w:themeColor="text1"/>
          <w:lang w:val="en-GB"/>
        </w:rPr>
        <w:t>due diligence violations, we submit that the prolonged nature of these violations, due to impunit</w:t>
      </w:r>
      <w:r w:rsidR="00E65F21">
        <w:rPr>
          <w:rFonts w:asciiTheme="majorBidi" w:hAnsiTheme="majorBidi" w:cstheme="majorBidi"/>
          <w:color w:val="000000" w:themeColor="text1"/>
          <w:lang w:val="en-GB"/>
        </w:rPr>
        <w:t>y</w:t>
      </w:r>
      <w:r w:rsidR="00E65F21" w:rsidRPr="00E65F21">
        <w:rPr>
          <w:rFonts w:asciiTheme="majorBidi" w:hAnsiTheme="majorBidi" w:cstheme="majorBidi"/>
          <w:color w:val="000000" w:themeColor="text1"/>
          <w:lang w:val="en-GB"/>
        </w:rPr>
        <w:t xml:space="preserve">, and their potential recurrence, which violate the </w:t>
      </w:r>
      <w:r w:rsidR="00260DEC">
        <w:rPr>
          <w:rFonts w:asciiTheme="majorBidi" w:hAnsiTheme="majorBidi" w:cstheme="majorBidi"/>
          <w:color w:val="000000" w:themeColor="text1"/>
          <w:lang w:val="en-GB"/>
        </w:rPr>
        <w:t>S</w:t>
      </w:r>
      <w:r w:rsidR="00E65F21" w:rsidRPr="00E65F21">
        <w:rPr>
          <w:rFonts w:asciiTheme="majorBidi" w:hAnsiTheme="majorBidi" w:cstheme="majorBidi"/>
          <w:color w:val="000000" w:themeColor="text1"/>
          <w:lang w:val="en-GB"/>
        </w:rPr>
        <w:t>tate's obligation to prevent, raises the level of state involvement to a form of acquiescence</w:t>
      </w:r>
      <w:r w:rsidR="005E29FA" w:rsidRPr="00E65F21">
        <w:rPr>
          <w:rFonts w:asciiTheme="majorBidi" w:hAnsiTheme="majorBidi" w:cstheme="majorBidi"/>
          <w:color w:val="000000" w:themeColor="text1"/>
          <w:lang w:val="en-GB"/>
        </w:rPr>
        <w:t xml:space="preserve">. </w:t>
      </w:r>
    </w:p>
    <w:p w14:paraId="7FF74BD5" w14:textId="77777777" w:rsidR="009A13C2" w:rsidRDefault="009A13C2" w:rsidP="009A13C2">
      <w:pPr>
        <w:jc w:val="both"/>
        <w:rPr>
          <w:rFonts w:asciiTheme="majorBidi" w:hAnsiTheme="majorBidi" w:cstheme="majorBidi"/>
          <w:lang w:val="en-US"/>
        </w:rPr>
      </w:pPr>
    </w:p>
    <w:p w14:paraId="4D2516BA" w14:textId="1A4CC2BE" w:rsidR="009A13C2" w:rsidRPr="001D4990" w:rsidRDefault="00F13B39" w:rsidP="009A13C2">
      <w:pPr>
        <w:jc w:val="both"/>
        <w:rPr>
          <w:rFonts w:asciiTheme="majorBidi" w:hAnsiTheme="majorBidi" w:cstheme="majorBidi"/>
          <w:lang w:val="en-GB"/>
        </w:rPr>
      </w:pPr>
      <w:r>
        <w:rPr>
          <w:rFonts w:asciiTheme="majorBidi" w:hAnsiTheme="majorBidi" w:cstheme="majorBidi"/>
          <w:lang w:val="en-US"/>
        </w:rPr>
        <w:t>§ 1</w:t>
      </w:r>
      <w:r w:rsidR="00070935">
        <w:rPr>
          <w:rFonts w:asciiTheme="majorBidi" w:hAnsiTheme="majorBidi" w:cstheme="majorBidi"/>
          <w:lang w:val="en-US"/>
        </w:rPr>
        <w:t>4</w:t>
      </w:r>
      <w:r>
        <w:rPr>
          <w:rFonts w:asciiTheme="majorBidi" w:hAnsiTheme="majorBidi" w:cstheme="majorBidi"/>
          <w:lang w:val="en-US"/>
        </w:rPr>
        <w:t xml:space="preserve">. </w:t>
      </w:r>
      <w:r w:rsidR="00B449B9">
        <w:rPr>
          <w:rFonts w:asciiTheme="majorBidi" w:hAnsiTheme="majorBidi" w:cstheme="majorBidi"/>
          <w:lang w:val="en-US"/>
        </w:rPr>
        <w:t xml:space="preserve">Such a </w:t>
      </w:r>
      <w:r w:rsidR="006E3A53">
        <w:rPr>
          <w:rFonts w:asciiTheme="majorBidi" w:hAnsiTheme="majorBidi" w:cstheme="majorBidi"/>
          <w:lang w:val="en-GB"/>
        </w:rPr>
        <w:t xml:space="preserve">more </w:t>
      </w:r>
      <w:r w:rsidR="00F9368B">
        <w:rPr>
          <w:rFonts w:asciiTheme="majorBidi" w:hAnsiTheme="majorBidi" w:cstheme="majorBidi"/>
          <w:lang w:val="en-GB"/>
        </w:rPr>
        <w:t xml:space="preserve">expansive </w:t>
      </w:r>
      <w:r w:rsidR="006E3A53">
        <w:rPr>
          <w:rFonts w:asciiTheme="majorBidi" w:hAnsiTheme="majorBidi" w:cstheme="majorBidi"/>
          <w:lang w:val="en-GB"/>
        </w:rPr>
        <w:t>understanding of acquiescence</w:t>
      </w:r>
      <w:r w:rsidR="009A13C2" w:rsidRPr="00C74FAA">
        <w:rPr>
          <w:rFonts w:asciiTheme="majorBidi" w:hAnsiTheme="majorBidi" w:cstheme="majorBidi"/>
          <w:lang w:val="en-GB"/>
        </w:rPr>
        <w:t xml:space="preserve"> </w:t>
      </w:r>
      <w:r w:rsidR="002B38A0">
        <w:rPr>
          <w:rFonts w:asciiTheme="majorBidi" w:hAnsiTheme="majorBidi" w:cstheme="majorBidi"/>
          <w:lang w:val="en-GB"/>
        </w:rPr>
        <w:t>is premised on the assumption</w:t>
      </w:r>
      <w:r w:rsidR="009A13C2" w:rsidRPr="00C74FAA">
        <w:rPr>
          <w:rFonts w:asciiTheme="majorBidi" w:hAnsiTheme="majorBidi" w:cstheme="majorBidi"/>
          <w:lang w:val="en-GB"/>
        </w:rPr>
        <w:t xml:space="preserve"> that </w:t>
      </w:r>
      <w:r w:rsidR="00260DEC">
        <w:rPr>
          <w:rFonts w:asciiTheme="majorBidi" w:hAnsiTheme="majorBidi" w:cstheme="majorBidi"/>
          <w:lang w:val="en-GB"/>
        </w:rPr>
        <w:t>S</w:t>
      </w:r>
      <w:r w:rsidR="009A13C2" w:rsidRPr="00C74FAA">
        <w:rPr>
          <w:rFonts w:asciiTheme="majorBidi" w:hAnsiTheme="majorBidi" w:cstheme="majorBidi"/>
          <w:lang w:val="en-GB"/>
        </w:rPr>
        <w:t xml:space="preserve">tates should not be able to deliberately turn a blind eye to massive rights violations </w:t>
      </w:r>
      <w:r w:rsidR="00DE7354">
        <w:rPr>
          <w:rFonts w:asciiTheme="majorBidi" w:hAnsiTheme="majorBidi" w:cstheme="majorBidi"/>
          <w:lang w:val="en-GB"/>
        </w:rPr>
        <w:t>where they</w:t>
      </w:r>
      <w:r w:rsidR="009A13C2" w:rsidRPr="00C74FAA">
        <w:rPr>
          <w:rFonts w:asciiTheme="majorBidi" w:hAnsiTheme="majorBidi" w:cstheme="majorBidi"/>
          <w:lang w:val="en-GB"/>
        </w:rPr>
        <w:t xml:space="preserve"> </w:t>
      </w:r>
      <w:r w:rsidR="009A13C2" w:rsidRPr="00C74FAA">
        <w:rPr>
          <w:rFonts w:asciiTheme="majorBidi" w:hAnsiTheme="majorBidi" w:cstheme="majorBidi"/>
          <w:lang w:val="en-GB"/>
        </w:rPr>
        <w:lastRenderedPageBreak/>
        <w:t xml:space="preserve">were </w:t>
      </w:r>
      <w:proofErr w:type="gramStart"/>
      <w:r w:rsidR="009A13C2" w:rsidRPr="00C74FAA">
        <w:rPr>
          <w:rFonts w:asciiTheme="majorBidi" w:hAnsiTheme="majorBidi" w:cstheme="majorBidi"/>
          <w:lang w:val="en-GB"/>
        </w:rPr>
        <w:t>in a position</w:t>
      </w:r>
      <w:proofErr w:type="gramEnd"/>
      <w:r w:rsidR="009A13C2" w:rsidRPr="00C74FAA">
        <w:rPr>
          <w:rFonts w:asciiTheme="majorBidi" w:hAnsiTheme="majorBidi" w:cstheme="majorBidi"/>
          <w:lang w:val="en-GB"/>
        </w:rPr>
        <w:t xml:space="preserve"> to know about the risk that </w:t>
      </w:r>
      <w:r w:rsidR="00F619F9">
        <w:rPr>
          <w:rFonts w:asciiTheme="majorBidi" w:hAnsiTheme="majorBidi" w:cstheme="majorBidi"/>
          <w:lang w:val="en-GB"/>
        </w:rPr>
        <w:t>such</w:t>
      </w:r>
      <w:r w:rsidR="009A13C2" w:rsidRPr="00C74FAA">
        <w:rPr>
          <w:rFonts w:asciiTheme="majorBidi" w:hAnsiTheme="majorBidi" w:cstheme="majorBidi"/>
          <w:lang w:val="en-GB"/>
        </w:rPr>
        <w:t xml:space="preserve"> violations </w:t>
      </w:r>
      <w:r w:rsidR="00F619F9">
        <w:rPr>
          <w:rFonts w:asciiTheme="majorBidi" w:hAnsiTheme="majorBidi" w:cstheme="majorBidi"/>
          <w:lang w:val="en-GB"/>
        </w:rPr>
        <w:t>could</w:t>
      </w:r>
      <w:r w:rsidR="00F619F9" w:rsidRPr="00C74FAA">
        <w:rPr>
          <w:rFonts w:asciiTheme="majorBidi" w:hAnsiTheme="majorBidi" w:cstheme="majorBidi"/>
          <w:lang w:val="en-GB"/>
        </w:rPr>
        <w:t xml:space="preserve"> </w:t>
      </w:r>
      <w:r w:rsidR="009A13C2" w:rsidRPr="00C74FAA">
        <w:rPr>
          <w:rFonts w:asciiTheme="majorBidi" w:hAnsiTheme="majorBidi" w:cstheme="majorBidi"/>
          <w:lang w:val="en-GB"/>
        </w:rPr>
        <w:t>occur</w:t>
      </w:r>
      <w:r w:rsidR="00F619F9">
        <w:rPr>
          <w:rFonts w:asciiTheme="majorBidi" w:hAnsiTheme="majorBidi" w:cstheme="majorBidi"/>
          <w:lang w:val="en-GB"/>
        </w:rPr>
        <w:t xml:space="preserve"> on the basis of</w:t>
      </w:r>
      <w:r w:rsidR="009A13C2" w:rsidRPr="00C74FAA">
        <w:rPr>
          <w:rFonts w:asciiTheme="majorBidi" w:hAnsiTheme="majorBidi" w:cstheme="majorBidi"/>
          <w:lang w:val="en-GB"/>
        </w:rPr>
        <w:t xml:space="preserve"> </w:t>
      </w:r>
      <w:r w:rsidR="00F619F9">
        <w:rPr>
          <w:rFonts w:asciiTheme="majorBidi" w:hAnsiTheme="majorBidi" w:cstheme="majorBidi"/>
          <w:lang w:val="en-GB"/>
        </w:rPr>
        <w:t>the</w:t>
      </w:r>
      <w:r w:rsidR="009A13C2" w:rsidRPr="00C74FAA">
        <w:rPr>
          <w:rFonts w:asciiTheme="majorBidi" w:hAnsiTheme="majorBidi" w:cstheme="majorBidi"/>
          <w:lang w:val="en-GB"/>
        </w:rPr>
        <w:t xml:space="preserve"> structural context in a particular geographical region. </w:t>
      </w:r>
    </w:p>
    <w:p w14:paraId="762ADA8F" w14:textId="650F8B3F" w:rsidR="00844C2D" w:rsidRPr="001D4990" w:rsidRDefault="00844C2D" w:rsidP="009A13C2">
      <w:pPr>
        <w:jc w:val="both"/>
        <w:rPr>
          <w:rFonts w:asciiTheme="majorBidi" w:hAnsiTheme="majorBidi" w:cstheme="majorBidi"/>
          <w:lang w:val="en-GB"/>
        </w:rPr>
      </w:pPr>
    </w:p>
    <w:p w14:paraId="56E632E7" w14:textId="5831FFCF" w:rsidR="00844C2D" w:rsidRDefault="00F13B39" w:rsidP="001D4990">
      <w:pPr>
        <w:jc w:val="both"/>
        <w:rPr>
          <w:rFonts w:asciiTheme="majorBidi" w:hAnsiTheme="majorBidi" w:cstheme="majorBidi"/>
          <w:bCs/>
          <w:lang w:val="en-GB"/>
        </w:rPr>
      </w:pPr>
      <w:r>
        <w:rPr>
          <w:rFonts w:asciiTheme="majorBidi" w:hAnsiTheme="majorBidi" w:cstheme="majorBidi"/>
          <w:lang w:val="en-GB"/>
        </w:rPr>
        <w:t>§ 1</w:t>
      </w:r>
      <w:r w:rsidR="00070935">
        <w:rPr>
          <w:rFonts w:asciiTheme="majorBidi" w:hAnsiTheme="majorBidi" w:cstheme="majorBidi"/>
          <w:lang w:val="en-GB"/>
        </w:rPr>
        <w:t>5</w:t>
      </w:r>
      <w:r>
        <w:rPr>
          <w:rFonts w:asciiTheme="majorBidi" w:hAnsiTheme="majorBidi" w:cstheme="majorBidi"/>
          <w:lang w:val="en-GB"/>
        </w:rPr>
        <w:t>.</w:t>
      </w:r>
      <w:r w:rsidR="00260DEC">
        <w:rPr>
          <w:rFonts w:asciiTheme="majorBidi" w:hAnsiTheme="majorBidi" w:cstheme="majorBidi"/>
          <w:lang w:val="en-GB"/>
        </w:rPr>
        <w:t xml:space="preserve"> During</w:t>
      </w:r>
      <w:r w:rsidR="001D4990" w:rsidRPr="001D4990">
        <w:rPr>
          <w:rFonts w:asciiTheme="majorBidi" w:hAnsiTheme="majorBidi" w:cstheme="majorBidi"/>
          <w:lang w:val="en-GB"/>
        </w:rPr>
        <w:t xml:space="preserve"> its drafting process, the structure of the ICPPED d</w:t>
      </w:r>
      <w:r w:rsidR="00260DEC">
        <w:rPr>
          <w:rFonts w:asciiTheme="majorBidi" w:hAnsiTheme="majorBidi" w:cstheme="majorBidi"/>
          <w:lang w:val="en-GB"/>
        </w:rPr>
        <w:t>rew</w:t>
      </w:r>
      <w:r w:rsidR="001D4990" w:rsidRPr="001D4990">
        <w:rPr>
          <w:rFonts w:asciiTheme="majorBidi" w:hAnsiTheme="majorBidi" w:cstheme="majorBidi"/>
          <w:lang w:val="en-GB"/>
        </w:rPr>
        <w:t xml:space="preserve"> heavily on the </w:t>
      </w:r>
      <w:r w:rsidR="001D4990" w:rsidRPr="001D4990">
        <w:rPr>
          <w:rFonts w:asciiTheme="majorBidi" w:hAnsiTheme="majorBidi" w:cstheme="majorBidi"/>
          <w:i/>
          <w:lang w:val="en-GB"/>
        </w:rPr>
        <w:t>1984 Convention Against Torture</w:t>
      </w:r>
      <w:r w:rsidR="001D4990" w:rsidRPr="001D4990">
        <w:rPr>
          <w:rFonts w:asciiTheme="majorBidi" w:hAnsiTheme="majorBidi" w:cstheme="majorBidi"/>
          <w:lang w:val="en-GB"/>
        </w:rPr>
        <w:t xml:space="preserve"> (CAT).</w:t>
      </w:r>
      <w:r w:rsidR="001D4990" w:rsidRPr="001D4990">
        <w:rPr>
          <w:rFonts w:asciiTheme="majorBidi" w:hAnsiTheme="majorBidi" w:cstheme="majorBidi"/>
          <w:vertAlign w:val="superscript"/>
          <w:lang w:val="en-GB"/>
        </w:rPr>
        <w:footnoteReference w:id="27"/>
      </w:r>
      <w:r w:rsidR="001D4990" w:rsidRPr="001D4990">
        <w:rPr>
          <w:rFonts w:asciiTheme="majorBidi" w:hAnsiTheme="majorBidi" w:cstheme="majorBidi"/>
          <w:lang w:val="en-GB"/>
        </w:rPr>
        <w:t xml:space="preserve"> </w:t>
      </w:r>
      <w:r w:rsidR="006E3A53">
        <w:rPr>
          <w:rFonts w:asciiTheme="majorBidi" w:hAnsiTheme="majorBidi" w:cstheme="majorBidi"/>
          <w:bCs/>
          <w:lang w:val="en-GB"/>
        </w:rPr>
        <w:t xml:space="preserve">Within the framework of the latter, </w:t>
      </w:r>
      <w:r w:rsidR="001D4990" w:rsidRPr="00940842">
        <w:rPr>
          <w:rFonts w:asciiTheme="majorBidi" w:hAnsiTheme="majorBidi" w:cstheme="majorBidi"/>
          <w:bCs/>
          <w:lang w:val="en-GB"/>
        </w:rPr>
        <w:t xml:space="preserve">when </w:t>
      </w:r>
      <w:r w:rsidR="00CB4ACA">
        <w:rPr>
          <w:rFonts w:asciiTheme="majorBidi" w:hAnsiTheme="majorBidi" w:cstheme="majorBidi"/>
          <w:bCs/>
          <w:lang w:val="en-GB"/>
        </w:rPr>
        <w:t>s</w:t>
      </w:r>
      <w:r w:rsidR="001D4990" w:rsidRPr="00940842">
        <w:rPr>
          <w:rFonts w:asciiTheme="majorBidi" w:hAnsiTheme="majorBidi" w:cstheme="majorBidi"/>
          <w:bCs/>
          <w:lang w:val="en-GB"/>
        </w:rPr>
        <w:t xml:space="preserve">tate agents have reasonable grounds to believe that torture is committed, for instance by witnessing or foreseeing those circumstances, and fail to prevent those acts, they can be considered as “authors, </w:t>
      </w:r>
      <w:r w:rsidR="001D4990" w:rsidRPr="00940842">
        <w:rPr>
          <w:rFonts w:asciiTheme="majorBidi" w:hAnsiTheme="majorBidi" w:cstheme="majorBidi"/>
          <w:bCs/>
          <w:i/>
          <w:lang w:val="en-GB"/>
        </w:rPr>
        <w:t xml:space="preserve">complicit </w:t>
      </w:r>
      <w:r w:rsidR="001D4990" w:rsidRPr="00940842">
        <w:rPr>
          <w:rFonts w:asciiTheme="majorBidi" w:hAnsiTheme="majorBidi" w:cstheme="majorBidi"/>
          <w:bCs/>
          <w:lang w:val="en-GB"/>
        </w:rPr>
        <w:t>or otherwise responsible for consenting and acquiescing in such impermissible acts.”</w:t>
      </w:r>
      <w:r w:rsidR="001D4990" w:rsidRPr="00940842">
        <w:rPr>
          <w:rFonts w:asciiTheme="majorBidi" w:hAnsiTheme="majorBidi" w:cstheme="majorBidi"/>
          <w:bCs/>
          <w:vertAlign w:val="superscript"/>
          <w:lang w:val="en-GB"/>
        </w:rPr>
        <w:footnoteReference w:id="28"/>
      </w:r>
      <w:r w:rsidR="001D4990" w:rsidRPr="00940842">
        <w:rPr>
          <w:rFonts w:asciiTheme="majorBidi" w:hAnsiTheme="majorBidi" w:cstheme="majorBidi"/>
          <w:bCs/>
          <w:lang w:val="en-GB"/>
        </w:rPr>
        <w:t xml:space="preserve"> </w:t>
      </w:r>
      <w:r w:rsidR="00260DEC">
        <w:rPr>
          <w:rFonts w:asciiTheme="majorBidi" w:hAnsiTheme="majorBidi" w:cstheme="majorBidi"/>
          <w:bCs/>
          <w:lang w:val="en-US"/>
        </w:rPr>
        <w:t xml:space="preserve">Many </w:t>
      </w:r>
      <w:r w:rsidR="001D4990" w:rsidRPr="001D4990">
        <w:rPr>
          <w:rFonts w:asciiTheme="majorBidi" w:hAnsiTheme="majorBidi" w:cstheme="majorBidi"/>
          <w:bCs/>
          <w:lang w:val="en-US"/>
        </w:rPr>
        <w:t>suggest that the interpretation of acquiescence under CAT encompasses that officials acquiesce to torture if they fail to meet their legal responsibility under international law to take effective preventive measures.</w:t>
      </w:r>
      <w:r w:rsidR="001D4990" w:rsidRPr="001D4990">
        <w:rPr>
          <w:rFonts w:asciiTheme="majorBidi" w:hAnsiTheme="majorBidi" w:cstheme="majorBidi"/>
          <w:bCs/>
          <w:vertAlign w:val="superscript"/>
          <w:lang w:val="en-US"/>
        </w:rPr>
        <w:footnoteReference w:id="29"/>
      </w:r>
      <w:r w:rsidR="001D4990" w:rsidRPr="001D4990">
        <w:rPr>
          <w:rFonts w:asciiTheme="majorBidi" w:hAnsiTheme="majorBidi" w:cstheme="majorBidi"/>
          <w:bCs/>
          <w:lang w:val="en-US"/>
        </w:rPr>
        <w:t xml:space="preserve"> </w:t>
      </w:r>
      <w:r w:rsidR="001D4990" w:rsidRPr="001D4990">
        <w:rPr>
          <w:rFonts w:asciiTheme="majorBidi" w:hAnsiTheme="majorBidi" w:cstheme="majorBidi"/>
          <w:bCs/>
          <w:lang w:val="en-GB"/>
        </w:rPr>
        <w:t xml:space="preserve"> </w:t>
      </w:r>
    </w:p>
    <w:p w14:paraId="3AD04D9D" w14:textId="643E6197" w:rsidR="009C13C3" w:rsidRDefault="009C13C3" w:rsidP="001D4990">
      <w:pPr>
        <w:jc w:val="both"/>
        <w:rPr>
          <w:rFonts w:asciiTheme="majorBidi" w:hAnsiTheme="majorBidi" w:cstheme="majorBidi"/>
          <w:bCs/>
          <w:lang w:val="en-GB"/>
        </w:rPr>
      </w:pPr>
    </w:p>
    <w:p w14:paraId="4832CABA" w14:textId="6AAFFC5B" w:rsidR="009C13C3" w:rsidRDefault="00E65F21" w:rsidP="001D4990">
      <w:pPr>
        <w:jc w:val="both"/>
        <w:rPr>
          <w:rFonts w:asciiTheme="majorBidi" w:hAnsiTheme="majorBidi" w:cstheme="majorBidi"/>
          <w:lang w:val="en-GB"/>
        </w:rPr>
      </w:pPr>
      <w:r>
        <w:rPr>
          <w:rFonts w:asciiTheme="majorBidi" w:hAnsiTheme="majorBidi" w:cstheme="majorBidi"/>
          <w:lang w:val="en-US"/>
        </w:rPr>
        <w:t>§ 1</w:t>
      </w:r>
      <w:r w:rsidR="00070935">
        <w:rPr>
          <w:rFonts w:asciiTheme="majorBidi" w:hAnsiTheme="majorBidi" w:cstheme="majorBidi"/>
          <w:lang w:val="en-US"/>
        </w:rPr>
        <w:t>6</w:t>
      </w:r>
      <w:r>
        <w:rPr>
          <w:rFonts w:asciiTheme="majorBidi" w:hAnsiTheme="majorBidi" w:cstheme="majorBidi"/>
          <w:lang w:val="en-US"/>
        </w:rPr>
        <w:t xml:space="preserve">. </w:t>
      </w:r>
      <w:r w:rsidR="009C13C3">
        <w:rPr>
          <w:rFonts w:asciiTheme="majorBidi" w:hAnsiTheme="majorBidi" w:cstheme="majorBidi"/>
          <w:lang w:val="en-US"/>
        </w:rPr>
        <w:t xml:space="preserve">The Inter-American Commission also considered that </w:t>
      </w:r>
      <w:r w:rsidR="009C13C3" w:rsidRPr="00F65BCB">
        <w:rPr>
          <w:rFonts w:asciiTheme="majorBidi" w:hAnsiTheme="majorBidi" w:cstheme="majorBidi"/>
          <w:i/>
          <w:iCs/>
          <w:lang w:val="en-US"/>
        </w:rPr>
        <w:t>prolonged</w:t>
      </w:r>
      <w:r w:rsidR="009C13C3" w:rsidRPr="005278DB">
        <w:rPr>
          <w:rFonts w:asciiTheme="majorBidi" w:hAnsiTheme="majorBidi" w:cstheme="majorBidi"/>
          <w:lang w:val="en-US"/>
        </w:rPr>
        <w:t xml:space="preserve"> failure by a </w:t>
      </w:r>
      <w:r w:rsidR="00CB4ACA">
        <w:rPr>
          <w:rFonts w:asciiTheme="majorBidi" w:hAnsiTheme="majorBidi" w:cstheme="majorBidi"/>
          <w:lang w:val="en-US"/>
        </w:rPr>
        <w:t>S</w:t>
      </w:r>
      <w:r w:rsidR="009C13C3" w:rsidRPr="005278DB">
        <w:rPr>
          <w:rFonts w:asciiTheme="majorBidi" w:hAnsiTheme="majorBidi" w:cstheme="majorBidi"/>
          <w:lang w:val="en-US"/>
        </w:rPr>
        <w:t xml:space="preserve">tate to respond to activities by </w:t>
      </w:r>
      <w:r w:rsidR="009C13C3">
        <w:rPr>
          <w:rFonts w:asciiTheme="majorBidi" w:hAnsiTheme="majorBidi" w:cstheme="majorBidi"/>
          <w:lang w:val="en-US"/>
        </w:rPr>
        <w:t>non-state actors</w:t>
      </w:r>
      <w:r w:rsidR="008715F0">
        <w:rPr>
          <w:rFonts w:asciiTheme="majorBidi" w:hAnsiTheme="majorBidi" w:cstheme="majorBidi"/>
          <w:lang w:val="en-US"/>
        </w:rPr>
        <w:t xml:space="preserve"> (here: businesses)</w:t>
      </w:r>
      <w:r w:rsidR="009C13C3" w:rsidRPr="005278DB">
        <w:rPr>
          <w:rFonts w:asciiTheme="majorBidi" w:hAnsiTheme="majorBidi" w:cstheme="majorBidi"/>
          <w:lang w:val="en-US"/>
        </w:rPr>
        <w:t xml:space="preserve"> that threaten human rights and of which the </w:t>
      </w:r>
      <w:r w:rsidR="00CB4ACA">
        <w:rPr>
          <w:rFonts w:asciiTheme="majorBidi" w:hAnsiTheme="majorBidi" w:cstheme="majorBidi"/>
          <w:lang w:val="en-US"/>
        </w:rPr>
        <w:t>S</w:t>
      </w:r>
      <w:r w:rsidR="009C13C3" w:rsidRPr="005278DB">
        <w:rPr>
          <w:rFonts w:asciiTheme="majorBidi" w:hAnsiTheme="majorBidi" w:cstheme="majorBidi"/>
          <w:lang w:val="en-US"/>
        </w:rPr>
        <w:t xml:space="preserve">tate has knowledge, </w:t>
      </w:r>
      <w:r w:rsidR="009C13C3">
        <w:rPr>
          <w:rFonts w:asciiTheme="majorBidi" w:hAnsiTheme="majorBidi" w:cstheme="majorBidi"/>
          <w:lang w:val="en-US"/>
        </w:rPr>
        <w:t>may constitute</w:t>
      </w:r>
      <w:r w:rsidR="009C13C3" w:rsidRPr="005278DB">
        <w:rPr>
          <w:rFonts w:asciiTheme="majorBidi" w:hAnsiTheme="majorBidi" w:cstheme="majorBidi"/>
          <w:lang w:val="en-US"/>
        </w:rPr>
        <w:t xml:space="preserve"> acquiescence</w:t>
      </w:r>
      <w:r w:rsidR="009C13C3">
        <w:rPr>
          <w:rFonts w:asciiTheme="majorBidi" w:hAnsiTheme="majorBidi" w:cstheme="majorBidi"/>
          <w:lang w:val="en-US"/>
        </w:rPr>
        <w:t xml:space="preserve">. </w:t>
      </w:r>
      <w:r w:rsidR="008715F0">
        <w:rPr>
          <w:rFonts w:asciiTheme="majorBidi" w:hAnsiTheme="majorBidi" w:cstheme="majorBidi"/>
          <w:lang w:val="en-US"/>
        </w:rPr>
        <w:t>The latter arises</w:t>
      </w:r>
      <w:r w:rsidR="009C13C3" w:rsidRPr="005278DB">
        <w:rPr>
          <w:rFonts w:asciiTheme="majorBidi" w:hAnsiTheme="majorBidi" w:cstheme="majorBidi"/>
          <w:lang w:val="en-US"/>
        </w:rPr>
        <w:t xml:space="preserve"> if a fundamental part of the lack of State response as a guarantor takes place as a consequence of the absence or lack of sustained diligence in the investigation and eventual punishment for serious and repeated violations of human rights.</w:t>
      </w:r>
      <w:r w:rsidR="009C13C3">
        <w:rPr>
          <w:rStyle w:val="FootnoteReference"/>
          <w:rFonts w:asciiTheme="majorBidi" w:hAnsiTheme="majorBidi" w:cstheme="majorBidi"/>
          <w:lang w:val="en-US"/>
        </w:rPr>
        <w:footnoteReference w:id="30"/>
      </w:r>
      <w:r w:rsidR="009C13C3" w:rsidRPr="005278DB">
        <w:rPr>
          <w:rFonts w:asciiTheme="majorBidi" w:hAnsiTheme="majorBidi" w:cstheme="majorBidi"/>
          <w:lang w:val="en-US"/>
        </w:rPr>
        <w:t xml:space="preserve"> </w:t>
      </w:r>
      <w:r w:rsidR="009C13C3">
        <w:rPr>
          <w:rFonts w:asciiTheme="majorBidi" w:hAnsiTheme="majorBidi" w:cstheme="majorBidi"/>
          <w:lang w:val="en-US"/>
        </w:rPr>
        <w:t>C</w:t>
      </w:r>
      <w:r w:rsidR="009C13C3" w:rsidRPr="005278DB">
        <w:rPr>
          <w:rFonts w:asciiTheme="majorBidi" w:hAnsiTheme="majorBidi" w:cstheme="majorBidi"/>
          <w:lang w:val="en-US"/>
        </w:rPr>
        <w:t xml:space="preserve">riteria that would have to be considered for establishing tolerance or acquiescence in cases of a </w:t>
      </w:r>
      <w:r w:rsidR="009C13C3" w:rsidRPr="005278DB">
        <w:rPr>
          <w:rFonts w:asciiTheme="majorBidi" w:hAnsiTheme="majorBidi" w:cstheme="majorBidi"/>
          <w:i/>
          <w:iCs/>
          <w:lang w:val="en-US"/>
        </w:rPr>
        <w:t xml:space="preserve">prolonged </w:t>
      </w:r>
      <w:r w:rsidR="009C13C3" w:rsidRPr="005278DB">
        <w:rPr>
          <w:rFonts w:asciiTheme="majorBidi" w:hAnsiTheme="majorBidi" w:cstheme="majorBidi"/>
          <w:lang w:val="en-US"/>
        </w:rPr>
        <w:t xml:space="preserve">failure to investigate are </w:t>
      </w:r>
      <w:r w:rsidR="008715F0">
        <w:rPr>
          <w:rFonts w:asciiTheme="majorBidi" w:hAnsiTheme="majorBidi" w:cstheme="majorBidi"/>
          <w:lang w:val="en-US"/>
        </w:rPr>
        <w:t>“</w:t>
      </w:r>
      <w:r w:rsidR="009C13C3" w:rsidRPr="005278DB">
        <w:rPr>
          <w:rFonts w:asciiTheme="majorBidi" w:hAnsiTheme="majorBidi" w:cstheme="majorBidi"/>
          <w:lang w:val="en-US"/>
        </w:rPr>
        <w:t>the magnitude, seriousness, prolongation, and manifestations of the breach of the duties to prevent and investigate.</w:t>
      </w:r>
      <w:r w:rsidR="008715F0">
        <w:rPr>
          <w:rFonts w:asciiTheme="majorBidi" w:hAnsiTheme="majorBidi" w:cstheme="majorBidi"/>
          <w:lang w:val="en-US"/>
        </w:rPr>
        <w:t>”</w:t>
      </w:r>
      <w:r w:rsidR="009C13C3">
        <w:rPr>
          <w:rStyle w:val="FootnoteReference"/>
          <w:rFonts w:asciiTheme="majorBidi" w:hAnsiTheme="majorBidi" w:cstheme="majorBidi"/>
          <w:lang w:val="en-US"/>
        </w:rPr>
        <w:footnoteReference w:id="31"/>
      </w:r>
    </w:p>
    <w:p w14:paraId="539946DB" w14:textId="3A402BE8" w:rsidR="0020237B" w:rsidRDefault="0020237B" w:rsidP="00DC2667">
      <w:pPr>
        <w:jc w:val="both"/>
        <w:rPr>
          <w:rFonts w:asciiTheme="majorBidi" w:hAnsiTheme="majorBidi" w:cstheme="majorBidi"/>
          <w:lang w:val="en-US"/>
        </w:rPr>
      </w:pPr>
    </w:p>
    <w:p w14:paraId="4413C668" w14:textId="60B62F91" w:rsidR="00072E48" w:rsidRPr="00547842" w:rsidRDefault="00D03A85" w:rsidP="0011241E">
      <w:pPr>
        <w:jc w:val="both"/>
        <w:rPr>
          <w:rFonts w:asciiTheme="majorBidi" w:hAnsiTheme="majorBidi" w:cstheme="majorBidi"/>
          <w:lang w:val="en-US"/>
        </w:rPr>
      </w:pPr>
      <w:r>
        <w:rPr>
          <w:rFonts w:asciiTheme="majorBidi" w:hAnsiTheme="majorBidi" w:cstheme="majorBidi"/>
          <w:lang w:val="en-US"/>
        </w:rPr>
        <w:t>§ 1</w:t>
      </w:r>
      <w:r w:rsidR="00070935">
        <w:rPr>
          <w:rFonts w:asciiTheme="majorBidi" w:hAnsiTheme="majorBidi" w:cstheme="majorBidi"/>
          <w:lang w:val="en-US"/>
        </w:rPr>
        <w:t>7</w:t>
      </w:r>
      <w:r w:rsidR="0011241E">
        <w:rPr>
          <w:rFonts w:asciiTheme="majorBidi" w:hAnsiTheme="majorBidi" w:cstheme="majorBidi"/>
          <w:lang w:val="en-US"/>
        </w:rPr>
        <w:t>.</w:t>
      </w:r>
      <w:r>
        <w:rPr>
          <w:rFonts w:asciiTheme="majorBidi" w:hAnsiTheme="majorBidi" w:cstheme="majorBidi"/>
          <w:lang w:val="en-US"/>
        </w:rPr>
        <w:t xml:space="preserve"> </w:t>
      </w:r>
      <w:r w:rsidR="001B7BC1">
        <w:rPr>
          <w:rFonts w:asciiTheme="majorBidi" w:hAnsiTheme="majorBidi" w:cstheme="majorBidi"/>
          <w:lang w:val="en-US"/>
        </w:rPr>
        <w:t>The foregoing illustrates that</w:t>
      </w:r>
      <w:r w:rsidR="0020237B" w:rsidRPr="0020237B">
        <w:rPr>
          <w:rFonts w:asciiTheme="majorBidi" w:hAnsiTheme="majorBidi" w:cstheme="majorBidi"/>
          <w:lang w:val="en-US"/>
        </w:rPr>
        <w:t xml:space="preserve"> the failure to take preventive measures in situations of proven heightened risk </w:t>
      </w:r>
      <w:r w:rsidR="008715F0">
        <w:rPr>
          <w:rFonts w:asciiTheme="majorBidi" w:hAnsiTheme="majorBidi" w:cstheme="majorBidi"/>
          <w:lang w:val="en-US"/>
        </w:rPr>
        <w:t xml:space="preserve">that prolong grave human rights violations </w:t>
      </w:r>
      <w:r w:rsidR="0020237B" w:rsidRPr="0020237B">
        <w:rPr>
          <w:rFonts w:asciiTheme="majorBidi" w:hAnsiTheme="majorBidi" w:cstheme="majorBidi"/>
          <w:lang w:val="en-US"/>
        </w:rPr>
        <w:t>contributes as an element crucial to the finding of acquiescence.</w:t>
      </w:r>
      <w:r>
        <w:rPr>
          <w:rFonts w:asciiTheme="majorBidi" w:hAnsiTheme="majorBidi" w:cstheme="majorBidi"/>
          <w:lang w:val="en-GB"/>
        </w:rPr>
        <w:t xml:space="preserve"> </w:t>
      </w:r>
      <w:r w:rsidR="00CE3137">
        <w:rPr>
          <w:rFonts w:asciiTheme="majorBidi" w:hAnsiTheme="majorBidi" w:cstheme="majorBidi"/>
          <w:color w:val="000000" w:themeColor="text1"/>
          <w:lang w:val="en-GB"/>
        </w:rPr>
        <w:t xml:space="preserve">Given the analogy of the ICPPED to CAT </w:t>
      </w:r>
      <w:r w:rsidR="00FD7EB9" w:rsidRPr="00E94D45">
        <w:rPr>
          <w:rFonts w:asciiTheme="majorBidi" w:hAnsiTheme="majorBidi" w:cstheme="majorBidi"/>
          <w:color w:val="000000" w:themeColor="text1"/>
          <w:lang w:val="en-GB"/>
        </w:rPr>
        <w:t xml:space="preserve">and impunity </w:t>
      </w:r>
      <w:r w:rsidR="00CE3137" w:rsidRPr="00CE3137">
        <w:rPr>
          <w:rFonts w:asciiTheme="majorBidi" w:hAnsiTheme="majorBidi" w:cstheme="majorBidi"/>
          <w:color w:val="000000" w:themeColor="text1"/>
          <w:lang w:val="en-GB"/>
        </w:rPr>
        <w:t>as a risk for the recurrence of future crimes</w:t>
      </w:r>
      <w:r w:rsidR="00FD7EB9" w:rsidRPr="00E94D45">
        <w:rPr>
          <w:rFonts w:asciiTheme="majorBidi" w:hAnsiTheme="majorBidi" w:cstheme="majorBidi"/>
          <w:color w:val="000000" w:themeColor="text1"/>
          <w:lang w:val="en-GB"/>
        </w:rPr>
        <w:t xml:space="preserve">, </w:t>
      </w:r>
      <w:r w:rsidR="00CE3137" w:rsidRPr="00CE3137">
        <w:rPr>
          <w:rFonts w:asciiTheme="majorBidi" w:hAnsiTheme="majorBidi" w:cstheme="majorBidi"/>
          <w:color w:val="000000" w:themeColor="text1"/>
          <w:lang w:val="en-GB"/>
        </w:rPr>
        <w:t xml:space="preserve">the threshold for acquiescence </w:t>
      </w:r>
      <w:r w:rsidR="00B45C8C">
        <w:rPr>
          <w:rFonts w:asciiTheme="majorBidi" w:hAnsiTheme="majorBidi" w:cstheme="majorBidi"/>
          <w:color w:val="000000" w:themeColor="text1"/>
          <w:lang w:val="en-GB"/>
        </w:rPr>
        <w:t>should</w:t>
      </w:r>
      <w:r w:rsidR="00CE3137" w:rsidRPr="00CE3137">
        <w:rPr>
          <w:rFonts w:asciiTheme="majorBidi" w:hAnsiTheme="majorBidi" w:cstheme="majorBidi"/>
          <w:color w:val="000000" w:themeColor="text1"/>
          <w:lang w:val="en-GB"/>
        </w:rPr>
        <w:t xml:space="preserve"> include </w:t>
      </w:r>
      <w:r w:rsidR="00FD7EB9" w:rsidRPr="00E94D45">
        <w:rPr>
          <w:rFonts w:asciiTheme="majorBidi" w:hAnsiTheme="majorBidi" w:cstheme="majorBidi"/>
          <w:color w:val="000000" w:themeColor="text1"/>
          <w:lang w:val="en-GB"/>
        </w:rPr>
        <w:t xml:space="preserve">scenarios of a </w:t>
      </w:r>
      <w:r w:rsidR="00FD7EB9">
        <w:rPr>
          <w:rFonts w:asciiTheme="majorBidi" w:hAnsiTheme="majorBidi" w:cstheme="majorBidi"/>
          <w:color w:val="000000" w:themeColor="text1"/>
          <w:lang w:val="en-GB"/>
        </w:rPr>
        <w:t>“</w:t>
      </w:r>
      <w:r w:rsidR="00FD7EB9" w:rsidRPr="00E94D45">
        <w:rPr>
          <w:rFonts w:asciiTheme="majorBidi" w:hAnsiTheme="majorBidi" w:cstheme="majorBidi"/>
          <w:color w:val="000000" w:themeColor="text1"/>
          <w:lang w:val="en-GB"/>
        </w:rPr>
        <w:t>passive attitude</w:t>
      </w:r>
      <w:r w:rsidR="00FD7EB9">
        <w:rPr>
          <w:rFonts w:asciiTheme="majorBidi" w:hAnsiTheme="majorBidi" w:cstheme="majorBidi"/>
          <w:color w:val="000000" w:themeColor="text1"/>
          <w:lang w:val="en-GB"/>
        </w:rPr>
        <w:t>”</w:t>
      </w:r>
      <w:r w:rsidR="00FD7EB9" w:rsidRPr="00E94D45">
        <w:rPr>
          <w:rFonts w:asciiTheme="majorBidi" w:hAnsiTheme="majorBidi" w:cstheme="majorBidi"/>
          <w:color w:val="000000" w:themeColor="text1"/>
          <w:lang w:val="en-GB"/>
        </w:rPr>
        <w:t xml:space="preserve"> of governments towards serious violations by private actors</w:t>
      </w:r>
      <w:r w:rsidR="00FD7EB9">
        <w:rPr>
          <w:rFonts w:asciiTheme="majorBidi" w:hAnsiTheme="majorBidi" w:cstheme="majorBidi"/>
          <w:color w:val="000000" w:themeColor="text1"/>
          <w:lang w:val="en-GB"/>
        </w:rPr>
        <w:t xml:space="preserve"> or </w:t>
      </w:r>
      <w:r w:rsidR="0011241E">
        <w:rPr>
          <w:rFonts w:asciiTheme="majorBidi" w:hAnsiTheme="majorBidi" w:cstheme="majorBidi"/>
          <w:color w:val="000000" w:themeColor="text1"/>
          <w:lang w:val="en-GB"/>
        </w:rPr>
        <w:t>reported</w:t>
      </w:r>
      <w:r w:rsidR="00FD7EB9">
        <w:rPr>
          <w:rFonts w:asciiTheme="majorBidi" w:hAnsiTheme="majorBidi" w:cstheme="majorBidi"/>
          <w:color w:val="000000" w:themeColor="text1"/>
          <w:lang w:val="en-GB"/>
        </w:rPr>
        <w:t xml:space="preserve"> danger arising from geographical situations</w:t>
      </w:r>
      <w:r w:rsidR="00FD7EB9" w:rsidRPr="00E94D45">
        <w:rPr>
          <w:rFonts w:asciiTheme="majorBidi" w:hAnsiTheme="majorBidi" w:cstheme="majorBidi"/>
          <w:color w:val="000000" w:themeColor="text1"/>
          <w:lang w:val="en-GB"/>
        </w:rPr>
        <w:t xml:space="preserve"> in contexts of widespread violence. </w:t>
      </w:r>
      <w:r w:rsidR="00CE3137" w:rsidRPr="00CE3137">
        <w:rPr>
          <w:rFonts w:asciiTheme="majorBidi" w:hAnsiTheme="majorBidi" w:cstheme="majorBidi"/>
          <w:color w:val="000000" w:themeColor="text1"/>
          <w:lang w:val="en-GB"/>
        </w:rPr>
        <w:t xml:space="preserve">Acquiescence, as proposed, </w:t>
      </w:r>
      <w:r w:rsidR="00653AB2">
        <w:rPr>
          <w:rFonts w:asciiTheme="majorBidi" w:hAnsiTheme="majorBidi" w:cstheme="majorBidi"/>
          <w:color w:val="000000" w:themeColor="text1"/>
          <w:lang w:val="en-GB"/>
        </w:rPr>
        <w:t>should be</w:t>
      </w:r>
      <w:r w:rsidR="00CE3137" w:rsidRPr="00CE3137">
        <w:rPr>
          <w:rFonts w:asciiTheme="majorBidi" w:hAnsiTheme="majorBidi" w:cstheme="majorBidi"/>
          <w:color w:val="000000" w:themeColor="text1"/>
          <w:lang w:val="en-GB"/>
        </w:rPr>
        <w:t xml:space="preserve"> determined by considering the position of control of the </w:t>
      </w:r>
      <w:r w:rsidR="00CB4ACA">
        <w:rPr>
          <w:rFonts w:asciiTheme="majorBidi" w:hAnsiTheme="majorBidi" w:cstheme="majorBidi"/>
          <w:color w:val="000000" w:themeColor="text1"/>
          <w:lang w:val="en-GB"/>
        </w:rPr>
        <w:t>S</w:t>
      </w:r>
      <w:r w:rsidR="00CE3137" w:rsidRPr="00CE3137">
        <w:rPr>
          <w:rFonts w:asciiTheme="majorBidi" w:hAnsiTheme="majorBidi" w:cstheme="majorBidi"/>
          <w:color w:val="000000" w:themeColor="text1"/>
          <w:lang w:val="en-GB"/>
        </w:rPr>
        <w:t xml:space="preserve">tate as guarantor of rights in contexts where a prolonged failure to investigate amounts to </w:t>
      </w:r>
      <w:r w:rsidR="00A05ECB">
        <w:rPr>
          <w:rFonts w:asciiTheme="majorBidi" w:hAnsiTheme="majorBidi" w:cstheme="majorBidi"/>
          <w:color w:val="000000" w:themeColor="text1"/>
          <w:lang w:val="en-GB"/>
        </w:rPr>
        <w:t>a failure to prevent</w:t>
      </w:r>
      <w:r w:rsidR="00CE3137" w:rsidRPr="00CE3137">
        <w:rPr>
          <w:rFonts w:asciiTheme="majorBidi" w:hAnsiTheme="majorBidi" w:cstheme="majorBidi"/>
          <w:color w:val="000000" w:themeColor="text1"/>
          <w:lang w:val="en-GB"/>
        </w:rPr>
        <w:t xml:space="preserve"> ongoing human rights violations</w:t>
      </w:r>
      <w:r w:rsidR="00CE3137">
        <w:rPr>
          <w:rFonts w:asciiTheme="majorBidi" w:hAnsiTheme="majorBidi" w:cstheme="majorBidi"/>
          <w:color w:val="000000" w:themeColor="text1"/>
          <w:lang w:val="en-GB"/>
        </w:rPr>
        <w:t xml:space="preserve"> </w:t>
      </w:r>
      <w:r w:rsidR="00FD7EB9" w:rsidRPr="00325393">
        <w:rPr>
          <w:rFonts w:asciiTheme="majorBidi" w:hAnsiTheme="majorBidi" w:cstheme="majorBidi"/>
          <w:color w:val="000000" w:themeColor="text1"/>
          <w:lang w:val="en-GB"/>
        </w:rPr>
        <w:t xml:space="preserve">and the </w:t>
      </w:r>
      <w:r w:rsidR="00FD7EB9" w:rsidRPr="00547842">
        <w:rPr>
          <w:rFonts w:asciiTheme="majorBidi" w:hAnsiTheme="majorBidi" w:cstheme="majorBidi"/>
          <w:color w:val="000000" w:themeColor="text1"/>
          <w:lang w:val="en-GB"/>
        </w:rPr>
        <w:t>position</w:t>
      </w:r>
      <w:r w:rsidR="00FD7EB9" w:rsidRPr="00BC142A">
        <w:rPr>
          <w:rFonts w:asciiTheme="majorBidi" w:hAnsiTheme="majorBidi" w:cstheme="majorBidi"/>
          <w:color w:val="000000" w:themeColor="text1"/>
          <w:lang w:val="en-GB"/>
        </w:rPr>
        <w:t xml:space="preserve"> </w:t>
      </w:r>
      <w:r w:rsidR="00FD7EB9" w:rsidRPr="00325393">
        <w:rPr>
          <w:rFonts w:asciiTheme="majorBidi" w:hAnsiTheme="majorBidi" w:cstheme="majorBidi"/>
          <w:color w:val="000000" w:themeColor="text1"/>
          <w:lang w:val="en-GB"/>
        </w:rPr>
        <w:t>of the victim who belongs to a particularly vulnerable group</w:t>
      </w:r>
      <w:r w:rsidR="00FD7EB9">
        <w:rPr>
          <w:rFonts w:asciiTheme="majorBidi" w:hAnsiTheme="majorBidi" w:cstheme="majorBidi"/>
          <w:color w:val="000000" w:themeColor="text1"/>
          <w:lang w:val="en-GB"/>
        </w:rPr>
        <w:t xml:space="preserve"> </w:t>
      </w:r>
      <w:r w:rsidR="00FD7EB9" w:rsidRPr="00325393">
        <w:rPr>
          <w:rFonts w:asciiTheme="majorBidi" w:hAnsiTheme="majorBidi" w:cstheme="majorBidi"/>
          <w:color w:val="000000" w:themeColor="text1"/>
          <w:lang w:val="en-GB"/>
        </w:rPr>
        <w:t xml:space="preserve">or resides in a particularly dangerous area. </w:t>
      </w:r>
      <w:r>
        <w:rPr>
          <w:rFonts w:asciiTheme="majorBidi" w:hAnsiTheme="majorBidi" w:cstheme="majorBidi"/>
          <w:lang w:val="en-US"/>
        </w:rPr>
        <w:t>Along these lines</w:t>
      </w:r>
      <w:r w:rsidR="002864EF" w:rsidRPr="002864EF">
        <w:rPr>
          <w:rFonts w:asciiTheme="majorBidi" w:hAnsiTheme="majorBidi" w:cstheme="majorBidi"/>
          <w:lang w:val="en-US"/>
        </w:rPr>
        <w:t>, laws that place migrants in avoidable abusive circumstances conducive to disappearance</w:t>
      </w:r>
      <w:r>
        <w:rPr>
          <w:rFonts w:asciiTheme="majorBidi" w:hAnsiTheme="majorBidi" w:cstheme="majorBidi"/>
          <w:lang w:val="en-US"/>
        </w:rPr>
        <w:t xml:space="preserve">s </w:t>
      </w:r>
      <w:r w:rsidR="00FD7EB9">
        <w:rPr>
          <w:rFonts w:asciiTheme="majorBidi" w:hAnsiTheme="majorBidi" w:cstheme="majorBidi"/>
          <w:lang w:val="en-US"/>
        </w:rPr>
        <w:t>combined</w:t>
      </w:r>
      <w:r w:rsidR="002864EF" w:rsidRPr="002864EF">
        <w:rPr>
          <w:rFonts w:asciiTheme="majorBidi" w:hAnsiTheme="majorBidi" w:cstheme="majorBidi"/>
          <w:lang w:val="en-US"/>
        </w:rPr>
        <w:t xml:space="preserve"> with deliberate inaction in the face of such circumstances when there is information about the likelihood of illegal acts</w:t>
      </w:r>
      <w:r w:rsidR="0074468C">
        <w:rPr>
          <w:rFonts w:asciiTheme="majorBidi" w:hAnsiTheme="majorBidi" w:cstheme="majorBidi"/>
          <w:lang w:val="en-US"/>
        </w:rPr>
        <w:t>,</w:t>
      </w:r>
      <w:r w:rsidR="002864EF" w:rsidRPr="002864EF">
        <w:rPr>
          <w:rFonts w:asciiTheme="majorBidi" w:hAnsiTheme="majorBidi" w:cstheme="majorBidi"/>
          <w:lang w:val="en-US"/>
        </w:rPr>
        <w:t xml:space="preserve"> such as disappearance</w:t>
      </w:r>
      <w:r w:rsidR="0074468C">
        <w:rPr>
          <w:rFonts w:asciiTheme="majorBidi" w:hAnsiTheme="majorBidi" w:cstheme="majorBidi"/>
          <w:lang w:val="en-US"/>
        </w:rPr>
        <w:t>s,</w:t>
      </w:r>
      <w:r w:rsidR="002864EF" w:rsidRPr="002864EF">
        <w:rPr>
          <w:rFonts w:asciiTheme="majorBidi" w:hAnsiTheme="majorBidi" w:cstheme="majorBidi"/>
          <w:lang w:val="en-US"/>
        </w:rPr>
        <w:t xml:space="preserve"> </w:t>
      </w:r>
      <w:r w:rsidR="008715F0">
        <w:rPr>
          <w:rFonts w:asciiTheme="majorBidi" w:hAnsiTheme="majorBidi" w:cstheme="majorBidi"/>
          <w:lang w:val="en-US"/>
        </w:rPr>
        <w:t>should be considered</w:t>
      </w:r>
      <w:r w:rsidR="002864EF" w:rsidRPr="002864EF">
        <w:rPr>
          <w:rFonts w:asciiTheme="majorBidi" w:hAnsiTheme="majorBidi" w:cstheme="majorBidi"/>
          <w:lang w:val="en-US"/>
        </w:rPr>
        <w:t xml:space="preserve"> strong indications that States are acting with acquiescence in the commission of </w:t>
      </w:r>
      <w:r w:rsidR="0011241E">
        <w:rPr>
          <w:rFonts w:asciiTheme="majorBidi" w:hAnsiTheme="majorBidi" w:cstheme="majorBidi"/>
          <w:lang w:val="en-US"/>
        </w:rPr>
        <w:t xml:space="preserve">migrant </w:t>
      </w:r>
      <w:r w:rsidR="00873BA4">
        <w:rPr>
          <w:rFonts w:asciiTheme="majorBidi" w:hAnsiTheme="majorBidi" w:cstheme="majorBidi"/>
          <w:lang w:val="en-US"/>
        </w:rPr>
        <w:t xml:space="preserve">enforced </w:t>
      </w:r>
      <w:r w:rsidR="002864EF" w:rsidRPr="002864EF">
        <w:rPr>
          <w:rFonts w:asciiTheme="majorBidi" w:hAnsiTheme="majorBidi" w:cstheme="majorBidi"/>
          <w:lang w:val="en-US"/>
        </w:rPr>
        <w:t xml:space="preserve">disappearances. </w:t>
      </w:r>
    </w:p>
    <w:p w14:paraId="22E5AA39" w14:textId="77777777" w:rsidR="009A13C2" w:rsidRDefault="009A13C2" w:rsidP="009A13C2">
      <w:pPr>
        <w:rPr>
          <w:rFonts w:asciiTheme="majorBidi" w:hAnsiTheme="majorBidi" w:cstheme="majorBidi"/>
          <w:lang w:val="en-US"/>
        </w:rPr>
      </w:pPr>
    </w:p>
    <w:p w14:paraId="10581FA4" w14:textId="5084C25C" w:rsidR="00887183" w:rsidRPr="00887183" w:rsidRDefault="00887183" w:rsidP="00887183">
      <w:pPr>
        <w:pStyle w:val="ListParagraph"/>
        <w:numPr>
          <w:ilvl w:val="0"/>
          <w:numId w:val="2"/>
        </w:numPr>
        <w:rPr>
          <w:rFonts w:asciiTheme="majorBidi" w:hAnsiTheme="majorBidi" w:cstheme="majorBidi"/>
          <w:i/>
          <w:iCs/>
          <w:lang w:val="en-US"/>
        </w:rPr>
      </w:pPr>
      <w:r w:rsidRPr="00887183">
        <w:rPr>
          <w:rFonts w:asciiTheme="majorBidi" w:hAnsiTheme="majorBidi" w:cstheme="majorBidi"/>
          <w:i/>
          <w:iCs/>
          <w:lang w:val="en-US"/>
        </w:rPr>
        <w:t>Migrants’ disappearances and human trafficking or smuggling</w:t>
      </w:r>
    </w:p>
    <w:p w14:paraId="0CEA0FA4" w14:textId="68719DAD" w:rsidR="00887183" w:rsidRPr="00887183" w:rsidRDefault="00887183" w:rsidP="00887183">
      <w:pPr>
        <w:rPr>
          <w:rFonts w:asciiTheme="majorBidi" w:hAnsiTheme="majorBidi" w:cstheme="majorBidi"/>
          <w:lang w:val="en-US"/>
        </w:rPr>
      </w:pPr>
    </w:p>
    <w:p w14:paraId="31EE033C" w14:textId="15E59575" w:rsidR="00887183" w:rsidRDefault="00887183" w:rsidP="00887183">
      <w:pPr>
        <w:jc w:val="both"/>
        <w:rPr>
          <w:rFonts w:ascii="Times New Roman" w:hAnsi="Times New Roman" w:cs="Times New Roman"/>
          <w:lang w:val="en-GB"/>
        </w:rPr>
      </w:pPr>
      <w:r w:rsidRPr="00887183">
        <w:rPr>
          <w:rFonts w:asciiTheme="majorBidi" w:hAnsiTheme="majorBidi" w:cstheme="majorBidi"/>
          <w:lang w:val="en-US"/>
        </w:rPr>
        <w:t>§ 1</w:t>
      </w:r>
      <w:r w:rsidR="00070935">
        <w:rPr>
          <w:rFonts w:asciiTheme="majorBidi" w:hAnsiTheme="majorBidi" w:cstheme="majorBidi"/>
          <w:lang w:val="en-US"/>
        </w:rPr>
        <w:t>8</w:t>
      </w:r>
      <w:r w:rsidRPr="00887183">
        <w:rPr>
          <w:rFonts w:asciiTheme="majorBidi" w:hAnsiTheme="majorBidi" w:cstheme="majorBidi"/>
          <w:lang w:val="en-US"/>
        </w:rPr>
        <w:t xml:space="preserve">. Migrants can become victims of disappearances in the context of migration </w:t>
      </w:r>
      <w:proofErr w:type="gramStart"/>
      <w:r w:rsidRPr="00887183">
        <w:rPr>
          <w:rFonts w:asciiTheme="majorBidi" w:hAnsiTheme="majorBidi" w:cstheme="majorBidi"/>
          <w:lang w:val="en-US"/>
        </w:rPr>
        <w:t>as a result of</w:t>
      </w:r>
      <w:proofErr w:type="gramEnd"/>
      <w:r w:rsidRPr="00887183">
        <w:rPr>
          <w:rFonts w:asciiTheme="majorBidi" w:hAnsiTheme="majorBidi" w:cstheme="majorBidi"/>
          <w:lang w:val="en-US"/>
        </w:rPr>
        <w:t xml:space="preserve"> human trafficking or smuggling. </w:t>
      </w:r>
      <w:r w:rsidRPr="00887183">
        <w:rPr>
          <w:rFonts w:ascii="Times New Roman" w:hAnsi="Times New Roman" w:cs="Times New Roman"/>
          <w:lang w:val="en-US"/>
        </w:rPr>
        <w:t xml:space="preserve">Given the ICPPED’s preventive character and the aim of the General Comment to assist </w:t>
      </w:r>
      <w:r w:rsidR="00CB4ACA">
        <w:rPr>
          <w:rFonts w:ascii="Times New Roman" w:hAnsi="Times New Roman" w:cs="Times New Roman"/>
          <w:lang w:val="en-US"/>
        </w:rPr>
        <w:t>St</w:t>
      </w:r>
      <w:r w:rsidRPr="00887183">
        <w:rPr>
          <w:rFonts w:ascii="Times New Roman" w:hAnsi="Times New Roman" w:cs="Times New Roman"/>
          <w:lang w:val="en-US"/>
        </w:rPr>
        <w:t xml:space="preserve">ates in developing policies to protect migrants, as well as the potential overlap between human trafficking and smuggling and the (enforced) disappearance of migrants, </w:t>
      </w:r>
      <w:r w:rsidR="00735747" w:rsidRPr="00887183">
        <w:rPr>
          <w:rFonts w:ascii="Times New Roman" w:hAnsi="Times New Roman" w:cs="Times New Roman"/>
          <w:lang w:val="en-US"/>
        </w:rPr>
        <w:t xml:space="preserve">the </w:t>
      </w:r>
      <w:r w:rsidR="00735747" w:rsidRPr="00887183">
        <w:rPr>
          <w:rFonts w:ascii="Times New Roman" w:hAnsi="Times New Roman" w:cs="Times New Roman"/>
          <w:i/>
          <w:iCs/>
          <w:lang w:val="en-US"/>
        </w:rPr>
        <w:t xml:space="preserve">UN Convention against Transnational </w:t>
      </w:r>
      <w:proofErr w:type="spellStart"/>
      <w:r w:rsidR="00735747" w:rsidRPr="00887183">
        <w:rPr>
          <w:rFonts w:ascii="Times New Roman" w:hAnsi="Times New Roman" w:cs="Times New Roman"/>
          <w:i/>
          <w:iCs/>
          <w:lang w:val="en-US"/>
        </w:rPr>
        <w:t>Organised</w:t>
      </w:r>
      <w:proofErr w:type="spellEnd"/>
      <w:r w:rsidR="00735747" w:rsidRPr="00887183">
        <w:rPr>
          <w:rFonts w:ascii="Times New Roman" w:hAnsi="Times New Roman" w:cs="Times New Roman"/>
          <w:i/>
          <w:iCs/>
          <w:lang w:val="en-US"/>
        </w:rPr>
        <w:t xml:space="preserve"> Crime</w:t>
      </w:r>
      <w:r w:rsidR="00735747" w:rsidRPr="00E14082">
        <w:rPr>
          <w:rStyle w:val="FootnoteReference"/>
          <w:rFonts w:ascii="Times New Roman" w:hAnsi="Times New Roman" w:cs="Times New Roman"/>
          <w:lang w:val="en-US"/>
        </w:rPr>
        <w:footnoteReference w:id="32"/>
      </w:r>
      <w:r w:rsidR="00735747" w:rsidRPr="00887183">
        <w:rPr>
          <w:rFonts w:ascii="Times New Roman" w:hAnsi="Times New Roman" w:cs="Times New Roman"/>
          <w:lang w:val="en-US"/>
        </w:rPr>
        <w:t xml:space="preserve"> and its Protocols on Human Trafficking</w:t>
      </w:r>
      <w:r w:rsidR="00735747">
        <w:rPr>
          <w:rStyle w:val="FootnoteReference"/>
          <w:rFonts w:ascii="Times New Roman" w:hAnsi="Times New Roman" w:cs="Times New Roman"/>
          <w:lang w:val="en-US"/>
        </w:rPr>
        <w:footnoteReference w:id="33"/>
      </w:r>
      <w:r w:rsidR="00735747" w:rsidRPr="00887183">
        <w:rPr>
          <w:rFonts w:ascii="Times New Roman" w:hAnsi="Times New Roman" w:cs="Times New Roman"/>
          <w:lang w:val="en-US"/>
        </w:rPr>
        <w:t xml:space="preserve"> and Smuggling</w:t>
      </w:r>
      <w:r w:rsidR="00735747">
        <w:rPr>
          <w:rStyle w:val="FootnoteReference"/>
          <w:rFonts w:ascii="Times New Roman" w:hAnsi="Times New Roman" w:cs="Times New Roman"/>
          <w:lang w:val="en-US"/>
        </w:rPr>
        <w:footnoteReference w:id="34"/>
      </w:r>
      <w:r w:rsidR="00735747" w:rsidRPr="00887183">
        <w:rPr>
          <w:rFonts w:ascii="Times New Roman" w:hAnsi="Times New Roman" w:cs="Times New Roman"/>
          <w:lang w:val="en-US"/>
        </w:rPr>
        <w:t xml:space="preserve"> can</w:t>
      </w:r>
      <w:r w:rsidR="00031700">
        <w:rPr>
          <w:rFonts w:ascii="Times New Roman" w:hAnsi="Times New Roman" w:cs="Times New Roman"/>
          <w:lang w:val="en-US"/>
        </w:rPr>
        <w:t xml:space="preserve"> and should</w:t>
      </w:r>
      <w:r w:rsidR="00735747" w:rsidRPr="00887183">
        <w:rPr>
          <w:rFonts w:ascii="Times New Roman" w:hAnsi="Times New Roman" w:cs="Times New Roman"/>
          <w:lang w:val="en-US"/>
        </w:rPr>
        <w:t xml:space="preserve"> be </w:t>
      </w:r>
      <w:r w:rsidR="00031700">
        <w:rPr>
          <w:rFonts w:ascii="Times New Roman" w:hAnsi="Times New Roman" w:cs="Times New Roman"/>
          <w:lang w:val="en-US"/>
        </w:rPr>
        <w:t xml:space="preserve">considered </w:t>
      </w:r>
      <w:r w:rsidR="00735747" w:rsidRPr="00887183">
        <w:rPr>
          <w:rFonts w:ascii="Times New Roman" w:hAnsi="Times New Roman" w:cs="Times New Roman"/>
          <w:lang w:val="en-US"/>
        </w:rPr>
        <w:t xml:space="preserve">as guidance to </w:t>
      </w:r>
      <w:r w:rsidR="00031700">
        <w:rPr>
          <w:rFonts w:ascii="Times New Roman" w:hAnsi="Times New Roman" w:cs="Times New Roman"/>
          <w:lang w:val="en-US"/>
        </w:rPr>
        <w:t>defining States’ obligations to prevent the disappearance of migrants</w:t>
      </w:r>
      <w:r w:rsidR="00735747">
        <w:rPr>
          <w:rFonts w:ascii="Times New Roman" w:hAnsi="Times New Roman" w:cs="Times New Roman"/>
          <w:lang w:val="en-US"/>
        </w:rPr>
        <w:t>.</w:t>
      </w:r>
      <w:r w:rsidR="00735747" w:rsidRPr="00887183">
        <w:rPr>
          <w:rFonts w:ascii="Times New Roman" w:hAnsi="Times New Roman" w:cs="Times New Roman"/>
          <w:lang w:val="en-US"/>
        </w:rPr>
        <w:t xml:space="preserve"> </w:t>
      </w:r>
      <w:r w:rsidR="00DF3CCA">
        <w:rPr>
          <w:rFonts w:ascii="Times New Roman" w:hAnsi="Times New Roman" w:cs="Times New Roman"/>
          <w:lang w:val="en-US"/>
        </w:rPr>
        <w:t xml:space="preserve">This approach has also been taken by the UNSR on Human Trafficking, who referred to the Trafficking Protocol </w:t>
      </w:r>
      <w:proofErr w:type="gramStart"/>
      <w:r w:rsidR="00DF3CCA">
        <w:rPr>
          <w:rFonts w:ascii="Times New Roman" w:hAnsi="Times New Roman" w:cs="Times New Roman"/>
          <w:lang w:val="en-US"/>
        </w:rPr>
        <w:t>in order to</w:t>
      </w:r>
      <w:proofErr w:type="gramEnd"/>
      <w:r w:rsidR="00DF3CCA">
        <w:rPr>
          <w:rFonts w:ascii="Times New Roman" w:hAnsi="Times New Roman" w:cs="Times New Roman"/>
          <w:lang w:val="en-US"/>
        </w:rPr>
        <w:t xml:space="preserve"> delineate the prevention obligations of States in relation to human trafficking. </w:t>
      </w:r>
      <w:r w:rsidR="00C97042">
        <w:rPr>
          <w:rFonts w:ascii="Times New Roman" w:hAnsi="Times New Roman" w:cs="Times New Roman"/>
          <w:lang w:val="en-US"/>
        </w:rPr>
        <w:t>By defining the type of preventive measures States should take in relation to human trafficking or smuggling of migrants, the analysis of whether a State failed in its obligations to prevent can be facilitated.</w:t>
      </w:r>
      <w:r w:rsidR="00DF3CCA">
        <w:rPr>
          <w:rFonts w:ascii="Times New Roman" w:hAnsi="Times New Roman" w:cs="Times New Roman"/>
          <w:lang w:val="en-US"/>
        </w:rPr>
        <w:t xml:space="preserve"> </w:t>
      </w:r>
    </w:p>
    <w:p w14:paraId="48C7C09E" w14:textId="323539C0" w:rsidR="00887183" w:rsidRDefault="00887183" w:rsidP="00887183">
      <w:pPr>
        <w:jc w:val="both"/>
        <w:rPr>
          <w:rFonts w:ascii="Times New Roman" w:hAnsi="Times New Roman" w:cs="Times New Roman"/>
          <w:lang w:val="en-GB"/>
        </w:rPr>
      </w:pPr>
    </w:p>
    <w:p w14:paraId="70A80CE2" w14:textId="66E19F5A" w:rsidR="00031700" w:rsidRPr="00714330" w:rsidRDefault="00887183" w:rsidP="00887183">
      <w:pPr>
        <w:jc w:val="both"/>
        <w:rPr>
          <w:rFonts w:ascii="Times New Roman" w:hAnsi="Times New Roman" w:cs="Times New Roman"/>
          <w:lang w:val="en-US"/>
        </w:rPr>
      </w:pPr>
      <w:r w:rsidRPr="00887183">
        <w:rPr>
          <w:rFonts w:ascii="Times New Roman" w:hAnsi="Times New Roman" w:cs="Times New Roman"/>
          <w:lang w:val="en-GB"/>
        </w:rPr>
        <w:t xml:space="preserve">§ </w:t>
      </w:r>
      <w:r w:rsidR="00070935">
        <w:rPr>
          <w:rFonts w:ascii="Times New Roman" w:hAnsi="Times New Roman" w:cs="Times New Roman"/>
          <w:lang w:val="en-GB"/>
        </w:rPr>
        <w:t>19</w:t>
      </w:r>
      <w:r w:rsidRPr="00887183">
        <w:rPr>
          <w:rFonts w:ascii="Times New Roman" w:hAnsi="Times New Roman" w:cs="Times New Roman"/>
          <w:lang w:val="en-GB"/>
        </w:rPr>
        <w:t xml:space="preserve">. </w:t>
      </w:r>
      <w:r w:rsidR="00031700">
        <w:rPr>
          <w:rFonts w:ascii="Times New Roman" w:hAnsi="Times New Roman" w:cs="Times New Roman"/>
          <w:lang w:val="en-GB"/>
        </w:rPr>
        <w:t>According to the UNSR on Human Trafficking</w:t>
      </w:r>
      <w:r w:rsidR="00031700" w:rsidRPr="00887183">
        <w:rPr>
          <w:rStyle w:val="FootnoteReference"/>
          <w:rFonts w:ascii="Times New Roman" w:hAnsi="Times New Roman" w:cs="Times New Roman"/>
          <w:lang w:val="en-US"/>
        </w:rPr>
        <w:footnoteReference w:id="35"/>
      </w:r>
      <w:r w:rsidR="00031700" w:rsidRPr="00887183">
        <w:rPr>
          <w:rFonts w:ascii="Times New Roman" w:hAnsi="Times New Roman" w:cs="Times New Roman"/>
          <w:lang w:val="en-US"/>
        </w:rPr>
        <w:t>,</w:t>
      </w:r>
      <w:r w:rsidR="00031700">
        <w:rPr>
          <w:rFonts w:ascii="Times New Roman" w:hAnsi="Times New Roman" w:cs="Times New Roman"/>
          <w:lang w:val="en-GB"/>
        </w:rPr>
        <w:t xml:space="preserve">  </w:t>
      </w:r>
      <w:r w:rsidR="00031700" w:rsidRPr="00887183">
        <w:rPr>
          <w:rFonts w:ascii="Times New Roman" w:hAnsi="Times New Roman" w:cs="Times New Roman"/>
          <w:lang w:val="en-US"/>
        </w:rPr>
        <w:t>measures</w:t>
      </w:r>
      <w:r w:rsidR="00031700">
        <w:rPr>
          <w:rFonts w:ascii="Times New Roman" w:hAnsi="Times New Roman" w:cs="Times New Roman"/>
          <w:lang w:val="en-US"/>
        </w:rPr>
        <w:t xml:space="preserve"> to prevent human trafficking</w:t>
      </w:r>
      <w:r w:rsidR="00031700" w:rsidRPr="00887183">
        <w:rPr>
          <w:rFonts w:ascii="Times New Roman" w:hAnsi="Times New Roman" w:cs="Times New Roman"/>
          <w:lang w:val="en-US"/>
        </w:rPr>
        <w:t xml:space="preserve"> should </w:t>
      </w:r>
      <w:r w:rsidR="00031700" w:rsidRPr="00887183">
        <w:rPr>
          <w:rFonts w:ascii="Times New Roman" w:hAnsi="Times New Roman" w:cs="Times New Roman"/>
          <w:lang w:val="en-GB"/>
        </w:rPr>
        <w:t>include changing the root causes that make persons vulnerable to being trafficked; reducing demand for the type of work that trafficking victims are generally used for; fostering ‘safe migration’; awareness-raising measures, as well as data collection and constant evaluation of preventive policies.</w:t>
      </w:r>
      <w:r w:rsidR="00031700" w:rsidRPr="00887183">
        <w:rPr>
          <w:rStyle w:val="FootnoteReference"/>
          <w:rFonts w:ascii="Times New Roman" w:hAnsi="Times New Roman" w:cs="Times New Roman"/>
          <w:lang w:val="en-GB"/>
        </w:rPr>
        <w:footnoteReference w:id="36"/>
      </w:r>
      <w:r w:rsidR="00142CDE" w:rsidRPr="00142CDE">
        <w:rPr>
          <w:rFonts w:ascii="Times New Roman" w:hAnsi="Times New Roman" w:cs="Times New Roman"/>
          <w:lang w:val="en-US"/>
        </w:rPr>
        <w:t xml:space="preserve"> </w:t>
      </w:r>
      <w:r w:rsidR="00142CDE">
        <w:rPr>
          <w:rFonts w:ascii="Times New Roman" w:hAnsi="Times New Roman" w:cs="Times New Roman"/>
          <w:lang w:val="en-US"/>
        </w:rPr>
        <w:t>Additionally</w:t>
      </w:r>
      <w:r w:rsidR="00142CDE" w:rsidRPr="00887183">
        <w:rPr>
          <w:rFonts w:ascii="Times New Roman" w:hAnsi="Times New Roman" w:cs="Times New Roman"/>
          <w:lang w:val="en-US"/>
        </w:rPr>
        <w:t xml:space="preserve">, </w:t>
      </w:r>
      <w:r w:rsidR="00142CDE">
        <w:rPr>
          <w:rFonts w:ascii="Times New Roman" w:hAnsi="Times New Roman" w:cs="Times New Roman"/>
          <w:lang w:val="en-US"/>
        </w:rPr>
        <w:t>S</w:t>
      </w:r>
      <w:r w:rsidR="00142CDE" w:rsidRPr="00887183">
        <w:rPr>
          <w:rFonts w:ascii="Times New Roman" w:hAnsi="Times New Roman" w:cs="Times New Roman"/>
          <w:lang w:val="en-US"/>
        </w:rPr>
        <w:t>tates have obligations to prosecute perpetrators, which also</w:t>
      </w:r>
      <w:r w:rsidR="00142CDE">
        <w:rPr>
          <w:rFonts w:ascii="Times New Roman" w:hAnsi="Times New Roman" w:cs="Times New Roman"/>
          <w:lang w:val="en-US"/>
        </w:rPr>
        <w:t xml:space="preserve"> constitutes</w:t>
      </w:r>
      <w:r w:rsidR="00142CDE" w:rsidRPr="00887183">
        <w:rPr>
          <w:rFonts w:ascii="Times New Roman" w:hAnsi="Times New Roman" w:cs="Times New Roman"/>
          <w:lang w:val="en-US"/>
        </w:rPr>
        <w:t xml:space="preserve"> a form of prevention.</w:t>
      </w:r>
      <w:r w:rsidR="00142CDE">
        <w:rPr>
          <w:rStyle w:val="FootnoteReference"/>
          <w:rFonts w:ascii="Times New Roman" w:hAnsi="Times New Roman" w:cs="Times New Roman"/>
          <w:lang w:val="en-US"/>
        </w:rPr>
        <w:footnoteReference w:id="37"/>
      </w:r>
      <w:r w:rsidR="00142CDE" w:rsidRPr="00714330">
        <w:rPr>
          <w:rFonts w:ascii="Times New Roman" w:hAnsi="Times New Roman" w:cs="Times New Roman"/>
          <w:lang w:val="en-US"/>
        </w:rPr>
        <w:t xml:space="preserve"> The Trafficking Protocol further obliges States to ensure that information is exchanged between relevant authorities (article 10). </w:t>
      </w:r>
    </w:p>
    <w:p w14:paraId="77246C33" w14:textId="4B57C634" w:rsidR="00887183" w:rsidRDefault="00887183" w:rsidP="00887183">
      <w:pPr>
        <w:jc w:val="both"/>
        <w:rPr>
          <w:rFonts w:ascii="Times New Roman" w:hAnsi="Times New Roman" w:cs="Times New Roman"/>
          <w:lang w:val="en-US"/>
        </w:rPr>
      </w:pPr>
    </w:p>
    <w:p w14:paraId="69BAE5A3" w14:textId="30FE35F5" w:rsidR="00887183" w:rsidRPr="00CB4ACA" w:rsidRDefault="00887183" w:rsidP="000D3FBF">
      <w:pPr>
        <w:autoSpaceDE w:val="0"/>
        <w:autoSpaceDN w:val="0"/>
        <w:adjustRightInd w:val="0"/>
        <w:jc w:val="both"/>
        <w:rPr>
          <w:rFonts w:ascii="Times New Roman" w:hAnsi="Times New Roman" w:cs="Times New Roman"/>
          <w:lang w:val="en-GB"/>
        </w:rPr>
      </w:pPr>
      <w:r w:rsidRPr="00CB4ACA">
        <w:rPr>
          <w:rFonts w:ascii="Times New Roman" w:hAnsi="Times New Roman" w:cs="Times New Roman"/>
          <w:lang w:val="en-US"/>
        </w:rPr>
        <w:t xml:space="preserve">§ </w:t>
      </w:r>
      <w:r w:rsidR="00070935">
        <w:rPr>
          <w:rFonts w:ascii="Times New Roman" w:hAnsi="Times New Roman" w:cs="Times New Roman"/>
          <w:lang w:val="en-US"/>
        </w:rPr>
        <w:t>20</w:t>
      </w:r>
      <w:r w:rsidRPr="00CB4ACA">
        <w:rPr>
          <w:rFonts w:ascii="Times New Roman" w:hAnsi="Times New Roman" w:cs="Times New Roman"/>
          <w:lang w:val="en-US"/>
        </w:rPr>
        <w:t>. Section III of the Smuggling of Migrants Protocol lists prevention measures, which include gathering of information (art</w:t>
      </w:r>
      <w:r w:rsidR="00DD0CFE">
        <w:rPr>
          <w:rFonts w:ascii="Times New Roman" w:hAnsi="Times New Roman" w:cs="Times New Roman"/>
          <w:lang w:val="en-US"/>
        </w:rPr>
        <w:t>icle</w:t>
      </w:r>
      <w:r w:rsidRPr="00CB4ACA">
        <w:rPr>
          <w:rFonts w:ascii="Times New Roman" w:hAnsi="Times New Roman" w:cs="Times New Roman"/>
          <w:lang w:val="en-US"/>
        </w:rPr>
        <w:t xml:space="preserve"> 10), measures relating to border control (art</w:t>
      </w:r>
      <w:r w:rsidR="00DD0CFE">
        <w:rPr>
          <w:rFonts w:ascii="Times New Roman" w:hAnsi="Times New Roman" w:cs="Times New Roman"/>
          <w:lang w:val="en-US"/>
        </w:rPr>
        <w:t>icle</w:t>
      </w:r>
      <w:r w:rsidR="00BA3C3C">
        <w:rPr>
          <w:rFonts w:ascii="Times New Roman" w:hAnsi="Times New Roman" w:cs="Times New Roman"/>
          <w:lang w:val="en-US"/>
        </w:rPr>
        <w:t xml:space="preserve"> </w:t>
      </w:r>
      <w:r w:rsidRPr="00CB4ACA">
        <w:rPr>
          <w:rFonts w:ascii="Times New Roman" w:hAnsi="Times New Roman" w:cs="Times New Roman"/>
          <w:lang w:val="en-US"/>
        </w:rPr>
        <w:t>11) and the verification of documents (art</w:t>
      </w:r>
      <w:r w:rsidR="00DD0CFE">
        <w:rPr>
          <w:rFonts w:ascii="Times New Roman" w:hAnsi="Times New Roman" w:cs="Times New Roman"/>
          <w:lang w:val="en-US"/>
        </w:rPr>
        <w:t>icles</w:t>
      </w:r>
      <w:r w:rsidRPr="00CB4ACA">
        <w:rPr>
          <w:rFonts w:ascii="Times New Roman" w:hAnsi="Times New Roman" w:cs="Times New Roman"/>
          <w:lang w:val="en-US"/>
        </w:rPr>
        <w:t xml:space="preserve"> 12-13), training of authorities (art</w:t>
      </w:r>
      <w:r w:rsidR="00DD0CFE">
        <w:rPr>
          <w:rFonts w:ascii="Times New Roman" w:hAnsi="Times New Roman" w:cs="Times New Roman"/>
          <w:lang w:val="en-US"/>
        </w:rPr>
        <w:t>icle</w:t>
      </w:r>
      <w:r w:rsidR="00BA3C3C">
        <w:rPr>
          <w:rFonts w:ascii="Times New Roman" w:hAnsi="Times New Roman" w:cs="Times New Roman"/>
          <w:lang w:val="en-US"/>
        </w:rPr>
        <w:t xml:space="preserve"> </w:t>
      </w:r>
      <w:r w:rsidRPr="00CB4ACA">
        <w:rPr>
          <w:rFonts w:ascii="Times New Roman" w:hAnsi="Times New Roman" w:cs="Times New Roman"/>
          <w:lang w:val="en-US"/>
        </w:rPr>
        <w:t>14),</w:t>
      </w:r>
      <w:r w:rsidRPr="00CB4ACA">
        <w:rPr>
          <w:rFonts w:ascii="Times New Roman" w:hAnsi="Times New Roman" w:cs="Times New Roman"/>
          <w:lang w:val="en-GB"/>
        </w:rPr>
        <w:t xml:space="preserve"> as well as measures to raise awareness and to address the root causes of smuggling, that is, socioeconomic realities that push people to migrate and seek out smugglers (art</w:t>
      </w:r>
      <w:r w:rsidR="00DD0CFE">
        <w:rPr>
          <w:rFonts w:ascii="Times New Roman" w:hAnsi="Times New Roman" w:cs="Times New Roman"/>
          <w:lang w:val="en-GB"/>
        </w:rPr>
        <w:t>icle</w:t>
      </w:r>
      <w:r w:rsidRPr="00CB4ACA">
        <w:rPr>
          <w:rFonts w:ascii="Times New Roman" w:hAnsi="Times New Roman" w:cs="Times New Roman"/>
          <w:lang w:val="en-GB"/>
        </w:rPr>
        <w:t xml:space="preserve"> 15). Further, </w:t>
      </w:r>
      <w:r w:rsidR="00CB4ACA" w:rsidRPr="00CB4ACA">
        <w:rPr>
          <w:rFonts w:ascii="Times New Roman" w:hAnsi="Times New Roman" w:cs="Times New Roman"/>
          <w:lang w:val="en-GB"/>
        </w:rPr>
        <w:t>S</w:t>
      </w:r>
      <w:r w:rsidRPr="00CB4ACA">
        <w:rPr>
          <w:rFonts w:ascii="Times New Roman" w:hAnsi="Times New Roman" w:cs="Times New Roman"/>
          <w:lang w:val="en-GB"/>
        </w:rPr>
        <w:t>tates should adopt ‘appropriate’ measures to protect migrants from violence (art</w:t>
      </w:r>
      <w:r w:rsidR="00DD0CFE">
        <w:rPr>
          <w:rFonts w:ascii="Times New Roman" w:hAnsi="Times New Roman" w:cs="Times New Roman"/>
          <w:lang w:val="en-GB"/>
        </w:rPr>
        <w:t>icle</w:t>
      </w:r>
      <w:r w:rsidRPr="00CB4ACA">
        <w:rPr>
          <w:rFonts w:ascii="Times New Roman" w:hAnsi="Times New Roman" w:cs="Times New Roman"/>
          <w:lang w:val="en-GB"/>
        </w:rPr>
        <w:t xml:space="preserve"> 16(2)). Article 18 establishe</w:t>
      </w:r>
      <w:r w:rsidR="00B042FF">
        <w:rPr>
          <w:rFonts w:ascii="Times New Roman" w:hAnsi="Times New Roman" w:cs="Times New Roman"/>
          <w:lang w:val="en-GB"/>
        </w:rPr>
        <w:t>s</w:t>
      </w:r>
      <w:r w:rsidRPr="00CB4ACA">
        <w:rPr>
          <w:rFonts w:ascii="Times New Roman" w:hAnsi="Times New Roman" w:cs="Times New Roman"/>
          <w:lang w:val="en-GB"/>
        </w:rPr>
        <w:t xml:space="preserve"> obligations regarding the return of migrants.</w:t>
      </w:r>
    </w:p>
    <w:p w14:paraId="22F97161" w14:textId="77777777" w:rsidR="00887183" w:rsidRPr="00887183" w:rsidRDefault="00887183" w:rsidP="00887183">
      <w:pPr>
        <w:pStyle w:val="ListParagraph"/>
        <w:ind w:left="1080"/>
        <w:rPr>
          <w:rFonts w:asciiTheme="majorBidi" w:hAnsiTheme="majorBidi" w:cstheme="majorBidi"/>
          <w:lang w:val="en-US"/>
        </w:rPr>
      </w:pPr>
    </w:p>
    <w:p w14:paraId="6888468E" w14:textId="5CC2A4C5" w:rsidR="009A13C2" w:rsidRPr="00887183" w:rsidRDefault="00887183" w:rsidP="00887183">
      <w:pPr>
        <w:ind w:left="360"/>
        <w:rPr>
          <w:rFonts w:asciiTheme="majorBidi" w:hAnsiTheme="majorBidi" w:cstheme="majorBidi"/>
          <w:lang w:val="en-US"/>
        </w:rPr>
      </w:pPr>
      <w:r>
        <w:rPr>
          <w:rFonts w:asciiTheme="majorBidi" w:hAnsiTheme="majorBidi" w:cstheme="majorBidi"/>
          <w:i/>
          <w:iCs/>
          <w:lang w:val="en-US"/>
        </w:rPr>
        <w:t xml:space="preserve">V. </w:t>
      </w:r>
      <w:r w:rsidRPr="00887183">
        <w:rPr>
          <w:rFonts w:asciiTheme="majorBidi" w:hAnsiTheme="majorBidi" w:cstheme="majorBidi"/>
          <w:i/>
          <w:iCs/>
          <w:lang w:val="en-US"/>
        </w:rPr>
        <w:t>Recommendation</w:t>
      </w:r>
      <w:r w:rsidR="00961E96">
        <w:rPr>
          <w:rFonts w:asciiTheme="majorBidi" w:hAnsiTheme="majorBidi" w:cstheme="majorBidi"/>
          <w:i/>
          <w:iCs/>
          <w:lang w:val="en-US"/>
        </w:rPr>
        <w:t>s</w:t>
      </w:r>
    </w:p>
    <w:p w14:paraId="7469ED64" w14:textId="103B97A3" w:rsidR="00DD4C70" w:rsidRDefault="00DD4C70" w:rsidP="00DA7D81">
      <w:pPr>
        <w:jc w:val="both"/>
        <w:rPr>
          <w:rFonts w:asciiTheme="majorBidi" w:hAnsiTheme="majorBidi" w:cstheme="majorBidi"/>
          <w:lang w:val="en-US"/>
        </w:rPr>
      </w:pPr>
    </w:p>
    <w:p w14:paraId="4A9989D5" w14:textId="134E358C" w:rsidR="000D3FBF" w:rsidRDefault="007D02D2" w:rsidP="00DA7D81">
      <w:pPr>
        <w:jc w:val="both"/>
        <w:rPr>
          <w:rFonts w:asciiTheme="majorBidi" w:hAnsiTheme="majorBidi" w:cstheme="majorBidi"/>
          <w:lang w:val="en-US"/>
        </w:rPr>
      </w:pPr>
      <w:r>
        <w:rPr>
          <w:rFonts w:asciiTheme="majorBidi" w:hAnsiTheme="majorBidi" w:cstheme="majorBidi"/>
          <w:lang w:val="en-US"/>
        </w:rPr>
        <w:t xml:space="preserve">§ </w:t>
      </w:r>
      <w:r w:rsidR="00070935">
        <w:rPr>
          <w:rFonts w:asciiTheme="majorBidi" w:hAnsiTheme="majorBidi" w:cstheme="majorBidi"/>
          <w:lang w:val="en-US"/>
        </w:rPr>
        <w:t>21</w:t>
      </w:r>
      <w:r>
        <w:rPr>
          <w:rFonts w:asciiTheme="majorBidi" w:hAnsiTheme="majorBidi" w:cstheme="majorBidi"/>
          <w:lang w:val="en-US"/>
        </w:rPr>
        <w:t xml:space="preserve">. </w:t>
      </w:r>
      <w:r w:rsidR="000D3FBF">
        <w:rPr>
          <w:rFonts w:asciiTheme="majorBidi" w:hAnsiTheme="majorBidi" w:cstheme="majorBidi"/>
          <w:lang w:val="en-US"/>
        </w:rPr>
        <w:t xml:space="preserve">Based on this analysis, the </w:t>
      </w:r>
      <w:r w:rsidR="000D3FBF" w:rsidRPr="00F24099">
        <w:rPr>
          <w:rFonts w:asciiTheme="majorBidi" w:hAnsiTheme="majorBidi" w:cstheme="majorBidi"/>
          <w:i/>
          <w:iCs/>
          <w:lang w:val="en-US"/>
        </w:rPr>
        <w:t>General Comment No. 1 on Enforced Disappearances</w:t>
      </w:r>
      <w:r w:rsidR="00DA7D81">
        <w:rPr>
          <w:rFonts w:asciiTheme="majorBidi" w:hAnsiTheme="majorBidi" w:cstheme="majorBidi"/>
          <w:i/>
          <w:iCs/>
          <w:lang w:val="en-US"/>
        </w:rPr>
        <w:t xml:space="preserve"> </w:t>
      </w:r>
      <w:r w:rsidR="000D3FBF" w:rsidRPr="00F24099">
        <w:rPr>
          <w:rFonts w:asciiTheme="majorBidi" w:hAnsiTheme="majorBidi" w:cstheme="majorBidi"/>
          <w:i/>
          <w:iCs/>
          <w:lang w:val="en-US"/>
        </w:rPr>
        <w:t>in the context of Migration</w:t>
      </w:r>
      <w:r w:rsidR="000D3FBF" w:rsidRPr="00F24099">
        <w:rPr>
          <w:rFonts w:asciiTheme="majorBidi" w:hAnsiTheme="majorBidi" w:cstheme="majorBidi"/>
          <w:lang w:val="en-US"/>
        </w:rPr>
        <w:t xml:space="preserve"> </w:t>
      </w:r>
      <w:r w:rsidR="000D3FBF">
        <w:rPr>
          <w:rFonts w:asciiTheme="majorBidi" w:hAnsiTheme="majorBidi" w:cstheme="majorBidi"/>
          <w:lang w:val="en-US"/>
        </w:rPr>
        <w:t>by the CED should:</w:t>
      </w:r>
    </w:p>
    <w:p w14:paraId="3C20759D" w14:textId="7F498079" w:rsidR="00B9519A" w:rsidRDefault="00B9519A" w:rsidP="000D3FBF">
      <w:pPr>
        <w:rPr>
          <w:rFonts w:asciiTheme="majorBidi" w:hAnsiTheme="majorBidi" w:cstheme="majorBidi"/>
          <w:lang w:val="en-US"/>
        </w:rPr>
      </w:pPr>
    </w:p>
    <w:p w14:paraId="46BA23A2" w14:textId="77777777" w:rsidR="000D3FBF" w:rsidRPr="00F24099" w:rsidRDefault="000D3FBF" w:rsidP="000156B1">
      <w:pPr>
        <w:pStyle w:val="ListParagraph"/>
        <w:numPr>
          <w:ilvl w:val="0"/>
          <w:numId w:val="4"/>
        </w:numPr>
        <w:jc w:val="both"/>
        <w:rPr>
          <w:rFonts w:asciiTheme="majorBidi" w:hAnsiTheme="majorBidi" w:cstheme="majorBidi"/>
          <w:lang w:val="en-US"/>
        </w:rPr>
      </w:pPr>
      <w:r w:rsidRPr="00F24099">
        <w:rPr>
          <w:rFonts w:asciiTheme="majorBidi" w:hAnsiTheme="majorBidi" w:cstheme="majorBidi"/>
          <w:lang w:val="en-US"/>
        </w:rPr>
        <w:lastRenderedPageBreak/>
        <w:t>elaborate on the meaning of systematic impunity for disappearances, including enforced disappearances, in the context of migration, as proposed in the WGEID report</w:t>
      </w:r>
      <w:r>
        <w:rPr>
          <w:rFonts w:asciiTheme="majorBidi" w:hAnsiTheme="majorBidi" w:cstheme="majorBidi"/>
          <w:lang w:val="en-US"/>
        </w:rPr>
        <w:t xml:space="preserve"> (</w:t>
      </w:r>
      <w:r w:rsidRPr="00F24099">
        <w:rPr>
          <w:rFonts w:asciiTheme="majorBidi" w:hAnsiTheme="majorBidi" w:cstheme="majorBidi"/>
          <w:lang w:val="en-US"/>
        </w:rPr>
        <w:t>A/HRC/36/39/Add.2</w:t>
      </w:r>
      <w:r>
        <w:rPr>
          <w:rFonts w:asciiTheme="majorBidi" w:hAnsiTheme="majorBidi" w:cstheme="majorBidi"/>
          <w:lang w:val="en-US"/>
        </w:rPr>
        <w:t>)</w:t>
      </w:r>
      <w:r w:rsidRPr="00F24099">
        <w:rPr>
          <w:rFonts w:asciiTheme="majorBidi" w:hAnsiTheme="majorBidi" w:cstheme="majorBidi"/>
          <w:lang w:val="en-US"/>
        </w:rPr>
        <w:t xml:space="preserve">, and its relationship to </w:t>
      </w:r>
      <w:proofErr w:type="gramStart"/>
      <w:r w:rsidRPr="00F24099">
        <w:rPr>
          <w:rFonts w:asciiTheme="majorBidi" w:hAnsiTheme="majorBidi" w:cstheme="majorBidi"/>
          <w:lang w:val="en-US"/>
        </w:rPr>
        <w:t>acquiescence;</w:t>
      </w:r>
      <w:proofErr w:type="gramEnd"/>
    </w:p>
    <w:p w14:paraId="6DF5D67D" w14:textId="284BC5FF" w:rsidR="000D3FBF" w:rsidRPr="00F24099" w:rsidRDefault="000D3FBF" w:rsidP="000156B1">
      <w:pPr>
        <w:pStyle w:val="ListParagraph"/>
        <w:numPr>
          <w:ilvl w:val="0"/>
          <w:numId w:val="4"/>
        </w:numPr>
        <w:jc w:val="both"/>
        <w:rPr>
          <w:rFonts w:asciiTheme="majorBidi" w:hAnsiTheme="majorBidi" w:cstheme="majorBidi"/>
          <w:lang w:val="en-US"/>
        </w:rPr>
      </w:pPr>
      <w:r w:rsidRPr="00F24099">
        <w:rPr>
          <w:rFonts w:asciiTheme="majorBidi" w:hAnsiTheme="majorBidi" w:cstheme="majorBidi"/>
          <w:lang w:val="en-US"/>
        </w:rPr>
        <w:t xml:space="preserve">clarify what obligations arise in terms of preventive measures to be taken by States to avoid direct liability for the </w:t>
      </w:r>
      <w:r>
        <w:rPr>
          <w:rFonts w:asciiTheme="majorBidi" w:hAnsiTheme="majorBidi" w:cstheme="majorBidi"/>
          <w:lang w:val="en-US"/>
        </w:rPr>
        <w:t xml:space="preserve">enforced </w:t>
      </w:r>
      <w:r w:rsidRPr="00F24099">
        <w:rPr>
          <w:rFonts w:asciiTheme="majorBidi" w:hAnsiTheme="majorBidi" w:cstheme="majorBidi"/>
          <w:lang w:val="en-US"/>
        </w:rPr>
        <w:t>disappearance of migrants</w:t>
      </w:r>
      <w:r>
        <w:rPr>
          <w:rFonts w:asciiTheme="majorBidi" w:hAnsiTheme="majorBidi" w:cstheme="majorBidi"/>
          <w:lang w:val="en-US"/>
        </w:rPr>
        <w:t xml:space="preserve">. </w:t>
      </w:r>
    </w:p>
    <w:p w14:paraId="16EAA34C" w14:textId="77777777" w:rsidR="00F24099" w:rsidRDefault="00F24099" w:rsidP="00B9519A">
      <w:pPr>
        <w:rPr>
          <w:rFonts w:asciiTheme="majorBidi" w:hAnsiTheme="majorBidi" w:cstheme="majorBidi"/>
          <w:lang w:val="en-US"/>
        </w:rPr>
      </w:pPr>
    </w:p>
    <w:p w14:paraId="43AB3D59" w14:textId="484BC975" w:rsidR="007D02D2" w:rsidRDefault="007D02D2" w:rsidP="00B9519A">
      <w:pPr>
        <w:rPr>
          <w:rFonts w:asciiTheme="majorBidi" w:hAnsiTheme="majorBidi" w:cstheme="majorBidi"/>
          <w:lang w:val="en-US"/>
        </w:rPr>
      </w:pPr>
      <w:r>
        <w:rPr>
          <w:rFonts w:asciiTheme="majorBidi" w:hAnsiTheme="majorBidi" w:cstheme="majorBidi"/>
          <w:lang w:val="en-US"/>
        </w:rPr>
        <w:t xml:space="preserve">In this context </w:t>
      </w:r>
      <w:r w:rsidR="00F9127A">
        <w:rPr>
          <w:rFonts w:asciiTheme="majorBidi" w:hAnsiTheme="majorBidi" w:cstheme="majorBidi"/>
          <w:lang w:val="en-US"/>
        </w:rPr>
        <w:t>it is recommended</w:t>
      </w:r>
      <w:r>
        <w:rPr>
          <w:rFonts w:asciiTheme="majorBidi" w:hAnsiTheme="majorBidi" w:cstheme="majorBidi"/>
          <w:lang w:val="en-US"/>
        </w:rPr>
        <w:t xml:space="preserve"> </w:t>
      </w:r>
      <w:r w:rsidR="00577CAE">
        <w:rPr>
          <w:rFonts w:asciiTheme="majorBidi" w:hAnsiTheme="majorBidi" w:cstheme="majorBidi"/>
          <w:lang w:val="en-US"/>
        </w:rPr>
        <w:t>that:</w:t>
      </w:r>
    </w:p>
    <w:p w14:paraId="19E46F5C" w14:textId="77777777" w:rsidR="0087233F" w:rsidRDefault="0087233F" w:rsidP="0087233F">
      <w:pPr>
        <w:rPr>
          <w:lang w:val="en-US"/>
        </w:rPr>
      </w:pPr>
    </w:p>
    <w:p w14:paraId="1B4DE053" w14:textId="7DF793E9" w:rsidR="00700932" w:rsidRPr="00700932" w:rsidRDefault="00ED05BB" w:rsidP="00700932">
      <w:pPr>
        <w:pStyle w:val="ListParagraph"/>
        <w:numPr>
          <w:ilvl w:val="0"/>
          <w:numId w:val="7"/>
        </w:numPr>
        <w:jc w:val="both"/>
        <w:rPr>
          <w:lang w:val="en-US"/>
        </w:rPr>
      </w:pPr>
      <w:r w:rsidRPr="00ED05BB">
        <w:rPr>
          <w:rFonts w:ascii="Times New Roman" w:hAnsi="Times New Roman" w:cs="Times New Roman"/>
          <w:lang w:val="en-US"/>
        </w:rPr>
        <w:t xml:space="preserve">To avoid liability based on acquiescence, </w:t>
      </w:r>
      <w:r w:rsidR="00873BA4">
        <w:rPr>
          <w:rFonts w:ascii="Times New Roman" w:hAnsi="Times New Roman" w:cs="Times New Roman"/>
          <w:lang w:val="en-US"/>
        </w:rPr>
        <w:t>S</w:t>
      </w:r>
      <w:r w:rsidRPr="00ED05BB">
        <w:rPr>
          <w:rFonts w:ascii="Times New Roman" w:hAnsi="Times New Roman" w:cs="Times New Roman"/>
          <w:lang w:val="en-US"/>
        </w:rPr>
        <w:t>tates should generally assess</w:t>
      </w:r>
      <w:r w:rsidR="00700932">
        <w:rPr>
          <w:rFonts w:ascii="Times New Roman" w:hAnsi="Times New Roman" w:cs="Times New Roman"/>
          <w:lang w:val="en-US"/>
        </w:rPr>
        <w:t xml:space="preserve"> </w:t>
      </w:r>
      <w:r w:rsidR="00700932" w:rsidRPr="005278DB">
        <w:rPr>
          <w:rFonts w:ascii="Times New Roman" w:hAnsi="Times New Roman" w:cs="Times New Roman"/>
          <w:lang w:val="en-US"/>
        </w:rPr>
        <w:t>the magnitude, seriousness, prolongation, and manifestations of the breach of the duties to prevent and investigate</w:t>
      </w:r>
      <w:r w:rsidR="00700932">
        <w:rPr>
          <w:rFonts w:ascii="Times New Roman" w:hAnsi="Times New Roman" w:cs="Times New Roman"/>
          <w:lang w:val="en-US"/>
        </w:rPr>
        <w:t>.</w:t>
      </w:r>
      <w:r>
        <w:rPr>
          <w:rFonts w:ascii="Times New Roman" w:hAnsi="Times New Roman" w:cs="Times New Roman"/>
          <w:lang w:val="en-US"/>
        </w:rPr>
        <w:t xml:space="preserve"> </w:t>
      </w:r>
      <w:r w:rsidR="00873BA4">
        <w:rPr>
          <w:rFonts w:ascii="Times New Roman" w:hAnsi="Times New Roman" w:cs="Times New Roman"/>
          <w:lang w:val="en-US"/>
        </w:rPr>
        <w:t xml:space="preserve">States have an obligation of monitoring a reportedly dangerous situation. </w:t>
      </w:r>
      <w:r w:rsidRPr="00ED05BB">
        <w:rPr>
          <w:rFonts w:ascii="Times New Roman" w:hAnsi="Times New Roman" w:cs="Times New Roman"/>
          <w:lang w:val="en-US"/>
        </w:rPr>
        <w:t xml:space="preserve">If </w:t>
      </w:r>
      <w:r w:rsidRPr="00D64A2B">
        <w:rPr>
          <w:rFonts w:ascii="Times New Roman" w:hAnsi="Times New Roman" w:cs="Times New Roman"/>
          <w:i/>
          <w:iCs/>
          <w:lang w:val="en-US"/>
        </w:rPr>
        <w:t>ex officio</w:t>
      </w:r>
      <w:r w:rsidRPr="00ED05BB">
        <w:rPr>
          <w:rFonts w:ascii="Times New Roman" w:hAnsi="Times New Roman" w:cs="Times New Roman"/>
          <w:lang w:val="en-US"/>
        </w:rPr>
        <w:t xml:space="preserve"> investigations, criminal prosecutions of perpetrators, and forensic identification are generally not conducted on a routine basis</w:t>
      </w:r>
      <w:r w:rsidR="00B563F0">
        <w:rPr>
          <w:rFonts w:ascii="Times New Roman" w:hAnsi="Times New Roman" w:cs="Times New Roman"/>
          <w:lang w:val="en-US"/>
        </w:rPr>
        <w:t xml:space="preserve"> into reported inciden</w:t>
      </w:r>
      <w:r w:rsidR="00D64A2B">
        <w:rPr>
          <w:rFonts w:ascii="Times New Roman" w:hAnsi="Times New Roman" w:cs="Times New Roman"/>
          <w:lang w:val="en-US"/>
        </w:rPr>
        <w:t>ts</w:t>
      </w:r>
      <w:r w:rsidR="00B563F0">
        <w:rPr>
          <w:rFonts w:ascii="Times New Roman" w:hAnsi="Times New Roman" w:cs="Times New Roman"/>
          <w:lang w:val="en-US"/>
        </w:rPr>
        <w:t xml:space="preserve"> of migrant disappearances</w:t>
      </w:r>
      <w:r w:rsidRPr="00ED05BB">
        <w:rPr>
          <w:rFonts w:ascii="Times New Roman" w:hAnsi="Times New Roman" w:cs="Times New Roman"/>
          <w:lang w:val="en-US"/>
        </w:rPr>
        <w:t>, state involvement may amount to acquiescence.</w:t>
      </w:r>
    </w:p>
    <w:p w14:paraId="65266BF6" w14:textId="77777777" w:rsidR="00700932" w:rsidRPr="00700932" w:rsidRDefault="00700932" w:rsidP="00700932">
      <w:pPr>
        <w:pStyle w:val="ListParagraph"/>
        <w:jc w:val="both"/>
        <w:rPr>
          <w:lang w:val="en-US"/>
        </w:rPr>
      </w:pPr>
    </w:p>
    <w:p w14:paraId="5C0F7F2B" w14:textId="77777777" w:rsidR="00B66D84" w:rsidRPr="00B66D84" w:rsidRDefault="00B66D84" w:rsidP="00B66D84">
      <w:pPr>
        <w:pStyle w:val="ListParagraph"/>
        <w:rPr>
          <w:rFonts w:ascii="Times New Roman" w:hAnsi="Times New Roman" w:cs="Times New Roman"/>
          <w:sz w:val="23"/>
          <w:szCs w:val="23"/>
          <w:lang w:val="en-GB"/>
        </w:rPr>
      </w:pPr>
    </w:p>
    <w:p w14:paraId="346821C6" w14:textId="77777777" w:rsidR="0087233F" w:rsidRPr="00B9519A" w:rsidRDefault="0087233F" w:rsidP="00B9519A">
      <w:pPr>
        <w:rPr>
          <w:rFonts w:asciiTheme="majorBidi" w:hAnsiTheme="majorBidi" w:cstheme="majorBidi"/>
          <w:lang w:val="en-US"/>
        </w:rPr>
      </w:pPr>
    </w:p>
    <w:sectPr w:rsidR="0087233F" w:rsidRPr="00B9519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F33F" w14:textId="77777777" w:rsidR="00894605" w:rsidRDefault="00894605" w:rsidP="009A13C2">
      <w:r>
        <w:separator/>
      </w:r>
    </w:p>
  </w:endnote>
  <w:endnote w:type="continuationSeparator" w:id="0">
    <w:p w14:paraId="2D25A2B2" w14:textId="77777777" w:rsidR="00894605" w:rsidRDefault="00894605" w:rsidP="009A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46428"/>
      <w:docPartObj>
        <w:docPartGallery w:val="Page Numbers (Bottom of Page)"/>
        <w:docPartUnique/>
      </w:docPartObj>
    </w:sdtPr>
    <w:sdtContent>
      <w:p w14:paraId="10C52103" w14:textId="38C2000B" w:rsidR="001F6014" w:rsidRDefault="001F6014" w:rsidP="001F4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CBFC1" w14:textId="77777777" w:rsidR="001F6014" w:rsidRDefault="001F6014" w:rsidP="001F6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325750"/>
      <w:docPartObj>
        <w:docPartGallery w:val="Page Numbers (Bottom of Page)"/>
        <w:docPartUnique/>
      </w:docPartObj>
    </w:sdtPr>
    <w:sdtContent>
      <w:p w14:paraId="11E312F2" w14:textId="3D880E8E" w:rsidR="001F6014" w:rsidRDefault="001F6014" w:rsidP="001F4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D307E7" w14:textId="77777777" w:rsidR="001F6014" w:rsidRDefault="001F6014" w:rsidP="001F60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7D0A" w14:textId="77777777" w:rsidR="00894605" w:rsidRDefault="00894605" w:rsidP="009A13C2">
      <w:r>
        <w:separator/>
      </w:r>
    </w:p>
  </w:footnote>
  <w:footnote w:type="continuationSeparator" w:id="0">
    <w:p w14:paraId="631B50DD" w14:textId="77777777" w:rsidR="00894605" w:rsidRDefault="00894605" w:rsidP="009A13C2">
      <w:r>
        <w:continuationSeparator/>
      </w:r>
    </w:p>
  </w:footnote>
  <w:footnote w:id="1">
    <w:p w14:paraId="41703544" w14:textId="0DE09157" w:rsidR="00CE4A1A" w:rsidRPr="001F6014" w:rsidRDefault="00CE4A1A">
      <w:pPr>
        <w:pStyle w:val="FootnoteText"/>
        <w:rPr>
          <w:rFonts w:asciiTheme="majorBidi" w:hAnsiTheme="majorBidi" w:cstheme="majorBidi"/>
          <w:lang w:val="en-US"/>
        </w:rPr>
      </w:pPr>
      <w:r w:rsidRPr="00B36934">
        <w:rPr>
          <w:rStyle w:val="FootnoteReference"/>
          <w:rFonts w:asciiTheme="majorBidi" w:hAnsiTheme="majorBidi" w:cstheme="majorBidi"/>
        </w:rPr>
        <w:footnoteRef/>
      </w:r>
      <w:r w:rsidRPr="00B36934">
        <w:rPr>
          <w:rFonts w:asciiTheme="majorBidi" w:hAnsiTheme="majorBidi" w:cstheme="majorBidi"/>
          <w:lang w:val="en-US"/>
        </w:rPr>
        <w:t xml:space="preserve"> </w:t>
      </w:r>
      <w:r w:rsidRPr="001F6014">
        <w:rPr>
          <w:rFonts w:asciiTheme="majorBidi" w:hAnsiTheme="majorBidi" w:cstheme="majorBidi"/>
          <w:lang w:val="en-US"/>
        </w:rPr>
        <w:t>See FA</w:t>
      </w:r>
      <w:r w:rsidR="005A5C61" w:rsidRPr="001F6014">
        <w:rPr>
          <w:rFonts w:asciiTheme="majorBidi" w:hAnsiTheme="majorBidi" w:cstheme="majorBidi"/>
          <w:lang w:val="en-US"/>
        </w:rPr>
        <w:t>J</w:t>
      </w:r>
      <w:r w:rsidRPr="001F6014">
        <w:rPr>
          <w:rFonts w:asciiTheme="majorBidi" w:hAnsiTheme="majorBidi" w:cstheme="majorBidi"/>
          <w:lang w:val="en-US"/>
        </w:rPr>
        <w:t xml:space="preserve"> </w:t>
      </w:r>
      <w:r w:rsidR="005A5C61" w:rsidRPr="001F6014">
        <w:rPr>
          <w:rFonts w:asciiTheme="majorBidi" w:hAnsiTheme="majorBidi" w:cstheme="majorBidi"/>
          <w:lang w:val="en-US"/>
        </w:rPr>
        <w:t>against</w:t>
      </w:r>
      <w:r w:rsidRPr="001F6014">
        <w:rPr>
          <w:rFonts w:asciiTheme="majorBidi" w:hAnsiTheme="majorBidi" w:cstheme="majorBidi"/>
          <w:lang w:val="en-US"/>
        </w:rPr>
        <w:t xml:space="preserve"> Greece, </w:t>
      </w:r>
      <w:r w:rsidR="005A5C61" w:rsidRPr="001F6014">
        <w:rPr>
          <w:rFonts w:asciiTheme="majorBidi" w:hAnsiTheme="majorBidi" w:cstheme="majorBidi"/>
          <w:lang w:val="en-US"/>
        </w:rPr>
        <w:t xml:space="preserve">Communication to the </w:t>
      </w:r>
      <w:r w:rsidRPr="001F6014">
        <w:rPr>
          <w:rFonts w:asciiTheme="majorBidi" w:hAnsiTheme="majorBidi" w:cstheme="majorBidi"/>
          <w:lang w:val="en-US"/>
        </w:rPr>
        <w:t>Human Rights Committee</w:t>
      </w:r>
      <w:r w:rsidR="005A5C61" w:rsidRPr="001F6014">
        <w:rPr>
          <w:rFonts w:asciiTheme="majorBidi" w:hAnsiTheme="majorBidi" w:cstheme="majorBidi"/>
          <w:lang w:val="en-US"/>
        </w:rPr>
        <w:t xml:space="preserve"> (August 2021); available at:</w:t>
      </w:r>
      <w:r w:rsidR="001F6014" w:rsidRPr="001F6014">
        <w:rPr>
          <w:rFonts w:asciiTheme="majorBidi" w:hAnsiTheme="majorBidi" w:cstheme="majorBidi"/>
          <w:lang w:val="en-US"/>
        </w:rPr>
        <w:t xml:space="preserve"> </w:t>
      </w:r>
      <w:hyperlink r:id="rId1" w:history="1">
        <w:r w:rsidR="001F6014" w:rsidRPr="001F6014">
          <w:rPr>
            <w:rStyle w:val="Hyperlink"/>
            <w:rFonts w:asciiTheme="majorBidi" w:hAnsiTheme="majorBidi" w:cstheme="majorBidi"/>
            <w:lang w:val="en-US"/>
          </w:rPr>
          <w:t>https://www.humanrights360.org/wp-content/uploads/2021/09/Communication-to-the-United-Nations-Human-Rights-Committee-in-the-case-of-Faj-against-Greece.pdf</w:t>
        </w:r>
      </w:hyperlink>
      <w:r w:rsidR="001F6014" w:rsidRPr="001F6014">
        <w:rPr>
          <w:rFonts w:asciiTheme="majorBidi" w:hAnsiTheme="majorBidi" w:cstheme="majorBidi"/>
          <w:lang w:val="en-US"/>
        </w:rPr>
        <w:t xml:space="preserve">. </w:t>
      </w:r>
    </w:p>
  </w:footnote>
  <w:footnote w:id="2">
    <w:p w14:paraId="2E1E024C"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See Report of the Special Rapporteur on the human rights of migrants, Felipe González Morales on the means to address the human rights impact of pushbacks of migrants on land and at sea, 12 May 2021, A/HRC/47/30.</w:t>
      </w:r>
    </w:p>
  </w:footnote>
  <w:footnote w:id="3">
    <w:p w14:paraId="113DDBF9" w14:textId="61C42CF1" w:rsidR="002F7C66" w:rsidRPr="001F6014" w:rsidRDefault="002F7C66" w:rsidP="002F7C66">
      <w:pPr>
        <w:pStyle w:val="FootnoteText"/>
        <w:rPr>
          <w:rFonts w:asciiTheme="majorBidi" w:hAnsiTheme="majorBidi" w:cstheme="majorBidi"/>
          <w:lang w:val="es-ES"/>
        </w:rPr>
      </w:pPr>
      <w:r w:rsidRPr="001F6014">
        <w:rPr>
          <w:rStyle w:val="FootnoteReference"/>
          <w:rFonts w:asciiTheme="majorBidi" w:hAnsiTheme="majorBidi" w:cstheme="majorBidi"/>
        </w:rPr>
        <w:footnoteRef/>
      </w:r>
      <w:r w:rsidRPr="001F6014">
        <w:rPr>
          <w:rFonts w:asciiTheme="majorBidi" w:hAnsiTheme="majorBidi" w:cstheme="majorBidi"/>
          <w:lang w:val="es-ES"/>
        </w:rPr>
        <w:t xml:space="preserve"> </w:t>
      </w:r>
      <w:r w:rsidR="005A5C61" w:rsidRPr="001F6014">
        <w:rPr>
          <w:rFonts w:asciiTheme="majorBidi" w:hAnsiTheme="majorBidi" w:cstheme="majorBidi"/>
          <w:lang w:val="es-ES"/>
        </w:rPr>
        <w:t xml:space="preserve">WGEID, </w:t>
      </w:r>
      <w:r w:rsidR="00380BD8" w:rsidRPr="001F6014">
        <w:rPr>
          <w:rFonts w:asciiTheme="majorBidi" w:hAnsiTheme="majorBidi" w:cstheme="majorBidi"/>
          <w:lang w:val="es-ES"/>
        </w:rPr>
        <w:t>A/HRC/36/39/Add.2 para 42.</w:t>
      </w:r>
    </w:p>
  </w:footnote>
  <w:footnote w:id="4">
    <w:p w14:paraId="4E8D6E83" w14:textId="64A65273" w:rsidR="00B36934" w:rsidRPr="001F6014" w:rsidRDefault="00B36934" w:rsidP="00B36934">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005A5C61" w:rsidRPr="001F6014">
        <w:rPr>
          <w:rFonts w:asciiTheme="majorBidi" w:hAnsiTheme="majorBidi" w:cstheme="majorBidi"/>
          <w:lang w:val="en-US"/>
        </w:rPr>
        <w:t>Ibid.</w:t>
      </w:r>
    </w:p>
  </w:footnote>
  <w:footnote w:id="5">
    <w:p w14:paraId="0FB8F0E9" w14:textId="7FFA3915" w:rsidR="00BF16A1" w:rsidRPr="001F6014" w:rsidRDefault="00BF16A1" w:rsidP="005A5C61">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005A5C61" w:rsidRPr="001F6014">
        <w:rPr>
          <w:rFonts w:asciiTheme="majorBidi" w:hAnsiTheme="majorBidi" w:cstheme="majorBidi"/>
          <w:lang w:val="en-US"/>
        </w:rPr>
        <w:t xml:space="preserve">General comment No. 36 (2018) on article 6 of the International Covenant on Civil and Political Rights, on the right to life, CCPR/C/GC/36 (30 October 2018) </w:t>
      </w:r>
      <w:r w:rsidRPr="001F6014">
        <w:rPr>
          <w:rFonts w:asciiTheme="majorBidi" w:hAnsiTheme="majorBidi" w:cstheme="majorBidi"/>
          <w:lang w:val="en-US"/>
        </w:rPr>
        <w:t>para</w:t>
      </w:r>
      <w:r w:rsidR="005A5C61" w:rsidRPr="001F6014">
        <w:rPr>
          <w:rFonts w:asciiTheme="majorBidi" w:hAnsiTheme="majorBidi" w:cstheme="majorBidi"/>
          <w:lang w:val="en-US"/>
        </w:rPr>
        <w:t>.</w:t>
      </w:r>
      <w:r w:rsidRPr="001F6014">
        <w:rPr>
          <w:rFonts w:asciiTheme="majorBidi" w:hAnsiTheme="majorBidi" w:cstheme="majorBidi"/>
          <w:lang w:val="en-US"/>
        </w:rPr>
        <w:t xml:space="preserve"> 23</w:t>
      </w:r>
      <w:r w:rsidR="005A5C61" w:rsidRPr="001F6014">
        <w:rPr>
          <w:rFonts w:asciiTheme="majorBidi" w:hAnsiTheme="majorBidi" w:cstheme="majorBidi"/>
          <w:lang w:val="en-US"/>
        </w:rPr>
        <w:t>.</w:t>
      </w:r>
    </w:p>
  </w:footnote>
  <w:footnote w:id="6">
    <w:p w14:paraId="305A3EC8" w14:textId="1FD31F22" w:rsidR="00005A59" w:rsidRPr="001F6014" w:rsidRDefault="00005A59" w:rsidP="00005A59">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Pr="001F6014">
        <w:rPr>
          <w:rFonts w:asciiTheme="majorBidi" w:hAnsiTheme="majorBidi" w:cstheme="majorBidi"/>
          <w:lang w:val="en-US"/>
        </w:rPr>
        <w:t xml:space="preserve">Special Rapporteur of the Human Rights Council on extrajudicial, </w:t>
      </w:r>
      <w:proofErr w:type="gramStart"/>
      <w:r w:rsidRPr="001F6014">
        <w:rPr>
          <w:rFonts w:asciiTheme="majorBidi" w:hAnsiTheme="majorBidi" w:cstheme="majorBidi"/>
          <w:lang w:val="en-US"/>
        </w:rPr>
        <w:t>summary</w:t>
      </w:r>
      <w:proofErr w:type="gramEnd"/>
      <w:r w:rsidRPr="001F6014">
        <w:rPr>
          <w:rFonts w:asciiTheme="majorBidi" w:hAnsiTheme="majorBidi" w:cstheme="majorBidi"/>
          <w:lang w:val="en-US"/>
        </w:rPr>
        <w:t xml:space="preserve"> or arbitrary executions, Agnes </w:t>
      </w:r>
      <w:proofErr w:type="spellStart"/>
      <w:r w:rsidRPr="001F6014">
        <w:rPr>
          <w:rFonts w:asciiTheme="majorBidi" w:hAnsiTheme="majorBidi" w:cstheme="majorBidi"/>
          <w:lang w:val="en-US"/>
        </w:rPr>
        <w:t>Callamard</w:t>
      </w:r>
      <w:proofErr w:type="spellEnd"/>
      <w:r w:rsidRPr="001F6014">
        <w:rPr>
          <w:rFonts w:asciiTheme="majorBidi" w:hAnsiTheme="majorBidi" w:cstheme="majorBidi"/>
          <w:lang w:val="en-US"/>
        </w:rPr>
        <w:t>, on “</w:t>
      </w:r>
      <w:r w:rsidRPr="001F6014">
        <w:rPr>
          <w:rFonts w:asciiTheme="majorBidi" w:hAnsiTheme="majorBidi" w:cstheme="majorBidi"/>
          <w:lang w:val="en-US"/>
        </w:rPr>
        <w:t>Unlawful death of refugees and migrants</w:t>
      </w:r>
      <w:r w:rsidRPr="001F6014">
        <w:rPr>
          <w:rFonts w:asciiTheme="majorBidi" w:hAnsiTheme="majorBidi" w:cstheme="majorBidi"/>
          <w:lang w:val="en-US"/>
        </w:rPr>
        <w:t xml:space="preserve">”, (15 August 2017) </w:t>
      </w:r>
      <w:r w:rsidRPr="001F6014">
        <w:rPr>
          <w:rFonts w:asciiTheme="majorBidi" w:hAnsiTheme="majorBidi" w:cstheme="majorBidi"/>
          <w:lang w:val="en-US"/>
        </w:rPr>
        <w:t>UN Doc A/72/335 2</w:t>
      </w:r>
      <w:r w:rsidRPr="001F6014">
        <w:rPr>
          <w:rFonts w:asciiTheme="majorBidi" w:hAnsiTheme="majorBidi" w:cstheme="majorBidi"/>
          <w:lang w:val="en-US"/>
        </w:rPr>
        <w:t>.</w:t>
      </w:r>
    </w:p>
  </w:footnote>
  <w:footnote w:id="7">
    <w:p w14:paraId="37F3485E"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ICPPED, Preamble.</w:t>
      </w:r>
    </w:p>
  </w:footnote>
  <w:footnote w:id="8">
    <w:p w14:paraId="0B2C113F"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Pr="001F6014">
        <w:rPr>
          <w:rFonts w:asciiTheme="majorBidi" w:hAnsiTheme="majorBidi" w:cstheme="majorBidi"/>
          <w:bCs/>
          <w:i/>
          <w:iCs/>
          <w:lang w:val="en-US"/>
        </w:rPr>
        <w:t xml:space="preserve">Paniagua Morales et al. v. Guatemala </w:t>
      </w:r>
      <w:r w:rsidRPr="001F6014">
        <w:rPr>
          <w:rFonts w:asciiTheme="majorBidi" w:hAnsiTheme="majorBidi" w:cstheme="majorBidi"/>
          <w:lang w:val="en-US"/>
        </w:rPr>
        <w:t>IACHR Series C No. 37 (8 March 1998) para. 173.</w:t>
      </w:r>
    </w:p>
  </w:footnote>
  <w:footnote w:id="9">
    <w:p w14:paraId="349E6239"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Pr="001F6014">
        <w:rPr>
          <w:rFonts w:asciiTheme="majorBidi" w:hAnsiTheme="majorBidi" w:cstheme="majorBidi"/>
          <w:i/>
          <w:lang w:val="en-US"/>
        </w:rPr>
        <w:t>Myrna Mack Chang</w:t>
      </w:r>
      <w:r w:rsidRPr="001F6014">
        <w:rPr>
          <w:rFonts w:asciiTheme="majorBidi" w:hAnsiTheme="majorBidi" w:cstheme="majorBidi"/>
          <w:lang w:val="en-US"/>
        </w:rPr>
        <w:t xml:space="preserve"> </w:t>
      </w:r>
      <w:r w:rsidRPr="001F6014">
        <w:rPr>
          <w:rFonts w:asciiTheme="majorBidi" w:hAnsiTheme="majorBidi" w:cstheme="majorBidi"/>
          <w:i/>
          <w:lang w:val="en-US"/>
        </w:rPr>
        <w:t>v. Guatemala</w:t>
      </w:r>
      <w:r w:rsidRPr="001F6014">
        <w:rPr>
          <w:rFonts w:asciiTheme="majorBidi" w:hAnsiTheme="majorBidi" w:cstheme="majorBidi"/>
          <w:lang w:val="en-US"/>
        </w:rPr>
        <w:t xml:space="preserve"> (Reasoned Opinion of Judge </w:t>
      </w:r>
      <w:proofErr w:type="spellStart"/>
      <w:r w:rsidRPr="001F6014">
        <w:rPr>
          <w:rFonts w:asciiTheme="majorBidi" w:hAnsiTheme="majorBidi" w:cstheme="majorBidi"/>
          <w:lang w:val="en-US"/>
        </w:rPr>
        <w:t>Cançado</w:t>
      </w:r>
      <w:proofErr w:type="spellEnd"/>
      <w:r w:rsidRPr="001F6014">
        <w:rPr>
          <w:rFonts w:asciiTheme="majorBidi" w:hAnsiTheme="majorBidi" w:cstheme="majorBidi"/>
          <w:lang w:val="en-US"/>
        </w:rPr>
        <w:t xml:space="preserve"> Trindade IACHR (25 November 2003) Series C No. 101 para. 10; See also </w:t>
      </w:r>
      <w:proofErr w:type="spellStart"/>
      <w:r w:rsidRPr="001F6014">
        <w:rPr>
          <w:rFonts w:asciiTheme="majorBidi" w:hAnsiTheme="majorBidi" w:cstheme="majorBidi"/>
          <w:lang w:val="en-US"/>
        </w:rPr>
        <w:t>Bámaca-Velásquez</w:t>
      </w:r>
      <w:proofErr w:type="spellEnd"/>
      <w:r w:rsidRPr="001F6014">
        <w:rPr>
          <w:rFonts w:asciiTheme="majorBidi" w:hAnsiTheme="majorBidi" w:cstheme="majorBidi"/>
          <w:lang w:val="en-US"/>
        </w:rPr>
        <w:t xml:space="preserve"> v. Guatemala </w:t>
      </w:r>
      <w:proofErr w:type="spellStart"/>
      <w:r w:rsidRPr="001F6014">
        <w:rPr>
          <w:rFonts w:asciiTheme="majorBidi" w:hAnsiTheme="majorBidi" w:cstheme="majorBidi"/>
          <w:lang w:val="en-US"/>
        </w:rPr>
        <w:t>IACtHR</w:t>
      </w:r>
      <w:proofErr w:type="spellEnd"/>
      <w:r w:rsidRPr="001F6014">
        <w:rPr>
          <w:rFonts w:asciiTheme="majorBidi" w:hAnsiTheme="majorBidi" w:cstheme="majorBidi"/>
          <w:lang w:val="en-US"/>
        </w:rPr>
        <w:t xml:space="preserve"> (2000), para. 211; Serrano-Cruz Sisters v. El Salvador </w:t>
      </w:r>
      <w:proofErr w:type="spellStart"/>
      <w:r w:rsidRPr="001F6014">
        <w:rPr>
          <w:rFonts w:asciiTheme="majorBidi" w:hAnsiTheme="majorBidi" w:cstheme="majorBidi"/>
          <w:lang w:val="en-US"/>
        </w:rPr>
        <w:t>IACtHR</w:t>
      </w:r>
      <w:proofErr w:type="spellEnd"/>
      <w:r w:rsidRPr="001F6014">
        <w:rPr>
          <w:rFonts w:asciiTheme="majorBidi" w:hAnsiTheme="majorBidi" w:cstheme="majorBidi"/>
          <w:lang w:val="en-US"/>
        </w:rPr>
        <w:t xml:space="preserve"> (2005), para. 60.</w:t>
      </w:r>
    </w:p>
  </w:footnote>
  <w:footnote w:id="10">
    <w:p w14:paraId="528D5250" w14:textId="3D6CD1EA" w:rsidR="00695781" w:rsidRPr="001F6014" w:rsidRDefault="00695781" w:rsidP="00695781">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See also </w:t>
      </w:r>
      <w:proofErr w:type="spellStart"/>
      <w:r w:rsidRPr="001F6014">
        <w:rPr>
          <w:rFonts w:asciiTheme="majorBidi" w:hAnsiTheme="majorBidi" w:cstheme="majorBidi"/>
          <w:lang w:val="en-US"/>
        </w:rPr>
        <w:t>Villagrán-Morales</w:t>
      </w:r>
      <w:proofErr w:type="spellEnd"/>
      <w:r w:rsidRPr="001F6014">
        <w:rPr>
          <w:rFonts w:asciiTheme="majorBidi" w:hAnsiTheme="majorBidi" w:cstheme="majorBidi"/>
          <w:lang w:val="en-US"/>
        </w:rPr>
        <w:t xml:space="preserve"> et al. (The “Street Children”) v. Guatemala IACtHR (1999), para. 139; </w:t>
      </w:r>
      <w:proofErr w:type="spellStart"/>
      <w:r w:rsidRPr="001F6014">
        <w:rPr>
          <w:rFonts w:asciiTheme="majorBidi" w:hAnsiTheme="majorBidi" w:cstheme="majorBidi"/>
          <w:lang w:val="en-US"/>
        </w:rPr>
        <w:t>Bámaca</w:t>
      </w:r>
      <w:proofErr w:type="spellEnd"/>
      <w:r w:rsidRPr="001F6014">
        <w:rPr>
          <w:rFonts w:asciiTheme="majorBidi" w:hAnsiTheme="majorBidi" w:cstheme="majorBidi"/>
          <w:lang w:val="en-US"/>
        </w:rPr>
        <w:t xml:space="preserve">- </w:t>
      </w:r>
      <w:proofErr w:type="spellStart"/>
      <w:r w:rsidRPr="001F6014">
        <w:rPr>
          <w:rFonts w:asciiTheme="majorBidi" w:hAnsiTheme="majorBidi" w:cstheme="majorBidi"/>
          <w:lang w:val="en-US"/>
        </w:rPr>
        <w:t>Velásquez</w:t>
      </w:r>
      <w:proofErr w:type="spellEnd"/>
      <w:r w:rsidRPr="001F6014">
        <w:rPr>
          <w:rFonts w:asciiTheme="majorBidi" w:hAnsiTheme="majorBidi" w:cstheme="majorBidi"/>
          <w:lang w:val="en-US"/>
        </w:rPr>
        <w:t xml:space="preserve"> v. Guatemala </w:t>
      </w:r>
      <w:proofErr w:type="spellStart"/>
      <w:r w:rsidRPr="001F6014">
        <w:rPr>
          <w:rFonts w:asciiTheme="majorBidi" w:hAnsiTheme="majorBidi" w:cstheme="majorBidi"/>
          <w:lang w:val="en-US"/>
        </w:rPr>
        <w:t>IACtHR</w:t>
      </w:r>
      <w:proofErr w:type="spellEnd"/>
      <w:r w:rsidRPr="001F6014">
        <w:rPr>
          <w:rFonts w:asciiTheme="majorBidi" w:hAnsiTheme="majorBidi" w:cstheme="majorBidi"/>
          <w:lang w:val="en-US"/>
        </w:rPr>
        <w:t xml:space="preserve"> (2000), para. 211; Serrano-Cruz Sisters v. El Salvador </w:t>
      </w:r>
      <w:proofErr w:type="spellStart"/>
      <w:r w:rsidRPr="001F6014">
        <w:rPr>
          <w:rFonts w:asciiTheme="majorBidi" w:hAnsiTheme="majorBidi" w:cstheme="majorBidi"/>
          <w:lang w:val="en-US"/>
        </w:rPr>
        <w:t>IACtHR</w:t>
      </w:r>
      <w:proofErr w:type="spellEnd"/>
      <w:r w:rsidRPr="001F6014">
        <w:rPr>
          <w:rFonts w:asciiTheme="majorBidi" w:hAnsiTheme="majorBidi" w:cstheme="majorBidi"/>
          <w:lang w:val="en-US"/>
        </w:rPr>
        <w:t xml:space="preserve"> (2005), para. 60; UN Doc CCPR/C/SR.1519 para. 44; A/HRC/45/13/Add.4, paras. 7–8 and 17.</w:t>
      </w:r>
    </w:p>
  </w:footnote>
  <w:footnote w:id="11">
    <w:p w14:paraId="3B2AF15C" w14:textId="1E9C7A08" w:rsidR="009A13C2" w:rsidRPr="001F6014" w:rsidRDefault="009A13C2" w:rsidP="00751066">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proofErr w:type="spellStart"/>
      <w:r w:rsidRPr="001F6014">
        <w:rPr>
          <w:rFonts w:asciiTheme="majorBidi" w:hAnsiTheme="majorBidi" w:cstheme="majorBidi"/>
          <w:lang w:val="en-US"/>
        </w:rPr>
        <w:t>UNCommHR</w:t>
      </w:r>
      <w:proofErr w:type="spellEnd"/>
      <w:r w:rsidRPr="001F6014">
        <w:rPr>
          <w:rFonts w:asciiTheme="majorBidi" w:hAnsiTheme="majorBidi" w:cstheme="majorBidi"/>
          <w:lang w:val="en-US"/>
        </w:rPr>
        <w:t xml:space="preserve"> ‘</w:t>
      </w:r>
      <w:r w:rsidRPr="001F6014">
        <w:rPr>
          <w:rFonts w:asciiTheme="majorBidi" w:hAnsiTheme="majorBidi" w:cstheme="majorBidi"/>
          <w:bCs/>
          <w:lang w:val="en-US"/>
        </w:rPr>
        <w:t xml:space="preserve">Report of the independent expert to update the Set of principles to combat impunity, Diane </w:t>
      </w:r>
      <w:proofErr w:type="spellStart"/>
      <w:r w:rsidRPr="001F6014">
        <w:rPr>
          <w:rFonts w:asciiTheme="majorBidi" w:hAnsiTheme="majorBidi" w:cstheme="majorBidi"/>
          <w:bCs/>
          <w:lang w:val="en-US"/>
        </w:rPr>
        <w:t>Orentlicher</w:t>
      </w:r>
      <w:proofErr w:type="spellEnd"/>
      <w:r w:rsidRPr="001F6014">
        <w:rPr>
          <w:rFonts w:asciiTheme="majorBidi" w:hAnsiTheme="majorBidi" w:cstheme="majorBidi"/>
          <w:bCs/>
          <w:lang w:val="en-US"/>
        </w:rPr>
        <w:t>’</w:t>
      </w:r>
      <w:r w:rsidRPr="001F6014">
        <w:rPr>
          <w:rFonts w:asciiTheme="majorBidi" w:hAnsiTheme="majorBidi" w:cstheme="majorBidi"/>
          <w:b/>
          <w:bCs/>
          <w:lang w:val="en-US"/>
        </w:rPr>
        <w:t xml:space="preserve"> </w:t>
      </w:r>
      <w:r w:rsidRPr="001F6014">
        <w:rPr>
          <w:rFonts w:asciiTheme="majorBidi" w:hAnsiTheme="majorBidi" w:cstheme="majorBidi"/>
          <w:lang w:val="en-US"/>
        </w:rPr>
        <w:t>UN Doc. E/CN.4/2005/102/Add.1 (5 February 2005) ‘</w:t>
      </w:r>
      <w:r w:rsidRPr="001F6014">
        <w:rPr>
          <w:rFonts w:asciiTheme="majorBidi" w:hAnsiTheme="majorBidi" w:cstheme="majorBidi"/>
          <w:bCs/>
          <w:lang w:val="en-US"/>
        </w:rPr>
        <w:t xml:space="preserve">Report of the independent expert to update the Set of principles to combat impunity, Diane </w:t>
      </w:r>
      <w:proofErr w:type="spellStart"/>
      <w:r w:rsidRPr="001F6014">
        <w:rPr>
          <w:rFonts w:asciiTheme="majorBidi" w:hAnsiTheme="majorBidi" w:cstheme="majorBidi"/>
          <w:bCs/>
          <w:lang w:val="en-US"/>
        </w:rPr>
        <w:t>Orentlicher</w:t>
      </w:r>
      <w:proofErr w:type="spellEnd"/>
      <w:r w:rsidRPr="001F6014">
        <w:rPr>
          <w:rFonts w:asciiTheme="majorBidi" w:hAnsiTheme="majorBidi" w:cstheme="majorBidi"/>
          <w:bCs/>
          <w:lang w:val="en-US"/>
        </w:rPr>
        <w:t>’</w:t>
      </w:r>
      <w:r w:rsidRPr="001F6014">
        <w:rPr>
          <w:rFonts w:asciiTheme="majorBidi" w:hAnsiTheme="majorBidi" w:cstheme="majorBidi"/>
          <w:b/>
          <w:bCs/>
          <w:lang w:val="en-US"/>
        </w:rPr>
        <w:t xml:space="preserve"> </w:t>
      </w:r>
      <w:r w:rsidRPr="001F6014">
        <w:rPr>
          <w:rFonts w:asciiTheme="majorBidi" w:hAnsiTheme="majorBidi" w:cstheme="majorBidi"/>
          <w:lang w:val="en-US"/>
        </w:rPr>
        <w:t xml:space="preserve">(5 February 2005) UN Doc E/CN.4/2005/102/Add.1; UNHRC Res 7/12 (27 March 2008) UN Doc A/HRC/Res/7/12 §4 (d); § 5(c); § 6 (a) (d) (e). </w:t>
      </w:r>
      <w:r w:rsidR="005A5C61" w:rsidRPr="001F6014">
        <w:rPr>
          <w:rFonts w:asciiTheme="majorBidi" w:hAnsiTheme="majorBidi" w:cstheme="majorBidi"/>
          <w:lang w:val="en-US"/>
        </w:rPr>
        <w:t>U</w:t>
      </w:r>
      <w:r w:rsidR="00751066" w:rsidRPr="001F6014">
        <w:rPr>
          <w:rFonts w:asciiTheme="majorBidi" w:hAnsiTheme="majorBidi" w:cstheme="majorBidi"/>
          <w:lang w:val="en-US"/>
        </w:rPr>
        <w:t>nder Article 31(2) of the 1969 Vienna Convention on the Law of Treaties, an international convention’s preamble sets out the possible dimensions of interpretation of its provisions.</w:t>
      </w:r>
    </w:p>
  </w:footnote>
  <w:footnote w:id="12">
    <w:p w14:paraId="797A294A" w14:textId="01E54641" w:rsidR="009A13C2" w:rsidRPr="001F6014" w:rsidRDefault="009A13C2" w:rsidP="009A13C2">
      <w:pPr>
        <w:pStyle w:val="NormalWeb"/>
        <w:rPr>
          <w:rFonts w:asciiTheme="majorBidi" w:eastAsia="Times New Roman" w:hAnsiTheme="majorBidi" w:cstheme="majorBidi"/>
          <w:sz w:val="20"/>
          <w:szCs w:val="20"/>
        </w:rPr>
      </w:pPr>
      <w:r w:rsidRPr="001F6014">
        <w:rPr>
          <w:rStyle w:val="FootnoteReference"/>
          <w:rFonts w:asciiTheme="majorBidi" w:hAnsiTheme="majorBidi" w:cstheme="majorBidi"/>
          <w:sz w:val="20"/>
          <w:szCs w:val="20"/>
        </w:rPr>
        <w:footnoteRef/>
      </w:r>
      <w:r w:rsidRPr="001F6014">
        <w:rPr>
          <w:rFonts w:asciiTheme="majorBidi" w:hAnsiTheme="majorBidi" w:cstheme="majorBidi"/>
          <w:sz w:val="20"/>
          <w:szCs w:val="20"/>
        </w:rPr>
        <w:t xml:space="preserve"> FAJ against Greece, para</w:t>
      </w:r>
      <w:r w:rsidR="005A5C61" w:rsidRPr="001F6014">
        <w:rPr>
          <w:rFonts w:asciiTheme="majorBidi" w:hAnsiTheme="majorBidi" w:cstheme="majorBidi"/>
          <w:sz w:val="20"/>
          <w:szCs w:val="20"/>
        </w:rPr>
        <w:t>.</w:t>
      </w:r>
      <w:r w:rsidRPr="001F6014">
        <w:rPr>
          <w:rFonts w:asciiTheme="majorBidi" w:hAnsiTheme="majorBidi" w:cstheme="majorBidi"/>
          <w:sz w:val="20"/>
          <w:szCs w:val="20"/>
        </w:rPr>
        <w:t xml:space="preserve"> 16.</w:t>
      </w:r>
    </w:p>
  </w:footnote>
  <w:footnote w:id="13">
    <w:p w14:paraId="5E8EF80A" w14:textId="53C4EE86"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Inter-American Commission, “Juridical Condition and Rights of Undocumented Migrants,” advisory opinion OC-18/03 of September 17, 2003, requested by the United Mexican States, (hereafter advisory opinion on migrants) para</w:t>
      </w:r>
      <w:r w:rsidR="005A5C61" w:rsidRPr="001F6014">
        <w:rPr>
          <w:rFonts w:asciiTheme="majorBidi" w:hAnsiTheme="majorBidi" w:cstheme="majorBidi"/>
          <w:lang w:val="en-US"/>
        </w:rPr>
        <w:t>s</w:t>
      </w:r>
      <w:r w:rsidRPr="001F6014">
        <w:rPr>
          <w:rFonts w:asciiTheme="majorBidi" w:hAnsiTheme="majorBidi" w:cstheme="majorBidi"/>
          <w:lang w:val="en-US"/>
        </w:rPr>
        <w:t>. 112-13.</w:t>
      </w:r>
    </w:p>
  </w:footnote>
  <w:footnote w:id="14">
    <w:p w14:paraId="2DCE70B9" w14:textId="03E4205A"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Case of M.S.S. v. Belgium and Greece, </w:t>
      </w:r>
      <w:r w:rsidR="00537D0B" w:rsidRPr="001F6014">
        <w:rPr>
          <w:rFonts w:asciiTheme="majorBidi" w:hAnsiTheme="majorBidi" w:cstheme="majorBidi"/>
          <w:lang w:val="en-US"/>
        </w:rPr>
        <w:t xml:space="preserve">European Court of Human Rights, </w:t>
      </w:r>
      <w:r w:rsidRPr="001F6014">
        <w:rPr>
          <w:rFonts w:asciiTheme="majorBidi" w:hAnsiTheme="majorBidi" w:cstheme="majorBidi"/>
          <w:lang w:val="en-US"/>
        </w:rPr>
        <w:t>no. 30696/09, judgment 21 January 2011, para 232.</w:t>
      </w:r>
    </w:p>
  </w:footnote>
  <w:footnote w:id="15">
    <w:p w14:paraId="6E38D6F8" w14:textId="5658C5DD"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See A.H. against Serbia and North Macedonia and A.H. against Serbia, </w:t>
      </w:r>
      <w:r w:rsidR="00537D0B" w:rsidRPr="001F6014">
        <w:rPr>
          <w:rFonts w:asciiTheme="majorBidi" w:hAnsiTheme="majorBidi" w:cstheme="majorBidi"/>
          <w:lang w:val="en-US"/>
        </w:rPr>
        <w:t xml:space="preserve">European Court of Human Rights, </w:t>
      </w:r>
      <w:r w:rsidRPr="001F6014">
        <w:rPr>
          <w:rFonts w:asciiTheme="majorBidi" w:hAnsiTheme="majorBidi" w:cstheme="majorBidi"/>
          <w:lang w:val="en-US"/>
        </w:rPr>
        <w:t>nos. 60417/16 and 79749/16 (judgment pending).</w:t>
      </w:r>
    </w:p>
  </w:footnote>
  <w:footnote w:id="16">
    <w:p w14:paraId="16DE37F2" w14:textId="1300FB91"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Hirsi </w:t>
      </w:r>
      <w:proofErr w:type="spellStart"/>
      <w:r w:rsidRPr="001F6014">
        <w:rPr>
          <w:rFonts w:asciiTheme="majorBidi" w:hAnsiTheme="majorBidi" w:cstheme="majorBidi"/>
          <w:lang w:val="en-US"/>
        </w:rPr>
        <w:t>Jamaa</w:t>
      </w:r>
      <w:proofErr w:type="spellEnd"/>
      <w:r w:rsidRPr="001F6014">
        <w:rPr>
          <w:rFonts w:asciiTheme="majorBidi" w:hAnsiTheme="majorBidi" w:cstheme="majorBidi"/>
          <w:lang w:val="en-US"/>
        </w:rPr>
        <w:t xml:space="preserve"> and Others, </w:t>
      </w:r>
      <w:r w:rsidR="00537D0B" w:rsidRPr="001F6014">
        <w:rPr>
          <w:rFonts w:asciiTheme="majorBidi" w:hAnsiTheme="majorBidi" w:cstheme="majorBidi"/>
          <w:lang w:val="en-US"/>
        </w:rPr>
        <w:t xml:space="preserve">European Court of Human Rights, </w:t>
      </w:r>
      <w:r w:rsidRPr="001F6014">
        <w:rPr>
          <w:rFonts w:asciiTheme="majorBidi" w:hAnsiTheme="majorBidi" w:cstheme="majorBidi"/>
          <w:lang w:val="en-US"/>
        </w:rPr>
        <w:t xml:space="preserve">no. 27765/09, </w:t>
      </w:r>
      <w:r w:rsidR="00537D0B" w:rsidRPr="001F6014">
        <w:rPr>
          <w:rFonts w:asciiTheme="majorBidi" w:hAnsiTheme="majorBidi" w:cstheme="majorBidi"/>
          <w:lang w:val="en-US"/>
        </w:rPr>
        <w:t xml:space="preserve">23 </w:t>
      </w:r>
      <w:r w:rsidRPr="001F6014">
        <w:rPr>
          <w:rFonts w:asciiTheme="majorBidi" w:hAnsiTheme="majorBidi" w:cstheme="majorBidi"/>
          <w:lang w:val="en-US"/>
        </w:rPr>
        <w:t>February 2012.</w:t>
      </w:r>
    </w:p>
  </w:footnote>
  <w:footnote w:id="17">
    <w:p w14:paraId="661500B3"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Human Rights Committee, </w:t>
      </w:r>
      <w:proofErr w:type="spellStart"/>
      <w:r w:rsidRPr="001F6014">
        <w:rPr>
          <w:rFonts w:asciiTheme="majorBidi" w:hAnsiTheme="majorBidi" w:cstheme="majorBidi"/>
          <w:i/>
          <w:iCs/>
          <w:lang w:val="en-US"/>
        </w:rPr>
        <w:t>Boucherf</w:t>
      </w:r>
      <w:proofErr w:type="spellEnd"/>
      <w:r w:rsidRPr="001F6014">
        <w:rPr>
          <w:rFonts w:asciiTheme="majorBidi" w:hAnsiTheme="majorBidi" w:cstheme="majorBidi"/>
          <w:i/>
          <w:iCs/>
          <w:lang w:val="en-US"/>
        </w:rPr>
        <w:t xml:space="preserve"> v Algeria</w:t>
      </w:r>
      <w:r w:rsidRPr="001F6014">
        <w:rPr>
          <w:rFonts w:asciiTheme="majorBidi" w:hAnsiTheme="majorBidi" w:cstheme="majorBidi"/>
          <w:lang w:val="en-US"/>
        </w:rPr>
        <w:t>, Communication No. 1196/2003, 30 March 2006, para 9.2.</w:t>
      </w:r>
    </w:p>
  </w:footnote>
  <w:footnote w:id="18">
    <w:p w14:paraId="4EC8BF4C" w14:textId="27BFA745"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FAJ against Greece</w:t>
      </w:r>
      <w:r w:rsidR="00537D0B" w:rsidRPr="001F6014">
        <w:rPr>
          <w:rFonts w:asciiTheme="majorBidi" w:hAnsiTheme="majorBidi" w:cstheme="majorBidi"/>
          <w:lang w:val="en-US"/>
        </w:rPr>
        <w:t>,</w:t>
      </w:r>
      <w:r w:rsidRPr="001F6014">
        <w:rPr>
          <w:rFonts w:asciiTheme="majorBidi" w:hAnsiTheme="majorBidi" w:cstheme="majorBidi"/>
          <w:lang w:val="en-US"/>
        </w:rPr>
        <w:t xml:space="preserve"> para 147. </w:t>
      </w:r>
    </w:p>
  </w:footnote>
  <w:footnote w:id="19">
    <w:p w14:paraId="065FB283"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Pr="001F6014">
        <w:rPr>
          <w:rFonts w:asciiTheme="majorBidi" w:hAnsiTheme="majorBidi" w:cstheme="majorBidi"/>
          <w:bCs/>
          <w:i/>
          <w:lang w:val="en-US"/>
        </w:rPr>
        <w:t xml:space="preserve">La </w:t>
      </w:r>
      <w:proofErr w:type="spellStart"/>
      <w:r w:rsidRPr="001F6014">
        <w:rPr>
          <w:rFonts w:asciiTheme="majorBidi" w:hAnsiTheme="majorBidi" w:cstheme="majorBidi"/>
          <w:bCs/>
          <w:i/>
          <w:lang w:val="en-US"/>
        </w:rPr>
        <w:t>Cantuta</w:t>
      </w:r>
      <w:proofErr w:type="spellEnd"/>
      <w:r w:rsidRPr="001F6014">
        <w:rPr>
          <w:rFonts w:asciiTheme="majorBidi" w:hAnsiTheme="majorBidi" w:cstheme="majorBidi"/>
          <w:bCs/>
          <w:i/>
          <w:lang w:val="en-US"/>
        </w:rPr>
        <w:t xml:space="preserve"> v. Peru</w:t>
      </w:r>
      <w:r w:rsidRPr="001F6014">
        <w:rPr>
          <w:rFonts w:asciiTheme="majorBidi" w:hAnsiTheme="majorBidi" w:cstheme="majorBidi"/>
          <w:bCs/>
          <w:lang w:val="en-US"/>
        </w:rPr>
        <w:t xml:space="preserve"> (Merits, Reparations, and Costs) IACHR Series C No. 162 (9 November 2006), para. 92.</w:t>
      </w:r>
    </w:p>
  </w:footnote>
  <w:footnote w:id="20">
    <w:p w14:paraId="204FEE49"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Pr="001F6014">
        <w:rPr>
          <w:rFonts w:asciiTheme="majorBidi" w:hAnsiTheme="majorBidi" w:cstheme="majorBidi"/>
          <w:bCs/>
          <w:i/>
          <w:lang w:val="en-US"/>
        </w:rPr>
        <w:t xml:space="preserve">La </w:t>
      </w:r>
      <w:proofErr w:type="spellStart"/>
      <w:r w:rsidRPr="001F6014">
        <w:rPr>
          <w:rFonts w:asciiTheme="majorBidi" w:hAnsiTheme="majorBidi" w:cstheme="majorBidi"/>
          <w:bCs/>
          <w:i/>
          <w:lang w:val="en-US"/>
        </w:rPr>
        <w:t>Cantuta</w:t>
      </w:r>
      <w:proofErr w:type="spellEnd"/>
      <w:r w:rsidRPr="001F6014">
        <w:rPr>
          <w:rFonts w:asciiTheme="majorBidi" w:hAnsiTheme="majorBidi" w:cstheme="majorBidi"/>
          <w:bCs/>
          <w:i/>
          <w:lang w:val="en-US"/>
        </w:rPr>
        <w:t xml:space="preserve"> v. Peru, </w:t>
      </w:r>
      <w:r w:rsidRPr="001F6014">
        <w:rPr>
          <w:rFonts w:asciiTheme="majorBidi" w:hAnsiTheme="majorBidi" w:cstheme="majorBidi"/>
          <w:bCs/>
          <w:iCs/>
          <w:lang w:val="en-US"/>
        </w:rPr>
        <w:t>para. 160.</w:t>
      </w:r>
    </w:p>
  </w:footnote>
  <w:footnote w:id="21">
    <w:p w14:paraId="35751DD1"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Pr="001F6014">
        <w:rPr>
          <w:rFonts w:asciiTheme="majorBidi" w:hAnsiTheme="majorBidi" w:cstheme="majorBidi"/>
          <w:bCs/>
          <w:i/>
          <w:lang w:val="en-US"/>
        </w:rPr>
        <w:t xml:space="preserve">La </w:t>
      </w:r>
      <w:proofErr w:type="spellStart"/>
      <w:r w:rsidRPr="001F6014">
        <w:rPr>
          <w:rFonts w:asciiTheme="majorBidi" w:hAnsiTheme="majorBidi" w:cstheme="majorBidi"/>
          <w:bCs/>
          <w:i/>
          <w:lang w:val="en-US"/>
        </w:rPr>
        <w:t>Cantuta</w:t>
      </w:r>
      <w:proofErr w:type="spellEnd"/>
      <w:r w:rsidRPr="001F6014">
        <w:rPr>
          <w:rFonts w:asciiTheme="majorBidi" w:hAnsiTheme="majorBidi" w:cstheme="majorBidi"/>
          <w:bCs/>
          <w:i/>
          <w:lang w:val="en-US"/>
        </w:rPr>
        <w:t xml:space="preserve"> v. Peru, </w:t>
      </w:r>
      <w:r w:rsidRPr="001F6014">
        <w:rPr>
          <w:rFonts w:asciiTheme="majorBidi" w:hAnsiTheme="majorBidi" w:cstheme="majorBidi"/>
          <w:bCs/>
          <w:iCs/>
          <w:lang w:val="en-US"/>
        </w:rPr>
        <w:t>para. 230-35.</w:t>
      </w:r>
    </w:p>
  </w:footnote>
  <w:footnote w:id="22">
    <w:p w14:paraId="6905B6B6" w14:textId="77777777" w:rsidR="009A13C2" w:rsidRPr="001F6014" w:rsidRDefault="009A13C2" w:rsidP="009A13C2">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Pr="001F6014">
        <w:rPr>
          <w:rFonts w:asciiTheme="majorBidi" w:hAnsiTheme="majorBidi" w:cstheme="majorBidi"/>
          <w:bCs/>
          <w:i/>
          <w:lang w:val="en-US"/>
        </w:rPr>
        <w:t xml:space="preserve">La </w:t>
      </w:r>
      <w:proofErr w:type="spellStart"/>
      <w:r w:rsidRPr="001F6014">
        <w:rPr>
          <w:rFonts w:asciiTheme="majorBidi" w:hAnsiTheme="majorBidi" w:cstheme="majorBidi"/>
          <w:bCs/>
          <w:i/>
          <w:lang w:val="en-US"/>
        </w:rPr>
        <w:t>Cantuta</w:t>
      </w:r>
      <w:proofErr w:type="spellEnd"/>
      <w:r w:rsidRPr="001F6014">
        <w:rPr>
          <w:rFonts w:asciiTheme="majorBidi" w:hAnsiTheme="majorBidi" w:cstheme="majorBidi"/>
          <w:bCs/>
          <w:i/>
          <w:lang w:val="en-US"/>
        </w:rPr>
        <w:t xml:space="preserve"> v. Peru, </w:t>
      </w:r>
      <w:r w:rsidRPr="001F6014">
        <w:rPr>
          <w:rFonts w:asciiTheme="majorBidi" w:hAnsiTheme="majorBidi" w:cstheme="majorBidi"/>
          <w:bCs/>
          <w:iCs/>
          <w:lang w:val="en-US"/>
        </w:rPr>
        <w:t>para. 116.</w:t>
      </w:r>
    </w:p>
  </w:footnote>
  <w:footnote w:id="23">
    <w:p w14:paraId="1B3F5184" w14:textId="336834F6" w:rsidR="009A13C2" w:rsidRPr="001F6014" w:rsidRDefault="009A13C2" w:rsidP="0069129F">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0069129F" w:rsidRPr="001F6014">
        <w:rPr>
          <w:rFonts w:asciiTheme="majorBidi" w:hAnsiTheme="majorBidi" w:cstheme="majorBidi"/>
          <w:lang w:val="en-US"/>
        </w:rPr>
        <w:t>, Case of Osman v. The United Kingdom</w:t>
      </w:r>
      <w:r w:rsidRPr="001F6014">
        <w:rPr>
          <w:rFonts w:asciiTheme="majorBidi" w:hAnsiTheme="majorBidi" w:cstheme="majorBidi"/>
          <w:lang w:val="en-US"/>
        </w:rPr>
        <w:t xml:space="preserve">, </w:t>
      </w:r>
      <w:r w:rsidR="00537D0B" w:rsidRPr="001F6014">
        <w:rPr>
          <w:rFonts w:asciiTheme="majorBidi" w:hAnsiTheme="majorBidi" w:cstheme="majorBidi"/>
          <w:lang w:val="en-US"/>
        </w:rPr>
        <w:t>European Court of Human Rights</w:t>
      </w:r>
      <w:r w:rsidR="0069129F" w:rsidRPr="001F6014">
        <w:rPr>
          <w:rFonts w:asciiTheme="majorBidi" w:hAnsiTheme="majorBidi" w:cstheme="majorBidi"/>
          <w:lang w:val="en-US"/>
        </w:rPr>
        <w:t>, No. 23452/94, Judgment of October 28, 1998, paras. 115 and 116.</w:t>
      </w:r>
    </w:p>
  </w:footnote>
  <w:footnote w:id="24">
    <w:p w14:paraId="71A84361" w14:textId="44EDD617" w:rsidR="00310698" w:rsidRPr="001F6014" w:rsidRDefault="00310698" w:rsidP="00537D0B">
      <w:pPr>
        <w:pStyle w:val="FootnoteText"/>
        <w:rPr>
          <w:rFonts w:asciiTheme="majorBidi" w:hAnsiTheme="majorBidi" w:cstheme="majorBidi"/>
          <w:lang w:val="es-E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El-</w:t>
      </w:r>
      <w:proofErr w:type="spellStart"/>
      <w:r w:rsidRPr="001F6014">
        <w:rPr>
          <w:rFonts w:asciiTheme="majorBidi" w:hAnsiTheme="majorBidi" w:cstheme="majorBidi"/>
          <w:lang w:val="en-US"/>
        </w:rPr>
        <w:t>Masri</w:t>
      </w:r>
      <w:proofErr w:type="spellEnd"/>
      <w:r w:rsidRPr="001F6014">
        <w:rPr>
          <w:rFonts w:asciiTheme="majorBidi" w:hAnsiTheme="majorBidi" w:cstheme="majorBidi"/>
          <w:lang w:val="en-US"/>
        </w:rPr>
        <w:t xml:space="preserve"> v. the former Yugoslav Republic of Macedonia [GC],</w:t>
      </w:r>
      <w:r w:rsidR="00537D0B" w:rsidRPr="001F6014">
        <w:rPr>
          <w:rFonts w:asciiTheme="majorBidi" w:hAnsiTheme="majorBidi" w:cstheme="majorBidi"/>
          <w:lang w:val="en-US"/>
        </w:rPr>
        <w:t xml:space="preserve"> European Court of Human </w:t>
      </w:r>
      <w:proofErr w:type="gramStart"/>
      <w:r w:rsidR="00537D0B" w:rsidRPr="001F6014">
        <w:rPr>
          <w:rFonts w:asciiTheme="majorBidi" w:hAnsiTheme="majorBidi" w:cstheme="majorBidi"/>
          <w:lang w:val="en-US"/>
        </w:rPr>
        <w:t xml:space="preserve">Rights, </w:t>
      </w:r>
      <w:r w:rsidRPr="001F6014">
        <w:rPr>
          <w:rFonts w:asciiTheme="majorBidi" w:hAnsiTheme="majorBidi" w:cstheme="majorBidi"/>
          <w:lang w:val="en-US"/>
        </w:rPr>
        <w:t xml:space="preserve"> no.</w:t>
      </w:r>
      <w:proofErr w:type="gramEnd"/>
      <w:r w:rsidRPr="001F6014">
        <w:rPr>
          <w:rFonts w:asciiTheme="majorBidi" w:hAnsiTheme="majorBidi" w:cstheme="majorBidi"/>
          <w:lang w:val="en-US"/>
        </w:rPr>
        <w:t xml:space="preserve"> 39630/09, 13 December 2012, para. </w:t>
      </w:r>
      <w:r w:rsidRPr="001F6014">
        <w:rPr>
          <w:rFonts w:asciiTheme="majorBidi" w:hAnsiTheme="majorBidi" w:cstheme="majorBidi"/>
          <w:lang w:val="es-ES"/>
        </w:rPr>
        <w:t>206.</w:t>
      </w:r>
    </w:p>
  </w:footnote>
  <w:footnote w:id="25">
    <w:p w14:paraId="07B40F9A" w14:textId="73FC65A0" w:rsidR="00310698" w:rsidRPr="001F6014" w:rsidRDefault="00310698" w:rsidP="00310698">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proofErr w:type="spellStart"/>
      <w:r w:rsidR="0069129F" w:rsidRPr="001F6014">
        <w:rPr>
          <w:rFonts w:asciiTheme="majorBidi" w:hAnsiTheme="majorBidi" w:cstheme="majorBidi"/>
          <w:i/>
          <w:iCs/>
          <w:lang w:val="en-US"/>
        </w:rPr>
        <w:t>González</w:t>
      </w:r>
      <w:proofErr w:type="spellEnd"/>
      <w:r w:rsidR="0069129F" w:rsidRPr="001F6014">
        <w:rPr>
          <w:rFonts w:asciiTheme="majorBidi" w:hAnsiTheme="majorBidi" w:cstheme="majorBidi"/>
          <w:i/>
          <w:iCs/>
          <w:lang w:val="en-US"/>
        </w:rPr>
        <w:t xml:space="preserve"> et al (‘Cotton Field’) v. Mexico </w:t>
      </w:r>
      <w:r w:rsidR="0069129F" w:rsidRPr="001F6014">
        <w:rPr>
          <w:rFonts w:asciiTheme="majorBidi" w:hAnsiTheme="majorBidi" w:cstheme="majorBidi"/>
          <w:lang w:val="en-US"/>
        </w:rPr>
        <w:t xml:space="preserve">(preliminary objection, merits, </w:t>
      </w:r>
      <w:proofErr w:type="gramStart"/>
      <w:r w:rsidR="0069129F" w:rsidRPr="001F6014">
        <w:rPr>
          <w:rFonts w:asciiTheme="majorBidi" w:hAnsiTheme="majorBidi" w:cstheme="majorBidi"/>
          <w:lang w:val="en-US"/>
        </w:rPr>
        <w:t>reparations</w:t>
      </w:r>
      <w:proofErr w:type="gramEnd"/>
      <w:r w:rsidR="0069129F" w:rsidRPr="001F6014">
        <w:rPr>
          <w:rFonts w:asciiTheme="majorBidi" w:hAnsiTheme="majorBidi" w:cstheme="majorBidi"/>
          <w:lang w:val="en-US"/>
        </w:rPr>
        <w:t xml:space="preserve"> and costs) IACHR Series C No. 205 (16 November 2009), </w:t>
      </w:r>
      <w:r w:rsidRPr="001F6014">
        <w:rPr>
          <w:rFonts w:asciiTheme="majorBidi" w:hAnsiTheme="majorBidi" w:cstheme="majorBidi"/>
          <w:lang w:val="en-US"/>
        </w:rPr>
        <w:t>para. 273.</w:t>
      </w:r>
    </w:p>
  </w:footnote>
  <w:footnote w:id="26">
    <w:p w14:paraId="2EDCBB6C" w14:textId="0169FFFB" w:rsidR="003014EA" w:rsidRPr="001F6014" w:rsidRDefault="003014EA" w:rsidP="00215B2C">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See</w:t>
      </w:r>
      <w:r w:rsidR="0069129F" w:rsidRPr="001F6014">
        <w:rPr>
          <w:rFonts w:asciiTheme="majorBidi" w:hAnsiTheme="majorBidi" w:cstheme="majorBidi"/>
          <w:lang w:val="en-US"/>
        </w:rPr>
        <w:t xml:space="preserve"> Case of</w:t>
      </w:r>
      <w:r w:rsidR="00F13B39" w:rsidRPr="001F6014">
        <w:rPr>
          <w:rFonts w:asciiTheme="majorBidi" w:hAnsiTheme="majorBidi" w:cstheme="majorBidi"/>
          <w:lang w:val="en-US"/>
        </w:rPr>
        <w:t xml:space="preserve"> </w:t>
      </w:r>
      <w:proofErr w:type="spellStart"/>
      <w:r w:rsidR="00F13B39" w:rsidRPr="001F6014">
        <w:rPr>
          <w:rFonts w:asciiTheme="majorBidi" w:hAnsiTheme="majorBidi" w:cstheme="majorBidi"/>
          <w:lang w:val="en-US"/>
        </w:rPr>
        <w:t>Budayeva</w:t>
      </w:r>
      <w:proofErr w:type="spellEnd"/>
      <w:r w:rsidR="00F13B39" w:rsidRPr="001F6014">
        <w:rPr>
          <w:rFonts w:asciiTheme="majorBidi" w:hAnsiTheme="majorBidi" w:cstheme="majorBidi"/>
          <w:lang w:val="en-US"/>
        </w:rPr>
        <w:t xml:space="preserve"> and others v. Russia, (Judgment)</w:t>
      </w:r>
      <w:r w:rsidR="0069129F" w:rsidRPr="001F6014">
        <w:rPr>
          <w:rFonts w:asciiTheme="majorBidi" w:hAnsiTheme="majorBidi" w:cstheme="majorBidi"/>
          <w:lang w:val="en-US"/>
        </w:rPr>
        <w:t>, European Court of Human Rights,</w:t>
      </w:r>
      <w:r w:rsidR="00F13B39" w:rsidRPr="001F6014">
        <w:rPr>
          <w:rFonts w:asciiTheme="majorBidi" w:hAnsiTheme="majorBidi" w:cstheme="majorBidi"/>
          <w:lang w:val="en-US"/>
        </w:rPr>
        <w:t xml:space="preserve"> App. No. 15339/02, (20 March 2008), para. 24; </w:t>
      </w:r>
      <w:r w:rsidR="0069129F" w:rsidRPr="001F6014">
        <w:rPr>
          <w:rFonts w:asciiTheme="majorBidi" w:hAnsiTheme="majorBidi" w:cstheme="majorBidi"/>
          <w:lang w:val="en-US"/>
        </w:rPr>
        <w:t xml:space="preserve">Case of </w:t>
      </w:r>
      <w:proofErr w:type="spellStart"/>
      <w:r w:rsidR="00F13B39" w:rsidRPr="001F6014">
        <w:rPr>
          <w:rFonts w:asciiTheme="majorBidi" w:hAnsiTheme="majorBidi" w:cstheme="majorBidi"/>
          <w:lang w:val="en-US"/>
        </w:rPr>
        <w:t>Öneryildiz</w:t>
      </w:r>
      <w:proofErr w:type="spellEnd"/>
      <w:r w:rsidR="00F13B39" w:rsidRPr="001F6014">
        <w:rPr>
          <w:rFonts w:asciiTheme="majorBidi" w:hAnsiTheme="majorBidi" w:cstheme="majorBidi"/>
          <w:lang w:val="en-US"/>
        </w:rPr>
        <w:t xml:space="preserve"> v. Turkey (Judgment)</w:t>
      </w:r>
      <w:r w:rsidR="0069129F" w:rsidRPr="001F6014">
        <w:rPr>
          <w:rFonts w:asciiTheme="majorBidi" w:hAnsiTheme="majorBidi" w:cstheme="majorBidi"/>
          <w:lang w:val="en-US"/>
        </w:rPr>
        <w:t xml:space="preserve">, European Court of Human Rights, </w:t>
      </w:r>
      <w:r w:rsidR="00F13B39" w:rsidRPr="001F6014">
        <w:rPr>
          <w:rFonts w:asciiTheme="majorBidi" w:hAnsiTheme="majorBidi" w:cstheme="majorBidi"/>
          <w:lang w:val="en-US"/>
        </w:rPr>
        <w:t>App. No. 48939/99 (30 November 2004) para. 98</w:t>
      </w:r>
      <w:r w:rsidR="0069129F" w:rsidRPr="001F6014">
        <w:rPr>
          <w:rFonts w:asciiTheme="majorBidi" w:hAnsiTheme="majorBidi" w:cstheme="majorBidi"/>
          <w:lang w:val="en-US"/>
        </w:rPr>
        <w:t xml:space="preserve">. See also </w:t>
      </w:r>
      <w:r w:rsidR="00F13B39" w:rsidRPr="001F6014">
        <w:rPr>
          <w:rFonts w:asciiTheme="majorBidi" w:hAnsiTheme="majorBidi" w:cstheme="majorBidi"/>
          <w:lang w:val="en-US"/>
        </w:rPr>
        <w:t>Case of the Workers of the Fireworks Factory in Santo Antônio de Jesus and their families v. Brazil</w:t>
      </w:r>
      <w:r w:rsidR="00215B2C" w:rsidRPr="001F6014">
        <w:rPr>
          <w:rFonts w:asciiTheme="majorBidi" w:hAnsiTheme="majorBidi" w:cstheme="majorBidi"/>
          <w:lang w:val="en-US"/>
        </w:rPr>
        <w:t>, IACHR Series C No. 407 (21 June 2021) para. 138</w:t>
      </w:r>
      <w:r w:rsidR="00F13B39" w:rsidRPr="001F6014">
        <w:rPr>
          <w:rFonts w:asciiTheme="majorBidi" w:hAnsiTheme="majorBidi" w:cstheme="majorBidi"/>
          <w:lang w:val="en-US"/>
        </w:rPr>
        <w:t xml:space="preserve">; Case of the Hacienda </w:t>
      </w:r>
      <w:proofErr w:type="spellStart"/>
      <w:r w:rsidR="00F13B39" w:rsidRPr="001F6014">
        <w:rPr>
          <w:rFonts w:asciiTheme="majorBidi" w:hAnsiTheme="majorBidi" w:cstheme="majorBidi"/>
          <w:lang w:val="en-US"/>
        </w:rPr>
        <w:t>Brasil</w:t>
      </w:r>
      <w:proofErr w:type="spellEnd"/>
      <w:r w:rsidR="00F13B39" w:rsidRPr="001F6014">
        <w:rPr>
          <w:rFonts w:asciiTheme="majorBidi" w:hAnsiTheme="majorBidi" w:cstheme="majorBidi"/>
          <w:lang w:val="en-US"/>
        </w:rPr>
        <w:t xml:space="preserve"> Verde Workers v. Brazi</w:t>
      </w:r>
      <w:r w:rsidR="00215B2C" w:rsidRPr="001F6014">
        <w:rPr>
          <w:rFonts w:asciiTheme="majorBidi" w:hAnsiTheme="majorBidi" w:cstheme="majorBidi"/>
          <w:lang w:val="en-US"/>
        </w:rPr>
        <w:t xml:space="preserve">l, IACHR Series C No. 318 </w:t>
      </w:r>
      <w:r w:rsidR="001929B2" w:rsidRPr="001F6014">
        <w:rPr>
          <w:rFonts w:asciiTheme="majorBidi" w:hAnsiTheme="majorBidi" w:cstheme="majorBidi"/>
          <w:lang w:val="en-US"/>
        </w:rPr>
        <w:t>(20 October 2016</w:t>
      </w:r>
      <w:r w:rsidR="00215B2C" w:rsidRPr="001F6014">
        <w:rPr>
          <w:rFonts w:asciiTheme="majorBidi" w:hAnsiTheme="majorBidi" w:cstheme="majorBidi"/>
          <w:lang w:val="en-US"/>
        </w:rPr>
        <w:t xml:space="preserve">) para. </w:t>
      </w:r>
      <w:r w:rsidR="001929B2" w:rsidRPr="001F6014">
        <w:rPr>
          <w:rFonts w:asciiTheme="majorBidi" w:hAnsiTheme="majorBidi" w:cstheme="majorBidi"/>
          <w:lang w:val="en-US"/>
        </w:rPr>
        <w:t>341.</w:t>
      </w:r>
    </w:p>
  </w:footnote>
  <w:footnote w:id="27">
    <w:p w14:paraId="14411BCA" w14:textId="77777777" w:rsidR="001D4990" w:rsidRPr="001F6014" w:rsidRDefault="001D4990" w:rsidP="001D4990">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proofErr w:type="spellStart"/>
      <w:r w:rsidRPr="001F6014">
        <w:rPr>
          <w:rFonts w:asciiTheme="majorBidi" w:hAnsiTheme="majorBidi" w:cstheme="majorBidi"/>
          <w:lang w:val="en-US"/>
        </w:rPr>
        <w:t>UNCommHR</w:t>
      </w:r>
      <w:proofErr w:type="spellEnd"/>
      <w:r w:rsidRPr="001F6014">
        <w:rPr>
          <w:rFonts w:asciiTheme="majorBidi" w:hAnsiTheme="majorBidi" w:cstheme="majorBidi"/>
          <w:lang w:val="en-US"/>
        </w:rPr>
        <w:t xml:space="preserve"> (Nowak), `Civil and Political Rights, including Questions of Disappearances and Summary Executions’ Report submitted by Mr. Manfred Nowak (8 January 2002) UN Doc E/CN.4/2002/71</w:t>
      </w:r>
    </w:p>
    <w:p w14:paraId="20D3D6EC" w14:textId="77777777" w:rsidR="001D4990" w:rsidRPr="001F6014" w:rsidRDefault="001D4990" w:rsidP="001D4990">
      <w:pPr>
        <w:pStyle w:val="FootnoteText"/>
        <w:rPr>
          <w:rFonts w:asciiTheme="majorBidi" w:hAnsiTheme="majorBidi" w:cstheme="majorBidi"/>
          <w:lang w:val="en-US"/>
        </w:rPr>
      </w:pPr>
      <w:r w:rsidRPr="001F6014">
        <w:rPr>
          <w:rFonts w:asciiTheme="majorBidi" w:hAnsiTheme="majorBidi" w:cstheme="majorBidi"/>
          <w:lang w:val="en-US"/>
        </w:rPr>
        <w:t>para. 45.</w:t>
      </w:r>
    </w:p>
  </w:footnote>
  <w:footnote w:id="28">
    <w:p w14:paraId="2CABEDCB" w14:textId="5A8DDE27" w:rsidR="001D4990" w:rsidRPr="001F6014" w:rsidRDefault="001D4990" w:rsidP="001D4990">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CAT ‘General Comment 2, Implementation of Article 2 by States Parties’ (23 November 2007) UN Doc CAT/C/GC/2/CRP 1/rev.4 para 18. </w:t>
      </w:r>
    </w:p>
  </w:footnote>
  <w:footnote w:id="29">
    <w:p w14:paraId="751E7595" w14:textId="0480B8B8" w:rsidR="001D4990" w:rsidRPr="001F6014" w:rsidRDefault="001D4990" w:rsidP="00BC142A">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See Jon Bauer, “Obscured by `willful Blindness`: States Preventive Obligations and the Meaning of Acquiescence under the Convention against Torture”</w:t>
      </w:r>
      <w:r w:rsidR="001929B2" w:rsidRPr="001F6014">
        <w:rPr>
          <w:rFonts w:asciiTheme="majorBidi" w:hAnsiTheme="majorBidi" w:cstheme="majorBidi"/>
          <w:lang w:val="en-US"/>
        </w:rPr>
        <w:t xml:space="preserve"> Columbia Human Rights Review (5 May 2021)</w:t>
      </w:r>
      <w:r w:rsidR="00BC142A" w:rsidRPr="001F6014">
        <w:rPr>
          <w:rFonts w:asciiTheme="majorBidi" w:hAnsiTheme="majorBidi" w:cstheme="majorBidi"/>
          <w:lang w:val="en-US"/>
        </w:rPr>
        <w:t xml:space="preserve">; </w:t>
      </w:r>
      <w:r w:rsidR="00BC142A" w:rsidRPr="001F6014">
        <w:rPr>
          <w:rFonts w:asciiTheme="majorBidi" w:hAnsiTheme="majorBidi" w:cstheme="majorBidi"/>
          <w:lang w:val="en-US"/>
        </w:rPr>
        <w:t xml:space="preserve">Robert McCorquodale and Rebecca La </w:t>
      </w:r>
      <w:proofErr w:type="spellStart"/>
      <w:r w:rsidR="00BC142A" w:rsidRPr="001F6014">
        <w:rPr>
          <w:rFonts w:asciiTheme="majorBidi" w:hAnsiTheme="majorBidi" w:cstheme="majorBidi"/>
          <w:lang w:val="en-US"/>
        </w:rPr>
        <w:t>Forgia</w:t>
      </w:r>
      <w:proofErr w:type="spellEnd"/>
      <w:r w:rsidR="00BC142A" w:rsidRPr="001F6014">
        <w:rPr>
          <w:rFonts w:asciiTheme="majorBidi" w:hAnsiTheme="majorBidi" w:cstheme="majorBidi"/>
          <w:lang w:val="en-US"/>
        </w:rPr>
        <w:t>, ‘Taking Off the Blindfolds: Torture by Non-State Actors’ (2001) 1 Human Rights Law Review 189</w:t>
      </w:r>
      <w:r w:rsidR="00BC142A" w:rsidRPr="001F6014">
        <w:rPr>
          <w:rFonts w:asciiTheme="majorBidi" w:hAnsiTheme="majorBidi" w:cstheme="majorBidi"/>
          <w:lang w:val="en-US"/>
        </w:rPr>
        <w:t>.</w:t>
      </w:r>
    </w:p>
  </w:footnote>
  <w:footnote w:id="30">
    <w:p w14:paraId="68F041DC" w14:textId="77777777" w:rsidR="009C13C3" w:rsidRPr="001F6014" w:rsidRDefault="009C13C3" w:rsidP="009C13C3">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American Commission on Human Rights and REDESCA (Special </w:t>
      </w:r>
      <w:proofErr w:type="spellStart"/>
      <w:r w:rsidRPr="001F6014">
        <w:rPr>
          <w:rFonts w:asciiTheme="majorBidi" w:hAnsiTheme="majorBidi" w:cstheme="majorBidi"/>
          <w:lang w:val="en-US"/>
        </w:rPr>
        <w:t>Rapporteurship</w:t>
      </w:r>
      <w:proofErr w:type="spellEnd"/>
      <w:r w:rsidRPr="001F6014">
        <w:rPr>
          <w:rFonts w:asciiTheme="majorBidi" w:hAnsiTheme="majorBidi" w:cstheme="majorBidi"/>
          <w:lang w:val="en-US"/>
        </w:rPr>
        <w:t xml:space="preserve"> on Economic, Social,</w:t>
      </w:r>
    </w:p>
    <w:p w14:paraId="641B7594" w14:textId="77777777" w:rsidR="009C13C3" w:rsidRPr="001F6014" w:rsidRDefault="009C13C3" w:rsidP="009C13C3">
      <w:pPr>
        <w:pStyle w:val="FootnoteText"/>
        <w:rPr>
          <w:rFonts w:asciiTheme="majorBidi" w:hAnsiTheme="majorBidi" w:cstheme="majorBidi"/>
          <w:lang w:val="en-US"/>
        </w:rPr>
      </w:pPr>
      <w:r w:rsidRPr="001F6014">
        <w:rPr>
          <w:rFonts w:asciiTheme="majorBidi" w:hAnsiTheme="majorBidi" w:cstheme="majorBidi"/>
          <w:lang w:val="en-US"/>
        </w:rPr>
        <w:t>Cultural and Environmental Rights), ‘Business and Human Rights: Inter-American Standards’ (Organization of</w:t>
      </w:r>
    </w:p>
    <w:p w14:paraId="0C7A94BF" w14:textId="77777777" w:rsidR="009C13C3" w:rsidRPr="001F6014" w:rsidRDefault="009C13C3" w:rsidP="009C13C3">
      <w:pPr>
        <w:pStyle w:val="FootnoteText"/>
        <w:rPr>
          <w:rFonts w:asciiTheme="majorBidi" w:hAnsiTheme="majorBidi" w:cstheme="majorBidi"/>
          <w:lang w:val="en-US"/>
        </w:rPr>
      </w:pPr>
      <w:r w:rsidRPr="001F6014">
        <w:rPr>
          <w:rFonts w:asciiTheme="majorBidi" w:hAnsiTheme="majorBidi" w:cstheme="majorBidi"/>
          <w:lang w:val="en-US"/>
        </w:rPr>
        <w:t>American States 2019) OEA/</w:t>
      </w:r>
      <w:proofErr w:type="spellStart"/>
      <w:r w:rsidRPr="001F6014">
        <w:rPr>
          <w:rFonts w:asciiTheme="majorBidi" w:hAnsiTheme="majorBidi" w:cstheme="majorBidi"/>
          <w:lang w:val="en-US"/>
        </w:rPr>
        <w:t>Ser.L</w:t>
      </w:r>
      <w:proofErr w:type="spellEnd"/>
      <w:r w:rsidRPr="001F6014">
        <w:rPr>
          <w:rFonts w:asciiTheme="majorBidi" w:hAnsiTheme="majorBidi" w:cstheme="majorBidi"/>
          <w:lang w:val="en-US"/>
        </w:rPr>
        <w:t>/V/II, CIDH/REDESCA/INF.1/19, para. 79.</w:t>
      </w:r>
    </w:p>
  </w:footnote>
  <w:footnote w:id="31">
    <w:p w14:paraId="55A91F07" w14:textId="77777777" w:rsidR="009C13C3" w:rsidRPr="001F6014" w:rsidRDefault="009C13C3" w:rsidP="009C13C3">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Ibid. para. 78.</w:t>
      </w:r>
    </w:p>
  </w:footnote>
  <w:footnote w:id="32">
    <w:p w14:paraId="3C6DED62" w14:textId="77777777" w:rsidR="00735747" w:rsidRPr="001F6014" w:rsidRDefault="00735747" w:rsidP="00735747">
      <w:pPr>
        <w:pStyle w:val="FootnoteText"/>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United Nations Convention against Transnational Organized Crime 2000 (2225 UNTS 209).</w:t>
      </w:r>
    </w:p>
  </w:footnote>
  <w:footnote w:id="33">
    <w:p w14:paraId="60389926" w14:textId="77777777" w:rsidR="00735747" w:rsidRPr="001F6014" w:rsidRDefault="00735747" w:rsidP="00735747">
      <w:pPr>
        <w:pStyle w:val="FootnoteText"/>
        <w:jc w:val="both"/>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Protocol to Prevent, Suppress and Punish Trafficking in Persons, Especially Women and Children, supplementing the United Nations Convention against Transnational Organized Crime 2000 (2237 UNTS 319).</w:t>
      </w:r>
    </w:p>
  </w:footnote>
  <w:footnote w:id="34">
    <w:p w14:paraId="76582AC2" w14:textId="77777777" w:rsidR="00735747" w:rsidRPr="001F6014" w:rsidRDefault="00735747" w:rsidP="00735747">
      <w:pPr>
        <w:pStyle w:val="FootnoteText"/>
        <w:jc w:val="both"/>
        <w:rPr>
          <w:rFonts w:asciiTheme="majorBidi" w:hAnsiTheme="majorBidi" w:cstheme="majorBidi"/>
          <w:lang w:val="en-US"/>
        </w:rPr>
      </w:pPr>
      <w:r w:rsidRPr="001F6014">
        <w:rPr>
          <w:rStyle w:val="FootnoteReference"/>
          <w:rFonts w:asciiTheme="majorBidi" w:hAnsiTheme="majorBidi" w:cstheme="majorBidi"/>
        </w:rPr>
        <w:footnoteRef/>
      </w:r>
      <w:r w:rsidRPr="001F6014">
        <w:rPr>
          <w:rFonts w:asciiTheme="majorBidi" w:hAnsiTheme="majorBidi" w:cstheme="majorBidi"/>
          <w:lang w:val="en-US"/>
        </w:rPr>
        <w:t xml:space="preserve"> </w:t>
      </w:r>
      <w:r w:rsidRPr="001F6014">
        <w:rPr>
          <w:rFonts w:asciiTheme="majorBidi" w:hAnsiTheme="majorBidi" w:cstheme="majorBidi"/>
          <w:lang w:val="en-GB"/>
        </w:rPr>
        <w:t xml:space="preserve">Protocol Against the Smuggling of Migrants by Land, </w:t>
      </w:r>
      <w:proofErr w:type="gramStart"/>
      <w:r w:rsidRPr="001F6014">
        <w:rPr>
          <w:rFonts w:asciiTheme="majorBidi" w:hAnsiTheme="majorBidi" w:cstheme="majorBidi"/>
          <w:lang w:val="en-GB"/>
        </w:rPr>
        <w:t>Sea</w:t>
      </w:r>
      <w:proofErr w:type="gramEnd"/>
      <w:r w:rsidRPr="001F6014">
        <w:rPr>
          <w:rFonts w:asciiTheme="majorBidi" w:hAnsiTheme="majorBidi" w:cstheme="majorBidi"/>
          <w:lang w:val="en-GB"/>
        </w:rPr>
        <w:t xml:space="preserve"> and Air, supplementing the United Nations Convention Against Transnational Organized Crime 2000 (2241 UNTS 507).</w:t>
      </w:r>
    </w:p>
  </w:footnote>
  <w:footnote w:id="35">
    <w:p w14:paraId="70AB7E1C" w14:textId="77777777" w:rsidR="00031700" w:rsidRPr="001F6014" w:rsidRDefault="00031700" w:rsidP="00031700">
      <w:pPr>
        <w:autoSpaceDE w:val="0"/>
        <w:autoSpaceDN w:val="0"/>
        <w:adjustRightInd w:val="0"/>
        <w:rPr>
          <w:rFonts w:asciiTheme="majorBidi" w:hAnsiTheme="majorBidi" w:cstheme="majorBidi"/>
          <w:sz w:val="20"/>
          <w:szCs w:val="20"/>
          <w:lang w:val="en-GB"/>
        </w:rPr>
      </w:pPr>
      <w:r w:rsidRPr="001F6014">
        <w:rPr>
          <w:rStyle w:val="FootnoteReference"/>
          <w:rFonts w:asciiTheme="majorBidi" w:hAnsiTheme="majorBidi" w:cstheme="majorBidi"/>
          <w:sz w:val="20"/>
          <w:szCs w:val="20"/>
        </w:rPr>
        <w:footnoteRef/>
      </w:r>
      <w:r w:rsidRPr="001F6014">
        <w:rPr>
          <w:rFonts w:asciiTheme="majorBidi" w:hAnsiTheme="majorBidi" w:cstheme="majorBidi"/>
          <w:sz w:val="20"/>
          <w:szCs w:val="20"/>
          <w:lang w:val="en-US"/>
        </w:rPr>
        <w:t xml:space="preserve"> </w:t>
      </w:r>
      <w:proofErr w:type="spellStart"/>
      <w:r w:rsidRPr="001F6014">
        <w:rPr>
          <w:rFonts w:asciiTheme="majorBidi" w:hAnsiTheme="majorBidi" w:cstheme="majorBidi"/>
          <w:sz w:val="20"/>
          <w:szCs w:val="20"/>
          <w:lang w:val="en-US"/>
        </w:rPr>
        <w:t>Ezeilo</w:t>
      </w:r>
      <w:proofErr w:type="spellEnd"/>
      <w:r w:rsidRPr="001F6014">
        <w:rPr>
          <w:rFonts w:asciiTheme="majorBidi" w:hAnsiTheme="majorBidi" w:cstheme="majorBidi"/>
          <w:sz w:val="20"/>
          <w:szCs w:val="20"/>
          <w:lang w:val="en-US"/>
        </w:rPr>
        <w:t xml:space="preserve">, Joy. </w:t>
      </w:r>
      <w:r w:rsidRPr="001F6014">
        <w:rPr>
          <w:rFonts w:asciiTheme="majorBidi" w:hAnsiTheme="majorBidi" w:cstheme="majorBidi"/>
          <w:sz w:val="20"/>
          <w:szCs w:val="20"/>
          <w:lang w:val="en-GB"/>
        </w:rPr>
        <w:t>Report of the Special Rapporteur on Trafficking in Persons, Especially Women and Children (2010)</w:t>
      </w:r>
    </w:p>
    <w:p w14:paraId="7E11E231" w14:textId="77777777" w:rsidR="00031700" w:rsidRPr="001F6014" w:rsidRDefault="00031700" w:rsidP="00031700">
      <w:pPr>
        <w:pStyle w:val="FootnoteText"/>
        <w:rPr>
          <w:rFonts w:asciiTheme="majorBidi" w:hAnsiTheme="majorBidi" w:cstheme="majorBidi"/>
          <w:lang w:val="es-ES"/>
        </w:rPr>
      </w:pPr>
      <w:r w:rsidRPr="001F6014">
        <w:rPr>
          <w:rFonts w:asciiTheme="majorBidi" w:hAnsiTheme="majorBidi" w:cstheme="majorBidi"/>
          <w:lang w:val="es-ES"/>
        </w:rPr>
        <w:t>UN Doc. A/65/288 para 18.</w:t>
      </w:r>
    </w:p>
  </w:footnote>
  <w:footnote w:id="36">
    <w:p w14:paraId="2D631164" w14:textId="77777777" w:rsidR="00031700" w:rsidRPr="00FE5CC2" w:rsidRDefault="00031700" w:rsidP="00031700">
      <w:pPr>
        <w:pStyle w:val="FootnoteText"/>
        <w:rPr>
          <w:rFonts w:ascii="Times New Roman" w:hAnsi="Times New Roman" w:cs="Times New Roman"/>
          <w:lang w:val="es-ES"/>
        </w:rPr>
      </w:pPr>
      <w:r w:rsidRPr="001F6014">
        <w:rPr>
          <w:rStyle w:val="FootnoteReference"/>
          <w:rFonts w:asciiTheme="majorBidi" w:hAnsiTheme="majorBidi" w:cstheme="majorBidi"/>
        </w:rPr>
        <w:footnoteRef/>
      </w:r>
      <w:r w:rsidRPr="001F6014">
        <w:rPr>
          <w:rFonts w:asciiTheme="majorBidi" w:hAnsiTheme="majorBidi" w:cstheme="majorBidi"/>
          <w:lang w:val="es-ES"/>
        </w:rPr>
        <w:t xml:space="preserve"> Ibid., paras 65-</w:t>
      </w:r>
      <w:r w:rsidRPr="00FE5CC2">
        <w:rPr>
          <w:rFonts w:ascii="Times New Roman" w:hAnsi="Times New Roman" w:cs="Times New Roman"/>
          <w:lang w:val="es-ES"/>
        </w:rPr>
        <w:t>81.</w:t>
      </w:r>
    </w:p>
  </w:footnote>
  <w:footnote w:id="37">
    <w:p w14:paraId="64EB73DE" w14:textId="77777777" w:rsidR="00142CDE" w:rsidRPr="00735747" w:rsidRDefault="00142CDE" w:rsidP="00142CDE">
      <w:pPr>
        <w:pStyle w:val="FootnoteText"/>
        <w:rPr>
          <w:lang w:val="en-US"/>
        </w:rPr>
      </w:pPr>
      <w:r w:rsidRPr="00FE5CC2">
        <w:rPr>
          <w:rStyle w:val="FootnoteReference"/>
          <w:rFonts w:ascii="Times New Roman" w:hAnsi="Times New Roman" w:cs="Times New Roman"/>
        </w:rPr>
        <w:footnoteRef/>
      </w:r>
      <w:r w:rsidRPr="00FE5CC2">
        <w:rPr>
          <w:rFonts w:ascii="Times New Roman" w:hAnsi="Times New Roman" w:cs="Times New Roman"/>
        </w:rPr>
        <w:t xml:space="preserve"> </w:t>
      </w:r>
      <w:r w:rsidRPr="00735747">
        <w:rPr>
          <w:rFonts w:ascii="Times New Roman" w:hAnsi="Times New Roman" w:cs="Times New Roman"/>
          <w:lang w:val="en-US"/>
        </w:rPr>
        <w:t>Ibid., para.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1E7"/>
    <w:multiLevelType w:val="hybridMultilevel"/>
    <w:tmpl w:val="ED348B7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A90686"/>
    <w:multiLevelType w:val="hybridMultilevel"/>
    <w:tmpl w:val="FD3E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B0D93"/>
    <w:multiLevelType w:val="hybridMultilevel"/>
    <w:tmpl w:val="B40CC1AE"/>
    <w:lvl w:ilvl="0" w:tplc="9AB45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134993"/>
    <w:multiLevelType w:val="hybridMultilevel"/>
    <w:tmpl w:val="D6ECA30A"/>
    <w:lvl w:ilvl="0" w:tplc="6118501C">
      <w:start w:val="1"/>
      <w:numFmt w:val="upp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B4AE8"/>
    <w:multiLevelType w:val="hybridMultilevel"/>
    <w:tmpl w:val="E45C25F2"/>
    <w:lvl w:ilvl="0" w:tplc="462EA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427FF7"/>
    <w:multiLevelType w:val="hybridMultilevel"/>
    <w:tmpl w:val="ED348B76"/>
    <w:lvl w:ilvl="0" w:tplc="5B9E3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343DE"/>
    <w:multiLevelType w:val="hybridMultilevel"/>
    <w:tmpl w:val="79FC1FBA"/>
    <w:lvl w:ilvl="0" w:tplc="64545254">
      <w:start w:val="1"/>
      <w:numFmt w:val="bullet"/>
      <w:lvlText w:val="-"/>
      <w:lvlJc w:val="left"/>
      <w:pPr>
        <w:ind w:left="720" w:hanging="360"/>
      </w:pPr>
      <w:rPr>
        <w:rFonts w:ascii="Calibri" w:eastAsiaTheme="minorHAnsi" w:hAnsi="Calibri" w:cs="Calibri"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62032"/>
    <w:multiLevelType w:val="hybridMultilevel"/>
    <w:tmpl w:val="1A00BF72"/>
    <w:lvl w:ilvl="0" w:tplc="04090001">
      <w:start w:val="1"/>
      <w:numFmt w:val="bullet"/>
      <w:lvlText w:val=""/>
      <w:lvlJc w:val="left"/>
      <w:pPr>
        <w:ind w:left="720" w:hanging="360"/>
      </w:pPr>
      <w:rPr>
        <w:rFonts w:ascii="Symbol" w:hAnsi="Symbol"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0730416">
    <w:abstractNumId w:val="3"/>
  </w:num>
  <w:num w:numId="2" w16cid:durableId="533158073">
    <w:abstractNumId w:val="5"/>
  </w:num>
  <w:num w:numId="3" w16cid:durableId="1427654110">
    <w:abstractNumId w:val="4"/>
  </w:num>
  <w:num w:numId="4" w16cid:durableId="1684631404">
    <w:abstractNumId w:val="2"/>
  </w:num>
  <w:num w:numId="5" w16cid:durableId="897980266">
    <w:abstractNumId w:val="6"/>
  </w:num>
  <w:num w:numId="6" w16cid:durableId="1273704591">
    <w:abstractNumId w:val="7"/>
  </w:num>
  <w:num w:numId="7" w16cid:durableId="1304388868">
    <w:abstractNumId w:val="1"/>
  </w:num>
  <w:num w:numId="8" w16cid:durableId="12335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C2"/>
    <w:rsid w:val="00005A59"/>
    <w:rsid w:val="000156B1"/>
    <w:rsid w:val="00031700"/>
    <w:rsid w:val="00070935"/>
    <w:rsid w:val="00072E48"/>
    <w:rsid w:val="000977C2"/>
    <w:rsid w:val="000B14DC"/>
    <w:rsid w:val="000B33CA"/>
    <w:rsid w:val="000D3FBF"/>
    <w:rsid w:val="000D61F5"/>
    <w:rsid w:val="000F0B46"/>
    <w:rsid w:val="001026F4"/>
    <w:rsid w:val="001068A2"/>
    <w:rsid w:val="0011241E"/>
    <w:rsid w:val="00136132"/>
    <w:rsid w:val="00142CDE"/>
    <w:rsid w:val="001929B2"/>
    <w:rsid w:val="001A3595"/>
    <w:rsid w:val="001B7BC1"/>
    <w:rsid w:val="001D4223"/>
    <w:rsid w:val="001D4990"/>
    <w:rsid w:val="001E6F07"/>
    <w:rsid w:val="001E7A5A"/>
    <w:rsid w:val="001F6014"/>
    <w:rsid w:val="0020237B"/>
    <w:rsid w:val="00215B2C"/>
    <w:rsid w:val="00224AC4"/>
    <w:rsid w:val="00230C4E"/>
    <w:rsid w:val="0024532D"/>
    <w:rsid w:val="00251055"/>
    <w:rsid w:val="00260DEC"/>
    <w:rsid w:val="00262375"/>
    <w:rsid w:val="002864EF"/>
    <w:rsid w:val="002B38A0"/>
    <w:rsid w:val="002D7437"/>
    <w:rsid w:val="002E481B"/>
    <w:rsid w:val="002F7C66"/>
    <w:rsid w:val="003014EA"/>
    <w:rsid w:val="00310698"/>
    <w:rsid w:val="0031247F"/>
    <w:rsid w:val="0031443D"/>
    <w:rsid w:val="00350166"/>
    <w:rsid w:val="00380BD8"/>
    <w:rsid w:val="003873C7"/>
    <w:rsid w:val="003B471E"/>
    <w:rsid w:val="003E4F73"/>
    <w:rsid w:val="003E7D54"/>
    <w:rsid w:val="003F2864"/>
    <w:rsid w:val="00450B02"/>
    <w:rsid w:val="00473FAF"/>
    <w:rsid w:val="004747FD"/>
    <w:rsid w:val="00493665"/>
    <w:rsid w:val="00516A24"/>
    <w:rsid w:val="005278DB"/>
    <w:rsid w:val="00537D0B"/>
    <w:rsid w:val="00547842"/>
    <w:rsid w:val="00547D74"/>
    <w:rsid w:val="0057742F"/>
    <w:rsid w:val="00577CAE"/>
    <w:rsid w:val="005A456C"/>
    <w:rsid w:val="005A5C61"/>
    <w:rsid w:val="005C38B5"/>
    <w:rsid w:val="005E29FA"/>
    <w:rsid w:val="005F270B"/>
    <w:rsid w:val="00612524"/>
    <w:rsid w:val="00613C1D"/>
    <w:rsid w:val="0061693D"/>
    <w:rsid w:val="00616A35"/>
    <w:rsid w:val="00653AB2"/>
    <w:rsid w:val="00660A70"/>
    <w:rsid w:val="00661655"/>
    <w:rsid w:val="0069129F"/>
    <w:rsid w:val="00695781"/>
    <w:rsid w:val="006A040B"/>
    <w:rsid w:val="006A0A38"/>
    <w:rsid w:val="006A0CD8"/>
    <w:rsid w:val="006B04E5"/>
    <w:rsid w:val="006C2302"/>
    <w:rsid w:val="006C74AF"/>
    <w:rsid w:val="006E054F"/>
    <w:rsid w:val="006E3A53"/>
    <w:rsid w:val="006E7212"/>
    <w:rsid w:val="00700932"/>
    <w:rsid w:val="00714330"/>
    <w:rsid w:val="00734D84"/>
    <w:rsid w:val="00735747"/>
    <w:rsid w:val="00736967"/>
    <w:rsid w:val="0074468C"/>
    <w:rsid w:val="00751066"/>
    <w:rsid w:val="00774591"/>
    <w:rsid w:val="007D02D2"/>
    <w:rsid w:val="007D090F"/>
    <w:rsid w:val="007D1EB1"/>
    <w:rsid w:val="007F54C6"/>
    <w:rsid w:val="00807144"/>
    <w:rsid w:val="00844C2D"/>
    <w:rsid w:val="008601E0"/>
    <w:rsid w:val="008715F0"/>
    <w:rsid w:val="0087233F"/>
    <w:rsid w:val="00873BA4"/>
    <w:rsid w:val="008741F0"/>
    <w:rsid w:val="00887183"/>
    <w:rsid w:val="00894605"/>
    <w:rsid w:val="0090506B"/>
    <w:rsid w:val="00932DA5"/>
    <w:rsid w:val="00957A95"/>
    <w:rsid w:val="00961E96"/>
    <w:rsid w:val="00966030"/>
    <w:rsid w:val="00982EBC"/>
    <w:rsid w:val="009A13C2"/>
    <w:rsid w:val="009A3AE0"/>
    <w:rsid w:val="009C13C3"/>
    <w:rsid w:val="00A05ECB"/>
    <w:rsid w:val="00A45699"/>
    <w:rsid w:val="00A60037"/>
    <w:rsid w:val="00A70B19"/>
    <w:rsid w:val="00AA5909"/>
    <w:rsid w:val="00AD1480"/>
    <w:rsid w:val="00B00957"/>
    <w:rsid w:val="00B042FF"/>
    <w:rsid w:val="00B36934"/>
    <w:rsid w:val="00B42F83"/>
    <w:rsid w:val="00B449B9"/>
    <w:rsid w:val="00B45C8C"/>
    <w:rsid w:val="00B563F0"/>
    <w:rsid w:val="00B66D84"/>
    <w:rsid w:val="00B72243"/>
    <w:rsid w:val="00B84DD7"/>
    <w:rsid w:val="00B90136"/>
    <w:rsid w:val="00B94A22"/>
    <w:rsid w:val="00B9519A"/>
    <w:rsid w:val="00BA3C3C"/>
    <w:rsid w:val="00BA47E7"/>
    <w:rsid w:val="00BA79FA"/>
    <w:rsid w:val="00BC142A"/>
    <w:rsid w:val="00BC3997"/>
    <w:rsid w:val="00BE1060"/>
    <w:rsid w:val="00BF16A1"/>
    <w:rsid w:val="00BF6D04"/>
    <w:rsid w:val="00C116F2"/>
    <w:rsid w:val="00C26F8C"/>
    <w:rsid w:val="00C56809"/>
    <w:rsid w:val="00C958AD"/>
    <w:rsid w:val="00C97042"/>
    <w:rsid w:val="00CA4113"/>
    <w:rsid w:val="00CB2CF8"/>
    <w:rsid w:val="00CB4ACA"/>
    <w:rsid w:val="00CE1460"/>
    <w:rsid w:val="00CE3137"/>
    <w:rsid w:val="00CE4A1A"/>
    <w:rsid w:val="00D03A85"/>
    <w:rsid w:val="00D15E9E"/>
    <w:rsid w:val="00D24A0B"/>
    <w:rsid w:val="00D34E9F"/>
    <w:rsid w:val="00D6128E"/>
    <w:rsid w:val="00D64A2B"/>
    <w:rsid w:val="00D86C56"/>
    <w:rsid w:val="00DA583F"/>
    <w:rsid w:val="00DA7D81"/>
    <w:rsid w:val="00DB0588"/>
    <w:rsid w:val="00DB4CDD"/>
    <w:rsid w:val="00DC1FC5"/>
    <w:rsid w:val="00DC2667"/>
    <w:rsid w:val="00DD0CFE"/>
    <w:rsid w:val="00DD2A84"/>
    <w:rsid w:val="00DD4C70"/>
    <w:rsid w:val="00DE7354"/>
    <w:rsid w:val="00DF3CCA"/>
    <w:rsid w:val="00E1328B"/>
    <w:rsid w:val="00E14082"/>
    <w:rsid w:val="00E158F6"/>
    <w:rsid w:val="00E46933"/>
    <w:rsid w:val="00E65F21"/>
    <w:rsid w:val="00E67443"/>
    <w:rsid w:val="00E843E0"/>
    <w:rsid w:val="00E91812"/>
    <w:rsid w:val="00E968C1"/>
    <w:rsid w:val="00E978D7"/>
    <w:rsid w:val="00EB5679"/>
    <w:rsid w:val="00ED05BB"/>
    <w:rsid w:val="00ED7E40"/>
    <w:rsid w:val="00F13813"/>
    <w:rsid w:val="00F13B39"/>
    <w:rsid w:val="00F14DD0"/>
    <w:rsid w:val="00F24099"/>
    <w:rsid w:val="00F30C0A"/>
    <w:rsid w:val="00F50D5A"/>
    <w:rsid w:val="00F554B1"/>
    <w:rsid w:val="00F604F0"/>
    <w:rsid w:val="00F619F9"/>
    <w:rsid w:val="00F65BCB"/>
    <w:rsid w:val="00F9127A"/>
    <w:rsid w:val="00F9368B"/>
    <w:rsid w:val="00F93EBB"/>
    <w:rsid w:val="00FA40A4"/>
    <w:rsid w:val="00FC2CA0"/>
    <w:rsid w:val="00FD7EB9"/>
    <w:rsid w:val="00FE202A"/>
    <w:rsid w:val="00FF4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A21579"/>
  <w15:chartTrackingRefBased/>
  <w15:docId w15:val="{6BCD9E44-0D8C-F444-9350-2BECA938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C2"/>
    <w:rPr>
      <w:lang w:val="fr-FR"/>
    </w:rPr>
  </w:style>
  <w:style w:type="paragraph" w:styleId="Heading1">
    <w:name w:val="heading 1"/>
    <w:basedOn w:val="Normal"/>
    <w:next w:val="Normal"/>
    <w:link w:val="Heading1Char"/>
    <w:uiPriority w:val="9"/>
    <w:qFormat/>
    <w:rsid w:val="00F13B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C2"/>
    <w:pPr>
      <w:ind w:left="720"/>
      <w:contextualSpacing/>
    </w:pPr>
  </w:style>
  <w:style w:type="character" w:styleId="CommentReference">
    <w:name w:val="annotation reference"/>
    <w:basedOn w:val="DefaultParagraphFont"/>
    <w:uiPriority w:val="99"/>
    <w:semiHidden/>
    <w:unhideWhenUsed/>
    <w:rsid w:val="009A13C2"/>
    <w:rPr>
      <w:sz w:val="16"/>
      <w:szCs w:val="16"/>
    </w:rPr>
  </w:style>
  <w:style w:type="paragraph" w:styleId="CommentText">
    <w:name w:val="annotation text"/>
    <w:basedOn w:val="Normal"/>
    <w:link w:val="CommentTextChar"/>
    <w:uiPriority w:val="99"/>
    <w:semiHidden/>
    <w:unhideWhenUsed/>
    <w:rsid w:val="009A13C2"/>
    <w:rPr>
      <w:sz w:val="20"/>
      <w:szCs w:val="20"/>
    </w:rPr>
  </w:style>
  <w:style w:type="character" w:customStyle="1" w:styleId="CommentTextChar">
    <w:name w:val="Comment Text Char"/>
    <w:basedOn w:val="DefaultParagraphFont"/>
    <w:link w:val="CommentText"/>
    <w:uiPriority w:val="99"/>
    <w:semiHidden/>
    <w:rsid w:val="009A13C2"/>
    <w:rPr>
      <w:sz w:val="20"/>
      <w:szCs w:val="20"/>
      <w:lang w:val="fr-FR"/>
    </w:rPr>
  </w:style>
  <w:style w:type="paragraph" w:styleId="CommentSubject">
    <w:name w:val="annotation subject"/>
    <w:basedOn w:val="CommentText"/>
    <w:next w:val="CommentText"/>
    <w:link w:val="CommentSubjectChar"/>
    <w:uiPriority w:val="99"/>
    <w:semiHidden/>
    <w:unhideWhenUsed/>
    <w:rsid w:val="009A13C2"/>
    <w:rPr>
      <w:b/>
      <w:bCs/>
    </w:rPr>
  </w:style>
  <w:style w:type="character" w:customStyle="1" w:styleId="CommentSubjectChar">
    <w:name w:val="Comment Subject Char"/>
    <w:basedOn w:val="CommentTextChar"/>
    <w:link w:val="CommentSubject"/>
    <w:uiPriority w:val="99"/>
    <w:semiHidden/>
    <w:rsid w:val="009A13C2"/>
    <w:rPr>
      <w:b/>
      <w:bCs/>
      <w:sz w:val="20"/>
      <w:szCs w:val="20"/>
      <w:lang w:val="fr-FR"/>
    </w:rPr>
  </w:style>
  <w:style w:type="paragraph" w:styleId="FootnoteText">
    <w:name w:val="footnote text"/>
    <w:basedOn w:val="Normal"/>
    <w:link w:val="FootnoteTextChar"/>
    <w:uiPriority w:val="99"/>
    <w:unhideWhenUsed/>
    <w:rsid w:val="009A13C2"/>
    <w:rPr>
      <w:sz w:val="20"/>
      <w:szCs w:val="20"/>
    </w:rPr>
  </w:style>
  <w:style w:type="character" w:customStyle="1" w:styleId="FootnoteTextChar">
    <w:name w:val="Footnote Text Char"/>
    <w:basedOn w:val="DefaultParagraphFont"/>
    <w:link w:val="FootnoteText"/>
    <w:uiPriority w:val="99"/>
    <w:rsid w:val="009A13C2"/>
    <w:rPr>
      <w:sz w:val="20"/>
      <w:szCs w:val="20"/>
      <w:lang w:val="fr-FR"/>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
    <w:basedOn w:val="DefaultParagraphFont"/>
    <w:uiPriority w:val="99"/>
    <w:unhideWhenUsed/>
    <w:qFormat/>
    <w:rsid w:val="009A13C2"/>
    <w:rPr>
      <w:vertAlign w:val="superscript"/>
    </w:rPr>
  </w:style>
  <w:style w:type="paragraph" w:styleId="NormalWeb">
    <w:name w:val="Normal (Web)"/>
    <w:basedOn w:val="Normal"/>
    <w:uiPriority w:val="99"/>
    <w:unhideWhenUsed/>
    <w:rsid w:val="009A13C2"/>
    <w:rPr>
      <w:rFonts w:ascii="Times New Roman" w:hAnsi="Times New Roman" w:cs="Times New Roman"/>
      <w:lang w:val="en-US"/>
    </w:rPr>
  </w:style>
  <w:style w:type="character" w:styleId="Hyperlink">
    <w:name w:val="Hyperlink"/>
    <w:basedOn w:val="DefaultParagraphFont"/>
    <w:uiPriority w:val="99"/>
    <w:unhideWhenUsed/>
    <w:rsid w:val="009A13C2"/>
    <w:rPr>
      <w:color w:val="0563C1" w:themeColor="hyperlink"/>
      <w:u w:val="single"/>
    </w:rPr>
  </w:style>
  <w:style w:type="character" w:customStyle="1" w:styleId="Heading1Char">
    <w:name w:val="Heading 1 Char"/>
    <w:basedOn w:val="DefaultParagraphFont"/>
    <w:link w:val="Heading1"/>
    <w:uiPriority w:val="9"/>
    <w:rsid w:val="00F13B39"/>
    <w:rPr>
      <w:rFonts w:asciiTheme="majorHAnsi" w:eastAsiaTheme="majorEastAsia" w:hAnsiTheme="majorHAnsi" w:cstheme="majorBidi"/>
      <w:color w:val="2F5496" w:themeColor="accent1" w:themeShade="BF"/>
      <w:sz w:val="32"/>
      <w:szCs w:val="32"/>
      <w:lang w:val="fr-FR"/>
    </w:rPr>
  </w:style>
  <w:style w:type="character" w:styleId="FollowedHyperlink">
    <w:name w:val="FollowedHyperlink"/>
    <w:basedOn w:val="DefaultParagraphFont"/>
    <w:uiPriority w:val="99"/>
    <w:semiHidden/>
    <w:unhideWhenUsed/>
    <w:rsid w:val="005E29FA"/>
    <w:rPr>
      <w:color w:val="954F72" w:themeColor="followedHyperlink"/>
      <w:u w:val="single"/>
    </w:rPr>
  </w:style>
  <w:style w:type="character" w:styleId="UnresolvedMention">
    <w:name w:val="Unresolved Mention"/>
    <w:basedOn w:val="DefaultParagraphFont"/>
    <w:uiPriority w:val="99"/>
    <w:semiHidden/>
    <w:unhideWhenUsed/>
    <w:rsid w:val="005A5C61"/>
    <w:rPr>
      <w:color w:val="605E5C"/>
      <w:shd w:val="clear" w:color="auto" w:fill="E1DFDD"/>
    </w:rPr>
  </w:style>
  <w:style w:type="paragraph" w:styleId="Revision">
    <w:name w:val="Revision"/>
    <w:hidden/>
    <w:uiPriority w:val="99"/>
    <w:semiHidden/>
    <w:rsid w:val="00F30C0A"/>
    <w:rPr>
      <w:lang w:val="fr-FR"/>
    </w:rPr>
  </w:style>
  <w:style w:type="paragraph" w:styleId="Footer">
    <w:name w:val="footer"/>
    <w:basedOn w:val="Normal"/>
    <w:link w:val="FooterChar"/>
    <w:uiPriority w:val="99"/>
    <w:unhideWhenUsed/>
    <w:rsid w:val="001F6014"/>
    <w:pPr>
      <w:tabs>
        <w:tab w:val="center" w:pos="4680"/>
        <w:tab w:val="right" w:pos="9360"/>
      </w:tabs>
    </w:pPr>
  </w:style>
  <w:style w:type="character" w:customStyle="1" w:styleId="FooterChar">
    <w:name w:val="Footer Char"/>
    <w:basedOn w:val="DefaultParagraphFont"/>
    <w:link w:val="Footer"/>
    <w:uiPriority w:val="99"/>
    <w:rsid w:val="001F6014"/>
    <w:rPr>
      <w:lang w:val="fr-FR"/>
    </w:rPr>
  </w:style>
  <w:style w:type="character" w:styleId="PageNumber">
    <w:name w:val="page number"/>
    <w:basedOn w:val="DefaultParagraphFont"/>
    <w:uiPriority w:val="99"/>
    <w:semiHidden/>
    <w:unhideWhenUsed/>
    <w:rsid w:val="001F6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036">
      <w:bodyDiv w:val="1"/>
      <w:marLeft w:val="0"/>
      <w:marRight w:val="0"/>
      <w:marTop w:val="0"/>
      <w:marBottom w:val="0"/>
      <w:divBdr>
        <w:top w:val="none" w:sz="0" w:space="0" w:color="auto"/>
        <w:left w:val="none" w:sz="0" w:space="0" w:color="auto"/>
        <w:bottom w:val="none" w:sz="0" w:space="0" w:color="auto"/>
        <w:right w:val="none" w:sz="0" w:space="0" w:color="auto"/>
      </w:divBdr>
      <w:divsChild>
        <w:div w:id="1435518204">
          <w:marLeft w:val="0"/>
          <w:marRight w:val="0"/>
          <w:marTop w:val="0"/>
          <w:marBottom w:val="0"/>
          <w:divBdr>
            <w:top w:val="none" w:sz="0" w:space="0" w:color="auto"/>
            <w:left w:val="none" w:sz="0" w:space="0" w:color="auto"/>
            <w:bottom w:val="none" w:sz="0" w:space="0" w:color="auto"/>
            <w:right w:val="none" w:sz="0" w:space="0" w:color="auto"/>
          </w:divBdr>
          <w:divsChild>
            <w:div w:id="1856572489">
              <w:marLeft w:val="0"/>
              <w:marRight w:val="0"/>
              <w:marTop w:val="0"/>
              <w:marBottom w:val="0"/>
              <w:divBdr>
                <w:top w:val="none" w:sz="0" w:space="0" w:color="auto"/>
                <w:left w:val="none" w:sz="0" w:space="0" w:color="auto"/>
                <w:bottom w:val="none" w:sz="0" w:space="0" w:color="auto"/>
                <w:right w:val="none" w:sz="0" w:space="0" w:color="auto"/>
              </w:divBdr>
              <w:divsChild>
                <w:div w:id="9462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7759">
      <w:bodyDiv w:val="1"/>
      <w:marLeft w:val="0"/>
      <w:marRight w:val="0"/>
      <w:marTop w:val="0"/>
      <w:marBottom w:val="0"/>
      <w:divBdr>
        <w:top w:val="none" w:sz="0" w:space="0" w:color="auto"/>
        <w:left w:val="none" w:sz="0" w:space="0" w:color="auto"/>
        <w:bottom w:val="none" w:sz="0" w:space="0" w:color="auto"/>
        <w:right w:val="none" w:sz="0" w:space="0" w:color="auto"/>
      </w:divBdr>
    </w:div>
    <w:div w:id="666327494">
      <w:bodyDiv w:val="1"/>
      <w:marLeft w:val="0"/>
      <w:marRight w:val="0"/>
      <w:marTop w:val="0"/>
      <w:marBottom w:val="0"/>
      <w:divBdr>
        <w:top w:val="none" w:sz="0" w:space="0" w:color="auto"/>
        <w:left w:val="none" w:sz="0" w:space="0" w:color="auto"/>
        <w:bottom w:val="none" w:sz="0" w:space="0" w:color="auto"/>
        <w:right w:val="none" w:sz="0" w:space="0" w:color="auto"/>
      </w:divBdr>
    </w:div>
    <w:div w:id="1036735748">
      <w:bodyDiv w:val="1"/>
      <w:marLeft w:val="0"/>
      <w:marRight w:val="0"/>
      <w:marTop w:val="0"/>
      <w:marBottom w:val="0"/>
      <w:divBdr>
        <w:top w:val="none" w:sz="0" w:space="0" w:color="auto"/>
        <w:left w:val="none" w:sz="0" w:space="0" w:color="auto"/>
        <w:bottom w:val="none" w:sz="0" w:space="0" w:color="auto"/>
        <w:right w:val="none" w:sz="0" w:space="0" w:color="auto"/>
      </w:divBdr>
    </w:div>
    <w:div w:id="1320113416">
      <w:bodyDiv w:val="1"/>
      <w:marLeft w:val="0"/>
      <w:marRight w:val="0"/>
      <w:marTop w:val="0"/>
      <w:marBottom w:val="0"/>
      <w:divBdr>
        <w:top w:val="none" w:sz="0" w:space="0" w:color="auto"/>
        <w:left w:val="none" w:sz="0" w:space="0" w:color="auto"/>
        <w:bottom w:val="none" w:sz="0" w:space="0" w:color="auto"/>
        <w:right w:val="none" w:sz="0" w:space="0" w:color="auto"/>
      </w:divBdr>
    </w:div>
    <w:div w:id="1506355717">
      <w:bodyDiv w:val="1"/>
      <w:marLeft w:val="0"/>
      <w:marRight w:val="0"/>
      <w:marTop w:val="0"/>
      <w:marBottom w:val="0"/>
      <w:divBdr>
        <w:top w:val="none" w:sz="0" w:space="0" w:color="auto"/>
        <w:left w:val="none" w:sz="0" w:space="0" w:color="auto"/>
        <w:bottom w:val="none" w:sz="0" w:space="0" w:color="auto"/>
        <w:right w:val="none" w:sz="0" w:space="0" w:color="auto"/>
      </w:divBdr>
      <w:divsChild>
        <w:div w:id="986931156">
          <w:marLeft w:val="0"/>
          <w:marRight w:val="0"/>
          <w:marTop w:val="0"/>
          <w:marBottom w:val="0"/>
          <w:divBdr>
            <w:top w:val="none" w:sz="0" w:space="0" w:color="auto"/>
            <w:left w:val="none" w:sz="0" w:space="0" w:color="auto"/>
            <w:bottom w:val="none" w:sz="0" w:space="0" w:color="auto"/>
            <w:right w:val="none" w:sz="0" w:space="0" w:color="auto"/>
          </w:divBdr>
          <w:divsChild>
            <w:div w:id="1091048517">
              <w:marLeft w:val="0"/>
              <w:marRight w:val="0"/>
              <w:marTop w:val="0"/>
              <w:marBottom w:val="0"/>
              <w:divBdr>
                <w:top w:val="none" w:sz="0" w:space="0" w:color="auto"/>
                <w:left w:val="none" w:sz="0" w:space="0" w:color="auto"/>
                <w:bottom w:val="none" w:sz="0" w:space="0" w:color="auto"/>
                <w:right w:val="none" w:sz="0" w:space="0" w:color="auto"/>
              </w:divBdr>
              <w:divsChild>
                <w:div w:id="1092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0372">
      <w:bodyDiv w:val="1"/>
      <w:marLeft w:val="0"/>
      <w:marRight w:val="0"/>
      <w:marTop w:val="0"/>
      <w:marBottom w:val="0"/>
      <w:divBdr>
        <w:top w:val="none" w:sz="0" w:space="0" w:color="auto"/>
        <w:left w:val="none" w:sz="0" w:space="0" w:color="auto"/>
        <w:bottom w:val="none" w:sz="0" w:space="0" w:color="auto"/>
        <w:right w:val="none" w:sz="0" w:space="0" w:color="auto"/>
      </w:divBdr>
      <w:divsChild>
        <w:div w:id="1973172714">
          <w:marLeft w:val="0"/>
          <w:marRight w:val="0"/>
          <w:marTop w:val="0"/>
          <w:marBottom w:val="0"/>
          <w:divBdr>
            <w:top w:val="none" w:sz="0" w:space="0" w:color="auto"/>
            <w:left w:val="none" w:sz="0" w:space="0" w:color="auto"/>
            <w:bottom w:val="none" w:sz="0" w:space="0" w:color="auto"/>
            <w:right w:val="none" w:sz="0" w:space="0" w:color="auto"/>
          </w:divBdr>
          <w:divsChild>
            <w:div w:id="665788308">
              <w:marLeft w:val="0"/>
              <w:marRight w:val="0"/>
              <w:marTop w:val="0"/>
              <w:marBottom w:val="0"/>
              <w:divBdr>
                <w:top w:val="none" w:sz="0" w:space="0" w:color="auto"/>
                <w:left w:val="none" w:sz="0" w:space="0" w:color="auto"/>
                <w:bottom w:val="none" w:sz="0" w:space="0" w:color="auto"/>
                <w:right w:val="none" w:sz="0" w:space="0" w:color="auto"/>
              </w:divBdr>
              <w:divsChild>
                <w:div w:id="19964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3749">
      <w:bodyDiv w:val="1"/>
      <w:marLeft w:val="0"/>
      <w:marRight w:val="0"/>
      <w:marTop w:val="0"/>
      <w:marBottom w:val="0"/>
      <w:divBdr>
        <w:top w:val="none" w:sz="0" w:space="0" w:color="auto"/>
        <w:left w:val="none" w:sz="0" w:space="0" w:color="auto"/>
        <w:bottom w:val="none" w:sz="0" w:space="0" w:color="auto"/>
        <w:right w:val="none" w:sz="0" w:space="0" w:color="auto"/>
      </w:divBdr>
      <w:divsChild>
        <w:div w:id="792481203">
          <w:marLeft w:val="0"/>
          <w:marRight w:val="0"/>
          <w:marTop w:val="0"/>
          <w:marBottom w:val="0"/>
          <w:divBdr>
            <w:top w:val="none" w:sz="0" w:space="0" w:color="auto"/>
            <w:left w:val="none" w:sz="0" w:space="0" w:color="auto"/>
            <w:bottom w:val="none" w:sz="0" w:space="0" w:color="auto"/>
            <w:right w:val="none" w:sz="0" w:space="0" w:color="auto"/>
          </w:divBdr>
          <w:divsChild>
            <w:div w:id="1686588536">
              <w:marLeft w:val="0"/>
              <w:marRight w:val="0"/>
              <w:marTop w:val="0"/>
              <w:marBottom w:val="0"/>
              <w:divBdr>
                <w:top w:val="none" w:sz="0" w:space="0" w:color="auto"/>
                <w:left w:val="none" w:sz="0" w:space="0" w:color="auto"/>
                <w:bottom w:val="none" w:sz="0" w:space="0" w:color="auto"/>
                <w:right w:val="none" w:sz="0" w:space="0" w:color="auto"/>
              </w:divBdr>
              <w:divsChild>
                <w:div w:id="5853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7416">
      <w:bodyDiv w:val="1"/>
      <w:marLeft w:val="0"/>
      <w:marRight w:val="0"/>
      <w:marTop w:val="0"/>
      <w:marBottom w:val="0"/>
      <w:divBdr>
        <w:top w:val="none" w:sz="0" w:space="0" w:color="auto"/>
        <w:left w:val="none" w:sz="0" w:space="0" w:color="auto"/>
        <w:bottom w:val="none" w:sz="0" w:space="0" w:color="auto"/>
        <w:right w:val="none" w:sz="0" w:space="0" w:color="auto"/>
      </w:divBdr>
    </w:div>
    <w:div w:id="1903248215">
      <w:bodyDiv w:val="1"/>
      <w:marLeft w:val="0"/>
      <w:marRight w:val="0"/>
      <w:marTop w:val="0"/>
      <w:marBottom w:val="0"/>
      <w:divBdr>
        <w:top w:val="none" w:sz="0" w:space="0" w:color="auto"/>
        <w:left w:val="none" w:sz="0" w:space="0" w:color="auto"/>
        <w:bottom w:val="none" w:sz="0" w:space="0" w:color="auto"/>
        <w:right w:val="none" w:sz="0" w:space="0" w:color="auto"/>
      </w:divBdr>
      <w:divsChild>
        <w:div w:id="1459835105">
          <w:marLeft w:val="0"/>
          <w:marRight w:val="0"/>
          <w:marTop w:val="0"/>
          <w:marBottom w:val="0"/>
          <w:divBdr>
            <w:top w:val="none" w:sz="0" w:space="0" w:color="auto"/>
            <w:left w:val="none" w:sz="0" w:space="0" w:color="auto"/>
            <w:bottom w:val="none" w:sz="0" w:space="0" w:color="auto"/>
            <w:right w:val="none" w:sz="0" w:space="0" w:color="auto"/>
          </w:divBdr>
          <w:divsChild>
            <w:div w:id="896621787">
              <w:marLeft w:val="0"/>
              <w:marRight w:val="0"/>
              <w:marTop w:val="0"/>
              <w:marBottom w:val="0"/>
              <w:divBdr>
                <w:top w:val="none" w:sz="0" w:space="0" w:color="auto"/>
                <w:left w:val="none" w:sz="0" w:space="0" w:color="auto"/>
                <w:bottom w:val="none" w:sz="0" w:space="0" w:color="auto"/>
                <w:right w:val="none" w:sz="0" w:space="0" w:color="auto"/>
              </w:divBdr>
              <w:divsChild>
                <w:div w:id="1416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360.org/wp-content/uploads/2021/09/Communication-to-the-United-Nations-Human-Rights-Committee-in-the-case-of-Faj-against-Gree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FE91-792D-6A49-96A3-2DD12963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Rahel Fischer</dc:creator>
  <cp:keywords/>
  <dc:description/>
  <cp:lastModifiedBy>Anna Rahel Fischer</cp:lastModifiedBy>
  <cp:revision>4</cp:revision>
  <dcterms:created xsi:type="dcterms:W3CDTF">2022-06-20T20:40:00Z</dcterms:created>
  <dcterms:modified xsi:type="dcterms:W3CDTF">2022-06-20T20:57:00Z</dcterms:modified>
</cp:coreProperties>
</file>