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2C4" w:rsidRDefault="007E52C4" w:rsidP="007E52C4">
      <w:pPr>
        <w:spacing w:after="0"/>
        <w:jc w:val="center"/>
        <w:rPr>
          <w:rFonts w:ascii="Arial Narrow" w:hAnsi="Arial Narrow"/>
          <w:b/>
          <w:sz w:val="24"/>
        </w:rPr>
      </w:pPr>
    </w:p>
    <w:p w:rsidR="007E52C4" w:rsidRDefault="007E52C4" w:rsidP="007E52C4">
      <w:pPr>
        <w:spacing w:after="0"/>
        <w:jc w:val="center"/>
        <w:rPr>
          <w:rFonts w:ascii="Arial Narrow" w:hAnsi="Arial Narrow"/>
          <w:b/>
          <w:sz w:val="24"/>
        </w:rPr>
      </w:pPr>
      <w:r>
        <w:rPr>
          <w:rFonts w:ascii="Arial Narrow" w:hAnsi="Arial Narrow"/>
          <w:b/>
          <w:sz w:val="24"/>
        </w:rPr>
        <w:t xml:space="preserve">Contribución al </w:t>
      </w:r>
      <w:r w:rsidRPr="00972A16">
        <w:rPr>
          <w:rFonts w:ascii="Arial Narrow" w:hAnsi="Arial Narrow"/>
          <w:b/>
          <w:i/>
          <w:sz w:val="24"/>
        </w:rPr>
        <w:t>Comentario general sobre desapariciones forzadas en contexto de migración</w:t>
      </w:r>
      <w:r w:rsidRPr="00DA15C9">
        <w:rPr>
          <w:rFonts w:ascii="Arial Narrow" w:hAnsi="Arial Narrow"/>
          <w:b/>
          <w:sz w:val="24"/>
        </w:rPr>
        <w:t xml:space="preserve">, del </w:t>
      </w:r>
      <w:r w:rsidRPr="00972A16">
        <w:rPr>
          <w:rFonts w:ascii="Arial Narrow" w:hAnsi="Arial Narrow"/>
          <w:b/>
          <w:sz w:val="24"/>
        </w:rPr>
        <w:t>Comité sobre Desapariciones Forzadas</w:t>
      </w:r>
      <w:r>
        <w:rPr>
          <w:rFonts w:ascii="Arial Narrow" w:hAnsi="Arial Narrow"/>
          <w:b/>
          <w:sz w:val="24"/>
        </w:rPr>
        <w:t xml:space="preserve"> de la ONU.</w:t>
      </w:r>
    </w:p>
    <w:p w:rsidR="00F85E0A" w:rsidRDefault="00F85E0A"/>
    <w:tbl>
      <w:tblPr>
        <w:tblStyle w:val="Tablaconcuadrcula"/>
        <w:tblW w:w="0" w:type="auto"/>
        <w:tblLook w:val="04A0" w:firstRow="1" w:lastRow="0" w:firstColumn="1" w:lastColumn="0" w:noHBand="0" w:noVBand="1"/>
      </w:tblPr>
      <w:tblGrid>
        <w:gridCol w:w="4414"/>
        <w:gridCol w:w="4414"/>
      </w:tblGrid>
      <w:tr w:rsidR="00F85E0A" w:rsidTr="00A873AE">
        <w:tc>
          <w:tcPr>
            <w:tcW w:w="4414" w:type="dxa"/>
            <w:shd w:val="clear" w:color="auto" w:fill="D9D9D9" w:themeFill="background1" w:themeFillShade="D9"/>
          </w:tcPr>
          <w:p w:rsidR="00F85E0A" w:rsidRDefault="000B62E6" w:rsidP="00F75636">
            <w:pPr>
              <w:jc w:val="center"/>
            </w:pPr>
            <w:r>
              <w:t>Párrafo de la Observación General</w:t>
            </w:r>
          </w:p>
        </w:tc>
        <w:tc>
          <w:tcPr>
            <w:tcW w:w="4414" w:type="dxa"/>
            <w:shd w:val="clear" w:color="auto" w:fill="D9D9D9" w:themeFill="background1" w:themeFillShade="D9"/>
          </w:tcPr>
          <w:p w:rsidR="00F85E0A" w:rsidRDefault="000B62E6" w:rsidP="00F75636">
            <w:pPr>
              <w:jc w:val="center"/>
            </w:pPr>
            <w:r>
              <w:t>Comentario</w:t>
            </w:r>
          </w:p>
        </w:tc>
      </w:tr>
      <w:tr w:rsidR="000B62E6" w:rsidRPr="000B62E6" w:rsidTr="00F85E0A">
        <w:tc>
          <w:tcPr>
            <w:tcW w:w="4414" w:type="dxa"/>
          </w:tcPr>
          <w:p w:rsidR="000B62E6" w:rsidRPr="006642F4" w:rsidRDefault="006642F4" w:rsidP="006642F4">
            <w:pPr>
              <w:pStyle w:val="Ttulo2"/>
              <w:spacing w:before="0" w:beforeAutospacing="0" w:after="120" w:afterAutospacing="0"/>
              <w:jc w:val="both"/>
              <w:outlineLvl w:val="1"/>
              <w:rPr>
                <w:rFonts w:asciiTheme="minorHAnsi" w:eastAsiaTheme="minorEastAsia" w:hAnsiTheme="minorHAnsi" w:cstheme="minorBidi"/>
                <w:b w:val="0"/>
                <w:bCs w:val="0"/>
                <w:sz w:val="22"/>
                <w:szCs w:val="22"/>
                <w:lang w:val="es-ES"/>
              </w:rPr>
            </w:pPr>
            <w:r w:rsidRPr="002E4C35">
              <w:rPr>
                <w:rFonts w:asciiTheme="minorHAnsi" w:hAnsiTheme="minorHAnsi"/>
                <w:b w:val="0"/>
                <w:bCs w:val="0"/>
                <w:sz w:val="22"/>
                <w:szCs w:val="22"/>
                <w:lang w:val="es-ES"/>
              </w:rPr>
              <w:t xml:space="preserve">4. Este fenómeno se ha </w:t>
            </w:r>
            <w:r>
              <w:rPr>
                <w:rFonts w:asciiTheme="minorHAnsi" w:hAnsiTheme="minorHAnsi"/>
                <w:b w:val="0"/>
                <w:bCs w:val="0"/>
                <w:sz w:val="22"/>
                <w:szCs w:val="22"/>
                <w:lang w:val="es-ES"/>
              </w:rPr>
              <w:t>abordado</w:t>
            </w:r>
            <w:r w:rsidRPr="002E4C35">
              <w:rPr>
                <w:rFonts w:asciiTheme="minorHAnsi" w:hAnsiTheme="minorHAnsi"/>
                <w:b w:val="0"/>
                <w:bCs w:val="0"/>
                <w:sz w:val="22"/>
                <w:szCs w:val="22"/>
                <w:lang w:val="es-ES"/>
              </w:rPr>
              <w:t xml:space="preserve"> inicialmente en el Informe 2017 del Grupo de Trabajo de las Naciones Unidas sobre Desapariciones Forzadas o Involuntarias (</w:t>
            </w:r>
            <w:r w:rsidRPr="002E4C35">
              <w:rPr>
                <w:rFonts w:asciiTheme="minorHAnsi" w:eastAsiaTheme="minorEastAsia" w:hAnsiTheme="minorHAnsi" w:cstheme="minorBidi"/>
                <w:b w:val="0"/>
                <w:bCs w:val="0"/>
                <w:sz w:val="22"/>
                <w:szCs w:val="22"/>
                <w:lang w:val="es-ES"/>
              </w:rPr>
              <w:t>GTDFI)</w:t>
            </w:r>
            <w:r>
              <w:rPr>
                <w:rFonts w:asciiTheme="minorHAnsi" w:eastAsiaTheme="minorEastAsia" w:hAnsiTheme="minorHAnsi" w:cstheme="minorBidi"/>
                <w:b w:val="0"/>
                <w:bCs w:val="0"/>
                <w:sz w:val="22"/>
                <w:szCs w:val="22"/>
                <w:lang w:val="es-ES"/>
              </w:rPr>
              <w:t xml:space="preserve"> </w:t>
            </w:r>
            <w:r w:rsidRPr="002E4C35">
              <w:rPr>
                <w:rFonts w:asciiTheme="minorHAnsi" w:eastAsiaTheme="minorEastAsia" w:hAnsiTheme="minorHAnsi" w:cstheme="minorBidi"/>
                <w:b w:val="0"/>
                <w:bCs w:val="0"/>
                <w:sz w:val="22"/>
                <w:szCs w:val="22"/>
                <w:lang w:val="es-ES"/>
              </w:rPr>
              <w:t xml:space="preserve">sobre </w:t>
            </w:r>
            <w:r w:rsidRPr="002E4C35">
              <w:rPr>
                <w:rFonts w:asciiTheme="minorHAnsi" w:eastAsiaTheme="minorEastAsia" w:hAnsiTheme="minorHAnsi" w:cstheme="minorBidi"/>
                <w:b w:val="0"/>
                <w:bCs w:val="0"/>
                <w:i/>
                <w:iCs/>
                <w:sz w:val="22"/>
                <w:szCs w:val="22"/>
                <w:lang w:val="es-ES"/>
              </w:rPr>
              <w:t>Desapariciones forzadas en el contexto de la migración</w:t>
            </w:r>
            <w:r w:rsidRPr="002E4C35">
              <w:rPr>
                <w:rFonts w:asciiTheme="minorHAnsi" w:eastAsiaTheme="minorEastAsia" w:hAnsiTheme="minorHAnsi" w:cstheme="minorBidi"/>
                <w:b w:val="0"/>
                <w:bCs w:val="0"/>
                <w:sz w:val="22"/>
                <w:szCs w:val="22"/>
                <w:lang w:val="es-ES"/>
              </w:rPr>
              <w:t xml:space="preserve">. El GTDFI identificó que la desaparición forzada de migrantes puede ocurrir (a) como resultado del secuestro de migrantes por razones políticas o de otro tipo; (b) durante la detención de migrantes o la ejecución de los procedimientos de deportación; (c) </w:t>
            </w:r>
            <w:r w:rsidRPr="006642F4">
              <w:rPr>
                <w:rFonts w:asciiTheme="minorHAnsi" w:eastAsiaTheme="minorEastAsia" w:hAnsiTheme="minorHAnsi" w:cstheme="minorBidi"/>
                <w:bCs w:val="0"/>
                <w:sz w:val="22"/>
                <w:szCs w:val="22"/>
                <w:lang w:val="es-ES"/>
              </w:rPr>
              <w:t>o como una posible consecuencia del tráfico ilícito y/o la trata.</w:t>
            </w:r>
          </w:p>
        </w:tc>
        <w:tc>
          <w:tcPr>
            <w:tcW w:w="4414" w:type="dxa"/>
          </w:tcPr>
          <w:p w:rsidR="000B62E6" w:rsidRPr="000B62E6" w:rsidRDefault="002D20B7" w:rsidP="000B62E6">
            <w:pPr>
              <w:jc w:val="both"/>
              <w:rPr>
                <w:rFonts w:asciiTheme="majorHAnsi" w:hAnsiTheme="majorHAnsi"/>
              </w:rPr>
            </w:pPr>
            <w:r>
              <w:rPr>
                <w:rFonts w:asciiTheme="majorHAnsi" w:hAnsiTheme="majorHAnsi"/>
              </w:rPr>
              <w:t xml:space="preserve">Es una buena </w:t>
            </w:r>
            <w:r w:rsidR="000B62E6" w:rsidRPr="000B62E6">
              <w:rPr>
                <w:rFonts w:asciiTheme="majorHAnsi" w:hAnsiTheme="majorHAnsi"/>
              </w:rPr>
              <w:t xml:space="preserve">oportunidad para </w:t>
            </w:r>
            <w:r>
              <w:rPr>
                <w:rFonts w:asciiTheme="majorHAnsi" w:hAnsiTheme="majorHAnsi"/>
              </w:rPr>
              <w:t>mencionar</w:t>
            </w:r>
            <w:r w:rsidR="000B62E6" w:rsidRPr="000B62E6">
              <w:rPr>
                <w:rFonts w:asciiTheme="majorHAnsi" w:hAnsiTheme="majorHAnsi"/>
              </w:rPr>
              <w:t xml:space="preserve"> expresa</w:t>
            </w:r>
            <w:r>
              <w:rPr>
                <w:rFonts w:asciiTheme="majorHAnsi" w:hAnsiTheme="majorHAnsi"/>
              </w:rPr>
              <w:t xml:space="preserve">mente </w:t>
            </w:r>
            <w:r w:rsidR="000B62E6" w:rsidRPr="000B62E6">
              <w:rPr>
                <w:rFonts w:asciiTheme="majorHAnsi" w:hAnsiTheme="majorHAnsi"/>
              </w:rPr>
              <w:t>el tráfico con fines de explotación sexual, laboral, trabajos forzosos, tráfico de órganos o servidumbre</w:t>
            </w:r>
            <w:r>
              <w:rPr>
                <w:rFonts w:asciiTheme="majorHAnsi" w:hAnsiTheme="majorHAnsi"/>
              </w:rPr>
              <w:t>. Lo anterior co</w:t>
            </w:r>
            <w:r w:rsidR="000B62E6" w:rsidRPr="000B62E6">
              <w:rPr>
                <w:rFonts w:asciiTheme="majorHAnsi" w:hAnsiTheme="majorHAnsi"/>
              </w:rPr>
              <w:t xml:space="preserve">n la finalidad de visibilizar las razones estructurales que incentivan, permiten y normalizan cada una de </w:t>
            </w:r>
            <w:r w:rsidR="00325409">
              <w:rPr>
                <w:rFonts w:asciiTheme="majorHAnsi" w:hAnsiTheme="majorHAnsi"/>
              </w:rPr>
              <w:t>e</w:t>
            </w:r>
            <w:r w:rsidR="000B62E6" w:rsidRPr="000B62E6">
              <w:rPr>
                <w:rFonts w:asciiTheme="majorHAnsi" w:hAnsiTheme="majorHAnsi"/>
              </w:rPr>
              <w:t>stas</w:t>
            </w:r>
            <w:r w:rsidR="00325409">
              <w:rPr>
                <w:rFonts w:asciiTheme="majorHAnsi" w:hAnsiTheme="majorHAnsi"/>
              </w:rPr>
              <w:t xml:space="preserve"> prácticas</w:t>
            </w:r>
            <w:r w:rsidR="000B62E6" w:rsidRPr="000B62E6">
              <w:rPr>
                <w:rFonts w:asciiTheme="majorHAnsi" w:hAnsiTheme="majorHAnsi"/>
              </w:rPr>
              <w:t xml:space="preserve"> de manera conjunta e individual.</w:t>
            </w:r>
          </w:p>
        </w:tc>
      </w:tr>
      <w:tr w:rsidR="000B62E6" w:rsidRPr="000B62E6" w:rsidTr="00F85E0A">
        <w:tc>
          <w:tcPr>
            <w:tcW w:w="4414" w:type="dxa"/>
          </w:tcPr>
          <w:p w:rsidR="000B62E6" w:rsidRPr="006642F4" w:rsidRDefault="006642F4" w:rsidP="006642F4">
            <w:pPr>
              <w:pStyle w:val="Ttulo2"/>
              <w:spacing w:before="0" w:beforeAutospacing="0" w:after="120" w:afterAutospacing="0"/>
              <w:jc w:val="both"/>
              <w:outlineLvl w:val="1"/>
              <w:rPr>
                <w:rFonts w:asciiTheme="minorHAnsi" w:eastAsiaTheme="minorEastAsia" w:hAnsiTheme="minorHAnsi" w:cstheme="minorBidi"/>
                <w:b w:val="0"/>
                <w:bCs w:val="0"/>
                <w:sz w:val="22"/>
                <w:szCs w:val="22"/>
                <w:lang w:val="es-ES"/>
              </w:rPr>
            </w:pPr>
            <w:r w:rsidRPr="002E4C35">
              <w:rPr>
                <w:rFonts w:asciiTheme="minorHAnsi" w:eastAsiaTheme="minorEastAsia" w:hAnsiTheme="minorHAnsi" w:cstheme="minorBidi"/>
                <w:b w:val="0"/>
                <w:bCs w:val="0"/>
                <w:sz w:val="22"/>
                <w:szCs w:val="22"/>
                <w:lang w:val="es-ES"/>
              </w:rPr>
              <w:t xml:space="preserve">5. Los </w:t>
            </w:r>
            <w:r w:rsidRPr="002E4C35">
              <w:rPr>
                <w:rFonts w:asciiTheme="minorHAnsi" w:eastAsiaTheme="minorEastAsia" w:hAnsiTheme="minorHAnsi" w:cstheme="minorBidi"/>
                <w:b w:val="0"/>
                <w:bCs w:val="0"/>
                <w:i/>
                <w:iCs/>
                <w:sz w:val="22"/>
                <w:szCs w:val="22"/>
                <w:lang w:val="es-ES"/>
              </w:rPr>
              <w:t>Principios Rectores para la Búsqueda de Personas Desapareci</w:t>
            </w:r>
            <w:r w:rsidR="00674160">
              <w:rPr>
                <w:rFonts w:asciiTheme="minorHAnsi" w:eastAsiaTheme="minorEastAsia" w:hAnsiTheme="minorHAnsi" w:cstheme="minorBidi"/>
                <w:b w:val="0"/>
                <w:bCs w:val="0"/>
                <w:i/>
                <w:iCs/>
                <w:sz w:val="22"/>
                <w:szCs w:val="22"/>
                <w:lang w:val="es-ES"/>
              </w:rPr>
              <w:t>das</w:t>
            </w:r>
            <w:r w:rsidRPr="002E4C35">
              <w:rPr>
                <w:rFonts w:asciiTheme="minorHAnsi" w:eastAsiaTheme="minorEastAsia" w:hAnsiTheme="minorHAnsi" w:cstheme="minorBidi"/>
                <w:b w:val="0"/>
                <w:bCs w:val="0"/>
                <w:sz w:val="22"/>
                <w:szCs w:val="22"/>
                <w:lang w:val="es-ES"/>
              </w:rPr>
              <w:t xml:space="preserve"> adoptados por el Comité contra las Desapariciones Forzadas (CED) de la ONU en 2019</w:t>
            </w:r>
            <w:r w:rsidR="00674160">
              <w:rPr>
                <w:rFonts w:asciiTheme="minorHAnsi" w:eastAsiaTheme="minorEastAsia" w:hAnsiTheme="minorHAnsi" w:cstheme="minorBidi"/>
                <w:b w:val="0"/>
                <w:bCs w:val="0"/>
                <w:sz w:val="22"/>
                <w:szCs w:val="22"/>
                <w:lang w:val="es-ES"/>
              </w:rPr>
              <w:t>,</w:t>
            </w:r>
            <w:r w:rsidRPr="002E4C35">
              <w:rPr>
                <w:rFonts w:asciiTheme="minorHAnsi" w:eastAsiaTheme="minorEastAsia" w:hAnsiTheme="minorHAnsi" w:cstheme="minorBidi"/>
                <w:b w:val="0"/>
                <w:bCs w:val="0"/>
                <w:sz w:val="22"/>
                <w:szCs w:val="22"/>
                <w:lang w:val="es-ES"/>
              </w:rPr>
              <w:t xml:space="preserve"> hacen hincapié en la especial vulnerabilidad de los migrantes, piden a los Estados que presten atención a los riesgos de desaparición forzada, que aumentan como consecuencia de la migración, y solicitan </w:t>
            </w:r>
            <w:r w:rsidRPr="006642F4">
              <w:rPr>
                <w:rFonts w:asciiTheme="minorHAnsi" w:eastAsiaTheme="minorEastAsia" w:hAnsiTheme="minorHAnsi" w:cstheme="minorBidi"/>
                <w:bCs w:val="0"/>
                <w:sz w:val="22"/>
                <w:szCs w:val="22"/>
                <w:lang w:val="es-ES"/>
              </w:rPr>
              <w:t>medidas específicas de búsqueda y protección coordinadas teniendo en cuenta las dificultades asociadas a las situaciones de migración.</w:t>
            </w:r>
            <w:r w:rsidRPr="002E4C35">
              <w:rPr>
                <w:rFonts w:asciiTheme="minorHAnsi" w:eastAsiaTheme="minorEastAsia" w:hAnsiTheme="minorHAnsi" w:cstheme="minorBidi"/>
                <w:b w:val="0"/>
                <w:bCs w:val="0"/>
                <w:sz w:val="22"/>
                <w:szCs w:val="22"/>
                <w:lang w:val="es-ES"/>
              </w:rPr>
              <w:t xml:space="preserve"> </w:t>
            </w:r>
          </w:p>
        </w:tc>
        <w:tc>
          <w:tcPr>
            <w:tcW w:w="4414" w:type="dxa"/>
          </w:tcPr>
          <w:p w:rsidR="000B62E6" w:rsidRPr="000B62E6" w:rsidRDefault="000B62E6" w:rsidP="00B45B3D">
            <w:pPr>
              <w:jc w:val="both"/>
              <w:rPr>
                <w:rFonts w:asciiTheme="majorHAnsi" w:hAnsiTheme="majorHAnsi"/>
              </w:rPr>
            </w:pPr>
            <w:r w:rsidRPr="000B62E6">
              <w:rPr>
                <w:rFonts w:asciiTheme="majorHAnsi" w:hAnsiTheme="majorHAnsi"/>
              </w:rPr>
              <w:t xml:space="preserve">Se sugiere </w:t>
            </w:r>
            <w:r w:rsidR="00F75636">
              <w:rPr>
                <w:rFonts w:asciiTheme="majorHAnsi" w:hAnsiTheme="majorHAnsi"/>
              </w:rPr>
              <w:t>precisar que las personas migrantes</w:t>
            </w:r>
            <w:r w:rsidR="00B45B3D">
              <w:rPr>
                <w:rFonts w:asciiTheme="majorHAnsi" w:hAnsiTheme="majorHAnsi"/>
              </w:rPr>
              <w:t xml:space="preserve"> </w:t>
            </w:r>
            <w:r w:rsidR="00763846">
              <w:rPr>
                <w:rFonts w:asciiTheme="majorHAnsi" w:hAnsiTheme="majorHAnsi"/>
              </w:rPr>
              <w:t>poseen características de identidad</w:t>
            </w:r>
            <w:r w:rsidR="00B45B3D">
              <w:rPr>
                <w:rFonts w:asciiTheme="majorHAnsi" w:hAnsiTheme="majorHAnsi"/>
              </w:rPr>
              <w:t xml:space="preserve"> que pueden colocarlos en situación de particular vulnerabilidad, por ejemplo, por motivos políticos, socioeconómicos, de género, edad o discapacidad y </w:t>
            </w:r>
            <w:r w:rsidR="00F75636">
              <w:rPr>
                <w:rFonts w:asciiTheme="majorHAnsi" w:hAnsiTheme="majorHAnsi"/>
              </w:rPr>
              <w:t>los Estados de</w:t>
            </w:r>
            <w:r w:rsidR="00B45B3D">
              <w:rPr>
                <w:rFonts w:asciiTheme="majorHAnsi" w:hAnsiTheme="majorHAnsi"/>
              </w:rPr>
              <w:t>ben</w:t>
            </w:r>
            <w:r w:rsidR="00F75636">
              <w:rPr>
                <w:rFonts w:asciiTheme="majorHAnsi" w:hAnsiTheme="majorHAnsi"/>
              </w:rPr>
              <w:t xml:space="preserve"> adoptar medidas</w:t>
            </w:r>
            <w:r w:rsidR="00B45B3D">
              <w:rPr>
                <w:rFonts w:asciiTheme="majorHAnsi" w:hAnsiTheme="majorHAnsi"/>
              </w:rPr>
              <w:t xml:space="preserve"> </w:t>
            </w:r>
            <w:r w:rsidR="00F75636">
              <w:rPr>
                <w:rFonts w:asciiTheme="majorHAnsi" w:hAnsiTheme="majorHAnsi"/>
              </w:rPr>
              <w:t xml:space="preserve">para la búsqueda y protección de la </w:t>
            </w:r>
            <w:r w:rsidR="00757ECC">
              <w:rPr>
                <w:rFonts w:asciiTheme="majorHAnsi" w:hAnsiTheme="majorHAnsi"/>
              </w:rPr>
              <w:t>población</w:t>
            </w:r>
            <w:r w:rsidR="00B45B3D">
              <w:rPr>
                <w:rFonts w:asciiTheme="majorHAnsi" w:hAnsiTheme="majorHAnsi"/>
              </w:rPr>
              <w:t xml:space="preserve"> con un enfoque </w:t>
            </w:r>
            <w:proofErr w:type="spellStart"/>
            <w:r w:rsidR="00F75636">
              <w:rPr>
                <w:rFonts w:asciiTheme="majorHAnsi" w:hAnsiTheme="majorHAnsi"/>
              </w:rPr>
              <w:t>interseccional</w:t>
            </w:r>
            <w:proofErr w:type="spellEnd"/>
            <w:r w:rsidR="00B45B3D">
              <w:rPr>
                <w:rFonts w:asciiTheme="majorHAnsi" w:hAnsiTheme="majorHAnsi"/>
              </w:rPr>
              <w:t>.</w:t>
            </w:r>
          </w:p>
        </w:tc>
      </w:tr>
      <w:tr w:rsidR="000B62E6" w:rsidRPr="000B62E6" w:rsidTr="00F85E0A">
        <w:tc>
          <w:tcPr>
            <w:tcW w:w="4414" w:type="dxa"/>
          </w:tcPr>
          <w:p w:rsidR="0003672B" w:rsidRPr="000B62E6" w:rsidRDefault="006642F4" w:rsidP="000B62E6">
            <w:pPr>
              <w:jc w:val="both"/>
              <w:rPr>
                <w:rFonts w:asciiTheme="majorHAnsi" w:eastAsiaTheme="minorEastAsia" w:hAnsiTheme="majorHAnsi"/>
                <w:lang w:val="en-GB"/>
              </w:rPr>
            </w:pPr>
            <w:r w:rsidRPr="002E4C35">
              <w:rPr>
                <w:lang w:val="es-ES"/>
              </w:rPr>
              <w:t xml:space="preserve">6. A pesar de la identificación de la cuestión de la desaparición forzada de migrantes, sigue estando marginada en el discurso político y jurídico, incluyendo </w:t>
            </w:r>
            <w:r w:rsidRPr="006642F4">
              <w:rPr>
                <w:b/>
                <w:lang w:val="es-ES"/>
              </w:rPr>
              <w:t>las especificidades de las obligaciones legales de los Estados en estos casos.</w:t>
            </w:r>
          </w:p>
        </w:tc>
        <w:tc>
          <w:tcPr>
            <w:tcW w:w="4414" w:type="dxa"/>
          </w:tcPr>
          <w:p w:rsidR="000B62E6" w:rsidRPr="000B62E6" w:rsidRDefault="00E41BD1" w:rsidP="000B62E6">
            <w:pPr>
              <w:jc w:val="both"/>
              <w:rPr>
                <w:rFonts w:asciiTheme="majorHAnsi" w:hAnsiTheme="majorHAnsi"/>
              </w:rPr>
            </w:pPr>
            <w:r>
              <w:rPr>
                <w:rFonts w:asciiTheme="majorHAnsi" w:hAnsiTheme="majorHAnsi" w:cstheme="majorHAnsi"/>
              </w:rPr>
              <w:t>Sería importante</w:t>
            </w:r>
            <w:r w:rsidR="000B62E6" w:rsidRPr="000B62E6">
              <w:rPr>
                <w:rFonts w:asciiTheme="majorHAnsi" w:hAnsiTheme="majorHAnsi" w:cstheme="majorHAnsi"/>
              </w:rPr>
              <w:t xml:space="preserve"> mencionar expresamente que l</w:t>
            </w:r>
            <w:r>
              <w:rPr>
                <w:rFonts w:asciiTheme="majorHAnsi" w:hAnsiTheme="majorHAnsi" w:cstheme="majorHAnsi"/>
              </w:rPr>
              <w:t>a</w:t>
            </w:r>
            <w:r w:rsidR="000B62E6" w:rsidRPr="000B62E6">
              <w:rPr>
                <w:rFonts w:asciiTheme="majorHAnsi" w:hAnsiTheme="majorHAnsi" w:cstheme="majorHAnsi"/>
              </w:rPr>
              <w:t xml:space="preserve"> condición de movilidad posiciona a las personas en una situación de desigualdad estructural que obliga a los Estados a tomar medidas diferenciadas de atención</w:t>
            </w:r>
            <w:r>
              <w:rPr>
                <w:rFonts w:asciiTheme="majorHAnsi" w:hAnsiTheme="majorHAnsi" w:cstheme="majorHAnsi"/>
              </w:rPr>
              <w:t>; a</w:t>
            </w:r>
            <w:r w:rsidR="000B62E6" w:rsidRPr="000B62E6">
              <w:rPr>
                <w:rFonts w:asciiTheme="majorHAnsi" w:hAnsiTheme="majorHAnsi" w:cstheme="majorHAnsi"/>
              </w:rPr>
              <w:t>demás de que</w:t>
            </w:r>
            <w:r>
              <w:rPr>
                <w:rFonts w:asciiTheme="majorHAnsi" w:hAnsiTheme="majorHAnsi" w:cstheme="majorHAnsi"/>
              </w:rPr>
              <w:t>,</w:t>
            </w:r>
            <w:r w:rsidR="000B62E6" w:rsidRPr="000B62E6">
              <w:rPr>
                <w:rFonts w:asciiTheme="majorHAnsi" w:hAnsiTheme="majorHAnsi" w:cstheme="majorHAnsi"/>
              </w:rPr>
              <w:t xml:space="preserve"> específicamente tratándose de mujeres y niñas</w:t>
            </w:r>
            <w:r w:rsidR="00757ECC">
              <w:rPr>
                <w:rFonts w:asciiTheme="majorHAnsi" w:hAnsiTheme="majorHAnsi" w:cstheme="majorHAnsi"/>
              </w:rPr>
              <w:t xml:space="preserve">, </w:t>
            </w:r>
            <w:r w:rsidR="000B62E6" w:rsidRPr="000B62E6">
              <w:rPr>
                <w:rFonts w:asciiTheme="majorHAnsi" w:hAnsiTheme="majorHAnsi" w:cstheme="majorHAnsi"/>
              </w:rPr>
              <w:t>la violencia puede estar basada en razones de género.</w:t>
            </w:r>
          </w:p>
        </w:tc>
      </w:tr>
      <w:tr w:rsidR="000B62E6" w:rsidRPr="000B62E6" w:rsidTr="00F85E0A">
        <w:tc>
          <w:tcPr>
            <w:tcW w:w="4414" w:type="dxa"/>
          </w:tcPr>
          <w:p w:rsidR="000B62E6" w:rsidRPr="000B62E6" w:rsidRDefault="00F35EC8" w:rsidP="000B62E6">
            <w:pPr>
              <w:jc w:val="both"/>
              <w:rPr>
                <w:rFonts w:asciiTheme="majorHAnsi" w:eastAsiaTheme="minorEastAsia" w:hAnsiTheme="majorHAnsi"/>
                <w:highlight w:val="yellow"/>
                <w:lang w:val="en-GB"/>
              </w:rPr>
            </w:pPr>
            <w:r>
              <w:rPr>
                <w:lang w:val="es-ES"/>
              </w:rPr>
              <w:t xml:space="preserve">6. </w:t>
            </w:r>
            <w:r w:rsidRPr="00F35EC8">
              <w:rPr>
                <w:b/>
                <w:lang w:val="es-ES"/>
              </w:rPr>
              <w:t>Las rígidas políticas migratorias de los Estados, como la negación de entrada, las devoluciones a menudo acompañadas de violencia, la expulsión o la detención, y los viajes cada vez más peligrosos de los migrantes</w:t>
            </w:r>
            <w:r>
              <w:rPr>
                <w:lang w:val="es-ES"/>
              </w:rPr>
              <w:t>,</w:t>
            </w:r>
            <w:r w:rsidRPr="002E4C35">
              <w:rPr>
                <w:lang w:val="es-ES"/>
              </w:rPr>
              <w:t xml:space="preserve"> provocan un riesgo especial de convertirse en víctimas de desapariciones forzadas. No se trata en absoluto de un </w:t>
            </w:r>
            <w:r w:rsidRPr="002E4C35">
              <w:rPr>
                <w:lang w:val="es-ES"/>
              </w:rPr>
              <w:lastRenderedPageBreak/>
              <w:t xml:space="preserve">problema exclusivo de algunos Estados. Las muertes y desapariciones en las distintas rutas migratorias son ampliamente denunciadas. </w:t>
            </w:r>
          </w:p>
        </w:tc>
        <w:tc>
          <w:tcPr>
            <w:tcW w:w="4414" w:type="dxa"/>
          </w:tcPr>
          <w:p w:rsidR="003E57F4" w:rsidRDefault="000B62E6" w:rsidP="003E57F4">
            <w:pPr>
              <w:jc w:val="both"/>
              <w:rPr>
                <w:rFonts w:asciiTheme="majorHAnsi" w:hAnsiTheme="majorHAnsi" w:cstheme="majorHAnsi"/>
              </w:rPr>
            </w:pPr>
            <w:r w:rsidRPr="00757ECC">
              <w:rPr>
                <w:rFonts w:asciiTheme="majorHAnsi" w:hAnsiTheme="majorHAnsi" w:cstheme="majorHAnsi"/>
              </w:rPr>
              <w:lastRenderedPageBreak/>
              <w:t xml:space="preserve">Se </w:t>
            </w:r>
            <w:r w:rsidR="00757ECC">
              <w:rPr>
                <w:rFonts w:asciiTheme="majorHAnsi" w:hAnsiTheme="majorHAnsi" w:cstheme="majorHAnsi"/>
              </w:rPr>
              <w:t>sugiere</w:t>
            </w:r>
            <w:r w:rsidRPr="00757ECC">
              <w:rPr>
                <w:rFonts w:asciiTheme="majorHAnsi" w:hAnsiTheme="majorHAnsi" w:cstheme="majorHAnsi"/>
              </w:rPr>
              <w:t xml:space="preserve"> </w:t>
            </w:r>
            <w:r w:rsidR="00757ECC">
              <w:rPr>
                <w:rFonts w:asciiTheme="majorHAnsi" w:hAnsiTheme="majorHAnsi" w:cstheme="majorHAnsi"/>
              </w:rPr>
              <w:t>mencionar la militarización de las tareas de control migratorio como</w:t>
            </w:r>
            <w:r w:rsidRPr="00757ECC">
              <w:rPr>
                <w:rFonts w:asciiTheme="majorHAnsi" w:hAnsiTheme="majorHAnsi" w:cstheme="majorHAnsi"/>
              </w:rPr>
              <w:t xml:space="preserve"> </w:t>
            </w:r>
            <w:r w:rsidR="00757ECC">
              <w:rPr>
                <w:rFonts w:asciiTheme="majorHAnsi" w:hAnsiTheme="majorHAnsi" w:cstheme="majorHAnsi"/>
              </w:rPr>
              <w:t>un</w:t>
            </w:r>
            <w:r w:rsidRPr="00757ECC">
              <w:rPr>
                <w:rFonts w:asciiTheme="majorHAnsi" w:hAnsiTheme="majorHAnsi" w:cstheme="majorHAnsi"/>
              </w:rPr>
              <w:t xml:space="preserve"> ejemplo de políticas migratorias rígidas </w:t>
            </w:r>
            <w:r w:rsidR="00757ECC">
              <w:rPr>
                <w:rFonts w:asciiTheme="majorHAnsi" w:hAnsiTheme="majorHAnsi" w:cstheme="majorHAnsi"/>
              </w:rPr>
              <w:t>que constituye un</w:t>
            </w:r>
            <w:r w:rsidR="00757ECC" w:rsidRPr="00757ECC">
              <w:rPr>
                <w:rFonts w:asciiTheme="majorHAnsi" w:hAnsiTheme="majorHAnsi"/>
              </w:rPr>
              <w:t xml:space="preserve"> factor de riesgo de </w:t>
            </w:r>
            <w:r w:rsidR="00757ECC" w:rsidRPr="00757ECC">
              <w:rPr>
                <w:rFonts w:asciiTheme="majorHAnsi" w:hAnsiTheme="majorHAnsi" w:cstheme="majorHAnsi"/>
              </w:rPr>
              <w:t>vulneración de derechos humanos</w:t>
            </w:r>
            <w:r w:rsidR="00757ECC">
              <w:rPr>
                <w:rFonts w:asciiTheme="majorHAnsi" w:hAnsiTheme="majorHAnsi" w:cstheme="majorHAnsi"/>
              </w:rPr>
              <w:t xml:space="preserve">. La militarización </w:t>
            </w:r>
            <w:r w:rsidR="00757ECC" w:rsidRPr="00757ECC">
              <w:rPr>
                <w:rFonts w:asciiTheme="majorHAnsi" w:hAnsiTheme="majorHAnsi" w:cstheme="majorHAnsi"/>
              </w:rPr>
              <w:t xml:space="preserve">obliga a las personas migrantes a viajar por rutas clandestinas cada vez más peligrosas, exponiéndolas a desapariciones forzadas, secuestros, </w:t>
            </w:r>
            <w:r w:rsidR="00757ECC" w:rsidRPr="00757ECC">
              <w:rPr>
                <w:rFonts w:asciiTheme="majorHAnsi" w:hAnsiTheme="majorHAnsi" w:cstheme="majorHAnsi"/>
              </w:rPr>
              <w:lastRenderedPageBreak/>
              <w:t>corrupción, discriminación racial y étnica, tráfico y trata de personas, abuso de autoridad, situaciones climáticas extremas y accidentes en tren, marítimos y carreteros.</w:t>
            </w:r>
          </w:p>
          <w:p w:rsidR="000B62E6" w:rsidRPr="000B62E6" w:rsidRDefault="003E57F4" w:rsidP="003E57F4">
            <w:pPr>
              <w:jc w:val="both"/>
              <w:rPr>
                <w:rFonts w:asciiTheme="majorHAnsi" w:hAnsiTheme="majorHAnsi"/>
                <w:highlight w:val="yellow"/>
              </w:rPr>
            </w:pPr>
            <w:r w:rsidRPr="003E57F4">
              <w:rPr>
                <w:rFonts w:asciiTheme="majorHAnsi" w:hAnsiTheme="majorHAnsi" w:cstheme="majorHAnsi"/>
              </w:rPr>
              <w:t xml:space="preserve">Se </w:t>
            </w:r>
            <w:r w:rsidR="00052A45">
              <w:rPr>
                <w:rFonts w:asciiTheme="majorHAnsi" w:hAnsiTheme="majorHAnsi" w:cstheme="majorHAnsi"/>
              </w:rPr>
              <w:t>considera necesario</w:t>
            </w:r>
            <w:r>
              <w:rPr>
                <w:rFonts w:asciiTheme="majorHAnsi" w:hAnsiTheme="majorHAnsi" w:cstheme="majorHAnsi"/>
              </w:rPr>
              <w:t xml:space="preserve"> enfatizar que</w:t>
            </w:r>
            <w:r>
              <w:rPr>
                <w:rFonts w:ascii="Arial Narrow" w:hAnsi="Arial Narrow"/>
                <w:sz w:val="24"/>
              </w:rPr>
              <w:t xml:space="preserve"> </w:t>
            </w:r>
            <w:r w:rsidRPr="003E57F4">
              <w:rPr>
                <w:rFonts w:asciiTheme="majorHAnsi" w:hAnsiTheme="majorHAnsi"/>
              </w:rPr>
              <w:t>la participación de las Fuerzas Armadas en acciones de control migratorio debe ser restringida y extraordinaria, además de estar en todo momento subordinada a la labor de una autoridad civil capacitada y especializada en la protección de los derechos de las personas migrantes.</w:t>
            </w:r>
          </w:p>
        </w:tc>
      </w:tr>
      <w:tr w:rsidR="00D75557" w:rsidRPr="000B62E6" w:rsidTr="00F85E0A">
        <w:tc>
          <w:tcPr>
            <w:tcW w:w="4414" w:type="dxa"/>
          </w:tcPr>
          <w:p w:rsidR="00D75557" w:rsidRPr="00757ECC" w:rsidRDefault="00D75557" w:rsidP="000B62E6">
            <w:pPr>
              <w:pStyle w:val="Ttulo2"/>
              <w:spacing w:before="0" w:beforeAutospacing="0" w:after="120" w:afterAutospacing="0"/>
              <w:jc w:val="both"/>
              <w:outlineLvl w:val="1"/>
              <w:rPr>
                <w:rFonts w:asciiTheme="majorHAnsi" w:hAnsiTheme="majorHAnsi"/>
                <w:b w:val="0"/>
                <w:bCs w:val="0"/>
                <w:sz w:val="22"/>
                <w:szCs w:val="22"/>
                <w:lang w:val="en-GB"/>
              </w:rPr>
            </w:pPr>
            <w:r>
              <w:rPr>
                <w:rFonts w:asciiTheme="majorHAnsi" w:hAnsiTheme="majorHAnsi"/>
                <w:b w:val="0"/>
                <w:bCs w:val="0"/>
                <w:sz w:val="22"/>
                <w:szCs w:val="22"/>
                <w:lang w:val="en-GB"/>
              </w:rPr>
              <w:lastRenderedPageBreak/>
              <w:t xml:space="preserve">6. </w:t>
            </w:r>
            <w:r w:rsidR="00F35EC8" w:rsidRPr="002E4C35">
              <w:rPr>
                <w:rFonts w:asciiTheme="minorHAnsi" w:hAnsiTheme="minorHAnsi"/>
                <w:b w:val="0"/>
                <w:bCs w:val="0"/>
                <w:sz w:val="22"/>
                <w:szCs w:val="22"/>
                <w:lang w:val="es-ES"/>
              </w:rPr>
              <w:t>Sin embargo</w:t>
            </w:r>
            <w:r w:rsidR="00F35EC8" w:rsidRPr="00F35EC8">
              <w:rPr>
                <w:rFonts w:asciiTheme="minorHAnsi" w:hAnsiTheme="minorHAnsi"/>
                <w:bCs w:val="0"/>
                <w:sz w:val="22"/>
                <w:szCs w:val="22"/>
                <w:lang w:val="es-ES"/>
              </w:rPr>
              <w:t xml:space="preserve">, faltan datos estadísticos y </w:t>
            </w:r>
            <w:r w:rsidR="00F35EC8" w:rsidRPr="00F35EC8">
              <w:rPr>
                <w:rStyle w:val="markedcontent"/>
                <w:rFonts w:asciiTheme="minorHAnsi" w:hAnsiTheme="minorHAnsi" w:cs="Arial"/>
                <w:bCs w:val="0"/>
                <w:sz w:val="22"/>
                <w:szCs w:val="22"/>
                <w:lang w:val="es-ES"/>
              </w:rPr>
              <w:t>no es posible establecer el número exacto de migrantes víctimas de desapariciones forzadas</w:t>
            </w:r>
            <w:r w:rsidR="00F35EC8" w:rsidRPr="002E4C35">
              <w:rPr>
                <w:rStyle w:val="markedcontent"/>
                <w:rFonts w:asciiTheme="minorHAnsi" w:hAnsiTheme="minorHAnsi" w:cs="Arial"/>
                <w:b w:val="0"/>
                <w:bCs w:val="0"/>
                <w:sz w:val="22"/>
                <w:szCs w:val="22"/>
                <w:lang w:val="es-ES"/>
              </w:rPr>
              <w:t>.</w:t>
            </w:r>
          </w:p>
        </w:tc>
        <w:tc>
          <w:tcPr>
            <w:tcW w:w="4414" w:type="dxa"/>
          </w:tcPr>
          <w:p w:rsidR="00D75557" w:rsidRPr="00757ECC" w:rsidRDefault="00D75557" w:rsidP="00D75557">
            <w:pPr>
              <w:jc w:val="both"/>
              <w:rPr>
                <w:rFonts w:asciiTheme="majorHAnsi" w:hAnsiTheme="majorHAnsi" w:cstheme="majorHAnsi"/>
              </w:rPr>
            </w:pPr>
            <w:r>
              <w:rPr>
                <w:rFonts w:asciiTheme="majorHAnsi" w:hAnsiTheme="majorHAnsi" w:cstheme="majorHAnsi"/>
              </w:rPr>
              <w:t xml:space="preserve">Es una buena oportunidad para señalar que la carencia de datos estadísticos oficiales necesarios para conocer la magnitud </w:t>
            </w:r>
            <w:r w:rsidR="001155D1">
              <w:rPr>
                <w:rFonts w:asciiTheme="majorHAnsi" w:hAnsiTheme="majorHAnsi" w:cstheme="majorHAnsi"/>
              </w:rPr>
              <w:t>de la desaparición forzada en contexto de migración</w:t>
            </w:r>
            <w:r>
              <w:rPr>
                <w:rFonts w:asciiTheme="majorHAnsi" w:hAnsiTheme="majorHAnsi" w:cstheme="majorHAnsi"/>
              </w:rPr>
              <w:t xml:space="preserve"> se debe, en ocasiones, a la </w:t>
            </w:r>
            <w:r w:rsidR="007E52C4">
              <w:rPr>
                <w:rFonts w:asciiTheme="majorHAnsi" w:hAnsiTheme="majorHAnsi" w:cstheme="majorHAnsi"/>
              </w:rPr>
              <w:t xml:space="preserve">negligencia </w:t>
            </w:r>
            <w:r>
              <w:rPr>
                <w:rFonts w:asciiTheme="majorHAnsi" w:hAnsiTheme="majorHAnsi" w:cstheme="majorHAnsi"/>
              </w:rPr>
              <w:t>de las autoridades migratorias nacionales</w:t>
            </w:r>
            <w:r w:rsidR="00EC28F7">
              <w:rPr>
                <w:rFonts w:asciiTheme="majorHAnsi" w:hAnsiTheme="majorHAnsi" w:cstheme="majorHAnsi"/>
              </w:rPr>
              <w:t xml:space="preserve"> y que las organizaciones de la sociedad civil hacen esfuerzos para compensar esta falta de información.</w:t>
            </w:r>
          </w:p>
        </w:tc>
      </w:tr>
      <w:tr w:rsidR="000B62E6" w:rsidRPr="000B62E6" w:rsidTr="00F85E0A">
        <w:tc>
          <w:tcPr>
            <w:tcW w:w="4414" w:type="dxa"/>
          </w:tcPr>
          <w:p w:rsidR="000B62E6" w:rsidRPr="000B62E6" w:rsidRDefault="00281535" w:rsidP="00281535">
            <w:pPr>
              <w:spacing w:after="120"/>
              <w:jc w:val="both"/>
              <w:rPr>
                <w:rFonts w:asciiTheme="majorHAnsi" w:hAnsiTheme="majorHAnsi"/>
                <w:lang w:val="en-GB"/>
              </w:rPr>
            </w:pPr>
            <w:r w:rsidRPr="002E4C35">
              <w:rPr>
                <w:lang w:val="es-ES"/>
              </w:rPr>
              <w:t xml:space="preserve">16. </w:t>
            </w:r>
            <w:r w:rsidRPr="0074277E">
              <w:rPr>
                <w:b/>
                <w:lang w:val="es-ES"/>
              </w:rPr>
              <w:t>El derecho a denunciar presuntas desapariciones forzadas se concede a "cualquier persona".</w:t>
            </w:r>
            <w:r w:rsidRPr="002E4C35">
              <w:rPr>
                <w:lang w:val="es-ES"/>
              </w:rPr>
              <w:t xml:space="preserve"> Por lo tanto, debe proporcionarse independientemente del estatus legal de los individuos y no está restringido a los miembros de la familia. Cuando sea aplicable, los Estados también deben garantizar la posibilidad de denunciar las desapariciones forzadas de otros Estados. Las obligaciones del artículo 12.1 no se limitan a los Estados en los que se produjeron las presuntas desapariciones forzadas. En caso de que las personas deseen denunciar una presunta desaparición forzada desde otro país, el país en el que residen debe hacer posible la denuncia, por ejemplo, recibiendo y transmitiendo el informe en el lugar donde se produjo la presunta desaparición forzada.</w:t>
            </w:r>
          </w:p>
        </w:tc>
        <w:tc>
          <w:tcPr>
            <w:tcW w:w="4414" w:type="dxa"/>
          </w:tcPr>
          <w:p w:rsidR="00013A35" w:rsidRPr="000B62E6" w:rsidRDefault="000B62E6" w:rsidP="000B62E6">
            <w:pPr>
              <w:jc w:val="both"/>
              <w:rPr>
                <w:rFonts w:asciiTheme="majorHAnsi" w:hAnsiTheme="majorHAnsi"/>
              </w:rPr>
            </w:pPr>
            <w:r w:rsidRPr="000B62E6">
              <w:rPr>
                <w:rFonts w:asciiTheme="majorHAnsi" w:hAnsiTheme="majorHAnsi"/>
              </w:rPr>
              <w:t xml:space="preserve">Sería importante </w:t>
            </w:r>
            <w:r w:rsidR="004B3D60">
              <w:rPr>
                <w:rFonts w:asciiTheme="majorHAnsi" w:hAnsiTheme="majorHAnsi"/>
              </w:rPr>
              <w:t>añadir</w:t>
            </w:r>
            <w:r w:rsidRPr="000B62E6">
              <w:rPr>
                <w:rFonts w:asciiTheme="majorHAnsi" w:hAnsiTheme="majorHAnsi"/>
              </w:rPr>
              <w:t xml:space="preserve"> que este reporte pueda realizarse ante instancias no penales, como podrían </w:t>
            </w:r>
            <w:r w:rsidR="001E3E1E">
              <w:rPr>
                <w:rFonts w:asciiTheme="majorHAnsi" w:hAnsiTheme="majorHAnsi"/>
              </w:rPr>
              <w:t xml:space="preserve">ser </w:t>
            </w:r>
            <w:r w:rsidRPr="000B62E6">
              <w:rPr>
                <w:rFonts w:asciiTheme="majorHAnsi" w:hAnsiTheme="majorHAnsi"/>
              </w:rPr>
              <w:t xml:space="preserve">mecanismos especiales de búsqueda y localización de personas desaparecidas, así como la posibilidad de que se realicen por otros medios </w:t>
            </w:r>
            <w:r w:rsidR="001E3E1E" w:rsidRPr="000B62E6">
              <w:rPr>
                <w:rFonts w:asciiTheme="majorHAnsi" w:hAnsiTheme="majorHAnsi"/>
              </w:rPr>
              <w:t>enlistando,</w:t>
            </w:r>
            <w:r w:rsidRPr="000B62E6">
              <w:rPr>
                <w:rFonts w:asciiTheme="majorHAnsi" w:hAnsiTheme="majorHAnsi"/>
              </w:rPr>
              <w:t xml:space="preserve"> por ejemplo: noticias, reportes, informes. </w:t>
            </w:r>
            <w:r w:rsidR="002B7070">
              <w:rPr>
                <w:rFonts w:asciiTheme="majorHAnsi" w:hAnsiTheme="majorHAnsi"/>
              </w:rPr>
              <w:t>Como</w:t>
            </w:r>
            <w:r w:rsidRPr="000B62E6">
              <w:rPr>
                <w:rFonts w:asciiTheme="majorHAnsi" w:hAnsiTheme="majorHAnsi"/>
              </w:rPr>
              <w:t xml:space="preserve"> ejemplo</w:t>
            </w:r>
            <w:r w:rsidR="002B7070">
              <w:rPr>
                <w:rFonts w:asciiTheme="majorHAnsi" w:hAnsiTheme="majorHAnsi"/>
              </w:rPr>
              <w:t>,</w:t>
            </w:r>
            <w:r w:rsidRPr="000B62E6">
              <w:rPr>
                <w:rFonts w:asciiTheme="majorHAnsi" w:hAnsiTheme="majorHAnsi"/>
              </w:rPr>
              <w:t xml:space="preserve"> se puede </w:t>
            </w:r>
            <w:r w:rsidR="002B7070">
              <w:rPr>
                <w:rFonts w:asciiTheme="majorHAnsi" w:hAnsiTheme="majorHAnsi"/>
              </w:rPr>
              <w:t>considerar</w:t>
            </w:r>
            <w:r w:rsidRPr="000B62E6">
              <w:rPr>
                <w:rFonts w:asciiTheme="majorHAnsi" w:hAnsiTheme="majorHAnsi"/>
              </w:rPr>
              <w:t xml:space="preserve"> el artículo 80 de la Ley General </w:t>
            </w:r>
            <w:r w:rsidR="002B7070">
              <w:rPr>
                <w:rFonts w:asciiTheme="majorHAnsi" w:hAnsiTheme="majorHAnsi"/>
              </w:rPr>
              <w:t>e</w:t>
            </w:r>
            <w:r w:rsidRPr="000B62E6">
              <w:rPr>
                <w:rFonts w:asciiTheme="majorHAnsi" w:hAnsiTheme="majorHAnsi"/>
              </w:rPr>
              <w:t xml:space="preserve">n Materia </w:t>
            </w:r>
            <w:r w:rsidR="002B7070">
              <w:rPr>
                <w:rFonts w:asciiTheme="majorHAnsi" w:hAnsiTheme="majorHAnsi"/>
              </w:rPr>
              <w:t>d</w:t>
            </w:r>
            <w:r w:rsidRPr="000B62E6">
              <w:rPr>
                <w:rFonts w:asciiTheme="majorHAnsi" w:hAnsiTheme="majorHAnsi"/>
              </w:rPr>
              <w:t xml:space="preserve">e Desaparición </w:t>
            </w:r>
            <w:hyperlink r:id="rId7" w:history="1">
              <w:r w:rsidRPr="00311A30">
                <w:rPr>
                  <w:rFonts w:asciiTheme="majorHAnsi" w:hAnsiTheme="majorHAnsi"/>
                </w:rPr>
                <w:t xml:space="preserve">Forzada </w:t>
              </w:r>
              <w:r w:rsidR="002B7070">
                <w:rPr>
                  <w:rFonts w:asciiTheme="majorHAnsi" w:hAnsiTheme="majorHAnsi"/>
                </w:rPr>
                <w:t>d</w:t>
              </w:r>
              <w:r w:rsidRPr="00311A30">
                <w:rPr>
                  <w:rFonts w:asciiTheme="majorHAnsi" w:hAnsiTheme="majorHAnsi"/>
                </w:rPr>
                <w:t xml:space="preserve">e Personas, Desaparición Cometida </w:t>
              </w:r>
              <w:r w:rsidR="002B7070">
                <w:rPr>
                  <w:rFonts w:asciiTheme="majorHAnsi" w:hAnsiTheme="majorHAnsi"/>
                </w:rPr>
                <w:t>p</w:t>
              </w:r>
              <w:r w:rsidRPr="00311A30">
                <w:rPr>
                  <w:rFonts w:asciiTheme="majorHAnsi" w:hAnsiTheme="majorHAnsi"/>
                </w:rPr>
                <w:t xml:space="preserve">or Particulares Y </w:t>
              </w:r>
              <w:r w:rsidR="002B7070">
                <w:rPr>
                  <w:rFonts w:asciiTheme="majorHAnsi" w:hAnsiTheme="majorHAnsi"/>
                </w:rPr>
                <w:t>d</w:t>
              </w:r>
              <w:r w:rsidRPr="00311A30">
                <w:rPr>
                  <w:rFonts w:asciiTheme="majorHAnsi" w:hAnsiTheme="majorHAnsi"/>
                </w:rPr>
                <w:t xml:space="preserve">el Sistema Nacional </w:t>
              </w:r>
              <w:r w:rsidR="002B7070">
                <w:rPr>
                  <w:rFonts w:asciiTheme="majorHAnsi" w:hAnsiTheme="majorHAnsi"/>
                </w:rPr>
                <w:t>d</w:t>
              </w:r>
              <w:r w:rsidRPr="00311A30">
                <w:rPr>
                  <w:rFonts w:asciiTheme="majorHAnsi" w:hAnsiTheme="majorHAnsi"/>
                </w:rPr>
                <w:t xml:space="preserve">e  Búsqueda </w:t>
              </w:r>
              <w:r w:rsidR="002B7070">
                <w:rPr>
                  <w:rFonts w:asciiTheme="majorHAnsi" w:hAnsiTheme="majorHAnsi"/>
                </w:rPr>
                <w:t>d</w:t>
              </w:r>
              <w:r w:rsidRPr="00311A30">
                <w:rPr>
                  <w:rFonts w:asciiTheme="majorHAnsi" w:hAnsiTheme="majorHAnsi"/>
                </w:rPr>
                <w:t>e Personas</w:t>
              </w:r>
              <w:r w:rsidR="002B7070">
                <w:rPr>
                  <w:rFonts w:asciiTheme="majorHAnsi" w:hAnsiTheme="majorHAnsi"/>
                </w:rPr>
                <w:t>,</w:t>
              </w:r>
              <w:r w:rsidRPr="00311A30">
                <w:rPr>
                  <w:rFonts w:asciiTheme="majorHAnsi" w:hAnsiTheme="majorHAnsi"/>
                </w:rPr>
                <w:t xml:space="preserve"> de México</w:t>
              </w:r>
            </w:hyperlink>
            <w:r w:rsidRPr="000B62E6">
              <w:rPr>
                <w:rFonts w:asciiTheme="majorHAnsi" w:hAnsiTheme="majorHAnsi"/>
              </w:rPr>
              <w:t>.</w:t>
            </w:r>
          </w:p>
        </w:tc>
      </w:tr>
      <w:tr w:rsidR="000B62E6" w:rsidRPr="000B62E6" w:rsidTr="000B62E6">
        <w:trPr>
          <w:trHeight w:val="2810"/>
        </w:trPr>
        <w:tc>
          <w:tcPr>
            <w:tcW w:w="4414" w:type="dxa"/>
          </w:tcPr>
          <w:p w:rsidR="000B62E6" w:rsidRPr="000B62E6" w:rsidRDefault="0074277E" w:rsidP="000B62E6">
            <w:pPr>
              <w:spacing w:after="120"/>
              <w:jc w:val="both"/>
              <w:rPr>
                <w:rFonts w:asciiTheme="majorHAnsi" w:hAnsiTheme="majorHAnsi"/>
                <w:lang w:val="en-GB"/>
              </w:rPr>
            </w:pPr>
            <w:r w:rsidRPr="002E4C35">
              <w:rPr>
                <w:lang w:val="es-ES"/>
              </w:rPr>
              <w:lastRenderedPageBreak/>
              <w:t>17. En el contexto de la migración, es menos probable que se denuncien los casos de desapariciones forzadas, debido</w:t>
            </w:r>
            <w:r w:rsidRPr="002E4C35">
              <w:rPr>
                <w:i/>
                <w:iCs/>
                <w:lang w:val="es-ES"/>
              </w:rPr>
              <w:t xml:space="preserve">, </w:t>
            </w:r>
            <w:r>
              <w:rPr>
                <w:i/>
                <w:iCs/>
                <w:lang w:val="es-ES"/>
              </w:rPr>
              <w:t xml:space="preserve">inter </w:t>
            </w:r>
            <w:proofErr w:type="spellStart"/>
            <w:r>
              <w:rPr>
                <w:i/>
                <w:iCs/>
                <w:lang w:val="es-ES"/>
              </w:rPr>
              <w:t>alia</w:t>
            </w:r>
            <w:proofErr w:type="spellEnd"/>
            <w:r w:rsidRPr="002E4C35">
              <w:rPr>
                <w:i/>
                <w:iCs/>
                <w:lang w:val="es-ES"/>
              </w:rPr>
              <w:t>,</w:t>
            </w:r>
            <w:r w:rsidRPr="0074277E">
              <w:rPr>
                <w:iCs/>
                <w:lang w:val="es-ES"/>
              </w:rPr>
              <w:t xml:space="preserve"> a la</w:t>
            </w:r>
            <w:r w:rsidRPr="002E4C35">
              <w:rPr>
                <w:i/>
                <w:iCs/>
                <w:lang w:val="es-ES"/>
              </w:rPr>
              <w:t xml:space="preserve"> </w:t>
            </w:r>
            <w:r w:rsidRPr="002E4C35">
              <w:rPr>
                <w:lang w:val="es-ES"/>
              </w:rPr>
              <w:t xml:space="preserve">falta de familiares en el estado respectivo, a las barreras lingüísticas y de conocimiento, así como a la posible condición de indocumentado. Por ello, las investigaciones </w:t>
            </w:r>
            <w:r w:rsidRPr="0074277E">
              <w:rPr>
                <w:i/>
                <w:lang w:val="es-ES"/>
              </w:rPr>
              <w:t>ex</w:t>
            </w:r>
            <w:r w:rsidRPr="002E4C35">
              <w:rPr>
                <w:lang w:val="es-ES"/>
              </w:rPr>
              <w:t xml:space="preserve"> </w:t>
            </w:r>
            <w:proofErr w:type="spellStart"/>
            <w:r w:rsidRPr="002E4C35">
              <w:rPr>
                <w:i/>
                <w:iCs/>
                <w:lang w:val="es-ES"/>
              </w:rPr>
              <w:t>o</w:t>
            </w:r>
            <w:r>
              <w:rPr>
                <w:i/>
                <w:iCs/>
                <w:lang w:val="es-ES"/>
              </w:rPr>
              <w:t>f</w:t>
            </w:r>
            <w:r w:rsidRPr="002E4C35">
              <w:rPr>
                <w:i/>
                <w:iCs/>
                <w:lang w:val="es-ES"/>
              </w:rPr>
              <w:t>ficio</w:t>
            </w:r>
            <w:proofErr w:type="spellEnd"/>
            <w:r w:rsidRPr="002E4C35">
              <w:rPr>
                <w:i/>
                <w:iCs/>
                <w:lang w:val="es-ES"/>
              </w:rPr>
              <w:t xml:space="preserve"> </w:t>
            </w:r>
            <w:r w:rsidRPr="002E4C35">
              <w:rPr>
                <w:lang w:val="es-ES"/>
              </w:rPr>
              <w:t>son especialmente relevantes. Las autoridades deben iniciar una investigación tan pronto como tengan conocimiento, por cualquier medio, o indicios de que una persona ha sido objeto de desapariciones</w:t>
            </w:r>
            <w:r>
              <w:rPr>
                <w:lang w:val="es-ES"/>
              </w:rPr>
              <w:t>.</w:t>
            </w:r>
          </w:p>
        </w:tc>
        <w:tc>
          <w:tcPr>
            <w:tcW w:w="4414" w:type="dxa"/>
          </w:tcPr>
          <w:p w:rsidR="000B62E6" w:rsidRPr="00D80204" w:rsidRDefault="000B62E6" w:rsidP="00A873AE">
            <w:pPr>
              <w:jc w:val="both"/>
              <w:rPr>
                <w:rFonts w:asciiTheme="majorHAnsi" w:hAnsiTheme="majorHAnsi"/>
              </w:rPr>
            </w:pPr>
            <w:r w:rsidRPr="000B62E6">
              <w:rPr>
                <w:rFonts w:asciiTheme="majorHAnsi" w:hAnsiTheme="majorHAnsi"/>
              </w:rPr>
              <w:t>Podría ser una gran oportunidad para posicionar que</w:t>
            </w:r>
            <w:r w:rsidR="00311A30">
              <w:rPr>
                <w:rFonts w:asciiTheme="majorHAnsi" w:hAnsiTheme="majorHAnsi"/>
              </w:rPr>
              <w:t>,</w:t>
            </w:r>
            <w:r w:rsidRPr="000B62E6">
              <w:rPr>
                <w:rFonts w:asciiTheme="majorHAnsi" w:hAnsiTheme="majorHAnsi"/>
              </w:rPr>
              <w:t xml:space="preserve"> en caso</w:t>
            </w:r>
            <w:r w:rsidR="00D80204">
              <w:rPr>
                <w:rFonts w:asciiTheme="majorHAnsi" w:hAnsiTheme="majorHAnsi"/>
              </w:rPr>
              <w:t>s que involucren a</w:t>
            </w:r>
            <w:r w:rsidRPr="000B62E6">
              <w:rPr>
                <w:rFonts w:asciiTheme="majorHAnsi" w:hAnsiTheme="majorHAnsi"/>
              </w:rPr>
              <w:t xml:space="preserve"> mujeres</w:t>
            </w:r>
            <w:r w:rsidR="00A873AE">
              <w:rPr>
                <w:rFonts w:asciiTheme="majorHAnsi" w:hAnsiTheme="majorHAnsi"/>
              </w:rPr>
              <w:t>,</w:t>
            </w:r>
            <w:r w:rsidRPr="000B62E6">
              <w:rPr>
                <w:rFonts w:asciiTheme="majorHAnsi" w:hAnsiTheme="majorHAnsi"/>
              </w:rPr>
              <w:t xml:space="preserve"> niñas,</w:t>
            </w:r>
            <w:r w:rsidR="00A873AE">
              <w:rPr>
                <w:rFonts w:asciiTheme="majorHAnsi" w:hAnsiTheme="majorHAnsi"/>
              </w:rPr>
              <w:t xml:space="preserve"> niños y adolescentes</w:t>
            </w:r>
            <w:r w:rsidR="00311A30">
              <w:rPr>
                <w:rFonts w:asciiTheme="majorHAnsi" w:hAnsiTheme="majorHAnsi"/>
              </w:rPr>
              <w:t>,</w:t>
            </w:r>
            <w:r w:rsidRPr="000B62E6">
              <w:rPr>
                <w:rFonts w:asciiTheme="majorHAnsi" w:hAnsiTheme="majorHAnsi"/>
              </w:rPr>
              <w:t xml:space="preserve"> la principal característica de la investigación es que </w:t>
            </w:r>
            <w:r w:rsidR="00053D44">
              <w:rPr>
                <w:rFonts w:asciiTheme="majorHAnsi" w:hAnsiTheme="majorHAnsi"/>
              </w:rPr>
              <w:t>é</w:t>
            </w:r>
            <w:r w:rsidRPr="000B62E6">
              <w:rPr>
                <w:rFonts w:asciiTheme="majorHAnsi" w:hAnsiTheme="majorHAnsi"/>
              </w:rPr>
              <w:t xml:space="preserve">sta debe realizarse </w:t>
            </w:r>
            <w:r w:rsidR="00A873AE">
              <w:rPr>
                <w:rFonts w:asciiTheme="majorHAnsi" w:hAnsiTheme="majorHAnsi"/>
              </w:rPr>
              <w:t xml:space="preserve">además </w:t>
            </w:r>
            <w:r w:rsidRPr="000B62E6">
              <w:rPr>
                <w:rFonts w:asciiTheme="majorHAnsi" w:hAnsiTheme="majorHAnsi"/>
              </w:rPr>
              <w:t>con debida diligencia</w:t>
            </w:r>
            <w:r w:rsidR="00053D44">
              <w:rPr>
                <w:rFonts w:asciiTheme="majorHAnsi" w:hAnsiTheme="majorHAnsi"/>
              </w:rPr>
              <w:t>,</w:t>
            </w:r>
            <w:r w:rsidRPr="000B62E6">
              <w:rPr>
                <w:rFonts w:asciiTheme="majorHAnsi" w:hAnsiTheme="majorHAnsi"/>
              </w:rPr>
              <w:t xml:space="preserve"> tal como ha señalado la </w:t>
            </w:r>
            <w:r w:rsidRPr="005D1E02">
              <w:rPr>
                <w:rFonts w:asciiTheme="majorHAnsi" w:hAnsiTheme="majorHAnsi"/>
              </w:rPr>
              <w:t>Corte I</w:t>
            </w:r>
            <w:r w:rsidR="00B362C7">
              <w:rPr>
                <w:rFonts w:asciiTheme="majorHAnsi" w:hAnsiTheme="majorHAnsi"/>
              </w:rPr>
              <w:t xml:space="preserve">nteramericana de </w:t>
            </w:r>
            <w:r w:rsidRPr="005D1E02">
              <w:rPr>
                <w:rFonts w:asciiTheme="majorHAnsi" w:hAnsiTheme="majorHAnsi"/>
              </w:rPr>
              <w:t>D</w:t>
            </w:r>
            <w:r w:rsidR="00B362C7">
              <w:rPr>
                <w:rFonts w:asciiTheme="majorHAnsi" w:hAnsiTheme="majorHAnsi"/>
              </w:rPr>
              <w:t xml:space="preserve">erechos </w:t>
            </w:r>
            <w:r w:rsidRPr="005D1E02">
              <w:rPr>
                <w:rFonts w:asciiTheme="majorHAnsi" w:hAnsiTheme="majorHAnsi"/>
              </w:rPr>
              <w:t>H</w:t>
            </w:r>
            <w:r w:rsidR="00B362C7">
              <w:rPr>
                <w:rFonts w:asciiTheme="majorHAnsi" w:hAnsiTheme="majorHAnsi"/>
              </w:rPr>
              <w:t>umanos</w:t>
            </w:r>
            <w:r w:rsidRPr="000B62E6">
              <w:rPr>
                <w:rFonts w:asciiTheme="majorHAnsi" w:hAnsiTheme="majorHAnsi"/>
              </w:rPr>
              <w:t>.</w:t>
            </w:r>
          </w:p>
        </w:tc>
      </w:tr>
      <w:tr w:rsidR="00A17EB5" w:rsidRPr="000B62E6" w:rsidTr="000B62E6">
        <w:trPr>
          <w:trHeight w:val="2810"/>
        </w:trPr>
        <w:tc>
          <w:tcPr>
            <w:tcW w:w="4414" w:type="dxa"/>
          </w:tcPr>
          <w:p w:rsidR="00A17EB5" w:rsidRPr="000B62E6" w:rsidRDefault="0074277E" w:rsidP="000B62E6">
            <w:pPr>
              <w:spacing w:after="120"/>
              <w:jc w:val="both"/>
              <w:rPr>
                <w:rFonts w:asciiTheme="majorHAnsi" w:hAnsiTheme="majorHAnsi"/>
                <w:lang w:val="en-GB"/>
              </w:rPr>
            </w:pPr>
            <w:r w:rsidRPr="002E4C35">
              <w:rPr>
                <w:lang w:val="es-ES"/>
              </w:rPr>
              <w:t xml:space="preserve">24. </w:t>
            </w:r>
            <w:r w:rsidRPr="0074277E">
              <w:rPr>
                <w:b/>
                <w:lang w:val="es-ES"/>
              </w:rPr>
              <w:t>Los conocimientos específicos que poseen las familias de las víctimas y sus asociaciones deben ser utilizados en la búsqueda</w:t>
            </w:r>
            <w:r w:rsidRPr="002E4C35">
              <w:rPr>
                <w:lang w:val="es-ES"/>
              </w:rPr>
              <w:t xml:space="preserve"> y, para ello, los Estados partes deben desarrollar instrumentos de cooperación específicos con los países de residencia de las familias para permitir su participación en la investigación</w:t>
            </w:r>
            <w:r>
              <w:rPr>
                <w:lang w:val="es-ES"/>
              </w:rPr>
              <w:t>.</w:t>
            </w:r>
          </w:p>
        </w:tc>
        <w:tc>
          <w:tcPr>
            <w:tcW w:w="4414" w:type="dxa"/>
          </w:tcPr>
          <w:p w:rsidR="00A17EB5" w:rsidRPr="000B62E6" w:rsidRDefault="00A17EB5" w:rsidP="00DE54DC">
            <w:pPr>
              <w:jc w:val="both"/>
              <w:rPr>
                <w:rFonts w:asciiTheme="majorHAnsi" w:hAnsiTheme="majorHAnsi"/>
              </w:rPr>
            </w:pPr>
            <w:r>
              <w:rPr>
                <w:rFonts w:asciiTheme="majorHAnsi" w:hAnsiTheme="majorHAnsi"/>
              </w:rPr>
              <w:t xml:space="preserve">Se </w:t>
            </w:r>
            <w:r w:rsidR="00E84B7E">
              <w:rPr>
                <w:rFonts w:asciiTheme="majorHAnsi" w:hAnsiTheme="majorHAnsi"/>
              </w:rPr>
              <w:t>sugiere</w:t>
            </w:r>
            <w:r>
              <w:rPr>
                <w:rFonts w:asciiTheme="majorHAnsi" w:hAnsiTheme="majorHAnsi"/>
              </w:rPr>
              <w:t xml:space="preserve"> añadir</w:t>
            </w:r>
            <w:r w:rsidR="00E84B7E">
              <w:rPr>
                <w:rFonts w:asciiTheme="majorHAnsi" w:hAnsiTheme="majorHAnsi"/>
              </w:rPr>
              <w:t xml:space="preserve"> explícitamente</w:t>
            </w:r>
            <w:r>
              <w:rPr>
                <w:rFonts w:asciiTheme="majorHAnsi" w:hAnsiTheme="majorHAnsi"/>
              </w:rPr>
              <w:t xml:space="preserve"> que l</w:t>
            </w:r>
            <w:r w:rsidR="00115B55">
              <w:rPr>
                <w:rFonts w:asciiTheme="majorHAnsi" w:hAnsiTheme="majorHAnsi"/>
              </w:rPr>
              <w:t>os instrumentos de</w:t>
            </w:r>
            <w:r>
              <w:rPr>
                <w:rFonts w:asciiTheme="majorHAnsi" w:hAnsiTheme="majorHAnsi"/>
              </w:rPr>
              <w:t xml:space="preserve"> cooperación entre los Estados parte</w:t>
            </w:r>
            <w:r w:rsidR="00115B55">
              <w:rPr>
                <w:rFonts w:asciiTheme="majorHAnsi" w:hAnsiTheme="majorHAnsi"/>
              </w:rPr>
              <w:t>s</w:t>
            </w:r>
            <w:r>
              <w:rPr>
                <w:rFonts w:asciiTheme="majorHAnsi" w:hAnsiTheme="majorHAnsi"/>
              </w:rPr>
              <w:t xml:space="preserve"> y</w:t>
            </w:r>
            <w:r w:rsidR="00115B55">
              <w:rPr>
                <w:rFonts w:asciiTheme="majorHAnsi" w:hAnsiTheme="majorHAnsi"/>
              </w:rPr>
              <w:t xml:space="preserve"> los países de residencia de</w:t>
            </w:r>
            <w:r>
              <w:rPr>
                <w:rFonts w:asciiTheme="majorHAnsi" w:hAnsiTheme="majorHAnsi"/>
              </w:rPr>
              <w:t xml:space="preserve"> los familiares de las víctimas, sus asociaciones y</w:t>
            </w:r>
            <w:r w:rsidR="00115B55">
              <w:rPr>
                <w:rFonts w:asciiTheme="majorHAnsi" w:hAnsiTheme="majorHAnsi"/>
              </w:rPr>
              <w:t>/o</w:t>
            </w:r>
            <w:r>
              <w:rPr>
                <w:rFonts w:asciiTheme="majorHAnsi" w:hAnsiTheme="majorHAnsi"/>
              </w:rPr>
              <w:t xml:space="preserve"> representantes, no debe</w:t>
            </w:r>
            <w:r w:rsidR="00115B55">
              <w:rPr>
                <w:rFonts w:asciiTheme="majorHAnsi" w:hAnsiTheme="majorHAnsi"/>
              </w:rPr>
              <w:t>n</w:t>
            </w:r>
            <w:r>
              <w:rPr>
                <w:rFonts w:asciiTheme="majorHAnsi" w:hAnsiTheme="majorHAnsi"/>
              </w:rPr>
              <w:t xml:space="preserve"> limitarse a </w:t>
            </w:r>
            <w:r w:rsidR="00115B55">
              <w:rPr>
                <w:rFonts w:asciiTheme="majorHAnsi" w:hAnsiTheme="majorHAnsi"/>
              </w:rPr>
              <w:t xml:space="preserve">la </w:t>
            </w:r>
            <w:r>
              <w:rPr>
                <w:rFonts w:asciiTheme="majorHAnsi" w:hAnsiTheme="majorHAnsi"/>
              </w:rPr>
              <w:t xml:space="preserve">búsqueda, sino </w:t>
            </w:r>
            <w:r w:rsidR="00DE54DC">
              <w:rPr>
                <w:rFonts w:asciiTheme="majorHAnsi" w:hAnsiTheme="majorHAnsi"/>
              </w:rPr>
              <w:t>incluir</w:t>
            </w:r>
            <w:r>
              <w:rPr>
                <w:rFonts w:asciiTheme="majorHAnsi" w:hAnsiTheme="majorHAnsi"/>
              </w:rPr>
              <w:t xml:space="preserve"> todos los</w:t>
            </w:r>
            <w:r w:rsidR="00115B55">
              <w:rPr>
                <w:rFonts w:asciiTheme="majorHAnsi" w:hAnsiTheme="majorHAnsi"/>
              </w:rPr>
              <w:t xml:space="preserve"> procesos derivados</w:t>
            </w:r>
            <w:r w:rsidR="00DE54DC">
              <w:rPr>
                <w:rFonts w:asciiTheme="majorHAnsi" w:hAnsiTheme="majorHAnsi"/>
              </w:rPr>
              <w:t xml:space="preserve"> de la investigación</w:t>
            </w:r>
            <w:r w:rsidR="00E84B7E">
              <w:rPr>
                <w:rFonts w:asciiTheme="majorHAnsi" w:hAnsiTheme="majorHAnsi"/>
              </w:rPr>
              <w:t>, como la repatriación de las personas migrantes localizadas privadas de libertad o el traslado de cuerpos en caso de que la localización así lo requiera.</w:t>
            </w:r>
          </w:p>
        </w:tc>
      </w:tr>
      <w:tr w:rsidR="00F409B5" w:rsidRPr="000B62E6" w:rsidTr="000B62E6">
        <w:trPr>
          <w:trHeight w:val="2810"/>
        </w:trPr>
        <w:tc>
          <w:tcPr>
            <w:tcW w:w="4414" w:type="dxa"/>
          </w:tcPr>
          <w:p w:rsidR="00F409B5" w:rsidRPr="0074277E" w:rsidRDefault="0074277E" w:rsidP="0074277E">
            <w:pPr>
              <w:pStyle w:val="NormalWeb"/>
              <w:shd w:val="clear" w:color="auto" w:fill="FFFFFF" w:themeFill="background1"/>
              <w:spacing w:before="0" w:beforeAutospacing="0" w:after="120" w:afterAutospacing="0"/>
              <w:jc w:val="both"/>
              <w:rPr>
                <w:rFonts w:asciiTheme="minorHAnsi" w:hAnsiTheme="minorHAnsi" w:cstheme="minorBidi"/>
                <w:color w:val="000000"/>
                <w:sz w:val="22"/>
                <w:szCs w:val="22"/>
                <w:lang w:val="es-ES"/>
              </w:rPr>
            </w:pPr>
            <w:r w:rsidRPr="002E4C35">
              <w:rPr>
                <w:rFonts w:asciiTheme="minorHAnsi" w:hAnsiTheme="minorHAnsi" w:cstheme="minorBidi"/>
                <w:color w:val="000000" w:themeColor="text1"/>
                <w:sz w:val="22"/>
                <w:szCs w:val="22"/>
                <w:lang w:val="es-ES"/>
              </w:rPr>
              <w:t xml:space="preserve">33. Los Estados Partes deben adoptar las medidas legales necesarias para regular la situación jurídica de las personas desaparecidas cuya suerte no se haya esclarecido, </w:t>
            </w:r>
            <w:r w:rsidRPr="006763B2">
              <w:rPr>
                <w:rFonts w:asciiTheme="minorHAnsi" w:hAnsiTheme="minorHAnsi" w:cstheme="minorBidi"/>
                <w:b/>
                <w:color w:val="000000" w:themeColor="text1"/>
                <w:sz w:val="22"/>
                <w:szCs w:val="22"/>
                <w:lang w:val="es-ES"/>
              </w:rPr>
              <w:t>de manera que sus familiares puedan ejercer sus derechos</w:t>
            </w:r>
            <w:r w:rsidRPr="002E4C35">
              <w:rPr>
                <w:rFonts w:asciiTheme="minorHAnsi" w:hAnsiTheme="minorHAnsi" w:cstheme="minorBidi"/>
                <w:color w:val="000000" w:themeColor="text1"/>
                <w:sz w:val="22"/>
                <w:szCs w:val="22"/>
                <w:lang w:val="es-ES"/>
              </w:rPr>
              <w:t xml:space="preserve"> en ámbitos como el bienestar social, las cuestiones financieras, el derecho de familia y los derechos de propiedad, sin que sea necesario declarar la presunta muerte de la persona desaparecida. (Artículo 24, 6)</w:t>
            </w:r>
            <w:r>
              <w:rPr>
                <w:lang w:val="en-GB"/>
              </w:rPr>
              <w:t>.</w:t>
            </w:r>
          </w:p>
        </w:tc>
        <w:tc>
          <w:tcPr>
            <w:tcW w:w="4414" w:type="dxa"/>
          </w:tcPr>
          <w:p w:rsidR="00F409B5" w:rsidRPr="000B62E6" w:rsidRDefault="00F409B5" w:rsidP="00A873AE">
            <w:pPr>
              <w:jc w:val="both"/>
              <w:rPr>
                <w:rFonts w:asciiTheme="majorHAnsi" w:hAnsiTheme="majorHAnsi"/>
              </w:rPr>
            </w:pPr>
            <w:r>
              <w:rPr>
                <w:rFonts w:asciiTheme="majorHAnsi" w:hAnsiTheme="majorHAnsi"/>
              </w:rPr>
              <w:t xml:space="preserve">Se sugiere aclarar que </w:t>
            </w:r>
            <w:r w:rsidR="003334A0">
              <w:rPr>
                <w:rFonts w:asciiTheme="majorHAnsi" w:hAnsiTheme="majorHAnsi"/>
              </w:rPr>
              <w:t>la manera en que se defin</w:t>
            </w:r>
            <w:r w:rsidR="00DA4173">
              <w:rPr>
                <w:rFonts w:asciiTheme="majorHAnsi" w:hAnsiTheme="majorHAnsi"/>
              </w:rPr>
              <w:t>a</w:t>
            </w:r>
            <w:r w:rsidR="003334A0">
              <w:rPr>
                <w:rFonts w:asciiTheme="majorHAnsi" w:hAnsiTheme="majorHAnsi"/>
              </w:rPr>
              <w:t xml:space="preserve"> el parentesco </w:t>
            </w:r>
            <w:r>
              <w:rPr>
                <w:rFonts w:asciiTheme="majorHAnsi" w:hAnsiTheme="majorHAnsi"/>
              </w:rPr>
              <w:t>o</w:t>
            </w:r>
            <w:r w:rsidR="003334A0">
              <w:rPr>
                <w:rFonts w:asciiTheme="majorHAnsi" w:hAnsiTheme="majorHAnsi"/>
              </w:rPr>
              <w:t xml:space="preserve"> la pertenencia familiar en </w:t>
            </w:r>
            <w:r w:rsidR="00D63ECA">
              <w:rPr>
                <w:rFonts w:asciiTheme="majorHAnsi" w:hAnsiTheme="majorHAnsi"/>
              </w:rPr>
              <w:t>el país en el que se encuentren los familiares, no debe interferir con el ejercicio de derechos</w:t>
            </w:r>
            <w:r w:rsidR="00D33EBF">
              <w:rPr>
                <w:rFonts w:asciiTheme="majorHAnsi" w:hAnsiTheme="majorHAnsi"/>
              </w:rPr>
              <w:t xml:space="preserve"> adquiridos en los territorios de tránsito pertenecientes a Estados partes</w:t>
            </w:r>
            <w:r w:rsidR="00D63ECA">
              <w:rPr>
                <w:rFonts w:asciiTheme="majorHAnsi" w:hAnsiTheme="majorHAnsi"/>
              </w:rPr>
              <w:t xml:space="preserve">. Esto es particularmente relevante en los casos donde no se reconoce la unión libre o los matrimonios </w:t>
            </w:r>
            <w:r w:rsidR="00DA4173">
              <w:rPr>
                <w:rFonts w:asciiTheme="majorHAnsi" w:hAnsiTheme="majorHAnsi"/>
              </w:rPr>
              <w:t>entre personas que forman parte de la comunidad LGBTTTIQA+.</w:t>
            </w:r>
          </w:p>
        </w:tc>
      </w:tr>
      <w:tr w:rsidR="007C7050" w:rsidRPr="000B62E6" w:rsidTr="000B62E6">
        <w:trPr>
          <w:trHeight w:val="2810"/>
        </w:trPr>
        <w:tc>
          <w:tcPr>
            <w:tcW w:w="4414" w:type="dxa"/>
          </w:tcPr>
          <w:p w:rsidR="006763B2" w:rsidRPr="002E4C35" w:rsidRDefault="006763B2" w:rsidP="006763B2">
            <w:pPr>
              <w:pStyle w:val="NormalWeb"/>
              <w:shd w:val="clear" w:color="auto" w:fill="FFFFFF" w:themeFill="background1"/>
              <w:spacing w:before="0" w:beforeAutospacing="0" w:after="120" w:afterAutospacing="0"/>
              <w:jc w:val="both"/>
              <w:rPr>
                <w:rFonts w:asciiTheme="minorHAnsi" w:hAnsiTheme="minorHAnsi" w:cstheme="minorBidi"/>
                <w:color w:val="000000"/>
                <w:sz w:val="22"/>
                <w:szCs w:val="22"/>
                <w:lang w:val="es-ES"/>
              </w:rPr>
            </w:pPr>
            <w:r w:rsidRPr="002E4C35">
              <w:rPr>
                <w:rFonts w:asciiTheme="minorHAnsi" w:hAnsiTheme="minorHAnsi" w:cstheme="minorBidi"/>
                <w:color w:val="000000" w:themeColor="text1"/>
                <w:sz w:val="22"/>
                <w:szCs w:val="22"/>
                <w:lang w:val="es-ES"/>
              </w:rPr>
              <w:t xml:space="preserve">35. Debe prestarse especial atención a los derechos de los niños migrantes, especialmente de los </w:t>
            </w:r>
            <w:r w:rsidRPr="006763B2">
              <w:rPr>
                <w:rFonts w:asciiTheme="minorHAnsi" w:hAnsiTheme="minorHAnsi" w:cstheme="minorBidi"/>
                <w:b/>
                <w:color w:val="000000" w:themeColor="text1"/>
                <w:sz w:val="22"/>
                <w:szCs w:val="22"/>
                <w:lang w:val="es-ES"/>
              </w:rPr>
              <w:t>menores</w:t>
            </w:r>
            <w:r w:rsidR="00A26AAE">
              <w:rPr>
                <w:rFonts w:asciiTheme="minorHAnsi" w:hAnsiTheme="minorHAnsi" w:cstheme="minorBidi"/>
                <w:b/>
                <w:color w:val="000000" w:themeColor="text1"/>
                <w:sz w:val="22"/>
                <w:szCs w:val="22"/>
                <w:lang w:val="es-ES"/>
              </w:rPr>
              <w:t xml:space="preserve"> de edad</w:t>
            </w:r>
            <w:r w:rsidRPr="006763B2">
              <w:rPr>
                <w:rFonts w:asciiTheme="minorHAnsi" w:hAnsiTheme="minorHAnsi" w:cstheme="minorBidi"/>
                <w:b/>
                <w:color w:val="000000" w:themeColor="text1"/>
                <w:sz w:val="22"/>
                <w:szCs w:val="22"/>
                <w:lang w:val="es-ES"/>
              </w:rPr>
              <w:t xml:space="preserve"> no acompañados, que corren un mayor riesgo de desaparición forzada al salir de los centros de recepción de migrantes. Los niños que nacen mientras sus madres</w:t>
            </w:r>
            <w:r w:rsidRPr="002E4C35">
              <w:rPr>
                <w:rFonts w:asciiTheme="minorHAnsi" w:hAnsiTheme="minorHAnsi" w:cstheme="minorBidi"/>
                <w:color w:val="000000" w:themeColor="text1"/>
                <w:sz w:val="22"/>
                <w:szCs w:val="22"/>
                <w:lang w:val="es-ES"/>
              </w:rPr>
              <w:t xml:space="preserve"> están en las rutas migratorias, corren un riesgo adicional de ser expulsados injustamente. (Art. 25) </w:t>
            </w:r>
          </w:p>
          <w:p w:rsidR="007C7050" w:rsidRPr="00F409B5" w:rsidRDefault="007C7050" w:rsidP="00F409B5">
            <w:pPr>
              <w:spacing w:after="120"/>
              <w:jc w:val="both"/>
              <w:rPr>
                <w:rFonts w:asciiTheme="majorHAnsi" w:hAnsiTheme="majorHAnsi"/>
                <w:lang w:val="en-GB"/>
              </w:rPr>
            </w:pPr>
          </w:p>
        </w:tc>
        <w:tc>
          <w:tcPr>
            <w:tcW w:w="4414" w:type="dxa"/>
          </w:tcPr>
          <w:p w:rsidR="007C7050" w:rsidRDefault="007C7050" w:rsidP="00A873AE">
            <w:pPr>
              <w:jc w:val="both"/>
              <w:rPr>
                <w:rFonts w:asciiTheme="majorHAnsi" w:hAnsiTheme="majorHAnsi"/>
              </w:rPr>
            </w:pPr>
            <w:r>
              <w:rPr>
                <w:rFonts w:asciiTheme="majorHAnsi" w:hAnsiTheme="majorHAnsi"/>
              </w:rPr>
              <w:t xml:space="preserve">Resulta relevante añadir que </w:t>
            </w:r>
            <w:r w:rsidR="007B0452">
              <w:rPr>
                <w:rFonts w:asciiTheme="majorHAnsi" w:hAnsiTheme="majorHAnsi"/>
              </w:rPr>
              <w:t>la separación de niñas, niños y adolescentes de sus familias</w:t>
            </w:r>
            <w:r w:rsidR="005E44E2">
              <w:rPr>
                <w:rFonts w:asciiTheme="majorHAnsi" w:hAnsiTheme="majorHAnsi"/>
              </w:rPr>
              <w:t xml:space="preserve"> debido, por ejemplo, a la detención de sus padres,</w:t>
            </w:r>
            <w:r w:rsidR="007B0452">
              <w:rPr>
                <w:rFonts w:asciiTheme="majorHAnsi" w:hAnsiTheme="majorHAnsi"/>
              </w:rPr>
              <w:t xml:space="preserve"> también constituye un riesgo adicional de desaparición forza</w:t>
            </w:r>
            <w:r w:rsidR="005E44E2">
              <w:rPr>
                <w:rFonts w:asciiTheme="majorHAnsi" w:hAnsiTheme="majorHAnsi"/>
              </w:rPr>
              <w:t>da. Se debe enfatizar el respeto</w:t>
            </w:r>
            <w:r w:rsidR="007B0452">
              <w:rPr>
                <w:rFonts w:asciiTheme="majorHAnsi" w:hAnsiTheme="majorHAnsi"/>
              </w:rPr>
              <w:t xml:space="preserve"> a la unidad familiar</w:t>
            </w:r>
            <w:r w:rsidR="00A26AAE">
              <w:rPr>
                <w:rFonts w:asciiTheme="majorHAnsi" w:hAnsiTheme="majorHAnsi"/>
              </w:rPr>
              <w:t xml:space="preserve"> y el interés superior de la niñez</w:t>
            </w:r>
            <w:r w:rsidR="007B0452">
              <w:rPr>
                <w:rFonts w:asciiTheme="majorHAnsi" w:hAnsiTheme="majorHAnsi"/>
              </w:rPr>
              <w:t>.</w:t>
            </w:r>
          </w:p>
        </w:tc>
      </w:tr>
      <w:tr w:rsidR="00AC6843" w:rsidRPr="000B62E6" w:rsidTr="00F85E0A">
        <w:tc>
          <w:tcPr>
            <w:tcW w:w="4414" w:type="dxa"/>
          </w:tcPr>
          <w:p w:rsidR="00EE560F" w:rsidRPr="00EE560F" w:rsidRDefault="00EE560F" w:rsidP="00EE560F">
            <w:pPr>
              <w:spacing w:after="120"/>
              <w:jc w:val="both"/>
              <w:rPr>
                <w:rFonts w:asciiTheme="majorHAnsi" w:hAnsiTheme="majorHAnsi"/>
                <w:b/>
                <w:bCs/>
                <w:lang w:val="en-GB"/>
              </w:rPr>
            </w:pPr>
          </w:p>
          <w:p w:rsidR="00AF6249" w:rsidRPr="00EE560F" w:rsidRDefault="00AF6249" w:rsidP="00AF6249">
            <w:pPr>
              <w:spacing w:after="120"/>
              <w:jc w:val="both"/>
              <w:rPr>
                <w:rFonts w:asciiTheme="majorHAnsi" w:hAnsiTheme="majorHAnsi"/>
                <w:b/>
                <w:bCs/>
                <w:lang w:val="en-GB"/>
              </w:rPr>
            </w:pPr>
          </w:p>
          <w:p w:rsidR="00AF6249" w:rsidRPr="000C4BF5" w:rsidRDefault="00AF6249" w:rsidP="00AF6249">
            <w:pPr>
              <w:spacing w:after="120"/>
              <w:rPr>
                <w:b/>
                <w:lang w:val="en-GB"/>
              </w:rPr>
            </w:pPr>
            <w:r w:rsidRPr="132F9266">
              <w:rPr>
                <w:b/>
                <w:bCs/>
                <w:lang w:val="en-GB"/>
              </w:rPr>
              <w:t xml:space="preserve">a) </w:t>
            </w:r>
            <w:proofErr w:type="spellStart"/>
            <w:r w:rsidRPr="132F9266">
              <w:rPr>
                <w:b/>
                <w:bCs/>
                <w:lang w:val="en-GB"/>
              </w:rPr>
              <w:t>Obliga</w:t>
            </w:r>
            <w:r w:rsidR="00CC528D">
              <w:rPr>
                <w:b/>
                <w:bCs/>
                <w:lang w:val="en-GB"/>
              </w:rPr>
              <w:t>ción</w:t>
            </w:r>
            <w:proofErr w:type="spellEnd"/>
            <w:r w:rsidR="00CC528D">
              <w:rPr>
                <w:b/>
                <w:bCs/>
                <w:lang w:val="en-GB"/>
              </w:rPr>
              <w:t xml:space="preserve"> de </w:t>
            </w:r>
            <w:proofErr w:type="spellStart"/>
            <w:r w:rsidR="00CC528D">
              <w:rPr>
                <w:b/>
                <w:bCs/>
                <w:lang w:val="en-GB"/>
              </w:rPr>
              <w:t>investigar</w:t>
            </w:r>
            <w:proofErr w:type="spellEnd"/>
          </w:p>
          <w:p w:rsidR="00AC6843" w:rsidRPr="00AF6249" w:rsidRDefault="00AC6843" w:rsidP="00AF6249">
            <w:pPr>
              <w:spacing w:after="120"/>
              <w:jc w:val="both"/>
              <w:rPr>
                <w:rFonts w:asciiTheme="majorHAnsi" w:hAnsiTheme="majorHAnsi"/>
                <w:b/>
                <w:bCs/>
                <w:lang w:val="en-GB"/>
              </w:rPr>
            </w:pPr>
          </w:p>
        </w:tc>
        <w:tc>
          <w:tcPr>
            <w:tcW w:w="4414" w:type="dxa"/>
          </w:tcPr>
          <w:p w:rsidR="00AC6843" w:rsidRPr="00947A8E" w:rsidRDefault="00BA76CA" w:rsidP="00AD5394">
            <w:pPr>
              <w:jc w:val="both"/>
              <w:rPr>
                <w:rFonts w:asciiTheme="majorHAnsi" w:hAnsiTheme="majorHAnsi"/>
              </w:rPr>
            </w:pPr>
            <w:r>
              <w:rPr>
                <w:rFonts w:asciiTheme="majorHAnsi" w:hAnsiTheme="majorHAnsi"/>
              </w:rPr>
              <w:t xml:space="preserve">Se considera necesario añadir que los Estados deben </w:t>
            </w:r>
            <w:r w:rsidR="00002CDF">
              <w:rPr>
                <w:rFonts w:asciiTheme="majorHAnsi" w:hAnsiTheme="majorHAnsi"/>
              </w:rPr>
              <w:t>g</w:t>
            </w:r>
            <w:r w:rsidR="00002CDF" w:rsidRPr="00002CDF">
              <w:rPr>
                <w:rFonts w:asciiTheme="majorHAnsi" w:hAnsiTheme="majorHAnsi"/>
              </w:rPr>
              <w:t xml:space="preserve">arantizar que los agentes </w:t>
            </w:r>
            <w:r w:rsidR="00002CDF">
              <w:rPr>
                <w:rFonts w:asciiTheme="majorHAnsi" w:hAnsiTheme="majorHAnsi"/>
              </w:rPr>
              <w:t xml:space="preserve">encargados de la implementación de la política migratoria </w:t>
            </w:r>
            <w:r w:rsidR="00002CDF" w:rsidRPr="00002CDF">
              <w:rPr>
                <w:rFonts w:asciiTheme="majorHAnsi" w:hAnsiTheme="majorHAnsi"/>
              </w:rPr>
              <w:t xml:space="preserve">rindan cuentas </w:t>
            </w:r>
            <w:r w:rsidR="00002CDF">
              <w:rPr>
                <w:rFonts w:asciiTheme="majorHAnsi" w:hAnsiTheme="majorHAnsi"/>
              </w:rPr>
              <w:t>cuando se demuestre que cometieron</w:t>
            </w:r>
            <w:r w:rsidR="00002CDF" w:rsidRPr="00002CDF">
              <w:rPr>
                <w:rFonts w:asciiTheme="majorHAnsi" w:hAnsiTheme="majorHAnsi"/>
              </w:rPr>
              <w:t xml:space="preserve"> abusos contra personas migrantes y solicitantes de asilo</w:t>
            </w:r>
            <w:r w:rsidR="00A26AAE">
              <w:rPr>
                <w:rFonts w:asciiTheme="majorHAnsi" w:hAnsiTheme="majorHAnsi"/>
              </w:rPr>
              <w:t>, refugiados y apátridas</w:t>
            </w:r>
            <w:r w:rsidR="00002CDF">
              <w:rPr>
                <w:rFonts w:asciiTheme="majorHAnsi" w:hAnsiTheme="majorHAnsi"/>
              </w:rPr>
              <w:t>. Esta es una condición necesaria para terminar con el clima de impunidad que da lugar a la desaparición forzada.</w:t>
            </w:r>
          </w:p>
        </w:tc>
      </w:tr>
      <w:tr w:rsidR="000B62E6" w:rsidRPr="000B62E6" w:rsidTr="00F85E0A">
        <w:tc>
          <w:tcPr>
            <w:tcW w:w="4414" w:type="dxa"/>
          </w:tcPr>
          <w:p w:rsidR="00C96037" w:rsidRDefault="00C96037" w:rsidP="000B62E6">
            <w:pPr>
              <w:spacing w:after="120"/>
              <w:jc w:val="both"/>
              <w:rPr>
                <w:rFonts w:asciiTheme="majorHAnsi" w:hAnsiTheme="majorHAnsi"/>
                <w:b/>
                <w:bCs/>
                <w:lang w:val="en-GB"/>
              </w:rPr>
            </w:pPr>
          </w:p>
          <w:p w:rsidR="00C96037" w:rsidRDefault="00C96037" w:rsidP="000B62E6">
            <w:pPr>
              <w:spacing w:after="120"/>
              <w:jc w:val="both"/>
              <w:rPr>
                <w:rFonts w:asciiTheme="majorHAnsi" w:hAnsiTheme="majorHAnsi"/>
                <w:b/>
                <w:bCs/>
                <w:lang w:val="en-GB"/>
              </w:rPr>
            </w:pPr>
          </w:p>
          <w:p w:rsidR="00281535" w:rsidRDefault="00281535" w:rsidP="000B62E6">
            <w:pPr>
              <w:spacing w:after="120"/>
              <w:jc w:val="both"/>
              <w:rPr>
                <w:rFonts w:asciiTheme="majorHAnsi" w:hAnsiTheme="majorHAnsi"/>
                <w:b/>
                <w:bCs/>
                <w:lang w:val="en-GB"/>
              </w:rPr>
            </w:pPr>
          </w:p>
          <w:p w:rsidR="00281535" w:rsidRDefault="00281535" w:rsidP="000B62E6">
            <w:pPr>
              <w:spacing w:after="120"/>
              <w:jc w:val="both"/>
              <w:rPr>
                <w:rFonts w:asciiTheme="majorHAnsi" w:hAnsiTheme="majorHAnsi"/>
                <w:b/>
                <w:bCs/>
                <w:lang w:val="en-GB"/>
              </w:rPr>
            </w:pPr>
          </w:p>
          <w:p w:rsidR="00281535" w:rsidRDefault="00281535" w:rsidP="000B62E6">
            <w:pPr>
              <w:spacing w:after="120"/>
              <w:jc w:val="both"/>
              <w:rPr>
                <w:rFonts w:asciiTheme="majorHAnsi" w:hAnsiTheme="majorHAnsi"/>
                <w:b/>
                <w:bCs/>
                <w:lang w:val="en-GB"/>
              </w:rPr>
            </w:pPr>
          </w:p>
          <w:p w:rsidR="00C96037" w:rsidRDefault="00C96037" w:rsidP="000B62E6">
            <w:pPr>
              <w:spacing w:after="120"/>
              <w:jc w:val="both"/>
              <w:rPr>
                <w:rFonts w:asciiTheme="majorHAnsi" w:hAnsiTheme="majorHAnsi"/>
                <w:b/>
                <w:bCs/>
                <w:lang w:val="en-GB"/>
              </w:rPr>
            </w:pPr>
          </w:p>
          <w:p w:rsidR="000B62E6" w:rsidRPr="000B62E6" w:rsidRDefault="000B62E6" w:rsidP="00281535">
            <w:pPr>
              <w:spacing w:after="120"/>
              <w:jc w:val="both"/>
              <w:rPr>
                <w:rFonts w:asciiTheme="majorHAnsi" w:hAnsiTheme="majorHAnsi"/>
                <w:lang w:val="en-GB"/>
              </w:rPr>
            </w:pPr>
            <w:r w:rsidRPr="000B62E6">
              <w:rPr>
                <w:rFonts w:asciiTheme="majorHAnsi" w:hAnsiTheme="majorHAnsi"/>
                <w:b/>
                <w:bCs/>
                <w:lang w:val="en-GB"/>
              </w:rPr>
              <w:t xml:space="preserve">b) </w:t>
            </w:r>
            <w:proofErr w:type="spellStart"/>
            <w:r w:rsidR="00281535">
              <w:rPr>
                <w:rFonts w:asciiTheme="majorHAnsi" w:hAnsiTheme="majorHAnsi"/>
                <w:b/>
                <w:bCs/>
                <w:lang w:val="en-GB"/>
              </w:rPr>
              <w:t>Prohibición</w:t>
            </w:r>
            <w:proofErr w:type="spellEnd"/>
            <w:r w:rsidR="00281535">
              <w:rPr>
                <w:rFonts w:asciiTheme="majorHAnsi" w:hAnsiTheme="majorHAnsi"/>
                <w:b/>
                <w:bCs/>
                <w:lang w:val="en-GB"/>
              </w:rPr>
              <w:t xml:space="preserve"> de la </w:t>
            </w:r>
            <w:proofErr w:type="spellStart"/>
            <w:r w:rsidR="00281535">
              <w:rPr>
                <w:rFonts w:asciiTheme="majorHAnsi" w:hAnsiTheme="majorHAnsi"/>
                <w:b/>
                <w:bCs/>
                <w:lang w:val="en-GB"/>
              </w:rPr>
              <w:t>detención</w:t>
            </w:r>
            <w:proofErr w:type="spellEnd"/>
            <w:r w:rsidR="00281535">
              <w:rPr>
                <w:rFonts w:asciiTheme="majorHAnsi" w:hAnsiTheme="majorHAnsi"/>
                <w:b/>
                <w:bCs/>
                <w:lang w:val="en-GB"/>
              </w:rPr>
              <w:t xml:space="preserve"> </w:t>
            </w:r>
            <w:proofErr w:type="spellStart"/>
            <w:r w:rsidR="00281535">
              <w:rPr>
                <w:rFonts w:asciiTheme="majorHAnsi" w:hAnsiTheme="majorHAnsi"/>
                <w:b/>
                <w:bCs/>
                <w:lang w:val="en-GB"/>
              </w:rPr>
              <w:t>secreta</w:t>
            </w:r>
            <w:proofErr w:type="spellEnd"/>
            <w:r w:rsidR="00281535">
              <w:rPr>
                <w:rFonts w:asciiTheme="majorHAnsi" w:hAnsiTheme="majorHAnsi"/>
                <w:b/>
                <w:bCs/>
                <w:lang w:val="en-GB"/>
              </w:rPr>
              <w:t xml:space="preserve"> de </w:t>
            </w:r>
            <w:proofErr w:type="spellStart"/>
            <w:r w:rsidR="00281535">
              <w:rPr>
                <w:rFonts w:asciiTheme="majorHAnsi" w:hAnsiTheme="majorHAnsi"/>
                <w:b/>
                <w:bCs/>
                <w:lang w:val="en-GB"/>
              </w:rPr>
              <w:t>migrantes</w:t>
            </w:r>
            <w:proofErr w:type="spellEnd"/>
            <w:r w:rsidR="00281535">
              <w:rPr>
                <w:rFonts w:asciiTheme="majorHAnsi" w:hAnsiTheme="majorHAnsi"/>
                <w:b/>
                <w:bCs/>
                <w:lang w:val="en-GB"/>
              </w:rPr>
              <w:t xml:space="preserve"> </w:t>
            </w:r>
          </w:p>
        </w:tc>
        <w:tc>
          <w:tcPr>
            <w:tcW w:w="4414" w:type="dxa"/>
          </w:tcPr>
          <w:p w:rsidR="00CE6049" w:rsidRDefault="000B62E6" w:rsidP="00AD5394">
            <w:pPr>
              <w:jc w:val="both"/>
              <w:rPr>
                <w:rFonts w:asciiTheme="majorHAnsi" w:hAnsiTheme="majorHAnsi"/>
              </w:rPr>
            </w:pPr>
            <w:r w:rsidRPr="00947A8E">
              <w:rPr>
                <w:rFonts w:asciiTheme="majorHAnsi" w:hAnsiTheme="majorHAnsi"/>
              </w:rPr>
              <w:t>Sería ideal precisar en este apartado la prohibición no solo de</w:t>
            </w:r>
            <w:r w:rsidR="00D142E9">
              <w:rPr>
                <w:rFonts w:asciiTheme="majorHAnsi" w:hAnsiTheme="majorHAnsi"/>
              </w:rPr>
              <w:t xml:space="preserve"> las</w:t>
            </w:r>
            <w:r w:rsidRPr="00947A8E">
              <w:rPr>
                <w:rFonts w:asciiTheme="majorHAnsi" w:hAnsiTheme="majorHAnsi"/>
              </w:rPr>
              <w:t xml:space="preserve"> detenciones secretas</w:t>
            </w:r>
            <w:r w:rsidR="00C96037" w:rsidRPr="00947A8E">
              <w:rPr>
                <w:rFonts w:asciiTheme="majorHAnsi" w:hAnsiTheme="majorHAnsi"/>
              </w:rPr>
              <w:t xml:space="preserve"> </w:t>
            </w:r>
            <w:r w:rsidRPr="00947A8E">
              <w:rPr>
                <w:rFonts w:asciiTheme="majorHAnsi" w:hAnsiTheme="majorHAnsi"/>
              </w:rPr>
              <w:t>sino también</w:t>
            </w:r>
            <w:r w:rsidR="00F5449A" w:rsidRPr="00947A8E">
              <w:rPr>
                <w:rFonts w:asciiTheme="majorHAnsi" w:hAnsiTheme="majorHAnsi"/>
              </w:rPr>
              <w:t xml:space="preserve"> </w:t>
            </w:r>
            <w:r w:rsidR="00CE6049" w:rsidRPr="00947A8E">
              <w:rPr>
                <w:rFonts w:asciiTheme="majorHAnsi" w:hAnsiTheme="majorHAnsi"/>
              </w:rPr>
              <w:t xml:space="preserve">la obligación de los Estados de </w:t>
            </w:r>
            <w:r w:rsidR="00F5449A" w:rsidRPr="00947A8E">
              <w:rPr>
                <w:rFonts w:asciiTheme="majorHAnsi" w:hAnsiTheme="majorHAnsi"/>
              </w:rPr>
              <w:t xml:space="preserve">evitar las </w:t>
            </w:r>
            <w:r w:rsidR="00F5449A" w:rsidRPr="00F5449A">
              <w:rPr>
                <w:rFonts w:asciiTheme="majorHAnsi" w:hAnsiTheme="majorHAnsi"/>
              </w:rPr>
              <w:t>privaciones de libertad</w:t>
            </w:r>
            <w:r w:rsidR="00CE6049">
              <w:rPr>
                <w:rFonts w:asciiTheme="majorHAnsi" w:hAnsiTheme="majorHAnsi"/>
              </w:rPr>
              <w:t xml:space="preserve"> </w:t>
            </w:r>
            <w:r w:rsidR="00F5449A" w:rsidRPr="00F5449A">
              <w:rPr>
                <w:rFonts w:asciiTheme="majorHAnsi" w:hAnsiTheme="majorHAnsi"/>
              </w:rPr>
              <w:t>por plazos superiores a los establecidos en la ley</w:t>
            </w:r>
            <w:r w:rsidR="00F5449A">
              <w:rPr>
                <w:rFonts w:asciiTheme="majorHAnsi" w:hAnsiTheme="majorHAnsi"/>
              </w:rPr>
              <w:t>;</w:t>
            </w:r>
            <w:r w:rsidR="00F5449A" w:rsidRPr="00F5449A">
              <w:rPr>
                <w:rFonts w:asciiTheme="majorHAnsi" w:hAnsiTheme="majorHAnsi"/>
              </w:rPr>
              <w:t xml:space="preserve"> eliminar el uso sistemático de medidas de aislamiento impuestas con carácter punitivo</w:t>
            </w:r>
            <w:r w:rsidR="00F5449A">
              <w:rPr>
                <w:rFonts w:asciiTheme="majorHAnsi" w:hAnsiTheme="majorHAnsi"/>
              </w:rPr>
              <w:t xml:space="preserve">; y evitar la incomunicación </w:t>
            </w:r>
            <w:r w:rsidR="00CE6049">
              <w:rPr>
                <w:rFonts w:asciiTheme="majorHAnsi" w:hAnsiTheme="majorHAnsi"/>
              </w:rPr>
              <w:t xml:space="preserve">cuando se les impide </w:t>
            </w:r>
            <w:r w:rsidR="00F5449A">
              <w:rPr>
                <w:rFonts w:asciiTheme="majorHAnsi" w:hAnsiTheme="majorHAnsi"/>
              </w:rPr>
              <w:t>llamar por teléfono.</w:t>
            </w:r>
            <w:r w:rsidR="00AD5394" w:rsidRPr="00AD5394">
              <w:rPr>
                <w:rFonts w:asciiTheme="majorHAnsi" w:hAnsiTheme="majorHAnsi"/>
              </w:rPr>
              <w:t xml:space="preserve"> </w:t>
            </w:r>
          </w:p>
          <w:p w:rsidR="00F5449A" w:rsidRPr="00F5449A" w:rsidRDefault="00AD5394" w:rsidP="00AD5394">
            <w:pPr>
              <w:jc w:val="both"/>
              <w:rPr>
                <w:rFonts w:asciiTheme="majorHAnsi" w:hAnsiTheme="majorHAnsi"/>
              </w:rPr>
            </w:pPr>
            <w:r>
              <w:rPr>
                <w:rFonts w:asciiTheme="majorHAnsi" w:hAnsiTheme="majorHAnsi"/>
              </w:rPr>
              <w:t>Todos estos supuestos generan</w:t>
            </w:r>
            <w:r w:rsidRPr="00AD5394">
              <w:rPr>
                <w:rFonts w:asciiTheme="majorHAnsi" w:hAnsiTheme="majorHAnsi"/>
              </w:rPr>
              <w:t xml:space="preserve"> un escenario gris </w:t>
            </w:r>
            <w:r>
              <w:rPr>
                <w:rFonts w:asciiTheme="majorHAnsi" w:hAnsiTheme="majorHAnsi"/>
              </w:rPr>
              <w:t>en el que no es posible saber dónde y cómo se encuentran las personas</w:t>
            </w:r>
            <w:r w:rsidR="00CE6049">
              <w:rPr>
                <w:rFonts w:asciiTheme="majorHAnsi" w:hAnsiTheme="majorHAnsi"/>
              </w:rPr>
              <w:t xml:space="preserve"> migrantes</w:t>
            </w:r>
            <w:r>
              <w:rPr>
                <w:rFonts w:asciiTheme="majorHAnsi" w:hAnsiTheme="majorHAnsi"/>
              </w:rPr>
              <w:t>.</w:t>
            </w:r>
            <w:r w:rsidR="00CE6049">
              <w:rPr>
                <w:rFonts w:asciiTheme="majorHAnsi" w:hAnsiTheme="majorHAnsi"/>
              </w:rPr>
              <w:t xml:space="preserve"> Resulta ilustrativo el hecho de que, </w:t>
            </w:r>
            <w:r w:rsidR="00CE6049" w:rsidRPr="00CE6049">
              <w:rPr>
                <w:rFonts w:asciiTheme="majorHAnsi" w:hAnsiTheme="majorHAnsi"/>
              </w:rPr>
              <w:t>alrededor del 75% de las personas</w:t>
            </w:r>
            <w:r w:rsidR="00CE6049">
              <w:rPr>
                <w:rFonts w:asciiTheme="majorHAnsi" w:hAnsiTheme="majorHAnsi"/>
              </w:rPr>
              <w:t xml:space="preserve"> migrantes</w:t>
            </w:r>
            <w:r w:rsidR="00CE6049" w:rsidRPr="00CE6049">
              <w:rPr>
                <w:rFonts w:asciiTheme="majorHAnsi" w:hAnsiTheme="majorHAnsi"/>
              </w:rPr>
              <w:t xml:space="preserve"> localizadas</w:t>
            </w:r>
            <w:r w:rsidR="00CE6049">
              <w:rPr>
                <w:rFonts w:asciiTheme="majorHAnsi" w:hAnsiTheme="majorHAnsi"/>
              </w:rPr>
              <w:t xml:space="preserve"> en México entre 2007 y 2021,</w:t>
            </w:r>
            <w:r w:rsidR="00CE6049" w:rsidRPr="00CE6049">
              <w:rPr>
                <w:rFonts w:asciiTheme="majorHAnsi" w:hAnsiTheme="majorHAnsi"/>
              </w:rPr>
              <w:t xml:space="preserve"> se encontraban detenidas en alguna estación migratoria o estancia provisional</w:t>
            </w:r>
            <w:r w:rsidR="00CE6049">
              <w:rPr>
                <w:rFonts w:asciiTheme="majorHAnsi" w:hAnsiTheme="majorHAnsi"/>
              </w:rPr>
              <w:t>.</w:t>
            </w:r>
          </w:p>
          <w:p w:rsidR="00AD5394" w:rsidRPr="00AD5394" w:rsidRDefault="00AD5394" w:rsidP="00C96037">
            <w:pPr>
              <w:jc w:val="both"/>
              <w:rPr>
                <w:rFonts w:asciiTheme="majorHAnsi" w:hAnsiTheme="majorHAnsi"/>
              </w:rPr>
            </w:pPr>
          </w:p>
          <w:p w:rsidR="000B62E6" w:rsidRPr="000B62E6" w:rsidRDefault="00AD5394" w:rsidP="00C96037">
            <w:pPr>
              <w:jc w:val="both"/>
              <w:rPr>
                <w:rFonts w:asciiTheme="majorHAnsi" w:hAnsiTheme="majorHAnsi"/>
              </w:rPr>
            </w:pPr>
            <w:r w:rsidRPr="00AD5394">
              <w:rPr>
                <w:rFonts w:asciiTheme="majorHAnsi" w:hAnsiTheme="majorHAnsi"/>
              </w:rPr>
              <w:t>D</w:t>
            </w:r>
            <w:r w:rsidR="000B62E6" w:rsidRPr="00AD5394">
              <w:rPr>
                <w:rFonts w:asciiTheme="majorHAnsi" w:hAnsiTheme="majorHAnsi"/>
              </w:rPr>
              <w:t xml:space="preserve">eben considerarse medidas </w:t>
            </w:r>
            <w:r w:rsidRPr="00AD5394">
              <w:rPr>
                <w:rFonts w:asciiTheme="majorHAnsi" w:hAnsiTheme="majorHAnsi"/>
              </w:rPr>
              <w:t>distintas</w:t>
            </w:r>
            <w:r w:rsidR="000B62E6" w:rsidRPr="00AD5394">
              <w:rPr>
                <w:rFonts w:asciiTheme="majorHAnsi" w:hAnsiTheme="majorHAnsi"/>
              </w:rPr>
              <w:t xml:space="preserve"> a la detención de las personas aun en lugares destinados y por el tiempo estrictamente necesario. </w:t>
            </w:r>
          </w:p>
        </w:tc>
      </w:tr>
      <w:tr w:rsidR="00AF49AF" w:rsidRPr="000B62E6" w:rsidTr="00F85E0A">
        <w:tc>
          <w:tcPr>
            <w:tcW w:w="4414" w:type="dxa"/>
            <w:vMerge w:val="restart"/>
          </w:tcPr>
          <w:p w:rsidR="00AF49AF" w:rsidRDefault="00AF49AF" w:rsidP="00AF49AF">
            <w:pPr>
              <w:rPr>
                <w:b/>
                <w:bCs/>
                <w:lang w:val="en-GB"/>
              </w:rPr>
            </w:pPr>
          </w:p>
          <w:p w:rsidR="00AF49AF" w:rsidRDefault="00AF49AF" w:rsidP="00AF49AF">
            <w:pPr>
              <w:rPr>
                <w:b/>
                <w:bCs/>
                <w:lang w:val="en-GB"/>
              </w:rPr>
            </w:pPr>
          </w:p>
          <w:p w:rsidR="00AF49AF" w:rsidRDefault="00AF49AF" w:rsidP="00AF49AF">
            <w:pPr>
              <w:rPr>
                <w:b/>
                <w:bCs/>
                <w:lang w:val="en-GB"/>
              </w:rPr>
            </w:pPr>
          </w:p>
          <w:p w:rsidR="00AF49AF" w:rsidRDefault="00AF49AF" w:rsidP="00AF49AF">
            <w:pPr>
              <w:rPr>
                <w:b/>
                <w:bCs/>
                <w:lang w:val="en-GB"/>
              </w:rPr>
            </w:pPr>
          </w:p>
          <w:p w:rsidR="00AF49AF" w:rsidRDefault="00AF49AF" w:rsidP="00AF49AF">
            <w:pPr>
              <w:rPr>
                <w:b/>
                <w:bCs/>
                <w:lang w:val="en-GB"/>
              </w:rPr>
            </w:pPr>
          </w:p>
          <w:p w:rsidR="00AF49AF" w:rsidRDefault="00AF49AF" w:rsidP="00AF49AF">
            <w:pPr>
              <w:rPr>
                <w:b/>
                <w:bCs/>
                <w:lang w:val="en-GB"/>
              </w:rPr>
            </w:pPr>
          </w:p>
          <w:p w:rsidR="00AF49AF" w:rsidRPr="000C4BF5" w:rsidRDefault="00AF49AF" w:rsidP="00AF49AF">
            <w:pPr>
              <w:rPr>
                <w:rStyle w:val="Refdenotaalfinal"/>
                <w:b/>
                <w:bCs/>
                <w:lang w:val="en-GB"/>
              </w:rPr>
            </w:pPr>
            <w:r w:rsidRPr="000C4BF5">
              <w:rPr>
                <w:b/>
                <w:bCs/>
                <w:lang w:val="en-GB"/>
              </w:rPr>
              <w:t>d) No</w:t>
            </w:r>
            <w:r w:rsidR="00281535">
              <w:rPr>
                <w:b/>
                <w:bCs/>
                <w:lang w:val="en-GB"/>
              </w:rPr>
              <w:t xml:space="preserve"> </w:t>
            </w:r>
            <w:proofErr w:type="spellStart"/>
            <w:r w:rsidR="00281535">
              <w:rPr>
                <w:b/>
                <w:bCs/>
                <w:lang w:val="en-GB"/>
              </w:rPr>
              <w:t>devolución</w:t>
            </w:r>
            <w:proofErr w:type="spellEnd"/>
          </w:p>
          <w:p w:rsidR="00AF49AF" w:rsidRDefault="00AF49AF" w:rsidP="00AF49AF">
            <w:pPr>
              <w:spacing w:after="120"/>
              <w:jc w:val="both"/>
              <w:rPr>
                <w:b/>
                <w:bCs/>
                <w:lang w:val="en-GB"/>
              </w:rPr>
            </w:pPr>
          </w:p>
        </w:tc>
        <w:tc>
          <w:tcPr>
            <w:tcW w:w="4414" w:type="dxa"/>
          </w:tcPr>
          <w:p w:rsidR="00AF49AF" w:rsidRDefault="00AF49AF" w:rsidP="00AF49AF">
            <w:pPr>
              <w:jc w:val="both"/>
              <w:rPr>
                <w:rFonts w:asciiTheme="majorHAnsi" w:hAnsiTheme="majorHAnsi"/>
              </w:rPr>
            </w:pPr>
            <w:r>
              <w:rPr>
                <w:rFonts w:asciiTheme="majorHAnsi" w:hAnsiTheme="majorHAnsi"/>
              </w:rPr>
              <w:t xml:space="preserve">Se considera pertinente añadir que los Estados deben revisar que las personas solicitantes de refugio no sean conducidas a centros de detención ni se les inicien procesos administrativos que desemboquen en su </w:t>
            </w:r>
            <w:r w:rsidR="00A26AAE">
              <w:rPr>
                <w:rFonts w:asciiTheme="majorHAnsi" w:hAnsiTheme="majorHAnsi"/>
              </w:rPr>
              <w:t>devolución</w:t>
            </w:r>
            <w:r>
              <w:rPr>
                <w:rFonts w:asciiTheme="majorHAnsi" w:hAnsiTheme="majorHAnsi"/>
              </w:rPr>
              <w:t xml:space="preserve">. </w:t>
            </w:r>
          </w:p>
        </w:tc>
      </w:tr>
      <w:tr w:rsidR="00AF49AF" w:rsidRPr="000B62E6" w:rsidTr="00F85E0A">
        <w:tc>
          <w:tcPr>
            <w:tcW w:w="4414" w:type="dxa"/>
            <w:vMerge/>
          </w:tcPr>
          <w:p w:rsidR="00AF49AF" w:rsidRPr="000B62E6" w:rsidRDefault="00AF49AF" w:rsidP="00AF49AF">
            <w:pPr>
              <w:spacing w:after="120"/>
              <w:jc w:val="both"/>
              <w:rPr>
                <w:rFonts w:asciiTheme="majorHAnsi" w:hAnsiTheme="majorHAnsi"/>
                <w:b/>
                <w:bCs/>
                <w:lang w:val="en-GB"/>
              </w:rPr>
            </w:pPr>
          </w:p>
        </w:tc>
        <w:tc>
          <w:tcPr>
            <w:tcW w:w="4414" w:type="dxa"/>
          </w:tcPr>
          <w:p w:rsidR="00AF49AF" w:rsidRPr="000B62E6" w:rsidRDefault="00AF49AF" w:rsidP="00AF49AF">
            <w:pPr>
              <w:jc w:val="both"/>
              <w:rPr>
                <w:rFonts w:asciiTheme="majorHAnsi" w:hAnsiTheme="majorHAnsi"/>
              </w:rPr>
            </w:pPr>
            <w:r>
              <w:rPr>
                <w:rFonts w:asciiTheme="majorHAnsi" w:hAnsiTheme="majorHAnsi"/>
              </w:rPr>
              <w:t>V</w:t>
            </w:r>
            <w:r w:rsidRPr="005D1E02">
              <w:rPr>
                <w:rFonts w:asciiTheme="majorHAnsi" w:hAnsiTheme="majorHAnsi"/>
              </w:rPr>
              <w:t xml:space="preserve">ale la pena </w:t>
            </w:r>
            <w:r>
              <w:rPr>
                <w:rFonts w:asciiTheme="majorHAnsi" w:hAnsiTheme="majorHAnsi"/>
              </w:rPr>
              <w:t>añadir que</w:t>
            </w:r>
            <w:r w:rsidRPr="005D1E02">
              <w:rPr>
                <w:rFonts w:asciiTheme="majorHAnsi" w:hAnsiTheme="majorHAnsi"/>
              </w:rPr>
              <w:t xml:space="preserve"> además que</w:t>
            </w:r>
            <w:r>
              <w:rPr>
                <w:rFonts w:asciiTheme="majorHAnsi" w:hAnsiTheme="majorHAnsi"/>
              </w:rPr>
              <w:t xml:space="preserve"> la violación del principio de no devolución deja a las personas migrantes en riesgo de</w:t>
            </w:r>
            <w:r w:rsidRPr="005D1E02">
              <w:rPr>
                <w:rFonts w:asciiTheme="majorHAnsi" w:hAnsiTheme="majorHAnsi"/>
              </w:rPr>
              <w:t xml:space="preserve"> ser víctima</w:t>
            </w:r>
            <w:r>
              <w:rPr>
                <w:rFonts w:asciiTheme="majorHAnsi" w:hAnsiTheme="majorHAnsi"/>
              </w:rPr>
              <w:t>s</w:t>
            </w:r>
            <w:r w:rsidRPr="005D1E02">
              <w:rPr>
                <w:rFonts w:asciiTheme="majorHAnsi" w:hAnsiTheme="majorHAnsi"/>
              </w:rPr>
              <w:t xml:space="preserve"> de otras violaciones graves de los derechos humanos u otro daño irreparable.</w:t>
            </w:r>
          </w:p>
        </w:tc>
      </w:tr>
      <w:tr w:rsidR="00AF49AF" w:rsidRPr="000B62E6" w:rsidTr="00F85E0A">
        <w:tc>
          <w:tcPr>
            <w:tcW w:w="4414" w:type="dxa"/>
            <w:vMerge/>
          </w:tcPr>
          <w:p w:rsidR="00AF49AF" w:rsidRPr="000C4BF5" w:rsidRDefault="00AF49AF" w:rsidP="00AF49AF">
            <w:pPr>
              <w:rPr>
                <w:b/>
                <w:bCs/>
                <w:lang w:val="en-GB"/>
              </w:rPr>
            </w:pPr>
          </w:p>
        </w:tc>
        <w:tc>
          <w:tcPr>
            <w:tcW w:w="4414" w:type="dxa"/>
          </w:tcPr>
          <w:p w:rsidR="00AF49AF" w:rsidRPr="000B62E6" w:rsidRDefault="00AF49AF" w:rsidP="00AF49AF">
            <w:pPr>
              <w:jc w:val="both"/>
              <w:rPr>
                <w:rFonts w:asciiTheme="majorHAnsi" w:hAnsiTheme="majorHAnsi"/>
              </w:rPr>
            </w:pPr>
            <w:r>
              <w:rPr>
                <w:rFonts w:asciiTheme="majorHAnsi" w:hAnsiTheme="majorHAnsi"/>
              </w:rPr>
              <w:t>Resulta indispensable señalar que, tratándose de niñas, niños y adolescentes, se debe</w:t>
            </w:r>
            <w:r w:rsidR="00A26AAE">
              <w:rPr>
                <w:rFonts w:asciiTheme="majorHAnsi" w:hAnsiTheme="majorHAnsi"/>
              </w:rPr>
              <w:t xml:space="preserve"> determinar el interés superior del niño</w:t>
            </w:r>
            <w:bookmarkStart w:id="0" w:name="_GoBack"/>
            <w:bookmarkEnd w:id="0"/>
            <w:r>
              <w:rPr>
                <w:rFonts w:asciiTheme="majorHAnsi" w:hAnsiTheme="majorHAnsi"/>
              </w:rPr>
              <w:t>.</w:t>
            </w:r>
          </w:p>
        </w:tc>
      </w:tr>
    </w:tbl>
    <w:p w:rsidR="00F85E0A" w:rsidRPr="000B62E6" w:rsidRDefault="00F85E0A" w:rsidP="000B62E6">
      <w:pPr>
        <w:jc w:val="both"/>
        <w:rPr>
          <w:rFonts w:asciiTheme="majorHAnsi" w:hAnsiTheme="majorHAnsi"/>
        </w:rPr>
      </w:pPr>
    </w:p>
    <w:sectPr w:rsidR="00F85E0A" w:rsidRPr="000B62E6">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344" w:rsidRDefault="001D2344" w:rsidP="00F85E0A">
      <w:pPr>
        <w:spacing w:after="0" w:line="240" w:lineRule="auto"/>
      </w:pPr>
      <w:r>
        <w:separator/>
      </w:r>
    </w:p>
  </w:endnote>
  <w:endnote w:type="continuationSeparator" w:id="0">
    <w:p w:rsidR="001D2344" w:rsidRDefault="001D2344" w:rsidP="00F85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porateS-Regular">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268085"/>
      <w:docPartObj>
        <w:docPartGallery w:val="Page Numbers (Bottom of Page)"/>
        <w:docPartUnique/>
      </w:docPartObj>
    </w:sdtPr>
    <w:sdtEndPr/>
    <w:sdtContent>
      <w:p w:rsidR="00A873AE" w:rsidRDefault="00A873AE">
        <w:pPr>
          <w:pStyle w:val="Piedepgina"/>
          <w:jc w:val="center"/>
        </w:pPr>
        <w:r>
          <w:fldChar w:fldCharType="begin"/>
        </w:r>
        <w:r>
          <w:instrText>PAGE   \* MERGEFORMAT</w:instrText>
        </w:r>
        <w:r>
          <w:fldChar w:fldCharType="separate"/>
        </w:r>
        <w:r w:rsidR="00ED687D" w:rsidRPr="00ED687D">
          <w:rPr>
            <w:noProof/>
            <w:lang w:val="es-ES"/>
          </w:rPr>
          <w:t>2</w:t>
        </w:r>
        <w:r>
          <w:fldChar w:fldCharType="end"/>
        </w:r>
      </w:p>
    </w:sdtContent>
  </w:sdt>
  <w:p w:rsidR="00A873AE" w:rsidRDefault="00A873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344" w:rsidRDefault="001D2344" w:rsidP="00F85E0A">
      <w:pPr>
        <w:spacing w:after="0" w:line="240" w:lineRule="auto"/>
      </w:pPr>
      <w:r>
        <w:separator/>
      </w:r>
    </w:p>
  </w:footnote>
  <w:footnote w:type="continuationSeparator" w:id="0">
    <w:p w:rsidR="001D2344" w:rsidRDefault="001D2344" w:rsidP="00F85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8CB" w:rsidRPr="002D20B7" w:rsidRDefault="00C018CB" w:rsidP="00C018CB">
    <w:pPr>
      <w:pStyle w:val="Encabezado"/>
      <w:jc w:val="right"/>
      <w:rPr>
        <w:rFonts w:ascii="Arial Narrow" w:hAnsi="Arial Narrow"/>
        <w:b/>
      </w:rPr>
    </w:pPr>
    <w:r w:rsidRPr="002D20B7">
      <w:rPr>
        <w:rFonts w:ascii="Arial Narrow" w:hAnsi="Arial Narrow"/>
        <w:b/>
        <w:noProof/>
        <w:lang w:eastAsia="es-MX"/>
      </w:rPr>
      <w:drawing>
        <wp:anchor distT="0" distB="0" distL="114300" distR="114300" simplePos="0" relativeHeight="251658240" behindDoc="1" locked="0" layoutInCell="1" allowOverlap="1">
          <wp:simplePos x="0" y="0"/>
          <wp:positionH relativeFrom="margin">
            <wp:align>left</wp:align>
          </wp:positionH>
          <wp:positionV relativeFrom="paragraph">
            <wp:posOffset>-167198</wp:posOffset>
          </wp:positionV>
          <wp:extent cx="702945" cy="702945"/>
          <wp:effectExtent l="0" t="0" r="1905" b="1905"/>
          <wp:wrapTight wrapText="bothSides">
            <wp:wrapPolygon edited="0">
              <wp:start x="5854" y="0"/>
              <wp:lineTo x="0" y="4098"/>
              <wp:lineTo x="0" y="15220"/>
              <wp:lineTo x="2341" y="18732"/>
              <wp:lineTo x="5268" y="21073"/>
              <wp:lineTo x="5854" y="21073"/>
              <wp:lineTo x="15220" y="21073"/>
              <wp:lineTo x="15805" y="21073"/>
              <wp:lineTo x="18732" y="18732"/>
              <wp:lineTo x="21073" y="15220"/>
              <wp:lineTo x="21073" y="4098"/>
              <wp:lineTo x="15220" y="0"/>
              <wp:lineTo x="5854"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ímbolo-CDHC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2945" cy="702945"/>
                  </a:xfrm>
                  <a:prstGeom prst="rect">
                    <a:avLst/>
                  </a:prstGeom>
                </pic:spPr>
              </pic:pic>
            </a:graphicData>
          </a:graphic>
          <wp14:sizeRelH relativeFrom="margin">
            <wp14:pctWidth>0</wp14:pctWidth>
          </wp14:sizeRelH>
          <wp14:sizeRelV relativeFrom="margin">
            <wp14:pctHeight>0</wp14:pctHeight>
          </wp14:sizeRelV>
        </wp:anchor>
      </w:drawing>
    </w:r>
    <w:r w:rsidR="002D20B7" w:rsidRPr="002D20B7">
      <w:rPr>
        <w:rFonts w:ascii="Arial Narrow" w:hAnsi="Arial Narrow"/>
        <w:b/>
      </w:rPr>
      <w:t>COMISIÓN DE DERECHOS HUMANOS DE LA CIUDAD DE MÉXICO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1865"/>
    <w:multiLevelType w:val="hybridMultilevel"/>
    <w:tmpl w:val="97C039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E0A"/>
    <w:rsid w:val="00002CDF"/>
    <w:rsid w:val="00013A35"/>
    <w:rsid w:val="0003672B"/>
    <w:rsid w:val="00052A45"/>
    <w:rsid w:val="00052B67"/>
    <w:rsid w:val="00053D44"/>
    <w:rsid w:val="000602E6"/>
    <w:rsid w:val="000A2C02"/>
    <w:rsid w:val="000A7ECC"/>
    <w:rsid w:val="000B62E6"/>
    <w:rsid w:val="000F119E"/>
    <w:rsid w:val="001155D1"/>
    <w:rsid w:val="00115B55"/>
    <w:rsid w:val="001D2344"/>
    <w:rsid w:val="001E3E1E"/>
    <w:rsid w:val="00281535"/>
    <w:rsid w:val="00283563"/>
    <w:rsid w:val="002B7070"/>
    <w:rsid w:val="002D20B7"/>
    <w:rsid w:val="00311A30"/>
    <w:rsid w:val="00325409"/>
    <w:rsid w:val="003334A0"/>
    <w:rsid w:val="003A3188"/>
    <w:rsid w:val="003E116B"/>
    <w:rsid w:val="003E57F4"/>
    <w:rsid w:val="004B3D60"/>
    <w:rsid w:val="00550847"/>
    <w:rsid w:val="005D1E02"/>
    <w:rsid w:val="005D6734"/>
    <w:rsid w:val="005E44E2"/>
    <w:rsid w:val="005F519E"/>
    <w:rsid w:val="00610F9C"/>
    <w:rsid w:val="0062426B"/>
    <w:rsid w:val="006642F4"/>
    <w:rsid w:val="006701F9"/>
    <w:rsid w:val="00674160"/>
    <w:rsid w:val="006763B2"/>
    <w:rsid w:val="006915A2"/>
    <w:rsid w:val="00726725"/>
    <w:rsid w:val="0074277E"/>
    <w:rsid w:val="00757ECC"/>
    <w:rsid w:val="00763846"/>
    <w:rsid w:val="007B0452"/>
    <w:rsid w:val="007C7050"/>
    <w:rsid w:val="007D3245"/>
    <w:rsid w:val="007E52C4"/>
    <w:rsid w:val="00816C70"/>
    <w:rsid w:val="00947A8E"/>
    <w:rsid w:val="009A7B1F"/>
    <w:rsid w:val="00A0377E"/>
    <w:rsid w:val="00A03893"/>
    <w:rsid w:val="00A1716A"/>
    <w:rsid w:val="00A17EB5"/>
    <w:rsid w:val="00A26AAE"/>
    <w:rsid w:val="00A873AE"/>
    <w:rsid w:val="00AC6843"/>
    <w:rsid w:val="00AD5394"/>
    <w:rsid w:val="00AF49AF"/>
    <w:rsid w:val="00AF6249"/>
    <w:rsid w:val="00B362C7"/>
    <w:rsid w:val="00B45B3D"/>
    <w:rsid w:val="00B74235"/>
    <w:rsid w:val="00BA76CA"/>
    <w:rsid w:val="00BF6684"/>
    <w:rsid w:val="00C018CB"/>
    <w:rsid w:val="00C26934"/>
    <w:rsid w:val="00C96037"/>
    <w:rsid w:val="00CC2DF7"/>
    <w:rsid w:val="00CC528D"/>
    <w:rsid w:val="00CE6049"/>
    <w:rsid w:val="00D142E9"/>
    <w:rsid w:val="00D33EBF"/>
    <w:rsid w:val="00D45751"/>
    <w:rsid w:val="00D63ECA"/>
    <w:rsid w:val="00D75557"/>
    <w:rsid w:val="00D80204"/>
    <w:rsid w:val="00DA4173"/>
    <w:rsid w:val="00DA625B"/>
    <w:rsid w:val="00DE54DC"/>
    <w:rsid w:val="00E41BD1"/>
    <w:rsid w:val="00E84B7E"/>
    <w:rsid w:val="00E9559B"/>
    <w:rsid w:val="00EC28F7"/>
    <w:rsid w:val="00ED687D"/>
    <w:rsid w:val="00EE560F"/>
    <w:rsid w:val="00F35EC8"/>
    <w:rsid w:val="00F36268"/>
    <w:rsid w:val="00F409B5"/>
    <w:rsid w:val="00F5449A"/>
    <w:rsid w:val="00F75636"/>
    <w:rsid w:val="00F857E2"/>
    <w:rsid w:val="00F85E0A"/>
    <w:rsid w:val="00FA1A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0BB72"/>
  <w15:chartTrackingRefBased/>
  <w15:docId w15:val="{B02CBC82-DD2C-4D25-87AA-C174B463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F85E0A"/>
    <w:pPr>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8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F85E0A"/>
    <w:pPr>
      <w:spacing w:after="0" w:line="240" w:lineRule="auto"/>
    </w:pPr>
    <w:rPr>
      <w:sz w:val="20"/>
      <w:szCs w:val="20"/>
      <w:lang w:val="de-DE"/>
    </w:rPr>
  </w:style>
  <w:style w:type="character" w:customStyle="1" w:styleId="TextonotaalfinalCar">
    <w:name w:val="Texto nota al final Car"/>
    <w:basedOn w:val="Fuentedeprrafopredeter"/>
    <w:link w:val="Textonotaalfinal"/>
    <w:uiPriority w:val="99"/>
    <w:semiHidden/>
    <w:rsid w:val="00F85E0A"/>
    <w:rPr>
      <w:sz w:val="20"/>
      <w:szCs w:val="20"/>
      <w:lang w:val="de-DE"/>
    </w:rPr>
  </w:style>
  <w:style w:type="character" w:styleId="Refdenotaalfinal">
    <w:name w:val="endnote reference"/>
    <w:basedOn w:val="Fuentedeprrafopredeter"/>
    <w:uiPriority w:val="99"/>
    <w:semiHidden/>
    <w:unhideWhenUsed/>
    <w:rsid w:val="00F85E0A"/>
    <w:rPr>
      <w:vertAlign w:val="superscript"/>
    </w:rPr>
  </w:style>
  <w:style w:type="character" w:customStyle="1" w:styleId="Ttulo2Car">
    <w:name w:val="Título 2 Car"/>
    <w:basedOn w:val="Fuentedeprrafopredeter"/>
    <w:link w:val="Ttulo2"/>
    <w:uiPriority w:val="9"/>
    <w:rsid w:val="00F85E0A"/>
    <w:rPr>
      <w:rFonts w:ascii="Times New Roman" w:eastAsia="Times New Roman" w:hAnsi="Times New Roman" w:cs="Times New Roman"/>
      <w:b/>
      <w:bCs/>
      <w:sz w:val="36"/>
      <w:szCs w:val="36"/>
      <w:lang w:val="de-DE" w:eastAsia="de-DE"/>
    </w:rPr>
  </w:style>
  <w:style w:type="character" w:customStyle="1" w:styleId="markedcontent">
    <w:name w:val="markedcontent"/>
    <w:basedOn w:val="Fuentedeprrafopredeter"/>
    <w:rsid w:val="00F85E0A"/>
  </w:style>
  <w:style w:type="paragraph" w:styleId="Textocomentario">
    <w:name w:val="annotation text"/>
    <w:basedOn w:val="Normal"/>
    <w:link w:val="TextocomentarioCar"/>
    <w:uiPriority w:val="99"/>
    <w:unhideWhenUsed/>
    <w:rsid w:val="00A0377E"/>
    <w:pPr>
      <w:spacing w:after="200" w:line="240" w:lineRule="auto"/>
    </w:pPr>
    <w:rPr>
      <w:sz w:val="20"/>
      <w:szCs w:val="20"/>
      <w:lang w:val="de-DE"/>
    </w:rPr>
  </w:style>
  <w:style w:type="character" w:customStyle="1" w:styleId="TextocomentarioCar">
    <w:name w:val="Texto comentario Car"/>
    <w:basedOn w:val="Fuentedeprrafopredeter"/>
    <w:link w:val="Textocomentario"/>
    <w:uiPriority w:val="99"/>
    <w:rsid w:val="00A0377E"/>
    <w:rPr>
      <w:sz w:val="20"/>
      <w:szCs w:val="20"/>
      <w:lang w:val="de-DE"/>
    </w:rPr>
  </w:style>
  <w:style w:type="character" w:styleId="Refdecomentario">
    <w:name w:val="annotation reference"/>
    <w:basedOn w:val="Fuentedeprrafopredeter"/>
    <w:uiPriority w:val="99"/>
    <w:semiHidden/>
    <w:unhideWhenUsed/>
    <w:rsid w:val="00A0377E"/>
    <w:rPr>
      <w:sz w:val="16"/>
      <w:szCs w:val="16"/>
    </w:rPr>
  </w:style>
  <w:style w:type="paragraph" w:styleId="Textodeglobo">
    <w:name w:val="Balloon Text"/>
    <w:basedOn w:val="Normal"/>
    <w:link w:val="TextodegloboCar"/>
    <w:uiPriority w:val="99"/>
    <w:semiHidden/>
    <w:unhideWhenUsed/>
    <w:rsid w:val="00A037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377E"/>
    <w:rPr>
      <w:rFonts w:ascii="Segoe UI" w:hAnsi="Segoe UI" w:cs="Segoe UI"/>
      <w:sz w:val="18"/>
      <w:szCs w:val="18"/>
    </w:rPr>
  </w:style>
  <w:style w:type="character" w:styleId="Hipervnculo">
    <w:name w:val="Hyperlink"/>
    <w:basedOn w:val="Fuentedeprrafopredeter"/>
    <w:uiPriority w:val="99"/>
    <w:unhideWhenUsed/>
    <w:rsid w:val="000B62E6"/>
    <w:rPr>
      <w:color w:val="0563C1" w:themeColor="hyperlink"/>
      <w:u w:val="single"/>
    </w:rPr>
  </w:style>
  <w:style w:type="paragraph" w:styleId="Encabezado">
    <w:name w:val="header"/>
    <w:basedOn w:val="Normal"/>
    <w:link w:val="EncabezadoCar"/>
    <w:uiPriority w:val="99"/>
    <w:unhideWhenUsed/>
    <w:rsid w:val="00DA62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625B"/>
  </w:style>
  <w:style w:type="paragraph" w:styleId="Piedepgina">
    <w:name w:val="footer"/>
    <w:basedOn w:val="Normal"/>
    <w:link w:val="PiedepginaCar"/>
    <w:uiPriority w:val="99"/>
    <w:unhideWhenUsed/>
    <w:rsid w:val="00DA62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625B"/>
  </w:style>
  <w:style w:type="paragraph" w:styleId="NormalWeb">
    <w:name w:val="Normal (Web)"/>
    <w:basedOn w:val="Normal"/>
    <w:uiPriority w:val="99"/>
    <w:unhideWhenUsed/>
    <w:rsid w:val="00F409B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independiente">
    <w:name w:val="Body Text"/>
    <w:basedOn w:val="Normal"/>
    <w:link w:val="TextoindependienteCar"/>
    <w:uiPriority w:val="99"/>
    <w:unhideWhenUsed/>
    <w:rsid w:val="00283563"/>
    <w:pPr>
      <w:spacing w:after="120" w:line="240" w:lineRule="auto"/>
      <w:ind w:left="720"/>
      <w:jc w:val="both"/>
    </w:pPr>
    <w:rPr>
      <w:rFonts w:ascii="Times New Roman" w:hAnsi="Times New Roman"/>
      <w:sz w:val="24"/>
      <w:lang w:val="en-US"/>
    </w:rPr>
  </w:style>
  <w:style w:type="character" w:customStyle="1" w:styleId="TextoindependienteCar">
    <w:name w:val="Texto independiente Car"/>
    <w:basedOn w:val="Fuentedeprrafopredeter"/>
    <w:link w:val="Textoindependiente"/>
    <w:uiPriority w:val="99"/>
    <w:rsid w:val="00283563"/>
    <w:rPr>
      <w:rFonts w:ascii="Times New Roman" w:hAnsi="Times New Roman"/>
      <w:sz w:val="24"/>
      <w:lang w:val="en-US"/>
    </w:rPr>
  </w:style>
  <w:style w:type="character" w:customStyle="1" w:styleId="fontstyle01">
    <w:name w:val="fontstyle01"/>
    <w:basedOn w:val="Fuentedeprrafopredeter"/>
    <w:rsid w:val="00C26934"/>
    <w:rPr>
      <w:rFonts w:ascii="CorporateS-Regular" w:hAnsi="CorporateS-Regular" w:hint="default"/>
      <w:b w:val="0"/>
      <w:bCs w:val="0"/>
      <w:i w:val="0"/>
      <w:iCs w:val="0"/>
      <w:color w:val="000000"/>
      <w:sz w:val="22"/>
      <w:szCs w:val="22"/>
    </w:rPr>
  </w:style>
  <w:style w:type="paragraph" w:styleId="Prrafodelista">
    <w:name w:val="List Paragraph"/>
    <w:basedOn w:val="Normal"/>
    <w:uiPriority w:val="34"/>
    <w:qFormat/>
    <w:rsid w:val="00AC6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846633">
      <w:bodyDiv w:val="1"/>
      <w:marLeft w:val="0"/>
      <w:marRight w:val="0"/>
      <w:marTop w:val="0"/>
      <w:marBottom w:val="0"/>
      <w:divBdr>
        <w:top w:val="none" w:sz="0" w:space="0" w:color="auto"/>
        <w:left w:val="none" w:sz="0" w:space="0" w:color="auto"/>
        <w:bottom w:val="none" w:sz="0" w:space="0" w:color="auto"/>
        <w:right w:val="none" w:sz="0" w:space="0" w:color="auto"/>
      </w:divBdr>
    </w:div>
    <w:div w:id="31380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iputados.gob.mx/LeyesBiblio/pdf/LGMDF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1633</Words>
  <Characters>8986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Areli Yeliztli Barranco Ruiz</dc:creator>
  <cp:keywords/>
  <dc:description/>
  <cp:lastModifiedBy>Martín García Rodríguez</cp:lastModifiedBy>
  <cp:revision>2</cp:revision>
  <cp:lastPrinted>2022-06-20T23:42:00Z</cp:lastPrinted>
  <dcterms:created xsi:type="dcterms:W3CDTF">2022-06-20T23:43:00Z</dcterms:created>
  <dcterms:modified xsi:type="dcterms:W3CDTF">2022-06-20T23:43:00Z</dcterms:modified>
</cp:coreProperties>
</file>