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5AAF" w14:textId="3F769035" w:rsidR="00E538AD" w:rsidRPr="00E538AD" w:rsidRDefault="009C2D4A" w:rsidP="00E538AD">
      <w:pPr>
        <w:jc w:val="center"/>
        <w:rPr>
          <w:b/>
          <w:bCs/>
          <w:u w:val="single"/>
          <w:lang w:val="en-IE"/>
        </w:rPr>
      </w:pPr>
      <w:r w:rsidRPr="00E538AD">
        <w:rPr>
          <w:b/>
          <w:bCs/>
          <w:noProof/>
          <w:lang w:val="nl-BE"/>
        </w:rPr>
        <w:drawing>
          <wp:anchor distT="0" distB="0" distL="114300" distR="114300" simplePos="0" relativeHeight="251659264" behindDoc="1" locked="0" layoutInCell="1" allowOverlap="1" wp14:anchorId="02F834FF" wp14:editId="6AA39DBE">
            <wp:simplePos x="0" y="0"/>
            <wp:positionH relativeFrom="column">
              <wp:posOffset>-995045</wp:posOffset>
            </wp:positionH>
            <wp:positionV relativeFrom="paragraph">
              <wp:posOffset>-11430</wp:posOffset>
            </wp:positionV>
            <wp:extent cx="9213850" cy="1864995"/>
            <wp:effectExtent l="0" t="0" r="6350" b="1905"/>
            <wp:wrapNone/>
            <wp:docPr id="6" name="Picture 3" descr="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eader"/>
                    <pic:cNvPicPr>
                      <a:picLocks noChangeAspect="1" noChangeArrowheads="1"/>
                    </pic:cNvPicPr>
                  </pic:nvPicPr>
                  <pic:blipFill>
                    <a:blip r:embed="rId7">
                      <a:extLst>
                        <a:ext uri="{28A0092B-C50C-407E-A947-70E740481C1C}">
                          <a14:useLocalDpi xmlns:a14="http://schemas.microsoft.com/office/drawing/2010/main" val="0"/>
                        </a:ext>
                      </a:extLst>
                    </a:blip>
                    <a:srcRect t="51448"/>
                    <a:stretch>
                      <a:fillRect/>
                    </a:stretch>
                  </pic:blipFill>
                  <pic:spPr bwMode="auto">
                    <a:xfrm>
                      <a:off x="0" y="0"/>
                      <a:ext cx="9213850" cy="1864995"/>
                    </a:xfrm>
                    <a:prstGeom prst="rect">
                      <a:avLst/>
                    </a:prstGeom>
                    <a:noFill/>
                  </pic:spPr>
                </pic:pic>
              </a:graphicData>
            </a:graphic>
            <wp14:sizeRelH relativeFrom="page">
              <wp14:pctWidth>0</wp14:pctWidth>
            </wp14:sizeRelH>
            <wp14:sizeRelV relativeFrom="page">
              <wp14:pctHeight>0</wp14:pctHeight>
            </wp14:sizeRelV>
          </wp:anchor>
        </w:drawing>
      </w:r>
      <w:r w:rsidRPr="00E538AD">
        <w:rPr>
          <w:b/>
          <w:bCs/>
          <w:noProof/>
          <w:lang w:val="nl-BE"/>
        </w:rPr>
        <mc:AlternateContent>
          <mc:Choice Requires="wps">
            <w:drawing>
              <wp:anchor distT="0" distB="0" distL="114300" distR="114300" simplePos="0" relativeHeight="251660288" behindDoc="0" locked="0" layoutInCell="1" allowOverlap="1" wp14:anchorId="6F53DAA4" wp14:editId="665A1CA9">
                <wp:simplePos x="0" y="0"/>
                <wp:positionH relativeFrom="page">
                  <wp:posOffset>168910</wp:posOffset>
                </wp:positionH>
                <wp:positionV relativeFrom="paragraph">
                  <wp:posOffset>130175</wp:posOffset>
                </wp:positionV>
                <wp:extent cx="7391400" cy="1600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0" cy="1600200"/>
                        </a:xfrm>
                        <a:prstGeom prst="rect">
                          <a:avLst/>
                        </a:prstGeom>
                        <a:noFill/>
                        <a:ln>
                          <a:noFill/>
                        </a:ln>
                        <a:effectLst/>
                      </wps:spPr>
                      <wps:txbx>
                        <w:txbxContent>
                          <w:p w14:paraId="48D40030" w14:textId="77777777" w:rsidR="009C2D4A" w:rsidRDefault="009C2D4A" w:rsidP="00E538AD">
                            <w:pPr>
                              <w:jc w:val="center"/>
                              <w:rPr>
                                <w:b/>
                                <w:noProof/>
                                <w:color w:val="FFFFFF" w:themeColor="background1"/>
                                <w:sz w:val="34"/>
                                <w:szCs w:val="34"/>
                              </w:rPr>
                            </w:pPr>
                          </w:p>
                          <w:p w14:paraId="3D83BBD6" w14:textId="15967A06" w:rsidR="00E538AD" w:rsidRDefault="00E538AD" w:rsidP="00E538AD">
                            <w:pPr>
                              <w:jc w:val="center"/>
                              <w:rPr>
                                <w:b/>
                                <w:noProof/>
                                <w:color w:val="FFFFFF" w:themeColor="background1"/>
                                <w:sz w:val="34"/>
                                <w:szCs w:val="34"/>
                                <w:lang w:val="en-GB"/>
                              </w:rPr>
                            </w:pPr>
                            <w:r w:rsidRPr="006C77F8">
                              <w:rPr>
                                <w:b/>
                                <w:noProof/>
                                <w:color w:val="FFFFFF" w:themeColor="background1"/>
                                <w:sz w:val="34"/>
                                <w:szCs w:val="34"/>
                              </w:rPr>
                              <w:t xml:space="preserve">PICUM </w:t>
                            </w:r>
                            <w:r w:rsidRPr="00E538AD">
                              <w:rPr>
                                <w:b/>
                                <w:noProof/>
                                <w:color w:val="FFFFFF" w:themeColor="background1"/>
                                <w:sz w:val="34"/>
                                <w:szCs w:val="34"/>
                                <w:lang w:val="en-GB"/>
                              </w:rPr>
                              <w:t>Submission to the Committee on Enforced Disappearances</w:t>
                            </w:r>
                          </w:p>
                          <w:p w14:paraId="78E4F1C4" w14:textId="6C97EEB0" w:rsidR="00E538AD" w:rsidRPr="00E538AD" w:rsidRDefault="00E538AD" w:rsidP="00E538AD">
                            <w:pPr>
                              <w:jc w:val="center"/>
                              <w:rPr>
                                <w:b/>
                                <w:noProof/>
                                <w:color w:val="FFFFFF" w:themeColor="background1"/>
                                <w:sz w:val="34"/>
                                <w:szCs w:val="34"/>
                                <w:lang w:val="en-GB"/>
                              </w:rPr>
                            </w:pPr>
                            <w:r w:rsidRPr="00E538AD">
                              <w:rPr>
                                <w:b/>
                                <w:noProof/>
                                <w:color w:val="FFFFFF" w:themeColor="background1"/>
                                <w:sz w:val="34"/>
                                <w:szCs w:val="34"/>
                                <w:lang w:val="en-GB"/>
                              </w:rPr>
                              <w:t>General comment</w:t>
                            </w:r>
                            <w:r w:rsidR="009C2D4A">
                              <w:rPr>
                                <w:b/>
                                <w:noProof/>
                                <w:color w:val="FFFFFF" w:themeColor="background1"/>
                                <w:sz w:val="34"/>
                                <w:szCs w:val="34"/>
                                <w:lang w:val="en-GB"/>
                              </w:rPr>
                              <w:t xml:space="preserve"> No. 1</w:t>
                            </w:r>
                            <w:r w:rsidRPr="00E538AD">
                              <w:rPr>
                                <w:b/>
                                <w:noProof/>
                                <w:color w:val="FFFFFF" w:themeColor="background1"/>
                                <w:sz w:val="34"/>
                                <w:szCs w:val="34"/>
                                <w:lang w:val="en-GB"/>
                              </w:rPr>
                              <w:t xml:space="preserve"> on enforced disappearances in the context of migration</w:t>
                            </w:r>
                          </w:p>
                          <w:p w14:paraId="5F8FD343" w14:textId="78F8227F" w:rsidR="00E538AD" w:rsidRPr="006C77F8" w:rsidRDefault="00E538AD" w:rsidP="00E538AD">
                            <w:pPr>
                              <w:spacing w:after="0"/>
                              <w:jc w:val="center"/>
                              <w:rPr>
                                <w:b/>
                                <w:noProof/>
                                <w:color w:val="FFFFFF" w:themeColor="background1"/>
                                <w:sz w:val="34"/>
                                <w:szCs w:val="34"/>
                              </w:rPr>
                            </w:pPr>
                            <w:r>
                              <w:rPr>
                                <w:b/>
                                <w:noProof/>
                                <w:color w:val="FFFFFF" w:themeColor="background1"/>
                                <w:sz w:val="34"/>
                                <w:szCs w:val="34"/>
                                <w:lang w:val="en-GB"/>
                              </w:rPr>
                              <w:t>June</w:t>
                            </w:r>
                            <w:r w:rsidRPr="006C77F8">
                              <w:rPr>
                                <w:b/>
                                <w:noProof/>
                                <w:color w:val="FFFFFF" w:themeColor="background1"/>
                                <w:sz w:val="34"/>
                                <w:szCs w:val="34"/>
                              </w:rPr>
                              <w:t xml:space="preserve"> 202</w:t>
                            </w:r>
                            <w:r>
                              <w:rPr>
                                <w:b/>
                                <w:noProof/>
                                <w:color w:val="FFFFFF" w:themeColor="background1"/>
                                <w:sz w:val="34"/>
                                <w:szCs w:val="3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53DAA4" id="_x0000_t202" coordsize="21600,21600" o:spt="202" path="m,l,21600r21600,l21600,xe">
                <v:stroke joinstyle="miter"/>
                <v:path gradientshapeok="t" o:connecttype="rect"/>
              </v:shapetype>
              <v:shape id="Text Box 1" o:spid="_x0000_s1026" type="#_x0000_t202" style="position:absolute;left:0;text-align:left;margin-left:13.3pt;margin-top:10.25pt;width:582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" filled="f" stroked="f">
                <v:textbox>
                  <w:txbxContent>
                    <w:p w14:paraId="48D40030" w14:textId="77777777" w:rsidR="009C2D4A" w:rsidRDefault="009C2D4A" w:rsidP="00E538AD">
                      <w:pPr>
                        <w:jc w:val="center"/>
                        <w:rPr>
                          <w:b/>
                          <w:noProof/>
                          <w:color w:val="FFFFFF" w:themeColor="background1"/>
                          <w:sz w:val="34"/>
                          <w:szCs w:val="34"/>
                        </w:rPr>
                      </w:pPr>
                    </w:p>
                    <w:p w14:paraId="3D83BBD6" w14:textId="15967A06" w:rsidR="00E538AD" w:rsidRDefault="00E538AD" w:rsidP="00E538AD">
                      <w:pPr>
                        <w:jc w:val="center"/>
                        <w:rPr>
                          <w:b/>
                          <w:noProof/>
                          <w:color w:val="FFFFFF" w:themeColor="background1"/>
                          <w:sz w:val="34"/>
                          <w:szCs w:val="34"/>
                          <w:lang w:val="en-GB"/>
                        </w:rPr>
                      </w:pPr>
                      <w:r w:rsidRPr="006C77F8">
                        <w:rPr>
                          <w:b/>
                          <w:noProof/>
                          <w:color w:val="FFFFFF" w:themeColor="background1"/>
                          <w:sz w:val="34"/>
                          <w:szCs w:val="34"/>
                        </w:rPr>
                        <w:t xml:space="preserve">PICUM </w:t>
                      </w:r>
                      <w:r w:rsidRPr="00E538AD">
                        <w:rPr>
                          <w:b/>
                          <w:noProof/>
                          <w:color w:val="FFFFFF" w:themeColor="background1"/>
                          <w:sz w:val="34"/>
                          <w:szCs w:val="34"/>
                          <w:lang w:val="en-GB"/>
                        </w:rPr>
                        <w:t>Submission to the Committee on Enforced Disappearances</w:t>
                      </w:r>
                    </w:p>
                    <w:p w14:paraId="78E4F1C4" w14:textId="6C97EEB0" w:rsidR="00E538AD" w:rsidRPr="00E538AD" w:rsidRDefault="00E538AD" w:rsidP="00E538AD">
                      <w:pPr>
                        <w:jc w:val="center"/>
                        <w:rPr>
                          <w:b/>
                          <w:noProof/>
                          <w:color w:val="FFFFFF" w:themeColor="background1"/>
                          <w:sz w:val="34"/>
                          <w:szCs w:val="34"/>
                          <w:lang w:val="en-GB"/>
                        </w:rPr>
                      </w:pPr>
                      <w:r w:rsidRPr="00E538AD">
                        <w:rPr>
                          <w:b/>
                          <w:noProof/>
                          <w:color w:val="FFFFFF" w:themeColor="background1"/>
                          <w:sz w:val="34"/>
                          <w:szCs w:val="34"/>
                          <w:lang w:val="en-GB"/>
                        </w:rPr>
                        <w:t>General comment</w:t>
                      </w:r>
                      <w:r w:rsidR="009C2D4A">
                        <w:rPr>
                          <w:b/>
                          <w:noProof/>
                          <w:color w:val="FFFFFF" w:themeColor="background1"/>
                          <w:sz w:val="34"/>
                          <w:szCs w:val="34"/>
                          <w:lang w:val="en-GB"/>
                        </w:rPr>
                        <w:t xml:space="preserve"> No. 1</w:t>
                      </w:r>
                      <w:r w:rsidRPr="00E538AD">
                        <w:rPr>
                          <w:b/>
                          <w:noProof/>
                          <w:color w:val="FFFFFF" w:themeColor="background1"/>
                          <w:sz w:val="34"/>
                          <w:szCs w:val="34"/>
                          <w:lang w:val="en-GB"/>
                        </w:rPr>
                        <w:t xml:space="preserve"> on enforced disappearances in the context of migration</w:t>
                      </w:r>
                    </w:p>
                    <w:p w14:paraId="5F8FD343" w14:textId="78F8227F" w:rsidR="00E538AD" w:rsidRPr="006C77F8" w:rsidRDefault="00E538AD" w:rsidP="00E538AD">
                      <w:pPr>
                        <w:spacing w:after="0"/>
                        <w:jc w:val="center"/>
                        <w:rPr>
                          <w:b/>
                          <w:noProof/>
                          <w:color w:val="FFFFFF" w:themeColor="background1"/>
                          <w:sz w:val="34"/>
                          <w:szCs w:val="34"/>
                        </w:rPr>
                      </w:pPr>
                      <w:r>
                        <w:rPr>
                          <w:b/>
                          <w:noProof/>
                          <w:color w:val="FFFFFF" w:themeColor="background1"/>
                          <w:sz w:val="34"/>
                          <w:szCs w:val="34"/>
                          <w:lang w:val="en-GB"/>
                        </w:rPr>
                        <w:t>June</w:t>
                      </w:r>
                      <w:r w:rsidRPr="006C77F8">
                        <w:rPr>
                          <w:b/>
                          <w:noProof/>
                          <w:color w:val="FFFFFF" w:themeColor="background1"/>
                          <w:sz w:val="34"/>
                          <w:szCs w:val="34"/>
                        </w:rPr>
                        <w:t xml:space="preserve"> 202</w:t>
                      </w:r>
                      <w:r>
                        <w:rPr>
                          <w:b/>
                          <w:noProof/>
                          <w:color w:val="FFFFFF" w:themeColor="background1"/>
                          <w:sz w:val="34"/>
                          <w:szCs w:val="34"/>
                        </w:rPr>
                        <w:t>2</w:t>
                      </w:r>
                    </w:p>
                  </w:txbxContent>
                </v:textbox>
                <w10:wrap anchorx="page"/>
              </v:shape>
            </w:pict>
          </mc:Fallback>
        </mc:AlternateContent>
      </w:r>
    </w:p>
    <w:p w14:paraId="1FF5D47A" w14:textId="18D31177" w:rsidR="00E538AD" w:rsidRPr="00E538AD" w:rsidRDefault="00E538AD" w:rsidP="00E538AD">
      <w:pPr>
        <w:jc w:val="center"/>
        <w:rPr>
          <w:b/>
          <w:bCs/>
          <w:u w:val="single"/>
          <w:lang w:val="en-IE"/>
        </w:rPr>
      </w:pPr>
    </w:p>
    <w:p w14:paraId="34E50B30" w14:textId="77777777" w:rsidR="00E538AD" w:rsidRPr="00E538AD" w:rsidRDefault="00E538AD" w:rsidP="00E538AD">
      <w:pPr>
        <w:jc w:val="center"/>
        <w:rPr>
          <w:b/>
          <w:bCs/>
          <w:u w:val="single"/>
          <w:lang w:val="en-IE"/>
        </w:rPr>
      </w:pPr>
    </w:p>
    <w:p w14:paraId="51EAF31F" w14:textId="77777777" w:rsidR="00E538AD" w:rsidRPr="00E538AD" w:rsidRDefault="00E538AD" w:rsidP="00E538AD">
      <w:pPr>
        <w:jc w:val="center"/>
        <w:rPr>
          <w:b/>
          <w:bCs/>
          <w:u w:val="single"/>
          <w:lang w:val="en-IE"/>
        </w:rPr>
      </w:pPr>
    </w:p>
    <w:p w14:paraId="3D7DDF6D" w14:textId="77777777" w:rsidR="00E538AD" w:rsidRPr="00E538AD" w:rsidRDefault="00E538AD" w:rsidP="00E538AD">
      <w:pPr>
        <w:jc w:val="center"/>
        <w:rPr>
          <w:b/>
          <w:bCs/>
          <w:u w:val="single"/>
          <w:lang w:val="en-IE"/>
        </w:rPr>
      </w:pPr>
    </w:p>
    <w:p w14:paraId="20F13968" w14:textId="77777777" w:rsidR="00E538AD" w:rsidRPr="00E538AD" w:rsidRDefault="00E538AD" w:rsidP="00E538AD">
      <w:pPr>
        <w:jc w:val="center"/>
        <w:rPr>
          <w:b/>
          <w:bCs/>
          <w:lang w:val="en-GB"/>
        </w:rPr>
      </w:pPr>
    </w:p>
    <w:p w14:paraId="5FE0BC91" w14:textId="77777777" w:rsidR="009C2D4A" w:rsidRDefault="009C2D4A" w:rsidP="00E538AD">
      <w:pPr>
        <w:jc w:val="center"/>
        <w:rPr>
          <w:lang w:val="en-GB"/>
        </w:rPr>
      </w:pPr>
    </w:p>
    <w:p w14:paraId="137CC4DD" w14:textId="77777777" w:rsidR="009C2D4A" w:rsidRDefault="009C2D4A" w:rsidP="00E538AD">
      <w:pPr>
        <w:jc w:val="center"/>
        <w:rPr>
          <w:lang w:val="en-GB"/>
        </w:rPr>
      </w:pPr>
    </w:p>
    <w:p w14:paraId="26964EA5" w14:textId="4BAEFF16" w:rsidR="00E538AD" w:rsidRPr="00E538AD" w:rsidRDefault="00E538AD" w:rsidP="00E538AD">
      <w:pPr>
        <w:jc w:val="center"/>
        <w:rPr>
          <w:lang w:val="en-GB"/>
        </w:rPr>
      </w:pPr>
      <w:r w:rsidRPr="00E538AD">
        <w:rPr>
          <w:noProof/>
          <w:lang w:val="nl-BE"/>
        </w:rPr>
        <mc:AlternateContent>
          <mc:Choice Requires="wps">
            <w:drawing>
              <wp:inline distT="0" distB="0" distL="0" distR="0" wp14:anchorId="68FE9250" wp14:editId="24D01326">
                <wp:extent cx="6097270" cy="1459230"/>
                <wp:effectExtent l="0" t="0" r="17780" b="266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459230"/>
                        </a:xfrm>
                        <a:prstGeom prst="rect">
                          <a:avLst/>
                        </a:prstGeom>
                        <a:solidFill>
                          <a:srgbClr val="FFFFFF"/>
                        </a:solidFill>
                        <a:ln w="25400">
                          <a:solidFill>
                            <a:srgbClr val="4F81BD"/>
                          </a:solidFill>
                          <a:miter lim="800000"/>
                          <a:headEnd/>
                          <a:tailEnd/>
                        </a:ln>
                      </wps:spPr>
                      <wps:txbx>
                        <w:txbxContent>
                          <w:p w14:paraId="2BA8881C" w14:textId="59D58471" w:rsidR="00E538AD" w:rsidRPr="00D73250" w:rsidRDefault="00E538AD" w:rsidP="00E538AD">
                            <w:pPr>
                              <w:jc w:val="both"/>
                              <w:rPr>
                                <w:rFonts w:cs="Calibri"/>
                                <w:lang w:val="en-US"/>
                              </w:rPr>
                            </w:pPr>
                            <w:r w:rsidRPr="00D73250">
                              <w:rPr>
                                <w:rFonts w:cs="Calibri"/>
                                <w:bCs/>
                                <w:lang w:val="en-US"/>
                              </w:rPr>
                              <w:t xml:space="preserve">The Platform for International Cooperation on Undocumented Migrants (PICUM) was founded in 2001 as an initiative of grassroots </w:t>
                            </w:r>
                            <w:proofErr w:type="spellStart"/>
                            <w:r w:rsidRPr="00D73250">
                              <w:rPr>
                                <w:rFonts w:cs="Calibri"/>
                                <w:bCs/>
                                <w:lang w:val="en-US"/>
                              </w:rPr>
                              <w:t>organisations</w:t>
                            </w:r>
                            <w:proofErr w:type="spellEnd"/>
                            <w:r w:rsidRPr="00D73250">
                              <w:rPr>
                                <w:rFonts w:cs="Calibri"/>
                                <w:bCs/>
                                <w:lang w:val="en-US"/>
                              </w:rPr>
                              <w:t xml:space="preserve">. Now representing a network </w:t>
                            </w:r>
                            <w:r>
                              <w:rPr>
                                <w:rFonts w:cs="Calibri"/>
                                <w:bCs/>
                                <w:lang w:val="en-US"/>
                              </w:rPr>
                              <w:t>of 164</w:t>
                            </w:r>
                            <w:r w:rsidRPr="00D73250">
                              <w:rPr>
                                <w:rFonts w:cs="Calibri"/>
                                <w:bCs/>
                                <w:lang w:val="en-US"/>
                              </w:rPr>
                              <w:t xml:space="preserve"> </w:t>
                            </w:r>
                            <w:proofErr w:type="spellStart"/>
                            <w:r w:rsidRPr="00D73250">
                              <w:rPr>
                                <w:rFonts w:cs="Calibri"/>
                                <w:bCs/>
                                <w:lang w:val="en-US"/>
                              </w:rPr>
                              <w:t>organisations</w:t>
                            </w:r>
                            <w:proofErr w:type="spellEnd"/>
                            <w:r w:rsidRPr="00D73250">
                              <w:rPr>
                                <w:rFonts w:cs="Calibri"/>
                                <w:bCs/>
                                <w:lang w:val="en-US"/>
                              </w:rPr>
                              <w:t xml:space="preserve"> working with undocumented migrants in </w:t>
                            </w:r>
                            <w:r>
                              <w:rPr>
                                <w:rFonts w:cs="Calibri"/>
                                <w:bCs/>
                                <w:lang w:val="en-US"/>
                              </w:rPr>
                              <w:t>3</w:t>
                            </w:r>
                            <w:r w:rsidR="00A243BF">
                              <w:rPr>
                                <w:rFonts w:cs="Calibri"/>
                                <w:bCs/>
                                <w:lang w:val="en-US"/>
                              </w:rPr>
                              <w:t>1</w:t>
                            </w:r>
                            <w:r w:rsidRPr="00D73250">
                              <w:rPr>
                                <w:rFonts w:cs="Calibri"/>
                                <w:bCs/>
                                <w:lang w:val="en-US"/>
                              </w:rPr>
                              <w:t xml:space="preserve"> countries, PICUM has built a comprehensive evidence base regarding the gap between international human rights law and the policies and practices existing at national level. With </w:t>
                            </w:r>
                            <w:r w:rsidR="00932CCA">
                              <w:rPr>
                                <w:rFonts w:cs="Calibri"/>
                                <w:bCs/>
                                <w:lang w:val="en-US"/>
                              </w:rPr>
                              <w:t>twenty</w:t>
                            </w:r>
                            <w:r w:rsidRPr="00D73250">
                              <w:rPr>
                                <w:rFonts w:cs="Calibri"/>
                                <w:bCs/>
                                <w:lang w:val="en-US"/>
                              </w:rPr>
                              <w:t xml:space="preserve"> years of evidence, </w:t>
                            </w:r>
                            <w:proofErr w:type="gramStart"/>
                            <w:r w:rsidRPr="00D73250">
                              <w:rPr>
                                <w:rFonts w:cs="Calibri"/>
                                <w:bCs/>
                                <w:lang w:val="en-US"/>
                              </w:rPr>
                              <w:t>experience</w:t>
                            </w:r>
                            <w:proofErr w:type="gramEnd"/>
                            <w:r w:rsidRPr="00D73250">
                              <w:rPr>
                                <w:rFonts w:cs="Calibri"/>
                                <w:bCs/>
                                <w:lang w:val="en-US"/>
                              </w:rPr>
                              <w:t xml:space="preserve"> and expertise on undocumented migrants, PICUM promotes recognition of their fundamental rights, providing an essential link between local realities and the debates at policy level.</w:t>
                            </w:r>
                            <w:r>
                              <w:rPr>
                                <w:rFonts w:cs="Calibri"/>
                                <w:bCs/>
                                <w:lang w:val="en-US"/>
                              </w:rPr>
                              <w:t xml:space="preserve"> </w:t>
                            </w:r>
                          </w:p>
                        </w:txbxContent>
                      </wps:txbx>
                      <wps:bodyPr rot="0" vert="horz" wrap="square" lIns="91440" tIns="45720" rIns="91440" bIns="45720" anchor="ctr" anchorCtr="0" upright="1">
                        <a:noAutofit/>
                      </wps:bodyPr>
                    </wps:wsp>
                  </a:graphicData>
                </a:graphic>
              </wp:inline>
            </w:drawing>
          </mc:Choice>
          <mc:Fallback>
            <w:pict>
              <v:rect w14:anchorId="68FE9250" id="Rectangle 5" o:spid="_x0000_s1027" style="width:480.1pt;height:11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" strokecolor="#4f81bd" strokeweight="2pt">
                <v:textbox>
                  <w:txbxContent>
                    <w:p w14:paraId="2BA8881C" w14:textId="59D58471" w:rsidR="00E538AD" w:rsidRPr="00D73250" w:rsidRDefault="00E538AD" w:rsidP="00E538AD">
                      <w:pPr>
                        <w:jc w:val="both"/>
                        <w:rPr>
                          <w:rFonts w:cs="Calibri"/>
                          <w:lang w:val="en-US"/>
                        </w:rPr>
                      </w:pPr>
                      <w:r w:rsidRPr="00D73250">
                        <w:rPr>
                          <w:rFonts w:cs="Calibri"/>
                          <w:bCs/>
                          <w:lang w:val="en-US"/>
                        </w:rPr>
                        <w:t xml:space="preserve">The Platform for International Cooperation on Undocumented Migrants (PICUM) was founded in 2001 as an initiative of grassroots organisations. Now representing a network </w:t>
                      </w:r>
                      <w:r>
                        <w:rPr>
                          <w:rFonts w:cs="Calibri"/>
                          <w:bCs/>
                          <w:lang w:val="en-US"/>
                        </w:rPr>
                        <w:t>of 164</w:t>
                      </w:r>
                      <w:r w:rsidRPr="00D73250">
                        <w:rPr>
                          <w:rFonts w:cs="Calibri"/>
                          <w:bCs/>
                          <w:lang w:val="en-US"/>
                        </w:rPr>
                        <w:t xml:space="preserve"> organisations working with undocumented migrants in </w:t>
                      </w:r>
                      <w:r>
                        <w:rPr>
                          <w:rFonts w:cs="Calibri"/>
                          <w:bCs/>
                          <w:lang w:val="en-US"/>
                        </w:rPr>
                        <w:t>3</w:t>
                      </w:r>
                      <w:r w:rsidR="00A243BF">
                        <w:rPr>
                          <w:rFonts w:cs="Calibri"/>
                          <w:bCs/>
                          <w:lang w:val="en-US"/>
                        </w:rPr>
                        <w:t>1</w:t>
                      </w:r>
                      <w:r w:rsidRPr="00D73250">
                        <w:rPr>
                          <w:rFonts w:cs="Calibri"/>
                          <w:bCs/>
                          <w:lang w:val="en-US"/>
                        </w:rPr>
                        <w:t xml:space="preserve"> countries, PICUM has built a comprehensive evidence base regarding the gap between international human rights law and the policies and practices existing at national level. With </w:t>
                      </w:r>
                      <w:r w:rsidR="00932CCA">
                        <w:rPr>
                          <w:rFonts w:cs="Calibri"/>
                          <w:bCs/>
                          <w:lang w:val="en-US"/>
                        </w:rPr>
                        <w:t>twenty</w:t>
                      </w:r>
                      <w:r w:rsidRPr="00D73250">
                        <w:rPr>
                          <w:rFonts w:cs="Calibri"/>
                          <w:bCs/>
                          <w:lang w:val="en-US"/>
                        </w:rPr>
                        <w:t xml:space="preserve"> years of evidence, experience and expertise on undocumented migrants, PICUM promotes recognition of their fundamental rights, providing an essential link between local realities and the debates at policy level.</w:t>
                      </w:r>
                      <w:r>
                        <w:rPr>
                          <w:rFonts w:cs="Calibri"/>
                          <w:bCs/>
                          <w:lang w:val="en-US"/>
                        </w:rPr>
                        <w:t xml:space="preserve"> </w:t>
                      </w:r>
                    </w:p>
                  </w:txbxContent>
                </v:textbox>
                <w10:anchorlock/>
              </v:rect>
            </w:pict>
          </mc:Fallback>
        </mc:AlternateContent>
      </w:r>
    </w:p>
    <w:p w14:paraId="3074B11C" w14:textId="36393D75" w:rsidR="00C502BF" w:rsidRPr="00806D9D" w:rsidRDefault="00C502BF" w:rsidP="00C502BF">
      <w:pPr>
        <w:jc w:val="center"/>
        <w:rPr>
          <w:lang w:val="en-GB"/>
        </w:rPr>
      </w:pPr>
    </w:p>
    <w:p w14:paraId="7EEFB20C" w14:textId="5D64DF56" w:rsidR="00E84894" w:rsidRDefault="00806D9D" w:rsidP="00B07DA4">
      <w:pPr>
        <w:jc w:val="both"/>
      </w:pPr>
      <w:r w:rsidRPr="00806D9D">
        <w:rPr>
          <w:lang w:val="en-GB"/>
        </w:rPr>
        <w:t>PICUM</w:t>
      </w:r>
      <w:r>
        <w:rPr>
          <w:lang w:val="en-GB"/>
        </w:rPr>
        <w:t xml:space="preserve"> welcomes the opportunity to provide inputs to the </w:t>
      </w:r>
      <w:r w:rsidRPr="00806D9D">
        <w:rPr>
          <w:lang w:val="en-GB"/>
        </w:rPr>
        <w:t>Committee on Enforced Disappearances</w:t>
      </w:r>
      <w:r>
        <w:rPr>
          <w:lang w:val="en-GB"/>
        </w:rPr>
        <w:t xml:space="preserve"> for its </w:t>
      </w:r>
      <w:r w:rsidRPr="00806D9D">
        <w:rPr>
          <w:lang w:val="en-GB"/>
        </w:rPr>
        <w:t xml:space="preserve">General comment </w:t>
      </w:r>
      <w:r w:rsidR="00BB01D4">
        <w:rPr>
          <w:lang w:val="en-GB"/>
        </w:rPr>
        <w:t xml:space="preserve">No. 1 </w:t>
      </w:r>
      <w:r w:rsidRPr="00806D9D">
        <w:rPr>
          <w:lang w:val="en-GB"/>
        </w:rPr>
        <w:t>on enforced disappearances in the context of migration</w:t>
      </w:r>
      <w:r w:rsidR="00BB01D4">
        <w:rPr>
          <w:lang w:val="en-GB"/>
        </w:rPr>
        <w:t>. Our submission follows the structure of the Concept Note adopted by the Committee at its 22</w:t>
      </w:r>
      <w:r w:rsidR="00BB01D4" w:rsidRPr="00BB01D4">
        <w:rPr>
          <w:vertAlign w:val="superscript"/>
          <w:lang w:val="en-GB"/>
        </w:rPr>
        <w:t>nd</w:t>
      </w:r>
      <w:r w:rsidR="00BB01D4">
        <w:rPr>
          <w:lang w:val="en-GB"/>
        </w:rPr>
        <w:t xml:space="preserve"> session in April 2022</w:t>
      </w:r>
      <w:r w:rsidR="00D814FD">
        <w:rPr>
          <w:lang w:val="en-GB"/>
        </w:rPr>
        <w:t xml:space="preserve"> </w:t>
      </w:r>
      <w:r w:rsidR="00D814FD" w:rsidRPr="00D814FD">
        <w:t>outlining the issue, objectives and possible scope of the General Comment.</w:t>
      </w:r>
    </w:p>
    <w:p w14:paraId="01D8D118" w14:textId="77777777" w:rsidR="00D814FD" w:rsidRDefault="00D814FD">
      <w:pPr>
        <w:rPr>
          <w:lang w:val="en-GB"/>
        </w:rPr>
      </w:pPr>
    </w:p>
    <w:p w14:paraId="326B3B39" w14:textId="77777777" w:rsidR="00724906" w:rsidRPr="00724906" w:rsidRDefault="00724906" w:rsidP="00724906">
      <w:pPr>
        <w:rPr>
          <w:b/>
          <w:lang w:val="en-GB"/>
        </w:rPr>
      </w:pPr>
      <w:r w:rsidRPr="00724906">
        <w:rPr>
          <w:b/>
          <w:lang w:val="en-GB"/>
        </w:rPr>
        <w:t xml:space="preserve">I. Introduction </w:t>
      </w:r>
    </w:p>
    <w:p w14:paraId="272F51CB" w14:textId="3AF9CB59" w:rsidR="00DC610A" w:rsidRDefault="001B2C1E" w:rsidP="00724906">
      <w:pPr>
        <w:rPr>
          <w:lang w:val="en-GB"/>
        </w:rPr>
      </w:pPr>
      <w:r>
        <w:rPr>
          <w:lang w:val="en-GB"/>
        </w:rPr>
        <w:t xml:space="preserve">Paragraph 1 refers to different reasons for which people move between countries. We recommend adding a reference to family reasons. </w:t>
      </w:r>
      <w:r w:rsidR="00DC610A">
        <w:rPr>
          <w:lang w:val="en-GB"/>
        </w:rPr>
        <w:t>In paragraph 2, we recommend stressing the importance of state action to prevent migrants from going missing</w:t>
      </w:r>
      <w:r w:rsidR="00DF3098">
        <w:rPr>
          <w:lang w:val="en-GB"/>
        </w:rPr>
        <w:t xml:space="preserve">, in particular through the establishment of state-led search and rescue (SAR) mission and the end of any form of criminalisation of humanitarian work, including through disproportionately onerous administrative burdens. </w:t>
      </w:r>
      <w:r w:rsidR="008866C2">
        <w:rPr>
          <w:lang w:val="en-GB"/>
        </w:rPr>
        <w:t xml:space="preserve">In paragraph 3, we suggest deleting the </w:t>
      </w:r>
      <w:r w:rsidR="00163DA8">
        <w:rPr>
          <w:lang w:val="en-GB"/>
        </w:rPr>
        <w:t>words</w:t>
      </w:r>
      <w:r w:rsidR="008866C2">
        <w:rPr>
          <w:lang w:val="en-GB"/>
        </w:rPr>
        <w:t xml:space="preserve"> “triggered by massive migration movements”, which could be read as partially justifying the increased number of human rights violations and which could </w:t>
      </w:r>
      <w:r w:rsidR="00163DA8">
        <w:rPr>
          <w:lang w:val="en-GB"/>
        </w:rPr>
        <w:t>foster xenophobic sentiments based of unfounded fears of “massive” arrivals.</w:t>
      </w:r>
    </w:p>
    <w:p w14:paraId="4AAD3B6A" w14:textId="3BFCBA85" w:rsidR="00CA563C" w:rsidRDefault="00CA563C" w:rsidP="00CA563C">
      <w:pPr>
        <w:rPr>
          <w:b/>
          <w:lang w:val="en-GB"/>
        </w:rPr>
      </w:pPr>
      <w:r w:rsidRPr="00CA563C">
        <w:rPr>
          <w:b/>
          <w:lang w:val="en-GB"/>
        </w:rPr>
        <w:t>II. Objectives of the General comment</w:t>
      </w:r>
    </w:p>
    <w:p w14:paraId="698C4BC4" w14:textId="77EAB6C0" w:rsidR="006F16DC" w:rsidRPr="00CA563C" w:rsidRDefault="00D64F4E" w:rsidP="00CA563C">
      <w:pPr>
        <w:rPr>
          <w:bCs/>
          <w:lang w:val="en-GB"/>
        </w:rPr>
      </w:pPr>
      <w:r>
        <w:rPr>
          <w:bCs/>
          <w:lang w:val="en-GB"/>
        </w:rPr>
        <w:t>We do not have any comment on this section.</w:t>
      </w:r>
    </w:p>
    <w:p w14:paraId="0948EA88" w14:textId="77777777" w:rsidR="00702A55" w:rsidRPr="00702A55" w:rsidRDefault="00702A55" w:rsidP="00702A55">
      <w:pPr>
        <w:rPr>
          <w:b/>
          <w:lang w:val="en-GB"/>
        </w:rPr>
      </w:pPr>
      <w:r w:rsidRPr="00702A55">
        <w:rPr>
          <w:b/>
          <w:lang w:val="en-GB"/>
        </w:rPr>
        <w:t>III. The scope of the General Comment</w:t>
      </w:r>
    </w:p>
    <w:p w14:paraId="4D5A2378" w14:textId="77777777" w:rsidR="00702A55" w:rsidRPr="00702A55" w:rsidRDefault="00702A55" w:rsidP="00702A55">
      <w:pPr>
        <w:rPr>
          <w:b/>
          <w:lang w:val="en-GB"/>
        </w:rPr>
      </w:pPr>
      <w:r w:rsidRPr="00702A55">
        <w:rPr>
          <w:b/>
          <w:bCs/>
          <w:lang w:val="en-GB"/>
        </w:rPr>
        <w:t>a) Obligation to investigate</w:t>
      </w:r>
    </w:p>
    <w:p w14:paraId="3FFA2C76" w14:textId="2FDF9CA3" w:rsidR="0003141C" w:rsidRDefault="00AD68B1" w:rsidP="00724906">
      <w:pPr>
        <w:rPr>
          <w:lang w:val="en-GB"/>
        </w:rPr>
      </w:pPr>
      <w:r>
        <w:rPr>
          <w:lang w:val="en-GB"/>
        </w:rPr>
        <w:lastRenderedPageBreak/>
        <w:t xml:space="preserve">With regard to the </w:t>
      </w:r>
      <w:r>
        <w:rPr>
          <w:i/>
          <w:iCs/>
          <w:lang w:val="en-GB"/>
        </w:rPr>
        <w:t>right to report</w:t>
      </w:r>
      <w:r>
        <w:rPr>
          <w:lang w:val="en-GB"/>
        </w:rPr>
        <w:t>, we welcome the clarification that this is not restricted to family members. In many countries, it is difficult for NGOs to file complaints on behalf of individuals who they suspect are victims of pushbacks and / or arbitrary detention</w:t>
      </w:r>
      <w:r w:rsidR="0003141C">
        <w:rPr>
          <w:lang w:val="en-GB"/>
        </w:rPr>
        <w:t xml:space="preserve">. We suggest that the Committee could explicitly refer to the right of non-governmental organisations to report instances of enforced disappearances. </w:t>
      </w:r>
    </w:p>
    <w:p w14:paraId="3088D682" w14:textId="461E8D2D" w:rsidR="0003141C" w:rsidRDefault="0003141C" w:rsidP="00724906">
      <w:pPr>
        <w:rPr>
          <w:lang w:val="en-GB"/>
        </w:rPr>
      </w:pPr>
      <w:r>
        <w:rPr>
          <w:lang w:val="en-GB"/>
        </w:rPr>
        <w:t xml:space="preserve">Another problem often faced in the context of migration is that victims and witnesses </w:t>
      </w:r>
      <w:r w:rsidR="00E76C72">
        <w:rPr>
          <w:lang w:val="en-GB"/>
        </w:rPr>
        <w:t xml:space="preserve">face deportations or pushbacks before they can report a violation, or while the procedure is ongoing. </w:t>
      </w:r>
      <w:r w:rsidR="003F5FB0">
        <w:rPr>
          <w:lang w:val="en-GB"/>
        </w:rPr>
        <w:t xml:space="preserve">This strongly undermines any attempt towards accountability and reparation. To prevent this, victims and witnesses in the context of enforced disappearances should be granted a right to stay on the territory, at </w:t>
      </w:r>
      <w:r w:rsidR="008610E8">
        <w:rPr>
          <w:lang w:val="en-GB"/>
        </w:rPr>
        <w:t>the very minimum</w:t>
      </w:r>
      <w:r w:rsidR="003F5FB0">
        <w:rPr>
          <w:lang w:val="en-GB"/>
        </w:rPr>
        <w:t xml:space="preserve"> until the ending of the proceedings</w:t>
      </w:r>
      <w:r w:rsidR="003F3046">
        <w:rPr>
          <w:lang w:val="en-GB"/>
        </w:rPr>
        <w:t xml:space="preserve">. </w:t>
      </w:r>
    </w:p>
    <w:p w14:paraId="26E61826" w14:textId="48D8BADD" w:rsidR="00ED0060" w:rsidRDefault="0077372A" w:rsidP="00DB6F29">
      <w:pPr>
        <w:rPr>
          <w:lang w:val="en-GB"/>
        </w:rPr>
      </w:pPr>
      <w:r>
        <w:rPr>
          <w:lang w:val="en-GB"/>
        </w:rPr>
        <w:t>A central tenet o</w:t>
      </w:r>
      <w:r w:rsidR="00822E92">
        <w:rPr>
          <w:lang w:val="en-GB"/>
        </w:rPr>
        <w:t xml:space="preserve">f the right to report is protection from retaliation. This </w:t>
      </w:r>
      <w:r>
        <w:rPr>
          <w:lang w:val="en-GB"/>
        </w:rPr>
        <w:t>applies</w:t>
      </w:r>
      <w:r w:rsidR="00822E92">
        <w:rPr>
          <w:lang w:val="en-GB"/>
        </w:rPr>
        <w:t xml:space="preserve"> both to the victim and to other witnesses. </w:t>
      </w:r>
      <w:r w:rsidR="00923237">
        <w:rPr>
          <w:lang w:val="en-GB"/>
        </w:rPr>
        <w:t xml:space="preserve">In some cases, individuals and members of civil society organisations </w:t>
      </w:r>
      <w:r w:rsidR="00F56E37">
        <w:rPr>
          <w:lang w:val="en-GB"/>
        </w:rPr>
        <w:t xml:space="preserve">face </w:t>
      </w:r>
      <w:r w:rsidR="00923237">
        <w:rPr>
          <w:lang w:val="en-GB"/>
        </w:rPr>
        <w:t xml:space="preserve">judicial harassment because they have publicly denounced </w:t>
      </w:r>
      <w:proofErr w:type="gramStart"/>
      <w:r w:rsidR="00923237">
        <w:rPr>
          <w:lang w:val="en-GB"/>
        </w:rPr>
        <w:t>pushbacks, or</w:t>
      </w:r>
      <w:proofErr w:type="gramEnd"/>
      <w:r w:rsidR="00923237">
        <w:rPr>
          <w:lang w:val="en-GB"/>
        </w:rPr>
        <w:t xml:space="preserve"> undertaken legal actions in this regard. This has been increasingly the case in the EU </w:t>
      </w:r>
      <w:hyperlink r:id="rId8" w:history="1">
        <w:r w:rsidR="00923237" w:rsidRPr="00DB6F29">
          <w:rPr>
            <w:rStyle w:val="Hyperlink"/>
            <w:lang w:val="en-GB"/>
          </w:rPr>
          <w:t>over the past years</w:t>
        </w:r>
      </w:hyperlink>
      <w:r w:rsidR="00923237">
        <w:rPr>
          <w:lang w:val="en-GB"/>
        </w:rPr>
        <w:t xml:space="preserve">. </w:t>
      </w:r>
      <w:r w:rsidR="00DB6F29">
        <w:rPr>
          <w:lang w:val="en-GB"/>
        </w:rPr>
        <w:t xml:space="preserve">In other cases, </w:t>
      </w:r>
      <w:r w:rsidR="00D14834">
        <w:rPr>
          <w:lang w:val="en-GB"/>
        </w:rPr>
        <w:t>people</w:t>
      </w:r>
      <w:r w:rsidR="00DB6F29">
        <w:rPr>
          <w:lang w:val="en-GB"/>
        </w:rPr>
        <w:t xml:space="preserve"> submitting complaints</w:t>
      </w:r>
      <w:r w:rsidR="00D14834">
        <w:rPr>
          <w:lang w:val="en-GB"/>
        </w:rPr>
        <w:t xml:space="preserve"> might fear retaliation when the </w:t>
      </w:r>
      <w:r w:rsidR="00ED0060">
        <w:rPr>
          <w:lang w:val="en-GB"/>
        </w:rPr>
        <w:t>authorities</w:t>
      </w:r>
      <w:r w:rsidR="00D14834">
        <w:rPr>
          <w:lang w:val="en-GB"/>
        </w:rPr>
        <w:t xml:space="preserve"> </w:t>
      </w:r>
      <w:r w:rsidR="00DB6F29">
        <w:rPr>
          <w:lang w:val="en-GB"/>
        </w:rPr>
        <w:t>in charge of receiving</w:t>
      </w:r>
      <w:r w:rsidR="00D14834">
        <w:rPr>
          <w:lang w:val="en-GB"/>
        </w:rPr>
        <w:t xml:space="preserve"> the complaint are, or are perceived as, being the same authorities who are</w:t>
      </w:r>
      <w:r w:rsidR="00A96F1C">
        <w:rPr>
          <w:lang w:val="en-GB"/>
        </w:rPr>
        <w:t xml:space="preserve"> in charge of </w:t>
      </w:r>
      <w:r w:rsidR="00ED0060">
        <w:rPr>
          <w:lang w:val="en-GB"/>
        </w:rPr>
        <w:t xml:space="preserve">evaluating </w:t>
      </w:r>
      <w:r w:rsidR="00A96F1C">
        <w:rPr>
          <w:lang w:val="en-GB"/>
        </w:rPr>
        <w:t>their asylum application</w:t>
      </w:r>
      <w:r w:rsidR="00ED0060">
        <w:rPr>
          <w:lang w:val="en-GB"/>
        </w:rPr>
        <w:t>; taking d</w:t>
      </w:r>
      <w:r w:rsidR="00A96F1C">
        <w:rPr>
          <w:lang w:val="en-GB"/>
        </w:rPr>
        <w:t>ecisions over their detention or return</w:t>
      </w:r>
      <w:r w:rsidR="00ED0060">
        <w:rPr>
          <w:lang w:val="en-GB"/>
        </w:rPr>
        <w:t xml:space="preserve">; or managing </w:t>
      </w:r>
      <w:r w:rsidR="00A96F1C">
        <w:rPr>
          <w:lang w:val="en-GB"/>
        </w:rPr>
        <w:t xml:space="preserve">the detention centre. In these cases, people might fear presenting a complaint because they are afraid this will affect their asylum application or lead to worsened </w:t>
      </w:r>
      <w:r w:rsidR="00F56E37">
        <w:rPr>
          <w:lang w:val="en-GB"/>
        </w:rPr>
        <w:t xml:space="preserve">detention </w:t>
      </w:r>
      <w:r w:rsidR="00A96F1C">
        <w:rPr>
          <w:lang w:val="en-GB"/>
        </w:rPr>
        <w:t>conditions</w:t>
      </w:r>
      <w:r w:rsidR="00D84BC4">
        <w:rPr>
          <w:lang w:val="en-GB"/>
        </w:rPr>
        <w:t>.</w:t>
      </w:r>
      <w:r w:rsidR="00A96F1C">
        <w:rPr>
          <w:lang w:val="en-GB"/>
        </w:rPr>
        <w:t xml:space="preserve"> </w:t>
      </w:r>
    </w:p>
    <w:p w14:paraId="4EF89C2C" w14:textId="77777777" w:rsidR="006060CC" w:rsidRDefault="000223C1" w:rsidP="00DB6F29">
      <w:pPr>
        <w:rPr>
          <w:lang w:val="en-GB"/>
        </w:rPr>
      </w:pPr>
      <w:r>
        <w:rPr>
          <w:lang w:val="en-GB"/>
        </w:rPr>
        <w:t xml:space="preserve">In order to prevent this, </w:t>
      </w:r>
      <w:r w:rsidR="006060CC">
        <w:rPr>
          <w:lang w:val="en-GB"/>
        </w:rPr>
        <w:t>some important safeguards can be introduced:</w:t>
      </w:r>
    </w:p>
    <w:p w14:paraId="3F808E04" w14:textId="66DDA9A4" w:rsidR="006060CC" w:rsidRDefault="006060CC" w:rsidP="006060CC">
      <w:pPr>
        <w:pStyle w:val="ListParagraph"/>
        <w:numPr>
          <w:ilvl w:val="0"/>
          <w:numId w:val="2"/>
        </w:numPr>
        <w:rPr>
          <w:lang w:val="en-GB"/>
        </w:rPr>
      </w:pPr>
      <w:r>
        <w:rPr>
          <w:lang w:val="en-GB"/>
        </w:rPr>
        <w:t xml:space="preserve">Firstly, as also </w:t>
      </w:r>
      <w:hyperlink r:id="rId9" w:history="1">
        <w:r w:rsidRPr="006060CC">
          <w:rPr>
            <w:rStyle w:val="Hyperlink"/>
            <w:lang w:val="en-GB"/>
          </w:rPr>
          <w:t>recommended</w:t>
        </w:r>
      </w:hyperlink>
      <w:r>
        <w:rPr>
          <w:lang w:val="en-GB"/>
        </w:rPr>
        <w:t xml:space="preserve"> by the EU Ombudsperson in relation to </w:t>
      </w:r>
      <w:r w:rsidR="009654D6">
        <w:rPr>
          <w:lang w:val="en-GB"/>
        </w:rPr>
        <w:t xml:space="preserve">the EU border agency </w:t>
      </w:r>
      <w:r>
        <w:rPr>
          <w:lang w:val="en-GB"/>
        </w:rPr>
        <w:t xml:space="preserve">Frontex’s complaints mechanism, there should be the possibility to present anonymous complaints. </w:t>
      </w:r>
      <w:r w:rsidR="001B69E7">
        <w:rPr>
          <w:lang w:val="en-GB"/>
        </w:rPr>
        <w:t>NGOs should also be allowed to present complaints on behalf of anonymous applicants as well as collective complaints.</w:t>
      </w:r>
    </w:p>
    <w:p w14:paraId="05C7DAFB" w14:textId="77777777" w:rsidR="002E7702" w:rsidRDefault="006060CC" w:rsidP="00237B54">
      <w:pPr>
        <w:pStyle w:val="ListParagraph"/>
        <w:numPr>
          <w:ilvl w:val="0"/>
          <w:numId w:val="2"/>
        </w:numPr>
        <w:rPr>
          <w:lang w:val="en-GB"/>
        </w:rPr>
      </w:pPr>
      <w:r w:rsidRPr="002E7702">
        <w:rPr>
          <w:lang w:val="en-GB"/>
        </w:rPr>
        <w:t xml:space="preserve">Secondly, </w:t>
      </w:r>
      <w:r w:rsidR="000223C1" w:rsidRPr="002E7702">
        <w:rPr>
          <w:lang w:val="en-GB"/>
        </w:rPr>
        <w:t xml:space="preserve">it is essential that </w:t>
      </w:r>
      <w:r w:rsidRPr="002E7702">
        <w:rPr>
          <w:lang w:val="en-GB"/>
        </w:rPr>
        <w:t xml:space="preserve">the authority in charge of receiving and handling </w:t>
      </w:r>
      <w:r w:rsidR="000223C1" w:rsidRPr="002E7702">
        <w:rPr>
          <w:lang w:val="en-GB"/>
        </w:rPr>
        <w:t xml:space="preserve">complaints </w:t>
      </w:r>
      <w:r w:rsidRPr="002E7702">
        <w:rPr>
          <w:lang w:val="en-GB"/>
        </w:rPr>
        <w:t xml:space="preserve">is </w:t>
      </w:r>
      <w:hyperlink r:id="rId10" w:history="1">
        <w:r w:rsidRPr="002E7702">
          <w:rPr>
            <w:rStyle w:val="Hyperlink"/>
            <w:lang w:val="en-GB"/>
          </w:rPr>
          <w:t>independent</w:t>
        </w:r>
      </w:hyperlink>
      <w:r w:rsidRPr="002E7702">
        <w:rPr>
          <w:lang w:val="en-GB"/>
        </w:rPr>
        <w:t>.</w:t>
      </w:r>
      <w:r w:rsidR="00F422CC" w:rsidRPr="002E7702">
        <w:rPr>
          <w:lang w:val="en-GB"/>
        </w:rPr>
        <w:t xml:space="preserve"> </w:t>
      </w:r>
      <w:r w:rsidR="002E7702" w:rsidRPr="002E7702">
        <w:rPr>
          <w:lang w:val="en-GB"/>
        </w:rPr>
        <w:t>Civil society organisations should also be involved and be able to submit information.</w:t>
      </w:r>
    </w:p>
    <w:p w14:paraId="482388A9" w14:textId="033010AD" w:rsidR="00DB6F29" w:rsidRPr="005B44E1" w:rsidRDefault="002E7702" w:rsidP="005B44E1">
      <w:pPr>
        <w:pStyle w:val="ListParagraph"/>
        <w:numPr>
          <w:ilvl w:val="0"/>
          <w:numId w:val="2"/>
        </w:numPr>
        <w:rPr>
          <w:lang w:val="en-GB"/>
        </w:rPr>
      </w:pPr>
      <w:r>
        <w:rPr>
          <w:lang w:val="en-GB"/>
        </w:rPr>
        <w:t xml:space="preserve">Thirdly, </w:t>
      </w:r>
      <w:r w:rsidR="00DB6F29" w:rsidRPr="002E7702">
        <w:rPr>
          <w:lang w:val="en-GB"/>
        </w:rPr>
        <w:t xml:space="preserve">states </w:t>
      </w:r>
      <w:r w:rsidR="001300E9">
        <w:rPr>
          <w:lang w:val="en-GB"/>
        </w:rPr>
        <w:t>should</w:t>
      </w:r>
      <w:r w:rsidR="00DB6F29" w:rsidRPr="002E7702">
        <w:rPr>
          <w:lang w:val="en-GB"/>
        </w:rPr>
        <w:t xml:space="preserve"> </w:t>
      </w:r>
      <w:hyperlink r:id="rId11" w:history="1">
        <w:r w:rsidR="00DB6F29" w:rsidRPr="001B69E7">
          <w:rPr>
            <w:rStyle w:val="Hyperlink"/>
            <w:lang w:val="en-GB"/>
          </w:rPr>
          <w:t>protect</w:t>
        </w:r>
      </w:hyperlink>
      <w:r w:rsidR="001300E9">
        <w:rPr>
          <w:rStyle w:val="Hyperlink"/>
          <w:lang w:val="en-GB"/>
        </w:rPr>
        <w:t xml:space="preserve"> </w:t>
      </w:r>
      <w:r w:rsidR="00DB6F29" w:rsidRPr="002E7702">
        <w:rPr>
          <w:lang w:val="en-GB"/>
        </w:rPr>
        <w:t>human rights defenders and people defending migrants rights</w:t>
      </w:r>
      <w:r w:rsidR="001300E9">
        <w:rPr>
          <w:lang w:val="en-GB"/>
        </w:rPr>
        <w:t xml:space="preserve"> from any form of criminalisation</w:t>
      </w:r>
      <w:r w:rsidR="005B44E1">
        <w:rPr>
          <w:lang w:val="en-GB"/>
        </w:rPr>
        <w:t>;</w:t>
      </w:r>
      <w:r w:rsidR="003127A5" w:rsidRPr="005B44E1">
        <w:rPr>
          <w:lang w:val="en-GB"/>
        </w:rPr>
        <w:t xml:space="preserve"> monitor any form of judicial and other forms of harassment against human rights defenders and NGOs</w:t>
      </w:r>
      <w:r w:rsidR="005B44E1">
        <w:rPr>
          <w:lang w:val="en-GB"/>
        </w:rPr>
        <w:t>;</w:t>
      </w:r>
      <w:r w:rsidR="003127A5" w:rsidRPr="005B44E1">
        <w:rPr>
          <w:lang w:val="en-GB"/>
        </w:rPr>
        <w:t xml:space="preserve"> and dedicate adequate funding to civil society organisations </w:t>
      </w:r>
      <w:r w:rsidR="00985B57">
        <w:rPr>
          <w:lang w:val="en-GB"/>
        </w:rPr>
        <w:t>which provide</w:t>
      </w:r>
      <w:r w:rsidR="003127A5" w:rsidRPr="005B44E1">
        <w:rPr>
          <w:lang w:val="en-GB"/>
        </w:rPr>
        <w:t xml:space="preserve"> legal and other forms of assistance to victims. </w:t>
      </w:r>
    </w:p>
    <w:p w14:paraId="1565B70C" w14:textId="77777777" w:rsidR="00F570E9" w:rsidRDefault="00074B1C" w:rsidP="004428B4">
      <w:pPr>
        <w:rPr>
          <w:lang w:val="en-GB"/>
        </w:rPr>
      </w:pPr>
      <w:r>
        <w:rPr>
          <w:lang w:val="en-GB"/>
        </w:rPr>
        <w:t>We also recommend including a reference to the right to an effective remedy</w:t>
      </w:r>
      <w:r w:rsidR="00985B57">
        <w:rPr>
          <w:lang w:val="en-GB"/>
        </w:rPr>
        <w:t xml:space="preserve">, as enshrined by </w:t>
      </w:r>
      <w:r>
        <w:rPr>
          <w:lang w:val="en-GB"/>
        </w:rPr>
        <w:t>art. 8</w:t>
      </w:r>
      <w:r w:rsidR="00A32286">
        <w:rPr>
          <w:lang w:val="en-GB"/>
        </w:rPr>
        <w:t xml:space="preserve">.2 </w:t>
      </w:r>
      <w:r w:rsidR="00A32286" w:rsidRPr="00A32286">
        <w:rPr>
          <w:lang w:val="en-GB"/>
        </w:rPr>
        <w:t>ICCPED</w:t>
      </w:r>
      <w:r w:rsidR="00985B57">
        <w:rPr>
          <w:lang w:val="en-GB"/>
        </w:rPr>
        <w:t>,</w:t>
      </w:r>
      <w:r w:rsidR="00A32286">
        <w:rPr>
          <w:lang w:val="en-GB"/>
        </w:rPr>
        <w:t xml:space="preserve"> </w:t>
      </w:r>
      <w:r w:rsidR="00966881">
        <w:rPr>
          <w:lang w:val="en-GB"/>
        </w:rPr>
        <w:t xml:space="preserve">and clarifying that individuals should have the right to appeal against the outcome of a complaint on instances of enforced disappearances. </w:t>
      </w:r>
    </w:p>
    <w:p w14:paraId="6BFF4CA4" w14:textId="5A065F32" w:rsidR="00F40BC6" w:rsidRPr="00F40BC6" w:rsidRDefault="00183E6A" w:rsidP="004428B4">
      <w:pPr>
        <w:rPr>
          <w:lang w:val="en-GB"/>
        </w:rPr>
      </w:pPr>
      <w:r>
        <w:rPr>
          <w:lang w:val="en-GB"/>
        </w:rPr>
        <w:t>At the EU level, i</w:t>
      </w:r>
      <w:r w:rsidR="00F570E9">
        <w:rPr>
          <w:lang w:val="en-GB"/>
        </w:rPr>
        <w:t>n the last decade and a half</w:t>
      </w:r>
      <w:r w:rsidR="004428B4" w:rsidRPr="00B37E5C">
        <w:rPr>
          <w:lang w:val="en-GB"/>
        </w:rPr>
        <w:t xml:space="preserve">, </w:t>
      </w:r>
      <w:r w:rsidR="00ED5C84">
        <w:rPr>
          <w:lang w:val="en-GB"/>
        </w:rPr>
        <w:t>the budget dedicated to the</w:t>
      </w:r>
      <w:r w:rsidR="004428B4" w:rsidRPr="00B37E5C">
        <w:rPr>
          <w:lang w:val="en-GB"/>
        </w:rPr>
        <w:t xml:space="preserve"> </w:t>
      </w:r>
      <w:r w:rsidR="00985B57" w:rsidRPr="00B37E5C">
        <w:t>European Border and Coast Guard Agency</w:t>
      </w:r>
      <w:r w:rsidR="00985B57" w:rsidRPr="00B37E5C">
        <w:rPr>
          <w:lang w:val="en-GB"/>
        </w:rPr>
        <w:t xml:space="preserve"> (Frontex)</w:t>
      </w:r>
      <w:r w:rsidR="00F570E9">
        <w:rPr>
          <w:lang w:val="en-GB"/>
        </w:rPr>
        <w:t xml:space="preserve"> has </w:t>
      </w:r>
      <w:hyperlink r:id="rId12" w:history="1">
        <w:r w:rsidR="00F570E9" w:rsidRPr="00F570E9">
          <w:rPr>
            <w:rStyle w:val="Hyperlink"/>
            <w:lang w:val="en-GB"/>
          </w:rPr>
          <w:t>increased</w:t>
        </w:r>
      </w:hyperlink>
      <w:r w:rsidR="00F570E9">
        <w:rPr>
          <w:lang w:val="en-GB"/>
        </w:rPr>
        <w:t xml:space="preserve"> by 13,200%,</w:t>
      </w:r>
      <w:r w:rsidR="00ED5C84">
        <w:rPr>
          <w:lang w:val="en-GB"/>
        </w:rPr>
        <w:t xml:space="preserve"> from </w:t>
      </w:r>
      <w:r w:rsidR="00F277FE" w:rsidRPr="00B37E5C">
        <w:rPr>
          <w:lang w:val="en-GB"/>
        </w:rPr>
        <w:t xml:space="preserve">6 million euro in 2005, </w:t>
      </w:r>
      <w:r w:rsidR="00ED5C84">
        <w:rPr>
          <w:lang w:val="en-GB"/>
        </w:rPr>
        <w:t>to</w:t>
      </w:r>
      <w:r w:rsidR="00F277FE" w:rsidRPr="00B37E5C">
        <w:rPr>
          <w:lang w:val="en-GB"/>
        </w:rPr>
        <w:t xml:space="preserve"> an average of 800 million euro an year</w:t>
      </w:r>
      <w:r w:rsidR="006C2DEF" w:rsidRPr="00B37E5C">
        <w:rPr>
          <w:lang w:val="en-GB"/>
        </w:rPr>
        <w:t xml:space="preserve">. However, this has not been accompanied </w:t>
      </w:r>
      <w:r>
        <w:rPr>
          <w:lang w:val="en-GB"/>
        </w:rPr>
        <w:t>by</w:t>
      </w:r>
      <w:r w:rsidR="006C2DEF" w:rsidRPr="00B37E5C">
        <w:rPr>
          <w:lang w:val="en-GB"/>
        </w:rPr>
        <w:t xml:space="preserve"> sufficient developments in terms of </w:t>
      </w:r>
      <w:hyperlink r:id="rId13" w:history="1">
        <w:r w:rsidR="006C2DEF" w:rsidRPr="00B37E5C">
          <w:rPr>
            <w:rStyle w:val="Hyperlink"/>
            <w:lang w:val="en-GB"/>
          </w:rPr>
          <w:t>accountability</w:t>
        </w:r>
      </w:hyperlink>
      <w:r w:rsidR="002F43E7">
        <w:rPr>
          <w:lang w:val="en-GB"/>
        </w:rPr>
        <w:t xml:space="preserve">, and </w:t>
      </w:r>
      <w:r w:rsidR="00C20E2E">
        <w:rPr>
          <w:lang w:val="en-GB"/>
        </w:rPr>
        <w:t>Frontex</w:t>
      </w:r>
      <w:r w:rsidR="002F43E7">
        <w:rPr>
          <w:lang w:val="en-GB"/>
        </w:rPr>
        <w:t xml:space="preserve"> has been involved in hundreds of </w:t>
      </w:r>
      <w:hyperlink r:id="rId14" w:history="1">
        <w:r w:rsidR="002F43E7" w:rsidRPr="002F43E7">
          <w:rPr>
            <w:rStyle w:val="Hyperlink"/>
            <w:lang w:val="en-GB"/>
          </w:rPr>
          <w:t>pushbacks</w:t>
        </w:r>
      </w:hyperlink>
      <w:r w:rsidR="002F43E7">
        <w:rPr>
          <w:lang w:val="en-GB"/>
        </w:rPr>
        <w:t xml:space="preserve">. </w:t>
      </w:r>
      <w:r w:rsidR="005A6B0E" w:rsidRPr="00B37E5C">
        <w:rPr>
          <w:lang w:val="en-GB"/>
        </w:rPr>
        <w:t xml:space="preserve"> We recommend</w:t>
      </w:r>
      <w:r w:rsidR="005A6B0E">
        <w:rPr>
          <w:lang w:val="en-GB"/>
        </w:rPr>
        <w:t xml:space="preserve"> clarifying, in the General Comment, the</w:t>
      </w:r>
      <w:r w:rsidR="00320222">
        <w:rPr>
          <w:lang w:val="en-GB"/>
        </w:rPr>
        <w:t xml:space="preserve"> principle of</w:t>
      </w:r>
      <w:r w:rsidR="005A6B0E">
        <w:rPr>
          <w:lang w:val="en-GB"/>
        </w:rPr>
        <w:t xml:space="preserve"> direct responsibility of any supranational entity which might be involved in </w:t>
      </w:r>
      <w:r w:rsidR="00AD392D">
        <w:rPr>
          <w:lang w:val="en-GB"/>
        </w:rPr>
        <w:t xml:space="preserve">enforced disappearances, jointly with the national authority </w:t>
      </w:r>
      <w:r w:rsidR="00320222">
        <w:rPr>
          <w:lang w:val="en-GB"/>
        </w:rPr>
        <w:t xml:space="preserve">involved. </w:t>
      </w:r>
    </w:p>
    <w:p w14:paraId="069678F5" w14:textId="5B045669" w:rsidR="00F40BC6" w:rsidRDefault="00F40BC6" w:rsidP="004428B4"/>
    <w:p w14:paraId="5073F361" w14:textId="77777777" w:rsidR="00813736" w:rsidRDefault="00813736" w:rsidP="004428B4"/>
    <w:p w14:paraId="1455DAB0" w14:textId="15DB4971" w:rsidR="006F16DC" w:rsidRDefault="006F16DC" w:rsidP="006F16DC">
      <w:pPr>
        <w:rPr>
          <w:b/>
          <w:bCs/>
          <w:lang w:val="en-GB"/>
        </w:rPr>
      </w:pPr>
      <w:r w:rsidRPr="006F16DC">
        <w:rPr>
          <w:b/>
          <w:bCs/>
          <w:lang w:val="en-GB"/>
        </w:rPr>
        <w:lastRenderedPageBreak/>
        <w:t xml:space="preserve">b) Prohibition of secret detention of migrants </w:t>
      </w:r>
    </w:p>
    <w:p w14:paraId="063B3ED0" w14:textId="1ED0931D" w:rsidR="00142F89" w:rsidRDefault="00FC1190" w:rsidP="006F16DC">
      <w:pPr>
        <w:rPr>
          <w:lang w:val="en-GB"/>
        </w:rPr>
      </w:pPr>
      <w:r w:rsidRPr="00FC1190">
        <w:t xml:space="preserve">Secret detention and </w:t>
      </w:r>
      <w:hyperlink r:id="rId15" w:history="1">
        <w:r w:rsidRPr="00FC1190">
          <w:rPr>
            <w:rStyle w:val="Hyperlink"/>
            <w:lang w:val="en-GB"/>
          </w:rPr>
          <w:t>detention in non-o</w:t>
        </w:r>
        <w:r w:rsidRPr="00FC1190">
          <w:rPr>
            <w:rStyle w:val="Hyperlink"/>
            <w:lang w:val="en-GB"/>
          </w:rPr>
          <w:t>f</w:t>
        </w:r>
        <w:r w:rsidRPr="00FC1190">
          <w:rPr>
            <w:rStyle w:val="Hyperlink"/>
            <w:lang w:val="en-GB"/>
          </w:rPr>
          <w:t>ficial places</w:t>
        </w:r>
      </w:hyperlink>
      <w:r>
        <w:rPr>
          <w:lang w:val="en-GB"/>
        </w:rPr>
        <w:t xml:space="preserve"> </w:t>
      </w:r>
      <w:r w:rsidRPr="00FC1190">
        <w:t xml:space="preserve">are widespread in the EU. </w:t>
      </w:r>
      <w:hyperlink r:id="rId16" w:history="1">
        <w:r w:rsidRPr="00FC1190">
          <w:rPr>
            <w:rStyle w:val="Hyperlink"/>
          </w:rPr>
          <w:t>Secret d</w:t>
        </w:r>
        <w:r w:rsidRPr="00FC1190">
          <w:rPr>
            <w:rStyle w:val="Hyperlink"/>
          </w:rPr>
          <w:t>e</w:t>
        </w:r>
        <w:r w:rsidRPr="00FC1190">
          <w:rPr>
            <w:rStyle w:val="Hyperlink"/>
          </w:rPr>
          <w:t>ten</w:t>
        </w:r>
        <w:r w:rsidRPr="00FC1190">
          <w:rPr>
            <w:rStyle w:val="Hyperlink"/>
          </w:rPr>
          <w:t>t</w:t>
        </w:r>
        <w:r w:rsidRPr="00FC1190">
          <w:rPr>
            <w:rStyle w:val="Hyperlink"/>
          </w:rPr>
          <w:t>ion</w:t>
        </w:r>
      </w:hyperlink>
      <w:r w:rsidRPr="00FC1190">
        <w:t xml:space="preserve"> is often implemented </w:t>
      </w:r>
      <w:r w:rsidR="00F5009D">
        <w:rPr>
          <w:lang w:val="en-GB"/>
        </w:rPr>
        <w:t xml:space="preserve">in </w:t>
      </w:r>
      <w:hyperlink r:id="rId17" w:history="1">
        <w:r w:rsidR="00F5009D" w:rsidRPr="00D96318">
          <w:rPr>
            <w:rStyle w:val="Hyperlink"/>
            <w:lang w:val="en-GB"/>
          </w:rPr>
          <w:t>police cells</w:t>
        </w:r>
      </w:hyperlink>
      <w:r w:rsidR="00D96318">
        <w:rPr>
          <w:lang w:val="en-GB"/>
        </w:rPr>
        <w:t xml:space="preserve"> or even </w:t>
      </w:r>
      <w:hyperlink r:id="rId18" w:history="1">
        <w:r w:rsidR="00D96318" w:rsidRPr="00D96318">
          <w:rPr>
            <w:rStyle w:val="Hyperlink"/>
            <w:lang w:val="en-GB"/>
          </w:rPr>
          <w:t>garages</w:t>
        </w:r>
      </w:hyperlink>
      <w:r w:rsidR="00F5009D">
        <w:rPr>
          <w:lang w:val="en-GB"/>
        </w:rPr>
        <w:t xml:space="preserve"> </w:t>
      </w:r>
      <w:r w:rsidRPr="00FC1190">
        <w:t xml:space="preserve">in relation to push backs, both at the EU external borders </w:t>
      </w:r>
      <w:r w:rsidRPr="00FC1190">
        <w:rPr>
          <w:lang w:val="en-GB"/>
        </w:rPr>
        <w:t xml:space="preserve">and </w:t>
      </w:r>
      <w:hyperlink r:id="rId19" w:history="1">
        <w:r w:rsidRPr="00FC1190">
          <w:rPr>
            <w:rStyle w:val="Hyperlink"/>
            <w:lang w:val="en-GB"/>
          </w:rPr>
          <w:t>within the Schengen area</w:t>
        </w:r>
      </w:hyperlink>
      <w:r w:rsidRPr="00FC1190">
        <w:t>.</w:t>
      </w:r>
      <w:r>
        <w:rPr>
          <w:lang w:val="en-GB"/>
        </w:rPr>
        <w:t xml:space="preserve"> </w:t>
      </w:r>
      <w:r w:rsidR="002507E1">
        <w:rPr>
          <w:lang w:val="en-GB"/>
        </w:rPr>
        <w:t xml:space="preserve">In paragraph 18, we recommend clarifying that art. 17.1 applies to any form of secret detention </w:t>
      </w:r>
      <w:r w:rsidR="006B2FAB">
        <w:rPr>
          <w:lang w:val="en-GB"/>
        </w:rPr>
        <w:t>independent of its length, and that detaining people incommunicado even for a few hours is a violation of this article.</w:t>
      </w:r>
      <w:r w:rsidR="00505B83">
        <w:rPr>
          <w:lang w:val="en-GB"/>
        </w:rPr>
        <w:t xml:space="preserve"> </w:t>
      </w:r>
    </w:p>
    <w:p w14:paraId="6A8646A3" w14:textId="77777777" w:rsidR="002D238A" w:rsidRDefault="00505B83" w:rsidP="006F16DC">
      <w:pPr>
        <w:rPr>
          <w:lang w:val="en-GB"/>
        </w:rPr>
      </w:pPr>
      <w:r>
        <w:rPr>
          <w:lang w:val="en-GB"/>
        </w:rPr>
        <w:t xml:space="preserve">We also recommend clarifying that </w:t>
      </w:r>
      <w:r w:rsidR="00142F89">
        <w:rPr>
          <w:lang w:val="en-GB"/>
        </w:rPr>
        <w:t>by</w:t>
      </w:r>
      <w:r>
        <w:rPr>
          <w:lang w:val="en-GB"/>
        </w:rPr>
        <w:t xml:space="preserve"> virtue of art. 17.2.d, people in immigration detention should </w:t>
      </w:r>
      <w:r w:rsidR="00142F89">
        <w:rPr>
          <w:lang w:val="en-GB"/>
        </w:rPr>
        <w:t>have the right</w:t>
      </w:r>
      <w:r>
        <w:rPr>
          <w:lang w:val="en-GB"/>
        </w:rPr>
        <w:t xml:space="preserve"> to be visited by their famil</w:t>
      </w:r>
      <w:r w:rsidR="002D238A">
        <w:rPr>
          <w:lang w:val="en-GB"/>
        </w:rPr>
        <w:t>ies</w:t>
      </w:r>
      <w:r>
        <w:rPr>
          <w:lang w:val="en-GB"/>
        </w:rPr>
        <w:t xml:space="preserve"> as well as to communicate with their consular authorities</w:t>
      </w:r>
      <w:r w:rsidR="00A828F5">
        <w:rPr>
          <w:lang w:val="en-GB"/>
        </w:rPr>
        <w:t xml:space="preserve">. In fact, the right to communicate with the authorities should not be considered as a substitute for the right to communicate with family members. </w:t>
      </w:r>
    </w:p>
    <w:p w14:paraId="4C67886D" w14:textId="66569662" w:rsidR="002507E1" w:rsidRDefault="00A828F5" w:rsidP="006F16DC">
      <w:pPr>
        <w:rPr>
          <w:lang w:val="en-GB"/>
        </w:rPr>
      </w:pPr>
      <w:r>
        <w:rPr>
          <w:lang w:val="en-GB"/>
        </w:rPr>
        <w:t>In order to guarantee the full and meaningful respect of the different rights enshrined in article 17, we also recommend clarifying that people should have the right to interpretation by a professional interpreter. The practice of relying on other people in detention to facilitate communication</w:t>
      </w:r>
      <w:r w:rsidR="008849C7">
        <w:rPr>
          <w:lang w:val="en-GB"/>
        </w:rPr>
        <w:t xml:space="preserve"> is in breach of the right to confidentiality and should not be considered as an equivalent </w:t>
      </w:r>
      <w:r w:rsidR="002D238A">
        <w:rPr>
          <w:lang w:val="en-GB"/>
        </w:rPr>
        <w:t>to</w:t>
      </w:r>
      <w:r w:rsidR="008849C7">
        <w:rPr>
          <w:lang w:val="en-GB"/>
        </w:rPr>
        <w:t xml:space="preserve"> the right to interpretation.</w:t>
      </w:r>
    </w:p>
    <w:p w14:paraId="526B8A21" w14:textId="77777777" w:rsidR="00B16F95" w:rsidRPr="00B16F95" w:rsidRDefault="00B16F95" w:rsidP="00B16F95">
      <w:pPr>
        <w:rPr>
          <w:b/>
          <w:bCs/>
          <w:vertAlign w:val="superscript"/>
          <w:lang w:val="en-GB"/>
        </w:rPr>
      </w:pPr>
      <w:r w:rsidRPr="00B16F95">
        <w:rPr>
          <w:b/>
          <w:bCs/>
          <w:lang w:val="en-GB"/>
        </w:rPr>
        <w:t>d) Non-refoulement</w:t>
      </w:r>
    </w:p>
    <w:p w14:paraId="4C2BB505" w14:textId="3E098BF5" w:rsidR="00B37E5C" w:rsidRDefault="00B37E5C" w:rsidP="000566DC">
      <w:pPr>
        <w:spacing w:after="120" w:line="240" w:lineRule="auto"/>
        <w:jc w:val="both"/>
        <w:rPr>
          <w:color w:val="000000"/>
          <w:lang w:val="en-GB"/>
        </w:rPr>
      </w:pPr>
      <w:r w:rsidRPr="00B37E5C">
        <w:rPr>
          <w:color w:val="000000"/>
          <w:lang w:val="en-GB"/>
        </w:rPr>
        <w:t xml:space="preserve">We </w:t>
      </w:r>
      <w:r>
        <w:rPr>
          <w:color w:val="000000"/>
          <w:lang w:val="en-GB"/>
        </w:rPr>
        <w:t>welcome the clarification that adherence to the principle of non-refoulement must be explicitly incorporated into national legislation</w:t>
      </w:r>
      <w:r w:rsidR="00071509">
        <w:rPr>
          <w:color w:val="000000"/>
          <w:lang w:val="en-GB"/>
        </w:rPr>
        <w:t>, and that the analysis of this principle entails a consideration of all relevant facts and serious violations of human rights</w:t>
      </w:r>
      <w:r w:rsidR="002D238A">
        <w:rPr>
          <w:color w:val="000000"/>
          <w:lang w:val="en-GB"/>
        </w:rPr>
        <w:t xml:space="preserve"> before someone is returned</w:t>
      </w:r>
      <w:r w:rsidR="00071509">
        <w:rPr>
          <w:color w:val="000000"/>
          <w:lang w:val="en-GB"/>
        </w:rPr>
        <w:t xml:space="preserve">. We recommend clarifying that the consideration of the principle of </w:t>
      </w:r>
      <w:r w:rsidR="00EA51AA">
        <w:rPr>
          <w:i/>
          <w:iCs/>
          <w:color w:val="000000"/>
          <w:lang w:val="en-GB"/>
        </w:rPr>
        <w:t>non-refoulement</w:t>
      </w:r>
      <w:r w:rsidR="00071509">
        <w:rPr>
          <w:i/>
          <w:iCs/>
          <w:color w:val="000000"/>
          <w:lang w:val="en-GB"/>
        </w:rPr>
        <w:t xml:space="preserve"> </w:t>
      </w:r>
      <w:r w:rsidR="00071509">
        <w:rPr>
          <w:color w:val="000000"/>
          <w:lang w:val="en-GB"/>
        </w:rPr>
        <w:t xml:space="preserve">is </w:t>
      </w:r>
      <w:hyperlink r:id="rId20" w:history="1">
        <w:r w:rsidR="00071509" w:rsidRPr="00071509">
          <w:rPr>
            <w:rStyle w:val="Hyperlink"/>
            <w:lang w:val="en-GB"/>
          </w:rPr>
          <w:t>broader</w:t>
        </w:r>
      </w:hyperlink>
      <w:r w:rsidR="00071509">
        <w:rPr>
          <w:color w:val="000000"/>
          <w:lang w:val="en-GB"/>
        </w:rPr>
        <w:t xml:space="preserve">, in its scope, than the right to asylum, and that therefore </w:t>
      </w:r>
      <w:r w:rsidR="00EA51AA">
        <w:rPr>
          <w:color w:val="000000"/>
          <w:lang w:val="en-GB"/>
        </w:rPr>
        <w:t>it</w:t>
      </w:r>
      <w:r w:rsidR="00071509">
        <w:rPr>
          <w:color w:val="000000"/>
          <w:lang w:val="en-GB"/>
        </w:rPr>
        <w:t xml:space="preserve"> should be assessed separately</w:t>
      </w:r>
      <w:r w:rsidR="00EA51AA">
        <w:rPr>
          <w:color w:val="000000"/>
          <w:lang w:val="en-GB"/>
        </w:rPr>
        <w:t xml:space="preserve"> in each individual case (see </w:t>
      </w:r>
      <w:hyperlink r:id="rId21" w:history="1">
        <w:r w:rsidR="00EA51AA" w:rsidRPr="00EA51AA">
          <w:rPr>
            <w:rStyle w:val="Hyperlink"/>
            <w:lang w:val="en-GB"/>
          </w:rPr>
          <w:t>PICUM</w:t>
        </w:r>
      </w:hyperlink>
      <w:r w:rsidR="00EA51AA">
        <w:rPr>
          <w:color w:val="000000"/>
          <w:lang w:val="en-GB"/>
        </w:rPr>
        <w:t xml:space="preserve"> and </w:t>
      </w:r>
      <w:hyperlink r:id="rId22" w:history="1">
        <w:r w:rsidR="00EA51AA" w:rsidRPr="00EA51AA">
          <w:rPr>
            <w:rStyle w:val="Hyperlink"/>
            <w:lang w:val="en-GB"/>
          </w:rPr>
          <w:t>ECRE</w:t>
        </w:r>
      </w:hyperlink>
      <w:r w:rsidR="00EA51AA">
        <w:rPr>
          <w:color w:val="000000"/>
          <w:lang w:val="en-GB"/>
        </w:rPr>
        <w:t>)</w:t>
      </w:r>
      <w:r w:rsidR="00071509">
        <w:rPr>
          <w:color w:val="000000"/>
          <w:lang w:val="en-GB"/>
        </w:rPr>
        <w:t xml:space="preserve">. </w:t>
      </w:r>
    </w:p>
    <w:p w14:paraId="3E5AC39B" w14:textId="0A52E622" w:rsidR="00EA51AA" w:rsidRPr="00434648" w:rsidRDefault="00EA51AA" w:rsidP="000566DC">
      <w:pPr>
        <w:spacing w:after="120" w:line="240" w:lineRule="auto"/>
        <w:jc w:val="both"/>
        <w:rPr>
          <w:color w:val="000000"/>
          <w:lang w:val="en-GB"/>
        </w:rPr>
      </w:pPr>
      <w:r w:rsidRPr="00434648">
        <w:rPr>
          <w:color w:val="000000"/>
          <w:lang w:val="en-GB"/>
        </w:rPr>
        <w:t xml:space="preserve">We </w:t>
      </w:r>
      <w:r w:rsidR="00B20D39" w:rsidRPr="00434648">
        <w:rPr>
          <w:color w:val="000000"/>
          <w:lang w:val="en-GB"/>
        </w:rPr>
        <w:t>also agree that lists of “safe countries” should not be used as an alternative to individual assessment. In this regard, we would like to highlight that individual assessment should also be carried out before any transfer</w:t>
      </w:r>
      <w:r w:rsidR="0035240B" w:rsidRPr="00434648">
        <w:rPr>
          <w:color w:val="000000"/>
          <w:lang w:val="en-GB"/>
        </w:rPr>
        <w:t>s</w:t>
      </w:r>
      <w:r w:rsidR="00B20D39" w:rsidRPr="00434648">
        <w:rPr>
          <w:color w:val="000000"/>
          <w:lang w:val="en-GB"/>
        </w:rPr>
        <w:t xml:space="preserve"> within the </w:t>
      </w:r>
      <w:r w:rsidR="00F2068E" w:rsidRPr="00434648">
        <w:rPr>
          <w:color w:val="000000"/>
          <w:lang w:val="en-GB"/>
        </w:rPr>
        <w:t xml:space="preserve">internal borders of the </w:t>
      </w:r>
      <w:r w:rsidR="00B20D39" w:rsidRPr="00434648">
        <w:rPr>
          <w:color w:val="000000"/>
          <w:lang w:val="en-GB"/>
        </w:rPr>
        <w:t xml:space="preserve">European Union. Recent legislative </w:t>
      </w:r>
      <w:hyperlink r:id="rId23" w:history="1">
        <w:r w:rsidR="00B20D39" w:rsidRPr="00434648">
          <w:rPr>
            <w:rStyle w:val="Hyperlink"/>
            <w:lang w:val="en-GB"/>
          </w:rPr>
          <w:t>proposals</w:t>
        </w:r>
      </w:hyperlink>
      <w:r w:rsidR="00B20D39" w:rsidRPr="00434648">
        <w:rPr>
          <w:color w:val="000000"/>
          <w:lang w:val="en-GB"/>
        </w:rPr>
        <w:t xml:space="preserve"> by the European Commission </w:t>
      </w:r>
      <w:r w:rsidR="0014151E" w:rsidRPr="00434648">
        <w:rPr>
          <w:color w:val="000000"/>
          <w:lang w:val="en-GB"/>
        </w:rPr>
        <w:t xml:space="preserve">would permit </w:t>
      </w:r>
      <w:r w:rsidR="0035240B" w:rsidRPr="00434648">
        <w:rPr>
          <w:color w:val="000000"/>
          <w:lang w:val="en-GB"/>
        </w:rPr>
        <w:t>the return</w:t>
      </w:r>
      <w:r w:rsidR="0014151E" w:rsidRPr="00434648">
        <w:rPr>
          <w:color w:val="000000"/>
          <w:lang w:val="en-GB"/>
        </w:rPr>
        <w:t xml:space="preserve"> of people (including children) within the </w:t>
      </w:r>
      <w:r w:rsidR="00F2068E" w:rsidRPr="00434648">
        <w:rPr>
          <w:color w:val="000000"/>
          <w:lang w:val="en-GB"/>
        </w:rPr>
        <w:t xml:space="preserve">internal </w:t>
      </w:r>
      <w:r w:rsidR="0014151E" w:rsidRPr="00434648">
        <w:rPr>
          <w:color w:val="000000"/>
          <w:lang w:val="en-GB"/>
        </w:rPr>
        <w:t>Schengen Area</w:t>
      </w:r>
      <w:r w:rsidR="00B20D39" w:rsidRPr="00434648">
        <w:rPr>
          <w:color w:val="000000"/>
          <w:lang w:val="en-GB"/>
        </w:rPr>
        <w:t xml:space="preserve"> </w:t>
      </w:r>
      <w:hyperlink r:id="rId24" w:history="1">
        <w:r w:rsidR="0014151E" w:rsidRPr="00434648">
          <w:rPr>
            <w:rStyle w:val="Hyperlink"/>
            <w:lang w:val="en-GB"/>
          </w:rPr>
          <w:t>without any individual assessment</w:t>
        </w:r>
      </w:hyperlink>
      <w:r w:rsidR="00C92F8B" w:rsidRPr="00434648">
        <w:rPr>
          <w:color w:val="000000"/>
          <w:lang w:val="en-GB"/>
        </w:rPr>
        <w:t xml:space="preserve"> and without any possibility to seek appeal with suspensive effect</w:t>
      </w:r>
      <w:r w:rsidR="0014151E" w:rsidRPr="00434648">
        <w:rPr>
          <w:color w:val="000000"/>
          <w:lang w:val="en-GB"/>
        </w:rPr>
        <w:t>.</w:t>
      </w:r>
      <w:r w:rsidR="00CB125C" w:rsidRPr="00434648">
        <w:rPr>
          <w:color w:val="000000"/>
          <w:lang w:val="en-GB"/>
        </w:rPr>
        <w:t xml:space="preserve"> </w:t>
      </w:r>
      <w:r w:rsidR="007A38DA" w:rsidRPr="00434648">
        <w:rPr>
          <w:color w:val="000000"/>
          <w:lang w:val="en-GB"/>
        </w:rPr>
        <w:t>Since transfers under th</w:t>
      </w:r>
      <w:r w:rsidR="00D96318" w:rsidRPr="00434648">
        <w:rPr>
          <w:color w:val="000000"/>
          <w:lang w:val="en-GB"/>
        </w:rPr>
        <w:t>e</w:t>
      </w:r>
      <w:r w:rsidR="007A38DA" w:rsidRPr="00434648">
        <w:rPr>
          <w:color w:val="000000"/>
          <w:lang w:val="en-GB"/>
        </w:rPr>
        <w:t xml:space="preserve"> </w:t>
      </w:r>
      <w:hyperlink r:id="rId25" w:history="1">
        <w:r w:rsidR="007A38DA" w:rsidRPr="00434648">
          <w:rPr>
            <w:rStyle w:val="Hyperlink"/>
            <w:lang w:val="en-GB"/>
          </w:rPr>
          <w:t>proposed Schengen Borders Code</w:t>
        </w:r>
      </w:hyperlink>
      <w:r w:rsidR="007A38DA" w:rsidRPr="00434648">
        <w:rPr>
          <w:color w:val="000000"/>
          <w:lang w:val="en-GB"/>
        </w:rPr>
        <w:t xml:space="preserve"> would be automatic</w:t>
      </w:r>
      <w:r w:rsidR="00CB125C" w:rsidRPr="00434648">
        <w:rPr>
          <w:color w:val="000000"/>
          <w:lang w:val="en-GB"/>
        </w:rPr>
        <w:t>,</w:t>
      </w:r>
      <w:r w:rsidR="0014151E" w:rsidRPr="00434648">
        <w:rPr>
          <w:color w:val="000000"/>
          <w:lang w:val="en-GB"/>
        </w:rPr>
        <w:t xml:space="preserve"> </w:t>
      </w:r>
      <w:r w:rsidR="00CB125C" w:rsidRPr="00434648">
        <w:rPr>
          <w:color w:val="000000"/>
          <w:lang w:val="en-GB"/>
        </w:rPr>
        <w:t>t</w:t>
      </w:r>
      <w:r w:rsidR="0014151E" w:rsidRPr="00434648">
        <w:rPr>
          <w:color w:val="000000"/>
          <w:lang w:val="en-GB"/>
        </w:rPr>
        <w:t xml:space="preserve">his would amount to considering all countries belonging to the Schengen Area as safe countries </w:t>
      </w:r>
      <w:r w:rsidR="00C92F8B" w:rsidRPr="00434648">
        <w:rPr>
          <w:color w:val="000000"/>
          <w:lang w:val="en-GB"/>
        </w:rPr>
        <w:t xml:space="preserve">and would therefore be in breach of art. 16 ICPPED. </w:t>
      </w:r>
    </w:p>
    <w:p w14:paraId="2F3B0E79" w14:textId="77777777" w:rsidR="00B36D28" w:rsidRPr="00434648" w:rsidRDefault="00B36D28" w:rsidP="00B36D28">
      <w:pPr>
        <w:rPr>
          <w:b/>
          <w:bCs/>
          <w:lang w:val="en-GB"/>
        </w:rPr>
      </w:pPr>
      <w:r w:rsidRPr="00434648">
        <w:rPr>
          <w:b/>
          <w:bCs/>
          <w:lang w:val="en-GB"/>
        </w:rPr>
        <w:t>e) Pushbacks</w:t>
      </w:r>
    </w:p>
    <w:p w14:paraId="0F96B5AB" w14:textId="3CB16324" w:rsidR="009230B0" w:rsidRPr="00434648" w:rsidRDefault="009230B0" w:rsidP="00D96318">
      <w:pPr>
        <w:jc w:val="both"/>
        <w:rPr>
          <w:lang w:val="en-GB"/>
        </w:rPr>
      </w:pPr>
      <w:r w:rsidRPr="00434648">
        <w:rPr>
          <w:lang w:val="en-GB"/>
        </w:rPr>
        <w:t>We welcome the decision of the Committee to dedicate a section to the issue of pushbacks, which is becoming</w:t>
      </w:r>
      <w:r w:rsidR="00E7760C" w:rsidRPr="00434648">
        <w:rPr>
          <w:lang w:val="en-GB"/>
        </w:rPr>
        <w:t xml:space="preserve"> increasingly </w:t>
      </w:r>
      <w:hyperlink r:id="rId26" w:history="1">
        <w:r w:rsidR="00E7760C" w:rsidRPr="00434648">
          <w:rPr>
            <w:rStyle w:val="Hyperlink"/>
            <w:lang w:val="en-GB"/>
          </w:rPr>
          <w:t>widespread</w:t>
        </w:r>
      </w:hyperlink>
      <w:r w:rsidR="00E7760C" w:rsidRPr="00434648">
        <w:rPr>
          <w:lang w:val="en-GB"/>
        </w:rPr>
        <w:t xml:space="preserve"> in the European region. </w:t>
      </w:r>
      <w:r w:rsidRPr="00434648">
        <w:rPr>
          <w:lang w:val="en-GB"/>
        </w:rPr>
        <w:t xml:space="preserve">We suggest clarifying that all pushbacks are in violation of art. 2 ICPPED, </w:t>
      </w:r>
      <w:r w:rsidR="00A70AC5" w:rsidRPr="00434648">
        <w:rPr>
          <w:lang w:val="en-GB"/>
        </w:rPr>
        <w:t xml:space="preserve">as they systematically </w:t>
      </w:r>
      <w:hyperlink r:id="rId27" w:anchor=":~:text=Pushbacks%20violate%20several%20articles%20of,nevertheless%20acting%20against%20these%20principles." w:history="1">
        <w:r w:rsidR="00A70AC5" w:rsidRPr="00434648">
          <w:rPr>
            <w:rStyle w:val="Hyperlink"/>
            <w:lang w:val="en-GB"/>
          </w:rPr>
          <w:t>entail</w:t>
        </w:r>
      </w:hyperlink>
      <w:r w:rsidR="00A70AC5" w:rsidRPr="00434648">
        <w:rPr>
          <w:lang w:val="en-GB"/>
        </w:rPr>
        <w:t xml:space="preserve"> the abduction of a person by agents of the State or persons acting with the acquiescence of the State followed by refusals to acknowledge their fate or whereabouts. </w:t>
      </w:r>
    </w:p>
    <w:p w14:paraId="25F89317" w14:textId="77777777" w:rsidR="00F760FA" w:rsidRPr="00434648" w:rsidRDefault="00F760FA" w:rsidP="00F760FA">
      <w:pPr>
        <w:rPr>
          <w:b/>
          <w:bCs/>
          <w:lang w:val="en-GB"/>
        </w:rPr>
      </w:pPr>
      <w:r w:rsidRPr="00434648">
        <w:rPr>
          <w:b/>
          <w:bCs/>
          <w:lang w:val="en-GB"/>
        </w:rPr>
        <w:t>f) Victims’ rights</w:t>
      </w:r>
    </w:p>
    <w:p w14:paraId="1828786A" w14:textId="50FFE396" w:rsidR="00F760FA" w:rsidRPr="00434648" w:rsidRDefault="00F760FA">
      <w:pPr>
        <w:jc w:val="both"/>
        <w:rPr>
          <w:lang w:val="en-GB"/>
        </w:rPr>
      </w:pPr>
      <w:r w:rsidRPr="00434648">
        <w:rPr>
          <w:lang w:val="en-GB"/>
        </w:rPr>
        <w:t xml:space="preserve">Under paragraph 33, we recommend adding that these legal measures should, inter alia, include, where relevant, the </w:t>
      </w:r>
      <w:hyperlink r:id="rId28" w:history="1">
        <w:r w:rsidRPr="00434648">
          <w:rPr>
            <w:rStyle w:val="Hyperlink"/>
            <w:lang w:val="en-GB"/>
          </w:rPr>
          <w:t>issuance of residence permits</w:t>
        </w:r>
      </w:hyperlink>
      <w:r w:rsidRPr="00434648">
        <w:rPr>
          <w:lang w:val="en-GB"/>
        </w:rPr>
        <w:t xml:space="preserve"> and access to appropriate victim support services before, during and for an appropriate time after proceedings.</w:t>
      </w:r>
    </w:p>
    <w:p w14:paraId="03CAC7E3" w14:textId="053876B6" w:rsidR="0098757B" w:rsidRPr="00434648" w:rsidRDefault="0098757B" w:rsidP="00D96318">
      <w:pPr>
        <w:jc w:val="both"/>
        <w:rPr>
          <w:lang w:val="en-GB"/>
        </w:rPr>
      </w:pPr>
      <w:r w:rsidRPr="00434648">
        <w:rPr>
          <w:lang w:val="en-GB"/>
        </w:rPr>
        <w:t>Under paragraph 34, we suggest clarifying that states should adopt and implement measures aimed at facilitating</w:t>
      </w:r>
      <w:r w:rsidR="00EC679C" w:rsidRPr="00434648">
        <w:rPr>
          <w:lang w:val="en-GB"/>
        </w:rPr>
        <w:t xml:space="preserve"> the issuance of visas for</w:t>
      </w:r>
      <w:r w:rsidRPr="00434648">
        <w:rPr>
          <w:lang w:val="en-GB"/>
        </w:rPr>
        <w:t xml:space="preserve"> family members</w:t>
      </w:r>
      <w:r w:rsidR="00EC679C" w:rsidRPr="00434648">
        <w:rPr>
          <w:lang w:val="en-GB"/>
        </w:rPr>
        <w:t xml:space="preserve"> who are investigating into the enforced </w:t>
      </w:r>
      <w:r w:rsidR="00EC679C" w:rsidRPr="00434648">
        <w:rPr>
          <w:lang w:val="en-GB"/>
        </w:rPr>
        <w:lastRenderedPageBreak/>
        <w:t xml:space="preserve">disappearance of their </w:t>
      </w:r>
      <w:r w:rsidR="00FC1190" w:rsidRPr="00434648">
        <w:rPr>
          <w:lang w:val="en-GB"/>
        </w:rPr>
        <w:t>relatives, as well as other measures to facilitate their participation</w:t>
      </w:r>
      <w:r w:rsidR="0012210F" w:rsidRPr="00434648">
        <w:rPr>
          <w:lang w:val="en-GB"/>
        </w:rPr>
        <w:t xml:space="preserve"> in the proceedings and the search for information</w:t>
      </w:r>
      <w:r w:rsidR="00FC1190" w:rsidRPr="00434648">
        <w:rPr>
          <w:lang w:val="en-GB"/>
        </w:rPr>
        <w:t>.</w:t>
      </w:r>
    </w:p>
    <w:p w14:paraId="34B127DC" w14:textId="77777777" w:rsidR="00A046CD" w:rsidRPr="00434648" w:rsidRDefault="00A046CD" w:rsidP="00A243BF">
      <w:pPr>
        <w:rPr>
          <w:lang w:val="en-GB"/>
        </w:rPr>
      </w:pPr>
    </w:p>
    <w:p w14:paraId="086465C7" w14:textId="77777777" w:rsidR="00A046CD" w:rsidRPr="00434648" w:rsidRDefault="00A046CD" w:rsidP="00A243BF">
      <w:pPr>
        <w:rPr>
          <w:lang w:val="en-GB"/>
        </w:rPr>
      </w:pPr>
    </w:p>
    <w:p w14:paraId="22F6F204" w14:textId="78F6E055" w:rsidR="00A243BF" w:rsidRPr="00724906" w:rsidRDefault="00A243BF" w:rsidP="006C6041">
      <w:pPr>
        <w:pBdr>
          <w:top w:val="single" w:sz="4" w:space="1" w:color="auto"/>
          <w:left w:val="single" w:sz="4" w:space="4" w:color="auto"/>
          <w:bottom w:val="single" w:sz="4" w:space="1" w:color="auto"/>
          <w:right w:val="single" w:sz="4" w:space="4" w:color="auto"/>
        </w:pBdr>
        <w:rPr>
          <w:lang w:val="en-GB"/>
        </w:rPr>
      </w:pPr>
      <w:r w:rsidRPr="00434648">
        <w:rPr>
          <w:lang w:val="en-GB"/>
        </w:rPr>
        <w:t xml:space="preserve">Contact Details: </w:t>
      </w:r>
      <w:r w:rsidRPr="00434648">
        <w:rPr>
          <w:b/>
          <w:bCs/>
          <w:lang w:val="en-GB"/>
        </w:rPr>
        <w:t xml:space="preserve">Marta Gionco, </w:t>
      </w:r>
      <w:hyperlink r:id="rId29" w:history="1">
        <w:r w:rsidRPr="00434648">
          <w:rPr>
            <w:rStyle w:val="Hyperlink"/>
            <w:b/>
            <w:bCs/>
            <w:lang w:val="en-GB"/>
          </w:rPr>
          <w:t>marta.gionco@picum.org</w:t>
        </w:r>
      </w:hyperlink>
    </w:p>
    <w:sectPr w:rsidR="00A243BF" w:rsidRPr="00724906">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E207" w14:textId="77777777" w:rsidR="000566DC" w:rsidRDefault="000566DC" w:rsidP="000566DC">
      <w:pPr>
        <w:spacing w:after="0" w:line="240" w:lineRule="auto"/>
      </w:pPr>
      <w:r>
        <w:separator/>
      </w:r>
    </w:p>
  </w:endnote>
  <w:endnote w:type="continuationSeparator" w:id="0">
    <w:p w14:paraId="263A7C7C" w14:textId="77777777" w:rsidR="000566DC" w:rsidRDefault="000566DC" w:rsidP="0005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08634"/>
      <w:docPartObj>
        <w:docPartGallery w:val="Page Numbers (Bottom of Page)"/>
        <w:docPartUnique/>
      </w:docPartObj>
    </w:sdtPr>
    <w:sdtEndPr>
      <w:rPr>
        <w:noProof/>
      </w:rPr>
    </w:sdtEndPr>
    <w:sdtContent>
      <w:p w14:paraId="251F2012" w14:textId="465AB4E8" w:rsidR="007223A8" w:rsidRDefault="00722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1F4D6" w14:textId="77777777" w:rsidR="007223A8" w:rsidRDefault="0072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04EB" w14:textId="77777777" w:rsidR="000566DC" w:rsidRDefault="000566DC" w:rsidP="000566DC">
      <w:pPr>
        <w:spacing w:after="0" w:line="240" w:lineRule="auto"/>
      </w:pPr>
      <w:r>
        <w:separator/>
      </w:r>
    </w:p>
  </w:footnote>
  <w:footnote w:type="continuationSeparator" w:id="0">
    <w:p w14:paraId="12AF4C0E" w14:textId="77777777" w:rsidR="000566DC" w:rsidRDefault="000566DC" w:rsidP="0005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A02" w14:textId="5132A286" w:rsidR="003B1CBB" w:rsidRDefault="003B1CBB" w:rsidP="003B1CBB">
    <w:pPr>
      <w:pStyle w:val="Header"/>
      <w:jc w:val="center"/>
    </w:pPr>
    <w:r>
      <w:rPr>
        <w:noProof/>
      </w:rPr>
      <w:drawing>
        <wp:inline distT="0" distB="0" distL="0" distR="0" wp14:anchorId="425CA6AF" wp14:editId="77736BAD">
          <wp:extent cx="2223135" cy="695960"/>
          <wp:effectExtent l="0" t="0" r="5715"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3135" cy="695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0434"/>
    <w:multiLevelType w:val="hybridMultilevel"/>
    <w:tmpl w:val="F522CC08"/>
    <w:lvl w:ilvl="0" w:tplc="A9F0F3F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06D4FD3"/>
    <w:multiLevelType w:val="hybridMultilevel"/>
    <w:tmpl w:val="F5044918"/>
    <w:lvl w:ilvl="0" w:tplc="64F81E68">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950693955">
    <w:abstractNumId w:val="0"/>
  </w:num>
  <w:num w:numId="2" w16cid:durableId="1021860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9D"/>
    <w:rsid w:val="000223C1"/>
    <w:rsid w:val="0003141C"/>
    <w:rsid w:val="00032297"/>
    <w:rsid w:val="000566DC"/>
    <w:rsid w:val="00071509"/>
    <w:rsid w:val="00074B1C"/>
    <w:rsid w:val="000C27A2"/>
    <w:rsid w:val="00107EF0"/>
    <w:rsid w:val="0012210F"/>
    <w:rsid w:val="001300E9"/>
    <w:rsid w:val="0014151E"/>
    <w:rsid w:val="00142F89"/>
    <w:rsid w:val="00163DA8"/>
    <w:rsid w:val="00175232"/>
    <w:rsid w:val="00183E6A"/>
    <w:rsid w:val="00190815"/>
    <w:rsid w:val="001B2C1E"/>
    <w:rsid w:val="001B69E7"/>
    <w:rsid w:val="002507E1"/>
    <w:rsid w:val="00266494"/>
    <w:rsid w:val="00292135"/>
    <w:rsid w:val="002D238A"/>
    <w:rsid w:val="002E7702"/>
    <w:rsid w:val="002F43E7"/>
    <w:rsid w:val="003127A5"/>
    <w:rsid w:val="00320222"/>
    <w:rsid w:val="0035240B"/>
    <w:rsid w:val="003B1CBB"/>
    <w:rsid w:val="003F3046"/>
    <w:rsid w:val="003F5FB0"/>
    <w:rsid w:val="00434648"/>
    <w:rsid w:val="004428B4"/>
    <w:rsid w:val="004A71C1"/>
    <w:rsid w:val="004E27F4"/>
    <w:rsid w:val="00505B83"/>
    <w:rsid w:val="005859A7"/>
    <w:rsid w:val="005A6B0E"/>
    <w:rsid w:val="005B44E1"/>
    <w:rsid w:val="005D0886"/>
    <w:rsid w:val="006060CC"/>
    <w:rsid w:val="006161B1"/>
    <w:rsid w:val="00647E9D"/>
    <w:rsid w:val="0065554D"/>
    <w:rsid w:val="0066483E"/>
    <w:rsid w:val="00664CCC"/>
    <w:rsid w:val="006A71F2"/>
    <w:rsid w:val="006B2FAB"/>
    <w:rsid w:val="006C2DEF"/>
    <w:rsid w:val="006C6041"/>
    <w:rsid w:val="006F16DC"/>
    <w:rsid w:val="00702A55"/>
    <w:rsid w:val="007223A8"/>
    <w:rsid w:val="00722F18"/>
    <w:rsid w:val="00724906"/>
    <w:rsid w:val="007714DE"/>
    <w:rsid w:val="0077372A"/>
    <w:rsid w:val="0079273F"/>
    <w:rsid w:val="007948DB"/>
    <w:rsid w:val="00796789"/>
    <w:rsid w:val="007A38DA"/>
    <w:rsid w:val="007B09D5"/>
    <w:rsid w:val="007D0142"/>
    <w:rsid w:val="00806D9D"/>
    <w:rsid w:val="00813736"/>
    <w:rsid w:val="00822E92"/>
    <w:rsid w:val="008610E8"/>
    <w:rsid w:val="008849C7"/>
    <w:rsid w:val="008866C2"/>
    <w:rsid w:val="008E42B3"/>
    <w:rsid w:val="009230B0"/>
    <w:rsid w:val="00923237"/>
    <w:rsid w:val="00932CCA"/>
    <w:rsid w:val="009654D6"/>
    <w:rsid w:val="00966881"/>
    <w:rsid w:val="00985B57"/>
    <w:rsid w:val="0098757B"/>
    <w:rsid w:val="009C2D4A"/>
    <w:rsid w:val="00A046CD"/>
    <w:rsid w:val="00A243BF"/>
    <w:rsid w:val="00A32286"/>
    <w:rsid w:val="00A70AC5"/>
    <w:rsid w:val="00A828F5"/>
    <w:rsid w:val="00A96F1C"/>
    <w:rsid w:val="00AD392D"/>
    <w:rsid w:val="00AD68B1"/>
    <w:rsid w:val="00B07DA4"/>
    <w:rsid w:val="00B16F95"/>
    <w:rsid w:val="00B20D39"/>
    <w:rsid w:val="00B36D28"/>
    <w:rsid w:val="00B37E5C"/>
    <w:rsid w:val="00BB01D4"/>
    <w:rsid w:val="00C20E2E"/>
    <w:rsid w:val="00C42AE8"/>
    <w:rsid w:val="00C502BF"/>
    <w:rsid w:val="00C7028C"/>
    <w:rsid w:val="00C8190F"/>
    <w:rsid w:val="00C92F8B"/>
    <w:rsid w:val="00CA563C"/>
    <w:rsid w:val="00CB125C"/>
    <w:rsid w:val="00CD6B35"/>
    <w:rsid w:val="00D14834"/>
    <w:rsid w:val="00D64F4E"/>
    <w:rsid w:val="00D814FD"/>
    <w:rsid w:val="00D84BC4"/>
    <w:rsid w:val="00D91C03"/>
    <w:rsid w:val="00D94AD3"/>
    <w:rsid w:val="00D96318"/>
    <w:rsid w:val="00DB6F29"/>
    <w:rsid w:val="00DC610A"/>
    <w:rsid w:val="00DF3098"/>
    <w:rsid w:val="00E31097"/>
    <w:rsid w:val="00E538AD"/>
    <w:rsid w:val="00E701B6"/>
    <w:rsid w:val="00E76C72"/>
    <w:rsid w:val="00E7760C"/>
    <w:rsid w:val="00E84894"/>
    <w:rsid w:val="00EA51AA"/>
    <w:rsid w:val="00EC679C"/>
    <w:rsid w:val="00ED0060"/>
    <w:rsid w:val="00ED5C84"/>
    <w:rsid w:val="00F101E7"/>
    <w:rsid w:val="00F12754"/>
    <w:rsid w:val="00F2068E"/>
    <w:rsid w:val="00F277FE"/>
    <w:rsid w:val="00F40BC6"/>
    <w:rsid w:val="00F422CC"/>
    <w:rsid w:val="00F43F1A"/>
    <w:rsid w:val="00F5009D"/>
    <w:rsid w:val="00F56E37"/>
    <w:rsid w:val="00F570E9"/>
    <w:rsid w:val="00F760FA"/>
    <w:rsid w:val="00FC1190"/>
    <w:rsid w:val="00FC11B5"/>
    <w:rsid w:val="00FC4B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3EE4"/>
  <w15:chartTrackingRefBased/>
  <w15:docId w15:val="{295A2209-43AC-40CC-8511-9C744E39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C4B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2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4906"/>
    <w:pPr>
      <w:ind w:left="720"/>
      <w:contextualSpacing/>
    </w:pPr>
  </w:style>
  <w:style w:type="character" w:customStyle="1" w:styleId="Heading4Char">
    <w:name w:val="Heading 4 Char"/>
    <w:basedOn w:val="DefaultParagraphFont"/>
    <w:link w:val="Heading4"/>
    <w:uiPriority w:val="9"/>
    <w:semiHidden/>
    <w:rsid w:val="00FC4B2C"/>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0566DC"/>
    <w:pPr>
      <w:spacing w:after="0" w:line="240" w:lineRule="auto"/>
    </w:pPr>
    <w:rPr>
      <w:sz w:val="20"/>
      <w:szCs w:val="20"/>
      <w:lang w:val="de-DE"/>
    </w:rPr>
  </w:style>
  <w:style w:type="character" w:customStyle="1" w:styleId="EndnoteTextChar">
    <w:name w:val="Endnote Text Char"/>
    <w:basedOn w:val="DefaultParagraphFont"/>
    <w:link w:val="EndnoteText"/>
    <w:uiPriority w:val="99"/>
    <w:semiHidden/>
    <w:rsid w:val="000566DC"/>
    <w:rPr>
      <w:sz w:val="20"/>
      <w:szCs w:val="20"/>
      <w:lang w:val="de-DE"/>
    </w:rPr>
  </w:style>
  <w:style w:type="character" w:styleId="EndnoteReference">
    <w:name w:val="endnote reference"/>
    <w:basedOn w:val="DefaultParagraphFont"/>
    <w:uiPriority w:val="99"/>
    <w:semiHidden/>
    <w:unhideWhenUsed/>
    <w:rsid w:val="000566DC"/>
    <w:rPr>
      <w:vertAlign w:val="superscript"/>
    </w:rPr>
  </w:style>
  <w:style w:type="character" w:styleId="Hyperlink">
    <w:name w:val="Hyperlink"/>
    <w:basedOn w:val="DefaultParagraphFont"/>
    <w:uiPriority w:val="99"/>
    <w:unhideWhenUsed/>
    <w:rsid w:val="00A243BF"/>
    <w:rPr>
      <w:color w:val="0563C1" w:themeColor="hyperlink"/>
      <w:u w:val="single"/>
    </w:rPr>
  </w:style>
  <w:style w:type="character" w:styleId="UnresolvedMention">
    <w:name w:val="Unresolved Mention"/>
    <w:basedOn w:val="DefaultParagraphFont"/>
    <w:uiPriority w:val="99"/>
    <w:semiHidden/>
    <w:unhideWhenUsed/>
    <w:rsid w:val="00A243BF"/>
    <w:rPr>
      <w:color w:val="605E5C"/>
      <w:shd w:val="clear" w:color="auto" w:fill="E1DFDD"/>
    </w:rPr>
  </w:style>
  <w:style w:type="paragraph" w:styleId="Header">
    <w:name w:val="header"/>
    <w:basedOn w:val="Normal"/>
    <w:link w:val="HeaderChar"/>
    <w:uiPriority w:val="99"/>
    <w:unhideWhenUsed/>
    <w:rsid w:val="003B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CBB"/>
  </w:style>
  <w:style w:type="paragraph" w:styleId="Footer">
    <w:name w:val="footer"/>
    <w:basedOn w:val="Normal"/>
    <w:link w:val="FooterChar"/>
    <w:uiPriority w:val="99"/>
    <w:unhideWhenUsed/>
    <w:rsid w:val="003B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CBB"/>
  </w:style>
  <w:style w:type="character" w:styleId="CommentReference">
    <w:name w:val="annotation reference"/>
    <w:basedOn w:val="DefaultParagraphFont"/>
    <w:uiPriority w:val="99"/>
    <w:semiHidden/>
    <w:unhideWhenUsed/>
    <w:rsid w:val="007223A8"/>
    <w:rPr>
      <w:sz w:val="16"/>
      <w:szCs w:val="16"/>
    </w:rPr>
  </w:style>
  <w:style w:type="paragraph" w:styleId="CommentText">
    <w:name w:val="annotation text"/>
    <w:basedOn w:val="Normal"/>
    <w:link w:val="CommentTextChar"/>
    <w:uiPriority w:val="99"/>
    <w:unhideWhenUsed/>
    <w:rsid w:val="007223A8"/>
    <w:pPr>
      <w:spacing w:line="240" w:lineRule="auto"/>
    </w:pPr>
    <w:rPr>
      <w:sz w:val="20"/>
      <w:szCs w:val="20"/>
    </w:rPr>
  </w:style>
  <w:style w:type="character" w:customStyle="1" w:styleId="CommentTextChar">
    <w:name w:val="Comment Text Char"/>
    <w:basedOn w:val="DefaultParagraphFont"/>
    <w:link w:val="CommentText"/>
    <w:uiPriority w:val="99"/>
    <w:rsid w:val="007223A8"/>
    <w:rPr>
      <w:sz w:val="20"/>
      <w:szCs w:val="20"/>
    </w:rPr>
  </w:style>
  <w:style w:type="paragraph" w:styleId="CommentSubject">
    <w:name w:val="annotation subject"/>
    <w:basedOn w:val="CommentText"/>
    <w:next w:val="CommentText"/>
    <w:link w:val="CommentSubjectChar"/>
    <w:uiPriority w:val="99"/>
    <w:semiHidden/>
    <w:unhideWhenUsed/>
    <w:rsid w:val="007223A8"/>
    <w:rPr>
      <w:b/>
      <w:bCs/>
    </w:rPr>
  </w:style>
  <w:style w:type="character" w:customStyle="1" w:styleId="CommentSubjectChar">
    <w:name w:val="Comment Subject Char"/>
    <w:basedOn w:val="CommentTextChar"/>
    <w:link w:val="CommentSubject"/>
    <w:uiPriority w:val="99"/>
    <w:semiHidden/>
    <w:rsid w:val="007223A8"/>
    <w:rPr>
      <w:b/>
      <w:bCs/>
      <w:sz w:val="20"/>
      <w:szCs w:val="20"/>
    </w:rPr>
  </w:style>
  <w:style w:type="paragraph" w:styleId="FootnoteText">
    <w:name w:val="footnote text"/>
    <w:basedOn w:val="Normal"/>
    <w:link w:val="FootnoteTextChar"/>
    <w:uiPriority w:val="99"/>
    <w:semiHidden/>
    <w:unhideWhenUsed/>
    <w:rsid w:val="006A71F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A71F2"/>
    <w:rPr>
      <w:sz w:val="20"/>
      <w:szCs w:val="20"/>
      <w:lang w:val="en-GB"/>
    </w:rPr>
  </w:style>
  <w:style w:type="character" w:styleId="FootnoteReference">
    <w:name w:val="footnote reference"/>
    <w:basedOn w:val="DefaultParagraphFont"/>
    <w:uiPriority w:val="99"/>
    <w:semiHidden/>
    <w:unhideWhenUsed/>
    <w:rsid w:val="006A71F2"/>
    <w:rPr>
      <w:vertAlign w:val="superscript"/>
    </w:rPr>
  </w:style>
  <w:style w:type="character" w:styleId="FollowedHyperlink">
    <w:name w:val="FollowedHyperlink"/>
    <w:basedOn w:val="DefaultParagraphFont"/>
    <w:uiPriority w:val="99"/>
    <w:semiHidden/>
    <w:unhideWhenUsed/>
    <w:rsid w:val="004E27F4"/>
    <w:rPr>
      <w:color w:val="954F72" w:themeColor="followedHyperlink"/>
      <w:u w:val="single"/>
    </w:rPr>
  </w:style>
  <w:style w:type="paragraph" w:styleId="Revision">
    <w:name w:val="Revision"/>
    <w:hidden/>
    <w:uiPriority w:val="99"/>
    <w:semiHidden/>
    <w:rsid w:val="00965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949">
      <w:bodyDiv w:val="1"/>
      <w:marLeft w:val="0"/>
      <w:marRight w:val="0"/>
      <w:marTop w:val="0"/>
      <w:marBottom w:val="0"/>
      <w:divBdr>
        <w:top w:val="none" w:sz="0" w:space="0" w:color="auto"/>
        <w:left w:val="none" w:sz="0" w:space="0" w:color="auto"/>
        <w:bottom w:val="none" w:sz="0" w:space="0" w:color="auto"/>
        <w:right w:val="none" w:sz="0" w:space="0" w:color="auto"/>
      </w:divBdr>
    </w:div>
    <w:div w:id="377125012">
      <w:bodyDiv w:val="1"/>
      <w:marLeft w:val="0"/>
      <w:marRight w:val="0"/>
      <w:marTop w:val="0"/>
      <w:marBottom w:val="0"/>
      <w:divBdr>
        <w:top w:val="none" w:sz="0" w:space="0" w:color="auto"/>
        <w:left w:val="none" w:sz="0" w:space="0" w:color="auto"/>
        <w:bottom w:val="none" w:sz="0" w:space="0" w:color="auto"/>
        <w:right w:val="none" w:sz="0" w:space="0" w:color="auto"/>
      </w:divBdr>
    </w:div>
    <w:div w:id="1125661845">
      <w:bodyDiv w:val="1"/>
      <w:marLeft w:val="0"/>
      <w:marRight w:val="0"/>
      <w:marTop w:val="0"/>
      <w:marBottom w:val="0"/>
      <w:divBdr>
        <w:top w:val="none" w:sz="0" w:space="0" w:color="auto"/>
        <w:left w:val="none" w:sz="0" w:space="0" w:color="auto"/>
        <w:bottom w:val="none" w:sz="0" w:space="0" w:color="auto"/>
        <w:right w:val="none" w:sz="0" w:space="0" w:color="auto"/>
      </w:divBdr>
    </w:div>
    <w:div w:id="1160119446">
      <w:bodyDiv w:val="1"/>
      <w:marLeft w:val="0"/>
      <w:marRight w:val="0"/>
      <w:marTop w:val="0"/>
      <w:marBottom w:val="0"/>
      <w:divBdr>
        <w:top w:val="none" w:sz="0" w:space="0" w:color="auto"/>
        <w:left w:val="none" w:sz="0" w:space="0" w:color="auto"/>
        <w:bottom w:val="none" w:sz="0" w:space="0" w:color="auto"/>
        <w:right w:val="none" w:sz="0" w:space="0" w:color="auto"/>
      </w:divBdr>
    </w:div>
    <w:div w:id="1402370691">
      <w:bodyDiv w:val="1"/>
      <w:marLeft w:val="0"/>
      <w:marRight w:val="0"/>
      <w:marTop w:val="0"/>
      <w:marBottom w:val="0"/>
      <w:divBdr>
        <w:top w:val="none" w:sz="0" w:space="0" w:color="auto"/>
        <w:left w:val="none" w:sz="0" w:space="0" w:color="auto"/>
        <w:bottom w:val="none" w:sz="0" w:space="0" w:color="auto"/>
        <w:right w:val="none" w:sz="0" w:space="0" w:color="auto"/>
      </w:divBdr>
    </w:div>
    <w:div w:id="1593123071">
      <w:bodyDiv w:val="1"/>
      <w:marLeft w:val="0"/>
      <w:marRight w:val="0"/>
      <w:marTop w:val="0"/>
      <w:marBottom w:val="0"/>
      <w:divBdr>
        <w:top w:val="none" w:sz="0" w:space="0" w:color="auto"/>
        <w:left w:val="none" w:sz="0" w:space="0" w:color="auto"/>
        <w:bottom w:val="none" w:sz="0" w:space="0" w:color="auto"/>
        <w:right w:val="none" w:sz="0" w:space="0" w:color="auto"/>
      </w:divBdr>
    </w:div>
    <w:div w:id="1621063793">
      <w:bodyDiv w:val="1"/>
      <w:marLeft w:val="0"/>
      <w:marRight w:val="0"/>
      <w:marTop w:val="0"/>
      <w:marBottom w:val="0"/>
      <w:divBdr>
        <w:top w:val="none" w:sz="0" w:space="0" w:color="auto"/>
        <w:left w:val="none" w:sz="0" w:space="0" w:color="auto"/>
        <w:bottom w:val="none" w:sz="0" w:space="0" w:color="auto"/>
        <w:right w:val="none" w:sz="0" w:space="0" w:color="auto"/>
      </w:divBdr>
    </w:div>
    <w:div w:id="20345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ewatch.org/analyses/2022/frontex-more-power-no-responsibility-mega-agency-lacks-real-accountability-structure/" TargetMode="External"/><Relationship Id="rId18" Type="http://schemas.openxmlformats.org/officeDocument/2006/relationships/hyperlink" Target="https://www.borderviolence.eu/wp-content/uploads/CORRECTEDTortureReport.pdf" TargetMode="External"/><Relationship Id="rId26" Type="http://schemas.openxmlformats.org/officeDocument/2006/relationships/hyperlink" Target="https://left.eu/issues/publications/black-book-of-pushbacks-volumes-i-ii/" TargetMode="External"/><Relationship Id="rId3" Type="http://schemas.openxmlformats.org/officeDocument/2006/relationships/settings" Target="settings.xml"/><Relationship Id="rId21" Type="http://schemas.openxmlformats.org/officeDocument/2006/relationships/hyperlink" Target="https://picum.org/wp-content/uploads/2021/10/Why-is-the-Commissions-push-to-link-asylum-and-return-procedures-problematic-and-harmful.pdf" TargetMode="External"/><Relationship Id="rId7" Type="http://schemas.openxmlformats.org/officeDocument/2006/relationships/image" Target="media/image1.png"/><Relationship Id="rId12" Type="http://schemas.openxmlformats.org/officeDocument/2006/relationships/hyperlink" Target="https://www.statewatch.org/media/3272/at-what-cost-eu-security-budgets-2021-27-sw-tni.pdf" TargetMode="External"/><Relationship Id="rId17" Type="http://schemas.openxmlformats.org/officeDocument/2006/relationships/hyperlink" Target="https://www.infomigrants.net/en/post/40942/illegal-methods-the-shadow-zones-employed-by-french-border-police-on-italian-soil?preview=1654610386055" TargetMode="External"/><Relationship Id="rId25" Type="http://schemas.openxmlformats.org/officeDocument/2006/relationships/hyperlink" Target="https://eur-lex.europa.eu/legal-content/EN/TXT/PDF/?uri=CELEX:52021PC0891&amp;from=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fomigrants.net/fr/post/40630/des-pratiques-illegales--les-zones-dombre-dun-local-de-la-police-aux-frontieres-francaise-base-en-italie" TargetMode="External"/><Relationship Id="rId20" Type="http://schemas.openxmlformats.org/officeDocument/2006/relationships/hyperlink" Target="https://picum.org/wp-content/uploads/2022/02/Barriers-to-return_Protection-in-international-EU-and-national-frameworks.pdf" TargetMode="External"/><Relationship Id="rId29" Type="http://schemas.openxmlformats.org/officeDocument/2006/relationships/hyperlink" Target="mailto:marta.gionco@pic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cum.org/wp-content/uploads/2019/08/190731-Joint-Statement-Criminalisation-3.pdf" TargetMode="External"/><Relationship Id="rId24" Type="http://schemas.openxmlformats.org/officeDocument/2006/relationships/hyperlink" Target="https://picum.org/joint-civil-society-statement-schengen-borders-co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greurop.org/IMG/pdf/gue_migreurop.pdf" TargetMode="External"/><Relationship Id="rId23" Type="http://schemas.openxmlformats.org/officeDocument/2006/relationships/hyperlink" Target="https://eur-lex.europa.eu/legal-content/EN/TXT/PDF/?uri=CELEX:52021PC0891&amp;from=EN" TargetMode="External"/><Relationship Id="rId28" Type="http://schemas.openxmlformats.org/officeDocument/2006/relationships/hyperlink" Target="https://picum.org/wp-content/uploads/2020/06/Residence-permits-victims-of-Crime-FULL-REPORT.pdf" TargetMode="External"/><Relationship Id="rId10" Type="http://schemas.openxmlformats.org/officeDocument/2006/relationships/hyperlink" Target="https://ecre.org/turning-rhetoric-into-reality-new-monitoring-mechanism-at-european-borders-should-ensure-fundamental-rights-and-accountability/" TargetMode="External"/><Relationship Id="rId19" Type="http://schemas.openxmlformats.org/officeDocument/2006/relationships/hyperlink" Target="https://medea.asgi.it/wp-content/uploads/2020/11/report-attivita%CC%80-di-monitoraggio-2018-2019-def-1.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mbudsman.europa.eu/en/decision/en/143108" TargetMode="External"/><Relationship Id="rId14" Type="http://schemas.openxmlformats.org/officeDocument/2006/relationships/hyperlink" Target="https://www.theguardian.com/global-development/2022/apr/28/revealed-eu-border-agency-involved-in-hundreds-of-refugee-pushbacks" TargetMode="External"/><Relationship Id="rId22" Type="http://schemas.openxmlformats.org/officeDocument/2006/relationships/hyperlink" Target="https://ecre.org/wp-content/uploads/2021/11/Policy-Note-38.pdf" TargetMode="External"/><Relationship Id="rId27" Type="http://schemas.openxmlformats.org/officeDocument/2006/relationships/hyperlink" Target="https://www.josoor.net/post/info-series-14-what-are-enforced-disappearances" TargetMode="External"/><Relationship Id="rId30" Type="http://schemas.openxmlformats.org/officeDocument/2006/relationships/header" Target="header1.xml"/><Relationship Id="rId8" Type="http://schemas.openxmlformats.org/officeDocument/2006/relationships/hyperlink" Target="https://picum.org/wp-content/uploads/2022/06/Migrants-Rights-Defender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Gionco</dc:creator>
  <cp:keywords/>
  <dc:description/>
  <cp:lastModifiedBy>Marta Gionco</cp:lastModifiedBy>
  <cp:revision>3</cp:revision>
  <cp:lastPrinted>2022-06-14T14:20:00Z</cp:lastPrinted>
  <dcterms:created xsi:type="dcterms:W3CDTF">2022-06-22T13:32:00Z</dcterms:created>
  <dcterms:modified xsi:type="dcterms:W3CDTF">2022-06-22T13:32:00Z</dcterms:modified>
</cp:coreProperties>
</file>