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3120" w14:textId="07957BFC" w:rsidR="009F7A7B" w:rsidRPr="00A3602A" w:rsidRDefault="009F7A7B" w:rsidP="00A3602A">
      <w:pPr>
        <w:spacing w:after="0" w:line="276" w:lineRule="auto"/>
        <w:contextualSpacing/>
        <w:jc w:val="center"/>
        <w:rPr>
          <w:rFonts w:ascii="Calibri" w:eastAsia="Calibri" w:hAnsi="Calibri" w:cs="Calibri"/>
          <w:b/>
          <w:bCs/>
          <w:sz w:val="24"/>
          <w:szCs w:val="24"/>
        </w:rPr>
      </w:pPr>
      <w:r w:rsidRPr="00A3602A">
        <w:rPr>
          <w:rFonts w:ascii="Calibri" w:hAnsi="Calibri" w:cs="Calibri"/>
          <w:noProof/>
          <w:sz w:val="24"/>
          <w:szCs w:val="24"/>
          <w:lang w:val="en-GB" w:eastAsia="en-GB"/>
        </w:rPr>
        <w:drawing>
          <wp:inline distT="0" distB="0" distL="0" distR="0" wp14:anchorId="0CC2207B" wp14:editId="192B3E7B">
            <wp:extent cx="2484866" cy="881342"/>
            <wp:effectExtent l="0" t="0" r="0" b="0"/>
            <wp:docPr id="5" name="Picture 5" descr="https://intranet.ohchr.org/Offices/Geneva/ExecutiveDirectionManagement/EOS/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ohchr.org/Offices/Geneva/ExecutiveDirectionManagement/EOS/CommunicationsSection/Logos/Office_logo_EN_blue_SMALL_72dpi.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3719"/>
                    <a:stretch/>
                  </pic:blipFill>
                  <pic:spPr bwMode="auto">
                    <a:xfrm>
                      <a:off x="0" y="0"/>
                      <a:ext cx="2495514" cy="885119"/>
                    </a:xfrm>
                    <a:prstGeom prst="rect">
                      <a:avLst/>
                    </a:prstGeom>
                    <a:noFill/>
                    <a:ln>
                      <a:noFill/>
                    </a:ln>
                    <a:extLst>
                      <a:ext uri="{53640926-AAD7-44D8-BBD7-CCE9431645EC}">
                        <a14:shadowObscured xmlns:a14="http://schemas.microsoft.com/office/drawing/2010/main"/>
                      </a:ext>
                    </a:extLst>
                  </pic:spPr>
                </pic:pic>
              </a:graphicData>
            </a:graphic>
          </wp:inline>
        </w:drawing>
      </w:r>
    </w:p>
    <w:p w14:paraId="139D570F" w14:textId="5DDBAA2C" w:rsidR="5DDDDCB2" w:rsidRPr="00A3602A" w:rsidRDefault="5DDDDCB2" w:rsidP="00A3602A">
      <w:pPr>
        <w:spacing w:after="0" w:line="276" w:lineRule="auto"/>
        <w:contextualSpacing/>
        <w:jc w:val="center"/>
        <w:rPr>
          <w:rFonts w:ascii="Calibri" w:eastAsia="Calibri" w:hAnsi="Calibri" w:cs="Calibri"/>
          <w:b/>
          <w:bCs/>
          <w:sz w:val="24"/>
          <w:szCs w:val="24"/>
        </w:rPr>
      </w:pPr>
      <w:r w:rsidRPr="00A3602A">
        <w:rPr>
          <w:rFonts w:ascii="Calibri" w:eastAsia="Calibri" w:hAnsi="Calibri" w:cs="Calibri"/>
          <w:b/>
          <w:bCs/>
          <w:sz w:val="24"/>
          <w:szCs w:val="24"/>
        </w:rPr>
        <w:t>CONCEPT NOTE</w:t>
      </w:r>
    </w:p>
    <w:p w14:paraId="008BF366" w14:textId="45C9F120" w:rsidR="4F1AFED4" w:rsidRPr="00A3602A" w:rsidRDefault="4F1AFED4" w:rsidP="00A3602A">
      <w:pPr>
        <w:spacing w:after="0" w:line="276" w:lineRule="auto"/>
        <w:contextualSpacing/>
        <w:jc w:val="center"/>
        <w:rPr>
          <w:rFonts w:ascii="Calibri" w:eastAsia="Calibri" w:hAnsi="Calibri" w:cs="Calibri"/>
          <w:b/>
          <w:bCs/>
          <w:sz w:val="24"/>
          <w:szCs w:val="24"/>
        </w:rPr>
      </w:pPr>
    </w:p>
    <w:p w14:paraId="0CB65358" w14:textId="21A33BFC" w:rsidR="5DDDDCB2" w:rsidRPr="00A3602A" w:rsidRDefault="5DDDDCB2" w:rsidP="00A3602A">
      <w:pPr>
        <w:spacing w:after="0" w:line="276" w:lineRule="auto"/>
        <w:contextualSpacing/>
        <w:jc w:val="center"/>
        <w:rPr>
          <w:rFonts w:ascii="Calibri" w:eastAsia="Calibri" w:hAnsi="Calibri" w:cs="Calibri"/>
          <w:b/>
          <w:bCs/>
          <w:sz w:val="24"/>
          <w:szCs w:val="24"/>
        </w:rPr>
      </w:pPr>
      <w:r w:rsidRPr="00A3602A">
        <w:rPr>
          <w:rFonts w:ascii="Calibri" w:eastAsia="Calibri" w:hAnsi="Calibri" w:cs="Calibri"/>
          <w:b/>
          <w:bCs/>
          <w:sz w:val="24"/>
          <w:szCs w:val="24"/>
        </w:rPr>
        <w:t>WORKSHOP ON ENHANCING COOPERATION BETWEEN THE UNITED NATIONS AND REGIONAL MECHANISMS FOR THE PROMOTION AND PROTECTION OF HUMAN RIGHTS</w:t>
      </w:r>
      <w:r w:rsidR="006A2B3A" w:rsidRPr="00A3602A">
        <w:rPr>
          <w:rFonts w:ascii="Calibri" w:eastAsia="Calibri" w:hAnsi="Calibri" w:cs="Calibri"/>
          <w:b/>
          <w:bCs/>
          <w:sz w:val="24"/>
          <w:szCs w:val="24"/>
        </w:rPr>
        <w:t xml:space="preserve">, WITH A FOCUS ON BUSINESS AND HUMAN RIGHTS </w:t>
      </w:r>
    </w:p>
    <w:p w14:paraId="4D1CAD20" w14:textId="0DDA96B5" w:rsidR="4F1AFED4" w:rsidRPr="00A3602A" w:rsidRDefault="4F1AFED4" w:rsidP="00A3602A">
      <w:pPr>
        <w:spacing w:after="0" w:line="276" w:lineRule="auto"/>
        <w:contextualSpacing/>
        <w:jc w:val="center"/>
        <w:rPr>
          <w:rFonts w:ascii="Calibri" w:eastAsia="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18"/>
        <w:gridCol w:w="6998"/>
      </w:tblGrid>
      <w:tr w:rsidR="5DDDDCB2" w:rsidRPr="00A3602A" w14:paraId="53FE4315" w14:textId="77777777" w:rsidTr="00A3602A">
        <w:trPr>
          <w:trHeight w:val="1200"/>
        </w:trPr>
        <w:tc>
          <w:tcPr>
            <w:tcW w:w="1119" w:type="pct"/>
          </w:tcPr>
          <w:p w14:paraId="4E8F534A" w14:textId="3527D05D" w:rsidR="5DDDDCB2" w:rsidRPr="00A3602A" w:rsidRDefault="5DDDDCB2" w:rsidP="00A3602A">
            <w:pPr>
              <w:spacing w:after="0" w:line="276" w:lineRule="auto"/>
              <w:contextualSpacing/>
              <w:jc w:val="both"/>
              <w:rPr>
                <w:rFonts w:ascii="Calibri" w:hAnsi="Calibri" w:cs="Calibri"/>
                <w:sz w:val="24"/>
                <w:szCs w:val="24"/>
              </w:rPr>
            </w:pPr>
            <w:r w:rsidRPr="00A3602A">
              <w:rPr>
                <w:rFonts w:ascii="Calibri" w:eastAsia="Calibri" w:hAnsi="Calibri" w:cs="Calibri"/>
                <w:b/>
                <w:bCs/>
                <w:sz w:val="24"/>
                <w:szCs w:val="24"/>
              </w:rPr>
              <w:t>OBJECTIVE</w:t>
            </w:r>
          </w:p>
        </w:tc>
        <w:tc>
          <w:tcPr>
            <w:tcW w:w="3881" w:type="pct"/>
          </w:tcPr>
          <w:p w14:paraId="20B37144" w14:textId="58C54EA8" w:rsidR="5DDDDCB2" w:rsidRPr="00A3602A" w:rsidRDefault="012E66AF"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 xml:space="preserve">To </w:t>
            </w:r>
            <w:r w:rsidR="00862C75" w:rsidRPr="00A3602A">
              <w:rPr>
                <w:rFonts w:ascii="Calibri" w:eastAsia="Calibri" w:hAnsi="Calibri" w:cs="Calibri"/>
                <w:sz w:val="24"/>
                <w:szCs w:val="24"/>
              </w:rPr>
              <w:t xml:space="preserve">explore </w:t>
            </w:r>
            <w:r w:rsidR="00492666">
              <w:rPr>
                <w:rFonts w:ascii="Calibri" w:eastAsia="Calibri" w:hAnsi="Calibri" w:cs="Calibri"/>
                <w:sz w:val="24"/>
                <w:szCs w:val="24"/>
              </w:rPr>
              <w:t xml:space="preserve">innovative and collaborative </w:t>
            </w:r>
            <w:r w:rsidR="00862C75" w:rsidRPr="00A3602A">
              <w:rPr>
                <w:rFonts w:ascii="Calibri" w:eastAsia="Calibri" w:hAnsi="Calibri" w:cs="Calibri"/>
                <w:sz w:val="24"/>
                <w:szCs w:val="24"/>
              </w:rPr>
              <w:t>methods to e</w:t>
            </w:r>
            <w:r w:rsidRPr="00A3602A">
              <w:rPr>
                <w:rFonts w:ascii="Calibri" w:eastAsia="Calibri" w:hAnsi="Calibri" w:cs="Calibri"/>
                <w:sz w:val="24"/>
                <w:szCs w:val="24"/>
              </w:rPr>
              <w:t xml:space="preserve">nhance cooperation between regional </w:t>
            </w:r>
            <w:r w:rsidR="00DB17EE">
              <w:rPr>
                <w:rFonts w:ascii="Calibri" w:eastAsia="Calibri" w:hAnsi="Calibri" w:cs="Calibri"/>
                <w:sz w:val="24"/>
                <w:szCs w:val="24"/>
              </w:rPr>
              <w:t xml:space="preserve">human rights </w:t>
            </w:r>
            <w:r w:rsidR="00862C75" w:rsidRPr="00A3602A">
              <w:rPr>
                <w:rFonts w:ascii="Calibri" w:eastAsia="Calibri" w:hAnsi="Calibri" w:cs="Calibri"/>
                <w:sz w:val="24"/>
                <w:szCs w:val="24"/>
              </w:rPr>
              <w:t>m</w:t>
            </w:r>
            <w:r w:rsidRPr="00A3602A">
              <w:rPr>
                <w:rFonts w:ascii="Calibri" w:eastAsia="Calibri" w:hAnsi="Calibri" w:cs="Calibri"/>
                <w:sz w:val="24"/>
                <w:szCs w:val="24"/>
              </w:rPr>
              <w:t xml:space="preserve">echanisms and international human rights mechanisms with the aim of developing concrete proposals </w:t>
            </w:r>
            <w:r w:rsidR="00862C75" w:rsidRPr="00A3602A">
              <w:rPr>
                <w:rFonts w:ascii="Calibri" w:eastAsia="Calibri" w:hAnsi="Calibri" w:cs="Calibri"/>
                <w:sz w:val="24"/>
                <w:szCs w:val="24"/>
              </w:rPr>
              <w:t>for</w:t>
            </w:r>
            <w:r w:rsidRPr="00A3602A">
              <w:rPr>
                <w:rFonts w:ascii="Calibri" w:eastAsia="Calibri" w:hAnsi="Calibri" w:cs="Calibri"/>
                <w:sz w:val="24"/>
                <w:szCs w:val="24"/>
              </w:rPr>
              <w:t xml:space="preserve"> cooperation in the field of business and human rights</w:t>
            </w:r>
            <w:r w:rsidR="00E879C1">
              <w:rPr>
                <w:rFonts w:ascii="Calibri" w:eastAsia="Calibri" w:hAnsi="Calibri" w:cs="Calibri"/>
                <w:sz w:val="24"/>
                <w:szCs w:val="24"/>
              </w:rPr>
              <w:t>.</w:t>
            </w:r>
          </w:p>
        </w:tc>
      </w:tr>
      <w:tr w:rsidR="5DDDDCB2" w:rsidRPr="00A3602A" w14:paraId="499AACF1" w14:textId="77777777" w:rsidTr="00A3602A">
        <w:trPr>
          <w:trHeight w:val="1320"/>
        </w:trPr>
        <w:tc>
          <w:tcPr>
            <w:tcW w:w="1119" w:type="pct"/>
          </w:tcPr>
          <w:p w14:paraId="00C5DCFB" w14:textId="35B85CF8" w:rsidR="5DDDDCB2" w:rsidRPr="00A3602A" w:rsidRDefault="5DDDDCB2" w:rsidP="00A3602A">
            <w:pPr>
              <w:spacing w:after="0" w:line="276" w:lineRule="auto"/>
              <w:contextualSpacing/>
              <w:jc w:val="both"/>
              <w:rPr>
                <w:rFonts w:ascii="Calibri" w:hAnsi="Calibri" w:cs="Calibri"/>
                <w:sz w:val="24"/>
                <w:szCs w:val="24"/>
              </w:rPr>
            </w:pPr>
            <w:r w:rsidRPr="00A3602A">
              <w:rPr>
                <w:rFonts w:ascii="Calibri" w:eastAsia="Calibri" w:hAnsi="Calibri" w:cs="Calibri"/>
                <w:b/>
                <w:bCs/>
                <w:sz w:val="24"/>
                <w:szCs w:val="24"/>
              </w:rPr>
              <w:t>PARTICIPANTS</w:t>
            </w:r>
          </w:p>
        </w:tc>
        <w:tc>
          <w:tcPr>
            <w:tcW w:w="3881" w:type="pct"/>
          </w:tcPr>
          <w:p w14:paraId="72C1AB94" w14:textId="4015D822" w:rsidR="5DDDDCB2" w:rsidRPr="00A3602A" w:rsidRDefault="012E66AF"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 xml:space="preserve">Experts from United Nations human rights mechanisms including current and former members of human rights treaty bodies and special procedure mandate-holders, representatives of regional and sub-regional human rights mechanisms, national human rights institutions, </w:t>
            </w:r>
            <w:r w:rsidR="00477CBB" w:rsidRPr="00A3602A">
              <w:rPr>
                <w:rFonts w:ascii="Calibri" w:eastAsia="Calibri" w:hAnsi="Calibri" w:cs="Calibri"/>
                <w:sz w:val="24"/>
                <w:szCs w:val="24"/>
              </w:rPr>
              <w:t xml:space="preserve">non-governmental </w:t>
            </w:r>
            <w:r w:rsidRPr="00A3602A">
              <w:rPr>
                <w:rFonts w:ascii="Calibri" w:eastAsia="Calibri" w:hAnsi="Calibri" w:cs="Calibri"/>
                <w:sz w:val="24"/>
                <w:szCs w:val="24"/>
              </w:rPr>
              <w:t>organi</w:t>
            </w:r>
            <w:r w:rsidR="00477CBB" w:rsidRPr="00A3602A">
              <w:rPr>
                <w:rFonts w:ascii="Calibri" w:eastAsia="Calibri" w:hAnsi="Calibri" w:cs="Calibri"/>
                <w:sz w:val="24"/>
                <w:szCs w:val="24"/>
              </w:rPr>
              <w:t>z</w:t>
            </w:r>
            <w:r w:rsidRPr="00A3602A">
              <w:rPr>
                <w:rFonts w:ascii="Calibri" w:eastAsia="Calibri" w:hAnsi="Calibri" w:cs="Calibri"/>
                <w:sz w:val="24"/>
                <w:szCs w:val="24"/>
              </w:rPr>
              <w:t>ations,</w:t>
            </w:r>
            <w:r w:rsidR="00477CBB" w:rsidRPr="00A3602A">
              <w:rPr>
                <w:rFonts w:ascii="Calibri" w:eastAsia="Calibri" w:hAnsi="Calibri" w:cs="Calibri"/>
                <w:sz w:val="24"/>
                <w:szCs w:val="24"/>
              </w:rPr>
              <w:t xml:space="preserve"> </w:t>
            </w:r>
            <w:r w:rsidRPr="00A3602A">
              <w:rPr>
                <w:rFonts w:ascii="Calibri" w:eastAsia="Calibri" w:hAnsi="Calibri" w:cs="Calibri"/>
                <w:sz w:val="24"/>
                <w:szCs w:val="24"/>
              </w:rPr>
              <w:t xml:space="preserve">Member </w:t>
            </w:r>
            <w:r w:rsidR="00492666" w:rsidRPr="00A3602A">
              <w:rPr>
                <w:rFonts w:ascii="Calibri" w:eastAsia="Calibri" w:hAnsi="Calibri" w:cs="Calibri"/>
                <w:sz w:val="24"/>
                <w:szCs w:val="24"/>
              </w:rPr>
              <w:t>States,</w:t>
            </w:r>
            <w:r w:rsidRPr="00A3602A">
              <w:rPr>
                <w:rFonts w:ascii="Calibri" w:eastAsia="Calibri" w:hAnsi="Calibri" w:cs="Calibri"/>
                <w:sz w:val="24"/>
                <w:szCs w:val="24"/>
              </w:rPr>
              <w:t xml:space="preserve"> and government representatives</w:t>
            </w:r>
            <w:r w:rsidR="00477CBB" w:rsidRPr="00A3602A">
              <w:rPr>
                <w:rFonts w:ascii="Calibri" w:eastAsia="Calibri" w:hAnsi="Calibri" w:cs="Calibri"/>
                <w:sz w:val="24"/>
                <w:szCs w:val="24"/>
              </w:rPr>
              <w:t>.</w:t>
            </w:r>
          </w:p>
        </w:tc>
      </w:tr>
      <w:tr w:rsidR="5DDDDCB2" w:rsidRPr="00750FFE" w14:paraId="3767E45A" w14:textId="77777777" w:rsidTr="00A3602A">
        <w:trPr>
          <w:trHeight w:val="63"/>
        </w:trPr>
        <w:tc>
          <w:tcPr>
            <w:tcW w:w="1119" w:type="pct"/>
          </w:tcPr>
          <w:p w14:paraId="2504170A" w14:textId="60FE9C8A" w:rsidR="5DDDDCB2" w:rsidRPr="00A3602A" w:rsidRDefault="5DDDDCB2" w:rsidP="00A3602A">
            <w:pPr>
              <w:spacing w:after="0" w:line="276" w:lineRule="auto"/>
              <w:contextualSpacing/>
              <w:jc w:val="both"/>
              <w:rPr>
                <w:rFonts w:ascii="Calibri" w:hAnsi="Calibri" w:cs="Calibri"/>
                <w:sz w:val="24"/>
                <w:szCs w:val="24"/>
              </w:rPr>
            </w:pPr>
            <w:r w:rsidRPr="00A3602A">
              <w:rPr>
                <w:rFonts w:ascii="Calibri" w:eastAsia="Calibri" w:hAnsi="Calibri" w:cs="Calibri"/>
                <w:b/>
                <w:bCs/>
                <w:sz w:val="24"/>
                <w:szCs w:val="24"/>
              </w:rPr>
              <w:t>VENUE</w:t>
            </w:r>
          </w:p>
        </w:tc>
        <w:tc>
          <w:tcPr>
            <w:tcW w:w="3881" w:type="pct"/>
          </w:tcPr>
          <w:p w14:paraId="795CC081" w14:textId="2577EDEA" w:rsidR="5DDDDCB2" w:rsidRPr="00750FFE" w:rsidRDefault="5DDDDCB2" w:rsidP="004300E9">
            <w:pPr>
              <w:spacing w:after="0" w:line="276" w:lineRule="auto"/>
              <w:contextualSpacing/>
              <w:jc w:val="both"/>
              <w:rPr>
                <w:rFonts w:ascii="Calibri" w:eastAsia="Calibri" w:hAnsi="Calibri" w:cs="Calibri"/>
                <w:sz w:val="24"/>
                <w:szCs w:val="24"/>
                <w:lang w:val="fr-FR"/>
              </w:rPr>
            </w:pPr>
            <w:r w:rsidRPr="00750FFE">
              <w:rPr>
                <w:rFonts w:ascii="Calibri" w:eastAsia="Calibri" w:hAnsi="Calibri" w:cs="Calibri"/>
                <w:sz w:val="24"/>
                <w:szCs w:val="24"/>
                <w:lang w:val="fr-FR"/>
              </w:rPr>
              <w:t xml:space="preserve">Room </w:t>
            </w:r>
            <w:r w:rsidR="004300E9" w:rsidRPr="00750FFE">
              <w:rPr>
                <w:rFonts w:ascii="Calibri" w:eastAsia="Calibri" w:hAnsi="Calibri" w:cs="Calibri"/>
                <w:sz w:val="24"/>
                <w:szCs w:val="24"/>
                <w:lang w:val="fr-FR"/>
              </w:rPr>
              <w:t>XXVI</w:t>
            </w:r>
            <w:r w:rsidR="00E00728">
              <w:rPr>
                <w:rFonts w:ascii="Calibri" w:eastAsia="Calibri" w:hAnsi="Calibri" w:cs="Calibri"/>
                <w:sz w:val="24"/>
                <w:szCs w:val="24"/>
                <w:lang w:val="fr-FR"/>
              </w:rPr>
              <w:t>,</w:t>
            </w:r>
            <w:r w:rsidRPr="00750FFE">
              <w:rPr>
                <w:rFonts w:ascii="Calibri" w:eastAsia="Calibri" w:hAnsi="Calibri" w:cs="Calibri"/>
                <w:sz w:val="24"/>
                <w:szCs w:val="24"/>
                <w:lang w:val="fr-FR"/>
              </w:rPr>
              <w:t xml:space="preserve"> Palais des Nations, Geneva</w:t>
            </w:r>
          </w:p>
        </w:tc>
      </w:tr>
      <w:tr w:rsidR="5DDDDCB2" w:rsidRPr="00A3602A" w14:paraId="2115B9C0" w14:textId="77777777" w:rsidTr="00A3602A">
        <w:trPr>
          <w:trHeight w:val="43"/>
        </w:trPr>
        <w:tc>
          <w:tcPr>
            <w:tcW w:w="1119" w:type="pct"/>
          </w:tcPr>
          <w:p w14:paraId="7ACD81E0" w14:textId="34A48E44" w:rsidR="5DDDDCB2" w:rsidRPr="00A3602A" w:rsidRDefault="5DDDDCB2" w:rsidP="00A3602A">
            <w:pPr>
              <w:spacing w:after="0" w:line="276" w:lineRule="auto"/>
              <w:contextualSpacing/>
              <w:jc w:val="both"/>
              <w:rPr>
                <w:rFonts w:ascii="Calibri" w:hAnsi="Calibri" w:cs="Calibri"/>
                <w:sz w:val="24"/>
                <w:szCs w:val="24"/>
              </w:rPr>
            </w:pPr>
            <w:r w:rsidRPr="00A3602A">
              <w:rPr>
                <w:rFonts w:ascii="Calibri" w:eastAsia="Calibri" w:hAnsi="Calibri" w:cs="Calibri"/>
                <w:b/>
                <w:bCs/>
                <w:sz w:val="24"/>
                <w:szCs w:val="24"/>
              </w:rPr>
              <w:t>DATE</w:t>
            </w:r>
          </w:p>
        </w:tc>
        <w:tc>
          <w:tcPr>
            <w:tcW w:w="3881" w:type="pct"/>
          </w:tcPr>
          <w:p w14:paraId="4B0EFF5D" w14:textId="547C72EF" w:rsidR="5DDDDCB2" w:rsidRPr="00A3602A" w:rsidRDefault="012E66AF" w:rsidP="00A3602A">
            <w:pPr>
              <w:pStyle w:val="ListParagraph"/>
              <w:numPr>
                <w:ilvl w:val="1"/>
                <w:numId w:val="6"/>
              </w:numPr>
              <w:spacing w:after="0" w:line="276" w:lineRule="auto"/>
              <w:jc w:val="both"/>
              <w:rPr>
                <w:rFonts w:ascii="Calibri" w:eastAsia="Calibri" w:hAnsi="Calibri" w:cs="Calibri"/>
                <w:sz w:val="24"/>
                <w:szCs w:val="24"/>
              </w:rPr>
            </w:pPr>
            <w:r w:rsidRPr="00A3602A">
              <w:rPr>
                <w:rFonts w:ascii="Calibri" w:eastAsia="Calibri" w:hAnsi="Calibri" w:cs="Calibri"/>
                <w:sz w:val="24"/>
                <w:szCs w:val="24"/>
              </w:rPr>
              <w:t xml:space="preserve"> October 2022</w:t>
            </w:r>
          </w:p>
        </w:tc>
      </w:tr>
    </w:tbl>
    <w:p w14:paraId="4848719D" w14:textId="77777777" w:rsidR="00924BAF" w:rsidRPr="00A3602A" w:rsidRDefault="00924BAF" w:rsidP="00A3602A">
      <w:pPr>
        <w:spacing w:after="0" w:line="276" w:lineRule="auto"/>
        <w:contextualSpacing/>
        <w:jc w:val="both"/>
        <w:rPr>
          <w:rFonts w:ascii="Calibri" w:hAnsi="Calibri" w:cs="Calibri"/>
          <w:sz w:val="24"/>
          <w:szCs w:val="24"/>
        </w:rPr>
      </w:pPr>
    </w:p>
    <w:p w14:paraId="022FDFE8" w14:textId="2DE945CC" w:rsidR="5DDDDCB2" w:rsidRPr="00A3602A" w:rsidRDefault="5DDDDCB2" w:rsidP="00A3602A">
      <w:pPr>
        <w:pStyle w:val="ListParagraph"/>
        <w:numPr>
          <w:ilvl w:val="0"/>
          <w:numId w:val="7"/>
        </w:numPr>
        <w:spacing w:after="0" w:line="276" w:lineRule="auto"/>
        <w:ind w:left="567" w:hanging="567"/>
        <w:rPr>
          <w:rFonts w:ascii="Calibri" w:eastAsiaTheme="minorEastAsia" w:hAnsi="Calibri" w:cs="Calibri"/>
          <w:b/>
          <w:bCs/>
          <w:sz w:val="24"/>
          <w:szCs w:val="24"/>
        </w:rPr>
      </w:pPr>
      <w:r w:rsidRPr="00A3602A">
        <w:rPr>
          <w:rFonts w:ascii="Calibri" w:eastAsia="Calibri" w:hAnsi="Calibri" w:cs="Calibri"/>
          <w:b/>
          <w:bCs/>
          <w:sz w:val="24"/>
          <w:szCs w:val="24"/>
        </w:rPr>
        <w:t>BACKGROUND</w:t>
      </w:r>
    </w:p>
    <w:p w14:paraId="20E313E5" w14:textId="65A58E37" w:rsidR="4F1AFED4" w:rsidRPr="00A3602A" w:rsidRDefault="4F1AFED4" w:rsidP="00A3602A">
      <w:pPr>
        <w:spacing w:after="0" w:line="276" w:lineRule="auto"/>
        <w:contextualSpacing/>
        <w:jc w:val="both"/>
        <w:rPr>
          <w:rFonts w:ascii="Calibri" w:eastAsia="Calibri" w:hAnsi="Calibri" w:cs="Calibri"/>
          <w:sz w:val="24"/>
          <w:szCs w:val="24"/>
        </w:rPr>
      </w:pPr>
    </w:p>
    <w:p w14:paraId="4D7D40EF" w14:textId="7CA87616" w:rsidR="00A3602A" w:rsidRPr="00A3602A" w:rsidRDefault="5DDDDCB2"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 xml:space="preserve">In recognition of the vital role played by regional and sub-regional human rights mechanisms in promoting and protecting human rights, the Human Rights Council (HRC) since 2007 has </w:t>
      </w:r>
      <w:r w:rsidR="006D3C03" w:rsidRPr="00A3602A">
        <w:rPr>
          <w:rFonts w:ascii="Calibri" w:eastAsia="Calibri" w:hAnsi="Calibri" w:cs="Calibri"/>
          <w:sz w:val="24"/>
          <w:szCs w:val="24"/>
        </w:rPr>
        <w:t xml:space="preserve">been </w:t>
      </w:r>
      <w:r w:rsidRPr="00A3602A">
        <w:rPr>
          <w:rFonts w:ascii="Calibri" w:eastAsia="Calibri" w:hAnsi="Calibri" w:cs="Calibri"/>
          <w:sz w:val="24"/>
          <w:szCs w:val="24"/>
        </w:rPr>
        <w:t>request</w:t>
      </w:r>
      <w:r w:rsidR="006D3C03" w:rsidRPr="00A3602A">
        <w:rPr>
          <w:rFonts w:ascii="Calibri" w:eastAsia="Calibri" w:hAnsi="Calibri" w:cs="Calibri"/>
          <w:sz w:val="24"/>
          <w:szCs w:val="24"/>
        </w:rPr>
        <w:t xml:space="preserve">ing </w:t>
      </w:r>
      <w:r w:rsidRPr="00A3602A">
        <w:rPr>
          <w:rFonts w:ascii="Calibri" w:eastAsia="Calibri" w:hAnsi="Calibri" w:cs="Calibri"/>
          <w:sz w:val="24"/>
          <w:szCs w:val="24"/>
        </w:rPr>
        <w:t>OHCHR to bring together international and regional human rights mechanisms (RHRMs) to exchange views on good practices and lessons learned with a view to enhancing cooperation between them</w:t>
      </w:r>
      <w:r w:rsidR="00A3602A" w:rsidRPr="00A3602A">
        <w:rPr>
          <w:rStyle w:val="FootnoteReference"/>
          <w:rFonts w:ascii="Calibri" w:eastAsia="Calibri" w:hAnsi="Calibri" w:cs="Calibri"/>
          <w:sz w:val="24"/>
          <w:szCs w:val="24"/>
        </w:rPr>
        <w:footnoteReference w:id="1"/>
      </w:r>
      <w:r w:rsidR="00A3602A" w:rsidRPr="00A3602A">
        <w:rPr>
          <w:rFonts w:ascii="Calibri" w:eastAsia="Calibri" w:hAnsi="Calibri" w:cs="Calibri"/>
          <w:sz w:val="24"/>
          <w:szCs w:val="24"/>
        </w:rPr>
        <w:t>.</w:t>
      </w:r>
    </w:p>
    <w:p w14:paraId="45948211" w14:textId="3AAC50A5" w:rsidR="00A3602A" w:rsidRPr="00A3602A" w:rsidRDefault="00A3602A" w:rsidP="00A3602A">
      <w:pPr>
        <w:spacing w:after="0" w:line="276" w:lineRule="auto"/>
        <w:contextualSpacing/>
        <w:jc w:val="both"/>
        <w:rPr>
          <w:rFonts w:ascii="Calibri" w:eastAsia="Calibri" w:hAnsi="Calibri" w:cs="Calibri"/>
          <w:sz w:val="24"/>
          <w:szCs w:val="24"/>
        </w:rPr>
      </w:pPr>
    </w:p>
    <w:p w14:paraId="384778A8" w14:textId="07603C5B" w:rsidR="00A3602A" w:rsidRPr="00A3602A" w:rsidRDefault="00A3602A"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Subsequent to these resolutions, the previous workshops discussed:</w:t>
      </w:r>
    </w:p>
    <w:p w14:paraId="0CBA82BE" w14:textId="3399CFBE" w:rsidR="00A3602A" w:rsidRPr="00A3602A" w:rsidRDefault="00A3602A" w:rsidP="00A3602A">
      <w:pPr>
        <w:spacing w:after="0" w:line="276" w:lineRule="auto"/>
        <w:contextualSpacing/>
        <w:jc w:val="both"/>
        <w:rPr>
          <w:rFonts w:ascii="Calibri" w:eastAsia="Calibri" w:hAnsi="Calibri" w:cs="Calibri"/>
          <w:sz w:val="24"/>
          <w:szCs w:val="24"/>
        </w:rPr>
      </w:pPr>
    </w:p>
    <w:p w14:paraId="731B7A96" w14:textId="3F8A22C9" w:rsidR="00A3602A" w:rsidRPr="00A3602A" w:rsidRDefault="00A3602A" w:rsidP="00A3602A">
      <w:pPr>
        <w:pStyle w:val="ListParagraph"/>
        <w:numPr>
          <w:ilvl w:val="0"/>
          <w:numId w:val="8"/>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 xml:space="preserve">Good practices, added value and challenges for RHRMs (2008); </w:t>
      </w:r>
    </w:p>
    <w:p w14:paraId="5E2E2115" w14:textId="75F2FC74" w:rsidR="00A3602A" w:rsidRPr="00A3602A" w:rsidRDefault="00A3602A" w:rsidP="00A3602A">
      <w:pPr>
        <w:pStyle w:val="ListParagraph"/>
        <w:numPr>
          <w:ilvl w:val="0"/>
          <w:numId w:val="8"/>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 xml:space="preserve">Strengthening cooperation between the UN and regional arrangements to overcome obstacles to human rights promotion and protection at the regional level (2010); </w:t>
      </w:r>
    </w:p>
    <w:p w14:paraId="318F7469" w14:textId="7B0894C4" w:rsidR="00A3602A" w:rsidRPr="00A3602A" w:rsidRDefault="00A3602A" w:rsidP="00A3602A">
      <w:pPr>
        <w:pStyle w:val="ListParagraph"/>
        <w:numPr>
          <w:ilvl w:val="0"/>
          <w:numId w:val="8"/>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lastRenderedPageBreak/>
        <w:t>Strengthening cooperation on information sharing, joint activities and following up to recommendations from United Nations and regional human rights mechanisms with special focus on prevention of torture, women’s rights and children’s rights (2012);</w:t>
      </w:r>
    </w:p>
    <w:p w14:paraId="45771323" w14:textId="4CCDA3B8" w:rsidR="00A3602A" w:rsidRPr="00A3602A" w:rsidRDefault="00A3602A" w:rsidP="00A3602A">
      <w:pPr>
        <w:pStyle w:val="ListParagraph"/>
        <w:numPr>
          <w:ilvl w:val="0"/>
          <w:numId w:val="8"/>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Strengthening cooperation on economic social and cultural rights (2014);</w:t>
      </w:r>
    </w:p>
    <w:p w14:paraId="5F2503C3" w14:textId="14ABC1C5" w:rsidR="00A3602A" w:rsidRPr="00A3602A" w:rsidRDefault="00A3602A" w:rsidP="00A3602A">
      <w:pPr>
        <w:pStyle w:val="ListParagraph"/>
        <w:numPr>
          <w:ilvl w:val="0"/>
          <w:numId w:val="8"/>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Enhancing cooperation between United Nations and regional human rights mechanisms, human rights defenders and civil society organizations (2016); and</w:t>
      </w:r>
    </w:p>
    <w:p w14:paraId="3496FA49" w14:textId="54DDA815" w:rsidR="00A3602A" w:rsidRPr="00A3602A" w:rsidRDefault="00A3602A" w:rsidP="00A3602A">
      <w:pPr>
        <w:pStyle w:val="ListParagraph"/>
        <w:numPr>
          <w:ilvl w:val="0"/>
          <w:numId w:val="8"/>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Enhancing cooperation between regional mechanisms and the United Nations with the aim of combating racism, racial discrimination, xenophobia and related intolerance and in the implementation and commitment in the Durban Declaration and Program of Action (2019).</w:t>
      </w:r>
    </w:p>
    <w:p w14:paraId="1A1FF0E0" w14:textId="77777777" w:rsidR="00A3602A" w:rsidRPr="00A3602A" w:rsidRDefault="00A3602A" w:rsidP="00A3602A">
      <w:pPr>
        <w:spacing w:after="0" w:line="276" w:lineRule="auto"/>
        <w:contextualSpacing/>
        <w:jc w:val="both"/>
        <w:rPr>
          <w:rFonts w:ascii="Calibri" w:eastAsia="Calibri" w:hAnsi="Calibri" w:cs="Calibri"/>
          <w:sz w:val="24"/>
          <w:szCs w:val="24"/>
        </w:rPr>
      </w:pPr>
    </w:p>
    <w:p w14:paraId="46269540" w14:textId="7D0F3E4D" w:rsidR="00A3602A" w:rsidRPr="00A3602A" w:rsidRDefault="00A3602A"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In January 2020, the High Commissioner for Human Rights submitted to the H</w:t>
      </w:r>
      <w:r w:rsidR="006F71A8">
        <w:rPr>
          <w:rFonts w:ascii="Calibri" w:eastAsia="Calibri" w:hAnsi="Calibri" w:cs="Calibri"/>
          <w:sz w:val="24"/>
          <w:szCs w:val="24"/>
        </w:rPr>
        <w:t>RC</w:t>
      </w:r>
      <w:r w:rsidRPr="00A3602A">
        <w:rPr>
          <w:rFonts w:ascii="Calibri" w:eastAsia="Calibri" w:hAnsi="Calibri" w:cs="Calibri"/>
          <w:sz w:val="24"/>
          <w:szCs w:val="24"/>
        </w:rPr>
        <w:t xml:space="preserve">, a report containing a summary of the discussions held at the 2019 workshop.  The </w:t>
      </w:r>
      <w:r w:rsidR="006F71A8">
        <w:rPr>
          <w:rFonts w:ascii="Calibri" w:eastAsia="Calibri" w:hAnsi="Calibri" w:cs="Calibri"/>
          <w:sz w:val="24"/>
          <w:szCs w:val="24"/>
        </w:rPr>
        <w:t>HRC</w:t>
      </w:r>
      <w:r w:rsidRPr="00A3602A">
        <w:rPr>
          <w:rFonts w:ascii="Calibri" w:eastAsia="Calibri" w:hAnsi="Calibri" w:cs="Calibri"/>
          <w:sz w:val="24"/>
          <w:szCs w:val="24"/>
        </w:rPr>
        <w:t xml:space="preserve"> took note of the contents of the report and encouraged the regional arrangements for promotion and protection of human rights and other organizations to continue to enhance their cooperation. The H</w:t>
      </w:r>
      <w:r w:rsidR="006F71A8">
        <w:rPr>
          <w:rFonts w:ascii="Calibri" w:eastAsia="Calibri" w:hAnsi="Calibri" w:cs="Calibri"/>
          <w:sz w:val="24"/>
          <w:szCs w:val="24"/>
        </w:rPr>
        <w:t>RC</w:t>
      </w:r>
      <w:r w:rsidRPr="00A3602A">
        <w:rPr>
          <w:rFonts w:ascii="Calibri" w:eastAsia="Calibri" w:hAnsi="Calibri" w:cs="Calibri"/>
          <w:sz w:val="24"/>
          <w:szCs w:val="24"/>
        </w:rPr>
        <w:t xml:space="preserve"> also requested the High Commissioner to hold the next workshop in 2022, to take stock of developments since the workshop held in </w:t>
      </w:r>
      <w:r w:rsidR="00492666" w:rsidRPr="00A3602A">
        <w:rPr>
          <w:rFonts w:ascii="Calibri" w:eastAsia="Calibri" w:hAnsi="Calibri" w:cs="Calibri"/>
          <w:sz w:val="24"/>
          <w:szCs w:val="24"/>
        </w:rPr>
        <w:t>2019 and</w:t>
      </w:r>
      <w:r w:rsidRPr="00A3602A">
        <w:rPr>
          <w:rFonts w:ascii="Calibri" w:eastAsia="Calibri" w:hAnsi="Calibri" w:cs="Calibri"/>
          <w:sz w:val="24"/>
          <w:szCs w:val="24"/>
        </w:rPr>
        <w:t xml:space="preserve"> include a thematic discussion on the role of regional arrangements in the field of business and human rights</w:t>
      </w:r>
      <w:r w:rsidRPr="00A3602A">
        <w:rPr>
          <w:rStyle w:val="FootnoteReference"/>
          <w:rFonts w:ascii="Calibri" w:eastAsia="Calibri" w:hAnsi="Calibri" w:cs="Calibri"/>
          <w:sz w:val="24"/>
          <w:szCs w:val="24"/>
        </w:rPr>
        <w:footnoteReference w:id="2"/>
      </w:r>
      <w:r w:rsidRPr="00A3602A">
        <w:rPr>
          <w:rFonts w:ascii="Calibri" w:eastAsia="Calibri" w:hAnsi="Calibri" w:cs="Calibri"/>
          <w:sz w:val="24"/>
          <w:szCs w:val="24"/>
        </w:rPr>
        <w:t>.</w:t>
      </w:r>
    </w:p>
    <w:p w14:paraId="0A04023E" w14:textId="1077D162" w:rsidR="00A3602A" w:rsidRPr="00A3602A" w:rsidRDefault="00A3602A" w:rsidP="00A3602A">
      <w:pPr>
        <w:spacing w:after="0" w:line="276" w:lineRule="auto"/>
        <w:contextualSpacing/>
        <w:jc w:val="both"/>
        <w:rPr>
          <w:rFonts w:ascii="Calibri" w:eastAsia="Calibri" w:hAnsi="Calibri" w:cs="Calibri"/>
          <w:sz w:val="24"/>
          <w:szCs w:val="24"/>
        </w:rPr>
      </w:pPr>
    </w:p>
    <w:p w14:paraId="649745C7" w14:textId="3612DBF6" w:rsidR="00A3602A" w:rsidRPr="00A3602A" w:rsidRDefault="00A3602A" w:rsidP="00A3602A">
      <w:pPr>
        <w:spacing w:after="0" w:line="276" w:lineRule="auto"/>
        <w:jc w:val="both"/>
        <w:rPr>
          <w:rFonts w:ascii="Calibri" w:eastAsia="Calibri" w:hAnsi="Calibri" w:cs="Calibri"/>
          <w:sz w:val="24"/>
          <w:szCs w:val="24"/>
        </w:rPr>
      </w:pPr>
      <w:r w:rsidRPr="00A3602A">
        <w:rPr>
          <w:rFonts w:ascii="Calibri" w:eastAsia="Calibri" w:hAnsi="Calibri" w:cs="Calibri"/>
          <w:sz w:val="24"/>
          <w:szCs w:val="24"/>
        </w:rPr>
        <w:t xml:space="preserve">In preparation to this international workshop, a regional consultation </w:t>
      </w:r>
      <w:r w:rsidR="00613CCF">
        <w:rPr>
          <w:rFonts w:ascii="Calibri" w:eastAsia="Calibri" w:hAnsi="Calibri" w:cs="Calibri"/>
          <w:sz w:val="24"/>
          <w:szCs w:val="24"/>
        </w:rPr>
        <w:t>was</w:t>
      </w:r>
      <w:r w:rsidRPr="00A3602A">
        <w:rPr>
          <w:rFonts w:ascii="Calibri" w:eastAsia="Calibri" w:hAnsi="Calibri" w:cs="Calibri"/>
          <w:sz w:val="24"/>
          <w:szCs w:val="24"/>
        </w:rPr>
        <w:t xml:space="preserve"> held virtually on 23 March 2022, jointly by the European Union, OHCHR, and European Union’s Fundamental Rights Agency.  OHCHR in collaboration with ASEAN’s Inter-governmental Commission on Human Rights (AICHR) </w:t>
      </w:r>
      <w:r w:rsidR="0076771E">
        <w:rPr>
          <w:rFonts w:ascii="Calibri" w:eastAsia="Calibri" w:hAnsi="Calibri" w:cs="Calibri"/>
          <w:sz w:val="24"/>
          <w:szCs w:val="24"/>
        </w:rPr>
        <w:t xml:space="preserve">held </w:t>
      </w:r>
      <w:r w:rsidRPr="00A3602A">
        <w:rPr>
          <w:rFonts w:ascii="Calibri" w:eastAsia="Calibri" w:hAnsi="Calibri" w:cs="Calibri"/>
          <w:sz w:val="24"/>
          <w:szCs w:val="24"/>
        </w:rPr>
        <w:t xml:space="preserve">another virtual regional consultation on </w:t>
      </w:r>
      <w:r w:rsidR="00A701B6" w:rsidRPr="00847451">
        <w:rPr>
          <w:rFonts w:ascii="Calibri" w:eastAsia="Calibri" w:hAnsi="Calibri" w:cs="Calibri"/>
          <w:sz w:val="24"/>
          <w:szCs w:val="24"/>
        </w:rPr>
        <w:t>19</w:t>
      </w:r>
      <w:r w:rsidRPr="00847451">
        <w:rPr>
          <w:rFonts w:ascii="Calibri" w:eastAsia="Calibri" w:hAnsi="Calibri" w:cs="Calibri"/>
          <w:sz w:val="24"/>
          <w:szCs w:val="24"/>
        </w:rPr>
        <w:t>-2</w:t>
      </w:r>
      <w:r w:rsidR="00A701B6" w:rsidRPr="00847451">
        <w:rPr>
          <w:rFonts w:ascii="Calibri" w:eastAsia="Calibri" w:hAnsi="Calibri" w:cs="Calibri"/>
          <w:sz w:val="24"/>
          <w:szCs w:val="24"/>
        </w:rPr>
        <w:t>0</w:t>
      </w:r>
      <w:r w:rsidRPr="00847451">
        <w:rPr>
          <w:rFonts w:ascii="Calibri" w:eastAsia="Calibri" w:hAnsi="Calibri" w:cs="Calibri"/>
          <w:sz w:val="24"/>
          <w:szCs w:val="24"/>
        </w:rPr>
        <w:t xml:space="preserve"> July 2022</w:t>
      </w:r>
      <w:r w:rsidR="005801E4">
        <w:rPr>
          <w:rFonts w:ascii="Calibri" w:eastAsia="Calibri" w:hAnsi="Calibri" w:cs="Calibri"/>
          <w:sz w:val="24"/>
          <w:szCs w:val="24"/>
        </w:rPr>
        <w:t xml:space="preserve"> and in collaboration with the Inter-American Commission on Human Rights</w:t>
      </w:r>
      <w:r w:rsidR="008A178A">
        <w:rPr>
          <w:rFonts w:ascii="Calibri" w:eastAsia="Calibri" w:hAnsi="Calibri" w:cs="Calibri"/>
          <w:sz w:val="24"/>
          <w:szCs w:val="24"/>
        </w:rPr>
        <w:t xml:space="preserve">, a consultation </w:t>
      </w:r>
      <w:r w:rsidR="00613CCF">
        <w:rPr>
          <w:rFonts w:ascii="Calibri" w:eastAsia="Calibri" w:hAnsi="Calibri" w:cs="Calibri"/>
          <w:sz w:val="24"/>
          <w:szCs w:val="24"/>
        </w:rPr>
        <w:t>wa</w:t>
      </w:r>
      <w:r w:rsidR="00E00728">
        <w:rPr>
          <w:rFonts w:ascii="Calibri" w:eastAsia="Calibri" w:hAnsi="Calibri" w:cs="Calibri"/>
          <w:sz w:val="24"/>
          <w:szCs w:val="24"/>
        </w:rPr>
        <w:t xml:space="preserve">s </w:t>
      </w:r>
      <w:r w:rsidR="008E0AB9">
        <w:rPr>
          <w:rFonts w:ascii="Calibri" w:eastAsia="Calibri" w:hAnsi="Calibri" w:cs="Calibri"/>
          <w:sz w:val="24"/>
          <w:szCs w:val="24"/>
        </w:rPr>
        <w:t>held virtually</w:t>
      </w:r>
      <w:r w:rsidR="008A178A">
        <w:rPr>
          <w:rFonts w:ascii="Calibri" w:eastAsia="Calibri" w:hAnsi="Calibri" w:cs="Calibri"/>
          <w:sz w:val="24"/>
          <w:szCs w:val="24"/>
        </w:rPr>
        <w:t xml:space="preserve"> </w:t>
      </w:r>
      <w:r w:rsidR="0076771E">
        <w:rPr>
          <w:rFonts w:ascii="Calibri" w:eastAsia="Calibri" w:hAnsi="Calibri" w:cs="Calibri"/>
          <w:sz w:val="24"/>
          <w:szCs w:val="24"/>
        </w:rPr>
        <w:t xml:space="preserve">on the </w:t>
      </w:r>
      <w:r w:rsidR="008A178A">
        <w:rPr>
          <w:rFonts w:ascii="Calibri" w:eastAsia="Calibri" w:hAnsi="Calibri" w:cs="Calibri"/>
          <w:sz w:val="24"/>
          <w:szCs w:val="24"/>
        </w:rPr>
        <w:t>27 July 2022.</w:t>
      </w:r>
      <w:r w:rsidR="00847451" w:rsidRPr="00847451">
        <w:rPr>
          <w:rFonts w:ascii="Calibri" w:eastAsia="Calibri" w:hAnsi="Calibri" w:cs="Calibri"/>
          <w:sz w:val="24"/>
          <w:szCs w:val="24"/>
        </w:rPr>
        <w:t xml:space="preserve"> </w:t>
      </w:r>
      <w:r w:rsidRPr="00A3602A">
        <w:rPr>
          <w:rFonts w:ascii="Calibri" w:eastAsia="Calibri" w:hAnsi="Calibri" w:cs="Calibri"/>
          <w:sz w:val="24"/>
          <w:szCs w:val="24"/>
        </w:rPr>
        <w:t xml:space="preserve"> The virtual consultations offer</w:t>
      </w:r>
      <w:r w:rsidR="00613CCF">
        <w:rPr>
          <w:rFonts w:ascii="Calibri" w:eastAsia="Calibri" w:hAnsi="Calibri" w:cs="Calibri"/>
          <w:sz w:val="24"/>
          <w:szCs w:val="24"/>
        </w:rPr>
        <w:t>ed</w:t>
      </w:r>
      <w:r w:rsidR="008A178A">
        <w:rPr>
          <w:rFonts w:ascii="Calibri" w:eastAsia="Calibri" w:hAnsi="Calibri" w:cs="Calibri"/>
          <w:sz w:val="24"/>
          <w:szCs w:val="24"/>
        </w:rPr>
        <w:t xml:space="preserve"> the </w:t>
      </w:r>
      <w:r w:rsidR="008A178A" w:rsidRPr="00A3602A">
        <w:rPr>
          <w:rFonts w:ascii="Calibri" w:eastAsia="Calibri" w:hAnsi="Calibri" w:cs="Calibri"/>
          <w:sz w:val="24"/>
          <w:szCs w:val="24"/>
        </w:rPr>
        <w:t>participants</w:t>
      </w:r>
      <w:r w:rsidRPr="00A3602A">
        <w:rPr>
          <w:rFonts w:ascii="Calibri" w:eastAsia="Calibri" w:hAnsi="Calibri" w:cs="Calibri"/>
          <w:sz w:val="24"/>
          <w:szCs w:val="24"/>
        </w:rPr>
        <w:t xml:space="preserve"> the opportunity to attend </w:t>
      </w:r>
      <w:r w:rsidR="00C22F9A">
        <w:rPr>
          <w:rFonts w:ascii="Calibri" w:eastAsia="Calibri" w:hAnsi="Calibri" w:cs="Calibri"/>
          <w:sz w:val="24"/>
          <w:szCs w:val="24"/>
        </w:rPr>
        <w:t xml:space="preserve">the events </w:t>
      </w:r>
      <w:r w:rsidRPr="00A3602A">
        <w:rPr>
          <w:rFonts w:ascii="Calibri" w:eastAsia="Calibri" w:hAnsi="Calibri" w:cs="Calibri"/>
          <w:sz w:val="24"/>
          <w:szCs w:val="24"/>
        </w:rPr>
        <w:t>remotely and to contribute to the discussions.  At the same time</w:t>
      </w:r>
      <w:r w:rsidR="00A701B6">
        <w:rPr>
          <w:rFonts w:ascii="Calibri" w:eastAsia="Calibri" w:hAnsi="Calibri" w:cs="Calibri"/>
          <w:sz w:val="24"/>
          <w:szCs w:val="24"/>
        </w:rPr>
        <w:t>,</w:t>
      </w:r>
      <w:r w:rsidRPr="00A3602A">
        <w:rPr>
          <w:rFonts w:ascii="Calibri" w:eastAsia="Calibri" w:hAnsi="Calibri" w:cs="Calibri"/>
          <w:sz w:val="24"/>
          <w:szCs w:val="24"/>
        </w:rPr>
        <w:t xml:space="preserve"> OHCHR benefit</w:t>
      </w:r>
      <w:r w:rsidR="00440E6A">
        <w:rPr>
          <w:rFonts w:ascii="Calibri" w:eastAsia="Calibri" w:hAnsi="Calibri" w:cs="Calibri"/>
          <w:sz w:val="24"/>
          <w:szCs w:val="24"/>
        </w:rPr>
        <w:t>ted</w:t>
      </w:r>
      <w:r w:rsidRPr="00A3602A">
        <w:rPr>
          <w:rFonts w:ascii="Calibri" w:eastAsia="Calibri" w:hAnsi="Calibri" w:cs="Calibri"/>
          <w:sz w:val="24"/>
          <w:szCs w:val="24"/>
        </w:rPr>
        <w:t xml:space="preserve"> from the realities on the ground </w:t>
      </w:r>
      <w:r w:rsidR="00440E6A">
        <w:rPr>
          <w:rFonts w:ascii="Calibri" w:eastAsia="Calibri" w:hAnsi="Calibri" w:cs="Calibri"/>
          <w:sz w:val="24"/>
          <w:szCs w:val="24"/>
        </w:rPr>
        <w:t>as well as</w:t>
      </w:r>
      <w:r w:rsidRPr="00A3602A">
        <w:rPr>
          <w:rFonts w:ascii="Calibri" w:eastAsia="Calibri" w:hAnsi="Calibri" w:cs="Calibri"/>
          <w:sz w:val="24"/>
          <w:szCs w:val="24"/>
        </w:rPr>
        <w:t xml:space="preserve"> the specific challenges and opportunities in preventing and addressing business related human rights </w:t>
      </w:r>
      <w:r w:rsidR="008E0AB9" w:rsidRPr="00A3602A">
        <w:rPr>
          <w:rFonts w:ascii="Calibri" w:eastAsia="Calibri" w:hAnsi="Calibri" w:cs="Calibri"/>
          <w:sz w:val="24"/>
          <w:szCs w:val="24"/>
        </w:rPr>
        <w:t>abuses</w:t>
      </w:r>
      <w:r w:rsidR="008E0AB9">
        <w:rPr>
          <w:rFonts w:ascii="Calibri" w:eastAsia="Calibri" w:hAnsi="Calibri" w:cs="Calibri"/>
          <w:sz w:val="24"/>
          <w:szCs w:val="24"/>
        </w:rPr>
        <w:t xml:space="preserve"> in</w:t>
      </w:r>
      <w:r w:rsidR="00440E6A">
        <w:rPr>
          <w:rFonts w:ascii="Calibri" w:eastAsia="Calibri" w:hAnsi="Calibri" w:cs="Calibri"/>
          <w:sz w:val="24"/>
          <w:szCs w:val="24"/>
        </w:rPr>
        <w:t xml:space="preserve"> the regions</w:t>
      </w:r>
      <w:r w:rsidRPr="00A3602A">
        <w:rPr>
          <w:rFonts w:ascii="Calibri" w:eastAsia="Calibri" w:hAnsi="Calibri" w:cs="Calibri"/>
          <w:sz w:val="24"/>
          <w:szCs w:val="24"/>
        </w:rPr>
        <w:t xml:space="preserve">. </w:t>
      </w:r>
      <w:r w:rsidRPr="00A3602A">
        <w:rPr>
          <w:rFonts w:ascii="Calibri" w:hAnsi="Calibri" w:cs="Calibri"/>
          <w:sz w:val="24"/>
          <w:szCs w:val="24"/>
        </w:rPr>
        <w:t xml:space="preserve">The Consultations also provided an opportunity to discuss specific thematic areas related to business and human rights relevant </w:t>
      </w:r>
      <w:r w:rsidR="00440E6A">
        <w:rPr>
          <w:rFonts w:ascii="Calibri" w:hAnsi="Calibri" w:cs="Calibri"/>
          <w:sz w:val="24"/>
          <w:szCs w:val="24"/>
        </w:rPr>
        <w:t xml:space="preserve">to each </w:t>
      </w:r>
      <w:r w:rsidRPr="00A3602A">
        <w:rPr>
          <w:rFonts w:ascii="Calibri" w:hAnsi="Calibri" w:cs="Calibri"/>
          <w:sz w:val="24"/>
          <w:szCs w:val="24"/>
        </w:rPr>
        <w:t xml:space="preserve">region, and to </w:t>
      </w:r>
      <w:r w:rsidR="008E0AB9">
        <w:rPr>
          <w:rFonts w:ascii="Calibri" w:hAnsi="Calibri" w:cs="Calibri"/>
          <w:sz w:val="24"/>
          <w:szCs w:val="24"/>
        </w:rPr>
        <w:t xml:space="preserve">formulate </w:t>
      </w:r>
      <w:r w:rsidR="008E0AB9" w:rsidRPr="00A3602A">
        <w:rPr>
          <w:rFonts w:ascii="Calibri" w:hAnsi="Calibri" w:cs="Calibri"/>
          <w:sz w:val="24"/>
          <w:szCs w:val="24"/>
        </w:rPr>
        <w:t>recommendations</w:t>
      </w:r>
      <w:r w:rsidRPr="00A3602A">
        <w:rPr>
          <w:rFonts w:ascii="Calibri" w:hAnsi="Calibri" w:cs="Calibri"/>
          <w:sz w:val="24"/>
          <w:szCs w:val="24"/>
        </w:rPr>
        <w:t xml:space="preserve"> </w:t>
      </w:r>
      <w:r w:rsidR="00440E6A">
        <w:rPr>
          <w:rFonts w:ascii="Calibri" w:hAnsi="Calibri" w:cs="Calibri"/>
          <w:sz w:val="24"/>
          <w:szCs w:val="24"/>
        </w:rPr>
        <w:t xml:space="preserve">on </w:t>
      </w:r>
      <w:r w:rsidRPr="00A3602A">
        <w:rPr>
          <w:rFonts w:ascii="Calibri" w:hAnsi="Calibri" w:cs="Calibri"/>
          <w:sz w:val="24"/>
          <w:szCs w:val="24"/>
        </w:rPr>
        <w:t xml:space="preserve">thematic areas </w:t>
      </w:r>
      <w:r w:rsidR="00440E6A">
        <w:rPr>
          <w:rFonts w:ascii="Calibri" w:hAnsi="Calibri" w:cs="Calibri"/>
          <w:sz w:val="24"/>
          <w:szCs w:val="24"/>
        </w:rPr>
        <w:t>for discussion at the</w:t>
      </w:r>
      <w:r w:rsidRPr="00A3602A">
        <w:rPr>
          <w:rFonts w:ascii="Calibri" w:hAnsi="Calibri" w:cs="Calibri"/>
          <w:sz w:val="24"/>
          <w:szCs w:val="24"/>
        </w:rPr>
        <w:t xml:space="preserve"> global workshop</w:t>
      </w:r>
      <w:r w:rsidR="00036689">
        <w:rPr>
          <w:rFonts w:ascii="Calibri" w:hAnsi="Calibri" w:cs="Calibri"/>
          <w:sz w:val="24"/>
          <w:szCs w:val="24"/>
        </w:rPr>
        <w:t xml:space="preserve"> in October</w:t>
      </w:r>
      <w:r w:rsidRPr="00A3602A">
        <w:rPr>
          <w:rFonts w:ascii="Calibri" w:hAnsi="Calibri" w:cs="Calibri"/>
          <w:sz w:val="24"/>
          <w:szCs w:val="24"/>
        </w:rPr>
        <w:t>.</w:t>
      </w:r>
    </w:p>
    <w:p w14:paraId="56E02E79" w14:textId="77777777" w:rsidR="00A3602A" w:rsidRPr="00A3602A" w:rsidRDefault="00A3602A" w:rsidP="00A3602A">
      <w:pPr>
        <w:spacing w:after="0" w:line="276" w:lineRule="auto"/>
        <w:contextualSpacing/>
        <w:jc w:val="both"/>
        <w:rPr>
          <w:rFonts w:ascii="Calibri" w:eastAsia="Calibri" w:hAnsi="Calibri" w:cs="Calibri"/>
          <w:sz w:val="24"/>
          <w:szCs w:val="24"/>
        </w:rPr>
      </w:pPr>
    </w:p>
    <w:p w14:paraId="42D72E54" w14:textId="5DEAAC36" w:rsidR="00A3602A" w:rsidRPr="00A3602A" w:rsidRDefault="00A3602A" w:rsidP="00A3602A">
      <w:pPr>
        <w:pStyle w:val="ListParagraph"/>
        <w:numPr>
          <w:ilvl w:val="0"/>
          <w:numId w:val="7"/>
        </w:numPr>
        <w:spacing w:after="0" w:line="276" w:lineRule="auto"/>
        <w:ind w:left="567" w:hanging="567"/>
        <w:rPr>
          <w:rFonts w:ascii="Calibri" w:eastAsiaTheme="minorEastAsia" w:hAnsi="Calibri" w:cs="Calibri"/>
          <w:b/>
          <w:bCs/>
          <w:sz w:val="24"/>
          <w:szCs w:val="24"/>
        </w:rPr>
      </w:pPr>
      <w:r w:rsidRPr="00A3602A">
        <w:rPr>
          <w:rFonts w:ascii="Calibri" w:eastAsia="Calibri" w:hAnsi="Calibri" w:cs="Calibri"/>
          <w:b/>
          <w:bCs/>
          <w:sz w:val="24"/>
          <w:szCs w:val="24"/>
        </w:rPr>
        <w:t>SPECIFIC OBJECTIVES</w:t>
      </w:r>
    </w:p>
    <w:p w14:paraId="11C85237" w14:textId="0C7E2C9E" w:rsidR="00A3602A" w:rsidRPr="00A3602A" w:rsidRDefault="00A3602A" w:rsidP="00A3602A">
      <w:pPr>
        <w:spacing w:after="0" w:line="276" w:lineRule="auto"/>
        <w:contextualSpacing/>
        <w:jc w:val="both"/>
        <w:rPr>
          <w:rFonts w:ascii="Calibri" w:hAnsi="Calibri" w:cs="Calibri"/>
          <w:sz w:val="24"/>
          <w:szCs w:val="24"/>
        </w:rPr>
      </w:pPr>
    </w:p>
    <w:p w14:paraId="24F317CD" w14:textId="77777777" w:rsidR="00695993" w:rsidRPr="00A3602A" w:rsidRDefault="00695993" w:rsidP="00695993">
      <w:pPr>
        <w:pStyle w:val="ListParagraph"/>
        <w:numPr>
          <w:ilvl w:val="0"/>
          <w:numId w:val="9"/>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To take stock of developments since the workshop held in 2019</w:t>
      </w:r>
      <w:r>
        <w:rPr>
          <w:rFonts w:ascii="Calibri" w:eastAsia="Calibri" w:hAnsi="Calibri" w:cs="Calibri"/>
          <w:sz w:val="24"/>
          <w:szCs w:val="24"/>
        </w:rPr>
        <w:t>.</w:t>
      </w:r>
    </w:p>
    <w:p w14:paraId="1CE4E0E0" w14:textId="77777777" w:rsidR="00695993" w:rsidRPr="00A3602A" w:rsidRDefault="00695993" w:rsidP="00695993">
      <w:pPr>
        <w:spacing w:after="0" w:line="276" w:lineRule="auto"/>
        <w:jc w:val="both"/>
        <w:rPr>
          <w:rFonts w:ascii="Calibri" w:eastAsiaTheme="minorEastAsia" w:hAnsi="Calibri" w:cs="Calibri"/>
          <w:color w:val="000000" w:themeColor="text1"/>
          <w:sz w:val="24"/>
          <w:szCs w:val="24"/>
        </w:rPr>
      </w:pPr>
    </w:p>
    <w:p w14:paraId="5FCB84B0" w14:textId="584D11F0" w:rsidR="00A3602A" w:rsidRPr="00A3602A" w:rsidRDefault="00A3602A" w:rsidP="00A3602A">
      <w:pPr>
        <w:pStyle w:val="ListParagraph"/>
        <w:numPr>
          <w:ilvl w:val="0"/>
          <w:numId w:val="9"/>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To share experiences, good practices, and challenges on the role of regional arrangements in the field of business and human rights.</w:t>
      </w:r>
    </w:p>
    <w:p w14:paraId="4E8F61C5" w14:textId="77777777" w:rsidR="00A3602A" w:rsidRPr="00A3602A" w:rsidRDefault="00A3602A" w:rsidP="00A3602A">
      <w:pPr>
        <w:pStyle w:val="ListParagraph"/>
        <w:spacing w:after="0" w:line="276" w:lineRule="auto"/>
        <w:rPr>
          <w:rFonts w:ascii="Calibri" w:eastAsiaTheme="minorEastAsia" w:hAnsi="Calibri" w:cs="Calibri"/>
          <w:color w:val="000000" w:themeColor="text1"/>
          <w:sz w:val="24"/>
          <w:szCs w:val="24"/>
        </w:rPr>
      </w:pPr>
    </w:p>
    <w:p w14:paraId="5999DA2A" w14:textId="77777777" w:rsidR="00261AD2" w:rsidRPr="00261AD2" w:rsidRDefault="00C22F9A" w:rsidP="00A3602A">
      <w:pPr>
        <w:pStyle w:val="ListParagraph"/>
        <w:numPr>
          <w:ilvl w:val="0"/>
          <w:numId w:val="9"/>
        </w:numPr>
        <w:spacing w:after="0" w:line="276" w:lineRule="auto"/>
        <w:ind w:left="1134" w:hanging="567"/>
        <w:jc w:val="both"/>
        <w:rPr>
          <w:rFonts w:ascii="Calibri" w:eastAsiaTheme="minorEastAsia" w:hAnsi="Calibri" w:cs="Calibri"/>
          <w:color w:val="000000" w:themeColor="text1"/>
          <w:sz w:val="24"/>
          <w:szCs w:val="24"/>
        </w:rPr>
      </w:pPr>
      <w:r>
        <w:rPr>
          <w:rFonts w:ascii="Calibri" w:eastAsia="Calibri" w:hAnsi="Calibri" w:cs="Calibri"/>
          <w:sz w:val="24"/>
          <w:szCs w:val="24"/>
        </w:rPr>
        <w:t>To r</w:t>
      </w:r>
      <w:r w:rsidR="00A3602A" w:rsidRPr="00A3602A">
        <w:rPr>
          <w:rFonts w:ascii="Calibri" w:eastAsia="Calibri" w:hAnsi="Calibri" w:cs="Calibri"/>
          <w:sz w:val="24"/>
          <w:szCs w:val="24"/>
        </w:rPr>
        <w:t>eview progress and assess implementation of</w:t>
      </w:r>
      <w:r>
        <w:rPr>
          <w:rFonts w:ascii="Calibri" w:eastAsia="Calibri" w:hAnsi="Calibri" w:cs="Calibri"/>
          <w:sz w:val="24"/>
          <w:szCs w:val="24"/>
        </w:rPr>
        <w:t xml:space="preserve"> both</w:t>
      </w:r>
      <w:r w:rsidR="00A3602A" w:rsidRPr="00A3602A">
        <w:rPr>
          <w:rFonts w:ascii="Calibri" w:eastAsia="Calibri" w:hAnsi="Calibri" w:cs="Calibri"/>
          <w:sz w:val="24"/>
          <w:szCs w:val="24"/>
        </w:rPr>
        <w:t xml:space="preserve"> international and regional </w:t>
      </w:r>
      <w:r>
        <w:rPr>
          <w:rFonts w:ascii="Calibri" w:eastAsia="Calibri" w:hAnsi="Calibri" w:cs="Calibri"/>
          <w:sz w:val="24"/>
          <w:szCs w:val="24"/>
        </w:rPr>
        <w:t>business and human rights standards</w:t>
      </w:r>
      <w:r w:rsidR="00A3602A" w:rsidRPr="00A3602A">
        <w:rPr>
          <w:rFonts w:ascii="Calibri" w:eastAsia="Calibri" w:hAnsi="Calibri" w:cs="Calibri"/>
          <w:sz w:val="24"/>
          <w:szCs w:val="24"/>
        </w:rPr>
        <w:t>, including the UN Guiding Principles on Business and Human Rights (UNGPs) endorsed by the Human Rights Council</w:t>
      </w:r>
      <w:r w:rsidR="00A3602A" w:rsidRPr="00A3602A">
        <w:rPr>
          <w:rStyle w:val="FootnoteReference"/>
          <w:rFonts w:ascii="Calibri" w:eastAsia="Calibri" w:hAnsi="Calibri" w:cs="Calibri"/>
          <w:sz w:val="24"/>
          <w:szCs w:val="24"/>
        </w:rPr>
        <w:footnoteReference w:id="3"/>
      </w:r>
      <w:r w:rsidR="00A3602A" w:rsidRPr="00A3602A">
        <w:rPr>
          <w:rFonts w:ascii="Calibri" w:eastAsia="Calibri" w:hAnsi="Calibri" w:cs="Calibri"/>
          <w:sz w:val="24"/>
          <w:szCs w:val="24"/>
        </w:rPr>
        <w:t xml:space="preserve">.  </w:t>
      </w:r>
    </w:p>
    <w:p w14:paraId="7E53737E" w14:textId="77777777" w:rsidR="00261AD2" w:rsidRPr="00261AD2" w:rsidRDefault="00261AD2" w:rsidP="00261AD2">
      <w:pPr>
        <w:pStyle w:val="ListParagraph"/>
        <w:rPr>
          <w:rFonts w:ascii="Calibri" w:eastAsia="Calibri" w:hAnsi="Calibri" w:cs="Calibri"/>
          <w:sz w:val="24"/>
          <w:szCs w:val="24"/>
        </w:rPr>
      </w:pPr>
    </w:p>
    <w:p w14:paraId="2901A1CF" w14:textId="511DFFC6" w:rsidR="00A3602A" w:rsidRPr="00A3602A" w:rsidRDefault="00261AD2" w:rsidP="00A3602A">
      <w:pPr>
        <w:pStyle w:val="ListParagraph"/>
        <w:numPr>
          <w:ilvl w:val="0"/>
          <w:numId w:val="9"/>
        </w:numPr>
        <w:spacing w:after="0" w:line="276" w:lineRule="auto"/>
        <w:ind w:left="1134" w:hanging="567"/>
        <w:jc w:val="both"/>
        <w:rPr>
          <w:rFonts w:ascii="Calibri" w:eastAsiaTheme="minorEastAsia" w:hAnsi="Calibri" w:cs="Calibri"/>
          <w:color w:val="000000" w:themeColor="text1"/>
          <w:sz w:val="24"/>
          <w:szCs w:val="24"/>
        </w:rPr>
      </w:pPr>
      <w:r>
        <w:rPr>
          <w:rFonts w:ascii="Calibri" w:eastAsia="Calibri" w:hAnsi="Calibri" w:cs="Calibri"/>
          <w:sz w:val="24"/>
          <w:szCs w:val="24"/>
        </w:rPr>
        <w:t>To e</w:t>
      </w:r>
      <w:r w:rsidR="00A3602A" w:rsidRPr="00A3602A">
        <w:rPr>
          <w:rFonts w:ascii="Calibri" w:eastAsia="Calibri" w:hAnsi="Calibri" w:cs="Calibri"/>
          <w:sz w:val="24"/>
          <w:szCs w:val="24"/>
        </w:rPr>
        <w:t>xchange good practices and challenges at the national/regional</w:t>
      </w:r>
      <w:r w:rsidR="00440E6A">
        <w:rPr>
          <w:rFonts w:ascii="Calibri" w:eastAsia="Calibri" w:hAnsi="Calibri" w:cs="Calibri"/>
          <w:sz w:val="24"/>
          <w:szCs w:val="24"/>
        </w:rPr>
        <w:t>/international</w:t>
      </w:r>
      <w:r w:rsidR="00A3602A" w:rsidRPr="00A3602A">
        <w:rPr>
          <w:rFonts w:ascii="Calibri" w:eastAsia="Calibri" w:hAnsi="Calibri" w:cs="Calibri"/>
          <w:sz w:val="24"/>
          <w:szCs w:val="24"/>
        </w:rPr>
        <w:t xml:space="preserve"> level</w:t>
      </w:r>
      <w:r w:rsidR="00440E6A">
        <w:rPr>
          <w:rFonts w:ascii="Calibri" w:eastAsia="Calibri" w:hAnsi="Calibri" w:cs="Calibri"/>
          <w:sz w:val="24"/>
          <w:szCs w:val="24"/>
        </w:rPr>
        <w:t>s. D</w:t>
      </w:r>
      <w:r w:rsidR="00A3602A" w:rsidRPr="00A3602A">
        <w:rPr>
          <w:rFonts w:ascii="Calibri" w:eastAsia="Calibri" w:hAnsi="Calibri" w:cs="Calibri"/>
          <w:sz w:val="24"/>
          <w:szCs w:val="24"/>
        </w:rPr>
        <w:t xml:space="preserve">iscuss solutions and remedies to </w:t>
      </w:r>
      <w:r w:rsidR="00440E6A">
        <w:rPr>
          <w:rFonts w:ascii="Calibri" w:eastAsia="Calibri" w:hAnsi="Calibri" w:cs="Calibri"/>
          <w:sz w:val="24"/>
          <w:szCs w:val="24"/>
        </w:rPr>
        <w:t xml:space="preserve">address </w:t>
      </w:r>
      <w:r w:rsidR="00A3602A" w:rsidRPr="00A3602A">
        <w:rPr>
          <w:rFonts w:ascii="Calibri" w:eastAsia="Calibri" w:hAnsi="Calibri" w:cs="Calibri"/>
          <w:sz w:val="24"/>
          <w:szCs w:val="24"/>
        </w:rPr>
        <w:t xml:space="preserve">the </w:t>
      </w:r>
      <w:r w:rsidR="00DE04EA" w:rsidRPr="00A3602A">
        <w:rPr>
          <w:rFonts w:ascii="Calibri" w:eastAsia="Calibri" w:hAnsi="Calibri" w:cs="Calibri"/>
          <w:sz w:val="24"/>
          <w:szCs w:val="24"/>
        </w:rPr>
        <w:t>challenges</w:t>
      </w:r>
      <w:r w:rsidR="00A3602A" w:rsidRPr="00A3602A">
        <w:rPr>
          <w:rFonts w:ascii="Calibri" w:eastAsia="Calibri" w:hAnsi="Calibri" w:cs="Calibri"/>
          <w:sz w:val="24"/>
          <w:szCs w:val="24"/>
        </w:rPr>
        <w:t xml:space="preserve"> and risks individuals and communities </w:t>
      </w:r>
      <w:r w:rsidR="00440E6A">
        <w:rPr>
          <w:rFonts w:ascii="Calibri" w:eastAsia="Calibri" w:hAnsi="Calibri" w:cs="Calibri"/>
          <w:sz w:val="24"/>
          <w:szCs w:val="24"/>
        </w:rPr>
        <w:t>are facing</w:t>
      </w:r>
      <w:r w:rsidR="00A3602A" w:rsidRPr="00A3602A">
        <w:rPr>
          <w:rFonts w:ascii="Calibri" w:eastAsia="Calibri" w:hAnsi="Calibri" w:cs="Calibri"/>
          <w:sz w:val="24"/>
          <w:szCs w:val="24"/>
        </w:rPr>
        <w:t xml:space="preserve">. </w:t>
      </w:r>
    </w:p>
    <w:p w14:paraId="6489137B" w14:textId="77777777" w:rsidR="00A3602A" w:rsidRPr="00A3602A" w:rsidRDefault="00A3602A" w:rsidP="00A3602A">
      <w:pPr>
        <w:pStyle w:val="ListParagraph"/>
        <w:spacing w:after="0" w:line="276" w:lineRule="auto"/>
        <w:rPr>
          <w:rFonts w:ascii="Calibri" w:eastAsiaTheme="minorEastAsia" w:hAnsi="Calibri" w:cs="Calibri"/>
          <w:color w:val="000000" w:themeColor="text1"/>
          <w:sz w:val="24"/>
          <w:szCs w:val="24"/>
        </w:rPr>
      </w:pPr>
    </w:p>
    <w:p w14:paraId="3DA0A0AF" w14:textId="31E1A89E" w:rsidR="00A3602A" w:rsidRPr="008E0AB9" w:rsidRDefault="00A3602A" w:rsidP="00A3602A">
      <w:pPr>
        <w:pStyle w:val="ListParagraph"/>
        <w:numPr>
          <w:ilvl w:val="0"/>
          <w:numId w:val="9"/>
        </w:numPr>
        <w:spacing w:after="0" w:line="276" w:lineRule="auto"/>
        <w:ind w:left="1134" w:hanging="567"/>
        <w:jc w:val="both"/>
        <w:rPr>
          <w:rFonts w:ascii="Calibri" w:eastAsiaTheme="minorEastAsia" w:hAnsi="Calibri" w:cs="Calibri"/>
          <w:color w:val="000000" w:themeColor="text1"/>
          <w:sz w:val="24"/>
          <w:szCs w:val="24"/>
        </w:rPr>
      </w:pPr>
      <w:r w:rsidRPr="00A3602A">
        <w:rPr>
          <w:rFonts w:ascii="Calibri" w:eastAsia="Calibri" w:hAnsi="Calibri" w:cs="Calibri"/>
          <w:sz w:val="24"/>
          <w:szCs w:val="24"/>
        </w:rPr>
        <w:t xml:space="preserve">To identify </w:t>
      </w:r>
      <w:r w:rsidR="00DE04EA">
        <w:rPr>
          <w:rFonts w:ascii="Calibri" w:eastAsia="Calibri" w:hAnsi="Calibri" w:cs="Calibri"/>
          <w:sz w:val="24"/>
          <w:szCs w:val="24"/>
        </w:rPr>
        <w:t>i</w:t>
      </w:r>
      <w:r w:rsidRPr="00A3602A">
        <w:rPr>
          <w:rFonts w:ascii="Calibri" w:eastAsia="Calibri" w:hAnsi="Calibri" w:cs="Calibri"/>
          <w:sz w:val="24"/>
          <w:szCs w:val="24"/>
        </w:rPr>
        <w:t>nnovative</w:t>
      </w:r>
      <w:r w:rsidRPr="00A3602A" w:rsidDel="00674515">
        <w:rPr>
          <w:rFonts w:ascii="Calibri" w:eastAsia="Calibri" w:hAnsi="Calibri" w:cs="Calibri"/>
          <w:sz w:val="24"/>
          <w:szCs w:val="24"/>
        </w:rPr>
        <w:t xml:space="preserve"> </w:t>
      </w:r>
      <w:r w:rsidRPr="00A3602A">
        <w:rPr>
          <w:rFonts w:ascii="Calibri" w:eastAsia="Calibri" w:hAnsi="Calibri" w:cs="Calibri"/>
          <w:sz w:val="24"/>
          <w:szCs w:val="24"/>
        </w:rPr>
        <w:t xml:space="preserve">and collaborative ways of cooperation among regional </w:t>
      </w:r>
      <w:r w:rsidR="00787103">
        <w:rPr>
          <w:rFonts w:ascii="Calibri" w:eastAsia="Calibri" w:hAnsi="Calibri" w:cs="Calibri"/>
          <w:sz w:val="24"/>
          <w:szCs w:val="24"/>
        </w:rPr>
        <w:t xml:space="preserve">human rights </w:t>
      </w:r>
      <w:r w:rsidRPr="00A3602A">
        <w:rPr>
          <w:rFonts w:ascii="Calibri" w:eastAsia="Calibri" w:hAnsi="Calibri" w:cs="Calibri"/>
          <w:sz w:val="24"/>
          <w:szCs w:val="24"/>
        </w:rPr>
        <w:t>mechanisms, United Nations human rights mechanisms, civil society,</w:t>
      </w:r>
      <w:r w:rsidR="00FE5CBD">
        <w:rPr>
          <w:rFonts w:ascii="Calibri" w:eastAsia="Calibri" w:hAnsi="Calibri" w:cs="Calibri"/>
          <w:sz w:val="24"/>
          <w:szCs w:val="24"/>
        </w:rPr>
        <w:t xml:space="preserve"> </w:t>
      </w:r>
      <w:r w:rsidR="00690FAE">
        <w:rPr>
          <w:rFonts w:ascii="Calibri" w:eastAsia="Calibri" w:hAnsi="Calibri" w:cs="Calibri"/>
          <w:sz w:val="24"/>
          <w:szCs w:val="24"/>
        </w:rPr>
        <w:t>academia,</w:t>
      </w:r>
      <w:r w:rsidRPr="00A3602A">
        <w:rPr>
          <w:rFonts w:ascii="Calibri" w:eastAsia="Calibri" w:hAnsi="Calibri" w:cs="Calibri"/>
          <w:sz w:val="24"/>
          <w:szCs w:val="24"/>
        </w:rPr>
        <w:t xml:space="preserve"> and national institutions. </w:t>
      </w:r>
    </w:p>
    <w:p w14:paraId="7C274506" w14:textId="77777777" w:rsidR="008E0AB9" w:rsidRPr="008E0AB9" w:rsidRDefault="008E0AB9" w:rsidP="008E0AB9">
      <w:pPr>
        <w:pStyle w:val="ListParagraph"/>
        <w:rPr>
          <w:rFonts w:ascii="Calibri" w:eastAsiaTheme="minorEastAsia" w:hAnsi="Calibri" w:cs="Calibri"/>
          <w:color w:val="000000" w:themeColor="text1"/>
          <w:sz w:val="24"/>
          <w:szCs w:val="24"/>
        </w:rPr>
      </w:pPr>
    </w:p>
    <w:p w14:paraId="59F96E1F" w14:textId="77777777" w:rsidR="00A3602A" w:rsidRPr="00A3602A" w:rsidRDefault="00A3602A" w:rsidP="00A3602A">
      <w:pPr>
        <w:spacing w:after="0" w:line="276" w:lineRule="auto"/>
        <w:contextualSpacing/>
        <w:jc w:val="both"/>
        <w:rPr>
          <w:rFonts w:ascii="Calibri" w:hAnsi="Calibri" w:cs="Calibri"/>
          <w:sz w:val="24"/>
          <w:szCs w:val="24"/>
        </w:rPr>
      </w:pPr>
    </w:p>
    <w:p w14:paraId="0F15C228" w14:textId="20BF56DA" w:rsidR="00A3602A" w:rsidRPr="00A3602A" w:rsidRDefault="00A3602A" w:rsidP="00A3602A">
      <w:pPr>
        <w:pStyle w:val="ListParagraph"/>
        <w:numPr>
          <w:ilvl w:val="0"/>
          <w:numId w:val="7"/>
        </w:numPr>
        <w:spacing w:after="0" w:line="276" w:lineRule="auto"/>
        <w:ind w:left="567" w:hanging="567"/>
        <w:rPr>
          <w:rFonts w:ascii="Calibri" w:eastAsiaTheme="minorEastAsia" w:hAnsi="Calibri" w:cs="Calibri"/>
          <w:b/>
          <w:bCs/>
          <w:sz w:val="24"/>
          <w:szCs w:val="24"/>
        </w:rPr>
      </w:pPr>
      <w:r w:rsidRPr="00A3602A">
        <w:rPr>
          <w:rFonts w:ascii="Calibri" w:eastAsia="Calibri" w:hAnsi="Calibri" w:cs="Calibri"/>
          <w:b/>
          <w:bCs/>
          <w:sz w:val="24"/>
          <w:szCs w:val="24"/>
        </w:rPr>
        <w:t>METHODOLOGY</w:t>
      </w:r>
    </w:p>
    <w:p w14:paraId="7CEE22C2" w14:textId="56AA44DF" w:rsidR="00A3602A" w:rsidRPr="00A3602A" w:rsidRDefault="00A3602A" w:rsidP="00A3602A">
      <w:pPr>
        <w:spacing w:after="0" w:line="276" w:lineRule="auto"/>
        <w:contextualSpacing/>
        <w:jc w:val="both"/>
        <w:rPr>
          <w:rFonts w:ascii="Calibri" w:hAnsi="Calibri" w:cs="Calibri"/>
          <w:sz w:val="24"/>
          <w:szCs w:val="24"/>
        </w:rPr>
      </w:pPr>
      <w:r w:rsidRPr="00A3602A">
        <w:rPr>
          <w:rFonts w:ascii="Calibri" w:eastAsia="Calibri" w:hAnsi="Calibri" w:cs="Calibri"/>
          <w:b/>
          <w:bCs/>
          <w:sz w:val="24"/>
          <w:szCs w:val="24"/>
        </w:rPr>
        <w:t xml:space="preserve"> </w:t>
      </w:r>
    </w:p>
    <w:p w14:paraId="471F2966" w14:textId="2A06C5BD" w:rsidR="00A3602A" w:rsidRPr="00A3602A" w:rsidRDefault="00A3602A" w:rsidP="00A3602A">
      <w:pPr>
        <w:pStyle w:val="ListParagraph"/>
        <w:numPr>
          <w:ilvl w:val="0"/>
          <w:numId w:val="10"/>
        </w:numPr>
        <w:spacing w:after="0" w:line="276" w:lineRule="auto"/>
        <w:ind w:left="567" w:hanging="567"/>
        <w:rPr>
          <w:rFonts w:ascii="Calibri" w:eastAsiaTheme="minorEastAsia" w:hAnsi="Calibri" w:cs="Calibri"/>
          <w:b/>
          <w:bCs/>
          <w:sz w:val="24"/>
          <w:szCs w:val="24"/>
        </w:rPr>
      </w:pPr>
      <w:r w:rsidRPr="00A3602A">
        <w:rPr>
          <w:rFonts w:ascii="Calibri" w:eastAsia="Calibri" w:hAnsi="Calibri" w:cs="Calibri"/>
          <w:b/>
          <w:bCs/>
          <w:sz w:val="24"/>
          <w:szCs w:val="24"/>
        </w:rPr>
        <w:t>Participants</w:t>
      </w:r>
    </w:p>
    <w:p w14:paraId="13BB4036" w14:textId="7ED240CC" w:rsidR="00A3602A" w:rsidRPr="00A3602A" w:rsidRDefault="00A3602A" w:rsidP="00A3602A">
      <w:pPr>
        <w:spacing w:after="0" w:line="276" w:lineRule="auto"/>
        <w:contextualSpacing/>
        <w:jc w:val="both"/>
        <w:rPr>
          <w:rFonts w:ascii="Calibri" w:eastAsia="Calibri" w:hAnsi="Calibri" w:cs="Calibri"/>
          <w:sz w:val="24"/>
          <w:szCs w:val="24"/>
        </w:rPr>
      </w:pPr>
    </w:p>
    <w:p w14:paraId="7D98FA48" w14:textId="03D3F3F2" w:rsidR="00A3602A" w:rsidRPr="00A3602A" w:rsidRDefault="00A3602A"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 xml:space="preserve">The Workshop will bring together participants from regional and sub-regional human rights mechanisms, representatives from the United Nations human rights system, national human rights institutions, civil society, </w:t>
      </w:r>
      <w:r w:rsidR="008E0AB9" w:rsidRPr="00A3602A">
        <w:rPr>
          <w:rFonts w:ascii="Calibri" w:eastAsia="Calibri" w:hAnsi="Calibri" w:cs="Calibri"/>
          <w:sz w:val="24"/>
          <w:szCs w:val="24"/>
        </w:rPr>
        <w:t>academia</w:t>
      </w:r>
      <w:r w:rsidR="00787103">
        <w:rPr>
          <w:rFonts w:ascii="Calibri" w:eastAsia="Calibri" w:hAnsi="Calibri" w:cs="Calibri"/>
          <w:sz w:val="24"/>
          <w:szCs w:val="24"/>
        </w:rPr>
        <w:t xml:space="preserve"> and </w:t>
      </w:r>
      <w:r w:rsidRPr="00A3602A">
        <w:rPr>
          <w:rFonts w:ascii="Calibri" w:eastAsia="Calibri" w:hAnsi="Calibri" w:cs="Calibri"/>
          <w:sz w:val="24"/>
          <w:szCs w:val="24"/>
        </w:rPr>
        <w:t>member States</w:t>
      </w:r>
      <w:r w:rsidR="00787103">
        <w:rPr>
          <w:rFonts w:ascii="Calibri" w:eastAsia="Calibri" w:hAnsi="Calibri" w:cs="Calibri"/>
          <w:sz w:val="24"/>
          <w:szCs w:val="24"/>
        </w:rPr>
        <w:t>.</w:t>
      </w:r>
    </w:p>
    <w:p w14:paraId="6FA61E28" w14:textId="6E236FD1" w:rsidR="00A3602A" w:rsidRPr="00A3602A" w:rsidRDefault="00A3602A"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 xml:space="preserve"> </w:t>
      </w:r>
    </w:p>
    <w:p w14:paraId="123E51AD" w14:textId="37DFAEE7" w:rsidR="00A3602A" w:rsidRPr="00A3602A" w:rsidRDefault="00A3602A" w:rsidP="00A3602A">
      <w:pPr>
        <w:pStyle w:val="ListParagraph"/>
        <w:numPr>
          <w:ilvl w:val="0"/>
          <w:numId w:val="10"/>
        </w:numPr>
        <w:spacing w:after="0" w:line="276" w:lineRule="auto"/>
        <w:ind w:left="567" w:hanging="567"/>
        <w:rPr>
          <w:rFonts w:ascii="Calibri" w:eastAsiaTheme="minorEastAsia" w:hAnsi="Calibri" w:cs="Calibri"/>
          <w:b/>
          <w:bCs/>
          <w:color w:val="000000" w:themeColor="text1"/>
          <w:sz w:val="24"/>
          <w:szCs w:val="24"/>
        </w:rPr>
      </w:pPr>
      <w:r w:rsidRPr="00A3602A">
        <w:rPr>
          <w:rFonts w:ascii="Calibri" w:eastAsia="Calibri" w:hAnsi="Calibri" w:cs="Calibri"/>
          <w:b/>
          <w:bCs/>
          <w:sz w:val="24"/>
          <w:szCs w:val="24"/>
        </w:rPr>
        <w:t>Format</w:t>
      </w:r>
    </w:p>
    <w:p w14:paraId="7AA18270" w14:textId="14F2A259" w:rsidR="00A3602A" w:rsidRPr="00A3602A" w:rsidRDefault="00A3602A" w:rsidP="00A3602A">
      <w:pPr>
        <w:spacing w:after="0" w:line="276" w:lineRule="auto"/>
        <w:contextualSpacing/>
        <w:jc w:val="both"/>
        <w:rPr>
          <w:rFonts w:ascii="Calibri" w:eastAsia="Calibri" w:hAnsi="Calibri" w:cs="Calibri"/>
          <w:sz w:val="24"/>
          <w:szCs w:val="24"/>
        </w:rPr>
      </w:pPr>
    </w:p>
    <w:p w14:paraId="2E156A39" w14:textId="4DF31056" w:rsidR="00A3602A" w:rsidRPr="00A3602A" w:rsidRDefault="00A3602A" w:rsidP="00A3602A">
      <w:pPr>
        <w:spacing w:after="0" w:line="276" w:lineRule="auto"/>
        <w:contextualSpacing/>
        <w:jc w:val="both"/>
        <w:rPr>
          <w:rFonts w:ascii="Calibri" w:eastAsia="Calibri" w:hAnsi="Calibri" w:cs="Calibri"/>
          <w:sz w:val="24"/>
          <w:szCs w:val="24"/>
        </w:rPr>
      </w:pPr>
      <w:r w:rsidRPr="00A3602A">
        <w:rPr>
          <w:rFonts w:ascii="Calibri" w:eastAsia="Calibri" w:hAnsi="Calibri" w:cs="Calibri"/>
          <w:sz w:val="24"/>
          <w:szCs w:val="24"/>
        </w:rPr>
        <w:t>Panel discussions will be held for 2 days followed by interactive discussions. A moderator will facilitate the discussions and will be assisted by rapporteurs.</w:t>
      </w:r>
    </w:p>
    <w:p w14:paraId="45DDDDB8" w14:textId="2D44BFF4" w:rsidR="00A3602A" w:rsidRPr="00A3602A" w:rsidRDefault="00A3602A" w:rsidP="00A3602A">
      <w:pPr>
        <w:spacing w:after="0" w:line="276" w:lineRule="auto"/>
        <w:contextualSpacing/>
        <w:jc w:val="both"/>
        <w:rPr>
          <w:rFonts w:ascii="Calibri" w:eastAsia="Calibri" w:hAnsi="Calibri" w:cs="Calibri"/>
          <w:b/>
          <w:bCs/>
          <w:sz w:val="24"/>
          <w:szCs w:val="24"/>
        </w:rPr>
      </w:pPr>
    </w:p>
    <w:p w14:paraId="178D3077" w14:textId="263819C9" w:rsidR="00A3602A" w:rsidRPr="00A3602A" w:rsidRDefault="00A3602A" w:rsidP="00A3602A">
      <w:pPr>
        <w:pStyle w:val="ListParagraph"/>
        <w:numPr>
          <w:ilvl w:val="0"/>
          <w:numId w:val="10"/>
        </w:numPr>
        <w:spacing w:after="0" w:line="276" w:lineRule="auto"/>
        <w:ind w:left="567" w:hanging="567"/>
        <w:jc w:val="both"/>
        <w:rPr>
          <w:rFonts w:ascii="Calibri" w:eastAsia="Calibri" w:hAnsi="Calibri" w:cs="Calibri"/>
          <w:b/>
          <w:bCs/>
          <w:sz w:val="24"/>
          <w:szCs w:val="24"/>
          <w:lang w:val="en"/>
        </w:rPr>
      </w:pPr>
      <w:r w:rsidRPr="00A3602A">
        <w:rPr>
          <w:rFonts w:ascii="Calibri" w:eastAsia="Calibri" w:hAnsi="Calibri" w:cs="Calibri"/>
          <w:b/>
          <w:bCs/>
          <w:sz w:val="24"/>
          <w:szCs w:val="24"/>
          <w:lang w:val="en"/>
        </w:rPr>
        <w:t>Topics</w:t>
      </w:r>
    </w:p>
    <w:p w14:paraId="0C26967A" w14:textId="77777777" w:rsidR="00A3602A" w:rsidRPr="00A3602A" w:rsidRDefault="00A3602A" w:rsidP="00A3602A">
      <w:pPr>
        <w:spacing w:after="0" w:line="276" w:lineRule="auto"/>
        <w:ind w:left="360"/>
        <w:jc w:val="both"/>
        <w:rPr>
          <w:rFonts w:ascii="Calibri" w:eastAsia="Calibri" w:hAnsi="Calibri" w:cs="Calibri"/>
          <w:b/>
          <w:bCs/>
          <w:sz w:val="24"/>
          <w:szCs w:val="24"/>
          <w:lang w:val="en"/>
        </w:rPr>
      </w:pPr>
    </w:p>
    <w:p w14:paraId="6E319CD9" w14:textId="67CDB035" w:rsidR="00A3602A" w:rsidRPr="00A3602A" w:rsidRDefault="00A3602A" w:rsidP="00A3602A">
      <w:pPr>
        <w:spacing w:after="0" w:line="276" w:lineRule="auto"/>
        <w:jc w:val="both"/>
        <w:rPr>
          <w:rFonts w:ascii="Calibri" w:eastAsia="Calibri" w:hAnsi="Calibri" w:cs="Calibri"/>
          <w:sz w:val="24"/>
          <w:szCs w:val="24"/>
        </w:rPr>
      </w:pPr>
      <w:r w:rsidRPr="00A3602A">
        <w:rPr>
          <w:rFonts w:ascii="Calibri" w:eastAsia="Calibri" w:hAnsi="Calibri" w:cs="Calibri"/>
          <w:sz w:val="24"/>
          <w:szCs w:val="24"/>
        </w:rPr>
        <w:t>The world is today grappling with major global challenges, such as war, violence and conflicts, climate change, environmental degradation, bio-diversity loss, food insecurity, and growing inequalities and discrimination besides the impacts of the COVID 19 pandemic on an unprecedented scale</w:t>
      </w:r>
      <w:r w:rsidR="00690FAE">
        <w:rPr>
          <w:rFonts w:ascii="Calibri" w:eastAsia="Calibri" w:hAnsi="Calibri" w:cs="Calibri"/>
          <w:sz w:val="24"/>
          <w:szCs w:val="24"/>
        </w:rPr>
        <w:t xml:space="preserve">. </w:t>
      </w:r>
      <w:r w:rsidRPr="00A3602A">
        <w:rPr>
          <w:rFonts w:ascii="Calibri" w:eastAsia="Calibri" w:hAnsi="Calibri" w:cs="Calibri"/>
          <w:sz w:val="24"/>
          <w:szCs w:val="24"/>
        </w:rPr>
        <w:t xml:space="preserve">The business </w:t>
      </w:r>
      <w:r w:rsidR="00DE04EA" w:rsidRPr="00A3602A">
        <w:rPr>
          <w:rFonts w:ascii="Calibri" w:eastAsia="Calibri" w:hAnsi="Calibri" w:cs="Calibri"/>
          <w:sz w:val="24"/>
          <w:szCs w:val="24"/>
        </w:rPr>
        <w:t>sector, including</w:t>
      </w:r>
      <w:r w:rsidR="00DE04EA">
        <w:rPr>
          <w:rFonts w:ascii="Calibri" w:eastAsia="Calibri" w:hAnsi="Calibri" w:cs="Calibri"/>
          <w:sz w:val="24"/>
          <w:szCs w:val="24"/>
        </w:rPr>
        <w:t xml:space="preserve"> </w:t>
      </w:r>
      <w:r w:rsidRPr="00A3602A">
        <w:rPr>
          <w:rFonts w:ascii="Calibri" w:eastAsia="Calibri" w:hAnsi="Calibri" w:cs="Calibri"/>
          <w:sz w:val="24"/>
          <w:szCs w:val="24"/>
        </w:rPr>
        <w:t xml:space="preserve">large transnational corporations, play an influential role in society and the economy. Their operations have the potential to positively impact society and drive sustainable development. However, </w:t>
      </w:r>
      <w:r w:rsidR="00E879C1">
        <w:rPr>
          <w:rFonts w:ascii="Calibri" w:eastAsia="Calibri" w:hAnsi="Calibri" w:cs="Calibri"/>
          <w:sz w:val="24"/>
          <w:szCs w:val="24"/>
        </w:rPr>
        <w:t>at the same time</w:t>
      </w:r>
      <w:r w:rsidRPr="00A3602A">
        <w:rPr>
          <w:rFonts w:ascii="Calibri" w:eastAsia="Calibri" w:hAnsi="Calibri" w:cs="Calibri"/>
          <w:sz w:val="24"/>
          <w:szCs w:val="24"/>
        </w:rPr>
        <w:t xml:space="preserve">, business activities </w:t>
      </w:r>
      <w:r w:rsidR="00E879C1">
        <w:rPr>
          <w:rFonts w:ascii="Calibri" w:eastAsia="Calibri" w:hAnsi="Calibri" w:cs="Calibri"/>
          <w:sz w:val="24"/>
          <w:szCs w:val="24"/>
        </w:rPr>
        <w:t xml:space="preserve">can </w:t>
      </w:r>
      <w:r w:rsidRPr="00A3602A">
        <w:rPr>
          <w:rFonts w:ascii="Calibri" w:eastAsia="Calibri" w:hAnsi="Calibri" w:cs="Calibri"/>
          <w:sz w:val="24"/>
          <w:szCs w:val="24"/>
        </w:rPr>
        <w:t>negatively impact human rights and the environment.</w:t>
      </w:r>
      <w:r w:rsidR="00690FAE">
        <w:rPr>
          <w:rFonts w:ascii="Calibri" w:eastAsia="Calibri" w:hAnsi="Calibri" w:cs="Calibri"/>
          <w:sz w:val="24"/>
          <w:szCs w:val="24"/>
        </w:rPr>
        <w:t xml:space="preserve"> </w:t>
      </w:r>
      <w:r w:rsidR="00690FAE" w:rsidRPr="00A3602A">
        <w:rPr>
          <w:rFonts w:ascii="Calibri" w:eastAsia="Calibri" w:hAnsi="Calibri" w:cs="Calibri"/>
          <w:sz w:val="24"/>
          <w:szCs w:val="24"/>
        </w:rPr>
        <w:t xml:space="preserve">As the authoritative global framework for preventing and addressing adverse business-related human rights impacts, the UNGPs are a foundational tool for addressing these major collective challenges. </w:t>
      </w:r>
      <w:r w:rsidR="00690FAE">
        <w:rPr>
          <w:rFonts w:ascii="Calibri" w:eastAsia="Calibri" w:hAnsi="Calibri" w:cs="Calibri"/>
          <w:sz w:val="24"/>
          <w:szCs w:val="24"/>
        </w:rPr>
        <w:lastRenderedPageBreak/>
        <w:t>I</w:t>
      </w:r>
      <w:r w:rsidRPr="00A3602A">
        <w:rPr>
          <w:rFonts w:ascii="Calibri" w:eastAsia="Calibri" w:hAnsi="Calibri" w:cs="Calibri"/>
          <w:sz w:val="24"/>
          <w:szCs w:val="24"/>
        </w:rPr>
        <w:t xml:space="preserve">t is of utmost importance to scale up the efforts by all stakeholders including </w:t>
      </w:r>
      <w:r w:rsidR="00A8473E">
        <w:rPr>
          <w:rFonts w:ascii="Calibri" w:eastAsia="Calibri" w:hAnsi="Calibri" w:cs="Calibri"/>
          <w:sz w:val="24"/>
          <w:szCs w:val="24"/>
        </w:rPr>
        <w:t>States,</w:t>
      </w:r>
      <w:r w:rsidRPr="00A3602A">
        <w:rPr>
          <w:rFonts w:ascii="Calibri" w:eastAsia="Calibri" w:hAnsi="Calibri" w:cs="Calibri"/>
          <w:sz w:val="24"/>
          <w:szCs w:val="24"/>
        </w:rPr>
        <w:t xml:space="preserve"> regional </w:t>
      </w:r>
      <w:r w:rsidR="00261AD2" w:rsidRPr="00A3602A">
        <w:rPr>
          <w:rFonts w:ascii="Calibri" w:eastAsia="Calibri" w:hAnsi="Calibri" w:cs="Calibri"/>
          <w:sz w:val="24"/>
          <w:szCs w:val="24"/>
        </w:rPr>
        <w:t>mechanisms,</w:t>
      </w:r>
      <w:r w:rsidRPr="00A3602A">
        <w:rPr>
          <w:rFonts w:ascii="Calibri" w:eastAsia="Calibri" w:hAnsi="Calibri" w:cs="Calibri"/>
          <w:sz w:val="24"/>
          <w:szCs w:val="24"/>
        </w:rPr>
        <w:t xml:space="preserve"> and businesses to effectively implement the Protect, Respect and </w:t>
      </w:r>
      <w:r w:rsidR="00DE04EA">
        <w:rPr>
          <w:rFonts w:ascii="Calibri" w:eastAsia="Calibri" w:hAnsi="Calibri" w:cs="Calibri"/>
          <w:sz w:val="24"/>
          <w:szCs w:val="24"/>
        </w:rPr>
        <w:t>R</w:t>
      </w:r>
      <w:r w:rsidRPr="00A3602A">
        <w:rPr>
          <w:rFonts w:ascii="Calibri" w:eastAsia="Calibri" w:hAnsi="Calibri" w:cs="Calibri"/>
          <w:sz w:val="24"/>
          <w:szCs w:val="24"/>
        </w:rPr>
        <w:t>emedy framework enshrined in the UNGPs.  The UNGPs provide a blueprint for transformative change and outline what is needed in practice: States must protect human rights, business should respect human rights, and victims need access to effective remedy.</w:t>
      </w:r>
    </w:p>
    <w:p w14:paraId="720635FF" w14:textId="77777777" w:rsidR="00A3602A" w:rsidRPr="00A3602A" w:rsidRDefault="00A3602A" w:rsidP="00A3602A">
      <w:pPr>
        <w:spacing w:after="0" w:line="276" w:lineRule="auto"/>
        <w:ind w:left="360"/>
        <w:jc w:val="both"/>
        <w:rPr>
          <w:rFonts w:ascii="Calibri" w:eastAsia="Calibri" w:hAnsi="Calibri" w:cs="Calibri"/>
          <w:sz w:val="24"/>
          <w:szCs w:val="24"/>
        </w:rPr>
      </w:pPr>
    </w:p>
    <w:p w14:paraId="589814F5" w14:textId="02652C2C" w:rsidR="001D2801" w:rsidRPr="00A3602A" w:rsidRDefault="00A3602A" w:rsidP="00A3602A">
      <w:pPr>
        <w:spacing w:after="0" w:line="276" w:lineRule="auto"/>
        <w:jc w:val="both"/>
        <w:rPr>
          <w:rFonts w:ascii="Calibri" w:eastAsia="Calibri" w:hAnsi="Calibri" w:cs="Calibri"/>
          <w:sz w:val="24"/>
          <w:szCs w:val="24"/>
        </w:rPr>
      </w:pPr>
      <w:r w:rsidRPr="00A3602A">
        <w:rPr>
          <w:rFonts w:ascii="Calibri" w:eastAsia="Calibri" w:hAnsi="Calibri" w:cs="Calibri"/>
          <w:sz w:val="24"/>
          <w:szCs w:val="24"/>
        </w:rPr>
        <w:t>On the occasion of the 10</w:t>
      </w:r>
      <w:r w:rsidRPr="00A3602A">
        <w:rPr>
          <w:rFonts w:ascii="Calibri" w:eastAsia="Calibri" w:hAnsi="Calibri" w:cs="Calibri"/>
          <w:sz w:val="24"/>
          <w:szCs w:val="24"/>
          <w:vertAlign w:val="superscript"/>
        </w:rPr>
        <w:t>th</w:t>
      </w:r>
      <w:r w:rsidRPr="00A3602A">
        <w:rPr>
          <w:rFonts w:ascii="Calibri" w:eastAsia="Calibri" w:hAnsi="Calibri" w:cs="Calibri"/>
          <w:sz w:val="24"/>
          <w:szCs w:val="24"/>
        </w:rPr>
        <w:t xml:space="preserve"> anniversary of the UNGPs in 2021, the Working Group on the issue of human rights and transnational corporations and other business enterprises (the Working Group on Business and Human Rights) took stock of the developments in the implementation by States and businesses of the UNGPs in the last</w:t>
      </w:r>
      <w:r w:rsidR="000A6725">
        <w:rPr>
          <w:rFonts w:ascii="Calibri" w:eastAsia="Calibri" w:hAnsi="Calibri" w:cs="Calibri"/>
          <w:sz w:val="24"/>
          <w:szCs w:val="24"/>
        </w:rPr>
        <w:t xml:space="preserve"> decade and submitted a report to the HRC</w:t>
      </w:r>
      <w:r w:rsidRPr="00A3602A">
        <w:rPr>
          <w:rStyle w:val="FootnoteReference"/>
          <w:rFonts w:ascii="Calibri" w:eastAsia="Calibri" w:hAnsi="Calibri" w:cs="Calibri"/>
          <w:sz w:val="24"/>
          <w:szCs w:val="24"/>
        </w:rPr>
        <w:footnoteReference w:id="4"/>
      </w:r>
      <w:r w:rsidRPr="00A3602A">
        <w:rPr>
          <w:rFonts w:ascii="Calibri" w:eastAsia="Calibri" w:hAnsi="Calibri" w:cs="Calibri"/>
          <w:sz w:val="24"/>
          <w:szCs w:val="24"/>
        </w:rPr>
        <w:t>.</w:t>
      </w:r>
      <w:r w:rsidR="001D2801" w:rsidRPr="00A3602A">
        <w:rPr>
          <w:rFonts w:ascii="Calibri" w:eastAsia="Calibri" w:hAnsi="Calibri" w:cs="Calibri"/>
          <w:sz w:val="24"/>
          <w:szCs w:val="24"/>
        </w:rPr>
        <w:t xml:space="preserve"> The report acknowledges the positive momentum generated in implementing the </w:t>
      </w:r>
      <w:r w:rsidR="00B415AF" w:rsidRPr="00A3602A">
        <w:rPr>
          <w:rFonts w:ascii="Calibri" w:eastAsia="Calibri" w:hAnsi="Calibri" w:cs="Calibri"/>
          <w:sz w:val="24"/>
          <w:szCs w:val="24"/>
        </w:rPr>
        <w:t>UNGPs</w:t>
      </w:r>
      <w:r w:rsidR="001D2801" w:rsidRPr="00A3602A">
        <w:rPr>
          <w:rFonts w:ascii="Calibri" w:eastAsia="Calibri" w:hAnsi="Calibri" w:cs="Calibri"/>
          <w:sz w:val="24"/>
          <w:szCs w:val="24"/>
        </w:rPr>
        <w:t xml:space="preserve">, </w:t>
      </w:r>
      <w:r w:rsidR="00CC6E6A" w:rsidRPr="00A3602A">
        <w:rPr>
          <w:rFonts w:ascii="Calibri" w:eastAsia="Calibri" w:hAnsi="Calibri" w:cs="Calibri"/>
          <w:sz w:val="24"/>
          <w:szCs w:val="24"/>
        </w:rPr>
        <w:t xml:space="preserve">identifies </w:t>
      </w:r>
      <w:r w:rsidR="002760B0" w:rsidRPr="00A3602A">
        <w:rPr>
          <w:rFonts w:ascii="Calibri" w:eastAsia="Calibri" w:hAnsi="Calibri" w:cs="Calibri"/>
          <w:sz w:val="24"/>
          <w:szCs w:val="24"/>
        </w:rPr>
        <w:t xml:space="preserve">challenges </w:t>
      </w:r>
      <w:r w:rsidR="00CC6E6A" w:rsidRPr="00A3602A">
        <w:rPr>
          <w:rFonts w:ascii="Calibri" w:eastAsia="Calibri" w:hAnsi="Calibri" w:cs="Calibri"/>
          <w:sz w:val="24"/>
          <w:szCs w:val="24"/>
        </w:rPr>
        <w:t xml:space="preserve">and remaining gaps as well as </w:t>
      </w:r>
      <w:r w:rsidR="001D2801" w:rsidRPr="00A3602A">
        <w:rPr>
          <w:rFonts w:ascii="Calibri" w:eastAsia="Calibri" w:hAnsi="Calibri" w:cs="Calibri"/>
          <w:sz w:val="24"/>
          <w:szCs w:val="24"/>
        </w:rPr>
        <w:t xml:space="preserve">the areas where the pace of implementation by States, businesses and other relevant actors needs to urgently increase over the next decade. </w:t>
      </w:r>
    </w:p>
    <w:p w14:paraId="2AD74E7C" w14:textId="53C0AAF7" w:rsidR="00985159" w:rsidRPr="00A3602A" w:rsidRDefault="00985159" w:rsidP="00A3602A">
      <w:pPr>
        <w:spacing w:after="0" w:line="276" w:lineRule="auto"/>
        <w:ind w:left="360"/>
        <w:jc w:val="both"/>
        <w:rPr>
          <w:rFonts w:ascii="Calibri" w:hAnsi="Calibri" w:cs="Calibri"/>
          <w:color w:val="000000"/>
          <w:sz w:val="24"/>
          <w:szCs w:val="24"/>
        </w:rPr>
      </w:pPr>
    </w:p>
    <w:p w14:paraId="704EE66E" w14:textId="0B519DA1" w:rsidR="00985159" w:rsidRPr="00A3602A" w:rsidRDefault="00985159" w:rsidP="00A3602A">
      <w:pPr>
        <w:pStyle w:val="CommentText"/>
        <w:spacing w:after="0" w:line="276" w:lineRule="auto"/>
        <w:jc w:val="both"/>
        <w:rPr>
          <w:rFonts w:ascii="Calibri" w:hAnsi="Calibri" w:cs="Calibri"/>
          <w:sz w:val="24"/>
          <w:szCs w:val="24"/>
        </w:rPr>
      </w:pPr>
      <w:r w:rsidRPr="00A3602A">
        <w:rPr>
          <w:rFonts w:ascii="Calibri" w:hAnsi="Calibri" w:cs="Calibri"/>
          <w:sz w:val="24"/>
          <w:szCs w:val="24"/>
        </w:rPr>
        <w:t>In recent years, there has</w:t>
      </w:r>
      <w:r w:rsidR="000A6725">
        <w:rPr>
          <w:rFonts w:ascii="Calibri" w:hAnsi="Calibri" w:cs="Calibri"/>
          <w:sz w:val="24"/>
          <w:szCs w:val="24"/>
        </w:rPr>
        <w:t xml:space="preserve"> </w:t>
      </w:r>
      <w:r w:rsidRPr="00A3602A">
        <w:rPr>
          <w:rFonts w:ascii="Calibri" w:hAnsi="Calibri" w:cs="Calibri"/>
          <w:sz w:val="24"/>
          <w:szCs w:val="24"/>
        </w:rPr>
        <w:t xml:space="preserve">been a strong push to move from voluntary towards mandatory initiatives that envisage obligations for businesses to address their adverse human rights and environmental impacts. Mandatory human rights due diligence legislation has been adopted or is in development in various European countries. Moreover, the European Commission recently published a proposal for a Directive on Corporate Sustainability Due Diligence. Similarly, </w:t>
      </w:r>
      <w:r w:rsidR="00787103">
        <w:rPr>
          <w:rFonts w:ascii="Calibri" w:hAnsi="Calibri" w:cs="Calibri"/>
          <w:sz w:val="24"/>
          <w:szCs w:val="24"/>
        </w:rPr>
        <w:t xml:space="preserve">a number of </w:t>
      </w:r>
      <w:r w:rsidR="008E0AB9">
        <w:rPr>
          <w:rFonts w:ascii="Calibri" w:hAnsi="Calibri" w:cs="Calibri"/>
          <w:sz w:val="24"/>
          <w:szCs w:val="24"/>
        </w:rPr>
        <w:t>m</w:t>
      </w:r>
      <w:r w:rsidR="00787103">
        <w:rPr>
          <w:rFonts w:ascii="Calibri" w:hAnsi="Calibri" w:cs="Calibri"/>
          <w:sz w:val="24"/>
          <w:szCs w:val="24"/>
        </w:rPr>
        <w:t xml:space="preserve">ember States </w:t>
      </w:r>
      <w:r w:rsidRPr="00A3602A">
        <w:rPr>
          <w:rFonts w:ascii="Calibri" w:hAnsi="Calibri" w:cs="Calibri"/>
          <w:sz w:val="24"/>
          <w:szCs w:val="24"/>
        </w:rPr>
        <w:t>are passing or implementing legislation that prevents the import of goods produced with forced labor. Although none of these standards, policies and legislations may be perfect, they reflect the progressive evolution of responsible business concepts into more stringent norms.</w:t>
      </w:r>
    </w:p>
    <w:p w14:paraId="1D889972" w14:textId="77777777" w:rsidR="008A5503" w:rsidRPr="00A3602A" w:rsidRDefault="008A5503" w:rsidP="00A3602A">
      <w:pPr>
        <w:spacing w:after="0" w:line="276" w:lineRule="auto"/>
        <w:jc w:val="both"/>
        <w:rPr>
          <w:rFonts w:ascii="Calibri" w:hAnsi="Calibri" w:cs="Calibri"/>
          <w:color w:val="000000"/>
          <w:sz w:val="24"/>
          <w:szCs w:val="24"/>
        </w:rPr>
      </w:pPr>
    </w:p>
    <w:p w14:paraId="23AD32C6" w14:textId="210CB1FB" w:rsidR="00707D31" w:rsidRPr="00A3602A" w:rsidRDefault="00707D31" w:rsidP="00A3602A">
      <w:pPr>
        <w:spacing w:after="0" w:line="276" w:lineRule="auto"/>
        <w:jc w:val="both"/>
        <w:rPr>
          <w:rFonts w:ascii="Calibri" w:hAnsi="Calibri" w:cs="Calibri"/>
          <w:sz w:val="24"/>
          <w:szCs w:val="24"/>
        </w:rPr>
      </w:pPr>
      <w:r w:rsidRPr="00A3602A">
        <w:rPr>
          <w:rFonts w:ascii="Calibri" w:hAnsi="Calibri" w:cs="Calibri"/>
          <w:color w:val="000000"/>
          <w:sz w:val="24"/>
          <w:szCs w:val="24"/>
        </w:rPr>
        <w:t xml:space="preserve">OHCHR has </w:t>
      </w:r>
      <w:r w:rsidR="00A91791" w:rsidRPr="00A3602A">
        <w:rPr>
          <w:rFonts w:ascii="Calibri" w:hAnsi="Calibri" w:cs="Calibri"/>
          <w:color w:val="000000"/>
          <w:sz w:val="24"/>
          <w:szCs w:val="24"/>
        </w:rPr>
        <w:t xml:space="preserve">engaged in many activities to facilitate the practical </w:t>
      </w:r>
      <w:r w:rsidR="00C717CC" w:rsidRPr="00A3602A">
        <w:rPr>
          <w:rFonts w:ascii="Calibri" w:hAnsi="Calibri" w:cs="Calibri"/>
          <w:color w:val="000000"/>
          <w:sz w:val="24"/>
          <w:szCs w:val="24"/>
        </w:rPr>
        <w:t xml:space="preserve">implementation </w:t>
      </w:r>
      <w:r w:rsidR="00A91791" w:rsidRPr="00A3602A">
        <w:rPr>
          <w:rFonts w:ascii="Calibri" w:hAnsi="Calibri" w:cs="Calibri"/>
          <w:color w:val="000000"/>
          <w:sz w:val="24"/>
          <w:szCs w:val="24"/>
        </w:rPr>
        <w:t xml:space="preserve">of the UNGPs. Its </w:t>
      </w:r>
      <w:r w:rsidRPr="00A3602A">
        <w:rPr>
          <w:rFonts w:ascii="Calibri" w:hAnsi="Calibri" w:cs="Calibri"/>
          <w:sz w:val="24"/>
          <w:szCs w:val="24"/>
        </w:rPr>
        <w:t xml:space="preserve">Accountability and Remedy Project </w:t>
      </w:r>
      <w:r w:rsidR="00A91791" w:rsidRPr="00A3602A">
        <w:rPr>
          <w:rFonts w:ascii="Calibri" w:hAnsi="Calibri" w:cs="Calibri"/>
          <w:sz w:val="24"/>
          <w:szCs w:val="24"/>
        </w:rPr>
        <w:t xml:space="preserve">has </w:t>
      </w:r>
      <w:r w:rsidRPr="00A3602A">
        <w:rPr>
          <w:rFonts w:ascii="Calibri" w:hAnsi="Calibri" w:cs="Calibri"/>
          <w:sz w:val="24"/>
          <w:szCs w:val="24"/>
        </w:rPr>
        <w:t>explore</w:t>
      </w:r>
      <w:r w:rsidR="00A91791" w:rsidRPr="00A3602A">
        <w:rPr>
          <w:rFonts w:ascii="Calibri" w:hAnsi="Calibri" w:cs="Calibri"/>
          <w:sz w:val="24"/>
          <w:szCs w:val="24"/>
        </w:rPr>
        <w:t>d</w:t>
      </w:r>
      <w:r w:rsidRPr="00A3602A">
        <w:rPr>
          <w:rFonts w:ascii="Calibri" w:hAnsi="Calibri" w:cs="Calibri"/>
          <w:sz w:val="24"/>
          <w:szCs w:val="24"/>
        </w:rPr>
        <w:t xml:space="preserve"> how to </w:t>
      </w:r>
      <w:r w:rsidR="00C717CC" w:rsidRPr="00A3602A">
        <w:rPr>
          <w:rFonts w:ascii="Calibri" w:hAnsi="Calibri" w:cs="Calibri"/>
          <w:sz w:val="24"/>
          <w:szCs w:val="24"/>
        </w:rPr>
        <w:t xml:space="preserve">strengthen </w:t>
      </w:r>
      <w:r w:rsidR="00A91791" w:rsidRPr="00A3602A">
        <w:rPr>
          <w:rFonts w:ascii="Calibri" w:hAnsi="Calibri" w:cs="Calibri"/>
          <w:sz w:val="24"/>
          <w:szCs w:val="24"/>
        </w:rPr>
        <w:t>implementation of the access to remedy pillar of the UNGPs</w:t>
      </w:r>
      <w:r w:rsidR="00C717CC" w:rsidRPr="00A3602A">
        <w:rPr>
          <w:rFonts w:ascii="Calibri" w:hAnsi="Calibri" w:cs="Calibri"/>
          <w:sz w:val="24"/>
          <w:szCs w:val="24"/>
        </w:rPr>
        <w:t xml:space="preserve">, providing guidance to States, business, and other relevant stakeholders on how to enhance </w:t>
      </w:r>
      <w:r w:rsidRPr="00A3602A">
        <w:rPr>
          <w:rFonts w:ascii="Calibri" w:hAnsi="Calibri" w:cs="Calibri"/>
          <w:sz w:val="24"/>
          <w:szCs w:val="24"/>
        </w:rPr>
        <w:t xml:space="preserve">the effectiveness of </w:t>
      </w:r>
      <w:r w:rsidR="00C717CC" w:rsidRPr="00A3602A">
        <w:rPr>
          <w:rFonts w:ascii="Calibri" w:hAnsi="Calibri" w:cs="Calibri"/>
          <w:sz w:val="24"/>
          <w:szCs w:val="24"/>
        </w:rPr>
        <w:t xml:space="preserve">remedial systems </w:t>
      </w:r>
      <w:r w:rsidRPr="00A3602A">
        <w:rPr>
          <w:rFonts w:ascii="Calibri" w:hAnsi="Calibri" w:cs="Calibri"/>
          <w:sz w:val="24"/>
          <w:szCs w:val="24"/>
        </w:rPr>
        <w:t>in cases of corporate abuse</w:t>
      </w:r>
      <w:r w:rsidR="00C717CC" w:rsidRPr="00A3602A">
        <w:rPr>
          <w:rFonts w:ascii="Calibri" w:hAnsi="Calibri" w:cs="Calibri"/>
          <w:sz w:val="24"/>
          <w:szCs w:val="24"/>
        </w:rPr>
        <w:t>.</w:t>
      </w:r>
      <w:r w:rsidRPr="00A3602A">
        <w:rPr>
          <w:rFonts w:ascii="Calibri" w:hAnsi="Calibri" w:cs="Calibri"/>
          <w:sz w:val="24"/>
          <w:szCs w:val="24"/>
        </w:rPr>
        <w:t xml:space="preserve"> </w:t>
      </w:r>
      <w:r w:rsidR="00C717CC" w:rsidRPr="00A3602A">
        <w:rPr>
          <w:rFonts w:ascii="Calibri" w:hAnsi="Calibri" w:cs="Calibri"/>
          <w:sz w:val="24"/>
          <w:szCs w:val="24"/>
        </w:rPr>
        <w:t xml:space="preserve">Its </w:t>
      </w:r>
      <w:hyperlink r:id="rId9" w:history="1">
        <w:r w:rsidRPr="00A3602A">
          <w:rPr>
            <w:rStyle w:val="Hyperlink"/>
            <w:rFonts w:ascii="Calibri" w:hAnsi="Calibri" w:cs="Calibri"/>
            <w:sz w:val="24"/>
            <w:szCs w:val="24"/>
          </w:rPr>
          <w:t>B-Tech Project</w:t>
        </w:r>
      </w:hyperlink>
      <w:r w:rsidRPr="00A3602A">
        <w:rPr>
          <w:rFonts w:ascii="Calibri" w:hAnsi="Calibri" w:cs="Calibri"/>
          <w:sz w:val="24"/>
          <w:szCs w:val="24"/>
        </w:rPr>
        <w:t xml:space="preserve"> aim</w:t>
      </w:r>
      <w:r w:rsidR="00C717CC" w:rsidRPr="00A3602A">
        <w:rPr>
          <w:rFonts w:ascii="Calibri" w:hAnsi="Calibri" w:cs="Calibri"/>
          <w:sz w:val="24"/>
          <w:szCs w:val="24"/>
        </w:rPr>
        <w:t>s to ensure respect for human rights in the</w:t>
      </w:r>
      <w:r w:rsidR="00985159" w:rsidRPr="00A3602A">
        <w:rPr>
          <w:rFonts w:ascii="Calibri" w:hAnsi="Calibri" w:cs="Calibri"/>
          <w:sz w:val="24"/>
          <w:szCs w:val="24"/>
        </w:rPr>
        <w:t xml:space="preserve"> </w:t>
      </w:r>
      <w:r w:rsidR="00C717CC" w:rsidRPr="00A3602A">
        <w:rPr>
          <w:rFonts w:ascii="Calibri" w:hAnsi="Calibri" w:cs="Calibri"/>
          <w:sz w:val="24"/>
          <w:szCs w:val="24"/>
        </w:rPr>
        <w:t>development, deployment and use of digital technologies through the uptake and</w:t>
      </w:r>
      <w:r w:rsidR="00A3602A">
        <w:rPr>
          <w:rFonts w:ascii="Calibri" w:hAnsi="Calibri" w:cs="Calibri"/>
          <w:sz w:val="24"/>
          <w:szCs w:val="24"/>
        </w:rPr>
        <w:t xml:space="preserve"> </w:t>
      </w:r>
      <w:r w:rsidR="00C717CC" w:rsidRPr="00A3602A">
        <w:rPr>
          <w:rFonts w:ascii="Calibri" w:hAnsi="Calibri" w:cs="Calibri"/>
          <w:sz w:val="24"/>
          <w:szCs w:val="24"/>
        </w:rPr>
        <w:t>implementation of the Guiding Principles</w:t>
      </w:r>
      <w:r w:rsidRPr="00A3602A">
        <w:rPr>
          <w:rFonts w:ascii="Calibri" w:hAnsi="Calibri" w:cs="Calibri"/>
          <w:sz w:val="24"/>
          <w:szCs w:val="24"/>
        </w:rPr>
        <w:t xml:space="preserve">.  However, </w:t>
      </w:r>
      <w:r w:rsidR="00C717CC" w:rsidRPr="00A3602A">
        <w:rPr>
          <w:rFonts w:ascii="Calibri" w:hAnsi="Calibri" w:cs="Calibri"/>
          <w:sz w:val="24"/>
          <w:szCs w:val="24"/>
        </w:rPr>
        <w:t xml:space="preserve">despite these advances, </w:t>
      </w:r>
      <w:r w:rsidRPr="00A3602A">
        <w:rPr>
          <w:rFonts w:ascii="Calibri" w:hAnsi="Calibri" w:cs="Calibri"/>
          <w:sz w:val="24"/>
          <w:szCs w:val="24"/>
        </w:rPr>
        <w:t xml:space="preserve">OHCHR </w:t>
      </w:r>
      <w:r w:rsidR="008A5503" w:rsidRPr="00A3602A">
        <w:rPr>
          <w:rFonts w:ascii="Calibri" w:hAnsi="Calibri" w:cs="Calibri"/>
          <w:sz w:val="24"/>
          <w:szCs w:val="24"/>
        </w:rPr>
        <w:t xml:space="preserve">and the Working Group on Business and Human Rights </w:t>
      </w:r>
      <w:r w:rsidRPr="00A3602A">
        <w:rPr>
          <w:rFonts w:ascii="Calibri" w:hAnsi="Calibri" w:cs="Calibri"/>
          <w:sz w:val="24"/>
          <w:szCs w:val="24"/>
        </w:rPr>
        <w:t>continue to document</w:t>
      </w:r>
      <w:r w:rsidR="008A5503" w:rsidRPr="00A3602A">
        <w:rPr>
          <w:rFonts w:ascii="Calibri" w:hAnsi="Calibri" w:cs="Calibri"/>
          <w:sz w:val="24"/>
          <w:szCs w:val="24"/>
        </w:rPr>
        <w:t xml:space="preserve"> and receive</w:t>
      </w:r>
      <w:r w:rsidRPr="00A3602A">
        <w:rPr>
          <w:rFonts w:ascii="Calibri" w:hAnsi="Calibri" w:cs="Calibri"/>
          <w:sz w:val="24"/>
          <w:szCs w:val="24"/>
        </w:rPr>
        <w:t xml:space="preserve">, credible allegations of serious human rights abuses </w:t>
      </w:r>
      <w:r w:rsidR="00C717CC" w:rsidRPr="00A3602A">
        <w:rPr>
          <w:rFonts w:ascii="Calibri" w:hAnsi="Calibri" w:cs="Calibri"/>
          <w:sz w:val="24"/>
          <w:szCs w:val="24"/>
        </w:rPr>
        <w:t xml:space="preserve">connected </w:t>
      </w:r>
      <w:r w:rsidRPr="00A3602A">
        <w:rPr>
          <w:rFonts w:ascii="Calibri" w:hAnsi="Calibri" w:cs="Calibri"/>
          <w:sz w:val="24"/>
          <w:szCs w:val="24"/>
        </w:rPr>
        <w:t>to business activities in all parts of the world</w:t>
      </w:r>
      <w:r w:rsidR="008A5503" w:rsidRPr="00A3602A">
        <w:rPr>
          <w:rFonts w:ascii="Calibri" w:hAnsi="Calibri" w:cs="Calibri"/>
          <w:sz w:val="24"/>
          <w:szCs w:val="24"/>
        </w:rPr>
        <w:t xml:space="preserve">. </w:t>
      </w:r>
      <w:r w:rsidRPr="00A3602A">
        <w:rPr>
          <w:rFonts w:ascii="Calibri" w:hAnsi="Calibri" w:cs="Calibri"/>
          <w:sz w:val="24"/>
          <w:szCs w:val="24"/>
        </w:rPr>
        <w:t xml:space="preserve"> </w:t>
      </w:r>
      <w:r w:rsidR="008A5503" w:rsidRPr="00A3602A">
        <w:rPr>
          <w:rFonts w:ascii="Calibri" w:hAnsi="Calibri" w:cs="Calibri"/>
          <w:sz w:val="24"/>
          <w:szCs w:val="24"/>
        </w:rPr>
        <w:t xml:space="preserve">A </w:t>
      </w:r>
      <w:r w:rsidRPr="00A3602A">
        <w:rPr>
          <w:rFonts w:ascii="Calibri" w:hAnsi="Calibri" w:cs="Calibri"/>
          <w:sz w:val="24"/>
          <w:szCs w:val="24"/>
        </w:rPr>
        <w:t xml:space="preserve">lot </w:t>
      </w:r>
      <w:r w:rsidR="008A5503" w:rsidRPr="00A3602A">
        <w:rPr>
          <w:rFonts w:ascii="Calibri" w:hAnsi="Calibri" w:cs="Calibri"/>
          <w:sz w:val="24"/>
          <w:szCs w:val="24"/>
        </w:rPr>
        <w:t>remains</w:t>
      </w:r>
      <w:r w:rsidRPr="00A3602A">
        <w:rPr>
          <w:rFonts w:ascii="Calibri" w:hAnsi="Calibri" w:cs="Calibri"/>
          <w:sz w:val="24"/>
          <w:szCs w:val="24"/>
        </w:rPr>
        <w:t xml:space="preserve"> to be done in</w:t>
      </w:r>
      <w:r w:rsidR="00985159" w:rsidRPr="00A3602A">
        <w:rPr>
          <w:rFonts w:ascii="Calibri" w:hAnsi="Calibri" w:cs="Calibri"/>
          <w:sz w:val="24"/>
          <w:szCs w:val="24"/>
        </w:rPr>
        <w:t xml:space="preserve"> translating human rights standards into effective human rights protection. </w:t>
      </w:r>
      <w:r w:rsidRPr="00A3602A">
        <w:rPr>
          <w:rFonts w:ascii="Calibri" w:hAnsi="Calibri" w:cs="Calibri"/>
          <w:sz w:val="24"/>
          <w:szCs w:val="24"/>
        </w:rPr>
        <w:t xml:space="preserve">   </w:t>
      </w:r>
    </w:p>
    <w:p w14:paraId="1A77EB9C" w14:textId="77777777" w:rsidR="001D2801" w:rsidRPr="00A3602A" w:rsidRDefault="001D2801" w:rsidP="00A3602A">
      <w:pPr>
        <w:spacing w:after="0" w:line="276" w:lineRule="auto"/>
        <w:jc w:val="both"/>
        <w:rPr>
          <w:rFonts w:ascii="Calibri" w:eastAsia="Calibri" w:hAnsi="Calibri" w:cs="Calibri"/>
          <w:sz w:val="24"/>
          <w:szCs w:val="24"/>
        </w:rPr>
      </w:pPr>
    </w:p>
    <w:p w14:paraId="05F2172E" w14:textId="66FF6B4A" w:rsidR="00091C56" w:rsidRPr="00A3602A" w:rsidRDefault="167B8250" w:rsidP="00A3602A">
      <w:pPr>
        <w:spacing w:after="0" w:line="276" w:lineRule="auto"/>
        <w:contextualSpacing/>
        <w:jc w:val="both"/>
        <w:rPr>
          <w:rFonts w:ascii="Calibri" w:eastAsia="Calibri" w:hAnsi="Calibri" w:cs="Calibri"/>
          <w:sz w:val="24"/>
          <w:szCs w:val="24"/>
          <w:lang w:val="en"/>
        </w:rPr>
      </w:pPr>
      <w:r w:rsidRPr="00A3602A">
        <w:rPr>
          <w:rFonts w:ascii="Calibri" w:eastAsia="Calibri" w:hAnsi="Calibri" w:cs="Calibri"/>
          <w:b/>
          <w:bCs/>
          <w:sz w:val="24"/>
          <w:szCs w:val="24"/>
          <w:lang w:val="en"/>
        </w:rPr>
        <w:t xml:space="preserve">Cooperation and Partnerships </w:t>
      </w:r>
      <w:r w:rsidRPr="00A3602A">
        <w:rPr>
          <w:rFonts w:ascii="Calibri" w:eastAsia="Calibri" w:hAnsi="Calibri" w:cs="Calibri"/>
          <w:sz w:val="24"/>
          <w:szCs w:val="24"/>
          <w:lang w:val="en"/>
        </w:rPr>
        <w:t xml:space="preserve">are an integral component of the </w:t>
      </w:r>
      <w:r w:rsidR="008A5503" w:rsidRPr="00A3602A">
        <w:rPr>
          <w:rFonts w:ascii="Calibri" w:eastAsia="Calibri" w:hAnsi="Calibri" w:cs="Calibri"/>
          <w:sz w:val="24"/>
          <w:szCs w:val="24"/>
          <w:lang w:val="en"/>
        </w:rPr>
        <w:t>UNGPs</w:t>
      </w:r>
      <w:r w:rsidR="00066912" w:rsidRPr="00A3602A">
        <w:rPr>
          <w:rFonts w:ascii="Calibri" w:eastAsia="Calibri" w:hAnsi="Calibri" w:cs="Calibri"/>
          <w:sz w:val="24"/>
          <w:szCs w:val="24"/>
          <w:lang w:val="en"/>
        </w:rPr>
        <w:t>.</w:t>
      </w:r>
      <w:r w:rsidRPr="00A3602A">
        <w:rPr>
          <w:rFonts w:ascii="Calibri" w:eastAsia="Calibri" w:hAnsi="Calibri" w:cs="Calibri"/>
          <w:sz w:val="24"/>
          <w:szCs w:val="24"/>
          <w:lang w:val="en"/>
        </w:rPr>
        <w:t xml:space="preserve"> </w:t>
      </w:r>
      <w:r w:rsidR="00C717CC" w:rsidRPr="00A3602A">
        <w:rPr>
          <w:rFonts w:ascii="Calibri" w:eastAsia="Calibri" w:hAnsi="Calibri" w:cs="Calibri"/>
          <w:sz w:val="24"/>
          <w:szCs w:val="24"/>
          <w:lang w:val="en"/>
        </w:rPr>
        <w:t xml:space="preserve">While the UNGPs recognize that States must </w:t>
      </w:r>
      <w:r w:rsidRPr="00A3602A">
        <w:rPr>
          <w:rFonts w:ascii="Calibri" w:eastAsia="Calibri" w:hAnsi="Calibri" w:cs="Calibri"/>
          <w:sz w:val="24"/>
          <w:szCs w:val="24"/>
          <w:lang w:val="en"/>
        </w:rPr>
        <w:t>protect</w:t>
      </w:r>
      <w:r w:rsidR="00C717CC" w:rsidRPr="00A3602A">
        <w:rPr>
          <w:rFonts w:ascii="Calibri" w:eastAsia="Calibri" w:hAnsi="Calibri" w:cs="Calibri"/>
          <w:sz w:val="24"/>
          <w:szCs w:val="24"/>
          <w:lang w:val="en"/>
        </w:rPr>
        <w:t xml:space="preserve"> against</w:t>
      </w:r>
      <w:r w:rsidRPr="00A3602A">
        <w:rPr>
          <w:rFonts w:ascii="Calibri" w:eastAsia="Calibri" w:hAnsi="Calibri" w:cs="Calibri"/>
          <w:sz w:val="24"/>
          <w:szCs w:val="24"/>
          <w:lang w:val="en"/>
        </w:rPr>
        <w:t xml:space="preserve">, prevent, </w:t>
      </w:r>
      <w:r w:rsidR="005207B1" w:rsidRPr="00A3602A">
        <w:rPr>
          <w:rFonts w:ascii="Calibri" w:eastAsia="Calibri" w:hAnsi="Calibri" w:cs="Calibri"/>
          <w:sz w:val="24"/>
          <w:szCs w:val="24"/>
          <w:lang w:val="en"/>
        </w:rPr>
        <w:t>investigat</w:t>
      </w:r>
      <w:r w:rsidR="00C717CC" w:rsidRPr="00A3602A">
        <w:rPr>
          <w:rFonts w:ascii="Calibri" w:eastAsia="Calibri" w:hAnsi="Calibri" w:cs="Calibri"/>
          <w:sz w:val="24"/>
          <w:szCs w:val="24"/>
          <w:lang w:val="en"/>
        </w:rPr>
        <w:t>e</w:t>
      </w:r>
      <w:r w:rsidR="005207B1" w:rsidRPr="00A3602A">
        <w:rPr>
          <w:rFonts w:ascii="Calibri" w:eastAsia="Calibri" w:hAnsi="Calibri" w:cs="Calibri"/>
          <w:sz w:val="24"/>
          <w:szCs w:val="24"/>
          <w:lang w:val="en"/>
        </w:rPr>
        <w:t>,</w:t>
      </w:r>
      <w:r w:rsidRPr="00A3602A">
        <w:rPr>
          <w:rFonts w:ascii="Calibri" w:eastAsia="Calibri" w:hAnsi="Calibri" w:cs="Calibri"/>
          <w:sz w:val="24"/>
          <w:szCs w:val="24"/>
          <w:lang w:val="en"/>
        </w:rPr>
        <w:t xml:space="preserve"> </w:t>
      </w:r>
      <w:r w:rsidR="00834181" w:rsidRPr="00A3602A">
        <w:rPr>
          <w:rFonts w:ascii="Calibri" w:eastAsia="Calibri" w:hAnsi="Calibri" w:cs="Calibri"/>
          <w:sz w:val="24"/>
          <w:szCs w:val="24"/>
          <w:lang w:val="en"/>
        </w:rPr>
        <w:t>punish,</w:t>
      </w:r>
      <w:r w:rsidRPr="00A3602A">
        <w:rPr>
          <w:rFonts w:ascii="Calibri" w:eastAsia="Calibri" w:hAnsi="Calibri" w:cs="Calibri"/>
          <w:sz w:val="24"/>
          <w:szCs w:val="24"/>
          <w:lang w:val="en"/>
        </w:rPr>
        <w:t xml:space="preserve"> </w:t>
      </w:r>
      <w:r w:rsidR="00C717CC" w:rsidRPr="00A3602A">
        <w:rPr>
          <w:rFonts w:ascii="Calibri" w:eastAsia="Calibri" w:hAnsi="Calibri" w:cs="Calibri"/>
          <w:sz w:val="24"/>
          <w:szCs w:val="24"/>
          <w:lang w:val="en"/>
        </w:rPr>
        <w:t xml:space="preserve">and redress </w:t>
      </w:r>
      <w:r w:rsidRPr="00A3602A">
        <w:rPr>
          <w:rFonts w:ascii="Calibri" w:eastAsia="Calibri" w:hAnsi="Calibri" w:cs="Calibri"/>
          <w:sz w:val="24"/>
          <w:szCs w:val="24"/>
          <w:lang w:val="en"/>
        </w:rPr>
        <w:t xml:space="preserve">human </w:t>
      </w:r>
      <w:r w:rsidRPr="00A3602A">
        <w:rPr>
          <w:rFonts w:ascii="Calibri" w:eastAsia="Calibri" w:hAnsi="Calibri" w:cs="Calibri"/>
          <w:sz w:val="24"/>
          <w:szCs w:val="24"/>
          <w:lang w:val="en"/>
        </w:rPr>
        <w:lastRenderedPageBreak/>
        <w:t xml:space="preserve">rights abuses </w:t>
      </w:r>
      <w:r w:rsidR="00C717CC" w:rsidRPr="00A3602A">
        <w:rPr>
          <w:rFonts w:ascii="Calibri" w:eastAsia="Calibri" w:hAnsi="Calibri" w:cs="Calibri"/>
          <w:sz w:val="24"/>
          <w:szCs w:val="24"/>
          <w:lang w:val="en"/>
        </w:rPr>
        <w:t xml:space="preserve">involving </w:t>
      </w:r>
      <w:r w:rsidRPr="00A3602A">
        <w:rPr>
          <w:rFonts w:ascii="Calibri" w:eastAsia="Calibri" w:hAnsi="Calibri" w:cs="Calibri"/>
          <w:sz w:val="24"/>
          <w:szCs w:val="24"/>
          <w:lang w:val="en"/>
        </w:rPr>
        <w:t xml:space="preserve">business enterprises, </w:t>
      </w:r>
      <w:r w:rsidR="00C717CC" w:rsidRPr="00A3602A">
        <w:rPr>
          <w:rFonts w:ascii="Calibri" w:eastAsia="Calibri" w:hAnsi="Calibri" w:cs="Calibri"/>
          <w:sz w:val="24"/>
          <w:szCs w:val="24"/>
          <w:lang w:val="en"/>
        </w:rPr>
        <w:t xml:space="preserve">they </w:t>
      </w:r>
      <w:r w:rsidRPr="00A3602A">
        <w:rPr>
          <w:rFonts w:ascii="Calibri" w:eastAsia="Calibri" w:hAnsi="Calibri" w:cs="Calibri"/>
          <w:sz w:val="24"/>
          <w:szCs w:val="24"/>
          <w:lang w:val="en"/>
        </w:rPr>
        <w:t xml:space="preserve">also </w:t>
      </w:r>
      <w:r w:rsidR="00C717CC" w:rsidRPr="00A3602A">
        <w:rPr>
          <w:rFonts w:ascii="Calibri" w:eastAsia="Calibri" w:hAnsi="Calibri" w:cs="Calibri"/>
          <w:sz w:val="24"/>
          <w:szCs w:val="24"/>
          <w:lang w:val="en"/>
        </w:rPr>
        <w:t xml:space="preserve">recognize the </w:t>
      </w:r>
      <w:r w:rsidRPr="00A3602A">
        <w:rPr>
          <w:rFonts w:ascii="Calibri" w:eastAsia="Calibri" w:hAnsi="Calibri" w:cs="Calibri"/>
          <w:sz w:val="24"/>
          <w:szCs w:val="24"/>
          <w:lang w:val="en"/>
        </w:rPr>
        <w:t xml:space="preserve">corporate responsibility to </w:t>
      </w:r>
      <w:r w:rsidR="00C717CC" w:rsidRPr="00A3602A">
        <w:rPr>
          <w:rFonts w:ascii="Calibri" w:eastAsia="Calibri" w:hAnsi="Calibri" w:cs="Calibri"/>
          <w:sz w:val="24"/>
          <w:szCs w:val="24"/>
          <w:lang w:val="en"/>
        </w:rPr>
        <w:t>respect human rights</w:t>
      </w:r>
      <w:r w:rsidRPr="00A3602A">
        <w:rPr>
          <w:rFonts w:ascii="Calibri" w:eastAsia="Calibri" w:hAnsi="Calibri" w:cs="Calibri"/>
          <w:sz w:val="24"/>
          <w:szCs w:val="24"/>
          <w:lang w:val="en"/>
        </w:rPr>
        <w:t>. The active involvement of international</w:t>
      </w:r>
      <w:r w:rsidR="00066912" w:rsidRPr="00A3602A">
        <w:rPr>
          <w:rFonts w:ascii="Calibri" w:eastAsia="Calibri" w:hAnsi="Calibri" w:cs="Calibri"/>
          <w:sz w:val="24"/>
          <w:szCs w:val="24"/>
          <w:lang w:val="en"/>
        </w:rPr>
        <w:t xml:space="preserve">, </w:t>
      </w:r>
      <w:r w:rsidR="00834181" w:rsidRPr="00A3602A">
        <w:rPr>
          <w:rFonts w:ascii="Calibri" w:eastAsia="Calibri" w:hAnsi="Calibri" w:cs="Calibri"/>
          <w:sz w:val="24"/>
          <w:szCs w:val="24"/>
          <w:lang w:val="en"/>
        </w:rPr>
        <w:t>regional,</w:t>
      </w:r>
      <w:r w:rsidR="00066912" w:rsidRPr="00A3602A">
        <w:rPr>
          <w:rFonts w:ascii="Calibri" w:eastAsia="Calibri" w:hAnsi="Calibri" w:cs="Calibri"/>
          <w:sz w:val="24"/>
          <w:szCs w:val="24"/>
          <w:lang w:val="en"/>
        </w:rPr>
        <w:t xml:space="preserve"> and local</w:t>
      </w:r>
      <w:r w:rsidRPr="00A3602A">
        <w:rPr>
          <w:rFonts w:ascii="Calibri" w:eastAsia="Calibri" w:hAnsi="Calibri" w:cs="Calibri"/>
          <w:sz w:val="24"/>
          <w:szCs w:val="24"/>
          <w:lang w:val="en"/>
        </w:rPr>
        <w:t xml:space="preserve"> </w:t>
      </w:r>
      <w:r w:rsidR="00066912" w:rsidRPr="00A3602A">
        <w:rPr>
          <w:rFonts w:ascii="Calibri" w:eastAsia="Calibri" w:hAnsi="Calibri" w:cs="Calibri"/>
          <w:sz w:val="24"/>
          <w:szCs w:val="24"/>
          <w:lang w:val="en"/>
        </w:rPr>
        <w:t>civil society organizations</w:t>
      </w:r>
      <w:r w:rsidRPr="00A3602A">
        <w:rPr>
          <w:rFonts w:ascii="Calibri" w:eastAsia="Calibri" w:hAnsi="Calibri" w:cs="Calibri"/>
          <w:sz w:val="24"/>
          <w:szCs w:val="24"/>
          <w:lang w:val="en"/>
        </w:rPr>
        <w:t xml:space="preserve">, State-based </w:t>
      </w:r>
      <w:r w:rsidR="005207B1" w:rsidRPr="00A3602A">
        <w:rPr>
          <w:rFonts w:ascii="Calibri" w:eastAsia="Calibri" w:hAnsi="Calibri" w:cs="Calibri"/>
          <w:sz w:val="24"/>
          <w:szCs w:val="24"/>
          <w:lang w:val="en"/>
        </w:rPr>
        <w:t>institutions,</w:t>
      </w:r>
      <w:r w:rsidRPr="00A3602A">
        <w:rPr>
          <w:rFonts w:ascii="Calibri" w:eastAsia="Calibri" w:hAnsi="Calibri" w:cs="Calibri"/>
          <w:sz w:val="24"/>
          <w:szCs w:val="24"/>
          <w:lang w:val="en"/>
        </w:rPr>
        <w:t xml:space="preserve"> and relevant stakeholders such as affected individuals and communities, trade unions, </w:t>
      </w:r>
      <w:r w:rsidR="00066912" w:rsidRPr="00A3602A">
        <w:rPr>
          <w:rFonts w:ascii="Calibri" w:eastAsia="Calibri" w:hAnsi="Calibri" w:cs="Calibri"/>
          <w:sz w:val="24"/>
          <w:szCs w:val="24"/>
          <w:lang w:val="en"/>
        </w:rPr>
        <w:t xml:space="preserve">environmentalists, </w:t>
      </w:r>
      <w:r w:rsidR="001F1A8E">
        <w:rPr>
          <w:rFonts w:ascii="Calibri" w:eastAsia="Calibri" w:hAnsi="Calibri" w:cs="Calibri"/>
          <w:sz w:val="24"/>
          <w:szCs w:val="24"/>
          <w:lang w:val="en"/>
        </w:rPr>
        <w:t xml:space="preserve">and </w:t>
      </w:r>
      <w:r w:rsidRPr="00A3602A">
        <w:rPr>
          <w:rFonts w:ascii="Calibri" w:eastAsia="Calibri" w:hAnsi="Calibri" w:cs="Calibri"/>
          <w:sz w:val="24"/>
          <w:szCs w:val="24"/>
          <w:lang w:val="en"/>
        </w:rPr>
        <w:t>human rights defenders is a key element to build and reflect on the three-pillar structure of the “Protect, Respect and Remedy” framework of the Guiding Principles. Meaningful engagement and dialogue and consensual strategies help achieve effective protection through international, regional, and national cooperation, and the implementation of an effective international legal framework. Therefore, the participation of a wide variety of actors is essential and vital in monitoring State and business practice.</w:t>
      </w:r>
      <w:r w:rsidR="00091C56" w:rsidRPr="00A3602A">
        <w:rPr>
          <w:rFonts w:ascii="Calibri" w:eastAsia="Calibri" w:hAnsi="Calibri" w:cs="Calibri"/>
          <w:sz w:val="24"/>
          <w:szCs w:val="24"/>
          <w:lang w:val="en"/>
        </w:rPr>
        <w:t xml:space="preserve"> </w:t>
      </w:r>
    </w:p>
    <w:p w14:paraId="6B8BCAAE" w14:textId="77777777" w:rsidR="00091C56" w:rsidRPr="00A3602A" w:rsidRDefault="00091C56" w:rsidP="00A3602A">
      <w:pPr>
        <w:shd w:val="clear" w:color="auto" w:fill="FFFFFF"/>
        <w:spacing w:after="0" w:line="276" w:lineRule="auto"/>
        <w:jc w:val="both"/>
        <w:rPr>
          <w:rFonts w:ascii="Calibri" w:eastAsia="Calibri" w:hAnsi="Calibri" w:cs="Calibri"/>
          <w:sz w:val="24"/>
          <w:szCs w:val="24"/>
          <w:lang w:val="en"/>
        </w:rPr>
      </w:pPr>
    </w:p>
    <w:p w14:paraId="5F534E1E" w14:textId="169A5629" w:rsidR="00091C56" w:rsidRPr="00A3602A" w:rsidRDefault="00091C56" w:rsidP="00A3602A">
      <w:pPr>
        <w:shd w:val="clear" w:color="auto" w:fill="FFFFFF"/>
        <w:spacing w:after="0" w:line="276" w:lineRule="auto"/>
        <w:jc w:val="both"/>
        <w:rPr>
          <w:rFonts w:ascii="Calibri" w:hAnsi="Calibri" w:cs="Calibri"/>
          <w:sz w:val="24"/>
          <w:szCs w:val="24"/>
          <w:lang w:val="en"/>
        </w:rPr>
      </w:pPr>
      <w:r w:rsidRPr="00A3602A">
        <w:rPr>
          <w:rFonts w:ascii="Calibri" w:hAnsi="Calibri" w:cs="Calibri"/>
          <w:sz w:val="24"/>
          <w:szCs w:val="24"/>
          <w:lang w:val="en"/>
        </w:rPr>
        <w:t xml:space="preserve">Each panel discussion will </w:t>
      </w:r>
      <w:r w:rsidR="00A8473E">
        <w:rPr>
          <w:rFonts w:ascii="Calibri" w:hAnsi="Calibri" w:cs="Calibri"/>
          <w:sz w:val="24"/>
          <w:szCs w:val="24"/>
          <w:lang w:val="en"/>
        </w:rPr>
        <w:t>seek to have balanced representation of relevant stakeholder views</w:t>
      </w:r>
      <w:r w:rsidRPr="00A3602A">
        <w:rPr>
          <w:rFonts w:ascii="Calibri" w:hAnsi="Calibri" w:cs="Calibri"/>
          <w:sz w:val="24"/>
          <w:szCs w:val="24"/>
          <w:lang w:val="en"/>
        </w:rPr>
        <w:t xml:space="preserve"> in the discussion. </w:t>
      </w:r>
    </w:p>
    <w:p w14:paraId="581DB5DA" w14:textId="036F177C" w:rsidR="5DDDDCB2" w:rsidRPr="00A3602A" w:rsidRDefault="5DDDDCB2" w:rsidP="00A3602A">
      <w:pPr>
        <w:spacing w:after="0" w:line="276" w:lineRule="auto"/>
        <w:contextualSpacing/>
        <w:jc w:val="both"/>
        <w:rPr>
          <w:rFonts w:ascii="Calibri" w:eastAsia="Calibri" w:hAnsi="Calibri" w:cs="Calibri"/>
          <w:color w:val="FF0000"/>
          <w:sz w:val="24"/>
          <w:szCs w:val="24"/>
          <w:lang w:val="en"/>
        </w:rPr>
      </w:pPr>
      <w:r w:rsidRPr="00A3602A">
        <w:rPr>
          <w:rFonts w:ascii="Calibri" w:eastAsia="Calibri" w:hAnsi="Calibri" w:cs="Calibri"/>
          <w:color w:val="FF0000"/>
          <w:sz w:val="24"/>
          <w:szCs w:val="24"/>
          <w:lang w:val="en"/>
        </w:rPr>
        <w:t xml:space="preserve"> </w:t>
      </w:r>
    </w:p>
    <w:p w14:paraId="525E8367" w14:textId="78F46EC1" w:rsidR="00554559" w:rsidRPr="00A3602A" w:rsidRDefault="00695993" w:rsidP="00A3602A">
      <w:pPr>
        <w:spacing w:after="0" w:line="276" w:lineRule="auto"/>
        <w:contextualSpacing/>
        <w:jc w:val="both"/>
        <w:rPr>
          <w:rFonts w:ascii="Calibri" w:eastAsia="Calibri" w:hAnsi="Calibri" w:cs="Calibri"/>
          <w:b/>
          <w:bCs/>
          <w:sz w:val="24"/>
          <w:szCs w:val="24"/>
          <w:lang w:val="en"/>
        </w:rPr>
      </w:pPr>
      <w:r>
        <w:rPr>
          <w:rFonts w:ascii="Calibri" w:eastAsia="Calibri" w:hAnsi="Calibri" w:cs="Calibri"/>
          <w:b/>
          <w:bCs/>
          <w:sz w:val="24"/>
          <w:szCs w:val="24"/>
          <w:lang w:val="en"/>
        </w:rPr>
        <w:t>Agenda Items</w:t>
      </w:r>
      <w:r w:rsidR="5DDDDCB2" w:rsidRPr="00A3602A">
        <w:rPr>
          <w:rFonts w:ascii="Calibri" w:eastAsia="Calibri" w:hAnsi="Calibri" w:cs="Calibri"/>
          <w:b/>
          <w:bCs/>
          <w:sz w:val="24"/>
          <w:szCs w:val="24"/>
          <w:lang w:val="en"/>
        </w:rPr>
        <w:t>:</w:t>
      </w:r>
    </w:p>
    <w:p w14:paraId="5A3871F4" w14:textId="77777777" w:rsidR="00554559" w:rsidRPr="00A3602A" w:rsidRDefault="00554559" w:rsidP="00A3602A">
      <w:pPr>
        <w:spacing w:after="0" w:line="276" w:lineRule="auto"/>
        <w:contextualSpacing/>
        <w:jc w:val="both"/>
        <w:rPr>
          <w:rFonts w:ascii="Calibri" w:eastAsia="Calibri" w:hAnsi="Calibri" w:cs="Calibri"/>
          <w:sz w:val="24"/>
          <w:szCs w:val="24"/>
          <w:lang w:val="en"/>
        </w:rPr>
      </w:pPr>
    </w:p>
    <w:p w14:paraId="7797DA14" w14:textId="77777777" w:rsidR="00695993" w:rsidRPr="00C573CF" w:rsidRDefault="00695993" w:rsidP="00695993">
      <w:pPr>
        <w:pStyle w:val="ListParagraph"/>
        <w:numPr>
          <w:ilvl w:val="3"/>
          <w:numId w:val="9"/>
        </w:numPr>
        <w:spacing w:after="0" w:line="276" w:lineRule="auto"/>
        <w:ind w:left="567" w:hanging="567"/>
        <w:jc w:val="both"/>
        <w:rPr>
          <w:rFonts w:ascii="Calibri" w:eastAsia="Calibri" w:hAnsi="Calibri" w:cs="Arial"/>
          <w:bCs/>
          <w:sz w:val="24"/>
          <w:szCs w:val="24"/>
          <w:lang w:val="en"/>
        </w:rPr>
      </w:pPr>
      <w:r w:rsidRPr="00C573CF">
        <w:rPr>
          <w:rFonts w:ascii="Calibri" w:eastAsia="Calibri" w:hAnsi="Calibri" w:cs="Calibri"/>
          <w:b/>
          <w:bCs/>
          <w:sz w:val="24"/>
          <w:szCs w:val="24"/>
        </w:rPr>
        <w:t xml:space="preserve">Taking stock of developments in cooperation between United Nations and regional human rights mechanisms since 2019. </w:t>
      </w:r>
      <w:r w:rsidRPr="00C573CF">
        <w:rPr>
          <w:rFonts w:ascii="Calibri" w:eastAsia="Calibri" w:hAnsi="Calibri" w:cs="Calibri"/>
          <w:sz w:val="24"/>
          <w:szCs w:val="24"/>
        </w:rPr>
        <w:t>Discussions could focus on the following issues: What progress has been made in implementing the recommendations of the 2019 workshop? What were the challenges and implementation gaps? What are the key lessons learnt? What joint activities/initiatives have RHRMs, and the UN conducted recently?</w:t>
      </w:r>
      <w:r w:rsidRPr="00C573CF">
        <w:rPr>
          <w:rFonts w:ascii="Calibri" w:eastAsia="Calibri" w:hAnsi="Calibri" w:cs="Calibri"/>
          <w:color w:val="FF0000"/>
          <w:sz w:val="24"/>
          <w:szCs w:val="24"/>
        </w:rPr>
        <w:t xml:space="preserve"> </w:t>
      </w:r>
    </w:p>
    <w:p w14:paraId="17963824" w14:textId="77777777" w:rsidR="00695993" w:rsidRDefault="00695993" w:rsidP="00695993">
      <w:pPr>
        <w:pStyle w:val="ListParagraph"/>
        <w:spacing w:after="0" w:line="276" w:lineRule="auto"/>
        <w:ind w:left="567"/>
        <w:jc w:val="both"/>
        <w:rPr>
          <w:rFonts w:ascii="Calibri" w:eastAsia="Calibri" w:hAnsi="Calibri" w:cs="Arial"/>
          <w:bCs/>
          <w:sz w:val="24"/>
          <w:szCs w:val="24"/>
          <w:lang w:val="en"/>
        </w:rPr>
      </w:pPr>
    </w:p>
    <w:p w14:paraId="09FFBE11" w14:textId="6A0EAF61" w:rsidR="00984F5A" w:rsidRPr="00A3602A" w:rsidRDefault="00554559" w:rsidP="00A3602A">
      <w:pPr>
        <w:pStyle w:val="ListParagraph"/>
        <w:numPr>
          <w:ilvl w:val="3"/>
          <w:numId w:val="9"/>
        </w:numPr>
        <w:spacing w:after="0" w:line="276" w:lineRule="auto"/>
        <w:ind w:left="567" w:hanging="567"/>
        <w:jc w:val="both"/>
        <w:rPr>
          <w:rFonts w:ascii="Calibri" w:eastAsia="Calibri" w:hAnsi="Calibri" w:cs="Calibri"/>
          <w:b/>
          <w:bCs/>
          <w:sz w:val="24"/>
          <w:szCs w:val="24"/>
          <w:lang w:val="en"/>
        </w:rPr>
      </w:pPr>
      <w:r w:rsidRPr="00A3602A">
        <w:rPr>
          <w:rFonts w:ascii="Calibri" w:eastAsia="Calibri" w:hAnsi="Calibri" w:cs="Calibri"/>
          <w:b/>
          <w:bCs/>
          <w:sz w:val="24"/>
          <w:szCs w:val="24"/>
          <w:lang w:val="en"/>
        </w:rPr>
        <w:t xml:space="preserve">Guiding </w:t>
      </w:r>
      <w:r w:rsidR="00151BF7">
        <w:rPr>
          <w:rFonts w:ascii="Calibri" w:eastAsia="Calibri" w:hAnsi="Calibri" w:cs="Calibri"/>
          <w:b/>
          <w:bCs/>
          <w:sz w:val="24"/>
          <w:szCs w:val="24"/>
          <w:lang w:val="en"/>
        </w:rPr>
        <w:t>p</w:t>
      </w:r>
      <w:r w:rsidRPr="00A3602A">
        <w:rPr>
          <w:rFonts w:ascii="Calibri" w:eastAsia="Calibri" w:hAnsi="Calibri" w:cs="Calibri"/>
          <w:b/>
          <w:bCs/>
          <w:sz w:val="24"/>
          <w:szCs w:val="24"/>
          <w:lang w:val="en"/>
        </w:rPr>
        <w:t xml:space="preserve">rinciples on </w:t>
      </w:r>
      <w:r w:rsidR="00151BF7">
        <w:rPr>
          <w:rFonts w:ascii="Calibri" w:eastAsia="Calibri" w:hAnsi="Calibri" w:cs="Calibri"/>
          <w:b/>
          <w:bCs/>
          <w:sz w:val="24"/>
          <w:szCs w:val="24"/>
          <w:lang w:val="en"/>
        </w:rPr>
        <w:t>b</w:t>
      </w:r>
      <w:r w:rsidRPr="00A3602A">
        <w:rPr>
          <w:rFonts w:ascii="Calibri" w:eastAsia="Calibri" w:hAnsi="Calibri" w:cs="Calibri"/>
          <w:b/>
          <w:bCs/>
          <w:sz w:val="24"/>
          <w:szCs w:val="24"/>
          <w:lang w:val="en"/>
        </w:rPr>
        <w:t xml:space="preserve">usiness and </w:t>
      </w:r>
      <w:r w:rsidR="00151BF7">
        <w:rPr>
          <w:rFonts w:ascii="Calibri" w:eastAsia="Calibri" w:hAnsi="Calibri" w:cs="Calibri"/>
          <w:b/>
          <w:bCs/>
          <w:sz w:val="24"/>
          <w:szCs w:val="24"/>
          <w:lang w:val="en"/>
        </w:rPr>
        <w:t>h</w:t>
      </w:r>
      <w:r w:rsidRPr="00A3602A">
        <w:rPr>
          <w:rFonts w:ascii="Calibri" w:eastAsia="Calibri" w:hAnsi="Calibri" w:cs="Calibri"/>
          <w:b/>
          <w:bCs/>
          <w:sz w:val="24"/>
          <w:szCs w:val="24"/>
          <w:lang w:val="en"/>
        </w:rPr>
        <w:t xml:space="preserve">uman </w:t>
      </w:r>
      <w:r w:rsidR="00151BF7">
        <w:rPr>
          <w:rFonts w:ascii="Calibri" w:eastAsia="Calibri" w:hAnsi="Calibri" w:cs="Calibri"/>
          <w:b/>
          <w:bCs/>
          <w:sz w:val="24"/>
          <w:szCs w:val="24"/>
          <w:lang w:val="en"/>
        </w:rPr>
        <w:t>r</w:t>
      </w:r>
      <w:r w:rsidRPr="00A3602A">
        <w:rPr>
          <w:rFonts w:ascii="Calibri" w:eastAsia="Calibri" w:hAnsi="Calibri" w:cs="Calibri"/>
          <w:b/>
          <w:bCs/>
          <w:sz w:val="24"/>
          <w:szCs w:val="24"/>
          <w:lang w:val="en"/>
        </w:rPr>
        <w:t xml:space="preserve">ights: </w:t>
      </w:r>
      <w:r w:rsidR="00151BF7">
        <w:rPr>
          <w:rFonts w:ascii="Calibri" w:eastAsia="Calibri" w:hAnsi="Calibri" w:cs="Calibri"/>
          <w:b/>
          <w:bCs/>
          <w:sz w:val="24"/>
          <w:szCs w:val="24"/>
          <w:lang w:val="en"/>
        </w:rPr>
        <w:t>l</w:t>
      </w:r>
      <w:r w:rsidR="005207B1" w:rsidRPr="00A3602A">
        <w:rPr>
          <w:rFonts w:ascii="Calibri" w:eastAsia="Calibri" w:hAnsi="Calibri" w:cs="Calibri"/>
          <w:b/>
          <w:bCs/>
          <w:sz w:val="24"/>
          <w:szCs w:val="24"/>
          <w:lang w:val="en"/>
        </w:rPr>
        <w:t>essons learnt, best practices</w:t>
      </w:r>
      <w:r w:rsidR="00AE1F6A">
        <w:rPr>
          <w:rFonts w:ascii="Calibri" w:eastAsia="Calibri" w:hAnsi="Calibri" w:cs="Calibri"/>
          <w:b/>
          <w:bCs/>
          <w:sz w:val="24"/>
          <w:szCs w:val="24"/>
          <w:lang w:val="en"/>
        </w:rPr>
        <w:t>, challenges and implementation gaps</w:t>
      </w:r>
      <w:r w:rsidRPr="00A3602A">
        <w:rPr>
          <w:rFonts w:ascii="Calibri" w:eastAsia="Calibri" w:hAnsi="Calibri" w:cs="Calibri"/>
          <w:b/>
          <w:bCs/>
          <w:sz w:val="24"/>
          <w:szCs w:val="24"/>
          <w:lang w:val="en"/>
        </w:rPr>
        <w:t>.</w:t>
      </w:r>
      <w:r w:rsidR="00A3602A">
        <w:rPr>
          <w:rFonts w:ascii="Calibri" w:eastAsia="Calibri" w:hAnsi="Calibri" w:cs="Calibri"/>
          <w:b/>
          <w:bCs/>
          <w:sz w:val="24"/>
          <w:szCs w:val="24"/>
          <w:lang w:val="en"/>
        </w:rPr>
        <w:t xml:space="preserve"> </w:t>
      </w:r>
      <w:r w:rsidR="00724EC6" w:rsidRPr="00A3602A">
        <w:rPr>
          <w:rFonts w:ascii="Calibri" w:eastAsia="Calibri" w:hAnsi="Calibri" w:cs="Calibri"/>
          <w:sz w:val="24"/>
          <w:szCs w:val="24"/>
          <w:lang w:val="en"/>
        </w:rPr>
        <w:t xml:space="preserve">The Panel will take stock </w:t>
      </w:r>
      <w:r w:rsidR="00A3602A" w:rsidRPr="00A3602A">
        <w:rPr>
          <w:rFonts w:ascii="Calibri" w:eastAsia="Calibri" w:hAnsi="Calibri" w:cs="Calibri"/>
          <w:sz w:val="24"/>
          <w:szCs w:val="24"/>
          <w:lang w:val="en"/>
        </w:rPr>
        <w:t xml:space="preserve">of </w:t>
      </w:r>
      <w:r w:rsidR="00A3602A" w:rsidRPr="00A3602A">
        <w:rPr>
          <w:rFonts w:ascii="Calibri" w:eastAsia="Calibri" w:hAnsi="Calibri" w:cs="Arial"/>
          <w:bCs/>
          <w:sz w:val="24"/>
          <w:szCs w:val="24"/>
          <w:lang w:val="en"/>
        </w:rPr>
        <w:t>implementation</w:t>
      </w:r>
      <w:r w:rsidR="00724EC6" w:rsidRPr="00A3602A">
        <w:rPr>
          <w:rFonts w:ascii="Calibri" w:eastAsia="Calibri" w:hAnsi="Calibri" w:cs="Arial"/>
          <w:bCs/>
          <w:sz w:val="24"/>
          <w:szCs w:val="24"/>
          <w:lang w:val="en"/>
        </w:rPr>
        <w:t xml:space="preserve"> </w:t>
      </w:r>
      <w:r w:rsidR="00A3602A" w:rsidRPr="00A3602A">
        <w:rPr>
          <w:rFonts w:ascii="Calibri" w:eastAsia="Calibri" w:hAnsi="Calibri" w:cs="Arial"/>
          <w:bCs/>
          <w:sz w:val="24"/>
          <w:szCs w:val="24"/>
          <w:lang w:val="en"/>
        </w:rPr>
        <w:t>of international</w:t>
      </w:r>
      <w:r w:rsidR="00F85888" w:rsidRPr="00A3602A">
        <w:rPr>
          <w:rFonts w:ascii="Calibri" w:eastAsia="Calibri" w:hAnsi="Calibri" w:cs="Arial"/>
          <w:bCs/>
          <w:sz w:val="24"/>
          <w:szCs w:val="24"/>
          <w:lang w:val="en"/>
        </w:rPr>
        <w:t xml:space="preserve"> and regional normative frameworks, mechanisms, and strategies for promotion and protection of human rights in relation to business enterprises and how United Nations and regional human rights mechanisms </w:t>
      </w:r>
      <w:r w:rsidR="00F9755A" w:rsidRPr="00A3602A">
        <w:rPr>
          <w:rFonts w:ascii="Calibri" w:eastAsia="Calibri" w:hAnsi="Calibri" w:cs="Arial"/>
          <w:bCs/>
          <w:sz w:val="24"/>
          <w:szCs w:val="24"/>
          <w:lang w:val="en"/>
        </w:rPr>
        <w:t>cooperate</w:t>
      </w:r>
      <w:r w:rsidR="00F9755A" w:rsidRPr="00A3602A">
        <w:rPr>
          <w:rFonts w:ascii="Calibri" w:eastAsia="Calibri" w:hAnsi="Calibri" w:cs="Arial"/>
          <w:sz w:val="24"/>
          <w:szCs w:val="24"/>
          <w:lang w:val="en"/>
        </w:rPr>
        <w:t xml:space="preserve"> to</w:t>
      </w:r>
      <w:r w:rsidR="00F85888" w:rsidRPr="00A3602A">
        <w:rPr>
          <w:rFonts w:ascii="Calibri" w:eastAsia="Calibri" w:hAnsi="Calibri" w:cs="Arial"/>
          <w:sz w:val="24"/>
          <w:szCs w:val="24"/>
          <w:lang w:val="en"/>
        </w:rPr>
        <w:t xml:space="preserve"> prevent, mitigate, and remediate adverse human rights impacts involving business enterprises</w:t>
      </w:r>
      <w:r w:rsidR="00BF4550">
        <w:rPr>
          <w:rFonts w:ascii="Calibri" w:eastAsia="Calibri" w:hAnsi="Calibri" w:cs="Arial"/>
          <w:sz w:val="24"/>
          <w:szCs w:val="24"/>
          <w:lang w:val="en"/>
        </w:rPr>
        <w:t xml:space="preserve"> especially </w:t>
      </w:r>
      <w:r w:rsidR="00BF4550" w:rsidRPr="00BF4550">
        <w:rPr>
          <w:rFonts w:ascii="Calibri" w:eastAsia="Calibri" w:hAnsi="Calibri" w:cs="Arial"/>
          <w:sz w:val="24"/>
          <w:szCs w:val="24"/>
        </w:rPr>
        <w:t>on the f</w:t>
      </w:r>
      <w:r w:rsidR="00BF4550">
        <w:rPr>
          <w:rFonts w:ascii="Calibri" w:eastAsia="Calibri" w:hAnsi="Calibri" w:cs="Arial"/>
          <w:sz w:val="24"/>
          <w:szCs w:val="24"/>
        </w:rPr>
        <w:t>ace of challenges posed by COVID-</w:t>
      </w:r>
      <w:r w:rsidR="00BF4550" w:rsidRPr="00BF4550">
        <w:rPr>
          <w:rFonts w:ascii="Calibri" w:eastAsia="Calibri" w:hAnsi="Calibri" w:cs="Arial"/>
          <w:sz w:val="24"/>
          <w:szCs w:val="24"/>
        </w:rPr>
        <w:t xml:space="preserve"> 19 Pandemic and the urgency of building back better</w:t>
      </w:r>
      <w:r w:rsidR="00F85888" w:rsidRPr="00A3602A">
        <w:rPr>
          <w:rFonts w:ascii="Calibri" w:eastAsia="Calibri" w:hAnsi="Calibri" w:cs="Arial"/>
          <w:sz w:val="24"/>
          <w:szCs w:val="24"/>
          <w:lang w:val="en"/>
        </w:rPr>
        <w:t>. Participants will elaborate on the normative</w:t>
      </w:r>
      <w:r w:rsidR="008A5503" w:rsidRPr="00A3602A">
        <w:rPr>
          <w:rFonts w:ascii="Calibri" w:eastAsia="Calibri" w:hAnsi="Calibri" w:cs="Arial"/>
          <w:sz w:val="24"/>
          <w:szCs w:val="24"/>
          <w:lang w:val="en"/>
        </w:rPr>
        <w:t xml:space="preserve"> and policy</w:t>
      </w:r>
      <w:r w:rsidR="00F85888" w:rsidRPr="00A3602A">
        <w:rPr>
          <w:rFonts w:ascii="Calibri" w:eastAsia="Calibri" w:hAnsi="Calibri" w:cs="Arial"/>
          <w:sz w:val="24"/>
          <w:szCs w:val="24"/>
          <w:lang w:val="en"/>
        </w:rPr>
        <w:t xml:space="preserve"> framework</w:t>
      </w:r>
      <w:r w:rsidR="008A5503" w:rsidRPr="00A3602A">
        <w:rPr>
          <w:rFonts w:ascii="Calibri" w:eastAsia="Calibri" w:hAnsi="Calibri" w:cs="Arial"/>
          <w:sz w:val="24"/>
          <w:szCs w:val="24"/>
          <w:lang w:val="en"/>
        </w:rPr>
        <w:t>s</w:t>
      </w:r>
      <w:r w:rsidR="00F85888" w:rsidRPr="00A3602A">
        <w:rPr>
          <w:rFonts w:ascii="Calibri" w:eastAsia="Calibri" w:hAnsi="Calibri" w:cs="Arial"/>
          <w:sz w:val="24"/>
          <w:szCs w:val="24"/>
          <w:lang w:val="en"/>
        </w:rPr>
        <w:t>;</w:t>
      </w:r>
      <w:r w:rsidR="00724EC6" w:rsidRPr="00A3602A">
        <w:rPr>
          <w:rFonts w:ascii="Calibri" w:eastAsia="Calibri" w:hAnsi="Calibri" w:cs="Arial"/>
          <w:sz w:val="24"/>
          <w:szCs w:val="24"/>
          <w:lang w:val="en"/>
        </w:rPr>
        <w:t xml:space="preserve"> role of</w:t>
      </w:r>
      <w:r w:rsidR="00F85888" w:rsidRPr="00A3602A">
        <w:rPr>
          <w:rFonts w:ascii="Calibri" w:eastAsia="Calibri" w:hAnsi="Calibri" w:cs="Arial"/>
          <w:sz w:val="24"/>
          <w:szCs w:val="24"/>
          <w:lang w:val="en"/>
        </w:rPr>
        <w:t xml:space="preserve"> established mechanisms such as the special procedures and universal periodic review mechanisms of the H</w:t>
      </w:r>
      <w:r w:rsidR="00834181">
        <w:rPr>
          <w:rFonts w:ascii="Calibri" w:eastAsia="Calibri" w:hAnsi="Calibri" w:cs="Arial"/>
          <w:sz w:val="24"/>
          <w:szCs w:val="24"/>
          <w:lang w:val="en"/>
        </w:rPr>
        <w:t>RC</w:t>
      </w:r>
      <w:r w:rsidR="00F85888" w:rsidRPr="00A3602A">
        <w:rPr>
          <w:rFonts w:ascii="Calibri" w:eastAsia="Calibri" w:hAnsi="Calibri" w:cs="Arial"/>
          <w:sz w:val="24"/>
          <w:szCs w:val="24"/>
          <w:lang w:val="en"/>
        </w:rPr>
        <w:t xml:space="preserve">; trends such as </w:t>
      </w:r>
      <w:r w:rsidR="00A8473E">
        <w:rPr>
          <w:rFonts w:ascii="Calibri" w:eastAsia="Calibri" w:hAnsi="Calibri" w:cs="Arial"/>
          <w:sz w:val="24"/>
          <w:szCs w:val="24"/>
          <w:lang w:val="en"/>
        </w:rPr>
        <w:t xml:space="preserve">the </w:t>
      </w:r>
      <w:r w:rsidR="00032CFC">
        <w:rPr>
          <w:rFonts w:ascii="Calibri" w:eastAsia="Calibri" w:hAnsi="Calibri" w:cs="Arial"/>
          <w:sz w:val="24"/>
          <w:szCs w:val="24"/>
          <w:lang w:val="en"/>
        </w:rPr>
        <w:t xml:space="preserve">move towards </w:t>
      </w:r>
      <w:r w:rsidR="00F85888" w:rsidRPr="00A3602A">
        <w:rPr>
          <w:rFonts w:ascii="Calibri" w:eastAsia="Calibri" w:hAnsi="Calibri" w:cs="Arial"/>
          <w:sz w:val="24"/>
          <w:szCs w:val="24"/>
          <w:lang w:val="en"/>
        </w:rPr>
        <w:t xml:space="preserve">mandatory human rights due diligence; </w:t>
      </w:r>
      <w:r w:rsidR="005C10EB">
        <w:rPr>
          <w:rFonts w:ascii="Calibri" w:eastAsia="Calibri" w:hAnsi="Calibri" w:cs="Arial"/>
          <w:sz w:val="24"/>
          <w:szCs w:val="24"/>
          <w:lang w:val="en"/>
        </w:rPr>
        <w:t xml:space="preserve">ongoing negotiation  in the </w:t>
      </w:r>
      <w:hyperlink r:id="rId10" w:history="1">
        <w:r w:rsidR="005C10EB" w:rsidRPr="0046499A">
          <w:rPr>
            <w:rStyle w:val="Hyperlink"/>
            <w:rFonts w:ascii="Calibri" w:eastAsia="Calibri" w:hAnsi="Calibri" w:cs="Arial"/>
            <w:color w:val="auto"/>
            <w:sz w:val="24"/>
            <w:szCs w:val="24"/>
            <w:u w:val="none"/>
            <w:lang w:val="en"/>
          </w:rPr>
          <w:t>intergovernmental working group established by the Human Rights Council to elaborate a legally binding instrument on business and human</w:t>
        </w:r>
        <w:r w:rsidR="00AC62F0" w:rsidRPr="0046499A">
          <w:rPr>
            <w:rStyle w:val="Hyperlink"/>
            <w:rFonts w:ascii="Calibri" w:eastAsia="Calibri" w:hAnsi="Calibri" w:cs="Arial"/>
            <w:color w:val="auto"/>
            <w:sz w:val="24"/>
            <w:szCs w:val="24"/>
            <w:u w:val="none"/>
            <w:lang w:val="en"/>
          </w:rPr>
          <w:t xml:space="preserve"> </w:t>
        </w:r>
        <w:r w:rsidR="005C10EB" w:rsidRPr="0046499A">
          <w:rPr>
            <w:rStyle w:val="Hyperlink"/>
            <w:rFonts w:ascii="Calibri" w:eastAsia="Calibri" w:hAnsi="Calibri" w:cs="Arial"/>
            <w:color w:val="auto"/>
            <w:sz w:val="24"/>
            <w:szCs w:val="24"/>
            <w:u w:val="none"/>
            <w:lang w:val="en"/>
          </w:rPr>
          <w:t>rights</w:t>
        </w:r>
      </w:hyperlink>
      <w:r w:rsidR="003615A4">
        <w:rPr>
          <w:rStyle w:val="FootnoteReference"/>
          <w:rFonts w:ascii="Calibri" w:eastAsia="Calibri" w:hAnsi="Calibri" w:cs="Arial"/>
          <w:sz w:val="24"/>
          <w:szCs w:val="24"/>
          <w:lang w:val="en"/>
        </w:rPr>
        <w:footnoteReference w:id="5"/>
      </w:r>
      <w:r w:rsidR="005C10EB">
        <w:rPr>
          <w:rFonts w:ascii="Calibri" w:eastAsia="Calibri" w:hAnsi="Calibri" w:cs="Arial"/>
          <w:sz w:val="24"/>
          <w:szCs w:val="24"/>
          <w:lang w:val="en"/>
        </w:rPr>
        <w:t xml:space="preserve">, </w:t>
      </w:r>
      <w:r w:rsidR="00F85888" w:rsidRPr="00A3602A">
        <w:rPr>
          <w:rFonts w:ascii="Calibri" w:eastAsia="Calibri" w:hAnsi="Calibri" w:cs="Arial"/>
          <w:sz w:val="24"/>
          <w:szCs w:val="24"/>
          <w:lang w:val="en"/>
        </w:rPr>
        <w:t>and existing formal relationships between the UN and regional mechanisms, such as established platforms for regular consultations. Participants will also share strategies to engage with business enterprises and other stakeholders.</w:t>
      </w:r>
    </w:p>
    <w:p w14:paraId="4601BF23" w14:textId="4C0E8BBD" w:rsidR="00984F5A" w:rsidRPr="00A3602A" w:rsidRDefault="00984F5A" w:rsidP="00A3602A">
      <w:pPr>
        <w:spacing w:after="0" w:line="276" w:lineRule="auto"/>
        <w:jc w:val="both"/>
        <w:rPr>
          <w:rFonts w:ascii="Calibri" w:eastAsia="Calibri" w:hAnsi="Calibri" w:cs="Calibri"/>
          <w:color w:val="FF0000"/>
          <w:sz w:val="24"/>
          <w:szCs w:val="24"/>
          <w:lang w:val="en"/>
        </w:rPr>
      </w:pPr>
    </w:p>
    <w:p w14:paraId="09E34D52" w14:textId="421C9B89" w:rsidR="00732902" w:rsidRPr="00A3602A" w:rsidRDefault="00151BF7" w:rsidP="00A3602A">
      <w:pPr>
        <w:pStyle w:val="ListParagraph"/>
        <w:numPr>
          <w:ilvl w:val="3"/>
          <w:numId w:val="9"/>
        </w:numPr>
        <w:spacing w:after="0" w:line="276" w:lineRule="auto"/>
        <w:ind w:left="567" w:hanging="567"/>
        <w:jc w:val="both"/>
        <w:rPr>
          <w:rFonts w:ascii="Calibri" w:hAnsi="Calibri" w:cs="Calibri"/>
          <w:spacing w:val="4"/>
          <w:sz w:val="24"/>
          <w:szCs w:val="24"/>
        </w:rPr>
      </w:pPr>
      <w:r>
        <w:rPr>
          <w:rFonts w:ascii="Calibri" w:eastAsia="Calibri" w:hAnsi="Calibri" w:cs="Calibri"/>
          <w:b/>
          <w:bCs/>
          <w:sz w:val="24"/>
          <w:szCs w:val="24"/>
        </w:rPr>
        <w:lastRenderedPageBreak/>
        <w:t>The role of regional human rights mechanisms in contributing to accountability and remedy for business related human rights</w:t>
      </w:r>
      <w:r w:rsidR="006F72E7">
        <w:rPr>
          <w:rFonts w:ascii="Calibri" w:eastAsia="Calibri" w:hAnsi="Calibri" w:cs="Calibri"/>
          <w:b/>
          <w:bCs/>
          <w:sz w:val="24"/>
          <w:szCs w:val="24"/>
        </w:rPr>
        <w:t xml:space="preserve"> abuse</w:t>
      </w:r>
      <w:r w:rsidR="00DD67A0">
        <w:rPr>
          <w:rFonts w:ascii="Calibri" w:eastAsia="Calibri" w:hAnsi="Calibri" w:cs="Calibri"/>
          <w:b/>
          <w:bCs/>
          <w:sz w:val="24"/>
          <w:szCs w:val="24"/>
        </w:rPr>
        <w:t>s</w:t>
      </w:r>
      <w:r w:rsidR="00A3602A" w:rsidRPr="00A3602A">
        <w:rPr>
          <w:rFonts w:ascii="Calibri" w:eastAsia="Calibri" w:hAnsi="Calibri" w:cs="Calibri"/>
          <w:b/>
          <w:bCs/>
          <w:sz w:val="24"/>
          <w:szCs w:val="24"/>
        </w:rPr>
        <w:t xml:space="preserve">. </w:t>
      </w:r>
      <w:r w:rsidR="0092626B" w:rsidRPr="00A3602A">
        <w:rPr>
          <w:rFonts w:ascii="Calibri" w:hAnsi="Calibri" w:cs="Calibri"/>
          <w:spacing w:val="4"/>
          <w:sz w:val="24"/>
          <w:szCs w:val="24"/>
        </w:rPr>
        <w:t>The right to remedy is a core tenet of the international human rights system, and the need for victims to have access to effective remedy is also recognized in the</w:t>
      </w:r>
      <w:r w:rsidR="00757CD0" w:rsidRPr="00A3602A">
        <w:rPr>
          <w:rFonts w:ascii="Calibri" w:hAnsi="Calibri" w:cs="Calibri"/>
          <w:spacing w:val="4"/>
          <w:sz w:val="24"/>
          <w:szCs w:val="24"/>
        </w:rPr>
        <w:t xml:space="preserve"> UNGPs</w:t>
      </w:r>
      <w:r w:rsidR="00B06484" w:rsidRPr="00A3602A">
        <w:rPr>
          <w:rFonts w:ascii="Calibri" w:hAnsi="Calibri" w:cs="Calibri"/>
          <w:spacing w:val="4"/>
          <w:sz w:val="24"/>
          <w:szCs w:val="24"/>
        </w:rPr>
        <w:t xml:space="preserve">. </w:t>
      </w:r>
      <w:r w:rsidR="00FF5BFE" w:rsidRPr="00A3602A">
        <w:rPr>
          <w:rFonts w:ascii="Calibri" w:hAnsi="Calibri" w:cs="Calibri"/>
          <w:spacing w:val="4"/>
          <w:sz w:val="24"/>
          <w:szCs w:val="24"/>
        </w:rPr>
        <w:t>A range of different remedial mechanisms can be relevant to address business-related human rights abuse</w:t>
      </w:r>
      <w:r w:rsidR="00FA2933" w:rsidRPr="00A3602A">
        <w:rPr>
          <w:rFonts w:ascii="Calibri" w:hAnsi="Calibri" w:cs="Calibri"/>
          <w:spacing w:val="4"/>
          <w:sz w:val="24"/>
          <w:szCs w:val="24"/>
        </w:rPr>
        <w:t xml:space="preserve">, and </w:t>
      </w:r>
      <w:r w:rsidR="00BF4550" w:rsidRPr="00750FFE">
        <w:rPr>
          <w:rFonts w:ascii="Calibri" w:hAnsi="Calibri" w:cs="Calibri"/>
          <w:spacing w:val="4"/>
          <w:sz w:val="24"/>
          <w:szCs w:val="24"/>
        </w:rPr>
        <w:t>OHCHR’s Accountability and Remedy Project</w:t>
      </w:r>
      <w:r w:rsidR="00AE6A38">
        <w:rPr>
          <w:rStyle w:val="FootnoteReference"/>
          <w:rFonts w:ascii="Calibri" w:hAnsi="Calibri" w:cs="Calibri"/>
          <w:spacing w:val="4"/>
          <w:sz w:val="24"/>
          <w:szCs w:val="24"/>
        </w:rPr>
        <w:footnoteReference w:id="6"/>
      </w:r>
      <w:r w:rsidR="00FA2933" w:rsidRPr="00A3602A">
        <w:rPr>
          <w:rFonts w:ascii="Calibri" w:hAnsi="Calibri" w:cs="Calibri"/>
          <w:spacing w:val="4"/>
          <w:sz w:val="24"/>
          <w:szCs w:val="24"/>
        </w:rPr>
        <w:t xml:space="preserve"> has unpacked the ways in which such mechanisms, individually and collectively, can make a positive contribution to remedying such abuse</w:t>
      </w:r>
      <w:r w:rsidR="00FF5BFE" w:rsidRPr="00A3602A">
        <w:rPr>
          <w:rFonts w:ascii="Calibri" w:hAnsi="Calibri" w:cs="Calibri"/>
          <w:spacing w:val="4"/>
          <w:sz w:val="24"/>
          <w:szCs w:val="24"/>
        </w:rPr>
        <w:t xml:space="preserve">. The Guiding Principles </w:t>
      </w:r>
      <w:r w:rsidR="002C64B9" w:rsidRPr="00A3602A">
        <w:rPr>
          <w:rFonts w:ascii="Calibri" w:hAnsi="Calibri" w:cs="Calibri"/>
          <w:spacing w:val="4"/>
          <w:sz w:val="24"/>
          <w:szCs w:val="24"/>
        </w:rPr>
        <w:t xml:space="preserve">recognize the role of regional and international human rights bodies </w:t>
      </w:r>
      <w:r w:rsidR="00FA2933" w:rsidRPr="00A3602A">
        <w:rPr>
          <w:rFonts w:ascii="Calibri" w:hAnsi="Calibri" w:cs="Calibri"/>
          <w:spacing w:val="4"/>
          <w:sz w:val="24"/>
          <w:szCs w:val="24"/>
        </w:rPr>
        <w:t>in access to remedy</w:t>
      </w:r>
      <w:r w:rsidR="002C64B9" w:rsidRPr="00A3602A">
        <w:rPr>
          <w:rFonts w:ascii="Calibri" w:hAnsi="Calibri" w:cs="Calibri"/>
          <w:spacing w:val="4"/>
          <w:sz w:val="24"/>
          <w:szCs w:val="24"/>
        </w:rPr>
        <w:t>, noting how some have “dealt with the failure of a State to meet its duty to protect against human rights abuse by business enterprises” (UNGP 28, Commentary). Since the release of the Guiding Principles in 2011, there have been many developments regarding the roles of regional human rights mechanisms in contributing to remedy in business and human rights cases. This session will explore developments in this area</w:t>
      </w:r>
      <w:r w:rsidR="00732902" w:rsidRPr="00A3602A">
        <w:rPr>
          <w:rFonts w:ascii="Calibri" w:hAnsi="Calibri" w:cs="Calibri"/>
          <w:spacing w:val="4"/>
          <w:sz w:val="24"/>
          <w:szCs w:val="24"/>
        </w:rPr>
        <w:t>, specifically regarding:</w:t>
      </w:r>
    </w:p>
    <w:p w14:paraId="5DBD480D" w14:textId="78F3A580" w:rsidR="00732902" w:rsidRPr="00A3602A" w:rsidRDefault="00732902" w:rsidP="00A3602A">
      <w:pPr>
        <w:pStyle w:val="ListParagraph"/>
        <w:numPr>
          <w:ilvl w:val="0"/>
          <w:numId w:val="16"/>
        </w:numPr>
        <w:spacing w:after="0" w:line="276" w:lineRule="auto"/>
        <w:ind w:left="1134" w:hanging="283"/>
        <w:jc w:val="both"/>
        <w:rPr>
          <w:rFonts w:ascii="Calibri" w:hAnsi="Calibri" w:cs="Calibri"/>
          <w:spacing w:val="4"/>
          <w:sz w:val="24"/>
          <w:szCs w:val="24"/>
        </w:rPr>
      </w:pPr>
      <w:r w:rsidRPr="00A3602A">
        <w:rPr>
          <w:rFonts w:ascii="Calibri" w:hAnsi="Calibri" w:cs="Calibri"/>
          <w:spacing w:val="4"/>
          <w:sz w:val="24"/>
          <w:szCs w:val="24"/>
        </w:rPr>
        <w:t xml:space="preserve">The extent to which regional human rights mechanisms </w:t>
      </w:r>
      <w:r w:rsidR="00FA2933" w:rsidRPr="00A3602A">
        <w:rPr>
          <w:rFonts w:ascii="Calibri" w:hAnsi="Calibri" w:cs="Calibri"/>
          <w:spacing w:val="4"/>
          <w:sz w:val="24"/>
          <w:szCs w:val="24"/>
        </w:rPr>
        <w:t xml:space="preserve">address </w:t>
      </w:r>
      <w:r w:rsidRPr="00A3602A">
        <w:rPr>
          <w:rFonts w:ascii="Calibri" w:hAnsi="Calibri" w:cs="Calibri"/>
          <w:spacing w:val="4"/>
          <w:sz w:val="24"/>
          <w:szCs w:val="24"/>
        </w:rPr>
        <w:t xml:space="preserve">cases involving business and human rights </w:t>
      </w:r>
      <w:r w:rsidR="00202EFE" w:rsidRPr="00A3602A">
        <w:rPr>
          <w:rFonts w:ascii="Calibri" w:hAnsi="Calibri" w:cs="Calibri"/>
          <w:spacing w:val="4"/>
          <w:sz w:val="24"/>
          <w:szCs w:val="24"/>
        </w:rPr>
        <w:t>issues</w:t>
      </w:r>
      <w:r w:rsidR="00202EFE">
        <w:rPr>
          <w:rFonts w:ascii="Calibri" w:hAnsi="Calibri" w:cs="Calibri"/>
          <w:spacing w:val="4"/>
          <w:sz w:val="24"/>
          <w:szCs w:val="24"/>
        </w:rPr>
        <w:t>;</w:t>
      </w:r>
    </w:p>
    <w:p w14:paraId="42139423" w14:textId="48434393" w:rsidR="00732902" w:rsidRPr="00A3602A" w:rsidRDefault="00732902" w:rsidP="00A3602A">
      <w:pPr>
        <w:pStyle w:val="ListParagraph"/>
        <w:numPr>
          <w:ilvl w:val="0"/>
          <w:numId w:val="16"/>
        </w:numPr>
        <w:spacing w:after="0" w:line="276" w:lineRule="auto"/>
        <w:ind w:left="1134" w:hanging="283"/>
        <w:jc w:val="both"/>
        <w:rPr>
          <w:rFonts w:ascii="Calibri" w:hAnsi="Calibri" w:cs="Calibri"/>
          <w:spacing w:val="4"/>
          <w:sz w:val="24"/>
          <w:szCs w:val="24"/>
        </w:rPr>
      </w:pPr>
      <w:r w:rsidRPr="00A3602A">
        <w:rPr>
          <w:rFonts w:ascii="Calibri" w:hAnsi="Calibri" w:cs="Calibri"/>
          <w:spacing w:val="4"/>
          <w:sz w:val="24"/>
          <w:szCs w:val="24"/>
        </w:rPr>
        <w:t>The challenges rights-holders face when seeking remedy for business-related human rights abuse through regional human rights mechanisms;</w:t>
      </w:r>
    </w:p>
    <w:p w14:paraId="0538022B" w14:textId="5222C1D8" w:rsidR="00732902" w:rsidRPr="00A3602A" w:rsidRDefault="00732902" w:rsidP="00A3602A">
      <w:pPr>
        <w:pStyle w:val="ListParagraph"/>
        <w:numPr>
          <w:ilvl w:val="0"/>
          <w:numId w:val="16"/>
        </w:numPr>
        <w:spacing w:after="0" w:line="276" w:lineRule="auto"/>
        <w:ind w:left="1134" w:hanging="283"/>
        <w:jc w:val="both"/>
        <w:rPr>
          <w:rFonts w:ascii="Calibri" w:hAnsi="Calibri" w:cs="Calibri"/>
          <w:spacing w:val="4"/>
          <w:sz w:val="24"/>
          <w:szCs w:val="24"/>
        </w:rPr>
      </w:pPr>
      <w:r w:rsidRPr="00A3602A">
        <w:rPr>
          <w:rFonts w:ascii="Calibri" w:hAnsi="Calibri" w:cs="Calibri"/>
          <w:spacing w:val="4"/>
          <w:sz w:val="24"/>
          <w:szCs w:val="24"/>
        </w:rPr>
        <w:t xml:space="preserve">Whether regional human rights mechanisms rely upon or are influenced by the UNGPs in their </w:t>
      </w:r>
      <w:proofErr w:type="gramStart"/>
      <w:r w:rsidR="0014052B" w:rsidRPr="00A3602A">
        <w:rPr>
          <w:rFonts w:ascii="Calibri" w:hAnsi="Calibri" w:cs="Calibri"/>
          <w:spacing w:val="4"/>
          <w:sz w:val="24"/>
          <w:szCs w:val="24"/>
        </w:rPr>
        <w:t>decision-making</w:t>
      </w:r>
      <w:r w:rsidR="0014052B">
        <w:rPr>
          <w:rFonts w:ascii="Calibri" w:hAnsi="Calibri" w:cs="Calibri"/>
          <w:spacing w:val="4"/>
          <w:sz w:val="24"/>
          <w:szCs w:val="24"/>
        </w:rPr>
        <w:t>;</w:t>
      </w:r>
      <w:proofErr w:type="gramEnd"/>
      <w:r w:rsidRPr="00A3602A">
        <w:rPr>
          <w:rFonts w:ascii="Calibri" w:hAnsi="Calibri" w:cs="Calibri"/>
          <w:spacing w:val="4"/>
          <w:sz w:val="24"/>
          <w:szCs w:val="24"/>
        </w:rPr>
        <w:t xml:space="preserve"> </w:t>
      </w:r>
    </w:p>
    <w:p w14:paraId="25D5A1AE" w14:textId="7E2723A2" w:rsidR="00732902" w:rsidRDefault="00732902" w:rsidP="00A3602A">
      <w:pPr>
        <w:pStyle w:val="ListParagraph"/>
        <w:numPr>
          <w:ilvl w:val="0"/>
          <w:numId w:val="16"/>
        </w:numPr>
        <w:spacing w:after="0" w:line="276" w:lineRule="auto"/>
        <w:ind w:left="1134" w:hanging="283"/>
        <w:jc w:val="both"/>
        <w:rPr>
          <w:rFonts w:ascii="Calibri" w:hAnsi="Calibri" w:cs="Calibri"/>
          <w:spacing w:val="4"/>
          <w:sz w:val="24"/>
          <w:szCs w:val="24"/>
        </w:rPr>
      </w:pPr>
      <w:r w:rsidRPr="00A3602A">
        <w:rPr>
          <w:rFonts w:ascii="Calibri" w:hAnsi="Calibri" w:cs="Calibri"/>
          <w:spacing w:val="4"/>
          <w:sz w:val="24"/>
          <w:szCs w:val="24"/>
        </w:rPr>
        <w:t xml:space="preserve">The </w:t>
      </w:r>
      <w:r w:rsidR="00FA2933" w:rsidRPr="00A3602A">
        <w:rPr>
          <w:rFonts w:ascii="Calibri" w:hAnsi="Calibri" w:cs="Calibri"/>
          <w:spacing w:val="4"/>
          <w:sz w:val="24"/>
          <w:szCs w:val="24"/>
        </w:rPr>
        <w:t xml:space="preserve">different ways in which </w:t>
      </w:r>
      <w:r w:rsidRPr="00A3602A">
        <w:rPr>
          <w:rFonts w:ascii="Calibri" w:hAnsi="Calibri" w:cs="Calibri"/>
          <w:spacing w:val="4"/>
          <w:sz w:val="24"/>
          <w:szCs w:val="24"/>
        </w:rPr>
        <w:t xml:space="preserve">regional human rights mechanisms </w:t>
      </w:r>
      <w:r w:rsidR="00FA2933" w:rsidRPr="00A3602A">
        <w:rPr>
          <w:rFonts w:ascii="Calibri" w:hAnsi="Calibri" w:cs="Calibri"/>
          <w:spacing w:val="4"/>
          <w:sz w:val="24"/>
          <w:szCs w:val="24"/>
        </w:rPr>
        <w:t xml:space="preserve">can contribute </w:t>
      </w:r>
      <w:r w:rsidRPr="00A3602A">
        <w:rPr>
          <w:rFonts w:ascii="Calibri" w:hAnsi="Calibri" w:cs="Calibri"/>
          <w:spacing w:val="4"/>
          <w:sz w:val="24"/>
          <w:szCs w:val="24"/>
        </w:rPr>
        <w:t>to accountability and remedy in such cases</w:t>
      </w:r>
      <w:r w:rsidR="0014052B">
        <w:rPr>
          <w:rFonts w:ascii="Calibri" w:hAnsi="Calibri" w:cs="Calibri"/>
          <w:spacing w:val="4"/>
          <w:sz w:val="24"/>
          <w:szCs w:val="24"/>
        </w:rPr>
        <w:t xml:space="preserve"> and</w:t>
      </w:r>
    </w:p>
    <w:p w14:paraId="22AEEA1D" w14:textId="3D55575A" w:rsidR="00151BF7" w:rsidRPr="00A3602A" w:rsidRDefault="00151BF7" w:rsidP="00A3602A">
      <w:pPr>
        <w:pStyle w:val="ListParagraph"/>
        <w:numPr>
          <w:ilvl w:val="0"/>
          <w:numId w:val="16"/>
        </w:numPr>
        <w:spacing w:after="0" w:line="276" w:lineRule="auto"/>
        <w:ind w:left="1134" w:hanging="283"/>
        <w:jc w:val="both"/>
        <w:rPr>
          <w:rFonts w:ascii="Calibri" w:hAnsi="Calibri" w:cs="Calibri"/>
          <w:spacing w:val="4"/>
          <w:sz w:val="24"/>
          <w:szCs w:val="24"/>
        </w:rPr>
      </w:pPr>
      <w:r>
        <w:rPr>
          <w:rFonts w:ascii="Calibri" w:hAnsi="Calibri" w:cs="Calibri"/>
          <w:spacing w:val="4"/>
          <w:sz w:val="24"/>
          <w:szCs w:val="24"/>
        </w:rPr>
        <w:t>Opportunities for</w:t>
      </w:r>
      <w:r w:rsidRPr="00151BF7">
        <w:rPr>
          <w:rFonts w:ascii="Calibri" w:hAnsi="Calibri" w:cs="Calibri"/>
          <w:spacing w:val="4"/>
          <w:sz w:val="24"/>
          <w:szCs w:val="24"/>
        </w:rPr>
        <w:t xml:space="preserve"> enhanced cooperation between the UN, RHRMs and NHRIs in enhancing accountability and access to remedy for business related human rights abuses</w:t>
      </w:r>
    </w:p>
    <w:p w14:paraId="719072C7" w14:textId="25225DEE" w:rsidR="004443F8" w:rsidRPr="00A3602A" w:rsidRDefault="004443F8" w:rsidP="00A3602A">
      <w:pPr>
        <w:pStyle w:val="ListParagraph"/>
        <w:shd w:val="clear" w:color="auto" w:fill="FFFFFF" w:themeFill="background1"/>
        <w:spacing w:after="0" w:line="276" w:lineRule="auto"/>
        <w:ind w:left="0"/>
        <w:jc w:val="both"/>
        <w:rPr>
          <w:rFonts w:ascii="Calibri" w:hAnsi="Calibri" w:cs="Calibri"/>
          <w:b/>
          <w:bCs/>
          <w:spacing w:val="4"/>
          <w:sz w:val="24"/>
          <w:szCs w:val="24"/>
        </w:rPr>
      </w:pPr>
    </w:p>
    <w:p w14:paraId="71C573B3" w14:textId="4BDB5926" w:rsidR="00E61841" w:rsidRPr="0058231B" w:rsidRDefault="009148F5" w:rsidP="00A3602A">
      <w:pPr>
        <w:pStyle w:val="ListParagraph"/>
        <w:numPr>
          <w:ilvl w:val="3"/>
          <w:numId w:val="9"/>
        </w:numPr>
        <w:spacing w:after="0" w:line="276" w:lineRule="auto"/>
        <w:ind w:left="567" w:hanging="567"/>
        <w:jc w:val="both"/>
        <w:rPr>
          <w:rFonts w:ascii="Calibri" w:hAnsi="Calibri" w:cs="Calibri"/>
          <w:bCs/>
          <w:spacing w:val="4"/>
          <w:sz w:val="24"/>
          <w:szCs w:val="24"/>
        </w:rPr>
      </w:pPr>
      <w:r w:rsidRPr="00A3602A">
        <w:rPr>
          <w:rFonts w:ascii="Calibri" w:hAnsi="Calibri" w:cs="Calibri"/>
          <w:b/>
          <w:sz w:val="24"/>
          <w:szCs w:val="24"/>
        </w:rPr>
        <w:t xml:space="preserve">Cooperation to </w:t>
      </w:r>
      <w:r w:rsidR="00327C94" w:rsidRPr="00A3602A">
        <w:rPr>
          <w:rFonts w:ascii="Calibri" w:hAnsi="Calibri" w:cs="Calibri"/>
          <w:b/>
          <w:sz w:val="24"/>
          <w:szCs w:val="24"/>
        </w:rPr>
        <w:t xml:space="preserve">mitigate </w:t>
      </w:r>
      <w:r w:rsidR="009301FA" w:rsidRPr="00A3602A">
        <w:rPr>
          <w:rFonts w:ascii="Calibri" w:hAnsi="Calibri" w:cs="Calibri"/>
          <w:b/>
          <w:sz w:val="24"/>
          <w:szCs w:val="24"/>
        </w:rPr>
        <w:t xml:space="preserve">the </w:t>
      </w:r>
      <w:r w:rsidR="00327C94" w:rsidRPr="00A3602A">
        <w:rPr>
          <w:rFonts w:ascii="Calibri" w:hAnsi="Calibri" w:cs="Calibri"/>
          <w:b/>
          <w:sz w:val="24"/>
          <w:szCs w:val="24"/>
        </w:rPr>
        <w:t xml:space="preserve">negative </w:t>
      </w:r>
      <w:r w:rsidR="00CA1F65">
        <w:rPr>
          <w:rFonts w:ascii="Calibri" w:hAnsi="Calibri" w:cs="Calibri"/>
          <w:b/>
          <w:sz w:val="24"/>
          <w:szCs w:val="24"/>
        </w:rPr>
        <w:t>effects</w:t>
      </w:r>
      <w:r w:rsidR="009301FA" w:rsidRPr="00A3602A">
        <w:rPr>
          <w:rFonts w:ascii="Calibri" w:hAnsi="Calibri" w:cs="Calibri"/>
          <w:b/>
          <w:sz w:val="24"/>
          <w:szCs w:val="24"/>
        </w:rPr>
        <w:t xml:space="preserve"> </w:t>
      </w:r>
      <w:r w:rsidR="003300E3">
        <w:rPr>
          <w:rFonts w:ascii="Calibri" w:hAnsi="Calibri" w:cs="Calibri"/>
          <w:b/>
          <w:sz w:val="24"/>
          <w:szCs w:val="24"/>
        </w:rPr>
        <w:t xml:space="preserve">of adverse human rights impacts by businesses, </w:t>
      </w:r>
      <w:r w:rsidR="009301FA" w:rsidRPr="00A3602A">
        <w:rPr>
          <w:rFonts w:ascii="Calibri" w:hAnsi="Calibri" w:cs="Calibri"/>
          <w:b/>
          <w:sz w:val="24"/>
          <w:szCs w:val="24"/>
        </w:rPr>
        <w:t xml:space="preserve">on </w:t>
      </w:r>
      <w:r w:rsidR="00327C94" w:rsidRPr="00A3602A">
        <w:rPr>
          <w:rFonts w:ascii="Calibri" w:hAnsi="Calibri" w:cs="Calibri"/>
          <w:b/>
          <w:sz w:val="24"/>
          <w:szCs w:val="24"/>
        </w:rPr>
        <w:t>people and communities at heightened risk</w:t>
      </w:r>
      <w:r w:rsidR="00DC2C9E">
        <w:rPr>
          <w:rFonts w:ascii="Calibri" w:hAnsi="Calibri" w:cs="Calibri"/>
          <w:b/>
          <w:sz w:val="24"/>
          <w:szCs w:val="24"/>
        </w:rPr>
        <w:t xml:space="preserve"> such as indigenous people, minorities or, migrants, and to adopt a gender and age sensitive approach</w:t>
      </w:r>
      <w:r w:rsidR="003300E3">
        <w:rPr>
          <w:rFonts w:ascii="Calibri" w:hAnsi="Calibri" w:cs="Calibri"/>
          <w:b/>
          <w:sz w:val="24"/>
          <w:szCs w:val="24"/>
        </w:rPr>
        <w:t>:</w:t>
      </w:r>
      <w:r w:rsidR="00DC2C9E" w:rsidRPr="0058231B">
        <w:rPr>
          <w:rFonts w:ascii="Calibri" w:hAnsi="Calibri" w:cs="Calibri"/>
          <w:bCs/>
          <w:sz w:val="24"/>
          <w:szCs w:val="24"/>
        </w:rPr>
        <w:t xml:space="preserve">  Participants will share information on specific human </w:t>
      </w:r>
      <w:r w:rsidR="0058231B">
        <w:rPr>
          <w:rFonts w:ascii="Calibri" w:hAnsi="Calibri" w:cs="Calibri"/>
          <w:bCs/>
          <w:sz w:val="24"/>
          <w:szCs w:val="24"/>
        </w:rPr>
        <w:t xml:space="preserve">rights </w:t>
      </w:r>
      <w:r w:rsidR="00DC2C9E" w:rsidRPr="0058231B">
        <w:rPr>
          <w:rFonts w:ascii="Calibri" w:hAnsi="Calibri" w:cs="Calibri"/>
          <w:bCs/>
          <w:sz w:val="24"/>
          <w:szCs w:val="24"/>
        </w:rPr>
        <w:t xml:space="preserve">risks and </w:t>
      </w:r>
      <w:r w:rsidR="0085690F" w:rsidRPr="0058231B">
        <w:rPr>
          <w:rFonts w:ascii="Calibri" w:hAnsi="Calibri" w:cs="Calibri"/>
          <w:bCs/>
          <w:sz w:val="24"/>
          <w:szCs w:val="24"/>
        </w:rPr>
        <w:t>business</w:t>
      </w:r>
      <w:r w:rsidR="0085690F">
        <w:rPr>
          <w:rFonts w:ascii="Calibri" w:hAnsi="Calibri" w:cs="Calibri"/>
          <w:bCs/>
          <w:sz w:val="24"/>
          <w:szCs w:val="24"/>
        </w:rPr>
        <w:t>-related</w:t>
      </w:r>
      <w:r w:rsidR="00DC2C9E" w:rsidRPr="0058231B">
        <w:rPr>
          <w:rFonts w:ascii="Calibri" w:hAnsi="Calibri" w:cs="Calibri"/>
          <w:bCs/>
          <w:sz w:val="24"/>
          <w:szCs w:val="24"/>
        </w:rPr>
        <w:t xml:space="preserve"> abuses faced by groups at heightened risk, as well as gender and age specific impacts.  They will also exchange good practices regarding existing legislation, public </w:t>
      </w:r>
      <w:r w:rsidR="00330D8E" w:rsidRPr="0058231B">
        <w:rPr>
          <w:rFonts w:ascii="Calibri" w:hAnsi="Calibri" w:cs="Calibri"/>
          <w:bCs/>
          <w:sz w:val="24"/>
          <w:szCs w:val="24"/>
        </w:rPr>
        <w:t>policies, and programs to promote the agency</w:t>
      </w:r>
      <w:r w:rsidR="003300E3">
        <w:rPr>
          <w:rFonts w:ascii="Calibri" w:hAnsi="Calibri" w:cs="Calibri"/>
          <w:bCs/>
          <w:sz w:val="24"/>
          <w:szCs w:val="24"/>
        </w:rPr>
        <w:t xml:space="preserve"> of these groups</w:t>
      </w:r>
      <w:r w:rsidR="00330D8E" w:rsidRPr="0058231B">
        <w:rPr>
          <w:rFonts w:ascii="Calibri" w:hAnsi="Calibri" w:cs="Calibri"/>
          <w:bCs/>
          <w:sz w:val="24"/>
          <w:szCs w:val="24"/>
        </w:rPr>
        <w:t xml:space="preserve">, implement protection safeguards, and ensure </w:t>
      </w:r>
      <w:r w:rsidR="003300E3">
        <w:rPr>
          <w:rFonts w:ascii="Calibri" w:hAnsi="Calibri" w:cs="Calibri"/>
          <w:bCs/>
          <w:sz w:val="24"/>
          <w:szCs w:val="24"/>
        </w:rPr>
        <w:t xml:space="preserve">that </w:t>
      </w:r>
      <w:r w:rsidR="00330D8E" w:rsidRPr="0058231B">
        <w:rPr>
          <w:rFonts w:ascii="Calibri" w:hAnsi="Calibri" w:cs="Calibri"/>
          <w:bCs/>
          <w:sz w:val="24"/>
          <w:szCs w:val="24"/>
        </w:rPr>
        <w:t xml:space="preserve">their voices, needs and wishes </w:t>
      </w:r>
      <w:r w:rsidR="0085690F" w:rsidRPr="0058231B">
        <w:rPr>
          <w:rFonts w:ascii="Calibri" w:hAnsi="Calibri" w:cs="Calibri"/>
          <w:bCs/>
          <w:sz w:val="24"/>
          <w:szCs w:val="24"/>
        </w:rPr>
        <w:t>would inform</w:t>
      </w:r>
      <w:r w:rsidR="00330D8E" w:rsidRPr="0058231B">
        <w:rPr>
          <w:rFonts w:ascii="Calibri" w:hAnsi="Calibri" w:cs="Calibri"/>
          <w:bCs/>
          <w:sz w:val="24"/>
          <w:szCs w:val="24"/>
        </w:rPr>
        <w:t xml:space="preserve"> all interventions.  In this regard, participants will share initiatives to address the root causes of the challenges they face in society, including pre-existing discrimination, inequality and harmful stereotypes. These interventions include improving the educational level, </w:t>
      </w:r>
      <w:r w:rsidR="0085690F" w:rsidRPr="0058231B">
        <w:rPr>
          <w:rFonts w:ascii="Calibri" w:hAnsi="Calibri" w:cs="Calibri"/>
          <w:bCs/>
          <w:sz w:val="24"/>
          <w:szCs w:val="24"/>
        </w:rPr>
        <w:t>living,</w:t>
      </w:r>
      <w:r w:rsidR="00330D8E" w:rsidRPr="0058231B">
        <w:rPr>
          <w:rFonts w:ascii="Calibri" w:hAnsi="Calibri" w:cs="Calibri"/>
          <w:bCs/>
          <w:sz w:val="24"/>
          <w:szCs w:val="24"/>
        </w:rPr>
        <w:t xml:space="preserve"> and working conditions of these people so that their socio-economic capacity is built up to </w:t>
      </w:r>
      <w:r w:rsidR="00330D8E" w:rsidRPr="0058231B">
        <w:rPr>
          <w:rFonts w:ascii="Calibri" w:hAnsi="Calibri" w:cs="Calibri"/>
          <w:bCs/>
          <w:sz w:val="24"/>
          <w:szCs w:val="24"/>
        </w:rPr>
        <w:lastRenderedPageBreak/>
        <w:t>enable them to assert and claim human rights.</w:t>
      </w:r>
      <w:r w:rsidR="00E61841" w:rsidRPr="0058231B">
        <w:rPr>
          <w:rFonts w:ascii="Calibri" w:hAnsi="Calibri" w:cs="Calibri"/>
          <w:bCs/>
          <w:sz w:val="24"/>
          <w:szCs w:val="24"/>
        </w:rPr>
        <w:t xml:space="preserve"> Participants may discuss specific recommendations to mainstream a gender and age sensitive perspective in all </w:t>
      </w:r>
      <w:r w:rsidR="0058231B" w:rsidRPr="0058231B">
        <w:rPr>
          <w:rFonts w:ascii="Calibri" w:hAnsi="Calibri" w:cs="Calibri"/>
          <w:bCs/>
          <w:sz w:val="24"/>
          <w:szCs w:val="24"/>
        </w:rPr>
        <w:t>interventions and</w:t>
      </w:r>
      <w:r w:rsidR="00E61841" w:rsidRPr="0058231B">
        <w:rPr>
          <w:rFonts w:ascii="Calibri" w:hAnsi="Calibri" w:cs="Calibri"/>
          <w:bCs/>
          <w:sz w:val="24"/>
          <w:szCs w:val="24"/>
        </w:rPr>
        <w:t xml:space="preserve"> promote the agency and protection of groups in a vulnerable situation, such as indigenous people, minorities, migrants, older persons and others who can find themselves in a more vulnerable situation when businesses are involved. </w:t>
      </w:r>
    </w:p>
    <w:p w14:paraId="7CC750AC" w14:textId="77777777" w:rsidR="00A3602A" w:rsidRPr="0058231B" w:rsidRDefault="00A3602A" w:rsidP="00A3602A">
      <w:pPr>
        <w:pStyle w:val="ListParagraph"/>
        <w:spacing w:after="0" w:line="276" w:lineRule="auto"/>
        <w:ind w:left="567"/>
        <w:jc w:val="both"/>
        <w:rPr>
          <w:rFonts w:ascii="Calibri" w:hAnsi="Calibri" w:cs="Calibri"/>
          <w:bCs/>
          <w:sz w:val="24"/>
          <w:szCs w:val="24"/>
        </w:rPr>
      </w:pPr>
    </w:p>
    <w:p w14:paraId="59B9AC1F" w14:textId="6E712246" w:rsidR="009148F5" w:rsidRDefault="009148F5" w:rsidP="00A3602A">
      <w:pPr>
        <w:pStyle w:val="ListParagraph"/>
        <w:spacing w:after="0" w:line="276" w:lineRule="auto"/>
        <w:ind w:left="567"/>
        <w:jc w:val="both"/>
        <w:rPr>
          <w:rFonts w:ascii="Calibri" w:eastAsia="Calibri" w:hAnsi="Calibri" w:cs="Arial"/>
          <w:bCs/>
          <w:sz w:val="24"/>
          <w:szCs w:val="24"/>
          <w:lang w:val="en"/>
        </w:rPr>
      </w:pPr>
      <w:r w:rsidRPr="00A3602A">
        <w:rPr>
          <w:rFonts w:ascii="Calibri" w:eastAsia="Calibri" w:hAnsi="Calibri" w:cs="Arial"/>
          <w:bCs/>
          <w:sz w:val="24"/>
          <w:szCs w:val="24"/>
          <w:lang w:val="en"/>
        </w:rPr>
        <w:t xml:space="preserve">Speakers will identify best practices, challenges, and lessons learned from each </w:t>
      </w:r>
      <w:r w:rsidR="00C9097B" w:rsidRPr="00A3602A">
        <w:rPr>
          <w:rFonts w:ascii="Calibri" w:eastAsia="Calibri" w:hAnsi="Calibri" w:cs="Arial"/>
          <w:bCs/>
          <w:sz w:val="24"/>
          <w:szCs w:val="24"/>
          <w:lang w:val="en"/>
        </w:rPr>
        <w:t>mechanism</w:t>
      </w:r>
      <w:r w:rsidRPr="00A3602A">
        <w:rPr>
          <w:rFonts w:ascii="Calibri" w:eastAsia="Calibri" w:hAnsi="Calibri" w:cs="Arial"/>
          <w:bCs/>
          <w:sz w:val="24"/>
          <w:szCs w:val="24"/>
          <w:lang w:val="en"/>
        </w:rPr>
        <w:t xml:space="preserve"> in relation to specific groups and how cooperation between all mechanisms and organizations could be enhanced</w:t>
      </w:r>
      <w:r w:rsidR="00382C55">
        <w:rPr>
          <w:rFonts w:ascii="Calibri" w:eastAsia="Calibri" w:hAnsi="Calibri" w:cs="Arial"/>
          <w:bCs/>
          <w:sz w:val="24"/>
          <w:szCs w:val="24"/>
          <w:lang w:val="en"/>
        </w:rPr>
        <w:t xml:space="preserve"> and better results achieved</w:t>
      </w:r>
      <w:r w:rsidRPr="00A3602A">
        <w:rPr>
          <w:rFonts w:ascii="Calibri" w:eastAsia="Calibri" w:hAnsi="Calibri" w:cs="Arial"/>
          <w:bCs/>
          <w:sz w:val="24"/>
          <w:szCs w:val="24"/>
          <w:lang w:val="en"/>
        </w:rPr>
        <w:t>.</w:t>
      </w:r>
    </w:p>
    <w:p w14:paraId="0990DA88" w14:textId="77777777" w:rsidR="00641396" w:rsidRPr="00A3602A" w:rsidRDefault="00641396" w:rsidP="00641396">
      <w:pPr>
        <w:pStyle w:val="ListParagraph"/>
        <w:spacing w:after="0" w:line="276" w:lineRule="auto"/>
        <w:ind w:left="0"/>
        <w:jc w:val="both"/>
        <w:rPr>
          <w:rFonts w:ascii="Calibri" w:hAnsi="Calibri" w:cs="Calibri"/>
          <w:sz w:val="24"/>
          <w:szCs w:val="24"/>
        </w:rPr>
      </w:pPr>
    </w:p>
    <w:p w14:paraId="151C489C" w14:textId="77777777" w:rsidR="00641396" w:rsidRPr="00BF4550" w:rsidRDefault="00641396" w:rsidP="00641396">
      <w:pPr>
        <w:pStyle w:val="ListParagraph"/>
        <w:numPr>
          <w:ilvl w:val="3"/>
          <w:numId w:val="9"/>
        </w:numPr>
        <w:spacing w:after="0" w:line="276" w:lineRule="auto"/>
        <w:ind w:left="0" w:hanging="567"/>
        <w:jc w:val="both"/>
        <w:rPr>
          <w:rFonts w:ascii="Calibri" w:hAnsi="Calibri" w:cs="Calibri"/>
          <w:b/>
          <w:bCs/>
          <w:sz w:val="24"/>
          <w:szCs w:val="24"/>
        </w:rPr>
      </w:pPr>
      <w:r w:rsidRPr="00BF4550">
        <w:rPr>
          <w:rFonts w:ascii="Calibri" w:hAnsi="Calibri" w:cs="Calibri"/>
          <w:b/>
          <w:bCs/>
          <w:sz w:val="24"/>
          <w:szCs w:val="24"/>
        </w:rPr>
        <w:t xml:space="preserve">Business and human rights in key areas such as the technology sector and </w:t>
      </w:r>
      <w:r>
        <w:rPr>
          <w:rFonts w:ascii="Calibri" w:hAnsi="Calibri" w:cs="Calibri"/>
          <w:b/>
          <w:bCs/>
          <w:sz w:val="24"/>
          <w:szCs w:val="24"/>
        </w:rPr>
        <w:t>conflict affected regions.</w:t>
      </w:r>
    </w:p>
    <w:p w14:paraId="791A3ACC" w14:textId="2FF1469F" w:rsidR="00641396" w:rsidRPr="00D46B5E" w:rsidRDefault="00641396" w:rsidP="00641396">
      <w:pPr>
        <w:pStyle w:val="ListParagraph"/>
        <w:numPr>
          <w:ilvl w:val="0"/>
          <w:numId w:val="17"/>
        </w:numPr>
        <w:spacing w:after="0" w:line="276" w:lineRule="auto"/>
        <w:ind w:left="1134" w:hanging="567"/>
        <w:jc w:val="both"/>
        <w:rPr>
          <w:rFonts w:ascii="Calibri" w:eastAsia="Calibri" w:hAnsi="Calibri" w:cs="Calibri"/>
          <w:sz w:val="24"/>
          <w:szCs w:val="24"/>
          <w:lang w:val="en"/>
        </w:rPr>
      </w:pPr>
      <w:bookmarkStart w:id="0" w:name="_Hlk108092851"/>
      <w:r w:rsidRPr="00D46B5E">
        <w:rPr>
          <w:rFonts w:ascii="Calibri" w:hAnsi="Calibri" w:cs="Calibri"/>
          <w:b/>
          <w:bCs/>
          <w:sz w:val="24"/>
          <w:szCs w:val="24"/>
        </w:rPr>
        <w:t xml:space="preserve">Technology: </w:t>
      </w:r>
      <w:r w:rsidRPr="00D46B5E">
        <w:rPr>
          <w:rFonts w:ascii="Calibri" w:hAnsi="Calibri" w:cs="Calibri"/>
          <w:sz w:val="24"/>
          <w:szCs w:val="24"/>
        </w:rPr>
        <w:t xml:space="preserve">New digital technologies such as cloud computing, artificial intelligence, facial </w:t>
      </w:r>
      <w:r w:rsidR="000F6D26" w:rsidRPr="00D46B5E">
        <w:rPr>
          <w:rFonts w:ascii="Calibri" w:hAnsi="Calibri" w:cs="Calibri"/>
          <w:sz w:val="24"/>
          <w:szCs w:val="24"/>
        </w:rPr>
        <w:t>recognition,</w:t>
      </w:r>
      <w:r w:rsidRPr="00D46B5E">
        <w:rPr>
          <w:rFonts w:ascii="Calibri" w:hAnsi="Calibri" w:cs="Calibri"/>
          <w:sz w:val="24"/>
          <w:szCs w:val="24"/>
        </w:rPr>
        <w:t xml:space="preserve"> and the Internet of Things have brought along positive changes in the lives of most people on the planet. At the same time, there are also credible reports, including at times from tech companies themselves, about cases of large-scale abuses</w:t>
      </w:r>
      <w:r>
        <w:rPr>
          <w:rFonts w:ascii="Calibri" w:hAnsi="Calibri" w:cs="Calibri"/>
          <w:sz w:val="24"/>
          <w:szCs w:val="24"/>
        </w:rPr>
        <w:t>, including in relation to</w:t>
      </w:r>
      <w:r w:rsidRPr="00D46B5E">
        <w:rPr>
          <w:rFonts w:ascii="Calibri" w:hAnsi="Calibri" w:cs="Calibri"/>
          <w:sz w:val="24"/>
          <w:szCs w:val="24"/>
        </w:rPr>
        <w:t xml:space="preserve"> privacy, exacerbating ethnic conflict and dissemination of hate speech, undermining democratic processes, enhancing State surveillance, putting children at risk, </w:t>
      </w:r>
      <w:r>
        <w:rPr>
          <w:rFonts w:ascii="Calibri" w:hAnsi="Calibri" w:cs="Calibri"/>
          <w:sz w:val="24"/>
          <w:szCs w:val="24"/>
        </w:rPr>
        <w:t xml:space="preserve">and </w:t>
      </w:r>
      <w:r w:rsidRPr="00D46B5E">
        <w:rPr>
          <w:rFonts w:ascii="Calibri" w:hAnsi="Calibri" w:cs="Calibri"/>
          <w:sz w:val="24"/>
          <w:szCs w:val="24"/>
        </w:rPr>
        <w:t xml:space="preserve">online violence against women and LGBTI persons. The presentations and discussions in this session will be informed by the </w:t>
      </w:r>
      <w:r w:rsidRPr="00D46B5E">
        <w:rPr>
          <w:rFonts w:ascii="Calibri" w:hAnsi="Calibri" w:cs="Calibri"/>
          <w:b/>
          <w:bCs/>
          <w:sz w:val="24"/>
          <w:szCs w:val="24"/>
        </w:rPr>
        <w:t xml:space="preserve">OHCHR </w:t>
      </w:r>
      <w:hyperlink r:id="rId11" w:history="1">
        <w:r w:rsidRPr="00D46B5E">
          <w:rPr>
            <w:rStyle w:val="Hyperlink"/>
            <w:rFonts w:ascii="Calibri" w:hAnsi="Calibri" w:cs="Calibri"/>
            <w:sz w:val="24"/>
            <w:szCs w:val="24"/>
          </w:rPr>
          <w:t>B-Tech Project</w:t>
        </w:r>
      </w:hyperlink>
      <w:r w:rsidRPr="00D46B5E">
        <w:rPr>
          <w:rFonts w:ascii="Calibri" w:hAnsi="Calibri" w:cs="Calibri"/>
          <w:sz w:val="24"/>
          <w:szCs w:val="24"/>
        </w:rPr>
        <w:t xml:space="preserve"> which will contribute to addressing the urgent need to find principled and pragmatic ways to prevent and address human rights harms connected with the development of digital technologies and their use by corporate, government and non-governmental actors, including individual users. The </w:t>
      </w:r>
      <w:r>
        <w:rPr>
          <w:rFonts w:ascii="Calibri" w:hAnsi="Calibri" w:cs="Calibri"/>
          <w:sz w:val="24"/>
          <w:szCs w:val="24"/>
        </w:rPr>
        <w:t xml:space="preserve">panel discussion </w:t>
      </w:r>
      <w:r w:rsidRPr="00D46B5E">
        <w:rPr>
          <w:rFonts w:ascii="Calibri" w:hAnsi="Calibri" w:cs="Calibri"/>
          <w:sz w:val="24"/>
          <w:szCs w:val="24"/>
        </w:rPr>
        <w:t xml:space="preserve">will </w:t>
      </w:r>
      <w:r>
        <w:rPr>
          <w:rFonts w:ascii="Calibri" w:hAnsi="Calibri" w:cs="Calibri"/>
          <w:sz w:val="24"/>
          <w:szCs w:val="24"/>
        </w:rPr>
        <w:t xml:space="preserve">also throw light on </w:t>
      </w:r>
      <w:r w:rsidRPr="00D46B5E">
        <w:rPr>
          <w:rFonts w:ascii="Calibri" w:hAnsi="Calibri" w:cs="Calibri"/>
          <w:sz w:val="24"/>
          <w:szCs w:val="24"/>
        </w:rPr>
        <w:t>the relevant activities of the regional mechanisms and other stakeholders in this sphere. For example, the</w:t>
      </w:r>
      <w:r w:rsidRPr="00D46B5E">
        <w:rPr>
          <w:rFonts w:ascii="Arial" w:hAnsi="Arial" w:cs="Arial"/>
          <w:color w:val="000000"/>
          <w:sz w:val="21"/>
          <w:szCs w:val="21"/>
          <w:shd w:val="clear" w:color="auto" w:fill="FFFFFF"/>
        </w:rPr>
        <w:t xml:space="preserve"> African </w:t>
      </w:r>
      <w:r w:rsidRPr="00750FFE">
        <w:rPr>
          <w:rFonts w:ascii="Calibri" w:hAnsi="Calibri" w:cs="Calibri"/>
          <w:color w:val="000000"/>
          <w:sz w:val="24"/>
          <w:szCs w:val="24"/>
          <w:shd w:val="clear" w:color="auto" w:fill="FFFFFF"/>
        </w:rPr>
        <w:t>Committee of Experts on the Rights and Welfare of the Child (ACERWC) Wo</w:t>
      </w:r>
      <w:r w:rsidRPr="00750FFE">
        <w:rPr>
          <w:rFonts w:ascii="Calibri" w:hAnsi="Calibri" w:cs="Calibri"/>
          <w:sz w:val="24"/>
          <w:szCs w:val="24"/>
        </w:rPr>
        <w:t>rking Group on Children’s Rights and Business has recently adopted a resolution on ‘Protection and promotion of Children’s rights in the digital sphere’</w:t>
      </w:r>
      <w:r>
        <w:t>.</w:t>
      </w:r>
    </w:p>
    <w:bookmarkEnd w:id="0"/>
    <w:p w14:paraId="7E4E91CD" w14:textId="77777777" w:rsidR="00641396" w:rsidRPr="00032CFC" w:rsidRDefault="00641396" w:rsidP="00641396">
      <w:pPr>
        <w:pStyle w:val="ListParagraph"/>
        <w:numPr>
          <w:ilvl w:val="0"/>
          <w:numId w:val="17"/>
        </w:numPr>
        <w:spacing w:after="0" w:line="276" w:lineRule="auto"/>
        <w:ind w:left="1134" w:hanging="567"/>
        <w:jc w:val="both"/>
        <w:rPr>
          <w:rFonts w:ascii="Calibri" w:hAnsi="Calibri" w:cs="Calibri"/>
          <w:spacing w:val="4"/>
          <w:sz w:val="24"/>
          <w:szCs w:val="24"/>
        </w:rPr>
      </w:pPr>
      <w:r w:rsidRPr="00750FFE">
        <w:rPr>
          <w:rFonts w:ascii="Calibri" w:eastAsia="Calibri" w:hAnsi="Calibri" w:cs="Calibri"/>
          <w:b/>
          <w:bCs/>
          <w:spacing w:val="4"/>
          <w:sz w:val="24"/>
          <w:szCs w:val="24"/>
          <w:lang w:val="en"/>
        </w:rPr>
        <w:t xml:space="preserve">Conflict </w:t>
      </w:r>
      <w:r>
        <w:rPr>
          <w:rFonts w:ascii="Calibri" w:eastAsia="Calibri" w:hAnsi="Calibri" w:cs="Calibri"/>
          <w:b/>
          <w:bCs/>
          <w:spacing w:val="4"/>
          <w:sz w:val="24"/>
          <w:szCs w:val="24"/>
          <w:lang w:val="en"/>
        </w:rPr>
        <w:t>affected regions</w:t>
      </w:r>
      <w:r w:rsidRPr="00750FFE">
        <w:rPr>
          <w:rFonts w:ascii="Calibri" w:eastAsia="Calibri" w:hAnsi="Calibri" w:cs="Calibri"/>
          <w:b/>
          <w:bCs/>
          <w:spacing w:val="4"/>
          <w:sz w:val="24"/>
          <w:szCs w:val="24"/>
          <w:lang w:val="en"/>
        </w:rPr>
        <w:t xml:space="preserve">. </w:t>
      </w:r>
      <w:r w:rsidRPr="00032CFC">
        <w:rPr>
          <w:rFonts w:ascii="Calibri" w:hAnsi="Calibri" w:cs="Calibri"/>
          <w:spacing w:val="4"/>
          <w:sz w:val="24"/>
          <w:szCs w:val="24"/>
        </w:rPr>
        <w:t xml:space="preserve">A report submitted to the General Assembly by the Working Group on Business and Human Rights states that over the last decade, the number of civil wars has almost tripled, with a six-fold increase in related deaths – peaking in 2016 with 53 countries experiencing conflict. According to the report, quite often, a conflict-sensitive approach that considers the risks posed to people is lacking, with business activities as a result contributing to or becoming linked to human rights abuses including through their business relationship with armed non-State actors. </w:t>
      </w:r>
      <w:r w:rsidRPr="00750FFE">
        <w:rPr>
          <w:rFonts w:ascii="Calibri" w:hAnsi="Calibri" w:cs="Calibri"/>
          <w:spacing w:val="4"/>
          <w:sz w:val="24"/>
          <w:szCs w:val="24"/>
          <w:shd w:val="clear" w:color="auto" w:fill="FFFFFF"/>
        </w:rPr>
        <w:t>Even companies with the best of intentions operating in countries in conflict may face specific challenges in ensuring respect for human rights, including in conducting heightened human rights due diligence.</w:t>
      </w:r>
    </w:p>
    <w:p w14:paraId="273C62AE" w14:textId="77777777" w:rsidR="00641396" w:rsidRPr="00032CFC" w:rsidRDefault="00641396" w:rsidP="00641396">
      <w:pPr>
        <w:pStyle w:val="ListParagraph"/>
        <w:rPr>
          <w:rFonts w:ascii="Calibri" w:hAnsi="Calibri" w:cs="Calibri"/>
          <w:spacing w:val="4"/>
          <w:sz w:val="24"/>
          <w:szCs w:val="24"/>
        </w:rPr>
      </w:pPr>
    </w:p>
    <w:p w14:paraId="52A274C4" w14:textId="478C6EEE" w:rsidR="00641396" w:rsidRDefault="00641396" w:rsidP="00641396">
      <w:pPr>
        <w:pStyle w:val="ListParagraph"/>
        <w:spacing w:after="0" w:line="276" w:lineRule="auto"/>
        <w:ind w:left="1134"/>
        <w:jc w:val="both"/>
        <w:rPr>
          <w:rFonts w:ascii="Calibri" w:hAnsi="Calibri" w:cs="Calibri"/>
          <w:spacing w:val="4"/>
          <w:sz w:val="24"/>
          <w:szCs w:val="24"/>
        </w:rPr>
      </w:pPr>
      <w:r w:rsidRPr="00032CFC">
        <w:rPr>
          <w:rFonts w:ascii="Calibri" w:hAnsi="Calibri" w:cs="Calibri"/>
          <w:spacing w:val="4"/>
          <w:sz w:val="24"/>
          <w:szCs w:val="24"/>
        </w:rPr>
        <w:t>The discussions in this session will be around pragmatic approaches as to how the regional mechanisms can step into such conflict-ridden States, support the stakeholders including the business sector and ensure responsible business conduct.  Best practices will be shared, and concrete recommendations made for the way forward.</w:t>
      </w:r>
    </w:p>
    <w:p w14:paraId="718886CF" w14:textId="77777777" w:rsidR="00641396" w:rsidRPr="00A3602A" w:rsidRDefault="00641396" w:rsidP="00641396">
      <w:pPr>
        <w:pStyle w:val="ListParagraph"/>
        <w:spacing w:after="0" w:line="276" w:lineRule="auto"/>
        <w:ind w:left="1134"/>
        <w:jc w:val="both"/>
        <w:rPr>
          <w:rFonts w:ascii="Calibri" w:hAnsi="Calibri" w:cs="Calibri"/>
          <w:spacing w:val="4"/>
          <w:sz w:val="24"/>
          <w:szCs w:val="24"/>
        </w:rPr>
      </w:pPr>
    </w:p>
    <w:p w14:paraId="298D751D" w14:textId="77777777" w:rsidR="00641396" w:rsidRPr="00641396" w:rsidRDefault="00641396" w:rsidP="00641396">
      <w:pPr>
        <w:pStyle w:val="ListParagraph"/>
        <w:numPr>
          <w:ilvl w:val="3"/>
          <w:numId w:val="9"/>
        </w:numPr>
        <w:spacing w:after="0" w:line="276" w:lineRule="auto"/>
        <w:ind w:left="142" w:hanging="426"/>
        <w:jc w:val="both"/>
        <w:rPr>
          <w:rFonts w:ascii="Calibri" w:eastAsia="Calibri" w:hAnsi="Calibri" w:cs="Arial"/>
          <w:bCs/>
          <w:sz w:val="24"/>
          <w:szCs w:val="24"/>
          <w:lang w:val="en"/>
        </w:rPr>
      </w:pPr>
      <w:r>
        <w:rPr>
          <w:rFonts w:ascii="Calibri" w:eastAsia="Calibri" w:hAnsi="Calibri" w:cs="Arial"/>
          <w:b/>
          <w:sz w:val="24"/>
          <w:szCs w:val="24"/>
          <w:lang w:val="en"/>
        </w:rPr>
        <w:t>A way forward: recommendations to strengthen cooperation between United Nations and regional human rights mechanisms on business and human rights.</w:t>
      </w:r>
    </w:p>
    <w:p w14:paraId="13237DBE" w14:textId="77777777" w:rsidR="00C573CF" w:rsidRDefault="00C573CF" w:rsidP="00641396">
      <w:pPr>
        <w:pStyle w:val="ListParagraph"/>
        <w:spacing w:after="0" w:line="276" w:lineRule="auto"/>
        <w:ind w:left="1134" w:hanging="850"/>
        <w:jc w:val="both"/>
        <w:rPr>
          <w:rFonts w:ascii="Calibri" w:eastAsia="Calibri" w:hAnsi="Calibri" w:cs="Arial"/>
          <w:bCs/>
          <w:sz w:val="24"/>
          <w:szCs w:val="24"/>
          <w:lang w:val="en"/>
        </w:rPr>
      </w:pPr>
    </w:p>
    <w:p w14:paraId="2230490D" w14:textId="516A4389" w:rsidR="4F1AFED4" w:rsidRPr="00C573CF" w:rsidRDefault="5DDDDCB2" w:rsidP="00641396">
      <w:pPr>
        <w:pStyle w:val="ListParagraph"/>
        <w:numPr>
          <w:ilvl w:val="0"/>
          <w:numId w:val="7"/>
        </w:numPr>
        <w:spacing w:after="0" w:line="276" w:lineRule="auto"/>
        <w:ind w:left="-284" w:firstLine="0"/>
        <w:rPr>
          <w:rFonts w:ascii="Calibri" w:eastAsiaTheme="minorEastAsia" w:hAnsi="Calibri" w:cs="Calibri"/>
          <w:b/>
          <w:bCs/>
          <w:sz w:val="24"/>
          <w:szCs w:val="24"/>
        </w:rPr>
      </w:pPr>
      <w:r w:rsidRPr="00A3602A">
        <w:rPr>
          <w:rFonts w:ascii="Calibri" w:eastAsia="Calibri" w:hAnsi="Calibri" w:cs="Calibri"/>
          <w:b/>
          <w:bCs/>
          <w:sz w:val="24"/>
          <w:szCs w:val="24"/>
        </w:rPr>
        <w:t xml:space="preserve">EXPECTED OUTCOME </w:t>
      </w:r>
    </w:p>
    <w:p w14:paraId="2AE54D25" w14:textId="77777777" w:rsidR="00C573CF" w:rsidRDefault="00C573CF" w:rsidP="00641396">
      <w:pPr>
        <w:spacing w:after="0" w:line="276" w:lineRule="auto"/>
        <w:ind w:left="-284"/>
        <w:contextualSpacing/>
        <w:jc w:val="both"/>
        <w:rPr>
          <w:rFonts w:ascii="Calibri" w:eastAsia="Calibri" w:hAnsi="Calibri" w:cs="Calibri"/>
          <w:sz w:val="24"/>
          <w:szCs w:val="24"/>
        </w:rPr>
      </w:pPr>
    </w:p>
    <w:p w14:paraId="6A8624A0" w14:textId="493C5713" w:rsidR="5DDDDCB2" w:rsidRDefault="012E66AF" w:rsidP="00641396">
      <w:pPr>
        <w:spacing w:after="0" w:line="276" w:lineRule="auto"/>
        <w:ind w:left="-284"/>
        <w:contextualSpacing/>
        <w:jc w:val="both"/>
        <w:rPr>
          <w:rFonts w:ascii="Calibri" w:eastAsia="Calibri" w:hAnsi="Calibri" w:cs="Calibri"/>
          <w:sz w:val="24"/>
          <w:szCs w:val="24"/>
        </w:rPr>
      </w:pPr>
      <w:r w:rsidRPr="00A3602A">
        <w:rPr>
          <w:rFonts w:ascii="Calibri" w:eastAsia="Calibri" w:hAnsi="Calibri" w:cs="Calibri"/>
          <w:sz w:val="24"/>
          <w:szCs w:val="24"/>
        </w:rPr>
        <w:t xml:space="preserve">A report on </w:t>
      </w:r>
      <w:r w:rsidRPr="00A3602A">
        <w:rPr>
          <w:rFonts w:ascii="Calibri" w:eastAsia="Calibri" w:hAnsi="Calibri" w:cs="Calibri"/>
          <w:sz w:val="24"/>
          <w:szCs w:val="24"/>
          <w:lang w:val="en"/>
        </w:rPr>
        <w:t>recommendations</w:t>
      </w:r>
      <w:r w:rsidRPr="00A3602A">
        <w:rPr>
          <w:rFonts w:ascii="Calibri" w:eastAsia="Calibri" w:hAnsi="Calibri" w:cs="Calibri"/>
          <w:sz w:val="24"/>
          <w:szCs w:val="24"/>
        </w:rPr>
        <w:t xml:space="preserve"> for further cooperation among all human rights mechanisms will be presented to Member States at the 52</w:t>
      </w:r>
      <w:r w:rsidRPr="00A3602A">
        <w:rPr>
          <w:rFonts w:ascii="Calibri" w:eastAsia="Calibri" w:hAnsi="Calibri" w:cs="Calibri"/>
          <w:sz w:val="24"/>
          <w:szCs w:val="24"/>
          <w:vertAlign w:val="superscript"/>
        </w:rPr>
        <w:t>nd</w:t>
      </w:r>
      <w:r w:rsidRPr="00A3602A">
        <w:rPr>
          <w:rFonts w:ascii="Calibri" w:eastAsia="Calibri" w:hAnsi="Calibri" w:cs="Calibri"/>
          <w:sz w:val="24"/>
          <w:szCs w:val="24"/>
        </w:rPr>
        <w:t xml:space="preserve"> regular session of the Human Rights Council in February 2023.</w:t>
      </w:r>
    </w:p>
    <w:p w14:paraId="25F6766A" w14:textId="7B29752E" w:rsidR="007B24BA" w:rsidRDefault="007B24BA" w:rsidP="00641396">
      <w:pPr>
        <w:spacing w:after="0" w:line="276" w:lineRule="auto"/>
        <w:ind w:left="-284"/>
        <w:contextualSpacing/>
        <w:jc w:val="both"/>
        <w:rPr>
          <w:rFonts w:ascii="Calibri" w:eastAsia="Calibri" w:hAnsi="Calibri" w:cs="Calibri"/>
          <w:sz w:val="24"/>
          <w:szCs w:val="24"/>
        </w:rPr>
      </w:pPr>
    </w:p>
    <w:p w14:paraId="00815A27" w14:textId="29CC4E6C" w:rsidR="007B24BA" w:rsidRPr="00A3602A" w:rsidRDefault="007B24BA" w:rsidP="007B24BA">
      <w:pPr>
        <w:spacing w:after="0" w:line="276" w:lineRule="auto"/>
        <w:contextualSpacing/>
        <w:jc w:val="center"/>
        <w:rPr>
          <w:rFonts w:ascii="Calibri" w:eastAsia="Calibri" w:hAnsi="Calibri" w:cs="Calibri"/>
          <w:sz w:val="24"/>
          <w:szCs w:val="24"/>
        </w:rPr>
      </w:pPr>
      <w:r>
        <w:rPr>
          <w:rFonts w:ascii="Calibri" w:eastAsia="Calibri" w:hAnsi="Calibri" w:cs="Calibri"/>
          <w:sz w:val="24"/>
          <w:szCs w:val="24"/>
        </w:rPr>
        <w:t>____________________</w:t>
      </w:r>
    </w:p>
    <w:p w14:paraId="1DC85FEB" w14:textId="2B1481DB" w:rsidR="009407F0" w:rsidRPr="00A3602A" w:rsidRDefault="009407F0" w:rsidP="00A3602A">
      <w:pPr>
        <w:spacing w:after="0" w:line="276" w:lineRule="auto"/>
        <w:contextualSpacing/>
        <w:jc w:val="both"/>
        <w:rPr>
          <w:rFonts w:ascii="Calibri" w:eastAsia="Calibri" w:hAnsi="Calibri" w:cs="Calibri"/>
          <w:sz w:val="24"/>
          <w:szCs w:val="24"/>
        </w:rPr>
      </w:pPr>
    </w:p>
    <w:p w14:paraId="3505223D" w14:textId="77777777" w:rsidR="00924BAF" w:rsidRPr="00A3602A" w:rsidRDefault="00924BAF" w:rsidP="00A3602A">
      <w:pPr>
        <w:spacing w:after="0" w:line="276" w:lineRule="auto"/>
        <w:contextualSpacing/>
        <w:rPr>
          <w:rFonts w:ascii="Calibri" w:hAnsi="Calibri" w:cs="Calibri"/>
          <w:sz w:val="24"/>
          <w:szCs w:val="24"/>
        </w:rPr>
      </w:pPr>
    </w:p>
    <w:sectPr w:rsidR="00924BAF" w:rsidRPr="00A3602A" w:rsidSect="00924BAF">
      <w:headerReference w:type="default" r:id="rId12"/>
      <w:footerReference w:type="default" r:id="rId13"/>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7DF2" w14:textId="77777777" w:rsidR="00924BAF" w:rsidRDefault="00924BAF" w:rsidP="00924BAF">
      <w:pPr>
        <w:spacing w:after="0" w:line="240" w:lineRule="auto"/>
      </w:pPr>
      <w:r>
        <w:separator/>
      </w:r>
    </w:p>
  </w:endnote>
  <w:endnote w:type="continuationSeparator" w:id="0">
    <w:p w14:paraId="1DDD52D4" w14:textId="77777777" w:rsidR="00924BAF" w:rsidRDefault="00924BAF" w:rsidP="0092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1645792" w14:paraId="3BF0FCA3" w14:textId="77777777" w:rsidTr="21645792">
      <w:tc>
        <w:tcPr>
          <w:tcW w:w="3005" w:type="dxa"/>
        </w:tcPr>
        <w:p w14:paraId="5EA27F1A" w14:textId="2252798E" w:rsidR="21645792" w:rsidRDefault="21645792" w:rsidP="21645792">
          <w:pPr>
            <w:pStyle w:val="Header"/>
            <w:ind w:left="-115"/>
          </w:pPr>
        </w:p>
      </w:tc>
      <w:tc>
        <w:tcPr>
          <w:tcW w:w="3005" w:type="dxa"/>
        </w:tcPr>
        <w:p w14:paraId="49A14517" w14:textId="2DDF2A0A" w:rsidR="21645792" w:rsidRDefault="21645792" w:rsidP="21645792">
          <w:pPr>
            <w:pStyle w:val="Header"/>
            <w:jc w:val="center"/>
          </w:pPr>
        </w:p>
      </w:tc>
      <w:tc>
        <w:tcPr>
          <w:tcW w:w="3005" w:type="dxa"/>
        </w:tcPr>
        <w:p w14:paraId="2E442F01" w14:textId="33829C3E" w:rsidR="21645792" w:rsidRDefault="21645792" w:rsidP="21645792">
          <w:pPr>
            <w:pStyle w:val="Header"/>
            <w:ind w:right="-115"/>
            <w:jc w:val="right"/>
          </w:pPr>
        </w:p>
      </w:tc>
    </w:tr>
  </w:tbl>
  <w:p w14:paraId="5B9BFB8C" w14:textId="22C523AE" w:rsidR="21645792" w:rsidRDefault="21645792" w:rsidP="2164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551B" w14:textId="77777777" w:rsidR="00924BAF" w:rsidRDefault="00924BAF" w:rsidP="00924BAF">
      <w:pPr>
        <w:spacing w:after="0" w:line="240" w:lineRule="auto"/>
      </w:pPr>
      <w:r>
        <w:separator/>
      </w:r>
    </w:p>
  </w:footnote>
  <w:footnote w:type="continuationSeparator" w:id="0">
    <w:p w14:paraId="18B89903" w14:textId="77777777" w:rsidR="00924BAF" w:rsidRDefault="00924BAF" w:rsidP="00924BAF">
      <w:pPr>
        <w:spacing w:after="0" w:line="240" w:lineRule="auto"/>
      </w:pPr>
      <w:r>
        <w:continuationSeparator/>
      </w:r>
    </w:p>
  </w:footnote>
  <w:footnote w:id="1">
    <w:p w14:paraId="693FAD74" w14:textId="1BA49897" w:rsidR="00A3602A" w:rsidRPr="00A3602A" w:rsidRDefault="00A3602A" w:rsidP="00924BAF">
      <w:pPr>
        <w:pStyle w:val="FootnoteText"/>
        <w:jc w:val="both"/>
        <w:rPr>
          <w:rFonts w:ascii="Calibri" w:eastAsia="Calibri" w:hAnsi="Calibri" w:cstheme="minorHAnsi"/>
        </w:rPr>
      </w:pPr>
      <w:r w:rsidRPr="00A3602A">
        <w:rPr>
          <w:rStyle w:val="FootnoteReference"/>
          <w:rFonts w:ascii="Calibri" w:hAnsi="Calibri"/>
        </w:rPr>
        <w:footnoteRef/>
      </w:r>
      <w:r w:rsidRPr="00A3602A">
        <w:rPr>
          <w:rFonts w:ascii="Calibri" w:hAnsi="Calibri"/>
        </w:rPr>
        <w:t xml:space="preserve"> </w:t>
      </w:r>
      <w:r w:rsidRPr="00A3602A">
        <w:rPr>
          <w:rFonts w:ascii="Calibri" w:eastAsia="Calibri" w:hAnsi="Calibri" w:cstheme="minorHAnsi"/>
        </w:rPr>
        <w:t>See the following UN Resolutions and Decisions: A/HRC/RES/6/20 of 28 September 2007; A/HRC/RES/12/15 of 1 October 2009; A/HRC/RES/18/14 of 29 September 2011; A/HRC/RES/24/19 of 27 September 2013; HRC/RES/30/3 of 1 October 2015; HRC/RES/34/17 of 11 April 2017; HRC/RES/43/17 of 1 July 2020.</w:t>
      </w:r>
    </w:p>
  </w:footnote>
  <w:footnote w:id="2">
    <w:p w14:paraId="02CD9F16" w14:textId="77777777" w:rsidR="00A3602A" w:rsidRPr="00A3602A" w:rsidRDefault="00A3602A" w:rsidP="003E451C">
      <w:pPr>
        <w:pStyle w:val="FootnoteText"/>
        <w:jc w:val="both"/>
        <w:rPr>
          <w:rFonts w:ascii="Calibri" w:hAnsi="Calibri"/>
          <w:lang w:val="en-GB"/>
        </w:rPr>
      </w:pPr>
      <w:r w:rsidRPr="00A3602A">
        <w:rPr>
          <w:rStyle w:val="FootnoteReference"/>
          <w:rFonts w:ascii="Calibri" w:hAnsi="Calibri"/>
        </w:rPr>
        <w:footnoteRef/>
      </w:r>
      <w:r w:rsidRPr="00A3602A">
        <w:rPr>
          <w:rFonts w:ascii="Calibri" w:hAnsi="Calibri"/>
        </w:rPr>
        <w:t xml:space="preserve"> </w:t>
      </w:r>
      <w:r w:rsidRPr="00A3602A">
        <w:rPr>
          <w:rFonts w:ascii="Calibri" w:eastAsia="Calibri" w:hAnsi="Calibri" w:cstheme="minorHAnsi"/>
        </w:rPr>
        <w:t>HRC/RES/43/17 of 1 July 2020.</w:t>
      </w:r>
    </w:p>
  </w:footnote>
  <w:footnote w:id="3">
    <w:p w14:paraId="0518D8AA" w14:textId="2CA0DDFA" w:rsidR="00582834" w:rsidRPr="00582834" w:rsidRDefault="00A3602A" w:rsidP="00582834">
      <w:pPr>
        <w:pStyle w:val="FootnoteText"/>
        <w:rPr>
          <w:rFonts w:ascii="Calibri" w:hAnsi="Calibri"/>
          <w:color w:val="0563C1" w:themeColor="hyperlink"/>
          <w:u w:val="single"/>
        </w:rPr>
      </w:pPr>
      <w:r w:rsidRPr="00A3602A">
        <w:rPr>
          <w:rStyle w:val="FootnoteReference"/>
          <w:rFonts w:ascii="Calibri" w:hAnsi="Calibri"/>
        </w:rPr>
        <w:footnoteRef/>
      </w:r>
      <w:r w:rsidRPr="00A3602A">
        <w:rPr>
          <w:rFonts w:ascii="Calibri" w:hAnsi="Calibri"/>
        </w:rPr>
        <w:t xml:space="preserve"> </w:t>
      </w:r>
      <w:r w:rsidR="00582834" w:rsidRPr="00582834">
        <w:t xml:space="preserve"> </w:t>
      </w:r>
      <w:hyperlink r:id="rId1" w:history="1">
        <w:r w:rsidR="00582834" w:rsidRPr="00582834">
          <w:rPr>
            <w:rStyle w:val="Hyperlink"/>
            <w:rFonts w:ascii="Calibri" w:hAnsi="Calibri"/>
          </w:rPr>
          <w:t>https://www.ohchr.org/sites/default/files/Documents/Publications/GuidingPrinciplesBusinessHR_EN.pdf</w:t>
        </w:r>
      </w:hyperlink>
    </w:p>
    <w:p w14:paraId="4CA05A4B" w14:textId="5C42ADF8" w:rsidR="00A3602A" w:rsidRPr="00750FFE" w:rsidRDefault="00A3602A">
      <w:pPr>
        <w:pStyle w:val="FootnoteText"/>
        <w:rPr>
          <w:rFonts w:ascii="Calibri" w:hAnsi="Calibri"/>
        </w:rPr>
      </w:pPr>
    </w:p>
  </w:footnote>
  <w:footnote w:id="4">
    <w:p w14:paraId="346EC454" w14:textId="32708B0D" w:rsidR="00A3602A" w:rsidRPr="00A3602A" w:rsidRDefault="00A3602A" w:rsidP="001D2801">
      <w:pPr>
        <w:pStyle w:val="FootnoteText"/>
        <w:rPr>
          <w:rFonts w:ascii="Calibri" w:hAnsi="Calibri"/>
          <w:lang w:val="en-GB"/>
        </w:rPr>
      </w:pPr>
      <w:r w:rsidRPr="00A3602A">
        <w:rPr>
          <w:rStyle w:val="FootnoteReference"/>
          <w:rFonts w:ascii="Calibri" w:hAnsi="Calibri"/>
        </w:rPr>
        <w:footnoteRef/>
      </w:r>
      <w:r w:rsidRPr="00A3602A">
        <w:rPr>
          <w:rFonts w:ascii="Calibri" w:hAnsi="Calibri"/>
        </w:rPr>
        <w:t xml:space="preserve"> </w:t>
      </w:r>
      <w:hyperlink r:id="rId2" w:history="1">
        <w:r w:rsidR="00B67716" w:rsidRPr="0044531B">
          <w:rPr>
            <w:rStyle w:val="Hyperlink"/>
          </w:rPr>
          <w:t>https://undocs.org/A/HRC/47/39</w:t>
        </w:r>
      </w:hyperlink>
      <w:r w:rsidR="00B67716">
        <w:rPr>
          <w:rStyle w:val="Hyperlink"/>
        </w:rPr>
        <w:t xml:space="preserve"> </w:t>
      </w:r>
    </w:p>
  </w:footnote>
  <w:footnote w:id="5">
    <w:p w14:paraId="506B153F" w14:textId="0516ED4C" w:rsidR="003615A4" w:rsidRPr="003615A4" w:rsidRDefault="003615A4">
      <w:pPr>
        <w:pStyle w:val="FootnoteText"/>
      </w:pPr>
      <w:r>
        <w:rPr>
          <w:rStyle w:val="FootnoteReference"/>
        </w:rPr>
        <w:footnoteRef/>
      </w:r>
      <w:r>
        <w:t xml:space="preserve"> </w:t>
      </w:r>
      <w:hyperlink r:id="rId3" w:history="1">
        <w:r w:rsidR="0046499A" w:rsidRPr="00127F30">
          <w:rPr>
            <w:rStyle w:val="Hyperlink"/>
          </w:rPr>
          <w:t>https://www.ohchr.org/en/hr-bodies/hrc/wg-trans-corp/igwg-on-tnc</w:t>
        </w:r>
      </w:hyperlink>
      <w:r w:rsidR="0046499A">
        <w:t xml:space="preserve"> </w:t>
      </w:r>
    </w:p>
  </w:footnote>
  <w:footnote w:id="6">
    <w:p w14:paraId="5E879FF9" w14:textId="582C38F8" w:rsidR="00AE6A38" w:rsidRPr="00AE6A38" w:rsidRDefault="00AE6A38">
      <w:pPr>
        <w:pStyle w:val="FootnoteText"/>
        <w:rPr>
          <w:lang w:val="en-GB"/>
        </w:rPr>
      </w:pPr>
      <w:r>
        <w:rPr>
          <w:rStyle w:val="FootnoteReference"/>
        </w:rPr>
        <w:footnoteRef/>
      </w:r>
      <w:r>
        <w:t xml:space="preserve"> </w:t>
      </w:r>
      <w:r w:rsidRPr="00032CFC">
        <w:t>https://www.ohchr.org/en/business/ohchr-accountability-and-remedy-project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1645792" w14:paraId="161A260D" w14:textId="77777777" w:rsidTr="21645792">
      <w:tc>
        <w:tcPr>
          <w:tcW w:w="3005" w:type="dxa"/>
        </w:tcPr>
        <w:p w14:paraId="42045A37" w14:textId="42F94B2E" w:rsidR="21645792" w:rsidRDefault="21645792" w:rsidP="21645792">
          <w:pPr>
            <w:pStyle w:val="Header"/>
            <w:ind w:left="-115"/>
          </w:pPr>
        </w:p>
      </w:tc>
      <w:tc>
        <w:tcPr>
          <w:tcW w:w="3005" w:type="dxa"/>
        </w:tcPr>
        <w:p w14:paraId="5FE115C3" w14:textId="5CC01DFE" w:rsidR="21645792" w:rsidRDefault="21645792" w:rsidP="21645792">
          <w:pPr>
            <w:pStyle w:val="Header"/>
            <w:jc w:val="center"/>
          </w:pPr>
        </w:p>
      </w:tc>
      <w:tc>
        <w:tcPr>
          <w:tcW w:w="3005" w:type="dxa"/>
        </w:tcPr>
        <w:p w14:paraId="2CF11744" w14:textId="3A759189" w:rsidR="21645792" w:rsidRDefault="21645792" w:rsidP="21645792">
          <w:pPr>
            <w:pStyle w:val="Header"/>
            <w:ind w:right="-115"/>
            <w:jc w:val="right"/>
          </w:pPr>
        </w:p>
      </w:tc>
    </w:tr>
  </w:tbl>
  <w:p w14:paraId="7A306601" w14:textId="02390572" w:rsidR="21645792" w:rsidRDefault="21645792" w:rsidP="21645792">
    <w:pPr>
      <w:pStyle w:val="Header"/>
    </w:pPr>
  </w:p>
</w:hdr>
</file>

<file path=word/intelligence.xml><?xml version="1.0" encoding="utf-8"?>
<int:Intelligence xmlns:int="http://schemas.microsoft.com/office/intelligence/2019/intelligence">
  <int:IntelligenceSettings/>
  <int:Manifest>
    <int:WordHash hashCode="kByidkXaRxGvMx" id="RdYuNUa1"/>
  </int:Manifest>
  <int:Observations>
    <int:Content id="RdYuNUa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C82"/>
    <w:multiLevelType w:val="hybridMultilevel"/>
    <w:tmpl w:val="0FEC26B8"/>
    <w:lvl w:ilvl="0" w:tplc="EED2A8A6">
      <w:start w:val="1"/>
      <w:numFmt w:val="upperRoman"/>
      <w:lvlText w:val="%1."/>
      <w:lvlJc w:val="right"/>
      <w:pPr>
        <w:ind w:left="720" w:hanging="360"/>
      </w:pPr>
    </w:lvl>
    <w:lvl w:ilvl="1" w:tplc="9C642D6A">
      <w:start w:val="1"/>
      <w:numFmt w:val="lowerLetter"/>
      <w:lvlText w:val="%2."/>
      <w:lvlJc w:val="left"/>
      <w:pPr>
        <w:ind w:left="1440" w:hanging="360"/>
      </w:pPr>
    </w:lvl>
    <w:lvl w:ilvl="2" w:tplc="B9603288">
      <w:start w:val="1"/>
      <w:numFmt w:val="lowerRoman"/>
      <w:lvlText w:val="%3."/>
      <w:lvlJc w:val="right"/>
      <w:pPr>
        <w:ind w:left="2160" w:hanging="180"/>
      </w:pPr>
    </w:lvl>
    <w:lvl w:ilvl="3" w:tplc="F022D6EC">
      <w:start w:val="1"/>
      <w:numFmt w:val="decimal"/>
      <w:lvlText w:val="%4."/>
      <w:lvlJc w:val="left"/>
      <w:pPr>
        <w:ind w:left="2880" w:hanging="360"/>
      </w:pPr>
    </w:lvl>
    <w:lvl w:ilvl="4" w:tplc="958A7BB6">
      <w:start w:val="1"/>
      <w:numFmt w:val="lowerLetter"/>
      <w:lvlText w:val="%5."/>
      <w:lvlJc w:val="left"/>
      <w:pPr>
        <w:ind w:left="3600" w:hanging="360"/>
      </w:pPr>
    </w:lvl>
    <w:lvl w:ilvl="5" w:tplc="75D28CA6">
      <w:start w:val="1"/>
      <w:numFmt w:val="lowerRoman"/>
      <w:lvlText w:val="%6."/>
      <w:lvlJc w:val="right"/>
      <w:pPr>
        <w:ind w:left="4320" w:hanging="180"/>
      </w:pPr>
    </w:lvl>
    <w:lvl w:ilvl="6" w:tplc="21401EF6">
      <w:start w:val="1"/>
      <w:numFmt w:val="decimal"/>
      <w:lvlText w:val="%7."/>
      <w:lvlJc w:val="left"/>
      <w:pPr>
        <w:ind w:left="5040" w:hanging="360"/>
      </w:pPr>
    </w:lvl>
    <w:lvl w:ilvl="7" w:tplc="4774A2DA">
      <w:start w:val="1"/>
      <w:numFmt w:val="lowerLetter"/>
      <w:lvlText w:val="%8."/>
      <w:lvlJc w:val="left"/>
      <w:pPr>
        <w:ind w:left="5760" w:hanging="360"/>
      </w:pPr>
    </w:lvl>
    <w:lvl w:ilvl="8" w:tplc="285CA2CC">
      <w:start w:val="1"/>
      <w:numFmt w:val="lowerRoman"/>
      <w:lvlText w:val="%9."/>
      <w:lvlJc w:val="right"/>
      <w:pPr>
        <w:ind w:left="6480" w:hanging="180"/>
      </w:pPr>
    </w:lvl>
  </w:abstractNum>
  <w:abstractNum w:abstractNumId="1" w15:restartNumberingAfterBreak="0">
    <w:nsid w:val="12673FB6"/>
    <w:multiLevelType w:val="hybridMultilevel"/>
    <w:tmpl w:val="3F947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ED0262"/>
    <w:multiLevelType w:val="hybridMultilevel"/>
    <w:tmpl w:val="FDB013A8"/>
    <w:lvl w:ilvl="0" w:tplc="05027828">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94058D"/>
    <w:multiLevelType w:val="hybridMultilevel"/>
    <w:tmpl w:val="53E02C30"/>
    <w:lvl w:ilvl="0" w:tplc="AFF033EA">
      <w:start w:val="1"/>
      <w:numFmt w:val="upperRoman"/>
      <w:lvlText w:val="%1."/>
      <w:lvlJc w:val="right"/>
      <w:pPr>
        <w:ind w:left="720" w:hanging="360"/>
      </w:pPr>
    </w:lvl>
    <w:lvl w:ilvl="1" w:tplc="EB26A52C">
      <w:start w:val="1"/>
      <w:numFmt w:val="lowerLetter"/>
      <w:lvlText w:val="%2."/>
      <w:lvlJc w:val="left"/>
      <w:pPr>
        <w:ind w:left="1440" w:hanging="360"/>
      </w:pPr>
    </w:lvl>
    <w:lvl w:ilvl="2" w:tplc="394455BC">
      <w:start w:val="1"/>
      <w:numFmt w:val="lowerRoman"/>
      <w:lvlText w:val="%3."/>
      <w:lvlJc w:val="right"/>
      <w:pPr>
        <w:ind w:left="2160" w:hanging="180"/>
      </w:pPr>
    </w:lvl>
    <w:lvl w:ilvl="3" w:tplc="7A8CCF0E">
      <w:start w:val="1"/>
      <w:numFmt w:val="decimal"/>
      <w:lvlText w:val="%4."/>
      <w:lvlJc w:val="left"/>
      <w:pPr>
        <w:ind w:left="2880" w:hanging="360"/>
      </w:pPr>
    </w:lvl>
    <w:lvl w:ilvl="4" w:tplc="D69479B4">
      <w:start w:val="1"/>
      <w:numFmt w:val="lowerLetter"/>
      <w:lvlText w:val="%5."/>
      <w:lvlJc w:val="left"/>
      <w:pPr>
        <w:ind w:left="3600" w:hanging="360"/>
      </w:pPr>
    </w:lvl>
    <w:lvl w:ilvl="5" w:tplc="7F704E06">
      <w:start w:val="1"/>
      <w:numFmt w:val="lowerRoman"/>
      <w:lvlText w:val="%6."/>
      <w:lvlJc w:val="right"/>
      <w:pPr>
        <w:ind w:left="4320" w:hanging="180"/>
      </w:pPr>
    </w:lvl>
    <w:lvl w:ilvl="6" w:tplc="B02278D4">
      <w:start w:val="1"/>
      <w:numFmt w:val="decimal"/>
      <w:lvlText w:val="%7."/>
      <w:lvlJc w:val="left"/>
      <w:pPr>
        <w:ind w:left="5040" w:hanging="360"/>
      </w:pPr>
    </w:lvl>
    <w:lvl w:ilvl="7" w:tplc="D3EA58FC">
      <w:start w:val="1"/>
      <w:numFmt w:val="lowerLetter"/>
      <w:lvlText w:val="%8."/>
      <w:lvlJc w:val="left"/>
      <w:pPr>
        <w:ind w:left="5760" w:hanging="360"/>
      </w:pPr>
    </w:lvl>
    <w:lvl w:ilvl="8" w:tplc="2F4A7208">
      <w:start w:val="1"/>
      <w:numFmt w:val="lowerRoman"/>
      <w:lvlText w:val="%9."/>
      <w:lvlJc w:val="right"/>
      <w:pPr>
        <w:ind w:left="6480" w:hanging="180"/>
      </w:pPr>
    </w:lvl>
  </w:abstractNum>
  <w:abstractNum w:abstractNumId="4" w15:restartNumberingAfterBreak="0">
    <w:nsid w:val="378B7FF9"/>
    <w:multiLevelType w:val="hybridMultilevel"/>
    <w:tmpl w:val="91B09B8E"/>
    <w:lvl w:ilvl="0" w:tplc="FFFFFFFF">
      <w:start w:val="1"/>
      <w:numFmt w:val="decimal"/>
      <w:lvlText w:val="%1."/>
      <w:lvlJc w:val="left"/>
      <w:pPr>
        <w:ind w:left="720" w:hanging="360"/>
      </w:pPr>
    </w:lvl>
    <w:lvl w:ilvl="1" w:tplc="C54A25D2">
      <w:start w:val="1"/>
      <w:numFmt w:val="lowerLetter"/>
      <w:lvlText w:val="%2."/>
      <w:lvlJc w:val="left"/>
      <w:pPr>
        <w:ind w:left="1440" w:hanging="360"/>
      </w:pPr>
    </w:lvl>
    <w:lvl w:ilvl="2" w:tplc="55CA7844">
      <w:start w:val="1"/>
      <w:numFmt w:val="lowerRoman"/>
      <w:lvlText w:val="%3."/>
      <w:lvlJc w:val="right"/>
      <w:pPr>
        <w:ind w:left="2160" w:hanging="180"/>
      </w:pPr>
    </w:lvl>
    <w:lvl w:ilvl="3" w:tplc="4C189002">
      <w:start w:val="1"/>
      <w:numFmt w:val="decimal"/>
      <w:lvlText w:val="%4."/>
      <w:lvlJc w:val="left"/>
      <w:pPr>
        <w:ind w:left="2880" w:hanging="360"/>
      </w:pPr>
    </w:lvl>
    <w:lvl w:ilvl="4" w:tplc="3CAAA1C6">
      <w:start w:val="1"/>
      <w:numFmt w:val="lowerLetter"/>
      <w:lvlText w:val="%5."/>
      <w:lvlJc w:val="left"/>
      <w:pPr>
        <w:ind w:left="3600" w:hanging="360"/>
      </w:pPr>
    </w:lvl>
    <w:lvl w:ilvl="5" w:tplc="C4C8A18E">
      <w:start w:val="1"/>
      <w:numFmt w:val="lowerRoman"/>
      <w:lvlText w:val="%6."/>
      <w:lvlJc w:val="right"/>
      <w:pPr>
        <w:ind w:left="4320" w:hanging="180"/>
      </w:pPr>
    </w:lvl>
    <w:lvl w:ilvl="6" w:tplc="57AE086A">
      <w:start w:val="1"/>
      <w:numFmt w:val="decimal"/>
      <w:lvlText w:val="%7."/>
      <w:lvlJc w:val="left"/>
      <w:pPr>
        <w:ind w:left="5040" w:hanging="360"/>
      </w:pPr>
    </w:lvl>
    <w:lvl w:ilvl="7" w:tplc="1F9027AA">
      <w:start w:val="1"/>
      <w:numFmt w:val="lowerLetter"/>
      <w:lvlText w:val="%8."/>
      <w:lvlJc w:val="left"/>
      <w:pPr>
        <w:ind w:left="5760" w:hanging="360"/>
      </w:pPr>
    </w:lvl>
    <w:lvl w:ilvl="8" w:tplc="018479A8">
      <w:start w:val="1"/>
      <w:numFmt w:val="lowerRoman"/>
      <w:lvlText w:val="%9."/>
      <w:lvlJc w:val="right"/>
      <w:pPr>
        <w:ind w:left="6480" w:hanging="180"/>
      </w:pPr>
    </w:lvl>
  </w:abstractNum>
  <w:abstractNum w:abstractNumId="5" w15:restartNumberingAfterBreak="0">
    <w:nsid w:val="3B6F42EB"/>
    <w:multiLevelType w:val="hybridMultilevel"/>
    <w:tmpl w:val="88F6C1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07010"/>
    <w:multiLevelType w:val="hybridMultilevel"/>
    <w:tmpl w:val="BA82C532"/>
    <w:lvl w:ilvl="0" w:tplc="08090015">
      <w:start w:val="1"/>
      <w:numFmt w:val="upperLetter"/>
      <w:lvlText w:val="%1."/>
      <w:lvlJc w:val="left"/>
      <w:pPr>
        <w:ind w:left="720" w:hanging="360"/>
      </w:pPr>
    </w:lvl>
    <w:lvl w:ilvl="1" w:tplc="9C642D6A">
      <w:start w:val="1"/>
      <w:numFmt w:val="lowerLetter"/>
      <w:lvlText w:val="%2."/>
      <w:lvlJc w:val="left"/>
      <w:pPr>
        <w:ind w:left="1440" w:hanging="360"/>
      </w:pPr>
    </w:lvl>
    <w:lvl w:ilvl="2" w:tplc="B9603288">
      <w:start w:val="1"/>
      <w:numFmt w:val="lowerRoman"/>
      <w:lvlText w:val="%3."/>
      <w:lvlJc w:val="right"/>
      <w:pPr>
        <w:ind w:left="2160" w:hanging="180"/>
      </w:pPr>
    </w:lvl>
    <w:lvl w:ilvl="3" w:tplc="F022D6EC">
      <w:start w:val="1"/>
      <w:numFmt w:val="decimal"/>
      <w:lvlText w:val="%4."/>
      <w:lvlJc w:val="left"/>
      <w:pPr>
        <w:ind w:left="2880" w:hanging="360"/>
      </w:pPr>
    </w:lvl>
    <w:lvl w:ilvl="4" w:tplc="958A7BB6">
      <w:start w:val="1"/>
      <w:numFmt w:val="lowerLetter"/>
      <w:lvlText w:val="%5."/>
      <w:lvlJc w:val="left"/>
      <w:pPr>
        <w:ind w:left="3600" w:hanging="360"/>
      </w:pPr>
    </w:lvl>
    <w:lvl w:ilvl="5" w:tplc="75D28CA6">
      <w:start w:val="1"/>
      <w:numFmt w:val="lowerRoman"/>
      <w:lvlText w:val="%6."/>
      <w:lvlJc w:val="right"/>
      <w:pPr>
        <w:ind w:left="4320" w:hanging="180"/>
      </w:pPr>
    </w:lvl>
    <w:lvl w:ilvl="6" w:tplc="21401EF6">
      <w:start w:val="1"/>
      <w:numFmt w:val="decimal"/>
      <w:lvlText w:val="%7."/>
      <w:lvlJc w:val="left"/>
      <w:pPr>
        <w:ind w:left="5040" w:hanging="360"/>
      </w:pPr>
    </w:lvl>
    <w:lvl w:ilvl="7" w:tplc="4774A2DA">
      <w:start w:val="1"/>
      <w:numFmt w:val="lowerLetter"/>
      <w:lvlText w:val="%8."/>
      <w:lvlJc w:val="left"/>
      <w:pPr>
        <w:ind w:left="5760" w:hanging="360"/>
      </w:pPr>
    </w:lvl>
    <w:lvl w:ilvl="8" w:tplc="285CA2CC">
      <w:start w:val="1"/>
      <w:numFmt w:val="lowerRoman"/>
      <w:lvlText w:val="%9."/>
      <w:lvlJc w:val="right"/>
      <w:pPr>
        <w:ind w:left="6480" w:hanging="180"/>
      </w:pPr>
    </w:lvl>
  </w:abstractNum>
  <w:abstractNum w:abstractNumId="7" w15:restartNumberingAfterBreak="0">
    <w:nsid w:val="50D00A7F"/>
    <w:multiLevelType w:val="multilevel"/>
    <w:tmpl w:val="B6BCF8D8"/>
    <w:lvl w:ilvl="0">
      <w:start w:val="18"/>
      <w:numFmt w:val="decimal"/>
      <w:lvlText w:val="%1"/>
      <w:lvlJc w:val="left"/>
      <w:pPr>
        <w:ind w:left="615" w:hanging="615"/>
      </w:pPr>
      <w:rPr>
        <w:rFonts w:hint="default"/>
      </w:rPr>
    </w:lvl>
    <w:lvl w:ilvl="1">
      <w:start w:val="19"/>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FD6E3C"/>
    <w:multiLevelType w:val="hybridMultilevel"/>
    <w:tmpl w:val="011CD5C6"/>
    <w:lvl w:ilvl="0" w:tplc="4948C2A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84E28"/>
    <w:multiLevelType w:val="hybridMultilevel"/>
    <w:tmpl w:val="1CA2B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DF5FF9"/>
    <w:multiLevelType w:val="hybridMultilevel"/>
    <w:tmpl w:val="48927DC8"/>
    <w:lvl w:ilvl="0" w:tplc="DECE1006">
      <w:start w:val="1"/>
      <w:numFmt w:val="upperRoman"/>
      <w:lvlText w:val="%1."/>
      <w:lvlJc w:val="right"/>
      <w:pPr>
        <w:ind w:left="720" w:hanging="360"/>
      </w:pPr>
    </w:lvl>
    <w:lvl w:ilvl="1" w:tplc="259E71E2">
      <w:start w:val="1"/>
      <w:numFmt w:val="lowerLetter"/>
      <w:lvlText w:val="%2."/>
      <w:lvlJc w:val="left"/>
      <w:pPr>
        <w:ind w:left="1440" w:hanging="360"/>
      </w:pPr>
    </w:lvl>
    <w:lvl w:ilvl="2" w:tplc="641C1D44">
      <w:start w:val="1"/>
      <w:numFmt w:val="lowerRoman"/>
      <w:lvlText w:val="%3."/>
      <w:lvlJc w:val="right"/>
      <w:pPr>
        <w:ind w:left="2160" w:hanging="180"/>
      </w:pPr>
    </w:lvl>
    <w:lvl w:ilvl="3" w:tplc="29E21BB0">
      <w:start w:val="1"/>
      <w:numFmt w:val="decimal"/>
      <w:lvlText w:val="%4."/>
      <w:lvlJc w:val="left"/>
      <w:pPr>
        <w:ind w:left="2880" w:hanging="360"/>
      </w:pPr>
    </w:lvl>
    <w:lvl w:ilvl="4" w:tplc="7B20E63E">
      <w:start w:val="1"/>
      <w:numFmt w:val="lowerLetter"/>
      <w:lvlText w:val="%5."/>
      <w:lvlJc w:val="left"/>
      <w:pPr>
        <w:ind w:left="3600" w:hanging="360"/>
      </w:pPr>
    </w:lvl>
    <w:lvl w:ilvl="5" w:tplc="7010AA1E">
      <w:start w:val="1"/>
      <w:numFmt w:val="lowerRoman"/>
      <w:lvlText w:val="%6."/>
      <w:lvlJc w:val="right"/>
      <w:pPr>
        <w:ind w:left="4320" w:hanging="180"/>
      </w:pPr>
    </w:lvl>
    <w:lvl w:ilvl="6" w:tplc="BA889FCE">
      <w:start w:val="1"/>
      <w:numFmt w:val="decimal"/>
      <w:lvlText w:val="%7."/>
      <w:lvlJc w:val="left"/>
      <w:pPr>
        <w:ind w:left="5040" w:hanging="360"/>
      </w:pPr>
    </w:lvl>
    <w:lvl w:ilvl="7" w:tplc="509E49F4">
      <w:start w:val="1"/>
      <w:numFmt w:val="lowerLetter"/>
      <w:lvlText w:val="%8."/>
      <w:lvlJc w:val="left"/>
      <w:pPr>
        <w:ind w:left="5760" w:hanging="360"/>
      </w:pPr>
    </w:lvl>
    <w:lvl w:ilvl="8" w:tplc="9F9EE89C">
      <w:start w:val="1"/>
      <w:numFmt w:val="lowerRoman"/>
      <w:lvlText w:val="%9."/>
      <w:lvlJc w:val="right"/>
      <w:pPr>
        <w:ind w:left="6480" w:hanging="180"/>
      </w:pPr>
    </w:lvl>
  </w:abstractNum>
  <w:abstractNum w:abstractNumId="11" w15:restartNumberingAfterBreak="0">
    <w:nsid w:val="60DB0CDD"/>
    <w:multiLevelType w:val="hybridMultilevel"/>
    <w:tmpl w:val="6F8A8FBC"/>
    <w:lvl w:ilvl="0" w:tplc="5D5AC198">
      <w:start w:val="1"/>
      <w:numFmt w:val="upperLetter"/>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62614"/>
    <w:multiLevelType w:val="hybridMultilevel"/>
    <w:tmpl w:val="D1007F7E"/>
    <w:lvl w:ilvl="0" w:tplc="0D54C3BE">
      <w:start w:val="1"/>
      <w:numFmt w:val="upperRoman"/>
      <w:lvlText w:val="%1."/>
      <w:lvlJc w:val="left"/>
      <w:pPr>
        <w:ind w:left="1080" w:hanging="7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2C65CF"/>
    <w:multiLevelType w:val="hybridMultilevel"/>
    <w:tmpl w:val="723A92CA"/>
    <w:lvl w:ilvl="0" w:tplc="0180EF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14C78"/>
    <w:multiLevelType w:val="hybridMultilevel"/>
    <w:tmpl w:val="3A84475C"/>
    <w:lvl w:ilvl="0" w:tplc="08090015">
      <w:start w:val="1"/>
      <w:numFmt w:val="upperLetter"/>
      <w:lvlText w:val="%1."/>
      <w:lvlJc w:val="left"/>
      <w:pPr>
        <w:ind w:left="720" w:hanging="360"/>
      </w:pPr>
    </w:lvl>
    <w:lvl w:ilvl="1" w:tplc="EB26A52C">
      <w:start w:val="1"/>
      <w:numFmt w:val="lowerLetter"/>
      <w:lvlText w:val="%2."/>
      <w:lvlJc w:val="left"/>
      <w:pPr>
        <w:ind w:left="1440" w:hanging="360"/>
      </w:pPr>
    </w:lvl>
    <w:lvl w:ilvl="2" w:tplc="394455BC">
      <w:start w:val="1"/>
      <w:numFmt w:val="lowerRoman"/>
      <w:lvlText w:val="%3."/>
      <w:lvlJc w:val="right"/>
      <w:pPr>
        <w:ind w:left="2160" w:hanging="180"/>
      </w:pPr>
    </w:lvl>
    <w:lvl w:ilvl="3" w:tplc="0332FC84">
      <w:start w:val="1"/>
      <w:numFmt w:val="decimal"/>
      <w:lvlText w:val="%4."/>
      <w:lvlJc w:val="left"/>
      <w:pPr>
        <w:ind w:left="2880" w:hanging="360"/>
      </w:pPr>
      <w:rPr>
        <w:b/>
        <w:color w:val="auto"/>
      </w:rPr>
    </w:lvl>
    <w:lvl w:ilvl="4" w:tplc="D69479B4">
      <w:start w:val="1"/>
      <w:numFmt w:val="lowerLetter"/>
      <w:lvlText w:val="%5."/>
      <w:lvlJc w:val="left"/>
      <w:pPr>
        <w:ind w:left="3600" w:hanging="360"/>
      </w:pPr>
    </w:lvl>
    <w:lvl w:ilvl="5" w:tplc="7F704E06">
      <w:start w:val="1"/>
      <w:numFmt w:val="lowerRoman"/>
      <w:lvlText w:val="%6."/>
      <w:lvlJc w:val="right"/>
      <w:pPr>
        <w:ind w:left="4320" w:hanging="180"/>
      </w:pPr>
    </w:lvl>
    <w:lvl w:ilvl="6" w:tplc="B02278D4">
      <w:start w:val="1"/>
      <w:numFmt w:val="decimal"/>
      <w:lvlText w:val="%7."/>
      <w:lvlJc w:val="left"/>
      <w:pPr>
        <w:ind w:left="5040" w:hanging="360"/>
      </w:pPr>
    </w:lvl>
    <w:lvl w:ilvl="7" w:tplc="D3EA58FC">
      <w:start w:val="1"/>
      <w:numFmt w:val="lowerLetter"/>
      <w:lvlText w:val="%8."/>
      <w:lvlJc w:val="left"/>
      <w:pPr>
        <w:ind w:left="5760" w:hanging="360"/>
      </w:pPr>
    </w:lvl>
    <w:lvl w:ilvl="8" w:tplc="2F4A7208">
      <w:start w:val="1"/>
      <w:numFmt w:val="lowerRoman"/>
      <w:lvlText w:val="%9."/>
      <w:lvlJc w:val="right"/>
      <w:pPr>
        <w:ind w:left="6480" w:hanging="180"/>
      </w:pPr>
    </w:lvl>
  </w:abstractNum>
  <w:abstractNum w:abstractNumId="15" w15:restartNumberingAfterBreak="0">
    <w:nsid w:val="76AE44BF"/>
    <w:multiLevelType w:val="hybridMultilevel"/>
    <w:tmpl w:val="4440D936"/>
    <w:lvl w:ilvl="0" w:tplc="970AF698">
      <w:start w:val="1"/>
      <w:numFmt w:val="decimal"/>
      <w:lvlText w:val="%1."/>
      <w:lvlJc w:val="left"/>
      <w:pPr>
        <w:ind w:left="720" w:hanging="360"/>
      </w:pPr>
    </w:lvl>
    <w:lvl w:ilvl="1" w:tplc="A64E7968">
      <w:start w:val="1"/>
      <w:numFmt w:val="lowerLetter"/>
      <w:lvlText w:val="%2."/>
      <w:lvlJc w:val="left"/>
      <w:pPr>
        <w:ind w:left="1440" w:hanging="360"/>
      </w:pPr>
    </w:lvl>
    <w:lvl w:ilvl="2" w:tplc="1408DF4E">
      <w:start w:val="1"/>
      <w:numFmt w:val="lowerRoman"/>
      <w:lvlText w:val="%3."/>
      <w:lvlJc w:val="right"/>
      <w:pPr>
        <w:ind w:left="2160" w:hanging="180"/>
      </w:pPr>
    </w:lvl>
    <w:lvl w:ilvl="3" w:tplc="501832E0">
      <w:start w:val="1"/>
      <w:numFmt w:val="decimal"/>
      <w:lvlText w:val="%4."/>
      <w:lvlJc w:val="left"/>
      <w:pPr>
        <w:ind w:left="2880" w:hanging="360"/>
      </w:pPr>
    </w:lvl>
    <w:lvl w:ilvl="4" w:tplc="1942410E">
      <w:start w:val="1"/>
      <w:numFmt w:val="lowerLetter"/>
      <w:lvlText w:val="%5."/>
      <w:lvlJc w:val="left"/>
      <w:pPr>
        <w:ind w:left="3600" w:hanging="360"/>
      </w:pPr>
    </w:lvl>
    <w:lvl w:ilvl="5" w:tplc="178EF538">
      <w:start w:val="1"/>
      <w:numFmt w:val="lowerRoman"/>
      <w:lvlText w:val="%6."/>
      <w:lvlJc w:val="right"/>
      <w:pPr>
        <w:ind w:left="4320" w:hanging="180"/>
      </w:pPr>
    </w:lvl>
    <w:lvl w:ilvl="6" w:tplc="290E87FC">
      <w:start w:val="1"/>
      <w:numFmt w:val="decimal"/>
      <w:lvlText w:val="%7."/>
      <w:lvlJc w:val="left"/>
      <w:pPr>
        <w:ind w:left="5040" w:hanging="360"/>
      </w:pPr>
    </w:lvl>
    <w:lvl w:ilvl="7" w:tplc="4E78A868">
      <w:start w:val="1"/>
      <w:numFmt w:val="lowerLetter"/>
      <w:lvlText w:val="%8."/>
      <w:lvlJc w:val="left"/>
      <w:pPr>
        <w:ind w:left="5760" w:hanging="360"/>
      </w:pPr>
    </w:lvl>
    <w:lvl w:ilvl="8" w:tplc="26247DE4">
      <w:start w:val="1"/>
      <w:numFmt w:val="lowerRoman"/>
      <w:lvlText w:val="%9."/>
      <w:lvlJc w:val="right"/>
      <w:pPr>
        <w:ind w:left="6480" w:hanging="180"/>
      </w:pPr>
    </w:lvl>
  </w:abstractNum>
  <w:abstractNum w:abstractNumId="16" w15:restartNumberingAfterBreak="0">
    <w:nsid w:val="7C4C37C6"/>
    <w:multiLevelType w:val="hybridMultilevel"/>
    <w:tmpl w:val="91B09B8E"/>
    <w:lvl w:ilvl="0" w:tplc="FFFFFFFF">
      <w:start w:val="1"/>
      <w:numFmt w:val="decimal"/>
      <w:lvlText w:val="%1."/>
      <w:lvlJc w:val="left"/>
      <w:pPr>
        <w:ind w:left="720" w:hanging="360"/>
      </w:pPr>
    </w:lvl>
    <w:lvl w:ilvl="1" w:tplc="C54A25D2">
      <w:start w:val="1"/>
      <w:numFmt w:val="lowerLetter"/>
      <w:lvlText w:val="%2."/>
      <w:lvlJc w:val="left"/>
      <w:pPr>
        <w:ind w:left="1440" w:hanging="360"/>
      </w:pPr>
    </w:lvl>
    <w:lvl w:ilvl="2" w:tplc="55CA7844">
      <w:start w:val="1"/>
      <w:numFmt w:val="lowerRoman"/>
      <w:lvlText w:val="%3."/>
      <w:lvlJc w:val="right"/>
      <w:pPr>
        <w:ind w:left="2160" w:hanging="180"/>
      </w:pPr>
    </w:lvl>
    <w:lvl w:ilvl="3" w:tplc="4C189002">
      <w:start w:val="1"/>
      <w:numFmt w:val="decimal"/>
      <w:lvlText w:val="%4."/>
      <w:lvlJc w:val="left"/>
      <w:pPr>
        <w:ind w:left="2880" w:hanging="360"/>
      </w:pPr>
    </w:lvl>
    <w:lvl w:ilvl="4" w:tplc="3CAAA1C6">
      <w:start w:val="1"/>
      <w:numFmt w:val="lowerLetter"/>
      <w:lvlText w:val="%5."/>
      <w:lvlJc w:val="left"/>
      <w:pPr>
        <w:ind w:left="3600" w:hanging="360"/>
      </w:pPr>
    </w:lvl>
    <w:lvl w:ilvl="5" w:tplc="C4C8A18E">
      <w:start w:val="1"/>
      <w:numFmt w:val="lowerRoman"/>
      <w:lvlText w:val="%6."/>
      <w:lvlJc w:val="right"/>
      <w:pPr>
        <w:ind w:left="4320" w:hanging="180"/>
      </w:pPr>
    </w:lvl>
    <w:lvl w:ilvl="6" w:tplc="57AE086A">
      <w:start w:val="1"/>
      <w:numFmt w:val="decimal"/>
      <w:lvlText w:val="%7."/>
      <w:lvlJc w:val="left"/>
      <w:pPr>
        <w:ind w:left="5040" w:hanging="360"/>
      </w:pPr>
    </w:lvl>
    <w:lvl w:ilvl="7" w:tplc="1F9027AA">
      <w:start w:val="1"/>
      <w:numFmt w:val="lowerLetter"/>
      <w:lvlText w:val="%8."/>
      <w:lvlJc w:val="left"/>
      <w:pPr>
        <w:ind w:left="5760" w:hanging="360"/>
      </w:pPr>
    </w:lvl>
    <w:lvl w:ilvl="8" w:tplc="018479A8">
      <w:start w:val="1"/>
      <w:numFmt w:val="lowerRoman"/>
      <w:lvlText w:val="%9."/>
      <w:lvlJc w:val="right"/>
      <w:pPr>
        <w:ind w:left="6480" w:hanging="180"/>
      </w:pPr>
    </w:lvl>
  </w:abstractNum>
  <w:num w:numId="1">
    <w:abstractNumId w:val="4"/>
  </w:num>
  <w:num w:numId="2">
    <w:abstractNumId w:val="10"/>
  </w:num>
  <w:num w:numId="3">
    <w:abstractNumId w:val="3"/>
  </w:num>
  <w:num w:numId="4">
    <w:abstractNumId w:val="0"/>
  </w:num>
  <w:num w:numId="5">
    <w:abstractNumId w:val="15"/>
  </w:num>
  <w:num w:numId="6">
    <w:abstractNumId w:val="7"/>
  </w:num>
  <w:num w:numId="7">
    <w:abstractNumId w:val="12"/>
  </w:num>
  <w:num w:numId="8">
    <w:abstractNumId w:val="6"/>
  </w:num>
  <w:num w:numId="9">
    <w:abstractNumId w:val="14"/>
  </w:num>
  <w:num w:numId="10">
    <w:abstractNumId w:val="11"/>
  </w:num>
  <w:num w:numId="11">
    <w:abstractNumId w:val="13"/>
  </w:num>
  <w:num w:numId="12">
    <w:abstractNumId w:val="1"/>
  </w:num>
  <w:num w:numId="13">
    <w:abstractNumId w:val="16"/>
  </w:num>
  <w:num w:numId="14">
    <w:abstractNumId w:val="2"/>
  </w:num>
  <w:num w:numId="15">
    <w:abstractNumId w:val="9"/>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5BB325"/>
    <w:rsid w:val="000100DB"/>
    <w:rsid w:val="000327D5"/>
    <w:rsid w:val="00032CFC"/>
    <w:rsid w:val="00036689"/>
    <w:rsid w:val="00061A79"/>
    <w:rsid w:val="00066912"/>
    <w:rsid w:val="00091C56"/>
    <w:rsid w:val="000A2286"/>
    <w:rsid w:val="000A6725"/>
    <w:rsid w:val="000C1C2C"/>
    <w:rsid w:val="000F6D26"/>
    <w:rsid w:val="00103E98"/>
    <w:rsid w:val="00110605"/>
    <w:rsid w:val="00131BD7"/>
    <w:rsid w:val="0014052B"/>
    <w:rsid w:val="00151BF7"/>
    <w:rsid w:val="001BF7BF"/>
    <w:rsid w:val="001C771C"/>
    <w:rsid w:val="001D02E4"/>
    <w:rsid w:val="001D2801"/>
    <w:rsid w:val="001F1A8E"/>
    <w:rsid w:val="001F1BBC"/>
    <w:rsid w:val="001F1E43"/>
    <w:rsid w:val="001F459E"/>
    <w:rsid w:val="00202EFE"/>
    <w:rsid w:val="00221BEF"/>
    <w:rsid w:val="00237B8A"/>
    <w:rsid w:val="00255B90"/>
    <w:rsid w:val="00261AD2"/>
    <w:rsid w:val="002760B0"/>
    <w:rsid w:val="002B6F9B"/>
    <w:rsid w:val="002C424B"/>
    <w:rsid w:val="002C64B9"/>
    <w:rsid w:val="00320174"/>
    <w:rsid w:val="00327C94"/>
    <w:rsid w:val="003300E3"/>
    <w:rsid w:val="00330D8E"/>
    <w:rsid w:val="003521FB"/>
    <w:rsid w:val="003615A4"/>
    <w:rsid w:val="00382C55"/>
    <w:rsid w:val="003904F2"/>
    <w:rsid w:val="0039100D"/>
    <w:rsid w:val="00395160"/>
    <w:rsid w:val="003A64CC"/>
    <w:rsid w:val="003E451C"/>
    <w:rsid w:val="004017FC"/>
    <w:rsid w:val="004103BD"/>
    <w:rsid w:val="004135C2"/>
    <w:rsid w:val="00424990"/>
    <w:rsid w:val="004300E9"/>
    <w:rsid w:val="00430C9A"/>
    <w:rsid w:val="00431704"/>
    <w:rsid w:val="00440E6A"/>
    <w:rsid w:val="004443F8"/>
    <w:rsid w:val="00450B39"/>
    <w:rsid w:val="0045289D"/>
    <w:rsid w:val="0046499A"/>
    <w:rsid w:val="00477CBB"/>
    <w:rsid w:val="00492666"/>
    <w:rsid w:val="004F046C"/>
    <w:rsid w:val="004F2E87"/>
    <w:rsid w:val="0050660B"/>
    <w:rsid w:val="005076E1"/>
    <w:rsid w:val="005207B1"/>
    <w:rsid w:val="005347A9"/>
    <w:rsid w:val="0054659E"/>
    <w:rsid w:val="00554559"/>
    <w:rsid w:val="005801E4"/>
    <w:rsid w:val="0058231B"/>
    <w:rsid w:val="00582834"/>
    <w:rsid w:val="00585694"/>
    <w:rsid w:val="005C10EB"/>
    <w:rsid w:val="005D485C"/>
    <w:rsid w:val="005E7CAA"/>
    <w:rsid w:val="00613CCF"/>
    <w:rsid w:val="00641396"/>
    <w:rsid w:val="00674515"/>
    <w:rsid w:val="00690FAE"/>
    <w:rsid w:val="00695993"/>
    <w:rsid w:val="006A0E25"/>
    <w:rsid w:val="006A2B3A"/>
    <w:rsid w:val="006D3C03"/>
    <w:rsid w:val="006E31BC"/>
    <w:rsid w:val="006F71A8"/>
    <w:rsid w:val="006F72E7"/>
    <w:rsid w:val="00707D31"/>
    <w:rsid w:val="00724EC6"/>
    <w:rsid w:val="00732902"/>
    <w:rsid w:val="00734940"/>
    <w:rsid w:val="00743D27"/>
    <w:rsid w:val="00750FFE"/>
    <w:rsid w:val="00757CD0"/>
    <w:rsid w:val="0076771E"/>
    <w:rsid w:val="00774775"/>
    <w:rsid w:val="00787103"/>
    <w:rsid w:val="007875C2"/>
    <w:rsid w:val="00790695"/>
    <w:rsid w:val="007B24BA"/>
    <w:rsid w:val="007D017D"/>
    <w:rsid w:val="007D3786"/>
    <w:rsid w:val="007E4712"/>
    <w:rsid w:val="0082041F"/>
    <w:rsid w:val="0082073F"/>
    <w:rsid w:val="00834181"/>
    <w:rsid w:val="008401AC"/>
    <w:rsid w:val="00843B3E"/>
    <w:rsid w:val="00847451"/>
    <w:rsid w:val="0085690F"/>
    <w:rsid w:val="00862C75"/>
    <w:rsid w:val="008919EB"/>
    <w:rsid w:val="008A178A"/>
    <w:rsid w:val="008A5503"/>
    <w:rsid w:val="008E0AB9"/>
    <w:rsid w:val="009148F5"/>
    <w:rsid w:val="00917DF8"/>
    <w:rsid w:val="00924BAF"/>
    <w:rsid w:val="0092626B"/>
    <w:rsid w:val="009301FA"/>
    <w:rsid w:val="009319E7"/>
    <w:rsid w:val="009407F0"/>
    <w:rsid w:val="009531E1"/>
    <w:rsid w:val="00956DEE"/>
    <w:rsid w:val="00984F5A"/>
    <w:rsid w:val="00985159"/>
    <w:rsid w:val="009A6C56"/>
    <w:rsid w:val="009F5E6A"/>
    <w:rsid w:val="009F6793"/>
    <w:rsid w:val="009F7A7B"/>
    <w:rsid w:val="00A01755"/>
    <w:rsid w:val="00A3602A"/>
    <w:rsid w:val="00A701B6"/>
    <w:rsid w:val="00A831F3"/>
    <w:rsid w:val="00A8473E"/>
    <w:rsid w:val="00A91791"/>
    <w:rsid w:val="00A93859"/>
    <w:rsid w:val="00AA3345"/>
    <w:rsid w:val="00AA5BD6"/>
    <w:rsid w:val="00AB1C1C"/>
    <w:rsid w:val="00AB650C"/>
    <w:rsid w:val="00AC62F0"/>
    <w:rsid w:val="00AE1F6A"/>
    <w:rsid w:val="00AE6A38"/>
    <w:rsid w:val="00AF6794"/>
    <w:rsid w:val="00B06484"/>
    <w:rsid w:val="00B24918"/>
    <w:rsid w:val="00B35779"/>
    <w:rsid w:val="00B415AF"/>
    <w:rsid w:val="00B51A53"/>
    <w:rsid w:val="00B67716"/>
    <w:rsid w:val="00B861E4"/>
    <w:rsid w:val="00B94B8F"/>
    <w:rsid w:val="00BF4550"/>
    <w:rsid w:val="00C1478A"/>
    <w:rsid w:val="00C22F9A"/>
    <w:rsid w:val="00C329F4"/>
    <w:rsid w:val="00C5537F"/>
    <w:rsid w:val="00C573CF"/>
    <w:rsid w:val="00C717CC"/>
    <w:rsid w:val="00C9097B"/>
    <w:rsid w:val="00CA1F65"/>
    <w:rsid w:val="00CC6E6A"/>
    <w:rsid w:val="00D24E0E"/>
    <w:rsid w:val="00D40577"/>
    <w:rsid w:val="00D46B5E"/>
    <w:rsid w:val="00D53408"/>
    <w:rsid w:val="00D66DF1"/>
    <w:rsid w:val="00DB17EE"/>
    <w:rsid w:val="00DC2C9E"/>
    <w:rsid w:val="00DD48FA"/>
    <w:rsid w:val="00DD67A0"/>
    <w:rsid w:val="00DE04EA"/>
    <w:rsid w:val="00DF2678"/>
    <w:rsid w:val="00DF3A96"/>
    <w:rsid w:val="00E00728"/>
    <w:rsid w:val="00E0725B"/>
    <w:rsid w:val="00E260BF"/>
    <w:rsid w:val="00E61841"/>
    <w:rsid w:val="00E879C1"/>
    <w:rsid w:val="00EC2146"/>
    <w:rsid w:val="00EE0507"/>
    <w:rsid w:val="00F21F9D"/>
    <w:rsid w:val="00F27C45"/>
    <w:rsid w:val="00F3089A"/>
    <w:rsid w:val="00F84D27"/>
    <w:rsid w:val="00F85888"/>
    <w:rsid w:val="00F9755A"/>
    <w:rsid w:val="00FA151A"/>
    <w:rsid w:val="00FA2933"/>
    <w:rsid w:val="00FB111D"/>
    <w:rsid w:val="00FB5688"/>
    <w:rsid w:val="00FD1984"/>
    <w:rsid w:val="00FE12B6"/>
    <w:rsid w:val="00FE5CBD"/>
    <w:rsid w:val="00FF3A2F"/>
    <w:rsid w:val="00FF5BFE"/>
    <w:rsid w:val="011E1E50"/>
    <w:rsid w:val="012E66AF"/>
    <w:rsid w:val="0175B52E"/>
    <w:rsid w:val="01C2DB0D"/>
    <w:rsid w:val="01E741A1"/>
    <w:rsid w:val="024BBEF4"/>
    <w:rsid w:val="0311858F"/>
    <w:rsid w:val="03B97657"/>
    <w:rsid w:val="03FEAB32"/>
    <w:rsid w:val="043D8C8E"/>
    <w:rsid w:val="05492B4D"/>
    <w:rsid w:val="05D4C968"/>
    <w:rsid w:val="060D8846"/>
    <w:rsid w:val="06D90D78"/>
    <w:rsid w:val="06E4FBAE"/>
    <w:rsid w:val="0742E28D"/>
    <w:rsid w:val="078D5FD4"/>
    <w:rsid w:val="09607A3D"/>
    <w:rsid w:val="0AC50096"/>
    <w:rsid w:val="0AE8194F"/>
    <w:rsid w:val="0BA4BDAE"/>
    <w:rsid w:val="0C25FD35"/>
    <w:rsid w:val="0C3DF11D"/>
    <w:rsid w:val="0E7CD383"/>
    <w:rsid w:val="0F231DCC"/>
    <w:rsid w:val="100D98EB"/>
    <w:rsid w:val="10210D89"/>
    <w:rsid w:val="109E47BB"/>
    <w:rsid w:val="110278C3"/>
    <w:rsid w:val="11E2A977"/>
    <w:rsid w:val="1292A46B"/>
    <w:rsid w:val="12F8B555"/>
    <w:rsid w:val="13740B86"/>
    <w:rsid w:val="144B424E"/>
    <w:rsid w:val="14B90811"/>
    <w:rsid w:val="14E03B3B"/>
    <w:rsid w:val="152EE9A7"/>
    <w:rsid w:val="1550BBCC"/>
    <w:rsid w:val="15CA452D"/>
    <w:rsid w:val="163F62E7"/>
    <w:rsid w:val="1654D872"/>
    <w:rsid w:val="1672AFD1"/>
    <w:rsid w:val="167B8250"/>
    <w:rsid w:val="16ABAC48"/>
    <w:rsid w:val="170C045F"/>
    <w:rsid w:val="1766158E"/>
    <w:rsid w:val="1772B60A"/>
    <w:rsid w:val="178603D9"/>
    <w:rsid w:val="17BCA527"/>
    <w:rsid w:val="1A25A559"/>
    <w:rsid w:val="1B2E70B3"/>
    <w:rsid w:val="1C13BB24"/>
    <w:rsid w:val="1C325C33"/>
    <w:rsid w:val="1D5D461B"/>
    <w:rsid w:val="1E2F883E"/>
    <w:rsid w:val="1EA1FD30"/>
    <w:rsid w:val="1EE7DFC5"/>
    <w:rsid w:val="1EF9167C"/>
    <w:rsid w:val="1F9662FF"/>
    <w:rsid w:val="1FCB589F"/>
    <w:rsid w:val="2001E1D6"/>
    <w:rsid w:val="205BB325"/>
    <w:rsid w:val="2094E6DD"/>
    <w:rsid w:val="20E2172D"/>
    <w:rsid w:val="21645792"/>
    <w:rsid w:val="2230B73E"/>
    <w:rsid w:val="24BAA9DC"/>
    <w:rsid w:val="254CFAF7"/>
    <w:rsid w:val="275CE1A3"/>
    <w:rsid w:val="27E67DAC"/>
    <w:rsid w:val="28849BB9"/>
    <w:rsid w:val="28D45072"/>
    <w:rsid w:val="29147429"/>
    <w:rsid w:val="299B3660"/>
    <w:rsid w:val="29F2A44F"/>
    <w:rsid w:val="2A633B51"/>
    <w:rsid w:val="2A7020D3"/>
    <w:rsid w:val="2B73423C"/>
    <w:rsid w:val="2BDF870A"/>
    <w:rsid w:val="2BFF0BB2"/>
    <w:rsid w:val="2D2A4511"/>
    <w:rsid w:val="2D305AC3"/>
    <w:rsid w:val="2ECA3A97"/>
    <w:rsid w:val="30B2F82D"/>
    <w:rsid w:val="3185C635"/>
    <w:rsid w:val="319AADA4"/>
    <w:rsid w:val="324311CA"/>
    <w:rsid w:val="32A620D8"/>
    <w:rsid w:val="32F08AF7"/>
    <w:rsid w:val="33C0A404"/>
    <w:rsid w:val="3430DA79"/>
    <w:rsid w:val="35239EAC"/>
    <w:rsid w:val="367EF4F7"/>
    <w:rsid w:val="368F2AD3"/>
    <w:rsid w:val="37DA45FA"/>
    <w:rsid w:val="37FE9AAF"/>
    <w:rsid w:val="38048EFC"/>
    <w:rsid w:val="38259A29"/>
    <w:rsid w:val="384DEAC1"/>
    <w:rsid w:val="389ACD72"/>
    <w:rsid w:val="39958E8D"/>
    <w:rsid w:val="3D92FD60"/>
    <w:rsid w:val="3DCC2EA9"/>
    <w:rsid w:val="3EAB4A43"/>
    <w:rsid w:val="4320F93F"/>
    <w:rsid w:val="443B9E6A"/>
    <w:rsid w:val="45273769"/>
    <w:rsid w:val="45750E26"/>
    <w:rsid w:val="45ED0B53"/>
    <w:rsid w:val="4718EA19"/>
    <w:rsid w:val="47D68525"/>
    <w:rsid w:val="48A19B2F"/>
    <w:rsid w:val="48B4BA7A"/>
    <w:rsid w:val="4AD3BAEC"/>
    <w:rsid w:val="4B50F51E"/>
    <w:rsid w:val="4C6F8B4D"/>
    <w:rsid w:val="4CEB409F"/>
    <w:rsid w:val="4D339984"/>
    <w:rsid w:val="4D8AAD64"/>
    <w:rsid w:val="4E511586"/>
    <w:rsid w:val="4F1AFED4"/>
    <w:rsid w:val="50125332"/>
    <w:rsid w:val="51EC9214"/>
    <w:rsid w:val="528F8512"/>
    <w:rsid w:val="529C2FA2"/>
    <w:rsid w:val="53A2DB08"/>
    <w:rsid w:val="55E11E16"/>
    <w:rsid w:val="5645F221"/>
    <w:rsid w:val="57116FA0"/>
    <w:rsid w:val="571E43C9"/>
    <w:rsid w:val="57413A41"/>
    <w:rsid w:val="576FA0C5"/>
    <w:rsid w:val="577CEE77"/>
    <w:rsid w:val="58E06BE2"/>
    <w:rsid w:val="594E9190"/>
    <w:rsid w:val="595FA33B"/>
    <w:rsid w:val="59986120"/>
    <w:rsid w:val="59C122FE"/>
    <w:rsid w:val="5A8829B2"/>
    <w:rsid w:val="5AB48F39"/>
    <w:rsid w:val="5C1B9A94"/>
    <w:rsid w:val="5CD35675"/>
    <w:rsid w:val="5D2B543F"/>
    <w:rsid w:val="5DDDDCB2"/>
    <w:rsid w:val="5DEC2FFB"/>
    <w:rsid w:val="5E9696F7"/>
    <w:rsid w:val="5ED9CBD0"/>
    <w:rsid w:val="5F420D4E"/>
    <w:rsid w:val="5F618A4D"/>
    <w:rsid w:val="60C3CBAE"/>
    <w:rsid w:val="6186D94D"/>
    <w:rsid w:val="61A6C798"/>
    <w:rsid w:val="61B30C86"/>
    <w:rsid w:val="61DE47F2"/>
    <w:rsid w:val="62D19B74"/>
    <w:rsid w:val="6347E53A"/>
    <w:rsid w:val="634EDCE7"/>
    <w:rsid w:val="63EF7224"/>
    <w:rsid w:val="64B0F66B"/>
    <w:rsid w:val="64DE685A"/>
    <w:rsid w:val="65193720"/>
    <w:rsid w:val="66658987"/>
    <w:rsid w:val="670BAB3D"/>
    <w:rsid w:val="680587FF"/>
    <w:rsid w:val="685BBA32"/>
    <w:rsid w:val="6A212D79"/>
    <w:rsid w:val="6B9F267B"/>
    <w:rsid w:val="6D6C0344"/>
    <w:rsid w:val="6DDBE609"/>
    <w:rsid w:val="6E54A2CB"/>
    <w:rsid w:val="6F224455"/>
    <w:rsid w:val="6F77B66A"/>
    <w:rsid w:val="70BAA247"/>
    <w:rsid w:val="70DD2961"/>
    <w:rsid w:val="7141D836"/>
    <w:rsid w:val="718E5C8E"/>
    <w:rsid w:val="71CE9C0F"/>
    <w:rsid w:val="71F2C2C3"/>
    <w:rsid w:val="736A6C70"/>
    <w:rsid w:val="7428077C"/>
    <w:rsid w:val="74647A68"/>
    <w:rsid w:val="74D60937"/>
    <w:rsid w:val="754C2FDF"/>
    <w:rsid w:val="75F21E54"/>
    <w:rsid w:val="77DAE2BF"/>
    <w:rsid w:val="77FCCF3F"/>
    <w:rsid w:val="793D68CA"/>
    <w:rsid w:val="79804616"/>
    <w:rsid w:val="79B3A1A7"/>
    <w:rsid w:val="7A698135"/>
    <w:rsid w:val="7A7525EE"/>
    <w:rsid w:val="7AA925E7"/>
    <w:rsid w:val="7B0A6425"/>
    <w:rsid w:val="7C140BA1"/>
    <w:rsid w:val="7CE073CD"/>
    <w:rsid w:val="7D279896"/>
    <w:rsid w:val="7EAFA0DE"/>
    <w:rsid w:val="7EBB8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B325"/>
  <w15:chartTrackingRefBased/>
  <w15:docId w15:val="{CEB90457-726C-4C54-A542-B8A5278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A5BD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AF"/>
    <w:rPr>
      <w:rFonts w:ascii="Segoe UI" w:hAnsi="Segoe UI" w:cs="Segoe UI"/>
      <w:sz w:val="18"/>
      <w:szCs w:val="18"/>
    </w:rPr>
  </w:style>
  <w:style w:type="paragraph" w:styleId="EndnoteText">
    <w:name w:val="endnote text"/>
    <w:basedOn w:val="Normal"/>
    <w:link w:val="EndnoteTextChar"/>
    <w:uiPriority w:val="99"/>
    <w:semiHidden/>
    <w:unhideWhenUsed/>
    <w:rsid w:val="00924B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4BAF"/>
    <w:rPr>
      <w:sz w:val="20"/>
      <w:szCs w:val="20"/>
    </w:rPr>
  </w:style>
  <w:style w:type="character" w:styleId="EndnoteReference">
    <w:name w:val="endnote reference"/>
    <w:basedOn w:val="DefaultParagraphFont"/>
    <w:uiPriority w:val="99"/>
    <w:semiHidden/>
    <w:unhideWhenUsed/>
    <w:rsid w:val="00924BAF"/>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1F459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875C2"/>
    <w:rPr>
      <w:b/>
      <w:bCs/>
    </w:rPr>
  </w:style>
  <w:style w:type="character" w:customStyle="1" w:styleId="CommentSubjectChar">
    <w:name w:val="Comment Subject Char"/>
    <w:basedOn w:val="CommentTextChar"/>
    <w:link w:val="CommentSubject"/>
    <w:uiPriority w:val="99"/>
    <w:semiHidden/>
    <w:rsid w:val="007875C2"/>
    <w:rPr>
      <w:b/>
      <w:bCs/>
      <w:sz w:val="20"/>
      <w:szCs w:val="20"/>
    </w:rPr>
  </w:style>
  <w:style w:type="paragraph" w:customStyle="1" w:styleId="Default">
    <w:name w:val="Default"/>
    <w:rsid w:val="00CC6E6A"/>
    <w:pPr>
      <w:autoSpaceDE w:val="0"/>
      <w:autoSpaceDN w:val="0"/>
      <w:adjustRightInd w:val="0"/>
      <w:spacing w:after="0" w:line="240" w:lineRule="auto"/>
    </w:pPr>
    <w:rPr>
      <w:rFonts w:ascii="Proxima Nova" w:hAnsi="Proxima Nova" w:cs="Proxima Nova"/>
      <w:color w:val="000000"/>
      <w:sz w:val="24"/>
      <w:szCs w:val="24"/>
      <w:lang w:val="en-GB"/>
    </w:rPr>
  </w:style>
  <w:style w:type="character" w:customStyle="1" w:styleId="UnresolvedMention1">
    <w:name w:val="Unresolved Mention1"/>
    <w:basedOn w:val="DefaultParagraphFont"/>
    <w:uiPriority w:val="99"/>
    <w:semiHidden/>
    <w:unhideWhenUsed/>
    <w:rsid w:val="00734940"/>
    <w:rPr>
      <w:color w:val="605E5C"/>
      <w:shd w:val="clear" w:color="auto" w:fill="E1DFDD"/>
    </w:rPr>
  </w:style>
  <w:style w:type="character" w:customStyle="1" w:styleId="None">
    <w:name w:val="None"/>
    <w:rsid w:val="00AA5BD6"/>
  </w:style>
  <w:style w:type="character" w:styleId="Emphasis">
    <w:name w:val="Emphasis"/>
    <w:basedOn w:val="DefaultParagraphFont"/>
    <w:uiPriority w:val="20"/>
    <w:qFormat/>
    <w:rsid w:val="00AA5BD6"/>
    <w:rPr>
      <w:i/>
      <w:iCs/>
    </w:rPr>
  </w:style>
  <w:style w:type="character" w:customStyle="1" w:styleId="Heading3Char">
    <w:name w:val="Heading 3 Char"/>
    <w:basedOn w:val="DefaultParagraphFont"/>
    <w:link w:val="Heading3"/>
    <w:uiPriority w:val="9"/>
    <w:rsid w:val="00AA5BD6"/>
    <w:rPr>
      <w:rFonts w:asciiTheme="majorHAnsi" w:eastAsiaTheme="majorEastAsia" w:hAnsiTheme="majorHAnsi" w:cstheme="majorBidi"/>
      <w:color w:val="1F3763" w:themeColor="accent1" w:themeShade="7F"/>
      <w:sz w:val="24"/>
      <w:szCs w:val="24"/>
      <w:lang w:val="de-DE"/>
    </w:rPr>
  </w:style>
  <w:style w:type="paragraph" w:styleId="FootnoteText">
    <w:name w:val="footnote text"/>
    <w:basedOn w:val="Normal"/>
    <w:link w:val="FootnoteTextChar"/>
    <w:uiPriority w:val="99"/>
    <w:semiHidden/>
    <w:unhideWhenUsed/>
    <w:rsid w:val="00A36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02A"/>
    <w:rPr>
      <w:sz w:val="20"/>
      <w:szCs w:val="20"/>
    </w:rPr>
  </w:style>
  <w:style w:type="character" w:styleId="FootnoteReference">
    <w:name w:val="footnote reference"/>
    <w:basedOn w:val="DefaultParagraphFont"/>
    <w:uiPriority w:val="99"/>
    <w:semiHidden/>
    <w:unhideWhenUsed/>
    <w:rsid w:val="00A3602A"/>
    <w:rPr>
      <w:vertAlign w:val="superscript"/>
    </w:rPr>
  </w:style>
  <w:style w:type="character" w:styleId="UnresolvedMention">
    <w:name w:val="Unresolved Mention"/>
    <w:basedOn w:val="DefaultParagraphFont"/>
    <w:uiPriority w:val="99"/>
    <w:semiHidden/>
    <w:unhideWhenUsed/>
    <w:rsid w:val="00464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business-and-human-rights/b-tech-project" TargetMode="External"/><Relationship Id="rId5" Type="http://schemas.openxmlformats.org/officeDocument/2006/relationships/webSettings" Target="webSettings.xml"/><Relationship Id="rId15" Type="http://schemas.openxmlformats.org/officeDocument/2006/relationships/theme" Target="theme/theme1.xml"/><Relationship Id="R66e9b3778f274bc3" Type="http://schemas.microsoft.com/office/2019/09/relationships/intelligence" Target="intelligence.xml"/><Relationship Id="rId10" Type="http://schemas.openxmlformats.org/officeDocument/2006/relationships/hyperlink" Target="https://www.ohchr.org/en/hr-bodies/hrc/wg-trans-corp/igwg-on-tnc" TargetMode="External"/><Relationship Id="rId4" Type="http://schemas.openxmlformats.org/officeDocument/2006/relationships/settings" Target="settings.xml"/><Relationship Id="rId9" Type="http://schemas.openxmlformats.org/officeDocument/2006/relationships/hyperlink" Target="https://www.ohchr.org/en/business-and-human-rights/b-tech-projec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hrc/wg-trans-corp/igwg-on-tnc" TargetMode="External"/><Relationship Id="rId2" Type="http://schemas.openxmlformats.org/officeDocument/2006/relationships/hyperlink" Target="https://undocs.org/A/HRC/47/39" TargetMode="External"/><Relationship Id="rId1" Type="http://schemas.openxmlformats.org/officeDocument/2006/relationships/hyperlink" Target="https://www.ohchr.org/sites/default/files/Documents/Publications/GuidingPrinciplesBusinessH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0ADC-BA9A-4C47-802F-9026F38D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JANINA BELEN (OHCHR-Fellow)</dc:creator>
  <cp:keywords/>
  <dc:description/>
  <cp:lastModifiedBy>Srinivasa</cp:lastModifiedBy>
  <cp:revision>3</cp:revision>
  <cp:lastPrinted>2022-07-07T12:12:00Z</cp:lastPrinted>
  <dcterms:created xsi:type="dcterms:W3CDTF">2022-09-01T14:37:00Z</dcterms:created>
  <dcterms:modified xsi:type="dcterms:W3CDTF">2022-09-30T11:27:00Z</dcterms:modified>
</cp:coreProperties>
</file>