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38B7" w:rsidR="00E71527" w:rsidP="00E71527" w:rsidRDefault="00E71527" w14:paraId="7C2A59C2" w14:textId="77777777">
      <w:pPr>
        <w:autoSpaceDE w:val="0"/>
        <w:autoSpaceDN w:val="0"/>
        <w:adjustRightInd w:val="0"/>
        <w:spacing w:after="0" w:line="240" w:lineRule="auto"/>
        <w:jc w:val="center"/>
        <w:rPr>
          <w:rFonts w:cstheme="minorHAnsi"/>
          <w:b/>
          <w:bCs/>
          <w:sz w:val="24"/>
          <w:szCs w:val="24"/>
        </w:rPr>
      </w:pPr>
      <w:r w:rsidRPr="007F38B7">
        <w:rPr>
          <w:rFonts w:cstheme="minorHAnsi"/>
          <w:b/>
          <w:bCs/>
          <w:sz w:val="24"/>
          <w:szCs w:val="24"/>
        </w:rPr>
        <w:t>Mandate of the Independent Expert on the enjoyment of all human rights by older</w:t>
      </w:r>
    </w:p>
    <w:p w:rsidRPr="007F38B7" w:rsidR="00E71527" w:rsidP="00E71527" w:rsidRDefault="00E71527" w14:paraId="7FC25C96" w14:textId="77777777">
      <w:pPr>
        <w:autoSpaceDE w:val="0"/>
        <w:autoSpaceDN w:val="0"/>
        <w:adjustRightInd w:val="0"/>
        <w:spacing w:after="0" w:line="240" w:lineRule="auto"/>
        <w:jc w:val="center"/>
        <w:rPr>
          <w:rFonts w:cstheme="minorHAnsi"/>
          <w:b/>
          <w:bCs/>
          <w:sz w:val="24"/>
          <w:szCs w:val="24"/>
        </w:rPr>
      </w:pPr>
      <w:r w:rsidRPr="007F38B7">
        <w:rPr>
          <w:rFonts w:cstheme="minorHAnsi"/>
          <w:b/>
          <w:bCs/>
          <w:sz w:val="24"/>
          <w:szCs w:val="24"/>
        </w:rPr>
        <w:t>persons</w:t>
      </w:r>
    </w:p>
    <w:p w:rsidRPr="007F38B7" w:rsidR="00E71527" w:rsidP="00E71527" w:rsidRDefault="00E71527" w14:paraId="5E66E319" w14:textId="77777777">
      <w:pPr>
        <w:jc w:val="center"/>
        <w:rPr>
          <w:rFonts w:cstheme="minorHAnsi"/>
          <w:b/>
          <w:bCs/>
          <w:sz w:val="24"/>
          <w:szCs w:val="24"/>
          <w:u w:val="single"/>
        </w:rPr>
      </w:pPr>
      <w:r w:rsidRPr="007F38B7">
        <w:rPr>
          <w:rFonts w:cstheme="minorHAnsi"/>
          <w:b/>
          <w:bCs/>
          <w:sz w:val="24"/>
          <w:szCs w:val="24"/>
          <w:u w:val="single"/>
        </w:rPr>
        <w:t xml:space="preserve">Call for inputs: Violence, </w:t>
      </w:r>
      <w:proofErr w:type="gramStart"/>
      <w:r w:rsidRPr="007F38B7">
        <w:rPr>
          <w:rFonts w:cstheme="minorHAnsi"/>
          <w:b/>
          <w:bCs/>
          <w:sz w:val="24"/>
          <w:szCs w:val="24"/>
          <w:u w:val="single"/>
        </w:rPr>
        <w:t>abuse</w:t>
      </w:r>
      <w:proofErr w:type="gramEnd"/>
      <w:r w:rsidRPr="007F38B7">
        <w:rPr>
          <w:rFonts w:cstheme="minorHAnsi"/>
          <w:b/>
          <w:bCs/>
          <w:sz w:val="24"/>
          <w:szCs w:val="24"/>
          <w:u w:val="single"/>
        </w:rPr>
        <w:t xml:space="preserve"> and neglect against older persons</w:t>
      </w:r>
    </w:p>
    <w:p w:rsidR="002524BC" w:rsidP="3CBD4BB5" w:rsidRDefault="00E71527" w14:paraId="10E5C3BE" w14:textId="79E9FD01">
      <w:pPr>
        <w:jc w:val="center"/>
        <w:rPr>
          <w:b/>
          <w:bCs/>
          <w:sz w:val="24"/>
          <w:szCs w:val="24"/>
        </w:rPr>
      </w:pPr>
      <w:r w:rsidRPr="3CBD4BB5">
        <w:rPr>
          <w:b/>
          <w:sz w:val="24"/>
          <w:szCs w:val="24"/>
        </w:rPr>
        <w:t xml:space="preserve">Draft response </w:t>
      </w:r>
    </w:p>
    <w:p w:rsidR="002524BC" w:rsidP="00E71527" w:rsidRDefault="00E71527" w14:paraId="5E5787A5" w14:textId="56D5063D">
      <w:pPr>
        <w:jc w:val="center"/>
        <w:rPr>
          <w:sz w:val="24"/>
          <w:szCs w:val="24"/>
        </w:rPr>
      </w:pPr>
      <w:r w:rsidRPr="3692AB97" w:rsidR="00E71527">
        <w:rPr>
          <w:sz w:val="24"/>
          <w:szCs w:val="24"/>
        </w:rPr>
        <w:t>(</w:t>
      </w:r>
      <w:r w:rsidRPr="3692AB97" w:rsidR="14FF1430">
        <w:rPr>
          <w:sz w:val="24"/>
          <w:szCs w:val="24"/>
        </w:rPr>
        <w:t>Word</w:t>
      </w:r>
      <w:r w:rsidRPr="3692AB97" w:rsidR="00E71527">
        <w:rPr>
          <w:sz w:val="24"/>
          <w:szCs w:val="24"/>
        </w:rPr>
        <w:t xml:space="preserve"> </w:t>
      </w:r>
      <w:r w:rsidRPr="3692AB97" w:rsidR="002B0469">
        <w:rPr>
          <w:sz w:val="24"/>
          <w:szCs w:val="24"/>
        </w:rPr>
        <w:t xml:space="preserve">count: </w:t>
      </w:r>
      <w:r w:rsidRPr="3692AB97" w:rsidR="00E22412">
        <w:rPr>
          <w:sz w:val="24"/>
          <w:szCs w:val="24"/>
        </w:rPr>
        <w:t>1</w:t>
      </w:r>
      <w:r w:rsidRPr="3692AB97" w:rsidR="28AA6B7A">
        <w:rPr>
          <w:sz w:val="24"/>
          <w:szCs w:val="24"/>
        </w:rPr>
        <w:t>,</w:t>
      </w:r>
      <w:r w:rsidRPr="3692AB97" w:rsidR="06907135">
        <w:rPr>
          <w:sz w:val="24"/>
          <w:szCs w:val="24"/>
        </w:rPr>
        <w:t>487</w:t>
      </w:r>
      <w:r w:rsidRPr="3692AB97" w:rsidR="2D19D9E3">
        <w:rPr>
          <w:sz w:val="24"/>
          <w:szCs w:val="24"/>
        </w:rPr>
        <w:t xml:space="preserve">not </w:t>
      </w:r>
      <w:r w:rsidRPr="3692AB97" w:rsidR="39875F0A">
        <w:rPr>
          <w:sz w:val="24"/>
          <w:szCs w:val="24"/>
        </w:rPr>
        <w:t xml:space="preserve">incl. </w:t>
      </w:r>
      <w:r w:rsidRPr="3692AB97" w:rsidR="03D1BAE7">
        <w:rPr>
          <w:sz w:val="24"/>
          <w:szCs w:val="24"/>
        </w:rPr>
        <w:t>h</w:t>
      </w:r>
      <w:r w:rsidRPr="3692AB97" w:rsidR="39875F0A">
        <w:rPr>
          <w:sz w:val="24"/>
          <w:szCs w:val="24"/>
        </w:rPr>
        <w:t>eadings</w:t>
      </w:r>
      <w:r w:rsidRPr="3692AB97" w:rsidR="32BB03D2">
        <w:rPr>
          <w:sz w:val="24"/>
          <w:szCs w:val="24"/>
        </w:rPr>
        <w:t xml:space="preserve"> or attachments section</w:t>
      </w:r>
      <w:r w:rsidRPr="3692AB97" w:rsidR="00E22412">
        <w:rPr>
          <w:sz w:val="24"/>
          <w:szCs w:val="24"/>
        </w:rPr>
        <w:t>)</w:t>
      </w:r>
    </w:p>
    <w:p w:rsidR="00E71527" w:rsidP="00E71527" w:rsidRDefault="00E71527" w14:paraId="126C0F0B" w14:textId="77777777">
      <w:pPr>
        <w:jc w:val="center"/>
        <w:rPr>
          <w:rFonts w:cstheme="minorHAnsi"/>
          <w:b/>
          <w:bCs/>
          <w:sz w:val="24"/>
          <w:szCs w:val="24"/>
        </w:rPr>
      </w:pPr>
    </w:p>
    <w:p w:rsidR="00E71527" w:rsidP="00E71527" w:rsidRDefault="00C56233" w14:paraId="0119BCC0" w14:textId="32BCBC33">
      <w:pPr>
        <w:rPr>
          <w:rFonts w:cstheme="minorHAnsi"/>
          <w:b/>
          <w:bCs/>
        </w:rPr>
      </w:pPr>
      <w:r w:rsidRPr="3CBD4BB5">
        <w:rPr>
          <w:b/>
        </w:rPr>
        <w:t>Legal, policy and institutional frameworks</w:t>
      </w:r>
    </w:p>
    <w:p w:rsidRPr="008F12F6" w:rsidR="008F12F6" w:rsidP="00E71527" w:rsidRDefault="004D55A1" w14:paraId="7135FBF6" w14:textId="40DEFE9F">
      <w:pPr>
        <w:rPr>
          <w:rFonts w:cstheme="minorHAnsi"/>
        </w:rPr>
      </w:pPr>
      <w:r>
        <w:rPr>
          <w:rFonts w:cstheme="minorHAnsi"/>
        </w:rPr>
        <w:t xml:space="preserve">Australia’s federal </w:t>
      </w:r>
      <w:r w:rsidR="006D5492">
        <w:rPr>
          <w:i/>
          <w:lang w:val="en-US"/>
        </w:rPr>
        <w:t xml:space="preserve">Age Discrimination Act 2004 </w:t>
      </w:r>
      <w:r w:rsidR="006D5492">
        <w:rPr>
          <w:iCs/>
          <w:lang w:val="en-US"/>
        </w:rPr>
        <w:t>(ADA)</w:t>
      </w:r>
      <w:r w:rsidR="00976AF8">
        <w:rPr>
          <w:lang w:val="en-US"/>
        </w:rPr>
        <w:t xml:space="preserve"> protects Australians </w:t>
      </w:r>
      <w:r w:rsidR="008A3E90">
        <w:rPr>
          <w:lang w:val="en-US"/>
        </w:rPr>
        <w:t xml:space="preserve">from age discrimination. The ADA </w:t>
      </w:r>
      <w:r w:rsidR="006D5492">
        <w:rPr>
          <w:lang w:val="en-US"/>
        </w:rPr>
        <w:t xml:space="preserve">makes it unlawful to treat someone less favourably </w:t>
      </w:r>
      <w:proofErr w:type="gramStart"/>
      <w:r w:rsidR="006D5492">
        <w:rPr>
          <w:lang w:val="en-US"/>
        </w:rPr>
        <w:t>on the basis of</w:t>
      </w:r>
      <w:proofErr w:type="gramEnd"/>
      <w:r w:rsidR="006D5492">
        <w:rPr>
          <w:lang w:val="en-US"/>
        </w:rPr>
        <w:t xml:space="preserve"> their age in specific areas of public life such as employment, education, accommodation and provision of goods and services.  </w:t>
      </w:r>
    </w:p>
    <w:p w:rsidR="008010A1" w:rsidP="008010A1" w:rsidRDefault="008010A1" w14:paraId="3451AF03" w14:textId="7C955C94">
      <w:pPr>
        <w:rPr>
          <w:iCs/>
        </w:rPr>
      </w:pPr>
      <w:r>
        <w:rPr>
          <w:lang w:val="en-US"/>
        </w:rPr>
        <w:t xml:space="preserve">Under the </w:t>
      </w:r>
      <w:r w:rsidRPr="002C527F">
        <w:rPr>
          <w:i/>
          <w:iCs/>
        </w:rPr>
        <w:t>Australian Human Rights Commission Act 1986</w:t>
      </w:r>
      <w:bookmarkStart w:name="4top" w:id="0"/>
      <w:bookmarkEnd w:id="0"/>
      <w:r w:rsidRPr="002C527F">
        <w:rPr>
          <w:i/>
          <w:iCs/>
        </w:rPr>
        <w:t xml:space="preserve"> </w:t>
      </w:r>
      <w:r w:rsidRPr="002C527F">
        <w:rPr>
          <w:iCs/>
        </w:rPr>
        <w:t>(</w:t>
      </w:r>
      <w:proofErr w:type="spellStart"/>
      <w:r w:rsidRPr="002C527F">
        <w:rPr>
          <w:iCs/>
        </w:rPr>
        <w:t>Cth</w:t>
      </w:r>
      <w:proofErr w:type="spellEnd"/>
      <w:r w:rsidRPr="002C527F">
        <w:rPr>
          <w:iCs/>
        </w:rPr>
        <w:t>)</w:t>
      </w:r>
      <w:r>
        <w:rPr>
          <w:iCs/>
        </w:rPr>
        <w:t>, the Australian Human Rights Commission is responsible for administering anti-discrimination laws</w:t>
      </w:r>
      <w:r w:rsidR="00571FE7">
        <w:rPr>
          <w:iCs/>
        </w:rPr>
        <w:t xml:space="preserve">. </w:t>
      </w:r>
      <w:r>
        <w:rPr>
          <w:iCs/>
        </w:rPr>
        <w:t xml:space="preserve">The Commission’s functions include </w:t>
      </w:r>
      <w:r w:rsidRPr="00AE1373">
        <w:rPr>
          <w:iCs/>
        </w:rPr>
        <w:t>investigating and conciliating complaints of discrimination or breaches of human rights; contributing to policy and legislative development through advice and submissions to government; undertaking public education and awareness programs</w:t>
      </w:r>
      <w:r w:rsidR="0B3D4FC2">
        <w:t>;</w:t>
      </w:r>
      <w:r w:rsidRPr="00AE1373">
        <w:rPr>
          <w:iCs/>
        </w:rPr>
        <w:t xml:space="preserve"> conducting research</w:t>
      </w:r>
      <w:r w:rsidR="1CB9A242">
        <w:t>;</w:t>
      </w:r>
      <w:r w:rsidRPr="00AE1373">
        <w:rPr>
          <w:iCs/>
        </w:rPr>
        <w:t xml:space="preserve"> and inquiring into human rights issues of national importance.</w:t>
      </w:r>
    </w:p>
    <w:p w:rsidRPr="003D6F3A" w:rsidR="00C83483" w:rsidP="00A508B8" w:rsidRDefault="00C83483" w14:paraId="0FC551B3" w14:textId="1DCF7526">
      <w:pPr>
        <w:spacing w:before="240" w:after="0"/>
      </w:pPr>
      <w:r w:rsidRPr="3CBD4BB5">
        <w:t xml:space="preserve">The </w:t>
      </w:r>
      <w:r w:rsidRPr="3CBD4BB5">
        <w:rPr>
          <w:i/>
        </w:rPr>
        <w:t xml:space="preserve">National Plan </w:t>
      </w:r>
      <w:proofErr w:type="gramStart"/>
      <w:r w:rsidRPr="3CBD4BB5">
        <w:rPr>
          <w:i/>
        </w:rPr>
        <w:t>To</w:t>
      </w:r>
      <w:proofErr w:type="gramEnd"/>
      <w:r w:rsidRPr="3CBD4BB5">
        <w:rPr>
          <w:i/>
        </w:rPr>
        <w:t xml:space="preserve"> Respond To The Abuse Of Older Australians (2019–2023)</w:t>
      </w:r>
      <w:r w:rsidRPr="3CBD4BB5">
        <w:t xml:space="preserve"> provides the key policy framework for action by Commonwealth, State and Territory </w:t>
      </w:r>
      <w:r w:rsidRPr="3CBD4BB5" w:rsidR="4484694C">
        <w:t>g</w:t>
      </w:r>
      <w:r w:rsidRPr="3CBD4BB5">
        <w:t xml:space="preserve">overnments to address the abuse of older Australians across five key priority areas: </w:t>
      </w:r>
    </w:p>
    <w:p w:rsidRPr="003D6F3A" w:rsidR="00C83483" w:rsidP="00A508B8" w:rsidRDefault="00C83483" w14:paraId="1FDBFF32" w14:textId="77777777">
      <w:pPr>
        <w:numPr>
          <w:ilvl w:val="0"/>
          <w:numId w:val="1"/>
        </w:numPr>
        <w:spacing w:after="0"/>
        <w:rPr>
          <w:rFonts w:cstheme="minorHAnsi"/>
        </w:rPr>
      </w:pPr>
      <w:r w:rsidRPr="003D6F3A">
        <w:rPr>
          <w:rFonts w:cstheme="minorHAnsi"/>
        </w:rPr>
        <w:t>Enhancing our understanding</w:t>
      </w:r>
    </w:p>
    <w:p w:rsidRPr="003D6F3A" w:rsidR="00C83483" w:rsidP="00A508B8" w:rsidRDefault="00C83483" w14:paraId="55D9D95C" w14:textId="77777777">
      <w:pPr>
        <w:numPr>
          <w:ilvl w:val="0"/>
          <w:numId w:val="1"/>
        </w:numPr>
        <w:spacing w:after="0"/>
        <w:rPr>
          <w:rFonts w:cstheme="minorHAnsi"/>
        </w:rPr>
      </w:pPr>
      <w:r w:rsidRPr="003D6F3A">
        <w:rPr>
          <w:rFonts w:cstheme="minorHAnsi"/>
        </w:rPr>
        <w:t>Improving community awareness and access to information</w:t>
      </w:r>
    </w:p>
    <w:p w:rsidRPr="003D6F3A" w:rsidR="00C83483" w:rsidP="00A508B8" w:rsidRDefault="00C83483" w14:paraId="2174811B" w14:textId="77777777">
      <w:pPr>
        <w:numPr>
          <w:ilvl w:val="0"/>
          <w:numId w:val="1"/>
        </w:numPr>
        <w:spacing w:after="0"/>
        <w:rPr>
          <w:rFonts w:cstheme="minorHAnsi"/>
        </w:rPr>
      </w:pPr>
      <w:r w:rsidRPr="003D6F3A">
        <w:rPr>
          <w:rFonts w:cstheme="minorHAnsi"/>
        </w:rPr>
        <w:t>Strengthening service responses</w:t>
      </w:r>
    </w:p>
    <w:p w:rsidRPr="003D6F3A" w:rsidR="00C83483" w:rsidP="00A508B8" w:rsidRDefault="00C83483" w14:paraId="0D89A4C1" w14:textId="77777777">
      <w:pPr>
        <w:numPr>
          <w:ilvl w:val="0"/>
          <w:numId w:val="1"/>
        </w:numPr>
        <w:spacing w:after="0"/>
        <w:rPr>
          <w:rFonts w:cstheme="minorHAnsi"/>
        </w:rPr>
      </w:pPr>
      <w:r w:rsidRPr="003D6F3A">
        <w:rPr>
          <w:rFonts w:cstheme="minorHAnsi"/>
        </w:rPr>
        <w:t xml:space="preserve">Planning for future decision-making, and </w:t>
      </w:r>
    </w:p>
    <w:p w:rsidRPr="003D6F3A" w:rsidR="00C83483" w:rsidP="00C83483" w:rsidRDefault="00C83483" w14:paraId="74823F93" w14:textId="77777777">
      <w:pPr>
        <w:numPr>
          <w:ilvl w:val="0"/>
          <w:numId w:val="1"/>
        </w:numPr>
        <w:rPr>
          <w:rFonts w:cstheme="minorHAnsi"/>
        </w:rPr>
      </w:pPr>
      <w:r w:rsidRPr="003D6F3A">
        <w:rPr>
          <w:rFonts w:cstheme="minorHAnsi"/>
        </w:rPr>
        <w:t xml:space="preserve">Strengthening safeguards for vulnerable older adults. </w:t>
      </w:r>
    </w:p>
    <w:p w:rsidR="00964A58" w:rsidP="00964A58" w:rsidRDefault="00BE1A64" w14:paraId="0C1CBD7D" w14:textId="41FE03A6">
      <w:pPr>
        <w:spacing w:after="0"/>
        <w:rPr>
          <w:rFonts w:cstheme="minorHAnsi"/>
        </w:rPr>
      </w:pPr>
      <w:r>
        <w:rPr>
          <w:rFonts w:cstheme="minorHAnsi"/>
        </w:rPr>
        <w:t xml:space="preserve">The Government is currently </w:t>
      </w:r>
      <w:r w:rsidR="00964A58">
        <w:rPr>
          <w:rFonts w:cstheme="minorHAnsi"/>
        </w:rPr>
        <w:t xml:space="preserve">developing a new </w:t>
      </w:r>
      <w:r w:rsidR="00964A58">
        <w:rPr>
          <w:rFonts w:cstheme="minorHAnsi"/>
          <w:i/>
          <w:iCs/>
        </w:rPr>
        <w:t>Aged Care Act</w:t>
      </w:r>
      <w:r w:rsidR="00964A58">
        <w:rPr>
          <w:rFonts w:cstheme="minorHAnsi"/>
        </w:rPr>
        <w:t>,</w:t>
      </w:r>
      <w:r w:rsidR="002A75B2">
        <w:rPr>
          <w:rFonts w:cstheme="minorHAnsi"/>
        </w:rPr>
        <w:t xml:space="preserve"> </w:t>
      </w:r>
      <w:r w:rsidR="008E2F49">
        <w:rPr>
          <w:rFonts w:cstheme="minorHAnsi"/>
        </w:rPr>
        <w:t>which will include</w:t>
      </w:r>
      <w:r w:rsidR="00964A58">
        <w:rPr>
          <w:rFonts w:cstheme="minorHAnsi"/>
        </w:rPr>
        <w:t>:</w:t>
      </w:r>
    </w:p>
    <w:p w:rsidR="00964A58" w:rsidP="00964A58" w:rsidRDefault="002A75B2" w14:paraId="75BECD58" w14:textId="02B4F7F3">
      <w:pPr>
        <w:pStyle w:val="ListParagraph"/>
        <w:numPr>
          <w:ilvl w:val="0"/>
          <w:numId w:val="10"/>
        </w:numPr>
        <w:spacing w:after="0"/>
        <w:rPr>
          <w:rFonts w:cstheme="minorHAnsi"/>
        </w:rPr>
      </w:pPr>
      <w:r>
        <w:rPr>
          <w:rFonts w:cstheme="minorHAnsi"/>
        </w:rPr>
        <w:t xml:space="preserve">A </w:t>
      </w:r>
      <w:r w:rsidR="00437CB0">
        <w:rPr>
          <w:rFonts w:cstheme="minorHAnsi"/>
        </w:rPr>
        <w:t>st</w:t>
      </w:r>
      <w:r w:rsidR="00CF1797">
        <w:rPr>
          <w:rFonts w:cstheme="minorHAnsi"/>
        </w:rPr>
        <w:t xml:space="preserve">atement of rights which </w:t>
      </w:r>
      <w:r>
        <w:rPr>
          <w:rFonts w:cstheme="minorHAnsi"/>
        </w:rPr>
        <w:t>outline</w:t>
      </w:r>
      <w:r w:rsidR="00CF1797">
        <w:rPr>
          <w:rFonts w:cstheme="minorHAnsi"/>
        </w:rPr>
        <w:t>s</w:t>
      </w:r>
      <w:r>
        <w:rPr>
          <w:rFonts w:cstheme="minorHAnsi"/>
        </w:rPr>
        <w:t xml:space="preserve"> the</w:t>
      </w:r>
      <w:r w:rsidR="00CF1797">
        <w:rPr>
          <w:rFonts w:cstheme="minorHAnsi"/>
        </w:rPr>
        <w:t xml:space="preserve"> specific</w:t>
      </w:r>
      <w:r>
        <w:rPr>
          <w:rFonts w:cstheme="minorHAnsi"/>
        </w:rPr>
        <w:t xml:space="preserve"> rig</w:t>
      </w:r>
      <w:r w:rsidR="00AF538C">
        <w:rPr>
          <w:rFonts w:cstheme="minorHAnsi"/>
        </w:rPr>
        <w:t>hts of older</w:t>
      </w:r>
      <w:r w:rsidR="00CF1797">
        <w:rPr>
          <w:rFonts w:cstheme="minorHAnsi"/>
        </w:rPr>
        <w:t xml:space="preserve"> people</w:t>
      </w:r>
      <w:r w:rsidR="00AF538C">
        <w:rPr>
          <w:rFonts w:cstheme="minorHAnsi"/>
        </w:rPr>
        <w:t xml:space="preserve"> who are seeking </w:t>
      </w:r>
      <w:r w:rsidR="00CF1797">
        <w:rPr>
          <w:rFonts w:cstheme="minorHAnsi"/>
        </w:rPr>
        <w:t xml:space="preserve">or </w:t>
      </w:r>
      <w:r w:rsidR="00AF538C">
        <w:rPr>
          <w:rFonts w:cstheme="minorHAnsi"/>
        </w:rPr>
        <w:t xml:space="preserve">accessing </w:t>
      </w:r>
      <w:r w:rsidR="00DD0411">
        <w:rPr>
          <w:rFonts w:cstheme="minorHAnsi"/>
        </w:rPr>
        <w:t xml:space="preserve">the </w:t>
      </w:r>
      <w:r w:rsidR="00AF538C">
        <w:rPr>
          <w:rFonts w:cstheme="minorHAnsi"/>
        </w:rPr>
        <w:t xml:space="preserve">aged care </w:t>
      </w:r>
      <w:r w:rsidR="00DD0411">
        <w:rPr>
          <w:rFonts w:cstheme="minorHAnsi"/>
        </w:rPr>
        <w:t xml:space="preserve">system. </w:t>
      </w:r>
    </w:p>
    <w:p w:rsidR="00AF538C" w:rsidP="00964A58" w:rsidRDefault="00AF538C" w14:paraId="5498A438" w14:textId="2CFC0BDD">
      <w:pPr>
        <w:pStyle w:val="ListParagraph"/>
        <w:numPr>
          <w:ilvl w:val="0"/>
          <w:numId w:val="10"/>
        </w:numPr>
        <w:spacing w:after="0"/>
        <w:rPr>
          <w:rFonts w:cstheme="minorHAnsi"/>
        </w:rPr>
      </w:pPr>
      <w:r>
        <w:rPr>
          <w:rFonts w:cstheme="minorHAnsi"/>
        </w:rPr>
        <w:t>New system oversight and accountability arrangements</w:t>
      </w:r>
    </w:p>
    <w:p w:rsidR="00AF538C" w:rsidP="00964A58" w:rsidRDefault="00DD0411" w14:paraId="68E8D4AC" w14:textId="653FBA74">
      <w:pPr>
        <w:pStyle w:val="ListParagraph"/>
        <w:numPr>
          <w:ilvl w:val="0"/>
          <w:numId w:val="10"/>
        </w:numPr>
        <w:spacing w:after="0"/>
        <w:rPr>
          <w:rFonts w:cstheme="minorHAnsi"/>
        </w:rPr>
      </w:pPr>
      <w:r>
        <w:rPr>
          <w:rFonts w:cstheme="minorHAnsi"/>
        </w:rPr>
        <w:t>A new regulatory model to i</w:t>
      </w:r>
      <w:r w:rsidR="009F2CB8">
        <w:rPr>
          <w:rFonts w:cstheme="minorHAnsi"/>
        </w:rPr>
        <w:t xml:space="preserve">mprove </w:t>
      </w:r>
      <w:r w:rsidR="00B75078">
        <w:rPr>
          <w:rFonts w:cstheme="minorHAnsi"/>
        </w:rPr>
        <w:t>accountability for aged care providers to ensure delivery of safe and high-quality services</w:t>
      </w:r>
      <w:r>
        <w:rPr>
          <w:rFonts w:cstheme="minorHAnsi"/>
        </w:rPr>
        <w:t>, and to strengthen enforcement powers for the regulator.</w:t>
      </w:r>
    </w:p>
    <w:p w:rsidRPr="00B505A5" w:rsidR="00B505A5" w:rsidP="00B505A5" w:rsidRDefault="00B505A5" w14:paraId="38973FD7" w14:textId="0CBB7A76">
      <w:pPr>
        <w:spacing w:after="0"/>
        <w:rPr>
          <w:rFonts w:cstheme="minorHAnsi"/>
        </w:rPr>
      </w:pPr>
      <w:r>
        <w:rPr>
          <w:rFonts w:cstheme="minorHAnsi"/>
        </w:rPr>
        <w:t xml:space="preserve">Ahead of the Act’s introduction, </w:t>
      </w:r>
      <w:r w:rsidR="000F7D49">
        <w:rPr>
          <w:rFonts w:cstheme="minorHAnsi"/>
        </w:rPr>
        <w:t xml:space="preserve">interim legislative amendments have been made to </w:t>
      </w:r>
      <w:r w:rsidR="003C5097">
        <w:rPr>
          <w:rFonts w:cstheme="minorHAnsi"/>
        </w:rPr>
        <w:t xml:space="preserve">improve safety, </w:t>
      </w:r>
      <w:proofErr w:type="gramStart"/>
      <w:r w:rsidR="003C5097">
        <w:rPr>
          <w:rFonts w:cstheme="minorHAnsi"/>
        </w:rPr>
        <w:t>transparency</w:t>
      </w:r>
      <w:proofErr w:type="gramEnd"/>
      <w:r w:rsidR="003C5097">
        <w:rPr>
          <w:rFonts w:cstheme="minorHAnsi"/>
        </w:rPr>
        <w:t xml:space="preserve"> and accountability in aged care service</w:t>
      </w:r>
      <w:r w:rsidR="00D962A4">
        <w:rPr>
          <w:rFonts w:cstheme="minorHAnsi"/>
        </w:rPr>
        <w:t xml:space="preserve">s. </w:t>
      </w:r>
    </w:p>
    <w:p w:rsidRPr="00B75078" w:rsidR="00B75078" w:rsidP="00B75078" w:rsidRDefault="00B75078" w14:paraId="54B13A71" w14:textId="77777777">
      <w:pPr>
        <w:spacing w:after="0"/>
        <w:rPr>
          <w:rFonts w:cstheme="minorHAnsi"/>
        </w:rPr>
      </w:pPr>
    </w:p>
    <w:p w:rsidRPr="00964A58" w:rsidR="00964A58" w:rsidP="00964A58" w:rsidRDefault="00964A58" w14:paraId="39B20F2F" w14:textId="77777777">
      <w:pPr>
        <w:spacing w:before="240" w:after="0"/>
        <w:rPr>
          <w:rFonts w:cstheme="minorHAnsi"/>
        </w:rPr>
      </w:pPr>
    </w:p>
    <w:p w:rsidR="00211526" w:rsidP="00E71527" w:rsidRDefault="00614D95" w14:paraId="191FD5BE" w14:textId="6D08B9B9">
      <w:pPr>
        <w:rPr>
          <w:rFonts w:cstheme="minorHAnsi"/>
          <w:b/>
          <w:bCs/>
        </w:rPr>
      </w:pPr>
      <w:r>
        <w:rPr>
          <w:rFonts w:cstheme="minorHAnsi"/>
          <w:b/>
          <w:bCs/>
        </w:rPr>
        <w:t xml:space="preserve">Manifestations </w:t>
      </w:r>
      <w:r w:rsidR="00D548C2">
        <w:rPr>
          <w:rFonts w:cstheme="minorHAnsi"/>
          <w:b/>
          <w:bCs/>
        </w:rPr>
        <w:t>of</w:t>
      </w:r>
      <w:r w:rsidR="00211526">
        <w:rPr>
          <w:rFonts w:cstheme="minorHAnsi"/>
          <w:b/>
          <w:bCs/>
        </w:rPr>
        <w:t xml:space="preserve"> violence</w:t>
      </w:r>
    </w:p>
    <w:p w:rsidR="004456D1" w:rsidP="004456D1" w:rsidRDefault="00020DF0" w14:paraId="2E3CAC10" w14:textId="4E0CABB1">
      <w:pPr>
        <w:spacing w:before="240"/>
      </w:pPr>
      <w:r w:rsidRPr="3CBD4BB5">
        <w:t xml:space="preserve">The Australian Institute of Family Studies (AIFS) </w:t>
      </w:r>
      <w:r w:rsidRPr="3CBD4BB5" w:rsidR="427FA08A">
        <w:t xml:space="preserve">delivered </w:t>
      </w:r>
      <w:r w:rsidRPr="3CBD4BB5">
        <w:t xml:space="preserve">Australia’s first, large scale </w:t>
      </w:r>
      <w:hyperlink r:id="rId8">
        <w:r w:rsidRPr="3CBD4BB5">
          <w:rPr>
            <w:rStyle w:val="Hyperlink"/>
          </w:rPr>
          <w:t>National Elder Abuse Prevalence Study</w:t>
        </w:r>
      </w:hyperlink>
      <w:r w:rsidRPr="3CBD4BB5" w:rsidR="5B341A39">
        <w:rPr>
          <w:b/>
          <w:bCs/>
        </w:rPr>
        <w:t xml:space="preserve"> </w:t>
      </w:r>
      <w:r w:rsidR="5B341A39">
        <w:t>(the Study)</w:t>
      </w:r>
      <w:r w:rsidRPr="3CBD4BB5" w:rsidR="006747AB">
        <w:rPr>
          <w:b/>
          <w:bCs/>
        </w:rPr>
        <w:t>.</w:t>
      </w:r>
      <w:r w:rsidRPr="3CBD4BB5" w:rsidR="004456D1">
        <w:rPr>
          <w:b/>
          <w:bCs/>
        </w:rPr>
        <w:t xml:space="preserve"> </w:t>
      </w:r>
      <w:r w:rsidRPr="3CBD4BB5" w:rsidR="71A12356">
        <w:t>Published in 2021,</w:t>
      </w:r>
      <w:r w:rsidRPr="3CBD4BB5" w:rsidR="3218FB7E">
        <w:t xml:space="preserve"> </w:t>
      </w:r>
      <w:r w:rsidRPr="3CBD4BB5" w:rsidR="71A12356">
        <w:t xml:space="preserve">the Study </w:t>
      </w:r>
      <w:r w:rsidRPr="3CBD4BB5" w:rsidR="3218FB7E">
        <w:t>contained</w:t>
      </w:r>
      <w:r w:rsidR="004456D1">
        <w:t xml:space="preserve"> data relating to prevalence, perpetrator characteristics, help-seeking, and attitudes</w:t>
      </w:r>
      <w:r w:rsidR="00012DFD">
        <w:t>:</w:t>
      </w:r>
    </w:p>
    <w:p w:rsidR="004456D1" w:rsidP="004456D1" w:rsidRDefault="004456D1" w14:paraId="1B813731" w14:textId="3894D644">
      <w:pPr>
        <w:pStyle w:val="ListParagraph"/>
        <w:numPr>
          <w:ilvl w:val="0"/>
          <w:numId w:val="6"/>
        </w:numPr>
        <w:spacing w:before="240"/>
      </w:pPr>
      <w:r w:rsidRPr="7F7815D5">
        <w:lastRenderedPageBreak/>
        <w:t>14.8% of older Australians reported experiencing abuse in the 12 months prior to being surveyed</w:t>
      </w:r>
      <w:r w:rsidRPr="7F7815D5" w:rsidR="061BDBA8">
        <w:t>.</w:t>
      </w:r>
    </w:p>
    <w:p w:rsidR="004456D1" w:rsidP="004456D1" w:rsidRDefault="004456D1" w14:paraId="472F2273" w14:textId="77777777">
      <w:pPr>
        <w:pStyle w:val="ListParagraph"/>
        <w:numPr>
          <w:ilvl w:val="0"/>
          <w:numId w:val="6"/>
        </w:numPr>
        <w:spacing w:before="240"/>
        <w:rPr>
          <w:rFonts w:cstheme="minorHAnsi"/>
        </w:rPr>
      </w:pPr>
      <w:r>
        <w:rPr>
          <w:rFonts w:cstheme="minorHAnsi"/>
        </w:rPr>
        <w:t>E</w:t>
      </w:r>
      <w:r w:rsidRPr="00A63D28">
        <w:rPr>
          <w:rFonts w:cstheme="minorHAnsi"/>
        </w:rPr>
        <w:t xml:space="preserve">lder abuse can take the form of psychological abuse (12%), neglect (3%), financial abuse (2%), physical abuse (2%) and sexual abuse (1%). </w:t>
      </w:r>
    </w:p>
    <w:p w:rsidR="004456D1" w:rsidP="004456D1" w:rsidRDefault="004456D1" w14:paraId="764972D6" w14:textId="3C1F4D53">
      <w:pPr>
        <w:pStyle w:val="ListParagraph"/>
        <w:numPr>
          <w:ilvl w:val="0"/>
          <w:numId w:val="6"/>
        </w:numPr>
        <w:spacing w:before="240"/>
        <w:rPr>
          <w:rFonts w:cstheme="minorHAnsi"/>
        </w:rPr>
      </w:pPr>
      <w:r w:rsidRPr="00D95F5D">
        <w:rPr>
          <w:rFonts w:cstheme="minorHAnsi"/>
        </w:rPr>
        <w:t xml:space="preserve">Some </w:t>
      </w:r>
      <w:r w:rsidR="00EC1E1E">
        <w:rPr>
          <w:rFonts w:cstheme="minorHAnsi"/>
        </w:rPr>
        <w:t xml:space="preserve">older </w:t>
      </w:r>
      <w:r w:rsidRPr="00D95F5D">
        <w:rPr>
          <w:rFonts w:cstheme="minorHAnsi"/>
        </w:rPr>
        <w:t xml:space="preserve">people experience more than one type of abuse (4%). </w:t>
      </w:r>
    </w:p>
    <w:p w:rsidR="004456D1" w:rsidP="004456D1" w:rsidRDefault="004456D1" w14:paraId="7AC76C82" w14:textId="77777777">
      <w:pPr>
        <w:pStyle w:val="ListParagraph"/>
        <w:numPr>
          <w:ilvl w:val="0"/>
          <w:numId w:val="6"/>
        </w:numPr>
        <w:spacing w:before="240"/>
        <w:rPr>
          <w:rFonts w:cstheme="minorHAnsi"/>
        </w:rPr>
      </w:pPr>
      <w:r>
        <w:rPr>
          <w:rFonts w:cstheme="minorHAnsi"/>
        </w:rPr>
        <w:t>P</w:t>
      </w:r>
      <w:r w:rsidRPr="00D95F5D">
        <w:rPr>
          <w:rFonts w:cstheme="minorHAnsi"/>
        </w:rPr>
        <w:t>erpetrators of elder abuse were often family members (most</w:t>
      </w:r>
      <w:r>
        <w:rPr>
          <w:rFonts w:cstheme="minorHAnsi"/>
        </w:rPr>
        <w:t xml:space="preserve"> often </w:t>
      </w:r>
      <w:r w:rsidRPr="00D95F5D">
        <w:rPr>
          <w:rFonts w:cstheme="minorHAnsi"/>
        </w:rPr>
        <w:t>adult children)</w:t>
      </w:r>
      <w:r>
        <w:rPr>
          <w:rFonts w:cstheme="minorHAnsi"/>
        </w:rPr>
        <w:t xml:space="preserve">, but </w:t>
      </w:r>
      <w:r w:rsidRPr="00D95F5D">
        <w:rPr>
          <w:rFonts w:cstheme="minorHAnsi"/>
        </w:rPr>
        <w:t xml:space="preserve">could also be friends, </w:t>
      </w:r>
      <w:proofErr w:type="gramStart"/>
      <w:r w:rsidRPr="00D95F5D">
        <w:rPr>
          <w:rFonts w:cstheme="minorHAnsi"/>
        </w:rPr>
        <w:t>neighbours</w:t>
      </w:r>
      <w:proofErr w:type="gramEnd"/>
      <w:r w:rsidRPr="00D95F5D">
        <w:rPr>
          <w:rFonts w:cstheme="minorHAnsi"/>
        </w:rPr>
        <w:t xml:space="preserve"> and acquaintances.</w:t>
      </w:r>
    </w:p>
    <w:p w:rsidR="00614D95" w:rsidP="00614D95" w:rsidRDefault="00614D95" w14:paraId="290010D1" w14:textId="57237313">
      <w:pPr>
        <w:pStyle w:val="ListParagraph"/>
        <w:numPr>
          <w:ilvl w:val="0"/>
          <w:numId w:val="6"/>
        </w:numPr>
        <w:rPr>
          <w:rFonts w:cstheme="minorHAnsi"/>
        </w:rPr>
      </w:pPr>
      <w:r w:rsidRPr="00614D95">
        <w:rPr>
          <w:rFonts w:cstheme="minorHAnsi"/>
        </w:rPr>
        <w:t>Two thirds of older people don't seek help when they are abused (61%)</w:t>
      </w:r>
      <w:r w:rsidR="00C0179D">
        <w:rPr>
          <w:rFonts w:cstheme="minorHAnsi"/>
        </w:rPr>
        <w:t xml:space="preserve">, however 82% </w:t>
      </w:r>
      <w:r w:rsidR="00244CBF">
        <w:rPr>
          <w:rFonts w:cstheme="minorHAnsi"/>
        </w:rPr>
        <w:t>took some form of action to try and stop the abuse.</w:t>
      </w:r>
    </w:p>
    <w:p w:rsidRPr="00614D95" w:rsidR="007729AD" w:rsidP="00EF5E24" w:rsidRDefault="007729AD" w14:paraId="045B7585" w14:textId="77777777">
      <w:pPr>
        <w:pStyle w:val="ListParagraph"/>
        <w:rPr>
          <w:rFonts w:cstheme="minorHAnsi"/>
        </w:rPr>
      </w:pPr>
    </w:p>
    <w:p w:rsidR="00614D95" w:rsidP="00951AAC" w:rsidRDefault="00614D95" w14:paraId="274D5387" w14:textId="77777777">
      <w:pPr>
        <w:rPr>
          <w:b/>
          <w:bCs/>
        </w:rPr>
      </w:pPr>
    </w:p>
    <w:p w:rsidR="00951AAC" w:rsidP="00951AAC" w:rsidRDefault="00951AAC" w14:paraId="244FD301" w14:textId="25A0DD0F">
      <w:pPr>
        <w:rPr>
          <w:b/>
          <w:bCs/>
        </w:rPr>
      </w:pPr>
      <w:r>
        <w:rPr>
          <w:b/>
          <w:bCs/>
        </w:rPr>
        <w:t>Intersectionality</w:t>
      </w:r>
    </w:p>
    <w:p w:rsidR="00A35E2B" w:rsidP="00A35E2B" w:rsidRDefault="00F3068E" w14:paraId="748BE5BB" w14:textId="354479D3">
      <w:pPr>
        <w:spacing w:before="240"/>
      </w:pPr>
      <w:r>
        <w:t>The</w:t>
      </w:r>
      <w:r w:rsidR="007B74A7">
        <w:t xml:space="preserve"> </w:t>
      </w:r>
      <w:r w:rsidR="4D608B16">
        <w:t>National</w:t>
      </w:r>
      <w:r>
        <w:t xml:space="preserve"> </w:t>
      </w:r>
      <w:r w:rsidR="00884440">
        <w:t>Elder Abuse Prevalence Study</w:t>
      </w:r>
      <w:r w:rsidRPr="3CBD4BB5" w:rsidR="007B74A7">
        <w:t xml:space="preserve"> also</w:t>
      </w:r>
      <w:r w:rsidRPr="3CBD4BB5" w:rsidR="00A35E2B">
        <w:t xml:space="preserve"> </w:t>
      </w:r>
      <w:r w:rsidRPr="3CBD4BB5" w:rsidR="1A0152C7">
        <w:t>analysed</w:t>
      </w:r>
      <w:r w:rsidR="00A35E2B">
        <w:t xml:space="preserve"> the extent to which the experience of elder abuse varied according to various socio-demographic characteristics, including gender, age, Indigenous status, country of birth, religion, household income, and </w:t>
      </w:r>
      <w:r w:rsidR="00517251">
        <w:t>location</w:t>
      </w:r>
      <w:r w:rsidR="00012DFD">
        <w:t>:</w:t>
      </w:r>
    </w:p>
    <w:p w:rsidR="00A35E2B" w:rsidP="00A35E2B" w:rsidRDefault="1D3DD464" w14:paraId="35F93AE2" w14:textId="509ED9F5">
      <w:pPr>
        <w:pStyle w:val="ListParagraph"/>
        <w:numPr>
          <w:ilvl w:val="0"/>
          <w:numId w:val="3"/>
        </w:numPr>
        <w:spacing w:before="240"/>
      </w:pPr>
      <w:r w:rsidRPr="7F7815D5">
        <w:t>T</w:t>
      </w:r>
      <w:r w:rsidRPr="7F7815D5" w:rsidR="00A35E2B">
        <w:t xml:space="preserve">he prevalence of elder abuse was slightly higher for women than for men (16% </w:t>
      </w:r>
      <w:r w:rsidRPr="7F7815D5" w:rsidR="0077366E">
        <w:t xml:space="preserve">compared with </w:t>
      </w:r>
      <w:r w:rsidRPr="7F7815D5" w:rsidR="00A35E2B">
        <w:t xml:space="preserve">14%). </w:t>
      </w:r>
    </w:p>
    <w:p w:rsidRPr="00912E08" w:rsidR="00A35E2B" w:rsidP="00A35E2B" w:rsidRDefault="5E3880A9" w14:paraId="10163CC3" w14:textId="6F44C6A2">
      <w:pPr>
        <w:pStyle w:val="ListParagraph"/>
        <w:numPr>
          <w:ilvl w:val="0"/>
          <w:numId w:val="2"/>
        </w:numPr>
        <w:spacing w:before="240"/>
      </w:pPr>
      <w:r w:rsidRPr="7F7815D5">
        <w:t>P</w:t>
      </w:r>
      <w:r w:rsidRPr="7F7815D5" w:rsidR="00A35E2B">
        <w:t xml:space="preserve">eople with poor physical or psychological health and higher levels of social isolation were at higher risk of experiencing abuse. People with lower socio-economic status were at higher risk of experiencing abuse. </w:t>
      </w:r>
    </w:p>
    <w:p w:rsidR="00CA3416" w:rsidP="00A35E2B" w:rsidRDefault="005C35BC" w14:paraId="01208D3C" w14:textId="0C5DC89A">
      <w:pPr>
        <w:pStyle w:val="ListParagraph"/>
        <w:numPr>
          <w:ilvl w:val="0"/>
          <w:numId w:val="2"/>
        </w:numPr>
        <w:spacing w:before="240"/>
        <w:rPr>
          <w:rFonts w:cstheme="minorHAnsi"/>
        </w:rPr>
      </w:pPr>
      <w:r>
        <w:rPr>
          <w:rFonts w:cstheme="minorHAnsi"/>
        </w:rPr>
        <w:t>The experience of elder abuse by people of a culturally and linguistically diverse (CALD) background, did not differ greatly from t</w:t>
      </w:r>
      <w:r w:rsidR="0077366E">
        <w:rPr>
          <w:rFonts w:cstheme="minorHAnsi"/>
        </w:rPr>
        <w:t>he non-CALD population (</w:t>
      </w:r>
      <w:r w:rsidR="002C693E">
        <w:rPr>
          <w:rFonts w:cstheme="minorHAnsi"/>
        </w:rPr>
        <w:t xml:space="preserve">14% compared with 15%). </w:t>
      </w:r>
    </w:p>
    <w:p w:rsidRPr="0076410C" w:rsidR="002C693E" w:rsidP="002C693E" w:rsidRDefault="002C693E" w14:paraId="191FE459" w14:textId="16689CDC">
      <w:pPr>
        <w:pStyle w:val="ListParagraph"/>
        <w:numPr>
          <w:ilvl w:val="1"/>
          <w:numId w:val="2"/>
        </w:numPr>
        <w:spacing w:before="240"/>
      </w:pPr>
      <w:r w:rsidRPr="3CBD4BB5">
        <w:t>CALD participants in the study were less likely to report their children as perpetrators of abuse.</w:t>
      </w:r>
    </w:p>
    <w:p w:rsidRPr="0076410C" w:rsidR="0076410C" w:rsidP="3CBD4BB5" w:rsidRDefault="0076410C" w14:paraId="22F23E54" w14:textId="62A17339">
      <w:pPr>
        <w:pStyle w:val="ListParagraph"/>
        <w:numPr>
          <w:ilvl w:val="0"/>
          <w:numId w:val="2"/>
        </w:numPr>
        <w:spacing w:before="240"/>
      </w:pPr>
      <w:r w:rsidRPr="3CBD4BB5">
        <w:t>Older people living with disability experienced higher rates of elder abuse than those without disability.</w:t>
      </w:r>
    </w:p>
    <w:p w:rsidR="003D6FE8" w:rsidP="004D0ACC" w:rsidRDefault="003D6FE8" w14:paraId="5C3F98F4" w14:textId="77777777">
      <w:pPr>
        <w:rPr>
          <w:b/>
          <w:bCs/>
        </w:rPr>
      </w:pPr>
    </w:p>
    <w:p w:rsidR="004D0ACC" w:rsidP="004D0ACC" w:rsidRDefault="004D0ACC" w14:paraId="592057D6" w14:textId="7E9CB102">
      <w:pPr>
        <w:rPr>
          <w:b/>
          <w:bCs/>
        </w:rPr>
      </w:pPr>
      <w:r>
        <w:rPr>
          <w:b/>
          <w:bCs/>
        </w:rPr>
        <w:t>Data</w:t>
      </w:r>
    </w:p>
    <w:p w:rsidR="008671D8" w:rsidP="004D0ACC" w:rsidRDefault="008671D8" w14:paraId="3BC91411" w14:textId="3B630A1E">
      <w:r>
        <w:t xml:space="preserve">In addition to the </w:t>
      </w:r>
      <w:r w:rsidR="25F07601">
        <w:t>National</w:t>
      </w:r>
      <w:r>
        <w:t xml:space="preserve"> Elder Abuse Prevalence Study</w:t>
      </w:r>
      <w:r w:rsidR="00012DFD">
        <w:t>,</w:t>
      </w:r>
      <w:r>
        <w:t xml:space="preserve"> the following </w:t>
      </w:r>
      <w:r w:rsidR="00C3323D">
        <w:t>data relating to violence, abuse and neglect of older persons is available in Australia:</w:t>
      </w:r>
    </w:p>
    <w:p w:rsidRPr="00350C67" w:rsidR="003D6FE8" w:rsidP="00C3323D" w:rsidRDefault="003D6FE8" w14:paraId="4705F83D" w14:textId="3D1AFDE3">
      <w:pPr>
        <w:pStyle w:val="ListParagraph"/>
        <w:numPr>
          <w:ilvl w:val="0"/>
          <w:numId w:val="11"/>
        </w:numPr>
      </w:pPr>
      <w:r w:rsidRPr="3CBD4BB5">
        <w:t xml:space="preserve">The </w:t>
      </w:r>
      <w:hyperlink r:id="rId9">
        <w:r w:rsidRPr="3CBD4BB5">
          <w:rPr>
            <w:rStyle w:val="Hyperlink"/>
          </w:rPr>
          <w:t>A</w:t>
        </w:r>
        <w:r w:rsidRPr="3CBD4BB5" w:rsidR="0E33F376">
          <w:rPr>
            <w:rStyle w:val="Hyperlink"/>
          </w:rPr>
          <w:t>ustralian Bureau of Statistics (ABS)</w:t>
        </w:r>
        <w:r w:rsidRPr="3CBD4BB5">
          <w:rPr>
            <w:rStyle w:val="Hyperlink"/>
          </w:rPr>
          <w:t xml:space="preserve"> Personal Safety Survey</w:t>
        </w:r>
      </w:hyperlink>
      <w:r w:rsidRPr="3CBD4BB5">
        <w:t xml:space="preserve"> collects national data about the nature and extent of violence experienced since the age of 15 and in the past 12 months. </w:t>
      </w:r>
      <w:r w:rsidRPr="3CBD4BB5" w:rsidR="0041345E">
        <w:t>D</w:t>
      </w:r>
      <w:r w:rsidRPr="3CBD4BB5">
        <w:t xml:space="preserve">ata </w:t>
      </w:r>
      <w:r w:rsidRPr="3CBD4BB5" w:rsidR="00E22412">
        <w:t xml:space="preserve">is </w:t>
      </w:r>
      <w:r w:rsidRPr="3CBD4BB5">
        <w:t xml:space="preserve">disaggregated by age </w:t>
      </w:r>
      <w:r w:rsidRPr="3CBD4BB5" w:rsidR="00E22412">
        <w:t>group.</w:t>
      </w:r>
    </w:p>
    <w:p w:rsidRPr="00350C67" w:rsidR="00350C67" w:rsidP="00350C67" w:rsidRDefault="00350C67" w14:paraId="77547AFC" w14:textId="4520CAB2">
      <w:pPr>
        <w:pStyle w:val="ListParagraph"/>
        <w:numPr>
          <w:ilvl w:val="0"/>
          <w:numId w:val="11"/>
        </w:numPr>
        <w:spacing w:before="240"/>
      </w:pPr>
      <w:r w:rsidRPr="3CBD4BB5">
        <w:t xml:space="preserve">The Aged Care Quality and Safety Commission’s </w:t>
      </w:r>
      <w:r w:rsidRPr="3CBD4BB5" w:rsidR="1B452D55">
        <w:t>(ACQSC)</w:t>
      </w:r>
      <w:r w:rsidRPr="3CBD4BB5">
        <w:t xml:space="preserve"> </w:t>
      </w:r>
      <w:hyperlink r:id="rId10">
        <w:r w:rsidRPr="3CBD4BB5">
          <w:rPr>
            <w:rStyle w:val="Hyperlink"/>
          </w:rPr>
          <w:t>sector performance data</w:t>
        </w:r>
      </w:hyperlink>
      <w:r w:rsidRPr="3CBD4BB5">
        <w:t xml:space="preserve"> contains national quarterly data about violence and abuse in residential aged care facilities and home services. </w:t>
      </w:r>
    </w:p>
    <w:p w:rsidRPr="005B730D" w:rsidR="005B730D" w:rsidP="005B730D" w:rsidRDefault="00245007" w14:paraId="00A1B0DC" w14:textId="77777777">
      <w:pPr>
        <w:pStyle w:val="ListParagraph"/>
        <w:numPr>
          <w:ilvl w:val="0"/>
          <w:numId w:val="11"/>
        </w:numPr>
      </w:pPr>
      <w:r w:rsidRPr="0094793C">
        <w:rPr>
          <w:rFonts w:cstheme="minorHAnsi"/>
        </w:rPr>
        <w:t xml:space="preserve">The </w:t>
      </w:r>
      <w:hyperlink w:history="1" r:id="rId11">
        <w:r w:rsidRPr="0094793C">
          <w:rPr>
            <w:rStyle w:val="Hyperlink"/>
            <w:rFonts w:cstheme="minorHAnsi"/>
          </w:rPr>
          <w:t>National Homicide Monitoring Program</w:t>
        </w:r>
      </w:hyperlink>
      <w:r w:rsidRPr="0094793C">
        <w:rPr>
          <w:rFonts w:cstheme="minorHAnsi"/>
        </w:rPr>
        <w:t xml:space="preserve"> contains information on domestic homicides, disaggregated by age group. </w:t>
      </w:r>
    </w:p>
    <w:p w:rsidRPr="005B730D" w:rsidR="005B730D" w:rsidP="005B730D" w:rsidRDefault="00245007" w14:paraId="37861A37" w14:textId="1AB5FE3F">
      <w:pPr>
        <w:pStyle w:val="ListParagraph"/>
        <w:numPr>
          <w:ilvl w:val="0"/>
          <w:numId w:val="11"/>
        </w:numPr>
      </w:pPr>
      <w:r w:rsidRPr="005B730D">
        <w:rPr>
          <w:rFonts w:cstheme="minorHAnsi"/>
        </w:rPr>
        <w:t xml:space="preserve">The </w:t>
      </w:r>
      <w:hyperlink w:history="1" r:id="rId12">
        <w:r w:rsidRPr="005B730D">
          <w:rPr>
            <w:rStyle w:val="Hyperlink"/>
            <w:rFonts w:cstheme="minorHAnsi"/>
          </w:rPr>
          <w:t>ABS Recorded crime – Victims</w:t>
        </w:r>
      </w:hyperlink>
      <w:r w:rsidRPr="005B730D">
        <w:rPr>
          <w:rFonts w:cstheme="minorHAnsi"/>
        </w:rPr>
        <w:t xml:space="preserve"> data contains annual information on police involvement in violence and abuse.  </w:t>
      </w:r>
    </w:p>
    <w:p w:rsidRPr="005B730D" w:rsidR="005B730D" w:rsidP="005B730D" w:rsidRDefault="00245007" w14:paraId="0BE55A2D" w14:textId="77777777">
      <w:pPr>
        <w:pStyle w:val="ListParagraph"/>
        <w:numPr>
          <w:ilvl w:val="0"/>
          <w:numId w:val="11"/>
        </w:numPr>
      </w:pPr>
      <w:r w:rsidRPr="005B730D">
        <w:rPr>
          <w:rFonts w:cstheme="minorHAnsi"/>
        </w:rPr>
        <w:t xml:space="preserve">The </w:t>
      </w:r>
      <w:hyperlink w:history="1" r:id="rId13">
        <w:r w:rsidRPr="005B730D">
          <w:rPr>
            <w:rStyle w:val="Hyperlink"/>
            <w:rFonts w:cstheme="minorHAnsi"/>
          </w:rPr>
          <w:t>AIHW Specialist Homelessness Services</w:t>
        </w:r>
      </w:hyperlink>
      <w:r w:rsidRPr="005B730D">
        <w:rPr>
          <w:rFonts w:cstheme="minorHAnsi"/>
        </w:rPr>
        <w:t xml:space="preserve"> data collection contains annual national data about people who access homelessness services following family and domestic violence. </w:t>
      </w:r>
    </w:p>
    <w:p w:rsidRPr="00625FA5" w:rsidR="00AB40F6" w:rsidP="00AB40F6" w:rsidRDefault="00245007" w14:paraId="1066BAFA" w14:textId="77777777">
      <w:pPr>
        <w:pStyle w:val="ListParagraph"/>
        <w:numPr>
          <w:ilvl w:val="0"/>
          <w:numId w:val="11"/>
        </w:numPr>
      </w:pPr>
      <w:r w:rsidRPr="3CBD4BB5">
        <w:lastRenderedPageBreak/>
        <w:t xml:space="preserve">The </w:t>
      </w:r>
      <w:hyperlink r:id="rId14">
        <w:r w:rsidRPr="3CBD4BB5">
          <w:rPr>
            <w:rStyle w:val="Hyperlink"/>
          </w:rPr>
          <w:t>AIHW National Hospital Morbidity Database</w:t>
        </w:r>
      </w:hyperlink>
      <w:r w:rsidRPr="3CBD4BB5">
        <w:t xml:space="preserve"> contains information about hospital admissions following violence.  </w:t>
      </w:r>
    </w:p>
    <w:p w:rsidR="786D1B99" w:rsidP="3CBD4BB5" w:rsidRDefault="786D1B99" w14:paraId="7986BF86" w14:textId="55105210">
      <w:pPr>
        <w:pStyle w:val="ListParagraph"/>
        <w:numPr>
          <w:ilvl w:val="0"/>
          <w:numId w:val="11"/>
        </w:numPr>
      </w:pPr>
      <w:r w:rsidRPr="3CBD4BB5">
        <w:t xml:space="preserve">The Australian </w:t>
      </w:r>
      <w:r w:rsidRPr="3CBD4BB5" w:rsidR="2C3DE35B">
        <w:t>Competition</w:t>
      </w:r>
      <w:r w:rsidRPr="3CBD4BB5" w:rsidR="37C92F44">
        <w:t xml:space="preserve"> and Consumer</w:t>
      </w:r>
      <w:r w:rsidRPr="3CBD4BB5" w:rsidR="2C3DE35B">
        <w:t xml:space="preserve"> Commission (ACCC) collects dat</w:t>
      </w:r>
      <w:r w:rsidRPr="3CBD4BB5" w:rsidR="316298E0">
        <w:t>a</w:t>
      </w:r>
      <w:r w:rsidRPr="3CBD4BB5" w:rsidR="2C3DE35B">
        <w:t xml:space="preserve"> about s</w:t>
      </w:r>
      <w:r w:rsidRPr="3CBD4BB5" w:rsidR="7D0E2774">
        <w:t xml:space="preserve">cams reported to its </w:t>
      </w:r>
      <w:hyperlink r:id="rId15">
        <w:proofErr w:type="spellStart"/>
        <w:r w:rsidRPr="3CBD4BB5" w:rsidR="7D0E2774">
          <w:rPr>
            <w:rStyle w:val="Hyperlink"/>
          </w:rPr>
          <w:t>Scamwatch</w:t>
        </w:r>
        <w:proofErr w:type="spellEnd"/>
      </w:hyperlink>
      <w:r w:rsidRPr="3CBD4BB5" w:rsidR="7D0E2774">
        <w:t xml:space="preserve"> service, including how they have affected older Austral</w:t>
      </w:r>
      <w:r w:rsidRPr="3CBD4BB5" w:rsidR="295B5E75">
        <w:t>ian</w:t>
      </w:r>
      <w:r w:rsidRPr="3CBD4BB5" w:rsidR="7D0E2774">
        <w:t>s.</w:t>
      </w:r>
    </w:p>
    <w:p w:rsidRPr="00DE70D7" w:rsidR="00DE70D7" w:rsidP="00DE70D7" w:rsidRDefault="00DE70D7" w14:paraId="6A6653EA" w14:textId="38FB72B6">
      <w:pPr>
        <w:spacing w:before="240"/>
      </w:pPr>
      <w:r w:rsidRPr="3CBD4BB5">
        <w:t>Data on the abuse and neglect of older Australians receiving Commonwealth-funded aged care services is available at the national level through the Serious Incident Response Scheme (</w:t>
      </w:r>
      <w:hyperlink r:id="rId16">
        <w:r w:rsidRPr="3CBD4BB5">
          <w:rPr>
            <w:rStyle w:val="Hyperlink"/>
          </w:rPr>
          <w:t>SIRS</w:t>
        </w:r>
      </w:hyperlink>
      <w:r w:rsidRPr="3CBD4BB5">
        <w:t xml:space="preserve">). Under SIRS, </w:t>
      </w:r>
      <w:r w:rsidRPr="3CBD4BB5" w:rsidR="00B2301F">
        <w:t xml:space="preserve">aged care </w:t>
      </w:r>
      <w:r w:rsidRPr="3CBD4BB5">
        <w:t>providers must notify the ACQSC of any reportable incidents</w:t>
      </w:r>
      <w:r w:rsidRPr="3CBD4BB5" w:rsidR="00B2301F">
        <w:t xml:space="preserve">, </w:t>
      </w:r>
      <w:r w:rsidRPr="3CBD4BB5" w:rsidR="1C4128F4">
        <w:t>including</w:t>
      </w:r>
      <w:r w:rsidRPr="3CBD4BB5" w:rsidR="006E10B1">
        <w:t>:</w:t>
      </w:r>
      <w:r w:rsidRPr="3CBD4BB5">
        <w:t xml:space="preserve"> </w:t>
      </w:r>
    </w:p>
    <w:p w:rsidRPr="006E10B1" w:rsidR="00DE70D7" w:rsidP="006E10B1" w:rsidRDefault="00DE70D7" w14:paraId="72AE1D29" w14:textId="419F452F">
      <w:pPr>
        <w:pStyle w:val="ListParagraph"/>
        <w:numPr>
          <w:ilvl w:val="0"/>
          <w:numId w:val="13"/>
        </w:numPr>
        <w:rPr>
          <w:rFonts w:cstheme="minorHAnsi"/>
        </w:rPr>
      </w:pPr>
      <w:r w:rsidRPr="006E10B1">
        <w:rPr>
          <w:rFonts w:cstheme="minorHAnsi"/>
        </w:rPr>
        <w:t>Unreasonable use of force</w:t>
      </w:r>
    </w:p>
    <w:p w:rsidRPr="006E10B1" w:rsidR="00DE70D7" w:rsidP="006E10B1" w:rsidRDefault="00DE70D7" w14:paraId="1CA18FFA" w14:textId="2194FD32">
      <w:pPr>
        <w:pStyle w:val="ListParagraph"/>
        <w:numPr>
          <w:ilvl w:val="0"/>
          <w:numId w:val="13"/>
        </w:numPr>
        <w:rPr>
          <w:rFonts w:cstheme="minorHAnsi"/>
        </w:rPr>
      </w:pPr>
      <w:r w:rsidRPr="006E10B1">
        <w:rPr>
          <w:rFonts w:cstheme="minorHAnsi"/>
        </w:rPr>
        <w:t>Unlawful sexual contact or inappropriate sexual conduct</w:t>
      </w:r>
    </w:p>
    <w:p w:rsidRPr="006E10B1" w:rsidR="00DE70D7" w:rsidP="006E10B1" w:rsidRDefault="00DE70D7" w14:paraId="7D1D3AD0" w14:textId="33114584">
      <w:pPr>
        <w:pStyle w:val="ListParagraph"/>
        <w:numPr>
          <w:ilvl w:val="0"/>
          <w:numId w:val="13"/>
        </w:numPr>
        <w:rPr>
          <w:rFonts w:cstheme="minorHAnsi"/>
        </w:rPr>
      </w:pPr>
      <w:r w:rsidRPr="006E10B1">
        <w:rPr>
          <w:rFonts w:cstheme="minorHAnsi"/>
        </w:rPr>
        <w:t>Psychological or emotional abuse</w:t>
      </w:r>
    </w:p>
    <w:p w:rsidRPr="006E10B1" w:rsidR="00DE70D7" w:rsidP="006E10B1" w:rsidRDefault="00DE70D7" w14:paraId="65664B53" w14:textId="07564657">
      <w:pPr>
        <w:pStyle w:val="ListParagraph"/>
        <w:numPr>
          <w:ilvl w:val="0"/>
          <w:numId w:val="13"/>
        </w:numPr>
        <w:rPr>
          <w:rFonts w:cstheme="minorHAnsi"/>
        </w:rPr>
      </w:pPr>
      <w:r w:rsidRPr="006E10B1">
        <w:rPr>
          <w:rFonts w:cstheme="minorHAnsi"/>
        </w:rPr>
        <w:t>Unexpected death</w:t>
      </w:r>
    </w:p>
    <w:p w:rsidRPr="006E10B1" w:rsidR="00DE70D7" w:rsidP="006E10B1" w:rsidRDefault="00DE70D7" w14:paraId="2064A278" w14:textId="43D95DC7">
      <w:pPr>
        <w:pStyle w:val="ListParagraph"/>
        <w:numPr>
          <w:ilvl w:val="0"/>
          <w:numId w:val="13"/>
        </w:numPr>
        <w:rPr>
          <w:rFonts w:cstheme="minorHAnsi"/>
        </w:rPr>
      </w:pPr>
      <w:r w:rsidRPr="006E10B1">
        <w:rPr>
          <w:rFonts w:cstheme="minorHAnsi"/>
        </w:rPr>
        <w:t>Stealing or financial coercion by a staff member</w:t>
      </w:r>
    </w:p>
    <w:p w:rsidRPr="006E10B1" w:rsidR="00DE70D7" w:rsidP="006E10B1" w:rsidRDefault="00DE70D7" w14:paraId="4FB99DF9" w14:textId="667712A6">
      <w:pPr>
        <w:pStyle w:val="ListParagraph"/>
        <w:numPr>
          <w:ilvl w:val="0"/>
          <w:numId w:val="13"/>
        </w:numPr>
        <w:rPr>
          <w:rFonts w:cstheme="minorHAnsi"/>
        </w:rPr>
      </w:pPr>
      <w:r w:rsidRPr="006E10B1">
        <w:rPr>
          <w:rFonts w:cstheme="minorHAnsi"/>
        </w:rPr>
        <w:t>Neglect</w:t>
      </w:r>
    </w:p>
    <w:p w:rsidRPr="006E10B1" w:rsidR="00DE70D7" w:rsidP="006E10B1" w:rsidRDefault="00DE70D7" w14:paraId="1EEE4522" w14:textId="4DA9E663">
      <w:pPr>
        <w:pStyle w:val="ListParagraph"/>
        <w:numPr>
          <w:ilvl w:val="0"/>
          <w:numId w:val="13"/>
        </w:numPr>
        <w:rPr>
          <w:rFonts w:cstheme="minorHAnsi"/>
        </w:rPr>
      </w:pPr>
      <w:r w:rsidRPr="006E10B1">
        <w:rPr>
          <w:rFonts w:cstheme="minorHAnsi"/>
        </w:rPr>
        <w:t xml:space="preserve">Inappropriate use of restrictive practices </w:t>
      </w:r>
    </w:p>
    <w:p w:rsidR="00DE70D7" w:rsidP="006E10B1" w:rsidRDefault="00DE70D7" w14:paraId="60A45ABD" w14:textId="42A4940C">
      <w:pPr>
        <w:pStyle w:val="ListParagraph"/>
        <w:numPr>
          <w:ilvl w:val="0"/>
          <w:numId w:val="13"/>
        </w:numPr>
        <w:rPr>
          <w:rFonts w:cstheme="minorHAnsi"/>
        </w:rPr>
      </w:pPr>
      <w:r w:rsidRPr="006E10B1">
        <w:rPr>
          <w:rFonts w:cstheme="minorHAnsi"/>
        </w:rPr>
        <w:t>Unexplained absence/missing consumer</w:t>
      </w:r>
    </w:p>
    <w:p w:rsidRPr="00903F31" w:rsidR="00903F31" w:rsidP="00903F31" w:rsidRDefault="00903F31" w14:paraId="124EA849" w14:textId="044A1908">
      <w:pPr>
        <w:rPr>
          <w:snapToGrid w:val="0"/>
        </w:rPr>
      </w:pPr>
      <w:r w:rsidRPr="00903F31">
        <w:rPr>
          <w:snapToGrid w:val="0"/>
        </w:rPr>
        <w:t>Nationally, in the last published quarter (1 July – 30 September)</w:t>
      </w:r>
      <w:r w:rsidR="00AD1600">
        <w:rPr>
          <w:snapToGrid w:val="0"/>
        </w:rPr>
        <w:t xml:space="preserve"> of the ACQSC </w:t>
      </w:r>
      <w:hyperlink w:history="1" r:id="rId17">
        <w:r w:rsidRPr="00AD1600" w:rsidR="00AD1600">
          <w:rPr>
            <w:rStyle w:val="Hyperlink"/>
            <w:snapToGrid w:val="0"/>
          </w:rPr>
          <w:t>Sector Performance Reports</w:t>
        </w:r>
      </w:hyperlink>
      <w:r w:rsidRPr="00903F31">
        <w:rPr>
          <w:snapToGrid w:val="0"/>
        </w:rPr>
        <w:t xml:space="preserve">, there were 11,677 reportable incidents within residential aged care. The number of serious incident notifications does not necessarily relate to the number of instances of harm to an older person. </w:t>
      </w:r>
    </w:p>
    <w:p w:rsidR="007F279C" w:rsidP="00E71527" w:rsidRDefault="007F279C" w14:paraId="269B4599" w14:textId="77777777">
      <w:pPr>
        <w:rPr>
          <w:b/>
          <w:bCs/>
        </w:rPr>
      </w:pPr>
    </w:p>
    <w:p w:rsidR="007F279C" w:rsidP="00E71527" w:rsidRDefault="007F279C" w14:paraId="1C5FAE92" w14:textId="225081A8">
      <w:pPr>
        <w:rPr>
          <w:b/>
          <w:bCs/>
        </w:rPr>
      </w:pPr>
      <w:r>
        <w:rPr>
          <w:b/>
          <w:bCs/>
        </w:rPr>
        <w:t>Access to justice</w:t>
      </w:r>
    </w:p>
    <w:p w:rsidR="00F141D2" w:rsidP="00F141D2" w:rsidRDefault="00F141D2" w14:paraId="49A785F2" w14:textId="21D2A6B6">
      <w:pPr>
        <w:spacing w:before="240"/>
      </w:pPr>
      <w:r w:rsidRPr="7F7815D5">
        <w:t>In Australia, responsibility for addressing and preventing elder abuse sits across the Commonwealth, State</w:t>
      </w:r>
      <w:r w:rsidRPr="7F7815D5" w:rsidR="6EFA60A4">
        <w:t>,</w:t>
      </w:r>
      <w:r w:rsidRPr="7F7815D5">
        <w:t xml:space="preserve"> and Territory </w:t>
      </w:r>
      <w:r w:rsidRPr="7F7815D5" w:rsidR="12A3ED00">
        <w:t>g</w:t>
      </w:r>
      <w:r w:rsidRPr="7F7815D5">
        <w:t>overnments.</w:t>
      </w:r>
    </w:p>
    <w:p w:rsidR="00F141D2" w:rsidP="00F141D2" w:rsidRDefault="00F141D2" w14:paraId="3ACA641D" w14:textId="250800C9">
      <w:pPr>
        <w:spacing w:before="240"/>
        <w:rPr>
          <w:rFonts w:cstheme="minorHAnsi"/>
        </w:rPr>
      </w:pPr>
      <w:r>
        <w:rPr>
          <w:rFonts w:cstheme="minorHAnsi"/>
        </w:rPr>
        <w:t>Since 2019, the Commonwealth Attorney-General’s Department has funded the trial of 12 specialist elder abuse services. T</w:t>
      </w:r>
      <w:r w:rsidRPr="005B2686">
        <w:rPr>
          <w:rFonts w:cstheme="minorHAnsi"/>
        </w:rPr>
        <w:t xml:space="preserve">he services are being </w:t>
      </w:r>
      <w:r>
        <w:rPr>
          <w:rFonts w:cstheme="minorHAnsi"/>
        </w:rPr>
        <w:t xml:space="preserve">delivered </w:t>
      </w:r>
      <w:r w:rsidRPr="005B2686">
        <w:rPr>
          <w:rFonts w:cstheme="minorHAnsi"/>
        </w:rPr>
        <w:t>across three service models</w:t>
      </w:r>
      <w:r>
        <w:rPr>
          <w:rFonts w:cstheme="minorHAnsi"/>
        </w:rPr>
        <w:t>:</w:t>
      </w:r>
    </w:p>
    <w:p w:rsidR="00F141D2" w:rsidP="00F141D2" w:rsidRDefault="00F141D2" w14:paraId="016F8627" w14:textId="77777777">
      <w:pPr>
        <w:pStyle w:val="ListParagraph"/>
        <w:numPr>
          <w:ilvl w:val="0"/>
          <w:numId w:val="4"/>
        </w:numPr>
        <w:spacing w:before="240"/>
        <w:rPr>
          <w:rFonts w:cstheme="minorHAnsi"/>
        </w:rPr>
      </w:pPr>
      <w:r w:rsidRPr="00F141D2">
        <w:rPr>
          <w:rFonts w:cstheme="minorHAnsi"/>
          <w:bCs/>
          <w:u w:val="single"/>
        </w:rPr>
        <w:t>Specialist elder abuse units</w:t>
      </w:r>
      <w:r w:rsidRPr="005B2686">
        <w:rPr>
          <w:rFonts w:cstheme="minorHAnsi"/>
        </w:rPr>
        <w:t>: Lawyers, social workers and other specialist and support staff, work side by side with clients to develop a case plan and respond to the individual’s needs.</w:t>
      </w:r>
    </w:p>
    <w:p w:rsidR="00F141D2" w:rsidP="00F141D2" w:rsidRDefault="00F141D2" w14:paraId="2E7A42F0" w14:textId="29AEFBC2">
      <w:pPr>
        <w:pStyle w:val="ListParagraph"/>
        <w:numPr>
          <w:ilvl w:val="0"/>
          <w:numId w:val="4"/>
        </w:numPr>
        <w:spacing w:before="240"/>
        <w:rPr>
          <w:rFonts w:cstheme="minorHAnsi"/>
        </w:rPr>
      </w:pPr>
      <w:r w:rsidRPr="00F141D2">
        <w:rPr>
          <w:rFonts w:cstheme="minorHAnsi"/>
          <w:bCs/>
          <w:u w:val="single"/>
        </w:rPr>
        <w:t xml:space="preserve">Health-justice </w:t>
      </w:r>
      <w:proofErr w:type="gramStart"/>
      <w:r w:rsidRPr="00F141D2">
        <w:rPr>
          <w:rFonts w:cstheme="minorHAnsi"/>
          <w:bCs/>
          <w:u w:val="single"/>
        </w:rPr>
        <w:t>partnerships :</w:t>
      </w:r>
      <w:proofErr w:type="gramEnd"/>
      <w:r w:rsidRPr="005B2686">
        <w:rPr>
          <w:rFonts w:cstheme="minorHAnsi"/>
        </w:rPr>
        <w:t xml:space="preserve"> Older people in the health care system who are identified by health care workers or social workers as being at risk or potentially subjected to elder abuse, can access specialised legal support services. These work in partnership with the health system and related referral agencies, such as community aged care services. </w:t>
      </w:r>
    </w:p>
    <w:p w:rsidRPr="005B2686" w:rsidR="00F141D2" w:rsidP="00F141D2" w:rsidRDefault="00F141D2" w14:paraId="2366B095" w14:textId="5F4D5845">
      <w:pPr>
        <w:pStyle w:val="ListParagraph"/>
        <w:numPr>
          <w:ilvl w:val="0"/>
          <w:numId w:val="4"/>
        </w:numPr>
        <w:spacing w:before="240"/>
      </w:pPr>
      <w:r w:rsidRPr="3CBD4BB5">
        <w:rPr>
          <w:u w:val="single"/>
        </w:rPr>
        <w:t>Case management and mediation services:</w:t>
      </w:r>
      <w:r w:rsidRPr="3CBD4BB5">
        <w:t xml:space="preserve"> </w:t>
      </w:r>
      <w:r w:rsidRPr="3CBD4BB5" w:rsidR="00466371">
        <w:t xml:space="preserve"> </w:t>
      </w:r>
      <w:r w:rsidRPr="3CBD4BB5">
        <w:t>work with the older person and their family, to find solutions to the underlying problems driving abuse.</w:t>
      </w:r>
    </w:p>
    <w:p w:rsidR="007F279C" w:rsidP="00F141D2" w:rsidRDefault="00F141D2" w14:paraId="3AC80588" w14:textId="34F5DADE">
      <w:r w:rsidRPr="3CBD4BB5">
        <w:t xml:space="preserve">In March 2019, the </w:t>
      </w:r>
      <w:r w:rsidRPr="3CBD4BB5" w:rsidR="70707E25">
        <w:t xml:space="preserve">Australian </w:t>
      </w:r>
      <w:r w:rsidRPr="3CBD4BB5" w:rsidR="007768D2">
        <w:t>Government</w:t>
      </w:r>
      <w:r w:rsidRPr="3CBD4BB5">
        <w:t xml:space="preserve"> established a national elder abuse helpline, in joint partnership with State and Territory </w:t>
      </w:r>
      <w:r w:rsidRPr="3CBD4BB5" w:rsidR="38A2C936">
        <w:t>g</w:t>
      </w:r>
      <w:r w:rsidRPr="3CBD4BB5">
        <w:t>overnments.</w:t>
      </w:r>
      <w:r>
        <w:t xml:space="preserve"> </w:t>
      </w:r>
      <w:r w:rsidRPr="3CBD4BB5">
        <w:t xml:space="preserve">The service is a single free-call phone line which automatically redirects callers to a help line in the state or territory from where the call originated. </w:t>
      </w:r>
    </w:p>
    <w:p w:rsidRPr="00A57189" w:rsidR="00A57189" w:rsidP="00A57189" w:rsidRDefault="007768D2" w14:paraId="0534FFAF" w14:textId="35404587">
      <w:pPr>
        <w:rPr>
          <w:rFonts w:eastAsia="DINOT-Light"/>
          <w:spacing w:val="-1"/>
          <w:lang w:val="en-US"/>
        </w:rPr>
      </w:pPr>
      <w:r w:rsidRPr="7F7815D5">
        <w:t>The</w:t>
      </w:r>
      <w:r w:rsidRPr="7F7815D5" w:rsidR="6DA6072D">
        <w:t xml:space="preserve"> </w:t>
      </w:r>
      <w:r w:rsidRPr="7F7815D5" w:rsidR="0F0E03EE">
        <w:t>Australian</w:t>
      </w:r>
      <w:r w:rsidRPr="7F7815D5">
        <w:t xml:space="preserve"> Government is</w:t>
      </w:r>
      <w:r w:rsidRPr="7F7815D5" w:rsidR="001B36E9">
        <w:t xml:space="preserve"> also providing funding to establish a dedicated </w:t>
      </w:r>
      <w:r w:rsidRPr="7F7815D5" w:rsidR="003265DC">
        <w:rPr>
          <w:rFonts w:eastAsia="DINOT-Light"/>
          <w:spacing w:val="-1"/>
          <w:lang w:val="en-US"/>
        </w:rPr>
        <w:t xml:space="preserve">Aged Care Complaints Commissioner within the </w:t>
      </w:r>
      <w:r w:rsidR="00C9376F">
        <w:rPr>
          <w:rFonts w:eastAsia="DINOT-Light"/>
          <w:spacing w:val="-1"/>
          <w:lang w:val="en-US"/>
        </w:rPr>
        <w:t>AC</w:t>
      </w:r>
      <w:r w:rsidR="00DE46A3">
        <w:rPr>
          <w:rFonts w:eastAsia="DINOT-Light"/>
          <w:spacing w:val="-1"/>
          <w:lang w:val="en-US"/>
        </w:rPr>
        <w:t>QSC</w:t>
      </w:r>
      <w:r w:rsidRPr="7F7815D5" w:rsidR="001F0DA6">
        <w:rPr>
          <w:rFonts w:eastAsia="DINOT-Light"/>
          <w:spacing w:val="-1"/>
          <w:lang w:val="en-US"/>
        </w:rPr>
        <w:t>, to improve the Commission’s ability to investigate, manage and respond to complaints.</w:t>
      </w:r>
    </w:p>
    <w:p w:rsidRPr="00B95D6A" w:rsidR="004B2CE8" w:rsidP="00F141D2" w:rsidRDefault="004B2CE8" w14:paraId="0F59C1CA" w14:textId="77777777"/>
    <w:p w:rsidR="007F279C" w:rsidP="00E71527" w:rsidRDefault="007F279C" w14:paraId="7193AAF9" w14:textId="581ED8FB">
      <w:pPr>
        <w:rPr>
          <w:b/>
          <w:bCs/>
        </w:rPr>
      </w:pPr>
      <w:r>
        <w:rPr>
          <w:b/>
          <w:bCs/>
        </w:rPr>
        <w:lastRenderedPageBreak/>
        <w:t>Access to information</w:t>
      </w:r>
    </w:p>
    <w:p w:rsidR="00472066" w:rsidP="00472066" w:rsidRDefault="00472066" w14:paraId="1395CCD8" w14:textId="5D11EFC7">
      <w:pPr>
        <w:spacing w:before="240"/>
      </w:pPr>
      <w:r w:rsidRPr="7F7815D5">
        <w:t>In Australia, responsibility for raising awareness about elder abuse sits across the Commonwealth, State</w:t>
      </w:r>
      <w:r w:rsidRPr="7F7815D5" w:rsidR="5345DB95">
        <w:t>,</w:t>
      </w:r>
      <w:r w:rsidRPr="7F7815D5">
        <w:t xml:space="preserve"> and Territory </w:t>
      </w:r>
      <w:r w:rsidRPr="7F7815D5" w:rsidR="187ABF5C">
        <w:t>g</w:t>
      </w:r>
      <w:r w:rsidRPr="7F7815D5">
        <w:t>overnments.</w:t>
      </w:r>
    </w:p>
    <w:p w:rsidR="00472066" w:rsidP="00472066" w:rsidRDefault="00472066" w14:paraId="566C58CD" w14:textId="0A5CD20C">
      <w:pPr>
        <w:spacing w:before="240"/>
      </w:pPr>
      <w:r w:rsidRPr="3CBD4BB5">
        <w:t xml:space="preserve">The </w:t>
      </w:r>
      <w:r w:rsidRPr="3CBD4BB5" w:rsidR="00B87A96">
        <w:t>Australian Government</w:t>
      </w:r>
      <w:r w:rsidRPr="3CBD4BB5">
        <w:t xml:space="preserve"> commissioned the establishment of a national elder abuse knowledge hub, </w:t>
      </w:r>
      <w:hyperlink r:id="rId18">
        <w:r w:rsidRPr="3CBD4BB5">
          <w:rPr>
            <w:rStyle w:val="Hyperlink"/>
          </w:rPr>
          <w:t>Compass.info</w:t>
        </w:r>
      </w:hyperlink>
      <w:r w:rsidRPr="3CBD4BB5">
        <w:t xml:space="preserve">, which was launched in November 2019. </w:t>
      </w:r>
      <w:r w:rsidRPr="00D41EDF">
        <w:rPr>
          <w:rFonts w:ascii="Calibri" w:hAnsi="Calibri" w:cs="Tahoma"/>
        </w:rPr>
        <w:t xml:space="preserve">Compass.info </w:t>
      </w:r>
      <w:r w:rsidRPr="3CBD4BB5" w:rsidR="6D86660E">
        <w:rPr>
          <w:rFonts w:ascii="Calibri" w:hAnsi="Calibri" w:cs="Tahoma"/>
        </w:rPr>
        <w:t>provides</w:t>
      </w:r>
      <w:r w:rsidRPr="00D41EDF">
        <w:rPr>
          <w:rFonts w:ascii="Calibri" w:hAnsi="Calibri" w:cs="Tahoma"/>
        </w:rPr>
        <w:t xml:space="preserve"> a wide range of resources to assist older people, their families or others seeking information </w:t>
      </w:r>
      <w:r w:rsidRPr="3CBD4BB5" w:rsidR="712B2A4E">
        <w:rPr>
          <w:rFonts w:ascii="Calibri" w:hAnsi="Calibri" w:cs="Tahoma"/>
        </w:rPr>
        <w:t>about</w:t>
      </w:r>
      <w:r w:rsidRPr="00D41EDF">
        <w:rPr>
          <w:rFonts w:ascii="Calibri" w:hAnsi="Calibri" w:cs="Tahoma"/>
        </w:rPr>
        <w:t xml:space="preserve"> elder abuse.</w:t>
      </w:r>
      <w:r>
        <w:rPr>
          <w:rFonts w:ascii="Calibri" w:hAnsi="Calibri" w:cs="Tahoma"/>
        </w:rPr>
        <w:t xml:space="preserve"> </w:t>
      </w:r>
    </w:p>
    <w:p w:rsidR="00AC385D" w:rsidRDefault="00372EF4" w14:paraId="08C75925" w14:textId="23ACB30F">
      <w:pPr>
        <w:spacing w:before="240"/>
        <w:rPr>
          <w:rStyle w:val="normaltextrun"/>
          <w:color w:val="000000"/>
          <w:shd w:val="clear" w:color="auto" w:fill="FFFFFF"/>
        </w:rPr>
      </w:pPr>
      <w:r w:rsidRPr="7F7815D5">
        <w:t>The</w:t>
      </w:r>
      <w:r w:rsidRPr="7F7815D5" w:rsidR="00C71A23">
        <w:t xml:space="preserve"> </w:t>
      </w:r>
      <w:r w:rsidRPr="7F7815D5" w:rsidR="7419AE8E">
        <w:t>Australian</w:t>
      </w:r>
      <w:r w:rsidRPr="7F7815D5" w:rsidR="00C71A23">
        <w:t xml:space="preserve"> </w:t>
      </w:r>
      <w:r w:rsidRPr="7F7815D5" w:rsidR="00005B5E">
        <w:t>Government</w:t>
      </w:r>
      <w:r w:rsidRPr="7F7815D5" w:rsidR="00C71A23">
        <w:t xml:space="preserve"> conduct</w:t>
      </w:r>
      <w:r w:rsidRPr="7F7815D5" w:rsidR="00005B5E">
        <w:t>s</w:t>
      </w:r>
      <w:r w:rsidRPr="7F7815D5" w:rsidR="00C71A23">
        <w:t xml:space="preserve"> ongoing awareness-raising campaigns concerning elder abuse, including </w:t>
      </w:r>
      <w:r w:rsidRPr="7F7815D5" w:rsidR="00636579">
        <w:t>around World Elder Abuse Awareness Day</w:t>
      </w:r>
      <w:r w:rsidRPr="7F7815D5" w:rsidR="5B513A35">
        <w:t xml:space="preserve">, </w:t>
      </w:r>
      <w:r w:rsidRPr="7F7815D5" w:rsidR="00636579">
        <w:t>International Day of Older Persons</w:t>
      </w:r>
      <w:r w:rsidRPr="7F7815D5" w:rsidR="4CD8D8A7">
        <w:t xml:space="preserve">, </w:t>
      </w:r>
      <w:r w:rsidRPr="7F7815D5" w:rsidR="495F13A7">
        <w:t xml:space="preserve">and </w:t>
      </w:r>
      <w:hyperlink w:anchor=":~:text=People%20aged%2065%20and%20over,in%20losses%20across%201%2C440%20reports." r:id="rId19">
        <w:r w:rsidRPr="3CBD4BB5" w:rsidR="495F13A7">
          <w:rPr>
            <w:rStyle w:val="Hyperlink"/>
          </w:rPr>
          <w:t>Scams Awareness Week</w:t>
        </w:r>
      </w:hyperlink>
      <w:r w:rsidRPr="3CBD4BB5" w:rsidR="00636579">
        <w:t>.</w:t>
      </w:r>
      <w:r w:rsidRPr="7F7815D5" w:rsidR="00636579">
        <w:t xml:space="preserve"> </w:t>
      </w:r>
      <w:r w:rsidRPr="7F7815D5" w:rsidR="00472066">
        <w:t xml:space="preserve">A </w:t>
      </w:r>
      <w:hyperlink r:id="rId20">
        <w:r w:rsidRPr="3CBD4BB5" w:rsidR="00472066">
          <w:rPr>
            <w:rStyle w:val="Hyperlink"/>
          </w:rPr>
          <w:t>range of materials</w:t>
        </w:r>
      </w:hyperlink>
      <w:r w:rsidRPr="7F7815D5" w:rsidR="00472066">
        <w:t xml:space="preserve"> have been developed to support awareness raising activities, including videos and posters</w:t>
      </w:r>
      <w:r w:rsidRPr="7F7815D5" w:rsidR="007E5CD9">
        <w:t xml:space="preserve">. </w:t>
      </w:r>
      <w:r w:rsidR="00EB04EA">
        <w:rPr>
          <w:rStyle w:val="normaltextrun"/>
          <w:color w:val="000000"/>
          <w:shd w:val="clear" w:color="auto" w:fill="FFFFFF"/>
        </w:rPr>
        <w:t xml:space="preserve">Three </w:t>
      </w:r>
      <w:r w:rsidRPr="3CBD4BB5" w:rsidR="00EB04EA">
        <w:rPr>
          <w:shd w:val="clear" w:color="auto" w:fill="FFFFFF"/>
        </w:rPr>
        <w:t>﷟</w:t>
      </w:r>
      <w:hyperlink w:history="1" r:id="rId21">
        <w:r w:rsidRPr="007417D0" w:rsidR="00EB04EA">
          <w:rPr>
            <w:rStyle w:val="Hyperlink"/>
            <w:shd w:val="clear" w:color="auto" w:fill="FFFFFF"/>
          </w:rPr>
          <w:t>e</w:t>
        </w:r>
        <w:r w:rsidRPr="007417D0" w:rsidR="00EB04EA">
          <w:rPr>
            <w:rStyle w:val="Hyperlink"/>
          </w:rPr>
          <w:t>lder abuse awareness video campaigns</w:t>
        </w:r>
      </w:hyperlink>
      <w:r w:rsidR="00EB04EA">
        <w:rPr>
          <w:rStyle w:val="normaltextrun"/>
          <w:color w:val="000000"/>
          <w:shd w:val="clear" w:color="auto" w:fill="FFFFFF"/>
        </w:rPr>
        <w:t xml:space="preserve"> have also been developed and launched</w:t>
      </w:r>
      <w:r w:rsidR="00A42954">
        <w:rPr>
          <w:rStyle w:val="normaltextrun"/>
          <w:color w:val="000000"/>
          <w:shd w:val="clear" w:color="auto" w:fill="FFFFFF"/>
        </w:rPr>
        <w:t>, coinciding with the International Day of Older Persons, and elder abuse awareness materials in 20 languages most spoken by older Australians (including English) have been developed and distributed.</w:t>
      </w:r>
      <w:r w:rsidRPr="3CBD4BB5" w:rsidR="7F34C332">
        <w:rPr>
          <w:rStyle w:val="normaltextrun"/>
          <w:color w:val="000000" w:themeColor="text1"/>
        </w:rPr>
        <w:t xml:space="preserve"> </w:t>
      </w:r>
      <w:r w:rsidR="00F716E5">
        <w:rPr>
          <w:rStyle w:val="normaltextrun"/>
          <w:color w:val="000000" w:themeColor="text1"/>
        </w:rPr>
        <w:t>T</w:t>
      </w:r>
      <w:r w:rsidRPr="3CBD4BB5" w:rsidR="52346E34">
        <w:rPr>
          <w:rStyle w:val="normaltextrun"/>
          <w:color w:val="000000" w:themeColor="text1"/>
        </w:rPr>
        <w:t xml:space="preserve">he ACCC’s </w:t>
      </w:r>
      <w:hyperlink r:id="rId22">
        <w:r w:rsidRPr="3CBD4BB5" w:rsidR="52346E34">
          <w:rPr>
            <w:rStyle w:val="Hyperlink"/>
          </w:rPr>
          <w:t>Little Black Book of Scams</w:t>
        </w:r>
      </w:hyperlink>
      <w:r w:rsidRPr="3CBD4BB5" w:rsidR="52346E34">
        <w:rPr>
          <w:rStyle w:val="normaltextrun"/>
          <w:color w:val="000000" w:themeColor="text1"/>
        </w:rPr>
        <w:t xml:space="preserve"> is a free resource to raise awareness of</w:t>
      </w:r>
      <w:r w:rsidRPr="3CBD4BB5" w:rsidR="69C52F9A">
        <w:rPr>
          <w:rStyle w:val="normaltextrun"/>
          <w:color w:val="000000" w:themeColor="text1"/>
        </w:rPr>
        <w:t xml:space="preserve"> common</w:t>
      </w:r>
      <w:r w:rsidRPr="3CBD4BB5" w:rsidR="52346E34">
        <w:rPr>
          <w:rStyle w:val="normaltextrun"/>
          <w:color w:val="000000" w:themeColor="text1"/>
        </w:rPr>
        <w:t xml:space="preserve"> scams.</w:t>
      </w:r>
    </w:p>
    <w:p w:rsidR="00AC385D" w:rsidP="00AC385D" w:rsidRDefault="44FB8073" w14:paraId="2157CC5A" w14:textId="057E7E6B">
      <w:pPr>
        <w:rPr>
          <w:rStyle w:val="normaltextrun"/>
          <w:color w:val="000000"/>
          <w:shd w:val="clear" w:color="auto" w:fill="FFFFFF"/>
        </w:rPr>
      </w:pPr>
      <w:r>
        <w:rPr>
          <w:rStyle w:val="normaltextrun"/>
          <w:color w:val="000000"/>
          <w:shd w:val="clear" w:color="auto" w:fill="FFFFFF"/>
        </w:rPr>
        <w:t>The</w:t>
      </w:r>
      <w:r w:rsidR="00AC385D">
        <w:rPr>
          <w:rStyle w:val="normaltextrun"/>
          <w:color w:val="000000"/>
          <w:shd w:val="clear" w:color="auto" w:fill="FFFFFF"/>
        </w:rPr>
        <w:t xml:space="preserve"> Age Discrimination Commissioner</w:t>
      </w:r>
      <w:r w:rsidR="00005B5E">
        <w:rPr>
          <w:rStyle w:val="normaltextrun"/>
          <w:color w:val="000000"/>
          <w:shd w:val="clear" w:color="auto" w:fill="FFFFFF"/>
        </w:rPr>
        <w:t xml:space="preserve"> </w:t>
      </w:r>
      <w:r w:rsidR="00AC385D">
        <w:rPr>
          <w:rStyle w:val="normaltextrun"/>
          <w:color w:val="000000"/>
          <w:shd w:val="clear" w:color="auto" w:fill="FFFFFF"/>
        </w:rPr>
        <w:t xml:space="preserve">regularly engages with the community on </w:t>
      </w:r>
      <w:r w:rsidRPr="000E177C" w:rsidR="00AC385D">
        <w:rPr>
          <w:bCs/>
          <w:color w:val="000000"/>
          <w:shd w:val="clear" w:color="auto" w:fill="FFFFFF"/>
          <w:lang w:val="en-GB"/>
        </w:rPr>
        <w:t>issues of elder abuse via media interviews</w:t>
      </w:r>
      <w:r w:rsidRPr="3CBD4BB5" w:rsidR="50B71521">
        <w:rPr>
          <w:color w:val="000000"/>
          <w:shd w:val="clear" w:color="auto" w:fill="FFFFFF"/>
          <w:lang w:val="en-GB"/>
        </w:rPr>
        <w:t xml:space="preserve"> and</w:t>
      </w:r>
      <w:r w:rsidR="00AC385D">
        <w:rPr>
          <w:bCs/>
          <w:color w:val="000000"/>
          <w:shd w:val="clear" w:color="auto" w:fill="FFFFFF"/>
          <w:lang w:val="en-GB"/>
        </w:rPr>
        <w:t xml:space="preserve"> </w:t>
      </w:r>
      <w:r w:rsidRPr="000E177C" w:rsidR="00AC385D">
        <w:rPr>
          <w:bCs/>
          <w:color w:val="000000"/>
          <w:shd w:val="clear" w:color="auto" w:fill="FFFFFF"/>
          <w:lang w:val="en-GB"/>
        </w:rPr>
        <w:t>public speaking engagements</w:t>
      </w:r>
      <w:r w:rsidR="00AC385D">
        <w:rPr>
          <w:bCs/>
          <w:color w:val="000000"/>
          <w:shd w:val="clear" w:color="auto" w:fill="FFFFFF"/>
          <w:lang w:val="en-GB"/>
        </w:rPr>
        <w:t xml:space="preserve"> and events, </w:t>
      </w:r>
      <w:r w:rsidR="00AC385D">
        <w:rPr>
          <w:rStyle w:val="normaltextrun"/>
          <w:color w:val="000000"/>
          <w:shd w:val="clear" w:color="auto" w:fill="FFFFFF"/>
        </w:rPr>
        <w:t>including a</w:t>
      </w:r>
      <w:r w:rsidR="00AC385D">
        <w:rPr>
          <w:rStyle w:val="normaltextrun"/>
        </w:rPr>
        <w:t xml:space="preserve">ctivities </w:t>
      </w:r>
      <w:r w:rsidR="00AC385D">
        <w:rPr>
          <w:rStyle w:val="normaltextrun"/>
          <w:color w:val="000000"/>
          <w:shd w:val="clear" w:color="auto" w:fill="FFFFFF"/>
        </w:rPr>
        <w:t>during World Elder Abuse Awareness Day.</w:t>
      </w:r>
    </w:p>
    <w:p w:rsidRPr="004F61A9" w:rsidR="007F279C" w:rsidP="00E71527" w:rsidRDefault="004F61A9" w14:paraId="180D073C" w14:textId="005E2AF3">
      <w:r>
        <w:t xml:space="preserve">The </w:t>
      </w:r>
      <w:r w:rsidR="7C3546A9">
        <w:t xml:space="preserve">Australian </w:t>
      </w:r>
      <w:r>
        <w:t xml:space="preserve">Government funds </w:t>
      </w:r>
      <w:r w:rsidRPr="7F7815D5" w:rsidR="00FE77A9">
        <w:rPr>
          <w:color w:val="000000" w:themeColor="text1"/>
          <w:lang w:eastAsia="en-AU"/>
        </w:rPr>
        <w:t xml:space="preserve">the </w:t>
      </w:r>
      <w:hyperlink r:id="rId23">
        <w:r w:rsidRPr="7F7815D5" w:rsidR="00FE77A9">
          <w:rPr>
            <w:rStyle w:val="Hyperlink"/>
          </w:rPr>
          <w:t>Older Persons Advocacy Network (OPAN)</w:t>
        </w:r>
      </w:hyperlink>
      <w:r w:rsidRPr="00015E6D" w:rsidR="00FE77A9">
        <w:t xml:space="preserve"> </w:t>
      </w:r>
      <w:r w:rsidR="00FE77A9">
        <w:t>to provide</w:t>
      </w:r>
      <w:r w:rsidRPr="00015E6D" w:rsidR="00FE77A9">
        <w:t xml:space="preserve"> the </w:t>
      </w:r>
      <w:hyperlink r:id="rId24">
        <w:r w:rsidRPr="7F7815D5" w:rsidR="00FE77A9">
          <w:rPr>
            <w:rStyle w:val="Hyperlink"/>
          </w:rPr>
          <w:t>National Aged Care Advocacy Program</w:t>
        </w:r>
      </w:hyperlink>
      <w:r w:rsidR="00FE77A9">
        <w:t xml:space="preserve"> (NACAP).</w:t>
      </w:r>
      <w:r w:rsidRPr="00015E6D" w:rsidR="00FE77A9">
        <w:t xml:space="preserve"> The NACAP provides free, confidential, and independent support to older people seeking or receiving government-funded aged care services, including to people who may be experiencing, or at risk of, abuse</w:t>
      </w:r>
      <w:r w:rsidR="00FE77A9">
        <w:t>.</w:t>
      </w:r>
    </w:p>
    <w:p w:rsidR="00FE77A9" w:rsidP="00E71527" w:rsidRDefault="02F2D233" w14:paraId="3B40259D" w14:textId="23E9A607">
      <w:r>
        <w:t xml:space="preserve">The ACCC </w:t>
      </w:r>
      <w:r w:rsidR="7E6E501E">
        <w:t xml:space="preserve">recently </w:t>
      </w:r>
      <w:r w:rsidR="4E840D6D">
        <w:t xml:space="preserve">received funding to establish </w:t>
      </w:r>
      <w:r>
        <w:t xml:space="preserve">a </w:t>
      </w:r>
      <w:hyperlink r:id="rId25">
        <w:r w:rsidRPr="3CBD4BB5" w:rsidR="61339E77">
          <w:rPr>
            <w:rStyle w:val="Hyperlink"/>
          </w:rPr>
          <w:t>N</w:t>
        </w:r>
        <w:r w:rsidRPr="3CBD4BB5">
          <w:rPr>
            <w:rStyle w:val="Hyperlink"/>
          </w:rPr>
          <w:t xml:space="preserve">ational </w:t>
        </w:r>
        <w:r w:rsidRPr="3CBD4BB5" w:rsidR="73F8CE67">
          <w:rPr>
            <w:rStyle w:val="Hyperlink"/>
          </w:rPr>
          <w:t>A</w:t>
        </w:r>
        <w:r w:rsidRPr="3CBD4BB5">
          <w:rPr>
            <w:rStyle w:val="Hyperlink"/>
          </w:rPr>
          <w:t>nti</w:t>
        </w:r>
        <w:r w:rsidRPr="3CBD4BB5" w:rsidR="3B246F50">
          <w:rPr>
            <w:rStyle w:val="Hyperlink"/>
          </w:rPr>
          <w:t>-S</w:t>
        </w:r>
        <w:r w:rsidRPr="3CBD4BB5">
          <w:rPr>
            <w:rStyle w:val="Hyperlink"/>
          </w:rPr>
          <w:t xml:space="preserve">cams </w:t>
        </w:r>
        <w:r w:rsidRPr="3CBD4BB5" w:rsidR="3274DA01">
          <w:rPr>
            <w:rStyle w:val="Hyperlink"/>
          </w:rPr>
          <w:t>C</w:t>
        </w:r>
        <w:r w:rsidRPr="3CBD4BB5">
          <w:rPr>
            <w:rStyle w:val="Hyperlink"/>
          </w:rPr>
          <w:t>entre</w:t>
        </w:r>
      </w:hyperlink>
      <w:r>
        <w:t xml:space="preserve"> which wi</w:t>
      </w:r>
      <w:r w:rsidR="1A839399">
        <w:t>ll provide consumers with one contact point for advice on how to prevent scams and what to do when they have been affected.</w:t>
      </w:r>
      <w:r w:rsidR="173FE9CA">
        <w:t xml:space="preserve"> </w:t>
      </w:r>
    </w:p>
    <w:p w:rsidR="3CBD4BB5" w:rsidP="3CBD4BB5" w:rsidRDefault="3CBD4BB5" w14:paraId="3407BD6D" w14:textId="56C47657">
      <w:pPr>
        <w:rPr>
          <w:b/>
          <w:bCs/>
        </w:rPr>
      </w:pPr>
    </w:p>
    <w:p w:rsidR="007F279C" w:rsidP="00E71527" w:rsidRDefault="007F279C" w14:paraId="63875C65" w14:textId="2DC009AE">
      <w:pPr>
        <w:rPr>
          <w:b/>
          <w:bCs/>
        </w:rPr>
      </w:pPr>
      <w:r>
        <w:rPr>
          <w:b/>
          <w:bCs/>
        </w:rPr>
        <w:t>Good practice examples</w:t>
      </w:r>
    </w:p>
    <w:p w:rsidR="00BB582E" w:rsidP="00E71527" w:rsidRDefault="686DF26B" w14:paraId="1B826BF6" w14:textId="7F41F90D">
      <w:r>
        <w:t>Further to the above,</w:t>
      </w:r>
      <w:r w:rsidR="00774480">
        <w:t xml:space="preserve"> good practice examples </w:t>
      </w:r>
      <w:r w:rsidR="20AC4139">
        <w:t>in Australia include</w:t>
      </w:r>
      <w:r w:rsidR="00774480">
        <w:t xml:space="preserve">: </w:t>
      </w:r>
    </w:p>
    <w:p w:rsidR="00C4476C" w:rsidP="00C4476C" w:rsidRDefault="003839FA" w14:paraId="68ADED5D" w14:textId="15E3473F">
      <w:pPr>
        <w:pStyle w:val="ListParagraph"/>
        <w:numPr>
          <w:ilvl w:val="0"/>
          <w:numId w:val="15"/>
        </w:numPr>
      </w:pPr>
      <w:r>
        <w:t xml:space="preserve">The </w:t>
      </w:r>
      <w:r w:rsidRPr="0729DB52" w:rsidR="00E26841">
        <w:t>Age Discrimination Commissioner has worked closely with Elder Abuse Action Australia</w:t>
      </w:r>
      <w:r w:rsidR="00E26841">
        <w:t xml:space="preserve">, </w:t>
      </w:r>
      <w:r w:rsidRPr="0729DB52" w:rsidR="00E26841">
        <w:t>OPAN</w:t>
      </w:r>
      <w:r w:rsidR="5CC6978D">
        <w:t>,</w:t>
      </w:r>
      <w:r w:rsidRPr="0729DB52" w:rsidR="00E26841">
        <w:t xml:space="preserve"> and </w:t>
      </w:r>
      <w:proofErr w:type="spellStart"/>
      <w:r w:rsidRPr="0729DB52" w:rsidR="00E26841">
        <w:t>EveryAGE</w:t>
      </w:r>
      <w:proofErr w:type="spellEnd"/>
      <w:r w:rsidRPr="0729DB52" w:rsidR="00E26841">
        <w:t xml:space="preserve"> Counts and has supported and contributed to a </w:t>
      </w:r>
      <w:hyperlink r:id="rId26">
        <w:r w:rsidRPr="3CBD4BB5" w:rsidR="00E26841">
          <w:rPr>
            <w:rStyle w:val="Hyperlink"/>
          </w:rPr>
          <w:t>nation-wide intergenerational project</w:t>
        </w:r>
      </w:hyperlink>
      <w:r w:rsidRPr="0729DB52" w:rsidR="00E26841">
        <w:t xml:space="preserve"> involving teenagers painting portraits of centenarians</w:t>
      </w:r>
      <w:r>
        <w:t>.</w:t>
      </w:r>
    </w:p>
    <w:p w:rsidRPr="00C4476C" w:rsidR="00C4476C" w:rsidP="00C4476C" w:rsidRDefault="00C4476C" w14:paraId="05DEC699" w14:textId="1AE7A8A2">
      <w:pPr>
        <w:pStyle w:val="ListParagraph"/>
        <w:numPr>
          <w:ilvl w:val="0"/>
          <w:numId w:val="15"/>
        </w:numPr>
      </w:pPr>
      <w:r>
        <w:t>T</w:t>
      </w:r>
      <w:r w:rsidRPr="3CBD4BB5" w:rsidR="00E26841">
        <w:t xml:space="preserve">he </w:t>
      </w:r>
      <w:r w:rsidRPr="3CBD4BB5" w:rsidR="1573A92C">
        <w:t>ABS</w:t>
      </w:r>
      <w:r w:rsidRPr="3CBD4BB5" w:rsidR="0DD63EA5">
        <w:t xml:space="preserve"> </w:t>
      </w:r>
      <w:r w:rsidRPr="3CBD4BB5" w:rsidR="00E26841">
        <w:t xml:space="preserve">has developed a </w:t>
      </w:r>
      <w:hyperlink r:id="rId27">
        <w:r w:rsidRPr="3CBD4BB5" w:rsidR="00E26841">
          <w:rPr>
            <w:rStyle w:val="Hyperlink"/>
          </w:rPr>
          <w:t>framework to support the collection and reporting of information related to family, domestic and sexual violence</w:t>
        </w:r>
      </w:hyperlink>
      <w:r w:rsidRPr="3CBD4BB5" w:rsidR="00E26841">
        <w:t xml:space="preserve"> (FDSV).</w:t>
      </w:r>
      <w:r w:rsidRPr="3CBD4BB5">
        <w:t xml:space="preserve"> </w:t>
      </w:r>
    </w:p>
    <w:p w:rsidRPr="00084069" w:rsidR="00E26841" w:rsidP="00C4476C" w:rsidRDefault="00E26841" w14:paraId="754C6C0D" w14:textId="7A9CCA7F">
      <w:pPr>
        <w:pStyle w:val="ListParagraph"/>
        <w:numPr>
          <w:ilvl w:val="0"/>
          <w:numId w:val="15"/>
        </w:numPr>
      </w:pPr>
      <w:r w:rsidRPr="3CBD4BB5">
        <w:t xml:space="preserve">Using the ABS framework as a guide, the AIHW’s </w:t>
      </w:r>
      <w:hyperlink r:id="rId28">
        <w:r w:rsidRPr="3CBD4BB5">
          <w:rPr>
            <w:rStyle w:val="Hyperlink"/>
            <w:i/>
            <w:iCs/>
          </w:rPr>
          <w:t>Family domestic and sexual violence in Australia: continuing the national story 2019</w:t>
        </w:r>
      </w:hyperlink>
      <w:r w:rsidRPr="3CBD4BB5">
        <w:rPr>
          <w:i/>
          <w:iCs/>
        </w:rPr>
        <w:t xml:space="preserve"> </w:t>
      </w:r>
      <w:r w:rsidRPr="3CBD4BB5">
        <w:t xml:space="preserve">includes national information on FDSV, including violence against older people. </w:t>
      </w:r>
    </w:p>
    <w:p w:rsidRPr="00EB51BD" w:rsidR="00084069" w:rsidP="3CBD4BB5" w:rsidRDefault="00654351" w14:paraId="140C0EA5" w14:textId="335DFC79">
      <w:pPr>
        <w:numPr>
          <w:ilvl w:val="0"/>
          <w:numId w:val="15"/>
        </w:numPr>
        <w:shd w:val="clear" w:color="auto" w:fill="FFFFFF" w:themeFill="background1"/>
        <w:rPr>
          <w:rFonts w:ascii="Calibri" w:hAnsi="Calibri" w:cs="Calibri"/>
          <w:snapToGrid w:val="0"/>
        </w:rPr>
      </w:pPr>
      <w:r w:rsidRPr="00EB51BD">
        <w:rPr>
          <w:rFonts w:ascii="Calibri" w:hAnsi="Calibri" w:cs="Calibri"/>
          <w:snapToGrid w:val="0"/>
        </w:rPr>
        <w:t xml:space="preserve">The </w:t>
      </w:r>
      <w:r w:rsidRPr="00EB51BD" w:rsidR="00084069">
        <w:rPr>
          <w:rFonts w:ascii="Calibri" w:hAnsi="Calibri" w:cs="Calibri"/>
          <w:snapToGrid w:val="0"/>
        </w:rPr>
        <w:t>OPAN Elder Abuse Prevention project</w:t>
      </w:r>
      <w:r w:rsidRPr="00EB51BD">
        <w:rPr>
          <w:rFonts w:ascii="Calibri" w:hAnsi="Calibri" w:cs="Calibri"/>
          <w:snapToGrid w:val="0"/>
        </w:rPr>
        <w:t>,</w:t>
      </w:r>
      <w:r w:rsidRPr="00EB51BD" w:rsidR="00E840E6">
        <w:rPr>
          <w:rFonts w:ascii="Calibri" w:hAnsi="Calibri" w:cs="Calibri"/>
          <w:snapToGrid w:val="0"/>
        </w:rPr>
        <w:t xml:space="preserve"> </w:t>
      </w:r>
      <w:r w:rsidR="001F0DA6">
        <w:rPr>
          <w:rFonts w:ascii="Calibri" w:hAnsi="Calibri" w:cs="Calibri"/>
          <w:snapToGrid w:val="0"/>
        </w:rPr>
        <w:t>include</w:t>
      </w:r>
      <w:r w:rsidR="0DF3C436">
        <w:rPr>
          <w:rFonts w:ascii="Calibri" w:hAnsi="Calibri" w:cs="Calibri"/>
          <w:snapToGrid w:val="0"/>
        </w:rPr>
        <w:t>s</w:t>
      </w:r>
      <w:r w:rsidR="001F0DA6">
        <w:rPr>
          <w:rFonts w:ascii="Calibri" w:hAnsi="Calibri" w:cs="Calibri"/>
          <w:snapToGrid w:val="0"/>
        </w:rPr>
        <w:t xml:space="preserve"> an</w:t>
      </w:r>
      <w:r w:rsidRPr="00EB51BD" w:rsidR="00EB51BD">
        <w:rPr>
          <w:rFonts w:ascii="Calibri" w:hAnsi="Calibri" w:cs="Calibri"/>
          <w:snapToGrid w:val="0"/>
        </w:rPr>
        <w:t xml:space="preserve"> eLearning Package on the abuse of older </w:t>
      </w:r>
      <w:r w:rsidRPr="00EB51BD" w:rsidR="128D4F3C">
        <w:rPr>
          <w:rFonts w:ascii="Calibri" w:hAnsi="Calibri" w:cs="Calibri"/>
          <w:snapToGrid w:val="0"/>
        </w:rPr>
        <w:t>persons</w:t>
      </w:r>
      <w:r w:rsidRPr="00EB51BD" w:rsidR="00EB51BD">
        <w:rPr>
          <w:rFonts w:ascii="Calibri" w:hAnsi="Calibri" w:cs="Calibri"/>
          <w:snapToGrid w:val="0"/>
        </w:rPr>
        <w:t xml:space="preserve"> for Health and Aged Care </w:t>
      </w:r>
      <w:r w:rsidR="00D46780">
        <w:rPr>
          <w:rFonts w:ascii="Calibri" w:hAnsi="Calibri" w:cs="Calibri"/>
          <w:snapToGrid w:val="0"/>
        </w:rPr>
        <w:t>p</w:t>
      </w:r>
      <w:r w:rsidRPr="00EB51BD" w:rsidR="00EB51BD">
        <w:rPr>
          <w:rFonts w:ascii="Calibri" w:hAnsi="Calibri" w:cs="Calibri"/>
          <w:snapToGrid w:val="0"/>
        </w:rPr>
        <w:t xml:space="preserve">rofessionals, as well as the </w:t>
      </w:r>
      <w:hyperlink w:history="1" r:id="rId29">
        <w:r w:rsidRPr="00EB51BD" w:rsidR="00084069">
          <w:rPr>
            <w:rStyle w:val="Hyperlink"/>
            <w:rFonts w:ascii="Calibri" w:hAnsi="Calibri" w:cs="Calibri"/>
            <w:snapToGrid w:val="0"/>
          </w:rPr>
          <w:t>#readytolisten project</w:t>
        </w:r>
      </w:hyperlink>
      <w:r w:rsidRPr="00EB51BD" w:rsidR="00084069">
        <w:rPr>
          <w:rFonts w:ascii="Calibri" w:hAnsi="Calibri" w:cs="Calibri"/>
          <w:snapToGrid w:val="0"/>
        </w:rPr>
        <w:t xml:space="preserve"> which build</w:t>
      </w:r>
      <w:r w:rsidRPr="00EB51BD" w:rsidR="00EB51BD">
        <w:rPr>
          <w:rFonts w:ascii="Calibri" w:hAnsi="Calibri" w:cs="Calibri"/>
          <w:snapToGrid w:val="0"/>
        </w:rPr>
        <w:t>s</w:t>
      </w:r>
      <w:r w:rsidRPr="00EB51BD" w:rsidR="00084069">
        <w:rPr>
          <w:rFonts w:ascii="Calibri" w:hAnsi="Calibri" w:cs="Calibri"/>
          <w:snapToGrid w:val="0"/>
        </w:rPr>
        <w:t xml:space="preserve"> </w:t>
      </w:r>
      <w:r w:rsidRPr="00EB51BD" w:rsidR="5BE1650E">
        <w:rPr>
          <w:rFonts w:ascii="Calibri" w:hAnsi="Calibri" w:cs="Calibri"/>
          <w:snapToGrid w:val="0"/>
        </w:rPr>
        <w:t xml:space="preserve">the </w:t>
      </w:r>
      <w:r w:rsidRPr="00EB51BD" w:rsidR="00084069">
        <w:rPr>
          <w:rFonts w:ascii="Calibri" w:hAnsi="Calibri" w:cs="Calibri"/>
          <w:snapToGrid w:val="0"/>
        </w:rPr>
        <w:t xml:space="preserve">skills of residential aged care service providers in identifying and responding to sexual assault. </w:t>
      </w:r>
    </w:p>
    <w:p w:rsidR="43353DF1" w:rsidP="3CBD4BB5" w:rsidRDefault="43353DF1" w14:paraId="5BA61338" w14:textId="5DE480AD">
      <w:pPr>
        <w:numPr>
          <w:ilvl w:val="0"/>
          <w:numId w:val="15"/>
        </w:numPr>
        <w:shd w:val="clear" w:color="auto" w:fill="FFFFFF" w:themeFill="background1"/>
        <w:rPr>
          <w:rFonts w:ascii="Calibri" w:hAnsi="Calibri" w:cs="Calibri"/>
        </w:rPr>
      </w:pPr>
      <w:r w:rsidRPr="3CBD4BB5">
        <w:rPr>
          <w:rFonts w:ascii="Calibri" w:hAnsi="Calibri" w:cs="Calibri"/>
        </w:rPr>
        <w:lastRenderedPageBreak/>
        <w:t>The ACCC</w:t>
      </w:r>
      <w:r w:rsidRPr="3CBD4BB5" w:rsidR="60FD3C28">
        <w:rPr>
          <w:rFonts w:ascii="Calibri" w:hAnsi="Calibri" w:cs="Calibri"/>
        </w:rPr>
        <w:t xml:space="preserve"> uses enforcement action to deter companies from taking advantage of elderly persons. In 2018, the ACCC</w:t>
      </w:r>
      <w:r w:rsidRPr="3CBD4BB5">
        <w:rPr>
          <w:rFonts w:ascii="Calibri" w:hAnsi="Calibri" w:cs="Calibri"/>
        </w:rPr>
        <w:t xml:space="preserve"> </w:t>
      </w:r>
      <w:hyperlink r:id="rId30">
        <w:r w:rsidRPr="3CBD4BB5">
          <w:rPr>
            <w:rStyle w:val="Hyperlink"/>
            <w:rFonts w:ascii="Calibri" w:hAnsi="Calibri" w:cs="Calibri"/>
          </w:rPr>
          <w:t>took action against hearing aid retailers</w:t>
        </w:r>
      </w:hyperlink>
      <w:r w:rsidRPr="3CBD4BB5">
        <w:rPr>
          <w:rFonts w:ascii="Calibri" w:hAnsi="Calibri" w:cs="Calibri"/>
        </w:rPr>
        <w:t xml:space="preserve"> for false and misleading representations to pensioners in their advertisements.</w:t>
      </w:r>
    </w:p>
    <w:p w:rsidR="3CBD4BB5" w:rsidP="3CBD4BB5" w:rsidRDefault="3CBD4BB5" w14:paraId="32568C2F" w14:textId="392D66C7">
      <w:pPr>
        <w:rPr>
          <w:rStyle w:val="Hyperlink"/>
          <w:b/>
          <w:bCs/>
          <w:color w:val="auto"/>
          <w:u w:val="none"/>
        </w:rPr>
      </w:pPr>
    </w:p>
    <w:p w:rsidR="00AE4B7A" w:rsidP="00E26841" w:rsidRDefault="00AE4B7A" w14:paraId="40556B85" w14:textId="034BE853">
      <w:pPr>
        <w:rPr>
          <w:rStyle w:val="Hyperlink"/>
          <w:rFonts w:cstheme="minorHAnsi"/>
          <w:b/>
          <w:bCs/>
          <w:color w:val="auto"/>
          <w:u w:val="none"/>
        </w:rPr>
      </w:pPr>
      <w:r>
        <w:rPr>
          <w:rStyle w:val="Hyperlink"/>
          <w:rFonts w:cstheme="minorHAnsi"/>
          <w:b/>
          <w:bCs/>
          <w:color w:val="auto"/>
          <w:u w:val="none"/>
        </w:rPr>
        <w:t>List of attachments:</w:t>
      </w:r>
    </w:p>
    <w:p w:rsidR="008D0836" w:rsidP="008D0836" w:rsidRDefault="008D0836" w14:paraId="7D073FAF" w14:textId="77777777">
      <w:pPr>
        <w:pStyle w:val="ListParagraph"/>
        <w:numPr>
          <w:ilvl w:val="0"/>
          <w:numId w:val="8"/>
        </w:numPr>
        <w:rPr>
          <w:rFonts w:cstheme="minorHAnsi"/>
        </w:rPr>
      </w:pPr>
      <w:r w:rsidRPr="000975A8">
        <w:rPr>
          <w:rFonts w:cstheme="minorHAnsi"/>
        </w:rPr>
        <w:t>Australian Human Rights Commission Complaint Statistics 2021-2022</w:t>
      </w:r>
    </w:p>
    <w:p w:rsidRPr="005A0EF8" w:rsidR="008D0836" w:rsidP="008D0836" w:rsidRDefault="008D0836" w14:paraId="1A232579" w14:textId="77777777">
      <w:pPr>
        <w:pStyle w:val="ListParagraph"/>
        <w:numPr>
          <w:ilvl w:val="0"/>
          <w:numId w:val="8"/>
        </w:numPr>
        <w:rPr>
          <w:rFonts w:cstheme="minorHAnsi"/>
        </w:rPr>
      </w:pPr>
      <w:r>
        <w:rPr>
          <w:rFonts w:cstheme="minorHAnsi"/>
        </w:rPr>
        <w:t>Violence by Age – Australian Bureau of Statistics (data from ABS Personal Safety 2016 and Recorded Crimes – Victims 2021 surveys)</w:t>
      </w:r>
    </w:p>
    <w:p w:rsidRPr="00AE4B7A" w:rsidR="008D0836" w:rsidP="00E26841" w:rsidRDefault="008D0836" w14:paraId="6ED1ADD9" w14:textId="77777777">
      <w:pPr>
        <w:rPr>
          <w:rFonts w:cstheme="minorHAnsi"/>
          <w:b/>
          <w:bCs/>
        </w:rPr>
      </w:pPr>
    </w:p>
    <w:sectPr w:rsidRPr="00AE4B7A" w:rsidR="008D083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OT-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D04"/>
    <w:multiLevelType w:val="hybridMultilevel"/>
    <w:tmpl w:val="D886253E"/>
    <w:lvl w:ilvl="0" w:tplc="7EEEE712">
      <w:numFmt w:val="bullet"/>
      <w:lvlText w:val="•"/>
      <w:lvlJc w:val="left"/>
      <w:pPr>
        <w:ind w:left="1080" w:hanging="72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62D7C6A"/>
    <w:multiLevelType w:val="hybridMultilevel"/>
    <w:tmpl w:val="3DCE5F06"/>
    <w:lvl w:ilvl="0" w:tplc="7EEEE712">
      <w:numFmt w:val="bullet"/>
      <w:lvlText w:val="•"/>
      <w:lvlJc w:val="left"/>
      <w:pPr>
        <w:ind w:left="1080" w:hanging="72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5FE3889"/>
    <w:multiLevelType w:val="hybridMultilevel"/>
    <w:tmpl w:val="1A466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F919A3"/>
    <w:multiLevelType w:val="hybridMultilevel"/>
    <w:tmpl w:val="7862DFF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4" w15:restartNumberingAfterBreak="0">
    <w:nsid w:val="29067D32"/>
    <w:multiLevelType w:val="hybridMultilevel"/>
    <w:tmpl w:val="54BC2424"/>
    <w:lvl w:ilvl="0" w:tplc="0C090001">
      <w:start w:val="1"/>
      <w:numFmt w:val="bullet"/>
      <w:lvlText w:val=""/>
      <w:lvlJc w:val="left"/>
      <w:pPr>
        <w:ind w:left="765" w:hanging="360"/>
      </w:pPr>
      <w:rPr>
        <w:rFonts w:hint="default" w:ascii="Symbol" w:hAnsi="Symbol"/>
      </w:rPr>
    </w:lvl>
    <w:lvl w:ilvl="1" w:tplc="0C090003">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5" w15:restartNumberingAfterBreak="0">
    <w:nsid w:val="2AD308A6"/>
    <w:multiLevelType w:val="hybridMultilevel"/>
    <w:tmpl w:val="CD6A18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5FA083A"/>
    <w:multiLevelType w:val="hybridMultilevel"/>
    <w:tmpl w:val="6D7A77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B2F3050"/>
    <w:multiLevelType w:val="hybridMultilevel"/>
    <w:tmpl w:val="4FB672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FF3135D"/>
    <w:multiLevelType w:val="hybridMultilevel"/>
    <w:tmpl w:val="EFE4AAA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4A0339"/>
    <w:multiLevelType w:val="hybridMultilevel"/>
    <w:tmpl w:val="6E80B61C"/>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459D5E70"/>
    <w:multiLevelType w:val="hybridMultilevel"/>
    <w:tmpl w:val="7D3851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9267547"/>
    <w:multiLevelType w:val="hybridMultilevel"/>
    <w:tmpl w:val="CBB0BA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EA55024"/>
    <w:multiLevelType w:val="hybridMultilevel"/>
    <w:tmpl w:val="63B80D0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52AA0C83"/>
    <w:multiLevelType w:val="hybridMultilevel"/>
    <w:tmpl w:val="3BB033B8"/>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14" w15:restartNumberingAfterBreak="0">
    <w:nsid w:val="714A7E38"/>
    <w:multiLevelType w:val="hybridMultilevel"/>
    <w:tmpl w:val="E56C1A9A"/>
    <w:lvl w:ilvl="0" w:tplc="7EEEE712">
      <w:numFmt w:val="bullet"/>
      <w:lvlText w:val="•"/>
      <w:lvlJc w:val="left"/>
      <w:pPr>
        <w:ind w:left="1080" w:hanging="720"/>
      </w:pPr>
      <w:rPr>
        <w:rFonts w:hint="default" w:ascii="Calibri" w:hAnsi="Calibri" w:cs="Calibri" w:eastAsiaTheme="minorHAns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6823C9D"/>
    <w:multiLevelType w:val="hybridMultilevel"/>
    <w:tmpl w:val="440AA6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13"/>
  </w:num>
  <w:num w:numId="4">
    <w:abstractNumId w:val="5"/>
  </w:num>
  <w:num w:numId="5">
    <w:abstractNumId w:val="12"/>
  </w:num>
  <w:num w:numId="6">
    <w:abstractNumId w:val="11"/>
  </w:num>
  <w:num w:numId="7">
    <w:abstractNumId w:val="2"/>
  </w:num>
  <w:num w:numId="8">
    <w:abstractNumId w:val="8"/>
  </w:num>
  <w:num w:numId="9">
    <w:abstractNumId w:val="10"/>
  </w:num>
  <w:num w:numId="10">
    <w:abstractNumId w:val="15"/>
  </w:num>
  <w:num w:numId="11">
    <w:abstractNumId w:val="6"/>
  </w:num>
  <w:num w:numId="12">
    <w:abstractNumId w:val="7"/>
  </w:num>
  <w:num w:numId="13">
    <w:abstractNumId w:val="1"/>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5C06AF"/>
    <w:rsid w:val="00005B5E"/>
    <w:rsid w:val="000101FA"/>
    <w:rsid w:val="00012DFD"/>
    <w:rsid w:val="00020DF0"/>
    <w:rsid w:val="000414AA"/>
    <w:rsid w:val="00057023"/>
    <w:rsid w:val="00084069"/>
    <w:rsid w:val="000916BE"/>
    <w:rsid w:val="000A535D"/>
    <w:rsid w:val="000D3FBD"/>
    <w:rsid w:val="000E68C4"/>
    <w:rsid w:val="000F4745"/>
    <w:rsid w:val="000F7D49"/>
    <w:rsid w:val="0010558B"/>
    <w:rsid w:val="00110BBD"/>
    <w:rsid w:val="001243A8"/>
    <w:rsid w:val="001622F1"/>
    <w:rsid w:val="00170702"/>
    <w:rsid w:val="00172B2B"/>
    <w:rsid w:val="001950AD"/>
    <w:rsid w:val="001962C2"/>
    <w:rsid w:val="001B36E9"/>
    <w:rsid w:val="001F0DA6"/>
    <w:rsid w:val="00211526"/>
    <w:rsid w:val="00244CBF"/>
    <w:rsid w:val="00245007"/>
    <w:rsid w:val="002524BC"/>
    <w:rsid w:val="002907A5"/>
    <w:rsid w:val="002A1B75"/>
    <w:rsid w:val="002A5F2B"/>
    <w:rsid w:val="002A75B2"/>
    <w:rsid w:val="002B0469"/>
    <w:rsid w:val="002C693E"/>
    <w:rsid w:val="002D5DE1"/>
    <w:rsid w:val="003265DC"/>
    <w:rsid w:val="00350C67"/>
    <w:rsid w:val="00352D35"/>
    <w:rsid w:val="0037029E"/>
    <w:rsid w:val="00372EF4"/>
    <w:rsid w:val="003839FA"/>
    <w:rsid w:val="003C3986"/>
    <w:rsid w:val="003C5097"/>
    <w:rsid w:val="003D6FE8"/>
    <w:rsid w:val="0041345E"/>
    <w:rsid w:val="00426D0A"/>
    <w:rsid w:val="00426E5E"/>
    <w:rsid w:val="00437CB0"/>
    <w:rsid w:val="00443563"/>
    <w:rsid w:val="004456D1"/>
    <w:rsid w:val="0045568B"/>
    <w:rsid w:val="00466371"/>
    <w:rsid w:val="00472066"/>
    <w:rsid w:val="0048071C"/>
    <w:rsid w:val="004B2CE8"/>
    <w:rsid w:val="004D0ACC"/>
    <w:rsid w:val="004D209A"/>
    <w:rsid w:val="004D55A1"/>
    <w:rsid w:val="004F61A9"/>
    <w:rsid w:val="00517251"/>
    <w:rsid w:val="00544B05"/>
    <w:rsid w:val="00561DFD"/>
    <w:rsid w:val="00571FE7"/>
    <w:rsid w:val="00596CCB"/>
    <w:rsid w:val="005B730D"/>
    <w:rsid w:val="005C35BC"/>
    <w:rsid w:val="005C6F1A"/>
    <w:rsid w:val="005F66AD"/>
    <w:rsid w:val="00601FD9"/>
    <w:rsid w:val="00614D95"/>
    <w:rsid w:val="00615CF9"/>
    <w:rsid w:val="00625FA5"/>
    <w:rsid w:val="00636579"/>
    <w:rsid w:val="006425CD"/>
    <w:rsid w:val="00654351"/>
    <w:rsid w:val="0067466A"/>
    <w:rsid w:val="006747AB"/>
    <w:rsid w:val="006B0ABD"/>
    <w:rsid w:val="006D5492"/>
    <w:rsid w:val="006E10B1"/>
    <w:rsid w:val="00732C5E"/>
    <w:rsid w:val="007417D0"/>
    <w:rsid w:val="00746EDD"/>
    <w:rsid w:val="00751702"/>
    <w:rsid w:val="0076410C"/>
    <w:rsid w:val="00766512"/>
    <w:rsid w:val="007729AD"/>
    <w:rsid w:val="0077366E"/>
    <w:rsid w:val="00774480"/>
    <w:rsid w:val="007768D2"/>
    <w:rsid w:val="007B74A7"/>
    <w:rsid w:val="007E5CD9"/>
    <w:rsid w:val="007F279C"/>
    <w:rsid w:val="008010A1"/>
    <w:rsid w:val="008247C6"/>
    <w:rsid w:val="00830821"/>
    <w:rsid w:val="00833201"/>
    <w:rsid w:val="00846217"/>
    <w:rsid w:val="00854824"/>
    <w:rsid w:val="008671D8"/>
    <w:rsid w:val="00873BF7"/>
    <w:rsid w:val="00884440"/>
    <w:rsid w:val="008A3E90"/>
    <w:rsid w:val="008D0836"/>
    <w:rsid w:val="008D77D8"/>
    <w:rsid w:val="008E10B6"/>
    <w:rsid w:val="008E11FE"/>
    <w:rsid w:val="008E2F49"/>
    <w:rsid w:val="008F12F6"/>
    <w:rsid w:val="008F6468"/>
    <w:rsid w:val="00903F31"/>
    <w:rsid w:val="00911A7B"/>
    <w:rsid w:val="00912E08"/>
    <w:rsid w:val="0094793C"/>
    <w:rsid w:val="00951AAC"/>
    <w:rsid w:val="00964A58"/>
    <w:rsid w:val="00976AF8"/>
    <w:rsid w:val="00980218"/>
    <w:rsid w:val="009F2CB8"/>
    <w:rsid w:val="00A07131"/>
    <w:rsid w:val="00A35E2B"/>
    <w:rsid w:val="00A42954"/>
    <w:rsid w:val="00A508B8"/>
    <w:rsid w:val="00A57189"/>
    <w:rsid w:val="00A63D28"/>
    <w:rsid w:val="00AA402C"/>
    <w:rsid w:val="00AA5AC4"/>
    <w:rsid w:val="00AB25A6"/>
    <w:rsid w:val="00AB40F6"/>
    <w:rsid w:val="00AC385D"/>
    <w:rsid w:val="00AD1600"/>
    <w:rsid w:val="00AE4B7A"/>
    <w:rsid w:val="00AF538C"/>
    <w:rsid w:val="00B16C85"/>
    <w:rsid w:val="00B2301F"/>
    <w:rsid w:val="00B26DED"/>
    <w:rsid w:val="00B36BA0"/>
    <w:rsid w:val="00B505A5"/>
    <w:rsid w:val="00B75078"/>
    <w:rsid w:val="00B84790"/>
    <w:rsid w:val="00B85290"/>
    <w:rsid w:val="00B87A96"/>
    <w:rsid w:val="00B95D6A"/>
    <w:rsid w:val="00BB582E"/>
    <w:rsid w:val="00BE1A64"/>
    <w:rsid w:val="00C0179D"/>
    <w:rsid w:val="00C31566"/>
    <w:rsid w:val="00C3323D"/>
    <w:rsid w:val="00C4476C"/>
    <w:rsid w:val="00C56233"/>
    <w:rsid w:val="00C71A23"/>
    <w:rsid w:val="00C83483"/>
    <w:rsid w:val="00C9376F"/>
    <w:rsid w:val="00CA3416"/>
    <w:rsid w:val="00CE0AC9"/>
    <w:rsid w:val="00CF1797"/>
    <w:rsid w:val="00CF561C"/>
    <w:rsid w:val="00D04D59"/>
    <w:rsid w:val="00D10DD3"/>
    <w:rsid w:val="00D46780"/>
    <w:rsid w:val="00D548C2"/>
    <w:rsid w:val="00D83702"/>
    <w:rsid w:val="00D95F5D"/>
    <w:rsid w:val="00D962A4"/>
    <w:rsid w:val="00DD0411"/>
    <w:rsid w:val="00DE46A3"/>
    <w:rsid w:val="00DE70D7"/>
    <w:rsid w:val="00E22412"/>
    <w:rsid w:val="00E26841"/>
    <w:rsid w:val="00E50201"/>
    <w:rsid w:val="00E71527"/>
    <w:rsid w:val="00E840E6"/>
    <w:rsid w:val="00EB04EA"/>
    <w:rsid w:val="00EB4259"/>
    <w:rsid w:val="00EB51BD"/>
    <w:rsid w:val="00EC1E1E"/>
    <w:rsid w:val="00EF5E24"/>
    <w:rsid w:val="00F031AB"/>
    <w:rsid w:val="00F141D2"/>
    <w:rsid w:val="00F143E8"/>
    <w:rsid w:val="00F273CC"/>
    <w:rsid w:val="00F3068E"/>
    <w:rsid w:val="00F33B3C"/>
    <w:rsid w:val="00F360F0"/>
    <w:rsid w:val="00F3E464"/>
    <w:rsid w:val="00F716E5"/>
    <w:rsid w:val="00FE5B39"/>
    <w:rsid w:val="00FE77A9"/>
    <w:rsid w:val="00FF70B0"/>
    <w:rsid w:val="012485BC"/>
    <w:rsid w:val="014D7029"/>
    <w:rsid w:val="02F2D233"/>
    <w:rsid w:val="0321F67E"/>
    <w:rsid w:val="03D1BAE7"/>
    <w:rsid w:val="043B19A0"/>
    <w:rsid w:val="05A907D0"/>
    <w:rsid w:val="061BDBA8"/>
    <w:rsid w:val="06907135"/>
    <w:rsid w:val="08D941A3"/>
    <w:rsid w:val="09702071"/>
    <w:rsid w:val="0B3D4FC2"/>
    <w:rsid w:val="0BC6CDA9"/>
    <w:rsid w:val="0DD63EA5"/>
    <w:rsid w:val="0DF3C436"/>
    <w:rsid w:val="0E33F376"/>
    <w:rsid w:val="0F0E03EE"/>
    <w:rsid w:val="103E94D2"/>
    <w:rsid w:val="114A6B96"/>
    <w:rsid w:val="11D238BA"/>
    <w:rsid w:val="11E4A2C4"/>
    <w:rsid w:val="121CE6D0"/>
    <w:rsid w:val="128D4F3C"/>
    <w:rsid w:val="12A3ED00"/>
    <w:rsid w:val="12DFCEE3"/>
    <w:rsid w:val="131702B7"/>
    <w:rsid w:val="13482377"/>
    <w:rsid w:val="13B8B731"/>
    <w:rsid w:val="13DCC171"/>
    <w:rsid w:val="14FF1430"/>
    <w:rsid w:val="1532A95C"/>
    <w:rsid w:val="15548792"/>
    <w:rsid w:val="1573A92C"/>
    <w:rsid w:val="157891D2"/>
    <w:rsid w:val="165DDD57"/>
    <w:rsid w:val="16FB39D6"/>
    <w:rsid w:val="173FE9CA"/>
    <w:rsid w:val="1853E448"/>
    <w:rsid w:val="186A4A1E"/>
    <w:rsid w:val="187ABF5C"/>
    <w:rsid w:val="199E7ACE"/>
    <w:rsid w:val="1A0152C7"/>
    <w:rsid w:val="1A839399"/>
    <w:rsid w:val="1B452D55"/>
    <w:rsid w:val="1C4128F4"/>
    <w:rsid w:val="1CB9A242"/>
    <w:rsid w:val="1D3DD464"/>
    <w:rsid w:val="1EB5B3F0"/>
    <w:rsid w:val="20AC4139"/>
    <w:rsid w:val="2420E974"/>
    <w:rsid w:val="25F07601"/>
    <w:rsid w:val="28052093"/>
    <w:rsid w:val="28AA6B7A"/>
    <w:rsid w:val="295B5E75"/>
    <w:rsid w:val="29A4558B"/>
    <w:rsid w:val="2BA9965A"/>
    <w:rsid w:val="2C0FBDDC"/>
    <w:rsid w:val="2C3DE35B"/>
    <w:rsid w:val="2D19D9E3"/>
    <w:rsid w:val="2F86B4D4"/>
    <w:rsid w:val="301FD68B"/>
    <w:rsid w:val="316298E0"/>
    <w:rsid w:val="3192DA7C"/>
    <w:rsid w:val="3218FB7E"/>
    <w:rsid w:val="3274DA01"/>
    <w:rsid w:val="32B5932F"/>
    <w:rsid w:val="32BB03D2"/>
    <w:rsid w:val="34361B74"/>
    <w:rsid w:val="34CA7B3E"/>
    <w:rsid w:val="3692AB97"/>
    <w:rsid w:val="37C92F44"/>
    <w:rsid w:val="3804F25B"/>
    <w:rsid w:val="38A2C936"/>
    <w:rsid w:val="38F9438A"/>
    <w:rsid w:val="39875F0A"/>
    <w:rsid w:val="3B246F50"/>
    <w:rsid w:val="3B39BCC2"/>
    <w:rsid w:val="3C30E44C"/>
    <w:rsid w:val="3C62A7E3"/>
    <w:rsid w:val="3CBD4BB5"/>
    <w:rsid w:val="3D0C7069"/>
    <w:rsid w:val="3D4D113A"/>
    <w:rsid w:val="3DCCB4AD"/>
    <w:rsid w:val="40A2761C"/>
    <w:rsid w:val="41B0EBCC"/>
    <w:rsid w:val="427FA08A"/>
    <w:rsid w:val="43353DF1"/>
    <w:rsid w:val="4484694C"/>
    <w:rsid w:val="44FB8073"/>
    <w:rsid w:val="495F13A7"/>
    <w:rsid w:val="4978D7C2"/>
    <w:rsid w:val="4A48D507"/>
    <w:rsid w:val="4B57CE12"/>
    <w:rsid w:val="4C975027"/>
    <w:rsid w:val="4CD8D8A7"/>
    <w:rsid w:val="4D608B16"/>
    <w:rsid w:val="4E56F7F7"/>
    <w:rsid w:val="4E840D6D"/>
    <w:rsid w:val="4EBD730D"/>
    <w:rsid w:val="50B71521"/>
    <w:rsid w:val="51AA780A"/>
    <w:rsid w:val="52346E34"/>
    <w:rsid w:val="5345DB95"/>
    <w:rsid w:val="5390E430"/>
    <w:rsid w:val="53A42295"/>
    <w:rsid w:val="54FBEDD1"/>
    <w:rsid w:val="56E4334B"/>
    <w:rsid w:val="5747B926"/>
    <w:rsid w:val="57A4110F"/>
    <w:rsid w:val="5B341A39"/>
    <w:rsid w:val="5B513A35"/>
    <w:rsid w:val="5BE1650E"/>
    <w:rsid w:val="5C488C72"/>
    <w:rsid w:val="5CC6978D"/>
    <w:rsid w:val="5DD65E67"/>
    <w:rsid w:val="5E3880A9"/>
    <w:rsid w:val="5E3EC7CE"/>
    <w:rsid w:val="5FE284FD"/>
    <w:rsid w:val="5FF2C632"/>
    <w:rsid w:val="606F6738"/>
    <w:rsid w:val="607754BE"/>
    <w:rsid w:val="60FD3C28"/>
    <w:rsid w:val="61339E77"/>
    <w:rsid w:val="6213251F"/>
    <w:rsid w:val="63CA20B3"/>
    <w:rsid w:val="686DF26B"/>
    <w:rsid w:val="68E12704"/>
    <w:rsid w:val="695C06AF"/>
    <w:rsid w:val="695DF2C0"/>
    <w:rsid w:val="69C52F9A"/>
    <w:rsid w:val="6A4BFE4F"/>
    <w:rsid w:val="6AC2DFDB"/>
    <w:rsid w:val="6CD63453"/>
    <w:rsid w:val="6D55D7C6"/>
    <w:rsid w:val="6D86660E"/>
    <w:rsid w:val="6DA6072D"/>
    <w:rsid w:val="6EA7B90A"/>
    <w:rsid w:val="6EFA60A4"/>
    <w:rsid w:val="70434128"/>
    <w:rsid w:val="70707E25"/>
    <w:rsid w:val="712B2A4E"/>
    <w:rsid w:val="717C8552"/>
    <w:rsid w:val="71A12356"/>
    <w:rsid w:val="73C5194A"/>
    <w:rsid w:val="73F8CE67"/>
    <w:rsid w:val="7419AE8E"/>
    <w:rsid w:val="786D1B99"/>
    <w:rsid w:val="7C1B2CA8"/>
    <w:rsid w:val="7C207340"/>
    <w:rsid w:val="7C3546A9"/>
    <w:rsid w:val="7CBB0ED2"/>
    <w:rsid w:val="7D0E2774"/>
    <w:rsid w:val="7E61C159"/>
    <w:rsid w:val="7E6E501E"/>
    <w:rsid w:val="7F34C332"/>
    <w:rsid w:val="7F7815D5"/>
    <w:rsid w:val="7F90580E"/>
    <w:rsid w:val="7FB19FC7"/>
    <w:rsid w:val="7FC6C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06AF"/>
  <w15:chartTrackingRefBased/>
  <w15:docId w15:val="{947D27A8-BA0D-4379-A3FE-58C87C22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1527"/>
    <w:rPr>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83483"/>
    <w:rPr>
      <w:sz w:val="16"/>
      <w:szCs w:val="16"/>
    </w:rPr>
  </w:style>
  <w:style w:type="paragraph" w:styleId="CommentText">
    <w:name w:val="annotation text"/>
    <w:basedOn w:val="Normal"/>
    <w:link w:val="CommentTextChar"/>
    <w:uiPriority w:val="99"/>
    <w:semiHidden/>
    <w:unhideWhenUsed/>
    <w:rsid w:val="00C83483"/>
    <w:pPr>
      <w:spacing w:line="240" w:lineRule="auto"/>
    </w:pPr>
    <w:rPr>
      <w:sz w:val="20"/>
      <w:szCs w:val="20"/>
    </w:rPr>
  </w:style>
  <w:style w:type="character" w:styleId="CommentTextChar" w:customStyle="1">
    <w:name w:val="Comment Text Char"/>
    <w:basedOn w:val="DefaultParagraphFont"/>
    <w:link w:val="CommentText"/>
    <w:uiPriority w:val="99"/>
    <w:semiHidden/>
    <w:rsid w:val="00C83483"/>
    <w:rPr>
      <w:sz w:val="20"/>
      <w:szCs w:val="20"/>
      <w:lang w:val="en-AU"/>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35E2B"/>
    <w:pPr>
      <w:ind w:left="720"/>
      <w:contextualSpacing/>
    </w:pPr>
  </w:style>
  <w:style w:type="character" w:styleId="Hyperlink">
    <w:name w:val="Hyperlink"/>
    <w:basedOn w:val="DefaultParagraphFont"/>
    <w:uiPriority w:val="99"/>
    <w:unhideWhenUsed/>
    <w:rsid w:val="00AC385D"/>
    <w:rPr>
      <w:color w:val="0563C1"/>
      <w:u w:val="single"/>
    </w:rPr>
  </w:style>
  <w:style w:type="character" w:styleId="normaltextrun" w:customStyle="1">
    <w:name w:val="normaltextrun"/>
    <w:basedOn w:val="DefaultParagraphFont"/>
    <w:rsid w:val="00AC385D"/>
  </w:style>
  <w:style w:type="character" w:styleId="spelle" w:customStyle="1">
    <w:name w:val="spelle"/>
    <w:basedOn w:val="DefaultParagraphFont"/>
    <w:rsid w:val="00AC385D"/>
  </w:style>
  <w:style w:type="character" w:styleId="UnresolvedMention">
    <w:name w:val="Unresolved Mention"/>
    <w:basedOn w:val="DefaultParagraphFont"/>
    <w:uiPriority w:val="99"/>
    <w:semiHidden/>
    <w:unhideWhenUsed/>
    <w:rsid w:val="00873B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247C6"/>
    <w:rPr>
      <w:b/>
      <w:bCs/>
    </w:rPr>
  </w:style>
  <w:style w:type="character" w:styleId="CommentSubjectChar" w:customStyle="1">
    <w:name w:val="Comment Subject Char"/>
    <w:basedOn w:val="CommentTextChar"/>
    <w:link w:val="CommentSubject"/>
    <w:uiPriority w:val="99"/>
    <w:semiHidden/>
    <w:rsid w:val="008247C6"/>
    <w:rPr>
      <w:b/>
      <w:bCs/>
      <w:sz w:val="20"/>
      <w:szCs w:val="20"/>
      <w:lang w:val="en-AU"/>
    </w:rPr>
  </w:style>
  <w:style w:type="character" w:styleId="FollowedHyperlink">
    <w:name w:val="FollowedHyperlink"/>
    <w:basedOn w:val="DefaultParagraphFont"/>
    <w:uiPriority w:val="99"/>
    <w:semiHidden/>
    <w:unhideWhenUsed/>
    <w:rsid w:val="002A1B75"/>
    <w:rPr>
      <w:color w:val="954F72" w:themeColor="followedHyperlink"/>
      <w:u w:val="single"/>
    </w:rPr>
  </w:style>
  <w:style w:type="character" w:styleId="ListParagraphChar" w:customStyle="1">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8D0836"/>
    <w:rPr>
      <w:lang w:val="en-AU"/>
    </w:rPr>
  </w:style>
  <w:style w:type="paragraph" w:styleId="NormalWeb">
    <w:name w:val="Normal (Web)"/>
    <w:basedOn w:val="Normal"/>
    <w:uiPriority w:val="99"/>
    <w:semiHidden/>
    <w:unhideWhenUsed/>
    <w:rsid w:val="00AA5A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0951">
      <w:bodyDiv w:val="1"/>
      <w:marLeft w:val="0"/>
      <w:marRight w:val="0"/>
      <w:marTop w:val="0"/>
      <w:marBottom w:val="0"/>
      <w:divBdr>
        <w:top w:val="none" w:sz="0" w:space="0" w:color="auto"/>
        <w:left w:val="none" w:sz="0" w:space="0" w:color="auto"/>
        <w:bottom w:val="none" w:sz="0" w:space="0" w:color="auto"/>
        <w:right w:val="none" w:sz="0" w:space="0" w:color="auto"/>
      </w:divBdr>
    </w:div>
    <w:div w:id="19568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ifs.gov.au/research/research-reports/national-elder-abuse-prevalence-study-final-report" TargetMode="External" Id="rId8" /><Relationship Type="http://schemas.openxmlformats.org/officeDocument/2006/relationships/hyperlink" Target="https://www.aihw.gov.au/about-our-data/our-data-collections/specialist-homelessness-services-collection" TargetMode="External" Id="rId13" /><Relationship Type="http://schemas.openxmlformats.org/officeDocument/2006/relationships/hyperlink" Target="https://www.compass.info/" TargetMode="External" Id="rId18" /><Relationship Type="http://schemas.openxmlformats.org/officeDocument/2006/relationships/hyperlink" Target="http://www.embraced.com.au/" TargetMode="External" Id="rId26" /><Relationship Type="http://schemas.openxmlformats.org/officeDocument/2006/relationships/customXml" Target="../customXml/item3.xml" Id="rId3" /><Relationship Type="http://schemas.openxmlformats.org/officeDocument/2006/relationships/hyperlink" Target="https://humanrights.gov.au/elderabuse" TargetMode="External" Id="rId21" /><Relationship Type="http://schemas.openxmlformats.org/officeDocument/2006/relationships/webSettings" Target="webSettings.xml" Id="rId7" /><Relationship Type="http://schemas.openxmlformats.org/officeDocument/2006/relationships/hyperlink" Target="https://www.abs.gov.au/statistics/people/crime-and-justice/recorded-crime-victims/latest-release" TargetMode="External" Id="rId12" /><Relationship Type="http://schemas.openxmlformats.org/officeDocument/2006/relationships/hyperlink" Target="https://www.agedcarequality.gov.au/sector-performance" TargetMode="External" Id="rId17" /><Relationship Type="http://schemas.openxmlformats.org/officeDocument/2006/relationships/hyperlink" Target="https://consultation.accc.gov.au/accc/national-anti-scams-centre-survey/" TargetMode="External" Id="rId25" /><Relationship Type="http://schemas.openxmlformats.org/officeDocument/2006/relationships/customXml" Target="../customXml/item2.xml" Id="rId2" /><Relationship Type="http://schemas.openxmlformats.org/officeDocument/2006/relationships/hyperlink" Target="https://www.agedcarequality.gov.au/sirs" TargetMode="External" Id="rId16" /><Relationship Type="http://schemas.openxmlformats.org/officeDocument/2006/relationships/hyperlink" Target="https://www.ag.gov.au/rights-and-protections/protecting-rights-older-australians" TargetMode="External" Id="rId20" /><Relationship Type="http://schemas.openxmlformats.org/officeDocument/2006/relationships/hyperlink" Target="https://opan.org.au/support/support-for-professionals/ready-to-listen/"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ic.gov.au/publications/sr/sr39" TargetMode="External" Id="rId11" /><Relationship Type="http://schemas.openxmlformats.org/officeDocument/2006/relationships/hyperlink" Target="https://www.health.gov.au/our-work/national-aged-care-advocacy-program-nacap"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https://www.scamwatch.gov.au/system/files/Targeting%20scams%20-%20report%20of%20the%20ACCC%20on%20scams%20activity%202021.pdf" TargetMode="External" Id="rId15" /><Relationship Type="http://schemas.openxmlformats.org/officeDocument/2006/relationships/hyperlink" Target="https://opan.org.au/" TargetMode="External" Id="rId23" /><Relationship Type="http://schemas.openxmlformats.org/officeDocument/2006/relationships/hyperlink" Target="https://www.aihw.gov.au/reports/domestic-violence/family-domestic-sexual-violence-australia-2019/contents/summary" TargetMode="External" Id="rId28" /><Relationship Type="http://schemas.openxmlformats.org/officeDocument/2006/relationships/hyperlink" Target="https://www.agedcarequality.gov.au/sector-performance" TargetMode="External" Id="rId10" /><Relationship Type="http://schemas.openxmlformats.org/officeDocument/2006/relationships/hyperlink" Target="https://www.accc.gov.au/media-release/scams-awareness-week-2022-empowers-australians-to-spot-a-scam-0"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hyperlink" Target="https://www.abs.gov.au/statistics/people/crime-and-justice/personal-safety-australia/latest-release" TargetMode="External" Id="rId9" /><Relationship Type="http://schemas.openxmlformats.org/officeDocument/2006/relationships/hyperlink" Target="https://www.aihw.gov.au/about-our-data/our-data-collections/national-hospitals-data-collection" TargetMode="External" Id="rId14" /><Relationship Type="http://schemas.openxmlformats.org/officeDocument/2006/relationships/hyperlink" Target="https://www.accc.gov.au/system/files/Little%20Black%20Book%20of%20Scams%202021.pdf" TargetMode="External" Id="rId22" /><Relationship Type="http://schemas.openxmlformats.org/officeDocument/2006/relationships/hyperlink" Target="https://www.abs.gov.au/statistics/people/crime-and-justice/defining-data-challenge-family-domestic-and-sexual-violence/latest-release" TargetMode="External" Id="rId27" /><Relationship Type="http://schemas.openxmlformats.org/officeDocument/2006/relationships/hyperlink" Target="https://www.accc.gov.au/media-release/hearing-aid-retailers-fined-25-million-for-misleading-pensioners"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Australia</Contribu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E263B-5072-4E39-A650-AC854F4BEE06}"/>
</file>

<file path=customXml/itemProps2.xml><?xml version="1.0" encoding="utf-8"?>
<ds:datastoreItem xmlns:ds="http://schemas.openxmlformats.org/officeDocument/2006/customXml" ds:itemID="{81D6C868-4CE5-4773-B517-E8144E3D3595}">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06dccb30-cd79-45ad-82e7-85e77da07be2"/>
    <ds:schemaRef ds:uri="64e70c9c-ac62-48bb-aa24-f0b40c8e6cd9"/>
    <ds:schemaRef ds:uri="http://www.w3.org/XML/1998/namespace"/>
  </ds:schemaRefs>
</ds:datastoreItem>
</file>

<file path=customXml/itemProps3.xml><?xml version="1.0" encoding="utf-8"?>
<ds:datastoreItem xmlns:ds="http://schemas.openxmlformats.org/officeDocument/2006/customXml" ds:itemID="{FEC2B091-D3CD-492E-AAF2-441DE52D4F1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SKOSS, Eloise</dc:creator>
  <cp:keywords/>
  <dc:description/>
  <cp:lastModifiedBy>SKOSS, Eloise</cp:lastModifiedBy>
  <cp:revision>178</cp:revision>
  <dcterms:created xsi:type="dcterms:W3CDTF">2023-02-27T00:42:00Z</dcterms:created>
  <dcterms:modified xsi:type="dcterms:W3CDTF">2023-03-09T04:34:54Z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ies>
</file>