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Regarding the Call for Inputs for the Report of Mr. Victor Madrigal-Borloz that will be presented to the 50th session of the Human Rights Council to the question of health and sexual orientation and gender identity (SOGI) including in the context of sustainable development, Sarajevo Open Center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(hereinafter SOC) is providing you following inputs for Bosnia and Herzegovina (hereinafter BiH):</w:t>
      </w:r>
    </w:p>
    <w:p w:rsidR="00000000" w:rsidDel="00000000" w:rsidP="00000000" w:rsidRDefault="00000000" w:rsidRPr="00000000" w14:paraId="00000002">
      <w:pPr>
        <w:pStyle w:val="Heading2"/>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Research: understanding the health care needs of LGTBI and GNC people</w:t>
      </w:r>
    </w:p>
    <w:p w:rsidR="00000000" w:rsidDel="00000000" w:rsidP="00000000" w:rsidRDefault="00000000" w:rsidRPr="00000000" w14:paraId="00000003">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Does the State (or other stakeholders) gather data, including data disaggregated by sexual orientation and/or gender identity, on:</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Official Public Health Institutions and Ministries of BiH does collect data on access to and/or delivery of health services, the number of new HIV infections, access to sexual and reproductive health care, and coverage of essential health services,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suicide mortality rate, coverage of treatment interventions for substance use disorders and harmful use of alcohol</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However, data is not disaggregated by sexual orientation and/or gender identity.</w:t>
      </w:r>
      <w:r w:rsidDel="00000000" w:rsidR="00000000" w:rsidRPr="00000000">
        <w:rPr>
          <w:rtl w:val="0"/>
        </w:rPr>
      </w:r>
    </w:p>
    <w:p w:rsidR="00000000" w:rsidDel="00000000" w:rsidP="00000000" w:rsidRDefault="00000000" w:rsidRPr="00000000" w14:paraId="00000005">
      <w:pPr>
        <w:pStyle w:val="Heading2"/>
        <w:numPr>
          <w:ilvl w:val="1"/>
          <w:numId w:val="1"/>
        </w:numPr>
        <w:spacing w:after="80" w:before="0" w:lineRule="auto"/>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steps have been taken to research and understand the health care needs of LGTBI and GNC people of all ages at the national level?</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BiH and its institutions have not conducted specific research on the needs of LGBTI and GNC people in the context of health care needs. On the other hand, SOC as an NGO that works on advancing human rights, especially the position and human rights of LGBTI people and women in BiH conducted few publications on this topic:</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-Publication “From Support to Acceptance: Toolkit for inclusive psychological, psychotherapeutic and other forms of comprehensive support for LGBTI persons“</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-Publication „Bodies that Transcend the Binary 2: Research on human rights of intersex children in the healthcare system of Bosnia and Herzegovina“</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-Publication „Between the Sexes and Reality: Handbook for Medical and Healthcare Professionals on the Treatment of Intersex Persons“</w:t>
      </w:r>
      <w:r w:rsidDel="00000000" w:rsidR="00000000" w:rsidRPr="00000000">
        <w:rPr>
          <w:rFonts w:ascii="Arial" w:cs="Arial" w:eastAsia="Arial" w:hAnsi="Arial"/>
          <w:vertAlign w:val="superscript"/>
        </w:rPr>
        <w:footnoteReference w:customMarkFollows="0" w:id="3"/>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-Publication „Medical Aspects of Gender Reassignment: Manual for medical professionals and healthcare workers on providing services and support to trans persons in the transition process“</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-Publication „Right of LGBT Persons in Bosnia and Herzegovina: Health“</w:t>
      </w:r>
      <w:r w:rsidDel="00000000" w:rsidR="00000000" w:rsidRPr="00000000">
        <w:rPr>
          <w:rFonts w:ascii="Arial" w:cs="Arial" w:eastAsia="Arial" w:hAnsi="Arial"/>
          <w:vertAlign w:val="superscript"/>
        </w:rPr>
        <w:footnoteReference w:customMarkFollows="0" w:id="5"/>
      </w:r>
      <w:r w:rsidDel="00000000" w:rsidR="00000000" w:rsidRPr="00000000">
        <w:rPr>
          <w:rtl w:val="0"/>
        </w:rPr>
      </w:r>
    </w:p>
    <w:p w:rsidR="00000000" w:rsidDel="00000000" w:rsidP="00000000" w:rsidRDefault="00000000" w:rsidRPr="00000000" w14:paraId="0000000C">
      <w:pPr>
        <w:pStyle w:val="Heading2"/>
        <w:numPr>
          <w:ilvl w:val="1"/>
          <w:numId w:val="1"/>
        </w:numPr>
        <w:spacing w:after="80" w:before="0" w:lineRule="auto"/>
        <w:ind w:left="792" w:hanging="432"/>
        <w:jc w:val="both"/>
        <w:rPr>
          <w:rFonts w:ascii="Arial" w:cs="Arial" w:eastAsia="Arial" w:hAnsi="Arial"/>
          <w:b w:val="0"/>
        </w:rPr>
      </w:pPr>
      <w:r w:rsidDel="00000000" w:rsidR="00000000" w:rsidRPr="00000000">
        <w:rPr>
          <w:rFonts w:ascii="Arial" w:cs="Arial" w:eastAsia="Arial" w:hAnsi="Arial"/>
          <w:b w:val="0"/>
          <w:rtl w:val="0"/>
        </w:rPr>
        <w:t xml:space="preserve">Is this data analyzed through an intersectional lens, such as by disaggregating data by sexual orientation and/or gender identity, as well as intersecting identities including social or geographic origin, ethnicity, socio-economic status, nationality or migration status, minority, disability, and indigenous or other identity or status?</w:t>
      </w:r>
    </w:p>
    <w:p w:rsidR="00000000" w:rsidDel="00000000" w:rsidP="00000000" w:rsidRDefault="00000000" w:rsidRPr="00000000" w14:paraId="0000000D">
      <w:pPr>
        <w:jc w:val="both"/>
        <w:rPr>
          <w:rFonts w:ascii="Arial" w:cs="Arial" w:eastAsia="Arial" w:hAnsi="Arial"/>
          <w:color w:val="ff0000"/>
        </w:rPr>
      </w:pPr>
      <w:r w:rsidDel="00000000" w:rsidR="00000000" w:rsidRPr="00000000">
        <w:rPr>
          <w:rFonts w:ascii="Arial" w:cs="Arial" w:eastAsia="Arial" w:hAnsi="Arial"/>
          <w:color w:val="000000"/>
          <w:rtl w:val="0"/>
        </w:rPr>
        <w:t xml:space="preserve">Data is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not disaggregated by sexual orientation and/or gender identity.</w:t>
      </w:r>
      <w:r w:rsidDel="00000000" w:rsidR="00000000" w:rsidRPr="00000000">
        <w:rPr>
          <w:rtl w:val="0"/>
        </w:rPr>
      </w:r>
    </w:p>
    <w:p w:rsidR="00000000" w:rsidDel="00000000" w:rsidP="00000000" w:rsidRDefault="00000000" w:rsidRPr="00000000" w14:paraId="0000000E">
      <w:pPr>
        <w:pStyle w:val="Heading2"/>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Inclusion: LGTBI and GNC people in the decision-making process</w:t>
      </w:r>
    </w:p>
    <w:p w:rsidR="00000000" w:rsidDel="00000000" w:rsidP="00000000" w:rsidRDefault="00000000" w:rsidRPr="00000000" w14:paraId="0000000F">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measures have been put in place to consult with and include persons affected by violence and discrimination based on sexual orientation and gender identity in law and policy making in relation to the right of everyone to the enjoyment of the highest attainable standard of physical and mental health, and in relation to realising the SDGs?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BiH didn’t include LGBTI persons in consulting prior the adopting law/s and policy making in relation to the right of everyone to the enjoyment of the highest attainable standard of physical and mental health, and in relation to realising the SDGs</w:t>
      </w:r>
    </w:p>
    <w:p w:rsidR="00000000" w:rsidDel="00000000" w:rsidP="00000000" w:rsidRDefault="00000000" w:rsidRPr="00000000" w14:paraId="00000011">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To what extent are persons affected by violence and discrimination based on sexual orientation and gender identity included in policies and practice around sexual and reproductive health care?</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These targeted groups are included into the policies regarding HIV prevention and treatment. In that light, there exists 17 Public Centers for voluntarily, free and anonymous testing on HIV in BiH. It is important to stress out that most of these Centers have not provided/or were limited services during COVID-19 Pandemic.</w:t>
      </w:r>
    </w:p>
    <w:p w:rsidR="00000000" w:rsidDel="00000000" w:rsidP="00000000" w:rsidRDefault="00000000" w:rsidRPr="00000000" w14:paraId="00000013">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support or technical assistance is needed to ensure that the health care needs of persons affected by violence and discrimination based on sexual orientation and gender identity people are comprehensively addressed and included in relevant laws, policies, and practices?</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BiH is generally homophobic society lacking of Laws, By-Laws, Policies, Strategies, Action Plans that would improve LGBTI human rights. Only political support could help improving LGBTI human rights. However, we are lacking of that support right now. Political support that we receive can be seen as minor and marginalized having the general political context in mind. For example, a draft on Action Plan for Improving LGBTI Human Rights in BiH for period 2021-2023 was never officially adopted. This Action Plan contains specific actions regarding health care needs of trans persons.</w:t>
      </w:r>
    </w:p>
    <w:p w:rsidR="00000000" w:rsidDel="00000000" w:rsidP="00000000" w:rsidRDefault="00000000" w:rsidRPr="00000000" w14:paraId="00000015">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are the main barriers, in law or practice, for persons affected by violence and discrimination based on sexual orientation and gender identity to receive care that meets their physical and mental health needs and rights?</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Please see answer 2.3.</w:t>
      </w:r>
    </w:p>
    <w:p w:rsidR="00000000" w:rsidDel="00000000" w:rsidP="00000000" w:rsidRDefault="00000000" w:rsidRPr="00000000" w14:paraId="00000017">
      <w:pPr>
        <w:pStyle w:val="Heading2"/>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Access: ensuring that LGTBI and GNC people have access to health care</w:t>
      </w:r>
    </w:p>
    <w:p w:rsidR="00000000" w:rsidDel="00000000" w:rsidP="00000000" w:rsidRDefault="00000000" w:rsidRPr="00000000" w14:paraId="00000018">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measures have been taken to ensure access to affordable non-discriminatory health care services for persons affected by violence and discrimination based on sexual orientation and gender identity?</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These targeted groups are included into the policies regarding HIV prevention and treatment. In that light, there exists 17 Public Centers for voluntarily, free and anonymous testing on HIV in BiH. It is important to stress out that most of these Centers have not provided/or were limited services during COVID-19 Pandemic. (PONOVIO ODGOVOR 2.2.)</w:t>
      </w:r>
    </w:p>
    <w:p w:rsidR="00000000" w:rsidDel="00000000" w:rsidP="00000000" w:rsidRDefault="00000000" w:rsidRPr="00000000" w14:paraId="0000001A">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policies or programmes exist to address the mental health care needs of persons affected by violence and discrimination based on sexual orientation and gender identity, specifically around depression and anxiety, suicidal ideation, and substance abuse?</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There are no official policies nor programmes to address the mental health care of LGBTI persons.</w:t>
      </w:r>
    </w:p>
    <w:p w:rsidR="00000000" w:rsidDel="00000000" w:rsidP="00000000" w:rsidRDefault="00000000" w:rsidRPr="00000000" w14:paraId="0000001C">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policies or programmes exist to assist the health care needs of persons affected by violence and discrimination based on sexual orientation and gender identity following the experience of assault or gender-based violence?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are no official policies nor programmes to address this issues.</w:t>
      </w:r>
    </w:p>
    <w:p w:rsidR="00000000" w:rsidDel="00000000" w:rsidP="00000000" w:rsidRDefault="00000000" w:rsidRPr="00000000" w14:paraId="0000001E">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Have adequate human and financial resources been allocated to implement those policies and/or programmes? </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N/A</w:t>
      </w:r>
    </w:p>
    <w:p w:rsidR="00000000" w:rsidDel="00000000" w:rsidP="00000000" w:rsidRDefault="00000000" w:rsidRPr="00000000" w14:paraId="00000020">
      <w:pPr>
        <w:pStyle w:val="Heading2"/>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Training and Education: health care professionals and educational institutions</w:t>
      </w:r>
    </w:p>
    <w:p w:rsidR="00000000" w:rsidDel="00000000" w:rsidP="00000000" w:rsidRDefault="00000000" w:rsidRPr="00000000" w14:paraId="00000021">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Are sexual orientation and gender identity, and the specific health needs of persons affected by violence and discrimination based on sexual orientation and gender identity , included in training and education of health care professionals?</w:t>
      </w:r>
    </w:p>
    <w:p w:rsidR="00000000" w:rsidDel="00000000" w:rsidP="00000000" w:rsidRDefault="00000000" w:rsidRPr="00000000" w14:paraId="00000022">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Since we lack of policies, programmes and strategies regarding health issues of LGBTI persons in BiH, it reflects on not conducting official training and education of health care professionals. However, SOC did organize trainings for psychologists, psychiatrics and social workers. </w:t>
      </w:r>
    </w:p>
    <w:p w:rsidR="00000000" w:rsidDel="00000000" w:rsidP="00000000" w:rsidRDefault="00000000" w:rsidRPr="00000000" w14:paraId="00000023">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What measures are being taken to provide age-appropriate comprehensive sexuality education inclusive of sexual and gender diversity in educational institutions?</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These measures are not being taken in BiH so far.</w:t>
      </w:r>
    </w:p>
    <w:p w:rsidR="00000000" w:rsidDel="00000000" w:rsidP="00000000" w:rsidRDefault="00000000" w:rsidRPr="00000000" w14:paraId="00000025">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Are evidence-based and up-to-date guidelines that include SOGI issues available? How are they used to influence health related decisions on policy, programming, services including diagnostic manuals, and practices within the health care institutions? </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N/A in BiH</w:t>
      </w:r>
    </w:p>
    <w:p w:rsidR="00000000" w:rsidDel="00000000" w:rsidP="00000000" w:rsidRDefault="00000000" w:rsidRPr="00000000" w14:paraId="00000027">
      <w:pPr>
        <w:pStyle w:val="Heading2"/>
        <w:numPr>
          <w:ilvl w:val="0"/>
          <w:numId w:val="1"/>
        </w:numPr>
        <w:ind w:left="360" w:hanging="360"/>
        <w:jc w:val="both"/>
        <w:rPr>
          <w:rFonts w:ascii="Arial" w:cs="Arial" w:eastAsia="Arial" w:hAnsi="Arial"/>
        </w:rPr>
      </w:pPr>
      <w:r w:rsidDel="00000000" w:rsidR="00000000" w:rsidRPr="00000000">
        <w:rPr>
          <w:rFonts w:ascii="Arial" w:cs="Arial" w:eastAsia="Arial" w:hAnsi="Arial"/>
          <w:rtl w:val="0"/>
        </w:rPr>
        <w:t xml:space="preserve">Sustainable Development Goals</w:t>
      </w:r>
    </w:p>
    <w:p w:rsidR="00000000" w:rsidDel="00000000" w:rsidP="00000000" w:rsidRDefault="00000000" w:rsidRPr="00000000" w14:paraId="00000028">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Where the State measures its progress against SDG3, does it make reference to the health outcomes and needs of persons affected by violence and discrimination based on sexual orientation and gender identity?</w:t>
      </w: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SOC is not familiar with this specific topic.</w:t>
      </w:r>
    </w:p>
    <w:p w:rsidR="00000000" w:rsidDel="00000000" w:rsidP="00000000" w:rsidRDefault="00000000" w:rsidRPr="00000000" w14:paraId="0000002A">
      <w:pPr>
        <w:pStyle w:val="Heading2"/>
        <w:numPr>
          <w:ilvl w:val="1"/>
          <w:numId w:val="1"/>
        </w:numPr>
        <w:ind w:left="792" w:hanging="432"/>
        <w:jc w:val="both"/>
        <w:rPr>
          <w:rFonts w:ascii="Arial" w:cs="Arial" w:eastAsia="Arial" w:hAnsi="Arial"/>
          <w:b w:val="0"/>
        </w:rPr>
      </w:pPr>
      <w:r w:rsidDel="00000000" w:rsidR="00000000" w:rsidRPr="00000000">
        <w:rPr>
          <w:rFonts w:ascii="Arial" w:cs="Arial" w:eastAsia="Arial" w:hAnsi="Arial"/>
          <w:b w:val="0"/>
          <w:rtl w:val="0"/>
        </w:rPr>
        <w:t xml:space="preserve">Does the State measure progress against any of the following SDG3 indicators for persons affected by violence and discrimination based on sexual orientation and gender identity? If so, please comment on whether health outcomes are improving or declining:</w:t>
      </w:r>
    </w:p>
    <w:p w:rsidR="00000000" w:rsidDel="00000000" w:rsidP="00000000" w:rsidRDefault="00000000" w:rsidRPr="00000000" w14:paraId="0000002B">
      <w:pPr>
        <w:ind w:left="792" w:firstLine="0"/>
        <w:jc w:val="both"/>
        <w:rPr>
          <w:rFonts w:ascii="Arial" w:cs="Arial" w:eastAsia="Arial" w:hAnsi="Arial"/>
        </w:rPr>
      </w:pPr>
      <w:r w:rsidDel="00000000" w:rsidR="00000000" w:rsidRPr="00000000">
        <w:rPr>
          <w:rFonts w:ascii="Arial" w:cs="Arial" w:eastAsia="Arial" w:hAnsi="Arial"/>
          <w:rtl w:val="0"/>
        </w:rPr>
        <w:t xml:space="preserve">Please find charts with answers on the links provided down below.</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3.3.1: Number of new HIV infections per 1,000 uninfected population, by sex, age and key populations; </w:t>
      </w:r>
      <w:hyperlink r:id="rId8">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https://sdg.bhas.gov.ba/3-3-1/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3.4.2: Suicide mortality rate; </w:t>
      </w:r>
      <w:hyperlink r:id="rId9">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https://sdg.bhas.gov.ba/3-4-2/</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3.5.1: Coverage of treatment interventions (pharmacological, psychosocial and rehabilitation and aftercare services) for substance use disorders; </w:t>
      </w:r>
      <w:hyperlink r:id="rId10">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https://sdg.bhas.gov.ba/3-5-1/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3.5.2: Harmful use of alcohol, defined according to the national context as alcohol per capita consumption (aged 15 years and older) within a calendar year in litres of pure alcohol </w:t>
      </w:r>
      <w:hyperlink r:id="rId11">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https://sdg.bhas.gov.ba/3-5-2/</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3.7.1: Proportion of women of reproductive age (aged 15-49 years) who have their need for family planning satisfied with modern methods, including lesbian and bisexual women, and trans persons; </w:t>
      </w:r>
      <w:hyperlink r:id="rId12">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https://sdg.bhas.gov.ba/3-7-1/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3.7.2: Adolescent birth rate (aged 10-14 years; aged 15-19 years) per 1,000 women and trans men in that age group, particularly among LBT and GNC young individuals; </w:t>
      </w:r>
      <w:hyperlink r:id="rId13">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https://sdg.bhas.gov.ba/3-7-2/</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284.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w:t>
      </w:r>
      <w:hyperlink r:id="rId14">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https://sdg.bhas.gov.ba/3-8-1/</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Indicator 3.8.2: Proportion of population with large household expenditures on health as a share of total household expenditure or income. </w:t>
      </w:r>
      <w:hyperlink r:id="rId15">
        <w:r w:rsidDel="00000000" w:rsidR="00000000" w:rsidRPr="00000000">
          <w:rPr>
            <w:rFonts w:ascii="Arial" w:cs="Arial" w:eastAsia="Arial" w:hAnsi="Arial"/>
            <w:color w:val="1155cc"/>
            <w:u w:val="single"/>
            <w:rtl w:val="0"/>
          </w:rPr>
          <w:t xml:space="preserve">https://sdg.bhas.gov.ba/3-8-2/</w:t>
        </w:r>
      </w:hyperlink>
      <w:r w:rsidDel="00000000" w:rsidR="00000000" w:rsidRPr="00000000">
        <w:rPr>
          <w:rFonts w:ascii="Arial" w:cs="Arial" w:eastAsia="Arial" w:hAnsi="Arial"/>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https://soc.ba/en/about-us/</w:t>
      </w:r>
    </w:p>
  </w:footnote>
  <w:footnote w:id="1">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https://soc.ba/site/wp-content/uploads/2021/10/Od-podr%C5%A1ke-do-prihvatanja.pdf</w:t>
      </w:r>
    </w:p>
  </w:footnote>
  <w:footnote w:id="2">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https://soc.ba/site/wp-content/uploads/2020/11/HRP53-FINAL_web.pdf</w:t>
      </w:r>
    </w:p>
  </w:footnote>
  <w:footnote w:id="3">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https://soc.ba/site/wp-content/uploads/2020/12/Prirucnik_interspolnost_za-web.pdf</w:t>
      </w:r>
    </w:p>
  </w:footnote>
  <w:footnote w:id="4">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https://soc.ba/site/wp-content/uploads/2018/09/Medicinski-aspekti-prilagodbe-spola_Prirucnik.pdf</w:t>
      </w:r>
    </w:p>
  </w:footnote>
  <w:footnote w:id="5">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https://soc.ba/site/wp-content/uploads/2013/10/Zdravstvo-za-web.pdf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Calibri" w:cs="Calibri" w:eastAsia="Calibri" w:hAnsi="Calibri"/>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120" w:before="240" w:line="276" w:lineRule="auto"/>
    </w:pPr>
    <w:rPr>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2C2B19"/>
    <w:pPr>
      <w:spacing w:after="120" w:before="240" w:line="276" w:lineRule="auto"/>
      <w:outlineLvl w:val="1"/>
    </w:pPr>
    <w:rPr>
      <w:rFonts w:cs="Calibri" w:eastAsia="Calibri"/>
      <w:b w:val="1"/>
      <w:lang w:val="en"/>
    </w:rPr>
  </w:style>
  <w:style w:type="paragraph" w:styleId="Heading3">
    <w:name w:val="heading 3"/>
    <w:basedOn w:val="Normal"/>
    <w:next w:val="Normal"/>
    <w:link w:val="Heading3Char"/>
    <w:uiPriority w:val="9"/>
    <w:semiHidden w:val="1"/>
    <w:unhideWhenUsed w:val="1"/>
    <w:qFormat w:val="1"/>
    <w:rsid w:val="0071474F"/>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2C2B19"/>
    <w:rPr>
      <w:rFonts w:cs="Calibri" w:eastAsia="Calibri"/>
      <w:b w:val="1"/>
      <w:lang w:val="en"/>
    </w:rPr>
  </w:style>
  <w:style w:type="paragraph" w:styleId="ListParagraph">
    <w:name w:val="List Paragraph"/>
    <w:basedOn w:val="Normal"/>
    <w:uiPriority w:val="34"/>
    <w:qFormat w:val="1"/>
    <w:rsid w:val="002C2B19"/>
    <w:pPr>
      <w:spacing w:after="0" w:line="276" w:lineRule="auto"/>
      <w:ind w:left="720"/>
      <w:contextualSpacing w:val="1"/>
    </w:pPr>
    <w:rPr>
      <w:rFonts w:ascii="Arial" w:cs="Arial" w:eastAsia="Arial" w:hAnsi="Arial"/>
      <w:lang w:val="en"/>
    </w:rPr>
  </w:style>
  <w:style w:type="character" w:styleId="Heading3Char" w:customStyle="1">
    <w:name w:val="Heading 3 Char"/>
    <w:basedOn w:val="DefaultParagraphFont"/>
    <w:link w:val="Heading3"/>
    <w:uiPriority w:val="9"/>
    <w:semiHidden w:val="1"/>
    <w:rsid w:val="0071474F"/>
    <w:rPr>
      <w:rFonts w:asciiTheme="majorHAnsi" w:cstheme="majorBidi" w:eastAsiaTheme="majorEastAsia" w:hAnsiTheme="majorHAnsi"/>
      <w:color w:val="1f3763" w:themeColor="accent1" w:themeShade="00007F"/>
      <w:sz w:val="24"/>
      <w:szCs w:val="24"/>
    </w:rPr>
  </w:style>
  <w:style w:type="paragraph" w:styleId="FootnoteText">
    <w:name w:val="footnote text"/>
    <w:basedOn w:val="Normal"/>
    <w:link w:val="FootnoteTextChar"/>
    <w:uiPriority w:val="99"/>
    <w:semiHidden w:val="1"/>
    <w:unhideWhenUsed w:val="1"/>
    <w:rsid w:val="0071474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1474F"/>
    <w:rPr>
      <w:sz w:val="20"/>
      <w:szCs w:val="20"/>
    </w:rPr>
  </w:style>
  <w:style w:type="character" w:styleId="FootnoteReference">
    <w:name w:val="footnote reference"/>
    <w:basedOn w:val="DefaultParagraphFont"/>
    <w:uiPriority w:val="99"/>
    <w:semiHidden w:val="1"/>
    <w:unhideWhenUsed w:val="1"/>
    <w:rsid w:val="0071474F"/>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sdg.bhas.gov.ba/3-7-2/" TargetMode="External"/><Relationship Id="rId8" Type="http://schemas.openxmlformats.org/officeDocument/2006/relationships/hyperlink" Target="https://sdg.bhas.gov.ba/3-3-1/" TargetMode="Externa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yperlink" Target="https://sdg.bhas.gov.ba/3-7-1/" TargetMode="External"/><Relationship Id="rId7" Type="http://schemas.openxmlformats.org/officeDocument/2006/relationships/customXml" Target="../customXML/item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sdg.bhas.gov.ba/3-5-2/"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yperlink" Target="https://sdg.bhas.gov.ba/3-8-2/" TargetMode="External"/><Relationship Id="rId5" Type="http://schemas.openxmlformats.org/officeDocument/2006/relationships/numbering" Target="numbering.xml"/><Relationship Id="rId10" Type="http://schemas.openxmlformats.org/officeDocument/2006/relationships/hyperlink" Target="https://sdg.bhas.gov.ba/3-5-1/" TargetMode="External"/><Relationship Id="rId4" Type="http://schemas.openxmlformats.org/officeDocument/2006/relationships/footnotes" Target="footnotes.xml"/><Relationship Id="rId9" Type="http://schemas.openxmlformats.org/officeDocument/2006/relationships/hyperlink" Target="https://sdg.bhas.gov.ba/3-4-2/" TargetMode="External"/><Relationship Id="rId14" Type="http://schemas.openxmlformats.org/officeDocument/2006/relationships/hyperlink" Target="https://sdg.bhas.gov.ba/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Q8MzROahrNKcFNL9jccW8+tyA==">AMUW2mW6E21alpTw+ooj4myiVFnlGmjMVlkxXdsISC7YiRClKE0iP19PTu0Nw4TeuH3Gvv6j8qMyGBCmYOZLFe/mz0CZOL3xP4HXwovAAjJ+rgAG90xoylxqyvRPxegbZjXaUzyjRsJE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Sarajevo Open Center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CC659A3-9EEE-4AE7-BCB0-18311F321C3A}"/>
</file>

<file path=customXML/itemProps3.xml><?xml version="1.0" encoding="utf-8"?>
<ds:datastoreItem xmlns:ds="http://schemas.openxmlformats.org/officeDocument/2006/customXml" ds:itemID="{BC5A38CA-3D14-48C1-B409-890DA4918597}"/>
</file>

<file path=customXML/itemProps4.xml><?xml version="1.0" encoding="utf-8"?>
<ds:datastoreItem xmlns:ds="http://schemas.openxmlformats.org/officeDocument/2006/customXml" ds:itemID="{209D49A5-7352-43C5-9C64-E81A27122DF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2022-01-26T08:27:00Z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