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6B187" w14:textId="77777777" w:rsidR="00C76902" w:rsidRDefault="00C76902" w:rsidP="004B2827">
      <w:pPr>
        <w:jc w:val="both"/>
      </w:pPr>
    </w:p>
    <w:p w14:paraId="69978BFE" w14:textId="089735F3" w:rsidR="00C66151" w:rsidRPr="00E41CDE" w:rsidRDefault="00C66151" w:rsidP="004B2827">
      <w:pPr>
        <w:jc w:val="both"/>
      </w:pPr>
      <w:r w:rsidRPr="00E41CDE">
        <w:t>Victor Madrigal-</w:t>
      </w:r>
      <w:proofErr w:type="spellStart"/>
      <w:r w:rsidRPr="00E41CDE">
        <w:t>Borloz</w:t>
      </w:r>
      <w:proofErr w:type="spellEnd"/>
      <w:r w:rsidRPr="00E41CDE">
        <w:t xml:space="preserve"> </w:t>
      </w:r>
    </w:p>
    <w:p w14:paraId="68DD73E6" w14:textId="77777777" w:rsidR="00C76902" w:rsidRDefault="00C66151" w:rsidP="004B2827">
      <w:pPr>
        <w:jc w:val="both"/>
      </w:pPr>
      <w:r w:rsidRPr="00E41CDE">
        <w:t>Independent Expert on Sexual Orientation and Gender Identity</w:t>
      </w:r>
    </w:p>
    <w:p w14:paraId="75E29012" w14:textId="51AFCDA8" w:rsidR="00C66151" w:rsidRPr="00E41CDE" w:rsidRDefault="00C76902" w:rsidP="004B2827">
      <w:pPr>
        <w:jc w:val="both"/>
      </w:pPr>
      <w:r>
        <w:t>Office of the UN High Commissioner on Human Rights</w:t>
      </w:r>
      <w:r w:rsidR="00C66151" w:rsidRPr="00E41CDE">
        <w:t xml:space="preserve"> </w:t>
      </w:r>
    </w:p>
    <w:p w14:paraId="2429450D" w14:textId="77777777" w:rsidR="00C973D7" w:rsidRDefault="00C973D7" w:rsidP="004B2827">
      <w:pPr>
        <w:jc w:val="both"/>
      </w:pPr>
    </w:p>
    <w:p w14:paraId="08DD94F1" w14:textId="1A0633F4" w:rsidR="00C66151" w:rsidRPr="00E41CDE" w:rsidRDefault="00FE05A3" w:rsidP="004B2827">
      <w:pPr>
        <w:jc w:val="both"/>
      </w:pPr>
      <w:r>
        <w:t>31 January</w:t>
      </w:r>
      <w:r w:rsidR="00C66151">
        <w:t xml:space="preserve"> 202</w:t>
      </w:r>
      <w:r>
        <w:t>2</w:t>
      </w:r>
    </w:p>
    <w:p w14:paraId="37A79A59" w14:textId="77777777" w:rsidR="00C66151" w:rsidRPr="00E41CDE" w:rsidRDefault="00C66151" w:rsidP="004B2827">
      <w:pPr>
        <w:jc w:val="both"/>
      </w:pPr>
    </w:p>
    <w:p w14:paraId="33D91609" w14:textId="35AF8184" w:rsidR="00C66151" w:rsidRPr="00E41CDE" w:rsidRDefault="00C66151" w:rsidP="007E01FA">
      <w:pPr>
        <w:jc w:val="center"/>
        <w:rPr>
          <w:b/>
          <w:bCs/>
        </w:rPr>
      </w:pPr>
      <w:r w:rsidRPr="00E41CDE">
        <w:rPr>
          <w:b/>
          <w:bCs/>
        </w:rPr>
        <w:t>Re: Call for Inputs to the</w:t>
      </w:r>
      <w:r w:rsidR="00FE05A3">
        <w:rPr>
          <w:b/>
          <w:bCs/>
        </w:rPr>
        <w:t xml:space="preserve"> 2022 </w:t>
      </w:r>
      <w:r w:rsidRPr="00E41CDE">
        <w:rPr>
          <w:b/>
          <w:bCs/>
        </w:rPr>
        <w:t>Report of the Independent Expert on protection against violence and discrimination based on sexual orientation and gender identity</w:t>
      </w:r>
    </w:p>
    <w:p w14:paraId="2A2F189C" w14:textId="77777777" w:rsidR="00C66151" w:rsidRPr="00E41CDE" w:rsidRDefault="00C66151" w:rsidP="004B2827">
      <w:pPr>
        <w:jc w:val="both"/>
      </w:pPr>
    </w:p>
    <w:p w14:paraId="6BCFDB22" w14:textId="49018E6C" w:rsidR="00C66151" w:rsidRPr="001805AC" w:rsidRDefault="00C66151" w:rsidP="007E01FA">
      <w:pPr>
        <w:pStyle w:val="NormalWeb"/>
        <w:spacing w:before="0" w:beforeAutospacing="0" w:after="0" w:afterAutospacing="0"/>
        <w:jc w:val="both"/>
        <w:rPr>
          <w:rFonts w:ascii="Arial" w:hAnsi="Arial" w:cs="Arial"/>
          <w:color w:val="365F91" w:themeColor="accent1" w:themeShade="BF"/>
          <w:sz w:val="22"/>
          <w:szCs w:val="22"/>
          <w:lang w:val="en-US"/>
        </w:rPr>
      </w:pPr>
      <w:r w:rsidRPr="001805AC">
        <w:rPr>
          <w:rFonts w:ascii="Arial" w:hAnsi="Arial" w:cs="Arial"/>
          <w:color w:val="365F91" w:themeColor="accent1" w:themeShade="BF"/>
          <w:sz w:val="22"/>
          <w:szCs w:val="22"/>
          <w:lang w:val="en-US"/>
        </w:rPr>
        <w:t xml:space="preserve">Thank you for your call for inputs </w:t>
      </w:r>
      <w:r w:rsidR="00C53380">
        <w:rPr>
          <w:rFonts w:ascii="Arial" w:hAnsi="Arial" w:cs="Arial"/>
          <w:color w:val="365F91" w:themeColor="accent1" w:themeShade="BF"/>
          <w:sz w:val="22"/>
          <w:szCs w:val="22"/>
          <w:lang w:val="en-US"/>
        </w:rPr>
        <w:t xml:space="preserve">on </w:t>
      </w:r>
      <w:r w:rsidR="0020191F" w:rsidRPr="001805AC">
        <w:rPr>
          <w:rFonts w:ascii="Arial" w:hAnsi="Arial" w:cs="Arial"/>
          <w:color w:val="365F91" w:themeColor="accent1" w:themeShade="BF"/>
          <w:sz w:val="22"/>
          <w:szCs w:val="22"/>
        </w:rPr>
        <w:t xml:space="preserve">the right </w:t>
      </w:r>
      <w:r w:rsidR="000E4AF8" w:rsidRPr="001805AC">
        <w:rPr>
          <w:rFonts w:ascii="Arial" w:hAnsi="Arial" w:cs="Arial"/>
          <w:color w:val="365F91" w:themeColor="accent1" w:themeShade="BF"/>
          <w:sz w:val="22"/>
          <w:szCs w:val="22"/>
        </w:rPr>
        <w:t xml:space="preserve">to the enjoyment of the highest attainable standard of physical and mental health, in relation to SDG3, </w:t>
      </w:r>
      <w:r w:rsidR="0020191F" w:rsidRPr="001805AC">
        <w:rPr>
          <w:rFonts w:ascii="Arial" w:hAnsi="Arial" w:cs="Arial"/>
          <w:color w:val="365F91" w:themeColor="accent1" w:themeShade="BF"/>
          <w:sz w:val="22"/>
          <w:szCs w:val="22"/>
        </w:rPr>
        <w:t>of persons affected by violence and discrimination based on sexual orientation and gender identity</w:t>
      </w:r>
      <w:r w:rsidRPr="001805AC">
        <w:rPr>
          <w:rFonts w:ascii="Arial" w:hAnsi="Arial" w:cs="Arial"/>
          <w:color w:val="365F91" w:themeColor="accent1" w:themeShade="BF"/>
          <w:sz w:val="22"/>
          <w:szCs w:val="22"/>
          <w:lang w:val="en-US"/>
        </w:rPr>
        <w:t>. In this letter, we address the questions in your call with respect to the</w:t>
      </w:r>
      <w:r w:rsidR="00BF6DA7" w:rsidRPr="001805AC">
        <w:rPr>
          <w:rFonts w:ascii="Arial" w:hAnsi="Arial" w:cs="Arial"/>
          <w:color w:val="365F91" w:themeColor="accent1" w:themeShade="BF"/>
          <w:sz w:val="22"/>
          <w:szCs w:val="22"/>
          <w:lang w:val="en-US"/>
        </w:rPr>
        <w:t xml:space="preserve"> Republic of South Africa</w:t>
      </w:r>
      <w:r w:rsidRPr="001805AC">
        <w:rPr>
          <w:rFonts w:ascii="Arial" w:hAnsi="Arial" w:cs="Arial"/>
          <w:color w:val="365F91" w:themeColor="accent1" w:themeShade="BF"/>
          <w:sz w:val="22"/>
          <w:szCs w:val="22"/>
          <w:lang w:val="en-US"/>
        </w:rPr>
        <w:t xml:space="preserve">. These responses have been compiled </w:t>
      </w:r>
      <w:r w:rsidR="00BF6DA7" w:rsidRPr="001805AC">
        <w:rPr>
          <w:rFonts w:ascii="Arial" w:hAnsi="Arial" w:cs="Arial"/>
          <w:color w:val="365F91" w:themeColor="accent1" w:themeShade="BF"/>
          <w:sz w:val="22"/>
          <w:szCs w:val="22"/>
          <w:lang w:val="en-US"/>
        </w:rPr>
        <w:t>by</w:t>
      </w:r>
      <w:r w:rsidRPr="001805AC">
        <w:rPr>
          <w:rFonts w:ascii="Arial" w:hAnsi="Arial" w:cs="Arial"/>
          <w:color w:val="365F91" w:themeColor="accent1" w:themeShade="BF"/>
          <w:sz w:val="22"/>
          <w:szCs w:val="22"/>
          <w:lang w:val="en-US"/>
        </w:rPr>
        <w:t xml:space="preserve"> the Centre for Human Rights, University of Pretoria, South Africa (C</w:t>
      </w:r>
      <w:r w:rsidR="001D0320" w:rsidRPr="001805AC">
        <w:rPr>
          <w:rFonts w:ascii="Arial" w:hAnsi="Arial" w:cs="Arial"/>
          <w:color w:val="365F91" w:themeColor="accent1" w:themeShade="BF"/>
          <w:sz w:val="22"/>
          <w:szCs w:val="22"/>
          <w:lang w:val="en-US"/>
        </w:rPr>
        <w:t>HR)</w:t>
      </w:r>
      <w:r w:rsidRPr="001805AC">
        <w:rPr>
          <w:rFonts w:ascii="Arial" w:hAnsi="Arial" w:cs="Arial"/>
          <w:color w:val="365F91" w:themeColor="accent1" w:themeShade="BF"/>
          <w:sz w:val="22"/>
          <w:szCs w:val="22"/>
          <w:lang w:val="en-US"/>
        </w:rPr>
        <w:t>. The CHR team includes Professor Frans Viljoen, Dr</w:t>
      </w:r>
      <w:r w:rsidR="001F4387" w:rsidRPr="001805AC">
        <w:rPr>
          <w:rFonts w:ascii="Arial" w:hAnsi="Arial" w:cs="Arial"/>
          <w:color w:val="365F91" w:themeColor="accent1" w:themeShade="BF"/>
          <w:sz w:val="22"/>
          <w:szCs w:val="22"/>
          <w:lang w:val="en-US"/>
        </w:rPr>
        <w:t> </w:t>
      </w:r>
      <w:r w:rsidRPr="001805AC">
        <w:rPr>
          <w:rFonts w:ascii="Arial" w:hAnsi="Arial" w:cs="Arial"/>
          <w:color w:val="365F91" w:themeColor="accent1" w:themeShade="BF"/>
          <w:sz w:val="22"/>
          <w:szCs w:val="22"/>
          <w:lang w:val="en-US"/>
        </w:rPr>
        <w:t>Ayodele</w:t>
      </w:r>
      <w:r w:rsidR="001F4387" w:rsidRPr="001805AC">
        <w:rPr>
          <w:rFonts w:ascii="Arial" w:hAnsi="Arial" w:cs="Arial"/>
          <w:color w:val="365F91" w:themeColor="accent1" w:themeShade="BF"/>
          <w:sz w:val="22"/>
          <w:szCs w:val="22"/>
          <w:lang w:val="en-US"/>
        </w:rPr>
        <w:t> </w:t>
      </w:r>
      <w:proofErr w:type="spellStart"/>
      <w:r w:rsidRPr="001805AC">
        <w:rPr>
          <w:rFonts w:ascii="Arial" w:hAnsi="Arial" w:cs="Arial"/>
          <w:color w:val="365F91" w:themeColor="accent1" w:themeShade="BF"/>
          <w:sz w:val="22"/>
          <w:szCs w:val="22"/>
          <w:lang w:val="en-US"/>
        </w:rPr>
        <w:t>Sogunro</w:t>
      </w:r>
      <w:proofErr w:type="spellEnd"/>
      <w:r w:rsidRPr="001805AC">
        <w:rPr>
          <w:rFonts w:ascii="Arial" w:hAnsi="Arial" w:cs="Arial"/>
          <w:color w:val="365F91" w:themeColor="accent1" w:themeShade="BF"/>
          <w:sz w:val="22"/>
          <w:szCs w:val="22"/>
          <w:lang w:val="en-US"/>
        </w:rPr>
        <w:t xml:space="preserve">, and </w:t>
      </w:r>
      <w:proofErr w:type="spellStart"/>
      <w:r w:rsidR="00BF6DA7" w:rsidRPr="001805AC">
        <w:rPr>
          <w:rFonts w:ascii="Arial" w:hAnsi="Arial" w:cs="Arial"/>
          <w:color w:val="365F91" w:themeColor="accent1" w:themeShade="BF"/>
          <w:sz w:val="22"/>
          <w:szCs w:val="22"/>
          <w:lang w:val="en-US"/>
        </w:rPr>
        <w:t>Sohela</w:t>
      </w:r>
      <w:proofErr w:type="spellEnd"/>
      <w:r w:rsidR="00BF6DA7" w:rsidRPr="001805AC">
        <w:rPr>
          <w:rFonts w:ascii="Arial" w:hAnsi="Arial" w:cs="Arial"/>
          <w:color w:val="365F91" w:themeColor="accent1" w:themeShade="BF"/>
          <w:sz w:val="22"/>
          <w:szCs w:val="22"/>
          <w:lang w:val="en-US"/>
        </w:rPr>
        <w:t xml:space="preserve"> </w:t>
      </w:r>
      <w:proofErr w:type="spellStart"/>
      <w:r w:rsidR="00BF6DA7" w:rsidRPr="001805AC">
        <w:rPr>
          <w:rFonts w:ascii="Arial" w:hAnsi="Arial" w:cs="Arial"/>
          <w:color w:val="365F91" w:themeColor="accent1" w:themeShade="BF"/>
          <w:sz w:val="22"/>
          <w:szCs w:val="22"/>
          <w:lang w:val="en-US"/>
        </w:rPr>
        <w:t>Surajpal</w:t>
      </w:r>
      <w:proofErr w:type="spellEnd"/>
      <w:r w:rsidRPr="001805AC">
        <w:rPr>
          <w:rFonts w:ascii="Arial" w:hAnsi="Arial" w:cs="Arial"/>
          <w:color w:val="365F91" w:themeColor="accent1" w:themeShade="BF"/>
          <w:sz w:val="22"/>
          <w:szCs w:val="22"/>
          <w:lang w:val="en-US"/>
        </w:rPr>
        <w:t>.</w:t>
      </w:r>
    </w:p>
    <w:p w14:paraId="2016859D" w14:textId="77777777" w:rsidR="00C66151" w:rsidRPr="00E41CDE" w:rsidRDefault="00C66151" w:rsidP="004B2827">
      <w:pPr>
        <w:jc w:val="both"/>
      </w:pPr>
    </w:p>
    <w:p w14:paraId="1B109EFF" w14:textId="77777777" w:rsidR="00C66151" w:rsidRPr="00E41CDE" w:rsidRDefault="00C66151" w:rsidP="004B2827">
      <w:pPr>
        <w:jc w:val="both"/>
        <w:rPr>
          <w:b/>
          <w:bCs/>
        </w:rPr>
      </w:pPr>
      <w:r w:rsidRPr="00E41CDE">
        <w:rPr>
          <w:b/>
          <w:bCs/>
        </w:rPr>
        <w:t>Responses to Questionnaire</w:t>
      </w:r>
    </w:p>
    <w:p w14:paraId="67B050A3" w14:textId="77777777" w:rsidR="00C66151" w:rsidRPr="00E41CDE" w:rsidRDefault="00C66151" w:rsidP="004B2827">
      <w:pPr>
        <w:jc w:val="both"/>
      </w:pPr>
    </w:p>
    <w:p w14:paraId="61E21BDC" w14:textId="77777777" w:rsidR="00902C32" w:rsidRPr="004B2827" w:rsidRDefault="00902C32" w:rsidP="004B2827">
      <w:pPr>
        <w:pStyle w:val="Heading2"/>
        <w:numPr>
          <w:ilvl w:val="0"/>
          <w:numId w:val="2"/>
        </w:numPr>
        <w:tabs>
          <w:tab w:val="num" w:pos="360"/>
        </w:tabs>
        <w:ind w:left="0" w:firstLine="0"/>
        <w:jc w:val="both"/>
        <w:rPr>
          <w:rFonts w:ascii="Arial" w:hAnsi="Arial" w:cs="Arial"/>
          <w:b/>
          <w:bCs/>
          <w:color w:val="auto"/>
          <w:sz w:val="22"/>
          <w:szCs w:val="22"/>
        </w:rPr>
      </w:pPr>
      <w:r w:rsidRPr="004B2827">
        <w:rPr>
          <w:rFonts w:ascii="Arial" w:hAnsi="Arial" w:cs="Arial"/>
          <w:b/>
          <w:bCs/>
          <w:color w:val="auto"/>
          <w:sz w:val="22"/>
          <w:szCs w:val="22"/>
        </w:rPr>
        <w:t>Research: understanding the health care needs of LGTBI and GNC people</w:t>
      </w:r>
    </w:p>
    <w:p w14:paraId="3A53AE40" w14:textId="77777777" w:rsidR="00902C32" w:rsidRPr="00BA4830" w:rsidRDefault="00902C32" w:rsidP="004B2827">
      <w:pPr>
        <w:pStyle w:val="Heading2"/>
        <w:numPr>
          <w:ilvl w:val="1"/>
          <w:numId w:val="2"/>
        </w:numPr>
        <w:tabs>
          <w:tab w:val="num" w:pos="360"/>
        </w:tabs>
        <w:ind w:left="0" w:firstLine="0"/>
        <w:jc w:val="both"/>
        <w:rPr>
          <w:rFonts w:ascii="Arial" w:hAnsi="Arial" w:cs="Arial"/>
          <w:b/>
          <w:color w:val="auto"/>
          <w:sz w:val="22"/>
          <w:szCs w:val="22"/>
        </w:rPr>
      </w:pPr>
      <w:r w:rsidRPr="00BA4830">
        <w:rPr>
          <w:rFonts w:ascii="Arial" w:hAnsi="Arial" w:cs="Arial"/>
          <w:color w:val="auto"/>
          <w:sz w:val="22"/>
          <w:szCs w:val="22"/>
        </w:rPr>
        <w:t>Does the State (or other stakeholders) gather data, including data disaggregated by sexual orientation and/or gender identity, on:</w:t>
      </w:r>
    </w:p>
    <w:p w14:paraId="3750933C"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access to and/or delivery of health services</w:t>
      </w:r>
    </w:p>
    <w:p w14:paraId="292D314D"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the number of new HIV infections per 1000 uninfected population?</w:t>
      </w:r>
    </w:p>
    <w:p w14:paraId="45C91BE8"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The suicide mortality rate?</w:t>
      </w:r>
    </w:p>
    <w:p w14:paraId="4F407151"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Coverage of treatment interventions for substance use disorders?</w:t>
      </w:r>
    </w:p>
    <w:p w14:paraId="764808B0"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Harmful use of alcohol?</w:t>
      </w:r>
    </w:p>
    <w:p w14:paraId="44824717" w14:textId="77777777" w:rsidR="00902C32" w:rsidRPr="00BA4830"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Access to sexual and reproductive health care?</w:t>
      </w:r>
    </w:p>
    <w:p w14:paraId="4E66DA8A" w14:textId="3FB9E099" w:rsidR="00902C32" w:rsidRPr="00C135F4" w:rsidRDefault="00902C32" w:rsidP="004B2827">
      <w:pPr>
        <w:pStyle w:val="Heading2"/>
        <w:numPr>
          <w:ilvl w:val="2"/>
          <w:numId w:val="2"/>
        </w:numPr>
        <w:tabs>
          <w:tab w:val="num" w:pos="360"/>
        </w:tabs>
        <w:spacing w:before="0" w:after="80"/>
        <w:ind w:left="1225" w:hanging="505"/>
        <w:jc w:val="both"/>
        <w:rPr>
          <w:rFonts w:ascii="Arial" w:hAnsi="Arial" w:cs="Arial"/>
          <w:b/>
          <w:color w:val="auto"/>
          <w:sz w:val="22"/>
          <w:szCs w:val="22"/>
        </w:rPr>
      </w:pPr>
      <w:r w:rsidRPr="00BA4830">
        <w:rPr>
          <w:rFonts w:ascii="Arial" w:hAnsi="Arial" w:cs="Arial"/>
          <w:color w:val="auto"/>
          <w:sz w:val="22"/>
          <w:szCs w:val="22"/>
        </w:rPr>
        <w:t>Coverage of essential health services?</w:t>
      </w:r>
    </w:p>
    <w:p w14:paraId="49FA436B" w14:textId="77777777" w:rsidR="007E01FA" w:rsidRPr="004B2827" w:rsidRDefault="007E01FA" w:rsidP="004B2827">
      <w:pPr>
        <w:pStyle w:val="Heading2"/>
        <w:keepNext w:val="0"/>
        <w:keepLines w:val="0"/>
        <w:spacing w:before="0" w:after="80"/>
        <w:jc w:val="both"/>
        <w:rPr>
          <w:rFonts w:ascii="Arial" w:hAnsi="Arial" w:cs="Arial"/>
          <w:b/>
          <w:color w:val="auto"/>
          <w:sz w:val="22"/>
          <w:szCs w:val="22"/>
        </w:rPr>
      </w:pPr>
    </w:p>
    <w:p w14:paraId="5ADACB5B" w14:textId="6938FACC" w:rsidR="00902C32" w:rsidRPr="00BA4830" w:rsidRDefault="00902C32" w:rsidP="004B2827">
      <w:pPr>
        <w:pStyle w:val="Heading2"/>
        <w:keepNext w:val="0"/>
        <w:keepLines w:val="0"/>
        <w:numPr>
          <w:ilvl w:val="1"/>
          <w:numId w:val="2"/>
        </w:numPr>
        <w:tabs>
          <w:tab w:val="num" w:pos="360"/>
        </w:tabs>
        <w:spacing w:before="0" w:after="80"/>
        <w:ind w:left="0" w:firstLine="0"/>
        <w:jc w:val="both"/>
        <w:rPr>
          <w:rFonts w:ascii="Arial" w:hAnsi="Arial" w:cs="Arial"/>
          <w:b/>
          <w:color w:val="auto"/>
          <w:sz w:val="22"/>
          <w:szCs w:val="22"/>
        </w:rPr>
      </w:pPr>
      <w:r w:rsidRPr="00BA4830">
        <w:rPr>
          <w:rFonts w:ascii="Arial" w:hAnsi="Arial" w:cs="Arial"/>
          <w:color w:val="auto"/>
          <w:sz w:val="22"/>
          <w:szCs w:val="22"/>
        </w:rPr>
        <w:t>What steps have been taken to research and understand the health care needs of LGTBI and GNC people of all ages at the national level?</w:t>
      </w:r>
    </w:p>
    <w:p w14:paraId="4E4299DD" w14:textId="77777777" w:rsidR="007E01FA" w:rsidRDefault="007E01FA" w:rsidP="004B2827">
      <w:pPr>
        <w:pStyle w:val="Heading2"/>
        <w:keepNext w:val="0"/>
        <w:keepLines w:val="0"/>
        <w:spacing w:before="0" w:after="80"/>
        <w:jc w:val="both"/>
        <w:rPr>
          <w:rFonts w:ascii="Arial" w:hAnsi="Arial" w:cs="Arial"/>
          <w:color w:val="auto"/>
          <w:sz w:val="22"/>
          <w:szCs w:val="22"/>
        </w:rPr>
      </w:pPr>
    </w:p>
    <w:p w14:paraId="16B83921" w14:textId="38707B9A" w:rsidR="00902C32" w:rsidRPr="00BA4830" w:rsidRDefault="00902C32" w:rsidP="004B2827">
      <w:pPr>
        <w:pStyle w:val="Heading2"/>
        <w:keepNext w:val="0"/>
        <w:keepLines w:val="0"/>
        <w:numPr>
          <w:ilvl w:val="1"/>
          <w:numId w:val="2"/>
        </w:numPr>
        <w:tabs>
          <w:tab w:val="num" w:pos="360"/>
        </w:tabs>
        <w:spacing w:before="0" w:after="80"/>
        <w:ind w:left="0" w:firstLine="0"/>
        <w:jc w:val="both"/>
        <w:rPr>
          <w:rFonts w:ascii="Arial" w:hAnsi="Arial" w:cs="Arial"/>
          <w:color w:val="auto"/>
          <w:sz w:val="22"/>
          <w:szCs w:val="22"/>
        </w:rPr>
      </w:pPr>
      <w:r w:rsidRPr="00BA4830">
        <w:rPr>
          <w:rFonts w:ascii="Arial" w:hAnsi="Arial" w:cs="Arial"/>
          <w:color w:val="auto"/>
          <w:sz w:val="22"/>
          <w:szCs w:val="22"/>
        </w:rPr>
        <w:t xml:space="preserve">Is this data </w:t>
      </w:r>
      <w:proofErr w:type="spellStart"/>
      <w:r w:rsidRPr="00BA4830">
        <w:rPr>
          <w:rFonts w:ascii="Arial" w:hAnsi="Arial" w:cs="Arial"/>
          <w:color w:val="auto"/>
          <w:sz w:val="22"/>
          <w:szCs w:val="22"/>
        </w:rPr>
        <w:t>analyzed</w:t>
      </w:r>
      <w:proofErr w:type="spellEnd"/>
      <w:r w:rsidRPr="00BA4830">
        <w:rPr>
          <w:rFonts w:ascii="Arial" w:hAnsi="Arial" w:cs="Arial"/>
          <w:color w:val="auto"/>
          <w:sz w:val="22"/>
          <w:szCs w:val="22"/>
        </w:rPr>
        <w:t xml:space="preserve"> through an intersectional lens, such as by disaggregating data by sexual orientation and/or gender identity, as well as intersecting identities including social or geographic origin, </w:t>
      </w:r>
      <w:r w:rsidRPr="00BA4830">
        <w:rPr>
          <w:rFonts w:ascii="Arial" w:hAnsi="Arial" w:cs="Arial"/>
          <w:color w:val="auto"/>
          <w:sz w:val="22"/>
          <w:szCs w:val="22"/>
        </w:rPr>
        <w:lastRenderedPageBreak/>
        <w:t>ethnicity, socio-economic status, nationality or migration status, minority, disability, and indigenous or other identity or status?</w:t>
      </w:r>
    </w:p>
    <w:p w14:paraId="2675A161" w14:textId="77777777" w:rsidR="007E01FA" w:rsidRDefault="007E01FA" w:rsidP="007E01FA">
      <w:pPr>
        <w:jc w:val="both"/>
        <w:rPr>
          <w:color w:val="365F91" w:themeColor="accent1" w:themeShade="BF"/>
        </w:rPr>
      </w:pPr>
    </w:p>
    <w:p w14:paraId="36713A9E" w14:textId="77777777" w:rsidR="007E01FA" w:rsidRPr="004B2827" w:rsidRDefault="007E01FA" w:rsidP="007E01FA">
      <w:pPr>
        <w:jc w:val="both"/>
        <w:rPr>
          <w:b/>
          <w:bCs/>
          <w:color w:val="365F91" w:themeColor="accent1" w:themeShade="BF"/>
        </w:rPr>
      </w:pPr>
      <w:r w:rsidRPr="004B2827">
        <w:rPr>
          <w:b/>
          <w:bCs/>
          <w:color w:val="365F91" w:themeColor="accent1" w:themeShade="BF"/>
        </w:rPr>
        <w:t>Response</w:t>
      </w:r>
    </w:p>
    <w:p w14:paraId="75FC7FB6" w14:textId="0373147A" w:rsidR="00795A25" w:rsidRDefault="007134E5" w:rsidP="007E01FA">
      <w:pPr>
        <w:jc w:val="both"/>
        <w:rPr>
          <w:color w:val="365F91" w:themeColor="accent1" w:themeShade="BF"/>
        </w:rPr>
      </w:pPr>
      <w:r w:rsidRPr="00AA11BC">
        <w:rPr>
          <w:color w:val="365F91" w:themeColor="accent1" w:themeShade="BF"/>
        </w:rPr>
        <w:t xml:space="preserve">The Department of Statistics collects data on healthcare provision in South Africa, including the type of healthcare facilities </w:t>
      </w:r>
      <w:r w:rsidR="009939D5" w:rsidRPr="00AA11BC">
        <w:rPr>
          <w:color w:val="365F91" w:themeColor="accent1" w:themeShade="BF"/>
        </w:rPr>
        <w:t>consulted by households and medical aid coverage.</w:t>
      </w:r>
      <w:r w:rsidR="009939D5" w:rsidRPr="00AA11BC">
        <w:rPr>
          <w:rStyle w:val="FootnoteReference"/>
          <w:color w:val="365F91" w:themeColor="accent1" w:themeShade="BF"/>
        </w:rPr>
        <w:footnoteReference w:id="1"/>
      </w:r>
      <w:r w:rsidR="004D1995" w:rsidRPr="00AA11BC">
        <w:rPr>
          <w:color w:val="365F91" w:themeColor="accent1" w:themeShade="BF"/>
        </w:rPr>
        <w:t xml:space="preserve"> </w:t>
      </w:r>
      <w:r w:rsidR="00B36293" w:rsidRPr="00AA11BC">
        <w:rPr>
          <w:color w:val="365F91" w:themeColor="accent1" w:themeShade="BF"/>
        </w:rPr>
        <w:t>This information is not disaggregated by sexual orientation or gender.</w:t>
      </w:r>
      <w:r w:rsidR="00795A25">
        <w:rPr>
          <w:color w:val="365F91" w:themeColor="accent1" w:themeShade="BF"/>
        </w:rPr>
        <w:t xml:space="preserve"> Private research</w:t>
      </w:r>
      <w:r w:rsidR="000C6F2A">
        <w:rPr>
          <w:color w:val="365F91" w:themeColor="accent1" w:themeShade="BF"/>
        </w:rPr>
        <w:t xml:space="preserve"> – though limited in scope -</w:t>
      </w:r>
      <w:r w:rsidR="00795A25">
        <w:rPr>
          <w:color w:val="365F91" w:themeColor="accent1" w:themeShade="BF"/>
        </w:rPr>
        <w:t xml:space="preserve"> has revealed that LGBTI+ persons experience difficulty accessing quality </w:t>
      </w:r>
      <w:r w:rsidR="006E58F4">
        <w:rPr>
          <w:color w:val="365F91" w:themeColor="accent1" w:themeShade="BF"/>
        </w:rPr>
        <w:t>health</w:t>
      </w:r>
      <w:r w:rsidR="00795A25">
        <w:rPr>
          <w:color w:val="365F91" w:themeColor="accent1" w:themeShade="BF"/>
        </w:rPr>
        <w:t>care.</w:t>
      </w:r>
    </w:p>
    <w:p w14:paraId="1FACF75E" w14:textId="77777777" w:rsidR="00795A25" w:rsidRDefault="00795A25" w:rsidP="007E01FA">
      <w:pPr>
        <w:jc w:val="both"/>
        <w:rPr>
          <w:color w:val="365F91" w:themeColor="accent1" w:themeShade="BF"/>
        </w:rPr>
      </w:pPr>
    </w:p>
    <w:p w14:paraId="0E60761D" w14:textId="35061DD4" w:rsidR="00F8495C" w:rsidRDefault="00AB3B05" w:rsidP="007E01FA">
      <w:pPr>
        <w:jc w:val="both"/>
        <w:rPr>
          <w:color w:val="365F91" w:themeColor="accent1" w:themeShade="BF"/>
        </w:rPr>
      </w:pPr>
      <w:r w:rsidRPr="00AA11BC">
        <w:rPr>
          <w:color w:val="365F91" w:themeColor="accent1" w:themeShade="BF"/>
        </w:rPr>
        <w:t xml:space="preserve">UNAIDS </w:t>
      </w:r>
      <w:r w:rsidR="00B36293" w:rsidRPr="00AA11BC">
        <w:rPr>
          <w:color w:val="365F91" w:themeColor="accent1" w:themeShade="BF"/>
        </w:rPr>
        <w:t xml:space="preserve">collects information on the total number of </w:t>
      </w:r>
      <w:r w:rsidR="00842AE2">
        <w:rPr>
          <w:color w:val="365F91" w:themeColor="accent1" w:themeShade="BF"/>
        </w:rPr>
        <w:t>persons</w:t>
      </w:r>
      <w:r w:rsidR="00B36293" w:rsidRPr="00AA11BC">
        <w:rPr>
          <w:color w:val="365F91" w:themeColor="accent1" w:themeShade="BF"/>
        </w:rPr>
        <w:t xml:space="preserve"> living with HIV/AIDS in South Africa, rate of new infection</w:t>
      </w:r>
      <w:r w:rsidR="001C638B">
        <w:rPr>
          <w:color w:val="365F91" w:themeColor="accent1" w:themeShade="BF"/>
        </w:rPr>
        <w:t>s</w:t>
      </w:r>
      <w:r w:rsidR="00B36293" w:rsidRPr="00AA11BC">
        <w:rPr>
          <w:color w:val="365F91" w:themeColor="accent1" w:themeShade="BF"/>
        </w:rPr>
        <w:t>, mother-to-child transmission and access to treatment.</w:t>
      </w:r>
      <w:r w:rsidR="00517EBD">
        <w:rPr>
          <w:rStyle w:val="FootnoteReference"/>
          <w:color w:val="365F91" w:themeColor="accent1" w:themeShade="BF"/>
        </w:rPr>
        <w:footnoteReference w:id="2"/>
      </w:r>
      <w:r w:rsidR="00B36293" w:rsidRPr="00AA11BC">
        <w:rPr>
          <w:color w:val="365F91" w:themeColor="accent1" w:themeShade="BF"/>
        </w:rPr>
        <w:t xml:space="preserve"> UNAIDS also collects data on </w:t>
      </w:r>
      <w:r w:rsidR="00A23E6B">
        <w:rPr>
          <w:color w:val="365F91" w:themeColor="accent1" w:themeShade="BF"/>
        </w:rPr>
        <w:t xml:space="preserve">HIV/AIDS </w:t>
      </w:r>
      <w:r w:rsidR="00B36293" w:rsidRPr="00AA11BC">
        <w:rPr>
          <w:color w:val="365F91" w:themeColor="accent1" w:themeShade="BF"/>
        </w:rPr>
        <w:t xml:space="preserve">prevalence amongst men who have sex with men </w:t>
      </w:r>
      <w:r w:rsidR="005F43A3" w:rsidRPr="00AA11BC">
        <w:rPr>
          <w:color w:val="365F91" w:themeColor="accent1" w:themeShade="BF"/>
        </w:rPr>
        <w:t>(MSM)</w:t>
      </w:r>
      <w:r w:rsidR="00F24358">
        <w:rPr>
          <w:color w:val="365F91" w:themeColor="accent1" w:themeShade="BF"/>
        </w:rPr>
        <w:t>. MSM have a</w:t>
      </w:r>
      <w:r w:rsidR="00855954">
        <w:rPr>
          <w:color w:val="365F91" w:themeColor="accent1" w:themeShade="BF"/>
        </w:rPr>
        <w:t>n</w:t>
      </w:r>
      <w:r w:rsidR="00F24358">
        <w:rPr>
          <w:color w:val="365F91" w:themeColor="accent1" w:themeShade="BF"/>
        </w:rPr>
        <w:t xml:space="preserve"> HIV prevalence rate of 18.1% and an ARV coverage rate of 69%</w:t>
      </w:r>
      <w:r w:rsidR="005130C0">
        <w:rPr>
          <w:color w:val="365F91" w:themeColor="accent1" w:themeShade="BF"/>
        </w:rPr>
        <w:t xml:space="preserve"> in South Africa</w:t>
      </w:r>
      <w:r w:rsidR="00B36293" w:rsidRPr="00AA11BC">
        <w:rPr>
          <w:color w:val="365F91" w:themeColor="accent1" w:themeShade="BF"/>
        </w:rPr>
        <w:t>.</w:t>
      </w:r>
      <w:r w:rsidR="00F52899">
        <w:rPr>
          <w:color w:val="365F91" w:themeColor="accent1" w:themeShade="BF"/>
        </w:rPr>
        <w:t xml:space="preserve"> Private research suggests that HIV prevalence amongst women who have sex with women (WSW) is also high, at 10%.</w:t>
      </w:r>
      <w:r w:rsidR="00F52899">
        <w:rPr>
          <w:rStyle w:val="FootnoteReference"/>
          <w:color w:val="365F91" w:themeColor="accent1" w:themeShade="BF"/>
        </w:rPr>
        <w:footnoteReference w:id="3"/>
      </w:r>
    </w:p>
    <w:p w14:paraId="02BEC851" w14:textId="77777777" w:rsidR="00F8495C" w:rsidRDefault="00F8495C" w:rsidP="007E01FA">
      <w:pPr>
        <w:jc w:val="both"/>
        <w:rPr>
          <w:color w:val="365F91" w:themeColor="accent1" w:themeShade="BF"/>
        </w:rPr>
      </w:pPr>
    </w:p>
    <w:p w14:paraId="44F78B76" w14:textId="4FEF3171" w:rsidR="00B12BE4" w:rsidRDefault="00FC11D3" w:rsidP="007E01FA">
      <w:pPr>
        <w:jc w:val="both"/>
        <w:rPr>
          <w:color w:val="365F91" w:themeColor="accent1" w:themeShade="BF"/>
        </w:rPr>
      </w:pPr>
      <w:r>
        <w:rPr>
          <w:color w:val="365F91" w:themeColor="accent1" w:themeShade="BF"/>
        </w:rPr>
        <w:t xml:space="preserve">Suicide mortality rates are available </w:t>
      </w:r>
      <w:r w:rsidR="00D7543F">
        <w:rPr>
          <w:color w:val="365F91" w:themeColor="accent1" w:themeShade="BF"/>
        </w:rPr>
        <w:t xml:space="preserve">through the World Health Organisation and the Department of Statistics. Unfortunately, </w:t>
      </w:r>
      <w:r w:rsidR="002E4395">
        <w:rPr>
          <w:color w:val="365F91" w:themeColor="accent1" w:themeShade="BF"/>
        </w:rPr>
        <w:t xml:space="preserve">while </w:t>
      </w:r>
      <w:r w:rsidR="00D7543F">
        <w:rPr>
          <w:color w:val="365F91" w:themeColor="accent1" w:themeShade="BF"/>
        </w:rPr>
        <w:t xml:space="preserve">this data is disaggregated by sex, race, age and occupation, </w:t>
      </w:r>
      <w:r w:rsidR="002E4395">
        <w:rPr>
          <w:color w:val="365F91" w:themeColor="accent1" w:themeShade="BF"/>
        </w:rPr>
        <w:t xml:space="preserve">there is </w:t>
      </w:r>
      <w:r w:rsidR="00D7543F">
        <w:rPr>
          <w:color w:val="365F91" w:themeColor="accent1" w:themeShade="BF"/>
        </w:rPr>
        <w:t>no reference to sexual orientation or gender identity.</w:t>
      </w:r>
    </w:p>
    <w:p w14:paraId="1800783C" w14:textId="77777777" w:rsidR="00B12BE4" w:rsidRDefault="00B12BE4" w:rsidP="007E01FA">
      <w:pPr>
        <w:jc w:val="both"/>
        <w:rPr>
          <w:color w:val="365F91" w:themeColor="accent1" w:themeShade="BF"/>
        </w:rPr>
      </w:pPr>
    </w:p>
    <w:p w14:paraId="60771AEF" w14:textId="1420E7DE" w:rsidR="00C975AB" w:rsidRPr="0012029B" w:rsidRDefault="006903EF" w:rsidP="007E01FA">
      <w:pPr>
        <w:jc w:val="both"/>
        <w:rPr>
          <w:color w:val="365F91" w:themeColor="accent1" w:themeShade="BF"/>
        </w:rPr>
      </w:pPr>
      <w:r>
        <w:rPr>
          <w:color w:val="365F91" w:themeColor="accent1" w:themeShade="BF"/>
        </w:rPr>
        <w:t xml:space="preserve">The Department of Social Development </w:t>
      </w:r>
      <w:r w:rsidR="00CB72FB">
        <w:rPr>
          <w:color w:val="365F91" w:themeColor="accent1" w:themeShade="BF"/>
        </w:rPr>
        <w:t xml:space="preserve">collates </w:t>
      </w:r>
      <w:r>
        <w:rPr>
          <w:color w:val="365F91" w:themeColor="accent1" w:themeShade="BF"/>
        </w:rPr>
        <w:t xml:space="preserve">data </w:t>
      </w:r>
      <w:r w:rsidR="00CB72FB">
        <w:rPr>
          <w:color w:val="365F91" w:themeColor="accent1" w:themeShade="BF"/>
        </w:rPr>
        <w:t xml:space="preserve">from various sources </w:t>
      </w:r>
      <w:r>
        <w:rPr>
          <w:color w:val="365F91" w:themeColor="accent1" w:themeShade="BF"/>
        </w:rPr>
        <w:t xml:space="preserve">on substance </w:t>
      </w:r>
      <w:r w:rsidR="00070417">
        <w:rPr>
          <w:color w:val="365F91" w:themeColor="accent1" w:themeShade="BF"/>
        </w:rPr>
        <w:t>abuse</w:t>
      </w:r>
      <w:r>
        <w:rPr>
          <w:color w:val="365F91" w:themeColor="accent1" w:themeShade="BF"/>
        </w:rPr>
        <w:t xml:space="preserve"> and alcoh</w:t>
      </w:r>
      <w:r w:rsidR="00070417">
        <w:rPr>
          <w:color w:val="365F91" w:themeColor="accent1" w:themeShade="BF"/>
        </w:rPr>
        <w:t>o</w:t>
      </w:r>
      <w:r>
        <w:rPr>
          <w:color w:val="365F91" w:themeColor="accent1" w:themeShade="BF"/>
        </w:rPr>
        <w:t>l consumption</w:t>
      </w:r>
      <w:r w:rsidR="00CB72FB">
        <w:rPr>
          <w:color w:val="365F91" w:themeColor="accent1" w:themeShade="BF"/>
        </w:rPr>
        <w:t xml:space="preserve"> </w:t>
      </w:r>
      <w:r w:rsidR="002C6200">
        <w:rPr>
          <w:color w:val="365F91" w:themeColor="accent1" w:themeShade="BF"/>
        </w:rPr>
        <w:t>i</w:t>
      </w:r>
      <w:r>
        <w:rPr>
          <w:color w:val="365F91" w:themeColor="accent1" w:themeShade="BF"/>
        </w:rPr>
        <w:t xml:space="preserve">n its National Drug Master Plan </w:t>
      </w:r>
      <w:r w:rsidR="00CB72FB">
        <w:rPr>
          <w:color w:val="365F91" w:themeColor="accent1" w:themeShade="BF"/>
        </w:rPr>
        <w:t>2019-2024</w:t>
      </w:r>
      <w:r w:rsidR="00FF49CB">
        <w:rPr>
          <w:color w:val="365F91" w:themeColor="accent1" w:themeShade="BF"/>
        </w:rPr>
        <w:t xml:space="preserve"> and highlights that MSM in particular have high rates of alcohol consumption and drug use, sometimes leading to </w:t>
      </w:r>
      <w:r w:rsidR="002E4395">
        <w:rPr>
          <w:color w:val="365F91" w:themeColor="accent1" w:themeShade="BF"/>
        </w:rPr>
        <w:t>‘</w:t>
      </w:r>
      <w:r w:rsidR="00FF49CB">
        <w:rPr>
          <w:color w:val="365F91" w:themeColor="accent1" w:themeShade="BF"/>
        </w:rPr>
        <w:t>high-risk sexual practices</w:t>
      </w:r>
      <w:r w:rsidR="002E4395">
        <w:rPr>
          <w:color w:val="365F91" w:themeColor="accent1" w:themeShade="BF"/>
        </w:rPr>
        <w:t>’</w:t>
      </w:r>
      <w:r w:rsidR="00FF49CB">
        <w:rPr>
          <w:color w:val="365F91" w:themeColor="accent1" w:themeShade="BF"/>
        </w:rPr>
        <w:t>.</w:t>
      </w:r>
      <w:r w:rsidR="002C6200">
        <w:rPr>
          <w:rStyle w:val="FootnoteReference"/>
          <w:color w:val="365F91" w:themeColor="accent1" w:themeShade="BF"/>
        </w:rPr>
        <w:footnoteReference w:id="4"/>
      </w:r>
    </w:p>
    <w:p w14:paraId="5395BD32" w14:textId="32881216" w:rsidR="006701FE" w:rsidRPr="00AA11BC" w:rsidRDefault="006701FE" w:rsidP="007E01FA">
      <w:pPr>
        <w:jc w:val="both"/>
        <w:rPr>
          <w:color w:val="365F91" w:themeColor="accent1" w:themeShade="BF"/>
        </w:rPr>
      </w:pPr>
    </w:p>
    <w:p w14:paraId="26460802" w14:textId="2FCFCC3D" w:rsidR="007A48B2" w:rsidRDefault="006701FE" w:rsidP="007E01FA">
      <w:pPr>
        <w:jc w:val="both"/>
        <w:rPr>
          <w:color w:val="365F91" w:themeColor="accent1" w:themeShade="BF"/>
          <w:shd w:val="clear" w:color="auto" w:fill="FFFFFF"/>
        </w:rPr>
      </w:pPr>
      <w:r w:rsidRPr="00AA11BC">
        <w:rPr>
          <w:color w:val="365F91" w:themeColor="accent1" w:themeShade="BF"/>
        </w:rPr>
        <w:t>Data on the health needs of LGBTI+ people is inadequate</w:t>
      </w:r>
      <w:r w:rsidR="005463B7">
        <w:rPr>
          <w:color w:val="365F91" w:themeColor="accent1" w:themeShade="BF"/>
        </w:rPr>
        <w:t xml:space="preserve">, </w:t>
      </w:r>
      <w:r w:rsidR="00D53DB6">
        <w:rPr>
          <w:color w:val="365F91" w:themeColor="accent1" w:themeShade="BF"/>
        </w:rPr>
        <w:t>l</w:t>
      </w:r>
      <w:r w:rsidRPr="00AA11BC">
        <w:rPr>
          <w:color w:val="365F91" w:themeColor="accent1" w:themeShade="BF"/>
        </w:rPr>
        <w:t>argely a result of the fact that</w:t>
      </w:r>
      <w:r w:rsidR="00D856B6">
        <w:rPr>
          <w:color w:val="365F91" w:themeColor="accent1" w:themeShade="BF"/>
        </w:rPr>
        <w:t xml:space="preserve"> data on sexual orientation is not </w:t>
      </w:r>
      <w:r w:rsidR="00D856B6" w:rsidRPr="00D856B6">
        <w:rPr>
          <w:color w:val="365F91" w:themeColor="accent1" w:themeShade="BF"/>
        </w:rPr>
        <w:t xml:space="preserve">collected </w:t>
      </w:r>
      <w:r w:rsidR="002E4395">
        <w:rPr>
          <w:color w:val="365F91" w:themeColor="accent1" w:themeShade="BF"/>
        </w:rPr>
        <w:t>during the</w:t>
      </w:r>
      <w:r w:rsidR="002E4395" w:rsidRPr="00D856B6">
        <w:rPr>
          <w:color w:val="365F91" w:themeColor="accent1" w:themeShade="BF"/>
          <w:shd w:val="clear" w:color="auto" w:fill="FFFFFF"/>
        </w:rPr>
        <w:t xml:space="preserve"> </w:t>
      </w:r>
      <w:r w:rsidR="00D856B6" w:rsidRPr="00D856B6">
        <w:rPr>
          <w:color w:val="365F91" w:themeColor="accent1" w:themeShade="BF"/>
          <w:shd w:val="clear" w:color="auto" w:fill="FFFFFF"/>
        </w:rPr>
        <w:t>large-scale, population-based surveys and censuses conducted by the Department of Health or Department of Statistics.</w:t>
      </w:r>
    </w:p>
    <w:p w14:paraId="1769B0C7" w14:textId="77777777" w:rsidR="007A48B2" w:rsidRDefault="007A48B2" w:rsidP="007E01FA">
      <w:pPr>
        <w:jc w:val="both"/>
        <w:rPr>
          <w:color w:val="365F91" w:themeColor="accent1" w:themeShade="BF"/>
          <w:shd w:val="clear" w:color="auto" w:fill="FFFFFF"/>
        </w:rPr>
      </w:pPr>
    </w:p>
    <w:p w14:paraId="7D9F8AA6" w14:textId="65BCF5E5" w:rsidR="00196C9F" w:rsidRDefault="008931D2" w:rsidP="007E01FA">
      <w:pPr>
        <w:jc w:val="both"/>
        <w:rPr>
          <w:color w:val="365F91" w:themeColor="accent1" w:themeShade="BF"/>
        </w:rPr>
      </w:pPr>
      <w:r>
        <w:rPr>
          <w:color w:val="365F91" w:themeColor="accent1" w:themeShade="BF"/>
        </w:rPr>
        <w:t xml:space="preserve">In general, data is analysed through the lens of race, sex and socio-economic status. </w:t>
      </w:r>
      <w:r w:rsidR="00CD2744">
        <w:rPr>
          <w:color w:val="365F91" w:themeColor="accent1" w:themeShade="BF"/>
        </w:rPr>
        <w:t>L</w:t>
      </w:r>
      <w:r>
        <w:rPr>
          <w:color w:val="365F91" w:themeColor="accent1" w:themeShade="BF"/>
        </w:rPr>
        <w:t xml:space="preserve">ittle </w:t>
      </w:r>
      <w:r w:rsidR="00E50E74">
        <w:rPr>
          <w:color w:val="365F91" w:themeColor="accent1" w:themeShade="BF"/>
        </w:rPr>
        <w:t xml:space="preserve">research </w:t>
      </w:r>
      <w:r>
        <w:rPr>
          <w:color w:val="365F91" w:themeColor="accent1" w:themeShade="BF"/>
        </w:rPr>
        <w:t>has been</w:t>
      </w:r>
      <w:r w:rsidR="00E50E74">
        <w:rPr>
          <w:color w:val="365F91" w:themeColor="accent1" w:themeShade="BF"/>
        </w:rPr>
        <w:t xml:space="preserve"> conducted </w:t>
      </w:r>
      <w:r>
        <w:rPr>
          <w:color w:val="365F91" w:themeColor="accent1" w:themeShade="BF"/>
        </w:rPr>
        <w:t>to consider these factors in conjunction with sexual orientation and gender identity.</w:t>
      </w:r>
    </w:p>
    <w:p w14:paraId="570B231F" w14:textId="77777777" w:rsidR="0011070A" w:rsidRPr="00AA11BC" w:rsidRDefault="0011070A" w:rsidP="007E01FA">
      <w:pPr>
        <w:jc w:val="both"/>
        <w:rPr>
          <w:color w:val="365F91" w:themeColor="accent1" w:themeShade="BF"/>
        </w:rPr>
      </w:pPr>
    </w:p>
    <w:p w14:paraId="34745D03" w14:textId="77777777" w:rsidR="00902C32" w:rsidRPr="004B2827" w:rsidRDefault="00902C32" w:rsidP="004B2827">
      <w:pPr>
        <w:pStyle w:val="Heading2"/>
        <w:keepNext w:val="0"/>
        <w:keepLines w:val="0"/>
        <w:numPr>
          <w:ilvl w:val="0"/>
          <w:numId w:val="2"/>
        </w:numPr>
        <w:tabs>
          <w:tab w:val="num" w:pos="360"/>
        </w:tabs>
        <w:ind w:left="0" w:firstLine="0"/>
        <w:jc w:val="both"/>
        <w:rPr>
          <w:rFonts w:ascii="Arial" w:hAnsi="Arial" w:cs="Arial"/>
          <w:b/>
          <w:bCs/>
          <w:color w:val="auto"/>
          <w:sz w:val="22"/>
          <w:szCs w:val="22"/>
        </w:rPr>
      </w:pPr>
      <w:r w:rsidRPr="004B2827">
        <w:rPr>
          <w:rFonts w:ascii="Arial" w:hAnsi="Arial" w:cs="Arial"/>
          <w:b/>
          <w:bCs/>
          <w:color w:val="auto"/>
          <w:sz w:val="22"/>
          <w:szCs w:val="22"/>
        </w:rPr>
        <w:t>Inclusion: LGTBI and GNC people in the decision-making process</w:t>
      </w:r>
    </w:p>
    <w:p w14:paraId="6F211481" w14:textId="2AA5B092" w:rsidR="00902C32" w:rsidRDefault="00902C32" w:rsidP="004B2827">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measures have been put in place to consult with and include persons affected by violence and discrimination based on sexual orientation and gender identity in law and policy making in relation to the right of everyone to the enjoyment of the highest attainable standard of physical and mental health, and in relation to realising the SDGs?</w:t>
      </w:r>
    </w:p>
    <w:p w14:paraId="3173991F" w14:textId="77777777" w:rsidR="007E01FA" w:rsidRPr="004B2827" w:rsidRDefault="007E01FA" w:rsidP="004B2827">
      <w:pPr>
        <w:jc w:val="both"/>
      </w:pPr>
    </w:p>
    <w:p w14:paraId="631C7F97" w14:textId="755FD6FD" w:rsidR="00902C32" w:rsidRDefault="00902C32" w:rsidP="004B2827">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To what extent are persons affected by violence and discrimination based on sexual orientation and gender identity included in policies and practice around sexual and reproductive health care?</w:t>
      </w:r>
    </w:p>
    <w:p w14:paraId="78C79A3F" w14:textId="77777777" w:rsidR="007E01FA" w:rsidRPr="004B2827" w:rsidRDefault="007E01FA" w:rsidP="004B2827">
      <w:pPr>
        <w:jc w:val="both"/>
      </w:pPr>
    </w:p>
    <w:p w14:paraId="57579EE4" w14:textId="159D90A8" w:rsidR="00902C32" w:rsidRDefault="00902C32" w:rsidP="004B2827">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support or technical assistance is needed to ensure that the health care needs of persons affected by violence and discrimination based on sexual orientation and gender identity people are comprehensively addressed and included in relevant laws, policies, and practices?</w:t>
      </w:r>
    </w:p>
    <w:p w14:paraId="58C33035" w14:textId="77777777" w:rsidR="007E01FA" w:rsidRPr="004B2827" w:rsidRDefault="007E01FA" w:rsidP="0071023A">
      <w:pPr>
        <w:jc w:val="both"/>
      </w:pPr>
    </w:p>
    <w:p w14:paraId="57778544" w14:textId="58C9F3A4" w:rsidR="00902C32" w:rsidRDefault="00902C32" w:rsidP="004B2827">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are the main barriers, in law or practice, for persons affected by violence and discrimination based on sexual orientation and gender identity to receive care that meets their physical and mental health needs and rights?</w:t>
      </w:r>
    </w:p>
    <w:p w14:paraId="5694BD8F" w14:textId="2338EEC4" w:rsidR="00B63693" w:rsidRDefault="00B63693" w:rsidP="0071023A">
      <w:pPr>
        <w:jc w:val="both"/>
      </w:pPr>
    </w:p>
    <w:p w14:paraId="37A04E89" w14:textId="77777777" w:rsidR="007E01FA" w:rsidRPr="0072239C" w:rsidRDefault="007E01FA" w:rsidP="007E01FA">
      <w:pPr>
        <w:jc w:val="both"/>
        <w:rPr>
          <w:b/>
          <w:bCs/>
          <w:color w:val="365F91" w:themeColor="accent1" w:themeShade="BF"/>
        </w:rPr>
      </w:pPr>
      <w:r w:rsidRPr="0072239C">
        <w:rPr>
          <w:b/>
          <w:bCs/>
          <w:color w:val="365F91" w:themeColor="accent1" w:themeShade="BF"/>
        </w:rPr>
        <w:t>Response</w:t>
      </w:r>
    </w:p>
    <w:p w14:paraId="5C10D7E0" w14:textId="58185E93" w:rsidR="00812635" w:rsidRDefault="00F20F1F" w:rsidP="007E01FA">
      <w:pPr>
        <w:jc w:val="both"/>
        <w:rPr>
          <w:color w:val="365F91" w:themeColor="accent1" w:themeShade="BF"/>
        </w:rPr>
      </w:pPr>
      <w:r>
        <w:rPr>
          <w:color w:val="365F91" w:themeColor="accent1" w:themeShade="BF"/>
        </w:rPr>
        <w:t>The legislative and policy</w:t>
      </w:r>
      <w:r w:rsidR="00FA7B88">
        <w:rPr>
          <w:color w:val="365F91" w:themeColor="accent1" w:themeShade="BF"/>
        </w:rPr>
        <w:t>-</w:t>
      </w:r>
      <w:r>
        <w:rPr>
          <w:color w:val="365F91" w:themeColor="accent1" w:themeShade="BF"/>
        </w:rPr>
        <w:t xml:space="preserve">making process makes provision for public participation. </w:t>
      </w:r>
      <w:r w:rsidR="00A678D6">
        <w:rPr>
          <w:color w:val="365F91" w:themeColor="accent1" w:themeShade="BF"/>
        </w:rPr>
        <w:t xml:space="preserve">The Hate Crimes Bill, which would impose criminal sanctions for hate speech and hate crimes committed on the grounds of, </w:t>
      </w:r>
      <w:r w:rsidR="00742C48">
        <w:rPr>
          <w:color w:val="365F91" w:themeColor="accent1" w:themeShade="BF"/>
        </w:rPr>
        <w:t xml:space="preserve">among other things, </w:t>
      </w:r>
      <w:r w:rsidR="000B6F74">
        <w:rPr>
          <w:color w:val="365F91" w:themeColor="accent1" w:themeShade="BF"/>
        </w:rPr>
        <w:t>sexual orientation and gender identity, has undergone two rounds of public comment</w:t>
      </w:r>
      <w:r w:rsidR="001B6BA2">
        <w:rPr>
          <w:color w:val="365F91" w:themeColor="accent1" w:themeShade="BF"/>
        </w:rPr>
        <w:t xml:space="preserve">, </w:t>
      </w:r>
      <w:r w:rsidR="000B6F74">
        <w:rPr>
          <w:color w:val="365F91" w:themeColor="accent1" w:themeShade="BF"/>
        </w:rPr>
        <w:t>open to all interested parties</w:t>
      </w:r>
      <w:r w:rsidR="0038790F">
        <w:rPr>
          <w:color w:val="365F91" w:themeColor="accent1" w:themeShade="BF"/>
        </w:rPr>
        <w:t>.</w:t>
      </w:r>
      <w:r w:rsidR="00A75437">
        <w:rPr>
          <w:color w:val="365F91" w:themeColor="accent1" w:themeShade="BF"/>
        </w:rPr>
        <w:t xml:space="preserve"> </w:t>
      </w:r>
      <w:r w:rsidR="001A75B9" w:rsidRPr="0012029B">
        <w:rPr>
          <w:color w:val="365F91" w:themeColor="accent1" w:themeShade="BF"/>
        </w:rPr>
        <w:t>The Commission for Gender Equality (CGE)</w:t>
      </w:r>
      <w:r w:rsidR="00DC173A" w:rsidRPr="0012029B">
        <w:rPr>
          <w:color w:val="365F91" w:themeColor="accent1" w:themeShade="BF"/>
        </w:rPr>
        <w:t xml:space="preserve">, </w:t>
      </w:r>
      <w:r w:rsidR="001A75B9" w:rsidRPr="0012029B">
        <w:rPr>
          <w:color w:val="365F91" w:themeColor="accent1" w:themeShade="BF"/>
        </w:rPr>
        <w:t xml:space="preserve">established </w:t>
      </w:r>
      <w:r w:rsidR="00DC173A" w:rsidRPr="0012029B">
        <w:rPr>
          <w:color w:val="365F91" w:themeColor="accent1" w:themeShade="BF"/>
        </w:rPr>
        <w:t>by</w:t>
      </w:r>
      <w:r w:rsidR="001A75B9" w:rsidRPr="0012029B">
        <w:rPr>
          <w:color w:val="365F91" w:themeColor="accent1" w:themeShade="BF"/>
        </w:rPr>
        <w:t xml:space="preserve"> the Constitution to advance </w:t>
      </w:r>
      <w:r w:rsidR="00DC173A" w:rsidRPr="0012029B">
        <w:rPr>
          <w:color w:val="365F91" w:themeColor="accent1" w:themeShade="BF"/>
        </w:rPr>
        <w:t xml:space="preserve">gender </w:t>
      </w:r>
      <w:r w:rsidR="001A75B9" w:rsidRPr="0012029B">
        <w:rPr>
          <w:color w:val="365F91" w:themeColor="accent1" w:themeShade="BF"/>
        </w:rPr>
        <w:t>equality</w:t>
      </w:r>
      <w:r w:rsidR="00F87D6D">
        <w:rPr>
          <w:color w:val="365F91" w:themeColor="accent1" w:themeShade="BF"/>
        </w:rPr>
        <w:t>,</w:t>
      </w:r>
      <w:r w:rsidR="001A75B9" w:rsidRPr="0012029B">
        <w:rPr>
          <w:color w:val="365F91" w:themeColor="accent1" w:themeShade="BF"/>
        </w:rPr>
        <w:t xml:space="preserve"> </w:t>
      </w:r>
      <w:r w:rsidR="00DC173A" w:rsidRPr="0012029B">
        <w:rPr>
          <w:color w:val="365F91" w:themeColor="accent1" w:themeShade="BF"/>
        </w:rPr>
        <w:t xml:space="preserve">recently released a call for submissions </w:t>
      </w:r>
      <w:r w:rsidR="00E70DB6" w:rsidRPr="0012029B">
        <w:rPr>
          <w:color w:val="365F91" w:themeColor="accent1" w:themeShade="BF"/>
        </w:rPr>
        <w:t xml:space="preserve">on </w:t>
      </w:r>
      <w:r w:rsidR="007E72B3" w:rsidRPr="0012029B">
        <w:rPr>
          <w:color w:val="365F91" w:themeColor="accent1" w:themeShade="BF"/>
        </w:rPr>
        <w:t>weaknesses in the legislative and policy framework regulating LGBTI+ rights.</w:t>
      </w:r>
      <w:r w:rsidR="00A75437">
        <w:rPr>
          <w:color w:val="365F91" w:themeColor="accent1" w:themeShade="BF"/>
        </w:rPr>
        <w:t xml:space="preserve"> </w:t>
      </w:r>
      <w:r w:rsidR="001657ED">
        <w:rPr>
          <w:color w:val="365F91" w:themeColor="accent1" w:themeShade="BF"/>
        </w:rPr>
        <w:t>T</w:t>
      </w:r>
      <w:r w:rsidR="00812635">
        <w:rPr>
          <w:color w:val="365F91" w:themeColor="accent1" w:themeShade="BF"/>
        </w:rPr>
        <w:t xml:space="preserve">he </w:t>
      </w:r>
      <w:r w:rsidR="00812635" w:rsidRPr="00146619">
        <w:rPr>
          <w:color w:val="365F91" w:themeColor="accent1" w:themeShade="BF"/>
        </w:rPr>
        <w:t>National Strategic</w:t>
      </w:r>
      <w:r w:rsidR="00812635" w:rsidRPr="00AA11BC">
        <w:rPr>
          <w:color w:val="365F91" w:themeColor="accent1" w:themeShade="BF"/>
        </w:rPr>
        <w:t xml:space="preserve"> Plan for HIV, TB and STIs </w:t>
      </w:r>
      <w:r w:rsidR="00812635">
        <w:rPr>
          <w:color w:val="365F91" w:themeColor="accent1" w:themeShade="BF"/>
        </w:rPr>
        <w:t>is compiled with input from civil society, including LGB</w:t>
      </w:r>
      <w:r w:rsidR="0022224A">
        <w:rPr>
          <w:color w:val="365F91" w:themeColor="accent1" w:themeShade="BF"/>
        </w:rPr>
        <w:t>T</w:t>
      </w:r>
      <w:r w:rsidR="00812635">
        <w:rPr>
          <w:color w:val="365F91" w:themeColor="accent1" w:themeShade="BF"/>
        </w:rPr>
        <w:t xml:space="preserve">I+ </w:t>
      </w:r>
      <w:r w:rsidR="00334187">
        <w:rPr>
          <w:color w:val="365F91" w:themeColor="accent1" w:themeShade="BF"/>
        </w:rPr>
        <w:t>organisations</w:t>
      </w:r>
      <w:r w:rsidR="00812635">
        <w:rPr>
          <w:color w:val="365F91" w:themeColor="accent1" w:themeShade="BF"/>
        </w:rPr>
        <w:t>.</w:t>
      </w:r>
      <w:r w:rsidR="002936CF">
        <w:rPr>
          <w:color w:val="365F91" w:themeColor="accent1" w:themeShade="BF"/>
        </w:rPr>
        <w:t xml:space="preserve"> And the </w:t>
      </w:r>
      <w:r w:rsidR="002936CF" w:rsidRPr="00146619">
        <w:rPr>
          <w:color w:val="365F91" w:themeColor="accent1" w:themeShade="BF"/>
        </w:rPr>
        <w:t>National Strategic Plan on Gender-Based Violence and Femicide 2020-2030</w:t>
      </w:r>
      <w:r w:rsidR="00146619" w:rsidRPr="00146619">
        <w:rPr>
          <w:color w:val="365F91" w:themeColor="accent1" w:themeShade="BF"/>
        </w:rPr>
        <w:t xml:space="preserve"> was created after </w:t>
      </w:r>
      <w:r w:rsidR="002936CF" w:rsidRPr="00146619">
        <w:rPr>
          <w:color w:val="365F91" w:themeColor="accent1" w:themeShade="BF"/>
        </w:rPr>
        <w:t xml:space="preserve">consultation </w:t>
      </w:r>
      <w:r w:rsidR="00146619" w:rsidRPr="00146619">
        <w:rPr>
          <w:color w:val="365F91" w:themeColor="accent1" w:themeShade="BF"/>
        </w:rPr>
        <w:t xml:space="preserve">with </w:t>
      </w:r>
      <w:r w:rsidR="00334187">
        <w:rPr>
          <w:color w:val="365F91" w:themeColor="accent1" w:themeShade="BF"/>
        </w:rPr>
        <w:t xml:space="preserve">numerous actors, including </w:t>
      </w:r>
      <w:r w:rsidR="00146619" w:rsidRPr="00146619">
        <w:rPr>
          <w:color w:val="365F91" w:themeColor="accent1" w:themeShade="BF"/>
        </w:rPr>
        <w:t xml:space="preserve">the </w:t>
      </w:r>
      <w:r w:rsidR="002936CF" w:rsidRPr="00146619">
        <w:rPr>
          <w:color w:val="365F91" w:themeColor="accent1" w:themeShade="BF"/>
        </w:rPr>
        <w:t>LGBTI+ communit</w:t>
      </w:r>
      <w:r w:rsidR="00334187">
        <w:rPr>
          <w:color w:val="365F91" w:themeColor="accent1" w:themeShade="BF"/>
        </w:rPr>
        <w:t>y</w:t>
      </w:r>
      <w:r w:rsidR="00146619" w:rsidRPr="00146619">
        <w:rPr>
          <w:color w:val="365F91" w:themeColor="accent1" w:themeShade="BF"/>
        </w:rPr>
        <w:t>.</w:t>
      </w:r>
      <w:r w:rsidR="004563E2">
        <w:rPr>
          <w:rStyle w:val="FootnoteReference"/>
          <w:color w:val="365F91" w:themeColor="accent1" w:themeShade="BF"/>
        </w:rPr>
        <w:footnoteReference w:id="5"/>
      </w:r>
    </w:p>
    <w:p w14:paraId="786C9D91" w14:textId="79E5B963" w:rsidR="0036072D" w:rsidRDefault="0036072D" w:rsidP="007E01FA">
      <w:pPr>
        <w:jc w:val="both"/>
        <w:rPr>
          <w:color w:val="365F91" w:themeColor="accent1" w:themeShade="BF"/>
        </w:rPr>
      </w:pPr>
    </w:p>
    <w:p w14:paraId="7D05F296" w14:textId="535EF7D4" w:rsidR="0036072D" w:rsidRDefault="0036072D" w:rsidP="007E01FA">
      <w:pPr>
        <w:jc w:val="both"/>
        <w:rPr>
          <w:color w:val="365F91" w:themeColor="accent1" w:themeShade="BF"/>
        </w:rPr>
      </w:pPr>
      <w:r>
        <w:rPr>
          <w:color w:val="365F91" w:themeColor="accent1" w:themeShade="BF"/>
        </w:rPr>
        <w:t>A</w:t>
      </w:r>
      <w:r w:rsidRPr="00D856B6">
        <w:rPr>
          <w:color w:val="365F91" w:themeColor="accent1" w:themeShade="BF"/>
        </w:rPr>
        <w:t xml:space="preserve">ttempts have been made to </w:t>
      </w:r>
      <w:r w:rsidR="00C32B1E">
        <w:rPr>
          <w:color w:val="365F91" w:themeColor="accent1" w:themeShade="BF"/>
        </w:rPr>
        <w:t>address</w:t>
      </w:r>
      <w:r w:rsidRPr="00D856B6">
        <w:rPr>
          <w:color w:val="365F91" w:themeColor="accent1" w:themeShade="BF"/>
        </w:rPr>
        <w:t xml:space="preserve"> LGBTI+ </w:t>
      </w:r>
      <w:r w:rsidR="00C32B1E">
        <w:rPr>
          <w:color w:val="365F91" w:themeColor="accent1" w:themeShade="BF"/>
        </w:rPr>
        <w:t>people</w:t>
      </w:r>
      <w:r w:rsidR="00953C11">
        <w:rPr>
          <w:color w:val="365F91" w:themeColor="accent1" w:themeShade="BF"/>
        </w:rPr>
        <w:t>’s</w:t>
      </w:r>
      <w:r w:rsidR="00C975AB">
        <w:rPr>
          <w:color w:val="365F91" w:themeColor="accent1" w:themeShade="BF"/>
        </w:rPr>
        <w:t xml:space="preserve"> sexual and reproductive</w:t>
      </w:r>
      <w:r w:rsidR="00953C11">
        <w:rPr>
          <w:color w:val="365F91" w:themeColor="accent1" w:themeShade="BF"/>
        </w:rPr>
        <w:t xml:space="preserve"> healthcare </w:t>
      </w:r>
      <w:r w:rsidR="00C975AB">
        <w:rPr>
          <w:color w:val="365F91" w:themeColor="accent1" w:themeShade="BF"/>
        </w:rPr>
        <w:t xml:space="preserve">needs. </w:t>
      </w:r>
      <w:r w:rsidRPr="00AA11BC">
        <w:rPr>
          <w:color w:val="365F91" w:themeColor="accent1" w:themeShade="BF"/>
        </w:rPr>
        <w:t>The National Strategic Plan for HIV, TB and STIs 2017-2022</w:t>
      </w:r>
      <w:r>
        <w:rPr>
          <w:color w:val="365F91" w:themeColor="accent1" w:themeShade="BF"/>
        </w:rPr>
        <w:t>,</w:t>
      </w:r>
      <w:r>
        <w:rPr>
          <w:rStyle w:val="FootnoteReference"/>
          <w:color w:val="365F91" w:themeColor="accent1" w:themeShade="BF"/>
        </w:rPr>
        <w:footnoteReference w:id="6"/>
      </w:r>
      <w:r w:rsidRPr="00AA11BC">
        <w:rPr>
          <w:color w:val="365F91" w:themeColor="accent1" w:themeShade="BF"/>
        </w:rPr>
        <w:t xml:space="preserve"> recognises LGBTI+ people as a vulnerable population and sets out</w:t>
      </w:r>
      <w:r w:rsidR="004A0D1C">
        <w:rPr>
          <w:color w:val="365F91" w:themeColor="accent1" w:themeShade="BF"/>
        </w:rPr>
        <w:t xml:space="preserve"> </w:t>
      </w:r>
      <w:r w:rsidRPr="00AA11BC">
        <w:rPr>
          <w:color w:val="365F91" w:themeColor="accent1" w:themeShade="BF"/>
        </w:rPr>
        <w:t>interventions, including</w:t>
      </w:r>
      <w:r>
        <w:rPr>
          <w:color w:val="365F91" w:themeColor="accent1" w:themeShade="BF"/>
        </w:rPr>
        <w:t xml:space="preserve"> peer-led outreach, e</w:t>
      </w:r>
      <w:r w:rsidR="007627E9">
        <w:rPr>
          <w:color w:val="365F91" w:themeColor="accent1" w:themeShade="BF"/>
        </w:rPr>
        <w:t>conomic e</w:t>
      </w:r>
      <w:r w:rsidRPr="0051396A">
        <w:rPr>
          <w:color w:val="365F91" w:themeColor="accent1" w:themeShade="BF"/>
        </w:rPr>
        <w:t>mpowerment programmes, and</w:t>
      </w:r>
      <w:r w:rsidRPr="00AA11BC">
        <w:rPr>
          <w:color w:val="365F91" w:themeColor="accent1" w:themeShade="BF"/>
        </w:rPr>
        <w:t xml:space="preserve"> </w:t>
      </w:r>
      <w:r w:rsidRPr="0051396A">
        <w:rPr>
          <w:color w:val="365F91" w:themeColor="accent1" w:themeShade="BF"/>
        </w:rPr>
        <w:t>increas</w:t>
      </w:r>
      <w:r w:rsidR="007627E9">
        <w:rPr>
          <w:color w:val="365F91" w:themeColor="accent1" w:themeShade="BF"/>
        </w:rPr>
        <w:t xml:space="preserve">ed </w:t>
      </w:r>
      <w:r w:rsidRPr="0051396A">
        <w:rPr>
          <w:color w:val="365F91" w:themeColor="accent1" w:themeShade="BF"/>
        </w:rPr>
        <w:t xml:space="preserve">legal and counselling support. </w:t>
      </w:r>
      <w:r w:rsidRPr="00AA11BC">
        <w:rPr>
          <w:color w:val="365F91" w:themeColor="accent1" w:themeShade="BF"/>
        </w:rPr>
        <w:t>South Africa has also adopted a specialised South African National LGBTI HIV Plan, 2017-2022,</w:t>
      </w:r>
      <w:r w:rsidRPr="00CC7A22">
        <w:rPr>
          <w:color w:val="365F91" w:themeColor="accent1" w:themeShade="BF"/>
          <w:vertAlign w:val="superscript"/>
        </w:rPr>
        <w:footnoteReference w:id="7"/>
      </w:r>
      <w:r w:rsidRPr="00AA11BC">
        <w:rPr>
          <w:color w:val="365F91" w:themeColor="accent1" w:themeShade="BF"/>
        </w:rPr>
        <w:t xml:space="preserve"> which endorses</w:t>
      </w:r>
      <w:r>
        <w:rPr>
          <w:color w:val="365F91" w:themeColor="accent1" w:themeShade="BF"/>
        </w:rPr>
        <w:t xml:space="preserve"> greater collection of data, peer-to-peer support groups, initiatives to change the attitudes of healthcare workers,</w:t>
      </w:r>
      <w:r w:rsidRPr="00AA11BC">
        <w:rPr>
          <w:color w:val="365F91" w:themeColor="accent1" w:themeShade="BF"/>
        </w:rPr>
        <w:t xml:space="preserve"> the provision of </w:t>
      </w:r>
      <w:proofErr w:type="spellStart"/>
      <w:r w:rsidRPr="00AA11BC">
        <w:rPr>
          <w:color w:val="365F91" w:themeColor="accent1" w:themeShade="BF"/>
        </w:rPr>
        <w:t>PrEP</w:t>
      </w:r>
      <w:proofErr w:type="spellEnd"/>
      <w:r w:rsidRPr="00AA11BC">
        <w:rPr>
          <w:color w:val="365F91" w:themeColor="accent1" w:themeShade="BF"/>
        </w:rPr>
        <w:t xml:space="preserve"> </w:t>
      </w:r>
      <w:r w:rsidR="00F90DBB">
        <w:rPr>
          <w:color w:val="365F91" w:themeColor="accent1" w:themeShade="BF"/>
        </w:rPr>
        <w:t>to</w:t>
      </w:r>
      <w:r w:rsidRPr="00AA11BC">
        <w:rPr>
          <w:color w:val="365F91" w:themeColor="accent1" w:themeShade="BF"/>
        </w:rPr>
        <w:t xml:space="preserve"> MSM and Universal Test and Treat for all LGBTI</w:t>
      </w:r>
      <w:r>
        <w:rPr>
          <w:color w:val="365F91" w:themeColor="accent1" w:themeShade="BF"/>
        </w:rPr>
        <w:t>+</w:t>
      </w:r>
      <w:r w:rsidRPr="00AA11BC">
        <w:rPr>
          <w:color w:val="365F91" w:themeColor="accent1" w:themeShade="BF"/>
        </w:rPr>
        <w:t xml:space="preserve"> persons.</w:t>
      </w:r>
      <w:r>
        <w:rPr>
          <w:color w:val="365F91" w:themeColor="accent1" w:themeShade="BF"/>
        </w:rPr>
        <w:t xml:space="preserve"> Unfortunately, LGBTI+ people still experience discrimination and </w:t>
      </w:r>
      <w:r w:rsidR="00DA2435">
        <w:rPr>
          <w:color w:val="365F91" w:themeColor="accent1" w:themeShade="BF"/>
        </w:rPr>
        <w:t>ignorance</w:t>
      </w:r>
      <w:r>
        <w:rPr>
          <w:color w:val="365F91" w:themeColor="accent1" w:themeShade="BF"/>
        </w:rPr>
        <w:t xml:space="preserve"> when attempting to access treatment or information relating to HIV/AIDS.</w:t>
      </w:r>
      <w:r>
        <w:rPr>
          <w:rStyle w:val="FootnoteReference"/>
          <w:color w:val="365F91" w:themeColor="accent1" w:themeShade="BF"/>
        </w:rPr>
        <w:footnoteReference w:id="8"/>
      </w:r>
      <w:r w:rsidR="00224140">
        <w:rPr>
          <w:color w:val="365F91" w:themeColor="accent1" w:themeShade="BF"/>
        </w:rPr>
        <w:t xml:space="preserve"> </w:t>
      </w:r>
      <w:r w:rsidR="0045111B">
        <w:rPr>
          <w:color w:val="365F91" w:themeColor="accent1" w:themeShade="BF"/>
        </w:rPr>
        <w:t>The Department of Justice has formed a National Task Team on Gender and Sexual Orientation-Based Violence</w:t>
      </w:r>
      <w:r w:rsidR="007D46BA">
        <w:rPr>
          <w:color w:val="365F91" w:themeColor="accent1" w:themeShade="BF"/>
        </w:rPr>
        <w:t xml:space="preserve"> (NTT). However, the NTT’s interventions in the field of violence against LGBTI+ people focuses primarily on criminal justice responses.</w:t>
      </w:r>
    </w:p>
    <w:p w14:paraId="6712A020" w14:textId="5095D02E" w:rsidR="00927877" w:rsidRDefault="00927877" w:rsidP="007E01FA">
      <w:pPr>
        <w:jc w:val="both"/>
        <w:rPr>
          <w:color w:val="365F91" w:themeColor="accent1" w:themeShade="BF"/>
        </w:rPr>
      </w:pPr>
    </w:p>
    <w:p w14:paraId="17D94A13" w14:textId="195C04BA" w:rsidR="00B63693" w:rsidRPr="004C3DA7" w:rsidRDefault="00F57799" w:rsidP="007E01FA">
      <w:pPr>
        <w:jc w:val="both"/>
        <w:rPr>
          <w:color w:val="365F91" w:themeColor="accent1" w:themeShade="BF"/>
        </w:rPr>
      </w:pPr>
      <w:r>
        <w:rPr>
          <w:color w:val="365F91" w:themeColor="accent1" w:themeShade="BF"/>
        </w:rPr>
        <w:t xml:space="preserve">In order to </w:t>
      </w:r>
      <w:r w:rsidR="00A877A5">
        <w:rPr>
          <w:color w:val="365F91" w:themeColor="accent1" w:themeShade="BF"/>
        </w:rPr>
        <w:t>create effective policy</w:t>
      </w:r>
      <w:r>
        <w:rPr>
          <w:color w:val="365F91" w:themeColor="accent1" w:themeShade="BF"/>
        </w:rPr>
        <w:t xml:space="preserve">, more data </w:t>
      </w:r>
      <w:r w:rsidR="00CE7669">
        <w:rPr>
          <w:color w:val="365F91" w:themeColor="accent1" w:themeShade="BF"/>
        </w:rPr>
        <w:t xml:space="preserve">is necessary. </w:t>
      </w:r>
      <w:r w:rsidR="00834519">
        <w:rPr>
          <w:color w:val="365F91" w:themeColor="accent1" w:themeShade="BF"/>
        </w:rPr>
        <w:t xml:space="preserve">Currently, government documents cite </w:t>
      </w:r>
      <w:r w:rsidR="00467FDB">
        <w:rPr>
          <w:color w:val="365F91" w:themeColor="accent1" w:themeShade="BF"/>
        </w:rPr>
        <w:t xml:space="preserve">limited </w:t>
      </w:r>
      <w:r w:rsidR="00834519">
        <w:rPr>
          <w:color w:val="365F91" w:themeColor="accent1" w:themeShade="BF"/>
        </w:rPr>
        <w:t xml:space="preserve">private research as the basis of policy decisions. </w:t>
      </w:r>
      <w:r w:rsidR="00CE7669">
        <w:rPr>
          <w:color w:val="365F91" w:themeColor="accent1" w:themeShade="BF"/>
        </w:rPr>
        <w:t xml:space="preserve">Technical </w:t>
      </w:r>
      <w:r w:rsidR="006E4341">
        <w:rPr>
          <w:color w:val="365F91" w:themeColor="accent1" w:themeShade="BF"/>
        </w:rPr>
        <w:t>assistance</w:t>
      </w:r>
      <w:r w:rsidR="00CE7669">
        <w:rPr>
          <w:color w:val="365F91" w:themeColor="accent1" w:themeShade="BF"/>
        </w:rPr>
        <w:t xml:space="preserve"> </w:t>
      </w:r>
      <w:r w:rsidR="008C1F7D">
        <w:rPr>
          <w:color w:val="365F91" w:themeColor="accent1" w:themeShade="BF"/>
        </w:rPr>
        <w:t>could</w:t>
      </w:r>
      <w:r w:rsidR="00DB1C4F">
        <w:rPr>
          <w:color w:val="365F91" w:themeColor="accent1" w:themeShade="BF"/>
        </w:rPr>
        <w:t xml:space="preserve"> facilitate </w:t>
      </w:r>
      <w:r w:rsidR="00834519">
        <w:rPr>
          <w:color w:val="365F91" w:themeColor="accent1" w:themeShade="BF"/>
        </w:rPr>
        <w:t>broad</w:t>
      </w:r>
      <w:r w:rsidR="00DB1C4F">
        <w:rPr>
          <w:color w:val="365F91" w:themeColor="accent1" w:themeShade="BF"/>
        </w:rPr>
        <w:t xml:space="preserve"> and ethical </w:t>
      </w:r>
      <w:r w:rsidR="00C82915">
        <w:rPr>
          <w:color w:val="365F91" w:themeColor="accent1" w:themeShade="BF"/>
        </w:rPr>
        <w:t xml:space="preserve">data </w:t>
      </w:r>
      <w:r w:rsidR="00CE7669">
        <w:rPr>
          <w:color w:val="365F91" w:themeColor="accent1" w:themeShade="BF"/>
        </w:rPr>
        <w:t>collect</w:t>
      </w:r>
      <w:r w:rsidR="00DB1C4F">
        <w:rPr>
          <w:color w:val="365F91" w:themeColor="accent1" w:themeShade="BF"/>
        </w:rPr>
        <w:t>ion.</w:t>
      </w:r>
      <w:r w:rsidR="00F031EC">
        <w:rPr>
          <w:color w:val="365F91" w:themeColor="accent1" w:themeShade="BF"/>
        </w:rPr>
        <w:t xml:space="preserve"> Support may also be required to ensure that LGBTI+ persons are aware of and can partake in </w:t>
      </w:r>
      <w:r w:rsidR="00FF47F6">
        <w:rPr>
          <w:color w:val="365F91" w:themeColor="accent1" w:themeShade="BF"/>
        </w:rPr>
        <w:t>existing</w:t>
      </w:r>
      <w:r w:rsidR="00F031EC">
        <w:rPr>
          <w:color w:val="365F91" w:themeColor="accent1" w:themeShade="BF"/>
        </w:rPr>
        <w:t xml:space="preserve"> public participation process</w:t>
      </w:r>
      <w:r w:rsidR="00B36F56">
        <w:rPr>
          <w:color w:val="365F91" w:themeColor="accent1" w:themeShade="BF"/>
        </w:rPr>
        <w:t>.</w:t>
      </w:r>
      <w:r w:rsidR="00F031EC">
        <w:rPr>
          <w:color w:val="365F91" w:themeColor="accent1" w:themeShade="BF"/>
        </w:rPr>
        <w:t xml:space="preserve"> </w:t>
      </w:r>
    </w:p>
    <w:p w14:paraId="2C078E25" w14:textId="77777777" w:rsidR="001B40D5" w:rsidRPr="00B63693" w:rsidRDefault="001B40D5" w:rsidP="00BD5FB6">
      <w:pPr>
        <w:jc w:val="both"/>
      </w:pPr>
    </w:p>
    <w:p w14:paraId="1F4065E2" w14:textId="77777777" w:rsidR="00902C32" w:rsidRPr="00BD5FB6" w:rsidRDefault="00902C32" w:rsidP="00BD5FB6">
      <w:pPr>
        <w:pStyle w:val="Heading2"/>
        <w:keepNext w:val="0"/>
        <w:keepLines w:val="0"/>
        <w:numPr>
          <w:ilvl w:val="0"/>
          <w:numId w:val="2"/>
        </w:numPr>
        <w:tabs>
          <w:tab w:val="num" w:pos="360"/>
        </w:tabs>
        <w:ind w:left="0" w:firstLine="0"/>
        <w:jc w:val="both"/>
        <w:rPr>
          <w:rFonts w:ascii="Arial" w:hAnsi="Arial" w:cs="Arial"/>
          <w:b/>
          <w:bCs/>
          <w:color w:val="auto"/>
          <w:sz w:val="22"/>
          <w:szCs w:val="22"/>
        </w:rPr>
      </w:pPr>
      <w:r w:rsidRPr="00BD5FB6">
        <w:rPr>
          <w:rFonts w:ascii="Arial" w:hAnsi="Arial" w:cs="Arial"/>
          <w:b/>
          <w:bCs/>
          <w:color w:val="auto"/>
          <w:sz w:val="22"/>
          <w:szCs w:val="22"/>
        </w:rPr>
        <w:t>Access: ensuring that LGTBI and GNC people have access to health care</w:t>
      </w:r>
    </w:p>
    <w:p w14:paraId="04916353" w14:textId="30F11BA0"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measures have been taken to ensure access to affordable non-discriminatory health care services for persons affected by violence and discrimination based on sexual orientation and gender identity?</w:t>
      </w:r>
    </w:p>
    <w:p w14:paraId="2CBDA25E" w14:textId="77777777" w:rsidR="007E01FA" w:rsidRPr="00BD5FB6" w:rsidRDefault="007E01FA" w:rsidP="00BD5FB6">
      <w:pPr>
        <w:jc w:val="both"/>
      </w:pPr>
    </w:p>
    <w:p w14:paraId="589C20EC" w14:textId="7B3F1320"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policies or programmes exist to address the mental health care needs of persons affected by violence and discrimination based on sexual orientation and gender identity, specifically around depression and anxiety, suicidal ideation, and substance abuse?</w:t>
      </w:r>
    </w:p>
    <w:p w14:paraId="3DCDB1A1" w14:textId="77777777" w:rsidR="007E01FA" w:rsidRPr="00BD5FB6" w:rsidRDefault="007E01FA" w:rsidP="00BD5FB6">
      <w:pPr>
        <w:jc w:val="both"/>
      </w:pPr>
    </w:p>
    <w:p w14:paraId="78A7D94B" w14:textId="6636A557"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What policies or programmes exist to assist the health care needs of persons affected by violence and discrimination based on sexual orientation and gender identity following the experience of assault or gender-based violence?</w:t>
      </w:r>
    </w:p>
    <w:p w14:paraId="5971E201" w14:textId="77777777" w:rsidR="007E01FA" w:rsidRPr="00BD5FB6" w:rsidRDefault="007E01FA" w:rsidP="00BD5FB6">
      <w:pPr>
        <w:jc w:val="both"/>
      </w:pPr>
    </w:p>
    <w:p w14:paraId="5A481119" w14:textId="5FED0AF6"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Have adequate human and financial resources been allocated to implement those policies and/or programmes?</w:t>
      </w:r>
    </w:p>
    <w:p w14:paraId="23CA6E57" w14:textId="235E1257" w:rsidR="00B63693" w:rsidRDefault="00B63693" w:rsidP="00BD5FB6">
      <w:pPr>
        <w:jc w:val="both"/>
      </w:pPr>
    </w:p>
    <w:p w14:paraId="3CD7E622" w14:textId="77777777" w:rsidR="007E01FA" w:rsidRPr="0072239C" w:rsidRDefault="007E01FA" w:rsidP="007E01FA">
      <w:pPr>
        <w:jc w:val="both"/>
        <w:rPr>
          <w:b/>
          <w:bCs/>
          <w:color w:val="365F91" w:themeColor="accent1" w:themeShade="BF"/>
        </w:rPr>
      </w:pPr>
      <w:r w:rsidRPr="0072239C">
        <w:rPr>
          <w:b/>
          <w:bCs/>
          <w:color w:val="365F91" w:themeColor="accent1" w:themeShade="BF"/>
        </w:rPr>
        <w:t>Response</w:t>
      </w:r>
    </w:p>
    <w:p w14:paraId="3FA4AD12" w14:textId="2F6E1987" w:rsidR="000A0C26" w:rsidRDefault="00CC1AA9" w:rsidP="007E01FA">
      <w:pPr>
        <w:jc w:val="both"/>
        <w:rPr>
          <w:color w:val="365F91" w:themeColor="accent1" w:themeShade="BF"/>
        </w:rPr>
      </w:pPr>
      <w:r>
        <w:rPr>
          <w:color w:val="365F91" w:themeColor="accent1" w:themeShade="BF"/>
        </w:rPr>
        <w:lastRenderedPageBreak/>
        <w:t xml:space="preserve">LGBTI+ people can access affordable general services as well as LGBTI+ specific healthcare at public health facilities, including clinics and hospitals. However, </w:t>
      </w:r>
      <w:r w:rsidR="00AB795C" w:rsidRPr="0046659A">
        <w:rPr>
          <w:color w:val="365F91" w:themeColor="accent1" w:themeShade="BF"/>
        </w:rPr>
        <w:t xml:space="preserve">like all South Africans who rely on </w:t>
      </w:r>
      <w:r w:rsidR="007D2E3D">
        <w:rPr>
          <w:color w:val="365F91" w:themeColor="accent1" w:themeShade="BF"/>
        </w:rPr>
        <w:t>these</w:t>
      </w:r>
      <w:r w:rsidR="00AB795C" w:rsidRPr="0046659A">
        <w:rPr>
          <w:color w:val="365F91" w:themeColor="accent1" w:themeShade="BF"/>
        </w:rPr>
        <w:t xml:space="preserve"> facilities, </w:t>
      </w:r>
      <w:r>
        <w:rPr>
          <w:color w:val="365F91" w:themeColor="accent1" w:themeShade="BF"/>
        </w:rPr>
        <w:t xml:space="preserve">LGBTI+ people </w:t>
      </w:r>
      <w:r w:rsidR="00AB795C" w:rsidRPr="0046659A">
        <w:rPr>
          <w:color w:val="365F91" w:themeColor="accent1" w:themeShade="BF"/>
        </w:rPr>
        <w:t xml:space="preserve">suffer </w:t>
      </w:r>
      <w:r w:rsidR="007D2E3D">
        <w:rPr>
          <w:color w:val="365F91" w:themeColor="accent1" w:themeShade="BF"/>
        </w:rPr>
        <w:t>from</w:t>
      </w:r>
      <w:r w:rsidR="00AB795C" w:rsidRPr="0046659A">
        <w:rPr>
          <w:color w:val="365F91" w:themeColor="accent1" w:themeShade="BF"/>
        </w:rPr>
        <w:t xml:space="preserve"> long waiting times, and under-resourced facilities. </w:t>
      </w:r>
      <w:r>
        <w:rPr>
          <w:color w:val="365F91" w:themeColor="accent1" w:themeShade="BF"/>
        </w:rPr>
        <w:t>D</w:t>
      </w:r>
      <w:r w:rsidR="00AB795C" w:rsidRPr="0046659A">
        <w:rPr>
          <w:color w:val="365F91" w:themeColor="accent1" w:themeShade="BF"/>
        </w:rPr>
        <w:t>iscrimination and erasure exacerbate these challenges</w:t>
      </w:r>
      <w:r w:rsidR="00C85728">
        <w:rPr>
          <w:color w:val="365F91" w:themeColor="accent1" w:themeShade="BF"/>
        </w:rPr>
        <w:t xml:space="preserve">. Research has revealed that educational resources, such as pamphlets at clinics, </w:t>
      </w:r>
      <w:r w:rsidR="00390E30">
        <w:rPr>
          <w:color w:val="365F91" w:themeColor="accent1" w:themeShade="BF"/>
        </w:rPr>
        <w:t xml:space="preserve">do not </w:t>
      </w:r>
      <w:r w:rsidR="00711A61">
        <w:rPr>
          <w:color w:val="365F91" w:themeColor="accent1" w:themeShade="BF"/>
        </w:rPr>
        <w:t>address</w:t>
      </w:r>
      <w:r w:rsidR="00390E30">
        <w:rPr>
          <w:color w:val="365F91" w:themeColor="accent1" w:themeShade="BF"/>
        </w:rPr>
        <w:t xml:space="preserve"> the needs of LGBTI+ people</w:t>
      </w:r>
      <w:r w:rsidR="006A630E">
        <w:rPr>
          <w:color w:val="365F91" w:themeColor="accent1" w:themeShade="BF"/>
        </w:rPr>
        <w:t>.</w:t>
      </w:r>
      <w:r w:rsidR="00AB795C" w:rsidRPr="0046659A">
        <w:rPr>
          <w:color w:val="365F91" w:themeColor="accent1" w:themeShade="BF"/>
        </w:rPr>
        <w:t xml:space="preserve"> </w:t>
      </w:r>
      <w:r w:rsidR="006A630E">
        <w:rPr>
          <w:color w:val="365F91" w:themeColor="accent1" w:themeShade="BF"/>
        </w:rPr>
        <w:t>M</w:t>
      </w:r>
      <w:r w:rsidR="00AB795C" w:rsidRPr="0046659A">
        <w:rPr>
          <w:color w:val="365F91" w:themeColor="accent1" w:themeShade="BF"/>
        </w:rPr>
        <w:t>any LGBTI+ people resort to NGO</w:t>
      </w:r>
      <w:r w:rsidR="00711A61">
        <w:rPr>
          <w:color w:val="365F91" w:themeColor="accent1" w:themeShade="BF"/>
        </w:rPr>
        <w:t>s</w:t>
      </w:r>
      <w:r w:rsidR="00AB795C" w:rsidRPr="0046659A">
        <w:rPr>
          <w:color w:val="365F91" w:themeColor="accent1" w:themeShade="BF"/>
        </w:rPr>
        <w:t xml:space="preserve"> </w:t>
      </w:r>
      <w:r w:rsidR="00AB795C">
        <w:rPr>
          <w:color w:val="365F91" w:themeColor="accent1" w:themeShade="BF"/>
        </w:rPr>
        <w:t xml:space="preserve">or </w:t>
      </w:r>
      <w:r w:rsidR="00711A61">
        <w:rPr>
          <w:color w:val="365F91" w:themeColor="accent1" w:themeShade="BF"/>
        </w:rPr>
        <w:t xml:space="preserve">the </w:t>
      </w:r>
      <w:r w:rsidR="00AB795C">
        <w:rPr>
          <w:color w:val="365F91" w:themeColor="accent1" w:themeShade="BF"/>
        </w:rPr>
        <w:t xml:space="preserve">private </w:t>
      </w:r>
      <w:r w:rsidR="00711A61">
        <w:rPr>
          <w:color w:val="365F91" w:themeColor="accent1" w:themeShade="BF"/>
        </w:rPr>
        <w:t>sector</w:t>
      </w:r>
      <w:r w:rsidR="00AB795C">
        <w:rPr>
          <w:color w:val="365F91" w:themeColor="accent1" w:themeShade="BF"/>
        </w:rPr>
        <w:t xml:space="preserve"> (when possible)</w:t>
      </w:r>
      <w:r w:rsidR="00AB795C" w:rsidRPr="0046659A">
        <w:rPr>
          <w:color w:val="365F91" w:themeColor="accent1" w:themeShade="BF"/>
        </w:rPr>
        <w:t>.</w:t>
      </w:r>
      <w:r w:rsidR="00AB795C">
        <w:rPr>
          <w:rStyle w:val="FootnoteReference"/>
          <w:color w:val="365F91" w:themeColor="accent1" w:themeShade="BF"/>
        </w:rPr>
        <w:footnoteReference w:id="9"/>
      </w:r>
      <w:r w:rsidR="00AB795C">
        <w:rPr>
          <w:color w:val="365F91" w:themeColor="accent1" w:themeShade="BF"/>
        </w:rPr>
        <w:t xml:space="preserve"> Transgender persons who cannot afford the prohibitively expensive private healthcare system may access gender affirming </w:t>
      </w:r>
      <w:r w:rsidR="00BC426B">
        <w:rPr>
          <w:color w:val="365F91" w:themeColor="accent1" w:themeShade="BF"/>
        </w:rPr>
        <w:t>treatment</w:t>
      </w:r>
      <w:r w:rsidR="00AB795C">
        <w:rPr>
          <w:color w:val="365F91" w:themeColor="accent1" w:themeShade="BF"/>
        </w:rPr>
        <w:t xml:space="preserve"> at public hospitals at low or no cost. However, resources are limited and waiting periods are excessive.</w:t>
      </w:r>
      <w:r w:rsidR="00AB795C">
        <w:rPr>
          <w:rStyle w:val="FootnoteReference"/>
          <w:color w:val="365F91" w:themeColor="accent1" w:themeShade="BF"/>
        </w:rPr>
        <w:footnoteReference w:id="10"/>
      </w:r>
      <w:r w:rsidR="00AB795C">
        <w:rPr>
          <w:color w:val="365F91" w:themeColor="accent1" w:themeShade="BF"/>
        </w:rPr>
        <w:t xml:space="preserve"> Lack of access leads some to </w:t>
      </w:r>
      <w:r w:rsidR="00AB795C" w:rsidRPr="000D1524">
        <w:rPr>
          <w:color w:val="365F91" w:themeColor="accent1" w:themeShade="BF"/>
        </w:rPr>
        <w:t>resort</w:t>
      </w:r>
      <w:r w:rsidR="00AB795C">
        <w:rPr>
          <w:color w:val="365F91" w:themeColor="accent1" w:themeShade="BF"/>
        </w:rPr>
        <w:t xml:space="preserve"> to</w:t>
      </w:r>
      <w:r w:rsidR="00AB795C" w:rsidRPr="000D1524">
        <w:rPr>
          <w:color w:val="365F91" w:themeColor="accent1" w:themeShade="BF"/>
        </w:rPr>
        <w:t xml:space="preserve"> dangerous practices, such as using cross-gender hormones without supervision</w:t>
      </w:r>
      <w:r w:rsidR="00B24397">
        <w:rPr>
          <w:color w:val="365F91" w:themeColor="accent1" w:themeShade="BF"/>
        </w:rPr>
        <w:t xml:space="preserve"> and </w:t>
      </w:r>
      <w:r w:rsidR="00AB795C" w:rsidRPr="000D1524">
        <w:rPr>
          <w:color w:val="365F91" w:themeColor="accent1" w:themeShade="BF"/>
        </w:rPr>
        <w:t>self-</w:t>
      </w:r>
      <w:r w:rsidR="00B24397">
        <w:rPr>
          <w:color w:val="365F91" w:themeColor="accent1" w:themeShade="BF"/>
        </w:rPr>
        <w:t>mutilation</w:t>
      </w:r>
      <w:r w:rsidR="00AB795C" w:rsidRPr="000D1524">
        <w:rPr>
          <w:color w:val="365F91" w:themeColor="accent1" w:themeShade="BF"/>
        </w:rPr>
        <w:t>.</w:t>
      </w:r>
      <w:r w:rsidR="00AB795C">
        <w:rPr>
          <w:rStyle w:val="FootnoteReference"/>
          <w:color w:val="365F91" w:themeColor="accent1" w:themeShade="BF"/>
        </w:rPr>
        <w:footnoteReference w:id="11"/>
      </w:r>
      <w:r w:rsidR="00AB795C">
        <w:rPr>
          <w:color w:val="365F91" w:themeColor="accent1" w:themeShade="BF"/>
        </w:rPr>
        <w:t xml:space="preserve"> Access to </w:t>
      </w:r>
      <w:r w:rsidR="00AB795C" w:rsidRPr="00574DEE">
        <w:rPr>
          <w:color w:val="365F91" w:themeColor="accent1" w:themeShade="BF"/>
        </w:rPr>
        <w:t xml:space="preserve">reproductive health services and contraceptives is also limited, often </w:t>
      </w:r>
      <w:r w:rsidR="00AB795C">
        <w:rPr>
          <w:color w:val="365F91" w:themeColor="accent1" w:themeShade="BF"/>
        </w:rPr>
        <w:t xml:space="preserve">due to </w:t>
      </w:r>
      <w:r w:rsidR="00AB795C" w:rsidRPr="00574DEE">
        <w:rPr>
          <w:color w:val="365F91" w:themeColor="accent1" w:themeShade="BF"/>
        </w:rPr>
        <w:t>health professionals</w:t>
      </w:r>
      <w:r w:rsidR="00AB795C">
        <w:rPr>
          <w:color w:val="365F91" w:themeColor="accent1" w:themeShade="BF"/>
        </w:rPr>
        <w:t>’</w:t>
      </w:r>
      <w:r w:rsidR="00AB795C" w:rsidRPr="00574DEE">
        <w:rPr>
          <w:color w:val="365F91" w:themeColor="accent1" w:themeShade="BF"/>
        </w:rPr>
        <w:t xml:space="preserve"> discriminatory attitudes</w:t>
      </w:r>
      <w:r w:rsidR="00AB795C">
        <w:rPr>
          <w:color w:val="365F91" w:themeColor="accent1" w:themeShade="BF"/>
        </w:rPr>
        <w:t xml:space="preserve"> and cisgender-focused facilities</w:t>
      </w:r>
      <w:r w:rsidR="00AB795C" w:rsidRPr="00574DEE">
        <w:rPr>
          <w:color w:val="365F91" w:themeColor="accent1" w:themeShade="BF"/>
        </w:rPr>
        <w:t>.</w:t>
      </w:r>
    </w:p>
    <w:p w14:paraId="5C91174A" w14:textId="77777777" w:rsidR="000A0C26" w:rsidRDefault="000A0C26" w:rsidP="007E01FA">
      <w:pPr>
        <w:jc w:val="both"/>
        <w:rPr>
          <w:color w:val="365F91" w:themeColor="accent1" w:themeShade="BF"/>
        </w:rPr>
      </w:pPr>
    </w:p>
    <w:p w14:paraId="5A864FA4" w14:textId="3C603983" w:rsidR="00AB795C" w:rsidRDefault="00A55B97" w:rsidP="007E01FA">
      <w:pPr>
        <w:jc w:val="both"/>
        <w:rPr>
          <w:color w:val="365F91" w:themeColor="accent1" w:themeShade="BF"/>
        </w:rPr>
      </w:pPr>
      <w:r>
        <w:rPr>
          <w:color w:val="365F91" w:themeColor="accent1" w:themeShade="BF"/>
        </w:rPr>
        <w:t>T</w:t>
      </w:r>
      <w:r w:rsidR="00B067F7">
        <w:rPr>
          <w:color w:val="365F91" w:themeColor="accent1" w:themeShade="BF"/>
        </w:rPr>
        <w:t>he Alteration of Sex Description and Sex Status Act</w:t>
      </w:r>
      <w:r w:rsidR="007414A1">
        <w:rPr>
          <w:rStyle w:val="FootnoteReference"/>
          <w:color w:val="365F91" w:themeColor="accent1" w:themeShade="BF"/>
        </w:rPr>
        <w:footnoteReference w:id="12"/>
      </w:r>
      <w:r w:rsidR="00B067F7">
        <w:rPr>
          <w:color w:val="365F91" w:themeColor="accent1" w:themeShade="BF"/>
        </w:rPr>
        <w:t xml:space="preserve"> allows </w:t>
      </w:r>
      <w:r w:rsidR="00DB7EA4" w:rsidRPr="00D81FDE">
        <w:rPr>
          <w:color w:val="365F91" w:themeColor="accent1" w:themeShade="BF"/>
        </w:rPr>
        <w:t xml:space="preserve">‘any person whose sexual characteristics have been altered by surgical or medical treatment or by evolvement through natural development resulting in gender reassignment, or any person who is intersexed’ to apply </w:t>
      </w:r>
      <w:r w:rsidR="00DB7EA4">
        <w:rPr>
          <w:color w:val="365F91" w:themeColor="accent1" w:themeShade="BF"/>
        </w:rPr>
        <w:t xml:space="preserve">to change their official sex description. </w:t>
      </w:r>
      <w:r w:rsidR="00500689">
        <w:rPr>
          <w:color w:val="365F91" w:themeColor="accent1" w:themeShade="BF"/>
        </w:rPr>
        <w:t xml:space="preserve">The application </w:t>
      </w:r>
      <w:r w:rsidR="000A0C26">
        <w:rPr>
          <w:color w:val="365F91" w:themeColor="accent1" w:themeShade="BF"/>
        </w:rPr>
        <w:t xml:space="preserve">requires such a person to present </w:t>
      </w:r>
      <w:r w:rsidR="00DB7EA4">
        <w:rPr>
          <w:color w:val="365F91" w:themeColor="accent1" w:themeShade="BF"/>
        </w:rPr>
        <w:t xml:space="preserve">a birth certificate and </w:t>
      </w:r>
      <w:r w:rsidR="000A0C26">
        <w:rPr>
          <w:color w:val="365F91" w:themeColor="accent1" w:themeShade="BF"/>
        </w:rPr>
        <w:t xml:space="preserve">a </w:t>
      </w:r>
      <w:r w:rsidR="00DB7EA4">
        <w:rPr>
          <w:color w:val="365F91" w:themeColor="accent1" w:themeShade="BF"/>
        </w:rPr>
        <w:t xml:space="preserve">report from a medical professional detailing </w:t>
      </w:r>
      <w:r w:rsidR="000A0C26">
        <w:rPr>
          <w:color w:val="365F91" w:themeColor="accent1" w:themeShade="BF"/>
        </w:rPr>
        <w:t xml:space="preserve">the results of a medical examination of their sexual characteristics or the </w:t>
      </w:r>
      <w:r w:rsidR="00DB7EA4">
        <w:rPr>
          <w:color w:val="365F91" w:themeColor="accent1" w:themeShade="BF"/>
        </w:rPr>
        <w:t xml:space="preserve">surgical </w:t>
      </w:r>
      <w:r w:rsidR="000A0C26">
        <w:rPr>
          <w:color w:val="365F91" w:themeColor="accent1" w:themeShade="BF"/>
        </w:rPr>
        <w:t>treatment they have undergone. These requirements may</w:t>
      </w:r>
      <w:r w:rsidR="009C50E7">
        <w:rPr>
          <w:color w:val="365F91" w:themeColor="accent1" w:themeShade="BF"/>
        </w:rPr>
        <w:t xml:space="preserve"> </w:t>
      </w:r>
      <w:r w:rsidR="000A0C26">
        <w:rPr>
          <w:color w:val="365F91" w:themeColor="accent1" w:themeShade="BF"/>
        </w:rPr>
        <w:t xml:space="preserve">present an obstacle to </w:t>
      </w:r>
      <w:r w:rsidR="006B39F9">
        <w:rPr>
          <w:color w:val="365F91" w:themeColor="accent1" w:themeShade="BF"/>
        </w:rPr>
        <w:t xml:space="preserve">those reliant on the </w:t>
      </w:r>
      <w:r w:rsidR="001922D3">
        <w:rPr>
          <w:color w:val="365F91" w:themeColor="accent1" w:themeShade="BF"/>
        </w:rPr>
        <w:t xml:space="preserve">overburdened </w:t>
      </w:r>
      <w:r w:rsidR="006B39F9">
        <w:rPr>
          <w:color w:val="365F91" w:themeColor="accent1" w:themeShade="BF"/>
        </w:rPr>
        <w:t xml:space="preserve">public health system, </w:t>
      </w:r>
      <w:r w:rsidR="000A0C26">
        <w:rPr>
          <w:color w:val="365F91" w:themeColor="accent1" w:themeShade="BF"/>
        </w:rPr>
        <w:t>minors, undocumented immigrants, refugees and</w:t>
      </w:r>
      <w:r w:rsidR="00705A84">
        <w:rPr>
          <w:color w:val="365F91" w:themeColor="accent1" w:themeShade="BF"/>
        </w:rPr>
        <w:t xml:space="preserve"> asylum seekers</w:t>
      </w:r>
      <w:r w:rsidR="00EC626F">
        <w:rPr>
          <w:color w:val="365F91" w:themeColor="accent1" w:themeShade="BF"/>
        </w:rPr>
        <w:t>.</w:t>
      </w:r>
    </w:p>
    <w:p w14:paraId="3242FF33" w14:textId="77777777" w:rsidR="00AB795C" w:rsidRDefault="00AB795C" w:rsidP="007E01FA">
      <w:pPr>
        <w:jc w:val="both"/>
        <w:rPr>
          <w:color w:val="365F91" w:themeColor="accent1" w:themeShade="BF"/>
        </w:rPr>
      </w:pPr>
    </w:p>
    <w:p w14:paraId="1379592F" w14:textId="72DD7AC0" w:rsidR="00B30B3D" w:rsidRDefault="00B30B3D" w:rsidP="007E01FA">
      <w:pPr>
        <w:jc w:val="both"/>
        <w:rPr>
          <w:color w:val="365F91" w:themeColor="accent1" w:themeShade="BF"/>
        </w:rPr>
      </w:pPr>
      <w:r>
        <w:rPr>
          <w:color w:val="365F91" w:themeColor="accent1" w:themeShade="BF"/>
        </w:rPr>
        <w:t>The National Drug Master Plan 2019-2024 tasks certain government bodies with c</w:t>
      </w:r>
      <w:r w:rsidRPr="005137EE">
        <w:rPr>
          <w:color w:val="365F91" w:themeColor="accent1" w:themeShade="BF"/>
        </w:rPr>
        <w:t>oordinat</w:t>
      </w:r>
      <w:r>
        <w:rPr>
          <w:color w:val="365F91" w:themeColor="accent1" w:themeShade="BF"/>
        </w:rPr>
        <w:t xml:space="preserve">ing </w:t>
      </w:r>
      <w:r w:rsidRPr="005137EE">
        <w:rPr>
          <w:color w:val="365F91" w:themeColor="accent1" w:themeShade="BF"/>
        </w:rPr>
        <w:t xml:space="preserve">relevant projects that will provide alternative development to key populations </w:t>
      </w:r>
      <w:r w:rsidR="005D22E9">
        <w:rPr>
          <w:color w:val="365F91" w:themeColor="accent1" w:themeShade="BF"/>
        </w:rPr>
        <w:t>(including LGBTI+ persons</w:t>
      </w:r>
      <w:r w:rsidR="00EC6A26">
        <w:rPr>
          <w:color w:val="365F91" w:themeColor="accent1" w:themeShade="BF"/>
        </w:rPr>
        <w:t>)</w:t>
      </w:r>
      <w:r w:rsidR="005D22E9">
        <w:rPr>
          <w:color w:val="365F91" w:themeColor="accent1" w:themeShade="BF"/>
        </w:rPr>
        <w:t xml:space="preserve">, though </w:t>
      </w:r>
      <w:r>
        <w:rPr>
          <w:color w:val="365F91" w:themeColor="accent1" w:themeShade="BF"/>
        </w:rPr>
        <w:t xml:space="preserve">it does not </w:t>
      </w:r>
      <w:r w:rsidR="00EC6A26">
        <w:rPr>
          <w:color w:val="365F91" w:themeColor="accent1" w:themeShade="BF"/>
        </w:rPr>
        <w:t xml:space="preserve">clarify </w:t>
      </w:r>
      <w:r>
        <w:rPr>
          <w:color w:val="365F91" w:themeColor="accent1" w:themeShade="BF"/>
        </w:rPr>
        <w:t>the nature of these programmes</w:t>
      </w:r>
      <w:r w:rsidR="005D22E9">
        <w:rPr>
          <w:color w:val="365F91" w:themeColor="accent1" w:themeShade="BF"/>
        </w:rPr>
        <w:t>.</w:t>
      </w:r>
    </w:p>
    <w:p w14:paraId="164DA95A" w14:textId="3C66A6B4" w:rsidR="00B2220D" w:rsidRDefault="00B2220D" w:rsidP="007E01FA">
      <w:pPr>
        <w:jc w:val="both"/>
        <w:rPr>
          <w:color w:val="365F91" w:themeColor="accent1" w:themeShade="BF"/>
        </w:rPr>
      </w:pPr>
    </w:p>
    <w:p w14:paraId="49162C65" w14:textId="512B0E9C" w:rsidR="00B2220D" w:rsidRPr="00225B71" w:rsidRDefault="00B2220D" w:rsidP="007E01FA">
      <w:pPr>
        <w:jc w:val="both"/>
        <w:rPr>
          <w:color w:val="365F91" w:themeColor="accent1" w:themeShade="BF"/>
        </w:rPr>
      </w:pPr>
      <w:r>
        <w:rPr>
          <w:color w:val="365F91" w:themeColor="accent1" w:themeShade="BF"/>
        </w:rPr>
        <w:t xml:space="preserve">The National Strategic Plan on Gender-Based Violence and Femicide </w:t>
      </w:r>
      <w:r w:rsidR="00AE6AD5">
        <w:rPr>
          <w:color w:val="365F91" w:themeColor="accent1" w:themeShade="BF"/>
        </w:rPr>
        <w:t>prioritise</w:t>
      </w:r>
      <w:r w:rsidR="00692D91">
        <w:rPr>
          <w:color w:val="365F91" w:themeColor="accent1" w:themeShade="BF"/>
        </w:rPr>
        <w:t>s LGBTI+ persons,</w:t>
      </w:r>
      <w:r w:rsidR="00AE6AD5">
        <w:rPr>
          <w:color w:val="365F91" w:themeColor="accent1" w:themeShade="BF"/>
        </w:rPr>
        <w:t xml:space="preserve"> </w:t>
      </w:r>
      <w:r w:rsidR="00692D91">
        <w:rPr>
          <w:color w:val="365F91" w:themeColor="accent1" w:themeShade="BF"/>
        </w:rPr>
        <w:t>outlining</w:t>
      </w:r>
      <w:r w:rsidR="00D32281">
        <w:rPr>
          <w:color w:val="365F91" w:themeColor="accent1" w:themeShade="BF"/>
        </w:rPr>
        <w:t xml:space="preserve"> policy interventions including</w:t>
      </w:r>
      <w:r w:rsidR="00225B71">
        <w:rPr>
          <w:color w:val="365F91" w:themeColor="accent1" w:themeShade="BF"/>
        </w:rPr>
        <w:t>:</w:t>
      </w:r>
      <w:r w:rsidR="00D32281">
        <w:rPr>
          <w:color w:val="365F91" w:themeColor="accent1" w:themeShade="BF"/>
        </w:rPr>
        <w:t xml:space="preserve"> </w:t>
      </w:r>
      <w:r w:rsidR="00267DF1">
        <w:rPr>
          <w:color w:val="365F91" w:themeColor="accent1" w:themeShade="BF"/>
        </w:rPr>
        <w:t xml:space="preserve">strengthening </w:t>
      </w:r>
      <w:r w:rsidR="00B26065">
        <w:rPr>
          <w:color w:val="365F91" w:themeColor="accent1" w:themeShade="BF"/>
        </w:rPr>
        <w:t>the</w:t>
      </w:r>
      <w:r w:rsidR="00267DF1">
        <w:rPr>
          <w:color w:val="365F91" w:themeColor="accent1" w:themeShade="BF"/>
        </w:rPr>
        <w:t xml:space="preserve"> criminal justice system</w:t>
      </w:r>
      <w:r w:rsidR="00B26065">
        <w:rPr>
          <w:color w:val="365F91" w:themeColor="accent1" w:themeShade="BF"/>
        </w:rPr>
        <w:t>’s capacity</w:t>
      </w:r>
      <w:r w:rsidR="00267DF1">
        <w:rPr>
          <w:color w:val="365F91" w:themeColor="accent1" w:themeShade="BF"/>
        </w:rPr>
        <w:t xml:space="preserve">, legislative reform, </w:t>
      </w:r>
      <w:r w:rsidR="00267DF1" w:rsidRPr="00225B71">
        <w:rPr>
          <w:color w:val="365F91" w:themeColor="accent1" w:themeShade="BF"/>
        </w:rPr>
        <w:t>changing behaviour and social norms</w:t>
      </w:r>
      <w:r w:rsidR="00225B71" w:rsidRPr="00225B71">
        <w:rPr>
          <w:color w:val="365F91" w:themeColor="accent1" w:themeShade="BF"/>
        </w:rPr>
        <w:t>, strengthening existing response and support services, addressing economic vulnerability and collecting better information.</w:t>
      </w:r>
    </w:p>
    <w:p w14:paraId="32DE0A13" w14:textId="77777777" w:rsidR="00294DBE" w:rsidRDefault="00294DBE" w:rsidP="007E01FA">
      <w:pPr>
        <w:jc w:val="both"/>
        <w:rPr>
          <w:color w:val="365F91" w:themeColor="accent1" w:themeShade="BF"/>
        </w:rPr>
      </w:pPr>
    </w:p>
    <w:p w14:paraId="04210C66" w14:textId="6974FACA" w:rsidR="00E42C8D" w:rsidRPr="004C3DA7" w:rsidRDefault="00071009" w:rsidP="007E01FA">
      <w:pPr>
        <w:jc w:val="both"/>
        <w:rPr>
          <w:color w:val="365F91" w:themeColor="accent1" w:themeShade="BF"/>
        </w:rPr>
      </w:pPr>
      <w:r>
        <w:rPr>
          <w:color w:val="365F91" w:themeColor="accent1" w:themeShade="BF"/>
        </w:rPr>
        <w:t xml:space="preserve">Human Rights Watch has noted that despite the </w:t>
      </w:r>
      <w:r w:rsidR="002C4D32">
        <w:rPr>
          <w:color w:val="365F91" w:themeColor="accent1" w:themeShade="BF"/>
        </w:rPr>
        <w:t>promises of the Plan</w:t>
      </w:r>
      <w:r>
        <w:rPr>
          <w:color w:val="365F91" w:themeColor="accent1" w:themeShade="BF"/>
        </w:rPr>
        <w:t xml:space="preserve">, </w:t>
      </w:r>
      <w:r w:rsidR="0083798A">
        <w:rPr>
          <w:color w:val="365F91" w:themeColor="accent1" w:themeShade="BF"/>
        </w:rPr>
        <w:t>the state has failed to fund shelters</w:t>
      </w:r>
      <w:r w:rsidR="00C21CC4">
        <w:rPr>
          <w:color w:val="365F91" w:themeColor="accent1" w:themeShade="BF"/>
        </w:rPr>
        <w:t xml:space="preserve"> and other crucial services</w:t>
      </w:r>
      <w:r w:rsidR="0083798A">
        <w:rPr>
          <w:color w:val="365F91" w:themeColor="accent1" w:themeShade="BF"/>
        </w:rPr>
        <w:t xml:space="preserve"> for victims of GBV.</w:t>
      </w:r>
      <w:r w:rsidR="00BB3AB2">
        <w:rPr>
          <w:rStyle w:val="FootnoteReference"/>
          <w:color w:val="365F91" w:themeColor="accent1" w:themeShade="BF"/>
        </w:rPr>
        <w:footnoteReference w:id="13"/>
      </w:r>
      <w:r w:rsidR="00611DD2">
        <w:rPr>
          <w:color w:val="365F91" w:themeColor="accent1" w:themeShade="BF"/>
        </w:rPr>
        <w:t xml:space="preserve"> Public health receives generous funding from the sta</w:t>
      </w:r>
      <w:r w:rsidR="00DB1C2B">
        <w:rPr>
          <w:color w:val="365F91" w:themeColor="accent1" w:themeShade="BF"/>
        </w:rPr>
        <w:t>te</w:t>
      </w:r>
      <w:r w:rsidR="00611DD2">
        <w:rPr>
          <w:color w:val="365F91" w:themeColor="accent1" w:themeShade="BF"/>
        </w:rPr>
        <w:t>, but</w:t>
      </w:r>
      <w:r w:rsidR="00DB1C2B">
        <w:rPr>
          <w:color w:val="365F91" w:themeColor="accent1" w:themeShade="BF"/>
        </w:rPr>
        <w:t xml:space="preserve"> corruption</w:t>
      </w:r>
      <w:r w:rsidR="00611DD2">
        <w:rPr>
          <w:color w:val="365F91" w:themeColor="accent1" w:themeShade="BF"/>
        </w:rPr>
        <w:t>, immense demand and widespread disease mean that</w:t>
      </w:r>
      <w:r w:rsidR="002F05AC">
        <w:rPr>
          <w:color w:val="365F91" w:themeColor="accent1" w:themeShade="BF"/>
        </w:rPr>
        <w:t xml:space="preserve"> resources </w:t>
      </w:r>
      <w:r w:rsidR="00F014C3">
        <w:rPr>
          <w:color w:val="365F91" w:themeColor="accent1" w:themeShade="BF"/>
        </w:rPr>
        <w:t>remain</w:t>
      </w:r>
      <w:r w:rsidR="002F05AC">
        <w:rPr>
          <w:color w:val="365F91" w:themeColor="accent1" w:themeShade="BF"/>
        </w:rPr>
        <w:t xml:space="preserve"> </w:t>
      </w:r>
      <w:r w:rsidR="00CF4630">
        <w:rPr>
          <w:color w:val="365F91" w:themeColor="accent1" w:themeShade="BF"/>
        </w:rPr>
        <w:t>sparse</w:t>
      </w:r>
      <w:r w:rsidR="00611DD2">
        <w:rPr>
          <w:color w:val="365F91" w:themeColor="accent1" w:themeShade="BF"/>
        </w:rPr>
        <w:t>.</w:t>
      </w:r>
    </w:p>
    <w:p w14:paraId="748F9085" w14:textId="77777777" w:rsidR="002E0836" w:rsidRPr="00B63693" w:rsidRDefault="002E0836" w:rsidP="00BD5FB6">
      <w:pPr>
        <w:jc w:val="both"/>
      </w:pPr>
    </w:p>
    <w:p w14:paraId="19C4D9DB" w14:textId="77777777" w:rsidR="00902C32" w:rsidRPr="00BD5FB6" w:rsidRDefault="00902C32" w:rsidP="00BD5FB6">
      <w:pPr>
        <w:pStyle w:val="Heading2"/>
        <w:keepNext w:val="0"/>
        <w:keepLines w:val="0"/>
        <w:numPr>
          <w:ilvl w:val="0"/>
          <w:numId w:val="2"/>
        </w:numPr>
        <w:tabs>
          <w:tab w:val="num" w:pos="360"/>
        </w:tabs>
        <w:ind w:left="0" w:firstLine="0"/>
        <w:jc w:val="both"/>
        <w:rPr>
          <w:rFonts w:ascii="Arial" w:hAnsi="Arial" w:cs="Arial"/>
          <w:b/>
          <w:bCs/>
          <w:color w:val="auto"/>
          <w:sz w:val="22"/>
          <w:szCs w:val="22"/>
        </w:rPr>
      </w:pPr>
      <w:r w:rsidRPr="00BD5FB6">
        <w:rPr>
          <w:rFonts w:ascii="Arial" w:hAnsi="Arial" w:cs="Arial"/>
          <w:b/>
          <w:bCs/>
          <w:color w:val="auto"/>
          <w:sz w:val="22"/>
          <w:szCs w:val="22"/>
        </w:rPr>
        <w:t>Training and Education: health care professionals and educational institutions</w:t>
      </w:r>
    </w:p>
    <w:p w14:paraId="2FE65E02" w14:textId="6CF00172"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Are sexual orientation and gender identity, and the specific health needs of persons affected by violence and discrimination based on sexual orientation and gender identity</w:t>
      </w:r>
      <w:r w:rsidR="00564C91">
        <w:rPr>
          <w:rFonts w:ascii="Arial" w:hAnsi="Arial" w:cs="Arial"/>
          <w:color w:val="auto"/>
          <w:sz w:val="22"/>
          <w:szCs w:val="22"/>
        </w:rPr>
        <w:t>,</w:t>
      </w:r>
      <w:r w:rsidRPr="00B63693">
        <w:rPr>
          <w:rFonts w:ascii="Arial" w:hAnsi="Arial" w:cs="Arial"/>
          <w:color w:val="auto"/>
          <w:sz w:val="22"/>
          <w:szCs w:val="22"/>
        </w:rPr>
        <w:t xml:space="preserve"> included in training and education of health care professionals?</w:t>
      </w:r>
    </w:p>
    <w:p w14:paraId="4E745625" w14:textId="77777777" w:rsidR="007E01FA" w:rsidRPr="00BD5FB6" w:rsidRDefault="007E01FA" w:rsidP="00376B24">
      <w:pPr>
        <w:jc w:val="both"/>
      </w:pPr>
    </w:p>
    <w:p w14:paraId="33B13617" w14:textId="4F87E1C8" w:rsidR="00902C32"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 xml:space="preserve">What measures are being taken to provide age-appropriate comprehensive sexuality </w:t>
      </w:r>
      <w:r w:rsidRPr="00E85789">
        <w:rPr>
          <w:rFonts w:ascii="Arial" w:hAnsi="Arial" w:cs="Arial"/>
          <w:color w:val="auto"/>
          <w:sz w:val="22"/>
          <w:szCs w:val="22"/>
        </w:rPr>
        <w:t>education inclusive of sexual and gender diversity in educational institutions?</w:t>
      </w:r>
    </w:p>
    <w:p w14:paraId="2AED9857" w14:textId="77777777" w:rsidR="007E01FA" w:rsidRPr="00BD5FB6" w:rsidRDefault="007E01FA" w:rsidP="00376B24">
      <w:pPr>
        <w:jc w:val="both"/>
      </w:pPr>
    </w:p>
    <w:p w14:paraId="3074CF26" w14:textId="4C9E389D" w:rsidR="00902C32" w:rsidRPr="00E85789"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E85789">
        <w:rPr>
          <w:rFonts w:ascii="Arial" w:hAnsi="Arial" w:cs="Arial"/>
          <w:color w:val="auto"/>
          <w:sz w:val="22"/>
          <w:szCs w:val="22"/>
        </w:rPr>
        <w:t>Are evidence-based and up-to-date guidelines that include SOGI issues available? How are they used to influence health related decisions on policy, programming, services including diagnostic manuals, and practices within the health care institutions?</w:t>
      </w:r>
    </w:p>
    <w:p w14:paraId="6CEEB8CC" w14:textId="1D345B2E" w:rsidR="002E0836" w:rsidRDefault="002E0836" w:rsidP="00BD5FB6">
      <w:pPr>
        <w:jc w:val="both"/>
      </w:pPr>
    </w:p>
    <w:p w14:paraId="409D390E" w14:textId="77777777" w:rsidR="007E01FA" w:rsidRPr="0072239C" w:rsidRDefault="007E01FA" w:rsidP="007E01FA">
      <w:pPr>
        <w:jc w:val="both"/>
        <w:rPr>
          <w:b/>
          <w:bCs/>
          <w:color w:val="365F91" w:themeColor="accent1" w:themeShade="BF"/>
        </w:rPr>
      </w:pPr>
      <w:r w:rsidRPr="0072239C">
        <w:rPr>
          <w:b/>
          <w:bCs/>
          <w:color w:val="365F91" w:themeColor="accent1" w:themeShade="BF"/>
        </w:rPr>
        <w:t>Response</w:t>
      </w:r>
    </w:p>
    <w:p w14:paraId="170EE916" w14:textId="5776521F" w:rsidR="00D413D1" w:rsidRDefault="00F46276" w:rsidP="007E01FA">
      <w:pPr>
        <w:jc w:val="both"/>
        <w:rPr>
          <w:color w:val="365F91" w:themeColor="accent1" w:themeShade="BF"/>
        </w:rPr>
      </w:pPr>
      <w:r w:rsidRPr="00545FFE">
        <w:rPr>
          <w:color w:val="365F91" w:themeColor="accent1" w:themeShade="BF"/>
        </w:rPr>
        <w:t>In 2013</w:t>
      </w:r>
      <w:r w:rsidR="003578CA" w:rsidRPr="00545FFE">
        <w:rPr>
          <w:color w:val="365F91" w:themeColor="accent1" w:themeShade="BF"/>
        </w:rPr>
        <w:t>, the South African Department of Health, South African National AIDS Council</w:t>
      </w:r>
      <w:r w:rsidR="00023E32" w:rsidRPr="00545FFE">
        <w:rPr>
          <w:color w:val="365F91" w:themeColor="accent1" w:themeShade="BF"/>
        </w:rPr>
        <w:t xml:space="preserve"> and</w:t>
      </w:r>
      <w:r w:rsidR="003578CA" w:rsidRPr="00545FFE">
        <w:rPr>
          <w:color w:val="365F91" w:themeColor="accent1" w:themeShade="BF"/>
        </w:rPr>
        <w:t xml:space="preserve"> </w:t>
      </w:r>
      <w:r w:rsidRPr="00545FFE">
        <w:rPr>
          <w:color w:val="365F91" w:themeColor="accent1" w:themeShade="BF"/>
        </w:rPr>
        <w:t xml:space="preserve">several </w:t>
      </w:r>
      <w:r w:rsidR="00023E32" w:rsidRPr="00545FFE">
        <w:rPr>
          <w:color w:val="365F91" w:themeColor="accent1" w:themeShade="BF"/>
        </w:rPr>
        <w:t xml:space="preserve">advocacy </w:t>
      </w:r>
      <w:r w:rsidRPr="00545FFE">
        <w:rPr>
          <w:color w:val="365F91" w:themeColor="accent1" w:themeShade="BF"/>
        </w:rPr>
        <w:t xml:space="preserve">organisations </w:t>
      </w:r>
      <w:r w:rsidR="00C44D7C">
        <w:rPr>
          <w:color w:val="365F91" w:themeColor="accent1" w:themeShade="BF"/>
        </w:rPr>
        <w:t>developed</w:t>
      </w:r>
      <w:r w:rsidRPr="00545FFE">
        <w:rPr>
          <w:color w:val="365F91" w:themeColor="accent1" w:themeShade="BF"/>
        </w:rPr>
        <w:t xml:space="preserve"> </w:t>
      </w:r>
      <w:r w:rsidRPr="002B565D">
        <w:rPr>
          <w:color w:val="365F91" w:themeColor="accent1" w:themeShade="BF"/>
        </w:rPr>
        <w:t>the</w:t>
      </w:r>
      <w:r w:rsidR="006965FC" w:rsidRPr="002B565D">
        <w:rPr>
          <w:color w:val="365F91" w:themeColor="accent1" w:themeShade="BF"/>
        </w:rPr>
        <w:t xml:space="preserve"> Healthcare Provision for MSM, Sex Workers, and PWUD: An Introductory Manual for Healthcare Workers in South Africa</w:t>
      </w:r>
      <w:r w:rsidR="006965FC" w:rsidRPr="00545FFE">
        <w:rPr>
          <w:color w:val="365F91" w:themeColor="accent1" w:themeShade="BF"/>
        </w:rPr>
        <w:t xml:space="preserve">. The </w:t>
      </w:r>
      <w:r w:rsidR="00A20DB2">
        <w:rPr>
          <w:color w:val="365F91" w:themeColor="accent1" w:themeShade="BF"/>
        </w:rPr>
        <w:t>M</w:t>
      </w:r>
      <w:r w:rsidR="006965FC" w:rsidRPr="00545FFE">
        <w:rPr>
          <w:color w:val="365F91" w:themeColor="accent1" w:themeShade="BF"/>
        </w:rPr>
        <w:t xml:space="preserve">anual </w:t>
      </w:r>
      <w:r w:rsidR="00805550">
        <w:rPr>
          <w:color w:val="365F91" w:themeColor="accent1" w:themeShade="BF"/>
        </w:rPr>
        <w:t>discusses</w:t>
      </w:r>
      <w:r w:rsidR="006965FC" w:rsidRPr="00545FFE">
        <w:rPr>
          <w:color w:val="365F91" w:themeColor="accent1" w:themeShade="BF"/>
        </w:rPr>
        <w:t xml:space="preserve"> sexuality</w:t>
      </w:r>
      <w:r w:rsidR="00805550">
        <w:rPr>
          <w:color w:val="365F91" w:themeColor="accent1" w:themeShade="BF"/>
        </w:rPr>
        <w:t>,</w:t>
      </w:r>
      <w:r w:rsidR="006965FC" w:rsidRPr="00545FFE">
        <w:rPr>
          <w:color w:val="365F91" w:themeColor="accent1" w:themeShade="BF"/>
        </w:rPr>
        <w:t xml:space="preserve"> legal context, prejudice</w:t>
      </w:r>
      <w:r w:rsidR="00805550">
        <w:rPr>
          <w:color w:val="365F91" w:themeColor="accent1" w:themeShade="BF"/>
        </w:rPr>
        <w:t>,</w:t>
      </w:r>
      <w:r w:rsidR="006965FC" w:rsidRPr="00545FFE">
        <w:rPr>
          <w:color w:val="365F91" w:themeColor="accent1" w:themeShade="BF"/>
        </w:rPr>
        <w:t xml:space="preserve"> and interventions to foster an enabling healthcare environment. Utilising th</w:t>
      </w:r>
      <w:r w:rsidR="00650022">
        <w:rPr>
          <w:color w:val="365F91" w:themeColor="accent1" w:themeShade="BF"/>
        </w:rPr>
        <w:t>e</w:t>
      </w:r>
      <w:r w:rsidR="006965FC" w:rsidRPr="00545FFE">
        <w:rPr>
          <w:color w:val="365F91" w:themeColor="accent1" w:themeShade="BF"/>
        </w:rPr>
        <w:t xml:space="preserve"> Manual, the Department conducted a one-day training programme for 405 nominated healthcare workers</w:t>
      </w:r>
      <w:r w:rsidR="00023E32" w:rsidRPr="00545FFE">
        <w:rPr>
          <w:color w:val="365F91" w:themeColor="accent1" w:themeShade="BF"/>
        </w:rPr>
        <w:t>.</w:t>
      </w:r>
      <w:r w:rsidR="00CA6074" w:rsidRPr="00545FFE">
        <w:rPr>
          <w:color w:val="365F91" w:themeColor="accent1" w:themeShade="BF"/>
        </w:rPr>
        <w:t xml:space="preserve"> Independent evaluation of the </w:t>
      </w:r>
      <w:r w:rsidR="00B90892">
        <w:rPr>
          <w:color w:val="365F91" w:themeColor="accent1" w:themeShade="BF"/>
        </w:rPr>
        <w:t>p</w:t>
      </w:r>
      <w:r w:rsidR="00CA6074" w:rsidRPr="00545FFE">
        <w:rPr>
          <w:color w:val="365F91" w:themeColor="accent1" w:themeShade="BF"/>
        </w:rPr>
        <w:t>rogramme revealed that it</w:t>
      </w:r>
      <w:r w:rsidR="00583F94">
        <w:rPr>
          <w:color w:val="365F91" w:themeColor="accent1" w:themeShade="BF"/>
        </w:rPr>
        <w:t xml:space="preserve"> </w:t>
      </w:r>
      <w:r w:rsidR="00CA6074" w:rsidRPr="00545FFE">
        <w:rPr>
          <w:color w:val="365F91" w:themeColor="accent1" w:themeShade="BF"/>
        </w:rPr>
        <w:t>increased awareness</w:t>
      </w:r>
      <w:r w:rsidR="00BC70FB" w:rsidRPr="00545FFE">
        <w:rPr>
          <w:color w:val="365F91" w:themeColor="accent1" w:themeShade="BF"/>
        </w:rPr>
        <w:t xml:space="preserve">, empathy, capability and comfort </w:t>
      </w:r>
      <w:r w:rsidR="0096383A">
        <w:rPr>
          <w:color w:val="365F91" w:themeColor="accent1" w:themeShade="BF"/>
        </w:rPr>
        <w:t xml:space="preserve">among healthcare workers </w:t>
      </w:r>
      <w:r w:rsidR="00BC70FB" w:rsidRPr="00545FFE">
        <w:rPr>
          <w:color w:val="365F91" w:themeColor="accent1" w:themeShade="BF"/>
        </w:rPr>
        <w:t>providing services to MSM, sex workers and PWUD.</w:t>
      </w:r>
      <w:r w:rsidR="00BC70FB" w:rsidRPr="00545FFE">
        <w:rPr>
          <w:color w:val="365F91" w:themeColor="accent1" w:themeShade="BF"/>
          <w:vertAlign w:val="superscript"/>
        </w:rPr>
        <w:footnoteReference w:id="14"/>
      </w:r>
      <w:r w:rsidR="00BC70FB" w:rsidRPr="00545FFE">
        <w:rPr>
          <w:color w:val="365F91" w:themeColor="accent1" w:themeShade="BF"/>
        </w:rPr>
        <w:t xml:space="preserve"> However, </w:t>
      </w:r>
      <w:r w:rsidR="00B90892">
        <w:rPr>
          <w:color w:val="365F91" w:themeColor="accent1" w:themeShade="BF"/>
        </w:rPr>
        <w:t xml:space="preserve">the programme </w:t>
      </w:r>
      <w:r w:rsidR="00BC70FB" w:rsidRPr="00545FFE">
        <w:rPr>
          <w:color w:val="365F91" w:themeColor="accent1" w:themeShade="BF"/>
        </w:rPr>
        <w:t>occurred in 2013 among a limited number of healthcare professionals and ought to be rolled out on a grander scale.</w:t>
      </w:r>
    </w:p>
    <w:p w14:paraId="4127D12A" w14:textId="77777777" w:rsidR="001D6D1A" w:rsidRPr="00545FFE" w:rsidRDefault="001D6D1A" w:rsidP="007E01FA">
      <w:pPr>
        <w:jc w:val="both"/>
        <w:rPr>
          <w:color w:val="365F91" w:themeColor="accent1" w:themeShade="BF"/>
        </w:rPr>
      </w:pPr>
    </w:p>
    <w:p w14:paraId="7C9AAAEE" w14:textId="6C48E191" w:rsidR="002E0836" w:rsidRDefault="00DD4A5C" w:rsidP="007E01FA">
      <w:pPr>
        <w:jc w:val="both"/>
        <w:rPr>
          <w:color w:val="365F91" w:themeColor="accent1" w:themeShade="BF"/>
        </w:rPr>
      </w:pPr>
      <w:r w:rsidRPr="000A2A97">
        <w:rPr>
          <w:color w:val="365F91" w:themeColor="accent1" w:themeShade="BF"/>
        </w:rPr>
        <w:t>Comprehensive Sex</w:t>
      </w:r>
      <w:r w:rsidR="002E2E05" w:rsidRPr="000A2A97">
        <w:rPr>
          <w:color w:val="365F91" w:themeColor="accent1" w:themeShade="BF"/>
        </w:rPr>
        <w:t>uality</w:t>
      </w:r>
      <w:r w:rsidRPr="000A2A97">
        <w:rPr>
          <w:color w:val="365F91" w:themeColor="accent1" w:themeShade="BF"/>
        </w:rPr>
        <w:t xml:space="preserve"> Education has been a part of the South African school curriculum since 200</w:t>
      </w:r>
      <w:r w:rsidR="002A4360" w:rsidRPr="000A2A97">
        <w:rPr>
          <w:color w:val="365F91" w:themeColor="accent1" w:themeShade="BF"/>
        </w:rPr>
        <w:t>0</w:t>
      </w:r>
      <w:r w:rsidR="00714270">
        <w:rPr>
          <w:color w:val="365F91" w:themeColor="accent1" w:themeShade="BF"/>
        </w:rPr>
        <w:t xml:space="preserve"> and covers a range of topics</w:t>
      </w:r>
      <w:r w:rsidR="00451FE9">
        <w:rPr>
          <w:color w:val="365F91" w:themeColor="accent1" w:themeShade="BF"/>
        </w:rPr>
        <w:t xml:space="preserve"> </w:t>
      </w:r>
      <w:r w:rsidR="00714270">
        <w:rPr>
          <w:color w:val="365F91" w:themeColor="accent1" w:themeShade="BF"/>
        </w:rPr>
        <w:t xml:space="preserve">including </w:t>
      </w:r>
      <w:r w:rsidR="00B64BEC">
        <w:rPr>
          <w:color w:val="365F91" w:themeColor="accent1" w:themeShade="BF"/>
        </w:rPr>
        <w:t>consent, safe sex, sexuality and gender identity</w:t>
      </w:r>
      <w:r w:rsidRPr="000A2A97">
        <w:rPr>
          <w:color w:val="365F91" w:themeColor="accent1" w:themeShade="BF"/>
        </w:rPr>
        <w:t>.</w:t>
      </w:r>
      <w:r w:rsidR="002E2E05" w:rsidRPr="000A2A97">
        <w:rPr>
          <w:color w:val="365F91" w:themeColor="accent1" w:themeShade="BF"/>
        </w:rPr>
        <w:t xml:space="preserve"> The Department of Education </w:t>
      </w:r>
      <w:r w:rsidR="00B64BEC">
        <w:rPr>
          <w:color w:val="365F91" w:themeColor="accent1" w:themeShade="BF"/>
        </w:rPr>
        <w:t xml:space="preserve">has also </w:t>
      </w:r>
      <w:r w:rsidR="002E2E05" w:rsidRPr="000A2A97">
        <w:rPr>
          <w:color w:val="365F91" w:themeColor="accent1" w:themeShade="BF"/>
        </w:rPr>
        <w:t xml:space="preserve">consulted with a team of </w:t>
      </w:r>
      <w:r w:rsidR="002A4360" w:rsidRPr="000A2A97">
        <w:rPr>
          <w:color w:val="365F91" w:themeColor="accent1" w:themeShade="BF"/>
        </w:rPr>
        <w:t>approximately 100 experts to develop scripted lesson plans, comprehensive textbooks, and teacher training programmes.</w:t>
      </w:r>
      <w:r w:rsidR="001D0409">
        <w:rPr>
          <w:rStyle w:val="FootnoteReference"/>
          <w:color w:val="365F91" w:themeColor="accent1" w:themeShade="BF"/>
        </w:rPr>
        <w:footnoteReference w:id="15"/>
      </w:r>
      <w:r w:rsidR="00E23E92">
        <w:rPr>
          <w:color w:val="365F91" w:themeColor="accent1" w:themeShade="BF"/>
        </w:rPr>
        <w:t xml:space="preserve"> However, researchers report that</w:t>
      </w:r>
      <w:r w:rsidR="0014655E">
        <w:rPr>
          <w:color w:val="365F91" w:themeColor="accent1" w:themeShade="BF"/>
        </w:rPr>
        <w:t>,</w:t>
      </w:r>
      <w:r w:rsidR="00E23E92">
        <w:rPr>
          <w:color w:val="365F91" w:themeColor="accent1" w:themeShade="BF"/>
        </w:rPr>
        <w:t xml:space="preserve"> in practice, teachers approach </w:t>
      </w:r>
      <w:r w:rsidR="00D67465">
        <w:rPr>
          <w:color w:val="365F91" w:themeColor="accent1" w:themeShade="BF"/>
        </w:rPr>
        <w:t>CSE</w:t>
      </w:r>
      <w:r w:rsidR="00E23E92">
        <w:rPr>
          <w:color w:val="365F91" w:themeColor="accent1" w:themeShade="BF"/>
        </w:rPr>
        <w:t xml:space="preserve"> in </w:t>
      </w:r>
      <w:r w:rsidR="00D67465">
        <w:rPr>
          <w:color w:val="365F91" w:themeColor="accent1" w:themeShade="BF"/>
        </w:rPr>
        <w:t xml:space="preserve">a </w:t>
      </w:r>
      <w:r w:rsidR="00E23E92">
        <w:rPr>
          <w:color w:val="365F91" w:themeColor="accent1" w:themeShade="BF"/>
        </w:rPr>
        <w:t>regressive</w:t>
      </w:r>
      <w:r w:rsidR="00D67465">
        <w:rPr>
          <w:color w:val="365F91" w:themeColor="accent1" w:themeShade="BF"/>
        </w:rPr>
        <w:t xml:space="preserve"> manner.</w:t>
      </w:r>
      <w:r w:rsidR="009A165A">
        <w:rPr>
          <w:rStyle w:val="FootnoteReference"/>
          <w:color w:val="365F91" w:themeColor="accent1" w:themeShade="BF"/>
        </w:rPr>
        <w:footnoteReference w:id="16"/>
      </w:r>
    </w:p>
    <w:p w14:paraId="200A67E5" w14:textId="25DE5EDD" w:rsidR="00463B6D" w:rsidRDefault="00463B6D" w:rsidP="007E01FA">
      <w:pPr>
        <w:jc w:val="both"/>
        <w:rPr>
          <w:color w:val="365F91" w:themeColor="accent1" w:themeShade="BF"/>
        </w:rPr>
      </w:pPr>
    </w:p>
    <w:p w14:paraId="27CA024D" w14:textId="71394BE8" w:rsidR="002B565D" w:rsidRPr="002B565D" w:rsidRDefault="002B565D" w:rsidP="007E01FA">
      <w:pPr>
        <w:jc w:val="both"/>
        <w:rPr>
          <w:color w:val="365F91" w:themeColor="accent1" w:themeShade="BF"/>
        </w:rPr>
      </w:pPr>
      <w:r>
        <w:rPr>
          <w:color w:val="365F91" w:themeColor="accent1" w:themeShade="BF"/>
        </w:rPr>
        <w:t xml:space="preserve">The </w:t>
      </w:r>
      <w:r w:rsidRPr="002B565D">
        <w:rPr>
          <w:color w:val="365F91" w:themeColor="accent1" w:themeShade="BF"/>
        </w:rPr>
        <w:t>Healthcare Provision for MSM, Sex Workers, and PWUD</w:t>
      </w:r>
      <w:r>
        <w:rPr>
          <w:color w:val="365F91" w:themeColor="accent1" w:themeShade="BF"/>
        </w:rPr>
        <w:t xml:space="preserve"> and </w:t>
      </w:r>
      <w:r w:rsidRPr="00AA11BC">
        <w:rPr>
          <w:color w:val="365F91" w:themeColor="accent1" w:themeShade="BF"/>
        </w:rPr>
        <w:t>National LGBTI HIV Plan</w:t>
      </w:r>
      <w:r w:rsidR="00C44D7C">
        <w:rPr>
          <w:color w:val="365F91" w:themeColor="accent1" w:themeShade="BF"/>
        </w:rPr>
        <w:t xml:space="preserve"> </w:t>
      </w:r>
      <w:r>
        <w:rPr>
          <w:color w:val="365F91" w:themeColor="accent1" w:themeShade="BF"/>
        </w:rPr>
        <w:t xml:space="preserve">are both useful guidelines on LGBTI+ health related issues. </w:t>
      </w:r>
      <w:r w:rsidR="003416F7">
        <w:rPr>
          <w:color w:val="365F91" w:themeColor="accent1" w:themeShade="BF"/>
        </w:rPr>
        <w:t>T</w:t>
      </w:r>
      <w:r>
        <w:rPr>
          <w:color w:val="365F91" w:themeColor="accent1" w:themeShade="BF"/>
        </w:rPr>
        <w:t xml:space="preserve">he </w:t>
      </w:r>
      <w:r w:rsidRPr="00E568FE">
        <w:rPr>
          <w:color w:val="365F91" w:themeColor="accent1" w:themeShade="BF"/>
        </w:rPr>
        <w:t>Southern African HIV Clinicians Society have released a gender affirming healthcare guideline with the input of members of the LGBTI+ community and medical professionals.</w:t>
      </w:r>
      <w:r w:rsidR="00245EFF" w:rsidRPr="00E568FE">
        <w:rPr>
          <w:color w:val="365F91" w:themeColor="accent1" w:themeShade="BF"/>
          <w:vertAlign w:val="superscript"/>
        </w:rPr>
        <w:footnoteReference w:id="17"/>
      </w:r>
      <w:r w:rsidR="00245EFF" w:rsidRPr="00E568FE">
        <w:rPr>
          <w:color w:val="365F91" w:themeColor="accent1" w:themeShade="BF"/>
        </w:rPr>
        <w:t xml:space="preserve"> While up to date and evidence-based, the impact of these guidelines has not been evaluated.</w:t>
      </w:r>
    </w:p>
    <w:p w14:paraId="0F40F019" w14:textId="77777777" w:rsidR="002E0836" w:rsidRPr="000A2A97" w:rsidRDefault="002E0836" w:rsidP="007E01FA">
      <w:pPr>
        <w:jc w:val="both"/>
        <w:rPr>
          <w:color w:val="365F91" w:themeColor="accent1" w:themeShade="BF"/>
        </w:rPr>
      </w:pPr>
    </w:p>
    <w:p w14:paraId="0C3BA087" w14:textId="77777777" w:rsidR="00902C32" w:rsidRPr="00BD5FB6" w:rsidRDefault="00902C32" w:rsidP="00BD5FB6">
      <w:pPr>
        <w:pStyle w:val="Heading2"/>
        <w:keepNext w:val="0"/>
        <w:keepLines w:val="0"/>
        <w:numPr>
          <w:ilvl w:val="0"/>
          <w:numId w:val="2"/>
        </w:numPr>
        <w:tabs>
          <w:tab w:val="num" w:pos="360"/>
        </w:tabs>
        <w:ind w:left="0" w:firstLine="0"/>
        <w:jc w:val="both"/>
        <w:rPr>
          <w:rFonts w:ascii="Arial" w:hAnsi="Arial" w:cs="Arial"/>
          <w:b/>
          <w:bCs/>
          <w:color w:val="auto"/>
          <w:sz w:val="22"/>
          <w:szCs w:val="22"/>
        </w:rPr>
      </w:pPr>
      <w:r w:rsidRPr="00BD5FB6">
        <w:rPr>
          <w:rFonts w:ascii="Arial" w:hAnsi="Arial" w:cs="Arial"/>
          <w:b/>
          <w:bCs/>
          <w:color w:val="auto"/>
          <w:sz w:val="22"/>
          <w:szCs w:val="22"/>
        </w:rPr>
        <w:t>Sustainable Development Goals</w:t>
      </w:r>
    </w:p>
    <w:p w14:paraId="5BDDDC47" w14:textId="0DC6686E" w:rsidR="00EC7675" w:rsidRDefault="00902C32" w:rsidP="00BD5FB6">
      <w:pPr>
        <w:pStyle w:val="Heading2"/>
        <w:keepNext w:val="0"/>
        <w:keepLines w:val="0"/>
        <w:numPr>
          <w:ilvl w:val="1"/>
          <w:numId w:val="2"/>
        </w:numPr>
        <w:tabs>
          <w:tab w:val="num" w:pos="360"/>
        </w:tabs>
        <w:ind w:left="0" w:firstLine="0"/>
        <w:jc w:val="both"/>
        <w:rPr>
          <w:rFonts w:ascii="Arial" w:hAnsi="Arial" w:cs="Arial"/>
          <w:color w:val="auto"/>
          <w:sz w:val="22"/>
          <w:szCs w:val="22"/>
        </w:rPr>
      </w:pPr>
      <w:r w:rsidRPr="00B63693">
        <w:rPr>
          <w:rFonts w:ascii="Arial" w:hAnsi="Arial" w:cs="Arial"/>
          <w:color w:val="auto"/>
          <w:sz w:val="22"/>
          <w:szCs w:val="22"/>
        </w:rPr>
        <w:t>Where the State measures its progress against SDG3, does it make reference to the health outcomes and needs of persons affected by violence and discrimination based on sexual orientation and gender identity?</w:t>
      </w:r>
    </w:p>
    <w:p w14:paraId="0FA0EF59" w14:textId="77777777" w:rsidR="007E01FA" w:rsidRPr="007E01FA" w:rsidRDefault="007E01FA" w:rsidP="00BD5FB6">
      <w:pPr>
        <w:jc w:val="both"/>
      </w:pPr>
    </w:p>
    <w:p w14:paraId="5805C560" w14:textId="4D529E36" w:rsidR="00902C32" w:rsidRPr="00B63693" w:rsidRDefault="00902C32" w:rsidP="00BD5FB6">
      <w:pPr>
        <w:pStyle w:val="Heading2"/>
        <w:keepNext w:val="0"/>
        <w:keepLines w:val="0"/>
        <w:numPr>
          <w:ilvl w:val="1"/>
          <w:numId w:val="2"/>
        </w:numPr>
        <w:tabs>
          <w:tab w:val="num" w:pos="360"/>
        </w:tabs>
        <w:ind w:left="0" w:firstLine="0"/>
        <w:jc w:val="both"/>
        <w:rPr>
          <w:rFonts w:ascii="Arial" w:hAnsi="Arial" w:cs="Arial"/>
          <w:b/>
          <w:color w:val="auto"/>
          <w:sz w:val="22"/>
          <w:szCs w:val="22"/>
        </w:rPr>
      </w:pPr>
      <w:r w:rsidRPr="00B63693">
        <w:rPr>
          <w:rFonts w:ascii="Arial" w:hAnsi="Arial" w:cs="Arial"/>
          <w:color w:val="auto"/>
          <w:sz w:val="22"/>
          <w:szCs w:val="22"/>
        </w:rPr>
        <w:t>Does the State measure progress against any of the following SDG3 indicators for persons affected by violence and discrimination based on sexual orientation and gender identity? If so, please comment on whether health outcomes are improving or declining:</w:t>
      </w:r>
    </w:p>
    <w:p w14:paraId="7071EB4F"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3.3.1: Number of new HIV infections per 1,000 uninfected population, by sex, age and key populations;</w:t>
      </w:r>
    </w:p>
    <w:p w14:paraId="5D5D2411"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3.4.2: Suicide mortality rate;</w:t>
      </w:r>
    </w:p>
    <w:p w14:paraId="593D8F71"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3.5.1: Coverage of treatment interventions (pharmacological, psychosocial and rehabilitation and aftercare services) for substance use disorders;</w:t>
      </w:r>
    </w:p>
    <w:p w14:paraId="29B4D824"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lastRenderedPageBreak/>
        <w:t xml:space="preserve">Indicator 3.5.2: Harmful use of alcohol, defined according to the national context as alcohol per capita consumption (aged 15 years and older) within a calendar year in </w:t>
      </w:r>
      <w:proofErr w:type="spellStart"/>
      <w:r w:rsidRPr="00B63693">
        <w:rPr>
          <w:rFonts w:ascii="Arial" w:hAnsi="Arial" w:cs="Arial"/>
          <w:sz w:val="22"/>
          <w:szCs w:val="22"/>
        </w:rPr>
        <w:t>litres</w:t>
      </w:r>
      <w:proofErr w:type="spellEnd"/>
      <w:r w:rsidRPr="00B63693">
        <w:rPr>
          <w:rFonts w:ascii="Arial" w:hAnsi="Arial" w:cs="Arial"/>
          <w:sz w:val="22"/>
          <w:szCs w:val="22"/>
        </w:rPr>
        <w:t xml:space="preserve"> of pure alcohol</w:t>
      </w:r>
    </w:p>
    <w:p w14:paraId="19D49ABF"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3.7.1: Proportion of women of reproductive age (aged 15-49 years) who have their need for family planning satisfied with modern methods, including lesbian and bisexual women, and trans persons;</w:t>
      </w:r>
    </w:p>
    <w:p w14:paraId="0C4157AC"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3.7.2: Adolescent birth rate (aged 10-14 years; aged 15-19 years) per 1,000 women and trans men in that age group, particularly among LBT and GNC young individuals;</w:t>
      </w:r>
    </w:p>
    <w:p w14:paraId="41CD237F"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3.8.1: Coverage of essential health services (defined as the average coverage of essential services based on tracer interventions that include reproductive, maternal, newborn and child health, infectious diseases, non-communicable diseases and service capacity and access, among the general and the most disadvantaged population); and</w:t>
      </w:r>
    </w:p>
    <w:p w14:paraId="75D799F2" w14:textId="77777777" w:rsidR="00902C32" w:rsidRPr="00B63693" w:rsidRDefault="00902C32" w:rsidP="00BD5FB6">
      <w:pPr>
        <w:pStyle w:val="ListParagraph"/>
        <w:numPr>
          <w:ilvl w:val="2"/>
          <w:numId w:val="2"/>
        </w:numPr>
        <w:spacing w:after="120" w:line="276" w:lineRule="auto"/>
        <w:ind w:left="1418" w:hanging="284"/>
        <w:contextualSpacing w:val="0"/>
        <w:jc w:val="both"/>
        <w:rPr>
          <w:rFonts w:ascii="Arial" w:hAnsi="Arial" w:cs="Arial"/>
          <w:sz w:val="22"/>
          <w:szCs w:val="22"/>
        </w:rPr>
      </w:pPr>
      <w:r w:rsidRPr="00B63693">
        <w:rPr>
          <w:rFonts w:ascii="Arial" w:hAnsi="Arial" w:cs="Arial"/>
          <w:sz w:val="22"/>
          <w:szCs w:val="22"/>
        </w:rPr>
        <w:t>Indicator 3.8.2: Proportion of population with large household expenditures on health as a share of total household expenditure or income.</w:t>
      </w:r>
    </w:p>
    <w:p w14:paraId="431FE540" w14:textId="66CBE586" w:rsidR="00C66151" w:rsidRDefault="00C66151" w:rsidP="00BD5FB6">
      <w:pPr>
        <w:jc w:val="both"/>
      </w:pPr>
    </w:p>
    <w:p w14:paraId="3EBBC3A2" w14:textId="77777777" w:rsidR="007E01FA" w:rsidRPr="0072239C" w:rsidRDefault="007E01FA" w:rsidP="007E01FA">
      <w:pPr>
        <w:jc w:val="both"/>
        <w:rPr>
          <w:b/>
          <w:bCs/>
          <w:color w:val="365F91" w:themeColor="accent1" w:themeShade="BF"/>
        </w:rPr>
      </w:pPr>
      <w:r w:rsidRPr="0072239C">
        <w:rPr>
          <w:b/>
          <w:bCs/>
          <w:color w:val="365F91" w:themeColor="accent1" w:themeShade="BF"/>
        </w:rPr>
        <w:t>Response</w:t>
      </w:r>
    </w:p>
    <w:p w14:paraId="508150EA" w14:textId="32AF1EB6" w:rsidR="00275FC1" w:rsidRPr="00921414" w:rsidRDefault="002A5810" w:rsidP="00BD5FB6">
      <w:pPr>
        <w:jc w:val="both"/>
        <w:rPr>
          <w:color w:val="365F91" w:themeColor="accent1" w:themeShade="BF"/>
        </w:rPr>
      </w:pPr>
      <w:r w:rsidRPr="00921414">
        <w:rPr>
          <w:color w:val="365F91" w:themeColor="accent1" w:themeShade="BF"/>
        </w:rPr>
        <w:t xml:space="preserve">The </w:t>
      </w:r>
      <w:r w:rsidR="006640FE" w:rsidRPr="00921414">
        <w:rPr>
          <w:color w:val="365F91" w:themeColor="accent1" w:themeShade="BF"/>
        </w:rPr>
        <w:t xml:space="preserve">Department of Statistics records </w:t>
      </w:r>
      <w:r w:rsidR="0049618D" w:rsidRPr="00921414">
        <w:rPr>
          <w:color w:val="365F91" w:themeColor="accent1" w:themeShade="BF"/>
        </w:rPr>
        <w:t xml:space="preserve">the state’s progress </w:t>
      </w:r>
      <w:r w:rsidR="00463E3C" w:rsidRPr="00921414">
        <w:rPr>
          <w:color w:val="365F91" w:themeColor="accent1" w:themeShade="BF"/>
        </w:rPr>
        <w:t xml:space="preserve">in achieving the SDGs </w:t>
      </w:r>
      <w:r w:rsidR="00453A4E" w:rsidRPr="00921414">
        <w:rPr>
          <w:color w:val="365F91" w:themeColor="accent1" w:themeShade="BF"/>
        </w:rPr>
        <w:t>in country reports</w:t>
      </w:r>
      <w:r w:rsidR="00463E3C" w:rsidRPr="00921414">
        <w:rPr>
          <w:color w:val="365F91" w:themeColor="accent1" w:themeShade="BF"/>
        </w:rPr>
        <w:t xml:space="preserve">, the latest of </w:t>
      </w:r>
      <w:r w:rsidR="00DE55BB">
        <w:rPr>
          <w:color w:val="365F91" w:themeColor="accent1" w:themeShade="BF"/>
        </w:rPr>
        <w:t xml:space="preserve">which </w:t>
      </w:r>
      <w:r w:rsidR="003676E1">
        <w:rPr>
          <w:color w:val="365F91" w:themeColor="accent1" w:themeShade="BF"/>
        </w:rPr>
        <w:t>is</w:t>
      </w:r>
      <w:r w:rsidR="00463E3C" w:rsidRPr="00921414">
        <w:rPr>
          <w:color w:val="365F91" w:themeColor="accent1" w:themeShade="BF"/>
        </w:rPr>
        <w:t xml:space="preserve"> </w:t>
      </w:r>
      <w:r w:rsidR="00D423CF" w:rsidRPr="00921414">
        <w:rPr>
          <w:color w:val="365F91" w:themeColor="accent1" w:themeShade="BF"/>
        </w:rPr>
        <w:t xml:space="preserve">the </w:t>
      </w:r>
      <w:r w:rsidR="00D45D8F" w:rsidRPr="00921414">
        <w:rPr>
          <w:color w:val="365F91" w:themeColor="accent1" w:themeShade="BF"/>
        </w:rPr>
        <w:t>Sustainable Development Goals: Country Report 2019</w:t>
      </w:r>
      <w:r w:rsidR="00D423CF" w:rsidRPr="00921414">
        <w:rPr>
          <w:color w:val="365F91" w:themeColor="accent1" w:themeShade="BF"/>
        </w:rPr>
        <w:t>.</w:t>
      </w:r>
      <w:r w:rsidR="00F316EE">
        <w:rPr>
          <w:rStyle w:val="FootnoteReference"/>
          <w:color w:val="365F91" w:themeColor="accent1" w:themeShade="BF"/>
        </w:rPr>
        <w:footnoteReference w:id="18"/>
      </w:r>
      <w:r w:rsidR="00DD5E3F">
        <w:rPr>
          <w:color w:val="365F91" w:themeColor="accent1" w:themeShade="BF"/>
        </w:rPr>
        <w:t xml:space="preserve"> </w:t>
      </w:r>
      <w:r w:rsidR="00F72AD1">
        <w:rPr>
          <w:color w:val="365F91" w:themeColor="accent1" w:themeShade="BF"/>
        </w:rPr>
        <w:t xml:space="preserve">It mentions the LGBTI+ community only in relation to the </w:t>
      </w:r>
      <w:r w:rsidR="00F72AD1" w:rsidRPr="00E1482B">
        <w:rPr>
          <w:color w:val="365F91" w:themeColor="accent1" w:themeShade="BF"/>
        </w:rPr>
        <w:t>National Strategic</w:t>
      </w:r>
      <w:r w:rsidR="00F72AD1" w:rsidRPr="00AA11BC">
        <w:rPr>
          <w:color w:val="365F91" w:themeColor="accent1" w:themeShade="BF"/>
        </w:rPr>
        <w:t xml:space="preserve"> Plan for HIV, TB and STIs</w:t>
      </w:r>
      <w:r w:rsidR="00E1482B">
        <w:rPr>
          <w:color w:val="365F91" w:themeColor="accent1" w:themeShade="BF"/>
        </w:rPr>
        <w:t xml:space="preserve"> and does not </w:t>
      </w:r>
      <w:r w:rsidR="00E1482B" w:rsidRPr="00E1482B">
        <w:rPr>
          <w:color w:val="365F91" w:themeColor="accent1" w:themeShade="BF"/>
        </w:rPr>
        <w:t>measure progress against any of the mentioned SDG3 indicators for persons affected by violence and discrimination based on sexual orientation and gender identity</w:t>
      </w:r>
      <w:r w:rsidR="00F72AD1">
        <w:rPr>
          <w:color w:val="365F91" w:themeColor="accent1" w:themeShade="BF"/>
        </w:rPr>
        <w:t>.</w:t>
      </w:r>
    </w:p>
    <w:p w14:paraId="6DB18037" w14:textId="77777777" w:rsidR="00275FC1" w:rsidRPr="00921414" w:rsidRDefault="00275FC1" w:rsidP="00BD5FB6">
      <w:pPr>
        <w:jc w:val="both"/>
        <w:rPr>
          <w:color w:val="365F91" w:themeColor="accent1" w:themeShade="BF"/>
        </w:rPr>
      </w:pPr>
    </w:p>
    <w:p w14:paraId="6152A6BD" w14:textId="3FC900B2" w:rsidR="00C66151" w:rsidRPr="00921414" w:rsidRDefault="00C66151" w:rsidP="00BD5FB6">
      <w:pPr>
        <w:jc w:val="both"/>
        <w:rPr>
          <w:color w:val="365F91" w:themeColor="accent1" w:themeShade="BF"/>
        </w:rPr>
      </w:pPr>
      <w:r w:rsidRPr="00921414">
        <w:rPr>
          <w:color w:val="365F91" w:themeColor="accent1" w:themeShade="BF"/>
        </w:rPr>
        <w:t>For more information, please do not hesitate to contact us:</w:t>
      </w:r>
    </w:p>
    <w:p w14:paraId="3AD37B2D" w14:textId="77777777" w:rsidR="00C66151" w:rsidRPr="00921414" w:rsidRDefault="00C66151" w:rsidP="00BD5FB6">
      <w:pPr>
        <w:jc w:val="both"/>
        <w:rPr>
          <w:color w:val="365F91" w:themeColor="accent1" w:themeShade="BF"/>
        </w:rPr>
      </w:pPr>
    </w:p>
    <w:p w14:paraId="5E293102" w14:textId="6C886AF1" w:rsidR="00C66151" w:rsidRPr="00921414" w:rsidRDefault="00C66151" w:rsidP="00BD5FB6">
      <w:pPr>
        <w:jc w:val="both"/>
        <w:rPr>
          <w:color w:val="365F91" w:themeColor="accent1" w:themeShade="BF"/>
        </w:rPr>
      </w:pPr>
      <w:r w:rsidRPr="00921414">
        <w:rPr>
          <w:color w:val="365F91" w:themeColor="accent1" w:themeShade="BF"/>
        </w:rPr>
        <w:t>Prof Frans Viljoen</w:t>
      </w:r>
    </w:p>
    <w:p w14:paraId="6D49F463" w14:textId="25A65748" w:rsidR="00C66151" w:rsidRPr="00921414" w:rsidRDefault="00C66151" w:rsidP="00BD5FB6">
      <w:pPr>
        <w:jc w:val="both"/>
        <w:rPr>
          <w:color w:val="365F91" w:themeColor="accent1" w:themeShade="BF"/>
        </w:rPr>
      </w:pPr>
      <w:r w:rsidRPr="00921414">
        <w:rPr>
          <w:color w:val="365F91" w:themeColor="accent1" w:themeShade="BF"/>
        </w:rPr>
        <w:t>Director</w:t>
      </w:r>
    </w:p>
    <w:p w14:paraId="493171ED" w14:textId="69EB00C0" w:rsidR="00C66151" w:rsidRPr="00921414" w:rsidRDefault="00C66151" w:rsidP="00BD5FB6">
      <w:pPr>
        <w:jc w:val="both"/>
        <w:rPr>
          <w:color w:val="365F91" w:themeColor="accent1" w:themeShade="BF"/>
        </w:rPr>
      </w:pPr>
      <w:r w:rsidRPr="00921414">
        <w:rPr>
          <w:color w:val="365F91" w:themeColor="accent1" w:themeShade="BF"/>
        </w:rPr>
        <w:t>Centre for Human Rights</w:t>
      </w:r>
    </w:p>
    <w:p w14:paraId="08EC6399" w14:textId="1571F7B7" w:rsidR="00C66151" w:rsidRPr="00921414" w:rsidRDefault="00C66151" w:rsidP="00BD5FB6">
      <w:pPr>
        <w:jc w:val="both"/>
        <w:rPr>
          <w:color w:val="365F91" w:themeColor="accent1" w:themeShade="BF"/>
        </w:rPr>
      </w:pPr>
      <w:r w:rsidRPr="00921414">
        <w:rPr>
          <w:color w:val="365F91" w:themeColor="accent1" w:themeShade="BF"/>
        </w:rPr>
        <w:t>Frans.Viljoen@up.ac.za</w:t>
      </w:r>
    </w:p>
    <w:p w14:paraId="0119A933" w14:textId="04A5FA32" w:rsidR="00766486" w:rsidRPr="00921414" w:rsidRDefault="00766486" w:rsidP="007E01FA">
      <w:pPr>
        <w:jc w:val="both"/>
        <w:rPr>
          <w:color w:val="365F91" w:themeColor="accent1" w:themeShade="BF"/>
        </w:rPr>
      </w:pPr>
    </w:p>
    <w:sectPr w:rsidR="00766486" w:rsidRPr="00921414">
      <w:footerReference w:type="default" r:id="rId8"/>
      <w:headerReference w:type="first" r:id="rId9"/>
      <w:footerReference w:type="first" r:id="rId10"/>
      <w:pgSz w:w="11906" w:h="16838"/>
      <w:pgMar w:top="1440" w:right="991" w:bottom="1440" w:left="993"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FC154" w14:textId="77777777" w:rsidR="00C26A9D" w:rsidRDefault="00C26A9D">
      <w:r>
        <w:separator/>
      </w:r>
    </w:p>
  </w:endnote>
  <w:endnote w:type="continuationSeparator" w:id="0">
    <w:p w14:paraId="192B03B8" w14:textId="77777777" w:rsidR="00C26A9D" w:rsidRDefault="00C26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E8F5F" w14:textId="77777777" w:rsidR="00766486" w:rsidRDefault="00936DA0">
    <w:pPr>
      <w:pStyle w:val="Footer"/>
      <w:tabs>
        <w:tab w:val="clear" w:pos="4513"/>
        <w:tab w:val="clear" w:pos="9026"/>
        <w:tab w:val="left" w:pos="1785"/>
      </w:tabs>
      <w:rPr>
        <w:color w:val="ED1A3B"/>
      </w:rPr>
    </w:pPr>
    <w:r>
      <w:rPr>
        <w:noProof/>
        <w:color w:val="ED1A3B"/>
        <w:sz w:val="16"/>
        <w:szCs w:val="16"/>
        <w:lang w:val="en-US"/>
      </w:rPr>
      <w:drawing>
        <wp:anchor distT="0" distB="0" distL="114300" distR="114300" simplePos="0" relativeHeight="251687424" behindDoc="1" locked="0" layoutInCell="1" allowOverlap="1" wp14:anchorId="07E78F5A" wp14:editId="59731635">
          <wp:simplePos x="0" y="0"/>
          <wp:positionH relativeFrom="column">
            <wp:posOffset>-629920</wp:posOffset>
          </wp:positionH>
          <wp:positionV relativeFrom="paragraph">
            <wp:posOffset>-156845</wp:posOffset>
          </wp:positionV>
          <wp:extent cx="7576820" cy="629285"/>
          <wp:effectExtent l="0" t="0" r="5080" b="0"/>
          <wp:wrapThrough wrapText="bothSides">
            <wp:wrapPolygon edited="0">
              <wp:start x="0" y="0"/>
              <wp:lineTo x="0" y="20924"/>
              <wp:lineTo x="21560" y="20924"/>
              <wp:lineTo x="2156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6820" cy="629285"/>
                  </a:xfrm>
                  <a:prstGeom prst="rect">
                    <a:avLst/>
                  </a:prstGeom>
                </pic:spPr>
              </pic:pic>
            </a:graphicData>
          </a:graphic>
          <wp14:sizeRelH relativeFrom="page">
            <wp14:pctWidth>0</wp14:pctWidth>
          </wp14:sizeRelH>
          <wp14:sizeRelV relativeFrom="page">
            <wp14:pctHeight>0</wp14:pctHeight>
          </wp14:sizeRelV>
        </wp:anchor>
      </w:drawing>
    </w: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Pr>
                <w:color w:val="ED1A3B"/>
                <w:sz w:val="16"/>
                <w:szCs w:val="16"/>
              </w:rPr>
              <w:t xml:space="preserve">Page </w:t>
            </w:r>
            <w:r>
              <w:rPr>
                <w:b/>
                <w:bCs/>
                <w:noProof/>
                <w:color w:val="ED1A3B"/>
                <w:sz w:val="16"/>
                <w:szCs w:val="16"/>
              </w:rPr>
              <w:t>2</w:t>
            </w:r>
            <w:r>
              <w:rPr>
                <w:color w:val="ED1A3B"/>
                <w:sz w:val="16"/>
                <w:szCs w:val="16"/>
              </w:rPr>
              <w:t xml:space="preserve"> of </w:t>
            </w:r>
            <w:r>
              <w:rPr>
                <w:b/>
                <w:bCs/>
                <w:noProof/>
                <w:color w:val="ED1A3B"/>
                <w:sz w:val="16"/>
                <w:szCs w:val="16"/>
              </w:rPr>
              <w:t>2</w:t>
            </w:r>
          </w:sdtContent>
        </w:sdt>
      </w:sdtContent>
    </w:sdt>
    <w:r>
      <w:rPr>
        <w:color w:val="ED1A3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3937" w14:textId="77777777" w:rsidR="00766486" w:rsidRDefault="00936DA0">
    <w:pPr>
      <w:pStyle w:val="Footer"/>
      <w:jc w:val="both"/>
    </w:pPr>
    <w:r>
      <w:rPr>
        <w:noProof/>
        <w:lang w:val="en-US"/>
      </w:rPr>
      <w:drawing>
        <wp:anchor distT="0" distB="0" distL="114300" distR="114300" simplePos="0" relativeHeight="251686400" behindDoc="1" locked="0" layoutInCell="1" allowOverlap="1" wp14:anchorId="5B991861" wp14:editId="1B492EC9">
          <wp:simplePos x="0" y="0"/>
          <wp:positionH relativeFrom="column">
            <wp:posOffset>-630555</wp:posOffset>
          </wp:positionH>
          <wp:positionV relativeFrom="paragraph">
            <wp:posOffset>-1208405</wp:posOffset>
          </wp:positionV>
          <wp:extent cx="7580630" cy="1732280"/>
          <wp:effectExtent l="0" t="0" r="1270" b="1270"/>
          <wp:wrapThrough wrapText="bothSides">
            <wp:wrapPolygon edited="0">
              <wp:start x="0" y="0"/>
              <wp:lineTo x="0" y="21378"/>
              <wp:lineTo x="21549" y="21378"/>
              <wp:lineTo x="2154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2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064" behindDoc="1" locked="0" layoutInCell="1" allowOverlap="1" wp14:anchorId="61949DEC" wp14:editId="1D7B5CD3">
          <wp:simplePos x="0" y="0"/>
          <wp:positionH relativeFrom="column">
            <wp:posOffset>-32385</wp:posOffset>
          </wp:positionH>
          <wp:positionV relativeFrom="paragraph">
            <wp:posOffset>9526905</wp:posOffset>
          </wp:positionV>
          <wp:extent cx="7637145" cy="1212215"/>
          <wp:effectExtent l="0" t="0" r="1905" b="6985"/>
          <wp:wrapNone/>
          <wp:docPr id="17" name="Picture 17"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896" behindDoc="1" locked="0" layoutInCell="1" allowOverlap="1" wp14:anchorId="20A4C852" wp14:editId="6CA5B812">
          <wp:simplePos x="0" y="0"/>
          <wp:positionH relativeFrom="column">
            <wp:posOffset>-32385</wp:posOffset>
          </wp:positionH>
          <wp:positionV relativeFrom="paragraph">
            <wp:posOffset>9526905</wp:posOffset>
          </wp:positionV>
          <wp:extent cx="7637145" cy="1212215"/>
          <wp:effectExtent l="0" t="0" r="1905" b="6985"/>
          <wp:wrapNone/>
          <wp:docPr id="18" name="Picture 18"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0" layoutInCell="1" allowOverlap="1" wp14:anchorId="2C9372EA" wp14:editId="2FAC55E6">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BCEA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1E94B587"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4A04C2BD"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3AFA1D1"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73DFA64A"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65FB5D24" w14:textId="77777777" w:rsidR="00766486" w:rsidRDefault="00766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C9372EA"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LS8gEAAMsDAAAOAAAAZHJzL2Uyb0RvYy54bWysU9tu2zAMfR+wfxD0vjjOsmY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" stroked="f">
              <v:textbox>
                <w:txbxContent>
                  <w:p w14:paraId="2FDBCEA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1E94B587"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4A04C2BD"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3AFA1D1"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73DFA64A"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65FB5D24" w14:textId="77777777" w:rsidR="00766486" w:rsidRDefault="00766486"/>
                </w:txbxContent>
              </v:textbox>
            </v:shape>
          </w:pict>
        </mc:Fallback>
      </mc:AlternateContent>
    </w:r>
    <w:r>
      <w:rPr>
        <w:noProof/>
        <w:lang w:val="en-US"/>
      </w:rPr>
      <mc:AlternateContent>
        <mc:Choice Requires="wps">
          <w:drawing>
            <wp:anchor distT="0" distB="0" distL="114300" distR="114300" simplePos="0" relativeHeight="251642368" behindDoc="0" locked="0" layoutInCell="1" allowOverlap="1" wp14:anchorId="016818B3" wp14:editId="11882ABA">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D309C"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24DE996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0AB0D2C0"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C91D5A9"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41BE79E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43586884" w14:textId="77777777" w:rsidR="00766486" w:rsidRDefault="00766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16818B3"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" stroked="f">
              <v:textbox>
                <w:txbxContent>
                  <w:p w14:paraId="321D309C"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Tel +27 (0)12 420 4111 </w:t>
                    </w:r>
                  </w:p>
                  <w:p w14:paraId="24DE996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Fax +27 (0)12 420 4555</w:t>
                    </w:r>
                  </w:p>
                  <w:p w14:paraId="0AB0D2C0"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www.up.ac.za</w:t>
                    </w:r>
                  </w:p>
                  <w:p w14:paraId="3C91D5A9"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 xml:space="preserve">University of Pretoria, Private Bag X20, </w:t>
                    </w:r>
                  </w:p>
                  <w:p w14:paraId="41BE79EE" w14:textId="77777777" w:rsidR="00766486" w:rsidRDefault="00936DA0">
                    <w:pPr>
                      <w:pStyle w:val="BasicParagraph"/>
                      <w:rPr>
                        <w:rFonts w:ascii="Arial" w:hAnsi="Arial" w:cs="Arial"/>
                        <w:color w:val="005BAA"/>
                        <w:sz w:val="16"/>
                        <w:szCs w:val="16"/>
                      </w:rPr>
                    </w:pPr>
                    <w:r>
                      <w:rPr>
                        <w:rFonts w:ascii="Arial" w:hAnsi="Arial" w:cs="Arial"/>
                        <w:color w:val="005BAA"/>
                        <w:sz w:val="16"/>
                        <w:szCs w:val="16"/>
                      </w:rPr>
                      <w:t>Hatfield, 0028, South Africa</w:t>
                    </w:r>
                  </w:p>
                  <w:p w14:paraId="43586884" w14:textId="77777777" w:rsidR="00766486" w:rsidRDefault="0076648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FF909" w14:textId="77777777" w:rsidR="00C26A9D" w:rsidRDefault="00C26A9D">
      <w:r>
        <w:separator/>
      </w:r>
    </w:p>
  </w:footnote>
  <w:footnote w:type="continuationSeparator" w:id="0">
    <w:p w14:paraId="4425E370" w14:textId="77777777" w:rsidR="00C26A9D" w:rsidRDefault="00C26A9D">
      <w:r>
        <w:continuationSeparator/>
      </w:r>
    </w:p>
  </w:footnote>
  <w:footnote w:id="1">
    <w:p w14:paraId="6BE30C04" w14:textId="40EA5FA3" w:rsidR="009939D5" w:rsidRPr="004B2827" w:rsidRDefault="009939D5" w:rsidP="004B2827">
      <w:pPr>
        <w:pStyle w:val="FootnoteText"/>
        <w:jc w:val="both"/>
        <w:rPr>
          <w:rFonts w:ascii="Arial" w:hAnsi="Arial" w:cs="Arial"/>
          <w:sz w:val="18"/>
          <w:szCs w:val="18"/>
          <w:lang w:val="en-GB"/>
        </w:rPr>
      </w:pPr>
      <w:r w:rsidRPr="004B2827">
        <w:rPr>
          <w:rStyle w:val="FootnoteReference"/>
          <w:rFonts w:ascii="Arial" w:hAnsi="Arial" w:cs="Arial"/>
          <w:sz w:val="18"/>
          <w:szCs w:val="18"/>
        </w:rPr>
        <w:footnoteRef/>
      </w:r>
      <w:r w:rsidRPr="004B2827">
        <w:rPr>
          <w:rFonts w:ascii="Arial" w:hAnsi="Arial" w:cs="Arial"/>
          <w:sz w:val="18"/>
          <w:szCs w:val="18"/>
        </w:rPr>
        <w:t xml:space="preserve"> </w:t>
      </w:r>
      <w:r w:rsidR="006A24A0" w:rsidRPr="004B2827">
        <w:rPr>
          <w:rFonts w:ascii="Arial" w:hAnsi="Arial" w:cs="Arial"/>
          <w:sz w:val="18"/>
          <w:szCs w:val="18"/>
          <w:lang w:val="en-GB"/>
        </w:rPr>
        <w:t>Statistics South Africa</w:t>
      </w:r>
      <w:r w:rsidR="00F52899" w:rsidRPr="004B2827">
        <w:rPr>
          <w:rFonts w:ascii="Arial" w:hAnsi="Arial" w:cs="Arial"/>
          <w:sz w:val="18"/>
          <w:szCs w:val="18"/>
          <w:lang w:val="en-GB"/>
        </w:rPr>
        <w:t>,</w:t>
      </w:r>
      <w:r w:rsidR="006A24A0" w:rsidRPr="004B2827">
        <w:rPr>
          <w:rFonts w:ascii="Arial" w:hAnsi="Arial" w:cs="Arial"/>
          <w:sz w:val="18"/>
          <w:szCs w:val="18"/>
          <w:lang w:val="en-GB"/>
        </w:rPr>
        <w:t xml:space="preserve"> </w:t>
      </w:r>
      <w:r w:rsidR="007E01FA">
        <w:rPr>
          <w:rFonts w:ascii="Arial" w:hAnsi="Arial" w:cs="Arial"/>
          <w:sz w:val="18"/>
          <w:szCs w:val="18"/>
          <w:lang w:val="en-GB"/>
        </w:rPr>
        <w:t>‘</w:t>
      </w:r>
      <w:r w:rsidR="006A24A0" w:rsidRPr="004B2827">
        <w:rPr>
          <w:rFonts w:ascii="Arial" w:hAnsi="Arial" w:cs="Arial"/>
          <w:sz w:val="18"/>
          <w:szCs w:val="18"/>
          <w:lang w:val="en-GB"/>
        </w:rPr>
        <w:t>General Household Survey</w:t>
      </w:r>
      <w:r w:rsidR="007E01FA">
        <w:rPr>
          <w:rFonts w:ascii="Arial" w:hAnsi="Arial" w:cs="Arial"/>
          <w:sz w:val="18"/>
          <w:szCs w:val="18"/>
          <w:lang w:val="en-GB"/>
        </w:rPr>
        <w:t>’</w:t>
      </w:r>
      <w:r w:rsidR="006A24A0" w:rsidRPr="004B2827">
        <w:rPr>
          <w:rFonts w:ascii="Arial" w:hAnsi="Arial" w:cs="Arial"/>
          <w:sz w:val="18"/>
          <w:szCs w:val="18"/>
          <w:lang w:val="en-GB"/>
        </w:rPr>
        <w:t xml:space="preserve"> (2020)</w:t>
      </w:r>
      <w:r w:rsidR="00491BD6" w:rsidRPr="004B2827">
        <w:rPr>
          <w:rFonts w:ascii="Arial" w:hAnsi="Arial" w:cs="Arial"/>
          <w:sz w:val="18"/>
          <w:szCs w:val="18"/>
          <w:lang w:val="en-GB"/>
        </w:rPr>
        <w:t xml:space="preserve"> at 23-4. Available at</w:t>
      </w:r>
      <w:r w:rsidR="00B6636A" w:rsidRPr="004B2827">
        <w:rPr>
          <w:rFonts w:ascii="Arial" w:hAnsi="Arial" w:cs="Arial"/>
          <w:sz w:val="18"/>
          <w:szCs w:val="18"/>
          <w:lang w:val="en-GB"/>
        </w:rPr>
        <w:t>:</w:t>
      </w:r>
      <w:r w:rsidR="00491BD6" w:rsidRPr="004B2827">
        <w:rPr>
          <w:rFonts w:ascii="Arial" w:hAnsi="Arial" w:cs="Arial"/>
          <w:sz w:val="18"/>
          <w:szCs w:val="18"/>
          <w:lang w:val="en-GB"/>
        </w:rPr>
        <w:t xml:space="preserve"> </w:t>
      </w:r>
      <w:hyperlink r:id="rId1" w:history="1">
        <w:r w:rsidR="00491BD6" w:rsidRPr="004B2827">
          <w:rPr>
            <w:rStyle w:val="Hyperlink"/>
            <w:rFonts w:ascii="Arial" w:hAnsi="Arial" w:cs="Arial"/>
            <w:sz w:val="18"/>
            <w:szCs w:val="18"/>
            <w:lang w:val="en-GB"/>
          </w:rPr>
          <w:t>http://www.statssa.gov.za/publications/P0318/P03182020.pdf</w:t>
        </w:r>
      </w:hyperlink>
      <w:r w:rsidR="00B6636A" w:rsidRPr="004B2827">
        <w:rPr>
          <w:rFonts w:ascii="Arial" w:hAnsi="Arial" w:cs="Arial"/>
          <w:sz w:val="18"/>
          <w:szCs w:val="18"/>
          <w:lang w:val="en-GB"/>
        </w:rPr>
        <w:t>.</w:t>
      </w:r>
    </w:p>
  </w:footnote>
  <w:footnote w:id="2">
    <w:p w14:paraId="51A452D6" w14:textId="6DFB257D" w:rsidR="00517EBD" w:rsidRPr="004B2827" w:rsidRDefault="00517EBD" w:rsidP="004B2827">
      <w:pPr>
        <w:pStyle w:val="FootnoteText"/>
        <w:jc w:val="both"/>
        <w:rPr>
          <w:rFonts w:ascii="Arial" w:hAnsi="Arial" w:cs="Arial"/>
          <w:sz w:val="18"/>
          <w:szCs w:val="18"/>
          <w:lang w:val="en-GB"/>
        </w:rPr>
      </w:pPr>
      <w:r w:rsidRPr="004B2827">
        <w:rPr>
          <w:rStyle w:val="FootnoteReference"/>
          <w:rFonts w:ascii="Arial" w:hAnsi="Arial" w:cs="Arial"/>
          <w:sz w:val="18"/>
          <w:szCs w:val="18"/>
        </w:rPr>
        <w:footnoteRef/>
      </w:r>
      <w:r w:rsidRPr="004B2827">
        <w:rPr>
          <w:rFonts w:ascii="Arial" w:hAnsi="Arial" w:cs="Arial"/>
          <w:sz w:val="18"/>
          <w:szCs w:val="18"/>
        </w:rPr>
        <w:t xml:space="preserve"> </w:t>
      </w:r>
      <w:r w:rsidRPr="004B2827">
        <w:rPr>
          <w:rFonts w:ascii="Arial" w:hAnsi="Arial" w:cs="Arial"/>
          <w:sz w:val="18"/>
          <w:szCs w:val="18"/>
          <w:lang w:val="en-GB"/>
        </w:rPr>
        <w:t xml:space="preserve">Available at: </w:t>
      </w:r>
      <w:hyperlink r:id="rId2" w:history="1">
        <w:r w:rsidR="008C4C8F" w:rsidRPr="004B2827">
          <w:rPr>
            <w:rStyle w:val="Hyperlink"/>
            <w:rFonts w:ascii="Arial" w:hAnsi="Arial" w:cs="Arial"/>
            <w:sz w:val="18"/>
            <w:szCs w:val="18"/>
            <w:lang w:val="en-GB"/>
          </w:rPr>
          <w:t>https://aidsinfo.unaids.org/</w:t>
        </w:r>
      </w:hyperlink>
      <w:r w:rsidR="008C4C8F" w:rsidRPr="004B2827">
        <w:rPr>
          <w:rFonts w:ascii="Arial" w:hAnsi="Arial" w:cs="Arial"/>
          <w:sz w:val="18"/>
          <w:szCs w:val="18"/>
          <w:lang w:val="en-GB"/>
        </w:rPr>
        <w:t>.</w:t>
      </w:r>
    </w:p>
  </w:footnote>
  <w:footnote w:id="3">
    <w:p w14:paraId="55B10BA1" w14:textId="0D958FDB" w:rsidR="00F52899" w:rsidRPr="004B2827" w:rsidRDefault="00F52899" w:rsidP="004B2827">
      <w:pPr>
        <w:pStyle w:val="FootnoteText"/>
        <w:jc w:val="both"/>
        <w:rPr>
          <w:rFonts w:ascii="Arial" w:hAnsi="Arial" w:cs="Arial"/>
          <w:sz w:val="18"/>
          <w:szCs w:val="18"/>
        </w:rPr>
      </w:pPr>
      <w:r w:rsidRPr="004B2827">
        <w:rPr>
          <w:rStyle w:val="FootnoteReference"/>
          <w:rFonts w:ascii="Arial" w:hAnsi="Arial" w:cs="Arial"/>
          <w:sz w:val="18"/>
          <w:szCs w:val="18"/>
        </w:rPr>
        <w:footnoteRef/>
      </w:r>
      <w:r w:rsidRPr="004B2827">
        <w:rPr>
          <w:rFonts w:ascii="Arial" w:hAnsi="Arial" w:cs="Arial"/>
          <w:sz w:val="18"/>
          <w:szCs w:val="18"/>
        </w:rPr>
        <w:t xml:space="preserve"> </w:t>
      </w:r>
      <w:r w:rsidR="007E01FA">
        <w:rPr>
          <w:rFonts w:ascii="Arial" w:hAnsi="Arial" w:cs="Arial"/>
          <w:sz w:val="18"/>
          <w:szCs w:val="18"/>
        </w:rPr>
        <w:t xml:space="preserve">TGM </w:t>
      </w:r>
      <w:proofErr w:type="spellStart"/>
      <w:r w:rsidRPr="004B2827">
        <w:rPr>
          <w:rFonts w:ascii="Arial" w:hAnsi="Arial" w:cs="Arial"/>
          <w:sz w:val="18"/>
          <w:szCs w:val="18"/>
        </w:rPr>
        <w:t>Sandfort</w:t>
      </w:r>
      <w:proofErr w:type="spellEnd"/>
      <w:r w:rsidRPr="004B2827">
        <w:rPr>
          <w:rFonts w:ascii="Arial" w:hAnsi="Arial" w:cs="Arial"/>
          <w:sz w:val="18"/>
          <w:szCs w:val="18"/>
        </w:rPr>
        <w:t xml:space="preserve"> et al, </w:t>
      </w:r>
      <w:r w:rsidR="007E01FA">
        <w:rPr>
          <w:rFonts w:ascii="Arial" w:hAnsi="Arial" w:cs="Arial"/>
          <w:sz w:val="18"/>
          <w:szCs w:val="18"/>
        </w:rPr>
        <w:t>‘</w:t>
      </w:r>
      <w:r w:rsidRPr="004B2827">
        <w:rPr>
          <w:rFonts w:ascii="Arial" w:hAnsi="Arial" w:cs="Arial"/>
          <w:sz w:val="18"/>
          <w:szCs w:val="18"/>
        </w:rPr>
        <w:t>Forced sexual experiences as risk factor for self-reported HIV infection among Southern African lesbian and bisexual women</w:t>
      </w:r>
      <w:r w:rsidR="007E01FA">
        <w:rPr>
          <w:rFonts w:ascii="Arial" w:hAnsi="Arial" w:cs="Arial"/>
          <w:sz w:val="18"/>
          <w:szCs w:val="18"/>
        </w:rPr>
        <w:t>’</w:t>
      </w:r>
      <w:r w:rsidR="008F7330" w:rsidRPr="004B2827">
        <w:rPr>
          <w:rFonts w:ascii="Arial" w:hAnsi="Arial" w:cs="Arial"/>
          <w:sz w:val="18"/>
          <w:szCs w:val="18"/>
        </w:rPr>
        <w:t xml:space="preserve"> (2013)</w:t>
      </w:r>
      <w:r w:rsidRPr="004B2827">
        <w:rPr>
          <w:rFonts w:ascii="Arial" w:hAnsi="Arial" w:cs="Arial"/>
          <w:sz w:val="18"/>
          <w:szCs w:val="18"/>
        </w:rPr>
        <w:t xml:space="preserve"> </w:t>
      </w:r>
      <w:proofErr w:type="spellStart"/>
      <w:r w:rsidRPr="004B2827">
        <w:rPr>
          <w:rFonts w:ascii="Arial" w:hAnsi="Arial" w:cs="Arial"/>
          <w:i/>
          <w:iCs/>
          <w:sz w:val="18"/>
          <w:szCs w:val="18"/>
        </w:rPr>
        <w:t>PLoS</w:t>
      </w:r>
      <w:proofErr w:type="spellEnd"/>
      <w:r w:rsidRPr="004B2827">
        <w:rPr>
          <w:rFonts w:ascii="Arial" w:hAnsi="Arial" w:cs="Arial"/>
          <w:i/>
          <w:iCs/>
          <w:sz w:val="18"/>
          <w:szCs w:val="18"/>
        </w:rPr>
        <w:t xml:space="preserve"> One</w:t>
      </w:r>
      <w:r w:rsidR="007E1065" w:rsidRPr="004B2827">
        <w:rPr>
          <w:rFonts w:ascii="Arial" w:hAnsi="Arial" w:cs="Arial"/>
          <w:sz w:val="18"/>
          <w:szCs w:val="18"/>
        </w:rPr>
        <w:t xml:space="preserve">. Available at: </w:t>
      </w:r>
      <w:hyperlink r:id="rId3" w:history="1">
        <w:r w:rsidR="009C505A" w:rsidRPr="004B2827">
          <w:rPr>
            <w:rStyle w:val="Hyperlink"/>
            <w:rFonts w:ascii="Arial" w:hAnsi="Arial" w:cs="Arial"/>
            <w:sz w:val="18"/>
            <w:szCs w:val="18"/>
          </w:rPr>
          <w:t>https://journals.plos.org/plosone/article?id=10.1371/journal.pone.0053552</w:t>
        </w:r>
      </w:hyperlink>
      <w:r w:rsidR="009C505A" w:rsidRPr="004B2827">
        <w:rPr>
          <w:rFonts w:ascii="Arial" w:hAnsi="Arial" w:cs="Arial"/>
          <w:sz w:val="18"/>
          <w:szCs w:val="18"/>
        </w:rPr>
        <w:t xml:space="preserve">. </w:t>
      </w:r>
    </w:p>
  </w:footnote>
  <w:footnote w:id="4">
    <w:p w14:paraId="35CEF163" w14:textId="77777777" w:rsidR="002C6200" w:rsidRPr="004B2827" w:rsidRDefault="002C6200" w:rsidP="004B2827">
      <w:pPr>
        <w:pStyle w:val="FootnoteText"/>
        <w:jc w:val="both"/>
        <w:rPr>
          <w:rFonts w:ascii="Arial" w:hAnsi="Arial" w:cs="Arial"/>
          <w:sz w:val="18"/>
          <w:szCs w:val="18"/>
          <w:lang w:val="en-GB"/>
        </w:rPr>
      </w:pPr>
      <w:r w:rsidRPr="004B2827">
        <w:rPr>
          <w:rStyle w:val="FootnoteReference"/>
          <w:rFonts w:ascii="Arial" w:hAnsi="Arial" w:cs="Arial"/>
          <w:sz w:val="18"/>
          <w:szCs w:val="18"/>
        </w:rPr>
        <w:footnoteRef/>
      </w:r>
      <w:r w:rsidRPr="004B2827">
        <w:rPr>
          <w:rFonts w:ascii="Arial" w:hAnsi="Arial" w:cs="Arial"/>
          <w:sz w:val="18"/>
          <w:szCs w:val="18"/>
        </w:rPr>
        <w:t xml:space="preserve"> </w:t>
      </w:r>
      <w:r w:rsidRPr="004B2827">
        <w:rPr>
          <w:rFonts w:ascii="Arial" w:hAnsi="Arial" w:cs="Arial"/>
          <w:sz w:val="18"/>
          <w:szCs w:val="18"/>
          <w:lang w:val="en-GB"/>
        </w:rPr>
        <w:t xml:space="preserve">Available at: </w:t>
      </w:r>
      <w:hyperlink r:id="rId4" w:history="1">
        <w:r w:rsidRPr="004B2827">
          <w:rPr>
            <w:rStyle w:val="Hyperlink"/>
            <w:rFonts w:ascii="Arial" w:hAnsi="Arial" w:cs="Arial"/>
            <w:sz w:val="18"/>
            <w:szCs w:val="18"/>
            <w:lang w:val="en-GB"/>
          </w:rPr>
          <w:t>https://www.gov.za/sites/default/files/gcis_document/202006/drug-master-plan.pdf</w:t>
        </w:r>
      </w:hyperlink>
      <w:r w:rsidRPr="004B2827">
        <w:rPr>
          <w:rFonts w:ascii="Arial" w:hAnsi="Arial" w:cs="Arial"/>
          <w:sz w:val="18"/>
          <w:szCs w:val="18"/>
          <w:lang w:val="en-GB"/>
        </w:rPr>
        <w:t>.</w:t>
      </w:r>
    </w:p>
  </w:footnote>
  <w:footnote w:id="5">
    <w:p w14:paraId="752FFF4D" w14:textId="2497F297" w:rsidR="004563E2" w:rsidRPr="00BD5FB6" w:rsidRDefault="004563E2"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 xml:space="preserve">Available at: </w:t>
      </w:r>
      <w:hyperlink r:id="rId5" w:history="1">
        <w:r w:rsidRPr="00BD5FB6">
          <w:rPr>
            <w:rStyle w:val="Hyperlink"/>
            <w:rFonts w:ascii="Arial" w:hAnsi="Arial" w:cs="Arial"/>
            <w:sz w:val="18"/>
            <w:szCs w:val="18"/>
            <w:lang w:val="en-GB"/>
          </w:rPr>
          <w:t>https://www.justice.gov.za/vg/gbv/NSP-GBVF-FINAL-DOC-04-05.pdf</w:t>
        </w:r>
      </w:hyperlink>
      <w:r w:rsidRPr="00BD5FB6">
        <w:rPr>
          <w:rFonts w:ascii="Arial" w:hAnsi="Arial" w:cs="Arial"/>
          <w:sz w:val="18"/>
          <w:szCs w:val="18"/>
          <w:lang w:val="en-GB"/>
        </w:rPr>
        <w:t>.</w:t>
      </w:r>
    </w:p>
  </w:footnote>
  <w:footnote w:id="6">
    <w:p w14:paraId="57B24471" w14:textId="77777777" w:rsidR="0036072D" w:rsidRPr="00BD5FB6" w:rsidRDefault="0036072D"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 xml:space="preserve">Available at: </w:t>
      </w:r>
      <w:hyperlink r:id="rId6" w:history="1">
        <w:r w:rsidRPr="00BD5FB6">
          <w:rPr>
            <w:rStyle w:val="Hyperlink"/>
            <w:rFonts w:ascii="Arial" w:hAnsi="Arial" w:cs="Arial"/>
            <w:sz w:val="18"/>
            <w:szCs w:val="18"/>
            <w:lang w:val="en-GB"/>
          </w:rPr>
          <w:t>https://sanac.org.za/wp-content/uploads/2017/06/NSP_FullDocument_FINAL-1.pdf</w:t>
        </w:r>
      </w:hyperlink>
      <w:r w:rsidRPr="00BD5FB6">
        <w:rPr>
          <w:rFonts w:ascii="Arial" w:hAnsi="Arial" w:cs="Arial"/>
          <w:sz w:val="18"/>
          <w:szCs w:val="18"/>
          <w:lang w:val="en-GB"/>
        </w:rPr>
        <w:t>.</w:t>
      </w:r>
    </w:p>
  </w:footnote>
  <w:footnote w:id="7">
    <w:p w14:paraId="6CF892B1" w14:textId="77777777" w:rsidR="0036072D" w:rsidRPr="00BD5FB6" w:rsidRDefault="0036072D"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Available at: </w:t>
      </w:r>
      <w:hyperlink r:id="rId7" w:history="1">
        <w:r w:rsidRPr="00BD5FB6">
          <w:rPr>
            <w:rStyle w:val="Hyperlink"/>
            <w:rFonts w:ascii="Arial" w:hAnsi="Arial" w:cs="Arial"/>
            <w:sz w:val="18"/>
            <w:szCs w:val="18"/>
          </w:rPr>
          <w:t>https://sanac.org.za/wp-content/uploads/2017/06/LGBTI-HIV-Plan-Final.pdf</w:t>
        </w:r>
      </w:hyperlink>
      <w:r w:rsidRPr="00BD5FB6">
        <w:rPr>
          <w:rFonts w:ascii="Arial" w:hAnsi="Arial" w:cs="Arial"/>
          <w:sz w:val="18"/>
          <w:szCs w:val="18"/>
        </w:rPr>
        <w:t>.</w:t>
      </w:r>
    </w:p>
  </w:footnote>
  <w:footnote w:id="8">
    <w:p w14:paraId="172082DE" w14:textId="39CEE1CD" w:rsidR="0036072D" w:rsidRPr="00BD5FB6" w:rsidRDefault="0036072D"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007E01FA">
        <w:rPr>
          <w:rFonts w:ascii="Arial" w:hAnsi="Arial" w:cs="Arial"/>
          <w:sz w:val="18"/>
          <w:szCs w:val="18"/>
        </w:rPr>
        <w:t xml:space="preserve">A </w:t>
      </w:r>
      <w:r w:rsidRPr="00BD5FB6">
        <w:rPr>
          <w:rFonts w:ascii="Arial" w:hAnsi="Arial" w:cs="Arial"/>
          <w:sz w:val="18"/>
          <w:szCs w:val="18"/>
          <w:lang w:val="en-GB"/>
        </w:rPr>
        <w:t xml:space="preserve">Muller </w:t>
      </w:r>
      <w:r w:rsidR="007E01FA">
        <w:rPr>
          <w:rFonts w:ascii="Arial" w:hAnsi="Arial" w:cs="Arial"/>
          <w:sz w:val="18"/>
          <w:szCs w:val="18"/>
          <w:lang w:val="en-GB"/>
        </w:rPr>
        <w:t>‘</w:t>
      </w:r>
      <w:r w:rsidRPr="00BD5FB6">
        <w:rPr>
          <w:rFonts w:ascii="Arial" w:hAnsi="Arial" w:cs="Arial"/>
          <w:sz w:val="18"/>
          <w:szCs w:val="18"/>
          <w:lang w:val="en-GB"/>
        </w:rPr>
        <w:t>Scrambling for access: availability, accessibility, acceptability and quality of healthcare for lesbian, gay, bisexual, and transgender people in South Africa</w:t>
      </w:r>
      <w:r w:rsidR="007E01FA">
        <w:rPr>
          <w:rFonts w:ascii="Arial" w:hAnsi="Arial" w:cs="Arial"/>
          <w:sz w:val="18"/>
          <w:szCs w:val="18"/>
          <w:lang w:val="en-GB"/>
        </w:rPr>
        <w:t>’</w:t>
      </w:r>
      <w:r w:rsidRPr="00BD5FB6">
        <w:rPr>
          <w:rFonts w:ascii="Arial" w:hAnsi="Arial" w:cs="Arial"/>
          <w:sz w:val="18"/>
          <w:szCs w:val="18"/>
          <w:lang w:val="en-GB"/>
        </w:rPr>
        <w:t xml:space="preserve"> (2017) 17 </w:t>
      </w:r>
      <w:r w:rsidRPr="00BD5FB6">
        <w:rPr>
          <w:rFonts w:ascii="Arial" w:hAnsi="Arial" w:cs="Arial"/>
          <w:i/>
          <w:iCs/>
          <w:sz w:val="18"/>
          <w:szCs w:val="18"/>
          <w:lang w:val="en-GB"/>
        </w:rPr>
        <w:t>BMC International Health and Human Rights</w:t>
      </w:r>
      <w:r w:rsidRPr="00BD5FB6">
        <w:rPr>
          <w:rFonts w:ascii="Arial" w:hAnsi="Arial" w:cs="Arial"/>
          <w:sz w:val="18"/>
          <w:szCs w:val="18"/>
          <w:lang w:val="en-GB"/>
        </w:rPr>
        <w:t xml:space="preserve">. Available at: </w:t>
      </w:r>
      <w:hyperlink r:id="rId8" w:history="1">
        <w:r w:rsidRPr="00BD5FB6">
          <w:rPr>
            <w:rStyle w:val="Hyperlink"/>
            <w:rFonts w:ascii="Arial" w:hAnsi="Arial" w:cs="Arial"/>
            <w:sz w:val="18"/>
            <w:szCs w:val="18"/>
            <w:lang w:val="en-GB"/>
          </w:rPr>
          <w:t>https://bmcinthealthhumrights.biomedcentral.com/articles/10.1186/s12914-017-0124-4</w:t>
        </w:r>
      </w:hyperlink>
      <w:r w:rsidRPr="00BD5FB6">
        <w:rPr>
          <w:rFonts w:ascii="Arial" w:hAnsi="Arial" w:cs="Arial"/>
          <w:sz w:val="18"/>
          <w:szCs w:val="18"/>
          <w:lang w:val="en-GB"/>
        </w:rPr>
        <w:t>.</w:t>
      </w:r>
    </w:p>
  </w:footnote>
  <w:footnote w:id="9">
    <w:p w14:paraId="294EEE22" w14:textId="6725A8B8" w:rsidR="00AB795C" w:rsidRPr="00BD5FB6" w:rsidRDefault="00AB795C"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007E01FA">
        <w:rPr>
          <w:rFonts w:ascii="Arial" w:hAnsi="Arial" w:cs="Arial"/>
          <w:sz w:val="18"/>
          <w:szCs w:val="18"/>
        </w:rPr>
        <w:t xml:space="preserve">A </w:t>
      </w:r>
      <w:r w:rsidRPr="00BD5FB6">
        <w:rPr>
          <w:rFonts w:ascii="Arial" w:hAnsi="Arial" w:cs="Arial"/>
          <w:sz w:val="18"/>
          <w:szCs w:val="18"/>
          <w:lang w:val="en-GB"/>
        </w:rPr>
        <w:t xml:space="preserve">Muller </w:t>
      </w:r>
      <w:r w:rsidR="007E01FA">
        <w:rPr>
          <w:rFonts w:ascii="Arial" w:hAnsi="Arial" w:cs="Arial"/>
          <w:sz w:val="18"/>
          <w:szCs w:val="18"/>
          <w:lang w:val="en-GB"/>
        </w:rPr>
        <w:t>‘</w:t>
      </w:r>
      <w:r w:rsidRPr="00BD5FB6">
        <w:rPr>
          <w:rFonts w:ascii="Arial" w:hAnsi="Arial" w:cs="Arial"/>
          <w:sz w:val="18"/>
          <w:szCs w:val="18"/>
          <w:lang w:val="en-GB"/>
        </w:rPr>
        <w:t>Scrambling for access: availability, accessibility, acceptability and quality of healthcare for lesbian, gay, bisexual, and transgender people in South Africa</w:t>
      </w:r>
      <w:r w:rsidR="007E01FA">
        <w:rPr>
          <w:rFonts w:ascii="Arial" w:hAnsi="Arial" w:cs="Arial"/>
          <w:sz w:val="18"/>
          <w:szCs w:val="18"/>
          <w:lang w:val="en-GB"/>
        </w:rPr>
        <w:t>’</w:t>
      </w:r>
      <w:r w:rsidRPr="00BD5FB6">
        <w:rPr>
          <w:rFonts w:ascii="Arial" w:hAnsi="Arial" w:cs="Arial"/>
          <w:sz w:val="18"/>
          <w:szCs w:val="18"/>
          <w:lang w:val="en-GB"/>
        </w:rPr>
        <w:t xml:space="preserve"> (2017) 17 </w:t>
      </w:r>
      <w:r w:rsidRPr="00BD5FB6">
        <w:rPr>
          <w:rFonts w:ascii="Arial" w:hAnsi="Arial" w:cs="Arial"/>
          <w:i/>
          <w:iCs/>
          <w:sz w:val="18"/>
          <w:szCs w:val="18"/>
          <w:lang w:val="en-GB"/>
        </w:rPr>
        <w:t>BMC International Health and Human Rights</w:t>
      </w:r>
      <w:r w:rsidRPr="00BD5FB6">
        <w:rPr>
          <w:rFonts w:ascii="Arial" w:hAnsi="Arial" w:cs="Arial"/>
          <w:sz w:val="18"/>
          <w:szCs w:val="18"/>
          <w:lang w:val="en-GB"/>
        </w:rPr>
        <w:t xml:space="preserve">. Available at: </w:t>
      </w:r>
      <w:hyperlink r:id="rId9" w:history="1">
        <w:r w:rsidRPr="00BD5FB6">
          <w:rPr>
            <w:rStyle w:val="Hyperlink"/>
            <w:rFonts w:ascii="Arial" w:hAnsi="Arial" w:cs="Arial"/>
            <w:sz w:val="18"/>
            <w:szCs w:val="18"/>
            <w:lang w:val="en-GB"/>
          </w:rPr>
          <w:t>https://bmcinthealthhumrights.biomedcentral.com/articles/10.1186/s12914-017-0124-4</w:t>
        </w:r>
      </w:hyperlink>
      <w:r w:rsidRPr="00BD5FB6">
        <w:rPr>
          <w:rFonts w:ascii="Arial" w:hAnsi="Arial" w:cs="Arial"/>
          <w:sz w:val="18"/>
          <w:szCs w:val="18"/>
          <w:lang w:val="en-GB"/>
        </w:rPr>
        <w:t xml:space="preserve">. </w:t>
      </w:r>
    </w:p>
  </w:footnote>
  <w:footnote w:id="10">
    <w:p w14:paraId="54125D8D" w14:textId="7630254B" w:rsidR="00AB795C" w:rsidRPr="00BD5FB6" w:rsidRDefault="00AB795C"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007E01FA">
        <w:rPr>
          <w:rFonts w:ascii="Arial" w:hAnsi="Arial" w:cs="Arial"/>
          <w:sz w:val="18"/>
          <w:szCs w:val="18"/>
        </w:rPr>
        <w:t xml:space="preserve">T </w:t>
      </w:r>
      <w:proofErr w:type="spellStart"/>
      <w:r w:rsidRPr="00BD5FB6">
        <w:rPr>
          <w:rFonts w:ascii="Arial" w:hAnsi="Arial" w:cs="Arial"/>
          <w:sz w:val="18"/>
          <w:szCs w:val="18"/>
        </w:rPr>
        <w:t>Jeranji</w:t>
      </w:r>
      <w:proofErr w:type="spellEnd"/>
      <w:r w:rsidRPr="00BD5FB6">
        <w:rPr>
          <w:rFonts w:ascii="Arial" w:hAnsi="Arial" w:cs="Arial"/>
          <w:sz w:val="18"/>
          <w:szCs w:val="18"/>
        </w:rPr>
        <w:t xml:space="preserve"> </w:t>
      </w:r>
      <w:r w:rsidR="007E01FA">
        <w:rPr>
          <w:rFonts w:ascii="Arial" w:hAnsi="Arial" w:cs="Arial"/>
          <w:sz w:val="18"/>
          <w:szCs w:val="18"/>
        </w:rPr>
        <w:t>‘</w:t>
      </w:r>
      <w:r w:rsidRPr="00BD5FB6">
        <w:rPr>
          <w:rFonts w:ascii="Arial" w:hAnsi="Arial" w:cs="Arial"/>
          <w:sz w:val="18"/>
          <w:szCs w:val="18"/>
        </w:rPr>
        <w:t>In-depth: The incredibly long wait for gender-affirming surgery for those who can’t pay</w:t>
      </w:r>
      <w:r w:rsidR="007E01FA">
        <w:rPr>
          <w:rFonts w:ascii="Arial" w:hAnsi="Arial" w:cs="Arial"/>
          <w:sz w:val="18"/>
          <w:szCs w:val="18"/>
        </w:rPr>
        <w:t>’</w:t>
      </w:r>
      <w:r w:rsidRPr="00BD5FB6">
        <w:rPr>
          <w:rFonts w:ascii="Arial" w:hAnsi="Arial" w:cs="Arial"/>
          <w:sz w:val="18"/>
          <w:szCs w:val="18"/>
        </w:rPr>
        <w:t xml:space="preserve"> </w:t>
      </w:r>
      <w:r w:rsidRPr="00BD5FB6">
        <w:rPr>
          <w:rFonts w:ascii="Arial" w:hAnsi="Arial" w:cs="Arial"/>
          <w:sz w:val="18"/>
          <w:szCs w:val="18"/>
          <w:lang w:val="en-GB"/>
        </w:rPr>
        <w:t xml:space="preserve">Available at: </w:t>
      </w:r>
      <w:hyperlink r:id="rId10" w:history="1">
        <w:r w:rsidRPr="00BD5FB6">
          <w:rPr>
            <w:rStyle w:val="Hyperlink"/>
            <w:rFonts w:ascii="Arial" w:hAnsi="Arial" w:cs="Arial"/>
            <w:sz w:val="18"/>
            <w:szCs w:val="18"/>
            <w:lang w:val="en-GB"/>
          </w:rPr>
          <w:t>https://www.spotlightnsp.co.za/2021/09/14/in-depth-the-incredibly-long-wait-for-gender-affirming-surgery-for-those-who-cant-pay/</w:t>
        </w:r>
      </w:hyperlink>
      <w:r w:rsidRPr="00BD5FB6">
        <w:rPr>
          <w:rFonts w:ascii="Arial" w:hAnsi="Arial" w:cs="Arial"/>
          <w:sz w:val="18"/>
          <w:szCs w:val="18"/>
          <w:lang w:val="en-GB"/>
        </w:rPr>
        <w:t>.</w:t>
      </w:r>
    </w:p>
  </w:footnote>
  <w:footnote w:id="11">
    <w:p w14:paraId="5F9BC3D6" w14:textId="3F3E4F1D" w:rsidR="00AB795C" w:rsidRPr="00BD5FB6" w:rsidRDefault="00AB795C"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007E01FA">
        <w:rPr>
          <w:rFonts w:ascii="Arial" w:hAnsi="Arial" w:cs="Arial"/>
          <w:sz w:val="18"/>
          <w:szCs w:val="18"/>
        </w:rPr>
        <w:t xml:space="preserve">ZPB </w:t>
      </w:r>
      <w:r w:rsidRPr="00BD5FB6">
        <w:rPr>
          <w:rFonts w:ascii="Arial" w:hAnsi="Arial" w:cs="Arial"/>
          <w:sz w:val="18"/>
          <w:szCs w:val="18"/>
        </w:rPr>
        <w:t xml:space="preserve">Luvuno et al, </w:t>
      </w:r>
      <w:r w:rsidR="007E01FA">
        <w:rPr>
          <w:rFonts w:ascii="Arial" w:hAnsi="Arial" w:cs="Arial"/>
          <w:sz w:val="18"/>
          <w:szCs w:val="18"/>
        </w:rPr>
        <w:t>‘</w:t>
      </w:r>
      <w:r w:rsidRPr="00BD5FB6">
        <w:rPr>
          <w:rFonts w:ascii="Arial" w:hAnsi="Arial" w:cs="Arial"/>
          <w:sz w:val="18"/>
          <w:szCs w:val="18"/>
        </w:rPr>
        <w:t>Transgender population’s experiences with regard to accessing reproductive health care in Kwazulu-Natal, South Africa: A qualitative study</w:t>
      </w:r>
      <w:r w:rsidR="007E01FA">
        <w:rPr>
          <w:rFonts w:ascii="Arial" w:hAnsi="Arial" w:cs="Arial"/>
          <w:sz w:val="18"/>
          <w:szCs w:val="18"/>
        </w:rPr>
        <w:t>’</w:t>
      </w:r>
      <w:r w:rsidRPr="00BD5FB6">
        <w:rPr>
          <w:rFonts w:ascii="Arial" w:hAnsi="Arial" w:cs="Arial"/>
          <w:sz w:val="18"/>
          <w:szCs w:val="18"/>
        </w:rPr>
        <w:t xml:space="preserve"> (2019) 11(1) </w:t>
      </w:r>
      <w:r w:rsidRPr="00BD5FB6">
        <w:rPr>
          <w:rFonts w:ascii="Arial" w:hAnsi="Arial" w:cs="Arial"/>
          <w:i/>
          <w:iCs/>
          <w:sz w:val="18"/>
          <w:szCs w:val="18"/>
        </w:rPr>
        <w:t>African Journal of Primary Health Care Family Medicine</w:t>
      </w:r>
      <w:r w:rsidRPr="00BD5FB6">
        <w:rPr>
          <w:rFonts w:ascii="Arial" w:hAnsi="Arial" w:cs="Arial"/>
          <w:sz w:val="18"/>
          <w:szCs w:val="18"/>
        </w:rPr>
        <w:t xml:space="preserve">. </w:t>
      </w:r>
      <w:r w:rsidRPr="00BD5FB6">
        <w:rPr>
          <w:rFonts w:ascii="Arial" w:hAnsi="Arial" w:cs="Arial"/>
          <w:sz w:val="18"/>
          <w:szCs w:val="18"/>
          <w:lang w:val="en-GB"/>
        </w:rPr>
        <w:t xml:space="preserve">Available at: </w:t>
      </w:r>
      <w:hyperlink r:id="rId11" w:anchor="CIT0020" w:history="1">
        <w:r w:rsidRPr="00BD5FB6">
          <w:rPr>
            <w:rStyle w:val="Hyperlink"/>
            <w:rFonts w:ascii="Arial" w:hAnsi="Arial" w:cs="Arial"/>
            <w:sz w:val="18"/>
            <w:szCs w:val="18"/>
            <w:lang w:val="en-GB"/>
          </w:rPr>
          <w:t>https://www.ncbi.nlm.nih.gov/pmc/articles/PMC6676963/#CIT0020</w:t>
        </w:r>
      </w:hyperlink>
      <w:r w:rsidRPr="00BD5FB6">
        <w:rPr>
          <w:rFonts w:ascii="Arial" w:hAnsi="Arial" w:cs="Arial"/>
          <w:sz w:val="18"/>
          <w:szCs w:val="18"/>
          <w:lang w:val="en-GB"/>
        </w:rPr>
        <w:t>.</w:t>
      </w:r>
    </w:p>
  </w:footnote>
  <w:footnote w:id="12">
    <w:p w14:paraId="3ED69826" w14:textId="15E57C6B" w:rsidR="007414A1" w:rsidRPr="00101697" w:rsidRDefault="007414A1" w:rsidP="007414A1">
      <w:pPr>
        <w:pStyle w:val="FootnoteText"/>
        <w:jc w:val="both"/>
        <w:rPr>
          <w:rFonts w:ascii="Arial" w:hAnsi="Arial" w:cs="Arial"/>
          <w:sz w:val="18"/>
          <w:szCs w:val="18"/>
          <w:lang w:val="en-GB"/>
        </w:rPr>
      </w:pPr>
      <w:r w:rsidRPr="00101697">
        <w:rPr>
          <w:rStyle w:val="FootnoteReference"/>
          <w:rFonts w:ascii="Arial" w:hAnsi="Arial" w:cs="Arial"/>
          <w:sz w:val="18"/>
          <w:szCs w:val="18"/>
        </w:rPr>
        <w:footnoteRef/>
      </w:r>
      <w:r w:rsidRPr="00101697">
        <w:rPr>
          <w:rFonts w:ascii="Arial" w:hAnsi="Arial" w:cs="Arial"/>
          <w:sz w:val="18"/>
          <w:szCs w:val="18"/>
        </w:rPr>
        <w:t xml:space="preserve"> </w:t>
      </w:r>
      <w:r w:rsidRPr="00101697">
        <w:rPr>
          <w:rFonts w:ascii="Arial" w:hAnsi="Arial" w:cs="Arial"/>
          <w:sz w:val="18"/>
          <w:szCs w:val="18"/>
          <w:lang w:val="en-GB"/>
        </w:rPr>
        <w:t xml:space="preserve">Available at: </w:t>
      </w:r>
      <w:hyperlink r:id="rId12" w:history="1">
        <w:r w:rsidRPr="00101697">
          <w:rPr>
            <w:rStyle w:val="Hyperlink"/>
            <w:rFonts w:ascii="Arial" w:hAnsi="Arial" w:cs="Arial"/>
            <w:sz w:val="18"/>
            <w:szCs w:val="18"/>
            <w:lang w:val="en-GB"/>
          </w:rPr>
          <w:t>https://www.gov.za/sites/default/files/gcis_document/201409/a49-03.pdf</w:t>
        </w:r>
      </w:hyperlink>
      <w:r w:rsidRPr="00101697">
        <w:rPr>
          <w:rFonts w:ascii="Arial" w:hAnsi="Arial" w:cs="Arial"/>
          <w:sz w:val="18"/>
          <w:szCs w:val="18"/>
          <w:lang w:val="en-GB"/>
        </w:rPr>
        <w:t>.</w:t>
      </w:r>
    </w:p>
  </w:footnote>
  <w:footnote w:id="13">
    <w:p w14:paraId="6D23DDA1" w14:textId="18195922" w:rsidR="00BB3AB2" w:rsidRPr="00BD5FB6" w:rsidRDefault="00BB3AB2"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 xml:space="preserve">Human Rights Watch, </w:t>
      </w:r>
      <w:r w:rsidR="007E01FA">
        <w:rPr>
          <w:rFonts w:ascii="Arial" w:hAnsi="Arial" w:cs="Arial"/>
          <w:sz w:val="18"/>
          <w:szCs w:val="18"/>
          <w:lang w:val="en-GB"/>
        </w:rPr>
        <w:t>‘</w:t>
      </w:r>
      <w:r w:rsidRPr="00BD5FB6">
        <w:rPr>
          <w:rFonts w:ascii="Arial" w:hAnsi="Arial" w:cs="Arial"/>
          <w:sz w:val="18"/>
          <w:szCs w:val="18"/>
          <w:lang w:val="en-GB"/>
        </w:rPr>
        <w:t>South Africa: Broken Promises to Aid Gender-Based Violence Survivors</w:t>
      </w:r>
      <w:r w:rsidR="007E01FA">
        <w:rPr>
          <w:rFonts w:ascii="Arial" w:hAnsi="Arial" w:cs="Arial"/>
          <w:sz w:val="18"/>
          <w:szCs w:val="18"/>
          <w:lang w:val="en-GB"/>
        </w:rPr>
        <w:t>’</w:t>
      </w:r>
      <w:r w:rsidRPr="00BD5FB6">
        <w:rPr>
          <w:rFonts w:ascii="Arial" w:hAnsi="Arial" w:cs="Arial"/>
          <w:sz w:val="18"/>
          <w:szCs w:val="18"/>
          <w:lang w:val="en-GB"/>
        </w:rPr>
        <w:t xml:space="preserve"> 24 November 2021. Available at: </w:t>
      </w:r>
      <w:hyperlink r:id="rId13" w:history="1">
        <w:r w:rsidRPr="00BD5FB6">
          <w:rPr>
            <w:rStyle w:val="Hyperlink"/>
            <w:rFonts w:ascii="Arial" w:hAnsi="Arial" w:cs="Arial"/>
            <w:sz w:val="18"/>
            <w:szCs w:val="18"/>
            <w:lang w:val="en-GB"/>
          </w:rPr>
          <w:t>https://www.hrw.org/news/2021/11/24/south-africa-broken-promises-aid-gender-based-violence-survivors</w:t>
        </w:r>
      </w:hyperlink>
      <w:r w:rsidRPr="00BD5FB6">
        <w:rPr>
          <w:rFonts w:ascii="Arial" w:hAnsi="Arial" w:cs="Arial"/>
          <w:sz w:val="18"/>
          <w:szCs w:val="18"/>
          <w:lang w:val="en-GB"/>
        </w:rPr>
        <w:t>.</w:t>
      </w:r>
    </w:p>
  </w:footnote>
  <w:footnote w:id="14">
    <w:p w14:paraId="6159C4C8" w14:textId="6A3EA25B" w:rsidR="00BC70FB" w:rsidRPr="00BD5FB6" w:rsidRDefault="00BC70FB" w:rsidP="004B2827">
      <w:pPr>
        <w:pStyle w:val="Heading1"/>
        <w:shd w:val="clear" w:color="auto" w:fill="FFFFFF"/>
        <w:jc w:val="both"/>
        <w:rPr>
          <w:b w:val="0"/>
          <w:bCs w:val="0"/>
          <w:sz w:val="18"/>
          <w:szCs w:val="18"/>
        </w:rPr>
      </w:pPr>
      <w:r w:rsidRPr="00BD5FB6">
        <w:rPr>
          <w:rStyle w:val="FootnoteReference"/>
          <w:b w:val="0"/>
          <w:bCs w:val="0"/>
          <w:sz w:val="18"/>
          <w:szCs w:val="18"/>
        </w:rPr>
        <w:footnoteRef/>
      </w:r>
      <w:r w:rsidRPr="00BD5FB6">
        <w:rPr>
          <w:b w:val="0"/>
          <w:bCs w:val="0"/>
          <w:sz w:val="18"/>
          <w:szCs w:val="18"/>
        </w:rPr>
        <w:t xml:space="preserve"> </w:t>
      </w:r>
      <w:r w:rsidR="007E01FA">
        <w:rPr>
          <w:b w:val="0"/>
          <w:bCs w:val="0"/>
          <w:sz w:val="18"/>
          <w:szCs w:val="18"/>
        </w:rPr>
        <w:t xml:space="preserve">Z </w:t>
      </w:r>
      <w:proofErr w:type="spellStart"/>
      <w:r w:rsidR="00283265" w:rsidRPr="00BD5FB6">
        <w:rPr>
          <w:b w:val="0"/>
          <w:bCs w:val="0"/>
          <w:sz w:val="18"/>
          <w:szCs w:val="18"/>
        </w:rPr>
        <w:t>Duby</w:t>
      </w:r>
      <w:proofErr w:type="spellEnd"/>
      <w:r w:rsidR="00283265" w:rsidRPr="00BD5FB6">
        <w:rPr>
          <w:b w:val="0"/>
          <w:bCs w:val="0"/>
          <w:sz w:val="18"/>
          <w:szCs w:val="18"/>
        </w:rPr>
        <w:t xml:space="preserve"> et al, </w:t>
      </w:r>
      <w:r w:rsidR="007E01FA">
        <w:rPr>
          <w:b w:val="0"/>
          <w:bCs w:val="0"/>
          <w:sz w:val="18"/>
          <w:szCs w:val="18"/>
        </w:rPr>
        <w:t>‘</w:t>
      </w:r>
      <w:r w:rsidR="00283265" w:rsidRPr="00BD5FB6">
        <w:rPr>
          <w:b w:val="0"/>
          <w:bCs w:val="0"/>
          <w:sz w:val="18"/>
          <w:szCs w:val="18"/>
        </w:rPr>
        <w:t>‘</w:t>
      </w:r>
      <w:r w:rsidR="007E01FA">
        <w:rPr>
          <w:b w:val="0"/>
          <w:bCs w:val="0"/>
          <w:sz w:val="18"/>
          <w:szCs w:val="18"/>
        </w:rPr>
        <w:t>”</w:t>
      </w:r>
      <w:r w:rsidR="00283265" w:rsidRPr="00BD5FB6">
        <w:rPr>
          <w:b w:val="0"/>
          <w:bCs w:val="0"/>
          <w:sz w:val="18"/>
          <w:szCs w:val="18"/>
        </w:rPr>
        <w:t>We must treat them like all the other people</w:t>
      </w:r>
      <w:r w:rsidR="007E01FA">
        <w:rPr>
          <w:b w:val="0"/>
          <w:bCs w:val="0"/>
          <w:sz w:val="18"/>
          <w:szCs w:val="18"/>
        </w:rPr>
        <w:t>”</w:t>
      </w:r>
      <w:r w:rsidR="00283265" w:rsidRPr="00BD5FB6">
        <w:rPr>
          <w:b w:val="0"/>
          <w:bCs w:val="0"/>
          <w:sz w:val="18"/>
          <w:szCs w:val="18"/>
        </w:rPr>
        <w:t>: Evaluating the Integrated Key Populations Sensitivity Training Programme for Healthcare Workers in South Africa</w:t>
      </w:r>
      <w:r w:rsidR="007E01FA">
        <w:rPr>
          <w:b w:val="0"/>
          <w:bCs w:val="0"/>
          <w:sz w:val="18"/>
          <w:szCs w:val="18"/>
        </w:rPr>
        <w:t>’</w:t>
      </w:r>
      <w:r w:rsidR="005B1DA6" w:rsidRPr="00BD5FB6">
        <w:rPr>
          <w:b w:val="0"/>
          <w:bCs w:val="0"/>
          <w:sz w:val="18"/>
          <w:szCs w:val="18"/>
        </w:rPr>
        <w:t xml:space="preserve"> (2019) 20(1) </w:t>
      </w:r>
      <w:r w:rsidR="005B1DA6" w:rsidRPr="00BD5FB6">
        <w:rPr>
          <w:b w:val="0"/>
          <w:bCs w:val="0"/>
          <w:i/>
          <w:iCs/>
          <w:sz w:val="18"/>
          <w:szCs w:val="18"/>
        </w:rPr>
        <w:t>South African Journal of HIV Medicine</w:t>
      </w:r>
      <w:r w:rsidR="005B1DA6" w:rsidRPr="00BD5FB6">
        <w:rPr>
          <w:b w:val="0"/>
          <w:bCs w:val="0"/>
          <w:sz w:val="18"/>
          <w:szCs w:val="18"/>
        </w:rPr>
        <w:t xml:space="preserve">. Available at: </w:t>
      </w:r>
      <w:hyperlink r:id="rId14" w:history="1">
        <w:r w:rsidR="005B1DA6" w:rsidRPr="00BD5FB6">
          <w:rPr>
            <w:rStyle w:val="Hyperlink"/>
            <w:b w:val="0"/>
            <w:bCs w:val="0"/>
            <w:sz w:val="18"/>
            <w:szCs w:val="18"/>
          </w:rPr>
          <w:t>https://www.ncbi.nlm.nih.gov/pmc/articles/PMC6556945/</w:t>
        </w:r>
      </w:hyperlink>
      <w:r w:rsidR="005B1DA6" w:rsidRPr="00BD5FB6">
        <w:rPr>
          <w:b w:val="0"/>
          <w:bCs w:val="0"/>
          <w:sz w:val="18"/>
          <w:szCs w:val="18"/>
        </w:rPr>
        <w:t>.</w:t>
      </w:r>
    </w:p>
  </w:footnote>
  <w:footnote w:id="15">
    <w:p w14:paraId="080C75BE" w14:textId="5DFCBD5E" w:rsidR="001D0409" w:rsidRPr="00BD5FB6" w:rsidRDefault="001D0409"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 xml:space="preserve">For more information see: </w:t>
      </w:r>
      <w:hyperlink r:id="rId15" w:history="1">
        <w:r w:rsidRPr="00BD5FB6">
          <w:rPr>
            <w:rStyle w:val="Hyperlink"/>
            <w:rFonts w:ascii="Arial" w:hAnsi="Arial" w:cs="Arial"/>
            <w:sz w:val="18"/>
            <w:szCs w:val="18"/>
            <w:lang w:val="en-GB"/>
          </w:rPr>
          <w:t>https://www.education.gov.za/Home/ComprehensiveSexualityEducation.aspx</w:t>
        </w:r>
      </w:hyperlink>
      <w:r w:rsidRPr="00BD5FB6">
        <w:rPr>
          <w:rFonts w:ascii="Arial" w:hAnsi="Arial" w:cs="Arial"/>
          <w:sz w:val="18"/>
          <w:szCs w:val="18"/>
          <w:lang w:val="en-GB"/>
        </w:rPr>
        <w:t>.</w:t>
      </w:r>
    </w:p>
  </w:footnote>
  <w:footnote w:id="16">
    <w:p w14:paraId="5669B397" w14:textId="77777777" w:rsidR="009A165A" w:rsidRPr="00BD5FB6" w:rsidRDefault="009A165A" w:rsidP="009A165A">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Pr>
          <w:rFonts w:ascii="Arial" w:hAnsi="Arial" w:cs="Arial"/>
          <w:sz w:val="18"/>
          <w:szCs w:val="18"/>
        </w:rPr>
        <w:t xml:space="preserve">J </w:t>
      </w:r>
      <w:r w:rsidRPr="00BD5FB6">
        <w:rPr>
          <w:rFonts w:ascii="Arial" w:hAnsi="Arial" w:cs="Arial"/>
          <w:sz w:val="18"/>
          <w:szCs w:val="18"/>
          <w:lang w:val="en-GB"/>
        </w:rPr>
        <w:t xml:space="preserve">Glover and </w:t>
      </w:r>
      <w:r>
        <w:rPr>
          <w:rFonts w:ascii="Arial" w:hAnsi="Arial" w:cs="Arial"/>
          <w:sz w:val="18"/>
          <w:szCs w:val="18"/>
          <w:lang w:val="en-GB"/>
        </w:rPr>
        <w:t xml:space="preserve">C </w:t>
      </w:r>
      <w:r w:rsidRPr="00BD5FB6">
        <w:rPr>
          <w:rFonts w:ascii="Arial" w:hAnsi="Arial" w:cs="Arial"/>
          <w:sz w:val="18"/>
          <w:szCs w:val="18"/>
          <w:lang w:val="en-GB"/>
        </w:rPr>
        <w:t xml:space="preserve">Macleod </w:t>
      </w:r>
      <w:r>
        <w:rPr>
          <w:rFonts w:ascii="Arial" w:hAnsi="Arial" w:cs="Arial"/>
          <w:sz w:val="18"/>
          <w:szCs w:val="18"/>
          <w:lang w:val="en-GB"/>
        </w:rPr>
        <w:t>‘</w:t>
      </w:r>
      <w:r w:rsidRPr="00BD5FB6">
        <w:rPr>
          <w:rFonts w:ascii="Arial" w:hAnsi="Arial" w:cs="Arial"/>
          <w:sz w:val="18"/>
          <w:szCs w:val="18"/>
        </w:rPr>
        <w:t>Rolling out comprehensive sexuality education in South Africa: an overview of research conducted on Life Orientation sexuality education</w:t>
      </w:r>
      <w:r>
        <w:rPr>
          <w:rFonts w:ascii="Arial" w:hAnsi="Arial" w:cs="Arial"/>
          <w:sz w:val="18"/>
          <w:szCs w:val="18"/>
        </w:rPr>
        <w:t>’</w:t>
      </w:r>
      <w:r w:rsidRPr="00BD5FB6">
        <w:rPr>
          <w:rFonts w:ascii="Arial" w:hAnsi="Arial" w:cs="Arial"/>
          <w:sz w:val="18"/>
          <w:szCs w:val="18"/>
        </w:rPr>
        <w:t xml:space="preserve"> (2016). Available at: </w:t>
      </w:r>
      <w:hyperlink r:id="rId16" w:history="1">
        <w:r w:rsidRPr="00BD5FB6">
          <w:rPr>
            <w:rStyle w:val="Hyperlink"/>
            <w:rFonts w:ascii="Arial" w:hAnsi="Arial" w:cs="Arial"/>
            <w:sz w:val="18"/>
            <w:szCs w:val="18"/>
          </w:rPr>
          <w:t>https://www.ru.ac.za/media/rhodesuniversity/content/criticalstudiesinsexualitiesandreproduction/documents/Life_Orientation_Policy_Brief_Final.pdf</w:t>
        </w:r>
      </w:hyperlink>
      <w:r w:rsidRPr="00BD5FB6">
        <w:rPr>
          <w:rFonts w:ascii="Arial" w:hAnsi="Arial" w:cs="Arial"/>
          <w:sz w:val="18"/>
          <w:szCs w:val="18"/>
        </w:rPr>
        <w:t>.</w:t>
      </w:r>
    </w:p>
  </w:footnote>
  <w:footnote w:id="17">
    <w:p w14:paraId="0176D16F" w14:textId="0444E76C" w:rsidR="00245EFF" w:rsidRPr="00BD5FB6" w:rsidRDefault="00245EFF"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 xml:space="preserve">Available at: </w:t>
      </w:r>
      <w:hyperlink r:id="rId17" w:history="1">
        <w:r w:rsidRPr="00BD5FB6">
          <w:rPr>
            <w:rStyle w:val="Hyperlink"/>
            <w:rFonts w:ascii="Arial" w:hAnsi="Arial" w:cs="Arial"/>
            <w:sz w:val="18"/>
            <w:szCs w:val="18"/>
            <w:lang w:val="en-GB"/>
          </w:rPr>
          <w:t>https://sahivsoc.org/Files/SAHCS%20GAHC%20guidelines.pdf</w:t>
        </w:r>
      </w:hyperlink>
      <w:r w:rsidRPr="00BD5FB6">
        <w:rPr>
          <w:rFonts w:ascii="Arial" w:hAnsi="Arial" w:cs="Arial"/>
          <w:sz w:val="18"/>
          <w:szCs w:val="18"/>
          <w:lang w:val="en-GB"/>
        </w:rPr>
        <w:t>.</w:t>
      </w:r>
    </w:p>
  </w:footnote>
  <w:footnote w:id="18">
    <w:p w14:paraId="3263903B" w14:textId="1D328306" w:rsidR="00F316EE" w:rsidRPr="00BD5FB6" w:rsidRDefault="00F316EE" w:rsidP="004B2827">
      <w:pPr>
        <w:pStyle w:val="FootnoteText"/>
        <w:jc w:val="both"/>
        <w:rPr>
          <w:rFonts w:ascii="Arial" w:hAnsi="Arial" w:cs="Arial"/>
          <w:sz w:val="18"/>
          <w:szCs w:val="18"/>
          <w:lang w:val="en-GB"/>
        </w:rPr>
      </w:pPr>
      <w:r w:rsidRPr="00BD5FB6">
        <w:rPr>
          <w:rStyle w:val="FootnoteReference"/>
          <w:rFonts w:ascii="Arial" w:hAnsi="Arial" w:cs="Arial"/>
          <w:sz w:val="18"/>
          <w:szCs w:val="18"/>
        </w:rPr>
        <w:footnoteRef/>
      </w:r>
      <w:r w:rsidRPr="00BD5FB6">
        <w:rPr>
          <w:rFonts w:ascii="Arial" w:hAnsi="Arial" w:cs="Arial"/>
          <w:sz w:val="18"/>
          <w:szCs w:val="18"/>
        </w:rPr>
        <w:t xml:space="preserve"> </w:t>
      </w:r>
      <w:r w:rsidRPr="00BD5FB6">
        <w:rPr>
          <w:rFonts w:ascii="Arial" w:hAnsi="Arial" w:cs="Arial"/>
          <w:sz w:val="18"/>
          <w:szCs w:val="18"/>
          <w:lang w:val="en-GB"/>
        </w:rPr>
        <w:t>Available here:</w:t>
      </w:r>
      <w:r w:rsidR="00B251D7">
        <w:rPr>
          <w:rFonts w:ascii="Arial" w:hAnsi="Arial" w:cs="Arial"/>
          <w:sz w:val="18"/>
          <w:szCs w:val="18"/>
        </w:rPr>
        <w:t xml:space="preserve"> </w:t>
      </w:r>
      <w:hyperlink r:id="rId18" w:history="1">
        <w:r w:rsidR="00B251D7" w:rsidRPr="00B67B00">
          <w:rPr>
            <w:rStyle w:val="Hyperlink"/>
            <w:rFonts w:ascii="Arial" w:hAnsi="Arial" w:cs="Arial"/>
            <w:sz w:val="18"/>
            <w:szCs w:val="18"/>
          </w:rPr>
          <w:t>http://www.statssa.gov.za/MDG/SDGs_Country_Report_2019_South_Africa.pdf</w:t>
        </w:r>
      </w:hyperlink>
      <w:r w:rsidR="00CC133F" w:rsidRPr="00BD5FB6">
        <w:rPr>
          <w:rFonts w:ascii="Arial" w:hAnsi="Arial" w:cs="Arial"/>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BCC1" w14:textId="77777777" w:rsidR="00766486" w:rsidRDefault="00936DA0">
    <w:pPr>
      <w:pStyle w:val="Header"/>
    </w:pPr>
    <w:r>
      <w:rPr>
        <w:noProof/>
        <w:lang w:val="en-US"/>
      </w:rPr>
      <w:drawing>
        <wp:anchor distT="0" distB="0" distL="114300" distR="114300" simplePos="0" relativeHeight="251685376" behindDoc="0" locked="0" layoutInCell="1" allowOverlap="1" wp14:anchorId="2F27D708" wp14:editId="26711756">
          <wp:simplePos x="0" y="0"/>
          <wp:positionH relativeFrom="column">
            <wp:posOffset>-629920</wp:posOffset>
          </wp:positionH>
          <wp:positionV relativeFrom="paragraph">
            <wp:posOffset>-440690</wp:posOffset>
          </wp:positionV>
          <wp:extent cx="7574915" cy="1875155"/>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4915"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273E4E"/>
    <w:multiLevelType w:val="multilevel"/>
    <w:tmpl w:val="D81C594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bullet"/>
      <w:lvlText w:val="-"/>
      <w:lvlJc w:val="left"/>
      <w:pPr>
        <w:ind w:left="1224" w:hanging="504"/>
      </w:pPr>
      <w:rPr>
        <w:rFonts w:ascii="Calibri" w:eastAsiaTheme="minorHAnsi"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B533BC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486"/>
    <w:rsid w:val="00000C48"/>
    <w:rsid w:val="00001C85"/>
    <w:rsid w:val="0000278F"/>
    <w:rsid w:val="00003071"/>
    <w:rsid w:val="0001658F"/>
    <w:rsid w:val="000168ED"/>
    <w:rsid w:val="00022E94"/>
    <w:rsid w:val="00023E32"/>
    <w:rsid w:val="000327B8"/>
    <w:rsid w:val="00032F6D"/>
    <w:rsid w:val="000448E6"/>
    <w:rsid w:val="000475C3"/>
    <w:rsid w:val="00050CE7"/>
    <w:rsid w:val="00063353"/>
    <w:rsid w:val="00065BF6"/>
    <w:rsid w:val="00065C35"/>
    <w:rsid w:val="000665BD"/>
    <w:rsid w:val="000676C7"/>
    <w:rsid w:val="00070417"/>
    <w:rsid w:val="0007088E"/>
    <w:rsid w:val="00071009"/>
    <w:rsid w:val="000A0C26"/>
    <w:rsid w:val="000A2A97"/>
    <w:rsid w:val="000B1655"/>
    <w:rsid w:val="000B20C7"/>
    <w:rsid w:val="000B4BBE"/>
    <w:rsid w:val="000B6F74"/>
    <w:rsid w:val="000C2F82"/>
    <w:rsid w:val="000C5556"/>
    <w:rsid w:val="000C6F2A"/>
    <w:rsid w:val="000C74A7"/>
    <w:rsid w:val="000D1524"/>
    <w:rsid w:val="000D387F"/>
    <w:rsid w:val="000E4AF8"/>
    <w:rsid w:val="000F15E8"/>
    <w:rsid w:val="000F78AD"/>
    <w:rsid w:val="0010105B"/>
    <w:rsid w:val="00101697"/>
    <w:rsid w:val="00101A01"/>
    <w:rsid w:val="00102E6E"/>
    <w:rsid w:val="0011070A"/>
    <w:rsid w:val="0012029B"/>
    <w:rsid w:val="0012495F"/>
    <w:rsid w:val="00136FA0"/>
    <w:rsid w:val="001444B6"/>
    <w:rsid w:val="00144B3D"/>
    <w:rsid w:val="0014655E"/>
    <w:rsid w:val="00146619"/>
    <w:rsid w:val="0015507A"/>
    <w:rsid w:val="00163F15"/>
    <w:rsid w:val="001657ED"/>
    <w:rsid w:val="00180266"/>
    <w:rsid w:val="001805AC"/>
    <w:rsid w:val="00182BFB"/>
    <w:rsid w:val="00191D5F"/>
    <w:rsid w:val="001922D3"/>
    <w:rsid w:val="0019389B"/>
    <w:rsid w:val="00194F76"/>
    <w:rsid w:val="0019610A"/>
    <w:rsid w:val="00196C9F"/>
    <w:rsid w:val="001A7221"/>
    <w:rsid w:val="001A75B9"/>
    <w:rsid w:val="001B1F50"/>
    <w:rsid w:val="001B40D5"/>
    <w:rsid w:val="001B6BA2"/>
    <w:rsid w:val="001C4094"/>
    <w:rsid w:val="001C638B"/>
    <w:rsid w:val="001D0320"/>
    <w:rsid w:val="001D0409"/>
    <w:rsid w:val="001D6877"/>
    <w:rsid w:val="001D6A8B"/>
    <w:rsid w:val="001D6D1A"/>
    <w:rsid w:val="001E0112"/>
    <w:rsid w:val="001E7D1D"/>
    <w:rsid w:val="001F2826"/>
    <w:rsid w:val="001F4387"/>
    <w:rsid w:val="001F6D61"/>
    <w:rsid w:val="0020191F"/>
    <w:rsid w:val="002043CB"/>
    <w:rsid w:val="0021041E"/>
    <w:rsid w:val="002157AD"/>
    <w:rsid w:val="002209FC"/>
    <w:rsid w:val="0022224A"/>
    <w:rsid w:val="00222DA4"/>
    <w:rsid w:val="00224140"/>
    <w:rsid w:val="00225B71"/>
    <w:rsid w:val="002305AA"/>
    <w:rsid w:val="002326FB"/>
    <w:rsid w:val="00240E90"/>
    <w:rsid w:val="002424E3"/>
    <w:rsid w:val="002441BC"/>
    <w:rsid w:val="00245EFF"/>
    <w:rsid w:val="00246AC8"/>
    <w:rsid w:val="00254E54"/>
    <w:rsid w:val="00263372"/>
    <w:rsid w:val="00263DB2"/>
    <w:rsid w:val="00267DF1"/>
    <w:rsid w:val="00275FC1"/>
    <w:rsid w:val="00276938"/>
    <w:rsid w:val="00283265"/>
    <w:rsid w:val="002838D3"/>
    <w:rsid w:val="0028599B"/>
    <w:rsid w:val="00291829"/>
    <w:rsid w:val="002936CF"/>
    <w:rsid w:val="00294DBE"/>
    <w:rsid w:val="002958D6"/>
    <w:rsid w:val="002A1EB3"/>
    <w:rsid w:val="002A4360"/>
    <w:rsid w:val="002A5810"/>
    <w:rsid w:val="002B240F"/>
    <w:rsid w:val="002B49B9"/>
    <w:rsid w:val="002B565D"/>
    <w:rsid w:val="002B5DC4"/>
    <w:rsid w:val="002C203A"/>
    <w:rsid w:val="002C4D32"/>
    <w:rsid w:val="002C6200"/>
    <w:rsid w:val="002E0836"/>
    <w:rsid w:val="002E2E05"/>
    <w:rsid w:val="002E4395"/>
    <w:rsid w:val="002F05AC"/>
    <w:rsid w:val="002F17BA"/>
    <w:rsid w:val="002F3256"/>
    <w:rsid w:val="003034E2"/>
    <w:rsid w:val="00307155"/>
    <w:rsid w:val="0031401C"/>
    <w:rsid w:val="00326B78"/>
    <w:rsid w:val="00334187"/>
    <w:rsid w:val="003416F7"/>
    <w:rsid w:val="003460B4"/>
    <w:rsid w:val="003462ED"/>
    <w:rsid w:val="00350F44"/>
    <w:rsid w:val="003578CA"/>
    <w:rsid w:val="0036072D"/>
    <w:rsid w:val="0036224B"/>
    <w:rsid w:val="00362A27"/>
    <w:rsid w:val="0036463D"/>
    <w:rsid w:val="003676E1"/>
    <w:rsid w:val="00376B24"/>
    <w:rsid w:val="0038790F"/>
    <w:rsid w:val="00390E30"/>
    <w:rsid w:val="003933A5"/>
    <w:rsid w:val="003A1D17"/>
    <w:rsid w:val="003B1A8A"/>
    <w:rsid w:val="003C0DFD"/>
    <w:rsid w:val="003D64E1"/>
    <w:rsid w:val="003D7951"/>
    <w:rsid w:val="003E36F5"/>
    <w:rsid w:val="003E4AF9"/>
    <w:rsid w:val="003E4B57"/>
    <w:rsid w:val="003E7576"/>
    <w:rsid w:val="003F3BBE"/>
    <w:rsid w:val="003F4E07"/>
    <w:rsid w:val="003F555B"/>
    <w:rsid w:val="003F5DDF"/>
    <w:rsid w:val="00417560"/>
    <w:rsid w:val="0042420A"/>
    <w:rsid w:val="00431891"/>
    <w:rsid w:val="00443BCC"/>
    <w:rsid w:val="0045111B"/>
    <w:rsid w:val="00451FE9"/>
    <w:rsid w:val="00453A4E"/>
    <w:rsid w:val="004563E2"/>
    <w:rsid w:val="004627F8"/>
    <w:rsid w:val="00463B6D"/>
    <w:rsid w:val="00463E3C"/>
    <w:rsid w:val="0046659A"/>
    <w:rsid w:val="00467FDB"/>
    <w:rsid w:val="00474ED4"/>
    <w:rsid w:val="0048222D"/>
    <w:rsid w:val="00482875"/>
    <w:rsid w:val="00491BD6"/>
    <w:rsid w:val="0049618D"/>
    <w:rsid w:val="004A0D1C"/>
    <w:rsid w:val="004A0EFB"/>
    <w:rsid w:val="004A1EB7"/>
    <w:rsid w:val="004B1E95"/>
    <w:rsid w:val="004B2827"/>
    <w:rsid w:val="004C2DD9"/>
    <w:rsid w:val="004C3A28"/>
    <w:rsid w:val="004C3DA7"/>
    <w:rsid w:val="004C4843"/>
    <w:rsid w:val="004C5AD6"/>
    <w:rsid w:val="004D1995"/>
    <w:rsid w:val="004D3498"/>
    <w:rsid w:val="004E1C47"/>
    <w:rsid w:val="004E7463"/>
    <w:rsid w:val="004F0ACA"/>
    <w:rsid w:val="004F3CA5"/>
    <w:rsid w:val="005003AA"/>
    <w:rsid w:val="00500689"/>
    <w:rsid w:val="00510EAA"/>
    <w:rsid w:val="00511B8E"/>
    <w:rsid w:val="005130C0"/>
    <w:rsid w:val="005137EE"/>
    <w:rsid w:val="0051396A"/>
    <w:rsid w:val="00517EBD"/>
    <w:rsid w:val="00526749"/>
    <w:rsid w:val="005328E7"/>
    <w:rsid w:val="0053573B"/>
    <w:rsid w:val="0054508B"/>
    <w:rsid w:val="00545FFE"/>
    <w:rsid w:val="005463B7"/>
    <w:rsid w:val="00553B03"/>
    <w:rsid w:val="00564C91"/>
    <w:rsid w:val="00571946"/>
    <w:rsid w:val="00574DEE"/>
    <w:rsid w:val="00575EDA"/>
    <w:rsid w:val="00583F94"/>
    <w:rsid w:val="00583FBF"/>
    <w:rsid w:val="005A3EF8"/>
    <w:rsid w:val="005A49AB"/>
    <w:rsid w:val="005A4D86"/>
    <w:rsid w:val="005B1DA6"/>
    <w:rsid w:val="005B3A1D"/>
    <w:rsid w:val="005C0EC6"/>
    <w:rsid w:val="005C6037"/>
    <w:rsid w:val="005D22E9"/>
    <w:rsid w:val="005D2ACC"/>
    <w:rsid w:val="005D323D"/>
    <w:rsid w:val="005D5626"/>
    <w:rsid w:val="005E4CC5"/>
    <w:rsid w:val="005F43A3"/>
    <w:rsid w:val="006043A9"/>
    <w:rsid w:val="00604B74"/>
    <w:rsid w:val="00611DD2"/>
    <w:rsid w:val="00640A1C"/>
    <w:rsid w:val="00644E17"/>
    <w:rsid w:val="00650022"/>
    <w:rsid w:val="00651464"/>
    <w:rsid w:val="00662C50"/>
    <w:rsid w:val="006640FE"/>
    <w:rsid w:val="006701FE"/>
    <w:rsid w:val="00670668"/>
    <w:rsid w:val="00681A1D"/>
    <w:rsid w:val="006903EF"/>
    <w:rsid w:val="00692D91"/>
    <w:rsid w:val="00694F2A"/>
    <w:rsid w:val="006965FC"/>
    <w:rsid w:val="006A24A0"/>
    <w:rsid w:val="006A5C7B"/>
    <w:rsid w:val="006A630E"/>
    <w:rsid w:val="006B2BAD"/>
    <w:rsid w:val="006B39F9"/>
    <w:rsid w:val="006D3BA2"/>
    <w:rsid w:val="006D652D"/>
    <w:rsid w:val="006E4341"/>
    <w:rsid w:val="006E4C17"/>
    <w:rsid w:val="006E58F4"/>
    <w:rsid w:val="006F23E8"/>
    <w:rsid w:val="00700B93"/>
    <w:rsid w:val="00702E57"/>
    <w:rsid w:val="00705A84"/>
    <w:rsid w:val="0071023A"/>
    <w:rsid w:val="00711A61"/>
    <w:rsid w:val="007134E5"/>
    <w:rsid w:val="00714270"/>
    <w:rsid w:val="007177A9"/>
    <w:rsid w:val="00732713"/>
    <w:rsid w:val="00734373"/>
    <w:rsid w:val="00737E3E"/>
    <w:rsid w:val="007414A1"/>
    <w:rsid w:val="00742C48"/>
    <w:rsid w:val="00746665"/>
    <w:rsid w:val="00756CBE"/>
    <w:rsid w:val="007627E9"/>
    <w:rsid w:val="00766486"/>
    <w:rsid w:val="00782982"/>
    <w:rsid w:val="0078766A"/>
    <w:rsid w:val="007934E3"/>
    <w:rsid w:val="00795A25"/>
    <w:rsid w:val="007A48B2"/>
    <w:rsid w:val="007B0919"/>
    <w:rsid w:val="007D11BB"/>
    <w:rsid w:val="007D2E3D"/>
    <w:rsid w:val="007D46BA"/>
    <w:rsid w:val="007E01FA"/>
    <w:rsid w:val="007E1065"/>
    <w:rsid w:val="007E1F9C"/>
    <w:rsid w:val="007E70C4"/>
    <w:rsid w:val="007E72B3"/>
    <w:rsid w:val="00805550"/>
    <w:rsid w:val="00805F11"/>
    <w:rsid w:val="00812635"/>
    <w:rsid w:val="008128B9"/>
    <w:rsid w:val="00834519"/>
    <w:rsid w:val="0083798A"/>
    <w:rsid w:val="00842AE2"/>
    <w:rsid w:val="008479E1"/>
    <w:rsid w:val="00850F3A"/>
    <w:rsid w:val="00855954"/>
    <w:rsid w:val="00857DF7"/>
    <w:rsid w:val="0086124A"/>
    <w:rsid w:val="008619C7"/>
    <w:rsid w:val="00864100"/>
    <w:rsid w:val="00877A1B"/>
    <w:rsid w:val="00880D6F"/>
    <w:rsid w:val="008931D2"/>
    <w:rsid w:val="00894378"/>
    <w:rsid w:val="008A73C1"/>
    <w:rsid w:val="008C1F7D"/>
    <w:rsid w:val="008C2B91"/>
    <w:rsid w:val="008C4C8F"/>
    <w:rsid w:val="008D6B27"/>
    <w:rsid w:val="008D6B63"/>
    <w:rsid w:val="008E2CD2"/>
    <w:rsid w:val="008E6F56"/>
    <w:rsid w:val="008F3DB7"/>
    <w:rsid w:val="008F7330"/>
    <w:rsid w:val="00902C32"/>
    <w:rsid w:val="00921414"/>
    <w:rsid w:val="00926352"/>
    <w:rsid w:val="0092727D"/>
    <w:rsid w:val="00927576"/>
    <w:rsid w:val="00927877"/>
    <w:rsid w:val="00936DA0"/>
    <w:rsid w:val="009423D6"/>
    <w:rsid w:val="00947A87"/>
    <w:rsid w:val="00953C11"/>
    <w:rsid w:val="00954395"/>
    <w:rsid w:val="0096383A"/>
    <w:rsid w:val="00981EC7"/>
    <w:rsid w:val="0098200E"/>
    <w:rsid w:val="009825CF"/>
    <w:rsid w:val="00983D8B"/>
    <w:rsid w:val="009939D5"/>
    <w:rsid w:val="00994DF3"/>
    <w:rsid w:val="00995FB7"/>
    <w:rsid w:val="009A165A"/>
    <w:rsid w:val="009C0887"/>
    <w:rsid w:val="009C37F6"/>
    <w:rsid w:val="009C505A"/>
    <w:rsid w:val="009C50E7"/>
    <w:rsid w:val="009D1185"/>
    <w:rsid w:val="009E43A3"/>
    <w:rsid w:val="009E5CE9"/>
    <w:rsid w:val="00A00F00"/>
    <w:rsid w:val="00A03028"/>
    <w:rsid w:val="00A05CAB"/>
    <w:rsid w:val="00A17EAC"/>
    <w:rsid w:val="00A20128"/>
    <w:rsid w:val="00A20DB2"/>
    <w:rsid w:val="00A216B6"/>
    <w:rsid w:val="00A21D1E"/>
    <w:rsid w:val="00A224FC"/>
    <w:rsid w:val="00A23E6B"/>
    <w:rsid w:val="00A24292"/>
    <w:rsid w:val="00A278AD"/>
    <w:rsid w:val="00A363E5"/>
    <w:rsid w:val="00A47AAA"/>
    <w:rsid w:val="00A55A9E"/>
    <w:rsid w:val="00A55B97"/>
    <w:rsid w:val="00A61F71"/>
    <w:rsid w:val="00A678D6"/>
    <w:rsid w:val="00A71FC2"/>
    <w:rsid w:val="00A75437"/>
    <w:rsid w:val="00A75CA9"/>
    <w:rsid w:val="00A81832"/>
    <w:rsid w:val="00A877A5"/>
    <w:rsid w:val="00AA11BC"/>
    <w:rsid w:val="00AA36CE"/>
    <w:rsid w:val="00AA4F6B"/>
    <w:rsid w:val="00AB3B05"/>
    <w:rsid w:val="00AB795C"/>
    <w:rsid w:val="00AD5CF4"/>
    <w:rsid w:val="00AD67A6"/>
    <w:rsid w:val="00AD689F"/>
    <w:rsid w:val="00AE296C"/>
    <w:rsid w:val="00AE433B"/>
    <w:rsid w:val="00AE6AD5"/>
    <w:rsid w:val="00AF4E4F"/>
    <w:rsid w:val="00B0523C"/>
    <w:rsid w:val="00B067F7"/>
    <w:rsid w:val="00B10174"/>
    <w:rsid w:val="00B12BE4"/>
    <w:rsid w:val="00B1452B"/>
    <w:rsid w:val="00B2220D"/>
    <w:rsid w:val="00B22CF9"/>
    <w:rsid w:val="00B24397"/>
    <w:rsid w:val="00B2508D"/>
    <w:rsid w:val="00B251D7"/>
    <w:rsid w:val="00B26065"/>
    <w:rsid w:val="00B30B3D"/>
    <w:rsid w:val="00B32C3B"/>
    <w:rsid w:val="00B32CB0"/>
    <w:rsid w:val="00B3362D"/>
    <w:rsid w:val="00B34A75"/>
    <w:rsid w:val="00B3519E"/>
    <w:rsid w:val="00B36293"/>
    <w:rsid w:val="00B36F56"/>
    <w:rsid w:val="00B555A2"/>
    <w:rsid w:val="00B63693"/>
    <w:rsid w:val="00B64BEC"/>
    <w:rsid w:val="00B6636A"/>
    <w:rsid w:val="00B67D55"/>
    <w:rsid w:val="00B85109"/>
    <w:rsid w:val="00B90892"/>
    <w:rsid w:val="00B95B81"/>
    <w:rsid w:val="00B97F29"/>
    <w:rsid w:val="00BA1ACE"/>
    <w:rsid w:val="00BA4830"/>
    <w:rsid w:val="00BA6321"/>
    <w:rsid w:val="00BA7010"/>
    <w:rsid w:val="00BB3AB2"/>
    <w:rsid w:val="00BB52D4"/>
    <w:rsid w:val="00BC426B"/>
    <w:rsid w:val="00BC4D47"/>
    <w:rsid w:val="00BC5A5E"/>
    <w:rsid w:val="00BC70FB"/>
    <w:rsid w:val="00BD1671"/>
    <w:rsid w:val="00BD5FB6"/>
    <w:rsid w:val="00BE0661"/>
    <w:rsid w:val="00BE4633"/>
    <w:rsid w:val="00BE4767"/>
    <w:rsid w:val="00BF0519"/>
    <w:rsid w:val="00BF0CFE"/>
    <w:rsid w:val="00BF3713"/>
    <w:rsid w:val="00BF4DC7"/>
    <w:rsid w:val="00BF6DA7"/>
    <w:rsid w:val="00C135F4"/>
    <w:rsid w:val="00C21CC4"/>
    <w:rsid w:val="00C21D63"/>
    <w:rsid w:val="00C254C8"/>
    <w:rsid w:val="00C26A9D"/>
    <w:rsid w:val="00C32B1E"/>
    <w:rsid w:val="00C42A10"/>
    <w:rsid w:val="00C44D7C"/>
    <w:rsid w:val="00C531FE"/>
    <w:rsid w:val="00C53380"/>
    <w:rsid w:val="00C54222"/>
    <w:rsid w:val="00C66151"/>
    <w:rsid w:val="00C76902"/>
    <w:rsid w:val="00C82915"/>
    <w:rsid w:val="00C85728"/>
    <w:rsid w:val="00C9130F"/>
    <w:rsid w:val="00C973D7"/>
    <w:rsid w:val="00C975AB"/>
    <w:rsid w:val="00CA0B6B"/>
    <w:rsid w:val="00CA5CEF"/>
    <w:rsid w:val="00CA6074"/>
    <w:rsid w:val="00CB0A23"/>
    <w:rsid w:val="00CB44EA"/>
    <w:rsid w:val="00CB6552"/>
    <w:rsid w:val="00CB72FB"/>
    <w:rsid w:val="00CC133F"/>
    <w:rsid w:val="00CC1AA9"/>
    <w:rsid w:val="00CC2ABF"/>
    <w:rsid w:val="00CC42FA"/>
    <w:rsid w:val="00CC515C"/>
    <w:rsid w:val="00CC676E"/>
    <w:rsid w:val="00CC7A22"/>
    <w:rsid w:val="00CD2744"/>
    <w:rsid w:val="00CD62C0"/>
    <w:rsid w:val="00CE5F4D"/>
    <w:rsid w:val="00CE6BBF"/>
    <w:rsid w:val="00CE7669"/>
    <w:rsid w:val="00CF2692"/>
    <w:rsid w:val="00CF4630"/>
    <w:rsid w:val="00D10836"/>
    <w:rsid w:val="00D20C05"/>
    <w:rsid w:val="00D25753"/>
    <w:rsid w:val="00D30361"/>
    <w:rsid w:val="00D32281"/>
    <w:rsid w:val="00D37AF9"/>
    <w:rsid w:val="00D413D1"/>
    <w:rsid w:val="00D423CF"/>
    <w:rsid w:val="00D45D8F"/>
    <w:rsid w:val="00D53DB6"/>
    <w:rsid w:val="00D62B0B"/>
    <w:rsid w:val="00D634E1"/>
    <w:rsid w:val="00D67465"/>
    <w:rsid w:val="00D7543F"/>
    <w:rsid w:val="00D75FE9"/>
    <w:rsid w:val="00D779BF"/>
    <w:rsid w:val="00D81FDE"/>
    <w:rsid w:val="00D824DB"/>
    <w:rsid w:val="00D856B6"/>
    <w:rsid w:val="00D85FEC"/>
    <w:rsid w:val="00DA2435"/>
    <w:rsid w:val="00DB13C3"/>
    <w:rsid w:val="00DB1C2B"/>
    <w:rsid w:val="00DB1C4F"/>
    <w:rsid w:val="00DB2AAA"/>
    <w:rsid w:val="00DB49ED"/>
    <w:rsid w:val="00DB68A6"/>
    <w:rsid w:val="00DB7EA4"/>
    <w:rsid w:val="00DC173A"/>
    <w:rsid w:val="00DD2568"/>
    <w:rsid w:val="00DD4A5C"/>
    <w:rsid w:val="00DD5E3F"/>
    <w:rsid w:val="00DD6A12"/>
    <w:rsid w:val="00DE13C3"/>
    <w:rsid w:val="00DE55BB"/>
    <w:rsid w:val="00DE796B"/>
    <w:rsid w:val="00DF21D2"/>
    <w:rsid w:val="00DF490E"/>
    <w:rsid w:val="00DF4E7D"/>
    <w:rsid w:val="00E03E61"/>
    <w:rsid w:val="00E1482B"/>
    <w:rsid w:val="00E14D4E"/>
    <w:rsid w:val="00E23E92"/>
    <w:rsid w:val="00E40790"/>
    <w:rsid w:val="00E42C8D"/>
    <w:rsid w:val="00E444BA"/>
    <w:rsid w:val="00E50E74"/>
    <w:rsid w:val="00E568FE"/>
    <w:rsid w:val="00E70DB6"/>
    <w:rsid w:val="00E73562"/>
    <w:rsid w:val="00E82905"/>
    <w:rsid w:val="00E85789"/>
    <w:rsid w:val="00E94C11"/>
    <w:rsid w:val="00E94C3B"/>
    <w:rsid w:val="00E966D4"/>
    <w:rsid w:val="00EA133B"/>
    <w:rsid w:val="00EB731D"/>
    <w:rsid w:val="00EC626F"/>
    <w:rsid w:val="00EC6A26"/>
    <w:rsid w:val="00EC7675"/>
    <w:rsid w:val="00EC79D8"/>
    <w:rsid w:val="00EE20BF"/>
    <w:rsid w:val="00EE34D4"/>
    <w:rsid w:val="00F00A09"/>
    <w:rsid w:val="00F014C3"/>
    <w:rsid w:val="00F031EC"/>
    <w:rsid w:val="00F05A60"/>
    <w:rsid w:val="00F10AFF"/>
    <w:rsid w:val="00F20F1F"/>
    <w:rsid w:val="00F2323C"/>
    <w:rsid w:val="00F24358"/>
    <w:rsid w:val="00F316EE"/>
    <w:rsid w:val="00F31D16"/>
    <w:rsid w:val="00F46276"/>
    <w:rsid w:val="00F52899"/>
    <w:rsid w:val="00F52FD6"/>
    <w:rsid w:val="00F55F71"/>
    <w:rsid w:val="00F57799"/>
    <w:rsid w:val="00F72AD1"/>
    <w:rsid w:val="00F7494D"/>
    <w:rsid w:val="00F814F3"/>
    <w:rsid w:val="00F8495C"/>
    <w:rsid w:val="00F87D6D"/>
    <w:rsid w:val="00F90DBB"/>
    <w:rsid w:val="00F923AA"/>
    <w:rsid w:val="00F948FC"/>
    <w:rsid w:val="00F97B1E"/>
    <w:rsid w:val="00FA7B88"/>
    <w:rsid w:val="00FC0950"/>
    <w:rsid w:val="00FC11D3"/>
    <w:rsid w:val="00FC7CC7"/>
    <w:rsid w:val="00FD3CEE"/>
    <w:rsid w:val="00FE05A3"/>
    <w:rsid w:val="00FE24DC"/>
    <w:rsid w:val="00FE4EEB"/>
    <w:rsid w:val="00FF47F6"/>
    <w:rsid w:val="00FF49CB"/>
    <w:rsid w:val="00FF5D30"/>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0DEE7"/>
  <w15:docId w15:val="{7696752C-7E62-4A9C-922F-D5966613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rFonts w:eastAsia="Times New Roman"/>
      <w:b/>
      <w:bCs/>
      <w:color w:val="000000"/>
      <w:sz w:val="24"/>
      <w:szCs w:val="24"/>
    </w:rPr>
  </w:style>
  <w:style w:type="paragraph" w:styleId="Heading2">
    <w:name w:val="heading 2"/>
    <w:basedOn w:val="Normal"/>
    <w:next w:val="Normal"/>
    <w:link w:val="Heading2Char"/>
    <w:uiPriority w:val="9"/>
    <w:unhideWhenUsed/>
    <w:qFormat/>
    <w:rsid w:val="00902C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ageNumber">
    <w:name w:val="page number"/>
    <w:basedOn w:val="DefaultParagraphFont"/>
    <w:uiPriority w:val="99"/>
    <w:semiHidden/>
    <w:unhideWhenUsed/>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eastAsia="Times New Roman"/>
      <w:b/>
      <w:bCs/>
      <w:color w:val="000000"/>
      <w:sz w:val="24"/>
      <w:szCs w:val="24"/>
    </w:rPr>
  </w:style>
  <w:style w:type="paragraph" w:styleId="FootnoteText">
    <w:name w:val="footnote text"/>
    <w:basedOn w:val="Normal"/>
    <w:link w:val="FootnoteTextChar"/>
    <w:uiPriority w:val="99"/>
    <w:unhideWhenUsed/>
    <w:rsid w:val="00C66151"/>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rsid w:val="00C66151"/>
    <w:rPr>
      <w:rFonts w:ascii="Times New Roman" w:eastAsia="Times New Roman" w:hAnsi="Times New Roman" w:cs="Times New Roman"/>
      <w:sz w:val="20"/>
      <w:szCs w:val="20"/>
      <w:lang w:val="en-US" w:eastAsia="en-GB"/>
    </w:rPr>
  </w:style>
  <w:style w:type="character" w:styleId="FootnoteReference">
    <w:name w:val="footnote reference"/>
    <w:basedOn w:val="DefaultParagraphFont"/>
    <w:uiPriority w:val="99"/>
    <w:unhideWhenUsed/>
    <w:rsid w:val="00C66151"/>
    <w:rPr>
      <w:vertAlign w:val="superscript"/>
    </w:rPr>
  </w:style>
  <w:style w:type="paragraph" w:styleId="ListParagraph">
    <w:name w:val="List Paragraph"/>
    <w:aliases w:val="Dot pt,F5 List Paragraph,List Paragraph1,Colorful List - Accent 11,No Spacing1,List Paragraph Char Char Char,Indicator Text,Numbered Para 1,Bullet 1,Bullet Points,List Paragraph2,MAIN CONTENT,OBC Bullet,List Paragraph12"/>
    <w:basedOn w:val="Normal"/>
    <w:link w:val="ListParagraphChar"/>
    <w:uiPriority w:val="34"/>
    <w:qFormat/>
    <w:rsid w:val="00C66151"/>
    <w:pPr>
      <w:ind w:left="720"/>
      <w:contextualSpacing/>
    </w:pPr>
    <w:rPr>
      <w:rFonts w:ascii="Calibri" w:eastAsia="Calibri" w:hAnsi="Calibri" w:cs="Calibri"/>
      <w:sz w:val="24"/>
      <w:szCs w:val="24"/>
      <w:lang w:val="en-US" w:eastAsia="en-GB"/>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List Paragraph2 Char"/>
    <w:link w:val="ListParagraph"/>
    <w:uiPriority w:val="34"/>
    <w:qFormat/>
    <w:locked/>
    <w:rsid w:val="00C66151"/>
    <w:rPr>
      <w:rFonts w:ascii="Calibri" w:eastAsia="Calibri" w:hAnsi="Calibri" w:cs="Calibri"/>
      <w:sz w:val="24"/>
      <w:szCs w:val="24"/>
      <w:lang w:val="en-US" w:eastAsia="en-GB"/>
    </w:rPr>
  </w:style>
  <w:style w:type="paragraph" w:styleId="NormalWeb">
    <w:name w:val="Normal (Web)"/>
    <w:basedOn w:val="Normal"/>
    <w:uiPriority w:val="99"/>
    <w:unhideWhenUsed/>
    <w:rsid w:val="00C66151"/>
    <w:pPr>
      <w:spacing w:before="100" w:beforeAutospacing="1" w:after="100" w:afterAutospacing="1"/>
    </w:pPr>
    <w:rPr>
      <w:rFonts w:ascii="Times New Roman" w:eastAsia="Times New Roman" w:hAnsi="Times New Roman" w:cs="Times New Roman"/>
      <w:sz w:val="24"/>
      <w:szCs w:val="24"/>
      <w:lang w:val="da-DK" w:eastAsia="en-GB"/>
    </w:rPr>
  </w:style>
  <w:style w:type="paragraph" w:styleId="CommentText">
    <w:name w:val="annotation text"/>
    <w:basedOn w:val="Normal"/>
    <w:link w:val="CommentTextChar"/>
    <w:uiPriority w:val="99"/>
    <w:unhideWhenUsed/>
    <w:rsid w:val="00C66151"/>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66151"/>
    <w:rPr>
      <w:rFonts w:asciiTheme="minorHAnsi" w:hAnsiTheme="minorHAnsi" w:cstheme="minorBidi"/>
      <w:sz w:val="20"/>
      <w:szCs w:val="20"/>
      <w:lang w:val="en-GB"/>
    </w:rPr>
  </w:style>
  <w:style w:type="character" w:customStyle="1" w:styleId="Heading2Char">
    <w:name w:val="Heading 2 Char"/>
    <w:basedOn w:val="DefaultParagraphFont"/>
    <w:link w:val="Heading2"/>
    <w:uiPriority w:val="9"/>
    <w:rsid w:val="00902C32"/>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491BD6"/>
    <w:rPr>
      <w:color w:val="605E5C"/>
      <w:shd w:val="clear" w:color="auto" w:fill="E1DFDD"/>
    </w:rPr>
  </w:style>
  <w:style w:type="paragraph" w:customStyle="1" w:styleId="Char1">
    <w:name w:val="Char1"/>
    <w:basedOn w:val="Normal"/>
    <w:rsid w:val="001A75B9"/>
    <w:pPr>
      <w:spacing w:after="160" w:line="240" w:lineRule="exact"/>
    </w:pPr>
    <w:rPr>
      <w:rFonts w:ascii="Verdana" w:eastAsia="Times New Roman" w:hAnsi="Verdana" w:cs="Times New Roman"/>
      <w:sz w:val="20"/>
      <w:szCs w:val="20"/>
    </w:rPr>
  </w:style>
  <w:style w:type="paragraph" w:customStyle="1" w:styleId="p">
    <w:name w:val="p"/>
    <w:basedOn w:val="Normal"/>
    <w:rsid w:val="006965FC"/>
    <w:pPr>
      <w:spacing w:before="100" w:beforeAutospacing="1" w:after="100" w:afterAutospacing="1"/>
    </w:pPr>
    <w:rPr>
      <w:rFonts w:ascii="Times New Roman" w:eastAsia="Times New Roman" w:hAnsi="Times New Roman" w:cs="Times New Roman"/>
      <w:sz w:val="24"/>
      <w:szCs w:val="24"/>
      <w:lang w:eastAsia="en-ZA"/>
    </w:rPr>
  </w:style>
  <w:style w:type="paragraph" w:styleId="Revision">
    <w:name w:val="Revision"/>
    <w:hidden/>
    <w:uiPriority w:val="99"/>
    <w:semiHidden/>
    <w:rsid w:val="002E4395"/>
  </w:style>
  <w:style w:type="character" w:styleId="CommentReference">
    <w:name w:val="annotation reference"/>
    <w:basedOn w:val="DefaultParagraphFont"/>
    <w:uiPriority w:val="99"/>
    <w:semiHidden/>
    <w:unhideWhenUsed/>
    <w:rsid w:val="0014655E"/>
    <w:rPr>
      <w:sz w:val="16"/>
      <w:szCs w:val="16"/>
    </w:rPr>
  </w:style>
  <w:style w:type="paragraph" w:styleId="CommentSubject">
    <w:name w:val="annotation subject"/>
    <w:basedOn w:val="CommentText"/>
    <w:next w:val="CommentText"/>
    <w:link w:val="CommentSubjectChar"/>
    <w:uiPriority w:val="99"/>
    <w:semiHidden/>
    <w:unhideWhenUsed/>
    <w:rsid w:val="0014655E"/>
    <w:rPr>
      <w:rFonts w:ascii="Arial" w:hAnsi="Arial" w:cs="Arial"/>
      <w:b/>
      <w:bCs/>
      <w:lang w:val="en-ZA"/>
    </w:rPr>
  </w:style>
  <w:style w:type="character" w:customStyle="1" w:styleId="CommentSubjectChar">
    <w:name w:val="Comment Subject Char"/>
    <w:basedOn w:val="CommentTextChar"/>
    <w:link w:val="CommentSubject"/>
    <w:uiPriority w:val="99"/>
    <w:semiHidden/>
    <w:rsid w:val="0014655E"/>
    <w:rPr>
      <w:rFonts w:asciiTheme="minorHAnsi" w:hAnsiTheme="minorHAnsi" w:cstheme="minorBid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12141099">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20093766">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03908679">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22947182">
          <w:marLeft w:val="0"/>
          <w:marRight w:val="0"/>
          <w:marTop w:val="0"/>
          <w:marBottom w:val="0"/>
          <w:divBdr>
            <w:top w:val="none" w:sz="0" w:space="0" w:color="auto"/>
            <w:left w:val="none" w:sz="0" w:space="0" w:color="auto"/>
            <w:bottom w:val="none" w:sz="0" w:space="0" w:color="auto"/>
            <w:right w:val="none" w:sz="0" w:space="0" w:color="auto"/>
          </w:divBdr>
          <w:divsChild>
            <w:div w:id="2096632596">
              <w:marLeft w:val="0"/>
              <w:marRight w:val="0"/>
              <w:marTop w:val="0"/>
              <w:marBottom w:val="0"/>
              <w:divBdr>
                <w:top w:val="none" w:sz="0" w:space="0" w:color="auto"/>
                <w:left w:val="none" w:sz="0" w:space="0" w:color="auto"/>
                <w:bottom w:val="none" w:sz="0" w:space="0" w:color="auto"/>
                <w:right w:val="none" w:sz="0" w:space="0" w:color="auto"/>
              </w:divBdr>
            </w:div>
            <w:div w:id="1694843635">
              <w:marLeft w:val="0"/>
              <w:marRight w:val="0"/>
              <w:marTop w:val="0"/>
              <w:marBottom w:val="0"/>
              <w:divBdr>
                <w:top w:val="none" w:sz="0" w:space="0" w:color="auto"/>
                <w:left w:val="none" w:sz="0" w:space="0" w:color="auto"/>
                <w:bottom w:val="none" w:sz="0" w:space="0" w:color="auto"/>
                <w:right w:val="none" w:sz="0" w:space="0" w:color="auto"/>
              </w:divBdr>
            </w:div>
            <w:div w:id="213274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bmcinthealthhumrights.biomedcentral.com/articles/10.1186/s12914-017-0124-4" TargetMode="External"/><Relationship Id="rId13" Type="http://schemas.openxmlformats.org/officeDocument/2006/relationships/hyperlink" Target="https://www.hrw.org/news/2021/11/24/south-africa-broken-promises-aid-gender-based-violence-survivors" TargetMode="External"/><Relationship Id="rId18" Type="http://schemas.openxmlformats.org/officeDocument/2006/relationships/hyperlink" Target="http://www.statssa.gov.za/MDG/SDGs_Country_Report_2019_South_Africa.pdf" TargetMode="External"/><Relationship Id="rId3" Type="http://schemas.openxmlformats.org/officeDocument/2006/relationships/hyperlink" Target="https://journals.plos.org/plosone/article?id=10.1371/journal.pone.0053552" TargetMode="External"/><Relationship Id="rId7" Type="http://schemas.openxmlformats.org/officeDocument/2006/relationships/hyperlink" Target="https://sanac.org.za/wp-content/uploads/2017/06/LGBTI-HIV-Plan-Final.pdf" TargetMode="External"/><Relationship Id="rId12" Type="http://schemas.openxmlformats.org/officeDocument/2006/relationships/hyperlink" Target="https://www.gov.za/sites/default/files/gcis_document/201409/a49-03.pdf" TargetMode="External"/><Relationship Id="rId17" Type="http://schemas.openxmlformats.org/officeDocument/2006/relationships/hyperlink" Target="https://sahivsoc.org/Files/SAHCS%20GAHC%20guidelines.pdf" TargetMode="External"/><Relationship Id="rId2" Type="http://schemas.openxmlformats.org/officeDocument/2006/relationships/hyperlink" Target="https://aidsinfo.unaids.org/" TargetMode="External"/><Relationship Id="rId16" Type="http://schemas.openxmlformats.org/officeDocument/2006/relationships/hyperlink" Target="https://www.ru.ac.za/media/rhodesuniversity/content/criticalstudiesinsexualitiesandreproduction/documents/Life_Orientation_Policy_Brief_Final.pdf" TargetMode="External"/><Relationship Id="rId1" Type="http://schemas.openxmlformats.org/officeDocument/2006/relationships/hyperlink" Target="http://www.statssa.gov.za/publications/P0318/P03182020.pdf" TargetMode="External"/><Relationship Id="rId6" Type="http://schemas.openxmlformats.org/officeDocument/2006/relationships/hyperlink" Target="https://sanac.org.za/wp-content/uploads/2017/06/NSP_FullDocument_FINAL-1.pdf" TargetMode="External"/><Relationship Id="rId11" Type="http://schemas.openxmlformats.org/officeDocument/2006/relationships/hyperlink" Target="https://www.ncbi.nlm.nih.gov/pmc/articles/PMC6676963/" TargetMode="External"/><Relationship Id="rId5" Type="http://schemas.openxmlformats.org/officeDocument/2006/relationships/hyperlink" Target="https://www.justice.gov.za/vg/gbv/NSP-GBVF-FINAL-DOC-04-05.pdf" TargetMode="External"/><Relationship Id="rId15" Type="http://schemas.openxmlformats.org/officeDocument/2006/relationships/hyperlink" Target="https://www.education.gov.za/Home/ComprehensiveSexualityEducation.aspx" TargetMode="External"/><Relationship Id="rId10" Type="http://schemas.openxmlformats.org/officeDocument/2006/relationships/hyperlink" Target="https://www.spotlightnsp.co.za/2021/09/14/in-depth-the-incredibly-long-wait-for-gender-affirming-surgery-for-those-who-cant-pay/" TargetMode="External"/><Relationship Id="rId4" Type="http://schemas.openxmlformats.org/officeDocument/2006/relationships/hyperlink" Target="https://www.gov.za/sites/default/files/gcis_document/202006/drug-master-plan.pdf" TargetMode="External"/><Relationship Id="rId9" Type="http://schemas.openxmlformats.org/officeDocument/2006/relationships/hyperlink" Target="https://bmcinthealthhumrights.biomedcentral.com/articles/10.1186/s12914-017-0124-4" TargetMode="External"/><Relationship Id="rId14" Type="http://schemas.openxmlformats.org/officeDocument/2006/relationships/hyperlink" Target="https://www.ncbi.nlm.nih.gov/pmc/articles/PMC65569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Academics and other individuals</Category>
    <Doctype xmlns="d42e65b2-cf21-49c1-b27d-d23f90380c0e">input</Doctype>
    <Contributor xmlns="d42e65b2-cf21-49c1-b27d-d23f90380c0e">Centre for Human Rights, University of Pretoria</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BD09A3BB-7EEE-2A43-89FF-5C3A3225BE03}">
  <ds:schemaRefs>
    <ds:schemaRef ds:uri="http://schemas.openxmlformats.org/officeDocument/2006/bibliography"/>
  </ds:schemaRefs>
</ds:datastoreItem>
</file>

<file path=customXml/itemProps2.xml><?xml version="1.0" encoding="utf-8"?>
<ds:datastoreItem xmlns:ds="http://schemas.openxmlformats.org/officeDocument/2006/customXml" ds:itemID="{0BE67E53-64C1-47B2-AB38-B6D1E1B271E7}"/>
</file>

<file path=customXml/itemProps3.xml><?xml version="1.0" encoding="utf-8"?>
<ds:datastoreItem xmlns:ds="http://schemas.openxmlformats.org/officeDocument/2006/customXml" ds:itemID="{65529418-D7B7-4DBF-B187-271A8A6CDA24}"/>
</file>

<file path=customXml/itemProps4.xml><?xml version="1.0" encoding="utf-8"?>
<ds:datastoreItem xmlns:ds="http://schemas.openxmlformats.org/officeDocument/2006/customXml" ds:itemID="{85839818-EDC7-4190-B353-8776F97B9EC7}"/>
</file>

<file path=docProps/app.xml><?xml version="1.0" encoding="utf-8"?>
<Properties xmlns="http://schemas.openxmlformats.org/officeDocument/2006/extended-properties" xmlns:vt="http://schemas.openxmlformats.org/officeDocument/2006/docPropsVTypes">
  <Template>Normal.dotm</Template>
  <TotalTime>1</TotalTime>
  <Pages>6</Pages>
  <Words>2337</Words>
  <Characters>13326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Human Rights</dc:creator>
  <cp:lastModifiedBy>Frans Viljoen, Prof</cp:lastModifiedBy>
  <cp:revision>2</cp:revision>
  <cp:lastPrinted>2019-08-19T09:12:00Z</cp:lastPrinted>
  <dcterms:created xsi:type="dcterms:W3CDTF">2022-02-09T07:44:00Z</dcterms:created>
  <dcterms:modified xsi:type="dcterms:W3CDTF">2022-02-09T07:44:00Z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