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101B"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b/>
          <w:sz w:val="22"/>
          <w:szCs w:val="22"/>
          <w:lang w:val="en-US"/>
        </w:rPr>
        <w:t>Report on colonialism and sexual orientation and gender identity in Eastern Europe and Central Asia (EECA) region</w:t>
      </w:r>
    </w:p>
    <w:p w14:paraId="240FB7AC" w14:textId="77777777" w:rsidR="00E43164" w:rsidRPr="00E43164" w:rsidRDefault="00E43164" w:rsidP="00E43164">
      <w:pPr>
        <w:spacing w:line="276" w:lineRule="auto"/>
        <w:jc w:val="both"/>
        <w:rPr>
          <w:rFonts w:ascii="Tahoma" w:hAnsi="Tahoma" w:cs="Tahoma"/>
          <w:sz w:val="22"/>
          <w:szCs w:val="22"/>
          <w:lang w:val="en-US"/>
        </w:rPr>
      </w:pPr>
    </w:p>
    <w:p w14:paraId="0A060F7D" w14:textId="77777777" w:rsidR="00E43164" w:rsidRPr="00E43164" w:rsidRDefault="00E43164" w:rsidP="00E43164">
      <w:pPr>
        <w:spacing w:line="276" w:lineRule="auto"/>
        <w:jc w:val="both"/>
        <w:rPr>
          <w:rFonts w:ascii="Tahoma" w:hAnsi="Tahoma" w:cs="Tahoma"/>
          <w:b/>
          <w:sz w:val="22"/>
          <w:szCs w:val="22"/>
          <w:lang w:val="en-US"/>
        </w:rPr>
      </w:pPr>
      <w:r w:rsidRPr="00E43164">
        <w:rPr>
          <w:rFonts w:ascii="Tahoma" w:hAnsi="Tahoma" w:cs="Tahoma"/>
          <w:b/>
          <w:sz w:val="22"/>
          <w:szCs w:val="22"/>
          <w:lang w:val="en-US"/>
        </w:rPr>
        <w:t>Introduction</w:t>
      </w:r>
    </w:p>
    <w:p w14:paraId="258CE542"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This report focuses on the impact of colonialism on sexual orientation and gender identity in Eastern Europe and Central Asia (EECA) region and explores the enduring effects of Soviet and post-Soviet era laws on the rights and freedoms of the LGBT community in the region. We will look at what colonial laws regulating sexual orientation and gender identity are still in place today as well as explore what the ongoing impact of gender- and sex-regulating colonial laws on the enjoyment of human rights by LGBT persons is. </w:t>
      </w:r>
    </w:p>
    <w:p w14:paraId="2943ED52"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Throughout history, the Soviet Union and then its successor, Russia, which represents colonial powers in the region, have exerted control over their territories by implementing or pushing laws that regulate various aspects of society, including sexual orientation and gender identity. These laws were introduced and enforced with the intention of imposing and maintaining colonial power dynamics. They often aimed to prohibit certain sexual acts and regulate gender identities and expressions. </w:t>
      </w:r>
    </w:p>
    <w:p w14:paraId="2DF41C30"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The persistence of these laws, coupled with widespread societal and religious homophobia, policy influences from contemporary Russia, and anti-Western sentiment, create a toxic environment for LGBT individuals. The consequences include a climate of fear and discrimination, violations of privacy and freedom of expression, and unequal protection under the law. This report seeks to highlight the importance of addressing and advocating for the reconsideration of colonial-era laws in the context of human rights and equality.</w:t>
      </w:r>
    </w:p>
    <w:p w14:paraId="08EA1629" w14:textId="77777777" w:rsidR="00E43164" w:rsidRPr="00E43164" w:rsidRDefault="00E43164" w:rsidP="00E43164">
      <w:pPr>
        <w:spacing w:line="276" w:lineRule="auto"/>
        <w:jc w:val="both"/>
        <w:rPr>
          <w:rFonts w:ascii="Tahoma" w:hAnsi="Tahoma" w:cs="Tahoma"/>
          <w:sz w:val="22"/>
          <w:szCs w:val="22"/>
          <w:lang w:val="en-US"/>
        </w:rPr>
      </w:pPr>
    </w:p>
    <w:p w14:paraId="1760E9A1" w14:textId="77777777" w:rsidR="00E43164" w:rsidRPr="00E43164" w:rsidRDefault="00E43164" w:rsidP="00E43164">
      <w:pPr>
        <w:spacing w:line="276" w:lineRule="auto"/>
        <w:jc w:val="both"/>
        <w:rPr>
          <w:rFonts w:ascii="Tahoma" w:hAnsi="Tahoma" w:cs="Tahoma"/>
          <w:b/>
          <w:sz w:val="22"/>
          <w:szCs w:val="22"/>
          <w:lang w:val="en-US"/>
        </w:rPr>
      </w:pPr>
      <w:r w:rsidRPr="00E43164">
        <w:rPr>
          <w:rFonts w:ascii="Tahoma" w:hAnsi="Tahoma" w:cs="Tahoma"/>
          <w:b/>
          <w:sz w:val="22"/>
          <w:szCs w:val="22"/>
          <w:lang w:val="en-US"/>
        </w:rPr>
        <w:t>The Continuing Effects of Soviet Articles</w:t>
      </w:r>
    </w:p>
    <w:p w14:paraId="7BEF8AF2"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Under Joseph Stalin, the Soviet Union recriminalized homosexuality in a decree signed in 1933.</w:t>
      </w:r>
      <w:r w:rsidRPr="00E43164">
        <w:rPr>
          <w:rFonts w:ascii="Tahoma" w:hAnsi="Tahoma" w:cs="Tahoma"/>
          <w:sz w:val="22"/>
          <w:szCs w:val="22"/>
          <w:vertAlign w:val="superscript"/>
          <w:lang w:val="ru"/>
        </w:rPr>
        <w:footnoteReference w:id="1"/>
      </w:r>
      <w:r w:rsidRPr="00E43164">
        <w:rPr>
          <w:rFonts w:ascii="Tahoma" w:hAnsi="Tahoma" w:cs="Tahoma"/>
          <w:sz w:val="22"/>
          <w:szCs w:val="22"/>
          <w:lang w:val="en-US"/>
        </w:rPr>
        <w:t xml:space="preserve"> The new Article 121, which punished “muzhelozhstvo” with imprisonment for up to 5 years, saw raids and arrests. Lesbian and bisexual women were sent to mental institutions.</w:t>
      </w:r>
    </w:p>
    <w:p w14:paraId="2FB24E5E"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The legacy of colonial-era laws continues to cast a long shadow over the rights and freedoms of the LGBT community. Turkmenistan and Uzbekistan, former Soviet republics, have retained laws criminalizing homosexuality that were originally established during the Soviet era. On the example of Turkmenistan and Uzbekistan we can see how the criminalization of consensual same-sex relations creates a toxic environment for LGBT‌ people. </w:t>
      </w:r>
    </w:p>
    <w:p w14:paraId="667527B7"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In both Turkmenistan and Uzbekistan, laws criminalizing homosexuality persist, albeit with varying degrees of enforcement. Officially, consensual same-sex sexual activity is classified as a criminal offense, often punishable by imprisonment or fines. The enforcement of these laws has led to a climate of fear and discrimination against LGBT individuals, impacting their rights to privacy, freedom of expression, and equal protection under the law.</w:t>
      </w:r>
    </w:p>
    <w:p w14:paraId="378180D5"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lastRenderedPageBreak/>
        <w:t>According to ECOM report Uzbekistan's criminalization of consensual same-sex relations between men under Article 120 of the Criminal Code (sodomy) has dire consequences for LGBT individuals</w:t>
      </w:r>
      <w:r w:rsidRPr="00E43164">
        <w:rPr>
          <w:rFonts w:ascii="Tahoma" w:hAnsi="Tahoma" w:cs="Tahoma"/>
          <w:sz w:val="22"/>
          <w:szCs w:val="22"/>
          <w:vertAlign w:val="superscript"/>
          <w:lang w:val="ru"/>
        </w:rPr>
        <w:footnoteReference w:id="2"/>
      </w:r>
      <w:r w:rsidRPr="00E43164">
        <w:rPr>
          <w:rFonts w:ascii="Tahoma" w:hAnsi="Tahoma" w:cs="Tahoma"/>
          <w:sz w:val="22"/>
          <w:szCs w:val="22"/>
          <w:lang w:val="en-US"/>
        </w:rPr>
        <w:t xml:space="preserve">. </w:t>
      </w:r>
    </w:p>
    <w:p w14:paraId="7E382DB0"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The fear of abuse and extortion by both law enforcement and aggressive homophobes looms large, leading to a climate of intimidation. LGBT individuals face arbitrary detention, imprisonment, and severe discrimination. Due to the potential repercussions and lack of trust in the justice system, many victims choose not to report abuses, perpetuating a cycle of silence and further marginalization.</w:t>
      </w:r>
    </w:p>
    <w:p w14:paraId="4C3DAFA0" w14:textId="227EC284" w:rsidR="00E43164" w:rsidRPr="00E43164" w:rsidRDefault="00E43164" w:rsidP="00E43164">
      <w:pPr>
        <w:spacing w:line="276" w:lineRule="auto"/>
        <w:jc w:val="both"/>
        <w:rPr>
          <w:rFonts w:ascii="Tahoma" w:hAnsi="Tahoma" w:cs="Tahoma"/>
          <w:sz w:val="22"/>
          <w:szCs w:val="22"/>
          <w:lang w:val="en-US"/>
        </w:rPr>
      </w:pPr>
      <w:r>
        <w:rPr>
          <w:rFonts w:ascii="Tahoma" w:hAnsi="Tahoma" w:cs="Tahoma"/>
          <w:sz w:val="22"/>
          <w:szCs w:val="22"/>
          <w:lang w:val="en-US"/>
        </w:rPr>
        <w:t>Colonial-era laws</w:t>
      </w:r>
      <w:r>
        <w:rPr>
          <w:rFonts w:ascii="Tahoma" w:hAnsi="Tahoma" w:cs="Tahoma"/>
          <w:sz w:val="22"/>
          <w:szCs w:val="22"/>
          <w:lang w:val="ky-KG"/>
        </w:rPr>
        <w:t>,</w:t>
      </w:r>
      <w:r>
        <w:rPr>
          <w:rFonts w:ascii="Tahoma" w:hAnsi="Tahoma" w:cs="Tahoma"/>
          <w:sz w:val="22"/>
          <w:szCs w:val="22"/>
          <w:lang w:val="en-US"/>
        </w:rPr>
        <w:t xml:space="preserve"> along with </w:t>
      </w:r>
      <w:r w:rsidRPr="00E43164">
        <w:rPr>
          <w:rFonts w:ascii="Tahoma" w:hAnsi="Tahoma" w:cs="Tahoma"/>
          <w:sz w:val="22"/>
          <w:szCs w:val="22"/>
          <w:lang w:val="en-US"/>
        </w:rPr>
        <w:t>prevailing cultural attitudes</w:t>
      </w:r>
      <w:r>
        <w:rPr>
          <w:rFonts w:ascii="Tahoma" w:hAnsi="Tahoma" w:cs="Tahoma"/>
          <w:sz w:val="22"/>
          <w:szCs w:val="22"/>
          <w:lang w:val="ky-KG"/>
        </w:rPr>
        <w:t>,</w:t>
      </w:r>
      <w:r w:rsidRPr="00E43164">
        <w:rPr>
          <w:rFonts w:ascii="Tahoma" w:hAnsi="Tahoma" w:cs="Tahoma"/>
          <w:sz w:val="22"/>
          <w:szCs w:val="22"/>
          <w:lang w:val="en-US"/>
        </w:rPr>
        <w:t xml:space="preserve"> have deeply influenced the perception of homosexuality as a contagious disease that poses a threat to society. Families, upon learning or suspecting that a relative identifies as LGBT, often resort to subjecting them to medical consultations, religious interventions, or even banishment from the family home. Such social and moral stigmatization fuels discrimination and exclusion, hindering LGBT individuals from expressing their identities openly and freely not only in Uzbekistan but all through the region.</w:t>
      </w:r>
    </w:p>
    <w:p w14:paraId="75875C2C" w14:textId="76460E45"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In 2022 our organization recorded 81 cases of human rights violations against gay, bisexual</w:t>
      </w:r>
      <w:r>
        <w:rPr>
          <w:rFonts w:ascii="Tahoma" w:hAnsi="Tahoma" w:cs="Tahoma"/>
          <w:sz w:val="22"/>
          <w:szCs w:val="22"/>
          <w:lang w:val="ky-KG"/>
        </w:rPr>
        <w:t>,</w:t>
      </w:r>
      <w:r w:rsidRPr="00E43164">
        <w:rPr>
          <w:rFonts w:ascii="Tahoma" w:hAnsi="Tahoma" w:cs="Tahoma"/>
          <w:sz w:val="22"/>
          <w:szCs w:val="22"/>
          <w:lang w:val="en-US"/>
        </w:rPr>
        <w:t xml:space="preserve"> and trans people in Uzbekistan 2022</w:t>
      </w:r>
      <w:r w:rsidRPr="00E43164">
        <w:rPr>
          <w:rFonts w:ascii="Tahoma" w:hAnsi="Tahoma" w:cs="Tahoma"/>
          <w:sz w:val="22"/>
          <w:szCs w:val="22"/>
          <w:vertAlign w:val="superscript"/>
          <w:lang w:val="ru"/>
        </w:rPr>
        <w:footnoteReference w:id="3"/>
      </w:r>
      <w:r w:rsidRPr="00E43164">
        <w:rPr>
          <w:rFonts w:ascii="Tahoma" w:hAnsi="Tahoma" w:cs="Tahoma"/>
          <w:sz w:val="22"/>
          <w:szCs w:val="22"/>
          <w:lang w:val="en-US"/>
        </w:rPr>
        <w:t xml:space="preserve">. The most frequent perpetrators were law enforcement officials. Among this array of cases, five victims were convicted under Article 120 of the Criminal Code of the Republic of Uzbekistan. One of </w:t>
      </w:r>
      <w:r>
        <w:rPr>
          <w:rFonts w:ascii="Tahoma" w:hAnsi="Tahoma" w:cs="Tahoma"/>
          <w:sz w:val="22"/>
          <w:szCs w:val="22"/>
          <w:lang w:val="ky-KG"/>
        </w:rPr>
        <w:t>the case</w:t>
      </w:r>
      <w:r w:rsidRPr="00E43164">
        <w:rPr>
          <w:rFonts w:ascii="Tahoma" w:hAnsi="Tahoma" w:cs="Tahoma"/>
          <w:sz w:val="22"/>
          <w:szCs w:val="22"/>
          <w:lang w:val="en-US"/>
        </w:rPr>
        <w:t xml:space="preserve"> documented by ECOM: “</w:t>
      </w:r>
      <w:r w:rsidRPr="00E43164">
        <w:rPr>
          <w:rFonts w:ascii="Tahoma" w:hAnsi="Tahoma" w:cs="Tahoma"/>
          <w:i/>
          <w:sz w:val="22"/>
          <w:szCs w:val="22"/>
          <w:lang w:val="en-US"/>
        </w:rPr>
        <w:t>Gay was sentenced to 6 years under articles 113 (Spread of a venereal disease or HIV/AIDS) and 120 of the Criminal Code. During the investigation, he was subjected to compulsory testing for STIs, and an anal examination was performed. Police officers subjected the victim to psychological pressure.”</w:t>
      </w:r>
    </w:p>
    <w:p w14:paraId="64E7F606"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LGBT individuals in Uzbekistan often face torture, ill-treatment, and extortion as punitive measures. Perpetrators employed these methods to humiliate and punish gay and bisexual men, coercing them into paying bribes to secure their release. Invasive anal examinations, conducted to gather so-called "evidence" of homosexual intercourse, violate human rights standards and are deemed futile and unscientific by the World Medical Association. These degrading practices underscore the grave mistreatment experienced by LGBT individuals in Uzbekistan.</w:t>
      </w:r>
    </w:p>
    <w:p w14:paraId="31D62FB4" w14:textId="77777777" w:rsidR="00E43164" w:rsidRPr="00E43164" w:rsidRDefault="00E43164" w:rsidP="00E43164">
      <w:pPr>
        <w:spacing w:line="276" w:lineRule="auto"/>
        <w:jc w:val="both"/>
        <w:rPr>
          <w:rFonts w:ascii="Tahoma" w:hAnsi="Tahoma" w:cs="Tahoma"/>
          <w:i/>
          <w:sz w:val="22"/>
          <w:szCs w:val="22"/>
          <w:lang w:val="en-US"/>
        </w:rPr>
      </w:pPr>
      <w:r w:rsidRPr="00E43164">
        <w:rPr>
          <w:rFonts w:ascii="Tahoma" w:hAnsi="Tahoma" w:cs="Tahoma"/>
          <w:sz w:val="22"/>
          <w:szCs w:val="22"/>
          <w:lang w:val="en-US"/>
        </w:rPr>
        <w:t xml:space="preserve">Law enforcement agencies in Uzbekistan play a significant role in the persecution of LGBT individuals. Widespread homo- and transphobia within the police force fosters active targeting and harassment of LGBT community members. Exploiting the criminalization of homosexuality, some police officers seek personal gain by threatening to expose individuals or charge them under Article 120 unless they pay bribes. This abuse of power intensifies the atmosphere of fear, reinforcing a culture of discrimination and violence. One of the cases of extortion and blackmail: </w:t>
      </w:r>
      <w:r w:rsidRPr="00E43164">
        <w:rPr>
          <w:rFonts w:ascii="Tahoma" w:hAnsi="Tahoma" w:cs="Tahoma"/>
          <w:i/>
          <w:sz w:val="22"/>
          <w:szCs w:val="22"/>
          <w:lang w:val="en-US"/>
        </w:rPr>
        <w:t xml:space="preserve">On May 2, 2022, the victims celebrated a holiday at their home, where a conflict occurred. Neighbors called the local police station. The policeman, during the investigation into the circumstances of the conflict, found out about their sexual orientation. </w:t>
      </w:r>
      <w:r w:rsidRPr="00E43164">
        <w:rPr>
          <w:rFonts w:ascii="Tahoma" w:hAnsi="Tahoma" w:cs="Tahoma"/>
          <w:i/>
          <w:sz w:val="22"/>
          <w:szCs w:val="22"/>
          <w:lang w:val="en-US"/>
        </w:rPr>
        <w:lastRenderedPageBreak/>
        <w:t>Two days later, the district police officer invited them to the police office to testify, where he stated that they would be tried under Article 120 of the Criminal Code of the Republic of Uzbekistan. The men gave a bribe of 1500 USD.</w:t>
      </w:r>
    </w:p>
    <w:p w14:paraId="00F0D8F9"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The Uzbekistani authorities severely curtail freedom of expression concerning support for LGBT rights and the dissemination of information about human rights violations affecting the LGBT community. Bloggers, activists, and individuals expressing solidarity with LGBT individuals face persecution and punishment, highlighting the systematic repression of dissent and the denial of basic freedoms.</w:t>
      </w:r>
    </w:p>
    <w:p w14:paraId="32C06DFF"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Despite significant societal changes, colonial laws continue to shape the legal landscape of EECA region countries. As global conversations around LGBT rights progress, it becomes increasingly important to address the persistence of these colonial-era laws and advocate for their reconsideration in the context of human rights and equality.</w:t>
      </w:r>
    </w:p>
    <w:p w14:paraId="1B48A98E" w14:textId="77777777" w:rsidR="00E43164" w:rsidRPr="00E43164" w:rsidRDefault="00E43164" w:rsidP="00E43164">
      <w:pPr>
        <w:spacing w:line="276" w:lineRule="auto"/>
        <w:jc w:val="both"/>
        <w:rPr>
          <w:rFonts w:ascii="Tahoma" w:hAnsi="Tahoma" w:cs="Tahoma"/>
          <w:sz w:val="22"/>
          <w:szCs w:val="22"/>
          <w:lang w:val="en-US"/>
        </w:rPr>
      </w:pPr>
    </w:p>
    <w:p w14:paraId="4D9D6A5D" w14:textId="77777777" w:rsidR="00E43164" w:rsidRPr="00E43164" w:rsidRDefault="00E43164" w:rsidP="00E43164">
      <w:pPr>
        <w:spacing w:line="276" w:lineRule="auto"/>
        <w:jc w:val="both"/>
        <w:rPr>
          <w:rFonts w:ascii="Tahoma" w:hAnsi="Tahoma" w:cs="Tahoma"/>
          <w:b/>
          <w:sz w:val="22"/>
          <w:szCs w:val="22"/>
          <w:lang w:val="en-US"/>
        </w:rPr>
      </w:pPr>
      <w:r w:rsidRPr="00E43164">
        <w:rPr>
          <w:rFonts w:ascii="Tahoma" w:hAnsi="Tahoma" w:cs="Tahoma"/>
          <w:b/>
          <w:sz w:val="22"/>
          <w:szCs w:val="22"/>
          <w:lang w:val="en-US"/>
        </w:rPr>
        <w:t>Replication of Russian Laws: Impact on Eastern Europe and Central Asia</w:t>
      </w:r>
    </w:p>
    <w:p w14:paraId="2B0655B4"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The adoption of laws similar to those in Russia further deepens Russian influence on neighboring countries. This influence extends beyond the legal sphere and seeps into cultural, social, and political aspects, ultimately shaping national policies and attitudes. </w:t>
      </w:r>
    </w:p>
    <w:p w14:paraId="2D12A95E"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Recently there was an attempt to pass a law on agents of foreign influence in the Parliament of Georgia. The proposed law required non-governmental organizations (NGOs) and media outlets that receive more than 20% of their funding from foreign sources to register as “agents of foreign influence.”</w:t>
      </w:r>
      <w:r w:rsidRPr="00E43164">
        <w:rPr>
          <w:rFonts w:ascii="Tahoma" w:hAnsi="Tahoma" w:cs="Tahoma"/>
          <w:sz w:val="22"/>
          <w:szCs w:val="22"/>
          <w:vertAlign w:val="superscript"/>
          <w:lang w:val="ru"/>
        </w:rPr>
        <w:footnoteReference w:id="4"/>
      </w:r>
      <w:r w:rsidRPr="00E43164">
        <w:rPr>
          <w:rFonts w:ascii="Tahoma" w:hAnsi="Tahoma" w:cs="Tahoma"/>
          <w:sz w:val="22"/>
          <w:szCs w:val="22"/>
          <w:lang w:val="en-US"/>
        </w:rPr>
        <w:t xml:space="preserve">. Around 300 NGOs in Georgia have issued a joint statement expressing concerns about the proposed law, citing its resemblance to the Russian law on foreign agents. </w:t>
      </w:r>
    </w:p>
    <w:p w14:paraId="3FF83FDC"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In December 2022, the new draft legislation to further restrict freedom of expression for LGBT people came into force in Russia</w:t>
      </w:r>
      <w:r w:rsidRPr="00E43164">
        <w:rPr>
          <w:rFonts w:ascii="Tahoma" w:hAnsi="Tahoma" w:cs="Tahoma"/>
          <w:sz w:val="22"/>
          <w:szCs w:val="22"/>
          <w:vertAlign w:val="superscript"/>
          <w:lang w:val="ru"/>
        </w:rPr>
        <w:footnoteReference w:id="5"/>
      </w:r>
      <w:r w:rsidRPr="00E43164">
        <w:rPr>
          <w:rFonts w:ascii="Tahoma" w:hAnsi="Tahoma" w:cs="Tahoma"/>
          <w:sz w:val="22"/>
          <w:szCs w:val="22"/>
          <w:lang w:val="en-US"/>
        </w:rPr>
        <w:t xml:space="preserve">. This version of the law shrinks civil space more radically than the previous one. Now sharing any information about queerness is prohibited. </w:t>
      </w:r>
    </w:p>
    <w:p w14:paraId="31B6A40E"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According to Mediazona</w:t>
      </w:r>
      <w:r w:rsidRPr="00E43164">
        <w:rPr>
          <w:rFonts w:ascii="Tahoma" w:hAnsi="Tahoma" w:cs="Tahoma"/>
          <w:sz w:val="22"/>
          <w:szCs w:val="22"/>
          <w:vertAlign w:val="superscript"/>
          <w:lang w:val="ru"/>
        </w:rPr>
        <w:footnoteReference w:id="6"/>
      </w:r>
      <w:r w:rsidRPr="00E43164">
        <w:rPr>
          <w:rFonts w:ascii="Tahoma" w:hAnsi="Tahoma" w:cs="Tahoma"/>
          <w:sz w:val="22"/>
          <w:szCs w:val="22"/>
          <w:lang w:val="en-US"/>
        </w:rPr>
        <w:t>, a Russian independent media outlet, seven charges related to the new law were made, all of them against trans women sex workers. None of them are Russian citizens.</w:t>
      </w:r>
    </w:p>
    <w:p w14:paraId="46C06B5A"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It is likely that a single police officer is responsible for the first three cases, according to the media, as he discovered the trans sex workers profiles on an online advertising platform for sex-workers. The court decided to fine the victims and deport them from Russia.</w:t>
      </w:r>
    </w:p>
    <w:p w14:paraId="5EE3335C" w14:textId="663E3F02"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The proposed amendments in ‌Kyrgyzstan in 2023, which raised concerns about its potential effects on the human rights and freedoms of LGBT individuals within the country, bear a striking resemblance to Russian laws banning the promotion of homosexuality</w:t>
      </w:r>
      <w:r w:rsidRPr="00E43164">
        <w:rPr>
          <w:rFonts w:ascii="Tahoma" w:hAnsi="Tahoma" w:cs="Tahoma"/>
          <w:sz w:val="22"/>
          <w:szCs w:val="22"/>
          <w:vertAlign w:val="superscript"/>
          <w:lang w:val="ru"/>
        </w:rPr>
        <w:footnoteReference w:id="7"/>
      </w:r>
      <w:r w:rsidRPr="00E43164">
        <w:rPr>
          <w:rFonts w:ascii="Tahoma" w:hAnsi="Tahoma" w:cs="Tahoma"/>
          <w:sz w:val="22"/>
          <w:szCs w:val="22"/>
          <w:lang w:val="en-US"/>
        </w:rPr>
        <w:t>. This emulation reflects a replication of colonial-era practices, where dominant powers imposed their legal and cultural norms on subordinate territories. By replicating Russian legislation, the Kyrgyz</w:t>
      </w:r>
      <w:r>
        <w:rPr>
          <w:rFonts w:ascii="Tahoma" w:hAnsi="Tahoma" w:cs="Tahoma"/>
          <w:sz w:val="22"/>
          <w:szCs w:val="22"/>
          <w:lang w:val="ky-KG"/>
        </w:rPr>
        <w:t xml:space="preserve"> </w:t>
      </w:r>
      <w:r w:rsidRPr="00E43164">
        <w:rPr>
          <w:rFonts w:ascii="Tahoma" w:hAnsi="Tahoma" w:cs="Tahoma"/>
          <w:sz w:val="22"/>
          <w:szCs w:val="22"/>
          <w:lang w:val="en-US"/>
        </w:rPr>
        <w:lastRenderedPageBreak/>
        <w:t>Republic risks perpetuating colonial power dynamics and compromising its own sovereignty and cultural identity.</w:t>
      </w:r>
    </w:p>
    <w:p w14:paraId="4D363E31" w14:textId="614388F4" w:rsidR="00E43164" w:rsidRPr="00E43164" w:rsidRDefault="00E43164" w:rsidP="00E43164">
      <w:pPr>
        <w:spacing w:line="276" w:lineRule="auto"/>
        <w:jc w:val="both"/>
        <w:rPr>
          <w:rFonts w:ascii="Tahoma" w:hAnsi="Tahoma" w:cs="Tahoma"/>
          <w:sz w:val="22"/>
          <w:szCs w:val="22"/>
          <w:lang w:val="en-US"/>
        </w:rPr>
      </w:pPr>
      <w:r>
        <w:rPr>
          <w:rFonts w:ascii="Tahoma" w:hAnsi="Tahoma" w:cs="Tahoma"/>
          <w:sz w:val="22"/>
          <w:szCs w:val="22"/>
          <w:lang w:val="ky-KG"/>
        </w:rPr>
        <w:t>The draft</w:t>
      </w:r>
      <w:r w:rsidRPr="00E43164">
        <w:rPr>
          <w:rFonts w:ascii="Tahoma" w:hAnsi="Tahoma" w:cs="Tahoma"/>
          <w:sz w:val="22"/>
          <w:szCs w:val="22"/>
          <w:lang w:val="en-US"/>
        </w:rPr>
        <w:t xml:space="preserve"> law  “On Amendments to Certain Legislative Acts of the Kyrgyz Republic” (“On Measures to Prevent Harm to the Health of Children, their Physical, Intellectual, Mental, Spiritual and Moral Development in the Kyrgyz Republic</w:t>
      </w:r>
      <w:r>
        <w:rPr>
          <w:rFonts w:ascii="Tahoma" w:hAnsi="Tahoma" w:cs="Tahoma"/>
          <w:sz w:val="22"/>
          <w:szCs w:val="22"/>
          <w:lang w:val="ky-KG"/>
        </w:rPr>
        <w:t>,”</w:t>
      </w:r>
      <w:r w:rsidRPr="00E43164">
        <w:rPr>
          <w:rFonts w:ascii="Tahoma" w:hAnsi="Tahoma" w:cs="Tahoma"/>
          <w:sz w:val="22"/>
          <w:szCs w:val="22"/>
          <w:lang w:val="en-US"/>
        </w:rPr>
        <w:t xml:space="preserve"> “On the Mass Media”)</w:t>
      </w:r>
      <w:r w:rsidRPr="00E43164">
        <w:rPr>
          <w:rFonts w:ascii="Tahoma" w:hAnsi="Tahoma" w:cs="Tahoma"/>
          <w:sz w:val="22"/>
          <w:szCs w:val="22"/>
          <w:vertAlign w:val="superscript"/>
          <w:lang w:val="ru"/>
        </w:rPr>
        <w:footnoteReference w:id="8"/>
      </w:r>
      <w:r w:rsidRPr="00E43164">
        <w:rPr>
          <w:rFonts w:ascii="Tahoma" w:hAnsi="Tahoma" w:cs="Tahoma"/>
          <w:sz w:val="22"/>
          <w:szCs w:val="22"/>
          <w:lang w:val="en-US"/>
        </w:rPr>
        <w:t xml:space="preserve"> is the prohibition of information promoting non-traditional sexual relationships</w:t>
      </w:r>
      <w:r>
        <w:rPr>
          <w:rFonts w:ascii="Tahoma" w:hAnsi="Tahoma" w:cs="Tahoma"/>
          <w:sz w:val="22"/>
          <w:szCs w:val="22"/>
          <w:lang w:val="ky-KG"/>
        </w:rPr>
        <w:t>,</w:t>
      </w:r>
      <w:r w:rsidRPr="00E43164">
        <w:rPr>
          <w:rFonts w:ascii="Tahoma" w:hAnsi="Tahoma" w:cs="Tahoma"/>
          <w:sz w:val="22"/>
          <w:szCs w:val="22"/>
          <w:lang w:val="en-US"/>
        </w:rPr>
        <w:t xml:space="preserve"> and it raises concerns regarding its compatibility with the country's constitutional and international legal obligations. The Kyrgyz Constitution emphasizes the democratic, law-based, and secular nature of the state and prohibits laws that limit human rights and freedoms. Moreover, ‌ Kyrgyzstan has ratified international human rights instruments, including the International Covenant on Civil and Political Rights (ICCPR), which guarantees equal rights and freedoms regardless of sexual orientation or gender identity.</w:t>
      </w:r>
    </w:p>
    <w:p w14:paraId="34FCBB9D" w14:textId="0C5102F5"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International human rights bodies, including the UN Human Rights Committee and the Committee on the Rights of the Child, have consistently condemned laws prohibiting the promotion of homosexuality as discriminatory and in violation of fundamental human rights. These laws infringe upon the rights to freedom of expression, non-discrimination, family life, safety, well-being, health, and access to necessary information. The vagueness of terms and the selective targeting of specific sexual orientations or gender identities further </w:t>
      </w:r>
      <w:r>
        <w:rPr>
          <w:rFonts w:ascii="Tahoma" w:hAnsi="Tahoma" w:cs="Tahoma"/>
          <w:sz w:val="22"/>
          <w:szCs w:val="22"/>
          <w:lang w:val="ky-KG"/>
        </w:rPr>
        <w:t>undermine</w:t>
      </w:r>
      <w:r w:rsidRPr="00E43164">
        <w:rPr>
          <w:rFonts w:ascii="Tahoma" w:hAnsi="Tahoma" w:cs="Tahoma"/>
          <w:sz w:val="22"/>
          <w:szCs w:val="22"/>
          <w:lang w:val="en-US"/>
        </w:rPr>
        <w:t xml:space="preserve"> legal certainty and the principle of non-discrimination.</w:t>
      </w:r>
    </w:p>
    <w:p w14:paraId="5EB63965" w14:textId="43C435F1"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Finally, the</w:t>
      </w:r>
      <w:r>
        <w:rPr>
          <w:rFonts w:ascii="Tahoma" w:hAnsi="Tahoma" w:cs="Tahoma"/>
          <w:sz w:val="22"/>
          <w:szCs w:val="22"/>
          <w:lang w:val="ky-KG"/>
        </w:rPr>
        <w:t xml:space="preserve"> </w:t>
      </w:r>
      <w:r w:rsidRPr="00E43164">
        <w:rPr>
          <w:rFonts w:ascii="Tahoma" w:hAnsi="Tahoma" w:cs="Tahoma"/>
          <w:sz w:val="22"/>
          <w:szCs w:val="22"/>
          <w:lang w:val="en-US"/>
        </w:rPr>
        <w:t xml:space="preserve">proposed amendments in the Kyrgyz Republic, which closely mirror Russian laws, not only suppress the rights and freedoms of the LGBT community but also perpetuate a colonial relationship and compromise national sovereignty. By emulating the legal framework of a dominant neighboring power, the Kyrgyz Republic risks deepening the influence of external forces and perpetuating a legacy of discrimination and oppression. </w:t>
      </w:r>
    </w:p>
    <w:p w14:paraId="0FC4BCD9" w14:textId="77777777" w:rsidR="00E43164" w:rsidRPr="00E43164" w:rsidRDefault="00E43164" w:rsidP="00E43164">
      <w:pPr>
        <w:spacing w:line="276" w:lineRule="auto"/>
        <w:jc w:val="both"/>
        <w:rPr>
          <w:rFonts w:ascii="Tahoma" w:hAnsi="Tahoma" w:cs="Tahoma"/>
          <w:sz w:val="22"/>
          <w:szCs w:val="22"/>
          <w:lang w:val="en-US"/>
        </w:rPr>
      </w:pPr>
    </w:p>
    <w:p w14:paraId="098D8C8E" w14:textId="77777777" w:rsidR="00E43164" w:rsidRPr="00E43164" w:rsidRDefault="00E43164" w:rsidP="00E43164">
      <w:pPr>
        <w:spacing w:line="276" w:lineRule="auto"/>
        <w:jc w:val="both"/>
        <w:rPr>
          <w:rFonts w:ascii="Tahoma" w:hAnsi="Tahoma" w:cs="Tahoma"/>
          <w:b/>
          <w:sz w:val="22"/>
          <w:szCs w:val="22"/>
          <w:lang w:val="en-US"/>
        </w:rPr>
      </w:pPr>
      <w:r w:rsidRPr="00E43164">
        <w:rPr>
          <w:rFonts w:ascii="Tahoma" w:hAnsi="Tahoma" w:cs="Tahoma"/>
          <w:b/>
          <w:sz w:val="22"/>
          <w:szCs w:val="22"/>
          <w:lang w:val="en-US"/>
        </w:rPr>
        <w:t>Conclusion</w:t>
      </w:r>
    </w:p>
    <w:p w14:paraId="1655CE26" w14:textId="77777777" w:rsidR="00E43164" w:rsidRPr="00E43164" w:rsidRDefault="00E43164" w:rsidP="00E43164">
      <w:pPr>
        <w:spacing w:line="276" w:lineRule="auto"/>
        <w:jc w:val="both"/>
        <w:rPr>
          <w:rFonts w:ascii="Tahoma" w:hAnsi="Tahoma" w:cs="Tahoma"/>
          <w:sz w:val="22"/>
          <w:szCs w:val="22"/>
          <w:lang w:val="en-US"/>
        </w:rPr>
      </w:pPr>
      <w:r w:rsidRPr="00E43164">
        <w:rPr>
          <w:rFonts w:ascii="Tahoma" w:hAnsi="Tahoma" w:cs="Tahoma"/>
          <w:sz w:val="22"/>
          <w:szCs w:val="22"/>
          <w:lang w:val="en-US"/>
        </w:rPr>
        <w:t xml:space="preserve">The replication of repressive norms that suppress LGBT rights and reinforce a colonial relationship is a concerning phenomenon observed in ‌Soviet and post-Soviet history. The enduring effects of Soviet-era laws in countries like Turkmenistan and Uzbekistan, along with the adoption of similar laws in neighboring countries influenced by Russia, underscore the need for urgent action. The criminalization of consensual same-sex relations, societal and religious homophobia, and policy influences have created hostile environments for LGBT individuals, hindering their ability to enjoy basic human rights and freedoms. The proposed laws in Georgia and the Kyrgyz Republic, mirroring Russian legislation, further perpetuate the legacy of discrimination and oppression. By shedding light on these issues, we hope to contribute to a deeper understanding of the challenges faced by LGBT individuals within this region. It is imperative to challenge and dismantle these laws, advocating for the rights of all individuals, regardless of their sexual orientation or gender identity. By doing so, we can work </w:t>
      </w:r>
      <w:r w:rsidRPr="00E43164">
        <w:rPr>
          <w:rFonts w:ascii="Tahoma" w:hAnsi="Tahoma" w:cs="Tahoma"/>
          <w:sz w:val="22"/>
          <w:szCs w:val="22"/>
          <w:lang w:val="en-US"/>
        </w:rPr>
        <w:lastRenderedPageBreak/>
        <w:t>towards a future where equality, dignity, and respect are afforded to everyone, free from the shackles of colonial-era laws and cultural norms imposed by dominant powers.</w:t>
      </w:r>
    </w:p>
    <w:p w14:paraId="74D241DF" w14:textId="77777777" w:rsidR="00E43164" w:rsidRPr="00E43164" w:rsidRDefault="00E43164" w:rsidP="00E43164">
      <w:pPr>
        <w:spacing w:line="276" w:lineRule="auto"/>
        <w:jc w:val="both"/>
        <w:rPr>
          <w:rFonts w:ascii="Tahoma" w:hAnsi="Tahoma" w:cs="Tahoma"/>
          <w:sz w:val="22"/>
          <w:szCs w:val="22"/>
          <w:lang w:val="en-US"/>
        </w:rPr>
      </w:pPr>
    </w:p>
    <w:p w14:paraId="381E3C26" w14:textId="77777777" w:rsidR="009040BF" w:rsidRPr="00E43164" w:rsidRDefault="009040BF" w:rsidP="00E43164">
      <w:pPr>
        <w:spacing w:line="276" w:lineRule="auto"/>
        <w:jc w:val="both"/>
        <w:rPr>
          <w:rFonts w:ascii="Tahoma" w:hAnsi="Tahoma" w:cs="Tahoma"/>
          <w:sz w:val="22"/>
          <w:szCs w:val="22"/>
          <w:lang w:val="en-US"/>
        </w:rPr>
      </w:pPr>
    </w:p>
    <w:p w14:paraId="7AF661FB" w14:textId="77777777" w:rsidR="009040BF" w:rsidRPr="00E43164" w:rsidRDefault="009040BF" w:rsidP="00E43164">
      <w:pPr>
        <w:jc w:val="both"/>
        <w:rPr>
          <w:rFonts w:ascii="Tahoma" w:hAnsi="Tahoma" w:cs="Tahoma"/>
          <w:sz w:val="22"/>
          <w:szCs w:val="22"/>
          <w:lang w:val="en-US"/>
        </w:rPr>
      </w:pPr>
    </w:p>
    <w:p w14:paraId="5919D4C4" w14:textId="77777777" w:rsidR="009040BF" w:rsidRPr="00E43164" w:rsidRDefault="009040BF" w:rsidP="00E43164">
      <w:pPr>
        <w:jc w:val="both"/>
        <w:rPr>
          <w:rFonts w:ascii="Tahoma" w:hAnsi="Tahoma" w:cs="Tahoma"/>
          <w:sz w:val="22"/>
          <w:szCs w:val="22"/>
          <w:lang w:val="en-US"/>
        </w:rPr>
      </w:pPr>
    </w:p>
    <w:p w14:paraId="4F044356" w14:textId="77777777" w:rsidR="009040BF" w:rsidRPr="00E43164" w:rsidRDefault="009040BF" w:rsidP="00E43164">
      <w:pPr>
        <w:jc w:val="both"/>
        <w:rPr>
          <w:rFonts w:ascii="Tahoma" w:hAnsi="Tahoma" w:cs="Tahoma"/>
          <w:sz w:val="22"/>
          <w:szCs w:val="22"/>
          <w:lang w:val="en-US"/>
        </w:rPr>
      </w:pPr>
    </w:p>
    <w:p w14:paraId="719815CD" w14:textId="77777777" w:rsidR="009040BF" w:rsidRPr="00E43164" w:rsidRDefault="009040BF" w:rsidP="00E43164">
      <w:pPr>
        <w:jc w:val="both"/>
        <w:rPr>
          <w:rFonts w:ascii="Tahoma" w:hAnsi="Tahoma" w:cs="Tahoma"/>
          <w:sz w:val="22"/>
          <w:szCs w:val="22"/>
          <w:lang w:val="en-US"/>
        </w:rPr>
      </w:pPr>
    </w:p>
    <w:p w14:paraId="72895853" w14:textId="77777777" w:rsidR="009040BF" w:rsidRPr="00E43164" w:rsidRDefault="009040BF" w:rsidP="00E43164">
      <w:pPr>
        <w:jc w:val="both"/>
        <w:rPr>
          <w:rFonts w:ascii="Tahoma" w:hAnsi="Tahoma" w:cs="Tahoma"/>
          <w:sz w:val="22"/>
          <w:szCs w:val="22"/>
          <w:lang w:val="en-US"/>
        </w:rPr>
      </w:pPr>
    </w:p>
    <w:p w14:paraId="1A0E55ED" w14:textId="77777777" w:rsidR="009040BF" w:rsidRPr="00E43164" w:rsidRDefault="009040BF" w:rsidP="00E43164">
      <w:pPr>
        <w:jc w:val="both"/>
        <w:rPr>
          <w:rFonts w:ascii="Tahoma" w:hAnsi="Tahoma" w:cs="Tahoma"/>
          <w:sz w:val="22"/>
          <w:szCs w:val="22"/>
          <w:lang w:val="en-US"/>
        </w:rPr>
      </w:pPr>
    </w:p>
    <w:p w14:paraId="33031C9F" w14:textId="77777777" w:rsidR="009040BF" w:rsidRPr="00E43164" w:rsidRDefault="009040BF" w:rsidP="00E43164">
      <w:pPr>
        <w:jc w:val="both"/>
        <w:rPr>
          <w:rFonts w:ascii="Tahoma" w:hAnsi="Tahoma" w:cs="Tahoma"/>
          <w:sz w:val="22"/>
          <w:szCs w:val="22"/>
          <w:lang w:val="en-US"/>
        </w:rPr>
      </w:pPr>
    </w:p>
    <w:p w14:paraId="196DCA18" w14:textId="77777777" w:rsidR="009040BF" w:rsidRPr="00E43164" w:rsidRDefault="009040BF" w:rsidP="00E43164">
      <w:pPr>
        <w:jc w:val="both"/>
        <w:rPr>
          <w:rFonts w:ascii="Tahoma" w:hAnsi="Tahoma" w:cs="Tahoma"/>
          <w:sz w:val="22"/>
          <w:szCs w:val="22"/>
          <w:lang w:val="en-US"/>
        </w:rPr>
      </w:pPr>
    </w:p>
    <w:p w14:paraId="23EEB564" w14:textId="77777777" w:rsidR="009040BF" w:rsidRPr="00E43164" w:rsidRDefault="009040BF" w:rsidP="00E43164">
      <w:pPr>
        <w:jc w:val="both"/>
        <w:rPr>
          <w:rFonts w:ascii="Tahoma" w:hAnsi="Tahoma" w:cs="Tahoma"/>
          <w:sz w:val="22"/>
          <w:szCs w:val="22"/>
          <w:lang w:val="en-US"/>
        </w:rPr>
      </w:pPr>
    </w:p>
    <w:p w14:paraId="17B1796C" w14:textId="77777777" w:rsidR="009040BF" w:rsidRPr="00E43164" w:rsidRDefault="009040BF" w:rsidP="00E43164">
      <w:pPr>
        <w:jc w:val="both"/>
        <w:rPr>
          <w:rFonts w:ascii="Tahoma" w:hAnsi="Tahoma" w:cs="Tahoma"/>
          <w:sz w:val="22"/>
          <w:szCs w:val="22"/>
          <w:lang w:val="en-US"/>
        </w:rPr>
      </w:pPr>
    </w:p>
    <w:p w14:paraId="0E8BF1A3" w14:textId="77777777" w:rsidR="009040BF" w:rsidRPr="00E43164" w:rsidRDefault="009040BF" w:rsidP="00E43164">
      <w:pPr>
        <w:jc w:val="both"/>
        <w:rPr>
          <w:rFonts w:ascii="Tahoma" w:hAnsi="Tahoma" w:cs="Tahoma"/>
          <w:sz w:val="22"/>
          <w:szCs w:val="22"/>
          <w:lang w:val="en-US"/>
        </w:rPr>
      </w:pPr>
    </w:p>
    <w:p w14:paraId="29C1C60B" w14:textId="77777777" w:rsidR="009040BF" w:rsidRPr="00E43164" w:rsidRDefault="009040BF" w:rsidP="00E43164">
      <w:pPr>
        <w:jc w:val="both"/>
        <w:rPr>
          <w:rFonts w:ascii="Tahoma" w:hAnsi="Tahoma" w:cs="Tahoma"/>
          <w:sz w:val="22"/>
          <w:szCs w:val="22"/>
          <w:lang w:val="en-US"/>
        </w:rPr>
      </w:pPr>
    </w:p>
    <w:p w14:paraId="09D766F2" w14:textId="77777777" w:rsidR="009040BF" w:rsidRPr="00E43164" w:rsidRDefault="009040BF" w:rsidP="00E43164">
      <w:pPr>
        <w:jc w:val="both"/>
        <w:rPr>
          <w:rFonts w:ascii="Tahoma" w:hAnsi="Tahoma" w:cs="Tahoma"/>
          <w:sz w:val="22"/>
          <w:szCs w:val="22"/>
          <w:lang w:val="en-US"/>
        </w:rPr>
      </w:pPr>
    </w:p>
    <w:p w14:paraId="27950850" w14:textId="77777777" w:rsidR="009040BF" w:rsidRPr="00E43164" w:rsidRDefault="009040BF" w:rsidP="00E43164">
      <w:pPr>
        <w:jc w:val="both"/>
        <w:rPr>
          <w:rFonts w:ascii="Tahoma" w:hAnsi="Tahoma" w:cs="Tahoma"/>
          <w:sz w:val="22"/>
          <w:szCs w:val="22"/>
          <w:lang w:val="en-US"/>
        </w:rPr>
      </w:pPr>
    </w:p>
    <w:sectPr w:rsidR="009040BF" w:rsidRPr="00E43164" w:rsidSect="005A062F">
      <w:headerReference w:type="default" r:id="rId7"/>
      <w:footerReference w:type="default" r:id="rId8"/>
      <w:headerReference w:type="first" r:id="rId9"/>
      <w:footerReference w:type="first" r:id="rId10"/>
      <w:pgSz w:w="11906" w:h="16838"/>
      <w:pgMar w:top="2269" w:right="1440" w:bottom="1559"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D5F0" w14:textId="77777777" w:rsidR="007C6F2B" w:rsidRDefault="007C6F2B" w:rsidP="00F40212">
      <w:r>
        <w:separator/>
      </w:r>
    </w:p>
  </w:endnote>
  <w:endnote w:type="continuationSeparator" w:id="0">
    <w:p w14:paraId="17863AEA" w14:textId="77777777" w:rsidR="007C6F2B" w:rsidRDefault="007C6F2B" w:rsidP="00F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 Light">
    <w:altName w:val="Calibri"/>
    <w:charset w:val="00"/>
    <w:family w:val="auto"/>
    <w:pitch w:val="variable"/>
    <w:sig w:usb0="00000207" w:usb1="00000000" w:usb2="00000000" w:usb3="00000000" w:csb0="00000097" w:csb1="00000000"/>
  </w:font>
  <w:font w:name="Exo 2">
    <w:altName w:val="Courier New"/>
    <w:charset w:val="CC"/>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B53D" w14:textId="77777777" w:rsidR="00D16D10" w:rsidRDefault="00D16D10" w:rsidP="00D16D10">
    <w:pPr>
      <w:pStyle w:val="Footer"/>
      <w:tabs>
        <w:tab w:val="clear" w:pos="4677"/>
        <w:tab w:val="clear" w:pos="9355"/>
        <w:tab w:val="left" w:pos="799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5B5A" w14:textId="7DCE0975" w:rsidR="009F0C0D" w:rsidRPr="0001419F" w:rsidRDefault="005A062F" w:rsidP="0001419F">
    <w:pPr>
      <w:pStyle w:val="Footer"/>
      <w:ind w:left="4253"/>
      <w:rPr>
        <w:color w:val="595959" w:themeColor="text1" w:themeTint="A6"/>
        <w:sz w:val="18"/>
        <w:szCs w:val="18"/>
        <w:lang w:val="en-US"/>
      </w:rPr>
    </w:pPr>
    <w:r w:rsidRPr="00E6288B">
      <w:rPr>
        <w:rFonts w:ascii="Tahoma" w:hAnsi="Tahoma" w:cs="Tahoma"/>
        <w:noProof/>
        <w:color w:val="595959" w:themeColor="text1" w:themeTint="A6"/>
        <w:sz w:val="18"/>
        <w:szCs w:val="18"/>
      </w:rPr>
      <w:drawing>
        <wp:anchor distT="0" distB="0" distL="114300" distR="114300" simplePos="0" relativeHeight="251662336" behindDoc="0" locked="0" layoutInCell="1" allowOverlap="1" wp14:anchorId="6A692E99" wp14:editId="602DA2E2">
          <wp:simplePos x="0" y="0"/>
          <wp:positionH relativeFrom="column">
            <wp:posOffset>-140181</wp:posOffset>
          </wp:positionH>
          <wp:positionV relativeFrom="paragraph">
            <wp:posOffset>-89037</wp:posOffset>
          </wp:positionV>
          <wp:extent cx="2543810" cy="468630"/>
          <wp:effectExtent l="0" t="0" r="0" b="0"/>
          <wp:wrapThrough wrapText="bothSides">
            <wp:wrapPolygon edited="0">
              <wp:start x="1941" y="4390"/>
              <wp:lineTo x="1941" y="14049"/>
              <wp:lineTo x="2265" y="17561"/>
              <wp:lineTo x="2750" y="19317"/>
              <wp:lineTo x="18602" y="19317"/>
              <wp:lineTo x="19087" y="14927"/>
              <wp:lineTo x="19249" y="8780"/>
              <wp:lineTo x="18764" y="4390"/>
              <wp:lineTo x="1941" y="439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M small.pn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43810" cy="468630"/>
                  </a:xfrm>
                  <a:prstGeom prst="rect">
                    <a:avLst/>
                  </a:prstGeom>
                </pic:spPr>
              </pic:pic>
            </a:graphicData>
          </a:graphic>
          <wp14:sizeRelH relativeFrom="margin">
            <wp14:pctWidth>0</wp14:pctWidth>
          </wp14:sizeRelH>
          <wp14:sizeRelV relativeFrom="margin">
            <wp14:pctHeight>0</wp14:pctHeight>
          </wp14:sizeRelV>
        </wp:anchor>
      </w:drawing>
    </w:r>
    <w:r w:rsidR="006527F8" w:rsidRPr="00E6288B">
      <w:rPr>
        <w:rFonts w:ascii="Tahoma" w:hAnsi="Tahoma" w:cs="Tahoma"/>
        <w:noProof/>
        <w:color w:val="595959" w:themeColor="text1" w:themeTint="A6"/>
        <w:sz w:val="18"/>
        <w:szCs w:val="18"/>
        <w:lang w:val="en-US"/>
      </w:rPr>
      <w:t>Tööstuse tn 48, Tallinn, 10416, Estonia</w:t>
    </w:r>
    <w:r w:rsidRPr="0001419F">
      <w:rPr>
        <w:rFonts w:ascii="Tahoma" w:hAnsi="Tahoma" w:cs="Tahoma"/>
        <w:color w:val="595959" w:themeColor="text1" w:themeTint="A6"/>
        <w:sz w:val="18"/>
        <w:szCs w:val="18"/>
        <w:lang w:val="en-US"/>
      </w:rPr>
      <w:br/>
    </w:r>
    <w:hyperlink r:id="rId2" w:history="1">
      <w:r w:rsidRPr="0001419F">
        <w:rPr>
          <w:rStyle w:val="Hyperlink"/>
          <w:rFonts w:ascii="Tahoma" w:hAnsi="Tahoma" w:cs="Tahoma"/>
          <w:color w:val="595959" w:themeColor="text1" w:themeTint="A6"/>
          <w:sz w:val="18"/>
          <w:szCs w:val="18"/>
          <w:u w:val="none"/>
          <w:lang w:val="en-US"/>
        </w:rPr>
        <w:t>contact@ecom.ngo</w:t>
      </w:r>
    </w:hyperlink>
    <w:r w:rsidRPr="0001419F">
      <w:rPr>
        <w:rFonts w:ascii="Tahoma" w:hAnsi="Tahoma" w:cs="Tahoma"/>
        <w:color w:val="595959" w:themeColor="text1" w:themeTint="A6"/>
        <w:sz w:val="18"/>
        <w:szCs w:val="18"/>
        <w:lang w:val="en-US"/>
      </w:rPr>
      <w:t xml:space="preserve"> | </w:t>
    </w:r>
    <w:hyperlink r:id="rId3" w:history="1">
      <w:r w:rsidRPr="0001419F">
        <w:rPr>
          <w:rStyle w:val="Hyperlink"/>
          <w:rFonts w:ascii="Tahoma" w:hAnsi="Tahoma" w:cs="Tahoma"/>
          <w:color w:val="595959" w:themeColor="text1" w:themeTint="A6"/>
          <w:sz w:val="18"/>
          <w:szCs w:val="18"/>
          <w:u w:val="none"/>
          <w:lang w:val="en-GB"/>
        </w:rPr>
        <w:t>www.ecom.ngo</w:t>
      </w:r>
    </w:hyperlink>
    <w:r w:rsidRPr="0001419F">
      <w:rPr>
        <w:rStyle w:val="Hyperlink"/>
        <w:rFonts w:ascii="Tahoma" w:hAnsi="Tahoma" w:cs="Tahoma"/>
        <w:color w:val="595959" w:themeColor="text1" w:themeTint="A6"/>
        <w:sz w:val="18"/>
        <w:szCs w:val="18"/>
        <w:u w:val="non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585A" w14:textId="77777777" w:rsidR="007C6F2B" w:rsidRDefault="007C6F2B" w:rsidP="00F40212">
      <w:r>
        <w:separator/>
      </w:r>
    </w:p>
  </w:footnote>
  <w:footnote w:type="continuationSeparator" w:id="0">
    <w:p w14:paraId="30E4521A" w14:textId="77777777" w:rsidR="007C6F2B" w:rsidRDefault="007C6F2B" w:rsidP="00F40212">
      <w:r>
        <w:continuationSeparator/>
      </w:r>
    </w:p>
  </w:footnote>
  <w:footnote w:id="1">
    <w:p w14:paraId="4135FF73" w14:textId="3BC80B38" w:rsidR="00E43164" w:rsidRPr="00E43164" w:rsidRDefault="00E43164" w:rsidP="00E43164">
      <w:pPr>
        <w:rPr>
          <w:rFonts w:ascii="Tahoma" w:hAnsi="Tahoma" w:cs="Tahoma"/>
          <w:sz w:val="16"/>
          <w:szCs w:val="16"/>
          <w:lang w:val="en-US"/>
        </w:rPr>
      </w:pPr>
      <w:r w:rsidRPr="00E43164">
        <w:rPr>
          <w:rFonts w:ascii="Tahoma" w:hAnsi="Tahoma" w:cs="Tahoma"/>
          <w:sz w:val="16"/>
          <w:szCs w:val="16"/>
          <w:vertAlign w:val="superscript"/>
        </w:rPr>
        <w:footnoteRef/>
      </w:r>
      <w:r w:rsidRPr="00E43164">
        <w:rPr>
          <w:rFonts w:ascii="Tahoma" w:hAnsi="Tahoma" w:cs="Tahoma"/>
          <w:sz w:val="16"/>
          <w:szCs w:val="16"/>
          <w:lang w:val="en-US"/>
        </w:rPr>
        <w:t>Morgan, Joe (17 June 2018). "The Secret Gay History of Russia". Gay Star News. Retrieved 21 March 2021.</w:t>
      </w:r>
    </w:p>
  </w:footnote>
  <w:footnote w:id="2">
    <w:p w14:paraId="4F95A6EF" w14:textId="77777777" w:rsidR="00E43164" w:rsidRPr="00E43164" w:rsidRDefault="00E43164" w:rsidP="00E43164">
      <w:pPr>
        <w:rPr>
          <w:rFonts w:ascii="Tahoma" w:hAnsi="Tahoma" w:cs="Tahoma"/>
          <w:sz w:val="16"/>
          <w:szCs w:val="16"/>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Torture, Blackmail, Disclosure of Personal Information: Report on Violation of Gay Rights in Uzbekistan. </w:t>
      </w:r>
      <w:hyperlink r:id="rId1">
        <w:r w:rsidRPr="00E43164">
          <w:rPr>
            <w:rFonts w:ascii="Tahoma" w:hAnsi="Tahoma" w:cs="Tahoma"/>
            <w:color w:val="1155CC"/>
            <w:sz w:val="16"/>
            <w:szCs w:val="16"/>
            <w:u w:val="single"/>
          </w:rPr>
          <w:t>https://ecom.ngo/news-ecom/report-on-violation-of-gay-rights-in-uzbekistan</w:t>
        </w:r>
      </w:hyperlink>
      <w:r w:rsidRPr="00E43164">
        <w:rPr>
          <w:rFonts w:ascii="Tahoma" w:hAnsi="Tahoma" w:cs="Tahoma"/>
          <w:sz w:val="16"/>
          <w:szCs w:val="16"/>
        </w:rPr>
        <w:t xml:space="preserve"> </w:t>
      </w:r>
    </w:p>
  </w:footnote>
  <w:footnote w:id="3">
    <w:p w14:paraId="3B31F598" w14:textId="77777777" w:rsidR="00E43164" w:rsidRPr="005943D5" w:rsidRDefault="00E43164" w:rsidP="00E43164">
      <w:pPr>
        <w:rPr>
          <w:sz w:val="20"/>
          <w:szCs w:val="20"/>
          <w:lang w:val="en-US"/>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Annual report 2022. </w:t>
      </w:r>
      <w:hyperlink r:id="rId2">
        <w:r w:rsidRPr="00E43164">
          <w:rPr>
            <w:rFonts w:ascii="Tahoma" w:hAnsi="Tahoma" w:cs="Tahoma"/>
            <w:color w:val="1155CC"/>
            <w:sz w:val="16"/>
            <w:szCs w:val="16"/>
            <w:u w:val="single"/>
            <w:lang w:val="en-US"/>
          </w:rPr>
          <w:t>https://ecom.ngo/resource/files/2023/04/ecom_report22_1_en-1.pdf</w:t>
        </w:r>
      </w:hyperlink>
      <w:r w:rsidRPr="005943D5">
        <w:rPr>
          <w:sz w:val="20"/>
          <w:szCs w:val="20"/>
          <w:lang w:val="en-US"/>
        </w:rPr>
        <w:t xml:space="preserve"> </w:t>
      </w:r>
    </w:p>
  </w:footnote>
  <w:footnote w:id="4">
    <w:p w14:paraId="06A788BC" w14:textId="77777777" w:rsidR="00E43164" w:rsidRPr="00E43164" w:rsidRDefault="00E43164" w:rsidP="00E43164">
      <w:pPr>
        <w:jc w:val="both"/>
        <w:rPr>
          <w:rFonts w:ascii="Tahoma" w:hAnsi="Tahoma" w:cs="Tahoma"/>
          <w:sz w:val="16"/>
          <w:szCs w:val="16"/>
          <w:lang w:val="en-US"/>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 ECOM’s Position Paper on the Initiation of a Law on the Transparency of Foreign Influence in Georgia. </w:t>
      </w:r>
      <w:hyperlink r:id="rId3">
        <w:r w:rsidRPr="00E43164">
          <w:rPr>
            <w:rFonts w:ascii="Tahoma" w:hAnsi="Tahoma" w:cs="Tahoma"/>
            <w:color w:val="1155CC"/>
            <w:sz w:val="16"/>
            <w:szCs w:val="16"/>
            <w:u w:val="single"/>
            <w:lang w:val="en-US"/>
          </w:rPr>
          <w:t>https://ecom.ngo/news-eeca/law-foreign-influence-in-georgia</w:t>
        </w:r>
      </w:hyperlink>
      <w:r w:rsidRPr="00E43164">
        <w:rPr>
          <w:rFonts w:ascii="Tahoma" w:hAnsi="Tahoma" w:cs="Tahoma"/>
          <w:sz w:val="16"/>
          <w:szCs w:val="16"/>
          <w:lang w:val="en-US"/>
        </w:rPr>
        <w:t xml:space="preserve"> </w:t>
      </w:r>
    </w:p>
  </w:footnote>
  <w:footnote w:id="5">
    <w:p w14:paraId="643556D5" w14:textId="77777777" w:rsidR="00E43164" w:rsidRPr="00E43164" w:rsidRDefault="00E43164" w:rsidP="00E43164">
      <w:pPr>
        <w:rPr>
          <w:rFonts w:ascii="Tahoma" w:hAnsi="Tahoma" w:cs="Tahoma"/>
          <w:sz w:val="16"/>
          <w:szCs w:val="16"/>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 Russia Adopts Law on «LGBT Propaganda. </w:t>
      </w:r>
      <w:hyperlink r:id="rId4">
        <w:r w:rsidRPr="00E43164">
          <w:rPr>
            <w:rFonts w:ascii="Tahoma" w:hAnsi="Tahoma" w:cs="Tahoma"/>
            <w:color w:val="1155CC"/>
            <w:sz w:val="16"/>
            <w:szCs w:val="16"/>
            <w:u w:val="single"/>
          </w:rPr>
          <w:t>https://ecom.ngo/news-eeca/russia-adopts-law-on-lgbt-propaganda</w:t>
        </w:r>
      </w:hyperlink>
      <w:r w:rsidRPr="00E43164">
        <w:rPr>
          <w:rFonts w:ascii="Tahoma" w:hAnsi="Tahoma" w:cs="Tahoma"/>
          <w:sz w:val="16"/>
          <w:szCs w:val="16"/>
        </w:rPr>
        <w:t xml:space="preserve"> </w:t>
      </w:r>
    </w:p>
  </w:footnote>
  <w:footnote w:id="6">
    <w:p w14:paraId="6D510E9B" w14:textId="77777777" w:rsidR="00E43164" w:rsidRPr="00E43164" w:rsidRDefault="00E43164" w:rsidP="00E43164">
      <w:pPr>
        <w:rPr>
          <w:rFonts w:ascii="Tahoma" w:hAnsi="Tahoma" w:cs="Tahoma"/>
          <w:sz w:val="16"/>
          <w:szCs w:val="16"/>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 Russia has started expelling transgender women who lack Russian citizenship. </w:t>
      </w:r>
      <w:hyperlink r:id="rId5">
        <w:r w:rsidRPr="00E43164">
          <w:rPr>
            <w:rFonts w:ascii="Tahoma" w:hAnsi="Tahoma" w:cs="Tahoma"/>
            <w:color w:val="1155CC"/>
            <w:sz w:val="16"/>
            <w:szCs w:val="16"/>
            <w:u w:val="single"/>
          </w:rPr>
          <w:t>https://meduza.io/en/news/2023/02/23/russia-has-started-expelling-transgender-women-who-lack-russian-citizenship</w:t>
        </w:r>
      </w:hyperlink>
      <w:r w:rsidRPr="00E43164">
        <w:rPr>
          <w:rFonts w:ascii="Tahoma" w:hAnsi="Tahoma" w:cs="Tahoma"/>
          <w:sz w:val="16"/>
          <w:szCs w:val="16"/>
        </w:rPr>
        <w:t xml:space="preserve"> </w:t>
      </w:r>
    </w:p>
  </w:footnote>
  <w:footnote w:id="7">
    <w:p w14:paraId="59AA395B" w14:textId="77777777" w:rsidR="00E43164" w:rsidRPr="005943D5" w:rsidRDefault="00E43164" w:rsidP="00E43164">
      <w:pPr>
        <w:jc w:val="both"/>
        <w:rPr>
          <w:sz w:val="20"/>
          <w:szCs w:val="20"/>
          <w:lang w:val="en-US"/>
        </w:rPr>
      </w:pPr>
      <w:r w:rsidRPr="00E43164">
        <w:rPr>
          <w:rFonts w:ascii="Tahoma" w:hAnsi="Tahoma" w:cs="Tahoma"/>
          <w:sz w:val="16"/>
          <w:szCs w:val="16"/>
          <w:vertAlign w:val="superscript"/>
        </w:rPr>
        <w:footnoteRef/>
      </w:r>
      <w:r w:rsidRPr="00E43164">
        <w:rPr>
          <w:rFonts w:ascii="Tahoma" w:hAnsi="Tahoma" w:cs="Tahoma"/>
          <w:sz w:val="16"/>
          <w:szCs w:val="16"/>
          <w:lang w:val="en-US"/>
        </w:rPr>
        <w:t xml:space="preserve"> ECOM  Commentary  on  the  Draft  Law  “On  Amendments  to  Certain  Legislative  Acts  of  the  Kyrgyz  Republic”</w:t>
      </w:r>
    </w:p>
  </w:footnote>
  <w:footnote w:id="8">
    <w:p w14:paraId="72674B5F" w14:textId="77777777" w:rsidR="00E43164" w:rsidRPr="005943D5" w:rsidRDefault="00E43164" w:rsidP="00E43164">
      <w:pPr>
        <w:jc w:val="both"/>
        <w:rPr>
          <w:sz w:val="20"/>
          <w:szCs w:val="20"/>
          <w:lang w:val="en-US"/>
        </w:rPr>
      </w:pPr>
      <w:r>
        <w:rPr>
          <w:vertAlign w:val="superscript"/>
        </w:rPr>
        <w:footnoteRef/>
      </w:r>
      <w:hyperlink r:id="rId6">
        <w:r w:rsidRPr="00E43164">
          <w:rPr>
            <w:rFonts w:ascii="Tahoma" w:hAnsi="Tahoma" w:cs="Tahoma"/>
            <w:color w:val="1155CC"/>
            <w:sz w:val="16"/>
            <w:szCs w:val="16"/>
            <w:u w:val="single"/>
            <w:lang w:val="en-US"/>
          </w:rPr>
          <w:t>http://www.kenesh.kg/ru/article/show/10431/na-obshtestvennoe-obsuzhdenie-s-17-marta-2023-goda-vinositsya-proekt-zakona-o-vnesenii-izmeneniy-v-nekotorie-zakonodatelynie-akti-kirgizskoy-respubliki-v-kodeks-kirgizskoy-respubliki-o-pravonarusheniyah-i-zakoni-kirgizskoy-respubliki-o-merah-po-preduprezhdeniyu-prichineniya-vreda-zdorovyyu-detey-ih-fizicheskomu-intellektualynomu-psihicheskomu-duhovnomu-i-nravstvennomu-razvitiyu-v-kirgizskoy-respublike-o-sredstvah-massovoy-informatsii</w:t>
        </w:r>
      </w:hyperlink>
      <w:r w:rsidRPr="005943D5">
        <w:rPr>
          <w:sz w:val="20"/>
          <w:szCs w:val="20"/>
          <w:lang w:val="en-US"/>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7D0B" w14:textId="77777777" w:rsidR="00586469" w:rsidRDefault="00586469">
    <w:pPr>
      <w:pStyle w:val="Header"/>
      <w:jc w:val="right"/>
      <w:rPr>
        <w:lang w:val="en-US"/>
      </w:rPr>
    </w:pPr>
  </w:p>
  <w:p w14:paraId="3512FC18" w14:textId="77777777" w:rsidR="00586469" w:rsidRDefault="00586469">
    <w:pPr>
      <w:pStyle w:val="Header"/>
      <w:jc w:val="right"/>
      <w:rPr>
        <w:lang w:val="en-US"/>
      </w:rPr>
    </w:pPr>
  </w:p>
  <w:p w14:paraId="345DEA2E" w14:textId="49961E5E" w:rsidR="00586469" w:rsidRPr="000D7FB5" w:rsidRDefault="000623F3" w:rsidP="00EB516F">
    <w:pPr>
      <w:pStyle w:val="Header"/>
      <w:tabs>
        <w:tab w:val="clear" w:pos="4677"/>
      </w:tabs>
      <w:spacing w:before="240"/>
      <w:rPr>
        <w:rFonts w:ascii="Exo 2 Light" w:hAnsi="Exo 2 Light"/>
        <w:sz w:val="20"/>
        <w:szCs w:val="20"/>
        <w:lang w:val="en-US"/>
      </w:rPr>
    </w:pPr>
    <w:r>
      <w:rPr>
        <w:rFonts w:ascii="Exo 2 Light" w:hAnsi="Exo 2 Light"/>
        <w:i/>
        <w:noProof/>
        <w:sz w:val="20"/>
        <w:szCs w:val="20"/>
      </w:rPr>
      <w:drawing>
        <wp:inline distT="0" distB="0" distL="0" distR="0" wp14:anchorId="790FE4B8" wp14:editId="71C65D27">
          <wp:extent cx="1599731" cy="2952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M small.png"/>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2200" cy="295731"/>
                  </a:xfrm>
                  <a:prstGeom prst="rect">
                    <a:avLst/>
                  </a:prstGeom>
                </pic:spPr>
              </pic:pic>
            </a:graphicData>
          </a:graphic>
        </wp:inline>
      </w:drawing>
    </w:r>
    <w:r w:rsidR="00586469" w:rsidRPr="000D7FB5">
      <w:rPr>
        <w:rFonts w:ascii="Exo 2 Light" w:hAnsi="Exo 2 Light"/>
        <w:i/>
        <w:sz w:val="20"/>
        <w:szCs w:val="20"/>
        <w:lang w:val="en-US"/>
      </w:rPr>
      <w:tab/>
    </w:r>
    <w:r w:rsidR="00586469" w:rsidRPr="00F623B9">
      <w:rPr>
        <w:rFonts w:ascii="Tahoma" w:hAnsi="Tahoma" w:cs="Tahoma"/>
        <w:color w:val="767171" w:themeColor="background2" w:themeShade="80"/>
        <w:sz w:val="20"/>
        <w:szCs w:val="20"/>
      </w:rPr>
      <w:fldChar w:fldCharType="begin"/>
    </w:r>
    <w:r w:rsidR="00586469" w:rsidRPr="00F623B9">
      <w:rPr>
        <w:rFonts w:ascii="Tahoma" w:hAnsi="Tahoma" w:cs="Tahoma"/>
        <w:color w:val="767171" w:themeColor="background2" w:themeShade="80"/>
        <w:sz w:val="20"/>
        <w:szCs w:val="20"/>
        <w:lang w:val="en-US"/>
      </w:rPr>
      <w:instrText>PAGE   \* MERGEFORMAT</w:instrText>
    </w:r>
    <w:r w:rsidR="00586469" w:rsidRPr="00F623B9">
      <w:rPr>
        <w:rFonts w:ascii="Tahoma" w:hAnsi="Tahoma" w:cs="Tahoma"/>
        <w:color w:val="767171" w:themeColor="background2" w:themeShade="80"/>
        <w:sz w:val="20"/>
        <w:szCs w:val="20"/>
      </w:rPr>
      <w:fldChar w:fldCharType="separate"/>
    </w:r>
    <w:r w:rsidR="00E43164">
      <w:rPr>
        <w:rFonts w:ascii="Tahoma" w:hAnsi="Tahoma" w:cs="Tahoma"/>
        <w:noProof/>
        <w:color w:val="767171" w:themeColor="background2" w:themeShade="80"/>
        <w:sz w:val="20"/>
        <w:szCs w:val="20"/>
        <w:lang w:val="en-US"/>
      </w:rPr>
      <w:t>4</w:t>
    </w:r>
    <w:r w:rsidR="00586469" w:rsidRPr="00F623B9">
      <w:rPr>
        <w:rFonts w:ascii="Tahoma" w:hAnsi="Tahoma" w:cs="Tahoma"/>
        <w:color w:val="767171" w:themeColor="background2" w:themeShade="80"/>
        <w:sz w:val="20"/>
        <w:szCs w:val="20"/>
      </w:rPr>
      <w:fldChar w:fldCharType="end"/>
    </w:r>
  </w:p>
  <w:p w14:paraId="11EDA8CD" w14:textId="77777777" w:rsidR="00586469" w:rsidRPr="00523BC5" w:rsidRDefault="00D16D10">
    <w:pPr>
      <w:pStyle w:val="Header"/>
      <w:rPr>
        <w:rFonts w:ascii="Exo 2 Light" w:hAnsi="Exo 2 Light"/>
        <w:i/>
        <w:sz w:val="20"/>
        <w:szCs w:val="20"/>
        <w:lang w:val="en-US"/>
      </w:rPr>
    </w:pPr>
    <w:r>
      <w:rPr>
        <w:noProof/>
      </w:rPr>
      <w:drawing>
        <wp:anchor distT="0" distB="0" distL="114300" distR="114300" simplePos="0" relativeHeight="251661312" behindDoc="1" locked="0" layoutInCell="1" allowOverlap="1" wp14:anchorId="61F09A2D" wp14:editId="665797AC">
          <wp:simplePos x="0" y="0"/>
          <wp:positionH relativeFrom="column">
            <wp:posOffset>1911350</wp:posOffset>
          </wp:positionH>
          <wp:positionV relativeFrom="paragraph">
            <wp:posOffset>1156228</wp:posOffset>
          </wp:positionV>
          <wp:extent cx="4551502" cy="8692829"/>
          <wp:effectExtent l="0" t="0" r="190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56695" cy="870274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8CD7" w14:textId="77777777" w:rsidR="00EB516F" w:rsidRDefault="00EB516F" w:rsidP="005A062F">
    <w:pPr>
      <w:pStyle w:val="Header"/>
      <w:rPr>
        <w:rFonts w:ascii="Exo 2" w:hAnsi="Exo 2" w:cs="Arial"/>
        <w:color w:val="262626" w:themeColor="text1" w:themeTint="D9"/>
        <w:sz w:val="20"/>
        <w:szCs w:val="20"/>
      </w:rPr>
    </w:pPr>
  </w:p>
  <w:p w14:paraId="1613EA33" w14:textId="77777777" w:rsidR="00586469" w:rsidRPr="00EB516F" w:rsidRDefault="005A062F" w:rsidP="00EB516F">
    <w:pPr>
      <w:pStyle w:val="Header"/>
      <w:rPr>
        <w:lang w:val="en-US"/>
      </w:rPr>
    </w:pPr>
    <w:r>
      <w:rPr>
        <w:noProof/>
      </w:rPr>
      <w:drawing>
        <wp:anchor distT="0" distB="0" distL="114300" distR="114300" simplePos="0" relativeHeight="251658239" behindDoc="1" locked="0" layoutInCell="1" allowOverlap="1" wp14:anchorId="49628DD5" wp14:editId="64E7F0E1">
          <wp:simplePos x="0" y="0"/>
          <wp:positionH relativeFrom="column">
            <wp:posOffset>1937385</wp:posOffset>
          </wp:positionH>
          <wp:positionV relativeFrom="paragraph">
            <wp:posOffset>766582</wp:posOffset>
          </wp:positionV>
          <wp:extent cx="4579039" cy="8745421"/>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9039" cy="8745421"/>
                  </a:xfrm>
                  <a:prstGeom prst="rect">
                    <a:avLst/>
                  </a:prstGeom>
                </pic:spPr>
              </pic:pic>
            </a:graphicData>
          </a:graphic>
          <wp14:sizeRelH relativeFrom="page">
            <wp14:pctWidth>0</wp14:pctWidth>
          </wp14:sizeRelH>
          <wp14:sizeRelV relativeFrom="page">
            <wp14:pctHeight>0</wp14:pctHeight>
          </wp14:sizeRelV>
        </wp:anchor>
      </w:drawing>
    </w:r>
    <w:r w:rsidRPr="008B22C3">
      <w:rPr>
        <w:noProof/>
      </w:rPr>
      <w:drawing>
        <wp:anchor distT="0" distB="0" distL="114300" distR="114300" simplePos="0" relativeHeight="251659264" behindDoc="1" locked="0" layoutInCell="1" allowOverlap="1" wp14:anchorId="3110D309" wp14:editId="6D7CDE4D">
          <wp:simplePos x="0" y="0"/>
          <wp:positionH relativeFrom="column">
            <wp:posOffset>41189</wp:posOffset>
          </wp:positionH>
          <wp:positionV relativeFrom="paragraph">
            <wp:posOffset>348358</wp:posOffset>
          </wp:positionV>
          <wp:extent cx="2408555" cy="69342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logo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0855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A2E"/>
    <w:multiLevelType w:val="hybridMultilevel"/>
    <w:tmpl w:val="5E905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33DE"/>
    <w:multiLevelType w:val="hybridMultilevel"/>
    <w:tmpl w:val="343AF342"/>
    <w:lvl w:ilvl="0" w:tplc="BC441126">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CD4238"/>
    <w:multiLevelType w:val="hybridMultilevel"/>
    <w:tmpl w:val="5E3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04142"/>
    <w:multiLevelType w:val="hybridMultilevel"/>
    <w:tmpl w:val="9B0EEFB8"/>
    <w:lvl w:ilvl="0" w:tplc="2BAA8342">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FC17D0"/>
    <w:multiLevelType w:val="hybridMultilevel"/>
    <w:tmpl w:val="7AA6C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417E2"/>
    <w:multiLevelType w:val="hybridMultilevel"/>
    <w:tmpl w:val="EE2C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05D55"/>
    <w:multiLevelType w:val="hybridMultilevel"/>
    <w:tmpl w:val="9D4C0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F6124BE"/>
    <w:multiLevelType w:val="hybridMultilevel"/>
    <w:tmpl w:val="8D72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E9793A"/>
    <w:multiLevelType w:val="hybridMultilevel"/>
    <w:tmpl w:val="0E4612E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2CC59CD"/>
    <w:multiLevelType w:val="hybridMultilevel"/>
    <w:tmpl w:val="A1E0B2E6"/>
    <w:lvl w:ilvl="0" w:tplc="93ACC54E">
      <w:start w:val="1"/>
      <w:numFmt w:val="decimal"/>
      <w:lvlText w:val="3.%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5"/>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84"/>
    <w:rsid w:val="0001419F"/>
    <w:rsid w:val="000623F3"/>
    <w:rsid w:val="003D44AE"/>
    <w:rsid w:val="004C3B97"/>
    <w:rsid w:val="00586469"/>
    <w:rsid w:val="00592816"/>
    <w:rsid w:val="005A062F"/>
    <w:rsid w:val="006527F8"/>
    <w:rsid w:val="00674784"/>
    <w:rsid w:val="007B0E6C"/>
    <w:rsid w:val="007C6F2B"/>
    <w:rsid w:val="0086268E"/>
    <w:rsid w:val="008B2D98"/>
    <w:rsid w:val="009040BF"/>
    <w:rsid w:val="009B2909"/>
    <w:rsid w:val="009F0C0D"/>
    <w:rsid w:val="00A1011A"/>
    <w:rsid w:val="00AC08EE"/>
    <w:rsid w:val="00B92BF0"/>
    <w:rsid w:val="00BE2BCD"/>
    <w:rsid w:val="00BF1C92"/>
    <w:rsid w:val="00D16D10"/>
    <w:rsid w:val="00DC2197"/>
    <w:rsid w:val="00E43164"/>
    <w:rsid w:val="00E6288B"/>
    <w:rsid w:val="00EA1F6B"/>
    <w:rsid w:val="00EB516F"/>
    <w:rsid w:val="00EC6C7D"/>
    <w:rsid w:val="00EE4C64"/>
    <w:rsid w:val="00F40212"/>
    <w:rsid w:val="00F6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9402"/>
  <w15:chartTrackingRefBased/>
  <w15:docId w15:val="{029DA7FD-FAF6-4991-A777-9B994CE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1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12"/>
    <w:pPr>
      <w:tabs>
        <w:tab w:val="center" w:pos="4677"/>
        <w:tab w:val="right" w:pos="9355"/>
      </w:tabs>
    </w:pPr>
  </w:style>
  <w:style w:type="character" w:customStyle="1" w:styleId="HeaderChar">
    <w:name w:val="Header Char"/>
    <w:basedOn w:val="DefaultParagraphFont"/>
    <w:link w:val="Header"/>
    <w:uiPriority w:val="99"/>
    <w:rsid w:val="00F40212"/>
    <w:rPr>
      <w:rFonts w:ascii="Times New Roman" w:eastAsia="Times New Roman" w:hAnsi="Times New Roman" w:cs="Times New Roman"/>
      <w:sz w:val="24"/>
      <w:szCs w:val="24"/>
      <w:lang w:val="ru-RU" w:eastAsia="ru-RU"/>
    </w:rPr>
  </w:style>
  <w:style w:type="character" w:styleId="Hyperlink">
    <w:name w:val="Hyperlink"/>
    <w:uiPriority w:val="99"/>
    <w:unhideWhenUsed/>
    <w:rsid w:val="00F40212"/>
    <w:rPr>
      <w:color w:val="0000FF"/>
      <w:u w:val="single"/>
    </w:rPr>
  </w:style>
  <w:style w:type="paragraph" w:styleId="ListParagraph">
    <w:name w:val="List Paragraph"/>
    <w:basedOn w:val="Normal"/>
    <w:uiPriority w:val="34"/>
    <w:qFormat/>
    <w:rsid w:val="00F40212"/>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red">
    <w:name w:val="red"/>
    <w:basedOn w:val="DefaultParagraphFont"/>
    <w:rsid w:val="00F40212"/>
  </w:style>
  <w:style w:type="paragraph" w:styleId="Footer">
    <w:name w:val="footer"/>
    <w:basedOn w:val="Normal"/>
    <w:link w:val="FooterChar"/>
    <w:uiPriority w:val="99"/>
    <w:unhideWhenUsed/>
    <w:rsid w:val="00F40212"/>
    <w:pPr>
      <w:tabs>
        <w:tab w:val="center" w:pos="4677"/>
        <w:tab w:val="right" w:pos="9355"/>
      </w:tabs>
    </w:pPr>
  </w:style>
  <w:style w:type="character" w:customStyle="1" w:styleId="FooterChar">
    <w:name w:val="Footer Char"/>
    <w:basedOn w:val="DefaultParagraphFont"/>
    <w:link w:val="Footer"/>
    <w:uiPriority w:val="99"/>
    <w:rsid w:val="00F4021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A0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62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2986">
      <w:bodyDiv w:val="1"/>
      <w:marLeft w:val="0"/>
      <w:marRight w:val="0"/>
      <w:marTop w:val="0"/>
      <w:marBottom w:val="0"/>
      <w:divBdr>
        <w:top w:val="none" w:sz="0" w:space="0" w:color="auto"/>
        <w:left w:val="none" w:sz="0" w:space="0" w:color="auto"/>
        <w:bottom w:val="none" w:sz="0" w:space="0" w:color="auto"/>
        <w:right w:val="none" w:sz="0" w:space="0" w:color="auto"/>
      </w:divBdr>
      <w:divsChild>
        <w:div w:id="1160661338">
          <w:marLeft w:val="0"/>
          <w:marRight w:val="0"/>
          <w:marTop w:val="0"/>
          <w:marBottom w:val="0"/>
          <w:divBdr>
            <w:top w:val="none" w:sz="0" w:space="0" w:color="auto"/>
            <w:left w:val="none" w:sz="0" w:space="0" w:color="auto"/>
            <w:bottom w:val="none" w:sz="0" w:space="0" w:color="auto"/>
            <w:right w:val="none" w:sz="0" w:space="0" w:color="auto"/>
          </w:divBdr>
          <w:divsChild>
            <w:div w:id="744840851">
              <w:marLeft w:val="0"/>
              <w:marRight w:val="0"/>
              <w:marTop w:val="0"/>
              <w:marBottom w:val="0"/>
              <w:divBdr>
                <w:top w:val="none" w:sz="0" w:space="0" w:color="auto"/>
                <w:left w:val="none" w:sz="0" w:space="0" w:color="auto"/>
                <w:bottom w:val="none" w:sz="0" w:space="0" w:color="auto"/>
                <w:right w:val="none" w:sz="0" w:space="0" w:color="auto"/>
              </w:divBdr>
              <w:divsChild>
                <w:div w:id="19786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319">
      <w:bodyDiv w:val="1"/>
      <w:marLeft w:val="0"/>
      <w:marRight w:val="0"/>
      <w:marTop w:val="0"/>
      <w:marBottom w:val="0"/>
      <w:divBdr>
        <w:top w:val="none" w:sz="0" w:space="0" w:color="auto"/>
        <w:left w:val="none" w:sz="0" w:space="0" w:color="auto"/>
        <w:bottom w:val="none" w:sz="0" w:space="0" w:color="auto"/>
        <w:right w:val="none" w:sz="0" w:space="0" w:color="auto"/>
      </w:divBdr>
    </w:div>
    <w:div w:id="1164122051">
      <w:bodyDiv w:val="1"/>
      <w:marLeft w:val="0"/>
      <w:marRight w:val="0"/>
      <w:marTop w:val="0"/>
      <w:marBottom w:val="0"/>
      <w:divBdr>
        <w:top w:val="none" w:sz="0" w:space="0" w:color="auto"/>
        <w:left w:val="none" w:sz="0" w:space="0" w:color="auto"/>
        <w:bottom w:val="none" w:sz="0" w:space="0" w:color="auto"/>
        <w:right w:val="none" w:sz="0" w:space="0" w:color="auto"/>
      </w:divBdr>
    </w:div>
    <w:div w:id="1312441962">
      <w:bodyDiv w:val="1"/>
      <w:marLeft w:val="0"/>
      <w:marRight w:val="0"/>
      <w:marTop w:val="0"/>
      <w:marBottom w:val="0"/>
      <w:divBdr>
        <w:top w:val="none" w:sz="0" w:space="0" w:color="auto"/>
        <w:left w:val="none" w:sz="0" w:space="0" w:color="auto"/>
        <w:bottom w:val="none" w:sz="0" w:space="0" w:color="auto"/>
        <w:right w:val="none" w:sz="0" w:space="0" w:color="auto"/>
      </w:divBdr>
    </w:div>
    <w:div w:id="1444378178">
      <w:bodyDiv w:val="1"/>
      <w:marLeft w:val="0"/>
      <w:marRight w:val="120"/>
      <w:marTop w:val="0"/>
      <w:marBottom w:val="0"/>
      <w:divBdr>
        <w:top w:val="none" w:sz="0" w:space="0" w:color="auto"/>
        <w:left w:val="none" w:sz="0" w:space="0" w:color="auto"/>
        <w:bottom w:val="none" w:sz="0" w:space="0" w:color="auto"/>
        <w:right w:val="none" w:sz="0" w:space="0" w:color="auto"/>
      </w:divBdr>
      <w:divsChild>
        <w:div w:id="58138268">
          <w:marLeft w:val="0"/>
          <w:marRight w:val="0"/>
          <w:marTop w:val="0"/>
          <w:marBottom w:val="0"/>
          <w:divBdr>
            <w:top w:val="none" w:sz="0" w:space="0" w:color="auto"/>
            <w:left w:val="none" w:sz="0" w:space="0" w:color="auto"/>
            <w:bottom w:val="none" w:sz="0" w:space="0" w:color="auto"/>
            <w:right w:val="none" w:sz="0" w:space="0" w:color="auto"/>
          </w:divBdr>
          <w:divsChild>
            <w:div w:id="1217089375">
              <w:marLeft w:val="0"/>
              <w:marRight w:val="0"/>
              <w:marTop w:val="0"/>
              <w:marBottom w:val="0"/>
              <w:divBdr>
                <w:top w:val="none" w:sz="0" w:space="0" w:color="auto"/>
                <w:left w:val="none" w:sz="0" w:space="0" w:color="auto"/>
                <w:bottom w:val="none" w:sz="0" w:space="0" w:color="auto"/>
                <w:right w:val="none" w:sz="0" w:space="0" w:color="auto"/>
              </w:divBdr>
              <w:divsChild>
                <w:div w:id="1506287697">
                  <w:marLeft w:val="0"/>
                  <w:marRight w:val="0"/>
                  <w:marTop w:val="0"/>
                  <w:marBottom w:val="0"/>
                  <w:divBdr>
                    <w:top w:val="none" w:sz="0" w:space="0" w:color="auto"/>
                    <w:left w:val="none" w:sz="0" w:space="0" w:color="auto"/>
                    <w:bottom w:val="none" w:sz="0" w:space="0" w:color="auto"/>
                    <w:right w:val="none" w:sz="0" w:space="0" w:color="auto"/>
                  </w:divBdr>
                  <w:divsChild>
                    <w:div w:id="19402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5720">
      <w:bodyDiv w:val="1"/>
      <w:marLeft w:val="0"/>
      <w:marRight w:val="0"/>
      <w:marTop w:val="0"/>
      <w:marBottom w:val="0"/>
      <w:divBdr>
        <w:top w:val="none" w:sz="0" w:space="0" w:color="auto"/>
        <w:left w:val="none" w:sz="0" w:space="0" w:color="auto"/>
        <w:bottom w:val="none" w:sz="0" w:space="0" w:color="auto"/>
        <w:right w:val="none" w:sz="0" w:space="0" w:color="auto"/>
      </w:divBdr>
    </w:div>
    <w:div w:id="1973707344">
      <w:bodyDiv w:val="1"/>
      <w:marLeft w:val="0"/>
      <w:marRight w:val="0"/>
      <w:marTop w:val="0"/>
      <w:marBottom w:val="0"/>
      <w:divBdr>
        <w:top w:val="none" w:sz="0" w:space="0" w:color="auto"/>
        <w:left w:val="none" w:sz="0" w:space="0" w:color="auto"/>
        <w:bottom w:val="none" w:sz="0" w:space="0" w:color="auto"/>
        <w:right w:val="none" w:sz="0" w:space="0" w:color="auto"/>
      </w:divBdr>
    </w:div>
    <w:div w:id="21331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ecom.ngo" TargetMode="External"/><Relationship Id="rId2" Type="http://schemas.openxmlformats.org/officeDocument/2006/relationships/hyperlink" Target="mailto:contact@ecom.ngo"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om.ngo/news-eeca/law-foreign-influence-in-georgia" TargetMode="External"/><Relationship Id="rId2" Type="http://schemas.openxmlformats.org/officeDocument/2006/relationships/hyperlink" Target="https://ecom.ngo/resource/files/2023/04/ecom_report22_1_en-1.pdf" TargetMode="External"/><Relationship Id="rId1" Type="http://schemas.openxmlformats.org/officeDocument/2006/relationships/hyperlink" Target="https://ecom.ngo/news-ecom/report-on-violation-of-gay-rights-in-uzbekistan" TargetMode="External"/><Relationship Id="rId6" Type="http://schemas.openxmlformats.org/officeDocument/2006/relationships/hyperlink" Target="http://www.kenesh.kg/ru/article/show/10431/na-obshtestvennoe-obsuzhdenie-s-17-marta-2023-goda-vinositsya-proekt-zakona-o-vnesenii-izmeneniy-v-nekotorie-zakonodatelynie-akti-kirgizskoy-respubliki-v-kodeks-kirgizskoy-respubliki-o-pravonarusheniyah-i-zakoni-kirgizskoy-respubliki-o-merah-po-preduprezhdeniyu-prichineniya-vreda-zdorovyyu-detey-ih-fizicheskomu-intellektualynomu-psihicheskomu-duhovnomu-i-nravstvennomu-razvitiyu-v-kirgizskoy-respublike-o-sredstvah-massovoy-informatsii" TargetMode="External"/><Relationship Id="rId5" Type="http://schemas.openxmlformats.org/officeDocument/2006/relationships/hyperlink" Target="https://meduza.io/en/news/2023/02/23/russia-has-started-expelling-transgender-women-who-lack-russian-citizenship" TargetMode="External"/><Relationship Id="rId4" Type="http://schemas.openxmlformats.org/officeDocument/2006/relationships/hyperlink" Target="https://ecom.ngo/news-eeca/russia-adopts-law-on-lgbt-propagan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input-1</Doctype>
    <Contributor xmlns="d42e65b2-cf21-49c1-b27d-d23f90380c0e">ECOM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85CBA49-084C-420C-B2EF-C42FFACCCDA0}"/>
</file>

<file path=customXml/itemProps2.xml><?xml version="1.0" encoding="utf-8"?>
<ds:datastoreItem xmlns:ds="http://schemas.openxmlformats.org/officeDocument/2006/customXml" ds:itemID="{7BEF3FED-0CE0-448E-839A-A4C3B2D2FEBB}"/>
</file>

<file path=customXml/itemProps3.xml><?xml version="1.0" encoding="utf-8"?>
<ds:datastoreItem xmlns:ds="http://schemas.openxmlformats.org/officeDocument/2006/customXml" ds:itemID="{6590C3A9-5596-4149-B41C-05AF94990FCD}"/>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10521</Characters>
  <Application>Microsoft Office Word</Application>
  <DocSecurity>0</DocSecurity>
  <Lines>152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Elvira Tiler</cp:lastModifiedBy>
  <cp:revision>2</cp:revision>
  <cp:lastPrinted>2020-01-29T09:41:00Z</cp:lastPrinted>
  <dcterms:created xsi:type="dcterms:W3CDTF">2023-05-26T07:53:00Z</dcterms:created>
  <dcterms:modified xsi:type="dcterms:W3CDTF">2023-05-26T07:53:00Z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ef61b75d746bcac4d4f4c12cc6027943cab15dbb3173393b64d21f8a57224147</vt:lpwstr>
  </property>
  <property fmtid="{D5CDD505-2E9C-101B-9397-08002B2CF9AE}" pid="3" name="ContentTypeId">
    <vt:lpwstr>0x0101009D953D6983EF5F4EB0B6A5354F975E96</vt:lpwstr>
  </property>
</Properties>
</file>