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0" w:rightFromText="180" w:vertAnchor="text" w:tblpY="-42"/>
        <w:tblW w:w="15163" w:type="dxa"/>
        <w:tblLook w:val="04A0" w:firstRow="1" w:lastRow="0" w:firstColumn="1" w:lastColumn="0" w:noHBand="0" w:noVBand="1"/>
      </w:tblPr>
      <w:tblGrid>
        <w:gridCol w:w="1382"/>
        <w:gridCol w:w="7827"/>
        <w:gridCol w:w="5954"/>
      </w:tblGrid>
      <w:tr w:rsidR="00AD3349" w:rsidRPr="00B6747C" w14:paraId="67C66155" w14:textId="77777777" w:rsidTr="004A11E8">
        <w:tc>
          <w:tcPr>
            <w:tcW w:w="15163" w:type="dxa"/>
            <w:gridSpan w:val="3"/>
            <w:shd w:val="clear" w:color="auto" w:fill="BFBFBF" w:themeFill="background1" w:themeFillShade="BF"/>
          </w:tcPr>
          <w:p w14:paraId="501F9C92" w14:textId="6FB58B64" w:rsidR="0065051C" w:rsidRPr="00170567" w:rsidRDefault="00234DE0" w:rsidP="001464D0">
            <w:pPr>
              <w:jc w:val="center"/>
              <w:rPr>
                <w:rFonts w:cstheme="minorHAnsi"/>
                <w:b/>
                <w:sz w:val="18"/>
                <w:szCs w:val="18"/>
                <w:lang w:val="es-ES_tradnl"/>
              </w:rPr>
            </w:pPr>
            <w:bookmarkStart w:id="0" w:name="_Hlk11057911"/>
            <w:proofErr w:type="spellStart"/>
            <w:r w:rsidRPr="00170567">
              <w:rPr>
                <w:rFonts w:cstheme="minorHAnsi"/>
                <w:b/>
                <w:sz w:val="18"/>
                <w:szCs w:val="18"/>
                <w:lang w:val="es-ES_tradnl"/>
              </w:rPr>
              <w:t>rt</w:t>
            </w:r>
            <w:r w:rsidR="00170567" w:rsidRPr="00170567">
              <w:rPr>
                <w:rFonts w:cstheme="minorHAnsi"/>
                <w:b/>
                <w:sz w:val="18"/>
                <w:szCs w:val="18"/>
                <w:lang w:val="es-ES_tradnl"/>
              </w:rPr>
              <w:t>ículo</w:t>
            </w:r>
            <w:proofErr w:type="spellEnd"/>
            <w:r w:rsidRPr="00170567">
              <w:rPr>
                <w:rFonts w:cstheme="minorHAnsi"/>
                <w:b/>
                <w:sz w:val="18"/>
                <w:szCs w:val="18"/>
                <w:lang w:val="es-ES_tradnl"/>
              </w:rPr>
              <w:t xml:space="preserve"> </w:t>
            </w:r>
            <w:r w:rsidR="00420937" w:rsidRPr="00170567">
              <w:rPr>
                <w:rFonts w:cstheme="minorHAnsi"/>
                <w:b/>
                <w:sz w:val="18"/>
                <w:szCs w:val="18"/>
                <w:lang w:val="es-ES_tradnl"/>
              </w:rPr>
              <w:t>1</w:t>
            </w:r>
            <w:r w:rsidR="001464D0" w:rsidRPr="00170567">
              <w:rPr>
                <w:rFonts w:cstheme="minorHAnsi"/>
                <w:b/>
                <w:sz w:val="18"/>
                <w:szCs w:val="18"/>
                <w:lang w:val="es-ES_tradnl"/>
              </w:rPr>
              <w:t>3</w:t>
            </w:r>
            <w:r w:rsidR="0065051C" w:rsidRPr="00170567">
              <w:rPr>
                <w:rFonts w:cstheme="minorHAnsi"/>
                <w:b/>
                <w:sz w:val="18"/>
                <w:szCs w:val="18"/>
                <w:lang w:val="es-ES_tradnl"/>
              </w:rPr>
              <w:t xml:space="preserve"> </w:t>
            </w:r>
            <w:r w:rsidR="00170567" w:rsidRPr="00170567">
              <w:rPr>
                <w:rFonts w:cstheme="minorHAnsi"/>
                <w:b/>
                <w:sz w:val="18"/>
                <w:szCs w:val="18"/>
                <w:lang w:val="es-ES_tradnl"/>
              </w:rPr>
              <w:t>–</w:t>
            </w:r>
            <w:r w:rsidR="0065051C" w:rsidRPr="00170567">
              <w:rPr>
                <w:rFonts w:cstheme="minorHAnsi"/>
                <w:b/>
                <w:sz w:val="18"/>
                <w:szCs w:val="18"/>
                <w:lang w:val="es-ES_tradnl"/>
              </w:rPr>
              <w:t xml:space="preserve"> </w:t>
            </w:r>
            <w:r w:rsidR="00170567" w:rsidRPr="00170567">
              <w:rPr>
                <w:rFonts w:cstheme="minorHAnsi"/>
                <w:b/>
                <w:sz w:val="18"/>
                <w:szCs w:val="18"/>
                <w:lang w:val="es-ES_tradnl"/>
              </w:rPr>
              <w:t xml:space="preserve">Lista de indicadores </w:t>
            </w:r>
            <w:r w:rsidR="007C6B30">
              <w:rPr>
                <w:rFonts w:cstheme="minorHAnsi"/>
                <w:b/>
                <w:sz w:val="18"/>
                <w:szCs w:val="18"/>
                <w:lang w:val="es-ES_tradnl"/>
              </w:rPr>
              <w:t>sobre</w:t>
            </w:r>
            <w:r w:rsidR="00170567" w:rsidRPr="00170567">
              <w:rPr>
                <w:rFonts w:cstheme="minorHAnsi"/>
                <w:b/>
                <w:sz w:val="18"/>
                <w:szCs w:val="18"/>
                <w:lang w:val="es-ES_tradnl"/>
              </w:rPr>
              <w:t xml:space="preserve"> el acceso a la justicia de las personas con discapacidad</w:t>
            </w:r>
          </w:p>
        </w:tc>
      </w:tr>
      <w:tr w:rsidR="00AD3349" w:rsidRPr="00B6747C" w14:paraId="1113D4A1" w14:textId="77777777" w:rsidTr="004A11E8">
        <w:tc>
          <w:tcPr>
            <w:tcW w:w="15163" w:type="dxa"/>
            <w:gridSpan w:val="3"/>
            <w:shd w:val="clear" w:color="auto" w:fill="auto"/>
          </w:tcPr>
          <w:p w14:paraId="4090E0FB" w14:textId="4105C677" w:rsidR="00170567" w:rsidRPr="00170567" w:rsidRDefault="00170567" w:rsidP="00D52E05">
            <w:pPr>
              <w:jc w:val="center"/>
              <w:rPr>
                <w:rFonts w:cstheme="minorHAnsi"/>
                <w:b/>
                <w:sz w:val="18"/>
                <w:szCs w:val="18"/>
                <w:lang w:val="es-ES_tradnl"/>
              </w:rPr>
            </w:pPr>
            <w:r>
              <w:rPr>
                <w:rFonts w:cstheme="minorHAnsi"/>
                <w:b/>
                <w:sz w:val="18"/>
                <w:szCs w:val="18"/>
                <w:lang w:val="es-ES_tradnl"/>
              </w:rPr>
              <w:t>Derecho de acceso a la justicia</w:t>
            </w:r>
            <w:r w:rsidR="007B2E2C">
              <w:rPr>
                <w:rFonts w:cstheme="minorHAnsi"/>
                <w:b/>
                <w:sz w:val="18"/>
                <w:szCs w:val="18"/>
                <w:lang w:val="es-ES_tradnl"/>
              </w:rPr>
              <w:t>*</w:t>
            </w:r>
          </w:p>
        </w:tc>
      </w:tr>
      <w:tr w:rsidR="00170567" w:rsidRPr="00B6747C" w14:paraId="10FDE2E4" w14:textId="77777777" w:rsidTr="00170567">
        <w:tc>
          <w:tcPr>
            <w:tcW w:w="1382" w:type="dxa"/>
            <w:shd w:val="clear" w:color="auto" w:fill="auto"/>
          </w:tcPr>
          <w:p w14:paraId="40D0D6FD" w14:textId="0C3CD01F" w:rsidR="00470A68" w:rsidRPr="00170567" w:rsidRDefault="00C0160F" w:rsidP="009806F8">
            <w:pPr>
              <w:rPr>
                <w:rFonts w:cstheme="minorHAnsi"/>
                <w:b/>
                <w:sz w:val="18"/>
                <w:szCs w:val="18"/>
                <w:lang w:val="es-ES_tradnl"/>
              </w:rPr>
            </w:pPr>
            <w:r>
              <w:rPr>
                <w:rFonts w:cstheme="minorHAnsi"/>
                <w:b/>
                <w:sz w:val="18"/>
                <w:szCs w:val="18"/>
                <w:lang w:val="es-ES_tradnl"/>
              </w:rPr>
              <w:t>Atributos</w:t>
            </w:r>
            <w:r w:rsidR="00470A68" w:rsidRPr="00170567">
              <w:rPr>
                <w:rFonts w:cstheme="minorHAnsi"/>
                <w:b/>
                <w:sz w:val="18"/>
                <w:szCs w:val="18"/>
                <w:lang w:val="es-ES_tradnl"/>
              </w:rPr>
              <w:t>/</w:t>
            </w:r>
          </w:p>
          <w:p w14:paraId="26D49216" w14:textId="50F5FB03" w:rsidR="00470A68" w:rsidRPr="00170567" w:rsidRDefault="00470A68" w:rsidP="009806F8">
            <w:pPr>
              <w:rPr>
                <w:rFonts w:cstheme="minorHAnsi"/>
                <w:b/>
                <w:sz w:val="18"/>
                <w:szCs w:val="18"/>
                <w:lang w:val="es-ES_tradnl"/>
              </w:rPr>
            </w:pPr>
            <w:r w:rsidRPr="00170567">
              <w:rPr>
                <w:rFonts w:cstheme="minorHAnsi"/>
                <w:b/>
                <w:sz w:val="18"/>
                <w:szCs w:val="18"/>
                <w:lang w:val="es-ES_tradnl"/>
              </w:rPr>
              <w:t>Indica</w:t>
            </w:r>
            <w:r w:rsidR="00170567">
              <w:rPr>
                <w:rFonts w:cstheme="minorHAnsi"/>
                <w:b/>
                <w:sz w:val="18"/>
                <w:szCs w:val="18"/>
                <w:lang w:val="es-ES_tradnl"/>
              </w:rPr>
              <w:t>dores</w:t>
            </w:r>
          </w:p>
        </w:tc>
        <w:tc>
          <w:tcPr>
            <w:tcW w:w="7827" w:type="dxa"/>
            <w:shd w:val="clear" w:color="auto" w:fill="auto"/>
          </w:tcPr>
          <w:p w14:paraId="43F5183B" w14:textId="0342C763" w:rsidR="00470A68" w:rsidRPr="00170567" w:rsidRDefault="00AE5D65" w:rsidP="004F538D">
            <w:pPr>
              <w:jc w:val="center"/>
              <w:rPr>
                <w:rFonts w:cstheme="minorHAnsi"/>
                <w:b/>
                <w:sz w:val="18"/>
                <w:szCs w:val="18"/>
                <w:lang w:val="es-ES_tradnl"/>
              </w:rPr>
            </w:pPr>
            <w:r>
              <w:rPr>
                <w:rFonts w:cstheme="minorHAnsi"/>
                <w:b/>
                <w:sz w:val="18"/>
                <w:szCs w:val="18"/>
                <w:lang w:val="es-ES_tradnl"/>
              </w:rPr>
              <w:t>Igualdad de acceso</w:t>
            </w:r>
            <w:r w:rsidR="00170567">
              <w:rPr>
                <w:rFonts w:cstheme="minorHAnsi"/>
                <w:b/>
                <w:sz w:val="18"/>
                <w:szCs w:val="18"/>
                <w:lang w:val="es-ES_tradnl"/>
              </w:rPr>
              <w:t xml:space="preserve"> e igualdad ante el sistema judicial</w:t>
            </w:r>
          </w:p>
        </w:tc>
        <w:tc>
          <w:tcPr>
            <w:tcW w:w="5954" w:type="dxa"/>
            <w:shd w:val="clear" w:color="auto" w:fill="auto"/>
          </w:tcPr>
          <w:p w14:paraId="5DEE108D" w14:textId="35C80CEA" w:rsidR="00470A68" w:rsidRPr="00170567" w:rsidRDefault="00170567" w:rsidP="00D91568">
            <w:pPr>
              <w:jc w:val="center"/>
              <w:rPr>
                <w:rFonts w:cstheme="minorHAnsi"/>
                <w:b/>
                <w:sz w:val="18"/>
                <w:szCs w:val="18"/>
                <w:lang w:val="es-ES_tradnl"/>
              </w:rPr>
            </w:pPr>
            <w:r>
              <w:rPr>
                <w:rFonts w:cstheme="minorHAnsi"/>
                <w:b/>
                <w:sz w:val="18"/>
                <w:szCs w:val="18"/>
                <w:lang w:val="es-ES_tradnl"/>
              </w:rPr>
              <w:t>Participación de personas con discapacidad en el sistema judicial</w:t>
            </w:r>
          </w:p>
        </w:tc>
      </w:tr>
      <w:tr w:rsidR="00FC43B6" w:rsidRPr="00B6747C" w14:paraId="4ECE9922" w14:textId="77777777" w:rsidTr="00170567">
        <w:trPr>
          <w:trHeight w:val="1062"/>
        </w:trPr>
        <w:tc>
          <w:tcPr>
            <w:tcW w:w="1382" w:type="dxa"/>
            <w:shd w:val="clear" w:color="auto" w:fill="auto"/>
          </w:tcPr>
          <w:p w14:paraId="76F60D5B" w14:textId="1E2DFBA9" w:rsidR="00170567" w:rsidRPr="00170567" w:rsidRDefault="00170567" w:rsidP="004F538D">
            <w:pPr>
              <w:pStyle w:val="Paragraphedeliste"/>
              <w:ind w:left="0"/>
              <w:rPr>
                <w:rFonts w:cstheme="minorHAnsi"/>
                <w:b/>
                <w:sz w:val="18"/>
                <w:szCs w:val="18"/>
                <w:lang w:val="es-ES_tradnl"/>
              </w:rPr>
            </w:pPr>
            <w:r>
              <w:rPr>
                <w:rFonts w:cstheme="minorHAnsi"/>
                <w:b/>
                <w:sz w:val="18"/>
                <w:szCs w:val="18"/>
                <w:lang w:val="es-ES_tradnl"/>
              </w:rPr>
              <w:t xml:space="preserve">Estructura </w:t>
            </w:r>
          </w:p>
        </w:tc>
        <w:tc>
          <w:tcPr>
            <w:tcW w:w="13781" w:type="dxa"/>
            <w:gridSpan w:val="2"/>
            <w:shd w:val="clear" w:color="auto" w:fill="auto"/>
          </w:tcPr>
          <w:p w14:paraId="4663888B" w14:textId="5CEB9DC1" w:rsidR="00170567" w:rsidRPr="00170567" w:rsidRDefault="00170567" w:rsidP="00170567">
            <w:pPr>
              <w:jc w:val="both"/>
              <w:rPr>
                <w:rFonts w:cstheme="minorHAnsi"/>
                <w:sz w:val="18"/>
                <w:szCs w:val="18"/>
                <w:lang w:val="es-ES_tradnl"/>
              </w:rPr>
            </w:pPr>
            <w:r w:rsidRPr="00170567">
              <w:rPr>
                <w:rFonts w:cstheme="minorHAnsi"/>
                <w:sz w:val="18"/>
                <w:szCs w:val="18"/>
                <w:lang w:val="es-ES_tradnl"/>
              </w:rPr>
              <w:t xml:space="preserve">13.1 Legislación promulgada </w:t>
            </w:r>
            <w:r w:rsidR="00AE5D65">
              <w:rPr>
                <w:rFonts w:cstheme="minorHAnsi"/>
                <w:sz w:val="18"/>
                <w:szCs w:val="18"/>
                <w:lang w:val="es-ES_tradnl"/>
              </w:rPr>
              <w:t>relativa al</w:t>
            </w:r>
            <w:r w:rsidRPr="00170567">
              <w:rPr>
                <w:rFonts w:cstheme="minorHAnsi"/>
                <w:sz w:val="18"/>
                <w:szCs w:val="18"/>
                <w:lang w:val="es-ES_tradnl"/>
              </w:rPr>
              <w:t xml:space="preserve"> sistema </w:t>
            </w:r>
            <w:r w:rsidR="00FE1A98">
              <w:rPr>
                <w:rFonts w:cstheme="minorHAnsi"/>
                <w:sz w:val="18"/>
                <w:szCs w:val="18"/>
                <w:lang w:val="es-ES_tradnl"/>
              </w:rPr>
              <w:t>judicial</w:t>
            </w:r>
            <w:r w:rsidR="00F112D5">
              <w:rPr>
                <w:rFonts w:cstheme="minorHAnsi"/>
                <w:sz w:val="18"/>
                <w:szCs w:val="18"/>
                <w:lang w:val="es-ES_tradnl"/>
              </w:rPr>
              <w:t xml:space="preserve"> </w:t>
            </w:r>
            <w:r w:rsidR="00AE5D65">
              <w:rPr>
                <w:rFonts w:cstheme="minorHAnsi"/>
                <w:sz w:val="18"/>
                <w:szCs w:val="18"/>
                <w:lang w:val="es-ES_tradnl"/>
              </w:rPr>
              <w:t xml:space="preserve">que sea </w:t>
            </w:r>
            <w:r w:rsidR="00F112D5">
              <w:rPr>
                <w:rFonts w:cstheme="minorHAnsi"/>
                <w:sz w:val="18"/>
                <w:szCs w:val="18"/>
                <w:lang w:val="es-ES_tradnl"/>
              </w:rPr>
              <w:t xml:space="preserve">inclusiva </w:t>
            </w:r>
            <w:r w:rsidR="00AE5D65">
              <w:rPr>
                <w:rFonts w:cstheme="minorHAnsi"/>
                <w:sz w:val="18"/>
                <w:szCs w:val="18"/>
                <w:lang w:val="es-ES_tradnl"/>
              </w:rPr>
              <w:t>con</w:t>
            </w:r>
            <w:r w:rsidR="00F112D5">
              <w:rPr>
                <w:rFonts w:cstheme="minorHAnsi"/>
                <w:sz w:val="18"/>
                <w:szCs w:val="18"/>
                <w:lang w:val="es-ES_tradnl"/>
              </w:rPr>
              <w:t xml:space="preserve"> las personas con discapacidad</w:t>
            </w:r>
            <w:r w:rsidRPr="00170567">
              <w:rPr>
                <w:rFonts w:cstheme="minorHAnsi"/>
                <w:sz w:val="18"/>
                <w:szCs w:val="18"/>
                <w:lang w:val="es-ES_tradnl"/>
              </w:rPr>
              <w:t>, tanto en su estructura</w:t>
            </w:r>
            <w:r>
              <w:rPr>
                <w:rFonts w:cstheme="minorHAnsi"/>
                <w:sz w:val="18"/>
                <w:szCs w:val="18"/>
                <w:lang w:val="es-ES_tradnl"/>
              </w:rPr>
              <w:t>/</w:t>
            </w:r>
            <w:r w:rsidRPr="00170567">
              <w:rPr>
                <w:rFonts w:cstheme="minorHAnsi"/>
                <w:sz w:val="18"/>
                <w:szCs w:val="18"/>
                <w:lang w:val="es-ES_tradnl"/>
              </w:rPr>
              <w:t>organización</w:t>
            </w:r>
            <w:r>
              <w:rPr>
                <w:rFonts w:cstheme="minorHAnsi"/>
                <w:sz w:val="18"/>
                <w:szCs w:val="18"/>
                <w:lang w:val="es-ES_tradnl"/>
              </w:rPr>
              <w:t>/</w:t>
            </w:r>
            <w:r w:rsidRPr="00170567">
              <w:rPr>
                <w:rFonts w:cstheme="minorHAnsi"/>
                <w:sz w:val="18"/>
                <w:szCs w:val="18"/>
                <w:lang w:val="es-ES_tradnl"/>
              </w:rPr>
              <w:t xml:space="preserve">administración y sus procedimientos, como en todos </w:t>
            </w:r>
            <w:r w:rsidR="00F112D5">
              <w:rPr>
                <w:rFonts w:cstheme="minorHAnsi"/>
                <w:sz w:val="18"/>
                <w:szCs w:val="18"/>
                <w:lang w:val="es-ES_tradnl"/>
              </w:rPr>
              <w:t>los</w:t>
            </w:r>
            <w:r w:rsidR="00F112D5" w:rsidRPr="00170567">
              <w:rPr>
                <w:rFonts w:cstheme="minorHAnsi"/>
                <w:sz w:val="18"/>
                <w:szCs w:val="18"/>
                <w:lang w:val="es-ES_tradnl"/>
              </w:rPr>
              <w:t xml:space="preserve"> </w:t>
            </w:r>
            <w:r w:rsidRPr="00170567">
              <w:rPr>
                <w:rFonts w:cstheme="minorHAnsi"/>
                <w:sz w:val="18"/>
                <w:szCs w:val="18"/>
                <w:lang w:val="es-ES_tradnl"/>
              </w:rPr>
              <w:t xml:space="preserve">sectores </w:t>
            </w:r>
            <w:r w:rsidR="00F112D5">
              <w:rPr>
                <w:rFonts w:cstheme="minorHAnsi"/>
                <w:sz w:val="18"/>
                <w:szCs w:val="18"/>
                <w:lang w:val="es-ES_tradnl"/>
              </w:rPr>
              <w:t>civiles y penales.</w:t>
            </w:r>
            <w:r w:rsidR="00FE1A98">
              <w:rPr>
                <w:rStyle w:val="Appeldenotedefin"/>
                <w:rFonts w:cstheme="minorHAnsi"/>
                <w:sz w:val="18"/>
                <w:szCs w:val="18"/>
                <w:lang w:val="es-ES_tradnl"/>
              </w:rPr>
              <w:endnoteReference w:id="1"/>
            </w:r>
          </w:p>
          <w:p w14:paraId="737A0673" w14:textId="68089094" w:rsidR="00170567" w:rsidRPr="00170567" w:rsidRDefault="00170567" w:rsidP="00170567">
            <w:pPr>
              <w:jc w:val="both"/>
              <w:rPr>
                <w:rFonts w:cstheme="minorHAnsi"/>
                <w:sz w:val="18"/>
                <w:szCs w:val="18"/>
                <w:lang w:val="es-ES_tradnl"/>
              </w:rPr>
            </w:pPr>
            <w:r w:rsidRPr="00170567">
              <w:rPr>
                <w:rFonts w:cstheme="minorHAnsi"/>
                <w:sz w:val="18"/>
                <w:szCs w:val="18"/>
                <w:lang w:val="es-ES_tradnl"/>
              </w:rPr>
              <w:t xml:space="preserve">13.2 </w:t>
            </w:r>
            <w:r w:rsidR="00AE5D65">
              <w:rPr>
                <w:rFonts w:cstheme="minorHAnsi"/>
                <w:sz w:val="18"/>
                <w:szCs w:val="18"/>
                <w:lang w:val="es-ES_tradnl"/>
              </w:rPr>
              <w:t>Que no hayan</w:t>
            </w:r>
            <w:r>
              <w:rPr>
                <w:rFonts w:cstheme="minorHAnsi"/>
                <w:sz w:val="18"/>
                <w:szCs w:val="18"/>
                <w:lang w:val="es-ES_tradnl"/>
              </w:rPr>
              <w:t xml:space="preserve"> </w:t>
            </w:r>
            <w:r w:rsidRPr="00170567">
              <w:rPr>
                <w:rFonts w:cstheme="minorHAnsi"/>
                <w:sz w:val="18"/>
                <w:szCs w:val="18"/>
                <w:lang w:val="es-ES_tradnl"/>
              </w:rPr>
              <w:t>disposici</w:t>
            </w:r>
            <w:r w:rsidR="007C6B30">
              <w:rPr>
                <w:rFonts w:cstheme="minorHAnsi"/>
                <w:sz w:val="18"/>
                <w:szCs w:val="18"/>
                <w:lang w:val="es-ES_tradnl"/>
              </w:rPr>
              <w:t>ones</w:t>
            </w:r>
            <w:r w:rsidRPr="00170567">
              <w:rPr>
                <w:rFonts w:cstheme="minorHAnsi"/>
                <w:sz w:val="18"/>
                <w:szCs w:val="18"/>
                <w:lang w:val="es-ES_tradnl"/>
              </w:rPr>
              <w:t xml:space="preserve"> en la constitución, legislación o </w:t>
            </w:r>
            <w:r w:rsidR="007C6B30">
              <w:rPr>
                <w:rFonts w:cstheme="minorHAnsi"/>
                <w:sz w:val="18"/>
                <w:szCs w:val="18"/>
                <w:lang w:val="es-ES_tradnl"/>
              </w:rPr>
              <w:t>normativa</w:t>
            </w:r>
            <w:r w:rsidRPr="00170567">
              <w:rPr>
                <w:rFonts w:cstheme="minorHAnsi"/>
                <w:sz w:val="18"/>
                <w:szCs w:val="18"/>
                <w:lang w:val="es-ES_tradnl"/>
              </w:rPr>
              <w:t xml:space="preserve"> que restrinja el acceso a la justicia o la participación en el sistema </w:t>
            </w:r>
            <w:r>
              <w:rPr>
                <w:rFonts w:cstheme="minorHAnsi"/>
                <w:sz w:val="18"/>
                <w:szCs w:val="18"/>
                <w:lang w:val="es-ES_tradnl"/>
              </w:rPr>
              <w:t>judicial</w:t>
            </w:r>
            <w:r w:rsidRPr="00170567">
              <w:rPr>
                <w:rFonts w:cstheme="minorHAnsi"/>
                <w:sz w:val="18"/>
                <w:szCs w:val="18"/>
                <w:lang w:val="es-ES_tradnl"/>
              </w:rPr>
              <w:t xml:space="preserve"> </w:t>
            </w:r>
            <w:r w:rsidR="007C6B30">
              <w:rPr>
                <w:rFonts w:cstheme="minorHAnsi"/>
                <w:sz w:val="18"/>
                <w:szCs w:val="18"/>
                <w:lang w:val="es-ES_tradnl"/>
              </w:rPr>
              <w:t>sobre la base de</w:t>
            </w:r>
            <w:r>
              <w:rPr>
                <w:rFonts w:cstheme="minorHAnsi"/>
                <w:sz w:val="18"/>
                <w:szCs w:val="18"/>
                <w:lang w:val="es-ES_tradnl"/>
              </w:rPr>
              <w:t xml:space="preserve"> </w:t>
            </w:r>
            <w:r w:rsidR="007C6B30">
              <w:rPr>
                <w:rFonts w:cstheme="minorHAnsi"/>
                <w:sz w:val="18"/>
                <w:szCs w:val="18"/>
                <w:lang w:val="es-ES_tradnl"/>
              </w:rPr>
              <w:t>la</w:t>
            </w:r>
            <w:r w:rsidRPr="00170567">
              <w:rPr>
                <w:rFonts w:cstheme="minorHAnsi"/>
                <w:sz w:val="18"/>
                <w:szCs w:val="18"/>
                <w:lang w:val="es-ES_tradnl"/>
              </w:rPr>
              <w:t xml:space="preserve"> discapacidad</w:t>
            </w:r>
            <w:r w:rsidR="0073482F">
              <w:rPr>
                <w:rFonts w:cstheme="minorHAnsi"/>
                <w:sz w:val="18"/>
                <w:szCs w:val="18"/>
                <w:lang w:val="es-ES_tradnl"/>
              </w:rPr>
              <w:t>.</w:t>
            </w:r>
            <w:r w:rsidR="00E675E6">
              <w:rPr>
                <w:rStyle w:val="Appeldenotedefin"/>
                <w:rFonts w:cstheme="minorHAnsi"/>
                <w:sz w:val="18"/>
                <w:szCs w:val="18"/>
                <w:lang w:val="es-ES_tradnl"/>
              </w:rPr>
              <w:endnoteReference w:id="2"/>
            </w:r>
          </w:p>
          <w:p w14:paraId="3AD9C104" w14:textId="0ED209CD" w:rsidR="00FC43B6" w:rsidRPr="00170567" w:rsidRDefault="00170567" w:rsidP="00CD685D">
            <w:pPr>
              <w:jc w:val="both"/>
              <w:rPr>
                <w:rFonts w:cstheme="minorHAnsi"/>
                <w:sz w:val="18"/>
                <w:szCs w:val="18"/>
                <w:lang w:val="es-ES_tradnl"/>
              </w:rPr>
            </w:pPr>
            <w:r w:rsidRPr="00170567">
              <w:rPr>
                <w:rFonts w:cstheme="minorHAnsi"/>
                <w:sz w:val="18"/>
                <w:szCs w:val="18"/>
                <w:lang w:val="es-ES_tradnl"/>
              </w:rPr>
              <w:t xml:space="preserve">13.3 Legislación penal sustantiva y procesal promulgada que </w:t>
            </w:r>
            <w:r w:rsidR="00CD685D">
              <w:rPr>
                <w:rFonts w:cstheme="minorHAnsi"/>
                <w:sz w:val="18"/>
                <w:szCs w:val="18"/>
                <w:lang w:val="es-ES_tradnl"/>
              </w:rPr>
              <w:t>asegur</w:t>
            </w:r>
            <w:r w:rsidR="00AE5D65">
              <w:rPr>
                <w:rFonts w:cstheme="minorHAnsi"/>
                <w:sz w:val="18"/>
                <w:szCs w:val="18"/>
                <w:lang w:val="es-ES_tradnl"/>
              </w:rPr>
              <w:t>e</w:t>
            </w:r>
            <w:r w:rsidR="00CD685D" w:rsidRPr="00170567">
              <w:rPr>
                <w:rFonts w:cstheme="minorHAnsi"/>
                <w:sz w:val="18"/>
                <w:szCs w:val="18"/>
                <w:lang w:val="es-ES_tradnl"/>
              </w:rPr>
              <w:t xml:space="preserve"> </w:t>
            </w:r>
            <w:r w:rsidRPr="00170567">
              <w:rPr>
                <w:rFonts w:cstheme="minorHAnsi"/>
                <w:sz w:val="18"/>
                <w:szCs w:val="18"/>
                <w:lang w:val="es-ES_tradnl"/>
              </w:rPr>
              <w:t>garantías</w:t>
            </w:r>
            <w:r w:rsidR="00AE5D65">
              <w:rPr>
                <w:rFonts w:cstheme="minorHAnsi"/>
                <w:sz w:val="18"/>
                <w:szCs w:val="18"/>
                <w:lang w:val="es-ES_tradnl"/>
              </w:rPr>
              <w:t xml:space="preserve"> </w:t>
            </w:r>
            <w:r w:rsidR="00AE5D65" w:rsidRPr="00170567">
              <w:rPr>
                <w:rFonts w:cstheme="minorHAnsi"/>
                <w:sz w:val="18"/>
                <w:szCs w:val="18"/>
                <w:lang w:val="es-ES_tradnl"/>
              </w:rPr>
              <w:t xml:space="preserve">procesales </w:t>
            </w:r>
            <w:r w:rsidRPr="00170567">
              <w:rPr>
                <w:rFonts w:cstheme="minorHAnsi"/>
                <w:sz w:val="18"/>
                <w:szCs w:val="18"/>
                <w:lang w:val="es-ES_tradnl"/>
              </w:rPr>
              <w:t xml:space="preserve">sustantivas </w:t>
            </w:r>
            <w:r w:rsidR="00AE5D65">
              <w:rPr>
                <w:rFonts w:cstheme="minorHAnsi"/>
                <w:sz w:val="18"/>
                <w:szCs w:val="18"/>
                <w:lang w:val="es-ES_tradnl"/>
              </w:rPr>
              <w:t>p</w:t>
            </w:r>
            <w:r w:rsidR="00CD685D">
              <w:rPr>
                <w:rFonts w:cstheme="minorHAnsi"/>
                <w:sz w:val="18"/>
                <w:szCs w:val="18"/>
                <w:lang w:val="es-ES_tradnl"/>
              </w:rPr>
              <w:t xml:space="preserve">ara las personas con discapacidad </w:t>
            </w:r>
            <w:r w:rsidRPr="00170567">
              <w:rPr>
                <w:rFonts w:cstheme="minorHAnsi"/>
                <w:sz w:val="18"/>
                <w:szCs w:val="18"/>
                <w:lang w:val="es-ES_tradnl"/>
              </w:rPr>
              <w:t>en igualdad de condiciones con l</w:t>
            </w:r>
            <w:r w:rsidR="007C6B30">
              <w:rPr>
                <w:rFonts w:cstheme="minorHAnsi"/>
                <w:sz w:val="18"/>
                <w:szCs w:val="18"/>
                <w:lang w:val="es-ES_tradnl"/>
              </w:rPr>
              <w:t>o</w:t>
            </w:r>
            <w:r w:rsidRPr="00170567">
              <w:rPr>
                <w:rFonts w:cstheme="minorHAnsi"/>
                <w:sz w:val="18"/>
                <w:szCs w:val="18"/>
                <w:lang w:val="es-ES_tradnl"/>
              </w:rPr>
              <w:t>s demás, y prohí</w:t>
            </w:r>
            <w:r>
              <w:rPr>
                <w:rFonts w:cstheme="minorHAnsi"/>
                <w:sz w:val="18"/>
                <w:szCs w:val="18"/>
                <w:lang w:val="es-ES_tradnl"/>
              </w:rPr>
              <w:t>b</w:t>
            </w:r>
            <w:r w:rsidR="00AE5D65">
              <w:rPr>
                <w:rFonts w:cstheme="minorHAnsi"/>
                <w:sz w:val="18"/>
                <w:szCs w:val="18"/>
                <w:lang w:val="es-ES_tradnl"/>
              </w:rPr>
              <w:t>a</w:t>
            </w:r>
            <w:r w:rsidRPr="00170567">
              <w:rPr>
                <w:rFonts w:cstheme="minorHAnsi"/>
                <w:sz w:val="18"/>
                <w:szCs w:val="18"/>
                <w:lang w:val="es-ES_tradnl"/>
              </w:rPr>
              <w:t xml:space="preserve"> </w:t>
            </w:r>
            <w:r w:rsidR="00CD685D">
              <w:rPr>
                <w:rFonts w:cstheme="minorHAnsi"/>
                <w:sz w:val="18"/>
                <w:szCs w:val="18"/>
                <w:lang w:val="es-ES_tradnl"/>
              </w:rPr>
              <w:t xml:space="preserve">arreglos al margen </w:t>
            </w:r>
            <w:r>
              <w:rPr>
                <w:rFonts w:cstheme="minorHAnsi"/>
                <w:sz w:val="18"/>
                <w:szCs w:val="18"/>
                <w:lang w:val="es-ES_tradnl"/>
              </w:rPr>
              <w:t xml:space="preserve">de los </w:t>
            </w:r>
            <w:r w:rsidRPr="00170567">
              <w:rPr>
                <w:rFonts w:cstheme="minorHAnsi"/>
                <w:sz w:val="18"/>
                <w:szCs w:val="18"/>
                <w:lang w:val="es-ES_tradnl"/>
              </w:rPr>
              <w:t>procedimientos</w:t>
            </w:r>
            <w:r w:rsidR="007C6B30">
              <w:rPr>
                <w:rFonts w:cstheme="minorHAnsi"/>
                <w:sz w:val="18"/>
                <w:szCs w:val="18"/>
                <w:lang w:val="es-ES_tradnl"/>
              </w:rPr>
              <w:t xml:space="preserve"> </w:t>
            </w:r>
            <w:r w:rsidR="00CD685D">
              <w:rPr>
                <w:rFonts w:cstheme="minorHAnsi"/>
                <w:sz w:val="18"/>
                <w:szCs w:val="18"/>
                <w:lang w:val="es-ES_tradnl"/>
              </w:rPr>
              <w:t xml:space="preserve">por motivo de </w:t>
            </w:r>
            <w:r w:rsidR="00AE5D65">
              <w:rPr>
                <w:rFonts w:cstheme="minorHAnsi"/>
                <w:sz w:val="18"/>
                <w:szCs w:val="18"/>
                <w:lang w:val="es-ES_tradnl"/>
              </w:rPr>
              <w:t xml:space="preserve">una </w:t>
            </w:r>
            <w:r w:rsidR="007C6B30">
              <w:rPr>
                <w:rFonts w:cstheme="minorHAnsi"/>
                <w:sz w:val="18"/>
                <w:szCs w:val="18"/>
                <w:lang w:val="es-ES_tradnl"/>
              </w:rPr>
              <w:t>deficiencia</w:t>
            </w:r>
            <w:r w:rsidR="00CD685D">
              <w:rPr>
                <w:rFonts w:cstheme="minorHAnsi"/>
                <w:sz w:val="18"/>
                <w:szCs w:val="18"/>
                <w:lang w:val="es-ES_tradnl"/>
              </w:rPr>
              <w:t>, especialmente para personas con discapacidad intelectual y personas con discapacidad psicosocial</w:t>
            </w:r>
            <w:r w:rsidR="00FC43B6" w:rsidRPr="00170567">
              <w:rPr>
                <w:rStyle w:val="Appeldenotedefin"/>
                <w:rFonts w:cstheme="minorHAnsi"/>
                <w:sz w:val="18"/>
                <w:szCs w:val="18"/>
                <w:lang w:val="es-ES_tradnl"/>
              </w:rPr>
              <w:endnoteReference w:id="3"/>
            </w:r>
            <w:r>
              <w:rPr>
                <w:rFonts w:cstheme="minorHAnsi"/>
                <w:sz w:val="18"/>
                <w:szCs w:val="18"/>
                <w:lang w:val="es-ES_tradnl"/>
              </w:rPr>
              <w:t>.</w:t>
            </w:r>
            <w:r w:rsidR="00FC43B6" w:rsidRPr="00170567">
              <w:rPr>
                <w:rFonts w:cstheme="minorHAnsi"/>
                <w:sz w:val="18"/>
                <w:szCs w:val="18"/>
                <w:lang w:val="es-ES_tradnl"/>
              </w:rPr>
              <w:t xml:space="preserve"> </w:t>
            </w:r>
          </w:p>
        </w:tc>
      </w:tr>
      <w:tr w:rsidR="00170567" w:rsidRPr="00B6747C" w14:paraId="47D1B907" w14:textId="77777777" w:rsidTr="00170567">
        <w:trPr>
          <w:trHeight w:val="1477"/>
        </w:trPr>
        <w:tc>
          <w:tcPr>
            <w:tcW w:w="1382" w:type="dxa"/>
            <w:vMerge w:val="restart"/>
          </w:tcPr>
          <w:p w14:paraId="01AB7567" w14:textId="08D52076" w:rsidR="00470A68" w:rsidRPr="00170567" w:rsidRDefault="00470A68" w:rsidP="004F538D">
            <w:pPr>
              <w:rPr>
                <w:rFonts w:cstheme="minorHAnsi"/>
                <w:b/>
                <w:sz w:val="18"/>
                <w:szCs w:val="18"/>
                <w:lang w:val="es-ES_tradnl"/>
              </w:rPr>
            </w:pPr>
            <w:r w:rsidRPr="00170567">
              <w:rPr>
                <w:rFonts w:cstheme="minorHAnsi"/>
                <w:b/>
                <w:sz w:val="18"/>
                <w:szCs w:val="18"/>
                <w:lang w:val="es-ES_tradnl"/>
              </w:rPr>
              <w:t>Proces</w:t>
            </w:r>
            <w:r w:rsidR="00170567">
              <w:rPr>
                <w:rFonts w:cstheme="minorHAnsi"/>
                <w:b/>
                <w:sz w:val="18"/>
                <w:szCs w:val="18"/>
                <w:lang w:val="es-ES_tradnl"/>
              </w:rPr>
              <w:t>o</w:t>
            </w:r>
          </w:p>
          <w:p w14:paraId="29C3A1CC" w14:textId="77777777" w:rsidR="00470A68" w:rsidRPr="00170567" w:rsidRDefault="00470A68" w:rsidP="004F538D">
            <w:pPr>
              <w:rPr>
                <w:rFonts w:cstheme="minorHAnsi"/>
                <w:sz w:val="18"/>
                <w:szCs w:val="18"/>
                <w:lang w:val="es-ES_tradnl"/>
              </w:rPr>
            </w:pPr>
          </w:p>
        </w:tc>
        <w:tc>
          <w:tcPr>
            <w:tcW w:w="7827" w:type="dxa"/>
          </w:tcPr>
          <w:p w14:paraId="5C741344" w14:textId="29196271" w:rsidR="00E666E5" w:rsidRDefault="00170567" w:rsidP="00CD685D">
            <w:pPr>
              <w:jc w:val="both"/>
              <w:rPr>
                <w:rFonts w:cstheme="minorHAnsi"/>
                <w:sz w:val="18"/>
                <w:szCs w:val="18"/>
                <w:lang w:val="es-ES_tradnl"/>
              </w:rPr>
            </w:pPr>
            <w:r w:rsidRPr="00170567">
              <w:rPr>
                <w:rFonts w:cstheme="minorHAnsi"/>
                <w:sz w:val="18"/>
                <w:szCs w:val="18"/>
                <w:lang w:val="es-ES_tradnl"/>
              </w:rPr>
              <w:t xml:space="preserve">13.4 Medidas </w:t>
            </w:r>
            <w:r>
              <w:rPr>
                <w:rFonts w:cstheme="minorHAnsi"/>
                <w:sz w:val="18"/>
                <w:szCs w:val="18"/>
                <w:lang w:val="es-ES_tradnl"/>
              </w:rPr>
              <w:t>que garanti</w:t>
            </w:r>
            <w:r w:rsidR="003043F3">
              <w:rPr>
                <w:rFonts w:cstheme="minorHAnsi"/>
                <w:sz w:val="18"/>
                <w:szCs w:val="18"/>
                <w:lang w:val="es-ES_tradnl"/>
              </w:rPr>
              <w:t>ce</w:t>
            </w:r>
            <w:r w:rsidR="00CD685D">
              <w:rPr>
                <w:rFonts w:cstheme="minorHAnsi"/>
                <w:sz w:val="18"/>
                <w:szCs w:val="18"/>
                <w:lang w:val="es-ES_tradnl"/>
              </w:rPr>
              <w:t>n</w:t>
            </w:r>
            <w:r w:rsidRPr="00170567">
              <w:rPr>
                <w:rFonts w:cstheme="minorHAnsi"/>
                <w:sz w:val="18"/>
                <w:szCs w:val="18"/>
                <w:lang w:val="es-ES_tradnl"/>
              </w:rPr>
              <w:t xml:space="preserve"> el acceso </w:t>
            </w:r>
            <w:r>
              <w:rPr>
                <w:rFonts w:cstheme="minorHAnsi"/>
                <w:sz w:val="18"/>
                <w:szCs w:val="18"/>
                <w:lang w:val="es-ES_tradnl"/>
              </w:rPr>
              <w:t xml:space="preserve">de las personas con discapacidad </w:t>
            </w:r>
            <w:r w:rsidRPr="00170567">
              <w:rPr>
                <w:rFonts w:cstheme="minorHAnsi"/>
                <w:sz w:val="18"/>
                <w:szCs w:val="18"/>
                <w:lang w:val="es-ES_tradnl"/>
              </w:rPr>
              <w:t xml:space="preserve">a asistencia </w:t>
            </w:r>
            <w:r w:rsidR="003043F3">
              <w:rPr>
                <w:rFonts w:cstheme="minorHAnsi"/>
                <w:sz w:val="18"/>
                <w:szCs w:val="18"/>
                <w:lang w:val="es-ES_tradnl"/>
              </w:rPr>
              <w:t>legal</w:t>
            </w:r>
            <w:r w:rsidR="003043F3" w:rsidRPr="00170567">
              <w:rPr>
                <w:rFonts w:cstheme="minorHAnsi"/>
                <w:sz w:val="18"/>
                <w:szCs w:val="18"/>
                <w:lang w:val="es-ES_tradnl"/>
              </w:rPr>
              <w:t xml:space="preserve"> </w:t>
            </w:r>
            <w:r w:rsidRPr="00170567">
              <w:rPr>
                <w:rFonts w:cstheme="minorHAnsi"/>
                <w:sz w:val="18"/>
                <w:szCs w:val="18"/>
                <w:lang w:val="es-ES_tradnl"/>
              </w:rPr>
              <w:t xml:space="preserve">gratuita en </w:t>
            </w:r>
            <w:r>
              <w:rPr>
                <w:rFonts w:cstheme="minorHAnsi"/>
                <w:sz w:val="18"/>
                <w:szCs w:val="18"/>
                <w:lang w:val="es-ES_tradnl"/>
              </w:rPr>
              <w:t xml:space="preserve">todos los </w:t>
            </w:r>
            <w:r w:rsidR="00CD685D">
              <w:rPr>
                <w:rFonts w:cstheme="minorHAnsi"/>
                <w:sz w:val="18"/>
                <w:szCs w:val="18"/>
                <w:lang w:val="es-ES_tradnl"/>
              </w:rPr>
              <w:t>procedimientos jurídicos</w:t>
            </w:r>
            <w:r w:rsidR="0073482F">
              <w:rPr>
                <w:rFonts w:cstheme="minorHAnsi"/>
                <w:sz w:val="18"/>
                <w:szCs w:val="18"/>
                <w:lang w:val="es-ES_tradnl"/>
              </w:rPr>
              <w:t>.</w:t>
            </w:r>
            <w:r w:rsidRPr="00170567">
              <w:rPr>
                <w:rFonts w:cstheme="minorHAnsi"/>
                <w:sz w:val="18"/>
                <w:szCs w:val="18"/>
                <w:vertAlign w:val="superscript"/>
                <w:lang w:val="es-ES_tradnl"/>
              </w:rPr>
              <w:endnoteReference w:id="4"/>
            </w:r>
          </w:p>
          <w:p w14:paraId="59C4F02E" w14:textId="449F302D" w:rsidR="00E666E5" w:rsidRPr="00E666E5" w:rsidRDefault="00E666E5" w:rsidP="00E666E5">
            <w:pPr>
              <w:jc w:val="both"/>
              <w:rPr>
                <w:rFonts w:cstheme="minorHAnsi"/>
                <w:sz w:val="18"/>
                <w:szCs w:val="18"/>
                <w:lang w:val="es-ES_tradnl"/>
              </w:rPr>
            </w:pPr>
            <w:r w:rsidRPr="00E666E5">
              <w:rPr>
                <w:rFonts w:cstheme="minorHAnsi"/>
                <w:sz w:val="18"/>
                <w:szCs w:val="18"/>
                <w:lang w:val="es-ES_tradnl"/>
              </w:rPr>
              <w:t xml:space="preserve">13.5 Proporción de solicitudes de asistencia </w:t>
            </w:r>
            <w:r w:rsidR="003043F3">
              <w:rPr>
                <w:rFonts w:cstheme="minorHAnsi"/>
                <w:sz w:val="18"/>
                <w:szCs w:val="18"/>
                <w:lang w:val="es-ES_tradnl"/>
              </w:rPr>
              <w:t>legal y d</w:t>
            </w:r>
            <w:r w:rsidRPr="00E666E5">
              <w:rPr>
                <w:rFonts w:cstheme="minorHAnsi"/>
                <w:sz w:val="18"/>
                <w:szCs w:val="18"/>
                <w:lang w:val="es-ES_tradnl"/>
              </w:rPr>
              <w:t xml:space="preserve">e intérpretes gratuitos </w:t>
            </w:r>
            <w:r w:rsidR="003043F3">
              <w:rPr>
                <w:rFonts w:cstheme="minorHAnsi"/>
                <w:sz w:val="18"/>
                <w:szCs w:val="18"/>
                <w:lang w:val="es-ES_tradnl"/>
              </w:rPr>
              <w:t>que son concedidas</w:t>
            </w:r>
            <w:r w:rsidRPr="00E666E5">
              <w:rPr>
                <w:rFonts w:cstheme="minorHAnsi"/>
                <w:sz w:val="18"/>
                <w:szCs w:val="18"/>
                <w:lang w:val="es-ES_tradnl"/>
              </w:rPr>
              <w:t xml:space="preserve"> anualmente (procedimientos penales y civiles)</w:t>
            </w:r>
            <w:r>
              <w:rPr>
                <w:rFonts w:cstheme="minorHAnsi"/>
                <w:sz w:val="18"/>
                <w:szCs w:val="18"/>
                <w:lang w:val="es-ES_tradnl"/>
              </w:rPr>
              <w:t>.</w:t>
            </w:r>
          </w:p>
          <w:p w14:paraId="733F0A45" w14:textId="0325C509" w:rsidR="00E666E5" w:rsidRPr="00E666E5" w:rsidRDefault="00E666E5" w:rsidP="00E666E5">
            <w:pPr>
              <w:jc w:val="both"/>
              <w:rPr>
                <w:rFonts w:cstheme="minorHAnsi"/>
                <w:sz w:val="18"/>
                <w:szCs w:val="18"/>
                <w:lang w:val="es-ES_tradnl"/>
              </w:rPr>
            </w:pPr>
            <w:r w:rsidRPr="00E666E5">
              <w:rPr>
                <w:rFonts w:cstheme="minorHAnsi"/>
                <w:sz w:val="18"/>
                <w:szCs w:val="18"/>
                <w:lang w:val="es-ES_tradnl"/>
              </w:rPr>
              <w:t xml:space="preserve">13.6 Medidas adoptadas para garantizar la provisión de </w:t>
            </w:r>
            <w:r>
              <w:rPr>
                <w:rFonts w:cstheme="minorHAnsi"/>
                <w:sz w:val="18"/>
                <w:szCs w:val="18"/>
                <w:lang w:val="es-ES_tradnl"/>
              </w:rPr>
              <w:t>ajustes</w:t>
            </w:r>
            <w:r w:rsidRPr="00E666E5">
              <w:rPr>
                <w:rFonts w:cstheme="minorHAnsi"/>
                <w:sz w:val="18"/>
                <w:szCs w:val="18"/>
                <w:lang w:val="es-ES_tradnl"/>
              </w:rPr>
              <w:t xml:space="preserve"> adecuados a los procedimientos y al género y la edad.</w:t>
            </w:r>
            <w:r w:rsidRPr="00364DDC">
              <w:rPr>
                <w:rStyle w:val="Appeldenotedefin"/>
                <w:rFonts w:cstheme="minorHAnsi"/>
                <w:sz w:val="18"/>
                <w:szCs w:val="18"/>
              </w:rPr>
              <w:endnoteReference w:id="5"/>
            </w:r>
            <w:r w:rsidRPr="00E666E5">
              <w:rPr>
                <w:rFonts w:cstheme="minorHAnsi"/>
                <w:sz w:val="18"/>
                <w:szCs w:val="18"/>
                <w:lang w:val="es-ES_tradnl"/>
              </w:rPr>
              <w:t xml:space="preserve"> </w:t>
            </w:r>
          </w:p>
          <w:p w14:paraId="5479F90B" w14:textId="5C5A814E" w:rsidR="00E666E5" w:rsidRPr="00E666E5" w:rsidRDefault="00E666E5" w:rsidP="00E666E5">
            <w:pPr>
              <w:jc w:val="both"/>
              <w:rPr>
                <w:rFonts w:cstheme="minorHAnsi"/>
                <w:sz w:val="18"/>
                <w:szCs w:val="18"/>
                <w:lang w:val="es-ES_tradnl"/>
              </w:rPr>
            </w:pPr>
            <w:r w:rsidRPr="00E666E5">
              <w:rPr>
                <w:rFonts w:cstheme="minorHAnsi"/>
                <w:sz w:val="18"/>
                <w:szCs w:val="18"/>
                <w:lang w:val="es-ES_tradnl"/>
              </w:rPr>
              <w:t xml:space="preserve">13.7 Proporción de casos en que el tiempo </w:t>
            </w:r>
            <w:r w:rsidR="003043F3">
              <w:rPr>
                <w:rFonts w:cstheme="minorHAnsi"/>
                <w:sz w:val="18"/>
                <w:szCs w:val="18"/>
                <w:lang w:val="es-ES_tradnl"/>
              </w:rPr>
              <w:t>de detención</w:t>
            </w:r>
            <w:r w:rsidRPr="00E666E5">
              <w:rPr>
                <w:rFonts w:cstheme="minorHAnsi"/>
                <w:sz w:val="18"/>
                <w:szCs w:val="18"/>
                <w:lang w:val="es-ES_tradnl"/>
              </w:rPr>
              <w:t xml:space="preserve"> antes de recibir la notificación de la acusación (en un sentido </w:t>
            </w:r>
            <w:r w:rsidR="003043F3">
              <w:rPr>
                <w:rFonts w:cstheme="minorHAnsi"/>
                <w:sz w:val="18"/>
                <w:szCs w:val="18"/>
                <w:lang w:val="es-ES_tradnl"/>
              </w:rPr>
              <w:t>legal</w:t>
            </w:r>
            <w:r w:rsidRPr="00E666E5">
              <w:rPr>
                <w:rFonts w:cstheme="minorHAnsi"/>
                <w:sz w:val="18"/>
                <w:szCs w:val="18"/>
                <w:lang w:val="es-ES_tradnl"/>
              </w:rPr>
              <w:t xml:space="preserve"> y en un idioma que entiendan) superó el límite establecido por la ley o el mandato, </w:t>
            </w:r>
            <w:r w:rsidR="003043F3">
              <w:rPr>
                <w:rFonts w:cstheme="minorHAnsi"/>
                <w:sz w:val="18"/>
                <w:szCs w:val="18"/>
                <w:lang w:val="es-ES_tradnl"/>
              </w:rPr>
              <w:t>desagregado</w:t>
            </w:r>
            <w:r w:rsidRPr="00E666E5">
              <w:rPr>
                <w:rFonts w:cstheme="minorHAnsi"/>
                <w:sz w:val="18"/>
                <w:szCs w:val="18"/>
                <w:lang w:val="es-ES_tradnl"/>
              </w:rPr>
              <w:t xml:space="preserve"> por discapacidad.</w:t>
            </w:r>
          </w:p>
          <w:p w14:paraId="5122DD7C" w14:textId="2C78077E" w:rsidR="004B7622" w:rsidRPr="00170567" w:rsidRDefault="00E666E5" w:rsidP="00E666E5">
            <w:pPr>
              <w:jc w:val="both"/>
              <w:rPr>
                <w:rFonts w:cstheme="minorHAnsi"/>
                <w:sz w:val="18"/>
                <w:szCs w:val="18"/>
                <w:lang w:val="es-ES_tradnl"/>
              </w:rPr>
            </w:pPr>
            <w:r w:rsidRPr="00E666E5">
              <w:rPr>
                <w:rFonts w:cstheme="minorHAnsi"/>
                <w:sz w:val="18"/>
                <w:szCs w:val="18"/>
                <w:lang w:val="es-ES_tradnl"/>
              </w:rPr>
              <w:t xml:space="preserve">13.8 Número y proporción de instalaciones judiciales, centros de asistencia jurídica, comisarías, etc., que son accesibles a las personas con discapacidad, </w:t>
            </w:r>
            <w:r w:rsidR="003043F3">
              <w:rPr>
                <w:rFonts w:cstheme="minorHAnsi"/>
                <w:sz w:val="18"/>
                <w:szCs w:val="18"/>
                <w:lang w:val="es-ES_tradnl"/>
              </w:rPr>
              <w:t>desagregados</w:t>
            </w:r>
            <w:r w:rsidRPr="00E666E5">
              <w:rPr>
                <w:rFonts w:cstheme="minorHAnsi"/>
                <w:sz w:val="18"/>
                <w:szCs w:val="18"/>
                <w:lang w:val="es-ES_tradnl"/>
              </w:rPr>
              <w:t xml:space="preserve"> por ubicación geográfica.</w:t>
            </w:r>
            <w:r w:rsidR="00470A68" w:rsidRPr="00170567">
              <w:rPr>
                <w:rFonts w:cstheme="minorHAnsi"/>
                <w:sz w:val="18"/>
                <w:szCs w:val="18"/>
                <w:lang w:val="es-ES_tradnl"/>
              </w:rPr>
              <w:t xml:space="preserve"> </w:t>
            </w:r>
          </w:p>
        </w:tc>
        <w:tc>
          <w:tcPr>
            <w:tcW w:w="5954" w:type="dxa"/>
          </w:tcPr>
          <w:p w14:paraId="45B013E3" w14:textId="1A0B14F0" w:rsidR="00170567" w:rsidRPr="00170567" w:rsidRDefault="00170567" w:rsidP="00170567">
            <w:pPr>
              <w:jc w:val="both"/>
              <w:rPr>
                <w:rFonts w:cstheme="minorHAnsi"/>
                <w:sz w:val="18"/>
                <w:szCs w:val="18"/>
                <w:lang w:val="es-ES_tradnl"/>
              </w:rPr>
            </w:pPr>
            <w:r>
              <w:rPr>
                <w:rFonts w:cstheme="minorHAnsi"/>
                <w:sz w:val="18"/>
                <w:szCs w:val="18"/>
                <w:lang w:val="es-ES_tradnl"/>
              </w:rPr>
              <w:t>1</w:t>
            </w:r>
            <w:r w:rsidRPr="00170567">
              <w:rPr>
                <w:rFonts w:cstheme="minorHAnsi"/>
                <w:sz w:val="18"/>
                <w:szCs w:val="18"/>
                <w:lang w:val="es-ES_tradnl"/>
              </w:rPr>
              <w:t>3.</w:t>
            </w:r>
            <w:r w:rsidR="00E666E5">
              <w:rPr>
                <w:rFonts w:cstheme="minorHAnsi"/>
                <w:sz w:val="18"/>
                <w:szCs w:val="18"/>
                <w:lang w:val="es-ES_tradnl"/>
              </w:rPr>
              <w:t>9</w:t>
            </w:r>
            <w:r w:rsidRPr="00170567">
              <w:rPr>
                <w:rFonts w:cstheme="minorHAnsi"/>
                <w:sz w:val="18"/>
                <w:szCs w:val="18"/>
                <w:lang w:val="es-ES_tradnl"/>
              </w:rPr>
              <w:t xml:space="preserve"> </w:t>
            </w:r>
            <w:r w:rsidR="00CD685D">
              <w:rPr>
                <w:rFonts w:cstheme="minorHAnsi"/>
                <w:sz w:val="18"/>
                <w:szCs w:val="18"/>
                <w:lang w:val="es-ES_tradnl"/>
              </w:rPr>
              <w:t>Adopción</w:t>
            </w:r>
            <w:r w:rsidR="00CD685D" w:rsidRPr="00170567">
              <w:rPr>
                <w:rFonts w:cstheme="minorHAnsi"/>
                <w:sz w:val="18"/>
                <w:szCs w:val="18"/>
                <w:lang w:val="es-ES_tradnl"/>
              </w:rPr>
              <w:t xml:space="preserve"> </w:t>
            </w:r>
            <w:r w:rsidRPr="00170567">
              <w:rPr>
                <w:rFonts w:cstheme="minorHAnsi"/>
                <w:sz w:val="18"/>
                <w:szCs w:val="18"/>
                <w:lang w:val="es-ES_tradnl"/>
              </w:rPr>
              <w:t xml:space="preserve">de medidas específicas </w:t>
            </w:r>
            <w:r w:rsidR="00CD685D">
              <w:rPr>
                <w:rFonts w:cstheme="minorHAnsi"/>
                <w:sz w:val="18"/>
                <w:szCs w:val="18"/>
                <w:lang w:val="es-ES_tradnl"/>
              </w:rPr>
              <w:t>para</w:t>
            </w:r>
            <w:r w:rsidR="00CD685D" w:rsidRPr="00170567">
              <w:rPr>
                <w:rFonts w:cstheme="minorHAnsi"/>
                <w:sz w:val="18"/>
                <w:szCs w:val="18"/>
                <w:lang w:val="es-ES_tradnl"/>
              </w:rPr>
              <w:t xml:space="preserve"> </w:t>
            </w:r>
            <w:r w:rsidRPr="00170567">
              <w:rPr>
                <w:rFonts w:cstheme="minorHAnsi"/>
                <w:sz w:val="18"/>
                <w:szCs w:val="18"/>
                <w:lang w:val="es-ES_tradnl"/>
              </w:rPr>
              <w:t>prom</w:t>
            </w:r>
            <w:r w:rsidR="00CD685D">
              <w:rPr>
                <w:rFonts w:cstheme="minorHAnsi"/>
                <w:sz w:val="18"/>
                <w:szCs w:val="18"/>
                <w:lang w:val="es-ES_tradnl"/>
              </w:rPr>
              <w:t>over</w:t>
            </w:r>
            <w:r w:rsidRPr="00170567">
              <w:rPr>
                <w:rFonts w:cstheme="minorHAnsi"/>
                <w:sz w:val="18"/>
                <w:szCs w:val="18"/>
                <w:lang w:val="es-ES_tradnl"/>
              </w:rPr>
              <w:t xml:space="preserve"> la inclusión de personas con discapacidad </w:t>
            </w:r>
            <w:r w:rsidR="003043F3">
              <w:rPr>
                <w:rFonts w:cstheme="minorHAnsi"/>
                <w:sz w:val="18"/>
                <w:szCs w:val="18"/>
                <w:lang w:val="es-ES_tradnl"/>
              </w:rPr>
              <w:t>(</w:t>
            </w:r>
            <w:r w:rsidR="003043F3" w:rsidRPr="00170567">
              <w:rPr>
                <w:rFonts w:cstheme="minorHAnsi"/>
                <w:sz w:val="18"/>
                <w:szCs w:val="18"/>
                <w:lang w:val="es-ES_tradnl"/>
              </w:rPr>
              <w:t>como jueces, fiscales,</w:t>
            </w:r>
            <w:r w:rsidR="003043F3">
              <w:rPr>
                <w:rFonts w:cstheme="minorHAnsi"/>
                <w:sz w:val="18"/>
                <w:szCs w:val="18"/>
                <w:lang w:val="es-ES_tradnl"/>
              </w:rPr>
              <w:t xml:space="preserve"> policía,</w:t>
            </w:r>
            <w:r w:rsidR="003043F3" w:rsidRPr="00170567">
              <w:rPr>
                <w:rFonts w:cstheme="minorHAnsi"/>
                <w:sz w:val="18"/>
                <w:szCs w:val="18"/>
                <w:lang w:val="es-ES_tradnl"/>
              </w:rPr>
              <w:t xml:space="preserve"> personal, </w:t>
            </w:r>
            <w:proofErr w:type="spellStart"/>
            <w:r w:rsidR="003043F3" w:rsidRPr="00170567">
              <w:rPr>
                <w:rFonts w:cstheme="minorHAnsi"/>
                <w:sz w:val="18"/>
                <w:szCs w:val="18"/>
                <w:lang w:val="es-ES_tradnl"/>
              </w:rPr>
              <w:t>etc</w:t>
            </w:r>
            <w:proofErr w:type="spellEnd"/>
            <w:r w:rsidR="003043F3">
              <w:rPr>
                <w:rFonts w:cstheme="minorHAnsi"/>
                <w:sz w:val="18"/>
                <w:szCs w:val="18"/>
                <w:lang w:val="es-ES_tradnl"/>
              </w:rPr>
              <w:t xml:space="preserve">) </w:t>
            </w:r>
            <w:r w:rsidRPr="00170567">
              <w:rPr>
                <w:rFonts w:cstheme="minorHAnsi"/>
                <w:sz w:val="18"/>
                <w:szCs w:val="18"/>
                <w:lang w:val="es-ES_tradnl"/>
              </w:rPr>
              <w:t xml:space="preserve">en el sistema </w:t>
            </w:r>
            <w:r>
              <w:rPr>
                <w:rFonts w:cstheme="minorHAnsi"/>
                <w:sz w:val="18"/>
                <w:szCs w:val="18"/>
                <w:lang w:val="es-ES_tradnl"/>
              </w:rPr>
              <w:t>judicial</w:t>
            </w:r>
            <w:r w:rsidRPr="00170567">
              <w:rPr>
                <w:rFonts w:cstheme="minorHAnsi"/>
                <w:sz w:val="18"/>
                <w:szCs w:val="18"/>
                <w:lang w:val="es-ES_tradnl"/>
              </w:rPr>
              <w:t xml:space="preserve"> e instituciones relacionadas, </w:t>
            </w:r>
          </w:p>
          <w:p w14:paraId="5BF7ADC1" w14:textId="6AADEF4F" w:rsidR="00470A68" w:rsidRPr="00170567" w:rsidRDefault="00170567" w:rsidP="00E666E5">
            <w:pPr>
              <w:jc w:val="both"/>
              <w:rPr>
                <w:rFonts w:cstheme="minorHAnsi"/>
                <w:sz w:val="18"/>
                <w:szCs w:val="18"/>
                <w:lang w:val="es-ES_tradnl"/>
              </w:rPr>
            </w:pPr>
            <w:r w:rsidRPr="00170567">
              <w:rPr>
                <w:rFonts w:cstheme="minorHAnsi"/>
                <w:sz w:val="18"/>
                <w:szCs w:val="18"/>
                <w:lang w:val="es-ES_tradnl"/>
              </w:rPr>
              <w:t>13.</w:t>
            </w:r>
            <w:r w:rsidR="00E666E5">
              <w:rPr>
                <w:rFonts w:cstheme="minorHAnsi"/>
                <w:sz w:val="18"/>
                <w:szCs w:val="18"/>
                <w:lang w:val="es-ES_tradnl"/>
              </w:rPr>
              <w:t>10</w:t>
            </w:r>
            <w:r w:rsidRPr="00170567">
              <w:rPr>
                <w:rFonts w:cstheme="minorHAnsi"/>
                <w:sz w:val="18"/>
                <w:szCs w:val="18"/>
                <w:lang w:val="es-ES_tradnl"/>
              </w:rPr>
              <w:t xml:space="preserve"> Número de solicitudes de ajustes razonables y</w:t>
            </w:r>
            <w:r>
              <w:rPr>
                <w:rFonts w:cstheme="minorHAnsi"/>
                <w:sz w:val="18"/>
                <w:szCs w:val="18"/>
                <w:lang w:val="es-ES_tradnl"/>
              </w:rPr>
              <w:t xml:space="preserve"> </w:t>
            </w:r>
            <w:r w:rsidRPr="00170567">
              <w:rPr>
                <w:rFonts w:cstheme="minorHAnsi"/>
                <w:sz w:val="18"/>
                <w:szCs w:val="18"/>
                <w:lang w:val="es-ES_tradnl"/>
              </w:rPr>
              <w:t xml:space="preserve">proporción </w:t>
            </w:r>
            <w:r w:rsidR="007C6B30">
              <w:rPr>
                <w:rFonts w:cstheme="minorHAnsi"/>
                <w:sz w:val="18"/>
                <w:szCs w:val="18"/>
                <w:lang w:val="es-ES_tradnl"/>
              </w:rPr>
              <w:t xml:space="preserve">de las mismas que </w:t>
            </w:r>
            <w:r w:rsidR="003043F3">
              <w:rPr>
                <w:rFonts w:cstheme="minorHAnsi"/>
                <w:sz w:val="18"/>
                <w:szCs w:val="18"/>
                <w:lang w:val="es-ES_tradnl"/>
              </w:rPr>
              <w:t xml:space="preserve">hayan </w:t>
            </w:r>
            <w:r w:rsidR="007C6B30">
              <w:rPr>
                <w:rFonts w:cstheme="minorHAnsi"/>
                <w:sz w:val="18"/>
                <w:szCs w:val="18"/>
                <w:lang w:val="es-ES_tradnl"/>
              </w:rPr>
              <w:t xml:space="preserve">sido </w:t>
            </w:r>
            <w:r w:rsidR="003043F3">
              <w:rPr>
                <w:rFonts w:cstheme="minorHAnsi"/>
                <w:sz w:val="18"/>
                <w:szCs w:val="18"/>
                <w:lang w:val="es-ES_tradnl"/>
              </w:rPr>
              <w:t xml:space="preserve"> </w:t>
            </w:r>
            <w:r w:rsidR="0090544A">
              <w:rPr>
                <w:rFonts w:cstheme="minorHAnsi"/>
                <w:sz w:val="18"/>
                <w:szCs w:val="18"/>
                <w:lang w:val="es-ES_tradnl"/>
              </w:rPr>
              <w:t>implementadas a favor de</w:t>
            </w:r>
            <w:r>
              <w:rPr>
                <w:rFonts w:cstheme="minorHAnsi"/>
                <w:sz w:val="18"/>
                <w:szCs w:val="18"/>
                <w:lang w:val="es-ES_tradnl"/>
              </w:rPr>
              <w:t xml:space="preserve"> </w:t>
            </w:r>
            <w:r w:rsidRPr="00170567">
              <w:rPr>
                <w:rFonts w:cstheme="minorHAnsi"/>
                <w:sz w:val="18"/>
                <w:szCs w:val="18"/>
                <w:lang w:val="es-ES_tradnl"/>
              </w:rPr>
              <w:t xml:space="preserve">personas con discapacidad en procesos de </w:t>
            </w:r>
            <w:r>
              <w:rPr>
                <w:rFonts w:cstheme="minorHAnsi"/>
                <w:sz w:val="18"/>
                <w:szCs w:val="18"/>
                <w:lang w:val="es-ES_tradnl"/>
              </w:rPr>
              <w:t>selección</w:t>
            </w:r>
            <w:r w:rsidRPr="00170567">
              <w:rPr>
                <w:rFonts w:cstheme="minorHAnsi"/>
                <w:sz w:val="18"/>
                <w:szCs w:val="18"/>
                <w:lang w:val="es-ES_tradnl"/>
              </w:rPr>
              <w:t xml:space="preserve"> </w:t>
            </w:r>
            <w:r w:rsidR="007C6B30">
              <w:rPr>
                <w:rFonts w:cstheme="minorHAnsi"/>
                <w:sz w:val="18"/>
                <w:szCs w:val="18"/>
                <w:lang w:val="es-ES_tradnl"/>
              </w:rPr>
              <w:t xml:space="preserve">de personal </w:t>
            </w:r>
            <w:r>
              <w:rPr>
                <w:rFonts w:cstheme="minorHAnsi"/>
                <w:sz w:val="18"/>
                <w:szCs w:val="18"/>
                <w:lang w:val="es-ES_tradnl"/>
              </w:rPr>
              <w:t>y/o en el desempeño de funciones como</w:t>
            </w:r>
            <w:r w:rsidRPr="00170567">
              <w:rPr>
                <w:rFonts w:cstheme="minorHAnsi"/>
                <w:sz w:val="18"/>
                <w:szCs w:val="18"/>
                <w:lang w:val="es-ES_tradnl"/>
              </w:rPr>
              <w:t xml:space="preserve"> parte de</w:t>
            </w:r>
            <w:r w:rsidR="007C6B30">
              <w:rPr>
                <w:rFonts w:cstheme="minorHAnsi"/>
                <w:sz w:val="18"/>
                <w:szCs w:val="18"/>
                <w:lang w:val="es-ES_tradnl"/>
              </w:rPr>
              <w:t xml:space="preserve">l personal </w:t>
            </w:r>
            <w:r w:rsidR="00E666E5">
              <w:rPr>
                <w:rFonts w:cstheme="minorHAnsi"/>
                <w:sz w:val="18"/>
                <w:szCs w:val="18"/>
                <w:lang w:val="es-ES_tradnl"/>
              </w:rPr>
              <w:t xml:space="preserve">del sector de la justicia (judicial, cumplimiento de la ley, servicios </w:t>
            </w:r>
            <w:r w:rsidR="0090544A">
              <w:rPr>
                <w:rFonts w:cstheme="minorHAnsi"/>
                <w:sz w:val="18"/>
                <w:szCs w:val="18"/>
                <w:lang w:val="es-ES_tradnl"/>
              </w:rPr>
              <w:t>legales estatales</w:t>
            </w:r>
            <w:r w:rsidR="00E666E5">
              <w:rPr>
                <w:rFonts w:cstheme="minorHAnsi"/>
                <w:sz w:val="18"/>
                <w:szCs w:val="18"/>
                <w:lang w:val="es-ES_tradnl"/>
              </w:rPr>
              <w:t>, etc.)</w:t>
            </w:r>
            <w:r w:rsidRPr="00170567">
              <w:rPr>
                <w:rFonts w:cstheme="minorHAnsi"/>
                <w:sz w:val="18"/>
                <w:szCs w:val="18"/>
                <w:lang w:val="es-ES_tradnl"/>
              </w:rPr>
              <w:t>.</w:t>
            </w:r>
          </w:p>
        </w:tc>
      </w:tr>
      <w:tr w:rsidR="00470A68" w:rsidRPr="00B6747C" w14:paraId="63797F4E" w14:textId="77777777" w:rsidTr="00170567">
        <w:trPr>
          <w:trHeight w:val="2727"/>
        </w:trPr>
        <w:tc>
          <w:tcPr>
            <w:tcW w:w="1382" w:type="dxa"/>
            <w:vMerge/>
          </w:tcPr>
          <w:p w14:paraId="3B568985" w14:textId="77777777" w:rsidR="00470A68" w:rsidRPr="00170567" w:rsidRDefault="00470A68" w:rsidP="004F538D">
            <w:pPr>
              <w:rPr>
                <w:rFonts w:cstheme="minorHAnsi"/>
                <w:b/>
                <w:sz w:val="18"/>
                <w:szCs w:val="18"/>
                <w:lang w:val="es-ES_tradnl"/>
              </w:rPr>
            </w:pPr>
          </w:p>
        </w:tc>
        <w:tc>
          <w:tcPr>
            <w:tcW w:w="13781" w:type="dxa"/>
            <w:gridSpan w:val="2"/>
          </w:tcPr>
          <w:p w14:paraId="5A5A22E6" w14:textId="43DD2D23" w:rsidR="00170567" w:rsidRPr="00E675E6" w:rsidRDefault="00170567" w:rsidP="00170567">
            <w:pPr>
              <w:jc w:val="both"/>
              <w:rPr>
                <w:rFonts w:cstheme="minorHAnsi"/>
                <w:sz w:val="18"/>
                <w:szCs w:val="18"/>
                <w:lang w:val="es-ES_tradnl"/>
              </w:rPr>
            </w:pPr>
            <w:r w:rsidRPr="00170567">
              <w:rPr>
                <w:rFonts w:cstheme="minorHAnsi"/>
                <w:sz w:val="18"/>
                <w:szCs w:val="18"/>
                <w:lang w:val="es-ES_tradnl"/>
              </w:rPr>
              <w:t>13.</w:t>
            </w:r>
            <w:r w:rsidR="00E666E5">
              <w:rPr>
                <w:rFonts w:cstheme="minorHAnsi"/>
                <w:sz w:val="18"/>
                <w:szCs w:val="18"/>
                <w:lang w:val="es-ES_tradnl"/>
              </w:rPr>
              <w:t>11</w:t>
            </w:r>
            <w:r w:rsidRPr="00170567">
              <w:rPr>
                <w:rFonts w:cstheme="minorHAnsi"/>
                <w:sz w:val="18"/>
                <w:szCs w:val="18"/>
                <w:lang w:val="es-ES_tradnl"/>
              </w:rPr>
              <w:t xml:space="preserve"> </w:t>
            </w:r>
            <w:r w:rsidR="0090544A">
              <w:rPr>
                <w:rFonts w:cstheme="minorHAnsi"/>
                <w:sz w:val="18"/>
                <w:szCs w:val="18"/>
                <w:lang w:val="es-ES_tradnl"/>
              </w:rPr>
              <w:t xml:space="preserve">Estándares </w:t>
            </w:r>
            <w:r w:rsidRPr="00170567">
              <w:rPr>
                <w:rFonts w:cstheme="minorHAnsi"/>
                <w:sz w:val="18"/>
                <w:szCs w:val="18"/>
                <w:lang w:val="es-ES_tradnl"/>
              </w:rPr>
              <w:t xml:space="preserve">de accesibilidad </w:t>
            </w:r>
            <w:r w:rsidR="0090544A">
              <w:rPr>
                <w:rFonts w:cstheme="minorHAnsi"/>
                <w:sz w:val="18"/>
                <w:szCs w:val="18"/>
                <w:lang w:val="es-ES_tradnl"/>
              </w:rPr>
              <w:t xml:space="preserve">adoptados y </w:t>
            </w:r>
            <w:r w:rsidRPr="00170567">
              <w:rPr>
                <w:rFonts w:cstheme="minorHAnsi"/>
                <w:sz w:val="18"/>
                <w:szCs w:val="18"/>
                <w:lang w:val="es-ES_tradnl"/>
              </w:rPr>
              <w:t>aplica</w:t>
            </w:r>
            <w:r w:rsidR="0090544A">
              <w:rPr>
                <w:rFonts w:cstheme="minorHAnsi"/>
                <w:sz w:val="18"/>
                <w:szCs w:val="18"/>
                <w:lang w:val="es-ES_tradnl"/>
              </w:rPr>
              <w:t>dos</w:t>
            </w:r>
            <w:r w:rsidRPr="00170567">
              <w:rPr>
                <w:rFonts w:cstheme="minorHAnsi"/>
                <w:sz w:val="18"/>
                <w:szCs w:val="18"/>
                <w:lang w:val="es-ES_tradnl"/>
              </w:rPr>
              <w:t xml:space="preserve"> </w:t>
            </w:r>
            <w:r w:rsidR="007C6B30">
              <w:rPr>
                <w:rFonts w:cstheme="minorHAnsi"/>
                <w:sz w:val="18"/>
                <w:szCs w:val="18"/>
                <w:lang w:val="es-ES_tradnl"/>
              </w:rPr>
              <w:t>a</w:t>
            </w:r>
            <w:r w:rsidR="00E666E5">
              <w:rPr>
                <w:rFonts w:cstheme="minorHAnsi"/>
                <w:sz w:val="18"/>
                <w:szCs w:val="18"/>
                <w:lang w:val="es-ES_tradnl"/>
              </w:rPr>
              <w:t>l entorno construido</w:t>
            </w:r>
            <w:r w:rsidRPr="00170567">
              <w:rPr>
                <w:rFonts w:cstheme="minorHAnsi"/>
                <w:sz w:val="18"/>
                <w:szCs w:val="18"/>
                <w:lang w:val="es-ES_tradnl"/>
              </w:rPr>
              <w:t xml:space="preserve">, transporte, y sistemas de información y comunicación </w:t>
            </w:r>
            <w:r w:rsidRPr="00E675E6">
              <w:rPr>
                <w:rFonts w:cstheme="minorHAnsi"/>
                <w:sz w:val="18"/>
                <w:szCs w:val="18"/>
                <w:lang w:val="es-ES_tradnl"/>
              </w:rPr>
              <w:t>relacionados con el sistema judicial</w:t>
            </w:r>
            <w:r w:rsidRPr="00E675E6">
              <w:rPr>
                <w:rFonts w:cstheme="minorHAnsi"/>
                <w:sz w:val="18"/>
                <w:szCs w:val="18"/>
                <w:vertAlign w:val="superscript"/>
                <w:lang w:val="es-ES_tradnl"/>
              </w:rPr>
              <w:endnoteReference w:id="6"/>
            </w:r>
            <w:r w:rsidRPr="00E675E6">
              <w:rPr>
                <w:rFonts w:cstheme="minorHAnsi"/>
                <w:sz w:val="18"/>
                <w:szCs w:val="18"/>
                <w:lang w:val="es-ES_tradnl"/>
              </w:rPr>
              <w:t>.</w:t>
            </w:r>
          </w:p>
          <w:p w14:paraId="4EF9C000" w14:textId="0EF88D41" w:rsidR="00170567" w:rsidRPr="00170567" w:rsidRDefault="00170567" w:rsidP="00170567">
            <w:pPr>
              <w:jc w:val="both"/>
              <w:rPr>
                <w:rFonts w:cstheme="minorHAnsi"/>
                <w:sz w:val="18"/>
                <w:szCs w:val="18"/>
                <w:lang w:val="es-ES_tradnl"/>
              </w:rPr>
            </w:pPr>
            <w:r w:rsidRPr="00E675E6">
              <w:rPr>
                <w:rFonts w:cstheme="minorHAnsi"/>
                <w:sz w:val="18"/>
                <w:szCs w:val="18"/>
                <w:lang w:val="es-ES_tradnl"/>
              </w:rPr>
              <w:t>13.</w:t>
            </w:r>
            <w:r w:rsidR="00E666E5">
              <w:rPr>
                <w:rFonts w:cstheme="minorHAnsi"/>
                <w:sz w:val="18"/>
                <w:szCs w:val="18"/>
                <w:lang w:val="es-ES_tradnl"/>
              </w:rPr>
              <w:t>12</w:t>
            </w:r>
            <w:r w:rsidRPr="00E675E6">
              <w:rPr>
                <w:rFonts w:cstheme="minorHAnsi"/>
                <w:sz w:val="18"/>
                <w:szCs w:val="18"/>
                <w:lang w:val="es-ES_tradnl"/>
              </w:rPr>
              <w:t xml:space="preserve"> Número de solicitudes de </w:t>
            </w:r>
            <w:r w:rsidR="00E675E6" w:rsidRPr="00E675E6">
              <w:rPr>
                <w:rFonts w:cstheme="minorHAnsi"/>
                <w:sz w:val="18"/>
                <w:szCs w:val="18"/>
                <w:lang w:val="es-ES_tradnl"/>
              </w:rPr>
              <w:t>ajustes</w:t>
            </w:r>
            <w:r w:rsidRPr="00E675E6">
              <w:rPr>
                <w:rFonts w:cstheme="minorHAnsi"/>
                <w:sz w:val="18"/>
                <w:szCs w:val="18"/>
                <w:lang w:val="es-ES_tradnl"/>
              </w:rPr>
              <w:t xml:space="preserve"> </w:t>
            </w:r>
            <w:r w:rsidR="00355393">
              <w:rPr>
                <w:rFonts w:cstheme="minorHAnsi"/>
                <w:sz w:val="18"/>
                <w:szCs w:val="18"/>
                <w:lang w:val="es-ES_tradnl"/>
              </w:rPr>
              <w:t>de procedimiento y</w:t>
            </w:r>
            <w:r w:rsidR="00E666E5">
              <w:rPr>
                <w:rFonts w:cstheme="minorHAnsi"/>
                <w:sz w:val="18"/>
                <w:szCs w:val="18"/>
                <w:lang w:val="es-ES_tradnl"/>
              </w:rPr>
              <w:t xml:space="preserve"> ajustes</w:t>
            </w:r>
            <w:r w:rsidR="00355393">
              <w:rPr>
                <w:rFonts w:cstheme="minorHAnsi"/>
                <w:sz w:val="18"/>
                <w:szCs w:val="18"/>
                <w:lang w:val="es-ES_tradnl"/>
              </w:rPr>
              <w:t xml:space="preserve"> </w:t>
            </w:r>
            <w:r w:rsidR="0090544A">
              <w:rPr>
                <w:rFonts w:cstheme="minorHAnsi"/>
                <w:sz w:val="18"/>
                <w:szCs w:val="18"/>
                <w:lang w:val="es-ES_tradnl"/>
              </w:rPr>
              <w:t>de acuerdo al</w:t>
            </w:r>
            <w:r w:rsidR="00355393">
              <w:rPr>
                <w:rFonts w:cstheme="minorHAnsi"/>
                <w:sz w:val="18"/>
                <w:szCs w:val="18"/>
                <w:lang w:val="es-ES_tradnl"/>
              </w:rPr>
              <w:t xml:space="preserve"> </w:t>
            </w:r>
            <w:r w:rsidRPr="00E675E6">
              <w:rPr>
                <w:rFonts w:cstheme="minorHAnsi"/>
                <w:sz w:val="18"/>
                <w:szCs w:val="18"/>
                <w:lang w:val="es-ES_tradnl"/>
              </w:rPr>
              <w:t xml:space="preserve">género y edad, y proporción de </w:t>
            </w:r>
            <w:r w:rsidR="007C6B30">
              <w:rPr>
                <w:rFonts w:cstheme="minorHAnsi"/>
                <w:sz w:val="18"/>
                <w:szCs w:val="18"/>
                <w:lang w:val="es-ES_tradnl"/>
              </w:rPr>
              <w:t>ajustes provistos a</w:t>
            </w:r>
            <w:r w:rsidR="00E675E6" w:rsidRPr="00E675E6">
              <w:rPr>
                <w:rFonts w:cstheme="minorHAnsi"/>
                <w:sz w:val="18"/>
                <w:szCs w:val="18"/>
                <w:lang w:val="es-ES_tradnl"/>
              </w:rPr>
              <w:t xml:space="preserve"> perso</w:t>
            </w:r>
            <w:r w:rsidRPr="00E675E6">
              <w:rPr>
                <w:rFonts w:cstheme="minorHAnsi"/>
                <w:sz w:val="18"/>
                <w:szCs w:val="18"/>
                <w:lang w:val="es-ES_tradnl"/>
              </w:rPr>
              <w:t xml:space="preserve">nas con discapacidad para permitir su participación en procedimientos legales, </w:t>
            </w:r>
            <w:r w:rsidR="0090544A">
              <w:rPr>
                <w:rFonts w:cstheme="minorHAnsi"/>
                <w:sz w:val="18"/>
                <w:szCs w:val="18"/>
                <w:lang w:val="es-ES_tradnl"/>
              </w:rPr>
              <w:t>desagregados</w:t>
            </w:r>
            <w:r w:rsidR="0090544A" w:rsidRPr="00E675E6">
              <w:rPr>
                <w:rFonts w:cstheme="minorHAnsi"/>
                <w:sz w:val="18"/>
                <w:szCs w:val="18"/>
                <w:lang w:val="es-ES_tradnl"/>
              </w:rPr>
              <w:t xml:space="preserve"> </w:t>
            </w:r>
            <w:r w:rsidRPr="00E675E6">
              <w:rPr>
                <w:rFonts w:cstheme="minorHAnsi"/>
                <w:sz w:val="18"/>
                <w:szCs w:val="18"/>
                <w:lang w:val="es-ES_tradnl"/>
              </w:rPr>
              <w:t xml:space="preserve">por edad, sexo, discapacidad, </w:t>
            </w:r>
            <w:r w:rsidR="007C6B30">
              <w:rPr>
                <w:rFonts w:cstheme="minorHAnsi"/>
                <w:sz w:val="18"/>
                <w:szCs w:val="18"/>
                <w:lang w:val="es-ES_tradnl"/>
              </w:rPr>
              <w:t>ámbito jurídico/</w:t>
            </w:r>
            <w:r w:rsidRPr="00E675E6">
              <w:rPr>
                <w:rFonts w:cstheme="minorHAnsi"/>
                <w:sz w:val="18"/>
                <w:szCs w:val="18"/>
                <w:lang w:val="es-ES_tradnl"/>
              </w:rPr>
              <w:t>tipo de pro</w:t>
            </w:r>
            <w:r w:rsidRPr="00170567">
              <w:rPr>
                <w:rFonts w:cstheme="minorHAnsi"/>
                <w:sz w:val="18"/>
                <w:szCs w:val="18"/>
                <w:lang w:val="es-ES_tradnl"/>
              </w:rPr>
              <w:t xml:space="preserve">cedimiento (civil, penal, etc.), y rol </w:t>
            </w:r>
            <w:r w:rsidR="00E666E5" w:rsidRPr="00170567">
              <w:rPr>
                <w:rFonts w:cstheme="minorHAnsi"/>
                <w:sz w:val="18"/>
                <w:szCs w:val="18"/>
                <w:lang w:val="es-ES_tradnl"/>
              </w:rPr>
              <w:t xml:space="preserve">de la persona interesada </w:t>
            </w:r>
            <w:r w:rsidRPr="00170567">
              <w:rPr>
                <w:rFonts w:cstheme="minorHAnsi"/>
                <w:sz w:val="18"/>
                <w:szCs w:val="18"/>
                <w:lang w:val="es-ES_tradnl"/>
              </w:rPr>
              <w:t xml:space="preserve">(demandante, </w:t>
            </w:r>
            <w:r w:rsidR="00E666E5">
              <w:rPr>
                <w:rFonts w:cstheme="minorHAnsi"/>
                <w:sz w:val="18"/>
                <w:szCs w:val="18"/>
                <w:lang w:val="es-ES_tradnl"/>
              </w:rPr>
              <w:t xml:space="preserve">demandado, </w:t>
            </w:r>
            <w:r w:rsidRPr="00170567">
              <w:rPr>
                <w:rFonts w:cstheme="minorHAnsi"/>
                <w:sz w:val="18"/>
                <w:szCs w:val="18"/>
                <w:lang w:val="es-ES_tradnl"/>
              </w:rPr>
              <w:t xml:space="preserve">testigo, </w:t>
            </w:r>
            <w:r w:rsidR="00E666E5">
              <w:rPr>
                <w:rFonts w:cstheme="minorHAnsi"/>
                <w:sz w:val="18"/>
                <w:szCs w:val="18"/>
                <w:lang w:val="es-ES_tradnl"/>
              </w:rPr>
              <w:t xml:space="preserve">jurado, </w:t>
            </w:r>
            <w:r w:rsidRPr="00170567">
              <w:rPr>
                <w:rFonts w:cstheme="minorHAnsi"/>
                <w:sz w:val="18"/>
                <w:szCs w:val="18"/>
                <w:lang w:val="es-ES_tradnl"/>
              </w:rPr>
              <w:t>etc.)</w:t>
            </w:r>
            <w:r w:rsidR="00355393">
              <w:rPr>
                <w:rFonts w:cstheme="minorHAnsi"/>
                <w:sz w:val="18"/>
                <w:szCs w:val="18"/>
                <w:lang w:val="es-ES_tradnl"/>
              </w:rPr>
              <w:t>.</w:t>
            </w:r>
          </w:p>
          <w:p w14:paraId="5E478FCC" w14:textId="52942467" w:rsidR="00170567" w:rsidRPr="00170567" w:rsidRDefault="00170567" w:rsidP="00170567">
            <w:pPr>
              <w:jc w:val="both"/>
              <w:rPr>
                <w:rFonts w:cstheme="minorHAnsi"/>
                <w:sz w:val="18"/>
                <w:szCs w:val="18"/>
                <w:lang w:val="es-ES_tradnl"/>
              </w:rPr>
            </w:pPr>
            <w:r w:rsidRPr="00170567">
              <w:rPr>
                <w:rFonts w:cstheme="minorHAnsi"/>
                <w:sz w:val="18"/>
                <w:szCs w:val="18"/>
                <w:lang w:val="es-ES_tradnl"/>
              </w:rPr>
              <w:t>13</w:t>
            </w:r>
            <w:r w:rsidR="00E666E5">
              <w:rPr>
                <w:rFonts w:cstheme="minorHAnsi"/>
                <w:sz w:val="18"/>
                <w:szCs w:val="18"/>
                <w:lang w:val="es-ES_tradnl"/>
              </w:rPr>
              <w:t>.13</w:t>
            </w:r>
            <w:r w:rsidRPr="00170567">
              <w:rPr>
                <w:rFonts w:cstheme="minorHAnsi"/>
                <w:sz w:val="18"/>
                <w:szCs w:val="18"/>
                <w:lang w:val="es-ES_tradnl"/>
              </w:rPr>
              <w:t xml:space="preserve"> Campaña </w:t>
            </w:r>
            <w:r w:rsidR="007C6B30">
              <w:rPr>
                <w:rFonts w:cstheme="minorHAnsi"/>
                <w:sz w:val="18"/>
                <w:szCs w:val="18"/>
                <w:lang w:val="es-ES_tradnl"/>
              </w:rPr>
              <w:t xml:space="preserve">y actividades </w:t>
            </w:r>
            <w:r w:rsidRPr="00170567">
              <w:rPr>
                <w:rFonts w:cstheme="minorHAnsi"/>
                <w:sz w:val="18"/>
                <w:szCs w:val="18"/>
                <w:lang w:val="es-ES_tradnl"/>
              </w:rPr>
              <w:t xml:space="preserve">de </w:t>
            </w:r>
            <w:r w:rsidR="0090544A">
              <w:rPr>
                <w:rFonts w:cstheme="minorHAnsi"/>
                <w:sz w:val="18"/>
                <w:szCs w:val="18"/>
                <w:lang w:val="es-ES_tradnl"/>
              </w:rPr>
              <w:t>concienciación</w:t>
            </w:r>
            <w:r w:rsidR="00355393" w:rsidRPr="00170567">
              <w:rPr>
                <w:rFonts w:cstheme="minorHAnsi"/>
                <w:sz w:val="18"/>
                <w:szCs w:val="18"/>
                <w:lang w:val="es-ES_tradnl"/>
              </w:rPr>
              <w:t xml:space="preserve"> </w:t>
            </w:r>
            <w:r w:rsidR="007C6B30">
              <w:rPr>
                <w:rFonts w:cstheme="minorHAnsi"/>
                <w:sz w:val="18"/>
                <w:szCs w:val="18"/>
                <w:lang w:val="es-ES_tradnl"/>
              </w:rPr>
              <w:t xml:space="preserve">sobre </w:t>
            </w:r>
            <w:r w:rsidR="00E666E5">
              <w:rPr>
                <w:rFonts w:cstheme="minorHAnsi"/>
                <w:sz w:val="18"/>
                <w:szCs w:val="18"/>
                <w:lang w:val="es-ES_tradnl"/>
              </w:rPr>
              <w:t xml:space="preserve">los </w:t>
            </w:r>
            <w:r w:rsidR="007C6B30">
              <w:rPr>
                <w:rFonts w:cstheme="minorHAnsi"/>
                <w:sz w:val="18"/>
                <w:szCs w:val="18"/>
                <w:lang w:val="es-ES_tradnl"/>
              </w:rPr>
              <w:t xml:space="preserve">derechos </w:t>
            </w:r>
            <w:r w:rsidR="00E666E5">
              <w:rPr>
                <w:rFonts w:cstheme="minorHAnsi"/>
                <w:sz w:val="18"/>
                <w:szCs w:val="18"/>
                <w:lang w:val="es-ES_tradnl"/>
              </w:rPr>
              <w:t xml:space="preserve">de las personas con discapacidad al </w:t>
            </w:r>
            <w:r w:rsidR="007C6B30">
              <w:rPr>
                <w:rFonts w:cstheme="minorHAnsi"/>
                <w:sz w:val="18"/>
                <w:szCs w:val="18"/>
                <w:lang w:val="es-ES_tradnl"/>
              </w:rPr>
              <w:t>acceso a la justicia</w:t>
            </w:r>
            <w:r w:rsidRPr="00170567">
              <w:rPr>
                <w:rFonts w:cstheme="minorHAnsi"/>
                <w:sz w:val="18"/>
                <w:szCs w:val="18"/>
                <w:lang w:val="es-ES_tradnl"/>
              </w:rPr>
              <w:t xml:space="preserve">, incluida la asistencia </w:t>
            </w:r>
            <w:r w:rsidR="0090544A">
              <w:rPr>
                <w:rFonts w:cstheme="minorHAnsi"/>
                <w:sz w:val="18"/>
                <w:szCs w:val="18"/>
                <w:lang w:val="es-ES_tradnl"/>
              </w:rPr>
              <w:t>legal</w:t>
            </w:r>
            <w:r w:rsidRPr="00170567">
              <w:rPr>
                <w:rFonts w:cstheme="minorHAnsi"/>
                <w:sz w:val="18"/>
                <w:szCs w:val="18"/>
                <w:lang w:val="es-ES_tradnl"/>
              </w:rPr>
              <w:t xml:space="preserve">, apoyo a las víctimas, </w:t>
            </w:r>
            <w:r w:rsidR="0090544A">
              <w:rPr>
                <w:rFonts w:cstheme="minorHAnsi"/>
                <w:sz w:val="18"/>
                <w:szCs w:val="18"/>
                <w:lang w:val="es-ES_tradnl"/>
              </w:rPr>
              <w:t>recursos y compensaciones efectivos disponibles en el</w:t>
            </w:r>
            <w:r w:rsidR="009111DF">
              <w:rPr>
                <w:rFonts w:cstheme="minorHAnsi"/>
                <w:sz w:val="18"/>
                <w:szCs w:val="18"/>
                <w:lang w:val="es-ES_tradnl"/>
              </w:rPr>
              <w:t xml:space="preserve"> sistema judicial </w:t>
            </w:r>
            <w:r w:rsidR="00E666E5">
              <w:rPr>
                <w:rFonts w:cstheme="minorHAnsi"/>
                <w:sz w:val="18"/>
                <w:szCs w:val="18"/>
                <w:lang w:val="es-ES_tradnl"/>
              </w:rPr>
              <w:t xml:space="preserve"> </w:t>
            </w:r>
            <w:r w:rsidR="00E666E5" w:rsidRPr="00170567">
              <w:rPr>
                <w:rFonts w:cstheme="minorHAnsi"/>
                <w:sz w:val="18"/>
                <w:szCs w:val="18"/>
                <w:lang w:val="es-ES_tradnl"/>
              </w:rPr>
              <w:t>dirigid</w:t>
            </w:r>
            <w:r w:rsidR="0090544A">
              <w:rPr>
                <w:rFonts w:cstheme="minorHAnsi"/>
                <w:sz w:val="18"/>
                <w:szCs w:val="18"/>
                <w:lang w:val="es-ES_tradnl"/>
              </w:rPr>
              <w:t>o</w:t>
            </w:r>
            <w:r w:rsidR="00E666E5" w:rsidRPr="00170567">
              <w:rPr>
                <w:rFonts w:cstheme="minorHAnsi"/>
                <w:sz w:val="18"/>
                <w:szCs w:val="18"/>
                <w:lang w:val="es-ES_tradnl"/>
              </w:rPr>
              <w:t xml:space="preserve">s </w:t>
            </w:r>
            <w:r w:rsidR="00E666E5">
              <w:rPr>
                <w:rFonts w:cstheme="minorHAnsi"/>
                <w:sz w:val="18"/>
                <w:szCs w:val="18"/>
                <w:lang w:val="es-ES_tradnl"/>
              </w:rPr>
              <w:t xml:space="preserve">a </w:t>
            </w:r>
            <w:r w:rsidR="00E666E5" w:rsidRPr="00170567">
              <w:rPr>
                <w:rFonts w:cstheme="minorHAnsi"/>
                <w:sz w:val="18"/>
                <w:szCs w:val="18"/>
                <w:lang w:val="es-ES_tradnl"/>
              </w:rPr>
              <w:t>las personas con discapacidad</w:t>
            </w:r>
            <w:r w:rsidR="00E666E5">
              <w:rPr>
                <w:rStyle w:val="Appeldenotedefin"/>
                <w:rFonts w:cstheme="minorHAnsi"/>
                <w:sz w:val="18"/>
                <w:szCs w:val="18"/>
                <w:lang w:val="es-ES_tradnl"/>
              </w:rPr>
              <w:endnoteReference w:id="7"/>
            </w:r>
            <w:r w:rsidR="00E666E5">
              <w:rPr>
                <w:rFonts w:cstheme="minorHAnsi"/>
                <w:sz w:val="18"/>
                <w:szCs w:val="18"/>
                <w:lang w:val="es-ES_tradnl"/>
              </w:rPr>
              <w:t xml:space="preserve"> y a otras personas como </w:t>
            </w:r>
            <w:r w:rsidRPr="00170567">
              <w:rPr>
                <w:rFonts w:cstheme="minorHAnsi"/>
                <w:sz w:val="18"/>
                <w:szCs w:val="18"/>
                <w:lang w:val="es-ES_tradnl"/>
              </w:rPr>
              <w:t>familiares de personas con discapacidad</w:t>
            </w:r>
            <w:r>
              <w:rPr>
                <w:rFonts w:cstheme="minorHAnsi"/>
                <w:sz w:val="18"/>
                <w:szCs w:val="18"/>
                <w:lang w:val="es-ES_tradnl"/>
              </w:rPr>
              <w:t xml:space="preserve">, </w:t>
            </w:r>
            <w:r w:rsidRPr="00170567">
              <w:rPr>
                <w:rFonts w:cstheme="minorHAnsi"/>
                <w:sz w:val="18"/>
                <w:szCs w:val="18"/>
                <w:lang w:val="es-ES_tradnl"/>
              </w:rPr>
              <w:t>funcionarios públicos y público en general.</w:t>
            </w:r>
          </w:p>
          <w:p w14:paraId="7A64701B" w14:textId="7C092E62" w:rsidR="00170567" w:rsidRPr="00170567" w:rsidRDefault="00170567" w:rsidP="00170567">
            <w:pPr>
              <w:jc w:val="both"/>
              <w:rPr>
                <w:rFonts w:cstheme="minorHAnsi"/>
                <w:sz w:val="18"/>
                <w:szCs w:val="18"/>
                <w:lang w:val="es-ES_tradnl"/>
              </w:rPr>
            </w:pPr>
            <w:r w:rsidRPr="00170567">
              <w:rPr>
                <w:rFonts w:cstheme="minorHAnsi"/>
                <w:sz w:val="18"/>
                <w:szCs w:val="18"/>
                <w:lang w:val="es-ES_tradnl"/>
              </w:rPr>
              <w:t>13.1</w:t>
            </w:r>
            <w:r w:rsidR="00E666E5">
              <w:rPr>
                <w:rFonts w:cstheme="minorHAnsi"/>
                <w:sz w:val="18"/>
                <w:szCs w:val="18"/>
                <w:lang w:val="es-ES_tradnl"/>
              </w:rPr>
              <w:t>4</w:t>
            </w:r>
            <w:r w:rsidRPr="00170567">
              <w:rPr>
                <w:rFonts w:cstheme="minorHAnsi"/>
                <w:sz w:val="18"/>
                <w:szCs w:val="18"/>
                <w:lang w:val="es-ES_tradnl"/>
              </w:rPr>
              <w:t xml:space="preserve"> Número y proporción de miembros de la judicatura, miembros de la</w:t>
            </w:r>
            <w:r w:rsidR="00362803">
              <w:rPr>
                <w:rFonts w:cstheme="minorHAnsi"/>
                <w:sz w:val="18"/>
                <w:szCs w:val="18"/>
                <w:lang w:val="es-ES_tradnl"/>
              </w:rPr>
              <w:t xml:space="preserve">s </w:t>
            </w:r>
            <w:r w:rsidRPr="00170567">
              <w:rPr>
                <w:rFonts w:cstheme="minorHAnsi"/>
                <w:sz w:val="18"/>
                <w:szCs w:val="18"/>
                <w:lang w:val="es-ES_tradnl"/>
              </w:rPr>
              <w:t>profesi</w:t>
            </w:r>
            <w:r w:rsidR="00362803">
              <w:rPr>
                <w:rFonts w:cstheme="minorHAnsi"/>
                <w:sz w:val="18"/>
                <w:szCs w:val="18"/>
                <w:lang w:val="es-ES_tradnl"/>
              </w:rPr>
              <w:t>ones</w:t>
            </w:r>
            <w:r w:rsidRPr="00170567">
              <w:rPr>
                <w:rFonts w:cstheme="minorHAnsi"/>
                <w:sz w:val="18"/>
                <w:szCs w:val="18"/>
                <w:lang w:val="es-ES_tradnl"/>
              </w:rPr>
              <w:t xml:space="preserve"> </w:t>
            </w:r>
            <w:r w:rsidR="00362803">
              <w:rPr>
                <w:rFonts w:cstheme="minorHAnsi"/>
                <w:sz w:val="18"/>
                <w:szCs w:val="18"/>
                <w:lang w:val="es-ES_tradnl"/>
              </w:rPr>
              <w:t>legales</w:t>
            </w:r>
            <w:r w:rsidR="00362803" w:rsidRPr="00170567">
              <w:rPr>
                <w:rFonts w:cstheme="minorHAnsi"/>
                <w:sz w:val="18"/>
                <w:szCs w:val="18"/>
                <w:lang w:val="es-ES_tradnl"/>
              </w:rPr>
              <w:t xml:space="preserve"> </w:t>
            </w:r>
            <w:r w:rsidRPr="00170567">
              <w:rPr>
                <w:rFonts w:cstheme="minorHAnsi"/>
                <w:sz w:val="18"/>
                <w:szCs w:val="18"/>
                <w:lang w:val="es-ES_tradnl"/>
              </w:rPr>
              <w:t xml:space="preserve">y funcionarios encargados de hacer cumplir la ley </w:t>
            </w:r>
            <w:r w:rsidR="009111DF">
              <w:rPr>
                <w:rFonts w:cstheme="minorHAnsi"/>
                <w:sz w:val="18"/>
                <w:szCs w:val="18"/>
                <w:lang w:val="es-ES_tradnl"/>
              </w:rPr>
              <w:t>con formación</w:t>
            </w:r>
            <w:r w:rsidRPr="00170567">
              <w:rPr>
                <w:rFonts w:cstheme="minorHAnsi"/>
                <w:sz w:val="18"/>
                <w:szCs w:val="18"/>
                <w:lang w:val="es-ES_tradnl"/>
              </w:rPr>
              <w:t xml:space="preserve"> en la CDPD, en particular en el enfoque de la discapacidad basado en los derechos humanos</w:t>
            </w:r>
            <w:r w:rsidR="00B6747C">
              <w:rPr>
                <w:rFonts w:cstheme="minorHAnsi"/>
                <w:sz w:val="18"/>
                <w:szCs w:val="18"/>
                <w:lang w:val="es-ES_tradnl"/>
              </w:rPr>
              <w:t xml:space="preserve">, </w:t>
            </w:r>
            <w:r w:rsidR="00B6747C" w:rsidRPr="00B6747C">
              <w:rPr>
                <w:rFonts w:cstheme="minorHAnsi"/>
                <w:sz w:val="18"/>
                <w:szCs w:val="18"/>
                <w:lang w:val="es-ES_tradnl"/>
              </w:rPr>
              <w:t>la capacidad jurídica universal de todas las personas con discapacidad</w:t>
            </w:r>
            <w:r w:rsidR="00B6747C">
              <w:rPr>
                <w:rFonts w:cstheme="minorHAnsi"/>
                <w:sz w:val="18"/>
                <w:szCs w:val="18"/>
                <w:lang w:val="es-ES_tradnl"/>
              </w:rPr>
              <w:t>, la</w:t>
            </w:r>
            <w:r w:rsidR="00B6747C" w:rsidRPr="00B6747C">
              <w:rPr>
                <w:rFonts w:cstheme="minorHAnsi"/>
                <w:sz w:val="18"/>
                <w:szCs w:val="18"/>
                <w:lang w:val="es-ES_tradnl"/>
              </w:rPr>
              <w:t xml:space="preserve"> lucha contra los prejuicios y</w:t>
            </w:r>
            <w:r w:rsidR="00B6747C">
              <w:rPr>
                <w:rFonts w:cstheme="minorHAnsi"/>
                <w:sz w:val="18"/>
                <w:szCs w:val="18"/>
                <w:lang w:val="es-ES_tradnl"/>
              </w:rPr>
              <w:t xml:space="preserve"> </w:t>
            </w:r>
            <w:r w:rsidR="00B6747C" w:rsidRPr="00B6747C">
              <w:rPr>
                <w:rFonts w:cstheme="minorHAnsi"/>
                <w:sz w:val="18"/>
                <w:szCs w:val="18"/>
                <w:lang w:val="es-ES_tradnl"/>
              </w:rPr>
              <w:t>estereotipos nocivos en materia de género y discapacidad</w:t>
            </w:r>
            <w:r w:rsidR="00B6747C">
              <w:rPr>
                <w:rFonts w:cstheme="minorHAnsi"/>
                <w:sz w:val="18"/>
                <w:szCs w:val="18"/>
                <w:lang w:val="es-ES_tradnl"/>
              </w:rPr>
              <w:t>,</w:t>
            </w:r>
            <w:r w:rsidRPr="00170567">
              <w:rPr>
                <w:rFonts w:cstheme="minorHAnsi"/>
                <w:sz w:val="18"/>
                <w:szCs w:val="18"/>
                <w:lang w:val="es-ES_tradnl"/>
              </w:rPr>
              <w:t xml:space="preserve"> </w:t>
            </w:r>
            <w:r w:rsidR="00362803">
              <w:rPr>
                <w:rFonts w:cstheme="minorHAnsi"/>
                <w:sz w:val="18"/>
                <w:szCs w:val="18"/>
                <w:lang w:val="es-ES_tradnl"/>
              </w:rPr>
              <w:t xml:space="preserve">la obligación de asegurar </w:t>
            </w:r>
            <w:r w:rsidR="009111DF">
              <w:rPr>
                <w:rFonts w:cstheme="minorHAnsi"/>
                <w:sz w:val="18"/>
                <w:szCs w:val="18"/>
                <w:lang w:val="es-ES_tradnl"/>
              </w:rPr>
              <w:t xml:space="preserve">ajustes </w:t>
            </w:r>
            <w:r w:rsidR="00355393">
              <w:rPr>
                <w:rFonts w:cstheme="minorHAnsi"/>
                <w:sz w:val="18"/>
                <w:szCs w:val="18"/>
                <w:lang w:val="es-ES_tradnl"/>
              </w:rPr>
              <w:t>de procedimiento</w:t>
            </w:r>
            <w:r w:rsidR="009111DF">
              <w:rPr>
                <w:rFonts w:cstheme="minorHAnsi"/>
                <w:sz w:val="18"/>
                <w:szCs w:val="18"/>
                <w:lang w:val="es-ES_tradnl"/>
              </w:rPr>
              <w:t xml:space="preserve">, </w:t>
            </w:r>
            <w:r w:rsidR="00362803">
              <w:rPr>
                <w:rFonts w:cstheme="minorHAnsi"/>
                <w:sz w:val="18"/>
                <w:szCs w:val="18"/>
                <w:lang w:val="es-ES_tradnl"/>
              </w:rPr>
              <w:t>y</w:t>
            </w:r>
            <w:r w:rsidR="009111DF">
              <w:rPr>
                <w:rFonts w:cstheme="minorHAnsi"/>
                <w:sz w:val="18"/>
                <w:szCs w:val="18"/>
                <w:lang w:val="es-ES_tradnl"/>
              </w:rPr>
              <w:t xml:space="preserve"> en comunicación con personas con discapacidad, incluyendo métodos y modos de comunicación alternativos.</w:t>
            </w:r>
          </w:p>
          <w:p w14:paraId="7A2DA455" w14:textId="650103F9" w:rsidR="00170567" w:rsidRPr="000E49BF" w:rsidRDefault="00170567" w:rsidP="000E49BF">
            <w:pPr>
              <w:rPr>
                <w:rFonts w:ascii="Times New Roman" w:hAnsi="Times New Roman" w:cs="Times New Roman"/>
                <w:lang w:val="es-ES" w:eastAsia="es-ES"/>
              </w:rPr>
            </w:pPr>
            <w:r w:rsidRPr="00170567">
              <w:rPr>
                <w:rFonts w:cstheme="minorHAnsi"/>
                <w:sz w:val="18"/>
                <w:szCs w:val="18"/>
                <w:lang w:val="es-ES_tradnl"/>
              </w:rPr>
              <w:t>13.1</w:t>
            </w:r>
            <w:r w:rsidR="00E666E5">
              <w:rPr>
                <w:rFonts w:cstheme="minorHAnsi"/>
                <w:sz w:val="18"/>
                <w:szCs w:val="18"/>
                <w:lang w:val="es-ES_tradnl"/>
              </w:rPr>
              <w:t>5</w:t>
            </w:r>
            <w:r w:rsidRPr="00170567">
              <w:rPr>
                <w:rFonts w:cstheme="minorHAnsi"/>
                <w:sz w:val="18"/>
                <w:szCs w:val="18"/>
                <w:lang w:val="es-ES_tradnl"/>
              </w:rPr>
              <w:t xml:space="preserve"> Procesos de consulta </w:t>
            </w:r>
            <w:r w:rsidR="00362803">
              <w:rPr>
                <w:rFonts w:cstheme="minorHAnsi"/>
                <w:sz w:val="18"/>
                <w:szCs w:val="18"/>
                <w:lang w:val="es-ES_tradnl"/>
              </w:rPr>
              <w:t>llevados a cabo</w:t>
            </w:r>
            <w:r w:rsidR="00362803" w:rsidRPr="00170567">
              <w:rPr>
                <w:rFonts w:cstheme="minorHAnsi"/>
                <w:sz w:val="18"/>
                <w:szCs w:val="18"/>
                <w:lang w:val="es-ES_tradnl"/>
              </w:rPr>
              <w:t xml:space="preserve"> </w:t>
            </w:r>
            <w:r w:rsidRPr="00170567">
              <w:rPr>
                <w:rFonts w:cstheme="minorHAnsi"/>
                <w:sz w:val="18"/>
                <w:szCs w:val="18"/>
                <w:lang w:val="es-ES_tradnl"/>
              </w:rPr>
              <w:t xml:space="preserve">para asegurar la participación activa de las personas con discapacidad, </w:t>
            </w:r>
            <w:r w:rsidR="00362803">
              <w:rPr>
                <w:rFonts w:cstheme="minorHAnsi"/>
                <w:sz w:val="18"/>
                <w:szCs w:val="18"/>
                <w:lang w:val="es-ES_tradnl"/>
              </w:rPr>
              <w:t>incluyendo las organizaciones que las representan</w:t>
            </w:r>
            <w:r w:rsidRPr="00170567">
              <w:rPr>
                <w:rFonts w:cstheme="minorHAnsi"/>
                <w:sz w:val="18"/>
                <w:szCs w:val="18"/>
                <w:lang w:val="es-ES_tradnl"/>
              </w:rPr>
              <w:t>, en el diseño, implementación y monitoreo de leyes, regulaciones, políticas y programas relacionados con el derecho de acceso a la justicia de las personas con discapacidad</w:t>
            </w:r>
            <w:r w:rsidR="000E49BF">
              <w:rPr>
                <w:rStyle w:val="Appeldenotedefin"/>
                <w:rFonts w:cstheme="minorHAnsi"/>
                <w:sz w:val="18"/>
                <w:szCs w:val="18"/>
              </w:rPr>
              <w:endnoteReference w:id="8"/>
            </w:r>
            <w:r w:rsidRPr="00170567">
              <w:rPr>
                <w:rFonts w:cstheme="minorHAnsi"/>
                <w:sz w:val="18"/>
                <w:szCs w:val="18"/>
                <w:lang w:val="es-ES_tradnl"/>
              </w:rPr>
              <w:t>.</w:t>
            </w:r>
          </w:p>
          <w:p w14:paraId="5E079204" w14:textId="380884EC" w:rsidR="00470A68" w:rsidRPr="00E675E6" w:rsidDel="00110663" w:rsidRDefault="00170567" w:rsidP="006E3E31">
            <w:pPr>
              <w:jc w:val="both"/>
              <w:rPr>
                <w:rFonts w:cstheme="minorHAnsi"/>
                <w:sz w:val="18"/>
                <w:szCs w:val="18"/>
                <w:lang w:val="es-ES_tradnl"/>
              </w:rPr>
            </w:pPr>
            <w:r w:rsidRPr="00170567">
              <w:rPr>
                <w:rFonts w:cstheme="minorHAnsi"/>
                <w:sz w:val="18"/>
                <w:szCs w:val="18"/>
                <w:lang w:val="es-ES_tradnl"/>
              </w:rPr>
              <w:t>13.1</w:t>
            </w:r>
            <w:r w:rsidR="00E666E5">
              <w:rPr>
                <w:rFonts w:cstheme="minorHAnsi"/>
                <w:sz w:val="18"/>
                <w:szCs w:val="18"/>
                <w:lang w:val="es-ES_tradnl"/>
              </w:rPr>
              <w:t>6</w:t>
            </w:r>
            <w:r w:rsidRPr="00170567">
              <w:rPr>
                <w:rFonts w:cstheme="minorHAnsi"/>
                <w:sz w:val="18"/>
                <w:szCs w:val="18"/>
                <w:lang w:val="es-ES_tradnl"/>
              </w:rPr>
              <w:t xml:space="preserve"> Presupuesto asignado y gastado en medidas para promover el acceso a la justicia de las personas con discapacidad y su participación en el sistema </w:t>
            </w:r>
            <w:r w:rsidR="00E675E6">
              <w:rPr>
                <w:rFonts w:cstheme="minorHAnsi"/>
                <w:sz w:val="18"/>
                <w:szCs w:val="18"/>
                <w:lang w:val="es-ES_tradnl"/>
              </w:rPr>
              <w:t>judicial</w:t>
            </w:r>
            <w:r w:rsidRPr="00170567">
              <w:rPr>
                <w:rFonts w:cstheme="minorHAnsi"/>
                <w:sz w:val="18"/>
                <w:szCs w:val="18"/>
                <w:lang w:val="es-ES_tradnl"/>
              </w:rPr>
              <w:t xml:space="preserve">, </w:t>
            </w:r>
            <w:r w:rsidR="00362803">
              <w:rPr>
                <w:rFonts w:cstheme="minorHAnsi"/>
                <w:sz w:val="18"/>
                <w:szCs w:val="18"/>
                <w:lang w:val="es-ES_tradnl"/>
              </w:rPr>
              <w:t xml:space="preserve">incluyendo </w:t>
            </w:r>
            <w:r w:rsidR="00230CC2">
              <w:rPr>
                <w:rFonts w:cstheme="minorHAnsi"/>
                <w:sz w:val="18"/>
                <w:szCs w:val="18"/>
                <w:lang w:val="es-ES_tradnl"/>
              </w:rPr>
              <w:t>explícitamente</w:t>
            </w:r>
            <w:r w:rsidRPr="00170567">
              <w:rPr>
                <w:rFonts w:cstheme="minorHAnsi"/>
                <w:sz w:val="18"/>
                <w:szCs w:val="18"/>
                <w:lang w:val="es-ES_tradnl"/>
              </w:rPr>
              <w:t xml:space="preserve"> a) </w:t>
            </w:r>
            <w:r w:rsidR="00230CC2">
              <w:rPr>
                <w:rFonts w:cstheme="minorHAnsi"/>
                <w:sz w:val="18"/>
                <w:szCs w:val="18"/>
                <w:lang w:val="es-ES_tradnl"/>
              </w:rPr>
              <w:t xml:space="preserve">la </w:t>
            </w:r>
            <w:r w:rsidRPr="00170567">
              <w:rPr>
                <w:rFonts w:cstheme="minorHAnsi"/>
                <w:sz w:val="18"/>
                <w:szCs w:val="18"/>
                <w:lang w:val="es-ES_tradnl"/>
              </w:rPr>
              <w:t>asistencia jurídica para personas con discapacidad</w:t>
            </w:r>
            <w:r w:rsidR="00F44657">
              <w:rPr>
                <w:rFonts w:cstheme="minorHAnsi"/>
                <w:sz w:val="18"/>
                <w:szCs w:val="18"/>
                <w:lang w:val="es-ES_tradnl"/>
              </w:rPr>
              <w:t>,</w:t>
            </w:r>
            <w:r w:rsidRPr="00170567">
              <w:rPr>
                <w:rFonts w:cstheme="minorHAnsi"/>
                <w:sz w:val="18"/>
                <w:szCs w:val="18"/>
                <w:lang w:val="es-ES_tradnl"/>
              </w:rPr>
              <w:t xml:space="preserve"> b) </w:t>
            </w:r>
            <w:r w:rsidR="00230CC2">
              <w:rPr>
                <w:rFonts w:cstheme="minorHAnsi"/>
                <w:sz w:val="18"/>
                <w:szCs w:val="18"/>
                <w:lang w:val="es-ES_tradnl"/>
              </w:rPr>
              <w:t>la formación</w:t>
            </w:r>
            <w:r w:rsidRPr="00170567">
              <w:rPr>
                <w:rFonts w:cstheme="minorHAnsi"/>
                <w:sz w:val="18"/>
                <w:szCs w:val="18"/>
                <w:lang w:val="es-ES_tradnl"/>
              </w:rPr>
              <w:t xml:space="preserve"> de jueces, fiscales, etc. y</w:t>
            </w:r>
            <w:r>
              <w:rPr>
                <w:rFonts w:cstheme="minorHAnsi"/>
                <w:sz w:val="18"/>
                <w:szCs w:val="18"/>
                <w:lang w:val="es-ES_tradnl"/>
              </w:rPr>
              <w:t xml:space="preserve"> </w:t>
            </w:r>
            <w:r w:rsidRPr="00170567">
              <w:rPr>
                <w:rFonts w:cstheme="minorHAnsi"/>
                <w:sz w:val="18"/>
                <w:szCs w:val="18"/>
                <w:lang w:val="es-ES_tradnl"/>
              </w:rPr>
              <w:t xml:space="preserve">c) </w:t>
            </w:r>
            <w:r w:rsidR="00230CC2">
              <w:rPr>
                <w:rFonts w:cstheme="minorHAnsi"/>
                <w:sz w:val="18"/>
                <w:szCs w:val="18"/>
                <w:lang w:val="es-ES_tradnl"/>
              </w:rPr>
              <w:t xml:space="preserve">la </w:t>
            </w:r>
            <w:r w:rsidRPr="00170567">
              <w:rPr>
                <w:rFonts w:cstheme="minorHAnsi"/>
                <w:sz w:val="18"/>
                <w:szCs w:val="18"/>
                <w:lang w:val="es-ES_tradnl"/>
              </w:rPr>
              <w:t xml:space="preserve">provisión de </w:t>
            </w:r>
            <w:r w:rsidR="00230CC2">
              <w:rPr>
                <w:rFonts w:cstheme="minorHAnsi"/>
                <w:sz w:val="18"/>
                <w:szCs w:val="18"/>
                <w:lang w:val="es-ES_tradnl"/>
              </w:rPr>
              <w:t>ajustes</w:t>
            </w:r>
            <w:r w:rsidRPr="00170567">
              <w:rPr>
                <w:rFonts w:cstheme="minorHAnsi"/>
                <w:sz w:val="18"/>
                <w:szCs w:val="18"/>
                <w:lang w:val="es-ES_tradnl"/>
              </w:rPr>
              <w:t xml:space="preserve"> procesal</w:t>
            </w:r>
            <w:r w:rsidR="00230CC2">
              <w:rPr>
                <w:rFonts w:cstheme="minorHAnsi"/>
                <w:sz w:val="18"/>
                <w:szCs w:val="18"/>
                <w:lang w:val="es-ES_tradnl"/>
              </w:rPr>
              <w:t>es</w:t>
            </w:r>
            <w:r w:rsidRPr="00170567">
              <w:rPr>
                <w:rFonts w:cstheme="minorHAnsi"/>
                <w:sz w:val="18"/>
                <w:szCs w:val="18"/>
                <w:lang w:val="es-ES_tradnl"/>
              </w:rPr>
              <w:t xml:space="preserve"> para personas con discapacidad.</w:t>
            </w:r>
          </w:p>
        </w:tc>
      </w:tr>
      <w:tr w:rsidR="00170567" w:rsidRPr="00B6747C" w14:paraId="4B91F32E" w14:textId="77777777" w:rsidTr="00170567">
        <w:tc>
          <w:tcPr>
            <w:tcW w:w="1382" w:type="dxa"/>
          </w:tcPr>
          <w:p w14:paraId="73C4FE8D" w14:textId="62C46304" w:rsidR="00470A68" w:rsidRPr="00170567" w:rsidRDefault="00170567" w:rsidP="004F538D">
            <w:pPr>
              <w:rPr>
                <w:rFonts w:cstheme="minorHAnsi"/>
                <w:b/>
                <w:sz w:val="18"/>
                <w:szCs w:val="18"/>
                <w:lang w:val="es-ES_tradnl"/>
              </w:rPr>
            </w:pPr>
            <w:r>
              <w:rPr>
                <w:rFonts w:cstheme="minorHAnsi"/>
                <w:b/>
                <w:sz w:val="18"/>
                <w:szCs w:val="18"/>
                <w:lang w:val="es-ES_tradnl"/>
              </w:rPr>
              <w:t>Resultado</w:t>
            </w:r>
          </w:p>
        </w:tc>
        <w:tc>
          <w:tcPr>
            <w:tcW w:w="7827" w:type="dxa"/>
          </w:tcPr>
          <w:p w14:paraId="63525E02" w14:textId="1B5AAFED" w:rsidR="00230CC2" w:rsidRDefault="00230CC2" w:rsidP="00170567">
            <w:pPr>
              <w:autoSpaceDE w:val="0"/>
              <w:autoSpaceDN w:val="0"/>
              <w:adjustRightInd w:val="0"/>
              <w:jc w:val="both"/>
              <w:rPr>
                <w:rFonts w:cstheme="minorHAnsi"/>
                <w:sz w:val="18"/>
                <w:szCs w:val="18"/>
                <w:lang w:val="es-ES_tradnl"/>
              </w:rPr>
            </w:pPr>
            <w:r>
              <w:rPr>
                <w:rFonts w:cstheme="minorHAnsi"/>
                <w:sz w:val="18"/>
                <w:szCs w:val="18"/>
                <w:lang w:val="es-ES_tradnl"/>
              </w:rPr>
              <w:t>13.1</w:t>
            </w:r>
            <w:r w:rsidR="007823E0">
              <w:rPr>
                <w:rFonts w:cstheme="minorHAnsi"/>
                <w:sz w:val="18"/>
                <w:szCs w:val="18"/>
                <w:lang w:val="es-ES_tradnl"/>
              </w:rPr>
              <w:t>7</w:t>
            </w:r>
            <w:r>
              <w:rPr>
                <w:rFonts w:cstheme="minorHAnsi"/>
                <w:sz w:val="18"/>
                <w:szCs w:val="18"/>
                <w:lang w:val="es-ES_tradnl"/>
              </w:rPr>
              <w:t xml:space="preserve"> </w:t>
            </w:r>
            <w:r w:rsidR="007823E0">
              <w:rPr>
                <w:rFonts w:cstheme="minorHAnsi"/>
                <w:sz w:val="18"/>
                <w:szCs w:val="18"/>
                <w:lang w:val="es-ES_tradnl"/>
              </w:rPr>
              <w:t>P</w:t>
            </w:r>
            <w:r>
              <w:rPr>
                <w:rFonts w:cstheme="minorHAnsi"/>
                <w:sz w:val="18"/>
                <w:szCs w:val="18"/>
                <w:lang w:val="es-ES_tradnl"/>
              </w:rPr>
              <w:t>roporción de</w:t>
            </w:r>
            <w:r w:rsidR="00362803">
              <w:rPr>
                <w:rFonts w:cstheme="minorHAnsi"/>
                <w:sz w:val="18"/>
                <w:szCs w:val="18"/>
                <w:lang w:val="es-ES_tradnl"/>
              </w:rPr>
              <w:t xml:space="preserve">l público asistente a </w:t>
            </w:r>
            <w:r w:rsidR="007823E0">
              <w:rPr>
                <w:rFonts w:cstheme="minorHAnsi"/>
                <w:sz w:val="18"/>
                <w:szCs w:val="18"/>
                <w:lang w:val="es-ES_tradnl"/>
              </w:rPr>
              <w:t xml:space="preserve">los tribunales que </w:t>
            </w:r>
            <w:r w:rsidR="00362803">
              <w:rPr>
                <w:rFonts w:cstheme="minorHAnsi"/>
                <w:sz w:val="18"/>
                <w:szCs w:val="18"/>
                <w:lang w:val="es-ES_tradnl"/>
              </w:rPr>
              <w:t>consideran</w:t>
            </w:r>
            <w:r w:rsidR="007823E0">
              <w:rPr>
                <w:rFonts w:cstheme="minorHAnsi"/>
                <w:sz w:val="18"/>
                <w:szCs w:val="18"/>
                <w:lang w:val="es-ES_tradnl"/>
              </w:rPr>
              <w:t xml:space="preserve"> los servicios y los tribunales como altamente accesibles en su propio </w:t>
            </w:r>
            <w:r w:rsidR="00362803">
              <w:rPr>
                <w:rFonts w:cstheme="minorHAnsi"/>
                <w:sz w:val="18"/>
                <w:szCs w:val="18"/>
                <w:lang w:val="es-ES_tradnl"/>
              </w:rPr>
              <w:t>lenguaje</w:t>
            </w:r>
            <w:r w:rsidR="007823E0">
              <w:rPr>
                <w:rFonts w:cstheme="minorHAnsi"/>
                <w:sz w:val="18"/>
                <w:szCs w:val="18"/>
                <w:lang w:val="es-ES_tradnl"/>
              </w:rPr>
              <w:t>, incluido el lenguaje de señas (encuestas en los tribunales).</w:t>
            </w:r>
          </w:p>
          <w:p w14:paraId="6A41937A" w14:textId="4BA907A3" w:rsidR="00170567" w:rsidRPr="00170567" w:rsidRDefault="00170567" w:rsidP="00170567">
            <w:pPr>
              <w:autoSpaceDE w:val="0"/>
              <w:autoSpaceDN w:val="0"/>
              <w:adjustRightInd w:val="0"/>
              <w:jc w:val="both"/>
              <w:rPr>
                <w:rFonts w:cstheme="minorHAnsi"/>
                <w:sz w:val="18"/>
                <w:szCs w:val="18"/>
                <w:lang w:val="es-ES_tradnl"/>
              </w:rPr>
            </w:pPr>
            <w:r w:rsidRPr="00170567">
              <w:rPr>
                <w:rFonts w:cstheme="minorHAnsi"/>
                <w:sz w:val="18"/>
                <w:szCs w:val="18"/>
                <w:lang w:val="es-ES_tradnl"/>
              </w:rPr>
              <w:t>13.1</w:t>
            </w:r>
            <w:r w:rsidR="007823E0">
              <w:rPr>
                <w:rFonts w:cstheme="minorHAnsi"/>
                <w:sz w:val="18"/>
                <w:szCs w:val="18"/>
                <w:lang w:val="es-ES_tradnl"/>
              </w:rPr>
              <w:t>8</w:t>
            </w:r>
            <w:r w:rsidRPr="00170567">
              <w:rPr>
                <w:rFonts w:cstheme="minorHAnsi"/>
                <w:sz w:val="18"/>
                <w:szCs w:val="18"/>
                <w:lang w:val="es-ES_tradnl"/>
              </w:rPr>
              <w:t xml:space="preserve"> Número de </w:t>
            </w:r>
            <w:r w:rsidR="00230CC2">
              <w:rPr>
                <w:rFonts w:cstheme="minorHAnsi"/>
                <w:sz w:val="18"/>
                <w:szCs w:val="18"/>
                <w:lang w:val="es-ES_tradnl"/>
              </w:rPr>
              <w:t>demandas</w:t>
            </w:r>
            <w:r w:rsidRPr="00170567">
              <w:rPr>
                <w:rFonts w:cstheme="minorHAnsi"/>
                <w:sz w:val="18"/>
                <w:szCs w:val="18"/>
                <w:lang w:val="es-ES_tradnl"/>
              </w:rPr>
              <w:t xml:space="preserve"> presentadas </w:t>
            </w:r>
            <w:r>
              <w:rPr>
                <w:rFonts w:cstheme="minorHAnsi"/>
                <w:sz w:val="18"/>
                <w:szCs w:val="18"/>
                <w:lang w:val="es-ES_tradnl"/>
              </w:rPr>
              <w:t xml:space="preserve">por personas con discapacidad </w:t>
            </w:r>
            <w:r w:rsidRPr="00170567">
              <w:rPr>
                <w:rFonts w:cstheme="minorHAnsi"/>
                <w:sz w:val="18"/>
                <w:szCs w:val="18"/>
                <w:lang w:val="es-ES_tradnl"/>
              </w:rPr>
              <w:t xml:space="preserve">al sistema </w:t>
            </w:r>
            <w:r>
              <w:rPr>
                <w:rFonts w:cstheme="minorHAnsi"/>
                <w:sz w:val="18"/>
                <w:szCs w:val="18"/>
                <w:lang w:val="es-ES_tradnl"/>
              </w:rPr>
              <w:t>judicial</w:t>
            </w:r>
            <w:r w:rsidRPr="00170567">
              <w:rPr>
                <w:rFonts w:cstheme="minorHAnsi"/>
                <w:sz w:val="18"/>
                <w:szCs w:val="18"/>
                <w:lang w:val="es-ES_tradnl"/>
              </w:rPr>
              <w:t xml:space="preserve">, </w:t>
            </w:r>
            <w:r>
              <w:rPr>
                <w:rFonts w:cstheme="minorHAnsi"/>
                <w:sz w:val="18"/>
                <w:szCs w:val="18"/>
                <w:lang w:val="es-ES_tradnl"/>
              </w:rPr>
              <w:t xml:space="preserve">que han sido investigadas y </w:t>
            </w:r>
            <w:r w:rsidR="00230CC2">
              <w:rPr>
                <w:rFonts w:cstheme="minorHAnsi"/>
                <w:sz w:val="18"/>
                <w:szCs w:val="18"/>
                <w:lang w:val="es-ES_tradnl"/>
              </w:rPr>
              <w:t>resueltas</w:t>
            </w:r>
            <w:r w:rsidR="007823E0">
              <w:rPr>
                <w:rFonts w:cstheme="minorHAnsi"/>
                <w:sz w:val="18"/>
                <w:szCs w:val="18"/>
                <w:lang w:val="es-ES_tradnl"/>
              </w:rPr>
              <w:t>; proporción de las mismas resueltas</w:t>
            </w:r>
            <w:r w:rsidR="00230CC2">
              <w:rPr>
                <w:rFonts w:cstheme="minorHAnsi"/>
                <w:sz w:val="18"/>
                <w:szCs w:val="18"/>
                <w:lang w:val="es-ES_tradnl"/>
              </w:rPr>
              <w:t xml:space="preserve"> a</w:t>
            </w:r>
            <w:r>
              <w:rPr>
                <w:rFonts w:cstheme="minorHAnsi"/>
                <w:sz w:val="18"/>
                <w:szCs w:val="18"/>
                <w:lang w:val="es-ES_tradnl"/>
              </w:rPr>
              <w:t xml:space="preserve"> </w:t>
            </w:r>
            <w:r w:rsidRPr="00170567">
              <w:rPr>
                <w:rFonts w:cstheme="minorHAnsi"/>
                <w:sz w:val="18"/>
                <w:szCs w:val="18"/>
                <w:lang w:val="es-ES_tradnl"/>
              </w:rPr>
              <w:t xml:space="preserve">favor del demandante, y proporción de </w:t>
            </w:r>
            <w:r w:rsidR="00230CC2">
              <w:rPr>
                <w:rFonts w:cstheme="minorHAnsi"/>
                <w:sz w:val="18"/>
                <w:szCs w:val="18"/>
                <w:lang w:val="es-ES_tradnl"/>
              </w:rPr>
              <w:t xml:space="preserve">las </w:t>
            </w:r>
            <w:r w:rsidR="007823E0">
              <w:rPr>
                <w:rFonts w:cstheme="minorHAnsi"/>
                <w:sz w:val="18"/>
                <w:szCs w:val="18"/>
                <w:lang w:val="es-ES_tradnl"/>
              </w:rPr>
              <w:t xml:space="preserve">estas últimas </w:t>
            </w:r>
            <w:r w:rsidRPr="00170567">
              <w:rPr>
                <w:rFonts w:cstheme="minorHAnsi"/>
                <w:sz w:val="18"/>
                <w:szCs w:val="18"/>
                <w:lang w:val="es-ES_tradnl"/>
              </w:rPr>
              <w:t>cumplid</w:t>
            </w:r>
            <w:r>
              <w:rPr>
                <w:rFonts w:cstheme="minorHAnsi"/>
                <w:sz w:val="18"/>
                <w:szCs w:val="18"/>
                <w:lang w:val="es-ES_tradnl"/>
              </w:rPr>
              <w:t>a</w:t>
            </w:r>
            <w:r w:rsidR="00230CC2">
              <w:rPr>
                <w:rFonts w:cstheme="minorHAnsi"/>
                <w:sz w:val="18"/>
                <w:szCs w:val="18"/>
                <w:lang w:val="es-ES_tradnl"/>
              </w:rPr>
              <w:t>s</w:t>
            </w:r>
            <w:r w:rsidRPr="00170567">
              <w:rPr>
                <w:rFonts w:cstheme="minorHAnsi"/>
                <w:sz w:val="18"/>
                <w:szCs w:val="18"/>
                <w:lang w:val="es-ES_tradnl"/>
              </w:rPr>
              <w:t xml:space="preserve"> por el gobierno</w:t>
            </w:r>
            <w:r w:rsidR="007823E0">
              <w:rPr>
                <w:rFonts w:cstheme="minorHAnsi"/>
                <w:sz w:val="18"/>
                <w:szCs w:val="18"/>
                <w:lang w:val="es-ES_tradnl"/>
              </w:rPr>
              <w:t xml:space="preserve"> o</w:t>
            </w:r>
            <w:r w:rsidRPr="00170567">
              <w:rPr>
                <w:rFonts w:cstheme="minorHAnsi"/>
                <w:sz w:val="18"/>
                <w:szCs w:val="18"/>
                <w:lang w:val="es-ES_tradnl"/>
              </w:rPr>
              <w:t xml:space="preserve"> </w:t>
            </w:r>
            <w:r>
              <w:rPr>
                <w:rFonts w:cstheme="minorHAnsi"/>
                <w:sz w:val="18"/>
                <w:szCs w:val="18"/>
                <w:lang w:val="es-ES_tradnl"/>
              </w:rPr>
              <w:t>el responsable</w:t>
            </w:r>
            <w:r w:rsidR="007823E0">
              <w:rPr>
                <w:rFonts w:cstheme="minorHAnsi"/>
                <w:sz w:val="18"/>
                <w:szCs w:val="18"/>
                <w:lang w:val="es-ES_tradnl"/>
              </w:rPr>
              <w:t xml:space="preserve">; todas ellas </w:t>
            </w:r>
            <w:r w:rsidR="00362803">
              <w:rPr>
                <w:rFonts w:cstheme="minorHAnsi"/>
                <w:sz w:val="18"/>
                <w:szCs w:val="18"/>
                <w:lang w:val="es-ES_tradnl"/>
              </w:rPr>
              <w:t>desagregadas</w:t>
            </w:r>
            <w:r w:rsidR="007823E0" w:rsidRPr="00170567">
              <w:rPr>
                <w:rFonts w:cstheme="minorHAnsi"/>
                <w:sz w:val="18"/>
                <w:szCs w:val="18"/>
                <w:lang w:val="es-ES_tradnl"/>
              </w:rPr>
              <w:t xml:space="preserve"> por tipo de mecanismo, </w:t>
            </w:r>
            <w:r w:rsidR="007823E0">
              <w:rPr>
                <w:rFonts w:cstheme="minorHAnsi"/>
                <w:sz w:val="18"/>
                <w:szCs w:val="18"/>
                <w:lang w:val="es-ES_tradnl"/>
              </w:rPr>
              <w:t>ámbito jurídico /</w:t>
            </w:r>
            <w:r w:rsidR="007823E0" w:rsidRPr="00170567">
              <w:rPr>
                <w:rFonts w:cstheme="minorHAnsi"/>
                <w:sz w:val="18"/>
                <w:szCs w:val="18"/>
                <w:lang w:val="es-ES_tradnl"/>
              </w:rPr>
              <w:t>tipo de procedimiento (civil, penal, etc.), derechos sustantivos</w:t>
            </w:r>
            <w:r w:rsidR="007823E0">
              <w:rPr>
                <w:rFonts w:cstheme="minorHAnsi"/>
                <w:sz w:val="18"/>
                <w:szCs w:val="18"/>
                <w:lang w:val="es-ES_tradnl"/>
              </w:rPr>
              <w:t xml:space="preserve"> implicados</w:t>
            </w:r>
            <w:r w:rsidR="007823E0" w:rsidRPr="00170567">
              <w:rPr>
                <w:rFonts w:cstheme="minorHAnsi"/>
                <w:sz w:val="18"/>
                <w:szCs w:val="18"/>
                <w:lang w:val="es-ES_tradnl"/>
              </w:rPr>
              <w:t xml:space="preserve">, y </w:t>
            </w:r>
            <w:r w:rsidR="007823E0">
              <w:rPr>
                <w:rFonts w:cstheme="minorHAnsi"/>
                <w:sz w:val="18"/>
                <w:szCs w:val="18"/>
                <w:lang w:val="es-ES_tradnl"/>
              </w:rPr>
              <w:t>recurso concedido</w:t>
            </w:r>
            <w:r w:rsidRPr="00170567">
              <w:rPr>
                <w:rFonts w:cstheme="minorHAnsi"/>
                <w:sz w:val="18"/>
                <w:szCs w:val="18"/>
                <w:lang w:val="es-ES_tradnl"/>
              </w:rPr>
              <w:t>.</w:t>
            </w:r>
          </w:p>
          <w:p w14:paraId="70C395F8" w14:textId="43ACB3EE" w:rsidR="00170567" w:rsidRPr="00170567" w:rsidRDefault="00170567" w:rsidP="00170567">
            <w:pPr>
              <w:autoSpaceDE w:val="0"/>
              <w:autoSpaceDN w:val="0"/>
              <w:adjustRightInd w:val="0"/>
              <w:jc w:val="both"/>
              <w:rPr>
                <w:rFonts w:cstheme="minorHAnsi"/>
                <w:sz w:val="18"/>
                <w:szCs w:val="18"/>
                <w:lang w:val="es-ES_tradnl"/>
              </w:rPr>
            </w:pPr>
            <w:r w:rsidRPr="00170567">
              <w:rPr>
                <w:rFonts w:cstheme="minorHAnsi"/>
                <w:sz w:val="18"/>
                <w:szCs w:val="18"/>
                <w:lang w:val="es-ES_tradnl"/>
              </w:rPr>
              <w:t>13.1</w:t>
            </w:r>
            <w:r w:rsidR="007823E0">
              <w:rPr>
                <w:rFonts w:cstheme="minorHAnsi"/>
                <w:sz w:val="18"/>
                <w:szCs w:val="18"/>
                <w:lang w:val="es-ES_tradnl"/>
              </w:rPr>
              <w:t>9</w:t>
            </w:r>
            <w:r w:rsidRPr="00170567">
              <w:rPr>
                <w:rFonts w:cstheme="minorHAnsi"/>
                <w:sz w:val="18"/>
                <w:szCs w:val="18"/>
                <w:lang w:val="es-ES_tradnl"/>
              </w:rPr>
              <w:t xml:space="preserve"> Proporción de delitos </w:t>
            </w:r>
            <w:r>
              <w:rPr>
                <w:rFonts w:cstheme="minorHAnsi"/>
                <w:sz w:val="18"/>
                <w:szCs w:val="18"/>
                <w:lang w:val="es-ES_tradnl"/>
              </w:rPr>
              <w:t xml:space="preserve">cometidos </w:t>
            </w:r>
            <w:r w:rsidRPr="00170567">
              <w:rPr>
                <w:rFonts w:cstheme="minorHAnsi"/>
                <w:sz w:val="18"/>
                <w:szCs w:val="18"/>
                <w:lang w:val="es-ES_tradnl"/>
              </w:rPr>
              <w:t xml:space="preserve">contra personas con discapacidad </w:t>
            </w:r>
            <w:r>
              <w:rPr>
                <w:rFonts w:cstheme="minorHAnsi"/>
                <w:sz w:val="18"/>
                <w:szCs w:val="18"/>
                <w:lang w:val="es-ES_tradnl"/>
              </w:rPr>
              <w:t xml:space="preserve">que han sido llevados </w:t>
            </w:r>
            <w:r w:rsidRPr="00170567">
              <w:rPr>
                <w:rFonts w:cstheme="minorHAnsi"/>
                <w:sz w:val="18"/>
                <w:szCs w:val="18"/>
                <w:lang w:val="es-ES_tradnl"/>
              </w:rPr>
              <w:t>ante las autoridades judiciales</w:t>
            </w:r>
            <w:r w:rsidR="007823E0">
              <w:rPr>
                <w:rFonts w:cstheme="minorHAnsi"/>
                <w:sz w:val="18"/>
                <w:szCs w:val="18"/>
                <w:lang w:val="es-ES_tradnl"/>
              </w:rPr>
              <w:t xml:space="preserve"> </w:t>
            </w:r>
            <w:r w:rsidR="005D7C96">
              <w:rPr>
                <w:rFonts w:cstheme="minorHAnsi"/>
                <w:sz w:val="18"/>
                <w:szCs w:val="18"/>
                <w:lang w:val="es-ES_tradnl"/>
              </w:rPr>
              <w:t>sobre el total de los delitos cometidos contra dicha población</w:t>
            </w:r>
            <w:r w:rsidR="007823E0">
              <w:rPr>
                <w:rFonts w:cstheme="minorHAnsi"/>
                <w:sz w:val="18"/>
                <w:szCs w:val="18"/>
                <w:lang w:val="es-ES_tradnl"/>
              </w:rPr>
              <w:t xml:space="preserve">, </w:t>
            </w:r>
            <w:r w:rsidR="005D7C96">
              <w:rPr>
                <w:rFonts w:cstheme="minorHAnsi"/>
                <w:sz w:val="18"/>
                <w:szCs w:val="18"/>
                <w:lang w:val="es-ES_tradnl"/>
              </w:rPr>
              <w:t>desagregados</w:t>
            </w:r>
            <w:r w:rsidR="007823E0">
              <w:rPr>
                <w:rFonts w:cstheme="minorHAnsi"/>
                <w:sz w:val="18"/>
                <w:szCs w:val="18"/>
                <w:lang w:val="es-ES_tradnl"/>
              </w:rPr>
              <w:t xml:space="preserve"> por sexo, edad y discapacidad de la víctima</w:t>
            </w:r>
            <w:r w:rsidRPr="00170567">
              <w:rPr>
                <w:rFonts w:cstheme="minorHAnsi"/>
                <w:sz w:val="18"/>
                <w:szCs w:val="18"/>
                <w:lang w:val="es-ES_tradnl"/>
              </w:rPr>
              <w:t>.</w:t>
            </w:r>
          </w:p>
          <w:p w14:paraId="1A5D4574" w14:textId="6A7542DB" w:rsidR="00170567" w:rsidRPr="00170567" w:rsidRDefault="00170567" w:rsidP="00170567">
            <w:pPr>
              <w:autoSpaceDE w:val="0"/>
              <w:autoSpaceDN w:val="0"/>
              <w:adjustRightInd w:val="0"/>
              <w:jc w:val="both"/>
              <w:rPr>
                <w:rFonts w:cstheme="minorHAnsi"/>
                <w:sz w:val="18"/>
                <w:szCs w:val="18"/>
                <w:lang w:val="es-ES_tradnl"/>
              </w:rPr>
            </w:pPr>
            <w:r w:rsidRPr="00170567">
              <w:rPr>
                <w:rFonts w:cstheme="minorHAnsi"/>
                <w:sz w:val="18"/>
                <w:szCs w:val="18"/>
                <w:lang w:val="es-ES_tradnl"/>
              </w:rPr>
              <w:t>13.</w:t>
            </w:r>
            <w:r w:rsidR="007823E0">
              <w:rPr>
                <w:rFonts w:cstheme="minorHAnsi"/>
                <w:sz w:val="18"/>
                <w:szCs w:val="18"/>
                <w:lang w:val="es-ES_tradnl"/>
              </w:rPr>
              <w:t>20</w:t>
            </w:r>
            <w:r w:rsidRPr="00170567">
              <w:rPr>
                <w:rFonts w:cstheme="minorHAnsi"/>
                <w:sz w:val="18"/>
                <w:szCs w:val="18"/>
                <w:lang w:val="es-ES_tradnl"/>
              </w:rPr>
              <w:t xml:space="preserve"> Número y proporción de personas con discapacidad que acceden a servicios de apoyo a las víctimas, en comparación con otras</w:t>
            </w:r>
            <w:r w:rsidR="00F70C0B">
              <w:rPr>
                <w:rFonts w:cstheme="minorHAnsi"/>
                <w:sz w:val="18"/>
                <w:szCs w:val="18"/>
                <w:lang w:val="es-ES_tradnl"/>
              </w:rPr>
              <w:t xml:space="preserve"> personas</w:t>
            </w:r>
            <w:r w:rsidRPr="00170567">
              <w:rPr>
                <w:rFonts w:cstheme="minorHAnsi"/>
                <w:sz w:val="18"/>
                <w:szCs w:val="18"/>
                <w:lang w:val="es-ES_tradnl"/>
              </w:rPr>
              <w:t xml:space="preserve">, </w:t>
            </w:r>
            <w:r w:rsidR="005D7C96">
              <w:rPr>
                <w:rFonts w:cstheme="minorHAnsi"/>
                <w:sz w:val="18"/>
                <w:szCs w:val="18"/>
                <w:lang w:val="es-ES_tradnl"/>
              </w:rPr>
              <w:t>desagregado</w:t>
            </w:r>
            <w:r w:rsidR="005D7C96" w:rsidRPr="00170567">
              <w:rPr>
                <w:rFonts w:cstheme="minorHAnsi"/>
                <w:sz w:val="18"/>
                <w:szCs w:val="18"/>
                <w:lang w:val="es-ES_tradnl"/>
              </w:rPr>
              <w:t xml:space="preserve"> </w:t>
            </w:r>
            <w:r w:rsidRPr="00170567">
              <w:rPr>
                <w:rFonts w:cstheme="minorHAnsi"/>
                <w:sz w:val="18"/>
                <w:szCs w:val="18"/>
                <w:lang w:val="es-ES_tradnl"/>
              </w:rPr>
              <w:t>por edad, sexo, discapacidad y tipo de servicio.</w:t>
            </w:r>
          </w:p>
          <w:p w14:paraId="03D29552" w14:textId="2A7AEDB9" w:rsidR="00170567" w:rsidRDefault="00170567" w:rsidP="00170567">
            <w:pPr>
              <w:autoSpaceDE w:val="0"/>
              <w:autoSpaceDN w:val="0"/>
              <w:adjustRightInd w:val="0"/>
              <w:jc w:val="both"/>
              <w:rPr>
                <w:rFonts w:cstheme="minorHAnsi"/>
                <w:sz w:val="18"/>
                <w:szCs w:val="18"/>
                <w:lang w:val="es-ES_tradnl"/>
              </w:rPr>
            </w:pPr>
            <w:r w:rsidRPr="00170567">
              <w:rPr>
                <w:rFonts w:cstheme="minorHAnsi"/>
                <w:sz w:val="18"/>
                <w:szCs w:val="18"/>
                <w:lang w:val="es-ES_tradnl"/>
              </w:rPr>
              <w:t>13.</w:t>
            </w:r>
            <w:r w:rsidR="007823E0">
              <w:rPr>
                <w:rFonts w:cstheme="minorHAnsi"/>
                <w:sz w:val="18"/>
                <w:szCs w:val="18"/>
                <w:lang w:val="es-ES_tradnl"/>
              </w:rPr>
              <w:t>21</w:t>
            </w:r>
            <w:r w:rsidRPr="00170567">
              <w:rPr>
                <w:rFonts w:cstheme="minorHAnsi"/>
                <w:sz w:val="18"/>
                <w:szCs w:val="18"/>
                <w:lang w:val="es-ES_tradnl"/>
              </w:rPr>
              <w:t xml:space="preserve"> Detenidos no sentenciados como proporción de la población carcelaria general (indicador 16.3.2</w:t>
            </w:r>
            <w:r w:rsidR="00F70C0B">
              <w:rPr>
                <w:rFonts w:cstheme="minorHAnsi"/>
                <w:sz w:val="18"/>
                <w:szCs w:val="18"/>
                <w:lang w:val="es-ES_tradnl"/>
              </w:rPr>
              <w:t xml:space="preserve"> de los ODS</w:t>
            </w:r>
            <w:r w:rsidRPr="00170567">
              <w:rPr>
                <w:rFonts w:cstheme="minorHAnsi"/>
                <w:sz w:val="18"/>
                <w:szCs w:val="18"/>
                <w:lang w:val="es-ES_tradnl"/>
              </w:rPr>
              <w:t xml:space="preserve">), </w:t>
            </w:r>
            <w:r w:rsidR="005D7C96">
              <w:rPr>
                <w:rFonts w:cstheme="minorHAnsi"/>
                <w:sz w:val="18"/>
                <w:szCs w:val="18"/>
                <w:lang w:val="es-ES_tradnl"/>
              </w:rPr>
              <w:t>desagregados</w:t>
            </w:r>
            <w:r w:rsidR="005D7C96" w:rsidRPr="00170567">
              <w:rPr>
                <w:rFonts w:cstheme="minorHAnsi"/>
                <w:sz w:val="18"/>
                <w:szCs w:val="18"/>
                <w:lang w:val="es-ES_tradnl"/>
              </w:rPr>
              <w:t xml:space="preserve"> </w:t>
            </w:r>
            <w:r w:rsidRPr="00170567">
              <w:rPr>
                <w:rFonts w:cstheme="minorHAnsi"/>
                <w:sz w:val="18"/>
                <w:szCs w:val="18"/>
                <w:lang w:val="es-ES_tradnl"/>
              </w:rPr>
              <w:t>por edad, sexo y discapacidad.</w:t>
            </w:r>
          </w:p>
          <w:p w14:paraId="67664DB9" w14:textId="6DBF4981" w:rsidR="001515E5" w:rsidRPr="00170567" w:rsidRDefault="001515E5" w:rsidP="00170567">
            <w:pPr>
              <w:autoSpaceDE w:val="0"/>
              <w:autoSpaceDN w:val="0"/>
              <w:adjustRightInd w:val="0"/>
              <w:jc w:val="both"/>
              <w:rPr>
                <w:rFonts w:cstheme="minorHAnsi"/>
                <w:sz w:val="18"/>
                <w:szCs w:val="18"/>
                <w:lang w:val="es-ES_tradnl"/>
              </w:rPr>
            </w:pPr>
          </w:p>
        </w:tc>
        <w:tc>
          <w:tcPr>
            <w:tcW w:w="5954" w:type="dxa"/>
          </w:tcPr>
          <w:p w14:paraId="4989D239" w14:textId="07969ECF" w:rsidR="00170567" w:rsidRPr="00170567" w:rsidRDefault="00170567" w:rsidP="00170567">
            <w:pPr>
              <w:jc w:val="both"/>
              <w:rPr>
                <w:rFonts w:cstheme="minorHAnsi"/>
                <w:sz w:val="18"/>
                <w:szCs w:val="18"/>
                <w:lang w:val="es-ES_tradnl"/>
              </w:rPr>
            </w:pPr>
            <w:r w:rsidRPr="00170567">
              <w:rPr>
                <w:rFonts w:cstheme="minorHAnsi"/>
                <w:sz w:val="18"/>
                <w:szCs w:val="18"/>
                <w:lang w:val="es-ES_tradnl"/>
              </w:rPr>
              <w:t>13.</w:t>
            </w:r>
            <w:r w:rsidR="007823E0">
              <w:rPr>
                <w:rFonts w:cstheme="minorHAnsi"/>
                <w:sz w:val="18"/>
                <w:szCs w:val="18"/>
                <w:lang w:val="es-ES_tradnl"/>
              </w:rPr>
              <w:t>22</w:t>
            </w:r>
            <w:r w:rsidRPr="00170567">
              <w:rPr>
                <w:rFonts w:cstheme="minorHAnsi"/>
                <w:sz w:val="18"/>
                <w:szCs w:val="18"/>
                <w:lang w:val="es-ES_tradnl"/>
              </w:rPr>
              <w:t xml:space="preserve"> Número y proporción de personas con discapacidad que ocupan cargos como jueces, fiscales, etc., dentro del sistema </w:t>
            </w:r>
            <w:r>
              <w:rPr>
                <w:rFonts w:cstheme="minorHAnsi"/>
                <w:sz w:val="18"/>
                <w:szCs w:val="18"/>
                <w:lang w:val="es-ES_tradnl"/>
              </w:rPr>
              <w:t>judicial</w:t>
            </w:r>
            <w:r w:rsidRPr="00170567">
              <w:rPr>
                <w:rFonts w:cstheme="minorHAnsi"/>
                <w:sz w:val="18"/>
                <w:szCs w:val="18"/>
                <w:lang w:val="es-ES_tradnl"/>
              </w:rPr>
              <w:t xml:space="preserve"> e instituciones relacionadas, </w:t>
            </w:r>
            <w:r w:rsidR="005D7C96">
              <w:rPr>
                <w:rFonts w:cstheme="minorHAnsi"/>
                <w:sz w:val="18"/>
                <w:szCs w:val="18"/>
                <w:lang w:val="es-ES_tradnl"/>
              </w:rPr>
              <w:t xml:space="preserve">desagregados </w:t>
            </w:r>
            <w:r w:rsidRPr="00170567">
              <w:rPr>
                <w:rFonts w:cstheme="minorHAnsi"/>
                <w:sz w:val="18"/>
                <w:szCs w:val="18"/>
                <w:lang w:val="es-ES_tradnl"/>
              </w:rPr>
              <w:t>por edad, sexo, discapacidad, cargo y sector de</w:t>
            </w:r>
            <w:r w:rsidR="00F70C0B">
              <w:rPr>
                <w:rFonts w:cstheme="minorHAnsi"/>
                <w:sz w:val="18"/>
                <w:szCs w:val="18"/>
                <w:lang w:val="es-ES_tradnl"/>
              </w:rPr>
              <w:t xml:space="preserve"> la judicatura</w:t>
            </w:r>
            <w:r>
              <w:rPr>
                <w:rFonts w:cstheme="minorHAnsi"/>
                <w:sz w:val="18"/>
                <w:szCs w:val="18"/>
                <w:lang w:val="es-ES_tradnl"/>
              </w:rPr>
              <w:t>/</w:t>
            </w:r>
            <w:r w:rsidR="005D7C96">
              <w:rPr>
                <w:rFonts w:cstheme="minorHAnsi"/>
                <w:sz w:val="18"/>
                <w:szCs w:val="18"/>
                <w:lang w:val="es-ES_tradnl"/>
              </w:rPr>
              <w:t>sistema judicial</w:t>
            </w:r>
            <w:r w:rsidRPr="00170567">
              <w:rPr>
                <w:rFonts w:cstheme="minorHAnsi"/>
                <w:sz w:val="18"/>
                <w:szCs w:val="18"/>
                <w:lang w:val="es-ES_tradnl"/>
              </w:rPr>
              <w:t>.</w:t>
            </w:r>
          </w:p>
          <w:p w14:paraId="1E13666A" w14:textId="5EA1CD25" w:rsidR="00170567" w:rsidRDefault="00170567" w:rsidP="00170567">
            <w:pPr>
              <w:jc w:val="both"/>
              <w:rPr>
                <w:rFonts w:cstheme="minorHAnsi"/>
                <w:sz w:val="18"/>
                <w:szCs w:val="18"/>
                <w:lang w:val="es-ES_tradnl"/>
              </w:rPr>
            </w:pPr>
            <w:r w:rsidRPr="00170567">
              <w:rPr>
                <w:rFonts w:cstheme="minorHAnsi"/>
                <w:sz w:val="18"/>
                <w:szCs w:val="18"/>
                <w:lang w:val="es-ES_tradnl"/>
              </w:rPr>
              <w:t>13.</w:t>
            </w:r>
            <w:r w:rsidR="007823E0">
              <w:rPr>
                <w:rFonts w:cstheme="minorHAnsi"/>
                <w:sz w:val="18"/>
                <w:szCs w:val="18"/>
                <w:lang w:val="es-ES_tradnl"/>
              </w:rPr>
              <w:t>23</w:t>
            </w:r>
            <w:r w:rsidRPr="00170567">
              <w:rPr>
                <w:rFonts w:cstheme="minorHAnsi"/>
                <w:sz w:val="18"/>
                <w:szCs w:val="18"/>
                <w:lang w:val="es-ES_tradnl"/>
              </w:rPr>
              <w:t xml:space="preserve"> Número y proporción de personas con discapacidad que participan en procedimientos legales dentro del sistema </w:t>
            </w:r>
            <w:r>
              <w:rPr>
                <w:rFonts w:cstheme="minorHAnsi"/>
                <w:sz w:val="18"/>
                <w:szCs w:val="18"/>
                <w:lang w:val="es-ES_tradnl"/>
              </w:rPr>
              <w:t>judicial</w:t>
            </w:r>
            <w:r w:rsidRPr="00170567">
              <w:rPr>
                <w:rFonts w:cstheme="minorHAnsi"/>
                <w:sz w:val="18"/>
                <w:szCs w:val="18"/>
                <w:lang w:val="es-ES_tradnl"/>
              </w:rPr>
              <w:t xml:space="preserve"> </w:t>
            </w:r>
            <w:r w:rsidR="005D7C96">
              <w:rPr>
                <w:rFonts w:cstheme="minorHAnsi"/>
                <w:sz w:val="18"/>
                <w:szCs w:val="18"/>
                <w:lang w:val="es-ES_tradnl"/>
              </w:rPr>
              <w:t>y en</w:t>
            </w:r>
            <w:r w:rsidR="005D7C96" w:rsidRPr="00170567">
              <w:rPr>
                <w:rFonts w:cstheme="minorHAnsi"/>
                <w:sz w:val="18"/>
                <w:szCs w:val="18"/>
                <w:lang w:val="es-ES_tradnl"/>
              </w:rPr>
              <w:t xml:space="preserve"> </w:t>
            </w:r>
            <w:r w:rsidRPr="00170567">
              <w:rPr>
                <w:rFonts w:cstheme="minorHAnsi"/>
                <w:sz w:val="18"/>
                <w:szCs w:val="18"/>
                <w:lang w:val="es-ES_tradnl"/>
              </w:rPr>
              <w:t xml:space="preserve">instituciones relacionadas como participantes indirectos (testigos, peritos, jurados, etc.) </w:t>
            </w:r>
            <w:r w:rsidR="005D7C96">
              <w:rPr>
                <w:rFonts w:cstheme="minorHAnsi"/>
                <w:sz w:val="18"/>
                <w:szCs w:val="18"/>
                <w:lang w:val="es-ES_tradnl"/>
              </w:rPr>
              <w:t>desagregados</w:t>
            </w:r>
            <w:r w:rsidR="005D7C96" w:rsidRPr="00170567">
              <w:rPr>
                <w:rFonts w:cstheme="minorHAnsi"/>
                <w:sz w:val="18"/>
                <w:szCs w:val="18"/>
                <w:lang w:val="es-ES_tradnl"/>
              </w:rPr>
              <w:t xml:space="preserve"> </w:t>
            </w:r>
            <w:r w:rsidRPr="00170567">
              <w:rPr>
                <w:rFonts w:cstheme="minorHAnsi"/>
                <w:sz w:val="18"/>
                <w:szCs w:val="18"/>
                <w:lang w:val="es-ES_tradnl"/>
              </w:rPr>
              <w:t xml:space="preserve">por </w:t>
            </w:r>
            <w:r w:rsidRPr="00E675E6">
              <w:rPr>
                <w:rFonts w:cstheme="minorHAnsi"/>
                <w:sz w:val="18"/>
                <w:szCs w:val="18"/>
                <w:lang w:val="es-ES_tradnl"/>
              </w:rPr>
              <w:t xml:space="preserve">edad, sexo, discapacidad, tipo de rol y sector </w:t>
            </w:r>
            <w:r w:rsidR="00F70C0B">
              <w:rPr>
                <w:rFonts w:cstheme="minorHAnsi"/>
                <w:sz w:val="18"/>
                <w:szCs w:val="18"/>
                <w:lang w:val="es-ES_tradnl"/>
              </w:rPr>
              <w:t>de la judicatura</w:t>
            </w:r>
            <w:r w:rsidR="001A5D64">
              <w:rPr>
                <w:rFonts w:cstheme="minorHAnsi"/>
                <w:sz w:val="18"/>
                <w:szCs w:val="18"/>
                <w:lang w:val="es-ES_tradnl"/>
              </w:rPr>
              <w:t>/sistema de justicia</w:t>
            </w:r>
            <w:r w:rsidRPr="00E675E6">
              <w:rPr>
                <w:rFonts w:cstheme="minorHAnsi"/>
                <w:sz w:val="18"/>
                <w:szCs w:val="18"/>
                <w:lang w:val="es-ES_tradnl"/>
              </w:rPr>
              <w:t>.</w:t>
            </w:r>
          </w:p>
          <w:p w14:paraId="2A9259F6" w14:textId="1577DCBF" w:rsidR="00170567" w:rsidRPr="00170567" w:rsidRDefault="00170567" w:rsidP="00170567">
            <w:pPr>
              <w:rPr>
                <w:rFonts w:cstheme="minorHAnsi"/>
                <w:sz w:val="18"/>
                <w:szCs w:val="18"/>
                <w:lang w:val="es-ES_tradnl"/>
              </w:rPr>
            </w:pPr>
          </w:p>
        </w:tc>
      </w:tr>
    </w:tbl>
    <w:p w14:paraId="621F95D5" w14:textId="77777777" w:rsidR="00151F7E" w:rsidRPr="00170567" w:rsidRDefault="00151F7E">
      <w:pPr>
        <w:rPr>
          <w:rFonts w:cstheme="minorHAnsi"/>
          <w:b/>
          <w:sz w:val="22"/>
          <w:szCs w:val="22"/>
          <w:lang w:val="es-ES_tradnl"/>
        </w:rPr>
      </w:pPr>
      <w:r w:rsidRPr="00170567">
        <w:rPr>
          <w:rFonts w:cstheme="minorHAnsi"/>
          <w:b/>
          <w:sz w:val="22"/>
          <w:szCs w:val="22"/>
          <w:lang w:val="es-ES_tradnl"/>
        </w:rPr>
        <w:br w:type="page"/>
      </w:r>
    </w:p>
    <w:p w14:paraId="607D1763" w14:textId="77777777" w:rsidR="00AA3E6F" w:rsidRPr="00170567" w:rsidRDefault="00AA3E6F" w:rsidP="00151F7E">
      <w:pPr>
        <w:spacing w:before="60"/>
        <w:jc w:val="center"/>
        <w:rPr>
          <w:rFonts w:cstheme="minorHAnsi"/>
          <w:b/>
          <w:sz w:val="22"/>
          <w:szCs w:val="22"/>
          <w:lang w:val="es-ES_tradnl"/>
        </w:rPr>
      </w:pPr>
    </w:p>
    <w:p w14:paraId="0514151F" w14:textId="16BB6C33" w:rsidR="007A4591" w:rsidRPr="00170567" w:rsidRDefault="0065051C" w:rsidP="00364DDC">
      <w:pPr>
        <w:spacing w:before="60"/>
        <w:jc w:val="center"/>
        <w:rPr>
          <w:rFonts w:cstheme="minorHAnsi"/>
          <w:b/>
          <w:sz w:val="20"/>
          <w:szCs w:val="20"/>
          <w:lang w:val="es-ES_tradnl"/>
        </w:rPr>
      </w:pPr>
      <w:r w:rsidRPr="00170567">
        <w:rPr>
          <w:rFonts w:cstheme="minorHAnsi"/>
          <w:b/>
          <w:sz w:val="22"/>
          <w:szCs w:val="22"/>
          <w:lang w:val="es-ES_tradnl"/>
        </w:rPr>
        <w:t>ANEX</w:t>
      </w:r>
      <w:bookmarkEnd w:id="0"/>
      <w:r w:rsidR="00170567">
        <w:rPr>
          <w:rFonts w:cstheme="minorHAnsi"/>
          <w:b/>
          <w:sz w:val="22"/>
          <w:szCs w:val="22"/>
          <w:lang w:val="es-ES_tradnl"/>
        </w:rPr>
        <w:t>O</w:t>
      </w:r>
    </w:p>
    <w:sectPr w:rsidR="007A4591" w:rsidRPr="00170567"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87068" w14:textId="77777777" w:rsidR="00DD5530" w:rsidRDefault="00DD5530" w:rsidP="00CA591E"/>
  </w:endnote>
  <w:endnote w:type="continuationSeparator" w:id="0">
    <w:p w14:paraId="5FC4A409" w14:textId="77777777" w:rsidR="00DD5530" w:rsidRDefault="00DD5530" w:rsidP="00CA591E">
      <w:r>
        <w:continuationSeparator/>
      </w:r>
    </w:p>
  </w:endnote>
  <w:endnote w:id="1">
    <w:p w14:paraId="0DA92FEE" w14:textId="783EC86E" w:rsidR="007B2E2C" w:rsidRPr="00A60A57" w:rsidRDefault="007B2E2C" w:rsidP="00C0160F">
      <w:pPr>
        <w:pStyle w:val="Notedefin"/>
        <w:jc w:val="both"/>
        <w:rPr>
          <w:lang w:val="es-ES"/>
        </w:rPr>
      </w:pPr>
      <w:r w:rsidRPr="00A60A57">
        <w:rPr>
          <w:lang w:val="es-ES"/>
        </w:rPr>
        <w:t>*</w:t>
      </w:r>
      <w:r w:rsidRPr="00A60A57">
        <w:rPr>
          <w:sz w:val="18"/>
          <w:szCs w:val="18"/>
          <w:lang w:val="es-ES"/>
        </w:rPr>
        <w:t xml:space="preserve"> Para obtener más información, consulte los </w:t>
      </w:r>
      <w:r w:rsidR="00DD5530">
        <w:fldChar w:fldCharType="begin"/>
      </w:r>
      <w:r w:rsidR="00DD5530" w:rsidRPr="00B6747C">
        <w:rPr>
          <w:lang w:val="es-ES"/>
        </w:rPr>
        <w:instrText xml:space="preserve"> HYPERLINK "https://www.ohchr.org/EN/Issues/Disability/SRDisabilities/Pages/GoodPracticesEffectiveAccessJusticePersonsDisabilities.aspx" </w:instrText>
      </w:r>
      <w:r w:rsidR="00DD5530">
        <w:fldChar w:fldCharType="separate"/>
      </w:r>
      <w:r w:rsidRPr="00A60A57">
        <w:rPr>
          <w:rStyle w:val="Lienhypertexte"/>
          <w:sz w:val="18"/>
          <w:szCs w:val="18"/>
          <w:lang w:val="es-ES"/>
        </w:rPr>
        <w:t>Principios y directrices internacionales sobre el acceso a la justicia para las personas con discapacidad</w:t>
      </w:r>
      <w:r w:rsidR="00DD5530">
        <w:rPr>
          <w:rStyle w:val="Lienhypertexte"/>
          <w:sz w:val="18"/>
          <w:szCs w:val="18"/>
          <w:lang w:val="es-ES"/>
        </w:rPr>
        <w:fldChar w:fldCharType="end"/>
      </w:r>
      <w:r w:rsidRPr="00A60A57">
        <w:rPr>
          <w:sz w:val="18"/>
          <w:szCs w:val="18"/>
          <w:lang w:val="es-ES"/>
        </w:rPr>
        <w:t xml:space="preserve">, desarrollados por una iniciativa liderada por el Relatora Especial sobre los derechos </w:t>
      </w:r>
      <w:r w:rsidR="00D614D5">
        <w:rPr>
          <w:sz w:val="18"/>
          <w:szCs w:val="18"/>
          <w:lang w:val="es-ES"/>
        </w:rPr>
        <w:t>para</w:t>
      </w:r>
      <w:r w:rsidRPr="00A60A57">
        <w:rPr>
          <w:sz w:val="18"/>
          <w:szCs w:val="18"/>
          <w:lang w:val="es-ES"/>
        </w:rPr>
        <w:t xml:space="preserve"> personas con discapacidad.</w:t>
      </w:r>
    </w:p>
    <w:p w14:paraId="08147B5B" w14:textId="159B9B80" w:rsidR="00FE1A98" w:rsidRPr="00C0160F" w:rsidRDefault="00FE1A98" w:rsidP="00C0160F">
      <w:pPr>
        <w:pStyle w:val="Notedefin"/>
        <w:jc w:val="both"/>
        <w:rPr>
          <w:sz w:val="18"/>
          <w:szCs w:val="18"/>
          <w:lang w:val="es-ES_tradnl"/>
        </w:rPr>
      </w:pPr>
      <w:r>
        <w:rPr>
          <w:rStyle w:val="Appeldenotedefin"/>
        </w:rPr>
        <w:endnoteRef/>
      </w:r>
      <w:r>
        <w:t xml:space="preserve"> </w:t>
      </w:r>
      <w:r w:rsidRPr="00C0160F">
        <w:rPr>
          <w:sz w:val="18"/>
          <w:szCs w:val="18"/>
          <w:lang w:val="es-ES_tradnl"/>
        </w:rPr>
        <w:t>Dicha legislación debe incluir:</w:t>
      </w:r>
    </w:p>
    <w:p w14:paraId="14CCF401" w14:textId="6483C881" w:rsidR="00FE1A98" w:rsidRPr="00C0160F" w:rsidRDefault="00FE1A98" w:rsidP="00C0160F">
      <w:pPr>
        <w:pStyle w:val="Notedefin"/>
        <w:numPr>
          <w:ilvl w:val="0"/>
          <w:numId w:val="17"/>
        </w:numPr>
        <w:jc w:val="both"/>
        <w:rPr>
          <w:sz w:val="18"/>
          <w:szCs w:val="18"/>
          <w:lang w:val="es-ES_tradnl"/>
        </w:rPr>
      </w:pPr>
      <w:r w:rsidRPr="00C0160F">
        <w:rPr>
          <w:sz w:val="18"/>
          <w:szCs w:val="18"/>
          <w:lang w:val="es-ES_tradnl"/>
        </w:rPr>
        <w:t xml:space="preserve">La provisión de </w:t>
      </w:r>
      <w:r w:rsidR="00F70C0B" w:rsidRPr="00C0160F">
        <w:rPr>
          <w:sz w:val="18"/>
          <w:szCs w:val="18"/>
          <w:lang w:val="es-ES_tradnl"/>
        </w:rPr>
        <w:t>ajustes</w:t>
      </w:r>
      <w:r w:rsidRPr="00C0160F">
        <w:rPr>
          <w:sz w:val="18"/>
          <w:szCs w:val="18"/>
          <w:lang w:val="es-ES_tradnl"/>
        </w:rPr>
        <w:t xml:space="preserve"> </w:t>
      </w:r>
      <w:r w:rsidR="00E5305F" w:rsidRPr="00C0160F">
        <w:rPr>
          <w:sz w:val="18"/>
          <w:szCs w:val="18"/>
          <w:lang w:val="es-ES_tradnl"/>
        </w:rPr>
        <w:t xml:space="preserve">de procedimiento </w:t>
      </w:r>
      <w:r w:rsidR="00F70C0B" w:rsidRPr="00C0160F">
        <w:rPr>
          <w:sz w:val="18"/>
          <w:szCs w:val="18"/>
          <w:lang w:val="es-ES_tradnl"/>
        </w:rPr>
        <w:t xml:space="preserve">apropiados </w:t>
      </w:r>
      <w:r w:rsidR="00E5305F" w:rsidRPr="00C0160F">
        <w:rPr>
          <w:sz w:val="18"/>
          <w:szCs w:val="18"/>
          <w:lang w:val="es-ES_tradnl"/>
        </w:rPr>
        <w:t xml:space="preserve">según </w:t>
      </w:r>
      <w:r w:rsidR="00F70C0B" w:rsidRPr="00C0160F">
        <w:rPr>
          <w:sz w:val="18"/>
          <w:szCs w:val="18"/>
          <w:lang w:val="es-ES_tradnl"/>
        </w:rPr>
        <w:t xml:space="preserve">el </w:t>
      </w:r>
      <w:r w:rsidRPr="00C0160F">
        <w:rPr>
          <w:sz w:val="18"/>
          <w:szCs w:val="18"/>
          <w:lang w:val="es-ES_tradnl"/>
        </w:rPr>
        <w:t xml:space="preserve">género y </w:t>
      </w:r>
      <w:r w:rsidR="00F70C0B" w:rsidRPr="00C0160F">
        <w:rPr>
          <w:sz w:val="18"/>
          <w:szCs w:val="18"/>
          <w:lang w:val="es-ES_tradnl"/>
        </w:rPr>
        <w:t xml:space="preserve">la </w:t>
      </w:r>
      <w:r w:rsidRPr="00C0160F">
        <w:rPr>
          <w:sz w:val="18"/>
          <w:szCs w:val="18"/>
          <w:lang w:val="es-ES_tradnl"/>
        </w:rPr>
        <w:t>edad</w:t>
      </w:r>
      <w:r w:rsidR="00F70C0B" w:rsidRPr="00C0160F">
        <w:rPr>
          <w:sz w:val="18"/>
          <w:szCs w:val="18"/>
          <w:lang w:val="es-ES_tradnl"/>
        </w:rPr>
        <w:t>,</w:t>
      </w:r>
      <w:r w:rsidRPr="00C0160F">
        <w:rPr>
          <w:sz w:val="18"/>
          <w:szCs w:val="18"/>
          <w:lang w:val="es-ES_tradnl"/>
        </w:rPr>
        <w:t xml:space="preserve"> para las personas con discapacidad en todos los procedimientos legales </w:t>
      </w:r>
      <w:r w:rsidR="005D7C96">
        <w:rPr>
          <w:sz w:val="18"/>
          <w:szCs w:val="18"/>
          <w:lang w:val="es-ES_tradnl"/>
        </w:rPr>
        <w:t>que</w:t>
      </w:r>
      <w:r w:rsidR="005D7C96" w:rsidRPr="00C0160F">
        <w:rPr>
          <w:sz w:val="18"/>
          <w:szCs w:val="18"/>
          <w:lang w:val="es-ES_tradnl"/>
        </w:rPr>
        <w:t xml:space="preserve"> </w:t>
      </w:r>
      <w:r w:rsidRPr="00C0160F">
        <w:rPr>
          <w:sz w:val="18"/>
          <w:szCs w:val="18"/>
          <w:lang w:val="es-ES_tradnl"/>
        </w:rPr>
        <w:t>garanti</w:t>
      </w:r>
      <w:r w:rsidR="005D7C96">
        <w:rPr>
          <w:sz w:val="18"/>
          <w:szCs w:val="18"/>
          <w:lang w:val="es-ES_tradnl"/>
        </w:rPr>
        <w:t>cen</w:t>
      </w:r>
      <w:r w:rsidRPr="00C0160F">
        <w:rPr>
          <w:sz w:val="18"/>
          <w:szCs w:val="18"/>
          <w:lang w:val="es-ES_tradnl"/>
        </w:rPr>
        <w:t xml:space="preserve"> </w:t>
      </w:r>
      <w:r w:rsidR="005D7C96">
        <w:rPr>
          <w:sz w:val="18"/>
          <w:szCs w:val="18"/>
          <w:lang w:val="es-ES_tradnl"/>
        </w:rPr>
        <w:t>el</w:t>
      </w:r>
      <w:r w:rsidR="005D7C96" w:rsidRPr="00C0160F">
        <w:rPr>
          <w:sz w:val="18"/>
          <w:szCs w:val="18"/>
          <w:lang w:val="es-ES_tradnl"/>
        </w:rPr>
        <w:t xml:space="preserve"> </w:t>
      </w:r>
      <w:r w:rsidRPr="00C0160F">
        <w:rPr>
          <w:sz w:val="18"/>
          <w:szCs w:val="18"/>
          <w:lang w:val="es-ES_tradnl"/>
        </w:rPr>
        <w:t>acceso a la justicia en igualdad de condiciones.</w:t>
      </w:r>
    </w:p>
    <w:p w14:paraId="15B988B5" w14:textId="2EAFED55" w:rsidR="00FE1A98" w:rsidRPr="00C0160F" w:rsidRDefault="00FE1A98" w:rsidP="00C0160F">
      <w:pPr>
        <w:pStyle w:val="Notedefin"/>
        <w:numPr>
          <w:ilvl w:val="0"/>
          <w:numId w:val="17"/>
        </w:numPr>
        <w:jc w:val="both"/>
        <w:rPr>
          <w:sz w:val="18"/>
          <w:szCs w:val="18"/>
          <w:lang w:val="es-ES_tradnl"/>
        </w:rPr>
      </w:pPr>
      <w:r w:rsidRPr="00C0160F">
        <w:rPr>
          <w:sz w:val="18"/>
          <w:szCs w:val="18"/>
          <w:lang w:val="es-ES_tradnl"/>
        </w:rPr>
        <w:t xml:space="preserve">Disposiciones </w:t>
      </w:r>
      <w:r w:rsidR="005D7C96">
        <w:rPr>
          <w:sz w:val="18"/>
          <w:szCs w:val="18"/>
          <w:lang w:val="es-ES_tradnl"/>
        </w:rPr>
        <w:t>que garanticen</w:t>
      </w:r>
      <w:r w:rsidRPr="00C0160F">
        <w:rPr>
          <w:sz w:val="18"/>
          <w:szCs w:val="18"/>
          <w:lang w:val="es-ES_tradnl"/>
        </w:rPr>
        <w:t xml:space="preserve"> que las personas con discapacidad ejerzan su derecho a la capacidad jurídica, incluso a través de la toma de decisiones con apoyo (artículo 12 de la CDPD).</w:t>
      </w:r>
    </w:p>
    <w:p w14:paraId="09BE4007" w14:textId="5F831516" w:rsidR="00FE1A98" w:rsidRPr="00C0160F" w:rsidRDefault="00F70C0B" w:rsidP="00C0160F">
      <w:pPr>
        <w:pStyle w:val="Notedefin"/>
        <w:numPr>
          <w:ilvl w:val="0"/>
          <w:numId w:val="17"/>
        </w:numPr>
        <w:jc w:val="both"/>
        <w:rPr>
          <w:sz w:val="18"/>
          <w:szCs w:val="18"/>
          <w:lang w:val="es-ES_tradnl"/>
        </w:rPr>
      </w:pPr>
      <w:r w:rsidRPr="00C0160F">
        <w:rPr>
          <w:sz w:val="18"/>
          <w:szCs w:val="18"/>
          <w:lang w:val="es-ES_tradnl"/>
        </w:rPr>
        <w:t>De conformidad con el Artículo 5 (indicadores 5.1 y 5.6)</w:t>
      </w:r>
      <w:r w:rsidR="00F112D5">
        <w:rPr>
          <w:sz w:val="18"/>
          <w:szCs w:val="18"/>
          <w:lang w:val="es-ES_tradnl"/>
        </w:rPr>
        <w:t xml:space="preserve"> de la CDPD</w:t>
      </w:r>
      <w:r w:rsidRPr="00C0160F">
        <w:rPr>
          <w:sz w:val="18"/>
          <w:szCs w:val="18"/>
          <w:lang w:val="es-ES_tradnl"/>
        </w:rPr>
        <w:t>, d</w:t>
      </w:r>
      <w:r w:rsidR="00FE1A98" w:rsidRPr="00C0160F">
        <w:rPr>
          <w:sz w:val="18"/>
          <w:szCs w:val="18"/>
          <w:lang w:val="es-ES_tradnl"/>
        </w:rPr>
        <w:t xml:space="preserve">isposiciones que </w:t>
      </w:r>
      <w:r w:rsidR="005D7C96">
        <w:rPr>
          <w:sz w:val="18"/>
          <w:szCs w:val="18"/>
          <w:lang w:val="es-ES_tradnl"/>
        </w:rPr>
        <w:t>permitan</w:t>
      </w:r>
      <w:r w:rsidR="005D7C96" w:rsidRPr="00C0160F">
        <w:rPr>
          <w:sz w:val="18"/>
          <w:szCs w:val="18"/>
          <w:lang w:val="es-ES_tradnl"/>
        </w:rPr>
        <w:t xml:space="preserve"> </w:t>
      </w:r>
      <w:r w:rsidR="00FE1A98" w:rsidRPr="00C0160F">
        <w:rPr>
          <w:sz w:val="18"/>
          <w:szCs w:val="18"/>
          <w:lang w:val="es-ES_tradnl"/>
        </w:rPr>
        <w:t xml:space="preserve">presentar reclamaciones </w:t>
      </w:r>
      <w:r w:rsidR="004E58B0">
        <w:rPr>
          <w:sz w:val="18"/>
          <w:szCs w:val="18"/>
          <w:lang w:val="es-ES_tradnl"/>
        </w:rPr>
        <w:t>sobre</w:t>
      </w:r>
      <w:r w:rsidR="00FE1A98" w:rsidRPr="00C0160F">
        <w:rPr>
          <w:sz w:val="18"/>
          <w:szCs w:val="18"/>
          <w:lang w:val="es-ES_tradnl"/>
        </w:rPr>
        <w:t xml:space="preserve"> discriminación múltiple e </w:t>
      </w:r>
      <w:proofErr w:type="spellStart"/>
      <w:r w:rsidR="00FE1A98" w:rsidRPr="00C0160F">
        <w:rPr>
          <w:sz w:val="18"/>
          <w:szCs w:val="18"/>
          <w:lang w:val="es-ES_tradnl"/>
        </w:rPr>
        <w:t>interseccional</w:t>
      </w:r>
      <w:proofErr w:type="spellEnd"/>
      <w:r w:rsidR="00FE1A98" w:rsidRPr="00C0160F">
        <w:rPr>
          <w:sz w:val="18"/>
          <w:szCs w:val="18"/>
          <w:lang w:val="es-ES_tradnl"/>
        </w:rPr>
        <w:t xml:space="preserve"> por diversos motivos</w:t>
      </w:r>
      <w:r w:rsidRPr="00C0160F">
        <w:rPr>
          <w:sz w:val="18"/>
          <w:szCs w:val="18"/>
          <w:lang w:val="es-ES_tradnl"/>
        </w:rPr>
        <w:t xml:space="preserve">, </w:t>
      </w:r>
      <w:r w:rsidR="004E58B0">
        <w:rPr>
          <w:sz w:val="18"/>
          <w:szCs w:val="18"/>
          <w:lang w:val="es-ES_tradnl"/>
        </w:rPr>
        <w:t xml:space="preserve">así como disposiciones </w:t>
      </w:r>
      <w:r w:rsidRPr="00C0160F">
        <w:rPr>
          <w:sz w:val="18"/>
          <w:szCs w:val="18"/>
          <w:lang w:val="es-ES_tradnl"/>
        </w:rPr>
        <w:t>que refuercen el acceso a la justicia de las personas con discapacidad con mayor riesgo de marginación, como mujeres, niños con discapacidad y personas indígenas con discapacidad.</w:t>
      </w:r>
      <w:r w:rsidR="00FE1A98" w:rsidRPr="00C0160F">
        <w:rPr>
          <w:sz w:val="18"/>
          <w:szCs w:val="18"/>
          <w:lang w:val="es-ES_tradnl"/>
        </w:rPr>
        <w:t xml:space="preserve"> </w:t>
      </w:r>
    </w:p>
    <w:p w14:paraId="129CEAF5" w14:textId="42CCD764" w:rsidR="00FE1A98" w:rsidRPr="00C0160F" w:rsidRDefault="00FE1A98" w:rsidP="00C0160F">
      <w:pPr>
        <w:pStyle w:val="Notedefin"/>
        <w:numPr>
          <w:ilvl w:val="0"/>
          <w:numId w:val="17"/>
        </w:numPr>
        <w:jc w:val="both"/>
        <w:rPr>
          <w:sz w:val="18"/>
          <w:szCs w:val="18"/>
          <w:lang w:val="es-ES_tradnl"/>
        </w:rPr>
      </w:pPr>
      <w:r w:rsidRPr="00C0160F">
        <w:rPr>
          <w:sz w:val="18"/>
          <w:szCs w:val="18"/>
          <w:lang w:val="es-ES_tradnl"/>
        </w:rPr>
        <w:t xml:space="preserve">Disposiciones para garantizar </w:t>
      </w:r>
      <w:r w:rsidR="004E58B0">
        <w:rPr>
          <w:sz w:val="18"/>
          <w:szCs w:val="18"/>
          <w:lang w:val="es-ES_tradnl"/>
        </w:rPr>
        <w:t>recursos</w:t>
      </w:r>
      <w:r w:rsidR="004E58B0" w:rsidRPr="00C0160F">
        <w:rPr>
          <w:sz w:val="18"/>
          <w:szCs w:val="18"/>
          <w:lang w:val="es-ES_tradnl"/>
        </w:rPr>
        <w:t xml:space="preserve"> </w:t>
      </w:r>
      <w:r w:rsidRPr="00C0160F">
        <w:rPr>
          <w:sz w:val="18"/>
          <w:szCs w:val="18"/>
          <w:lang w:val="es-ES_tradnl"/>
        </w:rPr>
        <w:t>y sanciones adecuados, proporcionados y efectivos.</w:t>
      </w:r>
    </w:p>
    <w:p w14:paraId="7A8F975F" w14:textId="037C4225" w:rsidR="00FE1A98" w:rsidRPr="00C0160F" w:rsidRDefault="00FE1A98" w:rsidP="00C0160F">
      <w:pPr>
        <w:pStyle w:val="Notedefin"/>
        <w:numPr>
          <w:ilvl w:val="0"/>
          <w:numId w:val="17"/>
        </w:numPr>
        <w:jc w:val="both"/>
        <w:rPr>
          <w:sz w:val="18"/>
          <w:szCs w:val="18"/>
          <w:lang w:val="es-ES_tradnl"/>
        </w:rPr>
      </w:pPr>
      <w:r w:rsidRPr="00C0160F">
        <w:rPr>
          <w:sz w:val="18"/>
          <w:szCs w:val="18"/>
          <w:lang w:val="es-ES_tradnl"/>
        </w:rPr>
        <w:t>La provisión de ajustes razonables</w:t>
      </w:r>
      <w:r w:rsidR="00E5305F" w:rsidRPr="00C0160F">
        <w:rPr>
          <w:sz w:val="18"/>
          <w:szCs w:val="18"/>
          <w:lang w:val="es-ES_tradnl"/>
        </w:rPr>
        <w:t xml:space="preserve"> y apoyos</w:t>
      </w:r>
      <w:r w:rsidRPr="00C0160F">
        <w:rPr>
          <w:sz w:val="18"/>
          <w:szCs w:val="18"/>
          <w:lang w:val="es-ES_tradnl"/>
        </w:rPr>
        <w:t xml:space="preserve"> para que las personas con discapacidad </w:t>
      </w:r>
      <w:r w:rsidR="004E58B0">
        <w:rPr>
          <w:sz w:val="18"/>
          <w:szCs w:val="18"/>
          <w:lang w:val="es-ES_tradnl"/>
        </w:rPr>
        <w:t>puedan</w:t>
      </w:r>
      <w:r w:rsidRPr="00C0160F">
        <w:rPr>
          <w:sz w:val="18"/>
          <w:szCs w:val="18"/>
          <w:lang w:val="es-ES_tradnl"/>
        </w:rPr>
        <w:t xml:space="preserve"> ser parte y trabajar en </w:t>
      </w:r>
      <w:r w:rsidR="00F112D5">
        <w:rPr>
          <w:sz w:val="18"/>
          <w:szCs w:val="18"/>
          <w:lang w:val="es-ES_tradnl"/>
        </w:rPr>
        <w:t>procesos judiciales y en el</w:t>
      </w:r>
      <w:r w:rsidR="00F112D5" w:rsidRPr="00C0160F">
        <w:rPr>
          <w:sz w:val="18"/>
          <w:szCs w:val="18"/>
          <w:lang w:val="es-ES_tradnl"/>
        </w:rPr>
        <w:t xml:space="preserve"> </w:t>
      </w:r>
      <w:r w:rsidRPr="00C0160F">
        <w:rPr>
          <w:sz w:val="18"/>
          <w:szCs w:val="18"/>
          <w:lang w:val="es-ES_tradnl"/>
        </w:rPr>
        <w:t xml:space="preserve">poder judicial en igualdad de condiciones </w:t>
      </w:r>
      <w:r w:rsidR="00F70C0B" w:rsidRPr="00C0160F">
        <w:rPr>
          <w:sz w:val="18"/>
          <w:szCs w:val="18"/>
          <w:lang w:val="es-ES_tradnl"/>
        </w:rPr>
        <w:t>con</w:t>
      </w:r>
      <w:r w:rsidRPr="00C0160F">
        <w:rPr>
          <w:sz w:val="18"/>
          <w:szCs w:val="18"/>
          <w:lang w:val="es-ES_tradnl"/>
        </w:rPr>
        <w:t xml:space="preserve"> los demás.</w:t>
      </w:r>
    </w:p>
  </w:endnote>
  <w:endnote w:id="2">
    <w:p w14:paraId="6AE73B28" w14:textId="6ED067BE" w:rsidR="00E675E6" w:rsidRPr="00C0160F" w:rsidRDefault="00E675E6" w:rsidP="00C0160F">
      <w:pPr>
        <w:pStyle w:val="Notedefin"/>
        <w:jc w:val="both"/>
        <w:rPr>
          <w:sz w:val="18"/>
          <w:szCs w:val="18"/>
          <w:lang w:val="es-ES_tradnl"/>
        </w:rPr>
      </w:pPr>
      <w:r w:rsidRPr="00C0160F">
        <w:rPr>
          <w:rStyle w:val="Appeldenotedefin"/>
          <w:sz w:val="18"/>
          <w:szCs w:val="18"/>
        </w:rPr>
        <w:endnoteRef/>
      </w:r>
      <w:r w:rsidRPr="00C0160F">
        <w:rPr>
          <w:sz w:val="18"/>
          <w:szCs w:val="18"/>
          <w:lang w:val="es-ES"/>
        </w:rPr>
        <w:t xml:space="preserve"> </w:t>
      </w:r>
      <w:r w:rsidRPr="00C0160F">
        <w:rPr>
          <w:sz w:val="18"/>
          <w:szCs w:val="18"/>
          <w:lang w:val="es-ES_tradnl"/>
        </w:rPr>
        <w:t xml:space="preserve">Incluye </w:t>
      </w:r>
      <w:r w:rsidR="004E58B0">
        <w:rPr>
          <w:sz w:val="18"/>
          <w:szCs w:val="18"/>
          <w:lang w:val="es-ES_tradnl"/>
        </w:rPr>
        <w:t>la no denegación</w:t>
      </w:r>
      <w:r w:rsidRPr="00C0160F">
        <w:rPr>
          <w:sz w:val="18"/>
          <w:szCs w:val="18"/>
          <w:lang w:val="es-ES_tradnl"/>
        </w:rPr>
        <w:t xml:space="preserve"> </w:t>
      </w:r>
      <w:r w:rsidR="004E58B0">
        <w:rPr>
          <w:sz w:val="18"/>
          <w:szCs w:val="18"/>
          <w:lang w:val="es-ES_tradnl"/>
        </w:rPr>
        <w:t>ni restricción</w:t>
      </w:r>
      <w:r w:rsidR="004E58B0" w:rsidRPr="00C0160F">
        <w:rPr>
          <w:sz w:val="18"/>
          <w:szCs w:val="18"/>
          <w:lang w:val="es-ES_tradnl"/>
        </w:rPr>
        <w:t xml:space="preserve"> </w:t>
      </w:r>
      <w:r w:rsidR="004E58B0">
        <w:rPr>
          <w:sz w:val="18"/>
          <w:szCs w:val="18"/>
          <w:lang w:val="es-ES_tradnl"/>
        </w:rPr>
        <w:t>en la ley a acceder</w:t>
      </w:r>
      <w:r w:rsidRPr="00C0160F">
        <w:rPr>
          <w:sz w:val="18"/>
          <w:szCs w:val="18"/>
          <w:lang w:val="es-ES_tradnl"/>
        </w:rPr>
        <w:t xml:space="preserve"> a la justicia o </w:t>
      </w:r>
      <w:r w:rsidR="004E58B0">
        <w:rPr>
          <w:sz w:val="18"/>
          <w:szCs w:val="18"/>
          <w:lang w:val="es-ES_tradnl"/>
        </w:rPr>
        <w:t>a participar</w:t>
      </w:r>
      <w:r w:rsidRPr="00C0160F">
        <w:rPr>
          <w:sz w:val="18"/>
          <w:szCs w:val="18"/>
          <w:lang w:val="es-ES_tradnl"/>
        </w:rPr>
        <w:t xml:space="preserve"> en el sistema judicial por motivos basados en la discapacidad como:</w:t>
      </w:r>
    </w:p>
    <w:p w14:paraId="43D55E4C" w14:textId="09599C09" w:rsidR="00E675E6" w:rsidRPr="00C0160F" w:rsidRDefault="004E58B0" w:rsidP="00C0160F">
      <w:pPr>
        <w:pStyle w:val="Notedefin"/>
        <w:numPr>
          <w:ilvl w:val="0"/>
          <w:numId w:val="17"/>
        </w:numPr>
        <w:jc w:val="both"/>
        <w:rPr>
          <w:sz w:val="18"/>
          <w:szCs w:val="18"/>
          <w:lang w:val="es-ES_tradnl"/>
        </w:rPr>
      </w:pPr>
      <w:r>
        <w:rPr>
          <w:sz w:val="18"/>
          <w:szCs w:val="18"/>
          <w:lang w:val="es-ES_tradnl"/>
        </w:rPr>
        <w:t>Den</w:t>
      </w:r>
      <w:r w:rsidR="00E675E6" w:rsidRPr="00C0160F">
        <w:rPr>
          <w:sz w:val="18"/>
          <w:szCs w:val="18"/>
          <w:lang w:val="es-ES_tradnl"/>
        </w:rPr>
        <w:t xml:space="preserve">egación de </w:t>
      </w:r>
      <w:r w:rsidR="00E5305F" w:rsidRPr="00C0160F">
        <w:rPr>
          <w:sz w:val="18"/>
          <w:szCs w:val="18"/>
          <w:lang w:val="es-ES_tradnl"/>
        </w:rPr>
        <w:t xml:space="preserve">la </w:t>
      </w:r>
      <w:r>
        <w:rPr>
          <w:sz w:val="18"/>
          <w:szCs w:val="18"/>
          <w:lang w:val="es-ES_tradnl"/>
        </w:rPr>
        <w:t>capacidad legal</w:t>
      </w:r>
      <w:r w:rsidR="00E5305F" w:rsidRPr="00C0160F">
        <w:rPr>
          <w:sz w:val="18"/>
          <w:szCs w:val="18"/>
          <w:lang w:val="es-ES_tradnl"/>
        </w:rPr>
        <w:t xml:space="preserve"> </w:t>
      </w:r>
      <w:r w:rsidR="00CD685D">
        <w:rPr>
          <w:sz w:val="18"/>
          <w:szCs w:val="18"/>
          <w:lang w:val="es-ES_tradnl"/>
        </w:rPr>
        <w:t xml:space="preserve">por motivos de discapacidad (incluyendo </w:t>
      </w:r>
      <w:r w:rsidR="00E675E6" w:rsidRPr="00C0160F">
        <w:rPr>
          <w:sz w:val="18"/>
          <w:szCs w:val="18"/>
          <w:lang w:val="es-ES_tradnl"/>
        </w:rPr>
        <w:t xml:space="preserve">la </w:t>
      </w:r>
      <w:r w:rsidR="00F70C0B" w:rsidRPr="00C0160F">
        <w:rPr>
          <w:sz w:val="18"/>
          <w:szCs w:val="18"/>
          <w:lang w:val="es-ES_tradnl"/>
        </w:rPr>
        <w:t>priva</w:t>
      </w:r>
      <w:r w:rsidR="00CD685D">
        <w:rPr>
          <w:sz w:val="18"/>
          <w:szCs w:val="18"/>
          <w:lang w:val="es-ES_tradnl"/>
        </w:rPr>
        <w:t xml:space="preserve">ción o restricción formal </w:t>
      </w:r>
      <w:r w:rsidR="00E675E6" w:rsidRPr="00C0160F">
        <w:rPr>
          <w:sz w:val="18"/>
          <w:szCs w:val="18"/>
          <w:lang w:val="es-ES_tradnl"/>
        </w:rPr>
        <w:t xml:space="preserve">de </w:t>
      </w:r>
      <w:r w:rsidR="00CD685D">
        <w:rPr>
          <w:sz w:val="18"/>
          <w:szCs w:val="18"/>
          <w:lang w:val="es-ES_tradnl"/>
        </w:rPr>
        <w:t xml:space="preserve">la </w:t>
      </w:r>
      <w:r w:rsidR="00E675E6" w:rsidRPr="00C0160F">
        <w:rPr>
          <w:sz w:val="18"/>
          <w:szCs w:val="18"/>
          <w:lang w:val="es-ES_tradnl"/>
        </w:rPr>
        <w:t>capacidad jurídica</w:t>
      </w:r>
      <w:r w:rsidR="00CD685D">
        <w:rPr>
          <w:sz w:val="18"/>
          <w:szCs w:val="18"/>
          <w:lang w:val="es-ES_tradnl"/>
        </w:rPr>
        <w:t>)</w:t>
      </w:r>
      <w:r w:rsidR="00E675E6" w:rsidRPr="00C0160F">
        <w:rPr>
          <w:sz w:val="18"/>
          <w:szCs w:val="18"/>
          <w:lang w:val="es-ES_tradnl"/>
        </w:rPr>
        <w:t xml:space="preserve"> en contradicción con el artículo 12 de la CDPD.</w:t>
      </w:r>
    </w:p>
    <w:p w14:paraId="6B8F71AF" w14:textId="1D24069D" w:rsidR="00E675E6" w:rsidRPr="00C0160F" w:rsidRDefault="004E58B0" w:rsidP="00C0160F">
      <w:pPr>
        <w:pStyle w:val="Notedefin"/>
        <w:numPr>
          <w:ilvl w:val="0"/>
          <w:numId w:val="17"/>
        </w:numPr>
        <w:jc w:val="both"/>
        <w:rPr>
          <w:sz w:val="18"/>
          <w:szCs w:val="18"/>
          <w:lang w:val="es-ES_tradnl"/>
        </w:rPr>
      </w:pPr>
      <w:r>
        <w:rPr>
          <w:sz w:val="18"/>
          <w:szCs w:val="18"/>
          <w:lang w:val="es-ES_tradnl"/>
        </w:rPr>
        <w:t>Denegación</w:t>
      </w:r>
      <w:r w:rsidRPr="00C0160F">
        <w:rPr>
          <w:sz w:val="18"/>
          <w:szCs w:val="18"/>
          <w:lang w:val="es-ES_tradnl"/>
        </w:rPr>
        <w:t xml:space="preserve"> </w:t>
      </w:r>
      <w:r w:rsidR="00E675E6" w:rsidRPr="00C0160F">
        <w:rPr>
          <w:sz w:val="18"/>
          <w:szCs w:val="18"/>
          <w:lang w:val="es-ES_tradnl"/>
        </w:rPr>
        <w:t xml:space="preserve">de la </w:t>
      </w:r>
      <w:r>
        <w:rPr>
          <w:sz w:val="18"/>
          <w:szCs w:val="18"/>
          <w:lang w:val="es-ES_tradnl"/>
        </w:rPr>
        <w:t>oportunidad</w:t>
      </w:r>
      <w:r w:rsidR="00E675E6" w:rsidRPr="00C0160F">
        <w:rPr>
          <w:sz w:val="18"/>
          <w:szCs w:val="18"/>
          <w:lang w:val="es-ES_tradnl"/>
        </w:rPr>
        <w:t xml:space="preserve"> para aportar pruebas o actuar como testigos por motivos de discapacidad </w:t>
      </w:r>
      <w:r>
        <w:rPr>
          <w:sz w:val="18"/>
          <w:szCs w:val="18"/>
          <w:lang w:val="es-ES_tradnl"/>
        </w:rPr>
        <w:t>o de</w:t>
      </w:r>
      <w:r w:rsidRPr="00C0160F">
        <w:rPr>
          <w:sz w:val="18"/>
          <w:szCs w:val="18"/>
          <w:lang w:val="es-ES_tradnl"/>
        </w:rPr>
        <w:t xml:space="preserve"> </w:t>
      </w:r>
      <w:r w:rsidR="00E675E6" w:rsidRPr="00C0160F">
        <w:rPr>
          <w:sz w:val="18"/>
          <w:szCs w:val="18"/>
          <w:lang w:val="es-ES_tradnl"/>
        </w:rPr>
        <w:t>estigmas relacionados (por ejemplo</w:t>
      </w:r>
      <w:r w:rsidR="00F70C0B" w:rsidRPr="00C0160F">
        <w:rPr>
          <w:sz w:val="18"/>
          <w:szCs w:val="18"/>
          <w:lang w:val="es-ES_tradnl"/>
        </w:rPr>
        <w:t>,</w:t>
      </w:r>
      <w:r w:rsidR="00E675E6" w:rsidRPr="00C0160F">
        <w:rPr>
          <w:sz w:val="18"/>
          <w:szCs w:val="18"/>
          <w:lang w:val="es-ES_tradnl"/>
        </w:rPr>
        <w:t xml:space="preserve"> al ponerse en</w:t>
      </w:r>
      <w:r w:rsidR="00F70C0B" w:rsidRPr="00C0160F">
        <w:rPr>
          <w:sz w:val="18"/>
          <w:szCs w:val="18"/>
          <w:lang w:val="es-ES_tradnl"/>
        </w:rPr>
        <w:t xml:space="preserve"> tela de</w:t>
      </w:r>
      <w:r w:rsidR="00E675E6" w:rsidRPr="00C0160F">
        <w:rPr>
          <w:sz w:val="18"/>
          <w:szCs w:val="18"/>
          <w:lang w:val="es-ES_tradnl"/>
        </w:rPr>
        <w:t xml:space="preserve"> juicio su credibilidad).</w:t>
      </w:r>
    </w:p>
    <w:p w14:paraId="3B7C4C69" w14:textId="407A6ED4" w:rsidR="00E675E6" w:rsidRPr="00C0160F" w:rsidRDefault="00E675E6" w:rsidP="00C0160F">
      <w:pPr>
        <w:pStyle w:val="Notedefin"/>
        <w:numPr>
          <w:ilvl w:val="0"/>
          <w:numId w:val="17"/>
        </w:numPr>
        <w:jc w:val="both"/>
        <w:rPr>
          <w:sz w:val="18"/>
          <w:szCs w:val="18"/>
          <w:lang w:val="es-ES"/>
        </w:rPr>
      </w:pPr>
      <w:r w:rsidRPr="00C0160F">
        <w:rPr>
          <w:sz w:val="18"/>
          <w:szCs w:val="18"/>
          <w:lang w:val="es-ES_tradnl"/>
        </w:rPr>
        <w:t xml:space="preserve">Requisito de representación legal obligatoria por parte </w:t>
      </w:r>
      <w:r w:rsidR="004E58B0">
        <w:rPr>
          <w:sz w:val="18"/>
          <w:szCs w:val="18"/>
          <w:lang w:val="es-ES_tradnl"/>
        </w:rPr>
        <w:t>de un</w:t>
      </w:r>
      <w:r w:rsidR="004E58B0" w:rsidRPr="00C0160F">
        <w:rPr>
          <w:sz w:val="18"/>
          <w:szCs w:val="18"/>
          <w:lang w:val="es-ES_tradnl"/>
        </w:rPr>
        <w:t xml:space="preserve"> </w:t>
      </w:r>
      <w:r w:rsidRPr="00C0160F">
        <w:rPr>
          <w:sz w:val="18"/>
          <w:szCs w:val="18"/>
          <w:lang w:val="es-ES_tradnl"/>
        </w:rPr>
        <w:t xml:space="preserve">tutor o </w:t>
      </w:r>
      <w:r w:rsidR="004E58B0">
        <w:rPr>
          <w:sz w:val="18"/>
          <w:szCs w:val="18"/>
          <w:lang w:val="es-ES_tradnl"/>
        </w:rPr>
        <w:t xml:space="preserve">de una </w:t>
      </w:r>
      <w:r w:rsidRPr="00C0160F">
        <w:rPr>
          <w:sz w:val="18"/>
          <w:szCs w:val="18"/>
          <w:lang w:val="es-ES_tradnl"/>
        </w:rPr>
        <w:t xml:space="preserve">institución para aquellas personas con discapacidad que vivan en instituciones, </w:t>
      </w:r>
      <w:r w:rsidR="00E5305F" w:rsidRPr="00C0160F">
        <w:rPr>
          <w:sz w:val="18"/>
          <w:szCs w:val="18"/>
          <w:lang w:val="es-ES_tradnl"/>
        </w:rPr>
        <w:t>en contradicción con</w:t>
      </w:r>
      <w:r w:rsidRPr="00C0160F">
        <w:rPr>
          <w:sz w:val="18"/>
          <w:szCs w:val="18"/>
          <w:lang w:val="es-ES_tradnl"/>
        </w:rPr>
        <w:t xml:space="preserve"> l</w:t>
      </w:r>
      <w:r w:rsidR="00CD685D">
        <w:rPr>
          <w:sz w:val="18"/>
          <w:szCs w:val="18"/>
          <w:lang w:val="es-ES_tradnl"/>
        </w:rPr>
        <w:t>os</w:t>
      </w:r>
      <w:r w:rsidRPr="00C0160F">
        <w:rPr>
          <w:sz w:val="18"/>
          <w:szCs w:val="18"/>
          <w:lang w:val="es-ES_tradnl"/>
        </w:rPr>
        <w:t xml:space="preserve"> Artículo</w:t>
      </w:r>
      <w:r w:rsidR="00CD685D">
        <w:rPr>
          <w:sz w:val="18"/>
          <w:szCs w:val="18"/>
          <w:lang w:val="es-ES_tradnl"/>
        </w:rPr>
        <w:t>s 12 y</w:t>
      </w:r>
      <w:r w:rsidRPr="00C0160F">
        <w:rPr>
          <w:sz w:val="18"/>
          <w:szCs w:val="18"/>
          <w:lang w:val="es-ES_tradnl"/>
        </w:rPr>
        <w:t xml:space="preserve"> 19 de la CDPD.</w:t>
      </w:r>
    </w:p>
    <w:p w14:paraId="0AA4D432" w14:textId="010B0B36" w:rsidR="00E675E6" w:rsidRPr="00C0160F" w:rsidRDefault="00E675E6" w:rsidP="00C0160F">
      <w:pPr>
        <w:pStyle w:val="Notedefin"/>
        <w:numPr>
          <w:ilvl w:val="0"/>
          <w:numId w:val="17"/>
        </w:numPr>
        <w:jc w:val="both"/>
        <w:rPr>
          <w:sz w:val="18"/>
          <w:szCs w:val="18"/>
          <w:lang w:val="es-ES"/>
        </w:rPr>
      </w:pPr>
      <w:r w:rsidRPr="00C0160F">
        <w:rPr>
          <w:sz w:val="18"/>
          <w:szCs w:val="18"/>
          <w:lang w:val="es-ES_tradnl"/>
        </w:rPr>
        <w:t xml:space="preserve">Requisitos que impiden que las personas con discapacidad </w:t>
      </w:r>
      <w:r w:rsidR="00787114">
        <w:rPr>
          <w:sz w:val="18"/>
          <w:szCs w:val="18"/>
          <w:lang w:val="es-ES_tradnl"/>
        </w:rPr>
        <w:t>apliquen</w:t>
      </w:r>
      <w:r w:rsidRPr="00C0160F">
        <w:rPr>
          <w:sz w:val="18"/>
          <w:szCs w:val="18"/>
          <w:lang w:val="es-ES_tradnl"/>
        </w:rPr>
        <w:t xml:space="preserve"> y sean admitidas </w:t>
      </w:r>
      <w:r w:rsidR="00787114">
        <w:rPr>
          <w:sz w:val="18"/>
          <w:szCs w:val="18"/>
          <w:lang w:val="es-ES_tradnl"/>
        </w:rPr>
        <w:t>a</w:t>
      </w:r>
      <w:r w:rsidR="00787114" w:rsidRPr="00C0160F">
        <w:rPr>
          <w:sz w:val="18"/>
          <w:szCs w:val="18"/>
          <w:lang w:val="es-ES_tradnl"/>
        </w:rPr>
        <w:t xml:space="preserve"> </w:t>
      </w:r>
      <w:r w:rsidRPr="00C0160F">
        <w:rPr>
          <w:sz w:val="18"/>
          <w:szCs w:val="18"/>
          <w:lang w:val="es-ES_tradnl"/>
        </w:rPr>
        <w:t xml:space="preserve">facultades de derecho o escuelas de </w:t>
      </w:r>
      <w:r w:rsidR="00787114">
        <w:rPr>
          <w:sz w:val="18"/>
          <w:szCs w:val="18"/>
          <w:lang w:val="es-ES_tradnl"/>
        </w:rPr>
        <w:t>capacitación judicial</w:t>
      </w:r>
      <w:r w:rsidRPr="00C0160F">
        <w:rPr>
          <w:sz w:val="18"/>
          <w:szCs w:val="18"/>
          <w:lang w:val="es-ES_tradnl"/>
        </w:rPr>
        <w:t xml:space="preserve">, y que </w:t>
      </w:r>
      <w:r w:rsidR="00787114">
        <w:rPr>
          <w:sz w:val="18"/>
          <w:szCs w:val="18"/>
          <w:lang w:val="es-ES_tradnl"/>
        </w:rPr>
        <w:t>puedan ejercer</w:t>
      </w:r>
      <w:r w:rsidR="00787114" w:rsidRPr="00C0160F">
        <w:rPr>
          <w:sz w:val="18"/>
          <w:szCs w:val="18"/>
          <w:lang w:val="es-ES_tradnl"/>
        </w:rPr>
        <w:t xml:space="preserve"> </w:t>
      </w:r>
      <w:r w:rsidR="00EF7EB1" w:rsidRPr="00C0160F">
        <w:rPr>
          <w:sz w:val="18"/>
          <w:szCs w:val="18"/>
          <w:lang w:val="es-ES_tradnl"/>
        </w:rPr>
        <w:t xml:space="preserve">la profesión </w:t>
      </w:r>
      <w:r w:rsidR="00787114">
        <w:rPr>
          <w:sz w:val="18"/>
          <w:szCs w:val="18"/>
          <w:lang w:val="es-ES_tradnl"/>
        </w:rPr>
        <w:t>legal</w:t>
      </w:r>
      <w:r w:rsidR="00787114" w:rsidRPr="00C0160F">
        <w:rPr>
          <w:sz w:val="18"/>
          <w:szCs w:val="18"/>
          <w:lang w:val="es-ES_tradnl"/>
        </w:rPr>
        <w:t xml:space="preserve"> </w:t>
      </w:r>
      <w:r w:rsidRPr="00C0160F">
        <w:rPr>
          <w:sz w:val="18"/>
          <w:szCs w:val="18"/>
          <w:lang w:val="es-ES_tradnl"/>
        </w:rPr>
        <w:t xml:space="preserve">o </w:t>
      </w:r>
      <w:r w:rsidR="00787114">
        <w:rPr>
          <w:sz w:val="18"/>
          <w:szCs w:val="18"/>
          <w:lang w:val="es-ES_tradnl"/>
        </w:rPr>
        <w:t>llegar a ser</w:t>
      </w:r>
      <w:r w:rsidR="00787114" w:rsidRPr="00C0160F">
        <w:rPr>
          <w:sz w:val="18"/>
          <w:szCs w:val="18"/>
          <w:lang w:val="es-ES_tradnl"/>
        </w:rPr>
        <w:t xml:space="preserve"> </w:t>
      </w:r>
      <w:r w:rsidRPr="00C0160F">
        <w:rPr>
          <w:sz w:val="18"/>
          <w:szCs w:val="18"/>
          <w:lang w:val="es-ES_tradnl"/>
        </w:rPr>
        <w:t>jueces.</w:t>
      </w:r>
    </w:p>
  </w:endnote>
  <w:endnote w:id="3">
    <w:p w14:paraId="797F3864" w14:textId="337F18CE" w:rsidR="00152734" w:rsidRPr="00E5305F" w:rsidRDefault="00FC43B6" w:rsidP="00C0160F">
      <w:pPr>
        <w:pStyle w:val="Notedefin"/>
        <w:jc w:val="both"/>
        <w:rPr>
          <w:sz w:val="18"/>
          <w:szCs w:val="18"/>
          <w:lang w:val="es-ES_tradnl"/>
        </w:rPr>
      </w:pPr>
      <w:r w:rsidRPr="00E5305F">
        <w:rPr>
          <w:rStyle w:val="Appeldenotedefin"/>
          <w:sz w:val="18"/>
          <w:szCs w:val="18"/>
          <w:lang w:val="es-ES_tradnl"/>
        </w:rPr>
        <w:endnoteRef/>
      </w:r>
      <w:r w:rsidRPr="00E5305F">
        <w:rPr>
          <w:sz w:val="18"/>
          <w:szCs w:val="18"/>
          <w:lang w:val="es-ES_tradnl"/>
        </w:rPr>
        <w:t xml:space="preserve"> </w:t>
      </w:r>
      <w:r w:rsidR="00787114">
        <w:rPr>
          <w:sz w:val="18"/>
          <w:szCs w:val="18"/>
          <w:lang w:val="es-ES_tradnl"/>
        </w:rPr>
        <w:t>Desviar de los procesos penales</w:t>
      </w:r>
      <w:r w:rsidR="00152734" w:rsidRPr="00E5305F">
        <w:rPr>
          <w:sz w:val="18"/>
          <w:szCs w:val="18"/>
          <w:lang w:val="es-ES_tradnl"/>
        </w:rPr>
        <w:t xml:space="preserve"> </w:t>
      </w:r>
      <w:r w:rsidR="00787114">
        <w:rPr>
          <w:sz w:val="18"/>
          <w:szCs w:val="18"/>
          <w:lang w:val="es-ES_tradnl"/>
        </w:rPr>
        <w:t>por</w:t>
      </w:r>
      <w:r w:rsidR="00152734" w:rsidRPr="00E5305F">
        <w:rPr>
          <w:sz w:val="18"/>
          <w:szCs w:val="18"/>
          <w:lang w:val="es-ES_tradnl"/>
        </w:rPr>
        <w:t xml:space="preserve"> conceptos legales tales como "incapacidad para ser juzgado", "</w:t>
      </w:r>
      <w:r w:rsidR="00787114">
        <w:rPr>
          <w:sz w:val="18"/>
          <w:szCs w:val="18"/>
          <w:lang w:val="es-ES_tradnl"/>
        </w:rPr>
        <w:t>defensa por locura</w:t>
      </w:r>
      <w:r w:rsidR="00787114" w:rsidRPr="00E5305F">
        <w:rPr>
          <w:sz w:val="18"/>
          <w:szCs w:val="18"/>
          <w:lang w:val="es-ES_tradnl"/>
        </w:rPr>
        <w:t xml:space="preserve"> </w:t>
      </w:r>
      <w:r w:rsidR="00152734" w:rsidRPr="00E5305F">
        <w:rPr>
          <w:sz w:val="18"/>
          <w:szCs w:val="18"/>
          <w:lang w:val="es-ES_tradnl"/>
        </w:rPr>
        <w:t>", "inimputabilidad" y "no responsable penalmente", excluye</w:t>
      </w:r>
      <w:r w:rsidR="00CD685D">
        <w:rPr>
          <w:sz w:val="18"/>
          <w:szCs w:val="18"/>
          <w:lang w:val="es-ES_tradnl"/>
        </w:rPr>
        <w:t>n</w:t>
      </w:r>
      <w:r w:rsidR="00152734" w:rsidRPr="00E5305F">
        <w:rPr>
          <w:sz w:val="18"/>
          <w:szCs w:val="18"/>
          <w:lang w:val="es-ES_tradnl"/>
        </w:rPr>
        <w:t xml:space="preserve"> a las personas con discapacidad de las garantías sustantivas y procesales sobre la base de un</w:t>
      </w:r>
      <w:r w:rsidR="00EF7EB1" w:rsidRPr="00E5305F">
        <w:rPr>
          <w:sz w:val="18"/>
          <w:szCs w:val="18"/>
          <w:lang w:val="es-ES_tradnl"/>
        </w:rPr>
        <w:t>a deficiencia en contradicción con el</w:t>
      </w:r>
      <w:r w:rsidR="00152734" w:rsidRPr="00E5305F">
        <w:rPr>
          <w:sz w:val="18"/>
          <w:szCs w:val="18"/>
          <w:lang w:val="es-ES_tradnl"/>
        </w:rPr>
        <w:t xml:space="preserve"> Artículo 13 y da</w:t>
      </w:r>
      <w:r w:rsidR="00CD685D">
        <w:rPr>
          <w:sz w:val="18"/>
          <w:szCs w:val="18"/>
          <w:lang w:val="es-ES_tradnl"/>
        </w:rPr>
        <w:t>n</w:t>
      </w:r>
      <w:r w:rsidR="00152734" w:rsidRPr="00E5305F">
        <w:rPr>
          <w:sz w:val="18"/>
          <w:szCs w:val="18"/>
          <w:lang w:val="es-ES_tradnl"/>
        </w:rPr>
        <w:t xml:space="preserve"> lugar a la privación de libertad </w:t>
      </w:r>
      <w:r w:rsidR="00787114">
        <w:rPr>
          <w:sz w:val="18"/>
          <w:szCs w:val="18"/>
          <w:lang w:val="es-ES_tradnl"/>
        </w:rPr>
        <w:t>sobre la base de una</w:t>
      </w:r>
      <w:r w:rsidR="00787114" w:rsidRPr="00E5305F">
        <w:rPr>
          <w:sz w:val="18"/>
          <w:szCs w:val="18"/>
          <w:lang w:val="es-ES_tradnl"/>
        </w:rPr>
        <w:t xml:space="preserve"> </w:t>
      </w:r>
      <w:r w:rsidR="00152734" w:rsidRPr="00E5305F">
        <w:rPr>
          <w:sz w:val="18"/>
          <w:szCs w:val="18"/>
          <w:lang w:val="es-ES_tradnl"/>
        </w:rPr>
        <w:t>de</w:t>
      </w:r>
      <w:r w:rsidR="00EF7EB1" w:rsidRPr="00E5305F">
        <w:rPr>
          <w:sz w:val="18"/>
          <w:szCs w:val="18"/>
          <w:lang w:val="es-ES_tradnl"/>
        </w:rPr>
        <w:t>ficiencia</w:t>
      </w:r>
      <w:r w:rsidR="00152734" w:rsidRPr="00E5305F">
        <w:rPr>
          <w:sz w:val="18"/>
          <w:szCs w:val="18"/>
          <w:lang w:val="es-ES_tradnl"/>
        </w:rPr>
        <w:t xml:space="preserve"> </w:t>
      </w:r>
      <w:r w:rsidR="00EF7EB1" w:rsidRPr="00E5305F">
        <w:rPr>
          <w:sz w:val="18"/>
          <w:szCs w:val="18"/>
          <w:lang w:val="es-ES_tradnl"/>
        </w:rPr>
        <w:t>en contradicción con el A</w:t>
      </w:r>
      <w:r w:rsidR="00152734" w:rsidRPr="00E5305F">
        <w:rPr>
          <w:sz w:val="18"/>
          <w:szCs w:val="18"/>
          <w:lang w:val="es-ES_tradnl"/>
        </w:rPr>
        <w:t>rtículo 14 de la CDPD.</w:t>
      </w:r>
    </w:p>
  </w:endnote>
  <w:endnote w:id="4">
    <w:p w14:paraId="362808FC" w14:textId="5EE052C4" w:rsidR="00152734" w:rsidRPr="00E5305F" w:rsidRDefault="00170567" w:rsidP="00C0160F">
      <w:pPr>
        <w:pStyle w:val="Notedefin"/>
        <w:jc w:val="both"/>
        <w:rPr>
          <w:sz w:val="18"/>
          <w:szCs w:val="18"/>
          <w:lang w:val="es-ES_tradnl"/>
        </w:rPr>
      </w:pPr>
      <w:r w:rsidRPr="00E5305F">
        <w:rPr>
          <w:rStyle w:val="Appeldenotedefin"/>
          <w:sz w:val="18"/>
          <w:szCs w:val="18"/>
          <w:lang w:val="es-ES_tradnl"/>
        </w:rPr>
        <w:endnoteRef/>
      </w:r>
      <w:r w:rsidRPr="00E5305F">
        <w:rPr>
          <w:sz w:val="18"/>
          <w:szCs w:val="18"/>
          <w:lang w:val="es-ES_tradnl"/>
        </w:rPr>
        <w:t xml:space="preserve"> </w:t>
      </w:r>
      <w:r w:rsidR="00152734" w:rsidRPr="00E5305F">
        <w:rPr>
          <w:sz w:val="18"/>
          <w:szCs w:val="18"/>
          <w:lang w:val="es-ES_tradnl"/>
        </w:rPr>
        <w:t xml:space="preserve">Se debe prestar especial atención a este respecto a las mujeres </w:t>
      </w:r>
      <w:r w:rsidR="00CD685D" w:rsidRPr="00E5305F">
        <w:rPr>
          <w:sz w:val="18"/>
          <w:szCs w:val="18"/>
          <w:lang w:val="es-ES_tradnl"/>
        </w:rPr>
        <w:t>con discapacidad</w:t>
      </w:r>
      <w:r w:rsidR="00CD685D">
        <w:rPr>
          <w:sz w:val="18"/>
          <w:szCs w:val="18"/>
          <w:lang w:val="es-ES_tradnl"/>
        </w:rPr>
        <w:t>,</w:t>
      </w:r>
      <w:r w:rsidR="00152734" w:rsidRPr="00E5305F">
        <w:rPr>
          <w:sz w:val="18"/>
          <w:szCs w:val="18"/>
          <w:lang w:val="es-ES_tradnl"/>
        </w:rPr>
        <w:t xml:space="preserve"> niños con discapacidad, personas sord</w:t>
      </w:r>
      <w:r w:rsidR="00CD685D">
        <w:rPr>
          <w:sz w:val="18"/>
          <w:szCs w:val="18"/>
          <w:lang w:val="es-ES_tradnl"/>
        </w:rPr>
        <w:t xml:space="preserve">as, </w:t>
      </w:r>
      <w:r w:rsidR="00152734" w:rsidRPr="00E5305F">
        <w:rPr>
          <w:sz w:val="18"/>
          <w:szCs w:val="18"/>
          <w:lang w:val="es-ES_tradnl"/>
        </w:rPr>
        <w:t>personas con discapacidad psicosocial</w:t>
      </w:r>
      <w:r w:rsidR="00CD685D">
        <w:rPr>
          <w:sz w:val="18"/>
          <w:szCs w:val="18"/>
          <w:lang w:val="es-ES_tradnl"/>
        </w:rPr>
        <w:t xml:space="preserve">, personas con discapacidad </w:t>
      </w:r>
      <w:r w:rsidR="00152734" w:rsidRPr="00E5305F">
        <w:rPr>
          <w:sz w:val="18"/>
          <w:szCs w:val="18"/>
          <w:lang w:val="es-ES_tradnl"/>
        </w:rPr>
        <w:t>intelectual</w:t>
      </w:r>
      <w:r w:rsidR="00CD685D">
        <w:rPr>
          <w:sz w:val="18"/>
          <w:szCs w:val="18"/>
          <w:lang w:val="es-ES_tradnl"/>
        </w:rPr>
        <w:t xml:space="preserve">, </w:t>
      </w:r>
      <w:r w:rsidR="00152734" w:rsidRPr="00E5305F">
        <w:rPr>
          <w:sz w:val="18"/>
          <w:szCs w:val="18"/>
          <w:lang w:val="es-ES_tradnl"/>
        </w:rPr>
        <w:t>personas con discapacidad que viven en instituciones residenciales</w:t>
      </w:r>
      <w:r w:rsidR="00CD685D">
        <w:rPr>
          <w:sz w:val="18"/>
          <w:szCs w:val="18"/>
          <w:lang w:val="es-ES_tradnl"/>
        </w:rPr>
        <w:t xml:space="preserve"> y personas con discapacidad de origen indígena o pertenecientes a minorías, así como se debe asegurar que la información y comunicación son accesibles y en idiomas comprendidos por ellos, incluyendo la interpretación de lenguaje de señas y los idiomas minoritarios o indígenas.</w:t>
      </w:r>
    </w:p>
  </w:endnote>
  <w:endnote w:id="5">
    <w:p w14:paraId="5B049175" w14:textId="6DA4FC78" w:rsidR="00E666E5" w:rsidRPr="002A2F3A" w:rsidRDefault="00E666E5" w:rsidP="00E666E5">
      <w:pPr>
        <w:pStyle w:val="Notedefin"/>
        <w:jc w:val="both"/>
        <w:rPr>
          <w:sz w:val="18"/>
          <w:szCs w:val="18"/>
          <w:lang w:val="es-ES"/>
        </w:rPr>
      </w:pPr>
      <w:r w:rsidRPr="009D73C2">
        <w:rPr>
          <w:rStyle w:val="Appeldenotedefin"/>
          <w:sz w:val="18"/>
          <w:szCs w:val="18"/>
        </w:rPr>
        <w:endnoteRef/>
      </w:r>
      <w:r w:rsidRPr="002A2F3A">
        <w:rPr>
          <w:sz w:val="18"/>
          <w:szCs w:val="18"/>
          <w:lang w:val="es-ES"/>
        </w:rPr>
        <w:t xml:space="preserve"> </w:t>
      </w:r>
      <w:r w:rsidR="001A5D64" w:rsidRPr="002A2F3A">
        <w:rPr>
          <w:sz w:val="18"/>
          <w:szCs w:val="18"/>
          <w:lang w:val="es-ES"/>
        </w:rPr>
        <w:t>Cuando se solicite, la provisión de ajustes procesal</w:t>
      </w:r>
      <w:r w:rsidR="001A5D64">
        <w:rPr>
          <w:sz w:val="18"/>
          <w:szCs w:val="18"/>
          <w:lang w:val="es-ES"/>
        </w:rPr>
        <w:t>es</w:t>
      </w:r>
      <w:r w:rsidR="001A5D64" w:rsidRPr="002A2F3A">
        <w:rPr>
          <w:sz w:val="18"/>
          <w:szCs w:val="18"/>
          <w:lang w:val="es-ES"/>
        </w:rPr>
        <w:t xml:space="preserve"> se debe en "todos los procedimientos judiciales y administrativos" y debe basarse en la libre elección y preferencia de la persona interesada. Ejemplos de </w:t>
      </w:r>
      <w:r w:rsidR="001A5D64">
        <w:rPr>
          <w:sz w:val="18"/>
          <w:szCs w:val="18"/>
          <w:lang w:val="es-ES"/>
        </w:rPr>
        <w:t>ajustes</w:t>
      </w:r>
      <w:r w:rsidR="001A5D64" w:rsidRPr="002A2F3A">
        <w:rPr>
          <w:sz w:val="18"/>
          <w:szCs w:val="18"/>
          <w:lang w:val="es-ES"/>
        </w:rPr>
        <w:t xml:space="preserve"> procesales son la interpretación en lenguaje de señas, la disponibilidad de información jurídica y judicial en formatos accesibles, los medios de comunicación múltiples, las versiones de fácil lectura de los documentos, la participación en Braille y a distancia y el testimonio por enlace de vídeo, la provisión de tecnologías de asistencia, la asistencia personal; la flexibilidad procesal para dar cabida a requisitos específicos de participación, por ejemplo, el cambio de sede de un tribunal, la posibilidad de que los intérpretes de lenguaje de señas participen en debates confidenciales con jurado, la ampliación o el ajuste de los plazos procesales y otras formalidades y plazos procesales (véase el ACNUDH, </w:t>
      </w:r>
      <w:r w:rsidR="00DD5530">
        <w:fldChar w:fldCharType="begin"/>
      </w:r>
      <w:r w:rsidR="00DD5530" w:rsidRPr="00B6747C">
        <w:rPr>
          <w:lang w:val="es-ES"/>
        </w:rPr>
        <w:instrText xml:space="preserve"> HYPERLINK "https://undocs.org/es/A/HRC/37/25" </w:instrText>
      </w:r>
      <w:r w:rsidR="00DD5530">
        <w:fldChar w:fldCharType="separate"/>
      </w:r>
      <w:r w:rsidR="001A5D64" w:rsidRPr="002A2F3A">
        <w:rPr>
          <w:rStyle w:val="Lienhypertexte"/>
          <w:lang w:val="es-ES"/>
        </w:rPr>
        <w:t>A/HRC/37/25</w:t>
      </w:r>
      <w:r w:rsidR="00DD5530">
        <w:rPr>
          <w:rStyle w:val="Lienhypertexte"/>
          <w:lang w:val="es-ES"/>
        </w:rPr>
        <w:fldChar w:fldCharType="end"/>
      </w:r>
      <w:r w:rsidR="001A5D64" w:rsidRPr="002A2F3A">
        <w:rPr>
          <w:sz w:val="18"/>
          <w:szCs w:val="18"/>
          <w:lang w:val="es-ES"/>
        </w:rPr>
        <w:t>, párr. 24).</w:t>
      </w:r>
    </w:p>
  </w:endnote>
  <w:endnote w:id="6">
    <w:p w14:paraId="6E2E750C" w14:textId="0FF7048E" w:rsidR="00152734" w:rsidRPr="00E5305F" w:rsidRDefault="00170567" w:rsidP="00C0160F">
      <w:pPr>
        <w:pStyle w:val="Notedefin"/>
        <w:jc w:val="both"/>
        <w:rPr>
          <w:sz w:val="18"/>
          <w:szCs w:val="18"/>
          <w:highlight w:val="yellow"/>
          <w:lang w:val="es-ES_tradnl"/>
        </w:rPr>
      </w:pPr>
      <w:r w:rsidRPr="00E5305F">
        <w:rPr>
          <w:rStyle w:val="Appeldenotedefin"/>
          <w:sz w:val="18"/>
          <w:szCs w:val="18"/>
          <w:lang w:val="es-ES_tradnl"/>
        </w:rPr>
        <w:endnoteRef/>
      </w:r>
      <w:r w:rsidRPr="00E5305F">
        <w:rPr>
          <w:sz w:val="18"/>
          <w:szCs w:val="18"/>
          <w:lang w:val="es-ES_tradnl"/>
        </w:rPr>
        <w:t xml:space="preserve"> </w:t>
      </w:r>
      <w:r w:rsidR="002A2F3A">
        <w:rPr>
          <w:sz w:val="18"/>
          <w:szCs w:val="18"/>
          <w:lang w:val="es-ES_tradnl"/>
        </w:rPr>
        <w:t>Esto</w:t>
      </w:r>
      <w:r w:rsidR="00E675E6" w:rsidRPr="00E5305F">
        <w:rPr>
          <w:sz w:val="18"/>
          <w:szCs w:val="18"/>
          <w:lang w:val="es-ES_tradnl"/>
        </w:rPr>
        <w:t xml:space="preserve"> incluye</w:t>
      </w:r>
      <w:r w:rsidR="00152734" w:rsidRPr="00E5305F">
        <w:rPr>
          <w:sz w:val="18"/>
          <w:szCs w:val="18"/>
          <w:lang w:val="es-ES_tradnl"/>
        </w:rPr>
        <w:t xml:space="preserve"> cortes y tribunales, comisarías, servicios de apoyo</w:t>
      </w:r>
      <w:r w:rsidR="00EF7EB1" w:rsidRPr="00E5305F">
        <w:rPr>
          <w:sz w:val="18"/>
          <w:szCs w:val="18"/>
          <w:lang w:val="es-ES_tradnl"/>
        </w:rPr>
        <w:t xml:space="preserve"> y refugios para</w:t>
      </w:r>
      <w:r w:rsidR="00152734" w:rsidRPr="00E5305F">
        <w:rPr>
          <w:sz w:val="18"/>
          <w:szCs w:val="18"/>
          <w:lang w:val="es-ES_tradnl"/>
        </w:rPr>
        <w:t xml:space="preserve"> víctimas, prestación gratuita de interpretación en lengua</w:t>
      </w:r>
      <w:r w:rsidR="001A5D64">
        <w:rPr>
          <w:sz w:val="18"/>
          <w:szCs w:val="18"/>
          <w:lang w:val="es-ES_tradnl"/>
        </w:rPr>
        <w:t>je</w:t>
      </w:r>
      <w:r w:rsidR="00152734" w:rsidRPr="00E5305F">
        <w:rPr>
          <w:sz w:val="18"/>
          <w:szCs w:val="18"/>
          <w:lang w:val="es-ES_tradnl"/>
        </w:rPr>
        <w:t xml:space="preserve"> de señas, </w:t>
      </w:r>
      <w:r w:rsidR="00E5305F" w:rsidRPr="00E5305F">
        <w:rPr>
          <w:sz w:val="18"/>
          <w:szCs w:val="18"/>
          <w:lang w:val="es-ES_tradnl"/>
        </w:rPr>
        <w:t>Lectura Fácil</w:t>
      </w:r>
      <w:r w:rsidR="00152734" w:rsidRPr="00E5305F">
        <w:rPr>
          <w:sz w:val="18"/>
          <w:szCs w:val="18"/>
          <w:lang w:val="es-ES_tradnl"/>
        </w:rPr>
        <w:t>, Braille</w:t>
      </w:r>
      <w:r w:rsidR="001A5D64">
        <w:rPr>
          <w:sz w:val="18"/>
          <w:szCs w:val="18"/>
          <w:lang w:val="es-ES_tradnl"/>
        </w:rPr>
        <w:t>,</w:t>
      </w:r>
      <w:r w:rsidR="00152734" w:rsidRPr="00E5305F">
        <w:rPr>
          <w:sz w:val="18"/>
          <w:szCs w:val="18"/>
          <w:lang w:val="es-ES_tradnl"/>
        </w:rPr>
        <w:t xml:space="preserve"> formatos digitales accesibles</w:t>
      </w:r>
      <w:r w:rsidR="001A5D64">
        <w:rPr>
          <w:sz w:val="18"/>
          <w:szCs w:val="18"/>
          <w:lang w:val="es-ES_tradnl"/>
        </w:rPr>
        <w:t xml:space="preserve"> e interpretación en una lengua entendida por partes y participantes incluyendo lenguaje de señas e idiomas indígenas/minoritarias</w:t>
      </w:r>
      <w:r w:rsidR="00152734" w:rsidRPr="00E5305F">
        <w:rPr>
          <w:sz w:val="18"/>
          <w:szCs w:val="18"/>
          <w:lang w:val="es-ES_tradnl"/>
        </w:rPr>
        <w:t xml:space="preserve">. </w:t>
      </w:r>
      <w:r w:rsidR="001A5D64">
        <w:rPr>
          <w:sz w:val="18"/>
          <w:szCs w:val="18"/>
          <w:lang w:val="es-ES_tradnl"/>
        </w:rPr>
        <w:t>En particular, l</w:t>
      </w:r>
      <w:r w:rsidR="00E675E6" w:rsidRPr="00E5305F">
        <w:rPr>
          <w:sz w:val="18"/>
          <w:szCs w:val="18"/>
          <w:lang w:val="es-ES_tradnl"/>
        </w:rPr>
        <w:t>as</w:t>
      </w:r>
      <w:r w:rsidR="00152734" w:rsidRPr="00E5305F">
        <w:rPr>
          <w:sz w:val="18"/>
          <w:szCs w:val="18"/>
          <w:lang w:val="es-ES_tradnl"/>
        </w:rPr>
        <w:t xml:space="preserve"> tendencias actuales sobre la digitalización de los procedimientos judiciales y otros usos de las nuevas tecnologías destinadas a aumentar la eficiencia de la administración de justicia no deben crear nuevas barreras para las personas con discapacidad ni impedir la provisión de ajustes </w:t>
      </w:r>
      <w:r w:rsidR="00E5305F" w:rsidRPr="00E5305F">
        <w:rPr>
          <w:sz w:val="18"/>
          <w:szCs w:val="18"/>
          <w:lang w:val="es-ES_tradnl"/>
        </w:rPr>
        <w:t>de procedimiento y apropiados según</w:t>
      </w:r>
      <w:r w:rsidR="00152734" w:rsidRPr="00E5305F">
        <w:rPr>
          <w:sz w:val="18"/>
          <w:szCs w:val="18"/>
          <w:lang w:val="es-ES_tradnl"/>
        </w:rPr>
        <w:t xml:space="preserve"> la edad </w:t>
      </w:r>
      <w:r w:rsidR="00AB448B">
        <w:rPr>
          <w:sz w:val="18"/>
          <w:szCs w:val="18"/>
          <w:lang w:val="es-ES_tradnl"/>
        </w:rPr>
        <w:t>ni</w:t>
      </w:r>
      <w:r w:rsidR="00152734" w:rsidRPr="00E5305F">
        <w:rPr>
          <w:sz w:val="18"/>
          <w:szCs w:val="18"/>
          <w:lang w:val="es-ES_tradnl"/>
        </w:rPr>
        <w:t xml:space="preserve"> la flexibilidad requerida de los procedimientos.</w:t>
      </w:r>
      <w:r w:rsidR="000E49BF" w:rsidRPr="00E5305F">
        <w:rPr>
          <w:sz w:val="18"/>
          <w:szCs w:val="18"/>
          <w:lang w:val="es-ES_tradnl"/>
        </w:rPr>
        <w:t xml:space="preserve"> Se debe considerar también la accesibilidad de los tribunales en términos de situación y distancia geográfica y transporte disponible.</w:t>
      </w:r>
    </w:p>
  </w:endnote>
  <w:endnote w:id="7">
    <w:p w14:paraId="36E3DF56" w14:textId="0E590A16" w:rsidR="00E666E5" w:rsidRPr="00C0160F" w:rsidRDefault="00E666E5" w:rsidP="00E666E5">
      <w:pPr>
        <w:pStyle w:val="Notedefin"/>
        <w:jc w:val="both"/>
        <w:rPr>
          <w:sz w:val="18"/>
          <w:szCs w:val="18"/>
          <w:lang w:val="es-ES_tradnl"/>
        </w:rPr>
      </w:pPr>
      <w:r w:rsidRPr="00C0160F">
        <w:rPr>
          <w:rStyle w:val="Appeldenotedefin"/>
          <w:sz w:val="18"/>
          <w:szCs w:val="18"/>
          <w:lang w:val="es-ES_tradnl"/>
        </w:rPr>
        <w:endnoteRef/>
      </w:r>
      <w:r w:rsidRPr="00C0160F">
        <w:rPr>
          <w:sz w:val="18"/>
          <w:szCs w:val="18"/>
          <w:lang w:val="es-ES_tradnl"/>
        </w:rPr>
        <w:t xml:space="preserve"> En particular,</w:t>
      </w:r>
      <w:r w:rsidR="00AB448B">
        <w:rPr>
          <w:sz w:val="18"/>
          <w:szCs w:val="18"/>
          <w:lang w:val="es-ES_tradnl"/>
        </w:rPr>
        <w:t xml:space="preserve"> aquellos que se enfrentan a barreras significativas, incluidas</w:t>
      </w:r>
      <w:r w:rsidRPr="00C0160F">
        <w:rPr>
          <w:sz w:val="18"/>
          <w:szCs w:val="18"/>
          <w:lang w:val="es-ES_tradnl"/>
        </w:rPr>
        <w:t xml:space="preserve"> las personas sordociegas y las persona</w:t>
      </w:r>
      <w:r w:rsidR="00AB448B">
        <w:rPr>
          <w:sz w:val="18"/>
          <w:szCs w:val="18"/>
          <w:lang w:val="es-ES_tradnl"/>
        </w:rPr>
        <w:t>s con discapacidad psicosocial, personas con discapacidad</w:t>
      </w:r>
      <w:r w:rsidRPr="00C0160F">
        <w:rPr>
          <w:sz w:val="18"/>
          <w:szCs w:val="18"/>
          <w:lang w:val="es-ES_tradnl"/>
        </w:rPr>
        <w:t xml:space="preserve"> intelectual, incluidas las que viven en instituciones, las mujeres </w:t>
      </w:r>
      <w:r w:rsidR="00AB448B">
        <w:rPr>
          <w:sz w:val="18"/>
          <w:szCs w:val="18"/>
          <w:lang w:val="es-ES_tradnl"/>
        </w:rPr>
        <w:t>con discapacidad,</w:t>
      </w:r>
      <w:r w:rsidRPr="00C0160F">
        <w:rPr>
          <w:sz w:val="18"/>
          <w:szCs w:val="18"/>
          <w:lang w:val="es-ES_tradnl"/>
        </w:rPr>
        <w:t xml:space="preserve"> niños con discapacidad</w:t>
      </w:r>
      <w:r w:rsidR="00AB448B">
        <w:rPr>
          <w:sz w:val="18"/>
          <w:szCs w:val="18"/>
          <w:lang w:val="es-ES_tradnl"/>
        </w:rPr>
        <w:t>, personas sordas y personas con discapacidad con origen indígena o pertenecientes a minorías</w:t>
      </w:r>
      <w:r w:rsidRPr="00C0160F">
        <w:rPr>
          <w:sz w:val="18"/>
          <w:szCs w:val="18"/>
          <w:lang w:val="es-ES_tradnl"/>
        </w:rPr>
        <w:t>.</w:t>
      </w:r>
    </w:p>
  </w:endnote>
  <w:endnote w:id="8">
    <w:p w14:paraId="7F05ABAB" w14:textId="4288906C" w:rsidR="000E49BF" w:rsidRPr="00E5305F" w:rsidRDefault="000E49BF" w:rsidP="00E5305F">
      <w:pPr>
        <w:pStyle w:val="Notedefin"/>
        <w:jc w:val="both"/>
        <w:rPr>
          <w:rFonts w:cstheme="minorHAnsi"/>
          <w:sz w:val="18"/>
          <w:szCs w:val="18"/>
          <w:lang w:val="es-ES"/>
        </w:rPr>
      </w:pPr>
      <w:r w:rsidRPr="00E5305F">
        <w:rPr>
          <w:rStyle w:val="Appeldenotedefin"/>
          <w:rFonts w:cstheme="minorHAnsi"/>
          <w:sz w:val="18"/>
          <w:szCs w:val="18"/>
        </w:rPr>
        <w:endnoteRef/>
      </w:r>
      <w:r w:rsidRPr="00E5305F">
        <w:rPr>
          <w:rFonts w:cstheme="minorHAnsi"/>
          <w:sz w:val="18"/>
          <w:szCs w:val="18"/>
          <w:lang w:val="es-ES"/>
        </w:rPr>
        <w:t xml:space="preserve"> Este indicador requiere verificar las actividades concretas emprendidas por las autoridades públicas para involucrar a las personas con discapacidad en los procesos de toma de decisiones relacionados con cuestiones que les afectan directa o indirectamente, de conformidad con el artículo 4.3 de la CDPD</w:t>
      </w:r>
      <w:r w:rsidR="00AB448B">
        <w:rPr>
          <w:rFonts w:cstheme="minorHAnsi"/>
          <w:sz w:val="18"/>
          <w:szCs w:val="18"/>
          <w:lang w:val="es-ES"/>
        </w:rPr>
        <w:t xml:space="preserve"> y la </w:t>
      </w:r>
      <w:r w:rsidR="00DD5530">
        <w:fldChar w:fldCharType="begin"/>
      </w:r>
      <w:r w:rsidR="00DD5530" w:rsidRPr="00B6747C">
        <w:rPr>
          <w:lang w:val="es-ES"/>
        </w:rPr>
        <w:instrText xml:space="preserve"> HYPERLINK "https://tbinternet.ohchr.org/_layouts/treatybodyexternal/Download.aspx?symbolno=CRPD/C/GC/7&amp;Lang=en" </w:instrText>
      </w:r>
      <w:r w:rsidR="00DD5530">
        <w:fldChar w:fldCharType="separate"/>
      </w:r>
      <w:r w:rsidR="00AB448B" w:rsidRPr="00D52E05">
        <w:rPr>
          <w:rStyle w:val="Lienhypertexte"/>
          <w:rFonts w:cstheme="minorHAnsi"/>
          <w:sz w:val="18"/>
          <w:szCs w:val="18"/>
          <w:lang w:val="es-ES"/>
        </w:rPr>
        <w:t>Observación general Nº 7</w:t>
      </w:r>
      <w:r w:rsidR="00DD5530">
        <w:rPr>
          <w:rStyle w:val="Lienhypertexte"/>
          <w:rFonts w:cstheme="minorHAnsi"/>
          <w:sz w:val="18"/>
          <w:szCs w:val="18"/>
          <w:lang w:val="es-ES"/>
        </w:rPr>
        <w:fldChar w:fldCharType="end"/>
      </w:r>
      <w:r w:rsidR="00AB448B">
        <w:rPr>
          <w:rFonts w:cstheme="minorHAnsi"/>
          <w:sz w:val="18"/>
          <w:szCs w:val="18"/>
          <w:lang w:val="es-ES"/>
        </w:rPr>
        <w:t xml:space="preserve"> del Comité</w:t>
      </w:r>
      <w:r w:rsidRPr="00E5305F">
        <w:rPr>
          <w:rFonts w:cstheme="minorHAnsi"/>
          <w:sz w:val="18"/>
          <w:szCs w:val="18"/>
          <w:lang w:val="es-ES"/>
        </w:rPr>
        <w:t>, incluidas las reuniones de consulta, las sesiones informativas técnicas, las encuestas de consulta en línea, la solicitud de comentarios sobre los proyectos de ley y las políticas, entre otros métodos participativos. A este respecto, los Estados deben:</w:t>
      </w:r>
    </w:p>
    <w:p w14:paraId="62212CD4" w14:textId="353A3706" w:rsidR="000E49BF" w:rsidRPr="00E5305F" w:rsidRDefault="000E49BF" w:rsidP="00E5305F">
      <w:pPr>
        <w:pStyle w:val="Notedefin"/>
        <w:jc w:val="both"/>
        <w:rPr>
          <w:rFonts w:cstheme="minorHAnsi"/>
          <w:sz w:val="18"/>
          <w:szCs w:val="18"/>
          <w:lang w:val="es-ES"/>
        </w:rPr>
      </w:pPr>
      <w:r w:rsidRPr="00E5305F">
        <w:rPr>
          <w:rFonts w:cstheme="minorHAnsi"/>
          <w:sz w:val="18"/>
          <w:szCs w:val="18"/>
          <w:lang w:val="es-ES"/>
        </w:rPr>
        <w:t xml:space="preserve">- </w:t>
      </w:r>
      <w:r w:rsidR="00AF4B54" w:rsidRPr="00AF4B54">
        <w:rPr>
          <w:rFonts w:cstheme="minorHAnsi"/>
          <w:sz w:val="18"/>
          <w:szCs w:val="18"/>
          <w:lang w:val="es-ES"/>
        </w:rPr>
        <w:t>asegurar que los procesos de consulta sean</w:t>
      </w:r>
      <w:r w:rsidR="00AF4B54">
        <w:rPr>
          <w:rFonts w:cstheme="minorHAnsi"/>
          <w:sz w:val="18"/>
          <w:szCs w:val="18"/>
          <w:lang w:val="es-ES"/>
        </w:rPr>
        <w:t xml:space="preserve"> </w:t>
      </w:r>
      <w:r w:rsidR="00AF4B54" w:rsidRPr="00AF4B54">
        <w:rPr>
          <w:rFonts w:cstheme="minorHAnsi"/>
          <w:sz w:val="18"/>
          <w:szCs w:val="18"/>
          <w:lang w:val="es-ES"/>
        </w:rPr>
        <w:t>transparentes y accesibles</w:t>
      </w:r>
      <w:r w:rsidRPr="00E5305F">
        <w:rPr>
          <w:rFonts w:cstheme="minorHAnsi"/>
          <w:sz w:val="18"/>
          <w:szCs w:val="18"/>
          <w:lang w:val="es-ES"/>
        </w:rPr>
        <w:t>;</w:t>
      </w:r>
    </w:p>
    <w:p w14:paraId="2DC1B142" w14:textId="77777777" w:rsidR="000E49BF" w:rsidRPr="00E5305F" w:rsidRDefault="000E49BF">
      <w:pPr>
        <w:pStyle w:val="Notedefin"/>
        <w:jc w:val="both"/>
        <w:rPr>
          <w:rFonts w:cstheme="minorHAnsi"/>
          <w:sz w:val="18"/>
          <w:szCs w:val="18"/>
          <w:lang w:val="es-ES"/>
        </w:rPr>
      </w:pPr>
      <w:r w:rsidRPr="00E5305F">
        <w:rPr>
          <w:rFonts w:cstheme="minorHAnsi"/>
          <w:sz w:val="18"/>
          <w:szCs w:val="18"/>
          <w:lang w:val="es-ES"/>
        </w:rPr>
        <w:t>- garantizar el suministro de información adecuada y accesible;</w:t>
      </w:r>
    </w:p>
    <w:p w14:paraId="7ABA0E8F" w14:textId="77777777" w:rsidR="000E49BF" w:rsidRPr="00E5305F" w:rsidRDefault="000E49BF">
      <w:pPr>
        <w:pStyle w:val="Notedefin"/>
        <w:jc w:val="both"/>
        <w:rPr>
          <w:rFonts w:cstheme="minorHAnsi"/>
          <w:sz w:val="18"/>
          <w:szCs w:val="18"/>
          <w:lang w:val="es-ES"/>
        </w:rPr>
      </w:pPr>
      <w:r w:rsidRPr="00E5305F">
        <w:rPr>
          <w:rFonts w:cstheme="minorHAnsi"/>
          <w:sz w:val="18"/>
          <w:szCs w:val="18"/>
          <w:lang w:val="es-ES"/>
        </w:rPr>
        <w:t>- no ocultar información, condicionar o impedir que las organizaciones de personas con discapacidad expresen libremente sus opiniones;</w:t>
      </w:r>
    </w:p>
    <w:p w14:paraId="4ECD7F21" w14:textId="77777777" w:rsidR="000E49BF" w:rsidRPr="00E5305F" w:rsidRDefault="000E49BF">
      <w:pPr>
        <w:pStyle w:val="Notedefin"/>
        <w:jc w:val="both"/>
        <w:rPr>
          <w:rFonts w:cstheme="minorHAnsi"/>
          <w:sz w:val="18"/>
          <w:szCs w:val="18"/>
          <w:lang w:val="es-ES"/>
        </w:rPr>
      </w:pPr>
      <w:r w:rsidRPr="00E5305F">
        <w:rPr>
          <w:rFonts w:cstheme="minorHAnsi"/>
          <w:sz w:val="18"/>
          <w:szCs w:val="18"/>
          <w:lang w:val="es-ES"/>
        </w:rPr>
        <w:t>- incluir tanto a las organizaciones registradas como a las no registradas;</w:t>
      </w:r>
    </w:p>
    <w:p w14:paraId="3C930681" w14:textId="471F0FF2" w:rsidR="000E49BF" w:rsidRPr="00E5305F" w:rsidRDefault="000E49BF">
      <w:pPr>
        <w:pStyle w:val="Notedefin"/>
        <w:jc w:val="both"/>
        <w:rPr>
          <w:rFonts w:cstheme="minorHAnsi"/>
          <w:sz w:val="18"/>
          <w:szCs w:val="18"/>
          <w:lang w:val="es-ES"/>
        </w:rPr>
      </w:pPr>
      <w:r w:rsidRPr="00E5305F">
        <w:rPr>
          <w:rFonts w:cstheme="minorHAnsi"/>
          <w:sz w:val="18"/>
          <w:szCs w:val="18"/>
          <w:lang w:val="es-ES"/>
        </w:rPr>
        <w:t>- garantizar una participación temprana y continua;</w:t>
      </w:r>
    </w:p>
    <w:p w14:paraId="34120309" w14:textId="3BAE3A55" w:rsidR="000E49BF" w:rsidRPr="009806F8" w:rsidRDefault="000E49BF">
      <w:pPr>
        <w:pStyle w:val="Notedefin"/>
        <w:jc w:val="both"/>
        <w:rPr>
          <w:rFonts w:cstheme="minorHAnsi"/>
          <w:sz w:val="18"/>
          <w:szCs w:val="18"/>
          <w:lang w:val="es-ES"/>
        </w:rPr>
      </w:pPr>
      <w:r w:rsidRPr="00E5305F">
        <w:rPr>
          <w:rFonts w:cstheme="minorHAnsi"/>
          <w:sz w:val="18"/>
          <w:szCs w:val="18"/>
          <w:lang w:val="es-ES"/>
        </w:rPr>
        <w:t xml:space="preserve">- cubrir los gastos relacionados </w:t>
      </w:r>
      <w:r w:rsidR="00AB448B">
        <w:rPr>
          <w:rFonts w:cstheme="minorHAnsi"/>
          <w:sz w:val="18"/>
          <w:szCs w:val="18"/>
          <w:lang w:val="es-ES"/>
        </w:rPr>
        <w:t>de</w:t>
      </w:r>
      <w:r w:rsidR="00AB448B" w:rsidRPr="00E5305F">
        <w:rPr>
          <w:rFonts w:cstheme="minorHAnsi"/>
          <w:sz w:val="18"/>
          <w:szCs w:val="18"/>
          <w:lang w:val="es-ES"/>
        </w:rPr>
        <w:t xml:space="preserve"> </w:t>
      </w:r>
      <w:r w:rsidRPr="00E5305F">
        <w:rPr>
          <w:rFonts w:cstheme="minorHAnsi"/>
          <w:sz w:val="18"/>
          <w:szCs w:val="18"/>
          <w:lang w:val="es-ES"/>
        </w:rPr>
        <w:t>los participantes</w:t>
      </w:r>
      <w:r w:rsidR="00AB448B">
        <w:rPr>
          <w:rFonts w:cstheme="minorHAnsi"/>
          <w:sz w:val="18"/>
          <w:szCs w:val="18"/>
          <w:lang w:val="es-E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22236" w14:textId="77777777" w:rsidR="00DD5530" w:rsidRDefault="00DD5530" w:rsidP="00CA591E">
      <w:r>
        <w:separator/>
      </w:r>
    </w:p>
  </w:footnote>
  <w:footnote w:type="continuationSeparator" w:id="0">
    <w:p w14:paraId="3C53CE1C" w14:textId="77777777" w:rsidR="00DD5530" w:rsidRDefault="00DD5530"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9"/>
  </w:num>
  <w:num w:numId="5">
    <w:abstractNumId w:val="10"/>
  </w:num>
  <w:num w:numId="6">
    <w:abstractNumId w:val="16"/>
  </w:num>
  <w:num w:numId="7">
    <w:abstractNumId w:val="14"/>
  </w:num>
  <w:num w:numId="8">
    <w:abstractNumId w:val="5"/>
  </w:num>
  <w:num w:numId="9">
    <w:abstractNumId w:val="0"/>
  </w:num>
  <w:num w:numId="10">
    <w:abstractNumId w:val="15"/>
  </w:num>
  <w:num w:numId="11">
    <w:abstractNumId w:val="4"/>
  </w:num>
  <w:num w:numId="12">
    <w:abstractNumId w:val="13"/>
  </w:num>
  <w:num w:numId="13">
    <w:abstractNumId w:val="7"/>
  </w:num>
  <w:num w:numId="14">
    <w:abstractNumId w:val="8"/>
  </w:num>
  <w:num w:numId="15">
    <w:abstractNumId w:val="6"/>
  </w:num>
  <w:num w:numId="16">
    <w:abstractNumId w:val="3"/>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s-A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s-ES" w:vendorID="64" w:dllVersion="6" w:nlCheck="1" w:checkStyle="0"/>
  <w:activeWritingStyle w:appName="MSWord" w:lang="es-ES" w:vendorID="64" w:dllVersion="0" w:nlCheck="1" w:checkStyle="0"/>
  <w:activeWritingStyle w:appName="MSWord" w:lang="fr-FR" w:vendorID="64" w:dllVersion="6" w:nlCheck="1" w:checkStyle="0"/>
  <w:activeWritingStyle w:appName="MSWord" w:lang="es-ES_tradnl" w:vendorID="64" w:dllVersion="4096" w:nlCheck="1" w:checkStyle="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3F9"/>
    <w:rsid w:val="00006D33"/>
    <w:rsid w:val="000134AA"/>
    <w:rsid w:val="00026CE2"/>
    <w:rsid w:val="00050711"/>
    <w:rsid w:val="0005219A"/>
    <w:rsid w:val="00057593"/>
    <w:rsid w:val="00063173"/>
    <w:rsid w:val="00065C3E"/>
    <w:rsid w:val="000707C9"/>
    <w:rsid w:val="00073208"/>
    <w:rsid w:val="000868CC"/>
    <w:rsid w:val="00091529"/>
    <w:rsid w:val="0009463C"/>
    <w:rsid w:val="000948CB"/>
    <w:rsid w:val="000A25BC"/>
    <w:rsid w:val="000A76BA"/>
    <w:rsid w:val="000B0B17"/>
    <w:rsid w:val="000B0C3E"/>
    <w:rsid w:val="000B119E"/>
    <w:rsid w:val="000B1E56"/>
    <w:rsid w:val="000B3868"/>
    <w:rsid w:val="000B663D"/>
    <w:rsid w:val="000C0781"/>
    <w:rsid w:val="000C154A"/>
    <w:rsid w:val="000C5832"/>
    <w:rsid w:val="000C6768"/>
    <w:rsid w:val="000E49BF"/>
    <w:rsid w:val="000F2D2A"/>
    <w:rsid w:val="001013A2"/>
    <w:rsid w:val="00101BAD"/>
    <w:rsid w:val="001030AE"/>
    <w:rsid w:val="00110663"/>
    <w:rsid w:val="00113D6A"/>
    <w:rsid w:val="001143E6"/>
    <w:rsid w:val="00121ED4"/>
    <w:rsid w:val="00122590"/>
    <w:rsid w:val="001344AD"/>
    <w:rsid w:val="001361C3"/>
    <w:rsid w:val="001464D0"/>
    <w:rsid w:val="001515E5"/>
    <w:rsid w:val="00151F7E"/>
    <w:rsid w:val="00152734"/>
    <w:rsid w:val="001607CA"/>
    <w:rsid w:val="00167016"/>
    <w:rsid w:val="00167E3A"/>
    <w:rsid w:val="00170567"/>
    <w:rsid w:val="0017378D"/>
    <w:rsid w:val="0017443D"/>
    <w:rsid w:val="00175BEC"/>
    <w:rsid w:val="001820F8"/>
    <w:rsid w:val="0018313C"/>
    <w:rsid w:val="00183BD1"/>
    <w:rsid w:val="00185B50"/>
    <w:rsid w:val="00195062"/>
    <w:rsid w:val="001A5D64"/>
    <w:rsid w:val="001C479E"/>
    <w:rsid w:val="001C5249"/>
    <w:rsid w:val="001C627B"/>
    <w:rsid w:val="001E7EA3"/>
    <w:rsid w:val="002020D5"/>
    <w:rsid w:val="002020F9"/>
    <w:rsid w:val="00203E7D"/>
    <w:rsid w:val="00215679"/>
    <w:rsid w:val="00215ACE"/>
    <w:rsid w:val="00221004"/>
    <w:rsid w:val="002253E4"/>
    <w:rsid w:val="00230CC2"/>
    <w:rsid w:val="00230DC8"/>
    <w:rsid w:val="00232652"/>
    <w:rsid w:val="00234DE0"/>
    <w:rsid w:val="00237688"/>
    <w:rsid w:val="00240F47"/>
    <w:rsid w:val="00256861"/>
    <w:rsid w:val="0026266A"/>
    <w:rsid w:val="00263FAE"/>
    <w:rsid w:val="00264909"/>
    <w:rsid w:val="002671D8"/>
    <w:rsid w:val="00270D68"/>
    <w:rsid w:val="0027486C"/>
    <w:rsid w:val="002773AC"/>
    <w:rsid w:val="002836A9"/>
    <w:rsid w:val="00293512"/>
    <w:rsid w:val="002A2F3A"/>
    <w:rsid w:val="002A656B"/>
    <w:rsid w:val="002C3801"/>
    <w:rsid w:val="002D3D29"/>
    <w:rsid w:val="002D7F12"/>
    <w:rsid w:val="002E387E"/>
    <w:rsid w:val="002E6663"/>
    <w:rsid w:val="002F204E"/>
    <w:rsid w:val="002F45D6"/>
    <w:rsid w:val="003043F3"/>
    <w:rsid w:val="00307F27"/>
    <w:rsid w:val="00320E55"/>
    <w:rsid w:val="00323CF5"/>
    <w:rsid w:val="00327E08"/>
    <w:rsid w:val="003301F5"/>
    <w:rsid w:val="00330660"/>
    <w:rsid w:val="00334B7D"/>
    <w:rsid w:val="00335FE8"/>
    <w:rsid w:val="003409A3"/>
    <w:rsid w:val="00345E96"/>
    <w:rsid w:val="00346DAD"/>
    <w:rsid w:val="00355393"/>
    <w:rsid w:val="00362803"/>
    <w:rsid w:val="00364DDC"/>
    <w:rsid w:val="003718CF"/>
    <w:rsid w:val="00372234"/>
    <w:rsid w:val="003759C9"/>
    <w:rsid w:val="00376BCC"/>
    <w:rsid w:val="00381918"/>
    <w:rsid w:val="003921D2"/>
    <w:rsid w:val="003A2D7B"/>
    <w:rsid w:val="003A712F"/>
    <w:rsid w:val="003C132D"/>
    <w:rsid w:val="003C326C"/>
    <w:rsid w:val="003D705B"/>
    <w:rsid w:val="003E7407"/>
    <w:rsid w:val="003F3FA7"/>
    <w:rsid w:val="003F568C"/>
    <w:rsid w:val="00407B38"/>
    <w:rsid w:val="004149FE"/>
    <w:rsid w:val="00416EC8"/>
    <w:rsid w:val="00420937"/>
    <w:rsid w:val="00436906"/>
    <w:rsid w:val="00445BB6"/>
    <w:rsid w:val="00453FBD"/>
    <w:rsid w:val="00461CF2"/>
    <w:rsid w:val="004643E4"/>
    <w:rsid w:val="00470A68"/>
    <w:rsid w:val="0047409D"/>
    <w:rsid w:val="0047455C"/>
    <w:rsid w:val="00474A0E"/>
    <w:rsid w:val="00485ED7"/>
    <w:rsid w:val="004934A4"/>
    <w:rsid w:val="004967AF"/>
    <w:rsid w:val="0049767B"/>
    <w:rsid w:val="004A11E8"/>
    <w:rsid w:val="004A22A0"/>
    <w:rsid w:val="004A42A4"/>
    <w:rsid w:val="004A58ED"/>
    <w:rsid w:val="004B1DF3"/>
    <w:rsid w:val="004B7622"/>
    <w:rsid w:val="004C3801"/>
    <w:rsid w:val="004C47F0"/>
    <w:rsid w:val="004D332C"/>
    <w:rsid w:val="004E534A"/>
    <w:rsid w:val="004E58B0"/>
    <w:rsid w:val="004F49F7"/>
    <w:rsid w:val="004F538D"/>
    <w:rsid w:val="0051360A"/>
    <w:rsid w:val="005136D8"/>
    <w:rsid w:val="00533AA4"/>
    <w:rsid w:val="00534A78"/>
    <w:rsid w:val="00534C92"/>
    <w:rsid w:val="00542B3C"/>
    <w:rsid w:val="00544D10"/>
    <w:rsid w:val="005676AC"/>
    <w:rsid w:val="00571036"/>
    <w:rsid w:val="0057267D"/>
    <w:rsid w:val="0058098B"/>
    <w:rsid w:val="005843A5"/>
    <w:rsid w:val="00591379"/>
    <w:rsid w:val="00595F54"/>
    <w:rsid w:val="005970C3"/>
    <w:rsid w:val="005A1B54"/>
    <w:rsid w:val="005A6971"/>
    <w:rsid w:val="005B0200"/>
    <w:rsid w:val="005B3669"/>
    <w:rsid w:val="005B5EFD"/>
    <w:rsid w:val="005D7C96"/>
    <w:rsid w:val="005E57DF"/>
    <w:rsid w:val="005F1F6D"/>
    <w:rsid w:val="005F266C"/>
    <w:rsid w:val="005F4EC8"/>
    <w:rsid w:val="005F7C6D"/>
    <w:rsid w:val="00611DF2"/>
    <w:rsid w:val="006174CE"/>
    <w:rsid w:val="00621413"/>
    <w:rsid w:val="00634785"/>
    <w:rsid w:val="00634DC7"/>
    <w:rsid w:val="006362B7"/>
    <w:rsid w:val="00643BF2"/>
    <w:rsid w:val="0065051C"/>
    <w:rsid w:val="00652E13"/>
    <w:rsid w:val="00660E71"/>
    <w:rsid w:val="00661872"/>
    <w:rsid w:val="00663600"/>
    <w:rsid w:val="006644EA"/>
    <w:rsid w:val="006671F0"/>
    <w:rsid w:val="00672036"/>
    <w:rsid w:val="00681265"/>
    <w:rsid w:val="0068399E"/>
    <w:rsid w:val="00685485"/>
    <w:rsid w:val="00685CF4"/>
    <w:rsid w:val="00695474"/>
    <w:rsid w:val="00696FC9"/>
    <w:rsid w:val="006A5178"/>
    <w:rsid w:val="006A6805"/>
    <w:rsid w:val="006B3FE4"/>
    <w:rsid w:val="006B5CDD"/>
    <w:rsid w:val="006C21B3"/>
    <w:rsid w:val="006C5832"/>
    <w:rsid w:val="006C6E21"/>
    <w:rsid w:val="006E10B8"/>
    <w:rsid w:val="006E39EB"/>
    <w:rsid w:val="006E3E31"/>
    <w:rsid w:val="006E5599"/>
    <w:rsid w:val="006F7AAC"/>
    <w:rsid w:val="0070160D"/>
    <w:rsid w:val="00702448"/>
    <w:rsid w:val="00705361"/>
    <w:rsid w:val="007065A4"/>
    <w:rsid w:val="007070D2"/>
    <w:rsid w:val="0072068D"/>
    <w:rsid w:val="007221DC"/>
    <w:rsid w:val="0073482F"/>
    <w:rsid w:val="00736A44"/>
    <w:rsid w:val="00737D13"/>
    <w:rsid w:val="00745639"/>
    <w:rsid w:val="007457D0"/>
    <w:rsid w:val="007472F1"/>
    <w:rsid w:val="00773555"/>
    <w:rsid w:val="00776B8D"/>
    <w:rsid w:val="007823E0"/>
    <w:rsid w:val="00785B3A"/>
    <w:rsid w:val="00787114"/>
    <w:rsid w:val="00792C5D"/>
    <w:rsid w:val="00794F8E"/>
    <w:rsid w:val="00797584"/>
    <w:rsid w:val="007A4591"/>
    <w:rsid w:val="007A7DF0"/>
    <w:rsid w:val="007B0DA2"/>
    <w:rsid w:val="007B2E2C"/>
    <w:rsid w:val="007B3E9E"/>
    <w:rsid w:val="007B6324"/>
    <w:rsid w:val="007C13D6"/>
    <w:rsid w:val="007C2DCA"/>
    <w:rsid w:val="007C3EF0"/>
    <w:rsid w:val="007C6B30"/>
    <w:rsid w:val="007E6C19"/>
    <w:rsid w:val="0080004D"/>
    <w:rsid w:val="00802C30"/>
    <w:rsid w:val="00803B86"/>
    <w:rsid w:val="00813049"/>
    <w:rsid w:val="00814D07"/>
    <w:rsid w:val="00823FA2"/>
    <w:rsid w:val="00836C1D"/>
    <w:rsid w:val="00841566"/>
    <w:rsid w:val="00847DCC"/>
    <w:rsid w:val="00851498"/>
    <w:rsid w:val="008563CA"/>
    <w:rsid w:val="00856B6E"/>
    <w:rsid w:val="008704B4"/>
    <w:rsid w:val="0088018F"/>
    <w:rsid w:val="00884F8C"/>
    <w:rsid w:val="008858A7"/>
    <w:rsid w:val="0089365A"/>
    <w:rsid w:val="00893A92"/>
    <w:rsid w:val="00895469"/>
    <w:rsid w:val="00897637"/>
    <w:rsid w:val="008A0D34"/>
    <w:rsid w:val="008B19D3"/>
    <w:rsid w:val="008C4208"/>
    <w:rsid w:val="008C76C6"/>
    <w:rsid w:val="008D2892"/>
    <w:rsid w:val="008E15CB"/>
    <w:rsid w:val="008F136C"/>
    <w:rsid w:val="008F3148"/>
    <w:rsid w:val="008F6E12"/>
    <w:rsid w:val="0090544A"/>
    <w:rsid w:val="00905637"/>
    <w:rsid w:val="009111DF"/>
    <w:rsid w:val="00911B07"/>
    <w:rsid w:val="009159FD"/>
    <w:rsid w:val="0092368C"/>
    <w:rsid w:val="00926F81"/>
    <w:rsid w:val="00940AFD"/>
    <w:rsid w:val="009421AF"/>
    <w:rsid w:val="00945C70"/>
    <w:rsid w:val="00964A5B"/>
    <w:rsid w:val="00964B94"/>
    <w:rsid w:val="0096663D"/>
    <w:rsid w:val="009733F4"/>
    <w:rsid w:val="009806F8"/>
    <w:rsid w:val="00982DDB"/>
    <w:rsid w:val="00984AC7"/>
    <w:rsid w:val="009A4374"/>
    <w:rsid w:val="009A6799"/>
    <w:rsid w:val="009B0C95"/>
    <w:rsid w:val="009C0779"/>
    <w:rsid w:val="009C20CF"/>
    <w:rsid w:val="009D221D"/>
    <w:rsid w:val="009D4F22"/>
    <w:rsid w:val="009D6367"/>
    <w:rsid w:val="009D73C2"/>
    <w:rsid w:val="009E1074"/>
    <w:rsid w:val="009E5527"/>
    <w:rsid w:val="009E737E"/>
    <w:rsid w:val="009F6E73"/>
    <w:rsid w:val="009F7D61"/>
    <w:rsid w:val="00A01319"/>
    <w:rsid w:val="00A0776D"/>
    <w:rsid w:val="00A11619"/>
    <w:rsid w:val="00A21E81"/>
    <w:rsid w:val="00A252DA"/>
    <w:rsid w:val="00A42C44"/>
    <w:rsid w:val="00A52406"/>
    <w:rsid w:val="00A60A57"/>
    <w:rsid w:val="00A778DE"/>
    <w:rsid w:val="00A83E75"/>
    <w:rsid w:val="00A87C64"/>
    <w:rsid w:val="00A96B68"/>
    <w:rsid w:val="00AA3E6F"/>
    <w:rsid w:val="00AB2047"/>
    <w:rsid w:val="00AB3FD1"/>
    <w:rsid w:val="00AB448B"/>
    <w:rsid w:val="00AB4A39"/>
    <w:rsid w:val="00AC03AB"/>
    <w:rsid w:val="00AD3349"/>
    <w:rsid w:val="00AE00B9"/>
    <w:rsid w:val="00AE5D65"/>
    <w:rsid w:val="00AF4B54"/>
    <w:rsid w:val="00B03486"/>
    <w:rsid w:val="00B0552A"/>
    <w:rsid w:val="00B21AFF"/>
    <w:rsid w:val="00B2353B"/>
    <w:rsid w:val="00B27442"/>
    <w:rsid w:val="00B31C98"/>
    <w:rsid w:val="00B37FD5"/>
    <w:rsid w:val="00B4198C"/>
    <w:rsid w:val="00B43139"/>
    <w:rsid w:val="00B5447C"/>
    <w:rsid w:val="00B553A7"/>
    <w:rsid w:val="00B64B40"/>
    <w:rsid w:val="00B6747C"/>
    <w:rsid w:val="00B67645"/>
    <w:rsid w:val="00B71249"/>
    <w:rsid w:val="00B74665"/>
    <w:rsid w:val="00B7564A"/>
    <w:rsid w:val="00B866FD"/>
    <w:rsid w:val="00B952F5"/>
    <w:rsid w:val="00BA22F4"/>
    <w:rsid w:val="00BA6BAA"/>
    <w:rsid w:val="00BB4CB4"/>
    <w:rsid w:val="00BC022E"/>
    <w:rsid w:val="00BC0719"/>
    <w:rsid w:val="00BE2712"/>
    <w:rsid w:val="00BE346D"/>
    <w:rsid w:val="00BE733A"/>
    <w:rsid w:val="00BF276B"/>
    <w:rsid w:val="00C00627"/>
    <w:rsid w:val="00C009C5"/>
    <w:rsid w:val="00C0160F"/>
    <w:rsid w:val="00C17189"/>
    <w:rsid w:val="00C2143C"/>
    <w:rsid w:val="00C233C1"/>
    <w:rsid w:val="00C24776"/>
    <w:rsid w:val="00C32059"/>
    <w:rsid w:val="00C410CA"/>
    <w:rsid w:val="00C4598B"/>
    <w:rsid w:val="00C51F20"/>
    <w:rsid w:val="00C541CC"/>
    <w:rsid w:val="00C62B7F"/>
    <w:rsid w:val="00C65C53"/>
    <w:rsid w:val="00C679D1"/>
    <w:rsid w:val="00C84B31"/>
    <w:rsid w:val="00C8554B"/>
    <w:rsid w:val="00C92A6B"/>
    <w:rsid w:val="00CA0ACC"/>
    <w:rsid w:val="00CA1855"/>
    <w:rsid w:val="00CA591E"/>
    <w:rsid w:val="00CB63C5"/>
    <w:rsid w:val="00CC11B9"/>
    <w:rsid w:val="00CC346D"/>
    <w:rsid w:val="00CD1C65"/>
    <w:rsid w:val="00CD4245"/>
    <w:rsid w:val="00CD685D"/>
    <w:rsid w:val="00CE7FF4"/>
    <w:rsid w:val="00CF20D7"/>
    <w:rsid w:val="00D01F95"/>
    <w:rsid w:val="00D12E6A"/>
    <w:rsid w:val="00D13F5B"/>
    <w:rsid w:val="00D167E3"/>
    <w:rsid w:val="00D21F1D"/>
    <w:rsid w:val="00D232D8"/>
    <w:rsid w:val="00D52E05"/>
    <w:rsid w:val="00D5651C"/>
    <w:rsid w:val="00D61368"/>
    <w:rsid w:val="00D614D5"/>
    <w:rsid w:val="00D70AF4"/>
    <w:rsid w:val="00D80803"/>
    <w:rsid w:val="00D911DD"/>
    <w:rsid w:val="00D91568"/>
    <w:rsid w:val="00D94DC4"/>
    <w:rsid w:val="00D94FFA"/>
    <w:rsid w:val="00DB3954"/>
    <w:rsid w:val="00DB4C6E"/>
    <w:rsid w:val="00DB5B52"/>
    <w:rsid w:val="00DC0924"/>
    <w:rsid w:val="00DD079B"/>
    <w:rsid w:val="00DD2A83"/>
    <w:rsid w:val="00DD4746"/>
    <w:rsid w:val="00DD5530"/>
    <w:rsid w:val="00DE431B"/>
    <w:rsid w:val="00DE4B64"/>
    <w:rsid w:val="00E15075"/>
    <w:rsid w:val="00E232CB"/>
    <w:rsid w:val="00E24957"/>
    <w:rsid w:val="00E27296"/>
    <w:rsid w:val="00E27806"/>
    <w:rsid w:val="00E31AF2"/>
    <w:rsid w:val="00E32612"/>
    <w:rsid w:val="00E34B4F"/>
    <w:rsid w:val="00E363AE"/>
    <w:rsid w:val="00E41ADB"/>
    <w:rsid w:val="00E5305F"/>
    <w:rsid w:val="00E608B7"/>
    <w:rsid w:val="00E64E57"/>
    <w:rsid w:val="00E666E5"/>
    <w:rsid w:val="00E675E6"/>
    <w:rsid w:val="00E8709D"/>
    <w:rsid w:val="00E87705"/>
    <w:rsid w:val="00E936BF"/>
    <w:rsid w:val="00E96C21"/>
    <w:rsid w:val="00E97952"/>
    <w:rsid w:val="00EB0175"/>
    <w:rsid w:val="00EB4202"/>
    <w:rsid w:val="00EC0D4A"/>
    <w:rsid w:val="00EC2427"/>
    <w:rsid w:val="00ED0E57"/>
    <w:rsid w:val="00ED2C1C"/>
    <w:rsid w:val="00ED3786"/>
    <w:rsid w:val="00ED42B0"/>
    <w:rsid w:val="00ED642C"/>
    <w:rsid w:val="00EE1131"/>
    <w:rsid w:val="00EE4AB0"/>
    <w:rsid w:val="00EE56DD"/>
    <w:rsid w:val="00EE5CFE"/>
    <w:rsid w:val="00EF7EB1"/>
    <w:rsid w:val="00F04C4B"/>
    <w:rsid w:val="00F05557"/>
    <w:rsid w:val="00F112D5"/>
    <w:rsid w:val="00F11C7E"/>
    <w:rsid w:val="00F230F3"/>
    <w:rsid w:val="00F434A2"/>
    <w:rsid w:val="00F44657"/>
    <w:rsid w:val="00F46D3B"/>
    <w:rsid w:val="00F63625"/>
    <w:rsid w:val="00F63CBD"/>
    <w:rsid w:val="00F70C0B"/>
    <w:rsid w:val="00F76645"/>
    <w:rsid w:val="00F77890"/>
    <w:rsid w:val="00F77E96"/>
    <w:rsid w:val="00F80CCF"/>
    <w:rsid w:val="00F9606C"/>
    <w:rsid w:val="00F962EB"/>
    <w:rsid w:val="00F97690"/>
    <w:rsid w:val="00FA30F9"/>
    <w:rsid w:val="00FB072B"/>
    <w:rsid w:val="00FB33D1"/>
    <w:rsid w:val="00FC43B6"/>
    <w:rsid w:val="00FD14CF"/>
    <w:rsid w:val="00FD39D7"/>
    <w:rsid w:val="00FE1A98"/>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6A51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sz w:val="20"/>
      <w:szCs w:val="20"/>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unhideWhenUsed/>
    <w:rsid w:val="00DE431B"/>
    <w:pPr>
      <w:spacing w:after="200"/>
    </w:pPr>
    <w:rPr>
      <w:sz w:val="20"/>
      <w:szCs w:val="20"/>
      <w:lang w:val="en-GB"/>
    </w:rPr>
  </w:style>
  <w:style w:type="character" w:customStyle="1" w:styleId="CommentaireCar">
    <w:name w:val="Commentaire Car"/>
    <w:basedOn w:val="Policepardfaut"/>
    <w:link w:val="Commentaire"/>
    <w:uiPriority w:val="99"/>
    <w:rsid w:val="00DE431B"/>
    <w:rPr>
      <w:sz w:val="20"/>
      <w:szCs w:val="20"/>
      <w:lang w:val="en-GB"/>
    </w:rPr>
  </w:style>
  <w:style w:type="paragraph" w:styleId="Objetducommentaire">
    <w:name w:val="annotation subject"/>
    <w:basedOn w:val="Commentaire"/>
    <w:next w:val="Commentaire"/>
    <w:link w:val="ObjetducommentaireCar"/>
    <w:uiPriority w:val="99"/>
    <w:semiHidden/>
    <w:unhideWhenUsed/>
    <w:rsid w:val="00964A5B"/>
    <w:pPr>
      <w:spacing w:after="0"/>
    </w:pPr>
    <w:rPr>
      <w:b/>
      <w:bCs/>
      <w:lang w:val="en-US"/>
    </w:rPr>
  </w:style>
  <w:style w:type="character" w:customStyle="1" w:styleId="ObjetducommentaireCar">
    <w:name w:val="Objet du commentaire Car"/>
    <w:basedOn w:val="CommentaireCar"/>
    <w:link w:val="Objetducommentaire"/>
    <w:uiPriority w:val="99"/>
    <w:semiHidden/>
    <w:rsid w:val="00964A5B"/>
    <w:rPr>
      <w:b/>
      <w:bCs/>
      <w:sz w:val="20"/>
      <w:szCs w:val="20"/>
      <w:lang w:val="en-GB"/>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character" w:styleId="Lienhypertextesuivivisit">
    <w:name w:val="FollowedHyperlink"/>
    <w:basedOn w:val="Policepardfaut"/>
    <w:uiPriority w:val="99"/>
    <w:semiHidden/>
    <w:unhideWhenUsed/>
    <w:rsid w:val="00073208"/>
    <w:rPr>
      <w:color w:val="954F72" w:themeColor="followedHyperlink"/>
      <w:u w:val="single"/>
    </w:rPr>
  </w:style>
  <w:style w:type="character" w:customStyle="1" w:styleId="Titre2Car">
    <w:name w:val="Titre 2 Car"/>
    <w:basedOn w:val="Policepardfaut"/>
    <w:link w:val="Titre2"/>
    <w:uiPriority w:val="9"/>
    <w:semiHidden/>
    <w:rsid w:val="006A5178"/>
    <w:rPr>
      <w:rFonts w:asciiTheme="majorHAnsi" w:eastAsiaTheme="majorEastAsia" w:hAnsiTheme="majorHAnsi" w:cstheme="majorBidi"/>
      <w:color w:val="2F5496" w:themeColor="accent1" w:themeShade="BF"/>
      <w:sz w:val="26"/>
      <w:szCs w:val="26"/>
    </w:rPr>
  </w:style>
  <w:style w:type="character" w:customStyle="1" w:styleId="Mencinsinresolver1">
    <w:name w:val="Mención sin resolver1"/>
    <w:basedOn w:val="Policepardfaut"/>
    <w:uiPriority w:val="99"/>
    <w:rsid w:val="00A07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062462">
      <w:bodyDiv w:val="1"/>
      <w:marLeft w:val="0"/>
      <w:marRight w:val="0"/>
      <w:marTop w:val="0"/>
      <w:marBottom w:val="0"/>
      <w:divBdr>
        <w:top w:val="none" w:sz="0" w:space="0" w:color="auto"/>
        <w:left w:val="none" w:sz="0" w:space="0" w:color="auto"/>
        <w:bottom w:val="none" w:sz="0" w:space="0" w:color="auto"/>
        <w:right w:val="none" w:sz="0" w:space="0" w:color="auto"/>
      </w:divBdr>
    </w:div>
    <w:div w:id="429011773">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741857">
      <w:bodyDiv w:val="1"/>
      <w:marLeft w:val="0"/>
      <w:marRight w:val="0"/>
      <w:marTop w:val="0"/>
      <w:marBottom w:val="0"/>
      <w:divBdr>
        <w:top w:val="none" w:sz="0" w:space="0" w:color="auto"/>
        <w:left w:val="none" w:sz="0" w:space="0" w:color="auto"/>
        <w:bottom w:val="none" w:sz="0" w:space="0" w:color="auto"/>
        <w:right w:val="none" w:sz="0" w:space="0" w:color="auto"/>
      </w:divBdr>
    </w:div>
    <w:div w:id="752554040">
      <w:bodyDiv w:val="1"/>
      <w:marLeft w:val="0"/>
      <w:marRight w:val="0"/>
      <w:marTop w:val="0"/>
      <w:marBottom w:val="0"/>
      <w:divBdr>
        <w:top w:val="none" w:sz="0" w:space="0" w:color="auto"/>
        <w:left w:val="none" w:sz="0" w:space="0" w:color="auto"/>
        <w:bottom w:val="none" w:sz="0" w:space="0" w:color="auto"/>
        <w:right w:val="none" w:sz="0" w:space="0" w:color="auto"/>
      </w:divBdr>
    </w:div>
    <w:div w:id="946697095">
      <w:bodyDiv w:val="1"/>
      <w:marLeft w:val="0"/>
      <w:marRight w:val="0"/>
      <w:marTop w:val="0"/>
      <w:marBottom w:val="0"/>
      <w:divBdr>
        <w:top w:val="none" w:sz="0" w:space="0" w:color="auto"/>
        <w:left w:val="none" w:sz="0" w:space="0" w:color="auto"/>
        <w:bottom w:val="none" w:sz="0" w:space="0" w:color="auto"/>
        <w:right w:val="none" w:sz="0" w:space="0" w:color="auto"/>
      </w:divBdr>
    </w:div>
    <w:div w:id="1139105121">
      <w:bodyDiv w:val="1"/>
      <w:marLeft w:val="0"/>
      <w:marRight w:val="0"/>
      <w:marTop w:val="0"/>
      <w:marBottom w:val="0"/>
      <w:divBdr>
        <w:top w:val="none" w:sz="0" w:space="0" w:color="auto"/>
        <w:left w:val="none" w:sz="0" w:space="0" w:color="auto"/>
        <w:bottom w:val="none" w:sz="0" w:space="0" w:color="auto"/>
        <w:right w:val="none" w:sz="0" w:space="0" w:color="auto"/>
      </w:divBdr>
    </w:div>
    <w:div w:id="1666084871">
      <w:bodyDiv w:val="1"/>
      <w:marLeft w:val="0"/>
      <w:marRight w:val="0"/>
      <w:marTop w:val="0"/>
      <w:marBottom w:val="0"/>
      <w:divBdr>
        <w:top w:val="none" w:sz="0" w:space="0" w:color="auto"/>
        <w:left w:val="none" w:sz="0" w:space="0" w:color="auto"/>
        <w:bottom w:val="none" w:sz="0" w:space="0" w:color="auto"/>
        <w:right w:val="none" w:sz="0" w:space="0" w:color="auto"/>
      </w:divBdr>
    </w:div>
    <w:div w:id="180515456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1923638492">
      <w:bodyDiv w:val="1"/>
      <w:marLeft w:val="0"/>
      <w:marRight w:val="0"/>
      <w:marTop w:val="0"/>
      <w:marBottom w:val="0"/>
      <w:divBdr>
        <w:top w:val="none" w:sz="0" w:space="0" w:color="auto"/>
        <w:left w:val="none" w:sz="0" w:space="0" w:color="auto"/>
        <w:bottom w:val="none" w:sz="0" w:space="0" w:color="auto"/>
        <w:right w:val="none" w:sz="0" w:space="0" w:color="auto"/>
      </w:divBdr>
    </w:div>
    <w:div w:id="2091853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8B210-37B3-4AFF-B04C-8625B5F53A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21785D-EA80-46CB-BFDD-F7CAA1037191}"/>
</file>

<file path=customXml/itemProps3.xml><?xml version="1.0" encoding="utf-8"?>
<ds:datastoreItem xmlns:ds="http://schemas.openxmlformats.org/officeDocument/2006/customXml" ds:itemID="{DA6A3330-250B-4BD2-8E20-8A0611DB42C0}">
  <ds:schemaRefs>
    <ds:schemaRef ds:uri="http://schemas.microsoft.com/sharepoint/v3/contenttype/forms"/>
  </ds:schemaRefs>
</ds:datastoreItem>
</file>

<file path=customXml/itemProps4.xml><?xml version="1.0" encoding="utf-8"?>
<ds:datastoreItem xmlns:ds="http://schemas.openxmlformats.org/officeDocument/2006/customXml" ds:itemID="{1AC6E167-58ED-9543-B438-A2BF005A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1004</Words>
  <Characters>5523</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5</cp:revision>
  <cp:lastPrinted>2018-11-12T09:21:00Z</cp:lastPrinted>
  <dcterms:created xsi:type="dcterms:W3CDTF">2020-08-25T06:48:00Z</dcterms:created>
  <dcterms:modified xsi:type="dcterms:W3CDTF">2020-10-22T13:13:00Z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