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440E" w14:textId="4E4F746A" w:rsidR="00B73FD1" w:rsidRPr="008C2C68" w:rsidRDefault="00A22A44" w:rsidP="00B73FD1">
      <w:pPr>
        <w:jc w:val="center"/>
        <w:rPr>
          <w:b/>
          <w:bCs/>
          <w:noProof/>
        </w:rPr>
      </w:pPr>
      <w:r w:rsidRPr="008C2C68">
        <w:rPr>
          <w:b/>
          <w:bCs/>
          <w:noProof/>
        </w:rPr>
        <w:t xml:space="preserve">Mandate of the </w:t>
      </w:r>
      <w:r w:rsidR="00117F5F" w:rsidRPr="008C2C68">
        <w:rPr>
          <w:b/>
          <w:bCs/>
          <w:noProof/>
        </w:rPr>
        <w:t xml:space="preserve">Special Rapporteur on </w:t>
      </w:r>
      <w:r w:rsidR="00716707" w:rsidRPr="008C2C68">
        <w:rPr>
          <w:b/>
          <w:bCs/>
          <w:noProof/>
        </w:rPr>
        <w:t>the issue of human rights obligations relating to the enjoyment of a safe, clean, healthy and sustainable environment</w:t>
      </w:r>
    </w:p>
    <w:p w14:paraId="5931DAA7" w14:textId="77777777" w:rsidR="00716707" w:rsidRPr="008C2C68" w:rsidRDefault="00716707" w:rsidP="00B73FD1">
      <w:pPr>
        <w:jc w:val="center"/>
        <w:rPr>
          <w:b/>
          <w:bCs/>
        </w:rPr>
      </w:pPr>
    </w:p>
    <w:p w14:paraId="3FA92B81" w14:textId="54B157E8" w:rsidR="008F57BD" w:rsidRDefault="008F57BD" w:rsidP="000050BA">
      <w:pPr>
        <w:pStyle w:val="Default"/>
        <w:jc w:val="center"/>
        <w:rPr>
          <w:bCs/>
          <w:noProof/>
        </w:rPr>
      </w:pPr>
    </w:p>
    <w:p w14:paraId="767B4A75" w14:textId="57F6DD10" w:rsidR="000050BA" w:rsidRPr="008C2C68" w:rsidRDefault="000050BA" w:rsidP="000050BA">
      <w:pPr>
        <w:pStyle w:val="Default"/>
        <w:jc w:val="center"/>
        <w:rPr>
          <w:b/>
        </w:rPr>
      </w:pPr>
      <w:r w:rsidRPr="008C2C68">
        <w:rPr>
          <w:b/>
        </w:rPr>
        <w:t>Call for Inputs</w:t>
      </w:r>
    </w:p>
    <w:p w14:paraId="0C9EA17D" w14:textId="21578935" w:rsidR="000050BA" w:rsidRPr="008C2C68" w:rsidRDefault="000050BA" w:rsidP="000050BA">
      <w:pPr>
        <w:pStyle w:val="Default"/>
        <w:jc w:val="center"/>
        <w:rPr>
          <w:b/>
        </w:rPr>
      </w:pPr>
    </w:p>
    <w:p w14:paraId="3CA5FEC5" w14:textId="77777777" w:rsidR="000050BA" w:rsidRPr="008C2C68" w:rsidRDefault="000050BA" w:rsidP="000050BA">
      <w:pPr>
        <w:pStyle w:val="Default"/>
        <w:jc w:val="center"/>
        <w:rPr>
          <w:b/>
        </w:rPr>
      </w:pPr>
      <w:r w:rsidRPr="008C2C68">
        <w:rPr>
          <w:b/>
        </w:rPr>
        <w:t xml:space="preserve">Healthy Ecosystems and Human Rights: Sustaining the Foundations of Life </w:t>
      </w:r>
    </w:p>
    <w:p w14:paraId="472B948C" w14:textId="77777777" w:rsidR="000050BA" w:rsidRPr="008C2C68" w:rsidRDefault="000050BA" w:rsidP="000050BA">
      <w:pPr>
        <w:pStyle w:val="Default"/>
      </w:pPr>
    </w:p>
    <w:p w14:paraId="6DEE958D" w14:textId="77777777" w:rsidR="000050BA" w:rsidRPr="008C2C68" w:rsidRDefault="000050BA" w:rsidP="000050BA">
      <w:pPr>
        <w:widowControl w:val="0"/>
        <w:autoSpaceDE w:val="0"/>
        <w:autoSpaceDN w:val="0"/>
        <w:adjustRightInd w:val="0"/>
        <w:ind w:left="720"/>
        <w:rPr>
          <w:bCs/>
          <w:color w:val="000000"/>
          <w:sz w:val="24"/>
          <w:szCs w:val="24"/>
        </w:rPr>
      </w:pPr>
      <w:r w:rsidRPr="008C2C68">
        <w:rPr>
          <w:bCs/>
          <w:color w:val="000000"/>
          <w:sz w:val="24"/>
          <w:szCs w:val="24"/>
        </w:rPr>
        <w:t xml:space="preserve">“Goals for conserving and sustainably using nature and achieving sustainability cannot be met by current trajectories, and goals for 2030 and beyond may only be achieved through </w:t>
      </w:r>
      <w:r w:rsidRPr="008C2C68">
        <w:rPr>
          <w:bCs/>
          <w:color w:val="000000"/>
          <w:sz w:val="24"/>
          <w:szCs w:val="24"/>
          <w:u w:val="single"/>
        </w:rPr>
        <w:t>transformative</w:t>
      </w:r>
      <w:r w:rsidRPr="008C2C68">
        <w:rPr>
          <w:bCs/>
          <w:color w:val="000000"/>
          <w:position w:val="10"/>
          <w:sz w:val="24"/>
          <w:szCs w:val="24"/>
          <w:u w:val="single"/>
        </w:rPr>
        <w:t xml:space="preserve"> </w:t>
      </w:r>
      <w:r w:rsidRPr="008C2C68">
        <w:rPr>
          <w:bCs/>
          <w:color w:val="000000"/>
          <w:sz w:val="24"/>
          <w:szCs w:val="24"/>
          <w:u w:val="single"/>
        </w:rPr>
        <w:t>changes</w:t>
      </w:r>
      <w:r w:rsidRPr="008C2C68">
        <w:rPr>
          <w:bCs/>
          <w:color w:val="000000"/>
          <w:sz w:val="24"/>
          <w:szCs w:val="24"/>
        </w:rPr>
        <w:t xml:space="preserve"> across economic, social, political and technological factors.” </w:t>
      </w:r>
    </w:p>
    <w:p w14:paraId="3CA8587D" w14:textId="77777777" w:rsidR="000050BA" w:rsidRPr="008C2C68" w:rsidRDefault="000050BA" w:rsidP="000050BA">
      <w:pPr>
        <w:widowControl w:val="0"/>
        <w:autoSpaceDE w:val="0"/>
        <w:autoSpaceDN w:val="0"/>
        <w:adjustRightInd w:val="0"/>
        <w:ind w:left="1440"/>
        <w:rPr>
          <w:sz w:val="24"/>
          <w:szCs w:val="24"/>
        </w:rPr>
      </w:pPr>
    </w:p>
    <w:p w14:paraId="74EC2221" w14:textId="77777777" w:rsidR="000050BA" w:rsidRPr="008C2C68" w:rsidRDefault="000050BA" w:rsidP="000050BA">
      <w:pPr>
        <w:widowControl w:val="0"/>
        <w:autoSpaceDE w:val="0"/>
        <w:autoSpaceDN w:val="0"/>
        <w:adjustRightInd w:val="0"/>
        <w:ind w:left="1440"/>
        <w:rPr>
          <w:i/>
          <w:color w:val="000000"/>
          <w:sz w:val="24"/>
          <w:szCs w:val="24"/>
        </w:rPr>
      </w:pPr>
      <w:r w:rsidRPr="008C2C68">
        <w:rPr>
          <w:i/>
          <w:sz w:val="24"/>
          <w:szCs w:val="24"/>
        </w:rPr>
        <w:t xml:space="preserve">Intergovernmental Science-Policy Platform on Biodiversity and Ecosystem Services. 2019. </w:t>
      </w:r>
      <w:r w:rsidRPr="008C2C68">
        <w:rPr>
          <w:bCs/>
          <w:i/>
          <w:color w:val="000000"/>
          <w:sz w:val="24"/>
          <w:szCs w:val="24"/>
        </w:rPr>
        <w:t xml:space="preserve">“Summary for policymakers of the global assessment report on biodiversity and ecosystem services.” </w:t>
      </w:r>
    </w:p>
    <w:p w14:paraId="21E63903" w14:textId="77777777" w:rsidR="000050BA" w:rsidRPr="008C2C68" w:rsidRDefault="000050BA" w:rsidP="000050BA">
      <w:pPr>
        <w:pStyle w:val="Default"/>
      </w:pPr>
    </w:p>
    <w:p w14:paraId="1825E6A8" w14:textId="77777777" w:rsidR="000050BA" w:rsidRPr="008C2C68" w:rsidRDefault="000050BA" w:rsidP="00A57B6F">
      <w:pPr>
        <w:pStyle w:val="Default"/>
        <w:jc w:val="both"/>
      </w:pPr>
      <w:r w:rsidRPr="008C2C68">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sidRPr="008C2C68">
        <w:rPr>
          <w:rStyle w:val="Refdenotaderodap"/>
        </w:rPr>
        <w:footnoteReference w:id="1"/>
      </w:r>
      <w:r w:rsidRPr="008C2C68">
        <w:t xml:space="preserve"> a safe climate,</w:t>
      </w:r>
      <w:r w:rsidRPr="008C2C68">
        <w:rPr>
          <w:rStyle w:val="Refdenotaderodap"/>
        </w:rPr>
        <w:footnoteReference w:id="2"/>
      </w:r>
      <w:r w:rsidRPr="008C2C68">
        <w:t xml:space="preserve"> and good practices on the promotion and implementation of the right to a safe, clean, healthy and sustainable environment.</w:t>
      </w:r>
      <w:r w:rsidRPr="008C2C68">
        <w:rPr>
          <w:rStyle w:val="Refdenotaderodap"/>
        </w:rPr>
        <w:footnoteReference w:id="3"/>
      </w:r>
      <w:r w:rsidRPr="008C2C68">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14:paraId="010E8836" w14:textId="77777777" w:rsidR="000050BA" w:rsidRPr="008C2C68" w:rsidRDefault="000050BA" w:rsidP="00A57B6F">
      <w:pPr>
        <w:pStyle w:val="Default"/>
        <w:jc w:val="both"/>
      </w:pPr>
    </w:p>
    <w:p w14:paraId="258C368B" w14:textId="77777777" w:rsidR="000050BA" w:rsidRPr="008C2C68" w:rsidRDefault="000050BA" w:rsidP="00A57B6F">
      <w:pPr>
        <w:pStyle w:val="Default"/>
        <w:jc w:val="both"/>
      </w:pPr>
      <w:r w:rsidRPr="008C2C68">
        <w:t xml:space="preserve">Your replies will inform the Special Rapporteur’s analysis and contribute to his report, which will be presented to the General Assembly in October 2020. </w:t>
      </w:r>
    </w:p>
    <w:p w14:paraId="0F152B72" w14:textId="77777777" w:rsidR="000050BA" w:rsidRPr="008C2C68" w:rsidRDefault="000050BA" w:rsidP="000050BA">
      <w:pPr>
        <w:pStyle w:val="Default"/>
      </w:pPr>
    </w:p>
    <w:p w14:paraId="3A307531" w14:textId="77777777" w:rsidR="000050BA" w:rsidRPr="008C2C68" w:rsidRDefault="000050BA" w:rsidP="000050BA">
      <w:pPr>
        <w:pStyle w:val="Default"/>
        <w:jc w:val="center"/>
      </w:pPr>
      <w:r w:rsidRPr="008C2C68">
        <w:rPr>
          <w:b/>
          <w:bCs/>
        </w:rPr>
        <w:t>Questionnaire</w:t>
      </w:r>
    </w:p>
    <w:p w14:paraId="700CA08B" w14:textId="77777777" w:rsidR="000050BA" w:rsidRPr="008C2C68" w:rsidRDefault="000050BA" w:rsidP="000050BA">
      <w:pPr>
        <w:pStyle w:val="Default"/>
      </w:pPr>
      <w:r w:rsidRPr="008C2C68">
        <w:t xml:space="preserve">The Special Rapporteur invites and welcomes your answers to the following questions: </w:t>
      </w:r>
    </w:p>
    <w:p w14:paraId="2F77DE72" w14:textId="77777777" w:rsidR="000050BA" w:rsidRPr="008C2C68" w:rsidRDefault="000050BA" w:rsidP="000050BA">
      <w:pPr>
        <w:pStyle w:val="Default"/>
      </w:pPr>
    </w:p>
    <w:p w14:paraId="249D8F43" w14:textId="050AB31E" w:rsidR="000050BA" w:rsidRPr="0077092A" w:rsidRDefault="000050BA" w:rsidP="007407B7">
      <w:pPr>
        <w:pStyle w:val="Default"/>
        <w:numPr>
          <w:ilvl w:val="0"/>
          <w:numId w:val="24"/>
        </w:numPr>
        <w:ind w:left="0" w:firstLine="0"/>
        <w:jc w:val="both"/>
        <w:rPr>
          <w:b/>
          <w:sz w:val="20"/>
          <w:szCs w:val="20"/>
        </w:rPr>
      </w:pPr>
      <w:r w:rsidRPr="0077092A">
        <w:rPr>
          <w:b/>
          <w:sz w:val="20"/>
          <w:szCs w:val="20"/>
        </w:rPr>
        <w:t xml:space="preserve">Please provide examples of ways in which declining biodiversity and degraded ecosystems are </w:t>
      </w:r>
      <w:bookmarkStart w:id="0" w:name="_GoBack"/>
      <w:bookmarkEnd w:id="0"/>
      <w:r w:rsidRPr="0077092A">
        <w:rPr>
          <w:b/>
          <w:sz w:val="20"/>
          <w:szCs w:val="20"/>
        </w:rPr>
        <w:t xml:space="preserve">already having </w:t>
      </w:r>
      <w:r w:rsidRPr="0077092A">
        <w:rPr>
          <w:b/>
          <w:sz w:val="20"/>
          <w:szCs w:val="20"/>
          <w:u w:val="single"/>
        </w:rPr>
        <w:t>adverse impacts on human rights</w:t>
      </w:r>
      <w:r w:rsidRPr="0077092A">
        <w:rPr>
          <w:b/>
          <w:sz w:val="20"/>
          <w:szCs w:val="20"/>
        </w:rPr>
        <w:t>. Adversely affected rights could include, among others, the rights to life, health, water, food, culture, non-discrimination, a safe, clean, healthy and sustainable environment, and Indigenous rights.</w:t>
      </w:r>
    </w:p>
    <w:p w14:paraId="158FAC44" w14:textId="77777777" w:rsidR="00A31DD1" w:rsidRDefault="00A31DD1" w:rsidP="00A31DD1">
      <w:pPr>
        <w:pStyle w:val="Default"/>
        <w:ind w:left="720"/>
      </w:pPr>
    </w:p>
    <w:p w14:paraId="2BECD0F0" w14:textId="3A2E6C80" w:rsidR="00A31DD1" w:rsidRPr="0077092A" w:rsidRDefault="00A31DD1" w:rsidP="007D4AEB">
      <w:pPr>
        <w:pStyle w:val="Default"/>
        <w:jc w:val="both"/>
      </w:pPr>
      <w:r w:rsidRPr="0077092A">
        <w:t xml:space="preserve">In Brazil, the context of aggression against the biological diversity has increased in the current Jair </w:t>
      </w:r>
      <w:proofErr w:type="spellStart"/>
      <w:r w:rsidRPr="0077092A">
        <w:t>Bolsonaro’s</w:t>
      </w:r>
      <w:proofErr w:type="spellEnd"/>
      <w:r w:rsidRPr="0077092A">
        <w:t xml:space="preserve"> federal government. In the year of 2019, the deforestation rates have </w:t>
      </w:r>
      <w:r w:rsidRPr="0077092A">
        <w:lastRenderedPageBreak/>
        <w:t>shockingly increased in the Legal Ama</w:t>
      </w:r>
      <w:r w:rsidRPr="0077092A">
        <w:t>zon, 29.54% higher than 2018</w:t>
      </w:r>
      <w:r w:rsidRPr="0077092A">
        <w:rPr>
          <w:rStyle w:val="Refdenotaderodap"/>
        </w:rPr>
        <w:footnoteReference w:id="4"/>
      </w:r>
      <w:r w:rsidRPr="0077092A">
        <w:t xml:space="preserve"> and previous years. Moreover, the consumption of pesticides has multiplied, since 467 types of pesticides were approved for commercialization (152 of which were authorized in the first 100 days of the president’s mandate).</w:t>
      </w:r>
    </w:p>
    <w:p w14:paraId="5C68A369" w14:textId="77777777" w:rsidR="00FE522D" w:rsidRPr="0077092A" w:rsidRDefault="00A31DD1" w:rsidP="007D4AEB">
      <w:pPr>
        <w:pStyle w:val="Default"/>
        <w:jc w:val="both"/>
      </w:pPr>
      <w:r w:rsidRPr="0077092A">
        <w:t>Data from th</w:t>
      </w:r>
      <w:r w:rsidRPr="0077092A">
        <w:t>e Deforestation Alert System</w:t>
      </w:r>
      <w:r w:rsidRPr="0077092A">
        <w:rPr>
          <w:rStyle w:val="Refdenotaderodap"/>
        </w:rPr>
        <w:footnoteReference w:id="5"/>
      </w:r>
      <w:r w:rsidRPr="0077092A">
        <w:t xml:space="preserve"> points out to an increase of 133% in deforestation between January and April 2020 in the Legal Amazon compared to the same period in 2019, accumulating 1,073 km². We highlight that amidst the COVID-19 pandemic, </w:t>
      </w:r>
      <w:proofErr w:type="spellStart"/>
      <w:r w:rsidRPr="0077092A">
        <w:t>Bolsonaro’s</w:t>
      </w:r>
      <w:proofErr w:type="spellEnd"/>
      <w:r w:rsidRPr="0077092A">
        <w:t xml:space="preserve"> government provided amnesty to landowners who destroyed fragile </w:t>
      </w:r>
      <w:r w:rsidR="007D4AEB" w:rsidRPr="0077092A">
        <w:t xml:space="preserve">areas in the Mata </w:t>
      </w:r>
      <w:proofErr w:type="spellStart"/>
      <w:r w:rsidR="007D4AEB" w:rsidRPr="0077092A">
        <w:t>Atlântica</w:t>
      </w:r>
      <w:proofErr w:type="spellEnd"/>
      <w:r w:rsidR="007D4AEB" w:rsidRPr="0077092A">
        <w:rPr>
          <w:rStyle w:val="Refdenotaderodap"/>
        </w:rPr>
        <w:footnoteReference w:id="6"/>
      </w:r>
      <w:r w:rsidR="007D4AEB" w:rsidRPr="0077092A">
        <w:t>,</w:t>
      </w:r>
      <w:r w:rsidRPr="0077092A">
        <w:t xml:space="preserve"> one of the more devastated biomes in Brazil.</w:t>
      </w:r>
      <w:r w:rsidR="007D4AEB" w:rsidRPr="0077092A">
        <w:t xml:space="preserve"> </w:t>
      </w:r>
    </w:p>
    <w:p w14:paraId="0686454B" w14:textId="21568D02" w:rsidR="00A31DD1" w:rsidRPr="0077092A" w:rsidRDefault="00FE522D" w:rsidP="007D4AEB">
      <w:pPr>
        <w:pStyle w:val="Default"/>
        <w:jc w:val="both"/>
      </w:pPr>
      <w:r w:rsidRPr="0077092A">
        <w:t>R</w:t>
      </w:r>
      <w:r w:rsidR="007D4AEB" w:rsidRPr="0077092A">
        <w:t>esearch</w:t>
      </w:r>
      <w:r w:rsidR="007D4AEB" w:rsidRPr="0077092A">
        <w:rPr>
          <w:rStyle w:val="Refdenotaderodap"/>
        </w:rPr>
        <w:footnoteReference w:id="7"/>
      </w:r>
      <w:r w:rsidR="00A31DD1" w:rsidRPr="0077092A">
        <w:t xml:space="preserve"> from the University of São Paulo indicates the death of half a billion bees in the country in less than three months due to the indiscriminate use of pesticides, which jeopardizes the equilibrium of ecosystems and the right to an ecologically balanced natural environment.</w:t>
      </w:r>
    </w:p>
    <w:p w14:paraId="485DCEB1" w14:textId="0F019BC1" w:rsidR="007D4AEB" w:rsidRPr="0077092A" w:rsidRDefault="007D4AEB" w:rsidP="007D4AEB">
      <w:pPr>
        <w:pStyle w:val="Default"/>
        <w:jc w:val="both"/>
      </w:pPr>
      <w:r w:rsidRPr="0077092A">
        <w:t>The massive use of toxic products at rates above the safety levels are violating human rights such as the right to health, to water, and to an ecologically balanced natural environme</w:t>
      </w:r>
      <w:r w:rsidR="00FE522D" w:rsidRPr="0077092A">
        <w:t>nt. According to data from the N</w:t>
      </w:r>
      <w:r w:rsidRPr="0077092A">
        <w:t xml:space="preserve">etwork Permanent Campaign Against Pesticides and </w:t>
      </w:r>
      <w:proofErr w:type="gramStart"/>
      <w:r w:rsidRPr="0077092A">
        <w:t>For</w:t>
      </w:r>
      <w:proofErr w:type="gramEnd"/>
      <w:r w:rsidRPr="0077092A">
        <w:t xml:space="preserve"> Life, amongst the authorized pesticides, almost 26% of them were prohibited by the European Union. Glyphosate, for example, was considered to be “possibly carcinogenic” by the IARC (International Agency for Research on Cancer) in 2015, and such data was ignored by the National Health Surveillance Agency when it considered the product as unlikely to cause harm to human health. In addition, the levels of toxic residues in the water in Brazil are 5 thousand higher than those permitted in Europe, which is a serious indicator of a violation to the right to clean drinking water in the country.</w:t>
      </w:r>
    </w:p>
    <w:p w14:paraId="51CF323E" w14:textId="542FFAB0" w:rsidR="007D4AEB" w:rsidRPr="0077092A" w:rsidRDefault="007D4AEB" w:rsidP="007D4AEB">
      <w:pPr>
        <w:pStyle w:val="Default"/>
        <w:jc w:val="both"/>
      </w:pPr>
      <w:r w:rsidRPr="0077092A">
        <w:t>Based on data from the Ministry of Health, a National Study regarding the water contamination by pesticides in the whole country indicates the water’s contamination by 27 different types of pesticides in 1 out of 4 Brazilian municipalities, of which 16 of these products are considered to be highly toxic by ANVISA – National Health Surveillance Agency, and the other 11 to be related to chronic diseases (such as cancer and fetal malformation)</w:t>
      </w:r>
      <w:r w:rsidRPr="0077092A">
        <w:rPr>
          <w:rStyle w:val="Refdenotaderodap"/>
        </w:rPr>
        <w:footnoteReference w:id="8"/>
      </w:r>
      <w:r w:rsidRPr="0077092A">
        <w:t>.</w:t>
      </w:r>
    </w:p>
    <w:p w14:paraId="0CF0982D" w14:textId="77777777" w:rsidR="00A31DD1" w:rsidRPr="0077092A" w:rsidRDefault="00A31DD1" w:rsidP="00A31DD1">
      <w:pPr>
        <w:pStyle w:val="Default"/>
        <w:ind w:left="360"/>
      </w:pPr>
    </w:p>
    <w:p w14:paraId="173DA2A9" w14:textId="77777777" w:rsidR="000050BA" w:rsidRPr="0077092A" w:rsidRDefault="000050BA" w:rsidP="00FE522D">
      <w:pPr>
        <w:pStyle w:val="Default"/>
        <w:jc w:val="both"/>
        <w:rPr>
          <w:b/>
          <w:sz w:val="20"/>
          <w:szCs w:val="20"/>
        </w:rPr>
      </w:pPr>
      <w:r w:rsidRPr="0077092A">
        <w:rPr>
          <w:b/>
          <w:sz w:val="20"/>
          <w:szCs w:val="20"/>
        </w:rPr>
        <w:t xml:space="preserve">2. To protect a wide range of human rights, what are the </w:t>
      </w:r>
      <w:r w:rsidRPr="0077092A">
        <w:rPr>
          <w:b/>
          <w:sz w:val="20"/>
          <w:szCs w:val="20"/>
          <w:u w:val="single"/>
        </w:rPr>
        <w:t>specific obligations</w:t>
      </w:r>
      <w:r w:rsidRPr="0077092A">
        <w:rPr>
          <w:b/>
          <w:sz w:val="20"/>
          <w:szCs w:val="20"/>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14:paraId="3295DDA6" w14:textId="77777777" w:rsidR="000050BA" w:rsidRPr="0077092A" w:rsidRDefault="000050BA" w:rsidP="00FE522D">
      <w:pPr>
        <w:pStyle w:val="Default"/>
        <w:jc w:val="both"/>
        <w:rPr>
          <w:b/>
          <w:sz w:val="20"/>
          <w:szCs w:val="20"/>
        </w:rPr>
      </w:pPr>
    </w:p>
    <w:p w14:paraId="3A65023F" w14:textId="77777777" w:rsidR="000050BA" w:rsidRPr="0077092A" w:rsidRDefault="000050BA" w:rsidP="00FE522D">
      <w:pPr>
        <w:pStyle w:val="Default"/>
        <w:jc w:val="both"/>
        <w:rPr>
          <w:b/>
          <w:sz w:val="20"/>
          <w:szCs w:val="20"/>
        </w:rPr>
      </w:pPr>
      <w:r w:rsidRPr="0077092A">
        <w:rPr>
          <w:b/>
          <w:sz w:val="20"/>
          <w:szCs w:val="20"/>
        </w:rPr>
        <w:t xml:space="preserve">3. Please provide specific examples of constitutional provisions, legislation, regulations, policies, programs or other measures that employ a </w:t>
      </w:r>
      <w:r w:rsidRPr="0077092A">
        <w:rPr>
          <w:b/>
          <w:sz w:val="20"/>
          <w:szCs w:val="20"/>
          <w:u w:val="single"/>
        </w:rPr>
        <w:t>rights-based approach</w:t>
      </w:r>
      <w:r w:rsidRPr="0077092A">
        <w:rPr>
          <w:b/>
          <w:sz w:val="20"/>
          <w:szCs w:val="20"/>
        </w:rPr>
        <w:t xml:space="preserve"> to prevent, reduce, or eliminate harm to biodiversity and ecosystems or to restore and rehabilitate biodiversity and ecosystems. </w:t>
      </w:r>
    </w:p>
    <w:p w14:paraId="5013F5AA" w14:textId="77777777" w:rsidR="000050BA" w:rsidRPr="0077092A" w:rsidRDefault="000050BA" w:rsidP="00FE522D">
      <w:pPr>
        <w:pStyle w:val="Default"/>
        <w:jc w:val="both"/>
        <w:rPr>
          <w:b/>
          <w:sz w:val="20"/>
          <w:szCs w:val="20"/>
        </w:rPr>
      </w:pPr>
    </w:p>
    <w:p w14:paraId="28C45F3D" w14:textId="3291A7EC" w:rsidR="000050BA" w:rsidRDefault="000050BA" w:rsidP="00FE522D">
      <w:pPr>
        <w:pStyle w:val="Default"/>
        <w:jc w:val="both"/>
        <w:rPr>
          <w:b/>
          <w:sz w:val="20"/>
          <w:szCs w:val="20"/>
        </w:rPr>
      </w:pPr>
      <w:r w:rsidRPr="0077092A">
        <w:rPr>
          <w:b/>
          <w:sz w:val="20"/>
          <w:szCs w:val="20"/>
        </w:rPr>
        <w:t>4. If your State is one of the 156 UN Member States that recognizes the right to a safe, clean, healthy and sustainable environment,</w:t>
      </w:r>
      <w:r w:rsidRPr="0077092A">
        <w:rPr>
          <w:rStyle w:val="Refdenotaderodap"/>
          <w:b/>
          <w:sz w:val="20"/>
          <w:szCs w:val="20"/>
        </w:rPr>
        <w:footnoteReference w:id="9"/>
      </w:r>
      <w:r w:rsidRPr="0077092A">
        <w:rPr>
          <w:b/>
          <w:sz w:val="20"/>
          <w:szCs w:val="20"/>
        </w:rPr>
        <w:t xml:space="preserve"> has this right contributed to protecting, conserving and restoring biodiversity and healthy ecosystems? If so, how? If not, why not?</w:t>
      </w:r>
    </w:p>
    <w:p w14:paraId="18E3D23E" w14:textId="77777777" w:rsidR="00A57B6F" w:rsidRDefault="00A57B6F" w:rsidP="00FE522D">
      <w:pPr>
        <w:pStyle w:val="Default"/>
        <w:jc w:val="both"/>
        <w:rPr>
          <w:b/>
          <w:sz w:val="20"/>
          <w:szCs w:val="20"/>
        </w:rPr>
      </w:pPr>
    </w:p>
    <w:p w14:paraId="30C0BBF4" w14:textId="77777777" w:rsidR="006F02F1" w:rsidRPr="006F02F1" w:rsidRDefault="006F02F1" w:rsidP="006F02F1">
      <w:pPr>
        <w:jc w:val="both"/>
        <w:rPr>
          <w:rFonts w:cstheme="minorHAnsi"/>
          <w:sz w:val="24"/>
          <w:szCs w:val="24"/>
          <w:lang w:val="en-US" w:eastAsia="pt-BR"/>
        </w:rPr>
      </w:pPr>
      <w:r w:rsidRPr="006F02F1">
        <w:rPr>
          <w:rFonts w:cstheme="minorHAnsi"/>
          <w:sz w:val="24"/>
          <w:szCs w:val="24"/>
          <w:lang w:val="en-US" w:eastAsia="pt-BR"/>
        </w:rPr>
        <w:lastRenderedPageBreak/>
        <w:t xml:space="preserve">The following are some examples of recent measures adopted by the Brazilian government that are negatively impacting environmental and biodiversity policies: </w:t>
      </w:r>
    </w:p>
    <w:p w14:paraId="6CF74DDD" w14:textId="77777777" w:rsidR="006F02F1" w:rsidRPr="006F02F1" w:rsidRDefault="006F02F1" w:rsidP="006F02F1">
      <w:pPr>
        <w:jc w:val="both"/>
        <w:rPr>
          <w:rFonts w:cstheme="minorHAnsi"/>
          <w:sz w:val="24"/>
          <w:szCs w:val="24"/>
          <w:lang w:val="en-US" w:eastAsia="pt-BR"/>
        </w:rPr>
      </w:pPr>
    </w:p>
    <w:p w14:paraId="66730966" w14:textId="77777777" w:rsidR="006F02F1" w:rsidRPr="006F02F1" w:rsidRDefault="006F02F1" w:rsidP="00A57B6F">
      <w:pPr>
        <w:spacing w:after="240"/>
        <w:jc w:val="both"/>
        <w:rPr>
          <w:rFonts w:cstheme="minorHAnsi"/>
          <w:sz w:val="24"/>
          <w:szCs w:val="24"/>
          <w:lang w:val="en-US" w:eastAsia="pt-BR"/>
        </w:rPr>
      </w:pPr>
      <w:r w:rsidRPr="006F02F1">
        <w:rPr>
          <w:rFonts w:cstheme="minorHAnsi"/>
          <w:b/>
          <w:bCs/>
          <w:sz w:val="24"/>
          <w:szCs w:val="24"/>
          <w:shd w:val="clear" w:color="auto" w:fill="FFFFFF"/>
          <w:lang w:val="en-US" w:eastAsia="pt-BR"/>
        </w:rPr>
        <w:t>February 06</w:t>
      </w:r>
      <w:r w:rsidRPr="006F02F1">
        <w:rPr>
          <w:rFonts w:cstheme="minorHAnsi"/>
          <w:b/>
          <w:bCs/>
          <w:sz w:val="24"/>
          <w:szCs w:val="24"/>
          <w:shd w:val="clear" w:color="auto" w:fill="FFFFFF"/>
          <w:vertAlign w:val="superscript"/>
          <w:lang w:val="en-US" w:eastAsia="pt-BR"/>
        </w:rPr>
        <w:t>th</w:t>
      </w:r>
      <w:r w:rsidRPr="006F02F1">
        <w:rPr>
          <w:rFonts w:cstheme="minorHAnsi"/>
          <w:b/>
          <w:bCs/>
          <w:sz w:val="24"/>
          <w:szCs w:val="24"/>
          <w:shd w:val="clear" w:color="auto" w:fill="FFFFFF"/>
          <w:lang w:val="en-US" w:eastAsia="pt-BR"/>
        </w:rPr>
        <w:t xml:space="preserve"> - </w:t>
      </w:r>
      <w:r w:rsidRPr="006F02F1">
        <w:rPr>
          <w:rFonts w:cstheme="minorHAnsi"/>
          <w:sz w:val="24"/>
          <w:szCs w:val="24"/>
          <w:shd w:val="clear" w:color="auto" w:fill="FFFFFF"/>
          <w:lang w:val="en-US" w:eastAsia="pt-BR"/>
        </w:rPr>
        <w:t>Bento Albuquerque, Minister of Mines and Energy presents the Draft Bill No. 191/2020, </w:t>
      </w:r>
      <w:hyperlink r:id="rId11" w:history="1">
        <w:r w:rsidRPr="006F02F1">
          <w:rPr>
            <w:rStyle w:val="Hyperlink"/>
            <w:rFonts w:cstheme="minorHAnsi"/>
            <w:sz w:val="24"/>
            <w:szCs w:val="24"/>
            <w:shd w:val="clear" w:color="auto" w:fill="FFFFFF"/>
            <w:lang w:val="en-US" w:eastAsia="pt-BR"/>
          </w:rPr>
          <w:t>which intends to liberate mining activities in indigenous lands</w:t>
        </w:r>
      </w:hyperlink>
      <w:r w:rsidRPr="006F02F1">
        <w:rPr>
          <w:rFonts w:cstheme="minorHAnsi"/>
          <w:color w:val="333333"/>
          <w:sz w:val="24"/>
          <w:szCs w:val="24"/>
          <w:shd w:val="clear" w:color="auto" w:fill="FFFFFF"/>
          <w:lang w:val="en-US" w:eastAsia="pt-BR"/>
        </w:rPr>
        <w:t>.</w:t>
      </w:r>
    </w:p>
    <w:p w14:paraId="3A196372" w14:textId="059E5C08" w:rsidR="006F02F1" w:rsidRPr="006F02F1" w:rsidRDefault="006F02F1" w:rsidP="00A57B6F">
      <w:pPr>
        <w:spacing w:after="240"/>
        <w:jc w:val="both"/>
        <w:rPr>
          <w:rFonts w:cstheme="minorHAnsi"/>
          <w:sz w:val="24"/>
          <w:szCs w:val="24"/>
          <w:lang w:val="en-US" w:eastAsia="pt-BR"/>
        </w:rPr>
      </w:pPr>
      <w:r w:rsidRPr="006F02F1">
        <w:rPr>
          <w:rFonts w:cstheme="minorHAnsi"/>
          <w:b/>
          <w:bCs/>
          <w:sz w:val="24"/>
          <w:szCs w:val="24"/>
          <w:shd w:val="clear" w:color="auto" w:fill="FFFFFF"/>
          <w:lang w:val="en-US" w:eastAsia="pt-BR"/>
        </w:rPr>
        <w:t>February 12</w:t>
      </w:r>
      <w:r w:rsidRPr="006F02F1">
        <w:rPr>
          <w:rFonts w:cstheme="minorHAnsi"/>
          <w:b/>
          <w:bCs/>
          <w:sz w:val="24"/>
          <w:szCs w:val="24"/>
          <w:shd w:val="clear" w:color="auto" w:fill="FFFFFF"/>
          <w:vertAlign w:val="superscript"/>
          <w:lang w:val="en-US" w:eastAsia="pt-BR"/>
        </w:rPr>
        <w:t>th</w:t>
      </w:r>
      <w:r w:rsidRPr="006F02F1">
        <w:rPr>
          <w:rFonts w:cstheme="minorHAnsi"/>
          <w:b/>
          <w:bCs/>
          <w:sz w:val="24"/>
          <w:szCs w:val="24"/>
          <w:shd w:val="clear" w:color="auto" w:fill="FFFFFF"/>
          <w:lang w:val="en-US" w:eastAsia="pt-BR"/>
        </w:rPr>
        <w:t xml:space="preserve">   - </w:t>
      </w:r>
      <w:r w:rsidR="00A57B6F" w:rsidRPr="00A57B6F">
        <w:rPr>
          <w:rFonts w:cstheme="minorHAnsi"/>
          <w:bCs/>
          <w:sz w:val="24"/>
          <w:szCs w:val="24"/>
          <w:shd w:val="clear" w:color="auto" w:fill="FFFFFF"/>
          <w:lang w:val="en-US" w:eastAsia="pt-BR"/>
        </w:rPr>
        <w:t>President</w:t>
      </w:r>
      <w:r w:rsidR="00A57B6F">
        <w:rPr>
          <w:rFonts w:cstheme="minorHAnsi"/>
          <w:b/>
          <w:bCs/>
          <w:sz w:val="24"/>
          <w:szCs w:val="24"/>
          <w:shd w:val="clear" w:color="auto" w:fill="FFFFFF"/>
          <w:lang w:val="en-US" w:eastAsia="pt-BR"/>
        </w:rPr>
        <w:t xml:space="preserve"> </w:t>
      </w:r>
      <w:proofErr w:type="spellStart"/>
      <w:r w:rsidRPr="006F02F1">
        <w:rPr>
          <w:rFonts w:cstheme="minorHAnsi"/>
          <w:sz w:val="24"/>
          <w:szCs w:val="24"/>
          <w:shd w:val="clear" w:color="auto" w:fill="FFFFFF"/>
          <w:lang w:val="en-US" w:eastAsia="pt-BR"/>
        </w:rPr>
        <w:t>Bolsonaro</w:t>
      </w:r>
      <w:proofErr w:type="spellEnd"/>
      <w:r w:rsidRPr="006F02F1">
        <w:rPr>
          <w:rFonts w:cstheme="minorHAnsi"/>
          <w:sz w:val="24"/>
          <w:szCs w:val="24"/>
          <w:shd w:val="clear" w:color="auto" w:fill="FFFFFF"/>
          <w:lang w:val="en-US" w:eastAsia="pt-BR"/>
        </w:rPr>
        <w:t xml:space="preserve"> publishes presidential decree that </w:t>
      </w:r>
      <w:hyperlink r:id="rId12" w:history="1">
        <w:r w:rsidRPr="006F02F1">
          <w:rPr>
            <w:rStyle w:val="Hyperlink"/>
            <w:rFonts w:cstheme="minorHAnsi"/>
            <w:sz w:val="24"/>
            <w:szCs w:val="24"/>
            <w:shd w:val="clear" w:color="auto" w:fill="FFFFFF"/>
            <w:lang w:val="en-US" w:eastAsia="pt-BR"/>
          </w:rPr>
          <w:t>extinguishes 42 leading positions in Conservation Units</w:t>
        </w:r>
      </w:hyperlink>
      <w:r w:rsidRPr="006F02F1">
        <w:rPr>
          <w:rFonts w:cstheme="minorHAnsi"/>
          <w:color w:val="333333"/>
          <w:sz w:val="24"/>
          <w:szCs w:val="24"/>
          <w:shd w:val="clear" w:color="auto" w:fill="FFFFFF"/>
          <w:lang w:val="en-US" w:eastAsia="pt-BR"/>
        </w:rPr>
        <w:t xml:space="preserve"> </w:t>
      </w:r>
      <w:r w:rsidRPr="006F02F1">
        <w:rPr>
          <w:rFonts w:cstheme="minorHAnsi"/>
          <w:sz w:val="24"/>
          <w:szCs w:val="24"/>
          <w:shd w:val="clear" w:color="auto" w:fill="FFFFFF"/>
          <w:lang w:val="en-US" w:eastAsia="pt-BR"/>
        </w:rPr>
        <w:t>under the responsibility of the Chico Mendes Institute of Biodiversity Conservation (</w:t>
      </w:r>
      <w:proofErr w:type="spellStart"/>
      <w:r w:rsidRPr="006F02F1">
        <w:rPr>
          <w:rFonts w:cstheme="minorHAnsi"/>
          <w:i/>
          <w:iCs/>
          <w:sz w:val="24"/>
          <w:szCs w:val="24"/>
          <w:lang w:val="en-US" w:eastAsia="pt-BR"/>
        </w:rPr>
        <w:t>ICMBio</w:t>
      </w:r>
      <w:proofErr w:type="spellEnd"/>
      <w:r w:rsidRPr="006F02F1">
        <w:rPr>
          <w:rFonts w:cstheme="minorHAnsi"/>
          <w:sz w:val="24"/>
          <w:szCs w:val="24"/>
          <w:shd w:val="clear" w:color="auto" w:fill="FFFFFF"/>
          <w:lang w:val="en-US" w:eastAsia="pt-BR"/>
        </w:rPr>
        <w:t>), revealing a deterioration of the environmental agenda</w:t>
      </w:r>
      <w:r w:rsidR="00A57B6F">
        <w:rPr>
          <w:rFonts w:cstheme="minorHAnsi"/>
          <w:sz w:val="24"/>
          <w:szCs w:val="24"/>
          <w:shd w:val="clear" w:color="auto" w:fill="FFFFFF"/>
          <w:lang w:val="en-US" w:eastAsia="pt-BR"/>
        </w:rPr>
        <w:t>.</w:t>
      </w:r>
    </w:p>
    <w:p w14:paraId="1E0BED95" w14:textId="2CD67309" w:rsidR="006F02F1" w:rsidRPr="006F02F1" w:rsidRDefault="006F02F1" w:rsidP="00A57B6F">
      <w:pPr>
        <w:spacing w:after="240"/>
        <w:jc w:val="both"/>
        <w:rPr>
          <w:rFonts w:cstheme="minorHAnsi"/>
          <w:sz w:val="24"/>
          <w:szCs w:val="24"/>
          <w:lang w:val="en-US" w:eastAsia="pt-BR"/>
        </w:rPr>
      </w:pPr>
      <w:r w:rsidRPr="006F02F1">
        <w:rPr>
          <w:rFonts w:cstheme="minorHAnsi"/>
          <w:b/>
          <w:bCs/>
          <w:sz w:val="24"/>
          <w:szCs w:val="24"/>
          <w:shd w:val="clear" w:color="auto" w:fill="FFFFFF"/>
          <w:lang w:val="en-US" w:eastAsia="pt-BR"/>
        </w:rPr>
        <w:t>March 03</w:t>
      </w:r>
      <w:r w:rsidRPr="006F02F1">
        <w:rPr>
          <w:rFonts w:cstheme="minorHAnsi"/>
          <w:b/>
          <w:bCs/>
          <w:sz w:val="24"/>
          <w:szCs w:val="24"/>
          <w:shd w:val="clear" w:color="auto" w:fill="FFFFFF"/>
          <w:vertAlign w:val="superscript"/>
          <w:lang w:val="en-US" w:eastAsia="pt-BR"/>
        </w:rPr>
        <w:t>rd</w:t>
      </w:r>
      <w:r w:rsidRPr="006F02F1">
        <w:rPr>
          <w:rFonts w:cstheme="minorHAnsi"/>
          <w:b/>
          <w:bCs/>
          <w:sz w:val="24"/>
          <w:szCs w:val="24"/>
          <w:shd w:val="clear" w:color="auto" w:fill="FFFFFF"/>
          <w:lang w:val="en-US" w:eastAsia="pt-BR"/>
        </w:rPr>
        <w:t xml:space="preserve"> –</w:t>
      </w:r>
      <w:r w:rsidR="00A57B6F">
        <w:rPr>
          <w:rFonts w:cstheme="minorHAnsi"/>
          <w:bCs/>
          <w:sz w:val="24"/>
          <w:szCs w:val="24"/>
          <w:shd w:val="clear" w:color="auto" w:fill="FFFFFF"/>
          <w:lang w:val="en-US" w:eastAsia="pt-BR"/>
        </w:rPr>
        <w:t xml:space="preserve"> P</w:t>
      </w:r>
      <w:r w:rsidRPr="00A57B6F">
        <w:rPr>
          <w:rFonts w:cstheme="minorHAnsi"/>
          <w:bCs/>
          <w:sz w:val="24"/>
          <w:szCs w:val="24"/>
          <w:shd w:val="clear" w:color="auto" w:fill="FFFFFF"/>
          <w:lang w:val="en-US" w:eastAsia="pt-BR"/>
        </w:rPr>
        <w:t>resident</w:t>
      </w:r>
      <w:r w:rsidR="00A57B6F">
        <w:rPr>
          <w:rFonts w:cstheme="minorHAnsi"/>
          <w:bCs/>
          <w:sz w:val="24"/>
          <w:szCs w:val="24"/>
          <w:shd w:val="clear" w:color="auto" w:fill="FFFFFF"/>
          <w:lang w:val="en-US" w:eastAsia="pt-BR"/>
        </w:rPr>
        <w:t xml:space="preserve"> of the </w:t>
      </w:r>
      <w:r w:rsidR="00A57B6F" w:rsidRPr="00A57B6F">
        <w:rPr>
          <w:rFonts w:cstheme="minorHAnsi"/>
          <w:bCs/>
          <w:sz w:val="24"/>
          <w:szCs w:val="24"/>
          <w:shd w:val="clear" w:color="auto" w:fill="FFFFFF"/>
          <w:lang w:val="en-US" w:eastAsia="pt-BR"/>
        </w:rPr>
        <w:t>Brazilian Institute of the Environment</w:t>
      </w:r>
      <w:r w:rsidR="00A57B6F">
        <w:rPr>
          <w:rFonts w:cstheme="minorHAnsi"/>
          <w:bCs/>
          <w:sz w:val="24"/>
          <w:szCs w:val="24"/>
          <w:shd w:val="clear" w:color="auto" w:fill="FFFFFF"/>
          <w:lang w:val="en-US" w:eastAsia="pt-BR"/>
        </w:rPr>
        <w:t xml:space="preserve"> (IBAMA)</w:t>
      </w:r>
      <w:r w:rsidRPr="006F02F1">
        <w:rPr>
          <w:rFonts w:cstheme="minorHAnsi"/>
          <w:b/>
          <w:bCs/>
          <w:sz w:val="24"/>
          <w:szCs w:val="24"/>
          <w:shd w:val="clear" w:color="auto" w:fill="FFFFFF"/>
          <w:lang w:val="en-US" w:eastAsia="pt-BR"/>
        </w:rPr>
        <w:t>,</w:t>
      </w:r>
      <w:r w:rsidRPr="006F02F1">
        <w:rPr>
          <w:rFonts w:cstheme="minorHAnsi"/>
          <w:sz w:val="24"/>
          <w:szCs w:val="24"/>
          <w:shd w:val="clear" w:color="auto" w:fill="FFFFFF"/>
          <w:lang w:val="en-US" w:eastAsia="pt-BR"/>
        </w:rPr>
        <w:t xml:space="preserve"> Eduardo </w:t>
      </w:r>
      <w:proofErr w:type="spellStart"/>
      <w:r w:rsidRPr="006F02F1">
        <w:rPr>
          <w:rFonts w:cstheme="minorHAnsi"/>
          <w:sz w:val="24"/>
          <w:szCs w:val="24"/>
          <w:shd w:val="clear" w:color="auto" w:fill="FFFFFF"/>
          <w:lang w:val="en-US" w:eastAsia="pt-BR"/>
        </w:rPr>
        <w:t>Bim</w:t>
      </w:r>
      <w:proofErr w:type="spellEnd"/>
      <w:r w:rsidRPr="006F02F1">
        <w:rPr>
          <w:rFonts w:cstheme="minorHAnsi"/>
          <w:sz w:val="24"/>
          <w:szCs w:val="24"/>
          <w:shd w:val="clear" w:color="auto" w:fill="FFFFFF"/>
          <w:lang w:val="en-US" w:eastAsia="pt-BR"/>
        </w:rPr>
        <w:t>,</w:t>
      </w:r>
      <w:r w:rsidRPr="006F02F1">
        <w:rPr>
          <w:rFonts w:cstheme="minorHAnsi"/>
          <w:color w:val="333333"/>
          <w:sz w:val="24"/>
          <w:szCs w:val="24"/>
          <w:shd w:val="clear" w:color="auto" w:fill="FFFFFF"/>
          <w:lang w:val="en-US" w:eastAsia="pt-BR"/>
        </w:rPr>
        <w:t> </w:t>
      </w:r>
      <w:hyperlink r:id="rId13" w:history="1">
        <w:r w:rsidRPr="006F02F1">
          <w:rPr>
            <w:rStyle w:val="Hyperlink"/>
            <w:rFonts w:cstheme="minorHAnsi"/>
            <w:sz w:val="24"/>
            <w:szCs w:val="24"/>
            <w:shd w:val="clear" w:color="auto" w:fill="FFFFFF"/>
            <w:lang w:val="en-US" w:eastAsia="pt-BR"/>
          </w:rPr>
          <w:t xml:space="preserve">stopped requiring that </w:t>
        </w:r>
        <w:proofErr w:type="spellStart"/>
        <w:r w:rsidRPr="006F02F1">
          <w:rPr>
            <w:rStyle w:val="Hyperlink"/>
            <w:rFonts w:cstheme="minorHAnsi"/>
            <w:sz w:val="24"/>
            <w:szCs w:val="24"/>
            <w:shd w:val="clear" w:color="auto" w:fill="FFFFFF"/>
            <w:lang w:val="en-US" w:eastAsia="pt-BR"/>
          </w:rPr>
          <w:t>Ibama</w:t>
        </w:r>
        <w:proofErr w:type="spellEnd"/>
        <w:r w:rsidRPr="006F02F1">
          <w:rPr>
            <w:rStyle w:val="Hyperlink"/>
            <w:rFonts w:cstheme="minorHAnsi"/>
            <w:sz w:val="24"/>
            <w:szCs w:val="24"/>
            <w:shd w:val="clear" w:color="auto" w:fill="FFFFFF"/>
            <w:lang w:val="en-US" w:eastAsia="pt-BR"/>
          </w:rPr>
          <w:t xml:space="preserve"> authorizes the exportation of wood loads</w:t>
        </w:r>
      </w:hyperlink>
      <w:r w:rsidRPr="006F02F1">
        <w:rPr>
          <w:rFonts w:cstheme="minorHAnsi"/>
          <w:color w:val="333333"/>
          <w:sz w:val="24"/>
          <w:szCs w:val="24"/>
          <w:shd w:val="clear" w:color="auto" w:fill="FFFFFF"/>
          <w:lang w:val="en-US" w:eastAsia="pt-BR"/>
        </w:rPr>
        <w:t xml:space="preserve"> </w:t>
      </w:r>
      <w:r w:rsidRPr="006F02F1">
        <w:rPr>
          <w:rFonts w:cstheme="minorHAnsi"/>
          <w:sz w:val="24"/>
          <w:szCs w:val="24"/>
          <w:shd w:val="clear" w:color="auto" w:fill="FFFFFF"/>
          <w:lang w:val="en-US" w:eastAsia="pt-BR"/>
        </w:rPr>
        <w:t xml:space="preserve">extracted from Brazil’s forests. Changes in the rule happened after the Reuters news agency broadcasted that Brazil exported thousands of illegal wood loads, without </w:t>
      </w:r>
      <w:proofErr w:type="spellStart"/>
      <w:r w:rsidRPr="006F02F1">
        <w:rPr>
          <w:rFonts w:cstheme="minorHAnsi"/>
          <w:sz w:val="24"/>
          <w:szCs w:val="24"/>
          <w:shd w:val="clear" w:color="auto" w:fill="FFFFFF"/>
          <w:lang w:val="en-US" w:eastAsia="pt-BR"/>
        </w:rPr>
        <w:t>Ibama’s</w:t>
      </w:r>
      <w:proofErr w:type="spellEnd"/>
      <w:r w:rsidRPr="006F02F1">
        <w:rPr>
          <w:rFonts w:cstheme="minorHAnsi"/>
          <w:sz w:val="24"/>
          <w:szCs w:val="24"/>
          <w:shd w:val="clear" w:color="auto" w:fill="FFFFFF"/>
          <w:lang w:val="en-US" w:eastAsia="pt-BR"/>
        </w:rPr>
        <w:t xml:space="preserve"> authorization.</w:t>
      </w:r>
      <w:r w:rsidRPr="006F02F1" w:rsidDel="008D2485">
        <w:rPr>
          <w:sz w:val="24"/>
          <w:szCs w:val="24"/>
          <w:lang w:val="en-US"/>
        </w:rPr>
        <w:t xml:space="preserve"> </w:t>
      </w:r>
      <w:r w:rsidRPr="006F02F1">
        <w:rPr>
          <w:rFonts w:cstheme="minorHAnsi"/>
          <w:sz w:val="24"/>
          <w:szCs w:val="24"/>
          <w:shd w:val="clear" w:color="auto" w:fill="FFFFFF"/>
          <w:lang w:val="en-US" w:eastAsia="pt-BR"/>
        </w:rPr>
        <w:t> </w:t>
      </w:r>
    </w:p>
    <w:p w14:paraId="64B27045" w14:textId="4D64BB67" w:rsidR="006F02F1" w:rsidRDefault="006F02F1" w:rsidP="00A57B6F">
      <w:pPr>
        <w:spacing w:after="240"/>
        <w:jc w:val="both"/>
        <w:rPr>
          <w:rFonts w:cstheme="minorHAnsi"/>
          <w:sz w:val="24"/>
          <w:szCs w:val="24"/>
          <w:shd w:val="clear" w:color="auto" w:fill="FFFFFF"/>
          <w:lang w:val="en-US" w:eastAsia="pt-BR"/>
        </w:rPr>
      </w:pPr>
      <w:r w:rsidRPr="006F02F1">
        <w:rPr>
          <w:rFonts w:cstheme="minorHAnsi"/>
          <w:b/>
          <w:bCs/>
          <w:sz w:val="24"/>
          <w:szCs w:val="24"/>
          <w:shd w:val="clear" w:color="auto" w:fill="FFFFFF"/>
          <w:lang w:val="en-US" w:eastAsia="pt-BR"/>
        </w:rPr>
        <w:t>April 08</w:t>
      </w:r>
      <w:r w:rsidRPr="006F02F1">
        <w:rPr>
          <w:rFonts w:cstheme="minorHAnsi"/>
          <w:b/>
          <w:bCs/>
          <w:sz w:val="24"/>
          <w:szCs w:val="24"/>
          <w:shd w:val="clear" w:color="auto" w:fill="FFFFFF"/>
          <w:vertAlign w:val="superscript"/>
          <w:lang w:val="en-US" w:eastAsia="pt-BR"/>
        </w:rPr>
        <w:t>th</w:t>
      </w:r>
      <w:r w:rsidRPr="006F02F1">
        <w:rPr>
          <w:rFonts w:cstheme="minorHAnsi"/>
          <w:b/>
          <w:bCs/>
          <w:sz w:val="24"/>
          <w:szCs w:val="24"/>
          <w:shd w:val="clear" w:color="auto" w:fill="FFFFFF"/>
          <w:lang w:val="en-US" w:eastAsia="pt-BR"/>
        </w:rPr>
        <w:t xml:space="preserve"> – </w:t>
      </w:r>
      <w:r w:rsidRPr="00A57B6F">
        <w:rPr>
          <w:rFonts w:cstheme="minorHAnsi"/>
          <w:bCs/>
          <w:sz w:val="24"/>
          <w:szCs w:val="24"/>
          <w:shd w:val="clear" w:color="auto" w:fill="FFFFFF"/>
          <w:lang w:val="en-US" w:eastAsia="pt-BR"/>
        </w:rPr>
        <w:t>The Agriculture Ministry publishes the Normative Instruction No.</w:t>
      </w:r>
      <w:r w:rsidRPr="006F02F1">
        <w:rPr>
          <w:rFonts w:cstheme="minorHAnsi"/>
          <w:b/>
          <w:bCs/>
          <w:sz w:val="24"/>
          <w:szCs w:val="24"/>
          <w:shd w:val="clear" w:color="auto" w:fill="FFFFFF"/>
          <w:lang w:val="en-US" w:eastAsia="pt-BR"/>
        </w:rPr>
        <w:t xml:space="preserve"> </w:t>
      </w:r>
      <w:r w:rsidRPr="006F02F1">
        <w:rPr>
          <w:rFonts w:cstheme="minorHAnsi"/>
          <w:sz w:val="24"/>
          <w:szCs w:val="24"/>
          <w:shd w:val="clear" w:color="auto" w:fill="FFFFFF"/>
          <w:lang w:val="en-US" w:eastAsia="pt-BR"/>
        </w:rPr>
        <w:t xml:space="preserve">13/2020, which reduces distances in aerial spraying of pesticides in banana plantations. In the ministerial meeting, </w:t>
      </w:r>
      <w:proofErr w:type="spellStart"/>
      <w:r w:rsidRPr="006F02F1">
        <w:rPr>
          <w:rFonts w:cstheme="minorHAnsi"/>
          <w:sz w:val="24"/>
          <w:szCs w:val="24"/>
          <w:shd w:val="clear" w:color="auto" w:fill="FFFFFF"/>
          <w:lang w:val="en-US" w:eastAsia="pt-BR"/>
        </w:rPr>
        <w:t>Bolsonaro</w:t>
      </w:r>
      <w:proofErr w:type="spellEnd"/>
      <w:r w:rsidRPr="006F02F1">
        <w:rPr>
          <w:rFonts w:cstheme="minorHAnsi"/>
          <w:sz w:val="24"/>
          <w:szCs w:val="24"/>
          <w:shd w:val="clear" w:color="auto" w:fill="FFFFFF"/>
          <w:lang w:val="en-US" w:eastAsia="pt-BR"/>
        </w:rPr>
        <w:t xml:space="preserve"> congratulated the Minister </w:t>
      </w:r>
      <w:proofErr w:type="spellStart"/>
      <w:r w:rsidRPr="006F02F1">
        <w:rPr>
          <w:rFonts w:cstheme="minorHAnsi"/>
          <w:sz w:val="24"/>
          <w:szCs w:val="24"/>
          <w:shd w:val="clear" w:color="auto" w:fill="FFFFFF"/>
          <w:lang w:val="en-US" w:eastAsia="pt-BR"/>
        </w:rPr>
        <w:t>Tereza</w:t>
      </w:r>
      <w:proofErr w:type="spellEnd"/>
      <w:r w:rsidRPr="006F02F1">
        <w:rPr>
          <w:rFonts w:cstheme="minorHAnsi"/>
          <w:sz w:val="24"/>
          <w:szCs w:val="24"/>
          <w:shd w:val="clear" w:color="auto" w:fill="FFFFFF"/>
          <w:lang w:val="en-US" w:eastAsia="pt-BR"/>
        </w:rPr>
        <w:t xml:space="preserve"> Cristina for the norm, and highlighted that </w:t>
      </w:r>
      <w:hyperlink r:id="rId14" w:history="1">
        <w:r w:rsidRPr="006F02F1">
          <w:rPr>
            <w:rStyle w:val="Hyperlink"/>
            <w:rFonts w:cstheme="minorHAnsi"/>
            <w:sz w:val="24"/>
            <w:szCs w:val="24"/>
            <w:shd w:val="clear" w:color="auto" w:fill="FFFFFF"/>
            <w:lang w:val="en-US" w:eastAsia="pt-BR"/>
          </w:rPr>
          <w:t xml:space="preserve">new measures will directly benefit the producers of the Vale do </w:t>
        </w:r>
        <w:proofErr w:type="spellStart"/>
        <w:r w:rsidRPr="006F02F1">
          <w:rPr>
            <w:rStyle w:val="Hyperlink"/>
            <w:rFonts w:cstheme="minorHAnsi"/>
            <w:sz w:val="24"/>
            <w:szCs w:val="24"/>
            <w:shd w:val="clear" w:color="auto" w:fill="FFFFFF"/>
            <w:lang w:val="en-US" w:eastAsia="pt-BR"/>
          </w:rPr>
          <w:t>Ribeira</w:t>
        </w:r>
        <w:proofErr w:type="spellEnd"/>
      </w:hyperlink>
      <w:r w:rsidRPr="006F02F1">
        <w:rPr>
          <w:rFonts w:cstheme="minorHAnsi"/>
          <w:color w:val="333333"/>
          <w:sz w:val="24"/>
          <w:szCs w:val="24"/>
          <w:shd w:val="clear" w:color="auto" w:fill="FFFFFF"/>
          <w:lang w:val="en-US" w:eastAsia="pt-BR"/>
        </w:rPr>
        <w:t xml:space="preserve"> </w:t>
      </w:r>
      <w:r w:rsidRPr="006F02F1">
        <w:rPr>
          <w:rFonts w:cstheme="minorHAnsi"/>
          <w:sz w:val="24"/>
          <w:szCs w:val="24"/>
          <w:shd w:val="clear" w:color="auto" w:fill="FFFFFF"/>
          <w:lang w:val="en-US" w:eastAsia="pt-BR"/>
        </w:rPr>
        <w:t xml:space="preserve">(SP), region where the family of the president lives. </w:t>
      </w:r>
    </w:p>
    <w:p w14:paraId="2C89ECF8" w14:textId="71EF48C0" w:rsidR="006F02F1" w:rsidRPr="006F02F1" w:rsidRDefault="006F02F1" w:rsidP="00A57B6F">
      <w:pPr>
        <w:spacing w:after="240"/>
        <w:jc w:val="both"/>
        <w:rPr>
          <w:rFonts w:cstheme="minorHAnsi"/>
          <w:sz w:val="24"/>
          <w:szCs w:val="24"/>
          <w:lang w:val="en-US" w:eastAsia="pt-BR"/>
        </w:rPr>
      </w:pPr>
      <w:r w:rsidRPr="006F02F1">
        <w:rPr>
          <w:rFonts w:cstheme="minorHAnsi"/>
          <w:b/>
          <w:bCs/>
          <w:sz w:val="24"/>
          <w:szCs w:val="24"/>
          <w:shd w:val="clear" w:color="auto" w:fill="FFFFFF"/>
          <w:lang w:val="en-US" w:eastAsia="pt-BR"/>
        </w:rPr>
        <w:t>April 22</w:t>
      </w:r>
      <w:r w:rsidRPr="006F02F1">
        <w:rPr>
          <w:rFonts w:cstheme="minorHAnsi"/>
          <w:b/>
          <w:bCs/>
          <w:sz w:val="24"/>
          <w:szCs w:val="24"/>
          <w:shd w:val="clear" w:color="auto" w:fill="FFFFFF"/>
          <w:vertAlign w:val="superscript"/>
          <w:lang w:val="en-US" w:eastAsia="pt-BR"/>
        </w:rPr>
        <w:t>nd</w:t>
      </w:r>
      <w:r w:rsidRPr="006F02F1">
        <w:rPr>
          <w:rFonts w:cstheme="minorHAnsi"/>
          <w:b/>
          <w:bCs/>
          <w:sz w:val="24"/>
          <w:szCs w:val="24"/>
          <w:shd w:val="clear" w:color="auto" w:fill="FFFFFF"/>
          <w:lang w:val="en-US" w:eastAsia="pt-BR"/>
        </w:rPr>
        <w:t xml:space="preserve"> </w:t>
      </w:r>
      <w:r w:rsidR="00A57B6F">
        <w:rPr>
          <w:rFonts w:cstheme="minorHAnsi"/>
          <w:b/>
          <w:bCs/>
          <w:sz w:val="24"/>
          <w:szCs w:val="24"/>
          <w:shd w:val="clear" w:color="auto" w:fill="FFFFFF"/>
          <w:lang w:val="en-US" w:eastAsia="pt-BR"/>
        </w:rPr>
        <w:t>–</w:t>
      </w:r>
      <w:r w:rsidRPr="006F02F1">
        <w:rPr>
          <w:rFonts w:cstheme="minorHAnsi"/>
          <w:b/>
          <w:bCs/>
          <w:sz w:val="24"/>
          <w:szCs w:val="24"/>
          <w:shd w:val="clear" w:color="auto" w:fill="FFFFFF"/>
          <w:lang w:val="en-US" w:eastAsia="pt-BR"/>
        </w:rPr>
        <w:t xml:space="preserve"> </w:t>
      </w:r>
      <w:r w:rsidR="00A57B6F">
        <w:rPr>
          <w:rFonts w:cstheme="minorHAnsi"/>
          <w:bCs/>
          <w:sz w:val="24"/>
          <w:szCs w:val="24"/>
          <w:shd w:val="clear" w:color="auto" w:fill="FFFFFF"/>
          <w:lang w:val="en-US" w:eastAsia="pt-BR"/>
        </w:rPr>
        <w:t>National Foundation for indigenous peoples (</w:t>
      </w:r>
      <w:proofErr w:type="spellStart"/>
      <w:r w:rsidRPr="006F02F1">
        <w:rPr>
          <w:rFonts w:cstheme="minorHAnsi"/>
          <w:sz w:val="24"/>
          <w:szCs w:val="24"/>
          <w:shd w:val="clear" w:color="auto" w:fill="FFFFFF"/>
          <w:lang w:val="en-US" w:eastAsia="pt-BR"/>
        </w:rPr>
        <w:t>Funai</w:t>
      </w:r>
      <w:proofErr w:type="spellEnd"/>
      <w:r w:rsidR="00A57B6F">
        <w:rPr>
          <w:rFonts w:cstheme="minorHAnsi"/>
          <w:sz w:val="24"/>
          <w:szCs w:val="24"/>
          <w:shd w:val="clear" w:color="auto" w:fill="FFFFFF"/>
          <w:lang w:val="en-US" w:eastAsia="pt-BR"/>
        </w:rPr>
        <w:t>)</w:t>
      </w:r>
      <w:r w:rsidRPr="006F02F1">
        <w:rPr>
          <w:rFonts w:cstheme="minorHAnsi"/>
          <w:sz w:val="24"/>
          <w:szCs w:val="24"/>
          <w:shd w:val="clear" w:color="auto" w:fill="FFFFFF"/>
          <w:lang w:val="en-US" w:eastAsia="pt-BR"/>
        </w:rPr>
        <w:t xml:space="preserve"> publishes Normative Instruction No. 9/2020, which </w:t>
      </w:r>
      <w:hyperlink r:id="rId15" w:history="1">
        <w:r w:rsidRPr="006F02F1">
          <w:rPr>
            <w:rStyle w:val="Hyperlink"/>
            <w:rFonts w:cstheme="minorHAnsi"/>
            <w:sz w:val="24"/>
            <w:szCs w:val="24"/>
            <w:shd w:val="clear" w:color="auto" w:fill="FFFFFF"/>
            <w:lang w:val="en-US" w:eastAsia="pt-BR"/>
          </w:rPr>
          <w:t>authorizes the certification of private lands inside not yet certified indigenous lands</w:t>
        </w:r>
      </w:hyperlink>
      <w:r w:rsidRPr="006F02F1">
        <w:rPr>
          <w:rFonts w:cstheme="minorHAnsi"/>
          <w:color w:val="333333"/>
          <w:sz w:val="24"/>
          <w:szCs w:val="24"/>
          <w:shd w:val="clear" w:color="auto" w:fill="FFFFFF"/>
          <w:lang w:val="en-US" w:eastAsia="pt-BR"/>
        </w:rPr>
        <w:t xml:space="preserve">. </w:t>
      </w:r>
      <w:r w:rsidRPr="006F02F1">
        <w:rPr>
          <w:rFonts w:cstheme="minorHAnsi"/>
          <w:sz w:val="24"/>
          <w:szCs w:val="24"/>
          <w:shd w:val="clear" w:color="auto" w:fill="FFFFFF"/>
          <w:lang w:val="en-US" w:eastAsia="pt-BR"/>
        </w:rPr>
        <w:t>In less than one month, 72 farms were certified.</w:t>
      </w:r>
    </w:p>
    <w:p w14:paraId="4882036D" w14:textId="77777777" w:rsidR="006F02F1" w:rsidRPr="006F02F1" w:rsidRDefault="006F02F1" w:rsidP="00A57B6F">
      <w:pPr>
        <w:spacing w:after="240"/>
        <w:jc w:val="both"/>
        <w:rPr>
          <w:rFonts w:cstheme="minorHAnsi"/>
          <w:sz w:val="24"/>
          <w:szCs w:val="24"/>
          <w:lang w:val="en-US" w:eastAsia="pt-BR"/>
        </w:rPr>
      </w:pPr>
      <w:r w:rsidRPr="006F02F1">
        <w:rPr>
          <w:rFonts w:cstheme="minorHAnsi"/>
          <w:b/>
          <w:bCs/>
          <w:sz w:val="24"/>
          <w:szCs w:val="24"/>
          <w:shd w:val="clear" w:color="auto" w:fill="FFFFFF"/>
          <w:lang w:val="en-US" w:eastAsia="pt-BR"/>
        </w:rPr>
        <w:t>May 14</w:t>
      </w:r>
      <w:r w:rsidRPr="006F02F1">
        <w:rPr>
          <w:rFonts w:cstheme="minorHAnsi"/>
          <w:b/>
          <w:bCs/>
          <w:sz w:val="24"/>
          <w:szCs w:val="24"/>
          <w:shd w:val="clear" w:color="auto" w:fill="FFFFFF"/>
          <w:vertAlign w:val="superscript"/>
          <w:lang w:val="en-US" w:eastAsia="pt-BR"/>
        </w:rPr>
        <w:t>th</w:t>
      </w:r>
      <w:r w:rsidRPr="006F02F1">
        <w:rPr>
          <w:rFonts w:cstheme="minorHAnsi"/>
          <w:b/>
          <w:bCs/>
          <w:sz w:val="24"/>
          <w:szCs w:val="24"/>
          <w:shd w:val="clear" w:color="auto" w:fill="FFFFFF"/>
          <w:lang w:val="en-US" w:eastAsia="pt-BR"/>
        </w:rPr>
        <w:t xml:space="preserve"> – </w:t>
      </w:r>
      <w:r w:rsidRPr="006F02F1">
        <w:rPr>
          <w:rFonts w:cstheme="minorHAnsi"/>
          <w:bCs/>
          <w:sz w:val="24"/>
          <w:szCs w:val="24"/>
          <w:shd w:val="clear" w:color="auto" w:fill="FFFFFF"/>
          <w:lang w:val="en-US" w:eastAsia="pt-BR"/>
        </w:rPr>
        <w:t>Provisional Measure 910 – a government’s proposal known as Land Fraud MP – returns to the agenda of the Deputies’ Chamber, now as Draft Bill No.</w:t>
      </w:r>
      <w:r w:rsidRPr="006F02F1">
        <w:rPr>
          <w:rFonts w:cstheme="minorHAnsi"/>
          <w:sz w:val="24"/>
          <w:szCs w:val="24"/>
          <w:shd w:val="clear" w:color="auto" w:fill="FFFFFF"/>
          <w:lang w:val="en-US" w:eastAsia="pt-BR"/>
        </w:rPr>
        <w:t xml:space="preserve"> 2633/2020. </w:t>
      </w:r>
      <w:hyperlink r:id="rId16" w:history="1">
        <w:r w:rsidRPr="006F02F1">
          <w:rPr>
            <w:rStyle w:val="Hyperlink"/>
            <w:rFonts w:cstheme="minorHAnsi"/>
            <w:sz w:val="24"/>
            <w:szCs w:val="24"/>
            <w:shd w:val="clear" w:color="auto" w:fill="FFFFFF"/>
            <w:lang w:val="en-US" w:eastAsia="pt-BR"/>
          </w:rPr>
          <w:t>The proposal facilitates land regularization of federal lands whose titles were falsified</w:t>
        </w:r>
      </w:hyperlink>
      <w:r w:rsidRPr="006F02F1">
        <w:rPr>
          <w:rFonts w:cstheme="minorHAnsi"/>
          <w:color w:val="333333"/>
          <w:sz w:val="24"/>
          <w:szCs w:val="24"/>
          <w:shd w:val="clear" w:color="auto" w:fill="FFFFFF"/>
          <w:lang w:val="en-US" w:eastAsia="pt-BR"/>
        </w:rPr>
        <w:t xml:space="preserve"> </w:t>
      </w:r>
      <w:r w:rsidRPr="006F02F1">
        <w:rPr>
          <w:rFonts w:cstheme="minorHAnsi"/>
          <w:sz w:val="24"/>
          <w:szCs w:val="24"/>
          <w:shd w:val="clear" w:color="auto" w:fill="FFFFFF"/>
          <w:lang w:val="en-US" w:eastAsia="pt-BR"/>
        </w:rPr>
        <w:t xml:space="preserve">and experts warn that, if approved, the law might increase deforestation, and prevent the demarcation of indigenous lands and the </w:t>
      </w:r>
      <w:proofErr w:type="spellStart"/>
      <w:r w:rsidRPr="006F02F1">
        <w:rPr>
          <w:rFonts w:cstheme="minorHAnsi"/>
          <w:sz w:val="24"/>
          <w:szCs w:val="24"/>
          <w:shd w:val="clear" w:color="auto" w:fill="FFFFFF"/>
          <w:lang w:val="en-US" w:eastAsia="pt-BR"/>
        </w:rPr>
        <w:t>titulation</w:t>
      </w:r>
      <w:proofErr w:type="spellEnd"/>
      <w:r w:rsidRPr="006F02F1">
        <w:rPr>
          <w:rFonts w:cstheme="minorHAnsi"/>
          <w:sz w:val="24"/>
          <w:szCs w:val="24"/>
          <w:shd w:val="clear" w:color="auto" w:fill="FFFFFF"/>
          <w:lang w:val="en-US" w:eastAsia="pt-BR"/>
        </w:rPr>
        <w:t xml:space="preserve"> of </w:t>
      </w:r>
      <w:proofErr w:type="spellStart"/>
      <w:r w:rsidRPr="006F02F1">
        <w:rPr>
          <w:rFonts w:cstheme="minorHAnsi"/>
          <w:sz w:val="24"/>
          <w:szCs w:val="24"/>
          <w:shd w:val="clear" w:color="auto" w:fill="FFFFFF"/>
          <w:lang w:val="en-US" w:eastAsia="pt-BR"/>
        </w:rPr>
        <w:t>quilombola</w:t>
      </w:r>
      <w:proofErr w:type="spellEnd"/>
      <w:r w:rsidRPr="006F02F1">
        <w:rPr>
          <w:rFonts w:cstheme="minorHAnsi"/>
          <w:sz w:val="24"/>
          <w:szCs w:val="24"/>
          <w:shd w:val="clear" w:color="auto" w:fill="FFFFFF"/>
          <w:lang w:val="en-US" w:eastAsia="pt-BR"/>
        </w:rPr>
        <w:t xml:space="preserve"> territories. </w:t>
      </w:r>
    </w:p>
    <w:p w14:paraId="7289B682" w14:textId="244DE8CA" w:rsidR="006F02F1" w:rsidRPr="006F02F1" w:rsidRDefault="006F02F1" w:rsidP="00A57B6F">
      <w:pPr>
        <w:spacing w:after="240"/>
        <w:jc w:val="both"/>
        <w:rPr>
          <w:rFonts w:cstheme="minorHAnsi"/>
          <w:sz w:val="24"/>
          <w:szCs w:val="24"/>
          <w:lang w:val="en-US" w:eastAsia="pt-BR"/>
        </w:rPr>
      </w:pPr>
      <w:r w:rsidRPr="006F02F1">
        <w:rPr>
          <w:rFonts w:cstheme="minorHAnsi"/>
          <w:b/>
          <w:bCs/>
          <w:sz w:val="24"/>
          <w:szCs w:val="24"/>
          <w:shd w:val="clear" w:color="auto" w:fill="FFFFFF"/>
          <w:lang w:val="en-US" w:eastAsia="pt-BR"/>
        </w:rPr>
        <w:t>May 14</w:t>
      </w:r>
      <w:r w:rsidRPr="006F02F1">
        <w:rPr>
          <w:rFonts w:cstheme="minorHAnsi"/>
          <w:b/>
          <w:bCs/>
          <w:sz w:val="24"/>
          <w:szCs w:val="24"/>
          <w:shd w:val="clear" w:color="auto" w:fill="FFFFFF"/>
          <w:vertAlign w:val="superscript"/>
          <w:lang w:val="en-US" w:eastAsia="pt-BR"/>
        </w:rPr>
        <w:t>th</w:t>
      </w:r>
      <w:r w:rsidRPr="006F02F1">
        <w:rPr>
          <w:rFonts w:cstheme="minorHAnsi"/>
          <w:b/>
          <w:bCs/>
          <w:sz w:val="24"/>
          <w:szCs w:val="24"/>
          <w:shd w:val="clear" w:color="auto" w:fill="FFFFFF"/>
          <w:lang w:val="en-US" w:eastAsia="pt-BR"/>
        </w:rPr>
        <w:t xml:space="preserve"> – </w:t>
      </w:r>
      <w:r w:rsidRPr="006F02F1">
        <w:rPr>
          <w:rFonts w:cstheme="minorHAnsi"/>
          <w:bCs/>
          <w:sz w:val="24"/>
          <w:szCs w:val="24"/>
          <w:shd w:val="clear" w:color="auto" w:fill="FFFFFF"/>
          <w:lang w:val="en-US" w:eastAsia="pt-BR"/>
        </w:rPr>
        <w:t xml:space="preserve">Through a decree, </w:t>
      </w:r>
      <w:r w:rsidR="00A57B6F">
        <w:rPr>
          <w:rFonts w:cstheme="minorHAnsi"/>
          <w:bCs/>
          <w:sz w:val="24"/>
          <w:szCs w:val="24"/>
          <w:shd w:val="clear" w:color="auto" w:fill="FFFFFF"/>
          <w:lang w:val="en-US" w:eastAsia="pt-BR"/>
        </w:rPr>
        <w:t xml:space="preserve">President </w:t>
      </w:r>
      <w:proofErr w:type="spellStart"/>
      <w:r w:rsidRPr="006F02F1">
        <w:rPr>
          <w:rFonts w:cstheme="minorHAnsi"/>
          <w:bCs/>
          <w:sz w:val="24"/>
          <w:szCs w:val="24"/>
          <w:shd w:val="clear" w:color="auto" w:fill="FFFFFF"/>
          <w:lang w:val="en-US" w:eastAsia="pt-BR"/>
        </w:rPr>
        <w:t>Bolsonaro</w:t>
      </w:r>
      <w:proofErr w:type="spellEnd"/>
      <w:r w:rsidRPr="006F02F1">
        <w:rPr>
          <w:rFonts w:cstheme="minorHAnsi"/>
          <w:bCs/>
          <w:sz w:val="24"/>
          <w:szCs w:val="24"/>
          <w:shd w:val="clear" w:color="auto" w:fill="FFFFFF"/>
          <w:lang w:val="en-US" w:eastAsia="pt-BR"/>
        </w:rPr>
        <w:t xml:space="preserve"> transfers the </w:t>
      </w:r>
      <w:hyperlink r:id="rId17" w:history="1">
        <w:r w:rsidRPr="006F02F1">
          <w:rPr>
            <w:rStyle w:val="Hyperlink"/>
            <w:rFonts w:cstheme="minorHAnsi"/>
            <w:bCs/>
            <w:sz w:val="24"/>
            <w:szCs w:val="24"/>
            <w:shd w:val="clear" w:color="auto" w:fill="FFFFFF"/>
            <w:lang w:val="en-US" w:eastAsia="pt-BR"/>
          </w:rPr>
          <w:t>responsibility regarding the concession of public federal forests</w:t>
        </w:r>
      </w:hyperlink>
      <w:r w:rsidRPr="006F02F1">
        <w:rPr>
          <w:rFonts w:cstheme="minorHAnsi"/>
          <w:bCs/>
          <w:color w:val="333333"/>
          <w:sz w:val="24"/>
          <w:szCs w:val="24"/>
          <w:shd w:val="clear" w:color="auto" w:fill="FFFFFF"/>
          <w:lang w:val="en-US" w:eastAsia="pt-BR"/>
        </w:rPr>
        <w:t xml:space="preserve"> </w:t>
      </w:r>
      <w:r w:rsidRPr="006F02F1">
        <w:rPr>
          <w:rFonts w:cstheme="minorHAnsi"/>
          <w:bCs/>
          <w:sz w:val="24"/>
          <w:szCs w:val="24"/>
          <w:shd w:val="clear" w:color="auto" w:fill="FFFFFF"/>
          <w:lang w:val="en-US" w:eastAsia="pt-BR"/>
        </w:rPr>
        <w:t>from the</w:t>
      </w:r>
      <w:r w:rsidRPr="006F02F1">
        <w:rPr>
          <w:rFonts w:cstheme="minorHAnsi"/>
          <w:b/>
          <w:bCs/>
          <w:sz w:val="24"/>
          <w:szCs w:val="24"/>
          <w:shd w:val="clear" w:color="auto" w:fill="FFFFFF"/>
          <w:lang w:val="en-US" w:eastAsia="pt-BR"/>
        </w:rPr>
        <w:t xml:space="preserve"> </w:t>
      </w:r>
      <w:r w:rsidRPr="006F02F1">
        <w:rPr>
          <w:rFonts w:cstheme="minorHAnsi"/>
          <w:bCs/>
          <w:sz w:val="24"/>
          <w:szCs w:val="24"/>
          <w:shd w:val="clear" w:color="auto" w:fill="FFFFFF"/>
          <w:lang w:val="en-US" w:eastAsia="pt-BR"/>
        </w:rPr>
        <w:t xml:space="preserve">Environment Ministry to the Agriculture Ministry. The measure is evaluated as unconstitutional and directly serves the interest of </w:t>
      </w:r>
      <w:proofErr w:type="spellStart"/>
      <w:r w:rsidRPr="006F02F1">
        <w:rPr>
          <w:rFonts w:cstheme="minorHAnsi"/>
          <w:bCs/>
          <w:sz w:val="24"/>
          <w:szCs w:val="24"/>
          <w:shd w:val="clear" w:color="auto" w:fill="FFFFFF"/>
          <w:lang w:val="en-US" w:eastAsia="pt-BR"/>
        </w:rPr>
        <w:t>ruralists</w:t>
      </w:r>
      <w:proofErr w:type="spellEnd"/>
      <w:r w:rsidRPr="006F02F1">
        <w:rPr>
          <w:rFonts w:cstheme="minorHAnsi"/>
          <w:sz w:val="24"/>
          <w:szCs w:val="24"/>
          <w:shd w:val="clear" w:color="auto" w:fill="FFFFFF"/>
          <w:lang w:val="en-US" w:eastAsia="pt-BR"/>
        </w:rPr>
        <w:t>.</w:t>
      </w:r>
    </w:p>
    <w:p w14:paraId="7D90CCEF" w14:textId="77777777" w:rsidR="006F02F1" w:rsidRPr="006F02F1" w:rsidRDefault="006F02F1" w:rsidP="006F02F1">
      <w:pPr>
        <w:pStyle w:val="Default"/>
        <w:jc w:val="both"/>
        <w:rPr>
          <w:b/>
        </w:rPr>
      </w:pPr>
    </w:p>
    <w:p w14:paraId="108670E5" w14:textId="77777777" w:rsidR="000050BA" w:rsidRPr="0077092A" w:rsidRDefault="000050BA" w:rsidP="00FE522D">
      <w:pPr>
        <w:pStyle w:val="Default"/>
        <w:jc w:val="both"/>
        <w:rPr>
          <w:b/>
          <w:sz w:val="20"/>
          <w:szCs w:val="20"/>
        </w:rPr>
      </w:pPr>
    </w:p>
    <w:p w14:paraId="10A5AA7B" w14:textId="77777777" w:rsidR="000050BA" w:rsidRPr="0077092A" w:rsidRDefault="000050BA" w:rsidP="00FE522D">
      <w:pPr>
        <w:pStyle w:val="Default"/>
        <w:jc w:val="both"/>
        <w:rPr>
          <w:b/>
          <w:sz w:val="20"/>
          <w:szCs w:val="20"/>
        </w:rPr>
      </w:pPr>
      <w:r w:rsidRPr="0077092A">
        <w:rPr>
          <w:b/>
          <w:sz w:val="20"/>
          <w:szCs w:val="20"/>
        </w:rPr>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3E89E762" w14:textId="77777777" w:rsidR="000050BA" w:rsidRPr="0077092A" w:rsidRDefault="000050BA" w:rsidP="000050BA">
      <w:pPr>
        <w:pStyle w:val="Default"/>
        <w:rPr>
          <w:b/>
          <w:sz w:val="20"/>
          <w:szCs w:val="20"/>
        </w:rPr>
      </w:pPr>
    </w:p>
    <w:p w14:paraId="4B7E6501" w14:textId="77777777" w:rsidR="000050BA" w:rsidRPr="0077092A" w:rsidRDefault="000050BA" w:rsidP="00FE522D">
      <w:pPr>
        <w:pStyle w:val="Default"/>
        <w:jc w:val="both"/>
        <w:rPr>
          <w:b/>
          <w:sz w:val="20"/>
          <w:szCs w:val="20"/>
        </w:rPr>
      </w:pPr>
      <w:r w:rsidRPr="0077092A">
        <w:rPr>
          <w:b/>
          <w:sz w:val="20"/>
          <w:szCs w:val="20"/>
        </w:rPr>
        <w:t xml:space="preserve">6. Please identify specific gaps, challenges and barriers that your government, business, or organization has faced in attempting to employ a </w:t>
      </w:r>
      <w:r w:rsidRPr="0077092A">
        <w:rPr>
          <w:b/>
          <w:sz w:val="20"/>
          <w:szCs w:val="20"/>
          <w:u w:val="single"/>
        </w:rPr>
        <w:t>rights-based approach</w:t>
      </w:r>
      <w:r w:rsidRPr="0077092A">
        <w:rPr>
          <w:b/>
          <w:sz w:val="20"/>
          <w:szCs w:val="20"/>
        </w:rPr>
        <w:t xml:space="preserve"> to preventing, reducing, or eliminating harm to biodiversity and ecosystems.</w:t>
      </w:r>
    </w:p>
    <w:p w14:paraId="4AF5BF5D" w14:textId="16E7269C" w:rsidR="000050BA" w:rsidRDefault="000050BA" w:rsidP="000050BA">
      <w:pPr>
        <w:pStyle w:val="Default"/>
      </w:pPr>
    </w:p>
    <w:p w14:paraId="21008FAC" w14:textId="0428716B" w:rsidR="00FE522D" w:rsidRPr="0077092A" w:rsidRDefault="00FE522D" w:rsidP="0077092A">
      <w:pPr>
        <w:pStyle w:val="Default"/>
        <w:jc w:val="both"/>
      </w:pPr>
      <w:r w:rsidRPr="0077092A">
        <w:t xml:space="preserve">The challenges involve the frequent </w:t>
      </w:r>
      <w:r w:rsidRPr="0077092A">
        <w:t xml:space="preserve">human rights </w:t>
      </w:r>
      <w:r w:rsidRPr="0077092A">
        <w:t xml:space="preserve">violations by the part of governments, </w:t>
      </w:r>
      <w:r w:rsidRPr="0077092A">
        <w:t>dismantling</w:t>
      </w:r>
      <w:r w:rsidRPr="0077092A">
        <w:t xml:space="preserve"> public policies for the maintenance of people’s territories, alteration/revocation of legislation that is beneficial to the protection of populations and ecosystems, direct repression </w:t>
      </w:r>
      <w:r w:rsidRPr="0077092A">
        <w:lastRenderedPageBreak/>
        <w:t xml:space="preserve">to peoples living in close relationship to nature (indigenous peoples, </w:t>
      </w:r>
      <w:proofErr w:type="spellStart"/>
      <w:r w:rsidRPr="0077092A">
        <w:t>qu</w:t>
      </w:r>
      <w:r w:rsidR="00A53A83" w:rsidRPr="0077092A">
        <w:t>ilombolas</w:t>
      </w:r>
      <w:proofErr w:type="spellEnd"/>
      <w:r w:rsidR="00A53A83" w:rsidRPr="0077092A">
        <w:t>, traditional peoples)</w:t>
      </w:r>
      <w:r w:rsidRPr="0077092A">
        <w:t>.</w:t>
      </w:r>
    </w:p>
    <w:p w14:paraId="2D948C95" w14:textId="7DC062D2" w:rsidR="00FE522D" w:rsidRPr="0077092A" w:rsidRDefault="00FE522D" w:rsidP="0077092A">
      <w:pPr>
        <w:pStyle w:val="Default"/>
        <w:jc w:val="both"/>
      </w:pPr>
      <w:r w:rsidRPr="0077092A">
        <w:t xml:space="preserve">There is also violation of rights by the part of economic ventures which occupy productive lands, use pesticides indiscriminately, expel </w:t>
      </w:r>
      <w:r w:rsidR="00A53A83" w:rsidRPr="0077092A">
        <w:t xml:space="preserve">small </w:t>
      </w:r>
      <w:r w:rsidRPr="0077092A">
        <w:t xml:space="preserve">farmers, pollute biomes and delegitimize the just </w:t>
      </w:r>
      <w:r w:rsidR="00A53A83" w:rsidRPr="0077092A">
        <w:t>tenure</w:t>
      </w:r>
      <w:r w:rsidRPr="0077092A">
        <w:t xml:space="preserve"> of peoples and their potential for biodiversity protection. </w:t>
      </w:r>
    </w:p>
    <w:p w14:paraId="36E1F477" w14:textId="144E062B" w:rsidR="00FE522D" w:rsidRPr="0077092A" w:rsidRDefault="00FE522D" w:rsidP="0077092A">
      <w:pPr>
        <w:pStyle w:val="Default"/>
        <w:jc w:val="both"/>
      </w:pPr>
      <w:r w:rsidRPr="0077092A">
        <w:t xml:space="preserve">The State, alongside the private initiative, have been violating a series of rights such as the free access to biodiversity, the right to the traditionally occupied territory, access to directed and effective public policies, prohibiting traditional practices such as </w:t>
      </w:r>
      <w:r w:rsidR="00A53A83" w:rsidRPr="0077092A">
        <w:t>traditional agricultural and extractive systems</w:t>
      </w:r>
      <w:r w:rsidRPr="0077092A">
        <w:t xml:space="preserve">. </w:t>
      </w:r>
    </w:p>
    <w:p w14:paraId="7A30A3B5" w14:textId="488A1981" w:rsidR="00FE522D" w:rsidRPr="0077092A" w:rsidRDefault="00A53A83" w:rsidP="0077092A">
      <w:pPr>
        <w:pStyle w:val="Default"/>
        <w:jc w:val="both"/>
      </w:pPr>
      <w:r w:rsidRPr="0077092A">
        <w:t>It´s exemplary the situation faced by living flower</w:t>
      </w:r>
      <w:r w:rsidR="00FA59A2">
        <w:t>s</w:t>
      </w:r>
      <w:r w:rsidRPr="0077092A">
        <w:t xml:space="preserve"> gatherers, a traditional people living in the southern portion of Serra do </w:t>
      </w:r>
      <w:proofErr w:type="spellStart"/>
      <w:r w:rsidRPr="0077092A">
        <w:t>Espinhaço</w:t>
      </w:r>
      <w:proofErr w:type="spellEnd"/>
      <w:r w:rsidRPr="0077092A">
        <w:t xml:space="preserve">, in the state of Minas </w:t>
      </w:r>
      <w:proofErr w:type="spellStart"/>
      <w:r w:rsidRPr="0077092A">
        <w:t>Gerais</w:t>
      </w:r>
      <w:proofErr w:type="spellEnd"/>
      <w:r w:rsidRPr="0077092A">
        <w:t xml:space="preserve">. They </w:t>
      </w:r>
      <w:r w:rsidR="0077092A" w:rsidRPr="0077092A">
        <w:t>are facing</w:t>
      </w:r>
      <w:r w:rsidRPr="0077092A">
        <w:t xml:space="preserve"> seriou</w:t>
      </w:r>
      <w:r w:rsidR="0077092A" w:rsidRPr="0077092A">
        <w:t>s</w:t>
      </w:r>
      <w:r w:rsidRPr="0077092A">
        <w:t xml:space="preserve"> restriction</w:t>
      </w:r>
      <w:r w:rsidR="0077092A" w:rsidRPr="0077092A">
        <w:t>s</w:t>
      </w:r>
      <w:r w:rsidRPr="0077092A">
        <w:t xml:space="preserve"> in their practices due to prohibitions issued by conservation </w:t>
      </w:r>
      <w:r w:rsidR="0077092A" w:rsidRPr="0077092A">
        <w:t>units’</w:t>
      </w:r>
      <w:r w:rsidRPr="0077092A">
        <w:t xml:space="preserve"> regulations, suffering unaffordable fines </w:t>
      </w:r>
      <w:r w:rsidR="0077092A" w:rsidRPr="0077092A">
        <w:t xml:space="preserve">applicable </w:t>
      </w:r>
      <w:r w:rsidRPr="0077092A">
        <w:t>to the exercise of their traditional practices. The legal and illegal mining activities in their territories</w:t>
      </w:r>
      <w:r w:rsidR="0077092A" w:rsidRPr="0077092A">
        <w:t>, by their turn,</w:t>
      </w:r>
      <w:r w:rsidRPr="0077092A">
        <w:t xml:space="preserve"> are making the access to water more difficult, drying out springs, invading productive lands for agriculture, and not paralyzing their activities, including during the COVID-19 pandemic. There’s also the misappropriation of lands by large landowners.</w:t>
      </w:r>
    </w:p>
    <w:p w14:paraId="0378846A" w14:textId="77777777" w:rsidR="0077092A" w:rsidRPr="008C2C68" w:rsidRDefault="0077092A" w:rsidP="000050BA">
      <w:pPr>
        <w:pStyle w:val="Default"/>
      </w:pPr>
    </w:p>
    <w:p w14:paraId="50BB311F" w14:textId="77777777" w:rsidR="000050BA" w:rsidRPr="0077092A" w:rsidRDefault="000050BA" w:rsidP="0077092A">
      <w:pPr>
        <w:widowControl w:val="0"/>
        <w:autoSpaceDE w:val="0"/>
        <w:autoSpaceDN w:val="0"/>
        <w:adjustRightInd w:val="0"/>
        <w:jc w:val="both"/>
        <w:rPr>
          <w:b/>
        </w:rPr>
      </w:pPr>
      <w:r w:rsidRPr="0077092A">
        <w:rPr>
          <w:b/>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14:paraId="3858400A" w14:textId="77777777" w:rsidR="000050BA" w:rsidRPr="0077092A" w:rsidRDefault="000050BA" w:rsidP="0077092A">
      <w:pPr>
        <w:jc w:val="both"/>
        <w:rPr>
          <w:b/>
        </w:rPr>
      </w:pPr>
    </w:p>
    <w:p w14:paraId="2C9D87F1" w14:textId="1C3B1457" w:rsidR="000050BA" w:rsidRDefault="000050BA" w:rsidP="0077092A">
      <w:pPr>
        <w:jc w:val="both"/>
        <w:rPr>
          <w:b/>
        </w:rPr>
      </w:pPr>
      <w:r w:rsidRPr="0077092A">
        <w:rPr>
          <w:b/>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30B10453" w14:textId="6A24B044" w:rsidR="00F16F5F" w:rsidRPr="00D55651" w:rsidRDefault="00F16F5F" w:rsidP="00F16F5F">
      <w:pPr>
        <w:jc w:val="both"/>
        <w:rPr>
          <w:sz w:val="24"/>
          <w:szCs w:val="24"/>
        </w:rPr>
      </w:pPr>
      <w:r w:rsidRPr="00D55651">
        <w:rPr>
          <w:sz w:val="24"/>
          <w:szCs w:val="24"/>
        </w:rPr>
        <w:t xml:space="preserve">Traditional peoples alongside human rights organizations and social movements have been </w:t>
      </w:r>
      <w:r w:rsidR="00D55651" w:rsidRPr="00D55651">
        <w:rPr>
          <w:sz w:val="24"/>
          <w:szCs w:val="24"/>
        </w:rPr>
        <w:t>elaborating and promoting</w:t>
      </w:r>
      <w:r w:rsidRPr="00D55651">
        <w:rPr>
          <w:sz w:val="24"/>
          <w:szCs w:val="24"/>
        </w:rPr>
        <w:t xml:space="preserve"> Community Pro</w:t>
      </w:r>
      <w:r w:rsidRPr="00D55651">
        <w:rPr>
          <w:sz w:val="24"/>
          <w:szCs w:val="24"/>
        </w:rPr>
        <w:t>tocols of Prior Consultation</w:t>
      </w:r>
      <w:r w:rsidR="00D55651" w:rsidRPr="00D55651">
        <w:rPr>
          <w:sz w:val="24"/>
          <w:szCs w:val="24"/>
        </w:rPr>
        <w:t xml:space="preserve">, </w:t>
      </w:r>
      <w:r w:rsidRPr="00D55651">
        <w:rPr>
          <w:sz w:val="24"/>
          <w:szCs w:val="24"/>
        </w:rPr>
        <w:t xml:space="preserve">based on the Convention 169 of the International </w:t>
      </w:r>
      <w:proofErr w:type="spellStart"/>
      <w:r w:rsidRPr="00D55651">
        <w:rPr>
          <w:sz w:val="24"/>
          <w:szCs w:val="24"/>
        </w:rPr>
        <w:t>Labor</w:t>
      </w:r>
      <w:proofErr w:type="spellEnd"/>
      <w:r w:rsidRPr="00D55651">
        <w:rPr>
          <w:sz w:val="24"/>
          <w:szCs w:val="24"/>
        </w:rPr>
        <w:t xml:space="preserve"> Organizati</w:t>
      </w:r>
      <w:r w:rsidR="00D55651" w:rsidRPr="00D55651">
        <w:rPr>
          <w:sz w:val="24"/>
          <w:szCs w:val="24"/>
        </w:rPr>
        <w:t xml:space="preserve">on, and </w:t>
      </w:r>
      <w:proofErr w:type="spellStart"/>
      <w:r w:rsidR="00D55651" w:rsidRPr="00D55651">
        <w:rPr>
          <w:sz w:val="24"/>
          <w:szCs w:val="24"/>
        </w:rPr>
        <w:t>Biocultural</w:t>
      </w:r>
      <w:proofErr w:type="spellEnd"/>
      <w:r w:rsidR="00D55651" w:rsidRPr="00D55651">
        <w:rPr>
          <w:sz w:val="24"/>
          <w:szCs w:val="24"/>
        </w:rPr>
        <w:t xml:space="preserve"> Protocols</w:t>
      </w:r>
      <w:r w:rsidRPr="00D55651">
        <w:rPr>
          <w:sz w:val="24"/>
          <w:szCs w:val="24"/>
        </w:rPr>
        <w:t xml:space="preserve">, based on the Cartagena Protocol. With these documents, they demand the safeguard of territorial rights and access to </w:t>
      </w:r>
      <w:proofErr w:type="spellStart"/>
      <w:r w:rsidRPr="00D55651">
        <w:rPr>
          <w:sz w:val="24"/>
          <w:szCs w:val="24"/>
        </w:rPr>
        <w:t>sociobiodiversity</w:t>
      </w:r>
      <w:proofErr w:type="spellEnd"/>
      <w:r w:rsidRPr="00D55651">
        <w:rPr>
          <w:sz w:val="24"/>
          <w:szCs w:val="24"/>
        </w:rPr>
        <w:t xml:space="preserve">, as well as protection of their traditional knowledge and material and immaterial heritage. </w:t>
      </w:r>
    </w:p>
    <w:p w14:paraId="6334C1CE" w14:textId="523F6BE0" w:rsidR="00D55651" w:rsidRPr="00D55651" w:rsidRDefault="00D55651" w:rsidP="00D55651">
      <w:pPr>
        <w:jc w:val="both"/>
        <w:rPr>
          <w:sz w:val="24"/>
          <w:szCs w:val="24"/>
        </w:rPr>
      </w:pPr>
      <w:r w:rsidRPr="00D55651">
        <w:rPr>
          <w:sz w:val="24"/>
          <w:szCs w:val="24"/>
        </w:rPr>
        <w:t xml:space="preserve">Community protocols for prior, free and informed consultation and </w:t>
      </w:r>
      <w:proofErr w:type="spellStart"/>
      <w:r w:rsidRPr="00D55651">
        <w:rPr>
          <w:sz w:val="24"/>
          <w:szCs w:val="24"/>
        </w:rPr>
        <w:t>biocultural</w:t>
      </w:r>
      <w:proofErr w:type="spellEnd"/>
      <w:r w:rsidRPr="00D55651">
        <w:rPr>
          <w:sz w:val="24"/>
          <w:szCs w:val="24"/>
        </w:rPr>
        <w:t xml:space="preserve"> protocols are used by traditional networks and communities to defend their traditional ways of life and practices. They are also used to defend the territory against illegal action</w:t>
      </w:r>
      <w:r w:rsidRPr="00D55651">
        <w:rPr>
          <w:sz w:val="24"/>
          <w:szCs w:val="24"/>
        </w:rPr>
        <w:t>s</w:t>
      </w:r>
      <w:r w:rsidRPr="00D55651">
        <w:rPr>
          <w:sz w:val="24"/>
          <w:szCs w:val="24"/>
        </w:rPr>
        <w:t xml:space="preserve"> </w:t>
      </w:r>
      <w:r w:rsidRPr="00D55651">
        <w:rPr>
          <w:sz w:val="24"/>
          <w:szCs w:val="24"/>
        </w:rPr>
        <w:t>from</w:t>
      </w:r>
      <w:r w:rsidRPr="00D55651">
        <w:rPr>
          <w:sz w:val="24"/>
          <w:szCs w:val="24"/>
        </w:rPr>
        <w:t xml:space="preserve"> governments and private agents. The protocols make </w:t>
      </w:r>
      <w:r w:rsidRPr="00D55651">
        <w:rPr>
          <w:sz w:val="24"/>
          <w:szCs w:val="24"/>
        </w:rPr>
        <w:t xml:space="preserve">it possible to promote the respect </w:t>
      </w:r>
      <w:r w:rsidRPr="00D55651">
        <w:rPr>
          <w:sz w:val="24"/>
          <w:szCs w:val="24"/>
        </w:rPr>
        <w:t xml:space="preserve">and </w:t>
      </w:r>
      <w:r w:rsidRPr="00D55651">
        <w:rPr>
          <w:sz w:val="24"/>
          <w:szCs w:val="24"/>
        </w:rPr>
        <w:t>preservation</w:t>
      </w:r>
      <w:r w:rsidRPr="00D55651">
        <w:rPr>
          <w:sz w:val="24"/>
          <w:szCs w:val="24"/>
        </w:rPr>
        <w:t xml:space="preserve"> of traditional practices aimed at the sustainable and customary use of biodiversity. Through the protocols, it is possible that traditional practices are increasingly recognized as actions for the conservation of biomes and their biodiversity.</w:t>
      </w:r>
    </w:p>
    <w:p w14:paraId="3E1B03B1" w14:textId="4A9CCA9E" w:rsidR="00D55651" w:rsidRDefault="00D55651" w:rsidP="00D55651">
      <w:pPr>
        <w:jc w:val="both"/>
        <w:rPr>
          <w:sz w:val="24"/>
          <w:szCs w:val="24"/>
        </w:rPr>
      </w:pPr>
      <w:r w:rsidRPr="00D55651">
        <w:rPr>
          <w:sz w:val="24"/>
          <w:szCs w:val="24"/>
        </w:rPr>
        <w:t xml:space="preserve">Along with traditional peoples and communities, Terra de </w:t>
      </w:r>
      <w:proofErr w:type="spellStart"/>
      <w:r w:rsidRPr="00D55651">
        <w:rPr>
          <w:sz w:val="24"/>
          <w:szCs w:val="24"/>
        </w:rPr>
        <w:t>Direitos</w:t>
      </w:r>
      <w:proofErr w:type="spellEnd"/>
      <w:r w:rsidRPr="00D55651">
        <w:rPr>
          <w:sz w:val="24"/>
          <w:szCs w:val="24"/>
        </w:rPr>
        <w:t xml:space="preserve"> has worked on the elaboration and promotion of </w:t>
      </w:r>
      <w:r w:rsidR="006F02F1">
        <w:rPr>
          <w:sz w:val="24"/>
          <w:szCs w:val="24"/>
        </w:rPr>
        <w:t xml:space="preserve">community </w:t>
      </w:r>
      <w:r w:rsidRPr="00D55651">
        <w:rPr>
          <w:sz w:val="24"/>
          <w:szCs w:val="24"/>
        </w:rPr>
        <w:t>protocols</w:t>
      </w:r>
      <w:r>
        <w:rPr>
          <w:sz w:val="24"/>
          <w:szCs w:val="24"/>
        </w:rPr>
        <w:t xml:space="preserve"> in</w:t>
      </w:r>
      <w:r w:rsidRPr="00D55651">
        <w:rPr>
          <w:sz w:val="24"/>
          <w:szCs w:val="24"/>
        </w:rPr>
        <w:t xml:space="preserve"> different territories</w:t>
      </w:r>
      <w:r>
        <w:rPr>
          <w:sz w:val="24"/>
          <w:szCs w:val="24"/>
        </w:rPr>
        <w:t xml:space="preserve"> in Brazil</w:t>
      </w:r>
      <w:r w:rsidRPr="00D55651">
        <w:rPr>
          <w:sz w:val="24"/>
          <w:szCs w:val="24"/>
        </w:rPr>
        <w:t>. Examples include:</w:t>
      </w:r>
    </w:p>
    <w:p w14:paraId="134DB75E" w14:textId="77777777" w:rsidR="00FA59A2" w:rsidRPr="00FA59A2" w:rsidRDefault="00FA59A2" w:rsidP="00FA59A2">
      <w:pPr>
        <w:jc w:val="both"/>
        <w:rPr>
          <w:sz w:val="24"/>
          <w:szCs w:val="24"/>
        </w:rPr>
      </w:pPr>
    </w:p>
    <w:p w14:paraId="6DADE198" w14:textId="7B680087" w:rsidR="00FA59A2" w:rsidRPr="006F02F1" w:rsidRDefault="00FA59A2" w:rsidP="006F02F1">
      <w:pPr>
        <w:pStyle w:val="PargrafodaLista"/>
        <w:numPr>
          <w:ilvl w:val="0"/>
          <w:numId w:val="25"/>
        </w:numPr>
        <w:jc w:val="both"/>
        <w:rPr>
          <w:sz w:val="24"/>
          <w:szCs w:val="24"/>
        </w:rPr>
      </w:pPr>
      <w:r w:rsidRPr="006F02F1">
        <w:rPr>
          <w:sz w:val="24"/>
          <w:szCs w:val="24"/>
        </w:rPr>
        <w:t>P</w:t>
      </w:r>
      <w:r w:rsidRPr="006F02F1">
        <w:rPr>
          <w:sz w:val="24"/>
          <w:szCs w:val="24"/>
        </w:rPr>
        <w:t xml:space="preserve">rotocol </w:t>
      </w:r>
      <w:r w:rsidR="006F02F1">
        <w:rPr>
          <w:sz w:val="24"/>
          <w:szCs w:val="24"/>
        </w:rPr>
        <w:t xml:space="preserve">of </w:t>
      </w:r>
      <w:r w:rsidRPr="006F02F1">
        <w:rPr>
          <w:sz w:val="24"/>
          <w:szCs w:val="24"/>
        </w:rPr>
        <w:t>p</w:t>
      </w:r>
      <w:r w:rsidRPr="006F02F1">
        <w:rPr>
          <w:sz w:val="24"/>
          <w:szCs w:val="24"/>
        </w:rPr>
        <w:t>rior consultation</w:t>
      </w:r>
      <w:r w:rsidRPr="006F02F1">
        <w:rPr>
          <w:sz w:val="24"/>
          <w:szCs w:val="24"/>
        </w:rPr>
        <w:t xml:space="preserve"> of the </w:t>
      </w:r>
      <w:r w:rsidRPr="006F02F1">
        <w:rPr>
          <w:sz w:val="24"/>
          <w:szCs w:val="24"/>
        </w:rPr>
        <w:t>living flower</w:t>
      </w:r>
      <w:r w:rsidRPr="006F02F1">
        <w:rPr>
          <w:sz w:val="24"/>
          <w:szCs w:val="24"/>
        </w:rPr>
        <w:t>s</w:t>
      </w:r>
      <w:r w:rsidRPr="006F02F1">
        <w:rPr>
          <w:sz w:val="24"/>
          <w:szCs w:val="24"/>
        </w:rPr>
        <w:t xml:space="preserve"> gatherers </w:t>
      </w:r>
      <w:r w:rsidRPr="006F02F1">
        <w:rPr>
          <w:sz w:val="24"/>
          <w:szCs w:val="24"/>
        </w:rPr>
        <w:t xml:space="preserve">communities </w:t>
      </w:r>
      <w:r w:rsidRPr="006F02F1">
        <w:rPr>
          <w:sz w:val="24"/>
          <w:szCs w:val="24"/>
        </w:rPr>
        <w:t xml:space="preserve">- Serra do </w:t>
      </w:r>
      <w:proofErr w:type="spellStart"/>
      <w:r w:rsidRPr="006F02F1">
        <w:rPr>
          <w:sz w:val="24"/>
          <w:szCs w:val="24"/>
        </w:rPr>
        <w:t>Espinhaço</w:t>
      </w:r>
      <w:proofErr w:type="spellEnd"/>
      <w:r w:rsidRPr="006F02F1">
        <w:rPr>
          <w:sz w:val="24"/>
          <w:szCs w:val="24"/>
        </w:rPr>
        <w:t xml:space="preserve">, State of Minas </w:t>
      </w:r>
      <w:proofErr w:type="spellStart"/>
      <w:r w:rsidRPr="006F02F1">
        <w:rPr>
          <w:sz w:val="24"/>
          <w:szCs w:val="24"/>
        </w:rPr>
        <w:t>Gerais</w:t>
      </w:r>
      <w:proofErr w:type="spellEnd"/>
      <w:r>
        <w:rPr>
          <w:rStyle w:val="Refdenotaderodap"/>
          <w:sz w:val="24"/>
          <w:szCs w:val="24"/>
        </w:rPr>
        <w:footnoteReference w:id="10"/>
      </w:r>
    </w:p>
    <w:p w14:paraId="029F6984" w14:textId="77777777" w:rsidR="00FA59A2" w:rsidRPr="00FA59A2" w:rsidRDefault="00FA59A2" w:rsidP="00FA59A2">
      <w:pPr>
        <w:jc w:val="both"/>
        <w:rPr>
          <w:sz w:val="24"/>
          <w:szCs w:val="24"/>
        </w:rPr>
      </w:pPr>
    </w:p>
    <w:p w14:paraId="668F4712" w14:textId="2432A0C1" w:rsidR="00D55651" w:rsidRPr="006F02F1" w:rsidRDefault="00FA59A2" w:rsidP="006F02F1">
      <w:pPr>
        <w:pStyle w:val="PargrafodaLista"/>
        <w:numPr>
          <w:ilvl w:val="0"/>
          <w:numId w:val="25"/>
        </w:numPr>
        <w:jc w:val="both"/>
        <w:rPr>
          <w:sz w:val="24"/>
          <w:szCs w:val="24"/>
        </w:rPr>
      </w:pPr>
      <w:r w:rsidRPr="006F02F1">
        <w:rPr>
          <w:sz w:val="24"/>
          <w:szCs w:val="24"/>
        </w:rPr>
        <w:lastRenderedPageBreak/>
        <w:t>P</w:t>
      </w:r>
      <w:r w:rsidRPr="006F02F1">
        <w:rPr>
          <w:sz w:val="24"/>
          <w:szCs w:val="24"/>
        </w:rPr>
        <w:t xml:space="preserve">rotocol </w:t>
      </w:r>
      <w:r w:rsidR="006F02F1">
        <w:rPr>
          <w:sz w:val="24"/>
          <w:szCs w:val="24"/>
        </w:rPr>
        <w:t xml:space="preserve">of </w:t>
      </w:r>
      <w:r w:rsidRPr="006F02F1">
        <w:rPr>
          <w:sz w:val="24"/>
          <w:szCs w:val="24"/>
        </w:rPr>
        <w:t xml:space="preserve">prior consultation of the riverside communities </w:t>
      </w:r>
      <w:r w:rsidR="00A57B6F">
        <w:rPr>
          <w:sz w:val="24"/>
          <w:szCs w:val="24"/>
        </w:rPr>
        <w:t xml:space="preserve">of </w:t>
      </w:r>
      <w:proofErr w:type="spellStart"/>
      <w:r w:rsidRPr="006F02F1">
        <w:rPr>
          <w:sz w:val="24"/>
          <w:szCs w:val="24"/>
        </w:rPr>
        <w:t>Pimental</w:t>
      </w:r>
      <w:proofErr w:type="spellEnd"/>
      <w:r w:rsidRPr="006F02F1">
        <w:rPr>
          <w:sz w:val="24"/>
          <w:szCs w:val="24"/>
        </w:rPr>
        <w:t xml:space="preserve"> and São Francisco</w:t>
      </w:r>
      <w:r w:rsidR="006F02F1" w:rsidRPr="006F02F1">
        <w:rPr>
          <w:sz w:val="24"/>
          <w:szCs w:val="24"/>
        </w:rPr>
        <w:t xml:space="preserve"> – </w:t>
      </w:r>
      <w:proofErr w:type="spellStart"/>
      <w:r w:rsidR="006F02F1" w:rsidRPr="006F02F1">
        <w:rPr>
          <w:sz w:val="24"/>
          <w:szCs w:val="24"/>
        </w:rPr>
        <w:t>Tapajós</w:t>
      </w:r>
      <w:proofErr w:type="spellEnd"/>
      <w:r w:rsidR="006F02F1" w:rsidRPr="006F02F1">
        <w:rPr>
          <w:sz w:val="24"/>
          <w:szCs w:val="24"/>
        </w:rPr>
        <w:t xml:space="preserve">, State of </w:t>
      </w:r>
      <w:proofErr w:type="spellStart"/>
      <w:r w:rsidR="006F02F1" w:rsidRPr="006F02F1">
        <w:rPr>
          <w:sz w:val="24"/>
          <w:szCs w:val="24"/>
        </w:rPr>
        <w:t>Pará</w:t>
      </w:r>
      <w:proofErr w:type="spellEnd"/>
      <w:r w:rsidR="006F02F1">
        <w:rPr>
          <w:rStyle w:val="Refdenotaderodap"/>
          <w:sz w:val="24"/>
          <w:szCs w:val="24"/>
        </w:rPr>
        <w:footnoteReference w:id="11"/>
      </w:r>
    </w:p>
    <w:p w14:paraId="6D5692A0" w14:textId="069BFA82" w:rsidR="00FA59A2" w:rsidRDefault="00FA59A2" w:rsidP="00FA59A2">
      <w:pPr>
        <w:jc w:val="both"/>
        <w:rPr>
          <w:sz w:val="24"/>
          <w:szCs w:val="24"/>
        </w:rPr>
      </w:pPr>
    </w:p>
    <w:p w14:paraId="28E5F637" w14:textId="30700EA1" w:rsidR="006F02F1" w:rsidRPr="006F02F1" w:rsidRDefault="006F02F1" w:rsidP="006F02F1">
      <w:pPr>
        <w:pStyle w:val="PargrafodaLista"/>
        <w:numPr>
          <w:ilvl w:val="0"/>
          <w:numId w:val="25"/>
        </w:numPr>
        <w:jc w:val="both"/>
        <w:rPr>
          <w:sz w:val="24"/>
          <w:szCs w:val="24"/>
        </w:rPr>
      </w:pPr>
      <w:r w:rsidRPr="006F02F1">
        <w:rPr>
          <w:sz w:val="24"/>
          <w:szCs w:val="24"/>
        </w:rPr>
        <w:t xml:space="preserve">Protocol </w:t>
      </w:r>
      <w:r>
        <w:rPr>
          <w:sz w:val="24"/>
          <w:szCs w:val="24"/>
        </w:rPr>
        <w:t>of</w:t>
      </w:r>
      <w:r w:rsidRPr="006F02F1">
        <w:rPr>
          <w:sz w:val="24"/>
          <w:szCs w:val="24"/>
        </w:rPr>
        <w:t xml:space="preserve"> prior consultation of the</w:t>
      </w:r>
      <w:r w:rsidRPr="006F02F1">
        <w:rPr>
          <w:sz w:val="24"/>
          <w:szCs w:val="24"/>
        </w:rPr>
        <w:t xml:space="preserve"> </w:t>
      </w:r>
      <w:proofErr w:type="spellStart"/>
      <w:r w:rsidRPr="006F02F1">
        <w:rPr>
          <w:i/>
          <w:sz w:val="24"/>
          <w:szCs w:val="24"/>
        </w:rPr>
        <w:t>quilombola</w:t>
      </w:r>
      <w:proofErr w:type="spellEnd"/>
      <w:r w:rsidRPr="006F02F1">
        <w:rPr>
          <w:sz w:val="24"/>
          <w:szCs w:val="24"/>
        </w:rPr>
        <w:t xml:space="preserve"> communities of Santarem – state of </w:t>
      </w:r>
      <w:proofErr w:type="spellStart"/>
      <w:r w:rsidRPr="006F02F1">
        <w:rPr>
          <w:sz w:val="24"/>
          <w:szCs w:val="24"/>
        </w:rPr>
        <w:t>Pará</w:t>
      </w:r>
      <w:proofErr w:type="spellEnd"/>
      <w:r>
        <w:rPr>
          <w:rStyle w:val="Refdenotaderodap"/>
          <w:sz w:val="24"/>
          <w:szCs w:val="24"/>
        </w:rPr>
        <w:footnoteReference w:id="12"/>
      </w:r>
    </w:p>
    <w:p w14:paraId="43E822D0" w14:textId="77777777" w:rsidR="006F02F1" w:rsidRPr="00D55651" w:rsidRDefault="006F02F1" w:rsidP="00FA59A2">
      <w:pPr>
        <w:jc w:val="both"/>
        <w:rPr>
          <w:sz w:val="24"/>
          <w:szCs w:val="24"/>
        </w:rPr>
      </w:pPr>
    </w:p>
    <w:p w14:paraId="3274E6E4" w14:textId="77777777" w:rsidR="000050BA" w:rsidRPr="0077092A" w:rsidRDefault="000050BA" w:rsidP="0077092A">
      <w:pPr>
        <w:jc w:val="both"/>
        <w:rPr>
          <w:b/>
        </w:rPr>
      </w:pPr>
    </w:p>
    <w:p w14:paraId="49CA9776" w14:textId="77777777" w:rsidR="000050BA" w:rsidRPr="0077092A" w:rsidRDefault="000050BA" w:rsidP="0077092A">
      <w:pPr>
        <w:jc w:val="both"/>
        <w:rPr>
          <w:b/>
          <w:color w:val="000000"/>
        </w:rPr>
      </w:pPr>
      <w:r w:rsidRPr="0077092A">
        <w:rPr>
          <w:b/>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14:paraId="7C217383" w14:textId="77777777" w:rsidR="000050BA" w:rsidRPr="0077092A" w:rsidRDefault="000050BA" w:rsidP="0077092A">
      <w:pPr>
        <w:pStyle w:val="Default"/>
        <w:jc w:val="both"/>
        <w:rPr>
          <w:b/>
          <w:sz w:val="20"/>
          <w:szCs w:val="20"/>
        </w:rPr>
      </w:pPr>
    </w:p>
    <w:p w14:paraId="2A596D24" w14:textId="77777777" w:rsidR="000050BA" w:rsidRPr="0077092A" w:rsidRDefault="000050BA" w:rsidP="0077092A">
      <w:pPr>
        <w:jc w:val="both"/>
        <w:rPr>
          <w:b/>
        </w:rPr>
      </w:pPr>
      <w:r w:rsidRPr="0077092A">
        <w:rPr>
          <w:b/>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14:paraId="43BCBDFE" w14:textId="77777777" w:rsidR="000050BA" w:rsidRPr="008C2C68" w:rsidRDefault="000050BA" w:rsidP="000050BA">
      <w:pPr>
        <w:rPr>
          <w:sz w:val="24"/>
          <w:szCs w:val="24"/>
        </w:rPr>
      </w:pPr>
    </w:p>
    <w:p w14:paraId="14AC7538" w14:textId="77777777" w:rsidR="000050BA" w:rsidRPr="008C2C68" w:rsidRDefault="000050BA" w:rsidP="000050BA">
      <w:pPr>
        <w:pStyle w:val="Default"/>
      </w:pPr>
      <w:r w:rsidRPr="008C2C68">
        <w:rPr>
          <w:b/>
          <w:bCs/>
        </w:rPr>
        <w:t xml:space="preserve">Submission of responses </w:t>
      </w:r>
    </w:p>
    <w:p w14:paraId="3719A509" w14:textId="77777777" w:rsidR="000050BA" w:rsidRPr="008C2C68" w:rsidRDefault="000050BA" w:rsidP="000050BA">
      <w:pPr>
        <w:pStyle w:val="Default"/>
      </w:pPr>
      <w:r w:rsidRPr="008C2C68">
        <w:t xml:space="preserve">We encourage you to please send your responses to the questionnaire in Word format </w:t>
      </w:r>
      <w:r w:rsidRPr="008C2C68">
        <w:rPr>
          <w:b/>
        </w:rPr>
        <w:t>by email</w:t>
      </w:r>
      <w:r w:rsidRPr="008C2C68">
        <w:t xml:space="preserve"> to </w:t>
      </w:r>
      <w:hyperlink r:id="rId18" w:history="1">
        <w:r w:rsidRPr="008C2C68">
          <w:rPr>
            <w:rStyle w:val="Hyperlink"/>
          </w:rPr>
          <w:t>srenvironment@ohchr.org</w:t>
        </w:r>
      </w:hyperlink>
      <w:r w:rsidRPr="008C2C68">
        <w:t xml:space="preserve">. </w:t>
      </w:r>
    </w:p>
    <w:p w14:paraId="6DDD0CE1" w14:textId="77777777" w:rsidR="000050BA" w:rsidRPr="008C2C68" w:rsidRDefault="000050BA" w:rsidP="000050BA">
      <w:pPr>
        <w:pStyle w:val="Default"/>
      </w:pPr>
    </w:p>
    <w:p w14:paraId="5443FFEF" w14:textId="77777777" w:rsidR="000050BA" w:rsidRPr="008C2C68" w:rsidRDefault="000050BA" w:rsidP="000050BA">
      <w:pPr>
        <w:pStyle w:val="Default"/>
      </w:pPr>
      <w:r w:rsidRPr="008C2C68">
        <w:t>However, submissions will also be accepted via regular mail at the following address:</w:t>
      </w:r>
    </w:p>
    <w:p w14:paraId="4FBE58C1" w14:textId="77777777" w:rsidR="000050BA" w:rsidRPr="008C2C68" w:rsidRDefault="000050BA" w:rsidP="000050BA">
      <w:pPr>
        <w:pStyle w:val="PargrafodaLista"/>
        <w:rPr>
          <w:sz w:val="24"/>
          <w:szCs w:val="24"/>
        </w:rPr>
      </w:pPr>
      <w:r w:rsidRPr="008C2C68">
        <w:rPr>
          <w:sz w:val="24"/>
          <w:szCs w:val="24"/>
        </w:rPr>
        <w:t>UN Special Rapporteur on human rights and the environment</w:t>
      </w:r>
    </w:p>
    <w:p w14:paraId="545FB14A" w14:textId="77777777" w:rsidR="000050BA" w:rsidRPr="008C2C68" w:rsidRDefault="000050BA" w:rsidP="000050BA">
      <w:pPr>
        <w:pStyle w:val="PargrafodaLista"/>
        <w:rPr>
          <w:sz w:val="24"/>
          <w:szCs w:val="24"/>
        </w:rPr>
      </w:pPr>
      <w:r w:rsidRPr="008C2C68">
        <w:rPr>
          <w:sz w:val="24"/>
          <w:szCs w:val="24"/>
        </w:rPr>
        <w:t>Thematic Engagement, Special Procedures and Right to Development Division</w:t>
      </w:r>
      <w:r w:rsidRPr="008C2C68">
        <w:rPr>
          <w:sz w:val="24"/>
          <w:szCs w:val="24"/>
        </w:rPr>
        <w:cr/>
        <w:t>UNOG-OHCHR</w:t>
      </w:r>
      <w:r w:rsidRPr="008C2C68">
        <w:rPr>
          <w:sz w:val="24"/>
          <w:szCs w:val="24"/>
        </w:rPr>
        <w:cr/>
        <w:t>CH-1211 Geneva 10, Switzerland</w:t>
      </w:r>
      <w:r w:rsidRPr="008C2C68">
        <w:rPr>
          <w:sz w:val="24"/>
          <w:szCs w:val="24"/>
        </w:rPr>
        <w:cr/>
      </w:r>
    </w:p>
    <w:p w14:paraId="7621412A" w14:textId="77777777" w:rsidR="000050BA" w:rsidRPr="008C2C68" w:rsidRDefault="000050BA" w:rsidP="000050BA">
      <w:pPr>
        <w:pStyle w:val="Default"/>
      </w:pPr>
      <w:r w:rsidRPr="008C2C68">
        <w:t xml:space="preserve">We kindly request that your submission be concise and limited to a maximum of 5 pages (or 2,000 words), not including appendices or attachments. </w:t>
      </w:r>
    </w:p>
    <w:p w14:paraId="74CDEDED" w14:textId="77777777" w:rsidR="000050BA" w:rsidRPr="008C2C68" w:rsidRDefault="000050BA" w:rsidP="000050BA">
      <w:pPr>
        <w:pStyle w:val="Default"/>
      </w:pPr>
    </w:p>
    <w:p w14:paraId="1B2D9F1A" w14:textId="77777777" w:rsidR="000050BA" w:rsidRPr="008C2C68" w:rsidRDefault="000050BA" w:rsidP="000050BA">
      <w:pPr>
        <w:pStyle w:val="Default"/>
        <w:rPr>
          <w:b/>
        </w:rPr>
      </w:pPr>
      <w:r w:rsidRPr="008C2C68">
        <w:rPr>
          <w:b/>
        </w:rPr>
        <w:t xml:space="preserve">Due to a limited capacity for translation, we also request that your inputs be submitted in English, French, or Spanish. </w:t>
      </w:r>
    </w:p>
    <w:p w14:paraId="403D619E" w14:textId="77777777" w:rsidR="000050BA" w:rsidRPr="008C2C68" w:rsidRDefault="000050BA" w:rsidP="000050BA">
      <w:pPr>
        <w:pStyle w:val="Default"/>
      </w:pPr>
    </w:p>
    <w:p w14:paraId="0DD6B495" w14:textId="77777777" w:rsidR="000050BA" w:rsidRPr="008C2C68" w:rsidRDefault="000050BA" w:rsidP="000050BA">
      <w:pPr>
        <w:pStyle w:val="Default"/>
      </w:pPr>
      <w:r w:rsidRPr="008C2C68">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00DA64DE" w14:textId="77777777" w:rsidR="000050BA" w:rsidRPr="008C2C68" w:rsidRDefault="000050BA" w:rsidP="000050BA">
      <w:pPr>
        <w:pStyle w:val="Default"/>
      </w:pPr>
    </w:p>
    <w:p w14:paraId="555C369E" w14:textId="27715F7A" w:rsidR="000050BA" w:rsidRPr="008C2C68" w:rsidRDefault="000050BA" w:rsidP="003C2F7D">
      <w:pPr>
        <w:pStyle w:val="Default"/>
        <w:rPr>
          <w:b/>
        </w:rPr>
      </w:pPr>
      <w:r w:rsidRPr="008C2C68">
        <w:rPr>
          <w:b/>
        </w:rPr>
        <w:t xml:space="preserve">The deadline for submission is </w:t>
      </w:r>
      <w:r w:rsidR="003C2F7D">
        <w:rPr>
          <w:b/>
          <w:bCs/>
        </w:rPr>
        <w:t>15 June</w:t>
      </w:r>
      <w:r w:rsidRPr="008C2C68">
        <w:rPr>
          <w:b/>
          <w:bCs/>
        </w:rPr>
        <w:t xml:space="preserve"> 2020</w:t>
      </w:r>
      <w:r w:rsidRPr="008C2C68">
        <w:rPr>
          <w:b/>
        </w:rPr>
        <w:t xml:space="preserve">. </w:t>
      </w:r>
    </w:p>
    <w:p w14:paraId="4DA83E6A" w14:textId="77777777" w:rsidR="000050BA" w:rsidRPr="008C2C68" w:rsidRDefault="000050BA" w:rsidP="000050BA">
      <w:pPr>
        <w:pStyle w:val="Default"/>
      </w:pPr>
    </w:p>
    <w:p w14:paraId="4A6F46D8" w14:textId="77777777" w:rsidR="000050BA" w:rsidRPr="008C2C68" w:rsidRDefault="000050BA" w:rsidP="000050BA">
      <w:pPr>
        <w:rPr>
          <w:sz w:val="24"/>
          <w:szCs w:val="24"/>
        </w:rPr>
      </w:pPr>
      <w:r w:rsidRPr="008C2C68">
        <w:rPr>
          <w:sz w:val="24"/>
          <w:szCs w:val="24"/>
        </w:rPr>
        <w:t xml:space="preserve">Unless otherwise requested, all submissions will be </w:t>
      </w:r>
      <w:r w:rsidRPr="008C2C68">
        <w:rPr>
          <w:i/>
          <w:iCs/>
          <w:sz w:val="24"/>
          <w:szCs w:val="24"/>
        </w:rPr>
        <w:t xml:space="preserve">made publicly available </w:t>
      </w:r>
      <w:r w:rsidRPr="008C2C68">
        <w:rPr>
          <w:sz w:val="24"/>
          <w:szCs w:val="24"/>
        </w:rPr>
        <w:t>and posted on the Special Rapporteur’s homepage at the OHCHR website.</w:t>
      </w:r>
    </w:p>
    <w:p w14:paraId="73EA0561" w14:textId="77777777" w:rsidR="000050BA" w:rsidRPr="008C2C68" w:rsidRDefault="000050BA">
      <w:pPr>
        <w:rPr>
          <w:bCs/>
          <w:noProof/>
          <w:sz w:val="24"/>
          <w:szCs w:val="24"/>
        </w:rPr>
      </w:pPr>
    </w:p>
    <w:p w14:paraId="4EC702D8" w14:textId="77777777" w:rsidR="00716707" w:rsidRPr="008C2C68" w:rsidRDefault="00716707">
      <w:pPr>
        <w:jc w:val="center"/>
        <w:rPr>
          <w:sz w:val="24"/>
          <w:szCs w:val="24"/>
        </w:rPr>
      </w:pPr>
    </w:p>
    <w:sectPr w:rsidR="00716707" w:rsidRPr="008C2C68" w:rsidSect="008C2C68">
      <w:headerReference w:type="default" r:id="rId19"/>
      <w:footerReference w:type="default" r:id="rId20"/>
      <w:headerReference w:type="first" r:id="rId21"/>
      <w:pgSz w:w="11906" w:h="16838" w:code="9"/>
      <w:pgMar w:top="1440" w:right="1440" w:bottom="1440"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EDF1F" w14:textId="77777777" w:rsidR="00BB717A" w:rsidRDefault="00BB717A">
      <w:r>
        <w:separator/>
      </w:r>
    </w:p>
  </w:endnote>
  <w:endnote w:type="continuationSeparator" w:id="0">
    <w:p w14:paraId="7168F045" w14:textId="77777777" w:rsidR="00BB717A" w:rsidRDefault="00BB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Rodap"/>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C41E" w14:textId="77777777" w:rsidR="00BB717A" w:rsidRDefault="00BB717A">
      <w:r>
        <w:separator/>
      </w:r>
    </w:p>
  </w:footnote>
  <w:footnote w:type="continuationSeparator" w:id="0">
    <w:p w14:paraId="68770038" w14:textId="77777777" w:rsidR="00BB717A" w:rsidRDefault="00BB717A">
      <w:r>
        <w:continuationSeparator/>
      </w:r>
    </w:p>
  </w:footnote>
  <w:footnote w:id="1">
    <w:p w14:paraId="29FD9A3F" w14:textId="77777777" w:rsidR="000050BA" w:rsidRPr="000050BA" w:rsidRDefault="000050BA" w:rsidP="000050BA">
      <w:pPr>
        <w:pStyle w:val="Textodenotaderodap"/>
        <w:rPr>
          <w:rFonts w:ascii="Times New Roman" w:eastAsia="Malgun Gothic" w:hAnsi="Times New Roman" w:cs="Times New Roman"/>
          <w:lang w:eastAsia="ko-KR"/>
        </w:rPr>
      </w:pPr>
      <w:r w:rsidRPr="000050BA">
        <w:rPr>
          <w:rStyle w:val="Refdenotaderodap"/>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A/HRC/40/55</w:t>
      </w:r>
    </w:p>
  </w:footnote>
  <w:footnote w:id="2">
    <w:p w14:paraId="01132B32" w14:textId="77777777" w:rsidR="000050BA" w:rsidRPr="000050BA" w:rsidRDefault="000050BA" w:rsidP="000050BA">
      <w:pPr>
        <w:pStyle w:val="Textodenotaderodap"/>
        <w:rPr>
          <w:rFonts w:ascii="Times New Roman" w:eastAsia="Malgun Gothic" w:hAnsi="Times New Roman" w:cs="Times New Roman"/>
          <w:lang w:eastAsia="ko-KR"/>
        </w:rPr>
      </w:pPr>
      <w:r w:rsidRPr="000050BA">
        <w:rPr>
          <w:rStyle w:val="Refdenotaderodap"/>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A/74/161</w:t>
      </w:r>
    </w:p>
  </w:footnote>
  <w:footnote w:id="3">
    <w:p w14:paraId="576CDB81" w14:textId="77777777" w:rsidR="000050BA" w:rsidRPr="00D70B7A" w:rsidRDefault="000050BA" w:rsidP="000050BA">
      <w:pPr>
        <w:pStyle w:val="Textodenotaderodap"/>
        <w:rPr>
          <w:rFonts w:eastAsia="Malgun Gothic"/>
          <w:lang w:eastAsia="ko-KR"/>
        </w:rPr>
      </w:pPr>
      <w:r w:rsidRPr="000050BA">
        <w:rPr>
          <w:rStyle w:val="Refdenotaderodap"/>
          <w:rFonts w:ascii="Times New Roman" w:hAnsi="Times New Roman"/>
        </w:rPr>
        <w:footnoteRef/>
      </w:r>
      <w:r w:rsidRPr="000050BA">
        <w:rPr>
          <w:rFonts w:ascii="Times New Roman" w:hAnsi="Times New Roman" w:cs="Times New Roman"/>
        </w:rPr>
        <w:t xml:space="preserve"> </w:t>
      </w:r>
      <w:r w:rsidRPr="000050BA">
        <w:rPr>
          <w:rFonts w:ascii="Times New Roman" w:eastAsia="Malgun Gothic" w:hAnsi="Times New Roman" w:cs="Times New Roman"/>
          <w:lang w:eastAsia="ko-KR"/>
        </w:rPr>
        <w:t>A/HRC/43/53</w:t>
      </w:r>
    </w:p>
  </w:footnote>
  <w:footnote w:id="4">
    <w:p w14:paraId="220541B8" w14:textId="4A5828D6" w:rsidR="00A31DD1" w:rsidRPr="00A31DD1" w:rsidRDefault="00A31DD1" w:rsidP="007D4AEB">
      <w:pPr>
        <w:pStyle w:val="Textodenotaderodap"/>
      </w:pPr>
      <w:r>
        <w:rPr>
          <w:rStyle w:val="Refdenotaderodap"/>
        </w:rPr>
        <w:footnoteRef/>
      </w:r>
      <w:r>
        <w:t xml:space="preserve"> </w:t>
      </w:r>
      <w:r w:rsidR="007D4AEB" w:rsidRPr="00A31DD1">
        <w:t>Data from the National Institute for Space Research - November 2019</w:t>
      </w:r>
      <w:r w:rsidR="007D4AEB">
        <w:t xml:space="preserve">. Available at: </w:t>
      </w:r>
      <w:hyperlink r:id="rId1" w:history="1">
        <w:r w:rsidR="007D4AEB" w:rsidRPr="00A31DD1">
          <w:rPr>
            <w:rStyle w:val="Hyperlink"/>
          </w:rPr>
          <w:t>http://www.inpe.br/noticias/noticia.php?Cod_Noticia=5294</w:t>
        </w:r>
      </w:hyperlink>
    </w:p>
  </w:footnote>
  <w:footnote w:id="5">
    <w:p w14:paraId="3B0D6C14" w14:textId="4BF65851" w:rsidR="00A31DD1" w:rsidRPr="00A31DD1" w:rsidRDefault="00A31DD1">
      <w:pPr>
        <w:pStyle w:val="Textodenotaderodap"/>
      </w:pPr>
      <w:r>
        <w:rPr>
          <w:rStyle w:val="Refdenotaderodap"/>
        </w:rPr>
        <w:footnoteRef/>
      </w:r>
      <w:r w:rsidRPr="00A31DD1">
        <w:t xml:space="preserve"> </w:t>
      </w:r>
      <w:r>
        <w:t xml:space="preserve">Available at: </w:t>
      </w:r>
      <w:hyperlink r:id="rId2" w:history="1">
        <w:r w:rsidR="007D4AEB" w:rsidRPr="00443FF8">
          <w:rPr>
            <w:rStyle w:val="Hyperlink"/>
          </w:rPr>
          <w:t>https://k6f2r3a6.stackpathcdn.com/wp-content/uploads/2020/05/Boletim-SAD-abril-2020.pdf</w:t>
        </w:r>
      </w:hyperlink>
      <w:r w:rsidR="007D4AEB">
        <w:t xml:space="preserve"> </w:t>
      </w:r>
      <w:r w:rsidRPr="00A31DD1">
        <w:t xml:space="preserve"> </w:t>
      </w:r>
    </w:p>
  </w:footnote>
  <w:footnote w:id="6">
    <w:p w14:paraId="4C06F9B4" w14:textId="25FFE393" w:rsidR="007D4AEB" w:rsidRPr="007D4AEB" w:rsidRDefault="007D4AEB">
      <w:pPr>
        <w:pStyle w:val="Textodenotaderodap"/>
      </w:pPr>
      <w:r>
        <w:rPr>
          <w:rStyle w:val="Refdenotaderodap"/>
        </w:rPr>
        <w:footnoteRef/>
      </w:r>
      <w:r>
        <w:t xml:space="preserve"> Available at:</w:t>
      </w:r>
      <w:r w:rsidRPr="007D4AEB">
        <w:t xml:space="preserve"> </w:t>
      </w:r>
      <w:hyperlink r:id="rId3" w:history="1">
        <w:r w:rsidRPr="00443FF8">
          <w:rPr>
            <w:rStyle w:val="Hyperlink"/>
          </w:rPr>
          <w:t>https://www1.folha.uol.com.br/ambiente/2020/04/salles-anistia-desmatadores-da-mata-atlantica-em-meio-a-pandemia-de-covid-19.shtml</w:t>
        </w:r>
      </w:hyperlink>
      <w:r>
        <w:t xml:space="preserve"> </w:t>
      </w:r>
    </w:p>
  </w:footnote>
  <w:footnote w:id="7">
    <w:p w14:paraId="4B50D03F" w14:textId="35760941" w:rsidR="007D4AEB" w:rsidRPr="007D4AEB" w:rsidRDefault="007D4AEB" w:rsidP="007D4AEB">
      <w:pPr>
        <w:pStyle w:val="Textodenotaderodap"/>
      </w:pPr>
      <w:r>
        <w:rPr>
          <w:rStyle w:val="Refdenotaderodap"/>
        </w:rPr>
        <w:footnoteRef/>
      </w:r>
      <w:r>
        <w:t xml:space="preserve"> Available at: </w:t>
      </w:r>
      <w:hyperlink r:id="rId4" w:history="1">
        <w:r w:rsidRPr="00443FF8">
          <w:rPr>
            <w:rStyle w:val="Hyperlink"/>
          </w:rPr>
          <w:t>https://jornal.usp.br/atualidades/mort</w:t>
        </w:r>
        <w:r w:rsidRPr="00443FF8">
          <w:rPr>
            <w:rStyle w:val="Hyperlink"/>
          </w:rPr>
          <w:t>e</w:t>
        </w:r>
        <w:r w:rsidRPr="00443FF8">
          <w:rPr>
            <w:rStyle w:val="Hyperlink"/>
          </w:rPr>
          <w:t>-de-meio-bilhao-de-abelhas-e-consequencia-de-agrotoxicos/</w:t>
        </w:r>
      </w:hyperlink>
      <w:r>
        <w:t xml:space="preserve"> </w:t>
      </w:r>
    </w:p>
  </w:footnote>
  <w:footnote w:id="8">
    <w:p w14:paraId="4FB1099A" w14:textId="09B6ADE0" w:rsidR="007D4AEB" w:rsidRPr="007D4AEB" w:rsidRDefault="007D4AEB">
      <w:pPr>
        <w:pStyle w:val="Textodenotaderodap"/>
      </w:pPr>
      <w:r>
        <w:rPr>
          <w:rStyle w:val="Refdenotaderodap"/>
        </w:rPr>
        <w:footnoteRef/>
      </w:r>
      <w:r>
        <w:t xml:space="preserve"> Available at: </w:t>
      </w:r>
      <w:hyperlink r:id="rId5" w:history="1">
        <w:r>
          <w:rPr>
            <w:rStyle w:val="Hyperlink"/>
          </w:rPr>
          <w:t>https://reporterbrasil.org.br/2019/04/coquetel-com-27-agrotoxicos-foi-achado-na-agua-de-1-em-cada-4-municipios/</w:t>
        </w:r>
      </w:hyperlink>
      <w:r>
        <w:t xml:space="preserve"> </w:t>
      </w:r>
    </w:p>
  </w:footnote>
  <w:footnote w:id="9">
    <w:p w14:paraId="062DC281" w14:textId="77777777" w:rsidR="000050BA" w:rsidRPr="00D70B7A" w:rsidRDefault="000050BA" w:rsidP="000050BA">
      <w:pPr>
        <w:pStyle w:val="Textodenotaderodap"/>
        <w:rPr>
          <w:rFonts w:eastAsia="Malgun Gothic"/>
          <w:lang w:eastAsia="ko-KR"/>
        </w:rPr>
      </w:pPr>
      <w:r>
        <w:rPr>
          <w:rStyle w:val="Refdenotaderodap"/>
        </w:rPr>
        <w:footnoteRef/>
      </w:r>
      <w:r>
        <w:t xml:space="preserve"> </w:t>
      </w:r>
      <w:r>
        <w:rPr>
          <w:rFonts w:eastAsia="Malgun Gothic" w:hint="eastAsia"/>
          <w:lang w:eastAsia="ko-KR"/>
        </w:rPr>
        <w:t xml:space="preserve">See, A/HRC/43/53, Annex II. </w:t>
      </w:r>
    </w:p>
  </w:footnote>
  <w:footnote w:id="10">
    <w:p w14:paraId="76A780F7" w14:textId="7CC13F19" w:rsidR="00FA59A2" w:rsidRPr="00FA59A2" w:rsidRDefault="00FA59A2" w:rsidP="00FA59A2">
      <w:pPr>
        <w:pStyle w:val="Textodenotaderodap"/>
      </w:pPr>
      <w:r>
        <w:rPr>
          <w:rStyle w:val="Refdenotaderodap"/>
        </w:rPr>
        <w:footnoteRef/>
      </w:r>
      <w:r>
        <w:t xml:space="preserve"> </w:t>
      </w:r>
      <w:r>
        <w:t>Full document available here:</w:t>
      </w:r>
      <w:r>
        <w:t xml:space="preserve"> </w:t>
      </w:r>
      <w:hyperlink r:id="rId6" w:history="1">
        <w:r>
          <w:rPr>
            <w:rStyle w:val="Hyperlink"/>
          </w:rPr>
          <w:t>https://terradedireitos.org.br/uploads/arquivos/WEB_TDD_PROTOCOLO-apanhadoras.pdf</w:t>
        </w:r>
      </w:hyperlink>
    </w:p>
  </w:footnote>
  <w:footnote w:id="11">
    <w:p w14:paraId="2A0B5EE7" w14:textId="32EFE797" w:rsidR="006F02F1" w:rsidRPr="006F02F1" w:rsidRDefault="006F02F1" w:rsidP="006F02F1">
      <w:pPr>
        <w:pStyle w:val="Textodenotaderodap"/>
      </w:pPr>
      <w:r>
        <w:rPr>
          <w:rStyle w:val="Refdenotaderodap"/>
        </w:rPr>
        <w:footnoteRef/>
      </w:r>
      <w:r>
        <w:t xml:space="preserve"> </w:t>
      </w:r>
      <w:r>
        <w:t>Full document available here:</w:t>
      </w:r>
      <w:r>
        <w:t xml:space="preserve"> </w:t>
      </w:r>
      <w:hyperlink r:id="rId7" w:history="1">
        <w:r>
          <w:rPr>
            <w:rStyle w:val="Hyperlink"/>
          </w:rPr>
          <w:t>https://terradedireitos.org.br/uploads/arquivos/Protocolo-Pimental-e-Sao-Francisco-(Web).pdf</w:t>
        </w:r>
      </w:hyperlink>
    </w:p>
  </w:footnote>
  <w:footnote w:id="12">
    <w:p w14:paraId="159EC84A" w14:textId="775C9509" w:rsidR="006F02F1" w:rsidRPr="006F02F1" w:rsidRDefault="006F02F1">
      <w:pPr>
        <w:pStyle w:val="Textodenotaderodap"/>
      </w:pPr>
      <w:r>
        <w:rPr>
          <w:rStyle w:val="Refdenotaderodap"/>
        </w:rPr>
        <w:footnoteRef/>
      </w:r>
      <w:r>
        <w:t xml:space="preserve"> </w:t>
      </w:r>
      <w:r>
        <w:t>Full document available here:</w:t>
      </w:r>
      <w:r>
        <w:t xml:space="preserve"> </w:t>
      </w:r>
      <w:hyperlink r:id="rId8" w:history="1">
        <w:r>
          <w:rPr>
            <w:rStyle w:val="Hyperlink"/>
          </w:rPr>
          <w:t>https://terradedireitos.org.br/uploads/arquivos/PROTOCOLO_CONSULTA_WEB-min.pdf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69E6BDE7" w:rsidR="00D4007B" w:rsidRPr="00AD4CA9" w:rsidRDefault="00D4007B" w:rsidP="00F80A14">
    <w:pPr>
      <w:pStyle w:val="Cabealho"/>
      <w:tabs>
        <w:tab w:val="clear" w:pos="4153"/>
        <w:tab w:val="clear" w:pos="8306"/>
        <w:tab w:val="right" w:pos="9214"/>
      </w:tabs>
      <w:spacing w:before="360" w:after="840"/>
      <w:rPr>
        <w:sz w:val="14"/>
        <w:szCs w:val="14"/>
        <w:lang w:val="en-GB"/>
      </w:rPr>
    </w:pPr>
    <w:r>
      <w:rPr>
        <w:noProof/>
        <w:snapToGrid/>
        <w:lang w:val="pt-BR" w:eastAsia="pt-BR"/>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Cabealho"/>
      <w:tabs>
        <w:tab w:val="clear" w:pos="4153"/>
        <w:tab w:val="clear" w:pos="8306"/>
      </w:tabs>
      <w:jc w:val="center"/>
      <w:rPr>
        <w:sz w:val="14"/>
        <w:szCs w:val="14"/>
        <w:lang w:val="en-GB"/>
      </w:rPr>
    </w:pPr>
    <w:r>
      <w:rPr>
        <w:noProof/>
        <w:sz w:val="14"/>
        <w:szCs w:val="14"/>
        <w:lang w:val="pt-BR" w:eastAsia="pt-BR"/>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Cabealho"/>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Cabealho"/>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Cabealho"/>
      <w:rPr>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D4A9E"/>
    <w:multiLevelType w:val="hybridMultilevel"/>
    <w:tmpl w:val="C9265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F40D9A"/>
    <w:multiLevelType w:val="hybridMultilevel"/>
    <w:tmpl w:val="C13469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7"/>
  </w:num>
  <w:num w:numId="5">
    <w:abstractNumId w:val="18"/>
  </w:num>
  <w:num w:numId="6">
    <w:abstractNumId w:val="10"/>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2"/>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2297D"/>
    <w:rsid w:val="00130C65"/>
    <w:rsid w:val="0013487C"/>
    <w:rsid w:val="001456CB"/>
    <w:rsid w:val="001537CC"/>
    <w:rsid w:val="00153DB2"/>
    <w:rsid w:val="0015615C"/>
    <w:rsid w:val="001676BA"/>
    <w:rsid w:val="00183B60"/>
    <w:rsid w:val="00194332"/>
    <w:rsid w:val="001B7B09"/>
    <w:rsid w:val="001C4360"/>
    <w:rsid w:val="001D3313"/>
    <w:rsid w:val="001E3384"/>
    <w:rsid w:val="001E6461"/>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E65F4"/>
    <w:rsid w:val="00305B08"/>
    <w:rsid w:val="00335FB9"/>
    <w:rsid w:val="00356299"/>
    <w:rsid w:val="003577DB"/>
    <w:rsid w:val="00380489"/>
    <w:rsid w:val="00394359"/>
    <w:rsid w:val="003956EF"/>
    <w:rsid w:val="00396E4C"/>
    <w:rsid w:val="003A3957"/>
    <w:rsid w:val="003C1A74"/>
    <w:rsid w:val="003C2F7D"/>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29B9"/>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02F1"/>
    <w:rsid w:val="006F790C"/>
    <w:rsid w:val="007114F8"/>
    <w:rsid w:val="00712363"/>
    <w:rsid w:val="00712EFD"/>
    <w:rsid w:val="00716707"/>
    <w:rsid w:val="00716D30"/>
    <w:rsid w:val="007210F6"/>
    <w:rsid w:val="00723438"/>
    <w:rsid w:val="00733660"/>
    <w:rsid w:val="007407B7"/>
    <w:rsid w:val="00741EBC"/>
    <w:rsid w:val="007432E5"/>
    <w:rsid w:val="007450E8"/>
    <w:rsid w:val="007625BA"/>
    <w:rsid w:val="0077092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D4AEB"/>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2C68"/>
    <w:rsid w:val="008C60C0"/>
    <w:rsid w:val="008D1A3C"/>
    <w:rsid w:val="008D3B8A"/>
    <w:rsid w:val="008E46C1"/>
    <w:rsid w:val="008F0191"/>
    <w:rsid w:val="008F3473"/>
    <w:rsid w:val="008F57BD"/>
    <w:rsid w:val="009066BC"/>
    <w:rsid w:val="00912C74"/>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C7165"/>
    <w:rsid w:val="009D76A9"/>
    <w:rsid w:val="009E00AF"/>
    <w:rsid w:val="009E69DC"/>
    <w:rsid w:val="009F18EC"/>
    <w:rsid w:val="009F2043"/>
    <w:rsid w:val="00A01741"/>
    <w:rsid w:val="00A153DB"/>
    <w:rsid w:val="00A21EF1"/>
    <w:rsid w:val="00A22A44"/>
    <w:rsid w:val="00A31DD1"/>
    <w:rsid w:val="00A34DA7"/>
    <w:rsid w:val="00A364CF"/>
    <w:rsid w:val="00A3761B"/>
    <w:rsid w:val="00A40490"/>
    <w:rsid w:val="00A439B9"/>
    <w:rsid w:val="00A53A83"/>
    <w:rsid w:val="00A54482"/>
    <w:rsid w:val="00A564C7"/>
    <w:rsid w:val="00A57B6F"/>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B717A"/>
    <w:rsid w:val="00BD2C78"/>
    <w:rsid w:val="00BD4A0B"/>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5175F"/>
    <w:rsid w:val="00D55651"/>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16F5F"/>
    <w:rsid w:val="00F44EA7"/>
    <w:rsid w:val="00F47B64"/>
    <w:rsid w:val="00F611C6"/>
    <w:rsid w:val="00F62027"/>
    <w:rsid w:val="00F80A14"/>
    <w:rsid w:val="00F80D28"/>
    <w:rsid w:val="00F927D4"/>
    <w:rsid w:val="00F9569B"/>
    <w:rsid w:val="00FA59A2"/>
    <w:rsid w:val="00FA61F7"/>
    <w:rsid w:val="00FB1650"/>
    <w:rsid w:val="00FB32FB"/>
    <w:rsid w:val="00FB365F"/>
    <w:rsid w:val="00FB41B6"/>
    <w:rsid w:val="00FC0B84"/>
    <w:rsid w:val="00FC1DDB"/>
    <w:rsid w:val="00FD41D3"/>
    <w:rsid w:val="00FD659F"/>
    <w:rsid w:val="00FE18A9"/>
    <w:rsid w:val="00FE522D"/>
    <w:rsid w:val="00FE6E4C"/>
    <w:rsid w:val="00FF1BC3"/>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153"/>
        <w:tab w:val="right" w:pos="8306"/>
      </w:tabs>
    </w:pPr>
    <w:rPr>
      <w:snapToGrid w:val="0"/>
      <w:lang w:val="en-AU"/>
    </w:rPr>
  </w:style>
  <w:style w:type="character" w:styleId="Nmerodepgina">
    <w:name w:val="page number"/>
    <w:basedOn w:val="Fontepargpadro"/>
  </w:style>
  <w:style w:type="paragraph" w:styleId="Rodap">
    <w:name w:val="footer"/>
    <w:basedOn w:val="Normal"/>
    <w:link w:val="RodapChar"/>
    <w:uiPriority w:val="99"/>
    <w:pPr>
      <w:tabs>
        <w:tab w:val="center" w:pos="4153"/>
        <w:tab w:val="right" w:pos="8306"/>
      </w:tabs>
    </w:pPr>
  </w:style>
  <w:style w:type="paragraph" w:styleId="Recuodecorpodetexto">
    <w:name w:val="Body Text Indent"/>
    <w:basedOn w:val="Normal"/>
    <w:pPr>
      <w:tabs>
        <w:tab w:val="left" w:pos="-90"/>
        <w:tab w:val="left" w:pos="7470"/>
        <w:tab w:val="left" w:pos="8395"/>
      </w:tabs>
      <w:ind w:left="-1080"/>
    </w:pPr>
    <w:rPr>
      <w:sz w:val="14"/>
    </w:rPr>
  </w:style>
  <w:style w:type="paragraph" w:styleId="Textoembloco">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balo">
    <w:name w:val="Balloon Text"/>
    <w:basedOn w:val="Normal"/>
    <w:semiHidden/>
    <w:rPr>
      <w:rFonts w:ascii="Tahoma" w:hAnsi="Tahoma" w:cs="Tahoma"/>
      <w:sz w:val="16"/>
      <w:szCs w:val="16"/>
    </w:rPr>
  </w:style>
  <w:style w:type="paragraph" w:styleId="Corpodetexto">
    <w:name w:val="Body Text"/>
    <w:basedOn w:val="Normal"/>
    <w:pPr>
      <w:jc w:val="center"/>
    </w:pPr>
    <w:rPr>
      <w:rFonts w:eastAsia="Batang"/>
      <w:b/>
      <w:sz w:val="24"/>
      <w:szCs w:val="24"/>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derodap">
    <w:name w:val="footnote reference"/>
    <w:uiPriority w:val="99"/>
    <w:rsid w:val="00460258"/>
    <w:rPr>
      <w:rFonts w:cs="Times New Roman"/>
      <w:vertAlign w:val="superscript"/>
    </w:rPr>
  </w:style>
  <w:style w:type="character" w:customStyle="1" w:styleId="CabealhoChar">
    <w:name w:val="Cabeçalho Char"/>
    <w:link w:val="Cabealho"/>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o">
    <w:name w:val="Revision"/>
    <w:hidden/>
    <w:uiPriority w:val="99"/>
    <w:semiHidden/>
    <w:rsid w:val="006412EA"/>
    <w:rPr>
      <w:lang w:eastAsia="en-US"/>
    </w:rPr>
  </w:style>
  <w:style w:type="character" w:styleId="Refdecomentrio">
    <w:name w:val="annotation reference"/>
    <w:rsid w:val="008A2957"/>
    <w:rPr>
      <w:sz w:val="16"/>
      <w:szCs w:val="16"/>
    </w:rPr>
  </w:style>
  <w:style w:type="paragraph" w:styleId="Textodecomentrio">
    <w:name w:val="annotation text"/>
    <w:basedOn w:val="Normal"/>
    <w:link w:val="TextodecomentrioChar"/>
    <w:rsid w:val="008A2957"/>
  </w:style>
  <w:style w:type="character" w:customStyle="1" w:styleId="TextodecomentrioChar">
    <w:name w:val="Texto de comentário Char"/>
    <w:link w:val="Textodecomentrio"/>
    <w:rsid w:val="008A2957"/>
    <w:rPr>
      <w:lang w:eastAsia="en-US"/>
    </w:rPr>
  </w:style>
  <w:style w:type="paragraph" w:styleId="Assuntodocomentrio">
    <w:name w:val="annotation subject"/>
    <w:basedOn w:val="Textodecomentrio"/>
    <w:next w:val="Textodecomentrio"/>
    <w:link w:val="AssuntodocomentrioChar"/>
    <w:rsid w:val="008A2957"/>
    <w:rPr>
      <w:b/>
      <w:bCs/>
    </w:rPr>
  </w:style>
  <w:style w:type="character" w:customStyle="1" w:styleId="AssuntodocomentrioChar">
    <w:name w:val="Assunto do comentário Char"/>
    <w:link w:val="Assuntodocomentrio"/>
    <w:rsid w:val="008A2957"/>
    <w:rPr>
      <w:b/>
      <w:bCs/>
      <w:lang w:eastAsia="en-US"/>
    </w:rPr>
  </w:style>
  <w:style w:type="paragraph" w:styleId="PargrafodaLista">
    <w:name w:val="List Paragraph"/>
    <w:basedOn w:val="Normal"/>
    <w:uiPriority w:val="34"/>
    <w:qFormat/>
    <w:rsid w:val="00982FCF"/>
    <w:pPr>
      <w:ind w:left="720"/>
      <w:contextualSpacing/>
    </w:pPr>
  </w:style>
  <w:style w:type="character" w:customStyle="1" w:styleId="RodapChar">
    <w:name w:val="Rodapé Char"/>
    <w:link w:val="Rodap"/>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Textodenotaderodap">
    <w:name w:val="footnote text"/>
    <w:basedOn w:val="Normal"/>
    <w:link w:val="TextodenotaderodapChar"/>
    <w:uiPriority w:val="99"/>
    <w:semiHidden/>
    <w:unhideWhenUsed/>
    <w:rsid w:val="000050BA"/>
    <w:rPr>
      <w:rFonts w:asciiTheme="minorHAnsi" w:eastAsiaTheme="minorEastAsia" w:hAnsiTheme="minorHAnsi" w:cstheme="minorBidi"/>
      <w:lang w:val="en-US"/>
    </w:rPr>
  </w:style>
  <w:style w:type="character" w:customStyle="1" w:styleId="TextodenotaderodapChar">
    <w:name w:val="Texto de nota de rodapé Char"/>
    <w:basedOn w:val="Fontepargpadro"/>
    <w:link w:val="Textodenotaderodap"/>
    <w:uiPriority w:val="99"/>
    <w:semiHidden/>
    <w:rsid w:val="000050BA"/>
    <w:rPr>
      <w:rFonts w:asciiTheme="minorHAnsi" w:eastAsiaTheme="minorEastAsia" w:hAnsiTheme="minorHAnsi" w:cstheme="minorBidi"/>
      <w:lang w:val="en-US" w:eastAsia="en-US"/>
    </w:rPr>
  </w:style>
  <w:style w:type="character" w:styleId="HiperlinkVisitado">
    <w:name w:val="FollowedHyperlink"/>
    <w:basedOn w:val="Fontepargpadro"/>
    <w:semiHidden/>
    <w:unhideWhenUsed/>
    <w:rsid w:val="007D4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4744">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ntercept.com/2020/03/04/ibama-salles-exportacao-madeira-nativa/" TargetMode="External"/><Relationship Id="rId18" Type="http://schemas.openxmlformats.org/officeDocument/2006/relationships/hyperlink" Target="mailto:srenvironment@ohch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1.globo.com/politica/blog/matheus-leitao/post/2020/02/12/decreto-do-governo-reduz-cargos-de-chefia-do-icmbio-em-unidades-de-conversacao-sob-comando-do-orgao.ghtml" TargetMode="External"/><Relationship Id="rId17" Type="http://schemas.openxmlformats.org/officeDocument/2006/relationships/hyperlink" Target="https://oglobo.globo.com/sociedade/bolsonaro-transfere-concessao-de-florestas-publicas-para-ministerio-da-agricultura-24427684" TargetMode="External"/><Relationship Id="rId2" Type="http://schemas.openxmlformats.org/officeDocument/2006/relationships/customXml" Target="../customXml/item2.xml"/><Relationship Id="rId16" Type="http://schemas.openxmlformats.org/officeDocument/2006/relationships/hyperlink" Target="https://terradedireitos.org.br/noticias/noticias/nova-forma-mesma-proposta-pl2633nao-mp910nao/233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bservatoriodamineracao.com.br/pagando-dividas-de-campanha-bolsonaro-libera-terras-indigenas-para-a-mineracao-e-o-agronegocio/" TargetMode="External"/><Relationship Id="rId5" Type="http://schemas.openxmlformats.org/officeDocument/2006/relationships/numbering" Target="numbering.xml"/><Relationship Id="rId15" Type="http://schemas.openxmlformats.org/officeDocument/2006/relationships/hyperlink" Target="https://apublica.org/2020/05/com-bolsonaro-fazendas-foram-certificadas-de-maneira-irregular-em-terras-indigenas-na-amazoni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olhonosruralistas.com.br/2020/05/28/bolsonaro-pressionou-ministerio-da-agricultura-para-facilitar-agrotoxicos-a-aliados-em-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erradedireitos.org.br/uploads/arquivos/PROTOCOLO_CONSULTA_WEB-min.pdf" TargetMode="External"/><Relationship Id="rId3" Type="http://schemas.openxmlformats.org/officeDocument/2006/relationships/hyperlink" Target="https://www1.folha.uol.com.br/ambiente/2020/04/salles-anistia-desmatadores-da-mata-atlantica-em-meio-a-pandemia-de-covid-19.shtml" TargetMode="External"/><Relationship Id="rId7" Type="http://schemas.openxmlformats.org/officeDocument/2006/relationships/hyperlink" Target="https://terradedireitos.org.br/uploads/arquivos/Protocolo-Pimental-e-Sao-Francisco-(Web).pdf" TargetMode="External"/><Relationship Id="rId2" Type="http://schemas.openxmlformats.org/officeDocument/2006/relationships/hyperlink" Target="https://k6f2r3a6.stackpathcdn.com/wp-content/uploads/2020/05/Boletim-SAD-abril-2020.pdf" TargetMode="External"/><Relationship Id="rId1" Type="http://schemas.openxmlformats.org/officeDocument/2006/relationships/hyperlink" Target="http://www.inpe.br/noticias/noticia.php?Cod_Noticia=5294" TargetMode="External"/><Relationship Id="rId6" Type="http://schemas.openxmlformats.org/officeDocument/2006/relationships/hyperlink" Target="https://terradedireitos.org.br/uploads/arquivos/WEB_TDD_PROTOCOLO-apanhadoras.pdf" TargetMode="External"/><Relationship Id="rId5" Type="http://schemas.openxmlformats.org/officeDocument/2006/relationships/hyperlink" Target="https://reporterbrasil.org.br/2019/04/coquetel-com-27-agrotoxicos-foi-achado-na-agua-de-1-em-cada-4-municipios/" TargetMode="External"/><Relationship Id="rId4" Type="http://schemas.openxmlformats.org/officeDocument/2006/relationships/hyperlink" Target="https://jornal.usp.br/atualidades/morte-de-meio-bilhao-de-abelhas-e-consequencia-de-agrotox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4E0084-54AA-4AB6-B19B-B020DB518972}"/>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33D5910E-4E85-41A3-B44D-6EA44562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2513</Words>
  <Characters>13576</Characters>
  <Application>Microsoft Office Word</Application>
  <DocSecurity>0</DocSecurity>
  <Lines>113</Lines>
  <Paragraphs>32</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2020-06-16T00:45:00Z</dcterms:created>
  <dcterms:modified xsi:type="dcterms:W3CDTF">2020-06-16T02:01:00Z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