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EED9D" w14:textId="77777777" w:rsidR="001440EE" w:rsidRPr="00723498" w:rsidRDefault="001440EE" w:rsidP="001946BF">
      <w:pPr>
        <w:jc w:val="right"/>
        <w:rPr>
          <w:bCs/>
          <w:sz w:val="22"/>
          <w:szCs w:val="22"/>
          <w:lang w:val="es-ES"/>
        </w:rPr>
      </w:pPr>
      <w:bookmarkStart w:id="0" w:name="_GoBack"/>
      <w:bookmarkEnd w:id="0"/>
      <w:r w:rsidRPr="00723498">
        <w:rPr>
          <w:bCs/>
          <w:sz w:val="22"/>
          <w:szCs w:val="22"/>
          <w:lang w:val="es-ES"/>
        </w:rPr>
        <w:t>19 de junio de 2020.</w:t>
      </w:r>
    </w:p>
    <w:p w14:paraId="286E76E1" w14:textId="77777777" w:rsidR="001440EE" w:rsidRPr="00723498" w:rsidRDefault="001440EE" w:rsidP="00E61E75">
      <w:pPr>
        <w:jc w:val="both"/>
        <w:rPr>
          <w:b/>
          <w:color w:val="ED7D31" w:themeColor="accent2"/>
          <w:sz w:val="22"/>
          <w:szCs w:val="22"/>
          <w:lang w:val="es-ES"/>
        </w:rPr>
      </w:pPr>
    </w:p>
    <w:p w14:paraId="30D35D39" w14:textId="77777777" w:rsidR="001440EE" w:rsidRPr="00723498" w:rsidRDefault="001440EE" w:rsidP="00E61E75">
      <w:pPr>
        <w:jc w:val="both"/>
        <w:rPr>
          <w:b/>
          <w:color w:val="ED7D31" w:themeColor="accent2"/>
          <w:sz w:val="22"/>
          <w:szCs w:val="22"/>
          <w:lang w:val="es-ES"/>
        </w:rPr>
      </w:pPr>
      <w:r w:rsidRPr="00723498">
        <w:rPr>
          <w:b/>
          <w:color w:val="ED7D31" w:themeColor="accent2"/>
          <w:sz w:val="22"/>
          <w:szCs w:val="22"/>
          <w:lang w:val="es-ES"/>
        </w:rPr>
        <w:t>Asunto: respuestas de Ipas Centroamérica y México (Ipas CAM) al Cuestionario conjunto de los titulares de mandatos de los procedimientos especiales sobre la protección de los derechos humanos durante y después de la pandemia de COVID-19</w:t>
      </w:r>
    </w:p>
    <w:p w14:paraId="37AC1220" w14:textId="77777777" w:rsidR="001440EE" w:rsidRPr="00723498" w:rsidRDefault="001440EE" w:rsidP="00E61E75">
      <w:pPr>
        <w:jc w:val="both"/>
        <w:rPr>
          <w:b/>
          <w:sz w:val="22"/>
          <w:szCs w:val="22"/>
          <w:lang w:val="es-ES"/>
        </w:rPr>
      </w:pPr>
    </w:p>
    <w:p w14:paraId="5F4014DD" w14:textId="128B6A9D" w:rsidR="001440EE" w:rsidRPr="00723498" w:rsidRDefault="001440EE" w:rsidP="001946BF">
      <w:pPr>
        <w:jc w:val="center"/>
        <w:rPr>
          <w:b/>
          <w:sz w:val="22"/>
          <w:szCs w:val="22"/>
          <w:lang w:val="es-ES"/>
        </w:rPr>
      </w:pPr>
      <w:r w:rsidRPr="00723498">
        <w:rPr>
          <w:b/>
          <w:sz w:val="22"/>
          <w:szCs w:val="22"/>
          <w:lang w:val="es-ES"/>
        </w:rPr>
        <w:t>HONDURAS</w:t>
      </w:r>
    </w:p>
    <w:p w14:paraId="6692CAE7" w14:textId="77777777" w:rsidR="001440EE" w:rsidRPr="00723498" w:rsidRDefault="001440EE" w:rsidP="00E61E75">
      <w:pPr>
        <w:jc w:val="both"/>
        <w:rPr>
          <w:b/>
          <w:sz w:val="22"/>
          <w:szCs w:val="22"/>
          <w:lang w:val="es-ES"/>
        </w:rPr>
      </w:pPr>
    </w:p>
    <w:p w14:paraId="5C193AC9" w14:textId="43D1C9FC" w:rsidR="0031287F" w:rsidRDefault="0031287F" w:rsidP="00E61E75">
      <w:pPr>
        <w:jc w:val="both"/>
        <w:rPr>
          <w:b/>
          <w:sz w:val="22"/>
          <w:szCs w:val="22"/>
          <w:lang w:val="es-ES"/>
        </w:rPr>
      </w:pPr>
      <w:r w:rsidRPr="00723498">
        <w:rPr>
          <w:b/>
          <w:sz w:val="22"/>
          <w:szCs w:val="22"/>
          <w:lang w:val="es-ES"/>
        </w:rPr>
        <w:t>Preguntas comunes</w:t>
      </w:r>
    </w:p>
    <w:p w14:paraId="623E94E6" w14:textId="77777777" w:rsidR="002656AC" w:rsidRPr="00723498" w:rsidRDefault="002656AC" w:rsidP="00E61E75">
      <w:pPr>
        <w:jc w:val="both"/>
        <w:rPr>
          <w:b/>
          <w:sz w:val="22"/>
          <w:szCs w:val="22"/>
          <w:lang w:val="es-ES"/>
        </w:rPr>
      </w:pPr>
    </w:p>
    <w:p w14:paraId="21241ABB" w14:textId="77777777" w:rsidR="00E61E75" w:rsidRPr="00723498" w:rsidRDefault="0031287F" w:rsidP="00E61E75">
      <w:pPr>
        <w:jc w:val="both"/>
        <w:rPr>
          <w:sz w:val="22"/>
          <w:szCs w:val="22"/>
          <w:lang w:val="es-ES"/>
        </w:rPr>
      </w:pPr>
      <w:r w:rsidRPr="00723498">
        <w:rPr>
          <w:b/>
          <w:color w:val="1F4E79" w:themeColor="accent1" w:themeShade="80"/>
          <w:sz w:val="22"/>
          <w:szCs w:val="22"/>
          <w:lang w:val="es-ES"/>
        </w:rPr>
        <w:t>Impacto en los derechos humanos</w:t>
      </w:r>
    </w:p>
    <w:p w14:paraId="1A7483F4" w14:textId="77777777" w:rsidR="00E61E75" w:rsidRPr="00723498" w:rsidRDefault="00E61E75" w:rsidP="00E61E75">
      <w:pPr>
        <w:jc w:val="both"/>
        <w:rPr>
          <w:sz w:val="22"/>
          <w:szCs w:val="22"/>
          <w:lang w:val="es-ES"/>
        </w:rPr>
      </w:pPr>
    </w:p>
    <w:p w14:paraId="32FA7A7E" w14:textId="63617A9C" w:rsidR="0031287F" w:rsidRPr="00723498" w:rsidRDefault="0031287F" w:rsidP="00E61E75">
      <w:pPr>
        <w:pStyle w:val="ListParagraph"/>
        <w:numPr>
          <w:ilvl w:val="0"/>
          <w:numId w:val="16"/>
        </w:numPr>
        <w:ind w:left="0" w:firstLine="0"/>
        <w:jc w:val="both"/>
        <w:rPr>
          <w:sz w:val="22"/>
          <w:szCs w:val="22"/>
          <w:lang w:val="es-ES"/>
        </w:rPr>
      </w:pPr>
      <w:r w:rsidRPr="00723498">
        <w:rPr>
          <w:sz w:val="22"/>
          <w:szCs w:val="22"/>
          <w:lang w:val="es-ES"/>
        </w:rPr>
        <w:t xml:space="preserve">¿Qué repercusiones a largo plazo se prevé que tendrán la pandemia y las medidas de respuesta en el disfrute de los derechos humanos? </w:t>
      </w:r>
    </w:p>
    <w:p w14:paraId="2DA9AD7B" w14:textId="77777777" w:rsidR="003E5CDD" w:rsidRPr="00723498" w:rsidRDefault="003E5CDD" w:rsidP="003E5CDD">
      <w:pPr>
        <w:pStyle w:val="ListParagraph"/>
        <w:ind w:left="0"/>
        <w:jc w:val="both"/>
        <w:rPr>
          <w:sz w:val="22"/>
          <w:szCs w:val="22"/>
          <w:lang w:val="es-ES"/>
        </w:rPr>
      </w:pPr>
    </w:p>
    <w:p w14:paraId="540F52E9" w14:textId="3038780D" w:rsidR="004E007D" w:rsidRPr="00723498" w:rsidRDefault="007121A3" w:rsidP="00E61E75">
      <w:pPr>
        <w:pStyle w:val="ListParagraph"/>
        <w:numPr>
          <w:ilvl w:val="0"/>
          <w:numId w:val="15"/>
        </w:numPr>
        <w:spacing w:after="120" w:line="259" w:lineRule="auto"/>
        <w:ind w:left="0" w:firstLine="0"/>
        <w:contextualSpacing w:val="0"/>
        <w:jc w:val="both"/>
        <w:rPr>
          <w:color w:val="2E74B5" w:themeColor="accent1" w:themeShade="BF"/>
          <w:sz w:val="22"/>
          <w:szCs w:val="22"/>
          <w:lang w:val="es-ES"/>
        </w:rPr>
      </w:pPr>
      <w:r w:rsidRPr="00723498">
        <w:rPr>
          <w:color w:val="2E74B5" w:themeColor="accent1" w:themeShade="BF"/>
          <w:sz w:val="22"/>
          <w:szCs w:val="22"/>
          <w:lang w:val="es-ES"/>
        </w:rPr>
        <w:t>El Estado de Honduras tomo me</w:t>
      </w:r>
      <w:r w:rsidR="004E007D" w:rsidRPr="00723498">
        <w:rPr>
          <w:color w:val="2E74B5" w:themeColor="accent1" w:themeShade="BF"/>
          <w:sz w:val="22"/>
          <w:szCs w:val="22"/>
          <w:lang w:val="es-ES"/>
        </w:rPr>
        <w:t xml:space="preserve">didas militaristas y abuso de poder durante los primeros meses </w:t>
      </w:r>
      <w:r w:rsidR="000C6494" w:rsidRPr="00723498">
        <w:rPr>
          <w:color w:val="2E74B5" w:themeColor="accent1" w:themeShade="BF"/>
          <w:sz w:val="22"/>
          <w:szCs w:val="22"/>
          <w:lang w:val="es-ES"/>
        </w:rPr>
        <w:t>decretada la emergencia nacional por COVID19</w:t>
      </w:r>
      <w:r w:rsidR="000709F5" w:rsidRPr="00723498">
        <w:rPr>
          <w:rStyle w:val="FootnoteReference"/>
          <w:color w:val="2E74B5" w:themeColor="accent1" w:themeShade="BF"/>
          <w:sz w:val="22"/>
          <w:szCs w:val="22"/>
          <w:lang w:val="es-ES"/>
        </w:rPr>
        <w:footnoteReference w:id="1"/>
      </w:r>
      <w:r w:rsidR="000C6494" w:rsidRPr="00723498">
        <w:rPr>
          <w:color w:val="2E74B5" w:themeColor="accent1" w:themeShade="BF"/>
          <w:sz w:val="22"/>
          <w:szCs w:val="22"/>
          <w:lang w:val="es-ES"/>
        </w:rPr>
        <w:t>.</w:t>
      </w:r>
      <w:r w:rsidR="004E007D" w:rsidRPr="00723498">
        <w:rPr>
          <w:color w:val="2E74B5" w:themeColor="accent1" w:themeShade="BF"/>
          <w:sz w:val="22"/>
          <w:szCs w:val="22"/>
          <w:lang w:val="es-ES"/>
        </w:rPr>
        <w:t xml:space="preserve">  </w:t>
      </w:r>
      <w:r w:rsidRPr="00723498">
        <w:rPr>
          <w:color w:val="2E74B5" w:themeColor="accent1" w:themeShade="BF"/>
          <w:sz w:val="22"/>
          <w:szCs w:val="22"/>
          <w:lang w:val="es-ES"/>
        </w:rPr>
        <w:t>Se s</w:t>
      </w:r>
      <w:r w:rsidR="004E007D" w:rsidRPr="00723498">
        <w:rPr>
          <w:color w:val="2E74B5" w:themeColor="accent1" w:themeShade="BF"/>
          <w:sz w:val="22"/>
          <w:szCs w:val="22"/>
          <w:lang w:val="es-ES"/>
        </w:rPr>
        <w:t xml:space="preserve">uspendió desde </w:t>
      </w:r>
      <w:r w:rsidR="00D127F5" w:rsidRPr="00723498">
        <w:rPr>
          <w:color w:val="2E74B5" w:themeColor="accent1" w:themeShade="BF"/>
          <w:sz w:val="22"/>
          <w:szCs w:val="22"/>
          <w:lang w:val="es-ES"/>
        </w:rPr>
        <w:t>el 10</w:t>
      </w:r>
      <w:r w:rsidR="004E007D" w:rsidRPr="00723498">
        <w:rPr>
          <w:color w:val="2E74B5" w:themeColor="accent1" w:themeShade="BF"/>
          <w:sz w:val="22"/>
          <w:szCs w:val="22"/>
          <w:lang w:val="es-ES"/>
        </w:rPr>
        <w:t xml:space="preserve"> de marzo las garantías constitucionales y dispuso otras medidas mediante el decreto ejecutivo PCM 021-2020, como el toque de queda, que colocan a la población en situación de mayor vulnerabilidad frente a la habitual represión y abuso de la fuerza de la Policía Militar.</w:t>
      </w:r>
      <w:r w:rsidRPr="00723498">
        <w:rPr>
          <w:rStyle w:val="FootnoteReference"/>
          <w:color w:val="2E74B5" w:themeColor="accent1" w:themeShade="BF"/>
          <w:sz w:val="22"/>
          <w:szCs w:val="22"/>
          <w:lang w:val="es-ES"/>
        </w:rPr>
        <w:footnoteReference w:id="2"/>
      </w:r>
    </w:p>
    <w:p w14:paraId="0EB02D68" w14:textId="111C9584" w:rsidR="004E007D" w:rsidRPr="00723498" w:rsidRDefault="004E007D" w:rsidP="00E61E75">
      <w:pPr>
        <w:pStyle w:val="ListParagraph"/>
        <w:numPr>
          <w:ilvl w:val="0"/>
          <w:numId w:val="15"/>
        </w:numPr>
        <w:spacing w:after="120" w:line="259" w:lineRule="auto"/>
        <w:ind w:left="0" w:firstLine="0"/>
        <w:contextualSpacing w:val="0"/>
        <w:jc w:val="both"/>
        <w:rPr>
          <w:color w:val="2E74B5" w:themeColor="accent1" w:themeShade="BF"/>
          <w:sz w:val="22"/>
          <w:szCs w:val="22"/>
          <w:lang w:val="es-ES"/>
        </w:rPr>
      </w:pPr>
      <w:r w:rsidRPr="00723498">
        <w:rPr>
          <w:color w:val="2E74B5" w:themeColor="accent1" w:themeShade="BF"/>
          <w:sz w:val="22"/>
          <w:szCs w:val="22"/>
          <w:lang w:val="es-ES"/>
        </w:rPr>
        <w:t>Economía informal es la fuente de trabajo de la mayoría de la población activa en Honduras, con la decisión de toque de queda absoluto, se vieron afectados profundamente. El 70% de la población que sobrevive en la economía informa</w:t>
      </w:r>
      <w:r w:rsidR="00AD3DC0" w:rsidRPr="00723498">
        <w:rPr>
          <w:color w:val="2E74B5" w:themeColor="accent1" w:themeShade="BF"/>
          <w:sz w:val="22"/>
          <w:szCs w:val="22"/>
          <w:lang w:val="es-ES"/>
        </w:rPr>
        <w:t xml:space="preserve">l, </w:t>
      </w:r>
      <w:r w:rsidR="00AD3DC0" w:rsidRPr="00723498">
        <w:rPr>
          <w:color w:val="2E74B5" w:themeColor="accent1" w:themeShade="BF"/>
          <w:sz w:val="22"/>
          <w:szCs w:val="22"/>
          <w:lang w:val="es-HN"/>
        </w:rPr>
        <w:t>al menos 83 protestas por demanda de alimentos se registraron entre el 23 de marzo y el 2 de abril, la gran mayoría fueron desalojados haciendo uso de la fuerza excesiva con bombas lacrimógenas y hasta bala viva por parte de las fuerzas de seguridad del Estado.</w:t>
      </w:r>
      <w:r w:rsidR="00AD3DC0" w:rsidRPr="00723498">
        <w:rPr>
          <w:rStyle w:val="FootnoteReference"/>
          <w:color w:val="2E74B5" w:themeColor="accent1" w:themeShade="BF"/>
          <w:sz w:val="22"/>
          <w:szCs w:val="22"/>
          <w:lang w:val="es-ES"/>
        </w:rPr>
        <w:footnoteReference w:id="3"/>
      </w:r>
    </w:p>
    <w:p w14:paraId="0B02B451" w14:textId="0BD30336" w:rsidR="007121A3" w:rsidRPr="00723498" w:rsidRDefault="007121A3" w:rsidP="00E61E75">
      <w:pPr>
        <w:pStyle w:val="ListParagraph"/>
        <w:numPr>
          <w:ilvl w:val="0"/>
          <w:numId w:val="15"/>
        </w:numPr>
        <w:spacing w:after="120" w:line="259" w:lineRule="auto"/>
        <w:ind w:left="0" w:firstLine="0"/>
        <w:contextualSpacing w:val="0"/>
        <w:jc w:val="both"/>
        <w:rPr>
          <w:color w:val="2E74B5" w:themeColor="accent1" w:themeShade="BF"/>
          <w:sz w:val="22"/>
          <w:szCs w:val="22"/>
          <w:lang w:val="es-ES"/>
        </w:rPr>
      </w:pPr>
      <w:r w:rsidRPr="00723498">
        <w:rPr>
          <w:color w:val="2E74B5" w:themeColor="accent1" w:themeShade="BF"/>
          <w:sz w:val="22"/>
          <w:szCs w:val="22"/>
          <w:lang w:val="es-ES"/>
        </w:rPr>
        <w:t xml:space="preserve">Profundización de la </w:t>
      </w:r>
      <w:r w:rsidR="00D127F5" w:rsidRPr="00723498">
        <w:rPr>
          <w:color w:val="2E74B5" w:themeColor="accent1" w:themeShade="BF"/>
          <w:sz w:val="22"/>
          <w:szCs w:val="22"/>
          <w:lang w:val="es-ES"/>
        </w:rPr>
        <w:t xml:space="preserve">corrupción y </w:t>
      </w:r>
      <w:r w:rsidRPr="00723498">
        <w:rPr>
          <w:color w:val="2E74B5" w:themeColor="accent1" w:themeShade="BF"/>
          <w:sz w:val="22"/>
          <w:szCs w:val="22"/>
          <w:lang w:val="es-ES"/>
        </w:rPr>
        <w:t>precariedad de servicios en el Sistema de Salud Pública en Honduras.</w:t>
      </w:r>
      <w:r w:rsidR="00D127F5" w:rsidRPr="00723498">
        <w:rPr>
          <w:color w:val="2E74B5" w:themeColor="accent1" w:themeShade="BF"/>
          <w:sz w:val="22"/>
          <w:szCs w:val="22"/>
          <w:lang w:val="es-ES"/>
        </w:rPr>
        <w:t xml:space="preserve"> En </w:t>
      </w:r>
      <w:r w:rsidR="002E23EB" w:rsidRPr="00723498">
        <w:rPr>
          <w:color w:val="2E74B5" w:themeColor="accent1" w:themeShade="BF"/>
          <w:sz w:val="22"/>
          <w:szCs w:val="22"/>
          <w:lang w:val="es-ES"/>
        </w:rPr>
        <w:t>los primeros 15 días de</w:t>
      </w:r>
      <w:r w:rsidR="00D127F5" w:rsidRPr="00723498">
        <w:rPr>
          <w:color w:val="2E74B5" w:themeColor="accent1" w:themeShade="BF"/>
          <w:sz w:val="22"/>
          <w:szCs w:val="22"/>
          <w:lang w:val="es-ES"/>
        </w:rPr>
        <w:t xml:space="preserve"> confinamiento, se aprobaron </w:t>
      </w:r>
      <w:r w:rsidR="002E23EB" w:rsidRPr="00723498">
        <w:rPr>
          <w:color w:val="2E74B5" w:themeColor="accent1" w:themeShade="BF"/>
          <w:sz w:val="22"/>
          <w:szCs w:val="22"/>
          <w:lang w:val="es-ES"/>
        </w:rPr>
        <w:t xml:space="preserve">16 </w:t>
      </w:r>
      <w:r w:rsidR="00D127F5" w:rsidRPr="00723498">
        <w:rPr>
          <w:color w:val="2E74B5" w:themeColor="accent1" w:themeShade="BF"/>
          <w:sz w:val="22"/>
          <w:szCs w:val="22"/>
          <w:lang w:val="es-ES"/>
        </w:rPr>
        <w:t>millones de lempiras para enfrentar la crisis y no se ven reflejadas en insumos y necesidades abastecidas del sistema de salud.</w:t>
      </w:r>
      <w:r w:rsidR="00D127F5" w:rsidRPr="00723498">
        <w:rPr>
          <w:rStyle w:val="FootnoteReference"/>
          <w:color w:val="2E74B5" w:themeColor="accent1" w:themeShade="BF"/>
          <w:sz w:val="22"/>
          <w:szCs w:val="22"/>
          <w:lang w:val="es-ES"/>
        </w:rPr>
        <w:footnoteReference w:id="4"/>
      </w:r>
      <w:r w:rsidR="00D127F5" w:rsidRPr="00723498">
        <w:rPr>
          <w:color w:val="2E74B5" w:themeColor="accent1" w:themeShade="BF"/>
          <w:sz w:val="22"/>
          <w:szCs w:val="22"/>
          <w:lang w:val="es-ES"/>
        </w:rPr>
        <w:t xml:space="preserve"> </w:t>
      </w:r>
    </w:p>
    <w:p w14:paraId="3CFAE23A" w14:textId="107742D5" w:rsidR="000653D6" w:rsidRPr="00723498" w:rsidRDefault="000C6494" w:rsidP="00E61E75">
      <w:pPr>
        <w:pStyle w:val="ListParagraph"/>
        <w:numPr>
          <w:ilvl w:val="0"/>
          <w:numId w:val="15"/>
        </w:numPr>
        <w:spacing w:after="120" w:line="259" w:lineRule="auto"/>
        <w:ind w:left="0" w:firstLine="0"/>
        <w:contextualSpacing w:val="0"/>
        <w:jc w:val="both"/>
        <w:rPr>
          <w:color w:val="2E74B5" w:themeColor="accent1" w:themeShade="BF"/>
          <w:sz w:val="22"/>
          <w:szCs w:val="22"/>
          <w:lang w:val="es-HN"/>
        </w:rPr>
      </w:pPr>
      <w:r w:rsidRPr="00723498">
        <w:rPr>
          <w:color w:val="2E74B5" w:themeColor="accent1" w:themeShade="BF"/>
          <w:sz w:val="22"/>
          <w:szCs w:val="22"/>
          <w:lang w:val="es-ES"/>
        </w:rPr>
        <w:t>Salud sexual y reproductiva no es prioridad para el Estado de Honduras</w:t>
      </w:r>
      <w:r w:rsidR="00B85C80" w:rsidRPr="00723498">
        <w:rPr>
          <w:color w:val="2E74B5" w:themeColor="accent1" w:themeShade="BF"/>
          <w:sz w:val="22"/>
          <w:szCs w:val="22"/>
          <w:lang w:val="es-ES"/>
        </w:rPr>
        <w:t>.</w:t>
      </w:r>
      <w:r w:rsidR="000653D6" w:rsidRPr="00723498">
        <w:rPr>
          <w:color w:val="2E74B5" w:themeColor="accent1" w:themeShade="BF"/>
          <w:sz w:val="22"/>
          <w:szCs w:val="22"/>
          <w:lang w:val="es-ES"/>
        </w:rPr>
        <w:t xml:space="preserve"> </w:t>
      </w:r>
      <w:r w:rsidR="00955936" w:rsidRPr="00723498">
        <w:rPr>
          <w:color w:val="2E74B5" w:themeColor="accent1" w:themeShade="BF"/>
          <w:sz w:val="22"/>
          <w:szCs w:val="22"/>
          <w:lang w:val="es-HN"/>
        </w:rPr>
        <w:t>Los movimientos de mujeres y feministas, solicitaron restitución de la pastilla de anticoncepción de emergencia</w:t>
      </w:r>
      <w:r w:rsidR="007D1F4F" w:rsidRPr="00723498">
        <w:rPr>
          <w:color w:val="2E74B5" w:themeColor="accent1" w:themeShade="BF"/>
          <w:sz w:val="22"/>
          <w:szCs w:val="22"/>
          <w:lang w:val="es-HN"/>
        </w:rPr>
        <w:t xml:space="preserve"> y garantizar métodos anticonceptivos</w:t>
      </w:r>
      <w:r w:rsidR="00955936" w:rsidRPr="00723498">
        <w:rPr>
          <w:color w:val="2E74B5" w:themeColor="accent1" w:themeShade="BF"/>
          <w:sz w:val="22"/>
          <w:szCs w:val="22"/>
          <w:lang w:val="es-HN"/>
        </w:rPr>
        <w:t xml:space="preserve">, puesto que el contexto COVID19 y las medidas de confinamiento tomadas limita la libre movilización de las mujeres hondureñas para acceder a métodos anticonceptivos. </w:t>
      </w:r>
    </w:p>
    <w:p w14:paraId="212F37D0" w14:textId="612508DF" w:rsidR="007D1F4F" w:rsidRPr="00723498" w:rsidRDefault="007D1F4F" w:rsidP="00E61E75">
      <w:pPr>
        <w:pStyle w:val="ListParagraph"/>
        <w:spacing w:after="120" w:line="259" w:lineRule="auto"/>
        <w:ind w:left="0"/>
        <w:contextualSpacing w:val="0"/>
        <w:jc w:val="both"/>
        <w:rPr>
          <w:color w:val="2E74B5" w:themeColor="accent1" w:themeShade="BF"/>
          <w:sz w:val="22"/>
          <w:szCs w:val="22"/>
          <w:lang w:val="es-HN"/>
        </w:rPr>
      </w:pPr>
      <w:r w:rsidRPr="00723498">
        <w:rPr>
          <w:color w:val="2E74B5" w:themeColor="accent1" w:themeShade="BF"/>
          <w:sz w:val="22"/>
          <w:szCs w:val="22"/>
          <w:lang w:val="es-HN"/>
        </w:rPr>
        <w:t>En Abril 2020 la Secretaría de Salud emitió una ordenanza</w:t>
      </w:r>
      <w:r w:rsidR="004A2C47" w:rsidRPr="00723498">
        <w:rPr>
          <w:color w:val="2E74B5" w:themeColor="accent1" w:themeShade="BF"/>
          <w:sz w:val="22"/>
          <w:szCs w:val="22"/>
          <w:lang w:val="es-HN"/>
        </w:rPr>
        <w:t xml:space="preserve"> No. 678-DGRISS-2020</w:t>
      </w:r>
      <w:r w:rsidR="00761496" w:rsidRPr="00723498">
        <w:rPr>
          <w:rStyle w:val="FootnoteReference"/>
          <w:color w:val="2E74B5" w:themeColor="accent1" w:themeShade="BF"/>
          <w:sz w:val="22"/>
          <w:szCs w:val="22"/>
          <w:lang w:val="es-HN"/>
        </w:rPr>
        <w:footnoteReference w:id="5"/>
      </w:r>
      <w:r w:rsidR="004A2C47" w:rsidRPr="00723498">
        <w:rPr>
          <w:color w:val="2E74B5" w:themeColor="accent1" w:themeShade="BF"/>
          <w:sz w:val="22"/>
          <w:szCs w:val="22"/>
          <w:lang w:val="es-HN"/>
        </w:rPr>
        <w:t xml:space="preserve"> en aras de garantizar el acceso a métodos anticonceptivos a la población, sin embargo organizaciones de mujeres e Instituto Nacional de la Mujer han solicitado informe de las estrategias utilizadas para garantizar la implementación de dicha orden, así como un monitoreo de datos estadísticos sobre embarazo en adolescentes y no ha habido respuesta por parte de las instancias correspondientes.</w:t>
      </w:r>
      <w:r w:rsidR="004A2C47" w:rsidRPr="00723498">
        <w:rPr>
          <w:rStyle w:val="FootnoteReference"/>
          <w:color w:val="2E74B5" w:themeColor="accent1" w:themeShade="BF"/>
          <w:sz w:val="22"/>
          <w:szCs w:val="22"/>
          <w:lang w:val="es-HN"/>
        </w:rPr>
        <w:footnoteReference w:id="6"/>
      </w:r>
    </w:p>
    <w:p w14:paraId="1EEB8078" w14:textId="2595481B" w:rsidR="007D1F4F" w:rsidRPr="00723498" w:rsidRDefault="004A2C47" w:rsidP="00E61E75">
      <w:pPr>
        <w:pStyle w:val="ListParagraph"/>
        <w:spacing w:after="120" w:line="259" w:lineRule="auto"/>
        <w:ind w:left="0"/>
        <w:contextualSpacing w:val="0"/>
        <w:jc w:val="both"/>
        <w:rPr>
          <w:color w:val="2E74B5" w:themeColor="accent1" w:themeShade="BF"/>
          <w:sz w:val="22"/>
          <w:szCs w:val="22"/>
          <w:lang w:val="es-HN"/>
        </w:rPr>
      </w:pPr>
      <w:r w:rsidRPr="00723498">
        <w:rPr>
          <w:color w:val="2E74B5" w:themeColor="accent1" w:themeShade="BF"/>
          <w:sz w:val="22"/>
          <w:szCs w:val="22"/>
          <w:lang w:val="es-HN"/>
        </w:rPr>
        <w:t>UNFPA</w:t>
      </w:r>
      <w:r w:rsidR="00761496" w:rsidRPr="00723498">
        <w:rPr>
          <w:color w:val="2E74B5" w:themeColor="accent1" w:themeShade="BF"/>
          <w:sz w:val="22"/>
          <w:szCs w:val="22"/>
          <w:lang w:val="es-HN"/>
        </w:rPr>
        <w:t xml:space="preserve"> declara que</w:t>
      </w:r>
      <w:r w:rsidRPr="00723498">
        <w:rPr>
          <w:color w:val="2E74B5" w:themeColor="accent1" w:themeShade="BF"/>
          <w:sz w:val="22"/>
          <w:szCs w:val="22"/>
          <w:lang w:val="es-HN"/>
        </w:rPr>
        <w:t xml:space="preserve"> la situación es preocupante </w:t>
      </w:r>
      <w:r w:rsidR="00761496" w:rsidRPr="00723498">
        <w:rPr>
          <w:color w:val="2E74B5" w:themeColor="accent1" w:themeShade="BF"/>
          <w:sz w:val="22"/>
          <w:szCs w:val="22"/>
          <w:lang w:val="es-HN"/>
        </w:rPr>
        <w:t>puesto que como efecto de la pandemia</w:t>
      </w:r>
      <w:r w:rsidRPr="00723498">
        <w:rPr>
          <w:color w:val="2E74B5" w:themeColor="accent1" w:themeShade="BF"/>
          <w:sz w:val="22"/>
          <w:szCs w:val="22"/>
          <w:lang w:val="es-HN"/>
        </w:rPr>
        <w:t xml:space="preserve"> se pueden estimar, que unas 240,000 mujeres en edad reproductiva y que están utilizando métodos anticonceptivos modernos, podrían verse afectadas por la falta de acceso, especialmente en municipios que tienen un mayor número de casos de COVID-19, tales como Villanueva, Choloma, San Pedro Sula, cuyos servicios de planificación familiar se mantienen cerrados o con horarios de atención restringidos</w:t>
      </w:r>
      <w:r w:rsidRPr="00723498">
        <w:rPr>
          <w:rStyle w:val="FootnoteReference"/>
          <w:color w:val="2E74B5" w:themeColor="accent1" w:themeShade="BF"/>
          <w:sz w:val="22"/>
          <w:szCs w:val="22"/>
          <w:lang w:val="es-HN"/>
        </w:rPr>
        <w:footnoteReference w:id="7"/>
      </w:r>
      <w:r w:rsidR="007D1F4F" w:rsidRPr="00723498">
        <w:rPr>
          <w:color w:val="2E74B5" w:themeColor="accent1" w:themeShade="BF"/>
          <w:sz w:val="22"/>
          <w:szCs w:val="22"/>
          <w:lang w:val="es-HN"/>
        </w:rPr>
        <w:t xml:space="preserve"> </w:t>
      </w:r>
    </w:p>
    <w:p w14:paraId="56E8DB24" w14:textId="52CCA80B" w:rsidR="007D1F4F" w:rsidRPr="00723498" w:rsidRDefault="00761496" w:rsidP="00E61E75">
      <w:pPr>
        <w:pStyle w:val="ListParagraph"/>
        <w:spacing w:after="120" w:line="259" w:lineRule="auto"/>
        <w:ind w:left="0"/>
        <w:contextualSpacing w:val="0"/>
        <w:jc w:val="both"/>
        <w:rPr>
          <w:color w:val="2E74B5" w:themeColor="accent1" w:themeShade="BF"/>
          <w:sz w:val="22"/>
          <w:szCs w:val="22"/>
          <w:lang w:val="es-HN"/>
        </w:rPr>
      </w:pPr>
      <w:r w:rsidRPr="00723498">
        <w:rPr>
          <w:color w:val="2E74B5" w:themeColor="accent1" w:themeShade="BF"/>
          <w:sz w:val="22"/>
          <w:szCs w:val="22"/>
          <w:lang w:val="es-HN"/>
        </w:rPr>
        <w:lastRenderedPageBreak/>
        <w:t xml:space="preserve">Frente a la violencia sexual, las mujeres siguen viéndose forzadas a tener un embarazo no deseado al continuar prohibiéndose las pastillas de anticoncepción de emergencia. </w:t>
      </w:r>
      <w:r w:rsidR="007D1F4F" w:rsidRPr="00723498">
        <w:rPr>
          <w:color w:val="2E74B5" w:themeColor="accent1" w:themeShade="BF"/>
          <w:sz w:val="22"/>
          <w:szCs w:val="22"/>
          <w:lang w:val="es-HN"/>
        </w:rPr>
        <w:t>E</w:t>
      </w:r>
      <w:r w:rsidR="007D1F4F" w:rsidRPr="00723498">
        <w:rPr>
          <w:color w:val="2E74B5" w:themeColor="accent1" w:themeShade="BF"/>
          <w:sz w:val="22"/>
          <w:szCs w:val="22"/>
          <w:lang w:val="es-ES"/>
        </w:rPr>
        <w:t>n enero 2018 la</w:t>
      </w:r>
      <w:r w:rsidR="007D1F4F" w:rsidRPr="00723498">
        <w:rPr>
          <w:color w:val="2E74B5" w:themeColor="accent1" w:themeShade="BF"/>
          <w:sz w:val="22"/>
          <w:szCs w:val="22"/>
          <w:lang w:val="es-HN"/>
        </w:rPr>
        <w:t xml:space="preserve"> Secretaría de Salud se negó a incluir el apartado relacionado con la prevención del embarazo en el Protocolo de Atención a Víctimas de Violencia Sexual, argumentando para ello la vigencia del decreto legislativo 54-2009, que prohíbe y penaliza la anticoncepción de emergencia, pero que el mismo nunca entró en vigencia debido al veto presidencial. </w:t>
      </w:r>
    </w:p>
    <w:p w14:paraId="4A73969F" w14:textId="1D9AE502" w:rsidR="003E5CDD" w:rsidRPr="00723498" w:rsidRDefault="0031287F" w:rsidP="00E61E75">
      <w:pPr>
        <w:jc w:val="both"/>
        <w:rPr>
          <w:b/>
          <w:color w:val="1F4E79" w:themeColor="accent1" w:themeShade="80"/>
          <w:sz w:val="22"/>
          <w:szCs w:val="22"/>
        </w:rPr>
      </w:pPr>
      <w:r w:rsidRPr="00723498">
        <w:rPr>
          <w:b/>
          <w:color w:val="1F4E79" w:themeColor="accent1" w:themeShade="80"/>
          <w:sz w:val="22"/>
          <w:szCs w:val="22"/>
        </w:rPr>
        <w:t>Información estadística</w:t>
      </w:r>
    </w:p>
    <w:p w14:paraId="5A503D1D" w14:textId="77777777" w:rsidR="003E5CDD" w:rsidRPr="00723498" w:rsidRDefault="003E5CDD" w:rsidP="00E61E75">
      <w:pPr>
        <w:jc w:val="both"/>
        <w:rPr>
          <w:b/>
          <w:color w:val="1F4E79" w:themeColor="accent1" w:themeShade="80"/>
          <w:sz w:val="22"/>
          <w:szCs w:val="22"/>
        </w:rPr>
      </w:pPr>
    </w:p>
    <w:p w14:paraId="69D063DD" w14:textId="77777777" w:rsidR="000709F5" w:rsidRPr="00723498" w:rsidRDefault="0031287F" w:rsidP="00E61E75">
      <w:pPr>
        <w:pStyle w:val="ListParagraph"/>
        <w:numPr>
          <w:ilvl w:val="0"/>
          <w:numId w:val="2"/>
        </w:numPr>
        <w:spacing w:after="120"/>
        <w:ind w:left="0" w:firstLine="0"/>
        <w:contextualSpacing w:val="0"/>
        <w:jc w:val="both"/>
        <w:rPr>
          <w:sz w:val="22"/>
          <w:szCs w:val="22"/>
          <w:lang w:val="es-HN"/>
        </w:rPr>
      </w:pPr>
      <w:r w:rsidRPr="00723498">
        <w:rPr>
          <w:sz w:val="22"/>
          <w:szCs w:val="22"/>
          <w:lang w:val="es-ES"/>
        </w:rPr>
        <w:t>Sírvase proporcionar datos sobre los incidentes de violencia en el hogar, incluidos los femicidios, desglosados por: a) femicidio en la pareja, b) femicidio familiar basado en la relación entre el autor y la(s) víctima(s) y c) todos los demás femicidios, basados en el contexto del país.</w:t>
      </w:r>
    </w:p>
    <w:p w14:paraId="0BD45075" w14:textId="3A7AFC60" w:rsidR="000C6494" w:rsidRPr="00723498" w:rsidRDefault="00BF5522" w:rsidP="00E61E75">
      <w:pPr>
        <w:spacing w:after="120"/>
        <w:jc w:val="both"/>
        <w:rPr>
          <w:color w:val="2E74B5" w:themeColor="accent1" w:themeShade="BF"/>
          <w:sz w:val="22"/>
          <w:szCs w:val="22"/>
          <w:lang w:val="es-HN"/>
        </w:rPr>
      </w:pPr>
      <w:r w:rsidRPr="00723498">
        <w:rPr>
          <w:color w:val="2E74B5" w:themeColor="accent1" w:themeShade="BF"/>
          <w:sz w:val="22"/>
          <w:szCs w:val="22"/>
          <w:lang w:val="es-HN"/>
        </w:rPr>
        <w:t xml:space="preserve">En contexto de confinamiento la </w:t>
      </w:r>
      <w:r w:rsidR="00FE1443" w:rsidRPr="00723498">
        <w:rPr>
          <w:b/>
          <w:bCs/>
          <w:color w:val="2E74B5" w:themeColor="accent1" w:themeShade="BF"/>
          <w:sz w:val="22"/>
          <w:szCs w:val="22"/>
          <w:lang w:val="es-HN"/>
        </w:rPr>
        <w:t>violencia en el hogar</w:t>
      </w:r>
      <w:r w:rsidRPr="00723498">
        <w:rPr>
          <w:b/>
          <w:bCs/>
          <w:color w:val="2E74B5" w:themeColor="accent1" w:themeShade="BF"/>
          <w:sz w:val="22"/>
          <w:szCs w:val="22"/>
          <w:lang w:val="es-HN"/>
        </w:rPr>
        <w:t xml:space="preserve"> contra las mujeres en Honduras </w:t>
      </w:r>
      <w:r w:rsidRPr="00723498">
        <w:rPr>
          <w:color w:val="2E74B5" w:themeColor="accent1" w:themeShade="BF"/>
          <w:sz w:val="22"/>
          <w:szCs w:val="22"/>
          <w:lang w:val="es-HN"/>
        </w:rPr>
        <w:t>s</w:t>
      </w:r>
      <w:r w:rsidR="00FE1443" w:rsidRPr="00723498">
        <w:rPr>
          <w:color w:val="2E74B5" w:themeColor="accent1" w:themeShade="BF"/>
          <w:sz w:val="22"/>
          <w:szCs w:val="22"/>
          <w:lang w:val="es-HN"/>
        </w:rPr>
        <w:t>e ha incrementado considerablemente</w:t>
      </w:r>
      <w:r w:rsidRPr="00723498">
        <w:rPr>
          <w:color w:val="2E74B5" w:themeColor="accent1" w:themeShade="BF"/>
          <w:sz w:val="22"/>
          <w:szCs w:val="22"/>
          <w:lang w:val="es-HN"/>
        </w:rPr>
        <w:t xml:space="preserve">, </w:t>
      </w:r>
      <w:r w:rsidR="00FE1443" w:rsidRPr="00723498">
        <w:rPr>
          <w:color w:val="2E74B5" w:themeColor="accent1" w:themeShade="BF"/>
          <w:sz w:val="22"/>
          <w:szCs w:val="22"/>
          <w:lang w:val="es-HN"/>
        </w:rPr>
        <w:t>las denuncias</w:t>
      </w:r>
      <w:r w:rsidRPr="00723498">
        <w:rPr>
          <w:color w:val="2E74B5" w:themeColor="accent1" w:themeShade="BF"/>
          <w:sz w:val="22"/>
          <w:szCs w:val="22"/>
          <w:lang w:val="es-HN"/>
        </w:rPr>
        <w:t xml:space="preserve"> realizadas </w:t>
      </w:r>
      <w:r w:rsidR="00450A74" w:rsidRPr="00723498">
        <w:rPr>
          <w:color w:val="2E74B5" w:themeColor="accent1" w:themeShade="BF"/>
          <w:sz w:val="22"/>
          <w:szCs w:val="22"/>
          <w:lang w:val="es-HN"/>
        </w:rPr>
        <w:t xml:space="preserve">Enero y Mayo </w:t>
      </w:r>
      <w:r w:rsidRPr="00723498">
        <w:rPr>
          <w:color w:val="2E74B5" w:themeColor="accent1" w:themeShade="BF"/>
          <w:sz w:val="22"/>
          <w:szCs w:val="22"/>
          <w:lang w:val="es-HN"/>
        </w:rPr>
        <w:t xml:space="preserve">llegan a las </w:t>
      </w:r>
      <w:r w:rsidR="00450A74" w:rsidRPr="00723498">
        <w:rPr>
          <w:color w:val="2E74B5" w:themeColor="accent1" w:themeShade="BF"/>
          <w:sz w:val="22"/>
          <w:szCs w:val="22"/>
          <w:lang w:val="es-HN"/>
        </w:rPr>
        <w:t xml:space="preserve">40 mil </w:t>
      </w:r>
      <w:r w:rsidRPr="00723498">
        <w:rPr>
          <w:color w:val="2E74B5" w:themeColor="accent1" w:themeShade="BF"/>
          <w:sz w:val="22"/>
          <w:szCs w:val="22"/>
          <w:lang w:val="es-HN"/>
        </w:rPr>
        <w:t xml:space="preserve">según </w:t>
      </w:r>
      <w:r w:rsidR="00FE1443" w:rsidRPr="00723498">
        <w:rPr>
          <w:color w:val="2E74B5" w:themeColor="accent1" w:themeShade="BF"/>
          <w:sz w:val="22"/>
          <w:szCs w:val="22"/>
          <w:lang w:val="es-HN"/>
        </w:rPr>
        <w:t>el Sistema Nacional de Emergencia 911</w:t>
      </w:r>
      <w:r w:rsidRPr="00723498">
        <w:rPr>
          <w:color w:val="2E74B5" w:themeColor="accent1" w:themeShade="BF"/>
          <w:sz w:val="22"/>
          <w:szCs w:val="22"/>
          <w:lang w:val="es-HN"/>
        </w:rPr>
        <w:t>.</w:t>
      </w:r>
      <w:r w:rsidR="00D218E8" w:rsidRPr="00723498">
        <w:rPr>
          <w:color w:val="2E74B5" w:themeColor="accent1" w:themeShade="BF"/>
          <w:sz w:val="22"/>
          <w:szCs w:val="22"/>
          <w:lang w:val="es-HN"/>
        </w:rPr>
        <w:t xml:space="preserve"> </w:t>
      </w:r>
      <w:r w:rsidR="00B75CF3" w:rsidRPr="00723498">
        <w:rPr>
          <w:color w:val="2E74B5" w:themeColor="accent1" w:themeShade="BF"/>
          <w:sz w:val="22"/>
          <w:szCs w:val="22"/>
          <w:lang w:val="es-HN"/>
        </w:rPr>
        <w:t xml:space="preserve">De los cuales la </w:t>
      </w:r>
      <w:r w:rsidR="000C6494" w:rsidRPr="00723498">
        <w:rPr>
          <w:color w:val="2E74B5" w:themeColor="accent1" w:themeShade="BF"/>
          <w:sz w:val="22"/>
          <w:szCs w:val="22"/>
          <w:lang w:val="es-HN"/>
        </w:rPr>
        <w:t xml:space="preserve">Fiscalía Especial de Protección a la Mujer </w:t>
      </w:r>
      <w:r w:rsidR="00450A74" w:rsidRPr="00723498">
        <w:rPr>
          <w:color w:val="2E74B5" w:themeColor="accent1" w:themeShade="BF"/>
          <w:sz w:val="22"/>
          <w:szCs w:val="22"/>
          <w:lang w:val="es-HN"/>
        </w:rPr>
        <w:t xml:space="preserve">solamente </w:t>
      </w:r>
      <w:r w:rsidR="000C6494" w:rsidRPr="00723498">
        <w:rPr>
          <w:color w:val="2E74B5" w:themeColor="accent1" w:themeShade="BF"/>
          <w:sz w:val="22"/>
          <w:szCs w:val="22"/>
          <w:lang w:val="es-HN"/>
        </w:rPr>
        <w:t>recibió entre el 17 de marzo y mayo</w:t>
      </w:r>
      <w:r w:rsidR="00D218E8" w:rsidRPr="00723498">
        <w:rPr>
          <w:color w:val="2E74B5" w:themeColor="accent1" w:themeShade="BF"/>
          <w:sz w:val="22"/>
          <w:szCs w:val="22"/>
          <w:lang w:val="es-HN"/>
        </w:rPr>
        <w:t xml:space="preserve"> solamente</w:t>
      </w:r>
      <w:r w:rsidR="000C6494" w:rsidRPr="00723498">
        <w:rPr>
          <w:color w:val="2E74B5" w:themeColor="accent1" w:themeShade="BF"/>
          <w:sz w:val="22"/>
          <w:szCs w:val="22"/>
          <w:lang w:val="es-HN"/>
        </w:rPr>
        <w:t xml:space="preserve"> 1.259 denuncias de violencia contra mujeres en todo el país, según </w:t>
      </w:r>
      <w:r w:rsidR="00D218E8" w:rsidRPr="00723498">
        <w:rPr>
          <w:color w:val="2E74B5" w:themeColor="accent1" w:themeShade="BF"/>
          <w:sz w:val="22"/>
          <w:szCs w:val="22"/>
          <w:lang w:val="es-HN"/>
        </w:rPr>
        <w:t>entrevista a esta instancia</w:t>
      </w:r>
      <w:r w:rsidR="000C6494" w:rsidRPr="00723498">
        <w:rPr>
          <w:color w:val="2E74B5" w:themeColor="accent1" w:themeShade="BF"/>
          <w:sz w:val="22"/>
          <w:szCs w:val="22"/>
          <w:lang w:val="es-HN"/>
        </w:rPr>
        <w:t>.</w:t>
      </w:r>
      <w:r w:rsidR="00FE1443" w:rsidRPr="00723498">
        <w:rPr>
          <w:rStyle w:val="FootnoteReference"/>
          <w:color w:val="2E74B5" w:themeColor="accent1" w:themeShade="BF"/>
          <w:sz w:val="22"/>
          <w:szCs w:val="22"/>
        </w:rPr>
        <w:footnoteReference w:id="8"/>
      </w:r>
    </w:p>
    <w:p w14:paraId="794B5BAE" w14:textId="32F7E73D" w:rsidR="00FE1443" w:rsidRPr="00723498" w:rsidRDefault="00B75CF3" w:rsidP="00E61E75">
      <w:pPr>
        <w:pStyle w:val="NormalWeb"/>
        <w:jc w:val="both"/>
        <w:rPr>
          <w:color w:val="2E74B5" w:themeColor="accent1" w:themeShade="BF"/>
          <w:sz w:val="22"/>
          <w:szCs w:val="22"/>
          <w:lang w:eastAsia="en-US"/>
        </w:rPr>
      </w:pPr>
      <w:r w:rsidRPr="00723498">
        <w:rPr>
          <w:color w:val="2E74B5" w:themeColor="accent1" w:themeShade="BF"/>
          <w:sz w:val="22"/>
          <w:szCs w:val="22"/>
          <w:lang w:eastAsia="en-US"/>
        </w:rPr>
        <w:t>Sobre</w:t>
      </w:r>
      <w:r w:rsidRPr="00723498">
        <w:rPr>
          <w:b/>
          <w:bCs/>
          <w:color w:val="2E74B5" w:themeColor="accent1" w:themeShade="BF"/>
          <w:sz w:val="22"/>
          <w:szCs w:val="22"/>
          <w:lang w:eastAsia="en-US"/>
        </w:rPr>
        <w:t xml:space="preserve"> Femicidios</w:t>
      </w:r>
      <w:r w:rsidRPr="00723498">
        <w:rPr>
          <w:color w:val="2E74B5" w:themeColor="accent1" w:themeShade="BF"/>
          <w:sz w:val="22"/>
          <w:szCs w:val="22"/>
          <w:lang w:eastAsia="en-US"/>
        </w:rPr>
        <w:t>, e</w:t>
      </w:r>
      <w:r w:rsidR="00450A74" w:rsidRPr="00723498">
        <w:rPr>
          <w:color w:val="2E74B5" w:themeColor="accent1" w:themeShade="BF"/>
          <w:sz w:val="22"/>
          <w:szCs w:val="22"/>
          <w:lang w:eastAsia="en-US"/>
        </w:rPr>
        <w:t>l Centro de Derechos de Mujeres – CDM, en su observatorio de medios registra 123 Femicidios hasta el 11 de Junio. De los cuales</w:t>
      </w:r>
      <w:r w:rsidR="00761496" w:rsidRPr="00723498">
        <w:rPr>
          <w:color w:val="2E74B5" w:themeColor="accent1" w:themeShade="BF"/>
          <w:sz w:val="22"/>
          <w:szCs w:val="22"/>
          <w:lang w:eastAsia="en-US"/>
        </w:rPr>
        <w:t xml:space="preserve"> 10 </w:t>
      </w:r>
      <w:r w:rsidR="00D22920" w:rsidRPr="00723498">
        <w:rPr>
          <w:color w:val="2E74B5" w:themeColor="accent1" w:themeShade="BF"/>
          <w:sz w:val="22"/>
          <w:szCs w:val="22"/>
          <w:lang w:eastAsia="en-US"/>
        </w:rPr>
        <w:t xml:space="preserve">fueron cometidos por la pareja, </w:t>
      </w:r>
      <w:r w:rsidR="00761496" w:rsidRPr="00723498">
        <w:rPr>
          <w:color w:val="2E74B5" w:themeColor="accent1" w:themeShade="BF"/>
          <w:sz w:val="22"/>
          <w:szCs w:val="22"/>
          <w:lang w:eastAsia="en-US"/>
        </w:rPr>
        <w:t xml:space="preserve">5 exparejas, 2 por </w:t>
      </w:r>
      <w:r w:rsidR="00D22920" w:rsidRPr="00723498">
        <w:rPr>
          <w:color w:val="2E74B5" w:themeColor="accent1" w:themeShade="BF"/>
          <w:sz w:val="22"/>
          <w:szCs w:val="22"/>
          <w:lang w:eastAsia="en-US"/>
        </w:rPr>
        <w:t xml:space="preserve">familiares, </w:t>
      </w:r>
      <w:r w:rsidR="00761496" w:rsidRPr="00723498">
        <w:rPr>
          <w:color w:val="2E74B5" w:themeColor="accent1" w:themeShade="BF"/>
          <w:sz w:val="22"/>
          <w:szCs w:val="22"/>
          <w:lang w:eastAsia="en-US"/>
        </w:rPr>
        <w:t>3 con amigos o conocidos, 103</w:t>
      </w:r>
      <w:r w:rsidR="00D22920" w:rsidRPr="00723498">
        <w:rPr>
          <w:color w:val="2E74B5" w:themeColor="accent1" w:themeShade="BF"/>
          <w:sz w:val="22"/>
          <w:szCs w:val="22"/>
          <w:lang w:eastAsia="en-US"/>
        </w:rPr>
        <w:t xml:space="preserve"> con vínculos desconocidos o no identificados</w:t>
      </w:r>
      <w:r w:rsidR="00761496" w:rsidRPr="00723498">
        <w:rPr>
          <w:rStyle w:val="FootnoteReference"/>
          <w:color w:val="2E74B5" w:themeColor="accent1" w:themeShade="BF"/>
          <w:sz w:val="22"/>
          <w:szCs w:val="22"/>
          <w:lang w:eastAsia="en-US"/>
        </w:rPr>
        <w:footnoteReference w:id="9"/>
      </w:r>
      <w:r w:rsidR="00D22920" w:rsidRPr="00723498">
        <w:rPr>
          <w:color w:val="2E74B5" w:themeColor="accent1" w:themeShade="BF"/>
          <w:sz w:val="22"/>
          <w:szCs w:val="22"/>
          <w:lang w:eastAsia="en-US"/>
        </w:rPr>
        <w:t xml:space="preserve">. </w:t>
      </w:r>
    </w:p>
    <w:p w14:paraId="6EA7EC1B" w14:textId="73AC44B2" w:rsidR="0031287F" w:rsidRPr="00723498" w:rsidRDefault="000709F5" w:rsidP="00723498">
      <w:pPr>
        <w:pStyle w:val="NormalWeb"/>
        <w:jc w:val="both"/>
        <w:rPr>
          <w:color w:val="2E74B5" w:themeColor="accent1" w:themeShade="BF"/>
          <w:sz w:val="22"/>
          <w:szCs w:val="22"/>
          <w:lang w:eastAsia="en-US"/>
        </w:rPr>
      </w:pPr>
      <w:r w:rsidRPr="00723498">
        <w:rPr>
          <w:color w:val="2E74B5" w:themeColor="accent1" w:themeShade="BF"/>
          <w:sz w:val="22"/>
          <w:szCs w:val="22"/>
          <w:lang w:eastAsia="en-US"/>
        </w:rPr>
        <w:t xml:space="preserve">Las muertes violentas en Honduras se han reducido en un 22%, sin embargo las denuncias por violencia machista aumentaron 4.1% </w:t>
      </w:r>
      <w:r w:rsidR="00B642B3" w:rsidRPr="00723498">
        <w:rPr>
          <w:color w:val="2E74B5" w:themeColor="accent1" w:themeShade="BF"/>
          <w:sz w:val="22"/>
          <w:szCs w:val="22"/>
          <w:lang w:eastAsia="en-US"/>
        </w:rPr>
        <w:t xml:space="preserve">por la pandemia de COVID-19 </w:t>
      </w:r>
      <w:r w:rsidRPr="00723498">
        <w:rPr>
          <w:color w:val="2E74B5" w:themeColor="accent1" w:themeShade="BF"/>
          <w:sz w:val="22"/>
          <w:szCs w:val="22"/>
          <w:lang w:eastAsia="en-US"/>
        </w:rPr>
        <w:t xml:space="preserve">reporta el </w:t>
      </w:r>
      <w:r w:rsidR="00B642B3" w:rsidRPr="00723498">
        <w:rPr>
          <w:color w:val="2E74B5" w:themeColor="accent1" w:themeShade="BF"/>
          <w:sz w:val="22"/>
          <w:szCs w:val="22"/>
          <w:lang w:eastAsia="en-US"/>
        </w:rPr>
        <w:t>Observatorio de la Violencia de la Universidad Nacional Autónoma del país centroamericano.</w:t>
      </w:r>
      <w:r w:rsidRPr="00723498">
        <w:rPr>
          <w:rStyle w:val="FootnoteReference"/>
          <w:color w:val="2E74B5" w:themeColor="accent1" w:themeShade="BF"/>
          <w:sz w:val="22"/>
          <w:szCs w:val="22"/>
          <w:lang w:eastAsia="en-US"/>
        </w:rPr>
        <w:footnoteReference w:id="10"/>
      </w:r>
    </w:p>
    <w:p w14:paraId="3B19BCFF" w14:textId="77777777" w:rsidR="0031287F" w:rsidRPr="00723498" w:rsidRDefault="0031287F" w:rsidP="00E61E75">
      <w:pPr>
        <w:jc w:val="both"/>
        <w:rPr>
          <w:b/>
          <w:color w:val="1F4E79" w:themeColor="accent1" w:themeShade="80"/>
          <w:sz w:val="22"/>
          <w:szCs w:val="22"/>
        </w:rPr>
      </w:pPr>
      <w:r w:rsidRPr="00723498">
        <w:rPr>
          <w:b/>
          <w:color w:val="1F4E79" w:themeColor="accent1" w:themeShade="80"/>
          <w:sz w:val="22"/>
          <w:szCs w:val="22"/>
        </w:rPr>
        <w:t>Participación y consulta</w:t>
      </w:r>
    </w:p>
    <w:p w14:paraId="65745FC5" w14:textId="77777777" w:rsidR="0031287F" w:rsidRPr="00723498" w:rsidRDefault="0031287F" w:rsidP="00E61E75">
      <w:pPr>
        <w:pStyle w:val="ListParagraph"/>
        <w:ind w:left="0"/>
        <w:jc w:val="both"/>
        <w:rPr>
          <w:b/>
          <w:color w:val="1F4E79" w:themeColor="accent1" w:themeShade="80"/>
          <w:sz w:val="22"/>
          <w:szCs w:val="22"/>
        </w:rPr>
      </w:pPr>
    </w:p>
    <w:p w14:paraId="3B976DDA" w14:textId="3D0E597C" w:rsidR="0031287F" w:rsidRPr="00723498" w:rsidRDefault="0031287F" w:rsidP="00E61E75">
      <w:pPr>
        <w:pStyle w:val="ListParagraph"/>
        <w:numPr>
          <w:ilvl w:val="0"/>
          <w:numId w:val="1"/>
        </w:numPr>
        <w:spacing w:after="120" w:line="259" w:lineRule="auto"/>
        <w:ind w:left="0" w:firstLine="0"/>
        <w:contextualSpacing w:val="0"/>
        <w:jc w:val="both"/>
        <w:rPr>
          <w:sz w:val="22"/>
          <w:szCs w:val="22"/>
          <w:lang w:val="es-ES"/>
        </w:rPr>
      </w:pPr>
      <w:r w:rsidRPr="00723498">
        <w:rPr>
          <w:sz w:val="22"/>
          <w:szCs w:val="22"/>
          <w:lang w:val="es-ES"/>
        </w:rPr>
        <w:t xml:space="preserve">Si se han impuesto reglamentos de emergencia, ¿en qué medida han afectado a los procesos oficiales que garantizan la participación y la consulta del público? ¿Han participado en esos procesos de adopción de decisiones las mujeres y los grupos particularmente afectados por la pandemia y las medidas de respuesta? </w:t>
      </w:r>
    </w:p>
    <w:p w14:paraId="3E3F7B8D" w14:textId="2CCC848F" w:rsidR="0031287F" w:rsidRPr="00723498" w:rsidRDefault="00FF4A39" w:rsidP="00E61E75">
      <w:pPr>
        <w:jc w:val="both"/>
        <w:rPr>
          <w:color w:val="2E74B5" w:themeColor="accent1" w:themeShade="BF"/>
          <w:sz w:val="22"/>
          <w:szCs w:val="22"/>
          <w:lang w:val="es-ES"/>
        </w:rPr>
      </w:pPr>
      <w:r w:rsidRPr="00723498">
        <w:rPr>
          <w:color w:val="2E74B5" w:themeColor="accent1" w:themeShade="BF"/>
          <w:sz w:val="22"/>
          <w:szCs w:val="22"/>
          <w:lang w:val="es-ES"/>
        </w:rPr>
        <w:t xml:space="preserve">La toma de decisiones para aprobar decretos o medidas para prevenir el COVID19 han sido tomadas en conjunto con el Consejo de Seguridad y Defensa, medidas exclusivamente militaristas. No se llevó a cabo la consulta a sectores más afectados, como pequeños productores y empresarias, transporte público, sector informal. </w:t>
      </w:r>
    </w:p>
    <w:p w14:paraId="4FADC92C" w14:textId="0E122A56" w:rsidR="00BF5522" w:rsidRPr="00723498" w:rsidRDefault="00FF4A39" w:rsidP="00E61E75">
      <w:pPr>
        <w:jc w:val="both"/>
        <w:rPr>
          <w:color w:val="2E74B5" w:themeColor="accent1" w:themeShade="BF"/>
          <w:sz w:val="22"/>
          <w:szCs w:val="22"/>
          <w:lang w:val="es-HN"/>
        </w:rPr>
      </w:pPr>
      <w:r w:rsidRPr="00723498">
        <w:rPr>
          <w:color w:val="2E74B5" w:themeColor="accent1" w:themeShade="BF"/>
          <w:sz w:val="22"/>
          <w:szCs w:val="22"/>
          <w:lang w:val="es-HN"/>
        </w:rPr>
        <w:t xml:space="preserve">El Foro Social de la Deuda externa y Desarrollo de Honduras </w:t>
      </w:r>
      <w:r w:rsidRPr="00723498">
        <w:rPr>
          <w:i/>
          <w:iCs/>
          <w:color w:val="2E74B5" w:themeColor="accent1" w:themeShade="BF"/>
          <w:sz w:val="22"/>
          <w:szCs w:val="22"/>
          <w:lang w:val="es-HN"/>
        </w:rPr>
        <w:t xml:space="preserve">FOSDEH </w:t>
      </w:r>
      <w:r w:rsidRPr="00723498">
        <w:rPr>
          <w:color w:val="2E74B5" w:themeColor="accent1" w:themeShade="BF"/>
          <w:sz w:val="22"/>
          <w:szCs w:val="22"/>
          <w:lang w:val="es-HN"/>
        </w:rPr>
        <w:t>realizó recomendaciones al Estado de Honduras para tomar las medidas más inclusivas posibles de acuerdo al contexto del país, y no fueron tomadas en cuenta</w:t>
      </w:r>
      <w:r w:rsidR="00BF5522" w:rsidRPr="00723498">
        <w:rPr>
          <w:color w:val="2E74B5" w:themeColor="accent1" w:themeShade="BF"/>
          <w:sz w:val="22"/>
          <w:szCs w:val="22"/>
          <w:lang w:val="es-HN"/>
        </w:rPr>
        <w:t>. Entre ellas priorizar la asistencia humana a las personas más vulnerables, subsidios de servicios básicos, atenuar incertidumbre laboral y garantizar sueldos de trabajadores.</w:t>
      </w:r>
      <w:r w:rsidR="00BF5522" w:rsidRPr="00723498">
        <w:rPr>
          <w:rStyle w:val="FootnoteReference"/>
          <w:color w:val="2E74B5" w:themeColor="accent1" w:themeShade="BF"/>
          <w:sz w:val="22"/>
          <w:szCs w:val="22"/>
          <w:lang w:val="es-HN"/>
        </w:rPr>
        <w:footnoteReference w:id="11"/>
      </w:r>
    </w:p>
    <w:p w14:paraId="6F7F2DF6" w14:textId="5EBBC397" w:rsidR="00B642B3" w:rsidRPr="00723498" w:rsidRDefault="00B642B3" w:rsidP="00E61E75">
      <w:pPr>
        <w:jc w:val="both"/>
        <w:rPr>
          <w:b/>
          <w:color w:val="2E74B5" w:themeColor="accent1" w:themeShade="BF"/>
          <w:sz w:val="22"/>
          <w:szCs w:val="22"/>
          <w:lang w:val="es-ES"/>
        </w:rPr>
      </w:pPr>
    </w:p>
    <w:p w14:paraId="62780F82" w14:textId="3EE73CCB" w:rsidR="00B642B3" w:rsidRPr="004C4FD2" w:rsidRDefault="00316AEA" w:rsidP="004C4FD2">
      <w:pPr>
        <w:jc w:val="both"/>
        <w:rPr>
          <w:color w:val="2E74B5" w:themeColor="accent1" w:themeShade="BF"/>
          <w:sz w:val="22"/>
          <w:szCs w:val="22"/>
          <w:lang w:val="es-HN"/>
        </w:rPr>
      </w:pPr>
      <w:r w:rsidRPr="00723498">
        <w:rPr>
          <w:color w:val="2E74B5" w:themeColor="accent1" w:themeShade="BF"/>
          <w:sz w:val="22"/>
          <w:szCs w:val="22"/>
          <w:lang w:val="es-HN"/>
        </w:rPr>
        <w:t xml:space="preserve">De acuerdos con datos del FOSDEH, hasta el momento, el Gobierno de la República ha destinado y/o conseguido a través de transferencias y donaciones un monto total de L. 80,640.71 millones (aproximadamente US$ 3,240.12 millones) dirigidos principalmente a atenuar las consecuencias sanitarias, económicas y sociales provocadas por el COVID-19 en nuestro país. Sin embargo y como medida comparativa, a las municipalidades se les han transferidos el 0,42% del monto total de los recursos destinados para hacer frente al COVID-19 hasta el momento, es decir, L 335.37 millones de </w:t>
      </w:r>
      <w:r w:rsidRPr="00723498">
        <w:rPr>
          <w:color w:val="2E74B5" w:themeColor="accent1" w:themeShade="BF"/>
          <w:sz w:val="22"/>
          <w:szCs w:val="22"/>
          <w:lang w:val="es-HN"/>
        </w:rPr>
        <w:lastRenderedPageBreak/>
        <w:t>e</w:t>
      </w:r>
      <w:r w:rsidRPr="004C4FD2">
        <w:rPr>
          <w:color w:val="2E74B5" w:themeColor="accent1" w:themeShade="BF"/>
          <w:sz w:val="22"/>
          <w:szCs w:val="22"/>
          <w:lang w:val="es-HN"/>
        </w:rPr>
        <w:t>n el marco del programa Honduras Solidaria.</w:t>
      </w:r>
      <w:r w:rsidRPr="004C4FD2">
        <w:rPr>
          <w:rStyle w:val="FootnoteReference"/>
          <w:color w:val="2E74B5" w:themeColor="accent1" w:themeShade="BF"/>
          <w:sz w:val="22"/>
          <w:szCs w:val="22"/>
          <w:lang w:val="es-HN"/>
        </w:rPr>
        <w:footnoteReference w:id="12"/>
      </w:r>
      <w:r w:rsidR="001E3160" w:rsidRPr="004C4FD2">
        <w:rPr>
          <w:color w:val="2E74B5" w:themeColor="accent1" w:themeShade="BF"/>
          <w:sz w:val="22"/>
          <w:szCs w:val="22"/>
          <w:lang w:val="es-HN"/>
        </w:rPr>
        <w:t xml:space="preserve"> Sin rendir cuentas o verse mejoras en el sistema de salud pública, en lugar de eso mucha mayor precarización. </w:t>
      </w:r>
    </w:p>
    <w:p w14:paraId="62C0C5C2" w14:textId="77777777" w:rsidR="00316AEA" w:rsidRPr="004C4FD2" w:rsidRDefault="00316AEA" w:rsidP="004C4FD2">
      <w:pPr>
        <w:jc w:val="both"/>
        <w:rPr>
          <w:sz w:val="22"/>
          <w:szCs w:val="22"/>
          <w:lang w:val="es-HN"/>
        </w:rPr>
      </w:pPr>
    </w:p>
    <w:p w14:paraId="2473B215" w14:textId="32D467FC" w:rsidR="0031287F" w:rsidRPr="004C4FD2" w:rsidRDefault="0031287F" w:rsidP="004C4FD2">
      <w:pPr>
        <w:jc w:val="both"/>
        <w:rPr>
          <w:b/>
          <w:color w:val="1F4E79" w:themeColor="accent1" w:themeShade="80"/>
          <w:sz w:val="22"/>
          <w:szCs w:val="22"/>
          <w:lang w:val="es-ES"/>
        </w:rPr>
      </w:pPr>
      <w:r w:rsidRPr="004C4FD2">
        <w:rPr>
          <w:b/>
          <w:color w:val="1F4E79" w:themeColor="accent1" w:themeShade="80"/>
          <w:sz w:val="22"/>
          <w:szCs w:val="22"/>
          <w:lang w:val="es-ES"/>
        </w:rPr>
        <w:t xml:space="preserve">Rendición de cuentas y justicia </w:t>
      </w:r>
    </w:p>
    <w:p w14:paraId="19A60A30" w14:textId="77777777" w:rsidR="00723498" w:rsidRPr="004C4FD2" w:rsidRDefault="00723498" w:rsidP="004C4FD2">
      <w:pPr>
        <w:jc w:val="both"/>
        <w:rPr>
          <w:b/>
          <w:color w:val="1F4E79" w:themeColor="accent1" w:themeShade="80"/>
          <w:sz w:val="22"/>
          <w:szCs w:val="22"/>
          <w:lang w:val="es-ES"/>
        </w:rPr>
      </w:pPr>
    </w:p>
    <w:p w14:paraId="4147F469" w14:textId="1470BB92" w:rsidR="0031287F" w:rsidRPr="004C4FD2" w:rsidRDefault="0031287F" w:rsidP="004C4FD2">
      <w:pPr>
        <w:pStyle w:val="ListParagraph"/>
        <w:numPr>
          <w:ilvl w:val="0"/>
          <w:numId w:val="11"/>
        </w:numPr>
        <w:spacing w:after="120"/>
        <w:ind w:left="0" w:firstLine="0"/>
        <w:contextualSpacing w:val="0"/>
        <w:jc w:val="both"/>
        <w:rPr>
          <w:sz w:val="22"/>
          <w:szCs w:val="22"/>
          <w:lang w:val="es-ES"/>
        </w:rPr>
      </w:pPr>
      <w:r w:rsidRPr="004C4FD2">
        <w:rPr>
          <w:sz w:val="22"/>
          <w:szCs w:val="22"/>
          <w:lang w:val="es-ES"/>
        </w:rPr>
        <w:t>¿Cuál ha sido el impacto de esta situación en el acceso de las mujeres a la justicia? ¿Están abiertos los tribunales y ofrecen protección y decisiones en casos de violencia doméstica, y son accesibles las órdenes de protección?</w:t>
      </w:r>
    </w:p>
    <w:p w14:paraId="0A502842" w14:textId="40251616" w:rsidR="00A92AF2" w:rsidRPr="004C4FD2" w:rsidRDefault="00A92AF2" w:rsidP="004C4FD2">
      <w:pPr>
        <w:spacing w:after="120"/>
        <w:jc w:val="both"/>
        <w:rPr>
          <w:color w:val="4472C4" w:themeColor="accent5"/>
          <w:sz w:val="22"/>
          <w:szCs w:val="22"/>
          <w:lang w:val="es-ES"/>
        </w:rPr>
      </w:pPr>
      <w:r w:rsidRPr="004C4FD2">
        <w:rPr>
          <w:color w:val="4472C4" w:themeColor="accent5"/>
          <w:sz w:val="22"/>
          <w:szCs w:val="22"/>
          <w:lang w:val="es-ES"/>
        </w:rPr>
        <w:t>Frente a los altos índices de denuncias que se registraban en la cuarentena, organizaciones de derechos humanos de las mujeres hicieron la solicitud para la apertura de los Juzgados de Paz en los municipios para que fuera garantizado el derecho a una vida libre de violencias, que satisfactoriamente el Poder Judicial dio resolución favorable a dicha demanda</w:t>
      </w:r>
      <w:r w:rsidRPr="004C4FD2">
        <w:rPr>
          <w:rStyle w:val="FootnoteReference"/>
          <w:color w:val="4472C4" w:themeColor="accent5"/>
          <w:sz w:val="22"/>
          <w:szCs w:val="22"/>
          <w:lang w:val="es-ES"/>
        </w:rPr>
        <w:footnoteReference w:id="13"/>
      </w:r>
      <w:r w:rsidRPr="004C4FD2">
        <w:rPr>
          <w:color w:val="4472C4" w:themeColor="accent5"/>
          <w:sz w:val="22"/>
          <w:szCs w:val="22"/>
          <w:lang w:val="es-ES"/>
        </w:rPr>
        <w:t xml:space="preserve">. </w:t>
      </w:r>
    </w:p>
    <w:p w14:paraId="7F1C7010" w14:textId="29BA703A" w:rsidR="002F7885" w:rsidRPr="004C4FD2" w:rsidRDefault="00A92AF2" w:rsidP="004C4FD2">
      <w:pPr>
        <w:spacing w:after="120"/>
        <w:jc w:val="both"/>
        <w:rPr>
          <w:color w:val="4472C4" w:themeColor="accent5"/>
          <w:sz w:val="22"/>
          <w:szCs w:val="22"/>
          <w:lang w:val="es-HN"/>
        </w:rPr>
      </w:pPr>
      <w:r w:rsidRPr="004C4FD2">
        <w:rPr>
          <w:color w:val="4472C4" w:themeColor="accent5"/>
          <w:sz w:val="22"/>
          <w:szCs w:val="22"/>
          <w:lang w:val="es-ES"/>
        </w:rPr>
        <w:t xml:space="preserve"> Sin embargo, las mujeres </w:t>
      </w:r>
      <w:r w:rsidR="00DE4560" w:rsidRPr="004C4FD2">
        <w:rPr>
          <w:color w:val="4472C4" w:themeColor="accent5"/>
          <w:sz w:val="22"/>
          <w:szCs w:val="22"/>
          <w:lang w:val="es-ES"/>
        </w:rPr>
        <w:t>víctimas</w:t>
      </w:r>
      <w:r w:rsidRPr="004C4FD2">
        <w:rPr>
          <w:color w:val="4472C4" w:themeColor="accent5"/>
          <w:sz w:val="22"/>
          <w:szCs w:val="22"/>
          <w:lang w:val="es-ES"/>
        </w:rPr>
        <w:t xml:space="preserve"> de violencia seguían sin tener acceso a la justicia y verse expuestas a</w:t>
      </w:r>
      <w:r w:rsidR="0065096C" w:rsidRPr="004C4FD2">
        <w:rPr>
          <w:color w:val="4472C4" w:themeColor="accent5"/>
          <w:sz w:val="22"/>
          <w:szCs w:val="22"/>
          <w:lang w:val="es-ES"/>
        </w:rPr>
        <w:t>l maltrato constante de</w:t>
      </w:r>
      <w:r w:rsidRPr="004C4FD2">
        <w:rPr>
          <w:color w:val="4472C4" w:themeColor="accent5"/>
          <w:sz w:val="22"/>
          <w:szCs w:val="22"/>
          <w:lang w:val="es-ES"/>
        </w:rPr>
        <w:t xml:space="preserve"> parte </w:t>
      </w:r>
      <w:r w:rsidR="0065096C" w:rsidRPr="004C4FD2">
        <w:rPr>
          <w:color w:val="4472C4" w:themeColor="accent5"/>
          <w:sz w:val="22"/>
          <w:szCs w:val="22"/>
          <w:lang w:val="es-ES"/>
        </w:rPr>
        <w:t xml:space="preserve">de sus agresores. </w:t>
      </w:r>
      <w:r w:rsidRPr="004C4FD2">
        <w:rPr>
          <w:color w:val="4472C4" w:themeColor="accent5"/>
          <w:sz w:val="22"/>
          <w:szCs w:val="22"/>
          <w:lang w:val="es-HN"/>
        </w:rPr>
        <w:t xml:space="preserve">Ante la falta de respuesta del </w:t>
      </w:r>
      <w:r w:rsidR="0065096C" w:rsidRPr="004C4FD2">
        <w:rPr>
          <w:color w:val="4472C4" w:themeColor="accent5"/>
          <w:sz w:val="22"/>
          <w:szCs w:val="22"/>
          <w:lang w:val="es-HN"/>
        </w:rPr>
        <w:t xml:space="preserve">nuevamente </w:t>
      </w:r>
      <w:r w:rsidRPr="004C4FD2">
        <w:rPr>
          <w:color w:val="4472C4" w:themeColor="accent5"/>
          <w:sz w:val="22"/>
          <w:szCs w:val="22"/>
          <w:lang w:val="es-HN"/>
        </w:rPr>
        <w:t>organizaciones de derechos humanos de la mujeres</w:t>
      </w:r>
      <w:r w:rsidR="0065096C" w:rsidRPr="004C4FD2">
        <w:rPr>
          <w:color w:val="4472C4" w:themeColor="accent5"/>
          <w:sz w:val="22"/>
          <w:szCs w:val="22"/>
          <w:lang w:val="es-HN"/>
        </w:rPr>
        <w:t>, esta vez sumando voces</w:t>
      </w:r>
      <w:r w:rsidRPr="004C4FD2">
        <w:rPr>
          <w:color w:val="4472C4" w:themeColor="accent5"/>
          <w:sz w:val="22"/>
          <w:szCs w:val="22"/>
          <w:lang w:val="es-HN"/>
        </w:rPr>
        <w:t xml:space="preserve"> internacional</w:t>
      </w:r>
      <w:r w:rsidR="0065096C" w:rsidRPr="004C4FD2">
        <w:rPr>
          <w:color w:val="4472C4" w:themeColor="accent5"/>
          <w:sz w:val="22"/>
          <w:szCs w:val="22"/>
          <w:lang w:val="es-HN"/>
        </w:rPr>
        <w:t>es</w:t>
      </w:r>
      <w:r w:rsidRPr="004C4FD2">
        <w:rPr>
          <w:color w:val="4472C4" w:themeColor="accent5"/>
          <w:sz w:val="22"/>
          <w:szCs w:val="22"/>
          <w:lang w:val="es-HN"/>
        </w:rPr>
        <w:t xml:space="preserve">, </w:t>
      </w:r>
      <w:hyperlink r:id="rId11" w:tgtFrame="_blank" w:history="1">
        <w:r w:rsidRPr="004C4FD2">
          <w:rPr>
            <w:rStyle w:val="Hyperlink"/>
            <w:color w:val="4472C4" w:themeColor="accent5"/>
            <w:sz w:val="22"/>
            <w:szCs w:val="22"/>
            <w:lang w:val="es-HN"/>
          </w:rPr>
          <w:t>solicitaron al Poder Judicial de Honduras</w:t>
        </w:r>
      </w:hyperlink>
      <w:r w:rsidRPr="004C4FD2">
        <w:rPr>
          <w:color w:val="4472C4" w:themeColor="accent5"/>
          <w:sz w:val="22"/>
          <w:szCs w:val="22"/>
          <w:lang w:val="es-HN"/>
        </w:rPr>
        <w:t>, un informe sobre la implementación y seguimiento del Acuerdo No. PCSJ 16-2020, que establece la atención permanente de los Jueces de Paz y entidades correspondientes para garantizar una vida libre de violencias por razones de género a mujeres y niñas en Honduras,</w:t>
      </w:r>
      <w:r w:rsidRPr="004C4FD2">
        <w:rPr>
          <w:rStyle w:val="FootnoteReference"/>
          <w:color w:val="4472C4" w:themeColor="accent5"/>
          <w:sz w:val="22"/>
          <w:szCs w:val="22"/>
          <w:lang w:val="es-HN"/>
        </w:rPr>
        <w:footnoteReference w:id="14"/>
      </w:r>
      <w:r w:rsidRPr="004C4FD2">
        <w:rPr>
          <w:color w:val="4472C4" w:themeColor="accent5"/>
          <w:sz w:val="22"/>
          <w:szCs w:val="22"/>
          <w:lang w:val="es-HN"/>
        </w:rPr>
        <w:t xml:space="preserve"> sin obtener ninguna respuesta hasta la fecha. </w:t>
      </w:r>
    </w:p>
    <w:p w14:paraId="707028A0" w14:textId="45AAEF0B" w:rsidR="00637EAE" w:rsidRPr="004C4FD2" w:rsidRDefault="00637EAE" w:rsidP="004C4FD2">
      <w:pPr>
        <w:autoSpaceDE w:val="0"/>
        <w:autoSpaceDN w:val="0"/>
        <w:adjustRightInd w:val="0"/>
        <w:jc w:val="both"/>
        <w:rPr>
          <w:color w:val="4472C4" w:themeColor="accent5"/>
          <w:sz w:val="22"/>
          <w:szCs w:val="22"/>
          <w:lang w:val="es-ES"/>
        </w:rPr>
      </w:pPr>
      <w:r w:rsidRPr="004C4FD2">
        <w:rPr>
          <w:color w:val="4472C4" w:themeColor="accent5"/>
          <w:sz w:val="22"/>
          <w:szCs w:val="22"/>
          <w:lang w:val="es-HN"/>
        </w:rPr>
        <w:t>En este mismo contexto de pandemia, Honduras confirma la entrada en vigor del nuevo código penal</w:t>
      </w:r>
      <w:r w:rsidR="002F49A8" w:rsidRPr="004C4FD2">
        <w:rPr>
          <w:color w:val="4472C4" w:themeColor="accent5"/>
          <w:sz w:val="22"/>
          <w:szCs w:val="22"/>
          <w:lang w:val="es-HN"/>
        </w:rPr>
        <w:t xml:space="preserve">. </w:t>
      </w:r>
      <w:r w:rsidR="002F49A8" w:rsidRPr="004C4FD2">
        <w:rPr>
          <w:b/>
          <w:bCs/>
          <w:color w:val="4472C4" w:themeColor="accent5"/>
          <w:sz w:val="22"/>
          <w:szCs w:val="22"/>
          <w:lang w:val="es-HN"/>
        </w:rPr>
        <w:t>(</w:t>
      </w:r>
      <w:r w:rsidR="002F49A8" w:rsidRPr="004C4FD2">
        <w:rPr>
          <w:b/>
          <w:bCs/>
          <w:color w:val="4472C4" w:themeColor="accent5"/>
          <w:sz w:val="22"/>
          <w:szCs w:val="2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130-2017), código que a criterio de las organizaciones de sociedad civil es </w:t>
      </w:r>
      <w:r w:rsidR="002F49A8" w:rsidRPr="004C4FD2">
        <w:rPr>
          <w:rFonts w:eastAsiaTheme="minorHAnsi"/>
          <w:b/>
          <w:bCs/>
          <w:color w:val="4472C4" w:themeColor="accent5"/>
          <w:sz w:val="22"/>
          <w:szCs w:val="22"/>
          <w:lang w:val="es-ES"/>
        </w:rPr>
        <w:t>más lesivo que beneficioso para las mujeres</w:t>
      </w:r>
      <w:r w:rsidR="004C4FD2">
        <w:rPr>
          <w:rFonts w:eastAsiaTheme="minorHAnsi"/>
          <w:b/>
          <w:bCs/>
          <w:color w:val="4472C4" w:themeColor="accent5"/>
          <w:sz w:val="22"/>
          <w:szCs w:val="22"/>
          <w:lang w:val="es-ES"/>
        </w:rPr>
        <w:t xml:space="preserve"> </w:t>
      </w:r>
      <w:r w:rsidR="004C4FD2" w:rsidRPr="004C4FD2">
        <w:rPr>
          <w:color w:val="4472C4" w:themeColor="accent5"/>
          <w:sz w:val="22"/>
          <w:szCs w:val="22"/>
          <w:lang w:val="es-MX"/>
        </w:rPr>
        <w:t xml:space="preserve">( </w:t>
      </w:r>
      <w:hyperlink r:id="rId12" w:history="1">
        <w:r w:rsidR="004C4FD2" w:rsidRPr="004C4FD2">
          <w:rPr>
            <w:rStyle w:val="Hyperlink"/>
            <w:color w:val="4472C4" w:themeColor="accent5"/>
            <w:sz w:val="22"/>
            <w:szCs w:val="22"/>
            <w:lang w:val="es-MX"/>
          </w:rPr>
          <w:t>https://derechosdelamujer.org/documentos/el-nuevo-codigo-penal-y-los-derechos-humanos-de-las-mujeres/</w:t>
        </w:r>
      </w:hyperlink>
      <w:r w:rsidR="004C4FD2" w:rsidRPr="004C4FD2">
        <w:rPr>
          <w:rFonts w:eastAsiaTheme="minorHAnsi"/>
          <w:color w:val="4472C4" w:themeColor="accent5"/>
          <w:sz w:val="22"/>
          <w:szCs w:val="22"/>
          <w:lang w:val="es-ES"/>
        </w:rPr>
        <w:t xml:space="preserve">) </w:t>
      </w:r>
      <w:r w:rsidR="002F49A8" w:rsidRPr="004C4FD2">
        <w:rPr>
          <w:rFonts w:eastAsiaTheme="minorHAnsi"/>
          <w:color w:val="4472C4" w:themeColor="accent5"/>
          <w:sz w:val="22"/>
          <w:szCs w:val="22"/>
          <w:lang w:val="es-ES"/>
        </w:rPr>
        <w:t>entra en vigencia en un momento en el que se seguramente se sumarán penas bajas, si es que las hay, a las innumerables denuncias de corrupción en el marco de la pandemia del COVID 19.</w:t>
      </w:r>
    </w:p>
    <w:p w14:paraId="688E3D55" w14:textId="33D3DC0B" w:rsidR="001440EE" w:rsidRPr="002F49A8" w:rsidRDefault="001440EE" w:rsidP="00E61E75">
      <w:pPr>
        <w:spacing w:before="120" w:after="120"/>
        <w:jc w:val="both"/>
        <w:rPr>
          <w:color w:val="4472C4" w:themeColor="accent5"/>
          <w:sz w:val="22"/>
          <w:szCs w:val="22"/>
          <w:lang w:val="es-ES"/>
        </w:rPr>
      </w:pPr>
    </w:p>
    <w:p w14:paraId="51E14703" w14:textId="77777777" w:rsidR="001440EE" w:rsidRPr="00723498" w:rsidRDefault="001440EE" w:rsidP="00E61E75">
      <w:pPr>
        <w:spacing w:after="60"/>
        <w:jc w:val="both"/>
        <w:rPr>
          <w:sz w:val="22"/>
          <w:szCs w:val="22"/>
          <w:lang w:val="es-ES"/>
        </w:rPr>
      </w:pPr>
      <w:r w:rsidRPr="00723498">
        <w:rPr>
          <w:sz w:val="22"/>
          <w:szCs w:val="22"/>
          <w:lang w:val="es-ES"/>
        </w:rPr>
        <w:t xml:space="preserve">Sin más por el momento, esperamos que esta información sea útil para las y los titulares de mandatos de Procedimientos Especiales. </w:t>
      </w:r>
    </w:p>
    <w:p w14:paraId="4A6E26D7" w14:textId="77777777" w:rsidR="001440EE" w:rsidRPr="00723498" w:rsidRDefault="001440EE" w:rsidP="00E61E75">
      <w:pPr>
        <w:spacing w:after="60"/>
        <w:jc w:val="both"/>
        <w:rPr>
          <w:sz w:val="22"/>
          <w:szCs w:val="22"/>
          <w:lang w:val="es-ES"/>
        </w:rPr>
      </w:pPr>
    </w:p>
    <w:p w14:paraId="7ED4DD65" w14:textId="77777777" w:rsidR="001440EE" w:rsidRPr="00723498" w:rsidRDefault="001440EE" w:rsidP="00E61E75">
      <w:pPr>
        <w:spacing w:after="60"/>
        <w:jc w:val="both"/>
        <w:rPr>
          <w:sz w:val="22"/>
          <w:szCs w:val="22"/>
          <w:lang w:val="es-ES"/>
        </w:rPr>
      </w:pPr>
      <w:r w:rsidRPr="00723498">
        <w:rPr>
          <w:sz w:val="22"/>
          <w:szCs w:val="22"/>
          <w:lang w:val="es-ES"/>
        </w:rPr>
        <w:t xml:space="preserve">Atentamente, </w:t>
      </w:r>
    </w:p>
    <w:p w14:paraId="473E5CFC" w14:textId="77777777" w:rsidR="001440EE" w:rsidRPr="00723498" w:rsidRDefault="001440EE" w:rsidP="00E61E75">
      <w:pPr>
        <w:spacing w:after="60"/>
        <w:jc w:val="both"/>
        <w:rPr>
          <w:sz w:val="22"/>
          <w:szCs w:val="22"/>
          <w:lang w:val="es-ES"/>
        </w:rPr>
      </w:pPr>
    </w:p>
    <w:p w14:paraId="3E81FB99" w14:textId="77777777" w:rsidR="001440EE" w:rsidRPr="00E61E75" w:rsidRDefault="001440EE" w:rsidP="00E61E75">
      <w:pPr>
        <w:spacing w:after="60"/>
        <w:jc w:val="both"/>
        <w:rPr>
          <w:sz w:val="22"/>
          <w:szCs w:val="22"/>
          <w:lang w:val="es-ES"/>
        </w:rPr>
      </w:pPr>
      <w:r w:rsidRPr="00723498">
        <w:rPr>
          <w:noProof/>
          <w:sz w:val="22"/>
          <w:szCs w:val="22"/>
          <w:lang w:eastAsia="en-GB"/>
        </w:rPr>
        <w:drawing>
          <wp:inline distT="0" distB="0" distL="0" distR="0" wp14:anchorId="181CE6BA" wp14:editId="27CC1D3A">
            <wp:extent cx="2355215" cy="1423670"/>
            <wp:effectExtent l="0" t="0" r="6985"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355215" cy="1423670"/>
                    </a:xfrm>
                    <a:prstGeom prst="rect">
                      <a:avLst/>
                    </a:prstGeom>
                    <a:noFill/>
                    <a:ln>
                      <a:noFill/>
                    </a:ln>
                  </pic:spPr>
                </pic:pic>
              </a:graphicData>
            </a:graphic>
          </wp:inline>
        </w:drawing>
      </w:r>
    </w:p>
    <w:p w14:paraId="61AD56A1" w14:textId="77777777" w:rsidR="001440EE" w:rsidRPr="00E61E75" w:rsidRDefault="001440EE" w:rsidP="00E61E75">
      <w:pPr>
        <w:spacing w:before="120" w:after="120"/>
        <w:jc w:val="both"/>
        <w:rPr>
          <w:sz w:val="22"/>
          <w:szCs w:val="22"/>
          <w:lang w:val="es-MX"/>
        </w:rPr>
      </w:pPr>
    </w:p>
    <w:sectPr w:rsidR="001440EE" w:rsidRPr="00E61E75" w:rsidSect="00145CB3">
      <w:headerReference w:type="default" r:id="rId15"/>
      <w:footerReference w:type="default" r:id="rId16"/>
      <w:headerReference w:type="first" r:id="rId17"/>
      <w:footerReference w:type="first" r:id="rId18"/>
      <w:pgSz w:w="11906" w:h="16838"/>
      <w:pgMar w:top="910" w:right="1440" w:bottom="993" w:left="1440" w:header="284"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50F2D" w14:textId="77777777" w:rsidR="005341DA" w:rsidRDefault="005341DA" w:rsidP="0031287F">
      <w:r>
        <w:separator/>
      </w:r>
    </w:p>
  </w:endnote>
  <w:endnote w:type="continuationSeparator" w:id="0">
    <w:p w14:paraId="7EE0FCEF" w14:textId="77777777" w:rsidR="005341DA" w:rsidRDefault="005341DA" w:rsidP="0031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567494"/>
      <w:docPartObj>
        <w:docPartGallery w:val="Page Numbers (Bottom of Page)"/>
        <w:docPartUnique/>
      </w:docPartObj>
    </w:sdtPr>
    <w:sdtEndPr>
      <w:rPr>
        <w:noProof/>
      </w:rPr>
    </w:sdtEndPr>
    <w:sdtContent>
      <w:p w14:paraId="70A5EA30" w14:textId="1AE961BD" w:rsidR="00653FA5" w:rsidRDefault="0031287F">
        <w:pPr>
          <w:pStyle w:val="Footer"/>
          <w:jc w:val="center"/>
        </w:pPr>
        <w:r>
          <w:fldChar w:fldCharType="begin"/>
        </w:r>
        <w:r>
          <w:instrText xml:space="preserve"> PAGE   \* MERGEFORMAT </w:instrText>
        </w:r>
        <w:r>
          <w:fldChar w:fldCharType="separate"/>
        </w:r>
        <w:r w:rsidR="005939C3">
          <w:rPr>
            <w:noProof/>
          </w:rPr>
          <w:t>2</w:t>
        </w:r>
        <w:r>
          <w:rPr>
            <w:noProof/>
          </w:rPr>
          <w:fldChar w:fldCharType="end"/>
        </w:r>
      </w:p>
    </w:sdtContent>
  </w:sdt>
  <w:p w14:paraId="281621CF" w14:textId="77777777" w:rsidR="00653FA5" w:rsidRDefault="005939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089876"/>
      <w:docPartObj>
        <w:docPartGallery w:val="Page Numbers (Bottom of Page)"/>
        <w:docPartUnique/>
      </w:docPartObj>
    </w:sdtPr>
    <w:sdtEndPr>
      <w:rPr>
        <w:noProof/>
      </w:rPr>
    </w:sdtEndPr>
    <w:sdtContent>
      <w:p w14:paraId="497F89F8" w14:textId="6F596A27" w:rsidR="00653FA5" w:rsidRDefault="0031287F">
        <w:pPr>
          <w:pStyle w:val="Footer"/>
          <w:jc w:val="right"/>
        </w:pPr>
        <w:r>
          <w:fldChar w:fldCharType="begin"/>
        </w:r>
        <w:r>
          <w:instrText xml:space="preserve"> PAGE   \* MERGEFORMAT </w:instrText>
        </w:r>
        <w:r>
          <w:fldChar w:fldCharType="separate"/>
        </w:r>
        <w:r w:rsidR="005939C3">
          <w:rPr>
            <w:noProof/>
          </w:rPr>
          <w:t>1</w:t>
        </w:r>
        <w:r>
          <w:rPr>
            <w:noProof/>
          </w:rPr>
          <w:fldChar w:fldCharType="end"/>
        </w:r>
      </w:p>
    </w:sdtContent>
  </w:sdt>
  <w:p w14:paraId="3CDCD778" w14:textId="77777777" w:rsidR="00653FA5" w:rsidRDefault="00593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B6688" w14:textId="77777777" w:rsidR="005341DA" w:rsidRDefault="005341DA" w:rsidP="0031287F">
      <w:r>
        <w:separator/>
      </w:r>
    </w:p>
  </w:footnote>
  <w:footnote w:type="continuationSeparator" w:id="0">
    <w:p w14:paraId="55535375" w14:textId="77777777" w:rsidR="005341DA" w:rsidRDefault="005341DA" w:rsidP="0031287F">
      <w:r>
        <w:continuationSeparator/>
      </w:r>
    </w:p>
  </w:footnote>
  <w:footnote w:id="1">
    <w:p w14:paraId="016258A7" w14:textId="78E32E58" w:rsidR="000709F5" w:rsidRPr="000709F5" w:rsidRDefault="000709F5">
      <w:pPr>
        <w:pStyle w:val="FootnoteText"/>
        <w:rPr>
          <w:rStyle w:val="Hyperlink"/>
          <w:sz w:val="18"/>
          <w:szCs w:val="18"/>
          <w:lang w:val="es-ES"/>
        </w:rPr>
      </w:pPr>
      <w:r w:rsidRPr="000709F5">
        <w:rPr>
          <w:rStyle w:val="Hyperlink"/>
          <w:sz w:val="18"/>
          <w:szCs w:val="18"/>
          <w:lang w:val="es-ES"/>
        </w:rPr>
        <w:footnoteRef/>
      </w:r>
      <w:r w:rsidRPr="000709F5">
        <w:rPr>
          <w:rStyle w:val="Hyperlink"/>
          <w:sz w:val="18"/>
          <w:szCs w:val="18"/>
          <w:lang w:val="es-ES"/>
        </w:rPr>
        <w:t xml:space="preserve"> https://oacnudh.hn/oacnudh-llama-a-que-las-autoridades-investiguen-denuncias-de-uso-excesivo-de-la-fuerza-y-tomen-medidas-para-prevenir-su-repeticion/</w:t>
      </w:r>
    </w:p>
  </w:footnote>
  <w:footnote w:id="2">
    <w:p w14:paraId="75150ECE" w14:textId="1841C508" w:rsidR="007121A3" w:rsidRPr="000709F5" w:rsidRDefault="007121A3">
      <w:pPr>
        <w:pStyle w:val="FootnoteText"/>
        <w:rPr>
          <w:rStyle w:val="Hyperlink"/>
          <w:sz w:val="18"/>
          <w:szCs w:val="18"/>
          <w:lang w:val="es-ES"/>
        </w:rPr>
      </w:pPr>
      <w:r w:rsidRPr="000709F5">
        <w:rPr>
          <w:rStyle w:val="Hyperlink"/>
          <w:sz w:val="18"/>
          <w:szCs w:val="18"/>
          <w:lang w:val="es-ES"/>
        </w:rPr>
        <w:footnoteRef/>
      </w:r>
      <w:r w:rsidRPr="000709F5">
        <w:rPr>
          <w:rStyle w:val="Hyperlink"/>
          <w:sz w:val="18"/>
          <w:szCs w:val="18"/>
          <w:lang w:val="es-ES"/>
        </w:rPr>
        <w:t xml:space="preserve"> </w:t>
      </w:r>
      <w:hyperlink r:id="rId1" w:history="1">
        <w:r w:rsidRPr="007121A3">
          <w:rPr>
            <w:rStyle w:val="Hyperlink"/>
            <w:sz w:val="18"/>
            <w:szCs w:val="18"/>
            <w:lang w:val="es-ES"/>
          </w:rPr>
          <w:t>https://www.efe.com/efe/america/sociedad/mas-de-6-000-detenidos-en-honduras-por-incumplir-el-toque-queda-covid-19/20000013-4217796</w:t>
        </w:r>
      </w:hyperlink>
      <w:r w:rsidRPr="002E23EB">
        <w:rPr>
          <w:rStyle w:val="Hyperlink"/>
          <w:lang w:val="es-ES"/>
        </w:rPr>
        <w:t xml:space="preserve"> </w:t>
      </w:r>
    </w:p>
  </w:footnote>
  <w:footnote w:id="3">
    <w:p w14:paraId="3D49A345" w14:textId="3D5C0E99" w:rsidR="00AD3DC0" w:rsidRPr="00AD3DC0" w:rsidRDefault="00AD3DC0">
      <w:pPr>
        <w:pStyle w:val="FootnoteText"/>
        <w:rPr>
          <w:lang w:val="es-ES"/>
        </w:rPr>
      </w:pPr>
      <w:r w:rsidRPr="000709F5">
        <w:rPr>
          <w:rStyle w:val="Hyperlink"/>
          <w:sz w:val="18"/>
          <w:szCs w:val="18"/>
          <w:lang w:val="es-ES"/>
        </w:rPr>
        <w:footnoteRef/>
      </w:r>
      <w:r w:rsidRPr="000709F5">
        <w:rPr>
          <w:rStyle w:val="Hyperlink"/>
          <w:sz w:val="18"/>
          <w:szCs w:val="18"/>
          <w:lang w:val="es-ES"/>
        </w:rPr>
        <w:t xml:space="preserve"> </w:t>
      </w:r>
      <w:hyperlink r:id="rId2" w:history="1">
        <w:r w:rsidRPr="00D127F5">
          <w:rPr>
            <w:rStyle w:val="Hyperlink"/>
            <w:sz w:val="18"/>
            <w:szCs w:val="18"/>
            <w:lang w:val="es-ES"/>
          </w:rPr>
          <w:t>http://www.clibrehonduras.com/images/Doc/Boletin_01_2020_Covid19.pdf</w:t>
        </w:r>
      </w:hyperlink>
      <w:r>
        <w:rPr>
          <w:lang w:val="es-ES"/>
        </w:rPr>
        <w:t xml:space="preserve"> </w:t>
      </w:r>
    </w:p>
  </w:footnote>
  <w:footnote w:id="4">
    <w:p w14:paraId="633AF658" w14:textId="2B33E72A" w:rsidR="00D127F5" w:rsidRPr="00D127F5" w:rsidRDefault="00D127F5">
      <w:pPr>
        <w:pStyle w:val="FootnoteText"/>
        <w:rPr>
          <w:lang w:val="es-ES"/>
        </w:rPr>
      </w:pPr>
      <w:r>
        <w:rPr>
          <w:rStyle w:val="FootnoteReference"/>
        </w:rPr>
        <w:footnoteRef/>
      </w:r>
      <w:r w:rsidRPr="00D127F5">
        <w:rPr>
          <w:lang w:val="es-ES"/>
        </w:rPr>
        <w:t xml:space="preserve"> </w:t>
      </w:r>
      <w:hyperlink r:id="rId3" w:history="1">
        <w:r w:rsidRPr="00D127F5">
          <w:rPr>
            <w:rStyle w:val="Hyperlink"/>
            <w:sz w:val="18"/>
            <w:szCs w:val="18"/>
            <w:lang w:val="es-ES"/>
          </w:rPr>
          <w:t>https://www.cna.hn/2020/03/19/la-corrupcion-en-tiempos-de-coronavirus/</w:t>
        </w:r>
      </w:hyperlink>
      <w:r>
        <w:rPr>
          <w:lang w:val="es-ES"/>
        </w:rPr>
        <w:t xml:space="preserve"> </w:t>
      </w:r>
    </w:p>
  </w:footnote>
  <w:footnote w:id="5">
    <w:p w14:paraId="64D24427" w14:textId="059C4670" w:rsidR="00761496" w:rsidRPr="00761496" w:rsidRDefault="00761496">
      <w:pPr>
        <w:pStyle w:val="FootnoteText"/>
        <w:rPr>
          <w:rStyle w:val="Hyperlink"/>
          <w:sz w:val="18"/>
          <w:szCs w:val="18"/>
          <w:lang w:val="es-ES"/>
        </w:rPr>
      </w:pPr>
      <w:r w:rsidRPr="00B642B3">
        <w:rPr>
          <w:rStyle w:val="Hyperlink"/>
          <w:sz w:val="18"/>
          <w:szCs w:val="18"/>
          <w:lang w:val="es-ES"/>
        </w:rPr>
        <w:footnoteRef/>
      </w:r>
      <w:r w:rsidRPr="00B642B3">
        <w:rPr>
          <w:rStyle w:val="Hyperlink"/>
          <w:sz w:val="18"/>
          <w:szCs w:val="18"/>
          <w:lang w:val="es-ES"/>
        </w:rPr>
        <w:t xml:space="preserve"> </w:t>
      </w:r>
      <w:r w:rsidRPr="00761496">
        <w:rPr>
          <w:rStyle w:val="Hyperlink"/>
          <w:sz w:val="18"/>
          <w:szCs w:val="18"/>
          <w:lang w:val="es-ES"/>
        </w:rPr>
        <w:t>https://www.facebook.com/CDMHonduras/photos/a.890607144334091/3000531820008269/</w:t>
      </w:r>
    </w:p>
  </w:footnote>
  <w:footnote w:id="6">
    <w:p w14:paraId="744E2CA7" w14:textId="21B6AD9C" w:rsidR="004A2C47" w:rsidRPr="00B642B3" w:rsidRDefault="004A2C47">
      <w:pPr>
        <w:pStyle w:val="FootnoteText"/>
        <w:rPr>
          <w:rStyle w:val="Hyperlink"/>
          <w:sz w:val="18"/>
          <w:szCs w:val="18"/>
          <w:lang w:val="es-ES"/>
        </w:rPr>
      </w:pPr>
      <w:r w:rsidRPr="00B642B3">
        <w:rPr>
          <w:rStyle w:val="Hyperlink"/>
          <w:sz w:val="18"/>
          <w:szCs w:val="18"/>
          <w:lang w:val="es-ES"/>
        </w:rPr>
        <w:footnoteRef/>
      </w:r>
      <w:r w:rsidRPr="00B642B3">
        <w:rPr>
          <w:rStyle w:val="Hyperlink"/>
          <w:sz w:val="18"/>
          <w:szCs w:val="18"/>
          <w:lang w:val="es-ES"/>
        </w:rPr>
        <w:t xml:space="preserve"> </w:t>
      </w:r>
      <w:hyperlink r:id="rId4" w:history="1">
        <w:r w:rsidRPr="004A2C47">
          <w:rPr>
            <w:rStyle w:val="Hyperlink"/>
            <w:sz w:val="18"/>
            <w:szCs w:val="18"/>
            <w:lang w:val="es-ES"/>
          </w:rPr>
          <w:t>http://www.inam.gob.hn/web/index.php?option=com_phocadownload&amp;view=file&amp;id=151:boletin-de-prensa-mayo&amp;Itemid=110</w:t>
        </w:r>
      </w:hyperlink>
    </w:p>
  </w:footnote>
  <w:footnote w:id="7">
    <w:p w14:paraId="75C9203C" w14:textId="0947E1AB" w:rsidR="004A2C47" w:rsidRPr="00B642B3" w:rsidRDefault="004A2C47">
      <w:pPr>
        <w:pStyle w:val="FootnoteText"/>
        <w:rPr>
          <w:rStyle w:val="Hyperlink"/>
          <w:sz w:val="18"/>
          <w:szCs w:val="18"/>
          <w:lang w:val="es-ES"/>
        </w:rPr>
      </w:pPr>
      <w:r w:rsidRPr="00B642B3">
        <w:rPr>
          <w:rStyle w:val="Hyperlink"/>
          <w:sz w:val="18"/>
          <w:szCs w:val="18"/>
          <w:lang w:val="es-ES"/>
        </w:rPr>
        <w:footnoteRef/>
      </w:r>
      <w:r w:rsidRPr="00B642B3">
        <w:rPr>
          <w:rStyle w:val="Hyperlink"/>
          <w:sz w:val="18"/>
          <w:szCs w:val="18"/>
          <w:lang w:val="es-ES"/>
        </w:rPr>
        <w:t xml:space="preserve"> </w:t>
      </w:r>
      <w:hyperlink r:id="rId5" w:history="1">
        <w:r w:rsidRPr="00B642B3">
          <w:rPr>
            <w:rStyle w:val="Hyperlink"/>
            <w:sz w:val="18"/>
            <w:szCs w:val="18"/>
            <w:lang w:val="es-ES"/>
          </w:rPr>
          <w:t>https://honduras.unfpa.org/es/news/es-prioridad-asegurar-la-continuidad-de-los-servicios-de-salud-sexual-y-reproductiva-durante-la</w:t>
        </w:r>
      </w:hyperlink>
    </w:p>
  </w:footnote>
  <w:footnote w:id="8">
    <w:p w14:paraId="22133A03" w14:textId="5D123150" w:rsidR="00FE1443" w:rsidRPr="00B642B3" w:rsidRDefault="00FE1443">
      <w:pPr>
        <w:pStyle w:val="FootnoteText"/>
        <w:rPr>
          <w:rStyle w:val="Hyperlink"/>
          <w:sz w:val="18"/>
          <w:szCs w:val="18"/>
          <w:lang w:val="es-ES"/>
        </w:rPr>
      </w:pPr>
      <w:r w:rsidRPr="00B642B3">
        <w:rPr>
          <w:rStyle w:val="Hyperlink"/>
          <w:sz w:val="18"/>
          <w:szCs w:val="18"/>
          <w:lang w:val="es-ES"/>
        </w:rPr>
        <w:footnoteRef/>
      </w:r>
      <w:r w:rsidRPr="00B642B3">
        <w:rPr>
          <w:rStyle w:val="Hyperlink"/>
          <w:sz w:val="18"/>
          <w:szCs w:val="18"/>
          <w:lang w:val="es-ES"/>
        </w:rPr>
        <w:t xml:space="preserve"> </w:t>
      </w:r>
      <w:hyperlink r:id="rId6" w:history="1">
        <w:r w:rsidRPr="00FE1443">
          <w:rPr>
            <w:rStyle w:val="Hyperlink"/>
            <w:sz w:val="18"/>
            <w:szCs w:val="18"/>
            <w:lang w:val="es-ES"/>
          </w:rPr>
          <w:t>http://www.radioamerica.hn/honduras-registra-mas-de-40-000-denuncias-por-violencia-machista-en-2020/</w:t>
        </w:r>
      </w:hyperlink>
      <w:r w:rsidRPr="002E23EB">
        <w:rPr>
          <w:rStyle w:val="Hyperlink"/>
          <w:sz w:val="18"/>
          <w:szCs w:val="18"/>
          <w:lang w:val="es-ES"/>
        </w:rPr>
        <w:t xml:space="preserve"> </w:t>
      </w:r>
    </w:p>
  </w:footnote>
  <w:footnote w:id="9">
    <w:p w14:paraId="304B5A61" w14:textId="6845139D" w:rsidR="00761496" w:rsidRPr="00B642B3" w:rsidRDefault="00761496">
      <w:pPr>
        <w:pStyle w:val="FootnoteText"/>
        <w:rPr>
          <w:rStyle w:val="Hyperlink"/>
          <w:sz w:val="18"/>
          <w:szCs w:val="18"/>
          <w:lang w:val="es-ES"/>
        </w:rPr>
      </w:pPr>
      <w:r w:rsidRPr="00B642B3">
        <w:rPr>
          <w:rStyle w:val="Hyperlink"/>
          <w:sz w:val="18"/>
          <w:szCs w:val="18"/>
          <w:lang w:val="es-ES"/>
        </w:rPr>
        <w:footnoteRef/>
      </w:r>
      <w:r w:rsidRPr="00B642B3">
        <w:rPr>
          <w:rStyle w:val="Hyperlink"/>
          <w:sz w:val="18"/>
          <w:szCs w:val="18"/>
          <w:lang w:val="es-ES"/>
        </w:rPr>
        <w:t xml:space="preserve"> </w:t>
      </w:r>
      <w:r w:rsidR="00B642B3" w:rsidRPr="00B642B3">
        <w:rPr>
          <w:rStyle w:val="Hyperlink"/>
          <w:sz w:val="18"/>
          <w:szCs w:val="18"/>
          <w:lang w:val="es-ES"/>
        </w:rPr>
        <w:t>http://derechosdelamujer.org/project/2020/</w:t>
      </w:r>
      <w:r w:rsidRPr="00B642B3">
        <w:rPr>
          <w:rStyle w:val="Hyperlink"/>
          <w:sz w:val="18"/>
          <w:szCs w:val="18"/>
          <w:lang w:val="es-ES"/>
        </w:rPr>
        <w:t xml:space="preserve">   </w:t>
      </w:r>
    </w:p>
    <w:p w14:paraId="58704FB2" w14:textId="146B7F31" w:rsidR="00B642B3" w:rsidRPr="002E23EB" w:rsidRDefault="00B642B3">
      <w:pPr>
        <w:pStyle w:val="FootnoteText"/>
        <w:rPr>
          <w:lang w:val="es-ES"/>
        </w:rPr>
      </w:pPr>
      <w:r w:rsidRPr="00B642B3">
        <w:rPr>
          <w:rStyle w:val="Hyperlink"/>
          <w:sz w:val="18"/>
          <w:szCs w:val="18"/>
          <w:lang w:val="es-ES"/>
        </w:rPr>
        <w:t>https://cespad.org.hn/2020/05/12/reporte-semanal-3-covid-19-y-los-derechos-ciudadanos-los-peligrosos-escenarios-para-los-derechos-humanos-en-honduras/</w:t>
      </w:r>
    </w:p>
  </w:footnote>
  <w:footnote w:id="10">
    <w:p w14:paraId="60200278" w14:textId="26742DBD" w:rsidR="000709F5" w:rsidRPr="002E23EB" w:rsidRDefault="000709F5">
      <w:pPr>
        <w:pStyle w:val="FootnoteText"/>
        <w:rPr>
          <w:lang w:val="es-ES"/>
        </w:rPr>
      </w:pPr>
      <w:r>
        <w:rPr>
          <w:rStyle w:val="FootnoteReference"/>
        </w:rPr>
        <w:footnoteRef/>
      </w:r>
      <w:r w:rsidRPr="002E23EB">
        <w:rPr>
          <w:lang w:val="es-ES"/>
        </w:rPr>
        <w:t xml:space="preserve"> </w:t>
      </w:r>
      <w:r w:rsidRPr="000709F5">
        <w:rPr>
          <w:rStyle w:val="Hyperlink"/>
          <w:sz w:val="18"/>
          <w:szCs w:val="18"/>
          <w:lang w:val="es-ES"/>
        </w:rPr>
        <w:t>https://www.infobae.com/america/agencias/2020/06/03/la-cuarentena-reduce-los-homicidios-en-honduras-pero-no-la-violencia-machista/</w:t>
      </w:r>
    </w:p>
  </w:footnote>
  <w:footnote w:id="11">
    <w:p w14:paraId="69EED26C" w14:textId="1A23C336" w:rsidR="00BF5522" w:rsidRPr="00316AEA" w:rsidRDefault="00BF5522">
      <w:pPr>
        <w:pStyle w:val="FootnoteText"/>
        <w:rPr>
          <w:rStyle w:val="Hyperlink"/>
          <w:sz w:val="18"/>
          <w:szCs w:val="18"/>
          <w:lang w:val="es-ES"/>
        </w:rPr>
      </w:pPr>
      <w:r w:rsidRPr="00316AEA">
        <w:rPr>
          <w:rStyle w:val="Hyperlink"/>
          <w:sz w:val="18"/>
          <w:szCs w:val="18"/>
          <w:lang w:val="es-ES"/>
        </w:rPr>
        <w:footnoteRef/>
      </w:r>
      <w:r w:rsidRPr="00316AEA">
        <w:rPr>
          <w:rStyle w:val="Hyperlink"/>
          <w:sz w:val="18"/>
          <w:szCs w:val="18"/>
          <w:lang w:val="es-ES"/>
        </w:rPr>
        <w:t xml:space="preserve"> https://www.fosdeh.com/wp-content/uploads/2020/03/Propuestas-fosdeh-economihn-covid19.pdf</w:t>
      </w:r>
    </w:p>
  </w:footnote>
  <w:footnote w:id="12">
    <w:p w14:paraId="0A63645E" w14:textId="38E96ADB" w:rsidR="00316AEA" w:rsidRPr="00316AEA" w:rsidRDefault="00316AEA">
      <w:pPr>
        <w:pStyle w:val="FootnoteText"/>
        <w:rPr>
          <w:lang w:val="es-ES"/>
        </w:rPr>
      </w:pPr>
      <w:r w:rsidRPr="00316AEA">
        <w:rPr>
          <w:rStyle w:val="Hyperlink"/>
          <w:sz w:val="18"/>
          <w:szCs w:val="18"/>
          <w:lang w:val="es-ES"/>
        </w:rPr>
        <w:footnoteRef/>
      </w:r>
      <w:r w:rsidRPr="00316AEA">
        <w:rPr>
          <w:rStyle w:val="Hyperlink"/>
          <w:sz w:val="18"/>
          <w:szCs w:val="18"/>
          <w:lang w:val="es-ES"/>
        </w:rPr>
        <w:t xml:space="preserve"> </w:t>
      </w:r>
      <w:hyperlink r:id="rId7" w:history="1">
        <w:r w:rsidRPr="00316AEA">
          <w:rPr>
            <w:rStyle w:val="Hyperlink"/>
            <w:sz w:val="18"/>
            <w:szCs w:val="18"/>
            <w:lang w:val="es-ES"/>
          </w:rPr>
          <w:t>https://www.fosdeh.com/wp-content/uploads/2020/04/Propuestas-econo-covid19-II-parte.pdf</w:t>
        </w:r>
      </w:hyperlink>
      <w:r w:rsidRPr="00316AEA">
        <w:rPr>
          <w:lang w:val="es-ES"/>
        </w:rPr>
        <w:t xml:space="preserve"> </w:t>
      </w:r>
    </w:p>
  </w:footnote>
  <w:footnote w:id="13">
    <w:p w14:paraId="69CD26FA" w14:textId="3569F128" w:rsidR="00A92AF2" w:rsidRPr="00A92AF2" w:rsidRDefault="00A92AF2">
      <w:pPr>
        <w:pStyle w:val="FootnoteText"/>
        <w:rPr>
          <w:rStyle w:val="Hyperlink"/>
          <w:sz w:val="18"/>
          <w:szCs w:val="18"/>
          <w:lang w:val="es-ES"/>
        </w:rPr>
      </w:pPr>
      <w:r w:rsidRPr="00A92AF2">
        <w:rPr>
          <w:rStyle w:val="Hyperlink"/>
          <w:sz w:val="18"/>
          <w:szCs w:val="18"/>
          <w:lang w:val="es-ES"/>
        </w:rPr>
        <w:footnoteRef/>
      </w:r>
      <w:r w:rsidRPr="00A92AF2">
        <w:rPr>
          <w:rStyle w:val="Hyperlink"/>
          <w:sz w:val="18"/>
          <w:szCs w:val="18"/>
          <w:lang w:val="es-ES"/>
        </w:rPr>
        <w:t xml:space="preserve"> https://twitter.com/CDMHonduras/status/1249743306432667650/photo/1</w:t>
      </w:r>
    </w:p>
  </w:footnote>
  <w:footnote w:id="14">
    <w:p w14:paraId="143C302B" w14:textId="77777777" w:rsidR="00A92AF2" w:rsidRPr="00A92AF2" w:rsidRDefault="00A92AF2" w:rsidP="00A92AF2">
      <w:pPr>
        <w:pStyle w:val="FootnoteText"/>
        <w:rPr>
          <w:lang w:val="es-ES"/>
        </w:rPr>
      </w:pPr>
      <w:r w:rsidRPr="00A92AF2">
        <w:rPr>
          <w:rStyle w:val="Hyperlink"/>
          <w:sz w:val="18"/>
          <w:szCs w:val="18"/>
          <w:lang w:val="es-ES"/>
        </w:rPr>
        <w:footnoteRef/>
      </w:r>
      <w:r w:rsidRPr="00A92AF2">
        <w:rPr>
          <w:rStyle w:val="Hyperlink"/>
          <w:sz w:val="18"/>
          <w:szCs w:val="18"/>
          <w:lang w:val="es-ES"/>
        </w:rPr>
        <w:t xml:space="preserve"> https://www.womenslinkworldwide.org/informate/sala-de-prensa/organizaciones-solicitan-al-poder-judicial-de-honduras-que-proteja-a-las-mujeres-y-las-ninas-durante-la-pandemia-de-covid-19?utm_source=Twitter&amp;utm_medium=social-media&amp;utm_campaign=carta-poder-judicial-honduras&amp;utm_content=spanis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A0DC3" w14:textId="77777777" w:rsidR="00653FA5" w:rsidRDefault="005939C3" w:rsidP="00D6600A">
    <w:pPr>
      <w:pStyle w:val="Header"/>
      <w:tabs>
        <w:tab w:val="clear" w:pos="4153"/>
        <w:tab w:val="clear" w:pos="8306"/>
        <w:tab w:val="right" w:pos="3686"/>
        <w:tab w:val="left" w:pos="5812"/>
      </w:tabs>
      <w:spacing w:before="80" w:after="360"/>
      <w:jc w:val="center"/>
      <w:rPr>
        <w:sz w:val="14"/>
        <w:szCs w:val="14"/>
        <w:lang w:val="fr-CH"/>
      </w:rPr>
    </w:pPr>
  </w:p>
  <w:p w14:paraId="37EEE9F3" w14:textId="77777777" w:rsidR="00653FA5" w:rsidRPr="00D6600A" w:rsidRDefault="005939C3" w:rsidP="00D6600A">
    <w:pPr>
      <w:pStyle w:val="Header"/>
      <w:tabs>
        <w:tab w:val="clear" w:pos="4153"/>
        <w:tab w:val="clear" w:pos="8306"/>
        <w:tab w:val="right" w:pos="3686"/>
        <w:tab w:val="left" w:pos="5812"/>
      </w:tabs>
      <w:spacing w:before="80" w:after="360"/>
      <w:jc w:val="center"/>
      <w:rPr>
        <w:sz w:val="14"/>
        <w:szCs w:val="14"/>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B9A88" w14:textId="77777777" w:rsidR="00653FA5" w:rsidRPr="00925A9D" w:rsidRDefault="005939C3" w:rsidP="000F0425">
    <w:pPr>
      <w:pStyle w:val="Header"/>
      <w:tabs>
        <w:tab w:val="clear" w:pos="4153"/>
        <w:tab w:val="clear" w:pos="8306"/>
      </w:tabs>
      <w:jc w:val="center"/>
      <w:rPr>
        <w:sz w:val="14"/>
        <w:szCs w:val="1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537F"/>
    <w:multiLevelType w:val="hybridMultilevel"/>
    <w:tmpl w:val="ED2653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643ABF"/>
    <w:multiLevelType w:val="hybridMultilevel"/>
    <w:tmpl w:val="D75A4FD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2A17A1"/>
    <w:multiLevelType w:val="hybridMultilevel"/>
    <w:tmpl w:val="D512C848"/>
    <w:lvl w:ilvl="0" w:tplc="471433BA">
      <w:start w:val="6"/>
      <w:numFmt w:val="bullet"/>
      <w:lvlText w:val="-"/>
      <w:lvlJc w:val="left"/>
      <w:pPr>
        <w:ind w:left="1437" w:hanging="360"/>
      </w:pPr>
      <w:rPr>
        <w:rFonts w:ascii="Times New Roman" w:eastAsia="Times New Roman" w:hAnsi="Times New Roman" w:cs="Times New Roman" w:hint="default"/>
      </w:rPr>
    </w:lvl>
    <w:lvl w:ilvl="1" w:tplc="480A0003" w:tentative="1">
      <w:start w:val="1"/>
      <w:numFmt w:val="bullet"/>
      <w:lvlText w:val="o"/>
      <w:lvlJc w:val="left"/>
      <w:pPr>
        <w:ind w:left="2157" w:hanging="360"/>
      </w:pPr>
      <w:rPr>
        <w:rFonts w:ascii="Courier New" w:hAnsi="Courier New" w:cs="Courier New" w:hint="default"/>
      </w:rPr>
    </w:lvl>
    <w:lvl w:ilvl="2" w:tplc="480A0005" w:tentative="1">
      <w:start w:val="1"/>
      <w:numFmt w:val="bullet"/>
      <w:lvlText w:val=""/>
      <w:lvlJc w:val="left"/>
      <w:pPr>
        <w:ind w:left="2877" w:hanging="360"/>
      </w:pPr>
      <w:rPr>
        <w:rFonts w:ascii="Wingdings" w:hAnsi="Wingdings" w:hint="default"/>
      </w:rPr>
    </w:lvl>
    <w:lvl w:ilvl="3" w:tplc="480A0001" w:tentative="1">
      <w:start w:val="1"/>
      <w:numFmt w:val="bullet"/>
      <w:lvlText w:val=""/>
      <w:lvlJc w:val="left"/>
      <w:pPr>
        <w:ind w:left="3597" w:hanging="360"/>
      </w:pPr>
      <w:rPr>
        <w:rFonts w:ascii="Symbol" w:hAnsi="Symbol" w:hint="default"/>
      </w:rPr>
    </w:lvl>
    <w:lvl w:ilvl="4" w:tplc="480A0003" w:tentative="1">
      <w:start w:val="1"/>
      <w:numFmt w:val="bullet"/>
      <w:lvlText w:val="o"/>
      <w:lvlJc w:val="left"/>
      <w:pPr>
        <w:ind w:left="4317" w:hanging="360"/>
      </w:pPr>
      <w:rPr>
        <w:rFonts w:ascii="Courier New" w:hAnsi="Courier New" w:cs="Courier New" w:hint="default"/>
      </w:rPr>
    </w:lvl>
    <w:lvl w:ilvl="5" w:tplc="480A0005" w:tentative="1">
      <w:start w:val="1"/>
      <w:numFmt w:val="bullet"/>
      <w:lvlText w:val=""/>
      <w:lvlJc w:val="left"/>
      <w:pPr>
        <w:ind w:left="5037" w:hanging="360"/>
      </w:pPr>
      <w:rPr>
        <w:rFonts w:ascii="Wingdings" w:hAnsi="Wingdings" w:hint="default"/>
      </w:rPr>
    </w:lvl>
    <w:lvl w:ilvl="6" w:tplc="480A0001" w:tentative="1">
      <w:start w:val="1"/>
      <w:numFmt w:val="bullet"/>
      <w:lvlText w:val=""/>
      <w:lvlJc w:val="left"/>
      <w:pPr>
        <w:ind w:left="5757" w:hanging="360"/>
      </w:pPr>
      <w:rPr>
        <w:rFonts w:ascii="Symbol" w:hAnsi="Symbol" w:hint="default"/>
      </w:rPr>
    </w:lvl>
    <w:lvl w:ilvl="7" w:tplc="480A0003" w:tentative="1">
      <w:start w:val="1"/>
      <w:numFmt w:val="bullet"/>
      <w:lvlText w:val="o"/>
      <w:lvlJc w:val="left"/>
      <w:pPr>
        <w:ind w:left="6477" w:hanging="360"/>
      </w:pPr>
      <w:rPr>
        <w:rFonts w:ascii="Courier New" w:hAnsi="Courier New" w:cs="Courier New" w:hint="default"/>
      </w:rPr>
    </w:lvl>
    <w:lvl w:ilvl="8" w:tplc="480A0005" w:tentative="1">
      <w:start w:val="1"/>
      <w:numFmt w:val="bullet"/>
      <w:lvlText w:val=""/>
      <w:lvlJc w:val="left"/>
      <w:pPr>
        <w:ind w:left="7197" w:hanging="360"/>
      </w:pPr>
      <w:rPr>
        <w:rFonts w:ascii="Wingdings" w:hAnsi="Wingdings" w:hint="default"/>
      </w:rPr>
    </w:lvl>
  </w:abstractNum>
  <w:abstractNum w:abstractNumId="14"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5"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10"/>
  </w:num>
  <w:num w:numId="3">
    <w:abstractNumId w:val="6"/>
  </w:num>
  <w:num w:numId="4">
    <w:abstractNumId w:val="3"/>
  </w:num>
  <w:num w:numId="5">
    <w:abstractNumId w:val="9"/>
  </w:num>
  <w:num w:numId="6">
    <w:abstractNumId w:val="14"/>
  </w:num>
  <w:num w:numId="7">
    <w:abstractNumId w:val="7"/>
  </w:num>
  <w:num w:numId="8">
    <w:abstractNumId w:val="12"/>
  </w:num>
  <w:num w:numId="9">
    <w:abstractNumId w:val="2"/>
  </w:num>
  <w:num w:numId="10">
    <w:abstractNumId w:val="11"/>
  </w:num>
  <w:num w:numId="11">
    <w:abstractNumId w:val="15"/>
  </w:num>
  <w:num w:numId="12">
    <w:abstractNumId w:val="8"/>
  </w:num>
  <w:num w:numId="13">
    <w:abstractNumId w:val="5"/>
  </w:num>
  <w:num w:numId="14">
    <w:abstractNumId w:val="1"/>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87F"/>
    <w:rsid w:val="0004393A"/>
    <w:rsid w:val="0006373E"/>
    <w:rsid w:val="000653D6"/>
    <w:rsid w:val="000709F5"/>
    <w:rsid w:val="000B20D8"/>
    <w:rsid w:val="000C6494"/>
    <w:rsid w:val="00117C8B"/>
    <w:rsid w:val="001440EE"/>
    <w:rsid w:val="001946BF"/>
    <w:rsid w:val="001E3160"/>
    <w:rsid w:val="002656AC"/>
    <w:rsid w:val="002B76A9"/>
    <w:rsid w:val="002C5D93"/>
    <w:rsid w:val="002E23EB"/>
    <w:rsid w:val="002F49A8"/>
    <w:rsid w:val="002F5746"/>
    <w:rsid w:val="0031287F"/>
    <w:rsid w:val="0031580B"/>
    <w:rsid w:val="00316AEA"/>
    <w:rsid w:val="00356050"/>
    <w:rsid w:val="00393565"/>
    <w:rsid w:val="003B4234"/>
    <w:rsid w:val="003C306B"/>
    <w:rsid w:val="003E5CDD"/>
    <w:rsid w:val="00450A74"/>
    <w:rsid w:val="004A2C47"/>
    <w:rsid w:val="004C4FD2"/>
    <w:rsid w:val="004E007D"/>
    <w:rsid w:val="004F7376"/>
    <w:rsid w:val="00507189"/>
    <w:rsid w:val="005341DA"/>
    <w:rsid w:val="005939C3"/>
    <w:rsid w:val="00593F71"/>
    <w:rsid w:val="005D1DA3"/>
    <w:rsid w:val="00637EAE"/>
    <w:rsid w:val="0065096C"/>
    <w:rsid w:val="007121A3"/>
    <w:rsid w:val="00723498"/>
    <w:rsid w:val="0075523E"/>
    <w:rsid w:val="00761496"/>
    <w:rsid w:val="00761C05"/>
    <w:rsid w:val="00775AA5"/>
    <w:rsid w:val="007D1F4F"/>
    <w:rsid w:val="00860EF5"/>
    <w:rsid w:val="008C00A3"/>
    <w:rsid w:val="00955936"/>
    <w:rsid w:val="009E2AD8"/>
    <w:rsid w:val="009E3343"/>
    <w:rsid w:val="009E6FBE"/>
    <w:rsid w:val="00A526B3"/>
    <w:rsid w:val="00A92AF2"/>
    <w:rsid w:val="00AD3DC0"/>
    <w:rsid w:val="00B171BE"/>
    <w:rsid w:val="00B642B3"/>
    <w:rsid w:val="00B75CF3"/>
    <w:rsid w:val="00B85C80"/>
    <w:rsid w:val="00BF5227"/>
    <w:rsid w:val="00BF5522"/>
    <w:rsid w:val="00C911CA"/>
    <w:rsid w:val="00D127F5"/>
    <w:rsid w:val="00D218E8"/>
    <w:rsid w:val="00D22920"/>
    <w:rsid w:val="00DE4560"/>
    <w:rsid w:val="00E2587B"/>
    <w:rsid w:val="00E61E75"/>
    <w:rsid w:val="00E95CC4"/>
    <w:rsid w:val="00E96AE8"/>
    <w:rsid w:val="00EC3780"/>
    <w:rsid w:val="00F47458"/>
    <w:rsid w:val="00FE1443"/>
    <w:rsid w:val="00FF4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04C77"/>
  <w15:chartTrackingRefBased/>
  <w15:docId w15:val="{BE0CC2DA-C132-46EE-9AA1-AEE83276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87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287F"/>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31287F"/>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31287F"/>
    <w:pPr>
      <w:tabs>
        <w:tab w:val="center" w:pos="4153"/>
        <w:tab w:val="right" w:pos="8306"/>
      </w:tabs>
    </w:pPr>
  </w:style>
  <w:style w:type="character" w:customStyle="1" w:styleId="FooterChar">
    <w:name w:val="Footer Char"/>
    <w:basedOn w:val="DefaultParagraphFont"/>
    <w:link w:val="Footer"/>
    <w:uiPriority w:val="99"/>
    <w:rsid w:val="0031287F"/>
    <w:rPr>
      <w:rFonts w:ascii="Times New Roman" w:eastAsia="Times New Roman" w:hAnsi="Times New Roman" w:cs="Times New Roman"/>
      <w:sz w:val="20"/>
      <w:szCs w:val="20"/>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
    <w:link w:val="BVIfnr"/>
    <w:uiPriority w:val="99"/>
    <w:qFormat/>
    <w:rsid w:val="0031287F"/>
    <w:rPr>
      <w:rFonts w:cs="Times New Roman"/>
      <w:vertAlign w:val="superscript"/>
    </w:rPr>
  </w:style>
  <w:style w:type="character" w:styleId="Hyperlink">
    <w:name w:val="Hyperlink"/>
    <w:rsid w:val="0031287F"/>
    <w:rPr>
      <w:color w:val="0000FF"/>
      <w:u w:val="single"/>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
    <w:basedOn w:val="Normal"/>
    <w:link w:val="ListParagraphChar"/>
    <w:uiPriority w:val="34"/>
    <w:qFormat/>
    <w:rsid w:val="0031287F"/>
    <w:pPr>
      <w:ind w:left="720"/>
      <w:contextualSpacing/>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31287F"/>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31287F"/>
    <w:rPr>
      <w:rFonts w:ascii="Times New Roman" w:hAnsi="Times New Roman"/>
      <w:sz w:val="24"/>
      <w:szCs w:val="24"/>
      <w:lang w:val="en-U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31287F"/>
    <w:pPr>
      <w:spacing w:after="160" w:line="240" w:lineRule="exact"/>
      <w:jc w:val="both"/>
    </w:pPr>
    <w:rPr>
      <w:rFonts w:asciiTheme="minorHAnsi" w:eastAsiaTheme="minorHAnsi" w:hAnsiTheme="minorHAnsi"/>
      <w:sz w:val="22"/>
      <w:szCs w:val="22"/>
      <w:vertAlign w:val="superscript"/>
    </w:rPr>
  </w:style>
  <w:style w:type="paragraph" w:styleId="NoSpacing">
    <w:name w:val="No Spacing"/>
    <w:uiPriority w:val="1"/>
    <w:qFormat/>
    <w:rsid w:val="0031287F"/>
    <w:pPr>
      <w:spacing w:after="0" w:line="240" w:lineRule="auto"/>
    </w:pPr>
    <w:rPr>
      <w:rFonts w:eastAsiaTheme="minorEastAsia"/>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31287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96A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AE8"/>
    <w:rPr>
      <w:rFonts w:ascii="Segoe UI" w:eastAsia="Times New Roman" w:hAnsi="Segoe UI" w:cs="Segoe UI"/>
      <w:sz w:val="18"/>
      <w:szCs w:val="18"/>
    </w:rPr>
  </w:style>
  <w:style w:type="character" w:customStyle="1" w:styleId="UnresolvedMention">
    <w:name w:val="Unresolved Mention"/>
    <w:basedOn w:val="DefaultParagraphFont"/>
    <w:uiPriority w:val="99"/>
    <w:semiHidden/>
    <w:unhideWhenUsed/>
    <w:rsid w:val="00860EF5"/>
    <w:rPr>
      <w:color w:val="605E5C"/>
      <w:shd w:val="clear" w:color="auto" w:fill="E1DFDD"/>
    </w:rPr>
  </w:style>
  <w:style w:type="character" w:styleId="FollowedHyperlink">
    <w:name w:val="FollowedHyperlink"/>
    <w:basedOn w:val="DefaultParagraphFont"/>
    <w:uiPriority w:val="99"/>
    <w:semiHidden/>
    <w:unhideWhenUsed/>
    <w:rsid w:val="00860EF5"/>
    <w:rPr>
      <w:color w:val="954F72" w:themeColor="followedHyperlink"/>
      <w:u w:val="single"/>
    </w:rPr>
  </w:style>
  <w:style w:type="paragraph" w:styleId="NormalWeb">
    <w:name w:val="Normal (Web)"/>
    <w:basedOn w:val="Normal"/>
    <w:uiPriority w:val="99"/>
    <w:unhideWhenUsed/>
    <w:rsid w:val="000C6494"/>
    <w:pPr>
      <w:spacing w:before="100" w:beforeAutospacing="1" w:after="100" w:afterAutospacing="1"/>
    </w:pPr>
    <w:rPr>
      <w:sz w:val="24"/>
      <w:szCs w:val="24"/>
      <w:lang w:val="es-HN"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07839">
      <w:bodyDiv w:val="1"/>
      <w:marLeft w:val="0"/>
      <w:marRight w:val="0"/>
      <w:marTop w:val="0"/>
      <w:marBottom w:val="0"/>
      <w:divBdr>
        <w:top w:val="none" w:sz="0" w:space="0" w:color="auto"/>
        <w:left w:val="none" w:sz="0" w:space="0" w:color="auto"/>
        <w:bottom w:val="none" w:sz="0" w:space="0" w:color="auto"/>
        <w:right w:val="none" w:sz="0" w:space="0" w:color="auto"/>
      </w:divBdr>
    </w:div>
    <w:div w:id="628239924">
      <w:bodyDiv w:val="1"/>
      <w:marLeft w:val="0"/>
      <w:marRight w:val="0"/>
      <w:marTop w:val="0"/>
      <w:marBottom w:val="0"/>
      <w:divBdr>
        <w:top w:val="none" w:sz="0" w:space="0" w:color="auto"/>
        <w:left w:val="none" w:sz="0" w:space="0" w:color="auto"/>
        <w:bottom w:val="none" w:sz="0" w:space="0" w:color="auto"/>
        <w:right w:val="none" w:sz="0" w:space="0" w:color="auto"/>
      </w:divBdr>
      <w:divsChild>
        <w:div w:id="55981460">
          <w:marLeft w:val="0"/>
          <w:marRight w:val="0"/>
          <w:marTop w:val="0"/>
          <w:marBottom w:val="0"/>
          <w:divBdr>
            <w:top w:val="none" w:sz="0" w:space="0" w:color="auto"/>
            <w:left w:val="none" w:sz="0" w:space="0" w:color="auto"/>
            <w:bottom w:val="none" w:sz="0" w:space="0" w:color="auto"/>
            <w:right w:val="none" w:sz="0" w:space="0" w:color="auto"/>
          </w:divBdr>
        </w:div>
        <w:div w:id="108669634">
          <w:marLeft w:val="0"/>
          <w:marRight w:val="0"/>
          <w:marTop w:val="0"/>
          <w:marBottom w:val="0"/>
          <w:divBdr>
            <w:top w:val="none" w:sz="0" w:space="0" w:color="auto"/>
            <w:left w:val="none" w:sz="0" w:space="0" w:color="auto"/>
            <w:bottom w:val="none" w:sz="0" w:space="0" w:color="auto"/>
            <w:right w:val="none" w:sz="0" w:space="0" w:color="auto"/>
          </w:divBdr>
        </w:div>
        <w:div w:id="1917203012">
          <w:marLeft w:val="0"/>
          <w:marRight w:val="0"/>
          <w:marTop w:val="0"/>
          <w:marBottom w:val="0"/>
          <w:divBdr>
            <w:top w:val="none" w:sz="0" w:space="0" w:color="auto"/>
            <w:left w:val="none" w:sz="0" w:space="0" w:color="auto"/>
            <w:bottom w:val="none" w:sz="0" w:space="0" w:color="auto"/>
            <w:right w:val="none" w:sz="0" w:space="0" w:color="auto"/>
          </w:divBdr>
        </w:div>
        <w:div w:id="1790977591">
          <w:marLeft w:val="0"/>
          <w:marRight w:val="0"/>
          <w:marTop w:val="0"/>
          <w:marBottom w:val="0"/>
          <w:divBdr>
            <w:top w:val="none" w:sz="0" w:space="0" w:color="auto"/>
            <w:left w:val="none" w:sz="0" w:space="0" w:color="auto"/>
            <w:bottom w:val="none" w:sz="0" w:space="0" w:color="auto"/>
            <w:right w:val="none" w:sz="0" w:space="0" w:color="auto"/>
          </w:divBdr>
        </w:div>
      </w:divsChild>
    </w:div>
    <w:div w:id="1545557958">
      <w:bodyDiv w:val="1"/>
      <w:marLeft w:val="0"/>
      <w:marRight w:val="0"/>
      <w:marTop w:val="0"/>
      <w:marBottom w:val="0"/>
      <w:divBdr>
        <w:top w:val="none" w:sz="0" w:space="0" w:color="auto"/>
        <w:left w:val="none" w:sz="0" w:space="0" w:color="auto"/>
        <w:bottom w:val="none" w:sz="0" w:space="0" w:color="auto"/>
        <w:right w:val="none" w:sz="0" w:space="0" w:color="auto"/>
      </w:divBdr>
    </w:div>
    <w:div w:id="1739522785">
      <w:bodyDiv w:val="1"/>
      <w:marLeft w:val="0"/>
      <w:marRight w:val="0"/>
      <w:marTop w:val="0"/>
      <w:marBottom w:val="0"/>
      <w:divBdr>
        <w:top w:val="none" w:sz="0" w:space="0" w:color="auto"/>
        <w:left w:val="none" w:sz="0" w:space="0" w:color="auto"/>
        <w:bottom w:val="none" w:sz="0" w:space="0" w:color="auto"/>
        <w:right w:val="none" w:sz="0" w:space="0" w:color="auto"/>
      </w:divBdr>
      <w:divsChild>
        <w:div w:id="611323948">
          <w:marLeft w:val="0"/>
          <w:marRight w:val="0"/>
          <w:marTop w:val="0"/>
          <w:marBottom w:val="0"/>
          <w:divBdr>
            <w:top w:val="none" w:sz="0" w:space="0" w:color="auto"/>
            <w:left w:val="none" w:sz="0" w:space="0" w:color="auto"/>
            <w:bottom w:val="none" w:sz="0" w:space="0" w:color="auto"/>
            <w:right w:val="none" w:sz="0" w:space="0" w:color="auto"/>
          </w:divBdr>
        </w:div>
        <w:div w:id="1755130708">
          <w:marLeft w:val="0"/>
          <w:marRight w:val="0"/>
          <w:marTop w:val="0"/>
          <w:marBottom w:val="0"/>
          <w:divBdr>
            <w:top w:val="none" w:sz="0" w:space="0" w:color="auto"/>
            <w:left w:val="none" w:sz="0" w:space="0" w:color="auto"/>
            <w:bottom w:val="none" w:sz="0" w:space="0" w:color="auto"/>
            <w:right w:val="none" w:sz="0" w:space="0" w:color="auto"/>
          </w:divBdr>
        </w:div>
        <w:div w:id="1309745103">
          <w:marLeft w:val="0"/>
          <w:marRight w:val="0"/>
          <w:marTop w:val="0"/>
          <w:marBottom w:val="0"/>
          <w:divBdr>
            <w:top w:val="none" w:sz="0" w:space="0" w:color="auto"/>
            <w:left w:val="none" w:sz="0" w:space="0" w:color="auto"/>
            <w:bottom w:val="none" w:sz="0" w:space="0" w:color="auto"/>
            <w:right w:val="none" w:sz="0" w:space="0" w:color="auto"/>
          </w:divBdr>
        </w:div>
        <w:div w:id="1709455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erechosdelamujer.org/documentos/el-nuevo-codigo-penal-y-los-derechos-humanos-de-las-mujer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menslinkworldwide.org/files/3115/carta-a-la-corte-suprema-de-justicia-de-honduras.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10.png@01D643C7.D3C7AE0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na.hn/2020/03/19/la-corrupcion-en-tiempos-de-coronavirus/" TargetMode="External"/><Relationship Id="rId7" Type="http://schemas.openxmlformats.org/officeDocument/2006/relationships/hyperlink" Target="https://www.fosdeh.com/wp-content/uploads/2020/04/Propuestas-econo-covid19-II-parte.pdf" TargetMode="External"/><Relationship Id="rId2" Type="http://schemas.openxmlformats.org/officeDocument/2006/relationships/hyperlink" Target="http://www.clibrehonduras.com/images/Doc/Boletin_01_2020_Covid19.pdf" TargetMode="External"/><Relationship Id="rId1" Type="http://schemas.openxmlformats.org/officeDocument/2006/relationships/hyperlink" Target="https://www.efe.com/efe/america/sociedad/mas-de-6-000-detenidos-en-honduras-por-incumplir-el-toque-queda-covid-19/20000013-4217796" TargetMode="External"/><Relationship Id="rId6" Type="http://schemas.openxmlformats.org/officeDocument/2006/relationships/hyperlink" Target="http://www.radioamerica.hn/honduras-registra-mas-de-40-000-denuncias-por-violencia-machista-en-2020/" TargetMode="External"/><Relationship Id="rId5" Type="http://schemas.openxmlformats.org/officeDocument/2006/relationships/hyperlink" Target="https://honduras.unfpa.org/es/news/es-prioridad-asegurar-la-continuidad-de-los-servicios-de-salud-sexual-y-reproductiva-durante-la" TargetMode="External"/><Relationship Id="rId4" Type="http://schemas.openxmlformats.org/officeDocument/2006/relationships/hyperlink" Target="http://www.inam.gob.hn/web/index.php?option=com_phocadownload&amp;view=file&amp;id=151:boletin-de-prensa-mayo&amp;Itemid=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D4E5B-97DE-4059-A69A-2008E2AD5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BE9275-865D-43F8-842F-BD9060F80622}">
  <ds:schemaRefs>
    <ds:schemaRef ds:uri="http://schemas.microsoft.com/sharepoint/v3/contenttype/forms"/>
  </ds:schemaRefs>
</ds:datastoreItem>
</file>

<file path=customXml/itemProps3.xml><?xml version="1.0" encoding="utf-8"?>
<ds:datastoreItem xmlns:ds="http://schemas.openxmlformats.org/officeDocument/2006/customXml" ds:itemID="{8734F883-04AD-4DFD-A7FE-B3FA9CC7CACB}">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6AD9DA7-C48F-449C-A753-35D326369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1318</Words>
  <Characters>7513</Characters>
  <Application>Microsoft Office Word</Application>
  <DocSecurity>0</DocSecurity>
  <Lines>62</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THEISSEN Gunnar</dc:creator>
  <cp:keywords/>
  <dc:description/>
  <cp:lastModifiedBy>VARELA Patricia</cp:lastModifiedBy>
  <cp:revision>2</cp:revision>
  <dcterms:created xsi:type="dcterms:W3CDTF">2020-06-22T10:28:00Z</dcterms:created>
  <dcterms:modified xsi:type="dcterms:W3CDTF">2020-06-22T10:28:00Z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5681400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