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214D" w14:textId="185CC59D" w:rsidR="00BF51E1" w:rsidRPr="004F6A42" w:rsidRDefault="003C526E" w:rsidP="00E81F68">
      <w:pPr>
        <w:pStyle w:val="HChG"/>
        <w:ind w:left="709" w:hanging="709"/>
        <w:rPr>
          <w:lang w:val="es-HN"/>
        </w:rPr>
      </w:pPr>
      <w:r w:rsidRPr="004F6A42">
        <w:rPr>
          <w:lang w:val="es-HN"/>
        </w:rPr>
        <w:t>A SER FORMATEADO</w:t>
      </w:r>
      <w:r w:rsidRPr="004F6A42" w:rsidDel="003C526E">
        <w:rPr>
          <w:lang w:val="es-HN"/>
        </w:rPr>
        <w:t xml:space="preserve"> </w:t>
      </w:r>
      <w:r w:rsidR="00201C12" w:rsidRPr="004F6A42">
        <w:rPr>
          <w:lang w:val="es-HN"/>
        </w:rPr>
        <w:tab/>
      </w:r>
      <w:r w:rsidR="00201C12" w:rsidRPr="004F6A42">
        <w:rPr>
          <w:lang w:val="es-HN"/>
        </w:rPr>
        <w:tab/>
      </w:r>
      <w:r w:rsidR="00201C12" w:rsidRPr="004F6A42">
        <w:rPr>
          <w:lang w:val="es-HN"/>
        </w:rPr>
        <w:tab/>
      </w:r>
      <w:r w:rsidR="00201C12" w:rsidRPr="004F6A42">
        <w:rPr>
          <w:lang w:val="es-HN"/>
        </w:rPr>
        <w:tab/>
      </w:r>
      <w:r w:rsidR="00201C12" w:rsidRPr="004F6A42">
        <w:rPr>
          <w:lang w:val="es-HN"/>
        </w:rPr>
        <w:tab/>
      </w:r>
      <w:r w:rsidR="00201C12" w:rsidRPr="004F6A42">
        <w:rPr>
          <w:lang w:val="es-HN"/>
        </w:rPr>
        <w:tab/>
        <w:t>A/HRC/43/3/Add.2</w:t>
      </w:r>
    </w:p>
    <w:p w14:paraId="0B2A59B1" w14:textId="3A15CB36" w:rsidR="00201C12" w:rsidRPr="004F6A42" w:rsidRDefault="003C526E" w:rsidP="00E642D9">
      <w:pPr>
        <w:rPr>
          <w:lang w:val="es-HN"/>
        </w:rPr>
      </w:pPr>
      <w:r w:rsidRPr="004F6A42">
        <w:rPr>
          <w:lang w:val="es-HN"/>
        </w:rPr>
        <w:t xml:space="preserve">Asamblea General </w:t>
      </w:r>
      <w:r w:rsidR="00201C12" w:rsidRPr="004F6A42">
        <w:rPr>
          <w:lang w:val="es-HN"/>
        </w:rPr>
        <w:tab/>
      </w:r>
      <w:r w:rsidR="00201C12" w:rsidRPr="004F6A42">
        <w:rPr>
          <w:lang w:val="es-HN"/>
        </w:rPr>
        <w:tab/>
      </w:r>
      <w:r w:rsidR="00201C12" w:rsidRPr="004F6A42">
        <w:rPr>
          <w:lang w:val="es-HN"/>
        </w:rPr>
        <w:tab/>
      </w:r>
      <w:r w:rsidR="00201C12" w:rsidRPr="004F6A42">
        <w:rPr>
          <w:lang w:val="es-HN"/>
        </w:rPr>
        <w:tab/>
      </w:r>
      <w:r w:rsidR="00201C12" w:rsidRPr="004F6A42">
        <w:rPr>
          <w:lang w:val="es-HN"/>
        </w:rPr>
        <w:tab/>
      </w:r>
      <w:r w:rsidR="00201C12" w:rsidRPr="004F6A42">
        <w:rPr>
          <w:lang w:val="es-HN"/>
        </w:rPr>
        <w:tab/>
      </w:r>
      <w:r w:rsidR="00201C12" w:rsidRPr="004F6A42">
        <w:rPr>
          <w:lang w:val="es-HN"/>
        </w:rPr>
        <w:tab/>
      </w:r>
      <w:r w:rsidR="00201C12" w:rsidRPr="004F6A42">
        <w:rPr>
          <w:lang w:val="es-HN"/>
        </w:rPr>
        <w:tab/>
      </w:r>
      <w:r w:rsidR="00201C12" w:rsidRPr="004F6A42">
        <w:rPr>
          <w:lang w:val="es-HN"/>
        </w:rPr>
        <w:tab/>
        <w:t>Distr.: General</w:t>
      </w:r>
    </w:p>
    <w:p w14:paraId="201FC86E" w14:textId="53604C6C" w:rsidR="00201C12" w:rsidRPr="004F6A42" w:rsidRDefault="003C526E" w:rsidP="00E642D9">
      <w:pPr>
        <w:rPr>
          <w:lang w:val="es-HN"/>
        </w:rPr>
      </w:pPr>
      <w:r w:rsidRPr="001D0245">
        <w:rPr>
          <w:lang w:val="es-HN"/>
        </w:rPr>
        <w:t>d</w:t>
      </w:r>
      <w:r w:rsidRPr="004F6A42">
        <w:rPr>
          <w:lang w:val="es-HN"/>
        </w:rPr>
        <w:t>e las Naciones Unidas</w:t>
      </w:r>
      <w:r w:rsidR="00201C12" w:rsidRPr="004F6A42">
        <w:rPr>
          <w:lang w:val="es-HN"/>
        </w:rPr>
        <w:tab/>
      </w:r>
      <w:r w:rsidR="00201C12" w:rsidRPr="004F6A42">
        <w:rPr>
          <w:lang w:val="es-HN"/>
        </w:rPr>
        <w:tab/>
      </w:r>
      <w:r w:rsidR="00201C12" w:rsidRPr="004F6A42">
        <w:rPr>
          <w:lang w:val="es-HN"/>
        </w:rPr>
        <w:tab/>
      </w:r>
      <w:r w:rsidR="00201C12" w:rsidRPr="004F6A42">
        <w:rPr>
          <w:lang w:val="es-HN"/>
        </w:rPr>
        <w:tab/>
      </w:r>
      <w:r w:rsidR="00201C12" w:rsidRPr="004F6A42">
        <w:rPr>
          <w:lang w:val="es-HN"/>
        </w:rPr>
        <w:tab/>
      </w:r>
      <w:r w:rsidR="00201C12" w:rsidRPr="004F6A42">
        <w:rPr>
          <w:lang w:val="es-HN"/>
        </w:rPr>
        <w:tab/>
      </w:r>
      <w:r w:rsidR="00201C12" w:rsidRPr="004F6A42">
        <w:rPr>
          <w:lang w:val="es-HN"/>
        </w:rPr>
        <w:tab/>
      </w:r>
      <w:r w:rsidR="00201C12" w:rsidRPr="004F6A42">
        <w:rPr>
          <w:lang w:val="es-HN"/>
        </w:rPr>
        <w:tab/>
        <w:t xml:space="preserve">XX </w:t>
      </w:r>
      <w:r w:rsidRPr="001D0245">
        <w:rPr>
          <w:lang w:val="es-HN"/>
        </w:rPr>
        <w:t xml:space="preserve">Enero de </w:t>
      </w:r>
      <w:r w:rsidR="00201C12" w:rsidRPr="004F6A42">
        <w:rPr>
          <w:lang w:val="es-HN"/>
        </w:rPr>
        <w:t>2020</w:t>
      </w:r>
    </w:p>
    <w:p w14:paraId="54E100DF" w14:textId="3060AC0B" w:rsidR="00201C12" w:rsidRPr="004F6A42" w:rsidRDefault="00201C12" w:rsidP="00E642D9">
      <w:pPr>
        <w:rPr>
          <w:lang w:val="es-HN"/>
        </w:rPr>
      </w:pPr>
      <w:r w:rsidRPr="004F6A42">
        <w:rPr>
          <w:lang w:val="es-HN"/>
        </w:rPr>
        <w:tab/>
      </w:r>
      <w:r w:rsidRPr="004F6A42">
        <w:rPr>
          <w:lang w:val="es-HN"/>
        </w:rPr>
        <w:tab/>
      </w:r>
      <w:r w:rsidRPr="004F6A42">
        <w:rPr>
          <w:lang w:val="es-HN"/>
        </w:rPr>
        <w:tab/>
      </w:r>
      <w:r w:rsidRPr="004F6A42">
        <w:rPr>
          <w:lang w:val="es-HN"/>
        </w:rPr>
        <w:tab/>
      </w:r>
      <w:r w:rsidRPr="004F6A42">
        <w:rPr>
          <w:lang w:val="es-HN"/>
        </w:rPr>
        <w:tab/>
      </w:r>
      <w:r w:rsidRPr="004F6A42">
        <w:rPr>
          <w:lang w:val="es-HN"/>
        </w:rPr>
        <w:tab/>
      </w:r>
      <w:r w:rsidRPr="004F6A42">
        <w:rPr>
          <w:lang w:val="es-HN"/>
        </w:rPr>
        <w:tab/>
      </w:r>
      <w:r w:rsidRPr="004F6A42">
        <w:rPr>
          <w:lang w:val="es-HN"/>
        </w:rPr>
        <w:tab/>
      </w:r>
      <w:r w:rsidRPr="004F6A42">
        <w:rPr>
          <w:lang w:val="es-HN"/>
        </w:rPr>
        <w:tab/>
      </w:r>
      <w:r w:rsidRPr="004F6A42">
        <w:rPr>
          <w:lang w:val="es-HN"/>
        </w:rPr>
        <w:tab/>
      </w:r>
      <w:r w:rsidRPr="004F6A42">
        <w:rPr>
          <w:lang w:val="es-HN"/>
        </w:rPr>
        <w:tab/>
        <w:t xml:space="preserve">Original: </w:t>
      </w:r>
      <w:r w:rsidR="003C526E" w:rsidRPr="004F6A42">
        <w:rPr>
          <w:lang w:val="es-HN"/>
        </w:rPr>
        <w:t>Inglés</w:t>
      </w:r>
    </w:p>
    <w:p w14:paraId="32020AF4" w14:textId="07B4EF8D" w:rsidR="00E81F68" w:rsidRPr="004F6A42" w:rsidRDefault="003C526E" w:rsidP="00E81F68">
      <w:pPr>
        <w:pStyle w:val="HChG"/>
        <w:ind w:left="0" w:firstLine="0"/>
        <w:rPr>
          <w:lang w:val="es-HN"/>
        </w:rPr>
      </w:pPr>
      <w:r w:rsidRPr="004F6A42">
        <w:rPr>
          <w:lang w:val="es-HN"/>
        </w:rPr>
        <w:t>Consejo de Derechos Humanos</w:t>
      </w:r>
      <w:r w:rsidRPr="004F6A42" w:rsidDel="003C526E">
        <w:rPr>
          <w:lang w:val="es-HN"/>
        </w:rPr>
        <w:t xml:space="preserve"> </w:t>
      </w:r>
    </w:p>
    <w:p w14:paraId="6BD86D9D" w14:textId="77777777" w:rsidR="003C526E" w:rsidRPr="004F6A42" w:rsidRDefault="003C526E" w:rsidP="003C526E">
      <w:pPr>
        <w:rPr>
          <w:lang w:val="es-HN"/>
        </w:rPr>
      </w:pPr>
      <w:r w:rsidRPr="004F6A42">
        <w:rPr>
          <w:lang w:val="es-HN"/>
        </w:rPr>
        <w:t>Cuadragésimo tercer período de sesiones</w:t>
      </w:r>
    </w:p>
    <w:p w14:paraId="68F20AF5" w14:textId="77777777" w:rsidR="003C526E" w:rsidRPr="004F6A42" w:rsidRDefault="003C526E" w:rsidP="003C526E">
      <w:pPr>
        <w:rPr>
          <w:lang w:val="es-HN"/>
        </w:rPr>
      </w:pPr>
      <w:r w:rsidRPr="004F6A42">
        <w:rPr>
          <w:lang w:val="es-HN"/>
        </w:rPr>
        <w:t>24 de febrero a 20 de marzo</w:t>
      </w:r>
    </w:p>
    <w:p w14:paraId="57F66B07" w14:textId="08CB6578" w:rsidR="00E81F68" w:rsidRPr="004F6A42" w:rsidRDefault="003C526E">
      <w:pPr>
        <w:rPr>
          <w:lang w:val="es-HN"/>
        </w:rPr>
      </w:pPr>
      <w:r w:rsidRPr="004F6A42">
        <w:rPr>
          <w:lang w:val="es-HN"/>
        </w:rPr>
        <w:t xml:space="preserve">Tema 2 de la Agenda </w:t>
      </w:r>
    </w:p>
    <w:p w14:paraId="33F0D112" w14:textId="071A5CB7" w:rsidR="00E81F68" w:rsidRPr="004F6A42" w:rsidRDefault="003C526E" w:rsidP="00E81F68">
      <w:pPr>
        <w:rPr>
          <w:b/>
          <w:lang w:val="es-HN"/>
        </w:rPr>
      </w:pPr>
      <w:r w:rsidRPr="004F6A42">
        <w:rPr>
          <w:b/>
          <w:lang w:val="es-HN"/>
        </w:rPr>
        <w:t>Informe anual de</w:t>
      </w:r>
      <w:r w:rsidR="00FC6088">
        <w:rPr>
          <w:b/>
          <w:lang w:val="es-HN"/>
        </w:rPr>
        <w:t xml:space="preserve">l </w:t>
      </w:r>
      <w:r w:rsidRPr="004F6A42">
        <w:rPr>
          <w:b/>
          <w:lang w:val="es-HN"/>
        </w:rPr>
        <w:t>Alt</w:t>
      </w:r>
      <w:r w:rsidR="00FC6088">
        <w:rPr>
          <w:b/>
          <w:lang w:val="es-HN"/>
        </w:rPr>
        <w:t>o</w:t>
      </w:r>
      <w:r w:rsidRPr="004F6A42">
        <w:rPr>
          <w:b/>
          <w:lang w:val="es-HN"/>
        </w:rPr>
        <w:t xml:space="preserve"> Comisionad</w:t>
      </w:r>
      <w:r w:rsidR="00FC6088">
        <w:rPr>
          <w:b/>
          <w:lang w:val="es-HN"/>
        </w:rPr>
        <w:t>o</w:t>
      </w:r>
      <w:r w:rsidRPr="004F6A42">
        <w:rPr>
          <w:b/>
          <w:lang w:val="es-HN"/>
        </w:rPr>
        <w:t xml:space="preserve"> de las Naciones Unidas para los Derechos Humanos y los informes de la Oficina de</w:t>
      </w:r>
      <w:r w:rsidR="00EA0005">
        <w:rPr>
          <w:b/>
          <w:lang w:val="es-HN"/>
        </w:rPr>
        <w:t xml:space="preserve">l </w:t>
      </w:r>
      <w:r w:rsidRPr="004F6A42">
        <w:rPr>
          <w:b/>
          <w:lang w:val="es-HN"/>
        </w:rPr>
        <w:t>Alt</w:t>
      </w:r>
      <w:r w:rsidR="00EA0005">
        <w:rPr>
          <w:b/>
          <w:lang w:val="es-HN"/>
        </w:rPr>
        <w:t>o</w:t>
      </w:r>
      <w:r w:rsidRPr="004F6A42">
        <w:rPr>
          <w:b/>
          <w:lang w:val="es-HN"/>
        </w:rPr>
        <w:t xml:space="preserve"> Comisionad</w:t>
      </w:r>
      <w:r w:rsidR="00EA0005">
        <w:rPr>
          <w:b/>
          <w:lang w:val="es-HN"/>
        </w:rPr>
        <w:t>o</w:t>
      </w:r>
      <w:r w:rsidRPr="004F6A42">
        <w:rPr>
          <w:b/>
          <w:lang w:val="es-HN"/>
        </w:rPr>
        <w:t xml:space="preserve"> y el Secretario General</w:t>
      </w:r>
      <w:r w:rsidRPr="004F6A42" w:rsidDel="003C526E">
        <w:rPr>
          <w:b/>
          <w:lang w:val="es-HN"/>
        </w:rPr>
        <w:t xml:space="preserve"> </w:t>
      </w:r>
    </w:p>
    <w:p w14:paraId="408F06A9" w14:textId="6C1FD268" w:rsidR="00E81F68" w:rsidRPr="004F6A42" w:rsidRDefault="003C526E" w:rsidP="004F6A42">
      <w:pPr>
        <w:pStyle w:val="HChG"/>
        <w:ind w:left="0" w:firstLine="709"/>
        <w:rPr>
          <w:lang w:val="es-HN"/>
        </w:rPr>
      </w:pPr>
      <w:r w:rsidRPr="001D0245">
        <w:rPr>
          <w:lang w:val="es-HN"/>
        </w:rPr>
        <w:t>Situación</w:t>
      </w:r>
      <w:r w:rsidRPr="004F6A42">
        <w:rPr>
          <w:lang w:val="es-HN"/>
        </w:rPr>
        <w:t xml:space="preserve"> de los derechos humanos</w:t>
      </w:r>
      <w:r w:rsidRPr="001D0245">
        <w:rPr>
          <w:lang w:val="es-HN"/>
        </w:rPr>
        <w:t xml:space="preserve"> </w:t>
      </w:r>
      <w:r w:rsidR="00EA0005">
        <w:rPr>
          <w:lang w:val="es-HN"/>
        </w:rPr>
        <w:t xml:space="preserve">en </w:t>
      </w:r>
      <w:r w:rsidR="00E81F68" w:rsidRPr="004F6A42">
        <w:rPr>
          <w:lang w:val="es-HN"/>
        </w:rPr>
        <w:t>Honduras</w:t>
      </w:r>
    </w:p>
    <w:p w14:paraId="7292702B" w14:textId="1AAC8B4D" w:rsidR="004311AC" w:rsidRPr="004F6A42" w:rsidRDefault="003C526E" w:rsidP="00A9389E">
      <w:pPr>
        <w:pStyle w:val="HChG"/>
        <w:ind w:left="709" w:firstLine="0"/>
        <w:rPr>
          <w:lang w:val="es-HN"/>
        </w:rPr>
      </w:pPr>
      <w:r w:rsidRPr="004F6A42">
        <w:rPr>
          <w:lang w:val="es-HN"/>
        </w:rPr>
        <w:t>Informe de</w:t>
      </w:r>
      <w:r w:rsidR="00FC6088">
        <w:rPr>
          <w:lang w:val="es-HN"/>
        </w:rPr>
        <w:t>l</w:t>
      </w:r>
      <w:r w:rsidRPr="004F6A42">
        <w:rPr>
          <w:lang w:val="es-HN"/>
        </w:rPr>
        <w:t xml:space="preserve"> </w:t>
      </w:r>
      <w:r w:rsidR="00FC6088">
        <w:rPr>
          <w:lang w:val="es-HN"/>
        </w:rPr>
        <w:t>Alto</w:t>
      </w:r>
      <w:r w:rsidRPr="004F6A42">
        <w:rPr>
          <w:lang w:val="es-HN"/>
        </w:rPr>
        <w:t xml:space="preserve"> Comisionad</w:t>
      </w:r>
      <w:r w:rsidR="00FC6088">
        <w:rPr>
          <w:lang w:val="es-HN"/>
        </w:rPr>
        <w:t>o</w:t>
      </w:r>
      <w:r w:rsidRPr="004F6A42">
        <w:rPr>
          <w:lang w:val="es-HN"/>
        </w:rPr>
        <w:t xml:space="preserve"> de las Naciones Unidas para los Derechos Humanos sobre la situación de los derechos humanos en Honduras</w:t>
      </w:r>
      <w:r w:rsidRPr="004F6A42" w:rsidDel="003C526E">
        <w:rPr>
          <w:lang w:val="es-HN"/>
        </w:rPr>
        <w:t xml:space="preserve"> </w:t>
      </w:r>
      <w:r w:rsidR="00E81F68" w:rsidRPr="004F6A42">
        <w:rPr>
          <w:lang w:val="es-HN"/>
        </w:rPr>
        <w:t>* **</w:t>
      </w:r>
    </w:p>
    <w:p w14:paraId="707A122D" w14:textId="60E93D4D" w:rsidR="00D37F41" w:rsidRPr="004F6A42" w:rsidRDefault="003C526E" w:rsidP="00D37F41">
      <w:pPr>
        <w:pStyle w:val="HChG"/>
        <w:ind w:left="720" w:firstLine="0"/>
        <w:rPr>
          <w:lang w:val="es-HN"/>
        </w:rPr>
      </w:pPr>
      <w:r w:rsidRPr="004F6A42">
        <w:rPr>
          <w:lang w:val="es-HN"/>
        </w:rPr>
        <w:t xml:space="preserve">Resumen </w:t>
      </w:r>
    </w:p>
    <w:p w14:paraId="470F8152" w14:textId="5CACEE40" w:rsidR="003C526E" w:rsidRPr="004F6A42" w:rsidRDefault="003C526E" w:rsidP="003C526E">
      <w:pPr>
        <w:ind w:left="709" w:right="1183"/>
        <w:jc w:val="both"/>
        <w:rPr>
          <w:lang w:val="es-HN"/>
        </w:rPr>
      </w:pPr>
      <w:r w:rsidRPr="004F6A42">
        <w:rPr>
          <w:lang w:val="es-HN"/>
        </w:rPr>
        <w:t xml:space="preserve">El presente informe describe la situación de los derechos humanos en Honduras desde el 1º de enero hasta el 31 de diciembre de 2019. Destaca los principales </w:t>
      </w:r>
      <w:r w:rsidR="004D13F2">
        <w:rPr>
          <w:lang w:val="es-HN"/>
        </w:rPr>
        <w:t>avances y retos</w:t>
      </w:r>
      <w:r w:rsidRPr="004F6A42">
        <w:rPr>
          <w:lang w:val="es-HN"/>
        </w:rPr>
        <w:t xml:space="preserve"> de derechos humanos relacionados con la pobreza y las cuestiones económicas y sociales, la corrupción, </w:t>
      </w:r>
      <w:r w:rsidR="008A7199" w:rsidRPr="001D0245">
        <w:rPr>
          <w:lang w:val="es-HN"/>
        </w:rPr>
        <w:t>las empresas</w:t>
      </w:r>
      <w:r w:rsidRPr="001D0245">
        <w:rPr>
          <w:lang w:val="es-HN"/>
        </w:rPr>
        <w:t xml:space="preserve"> </w:t>
      </w:r>
      <w:r w:rsidRPr="004F6A42">
        <w:rPr>
          <w:lang w:val="es-HN"/>
        </w:rPr>
        <w:t>y los derechos humanos, la migración, la salud, la violencia y la inseguridad, la independencia judicial y el espacio democrático</w:t>
      </w:r>
      <w:r w:rsidRPr="001D0245">
        <w:rPr>
          <w:lang w:val="es-HN"/>
        </w:rPr>
        <w:t>;</w:t>
      </w:r>
      <w:r w:rsidRPr="004F6A42">
        <w:rPr>
          <w:lang w:val="es-HN"/>
        </w:rPr>
        <w:t xml:space="preserve"> centrándose en la situación de </w:t>
      </w:r>
      <w:r w:rsidR="008C4933">
        <w:rPr>
          <w:lang w:val="es-HN"/>
        </w:rPr>
        <w:t>las y los defensores</w:t>
      </w:r>
      <w:r w:rsidRPr="004F6A42">
        <w:rPr>
          <w:lang w:val="es-HN"/>
        </w:rPr>
        <w:t xml:space="preserve"> de los derechos humanos, los periodistas, las personas privadas de libertad, los pueblos indígenas y los afrodescendientes, las personas con discapacidad, las mujeres y las personas lesbianas, </w:t>
      </w:r>
      <w:r w:rsidR="008A7199" w:rsidRPr="001D0245">
        <w:rPr>
          <w:lang w:val="es-HN"/>
        </w:rPr>
        <w:t>gais</w:t>
      </w:r>
      <w:r w:rsidR="00EA0005">
        <w:rPr>
          <w:lang w:val="es-HN"/>
        </w:rPr>
        <w:t>, bisexuales, transgénero</w:t>
      </w:r>
      <w:r w:rsidRPr="004F6A42">
        <w:rPr>
          <w:lang w:val="es-HN"/>
        </w:rPr>
        <w:t xml:space="preserve"> e </w:t>
      </w:r>
      <w:r w:rsidRPr="00FC6088">
        <w:rPr>
          <w:lang w:val="es-HN"/>
        </w:rPr>
        <w:t>interse</w:t>
      </w:r>
      <w:r w:rsidR="00EA0005" w:rsidRPr="00FC6088">
        <w:rPr>
          <w:lang w:val="es-HN"/>
        </w:rPr>
        <w:t>x</w:t>
      </w:r>
      <w:r w:rsidR="00FC6088" w:rsidRPr="007D4A0E">
        <w:rPr>
          <w:lang w:val="es-HN"/>
        </w:rPr>
        <w:t>uales</w:t>
      </w:r>
      <w:r w:rsidRPr="00FC6088">
        <w:rPr>
          <w:lang w:val="es-HN"/>
        </w:rPr>
        <w:t>.</w:t>
      </w:r>
      <w:r w:rsidRPr="004F6A42">
        <w:rPr>
          <w:lang w:val="es-HN"/>
        </w:rPr>
        <w:t xml:space="preserve"> El informe destaca algunas de las actividades de la Oficina del Alto Comisionado de las Naciones Unidas para los Derechos Humanos en Honduras y concluye con recomendaciones</w:t>
      </w:r>
      <w:r w:rsidR="00EA0005">
        <w:rPr>
          <w:lang w:val="es-HN"/>
        </w:rPr>
        <w:t>.</w:t>
      </w:r>
    </w:p>
    <w:p w14:paraId="4FAEBBFF" w14:textId="0B5C7DC4" w:rsidR="00E81F68" w:rsidRPr="004F6A42" w:rsidRDefault="00E81F68" w:rsidP="00763CC8">
      <w:pPr>
        <w:ind w:left="709" w:right="1183"/>
        <w:jc w:val="both"/>
        <w:rPr>
          <w:lang w:val="es-HN"/>
        </w:rPr>
      </w:pPr>
    </w:p>
    <w:p w14:paraId="7651887D" w14:textId="6479FAD6" w:rsidR="00E81F68" w:rsidRPr="004F6A42" w:rsidRDefault="00E81F68" w:rsidP="00E81F68">
      <w:pPr>
        <w:ind w:right="1183"/>
        <w:jc w:val="both"/>
        <w:rPr>
          <w:lang w:val="es-HN"/>
        </w:rPr>
      </w:pPr>
    </w:p>
    <w:p w14:paraId="3698D1E3" w14:textId="12CE9708" w:rsidR="00E81F68" w:rsidRPr="004F6A42" w:rsidRDefault="00E81F68" w:rsidP="00E81F68">
      <w:pPr>
        <w:ind w:right="1183"/>
        <w:jc w:val="both"/>
        <w:rPr>
          <w:lang w:val="es-HN"/>
        </w:rPr>
      </w:pPr>
      <w:r w:rsidRPr="004F6A42">
        <w:rPr>
          <w:lang w:val="es-HN"/>
        </w:rPr>
        <w:t xml:space="preserve">* </w:t>
      </w:r>
      <w:r w:rsidR="003C526E" w:rsidRPr="004F6A42">
        <w:rPr>
          <w:lang w:val="es-HN"/>
        </w:rPr>
        <w:t>El presente informe se presentó fuera del plazo previsto para reflejar los acontecimientos recientes</w:t>
      </w:r>
      <w:r w:rsidR="00FF0AAC" w:rsidRPr="004F6A42">
        <w:rPr>
          <w:lang w:val="es-HN"/>
        </w:rPr>
        <w:t>.</w:t>
      </w:r>
    </w:p>
    <w:p w14:paraId="2B596934" w14:textId="73828CAF" w:rsidR="00E81F68" w:rsidRPr="004F6A42" w:rsidRDefault="00E81F68" w:rsidP="00E81F68">
      <w:pPr>
        <w:ind w:right="1183"/>
        <w:jc w:val="both"/>
        <w:rPr>
          <w:lang w:val="es-HN"/>
        </w:rPr>
      </w:pPr>
      <w:r w:rsidRPr="004F6A42">
        <w:rPr>
          <w:lang w:val="es-HN"/>
        </w:rPr>
        <w:t xml:space="preserve">** </w:t>
      </w:r>
      <w:r w:rsidR="003C526E" w:rsidRPr="004F6A42">
        <w:rPr>
          <w:lang w:val="es-HN"/>
        </w:rPr>
        <w:t>El resumen del informe se distribuye en todos los idiomas oficiales. El informe propiamente dicho, que figura en el anexo del resumen, únicamente se distribuye en el idioma en que se presentó y en español.</w:t>
      </w:r>
      <w:r w:rsidR="003C526E" w:rsidRPr="004F6A42" w:rsidDel="003C526E">
        <w:rPr>
          <w:lang w:val="es-HN"/>
        </w:rPr>
        <w:t xml:space="preserve"> </w:t>
      </w:r>
    </w:p>
    <w:p w14:paraId="59B8F20F" w14:textId="3F53F22D" w:rsidR="00E81F68" w:rsidRPr="004F6A42" w:rsidRDefault="00E81F68">
      <w:pPr>
        <w:suppressAutoHyphens w:val="0"/>
        <w:kinsoku/>
        <w:overflowPunct/>
        <w:autoSpaceDE/>
        <w:autoSpaceDN/>
        <w:adjustRightInd/>
        <w:snapToGrid/>
        <w:spacing w:after="200" w:line="276" w:lineRule="auto"/>
        <w:rPr>
          <w:lang w:val="es-HN"/>
        </w:rPr>
      </w:pPr>
      <w:r w:rsidRPr="004F6A42">
        <w:rPr>
          <w:lang w:val="es-HN"/>
        </w:rPr>
        <w:br w:type="page"/>
      </w:r>
    </w:p>
    <w:p w14:paraId="127E81D1" w14:textId="4E2A2E2A" w:rsidR="008E7D92" w:rsidRPr="004F6A42" w:rsidRDefault="00E81F68" w:rsidP="008E7D92">
      <w:pPr>
        <w:rPr>
          <w:b/>
          <w:sz w:val="28"/>
          <w:szCs w:val="28"/>
          <w:lang w:val="es-HN"/>
        </w:rPr>
      </w:pPr>
      <w:r w:rsidRPr="004F6A42">
        <w:rPr>
          <w:b/>
          <w:sz w:val="28"/>
          <w:szCs w:val="28"/>
          <w:lang w:val="es-HN"/>
        </w:rPr>
        <w:lastRenderedPageBreak/>
        <w:t>An</w:t>
      </w:r>
      <w:r w:rsidR="003C526E" w:rsidRPr="004F6A42">
        <w:rPr>
          <w:b/>
          <w:sz w:val="28"/>
          <w:szCs w:val="28"/>
          <w:lang w:val="es-HN"/>
        </w:rPr>
        <w:t>exo</w:t>
      </w:r>
    </w:p>
    <w:p w14:paraId="2588AE26" w14:textId="77777777" w:rsidR="001D0840" w:rsidRPr="004F6A42" w:rsidRDefault="001D0840" w:rsidP="008E7D92">
      <w:pPr>
        <w:rPr>
          <w:b/>
          <w:sz w:val="28"/>
          <w:szCs w:val="28"/>
          <w:lang w:val="es-HN"/>
        </w:rPr>
      </w:pPr>
    </w:p>
    <w:p w14:paraId="6F5AA575" w14:textId="0446BEDA" w:rsidR="00E81F68" w:rsidRPr="004F6A42" w:rsidRDefault="003C526E" w:rsidP="008E7D92">
      <w:pPr>
        <w:rPr>
          <w:b/>
          <w:sz w:val="28"/>
          <w:szCs w:val="28"/>
          <w:lang w:val="es-HN"/>
        </w:rPr>
      </w:pPr>
      <w:r w:rsidRPr="004F6A42">
        <w:rPr>
          <w:b/>
          <w:sz w:val="28"/>
          <w:szCs w:val="28"/>
          <w:lang w:val="es-HN"/>
        </w:rPr>
        <w:t>Informe de</w:t>
      </w:r>
      <w:r w:rsidR="00FC6088">
        <w:rPr>
          <w:b/>
          <w:sz w:val="28"/>
          <w:szCs w:val="28"/>
          <w:lang w:val="es-HN"/>
        </w:rPr>
        <w:t>l</w:t>
      </w:r>
      <w:r w:rsidRPr="004F6A42">
        <w:rPr>
          <w:b/>
          <w:sz w:val="28"/>
          <w:szCs w:val="28"/>
          <w:lang w:val="es-HN"/>
        </w:rPr>
        <w:t xml:space="preserve"> </w:t>
      </w:r>
      <w:r w:rsidR="00FC6088">
        <w:rPr>
          <w:b/>
          <w:sz w:val="28"/>
          <w:szCs w:val="28"/>
          <w:lang w:val="es-HN"/>
        </w:rPr>
        <w:t>Alto</w:t>
      </w:r>
      <w:r w:rsidRPr="004F6A42">
        <w:rPr>
          <w:b/>
          <w:sz w:val="28"/>
          <w:szCs w:val="28"/>
          <w:lang w:val="es-HN"/>
        </w:rPr>
        <w:t xml:space="preserve"> Comisionad</w:t>
      </w:r>
      <w:r w:rsidR="00FC6088">
        <w:rPr>
          <w:b/>
          <w:sz w:val="28"/>
          <w:szCs w:val="28"/>
          <w:lang w:val="es-HN"/>
        </w:rPr>
        <w:t>o</w:t>
      </w:r>
      <w:r w:rsidRPr="004F6A42">
        <w:rPr>
          <w:b/>
          <w:sz w:val="28"/>
          <w:szCs w:val="28"/>
          <w:lang w:val="es-HN"/>
        </w:rPr>
        <w:t xml:space="preserve"> de las Naciones Unidas para los Derechos Humanos sobre la situación de los derechos humanos en Honduras</w:t>
      </w:r>
      <w:r w:rsidRPr="004F6A42" w:rsidDel="003C526E">
        <w:rPr>
          <w:b/>
          <w:sz w:val="28"/>
          <w:szCs w:val="28"/>
          <w:lang w:val="es-HN"/>
        </w:rPr>
        <w:t xml:space="preserve"> </w:t>
      </w:r>
    </w:p>
    <w:p w14:paraId="76E61B3A" w14:textId="1F7FC9C5" w:rsidR="004311AC" w:rsidRPr="004F6A42" w:rsidRDefault="004311AC" w:rsidP="008F5D1E">
      <w:pPr>
        <w:pStyle w:val="HChG"/>
        <w:numPr>
          <w:ilvl w:val="0"/>
          <w:numId w:val="16"/>
        </w:numPr>
        <w:rPr>
          <w:lang w:val="es-HN"/>
        </w:rPr>
      </w:pPr>
      <w:r w:rsidRPr="004F6A42">
        <w:rPr>
          <w:lang w:val="es-HN"/>
        </w:rPr>
        <w:t>Introduc</w:t>
      </w:r>
      <w:r w:rsidR="003C526E" w:rsidRPr="004F6A42">
        <w:rPr>
          <w:lang w:val="es-HN"/>
        </w:rPr>
        <w:t>ción</w:t>
      </w:r>
      <w:r w:rsidRPr="004F6A42">
        <w:rPr>
          <w:lang w:val="es-HN"/>
        </w:rPr>
        <w:t xml:space="preserve"> </w:t>
      </w:r>
    </w:p>
    <w:p w14:paraId="43C4D33A" w14:textId="372B8527" w:rsidR="003C526E" w:rsidRPr="001D0DA1" w:rsidRDefault="003C526E" w:rsidP="003C526E">
      <w:pPr>
        <w:pStyle w:val="SingleTxtG"/>
        <w:numPr>
          <w:ilvl w:val="0"/>
          <w:numId w:val="15"/>
        </w:numPr>
        <w:rPr>
          <w:lang w:val="es-HN"/>
        </w:rPr>
      </w:pPr>
      <w:r w:rsidRPr="00FC6088">
        <w:rPr>
          <w:lang w:val="es-HN"/>
        </w:rPr>
        <w:t xml:space="preserve">El 4 de mayo de 2015, </w:t>
      </w:r>
      <w:r w:rsidR="00EA0005" w:rsidRPr="00FC6088">
        <w:rPr>
          <w:lang w:val="es-HN"/>
        </w:rPr>
        <w:t>el</w:t>
      </w:r>
      <w:r w:rsidRPr="00FC6088">
        <w:rPr>
          <w:lang w:val="es-HN"/>
        </w:rPr>
        <w:t xml:space="preserve"> Alt</w:t>
      </w:r>
      <w:r w:rsidR="00EA0005" w:rsidRPr="00E937D6">
        <w:rPr>
          <w:lang w:val="es-HN"/>
        </w:rPr>
        <w:t>o</w:t>
      </w:r>
      <w:r w:rsidRPr="00E937D6">
        <w:rPr>
          <w:lang w:val="es-HN"/>
        </w:rPr>
        <w:t xml:space="preserve"> Comisionad</w:t>
      </w:r>
      <w:r w:rsidR="00EA0005" w:rsidRPr="008C4933">
        <w:rPr>
          <w:lang w:val="es-HN"/>
        </w:rPr>
        <w:t>o</w:t>
      </w:r>
      <w:r w:rsidRPr="008C4933">
        <w:rPr>
          <w:lang w:val="es-HN"/>
        </w:rPr>
        <w:t xml:space="preserve"> de las Nac</w:t>
      </w:r>
      <w:r w:rsidRPr="001D0DA1">
        <w:rPr>
          <w:lang w:val="es-HN"/>
        </w:rPr>
        <w:t xml:space="preserve">iones Unidas para los Derechos Humanos firmó un acuerdo con el Gobierno de Honduras para establecer una oficina en el país con el mandato de vigilar la situación de los derechos humanos, ayudar a las instituciones del Estado a cumplir las leyes y normas internacionales de derechos humanos, así como </w:t>
      </w:r>
      <w:r w:rsidR="00EA0005" w:rsidRPr="001D0DA1">
        <w:rPr>
          <w:lang w:val="es-HN"/>
        </w:rPr>
        <w:t xml:space="preserve">sensibilizar y </w:t>
      </w:r>
      <w:r w:rsidRPr="001D0DA1">
        <w:rPr>
          <w:lang w:val="es-HN"/>
        </w:rPr>
        <w:t>promover el conocimiento de los derechos humanos.</w:t>
      </w:r>
    </w:p>
    <w:p w14:paraId="3AFAB650" w14:textId="1BA007E1" w:rsidR="00911D1C" w:rsidRPr="004F6A42" w:rsidRDefault="003C526E" w:rsidP="00CB502B">
      <w:pPr>
        <w:pStyle w:val="SingleTxtG"/>
        <w:numPr>
          <w:ilvl w:val="0"/>
          <w:numId w:val="15"/>
        </w:numPr>
        <w:rPr>
          <w:lang w:val="es-HN"/>
        </w:rPr>
      </w:pPr>
      <w:r w:rsidRPr="001D0245">
        <w:rPr>
          <w:lang w:val="es-HN"/>
        </w:rPr>
        <w:t xml:space="preserve">El presente informe se basa en la información recopilada mediante el </w:t>
      </w:r>
      <w:r w:rsidR="00EA0005">
        <w:rPr>
          <w:lang w:val="es-HN"/>
        </w:rPr>
        <w:t>monitoreo</w:t>
      </w:r>
      <w:r w:rsidRPr="001D0245">
        <w:rPr>
          <w:lang w:val="es-HN"/>
        </w:rPr>
        <w:t>, de conformidad con su mandato, llevado a cabo por la Oficina del Alto Comisionado de las Naciones Unidas para los Derechos Humanos (OACNUDH) en Honduras.</w:t>
      </w:r>
    </w:p>
    <w:p w14:paraId="0AB95C1D" w14:textId="64E253F3" w:rsidR="004311AC" w:rsidRPr="004F6A42" w:rsidRDefault="002D7967" w:rsidP="008F5D1E">
      <w:pPr>
        <w:pStyle w:val="HChG"/>
        <w:numPr>
          <w:ilvl w:val="0"/>
          <w:numId w:val="16"/>
        </w:numPr>
        <w:rPr>
          <w:lang w:val="es-HN"/>
        </w:rPr>
      </w:pPr>
      <w:r w:rsidRPr="004F6A42">
        <w:rPr>
          <w:lang w:val="es-HN"/>
        </w:rPr>
        <w:t>C</w:t>
      </w:r>
      <w:r w:rsidR="004311AC" w:rsidRPr="004F6A42">
        <w:rPr>
          <w:lang w:val="es-HN"/>
        </w:rPr>
        <w:t>ontext</w:t>
      </w:r>
      <w:r w:rsidR="003C526E" w:rsidRPr="004F6A42">
        <w:rPr>
          <w:lang w:val="es-HN"/>
        </w:rPr>
        <w:t>o</w:t>
      </w:r>
    </w:p>
    <w:p w14:paraId="29BB50B8" w14:textId="0C972FB6" w:rsidR="003C526E" w:rsidRPr="004F6A42" w:rsidRDefault="003C526E" w:rsidP="003C526E">
      <w:pPr>
        <w:pStyle w:val="SingleTxtG"/>
        <w:numPr>
          <w:ilvl w:val="0"/>
          <w:numId w:val="15"/>
        </w:numPr>
        <w:rPr>
          <w:lang w:val="es-HN"/>
        </w:rPr>
      </w:pPr>
      <w:r w:rsidRPr="004F6A42">
        <w:rPr>
          <w:lang w:val="es-HN"/>
        </w:rPr>
        <w:t xml:space="preserve">Durante el período que se ha examinado, Honduras siguió caracterizándose por una profunda crisis social y política, con altos niveles de pobreza, violencia e inseguridad. </w:t>
      </w:r>
      <w:r w:rsidR="00D15858">
        <w:rPr>
          <w:lang w:val="es-HN"/>
        </w:rPr>
        <w:t>El año también fue marcado por l</w:t>
      </w:r>
      <w:r w:rsidRPr="004F6A42">
        <w:rPr>
          <w:lang w:val="es-HN"/>
        </w:rPr>
        <w:t xml:space="preserve">os juicios en curso en los tribunales nacionales e internacionales que se ocupan de los casos de corrupción y de </w:t>
      </w:r>
      <w:r w:rsidR="00D15858">
        <w:rPr>
          <w:lang w:val="es-HN"/>
        </w:rPr>
        <w:t xml:space="preserve">la supuesta </w:t>
      </w:r>
      <w:r w:rsidRPr="004F6A42">
        <w:rPr>
          <w:lang w:val="es-HN"/>
        </w:rPr>
        <w:t>colusión entre los miembros de la clase política de Honduras y las redes delictivas</w:t>
      </w:r>
      <w:r w:rsidR="00106FFB">
        <w:rPr>
          <w:lang w:val="es-HN"/>
        </w:rPr>
        <w:t>.</w:t>
      </w:r>
      <w:r w:rsidRPr="004F6A42">
        <w:rPr>
          <w:lang w:val="es-HN"/>
        </w:rPr>
        <w:t>.</w:t>
      </w:r>
    </w:p>
    <w:p w14:paraId="5FFD6273" w14:textId="23EAAE96" w:rsidR="008F3391" w:rsidRPr="004F6A42" w:rsidRDefault="008A3E2A" w:rsidP="00EB3CB1">
      <w:pPr>
        <w:pStyle w:val="SingleTxtG"/>
        <w:numPr>
          <w:ilvl w:val="0"/>
          <w:numId w:val="15"/>
        </w:numPr>
        <w:rPr>
          <w:lang w:val="es-HN"/>
        </w:rPr>
      </w:pPr>
      <w:r>
        <w:rPr>
          <w:lang w:val="es-HN"/>
        </w:rPr>
        <w:t>D</w:t>
      </w:r>
      <w:r w:rsidR="00E21B1A">
        <w:rPr>
          <w:lang w:val="es-HN"/>
        </w:rPr>
        <w:t xml:space="preserve">ado que la credibilidad del sistema electoral fue afectada por las </w:t>
      </w:r>
      <w:r>
        <w:rPr>
          <w:lang w:val="es-HN"/>
        </w:rPr>
        <w:t xml:space="preserve">  </w:t>
      </w:r>
      <w:r w:rsidR="001D0245" w:rsidRPr="001D0245">
        <w:rPr>
          <w:lang w:val="es-HN"/>
        </w:rPr>
        <w:t>elecciones de 2017</w:t>
      </w:r>
      <w:r w:rsidR="00E21B1A">
        <w:rPr>
          <w:lang w:val="es-HN"/>
        </w:rPr>
        <w:t xml:space="preserve"> y en vista de las recomendaciones de las misiones internacionales de observación electoral (UE y OEA)</w:t>
      </w:r>
      <w:r w:rsidR="001D0245" w:rsidRPr="001D0245">
        <w:rPr>
          <w:lang w:val="es-HN"/>
        </w:rPr>
        <w:t xml:space="preserve">, las reformas electorales prevalecieron en la agenda del </w:t>
      </w:r>
      <w:r w:rsidR="00BD0D68">
        <w:rPr>
          <w:lang w:val="es-HN"/>
        </w:rPr>
        <w:t>P</w:t>
      </w:r>
      <w:r w:rsidR="00051728">
        <w:rPr>
          <w:lang w:val="es-HN"/>
        </w:rPr>
        <w:t xml:space="preserve">oder </w:t>
      </w:r>
      <w:r w:rsidR="00BD0D68">
        <w:rPr>
          <w:lang w:val="es-HN"/>
        </w:rPr>
        <w:t>L</w:t>
      </w:r>
      <w:r w:rsidR="001D0245" w:rsidRPr="001D0245">
        <w:rPr>
          <w:lang w:val="es-HN"/>
        </w:rPr>
        <w:t xml:space="preserve">egislativo. En febrero, el Congreso aprobó un decreto por el que se dividió el antiguo Tribunal Supremo Electoral en el Consejo Nacional Electoral y el Tribunal de Justicia Electoral, y se amplió el número de comisionados del Registro Nacional de las Personas, de tres a cinco. </w:t>
      </w:r>
      <w:r w:rsidR="001D0245" w:rsidRPr="00E53064">
        <w:rPr>
          <w:lang w:val="es-HN"/>
        </w:rPr>
        <w:t xml:space="preserve">El </w:t>
      </w:r>
      <w:r w:rsidR="00E21B1A">
        <w:rPr>
          <w:lang w:val="es-HN"/>
        </w:rPr>
        <w:t xml:space="preserve">mencionado </w:t>
      </w:r>
      <w:r w:rsidR="001D0245" w:rsidRPr="00E53064">
        <w:rPr>
          <w:lang w:val="es-HN"/>
        </w:rPr>
        <w:t xml:space="preserve">decreto </w:t>
      </w:r>
      <w:r w:rsidR="00E21B1A">
        <w:rPr>
          <w:lang w:val="es-HN"/>
        </w:rPr>
        <w:t>regula el funcionamiento de las dos nuevas entidades electorales y deja vigente la normativa electoral que no fue modificada por las reformas. De acuerdo a expertos electorales que han visitado Honduras, esta situaci</w:t>
      </w:r>
      <w:r w:rsidR="00FD7279">
        <w:rPr>
          <w:lang w:val="es-HN"/>
        </w:rPr>
        <w:t xml:space="preserve">ón ha devenido en </w:t>
      </w:r>
      <w:r w:rsidR="00E21B1A">
        <w:rPr>
          <w:lang w:val="es-HN"/>
        </w:rPr>
        <w:t>i</w:t>
      </w:r>
      <w:r w:rsidR="001D0245" w:rsidRPr="00E53064">
        <w:rPr>
          <w:lang w:val="es-HN"/>
        </w:rPr>
        <w:t xml:space="preserve">nconsistencias y ambigüedades que </w:t>
      </w:r>
      <w:r w:rsidR="00E21B1A">
        <w:rPr>
          <w:lang w:val="es-HN"/>
        </w:rPr>
        <w:t>representan desafíos para garantizar</w:t>
      </w:r>
      <w:r w:rsidR="001D0245" w:rsidRPr="00E53064">
        <w:rPr>
          <w:lang w:val="es-HN"/>
        </w:rPr>
        <w:t xml:space="preserve"> un proceso transparente en las elecciones presidenciales de 2021.</w:t>
      </w:r>
      <w:r w:rsidR="001D0245" w:rsidRPr="001D0245">
        <w:rPr>
          <w:lang w:val="es-HN"/>
        </w:rPr>
        <w:t xml:space="preserve"> Además, el decreto no aborda las cuestiones cruciales relacionadas con la reelección presidencial y la segunda vuelta electoral</w:t>
      </w:r>
      <w:r w:rsidR="008F3391" w:rsidRPr="004F6A42">
        <w:rPr>
          <w:lang w:val="es-HN"/>
        </w:rPr>
        <w:t xml:space="preserve">. </w:t>
      </w:r>
      <w:r w:rsidR="00E21B1A">
        <w:rPr>
          <w:lang w:val="es-HN"/>
        </w:rPr>
        <w:t xml:space="preserve">El 24 de septiembre, el Congreso designo a los miembros de las dos comisiones encargadas de redactar las dos leyes que regulen el funcionamiento de los nuevos órganos electorales. Se </w:t>
      </w:r>
      <w:r w:rsidR="00E21B1A">
        <w:rPr>
          <w:lang w:val="es-HN"/>
        </w:rPr>
        <w:lastRenderedPageBreak/>
        <w:t>espera que el Congreso Nacional adopte la nueva legislación durante el primer semestre del 2020</w:t>
      </w:r>
    </w:p>
    <w:p w14:paraId="16B6CB0B" w14:textId="564882DB" w:rsidR="008E0E50" w:rsidRPr="004F6A42" w:rsidRDefault="003C526E" w:rsidP="000B6CD2">
      <w:pPr>
        <w:pStyle w:val="SingleTxtG"/>
        <w:numPr>
          <w:ilvl w:val="0"/>
          <w:numId w:val="15"/>
        </w:numPr>
        <w:rPr>
          <w:lang w:val="es-HN"/>
        </w:rPr>
      </w:pPr>
      <w:r w:rsidRPr="004F6A42">
        <w:rPr>
          <w:lang w:val="es-HN"/>
        </w:rPr>
        <w:t>En</w:t>
      </w:r>
      <w:r w:rsidRPr="001D0245">
        <w:rPr>
          <w:lang w:val="es-HN"/>
        </w:rPr>
        <w:t xml:space="preserve"> el mes de</w:t>
      </w:r>
      <w:r w:rsidRPr="004F6A42">
        <w:rPr>
          <w:lang w:val="es-HN"/>
        </w:rPr>
        <w:t xml:space="preserve"> septiembre, el proceso de nombramiento de las autoridades electorales, regulado por una ley ad hoc aprobada el 19 de agosto,</w:t>
      </w:r>
      <w:r w:rsidRPr="004F6A42">
        <w:rPr>
          <w:rStyle w:val="FootnoteReference"/>
          <w:lang w:val="es-HN"/>
        </w:rPr>
        <w:t xml:space="preserve"> </w:t>
      </w:r>
      <w:r w:rsidRPr="004F6A42">
        <w:rPr>
          <w:rStyle w:val="FootnoteReference"/>
          <w:lang w:val="es-HN"/>
        </w:rPr>
        <w:footnoteReference w:id="2"/>
      </w:r>
      <w:r w:rsidRPr="004F6A42">
        <w:rPr>
          <w:lang w:val="es-HN"/>
        </w:rPr>
        <w:t xml:space="preserve"> </w:t>
      </w:r>
      <w:r w:rsidR="00E21B1A">
        <w:rPr>
          <w:lang w:val="es-HN"/>
        </w:rPr>
        <w:t>fue criticada por sectores de la sociedad civil por su</w:t>
      </w:r>
      <w:r w:rsidRPr="004F6A42">
        <w:rPr>
          <w:lang w:val="es-HN"/>
        </w:rPr>
        <w:t xml:space="preserve"> falta de participación ciudadana</w:t>
      </w:r>
      <w:r w:rsidRPr="001D0245">
        <w:rPr>
          <w:lang w:val="es-HN"/>
        </w:rPr>
        <w:t>, así como de</w:t>
      </w:r>
      <w:r w:rsidRPr="004F6A42">
        <w:rPr>
          <w:lang w:val="es-HN"/>
        </w:rPr>
        <w:t xml:space="preserve"> transparencia, prevaleciendo la afiliación partidaria sobre cualquier otro criterio.</w:t>
      </w:r>
      <w:r w:rsidRPr="004F6A42">
        <w:rPr>
          <w:rStyle w:val="FootnoteReference"/>
          <w:lang w:val="es-HN"/>
        </w:rPr>
        <w:t xml:space="preserve"> </w:t>
      </w:r>
      <w:r w:rsidRPr="004F6A42">
        <w:rPr>
          <w:rStyle w:val="FootnoteReference"/>
          <w:lang w:val="es-HN"/>
        </w:rPr>
        <w:footnoteReference w:id="3"/>
      </w:r>
      <w:r w:rsidRPr="004F6A42">
        <w:rPr>
          <w:lang w:val="es-HN"/>
        </w:rPr>
        <w:t xml:space="preserve">  </w:t>
      </w:r>
    </w:p>
    <w:p w14:paraId="6FB887E3" w14:textId="20256E17" w:rsidR="00375207" w:rsidRPr="004F6A42" w:rsidRDefault="003C526E" w:rsidP="00375207">
      <w:pPr>
        <w:pStyle w:val="SingleTxtG"/>
        <w:numPr>
          <w:ilvl w:val="0"/>
          <w:numId w:val="15"/>
        </w:numPr>
        <w:rPr>
          <w:lang w:val="es-HN"/>
        </w:rPr>
      </w:pPr>
      <w:r w:rsidRPr="004F6A42">
        <w:rPr>
          <w:lang w:val="es-HN"/>
        </w:rPr>
        <w:t xml:space="preserve">En mayo, el Congreso publicó el decreto sobre el nuevo </w:t>
      </w:r>
      <w:r w:rsidR="001D0DA1">
        <w:rPr>
          <w:lang w:val="es-HN"/>
        </w:rPr>
        <w:t>C</w:t>
      </w:r>
      <w:r w:rsidRPr="004F6A42">
        <w:rPr>
          <w:lang w:val="es-HN"/>
        </w:rPr>
        <w:t xml:space="preserve">ódigo </w:t>
      </w:r>
      <w:r w:rsidR="001D0DA1">
        <w:rPr>
          <w:lang w:val="es-HN"/>
        </w:rPr>
        <w:t>P</w:t>
      </w:r>
      <w:r w:rsidRPr="004F6A42">
        <w:rPr>
          <w:lang w:val="es-HN"/>
        </w:rPr>
        <w:t>enal,</w:t>
      </w:r>
      <w:r w:rsidRPr="004F6A42">
        <w:rPr>
          <w:rStyle w:val="FootnoteReference"/>
          <w:lang w:val="es-HN"/>
        </w:rPr>
        <w:t xml:space="preserve"> </w:t>
      </w:r>
      <w:r w:rsidRPr="004F6A42">
        <w:rPr>
          <w:rStyle w:val="FootnoteReference"/>
          <w:lang w:val="es-HN"/>
        </w:rPr>
        <w:footnoteReference w:id="4"/>
      </w:r>
      <w:r w:rsidR="00432037">
        <w:rPr>
          <w:lang w:val="es-HN"/>
        </w:rPr>
        <w:t xml:space="preserve"> </w:t>
      </w:r>
      <w:r w:rsidRPr="004F6A42">
        <w:rPr>
          <w:lang w:val="es-HN"/>
        </w:rPr>
        <w:t>que, en opinión de</w:t>
      </w:r>
      <w:r w:rsidRPr="001D0245">
        <w:rPr>
          <w:lang w:val="es-HN"/>
        </w:rPr>
        <w:t xml:space="preserve"> </w:t>
      </w:r>
      <w:r w:rsidRPr="004F6A42">
        <w:rPr>
          <w:lang w:val="es-HN"/>
        </w:rPr>
        <w:t>l</w:t>
      </w:r>
      <w:r w:rsidRPr="001D0245">
        <w:rPr>
          <w:lang w:val="es-HN"/>
        </w:rPr>
        <w:t>a</w:t>
      </w:r>
      <w:r w:rsidRPr="004F6A42">
        <w:rPr>
          <w:lang w:val="es-HN"/>
        </w:rPr>
        <w:t xml:space="preserve"> </w:t>
      </w:r>
      <w:r w:rsidRPr="001D0245">
        <w:rPr>
          <w:lang w:val="es-HN"/>
        </w:rPr>
        <w:t>O</w:t>
      </w:r>
      <w:r w:rsidRPr="004F6A42">
        <w:rPr>
          <w:lang w:val="es-HN"/>
        </w:rPr>
        <w:t>ACNUDH, está por debajo de las normas internacionales y regionales de derechos humanos en lo que respecta a la calificación de los delitos penales de corrupción, violencia contra la mujer</w:t>
      </w:r>
      <w:r w:rsidR="009F6B84">
        <w:rPr>
          <w:lang w:val="es-HN"/>
        </w:rPr>
        <w:t xml:space="preserve"> </w:t>
      </w:r>
      <w:r w:rsidR="009F6B84" w:rsidRPr="00FC6088">
        <w:rPr>
          <w:lang w:val="es-HN"/>
        </w:rPr>
        <w:t>y</w:t>
      </w:r>
      <w:r w:rsidRPr="00E937D6">
        <w:rPr>
          <w:lang w:val="es-HN"/>
        </w:rPr>
        <w:t xml:space="preserve"> </w:t>
      </w:r>
      <w:r w:rsidR="00432037">
        <w:rPr>
          <w:lang w:val="es-HN"/>
        </w:rPr>
        <w:t xml:space="preserve">aquellos </w:t>
      </w:r>
      <w:r w:rsidRPr="008C4933">
        <w:rPr>
          <w:lang w:val="es-HN"/>
        </w:rPr>
        <w:t>que afectan a la libertad</w:t>
      </w:r>
      <w:r w:rsidRPr="004F6A42">
        <w:rPr>
          <w:lang w:val="es-HN"/>
        </w:rPr>
        <w:t xml:space="preserve"> de expresión y de reunión.</w:t>
      </w:r>
      <w:r w:rsidRPr="004F6A42">
        <w:rPr>
          <w:rStyle w:val="FootnoteReference"/>
          <w:lang w:val="es-HN"/>
        </w:rPr>
        <w:footnoteReference w:id="5"/>
      </w:r>
      <w:r w:rsidR="00432037">
        <w:rPr>
          <w:lang w:val="es-HN"/>
        </w:rPr>
        <w:t xml:space="preserve"> </w:t>
      </w:r>
      <w:r w:rsidRPr="004F6A42">
        <w:rPr>
          <w:lang w:val="es-HN"/>
        </w:rPr>
        <w:t xml:space="preserve">Entre otras preocupaciones, la propuesta reduce las penas de prisión por delitos contra la administración pública como el lavado de dinero, el fraude y la malversación de fondos. La Misión </w:t>
      </w:r>
      <w:r w:rsidRPr="001D0245">
        <w:rPr>
          <w:lang w:val="es-HN"/>
        </w:rPr>
        <w:t>de Apoyo c</w:t>
      </w:r>
      <w:r w:rsidRPr="004F6A42">
        <w:rPr>
          <w:lang w:val="es-HN"/>
        </w:rPr>
        <w:t>ontra la Impunidad y la Corrupción en Honduras (MACCIH) alertó que esta reducción de sanciones, combinada con e</w:t>
      </w:r>
      <w:r w:rsidR="00432037">
        <w:rPr>
          <w:lang w:val="es-HN"/>
        </w:rPr>
        <w:t>l principio de retroactividad -</w:t>
      </w:r>
      <w:r w:rsidRPr="004F6A42">
        <w:rPr>
          <w:lang w:val="es-HN"/>
        </w:rPr>
        <w:t xml:space="preserve">que </w:t>
      </w:r>
      <w:r w:rsidR="00432037">
        <w:rPr>
          <w:lang w:val="es-HN"/>
        </w:rPr>
        <w:t>permitiría</w:t>
      </w:r>
      <w:r w:rsidRPr="004F6A42">
        <w:rPr>
          <w:lang w:val="es-HN"/>
        </w:rPr>
        <w:t xml:space="preserve"> la aplicación de sanciones penales más indulgentes en los casos de corrupción en curso - </w:t>
      </w:r>
      <w:r w:rsidR="000259BD">
        <w:rPr>
          <w:lang w:val="es-HN"/>
        </w:rPr>
        <w:t>socava</w:t>
      </w:r>
      <w:r w:rsidR="000259BD" w:rsidRPr="004F6A42">
        <w:rPr>
          <w:lang w:val="es-HN"/>
        </w:rPr>
        <w:t xml:space="preserve"> </w:t>
      </w:r>
      <w:r w:rsidRPr="004F6A42">
        <w:rPr>
          <w:lang w:val="es-HN"/>
        </w:rPr>
        <w:t>la lucha contra la impunidad.</w:t>
      </w:r>
      <w:r w:rsidRPr="004F6A42">
        <w:rPr>
          <w:rStyle w:val="FootnoteReference"/>
          <w:lang w:val="es-HN"/>
        </w:rPr>
        <w:t xml:space="preserve"> </w:t>
      </w:r>
      <w:r w:rsidRPr="004F6A42">
        <w:rPr>
          <w:rStyle w:val="FootnoteReference"/>
          <w:lang w:val="es-HN"/>
        </w:rPr>
        <w:footnoteReference w:id="6"/>
      </w:r>
    </w:p>
    <w:p w14:paraId="76F4AE6B" w14:textId="505F608B" w:rsidR="00F00148" w:rsidRPr="004F6A42" w:rsidRDefault="0024437E" w:rsidP="00375207">
      <w:pPr>
        <w:pStyle w:val="SingleTxtG"/>
        <w:numPr>
          <w:ilvl w:val="0"/>
          <w:numId w:val="15"/>
        </w:numPr>
        <w:ind w:hanging="219"/>
        <w:rPr>
          <w:lang w:val="es-HN"/>
        </w:rPr>
      </w:pPr>
      <w:r w:rsidRPr="004F6A42">
        <w:rPr>
          <w:lang w:val="es-HN"/>
        </w:rPr>
        <w:t>El texto también reduce las penas de prisión por femicidios a 15 años (de una pena máxima de 40 años a 25 años) y sólo prevé una pena de 1 a 4 años para un nuevo delito penal sobre la violencia contra la mujer. La prohibición del aborto en todas las circunstancias, incluidos los casos de violación o incesto, cuando la vida y</w:t>
      </w:r>
      <w:r w:rsidRPr="001D0245">
        <w:rPr>
          <w:lang w:val="es-HN"/>
        </w:rPr>
        <w:t xml:space="preserve"> </w:t>
      </w:r>
      <w:r w:rsidRPr="004F6A42">
        <w:rPr>
          <w:lang w:val="es-HN"/>
        </w:rPr>
        <w:t>/o la salud de las mujeres embarazadas corren peligro y en los casos de grave deficiencia fetal,</w:t>
      </w:r>
      <w:r w:rsidR="009F6B84">
        <w:rPr>
          <w:lang w:val="es-HN"/>
        </w:rPr>
        <w:t xml:space="preserve"> </w:t>
      </w:r>
      <w:r w:rsidRPr="004F6A42">
        <w:rPr>
          <w:lang w:val="es-HN"/>
        </w:rPr>
        <w:t>ha recibido críticas</w:t>
      </w:r>
      <w:r w:rsidR="00E642D9" w:rsidRPr="004F6A42">
        <w:rPr>
          <w:lang w:val="es-HN"/>
        </w:rPr>
        <w:t>.</w:t>
      </w:r>
      <w:r w:rsidR="00B62C6F" w:rsidRPr="004F6A42">
        <w:rPr>
          <w:rStyle w:val="FootnoteReference"/>
          <w:lang w:val="es-HN"/>
        </w:rPr>
        <w:footnoteReference w:id="7"/>
      </w:r>
      <w:r w:rsidR="00F00148" w:rsidRPr="004F6A42">
        <w:rPr>
          <w:lang w:val="es-HN"/>
        </w:rPr>
        <w:t xml:space="preserve"> </w:t>
      </w:r>
      <w:r w:rsidRPr="001D0245">
        <w:rPr>
          <w:lang w:val="es-HN"/>
        </w:rPr>
        <w:t>A la OACNUDH le preocupan los efectos negativos del nuevo código penal en cuanto a</w:t>
      </w:r>
      <w:r w:rsidR="009F6B84">
        <w:rPr>
          <w:lang w:val="es-HN"/>
        </w:rPr>
        <w:t>l</w:t>
      </w:r>
      <w:r w:rsidRPr="001D0245">
        <w:rPr>
          <w:lang w:val="es-HN"/>
        </w:rPr>
        <w:t xml:space="preserve"> derecho </w:t>
      </w:r>
      <w:r w:rsidR="009F6B84">
        <w:rPr>
          <w:lang w:val="es-HN"/>
        </w:rPr>
        <w:t>de</w:t>
      </w:r>
      <w:r w:rsidRPr="001D0245">
        <w:rPr>
          <w:lang w:val="es-HN"/>
        </w:rPr>
        <w:t xml:space="preserve"> libertad de opinión y de expresión, la continua criminalización de las conductas como</w:t>
      </w:r>
      <w:r w:rsidR="0068066D">
        <w:rPr>
          <w:lang w:val="es-HN"/>
        </w:rPr>
        <w:t xml:space="preserve"> </w:t>
      </w:r>
      <w:r w:rsidRPr="001D0245">
        <w:rPr>
          <w:lang w:val="es-HN"/>
        </w:rPr>
        <w:t xml:space="preserve">la </w:t>
      </w:r>
      <w:r w:rsidRPr="00FC6088">
        <w:rPr>
          <w:lang w:val="es-HN"/>
        </w:rPr>
        <w:t>difamación</w:t>
      </w:r>
      <w:r w:rsidR="0068066D" w:rsidRPr="00FC6088">
        <w:rPr>
          <w:lang w:val="es-HN"/>
        </w:rPr>
        <w:t xml:space="preserve"> </w:t>
      </w:r>
      <w:r w:rsidRPr="00FC6088">
        <w:rPr>
          <w:lang w:val="es-HN"/>
        </w:rPr>
        <w:t>y calumnia,</w:t>
      </w:r>
      <w:r w:rsidRPr="001D0245">
        <w:rPr>
          <w:lang w:val="es-HN"/>
        </w:rPr>
        <w:t xml:space="preserve"> y la introducción de la responsabilidad penal por los delitos cometidos a través de los medios de comunicación. Numerosos grupos, en particular la sociedad civil, el sector privado y l</w:t>
      </w:r>
      <w:r w:rsidR="0068066D">
        <w:rPr>
          <w:lang w:val="es-HN"/>
        </w:rPr>
        <w:t>a</w:t>
      </w:r>
      <w:r w:rsidRPr="001D0245">
        <w:rPr>
          <w:lang w:val="es-HN"/>
        </w:rPr>
        <w:t xml:space="preserve"> acad</w:t>
      </w:r>
      <w:r w:rsidR="0068066D">
        <w:rPr>
          <w:lang w:val="es-HN"/>
        </w:rPr>
        <w:t>emia</w:t>
      </w:r>
      <w:r w:rsidRPr="001D0245">
        <w:rPr>
          <w:lang w:val="es-HN"/>
        </w:rPr>
        <w:t xml:space="preserve"> pidieron </w:t>
      </w:r>
      <w:r w:rsidRPr="001D0245">
        <w:rPr>
          <w:lang w:val="es-HN"/>
        </w:rPr>
        <w:lastRenderedPageBreak/>
        <w:t xml:space="preserve">al Congreso que derogara el texto o aplazara su entrada en vigor. </w:t>
      </w:r>
      <w:r w:rsidR="00375207" w:rsidRPr="004F6A42">
        <w:rPr>
          <w:rStyle w:val="FootnoteReference"/>
          <w:lang w:val="es-HN"/>
        </w:rPr>
        <w:footnoteReference w:id="8"/>
      </w:r>
      <w:r w:rsidR="00375207" w:rsidRPr="004F6A42">
        <w:rPr>
          <w:lang w:val="es-HN"/>
        </w:rPr>
        <w:t xml:space="preserve"> </w:t>
      </w:r>
      <w:r w:rsidRPr="001D0245">
        <w:rPr>
          <w:lang w:val="es-HN"/>
        </w:rPr>
        <w:t xml:space="preserve">La </w:t>
      </w:r>
      <w:r w:rsidRPr="004F6A42">
        <w:rPr>
          <w:i/>
          <w:iCs/>
          <w:lang w:val="es-HN"/>
        </w:rPr>
        <w:t>vacatio legis</w:t>
      </w:r>
      <w:r w:rsidRPr="001D0245">
        <w:rPr>
          <w:lang w:val="es-HN"/>
        </w:rPr>
        <w:t xml:space="preserve"> se prorrogó hasta el 10 de mayo de 2020</w:t>
      </w:r>
      <w:r w:rsidR="00BE1420">
        <w:rPr>
          <w:rStyle w:val="FootnoteReference"/>
          <w:lang w:val="es-HN"/>
        </w:rPr>
        <w:footnoteReference w:id="9"/>
      </w:r>
      <w:r w:rsidRPr="001D0245">
        <w:rPr>
          <w:lang w:val="es-HN"/>
        </w:rPr>
        <w:t>.</w:t>
      </w:r>
    </w:p>
    <w:p w14:paraId="49648AC8" w14:textId="477414F5" w:rsidR="004F34CA" w:rsidRPr="004F6A42" w:rsidRDefault="0024437E" w:rsidP="0016388D">
      <w:pPr>
        <w:pStyle w:val="ListParagraph"/>
        <w:numPr>
          <w:ilvl w:val="0"/>
          <w:numId w:val="15"/>
        </w:numPr>
        <w:spacing w:after="240"/>
        <w:ind w:right="1134"/>
        <w:jc w:val="both"/>
        <w:rPr>
          <w:lang w:val="es-HN"/>
        </w:rPr>
      </w:pPr>
      <w:r w:rsidRPr="004F6A42">
        <w:rPr>
          <w:lang w:val="es-HN"/>
        </w:rPr>
        <w:t xml:space="preserve">Durante el año se registraron varias causas penales de alto nivel en los tribunales nacionales e internacionales contra antiguos y actuales funcionarios </w:t>
      </w:r>
      <w:r w:rsidR="0068066D">
        <w:rPr>
          <w:lang w:val="es-HN"/>
        </w:rPr>
        <w:t>estatales</w:t>
      </w:r>
      <w:r w:rsidRPr="004F6A42">
        <w:rPr>
          <w:lang w:val="es-HN"/>
        </w:rPr>
        <w:t>,</w:t>
      </w:r>
      <w:r w:rsidR="0016388D">
        <w:rPr>
          <w:lang w:val="es-HN"/>
        </w:rPr>
        <w:t xml:space="preserve"> </w:t>
      </w:r>
      <w:r w:rsidR="0016388D" w:rsidRPr="0016388D">
        <w:rPr>
          <w:lang w:val="es-HN"/>
        </w:rPr>
        <w:t>directores de empresas estatales</w:t>
      </w:r>
      <w:r w:rsidR="0016388D">
        <w:rPr>
          <w:lang w:val="es-HN"/>
        </w:rPr>
        <w:t>,</w:t>
      </w:r>
      <w:r w:rsidRPr="004F6A42">
        <w:rPr>
          <w:lang w:val="es-HN"/>
        </w:rPr>
        <w:t xml:space="preserve"> así como contra </w:t>
      </w:r>
      <w:r w:rsidR="00FC6088">
        <w:rPr>
          <w:lang w:val="es-HN"/>
        </w:rPr>
        <w:t>figura</w:t>
      </w:r>
      <w:r w:rsidR="00432037">
        <w:rPr>
          <w:lang w:val="es-HN"/>
        </w:rPr>
        <w:t>s</w:t>
      </w:r>
      <w:r w:rsidR="00FC6088">
        <w:rPr>
          <w:lang w:val="es-HN"/>
        </w:rPr>
        <w:t xml:space="preserve"> </w:t>
      </w:r>
      <w:r w:rsidRPr="00FC6088">
        <w:rPr>
          <w:lang w:val="es-HN"/>
        </w:rPr>
        <w:t>polític</w:t>
      </w:r>
      <w:r w:rsidR="00FC6088" w:rsidRPr="007D4A0E">
        <w:rPr>
          <w:lang w:val="es-HN"/>
        </w:rPr>
        <w:t>a</w:t>
      </w:r>
      <w:r w:rsidR="00432037">
        <w:rPr>
          <w:lang w:val="es-HN"/>
        </w:rPr>
        <w:t>s</w:t>
      </w:r>
      <w:r w:rsidRPr="00FC6088">
        <w:rPr>
          <w:lang w:val="es-HN"/>
        </w:rPr>
        <w:t xml:space="preserve"> de alto</w:t>
      </w:r>
      <w:r w:rsidRPr="00E937D6">
        <w:rPr>
          <w:lang w:val="es-HN"/>
        </w:rPr>
        <w:t xml:space="preserve"> </w:t>
      </w:r>
      <w:r w:rsidR="00FC6088" w:rsidRPr="00E937D6">
        <w:rPr>
          <w:lang w:val="es-HN"/>
        </w:rPr>
        <w:t xml:space="preserve">nivel </w:t>
      </w:r>
      <w:r w:rsidRPr="00E937D6">
        <w:rPr>
          <w:lang w:val="es-HN"/>
        </w:rPr>
        <w:t>y</w:t>
      </w:r>
      <w:r w:rsidRPr="004F6A42">
        <w:rPr>
          <w:lang w:val="es-HN"/>
        </w:rPr>
        <w:t xml:space="preserve"> sus familiares</w:t>
      </w:r>
      <w:r w:rsidRPr="007D4A0E">
        <w:rPr>
          <w:shd w:val="clear" w:color="auto" w:fill="FFFFFF" w:themeFill="background1"/>
          <w:lang w:val="es-HN"/>
        </w:rPr>
        <w:t>. En septiembre, la Unidad Especial contra la Impunidad de la Corrupción (UFECIC)</w:t>
      </w:r>
      <w:r w:rsidR="00BD0D68">
        <w:rPr>
          <w:shd w:val="clear" w:color="auto" w:fill="FFFFFF" w:themeFill="background1"/>
          <w:lang w:val="es-HN"/>
        </w:rPr>
        <w:t xml:space="preserve"> del Ministerio Público</w:t>
      </w:r>
      <w:r w:rsidRPr="007D4A0E">
        <w:rPr>
          <w:shd w:val="clear" w:color="auto" w:fill="FFFFFF" w:themeFill="background1"/>
          <w:lang w:val="es-HN"/>
        </w:rPr>
        <w:t>, presentó el décimo tercer caso con el apoyo de la MACCIH, con lo que el número de personas</w:t>
      </w:r>
      <w:r w:rsidRPr="004F6A42">
        <w:rPr>
          <w:lang w:val="es-HN"/>
        </w:rPr>
        <w:t xml:space="preserve"> investigadas por corrupción ascendió a unas 400 personas.</w:t>
      </w:r>
      <w:r w:rsidR="000130F6" w:rsidRPr="004F6A42">
        <w:rPr>
          <w:lang w:val="es-HN"/>
        </w:rPr>
        <w:t xml:space="preserve"> </w:t>
      </w:r>
      <w:r w:rsidRPr="001D0245">
        <w:rPr>
          <w:lang w:val="es-HN"/>
        </w:rPr>
        <w:t>El Gobierno anunció que iniciaría conversaciones con la Organización de Estados Americanos (OEA) sobre la próxima fase de la MACCIH</w:t>
      </w:r>
      <w:r w:rsidR="00E642D9" w:rsidRPr="004F6A42">
        <w:rPr>
          <w:lang w:val="es-HN"/>
        </w:rPr>
        <w:t>,</w:t>
      </w:r>
      <w:r w:rsidRPr="001D0245">
        <w:rPr>
          <w:lang w:val="es-HN"/>
        </w:rPr>
        <w:t xml:space="preserve"> </w:t>
      </w:r>
      <w:r w:rsidR="009B791B" w:rsidRPr="004F6A42">
        <w:rPr>
          <w:rStyle w:val="FootnoteReference"/>
          <w:lang w:val="es-HN"/>
        </w:rPr>
        <w:footnoteReference w:id="10"/>
      </w:r>
      <w:r w:rsidR="004F34CA" w:rsidRPr="004F6A42">
        <w:rPr>
          <w:lang w:val="es-HN"/>
        </w:rPr>
        <w:t xml:space="preserve"> </w:t>
      </w:r>
      <w:r w:rsidRPr="001D0245">
        <w:rPr>
          <w:lang w:val="es-HN"/>
        </w:rPr>
        <w:t xml:space="preserve">cuyo mandato actual expira el 19 de enero de 2020. A petición del Gobierno, la OEA </w:t>
      </w:r>
      <w:r w:rsidR="003E093B">
        <w:rPr>
          <w:lang w:val="es-HN"/>
        </w:rPr>
        <w:t>publicó</w:t>
      </w:r>
      <w:r w:rsidR="003E093B" w:rsidRPr="001D0245">
        <w:rPr>
          <w:lang w:val="es-HN"/>
        </w:rPr>
        <w:t xml:space="preserve"> </w:t>
      </w:r>
      <w:r w:rsidRPr="001D0245">
        <w:rPr>
          <w:lang w:val="es-HN"/>
        </w:rPr>
        <w:t>el 9 de diciembre una "evaluación integral" de su desempeño, en la que recomienda la prórroga del acuerdo existente</w:t>
      </w:r>
      <w:r w:rsidR="004F34CA" w:rsidRPr="004F6A42">
        <w:rPr>
          <w:lang w:val="es-HN"/>
        </w:rPr>
        <w:t xml:space="preserve">. </w:t>
      </w:r>
    </w:p>
    <w:p w14:paraId="5F46C3F9" w14:textId="7383B7C2" w:rsidR="00E70ACF" w:rsidRPr="004F6A42" w:rsidRDefault="0024437E" w:rsidP="001D0840">
      <w:pPr>
        <w:pStyle w:val="SingleTxtG"/>
        <w:numPr>
          <w:ilvl w:val="0"/>
          <w:numId w:val="15"/>
        </w:numPr>
        <w:spacing w:after="240"/>
        <w:rPr>
          <w:lang w:val="es-HN"/>
        </w:rPr>
      </w:pPr>
      <w:r w:rsidRPr="004F6A42">
        <w:rPr>
          <w:lang w:val="es-HN"/>
        </w:rPr>
        <w:t xml:space="preserve">En octubre, un tribunal de los Estados Unidos de América condenó al hermano del Presidente de Honduras y ex miembro del Congreso, Tony Hernández, por cargos de posesión y tráfico de drogas y armas. El veredicto atrajo la atención internacional. </w:t>
      </w:r>
      <w:r w:rsidR="004D13F2">
        <w:rPr>
          <w:lang w:val="es-HN"/>
        </w:rPr>
        <w:t xml:space="preserve"> La fiscalía se refirió a la infiltración de crimen organizado en las instituciones hondureñas. </w:t>
      </w:r>
      <w:r w:rsidR="00432037">
        <w:rPr>
          <w:lang w:val="es-HN"/>
        </w:rPr>
        <w:t>.</w:t>
      </w:r>
      <w:r w:rsidR="00E70ACF" w:rsidRPr="004F6A42">
        <w:rPr>
          <w:rStyle w:val="FootnoteReference"/>
          <w:lang w:val="es-HN"/>
        </w:rPr>
        <w:footnoteReference w:id="11"/>
      </w:r>
      <w:r w:rsidR="00E70ACF" w:rsidRPr="004F6A42">
        <w:rPr>
          <w:lang w:val="es-HN"/>
        </w:rPr>
        <w:t xml:space="preserve"> </w:t>
      </w:r>
      <w:r w:rsidRPr="001D0245">
        <w:rPr>
          <w:lang w:val="es-HN"/>
        </w:rPr>
        <w:t>La Secretaría de Relaciones Exteriores de Honduras se quejó a los Estados Unidos de América, argumentando que los comentarios negativos hechos durante el juicio de Tony Hernández y la representación negativa de Honduras, afectaban los intereses del Estado.</w:t>
      </w:r>
      <w:r w:rsidR="00C9699B" w:rsidRPr="004F6A42">
        <w:rPr>
          <w:rStyle w:val="FootnoteReference"/>
          <w:lang w:val="es-HN"/>
        </w:rPr>
        <w:footnoteReference w:id="12"/>
      </w:r>
      <w:r w:rsidR="001D0840" w:rsidRPr="004F6A42">
        <w:rPr>
          <w:lang w:val="es-HN"/>
        </w:rPr>
        <w:t xml:space="preserve"> </w:t>
      </w:r>
    </w:p>
    <w:p w14:paraId="7952A3EC" w14:textId="69A6075B" w:rsidR="004311AC" w:rsidRPr="004F6A42" w:rsidRDefault="00616A30" w:rsidP="00B04C04">
      <w:pPr>
        <w:pStyle w:val="HChG"/>
        <w:numPr>
          <w:ilvl w:val="0"/>
          <w:numId w:val="16"/>
        </w:numPr>
        <w:rPr>
          <w:lang w:val="es-HN"/>
        </w:rPr>
      </w:pPr>
      <w:r>
        <w:rPr>
          <w:lang w:val="es-HN"/>
        </w:rPr>
        <w:t>P</w:t>
      </w:r>
      <w:r w:rsidR="0024437E" w:rsidRPr="004F6A42">
        <w:rPr>
          <w:lang w:val="es-HN"/>
        </w:rPr>
        <w:t xml:space="preserve">obreza y </w:t>
      </w:r>
      <w:r w:rsidR="00E937D6">
        <w:rPr>
          <w:lang w:val="es-HN"/>
        </w:rPr>
        <w:t>cuestiones</w:t>
      </w:r>
      <w:r w:rsidR="0024437E" w:rsidRPr="004F6A42">
        <w:rPr>
          <w:lang w:val="es-HN"/>
        </w:rPr>
        <w:t xml:space="preserve"> económicas y sociales</w:t>
      </w:r>
    </w:p>
    <w:p w14:paraId="707B6AE8" w14:textId="1F2D84C4" w:rsidR="008B3520" w:rsidRPr="004F6A42" w:rsidRDefault="001B1362" w:rsidP="004F6A42">
      <w:pPr>
        <w:pStyle w:val="SingleTxtG"/>
        <w:numPr>
          <w:ilvl w:val="0"/>
          <w:numId w:val="15"/>
        </w:numPr>
        <w:rPr>
          <w:lang w:val="es-HN"/>
        </w:rPr>
      </w:pPr>
      <w:r w:rsidRPr="004F6A42">
        <w:rPr>
          <w:lang w:val="es-HN"/>
        </w:rPr>
        <w:t xml:space="preserve">Los niveles de pobreza </w:t>
      </w:r>
      <w:r w:rsidR="00C054A3">
        <w:rPr>
          <w:lang w:val="es-HN"/>
        </w:rPr>
        <w:t>continúan</w:t>
      </w:r>
      <w:r w:rsidRPr="004F6A42">
        <w:rPr>
          <w:lang w:val="es-HN"/>
        </w:rPr>
        <w:t xml:space="preserve"> siendo elevados, ya que en el año 201</w:t>
      </w:r>
      <w:r w:rsidR="009368D3">
        <w:rPr>
          <w:lang w:val="es-HN"/>
        </w:rPr>
        <w:t>9</w:t>
      </w:r>
      <w:r w:rsidRPr="004F6A42">
        <w:rPr>
          <w:lang w:val="es-HN"/>
        </w:rPr>
        <w:t xml:space="preserve"> el 6</w:t>
      </w:r>
      <w:r w:rsidR="009368D3">
        <w:rPr>
          <w:lang w:val="es-HN"/>
        </w:rPr>
        <w:t>4,7</w:t>
      </w:r>
      <w:r w:rsidRPr="004F6A42">
        <w:rPr>
          <w:lang w:val="es-HN"/>
        </w:rPr>
        <w:t>% de la población vivía</w:t>
      </w:r>
      <w:r w:rsidR="00432037">
        <w:rPr>
          <w:lang w:val="es-HN"/>
        </w:rPr>
        <w:t xml:space="preserve"> </w:t>
      </w:r>
      <w:r w:rsidR="009368D3">
        <w:rPr>
          <w:lang w:val="es-HN"/>
        </w:rPr>
        <w:t>en hogares pobres</w:t>
      </w:r>
      <w:r w:rsidRPr="004F6A42">
        <w:rPr>
          <w:lang w:val="es-HN"/>
        </w:rPr>
        <w:t>.</w:t>
      </w:r>
      <w:r w:rsidR="00197BCA" w:rsidRPr="004F6A42">
        <w:rPr>
          <w:rStyle w:val="FootnoteReference"/>
          <w:sz w:val="20"/>
          <w:lang w:val="es-HN"/>
        </w:rPr>
        <w:footnoteReference w:id="13"/>
      </w:r>
      <w:r w:rsidR="001A1616" w:rsidRPr="004F6A42">
        <w:rPr>
          <w:lang w:val="es-HN"/>
        </w:rPr>
        <w:t xml:space="preserve"> </w:t>
      </w:r>
      <w:r w:rsidRPr="001D0245">
        <w:rPr>
          <w:lang w:val="es-HN"/>
        </w:rPr>
        <w:t xml:space="preserve">A octubre de 2019, no se disponía de datos sobre la prevalencia de la pobreza </w:t>
      </w:r>
      <w:r w:rsidRPr="001D0245">
        <w:rPr>
          <w:lang w:val="es-HN"/>
        </w:rPr>
        <w:lastRenderedPageBreak/>
        <w:t>multidimensional en 2018, y sólo se obtuvieron datos</w:t>
      </w:r>
      <w:r w:rsidR="00432037">
        <w:rPr>
          <w:lang w:val="es-HN"/>
        </w:rPr>
        <w:t xml:space="preserve"> preliminares para 2016 y 2017.</w:t>
      </w:r>
      <w:r w:rsidR="00197BCA" w:rsidRPr="004F6A42">
        <w:rPr>
          <w:rStyle w:val="FootnoteReference"/>
          <w:sz w:val="20"/>
          <w:lang w:val="es-HN"/>
        </w:rPr>
        <w:footnoteReference w:id="14"/>
      </w:r>
      <w:r w:rsidR="00197BCA" w:rsidRPr="004F6A42">
        <w:rPr>
          <w:lang w:val="es-HN"/>
        </w:rPr>
        <w:t xml:space="preserve"> </w:t>
      </w:r>
    </w:p>
    <w:p w14:paraId="46FD81D4" w14:textId="129D9625" w:rsidR="00835721" w:rsidRPr="004F6A42" w:rsidRDefault="00F22970" w:rsidP="00F22970">
      <w:pPr>
        <w:pStyle w:val="SingleTxtG"/>
        <w:numPr>
          <w:ilvl w:val="0"/>
          <w:numId w:val="15"/>
        </w:numPr>
        <w:rPr>
          <w:lang w:val="es-HN"/>
        </w:rPr>
      </w:pPr>
      <w:r w:rsidRPr="00F22970">
        <w:rPr>
          <w:lang w:val="es-HN"/>
        </w:rPr>
        <w:t>Dados los precios relativamente altos de la canasta básica del hogar, la vivienda, el agua y la electricidad, los hogares más pobres no pudieron acceder a los productos y servicios básicos, como, por ejemplo, la atención médica y la educación. Además, el sistema de protección social sigue siendo inadecuado porque el Instituto Hondureño de Seguridad Social continúa arrastrando una mora de 6,766 Millones de Lempiras por parte del Sector Privado, el Gobierno Central y las Municipalidades</w:t>
      </w:r>
      <w:r>
        <w:rPr>
          <w:rStyle w:val="FootnoteReference"/>
          <w:lang w:val="es-HN"/>
        </w:rPr>
        <w:footnoteReference w:id="15"/>
      </w:r>
      <w:r w:rsidRPr="00F22970">
        <w:rPr>
          <w:lang w:val="es-HN"/>
        </w:rPr>
        <w:t xml:space="preserve">. Por otra parte, un 39.6% de la Población Económicamente Activa se desempeña en el sector informal, lo que implica que </w:t>
      </w:r>
      <w:r w:rsidRPr="00E53064">
        <w:rPr>
          <w:lang w:val="es-HN"/>
        </w:rPr>
        <w:t xml:space="preserve">no </w:t>
      </w:r>
      <w:r w:rsidR="00CF57AD" w:rsidRPr="006D7E1B">
        <w:rPr>
          <w:lang w:val="es-HN"/>
        </w:rPr>
        <w:t xml:space="preserve">contribuyen </w:t>
      </w:r>
      <w:r w:rsidRPr="00F22970">
        <w:rPr>
          <w:lang w:val="es-HN"/>
        </w:rPr>
        <w:t>ni reciben servicios de seguridad social</w:t>
      </w:r>
      <w:r>
        <w:rPr>
          <w:lang w:val="es-HN"/>
        </w:rPr>
        <w:t>.</w:t>
      </w:r>
      <w:r w:rsidR="00800F8E">
        <w:rPr>
          <w:rStyle w:val="FootnoteReference"/>
          <w:lang w:val="es-HN"/>
        </w:rPr>
        <w:footnoteReference w:id="16"/>
      </w:r>
      <w:r w:rsidR="008E7D92" w:rsidRPr="004F6A42">
        <w:rPr>
          <w:lang w:val="es-HN"/>
        </w:rPr>
        <w:t xml:space="preserve"> </w:t>
      </w:r>
    </w:p>
    <w:p w14:paraId="15066DE8" w14:textId="615DEC4F" w:rsidR="00835721" w:rsidRPr="004F6A42" w:rsidRDefault="001B1362" w:rsidP="00CF1B60">
      <w:pPr>
        <w:pStyle w:val="SingleTxtG"/>
        <w:numPr>
          <w:ilvl w:val="0"/>
          <w:numId w:val="15"/>
        </w:numPr>
        <w:rPr>
          <w:lang w:val="es-HN"/>
        </w:rPr>
      </w:pPr>
      <w:r w:rsidRPr="004F6A42">
        <w:rPr>
          <w:lang w:val="es-HN"/>
        </w:rPr>
        <w:t xml:space="preserve">El índice de desigualdad en la distribución del ingreso, sigue siendo el segundo más alto de América Latina y la población tiene poca confianza en la capacidad del Estado para promover una economía justa e inclusiva. Los diversos casos de prácticas de corrupción descubiertos que implican la malversación de fondos del Estado, incluidos los fondos asignados a programas de reducción de la pobreza, salud y seguridad social atribuidos a funcionarios </w:t>
      </w:r>
      <w:r w:rsidR="003B424B">
        <w:rPr>
          <w:lang w:val="es-HN"/>
        </w:rPr>
        <w:t>estatales</w:t>
      </w:r>
      <w:r w:rsidRPr="004F6A42">
        <w:rPr>
          <w:lang w:val="es-HN"/>
        </w:rPr>
        <w:t>, disminuyen aún más su credibilidad.</w:t>
      </w:r>
      <w:r w:rsidR="00B359E0" w:rsidRPr="004F6A42">
        <w:rPr>
          <w:lang w:val="es-HN"/>
        </w:rPr>
        <w:t xml:space="preserve"> </w:t>
      </w:r>
    </w:p>
    <w:p w14:paraId="72679768" w14:textId="2087E781" w:rsidR="00E95387" w:rsidRPr="004F6A42" w:rsidRDefault="001B1362" w:rsidP="00FF3B8D">
      <w:pPr>
        <w:pStyle w:val="SingleTxtG"/>
        <w:numPr>
          <w:ilvl w:val="0"/>
          <w:numId w:val="15"/>
        </w:numPr>
        <w:rPr>
          <w:lang w:val="es-HN"/>
        </w:rPr>
      </w:pPr>
      <w:r w:rsidRPr="004F6A42">
        <w:rPr>
          <w:lang w:val="es-HN"/>
        </w:rPr>
        <w:t xml:space="preserve">En octubre, el Presidente del Banco Central de Honduras reveló </w:t>
      </w:r>
      <w:r w:rsidR="000A756C" w:rsidRPr="004F6A42">
        <w:rPr>
          <w:lang w:val="es-HN"/>
        </w:rPr>
        <w:t>que,</w:t>
      </w:r>
      <w:r w:rsidRPr="004F6A42">
        <w:rPr>
          <w:lang w:val="es-HN"/>
        </w:rPr>
        <w:t xml:space="preserve"> en el primer semestre de 2019, la inversión extranjera directa se redujo en un 39,3 por ciento a 242 millones de dólares, en comparación con el mismo período de 2018, citando como factores clave la crisis social y política</w:t>
      </w:r>
      <w:r w:rsidR="003B424B">
        <w:rPr>
          <w:lang w:val="es-HN"/>
        </w:rPr>
        <w:t xml:space="preserve"> en el</w:t>
      </w:r>
      <w:r w:rsidRPr="004F6A42">
        <w:rPr>
          <w:lang w:val="es-HN"/>
        </w:rPr>
        <w:t xml:space="preserve"> país.</w:t>
      </w:r>
      <w:r w:rsidR="00CD0727" w:rsidRPr="004F6A42">
        <w:rPr>
          <w:rStyle w:val="FootnoteReference"/>
          <w:lang w:val="es-HN"/>
        </w:rPr>
        <w:footnoteReference w:id="17"/>
      </w:r>
    </w:p>
    <w:p w14:paraId="0B286898" w14:textId="3DBD53EA" w:rsidR="00E95387" w:rsidRPr="004F6A42" w:rsidRDefault="001B1362" w:rsidP="006D7E1B">
      <w:pPr>
        <w:pStyle w:val="SingleTxtG"/>
        <w:numPr>
          <w:ilvl w:val="0"/>
          <w:numId w:val="15"/>
        </w:numPr>
        <w:rPr>
          <w:lang w:val="es-HN"/>
        </w:rPr>
      </w:pPr>
      <w:r w:rsidRPr="004F6A42">
        <w:rPr>
          <w:lang w:val="es-HN"/>
        </w:rPr>
        <w:t xml:space="preserve">El Gobierno aprobó el 4 de diciembre la </w:t>
      </w:r>
      <w:r w:rsidRPr="00E937D6">
        <w:rPr>
          <w:lang w:val="es-HN"/>
        </w:rPr>
        <w:t>Agenda Nacional para el Desarrollo Sostenible 2030,</w:t>
      </w:r>
      <w:r w:rsidRPr="004F6A42">
        <w:rPr>
          <w:lang w:val="es-HN"/>
        </w:rPr>
        <w:t xml:space="preserve"> en la que da prioridad a los 17 objetivos de desarrollo sostenible, 68 de las 196 metas y 99 de los 232 indicadores</w:t>
      </w:r>
      <w:r w:rsidR="00E95387" w:rsidRPr="004F6A42">
        <w:rPr>
          <w:lang w:val="es-HN"/>
        </w:rPr>
        <w:t>.</w:t>
      </w:r>
      <w:r w:rsidR="00E95387" w:rsidRPr="004F6A42">
        <w:rPr>
          <w:rStyle w:val="FootnoteReference"/>
          <w:sz w:val="20"/>
          <w:lang w:val="es-HN"/>
        </w:rPr>
        <w:footnoteReference w:id="18"/>
      </w:r>
      <w:r w:rsidR="00432037">
        <w:rPr>
          <w:lang w:val="es-HN"/>
        </w:rPr>
        <w:t xml:space="preserve"> </w:t>
      </w:r>
      <w:r w:rsidR="006D7E1B" w:rsidRPr="006D7E1B">
        <w:rPr>
          <w:lang w:val="es-HN"/>
        </w:rPr>
        <w:t xml:space="preserve">La OACNUDH </w:t>
      </w:r>
      <w:r w:rsidR="00857227">
        <w:rPr>
          <w:lang w:val="es-HN"/>
        </w:rPr>
        <w:t xml:space="preserve">apoyó </w:t>
      </w:r>
      <w:r w:rsidR="006D7E1B" w:rsidRPr="006D7E1B">
        <w:rPr>
          <w:lang w:val="es-HN"/>
        </w:rPr>
        <w:t xml:space="preserve">a la Oficina del Jefe de Gabinete del Ministerio de Gobierno y a la Secretaría de Derechos Humanos </w:t>
      </w:r>
      <w:r w:rsidR="00C873E9">
        <w:rPr>
          <w:lang w:val="es-HN"/>
        </w:rPr>
        <w:t xml:space="preserve">(SEDH) </w:t>
      </w:r>
      <w:r w:rsidR="006D7E1B" w:rsidRPr="006D7E1B">
        <w:rPr>
          <w:lang w:val="es-HN"/>
        </w:rPr>
        <w:t>en la vinculación de las metas e indicadores de los Objetivos de Desarrollo Sostenible con las recomendaciones de derechos humanos reflejadas en el SIMOREH</w:t>
      </w:r>
      <w:r w:rsidR="006D7E1B">
        <w:rPr>
          <w:rStyle w:val="FootnoteReference"/>
          <w:lang w:val="es-HN"/>
        </w:rPr>
        <w:footnoteReference w:id="19"/>
      </w:r>
      <w:r w:rsidR="006D7E1B">
        <w:rPr>
          <w:lang w:val="es-HN"/>
        </w:rPr>
        <w:t xml:space="preserve">, </w:t>
      </w:r>
      <w:r w:rsidR="00DB45BC">
        <w:rPr>
          <w:lang w:val="es-HN"/>
        </w:rPr>
        <w:t>una práctica innovadora que sienta</w:t>
      </w:r>
      <w:r w:rsidR="006D7E1B">
        <w:rPr>
          <w:lang w:val="es-HN"/>
        </w:rPr>
        <w:t xml:space="preserve"> las bases para la integración de la agenda de desarro</w:t>
      </w:r>
      <w:r w:rsidR="00432037">
        <w:rPr>
          <w:lang w:val="es-HN"/>
        </w:rPr>
        <w:t>llo con la de derechos humanos.</w:t>
      </w:r>
      <w:r w:rsidRPr="001D0245" w:rsidDel="001B1362">
        <w:rPr>
          <w:lang w:val="es-HN"/>
        </w:rPr>
        <w:t xml:space="preserve"> </w:t>
      </w:r>
      <w:r w:rsidR="008B0332" w:rsidRPr="004F6A42">
        <w:rPr>
          <w:lang w:val="es-HN"/>
        </w:rPr>
        <w:t xml:space="preserve"> </w:t>
      </w:r>
    </w:p>
    <w:p w14:paraId="284153C8" w14:textId="7B62B777" w:rsidR="00E40333" w:rsidRPr="004F6A42" w:rsidRDefault="001B1362" w:rsidP="00E40333">
      <w:pPr>
        <w:pStyle w:val="H1G"/>
        <w:numPr>
          <w:ilvl w:val="1"/>
          <w:numId w:val="17"/>
        </w:numPr>
        <w:rPr>
          <w:lang w:val="es-HN"/>
        </w:rPr>
      </w:pPr>
      <w:r w:rsidRPr="004F6A42">
        <w:rPr>
          <w:lang w:val="es-HN"/>
        </w:rPr>
        <w:lastRenderedPageBreak/>
        <w:t>Empresas y Derechos Humanos</w:t>
      </w:r>
    </w:p>
    <w:p w14:paraId="6D37DAD9" w14:textId="622EA546" w:rsidR="006D3D0A" w:rsidRPr="004F6A42" w:rsidRDefault="001B1362" w:rsidP="00AF15FF">
      <w:pPr>
        <w:pStyle w:val="SingleTxtG"/>
        <w:numPr>
          <w:ilvl w:val="0"/>
          <w:numId w:val="15"/>
        </w:numPr>
        <w:rPr>
          <w:lang w:val="es-HN"/>
        </w:rPr>
      </w:pPr>
      <w:r w:rsidRPr="004F6A42">
        <w:rPr>
          <w:lang w:val="es-HN"/>
        </w:rPr>
        <w:t xml:space="preserve">El Gobierno reafirmó su compromiso de elaborar un </w:t>
      </w:r>
      <w:r w:rsidR="00F23AA0">
        <w:rPr>
          <w:lang w:val="es-HN"/>
        </w:rPr>
        <w:t>P</w:t>
      </w:r>
      <w:r w:rsidRPr="004F6A42">
        <w:rPr>
          <w:lang w:val="es-HN"/>
        </w:rPr>
        <w:t xml:space="preserve">lan de </w:t>
      </w:r>
      <w:r w:rsidR="00F23AA0">
        <w:rPr>
          <w:lang w:val="es-HN"/>
        </w:rPr>
        <w:t>A</w:t>
      </w:r>
      <w:r w:rsidRPr="004F6A42">
        <w:rPr>
          <w:lang w:val="es-HN"/>
        </w:rPr>
        <w:t xml:space="preserve">cción </w:t>
      </w:r>
      <w:r w:rsidR="00F23AA0">
        <w:rPr>
          <w:lang w:val="es-HN"/>
        </w:rPr>
        <w:t>N</w:t>
      </w:r>
      <w:r w:rsidRPr="004F6A42">
        <w:rPr>
          <w:lang w:val="es-HN"/>
        </w:rPr>
        <w:t>acional</w:t>
      </w:r>
      <w:r w:rsidR="00F23AA0">
        <w:rPr>
          <w:lang w:val="es-HN"/>
        </w:rPr>
        <w:t xml:space="preserve"> (PAN)</w:t>
      </w:r>
      <w:r w:rsidRPr="004F6A42">
        <w:rPr>
          <w:lang w:val="es-HN"/>
        </w:rPr>
        <w:t xml:space="preserve"> sobre </w:t>
      </w:r>
      <w:r w:rsidR="00F23AA0">
        <w:rPr>
          <w:lang w:val="es-HN"/>
        </w:rPr>
        <w:t>E</w:t>
      </w:r>
      <w:r w:rsidRPr="004F6A42">
        <w:rPr>
          <w:lang w:val="es-HN"/>
        </w:rPr>
        <w:t>mpresa</w:t>
      </w:r>
      <w:r w:rsidR="00F23AA0">
        <w:rPr>
          <w:lang w:val="es-HN"/>
        </w:rPr>
        <w:t>s</w:t>
      </w:r>
      <w:r w:rsidRPr="004F6A42">
        <w:rPr>
          <w:lang w:val="es-HN"/>
        </w:rPr>
        <w:t xml:space="preserve"> y </w:t>
      </w:r>
      <w:r w:rsidR="00F23AA0">
        <w:rPr>
          <w:lang w:val="es-HN"/>
        </w:rPr>
        <w:t>D</w:t>
      </w:r>
      <w:r w:rsidRPr="004F6A42">
        <w:rPr>
          <w:lang w:val="es-HN"/>
        </w:rPr>
        <w:t xml:space="preserve">erechos </w:t>
      </w:r>
      <w:r w:rsidR="00F23AA0">
        <w:rPr>
          <w:lang w:val="es-HN"/>
        </w:rPr>
        <w:t>H</w:t>
      </w:r>
      <w:r w:rsidRPr="004F6A42">
        <w:rPr>
          <w:lang w:val="es-HN"/>
        </w:rPr>
        <w:t xml:space="preserve">umanos, basado en los Principios Rectores de las Naciones Unidas sobre </w:t>
      </w:r>
      <w:r w:rsidR="005E3213">
        <w:rPr>
          <w:lang w:val="es-HN"/>
        </w:rPr>
        <w:t xml:space="preserve">las </w:t>
      </w:r>
      <w:r w:rsidRPr="004F6A42">
        <w:rPr>
          <w:lang w:val="es-HN"/>
        </w:rPr>
        <w:t>Empresa</w:t>
      </w:r>
      <w:r w:rsidR="00F23AA0">
        <w:rPr>
          <w:lang w:val="es-HN"/>
        </w:rPr>
        <w:t>s</w:t>
      </w:r>
      <w:r w:rsidRPr="004F6A42">
        <w:rPr>
          <w:lang w:val="es-HN"/>
        </w:rPr>
        <w:t xml:space="preserve"> y </w:t>
      </w:r>
      <w:r w:rsidR="005E3213">
        <w:rPr>
          <w:lang w:val="es-HN"/>
        </w:rPr>
        <w:t xml:space="preserve">los </w:t>
      </w:r>
      <w:r w:rsidRPr="004F6A42">
        <w:rPr>
          <w:lang w:val="es-HN"/>
        </w:rPr>
        <w:t xml:space="preserve">Derechos Humanos, como instrumento para el desarrollo sostenible. Durante el transcurso del año, </w:t>
      </w:r>
      <w:r w:rsidR="00AF15FF" w:rsidRPr="00AF15FF">
        <w:rPr>
          <w:lang w:val="es-HN"/>
        </w:rPr>
        <w:t xml:space="preserve">la Secretaría de Derechos Humanos </w:t>
      </w:r>
      <w:r w:rsidRPr="004F6A42">
        <w:rPr>
          <w:lang w:val="es-HN"/>
        </w:rPr>
        <w:t>con la asistencia técnica de la OACNUDH, promovió el diálogo entre las partes interesadas</w:t>
      </w:r>
      <w:r w:rsidR="00AF15FF">
        <w:rPr>
          <w:lang w:val="es-HN"/>
        </w:rPr>
        <w:t xml:space="preserve"> y el desarrollo de capacidades</w:t>
      </w:r>
      <w:r w:rsidRPr="004F6A42">
        <w:rPr>
          <w:lang w:val="es-HN"/>
        </w:rPr>
        <w:t>, sobre la base de los Principios Rectores</w:t>
      </w:r>
      <w:r w:rsidR="00AF15FF">
        <w:rPr>
          <w:lang w:val="es-HN"/>
        </w:rPr>
        <w:t xml:space="preserve"> y celebró un Ciclo de Conferencias sobre Empresas y Derechos Humanos</w:t>
      </w:r>
      <w:r w:rsidR="00972397">
        <w:rPr>
          <w:lang w:val="es-HN"/>
        </w:rPr>
        <w:t>,</w:t>
      </w:r>
      <w:r w:rsidR="00AF15FF">
        <w:rPr>
          <w:lang w:val="es-HN"/>
        </w:rPr>
        <w:t xml:space="preserve"> el cuál contó con la participación del Grupo de Trabajo de Naciones Unidas </w:t>
      </w:r>
      <w:r w:rsidR="00AF15FF" w:rsidRPr="00F35B96">
        <w:rPr>
          <w:lang w:val="es-HN"/>
        </w:rPr>
        <w:t>sobre la situación de los derechos humanos y las empresas transnacionales</w:t>
      </w:r>
      <w:r w:rsidRPr="004F6A42">
        <w:rPr>
          <w:lang w:val="es-HN"/>
        </w:rPr>
        <w:t>.</w:t>
      </w:r>
      <w:r w:rsidR="00E40333" w:rsidRPr="004F6A42">
        <w:rPr>
          <w:lang w:val="es-HN"/>
        </w:rPr>
        <w:t xml:space="preserve"> </w:t>
      </w:r>
    </w:p>
    <w:p w14:paraId="51960DB5" w14:textId="188312A9" w:rsidR="000E7BA2" w:rsidRPr="004F6A42" w:rsidRDefault="001B1362" w:rsidP="000E7BA2">
      <w:pPr>
        <w:pStyle w:val="SingleTxtG"/>
        <w:numPr>
          <w:ilvl w:val="0"/>
          <w:numId w:val="15"/>
        </w:numPr>
        <w:rPr>
          <w:lang w:val="es-HN"/>
        </w:rPr>
      </w:pPr>
      <w:r w:rsidRPr="004F6A42">
        <w:rPr>
          <w:lang w:val="es-HN"/>
        </w:rPr>
        <w:t xml:space="preserve">Al término de su visita a Honduras del </w:t>
      </w:r>
      <w:r w:rsidRPr="00E937D6">
        <w:rPr>
          <w:lang w:val="es-HN"/>
        </w:rPr>
        <w:t>19 al 2</w:t>
      </w:r>
      <w:r w:rsidR="00E937D6" w:rsidRPr="007D4A0E">
        <w:rPr>
          <w:lang w:val="es-HN"/>
        </w:rPr>
        <w:t>8</w:t>
      </w:r>
      <w:r w:rsidRPr="00E937D6">
        <w:rPr>
          <w:lang w:val="es-HN"/>
        </w:rPr>
        <w:t xml:space="preserve"> de agosto,</w:t>
      </w:r>
      <w:r w:rsidRPr="004F6A42">
        <w:rPr>
          <w:lang w:val="es-HN"/>
        </w:rPr>
        <w:t xml:space="preserve"> el Grupo de Trabajo acogió con satisfacción el compromiso del Gobierno sobre este tema. No obstante, se subrayó la necesidad de realizar reformas institucionales y jurídicas inmediatas y profundas, en particular para garantizar la independencia del sistema judicial, la participación de las personas y las comunidades en la adopción de decisiones y el derecho al consentimiento libre, previo e info</w:t>
      </w:r>
      <w:r w:rsidR="00432037">
        <w:rPr>
          <w:lang w:val="es-HN"/>
        </w:rPr>
        <w:t>rmado de los pueblos indígenas.</w:t>
      </w:r>
      <w:r w:rsidR="006D3D0A" w:rsidRPr="004F6A42">
        <w:rPr>
          <w:rStyle w:val="FootnoteReference"/>
          <w:lang w:val="es-HN"/>
        </w:rPr>
        <w:footnoteReference w:id="20"/>
      </w:r>
      <w:r w:rsidR="006D3D0A" w:rsidRPr="004F6A42">
        <w:rPr>
          <w:lang w:val="es-HN"/>
        </w:rPr>
        <w:t xml:space="preserve"> </w:t>
      </w:r>
    </w:p>
    <w:p w14:paraId="41FB3866" w14:textId="6341E0C3" w:rsidR="00B359E0" w:rsidRPr="004F6A42" w:rsidRDefault="008A7199" w:rsidP="006B58AD">
      <w:pPr>
        <w:pStyle w:val="SingleTxtG"/>
        <w:numPr>
          <w:ilvl w:val="0"/>
          <w:numId w:val="15"/>
        </w:numPr>
        <w:rPr>
          <w:lang w:val="es-HN"/>
        </w:rPr>
      </w:pPr>
      <w:r w:rsidRPr="004F6A42">
        <w:rPr>
          <w:lang w:val="es-HN"/>
        </w:rPr>
        <w:t xml:space="preserve">El Grupo de Trabajo también expresó su preocupación por las lagunas en el marco nacional de lucha contra la corrupción, señalando que no </w:t>
      </w:r>
      <w:r w:rsidR="00A011BF">
        <w:rPr>
          <w:lang w:val="es-HN"/>
        </w:rPr>
        <w:t>abordaba</w:t>
      </w:r>
      <w:r w:rsidR="00A011BF" w:rsidRPr="004F6A42">
        <w:rPr>
          <w:lang w:val="es-HN"/>
        </w:rPr>
        <w:t xml:space="preserve"> </w:t>
      </w:r>
      <w:r w:rsidRPr="004F6A42">
        <w:rPr>
          <w:lang w:val="es-HN"/>
        </w:rPr>
        <w:t>adecuadamente el conflicto de intereses de los funcionarios públicos y sus familiares con respecto a sus compromisos</w:t>
      </w:r>
      <w:r w:rsidR="00580745">
        <w:rPr>
          <w:lang w:val="es-HN"/>
        </w:rPr>
        <w:t xml:space="preserve"> comerciales. También observó</w:t>
      </w:r>
      <w:r w:rsidRPr="004F6A42">
        <w:rPr>
          <w:lang w:val="es-HN"/>
        </w:rPr>
        <w:t xml:space="preserve"> el incumplimiento del marco sobre la divulgación de activos e ingresos por parte de los funcionarios públicos </w:t>
      </w:r>
      <w:r w:rsidR="00A011BF">
        <w:rPr>
          <w:lang w:val="es-HN"/>
        </w:rPr>
        <w:t>de</w:t>
      </w:r>
      <w:r w:rsidRPr="004F6A42">
        <w:rPr>
          <w:lang w:val="es-HN"/>
        </w:rPr>
        <w:t xml:space="preserve"> la Convención de las Naciones Unidas contra la Corrupción. El Grupo de Trabajo pidió al Congreso que ejerciera la debida diligencia en la firma de los contratos públicos que implicaran concesiones para proyectos de desarrollo de gran escala</w:t>
      </w:r>
      <w:r w:rsidR="008202BD" w:rsidRPr="004F6A42">
        <w:rPr>
          <w:lang w:val="es-HN"/>
        </w:rPr>
        <w:t>.</w:t>
      </w:r>
    </w:p>
    <w:p w14:paraId="05F41006" w14:textId="79CE1A32" w:rsidR="00B1589A" w:rsidRPr="004F6A42" w:rsidRDefault="00B1589A" w:rsidP="00201E18">
      <w:pPr>
        <w:pStyle w:val="H1G"/>
        <w:numPr>
          <w:ilvl w:val="1"/>
          <w:numId w:val="17"/>
        </w:numPr>
        <w:rPr>
          <w:lang w:val="es-HN"/>
        </w:rPr>
      </w:pPr>
      <w:r w:rsidRPr="004F6A42">
        <w:rPr>
          <w:lang w:val="es-HN"/>
        </w:rPr>
        <w:t>Migra</w:t>
      </w:r>
      <w:r w:rsidR="008A7199" w:rsidRPr="004F6A42">
        <w:rPr>
          <w:lang w:val="es-HN"/>
        </w:rPr>
        <w:t>ción</w:t>
      </w:r>
      <w:r w:rsidRPr="004F6A42">
        <w:rPr>
          <w:lang w:val="es-HN"/>
        </w:rPr>
        <w:t xml:space="preserve"> </w:t>
      </w:r>
    </w:p>
    <w:p w14:paraId="4E2535A7" w14:textId="52D7EE11" w:rsidR="0023460D" w:rsidRPr="004F6A42" w:rsidRDefault="008A7199" w:rsidP="0023460D">
      <w:pPr>
        <w:pStyle w:val="SingleTxtG"/>
        <w:numPr>
          <w:ilvl w:val="0"/>
          <w:numId w:val="15"/>
        </w:numPr>
        <w:rPr>
          <w:lang w:val="es-HN"/>
        </w:rPr>
      </w:pPr>
      <w:r w:rsidRPr="004F6A42">
        <w:rPr>
          <w:lang w:val="es-HN"/>
        </w:rPr>
        <w:t xml:space="preserve">La violencia y la inseguridad, la persistente pobreza y la falta de confianza en la voluntad y la capacidad del Estado para </w:t>
      </w:r>
      <w:r w:rsidR="00A011BF">
        <w:rPr>
          <w:lang w:val="es-HN"/>
        </w:rPr>
        <w:t>impulsar</w:t>
      </w:r>
      <w:r w:rsidR="00A011BF" w:rsidRPr="004F6A42">
        <w:rPr>
          <w:lang w:val="es-HN"/>
        </w:rPr>
        <w:t xml:space="preserve"> </w:t>
      </w:r>
      <w:r w:rsidRPr="004F6A42">
        <w:rPr>
          <w:lang w:val="es-HN"/>
        </w:rPr>
        <w:t>la economía y mejorar el nivel de vida siguieron siendo los principales impulsores de la migración. Si bien es cierto que en el 2019 ninguna de las denominadas "caravanas" de migrantes del tamaño de las observadas en 2018 salió de Honduras, la OACNUDH</w:t>
      </w:r>
      <w:r w:rsidR="003D688F" w:rsidRPr="004F6A42">
        <w:rPr>
          <w:rStyle w:val="FootnoteReference"/>
          <w:lang w:val="es-HN"/>
        </w:rPr>
        <w:footnoteReference w:id="21"/>
      </w:r>
      <w:r w:rsidR="0023460D" w:rsidRPr="004F6A42">
        <w:rPr>
          <w:rStyle w:val="CommentReference"/>
          <w:vanish/>
          <w:lang w:val="es-HN"/>
        </w:rPr>
        <w:t xml:space="preserve">    t</w:t>
      </w:r>
      <w:r w:rsidR="0023460D" w:rsidRPr="004F6A42">
        <w:rPr>
          <w:rStyle w:val="CommentReference"/>
          <w:lang w:val="es-HN"/>
        </w:rPr>
        <w:t xml:space="preserve"> </w:t>
      </w:r>
      <w:r w:rsidRPr="001D0245">
        <w:rPr>
          <w:lang w:val="es-HN"/>
        </w:rPr>
        <w:t xml:space="preserve">estimó que, en promedio, alrededor de 400 hondureños salen diariamente del país hacia Guatemala, generalmente con el objetivo de llegar a los </w:t>
      </w:r>
      <w:r w:rsidRPr="001D0245">
        <w:rPr>
          <w:lang w:val="es-HN"/>
        </w:rPr>
        <w:lastRenderedPageBreak/>
        <w:t xml:space="preserve">Estados Unidos de América. </w:t>
      </w:r>
      <w:r w:rsidR="00A011BF">
        <w:rPr>
          <w:lang w:val="es-HN"/>
        </w:rPr>
        <w:t>Un estimado de</w:t>
      </w:r>
      <w:r w:rsidRPr="001D0245">
        <w:rPr>
          <w:lang w:val="es-HN"/>
        </w:rPr>
        <w:t xml:space="preserve"> 600.000 hondureños residen en los Estados Unidos, alrededor de la mitad de ellos indocumentados</w:t>
      </w:r>
      <w:r w:rsidR="007C21E0" w:rsidRPr="004F6A42">
        <w:rPr>
          <w:lang w:val="es-HN"/>
        </w:rPr>
        <w:t>;</w:t>
      </w:r>
      <w:r w:rsidR="00285303" w:rsidRPr="004F6A42">
        <w:rPr>
          <w:rStyle w:val="FootnoteReference"/>
          <w:lang w:val="es-HN"/>
        </w:rPr>
        <w:footnoteReference w:id="22"/>
      </w:r>
      <w:r w:rsidR="007C21E0" w:rsidRPr="004F6A42">
        <w:rPr>
          <w:lang w:val="es-HN"/>
        </w:rPr>
        <w:t xml:space="preserve"> </w:t>
      </w:r>
      <w:r w:rsidRPr="001D0245">
        <w:rPr>
          <w:lang w:val="es-HN"/>
        </w:rPr>
        <w:t>y</w:t>
      </w:r>
      <w:r w:rsidR="00285303" w:rsidRPr="004F6A42">
        <w:rPr>
          <w:lang w:val="es-HN"/>
        </w:rPr>
        <w:t xml:space="preserve"> </w:t>
      </w:r>
      <w:r w:rsidRPr="001D0245">
        <w:rPr>
          <w:lang w:val="es-HN"/>
        </w:rPr>
        <w:t>80.633 de ellos se beneficiaron de un Estatus de Protección Temporal que, en algunos casos, se prorrogará hasta el 4 de enero de 2021</w:t>
      </w:r>
      <w:r w:rsidR="0023460D" w:rsidRPr="004F6A42">
        <w:rPr>
          <w:lang w:val="es-HN"/>
        </w:rPr>
        <w:t>.</w:t>
      </w:r>
      <w:r w:rsidR="0001050B" w:rsidRPr="004F6A42">
        <w:rPr>
          <w:rStyle w:val="FootnoteReference"/>
          <w:lang w:val="es-HN"/>
        </w:rPr>
        <w:footnoteReference w:id="23"/>
      </w:r>
    </w:p>
    <w:p w14:paraId="06766DFF" w14:textId="257D8B28" w:rsidR="00DA266B" w:rsidRPr="004F6A42" w:rsidRDefault="008A7199" w:rsidP="00E300E6">
      <w:pPr>
        <w:pStyle w:val="SingleTxtG"/>
        <w:numPr>
          <w:ilvl w:val="0"/>
          <w:numId w:val="15"/>
        </w:numPr>
        <w:rPr>
          <w:lang w:val="es-HN"/>
        </w:rPr>
      </w:pPr>
      <w:r w:rsidRPr="004F6A42">
        <w:rPr>
          <w:lang w:val="es-HN"/>
        </w:rPr>
        <w:t xml:space="preserve">Al 13 de diciembre de 2019, debido al endurecimiento de las políticas de inmigración de los Estados Unidos de América y México, 104.099 hondureños habían sido retornados al país, incluidos 22.916 niños y niñas, lo que supone un aumento del 38,3% en comparación con el año 2018. </w:t>
      </w:r>
      <w:r w:rsidRPr="00DB45BC">
        <w:rPr>
          <w:lang w:val="es-HN"/>
        </w:rPr>
        <w:t>No se dispone de información oficial sobre el porcentaje de retornos voluntarios</w:t>
      </w:r>
      <w:r w:rsidRPr="004F6A42">
        <w:rPr>
          <w:lang w:val="es-HN"/>
        </w:rPr>
        <w:t>.</w:t>
      </w:r>
      <w:r w:rsidR="00952F27" w:rsidRPr="004F6A42">
        <w:rPr>
          <w:rStyle w:val="FootnoteReference"/>
          <w:lang w:val="es-HN"/>
        </w:rPr>
        <w:footnoteReference w:id="24"/>
      </w:r>
      <w:r w:rsidRPr="004F6A42">
        <w:rPr>
          <w:lang w:val="es-HN"/>
        </w:rPr>
        <w:t xml:space="preserve"> </w:t>
      </w:r>
      <w:r w:rsidRPr="001D0245">
        <w:rPr>
          <w:lang w:val="es-HN"/>
        </w:rPr>
        <w:t xml:space="preserve">El aumento del número de personas retornadas tiene un efecto directo en los niveles de pobreza, lo que </w:t>
      </w:r>
      <w:r w:rsidR="00A011BF">
        <w:rPr>
          <w:lang w:val="es-HN"/>
        </w:rPr>
        <w:t>influye en</w:t>
      </w:r>
      <w:r w:rsidRPr="001D0245">
        <w:rPr>
          <w:lang w:val="es-HN"/>
        </w:rPr>
        <w:t xml:space="preserve"> las escasas oportunidades económicas y los recursos sociales.</w:t>
      </w:r>
      <w:r w:rsidRPr="001D0245" w:rsidDel="008A7199">
        <w:rPr>
          <w:lang w:val="es-HN"/>
        </w:rPr>
        <w:t xml:space="preserve"> </w:t>
      </w:r>
      <w:r w:rsidR="0027271A" w:rsidRPr="004F6A42">
        <w:rPr>
          <w:lang w:val="es-HN"/>
        </w:rPr>
        <w:t xml:space="preserve"> </w:t>
      </w:r>
    </w:p>
    <w:p w14:paraId="14865E1F" w14:textId="44CFAEDD" w:rsidR="0077220E" w:rsidRPr="004F6A42" w:rsidRDefault="008A7199" w:rsidP="00186520">
      <w:pPr>
        <w:pStyle w:val="SingleTxtG"/>
        <w:numPr>
          <w:ilvl w:val="0"/>
          <w:numId w:val="15"/>
        </w:numPr>
        <w:rPr>
          <w:lang w:val="es-HN"/>
        </w:rPr>
      </w:pPr>
      <w:r w:rsidRPr="004F6A42">
        <w:rPr>
          <w:lang w:val="es-HN"/>
        </w:rPr>
        <w:t xml:space="preserve">En septiembre, Honduras firmó un Acuerdo con los Estados Unidos de América </w:t>
      </w:r>
      <w:r w:rsidR="00E24E6B">
        <w:rPr>
          <w:lang w:val="es-HN"/>
        </w:rPr>
        <w:t>relativo a</w:t>
      </w:r>
      <w:r w:rsidR="00DB45BC">
        <w:rPr>
          <w:lang w:val="es-HN"/>
        </w:rPr>
        <w:t xml:space="preserve"> </w:t>
      </w:r>
      <w:r w:rsidRPr="00E937D6">
        <w:rPr>
          <w:lang w:val="es-HN"/>
        </w:rPr>
        <w:t xml:space="preserve">la cooperación </w:t>
      </w:r>
      <w:r w:rsidR="00E24E6B">
        <w:rPr>
          <w:lang w:val="es-HN"/>
        </w:rPr>
        <w:t xml:space="preserve">respecto al examen de </w:t>
      </w:r>
      <w:r w:rsidRPr="00E937D6">
        <w:rPr>
          <w:lang w:val="es-HN"/>
        </w:rPr>
        <w:t>solicitudes de protección</w:t>
      </w:r>
      <w:r w:rsidR="00FD4C58">
        <w:rPr>
          <w:lang w:val="es-HN"/>
        </w:rPr>
        <w:t xml:space="preserve">. </w:t>
      </w:r>
      <w:r w:rsidRPr="004F6A42">
        <w:rPr>
          <w:lang w:val="es-HN"/>
        </w:rPr>
        <w:t>Los actores nacionales e internacionales expresaron su preocupación por la capacidad del Estado de Honduras para garantizar una protección adecuada a los solicitantes de asilo.</w:t>
      </w:r>
      <w:r w:rsidR="00FC79DE" w:rsidRPr="004F6A42">
        <w:rPr>
          <w:rStyle w:val="FootnoteReference"/>
          <w:lang w:val="es-HN"/>
        </w:rPr>
        <w:footnoteReference w:id="25"/>
      </w:r>
    </w:p>
    <w:p w14:paraId="621F45EB" w14:textId="589423E0" w:rsidR="00E40333" w:rsidRPr="004F6A42" w:rsidRDefault="008A7199" w:rsidP="00201E18">
      <w:pPr>
        <w:pStyle w:val="H1G"/>
        <w:numPr>
          <w:ilvl w:val="1"/>
          <w:numId w:val="17"/>
        </w:numPr>
        <w:rPr>
          <w:lang w:val="es-HN"/>
        </w:rPr>
      </w:pPr>
      <w:r w:rsidRPr="004F6A42">
        <w:rPr>
          <w:lang w:val="es-HN"/>
        </w:rPr>
        <w:t>Emergencias nacionales relacionadas con la salud y el agua</w:t>
      </w:r>
    </w:p>
    <w:p w14:paraId="0DE1A672" w14:textId="433E9CC6" w:rsidR="00EB3CB1" w:rsidRPr="004F6A42" w:rsidRDefault="008A7199" w:rsidP="003A435B">
      <w:pPr>
        <w:pStyle w:val="SingleTxtG"/>
        <w:numPr>
          <w:ilvl w:val="0"/>
          <w:numId w:val="15"/>
        </w:numPr>
        <w:rPr>
          <w:i/>
          <w:lang w:val="es-HN"/>
        </w:rPr>
      </w:pPr>
      <w:r w:rsidRPr="004F6A42">
        <w:rPr>
          <w:lang w:val="es-HN"/>
        </w:rPr>
        <w:t xml:space="preserve">Durante el año, el Gobierno declaró dos emergencias relacionadas con </w:t>
      </w:r>
      <w:r w:rsidR="00A011BF">
        <w:rPr>
          <w:lang w:val="es-HN"/>
        </w:rPr>
        <w:t xml:space="preserve">cuestiones </w:t>
      </w:r>
      <w:r w:rsidRPr="004F6A42">
        <w:rPr>
          <w:lang w:val="es-HN"/>
        </w:rPr>
        <w:t>económic</w:t>
      </w:r>
      <w:r w:rsidR="00A011BF">
        <w:rPr>
          <w:lang w:val="es-HN"/>
        </w:rPr>
        <w:t>a</w:t>
      </w:r>
      <w:r w:rsidRPr="004F6A42">
        <w:rPr>
          <w:lang w:val="es-HN"/>
        </w:rPr>
        <w:t>s y sociales</w:t>
      </w:r>
      <w:r w:rsidR="003A435B" w:rsidRPr="00DB45BC">
        <w:rPr>
          <w:lang w:val="es-419"/>
        </w:rPr>
        <w:t xml:space="preserve"> </w:t>
      </w:r>
      <w:r w:rsidR="003A435B" w:rsidRPr="003A435B">
        <w:rPr>
          <w:lang w:val="es-HN"/>
        </w:rPr>
        <w:t>que</w:t>
      </w:r>
      <w:r w:rsidR="00432037">
        <w:rPr>
          <w:lang w:val="es-HN"/>
        </w:rPr>
        <w:t xml:space="preserve"> además</w:t>
      </w:r>
      <w:r w:rsidR="003A435B" w:rsidRPr="003A435B">
        <w:rPr>
          <w:lang w:val="es-HN"/>
        </w:rPr>
        <w:t xml:space="preserve"> están vinculadas con los efectos del cambio climático</w:t>
      </w:r>
      <w:r w:rsidRPr="004F6A42">
        <w:rPr>
          <w:lang w:val="es-HN"/>
        </w:rPr>
        <w:t>. El 2 de julio declaró una emergencia sanitaria nacional debido a una epidemia de dengue. Al 24 de noviembre, la Secretaría de Salud informó de 105.513 casos de dengue en todo el país, lo que supon</w:t>
      </w:r>
      <w:r w:rsidR="00580745">
        <w:rPr>
          <w:lang w:val="es-HN"/>
        </w:rPr>
        <w:t>e un crecimiento superior al 96%</w:t>
      </w:r>
      <w:r w:rsidRPr="004F6A42">
        <w:rPr>
          <w:lang w:val="es-HN"/>
        </w:rPr>
        <w:t xml:space="preserve"> en comparación con el mismo período del año 2018</w:t>
      </w:r>
      <w:r w:rsidR="009F6091" w:rsidRPr="004F6A42">
        <w:rPr>
          <w:lang w:val="es-HN"/>
        </w:rPr>
        <w:t>.</w:t>
      </w:r>
      <w:r w:rsidR="009F6091" w:rsidRPr="004F6A42">
        <w:rPr>
          <w:rStyle w:val="FootnoteReference"/>
          <w:lang w:val="es-HN"/>
        </w:rPr>
        <w:footnoteReference w:id="26"/>
      </w:r>
      <w:r w:rsidR="009F6091" w:rsidRPr="004F6A42">
        <w:rPr>
          <w:lang w:val="es-HN"/>
        </w:rPr>
        <w:t xml:space="preserve"> </w:t>
      </w:r>
      <w:r w:rsidRPr="001D0245">
        <w:rPr>
          <w:lang w:val="es-HN"/>
        </w:rPr>
        <w:t xml:space="preserve">En septiembre, la prolongada baja precipitación resultó en la declaración de una </w:t>
      </w:r>
      <w:r w:rsidRPr="00E937D6">
        <w:rPr>
          <w:lang w:val="es-HN"/>
        </w:rPr>
        <w:t xml:space="preserve">emergencia </w:t>
      </w:r>
      <w:r w:rsidR="00E937D6">
        <w:rPr>
          <w:lang w:val="es-HN"/>
        </w:rPr>
        <w:t xml:space="preserve">por sequía </w:t>
      </w:r>
      <w:r w:rsidRPr="001D0245">
        <w:rPr>
          <w:lang w:val="es-HN"/>
        </w:rPr>
        <w:t xml:space="preserve">a nivel nacional, que afectó la disponibilidad de agua para uso productivo y consumo humano. Debido al racionamiento, los hogares de las zonas pobres de Tegucigalpa no recibieron agua a través de las tuberías de agua hasta por 43 días. Los costos asociados a la necesidad de reemplazar el suministro de agua a los hogares mediante la compra de agua a camiones cisterna, representaban una grave carga financiera para las </w:t>
      </w:r>
      <w:r w:rsidRPr="001D0245">
        <w:rPr>
          <w:lang w:val="es-HN"/>
        </w:rPr>
        <w:lastRenderedPageBreak/>
        <w:t>familias pobres, que tenían que pagar casi el diez por ciento del ingreso mínimo por un barril de agua.</w:t>
      </w:r>
      <w:r w:rsidR="00993D54" w:rsidRPr="004F6A42">
        <w:rPr>
          <w:lang w:val="es-HN"/>
        </w:rPr>
        <w:t xml:space="preserve"> </w:t>
      </w:r>
    </w:p>
    <w:p w14:paraId="64CA2E92" w14:textId="50E6A065" w:rsidR="00B97F97" w:rsidRPr="004F6A42" w:rsidRDefault="008A7199" w:rsidP="00EB3CB1">
      <w:pPr>
        <w:pStyle w:val="SingleTxtG"/>
        <w:numPr>
          <w:ilvl w:val="0"/>
          <w:numId w:val="15"/>
        </w:numPr>
        <w:rPr>
          <w:i/>
          <w:lang w:val="es-HN"/>
        </w:rPr>
      </w:pPr>
      <w:r w:rsidRPr="004F6A42">
        <w:rPr>
          <w:lang w:val="es-HN"/>
        </w:rPr>
        <w:t>L</w:t>
      </w:r>
      <w:r w:rsidRPr="00902BFE">
        <w:rPr>
          <w:lang w:val="es-HN"/>
        </w:rPr>
        <w:t xml:space="preserve">a emergencia </w:t>
      </w:r>
      <w:r w:rsidR="00902BFE" w:rsidRPr="008C4933">
        <w:rPr>
          <w:lang w:val="es-HN"/>
        </w:rPr>
        <w:t>por</w:t>
      </w:r>
      <w:r w:rsidR="00902BFE">
        <w:rPr>
          <w:lang w:val="es-HN"/>
        </w:rPr>
        <w:t xml:space="preserve"> sequía</w:t>
      </w:r>
      <w:r w:rsidR="00902BFE" w:rsidRPr="004F6A42">
        <w:rPr>
          <w:lang w:val="es-HN"/>
        </w:rPr>
        <w:t xml:space="preserve"> </w:t>
      </w:r>
      <w:r w:rsidRPr="004F6A42">
        <w:rPr>
          <w:lang w:val="es-HN"/>
        </w:rPr>
        <w:t>se produjo en un contexto de alta vulnerabilidad ambiental, ya que el país está muy expuesto a los efectos del cambio climático. Esto se puso de manifiesto en la expansión del llamado "Corredor Seco", que abarca las tierras bajas de América Central y se extiende desde Panamá hasta Guatemala, incluyendo Honduras. Esta zona abarca 132 municipios del sur y el centro de Honduras y se ve extremadamente afectada por las recurrentes sequías, así como por las graves lluvias e inundaciones.</w:t>
      </w:r>
      <w:r w:rsidR="00F27DC4" w:rsidRPr="004F6A42">
        <w:rPr>
          <w:lang w:val="es-HN"/>
        </w:rPr>
        <w:t xml:space="preserve"> </w:t>
      </w:r>
    </w:p>
    <w:p w14:paraId="3B698DF3" w14:textId="58185DC6" w:rsidR="004311AC" w:rsidRPr="004F6A42" w:rsidRDefault="004311AC" w:rsidP="00481DB5">
      <w:pPr>
        <w:pStyle w:val="HChG"/>
        <w:numPr>
          <w:ilvl w:val="0"/>
          <w:numId w:val="16"/>
        </w:numPr>
        <w:rPr>
          <w:lang w:val="es-HN"/>
        </w:rPr>
      </w:pPr>
      <w:r w:rsidRPr="004F6A42">
        <w:rPr>
          <w:lang w:val="es-HN"/>
        </w:rPr>
        <w:tab/>
        <w:t>Violenc</w:t>
      </w:r>
      <w:r w:rsidR="008A7199" w:rsidRPr="004F6A42">
        <w:rPr>
          <w:lang w:val="es-HN"/>
        </w:rPr>
        <w:t xml:space="preserve">ia e inseguridad </w:t>
      </w:r>
    </w:p>
    <w:p w14:paraId="16A40BA5" w14:textId="5EE75D27" w:rsidR="00AC5E50" w:rsidRPr="004F6A42" w:rsidRDefault="00AC5E50" w:rsidP="00FD4C58">
      <w:pPr>
        <w:pStyle w:val="H1G"/>
        <w:numPr>
          <w:ilvl w:val="3"/>
          <w:numId w:val="15"/>
        </w:numPr>
        <w:tabs>
          <w:tab w:val="clear" w:pos="851"/>
          <w:tab w:val="right" w:pos="709"/>
        </w:tabs>
        <w:ind w:left="2835" w:hanging="315"/>
        <w:rPr>
          <w:lang w:val="es-HN"/>
        </w:rPr>
      </w:pPr>
      <w:r w:rsidRPr="004F6A42">
        <w:rPr>
          <w:lang w:val="es-HN"/>
        </w:rPr>
        <w:t>Context</w:t>
      </w:r>
      <w:r w:rsidR="008A7199" w:rsidRPr="004F6A42">
        <w:rPr>
          <w:lang w:val="es-HN"/>
        </w:rPr>
        <w:t>o</w:t>
      </w:r>
    </w:p>
    <w:p w14:paraId="5B77873B" w14:textId="6EB1A7DE" w:rsidR="0019111A" w:rsidRPr="004F6A42" w:rsidRDefault="008A7199" w:rsidP="0019111A">
      <w:pPr>
        <w:pStyle w:val="SingleTxtG"/>
        <w:numPr>
          <w:ilvl w:val="0"/>
          <w:numId w:val="15"/>
        </w:numPr>
        <w:rPr>
          <w:lang w:val="es-HN"/>
        </w:rPr>
      </w:pPr>
      <w:r w:rsidRPr="004F6A42">
        <w:rPr>
          <w:lang w:val="es-HN"/>
        </w:rPr>
        <w:t xml:space="preserve">Entre enero y octubre, la Policía Nacional registró 3.083 muertes violentas, el 25% de las cuales se produjeron en los departamentos de Francisco Morazán y Cortés, que albergan las ciudades de Tegucigalpa y San Pedro Sula respectivamente. </w:t>
      </w:r>
      <w:r w:rsidR="00CA4294">
        <w:rPr>
          <w:lang w:val="es-HN"/>
        </w:rPr>
        <w:t xml:space="preserve">La </w:t>
      </w:r>
      <w:r w:rsidRPr="004F6A42">
        <w:rPr>
          <w:lang w:val="es-HN"/>
        </w:rPr>
        <w:t xml:space="preserve">tasa de homicidios </w:t>
      </w:r>
      <w:r w:rsidR="000D2854">
        <w:rPr>
          <w:lang w:val="es-HN"/>
        </w:rPr>
        <w:t xml:space="preserve">en 2019 </w:t>
      </w:r>
      <w:r w:rsidR="00CA4294">
        <w:rPr>
          <w:lang w:val="es-HN"/>
        </w:rPr>
        <w:t xml:space="preserve">fue de </w:t>
      </w:r>
      <w:r w:rsidR="000D2854">
        <w:rPr>
          <w:lang w:val="es-HN"/>
        </w:rPr>
        <w:t xml:space="preserve">43.63 </w:t>
      </w:r>
      <w:r w:rsidRPr="004F6A42">
        <w:rPr>
          <w:lang w:val="es-HN"/>
        </w:rPr>
        <w:t>por cada 100.000 habitantes, lo que representa</w:t>
      </w:r>
      <w:r w:rsidR="000D2854">
        <w:rPr>
          <w:lang w:val="es-HN"/>
        </w:rPr>
        <w:t xml:space="preserve"> una subida de 2 </w:t>
      </w:r>
      <w:r w:rsidRPr="004F6A42">
        <w:rPr>
          <w:lang w:val="es-HN"/>
        </w:rPr>
        <w:t>puntos en comparación con el año 2018</w:t>
      </w:r>
      <w:r w:rsidR="0019111A" w:rsidRPr="004F6A42">
        <w:rPr>
          <w:lang w:val="es-HN"/>
        </w:rPr>
        <w:t>.</w:t>
      </w:r>
      <w:r w:rsidR="0019111A" w:rsidRPr="004F6A42">
        <w:rPr>
          <w:rStyle w:val="FootnoteReference"/>
          <w:lang w:val="es-HN"/>
        </w:rPr>
        <w:footnoteReference w:id="27"/>
      </w:r>
      <w:r w:rsidR="0019111A" w:rsidRPr="004F6A42">
        <w:rPr>
          <w:lang w:val="es-HN"/>
        </w:rPr>
        <w:t xml:space="preserve"> </w:t>
      </w:r>
      <w:r w:rsidRPr="001D0245">
        <w:rPr>
          <w:lang w:val="es-HN"/>
        </w:rPr>
        <w:t xml:space="preserve">Sin embargo, como señala el Observatorio Nacional contra la Violencia de la Universidad Nacional, en el 2019, la cifra de 3.083 muertos </w:t>
      </w:r>
      <w:r w:rsidR="001C29B3">
        <w:rPr>
          <w:lang w:val="es-HN"/>
        </w:rPr>
        <w:t>sería</w:t>
      </w:r>
      <w:r w:rsidR="000773AB">
        <w:rPr>
          <w:lang w:val="es-HN"/>
        </w:rPr>
        <w:t xml:space="preserve"> </w:t>
      </w:r>
      <w:r w:rsidRPr="001D0245">
        <w:rPr>
          <w:lang w:val="es-HN"/>
        </w:rPr>
        <w:t>superior a la registrada en el mismo período en el año 2018 (3.049)</w:t>
      </w:r>
      <w:r w:rsidR="0019111A" w:rsidRPr="004F6A42">
        <w:rPr>
          <w:lang w:val="es-HN"/>
        </w:rPr>
        <w:t>.</w:t>
      </w:r>
      <w:r w:rsidR="0019111A" w:rsidRPr="004F6A42">
        <w:rPr>
          <w:rStyle w:val="FootnoteReference"/>
          <w:lang w:val="es-HN"/>
        </w:rPr>
        <w:footnoteReference w:id="28"/>
      </w:r>
      <w:r w:rsidR="0019111A" w:rsidRPr="004F6A42">
        <w:rPr>
          <w:lang w:val="es-HN"/>
        </w:rPr>
        <w:t xml:space="preserve"> </w:t>
      </w:r>
      <w:r w:rsidRPr="00DB45BC">
        <w:rPr>
          <w:lang w:val="es-HN"/>
        </w:rPr>
        <w:t>El gran número de muertes clasificadas por el Observatorio Nacional como "no identificadas" podrían aumentar aún más la tasa de homicidios.</w:t>
      </w:r>
      <w:r w:rsidR="0019111A" w:rsidRPr="004F6A42">
        <w:rPr>
          <w:rStyle w:val="FootnoteReference"/>
          <w:lang w:val="es-HN"/>
        </w:rPr>
        <w:footnoteReference w:id="29"/>
      </w:r>
    </w:p>
    <w:p w14:paraId="63D953AB" w14:textId="75ECA361" w:rsidR="00C02C40" w:rsidRPr="004F6A42" w:rsidRDefault="008A7199" w:rsidP="009B0599">
      <w:pPr>
        <w:pStyle w:val="SingleTxtG"/>
        <w:numPr>
          <w:ilvl w:val="0"/>
          <w:numId w:val="15"/>
        </w:numPr>
        <w:rPr>
          <w:lang w:val="es-HN"/>
        </w:rPr>
      </w:pPr>
      <w:r w:rsidRPr="004F6A42">
        <w:rPr>
          <w:lang w:val="es-HN"/>
        </w:rPr>
        <w:t xml:space="preserve">Las diversas formas de violencia contra las mujeres y las niñas siguen estando muy generalizadas. Entre enero y agosto de 2019, el </w:t>
      </w:r>
      <w:r w:rsidR="0001267E">
        <w:rPr>
          <w:lang w:val="es-HN"/>
        </w:rPr>
        <w:t>P</w:t>
      </w:r>
      <w:r w:rsidRPr="004F6A42">
        <w:rPr>
          <w:lang w:val="es-HN"/>
        </w:rPr>
        <w:t xml:space="preserve">oder </w:t>
      </w:r>
      <w:r w:rsidR="0001267E">
        <w:rPr>
          <w:lang w:val="es-HN"/>
        </w:rPr>
        <w:t>J</w:t>
      </w:r>
      <w:r w:rsidRPr="004F6A42">
        <w:rPr>
          <w:lang w:val="es-HN"/>
        </w:rPr>
        <w:t>udicial procesó 672 casos de violencia sexual contra mujeres, de los cuales el 60% llegó a juicio o s</w:t>
      </w:r>
      <w:r w:rsidR="0053333B">
        <w:rPr>
          <w:lang w:val="es-HN"/>
        </w:rPr>
        <w:t>e obtuvo una sentencia.</w:t>
      </w:r>
      <w:r w:rsidR="0019111A" w:rsidRPr="004F6A42">
        <w:rPr>
          <w:rStyle w:val="FootnoteReference"/>
          <w:lang w:val="es-HN"/>
        </w:rPr>
        <w:footnoteReference w:id="30"/>
      </w:r>
      <w:r w:rsidR="0019111A" w:rsidRPr="004F6A42">
        <w:rPr>
          <w:lang w:val="es-HN"/>
        </w:rPr>
        <w:t xml:space="preserve"> </w:t>
      </w:r>
      <w:r w:rsidRPr="001D0245">
        <w:rPr>
          <w:lang w:val="es-HN"/>
        </w:rPr>
        <w:t>Durante ese mismo período, 185 mujeres fueron asesinadas.</w:t>
      </w:r>
      <w:r w:rsidR="004C57DA">
        <w:rPr>
          <w:rStyle w:val="FootnoteReference"/>
          <w:lang w:val="es-HN"/>
        </w:rPr>
        <w:footnoteReference w:id="31"/>
      </w:r>
      <w:r w:rsidR="0053333B">
        <w:rPr>
          <w:lang w:val="es-HN"/>
        </w:rPr>
        <w:t xml:space="preserve"> </w:t>
      </w:r>
      <w:r w:rsidRPr="001D0245">
        <w:rPr>
          <w:lang w:val="es-HN"/>
        </w:rPr>
        <w:t xml:space="preserve">Sin embargo, en agosto, sólo se procesaron 15 casos de femicidio, cuatro de los cuales alcanzaron una sentencia o </w:t>
      </w:r>
      <w:r w:rsidR="0001267E">
        <w:rPr>
          <w:lang w:val="es-HN"/>
        </w:rPr>
        <w:t>se llevaron a</w:t>
      </w:r>
      <w:r w:rsidRPr="001D0245">
        <w:rPr>
          <w:lang w:val="es-HN"/>
        </w:rPr>
        <w:t xml:space="preserve"> juicio. Los demás casos fueron desestimados en la fase preliminar.</w:t>
      </w:r>
      <w:r w:rsidR="0019111A" w:rsidRPr="004F6A42">
        <w:rPr>
          <w:rStyle w:val="FootnoteReference"/>
          <w:lang w:val="es-HN"/>
        </w:rPr>
        <w:footnoteReference w:id="32"/>
      </w:r>
      <w:r w:rsidR="0019111A" w:rsidRPr="004F6A42">
        <w:rPr>
          <w:lang w:val="es-HN"/>
        </w:rPr>
        <w:t xml:space="preserve"> </w:t>
      </w:r>
      <w:r w:rsidRPr="004F6A42">
        <w:rPr>
          <w:lang w:val="es-HN"/>
        </w:rPr>
        <w:t xml:space="preserve">La OACNUDH no pudo obtener datos sobre el número de denuncias por femicidios recibidas por el Ministerio Público, pero el bajo índice de enjuiciamientos y condenas en esos casos suscita la preocupación sobre la eficacia del sistema de justicia penal. </w:t>
      </w:r>
      <w:r w:rsidR="007E5CBD">
        <w:rPr>
          <w:lang w:val="es-HN"/>
        </w:rPr>
        <w:t xml:space="preserve">OACNUDH valora el establecimiento de una </w:t>
      </w:r>
      <w:r w:rsidRPr="004F6A42">
        <w:rPr>
          <w:lang w:val="es-HN"/>
        </w:rPr>
        <w:t>comisión inter-</w:t>
      </w:r>
      <w:r w:rsidRPr="004F6A42">
        <w:rPr>
          <w:lang w:val="es-HN"/>
        </w:rPr>
        <w:lastRenderedPageBreak/>
        <w:t>institucional para dar seguimiento a la investigación de muertes violentas de mujeres y de los femicidios</w:t>
      </w:r>
      <w:r w:rsidR="000063A2">
        <w:rPr>
          <w:lang w:val="es-HN"/>
        </w:rPr>
        <w:t xml:space="preserve">, donde OACNUDH tiene un </w:t>
      </w:r>
      <w:r w:rsidR="0053333B">
        <w:rPr>
          <w:lang w:val="es-HN"/>
        </w:rPr>
        <w:t xml:space="preserve">estatus </w:t>
      </w:r>
      <w:r w:rsidR="000063A2">
        <w:rPr>
          <w:lang w:val="es-HN"/>
        </w:rPr>
        <w:t>de observador</w:t>
      </w:r>
      <w:r w:rsidRPr="004F6A42">
        <w:rPr>
          <w:lang w:val="es-HN"/>
        </w:rPr>
        <w:t xml:space="preserve">. </w:t>
      </w:r>
    </w:p>
    <w:p w14:paraId="7488C6AA" w14:textId="2EFE3C0D" w:rsidR="00034291" w:rsidRPr="004F6A42" w:rsidRDefault="008A7199" w:rsidP="004E5392">
      <w:pPr>
        <w:pStyle w:val="SingleTxtG"/>
        <w:numPr>
          <w:ilvl w:val="0"/>
          <w:numId w:val="15"/>
        </w:numPr>
        <w:rPr>
          <w:lang w:val="es-HN"/>
        </w:rPr>
      </w:pPr>
      <w:r w:rsidRPr="004F6A42">
        <w:rPr>
          <w:lang w:val="es-HN"/>
        </w:rPr>
        <w:t>La violencia y la inseguridad siguieron impulsando a las personas a huir de sus hogares. Desde el año 2013, el Gobierno ha reconocido el desplazamiento interno a causa de la violencia. El 28 de marzo se presentó ante el Congreso un proyecto de ley para la prevención y la atención y protección contra el desplazamiento forzado</w:t>
      </w:r>
      <w:r w:rsidR="0053333B">
        <w:rPr>
          <w:lang w:val="es-HN"/>
        </w:rPr>
        <w:t>,</w:t>
      </w:r>
      <w:r w:rsidR="000063A2">
        <w:rPr>
          <w:lang w:val="es-HN"/>
        </w:rPr>
        <w:t xml:space="preserve"> </w:t>
      </w:r>
      <w:r w:rsidR="001C29B3">
        <w:rPr>
          <w:lang w:val="es-HN"/>
        </w:rPr>
        <w:t>aún</w:t>
      </w:r>
      <w:r w:rsidR="000063A2">
        <w:rPr>
          <w:lang w:val="es-HN"/>
        </w:rPr>
        <w:t xml:space="preserve"> pendiente de aprobación</w:t>
      </w:r>
      <w:r w:rsidR="0053333B">
        <w:rPr>
          <w:lang w:val="es-HN"/>
        </w:rPr>
        <w:t>.</w:t>
      </w:r>
      <w:r w:rsidR="00CF57AD">
        <w:rPr>
          <w:lang w:val="es-HN"/>
        </w:rPr>
        <w:t xml:space="preserve"> </w:t>
      </w:r>
      <w:r w:rsidR="00EE6EB7">
        <w:rPr>
          <w:lang w:val="es-HN"/>
        </w:rPr>
        <w:t xml:space="preserve">Como asesor permanente de la </w:t>
      </w:r>
      <w:r w:rsidR="006A7ED3">
        <w:rPr>
          <w:lang w:val="es-HN"/>
        </w:rPr>
        <w:t>Comisión</w:t>
      </w:r>
      <w:r w:rsidR="00EE6EB7">
        <w:rPr>
          <w:lang w:val="es-HN"/>
        </w:rPr>
        <w:t xml:space="preserve"> interinstitucional para la protección de las personas desplazadas por la violencia, la </w:t>
      </w:r>
      <w:r w:rsidR="00D5720E">
        <w:rPr>
          <w:lang w:val="es-HN"/>
        </w:rPr>
        <w:t xml:space="preserve">OACNUDH ha estado coordinando acciones con la SEDH para impulsar la aprobación de este proyecto. </w:t>
      </w:r>
      <w:r w:rsidR="000063A2">
        <w:rPr>
          <w:lang w:val="es-HN"/>
        </w:rPr>
        <w:t xml:space="preserve">Continua en discusión el establecimiento de un </w:t>
      </w:r>
      <w:r w:rsidR="000063A2" w:rsidRPr="004F6A42">
        <w:rPr>
          <w:lang w:val="es-HN"/>
        </w:rPr>
        <w:t>mecanismo de protección integral para el estimado de los 247.000 desplazados internos.</w:t>
      </w:r>
    </w:p>
    <w:p w14:paraId="3E3A688F" w14:textId="4F0CAC1C" w:rsidR="00D94BB2" w:rsidRPr="004F6A42" w:rsidRDefault="001D0840" w:rsidP="00FD4C58">
      <w:pPr>
        <w:pStyle w:val="H1G"/>
        <w:ind w:firstLine="1418"/>
        <w:rPr>
          <w:lang w:val="es-HN"/>
        </w:rPr>
      </w:pPr>
      <w:r w:rsidRPr="004F6A42">
        <w:rPr>
          <w:lang w:val="es-HN"/>
        </w:rPr>
        <w:t>B.</w:t>
      </w:r>
      <w:r w:rsidRPr="004F6A42">
        <w:rPr>
          <w:lang w:val="es-HN"/>
        </w:rPr>
        <w:tab/>
      </w:r>
      <w:r w:rsidR="00855C14" w:rsidRPr="004F6A42">
        <w:rPr>
          <w:lang w:val="es-HN"/>
        </w:rPr>
        <w:t>Se</w:t>
      </w:r>
      <w:r w:rsidR="008A7199" w:rsidRPr="004F6A42">
        <w:rPr>
          <w:lang w:val="es-HN"/>
        </w:rPr>
        <w:t xml:space="preserve">guridad y Defensa </w:t>
      </w:r>
    </w:p>
    <w:p w14:paraId="61CA1914" w14:textId="474236DF" w:rsidR="005A164C" w:rsidRPr="004F6A42" w:rsidRDefault="008A7199" w:rsidP="009D388A">
      <w:pPr>
        <w:pStyle w:val="SingleTxtG"/>
        <w:numPr>
          <w:ilvl w:val="0"/>
          <w:numId w:val="15"/>
        </w:numPr>
        <w:rPr>
          <w:lang w:val="es-HN"/>
        </w:rPr>
      </w:pPr>
      <w:r w:rsidRPr="004F6A42">
        <w:rPr>
          <w:lang w:val="es-HN"/>
        </w:rPr>
        <w:t xml:space="preserve">Honduras sigue dependiendo en gran medida </w:t>
      </w:r>
      <w:r w:rsidR="00973281">
        <w:rPr>
          <w:lang w:val="es-HN"/>
        </w:rPr>
        <w:t>del Ejército</w:t>
      </w:r>
      <w:r w:rsidRPr="004F6A42">
        <w:rPr>
          <w:lang w:val="es-HN"/>
        </w:rPr>
        <w:t xml:space="preserve"> para una serie de funciones relacionadas con la seguridad, desde la aplicación de la ley hasta la seguridad de los centros penitenciarios, en contra de los compromisos asumidos por Honduras de retirar a los militares de las funciones de seguridad pública.</w:t>
      </w:r>
      <w:r w:rsidR="0019111A" w:rsidRPr="004F6A42">
        <w:rPr>
          <w:rStyle w:val="FootnoteReference"/>
          <w:lang w:val="es-HN"/>
        </w:rPr>
        <w:footnoteReference w:id="33"/>
      </w:r>
      <w:r w:rsidR="0019111A" w:rsidRPr="004F6A42">
        <w:rPr>
          <w:color w:val="14171A"/>
          <w:lang w:val="es-HN"/>
        </w:rPr>
        <w:t xml:space="preserve"> </w:t>
      </w:r>
      <w:r w:rsidRPr="001D0245">
        <w:rPr>
          <w:color w:val="14171A"/>
          <w:lang w:val="es-HN"/>
        </w:rPr>
        <w:t>El aumento de los gastos militares en un 14% entre 2016 y 2018</w:t>
      </w:r>
      <w:r w:rsidR="0019111A" w:rsidRPr="004F6A42">
        <w:rPr>
          <w:lang w:val="es-HN"/>
        </w:rPr>
        <w:t>,</w:t>
      </w:r>
      <w:r w:rsidRPr="004F6A42">
        <w:rPr>
          <w:lang w:val="es-HN"/>
        </w:rPr>
        <w:t xml:space="preserve"> </w:t>
      </w:r>
      <w:r w:rsidR="0019111A" w:rsidRPr="004F6A42">
        <w:rPr>
          <w:rStyle w:val="FootnoteReference"/>
          <w:lang w:val="es-HN"/>
        </w:rPr>
        <w:footnoteReference w:id="34"/>
      </w:r>
      <w:r w:rsidR="0019111A" w:rsidRPr="004F6A42">
        <w:rPr>
          <w:lang w:val="es-HN"/>
        </w:rPr>
        <w:t xml:space="preserve"> </w:t>
      </w:r>
      <w:r w:rsidRPr="004F6A42">
        <w:rPr>
          <w:lang w:val="es-HN"/>
        </w:rPr>
        <w:t xml:space="preserve">y el aumento del 7,2% del presupuesto del Ministerio de Defensa en 2019 pone en tela de juicio la firmeza del compromiso del Gobierno de avanzar de manera constante hacia la seguridad </w:t>
      </w:r>
      <w:r w:rsidR="00973281">
        <w:rPr>
          <w:lang w:val="es-HN"/>
        </w:rPr>
        <w:t>civil</w:t>
      </w:r>
      <w:r w:rsidRPr="004F6A42">
        <w:rPr>
          <w:lang w:val="es-HN"/>
        </w:rPr>
        <w:t>. La prevención de la violencia aparece como una prioridad baja, ya que se le asigna menos del 6% del monto del Im</w:t>
      </w:r>
      <w:r w:rsidR="0090643B">
        <w:rPr>
          <w:lang w:val="es-HN"/>
        </w:rPr>
        <w:t>puesto de la Tasa de Seguridad.</w:t>
      </w:r>
      <w:r w:rsidR="0019111A" w:rsidRPr="004F6A42">
        <w:rPr>
          <w:rStyle w:val="FootnoteReference"/>
          <w:lang w:val="es-HN"/>
        </w:rPr>
        <w:footnoteReference w:id="35"/>
      </w:r>
    </w:p>
    <w:p w14:paraId="2130FA05" w14:textId="1AB4ECCA" w:rsidR="004E5392" w:rsidRPr="004F6A42" w:rsidRDefault="008A7199" w:rsidP="00707FE9">
      <w:pPr>
        <w:pStyle w:val="SingleTxtG"/>
        <w:numPr>
          <w:ilvl w:val="0"/>
          <w:numId w:val="15"/>
        </w:numPr>
        <w:rPr>
          <w:lang w:val="es-HN"/>
        </w:rPr>
      </w:pPr>
      <w:r w:rsidRPr="004F6A42">
        <w:rPr>
          <w:lang w:val="es-HN"/>
        </w:rPr>
        <w:t>La aplicación de la reforma de la Policía Nacional y del Ministerio de Seguridad avanzó</w:t>
      </w:r>
      <w:r w:rsidRPr="00AC068F">
        <w:rPr>
          <w:lang w:val="es-HN"/>
        </w:rPr>
        <w:t>, aunque lentamente</w:t>
      </w:r>
      <w:r w:rsidRPr="004F6A42">
        <w:rPr>
          <w:lang w:val="es-HN"/>
        </w:rPr>
        <w:t xml:space="preserve">. El número de agentes de policía aumentó en 1.079 en 2019, con lo que el número total asciende a 17.878. El Gobierno se fijó como meta la cifra de 26.000 agentes de policía para el año 2022. La Dirección de Asuntos Disciplinarios de la Policía, que depende de la Secretaría de Seguridad, se encuentra ya en funcionamiento, pero carece de personal suficiente. En julio, se informó de que se estaban investigando 1.500 denuncias disciplinarias. No está claro cómo se coordina este órgano con la Comisión de Verificación de la Policía, que tiene un mandato de supervisión civil de los órganos y procesos de </w:t>
      </w:r>
      <w:r w:rsidR="00C873E9">
        <w:rPr>
          <w:lang w:val="es-HN"/>
        </w:rPr>
        <w:t>investigación y disciplinarios.</w:t>
      </w:r>
      <w:r w:rsidR="00213F6B" w:rsidRPr="004F6A42">
        <w:rPr>
          <w:rStyle w:val="FootnoteReference"/>
          <w:lang w:val="es-HN"/>
        </w:rPr>
        <w:footnoteReference w:id="36"/>
      </w:r>
      <w:r w:rsidR="00CD4A89" w:rsidRPr="004F6A42">
        <w:rPr>
          <w:lang w:val="es-HN"/>
        </w:rPr>
        <w:t xml:space="preserve"> </w:t>
      </w:r>
    </w:p>
    <w:p w14:paraId="6EF45EEA" w14:textId="1E74B88D" w:rsidR="005A164C" w:rsidRPr="004F6A42" w:rsidRDefault="008A7199" w:rsidP="00C964AE">
      <w:pPr>
        <w:pStyle w:val="SingleTxtG"/>
        <w:numPr>
          <w:ilvl w:val="0"/>
          <w:numId w:val="15"/>
        </w:numPr>
        <w:rPr>
          <w:lang w:val="es-HN"/>
        </w:rPr>
      </w:pPr>
      <w:r w:rsidRPr="004F6A42">
        <w:rPr>
          <w:lang w:val="es-HN"/>
        </w:rPr>
        <w:t xml:space="preserve">Las condiciones de trabajo en el seno de la Policía Nacional siguen siendo motivo de descontento. En junio, los sectores de las Fuerzas Especiales de la Policía declararon una huelga, en protesta por las malas condiciones laborales y los bajos salarios. Con la mediación de la Oficina del Comisionado Nacional de Derechos Humanos </w:t>
      </w:r>
      <w:r w:rsidRPr="004F6A42">
        <w:rPr>
          <w:lang w:val="es-HN"/>
        </w:rPr>
        <w:lastRenderedPageBreak/>
        <w:t>(CONADEH), el 20 de junio se llegó a un acuerdo con la Secretaría de Seguridad, lo que impidió que se adoptaran medidas disciplinarias contra los agentes que participaron en la huelga. Sin embargo, en septiembre se iniciaron acciones disciplinarias contra 92 oficiales y el Departamento de Asuntos Disciplinarios de la Policía declaró no</w:t>
      </w:r>
      <w:r w:rsidR="0090643B">
        <w:rPr>
          <w:lang w:val="es-HN"/>
        </w:rPr>
        <w:t xml:space="preserve"> estar obligado por el acuerdo.</w:t>
      </w:r>
      <w:r w:rsidR="0019111A" w:rsidRPr="004F6A42">
        <w:rPr>
          <w:rStyle w:val="FootnoteReference"/>
          <w:lang w:val="es-HN"/>
        </w:rPr>
        <w:footnoteReference w:id="37"/>
      </w:r>
    </w:p>
    <w:p w14:paraId="2FEA33B1" w14:textId="5C3D4675" w:rsidR="004311AC" w:rsidRPr="004F6A42" w:rsidRDefault="00FD4C58" w:rsidP="00FD4C58">
      <w:pPr>
        <w:pStyle w:val="H1G"/>
        <w:ind w:left="2268" w:firstLine="284"/>
        <w:rPr>
          <w:lang w:val="es-HN"/>
        </w:rPr>
      </w:pPr>
      <w:r>
        <w:rPr>
          <w:lang w:val="es-HN"/>
        </w:rPr>
        <w:t>C.</w:t>
      </w:r>
      <w:r>
        <w:rPr>
          <w:lang w:val="es-HN"/>
        </w:rPr>
        <w:tab/>
      </w:r>
      <w:r w:rsidR="008A7199" w:rsidRPr="004F6A42">
        <w:rPr>
          <w:lang w:val="es-HN"/>
        </w:rPr>
        <w:t>Personas privadas de libertad</w:t>
      </w:r>
      <w:r w:rsidR="008A7199" w:rsidRPr="004F6A42" w:rsidDel="008A7199">
        <w:rPr>
          <w:lang w:val="es-HN"/>
        </w:rPr>
        <w:t xml:space="preserve"> </w:t>
      </w:r>
    </w:p>
    <w:p w14:paraId="290F2930" w14:textId="48DD97CA" w:rsidR="00A53560" w:rsidRPr="004F6A42" w:rsidRDefault="008A7199" w:rsidP="00A53560">
      <w:pPr>
        <w:pStyle w:val="ListParagraph"/>
        <w:numPr>
          <w:ilvl w:val="0"/>
          <w:numId w:val="15"/>
        </w:numPr>
        <w:ind w:right="1183"/>
        <w:jc w:val="both"/>
        <w:rPr>
          <w:lang w:val="es-HN"/>
        </w:rPr>
      </w:pPr>
      <w:r w:rsidRPr="004F6A42">
        <w:rPr>
          <w:lang w:val="es-HN"/>
        </w:rPr>
        <w:t xml:space="preserve">Al 30 de septiembre de 2019, había 21.591 detenidos adultos en Honduras, entre ellos 1.171 mujeres, en comparación con 20.583 detenidos en septiembre de 2018. El número de personas en prisión preventiva sigue siendo elevado (55% hombres y 61% mujeres). El Comité Nacional para la Prevención de la Tortura (CONAPREV) calificó las condiciones de los centros de detención como "inhumanas" y, en algunos casos, constitutivas de tortura física y mental. </w:t>
      </w:r>
      <w:r w:rsidR="00DC2D83">
        <w:rPr>
          <w:lang w:val="es-HN"/>
        </w:rPr>
        <w:t>A</w:t>
      </w:r>
      <w:r w:rsidRPr="004F6A42">
        <w:rPr>
          <w:lang w:val="es-HN"/>
        </w:rPr>
        <w:t xml:space="preserve">gravadas por el hacinamiento, otras problemáticas </w:t>
      </w:r>
      <w:r w:rsidR="00DC2D83">
        <w:rPr>
          <w:lang w:val="es-HN"/>
        </w:rPr>
        <w:t>incluyen</w:t>
      </w:r>
      <w:r w:rsidRPr="004F6A42">
        <w:rPr>
          <w:lang w:val="es-HN"/>
        </w:rPr>
        <w:t xml:space="preserve"> la falta de higiene, la mala calidad y disponibilidad del agua, la falta de alimentos, la escasez de dormitorios, la falta de acceso a la atención médica y la detención prolongada en las celdas sin acceso a la luz natural y al aire.</w:t>
      </w:r>
      <w:r w:rsidR="00A53560" w:rsidRPr="004F6A42">
        <w:rPr>
          <w:lang w:val="es-HN"/>
        </w:rPr>
        <w:t xml:space="preserve">  </w:t>
      </w:r>
    </w:p>
    <w:p w14:paraId="6A8EB04C" w14:textId="77777777" w:rsidR="00A53560" w:rsidRPr="004F6A42" w:rsidRDefault="00A53560" w:rsidP="00A53560">
      <w:pPr>
        <w:pStyle w:val="ListParagraph"/>
        <w:ind w:left="928" w:right="1183"/>
        <w:jc w:val="both"/>
        <w:rPr>
          <w:lang w:val="es-HN"/>
        </w:rPr>
      </w:pPr>
    </w:p>
    <w:p w14:paraId="45ABDBE5" w14:textId="0087338C" w:rsidR="00A53560" w:rsidRPr="004F6A42" w:rsidRDefault="008A7199" w:rsidP="00A53560">
      <w:pPr>
        <w:pStyle w:val="ListParagraph"/>
        <w:numPr>
          <w:ilvl w:val="0"/>
          <w:numId w:val="15"/>
        </w:numPr>
        <w:ind w:right="1183"/>
        <w:jc w:val="both"/>
        <w:rPr>
          <w:lang w:val="es-HN"/>
        </w:rPr>
      </w:pPr>
      <w:r w:rsidRPr="004F6A42">
        <w:rPr>
          <w:lang w:val="es-HN"/>
        </w:rPr>
        <w:t>A pesar de la</w:t>
      </w:r>
      <w:r w:rsidR="00DC2D83">
        <w:rPr>
          <w:lang w:val="es-HN"/>
        </w:rPr>
        <w:t xml:space="preserve">s severas normas de </w:t>
      </w:r>
      <w:r w:rsidRPr="004F6A42">
        <w:rPr>
          <w:lang w:val="es-HN"/>
        </w:rPr>
        <w:t>vigilancia de seguridad, las armas siguieron circulando en las cárceles, incluso en los centros penitenciarios con módulos de máxima seguridad como Ilama y Morocelí. En algunos casos se utilizaron armas para cometer asesinatos selectivos. Por ejemplo, el 26 de octubre, el tiroteo y el apuñalamiento de Magdaleno Meza</w:t>
      </w:r>
      <w:r w:rsidR="002E4231" w:rsidRPr="004F6A42">
        <w:rPr>
          <w:lang w:val="es-HN"/>
        </w:rPr>
        <w:t>,</w:t>
      </w:r>
      <w:r w:rsidR="00116570" w:rsidRPr="004F6A42">
        <w:rPr>
          <w:rStyle w:val="FootnoteReference"/>
          <w:lang w:val="es-HN"/>
        </w:rPr>
        <w:footnoteReference w:id="38"/>
      </w:r>
      <w:r w:rsidR="00A53560" w:rsidRPr="004F6A42">
        <w:rPr>
          <w:lang w:val="es-HN"/>
        </w:rPr>
        <w:t xml:space="preserve"> </w:t>
      </w:r>
      <w:r w:rsidRPr="004F6A42">
        <w:rPr>
          <w:lang w:val="es-HN"/>
        </w:rPr>
        <w:t>un detenido en prisión preventiva</w:t>
      </w:r>
      <w:r w:rsidR="000063A2">
        <w:rPr>
          <w:lang w:val="es-HN"/>
        </w:rPr>
        <w:t xml:space="preserve"> relacionado con el caso</w:t>
      </w:r>
      <w:r w:rsidRPr="00AC068F">
        <w:rPr>
          <w:lang w:val="es-HN"/>
        </w:rPr>
        <w:t xml:space="preserve"> contra el hermano del Presidente Hernández</w:t>
      </w:r>
      <w:r w:rsidRPr="004F6A42">
        <w:rPr>
          <w:lang w:val="es-HN"/>
        </w:rPr>
        <w:t>, caus</w:t>
      </w:r>
      <w:r w:rsidR="00C873E9">
        <w:rPr>
          <w:lang w:val="es-HN"/>
        </w:rPr>
        <w:t>ó</w:t>
      </w:r>
      <w:r w:rsidRPr="004F6A42">
        <w:rPr>
          <w:lang w:val="es-HN"/>
        </w:rPr>
        <w:t xml:space="preserve"> indignación. En enero de 2019, sus abogados solicitaron al Instituto Nacional Penitenciario su traslado debido a las amenazas contra su vida, sin resultado alguno. El 9 de diciembre, José Luis Pinto, uno de sus abogados, fue asesinado a tiros en el departamento de Copán. Otro de los abogados de Magdaleno, Carlos Chajtur, ha denunciado públicamente las amenazas de muerte</w:t>
      </w:r>
      <w:r w:rsidR="002E4231" w:rsidRPr="004F6A42">
        <w:rPr>
          <w:lang w:val="es-HN"/>
        </w:rPr>
        <w:t>.</w:t>
      </w:r>
      <w:r w:rsidR="009B79F7" w:rsidRPr="004F6A42">
        <w:rPr>
          <w:rStyle w:val="FootnoteReference"/>
          <w:lang w:val="es-HN"/>
        </w:rPr>
        <w:footnoteReference w:id="39"/>
      </w:r>
      <w:r w:rsidR="00A53560" w:rsidRPr="004F6A42">
        <w:rPr>
          <w:lang w:val="es-HN"/>
        </w:rPr>
        <w:t xml:space="preserve"> </w:t>
      </w:r>
    </w:p>
    <w:p w14:paraId="6CD04273" w14:textId="77777777" w:rsidR="00A53560" w:rsidRPr="004F6A42" w:rsidRDefault="00A53560" w:rsidP="00A53560">
      <w:pPr>
        <w:pStyle w:val="ListParagraph"/>
        <w:rPr>
          <w:lang w:val="es-HN"/>
        </w:rPr>
      </w:pPr>
    </w:p>
    <w:p w14:paraId="6D1FC8A4" w14:textId="0DFB4645" w:rsidR="00A53560" w:rsidRPr="004F6A42" w:rsidRDefault="003738A6" w:rsidP="00A53560">
      <w:pPr>
        <w:pStyle w:val="ListParagraph"/>
        <w:numPr>
          <w:ilvl w:val="0"/>
          <w:numId w:val="15"/>
        </w:numPr>
        <w:ind w:right="1183"/>
        <w:jc w:val="both"/>
        <w:rPr>
          <w:lang w:val="es-HN"/>
        </w:rPr>
      </w:pPr>
      <w:r w:rsidRPr="004F6A42">
        <w:rPr>
          <w:lang w:val="es-HN"/>
        </w:rPr>
        <w:t xml:space="preserve">El 5 de diciembre, cinco detenidos, al parecer miembros de la MS-13, fueron asesinados dentro del centro penitenciario de Morocelí. El 13 de diciembre, hombres armados dispararon y mataron al </w:t>
      </w:r>
      <w:r w:rsidR="001D0245" w:rsidRPr="001D0245">
        <w:rPr>
          <w:lang w:val="es-HN"/>
        </w:rPr>
        <w:t>director</w:t>
      </w:r>
      <w:r w:rsidRPr="004F6A42">
        <w:rPr>
          <w:lang w:val="es-HN"/>
        </w:rPr>
        <w:t xml:space="preserve"> del Centro de Ilama, Pedro </w:t>
      </w:r>
      <w:r w:rsidRPr="00902BFE">
        <w:rPr>
          <w:lang w:val="es-HN"/>
        </w:rPr>
        <w:t>I</w:t>
      </w:r>
      <w:r w:rsidR="00902BFE">
        <w:rPr>
          <w:lang w:val="es-HN"/>
        </w:rPr>
        <w:t>l</w:t>
      </w:r>
      <w:r w:rsidRPr="00902BFE">
        <w:rPr>
          <w:lang w:val="es-HN"/>
        </w:rPr>
        <w:t>defonso</w:t>
      </w:r>
      <w:r w:rsidRPr="004F6A42">
        <w:rPr>
          <w:lang w:val="es-HN"/>
        </w:rPr>
        <w:t xml:space="preserve"> Armas. El Director fue uno de los principales testigos del asesinato de Magdaleno Meza y apareció claramente en las grabaciones de vídeo de</w:t>
      </w:r>
      <w:r w:rsidR="00DC2D83">
        <w:rPr>
          <w:lang w:val="es-HN"/>
        </w:rPr>
        <w:t>l asesinato</w:t>
      </w:r>
      <w:r w:rsidRPr="004F6A42">
        <w:rPr>
          <w:lang w:val="es-HN"/>
        </w:rPr>
        <w:t>.</w:t>
      </w:r>
      <w:r w:rsidR="00A53560" w:rsidRPr="004F6A42">
        <w:rPr>
          <w:lang w:val="es-HN"/>
        </w:rPr>
        <w:t xml:space="preserve"> </w:t>
      </w:r>
      <w:r w:rsidRPr="001D0245">
        <w:rPr>
          <w:lang w:val="es-HN"/>
        </w:rPr>
        <w:t>El 16 de diciembre, el Ejecutivo emitió un decreto presidencial</w:t>
      </w:r>
      <w:r w:rsidRPr="001D0245" w:rsidDel="003738A6">
        <w:rPr>
          <w:lang w:val="es-HN"/>
        </w:rPr>
        <w:t xml:space="preserve"> </w:t>
      </w:r>
      <w:r w:rsidR="001645BE" w:rsidRPr="004F6A42">
        <w:rPr>
          <w:rStyle w:val="FootnoteReference"/>
          <w:lang w:val="es-HN"/>
        </w:rPr>
        <w:footnoteReference w:id="40"/>
      </w:r>
      <w:r w:rsidR="00A53560" w:rsidRPr="004F6A42">
        <w:rPr>
          <w:lang w:val="es-HN"/>
        </w:rPr>
        <w:t xml:space="preserve"> </w:t>
      </w:r>
      <w:r w:rsidRPr="004F6A42">
        <w:rPr>
          <w:lang w:val="es-HN"/>
        </w:rPr>
        <w:t xml:space="preserve">declarando el estado de emergencia en el sistema penitenciario y estableciendo una Comisión de Intervención compuesta por la </w:t>
      </w:r>
      <w:r w:rsidRPr="004F6A42">
        <w:rPr>
          <w:lang w:val="es-HN"/>
        </w:rPr>
        <w:lastRenderedPageBreak/>
        <w:t>Fuerza Nacional de Seguridad Interinstitucional (FUSINA), que incluye cinco Coroneles del Ejército y dos Comisionados de la Policía Nacional. Los centros de Támara, Morocelí, El Porvenir y la Penitenciaría Nacional de Mujeres, donde se encuentra el 44 por ciento del total de la población detenida, ya estaban bajo la dirección de oficiales militares activos. El decreto transfirió por un período de seis meses el control del Instituto Nacional Penitenciario y del Instituto Nacional de Menores Infractores a FUSINA</w:t>
      </w:r>
      <w:r w:rsidR="00DC2D83">
        <w:rPr>
          <w:lang w:val="es-HN"/>
        </w:rPr>
        <w:t>.</w:t>
      </w:r>
    </w:p>
    <w:p w14:paraId="18937C92" w14:textId="77777777" w:rsidR="00A53560" w:rsidRPr="004F6A42" w:rsidRDefault="00A53560" w:rsidP="00A53560">
      <w:pPr>
        <w:pStyle w:val="ListParagraph"/>
        <w:rPr>
          <w:lang w:val="es-HN"/>
        </w:rPr>
      </w:pPr>
    </w:p>
    <w:p w14:paraId="33E209A5" w14:textId="49739CF2" w:rsidR="00A53560" w:rsidRPr="00E54F9D" w:rsidRDefault="003738A6" w:rsidP="00E54F9D">
      <w:pPr>
        <w:pStyle w:val="ListParagraph"/>
        <w:numPr>
          <w:ilvl w:val="0"/>
          <w:numId w:val="15"/>
        </w:numPr>
        <w:shd w:val="clear" w:color="auto" w:fill="FFFFFF" w:themeFill="background1"/>
        <w:ind w:right="1183"/>
        <w:jc w:val="both"/>
        <w:rPr>
          <w:lang w:val="es-HN"/>
        </w:rPr>
      </w:pPr>
      <w:r w:rsidRPr="00E54F9D">
        <w:rPr>
          <w:lang w:val="es-HN"/>
        </w:rPr>
        <w:t xml:space="preserve">Tras la entrada en vigor del decreto, el 20 de diciembre, </w:t>
      </w:r>
      <w:r w:rsidR="00972397">
        <w:rPr>
          <w:lang w:val="es-HN"/>
        </w:rPr>
        <w:t>21</w:t>
      </w:r>
      <w:r w:rsidRPr="00E54F9D">
        <w:rPr>
          <w:lang w:val="es-HN"/>
        </w:rPr>
        <w:t xml:space="preserve"> detenidos resultaron muertos y </w:t>
      </w:r>
      <w:r w:rsidR="00E36354">
        <w:rPr>
          <w:lang w:val="es-HN"/>
        </w:rPr>
        <w:t>13</w:t>
      </w:r>
      <w:r w:rsidRPr="00E54F9D">
        <w:rPr>
          <w:lang w:val="es-HN"/>
        </w:rPr>
        <w:t xml:space="preserve"> heridos en el centro de detención de hombres de Tela, en el departamento de Atlántida. FUSINA no ha</w:t>
      </w:r>
      <w:r w:rsidR="00F31B4B">
        <w:rPr>
          <w:lang w:val="es-HN"/>
        </w:rPr>
        <w:t>bía</w:t>
      </w:r>
      <w:r w:rsidRPr="00E54F9D">
        <w:rPr>
          <w:lang w:val="es-HN"/>
        </w:rPr>
        <w:t xml:space="preserve"> tomado el control del centro y las autoridades civiles de la prisión fueron suspendidas inmediatamente. El 22 de diciembre, al menos 1</w:t>
      </w:r>
      <w:r w:rsidR="00972397">
        <w:rPr>
          <w:lang w:val="es-HN"/>
        </w:rPr>
        <w:t>9</w:t>
      </w:r>
      <w:r w:rsidRPr="00E54F9D">
        <w:rPr>
          <w:lang w:val="es-HN"/>
        </w:rPr>
        <w:t xml:space="preserve"> detenidos fueron asesinados dentro del centro penitenciario de</w:t>
      </w:r>
      <w:r w:rsidR="00972397">
        <w:rPr>
          <w:lang w:val="es-HN"/>
        </w:rPr>
        <w:t>l</w:t>
      </w:r>
      <w:r w:rsidRPr="00E54F9D">
        <w:rPr>
          <w:lang w:val="es-HN"/>
        </w:rPr>
        <w:t xml:space="preserve"> Porvenir en el Valle de Siria, en el departamento de Francisco Morazán. Al 23 de diciembre, según datos del Instituto Nacional Penitenciario, </w:t>
      </w:r>
      <w:r w:rsidR="00972397">
        <w:rPr>
          <w:lang w:val="es-HN"/>
        </w:rPr>
        <w:t>60</w:t>
      </w:r>
      <w:r w:rsidRPr="00E54F9D">
        <w:rPr>
          <w:lang w:val="es-HN"/>
        </w:rPr>
        <w:t xml:space="preserve"> internos en custodia habían sido asesinados, 4</w:t>
      </w:r>
      <w:r w:rsidR="00972397">
        <w:rPr>
          <w:lang w:val="es-HN"/>
        </w:rPr>
        <w:t>9</w:t>
      </w:r>
      <w:r w:rsidRPr="00E54F9D">
        <w:rPr>
          <w:lang w:val="es-HN"/>
        </w:rPr>
        <w:t xml:space="preserve"> sólo en el mes de diciembre</w:t>
      </w:r>
      <w:r w:rsidR="00A53560" w:rsidRPr="00E54F9D">
        <w:rPr>
          <w:lang w:val="es-HN"/>
        </w:rPr>
        <w:t>.</w:t>
      </w:r>
      <w:r w:rsidR="0017653E" w:rsidRPr="00E54F9D">
        <w:rPr>
          <w:rStyle w:val="FootnoteReference"/>
          <w:lang w:val="es-HN"/>
        </w:rPr>
        <w:footnoteReference w:id="41"/>
      </w:r>
    </w:p>
    <w:p w14:paraId="29EFC086" w14:textId="77777777" w:rsidR="00A53560" w:rsidRPr="004F6A42" w:rsidRDefault="00A53560" w:rsidP="00A53560">
      <w:pPr>
        <w:pStyle w:val="ListParagraph"/>
        <w:rPr>
          <w:lang w:val="es-HN"/>
        </w:rPr>
      </w:pPr>
    </w:p>
    <w:p w14:paraId="69830F29" w14:textId="4E2277F7" w:rsidR="00ED65F2" w:rsidRPr="004F6A42" w:rsidRDefault="003738A6" w:rsidP="00ED65F2">
      <w:pPr>
        <w:pStyle w:val="ListParagraph"/>
        <w:numPr>
          <w:ilvl w:val="0"/>
          <w:numId w:val="15"/>
        </w:numPr>
        <w:ind w:right="1183"/>
        <w:jc w:val="both"/>
        <w:rPr>
          <w:lang w:val="es-HN"/>
        </w:rPr>
      </w:pPr>
      <w:r w:rsidRPr="004F6A42">
        <w:rPr>
          <w:lang w:val="es-HN"/>
        </w:rPr>
        <w:t xml:space="preserve">La OACNUDH recuerda la obligación del Estado de llevar a cabo investigaciones rápidas, eficaces, exhaustivas, independientes, imparciales y transparentes de todos los casos de muerte </w:t>
      </w:r>
      <w:r w:rsidR="00DC2D83">
        <w:rPr>
          <w:lang w:val="es-HN"/>
        </w:rPr>
        <w:t>bajo custodia</w:t>
      </w:r>
      <w:r w:rsidRPr="004F6A42">
        <w:rPr>
          <w:lang w:val="es-HN"/>
        </w:rPr>
        <w:t>, así como de todas las denuncias de tortura</w:t>
      </w:r>
      <w:r w:rsidR="00FF0156">
        <w:rPr>
          <w:lang w:val="es-HN"/>
        </w:rPr>
        <w:t>,</w:t>
      </w:r>
      <w:r w:rsidRPr="004F6A42">
        <w:rPr>
          <w:lang w:val="es-HN"/>
        </w:rPr>
        <w:t xml:space="preserve"> o de tratos inhumanos o degradantes </w:t>
      </w:r>
      <w:r w:rsidR="00FF0156">
        <w:rPr>
          <w:lang w:val="es-HN"/>
        </w:rPr>
        <w:t xml:space="preserve">o castigo </w:t>
      </w:r>
      <w:r w:rsidRPr="004F6A42">
        <w:rPr>
          <w:lang w:val="es-HN"/>
        </w:rPr>
        <w:t>de los detenidos.</w:t>
      </w:r>
    </w:p>
    <w:p w14:paraId="159AA0D0" w14:textId="77777777" w:rsidR="005A40EE" w:rsidRPr="004F6A42" w:rsidRDefault="005A40EE" w:rsidP="005A40EE">
      <w:pPr>
        <w:pStyle w:val="ListParagraph"/>
        <w:ind w:left="928" w:right="1183"/>
        <w:jc w:val="both"/>
        <w:rPr>
          <w:lang w:val="es-HN"/>
        </w:rPr>
      </w:pPr>
    </w:p>
    <w:p w14:paraId="3836B967" w14:textId="03E0280F" w:rsidR="003A650C" w:rsidRPr="004F6A42" w:rsidRDefault="003738A6" w:rsidP="001A1783">
      <w:pPr>
        <w:pStyle w:val="ListParagraph"/>
        <w:numPr>
          <w:ilvl w:val="0"/>
          <w:numId w:val="15"/>
        </w:numPr>
        <w:ind w:right="1183"/>
        <w:jc w:val="both"/>
        <w:rPr>
          <w:lang w:val="es-HN"/>
        </w:rPr>
      </w:pPr>
      <w:r w:rsidRPr="004F6A42">
        <w:rPr>
          <w:lang w:val="es-HN"/>
        </w:rPr>
        <w:t>Continuó la falta de adhesión a los principios y procedimientos para los traslados establecidos en la Ley del Sistema Penitenciario. Se siguieron realizando traslados sin notificación a las familias de los detenidos y a los jueces de ejecución penal.</w:t>
      </w:r>
      <w:r w:rsidR="004A1588" w:rsidRPr="004F6A42">
        <w:rPr>
          <w:rStyle w:val="FootnoteReference"/>
          <w:lang w:val="es-HN"/>
        </w:rPr>
        <w:footnoteReference w:id="42"/>
      </w:r>
      <w:r w:rsidR="004A1588" w:rsidRPr="004F6A42">
        <w:rPr>
          <w:lang w:val="es-HN"/>
        </w:rPr>
        <w:t xml:space="preserve"> </w:t>
      </w:r>
      <w:r w:rsidRPr="001D0245">
        <w:rPr>
          <w:lang w:val="es-HN"/>
        </w:rPr>
        <w:t>Frecuentemente se viola el principio de que los reclusos deben ser asignados a centros cercanos a su familia.</w:t>
      </w:r>
      <w:r w:rsidR="004A1588" w:rsidRPr="004F6A42">
        <w:rPr>
          <w:rStyle w:val="FootnoteReference"/>
          <w:lang w:val="es-HN"/>
        </w:rPr>
        <w:footnoteReference w:id="43"/>
      </w:r>
      <w:r w:rsidR="00AE4BC6" w:rsidRPr="004F6A42">
        <w:rPr>
          <w:lang w:val="es-HN"/>
        </w:rPr>
        <w:t xml:space="preserve"> </w:t>
      </w:r>
      <w:r w:rsidRPr="001D0245">
        <w:rPr>
          <w:lang w:val="es-HN"/>
        </w:rPr>
        <w:t>Las decisiones de los jueces de ejecución penal no suelen ser ejecutadas por el Instituto Nacional Penitenciario, o lo son con retrasos significativos, como lo ilustra el caso de siete defensores de los derechos humanos, que permanecieron detenidos en el centro penitenciario de Morocelí, del 3 de septiembre al 30 de octubre de 2019, a pesar de existir una orden judicial emitida el 1 de septiembre, en donde se establecía su traslado al centro de Olanchito</w:t>
      </w:r>
      <w:r w:rsidR="00AE4BC6" w:rsidRPr="004F6A42">
        <w:rPr>
          <w:lang w:val="es-HN"/>
        </w:rPr>
        <w:t xml:space="preserve">. </w:t>
      </w:r>
    </w:p>
    <w:p w14:paraId="468CF90F" w14:textId="77777777" w:rsidR="003A650C" w:rsidRPr="004F6A42" w:rsidRDefault="003A650C" w:rsidP="003A650C">
      <w:pPr>
        <w:pStyle w:val="ListParagraph"/>
        <w:rPr>
          <w:lang w:val="es-HN"/>
        </w:rPr>
      </w:pPr>
    </w:p>
    <w:p w14:paraId="256B6B04" w14:textId="178C404C" w:rsidR="00C2206E" w:rsidRPr="004F6A42" w:rsidRDefault="003738A6" w:rsidP="00C2206E">
      <w:pPr>
        <w:pStyle w:val="ListParagraph"/>
        <w:numPr>
          <w:ilvl w:val="0"/>
          <w:numId w:val="15"/>
        </w:numPr>
        <w:ind w:right="1183"/>
        <w:jc w:val="both"/>
        <w:rPr>
          <w:lang w:val="es-HN"/>
        </w:rPr>
      </w:pPr>
      <w:r w:rsidRPr="004F6A42">
        <w:rPr>
          <w:lang w:val="es-HN"/>
        </w:rPr>
        <w:t>El artículo 245 de la Ley de Presupuesto General de 2019, que exime a los familiares de las personas privadas de libertad del pago de los documentos necesarios para la expedición de la tarjeta de visita, a menudo no se aplic</w:t>
      </w:r>
      <w:r w:rsidR="000259BD">
        <w:rPr>
          <w:lang w:val="es-HN"/>
        </w:rPr>
        <w:t>ó</w:t>
      </w:r>
      <w:r w:rsidRPr="004F6A42">
        <w:rPr>
          <w:lang w:val="es-HN"/>
        </w:rPr>
        <w:t>. Por consiguiente, para muchas familias el proceso de reglamentación de las visitas sigue siendo largo, costoso y complejo.</w:t>
      </w:r>
      <w:r w:rsidR="00E6796F" w:rsidRPr="004F6A42">
        <w:rPr>
          <w:lang w:val="es-HN"/>
        </w:rPr>
        <w:t xml:space="preserve"> </w:t>
      </w:r>
    </w:p>
    <w:p w14:paraId="429CA3CE" w14:textId="77777777" w:rsidR="00C2206E" w:rsidRPr="004F6A42" w:rsidRDefault="00C2206E" w:rsidP="00C2206E">
      <w:pPr>
        <w:pStyle w:val="ListParagraph"/>
        <w:rPr>
          <w:lang w:val="es-HN"/>
        </w:rPr>
      </w:pPr>
    </w:p>
    <w:p w14:paraId="6DC8E2DB" w14:textId="63D92E14" w:rsidR="001A1783" w:rsidRPr="004F6A42" w:rsidRDefault="00C873E9" w:rsidP="00584487">
      <w:pPr>
        <w:pStyle w:val="ListParagraph"/>
        <w:numPr>
          <w:ilvl w:val="0"/>
          <w:numId w:val="15"/>
        </w:numPr>
        <w:ind w:right="1183"/>
        <w:jc w:val="both"/>
        <w:rPr>
          <w:lang w:val="es-HN"/>
        </w:rPr>
      </w:pPr>
      <w:r>
        <w:rPr>
          <w:lang w:val="es-HN"/>
        </w:rPr>
        <w:lastRenderedPageBreak/>
        <w:t>CONAPREV siguió enfrentando</w:t>
      </w:r>
      <w:r w:rsidR="003738A6" w:rsidRPr="004F6A42">
        <w:rPr>
          <w:lang w:val="es-HN"/>
        </w:rPr>
        <w:t xml:space="preserve"> dificultades en la ejecución de su mandato.  Siguen sin resolverse las deficiencias del marco normativo y administrativo que obstaculizan la independencia y la autonomía del mecanismo, incluida la asignación interna de recur</w:t>
      </w:r>
      <w:r>
        <w:rPr>
          <w:lang w:val="es-HN"/>
        </w:rPr>
        <w:t>sos.</w:t>
      </w:r>
      <w:r w:rsidR="00C07909" w:rsidRPr="004F6A42">
        <w:rPr>
          <w:rStyle w:val="FootnoteReference"/>
          <w:lang w:val="es-HN"/>
        </w:rPr>
        <w:footnoteReference w:id="44"/>
      </w:r>
      <w:r w:rsidR="001A1783" w:rsidRPr="004F6A42">
        <w:rPr>
          <w:lang w:val="es-HN"/>
        </w:rPr>
        <w:t xml:space="preserve"> </w:t>
      </w:r>
      <w:r w:rsidR="003738A6" w:rsidRPr="001D0245">
        <w:rPr>
          <w:lang w:val="es-HN"/>
        </w:rPr>
        <w:t>Con un presupuesto que representa el 0,006 por</w:t>
      </w:r>
      <w:r>
        <w:rPr>
          <w:lang w:val="es-HN"/>
        </w:rPr>
        <w:t xml:space="preserve"> ciento del presupuesto nacional,</w:t>
      </w:r>
      <w:r w:rsidR="009B6CE1" w:rsidRPr="004F6A42">
        <w:rPr>
          <w:rStyle w:val="FootnoteReference"/>
          <w:lang w:val="es-HN"/>
        </w:rPr>
        <w:footnoteReference w:id="45"/>
      </w:r>
      <w:r w:rsidR="00C07909" w:rsidRPr="004F6A42">
        <w:rPr>
          <w:lang w:val="es-HN"/>
        </w:rPr>
        <w:t xml:space="preserve"> </w:t>
      </w:r>
      <w:r w:rsidR="003738A6" w:rsidRPr="004F6A42">
        <w:rPr>
          <w:lang w:val="es-HN"/>
        </w:rPr>
        <w:t xml:space="preserve">CONAPREV no pudo fortalecer su presencia fuera de la capital, </w:t>
      </w:r>
      <w:r w:rsidR="000259BD">
        <w:rPr>
          <w:lang w:val="es-HN"/>
        </w:rPr>
        <w:t xml:space="preserve">ni </w:t>
      </w:r>
      <w:r w:rsidR="003738A6" w:rsidRPr="004F6A42">
        <w:rPr>
          <w:lang w:val="es-HN"/>
        </w:rPr>
        <w:t>apoyar a los comités locales</w:t>
      </w:r>
      <w:r w:rsidR="000259BD">
        <w:rPr>
          <w:lang w:val="es-HN"/>
        </w:rPr>
        <w:t xml:space="preserve"> ni </w:t>
      </w:r>
      <w:r w:rsidR="003738A6" w:rsidRPr="004F6A42">
        <w:rPr>
          <w:lang w:val="es-HN"/>
        </w:rPr>
        <w:t xml:space="preserve">contratar personal técnico, como  psicólogos. Además, existen preocupaciones relacionadas con el cumplimiento de su mandato, ya que hasta ahora </w:t>
      </w:r>
      <w:r w:rsidR="00584487" w:rsidRPr="00584487">
        <w:rPr>
          <w:lang w:val="es-HN"/>
        </w:rPr>
        <w:t xml:space="preserve">no se ha emitido ningún acuerdo de nombramiento ni juramentación </w:t>
      </w:r>
      <w:r w:rsidR="003738A6" w:rsidRPr="004F6A42">
        <w:rPr>
          <w:lang w:val="es-HN"/>
        </w:rPr>
        <w:t xml:space="preserve">por el Presidente tal y como lo exige la ley, incluido </w:t>
      </w:r>
      <w:r w:rsidR="000063A2">
        <w:rPr>
          <w:lang w:val="es-HN"/>
        </w:rPr>
        <w:t xml:space="preserve">la comisionada </w:t>
      </w:r>
      <w:r w:rsidR="003738A6" w:rsidRPr="004F6A42">
        <w:rPr>
          <w:lang w:val="es-HN"/>
        </w:rPr>
        <w:t>elegid</w:t>
      </w:r>
      <w:r w:rsidR="000063A2">
        <w:rPr>
          <w:lang w:val="es-HN"/>
        </w:rPr>
        <w:t>a</w:t>
      </w:r>
      <w:r>
        <w:rPr>
          <w:lang w:val="es-HN"/>
        </w:rPr>
        <w:t xml:space="preserve"> por la sociedad civil.</w:t>
      </w:r>
      <w:r w:rsidR="009B6CE1" w:rsidRPr="004F6A42">
        <w:rPr>
          <w:rStyle w:val="FootnoteReference"/>
          <w:lang w:val="es-HN"/>
        </w:rPr>
        <w:footnoteReference w:id="46"/>
      </w:r>
      <w:r w:rsidR="001A1783" w:rsidRPr="004F6A42">
        <w:rPr>
          <w:lang w:val="es-HN"/>
        </w:rPr>
        <w:t xml:space="preserve"> </w:t>
      </w:r>
    </w:p>
    <w:p w14:paraId="0E7D6718" w14:textId="77777777" w:rsidR="001A1783" w:rsidRPr="004F6A42" w:rsidRDefault="001A1783" w:rsidP="000771F5">
      <w:pPr>
        <w:ind w:right="1134"/>
        <w:jc w:val="both"/>
        <w:rPr>
          <w:lang w:val="es-HN"/>
        </w:rPr>
      </w:pPr>
    </w:p>
    <w:p w14:paraId="71A4DCE2" w14:textId="700E86D9" w:rsidR="00AE4BC6" w:rsidRPr="004F6A42" w:rsidRDefault="003738A6" w:rsidP="000A4415">
      <w:pPr>
        <w:pStyle w:val="ListParagraph"/>
        <w:numPr>
          <w:ilvl w:val="0"/>
          <w:numId w:val="15"/>
        </w:numPr>
        <w:spacing w:after="120"/>
        <w:ind w:right="1183"/>
        <w:contextualSpacing w:val="0"/>
        <w:jc w:val="both"/>
        <w:rPr>
          <w:lang w:val="es-HN"/>
        </w:rPr>
      </w:pPr>
      <w:r w:rsidRPr="004F6A42">
        <w:rPr>
          <w:lang w:val="es-HN"/>
        </w:rPr>
        <w:t>En septiembre, en su informe anual al Consejo de Derechos Humanos, el Secretario General de las Naciones Unidas informó sobre las represalias contra la comisionada de la sociedad civil de la CONAPREV en forma de comentarios degradantes de los funcionarios públicos, incluidos los miembros del Congreso, que socavaban su posición y su labor de coope</w:t>
      </w:r>
      <w:r w:rsidR="00C873E9">
        <w:rPr>
          <w:lang w:val="es-HN"/>
        </w:rPr>
        <w:t>ración con las Naciones Unidas.</w:t>
      </w:r>
      <w:r w:rsidR="00CE6880" w:rsidRPr="004F6A42">
        <w:rPr>
          <w:rStyle w:val="FootnoteReference"/>
          <w:lang w:val="es-HN"/>
        </w:rPr>
        <w:footnoteReference w:id="47"/>
      </w:r>
    </w:p>
    <w:p w14:paraId="5CBACFB3" w14:textId="5C84E1FF" w:rsidR="004311AC" w:rsidRPr="004F6A42" w:rsidRDefault="00501FC6" w:rsidP="00CE0BFF">
      <w:pPr>
        <w:pStyle w:val="HChG"/>
        <w:numPr>
          <w:ilvl w:val="0"/>
          <w:numId w:val="16"/>
        </w:numPr>
        <w:rPr>
          <w:lang w:val="es-HN"/>
        </w:rPr>
      </w:pPr>
      <w:r w:rsidRPr="004F6A42">
        <w:rPr>
          <w:lang w:val="es-HN"/>
        </w:rPr>
        <w:t>Justic</w:t>
      </w:r>
      <w:r w:rsidR="003738A6" w:rsidRPr="004F6A42">
        <w:rPr>
          <w:lang w:val="es-HN"/>
        </w:rPr>
        <w:t>ia</w:t>
      </w:r>
    </w:p>
    <w:p w14:paraId="05BEDAC6" w14:textId="0CD67853" w:rsidR="00481DB5" w:rsidRPr="004F6A42" w:rsidRDefault="003738A6" w:rsidP="00481DB5">
      <w:pPr>
        <w:pStyle w:val="H1G"/>
        <w:numPr>
          <w:ilvl w:val="0"/>
          <w:numId w:val="19"/>
        </w:numPr>
        <w:rPr>
          <w:lang w:val="es-HN"/>
        </w:rPr>
      </w:pPr>
      <w:r w:rsidRPr="004F6A42">
        <w:rPr>
          <w:lang w:val="es-HN"/>
        </w:rPr>
        <w:t>Independencia j</w:t>
      </w:r>
      <w:r w:rsidR="00796490" w:rsidRPr="004F6A42">
        <w:rPr>
          <w:lang w:val="es-HN"/>
        </w:rPr>
        <w:t>udicial</w:t>
      </w:r>
    </w:p>
    <w:p w14:paraId="05DBA21E" w14:textId="4140A2D5" w:rsidR="00573011" w:rsidRPr="004F6A42" w:rsidRDefault="003738A6" w:rsidP="00685C32">
      <w:pPr>
        <w:pStyle w:val="SingleTxtG"/>
        <w:numPr>
          <w:ilvl w:val="0"/>
          <w:numId w:val="15"/>
        </w:numPr>
        <w:rPr>
          <w:lang w:val="es-HN"/>
        </w:rPr>
      </w:pPr>
      <w:r w:rsidRPr="004F6A42">
        <w:rPr>
          <w:lang w:val="es-HN"/>
        </w:rPr>
        <w:t>El establecimiento de una estructura de gobernanza independiente para el poder judicial y el fortale</w:t>
      </w:r>
      <w:r w:rsidR="00E779C3">
        <w:rPr>
          <w:lang w:val="es-HN"/>
        </w:rPr>
        <w:t>cimiento de la carrera judicial</w:t>
      </w:r>
      <w:r w:rsidRPr="004F6A42">
        <w:rPr>
          <w:lang w:val="es-HN"/>
        </w:rPr>
        <w:t xml:space="preserve"> son prioridades urgentes y requieren de un mayor compromiso político. En el transcurso del año, la Corte Suprema elaboró el texto inicial de las leyes sobre el </w:t>
      </w:r>
      <w:r w:rsidR="000259BD">
        <w:rPr>
          <w:lang w:val="es-HN"/>
        </w:rPr>
        <w:t>C</w:t>
      </w:r>
      <w:r w:rsidRPr="004F6A42">
        <w:rPr>
          <w:lang w:val="es-HN"/>
        </w:rPr>
        <w:t xml:space="preserve">onsejo </w:t>
      </w:r>
      <w:r w:rsidR="000259BD">
        <w:rPr>
          <w:lang w:val="es-HN"/>
        </w:rPr>
        <w:t>J</w:t>
      </w:r>
      <w:r w:rsidRPr="004F6A42">
        <w:rPr>
          <w:lang w:val="es-HN"/>
        </w:rPr>
        <w:t xml:space="preserve">udicial y la carrera judicial y la ley orgánica del </w:t>
      </w:r>
      <w:r w:rsidR="000259BD">
        <w:rPr>
          <w:lang w:val="es-HN"/>
        </w:rPr>
        <w:t>P</w:t>
      </w:r>
      <w:r w:rsidRPr="004F6A42">
        <w:rPr>
          <w:lang w:val="es-HN"/>
        </w:rPr>
        <w:t xml:space="preserve">oder </w:t>
      </w:r>
      <w:r w:rsidR="000259BD">
        <w:rPr>
          <w:lang w:val="es-HN"/>
        </w:rPr>
        <w:t>J</w:t>
      </w:r>
      <w:r w:rsidRPr="004F6A42">
        <w:rPr>
          <w:lang w:val="es-HN"/>
        </w:rPr>
        <w:t>udicial, con una importante asistencia técnica de la cooperación internacional. Los mecanismos internacionales y regionales han expresado durante varios años y de manera cons</w:t>
      </w:r>
      <w:r w:rsidR="000259BD">
        <w:rPr>
          <w:lang w:val="es-HN"/>
        </w:rPr>
        <w:t>istente</w:t>
      </w:r>
      <w:r w:rsidRPr="004F6A42">
        <w:rPr>
          <w:lang w:val="es-HN"/>
        </w:rPr>
        <w:t xml:space="preserve"> su preocupación por el marco actual, que consideran obsoleto e inadecuado, y que obstacu</w:t>
      </w:r>
      <w:r w:rsidR="00ED7560">
        <w:rPr>
          <w:lang w:val="es-HN"/>
        </w:rPr>
        <w:t>liza la independencia judicial.</w:t>
      </w:r>
      <w:r w:rsidR="00D20799" w:rsidRPr="004F6A42">
        <w:rPr>
          <w:rStyle w:val="FootnoteReference"/>
          <w:lang w:val="es-HN"/>
        </w:rPr>
        <w:footnoteReference w:id="48"/>
      </w:r>
      <w:r w:rsidR="00D20799" w:rsidRPr="004F6A42">
        <w:rPr>
          <w:lang w:val="es-HN"/>
        </w:rPr>
        <w:t xml:space="preserve"> </w:t>
      </w:r>
    </w:p>
    <w:p w14:paraId="53B68FE4" w14:textId="4262AE6B" w:rsidR="00B94A1B" w:rsidRPr="004F6A42" w:rsidRDefault="003738A6" w:rsidP="00627310">
      <w:pPr>
        <w:pStyle w:val="SingleTxtG"/>
        <w:numPr>
          <w:ilvl w:val="0"/>
          <w:numId w:val="15"/>
        </w:numPr>
        <w:rPr>
          <w:lang w:val="es-HN"/>
        </w:rPr>
      </w:pPr>
      <w:r w:rsidRPr="004F6A42">
        <w:rPr>
          <w:lang w:val="es-HN"/>
        </w:rPr>
        <w:t xml:space="preserve">El marco actual, con lagunas en la regulación de los nombramientos y ascensos dentro de la carrera judicial, deja al sistema judicial expuesto a la interferencia del ejecutivo y el legislativo. La adopción de una legislación relativa al nombramiento de altos funcionarios </w:t>
      </w:r>
      <w:r w:rsidRPr="004F6A42">
        <w:rPr>
          <w:lang w:val="es-HN"/>
        </w:rPr>
        <w:lastRenderedPageBreak/>
        <w:t>judiciales es fundamental, en particular para evitar la interferencia del poder legislativo.</w:t>
      </w:r>
      <w:r w:rsidR="00573011" w:rsidRPr="004F6A42">
        <w:rPr>
          <w:rStyle w:val="FootnoteReference"/>
          <w:lang w:val="es-HN"/>
        </w:rPr>
        <w:footnoteReference w:id="49"/>
      </w:r>
      <w:r w:rsidR="00573011" w:rsidRPr="004F6A42">
        <w:rPr>
          <w:lang w:val="es-HN"/>
        </w:rPr>
        <w:t xml:space="preserve"> </w:t>
      </w:r>
    </w:p>
    <w:p w14:paraId="55E7179D" w14:textId="481C1CD5" w:rsidR="00573011" w:rsidRPr="004F6A42" w:rsidRDefault="003738A6" w:rsidP="00627310">
      <w:pPr>
        <w:pStyle w:val="SingleTxtG"/>
        <w:numPr>
          <w:ilvl w:val="0"/>
          <w:numId w:val="15"/>
        </w:numPr>
        <w:rPr>
          <w:lang w:val="es-HN"/>
        </w:rPr>
      </w:pPr>
      <w:r w:rsidRPr="004F6A42">
        <w:rPr>
          <w:lang w:val="es-HN"/>
        </w:rPr>
        <w:t xml:space="preserve">La inclusión del Ministerio Público y del Presidente de la Corte Suprema de Justicia en el </w:t>
      </w:r>
      <w:r w:rsidR="00853682">
        <w:rPr>
          <w:lang w:val="es-HN"/>
        </w:rPr>
        <w:t xml:space="preserve">Consejo Nacional de Defensa, </w:t>
      </w:r>
      <w:r w:rsidRPr="004F6A42">
        <w:rPr>
          <w:lang w:val="es-HN"/>
        </w:rPr>
        <w:t>que es dirigido por el Presidente de la República, abr</w:t>
      </w:r>
      <w:r w:rsidR="0060520E">
        <w:rPr>
          <w:lang w:val="es-HN"/>
        </w:rPr>
        <w:t>iría</w:t>
      </w:r>
      <w:r w:rsidRPr="004F6A42">
        <w:rPr>
          <w:lang w:val="es-HN"/>
        </w:rPr>
        <w:t xml:space="preserve"> un </w:t>
      </w:r>
      <w:bookmarkStart w:id="0" w:name="_GoBack"/>
      <w:bookmarkEnd w:id="0"/>
      <w:r w:rsidRPr="004F6A42">
        <w:rPr>
          <w:lang w:val="es-HN"/>
        </w:rPr>
        <w:t>espacio para la injerencia del Ejecutivo y cuestiona los principios democráticos cruciales como la separación de poderes.</w:t>
      </w:r>
      <w:r w:rsidR="003818CC" w:rsidRPr="004F6A42">
        <w:rPr>
          <w:rStyle w:val="FootnoteReference"/>
          <w:lang w:val="es-HN"/>
        </w:rPr>
        <w:footnoteReference w:id="50"/>
      </w:r>
      <w:r w:rsidR="00573011" w:rsidRPr="004F6A42">
        <w:rPr>
          <w:lang w:val="es-HN"/>
        </w:rPr>
        <w:t xml:space="preserve"> </w:t>
      </w:r>
    </w:p>
    <w:p w14:paraId="1D81BD26" w14:textId="5756FF6A" w:rsidR="004311AC" w:rsidRPr="004F6A42" w:rsidRDefault="003738A6" w:rsidP="00481DB5">
      <w:pPr>
        <w:pStyle w:val="H1G"/>
        <w:numPr>
          <w:ilvl w:val="0"/>
          <w:numId w:val="19"/>
        </w:numPr>
        <w:rPr>
          <w:lang w:val="es-HN"/>
        </w:rPr>
      </w:pPr>
      <w:r w:rsidRPr="001D0245">
        <w:rPr>
          <w:lang w:val="es-HN"/>
        </w:rPr>
        <w:t>La l</w:t>
      </w:r>
      <w:r w:rsidRPr="004F6A42">
        <w:rPr>
          <w:lang w:val="es-HN"/>
        </w:rPr>
        <w:t xml:space="preserve">ucha contra la corrupción y la impunidad </w:t>
      </w:r>
    </w:p>
    <w:p w14:paraId="5B9A1525" w14:textId="74458959" w:rsidR="00685C32" w:rsidRPr="008A3C38" w:rsidRDefault="003738A6" w:rsidP="007D4A0E">
      <w:pPr>
        <w:pStyle w:val="ListParagraph"/>
        <w:numPr>
          <w:ilvl w:val="0"/>
          <w:numId w:val="15"/>
        </w:numPr>
        <w:spacing w:after="240"/>
        <w:ind w:right="1134"/>
        <w:jc w:val="both"/>
        <w:rPr>
          <w:lang w:val="es-HN"/>
        </w:rPr>
      </w:pPr>
      <w:r w:rsidRPr="000259BD">
        <w:rPr>
          <w:lang w:val="es-HN"/>
        </w:rPr>
        <w:t>Durante el año, la UFECIC y la MACCIH presentaron cargos relacionados con corrupción en cinco casos, en los que estaban implicados más de 40 acusados de alto nivel, incluidos los familiares del ex Presidente de la República Porfirio Lobo, ex ministros y di</w:t>
      </w:r>
      <w:r w:rsidR="00ED7560">
        <w:rPr>
          <w:lang w:val="es-HN"/>
        </w:rPr>
        <w:t>rectores de empresas estatales.</w:t>
      </w:r>
      <w:r w:rsidR="00693C03" w:rsidRPr="004F6A42">
        <w:rPr>
          <w:rStyle w:val="FootnoteReference"/>
          <w:lang w:val="es-HN"/>
        </w:rPr>
        <w:footnoteReference w:id="51"/>
      </w:r>
      <w:r w:rsidR="00693C03" w:rsidRPr="000259BD">
        <w:rPr>
          <w:lang w:val="es-HN"/>
        </w:rPr>
        <w:t xml:space="preserve"> </w:t>
      </w:r>
      <w:r w:rsidRPr="000259BD">
        <w:rPr>
          <w:lang w:val="es-HN"/>
        </w:rPr>
        <w:t xml:space="preserve">En agosto, un tribunal </w:t>
      </w:r>
      <w:r w:rsidRPr="008A3C38">
        <w:rPr>
          <w:lang w:val="es-HN"/>
        </w:rPr>
        <w:t>nacional condenó a la esposa del ex presidente Lobo a 58 años de prisión por una serie de cargo</w:t>
      </w:r>
      <w:r w:rsidR="00853682">
        <w:rPr>
          <w:lang w:val="es-HN"/>
        </w:rPr>
        <w:t>s relacionados con corrupción. É</w:t>
      </w:r>
      <w:r w:rsidRPr="008A3C38">
        <w:rPr>
          <w:lang w:val="es-HN"/>
        </w:rPr>
        <w:t>ste fue el primer caso presentado por la UFECIC, con el apoyo de la MACCIH, que resultó en una sentencia</w:t>
      </w:r>
      <w:r w:rsidR="00751C86" w:rsidRPr="008A3C38">
        <w:rPr>
          <w:lang w:val="es-HN"/>
        </w:rPr>
        <w:t>.</w:t>
      </w:r>
    </w:p>
    <w:p w14:paraId="273277E4" w14:textId="1A912F6A" w:rsidR="00693C03" w:rsidRPr="004F6A42" w:rsidRDefault="00C01819" w:rsidP="00751C86">
      <w:pPr>
        <w:pStyle w:val="SingleTxtG"/>
        <w:numPr>
          <w:ilvl w:val="0"/>
          <w:numId w:val="15"/>
        </w:numPr>
        <w:spacing w:after="240"/>
        <w:rPr>
          <w:lang w:val="es-HN"/>
        </w:rPr>
      </w:pPr>
      <w:r>
        <w:rPr>
          <w:lang w:val="es-HN"/>
        </w:rPr>
        <w:t>Otro</w:t>
      </w:r>
      <w:r w:rsidR="003738A6" w:rsidRPr="004F6A42">
        <w:rPr>
          <w:lang w:val="es-HN"/>
        </w:rPr>
        <w:t xml:space="preserve"> de los casos, conocido como "Corrupción sobre ruedas", el </w:t>
      </w:r>
      <w:r>
        <w:rPr>
          <w:lang w:val="es-HN"/>
        </w:rPr>
        <w:t>cual</w:t>
      </w:r>
      <w:r w:rsidR="003738A6" w:rsidRPr="004F6A42">
        <w:rPr>
          <w:lang w:val="es-HN"/>
        </w:rPr>
        <w:t xml:space="preserve"> se presentó en septiembre contra los funcionarios del Banco Nacional de Desarrollo Agrícola de Honduras por la malversación de fondos del programa de protección social "Bono 10 mil", </w:t>
      </w:r>
      <w:r>
        <w:rPr>
          <w:lang w:val="es-HN"/>
        </w:rPr>
        <w:t>tuvo</w:t>
      </w:r>
      <w:r w:rsidR="003738A6" w:rsidRPr="004F6A42">
        <w:rPr>
          <w:lang w:val="es-HN"/>
        </w:rPr>
        <w:t xml:space="preserve"> la complicidad de los funcionarios de la Oficina de la Presidencia.</w:t>
      </w:r>
    </w:p>
    <w:p w14:paraId="5579D4CA" w14:textId="343D002E" w:rsidR="00693C03" w:rsidRPr="004F6A42" w:rsidRDefault="003738A6" w:rsidP="005F4F59">
      <w:pPr>
        <w:pStyle w:val="SingleTxtG"/>
        <w:numPr>
          <w:ilvl w:val="0"/>
          <w:numId w:val="15"/>
        </w:numPr>
        <w:rPr>
          <w:lang w:val="es-HN"/>
        </w:rPr>
      </w:pPr>
      <w:r w:rsidRPr="004F6A42">
        <w:rPr>
          <w:lang w:val="es-HN"/>
        </w:rPr>
        <w:t>En octubre, la aprobación por el Congreso de la Ley especial de fondos públicos</w:t>
      </w:r>
      <w:r w:rsidR="00F36317" w:rsidRPr="004F6A42">
        <w:rPr>
          <w:rStyle w:val="FootnoteReference"/>
          <w:lang w:val="es-HN"/>
        </w:rPr>
        <w:footnoteReference w:id="52"/>
      </w:r>
      <w:r w:rsidR="005F4F59" w:rsidRPr="004F6A42">
        <w:rPr>
          <w:lang w:val="es-HN"/>
        </w:rPr>
        <w:t xml:space="preserve"> </w:t>
      </w:r>
      <w:r w:rsidR="00C83CEB" w:rsidRPr="004F6A42">
        <w:rPr>
          <w:lang w:val="es-HN"/>
        </w:rPr>
        <w:t xml:space="preserve"> </w:t>
      </w:r>
      <w:r w:rsidRPr="001D0245">
        <w:rPr>
          <w:lang w:val="es-HN"/>
        </w:rPr>
        <w:t>y la reforma de la Ley del Congreso para restablecer la inmunidad parlamentaria generó una protesta pública. El 28 de octubre, el Ministerio P</w:t>
      </w:r>
      <w:r w:rsidR="00C01819">
        <w:rPr>
          <w:lang w:val="es-HN"/>
        </w:rPr>
        <w:t>ú</w:t>
      </w:r>
      <w:r w:rsidRPr="001D0245">
        <w:rPr>
          <w:lang w:val="es-HN"/>
        </w:rPr>
        <w:t>blico presentó un recurso de inconstitucionalidad contra la Ley Especial, argumentando que promueve la impunidad de la corrupción de los funcionarios públicos.</w:t>
      </w:r>
      <w:r w:rsidR="004D2545" w:rsidRPr="004F6A42">
        <w:rPr>
          <w:rStyle w:val="FootnoteReference"/>
          <w:lang w:val="es-HN"/>
        </w:rPr>
        <w:footnoteReference w:id="53"/>
      </w:r>
    </w:p>
    <w:p w14:paraId="3DE523BF" w14:textId="57786B46" w:rsidR="003670AA" w:rsidRPr="004F6A42" w:rsidRDefault="003738A6" w:rsidP="005F4F59">
      <w:pPr>
        <w:pStyle w:val="SingleTxtG"/>
        <w:numPr>
          <w:ilvl w:val="0"/>
          <w:numId w:val="15"/>
        </w:numPr>
        <w:rPr>
          <w:lang w:val="es-HN"/>
        </w:rPr>
      </w:pPr>
      <w:r w:rsidRPr="004F6A42">
        <w:rPr>
          <w:lang w:val="es-HN"/>
        </w:rPr>
        <w:t xml:space="preserve">En noviembre de 2018, siete personas acusadas del asesinato de la defensora de los derechos humanos Berta Cáceres, fueron declaradas culpables. El 2 de diciembre, más de un año después del veredicto, un tribunal dictó una sentencia que condenaba a los autores a penas de entre 30 y 50 años. El juicio contra el presidente </w:t>
      </w:r>
      <w:r w:rsidRPr="004F6A42">
        <w:rPr>
          <w:lang w:val="es-HN"/>
        </w:rPr>
        <w:lastRenderedPageBreak/>
        <w:t xml:space="preserve">de la empresa </w:t>
      </w:r>
      <w:r w:rsidRPr="00853682">
        <w:rPr>
          <w:i/>
          <w:lang w:val="es-HN"/>
        </w:rPr>
        <w:t>Desarrollos Energéticos S.A</w:t>
      </w:r>
      <w:r w:rsidRPr="004F6A42">
        <w:rPr>
          <w:lang w:val="es-HN"/>
        </w:rPr>
        <w:t>., presuntamente implicado en la planificación y ejecución del asesinato, continuó</w:t>
      </w:r>
      <w:r w:rsidR="00DA1E9B" w:rsidRPr="004F6A42">
        <w:rPr>
          <w:lang w:val="es-HN"/>
        </w:rPr>
        <w:t xml:space="preserve">. </w:t>
      </w:r>
    </w:p>
    <w:p w14:paraId="1A99327A" w14:textId="7806EA0F" w:rsidR="009603C4" w:rsidRPr="004F6A42" w:rsidRDefault="003738A6" w:rsidP="009603C4">
      <w:pPr>
        <w:pStyle w:val="H1G"/>
        <w:numPr>
          <w:ilvl w:val="0"/>
          <w:numId w:val="19"/>
        </w:numPr>
        <w:rPr>
          <w:lang w:val="es-HN" w:eastAsia="en-GB"/>
        </w:rPr>
      </w:pPr>
      <w:r w:rsidRPr="004F6A42">
        <w:rPr>
          <w:lang w:val="es-HN" w:eastAsia="en-GB"/>
        </w:rPr>
        <w:t xml:space="preserve">Violaciones a los derechos humanos por las fuerzas de defensa y de seguridad </w:t>
      </w:r>
    </w:p>
    <w:p w14:paraId="02322EDE" w14:textId="6CEA5C72" w:rsidR="00F56B11" w:rsidRPr="004F6A42" w:rsidRDefault="003738A6" w:rsidP="00054FD9">
      <w:pPr>
        <w:pStyle w:val="SingleTxtG"/>
        <w:numPr>
          <w:ilvl w:val="0"/>
          <w:numId w:val="15"/>
        </w:numPr>
        <w:rPr>
          <w:lang w:val="es-HN"/>
        </w:rPr>
      </w:pPr>
      <w:r w:rsidRPr="004F6A42">
        <w:rPr>
          <w:lang w:val="es-HN"/>
        </w:rPr>
        <w:t xml:space="preserve">La OACNUDH está preocupada por la impunidad que </w:t>
      </w:r>
      <w:r w:rsidR="00C01819">
        <w:rPr>
          <w:lang w:val="es-HN"/>
        </w:rPr>
        <w:t>persiste</w:t>
      </w:r>
      <w:r w:rsidRPr="004F6A42">
        <w:rPr>
          <w:lang w:val="es-HN"/>
        </w:rPr>
        <w:t xml:space="preserve"> en los casos de violaciones perpetradas por los miembros de las fuerzas de defensa y seguridad.</w:t>
      </w:r>
    </w:p>
    <w:p w14:paraId="0D2979CE" w14:textId="14557ABF" w:rsidR="005F723C" w:rsidRPr="004F6A42" w:rsidRDefault="003738A6" w:rsidP="00751C86">
      <w:pPr>
        <w:pStyle w:val="ListParagraph"/>
        <w:numPr>
          <w:ilvl w:val="0"/>
          <w:numId w:val="15"/>
        </w:numPr>
        <w:spacing w:after="240"/>
        <w:ind w:right="1134"/>
        <w:jc w:val="both"/>
        <w:rPr>
          <w:lang w:val="es-HN"/>
        </w:rPr>
      </w:pPr>
      <w:r w:rsidRPr="004F6A42">
        <w:rPr>
          <w:lang w:val="es-HN"/>
        </w:rPr>
        <w:t>A finales de octubre, sólo una parte de las graves violaciones de los derechos humanos cometidas por las fuerzas de defensa y seguridad en el contexto de las protestas contra los resultados de las el</w:t>
      </w:r>
      <w:r w:rsidR="00ED7560">
        <w:rPr>
          <w:lang w:val="es-HN"/>
        </w:rPr>
        <w:t>ecciones presidenciales de 2017</w:t>
      </w:r>
      <w:r w:rsidRPr="004F6A42">
        <w:rPr>
          <w:lang w:val="es-HN"/>
        </w:rPr>
        <w:t xml:space="preserve"> estaban siendo juzgadas. La OACNUDH documentó ocho casos que estaban siendo juzgados, pero éstos se referían sólo a dos de los 22 </w:t>
      </w:r>
      <w:r w:rsidR="0060520E">
        <w:rPr>
          <w:lang w:val="es-HN"/>
        </w:rPr>
        <w:t>homicidios</w:t>
      </w:r>
      <w:r w:rsidRPr="004F6A42">
        <w:rPr>
          <w:lang w:val="es-HN"/>
        </w:rPr>
        <w:t xml:space="preserve"> de civiles que fueron document</w:t>
      </w:r>
      <w:r w:rsidR="00853682">
        <w:rPr>
          <w:lang w:val="es-HN"/>
        </w:rPr>
        <w:t>ados por la Oficina</w:t>
      </w:r>
      <w:r w:rsidR="00AD0A99" w:rsidRPr="004F6A42">
        <w:rPr>
          <w:rStyle w:val="FootnoteReference"/>
          <w:lang w:val="es-HN"/>
        </w:rPr>
        <w:footnoteReference w:id="54"/>
      </w:r>
      <w:r w:rsidR="00853682">
        <w:rPr>
          <w:lang w:val="es-HN"/>
        </w:rPr>
        <w:t>:</w:t>
      </w:r>
      <w:r w:rsidR="00054FD9" w:rsidRPr="004F6A42">
        <w:rPr>
          <w:lang w:val="es-HN"/>
        </w:rPr>
        <w:t xml:space="preserve"> </w:t>
      </w:r>
      <w:r w:rsidR="00853682">
        <w:rPr>
          <w:lang w:val="es-HN"/>
        </w:rPr>
        <w:t>u</w:t>
      </w:r>
      <w:r w:rsidRPr="001D0245">
        <w:rPr>
          <w:lang w:val="es-HN"/>
        </w:rPr>
        <w:t xml:space="preserve">n caso contra un oficial de policía por el </w:t>
      </w:r>
      <w:r w:rsidR="00EE218E">
        <w:rPr>
          <w:lang w:val="es-HN"/>
        </w:rPr>
        <w:t xml:space="preserve">asesinato </w:t>
      </w:r>
      <w:r w:rsidRPr="001D0245">
        <w:rPr>
          <w:lang w:val="es-HN"/>
        </w:rPr>
        <w:t xml:space="preserve">de </w:t>
      </w:r>
      <w:r w:rsidR="00584487">
        <w:rPr>
          <w:lang w:val="es-HN"/>
        </w:rPr>
        <w:t xml:space="preserve">un niño de </w:t>
      </w:r>
      <w:r w:rsidR="00853682">
        <w:rPr>
          <w:lang w:val="es-HN"/>
        </w:rPr>
        <w:t>15 años</w:t>
      </w:r>
      <w:r w:rsidRPr="001D0245">
        <w:rPr>
          <w:lang w:val="es-HN"/>
        </w:rPr>
        <w:t>, el 4 de diciembre de 2017, en Agua Blanca, departamento de El Progreso; y otro contra un sargento de la Policía Militar de Orden Público (PMOP) por el</w:t>
      </w:r>
      <w:r w:rsidR="00EE218E">
        <w:rPr>
          <w:lang w:val="es-HN"/>
        </w:rPr>
        <w:t xml:space="preserve"> homicidio</w:t>
      </w:r>
      <w:r w:rsidRPr="001D0245">
        <w:rPr>
          <w:lang w:val="es-HN"/>
        </w:rPr>
        <w:t xml:space="preserve"> de David Octavio Quiroz Urrutia, el 15 de diciembre de 2017, en Villanueva, departamento de Cortés. Hasta octubre, el Ministerio Público informó que se estaban llevando a cabo investigaciones en relación con los demás casos, incluidas las muertes, lesiones y un caso de desaparición forzada. Para entonces, había presentado cargos contra 28 miembros de las fuerzas de seguridad y defensa por cargos relacionados con </w:t>
      </w:r>
      <w:r w:rsidR="00584487">
        <w:rPr>
          <w:lang w:val="es-HN"/>
        </w:rPr>
        <w:t xml:space="preserve">un </w:t>
      </w:r>
      <w:r w:rsidRPr="001D0245">
        <w:rPr>
          <w:lang w:val="es-HN"/>
        </w:rPr>
        <w:t xml:space="preserve">asesinato, </w:t>
      </w:r>
      <w:r w:rsidR="00584487">
        <w:rPr>
          <w:lang w:val="es-HN"/>
        </w:rPr>
        <w:t xml:space="preserve">un </w:t>
      </w:r>
      <w:r w:rsidRPr="001D0245">
        <w:rPr>
          <w:lang w:val="es-HN"/>
        </w:rPr>
        <w:t>homicidio</w:t>
      </w:r>
      <w:r w:rsidR="00584487">
        <w:rPr>
          <w:lang w:val="es-HN"/>
        </w:rPr>
        <w:t xml:space="preserve"> y una tentativa de homicidio</w:t>
      </w:r>
      <w:r w:rsidR="00584487" w:rsidRPr="001D0245">
        <w:rPr>
          <w:lang w:val="es-HN"/>
        </w:rPr>
        <w:t xml:space="preserve">, </w:t>
      </w:r>
      <w:r w:rsidR="00584487">
        <w:rPr>
          <w:lang w:val="es-HN"/>
        </w:rPr>
        <w:t>lesiones y vejámenes</w:t>
      </w:r>
      <w:r w:rsidRPr="001D0245">
        <w:rPr>
          <w:lang w:val="es-HN"/>
        </w:rPr>
        <w:t xml:space="preserve">, tortura, detención ilegal y abuso de autoridad. A septiembre de 2019, el </w:t>
      </w:r>
      <w:r w:rsidR="00C01819">
        <w:rPr>
          <w:lang w:val="es-HN"/>
        </w:rPr>
        <w:t>P</w:t>
      </w:r>
      <w:r w:rsidRPr="001D0245">
        <w:rPr>
          <w:lang w:val="es-HN"/>
        </w:rPr>
        <w:t xml:space="preserve">oder </w:t>
      </w:r>
      <w:r w:rsidR="00C01819">
        <w:rPr>
          <w:lang w:val="es-HN"/>
        </w:rPr>
        <w:t>J</w:t>
      </w:r>
      <w:r w:rsidRPr="001D0245">
        <w:rPr>
          <w:lang w:val="es-HN"/>
        </w:rPr>
        <w:t xml:space="preserve">udicial </w:t>
      </w:r>
      <w:r w:rsidR="00C01819">
        <w:rPr>
          <w:lang w:val="es-HN"/>
        </w:rPr>
        <w:t xml:space="preserve">había desestimado siete casos, </w:t>
      </w:r>
      <w:r w:rsidRPr="001D0245">
        <w:rPr>
          <w:lang w:val="es-HN"/>
        </w:rPr>
        <w:t>en la fase preliminar</w:t>
      </w:r>
      <w:r w:rsidR="00C01819">
        <w:rPr>
          <w:lang w:val="es-HN"/>
        </w:rPr>
        <w:t>.</w:t>
      </w:r>
    </w:p>
    <w:p w14:paraId="6397E2D1" w14:textId="36AD7FE0" w:rsidR="00CA1C89" w:rsidRPr="004F6A42" w:rsidRDefault="003738A6" w:rsidP="00751C86">
      <w:pPr>
        <w:pStyle w:val="SingleTxtG"/>
        <w:numPr>
          <w:ilvl w:val="0"/>
          <w:numId w:val="15"/>
        </w:numPr>
        <w:spacing w:after="240"/>
        <w:rPr>
          <w:lang w:val="es-HN"/>
        </w:rPr>
      </w:pPr>
      <w:r w:rsidRPr="004F6A42">
        <w:rPr>
          <w:lang w:val="es-HN"/>
        </w:rPr>
        <w:t xml:space="preserve">Los fiscales </w:t>
      </w:r>
      <w:r w:rsidR="0060520E">
        <w:rPr>
          <w:lang w:val="es-HN"/>
        </w:rPr>
        <w:t>a cargo de</w:t>
      </w:r>
      <w:r w:rsidRPr="004F6A42">
        <w:rPr>
          <w:lang w:val="es-HN"/>
        </w:rPr>
        <w:t xml:space="preserve"> las denuncias de las violaciones a los derechos humanos en las que estaban i</w:t>
      </w:r>
      <w:r w:rsidR="00ED7560">
        <w:rPr>
          <w:lang w:val="es-HN"/>
        </w:rPr>
        <w:t>mplicados miembros del ejército</w:t>
      </w:r>
      <w:r w:rsidRPr="004F6A42">
        <w:rPr>
          <w:lang w:val="es-HN"/>
        </w:rPr>
        <w:t xml:space="preserve"> indicaron a la OACNUDH que se enfrenta</w:t>
      </w:r>
      <w:r w:rsidR="0060520E">
        <w:rPr>
          <w:lang w:val="es-HN"/>
        </w:rPr>
        <w:t>ron</w:t>
      </w:r>
      <w:r w:rsidRPr="004F6A42">
        <w:rPr>
          <w:lang w:val="es-HN"/>
        </w:rPr>
        <w:t xml:space="preserve"> a obstáculos para obtener información crucial para sus investigaciones y calificaron de obstructiva la conducta de las </w:t>
      </w:r>
      <w:r w:rsidR="001F2D9A">
        <w:rPr>
          <w:lang w:val="es-HN"/>
        </w:rPr>
        <w:t>F</w:t>
      </w:r>
      <w:r w:rsidRPr="004F6A42">
        <w:rPr>
          <w:lang w:val="es-HN"/>
        </w:rPr>
        <w:t xml:space="preserve">uerzas </w:t>
      </w:r>
      <w:r w:rsidR="001F2D9A">
        <w:rPr>
          <w:lang w:val="es-HN"/>
        </w:rPr>
        <w:t>A</w:t>
      </w:r>
      <w:r w:rsidRPr="004F6A42">
        <w:rPr>
          <w:lang w:val="es-HN"/>
        </w:rPr>
        <w:t>rmadas. Indicaron que los investigadores enviados a las brigadas y batallones para recuperar las posibles pruebas se quedaban esperando durante horas antes de recibir o poder revisar las pruebas, o se les denegaba el acceso alegando que no habían seguido el procedimiento adecuado, o que los funcionarios responsables no estaban disponibles</w:t>
      </w:r>
      <w:r w:rsidR="001F2D9A">
        <w:rPr>
          <w:lang w:val="es-HN"/>
        </w:rPr>
        <w:t>.</w:t>
      </w:r>
    </w:p>
    <w:p w14:paraId="54E5581F" w14:textId="783B46EE" w:rsidR="00CA1C89" w:rsidRPr="004F6A42" w:rsidRDefault="003738A6" w:rsidP="009D55CB">
      <w:pPr>
        <w:pStyle w:val="SingleTxtG"/>
        <w:numPr>
          <w:ilvl w:val="0"/>
          <w:numId w:val="15"/>
        </w:numPr>
        <w:rPr>
          <w:lang w:val="es-HN"/>
        </w:rPr>
      </w:pPr>
      <w:r w:rsidRPr="004F6A42">
        <w:rPr>
          <w:lang w:val="es-HN"/>
        </w:rPr>
        <w:t xml:space="preserve">En abril, el Ministerio Público comunicó a través de sus medios de comunicación social que la jerarquía de la Policía Militar de Orden Público estaba obstruyendo la labor de sus fiscales, recordó que </w:t>
      </w:r>
      <w:r w:rsidRPr="004F6A42">
        <w:rPr>
          <w:lang w:val="es-HN"/>
        </w:rPr>
        <w:lastRenderedPageBreak/>
        <w:t>todos los funcionarios del Estado tenían el deber de cooperar con el Ministerio Público y que el incumplimiento de esa obligación podía dar lugar a cargos penales.</w:t>
      </w:r>
      <w:r w:rsidR="001C0429" w:rsidRPr="004F6A42">
        <w:rPr>
          <w:rStyle w:val="FootnoteReference"/>
          <w:lang w:val="es-HN"/>
        </w:rPr>
        <w:footnoteReference w:id="55"/>
      </w:r>
      <w:r w:rsidR="001C0429" w:rsidRPr="004F6A42">
        <w:rPr>
          <w:rStyle w:val="FootnoteReference"/>
          <w:lang w:val="es-HN"/>
        </w:rPr>
        <w:t xml:space="preserve"> </w:t>
      </w:r>
      <w:r w:rsidRPr="001D0245">
        <w:rPr>
          <w:lang w:val="es-HN"/>
        </w:rPr>
        <w:t>En abril, un juez de Tegucigalpa rechazó una moción del Ministerio Público en la que se cuestionaba la negativa de las Fuerzas Armadas a dar a conocer la información sobre un operativo realizado en enero de 2018 para desalojar un plantón organizado contra un proyecto de la represa en Reitoca, en el que tres miembros de la comunidad indígena lenca resultaron heridos por disparos. Las Fuerzas Armadas invocaron la seguridad nacional al negarse a revelar información a los investigadores, citando la Ley sobre la clasificación de la información pública en materia de seguridad y defensa</w:t>
      </w:r>
      <w:r w:rsidR="002C3CF1" w:rsidRPr="004F6A42">
        <w:rPr>
          <w:lang w:val="es-HN"/>
        </w:rPr>
        <w:t>.</w:t>
      </w:r>
      <w:r w:rsidR="000B326E" w:rsidRPr="004F6A42">
        <w:rPr>
          <w:rStyle w:val="FootnoteReference"/>
          <w:lang w:val="es-HN"/>
        </w:rPr>
        <w:footnoteReference w:id="56"/>
      </w:r>
      <w:r w:rsidR="002C3CF1" w:rsidRPr="004F6A42">
        <w:rPr>
          <w:lang w:val="es-HN"/>
        </w:rPr>
        <w:t xml:space="preserve"> </w:t>
      </w:r>
      <w:r w:rsidRPr="001D0245">
        <w:rPr>
          <w:lang w:val="es-HN"/>
        </w:rPr>
        <w:t>En septiembre, las organizaciones de la sociedad civil presentaron un recurso de amparo ante la Corte Suprema en el que impugnaban la negativa de las Fuerzas Armadas a entregar información y la resolución del juez</w:t>
      </w:r>
      <w:r w:rsidR="009D55CB" w:rsidRPr="004F6A42">
        <w:rPr>
          <w:lang w:val="es-HN"/>
        </w:rPr>
        <w:t>.</w:t>
      </w:r>
    </w:p>
    <w:p w14:paraId="7D728230" w14:textId="15F93BFC" w:rsidR="00392492" w:rsidRPr="004F6A42" w:rsidRDefault="001F2D9A" w:rsidP="00EB223C">
      <w:pPr>
        <w:pStyle w:val="ListParagraph"/>
        <w:numPr>
          <w:ilvl w:val="0"/>
          <w:numId w:val="15"/>
        </w:numPr>
        <w:ind w:right="1134"/>
        <w:jc w:val="both"/>
        <w:rPr>
          <w:lang w:val="es-HN"/>
        </w:rPr>
      </w:pPr>
      <w:r>
        <w:rPr>
          <w:lang w:val="es-HN"/>
        </w:rPr>
        <w:t>El patrón</w:t>
      </w:r>
      <w:r w:rsidR="003738A6" w:rsidRPr="004F6A42">
        <w:rPr>
          <w:lang w:val="es-HN"/>
        </w:rPr>
        <w:t xml:space="preserve"> actual </w:t>
      </w:r>
      <w:r>
        <w:rPr>
          <w:lang w:val="es-HN"/>
        </w:rPr>
        <w:t>es una continuación de</w:t>
      </w:r>
      <w:r w:rsidRPr="004F6A42">
        <w:rPr>
          <w:lang w:val="es-HN"/>
        </w:rPr>
        <w:t xml:space="preserve"> </w:t>
      </w:r>
      <w:r w:rsidR="003738A6" w:rsidRPr="004F6A42">
        <w:rPr>
          <w:lang w:val="es-HN"/>
        </w:rPr>
        <w:t>la histórica brecha en la rendición de cuentas por las violaciones a los derechos humanos, que se produjeron en los años ochenta y noventa, incluida la desaparición de 184 personas.</w:t>
      </w:r>
      <w:r w:rsidR="003738A6" w:rsidRPr="004F6A42" w:rsidDel="003738A6">
        <w:rPr>
          <w:lang w:val="es-HN"/>
        </w:rPr>
        <w:t xml:space="preserve"> </w:t>
      </w:r>
      <w:r w:rsidR="00C67F86" w:rsidRPr="004F6A42">
        <w:rPr>
          <w:rStyle w:val="FootnoteReference"/>
          <w:lang w:val="es-HN"/>
        </w:rPr>
        <w:footnoteReference w:id="57"/>
      </w:r>
      <w:r w:rsidR="00C67F86" w:rsidRPr="004F6A42">
        <w:rPr>
          <w:lang w:val="es-HN"/>
        </w:rPr>
        <w:t xml:space="preserve"> </w:t>
      </w:r>
      <w:r w:rsidR="003738A6" w:rsidRPr="001D0245">
        <w:rPr>
          <w:lang w:val="es-HN"/>
        </w:rPr>
        <w:t>En agosto, el juicio contra dos civiles por la muerte de Juan Humberto Sánchez en el año 1983 se cerró con su absolución. En el año 2003, la Corte Interamericana estableció la responsabilidad del Estado de Honduras por "ejecución extrajudicial por parte de agentes militares, así como por la falta de investigación y sanción de los culpables"</w:t>
      </w:r>
      <w:r w:rsidR="002566DD" w:rsidRPr="004F6A42">
        <w:rPr>
          <w:lang w:val="es-HN"/>
        </w:rPr>
        <w:t>.</w:t>
      </w:r>
      <w:r w:rsidR="003738A6" w:rsidRPr="001D0245">
        <w:rPr>
          <w:lang w:val="es-HN"/>
        </w:rPr>
        <w:t xml:space="preserve"> </w:t>
      </w:r>
      <w:r w:rsidR="002566DD" w:rsidRPr="004F6A42">
        <w:rPr>
          <w:rStyle w:val="FootnoteReference"/>
          <w:lang w:val="es-HN"/>
        </w:rPr>
        <w:footnoteReference w:id="58"/>
      </w:r>
      <w:r w:rsidR="002566DD" w:rsidRPr="004F6A42">
        <w:rPr>
          <w:lang w:val="es-HN"/>
        </w:rPr>
        <w:t xml:space="preserve"> </w:t>
      </w:r>
      <w:r w:rsidR="003738A6" w:rsidRPr="001D0245">
        <w:rPr>
          <w:lang w:val="es-HN"/>
        </w:rPr>
        <w:t>En cuanto a las violaciones de derechos humanos cometidas en el pasado, la impunidad es generalizada, como lo demuestran los insignificantes progresos realizados en el enjuiciamiento de los miembros de las fuerzas de seguridad por las violaciones a los derechos humanos cometidas después del golpe de Estado de 2009.</w:t>
      </w:r>
    </w:p>
    <w:p w14:paraId="2CF95EFA" w14:textId="73848E6C" w:rsidR="004311AC" w:rsidRPr="004F6A42" w:rsidRDefault="004311AC" w:rsidP="00481DB5">
      <w:pPr>
        <w:pStyle w:val="HChG"/>
        <w:numPr>
          <w:ilvl w:val="0"/>
          <w:numId w:val="16"/>
        </w:numPr>
        <w:rPr>
          <w:lang w:val="es-HN"/>
        </w:rPr>
      </w:pPr>
      <w:r w:rsidRPr="004F6A42">
        <w:rPr>
          <w:lang w:val="es-HN"/>
        </w:rPr>
        <w:tab/>
      </w:r>
      <w:r w:rsidR="003738A6" w:rsidRPr="001D0245">
        <w:rPr>
          <w:lang w:val="es-HN"/>
        </w:rPr>
        <w:t>Espacio Democrático</w:t>
      </w:r>
    </w:p>
    <w:p w14:paraId="75BD7A41" w14:textId="6188A382" w:rsidR="00481DB5" w:rsidRPr="004F6A42" w:rsidRDefault="003738A6" w:rsidP="00481DB5">
      <w:pPr>
        <w:pStyle w:val="H1G"/>
        <w:numPr>
          <w:ilvl w:val="0"/>
          <w:numId w:val="20"/>
        </w:numPr>
        <w:rPr>
          <w:lang w:val="es-HN"/>
        </w:rPr>
      </w:pPr>
      <w:r w:rsidRPr="004F6A42">
        <w:rPr>
          <w:lang w:val="es-HN"/>
        </w:rPr>
        <w:t>Di</w:t>
      </w:r>
      <w:r w:rsidR="001F2D9A">
        <w:rPr>
          <w:lang w:val="es-HN"/>
        </w:rPr>
        <w:t>á</w:t>
      </w:r>
      <w:r w:rsidRPr="004F6A42">
        <w:rPr>
          <w:lang w:val="es-HN"/>
        </w:rPr>
        <w:t xml:space="preserve">logo </w:t>
      </w:r>
      <w:r w:rsidR="008F0BFC" w:rsidRPr="004F6A42">
        <w:rPr>
          <w:lang w:val="es-HN"/>
        </w:rPr>
        <w:t>S</w:t>
      </w:r>
      <w:r w:rsidR="00481DB5" w:rsidRPr="004F6A42">
        <w:rPr>
          <w:lang w:val="es-HN"/>
        </w:rPr>
        <w:t xml:space="preserve">ocial </w:t>
      </w:r>
    </w:p>
    <w:p w14:paraId="0107FCDD" w14:textId="7EB006B4" w:rsidR="00CB3077" w:rsidRPr="004F6A42" w:rsidRDefault="003738A6" w:rsidP="00514FF8">
      <w:pPr>
        <w:pStyle w:val="SingleTxtG"/>
        <w:numPr>
          <w:ilvl w:val="0"/>
          <w:numId w:val="15"/>
        </w:numPr>
        <w:rPr>
          <w:lang w:val="es-HN"/>
        </w:rPr>
      </w:pPr>
      <w:r w:rsidRPr="004F6A42">
        <w:rPr>
          <w:lang w:val="es-HN"/>
        </w:rPr>
        <w:t>En 2019, se produjeron múltiples protestas en todo el país, con plantones en los departamentos de Francisco Morazán, Cortés, Choluteca, Atlántida y Colón. Entre el 1º de enero y el 30 de septiembre, la policía registró 1.825 protestas, que incluyeron bloqueos de carreteras, ocupación de instalaciones, plantones, marchas y asambleas. En comparación con las 1.236 protestas registradas en el año 20</w:t>
      </w:r>
      <w:r w:rsidR="003348AB">
        <w:rPr>
          <w:lang w:val="es-HN"/>
        </w:rPr>
        <w:t>1</w:t>
      </w:r>
      <w:r w:rsidRPr="004F6A42">
        <w:rPr>
          <w:lang w:val="es-HN"/>
        </w:rPr>
        <w:t xml:space="preserve">8, </w:t>
      </w:r>
      <w:r w:rsidR="001F2D9A">
        <w:rPr>
          <w:lang w:val="es-HN"/>
        </w:rPr>
        <w:t xml:space="preserve">esto </w:t>
      </w:r>
      <w:r w:rsidRPr="004F6A42">
        <w:rPr>
          <w:lang w:val="es-HN"/>
        </w:rPr>
        <w:t>representa un aumento del 47%</w:t>
      </w:r>
      <w:r w:rsidR="003C154A" w:rsidRPr="004F6A42">
        <w:rPr>
          <w:lang w:val="es-HN"/>
        </w:rPr>
        <w:t>.</w:t>
      </w:r>
      <w:r w:rsidR="003C154A" w:rsidRPr="004F6A42">
        <w:rPr>
          <w:rStyle w:val="FootnoteReference"/>
          <w:lang w:val="es-HN"/>
        </w:rPr>
        <w:footnoteReference w:id="59"/>
      </w:r>
      <w:r w:rsidR="003C154A" w:rsidRPr="004F6A42">
        <w:rPr>
          <w:rStyle w:val="FootnoteReference"/>
          <w:lang w:val="es-HN"/>
        </w:rPr>
        <w:t xml:space="preserve"> </w:t>
      </w:r>
      <w:r w:rsidRPr="001D0245">
        <w:rPr>
          <w:lang w:val="es-HN"/>
        </w:rPr>
        <w:lastRenderedPageBreak/>
        <w:t xml:space="preserve">Entre otros motivos, las desigualdades en la garantía de los derechos, la percepción de incapacidad institucional, la falta de representación democrática y la corrupción provocaron protestas. Entre mayo y julio, la oposición a las reformas de la salud y la educación lideradas por el Gobierno ocupó un lugar central. Las demandas se centraron inicialmente en la exigencia de derogar dos decretos </w:t>
      </w:r>
      <w:r w:rsidR="00DE52BB" w:rsidRPr="004F6A42">
        <w:rPr>
          <w:rStyle w:val="FootnoteReference"/>
          <w:lang w:val="es-HN"/>
        </w:rPr>
        <w:footnoteReference w:id="60"/>
      </w:r>
      <w:r w:rsidR="009B22D4" w:rsidRPr="004F6A42">
        <w:rPr>
          <w:lang w:val="es-HN"/>
        </w:rPr>
        <w:t xml:space="preserve"> </w:t>
      </w:r>
      <w:r w:rsidRPr="001D0245">
        <w:rPr>
          <w:lang w:val="es-HN"/>
        </w:rPr>
        <w:t>considerado</w:t>
      </w:r>
      <w:r w:rsidR="001F2D9A">
        <w:rPr>
          <w:lang w:val="es-HN"/>
        </w:rPr>
        <w:t>s</w:t>
      </w:r>
      <w:r w:rsidRPr="001D0245">
        <w:rPr>
          <w:lang w:val="es-HN"/>
        </w:rPr>
        <w:t xml:space="preserve"> </w:t>
      </w:r>
      <w:r w:rsidR="00514FF8" w:rsidRPr="00514FF8">
        <w:rPr>
          <w:lang w:val="es-HN"/>
        </w:rPr>
        <w:t xml:space="preserve">por esos grupos </w:t>
      </w:r>
      <w:r w:rsidR="00514FF8">
        <w:rPr>
          <w:lang w:val="es-HN"/>
        </w:rPr>
        <w:t>c</w:t>
      </w:r>
      <w:r w:rsidRPr="001D0245">
        <w:rPr>
          <w:lang w:val="es-HN"/>
        </w:rPr>
        <w:t>omo un medio para privatizar los dos sectores. Aunque el Gobierno retiró los decretos y llamó al diálogo, las protestas continuaron y otros sectores se sumaron a ellas. La OACNUDH intervino en varias protestas para disminuir las tensiones.</w:t>
      </w:r>
    </w:p>
    <w:p w14:paraId="2A7C5778" w14:textId="24E9847E" w:rsidR="00541B6E" w:rsidRPr="004F6A42" w:rsidRDefault="00A33D38" w:rsidP="00BD2C18">
      <w:pPr>
        <w:pStyle w:val="SingleTxtG"/>
        <w:numPr>
          <w:ilvl w:val="0"/>
          <w:numId w:val="15"/>
        </w:numPr>
        <w:rPr>
          <w:lang w:val="es-HN"/>
        </w:rPr>
      </w:pPr>
      <w:r w:rsidRPr="004F6A42">
        <w:rPr>
          <w:lang w:val="es-HN"/>
        </w:rPr>
        <w:t xml:space="preserve">La OACNUDH siguió documentando las violaciones atribuidas a la Policía Militar de Orden Público y al Ejército en el contexto del mantenimiento del orden durante las protestas. Hasta la fecha, un soldado se ha enfrentado a un juicio por el asesinato de </w:t>
      </w:r>
      <w:r w:rsidR="00EE218E">
        <w:rPr>
          <w:lang w:val="es-HN"/>
        </w:rPr>
        <w:t xml:space="preserve">un niño </w:t>
      </w:r>
      <w:r w:rsidRPr="004F6A42">
        <w:rPr>
          <w:lang w:val="es-HN"/>
        </w:rPr>
        <w:t xml:space="preserve">de 17 años de edad, quien fue asesinado </w:t>
      </w:r>
      <w:r w:rsidR="000063A2">
        <w:rPr>
          <w:lang w:val="es-HN"/>
        </w:rPr>
        <w:t xml:space="preserve">con </w:t>
      </w:r>
      <w:r w:rsidR="00725362">
        <w:rPr>
          <w:lang w:val="es-HN"/>
        </w:rPr>
        <w:t xml:space="preserve">un </w:t>
      </w:r>
      <w:r w:rsidR="000063A2">
        <w:rPr>
          <w:lang w:val="es-HN"/>
        </w:rPr>
        <w:t xml:space="preserve">arma reglamentaria </w:t>
      </w:r>
      <w:r w:rsidRPr="004F6A42">
        <w:rPr>
          <w:lang w:val="es-HN"/>
        </w:rPr>
        <w:t>el 20 de junio en Yarumela, departamento de La Paz, cuando huía tras la disolución de una toma de carreteras. El 24 de junio, las fuerzas militares entraron en el recinto de la Universidad Nacional Autónoma de Honduras, disparando e hiriendo a cinco estudiantes. La Universidad presentó una denuncia oficial al Ministerio Público, que, en el momento de finalizar el presente informe, seguía investig</w:t>
      </w:r>
      <w:r w:rsidR="001F2D9A">
        <w:rPr>
          <w:lang w:val="es-HN"/>
        </w:rPr>
        <w:t>ándose.</w:t>
      </w:r>
    </w:p>
    <w:p w14:paraId="7F345E5F" w14:textId="299B7303" w:rsidR="00656A24" w:rsidRPr="004F6A42" w:rsidRDefault="00A33D38" w:rsidP="00656A24">
      <w:pPr>
        <w:pStyle w:val="SingleTxtG"/>
        <w:numPr>
          <w:ilvl w:val="0"/>
          <w:numId w:val="15"/>
        </w:numPr>
        <w:rPr>
          <w:lang w:val="es-HN"/>
        </w:rPr>
      </w:pPr>
      <w:r w:rsidRPr="004F6A42">
        <w:rPr>
          <w:lang w:val="es-HN"/>
        </w:rPr>
        <w:t>Es un principio básico que el compromiso de respetar los derechos humanos implica la obligación de adoptar las medidas necesarias para garantizar que las violaciones cesen y no se repitan.</w:t>
      </w:r>
      <w:r w:rsidR="008A3C38">
        <w:rPr>
          <w:lang w:val="es-HN"/>
        </w:rPr>
        <w:t xml:space="preserve"> Los</w:t>
      </w:r>
      <w:r w:rsidRPr="004F6A42">
        <w:rPr>
          <w:lang w:val="es-HN"/>
        </w:rPr>
        <w:t xml:space="preserve"> llama</w:t>
      </w:r>
      <w:r w:rsidR="008A3C38">
        <w:rPr>
          <w:lang w:val="es-HN"/>
        </w:rPr>
        <w:t>mientos</w:t>
      </w:r>
      <w:r w:rsidRPr="004F6A42">
        <w:rPr>
          <w:lang w:val="es-HN"/>
        </w:rPr>
        <w:t xml:space="preserve"> a Honduras </w:t>
      </w:r>
      <w:r w:rsidR="008A3C38">
        <w:rPr>
          <w:lang w:val="es-HN"/>
        </w:rPr>
        <w:t>para</w:t>
      </w:r>
      <w:r w:rsidRPr="004F6A42">
        <w:rPr>
          <w:lang w:val="es-HN"/>
        </w:rPr>
        <w:t xml:space="preserve"> limitar las circunstancias del despliegue de las fuerzas militares para el cumplimiento de las funciones de seguridad civil</w:t>
      </w:r>
      <w:r w:rsidRPr="001D0245">
        <w:rPr>
          <w:lang w:val="es-HN"/>
        </w:rPr>
        <w:t xml:space="preserve"> </w:t>
      </w:r>
      <w:r w:rsidR="005319EC" w:rsidRPr="004F6A42">
        <w:rPr>
          <w:rStyle w:val="FootnoteReference"/>
          <w:lang w:val="es-HN"/>
        </w:rPr>
        <w:footnoteReference w:id="61"/>
      </w:r>
      <w:r w:rsidR="002340C0" w:rsidRPr="004F6A42">
        <w:rPr>
          <w:lang w:val="es-HN"/>
        </w:rPr>
        <w:t xml:space="preserve"> </w:t>
      </w:r>
      <w:r w:rsidRPr="001D0245">
        <w:rPr>
          <w:lang w:val="es-HN"/>
        </w:rPr>
        <w:t>y para garantizar el respeto del ejercicio de las protestas pacíficas, la adaptación de la legislación nacional y los protocolos sobre el uso de la fuerza en las protestas sociales a las normas internacionales, siguen sin cumplirse</w:t>
      </w:r>
      <w:r w:rsidR="00541B6E" w:rsidRPr="004F6A42">
        <w:rPr>
          <w:lang w:val="es-HN"/>
        </w:rPr>
        <w:t>.</w:t>
      </w:r>
    </w:p>
    <w:p w14:paraId="17156EAB" w14:textId="7CD1E33A" w:rsidR="004311AC" w:rsidRPr="004F6A42" w:rsidRDefault="00541B6E" w:rsidP="00656A24">
      <w:pPr>
        <w:pStyle w:val="H1G"/>
        <w:numPr>
          <w:ilvl w:val="0"/>
          <w:numId w:val="20"/>
        </w:numPr>
        <w:rPr>
          <w:lang w:val="es-HN"/>
        </w:rPr>
      </w:pPr>
      <w:r w:rsidRPr="004F6A42">
        <w:rPr>
          <w:lang w:val="es-HN"/>
        </w:rPr>
        <w:t xml:space="preserve"> </w:t>
      </w:r>
      <w:r w:rsidR="00902BFE" w:rsidRPr="000A756C">
        <w:rPr>
          <w:lang w:val="es-HN"/>
        </w:rPr>
        <w:t>D</w:t>
      </w:r>
      <w:r w:rsidR="00A33D38" w:rsidRPr="000A756C">
        <w:rPr>
          <w:lang w:val="es-HN"/>
        </w:rPr>
        <w:t>efensores de derechos humanos</w:t>
      </w:r>
      <w:r w:rsidR="00A33D38" w:rsidRPr="004F6A42">
        <w:rPr>
          <w:lang w:val="es-HN"/>
        </w:rPr>
        <w:t xml:space="preserve"> y periodistas</w:t>
      </w:r>
    </w:p>
    <w:p w14:paraId="2C4353A4" w14:textId="64F4B024" w:rsidR="006B2F90" w:rsidRPr="004F6A42" w:rsidRDefault="00A82F01" w:rsidP="00BE1420">
      <w:pPr>
        <w:pStyle w:val="SingleTxtG"/>
        <w:numPr>
          <w:ilvl w:val="0"/>
          <w:numId w:val="15"/>
        </w:numPr>
        <w:rPr>
          <w:lang w:val="es-HN"/>
        </w:rPr>
      </w:pPr>
      <w:r w:rsidRPr="004F6A42">
        <w:rPr>
          <w:lang w:val="es-HN"/>
        </w:rPr>
        <w:t xml:space="preserve"> </w:t>
      </w:r>
      <w:r w:rsidR="008C4933">
        <w:rPr>
          <w:lang w:val="es-HN"/>
        </w:rPr>
        <w:t>Las y los defensores</w:t>
      </w:r>
      <w:r w:rsidR="00A33D38" w:rsidRPr="001D0245">
        <w:rPr>
          <w:lang w:val="es-HN"/>
        </w:rPr>
        <w:t xml:space="preserve"> </w:t>
      </w:r>
      <w:r w:rsidR="008C4933">
        <w:rPr>
          <w:lang w:val="es-HN"/>
        </w:rPr>
        <w:t>de</w:t>
      </w:r>
      <w:r w:rsidR="00A33D38" w:rsidRPr="001D0245">
        <w:rPr>
          <w:lang w:val="es-HN"/>
        </w:rPr>
        <w:t xml:space="preserve"> derechos humanos y los periodistas siguen estando expuestos a la vigilancia, las amenazas, el acoso, las campañas de difamación, los actos de violencia y la criminalización de sus actividades legítimas. Durante el año, cuatro miembros de las comunidades </w:t>
      </w:r>
      <w:r w:rsidR="00E71338">
        <w:rPr>
          <w:lang w:val="es-HN"/>
        </w:rPr>
        <w:t xml:space="preserve">indígenas Tolupanes </w:t>
      </w:r>
      <w:r w:rsidR="00A33D38" w:rsidRPr="001D0245">
        <w:rPr>
          <w:lang w:val="es-HN"/>
        </w:rPr>
        <w:t>de Locomapa de San Francisco</w:t>
      </w:r>
      <w:r w:rsidR="00E71338">
        <w:rPr>
          <w:lang w:val="es-HN"/>
        </w:rPr>
        <w:t xml:space="preserve"> Morazán </w:t>
      </w:r>
      <w:r w:rsidR="00A33D38" w:rsidRPr="001D0245">
        <w:rPr>
          <w:lang w:val="es-HN"/>
        </w:rPr>
        <w:t>fueron asesinados mientras trabajaban en la protección de la tierra y el territorio contra la tala comercial.</w:t>
      </w:r>
      <w:r w:rsidR="00BE1420" w:rsidRPr="00AC068F">
        <w:rPr>
          <w:lang w:val="es-419"/>
        </w:rPr>
        <w:t xml:space="preserve"> </w:t>
      </w:r>
      <w:r w:rsidR="00BE1420" w:rsidRPr="00BE1420">
        <w:rPr>
          <w:lang w:val="es-HN"/>
        </w:rPr>
        <w:t>El Ministerio Público informó sobre el inicio de las investigaciones para esclarecer los hechos.</w:t>
      </w:r>
      <w:r w:rsidR="00301F45" w:rsidRPr="004F6A42">
        <w:rPr>
          <w:rStyle w:val="FootnoteReference"/>
          <w:lang w:val="es-HN"/>
        </w:rPr>
        <w:footnoteReference w:id="62"/>
      </w:r>
      <w:r w:rsidR="00833EB8" w:rsidRPr="004F6A42">
        <w:rPr>
          <w:lang w:val="es-HN"/>
        </w:rPr>
        <w:t xml:space="preserve"> </w:t>
      </w:r>
    </w:p>
    <w:p w14:paraId="2DEC72ED" w14:textId="27EA925D" w:rsidR="00C96DE1" w:rsidRPr="004F6A42" w:rsidRDefault="00A33D38" w:rsidP="001F06F1">
      <w:pPr>
        <w:pStyle w:val="SingleTxtG"/>
        <w:numPr>
          <w:ilvl w:val="0"/>
          <w:numId w:val="15"/>
        </w:numPr>
        <w:rPr>
          <w:lang w:val="es-HN"/>
        </w:rPr>
      </w:pPr>
      <w:r w:rsidRPr="004F6A42">
        <w:rPr>
          <w:lang w:val="es-HN"/>
        </w:rPr>
        <w:t xml:space="preserve">La Fiscalía Especial para la Protección de </w:t>
      </w:r>
      <w:r w:rsidR="008C4933">
        <w:rPr>
          <w:lang w:val="es-HN"/>
        </w:rPr>
        <w:t>las y los defensores</w:t>
      </w:r>
      <w:r w:rsidRPr="004F6A42">
        <w:rPr>
          <w:lang w:val="es-HN"/>
        </w:rPr>
        <w:t xml:space="preserve"> de los Derechos Humanos, Periodistas, Trabajadores de los Medios de </w:t>
      </w:r>
      <w:r w:rsidRPr="004F6A42">
        <w:rPr>
          <w:lang w:val="es-HN"/>
        </w:rPr>
        <w:lastRenderedPageBreak/>
        <w:t xml:space="preserve">Comunicación y Operadores del Sistema de Justicia, informó </w:t>
      </w:r>
      <w:r w:rsidR="00D13F09">
        <w:rPr>
          <w:lang w:val="es-HN"/>
        </w:rPr>
        <w:t>que en el año 2019</w:t>
      </w:r>
      <w:r w:rsidRPr="004F6A42">
        <w:rPr>
          <w:lang w:val="es-HN"/>
        </w:rPr>
        <w:t xml:space="preserve"> habían recibido más de 100 denuncias. Sin embargo, no se dispone de información oficial sobre las tendencias y patrones, ni sobre los cargos presentados. </w:t>
      </w:r>
      <w:r w:rsidR="000063A2">
        <w:rPr>
          <w:lang w:val="es-HN"/>
        </w:rPr>
        <w:t xml:space="preserve">OACNUDH valora </w:t>
      </w:r>
      <w:r w:rsidR="001F06F1" w:rsidRPr="001F06F1">
        <w:rPr>
          <w:lang w:val="es-HN"/>
        </w:rPr>
        <w:t>la existencia de un grupo interinstitucional especializado para la elaboración de un protocolo para la investigación de los delitos contra las y los defensores de derechos humanos,</w:t>
      </w:r>
      <w:r w:rsidR="000063A2">
        <w:rPr>
          <w:lang w:val="es-HN"/>
        </w:rPr>
        <w:t xml:space="preserve"> y </w:t>
      </w:r>
      <w:r w:rsidR="008E0317">
        <w:rPr>
          <w:lang w:val="es-HN"/>
        </w:rPr>
        <w:t>alienta los esfuerzos para concretar dicho protocolo</w:t>
      </w:r>
      <w:r w:rsidR="001F06F1" w:rsidRPr="001F06F1">
        <w:rPr>
          <w:lang w:val="es-HN"/>
        </w:rPr>
        <w:t xml:space="preserve"> </w:t>
      </w:r>
      <w:r w:rsidR="00B15317">
        <w:rPr>
          <w:lang w:val="es-HN"/>
        </w:rPr>
        <w:t xml:space="preserve">a la brevedad </w:t>
      </w:r>
      <w:r w:rsidRPr="004F6A42">
        <w:rPr>
          <w:lang w:val="es-HN"/>
        </w:rPr>
        <w:t>como recomienda el siste</w:t>
      </w:r>
      <w:r w:rsidR="00ED7560">
        <w:rPr>
          <w:lang w:val="es-HN"/>
        </w:rPr>
        <w:t>ma i</w:t>
      </w:r>
      <w:r w:rsidRPr="004F6A42">
        <w:rPr>
          <w:lang w:val="es-HN"/>
        </w:rPr>
        <w:t>nterame</w:t>
      </w:r>
      <w:r w:rsidR="00FD4C58">
        <w:rPr>
          <w:lang w:val="es-HN"/>
        </w:rPr>
        <w:t>ricano de los derechos humanos.</w:t>
      </w:r>
      <w:r w:rsidR="006B2F90" w:rsidRPr="004F6A42">
        <w:rPr>
          <w:rStyle w:val="FootnoteReference"/>
          <w:lang w:val="es-HN"/>
        </w:rPr>
        <w:footnoteReference w:id="63"/>
      </w:r>
    </w:p>
    <w:p w14:paraId="6301B85A" w14:textId="296B5EF9" w:rsidR="007F4B2F" w:rsidRPr="00BA52FD" w:rsidRDefault="00A33D38" w:rsidP="00BA52FD">
      <w:pPr>
        <w:pStyle w:val="SingleTxtG"/>
        <w:numPr>
          <w:ilvl w:val="0"/>
          <w:numId w:val="15"/>
        </w:numPr>
        <w:rPr>
          <w:lang w:val="es-HN"/>
        </w:rPr>
      </w:pPr>
      <w:r w:rsidRPr="004F6A42">
        <w:rPr>
          <w:lang w:val="es-HN"/>
        </w:rPr>
        <w:t xml:space="preserve">Entre enero y septiembre, el Mecanismo Nacional de Protección de </w:t>
      </w:r>
      <w:r w:rsidR="008C4933">
        <w:rPr>
          <w:lang w:val="es-HN"/>
        </w:rPr>
        <w:t>las y los defensores</w:t>
      </w:r>
      <w:r w:rsidRPr="004F6A42">
        <w:rPr>
          <w:lang w:val="es-HN"/>
        </w:rPr>
        <w:t xml:space="preserve"> de Derechos Humanos, </w:t>
      </w:r>
      <w:r w:rsidR="00E71338">
        <w:rPr>
          <w:lang w:val="es-HN"/>
        </w:rPr>
        <w:t>P</w:t>
      </w:r>
      <w:r w:rsidRPr="004F6A42">
        <w:rPr>
          <w:lang w:val="es-HN"/>
        </w:rPr>
        <w:t xml:space="preserve">eriodistas, </w:t>
      </w:r>
      <w:r w:rsidR="00E71338">
        <w:rPr>
          <w:lang w:val="es-HN"/>
        </w:rPr>
        <w:t>T</w:t>
      </w:r>
      <w:r w:rsidRPr="004F6A42">
        <w:rPr>
          <w:lang w:val="es-HN"/>
        </w:rPr>
        <w:t xml:space="preserve">rabajadores de los </w:t>
      </w:r>
      <w:r w:rsidR="00E71338">
        <w:rPr>
          <w:lang w:val="es-HN"/>
        </w:rPr>
        <w:t>M</w:t>
      </w:r>
      <w:r w:rsidRPr="004F6A42">
        <w:rPr>
          <w:lang w:val="es-HN"/>
        </w:rPr>
        <w:t xml:space="preserve">edios de </w:t>
      </w:r>
      <w:r w:rsidR="00E71338">
        <w:rPr>
          <w:lang w:val="es-HN"/>
        </w:rPr>
        <w:t>C</w:t>
      </w:r>
      <w:r w:rsidRPr="004F6A42">
        <w:rPr>
          <w:lang w:val="es-HN"/>
        </w:rPr>
        <w:t xml:space="preserve">omunicación y </w:t>
      </w:r>
      <w:r w:rsidR="00E71338">
        <w:rPr>
          <w:lang w:val="es-HN"/>
        </w:rPr>
        <w:t>O</w:t>
      </w:r>
      <w:r w:rsidRPr="004F6A42">
        <w:rPr>
          <w:lang w:val="es-HN"/>
        </w:rPr>
        <w:t xml:space="preserve">peradores del </w:t>
      </w:r>
      <w:r w:rsidR="00E71338">
        <w:rPr>
          <w:lang w:val="es-HN"/>
        </w:rPr>
        <w:t>S</w:t>
      </w:r>
      <w:r w:rsidRPr="004F6A42">
        <w:rPr>
          <w:lang w:val="es-HN"/>
        </w:rPr>
        <w:t xml:space="preserve">istema de </w:t>
      </w:r>
      <w:r w:rsidR="00E71338">
        <w:rPr>
          <w:lang w:val="es-HN"/>
        </w:rPr>
        <w:t>J</w:t>
      </w:r>
      <w:r w:rsidRPr="004F6A42">
        <w:rPr>
          <w:lang w:val="es-HN"/>
        </w:rPr>
        <w:t xml:space="preserve">usticia </w:t>
      </w:r>
      <w:r w:rsidR="00E71338">
        <w:rPr>
          <w:lang w:val="es-HN"/>
        </w:rPr>
        <w:t xml:space="preserve">(Mecanismo Nacional) </w:t>
      </w:r>
      <w:r w:rsidRPr="004F6A42">
        <w:rPr>
          <w:lang w:val="es-HN"/>
        </w:rPr>
        <w:t>de</w:t>
      </w:r>
      <w:r w:rsidR="00E71338">
        <w:rPr>
          <w:lang w:val="es-HN"/>
        </w:rPr>
        <w:t xml:space="preserve"> la Secretaría </w:t>
      </w:r>
      <w:r w:rsidRPr="004F6A42">
        <w:rPr>
          <w:lang w:val="es-HN"/>
        </w:rPr>
        <w:t xml:space="preserve">de Derechos Humanos, recibió 87 solicitudes de medidas de protección, de las cuales 58 fueron aceptadas y 29 desestimadas. De las aceptadas, </w:t>
      </w:r>
      <w:r w:rsidR="00E71338">
        <w:rPr>
          <w:lang w:val="es-HN"/>
        </w:rPr>
        <w:t>treinta y siete</w:t>
      </w:r>
      <w:r w:rsidRPr="004F6A42">
        <w:rPr>
          <w:lang w:val="es-HN"/>
        </w:rPr>
        <w:t xml:space="preserve"> se referían a defensores de derechos humanos, </w:t>
      </w:r>
      <w:r w:rsidR="00E71338">
        <w:rPr>
          <w:lang w:val="es-HN"/>
        </w:rPr>
        <w:t>trece</w:t>
      </w:r>
      <w:r w:rsidRPr="004F6A42">
        <w:rPr>
          <w:lang w:val="es-HN"/>
        </w:rPr>
        <w:t xml:space="preserve"> a los trabajadores de los medios de comunicación, </w:t>
      </w:r>
      <w:r w:rsidR="00E71338">
        <w:rPr>
          <w:lang w:val="es-HN"/>
        </w:rPr>
        <w:t>seis</w:t>
      </w:r>
      <w:r w:rsidRPr="004F6A42">
        <w:rPr>
          <w:lang w:val="es-HN"/>
        </w:rPr>
        <w:t xml:space="preserve"> a periodistas y </w:t>
      </w:r>
      <w:r w:rsidR="00E71338">
        <w:rPr>
          <w:lang w:val="es-HN"/>
        </w:rPr>
        <w:t>dos</w:t>
      </w:r>
      <w:r w:rsidRPr="004F6A42">
        <w:rPr>
          <w:lang w:val="es-HN"/>
        </w:rPr>
        <w:t xml:space="preserve"> a operadores de justicia. Cerca de un tercio de las medidas se referían a defensores de la protección del medio ambiente, el</w:t>
      </w:r>
      <w:r w:rsidR="00ED7560">
        <w:rPr>
          <w:lang w:val="es-HN"/>
        </w:rPr>
        <w:t xml:space="preserve"> derecho al agua y a la tierra.</w:t>
      </w:r>
      <w:r w:rsidR="001E7EF2" w:rsidRPr="004F6A42">
        <w:rPr>
          <w:rStyle w:val="FootnoteReference"/>
          <w:lang w:val="es-HN"/>
        </w:rPr>
        <w:footnoteReference w:id="64"/>
      </w:r>
      <w:r w:rsidR="001E7EF2" w:rsidRPr="004F6A42">
        <w:rPr>
          <w:lang w:val="es-HN"/>
        </w:rPr>
        <w:t xml:space="preserve"> </w:t>
      </w:r>
      <w:r w:rsidRPr="001D0245">
        <w:rPr>
          <w:lang w:val="es-HN"/>
        </w:rPr>
        <w:t xml:space="preserve">En el año 2019, el </w:t>
      </w:r>
      <w:r w:rsidR="00E71338">
        <w:rPr>
          <w:lang w:val="es-HN"/>
        </w:rPr>
        <w:t>Mecanismo Nacional</w:t>
      </w:r>
      <w:r w:rsidR="00E71338" w:rsidRPr="001D0245">
        <w:rPr>
          <w:lang w:val="es-HN"/>
        </w:rPr>
        <w:t xml:space="preserve"> </w:t>
      </w:r>
      <w:r w:rsidRPr="001D0245">
        <w:rPr>
          <w:lang w:val="es-HN"/>
        </w:rPr>
        <w:t>amplió</w:t>
      </w:r>
      <w:r w:rsidR="006A7ED3">
        <w:rPr>
          <w:lang w:val="es-HN"/>
        </w:rPr>
        <w:t xml:space="preserve"> el tipo</w:t>
      </w:r>
      <w:r w:rsidRPr="001D0245">
        <w:rPr>
          <w:lang w:val="es-HN"/>
        </w:rPr>
        <w:t xml:space="preserve"> medidas de protección, </w:t>
      </w:r>
      <w:r w:rsidRPr="00BA52FD">
        <w:rPr>
          <w:lang w:val="es-HN"/>
        </w:rPr>
        <w:t>añadiendo</w:t>
      </w:r>
      <w:r w:rsidR="00AC068F">
        <w:rPr>
          <w:lang w:val="es-HN"/>
        </w:rPr>
        <w:t xml:space="preserve"> </w:t>
      </w:r>
      <w:r w:rsidRPr="00BA52FD">
        <w:rPr>
          <w:lang w:val="es-HN"/>
        </w:rPr>
        <w:t xml:space="preserve">las reubicaciones de emergencia, la provisión de teléfonos satelitales y el reembolso de los gastos médicos. También comenzó a desglosar todas las estadísticas por género. A septiembre de 2019, el Mecanismo Nacional había iniciado la elaboración de un protocolo sobre la discriminación de género y la discriminación múltiple y el desarrollo de una política pública sobre </w:t>
      </w:r>
      <w:r w:rsidR="008C4933" w:rsidRPr="00BA52FD">
        <w:rPr>
          <w:lang w:val="es-HN"/>
        </w:rPr>
        <w:t>las y los defensores</w:t>
      </w:r>
      <w:r w:rsidRPr="00BA52FD">
        <w:rPr>
          <w:lang w:val="es-HN"/>
        </w:rPr>
        <w:t xml:space="preserve"> de derechos humanos.</w:t>
      </w:r>
    </w:p>
    <w:p w14:paraId="540A2EC2" w14:textId="38F155C7" w:rsidR="00FF2E72" w:rsidRPr="004F6A42" w:rsidRDefault="00A33D38" w:rsidP="00CD2F36">
      <w:pPr>
        <w:pStyle w:val="SingleTxtG"/>
        <w:numPr>
          <w:ilvl w:val="0"/>
          <w:numId w:val="15"/>
        </w:numPr>
        <w:rPr>
          <w:lang w:val="es-HN"/>
        </w:rPr>
      </w:pPr>
      <w:r w:rsidRPr="004F6A42">
        <w:rPr>
          <w:lang w:val="es-HN"/>
        </w:rPr>
        <w:t xml:space="preserve">El uso abusivo del derecho penal contra </w:t>
      </w:r>
      <w:r w:rsidR="008C4933">
        <w:rPr>
          <w:lang w:val="es-HN"/>
        </w:rPr>
        <w:t>las y los defensores</w:t>
      </w:r>
      <w:r w:rsidRPr="004F6A42">
        <w:rPr>
          <w:lang w:val="es-HN"/>
        </w:rPr>
        <w:t xml:space="preserve"> de derechos humanos y de la tierra continu</w:t>
      </w:r>
      <w:r w:rsidR="009C63C1">
        <w:rPr>
          <w:lang w:val="es-HN"/>
        </w:rPr>
        <w:t>ó</w:t>
      </w:r>
      <w:r w:rsidRPr="004F6A42">
        <w:rPr>
          <w:lang w:val="es-HN"/>
        </w:rPr>
        <w:t xml:space="preserve">. En agosto, nueve defensores de derechos humanos </w:t>
      </w:r>
      <w:r w:rsidRPr="003E5B11">
        <w:rPr>
          <w:lang w:val="es-HN"/>
        </w:rPr>
        <w:t xml:space="preserve">fueron </w:t>
      </w:r>
      <w:r w:rsidR="00D13F09" w:rsidRPr="003E5B11">
        <w:rPr>
          <w:lang w:val="es-HN"/>
        </w:rPr>
        <w:t>enviados a</w:t>
      </w:r>
      <w:r w:rsidR="00D13F09">
        <w:rPr>
          <w:lang w:val="es-HN"/>
        </w:rPr>
        <w:t xml:space="preserve"> </w:t>
      </w:r>
      <w:r w:rsidRPr="004F6A42">
        <w:rPr>
          <w:lang w:val="es-HN"/>
        </w:rPr>
        <w:t>prisión preventiva, acusados de asociación ilícita por su trabajo en la defensa del agua en la zona del Parque Natural de los Botaderos.</w:t>
      </w:r>
      <w:r w:rsidR="001E5602" w:rsidRPr="004F6A42">
        <w:rPr>
          <w:lang w:val="es-HN"/>
        </w:rPr>
        <w:t xml:space="preserve"> </w:t>
      </w:r>
    </w:p>
    <w:p w14:paraId="25B0AF0E" w14:textId="6545AEE0" w:rsidR="00CC6360" w:rsidRPr="004F6A42" w:rsidRDefault="00A33D38" w:rsidP="00CD2F36">
      <w:pPr>
        <w:pStyle w:val="SingleTxtG"/>
        <w:numPr>
          <w:ilvl w:val="0"/>
          <w:numId w:val="15"/>
        </w:numPr>
        <w:rPr>
          <w:lang w:val="es-HN"/>
        </w:rPr>
      </w:pPr>
      <w:r w:rsidRPr="004F6A42">
        <w:rPr>
          <w:lang w:val="es-HN"/>
        </w:rPr>
        <w:t>Durante el año, las organizaciones de periodistas y trabajadores de los medios de comunicación, emitieron 117 alertas relacionadas con ataques o amenazas contra personas y medios de comunicación</w:t>
      </w:r>
      <w:r w:rsidRPr="001D0245">
        <w:rPr>
          <w:lang w:val="es-HN"/>
        </w:rPr>
        <w:t>.</w:t>
      </w:r>
      <w:r w:rsidR="009635DF" w:rsidRPr="004F6A42">
        <w:rPr>
          <w:rStyle w:val="FootnoteReference"/>
          <w:lang w:val="es-HN"/>
        </w:rPr>
        <w:footnoteReference w:id="65"/>
      </w:r>
      <w:r w:rsidR="009635DF" w:rsidRPr="004F6A42">
        <w:rPr>
          <w:lang w:val="es-HN"/>
        </w:rPr>
        <w:t xml:space="preserve"> </w:t>
      </w:r>
      <w:r w:rsidRPr="001D0245">
        <w:rPr>
          <w:lang w:val="es-HN"/>
        </w:rPr>
        <w:t>La OACNUDH documentó el asesinato de siete periodistas y trabajadores de los medios de comunicación en los d</w:t>
      </w:r>
      <w:r w:rsidR="00D13F09">
        <w:rPr>
          <w:lang w:val="es-HN"/>
        </w:rPr>
        <w:t xml:space="preserve">epartamentos de Valle, Copán, </w:t>
      </w:r>
      <w:r w:rsidRPr="001D0245">
        <w:rPr>
          <w:lang w:val="es-HN"/>
        </w:rPr>
        <w:t>Cortés, Gracias a Dios y Olancho. Dos de los periodistas habían denunciado amenazas en su contra por el ejercicio de su profesión; uno de los trabajadores de los medios de comunicación fue objeto de estigmatización y acoso por su identidad de género.</w:t>
      </w:r>
      <w:r w:rsidR="00701DC3" w:rsidRPr="004F6A42">
        <w:rPr>
          <w:lang w:val="es-HN"/>
        </w:rPr>
        <w:t xml:space="preserve"> </w:t>
      </w:r>
    </w:p>
    <w:p w14:paraId="0638791E" w14:textId="63AB6D7C" w:rsidR="006B5EA5" w:rsidRPr="004F6A42" w:rsidRDefault="00A33D38" w:rsidP="005A392A">
      <w:pPr>
        <w:pStyle w:val="SingleTxtG"/>
        <w:numPr>
          <w:ilvl w:val="0"/>
          <w:numId w:val="15"/>
        </w:numPr>
        <w:rPr>
          <w:lang w:val="es-HN"/>
        </w:rPr>
      </w:pPr>
      <w:r w:rsidRPr="004F6A42">
        <w:rPr>
          <w:lang w:val="es-HN"/>
        </w:rPr>
        <w:t xml:space="preserve">Entre enero y septiembre, 19 trabajadores de los medios de comunicación y periodistas recibieron medidas de protección por parte del Mecanismo Nacional, algunos de los cuales informaron </w:t>
      </w:r>
      <w:r w:rsidRPr="004F6A42">
        <w:rPr>
          <w:lang w:val="es-HN"/>
        </w:rPr>
        <w:lastRenderedPageBreak/>
        <w:t xml:space="preserve">sobre vigilancia y agresiones, que vincularon a su cobertura de las protestas antigubernamentales. </w:t>
      </w:r>
      <w:r w:rsidR="00902BFE">
        <w:rPr>
          <w:lang w:val="es-HN"/>
        </w:rPr>
        <w:t>Periodistas</w:t>
      </w:r>
      <w:r w:rsidR="00902BFE" w:rsidRPr="004F6A42">
        <w:rPr>
          <w:lang w:val="es-HN"/>
        </w:rPr>
        <w:t xml:space="preserve"> </w:t>
      </w:r>
      <w:r w:rsidRPr="004F6A42">
        <w:rPr>
          <w:lang w:val="es-HN"/>
        </w:rPr>
        <w:t>de Radio Progreso fue</w:t>
      </w:r>
      <w:r w:rsidR="00902BFE">
        <w:rPr>
          <w:lang w:val="es-HN"/>
        </w:rPr>
        <w:t>ron</w:t>
      </w:r>
      <w:r w:rsidRPr="004F6A42">
        <w:rPr>
          <w:lang w:val="es-HN"/>
        </w:rPr>
        <w:t xml:space="preserve"> objeto de amenazas, hostigamiento y un intento de secuestro </w:t>
      </w:r>
      <w:r w:rsidR="005A392A" w:rsidRPr="005A392A">
        <w:rPr>
          <w:lang w:val="es-HN"/>
        </w:rPr>
        <w:t xml:space="preserve">alegan que los incidentes </w:t>
      </w:r>
      <w:r w:rsidRPr="00AC068F">
        <w:rPr>
          <w:lang w:val="es-HN"/>
        </w:rPr>
        <w:t>podría</w:t>
      </w:r>
      <w:r w:rsidR="005A392A" w:rsidRPr="00AC068F">
        <w:rPr>
          <w:lang w:val="es-HN"/>
        </w:rPr>
        <w:t>n</w:t>
      </w:r>
      <w:r w:rsidRPr="00AC068F">
        <w:rPr>
          <w:lang w:val="es-HN"/>
        </w:rPr>
        <w:t xml:space="preserve"> estar relacionado</w:t>
      </w:r>
      <w:r w:rsidR="00ED7560">
        <w:rPr>
          <w:lang w:val="es-HN"/>
        </w:rPr>
        <w:t>s</w:t>
      </w:r>
      <w:r w:rsidRPr="00AC068F">
        <w:rPr>
          <w:lang w:val="es-HN"/>
        </w:rPr>
        <w:t xml:space="preserve"> con la línea independiente de la radio</w:t>
      </w:r>
      <w:r w:rsidRPr="004F6A42">
        <w:rPr>
          <w:lang w:val="es-HN"/>
        </w:rPr>
        <w:t xml:space="preserve">. Al momento de finalizar el informe, </w:t>
      </w:r>
      <w:r w:rsidR="005A392A">
        <w:rPr>
          <w:lang w:val="es-HN"/>
        </w:rPr>
        <w:t>12 comunicadores sociales y 5</w:t>
      </w:r>
      <w:r w:rsidRPr="004F6A42">
        <w:rPr>
          <w:lang w:val="es-HN"/>
        </w:rPr>
        <w:t xml:space="preserve"> periodistas estaban bajo la protección del Mecanismo Nacional, mientras que otros optaron por medidas alternativas no estatales.</w:t>
      </w:r>
      <w:r w:rsidR="00D16EED" w:rsidRPr="004F6A42">
        <w:rPr>
          <w:lang w:val="es-HN"/>
        </w:rPr>
        <w:t xml:space="preserve"> </w:t>
      </w:r>
    </w:p>
    <w:p w14:paraId="56DFF1A7" w14:textId="68CD45EF" w:rsidR="00CD2F36" w:rsidRPr="004F6A42" w:rsidRDefault="00A33D38" w:rsidP="00B64ED3">
      <w:pPr>
        <w:pStyle w:val="SingleTxtG"/>
        <w:numPr>
          <w:ilvl w:val="0"/>
          <w:numId w:val="15"/>
        </w:numPr>
        <w:rPr>
          <w:lang w:val="es-HN"/>
        </w:rPr>
      </w:pPr>
      <w:r w:rsidRPr="004F6A42">
        <w:rPr>
          <w:lang w:val="es-HN"/>
        </w:rPr>
        <w:t>En enero, la Corte Suprema de Justicia de Honduras confirmó la sentencia de 2016 a diez años de prisión contra el periodista David Romero Ellner, director de Radio Globo y propietario del sitio web "Confidencialhn", por cargos de difamación y calumnia. El 21 de marzo, la Comisión Interamericana de Derechos Humanos concedió medidas cautelares al Sr. Romero Ellner y solicitó al Estado de Honduras que suspendiera la ejecución de la sentencia hasta que la Comisión emit</w:t>
      </w:r>
      <w:r w:rsidR="00DB31FE">
        <w:rPr>
          <w:lang w:val="es-HN"/>
        </w:rPr>
        <w:t>a</w:t>
      </w:r>
      <w:r w:rsidRPr="004F6A42">
        <w:rPr>
          <w:lang w:val="es-HN"/>
        </w:rPr>
        <w:t xml:space="preserve"> una decisión sobre el caso.</w:t>
      </w:r>
      <w:r w:rsidR="00E42506" w:rsidRPr="004F6A42">
        <w:rPr>
          <w:rStyle w:val="FootnoteReference"/>
          <w:lang w:val="es-HN"/>
        </w:rPr>
        <w:footnoteReference w:id="66"/>
      </w:r>
      <w:r w:rsidR="00E42506" w:rsidRPr="004F6A42">
        <w:rPr>
          <w:lang w:val="es-HN"/>
        </w:rPr>
        <w:t xml:space="preserve"> </w:t>
      </w:r>
      <w:r w:rsidRPr="001D0245">
        <w:rPr>
          <w:lang w:val="es-HN"/>
        </w:rPr>
        <w:t>Sin embargo, el 28 de marzo, las Tropas de Inteligencia y Respuesta Especial de Seguridad de la Policía Nacional, una fuerza especial creada originalmente para combatir el crimen organizado, detuvieron al periodista mientras se encontraba en la estación de radio</w:t>
      </w:r>
      <w:r w:rsidR="006B5EA5" w:rsidRPr="004F6A42">
        <w:rPr>
          <w:lang w:val="es-HN"/>
        </w:rPr>
        <w:t>.</w:t>
      </w:r>
    </w:p>
    <w:p w14:paraId="68466E8E" w14:textId="1641E2B9" w:rsidR="004311AC" w:rsidRPr="004F6A42" w:rsidRDefault="004311AC" w:rsidP="00481DB5">
      <w:pPr>
        <w:pStyle w:val="HChG"/>
        <w:numPr>
          <w:ilvl w:val="0"/>
          <w:numId w:val="16"/>
        </w:numPr>
        <w:rPr>
          <w:lang w:val="es-HN"/>
        </w:rPr>
      </w:pPr>
      <w:r w:rsidRPr="004F6A42">
        <w:rPr>
          <w:lang w:val="es-HN"/>
        </w:rPr>
        <w:tab/>
      </w:r>
      <w:r w:rsidR="00DB31FE">
        <w:rPr>
          <w:lang w:val="es-HN"/>
        </w:rPr>
        <w:t xml:space="preserve">Igualdad </w:t>
      </w:r>
      <w:r w:rsidR="00A33D38" w:rsidRPr="004F6A42">
        <w:rPr>
          <w:lang w:val="es-HN"/>
        </w:rPr>
        <w:t xml:space="preserve">y no discriminación </w:t>
      </w:r>
    </w:p>
    <w:p w14:paraId="710C2416" w14:textId="6AC8E8CB" w:rsidR="004311AC" w:rsidRPr="004F6A42" w:rsidRDefault="00A33D38" w:rsidP="00481DB5">
      <w:pPr>
        <w:pStyle w:val="H1G"/>
        <w:numPr>
          <w:ilvl w:val="0"/>
          <w:numId w:val="21"/>
        </w:numPr>
        <w:rPr>
          <w:lang w:val="es-HN"/>
        </w:rPr>
      </w:pPr>
      <w:r w:rsidRPr="004F6A42">
        <w:rPr>
          <w:lang w:val="es-HN"/>
        </w:rPr>
        <w:t>Los derechos de los pue</w:t>
      </w:r>
      <w:r w:rsidRPr="001D0245">
        <w:rPr>
          <w:lang w:val="es-HN"/>
        </w:rPr>
        <w:t xml:space="preserve">blos indígenas y </w:t>
      </w:r>
      <w:r w:rsidR="00ED7560">
        <w:rPr>
          <w:lang w:val="es-HN"/>
        </w:rPr>
        <w:t>afro</w:t>
      </w:r>
      <w:r w:rsidR="00962F09">
        <w:rPr>
          <w:lang w:val="es-HN"/>
        </w:rPr>
        <w:t xml:space="preserve"> </w:t>
      </w:r>
      <w:r w:rsidR="00ED7560" w:rsidRPr="001D0245">
        <w:rPr>
          <w:lang w:val="es-HN"/>
        </w:rPr>
        <w:t>hondureños</w:t>
      </w:r>
      <w:r w:rsidRPr="001D0245">
        <w:rPr>
          <w:lang w:val="es-HN"/>
        </w:rPr>
        <w:t xml:space="preserve"> </w:t>
      </w:r>
    </w:p>
    <w:p w14:paraId="79D14C69" w14:textId="259DD919" w:rsidR="00C67337" w:rsidRPr="004F6A42" w:rsidRDefault="00A33D38" w:rsidP="00760AF4">
      <w:pPr>
        <w:pStyle w:val="SingleTxtG"/>
        <w:numPr>
          <w:ilvl w:val="0"/>
          <w:numId w:val="15"/>
        </w:numPr>
        <w:rPr>
          <w:lang w:val="es-HN"/>
        </w:rPr>
      </w:pPr>
      <w:r w:rsidRPr="004F6A42">
        <w:rPr>
          <w:lang w:val="es-HN"/>
        </w:rPr>
        <w:t xml:space="preserve">Los derechos territoriales y sobre la tierra de las comunidades indígenas siguen desprotegidos y los efectos de la falta de consulta y consentimiento siguen siendo visibles, tal y como lo demuestra la situación de las comunidades indígenas de Reitoca y Tornillito, entre otras. Las </w:t>
      </w:r>
      <w:r w:rsidR="00DF6A69" w:rsidRPr="004F6A42">
        <w:rPr>
          <w:lang w:val="es-HN"/>
        </w:rPr>
        <w:t xml:space="preserve">reparaciones </w:t>
      </w:r>
      <w:r w:rsidR="00DF6A69">
        <w:rPr>
          <w:lang w:val="es-HN"/>
        </w:rPr>
        <w:t xml:space="preserve">establecidas </w:t>
      </w:r>
      <w:r w:rsidRPr="004F6A42">
        <w:rPr>
          <w:lang w:val="es-HN"/>
        </w:rPr>
        <w:t xml:space="preserve">por la Corte Interamericana de Derechos Humanos en el año 2015 en relación con las comunidades garífunas del Triunfo de la Cruz y Punta Piedra, </w:t>
      </w:r>
      <w:r w:rsidR="00AC045A">
        <w:rPr>
          <w:lang w:val="es-HN"/>
        </w:rPr>
        <w:t xml:space="preserve">como </w:t>
      </w:r>
      <w:r w:rsidRPr="004F6A42">
        <w:rPr>
          <w:lang w:val="es-HN"/>
        </w:rPr>
        <w:t>la demarcación y la concesión de títulos de propiedad de las tierras, siguieron sin aplicarse, situación que alimentó las protestas. En julio, las comunidades y organizaciones indígenas misquitas protestaron en los departamentos del norte pidiendo una acción efectiva del Estado para detener la invasión a las tierras indígenas por parte de terceros.</w:t>
      </w:r>
      <w:r w:rsidR="00760AF4" w:rsidRPr="00AC068F">
        <w:rPr>
          <w:lang w:val="es-419"/>
        </w:rPr>
        <w:t xml:space="preserve"> </w:t>
      </w:r>
    </w:p>
    <w:p w14:paraId="019EDCB3" w14:textId="6CB79765" w:rsidR="00FD4719" w:rsidRPr="004F6A42" w:rsidRDefault="00A33D38" w:rsidP="002A63DE">
      <w:pPr>
        <w:pStyle w:val="SingleTxtG"/>
        <w:numPr>
          <w:ilvl w:val="0"/>
          <w:numId w:val="15"/>
        </w:numPr>
        <w:rPr>
          <w:lang w:val="es-HN"/>
        </w:rPr>
      </w:pPr>
      <w:r w:rsidRPr="004F6A42">
        <w:rPr>
          <w:lang w:val="es-HN"/>
        </w:rPr>
        <w:t xml:space="preserve">Durante el año 2019, cinco mujeres y un hombre garífunas fueron asesinados en los departamentos de Colón y Cortés; tres de ellos eran miembros de la OFRANEH, una organización que trabaja para proteger los derechos económicos, sociales y culturales de las comunidades garífunas, en particular en lo que respecta a la cultura y la defensa del territorio. La emblemática defensora de los derechos humanos Miriam Miranda, activista y directora de </w:t>
      </w:r>
      <w:r w:rsidR="00AF1B2F">
        <w:rPr>
          <w:lang w:val="es-HN"/>
        </w:rPr>
        <w:t xml:space="preserve">la </w:t>
      </w:r>
      <w:r w:rsidRPr="004F6A42">
        <w:rPr>
          <w:lang w:val="es-HN"/>
        </w:rPr>
        <w:t>OFRANEH, también fue objeto de amenazas e intimidaciones durante el año.</w:t>
      </w:r>
      <w:r w:rsidR="002A63DE" w:rsidRPr="004F6A42">
        <w:rPr>
          <w:lang w:val="es-HN"/>
        </w:rPr>
        <w:t xml:space="preserve"> </w:t>
      </w:r>
    </w:p>
    <w:p w14:paraId="6D6D520D" w14:textId="3FF8C079" w:rsidR="00472CDD" w:rsidRPr="004F6A42" w:rsidRDefault="00A33D38" w:rsidP="000E7BA2">
      <w:pPr>
        <w:pStyle w:val="SingleTxtG"/>
        <w:numPr>
          <w:ilvl w:val="0"/>
          <w:numId w:val="15"/>
        </w:numPr>
        <w:rPr>
          <w:lang w:val="es-HN"/>
        </w:rPr>
      </w:pPr>
      <w:r w:rsidRPr="004F6A42">
        <w:rPr>
          <w:lang w:val="es-HN"/>
        </w:rPr>
        <w:lastRenderedPageBreak/>
        <w:t xml:space="preserve">El 23 de mayo de 2018, el Ejecutivo presentó al Congreso un proyecto de ley sobre la consulta libre, previa e informada, que se encontraba ante una Comisión ad hoc en el momento de finalizar este informe. En junio de 2019, </w:t>
      </w:r>
      <w:r w:rsidR="00ED7560">
        <w:rPr>
          <w:lang w:val="es-HN"/>
        </w:rPr>
        <w:t>el Comité solicitó a la OACNUDH</w:t>
      </w:r>
      <w:r w:rsidRPr="004F6A42">
        <w:rPr>
          <w:lang w:val="es-HN"/>
        </w:rPr>
        <w:t xml:space="preserve"> asistencia técnica para el diseño de un proceso de consulta. La OACNUDH reiteró las recomendaciones que había formulado anteriormente, junto con los mecanismos internacionales, en particular la necesidad de examinar detenidamente si existen condiciones para la elaboración de la ley y de participar en el fomento de la confianza. La OACNUDH advirtió al Congreso del riesgo de que se intensificara el malestar social si no se </w:t>
      </w:r>
      <w:r w:rsidR="00AF1B2F">
        <w:rPr>
          <w:lang w:val="es-HN"/>
        </w:rPr>
        <w:t>cumplían</w:t>
      </w:r>
      <w:r w:rsidR="00AF1B2F" w:rsidRPr="004F6A42">
        <w:rPr>
          <w:lang w:val="es-HN"/>
        </w:rPr>
        <w:t xml:space="preserve"> </w:t>
      </w:r>
      <w:r w:rsidR="00FD4C58">
        <w:rPr>
          <w:lang w:val="es-HN"/>
        </w:rPr>
        <w:t>esas condiciones.</w:t>
      </w:r>
      <w:r w:rsidR="00867D2B" w:rsidRPr="004F6A42">
        <w:rPr>
          <w:rStyle w:val="FootnoteReference"/>
          <w:lang w:val="es-HN"/>
        </w:rPr>
        <w:footnoteReference w:id="67"/>
      </w:r>
      <w:r w:rsidR="001D5F96" w:rsidRPr="004F6A42">
        <w:rPr>
          <w:lang w:val="es-HN"/>
        </w:rPr>
        <w:t xml:space="preserve"> </w:t>
      </w:r>
    </w:p>
    <w:p w14:paraId="15F1AAF2" w14:textId="2DF1418D" w:rsidR="004C549C" w:rsidRPr="004F6A42" w:rsidRDefault="00A33D38" w:rsidP="00284CE6">
      <w:pPr>
        <w:pStyle w:val="SingleTxtG"/>
        <w:numPr>
          <w:ilvl w:val="0"/>
          <w:numId w:val="15"/>
        </w:numPr>
        <w:rPr>
          <w:lang w:val="es-HN"/>
        </w:rPr>
      </w:pPr>
      <w:r w:rsidRPr="004F6A42">
        <w:rPr>
          <w:lang w:val="es-HN"/>
        </w:rPr>
        <w:t xml:space="preserve">El 24 de mayo de 2019, la Comisión Interamericana de Derechos Humanos remitió el caso de Opario Lemoth Morris y otros a la Corte Interamericana de Derechos Humanos, alegando violaciones en relación con 34 buzos misquitos por parte del Estado de Honduras </w:t>
      </w:r>
      <w:r w:rsidR="00AF1B2F">
        <w:rPr>
          <w:lang w:val="es-HN"/>
        </w:rPr>
        <w:t>d</w:t>
      </w:r>
      <w:r w:rsidRPr="004F6A42">
        <w:rPr>
          <w:lang w:val="es-HN"/>
        </w:rPr>
        <w:t>el derecho a la vida, la integridad personal, la igualdad y la no discriminación.</w:t>
      </w:r>
      <w:r w:rsidR="00515F82" w:rsidRPr="004F6A42">
        <w:rPr>
          <w:rStyle w:val="FootnoteReference"/>
          <w:lang w:val="es-HN"/>
        </w:rPr>
        <w:footnoteReference w:id="68"/>
      </w:r>
      <w:r w:rsidR="00F872E2" w:rsidRPr="004F6A42">
        <w:rPr>
          <w:lang w:val="es-HN"/>
        </w:rPr>
        <w:t xml:space="preserve"> </w:t>
      </w:r>
      <w:r w:rsidRPr="001D0245">
        <w:rPr>
          <w:lang w:val="es-HN"/>
        </w:rPr>
        <w:t xml:space="preserve">Los buzos misquitos de aguas profundas siguen enfrentando condiciones de trabajo explotadoras e inseguras, tal y como lo demuestra la muerte de 27 buzos y la desaparición de </w:t>
      </w:r>
      <w:r w:rsidR="00AF1B2F">
        <w:rPr>
          <w:lang w:val="es-HN"/>
        </w:rPr>
        <w:t>9</w:t>
      </w:r>
      <w:r w:rsidR="00AF1B2F" w:rsidRPr="001D0245">
        <w:rPr>
          <w:lang w:val="es-HN"/>
        </w:rPr>
        <w:t xml:space="preserve"> </w:t>
      </w:r>
      <w:r w:rsidRPr="001D0245">
        <w:rPr>
          <w:lang w:val="es-HN"/>
        </w:rPr>
        <w:t>buzos en el mes de julio en el contexto del hundimiento de los barcos comerciales en los que trabajaban. En el año de 2019, la Inspec</w:t>
      </w:r>
      <w:r w:rsidR="00AF1B2F">
        <w:rPr>
          <w:lang w:val="es-HN"/>
        </w:rPr>
        <w:t>ción</w:t>
      </w:r>
      <w:r w:rsidRPr="001D0245">
        <w:rPr>
          <w:lang w:val="es-HN"/>
        </w:rPr>
        <w:t xml:space="preserve"> de Trabajo no realizó ninguna inspección de los buques pesqueros en alta mar.</w:t>
      </w:r>
    </w:p>
    <w:p w14:paraId="7337C0E1" w14:textId="6D25A2F0" w:rsidR="004311AC" w:rsidRPr="004F6A42" w:rsidRDefault="00A33D38" w:rsidP="00481DB5">
      <w:pPr>
        <w:pStyle w:val="H1G"/>
        <w:numPr>
          <w:ilvl w:val="0"/>
          <w:numId w:val="21"/>
        </w:numPr>
        <w:rPr>
          <w:lang w:val="es-HN"/>
        </w:rPr>
      </w:pPr>
      <w:r w:rsidRPr="004F6A42">
        <w:rPr>
          <w:lang w:val="es-HN"/>
        </w:rPr>
        <w:t xml:space="preserve">Los Derechos de las Mujeres </w:t>
      </w:r>
    </w:p>
    <w:p w14:paraId="3CEF7611" w14:textId="7F7E75F8" w:rsidR="005D1BA1" w:rsidRPr="004F6A42" w:rsidRDefault="00A33D38" w:rsidP="004C549C">
      <w:pPr>
        <w:pStyle w:val="SingleTxtG"/>
        <w:numPr>
          <w:ilvl w:val="0"/>
          <w:numId w:val="15"/>
        </w:numPr>
        <w:rPr>
          <w:lang w:val="es-HN"/>
        </w:rPr>
      </w:pPr>
      <w:r w:rsidRPr="004F6A42">
        <w:rPr>
          <w:lang w:val="es-HN"/>
        </w:rPr>
        <w:t>La desigualdad estructural persist</w:t>
      </w:r>
      <w:r w:rsidR="00AF1B2F">
        <w:rPr>
          <w:lang w:val="es-HN"/>
        </w:rPr>
        <w:t>ió</w:t>
      </w:r>
      <w:r w:rsidRPr="004F6A42">
        <w:rPr>
          <w:lang w:val="es-HN"/>
        </w:rPr>
        <w:t xml:space="preserve"> y las mujeres sig</w:t>
      </w:r>
      <w:r w:rsidR="00AF1B2F">
        <w:rPr>
          <w:lang w:val="es-HN"/>
        </w:rPr>
        <w:t>uieron</w:t>
      </w:r>
      <w:r w:rsidRPr="004F6A42">
        <w:rPr>
          <w:lang w:val="es-HN"/>
        </w:rPr>
        <w:t xml:space="preserve"> siendo objeto de discriminación en todas las esferas de la vida. Las mujeres en condiciones de pobreza, las indígenas y afro</w:t>
      </w:r>
      <w:r w:rsidR="00962F09">
        <w:rPr>
          <w:lang w:val="es-HN"/>
        </w:rPr>
        <w:t xml:space="preserve"> </w:t>
      </w:r>
      <w:r w:rsidRPr="004F6A42">
        <w:rPr>
          <w:lang w:val="es-HN"/>
        </w:rPr>
        <w:t xml:space="preserve">hondureñas, así como las mujeres trans y las lesbianas, experimentan múltiples formas de discriminación. Quedan pendientes en el Congreso numerosas iniciativas importantes, como los proyectos de ley sobre el trabajo doméstico, sobre la violencia contra la mujer en la política, sobre las casas de albergues para las víctimas de la violencia y un proyecto de ley integral sobre la violencia contra la mujer. El Estado de Honduras no ha ratificado el Protocolo Facultativo de la Convención sobre la </w:t>
      </w:r>
      <w:r w:rsidR="00AF1B2F">
        <w:rPr>
          <w:lang w:val="es-HN"/>
        </w:rPr>
        <w:t>E</w:t>
      </w:r>
      <w:r w:rsidRPr="004F6A42">
        <w:rPr>
          <w:lang w:val="es-HN"/>
        </w:rPr>
        <w:t xml:space="preserve">liminación de </w:t>
      </w:r>
      <w:r w:rsidR="00AF1B2F">
        <w:rPr>
          <w:lang w:val="es-HN"/>
        </w:rPr>
        <w:t>T</w:t>
      </w:r>
      <w:r w:rsidRPr="004F6A42">
        <w:rPr>
          <w:lang w:val="es-HN"/>
        </w:rPr>
        <w:t xml:space="preserve">odas las </w:t>
      </w:r>
      <w:r w:rsidR="00AF1B2F">
        <w:rPr>
          <w:lang w:val="es-HN"/>
        </w:rPr>
        <w:t>F</w:t>
      </w:r>
      <w:r w:rsidRPr="004F6A42">
        <w:rPr>
          <w:lang w:val="es-HN"/>
        </w:rPr>
        <w:t xml:space="preserve">ormas de </w:t>
      </w:r>
      <w:r w:rsidR="00AF1B2F">
        <w:rPr>
          <w:lang w:val="es-HN"/>
        </w:rPr>
        <w:t>D</w:t>
      </w:r>
      <w:r w:rsidRPr="004F6A42">
        <w:rPr>
          <w:lang w:val="es-HN"/>
        </w:rPr>
        <w:t xml:space="preserve">iscriminación contra la </w:t>
      </w:r>
      <w:r w:rsidR="00AF1B2F">
        <w:rPr>
          <w:lang w:val="es-HN"/>
        </w:rPr>
        <w:t>M</w:t>
      </w:r>
      <w:r w:rsidRPr="004F6A42">
        <w:rPr>
          <w:lang w:val="es-HN"/>
        </w:rPr>
        <w:t>ujer, exclu</w:t>
      </w:r>
      <w:r w:rsidR="00AF1B2F">
        <w:rPr>
          <w:lang w:val="es-HN"/>
        </w:rPr>
        <w:t>yendo de esa manera parcialmente a las mujeres</w:t>
      </w:r>
      <w:r w:rsidRPr="004F6A42">
        <w:rPr>
          <w:lang w:val="es-HN"/>
        </w:rPr>
        <w:t xml:space="preserve"> del sistema de protección internacional.</w:t>
      </w:r>
      <w:r w:rsidRPr="004F6A42" w:rsidDel="00A33D38">
        <w:rPr>
          <w:lang w:val="es-HN"/>
        </w:rPr>
        <w:t xml:space="preserve"> </w:t>
      </w:r>
      <w:r w:rsidR="001D6D9D" w:rsidRPr="004F6A42">
        <w:rPr>
          <w:lang w:val="es-HN"/>
        </w:rPr>
        <w:t xml:space="preserve"> </w:t>
      </w:r>
    </w:p>
    <w:p w14:paraId="49914D9B" w14:textId="5030F4AB" w:rsidR="005623C7" w:rsidRPr="004F6A42" w:rsidRDefault="00A33D38" w:rsidP="004C549C">
      <w:pPr>
        <w:pStyle w:val="SingleTxtG"/>
        <w:numPr>
          <w:ilvl w:val="0"/>
          <w:numId w:val="15"/>
        </w:numPr>
        <w:rPr>
          <w:lang w:val="es-HN"/>
        </w:rPr>
      </w:pPr>
      <w:r w:rsidRPr="004F6A42">
        <w:rPr>
          <w:lang w:val="es-HN"/>
        </w:rPr>
        <w:t xml:space="preserve">La legislación muy limitada sobre los derechos sexuales y reproductivos representa una importante laguna en el cumplimiento de las obligaciones internacionales del Estado. Entre el año 2008 y junio de 2019, al menos 47 mujeres fueron procesadas por aborto, 28 de ellas desde 2014. La mayoría eran trabajadoras domésticas o </w:t>
      </w:r>
      <w:r w:rsidRPr="004F6A42">
        <w:rPr>
          <w:lang w:val="es-HN"/>
        </w:rPr>
        <w:lastRenderedPageBreak/>
        <w:t>estudiantes de secundaria.</w:t>
      </w:r>
      <w:r w:rsidR="0025478F" w:rsidRPr="004F6A42">
        <w:rPr>
          <w:rStyle w:val="FootnoteReference"/>
          <w:lang w:val="es-HN"/>
        </w:rPr>
        <w:footnoteReference w:id="69"/>
      </w:r>
      <w:r w:rsidR="00167196" w:rsidRPr="004F6A42">
        <w:rPr>
          <w:lang w:val="es-HN"/>
        </w:rPr>
        <w:t xml:space="preserve"> </w:t>
      </w:r>
      <w:r w:rsidRPr="004F6A42">
        <w:rPr>
          <w:lang w:val="es-HN"/>
        </w:rPr>
        <w:t xml:space="preserve">Honduras tiene la </w:t>
      </w:r>
      <w:r w:rsidR="00E1090A">
        <w:rPr>
          <w:lang w:val="es-HN"/>
        </w:rPr>
        <w:t xml:space="preserve">tercera </w:t>
      </w:r>
      <w:r w:rsidRPr="004F6A42">
        <w:rPr>
          <w:lang w:val="es-HN"/>
        </w:rPr>
        <w:t>tasa más alta de embarazos en adolescentes de la región centroamericana; sin embargo, el uso, la venta, la distribución y la compra de anticonceptivos de emergencia siguen estando prohibidos. Estas leyes restrictivas contribuyeron a las altas tasas de mortalidad y morbilidad materna</w:t>
      </w:r>
      <w:r w:rsidR="00167196" w:rsidRPr="004F6A42">
        <w:rPr>
          <w:lang w:val="es-HN"/>
        </w:rPr>
        <w:t>.</w:t>
      </w:r>
      <w:r w:rsidR="00167196" w:rsidRPr="004F6A42">
        <w:rPr>
          <w:rStyle w:val="FootnoteReference"/>
          <w:lang w:val="es-HN"/>
        </w:rPr>
        <w:footnoteReference w:id="70"/>
      </w:r>
      <w:r w:rsidR="00167196" w:rsidRPr="004F6A42">
        <w:rPr>
          <w:lang w:val="es-HN"/>
        </w:rPr>
        <w:t xml:space="preserve"> </w:t>
      </w:r>
    </w:p>
    <w:p w14:paraId="665B0E92" w14:textId="262F6EAE" w:rsidR="00481DB5" w:rsidRPr="004F6A42" w:rsidRDefault="00A33D38" w:rsidP="00481DB5">
      <w:pPr>
        <w:pStyle w:val="H1G"/>
        <w:numPr>
          <w:ilvl w:val="0"/>
          <w:numId w:val="21"/>
        </w:numPr>
        <w:rPr>
          <w:lang w:val="es-HN"/>
        </w:rPr>
      </w:pPr>
      <w:r w:rsidRPr="004F6A42">
        <w:rPr>
          <w:lang w:val="es-HN"/>
        </w:rPr>
        <w:t xml:space="preserve">Los derechos de </w:t>
      </w:r>
      <w:r w:rsidR="00AF5DFB">
        <w:rPr>
          <w:lang w:val="es-HN"/>
        </w:rPr>
        <w:t>la niñez</w:t>
      </w:r>
    </w:p>
    <w:p w14:paraId="4CB2363F" w14:textId="3E1F3547" w:rsidR="00400EA2" w:rsidRDefault="00AF5DFB" w:rsidP="00400EA2">
      <w:pPr>
        <w:pStyle w:val="SingleTxtG"/>
        <w:numPr>
          <w:ilvl w:val="0"/>
          <w:numId w:val="15"/>
        </w:numPr>
        <w:rPr>
          <w:lang w:val="es-HN"/>
        </w:rPr>
      </w:pPr>
      <w:r>
        <w:rPr>
          <w:lang w:val="es-HN"/>
        </w:rPr>
        <w:t xml:space="preserve">La niñez en </w:t>
      </w:r>
      <w:r w:rsidR="00A33D38" w:rsidRPr="004F6A42">
        <w:rPr>
          <w:lang w:val="es-HN"/>
        </w:rPr>
        <w:t xml:space="preserve">Honduras representa el </w:t>
      </w:r>
      <w:r>
        <w:rPr>
          <w:lang w:val="es-HN"/>
        </w:rPr>
        <w:t>cuarenta por ciento</w:t>
      </w:r>
      <w:r w:rsidR="00A33D38" w:rsidRPr="004F6A42">
        <w:rPr>
          <w:lang w:val="es-HN"/>
        </w:rPr>
        <w:t xml:space="preserve"> de la población y se ve afectad</w:t>
      </w:r>
      <w:r>
        <w:rPr>
          <w:lang w:val="es-HN"/>
        </w:rPr>
        <w:t>a</w:t>
      </w:r>
      <w:r w:rsidR="00A33D38" w:rsidRPr="004F6A42">
        <w:rPr>
          <w:lang w:val="es-HN"/>
        </w:rPr>
        <w:t xml:space="preserve"> de manera desproporcionada por la pobreza y la inseguridad. </w:t>
      </w:r>
      <w:r>
        <w:rPr>
          <w:lang w:val="es-HN"/>
        </w:rPr>
        <w:t>L</w:t>
      </w:r>
      <w:r w:rsidR="00A33D38" w:rsidRPr="004F6A42">
        <w:rPr>
          <w:lang w:val="es-HN"/>
        </w:rPr>
        <w:t xml:space="preserve">a violencia contra </w:t>
      </w:r>
      <w:r>
        <w:rPr>
          <w:lang w:val="es-HN"/>
        </w:rPr>
        <w:t xml:space="preserve">la niñez </w:t>
      </w:r>
      <w:r w:rsidR="00A33D38" w:rsidRPr="004F6A42">
        <w:rPr>
          <w:lang w:val="es-HN"/>
        </w:rPr>
        <w:t>en sus diversas formas, incluida la violencia física y sexual</w:t>
      </w:r>
      <w:r>
        <w:rPr>
          <w:lang w:val="es-HN"/>
        </w:rPr>
        <w:t>, está extendida</w:t>
      </w:r>
      <w:r w:rsidR="005606DD" w:rsidRPr="004F6A42">
        <w:rPr>
          <w:lang w:val="es-HN"/>
        </w:rPr>
        <w:t>.</w:t>
      </w:r>
      <w:r w:rsidR="005606DD" w:rsidRPr="004F6A42">
        <w:rPr>
          <w:rStyle w:val="FootnoteReference"/>
          <w:lang w:val="es-HN"/>
        </w:rPr>
        <w:footnoteReference w:id="71"/>
      </w:r>
      <w:r w:rsidR="00564D72" w:rsidRPr="004F6A42">
        <w:rPr>
          <w:lang w:val="es-HN"/>
        </w:rPr>
        <w:t xml:space="preserve"> </w:t>
      </w:r>
      <w:r w:rsidR="00A33D38" w:rsidRPr="001D0245">
        <w:rPr>
          <w:lang w:val="es-HN"/>
        </w:rPr>
        <w:t>La mala calidad y la falta de integración del sistema educativo sigue</w:t>
      </w:r>
      <w:r w:rsidR="00A03162">
        <w:rPr>
          <w:lang w:val="es-HN"/>
        </w:rPr>
        <w:t>n</w:t>
      </w:r>
      <w:r w:rsidR="00A33D38" w:rsidRPr="001D0245">
        <w:rPr>
          <w:lang w:val="es-HN"/>
        </w:rPr>
        <w:t xml:space="preserve"> siendo un obstáculo importante para el desarrollo del niño. El </w:t>
      </w:r>
      <w:r>
        <w:rPr>
          <w:lang w:val="es-HN"/>
        </w:rPr>
        <w:t>diez por ciento</w:t>
      </w:r>
      <w:r w:rsidR="00A33D38" w:rsidRPr="001D0245">
        <w:rPr>
          <w:lang w:val="es-HN"/>
        </w:rPr>
        <w:t xml:space="preserve"> de los niños</w:t>
      </w:r>
      <w:r>
        <w:rPr>
          <w:lang w:val="es-HN"/>
        </w:rPr>
        <w:t xml:space="preserve"> y niñas</w:t>
      </w:r>
      <w:r w:rsidR="00A33D38" w:rsidRPr="001D0245">
        <w:rPr>
          <w:lang w:val="es-HN"/>
        </w:rPr>
        <w:t xml:space="preserve"> en edad de asistir a la escuela primaria y el </w:t>
      </w:r>
      <w:r>
        <w:rPr>
          <w:lang w:val="es-HN"/>
        </w:rPr>
        <w:t xml:space="preserve">setenta por ciento </w:t>
      </w:r>
      <w:r w:rsidR="00A33D38" w:rsidRPr="001D0245">
        <w:rPr>
          <w:lang w:val="es-HN"/>
        </w:rPr>
        <w:t>de los niños</w:t>
      </w:r>
      <w:r>
        <w:rPr>
          <w:lang w:val="es-HN"/>
        </w:rPr>
        <w:t xml:space="preserve"> y niñas</w:t>
      </w:r>
      <w:r w:rsidR="00A33D38" w:rsidRPr="001D0245">
        <w:rPr>
          <w:lang w:val="es-HN"/>
        </w:rPr>
        <w:t xml:space="preserve"> de 15 a 17 años, en edad de asistir a la escuela secundaria no asisten a la escuela.</w:t>
      </w:r>
      <w:r w:rsidR="0070700C">
        <w:rPr>
          <w:rStyle w:val="FootnoteReference"/>
          <w:lang w:val="es-HN"/>
        </w:rPr>
        <w:footnoteReference w:id="72"/>
      </w:r>
      <w:r w:rsidR="0070700C">
        <w:rPr>
          <w:lang w:val="es-HN"/>
        </w:rPr>
        <w:t xml:space="preserve"> </w:t>
      </w:r>
      <w:r w:rsidR="00A33D38" w:rsidRPr="001D0245">
        <w:rPr>
          <w:lang w:val="es-HN"/>
        </w:rPr>
        <w:t>La pobreza, la falta de apoyo de los padres y la inseguridad son las principales causas de la deserción escolar</w:t>
      </w:r>
      <w:r w:rsidR="00315EBA" w:rsidRPr="004F6A42">
        <w:rPr>
          <w:lang w:val="es-HN"/>
        </w:rPr>
        <w:t xml:space="preserve">. </w:t>
      </w:r>
    </w:p>
    <w:p w14:paraId="4746CA22" w14:textId="66F26DB8" w:rsidR="00400EA2" w:rsidRDefault="00A33D38" w:rsidP="00400EA2">
      <w:pPr>
        <w:pStyle w:val="SingleTxtG"/>
        <w:numPr>
          <w:ilvl w:val="0"/>
          <w:numId w:val="15"/>
        </w:numPr>
        <w:rPr>
          <w:lang w:val="es-HN"/>
        </w:rPr>
      </w:pPr>
      <w:r w:rsidRPr="00400EA2">
        <w:rPr>
          <w:lang w:val="es-HN"/>
        </w:rPr>
        <w:t>Aunque el sistema de menores ha mejorado desde el establecimiento del Instituto Nacional de Atención al Menor Infractor en enero de 2018, es necesario adoptar medidas para prevenir las violaciones de los derechos humanos de los niños</w:t>
      </w:r>
      <w:r w:rsidR="00AF5DFB" w:rsidRPr="00400EA2">
        <w:rPr>
          <w:lang w:val="es-HN"/>
        </w:rPr>
        <w:t xml:space="preserve"> y niñas</w:t>
      </w:r>
      <w:r w:rsidRPr="00400EA2">
        <w:rPr>
          <w:lang w:val="es-HN"/>
        </w:rPr>
        <w:t xml:space="preserve"> privados de libertad.</w:t>
      </w:r>
      <w:r w:rsidR="00BB7FF1">
        <w:rPr>
          <w:rStyle w:val="FootnoteReference"/>
          <w:lang w:val="es-HN"/>
        </w:rPr>
        <w:footnoteReference w:id="73"/>
      </w:r>
      <w:r w:rsidRPr="00400EA2">
        <w:rPr>
          <w:lang w:val="es-HN"/>
        </w:rPr>
        <w:t xml:space="preserve"> </w:t>
      </w:r>
      <w:r w:rsidR="0036559D" w:rsidRPr="00400EA2">
        <w:rPr>
          <w:lang w:val="es-HN"/>
        </w:rPr>
        <w:t>El 3 de diciembre, los disturbios en el Centro de Menores Infractores Renaciendo, en el departamento de Francisco Morazán, provocaron la muerte de cuatro niños</w:t>
      </w:r>
      <w:r w:rsidR="00211E25">
        <w:rPr>
          <w:lang w:val="es-HN"/>
        </w:rPr>
        <w:t xml:space="preserve"> y al menos tres heridos graves</w:t>
      </w:r>
      <w:r w:rsidR="0036559D" w:rsidRPr="00400EA2">
        <w:rPr>
          <w:lang w:val="es-HN"/>
        </w:rPr>
        <w:t xml:space="preserve">. </w:t>
      </w:r>
      <w:r w:rsidRPr="00400EA2">
        <w:rPr>
          <w:lang w:val="es-HN"/>
        </w:rPr>
        <w:t>Al 30 de septiembre de 2019, 423 estaban privados de libertad, cifra similar a la del año anterior, mientras que 1.184 se beneficiaban de medidas alternativas a la detención.</w:t>
      </w:r>
    </w:p>
    <w:p w14:paraId="46661563" w14:textId="78391551" w:rsidR="00400EA2" w:rsidRDefault="00A33D38" w:rsidP="00400EA2">
      <w:pPr>
        <w:pStyle w:val="H1G"/>
        <w:numPr>
          <w:ilvl w:val="0"/>
          <w:numId w:val="21"/>
        </w:numPr>
        <w:rPr>
          <w:lang w:val="es-HN"/>
        </w:rPr>
      </w:pPr>
      <w:r w:rsidRPr="00400EA2">
        <w:rPr>
          <w:lang w:val="es-HN"/>
        </w:rPr>
        <w:t>Derechos de las personas lesbianas, gais, bisexuales</w:t>
      </w:r>
      <w:r w:rsidR="00902BFE" w:rsidRPr="00400EA2">
        <w:rPr>
          <w:lang w:val="es-HN"/>
        </w:rPr>
        <w:t xml:space="preserve">, transgénero </w:t>
      </w:r>
      <w:r w:rsidRPr="00400EA2">
        <w:rPr>
          <w:lang w:val="es-HN"/>
        </w:rPr>
        <w:t>e intersexuales</w:t>
      </w:r>
      <w:r w:rsidR="00400EA2" w:rsidRPr="00400EA2">
        <w:rPr>
          <w:lang w:val="es-HN"/>
        </w:rPr>
        <w:t>.</w:t>
      </w:r>
      <w:r w:rsidRPr="00400EA2" w:rsidDel="00A33D38">
        <w:rPr>
          <w:lang w:val="es-HN"/>
        </w:rPr>
        <w:t xml:space="preserve"> </w:t>
      </w:r>
    </w:p>
    <w:p w14:paraId="64551575" w14:textId="1285E763" w:rsidR="00400EA2" w:rsidRDefault="00A33D38" w:rsidP="00400EA2">
      <w:pPr>
        <w:pStyle w:val="SingleTxtG"/>
        <w:numPr>
          <w:ilvl w:val="0"/>
          <w:numId w:val="15"/>
        </w:numPr>
        <w:rPr>
          <w:lang w:val="es-HN"/>
        </w:rPr>
      </w:pPr>
      <w:r w:rsidRPr="00400EA2">
        <w:rPr>
          <w:lang w:val="es-HN"/>
        </w:rPr>
        <w:t xml:space="preserve">Muchas lagunas y deficiencias obstaculizan el reconocimiento de la orientación sexual y la identidad de género y la protección de los derechos de las personas LGTBI. La falta de conciencia pública, los prejuicios y las ideas erróneas contribuyeron a la persistencia de la discriminación en todos los ámbitos de la vida, así como a la </w:t>
      </w:r>
      <w:r w:rsidRPr="00400EA2">
        <w:rPr>
          <w:lang w:val="es-HN"/>
        </w:rPr>
        <w:lastRenderedPageBreak/>
        <w:t>violencia. En el transcurso de 2019, al menos 31 personas LGTBI han sido asesinadas</w:t>
      </w:r>
      <w:r w:rsidR="00082DC2" w:rsidRPr="00400EA2">
        <w:rPr>
          <w:lang w:val="es-HN"/>
        </w:rPr>
        <w:t>.</w:t>
      </w:r>
      <w:r w:rsidR="00A13A0A">
        <w:rPr>
          <w:rStyle w:val="FootnoteReference"/>
          <w:lang w:val="es-HN"/>
        </w:rPr>
        <w:footnoteReference w:id="74"/>
      </w:r>
    </w:p>
    <w:p w14:paraId="72BA0067" w14:textId="0FE744AC" w:rsidR="00AE4BC6" w:rsidRPr="00400EA2" w:rsidRDefault="00A33D38" w:rsidP="00D816C5">
      <w:pPr>
        <w:pStyle w:val="SingleTxtG"/>
        <w:numPr>
          <w:ilvl w:val="0"/>
          <w:numId w:val="15"/>
        </w:numPr>
        <w:rPr>
          <w:lang w:val="es-HN"/>
        </w:rPr>
      </w:pPr>
      <w:r w:rsidRPr="00400EA2">
        <w:rPr>
          <w:lang w:val="es-HN"/>
        </w:rPr>
        <w:t>A pesar de los esfuerzos de los grupos de la sociedad civil, no se ha avanzado en la aprobación de una ley de identidad de género y una ley contra la discriminación.</w:t>
      </w:r>
      <w:r w:rsidR="00D816C5" w:rsidRPr="00D816C5">
        <w:rPr>
          <w:lang w:val="es-419"/>
        </w:rPr>
        <w:t xml:space="preserve"> </w:t>
      </w:r>
      <w:r w:rsidRPr="00400EA2">
        <w:rPr>
          <w:lang w:val="es-HN"/>
        </w:rPr>
        <w:t>Los recursos presentados en el año 2018 contra la constitucionalidad de la prohibición de los matrimonios entre personas del mismo sexo siguen pe</w:t>
      </w:r>
      <w:r w:rsidR="00E93207">
        <w:rPr>
          <w:lang w:val="es-HN"/>
        </w:rPr>
        <w:t>ndientes ante la Corte Suprema.</w:t>
      </w:r>
      <w:r w:rsidR="00297486" w:rsidRPr="004F6A42">
        <w:rPr>
          <w:rStyle w:val="FootnoteReference"/>
          <w:lang w:val="es-HN"/>
        </w:rPr>
        <w:footnoteReference w:id="75"/>
      </w:r>
      <w:r w:rsidR="00297486" w:rsidRPr="00400EA2">
        <w:rPr>
          <w:lang w:val="es-HN"/>
        </w:rPr>
        <w:t xml:space="preserve"> </w:t>
      </w:r>
      <w:r w:rsidRPr="00400EA2">
        <w:rPr>
          <w:lang w:val="es-HN"/>
        </w:rPr>
        <w:t xml:space="preserve">En el mes de mayo, la Sala Constitucional desestimó un recurso de apelación alegando discriminación en el requisito de presentar un certificado de matrimonio o de unión civil para permitir las visitas conyugales de una pareja </w:t>
      </w:r>
      <w:r w:rsidR="00A03162">
        <w:rPr>
          <w:lang w:val="es-HN"/>
        </w:rPr>
        <w:t>LGTBI en un centro de detención</w:t>
      </w:r>
      <w:r w:rsidRPr="00400EA2">
        <w:rPr>
          <w:lang w:val="es-HN"/>
        </w:rPr>
        <w:t xml:space="preserve"> porque dichos ce</w:t>
      </w:r>
      <w:r w:rsidR="00E93207">
        <w:rPr>
          <w:lang w:val="es-HN"/>
        </w:rPr>
        <w:t>rtificados no se emiten para estos tipos de</w:t>
      </w:r>
      <w:r w:rsidRPr="00400EA2">
        <w:rPr>
          <w:lang w:val="es-HN"/>
        </w:rPr>
        <w:t xml:space="preserve"> parejas. Los grupos religiosos siguieron desempeñando un papel fundamental en </w:t>
      </w:r>
      <w:r w:rsidR="003A1E5E" w:rsidRPr="00400EA2">
        <w:rPr>
          <w:lang w:val="es-HN"/>
        </w:rPr>
        <w:t>impedir</w:t>
      </w:r>
      <w:r w:rsidRPr="00400EA2">
        <w:rPr>
          <w:lang w:val="es-HN"/>
        </w:rPr>
        <w:t xml:space="preserve"> avances en la protección de los derechos de las personas LG</w:t>
      </w:r>
      <w:r w:rsidR="003A1E5E" w:rsidRPr="00400EA2">
        <w:rPr>
          <w:lang w:val="es-HN"/>
        </w:rPr>
        <w:t>T</w:t>
      </w:r>
      <w:r w:rsidRPr="00400EA2">
        <w:rPr>
          <w:lang w:val="es-HN"/>
        </w:rPr>
        <w:t>BI</w:t>
      </w:r>
      <w:r w:rsidR="00B81D3E" w:rsidRPr="00400EA2">
        <w:rPr>
          <w:lang w:val="es-HN"/>
        </w:rPr>
        <w:t xml:space="preserve">. </w:t>
      </w:r>
      <w:r w:rsidR="007B72E9" w:rsidRPr="00400EA2">
        <w:rPr>
          <w:lang w:val="es-HN"/>
        </w:rPr>
        <w:t>L</w:t>
      </w:r>
      <w:r w:rsidR="00AC0DF0" w:rsidRPr="00400EA2">
        <w:rPr>
          <w:lang w:val="es-HN"/>
        </w:rPr>
        <w:t>a Secretaría de Derechos Humanos ha informado sobre capacitaciones a fuerzas armadas y de seguridad</w:t>
      </w:r>
      <w:r w:rsidR="007B72E9" w:rsidRPr="00400EA2">
        <w:rPr>
          <w:lang w:val="es-HN"/>
        </w:rPr>
        <w:t xml:space="preserve"> sobre el registro y detención de personas LGTBI</w:t>
      </w:r>
      <w:r w:rsidR="008E0317" w:rsidRPr="00400EA2">
        <w:rPr>
          <w:lang w:val="es-HN"/>
        </w:rPr>
        <w:t>.</w:t>
      </w:r>
    </w:p>
    <w:p w14:paraId="64AE73E4" w14:textId="491EFD07" w:rsidR="003519D1" w:rsidRPr="004F6A42" w:rsidRDefault="00A33D38" w:rsidP="00481DB5">
      <w:pPr>
        <w:pStyle w:val="H1G"/>
        <w:numPr>
          <w:ilvl w:val="0"/>
          <w:numId w:val="21"/>
        </w:numPr>
        <w:rPr>
          <w:lang w:val="es-HN"/>
        </w:rPr>
      </w:pPr>
      <w:r w:rsidRPr="004F6A42">
        <w:rPr>
          <w:lang w:val="es-HN"/>
        </w:rPr>
        <w:t xml:space="preserve">Los derechos de las personas con </w:t>
      </w:r>
      <w:r w:rsidRPr="001D0245">
        <w:rPr>
          <w:lang w:val="es-HN"/>
        </w:rPr>
        <w:t xml:space="preserve">discapacidad </w:t>
      </w:r>
    </w:p>
    <w:p w14:paraId="13A0D111" w14:textId="568985E7" w:rsidR="004E2BA9" w:rsidRPr="004F6A42" w:rsidRDefault="00A33D38" w:rsidP="00400EA2">
      <w:pPr>
        <w:pStyle w:val="SingleTxtG"/>
        <w:numPr>
          <w:ilvl w:val="0"/>
          <w:numId w:val="15"/>
        </w:numPr>
        <w:rPr>
          <w:lang w:val="es-HN"/>
        </w:rPr>
      </w:pPr>
      <w:r w:rsidRPr="004F6A42">
        <w:rPr>
          <w:lang w:val="es-HN"/>
        </w:rPr>
        <w:t xml:space="preserve">Se han hecho avances modestos en la aplicación de las recomendaciones del 2017 del Comité sobre los Derechos de las Personas con Discapacidad. La legislación, las políticas públicas y los programas siguen conteniendo disposiciones que no se ajustan al modelo de derechos humanos de la discapacidad establecido en la Convención. La Ley de Equidad y Desarrollo Integral de las Personas con Discapacidad de 2005 no ha sido reformada, a pesar de </w:t>
      </w:r>
      <w:r w:rsidR="003A1E5E">
        <w:rPr>
          <w:lang w:val="es-HN"/>
        </w:rPr>
        <w:t>la incidencia de</w:t>
      </w:r>
      <w:r w:rsidRPr="004F6A42">
        <w:rPr>
          <w:lang w:val="es-HN"/>
        </w:rPr>
        <w:t xml:space="preserve"> las organizaciones de personas con discapacidad</w:t>
      </w:r>
      <w:r w:rsidR="003A1E5E">
        <w:rPr>
          <w:lang w:val="es-HN"/>
        </w:rPr>
        <w:t xml:space="preserve">. </w:t>
      </w:r>
      <w:r w:rsidRPr="004F6A42">
        <w:rPr>
          <w:lang w:val="es-HN"/>
        </w:rPr>
        <w:t>Durante el año se presentaron al Congreso dos proyectos de ley sobre los derechos de las personas con discapacidad. La OACNUDH considera que es necesario analizar a fondo la conformidad de los proyectos de ley con las normas y estándares internacionales.</w:t>
      </w:r>
    </w:p>
    <w:p w14:paraId="1B81277C" w14:textId="34DBACAB" w:rsidR="004311AC" w:rsidRPr="004F6A42" w:rsidRDefault="004311AC" w:rsidP="00481DB5">
      <w:pPr>
        <w:pStyle w:val="HChG"/>
        <w:numPr>
          <w:ilvl w:val="0"/>
          <w:numId w:val="16"/>
        </w:numPr>
        <w:rPr>
          <w:lang w:val="es-HN"/>
        </w:rPr>
      </w:pPr>
      <w:r w:rsidRPr="004F6A42">
        <w:rPr>
          <w:lang w:val="es-HN"/>
        </w:rPr>
        <w:tab/>
      </w:r>
      <w:r w:rsidR="00A33D38" w:rsidRPr="004F6A42">
        <w:rPr>
          <w:lang w:val="es-HN"/>
        </w:rPr>
        <w:t xml:space="preserve">Actividades de la Oficina del Alto Comisionado de las Naciones Unidas para los Derechos Humanos </w:t>
      </w:r>
    </w:p>
    <w:p w14:paraId="44D47D43" w14:textId="2D90A178" w:rsidR="001B58FD" w:rsidRPr="004F6A42" w:rsidRDefault="003A1E5E" w:rsidP="00A03162">
      <w:pPr>
        <w:pStyle w:val="SingleTxtG"/>
        <w:numPr>
          <w:ilvl w:val="0"/>
          <w:numId w:val="15"/>
        </w:numPr>
        <w:rPr>
          <w:lang w:val="es-HN"/>
        </w:rPr>
      </w:pPr>
      <w:r>
        <w:rPr>
          <w:lang w:val="es-HN"/>
        </w:rPr>
        <w:t xml:space="preserve">El 11 de enero, el Relator Especial </w:t>
      </w:r>
      <w:r w:rsidRPr="008C4933">
        <w:rPr>
          <w:lang w:val="es-HN"/>
        </w:rPr>
        <w:t>sobre la situación de</w:t>
      </w:r>
      <w:r w:rsidR="008C4933" w:rsidRPr="007D4A0E">
        <w:rPr>
          <w:lang w:val="es-HN"/>
        </w:rPr>
        <w:t xml:space="preserve"> </w:t>
      </w:r>
      <w:r w:rsidR="008C4933">
        <w:rPr>
          <w:lang w:val="es-HN"/>
        </w:rPr>
        <w:t>las y los defensores</w:t>
      </w:r>
      <w:r w:rsidRPr="008C4933">
        <w:rPr>
          <w:lang w:val="es-HN"/>
        </w:rPr>
        <w:t xml:space="preserve"> de derechos humanos presentó el informe sobre su visita a Honduras que tuvo</w:t>
      </w:r>
      <w:r>
        <w:rPr>
          <w:lang w:val="es-HN"/>
        </w:rPr>
        <w:t xml:space="preserve"> lugar en mayo de 2018. </w:t>
      </w:r>
      <w:r w:rsidR="00A33D38" w:rsidRPr="001D0245">
        <w:rPr>
          <w:lang w:val="es-HN"/>
        </w:rPr>
        <w:t xml:space="preserve">El Grupo de Trabajo sobre la situación de la discriminación contra la mujer en </w:t>
      </w:r>
      <w:r w:rsidR="00A03162">
        <w:rPr>
          <w:lang w:val="es-HN"/>
        </w:rPr>
        <w:t>la legislación y en la práctica</w:t>
      </w:r>
      <w:r w:rsidR="00A33D38" w:rsidRPr="001D0245">
        <w:rPr>
          <w:lang w:val="es-HN"/>
        </w:rPr>
        <w:t xml:space="preserve"> presentó </w:t>
      </w:r>
      <w:r w:rsidR="00A03162" w:rsidRPr="00A03162">
        <w:rPr>
          <w:lang w:val="es-HN"/>
        </w:rPr>
        <w:t xml:space="preserve">el 8 de mayo </w:t>
      </w:r>
      <w:r w:rsidR="00A33D38" w:rsidRPr="001D0245">
        <w:rPr>
          <w:lang w:val="es-HN"/>
        </w:rPr>
        <w:t xml:space="preserve">el informe </w:t>
      </w:r>
      <w:r w:rsidR="00FD4C58">
        <w:rPr>
          <w:lang w:val="es-HN"/>
        </w:rPr>
        <w:t>al Consejo de Derechos Humanos</w:t>
      </w:r>
      <w:r w:rsidR="00A03162">
        <w:rPr>
          <w:lang w:val="es-HN"/>
        </w:rPr>
        <w:t xml:space="preserve"> </w:t>
      </w:r>
      <w:r w:rsidR="00A03162" w:rsidRPr="001D0245">
        <w:rPr>
          <w:lang w:val="es-HN"/>
        </w:rPr>
        <w:t>sobre su visita de noviembre de 2018</w:t>
      </w:r>
      <w:r w:rsidR="00A03162">
        <w:rPr>
          <w:lang w:val="es-HN"/>
        </w:rPr>
        <w:t>.</w:t>
      </w:r>
      <w:r w:rsidR="00915593" w:rsidRPr="004F6A42">
        <w:rPr>
          <w:rStyle w:val="FootnoteReference"/>
          <w:lang w:val="es-HN"/>
        </w:rPr>
        <w:footnoteReference w:id="76"/>
      </w:r>
      <w:r w:rsidR="001069C1" w:rsidRPr="004F6A42">
        <w:rPr>
          <w:lang w:val="es-HN"/>
        </w:rPr>
        <w:t xml:space="preserve"> </w:t>
      </w:r>
      <w:r w:rsidR="00A33D38" w:rsidRPr="001D0245">
        <w:rPr>
          <w:lang w:val="es-HN"/>
        </w:rPr>
        <w:t xml:space="preserve">En agosto, el Relator Especial sobre la independencia de los </w:t>
      </w:r>
      <w:r w:rsidR="00A33D38" w:rsidRPr="001D0245">
        <w:rPr>
          <w:lang w:val="es-HN"/>
        </w:rPr>
        <w:lastRenderedPageBreak/>
        <w:t>magistrados y abogados</w:t>
      </w:r>
      <w:r w:rsidR="001E068D" w:rsidRPr="004F6A42">
        <w:rPr>
          <w:rStyle w:val="FootnoteReference"/>
          <w:lang w:val="es-HN"/>
        </w:rPr>
        <w:footnoteReference w:id="77"/>
      </w:r>
      <w:r w:rsidR="001069C1" w:rsidRPr="004F6A42">
        <w:rPr>
          <w:lang w:val="es-HN"/>
        </w:rPr>
        <w:t xml:space="preserve"> </w:t>
      </w:r>
      <w:r w:rsidR="00A33D38" w:rsidRPr="004F6A42">
        <w:rPr>
          <w:lang w:val="es-HN"/>
        </w:rPr>
        <w:t>y el Grupo de Trabajo sobre la situación de los derechos humanos y las empresas transnacionales visitaron Honduras</w:t>
      </w:r>
      <w:r w:rsidR="00E93207">
        <w:rPr>
          <w:lang w:val="es-HN"/>
        </w:rPr>
        <w:t>.</w:t>
      </w:r>
      <w:r w:rsidR="001E068D" w:rsidRPr="004F6A42">
        <w:rPr>
          <w:rStyle w:val="FootnoteReference"/>
          <w:lang w:val="es-HN"/>
        </w:rPr>
        <w:footnoteReference w:id="78"/>
      </w:r>
    </w:p>
    <w:p w14:paraId="26D65C8B" w14:textId="65FE8A26" w:rsidR="008013FC" w:rsidRPr="004F6A42" w:rsidRDefault="00A33D38" w:rsidP="00400EA2">
      <w:pPr>
        <w:pStyle w:val="SingleTxtG"/>
        <w:numPr>
          <w:ilvl w:val="0"/>
          <w:numId w:val="15"/>
        </w:numPr>
        <w:rPr>
          <w:lang w:val="es-HN"/>
        </w:rPr>
      </w:pPr>
      <w:r w:rsidRPr="004F6A42">
        <w:rPr>
          <w:lang w:val="es-HN"/>
        </w:rPr>
        <w:t xml:space="preserve">En 2019, la OACNUDH llevó a cabo 75 misiones en todo el país para </w:t>
      </w:r>
      <w:r w:rsidR="004B7018">
        <w:rPr>
          <w:lang w:val="es-HN"/>
        </w:rPr>
        <w:t>monitorear</w:t>
      </w:r>
      <w:r w:rsidR="004B7018" w:rsidRPr="004F6A42">
        <w:rPr>
          <w:lang w:val="es-HN"/>
        </w:rPr>
        <w:t xml:space="preserve"> </w:t>
      </w:r>
      <w:r w:rsidRPr="004F6A42">
        <w:rPr>
          <w:lang w:val="es-HN"/>
        </w:rPr>
        <w:t>la situación de los derechos humanos.</w:t>
      </w:r>
      <w:r w:rsidRPr="004F6A42" w:rsidDel="00A33D38">
        <w:rPr>
          <w:lang w:val="es-HN"/>
        </w:rPr>
        <w:t xml:space="preserve"> </w:t>
      </w:r>
      <w:r w:rsidR="00115ADD" w:rsidRPr="004F6A42">
        <w:rPr>
          <w:lang w:val="es-HN"/>
        </w:rPr>
        <w:t xml:space="preserve"> </w:t>
      </w:r>
      <w:r w:rsidR="008013FC" w:rsidRPr="004F6A42">
        <w:rPr>
          <w:lang w:val="es-HN"/>
        </w:rPr>
        <w:t xml:space="preserve"> </w:t>
      </w:r>
    </w:p>
    <w:p w14:paraId="08A8F4E0" w14:textId="19A55AD8" w:rsidR="00FF770B" w:rsidRPr="004F6A42" w:rsidRDefault="00F945C4" w:rsidP="00400EA2">
      <w:pPr>
        <w:pStyle w:val="SingleTxtG"/>
        <w:numPr>
          <w:ilvl w:val="0"/>
          <w:numId w:val="15"/>
        </w:numPr>
        <w:rPr>
          <w:lang w:val="es-HN"/>
        </w:rPr>
      </w:pPr>
      <w:r w:rsidRPr="004F6A42">
        <w:rPr>
          <w:lang w:val="es-HN"/>
        </w:rPr>
        <w:t xml:space="preserve">A lo largo del año, la OACNUDH </w:t>
      </w:r>
      <w:r w:rsidR="004B7018">
        <w:rPr>
          <w:lang w:val="es-HN"/>
        </w:rPr>
        <w:t>implementó</w:t>
      </w:r>
      <w:r w:rsidRPr="004F6A42">
        <w:rPr>
          <w:lang w:val="es-HN"/>
        </w:rPr>
        <w:t xml:space="preserve"> el prog</w:t>
      </w:r>
      <w:r w:rsidR="00400EA2">
        <w:rPr>
          <w:lang w:val="es-HN"/>
        </w:rPr>
        <w:t>rama de cooperación técnica aco</w:t>
      </w:r>
      <w:r w:rsidRPr="004F6A42">
        <w:rPr>
          <w:lang w:val="es-HN"/>
        </w:rPr>
        <w:t xml:space="preserve">dado con </w:t>
      </w:r>
      <w:r w:rsidR="004B7018">
        <w:rPr>
          <w:lang w:val="es-HN"/>
        </w:rPr>
        <w:t>la Secretaría</w:t>
      </w:r>
      <w:r w:rsidRPr="004F6A42">
        <w:rPr>
          <w:lang w:val="es-HN"/>
        </w:rPr>
        <w:t xml:space="preserve"> de Derechos Hu</w:t>
      </w:r>
      <w:r w:rsidR="00A03162">
        <w:rPr>
          <w:lang w:val="es-HN"/>
        </w:rPr>
        <w:t>manos en diciembre de 2018. El p</w:t>
      </w:r>
      <w:r w:rsidRPr="004F6A42">
        <w:rPr>
          <w:lang w:val="es-HN"/>
        </w:rPr>
        <w:t>rograma de capacitación en derechos humanos para funcionarios del Estado</w:t>
      </w:r>
      <w:r w:rsidR="004B7018">
        <w:rPr>
          <w:lang w:val="es-HN"/>
        </w:rPr>
        <w:t xml:space="preserve">, </w:t>
      </w:r>
      <w:r w:rsidRPr="004F6A42">
        <w:rPr>
          <w:lang w:val="es-HN"/>
        </w:rPr>
        <w:t>en el que participaron los representantes de 35 instituciones del Estado</w:t>
      </w:r>
      <w:r w:rsidR="004B7018">
        <w:rPr>
          <w:lang w:val="es-HN"/>
        </w:rPr>
        <w:t>, concluyó</w:t>
      </w:r>
      <w:r w:rsidRPr="004F6A42">
        <w:rPr>
          <w:lang w:val="es-HN"/>
        </w:rPr>
        <w:t xml:space="preserve">. La OACNUDH </w:t>
      </w:r>
      <w:r w:rsidR="004B7018">
        <w:rPr>
          <w:lang w:val="es-HN"/>
        </w:rPr>
        <w:t>brindó asistencia a la Secretaría</w:t>
      </w:r>
      <w:r w:rsidRPr="004F6A42">
        <w:rPr>
          <w:lang w:val="es-HN"/>
        </w:rPr>
        <w:t xml:space="preserve"> de Derechos Humanos en diversas áreas, </w:t>
      </w:r>
      <w:r w:rsidR="0033667C">
        <w:rPr>
          <w:lang w:val="es-HN"/>
        </w:rPr>
        <w:t>incluyendo</w:t>
      </w:r>
      <w:r w:rsidRPr="004F6A42">
        <w:rPr>
          <w:lang w:val="es-HN"/>
        </w:rPr>
        <w:t xml:space="preserve"> la protección de</w:t>
      </w:r>
      <w:r w:rsidR="00DF6A69">
        <w:rPr>
          <w:lang w:val="es-HN"/>
        </w:rPr>
        <w:t xml:space="preserve"> </w:t>
      </w:r>
      <w:r w:rsidR="008C4933">
        <w:rPr>
          <w:lang w:val="es-HN"/>
        </w:rPr>
        <w:t>las y los defensores</w:t>
      </w:r>
      <w:r w:rsidRPr="007D4A0E">
        <w:rPr>
          <w:lang w:val="es-HN"/>
        </w:rPr>
        <w:t xml:space="preserve"> de derechos humanos</w:t>
      </w:r>
      <w:r w:rsidRPr="004F6A42">
        <w:rPr>
          <w:lang w:val="es-HN"/>
        </w:rPr>
        <w:t>, la armonización de la legislación con las normas y estándares internacionales de derechos humanos, la elaboración de políticas de derechos humanos, la educación, la protección de las personas desplazadas internamente, así como las empresas y los derechos humanos.</w:t>
      </w:r>
    </w:p>
    <w:p w14:paraId="5FD1B495" w14:textId="411E62CC" w:rsidR="00741751" w:rsidRPr="004F6A42" w:rsidRDefault="00F945C4" w:rsidP="00400EA2">
      <w:pPr>
        <w:pStyle w:val="SingleTxtG"/>
        <w:numPr>
          <w:ilvl w:val="0"/>
          <w:numId w:val="15"/>
        </w:numPr>
        <w:rPr>
          <w:lang w:val="es-HN"/>
        </w:rPr>
      </w:pPr>
      <w:r w:rsidRPr="004F6A42">
        <w:rPr>
          <w:lang w:val="es-HN"/>
        </w:rPr>
        <w:t xml:space="preserve">La OACNUDH formalizó </w:t>
      </w:r>
      <w:r w:rsidR="00A03162">
        <w:rPr>
          <w:lang w:val="es-HN"/>
        </w:rPr>
        <w:t>mediante una carta de intención</w:t>
      </w:r>
      <w:r w:rsidRPr="004F6A42">
        <w:rPr>
          <w:lang w:val="es-HN"/>
        </w:rPr>
        <w:t xml:space="preserve"> un programa conjunto de cooperación con el CONADEH, la Institución Nacional de Derechos Humanos.</w:t>
      </w:r>
      <w:r w:rsidRPr="004F6A42" w:rsidDel="00F945C4">
        <w:rPr>
          <w:lang w:val="es-HN"/>
        </w:rPr>
        <w:t xml:space="preserve"> </w:t>
      </w:r>
    </w:p>
    <w:p w14:paraId="54C6E793" w14:textId="1A515CE7" w:rsidR="00D164DD" w:rsidRPr="004F6A42" w:rsidRDefault="00F945C4" w:rsidP="00400EA2">
      <w:pPr>
        <w:pStyle w:val="SingleTxtG"/>
        <w:numPr>
          <w:ilvl w:val="0"/>
          <w:numId w:val="15"/>
        </w:numPr>
        <w:rPr>
          <w:lang w:val="es-HN"/>
        </w:rPr>
      </w:pPr>
      <w:r w:rsidRPr="004F6A42">
        <w:rPr>
          <w:lang w:val="es-HN"/>
        </w:rPr>
        <w:t xml:space="preserve">De enero a octubre, la OACNUDH participó como observador en 41 períodos de las sesiones del Consejo del Mecanismo Nacional </w:t>
      </w:r>
      <w:r w:rsidRPr="000A756C">
        <w:rPr>
          <w:lang w:val="es-HN"/>
        </w:rPr>
        <w:t xml:space="preserve">de Protección de </w:t>
      </w:r>
      <w:r w:rsidR="008C4933" w:rsidRPr="000A756C">
        <w:rPr>
          <w:lang w:val="es-HN"/>
        </w:rPr>
        <w:t>las y los defensores</w:t>
      </w:r>
      <w:r w:rsidRPr="000A756C">
        <w:rPr>
          <w:lang w:val="es-HN"/>
        </w:rPr>
        <w:t xml:space="preserve"> de los Derechos Humanos</w:t>
      </w:r>
      <w:r w:rsidRPr="004F6A42">
        <w:rPr>
          <w:lang w:val="es-HN"/>
        </w:rPr>
        <w:t xml:space="preserve"> y le dio seguimiento a 36 casos que se presentaron al Comité Técnico.</w:t>
      </w:r>
      <w:r w:rsidR="00971646" w:rsidRPr="004F6A42">
        <w:rPr>
          <w:lang w:val="es-HN"/>
        </w:rPr>
        <w:t xml:space="preserve"> </w:t>
      </w:r>
    </w:p>
    <w:p w14:paraId="69E349E5" w14:textId="28525E0C" w:rsidR="008013FC" w:rsidRPr="004F6A42" w:rsidRDefault="00F945C4" w:rsidP="00400EA2">
      <w:pPr>
        <w:pStyle w:val="SingleTxtG"/>
        <w:numPr>
          <w:ilvl w:val="0"/>
          <w:numId w:val="15"/>
        </w:numPr>
        <w:suppressAutoHyphens w:val="0"/>
        <w:kinsoku/>
        <w:overflowPunct/>
        <w:autoSpaceDE/>
        <w:autoSpaceDN/>
        <w:adjustRightInd/>
        <w:snapToGrid/>
        <w:rPr>
          <w:lang w:val="es-HN"/>
        </w:rPr>
      </w:pPr>
      <w:r w:rsidRPr="004F6A42">
        <w:rPr>
          <w:lang w:val="es-HN"/>
        </w:rPr>
        <w:t xml:space="preserve">La OACNUDH prestó asesoramiento al Congreso y a la sociedad civil sobre </w:t>
      </w:r>
      <w:r w:rsidR="0033667C">
        <w:rPr>
          <w:lang w:val="es-HN"/>
        </w:rPr>
        <w:t>estándares</w:t>
      </w:r>
      <w:r w:rsidRPr="004F6A42">
        <w:rPr>
          <w:lang w:val="es-HN"/>
        </w:rPr>
        <w:t xml:space="preserve"> internacionales de derechos humanos, en particular sobre el proyecto de ley del nuevo Código Penal, la reforma de la Ley de Equidad y Desarrollo Integral de las Personas con Discapacidad y el Proyecto de Ley sobre el Consentimiento Libre, Previo e Informado de los Pueblos Indígenas. La OACNUDH impartió capacitación a las mujeres congresistas a través de la Academia Parlamentaria.</w:t>
      </w:r>
    </w:p>
    <w:p w14:paraId="4F96C469" w14:textId="093165BD" w:rsidR="00FF770B" w:rsidRPr="004F6A42" w:rsidRDefault="00F945C4" w:rsidP="0000155E">
      <w:pPr>
        <w:pStyle w:val="SingleTxtG"/>
        <w:numPr>
          <w:ilvl w:val="0"/>
          <w:numId w:val="15"/>
        </w:numPr>
        <w:rPr>
          <w:lang w:val="es-HN"/>
        </w:rPr>
      </w:pPr>
      <w:r w:rsidRPr="004F6A42">
        <w:rPr>
          <w:lang w:val="es-HN"/>
        </w:rPr>
        <w:t xml:space="preserve">La OACNUDH realizó una evaluación de la CONAPREV con el objetivo de apoyar en la elaboración de un plan institucional en el que se expongan las necesidades e intervenciones prioritarias para fortalecer el mecanismo. La OACNUDH y la CONAPREV capacitaron conjuntamente </w:t>
      </w:r>
      <w:r w:rsidR="0033667C" w:rsidRPr="004F6A42">
        <w:rPr>
          <w:lang w:val="es-HN"/>
        </w:rPr>
        <w:t xml:space="preserve">sobre </w:t>
      </w:r>
      <w:r w:rsidR="0033667C">
        <w:rPr>
          <w:lang w:val="es-HN"/>
        </w:rPr>
        <w:t xml:space="preserve">estándares </w:t>
      </w:r>
      <w:r w:rsidR="0033667C" w:rsidRPr="004F6A42">
        <w:rPr>
          <w:lang w:val="es-HN"/>
        </w:rPr>
        <w:t xml:space="preserve">internacionales y nacionales </w:t>
      </w:r>
      <w:r w:rsidRPr="004F6A42">
        <w:rPr>
          <w:lang w:val="es-HN"/>
        </w:rPr>
        <w:t xml:space="preserve">a los miembros de la </w:t>
      </w:r>
      <w:r w:rsidR="0033667C">
        <w:rPr>
          <w:lang w:val="es-HN"/>
        </w:rPr>
        <w:t>P</w:t>
      </w:r>
      <w:r w:rsidRPr="004F6A42">
        <w:rPr>
          <w:lang w:val="es-HN"/>
        </w:rPr>
        <w:t xml:space="preserve">olicía </w:t>
      </w:r>
      <w:r w:rsidR="0033667C">
        <w:rPr>
          <w:lang w:val="es-HN"/>
        </w:rPr>
        <w:t>N</w:t>
      </w:r>
      <w:r w:rsidRPr="004F6A42">
        <w:rPr>
          <w:lang w:val="es-HN"/>
        </w:rPr>
        <w:t xml:space="preserve">acional, las </w:t>
      </w:r>
      <w:r w:rsidR="0033667C">
        <w:rPr>
          <w:lang w:val="es-HN"/>
        </w:rPr>
        <w:t>F</w:t>
      </w:r>
      <w:r w:rsidRPr="004F6A42">
        <w:rPr>
          <w:lang w:val="es-HN"/>
        </w:rPr>
        <w:t xml:space="preserve">uerzas </w:t>
      </w:r>
      <w:r w:rsidR="0033667C">
        <w:rPr>
          <w:lang w:val="es-HN"/>
        </w:rPr>
        <w:t>A</w:t>
      </w:r>
      <w:r w:rsidRPr="004F6A42">
        <w:rPr>
          <w:lang w:val="es-HN"/>
        </w:rPr>
        <w:t xml:space="preserve">rmadas, los </w:t>
      </w:r>
      <w:r w:rsidR="0033667C">
        <w:rPr>
          <w:lang w:val="es-HN"/>
        </w:rPr>
        <w:t>agentes del sistema</w:t>
      </w:r>
      <w:r w:rsidR="0033667C" w:rsidRPr="004F6A42">
        <w:rPr>
          <w:lang w:val="es-HN"/>
        </w:rPr>
        <w:t xml:space="preserve"> </w:t>
      </w:r>
      <w:r w:rsidRPr="004F6A42">
        <w:rPr>
          <w:lang w:val="es-HN"/>
        </w:rPr>
        <w:t>penitenciario y los representantes de las juntas locales de prevención de la tortura. Estas j</w:t>
      </w:r>
      <w:r w:rsidR="00A03162">
        <w:rPr>
          <w:lang w:val="es-HN"/>
        </w:rPr>
        <w:t xml:space="preserve">untas locales </w:t>
      </w:r>
      <w:r w:rsidRPr="004F6A42">
        <w:rPr>
          <w:lang w:val="es-HN"/>
        </w:rPr>
        <w:t xml:space="preserve">también recibieron una subvención del Fondo Especial del Protocolo Facultativo </w:t>
      </w:r>
      <w:r w:rsidR="0000155E" w:rsidRPr="0000155E">
        <w:rPr>
          <w:lang w:val="es-HN"/>
        </w:rPr>
        <w:t>Protocolo de la Convención contra la Tortura y Otros Tratos o Penas Crueles, Inhumanos o Degradantes</w:t>
      </w:r>
      <w:r w:rsidR="0000155E">
        <w:rPr>
          <w:lang w:val="es-HN"/>
        </w:rPr>
        <w:t xml:space="preserve"> </w:t>
      </w:r>
      <w:r w:rsidR="00A03162" w:rsidRPr="00A03162">
        <w:rPr>
          <w:lang w:val="es-HN"/>
        </w:rPr>
        <w:t xml:space="preserve">en el año de 2019 </w:t>
      </w:r>
      <w:r w:rsidRPr="004F6A42">
        <w:rPr>
          <w:lang w:val="es-HN"/>
        </w:rPr>
        <w:t>para fortalecer sus capacidades.</w:t>
      </w:r>
      <w:r w:rsidR="007C668E" w:rsidRPr="004F6A42">
        <w:rPr>
          <w:lang w:val="es-HN"/>
        </w:rPr>
        <w:t xml:space="preserve"> </w:t>
      </w:r>
    </w:p>
    <w:p w14:paraId="65F9D166" w14:textId="3EDCA95A" w:rsidR="00B67547" w:rsidRPr="004F6A42" w:rsidRDefault="00F945C4" w:rsidP="00400EA2">
      <w:pPr>
        <w:pStyle w:val="SingleTxtG"/>
        <w:numPr>
          <w:ilvl w:val="0"/>
          <w:numId w:val="15"/>
        </w:numPr>
        <w:rPr>
          <w:lang w:val="es-HN"/>
        </w:rPr>
      </w:pPr>
      <w:r w:rsidRPr="004F6A42">
        <w:rPr>
          <w:lang w:val="es-HN"/>
        </w:rPr>
        <w:lastRenderedPageBreak/>
        <w:t xml:space="preserve">Entre los meses de septiembre y diciembre, la OACNUDH llevó a cabo un programa de capacitación en derechos humanos con la Escuela </w:t>
      </w:r>
      <w:r w:rsidR="0033667C">
        <w:rPr>
          <w:lang w:val="es-HN"/>
        </w:rPr>
        <w:t xml:space="preserve">Fiscal </w:t>
      </w:r>
      <w:r w:rsidRPr="004F6A42">
        <w:rPr>
          <w:lang w:val="es-HN"/>
        </w:rPr>
        <w:t>del Ministerio Público en el que participaron 31 fiscales.</w:t>
      </w:r>
      <w:r w:rsidRPr="004F6A42" w:rsidDel="00F945C4">
        <w:rPr>
          <w:lang w:val="es-HN"/>
        </w:rPr>
        <w:t xml:space="preserve"> </w:t>
      </w:r>
    </w:p>
    <w:p w14:paraId="155222E9" w14:textId="63E11416" w:rsidR="00B12293" w:rsidRPr="004F6A42" w:rsidRDefault="00F945C4" w:rsidP="00400EA2">
      <w:pPr>
        <w:pStyle w:val="SingleTxtG"/>
        <w:numPr>
          <w:ilvl w:val="0"/>
          <w:numId w:val="15"/>
        </w:numPr>
        <w:rPr>
          <w:lang w:val="es-HN"/>
        </w:rPr>
      </w:pPr>
      <w:r w:rsidRPr="004F6A42">
        <w:rPr>
          <w:lang w:val="es-HN"/>
        </w:rPr>
        <w:t xml:space="preserve">La OACNUDH </w:t>
      </w:r>
      <w:r w:rsidR="00F51302">
        <w:rPr>
          <w:lang w:val="es-HN"/>
        </w:rPr>
        <w:t>brindó</w:t>
      </w:r>
      <w:r w:rsidRPr="004F6A42">
        <w:rPr>
          <w:lang w:val="es-HN"/>
        </w:rPr>
        <w:t xml:space="preserve"> asistencia técnica a la Secretaría de Relaciones Exteriores, </w:t>
      </w:r>
      <w:r w:rsidR="00F51302">
        <w:rPr>
          <w:lang w:val="es-HN"/>
        </w:rPr>
        <w:t>a la Secretaría</w:t>
      </w:r>
      <w:r w:rsidRPr="004F6A42">
        <w:rPr>
          <w:lang w:val="es-HN"/>
        </w:rPr>
        <w:t xml:space="preserve"> de Derechos Humanos y a los comités de familiares de migrantes desaparecidos, para prevenir y poder abordar este fenómeno.</w:t>
      </w:r>
      <w:r w:rsidRPr="004F6A42" w:rsidDel="00F945C4">
        <w:rPr>
          <w:lang w:val="es-HN"/>
        </w:rPr>
        <w:t xml:space="preserve"> </w:t>
      </w:r>
    </w:p>
    <w:p w14:paraId="0B121199" w14:textId="3E8D6ABB" w:rsidR="00587D5E" w:rsidRPr="004F6A42" w:rsidRDefault="00DA628B" w:rsidP="00400EA2">
      <w:pPr>
        <w:pStyle w:val="SingleTxtG"/>
        <w:numPr>
          <w:ilvl w:val="0"/>
          <w:numId w:val="15"/>
        </w:numPr>
        <w:rPr>
          <w:lang w:val="es-HN"/>
        </w:rPr>
      </w:pPr>
      <w:r w:rsidRPr="004F6A42">
        <w:rPr>
          <w:lang w:val="es-HN"/>
        </w:rPr>
        <w:t xml:space="preserve">La OACNUDH facilitó </w:t>
      </w:r>
      <w:r w:rsidR="00F51302">
        <w:rPr>
          <w:lang w:val="es-HN"/>
        </w:rPr>
        <w:t>un encuentro</w:t>
      </w:r>
      <w:r w:rsidRPr="004F6A42">
        <w:rPr>
          <w:lang w:val="es-HN"/>
        </w:rPr>
        <w:t xml:space="preserve"> nacional de defensores </w:t>
      </w:r>
      <w:r w:rsidR="00F51302">
        <w:rPr>
          <w:lang w:val="es-HN"/>
        </w:rPr>
        <w:t>de</w:t>
      </w:r>
      <w:r w:rsidRPr="004F6A42">
        <w:rPr>
          <w:lang w:val="es-HN"/>
        </w:rPr>
        <w:t xml:space="preserve"> derechos humanos ("Entre el compromiso, el riesgo y los desafíos") que reunió a más de </w:t>
      </w:r>
      <w:r w:rsidRPr="000A756C">
        <w:rPr>
          <w:lang w:val="es-HN"/>
        </w:rPr>
        <w:t>100 defensores</w:t>
      </w:r>
      <w:r w:rsidRPr="004F6A42">
        <w:rPr>
          <w:lang w:val="es-HN"/>
        </w:rPr>
        <w:t xml:space="preserve"> </w:t>
      </w:r>
      <w:r w:rsidR="005E3213">
        <w:rPr>
          <w:lang w:val="es-HN"/>
        </w:rPr>
        <w:t xml:space="preserve">y defensoras </w:t>
      </w:r>
      <w:r w:rsidRPr="004F6A42">
        <w:rPr>
          <w:lang w:val="es-HN"/>
        </w:rPr>
        <w:t>de todo el país para compartir sus experiencias y opiniones. La OACNUDH también prestó apoyo a una red de sindicatos para aplicar un enfoque de derechos humanos en las cuestiones laborales y sindicales.</w:t>
      </w:r>
      <w:r w:rsidR="0087532A" w:rsidRPr="004F6A42">
        <w:rPr>
          <w:lang w:val="es-HN"/>
        </w:rPr>
        <w:t xml:space="preserve"> </w:t>
      </w:r>
    </w:p>
    <w:p w14:paraId="4F39E2F6" w14:textId="67EBA60D" w:rsidR="00FF770B" w:rsidRPr="004F6A42" w:rsidRDefault="00DA628B" w:rsidP="00400EA2">
      <w:pPr>
        <w:pStyle w:val="SingleTxtG"/>
        <w:numPr>
          <w:ilvl w:val="0"/>
          <w:numId w:val="15"/>
        </w:numPr>
        <w:rPr>
          <w:lang w:val="es-HN"/>
        </w:rPr>
      </w:pPr>
      <w:r w:rsidRPr="004F6A42">
        <w:rPr>
          <w:lang w:val="es-HN"/>
        </w:rPr>
        <w:t xml:space="preserve">El 20 de marzo de 2019, la OACNUDH presentó el informe anual de la Alta Comisionada al Consejo de Derechos Humanos para 2018 (A/HRC/40/3/Add.2). Además, promovió los derechos humanos mediante comunicados de prensa, entrevistas, editoriales y medios de comunicación social, e inició campañas, entre otras, sobre </w:t>
      </w:r>
      <w:r w:rsidR="008C4933">
        <w:rPr>
          <w:lang w:val="es-HN"/>
        </w:rPr>
        <w:t>las y los defensores</w:t>
      </w:r>
      <w:r w:rsidRPr="004F6A42">
        <w:rPr>
          <w:lang w:val="es-HN"/>
        </w:rPr>
        <w:t xml:space="preserve"> de derechos humanos, la orientación sexual y la identidad de género, en apoyo de las víctimas de tortura.</w:t>
      </w:r>
    </w:p>
    <w:p w14:paraId="7AC4E309" w14:textId="37210F38" w:rsidR="00FF770B" w:rsidRDefault="00DA628B" w:rsidP="00400EA2">
      <w:pPr>
        <w:pStyle w:val="SingleTxtG"/>
        <w:numPr>
          <w:ilvl w:val="0"/>
          <w:numId w:val="15"/>
        </w:numPr>
        <w:rPr>
          <w:lang w:val="es-HN"/>
        </w:rPr>
      </w:pPr>
      <w:r w:rsidRPr="004F6A42">
        <w:rPr>
          <w:lang w:val="es-HN"/>
        </w:rPr>
        <w:t xml:space="preserve">La OACNUDH ha </w:t>
      </w:r>
      <w:r w:rsidR="00F51302">
        <w:rPr>
          <w:lang w:val="es-HN"/>
        </w:rPr>
        <w:t>venido</w:t>
      </w:r>
      <w:r w:rsidR="00F51302" w:rsidRPr="004F6A42">
        <w:rPr>
          <w:lang w:val="es-HN"/>
        </w:rPr>
        <w:t xml:space="preserve"> </w:t>
      </w:r>
      <w:r w:rsidR="00F51302">
        <w:rPr>
          <w:lang w:val="es-HN"/>
        </w:rPr>
        <w:t>implementando</w:t>
      </w:r>
      <w:r w:rsidR="00F51302" w:rsidRPr="004F6A42">
        <w:rPr>
          <w:lang w:val="es-HN"/>
        </w:rPr>
        <w:t xml:space="preserve"> </w:t>
      </w:r>
      <w:r w:rsidRPr="004F6A42">
        <w:rPr>
          <w:lang w:val="es-HN"/>
        </w:rPr>
        <w:t>proyectos financiados por Canadá, los Estados Unidos de América, los Países Bajos, Suecia y Suiza.</w:t>
      </w:r>
      <w:r w:rsidRPr="004F6A42" w:rsidDel="00DA628B">
        <w:rPr>
          <w:lang w:val="es-HN"/>
        </w:rPr>
        <w:t xml:space="preserve"> </w:t>
      </w:r>
      <w:r w:rsidR="001B58FD" w:rsidRPr="004F6A42">
        <w:rPr>
          <w:lang w:val="es-HN"/>
        </w:rPr>
        <w:t xml:space="preserve"> </w:t>
      </w:r>
    </w:p>
    <w:p w14:paraId="2EFC3977" w14:textId="77777777" w:rsidR="00400EA2" w:rsidRPr="004F6A42" w:rsidRDefault="00400EA2" w:rsidP="00400EA2">
      <w:pPr>
        <w:pStyle w:val="SingleTxtG"/>
        <w:rPr>
          <w:lang w:val="es-HN"/>
        </w:rPr>
      </w:pPr>
    </w:p>
    <w:p w14:paraId="6E46D125" w14:textId="1DCA2BF8" w:rsidR="004311AC" w:rsidRPr="004F6A42" w:rsidRDefault="004311AC" w:rsidP="00483E9E">
      <w:pPr>
        <w:pStyle w:val="HChG"/>
        <w:numPr>
          <w:ilvl w:val="0"/>
          <w:numId w:val="16"/>
        </w:numPr>
        <w:spacing w:after="120"/>
        <w:rPr>
          <w:lang w:val="es-HN"/>
        </w:rPr>
      </w:pPr>
      <w:r w:rsidRPr="004F6A42">
        <w:rPr>
          <w:lang w:val="es-HN"/>
        </w:rPr>
        <w:tab/>
        <w:t>Recom</w:t>
      </w:r>
      <w:r w:rsidR="00DA628B" w:rsidRPr="004F6A42">
        <w:rPr>
          <w:lang w:val="es-HN"/>
        </w:rPr>
        <w:t>endaciones</w:t>
      </w:r>
      <w:r w:rsidRPr="004F6A42">
        <w:rPr>
          <w:lang w:val="es-HN"/>
        </w:rPr>
        <w:t xml:space="preserve"> </w:t>
      </w:r>
    </w:p>
    <w:p w14:paraId="2DD26277" w14:textId="77777777" w:rsidR="0027724C" w:rsidRPr="004F6A42" w:rsidRDefault="0027724C" w:rsidP="0027724C">
      <w:pPr>
        <w:pStyle w:val="SingleTxtG"/>
        <w:ind w:left="720"/>
        <w:rPr>
          <w:b/>
          <w:lang w:val="es-HN"/>
        </w:rPr>
      </w:pPr>
    </w:p>
    <w:p w14:paraId="7B1849F7" w14:textId="70FC0CAD" w:rsidR="00E82FB3" w:rsidRPr="004F6A42" w:rsidRDefault="00DA628B" w:rsidP="00400EA2">
      <w:pPr>
        <w:pStyle w:val="SingleTxtG"/>
        <w:numPr>
          <w:ilvl w:val="0"/>
          <w:numId w:val="15"/>
        </w:numPr>
        <w:rPr>
          <w:b/>
          <w:lang w:val="es-HN"/>
        </w:rPr>
      </w:pPr>
      <w:r w:rsidRPr="004F6A42">
        <w:rPr>
          <w:b/>
          <w:lang w:val="es-HN"/>
        </w:rPr>
        <w:t xml:space="preserve">La Alta Comisionada </w:t>
      </w:r>
      <w:r w:rsidR="004C430B">
        <w:rPr>
          <w:b/>
          <w:lang w:val="es-HN"/>
        </w:rPr>
        <w:t>insta</w:t>
      </w:r>
      <w:r w:rsidRPr="004F6A42">
        <w:rPr>
          <w:b/>
          <w:lang w:val="es-HN"/>
        </w:rPr>
        <w:t xml:space="preserve"> a las autoridades de Honduras a implementar las recomendaciones formuladas en los informes anteriores y en los informes de los mecanismos de derechos humanos de las Naciones Unidas.</w:t>
      </w:r>
      <w:r w:rsidRPr="004F6A42" w:rsidDel="00DA628B">
        <w:rPr>
          <w:b/>
          <w:lang w:val="es-HN"/>
        </w:rPr>
        <w:t xml:space="preserve"> </w:t>
      </w:r>
      <w:r w:rsidR="0010386F" w:rsidRPr="004F6A42">
        <w:rPr>
          <w:b/>
          <w:lang w:val="es-HN"/>
        </w:rPr>
        <w:t xml:space="preserve"> </w:t>
      </w:r>
    </w:p>
    <w:p w14:paraId="6DDA87A8" w14:textId="5F8C3D7B" w:rsidR="00E82FB3" w:rsidRPr="004F6A42" w:rsidRDefault="00DA628B" w:rsidP="00400EA2">
      <w:pPr>
        <w:pStyle w:val="SingleTxtG"/>
        <w:numPr>
          <w:ilvl w:val="0"/>
          <w:numId w:val="15"/>
        </w:numPr>
        <w:rPr>
          <w:b/>
          <w:lang w:val="es-HN"/>
        </w:rPr>
      </w:pPr>
      <w:r w:rsidRPr="004F6A42">
        <w:rPr>
          <w:b/>
          <w:lang w:val="es-HN"/>
        </w:rPr>
        <w:t>La Alta Comisionada</w:t>
      </w:r>
      <w:r w:rsidR="00E82FB3" w:rsidRPr="004F6A42">
        <w:rPr>
          <w:b/>
          <w:lang w:val="es-HN"/>
        </w:rPr>
        <w:t>:</w:t>
      </w:r>
    </w:p>
    <w:p w14:paraId="73932CD7" w14:textId="23002739" w:rsidR="009626EA" w:rsidRPr="004F6A42" w:rsidRDefault="00BC78C5" w:rsidP="00BC78C5">
      <w:pPr>
        <w:pStyle w:val="ListParagraph"/>
        <w:ind w:right="1134"/>
        <w:jc w:val="both"/>
        <w:rPr>
          <w:rFonts w:eastAsiaTheme="minorEastAsia"/>
          <w:b/>
          <w:lang w:val="es-HN" w:eastAsia="zh-CN"/>
        </w:rPr>
      </w:pPr>
      <w:r w:rsidRPr="004F6A42">
        <w:rPr>
          <w:rFonts w:eastAsiaTheme="minorEastAsia"/>
          <w:b/>
          <w:lang w:val="es-HN" w:eastAsia="zh-CN"/>
        </w:rPr>
        <w:t xml:space="preserve">a) </w:t>
      </w:r>
      <w:r w:rsidR="00DA628B" w:rsidRPr="004F6A42">
        <w:rPr>
          <w:rFonts w:eastAsiaTheme="minorEastAsia"/>
          <w:b/>
          <w:lang w:val="es-HN" w:eastAsia="zh-CN"/>
        </w:rPr>
        <w:t xml:space="preserve">Exhorta al Gobierno y a todas las partes interesadas a que </w:t>
      </w:r>
      <w:r w:rsidR="004C430B">
        <w:rPr>
          <w:rFonts w:eastAsiaTheme="minorEastAsia"/>
          <w:b/>
          <w:lang w:val="es-HN" w:eastAsia="zh-CN"/>
        </w:rPr>
        <w:t>acuerden</w:t>
      </w:r>
      <w:r w:rsidR="00DA628B" w:rsidRPr="004F6A42">
        <w:rPr>
          <w:rFonts w:eastAsiaTheme="minorEastAsia"/>
          <w:b/>
          <w:lang w:val="es-HN" w:eastAsia="zh-CN"/>
        </w:rPr>
        <w:t xml:space="preserve"> un programa de reforma para fortalecer el espacio democrático, la separación de poderes, el estado de derecho y la independencia del </w:t>
      </w:r>
      <w:r w:rsidR="004C430B">
        <w:rPr>
          <w:rFonts w:eastAsiaTheme="minorEastAsia"/>
          <w:b/>
          <w:lang w:val="es-HN" w:eastAsia="zh-CN"/>
        </w:rPr>
        <w:t>P</w:t>
      </w:r>
      <w:r w:rsidR="00DA628B" w:rsidRPr="004F6A42">
        <w:rPr>
          <w:rFonts w:eastAsiaTheme="minorEastAsia"/>
          <w:b/>
          <w:lang w:val="es-HN" w:eastAsia="zh-CN"/>
        </w:rPr>
        <w:t xml:space="preserve">oder </w:t>
      </w:r>
      <w:r w:rsidR="004C430B">
        <w:rPr>
          <w:rFonts w:eastAsiaTheme="minorEastAsia"/>
          <w:b/>
          <w:lang w:val="es-HN" w:eastAsia="zh-CN"/>
        </w:rPr>
        <w:t>J</w:t>
      </w:r>
      <w:r w:rsidR="00DA628B" w:rsidRPr="004F6A42">
        <w:rPr>
          <w:rFonts w:eastAsiaTheme="minorEastAsia"/>
          <w:b/>
          <w:lang w:val="es-HN" w:eastAsia="zh-CN"/>
        </w:rPr>
        <w:t xml:space="preserve">udicial, y la participación </w:t>
      </w:r>
      <w:r w:rsidR="004C430B">
        <w:rPr>
          <w:rFonts w:eastAsiaTheme="minorEastAsia"/>
          <w:b/>
          <w:lang w:val="es-HN" w:eastAsia="zh-CN"/>
        </w:rPr>
        <w:t>adecuada</w:t>
      </w:r>
      <w:r w:rsidR="00DA628B" w:rsidRPr="004F6A42">
        <w:rPr>
          <w:rFonts w:eastAsiaTheme="minorEastAsia"/>
          <w:b/>
          <w:lang w:val="es-HN" w:eastAsia="zh-CN"/>
        </w:rPr>
        <w:t xml:space="preserve"> y significativa de todos en los asuntos públicos, asegurando así el acceso a la información pública y el respeto del derecho a la libertad de opinión y de expresión</w:t>
      </w:r>
      <w:r w:rsidR="001069C1" w:rsidRPr="004F6A42">
        <w:rPr>
          <w:rFonts w:eastAsiaTheme="minorEastAsia"/>
          <w:b/>
          <w:lang w:val="es-HN" w:eastAsia="zh-CN"/>
        </w:rPr>
        <w:t>;</w:t>
      </w:r>
      <w:r w:rsidRPr="004F6A42">
        <w:rPr>
          <w:rFonts w:eastAsiaTheme="minorEastAsia"/>
          <w:b/>
          <w:lang w:val="es-HN" w:eastAsia="zh-CN"/>
        </w:rPr>
        <w:t xml:space="preserve"> </w:t>
      </w:r>
      <w:r w:rsidR="004C430B">
        <w:rPr>
          <w:rFonts w:eastAsiaTheme="minorEastAsia"/>
          <w:b/>
          <w:lang w:val="es-HN" w:eastAsia="zh-CN"/>
        </w:rPr>
        <w:t>e</w:t>
      </w:r>
    </w:p>
    <w:p w14:paraId="5EA11148" w14:textId="77777777" w:rsidR="005A7A56" w:rsidRPr="004F6A42" w:rsidRDefault="005A7A56" w:rsidP="00C32ED7">
      <w:pPr>
        <w:pStyle w:val="ListParagraph"/>
        <w:ind w:left="993" w:right="1134"/>
        <w:rPr>
          <w:rFonts w:eastAsiaTheme="minorEastAsia"/>
          <w:b/>
          <w:lang w:val="es-HN" w:eastAsia="zh-CN"/>
        </w:rPr>
      </w:pPr>
    </w:p>
    <w:p w14:paraId="43C396D1" w14:textId="791C228F" w:rsidR="00E170D8" w:rsidRPr="004F6A42" w:rsidRDefault="00BC78C5" w:rsidP="00BC78C5">
      <w:pPr>
        <w:pStyle w:val="ListParagraph"/>
        <w:suppressAutoHyphens w:val="0"/>
        <w:kinsoku/>
        <w:overflowPunct/>
        <w:autoSpaceDE/>
        <w:autoSpaceDN/>
        <w:adjustRightInd/>
        <w:snapToGrid/>
        <w:spacing w:after="120" w:line="259" w:lineRule="auto"/>
        <w:ind w:left="709" w:right="1134"/>
        <w:jc w:val="both"/>
        <w:rPr>
          <w:rFonts w:eastAsiaTheme="minorEastAsia"/>
          <w:b/>
          <w:lang w:val="es-HN" w:eastAsia="zh-CN"/>
        </w:rPr>
      </w:pPr>
      <w:r w:rsidRPr="004F6A42">
        <w:rPr>
          <w:rFonts w:eastAsiaTheme="minorEastAsia"/>
          <w:b/>
          <w:lang w:val="es-HN" w:eastAsia="zh-CN"/>
        </w:rPr>
        <w:t xml:space="preserve">b) </w:t>
      </w:r>
      <w:r w:rsidR="00DA628B" w:rsidRPr="004F6A42">
        <w:rPr>
          <w:rFonts w:eastAsiaTheme="minorEastAsia"/>
          <w:b/>
          <w:lang w:val="es-HN" w:eastAsia="zh-CN"/>
        </w:rPr>
        <w:t>Insta a todas las instituciones pertinentes a que adopten medidas concretas para luchar contra la corrupción y la impunidad, así como a</w:t>
      </w:r>
      <w:r w:rsidR="006753A5">
        <w:rPr>
          <w:rFonts w:eastAsiaTheme="minorEastAsia"/>
          <w:b/>
          <w:lang w:val="es-HN" w:eastAsia="zh-CN"/>
        </w:rPr>
        <w:t>lejarse de la connivencia</w:t>
      </w:r>
      <w:r w:rsidR="00DA628B" w:rsidRPr="004F6A42">
        <w:rPr>
          <w:rFonts w:eastAsiaTheme="minorEastAsia"/>
          <w:b/>
          <w:lang w:val="es-HN" w:eastAsia="zh-CN"/>
        </w:rPr>
        <w:t xml:space="preserve"> con los grupos e intereses que operan al margen de la ley</w:t>
      </w:r>
      <w:r w:rsidR="000072EF" w:rsidRPr="004F6A42">
        <w:rPr>
          <w:rFonts w:eastAsiaTheme="minorEastAsia"/>
          <w:b/>
          <w:lang w:val="es-HN" w:eastAsia="zh-CN"/>
        </w:rPr>
        <w:t>.</w:t>
      </w:r>
      <w:r w:rsidR="00011754" w:rsidRPr="004F6A42">
        <w:rPr>
          <w:rFonts w:eastAsiaTheme="minorEastAsia"/>
          <w:b/>
          <w:lang w:val="es-HN" w:eastAsia="zh-CN"/>
        </w:rPr>
        <w:t xml:space="preserve"> </w:t>
      </w:r>
    </w:p>
    <w:p w14:paraId="5579068F" w14:textId="0CFE4D5A" w:rsidR="00E170D8" w:rsidRPr="004F6A42" w:rsidRDefault="00400EA2" w:rsidP="001E393C">
      <w:pPr>
        <w:suppressAutoHyphens w:val="0"/>
        <w:kinsoku/>
        <w:overflowPunct/>
        <w:autoSpaceDE/>
        <w:autoSpaceDN/>
        <w:adjustRightInd/>
        <w:snapToGrid/>
        <w:spacing w:after="120" w:line="259" w:lineRule="auto"/>
        <w:ind w:left="567" w:right="1183"/>
        <w:jc w:val="both"/>
        <w:rPr>
          <w:rFonts w:eastAsiaTheme="minorEastAsia"/>
          <w:b/>
          <w:lang w:val="es-HN" w:eastAsia="zh-CN"/>
        </w:rPr>
      </w:pPr>
      <w:r>
        <w:rPr>
          <w:rFonts w:eastAsiaTheme="minorEastAsia"/>
          <w:b/>
          <w:lang w:val="es-HN" w:eastAsia="zh-CN"/>
        </w:rPr>
        <w:t xml:space="preserve">     85. </w:t>
      </w:r>
      <w:r w:rsidR="001E393C" w:rsidRPr="004F6A42">
        <w:rPr>
          <w:rFonts w:eastAsiaTheme="minorEastAsia"/>
          <w:b/>
          <w:lang w:val="es-HN" w:eastAsia="zh-CN"/>
        </w:rPr>
        <w:t xml:space="preserve"> </w:t>
      </w:r>
      <w:r w:rsidR="00DA628B" w:rsidRPr="004F6A42">
        <w:rPr>
          <w:rFonts w:eastAsiaTheme="minorEastAsia"/>
          <w:b/>
          <w:lang w:val="es-HN" w:eastAsia="zh-CN"/>
        </w:rPr>
        <w:t>La Alta Comisionada exhorta al Gobierno y</w:t>
      </w:r>
      <w:r w:rsidR="006753A5">
        <w:rPr>
          <w:rFonts w:eastAsiaTheme="minorEastAsia"/>
          <w:b/>
          <w:lang w:val="es-HN" w:eastAsia="zh-CN"/>
        </w:rPr>
        <w:t>/o</w:t>
      </w:r>
      <w:r w:rsidR="00DA628B" w:rsidRPr="004F6A42">
        <w:rPr>
          <w:rFonts w:eastAsiaTheme="minorEastAsia"/>
          <w:b/>
          <w:lang w:val="es-HN" w:eastAsia="zh-CN"/>
        </w:rPr>
        <w:t xml:space="preserve"> a las instituciones pertinentes a</w:t>
      </w:r>
      <w:r w:rsidR="00E170D8" w:rsidRPr="004F6A42">
        <w:rPr>
          <w:rFonts w:eastAsiaTheme="minorEastAsia"/>
          <w:b/>
          <w:lang w:val="es-HN" w:eastAsia="zh-CN"/>
        </w:rPr>
        <w:t>:</w:t>
      </w:r>
    </w:p>
    <w:p w14:paraId="3E69DFCA" w14:textId="3D8CBF92" w:rsidR="00B71765" w:rsidRPr="004F6A42" w:rsidRDefault="00E72C9D" w:rsidP="00E72C9D">
      <w:pPr>
        <w:suppressAutoHyphens w:val="0"/>
        <w:kinsoku/>
        <w:overflowPunct/>
        <w:autoSpaceDE/>
        <w:autoSpaceDN/>
        <w:adjustRightInd/>
        <w:snapToGrid/>
        <w:spacing w:after="120" w:line="259" w:lineRule="auto"/>
        <w:ind w:left="709" w:right="1183"/>
        <w:jc w:val="both"/>
        <w:rPr>
          <w:rFonts w:eastAsiaTheme="minorEastAsia"/>
          <w:b/>
          <w:lang w:val="es-HN" w:eastAsia="zh-CN"/>
        </w:rPr>
      </w:pPr>
      <w:r w:rsidRPr="004F6A42">
        <w:rPr>
          <w:rFonts w:eastAsiaTheme="minorEastAsia"/>
          <w:b/>
          <w:lang w:val="es-HN" w:eastAsia="zh-CN"/>
        </w:rPr>
        <w:lastRenderedPageBreak/>
        <w:t xml:space="preserve">a) </w:t>
      </w:r>
      <w:r w:rsidR="00DA628B" w:rsidRPr="004F6A42">
        <w:rPr>
          <w:rFonts w:eastAsiaTheme="minorEastAsia"/>
          <w:b/>
          <w:lang w:val="es-HN" w:eastAsia="zh-CN"/>
        </w:rPr>
        <w:t>Asegurar la incorporación de un enfoque basado en derechos humanos en la implementación de la Agenda de Desarrollo Sostenible 2030 y garantizar que nadie se quede atrás</w:t>
      </w:r>
      <w:r w:rsidR="00B71765" w:rsidRPr="004F6A42">
        <w:rPr>
          <w:rFonts w:eastAsiaTheme="minorEastAsia"/>
          <w:b/>
          <w:lang w:val="es-HN" w:eastAsia="zh-CN"/>
        </w:rPr>
        <w:t>;</w:t>
      </w:r>
      <w:r w:rsidR="00AC068F" w:rsidRPr="00400EA2">
        <w:rPr>
          <w:lang w:val="es-419"/>
        </w:rPr>
        <w:t xml:space="preserve"> </w:t>
      </w:r>
      <w:r w:rsidR="00AC068F">
        <w:rPr>
          <w:rFonts w:eastAsiaTheme="minorEastAsia"/>
          <w:b/>
          <w:lang w:val="es-HN" w:eastAsia="zh-CN"/>
        </w:rPr>
        <w:t xml:space="preserve">continuar </w:t>
      </w:r>
      <w:r w:rsidR="00AC068F" w:rsidRPr="00AC068F">
        <w:rPr>
          <w:rFonts w:eastAsiaTheme="minorEastAsia"/>
          <w:b/>
          <w:lang w:val="es-HN" w:eastAsia="zh-CN"/>
        </w:rPr>
        <w:t>en sus esfuerzos para desarrollar indicadores específicos de derechos humanos que incluyan datos desagregados por pueblos indígenas, afro hondureños, personas con discapacidad, y género.</w:t>
      </w:r>
    </w:p>
    <w:p w14:paraId="7EBB15A1" w14:textId="7473D719" w:rsidR="00483E9E" w:rsidRPr="004F6A42" w:rsidRDefault="00E72C9D" w:rsidP="00E72C9D">
      <w:pPr>
        <w:suppressAutoHyphens w:val="0"/>
        <w:kinsoku/>
        <w:overflowPunct/>
        <w:autoSpaceDE/>
        <w:autoSpaceDN/>
        <w:adjustRightInd/>
        <w:snapToGrid/>
        <w:spacing w:after="120" w:line="259" w:lineRule="auto"/>
        <w:ind w:left="720" w:right="1183"/>
        <w:jc w:val="both"/>
        <w:rPr>
          <w:rFonts w:eastAsiaTheme="minorEastAsia"/>
          <w:b/>
          <w:lang w:val="es-HN" w:eastAsia="zh-CN"/>
        </w:rPr>
      </w:pPr>
      <w:r w:rsidRPr="004F6A42">
        <w:rPr>
          <w:rFonts w:eastAsiaTheme="minorEastAsia"/>
          <w:b/>
          <w:lang w:val="es-HN" w:eastAsia="zh-CN"/>
        </w:rPr>
        <w:t xml:space="preserve">b) </w:t>
      </w:r>
      <w:r w:rsidR="00DA628B" w:rsidRPr="004F6A42">
        <w:rPr>
          <w:rFonts w:eastAsiaTheme="minorEastAsia"/>
          <w:b/>
          <w:lang w:val="es-HN" w:eastAsia="zh-CN"/>
        </w:rPr>
        <w:t>Hacer frente a la desigualdad estructural, sobre la base de datos desglosados, y garantizar el acceso de tod</w:t>
      </w:r>
      <w:r w:rsidR="00D45036">
        <w:rPr>
          <w:rFonts w:eastAsiaTheme="minorEastAsia"/>
          <w:b/>
          <w:lang w:val="es-HN" w:eastAsia="zh-CN"/>
        </w:rPr>
        <w:t>as las personas</w:t>
      </w:r>
      <w:r w:rsidR="00DA628B" w:rsidRPr="004F6A42">
        <w:rPr>
          <w:rFonts w:eastAsiaTheme="minorEastAsia"/>
          <w:b/>
          <w:lang w:val="es-HN" w:eastAsia="zh-CN"/>
        </w:rPr>
        <w:t xml:space="preserve"> a los derechos a la alimentación, </w:t>
      </w:r>
      <w:r w:rsidR="00D45036">
        <w:rPr>
          <w:rFonts w:eastAsiaTheme="minorEastAsia"/>
          <w:b/>
          <w:lang w:val="es-HN" w:eastAsia="zh-CN"/>
        </w:rPr>
        <w:t>a</w:t>
      </w:r>
      <w:r w:rsidR="00DA628B" w:rsidRPr="004F6A42">
        <w:rPr>
          <w:rFonts w:eastAsiaTheme="minorEastAsia"/>
          <w:b/>
          <w:lang w:val="es-HN" w:eastAsia="zh-CN"/>
        </w:rPr>
        <w:t xml:space="preserve">l agua, </w:t>
      </w:r>
      <w:r w:rsidR="00D45036">
        <w:rPr>
          <w:rFonts w:eastAsiaTheme="minorEastAsia"/>
          <w:b/>
          <w:lang w:val="es-HN" w:eastAsia="zh-CN"/>
        </w:rPr>
        <w:t>a</w:t>
      </w:r>
      <w:r w:rsidR="00DA628B" w:rsidRPr="004F6A42">
        <w:rPr>
          <w:rFonts w:eastAsiaTheme="minorEastAsia"/>
          <w:b/>
          <w:lang w:val="es-HN" w:eastAsia="zh-CN"/>
        </w:rPr>
        <w:t>l saneamiento, la salud, la educación y la vivienda asequible</w:t>
      </w:r>
      <w:r w:rsidR="00483E9E" w:rsidRPr="004F6A42">
        <w:rPr>
          <w:rFonts w:eastAsiaTheme="minorEastAsia"/>
          <w:b/>
          <w:lang w:val="es-HN" w:eastAsia="zh-CN"/>
        </w:rPr>
        <w:t xml:space="preserve">; </w:t>
      </w:r>
    </w:p>
    <w:p w14:paraId="6A39CC1A" w14:textId="558E3C84" w:rsidR="00E46919" w:rsidRPr="004F6A42" w:rsidRDefault="00E72C9D" w:rsidP="00E72C9D">
      <w:pPr>
        <w:suppressAutoHyphens w:val="0"/>
        <w:kinsoku/>
        <w:overflowPunct/>
        <w:autoSpaceDE/>
        <w:autoSpaceDN/>
        <w:adjustRightInd/>
        <w:snapToGrid/>
        <w:spacing w:after="120" w:line="259" w:lineRule="auto"/>
        <w:ind w:left="714" w:right="1183"/>
        <w:jc w:val="both"/>
        <w:rPr>
          <w:rFonts w:eastAsiaTheme="minorEastAsia"/>
          <w:b/>
          <w:lang w:val="es-HN" w:eastAsia="zh-CN"/>
        </w:rPr>
      </w:pPr>
      <w:r w:rsidRPr="004F6A42">
        <w:rPr>
          <w:rFonts w:eastAsiaTheme="minorEastAsia"/>
          <w:b/>
          <w:lang w:val="es-HN" w:eastAsia="zh-CN"/>
        </w:rPr>
        <w:t xml:space="preserve">c) </w:t>
      </w:r>
      <w:r w:rsidR="00DA628B" w:rsidRPr="004F6A42">
        <w:rPr>
          <w:rFonts w:eastAsiaTheme="minorEastAsia"/>
          <w:b/>
          <w:lang w:val="es-HN" w:eastAsia="zh-CN"/>
        </w:rPr>
        <w:t>Proteger a las personas desplazadas, los migrantes en tránsito y los hondureños migrantes y re</w:t>
      </w:r>
      <w:r w:rsidR="00D45036">
        <w:rPr>
          <w:rFonts w:eastAsiaTheme="minorEastAsia"/>
          <w:b/>
          <w:lang w:val="es-HN" w:eastAsia="zh-CN"/>
        </w:rPr>
        <w:t>tornados</w:t>
      </w:r>
      <w:r w:rsidR="00DA628B" w:rsidRPr="004F6A42">
        <w:rPr>
          <w:rFonts w:eastAsiaTheme="minorEastAsia"/>
          <w:b/>
          <w:lang w:val="es-HN" w:eastAsia="zh-CN"/>
        </w:rPr>
        <w:t>, y tomar las medidas para investigar las muertes y desapariciones de hondureños en el extranjero</w:t>
      </w:r>
      <w:r w:rsidR="0058701F" w:rsidRPr="004F6A42">
        <w:rPr>
          <w:rFonts w:eastAsiaTheme="minorEastAsia"/>
          <w:b/>
          <w:lang w:val="es-HN" w:eastAsia="zh-CN"/>
        </w:rPr>
        <w:t>;</w:t>
      </w:r>
      <w:r w:rsidR="00E46919" w:rsidRPr="004F6A42">
        <w:rPr>
          <w:rFonts w:eastAsiaTheme="minorEastAsia"/>
          <w:b/>
          <w:lang w:val="es-HN" w:eastAsia="zh-CN"/>
        </w:rPr>
        <w:t xml:space="preserve"> </w:t>
      </w:r>
    </w:p>
    <w:p w14:paraId="5F554675" w14:textId="622FEEEB" w:rsidR="00E170D8" w:rsidRPr="004F6A42" w:rsidRDefault="00E72C9D" w:rsidP="00E72C9D">
      <w:pPr>
        <w:suppressAutoHyphens w:val="0"/>
        <w:kinsoku/>
        <w:overflowPunct/>
        <w:autoSpaceDE/>
        <w:autoSpaceDN/>
        <w:adjustRightInd/>
        <w:snapToGrid/>
        <w:spacing w:after="120" w:line="259" w:lineRule="auto"/>
        <w:ind w:left="714" w:right="1183"/>
        <w:jc w:val="both"/>
        <w:rPr>
          <w:rFonts w:eastAsiaTheme="minorEastAsia"/>
          <w:b/>
          <w:lang w:val="es-HN" w:eastAsia="zh-CN"/>
        </w:rPr>
      </w:pPr>
      <w:r w:rsidRPr="004F6A42">
        <w:rPr>
          <w:rFonts w:eastAsiaTheme="minorEastAsia"/>
          <w:b/>
          <w:lang w:val="es-HN" w:eastAsia="zh-CN"/>
        </w:rPr>
        <w:t xml:space="preserve">d) </w:t>
      </w:r>
      <w:r w:rsidR="00DA628B" w:rsidRPr="004F6A42">
        <w:rPr>
          <w:rFonts w:eastAsiaTheme="minorEastAsia"/>
          <w:b/>
          <w:lang w:val="es-HN" w:eastAsia="zh-CN"/>
        </w:rPr>
        <w:t>Centrarse en las políticas de prevención de la violencia y en el desarrollo de una fuerza de policía civil, profesional y responsable</w:t>
      </w:r>
      <w:r w:rsidR="00E170D8" w:rsidRPr="004F6A42">
        <w:rPr>
          <w:rFonts w:eastAsiaTheme="minorEastAsia"/>
          <w:b/>
          <w:lang w:val="es-HN" w:eastAsia="zh-CN"/>
        </w:rPr>
        <w:t>;</w:t>
      </w:r>
    </w:p>
    <w:p w14:paraId="657CDA88" w14:textId="4CB46BEB" w:rsidR="00E170D8" w:rsidRPr="004F6A42" w:rsidRDefault="00E72C9D" w:rsidP="00E72C9D">
      <w:pPr>
        <w:suppressAutoHyphens w:val="0"/>
        <w:kinsoku/>
        <w:overflowPunct/>
        <w:autoSpaceDE/>
        <w:autoSpaceDN/>
        <w:adjustRightInd/>
        <w:snapToGrid/>
        <w:spacing w:after="120" w:line="259" w:lineRule="auto"/>
        <w:ind w:left="714" w:right="1183"/>
        <w:jc w:val="both"/>
        <w:rPr>
          <w:rFonts w:eastAsiaTheme="minorEastAsia"/>
          <w:b/>
          <w:lang w:val="es-HN" w:eastAsia="zh-CN"/>
        </w:rPr>
      </w:pPr>
      <w:r w:rsidRPr="004F6A42">
        <w:rPr>
          <w:rFonts w:eastAsiaTheme="minorEastAsia"/>
          <w:b/>
          <w:lang w:val="es-HN" w:eastAsia="zh-CN"/>
        </w:rPr>
        <w:t xml:space="preserve">e) </w:t>
      </w:r>
      <w:r w:rsidR="00DA628B" w:rsidRPr="004F6A42">
        <w:rPr>
          <w:rFonts w:eastAsiaTheme="minorEastAsia"/>
          <w:b/>
          <w:lang w:val="es-HN" w:eastAsia="zh-CN"/>
        </w:rPr>
        <w:t xml:space="preserve">Adoptar medidas </w:t>
      </w:r>
      <w:r w:rsidR="00D45036">
        <w:rPr>
          <w:rFonts w:eastAsiaTheme="minorEastAsia"/>
          <w:b/>
          <w:lang w:val="es-HN" w:eastAsia="zh-CN"/>
        </w:rPr>
        <w:t>cuantificables</w:t>
      </w:r>
      <w:r w:rsidR="00D45036" w:rsidRPr="004F6A42">
        <w:rPr>
          <w:rFonts w:eastAsiaTheme="minorEastAsia"/>
          <w:b/>
          <w:lang w:val="es-HN" w:eastAsia="zh-CN"/>
        </w:rPr>
        <w:t xml:space="preserve"> </w:t>
      </w:r>
      <w:r w:rsidR="00DA628B" w:rsidRPr="004F6A42">
        <w:rPr>
          <w:rFonts w:eastAsiaTheme="minorEastAsia"/>
          <w:b/>
          <w:lang w:val="es-HN" w:eastAsia="zh-CN"/>
        </w:rPr>
        <w:t>para separar las funciones de la policía y el ejército; así como aprobar un plan de desmilitarización de las funciones de</w:t>
      </w:r>
      <w:r w:rsidR="00D45036">
        <w:rPr>
          <w:rFonts w:eastAsiaTheme="minorEastAsia"/>
          <w:b/>
          <w:lang w:val="es-HN" w:eastAsia="zh-CN"/>
        </w:rPr>
        <w:t>l</w:t>
      </w:r>
      <w:r w:rsidR="00DA628B" w:rsidRPr="004F6A42">
        <w:rPr>
          <w:rFonts w:eastAsiaTheme="minorEastAsia"/>
          <w:b/>
          <w:lang w:val="es-HN" w:eastAsia="zh-CN"/>
        </w:rPr>
        <w:t xml:space="preserve"> orden público</w:t>
      </w:r>
      <w:r w:rsidR="00E170D8" w:rsidRPr="004F6A42">
        <w:rPr>
          <w:rFonts w:eastAsiaTheme="minorEastAsia"/>
          <w:b/>
          <w:lang w:val="es-HN" w:eastAsia="zh-CN"/>
        </w:rPr>
        <w:t>;</w:t>
      </w:r>
    </w:p>
    <w:p w14:paraId="01D8800E" w14:textId="612248FE" w:rsidR="00E170D8" w:rsidRPr="004F6A42" w:rsidRDefault="00E72C9D" w:rsidP="00E72C9D">
      <w:pPr>
        <w:suppressAutoHyphens w:val="0"/>
        <w:kinsoku/>
        <w:overflowPunct/>
        <w:autoSpaceDE/>
        <w:autoSpaceDN/>
        <w:adjustRightInd/>
        <w:snapToGrid/>
        <w:spacing w:after="120" w:line="259" w:lineRule="auto"/>
        <w:ind w:left="714" w:right="1183"/>
        <w:jc w:val="both"/>
        <w:rPr>
          <w:rFonts w:eastAsiaTheme="minorEastAsia"/>
          <w:b/>
          <w:lang w:val="es-HN" w:eastAsia="zh-CN"/>
        </w:rPr>
      </w:pPr>
      <w:r w:rsidRPr="004F6A42">
        <w:rPr>
          <w:rFonts w:eastAsiaTheme="minorEastAsia"/>
          <w:b/>
          <w:lang w:val="es-HN" w:eastAsia="zh-CN"/>
        </w:rPr>
        <w:t xml:space="preserve">f) </w:t>
      </w:r>
      <w:r w:rsidR="00DA628B" w:rsidRPr="004F6A42">
        <w:rPr>
          <w:rFonts w:eastAsiaTheme="minorEastAsia"/>
          <w:b/>
          <w:lang w:val="es-HN" w:eastAsia="zh-CN"/>
        </w:rPr>
        <w:t>Velar p</w:t>
      </w:r>
      <w:r w:rsidR="00D45036">
        <w:rPr>
          <w:rFonts w:eastAsiaTheme="minorEastAsia"/>
          <w:b/>
          <w:lang w:val="es-HN" w:eastAsia="zh-CN"/>
        </w:rPr>
        <w:t>or</w:t>
      </w:r>
      <w:r w:rsidR="00DA628B" w:rsidRPr="004F6A42">
        <w:rPr>
          <w:rFonts w:eastAsiaTheme="minorEastAsia"/>
          <w:b/>
          <w:lang w:val="es-HN" w:eastAsia="zh-CN"/>
        </w:rPr>
        <w:t xml:space="preserve"> que el uso de la fuerza por parte de todos los agentes de defensa y seguridad, en particular en situaciones de protesta, se ajuste a las normas de derechos humanos; y que el uso de la fuerza letal esté sujeto a condiciones estrictas y a mecanismos transparentes de rendición de cuentas</w:t>
      </w:r>
      <w:r w:rsidR="00E170D8" w:rsidRPr="004F6A42">
        <w:rPr>
          <w:rFonts w:eastAsiaTheme="minorEastAsia"/>
          <w:b/>
          <w:lang w:val="es-HN" w:eastAsia="zh-CN"/>
        </w:rPr>
        <w:t xml:space="preserve">;   </w:t>
      </w:r>
    </w:p>
    <w:p w14:paraId="69B55B18" w14:textId="7B57237E" w:rsidR="00E170D8" w:rsidRPr="004F6A42" w:rsidRDefault="00E72C9D" w:rsidP="00E72C9D">
      <w:pPr>
        <w:suppressAutoHyphens w:val="0"/>
        <w:kinsoku/>
        <w:overflowPunct/>
        <w:autoSpaceDE/>
        <w:autoSpaceDN/>
        <w:adjustRightInd/>
        <w:snapToGrid/>
        <w:spacing w:after="120" w:line="259" w:lineRule="auto"/>
        <w:ind w:left="714" w:right="1183"/>
        <w:jc w:val="both"/>
        <w:rPr>
          <w:rFonts w:eastAsiaTheme="minorEastAsia"/>
          <w:b/>
          <w:lang w:val="es-HN" w:eastAsia="zh-CN"/>
        </w:rPr>
      </w:pPr>
      <w:r w:rsidRPr="004F6A42">
        <w:rPr>
          <w:rFonts w:eastAsiaTheme="minorEastAsia"/>
          <w:b/>
          <w:lang w:val="es-HN" w:eastAsia="zh-CN"/>
        </w:rPr>
        <w:t xml:space="preserve">g) </w:t>
      </w:r>
      <w:r w:rsidR="005B577A" w:rsidRPr="004F6A42">
        <w:rPr>
          <w:rFonts w:eastAsiaTheme="minorEastAsia"/>
          <w:b/>
          <w:lang w:val="es-HN" w:eastAsia="zh-CN"/>
        </w:rPr>
        <w:t xml:space="preserve">Abordar </w:t>
      </w:r>
      <w:r w:rsidR="00D45036">
        <w:rPr>
          <w:rFonts w:eastAsiaTheme="minorEastAsia"/>
          <w:b/>
          <w:lang w:val="es-HN" w:eastAsia="zh-CN"/>
        </w:rPr>
        <w:t xml:space="preserve">la </w:t>
      </w:r>
      <w:r w:rsidR="005B577A" w:rsidRPr="004F6A42">
        <w:rPr>
          <w:rFonts w:eastAsiaTheme="minorEastAsia"/>
          <w:b/>
          <w:lang w:val="es-HN" w:eastAsia="zh-CN"/>
        </w:rPr>
        <w:t>situación</w:t>
      </w:r>
      <w:r w:rsidR="00D45036">
        <w:rPr>
          <w:rFonts w:eastAsiaTheme="minorEastAsia"/>
          <w:b/>
          <w:lang w:val="es-HN" w:eastAsia="zh-CN"/>
        </w:rPr>
        <w:t xml:space="preserve"> de deterioro</w:t>
      </w:r>
      <w:r w:rsidR="005B577A" w:rsidRPr="004F6A42">
        <w:rPr>
          <w:rFonts w:eastAsiaTheme="minorEastAsia"/>
          <w:b/>
          <w:lang w:val="es-HN" w:eastAsia="zh-CN"/>
        </w:rPr>
        <w:t xml:space="preserve"> en los centros de detención, en particular las condiciones y políticas penitenciarias, de conformidad con las normas internacionales, y garantizar la seguridad de las personas protegidas en dichas instituciones</w:t>
      </w:r>
      <w:r w:rsidR="00E170D8" w:rsidRPr="004F6A42">
        <w:rPr>
          <w:rFonts w:eastAsiaTheme="minorEastAsia"/>
          <w:b/>
          <w:lang w:val="es-HN" w:eastAsia="zh-CN"/>
        </w:rPr>
        <w:t>;</w:t>
      </w:r>
    </w:p>
    <w:p w14:paraId="6D74A8E5" w14:textId="18FF0F85" w:rsidR="00E170D8" w:rsidRPr="004F6A42" w:rsidRDefault="00E72C9D" w:rsidP="00E72C9D">
      <w:pPr>
        <w:suppressAutoHyphens w:val="0"/>
        <w:kinsoku/>
        <w:overflowPunct/>
        <w:autoSpaceDE/>
        <w:autoSpaceDN/>
        <w:adjustRightInd/>
        <w:snapToGrid/>
        <w:spacing w:after="120" w:line="259" w:lineRule="auto"/>
        <w:ind w:left="714" w:right="1183"/>
        <w:jc w:val="both"/>
        <w:rPr>
          <w:rFonts w:eastAsiaTheme="minorEastAsia"/>
          <w:b/>
          <w:lang w:val="es-HN" w:eastAsia="zh-CN"/>
        </w:rPr>
      </w:pPr>
      <w:r w:rsidRPr="004F6A42">
        <w:rPr>
          <w:rFonts w:eastAsiaTheme="minorEastAsia"/>
          <w:b/>
          <w:lang w:val="es-HN" w:eastAsia="zh-CN"/>
        </w:rPr>
        <w:t xml:space="preserve">h) </w:t>
      </w:r>
      <w:r w:rsidR="005B577A" w:rsidRPr="004F6A42">
        <w:rPr>
          <w:rFonts w:eastAsiaTheme="minorEastAsia"/>
          <w:b/>
          <w:lang w:val="es-HN" w:eastAsia="zh-CN"/>
        </w:rPr>
        <w:t>Respetar la independencia de la CONAPREV para asegurar que su mandato pueda ser implementado en su totalidad, y proteger a los comisionados</w:t>
      </w:r>
      <w:r w:rsidR="00E170D8" w:rsidRPr="004F6A42">
        <w:rPr>
          <w:rFonts w:eastAsiaTheme="minorEastAsia"/>
          <w:b/>
          <w:lang w:val="es-HN" w:eastAsia="zh-CN"/>
        </w:rPr>
        <w:t>;</w:t>
      </w:r>
    </w:p>
    <w:p w14:paraId="2F804FBB" w14:textId="6F5CDF5D" w:rsidR="00E170D8" w:rsidRPr="004F6A42" w:rsidRDefault="00E72C9D" w:rsidP="00E72C9D">
      <w:pPr>
        <w:suppressAutoHyphens w:val="0"/>
        <w:kinsoku/>
        <w:overflowPunct/>
        <w:autoSpaceDE/>
        <w:autoSpaceDN/>
        <w:adjustRightInd/>
        <w:snapToGrid/>
        <w:spacing w:after="120" w:line="259" w:lineRule="auto"/>
        <w:ind w:left="714" w:right="1183"/>
        <w:jc w:val="both"/>
        <w:rPr>
          <w:rFonts w:eastAsiaTheme="minorEastAsia"/>
          <w:b/>
          <w:lang w:val="es-HN" w:eastAsia="zh-CN"/>
        </w:rPr>
      </w:pPr>
      <w:r w:rsidRPr="004F6A42">
        <w:rPr>
          <w:rFonts w:eastAsiaTheme="minorEastAsia"/>
          <w:b/>
          <w:lang w:val="es-HN" w:eastAsia="zh-CN"/>
        </w:rPr>
        <w:t xml:space="preserve">i) </w:t>
      </w:r>
      <w:r w:rsidR="005B577A" w:rsidRPr="004F6A42">
        <w:rPr>
          <w:rFonts w:eastAsiaTheme="minorEastAsia"/>
          <w:b/>
          <w:lang w:val="es-HN" w:eastAsia="zh-CN"/>
        </w:rPr>
        <w:t>Adoptar las reformas necesarias para garantizar el desarrollo de un sistema de justicia independiente y profesional</w:t>
      </w:r>
      <w:r w:rsidR="00E170D8" w:rsidRPr="004F6A42">
        <w:rPr>
          <w:rFonts w:eastAsiaTheme="minorEastAsia"/>
          <w:b/>
          <w:lang w:val="es-HN" w:eastAsia="zh-CN"/>
        </w:rPr>
        <w:t xml:space="preserve">; </w:t>
      </w:r>
    </w:p>
    <w:p w14:paraId="11D64AEA" w14:textId="4E46084B" w:rsidR="00234CA1" w:rsidRPr="004F6A42" w:rsidRDefault="00E72C9D" w:rsidP="00E72C9D">
      <w:pPr>
        <w:suppressAutoHyphens w:val="0"/>
        <w:kinsoku/>
        <w:overflowPunct/>
        <w:autoSpaceDE/>
        <w:autoSpaceDN/>
        <w:adjustRightInd/>
        <w:snapToGrid/>
        <w:spacing w:after="120" w:line="259" w:lineRule="auto"/>
        <w:ind w:left="714" w:right="1183"/>
        <w:jc w:val="both"/>
        <w:rPr>
          <w:rFonts w:eastAsiaTheme="minorEastAsia"/>
          <w:b/>
          <w:lang w:val="es-HN" w:eastAsia="zh-CN"/>
        </w:rPr>
      </w:pPr>
      <w:r w:rsidRPr="004F6A42">
        <w:rPr>
          <w:rFonts w:eastAsiaTheme="minorEastAsia"/>
          <w:b/>
          <w:lang w:val="es-HN" w:eastAsia="zh-CN"/>
        </w:rPr>
        <w:t xml:space="preserve">j) </w:t>
      </w:r>
      <w:r w:rsidR="005B577A" w:rsidRPr="004F6A42">
        <w:rPr>
          <w:rFonts w:eastAsiaTheme="minorEastAsia"/>
          <w:b/>
          <w:lang w:val="es-HN" w:eastAsia="zh-CN"/>
        </w:rPr>
        <w:t xml:space="preserve">Tomar las medidas para diseñar una política integral de protección de </w:t>
      </w:r>
      <w:r w:rsidR="008C4933">
        <w:rPr>
          <w:rFonts w:eastAsiaTheme="minorEastAsia"/>
          <w:b/>
          <w:lang w:val="es-HN" w:eastAsia="zh-CN"/>
        </w:rPr>
        <w:t>las y los defensores</w:t>
      </w:r>
      <w:r w:rsidR="005B577A" w:rsidRPr="004F6A42">
        <w:rPr>
          <w:rFonts w:eastAsiaTheme="minorEastAsia"/>
          <w:b/>
          <w:lang w:val="es-HN" w:eastAsia="zh-CN"/>
        </w:rPr>
        <w:t xml:space="preserve"> de  derechos humanos y asegurar el compromiso de todas las entidades, incluidas las </w:t>
      </w:r>
      <w:r w:rsidR="00D45036">
        <w:rPr>
          <w:rFonts w:eastAsiaTheme="minorEastAsia"/>
          <w:b/>
          <w:lang w:val="es-HN" w:eastAsia="zh-CN"/>
        </w:rPr>
        <w:t>fuerzas</w:t>
      </w:r>
      <w:r w:rsidR="00D45036" w:rsidRPr="004F6A42">
        <w:rPr>
          <w:rFonts w:eastAsiaTheme="minorEastAsia"/>
          <w:b/>
          <w:lang w:val="es-HN" w:eastAsia="zh-CN"/>
        </w:rPr>
        <w:t xml:space="preserve"> </w:t>
      </w:r>
      <w:r w:rsidR="005B577A" w:rsidRPr="004F6A42">
        <w:rPr>
          <w:rFonts w:eastAsiaTheme="minorEastAsia"/>
          <w:b/>
          <w:lang w:val="es-HN" w:eastAsia="zh-CN"/>
        </w:rPr>
        <w:t>de defensa y seguridad</w:t>
      </w:r>
      <w:r w:rsidR="00234CA1" w:rsidRPr="004F6A42">
        <w:rPr>
          <w:rFonts w:eastAsiaTheme="minorEastAsia"/>
          <w:b/>
          <w:lang w:val="es-HN" w:eastAsia="zh-CN"/>
        </w:rPr>
        <w:t>;</w:t>
      </w:r>
    </w:p>
    <w:p w14:paraId="6B1B9190" w14:textId="05136CF3" w:rsidR="001E393C" w:rsidRPr="004F6A42" w:rsidRDefault="00E72C9D" w:rsidP="00E72C9D">
      <w:pPr>
        <w:suppressAutoHyphens w:val="0"/>
        <w:kinsoku/>
        <w:overflowPunct/>
        <w:autoSpaceDE/>
        <w:autoSpaceDN/>
        <w:adjustRightInd/>
        <w:snapToGrid/>
        <w:spacing w:after="120" w:line="259" w:lineRule="auto"/>
        <w:ind w:left="714" w:right="1183"/>
        <w:jc w:val="both"/>
        <w:rPr>
          <w:rFonts w:eastAsiaTheme="minorEastAsia"/>
          <w:b/>
          <w:lang w:val="es-HN" w:eastAsia="zh-CN"/>
        </w:rPr>
      </w:pPr>
      <w:r w:rsidRPr="004F6A42">
        <w:rPr>
          <w:rFonts w:eastAsiaTheme="minorEastAsia"/>
          <w:b/>
          <w:lang w:val="es-HN" w:eastAsia="zh-CN"/>
        </w:rPr>
        <w:t xml:space="preserve">k) </w:t>
      </w:r>
      <w:r w:rsidR="005B577A" w:rsidRPr="004F6A42">
        <w:rPr>
          <w:rFonts w:eastAsiaTheme="minorEastAsia"/>
          <w:b/>
          <w:lang w:val="es-HN" w:eastAsia="zh-CN"/>
        </w:rPr>
        <w:t>Adoptar medidas para proteger a las mujeres, a las personas LGTBI y a las personas con discapacidad de la violencia y la discriminación; asegurar la promoción y protección de la igualdad de género, la orientación sexual y los derechos sexuales y reproductivos; prevenir y castigar sistemáticamente la violencia de género, el femicidio, la discriminación y los estereotip</w:t>
      </w:r>
      <w:r w:rsidR="00D45036">
        <w:rPr>
          <w:rFonts w:eastAsiaTheme="minorEastAsia"/>
          <w:b/>
          <w:lang w:val="es-HN" w:eastAsia="zh-CN"/>
        </w:rPr>
        <w:t>os</w:t>
      </w:r>
      <w:r w:rsidR="005A7A56" w:rsidRPr="004F6A42">
        <w:rPr>
          <w:rFonts w:eastAsiaTheme="minorEastAsia"/>
          <w:b/>
          <w:lang w:val="es-HN" w:eastAsia="zh-CN"/>
        </w:rPr>
        <w:t xml:space="preserve">; </w:t>
      </w:r>
    </w:p>
    <w:p w14:paraId="4D39BE2F" w14:textId="2A919A86" w:rsidR="005A7A56" w:rsidRPr="004F6A42" w:rsidRDefault="001E393C" w:rsidP="00E72C9D">
      <w:pPr>
        <w:suppressAutoHyphens w:val="0"/>
        <w:kinsoku/>
        <w:overflowPunct/>
        <w:autoSpaceDE/>
        <w:autoSpaceDN/>
        <w:adjustRightInd/>
        <w:snapToGrid/>
        <w:spacing w:after="120" w:line="259" w:lineRule="auto"/>
        <w:ind w:left="714" w:right="1183"/>
        <w:jc w:val="both"/>
        <w:rPr>
          <w:rFonts w:eastAsiaTheme="minorEastAsia"/>
          <w:b/>
          <w:lang w:val="es-HN" w:eastAsia="zh-CN"/>
        </w:rPr>
      </w:pPr>
      <w:r w:rsidRPr="004F6A42">
        <w:rPr>
          <w:rFonts w:eastAsiaTheme="minorEastAsia"/>
          <w:b/>
          <w:lang w:val="es-HN" w:eastAsia="zh-CN"/>
        </w:rPr>
        <w:lastRenderedPageBreak/>
        <w:t xml:space="preserve">l) </w:t>
      </w:r>
      <w:r w:rsidR="005B577A" w:rsidRPr="004F6A42">
        <w:rPr>
          <w:rFonts w:eastAsiaTheme="minorEastAsia"/>
          <w:b/>
          <w:lang w:val="es-HN" w:eastAsia="zh-CN"/>
        </w:rPr>
        <w:t>Adoptar un marco jurídico para garantizar los derechos de las personas con discapacidad a la no discriminación, la inclusión, la accesibilidad y la igualdad ante la ley; y</w:t>
      </w:r>
      <w:r w:rsidR="005B577A" w:rsidRPr="004F6A42" w:rsidDel="005B577A">
        <w:rPr>
          <w:rFonts w:eastAsiaTheme="minorEastAsia"/>
          <w:b/>
          <w:lang w:val="es-HN" w:eastAsia="zh-CN"/>
        </w:rPr>
        <w:t xml:space="preserve"> </w:t>
      </w:r>
    </w:p>
    <w:p w14:paraId="0C53D86C" w14:textId="2EE1D92D" w:rsidR="00E170D8" w:rsidRPr="004F6A42" w:rsidRDefault="001E393C" w:rsidP="00E72C9D">
      <w:pPr>
        <w:suppressAutoHyphens w:val="0"/>
        <w:kinsoku/>
        <w:overflowPunct/>
        <w:autoSpaceDE/>
        <w:autoSpaceDN/>
        <w:adjustRightInd/>
        <w:snapToGrid/>
        <w:spacing w:after="120" w:line="259" w:lineRule="auto"/>
        <w:ind w:left="714" w:right="1183"/>
        <w:jc w:val="both"/>
        <w:rPr>
          <w:rFonts w:eastAsiaTheme="minorEastAsia"/>
          <w:b/>
          <w:lang w:val="es-HN" w:eastAsia="zh-CN"/>
        </w:rPr>
      </w:pPr>
      <w:r w:rsidRPr="004F6A42">
        <w:rPr>
          <w:rFonts w:eastAsiaTheme="minorEastAsia"/>
          <w:b/>
          <w:lang w:val="es-HN" w:eastAsia="zh-CN"/>
        </w:rPr>
        <w:t>m</w:t>
      </w:r>
      <w:r w:rsidR="00E72C9D" w:rsidRPr="004F6A42">
        <w:rPr>
          <w:rFonts w:eastAsiaTheme="minorEastAsia"/>
          <w:b/>
          <w:lang w:val="es-HN" w:eastAsia="zh-CN"/>
        </w:rPr>
        <w:t xml:space="preserve">) </w:t>
      </w:r>
      <w:r w:rsidR="00CB1621" w:rsidRPr="004F6A42">
        <w:rPr>
          <w:rFonts w:eastAsiaTheme="minorEastAsia"/>
          <w:b/>
          <w:lang w:val="es-HN" w:eastAsia="zh-CN"/>
        </w:rPr>
        <w:t>E</w:t>
      </w:r>
      <w:r w:rsidR="00E170D8" w:rsidRPr="004F6A42">
        <w:rPr>
          <w:rFonts w:eastAsiaTheme="minorEastAsia"/>
          <w:b/>
          <w:lang w:val="es-HN" w:eastAsia="zh-CN"/>
        </w:rPr>
        <w:t>xtend</w:t>
      </w:r>
      <w:r w:rsidR="005B577A" w:rsidRPr="004F6A42">
        <w:rPr>
          <w:rFonts w:eastAsiaTheme="minorEastAsia"/>
          <w:b/>
          <w:lang w:val="es-HN" w:eastAsia="zh-CN"/>
        </w:rPr>
        <w:t>er el mandato de la</w:t>
      </w:r>
      <w:r w:rsidR="00E170D8" w:rsidRPr="004F6A42">
        <w:rPr>
          <w:rFonts w:eastAsiaTheme="minorEastAsia"/>
          <w:b/>
          <w:lang w:val="es-HN" w:eastAsia="zh-CN"/>
        </w:rPr>
        <w:t xml:space="preserve"> MACCIH;</w:t>
      </w:r>
    </w:p>
    <w:p w14:paraId="46580325" w14:textId="01FB74BE" w:rsidR="001268B7" w:rsidRPr="004F6A42" w:rsidRDefault="00400EA2" w:rsidP="00400EA2">
      <w:pPr>
        <w:suppressAutoHyphens w:val="0"/>
        <w:kinsoku/>
        <w:overflowPunct/>
        <w:autoSpaceDE/>
        <w:autoSpaceDN/>
        <w:adjustRightInd/>
        <w:snapToGrid/>
        <w:spacing w:after="120" w:line="259" w:lineRule="auto"/>
        <w:ind w:left="709" w:right="1183"/>
        <w:jc w:val="both"/>
        <w:rPr>
          <w:rFonts w:eastAsiaTheme="minorEastAsia"/>
          <w:b/>
          <w:lang w:val="es-HN" w:eastAsia="zh-CN"/>
        </w:rPr>
      </w:pPr>
      <w:r>
        <w:rPr>
          <w:rFonts w:eastAsiaTheme="minorEastAsia"/>
          <w:b/>
          <w:lang w:val="es-HN" w:eastAsia="zh-CN"/>
        </w:rPr>
        <w:t xml:space="preserve">86. </w:t>
      </w:r>
      <w:r w:rsidR="005B577A" w:rsidRPr="004F6A42">
        <w:rPr>
          <w:rFonts w:eastAsiaTheme="minorEastAsia"/>
          <w:b/>
          <w:lang w:val="es-HN" w:eastAsia="zh-CN"/>
        </w:rPr>
        <w:t xml:space="preserve">La Alta Comisionada exhorta al sector privado a que cumpla con todas las normas y estándares internacionales de derechos humanos pertinentes, especialmente los </w:t>
      </w:r>
      <w:r w:rsidR="005B577A" w:rsidRPr="005E3213">
        <w:rPr>
          <w:rFonts w:eastAsiaTheme="minorEastAsia"/>
          <w:b/>
          <w:lang w:val="es-HN" w:eastAsia="zh-CN"/>
        </w:rPr>
        <w:t xml:space="preserve">Principios Rectores </w:t>
      </w:r>
      <w:r w:rsidR="005E3213" w:rsidRPr="007D4A0E">
        <w:rPr>
          <w:rFonts w:eastAsiaTheme="minorEastAsia"/>
          <w:b/>
          <w:lang w:val="es-HN" w:eastAsia="zh-CN"/>
        </w:rPr>
        <w:t>de las Naciones Unidas sobre las</w:t>
      </w:r>
      <w:r w:rsidR="005B577A" w:rsidRPr="005E3213">
        <w:rPr>
          <w:rFonts w:eastAsiaTheme="minorEastAsia"/>
          <w:b/>
          <w:lang w:val="es-HN" w:eastAsia="zh-CN"/>
        </w:rPr>
        <w:t xml:space="preserve"> Empresa</w:t>
      </w:r>
      <w:r w:rsidR="00D45036" w:rsidRPr="005E3213">
        <w:rPr>
          <w:rFonts w:eastAsiaTheme="minorEastAsia"/>
          <w:b/>
          <w:lang w:val="es-HN" w:eastAsia="zh-CN"/>
        </w:rPr>
        <w:t>s</w:t>
      </w:r>
      <w:r w:rsidR="005B577A" w:rsidRPr="005E3213">
        <w:rPr>
          <w:rFonts w:eastAsiaTheme="minorEastAsia"/>
          <w:b/>
          <w:lang w:val="es-HN" w:eastAsia="zh-CN"/>
        </w:rPr>
        <w:t xml:space="preserve"> y </w:t>
      </w:r>
      <w:r w:rsidR="005E3213" w:rsidRPr="007D4A0E">
        <w:rPr>
          <w:rFonts w:eastAsiaTheme="minorEastAsia"/>
          <w:b/>
          <w:lang w:val="es-HN" w:eastAsia="zh-CN"/>
        </w:rPr>
        <w:t xml:space="preserve">los </w:t>
      </w:r>
      <w:r w:rsidR="005B577A" w:rsidRPr="005E3213">
        <w:rPr>
          <w:rFonts w:eastAsiaTheme="minorEastAsia"/>
          <w:b/>
          <w:lang w:val="es-HN" w:eastAsia="zh-CN"/>
        </w:rPr>
        <w:t>Derechos Humanos,</w:t>
      </w:r>
      <w:r w:rsidR="005B577A" w:rsidRPr="004F6A42">
        <w:rPr>
          <w:rFonts w:eastAsiaTheme="minorEastAsia"/>
          <w:b/>
          <w:lang w:val="es-HN" w:eastAsia="zh-CN"/>
        </w:rPr>
        <w:t xml:space="preserve"> en particular en relación con los derechos de las comunidades a las tierras y a los recursos naturales</w:t>
      </w:r>
      <w:r w:rsidR="00483E9E" w:rsidRPr="004F6A42">
        <w:rPr>
          <w:rFonts w:eastAsiaTheme="minorEastAsia"/>
          <w:b/>
          <w:lang w:val="es-HN" w:eastAsia="zh-CN"/>
        </w:rPr>
        <w:t>;</w:t>
      </w:r>
    </w:p>
    <w:p w14:paraId="07896367" w14:textId="5DF38938" w:rsidR="00E72C9D" w:rsidRPr="004F6A42" w:rsidRDefault="00400EA2" w:rsidP="00400EA2">
      <w:pPr>
        <w:suppressAutoHyphens w:val="0"/>
        <w:kinsoku/>
        <w:overflowPunct/>
        <w:autoSpaceDE/>
        <w:autoSpaceDN/>
        <w:adjustRightInd/>
        <w:snapToGrid/>
        <w:spacing w:after="120" w:line="259" w:lineRule="auto"/>
        <w:ind w:left="709" w:right="1183"/>
        <w:jc w:val="both"/>
        <w:rPr>
          <w:rFonts w:eastAsiaTheme="minorEastAsia"/>
          <w:b/>
          <w:lang w:val="es-HN" w:eastAsia="zh-CN"/>
        </w:rPr>
      </w:pPr>
      <w:r>
        <w:rPr>
          <w:rFonts w:eastAsiaTheme="minorEastAsia"/>
          <w:b/>
          <w:lang w:val="es-HN" w:eastAsia="zh-CN"/>
        </w:rPr>
        <w:t>87</w:t>
      </w:r>
      <w:r w:rsidR="001E393C" w:rsidRPr="004F6A42">
        <w:rPr>
          <w:rFonts w:eastAsiaTheme="minorEastAsia"/>
          <w:b/>
          <w:lang w:val="es-HN" w:eastAsia="zh-CN"/>
        </w:rPr>
        <w:t xml:space="preserve">. </w:t>
      </w:r>
      <w:r w:rsidR="005B577A" w:rsidRPr="004F6A42">
        <w:rPr>
          <w:rFonts w:eastAsiaTheme="minorEastAsia"/>
          <w:b/>
          <w:lang w:val="es-HN" w:eastAsia="zh-CN"/>
        </w:rPr>
        <w:t>La Alta Comisionada exhorta al Congreso a</w:t>
      </w:r>
      <w:r w:rsidR="00E72C9D" w:rsidRPr="004F6A42">
        <w:rPr>
          <w:rFonts w:eastAsiaTheme="minorEastAsia"/>
          <w:b/>
          <w:lang w:val="es-HN" w:eastAsia="zh-CN"/>
        </w:rPr>
        <w:t>:</w:t>
      </w:r>
    </w:p>
    <w:p w14:paraId="79BC0267" w14:textId="5134E709" w:rsidR="00E72C9D" w:rsidRPr="004F6A42" w:rsidRDefault="00E72C9D" w:rsidP="00E72C9D">
      <w:pPr>
        <w:suppressAutoHyphens w:val="0"/>
        <w:kinsoku/>
        <w:overflowPunct/>
        <w:autoSpaceDE/>
        <w:autoSpaceDN/>
        <w:adjustRightInd/>
        <w:snapToGrid/>
        <w:spacing w:after="120" w:line="259" w:lineRule="auto"/>
        <w:ind w:left="709" w:right="1183"/>
        <w:jc w:val="both"/>
        <w:rPr>
          <w:rFonts w:eastAsiaTheme="minorEastAsia"/>
          <w:b/>
          <w:lang w:val="es-HN" w:eastAsia="zh-CN"/>
        </w:rPr>
      </w:pPr>
      <w:r w:rsidRPr="004F6A42">
        <w:rPr>
          <w:rFonts w:eastAsiaTheme="minorEastAsia"/>
          <w:b/>
          <w:lang w:val="es-HN" w:eastAsia="zh-CN"/>
        </w:rPr>
        <w:t xml:space="preserve">a) </w:t>
      </w:r>
      <w:r w:rsidR="005B577A" w:rsidRPr="004F6A42">
        <w:rPr>
          <w:rFonts w:eastAsiaTheme="minorEastAsia"/>
          <w:b/>
          <w:lang w:val="es-HN" w:eastAsia="zh-CN"/>
        </w:rPr>
        <w:t xml:space="preserve">Asegurar que la aplicación de la consulta previa sea objeto de un amplio debate y consulta con los pueblos indígenas en lugar de asegurar la rápida adopción de una ley de consulta; </w:t>
      </w:r>
      <w:r w:rsidR="005B577A" w:rsidRPr="001D0245">
        <w:rPr>
          <w:rFonts w:eastAsiaTheme="minorEastAsia"/>
          <w:b/>
          <w:lang w:val="es-HN" w:eastAsia="zh-CN"/>
        </w:rPr>
        <w:t>e</w:t>
      </w:r>
    </w:p>
    <w:p w14:paraId="67985EC6" w14:textId="123FB98A" w:rsidR="00E170D8" w:rsidRPr="004F6A42" w:rsidRDefault="00E72C9D" w:rsidP="00E72C9D">
      <w:pPr>
        <w:suppressAutoHyphens w:val="0"/>
        <w:kinsoku/>
        <w:overflowPunct/>
        <w:autoSpaceDE/>
        <w:autoSpaceDN/>
        <w:adjustRightInd/>
        <w:snapToGrid/>
        <w:spacing w:after="120" w:line="259" w:lineRule="auto"/>
        <w:ind w:left="709" w:right="1183"/>
        <w:jc w:val="both"/>
        <w:rPr>
          <w:rFonts w:eastAsiaTheme="minorEastAsia"/>
          <w:b/>
          <w:lang w:val="es-HN" w:eastAsia="zh-CN"/>
        </w:rPr>
      </w:pPr>
      <w:r w:rsidRPr="004F6A42">
        <w:rPr>
          <w:rFonts w:eastAsiaTheme="minorEastAsia"/>
          <w:b/>
          <w:lang w:val="es-HN" w:eastAsia="zh-CN"/>
        </w:rPr>
        <w:t>b)</w:t>
      </w:r>
      <w:r w:rsidR="00BC78C5" w:rsidRPr="004F6A42">
        <w:rPr>
          <w:rFonts w:eastAsiaTheme="minorEastAsia"/>
          <w:b/>
          <w:lang w:val="es-HN" w:eastAsia="zh-CN"/>
        </w:rPr>
        <w:t xml:space="preserve"> </w:t>
      </w:r>
      <w:r w:rsidR="005B577A" w:rsidRPr="004F6A42">
        <w:rPr>
          <w:rFonts w:eastAsiaTheme="minorEastAsia"/>
          <w:b/>
          <w:lang w:val="es-HN" w:eastAsia="zh-CN"/>
        </w:rPr>
        <w:t>Implementar un proceso de consulta abierto, transparente y amplio para revisar las disposiciones del Código Penal que no cumplen con las normas y estándares internacionales y regionales de derechos humanos</w:t>
      </w:r>
      <w:r w:rsidR="00DB2E16" w:rsidRPr="004F6A42">
        <w:rPr>
          <w:rFonts w:eastAsiaTheme="minorEastAsia"/>
          <w:b/>
          <w:lang w:val="es-HN" w:eastAsia="zh-CN"/>
        </w:rPr>
        <w:t>;</w:t>
      </w:r>
    </w:p>
    <w:p w14:paraId="40C8FFD1" w14:textId="1EC5AE5C" w:rsidR="005A7A56" w:rsidRPr="004F6A42" w:rsidRDefault="00400EA2" w:rsidP="00DB2E16">
      <w:pPr>
        <w:suppressAutoHyphens w:val="0"/>
        <w:kinsoku/>
        <w:overflowPunct/>
        <w:autoSpaceDE/>
        <w:autoSpaceDN/>
        <w:adjustRightInd/>
        <w:snapToGrid/>
        <w:spacing w:after="120" w:line="259" w:lineRule="auto"/>
        <w:ind w:left="360" w:right="1183"/>
        <w:jc w:val="both"/>
        <w:rPr>
          <w:rFonts w:eastAsiaTheme="minorEastAsia"/>
          <w:b/>
          <w:lang w:val="es-HN" w:eastAsia="zh-CN"/>
        </w:rPr>
      </w:pPr>
      <w:r>
        <w:rPr>
          <w:b/>
          <w:lang w:val="es-HN"/>
        </w:rPr>
        <w:t xml:space="preserve">       88</w:t>
      </w:r>
      <w:r w:rsidR="001E393C" w:rsidRPr="004F6A42">
        <w:rPr>
          <w:b/>
          <w:lang w:val="es-HN"/>
        </w:rPr>
        <w:t xml:space="preserve">. </w:t>
      </w:r>
      <w:r w:rsidR="005B577A" w:rsidRPr="004F6A42">
        <w:rPr>
          <w:b/>
          <w:lang w:val="es-HN"/>
        </w:rPr>
        <w:t>La Alta Comisionada insta a las instituciones del sistema de justicia a</w:t>
      </w:r>
      <w:r w:rsidR="005A7A56" w:rsidRPr="004F6A42">
        <w:rPr>
          <w:b/>
          <w:lang w:val="es-HN"/>
        </w:rPr>
        <w:t>:</w:t>
      </w:r>
    </w:p>
    <w:p w14:paraId="6E0C90FB" w14:textId="31DE8FD4" w:rsidR="0017653E" w:rsidRPr="004F6A42" w:rsidRDefault="00BC78C5" w:rsidP="0017653E">
      <w:pPr>
        <w:pStyle w:val="ListParagraph"/>
        <w:suppressAutoHyphens w:val="0"/>
        <w:kinsoku/>
        <w:overflowPunct/>
        <w:autoSpaceDE/>
        <w:autoSpaceDN/>
        <w:adjustRightInd/>
        <w:snapToGrid/>
        <w:spacing w:after="240" w:line="259" w:lineRule="auto"/>
        <w:ind w:right="1185"/>
        <w:jc w:val="both"/>
        <w:rPr>
          <w:b/>
          <w:lang w:val="es-HN"/>
        </w:rPr>
      </w:pPr>
      <w:r w:rsidRPr="004F6A42">
        <w:rPr>
          <w:rFonts w:eastAsiaTheme="minorEastAsia"/>
          <w:b/>
          <w:lang w:val="es-HN" w:eastAsia="zh-CN"/>
        </w:rPr>
        <w:t xml:space="preserve">a) </w:t>
      </w:r>
      <w:r w:rsidR="005B577A" w:rsidRPr="004F6A42">
        <w:rPr>
          <w:rFonts w:eastAsiaTheme="minorEastAsia"/>
          <w:b/>
          <w:lang w:val="es-HN" w:eastAsia="zh-CN"/>
        </w:rPr>
        <w:t xml:space="preserve">Fortalecer y acelerar las investigaciones y los enjuiciamientos de las violaciones de los derechos humanos cometidas por las fuerzas de seguridad y defensa y aplicar las recomendaciones formuladas por la </w:t>
      </w:r>
      <w:r w:rsidR="00696F17">
        <w:rPr>
          <w:rFonts w:eastAsiaTheme="minorEastAsia"/>
          <w:b/>
          <w:lang w:val="es-HN" w:eastAsia="zh-CN"/>
        </w:rPr>
        <w:t xml:space="preserve">OACNUDH </w:t>
      </w:r>
      <w:r w:rsidR="005B577A" w:rsidRPr="004F6A42">
        <w:rPr>
          <w:rFonts w:eastAsiaTheme="minorEastAsia"/>
          <w:b/>
          <w:lang w:val="es-HN" w:eastAsia="zh-CN"/>
        </w:rPr>
        <w:t xml:space="preserve">en su informe sobre las "Violaciones de los derechos humanos en el contexto de las elecciones de 2017 en Honduras"; </w:t>
      </w:r>
      <w:r w:rsidR="00A03162">
        <w:rPr>
          <w:rFonts w:eastAsiaTheme="minorEastAsia"/>
          <w:b/>
          <w:lang w:val="es-HN" w:eastAsia="zh-CN"/>
        </w:rPr>
        <w:t>e</w:t>
      </w:r>
    </w:p>
    <w:p w14:paraId="3FC4E92B" w14:textId="77777777" w:rsidR="0017653E" w:rsidRPr="004F6A42" w:rsidRDefault="0017653E" w:rsidP="0017653E">
      <w:pPr>
        <w:pStyle w:val="ListParagraph"/>
        <w:suppressAutoHyphens w:val="0"/>
        <w:kinsoku/>
        <w:overflowPunct/>
        <w:autoSpaceDE/>
        <w:autoSpaceDN/>
        <w:adjustRightInd/>
        <w:snapToGrid/>
        <w:spacing w:after="240" w:line="259" w:lineRule="auto"/>
        <w:ind w:right="1185"/>
        <w:jc w:val="both"/>
        <w:rPr>
          <w:b/>
          <w:lang w:val="es-HN"/>
        </w:rPr>
      </w:pPr>
    </w:p>
    <w:p w14:paraId="01ACAF8B" w14:textId="1250BA0D" w:rsidR="00C55F67" w:rsidRPr="004F6A42" w:rsidRDefault="00BC78C5" w:rsidP="0017653E">
      <w:pPr>
        <w:pStyle w:val="ListParagraph"/>
        <w:suppressAutoHyphens w:val="0"/>
        <w:kinsoku/>
        <w:overflowPunct/>
        <w:autoSpaceDE/>
        <w:autoSpaceDN/>
        <w:adjustRightInd/>
        <w:snapToGrid/>
        <w:spacing w:after="240" w:line="259" w:lineRule="auto"/>
        <w:ind w:right="1185"/>
        <w:jc w:val="both"/>
        <w:rPr>
          <w:rFonts w:eastAsiaTheme="minorEastAsia"/>
          <w:b/>
          <w:lang w:val="es-HN" w:eastAsia="zh-CN"/>
        </w:rPr>
      </w:pPr>
      <w:r w:rsidRPr="004F6A42">
        <w:rPr>
          <w:rFonts w:eastAsiaTheme="minorEastAsia"/>
          <w:b/>
          <w:lang w:val="es-HN" w:eastAsia="zh-CN"/>
        </w:rPr>
        <w:t xml:space="preserve">b) </w:t>
      </w:r>
      <w:r w:rsidR="005B577A" w:rsidRPr="004F6A42">
        <w:rPr>
          <w:rFonts w:eastAsiaTheme="minorEastAsia"/>
          <w:b/>
          <w:lang w:val="es-HN" w:eastAsia="zh-CN"/>
        </w:rPr>
        <w:t xml:space="preserve">Intensificar la investigación y el enjuiciamiento de los crímenes contra </w:t>
      </w:r>
      <w:r w:rsidR="008C4933">
        <w:rPr>
          <w:rFonts w:eastAsiaTheme="minorEastAsia"/>
          <w:b/>
          <w:lang w:val="es-HN" w:eastAsia="zh-CN"/>
        </w:rPr>
        <w:t>las y los defensores</w:t>
      </w:r>
      <w:r w:rsidR="005B577A" w:rsidRPr="004F6A42">
        <w:rPr>
          <w:rFonts w:eastAsiaTheme="minorEastAsia"/>
          <w:b/>
          <w:lang w:val="es-HN" w:eastAsia="zh-CN"/>
        </w:rPr>
        <w:t xml:space="preserve"> de derechos humanos, y evitar el uso indebido de la legislación penal mediante la revisión de las causas penales pendientes en su contra y la desestimación de las que no cumplan con los requisitos del debido proceso.</w:t>
      </w:r>
    </w:p>
    <w:sectPr w:rsidR="00C55F67" w:rsidRPr="004F6A42" w:rsidSect="00566226">
      <w:footerReference w:type="even" r:id="rId8"/>
      <w:footerReference w:type="default" r:id="rId9"/>
      <w:endnotePr>
        <w:numFmt w:val="decimal"/>
      </w:endnotePr>
      <w:pgSz w:w="12240" w:h="15840" w:code="1"/>
      <w:pgMar w:top="1417" w:right="1183"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919A2" w14:textId="77777777" w:rsidR="00070E02" w:rsidRPr="00C47B2E" w:rsidRDefault="00070E02" w:rsidP="00C47B2E">
      <w:pPr>
        <w:pStyle w:val="Footer"/>
      </w:pPr>
    </w:p>
  </w:endnote>
  <w:endnote w:type="continuationSeparator" w:id="0">
    <w:p w14:paraId="1ED4D841" w14:textId="77777777" w:rsidR="00070E02" w:rsidRPr="00C47B2E" w:rsidRDefault="00070E02" w:rsidP="00C47B2E">
      <w:pPr>
        <w:pStyle w:val="Footer"/>
      </w:pPr>
    </w:p>
  </w:endnote>
  <w:endnote w:type="continuationNotice" w:id="1">
    <w:p w14:paraId="4C3BD35B" w14:textId="77777777" w:rsidR="00070E02" w:rsidRPr="00C47B2E" w:rsidRDefault="00070E0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3CD5" w14:textId="2F046601" w:rsidR="00ED7560" w:rsidRDefault="00ED7560" w:rsidP="00A6440F">
    <w:pPr>
      <w:pStyle w:val="Footer"/>
      <w:tabs>
        <w:tab w:val="right" w:pos="9638"/>
      </w:tabs>
    </w:pPr>
    <w:r>
      <w:fldChar w:fldCharType="begin"/>
    </w:r>
    <w:r>
      <w:instrText xml:space="preserve"> PAGE  \* MERGEFORMAT </w:instrText>
    </w:r>
    <w:r>
      <w:fldChar w:fldCharType="separate"/>
    </w:r>
    <w:r w:rsidR="00B02374" w:rsidRPr="00B02374">
      <w:rPr>
        <w:b/>
        <w:bCs/>
        <w:noProof/>
        <w:sz w:val="18"/>
      </w:rPr>
      <w:t>10</w:t>
    </w:r>
    <w:r>
      <w:rPr>
        <w:b/>
        <w:bCs/>
        <w:noProof/>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EF8B" w14:textId="47B02712" w:rsidR="00ED7560" w:rsidRDefault="00ED7560" w:rsidP="00077CEB">
    <w:pPr>
      <w:pStyle w:val="Footer"/>
      <w:tabs>
        <w:tab w:val="right" w:pos="9638"/>
      </w:tabs>
    </w:pPr>
    <w:r>
      <w:tab/>
    </w:r>
    <w:r>
      <w:fldChar w:fldCharType="begin"/>
    </w:r>
    <w:r>
      <w:instrText xml:space="preserve"> PAGE  \* MERGEFORMAT </w:instrText>
    </w:r>
    <w:r>
      <w:fldChar w:fldCharType="separate"/>
    </w:r>
    <w:r w:rsidR="00B02374" w:rsidRPr="00B02374">
      <w:rPr>
        <w:b/>
        <w:bCs/>
        <w:noProof/>
        <w:sz w:val="18"/>
      </w:rPr>
      <w:t>9</w:t>
    </w:r>
    <w:r>
      <w:rPr>
        <w:b/>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66CAB" w14:textId="77777777" w:rsidR="00070E02" w:rsidRPr="00C47B2E" w:rsidRDefault="00070E02" w:rsidP="00C47B2E">
      <w:pPr>
        <w:tabs>
          <w:tab w:val="right" w:pos="2155"/>
        </w:tabs>
        <w:spacing w:after="80" w:line="240" w:lineRule="auto"/>
        <w:ind w:left="680"/>
      </w:pPr>
      <w:r>
        <w:rPr>
          <w:u w:val="single"/>
        </w:rPr>
        <w:tab/>
      </w:r>
    </w:p>
  </w:footnote>
  <w:footnote w:type="continuationSeparator" w:id="0">
    <w:p w14:paraId="72515C44" w14:textId="77777777" w:rsidR="00070E02" w:rsidRPr="00C47B2E" w:rsidRDefault="00070E02" w:rsidP="005E716E">
      <w:pPr>
        <w:tabs>
          <w:tab w:val="right" w:pos="2155"/>
        </w:tabs>
        <w:spacing w:after="80" w:line="240" w:lineRule="auto"/>
        <w:ind w:left="680"/>
      </w:pPr>
      <w:r>
        <w:rPr>
          <w:u w:val="single"/>
        </w:rPr>
        <w:tab/>
      </w:r>
    </w:p>
  </w:footnote>
  <w:footnote w:type="continuationNotice" w:id="1">
    <w:p w14:paraId="58F6D422" w14:textId="77777777" w:rsidR="00070E02" w:rsidRPr="00C47B2E" w:rsidRDefault="00070E02" w:rsidP="00C47B2E">
      <w:pPr>
        <w:pStyle w:val="Footer"/>
      </w:pPr>
    </w:p>
  </w:footnote>
  <w:footnote w:id="2">
    <w:p w14:paraId="46A1484F" w14:textId="4338AE1E" w:rsidR="00ED7560" w:rsidRPr="00F142D4" w:rsidRDefault="00ED7560" w:rsidP="003C526E">
      <w:pPr>
        <w:pStyle w:val="FootnoteText"/>
        <w:tabs>
          <w:tab w:val="clear" w:pos="1021"/>
        </w:tabs>
        <w:ind w:left="709" w:firstLine="0"/>
        <w:jc w:val="both"/>
        <w:rPr>
          <w:sz w:val="16"/>
          <w:szCs w:val="16"/>
          <w:lang w:val="uz-Cyrl-UZ"/>
        </w:rPr>
      </w:pPr>
      <w:r w:rsidRPr="00F142D4">
        <w:rPr>
          <w:rStyle w:val="FootnoteReference"/>
          <w:sz w:val="16"/>
          <w:szCs w:val="16"/>
        </w:rPr>
        <w:footnoteRef/>
      </w:r>
      <w:r w:rsidRPr="00F142D4">
        <w:rPr>
          <w:sz w:val="16"/>
          <w:szCs w:val="16"/>
          <w:lang w:val="uz-Cyrl-UZ"/>
        </w:rPr>
        <w:t xml:space="preserve"> Ley Especial para la Selección y Nombramiento de Autoridades Electorales y Atribuciones, Competencias y Prohibiciones, </w:t>
      </w:r>
      <w:r w:rsidRPr="004F6A42">
        <w:rPr>
          <w:sz w:val="16"/>
          <w:szCs w:val="16"/>
          <w:lang w:val="es-HN"/>
        </w:rPr>
        <w:t>D</w:t>
      </w:r>
      <w:r w:rsidRPr="00F142D4">
        <w:rPr>
          <w:sz w:val="16"/>
          <w:szCs w:val="16"/>
          <w:lang w:val="es-ES"/>
        </w:rPr>
        <w:t>ecre</w:t>
      </w:r>
      <w:r>
        <w:rPr>
          <w:sz w:val="16"/>
          <w:szCs w:val="16"/>
          <w:lang w:val="es-ES"/>
        </w:rPr>
        <w:t>to</w:t>
      </w:r>
      <w:r w:rsidRPr="00F142D4">
        <w:rPr>
          <w:sz w:val="16"/>
          <w:szCs w:val="16"/>
          <w:lang w:val="uz-Cyrl-UZ"/>
        </w:rPr>
        <w:t xml:space="preserve"> 71/2019.</w:t>
      </w:r>
    </w:p>
  </w:footnote>
  <w:footnote w:id="3">
    <w:p w14:paraId="018A7CD2" w14:textId="5A938FF1" w:rsidR="00ED7560" w:rsidRPr="004F6A42" w:rsidRDefault="00ED7560" w:rsidP="003C526E">
      <w:pPr>
        <w:pStyle w:val="FootnoteText"/>
        <w:tabs>
          <w:tab w:val="clear" w:pos="1021"/>
        </w:tabs>
        <w:ind w:left="709" w:firstLine="0"/>
        <w:jc w:val="both"/>
        <w:rPr>
          <w:lang w:val="es-HN"/>
        </w:rPr>
      </w:pPr>
      <w:r w:rsidRPr="00F142D4">
        <w:rPr>
          <w:rStyle w:val="FootnoteReference"/>
          <w:sz w:val="16"/>
          <w:szCs w:val="16"/>
        </w:rPr>
        <w:footnoteRef/>
      </w:r>
      <w:r w:rsidRPr="00F142D4">
        <w:rPr>
          <w:sz w:val="16"/>
          <w:szCs w:val="16"/>
          <w:lang w:val="uz-Cyrl-UZ"/>
        </w:rPr>
        <w:t xml:space="preserve"> </w:t>
      </w:r>
      <w:r w:rsidRPr="004F6A42">
        <w:rPr>
          <w:sz w:val="16"/>
          <w:szCs w:val="16"/>
          <w:lang w:val="es-HN"/>
        </w:rPr>
        <w:t xml:space="preserve">Ver </w:t>
      </w:r>
      <w:hyperlink r:id="rId1" w:history="1">
        <w:r w:rsidRPr="004F6A42">
          <w:rPr>
            <w:rStyle w:val="Hyperlink"/>
            <w:sz w:val="16"/>
            <w:szCs w:val="16"/>
            <w:lang w:val="uz-Cyrl-UZ"/>
          </w:rPr>
          <w:t>http://asjhonduras.com/webhn/tag/seleccion-de-autoridades-electorales/</w:t>
        </w:r>
      </w:hyperlink>
      <w:r w:rsidRPr="004F6A42">
        <w:rPr>
          <w:rStyle w:val="Hyperlink"/>
          <w:color w:val="auto"/>
          <w:sz w:val="16"/>
          <w:szCs w:val="16"/>
          <w:lang w:val="es-HN"/>
        </w:rPr>
        <w:t xml:space="preserve">  .</w:t>
      </w:r>
    </w:p>
  </w:footnote>
  <w:footnote w:id="4">
    <w:p w14:paraId="39804C8B" w14:textId="4D6F0B83" w:rsidR="00ED7560" w:rsidRPr="004F6A42" w:rsidRDefault="00ED7560" w:rsidP="003C526E">
      <w:pPr>
        <w:pStyle w:val="FootnoteText"/>
        <w:ind w:hanging="425"/>
        <w:rPr>
          <w:sz w:val="16"/>
          <w:szCs w:val="16"/>
          <w:lang w:val="es-HN"/>
        </w:rPr>
      </w:pPr>
      <w:r w:rsidRPr="000A6AD0">
        <w:rPr>
          <w:rStyle w:val="FootnoteReference"/>
          <w:sz w:val="16"/>
          <w:szCs w:val="16"/>
        </w:rPr>
        <w:footnoteRef/>
      </w:r>
      <w:r w:rsidRPr="000A6AD0">
        <w:rPr>
          <w:sz w:val="16"/>
          <w:szCs w:val="16"/>
          <w:lang w:val="uz-Cyrl-UZ"/>
        </w:rPr>
        <w:t xml:space="preserve"> Decr</w:t>
      </w:r>
      <w:r w:rsidRPr="004F6A42">
        <w:rPr>
          <w:sz w:val="16"/>
          <w:szCs w:val="16"/>
          <w:lang w:val="es-HN"/>
        </w:rPr>
        <w:t>eto</w:t>
      </w:r>
      <w:r w:rsidRPr="000A6AD0">
        <w:rPr>
          <w:sz w:val="16"/>
          <w:szCs w:val="16"/>
          <w:lang w:val="uz-Cyrl-UZ"/>
        </w:rPr>
        <w:t xml:space="preserve"> 130</w:t>
      </w:r>
      <w:r w:rsidRPr="004F6A42">
        <w:rPr>
          <w:sz w:val="16"/>
          <w:szCs w:val="16"/>
          <w:lang w:val="es-HN"/>
        </w:rPr>
        <w:t xml:space="preserve"> </w:t>
      </w:r>
      <w:r w:rsidRPr="000A6AD0">
        <w:rPr>
          <w:sz w:val="16"/>
          <w:szCs w:val="16"/>
          <w:lang w:val="uz-Cyrl-UZ"/>
        </w:rPr>
        <w:t>-</w:t>
      </w:r>
      <w:r w:rsidRPr="004F6A42">
        <w:rPr>
          <w:sz w:val="16"/>
          <w:szCs w:val="16"/>
          <w:lang w:val="es-HN"/>
        </w:rPr>
        <w:t xml:space="preserve"> </w:t>
      </w:r>
      <w:r w:rsidRPr="000A6AD0">
        <w:rPr>
          <w:sz w:val="16"/>
          <w:szCs w:val="16"/>
          <w:lang w:val="uz-Cyrl-UZ"/>
        </w:rPr>
        <w:t>2017</w:t>
      </w:r>
      <w:r w:rsidRPr="004F6A42">
        <w:rPr>
          <w:sz w:val="16"/>
          <w:szCs w:val="16"/>
          <w:lang w:val="es-HN"/>
        </w:rPr>
        <w:t>.</w:t>
      </w:r>
    </w:p>
  </w:footnote>
  <w:footnote w:id="5">
    <w:p w14:paraId="3D0A00EA" w14:textId="3DFE478F" w:rsidR="00ED7560" w:rsidRPr="004F6A42" w:rsidRDefault="00ED7560" w:rsidP="003C526E">
      <w:pPr>
        <w:pStyle w:val="FootnoteText"/>
        <w:ind w:hanging="425"/>
        <w:rPr>
          <w:sz w:val="16"/>
          <w:szCs w:val="16"/>
          <w:lang w:val="es-HN"/>
        </w:rPr>
      </w:pPr>
      <w:r w:rsidRPr="000A6AD0">
        <w:rPr>
          <w:rStyle w:val="FootnoteReference"/>
          <w:sz w:val="16"/>
          <w:szCs w:val="16"/>
        </w:rPr>
        <w:footnoteRef/>
      </w:r>
      <w:r w:rsidRPr="000A6AD0">
        <w:rPr>
          <w:sz w:val="16"/>
          <w:szCs w:val="16"/>
          <w:lang w:val="uz-Cyrl-UZ"/>
        </w:rPr>
        <w:t xml:space="preserve"> </w:t>
      </w:r>
      <w:r w:rsidRPr="004F6A42">
        <w:rPr>
          <w:sz w:val="16"/>
          <w:szCs w:val="16"/>
          <w:lang w:val="es-HN"/>
        </w:rPr>
        <w:t xml:space="preserve">Ver </w:t>
      </w:r>
      <w:hyperlink r:id="rId2" w:history="1">
        <w:r w:rsidRPr="00B32408">
          <w:rPr>
            <w:rStyle w:val="Hyperlink"/>
            <w:sz w:val="16"/>
            <w:szCs w:val="16"/>
            <w:lang w:val="uz-Cyrl-UZ"/>
          </w:rPr>
          <w:t>https://oacnudh.hn/publicaciones/</w:t>
        </w:r>
      </w:hyperlink>
      <w:r w:rsidRPr="004F6A42">
        <w:rPr>
          <w:sz w:val="16"/>
          <w:szCs w:val="16"/>
          <w:lang w:val="es-HN"/>
        </w:rPr>
        <w:t>.</w:t>
      </w:r>
    </w:p>
  </w:footnote>
  <w:footnote w:id="6">
    <w:p w14:paraId="14E9D9D0" w14:textId="3AC4F737" w:rsidR="00ED7560" w:rsidRPr="004F6A42" w:rsidRDefault="00ED7560" w:rsidP="003C526E">
      <w:pPr>
        <w:pStyle w:val="FootnoteText"/>
        <w:tabs>
          <w:tab w:val="clear" w:pos="1021"/>
          <w:tab w:val="right" w:pos="851"/>
        </w:tabs>
        <w:ind w:left="851" w:hanging="142"/>
        <w:rPr>
          <w:sz w:val="16"/>
          <w:szCs w:val="16"/>
          <w:lang w:val="es-HN"/>
        </w:rPr>
      </w:pPr>
      <w:r w:rsidRPr="000A6AD0">
        <w:rPr>
          <w:rStyle w:val="FootnoteReference"/>
          <w:sz w:val="16"/>
          <w:szCs w:val="16"/>
        </w:rPr>
        <w:footnoteRef/>
      </w:r>
      <w:r w:rsidRPr="000A6AD0">
        <w:rPr>
          <w:sz w:val="16"/>
          <w:szCs w:val="16"/>
          <w:lang w:val="uz-Cyrl-UZ"/>
        </w:rPr>
        <w:t xml:space="preserve"> </w:t>
      </w:r>
      <w:r w:rsidRPr="004F6A42">
        <w:rPr>
          <w:sz w:val="16"/>
          <w:szCs w:val="16"/>
          <w:lang w:val="es-HN"/>
        </w:rPr>
        <w:t xml:space="preserve">Ver </w:t>
      </w:r>
      <w:hyperlink r:id="rId3" w:history="1">
        <w:r w:rsidRPr="00CB1B5F">
          <w:rPr>
            <w:rStyle w:val="Hyperlink"/>
            <w:sz w:val="16"/>
            <w:szCs w:val="16"/>
            <w:lang w:val="uz-Cyrl-UZ"/>
          </w:rPr>
          <w:t>http://www.oas.org/es/sap/dsdme/maccih/new/docs/Analis-Juridico-Del-Nuevo-Codigo-Penal-MACCIH2019.pdf</w:t>
        </w:r>
      </w:hyperlink>
      <w:r w:rsidRPr="004F6A42">
        <w:rPr>
          <w:sz w:val="16"/>
          <w:szCs w:val="16"/>
          <w:lang w:val="es-HN"/>
        </w:rPr>
        <w:t xml:space="preserve"> </w:t>
      </w:r>
      <w:r>
        <w:rPr>
          <w:sz w:val="16"/>
          <w:szCs w:val="16"/>
          <w:lang w:val="es-HN"/>
        </w:rPr>
        <w:t>.</w:t>
      </w:r>
    </w:p>
  </w:footnote>
  <w:footnote w:id="7">
    <w:p w14:paraId="12E07F38" w14:textId="42E39B49" w:rsidR="00ED7560" w:rsidRPr="004F6A42" w:rsidRDefault="00ED7560" w:rsidP="00507878">
      <w:pPr>
        <w:pStyle w:val="FootnoteText"/>
        <w:ind w:hanging="425"/>
        <w:rPr>
          <w:sz w:val="16"/>
          <w:szCs w:val="16"/>
          <w:lang w:val="es-HN"/>
        </w:rPr>
      </w:pPr>
      <w:r w:rsidRPr="000A6AD0">
        <w:rPr>
          <w:rStyle w:val="FootnoteReference"/>
          <w:sz w:val="16"/>
          <w:szCs w:val="16"/>
        </w:rPr>
        <w:footnoteRef/>
      </w:r>
      <w:r w:rsidRPr="000A6AD0">
        <w:rPr>
          <w:sz w:val="16"/>
          <w:szCs w:val="16"/>
          <w:lang w:val="uz-Cyrl-UZ"/>
        </w:rPr>
        <w:t xml:space="preserve"> </w:t>
      </w:r>
      <w:r w:rsidRPr="004F6A42">
        <w:rPr>
          <w:sz w:val="16"/>
          <w:szCs w:val="16"/>
          <w:lang w:val="es-HN"/>
        </w:rPr>
        <w:t xml:space="preserve">Ver </w:t>
      </w:r>
      <w:hyperlink r:id="rId4" w:history="1">
        <w:r w:rsidRPr="00CB1B5F">
          <w:rPr>
            <w:rStyle w:val="Hyperlink"/>
            <w:sz w:val="16"/>
            <w:szCs w:val="16"/>
            <w:lang w:val="uz-Cyrl-UZ"/>
          </w:rPr>
          <w:t>https://twitter.com/cemh_h/status/1161799046115287041/photo/1</w:t>
        </w:r>
      </w:hyperlink>
      <w:r w:rsidRPr="004F6A42">
        <w:rPr>
          <w:sz w:val="16"/>
          <w:szCs w:val="16"/>
          <w:lang w:val="es-HN"/>
        </w:rPr>
        <w:t xml:space="preserve"> </w:t>
      </w:r>
      <w:r>
        <w:rPr>
          <w:sz w:val="16"/>
          <w:szCs w:val="16"/>
          <w:lang w:val="es-HN"/>
        </w:rPr>
        <w:t>.</w:t>
      </w:r>
    </w:p>
  </w:footnote>
  <w:footnote w:id="8">
    <w:p w14:paraId="4870AA15" w14:textId="6697BF2C" w:rsidR="00ED7560" w:rsidRPr="004F6A42" w:rsidRDefault="00ED7560" w:rsidP="00375207">
      <w:pPr>
        <w:pStyle w:val="FootnoteText"/>
        <w:tabs>
          <w:tab w:val="clear" w:pos="1021"/>
          <w:tab w:val="right" w:pos="709"/>
        </w:tabs>
        <w:ind w:left="709" w:hanging="567"/>
        <w:rPr>
          <w:sz w:val="16"/>
          <w:szCs w:val="16"/>
          <w:lang w:val="es-HN"/>
        </w:rPr>
      </w:pPr>
      <w:r w:rsidRPr="000A6AD0">
        <w:rPr>
          <w:sz w:val="16"/>
          <w:szCs w:val="16"/>
          <w:lang w:val="uz-Cyrl-UZ"/>
        </w:rPr>
        <w:t xml:space="preserve">              </w:t>
      </w:r>
      <w:r w:rsidRPr="000A6AD0">
        <w:rPr>
          <w:rStyle w:val="FootnoteReference"/>
          <w:sz w:val="16"/>
          <w:szCs w:val="16"/>
        </w:rPr>
        <w:footnoteRef/>
      </w:r>
      <w:r w:rsidRPr="000A6AD0">
        <w:rPr>
          <w:sz w:val="16"/>
          <w:szCs w:val="16"/>
          <w:lang w:val="uz-Cyrl-UZ"/>
        </w:rPr>
        <w:t xml:space="preserve"> </w:t>
      </w:r>
      <w:r w:rsidRPr="004F6A42">
        <w:rPr>
          <w:sz w:val="16"/>
          <w:szCs w:val="16"/>
          <w:lang w:val="es-HN"/>
        </w:rPr>
        <w:t xml:space="preserve">Ver </w:t>
      </w:r>
      <w:hyperlink r:id="rId5" w:history="1">
        <w:r w:rsidRPr="00CB1B5F">
          <w:rPr>
            <w:rStyle w:val="Hyperlink"/>
            <w:sz w:val="16"/>
            <w:szCs w:val="16"/>
            <w:lang w:val="uz-Cyrl-UZ"/>
          </w:rPr>
          <w:t>https://www.cna.hn/2019/09/05/nuevo-codigo-penal-permite-que-el-robo-de-un-celular-sea-mas-grave-que-robarse-el-presupuesto-de-una-secretaria/</w:t>
        </w:r>
      </w:hyperlink>
      <w:r w:rsidRPr="004F6A42">
        <w:rPr>
          <w:sz w:val="16"/>
          <w:szCs w:val="16"/>
          <w:lang w:val="es-HN"/>
        </w:rPr>
        <w:t xml:space="preserve"> </w:t>
      </w:r>
      <w:r w:rsidRPr="000A6AD0">
        <w:rPr>
          <w:sz w:val="16"/>
          <w:szCs w:val="16"/>
          <w:lang w:val="uz-Cyrl-UZ"/>
        </w:rPr>
        <w:t xml:space="preserve">; </w:t>
      </w:r>
      <w:hyperlink r:id="rId6" w:history="1">
        <w:r w:rsidRPr="00CB1B5F">
          <w:rPr>
            <w:rStyle w:val="Hyperlink"/>
            <w:sz w:val="16"/>
            <w:szCs w:val="16"/>
            <w:lang w:val="uz-Cyrl-UZ"/>
          </w:rPr>
          <w:t>https://juecesporlademocracia.org/asociacion-de-jueces-por-la-democracia-presento-propuesta-de-ampliacion-de-vacatio-legis-y-reformas-al-nuevo-codigo-penal/</w:t>
        </w:r>
      </w:hyperlink>
      <w:r w:rsidRPr="004F6A42">
        <w:rPr>
          <w:sz w:val="16"/>
          <w:szCs w:val="16"/>
          <w:lang w:val="es-HN"/>
        </w:rPr>
        <w:t xml:space="preserve"> </w:t>
      </w:r>
      <w:r w:rsidRPr="000A6AD0">
        <w:rPr>
          <w:sz w:val="16"/>
          <w:szCs w:val="16"/>
          <w:lang w:val="uz-Cyrl-UZ"/>
        </w:rPr>
        <w:t xml:space="preserve">; </w:t>
      </w:r>
      <w:r w:rsidRPr="004F6A42">
        <w:rPr>
          <w:sz w:val="16"/>
          <w:szCs w:val="16"/>
          <w:lang w:val="es-HN"/>
        </w:rPr>
        <w:t xml:space="preserve">y </w:t>
      </w:r>
      <w:hyperlink r:id="rId7" w:history="1">
        <w:r w:rsidRPr="004F6A42">
          <w:rPr>
            <w:rStyle w:val="Hyperlink"/>
            <w:sz w:val="16"/>
            <w:szCs w:val="16"/>
            <w:lang w:val="uz-Cyrl-UZ"/>
          </w:rPr>
          <w:t>https://www.cejil.org/es/cejil-nuevo-codigopenal-honduras-facilitaria-criminalizacion-defensa-derechos-humanos</w:t>
        </w:r>
      </w:hyperlink>
      <w:r w:rsidRPr="004F6A42">
        <w:rPr>
          <w:rStyle w:val="Hyperlink"/>
          <w:color w:val="auto"/>
          <w:sz w:val="16"/>
          <w:szCs w:val="16"/>
          <w:lang w:val="es-HN"/>
        </w:rPr>
        <w:t xml:space="preserve"> .</w:t>
      </w:r>
    </w:p>
  </w:footnote>
  <w:footnote w:id="9">
    <w:p w14:paraId="76079154" w14:textId="507C156F" w:rsidR="00ED7560" w:rsidRPr="00400EA2" w:rsidRDefault="00ED7560" w:rsidP="00BE1420">
      <w:pPr>
        <w:pStyle w:val="FootnoteText"/>
        <w:tabs>
          <w:tab w:val="clear" w:pos="1021"/>
          <w:tab w:val="right" w:pos="709"/>
        </w:tabs>
        <w:ind w:left="709" w:firstLine="0"/>
        <w:rPr>
          <w:lang w:val="es-419"/>
        </w:rPr>
      </w:pPr>
      <w:r w:rsidRPr="00E53064">
        <w:rPr>
          <w:rStyle w:val="FootnoteReference"/>
          <w:sz w:val="16"/>
          <w:szCs w:val="16"/>
        </w:rPr>
        <w:footnoteRef/>
      </w:r>
      <w:r w:rsidRPr="00E53064">
        <w:rPr>
          <w:sz w:val="16"/>
          <w:szCs w:val="16"/>
          <w:lang w:val="es-419"/>
        </w:rPr>
        <w:t xml:space="preserve"> http://congresonacional.hn/index.php/2019/11/05/por-unanimidad-congreso-nacional-amplia-vacatio-legis-del-nuevo-codigo-penal-por-6-meses-mas/</w:t>
      </w:r>
    </w:p>
  </w:footnote>
  <w:footnote w:id="10">
    <w:p w14:paraId="573FA6E6" w14:textId="668DEEAC" w:rsidR="00ED7560" w:rsidRPr="004F6A42" w:rsidRDefault="00ED7560" w:rsidP="009B791B">
      <w:pPr>
        <w:pStyle w:val="FootnoteText"/>
        <w:ind w:hanging="425"/>
        <w:rPr>
          <w:sz w:val="16"/>
          <w:szCs w:val="16"/>
          <w:lang w:val="es-HN"/>
        </w:rPr>
      </w:pPr>
      <w:r w:rsidRPr="000A6AD0">
        <w:rPr>
          <w:rStyle w:val="FootnoteReference"/>
          <w:sz w:val="16"/>
          <w:szCs w:val="16"/>
        </w:rPr>
        <w:footnoteRef/>
      </w:r>
      <w:r w:rsidRPr="000A6AD0">
        <w:rPr>
          <w:sz w:val="16"/>
          <w:szCs w:val="16"/>
          <w:lang w:val="uz-Cyrl-UZ"/>
        </w:rPr>
        <w:t xml:space="preserve"> </w:t>
      </w:r>
      <w:r w:rsidRPr="004F6A42">
        <w:rPr>
          <w:sz w:val="16"/>
          <w:szCs w:val="16"/>
          <w:lang w:val="es-HN"/>
        </w:rPr>
        <w:t xml:space="preserve">Ver </w:t>
      </w:r>
      <w:hyperlink r:id="rId8" w:history="1">
        <w:r w:rsidRPr="00CB1B5F">
          <w:rPr>
            <w:rStyle w:val="Hyperlink"/>
            <w:sz w:val="16"/>
            <w:szCs w:val="16"/>
            <w:lang w:val="uz-Cyrl-UZ"/>
          </w:rPr>
          <w:t>https://www.oas.org/es/centro_noticias/comunicado_prensa.asp?sCodigo=C-115/19</w:t>
        </w:r>
      </w:hyperlink>
      <w:r w:rsidRPr="004F6A42">
        <w:rPr>
          <w:sz w:val="16"/>
          <w:szCs w:val="16"/>
          <w:lang w:val="es-HN"/>
        </w:rPr>
        <w:t xml:space="preserve"> .</w:t>
      </w:r>
    </w:p>
  </w:footnote>
  <w:footnote w:id="11">
    <w:p w14:paraId="3E23AA67" w14:textId="6E0A27B4" w:rsidR="00ED7560" w:rsidRPr="004F6A42" w:rsidRDefault="00ED7560" w:rsidP="003A650C">
      <w:pPr>
        <w:pStyle w:val="FootnoteText"/>
        <w:tabs>
          <w:tab w:val="clear" w:pos="1021"/>
          <w:tab w:val="right" w:pos="709"/>
        </w:tabs>
        <w:ind w:left="709" w:firstLine="0"/>
        <w:rPr>
          <w:lang w:val="es-HN"/>
        </w:rPr>
      </w:pPr>
      <w:r w:rsidRPr="000A6AD0">
        <w:rPr>
          <w:rStyle w:val="FootnoteReference"/>
          <w:sz w:val="16"/>
          <w:szCs w:val="16"/>
        </w:rPr>
        <w:footnoteRef/>
      </w:r>
      <w:r w:rsidRPr="000A6AD0">
        <w:rPr>
          <w:sz w:val="16"/>
          <w:szCs w:val="16"/>
          <w:lang w:val="uz-Cyrl-UZ"/>
        </w:rPr>
        <w:t xml:space="preserve"> </w:t>
      </w:r>
      <w:r w:rsidRPr="004F6A42">
        <w:rPr>
          <w:sz w:val="16"/>
          <w:szCs w:val="16"/>
          <w:lang w:val="es-HN"/>
        </w:rPr>
        <w:t xml:space="preserve">Ver </w:t>
      </w:r>
      <w:hyperlink r:id="rId9" w:history="1">
        <w:r w:rsidRPr="00CB1B5F">
          <w:rPr>
            <w:rStyle w:val="Hyperlink"/>
            <w:sz w:val="16"/>
            <w:szCs w:val="16"/>
            <w:lang w:val="uz-Cyrl-UZ"/>
          </w:rPr>
          <w:t>https://www.insightcrime.org/wp-content/uploads/2019/09/Tony-Hernandez-Filing.pdf</w:t>
        </w:r>
      </w:hyperlink>
      <w:r w:rsidRPr="004F6A42">
        <w:rPr>
          <w:sz w:val="16"/>
          <w:szCs w:val="16"/>
          <w:lang w:val="es-HN"/>
        </w:rPr>
        <w:t xml:space="preserve"> .</w:t>
      </w:r>
    </w:p>
  </w:footnote>
  <w:footnote w:id="12">
    <w:p w14:paraId="794D069C" w14:textId="16EF6956" w:rsidR="00ED7560" w:rsidRPr="004F6A42" w:rsidRDefault="00ED7560" w:rsidP="000A6AD0">
      <w:pPr>
        <w:pStyle w:val="FootnoteText"/>
        <w:tabs>
          <w:tab w:val="clear" w:pos="1021"/>
          <w:tab w:val="right" w:pos="709"/>
        </w:tabs>
        <w:ind w:left="709" w:firstLine="0"/>
        <w:rPr>
          <w:sz w:val="16"/>
          <w:szCs w:val="16"/>
          <w:lang w:val="es-HN"/>
        </w:rPr>
      </w:pPr>
      <w:r w:rsidRPr="004F34CA">
        <w:rPr>
          <w:rStyle w:val="FootnoteReference"/>
          <w:sz w:val="16"/>
          <w:szCs w:val="16"/>
        </w:rPr>
        <w:footnoteRef/>
      </w:r>
      <w:r>
        <w:rPr>
          <w:sz w:val="16"/>
          <w:szCs w:val="16"/>
          <w:lang w:val="uz-Cyrl-UZ"/>
        </w:rPr>
        <w:t xml:space="preserve"> Not</w:t>
      </w:r>
      <w:r>
        <w:rPr>
          <w:sz w:val="16"/>
          <w:szCs w:val="16"/>
          <w:lang w:val="es-419"/>
        </w:rPr>
        <w:t>a</w:t>
      </w:r>
      <w:r>
        <w:rPr>
          <w:sz w:val="16"/>
          <w:szCs w:val="16"/>
          <w:lang w:val="uz-Cyrl-UZ"/>
        </w:rPr>
        <w:t xml:space="preserve"> Verbal</w:t>
      </w:r>
      <w:r w:rsidRPr="004F34CA">
        <w:rPr>
          <w:sz w:val="16"/>
          <w:szCs w:val="16"/>
          <w:lang w:val="uz-Cyrl-UZ"/>
        </w:rPr>
        <w:t xml:space="preserve">  87-DSM-2019, 15 </w:t>
      </w:r>
      <w:r>
        <w:rPr>
          <w:sz w:val="16"/>
          <w:szCs w:val="16"/>
          <w:lang w:val="es-419"/>
        </w:rPr>
        <w:t>de o</w:t>
      </w:r>
      <w:r w:rsidRPr="004F34CA">
        <w:rPr>
          <w:sz w:val="16"/>
          <w:szCs w:val="16"/>
          <w:lang w:val="uz-Cyrl-UZ"/>
        </w:rPr>
        <w:t>ct</w:t>
      </w:r>
      <w:r w:rsidRPr="004F6A42">
        <w:rPr>
          <w:sz w:val="16"/>
          <w:szCs w:val="16"/>
          <w:lang w:val="es-HN"/>
        </w:rPr>
        <w:t>ubre de</w:t>
      </w:r>
      <w:r w:rsidRPr="004F34CA">
        <w:rPr>
          <w:sz w:val="16"/>
          <w:szCs w:val="16"/>
          <w:lang w:val="uz-Cyrl-UZ"/>
        </w:rPr>
        <w:t xml:space="preserve"> 2019</w:t>
      </w:r>
      <w:r w:rsidRPr="004F6A42">
        <w:rPr>
          <w:sz w:val="16"/>
          <w:szCs w:val="16"/>
          <w:lang w:val="es-HN"/>
        </w:rPr>
        <w:t xml:space="preserve"> .</w:t>
      </w:r>
    </w:p>
  </w:footnote>
  <w:footnote w:id="13">
    <w:p w14:paraId="6FD27878" w14:textId="5DD78F26" w:rsidR="00ED7560" w:rsidRPr="004F34CA" w:rsidRDefault="00ED7560" w:rsidP="000A6AD0">
      <w:pPr>
        <w:pStyle w:val="FootnoteText"/>
        <w:tabs>
          <w:tab w:val="clear" w:pos="1021"/>
        </w:tabs>
        <w:ind w:left="709" w:firstLine="0"/>
        <w:rPr>
          <w:sz w:val="16"/>
          <w:szCs w:val="16"/>
          <w:lang w:val="uz-Cyrl-UZ"/>
        </w:rPr>
      </w:pPr>
      <w:r w:rsidRPr="004F34CA">
        <w:rPr>
          <w:rStyle w:val="FootnoteReference"/>
          <w:sz w:val="16"/>
          <w:szCs w:val="16"/>
        </w:rPr>
        <w:footnoteRef/>
      </w:r>
      <w:r w:rsidRPr="004F34CA">
        <w:rPr>
          <w:sz w:val="16"/>
          <w:szCs w:val="16"/>
          <w:lang w:val="uz-Cyrl-UZ"/>
        </w:rPr>
        <w:t xml:space="preserve"> </w:t>
      </w:r>
      <w:r w:rsidRPr="004F6A42">
        <w:rPr>
          <w:sz w:val="16"/>
          <w:szCs w:val="16"/>
          <w:lang w:val="es-HN"/>
        </w:rPr>
        <w:t xml:space="preserve">Ver </w:t>
      </w:r>
      <w:hyperlink r:id="rId10" w:history="1">
        <w:r w:rsidRPr="004F6A42">
          <w:rPr>
            <w:rStyle w:val="Hyperlink"/>
            <w:sz w:val="16"/>
            <w:szCs w:val="16"/>
            <w:lang w:val="uz-Cyrl-UZ"/>
          </w:rPr>
          <w:t>https://databank.worldbank.org/data/download/poverty/33EF03BB-9722-4AE2-ABC7-AA2972D68AFE/Global_POVEQ_HND.pdf</w:t>
        </w:r>
      </w:hyperlink>
      <w:r w:rsidR="00580745">
        <w:rPr>
          <w:sz w:val="16"/>
          <w:szCs w:val="16"/>
          <w:lang w:val="es-HN"/>
        </w:rPr>
        <w:t xml:space="preserve"> </w:t>
      </w:r>
    </w:p>
  </w:footnote>
  <w:footnote w:id="14">
    <w:p w14:paraId="78649751" w14:textId="2A73EB16" w:rsidR="00ED7560" w:rsidRPr="004F6A42" w:rsidRDefault="00ED7560">
      <w:pPr>
        <w:pStyle w:val="FootnoteText"/>
        <w:tabs>
          <w:tab w:val="clear" w:pos="1021"/>
        </w:tabs>
        <w:ind w:left="709" w:firstLine="0"/>
        <w:rPr>
          <w:sz w:val="16"/>
          <w:szCs w:val="16"/>
          <w:lang w:val="uz-Cyrl-UZ"/>
        </w:rPr>
      </w:pPr>
      <w:r w:rsidRPr="004F34CA">
        <w:rPr>
          <w:rStyle w:val="FootnoteReference"/>
          <w:sz w:val="16"/>
          <w:szCs w:val="16"/>
        </w:rPr>
        <w:footnoteRef/>
      </w:r>
      <w:r w:rsidRPr="004F34CA">
        <w:rPr>
          <w:sz w:val="16"/>
          <w:szCs w:val="16"/>
          <w:lang w:val="uz-Cyrl-UZ"/>
        </w:rPr>
        <w:t xml:space="preserve"> </w:t>
      </w:r>
      <w:r w:rsidRPr="004F6A42">
        <w:rPr>
          <w:sz w:val="16"/>
          <w:szCs w:val="16"/>
          <w:lang w:val="es-HN"/>
        </w:rPr>
        <w:t xml:space="preserve">Ver </w:t>
      </w:r>
      <w:hyperlink r:id="rId11" w:history="1">
        <w:r w:rsidRPr="004F34CA">
          <w:rPr>
            <w:rStyle w:val="Hyperlink"/>
            <w:color w:val="auto"/>
            <w:sz w:val="16"/>
            <w:szCs w:val="16"/>
            <w:lang w:val="uz-Cyrl-UZ"/>
          </w:rPr>
          <w:t>http://ipm.scgg.gob.hn/index.php/2019/07/31/serie-ipm-2012-2018/</w:t>
        </w:r>
      </w:hyperlink>
      <w:r w:rsidRPr="004F6A42">
        <w:rPr>
          <w:rStyle w:val="Hyperlink"/>
          <w:color w:val="auto"/>
          <w:sz w:val="16"/>
          <w:szCs w:val="16"/>
          <w:lang w:val="es-HN"/>
        </w:rPr>
        <w:t xml:space="preserve"> </w:t>
      </w:r>
      <w:r>
        <w:rPr>
          <w:rStyle w:val="Hyperlink"/>
          <w:color w:val="auto"/>
          <w:sz w:val="16"/>
          <w:szCs w:val="16"/>
          <w:lang w:val="es-HN"/>
        </w:rPr>
        <w:t xml:space="preserve">    </w:t>
      </w:r>
    </w:p>
  </w:footnote>
  <w:footnote w:id="15">
    <w:p w14:paraId="2FACDF64" w14:textId="4E0D1F7F" w:rsidR="00ED7560" w:rsidRPr="00400EA2" w:rsidRDefault="00ED7560" w:rsidP="00F22970">
      <w:pPr>
        <w:pStyle w:val="FootnoteText"/>
        <w:ind w:hanging="425"/>
        <w:rPr>
          <w:sz w:val="16"/>
          <w:szCs w:val="16"/>
          <w:lang w:val="uz-Cyrl-UZ"/>
        </w:rPr>
      </w:pPr>
      <w:r w:rsidRPr="00400EA2">
        <w:rPr>
          <w:rStyle w:val="FootnoteReference"/>
          <w:sz w:val="16"/>
          <w:szCs w:val="16"/>
        </w:rPr>
        <w:footnoteRef/>
      </w:r>
      <w:r w:rsidRPr="00400EA2">
        <w:rPr>
          <w:sz w:val="16"/>
          <w:szCs w:val="16"/>
          <w:lang w:val="uz-Cyrl-UZ"/>
        </w:rPr>
        <w:t xml:space="preserve"> https://www.laprensa.hn/honduras/1335698-410/impagable-mora-6766-millones-lempiras-arrastra-seguro-social-honduras</w:t>
      </w:r>
    </w:p>
  </w:footnote>
  <w:footnote w:id="16">
    <w:p w14:paraId="0176DA51" w14:textId="23E366D2" w:rsidR="00ED7560" w:rsidRPr="00400EA2" w:rsidRDefault="00ED7560" w:rsidP="00800F8E">
      <w:pPr>
        <w:pStyle w:val="FootnoteText"/>
        <w:ind w:hanging="425"/>
        <w:rPr>
          <w:sz w:val="16"/>
          <w:szCs w:val="16"/>
          <w:lang w:val="es-419"/>
        </w:rPr>
      </w:pPr>
      <w:r w:rsidRPr="00400EA2">
        <w:rPr>
          <w:rStyle w:val="FootnoteReference"/>
          <w:sz w:val="16"/>
          <w:szCs w:val="16"/>
        </w:rPr>
        <w:footnoteRef/>
      </w:r>
      <w:r w:rsidRPr="00400EA2">
        <w:rPr>
          <w:sz w:val="16"/>
          <w:szCs w:val="16"/>
          <w:lang w:val="es-419"/>
        </w:rPr>
        <w:t xml:space="preserve"> </w:t>
      </w:r>
      <w:r w:rsidRPr="00800F8E">
        <w:rPr>
          <w:sz w:val="16"/>
          <w:szCs w:val="16"/>
          <w:lang w:val="es-419"/>
        </w:rPr>
        <w:t>INE, Encuesta Permanente de Hogares de Propósitos Múltiples, 2019, Cuadros de Mercado Labora</w:t>
      </w:r>
      <w:r w:rsidRPr="00AF15FF">
        <w:rPr>
          <w:sz w:val="16"/>
          <w:szCs w:val="16"/>
          <w:lang w:val="es-419"/>
        </w:rPr>
        <w:t>l, disponible en: https://www.ine.gob.hn/V3/ephpm/</w:t>
      </w:r>
    </w:p>
  </w:footnote>
  <w:footnote w:id="17">
    <w:p w14:paraId="1E1164BA" w14:textId="13560013" w:rsidR="00ED7560" w:rsidRPr="004F34CA" w:rsidRDefault="00ED7560" w:rsidP="000A6AD0">
      <w:pPr>
        <w:pStyle w:val="FootnoteText"/>
        <w:tabs>
          <w:tab w:val="clear" w:pos="1021"/>
          <w:tab w:val="right" w:pos="567"/>
        </w:tabs>
        <w:ind w:left="709" w:firstLine="0"/>
        <w:rPr>
          <w:sz w:val="16"/>
          <w:szCs w:val="16"/>
          <w:lang w:val="uz-Cyrl-UZ"/>
        </w:rPr>
      </w:pPr>
      <w:r w:rsidRPr="004F34CA">
        <w:rPr>
          <w:rStyle w:val="FootnoteReference"/>
          <w:sz w:val="16"/>
          <w:szCs w:val="16"/>
        </w:rPr>
        <w:footnoteRef/>
      </w:r>
      <w:r w:rsidRPr="004F34CA">
        <w:rPr>
          <w:sz w:val="16"/>
          <w:szCs w:val="16"/>
          <w:lang w:val="uz-Cyrl-UZ"/>
        </w:rPr>
        <w:t xml:space="preserve"> </w:t>
      </w:r>
      <w:r>
        <w:rPr>
          <w:sz w:val="16"/>
          <w:szCs w:val="16"/>
          <w:lang w:val="en-US"/>
        </w:rPr>
        <w:t>Ver</w:t>
      </w:r>
      <w:r>
        <w:rPr>
          <w:sz w:val="16"/>
          <w:szCs w:val="16"/>
        </w:rPr>
        <w:t xml:space="preserve"> </w:t>
      </w:r>
      <w:hyperlink r:id="rId12" w:history="1">
        <w:r w:rsidRPr="004F34CA">
          <w:rPr>
            <w:rStyle w:val="Hyperlink"/>
            <w:color w:val="auto"/>
            <w:sz w:val="16"/>
            <w:szCs w:val="16"/>
            <w:lang w:val="uz-Cyrl-UZ"/>
          </w:rPr>
          <w:t>https://confidencialhn.com/banco-central-admite-retroceso-en-inversion-extranjera-por-crisis-politica-en-honduras/</w:t>
        </w:r>
      </w:hyperlink>
      <w:r>
        <w:rPr>
          <w:sz w:val="16"/>
          <w:szCs w:val="16"/>
        </w:rPr>
        <w:t xml:space="preserve"> and</w:t>
      </w:r>
      <w:r w:rsidRPr="004F34CA">
        <w:rPr>
          <w:sz w:val="16"/>
          <w:szCs w:val="16"/>
          <w:lang w:val="uz-Cyrl-UZ"/>
        </w:rPr>
        <w:t xml:space="preserve"> </w:t>
      </w:r>
      <w:hyperlink r:id="rId13" w:history="1">
        <w:r w:rsidRPr="004F6A42">
          <w:rPr>
            <w:rStyle w:val="Hyperlink"/>
            <w:sz w:val="16"/>
            <w:szCs w:val="16"/>
            <w:lang w:val="uz-Cyrl-UZ"/>
          </w:rPr>
          <w:t>https://www.elheraldo.hn/opinion/editorial/1327316-469/el-derrumbe-de-la-inversi%C3%B3n-externa</w:t>
        </w:r>
        <w:r w:rsidRPr="00B32408">
          <w:rPr>
            <w:rStyle w:val="Hyperlink"/>
            <w:sz w:val="16"/>
            <w:szCs w:val="16"/>
            <w:lang w:val="en-US"/>
          </w:rPr>
          <w:t>/</w:t>
        </w:r>
      </w:hyperlink>
      <w:r>
        <w:rPr>
          <w:rStyle w:val="Hyperlink"/>
          <w:color w:val="auto"/>
          <w:sz w:val="16"/>
          <w:szCs w:val="16"/>
          <w:lang w:val="en-US"/>
        </w:rPr>
        <w:t xml:space="preserve">   </w:t>
      </w:r>
    </w:p>
  </w:footnote>
  <w:footnote w:id="18">
    <w:p w14:paraId="1C51EBC5" w14:textId="6AE67B5A" w:rsidR="00ED7560" w:rsidRPr="004F6A42" w:rsidRDefault="00ED7560" w:rsidP="000A6AD0">
      <w:pPr>
        <w:pStyle w:val="FootnoteText"/>
        <w:tabs>
          <w:tab w:val="clear" w:pos="1021"/>
        </w:tabs>
        <w:ind w:left="709" w:firstLine="0"/>
        <w:rPr>
          <w:lang w:val="es-HN"/>
        </w:rPr>
      </w:pPr>
      <w:r w:rsidRPr="004F34CA">
        <w:rPr>
          <w:rStyle w:val="FootnoteReference"/>
          <w:sz w:val="16"/>
          <w:szCs w:val="16"/>
        </w:rPr>
        <w:footnoteRef/>
      </w:r>
      <w:r w:rsidRPr="004F6A42">
        <w:rPr>
          <w:sz w:val="16"/>
          <w:szCs w:val="16"/>
          <w:lang w:val="es-HN"/>
        </w:rPr>
        <w:t xml:space="preserve"> Versión avanzada obtenida por la Oficina del ACNUDH en Honduras, que aún no es de dominio público</w:t>
      </w:r>
      <w:r w:rsidR="00580745">
        <w:rPr>
          <w:sz w:val="16"/>
          <w:szCs w:val="16"/>
          <w:lang w:val="es-HN"/>
        </w:rPr>
        <w:t>.</w:t>
      </w:r>
    </w:p>
  </w:footnote>
  <w:footnote w:id="19">
    <w:p w14:paraId="77307212" w14:textId="0CF8FFB6" w:rsidR="00ED7560" w:rsidRPr="00FD4C58" w:rsidRDefault="00ED7560" w:rsidP="00DB45BC">
      <w:pPr>
        <w:pStyle w:val="FootnoteText"/>
        <w:ind w:hanging="425"/>
        <w:rPr>
          <w:sz w:val="16"/>
          <w:szCs w:val="16"/>
          <w:lang w:val="es-419"/>
        </w:rPr>
      </w:pPr>
      <w:r w:rsidRPr="00FD4C58">
        <w:rPr>
          <w:rStyle w:val="FootnoteReference"/>
          <w:sz w:val="16"/>
          <w:szCs w:val="16"/>
        </w:rPr>
        <w:footnoteRef/>
      </w:r>
      <w:r w:rsidRPr="00FD4C58">
        <w:rPr>
          <w:sz w:val="16"/>
          <w:szCs w:val="16"/>
          <w:lang w:val="es-419"/>
        </w:rPr>
        <w:t xml:space="preserve"> SIMOREH es un sistema de seguimiento de las recomendaciones al Estado hondureño.</w:t>
      </w:r>
    </w:p>
  </w:footnote>
  <w:footnote w:id="20">
    <w:p w14:paraId="5E281A2D" w14:textId="7E1F5A31" w:rsidR="00ED7560" w:rsidRPr="004F6A42" w:rsidRDefault="00ED7560" w:rsidP="0023460D">
      <w:pPr>
        <w:pStyle w:val="FootnoteText"/>
        <w:tabs>
          <w:tab w:val="clear" w:pos="1021"/>
        </w:tabs>
        <w:ind w:left="709" w:firstLine="0"/>
        <w:jc w:val="both"/>
        <w:rPr>
          <w:sz w:val="16"/>
          <w:szCs w:val="16"/>
          <w:lang w:val="es-HN"/>
        </w:rPr>
      </w:pPr>
      <w:r w:rsidRPr="00B24C62">
        <w:rPr>
          <w:rStyle w:val="FootnoteReference"/>
          <w:sz w:val="16"/>
          <w:szCs w:val="16"/>
        </w:rPr>
        <w:footnoteRef/>
      </w:r>
      <w:r w:rsidRPr="004F6A42">
        <w:rPr>
          <w:sz w:val="16"/>
          <w:szCs w:val="16"/>
          <w:lang w:val="es-HN"/>
        </w:rPr>
        <w:t xml:space="preserve"> Ver </w:t>
      </w:r>
      <w:hyperlink r:id="rId14" w:history="1">
        <w:r w:rsidRPr="004F6A42">
          <w:rPr>
            <w:rStyle w:val="Hyperlink"/>
            <w:sz w:val="16"/>
            <w:szCs w:val="16"/>
            <w:lang w:val="es-HN"/>
          </w:rPr>
          <w:t>https://www.ohchr.org/EN/NewsEvents/Pages/DisplayNews.aspx?NewsID=24932&amp;LangID=E/</w:t>
        </w:r>
      </w:hyperlink>
      <w:r w:rsidRPr="004F6A42">
        <w:rPr>
          <w:rStyle w:val="Hyperlink"/>
          <w:color w:val="auto"/>
          <w:sz w:val="16"/>
          <w:szCs w:val="16"/>
          <w:lang w:val="es-HN"/>
        </w:rPr>
        <w:t xml:space="preserve">  </w:t>
      </w:r>
      <w:r>
        <w:rPr>
          <w:rStyle w:val="Hyperlink"/>
          <w:rFonts w:eastAsiaTheme="minorHAnsi"/>
          <w:color w:val="auto"/>
          <w:sz w:val="16"/>
          <w:szCs w:val="16"/>
          <w:lang w:val="es-HN" w:eastAsia="en-US"/>
        </w:rPr>
        <w:t xml:space="preserve">  </w:t>
      </w:r>
      <w:r w:rsidRPr="004F6A42">
        <w:rPr>
          <w:rStyle w:val="Hyperlink"/>
          <w:color w:val="auto"/>
          <w:sz w:val="16"/>
          <w:szCs w:val="16"/>
          <w:lang w:val="es-HN"/>
        </w:rPr>
        <w:t xml:space="preserve"> </w:t>
      </w:r>
      <w:r>
        <w:rPr>
          <w:rStyle w:val="Hyperlink"/>
          <w:rFonts w:eastAsiaTheme="minorHAnsi"/>
          <w:color w:val="auto"/>
          <w:sz w:val="16"/>
          <w:szCs w:val="16"/>
          <w:lang w:val="es-HN" w:eastAsia="en-US"/>
        </w:rPr>
        <w:t xml:space="preserve"> </w:t>
      </w:r>
      <w:r w:rsidRPr="004F6A42">
        <w:rPr>
          <w:rStyle w:val="Hyperlink"/>
          <w:color w:val="auto"/>
          <w:sz w:val="16"/>
          <w:szCs w:val="16"/>
          <w:lang w:val="es-HN"/>
        </w:rPr>
        <w:t>.</w:t>
      </w:r>
    </w:p>
  </w:footnote>
  <w:footnote w:id="21">
    <w:p w14:paraId="3011F2D7" w14:textId="3CBB5909" w:rsidR="00ED7560" w:rsidRPr="004F6A42" w:rsidRDefault="00ED7560" w:rsidP="0023460D">
      <w:pPr>
        <w:pStyle w:val="FootnoteText"/>
        <w:tabs>
          <w:tab w:val="clear" w:pos="1021"/>
        </w:tabs>
        <w:ind w:left="709" w:firstLine="0"/>
        <w:jc w:val="both"/>
        <w:rPr>
          <w:sz w:val="16"/>
          <w:szCs w:val="16"/>
          <w:lang w:val="es-HN"/>
        </w:rPr>
      </w:pPr>
      <w:r w:rsidRPr="00B24C62">
        <w:rPr>
          <w:rStyle w:val="FootnoteReference"/>
          <w:sz w:val="16"/>
          <w:szCs w:val="16"/>
        </w:rPr>
        <w:footnoteRef/>
      </w:r>
      <w:r w:rsidRPr="004F6A42">
        <w:rPr>
          <w:sz w:val="16"/>
          <w:szCs w:val="16"/>
          <w:lang w:val="es-HN"/>
        </w:rPr>
        <w:t xml:space="preserve"> Esta estimación se basa en la información recopilada por la OACNUDH a través de sus misiones de </w:t>
      </w:r>
      <w:r>
        <w:rPr>
          <w:sz w:val="16"/>
          <w:szCs w:val="16"/>
          <w:lang w:val="es-HN"/>
        </w:rPr>
        <w:t>monitoreo</w:t>
      </w:r>
      <w:r w:rsidRPr="004F6A42">
        <w:rPr>
          <w:sz w:val="16"/>
          <w:szCs w:val="16"/>
          <w:lang w:val="es-HN"/>
        </w:rPr>
        <w:t xml:space="preserve"> y reuniones con la sociedad civil y </w:t>
      </w:r>
      <w:r>
        <w:rPr>
          <w:sz w:val="16"/>
          <w:szCs w:val="16"/>
          <w:lang w:val="es-HN"/>
        </w:rPr>
        <w:t>el</w:t>
      </w:r>
      <w:r w:rsidRPr="004F6A42">
        <w:rPr>
          <w:sz w:val="16"/>
          <w:szCs w:val="16"/>
          <w:lang w:val="es-HN"/>
        </w:rPr>
        <w:t xml:space="preserve"> Instituto Nacional de Migración de Honduras.</w:t>
      </w:r>
    </w:p>
  </w:footnote>
  <w:footnote w:id="22">
    <w:p w14:paraId="2EF3DB9C" w14:textId="48DCBA08" w:rsidR="00ED7560" w:rsidRPr="004F6A42" w:rsidRDefault="00ED7560" w:rsidP="0023460D">
      <w:pPr>
        <w:pStyle w:val="FootnoteText"/>
        <w:tabs>
          <w:tab w:val="clear" w:pos="1021"/>
        </w:tabs>
        <w:ind w:left="709" w:firstLine="0"/>
        <w:jc w:val="both"/>
        <w:rPr>
          <w:sz w:val="16"/>
          <w:szCs w:val="16"/>
          <w:lang w:val="es-HN"/>
        </w:rPr>
      </w:pPr>
      <w:r w:rsidRPr="00B24C62">
        <w:rPr>
          <w:rStyle w:val="FootnoteReference"/>
          <w:sz w:val="16"/>
          <w:szCs w:val="16"/>
        </w:rPr>
        <w:footnoteRef/>
      </w:r>
      <w:r w:rsidRPr="004F6A42">
        <w:rPr>
          <w:sz w:val="16"/>
          <w:szCs w:val="16"/>
          <w:lang w:val="es-HN"/>
        </w:rPr>
        <w:t xml:space="preserve"> Ver </w:t>
      </w:r>
      <w:hyperlink r:id="rId15" w:history="1">
        <w:r w:rsidRPr="004F6A42">
          <w:rPr>
            <w:rStyle w:val="Hyperlink"/>
            <w:lang w:val="es-HN"/>
          </w:rPr>
          <w:t>https://www.pewresearch.org/fact-tank/2014/08/11/5-facts-about-honduras-and-immigration/</w:t>
        </w:r>
      </w:hyperlink>
      <w:r>
        <w:rPr>
          <w:sz w:val="16"/>
          <w:szCs w:val="16"/>
          <w:lang w:val="es-HN"/>
        </w:rPr>
        <w:t xml:space="preserve"> </w:t>
      </w:r>
      <w:r w:rsidRPr="004F6A42">
        <w:rPr>
          <w:sz w:val="16"/>
          <w:szCs w:val="16"/>
          <w:lang w:val="es-HN"/>
        </w:rPr>
        <w:t>.</w:t>
      </w:r>
    </w:p>
  </w:footnote>
  <w:footnote w:id="23">
    <w:p w14:paraId="19E630CB" w14:textId="56D9B2FA" w:rsidR="00ED7560" w:rsidRPr="004F6A42" w:rsidRDefault="00ED7560" w:rsidP="0023460D">
      <w:pPr>
        <w:pStyle w:val="FootnoteText"/>
        <w:tabs>
          <w:tab w:val="clear" w:pos="1021"/>
        </w:tabs>
        <w:ind w:left="709" w:firstLine="0"/>
        <w:jc w:val="both"/>
        <w:rPr>
          <w:sz w:val="16"/>
          <w:szCs w:val="16"/>
          <w:lang w:val="es-HN"/>
        </w:rPr>
      </w:pPr>
      <w:r w:rsidRPr="00B24C62">
        <w:rPr>
          <w:rStyle w:val="FootnoteReference"/>
          <w:sz w:val="16"/>
          <w:szCs w:val="16"/>
        </w:rPr>
        <w:footnoteRef/>
      </w:r>
      <w:r w:rsidRPr="004F6A42">
        <w:rPr>
          <w:sz w:val="16"/>
          <w:szCs w:val="16"/>
          <w:lang w:val="es-HN"/>
        </w:rPr>
        <w:t xml:space="preserve"> Ver </w:t>
      </w:r>
      <w:hyperlink r:id="rId16" w:history="1">
        <w:r w:rsidRPr="004F6A42">
          <w:rPr>
            <w:rStyle w:val="Hyperlink"/>
            <w:sz w:val="16"/>
            <w:szCs w:val="16"/>
            <w:lang w:val="es-HN"/>
          </w:rPr>
          <w:t>https://www.uscis.gov/humanitarian/temporary-protected-status</w:t>
        </w:r>
      </w:hyperlink>
      <w:r w:rsidRPr="004F6A42">
        <w:rPr>
          <w:sz w:val="16"/>
          <w:szCs w:val="16"/>
          <w:lang w:val="es-HN"/>
        </w:rPr>
        <w:t xml:space="preserve"> .</w:t>
      </w:r>
    </w:p>
  </w:footnote>
  <w:footnote w:id="24">
    <w:p w14:paraId="5C3CC3BD" w14:textId="78B3F423" w:rsidR="00ED7560" w:rsidRPr="004F6A42" w:rsidRDefault="00ED7560" w:rsidP="0023460D">
      <w:pPr>
        <w:pStyle w:val="FootnoteText"/>
        <w:tabs>
          <w:tab w:val="clear" w:pos="1021"/>
        </w:tabs>
        <w:ind w:left="709" w:firstLine="0"/>
        <w:jc w:val="both"/>
        <w:rPr>
          <w:sz w:val="16"/>
          <w:szCs w:val="16"/>
          <w:lang w:val="es-HN"/>
        </w:rPr>
      </w:pPr>
      <w:r w:rsidRPr="00B24C62">
        <w:rPr>
          <w:rStyle w:val="FootnoteReference"/>
          <w:sz w:val="16"/>
          <w:szCs w:val="16"/>
        </w:rPr>
        <w:footnoteRef/>
      </w:r>
      <w:r w:rsidRPr="004F6A42">
        <w:rPr>
          <w:sz w:val="16"/>
          <w:szCs w:val="16"/>
          <w:lang w:val="es-HN"/>
        </w:rPr>
        <w:t xml:space="preserve"> Ver </w:t>
      </w:r>
      <w:hyperlink r:id="rId17" w:history="1">
        <w:r w:rsidRPr="004F6A42">
          <w:rPr>
            <w:rFonts w:eastAsiaTheme="minorHAnsi"/>
            <w:sz w:val="16"/>
            <w:szCs w:val="16"/>
            <w:lang w:val="es-HN" w:eastAsia="en-US"/>
          </w:rPr>
          <w:t>https://www.conmigho.hn/direccion-general-de-proteccion-al-hondureno-migrante/retornados-2019/</w:t>
        </w:r>
      </w:hyperlink>
      <w:r w:rsidRPr="004F6A42">
        <w:rPr>
          <w:rFonts w:eastAsiaTheme="minorHAnsi"/>
          <w:sz w:val="16"/>
          <w:szCs w:val="16"/>
          <w:lang w:val="es-HN" w:eastAsia="en-US"/>
        </w:rPr>
        <w:t xml:space="preserve">  </w:t>
      </w:r>
      <w:r>
        <w:rPr>
          <w:rFonts w:eastAsiaTheme="minorHAnsi"/>
          <w:sz w:val="16"/>
          <w:szCs w:val="16"/>
          <w:lang w:val="es-HN" w:eastAsia="en-US"/>
        </w:rPr>
        <w:t xml:space="preserve">  </w:t>
      </w:r>
      <w:r w:rsidRPr="004F6A42">
        <w:rPr>
          <w:rFonts w:eastAsiaTheme="minorHAnsi"/>
          <w:sz w:val="16"/>
          <w:szCs w:val="16"/>
          <w:lang w:val="es-HN" w:eastAsia="en-US"/>
        </w:rPr>
        <w:t>.</w:t>
      </w:r>
    </w:p>
  </w:footnote>
  <w:footnote w:id="25">
    <w:p w14:paraId="5EE3A226" w14:textId="2AA9E252" w:rsidR="00ED7560" w:rsidRPr="004F6A42" w:rsidRDefault="00ED7560" w:rsidP="0023460D">
      <w:pPr>
        <w:pStyle w:val="FootnoteText"/>
        <w:tabs>
          <w:tab w:val="clear" w:pos="1021"/>
        </w:tabs>
        <w:ind w:left="709" w:firstLine="0"/>
        <w:jc w:val="both"/>
        <w:rPr>
          <w:szCs w:val="18"/>
          <w:lang w:val="es-HN"/>
        </w:rPr>
      </w:pPr>
      <w:r w:rsidRPr="00B24C62">
        <w:rPr>
          <w:rStyle w:val="FootnoteReference"/>
          <w:sz w:val="16"/>
          <w:szCs w:val="16"/>
        </w:rPr>
        <w:footnoteRef/>
      </w:r>
      <w:r w:rsidRPr="00B24C62">
        <w:rPr>
          <w:sz w:val="16"/>
          <w:szCs w:val="16"/>
          <w:lang w:val="uz-Cyrl-UZ"/>
        </w:rPr>
        <w:t xml:space="preserve"> </w:t>
      </w:r>
      <w:r w:rsidRPr="004F6A42">
        <w:rPr>
          <w:sz w:val="16"/>
          <w:szCs w:val="16"/>
          <w:lang w:val="es-HN"/>
        </w:rPr>
        <w:t xml:space="preserve">Ver </w:t>
      </w:r>
      <w:hyperlink r:id="rId18" w:history="1">
        <w:r w:rsidRPr="00CB1B5F">
          <w:rPr>
            <w:rStyle w:val="Hyperlink"/>
            <w:sz w:val="16"/>
            <w:szCs w:val="16"/>
            <w:lang w:val="uz-Cyrl-UZ"/>
          </w:rPr>
          <w:t>https://www.acnur.org/noticias/press/2019/10/5db06d9a4/posicion-del-acnur-frente-a-la-implementacion-del-acuerdo-de-asilo-bilateral.html</w:t>
        </w:r>
      </w:hyperlink>
      <w:r w:rsidRPr="004F6A42">
        <w:rPr>
          <w:sz w:val="16"/>
          <w:szCs w:val="16"/>
          <w:lang w:val="es-HN"/>
        </w:rPr>
        <w:t xml:space="preserve"> .</w:t>
      </w:r>
    </w:p>
  </w:footnote>
  <w:footnote w:id="26">
    <w:p w14:paraId="5DD0638B" w14:textId="58A67207" w:rsidR="00ED7560" w:rsidRPr="00B24C62" w:rsidRDefault="00ED7560" w:rsidP="0023460D">
      <w:pPr>
        <w:pStyle w:val="FootnoteText"/>
        <w:tabs>
          <w:tab w:val="clear" w:pos="1021"/>
        </w:tabs>
        <w:ind w:left="709" w:firstLine="0"/>
        <w:jc w:val="both"/>
        <w:rPr>
          <w:sz w:val="16"/>
          <w:szCs w:val="16"/>
          <w:lang w:val="uz-Cyrl-UZ"/>
        </w:rPr>
      </w:pPr>
      <w:r w:rsidRPr="00B24C62">
        <w:rPr>
          <w:rStyle w:val="FootnoteReference"/>
          <w:sz w:val="16"/>
          <w:szCs w:val="16"/>
        </w:rPr>
        <w:footnoteRef/>
      </w:r>
      <w:r w:rsidRPr="00B24C62">
        <w:rPr>
          <w:sz w:val="16"/>
          <w:szCs w:val="16"/>
          <w:lang w:val="uz-Cyrl-UZ"/>
        </w:rPr>
        <w:t xml:space="preserve"> </w:t>
      </w:r>
      <w:r w:rsidRPr="008A7199">
        <w:rPr>
          <w:sz w:val="16"/>
          <w:szCs w:val="16"/>
          <w:lang w:val="uz-Cyrl-UZ"/>
        </w:rPr>
        <w:t xml:space="preserve">Boletín </w:t>
      </w:r>
      <w:r>
        <w:rPr>
          <w:sz w:val="16"/>
          <w:szCs w:val="16"/>
          <w:lang w:val="es-419"/>
        </w:rPr>
        <w:t xml:space="preserve">informativo </w:t>
      </w:r>
      <w:r w:rsidRPr="008A7199">
        <w:rPr>
          <w:sz w:val="16"/>
          <w:szCs w:val="16"/>
          <w:lang w:val="uz-Cyrl-UZ"/>
        </w:rPr>
        <w:t>de la Secretaría de Salud, Unidad de Vigilancia Sanitaria, Vol.57, Sem.Epi.48, 2019</w:t>
      </w:r>
      <w:r w:rsidRPr="004F6A42">
        <w:rPr>
          <w:sz w:val="16"/>
          <w:szCs w:val="16"/>
          <w:lang w:val="es-HN"/>
        </w:rPr>
        <w:t>.</w:t>
      </w:r>
      <w:r w:rsidRPr="00B24C62">
        <w:rPr>
          <w:sz w:val="16"/>
          <w:szCs w:val="16"/>
        </w:rPr>
        <w:fldChar w:fldCharType="begin"/>
      </w:r>
      <w:r w:rsidRPr="00B24C62">
        <w:rPr>
          <w:sz w:val="16"/>
          <w:szCs w:val="16"/>
          <w:lang w:val="uz-Cyrl-UZ"/>
        </w:rPr>
        <w:instrText xml:space="preserve">http://www.bvs.hn/Honduras/Dengue/infografias/Informe.dengue_SE%2035_07_09_2019.pdf" </w:instrText>
      </w:r>
      <w:r w:rsidRPr="00B24C62">
        <w:rPr>
          <w:sz w:val="16"/>
          <w:szCs w:val="16"/>
        </w:rPr>
        <w:fldChar w:fldCharType="separate"/>
      </w:r>
      <w:r w:rsidRPr="00B24C62">
        <w:rPr>
          <w:rStyle w:val="Hyperlink"/>
          <w:sz w:val="16"/>
          <w:szCs w:val="16"/>
          <w:lang w:val="uz-Cyrl-UZ"/>
        </w:rPr>
        <w:t>http://www.bvs.hn/Honduras/Dengue/infografias/Informe.dengue_SE%2035_07_09_2019.pdf</w:t>
      </w:r>
      <w:r w:rsidRPr="00B24C62">
        <w:rPr>
          <w:sz w:val="16"/>
          <w:szCs w:val="16"/>
        </w:rPr>
        <w:fldChar w:fldCharType="end"/>
      </w:r>
    </w:p>
  </w:footnote>
  <w:footnote w:id="27">
    <w:p w14:paraId="1E87C03D" w14:textId="731D7A62" w:rsidR="00ED7560" w:rsidRPr="004F6A42" w:rsidRDefault="00ED7560" w:rsidP="003A650C">
      <w:pPr>
        <w:pStyle w:val="FootnoteText"/>
        <w:tabs>
          <w:tab w:val="clear" w:pos="1021"/>
          <w:tab w:val="right" w:pos="709"/>
        </w:tabs>
        <w:ind w:left="709" w:firstLine="0"/>
        <w:rPr>
          <w:sz w:val="16"/>
          <w:szCs w:val="16"/>
          <w:lang w:val="es-HN"/>
        </w:rPr>
      </w:pPr>
      <w:r w:rsidRPr="00B24C62">
        <w:rPr>
          <w:rStyle w:val="FootnoteReference"/>
          <w:sz w:val="16"/>
          <w:szCs w:val="16"/>
        </w:rPr>
        <w:footnoteRef/>
      </w:r>
      <w:r w:rsidRPr="00B24C62">
        <w:rPr>
          <w:sz w:val="16"/>
          <w:szCs w:val="16"/>
          <w:lang w:val="uz-Cyrl-UZ"/>
        </w:rPr>
        <w:t xml:space="preserve"> </w:t>
      </w:r>
      <w:r w:rsidRPr="004F6A42">
        <w:rPr>
          <w:sz w:val="16"/>
          <w:szCs w:val="16"/>
          <w:lang w:val="es-HN"/>
        </w:rPr>
        <w:t xml:space="preserve">Ver </w:t>
      </w:r>
      <w:hyperlink r:id="rId19" w:history="1">
        <w:r w:rsidRPr="003D29AF">
          <w:rPr>
            <w:rStyle w:val="Hyperlink"/>
            <w:sz w:val="16"/>
            <w:szCs w:val="16"/>
            <w:lang w:val="es-HN"/>
          </w:rPr>
          <w:t>https://www.sepol.hn/artisistem/images/sepol-images/images/777(1).PNG</w:t>
        </w:r>
      </w:hyperlink>
      <w:r>
        <w:rPr>
          <w:sz w:val="16"/>
          <w:szCs w:val="16"/>
          <w:lang w:val="es-HN"/>
        </w:rPr>
        <w:t xml:space="preserve"> </w:t>
      </w:r>
    </w:p>
  </w:footnote>
  <w:footnote w:id="28">
    <w:p w14:paraId="58E6977C" w14:textId="445B2A75" w:rsidR="00ED7560" w:rsidRPr="004F6A42" w:rsidRDefault="00ED7560" w:rsidP="003A650C">
      <w:pPr>
        <w:pStyle w:val="FootnoteText"/>
        <w:tabs>
          <w:tab w:val="clear" w:pos="1021"/>
          <w:tab w:val="right" w:pos="709"/>
        </w:tabs>
        <w:ind w:left="709" w:firstLine="0"/>
        <w:rPr>
          <w:sz w:val="16"/>
          <w:szCs w:val="16"/>
          <w:lang w:val="es-HN"/>
        </w:rPr>
      </w:pPr>
      <w:r w:rsidRPr="00320E4E">
        <w:rPr>
          <w:rStyle w:val="FootnoteReference"/>
          <w:sz w:val="16"/>
          <w:szCs w:val="16"/>
        </w:rPr>
        <w:footnoteRef/>
      </w:r>
      <w:r w:rsidRPr="00320E4E">
        <w:rPr>
          <w:sz w:val="16"/>
          <w:szCs w:val="16"/>
          <w:lang w:val="uz-Cyrl-UZ"/>
        </w:rPr>
        <w:t xml:space="preserve"> </w:t>
      </w:r>
      <w:r w:rsidRPr="004F6A42">
        <w:rPr>
          <w:sz w:val="16"/>
          <w:szCs w:val="16"/>
          <w:lang w:val="es-HN"/>
        </w:rPr>
        <w:t xml:space="preserve">Ver </w:t>
      </w:r>
      <w:hyperlink r:id="rId20" w:history="1">
        <w:r w:rsidRPr="00B32408">
          <w:rPr>
            <w:rStyle w:val="Hyperlink"/>
            <w:sz w:val="16"/>
            <w:szCs w:val="16"/>
            <w:lang w:val="uz-Cyrl-UZ"/>
          </w:rPr>
          <w:t>https://www.sepol.hn/artisistem/images/sepol-images/files/Estadistica%20Diaria%20Septiembre%202019--1.pdf</w:t>
        </w:r>
      </w:hyperlink>
      <w:r w:rsidRPr="004F6A42">
        <w:rPr>
          <w:sz w:val="16"/>
          <w:szCs w:val="16"/>
          <w:lang w:val="es-HN"/>
        </w:rPr>
        <w:t xml:space="preserve"> .</w:t>
      </w:r>
    </w:p>
  </w:footnote>
  <w:footnote w:id="29">
    <w:p w14:paraId="214E5A26" w14:textId="49705CAE" w:rsidR="00ED7560" w:rsidRPr="004F6A42" w:rsidRDefault="00ED7560" w:rsidP="003A650C">
      <w:pPr>
        <w:pStyle w:val="FootnoteText"/>
        <w:tabs>
          <w:tab w:val="clear" w:pos="1021"/>
          <w:tab w:val="right" w:pos="709"/>
        </w:tabs>
        <w:ind w:left="709" w:firstLine="0"/>
        <w:rPr>
          <w:sz w:val="16"/>
          <w:szCs w:val="16"/>
          <w:lang w:val="es-HN"/>
        </w:rPr>
      </w:pPr>
      <w:r w:rsidRPr="00320E4E">
        <w:rPr>
          <w:rStyle w:val="FootnoteReference"/>
          <w:sz w:val="16"/>
          <w:szCs w:val="16"/>
        </w:rPr>
        <w:footnoteRef/>
      </w:r>
      <w:r w:rsidRPr="004F6A42">
        <w:rPr>
          <w:sz w:val="16"/>
          <w:szCs w:val="16"/>
          <w:lang w:val="es-HN"/>
        </w:rPr>
        <w:t xml:space="preserve">   En el año 2018, el Observatorio de la Violencia de la Universidad Nacional Autónoma de Honduras estimó que las muertes no identificadas representaban el 17,5% del número de muertes violentas. Todavía no se dispone de los datos correspondientes a 2019.</w:t>
      </w:r>
    </w:p>
  </w:footnote>
  <w:footnote w:id="30">
    <w:p w14:paraId="55E51F12" w14:textId="2D45DBE0" w:rsidR="00ED7560" w:rsidRPr="004F6A42" w:rsidRDefault="00ED7560" w:rsidP="003A650C">
      <w:pPr>
        <w:pStyle w:val="FootnoteText"/>
        <w:tabs>
          <w:tab w:val="clear" w:pos="1021"/>
          <w:tab w:val="right" w:pos="709"/>
        </w:tabs>
        <w:ind w:left="709" w:firstLine="0"/>
        <w:rPr>
          <w:sz w:val="16"/>
          <w:szCs w:val="16"/>
          <w:lang w:val="es-HN"/>
        </w:rPr>
      </w:pPr>
      <w:r w:rsidRPr="00320E4E">
        <w:rPr>
          <w:rStyle w:val="FootnoteReference"/>
          <w:sz w:val="16"/>
          <w:szCs w:val="16"/>
        </w:rPr>
        <w:footnoteRef/>
      </w:r>
      <w:r w:rsidRPr="004F6A42">
        <w:rPr>
          <w:sz w:val="16"/>
          <w:szCs w:val="16"/>
          <w:lang w:val="es-HN"/>
        </w:rPr>
        <w:t xml:space="preserve"> Datos del Centro Electrónico de Documentación e Información Judicial</w:t>
      </w:r>
      <w:r>
        <w:rPr>
          <w:sz w:val="16"/>
          <w:szCs w:val="16"/>
          <w:lang w:val="es-HN"/>
        </w:rPr>
        <w:t>.</w:t>
      </w:r>
    </w:p>
  </w:footnote>
  <w:footnote w:id="31">
    <w:p w14:paraId="73A95984" w14:textId="3394AD58" w:rsidR="00ED7560" w:rsidRPr="0053333B" w:rsidRDefault="00ED7560" w:rsidP="004C57DA">
      <w:pPr>
        <w:pStyle w:val="FootnoteText"/>
        <w:ind w:hanging="425"/>
        <w:rPr>
          <w:sz w:val="16"/>
          <w:szCs w:val="16"/>
          <w:lang w:val="es-419"/>
        </w:rPr>
      </w:pPr>
      <w:r w:rsidRPr="0053333B">
        <w:rPr>
          <w:rStyle w:val="FootnoteReference"/>
          <w:sz w:val="16"/>
          <w:szCs w:val="16"/>
        </w:rPr>
        <w:footnoteRef/>
      </w:r>
      <w:r w:rsidRPr="0053333B">
        <w:rPr>
          <w:sz w:val="16"/>
          <w:szCs w:val="16"/>
          <w:lang w:val="es-419"/>
        </w:rPr>
        <w:t xml:space="preserve"> Datos del </w:t>
      </w:r>
      <w:r w:rsidRPr="0053333B">
        <w:rPr>
          <w:sz w:val="16"/>
          <w:szCs w:val="16"/>
          <w:lang w:val="es-HN"/>
        </w:rPr>
        <w:t>Observatorio Nacional contra la Violencia de la Universidad Nacional</w:t>
      </w:r>
    </w:p>
  </w:footnote>
  <w:footnote w:id="32">
    <w:p w14:paraId="7C370108" w14:textId="6C10F5B7" w:rsidR="00ED7560" w:rsidRPr="004F6A42" w:rsidRDefault="00ED7560" w:rsidP="003A650C">
      <w:pPr>
        <w:pStyle w:val="FootnoteText"/>
        <w:tabs>
          <w:tab w:val="clear" w:pos="1021"/>
          <w:tab w:val="right" w:pos="709"/>
        </w:tabs>
        <w:ind w:left="709" w:firstLine="0"/>
        <w:rPr>
          <w:lang w:val="es-HN"/>
        </w:rPr>
      </w:pPr>
      <w:r w:rsidRPr="00320E4E">
        <w:rPr>
          <w:rStyle w:val="FootnoteReference"/>
          <w:sz w:val="16"/>
          <w:szCs w:val="16"/>
        </w:rPr>
        <w:footnoteRef/>
      </w:r>
      <w:r w:rsidRPr="004F6A42">
        <w:rPr>
          <w:sz w:val="16"/>
          <w:szCs w:val="16"/>
          <w:lang w:val="es-HN"/>
        </w:rPr>
        <w:t xml:space="preserve"> Datos del Centro Electrónico de Documentación e Información Judicial</w:t>
      </w:r>
      <w:r>
        <w:rPr>
          <w:sz w:val="16"/>
          <w:szCs w:val="16"/>
          <w:lang w:val="es-HN"/>
        </w:rPr>
        <w:t>.</w:t>
      </w:r>
    </w:p>
  </w:footnote>
  <w:footnote w:id="33">
    <w:p w14:paraId="652F8518" w14:textId="43CFF5EE" w:rsidR="00ED7560" w:rsidRPr="004F6A42" w:rsidRDefault="00ED7560" w:rsidP="003A650C">
      <w:pPr>
        <w:pStyle w:val="FootnoteText"/>
        <w:tabs>
          <w:tab w:val="clear" w:pos="1021"/>
          <w:tab w:val="right" w:pos="709"/>
        </w:tabs>
        <w:ind w:left="709" w:firstLine="0"/>
        <w:rPr>
          <w:sz w:val="16"/>
          <w:szCs w:val="16"/>
          <w:lang w:val="es-HN"/>
        </w:rPr>
      </w:pPr>
      <w:r w:rsidRPr="00B24C62">
        <w:rPr>
          <w:rStyle w:val="FootnoteReference"/>
          <w:sz w:val="16"/>
          <w:szCs w:val="16"/>
        </w:rPr>
        <w:footnoteRef/>
      </w:r>
      <w:r w:rsidRPr="004F6A42">
        <w:rPr>
          <w:sz w:val="16"/>
          <w:szCs w:val="16"/>
          <w:lang w:val="es-HN"/>
        </w:rPr>
        <w:t xml:space="preserve"> CAT/C/SR.1436 para.21.and CAT/C/SR.1439 para.41.</w:t>
      </w:r>
    </w:p>
  </w:footnote>
  <w:footnote w:id="34">
    <w:p w14:paraId="6B11C6DA" w14:textId="697AAACC" w:rsidR="00ED7560" w:rsidRPr="004F6A42" w:rsidRDefault="00ED7560" w:rsidP="003A650C">
      <w:pPr>
        <w:pStyle w:val="FootnoteText"/>
        <w:tabs>
          <w:tab w:val="clear" w:pos="1021"/>
          <w:tab w:val="right" w:pos="709"/>
        </w:tabs>
        <w:ind w:left="709" w:firstLine="0"/>
        <w:rPr>
          <w:sz w:val="16"/>
          <w:szCs w:val="16"/>
          <w:lang w:val="es-HN"/>
        </w:rPr>
      </w:pPr>
      <w:r w:rsidRPr="00B24C62">
        <w:rPr>
          <w:rStyle w:val="FootnoteReference"/>
          <w:sz w:val="16"/>
          <w:szCs w:val="16"/>
        </w:rPr>
        <w:footnoteRef/>
      </w:r>
      <w:r w:rsidRPr="004F6A42">
        <w:rPr>
          <w:sz w:val="16"/>
          <w:szCs w:val="16"/>
          <w:lang w:val="es-HN"/>
        </w:rPr>
        <w:t xml:space="preserve"> Ver </w:t>
      </w:r>
      <w:hyperlink r:id="rId21" w:history="1">
        <w:r w:rsidRPr="004F6A42">
          <w:rPr>
            <w:rStyle w:val="Hyperlink"/>
            <w:sz w:val="16"/>
            <w:szCs w:val="16"/>
            <w:lang w:val="es-HN"/>
          </w:rPr>
          <w:t>https://datos.bancomundial.org/indicator/MS.MIL.XPND.GD.ZS?locations=HN</w:t>
        </w:r>
        <w:r w:rsidRPr="00B32408">
          <w:rPr>
            <w:rStyle w:val="Hyperlink"/>
            <w:sz w:val="16"/>
            <w:szCs w:val="16"/>
            <w:lang w:val="es-HN"/>
          </w:rPr>
          <w:t>/</w:t>
        </w:r>
      </w:hyperlink>
      <w:r>
        <w:rPr>
          <w:rStyle w:val="Hyperlink"/>
          <w:color w:val="auto"/>
          <w:sz w:val="16"/>
          <w:szCs w:val="16"/>
          <w:lang w:val="es-HN"/>
        </w:rPr>
        <w:t xml:space="preserve"> </w:t>
      </w:r>
      <w:r w:rsidRPr="004F6A42">
        <w:rPr>
          <w:rStyle w:val="Hyperlink"/>
          <w:color w:val="auto"/>
          <w:sz w:val="16"/>
          <w:szCs w:val="16"/>
          <w:lang w:val="es-HN"/>
        </w:rPr>
        <w:t>.</w:t>
      </w:r>
    </w:p>
  </w:footnote>
  <w:footnote w:id="35">
    <w:p w14:paraId="240690EF" w14:textId="21F73B5D" w:rsidR="00ED7560" w:rsidRPr="004F6A42" w:rsidRDefault="00ED7560" w:rsidP="003A650C">
      <w:pPr>
        <w:pStyle w:val="FootnoteText"/>
        <w:tabs>
          <w:tab w:val="clear" w:pos="1021"/>
          <w:tab w:val="right" w:pos="709"/>
        </w:tabs>
        <w:ind w:left="709" w:firstLine="0"/>
        <w:rPr>
          <w:sz w:val="16"/>
          <w:szCs w:val="16"/>
          <w:lang w:val="es-HN"/>
        </w:rPr>
      </w:pPr>
      <w:r w:rsidRPr="00B24C62">
        <w:rPr>
          <w:rStyle w:val="FootnoteReference"/>
          <w:sz w:val="16"/>
          <w:szCs w:val="16"/>
        </w:rPr>
        <w:footnoteRef/>
      </w:r>
      <w:r w:rsidRPr="004F6A42">
        <w:rPr>
          <w:sz w:val="16"/>
          <w:szCs w:val="16"/>
          <w:lang w:val="es-HN"/>
        </w:rPr>
        <w:t xml:space="preserve"> Ver </w:t>
      </w:r>
      <w:hyperlink r:id="rId22" w:history="1">
        <w:r w:rsidRPr="004F6A42">
          <w:rPr>
            <w:rStyle w:val="Hyperlink"/>
            <w:sz w:val="16"/>
            <w:szCs w:val="16"/>
            <w:lang w:val="es-HN"/>
          </w:rPr>
          <w:t>https://www.tasadeseguridad.hn/estadisticas.php?p=1/</w:t>
        </w:r>
      </w:hyperlink>
      <w:r w:rsidRPr="004F6A42">
        <w:rPr>
          <w:rStyle w:val="Hyperlink"/>
          <w:color w:val="auto"/>
          <w:sz w:val="16"/>
          <w:szCs w:val="16"/>
          <w:lang w:val="es-HN"/>
        </w:rPr>
        <w:t xml:space="preserve"> .</w:t>
      </w:r>
    </w:p>
  </w:footnote>
  <w:footnote w:id="36">
    <w:p w14:paraId="4486E2EF" w14:textId="24AD34CE" w:rsidR="00ED7560" w:rsidRPr="004F6A42" w:rsidRDefault="00ED7560" w:rsidP="00213F6B">
      <w:pPr>
        <w:pStyle w:val="FootnoteText"/>
        <w:ind w:hanging="425"/>
        <w:rPr>
          <w:sz w:val="16"/>
          <w:szCs w:val="16"/>
          <w:lang w:val="es-HN"/>
        </w:rPr>
      </w:pPr>
      <w:r w:rsidRPr="00213F6B">
        <w:rPr>
          <w:rStyle w:val="FootnoteReference"/>
          <w:sz w:val="16"/>
          <w:szCs w:val="16"/>
        </w:rPr>
        <w:footnoteRef/>
      </w:r>
      <w:r w:rsidRPr="004F6A42">
        <w:rPr>
          <w:sz w:val="16"/>
          <w:szCs w:val="16"/>
          <w:lang w:val="es-HN"/>
        </w:rPr>
        <w:t xml:space="preserve"> El Congreso prorrogó este mandato hasta el año 2022.</w:t>
      </w:r>
    </w:p>
  </w:footnote>
  <w:footnote w:id="37">
    <w:p w14:paraId="2AF2DE7E" w14:textId="23CF8A65" w:rsidR="00ED7560" w:rsidRPr="004F6A42" w:rsidRDefault="00ED7560" w:rsidP="003A650C">
      <w:pPr>
        <w:pStyle w:val="FootnoteText"/>
        <w:tabs>
          <w:tab w:val="clear" w:pos="1021"/>
          <w:tab w:val="right" w:pos="709"/>
        </w:tabs>
        <w:ind w:left="709" w:firstLine="0"/>
        <w:rPr>
          <w:lang w:val="es-HN"/>
        </w:rPr>
      </w:pPr>
      <w:r w:rsidRPr="00B24C62">
        <w:rPr>
          <w:rStyle w:val="FootnoteReference"/>
          <w:sz w:val="16"/>
          <w:szCs w:val="16"/>
        </w:rPr>
        <w:footnoteRef/>
      </w:r>
      <w:r w:rsidRPr="004F6A42">
        <w:rPr>
          <w:sz w:val="16"/>
          <w:szCs w:val="16"/>
          <w:lang w:val="es-HN"/>
        </w:rPr>
        <w:t xml:space="preserve"> Ver </w:t>
      </w:r>
      <w:hyperlink r:id="rId23" w:history="1">
        <w:r w:rsidRPr="004F6A42">
          <w:rPr>
            <w:rStyle w:val="Hyperlink"/>
            <w:sz w:val="16"/>
            <w:szCs w:val="16"/>
            <w:lang w:val="es-HN"/>
          </w:rPr>
          <w:t>https://twitter.com/Didadpol/status/1176861440973688832/photo/1</w:t>
        </w:r>
        <w:r w:rsidRPr="00B32408">
          <w:rPr>
            <w:rStyle w:val="Hyperlink"/>
            <w:sz w:val="16"/>
            <w:szCs w:val="16"/>
            <w:lang w:val="es-HN"/>
          </w:rPr>
          <w:t>/</w:t>
        </w:r>
      </w:hyperlink>
      <w:r>
        <w:rPr>
          <w:rStyle w:val="Hyperlink"/>
          <w:color w:val="auto"/>
          <w:sz w:val="16"/>
          <w:szCs w:val="16"/>
          <w:lang w:val="es-HN"/>
        </w:rPr>
        <w:t xml:space="preserve"> </w:t>
      </w:r>
      <w:r w:rsidRPr="004F6A42">
        <w:rPr>
          <w:rStyle w:val="Hyperlink"/>
          <w:color w:val="auto"/>
          <w:sz w:val="16"/>
          <w:szCs w:val="16"/>
          <w:lang w:val="es-HN"/>
        </w:rPr>
        <w:t>.</w:t>
      </w:r>
    </w:p>
  </w:footnote>
  <w:footnote w:id="38">
    <w:p w14:paraId="3A1E28F3" w14:textId="7FB0B5BA" w:rsidR="00ED7560" w:rsidRPr="004F6A42" w:rsidRDefault="00ED7560" w:rsidP="00116570">
      <w:pPr>
        <w:pStyle w:val="FootnoteText"/>
        <w:ind w:hanging="425"/>
        <w:rPr>
          <w:sz w:val="16"/>
          <w:szCs w:val="16"/>
          <w:lang w:val="es-HN"/>
        </w:rPr>
      </w:pPr>
      <w:r w:rsidRPr="00116570">
        <w:rPr>
          <w:rStyle w:val="FootnoteReference"/>
          <w:sz w:val="16"/>
          <w:szCs w:val="16"/>
        </w:rPr>
        <w:footnoteRef/>
      </w:r>
      <w:r w:rsidRPr="004F6A42">
        <w:rPr>
          <w:sz w:val="16"/>
          <w:szCs w:val="16"/>
          <w:lang w:val="es-HN"/>
        </w:rPr>
        <w:t xml:space="preserve"> Su verdadero nombre es Nery Orlando López Sanabria.</w:t>
      </w:r>
    </w:p>
  </w:footnote>
  <w:footnote w:id="39">
    <w:p w14:paraId="4DF94DBE" w14:textId="4CECEE2C" w:rsidR="00ED7560" w:rsidRPr="004F6A42" w:rsidRDefault="00ED7560" w:rsidP="009B79F7">
      <w:pPr>
        <w:pStyle w:val="FootnoteText"/>
        <w:ind w:hanging="425"/>
        <w:rPr>
          <w:sz w:val="16"/>
          <w:szCs w:val="16"/>
          <w:lang w:val="es-HN"/>
        </w:rPr>
      </w:pPr>
      <w:r w:rsidRPr="009B79F7">
        <w:rPr>
          <w:rStyle w:val="FootnoteReference"/>
          <w:sz w:val="16"/>
          <w:szCs w:val="16"/>
        </w:rPr>
        <w:footnoteRef/>
      </w:r>
      <w:r w:rsidRPr="004F6A42">
        <w:rPr>
          <w:sz w:val="16"/>
          <w:szCs w:val="16"/>
          <w:lang w:val="es-HN"/>
        </w:rPr>
        <w:t xml:space="preserve"> Ver </w:t>
      </w:r>
      <w:hyperlink r:id="rId24" w:history="1">
        <w:r w:rsidRPr="00400EA2">
          <w:rPr>
            <w:rStyle w:val="Hyperlink"/>
            <w:sz w:val="16"/>
            <w:szCs w:val="16"/>
            <w:lang w:val="es-HN"/>
          </w:rPr>
          <w:t>https://tiempo.hn/chajtur-busca-asilo-en-otro-pais-por-amenazas-en-honduras/</w:t>
        </w:r>
      </w:hyperlink>
      <w:r w:rsidRPr="00A65F2B">
        <w:rPr>
          <w:sz w:val="16"/>
          <w:szCs w:val="16"/>
          <w:lang w:val="es-HN"/>
        </w:rPr>
        <w:t>.</w:t>
      </w:r>
    </w:p>
  </w:footnote>
  <w:footnote w:id="40">
    <w:p w14:paraId="2A69AA97" w14:textId="557D0194" w:rsidR="00ED7560" w:rsidRPr="004F6A42" w:rsidRDefault="00ED7560" w:rsidP="001645BE">
      <w:pPr>
        <w:pStyle w:val="FootnoteText"/>
        <w:ind w:hanging="425"/>
        <w:rPr>
          <w:sz w:val="16"/>
          <w:szCs w:val="16"/>
          <w:lang w:val="es-HN"/>
        </w:rPr>
      </w:pPr>
      <w:r w:rsidRPr="001645BE">
        <w:rPr>
          <w:rStyle w:val="FootnoteReference"/>
          <w:sz w:val="16"/>
          <w:szCs w:val="16"/>
        </w:rPr>
        <w:footnoteRef/>
      </w:r>
      <w:r w:rsidRPr="004F6A42">
        <w:rPr>
          <w:sz w:val="16"/>
          <w:szCs w:val="16"/>
          <w:lang w:val="es-HN"/>
        </w:rPr>
        <w:t xml:space="preserve"> Decreto Número 068-2019.</w:t>
      </w:r>
    </w:p>
  </w:footnote>
  <w:footnote w:id="41">
    <w:p w14:paraId="59E85C17" w14:textId="61AF6969" w:rsidR="00ED7560" w:rsidRPr="004F6A42" w:rsidRDefault="00ED7560" w:rsidP="0017653E">
      <w:pPr>
        <w:pStyle w:val="FootnoteText"/>
        <w:ind w:hanging="425"/>
        <w:rPr>
          <w:sz w:val="16"/>
          <w:szCs w:val="16"/>
          <w:lang w:val="es-HN"/>
        </w:rPr>
      </w:pPr>
      <w:r w:rsidRPr="001645BE">
        <w:rPr>
          <w:rStyle w:val="FootnoteReference"/>
          <w:sz w:val="16"/>
          <w:szCs w:val="16"/>
        </w:rPr>
        <w:footnoteRef/>
      </w:r>
      <w:r w:rsidRPr="004F6A42">
        <w:rPr>
          <w:sz w:val="16"/>
          <w:szCs w:val="16"/>
          <w:lang w:val="es-HN"/>
        </w:rPr>
        <w:t xml:space="preserve"> Las investigaciones sobre los incidentes están en curso.</w:t>
      </w:r>
    </w:p>
  </w:footnote>
  <w:footnote w:id="42">
    <w:p w14:paraId="2B333844" w14:textId="216BCBC5" w:rsidR="00ED7560" w:rsidRPr="004F6A42" w:rsidRDefault="00ED7560" w:rsidP="003A650C">
      <w:pPr>
        <w:pStyle w:val="FootnoteText"/>
        <w:tabs>
          <w:tab w:val="clear" w:pos="1021"/>
          <w:tab w:val="right" w:pos="709"/>
        </w:tabs>
        <w:ind w:left="709" w:firstLine="0"/>
        <w:rPr>
          <w:sz w:val="16"/>
          <w:szCs w:val="16"/>
          <w:lang w:val="es-HN"/>
        </w:rPr>
      </w:pPr>
      <w:r w:rsidRPr="001645BE">
        <w:rPr>
          <w:rStyle w:val="FootnoteReference"/>
          <w:sz w:val="16"/>
          <w:szCs w:val="16"/>
        </w:rPr>
        <w:footnoteRef/>
      </w:r>
      <w:r w:rsidRPr="004F6A42">
        <w:rPr>
          <w:sz w:val="16"/>
          <w:szCs w:val="16"/>
          <w:lang w:val="es-HN"/>
        </w:rPr>
        <w:t xml:space="preserve"> Artículo 92, de la Ley del Sistema Penitenciario Nacional.</w:t>
      </w:r>
    </w:p>
  </w:footnote>
  <w:footnote w:id="43">
    <w:p w14:paraId="6702555A" w14:textId="3F750A40" w:rsidR="00ED7560" w:rsidRPr="004F6A42" w:rsidRDefault="00ED7560" w:rsidP="003A650C">
      <w:pPr>
        <w:pStyle w:val="FootnoteText"/>
        <w:tabs>
          <w:tab w:val="clear" w:pos="1021"/>
          <w:tab w:val="right" w:pos="709"/>
        </w:tabs>
        <w:ind w:left="709" w:firstLine="0"/>
        <w:rPr>
          <w:sz w:val="16"/>
          <w:szCs w:val="16"/>
          <w:lang w:val="es-HN"/>
        </w:rPr>
      </w:pPr>
      <w:r w:rsidRPr="001645BE">
        <w:rPr>
          <w:rStyle w:val="FootnoteReference"/>
          <w:sz w:val="16"/>
          <w:szCs w:val="16"/>
        </w:rPr>
        <w:footnoteRef/>
      </w:r>
      <w:r w:rsidRPr="004F6A42">
        <w:rPr>
          <w:sz w:val="16"/>
          <w:szCs w:val="16"/>
          <w:lang w:val="es-HN"/>
        </w:rPr>
        <w:t xml:space="preserve"> Artículo 66, de la Ley del Sistema Penitenciario Nacional.</w:t>
      </w:r>
    </w:p>
  </w:footnote>
  <w:footnote w:id="44">
    <w:p w14:paraId="172CC2D5" w14:textId="2F812E6B" w:rsidR="00ED7560" w:rsidRPr="00972397" w:rsidRDefault="00ED7560" w:rsidP="00566226">
      <w:pPr>
        <w:pStyle w:val="FootnoteText"/>
        <w:ind w:hanging="425"/>
        <w:rPr>
          <w:sz w:val="16"/>
          <w:szCs w:val="16"/>
          <w:lang w:val="es-HN"/>
        </w:rPr>
      </w:pPr>
      <w:r w:rsidRPr="00085798">
        <w:rPr>
          <w:rStyle w:val="FootnoteReference"/>
          <w:sz w:val="16"/>
          <w:szCs w:val="16"/>
        </w:rPr>
        <w:footnoteRef/>
      </w:r>
      <w:r w:rsidRPr="00085798">
        <w:rPr>
          <w:sz w:val="16"/>
          <w:szCs w:val="16"/>
          <w:lang w:val="es-HN"/>
        </w:rPr>
        <w:t xml:space="preserve"> A/HRC/40/3/Add.2, párr.</w:t>
      </w:r>
      <w:r w:rsidRPr="00972397">
        <w:rPr>
          <w:sz w:val="16"/>
          <w:szCs w:val="16"/>
          <w:lang w:val="es-HN"/>
        </w:rPr>
        <w:t xml:space="preserve"> 38.</w:t>
      </w:r>
    </w:p>
  </w:footnote>
  <w:footnote w:id="45">
    <w:p w14:paraId="1A6E558B" w14:textId="5B81348B" w:rsidR="00ED7560" w:rsidRPr="00AC068F" w:rsidRDefault="00ED7560" w:rsidP="00566226">
      <w:pPr>
        <w:pStyle w:val="FootnoteText"/>
        <w:ind w:hanging="425"/>
        <w:rPr>
          <w:sz w:val="16"/>
          <w:szCs w:val="16"/>
          <w:lang w:val="es-HN"/>
        </w:rPr>
      </w:pPr>
      <w:r w:rsidRPr="00085798">
        <w:rPr>
          <w:rStyle w:val="FootnoteReference"/>
          <w:sz w:val="16"/>
          <w:szCs w:val="16"/>
          <w:lang w:val="es-HN"/>
        </w:rPr>
        <w:footnoteRef/>
      </w:r>
      <w:r w:rsidRPr="00085798">
        <w:rPr>
          <w:sz w:val="16"/>
          <w:szCs w:val="16"/>
          <w:lang w:val="es-HN"/>
        </w:rPr>
        <w:t xml:space="preserve"> Ver </w:t>
      </w:r>
      <w:hyperlink r:id="rId25" w:history="1">
        <w:r w:rsidRPr="00AC068F">
          <w:rPr>
            <w:rStyle w:val="Hyperlink"/>
            <w:sz w:val="16"/>
            <w:szCs w:val="16"/>
            <w:lang w:val="es-HN"/>
          </w:rPr>
          <w:t>http://www.conaprev.gob.hn/index.php/docs/category/3-informes</w:t>
        </w:r>
      </w:hyperlink>
      <w:r w:rsidRPr="00085798">
        <w:rPr>
          <w:sz w:val="16"/>
          <w:szCs w:val="16"/>
          <w:lang w:val="es-HN"/>
        </w:rPr>
        <w:t>.</w:t>
      </w:r>
    </w:p>
  </w:footnote>
  <w:footnote w:id="46">
    <w:p w14:paraId="5136F842" w14:textId="0ECAE3E4" w:rsidR="00ED7560" w:rsidRPr="00972397" w:rsidRDefault="00ED7560" w:rsidP="00B62C6F">
      <w:pPr>
        <w:pStyle w:val="FootnoteText"/>
        <w:ind w:left="709" w:firstLine="0"/>
        <w:jc w:val="both"/>
        <w:rPr>
          <w:sz w:val="16"/>
          <w:szCs w:val="16"/>
          <w:lang w:val="es-HN"/>
        </w:rPr>
      </w:pPr>
      <w:r w:rsidRPr="00085798">
        <w:rPr>
          <w:rStyle w:val="FootnoteReference"/>
          <w:sz w:val="16"/>
          <w:szCs w:val="16"/>
          <w:lang w:val="es-HN"/>
        </w:rPr>
        <w:footnoteRef/>
      </w:r>
      <w:r w:rsidRPr="00085798">
        <w:rPr>
          <w:sz w:val="16"/>
          <w:szCs w:val="16"/>
          <w:lang w:val="es-HN"/>
        </w:rPr>
        <w:t xml:space="preserve"> El mandato de los anteriores comisionados expiró el 16 de septiembre de 2019. Hay tres comisionados en total, uno designado por el ejecutivo, otro por el legislativo y otro por la sociedad civil.</w:t>
      </w:r>
      <w:r w:rsidRPr="00972397" w:rsidDel="003738A6">
        <w:rPr>
          <w:sz w:val="16"/>
          <w:szCs w:val="16"/>
          <w:lang w:val="es-HN"/>
        </w:rPr>
        <w:t xml:space="preserve"> </w:t>
      </w:r>
    </w:p>
  </w:footnote>
  <w:footnote w:id="47">
    <w:p w14:paraId="3F389E3C" w14:textId="2A83C433" w:rsidR="00ED7560" w:rsidRPr="00972397" w:rsidRDefault="00ED7560" w:rsidP="00B62C6F">
      <w:pPr>
        <w:pStyle w:val="FootnoteText"/>
        <w:tabs>
          <w:tab w:val="clear" w:pos="1021"/>
          <w:tab w:val="right" w:pos="709"/>
        </w:tabs>
        <w:ind w:left="709" w:firstLine="0"/>
        <w:jc w:val="both"/>
        <w:rPr>
          <w:sz w:val="16"/>
          <w:szCs w:val="16"/>
          <w:lang w:val="es-HN"/>
        </w:rPr>
      </w:pPr>
      <w:r w:rsidRPr="00085798">
        <w:rPr>
          <w:rStyle w:val="FootnoteReference"/>
          <w:sz w:val="16"/>
          <w:szCs w:val="16"/>
          <w:lang w:val="es-HN"/>
        </w:rPr>
        <w:footnoteRef/>
      </w:r>
      <w:r w:rsidRPr="00085798">
        <w:rPr>
          <w:sz w:val="16"/>
          <w:szCs w:val="16"/>
          <w:lang w:val="es-HN"/>
        </w:rPr>
        <w:t xml:space="preserve"> A/HRC/42/30, p</w:t>
      </w:r>
      <w:r w:rsidRPr="00972397">
        <w:rPr>
          <w:sz w:val="16"/>
          <w:szCs w:val="16"/>
          <w:lang w:val="es-HN"/>
        </w:rPr>
        <w:t>árr. 56.</w:t>
      </w:r>
    </w:p>
  </w:footnote>
  <w:footnote w:id="48">
    <w:p w14:paraId="7A1B4427" w14:textId="77BF56F9" w:rsidR="00ED7560" w:rsidRPr="00085798" w:rsidRDefault="00ED7560" w:rsidP="00B62C6F">
      <w:pPr>
        <w:pStyle w:val="FootnoteText"/>
        <w:tabs>
          <w:tab w:val="clear" w:pos="1021"/>
          <w:tab w:val="right" w:pos="709"/>
        </w:tabs>
        <w:ind w:left="709" w:firstLine="0"/>
        <w:jc w:val="both"/>
        <w:rPr>
          <w:sz w:val="16"/>
          <w:szCs w:val="16"/>
          <w:lang w:val="es-HN"/>
        </w:rPr>
      </w:pPr>
      <w:r w:rsidRPr="00085798">
        <w:rPr>
          <w:rStyle w:val="FootnoteReference"/>
          <w:sz w:val="16"/>
          <w:szCs w:val="16"/>
          <w:lang w:val="es-HN"/>
        </w:rPr>
        <w:footnoteRef/>
      </w:r>
      <w:r w:rsidRPr="00085798">
        <w:rPr>
          <w:sz w:val="16"/>
          <w:szCs w:val="16"/>
          <w:lang w:val="es-HN"/>
        </w:rPr>
        <w:t xml:space="preserve"> </w:t>
      </w:r>
      <w:r w:rsidRPr="00ED7560">
        <w:rPr>
          <w:sz w:val="16"/>
          <w:szCs w:val="16"/>
          <w:lang w:val="es-HN"/>
        </w:rPr>
        <w:t xml:space="preserve">Ver </w:t>
      </w:r>
      <w:hyperlink r:id="rId26" w:history="1">
        <w:r w:rsidRPr="00ED7560">
          <w:rPr>
            <w:rStyle w:val="Hyperlink"/>
            <w:sz w:val="16"/>
            <w:szCs w:val="16"/>
            <w:lang w:val="es-HN"/>
          </w:rPr>
          <w:t>https://oacnudh.hn/wp-content/uploads/2018/05/Informe-OACNUDH-2016-DDHH-Honduras-G1702934.pdf</w:t>
        </w:r>
      </w:hyperlink>
      <w:r w:rsidRPr="00ED7560">
        <w:rPr>
          <w:sz w:val="16"/>
          <w:szCs w:val="16"/>
          <w:lang w:val="es-HN"/>
        </w:rPr>
        <w:t xml:space="preserve"> , párrafo  23;</w:t>
      </w:r>
      <w:hyperlink r:id="rId27" w:history="1">
        <w:r w:rsidRPr="00ED7560">
          <w:rPr>
            <w:rStyle w:val="Hyperlink"/>
            <w:sz w:val="16"/>
            <w:szCs w:val="16"/>
            <w:lang w:val="es-HN"/>
          </w:rPr>
          <w:t>http://www.corteidh.or.cr/docs/casos/articulos/seriec_302_esp.pdf/</w:t>
        </w:r>
      </w:hyperlink>
      <w:r w:rsidRPr="00ED7560">
        <w:rPr>
          <w:sz w:val="16"/>
          <w:szCs w:val="16"/>
          <w:lang w:val="es-HN"/>
        </w:rPr>
        <w:t xml:space="preserve">;y </w:t>
      </w:r>
      <w:hyperlink r:id="rId28" w:history="1">
        <w:r w:rsidRPr="00ED7560">
          <w:rPr>
            <w:rStyle w:val="Hyperlink"/>
            <w:sz w:val="16"/>
            <w:szCs w:val="16"/>
            <w:lang w:val="es-HN"/>
          </w:rPr>
          <w:t>file:///O:/04.%20Informes%20y%20notas/Informe%20anual/2019/Honduras2019.pdf/</w:t>
        </w:r>
      </w:hyperlink>
      <w:r w:rsidRPr="00085798">
        <w:rPr>
          <w:sz w:val="16"/>
          <w:szCs w:val="16"/>
          <w:lang w:val="es-HN"/>
        </w:rPr>
        <w:t xml:space="preserve"> .</w:t>
      </w:r>
    </w:p>
  </w:footnote>
  <w:footnote w:id="49">
    <w:p w14:paraId="03127CA4" w14:textId="04426284" w:rsidR="00ED7560" w:rsidRPr="004F6A42" w:rsidRDefault="00ED7560" w:rsidP="00B62C6F">
      <w:pPr>
        <w:pStyle w:val="FootnoteText"/>
        <w:tabs>
          <w:tab w:val="clear" w:pos="1021"/>
          <w:tab w:val="right" w:pos="709"/>
        </w:tabs>
        <w:ind w:left="709" w:firstLine="0"/>
        <w:jc w:val="both"/>
        <w:rPr>
          <w:sz w:val="16"/>
          <w:szCs w:val="16"/>
          <w:lang w:val="es-HN"/>
        </w:rPr>
      </w:pPr>
      <w:r w:rsidRPr="00085798">
        <w:rPr>
          <w:rStyle w:val="FootnoteReference"/>
          <w:sz w:val="16"/>
          <w:szCs w:val="16"/>
          <w:lang w:val="es-HN"/>
        </w:rPr>
        <w:footnoteRef/>
      </w:r>
      <w:r w:rsidRPr="00085798">
        <w:rPr>
          <w:sz w:val="16"/>
          <w:szCs w:val="16"/>
          <w:lang w:val="es-HN"/>
        </w:rPr>
        <w:t xml:space="preserve"> A/HRC/40/3/Add.2, párr. </w:t>
      </w:r>
      <w:r w:rsidRPr="00972397">
        <w:rPr>
          <w:sz w:val="16"/>
          <w:szCs w:val="16"/>
          <w:lang w:val="es-HN"/>
        </w:rPr>
        <w:t>40.</w:t>
      </w:r>
    </w:p>
  </w:footnote>
  <w:footnote w:id="50">
    <w:p w14:paraId="7744456A" w14:textId="3D4387FD" w:rsidR="00ED7560" w:rsidRPr="004F6A42" w:rsidRDefault="00ED7560" w:rsidP="00B62C6F">
      <w:pPr>
        <w:pStyle w:val="FootnoteText"/>
        <w:tabs>
          <w:tab w:val="clear" w:pos="1021"/>
          <w:tab w:val="right" w:pos="709"/>
        </w:tabs>
        <w:ind w:left="709" w:firstLine="0"/>
        <w:jc w:val="both"/>
        <w:rPr>
          <w:sz w:val="16"/>
          <w:szCs w:val="16"/>
          <w:lang w:val="es-HN"/>
        </w:rPr>
      </w:pPr>
      <w:r w:rsidRPr="004F6A42">
        <w:rPr>
          <w:rStyle w:val="FootnoteReference"/>
          <w:sz w:val="16"/>
          <w:szCs w:val="16"/>
          <w:lang w:val="es-HN"/>
        </w:rPr>
        <w:footnoteRef/>
      </w:r>
      <w:r w:rsidRPr="004F6A42">
        <w:rPr>
          <w:sz w:val="16"/>
          <w:szCs w:val="16"/>
          <w:lang w:val="es-HN"/>
        </w:rPr>
        <w:t xml:space="preserve"> Ver </w:t>
      </w:r>
      <w:hyperlink r:id="rId29" w:history="1">
        <w:r w:rsidRPr="004F6A42">
          <w:rPr>
            <w:rStyle w:val="Hyperlink"/>
            <w:sz w:val="16"/>
            <w:szCs w:val="16"/>
            <w:lang w:val="es-HN"/>
          </w:rPr>
          <w:t>https://www.ohchr.org/EN/NewsEvents/Pages/DisplayNews.aspx?NewsID=24911&amp;LangID=E/</w:t>
        </w:r>
      </w:hyperlink>
      <w:r w:rsidRPr="004F6A42">
        <w:rPr>
          <w:rStyle w:val="Hyperlink"/>
          <w:color w:val="auto"/>
          <w:sz w:val="16"/>
          <w:szCs w:val="16"/>
          <w:lang w:val="es-HN"/>
        </w:rPr>
        <w:t xml:space="preserve">  .</w:t>
      </w:r>
    </w:p>
  </w:footnote>
  <w:footnote w:id="51">
    <w:p w14:paraId="1127E94D" w14:textId="28174AE2" w:rsidR="00ED7560" w:rsidRPr="004F6A42" w:rsidRDefault="00ED7560" w:rsidP="00B62C6F">
      <w:pPr>
        <w:pStyle w:val="FootnoteText"/>
        <w:tabs>
          <w:tab w:val="clear" w:pos="1021"/>
          <w:tab w:val="right" w:pos="709"/>
        </w:tabs>
        <w:ind w:left="709" w:firstLine="0"/>
        <w:jc w:val="both"/>
        <w:rPr>
          <w:sz w:val="16"/>
          <w:szCs w:val="16"/>
          <w:lang w:val="es-HN"/>
        </w:rPr>
      </w:pPr>
      <w:r w:rsidRPr="004F6A42">
        <w:rPr>
          <w:rStyle w:val="FootnoteReference"/>
          <w:sz w:val="16"/>
          <w:szCs w:val="16"/>
          <w:lang w:val="es-HN"/>
        </w:rPr>
        <w:footnoteRef/>
      </w:r>
      <w:r w:rsidRPr="004F6A42">
        <w:rPr>
          <w:sz w:val="16"/>
          <w:szCs w:val="16"/>
          <w:lang w:val="es-HN"/>
        </w:rPr>
        <w:t xml:space="preserve"> Fraude en el Río Gualcarque, marzo; Patuca III, marzo; Aseguramiento bienes de la caja Chica, mayo; Narcopolítica, mayo; Corrupción sobre ruedas, septiembre. </w:t>
      </w:r>
    </w:p>
  </w:footnote>
  <w:footnote w:id="52">
    <w:p w14:paraId="753C0E71" w14:textId="68A5918A" w:rsidR="00ED7560" w:rsidRPr="008D2756" w:rsidRDefault="00ED7560" w:rsidP="003A650C">
      <w:pPr>
        <w:pStyle w:val="FootnoteText"/>
        <w:tabs>
          <w:tab w:val="clear" w:pos="1021"/>
          <w:tab w:val="right" w:pos="709"/>
        </w:tabs>
        <w:ind w:left="709" w:firstLine="0"/>
        <w:rPr>
          <w:sz w:val="16"/>
          <w:szCs w:val="16"/>
          <w:lang w:val="es-419"/>
        </w:rPr>
      </w:pPr>
      <w:r w:rsidRPr="004F34CA">
        <w:rPr>
          <w:rStyle w:val="FootnoteReference"/>
          <w:sz w:val="16"/>
          <w:szCs w:val="16"/>
        </w:rPr>
        <w:footnoteRef/>
      </w:r>
      <w:r w:rsidRPr="004F34CA">
        <w:rPr>
          <w:sz w:val="16"/>
          <w:szCs w:val="16"/>
          <w:lang w:val="uz-Cyrl-UZ"/>
        </w:rPr>
        <w:t xml:space="preserve"> Ley Especial para la Asignación, Ejecución, Liquidación y Rendición de Cuentas de Fondos Públicos para Proyectos de Orden Social, Comunitarios y Programas Sociales</w:t>
      </w:r>
      <w:r>
        <w:rPr>
          <w:sz w:val="16"/>
          <w:szCs w:val="16"/>
          <w:lang w:val="es-419"/>
        </w:rPr>
        <w:t xml:space="preserve">, decreto número </w:t>
      </w:r>
      <w:r w:rsidRPr="00D67260">
        <w:rPr>
          <w:bCs/>
          <w:sz w:val="16"/>
          <w:szCs w:val="16"/>
          <w:lang w:val="es-419"/>
        </w:rPr>
        <w:t>116-2019</w:t>
      </w:r>
      <w:r>
        <w:rPr>
          <w:bCs/>
          <w:sz w:val="16"/>
          <w:szCs w:val="16"/>
          <w:lang w:val="es-419"/>
        </w:rPr>
        <w:t>.</w:t>
      </w:r>
    </w:p>
  </w:footnote>
  <w:footnote w:id="53">
    <w:p w14:paraId="1C030628" w14:textId="32CD4EC0" w:rsidR="00ED7560" w:rsidRPr="004F6A42" w:rsidRDefault="00ED7560" w:rsidP="003A650C">
      <w:pPr>
        <w:pStyle w:val="FootnoteText"/>
        <w:tabs>
          <w:tab w:val="clear" w:pos="1021"/>
          <w:tab w:val="right" w:pos="709"/>
        </w:tabs>
        <w:ind w:left="709" w:firstLine="0"/>
        <w:rPr>
          <w:sz w:val="16"/>
          <w:szCs w:val="16"/>
          <w:lang w:val="es-HN"/>
        </w:rPr>
      </w:pPr>
      <w:r w:rsidRPr="00EB223C">
        <w:rPr>
          <w:rStyle w:val="FootnoteReference"/>
          <w:sz w:val="16"/>
          <w:szCs w:val="16"/>
        </w:rPr>
        <w:footnoteRef/>
      </w:r>
      <w:r w:rsidRPr="00EB223C">
        <w:rPr>
          <w:sz w:val="16"/>
          <w:szCs w:val="16"/>
          <w:lang w:val="uz-Cyrl-UZ"/>
        </w:rPr>
        <w:t xml:space="preserve"> </w:t>
      </w:r>
      <w:r w:rsidRPr="004F6A42">
        <w:rPr>
          <w:sz w:val="16"/>
          <w:szCs w:val="16"/>
          <w:lang w:val="es-HN"/>
        </w:rPr>
        <w:t xml:space="preserve">Ver </w:t>
      </w:r>
      <w:hyperlink r:id="rId30" w:history="1">
        <w:r w:rsidRPr="00B32408">
          <w:rPr>
            <w:rStyle w:val="Hyperlink"/>
            <w:sz w:val="16"/>
            <w:szCs w:val="16"/>
            <w:lang w:val="uz-Cyrl-UZ"/>
          </w:rPr>
          <w:t>https://www.mp.hn/index.php/author-login/146-octubre2019/5018-ministerio-publico-presenta-recurso-de-inconstitucionalidad-contra-decreto-legislativo-que-reactiva-el-fondo-social-departamental</w:t>
        </w:r>
      </w:hyperlink>
      <w:r w:rsidRPr="004F6A42">
        <w:rPr>
          <w:sz w:val="16"/>
          <w:szCs w:val="16"/>
          <w:lang w:val="es-HN"/>
        </w:rPr>
        <w:t xml:space="preserve"> .</w:t>
      </w:r>
    </w:p>
  </w:footnote>
  <w:footnote w:id="54">
    <w:p w14:paraId="6AE38077" w14:textId="49F9DE59" w:rsidR="00ED7560" w:rsidRPr="007D4A0E" w:rsidRDefault="00ED7560" w:rsidP="00E02D92">
      <w:pPr>
        <w:pStyle w:val="FootnoteText"/>
        <w:tabs>
          <w:tab w:val="clear" w:pos="1021"/>
          <w:tab w:val="right" w:pos="709"/>
        </w:tabs>
        <w:ind w:left="709" w:firstLine="0"/>
        <w:rPr>
          <w:lang w:val="es-419"/>
        </w:rPr>
      </w:pPr>
      <w:r w:rsidRPr="004F34CA">
        <w:rPr>
          <w:rStyle w:val="FootnoteReference"/>
          <w:sz w:val="16"/>
          <w:szCs w:val="16"/>
        </w:rPr>
        <w:footnoteRef/>
      </w:r>
      <w:r w:rsidRPr="007D4A0E">
        <w:rPr>
          <w:sz w:val="16"/>
          <w:szCs w:val="16"/>
          <w:lang w:val="es-419"/>
        </w:rPr>
        <w:t xml:space="preserve"> OACNUDH, “</w:t>
      </w:r>
      <w:r w:rsidRPr="0051460A">
        <w:rPr>
          <w:sz w:val="16"/>
          <w:szCs w:val="16"/>
          <w:lang w:val="es-419"/>
        </w:rPr>
        <w:t>Las violaciones de derechos h</w:t>
      </w:r>
      <w:r w:rsidRPr="007D4A0E">
        <w:rPr>
          <w:sz w:val="16"/>
          <w:szCs w:val="16"/>
          <w:lang w:val="es-419"/>
        </w:rPr>
        <w:t>umanos en el contexto</w:t>
      </w:r>
      <w:r>
        <w:rPr>
          <w:sz w:val="16"/>
          <w:szCs w:val="16"/>
          <w:lang w:val="es-419"/>
        </w:rPr>
        <w:t xml:space="preserve"> de las elecciones 2017 en Honduras”</w:t>
      </w:r>
      <w:r w:rsidRPr="007D4A0E">
        <w:rPr>
          <w:sz w:val="16"/>
          <w:szCs w:val="16"/>
          <w:lang w:val="es-419"/>
        </w:rPr>
        <w:t xml:space="preserve">, disponible en: </w:t>
      </w:r>
      <w:hyperlink r:id="rId31" w:history="1">
        <w:r w:rsidRPr="007D4A0E">
          <w:rPr>
            <w:rStyle w:val="Hyperlink"/>
            <w:sz w:val="16"/>
            <w:szCs w:val="16"/>
            <w:lang w:val="es-419"/>
          </w:rPr>
          <w:t>https://drive.google.com/file/d/1hW7xXsyph7e_0NzoefIxCNgYl5SDgRRZ/view/</w:t>
        </w:r>
      </w:hyperlink>
      <w:r w:rsidRPr="007D4A0E">
        <w:rPr>
          <w:sz w:val="16"/>
          <w:szCs w:val="16"/>
          <w:lang w:val="es-419"/>
        </w:rPr>
        <w:t xml:space="preserve"> .</w:t>
      </w:r>
    </w:p>
  </w:footnote>
  <w:footnote w:id="55">
    <w:p w14:paraId="34C44A32" w14:textId="4A7443C4" w:rsidR="00ED7560" w:rsidRPr="004F6A42" w:rsidRDefault="00ED7560" w:rsidP="003A650C">
      <w:pPr>
        <w:pStyle w:val="FootnoteText"/>
        <w:tabs>
          <w:tab w:val="clear" w:pos="1021"/>
          <w:tab w:val="right" w:pos="709"/>
        </w:tabs>
        <w:ind w:left="709" w:firstLine="0"/>
        <w:rPr>
          <w:sz w:val="16"/>
          <w:szCs w:val="16"/>
          <w:lang w:val="es-HN"/>
        </w:rPr>
      </w:pPr>
      <w:r w:rsidRPr="007C0716">
        <w:rPr>
          <w:rStyle w:val="FootnoteReference"/>
          <w:sz w:val="16"/>
          <w:szCs w:val="16"/>
        </w:rPr>
        <w:footnoteRef/>
      </w:r>
      <w:r w:rsidRPr="007C0716">
        <w:rPr>
          <w:sz w:val="16"/>
          <w:szCs w:val="16"/>
          <w:lang w:val="uz-Cyrl-UZ"/>
        </w:rPr>
        <w:t xml:space="preserve"> </w:t>
      </w:r>
      <w:r w:rsidRPr="004F6A42">
        <w:rPr>
          <w:sz w:val="16"/>
          <w:szCs w:val="16"/>
          <w:lang w:val="es-HN"/>
        </w:rPr>
        <w:t xml:space="preserve">Ver </w:t>
      </w:r>
      <w:hyperlink r:id="rId32" w:history="1">
        <w:r w:rsidRPr="00B32408">
          <w:rPr>
            <w:rStyle w:val="Hyperlink"/>
            <w:sz w:val="16"/>
            <w:szCs w:val="16"/>
            <w:lang w:val="uz-Cyrl-UZ"/>
          </w:rPr>
          <w:t>https://www.elheraldo.hn/pais/1278211-466/ministerio-p%C3%BAblico-denuncia-obstaculizaci%C3%B3n-en-investigaci%C3%B3n-sobre-muertes-post-electorales</w:t>
        </w:r>
      </w:hyperlink>
      <w:r w:rsidRPr="004F6A42">
        <w:rPr>
          <w:sz w:val="16"/>
          <w:szCs w:val="16"/>
          <w:lang w:val="es-HN"/>
        </w:rPr>
        <w:t xml:space="preserve"> .</w:t>
      </w:r>
    </w:p>
  </w:footnote>
  <w:footnote w:id="56">
    <w:p w14:paraId="695F2878" w14:textId="69589236" w:rsidR="00ED7560" w:rsidRPr="004F6A42" w:rsidRDefault="00ED7560" w:rsidP="003A650C">
      <w:pPr>
        <w:pStyle w:val="FootnoteText"/>
        <w:tabs>
          <w:tab w:val="clear" w:pos="1021"/>
          <w:tab w:val="right" w:pos="709"/>
        </w:tabs>
        <w:ind w:left="709" w:firstLine="0"/>
        <w:rPr>
          <w:sz w:val="16"/>
          <w:szCs w:val="16"/>
          <w:lang w:val="es-HN"/>
        </w:rPr>
      </w:pPr>
      <w:r w:rsidRPr="00B50DD8">
        <w:rPr>
          <w:rStyle w:val="FootnoteReference"/>
          <w:sz w:val="16"/>
          <w:szCs w:val="16"/>
        </w:rPr>
        <w:footnoteRef/>
      </w:r>
      <w:r w:rsidRPr="004F6A42">
        <w:rPr>
          <w:sz w:val="16"/>
          <w:szCs w:val="16"/>
          <w:lang w:val="es-HN"/>
        </w:rPr>
        <w:t xml:space="preserve"> Decreto Número 418/2014.</w:t>
      </w:r>
    </w:p>
  </w:footnote>
  <w:footnote w:id="57">
    <w:p w14:paraId="02A0684D" w14:textId="05003C5A" w:rsidR="00ED7560" w:rsidRPr="004F6A42" w:rsidRDefault="00ED7560" w:rsidP="003A650C">
      <w:pPr>
        <w:pStyle w:val="FootnoteText"/>
        <w:tabs>
          <w:tab w:val="clear" w:pos="1021"/>
          <w:tab w:val="right" w:pos="709"/>
        </w:tabs>
        <w:ind w:left="709" w:firstLine="0"/>
        <w:rPr>
          <w:sz w:val="16"/>
          <w:szCs w:val="16"/>
          <w:lang w:val="es-HN"/>
        </w:rPr>
      </w:pPr>
      <w:r w:rsidRPr="00B50DD8">
        <w:rPr>
          <w:rStyle w:val="FootnoteReference"/>
          <w:sz w:val="16"/>
          <w:szCs w:val="16"/>
        </w:rPr>
        <w:footnoteRef/>
      </w:r>
      <w:r w:rsidRPr="004F6A42">
        <w:rPr>
          <w:sz w:val="16"/>
          <w:szCs w:val="16"/>
          <w:lang w:val="es-HN"/>
        </w:rPr>
        <w:t xml:space="preserve"> </w:t>
      </w:r>
      <w:r>
        <w:rPr>
          <w:sz w:val="16"/>
          <w:szCs w:val="16"/>
          <w:lang w:val="es-HN"/>
        </w:rPr>
        <w:t>CONADEH</w:t>
      </w:r>
      <w:r w:rsidRPr="004F6A42">
        <w:rPr>
          <w:sz w:val="16"/>
          <w:szCs w:val="16"/>
          <w:lang w:val="es-HN"/>
        </w:rPr>
        <w:t>, "Los hechos hablan por sí mismos, Informe Preliminar sobre los Desaparecidos entre 1980</w:t>
      </w:r>
      <w:r>
        <w:rPr>
          <w:sz w:val="16"/>
          <w:szCs w:val="16"/>
          <w:lang w:val="es-HN"/>
        </w:rPr>
        <w:t xml:space="preserve"> </w:t>
      </w:r>
      <w:r w:rsidRPr="004F6A42">
        <w:rPr>
          <w:sz w:val="16"/>
          <w:szCs w:val="16"/>
          <w:lang w:val="es-HN"/>
        </w:rPr>
        <w:t>-</w:t>
      </w:r>
      <w:r>
        <w:rPr>
          <w:sz w:val="16"/>
          <w:szCs w:val="16"/>
          <w:lang w:val="es-HN"/>
        </w:rPr>
        <w:t xml:space="preserve"> </w:t>
      </w:r>
      <w:r w:rsidRPr="004F6A42">
        <w:rPr>
          <w:sz w:val="16"/>
          <w:szCs w:val="16"/>
          <w:lang w:val="es-HN"/>
        </w:rPr>
        <w:t>1993", Editorial Guaymuras.</w:t>
      </w:r>
    </w:p>
  </w:footnote>
  <w:footnote w:id="58">
    <w:p w14:paraId="74BD7885" w14:textId="1BE4C358" w:rsidR="00ED7560" w:rsidRPr="004F6A42" w:rsidRDefault="00ED7560" w:rsidP="002566DD">
      <w:pPr>
        <w:pStyle w:val="FootnoteText"/>
        <w:tabs>
          <w:tab w:val="clear" w:pos="1021"/>
          <w:tab w:val="right" w:pos="709"/>
        </w:tabs>
        <w:ind w:left="709" w:firstLine="0"/>
        <w:rPr>
          <w:sz w:val="16"/>
          <w:szCs w:val="16"/>
          <w:lang w:val="es-HN"/>
        </w:rPr>
      </w:pPr>
      <w:r w:rsidRPr="00B50DD8">
        <w:rPr>
          <w:rStyle w:val="FootnoteReference"/>
          <w:sz w:val="16"/>
          <w:szCs w:val="16"/>
        </w:rPr>
        <w:footnoteRef/>
      </w:r>
      <w:r w:rsidRPr="004F6A42">
        <w:rPr>
          <w:sz w:val="16"/>
          <w:szCs w:val="16"/>
          <w:lang w:val="es-HN"/>
        </w:rPr>
        <w:t xml:space="preserve"> Ver </w:t>
      </w:r>
      <w:hyperlink r:id="rId33" w:history="1">
        <w:r w:rsidRPr="004F6A42">
          <w:rPr>
            <w:rStyle w:val="Hyperlink"/>
            <w:sz w:val="16"/>
            <w:szCs w:val="16"/>
            <w:lang w:val="es-HN"/>
          </w:rPr>
          <w:t>http://www.corteidh.or.cr/tablas/fichas/juanhumberto.pdf</w:t>
        </w:r>
        <w:r w:rsidRPr="00B32408">
          <w:rPr>
            <w:rStyle w:val="Hyperlink"/>
            <w:sz w:val="16"/>
            <w:szCs w:val="16"/>
            <w:lang w:val="es-HN"/>
          </w:rPr>
          <w:t>/</w:t>
        </w:r>
      </w:hyperlink>
      <w:r>
        <w:rPr>
          <w:rStyle w:val="Hyperlink"/>
          <w:color w:val="auto"/>
          <w:sz w:val="16"/>
          <w:szCs w:val="16"/>
          <w:lang w:val="es-HN"/>
        </w:rPr>
        <w:t xml:space="preserve"> </w:t>
      </w:r>
      <w:r w:rsidRPr="004F6A42">
        <w:rPr>
          <w:rStyle w:val="Hyperlink"/>
          <w:color w:val="auto"/>
          <w:sz w:val="16"/>
          <w:szCs w:val="16"/>
          <w:lang w:val="es-HN"/>
        </w:rPr>
        <w:t>.</w:t>
      </w:r>
    </w:p>
  </w:footnote>
  <w:footnote w:id="59">
    <w:p w14:paraId="216BD62D" w14:textId="751802E9" w:rsidR="00ED7560" w:rsidRPr="004F6A42" w:rsidRDefault="00ED7560" w:rsidP="003A650C">
      <w:pPr>
        <w:pStyle w:val="FootnoteText"/>
        <w:tabs>
          <w:tab w:val="clear" w:pos="1021"/>
          <w:tab w:val="right" w:pos="709"/>
        </w:tabs>
        <w:ind w:left="709" w:firstLine="0"/>
        <w:rPr>
          <w:sz w:val="16"/>
          <w:szCs w:val="16"/>
          <w:lang w:val="es-HN"/>
        </w:rPr>
      </w:pPr>
      <w:r w:rsidRPr="00B50DD8">
        <w:rPr>
          <w:rStyle w:val="FootnoteReference"/>
          <w:sz w:val="16"/>
          <w:szCs w:val="16"/>
        </w:rPr>
        <w:footnoteRef/>
      </w:r>
      <w:r w:rsidRPr="004F6A42">
        <w:rPr>
          <w:sz w:val="16"/>
          <w:szCs w:val="16"/>
          <w:lang w:val="es-HN"/>
        </w:rPr>
        <w:t xml:space="preserve"> Datos de la Dirección General de la Policía Nacional.</w:t>
      </w:r>
    </w:p>
  </w:footnote>
  <w:footnote w:id="60">
    <w:p w14:paraId="7A299418" w14:textId="3534AA05" w:rsidR="00ED7560" w:rsidRPr="004F6A42" w:rsidRDefault="00ED7560" w:rsidP="00DE52BB">
      <w:pPr>
        <w:pStyle w:val="FootnoteText"/>
        <w:ind w:hanging="425"/>
        <w:rPr>
          <w:sz w:val="16"/>
          <w:szCs w:val="16"/>
          <w:lang w:val="es-HN"/>
        </w:rPr>
      </w:pPr>
      <w:r w:rsidRPr="00B50DD8">
        <w:rPr>
          <w:rStyle w:val="FootnoteReference"/>
          <w:sz w:val="16"/>
          <w:szCs w:val="16"/>
        </w:rPr>
        <w:footnoteRef/>
      </w:r>
      <w:r w:rsidRPr="004F6A42">
        <w:rPr>
          <w:sz w:val="16"/>
          <w:szCs w:val="16"/>
          <w:lang w:val="es-HN"/>
        </w:rPr>
        <w:t xml:space="preserve"> </w:t>
      </w:r>
      <w:r w:rsidRPr="004F6A42">
        <w:rPr>
          <w:color w:val="000000"/>
          <w:sz w:val="16"/>
          <w:szCs w:val="16"/>
          <w:lang w:val="es-HN"/>
        </w:rPr>
        <w:t xml:space="preserve">Decretos Números </w:t>
      </w:r>
      <w:r w:rsidRPr="004F6A42">
        <w:rPr>
          <w:sz w:val="16"/>
          <w:szCs w:val="16"/>
          <w:lang w:val="es-HN"/>
        </w:rPr>
        <w:t>026/2018 y</w:t>
      </w:r>
      <w:r>
        <w:rPr>
          <w:sz w:val="16"/>
          <w:szCs w:val="16"/>
          <w:lang w:val="es-HN"/>
        </w:rPr>
        <w:t xml:space="preserve"> </w:t>
      </w:r>
      <w:r w:rsidRPr="004F6A42">
        <w:rPr>
          <w:sz w:val="16"/>
          <w:szCs w:val="16"/>
          <w:lang w:val="es-HN"/>
        </w:rPr>
        <w:t>027/2018.</w:t>
      </w:r>
    </w:p>
  </w:footnote>
  <w:footnote w:id="61">
    <w:p w14:paraId="41044B2C" w14:textId="6D0BE1B6" w:rsidR="00ED7560" w:rsidRPr="004F6A42" w:rsidRDefault="00ED7560" w:rsidP="003A650C">
      <w:pPr>
        <w:pStyle w:val="FootnoteText"/>
        <w:ind w:hanging="425"/>
        <w:rPr>
          <w:lang w:val="es-HN"/>
        </w:rPr>
      </w:pPr>
      <w:r w:rsidRPr="00B50DD8">
        <w:rPr>
          <w:rStyle w:val="FootnoteReference"/>
          <w:sz w:val="16"/>
          <w:szCs w:val="16"/>
        </w:rPr>
        <w:footnoteRef/>
      </w:r>
      <w:r w:rsidRPr="004F6A42">
        <w:rPr>
          <w:sz w:val="16"/>
          <w:szCs w:val="16"/>
          <w:lang w:val="es-HN"/>
        </w:rPr>
        <w:t xml:space="preserve"> A/HRC/34/3/Add. 2, p</w:t>
      </w:r>
      <w:r>
        <w:rPr>
          <w:sz w:val="16"/>
          <w:szCs w:val="16"/>
          <w:lang w:val="es-HN"/>
        </w:rPr>
        <w:t>árr</w:t>
      </w:r>
      <w:r w:rsidRPr="004F6A42">
        <w:rPr>
          <w:sz w:val="16"/>
          <w:szCs w:val="16"/>
          <w:lang w:val="es-HN"/>
        </w:rPr>
        <w:t>. 12; ver también CCPR/C/HND/CO/2, p</w:t>
      </w:r>
      <w:r>
        <w:rPr>
          <w:sz w:val="16"/>
          <w:szCs w:val="16"/>
          <w:lang w:val="es-HN"/>
        </w:rPr>
        <w:t>árrs</w:t>
      </w:r>
      <w:r w:rsidRPr="004F6A42">
        <w:rPr>
          <w:sz w:val="16"/>
          <w:szCs w:val="16"/>
          <w:lang w:val="es-HN"/>
        </w:rPr>
        <w:t xml:space="preserve">. 20 </w:t>
      </w:r>
      <w:r>
        <w:rPr>
          <w:sz w:val="16"/>
          <w:szCs w:val="16"/>
          <w:lang w:val="es-HN"/>
        </w:rPr>
        <w:t>y</w:t>
      </w:r>
      <w:r w:rsidRPr="004F6A42">
        <w:rPr>
          <w:sz w:val="16"/>
          <w:szCs w:val="16"/>
          <w:lang w:val="es-HN"/>
        </w:rPr>
        <w:t xml:space="preserve"> 21.</w:t>
      </w:r>
      <w:hyperlink r:id="rId34" w:history="1"/>
    </w:p>
  </w:footnote>
  <w:footnote w:id="62">
    <w:p w14:paraId="5CC4B41E" w14:textId="139FAB8F" w:rsidR="00ED7560" w:rsidRPr="004F6A42" w:rsidRDefault="00ED7560" w:rsidP="003A650C">
      <w:pPr>
        <w:pStyle w:val="FootnoteText"/>
        <w:ind w:hanging="425"/>
        <w:rPr>
          <w:sz w:val="16"/>
          <w:szCs w:val="16"/>
          <w:lang w:val="es-HN"/>
        </w:rPr>
      </w:pPr>
      <w:r w:rsidRPr="00213F6B">
        <w:rPr>
          <w:rStyle w:val="FootnoteReference"/>
          <w:sz w:val="16"/>
          <w:szCs w:val="16"/>
        </w:rPr>
        <w:footnoteRef/>
      </w:r>
      <w:r w:rsidRPr="004F6A42">
        <w:rPr>
          <w:sz w:val="16"/>
          <w:szCs w:val="16"/>
          <w:lang w:val="es-HN"/>
        </w:rPr>
        <w:t xml:space="preserve"> Ver </w:t>
      </w:r>
      <w:hyperlink r:id="rId35" w:history="1">
        <w:r w:rsidRPr="004F6A42">
          <w:rPr>
            <w:rStyle w:val="Hyperlink"/>
            <w:sz w:val="16"/>
            <w:szCs w:val="16"/>
            <w:lang w:val="es-HN"/>
          </w:rPr>
          <w:t>http://www.oas.org/es/cidh/decisiones/pdf/MC416-13-Resolucion-es.PDF</w:t>
        </w:r>
        <w:r w:rsidRPr="00B32408">
          <w:rPr>
            <w:rStyle w:val="Hyperlink"/>
            <w:sz w:val="16"/>
            <w:szCs w:val="16"/>
            <w:lang w:val="es-HN"/>
          </w:rPr>
          <w:t>/</w:t>
        </w:r>
      </w:hyperlink>
      <w:r>
        <w:rPr>
          <w:rStyle w:val="Hyperlink"/>
          <w:color w:val="auto"/>
          <w:sz w:val="16"/>
          <w:szCs w:val="16"/>
          <w:lang w:val="es-HN"/>
        </w:rPr>
        <w:t xml:space="preserve"> </w:t>
      </w:r>
      <w:r w:rsidRPr="004F6A42">
        <w:rPr>
          <w:rStyle w:val="Hyperlink"/>
          <w:color w:val="auto"/>
          <w:sz w:val="16"/>
          <w:szCs w:val="16"/>
          <w:lang w:val="es-HN"/>
        </w:rPr>
        <w:t>.</w:t>
      </w:r>
    </w:p>
  </w:footnote>
  <w:footnote w:id="63">
    <w:p w14:paraId="013EDAA3" w14:textId="6F853BB4" w:rsidR="00ED7560" w:rsidRPr="00213F6B" w:rsidRDefault="00ED7560" w:rsidP="003A650C">
      <w:pPr>
        <w:pStyle w:val="FootnoteText"/>
        <w:ind w:hanging="425"/>
        <w:rPr>
          <w:sz w:val="16"/>
          <w:szCs w:val="16"/>
          <w:lang w:val="uz-Cyrl-UZ"/>
        </w:rPr>
      </w:pPr>
      <w:r w:rsidRPr="00213F6B">
        <w:rPr>
          <w:rStyle w:val="FootnoteReference"/>
          <w:sz w:val="16"/>
          <w:szCs w:val="16"/>
        </w:rPr>
        <w:footnoteRef/>
      </w:r>
      <w:r w:rsidRPr="00213F6B">
        <w:rPr>
          <w:sz w:val="16"/>
          <w:szCs w:val="16"/>
          <w:lang w:val="uz-Cyrl-UZ"/>
        </w:rPr>
        <w:t xml:space="preserve"> </w:t>
      </w:r>
      <w:r w:rsidRPr="004F6A42">
        <w:rPr>
          <w:sz w:val="16"/>
          <w:szCs w:val="16"/>
          <w:lang w:val="es-HN"/>
        </w:rPr>
        <w:t xml:space="preserve">Ver </w:t>
      </w:r>
      <w:hyperlink r:id="rId36" w:history="1">
        <w:r w:rsidRPr="004F6A42">
          <w:rPr>
            <w:rStyle w:val="Hyperlink"/>
            <w:sz w:val="16"/>
            <w:szCs w:val="16"/>
            <w:lang w:val="es-HN"/>
          </w:rPr>
          <w:t>http://corteidh.or.cr/docs/casos/escaleras/acuerdo.pdf</w:t>
        </w:r>
        <w:r w:rsidRPr="00B32408">
          <w:rPr>
            <w:rStyle w:val="Hyperlink"/>
            <w:sz w:val="16"/>
            <w:szCs w:val="16"/>
            <w:lang w:val="es-HN"/>
          </w:rPr>
          <w:t>/</w:t>
        </w:r>
      </w:hyperlink>
      <w:r>
        <w:rPr>
          <w:rStyle w:val="Hyperlink"/>
          <w:color w:val="auto"/>
          <w:sz w:val="16"/>
          <w:szCs w:val="16"/>
          <w:lang w:val="es-HN"/>
        </w:rPr>
        <w:t xml:space="preserve"> </w:t>
      </w:r>
      <w:r w:rsidRPr="004F6A42">
        <w:rPr>
          <w:rStyle w:val="Hyperlink"/>
          <w:color w:val="auto"/>
          <w:sz w:val="16"/>
          <w:szCs w:val="16"/>
          <w:lang w:val="es-HN"/>
        </w:rPr>
        <w:t>.</w:t>
      </w:r>
    </w:p>
  </w:footnote>
  <w:footnote w:id="64">
    <w:p w14:paraId="63565CBB" w14:textId="65504F6A" w:rsidR="00ED7560" w:rsidRPr="004F6A42" w:rsidRDefault="00ED7560" w:rsidP="003A650C">
      <w:pPr>
        <w:pStyle w:val="FootnoteText"/>
        <w:ind w:hanging="425"/>
        <w:rPr>
          <w:sz w:val="16"/>
          <w:szCs w:val="16"/>
          <w:lang w:val="es-HN"/>
        </w:rPr>
      </w:pPr>
      <w:r w:rsidRPr="00213F6B">
        <w:rPr>
          <w:rStyle w:val="FootnoteReference"/>
          <w:sz w:val="16"/>
          <w:szCs w:val="16"/>
        </w:rPr>
        <w:footnoteRef/>
      </w:r>
      <w:r w:rsidRPr="00213F6B">
        <w:rPr>
          <w:sz w:val="16"/>
          <w:szCs w:val="16"/>
          <w:lang w:val="uz-Cyrl-UZ"/>
        </w:rPr>
        <w:t xml:space="preserve"> </w:t>
      </w:r>
      <w:r w:rsidRPr="004F6A42">
        <w:rPr>
          <w:sz w:val="16"/>
          <w:szCs w:val="16"/>
          <w:lang w:val="es-HN"/>
        </w:rPr>
        <w:t xml:space="preserve">Resolución </w:t>
      </w:r>
      <w:r w:rsidRPr="00213F6B">
        <w:rPr>
          <w:sz w:val="16"/>
          <w:szCs w:val="16"/>
          <w:lang w:val="uz-Cyrl-UZ"/>
        </w:rPr>
        <w:t>SEDH-0695</w:t>
      </w:r>
      <w:r w:rsidRPr="004F6A42">
        <w:rPr>
          <w:sz w:val="16"/>
          <w:szCs w:val="16"/>
          <w:lang w:val="es-HN"/>
        </w:rPr>
        <w:t xml:space="preserve"> </w:t>
      </w:r>
      <w:r w:rsidRPr="00213F6B">
        <w:rPr>
          <w:sz w:val="16"/>
          <w:szCs w:val="16"/>
          <w:lang w:val="uz-Cyrl-UZ"/>
        </w:rPr>
        <w:t>-</w:t>
      </w:r>
      <w:r w:rsidRPr="004F6A42">
        <w:rPr>
          <w:sz w:val="16"/>
          <w:szCs w:val="16"/>
          <w:lang w:val="es-HN"/>
        </w:rPr>
        <w:t xml:space="preserve"> </w:t>
      </w:r>
      <w:r w:rsidRPr="00213F6B">
        <w:rPr>
          <w:sz w:val="16"/>
          <w:szCs w:val="16"/>
          <w:lang w:val="uz-Cyrl-UZ"/>
        </w:rPr>
        <w:t>2019</w:t>
      </w:r>
      <w:r w:rsidRPr="004F6A42">
        <w:rPr>
          <w:sz w:val="16"/>
          <w:szCs w:val="16"/>
          <w:lang w:val="es-HN"/>
        </w:rPr>
        <w:t>.</w:t>
      </w:r>
    </w:p>
  </w:footnote>
  <w:footnote w:id="65">
    <w:p w14:paraId="033050A6" w14:textId="254DCCE5" w:rsidR="00ED7560" w:rsidRPr="004F6A42" w:rsidRDefault="00ED7560" w:rsidP="003A650C">
      <w:pPr>
        <w:pStyle w:val="FootnoteText"/>
        <w:ind w:hanging="425"/>
        <w:rPr>
          <w:sz w:val="16"/>
          <w:szCs w:val="16"/>
          <w:lang w:val="es-HN"/>
        </w:rPr>
      </w:pPr>
      <w:r w:rsidRPr="00213F6B">
        <w:rPr>
          <w:rStyle w:val="FootnoteReference"/>
          <w:sz w:val="16"/>
          <w:szCs w:val="16"/>
        </w:rPr>
        <w:footnoteRef/>
      </w:r>
      <w:r w:rsidRPr="004F6A42">
        <w:rPr>
          <w:sz w:val="16"/>
          <w:szCs w:val="16"/>
          <w:lang w:val="es-HN"/>
        </w:rPr>
        <w:t xml:space="preserve"> Datos proporcionados por la ONG C-LIBRE.</w:t>
      </w:r>
      <w:r w:rsidRPr="00213F6B">
        <w:rPr>
          <w:sz w:val="16"/>
          <w:szCs w:val="16"/>
          <w:lang w:val="uz-Cyrl-UZ"/>
        </w:rPr>
        <w:t xml:space="preserve"> </w:t>
      </w:r>
    </w:p>
  </w:footnote>
  <w:footnote w:id="66">
    <w:p w14:paraId="6703E871" w14:textId="11DB2C55" w:rsidR="00ED7560" w:rsidRPr="004F6A42" w:rsidRDefault="00ED7560" w:rsidP="003A650C">
      <w:pPr>
        <w:pStyle w:val="FootnoteText"/>
        <w:tabs>
          <w:tab w:val="clear" w:pos="1021"/>
          <w:tab w:val="right" w:pos="709"/>
        </w:tabs>
        <w:ind w:left="709" w:firstLine="0"/>
        <w:rPr>
          <w:lang w:val="es-HN"/>
        </w:rPr>
      </w:pPr>
      <w:r w:rsidRPr="00213F6B">
        <w:rPr>
          <w:rStyle w:val="FootnoteReference"/>
          <w:sz w:val="16"/>
          <w:szCs w:val="16"/>
        </w:rPr>
        <w:footnoteRef/>
      </w:r>
      <w:r w:rsidRPr="00213F6B">
        <w:rPr>
          <w:sz w:val="16"/>
          <w:szCs w:val="16"/>
          <w:lang w:val="uz-Cyrl-UZ"/>
        </w:rPr>
        <w:t xml:space="preserve"> </w:t>
      </w:r>
      <w:r w:rsidRPr="004F6A42">
        <w:rPr>
          <w:sz w:val="16"/>
          <w:szCs w:val="16"/>
          <w:lang w:val="es-HN"/>
        </w:rPr>
        <w:t xml:space="preserve">Ver </w:t>
      </w:r>
      <w:hyperlink r:id="rId37" w:history="1">
        <w:r w:rsidRPr="00B32408">
          <w:rPr>
            <w:rStyle w:val="Hyperlink"/>
            <w:sz w:val="16"/>
            <w:szCs w:val="16"/>
            <w:lang w:val="uz-Cyrl-UZ"/>
          </w:rPr>
          <w:t>https://www.oas.org/es/cidh/decisiones/pdf/2019/15-19MC75-19-HO.pdf</w:t>
        </w:r>
      </w:hyperlink>
      <w:r w:rsidRPr="004F6A42">
        <w:rPr>
          <w:sz w:val="16"/>
          <w:szCs w:val="16"/>
          <w:lang w:val="es-HN"/>
        </w:rPr>
        <w:t xml:space="preserve"> </w:t>
      </w:r>
      <w:r>
        <w:rPr>
          <w:sz w:val="16"/>
          <w:szCs w:val="16"/>
          <w:lang w:val="es-HN"/>
        </w:rPr>
        <w:t>.</w:t>
      </w:r>
    </w:p>
  </w:footnote>
  <w:footnote w:id="67">
    <w:p w14:paraId="1BF923ED" w14:textId="20407F04" w:rsidR="00ED7560" w:rsidRPr="004F6A42" w:rsidRDefault="00ED7560" w:rsidP="003A650C">
      <w:pPr>
        <w:pStyle w:val="FootnoteText"/>
        <w:tabs>
          <w:tab w:val="clear" w:pos="1021"/>
          <w:tab w:val="right" w:pos="709"/>
        </w:tabs>
        <w:ind w:left="709" w:firstLine="0"/>
        <w:rPr>
          <w:sz w:val="16"/>
          <w:szCs w:val="16"/>
          <w:lang w:val="es-HN"/>
        </w:rPr>
      </w:pPr>
      <w:r w:rsidRPr="00213F6B">
        <w:rPr>
          <w:rStyle w:val="FootnoteReference"/>
          <w:sz w:val="16"/>
          <w:szCs w:val="16"/>
        </w:rPr>
        <w:footnoteRef/>
      </w:r>
      <w:r w:rsidRPr="004F6A42">
        <w:rPr>
          <w:sz w:val="16"/>
          <w:szCs w:val="16"/>
          <w:lang w:val="es-HN"/>
        </w:rPr>
        <w:t xml:space="preserve"> </w:t>
      </w:r>
      <w:r w:rsidRPr="00213F6B">
        <w:rPr>
          <w:sz w:val="16"/>
          <w:szCs w:val="16"/>
          <w:lang w:val="uz-Cyrl-UZ"/>
        </w:rPr>
        <w:t>A/HRC/33/42/Add.2;</w:t>
      </w:r>
      <w:r w:rsidRPr="004F6A42">
        <w:rPr>
          <w:sz w:val="16"/>
          <w:szCs w:val="16"/>
          <w:lang w:val="es-HN"/>
        </w:rPr>
        <w:t xml:space="preserve"> ver también </w:t>
      </w:r>
      <w:hyperlink r:id="rId38" w:history="1">
        <w:r w:rsidRPr="00B32408">
          <w:rPr>
            <w:rStyle w:val="Hyperlink"/>
            <w:sz w:val="16"/>
            <w:szCs w:val="16"/>
            <w:lang w:val="uz-Cyrl-UZ"/>
          </w:rPr>
          <w:t>https://www.ohchr.org/EN/Issues/IPeoples/SRIndigenousPeoples/Pages/LegislationAndPolicy.aspx</w:t>
        </w:r>
      </w:hyperlink>
      <w:r w:rsidRPr="004F6A42">
        <w:rPr>
          <w:sz w:val="16"/>
          <w:szCs w:val="16"/>
          <w:lang w:val="es-HN"/>
        </w:rPr>
        <w:t xml:space="preserve"> .</w:t>
      </w:r>
    </w:p>
  </w:footnote>
  <w:footnote w:id="68">
    <w:p w14:paraId="3FE3EBA7" w14:textId="65557087" w:rsidR="00ED7560" w:rsidRPr="004F6A42" w:rsidRDefault="00ED7560" w:rsidP="003A650C">
      <w:pPr>
        <w:pStyle w:val="FootnoteText"/>
        <w:tabs>
          <w:tab w:val="clear" w:pos="1021"/>
          <w:tab w:val="right" w:pos="709"/>
        </w:tabs>
        <w:ind w:left="709" w:firstLine="0"/>
        <w:rPr>
          <w:lang w:val="es-HN"/>
        </w:rPr>
      </w:pPr>
      <w:r w:rsidRPr="00213F6B">
        <w:rPr>
          <w:rStyle w:val="FootnoteReference"/>
          <w:sz w:val="16"/>
          <w:szCs w:val="16"/>
        </w:rPr>
        <w:footnoteRef/>
      </w:r>
      <w:r w:rsidRPr="00213F6B">
        <w:rPr>
          <w:sz w:val="16"/>
          <w:szCs w:val="16"/>
          <w:lang w:val="uz-Cyrl-UZ"/>
        </w:rPr>
        <w:t xml:space="preserve"> </w:t>
      </w:r>
      <w:r w:rsidRPr="004F6A42">
        <w:rPr>
          <w:sz w:val="16"/>
          <w:szCs w:val="16"/>
          <w:lang w:val="es-HN"/>
        </w:rPr>
        <w:t xml:space="preserve">Ver </w:t>
      </w:r>
      <w:hyperlink r:id="rId39" w:history="1">
        <w:r w:rsidRPr="00B32408">
          <w:rPr>
            <w:rStyle w:val="Hyperlink"/>
            <w:sz w:val="16"/>
            <w:szCs w:val="16"/>
            <w:lang w:val="uz-Cyrl-UZ"/>
          </w:rPr>
          <w:t>https://www.cidh.oas.org/annualrep/2009sp/Honduras1186-04.sp.htm</w:t>
        </w:r>
      </w:hyperlink>
      <w:r w:rsidRPr="004F6A42">
        <w:rPr>
          <w:sz w:val="16"/>
          <w:szCs w:val="16"/>
          <w:lang w:val="es-HN"/>
        </w:rPr>
        <w:t xml:space="preserve"> .</w:t>
      </w:r>
    </w:p>
  </w:footnote>
  <w:footnote w:id="69">
    <w:p w14:paraId="25D4341F" w14:textId="34E42CF5" w:rsidR="00ED7560" w:rsidRPr="004F6A42" w:rsidRDefault="00ED7560" w:rsidP="003A650C">
      <w:pPr>
        <w:pStyle w:val="FootnoteText"/>
        <w:tabs>
          <w:tab w:val="clear" w:pos="1021"/>
          <w:tab w:val="right" w:pos="709"/>
        </w:tabs>
        <w:ind w:left="709" w:firstLine="0"/>
        <w:rPr>
          <w:sz w:val="16"/>
          <w:szCs w:val="16"/>
          <w:lang w:val="es-HN"/>
        </w:rPr>
      </w:pPr>
      <w:r w:rsidRPr="00741751">
        <w:rPr>
          <w:rStyle w:val="FootnoteReference"/>
          <w:sz w:val="16"/>
          <w:szCs w:val="16"/>
        </w:rPr>
        <w:footnoteRef/>
      </w:r>
      <w:r w:rsidRPr="00741751">
        <w:rPr>
          <w:sz w:val="16"/>
          <w:szCs w:val="16"/>
          <w:lang w:val="uz-Cyrl-UZ"/>
        </w:rPr>
        <w:t xml:space="preserve"> </w:t>
      </w:r>
      <w:r w:rsidRPr="00A33D38">
        <w:rPr>
          <w:sz w:val="16"/>
          <w:szCs w:val="16"/>
          <w:lang w:val="uz-Cyrl-UZ"/>
        </w:rPr>
        <w:t>Estudio sobre la penalización de las mujeres para el aborto en Honduras, bajo publicación, Somos Muchas y Optio Global, Programa de Justicia Reproductiva</w:t>
      </w:r>
      <w:r w:rsidRPr="00A33D38" w:rsidDel="00A33D38">
        <w:rPr>
          <w:sz w:val="16"/>
          <w:szCs w:val="16"/>
          <w:lang w:val="uz-Cyrl-UZ"/>
        </w:rPr>
        <w:t xml:space="preserve"> </w:t>
      </w:r>
    </w:p>
  </w:footnote>
  <w:footnote w:id="70">
    <w:p w14:paraId="58E0438E" w14:textId="1BC3A834" w:rsidR="00ED7560" w:rsidRPr="004F6A42" w:rsidRDefault="00ED7560" w:rsidP="003A650C">
      <w:pPr>
        <w:pStyle w:val="FootnoteText"/>
        <w:tabs>
          <w:tab w:val="clear" w:pos="1021"/>
          <w:tab w:val="right" w:pos="709"/>
        </w:tabs>
        <w:ind w:left="709" w:firstLine="0"/>
        <w:rPr>
          <w:sz w:val="16"/>
          <w:szCs w:val="16"/>
          <w:lang w:val="es-HN"/>
        </w:rPr>
      </w:pPr>
      <w:r w:rsidRPr="00741751">
        <w:rPr>
          <w:rStyle w:val="FootnoteReference"/>
          <w:sz w:val="16"/>
          <w:szCs w:val="16"/>
        </w:rPr>
        <w:footnoteRef/>
      </w:r>
      <w:r w:rsidRPr="004F6A42">
        <w:rPr>
          <w:sz w:val="16"/>
          <w:szCs w:val="16"/>
          <w:lang w:val="es-HN"/>
        </w:rPr>
        <w:t xml:space="preserve"> ve</w:t>
      </w:r>
      <w:r>
        <w:rPr>
          <w:sz w:val="16"/>
          <w:szCs w:val="16"/>
          <w:lang w:val="es-HN"/>
        </w:rPr>
        <w:t>r</w:t>
      </w:r>
      <w:r w:rsidRPr="00741751">
        <w:rPr>
          <w:sz w:val="16"/>
          <w:szCs w:val="16"/>
          <w:lang w:val="uz-Cyrl-UZ"/>
        </w:rPr>
        <w:t xml:space="preserve"> </w:t>
      </w:r>
      <w:hyperlink r:id="rId40" w:history="1">
        <w:r w:rsidRPr="0051460A">
          <w:rPr>
            <w:rStyle w:val="Hyperlink"/>
            <w:sz w:val="16"/>
            <w:szCs w:val="16"/>
            <w:lang w:val="uz-Cyrl-UZ"/>
          </w:rPr>
          <w:t>https://www.unfpa.org/sites/default/files/pub-pdf/UNFPA_PUB_2017_ES_SWOP_Estado_de_la_Poblacion_Mundial.pdf</w:t>
        </w:r>
      </w:hyperlink>
      <w:r w:rsidRPr="004F6A42">
        <w:rPr>
          <w:sz w:val="16"/>
          <w:szCs w:val="16"/>
          <w:lang w:val="es-HN"/>
        </w:rPr>
        <w:t xml:space="preserve"> .</w:t>
      </w:r>
    </w:p>
  </w:footnote>
  <w:footnote w:id="71">
    <w:p w14:paraId="2E8C8491" w14:textId="1AE37134" w:rsidR="00ED7560" w:rsidRPr="00751C86" w:rsidRDefault="00ED7560" w:rsidP="003A650C">
      <w:pPr>
        <w:pStyle w:val="FootnoteText"/>
        <w:tabs>
          <w:tab w:val="clear" w:pos="1021"/>
          <w:tab w:val="right" w:pos="709"/>
        </w:tabs>
        <w:ind w:left="709" w:firstLine="0"/>
        <w:rPr>
          <w:sz w:val="16"/>
          <w:szCs w:val="16"/>
          <w:lang w:val="uz-Cyrl-UZ"/>
        </w:rPr>
      </w:pPr>
      <w:r w:rsidRPr="00741751">
        <w:rPr>
          <w:rStyle w:val="FootnoteReference"/>
          <w:sz w:val="16"/>
          <w:szCs w:val="16"/>
        </w:rPr>
        <w:footnoteRef/>
      </w:r>
      <w:r w:rsidRPr="00741751">
        <w:rPr>
          <w:sz w:val="16"/>
          <w:szCs w:val="16"/>
          <w:lang w:val="uz-Cyrl-UZ"/>
        </w:rPr>
        <w:t xml:space="preserve"> </w:t>
      </w:r>
      <w:r w:rsidRPr="004F6A42">
        <w:rPr>
          <w:sz w:val="16"/>
          <w:szCs w:val="16"/>
          <w:lang w:val="es-HN"/>
        </w:rPr>
        <w:t xml:space="preserve">Ver </w:t>
      </w:r>
      <w:hyperlink r:id="rId41" w:history="1">
        <w:r w:rsidRPr="004F6A42">
          <w:rPr>
            <w:rStyle w:val="Hyperlink"/>
            <w:sz w:val="16"/>
            <w:szCs w:val="16"/>
            <w:lang w:val="uz-Cyrl-UZ"/>
          </w:rPr>
          <w:t>https://reliefweb.int/report/honduras/honduras-encuesta-de-violencia-contra-ni-os-ni-y-adolescentes-2017-datos-para-la</w:t>
        </w:r>
      </w:hyperlink>
      <w:r w:rsidRPr="00751C86">
        <w:rPr>
          <w:rStyle w:val="Hyperlink"/>
          <w:color w:val="auto"/>
          <w:sz w:val="16"/>
          <w:szCs w:val="16"/>
          <w:lang w:val="uz-Cyrl-UZ"/>
        </w:rPr>
        <w:t>.</w:t>
      </w:r>
    </w:p>
  </w:footnote>
  <w:footnote w:id="72">
    <w:p w14:paraId="0DF86E4C" w14:textId="6EB9B90C" w:rsidR="00ED7560" w:rsidRPr="007D4A0E" w:rsidRDefault="00ED7560" w:rsidP="00DF6A69">
      <w:pPr>
        <w:pStyle w:val="FootnoteText"/>
        <w:ind w:hanging="425"/>
        <w:rPr>
          <w:lang w:val="es-419"/>
        </w:rPr>
      </w:pPr>
      <w:r>
        <w:rPr>
          <w:rStyle w:val="FootnoteReference"/>
        </w:rPr>
        <w:footnoteRef/>
      </w:r>
      <w:r w:rsidRPr="007D4A0E">
        <w:rPr>
          <w:lang w:val="es-419"/>
        </w:rPr>
        <w:t xml:space="preserve"> </w:t>
      </w:r>
      <w:r w:rsidRPr="000A756C">
        <w:rPr>
          <w:sz w:val="16"/>
          <w:szCs w:val="16"/>
          <w:lang w:val="es-419"/>
        </w:rPr>
        <w:t>Ver https://www.ine.gob.hn/V3/</w:t>
      </w:r>
    </w:p>
  </w:footnote>
  <w:footnote w:id="73">
    <w:p w14:paraId="7D681CD5" w14:textId="3CB744DC" w:rsidR="00BB7FF1" w:rsidRPr="00BB7FF1" w:rsidRDefault="00BB7FF1" w:rsidP="00BB7FF1">
      <w:pPr>
        <w:pStyle w:val="FootnoteText"/>
        <w:ind w:hanging="425"/>
        <w:rPr>
          <w:sz w:val="16"/>
          <w:szCs w:val="16"/>
          <w:lang w:val="es-419"/>
        </w:rPr>
      </w:pPr>
      <w:r w:rsidRPr="00BB7FF1">
        <w:rPr>
          <w:rStyle w:val="FootnoteReference"/>
          <w:sz w:val="16"/>
          <w:szCs w:val="16"/>
        </w:rPr>
        <w:footnoteRef/>
      </w:r>
      <w:r w:rsidRPr="00BB7FF1">
        <w:rPr>
          <w:sz w:val="16"/>
          <w:szCs w:val="16"/>
          <w:lang w:val="es-419"/>
        </w:rPr>
        <w:t xml:space="preserve"> De acuerdo al Instituto Nacional de Atención al Menor Infractor</w:t>
      </w:r>
    </w:p>
  </w:footnote>
  <w:footnote w:id="74">
    <w:p w14:paraId="06AAF036" w14:textId="10031F1C" w:rsidR="00ED7560" w:rsidRPr="007D4A0E" w:rsidRDefault="00ED7560" w:rsidP="00DF6A69">
      <w:pPr>
        <w:pStyle w:val="FootnoteText"/>
        <w:ind w:hanging="425"/>
        <w:rPr>
          <w:lang w:val="es-419"/>
        </w:rPr>
      </w:pPr>
      <w:r>
        <w:rPr>
          <w:rStyle w:val="FootnoteReference"/>
        </w:rPr>
        <w:footnoteRef/>
      </w:r>
      <w:r w:rsidRPr="007D4A0E">
        <w:rPr>
          <w:lang w:val="es-419"/>
        </w:rPr>
        <w:t xml:space="preserve"> </w:t>
      </w:r>
      <w:r w:rsidRPr="007D4A0E">
        <w:rPr>
          <w:sz w:val="16"/>
          <w:szCs w:val="16"/>
          <w:lang w:val="es-419"/>
        </w:rPr>
        <w:t>Según la ONG Cattrachas el número total de personas LGBTI asesinadas desde 2009 asciende a 336.</w:t>
      </w:r>
    </w:p>
  </w:footnote>
  <w:footnote w:id="75">
    <w:p w14:paraId="71227E93" w14:textId="41E3AFC4" w:rsidR="00ED7560" w:rsidRPr="007D4A0E" w:rsidRDefault="00ED7560" w:rsidP="00B1141C">
      <w:pPr>
        <w:pStyle w:val="FootnoteText"/>
        <w:ind w:hanging="425"/>
        <w:rPr>
          <w:lang w:val="es-419"/>
        </w:rPr>
      </w:pPr>
      <w:r w:rsidRPr="00741751">
        <w:rPr>
          <w:rStyle w:val="FootnoteReference"/>
          <w:sz w:val="16"/>
          <w:szCs w:val="16"/>
        </w:rPr>
        <w:footnoteRef/>
      </w:r>
      <w:r w:rsidRPr="007D4A0E">
        <w:rPr>
          <w:sz w:val="16"/>
          <w:szCs w:val="16"/>
          <w:lang w:val="es-419"/>
        </w:rPr>
        <w:t xml:space="preserve"> Números de expediente 233/2018 y 552/2018</w:t>
      </w:r>
    </w:p>
  </w:footnote>
  <w:footnote w:id="76">
    <w:p w14:paraId="2928D3C9" w14:textId="425C558A" w:rsidR="00ED7560" w:rsidRPr="007D4A0E" w:rsidRDefault="00ED7560" w:rsidP="00B1141C">
      <w:pPr>
        <w:pStyle w:val="FootnoteText"/>
        <w:ind w:hanging="425"/>
        <w:rPr>
          <w:lang w:val="es-419"/>
        </w:rPr>
      </w:pPr>
      <w:r w:rsidRPr="00213F6B">
        <w:rPr>
          <w:rStyle w:val="FootnoteReference"/>
          <w:sz w:val="16"/>
          <w:szCs w:val="16"/>
        </w:rPr>
        <w:footnoteRef/>
      </w:r>
      <w:r w:rsidRPr="007D4A0E">
        <w:rPr>
          <w:sz w:val="16"/>
          <w:szCs w:val="16"/>
          <w:lang w:val="es-419"/>
        </w:rPr>
        <w:t xml:space="preserve"> A/HRC/41/33/Add.1</w:t>
      </w:r>
      <w:r w:rsidRPr="007D4A0E">
        <w:rPr>
          <w:lang w:val="es-419"/>
        </w:rPr>
        <w:t>.</w:t>
      </w:r>
    </w:p>
  </w:footnote>
  <w:footnote w:id="77">
    <w:p w14:paraId="26E3523E" w14:textId="0F6B484E" w:rsidR="00ED7560" w:rsidRPr="004F6A42" w:rsidRDefault="00ED7560" w:rsidP="001E068D">
      <w:pPr>
        <w:pStyle w:val="FootnoteText"/>
        <w:tabs>
          <w:tab w:val="clear" w:pos="1021"/>
          <w:tab w:val="right" w:pos="851"/>
        </w:tabs>
        <w:ind w:left="851" w:hanging="142"/>
        <w:rPr>
          <w:sz w:val="16"/>
          <w:szCs w:val="16"/>
          <w:lang w:val="es-HN"/>
        </w:rPr>
      </w:pPr>
      <w:r w:rsidRPr="001E068D">
        <w:rPr>
          <w:rStyle w:val="FootnoteReference"/>
          <w:sz w:val="16"/>
          <w:szCs w:val="16"/>
        </w:rPr>
        <w:footnoteRef/>
      </w:r>
      <w:r w:rsidRPr="004F6A42">
        <w:rPr>
          <w:sz w:val="16"/>
          <w:szCs w:val="16"/>
          <w:lang w:val="es-HN"/>
        </w:rPr>
        <w:t xml:space="preserve">  Ver </w:t>
      </w:r>
      <w:hyperlink r:id="rId42" w:history="1">
        <w:r w:rsidRPr="004F6A42">
          <w:rPr>
            <w:rStyle w:val="Hyperlink"/>
            <w:sz w:val="16"/>
            <w:szCs w:val="16"/>
            <w:lang w:val="es-HN"/>
          </w:rPr>
          <w:t>https://www.ohchr.org/en/NewsEvents/Pages/DisplayNews.aspx?NewsID=24911&amp;LangID=E</w:t>
        </w:r>
      </w:hyperlink>
    </w:p>
  </w:footnote>
  <w:footnote w:id="78">
    <w:p w14:paraId="6F057F0F" w14:textId="32FC7D79" w:rsidR="00ED7560" w:rsidRPr="004F6A42" w:rsidRDefault="00ED7560" w:rsidP="00C70C48">
      <w:pPr>
        <w:pStyle w:val="FootnoteText"/>
        <w:ind w:hanging="425"/>
        <w:rPr>
          <w:sz w:val="16"/>
          <w:szCs w:val="16"/>
          <w:lang w:val="es-HN"/>
        </w:rPr>
      </w:pPr>
      <w:r w:rsidRPr="00C70C48">
        <w:rPr>
          <w:rStyle w:val="FootnoteReference"/>
          <w:sz w:val="16"/>
          <w:szCs w:val="16"/>
        </w:rPr>
        <w:footnoteRef/>
      </w:r>
      <w:r w:rsidRPr="004F6A42">
        <w:rPr>
          <w:sz w:val="16"/>
          <w:szCs w:val="16"/>
          <w:lang w:val="es-HN"/>
        </w:rPr>
        <w:t xml:space="preserve">  Ve</w:t>
      </w:r>
      <w:r>
        <w:rPr>
          <w:sz w:val="16"/>
          <w:szCs w:val="16"/>
          <w:lang w:val="es-HN"/>
        </w:rPr>
        <w:t xml:space="preserve">r </w:t>
      </w:r>
      <w:hyperlink r:id="rId43" w:history="1">
        <w:r w:rsidRPr="004F6A42">
          <w:rPr>
            <w:rStyle w:val="Hyperlink"/>
            <w:lang w:val="es-HN"/>
          </w:rPr>
          <w:t>https://www.ohchr.org/EN/NewsEvents/Pages/DisplayNews.aspx?NewsID=24932&amp;LangID=E</w:t>
        </w:r>
      </w:hyperlink>
      <w:r>
        <w:rPr>
          <w:sz w:val="16"/>
          <w:szCs w:val="16"/>
          <w:lang w:val="es-H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34C"/>
    <w:multiLevelType w:val="hybridMultilevel"/>
    <w:tmpl w:val="42F2C4B2"/>
    <w:lvl w:ilvl="0" w:tplc="AD7C207A">
      <w:start w:val="1"/>
      <w:numFmt w:val="decimal"/>
      <w:lvlText w:val="%1."/>
      <w:lvlJc w:val="left"/>
      <w:pPr>
        <w:ind w:left="1500" w:hanging="36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F5C68"/>
    <w:multiLevelType w:val="hybridMultilevel"/>
    <w:tmpl w:val="6FF6B04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D4D7581"/>
    <w:multiLevelType w:val="hybridMultilevel"/>
    <w:tmpl w:val="3968A2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F937B9"/>
    <w:multiLevelType w:val="hybridMultilevel"/>
    <w:tmpl w:val="E5022F0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01B124A"/>
    <w:multiLevelType w:val="hybridMultilevel"/>
    <w:tmpl w:val="9CD8A782"/>
    <w:lvl w:ilvl="0" w:tplc="0409000F">
      <w:start w:val="1"/>
      <w:numFmt w:val="decimal"/>
      <w:lvlText w:val="%1."/>
      <w:lvlJc w:val="left"/>
      <w:pPr>
        <w:ind w:left="720" w:hanging="360"/>
      </w:pPr>
    </w:lvl>
    <w:lvl w:ilvl="1" w:tplc="04090015">
      <w:start w:val="1"/>
      <w:numFmt w:val="upperLetter"/>
      <w:lvlText w:val="%2."/>
      <w:lvlJc w:val="left"/>
      <w:pPr>
        <w:ind w:left="2214" w:hanging="1134"/>
      </w:pPr>
      <w:rPr>
        <w:rFonts w:hint="default"/>
      </w:rPr>
    </w:lvl>
    <w:lvl w:ilvl="2" w:tplc="0409001B">
      <w:start w:val="1"/>
      <w:numFmt w:val="lowerRoman"/>
      <w:lvlText w:val="%3."/>
      <w:lvlJc w:val="right"/>
      <w:pPr>
        <w:ind w:left="2160" w:hanging="180"/>
      </w:pPr>
    </w:lvl>
    <w:lvl w:ilvl="3" w:tplc="BA6EB83A">
      <w:start w:val="1"/>
      <w:numFmt w:val="upperLetter"/>
      <w:lvlText w:val="%4."/>
      <w:lvlJc w:val="left"/>
      <w:pPr>
        <w:ind w:left="3654" w:hanging="1134"/>
      </w:pPr>
      <w:rPr>
        <w:rFonts w:hint="default"/>
      </w:rPr>
    </w:lvl>
    <w:lvl w:ilvl="4" w:tplc="7D221F36">
      <w:start w:val="1"/>
      <w:numFmt w:val="lowerLetter"/>
      <w:lvlText w:val="(%5)"/>
      <w:lvlJc w:val="left"/>
      <w:pPr>
        <w:ind w:left="3606" w:hanging="366"/>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E6FF4"/>
    <w:multiLevelType w:val="hybridMultilevel"/>
    <w:tmpl w:val="73C25C44"/>
    <w:lvl w:ilvl="0" w:tplc="08090015">
      <w:start w:val="1"/>
      <w:numFmt w:val="upp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12AE4C2F"/>
    <w:multiLevelType w:val="hybridMultilevel"/>
    <w:tmpl w:val="D460E4BA"/>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4D6AB8"/>
    <w:multiLevelType w:val="hybridMultilevel"/>
    <w:tmpl w:val="D14034DA"/>
    <w:lvl w:ilvl="0" w:tplc="04090015">
      <w:start w:val="1"/>
      <w:numFmt w:val="upperLetter"/>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D785F"/>
    <w:multiLevelType w:val="hybridMultilevel"/>
    <w:tmpl w:val="800CE2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BA23B3C"/>
    <w:multiLevelType w:val="hybridMultilevel"/>
    <w:tmpl w:val="800CE2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616E2"/>
    <w:multiLevelType w:val="hybridMultilevel"/>
    <w:tmpl w:val="800CE2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D0A30"/>
    <w:multiLevelType w:val="hybridMultilevel"/>
    <w:tmpl w:val="176C0720"/>
    <w:lvl w:ilvl="0" w:tplc="08090015">
      <w:start w:val="1"/>
      <w:numFmt w:val="upp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358E3D63"/>
    <w:multiLevelType w:val="hybridMultilevel"/>
    <w:tmpl w:val="F42AB740"/>
    <w:lvl w:ilvl="0" w:tplc="990042F4">
      <w:start w:val="1"/>
      <w:numFmt w:val="lowerLetter"/>
      <w:lvlText w:val="%1)"/>
      <w:lvlJc w:val="left"/>
      <w:pPr>
        <w:ind w:left="720" w:hanging="360"/>
      </w:pPr>
      <w:rPr>
        <w:rFonts w:ascii="Times New Roman" w:eastAsiaTheme="minorEastAsia" w:hAnsi="Times New Roman" w:cs="Times New Roman"/>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A273C4F"/>
    <w:multiLevelType w:val="hybridMultilevel"/>
    <w:tmpl w:val="95C051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18409B"/>
    <w:multiLevelType w:val="hybridMultilevel"/>
    <w:tmpl w:val="D14034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A838C3"/>
    <w:multiLevelType w:val="hybridMultilevel"/>
    <w:tmpl w:val="BD10849C"/>
    <w:lvl w:ilvl="0" w:tplc="0409000F">
      <w:start w:val="1"/>
      <w:numFmt w:val="decimal"/>
      <w:lvlText w:val="%1."/>
      <w:lvlJc w:val="left"/>
      <w:pPr>
        <w:ind w:left="720" w:hanging="360"/>
      </w:pPr>
    </w:lvl>
    <w:lvl w:ilvl="1" w:tplc="8D50C2F0">
      <w:start w:val="1"/>
      <w:numFmt w:val="upperRoman"/>
      <w:lvlText w:val="%2."/>
      <w:lvlJc w:val="left"/>
      <w:pPr>
        <w:ind w:left="2214" w:hanging="1134"/>
      </w:pPr>
      <w:rPr>
        <w:rFonts w:hint="default"/>
      </w:rPr>
    </w:lvl>
    <w:lvl w:ilvl="2" w:tplc="0409001B">
      <w:start w:val="1"/>
      <w:numFmt w:val="lowerRoman"/>
      <w:lvlText w:val="%3."/>
      <w:lvlJc w:val="right"/>
      <w:pPr>
        <w:ind w:left="2160" w:hanging="180"/>
      </w:pPr>
    </w:lvl>
    <w:lvl w:ilvl="3" w:tplc="BA6EB83A">
      <w:start w:val="1"/>
      <w:numFmt w:val="upperLetter"/>
      <w:lvlText w:val="%4."/>
      <w:lvlJc w:val="left"/>
      <w:pPr>
        <w:ind w:left="3654" w:hanging="1134"/>
      </w:pPr>
      <w:rPr>
        <w:rFonts w:hint="default"/>
      </w:rPr>
    </w:lvl>
    <w:lvl w:ilvl="4" w:tplc="7D221F36">
      <w:start w:val="1"/>
      <w:numFmt w:val="lowerLetter"/>
      <w:lvlText w:val="(%5)"/>
      <w:lvlJc w:val="left"/>
      <w:pPr>
        <w:ind w:left="3606" w:hanging="366"/>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83380"/>
    <w:multiLevelType w:val="hybridMultilevel"/>
    <w:tmpl w:val="BF2C830C"/>
    <w:lvl w:ilvl="0" w:tplc="93D24446">
      <w:start w:val="70"/>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15:restartNumberingAfterBreak="0">
    <w:nsid w:val="558E6063"/>
    <w:multiLevelType w:val="hybridMultilevel"/>
    <w:tmpl w:val="DFFC4A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C11FA"/>
    <w:multiLevelType w:val="hybridMultilevel"/>
    <w:tmpl w:val="D14034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9952A2"/>
    <w:multiLevelType w:val="hybridMultilevel"/>
    <w:tmpl w:val="BD10849C"/>
    <w:lvl w:ilvl="0" w:tplc="0409000F">
      <w:start w:val="1"/>
      <w:numFmt w:val="decimal"/>
      <w:lvlText w:val="%1."/>
      <w:lvlJc w:val="left"/>
      <w:pPr>
        <w:ind w:left="720" w:hanging="360"/>
      </w:pPr>
    </w:lvl>
    <w:lvl w:ilvl="1" w:tplc="8D50C2F0">
      <w:start w:val="1"/>
      <w:numFmt w:val="upperRoman"/>
      <w:lvlText w:val="%2."/>
      <w:lvlJc w:val="left"/>
      <w:pPr>
        <w:ind w:left="2214" w:hanging="1134"/>
      </w:pPr>
      <w:rPr>
        <w:rFonts w:hint="default"/>
      </w:rPr>
    </w:lvl>
    <w:lvl w:ilvl="2" w:tplc="0409001B">
      <w:start w:val="1"/>
      <w:numFmt w:val="lowerRoman"/>
      <w:lvlText w:val="%3."/>
      <w:lvlJc w:val="right"/>
      <w:pPr>
        <w:ind w:left="2160" w:hanging="180"/>
      </w:pPr>
    </w:lvl>
    <w:lvl w:ilvl="3" w:tplc="BA6EB83A">
      <w:start w:val="1"/>
      <w:numFmt w:val="upperLetter"/>
      <w:lvlText w:val="%4."/>
      <w:lvlJc w:val="left"/>
      <w:pPr>
        <w:ind w:left="3654" w:hanging="1134"/>
      </w:pPr>
      <w:rPr>
        <w:rFonts w:hint="default"/>
      </w:rPr>
    </w:lvl>
    <w:lvl w:ilvl="4" w:tplc="7D221F36">
      <w:start w:val="1"/>
      <w:numFmt w:val="lowerLetter"/>
      <w:lvlText w:val="(%5)"/>
      <w:lvlJc w:val="left"/>
      <w:pPr>
        <w:ind w:left="3606" w:hanging="366"/>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97991"/>
    <w:multiLevelType w:val="hybridMultilevel"/>
    <w:tmpl w:val="5EEE6636"/>
    <w:lvl w:ilvl="0" w:tplc="CA3C142C">
      <w:start w:val="2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BE1F8C"/>
    <w:multiLevelType w:val="hybridMultilevel"/>
    <w:tmpl w:val="0428AB38"/>
    <w:lvl w:ilvl="0" w:tplc="08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681F414B"/>
    <w:multiLevelType w:val="hybridMultilevel"/>
    <w:tmpl w:val="800CE2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37653"/>
    <w:multiLevelType w:val="hybridMultilevel"/>
    <w:tmpl w:val="33C68082"/>
    <w:lvl w:ilvl="0" w:tplc="E038608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819BB"/>
    <w:multiLevelType w:val="hybridMultilevel"/>
    <w:tmpl w:val="43581362"/>
    <w:lvl w:ilvl="0" w:tplc="CAEEB114">
      <w:start w:val="1"/>
      <w:numFmt w:val="decimal"/>
      <w:lvlText w:val="%1."/>
      <w:lvlJc w:val="left"/>
      <w:pPr>
        <w:ind w:left="1353" w:hanging="360"/>
      </w:pPr>
      <w:rPr>
        <w:rFonts w:ascii="Times New Roman" w:hAnsi="Times New Roman" w:cs="Times New Roman" w:hint="default"/>
        <w:i w:val="0"/>
        <w:sz w:val="20"/>
        <w:szCs w:val="20"/>
      </w:rPr>
    </w:lvl>
    <w:lvl w:ilvl="1" w:tplc="8D50C2F0">
      <w:start w:val="1"/>
      <w:numFmt w:val="upperRoman"/>
      <w:lvlText w:val="%2."/>
      <w:lvlJc w:val="left"/>
      <w:pPr>
        <w:ind w:left="2214" w:hanging="1134"/>
      </w:pPr>
      <w:rPr>
        <w:rFonts w:hint="default"/>
      </w:rPr>
    </w:lvl>
    <w:lvl w:ilvl="2" w:tplc="0409001B">
      <w:start w:val="1"/>
      <w:numFmt w:val="lowerRoman"/>
      <w:lvlText w:val="%3."/>
      <w:lvlJc w:val="right"/>
      <w:pPr>
        <w:ind w:left="2160" w:hanging="180"/>
      </w:pPr>
    </w:lvl>
    <w:lvl w:ilvl="3" w:tplc="BA6EB83A">
      <w:start w:val="1"/>
      <w:numFmt w:val="upperLetter"/>
      <w:lvlText w:val="%4."/>
      <w:lvlJc w:val="left"/>
      <w:pPr>
        <w:ind w:left="3654" w:hanging="1134"/>
      </w:pPr>
      <w:rPr>
        <w:rFonts w:hint="default"/>
      </w:rPr>
    </w:lvl>
    <w:lvl w:ilvl="4" w:tplc="7D221F36">
      <w:start w:val="1"/>
      <w:numFmt w:val="lowerLetter"/>
      <w:lvlText w:val="(%5)"/>
      <w:lvlJc w:val="left"/>
      <w:pPr>
        <w:ind w:left="3606" w:hanging="366"/>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30762"/>
    <w:multiLevelType w:val="hybridMultilevel"/>
    <w:tmpl w:val="DB3040E4"/>
    <w:lvl w:ilvl="0" w:tplc="04090013">
      <w:start w:val="1"/>
      <w:numFmt w:val="upperRoman"/>
      <w:lvlText w:val="%1."/>
      <w:lvlJc w:val="right"/>
      <w:pPr>
        <w:ind w:left="720" w:hanging="360"/>
      </w:pPr>
    </w:lvl>
    <w:lvl w:ilvl="1" w:tplc="8D50C2F0">
      <w:start w:val="1"/>
      <w:numFmt w:val="upperRoman"/>
      <w:lvlText w:val="%2."/>
      <w:lvlJc w:val="left"/>
      <w:pPr>
        <w:ind w:left="2214" w:hanging="1134"/>
      </w:pPr>
      <w:rPr>
        <w:rFonts w:hint="default"/>
      </w:rPr>
    </w:lvl>
    <w:lvl w:ilvl="2" w:tplc="0409001B">
      <w:start w:val="1"/>
      <w:numFmt w:val="lowerRoman"/>
      <w:lvlText w:val="%3."/>
      <w:lvlJc w:val="right"/>
      <w:pPr>
        <w:ind w:left="2160" w:hanging="180"/>
      </w:pPr>
    </w:lvl>
    <w:lvl w:ilvl="3" w:tplc="BA6EB83A">
      <w:start w:val="1"/>
      <w:numFmt w:val="upperLetter"/>
      <w:lvlText w:val="%4."/>
      <w:lvlJc w:val="left"/>
      <w:pPr>
        <w:ind w:left="3654" w:hanging="1134"/>
      </w:pPr>
      <w:rPr>
        <w:rFonts w:hint="default"/>
      </w:rPr>
    </w:lvl>
    <w:lvl w:ilvl="4" w:tplc="7D221F36">
      <w:start w:val="1"/>
      <w:numFmt w:val="lowerLetter"/>
      <w:lvlText w:val="(%5)"/>
      <w:lvlJc w:val="left"/>
      <w:pPr>
        <w:ind w:left="3606" w:hanging="366"/>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D59BA"/>
    <w:multiLevelType w:val="hybridMultilevel"/>
    <w:tmpl w:val="800CE2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CF75F10"/>
    <w:multiLevelType w:val="hybridMultilevel"/>
    <w:tmpl w:val="796830DE"/>
    <w:lvl w:ilvl="0" w:tplc="08090015">
      <w:start w:val="1"/>
      <w:numFmt w:val="upp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15"/>
  </w:num>
  <w:num w:numId="2">
    <w:abstractNumId w:val="13"/>
  </w:num>
  <w:num w:numId="3">
    <w:abstractNumId w:val="1"/>
  </w:num>
  <w:num w:numId="4">
    <w:abstractNumId w:val="24"/>
  </w:num>
  <w:num w:numId="5">
    <w:abstractNumId w:val="27"/>
  </w:num>
  <w:num w:numId="6">
    <w:abstractNumId w:val="35"/>
  </w:num>
  <w:num w:numId="7">
    <w:abstractNumId w:val="9"/>
  </w:num>
  <w:num w:numId="8">
    <w:abstractNumId w:val="2"/>
  </w:num>
  <w:num w:numId="9">
    <w:abstractNumId w:val="30"/>
  </w:num>
  <w:num w:numId="10">
    <w:abstractNumId w:val="2"/>
  </w:num>
  <w:num w:numId="11">
    <w:abstractNumId w:val="30"/>
  </w:num>
  <w:num w:numId="12">
    <w:abstractNumId w:val="5"/>
  </w:num>
  <w:num w:numId="13">
    <w:abstractNumId w:val="20"/>
  </w:num>
  <w:num w:numId="14">
    <w:abstractNumId w:val="0"/>
  </w:num>
  <w:num w:numId="15">
    <w:abstractNumId w:val="32"/>
  </w:num>
  <w:num w:numId="16">
    <w:abstractNumId w:val="33"/>
  </w:num>
  <w:num w:numId="17">
    <w:abstractNumId w:val="6"/>
  </w:num>
  <w:num w:numId="18">
    <w:abstractNumId w:val="18"/>
  </w:num>
  <w:num w:numId="19">
    <w:abstractNumId w:val="23"/>
  </w:num>
  <w:num w:numId="20">
    <w:abstractNumId w:val="19"/>
  </w:num>
  <w:num w:numId="21">
    <w:abstractNumId w:val="10"/>
  </w:num>
  <w:num w:numId="22">
    <w:abstractNumId w:val="8"/>
  </w:num>
  <w:num w:numId="23">
    <w:abstractNumId w:val="4"/>
  </w:num>
  <w:num w:numId="24">
    <w:abstractNumId w:val="32"/>
    <w:lvlOverride w:ilvl="0">
      <w:lvl w:ilvl="0" w:tplc="CAEEB114">
        <w:start w:val="1"/>
        <w:numFmt w:val="decimal"/>
        <w:lvlText w:val="%1."/>
        <w:lvlJc w:val="left"/>
        <w:pPr>
          <w:ind w:left="720" w:hanging="360"/>
        </w:pPr>
        <w:rPr>
          <w:rFonts w:hint="default"/>
        </w:rPr>
      </w:lvl>
    </w:lvlOverride>
    <w:lvlOverride w:ilvl="1">
      <w:lvl w:ilvl="1" w:tplc="8D50C2F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BA6EB83A" w:tentative="1">
        <w:start w:val="1"/>
        <w:numFmt w:val="decimal"/>
        <w:lvlText w:val="%4."/>
        <w:lvlJc w:val="left"/>
        <w:pPr>
          <w:ind w:left="2880" w:hanging="360"/>
        </w:pPr>
      </w:lvl>
    </w:lvlOverride>
    <w:lvlOverride w:ilvl="4">
      <w:lvl w:ilvl="4" w:tplc="7D221F36"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3"/>
  </w:num>
  <w:num w:numId="26">
    <w:abstractNumId w:val="25"/>
  </w:num>
  <w:num w:numId="27">
    <w:abstractNumId w:val="14"/>
  </w:num>
  <w:num w:numId="28">
    <w:abstractNumId w:val="17"/>
  </w:num>
  <w:num w:numId="29">
    <w:abstractNumId w:val="12"/>
  </w:num>
  <w:num w:numId="30">
    <w:abstractNumId w:val="22"/>
  </w:num>
  <w:num w:numId="31">
    <w:abstractNumId w:val="34"/>
  </w:num>
  <w:num w:numId="32">
    <w:abstractNumId w:val="29"/>
  </w:num>
  <w:num w:numId="33">
    <w:abstractNumId w:val="11"/>
  </w:num>
  <w:num w:numId="34">
    <w:abstractNumId w:val="31"/>
  </w:num>
  <w:num w:numId="35">
    <w:abstractNumId w:val="28"/>
  </w:num>
  <w:num w:numId="36">
    <w:abstractNumId w:val="7"/>
  </w:num>
  <w:num w:numId="37">
    <w:abstractNumId w:val="16"/>
  </w:num>
  <w:num w:numId="38">
    <w:abstractNumId w:val="36"/>
  </w:num>
  <w:num w:numId="39">
    <w:abstractNumId w:val="2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89"/>
    <w:rsid w:val="00000C27"/>
    <w:rsid w:val="0000155E"/>
    <w:rsid w:val="00002D13"/>
    <w:rsid w:val="000054B2"/>
    <w:rsid w:val="000063A2"/>
    <w:rsid w:val="000068A8"/>
    <w:rsid w:val="000072EF"/>
    <w:rsid w:val="000103BF"/>
    <w:rsid w:val="0001050B"/>
    <w:rsid w:val="00010C30"/>
    <w:rsid w:val="00011754"/>
    <w:rsid w:val="0001267E"/>
    <w:rsid w:val="000130F6"/>
    <w:rsid w:val="00015DB7"/>
    <w:rsid w:val="00017469"/>
    <w:rsid w:val="00021324"/>
    <w:rsid w:val="00022CF1"/>
    <w:rsid w:val="00023425"/>
    <w:rsid w:val="00023BD4"/>
    <w:rsid w:val="000259BD"/>
    <w:rsid w:val="0002799C"/>
    <w:rsid w:val="00027A8F"/>
    <w:rsid w:val="0003306B"/>
    <w:rsid w:val="00033C3E"/>
    <w:rsid w:val="00034291"/>
    <w:rsid w:val="00036A30"/>
    <w:rsid w:val="000406BE"/>
    <w:rsid w:val="0004169A"/>
    <w:rsid w:val="00046E92"/>
    <w:rsid w:val="000506AB"/>
    <w:rsid w:val="00051728"/>
    <w:rsid w:val="00052768"/>
    <w:rsid w:val="00054FD9"/>
    <w:rsid w:val="00056BB0"/>
    <w:rsid w:val="00057904"/>
    <w:rsid w:val="00057909"/>
    <w:rsid w:val="00057E0B"/>
    <w:rsid w:val="0006163D"/>
    <w:rsid w:val="00063C90"/>
    <w:rsid w:val="00063F9A"/>
    <w:rsid w:val="0006525F"/>
    <w:rsid w:val="00066025"/>
    <w:rsid w:val="00070574"/>
    <w:rsid w:val="00070E02"/>
    <w:rsid w:val="00070FE6"/>
    <w:rsid w:val="00072607"/>
    <w:rsid w:val="000771F5"/>
    <w:rsid w:val="000773AB"/>
    <w:rsid w:val="00077CEB"/>
    <w:rsid w:val="00080741"/>
    <w:rsid w:val="00080F2E"/>
    <w:rsid w:val="0008203B"/>
    <w:rsid w:val="00082596"/>
    <w:rsid w:val="00082B80"/>
    <w:rsid w:val="00082C6C"/>
    <w:rsid w:val="00082DC2"/>
    <w:rsid w:val="00083017"/>
    <w:rsid w:val="000837F7"/>
    <w:rsid w:val="00083B1E"/>
    <w:rsid w:val="0008410D"/>
    <w:rsid w:val="000852CF"/>
    <w:rsid w:val="00085798"/>
    <w:rsid w:val="00086C26"/>
    <w:rsid w:val="00091B6D"/>
    <w:rsid w:val="00092A63"/>
    <w:rsid w:val="00094E7B"/>
    <w:rsid w:val="00096D4E"/>
    <w:rsid w:val="000A17AF"/>
    <w:rsid w:val="000A3050"/>
    <w:rsid w:val="000A3F59"/>
    <w:rsid w:val="000A408A"/>
    <w:rsid w:val="000A4415"/>
    <w:rsid w:val="000A4F33"/>
    <w:rsid w:val="000A5B66"/>
    <w:rsid w:val="000A6AD0"/>
    <w:rsid w:val="000A756C"/>
    <w:rsid w:val="000B292F"/>
    <w:rsid w:val="000B326E"/>
    <w:rsid w:val="000B52F1"/>
    <w:rsid w:val="000B6491"/>
    <w:rsid w:val="000B67DB"/>
    <w:rsid w:val="000B6CD2"/>
    <w:rsid w:val="000B7035"/>
    <w:rsid w:val="000B7BE1"/>
    <w:rsid w:val="000C4A92"/>
    <w:rsid w:val="000D0569"/>
    <w:rsid w:val="000D2854"/>
    <w:rsid w:val="000D412A"/>
    <w:rsid w:val="000D4888"/>
    <w:rsid w:val="000D7548"/>
    <w:rsid w:val="000E0D4A"/>
    <w:rsid w:val="000E5619"/>
    <w:rsid w:val="000E63F4"/>
    <w:rsid w:val="000E7BA2"/>
    <w:rsid w:val="000F49A9"/>
    <w:rsid w:val="000F6468"/>
    <w:rsid w:val="000F65D1"/>
    <w:rsid w:val="00101B98"/>
    <w:rsid w:val="001027C5"/>
    <w:rsid w:val="001035A0"/>
    <w:rsid w:val="0010386F"/>
    <w:rsid w:val="00104E90"/>
    <w:rsid w:val="00106023"/>
    <w:rsid w:val="001069C1"/>
    <w:rsid w:val="00106FFB"/>
    <w:rsid w:val="00111BC0"/>
    <w:rsid w:val="00113E26"/>
    <w:rsid w:val="00115ADD"/>
    <w:rsid w:val="00116570"/>
    <w:rsid w:val="00117822"/>
    <w:rsid w:val="001178A2"/>
    <w:rsid w:val="00117AD8"/>
    <w:rsid w:val="00121E5C"/>
    <w:rsid w:val="0012218D"/>
    <w:rsid w:val="00122628"/>
    <w:rsid w:val="001268B7"/>
    <w:rsid w:val="0013124E"/>
    <w:rsid w:val="0013156C"/>
    <w:rsid w:val="001332C3"/>
    <w:rsid w:val="001355FB"/>
    <w:rsid w:val="001363DD"/>
    <w:rsid w:val="00136CF6"/>
    <w:rsid w:val="001435AA"/>
    <w:rsid w:val="00145877"/>
    <w:rsid w:val="001460F6"/>
    <w:rsid w:val="0014708D"/>
    <w:rsid w:val="00151081"/>
    <w:rsid w:val="001532D9"/>
    <w:rsid w:val="0015436A"/>
    <w:rsid w:val="00154DBD"/>
    <w:rsid w:val="001608D5"/>
    <w:rsid w:val="0016388D"/>
    <w:rsid w:val="001645BE"/>
    <w:rsid w:val="00164F4A"/>
    <w:rsid w:val="001662FC"/>
    <w:rsid w:val="00167196"/>
    <w:rsid w:val="00170FEC"/>
    <w:rsid w:val="00172F1C"/>
    <w:rsid w:val="0017653E"/>
    <w:rsid w:val="001769C2"/>
    <w:rsid w:val="001809D2"/>
    <w:rsid w:val="00180EA8"/>
    <w:rsid w:val="001831C6"/>
    <w:rsid w:val="00183B42"/>
    <w:rsid w:val="00186520"/>
    <w:rsid w:val="0019111A"/>
    <w:rsid w:val="0019501C"/>
    <w:rsid w:val="001965E1"/>
    <w:rsid w:val="00197AE9"/>
    <w:rsid w:val="00197BCA"/>
    <w:rsid w:val="001A0F21"/>
    <w:rsid w:val="001A1616"/>
    <w:rsid w:val="001A1783"/>
    <w:rsid w:val="001A279D"/>
    <w:rsid w:val="001A5916"/>
    <w:rsid w:val="001A6499"/>
    <w:rsid w:val="001A772D"/>
    <w:rsid w:val="001B0A74"/>
    <w:rsid w:val="001B0BEF"/>
    <w:rsid w:val="001B1362"/>
    <w:rsid w:val="001B58FD"/>
    <w:rsid w:val="001B6579"/>
    <w:rsid w:val="001B7245"/>
    <w:rsid w:val="001B74F6"/>
    <w:rsid w:val="001C0429"/>
    <w:rsid w:val="001C1724"/>
    <w:rsid w:val="001C1FDD"/>
    <w:rsid w:val="001C29B3"/>
    <w:rsid w:val="001C7203"/>
    <w:rsid w:val="001D0245"/>
    <w:rsid w:val="001D0840"/>
    <w:rsid w:val="001D0DA1"/>
    <w:rsid w:val="001D135A"/>
    <w:rsid w:val="001D5751"/>
    <w:rsid w:val="001D5F96"/>
    <w:rsid w:val="001D6D9D"/>
    <w:rsid w:val="001E068D"/>
    <w:rsid w:val="001E1268"/>
    <w:rsid w:val="001E331D"/>
    <w:rsid w:val="001E393C"/>
    <w:rsid w:val="001E3D1E"/>
    <w:rsid w:val="001E5602"/>
    <w:rsid w:val="001E69B1"/>
    <w:rsid w:val="001E7EF2"/>
    <w:rsid w:val="001F06F1"/>
    <w:rsid w:val="001F07B5"/>
    <w:rsid w:val="001F13D1"/>
    <w:rsid w:val="001F2773"/>
    <w:rsid w:val="001F2D9A"/>
    <w:rsid w:val="001F3E2F"/>
    <w:rsid w:val="001F4545"/>
    <w:rsid w:val="001F4F94"/>
    <w:rsid w:val="00200CAD"/>
    <w:rsid w:val="00201C12"/>
    <w:rsid w:val="00201E18"/>
    <w:rsid w:val="00203EDA"/>
    <w:rsid w:val="00211E25"/>
    <w:rsid w:val="00213038"/>
    <w:rsid w:val="00213423"/>
    <w:rsid w:val="00213F6B"/>
    <w:rsid w:val="00214B07"/>
    <w:rsid w:val="0021534E"/>
    <w:rsid w:val="00220A45"/>
    <w:rsid w:val="00223AF0"/>
    <w:rsid w:val="00223C24"/>
    <w:rsid w:val="00224699"/>
    <w:rsid w:val="0022621E"/>
    <w:rsid w:val="002311C1"/>
    <w:rsid w:val="002329DA"/>
    <w:rsid w:val="002340C0"/>
    <w:rsid w:val="0023460D"/>
    <w:rsid w:val="00234CA1"/>
    <w:rsid w:val="00234F4F"/>
    <w:rsid w:val="002373FF"/>
    <w:rsid w:val="00240CDE"/>
    <w:rsid w:val="00243264"/>
    <w:rsid w:val="0024437E"/>
    <w:rsid w:val="0024510D"/>
    <w:rsid w:val="00247E2C"/>
    <w:rsid w:val="00251881"/>
    <w:rsid w:val="002533CB"/>
    <w:rsid w:val="0025478F"/>
    <w:rsid w:val="00254B20"/>
    <w:rsid w:val="00255991"/>
    <w:rsid w:val="00255A67"/>
    <w:rsid w:val="002566DD"/>
    <w:rsid w:val="00260674"/>
    <w:rsid w:val="00271C94"/>
    <w:rsid w:val="0027271A"/>
    <w:rsid w:val="00276642"/>
    <w:rsid w:val="0027724C"/>
    <w:rsid w:val="00277ABA"/>
    <w:rsid w:val="002823FB"/>
    <w:rsid w:val="00283001"/>
    <w:rsid w:val="002837CB"/>
    <w:rsid w:val="002847C6"/>
    <w:rsid w:val="00284CE6"/>
    <w:rsid w:val="00285303"/>
    <w:rsid w:val="0028562F"/>
    <w:rsid w:val="00286087"/>
    <w:rsid w:val="00290041"/>
    <w:rsid w:val="002901D5"/>
    <w:rsid w:val="002929F9"/>
    <w:rsid w:val="0029392B"/>
    <w:rsid w:val="00297486"/>
    <w:rsid w:val="002A0643"/>
    <w:rsid w:val="002A2487"/>
    <w:rsid w:val="002A32CB"/>
    <w:rsid w:val="002A542A"/>
    <w:rsid w:val="002A63DE"/>
    <w:rsid w:val="002A7488"/>
    <w:rsid w:val="002B17C4"/>
    <w:rsid w:val="002B511A"/>
    <w:rsid w:val="002B5CEA"/>
    <w:rsid w:val="002B661D"/>
    <w:rsid w:val="002B6E80"/>
    <w:rsid w:val="002C0AFE"/>
    <w:rsid w:val="002C0F13"/>
    <w:rsid w:val="002C3CF1"/>
    <w:rsid w:val="002C488D"/>
    <w:rsid w:val="002C4E10"/>
    <w:rsid w:val="002C5C94"/>
    <w:rsid w:val="002C749C"/>
    <w:rsid w:val="002D27C8"/>
    <w:rsid w:val="002D5ADF"/>
    <w:rsid w:val="002D6C53"/>
    <w:rsid w:val="002D7967"/>
    <w:rsid w:val="002E2BFF"/>
    <w:rsid w:val="002E36E2"/>
    <w:rsid w:val="002E4231"/>
    <w:rsid w:val="002E677A"/>
    <w:rsid w:val="002F20F3"/>
    <w:rsid w:val="002F2FBD"/>
    <w:rsid w:val="002F3247"/>
    <w:rsid w:val="002F3F73"/>
    <w:rsid w:val="002F4A14"/>
    <w:rsid w:val="002F5595"/>
    <w:rsid w:val="002F5A0C"/>
    <w:rsid w:val="002F64F1"/>
    <w:rsid w:val="002F726C"/>
    <w:rsid w:val="00301F45"/>
    <w:rsid w:val="00302511"/>
    <w:rsid w:val="00303407"/>
    <w:rsid w:val="00303641"/>
    <w:rsid w:val="00304716"/>
    <w:rsid w:val="00304E80"/>
    <w:rsid w:val="00304FE0"/>
    <w:rsid w:val="00307F0F"/>
    <w:rsid w:val="003124E8"/>
    <w:rsid w:val="00314081"/>
    <w:rsid w:val="00315EBA"/>
    <w:rsid w:val="0031697A"/>
    <w:rsid w:val="003172A9"/>
    <w:rsid w:val="0031786E"/>
    <w:rsid w:val="003206B8"/>
    <w:rsid w:val="00320891"/>
    <w:rsid w:val="00320E4E"/>
    <w:rsid w:val="00321202"/>
    <w:rsid w:val="003227D4"/>
    <w:rsid w:val="0032362C"/>
    <w:rsid w:val="0032570A"/>
    <w:rsid w:val="00325A32"/>
    <w:rsid w:val="00327A6A"/>
    <w:rsid w:val="00333BB0"/>
    <w:rsid w:val="003348AB"/>
    <w:rsid w:val="00334F6A"/>
    <w:rsid w:val="0033667C"/>
    <w:rsid w:val="0034036A"/>
    <w:rsid w:val="00342AC8"/>
    <w:rsid w:val="00342B30"/>
    <w:rsid w:val="0034300E"/>
    <w:rsid w:val="00344F75"/>
    <w:rsid w:val="003454E2"/>
    <w:rsid w:val="00347285"/>
    <w:rsid w:val="0035000B"/>
    <w:rsid w:val="003519D1"/>
    <w:rsid w:val="00353765"/>
    <w:rsid w:val="00356DE4"/>
    <w:rsid w:val="00361115"/>
    <w:rsid w:val="0036168E"/>
    <w:rsid w:val="0036559D"/>
    <w:rsid w:val="00365C75"/>
    <w:rsid w:val="003670AA"/>
    <w:rsid w:val="003672F0"/>
    <w:rsid w:val="00367699"/>
    <w:rsid w:val="00367AD0"/>
    <w:rsid w:val="0037004C"/>
    <w:rsid w:val="00372BB2"/>
    <w:rsid w:val="003738A6"/>
    <w:rsid w:val="00375207"/>
    <w:rsid w:val="00376509"/>
    <w:rsid w:val="003817F5"/>
    <w:rsid w:val="003818CC"/>
    <w:rsid w:val="003828CB"/>
    <w:rsid w:val="00383B2C"/>
    <w:rsid w:val="00384DA9"/>
    <w:rsid w:val="003859B6"/>
    <w:rsid w:val="00387F47"/>
    <w:rsid w:val="0039006F"/>
    <w:rsid w:val="00392492"/>
    <w:rsid w:val="00393A43"/>
    <w:rsid w:val="0039417F"/>
    <w:rsid w:val="00394298"/>
    <w:rsid w:val="00395DAE"/>
    <w:rsid w:val="003A02EA"/>
    <w:rsid w:val="003A08BB"/>
    <w:rsid w:val="003A12A9"/>
    <w:rsid w:val="003A1E5E"/>
    <w:rsid w:val="003A38E0"/>
    <w:rsid w:val="003A435B"/>
    <w:rsid w:val="003A4A6F"/>
    <w:rsid w:val="003A650C"/>
    <w:rsid w:val="003A75A9"/>
    <w:rsid w:val="003B01FC"/>
    <w:rsid w:val="003B16BF"/>
    <w:rsid w:val="003B424B"/>
    <w:rsid w:val="003B4550"/>
    <w:rsid w:val="003B6869"/>
    <w:rsid w:val="003C154A"/>
    <w:rsid w:val="003C4E80"/>
    <w:rsid w:val="003C526E"/>
    <w:rsid w:val="003D2FB0"/>
    <w:rsid w:val="003D688F"/>
    <w:rsid w:val="003D68BA"/>
    <w:rsid w:val="003D7789"/>
    <w:rsid w:val="003E093B"/>
    <w:rsid w:val="003E0B83"/>
    <w:rsid w:val="003E377F"/>
    <w:rsid w:val="003E413C"/>
    <w:rsid w:val="003E4CD3"/>
    <w:rsid w:val="003E5B11"/>
    <w:rsid w:val="003E5CC2"/>
    <w:rsid w:val="003E6497"/>
    <w:rsid w:val="003E7898"/>
    <w:rsid w:val="003E78C1"/>
    <w:rsid w:val="003F0297"/>
    <w:rsid w:val="003F3644"/>
    <w:rsid w:val="003F4D87"/>
    <w:rsid w:val="003F5355"/>
    <w:rsid w:val="003F5BBA"/>
    <w:rsid w:val="003F5EE0"/>
    <w:rsid w:val="0040017C"/>
    <w:rsid w:val="004006B4"/>
    <w:rsid w:val="00400EA2"/>
    <w:rsid w:val="004010BA"/>
    <w:rsid w:val="0040621F"/>
    <w:rsid w:val="00407632"/>
    <w:rsid w:val="0041225B"/>
    <w:rsid w:val="00412479"/>
    <w:rsid w:val="00412E13"/>
    <w:rsid w:val="00413616"/>
    <w:rsid w:val="0041507C"/>
    <w:rsid w:val="00421B5F"/>
    <w:rsid w:val="00425AA7"/>
    <w:rsid w:val="00430502"/>
    <w:rsid w:val="004311AC"/>
    <w:rsid w:val="00432037"/>
    <w:rsid w:val="00433418"/>
    <w:rsid w:val="00433717"/>
    <w:rsid w:val="00433A3C"/>
    <w:rsid w:val="00434D06"/>
    <w:rsid w:val="0044083B"/>
    <w:rsid w:val="004433BE"/>
    <w:rsid w:val="00443C6B"/>
    <w:rsid w:val="004446D4"/>
    <w:rsid w:val="004458DB"/>
    <w:rsid w:val="00450AA3"/>
    <w:rsid w:val="00450BFD"/>
    <w:rsid w:val="00453A0E"/>
    <w:rsid w:val="00456833"/>
    <w:rsid w:val="00457571"/>
    <w:rsid w:val="00460BD6"/>
    <w:rsid w:val="00461253"/>
    <w:rsid w:val="00464AE7"/>
    <w:rsid w:val="00464F3B"/>
    <w:rsid w:val="004665FC"/>
    <w:rsid w:val="00466F1B"/>
    <w:rsid w:val="00466F3B"/>
    <w:rsid w:val="0047110A"/>
    <w:rsid w:val="004725A2"/>
    <w:rsid w:val="00472C05"/>
    <w:rsid w:val="00472CDD"/>
    <w:rsid w:val="00474934"/>
    <w:rsid w:val="00475B14"/>
    <w:rsid w:val="00481DB5"/>
    <w:rsid w:val="00483E9E"/>
    <w:rsid w:val="00483F7F"/>
    <w:rsid w:val="004873D3"/>
    <w:rsid w:val="00487DC6"/>
    <w:rsid w:val="004935E3"/>
    <w:rsid w:val="00494B63"/>
    <w:rsid w:val="004A1588"/>
    <w:rsid w:val="004A2254"/>
    <w:rsid w:val="004A2814"/>
    <w:rsid w:val="004A3A3D"/>
    <w:rsid w:val="004A4047"/>
    <w:rsid w:val="004A5579"/>
    <w:rsid w:val="004A7150"/>
    <w:rsid w:val="004B2B0A"/>
    <w:rsid w:val="004B5173"/>
    <w:rsid w:val="004B56DE"/>
    <w:rsid w:val="004B603C"/>
    <w:rsid w:val="004B6CF1"/>
    <w:rsid w:val="004B7018"/>
    <w:rsid w:val="004B7A86"/>
    <w:rsid w:val="004C04BF"/>
    <w:rsid w:val="004C0622"/>
    <w:rsid w:val="004C1EB5"/>
    <w:rsid w:val="004C430B"/>
    <w:rsid w:val="004C549C"/>
    <w:rsid w:val="004C57DA"/>
    <w:rsid w:val="004C6FA9"/>
    <w:rsid w:val="004D0465"/>
    <w:rsid w:val="004D0B3E"/>
    <w:rsid w:val="004D10F9"/>
    <w:rsid w:val="004D13F2"/>
    <w:rsid w:val="004D21AA"/>
    <w:rsid w:val="004D2545"/>
    <w:rsid w:val="004D30E6"/>
    <w:rsid w:val="004D31B8"/>
    <w:rsid w:val="004D50A7"/>
    <w:rsid w:val="004D56DE"/>
    <w:rsid w:val="004D6281"/>
    <w:rsid w:val="004D665C"/>
    <w:rsid w:val="004D7ECB"/>
    <w:rsid w:val="004E18E1"/>
    <w:rsid w:val="004E25A2"/>
    <w:rsid w:val="004E2BA9"/>
    <w:rsid w:val="004E2EDA"/>
    <w:rsid w:val="004E5392"/>
    <w:rsid w:val="004E6A55"/>
    <w:rsid w:val="004F1BFD"/>
    <w:rsid w:val="004F2831"/>
    <w:rsid w:val="004F29F2"/>
    <w:rsid w:val="004F2FB4"/>
    <w:rsid w:val="004F34CA"/>
    <w:rsid w:val="004F60A4"/>
    <w:rsid w:val="004F6A42"/>
    <w:rsid w:val="00501FC6"/>
    <w:rsid w:val="005029BC"/>
    <w:rsid w:val="005042C2"/>
    <w:rsid w:val="0050513F"/>
    <w:rsid w:val="00507878"/>
    <w:rsid w:val="0051046F"/>
    <w:rsid w:val="0051292F"/>
    <w:rsid w:val="0051460A"/>
    <w:rsid w:val="00514FF8"/>
    <w:rsid w:val="005152FC"/>
    <w:rsid w:val="00515F82"/>
    <w:rsid w:val="00525DDB"/>
    <w:rsid w:val="0053030A"/>
    <w:rsid w:val="005308F4"/>
    <w:rsid w:val="005319EC"/>
    <w:rsid w:val="0053333B"/>
    <w:rsid w:val="0053615D"/>
    <w:rsid w:val="00536C7D"/>
    <w:rsid w:val="0053766F"/>
    <w:rsid w:val="005401C7"/>
    <w:rsid w:val="00541B6E"/>
    <w:rsid w:val="0054208B"/>
    <w:rsid w:val="00545841"/>
    <w:rsid w:val="005476B8"/>
    <w:rsid w:val="005515A1"/>
    <w:rsid w:val="005536C5"/>
    <w:rsid w:val="00554A2B"/>
    <w:rsid w:val="005569AE"/>
    <w:rsid w:val="005579F4"/>
    <w:rsid w:val="005600B6"/>
    <w:rsid w:val="005606DD"/>
    <w:rsid w:val="005623C7"/>
    <w:rsid w:val="00564D72"/>
    <w:rsid w:val="00565692"/>
    <w:rsid w:val="00565861"/>
    <w:rsid w:val="00566226"/>
    <w:rsid w:val="00567016"/>
    <w:rsid w:val="00573011"/>
    <w:rsid w:val="00574FD9"/>
    <w:rsid w:val="005757F9"/>
    <w:rsid w:val="00576635"/>
    <w:rsid w:val="00580745"/>
    <w:rsid w:val="00580FD9"/>
    <w:rsid w:val="00583A61"/>
    <w:rsid w:val="00584487"/>
    <w:rsid w:val="0058477F"/>
    <w:rsid w:val="00586A16"/>
    <w:rsid w:val="0058701F"/>
    <w:rsid w:val="00587D5E"/>
    <w:rsid w:val="00591B79"/>
    <w:rsid w:val="00593D8E"/>
    <w:rsid w:val="00594E0C"/>
    <w:rsid w:val="00597B9D"/>
    <w:rsid w:val="005A164C"/>
    <w:rsid w:val="005A1D41"/>
    <w:rsid w:val="005A2C73"/>
    <w:rsid w:val="005A392A"/>
    <w:rsid w:val="005A40EE"/>
    <w:rsid w:val="005A66BF"/>
    <w:rsid w:val="005A6E8A"/>
    <w:rsid w:val="005A7A56"/>
    <w:rsid w:val="005B05EB"/>
    <w:rsid w:val="005B146C"/>
    <w:rsid w:val="005B3B35"/>
    <w:rsid w:val="005B577A"/>
    <w:rsid w:val="005B5E78"/>
    <w:rsid w:val="005B7178"/>
    <w:rsid w:val="005C308C"/>
    <w:rsid w:val="005C334A"/>
    <w:rsid w:val="005C41A3"/>
    <w:rsid w:val="005C4F4E"/>
    <w:rsid w:val="005C6B22"/>
    <w:rsid w:val="005C7FD1"/>
    <w:rsid w:val="005D0F00"/>
    <w:rsid w:val="005D1BA1"/>
    <w:rsid w:val="005D4740"/>
    <w:rsid w:val="005D548B"/>
    <w:rsid w:val="005D709A"/>
    <w:rsid w:val="005E3213"/>
    <w:rsid w:val="005E592C"/>
    <w:rsid w:val="005E6348"/>
    <w:rsid w:val="005E716E"/>
    <w:rsid w:val="005F4F59"/>
    <w:rsid w:val="005F5053"/>
    <w:rsid w:val="005F5C11"/>
    <w:rsid w:val="005F723C"/>
    <w:rsid w:val="005F7476"/>
    <w:rsid w:val="00603C1F"/>
    <w:rsid w:val="0060477F"/>
    <w:rsid w:val="0060520E"/>
    <w:rsid w:val="00606BD8"/>
    <w:rsid w:val="00610371"/>
    <w:rsid w:val="00610FC6"/>
    <w:rsid w:val="006114B0"/>
    <w:rsid w:val="00613935"/>
    <w:rsid w:val="00615322"/>
    <w:rsid w:val="00615435"/>
    <w:rsid w:val="00616A30"/>
    <w:rsid w:val="00621260"/>
    <w:rsid w:val="006216A5"/>
    <w:rsid w:val="00621994"/>
    <w:rsid w:val="006241CF"/>
    <w:rsid w:val="006242EE"/>
    <w:rsid w:val="00625FD5"/>
    <w:rsid w:val="00627310"/>
    <w:rsid w:val="00630AA3"/>
    <w:rsid w:val="00636B8E"/>
    <w:rsid w:val="006437A8"/>
    <w:rsid w:val="00645476"/>
    <w:rsid w:val="00646311"/>
    <w:rsid w:val="00646438"/>
    <w:rsid w:val="006509CF"/>
    <w:rsid w:val="00654473"/>
    <w:rsid w:val="00656A24"/>
    <w:rsid w:val="006629FC"/>
    <w:rsid w:val="00664739"/>
    <w:rsid w:val="00664895"/>
    <w:rsid w:val="00666967"/>
    <w:rsid w:val="00666E89"/>
    <w:rsid w:val="00667C73"/>
    <w:rsid w:val="00671529"/>
    <w:rsid w:val="006718C8"/>
    <w:rsid w:val="006722D1"/>
    <w:rsid w:val="00674148"/>
    <w:rsid w:val="006753A5"/>
    <w:rsid w:val="00675CD3"/>
    <w:rsid w:val="0068066D"/>
    <w:rsid w:val="00681391"/>
    <w:rsid w:val="00683701"/>
    <w:rsid w:val="00685C32"/>
    <w:rsid w:val="00687417"/>
    <w:rsid w:val="006913D0"/>
    <w:rsid w:val="00692238"/>
    <w:rsid w:val="00693C03"/>
    <w:rsid w:val="00696F17"/>
    <w:rsid w:val="006A1C2A"/>
    <w:rsid w:val="006A39AA"/>
    <w:rsid w:val="006A3BA6"/>
    <w:rsid w:val="006A3DEF"/>
    <w:rsid w:val="006A5E9B"/>
    <w:rsid w:val="006A6F3E"/>
    <w:rsid w:val="006A7ED3"/>
    <w:rsid w:val="006B10A5"/>
    <w:rsid w:val="006B2F90"/>
    <w:rsid w:val="006B3670"/>
    <w:rsid w:val="006B58AD"/>
    <w:rsid w:val="006B5EA5"/>
    <w:rsid w:val="006C11A6"/>
    <w:rsid w:val="006C3D96"/>
    <w:rsid w:val="006D0705"/>
    <w:rsid w:val="006D0767"/>
    <w:rsid w:val="006D390A"/>
    <w:rsid w:val="006D3D0A"/>
    <w:rsid w:val="006D486E"/>
    <w:rsid w:val="006D4AF8"/>
    <w:rsid w:val="006D6817"/>
    <w:rsid w:val="006D7357"/>
    <w:rsid w:val="006D7E1B"/>
    <w:rsid w:val="006E6C16"/>
    <w:rsid w:val="006E7332"/>
    <w:rsid w:val="006F0695"/>
    <w:rsid w:val="006F07CA"/>
    <w:rsid w:val="006F1249"/>
    <w:rsid w:val="006F1560"/>
    <w:rsid w:val="006F206E"/>
    <w:rsid w:val="006F363B"/>
    <w:rsid w:val="00701DC3"/>
    <w:rsid w:val="0070319F"/>
    <w:rsid w:val="00703CDD"/>
    <w:rsid w:val="0070489D"/>
    <w:rsid w:val="00704D1B"/>
    <w:rsid w:val="00705AD5"/>
    <w:rsid w:val="0070700C"/>
    <w:rsid w:val="00707FE9"/>
    <w:rsid w:val="007105D6"/>
    <w:rsid w:val="00710E20"/>
    <w:rsid w:val="00711118"/>
    <w:rsid w:val="0071180D"/>
    <w:rsid w:val="0071194F"/>
    <w:rsid w:val="00714EEC"/>
    <w:rsid w:val="007161DB"/>
    <w:rsid w:val="00716208"/>
    <w:rsid w:val="00716224"/>
    <w:rsid w:val="0071757E"/>
    <w:rsid w:val="00720BDC"/>
    <w:rsid w:val="007218BA"/>
    <w:rsid w:val="00722ACB"/>
    <w:rsid w:val="00725362"/>
    <w:rsid w:val="007268F9"/>
    <w:rsid w:val="00732ABE"/>
    <w:rsid w:val="007338F0"/>
    <w:rsid w:val="00737DA8"/>
    <w:rsid w:val="0074119D"/>
    <w:rsid w:val="00741751"/>
    <w:rsid w:val="00746E53"/>
    <w:rsid w:val="00747CD2"/>
    <w:rsid w:val="00750209"/>
    <w:rsid w:val="007505BD"/>
    <w:rsid w:val="00751BE9"/>
    <w:rsid w:val="00751C86"/>
    <w:rsid w:val="0075452B"/>
    <w:rsid w:val="00756CBB"/>
    <w:rsid w:val="007579BA"/>
    <w:rsid w:val="00760694"/>
    <w:rsid w:val="00760AF4"/>
    <w:rsid w:val="00763CC8"/>
    <w:rsid w:val="0077102C"/>
    <w:rsid w:val="0077220E"/>
    <w:rsid w:val="00774404"/>
    <w:rsid w:val="00775D36"/>
    <w:rsid w:val="007817BC"/>
    <w:rsid w:val="007825A5"/>
    <w:rsid w:val="007852D2"/>
    <w:rsid w:val="00786DCB"/>
    <w:rsid w:val="0079264A"/>
    <w:rsid w:val="00794962"/>
    <w:rsid w:val="0079499B"/>
    <w:rsid w:val="00795F06"/>
    <w:rsid w:val="00796490"/>
    <w:rsid w:val="007A08A0"/>
    <w:rsid w:val="007A2F2D"/>
    <w:rsid w:val="007A3EB8"/>
    <w:rsid w:val="007A484A"/>
    <w:rsid w:val="007A59BB"/>
    <w:rsid w:val="007B114B"/>
    <w:rsid w:val="007B72E9"/>
    <w:rsid w:val="007C0716"/>
    <w:rsid w:val="007C21E0"/>
    <w:rsid w:val="007C3142"/>
    <w:rsid w:val="007C4B22"/>
    <w:rsid w:val="007C52B0"/>
    <w:rsid w:val="007C668E"/>
    <w:rsid w:val="007D4A0E"/>
    <w:rsid w:val="007D4EAA"/>
    <w:rsid w:val="007D560D"/>
    <w:rsid w:val="007D5E19"/>
    <w:rsid w:val="007E2A5C"/>
    <w:rsid w:val="007E2D27"/>
    <w:rsid w:val="007E3C2D"/>
    <w:rsid w:val="007E3E6A"/>
    <w:rsid w:val="007E3F8A"/>
    <w:rsid w:val="007E4246"/>
    <w:rsid w:val="007E5443"/>
    <w:rsid w:val="007E5CBD"/>
    <w:rsid w:val="007E5D89"/>
    <w:rsid w:val="007E7030"/>
    <w:rsid w:val="007F36E9"/>
    <w:rsid w:val="007F4B2F"/>
    <w:rsid w:val="007F52EA"/>
    <w:rsid w:val="00800F8E"/>
    <w:rsid w:val="008013FC"/>
    <w:rsid w:val="00806E36"/>
    <w:rsid w:val="00807FDC"/>
    <w:rsid w:val="008107C2"/>
    <w:rsid w:val="00812092"/>
    <w:rsid w:val="00813073"/>
    <w:rsid w:val="00814479"/>
    <w:rsid w:val="008151E6"/>
    <w:rsid w:val="0081706A"/>
    <w:rsid w:val="008202BD"/>
    <w:rsid w:val="00821194"/>
    <w:rsid w:val="0082176D"/>
    <w:rsid w:val="008219BE"/>
    <w:rsid w:val="008246B7"/>
    <w:rsid w:val="00825D7F"/>
    <w:rsid w:val="008260E1"/>
    <w:rsid w:val="00830BE8"/>
    <w:rsid w:val="00831DC1"/>
    <w:rsid w:val="00833C3E"/>
    <w:rsid w:val="00833EB8"/>
    <w:rsid w:val="00835721"/>
    <w:rsid w:val="00841F90"/>
    <w:rsid w:val="008421A8"/>
    <w:rsid w:val="0084396E"/>
    <w:rsid w:val="008441DC"/>
    <w:rsid w:val="00845434"/>
    <w:rsid w:val="0084740A"/>
    <w:rsid w:val="00851193"/>
    <w:rsid w:val="00852E86"/>
    <w:rsid w:val="0085333C"/>
    <w:rsid w:val="00853682"/>
    <w:rsid w:val="00855C14"/>
    <w:rsid w:val="0085661C"/>
    <w:rsid w:val="00857227"/>
    <w:rsid w:val="00857951"/>
    <w:rsid w:val="00860E65"/>
    <w:rsid w:val="00861B4E"/>
    <w:rsid w:val="0086267F"/>
    <w:rsid w:val="00862E37"/>
    <w:rsid w:val="0086621C"/>
    <w:rsid w:val="00867D2B"/>
    <w:rsid w:val="008726A7"/>
    <w:rsid w:val="00873514"/>
    <w:rsid w:val="0087532A"/>
    <w:rsid w:val="0087577D"/>
    <w:rsid w:val="008771A3"/>
    <w:rsid w:val="00877997"/>
    <w:rsid w:val="0088081B"/>
    <w:rsid w:val="0088376F"/>
    <w:rsid w:val="00884DA4"/>
    <w:rsid w:val="00890136"/>
    <w:rsid w:val="0089682D"/>
    <w:rsid w:val="0089762F"/>
    <w:rsid w:val="00897A8C"/>
    <w:rsid w:val="008A1FD5"/>
    <w:rsid w:val="008A32AC"/>
    <w:rsid w:val="008A3392"/>
    <w:rsid w:val="008A3C38"/>
    <w:rsid w:val="008A3E2A"/>
    <w:rsid w:val="008A5C29"/>
    <w:rsid w:val="008A5EBD"/>
    <w:rsid w:val="008A7199"/>
    <w:rsid w:val="008B0332"/>
    <w:rsid w:val="008B3520"/>
    <w:rsid w:val="008B51EF"/>
    <w:rsid w:val="008B7B97"/>
    <w:rsid w:val="008C4933"/>
    <w:rsid w:val="008C5DAF"/>
    <w:rsid w:val="008C672B"/>
    <w:rsid w:val="008C73BE"/>
    <w:rsid w:val="008D024B"/>
    <w:rsid w:val="008D0D02"/>
    <w:rsid w:val="008D1C85"/>
    <w:rsid w:val="008D2756"/>
    <w:rsid w:val="008D2C08"/>
    <w:rsid w:val="008D2D45"/>
    <w:rsid w:val="008D2FE9"/>
    <w:rsid w:val="008D3415"/>
    <w:rsid w:val="008D4D87"/>
    <w:rsid w:val="008D631B"/>
    <w:rsid w:val="008D6F02"/>
    <w:rsid w:val="008E0317"/>
    <w:rsid w:val="008E0E50"/>
    <w:rsid w:val="008E1AC8"/>
    <w:rsid w:val="008E3301"/>
    <w:rsid w:val="008E5679"/>
    <w:rsid w:val="008E7D92"/>
    <w:rsid w:val="008F0BFC"/>
    <w:rsid w:val="008F0D41"/>
    <w:rsid w:val="008F190E"/>
    <w:rsid w:val="008F3391"/>
    <w:rsid w:val="008F40F3"/>
    <w:rsid w:val="008F466F"/>
    <w:rsid w:val="008F5D1E"/>
    <w:rsid w:val="00900FE0"/>
    <w:rsid w:val="0090222E"/>
    <w:rsid w:val="00902BFE"/>
    <w:rsid w:val="009049A8"/>
    <w:rsid w:val="0090643B"/>
    <w:rsid w:val="00907CBE"/>
    <w:rsid w:val="009112FA"/>
    <w:rsid w:val="0091142A"/>
    <w:rsid w:val="00911AF3"/>
    <w:rsid w:val="00911D1C"/>
    <w:rsid w:val="009143FF"/>
    <w:rsid w:val="0091544A"/>
    <w:rsid w:val="00915593"/>
    <w:rsid w:val="00916BFA"/>
    <w:rsid w:val="00920C47"/>
    <w:rsid w:val="0092165C"/>
    <w:rsid w:val="00924CE5"/>
    <w:rsid w:val="009261FD"/>
    <w:rsid w:val="00930F7C"/>
    <w:rsid w:val="00933CAF"/>
    <w:rsid w:val="00934C9A"/>
    <w:rsid w:val="009368D3"/>
    <w:rsid w:val="00940323"/>
    <w:rsid w:val="009411B4"/>
    <w:rsid w:val="00941870"/>
    <w:rsid w:val="009418CA"/>
    <w:rsid w:val="00942940"/>
    <w:rsid w:val="00945338"/>
    <w:rsid w:val="00947B15"/>
    <w:rsid w:val="00951A74"/>
    <w:rsid w:val="00952F27"/>
    <w:rsid w:val="009541B6"/>
    <w:rsid w:val="009603C4"/>
    <w:rsid w:val="0096182E"/>
    <w:rsid w:val="009626EA"/>
    <w:rsid w:val="00962F09"/>
    <w:rsid w:val="009635DF"/>
    <w:rsid w:val="00963BAB"/>
    <w:rsid w:val="00963F10"/>
    <w:rsid w:val="009642CB"/>
    <w:rsid w:val="009655AC"/>
    <w:rsid w:val="00965EA6"/>
    <w:rsid w:val="00966F30"/>
    <w:rsid w:val="009670A7"/>
    <w:rsid w:val="009674B7"/>
    <w:rsid w:val="009707A1"/>
    <w:rsid w:val="00971135"/>
    <w:rsid w:val="00971646"/>
    <w:rsid w:val="00972397"/>
    <w:rsid w:val="00973281"/>
    <w:rsid w:val="00974F0C"/>
    <w:rsid w:val="009778AA"/>
    <w:rsid w:val="0098252E"/>
    <w:rsid w:val="00983E65"/>
    <w:rsid w:val="009846D3"/>
    <w:rsid w:val="0098471A"/>
    <w:rsid w:val="00984D3F"/>
    <w:rsid w:val="009857E6"/>
    <w:rsid w:val="00990CD2"/>
    <w:rsid w:val="00991A2B"/>
    <w:rsid w:val="00993D54"/>
    <w:rsid w:val="009942AE"/>
    <w:rsid w:val="00995312"/>
    <w:rsid w:val="009970C6"/>
    <w:rsid w:val="0099772E"/>
    <w:rsid w:val="00997E53"/>
    <w:rsid w:val="009A2A7E"/>
    <w:rsid w:val="009A584A"/>
    <w:rsid w:val="009A657E"/>
    <w:rsid w:val="009A78D6"/>
    <w:rsid w:val="009B0599"/>
    <w:rsid w:val="009B1EBE"/>
    <w:rsid w:val="009B22D4"/>
    <w:rsid w:val="009B2E40"/>
    <w:rsid w:val="009B2F7F"/>
    <w:rsid w:val="009B343E"/>
    <w:rsid w:val="009B3BC1"/>
    <w:rsid w:val="009B69A5"/>
    <w:rsid w:val="009B6CE1"/>
    <w:rsid w:val="009B791B"/>
    <w:rsid w:val="009B79F7"/>
    <w:rsid w:val="009C2726"/>
    <w:rsid w:val="009C63C1"/>
    <w:rsid w:val="009C72AE"/>
    <w:rsid w:val="009C7B23"/>
    <w:rsid w:val="009D0139"/>
    <w:rsid w:val="009D16EF"/>
    <w:rsid w:val="009D1E53"/>
    <w:rsid w:val="009D2F3F"/>
    <w:rsid w:val="009D388A"/>
    <w:rsid w:val="009D55CB"/>
    <w:rsid w:val="009D717D"/>
    <w:rsid w:val="009E24BC"/>
    <w:rsid w:val="009E34B6"/>
    <w:rsid w:val="009E6292"/>
    <w:rsid w:val="009F1060"/>
    <w:rsid w:val="009F10BD"/>
    <w:rsid w:val="009F15D9"/>
    <w:rsid w:val="009F201B"/>
    <w:rsid w:val="009F2053"/>
    <w:rsid w:val="009F49F3"/>
    <w:rsid w:val="009F5CDC"/>
    <w:rsid w:val="009F5E70"/>
    <w:rsid w:val="009F6091"/>
    <w:rsid w:val="009F6B84"/>
    <w:rsid w:val="009F7A70"/>
    <w:rsid w:val="00A010CA"/>
    <w:rsid w:val="00A011BF"/>
    <w:rsid w:val="00A028BC"/>
    <w:rsid w:val="00A03162"/>
    <w:rsid w:val="00A05420"/>
    <w:rsid w:val="00A0673A"/>
    <w:rsid w:val="00A069AC"/>
    <w:rsid w:val="00A07752"/>
    <w:rsid w:val="00A113B7"/>
    <w:rsid w:val="00A11404"/>
    <w:rsid w:val="00A11AC5"/>
    <w:rsid w:val="00A13A0A"/>
    <w:rsid w:val="00A1653B"/>
    <w:rsid w:val="00A202C8"/>
    <w:rsid w:val="00A205AC"/>
    <w:rsid w:val="00A21421"/>
    <w:rsid w:val="00A24EE4"/>
    <w:rsid w:val="00A3067D"/>
    <w:rsid w:val="00A310A3"/>
    <w:rsid w:val="00A326BE"/>
    <w:rsid w:val="00A32A9A"/>
    <w:rsid w:val="00A333AB"/>
    <w:rsid w:val="00A33D38"/>
    <w:rsid w:val="00A3478F"/>
    <w:rsid w:val="00A37B7C"/>
    <w:rsid w:val="00A402EC"/>
    <w:rsid w:val="00A40DA5"/>
    <w:rsid w:val="00A42F81"/>
    <w:rsid w:val="00A449BB"/>
    <w:rsid w:val="00A50789"/>
    <w:rsid w:val="00A525CF"/>
    <w:rsid w:val="00A53560"/>
    <w:rsid w:val="00A54053"/>
    <w:rsid w:val="00A5780F"/>
    <w:rsid w:val="00A6440F"/>
    <w:rsid w:val="00A65F2B"/>
    <w:rsid w:val="00A661A7"/>
    <w:rsid w:val="00A67924"/>
    <w:rsid w:val="00A70854"/>
    <w:rsid w:val="00A71B4B"/>
    <w:rsid w:val="00A726F3"/>
    <w:rsid w:val="00A737EA"/>
    <w:rsid w:val="00A74388"/>
    <w:rsid w:val="00A775CF"/>
    <w:rsid w:val="00A77FED"/>
    <w:rsid w:val="00A82F01"/>
    <w:rsid w:val="00A8320B"/>
    <w:rsid w:val="00A83B90"/>
    <w:rsid w:val="00A83D83"/>
    <w:rsid w:val="00A84BD9"/>
    <w:rsid w:val="00A87192"/>
    <w:rsid w:val="00A90584"/>
    <w:rsid w:val="00A92852"/>
    <w:rsid w:val="00A9389E"/>
    <w:rsid w:val="00AA4C4D"/>
    <w:rsid w:val="00AA604F"/>
    <w:rsid w:val="00AA7D2B"/>
    <w:rsid w:val="00AB50B7"/>
    <w:rsid w:val="00AB5251"/>
    <w:rsid w:val="00AB5DFE"/>
    <w:rsid w:val="00AB65A0"/>
    <w:rsid w:val="00AB6E39"/>
    <w:rsid w:val="00AC045A"/>
    <w:rsid w:val="00AC068F"/>
    <w:rsid w:val="00AC0DF0"/>
    <w:rsid w:val="00AC17D7"/>
    <w:rsid w:val="00AC1865"/>
    <w:rsid w:val="00AC29E7"/>
    <w:rsid w:val="00AC58B2"/>
    <w:rsid w:val="00AC5E50"/>
    <w:rsid w:val="00AC621B"/>
    <w:rsid w:val="00AC7807"/>
    <w:rsid w:val="00AC7E44"/>
    <w:rsid w:val="00AD0A99"/>
    <w:rsid w:val="00AD279B"/>
    <w:rsid w:val="00AD4AB6"/>
    <w:rsid w:val="00AE0730"/>
    <w:rsid w:val="00AE2293"/>
    <w:rsid w:val="00AE4BC6"/>
    <w:rsid w:val="00AE5F49"/>
    <w:rsid w:val="00AE6C85"/>
    <w:rsid w:val="00AE6C90"/>
    <w:rsid w:val="00AF1557"/>
    <w:rsid w:val="00AF15FF"/>
    <w:rsid w:val="00AF1B2F"/>
    <w:rsid w:val="00AF5987"/>
    <w:rsid w:val="00AF5DFB"/>
    <w:rsid w:val="00AF5FB5"/>
    <w:rsid w:val="00AF63D8"/>
    <w:rsid w:val="00AF75F9"/>
    <w:rsid w:val="00B01053"/>
    <w:rsid w:val="00B0144C"/>
    <w:rsid w:val="00B02374"/>
    <w:rsid w:val="00B036BB"/>
    <w:rsid w:val="00B04A26"/>
    <w:rsid w:val="00B04C04"/>
    <w:rsid w:val="00B06045"/>
    <w:rsid w:val="00B07928"/>
    <w:rsid w:val="00B1141C"/>
    <w:rsid w:val="00B12293"/>
    <w:rsid w:val="00B123F0"/>
    <w:rsid w:val="00B136E3"/>
    <w:rsid w:val="00B13AEA"/>
    <w:rsid w:val="00B15317"/>
    <w:rsid w:val="00B154D9"/>
    <w:rsid w:val="00B1589A"/>
    <w:rsid w:val="00B16561"/>
    <w:rsid w:val="00B22175"/>
    <w:rsid w:val="00B229DC"/>
    <w:rsid w:val="00B24C62"/>
    <w:rsid w:val="00B2649D"/>
    <w:rsid w:val="00B2722C"/>
    <w:rsid w:val="00B33B6A"/>
    <w:rsid w:val="00B33E71"/>
    <w:rsid w:val="00B34282"/>
    <w:rsid w:val="00B34F05"/>
    <w:rsid w:val="00B359E0"/>
    <w:rsid w:val="00B36E59"/>
    <w:rsid w:val="00B37647"/>
    <w:rsid w:val="00B40531"/>
    <w:rsid w:val="00B41210"/>
    <w:rsid w:val="00B414BA"/>
    <w:rsid w:val="00B457DA"/>
    <w:rsid w:val="00B4670C"/>
    <w:rsid w:val="00B50DD8"/>
    <w:rsid w:val="00B515AF"/>
    <w:rsid w:val="00B52EF4"/>
    <w:rsid w:val="00B5357E"/>
    <w:rsid w:val="00B53FDA"/>
    <w:rsid w:val="00B54475"/>
    <w:rsid w:val="00B55744"/>
    <w:rsid w:val="00B56D10"/>
    <w:rsid w:val="00B57BA1"/>
    <w:rsid w:val="00B609A1"/>
    <w:rsid w:val="00B62C6F"/>
    <w:rsid w:val="00B64ED3"/>
    <w:rsid w:val="00B674E4"/>
    <w:rsid w:val="00B67547"/>
    <w:rsid w:val="00B677FA"/>
    <w:rsid w:val="00B703D9"/>
    <w:rsid w:val="00B71765"/>
    <w:rsid w:val="00B71B7E"/>
    <w:rsid w:val="00B727C2"/>
    <w:rsid w:val="00B73BD7"/>
    <w:rsid w:val="00B81D3E"/>
    <w:rsid w:val="00B8516D"/>
    <w:rsid w:val="00B86483"/>
    <w:rsid w:val="00B8787F"/>
    <w:rsid w:val="00B928D8"/>
    <w:rsid w:val="00B93A03"/>
    <w:rsid w:val="00B93CEA"/>
    <w:rsid w:val="00B94A1B"/>
    <w:rsid w:val="00B97F97"/>
    <w:rsid w:val="00BA3598"/>
    <w:rsid w:val="00BA4E01"/>
    <w:rsid w:val="00BA52FD"/>
    <w:rsid w:val="00BA7072"/>
    <w:rsid w:val="00BA7650"/>
    <w:rsid w:val="00BB0779"/>
    <w:rsid w:val="00BB3791"/>
    <w:rsid w:val="00BB7A66"/>
    <w:rsid w:val="00BB7FF1"/>
    <w:rsid w:val="00BC0920"/>
    <w:rsid w:val="00BC1880"/>
    <w:rsid w:val="00BC211B"/>
    <w:rsid w:val="00BC25E2"/>
    <w:rsid w:val="00BC4A6C"/>
    <w:rsid w:val="00BC78C5"/>
    <w:rsid w:val="00BC7ADA"/>
    <w:rsid w:val="00BD0D68"/>
    <w:rsid w:val="00BD2C18"/>
    <w:rsid w:val="00BD4DDB"/>
    <w:rsid w:val="00BE1420"/>
    <w:rsid w:val="00BE4A1C"/>
    <w:rsid w:val="00BF14F5"/>
    <w:rsid w:val="00BF19C9"/>
    <w:rsid w:val="00BF51E1"/>
    <w:rsid w:val="00BF5C32"/>
    <w:rsid w:val="00BF7C3B"/>
    <w:rsid w:val="00C01819"/>
    <w:rsid w:val="00C019F6"/>
    <w:rsid w:val="00C02C40"/>
    <w:rsid w:val="00C03015"/>
    <w:rsid w:val="00C0358D"/>
    <w:rsid w:val="00C03AA3"/>
    <w:rsid w:val="00C04048"/>
    <w:rsid w:val="00C054A3"/>
    <w:rsid w:val="00C05706"/>
    <w:rsid w:val="00C0616A"/>
    <w:rsid w:val="00C071C5"/>
    <w:rsid w:val="00C072DF"/>
    <w:rsid w:val="00C0731A"/>
    <w:rsid w:val="00C07909"/>
    <w:rsid w:val="00C1358E"/>
    <w:rsid w:val="00C1473C"/>
    <w:rsid w:val="00C1616C"/>
    <w:rsid w:val="00C16B1F"/>
    <w:rsid w:val="00C1722A"/>
    <w:rsid w:val="00C2206E"/>
    <w:rsid w:val="00C2493A"/>
    <w:rsid w:val="00C25CB0"/>
    <w:rsid w:val="00C27108"/>
    <w:rsid w:val="00C274C2"/>
    <w:rsid w:val="00C32ED7"/>
    <w:rsid w:val="00C341CB"/>
    <w:rsid w:val="00C3541D"/>
    <w:rsid w:val="00C35A27"/>
    <w:rsid w:val="00C35EF7"/>
    <w:rsid w:val="00C37D6B"/>
    <w:rsid w:val="00C40327"/>
    <w:rsid w:val="00C40360"/>
    <w:rsid w:val="00C409FB"/>
    <w:rsid w:val="00C41291"/>
    <w:rsid w:val="00C41AA4"/>
    <w:rsid w:val="00C41FC1"/>
    <w:rsid w:val="00C429D5"/>
    <w:rsid w:val="00C43E51"/>
    <w:rsid w:val="00C44134"/>
    <w:rsid w:val="00C47127"/>
    <w:rsid w:val="00C47B2E"/>
    <w:rsid w:val="00C50231"/>
    <w:rsid w:val="00C50EC7"/>
    <w:rsid w:val="00C5185E"/>
    <w:rsid w:val="00C53F6E"/>
    <w:rsid w:val="00C54A36"/>
    <w:rsid w:val="00C54C9A"/>
    <w:rsid w:val="00C55236"/>
    <w:rsid w:val="00C55F67"/>
    <w:rsid w:val="00C5715F"/>
    <w:rsid w:val="00C5781C"/>
    <w:rsid w:val="00C57E39"/>
    <w:rsid w:val="00C60447"/>
    <w:rsid w:val="00C639B1"/>
    <w:rsid w:val="00C67337"/>
    <w:rsid w:val="00C67F86"/>
    <w:rsid w:val="00C7032C"/>
    <w:rsid w:val="00C70983"/>
    <w:rsid w:val="00C70C48"/>
    <w:rsid w:val="00C71F87"/>
    <w:rsid w:val="00C7282E"/>
    <w:rsid w:val="00C75C68"/>
    <w:rsid w:val="00C80945"/>
    <w:rsid w:val="00C820A5"/>
    <w:rsid w:val="00C82EFF"/>
    <w:rsid w:val="00C83CEB"/>
    <w:rsid w:val="00C854FE"/>
    <w:rsid w:val="00C873E9"/>
    <w:rsid w:val="00C91508"/>
    <w:rsid w:val="00C91A26"/>
    <w:rsid w:val="00C959B1"/>
    <w:rsid w:val="00C964AE"/>
    <w:rsid w:val="00C9699B"/>
    <w:rsid w:val="00C96DE1"/>
    <w:rsid w:val="00C97802"/>
    <w:rsid w:val="00CA1B04"/>
    <w:rsid w:val="00CA1C89"/>
    <w:rsid w:val="00CA1DF0"/>
    <w:rsid w:val="00CA1F2A"/>
    <w:rsid w:val="00CA2663"/>
    <w:rsid w:val="00CA3784"/>
    <w:rsid w:val="00CA4294"/>
    <w:rsid w:val="00CA4A68"/>
    <w:rsid w:val="00CA780A"/>
    <w:rsid w:val="00CB00D3"/>
    <w:rsid w:val="00CB1479"/>
    <w:rsid w:val="00CB1621"/>
    <w:rsid w:val="00CB18BD"/>
    <w:rsid w:val="00CB3077"/>
    <w:rsid w:val="00CB39D0"/>
    <w:rsid w:val="00CB502B"/>
    <w:rsid w:val="00CB7ADE"/>
    <w:rsid w:val="00CC1BAC"/>
    <w:rsid w:val="00CC3D0C"/>
    <w:rsid w:val="00CC5FA6"/>
    <w:rsid w:val="00CC6360"/>
    <w:rsid w:val="00CC6ADA"/>
    <w:rsid w:val="00CD0727"/>
    <w:rsid w:val="00CD0880"/>
    <w:rsid w:val="00CD13E6"/>
    <w:rsid w:val="00CD2F36"/>
    <w:rsid w:val="00CD47B9"/>
    <w:rsid w:val="00CD4A89"/>
    <w:rsid w:val="00CD4DB7"/>
    <w:rsid w:val="00CD757A"/>
    <w:rsid w:val="00CE062A"/>
    <w:rsid w:val="00CE0BFF"/>
    <w:rsid w:val="00CE122B"/>
    <w:rsid w:val="00CE553F"/>
    <w:rsid w:val="00CE5B88"/>
    <w:rsid w:val="00CE6880"/>
    <w:rsid w:val="00CF07B3"/>
    <w:rsid w:val="00CF136F"/>
    <w:rsid w:val="00CF1B60"/>
    <w:rsid w:val="00CF27C8"/>
    <w:rsid w:val="00CF46F4"/>
    <w:rsid w:val="00CF56F3"/>
    <w:rsid w:val="00CF57AD"/>
    <w:rsid w:val="00D002D4"/>
    <w:rsid w:val="00D00F66"/>
    <w:rsid w:val="00D01DDA"/>
    <w:rsid w:val="00D04ECF"/>
    <w:rsid w:val="00D10600"/>
    <w:rsid w:val="00D10A81"/>
    <w:rsid w:val="00D12AE6"/>
    <w:rsid w:val="00D1364E"/>
    <w:rsid w:val="00D13F09"/>
    <w:rsid w:val="00D15260"/>
    <w:rsid w:val="00D15858"/>
    <w:rsid w:val="00D15930"/>
    <w:rsid w:val="00D164DD"/>
    <w:rsid w:val="00D1679B"/>
    <w:rsid w:val="00D16EED"/>
    <w:rsid w:val="00D2075A"/>
    <w:rsid w:val="00D20799"/>
    <w:rsid w:val="00D22E49"/>
    <w:rsid w:val="00D26534"/>
    <w:rsid w:val="00D35E9D"/>
    <w:rsid w:val="00D362AC"/>
    <w:rsid w:val="00D36908"/>
    <w:rsid w:val="00D37463"/>
    <w:rsid w:val="00D37F41"/>
    <w:rsid w:val="00D40102"/>
    <w:rsid w:val="00D434E0"/>
    <w:rsid w:val="00D45036"/>
    <w:rsid w:val="00D45BA5"/>
    <w:rsid w:val="00D4788F"/>
    <w:rsid w:val="00D51967"/>
    <w:rsid w:val="00D519EF"/>
    <w:rsid w:val="00D52121"/>
    <w:rsid w:val="00D54056"/>
    <w:rsid w:val="00D54916"/>
    <w:rsid w:val="00D56847"/>
    <w:rsid w:val="00D5720E"/>
    <w:rsid w:val="00D5741D"/>
    <w:rsid w:val="00D61488"/>
    <w:rsid w:val="00D621F5"/>
    <w:rsid w:val="00D6242F"/>
    <w:rsid w:val="00D642B6"/>
    <w:rsid w:val="00D65905"/>
    <w:rsid w:val="00D67260"/>
    <w:rsid w:val="00D6788D"/>
    <w:rsid w:val="00D716A5"/>
    <w:rsid w:val="00D816C5"/>
    <w:rsid w:val="00D829D3"/>
    <w:rsid w:val="00D83903"/>
    <w:rsid w:val="00D83A69"/>
    <w:rsid w:val="00D84DEA"/>
    <w:rsid w:val="00D87833"/>
    <w:rsid w:val="00D90C48"/>
    <w:rsid w:val="00D921EE"/>
    <w:rsid w:val="00D944C9"/>
    <w:rsid w:val="00D94A28"/>
    <w:rsid w:val="00D94BB2"/>
    <w:rsid w:val="00D966B3"/>
    <w:rsid w:val="00D97423"/>
    <w:rsid w:val="00DA05EA"/>
    <w:rsid w:val="00DA1E9B"/>
    <w:rsid w:val="00DA266B"/>
    <w:rsid w:val="00DA4940"/>
    <w:rsid w:val="00DA628B"/>
    <w:rsid w:val="00DB1129"/>
    <w:rsid w:val="00DB1EF4"/>
    <w:rsid w:val="00DB2E16"/>
    <w:rsid w:val="00DB31FE"/>
    <w:rsid w:val="00DB3FC0"/>
    <w:rsid w:val="00DB45BC"/>
    <w:rsid w:val="00DB7A3B"/>
    <w:rsid w:val="00DC246F"/>
    <w:rsid w:val="00DC2D83"/>
    <w:rsid w:val="00DC3559"/>
    <w:rsid w:val="00DC5C11"/>
    <w:rsid w:val="00DC6FFD"/>
    <w:rsid w:val="00DD0295"/>
    <w:rsid w:val="00DD1890"/>
    <w:rsid w:val="00DD3491"/>
    <w:rsid w:val="00DD4910"/>
    <w:rsid w:val="00DD4C36"/>
    <w:rsid w:val="00DD6693"/>
    <w:rsid w:val="00DE0728"/>
    <w:rsid w:val="00DE0D8B"/>
    <w:rsid w:val="00DE1C95"/>
    <w:rsid w:val="00DE4408"/>
    <w:rsid w:val="00DE48B4"/>
    <w:rsid w:val="00DE4F27"/>
    <w:rsid w:val="00DE516E"/>
    <w:rsid w:val="00DE52BB"/>
    <w:rsid w:val="00DE6071"/>
    <w:rsid w:val="00DF075D"/>
    <w:rsid w:val="00DF0DB0"/>
    <w:rsid w:val="00DF1671"/>
    <w:rsid w:val="00DF633C"/>
    <w:rsid w:val="00DF6A69"/>
    <w:rsid w:val="00E00998"/>
    <w:rsid w:val="00E02C2B"/>
    <w:rsid w:val="00E02C3F"/>
    <w:rsid w:val="00E02D92"/>
    <w:rsid w:val="00E03AB5"/>
    <w:rsid w:val="00E03DB3"/>
    <w:rsid w:val="00E07489"/>
    <w:rsid w:val="00E1090A"/>
    <w:rsid w:val="00E15BEC"/>
    <w:rsid w:val="00E170D8"/>
    <w:rsid w:val="00E20850"/>
    <w:rsid w:val="00E214E3"/>
    <w:rsid w:val="00E21B1A"/>
    <w:rsid w:val="00E21D91"/>
    <w:rsid w:val="00E2313A"/>
    <w:rsid w:val="00E23EAC"/>
    <w:rsid w:val="00E24E6B"/>
    <w:rsid w:val="00E27487"/>
    <w:rsid w:val="00E300E6"/>
    <w:rsid w:val="00E30FDA"/>
    <w:rsid w:val="00E36354"/>
    <w:rsid w:val="00E40333"/>
    <w:rsid w:val="00E40E75"/>
    <w:rsid w:val="00E41385"/>
    <w:rsid w:val="00E42506"/>
    <w:rsid w:val="00E43313"/>
    <w:rsid w:val="00E454A1"/>
    <w:rsid w:val="00E46919"/>
    <w:rsid w:val="00E4705F"/>
    <w:rsid w:val="00E5111F"/>
    <w:rsid w:val="00E51154"/>
    <w:rsid w:val="00E512C3"/>
    <w:rsid w:val="00E52109"/>
    <w:rsid w:val="00E53064"/>
    <w:rsid w:val="00E5375A"/>
    <w:rsid w:val="00E537C3"/>
    <w:rsid w:val="00E54F9D"/>
    <w:rsid w:val="00E5670E"/>
    <w:rsid w:val="00E63743"/>
    <w:rsid w:val="00E642D9"/>
    <w:rsid w:val="00E646B6"/>
    <w:rsid w:val="00E64730"/>
    <w:rsid w:val="00E647E3"/>
    <w:rsid w:val="00E6588C"/>
    <w:rsid w:val="00E671C9"/>
    <w:rsid w:val="00E6796F"/>
    <w:rsid w:val="00E67A80"/>
    <w:rsid w:val="00E70ACF"/>
    <w:rsid w:val="00E71338"/>
    <w:rsid w:val="00E72C9D"/>
    <w:rsid w:val="00E75317"/>
    <w:rsid w:val="00E7755B"/>
    <w:rsid w:val="00E779C3"/>
    <w:rsid w:val="00E81F68"/>
    <w:rsid w:val="00E8202D"/>
    <w:rsid w:val="00E82958"/>
    <w:rsid w:val="00E82A36"/>
    <w:rsid w:val="00E82FB3"/>
    <w:rsid w:val="00E87511"/>
    <w:rsid w:val="00E91FB7"/>
    <w:rsid w:val="00E93207"/>
    <w:rsid w:val="00E937D6"/>
    <w:rsid w:val="00E946FC"/>
    <w:rsid w:val="00E95387"/>
    <w:rsid w:val="00E967A6"/>
    <w:rsid w:val="00EA0005"/>
    <w:rsid w:val="00EA16AB"/>
    <w:rsid w:val="00EA1810"/>
    <w:rsid w:val="00EA4F52"/>
    <w:rsid w:val="00EA5405"/>
    <w:rsid w:val="00EB223C"/>
    <w:rsid w:val="00EB25D7"/>
    <w:rsid w:val="00EB3CB1"/>
    <w:rsid w:val="00EB6C62"/>
    <w:rsid w:val="00EC0BC2"/>
    <w:rsid w:val="00EC171F"/>
    <w:rsid w:val="00EC1E7F"/>
    <w:rsid w:val="00EC367C"/>
    <w:rsid w:val="00EC393E"/>
    <w:rsid w:val="00EC7173"/>
    <w:rsid w:val="00EC73AD"/>
    <w:rsid w:val="00ED1702"/>
    <w:rsid w:val="00ED5BF1"/>
    <w:rsid w:val="00ED636A"/>
    <w:rsid w:val="00ED65F2"/>
    <w:rsid w:val="00ED6C48"/>
    <w:rsid w:val="00ED74C3"/>
    <w:rsid w:val="00ED7560"/>
    <w:rsid w:val="00EE218E"/>
    <w:rsid w:val="00EE2A35"/>
    <w:rsid w:val="00EE3D16"/>
    <w:rsid w:val="00EE4EC5"/>
    <w:rsid w:val="00EE5DFF"/>
    <w:rsid w:val="00EE6974"/>
    <w:rsid w:val="00EE6EB7"/>
    <w:rsid w:val="00EF0BF2"/>
    <w:rsid w:val="00EF209F"/>
    <w:rsid w:val="00EF3979"/>
    <w:rsid w:val="00EF3BDC"/>
    <w:rsid w:val="00EF4FA3"/>
    <w:rsid w:val="00EF5088"/>
    <w:rsid w:val="00F00148"/>
    <w:rsid w:val="00F0103E"/>
    <w:rsid w:val="00F01FFE"/>
    <w:rsid w:val="00F0267E"/>
    <w:rsid w:val="00F033A6"/>
    <w:rsid w:val="00F10C15"/>
    <w:rsid w:val="00F11B05"/>
    <w:rsid w:val="00F11B4D"/>
    <w:rsid w:val="00F139CB"/>
    <w:rsid w:val="00F142D4"/>
    <w:rsid w:val="00F146AD"/>
    <w:rsid w:val="00F172D3"/>
    <w:rsid w:val="00F17516"/>
    <w:rsid w:val="00F22970"/>
    <w:rsid w:val="00F22B7C"/>
    <w:rsid w:val="00F23AA0"/>
    <w:rsid w:val="00F269C7"/>
    <w:rsid w:val="00F26E7B"/>
    <w:rsid w:val="00F27DC4"/>
    <w:rsid w:val="00F31B4B"/>
    <w:rsid w:val="00F3238A"/>
    <w:rsid w:val="00F34798"/>
    <w:rsid w:val="00F35CC9"/>
    <w:rsid w:val="00F36317"/>
    <w:rsid w:val="00F41D3C"/>
    <w:rsid w:val="00F42E0F"/>
    <w:rsid w:val="00F44137"/>
    <w:rsid w:val="00F45404"/>
    <w:rsid w:val="00F474CD"/>
    <w:rsid w:val="00F51302"/>
    <w:rsid w:val="00F52008"/>
    <w:rsid w:val="00F526D0"/>
    <w:rsid w:val="00F56B11"/>
    <w:rsid w:val="00F56BED"/>
    <w:rsid w:val="00F60DF0"/>
    <w:rsid w:val="00F61584"/>
    <w:rsid w:val="00F61F70"/>
    <w:rsid w:val="00F62C48"/>
    <w:rsid w:val="00F65F5D"/>
    <w:rsid w:val="00F66407"/>
    <w:rsid w:val="00F66737"/>
    <w:rsid w:val="00F71E25"/>
    <w:rsid w:val="00F76CFF"/>
    <w:rsid w:val="00F80877"/>
    <w:rsid w:val="00F808A4"/>
    <w:rsid w:val="00F83F1F"/>
    <w:rsid w:val="00F84E6C"/>
    <w:rsid w:val="00F84F40"/>
    <w:rsid w:val="00F861BB"/>
    <w:rsid w:val="00F86A3A"/>
    <w:rsid w:val="00F872E2"/>
    <w:rsid w:val="00F87C01"/>
    <w:rsid w:val="00F91F27"/>
    <w:rsid w:val="00F945C4"/>
    <w:rsid w:val="00F94D15"/>
    <w:rsid w:val="00F95670"/>
    <w:rsid w:val="00F9613A"/>
    <w:rsid w:val="00F96ECB"/>
    <w:rsid w:val="00FA1122"/>
    <w:rsid w:val="00FA18D9"/>
    <w:rsid w:val="00FA1EB9"/>
    <w:rsid w:val="00FA284B"/>
    <w:rsid w:val="00FA2F77"/>
    <w:rsid w:val="00FB0509"/>
    <w:rsid w:val="00FB0ECF"/>
    <w:rsid w:val="00FB1418"/>
    <w:rsid w:val="00FB3FC7"/>
    <w:rsid w:val="00FB5A77"/>
    <w:rsid w:val="00FB6B43"/>
    <w:rsid w:val="00FB6C96"/>
    <w:rsid w:val="00FB7C48"/>
    <w:rsid w:val="00FC1660"/>
    <w:rsid w:val="00FC6088"/>
    <w:rsid w:val="00FC70B9"/>
    <w:rsid w:val="00FC79DE"/>
    <w:rsid w:val="00FD03B0"/>
    <w:rsid w:val="00FD0429"/>
    <w:rsid w:val="00FD4719"/>
    <w:rsid w:val="00FD4C58"/>
    <w:rsid w:val="00FD4DD4"/>
    <w:rsid w:val="00FD59D7"/>
    <w:rsid w:val="00FD61E3"/>
    <w:rsid w:val="00FD6958"/>
    <w:rsid w:val="00FD7279"/>
    <w:rsid w:val="00FE27D6"/>
    <w:rsid w:val="00FE50E4"/>
    <w:rsid w:val="00FF0156"/>
    <w:rsid w:val="00FF0AAC"/>
    <w:rsid w:val="00FF0D17"/>
    <w:rsid w:val="00FF19A9"/>
    <w:rsid w:val="00FF2E72"/>
    <w:rsid w:val="00FF3606"/>
    <w:rsid w:val="00FF3B8D"/>
    <w:rsid w:val="00FF3F98"/>
    <w:rsid w:val="00FF7340"/>
    <w:rsid w:val="00FF770B"/>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5D1649"/>
  <w15:docId w15:val="{01451984-E40D-42CE-8DDF-3002AA52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qFormat/>
    <w:rsid w:val="00C55236"/>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rsid w:val="00C55236"/>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Footnote Text Char1 Car Car Car Car,Footnote Text Char Char Car Car Car Car,Char Car Car Car Car,Char Char Char Car Car Car Car Car,FA Fu Car Car Car,Footnote Text Char Char Char Char Char Car Car Car,BVI fnr"/>
    <w:link w:val="BVIfnrCharCharChar1CharCharCharCharCharCharChar1CharCharChar1Char"/>
    <w:qFormat/>
    <w:rsid w:val="00C5523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4311AC"/>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paragraph" w:styleId="ListParagraph">
    <w:name w:val="List Paragraph"/>
    <w:basedOn w:val="Normal"/>
    <w:uiPriority w:val="34"/>
    <w:qFormat/>
    <w:rsid w:val="00A9389E"/>
    <w:pPr>
      <w:ind w:left="720"/>
      <w:contextualSpacing/>
    </w:pPr>
  </w:style>
  <w:style w:type="character" w:styleId="CommentReference">
    <w:name w:val="annotation reference"/>
    <w:basedOn w:val="DefaultParagraphFont"/>
    <w:uiPriority w:val="99"/>
    <w:semiHidden/>
    <w:unhideWhenUsed/>
    <w:rsid w:val="00BC1880"/>
    <w:rPr>
      <w:sz w:val="16"/>
      <w:szCs w:val="16"/>
    </w:rPr>
  </w:style>
  <w:style w:type="paragraph" w:styleId="CommentText">
    <w:name w:val="annotation text"/>
    <w:basedOn w:val="Normal"/>
    <w:link w:val="CommentTextChar"/>
    <w:uiPriority w:val="99"/>
    <w:unhideWhenUsed/>
    <w:rsid w:val="00BC1880"/>
    <w:pPr>
      <w:spacing w:line="240" w:lineRule="auto"/>
    </w:pPr>
  </w:style>
  <w:style w:type="character" w:customStyle="1" w:styleId="CommentTextChar">
    <w:name w:val="Comment Text Char"/>
    <w:basedOn w:val="DefaultParagraphFont"/>
    <w:link w:val="CommentText"/>
    <w:uiPriority w:val="99"/>
    <w:rsid w:val="00BC1880"/>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C1880"/>
    <w:rPr>
      <w:b/>
      <w:bCs/>
    </w:rPr>
  </w:style>
  <w:style w:type="character" w:customStyle="1" w:styleId="CommentSubjectChar">
    <w:name w:val="Comment Subject Char"/>
    <w:basedOn w:val="CommentTextChar"/>
    <w:link w:val="CommentSubject"/>
    <w:uiPriority w:val="99"/>
    <w:semiHidden/>
    <w:rsid w:val="00BC1880"/>
    <w:rPr>
      <w:rFonts w:ascii="Times New Roman" w:eastAsiaTheme="minorHAnsi"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9D16EF"/>
    <w:rPr>
      <w:color w:val="605E5C"/>
      <w:shd w:val="clear" w:color="auto" w:fill="E1DFDD"/>
    </w:rPr>
  </w:style>
  <w:style w:type="paragraph" w:styleId="Revision">
    <w:name w:val="Revision"/>
    <w:hidden/>
    <w:uiPriority w:val="99"/>
    <w:semiHidden/>
    <w:rsid w:val="002E677A"/>
    <w:pPr>
      <w:spacing w:after="0" w:line="240" w:lineRule="auto"/>
    </w:pPr>
    <w:rPr>
      <w:rFonts w:ascii="Times New Roman" w:eastAsiaTheme="minorHAnsi" w:hAnsi="Times New Roman" w:cs="Times New Roman"/>
      <w:sz w:val="20"/>
      <w:szCs w:val="20"/>
      <w:lang w:eastAsia="en-US"/>
    </w:rPr>
  </w:style>
  <w:style w:type="paragraph" w:customStyle="1" w:styleId="s4">
    <w:name w:val="s4"/>
    <w:basedOn w:val="Normal"/>
    <w:rsid w:val="001F3E2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s2">
    <w:name w:val="s2"/>
    <w:basedOn w:val="DefaultParagraphFont"/>
    <w:rsid w:val="001F3E2F"/>
  </w:style>
  <w:style w:type="paragraph" w:styleId="NormalWeb">
    <w:name w:val="Normal (Web)"/>
    <w:basedOn w:val="Normal"/>
    <w:uiPriority w:val="99"/>
    <w:semiHidden/>
    <w:unhideWhenUsed/>
    <w:rsid w:val="001F3E2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s6">
    <w:name w:val="s6"/>
    <w:basedOn w:val="DefaultParagraphFont"/>
    <w:rsid w:val="001F3E2F"/>
  </w:style>
  <w:style w:type="character" w:customStyle="1" w:styleId="SingleTxtGChar">
    <w:name w:val="_ Single Txt_G Char"/>
    <w:link w:val="SingleTxtG"/>
    <w:locked/>
    <w:rsid w:val="00952F27"/>
    <w:rPr>
      <w:rFonts w:ascii="Times New Roman" w:eastAsiaTheme="minorHAnsi" w:hAnsi="Times New Roman" w:cs="Times New Roman"/>
      <w:sz w:val="20"/>
      <w:szCs w:val="20"/>
      <w:lang w:eastAsia="en-US"/>
    </w:rPr>
  </w:style>
  <w:style w:type="character" w:styleId="Strong">
    <w:name w:val="Strong"/>
    <w:basedOn w:val="DefaultParagraphFont"/>
    <w:uiPriority w:val="22"/>
    <w:qFormat/>
    <w:rsid w:val="00D67260"/>
    <w:rPr>
      <w:b/>
      <w:bCs/>
    </w:rPr>
  </w:style>
  <w:style w:type="character" w:customStyle="1" w:styleId="UnresolvedMention">
    <w:name w:val="Unresolved Mention"/>
    <w:basedOn w:val="DefaultParagraphFont"/>
    <w:uiPriority w:val="99"/>
    <w:semiHidden/>
    <w:unhideWhenUsed/>
    <w:rsid w:val="0024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24688761">
      <w:bodyDiv w:val="1"/>
      <w:marLeft w:val="0"/>
      <w:marRight w:val="0"/>
      <w:marTop w:val="0"/>
      <w:marBottom w:val="0"/>
      <w:divBdr>
        <w:top w:val="none" w:sz="0" w:space="0" w:color="auto"/>
        <w:left w:val="none" w:sz="0" w:space="0" w:color="auto"/>
        <w:bottom w:val="none" w:sz="0" w:space="0" w:color="auto"/>
        <w:right w:val="none" w:sz="0" w:space="0" w:color="auto"/>
      </w:divBdr>
    </w:div>
    <w:div w:id="328145401">
      <w:bodyDiv w:val="1"/>
      <w:marLeft w:val="0"/>
      <w:marRight w:val="0"/>
      <w:marTop w:val="0"/>
      <w:marBottom w:val="0"/>
      <w:divBdr>
        <w:top w:val="none" w:sz="0" w:space="0" w:color="auto"/>
        <w:left w:val="none" w:sz="0" w:space="0" w:color="auto"/>
        <w:bottom w:val="none" w:sz="0" w:space="0" w:color="auto"/>
        <w:right w:val="none" w:sz="0" w:space="0" w:color="auto"/>
      </w:divBdr>
    </w:div>
    <w:div w:id="478883163">
      <w:bodyDiv w:val="1"/>
      <w:marLeft w:val="0"/>
      <w:marRight w:val="0"/>
      <w:marTop w:val="0"/>
      <w:marBottom w:val="0"/>
      <w:divBdr>
        <w:top w:val="none" w:sz="0" w:space="0" w:color="auto"/>
        <w:left w:val="none" w:sz="0" w:space="0" w:color="auto"/>
        <w:bottom w:val="none" w:sz="0" w:space="0" w:color="auto"/>
        <w:right w:val="none" w:sz="0" w:space="0" w:color="auto"/>
      </w:divBdr>
    </w:div>
    <w:div w:id="514345654">
      <w:bodyDiv w:val="1"/>
      <w:marLeft w:val="0"/>
      <w:marRight w:val="0"/>
      <w:marTop w:val="0"/>
      <w:marBottom w:val="0"/>
      <w:divBdr>
        <w:top w:val="none" w:sz="0" w:space="0" w:color="auto"/>
        <w:left w:val="none" w:sz="0" w:space="0" w:color="auto"/>
        <w:bottom w:val="none" w:sz="0" w:space="0" w:color="auto"/>
        <w:right w:val="none" w:sz="0" w:space="0" w:color="auto"/>
      </w:divBdr>
    </w:div>
    <w:div w:id="549999390">
      <w:bodyDiv w:val="1"/>
      <w:marLeft w:val="0"/>
      <w:marRight w:val="0"/>
      <w:marTop w:val="0"/>
      <w:marBottom w:val="0"/>
      <w:divBdr>
        <w:top w:val="none" w:sz="0" w:space="0" w:color="auto"/>
        <w:left w:val="none" w:sz="0" w:space="0" w:color="auto"/>
        <w:bottom w:val="none" w:sz="0" w:space="0" w:color="auto"/>
        <w:right w:val="none" w:sz="0" w:space="0" w:color="auto"/>
      </w:divBdr>
    </w:div>
    <w:div w:id="575435883">
      <w:bodyDiv w:val="1"/>
      <w:marLeft w:val="0"/>
      <w:marRight w:val="0"/>
      <w:marTop w:val="0"/>
      <w:marBottom w:val="0"/>
      <w:divBdr>
        <w:top w:val="none" w:sz="0" w:space="0" w:color="auto"/>
        <w:left w:val="none" w:sz="0" w:space="0" w:color="auto"/>
        <w:bottom w:val="none" w:sz="0" w:space="0" w:color="auto"/>
        <w:right w:val="none" w:sz="0" w:space="0" w:color="auto"/>
      </w:divBdr>
    </w:div>
    <w:div w:id="854422200">
      <w:bodyDiv w:val="1"/>
      <w:marLeft w:val="0"/>
      <w:marRight w:val="0"/>
      <w:marTop w:val="0"/>
      <w:marBottom w:val="0"/>
      <w:divBdr>
        <w:top w:val="none" w:sz="0" w:space="0" w:color="auto"/>
        <w:left w:val="none" w:sz="0" w:space="0" w:color="auto"/>
        <w:bottom w:val="none" w:sz="0" w:space="0" w:color="auto"/>
        <w:right w:val="none" w:sz="0" w:space="0" w:color="auto"/>
      </w:divBdr>
    </w:div>
    <w:div w:id="1148128314">
      <w:bodyDiv w:val="1"/>
      <w:marLeft w:val="0"/>
      <w:marRight w:val="0"/>
      <w:marTop w:val="0"/>
      <w:marBottom w:val="0"/>
      <w:divBdr>
        <w:top w:val="none" w:sz="0" w:space="0" w:color="auto"/>
        <w:left w:val="none" w:sz="0" w:space="0" w:color="auto"/>
        <w:bottom w:val="none" w:sz="0" w:space="0" w:color="auto"/>
        <w:right w:val="none" w:sz="0" w:space="0" w:color="auto"/>
      </w:divBdr>
    </w:div>
    <w:div w:id="1349480348">
      <w:bodyDiv w:val="1"/>
      <w:marLeft w:val="0"/>
      <w:marRight w:val="0"/>
      <w:marTop w:val="0"/>
      <w:marBottom w:val="0"/>
      <w:divBdr>
        <w:top w:val="none" w:sz="0" w:space="0" w:color="auto"/>
        <w:left w:val="none" w:sz="0" w:space="0" w:color="auto"/>
        <w:bottom w:val="none" w:sz="0" w:space="0" w:color="auto"/>
        <w:right w:val="none" w:sz="0" w:space="0" w:color="auto"/>
      </w:divBdr>
    </w:div>
    <w:div w:id="1422484037">
      <w:bodyDiv w:val="1"/>
      <w:marLeft w:val="0"/>
      <w:marRight w:val="0"/>
      <w:marTop w:val="0"/>
      <w:marBottom w:val="0"/>
      <w:divBdr>
        <w:top w:val="none" w:sz="0" w:space="0" w:color="auto"/>
        <w:left w:val="none" w:sz="0" w:space="0" w:color="auto"/>
        <w:bottom w:val="none" w:sz="0" w:space="0" w:color="auto"/>
        <w:right w:val="none" w:sz="0" w:space="0" w:color="auto"/>
      </w:divBdr>
    </w:div>
    <w:div w:id="1435399005">
      <w:bodyDiv w:val="1"/>
      <w:marLeft w:val="0"/>
      <w:marRight w:val="0"/>
      <w:marTop w:val="0"/>
      <w:marBottom w:val="0"/>
      <w:divBdr>
        <w:top w:val="none" w:sz="0" w:space="0" w:color="auto"/>
        <w:left w:val="none" w:sz="0" w:space="0" w:color="auto"/>
        <w:bottom w:val="none" w:sz="0" w:space="0" w:color="auto"/>
        <w:right w:val="none" w:sz="0" w:space="0" w:color="auto"/>
      </w:divBdr>
    </w:div>
    <w:div w:id="1579705162">
      <w:bodyDiv w:val="1"/>
      <w:marLeft w:val="0"/>
      <w:marRight w:val="0"/>
      <w:marTop w:val="0"/>
      <w:marBottom w:val="0"/>
      <w:divBdr>
        <w:top w:val="none" w:sz="0" w:space="0" w:color="auto"/>
        <w:left w:val="none" w:sz="0" w:space="0" w:color="auto"/>
        <w:bottom w:val="none" w:sz="0" w:space="0" w:color="auto"/>
        <w:right w:val="none" w:sz="0" w:space="0" w:color="auto"/>
      </w:divBdr>
    </w:div>
    <w:div w:id="1854489266">
      <w:bodyDiv w:val="1"/>
      <w:marLeft w:val="0"/>
      <w:marRight w:val="0"/>
      <w:marTop w:val="0"/>
      <w:marBottom w:val="0"/>
      <w:divBdr>
        <w:top w:val="none" w:sz="0" w:space="0" w:color="auto"/>
        <w:left w:val="none" w:sz="0" w:space="0" w:color="auto"/>
        <w:bottom w:val="none" w:sz="0" w:space="0" w:color="auto"/>
        <w:right w:val="none" w:sz="0" w:space="0" w:color="auto"/>
      </w:divBdr>
    </w:div>
    <w:div w:id="1955166394">
      <w:bodyDiv w:val="1"/>
      <w:marLeft w:val="0"/>
      <w:marRight w:val="0"/>
      <w:marTop w:val="0"/>
      <w:marBottom w:val="0"/>
      <w:divBdr>
        <w:top w:val="none" w:sz="0" w:space="0" w:color="auto"/>
        <w:left w:val="none" w:sz="0" w:space="0" w:color="auto"/>
        <w:bottom w:val="none" w:sz="0" w:space="0" w:color="auto"/>
        <w:right w:val="none" w:sz="0" w:space="0" w:color="auto"/>
      </w:divBdr>
    </w:div>
    <w:div w:id="20085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s://www.elheraldo.hn/opinion/editorial/1327316-469/el-derrumbe-de-la-inversi%C3%B3n-externa/" TargetMode="External"/><Relationship Id="rId18" Type="http://schemas.openxmlformats.org/officeDocument/2006/relationships/hyperlink" Target="https://www.acnur.org/noticias/press/2019/10/5db06d9a4/posicion-del-acnur-frente-a-la-implementacion-del-acuerdo-de-asilo-bilateral.html" TargetMode="External"/><Relationship Id="rId26" Type="http://schemas.openxmlformats.org/officeDocument/2006/relationships/hyperlink" Target="https://oacnudh.hn/wp-content/uploads/2018/05/Informe-OACNUDH-2016-DDHH-Honduras-G1702934.pdf" TargetMode="External"/><Relationship Id="rId39" Type="http://schemas.openxmlformats.org/officeDocument/2006/relationships/hyperlink" Target="https://www.cidh.oas.org/annualrep/2009sp/Honduras1186-04.sp.htm" TargetMode="External"/><Relationship Id="rId21" Type="http://schemas.openxmlformats.org/officeDocument/2006/relationships/hyperlink" Target="https://datos.bancomundial.org/indicator/MS.MIL.XPND.GD.ZS?locations=HN/" TargetMode="External"/><Relationship Id="rId34" Type="http://schemas.openxmlformats.org/officeDocument/2006/relationships/hyperlink" Target="https://reliefweb.int/sites/reliefweb.int/files/resources/A_HRC_37_3_Add.2.pdf" TargetMode="External"/><Relationship Id="rId42" Type="http://schemas.openxmlformats.org/officeDocument/2006/relationships/hyperlink" Target="https://www.ohchr.org/en/NewsEvents/Pages/DisplayNews.aspx?NewsID=24911&amp;LangID=E" TargetMode="External"/><Relationship Id="rId7" Type="http://schemas.openxmlformats.org/officeDocument/2006/relationships/hyperlink" Target="https://www.cejil.org/es/cejil-nuevo-codigopenal-honduras-facilitaria-criminalizacion-defensa-derechos-humanos" TargetMode="External"/><Relationship Id="rId2" Type="http://schemas.openxmlformats.org/officeDocument/2006/relationships/hyperlink" Target="https://oacnudh.hn/publicaciones/" TargetMode="External"/><Relationship Id="rId16" Type="http://schemas.openxmlformats.org/officeDocument/2006/relationships/hyperlink" Target="https://www.uscis.gov/humanitarian/temporary-protected-status" TargetMode="External"/><Relationship Id="rId20" Type="http://schemas.openxmlformats.org/officeDocument/2006/relationships/hyperlink" Target="https://www.sepol.hn/artisistem/images/sepol-images/files/Estadistica%20Diaria%20Septiembre%202019--1.pdf" TargetMode="External"/><Relationship Id="rId29" Type="http://schemas.openxmlformats.org/officeDocument/2006/relationships/hyperlink" Target="https://www.ohchr.org/EN/NewsEvents/Pages/DisplayNews.aspx?NewsID=24911&amp;LangID=E/" TargetMode="External"/><Relationship Id="rId41" Type="http://schemas.openxmlformats.org/officeDocument/2006/relationships/hyperlink" Target="https://reliefweb.int/report/honduras/honduras-encuesta-de-violencia-contra-ni-os-ni-y-adolescentes-2017-datos-para-la" TargetMode="External"/><Relationship Id="rId1" Type="http://schemas.openxmlformats.org/officeDocument/2006/relationships/hyperlink" Target="http://asjhonduras.com/webhn/tag/seleccion-de-autoridades-electorales/" TargetMode="External"/><Relationship Id="rId6" Type="http://schemas.openxmlformats.org/officeDocument/2006/relationships/hyperlink" Target="https://juecesporlademocracia.org/asociacion-de-jueces-por-la-democracia-presento-propuesta-de-ampliacion-de-vacatio-legis-y-reformas-al-nuevo-codigo-penal/" TargetMode="External"/><Relationship Id="rId11" Type="http://schemas.openxmlformats.org/officeDocument/2006/relationships/hyperlink" Target="http://ipm.scgg.gob.hn/index.php/2019/07/31/serie-ipm-2012-2018/" TargetMode="External"/><Relationship Id="rId24" Type="http://schemas.openxmlformats.org/officeDocument/2006/relationships/hyperlink" Target="https://tiempo.hn/chajtur-busca-asilo-en-otro-pais-por-amenazas-en-honduras/" TargetMode="External"/><Relationship Id="rId32" Type="http://schemas.openxmlformats.org/officeDocument/2006/relationships/hyperlink" Target="https://www.elheraldo.hn/pais/1278211-466/ministerio-p%C3%BAblico-denuncia-obstaculizaci%C3%B3n-en-investigaci%C3%B3n-sobre-muertes-post-electorales" TargetMode="External"/><Relationship Id="rId37" Type="http://schemas.openxmlformats.org/officeDocument/2006/relationships/hyperlink" Target="https://www.oas.org/es/cidh/decisiones/pdf/2019/15-19MC75-19-HO.pdf" TargetMode="External"/><Relationship Id="rId40" Type="http://schemas.openxmlformats.org/officeDocument/2006/relationships/hyperlink" Target="https://www.unfpa.org/sites/default/files/pub-pdf/UNFPA_PUB_2017_ES_SWOP_Estado_de_la_Poblacion_Mundial.pdf" TargetMode="External"/><Relationship Id="rId5" Type="http://schemas.openxmlformats.org/officeDocument/2006/relationships/hyperlink" Target="https://www.cna.hn/2019/09/05/nuevo-codigo-penal-permite-que-el-robo-de-un-celular-sea-mas-grave-que-robarse-el-presupuesto-de-una-secretaria/" TargetMode="External"/><Relationship Id="rId15" Type="http://schemas.openxmlformats.org/officeDocument/2006/relationships/hyperlink" Target="https://www.pewresearch.org/fact-tank/2014/08/11/5-facts-about-honduras-and-immigration/" TargetMode="External"/><Relationship Id="rId23" Type="http://schemas.openxmlformats.org/officeDocument/2006/relationships/hyperlink" Target="https://twitter.com/Didadpol/status/1176861440973688832/photo/1/" TargetMode="External"/><Relationship Id="rId28" Type="http://schemas.openxmlformats.org/officeDocument/2006/relationships/hyperlink" Target="file:///O:/04.%20Informes%20y%20notas/Informe%20anual/2019/Honduras2019.pdf/" TargetMode="External"/><Relationship Id="rId36" Type="http://schemas.openxmlformats.org/officeDocument/2006/relationships/hyperlink" Target="http://corteidh.or.cr/docs/casos/escaleras/acuerdo.pdf/" TargetMode="External"/><Relationship Id="rId10" Type="http://schemas.openxmlformats.org/officeDocument/2006/relationships/hyperlink" Target="https://databank.worldbank.org/data/download/poverty/33EF03BB-9722-4AE2-ABC7-AA2972D68AFE/Global_POVEQ_HND.pdf" TargetMode="External"/><Relationship Id="rId19" Type="http://schemas.openxmlformats.org/officeDocument/2006/relationships/hyperlink" Target="https://www.sepol.hn/artisistem/images/sepol-images/images/777(1).PNG" TargetMode="External"/><Relationship Id="rId31" Type="http://schemas.openxmlformats.org/officeDocument/2006/relationships/hyperlink" Target="https://drive.google.com/file/d/1hW7xXsyph7e_0NzoefIxCNgYl5SDgRRZ/view/" TargetMode="External"/><Relationship Id="rId4" Type="http://schemas.openxmlformats.org/officeDocument/2006/relationships/hyperlink" Target="https://twitter.com/cemh_h/status/1161799046115287041/photo/1" TargetMode="External"/><Relationship Id="rId9" Type="http://schemas.openxmlformats.org/officeDocument/2006/relationships/hyperlink" Target="https://www.insightcrime.org/wp-content/uploads/2019/09/Tony-Hernandez-Filing.pdf" TargetMode="External"/><Relationship Id="rId14" Type="http://schemas.openxmlformats.org/officeDocument/2006/relationships/hyperlink" Target="https://www.ohchr.org/EN/NewsEvents/Pages/DisplayNews.aspx?NewsID=24932&amp;LangID=E/" TargetMode="External"/><Relationship Id="rId22" Type="http://schemas.openxmlformats.org/officeDocument/2006/relationships/hyperlink" Target="https://www.tasadeseguridad.hn/estadisticas.php?p=1/" TargetMode="External"/><Relationship Id="rId27" Type="http://schemas.openxmlformats.org/officeDocument/2006/relationships/hyperlink" Target="http://www.corteidh.or.cr/docs/casos/articulos/seriec_302_esp.pdf/" TargetMode="External"/><Relationship Id="rId30" Type="http://schemas.openxmlformats.org/officeDocument/2006/relationships/hyperlink" Target="https://www.mp.hn/index.php/author-login/146-octubre2019/5018-ministerio-publico-presenta-recurso-de-inconstitucionalidad-contra-decreto-legislativo-que-reactiva-el-fondo-social-departamental" TargetMode="External"/><Relationship Id="rId35" Type="http://schemas.openxmlformats.org/officeDocument/2006/relationships/hyperlink" Target="http://www.oas.org/es/cidh/decisiones/pdf/MC416-13-Resolucion-es.PDF/" TargetMode="External"/><Relationship Id="rId43" Type="http://schemas.openxmlformats.org/officeDocument/2006/relationships/hyperlink" Target="https://www.ohchr.org/EN/NewsEvents/Pages/DisplayNews.aspx?NewsID=24932&amp;LangID=E" TargetMode="External"/><Relationship Id="rId8" Type="http://schemas.openxmlformats.org/officeDocument/2006/relationships/hyperlink" Target="https://www.oas.org/es/centro_noticias/comunicado_prensa.asp?sCodigo=C-115/19" TargetMode="External"/><Relationship Id="rId3" Type="http://schemas.openxmlformats.org/officeDocument/2006/relationships/hyperlink" Target="http://www.oas.org/es/sap/dsdme/maccih/new/docs/Analis-Juridico-Del-Nuevo-Codigo-Penal-MACCIH2019.pdf" TargetMode="External"/><Relationship Id="rId12" Type="http://schemas.openxmlformats.org/officeDocument/2006/relationships/hyperlink" Target="https://confidencialhn.com/banco-central-admite-retroceso-en-inversion-extranjera-por-crisis-politica-en-honduras/" TargetMode="External"/><Relationship Id="rId17" Type="http://schemas.openxmlformats.org/officeDocument/2006/relationships/hyperlink" Target="https://www.conmigho.hn/direccion-general-de-proteccion-al-hondureno-migrante/retornados-2019/" TargetMode="External"/><Relationship Id="rId25" Type="http://schemas.openxmlformats.org/officeDocument/2006/relationships/hyperlink" Target="http://www.conaprev.gob.hn/index.php/docs/category/3-informes" TargetMode="External"/><Relationship Id="rId33" Type="http://schemas.openxmlformats.org/officeDocument/2006/relationships/hyperlink" Target="http://www.corteidh.or.cr/tablas/fichas/juanhumberto.pdf/" TargetMode="External"/><Relationship Id="rId38" Type="http://schemas.openxmlformats.org/officeDocument/2006/relationships/hyperlink" Target="https://www.ohchr.org/EN/Issues/IPeoples/SRIndigenousPeoples/Pages/LegislationAnd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C63CE8-BFBF-4F99-8B0C-EA8881D7DDA2}">
  <ds:schemaRefs>
    <ds:schemaRef ds:uri="http://schemas.openxmlformats.org/officeDocument/2006/bibliography"/>
  </ds:schemaRefs>
</ds:datastoreItem>
</file>

<file path=customXml/itemProps2.xml><?xml version="1.0" encoding="utf-8"?>
<ds:datastoreItem xmlns:ds="http://schemas.openxmlformats.org/officeDocument/2006/customXml" ds:itemID="{06D8C43F-F0B5-46DD-A401-9A738004EDA9}"/>
</file>

<file path=customXml/itemProps3.xml><?xml version="1.0" encoding="utf-8"?>
<ds:datastoreItem xmlns:ds="http://schemas.openxmlformats.org/officeDocument/2006/customXml" ds:itemID="{00917612-9EE8-4CF0-BCD3-9E6ABD195838}"/>
</file>

<file path=customXml/itemProps4.xml><?xml version="1.0" encoding="utf-8"?>
<ds:datastoreItem xmlns:ds="http://schemas.openxmlformats.org/officeDocument/2006/customXml" ds:itemID="{4E06A981-8802-4E0B-AB76-DED42EFB88AF}"/>
</file>

<file path=docProps/app.xml><?xml version="1.0" encoding="utf-8"?>
<Properties xmlns="http://schemas.openxmlformats.org/officeDocument/2006/extended-properties" xmlns:vt="http://schemas.openxmlformats.org/officeDocument/2006/docPropsVTypes">
  <Template>Normal.dotm</Template>
  <TotalTime>0</TotalTime>
  <Pages>19</Pages>
  <Words>8752</Words>
  <Characters>49887</Characters>
  <Application>Microsoft Office Word</Application>
  <DocSecurity>4</DocSecurity>
  <Lines>415</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A/HRC/40/3/Add.2</vt:lpstr>
      <vt:lpstr>A/HRC/40/3/Add.2</vt:lpstr>
    </vt:vector>
  </TitlesOfParts>
  <Company>DCM</Company>
  <LinksUpToDate>false</LinksUpToDate>
  <CharactersWithSpaces>58522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A/HRC/40/3/Add2_SP_AUV</dc:title>
  <dc:subject>1901308</dc:subject>
  <dc:creator>Giltsoff</dc:creator>
  <cp:keywords/>
  <dc:description/>
  <cp:lastModifiedBy>Ana-Gabriella CEVALLOS</cp:lastModifiedBy>
  <cp:revision>2</cp:revision>
  <cp:lastPrinted>2019-12-16T14:57:00Z</cp:lastPrinted>
  <dcterms:created xsi:type="dcterms:W3CDTF">2020-02-12T17:02:00Z</dcterms:created>
  <dcterms:modified xsi:type="dcterms:W3CDTF">2020-02-12T17:02:00Z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