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E20E50">
        <w:trPr>
          <w:trHeight w:hRule="exact" w:val="851"/>
        </w:trPr>
        <w:tc>
          <w:tcPr>
            <w:tcW w:w="1276" w:type="dxa"/>
            <w:tcBorders>
              <w:bottom w:val="single" w:sz="4" w:space="0" w:color="auto"/>
            </w:tcBorders>
          </w:tcPr>
          <w:p w:rsidR="00057BC0" w:rsidRPr="00DB58B5" w:rsidRDefault="00057BC0" w:rsidP="00186254">
            <w:bookmarkStart w:id="0" w:name="_GoBack"/>
            <w:bookmarkEnd w:id="0"/>
          </w:p>
        </w:tc>
        <w:tc>
          <w:tcPr>
            <w:tcW w:w="2268" w:type="dxa"/>
            <w:tcBorders>
              <w:bottom w:val="single" w:sz="4" w:space="0" w:color="auto"/>
            </w:tcBorders>
            <w:vAlign w:val="bottom"/>
          </w:tcPr>
          <w:p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rsidR="00057BC0" w:rsidRPr="00DB58B5" w:rsidRDefault="00E20E50" w:rsidP="00E20E50">
            <w:pPr>
              <w:jc w:val="right"/>
            </w:pPr>
            <w:r w:rsidRPr="00E20E50">
              <w:rPr>
                <w:sz w:val="40"/>
              </w:rPr>
              <w:t>A</w:t>
            </w:r>
            <w:r>
              <w:t>/HRC/39/4/Add.1</w:t>
            </w:r>
          </w:p>
        </w:tc>
      </w:tr>
      <w:tr w:rsidR="00057BC0" w:rsidRPr="00DB58B5" w:rsidTr="00186254">
        <w:trPr>
          <w:trHeight w:hRule="exact" w:val="2835"/>
        </w:trPr>
        <w:tc>
          <w:tcPr>
            <w:tcW w:w="1276" w:type="dxa"/>
            <w:tcBorders>
              <w:top w:val="single" w:sz="4" w:space="0" w:color="auto"/>
              <w:bottom w:val="single" w:sz="12" w:space="0" w:color="auto"/>
            </w:tcBorders>
          </w:tcPr>
          <w:p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rsidR="00057BC0" w:rsidRPr="00740562" w:rsidRDefault="0016237D" w:rsidP="00186254">
            <w:pPr>
              <w:spacing w:before="120" w:line="420" w:lineRule="exact"/>
              <w:rPr>
                <w:b/>
                <w:sz w:val="40"/>
                <w:szCs w:val="40"/>
              </w:rPr>
            </w:pPr>
            <w:r>
              <w:rPr>
                <w:b/>
                <w:sz w:val="40"/>
                <w:szCs w:val="40"/>
              </w:rPr>
              <w:t>Advance Unedited Version</w:t>
            </w:r>
          </w:p>
        </w:tc>
        <w:tc>
          <w:tcPr>
            <w:tcW w:w="2835" w:type="dxa"/>
            <w:tcBorders>
              <w:top w:val="single" w:sz="4" w:space="0" w:color="auto"/>
              <w:bottom w:val="single" w:sz="12" w:space="0" w:color="auto"/>
            </w:tcBorders>
          </w:tcPr>
          <w:p w:rsidR="00057BC0" w:rsidRDefault="00E20E50" w:rsidP="00E20E50">
            <w:pPr>
              <w:spacing w:before="240" w:line="240" w:lineRule="exact"/>
            </w:pPr>
            <w:r>
              <w:t>Distr. générale</w:t>
            </w:r>
          </w:p>
          <w:p w:rsidR="00E20E50" w:rsidRDefault="00E20E50" w:rsidP="00E20E50">
            <w:pPr>
              <w:spacing w:line="240" w:lineRule="exact"/>
            </w:pPr>
            <w:r>
              <w:t>1</w:t>
            </w:r>
            <w:r w:rsidR="00AE139D">
              <w:t>1</w:t>
            </w:r>
            <w:r>
              <w:t xml:space="preserve"> septembre 2018</w:t>
            </w:r>
          </w:p>
          <w:p w:rsidR="00E20E50" w:rsidRDefault="00E20E50" w:rsidP="00E20E50">
            <w:pPr>
              <w:spacing w:line="240" w:lineRule="exact"/>
            </w:pPr>
          </w:p>
          <w:p w:rsidR="00E20E50" w:rsidRPr="00DB58B5" w:rsidRDefault="00E20E50" w:rsidP="00E20E50">
            <w:pPr>
              <w:spacing w:line="240" w:lineRule="exact"/>
            </w:pPr>
            <w:r>
              <w:t>Original : français</w:t>
            </w:r>
          </w:p>
        </w:tc>
      </w:tr>
    </w:tbl>
    <w:p w:rsidR="00E20E50" w:rsidRPr="00F714B1" w:rsidRDefault="00E20E50" w:rsidP="00E20E50">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rsidR="00E20E50" w:rsidRDefault="00E20E50" w:rsidP="00E20E50">
      <w:pPr>
        <w:kinsoku w:val="0"/>
        <w:overflowPunct w:val="0"/>
        <w:autoSpaceDE w:val="0"/>
        <w:autoSpaceDN w:val="0"/>
        <w:adjustRightInd w:val="0"/>
        <w:snapToGrid w:val="0"/>
        <w:rPr>
          <w:b/>
          <w:lang w:val="fr-FR"/>
        </w:rPr>
      </w:pPr>
      <w:r>
        <w:rPr>
          <w:b/>
          <w:szCs w:val="24"/>
          <w:lang w:val="fr-FR"/>
        </w:rPr>
        <w:t>Trente-neuvième</w:t>
      </w:r>
      <w:r w:rsidRPr="00F714B1">
        <w:rPr>
          <w:b/>
          <w:szCs w:val="24"/>
          <w:lang w:val="fr-FR"/>
        </w:rPr>
        <w:t xml:space="preserve"> </w:t>
      </w:r>
      <w:r w:rsidRPr="00F714B1">
        <w:rPr>
          <w:b/>
          <w:lang w:val="fr-FR"/>
        </w:rPr>
        <w:t>session</w:t>
      </w:r>
    </w:p>
    <w:p w:rsidR="005F1C7A" w:rsidRPr="005F1C7A" w:rsidRDefault="005F1C7A" w:rsidP="00E20E50">
      <w:pPr>
        <w:kinsoku w:val="0"/>
        <w:overflowPunct w:val="0"/>
        <w:autoSpaceDE w:val="0"/>
        <w:autoSpaceDN w:val="0"/>
        <w:adjustRightInd w:val="0"/>
        <w:snapToGrid w:val="0"/>
        <w:rPr>
          <w:lang w:val="fr-FR"/>
        </w:rPr>
      </w:pPr>
      <w:r>
        <w:rPr>
          <w:lang w:val="fr-FR"/>
        </w:rPr>
        <w:t>10–28 septembre 2018</w:t>
      </w:r>
    </w:p>
    <w:p w:rsidR="00E20E50" w:rsidRPr="00F714B1" w:rsidRDefault="00E20E50" w:rsidP="00E20E50">
      <w:pPr>
        <w:kinsoku w:val="0"/>
        <w:overflowPunct w:val="0"/>
        <w:autoSpaceDE w:val="0"/>
        <w:autoSpaceDN w:val="0"/>
        <w:adjustRightInd w:val="0"/>
        <w:snapToGrid w:val="0"/>
        <w:rPr>
          <w:lang w:val="fr-FR"/>
        </w:rPr>
      </w:pPr>
      <w:r w:rsidRPr="00F714B1">
        <w:rPr>
          <w:lang w:val="fr-FR"/>
        </w:rPr>
        <w:t>Point 6 de l’ordre du jour</w:t>
      </w:r>
    </w:p>
    <w:p w:rsidR="00E20E50" w:rsidRPr="00F714B1" w:rsidRDefault="00E20E50" w:rsidP="00E20E50">
      <w:pPr>
        <w:kinsoku w:val="0"/>
        <w:overflowPunct w:val="0"/>
        <w:autoSpaceDE w:val="0"/>
        <w:autoSpaceDN w:val="0"/>
        <w:adjustRightInd w:val="0"/>
        <w:snapToGrid w:val="0"/>
        <w:rPr>
          <w:lang w:val="fr-FR"/>
        </w:rPr>
      </w:pPr>
      <w:r w:rsidRPr="00F714B1">
        <w:rPr>
          <w:b/>
          <w:lang w:val="fr-FR"/>
        </w:rPr>
        <w:t>Examen périodique universel</w:t>
      </w:r>
    </w:p>
    <w:p w:rsidR="00E20E50" w:rsidRPr="00F714B1" w:rsidRDefault="00E20E50" w:rsidP="00E20E50">
      <w:pPr>
        <w:keepNext/>
        <w:keepLines/>
        <w:tabs>
          <w:tab w:val="right" w:pos="851"/>
        </w:tabs>
        <w:spacing w:before="360" w:after="240" w:line="300" w:lineRule="exact"/>
        <w:ind w:left="1134" w:right="1134" w:hanging="1134"/>
        <w:rPr>
          <w:b/>
          <w:sz w:val="28"/>
          <w:lang w:val="fr-FR"/>
        </w:rPr>
      </w:pPr>
      <w:r w:rsidRPr="00F714B1">
        <w:rPr>
          <w:b/>
          <w:sz w:val="34"/>
          <w:lang w:val="fr-FR"/>
        </w:rPr>
        <w:lastRenderedPageBreak/>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3E3C40">
        <w:rPr>
          <w:lang w:val="fr-FR"/>
        </w:rPr>
        <w:footnoteReference w:customMarkFollows="1" w:id="2"/>
        <w:t>*</w:t>
      </w:r>
    </w:p>
    <w:p w:rsidR="00E20E50" w:rsidRPr="00F714B1" w:rsidRDefault="00E20E50" w:rsidP="00E20E50">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Burkina Faso</w:t>
      </w:r>
    </w:p>
    <w:p w:rsidR="00E20E50" w:rsidRPr="00F714B1" w:rsidRDefault="00E20E50" w:rsidP="00E20E50">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rsidR="00E20E50" w:rsidRPr="00F714B1" w:rsidRDefault="00E20E50" w:rsidP="00E20E50">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Pr="00F714B1">
        <w:rPr>
          <w:b/>
          <w:sz w:val="24"/>
          <w:lang w:val="fr-FR"/>
        </w:rPr>
        <w:br/>
        <w:t>engagements et réponses de l’État examiné</w:t>
      </w:r>
    </w:p>
    <w:p w:rsidR="00E20E50" w:rsidRDefault="00E20E50" w:rsidP="00E20E50">
      <w:r w:rsidRPr="00F714B1">
        <w:br w:type="page"/>
      </w:r>
    </w:p>
    <w:tbl>
      <w:tblPr>
        <w:tblStyle w:val="TableGrid"/>
        <w:tblW w:w="852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843"/>
        <w:gridCol w:w="4111"/>
        <w:gridCol w:w="1187"/>
      </w:tblGrid>
      <w:tr w:rsidR="00E20E50" w:rsidRPr="00E20E50" w:rsidTr="00E20E50">
        <w:trPr>
          <w:tblHeader/>
        </w:trPr>
        <w:tc>
          <w:tcPr>
            <w:tcW w:w="1384" w:type="dxa"/>
            <w:tcBorders>
              <w:top w:val="single" w:sz="4" w:space="0" w:color="auto"/>
              <w:bottom w:val="single" w:sz="12" w:space="0" w:color="auto"/>
            </w:tcBorders>
            <w:shd w:val="clear" w:color="auto" w:fill="auto"/>
            <w:tcMar>
              <w:left w:w="108" w:type="dxa"/>
            </w:tcMar>
            <w:vAlign w:val="bottom"/>
          </w:tcPr>
          <w:p w:rsidR="00E20E50" w:rsidRPr="00E20E50" w:rsidRDefault="00E20E50" w:rsidP="00E20E50">
            <w:pPr>
              <w:spacing w:before="80" w:after="80" w:line="200" w:lineRule="exact"/>
              <w:ind w:right="113"/>
              <w:rPr>
                <w:i/>
                <w:sz w:val="16"/>
                <w:lang w:val="fr-FR"/>
              </w:rPr>
            </w:pPr>
            <w:r>
              <w:rPr>
                <w:i/>
                <w:sz w:val="16"/>
                <w:lang w:val="fr-FR"/>
              </w:rPr>
              <w:t>Référence des recommandations</w:t>
            </w:r>
          </w:p>
        </w:tc>
        <w:tc>
          <w:tcPr>
            <w:tcW w:w="1843" w:type="dxa"/>
            <w:tcBorders>
              <w:top w:val="single" w:sz="4" w:space="0" w:color="auto"/>
              <w:bottom w:val="single" w:sz="12" w:space="0" w:color="auto"/>
            </w:tcBorders>
            <w:shd w:val="clear" w:color="auto" w:fill="auto"/>
            <w:tcMar>
              <w:left w:w="108" w:type="dxa"/>
            </w:tcMar>
            <w:vAlign w:val="bottom"/>
          </w:tcPr>
          <w:p w:rsidR="00E20E50" w:rsidRPr="00E20E50" w:rsidRDefault="00E20E50" w:rsidP="00E20E50">
            <w:pPr>
              <w:spacing w:before="80" w:after="80" w:line="200" w:lineRule="exact"/>
              <w:ind w:right="113"/>
              <w:rPr>
                <w:i/>
                <w:sz w:val="16"/>
                <w:lang w:val="fr-FR"/>
              </w:rPr>
            </w:pPr>
            <w:r>
              <w:rPr>
                <w:i/>
                <w:sz w:val="16"/>
                <w:lang w:val="fr-FR"/>
              </w:rPr>
              <w:t>État</w:t>
            </w:r>
          </w:p>
        </w:tc>
        <w:tc>
          <w:tcPr>
            <w:tcW w:w="4111" w:type="dxa"/>
            <w:tcBorders>
              <w:top w:val="single" w:sz="4" w:space="0" w:color="auto"/>
              <w:bottom w:val="single" w:sz="12" w:space="0" w:color="auto"/>
            </w:tcBorders>
            <w:shd w:val="clear" w:color="auto" w:fill="auto"/>
            <w:tcMar>
              <w:left w:w="108" w:type="dxa"/>
            </w:tcMar>
            <w:vAlign w:val="bottom"/>
          </w:tcPr>
          <w:p w:rsidR="00E20E50" w:rsidRPr="00E20E50" w:rsidRDefault="00E20E50" w:rsidP="00E20E50">
            <w:pPr>
              <w:spacing w:before="80" w:after="80" w:line="200" w:lineRule="exact"/>
              <w:ind w:right="113"/>
              <w:rPr>
                <w:i/>
                <w:sz w:val="16"/>
                <w:lang w:val="fr-FR"/>
              </w:rPr>
            </w:pPr>
            <w:r>
              <w:rPr>
                <w:i/>
                <w:sz w:val="16"/>
                <w:lang w:val="fr-FR"/>
              </w:rPr>
              <w:t>Substance de la recommandation</w:t>
            </w:r>
          </w:p>
        </w:tc>
        <w:tc>
          <w:tcPr>
            <w:tcW w:w="1187" w:type="dxa"/>
            <w:tcBorders>
              <w:top w:val="single" w:sz="4" w:space="0" w:color="auto"/>
              <w:bottom w:val="single" w:sz="12" w:space="0" w:color="auto"/>
            </w:tcBorders>
            <w:shd w:val="clear" w:color="auto" w:fill="auto"/>
            <w:tcMar>
              <w:left w:w="108" w:type="dxa"/>
            </w:tcMar>
            <w:vAlign w:val="bottom"/>
          </w:tcPr>
          <w:p w:rsidR="00E20E50" w:rsidRPr="00E20E50" w:rsidRDefault="00E20E50" w:rsidP="00E20E50">
            <w:pPr>
              <w:spacing w:before="80" w:after="80" w:line="200" w:lineRule="exact"/>
              <w:ind w:right="113"/>
              <w:rPr>
                <w:i/>
                <w:sz w:val="16"/>
                <w:lang w:val="fr-FR"/>
              </w:rPr>
            </w:pPr>
            <w:r>
              <w:rPr>
                <w:i/>
                <w:sz w:val="16"/>
                <w:lang w:val="fr-FR"/>
              </w:rPr>
              <w:t>Position du Burkina Faso</w:t>
            </w:r>
          </w:p>
        </w:tc>
      </w:tr>
      <w:tr w:rsidR="00E20E50" w:rsidRPr="00E20E50" w:rsidTr="00E20E50">
        <w:trPr>
          <w:trHeight w:hRule="exact" w:val="113"/>
        </w:trPr>
        <w:tc>
          <w:tcPr>
            <w:tcW w:w="1384" w:type="dxa"/>
            <w:tcBorders>
              <w:top w:val="single" w:sz="12" w:space="0" w:color="auto"/>
            </w:tcBorders>
            <w:shd w:val="clear" w:color="auto" w:fill="auto"/>
            <w:tcMar>
              <w:left w:w="108" w:type="dxa"/>
            </w:tcMar>
          </w:tcPr>
          <w:p w:rsidR="00E20E50" w:rsidRPr="00E20E50" w:rsidRDefault="00E20E50" w:rsidP="00E20E50">
            <w:pPr>
              <w:spacing w:before="40" w:after="120"/>
              <w:ind w:right="113"/>
              <w:rPr>
                <w:lang w:val="fr-FR"/>
              </w:rPr>
            </w:pPr>
          </w:p>
        </w:tc>
        <w:tc>
          <w:tcPr>
            <w:tcW w:w="1843" w:type="dxa"/>
            <w:tcBorders>
              <w:top w:val="single" w:sz="12" w:space="0" w:color="auto"/>
            </w:tcBorders>
            <w:shd w:val="clear" w:color="auto" w:fill="auto"/>
            <w:tcMar>
              <w:left w:w="108" w:type="dxa"/>
            </w:tcMar>
          </w:tcPr>
          <w:p w:rsidR="00E20E50" w:rsidRPr="00E20E50" w:rsidRDefault="00E20E50" w:rsidP="00E20E50">
            <w:pPr>
              <w:spacing w:before="40" w:after="120"/>
              <w:ind w:right="113"/>
              <w:rPr>
                <w:lang w:val="fr-FR"/>
              </w:rPr>
            </w:pPr>
          </w:p>
        </w:tc>
        <w:tc>
          <w:tcPr>
            <w:tcW w:w="4111" w:type="dxa"/>
            <w:tcBorders>
              <w:top w:val="single" w:sz="12" w:space="0" w:color="auto"/>
            </w:tcBorders>
            <w:shd w:val="clear" w:color="auto" w:fill="auto"/>
            <w:tcMar>
              <w:left w:w="108" w:type="dxa"/>
            </w:tcMar>
          </w:tcPr>
          <w:p w:rsidR="00E20E50" w:rsidRPr="00E20E50" w:rsidRDefault="00E20E50" w:rsidP="00E20E50">
            <w:pPr>
              <w:spacing w:before="40" w:after="120"/>
              <w:ind w:right="113"/>
              <w:rPr>
                <w:lang w:val="fr-FR"/>
              </w:rPr>
            </w:pPr>
          </w:p>
        </w:tc>
        <w:tc>
          <w:tcPr>
            <w:tcW w:w="1187" w:type="dxa"/>
            <w:tcBorders>
              <w:top w:val="single" w:sz="12" w:space="0" w:color="auto"/>
            </w:tcBorders>
            <w:shd w:val="clear" w:color="auto" w:fill="auto"/>
            <w:tcMar>
              <w:left w:w="108" w:type="dxa"/>
            </w:tcMar>
          </w:tcPr>
          <w:p w:rsidR="00E20E50" w:rsidRPr="00E20E50" w:rsidRDefault="00E20E50" w:rsidP="00E20E50">
            <w:pPr>
              <w:spacing w:before="40" w:after="120"/>
              <w:ind w:right="113"/>
              <w:rPr>
                <w:lang w:val="fr-FR"/>
              </w:rPr>
            </w:pP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126.1</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Chili, Costa Rica, Espagne, Togo</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Ratifier le deuxième Protocole facultatif se rapportant au Pacte international relatif aux droits civils et politiques, v</w:t>
            </w:r>
            <w:r w:rsidR="00017DA4">
              <w:rPr>
                <w:lang w:val="fr-FR"/>
              </w:rPr>
              <w:t>isant à abolir la peine de mort.</w:t>
            </w:r>
          </w:p>
        </w:tc>
        <w:tc>
          <w:tcPr>
            <w:tcW w:w="1187" w:type="dxa"/>
            <w:shd w:val="clear" w:color="auto" w:fill="auto"/>
            <w:tcMar>
              <w:left w:w="108" w:type="dxa"/>
            </w:tcMar>
          </w:tcPr>
          <w:p w:rsidR="00E20E50" w:rsidRPr="00E20E50" w:rsidRDefault="00E20E50" w:rsidP="00E20E50">
            <w:pPr>
              <w:spacing w:before="40" w:after="120"/>
              <w:ind w:right="113"/>
              <w:rPr>
                <w:lang w:val="fr-FR"/>
              </w:rPr>
            </w:pPr>
            <w:bookmarkStart w:id="1" w:name="_Hlk523673633"/>
            <w:bookmarkEnd w:id="1"/>
            <w:r w:rsidRPr="00E20E50">
              <w:rPr>
                <w:lang w:val="fr-FR"/>
              </w:rPr>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126.2</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Autriche</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 xml:space="preserve">Ratifier sans réserve le deuxième Protocole facultatif se rapportant au Pacte international relatif </w:t>
            </w:r>
            <w:r w:rsidR="00017DA4">
              <w:rPr>
                <w:lang w:val="fr-FR"/>
              </w:rPr>
              <w:t>aux droits civils et politiques.</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Notée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126.3</w:t>
            </w:r>
          </w:p>
        </w:tc>
        <w:tc>
          <w:tcPr>
            <w:tcW w:w="1843" w:type="dxa"/>
            <w:shd w:val="clear" w:color="auto" w:fill="auto"/>
            <w:tcMar>
              <w:left w:w="108" w:type="dxa"/>
            </w:tcMar>
          </w:tcPr>
          <w:p w:rsidR="00E20E50" w:rsidRPr="00E20E50" w:rsidRDefault="00E20E50" w:rsidP="00E20E50">
            <w:pPr>
              <w:spacing w:before="40" w:after="120"/>
              <w:ind w:right="113"/>
              <w:rPr>
                <w:lang w:val="fr-FR"/>
              </w:rPr>
            </w:pPr>
            <w:r>
              <w:rPr>
                <w:lang w:val="fr-FR"/>
              </w:rPr>
              <w:t xml:space="preserve">Royaume-Uni de Grande-Bretagne </w:t>
            </w:r>
            <w:r w:rsidRPr="00E20E50">
              <w:rPr>
                <w:lang w:val="fr-FR"/>
              </w:rPr>
              <w:t>et d’Irlande du Nord</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 xml:space="preserve">Ratifier le deuxième Protocole facultatif se rapportant au Pacte international relatif aux droits civils et politiques dans le but ultime d’abolir la peine de </w:t>
            </w:r>
            <w:r w:rsidR="00017DA4">
              <w:rPr>
                <w:lang w:val="fr-FR"/>
              </w:rPr>
              <w:t>mort en toutes circonstances.</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Notée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126.4</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Portugal</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Abolir pleinement la peine de mort et ratifier le deuxième Protocole facultatif se rapportant au Pacte international relatif aux droits civils et politiques, visant l’abolition de la peine de mort</w:t>
            </w:r>
            <w:r w:rsidR="00017DA4">
              <w:rPr>
                <w:lang w:val="fr-FR"/>
              </w:rPr>
              <w:t>.</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126.5</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Australie</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Abolir officielleme</w:t>
            </w:r>
            <w:r>
              <w:rPr>
                <w:lang w:val="fr-FR"/>
              </w:rPr>
              <w:t xml:space="preserve">nt la peine de mort, notamment </w:t>
            </w:r>
            <w:r w:rsidRPr="00E20E50">
              <w:rPr>
                <w:lang w:val="fr-FR"/>
              </w:rPr>
              <w:t>en ratifiant le deuxième Protocole facultatif se rapportant au Pacte international relatif aux droits civils et politiques</w:t>
            </w:r>
            <w:r w:rsidR="00017DA4">
              <w:rPr>
                <w:lang w:val="fr-FR"/>
              </w:rPr>
              <w:t>.</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126.6</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Espagne Portugal/ Uruguay</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Ratifier le Protocole facultatif se rapportant au Pacte international relatif aux droits économiques, sociaux et culturels/envisager de ratifier le Protocole facultatif se rapportant au Pacte international relatif aux droits éc</w:t>
            </w:r>
            <w:r w:rsidR="00017DA4">
              <w:rPr>
                <w:lang w:val="fr-FR"/>
              </w:rPr>
              <w:t>onomiques, sociaux et culturels.</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Notée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lastRenderedPageBreak/>
              <w:t>126.7</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Espagne</w:t>
            </w:r>
          </w:p>
          <w:p w:rsidR="00E20E50" w:rsidRPr="00E20E50" w:rsidRDefault="00E20E50" w:rsidP="00E20E50">
            <w:pPr>
              <w:spacing w:before="40" w:after="120"/>
              <w:ind w:right="113"/>
              <w:rPr>
                <w:lang w:val="fr-FR"/>
              </w:rPr>
            </w:pPr>
            <w:r w:rsidRPr="00E20E50">
              <w:rPr>
                <w:lang w:val="fr-FR"/>
              </w:rPr>
              <w:t>Portugal</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Ratifier le Protocole facultatif à la Convention relative aux droits de l’enfant établissant une procédure de présentation de communications</w:t>
            </w:r>
            <w:r w:rsidR="00017DA4">
              <w:rPr>
                <w:lang w:val="fr-FR"/>
              </w:rPr>
              <w:t>.</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Notée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126.8</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Royaume-Uni de Grande-Bretagne et d’Irlande du Nord</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Adopter une procédure ouverte et fondée sur le mérite pour le choix de candidats nationaux aux élections des organes conventionnels</w:t>
            </w:r>
            <w:r w:rsidR="00017DA4">
              <w:rPr>
                <w:lang w:val="fr-FR"/>
              </w:rPr>
              <w:t>.</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126.9</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Haïti</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Mettre au point et adopter le projet de loi portant modification de la loi n 010-2009 pour donner suite aux recommandations des paragraphes 135.44, 135.54 et 135.61 du rapport du Groupe de travail sur le deuxième cycle d’examen</w:t>
            </w:r>
            <w:r w:rsidR="00017DA4">
              <w:rPr>
                <w:lang w:val="fr-FR"/>
              </w:rPr>
              <w:t>.</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126.10</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Kenya</w:t>
            </w:r>
          </w:p>
        </w:tc>
        <w:tc>
          <w:tcPr>
            <w:tcW w:w="4111" w:type="dxa"/>
            <w:shd w:val="clear" w:color="auto" w:fill="auto"/>
            <w:tcMar>
              <w:left w:w="108" w:type="dxa"/>
            </w:tcMar>
          </w:tcPr>
          <w:p w:rsidR="00E20E50" w:rsidRPr="00E20E50" w:rsidRDefault="00E20E50" w:rsidP="00017DA4">
            <w:pPr>
              <w:spacing w:before="40" w:after="120"/>
              <w:ind w:right="113"/>
              <w:rPr>
                <w:lang w:val="fr-FR"/>
              </w:rPr>
            </w:pPr>
            <w:r w:rsidRPr="00E20E50">
              <w:rPr>
                <w:lang w:val="fr-FR"/>
              </w:rPr>
              <w:t>Mettre en œuvre le Plan de gestion environnemental et social et faire entrer en vigueur le Code sur les industries extractives et l’environnement</w:t>
            </w:r>
            <w:r w:rsidR="00017DA4">
              <w:rPr>
                <w:lang w:val="fr-FR"/>
              </w:rPr>
              <w:t>.</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126.11</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Islande</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Poursuivre les efforts en vue d’abolir la peine de mort et ratifier le deuxième Protocole facultatif se rapportant au Pacte international relatif aux droits civils et politiques visant à abolir la peine de mort</w:t>
            </w:r>
            <w:r w:rsidR="00017DA4">
              <w:rPr>
                <w:lang w:val="fr-FR"/>
              </w:rPr>
              <w:t>.</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126.12</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Cabo Verde</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Abolir officiellement et définitivement la peine de mort</w:t>
            </w:r>
            <w:r w:rsidR="00017DA4">
              <w:rPr>
                <w:lang w:val="fr-FR"/>
              </w:rPr>
              <w:t>.</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126.13</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République centrafricaine</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 xml:space="preserve">Achever le processus </w:t>
            </w:r>
            <w:r w:rsidR="00017DA4">
              <w:rPr>
                <w:lang w:val="fr-FR"/>
              </w:rPr>
              <w:t>d’abolition de la peine de mort.</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126.14</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Ukraine</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Prendre les mesures législatives nécessair</w:t>
            </w:r>
            <w:r w:rsidR="00017DA4">
              <w:rPr>
                <w:lang w:val="fr-FR"/>
              </w:rPr>
              <w:t>es pour abolir la peine de mort.</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126.15</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Allemagne</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 xml:space="preserve">Abolir pleinement la peine de mort, commuer toutes peines capitales et ratifier le deuxième Protocole facultatif se rapportant au Pacte </w:t>
            </w:r>
            <w:r w:rsidRPr="00E20E50">
              <w:rPr>
                <w:lang w:val="fr-FR"/>
              </w:rPr>
              <w:lastRenderedPageBreak/>
              <w:t>international relatif aux droits civils et politiques</w:t>
            </w:r>
            <w:r w:rsidR="00017DA4">
              <w:rPr>
                <w:lang w:val="fr-FR"/>
              </w:rPr>
              <w:t>.</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lastRenderedPageBreak/>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lastRenderedPageBreak/>
              <w:t>126.16</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Namibie</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Envisager d’abolir la peine de mort pour toutes les infractions et ratifier le deuxième Protocole fac</w:t>
            </w:r>
            <w:r w:rsidR="00017DA4">
              <w:rPr>
                <w:lang w:val="fr-FR"/>
              </w:rPr>
              <w:t xml:space="preserve">ultatif se rapportant au Pacte </w:t>
            </w:r>
            <w:r w:rsidRPr="00E20E50">
              <w:rPr>
                <w:lang w:val="fr-FR"/>
              </w:rPr>
              <w:t xml:space="preserve">international relatif </w:t>
            </w:r>
            <w:r w:rsidR="00017DA4">
              <w:rPr>
                <w:lang w:val="fr-FR"/>
              </w:rPr>
              <w:t>aux droits civils et politiques.</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126.17</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Argentine</w:t>
            </w:r>
          </w:p>
        </w:tc>
        <w:tc>
          <w:tcPr>
            <w:tcW w:w="4111" w:type="dxa"/>
            <w:shd w:val="clear" w:color="auto" w:fill="auto"/>
            <w:tcMar>
              <w:left w:w="108" w:type="dxa"/>
            </w:tcMar>
          </w:tcPr>
          <w:p w:rsidR="00E20E50" w:rsidRPr="00E20E50" w:rsidRDefault="00017DA4" w:rsidP="00017DA4">
            <w:pPr>
              <w:spacing w:before="40" w:after="120"/>
              <w:ind w:right="113"/>
              <w:rPr>
                <w:lang w:val="fr-FR"/>
              </w:rPr>
            </w:pPr>
            <w:r>
              <w:rPr>
                <w:lang w:val="fr-FR"/>
              </w:rPr>
              <w:t xml:space="preserve">Adopter </w:t>
            </w:r>
            <w:r w:rsidR="00E20E50" w:rsidRPr="00E20E50">
              <w:rPr>
                <w:lang w:val="fr-FR"/>
              </w:rPr>
              <w:t>les mesures nécessaires pour garantir que les disparitions forcées échappent explicitement à la compétence des tribuna</w:t>
            </w:r>
            <w:r>
              <w:rPr>
                <w:lang w:val="fr-FR"/>
              </w:rPr>
              <w:t>ux militaires dans tous les cas.</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Notée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126.18</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Espagne</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Assumer son rôle de garant de la sécurité, sans être remplacé par des groupes d’autodéfense ; garantir le respect des droits de l’homme sur le territoire, entre autres par les forces de sécurité et veiller à mettre fin à l’impunité</w:t>
            </w:r>
            <w:r w:rsidR="00017DA4">
              <w:rPr>
                <w:lang w:val="fr-FR"/>
              </w:rPr>
              <w:t>.</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126.19</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Belgique</w:t>
            </w:r>
          </w:p>
        </w:tc>
        <w:tc>
          <w:tcPr>
            <w:tcW w:w="4111" w:type="dxa"/>
            <w:shd w:val="clear" w:color="auto" w:fill="auto"/>
            <w:tcMar>
              <w:left w:w="108" w:type="dxa"/>
            </w:tcMar>
          </w:tcPr>
          <w:p w:rsidR="00E20E50" w:rsidRPr="00E20E50" w:rsidRDefault="00E20E50" w:rsidP="00017DA4">
            <w:pPr>
              <w:spacing w:before="40" w:after="120"/>
              <w:ind w:right="113"/>
              <w:rPr>
                <w:lang w:val="fr-FR"/>
              </w:rPr>
            </w:pPr>
            <w:r w:rsidRPr="00E20E50">
              <w:rPr>
                <w:lang w:val="fr-FR"/>
              </w:rPr>
              <w:t>Renforcer l’état de droit dans tout le pays en soutenant la présence de forces de sécurité nationale formées aux droits de l’homme et neutraliser la présence des milices d’autodé</w:t>
            </w:r>
            <w:r w:rsidR="00017DA4">
              <w:rPr>
                <w:lang w:val="fr-FR"/>
              </w:rPr>
              <w:t>fense, notamment les Koglwéogo.</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Notée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126.20</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États-Unis d’Amérique</w:t>
            </w:r>
          </w:p>
        </w:tc>
        <w:tc>
          <w:tcPr>
            <w:tcW w:w="4111" w:type="dxa"/>
            <w:shd w:val="clear" w:color="auto" w:fill="auto"/>
            <w:tcMar>
              <w:left w:w="108" w:type="dxa"/>
            </w:tcMar>
          </w:tcPr>
          <w:p w:rsidR="00E20E50" w:rsidRPr="00E20E50" w:rsidRDefault="00E20E50" w:rsidP="00017DA4">
            <w:pPr>
              <w:spacing w:before="40" w:after="120"/>
              <w:ind w:right="113"/>
              <w:rPr>
                <w:lang w:val="fr-FR"/>
              </w:rPr>
            </w:pPr>
            <w:r w:rsidRPr="00E20E50">
              <w:rPr>
                <w:lang w:val="fr-FR"/>
              </w:rPr>
              <w:t xml:space="preserve">Prendre des mesures pertinentes pour améliorer la sécurité civile et l’accès au système judiciaire classique, tout en instaurant la confiance dans les forces de l’ordre pour empêcher la prolifération des groupes </w:t>
            </w:r>
            <w:r w:rsidR="00017DA4">
              <w:rPr>
                <w:lang w:val="fr-FR"/>
              </w:rPr>
              <w:t>d’autodéfense.</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126.21</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Haïti</w:t>
            </w:r>
          </w:p>
        </w:tc>
        <w:tc>
          <w:tcPr>
            <w:tcW w:w="4111" w:type="dxa"/>
            <w:shd w:val="clear" w:color="auto" w:fill="auto"/>
            <w:tcMar>
              <w:left w:w="108" w:type="dxa"/>
            </w:tcMar>
          </w:tcPr>
          <w:p w:rsidR="00E20E50" w:rsidRPr="00E20E50" w:rsidRDefault="00E20E50" w:rsidP="00017DA4">
            <w:pPr>
              <w:spacing w:before="40" w:after="120"/>
              <w:ind w:right="113"/>
              <w:rPr>
                <w:lang w:val="fr-FR"/>
              </w:rPr>
            </w:pPr>
            <w:r w:rsidRPr="00E20E50">
              <w:rPr>
                <w:lang w:val="fr-FR"/>
              </w:rPr>
              <w:t xml:space="preserve">Donner la priorité aux consultations avec de petits agriculteurs afin d’éviter les incidences néfastes de politiques agro-industrielles sur la sécurité alimentaire et nutritionnelle, pour donner suite à la recommandation formulée au </w:t>
            </w:r>
            <w:r w:rsidRPr="00E20E50">
              <w:rPr>
                <w:lang w:val="fr-FR"/>
              </w:rPr>
              <w:lastRenderedPageBreak/>
              <w:t>paragraphe 135.24 du rapport du Groupe de travail sur le deuxième cycle d’examen</w:t>
            </w:r>
            <w:r w:rsidR="00017DA4">
              <w:rPr>
                <w:lang w:val="fr-FR"/>
              </w:rPr>
              <w:t>.</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lastRenderedPageBreak/>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lastRenderedPageBreak/>
              <w:t>126.22</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Togo</w:t>
            </w:r>
          </w:p>
        </w:tc>
        <w:tc>
          <w:tcPr>
            <w:tcW w:w="4111" w:type="dxa"/>
            <w:shd w:val="clear" w:color="auto" w:fill="auto"/>
            <w:tcMar>
              <w:left w:w="108" w:type="dxa"/>
            </w:tcMar>
          </w:tcPr>
          <w:p w:rsidR="00E20E50" w:rsidRPr="00E20E50" w:rsidRDefault="00E20E50" w:rsidP="00017DA4">
            <w:pPr>
              <w:spacing w:before="40" w:after="120"/>
              <w:ind w:right="113"/>
              <w:rPr>
                <w:lang w:val="fr-FR"/>
              </w:rPr>
            </w:pPr>
            <w:r w:rsidRPr="00E20E50">
              <w:rPr>
                <w:lang w:val="fr-FR"/>
              </w:rPr>
              <w:t xml:space="preserve">S’assurer que les expulsions résultent d’une décision judiciaire, compte tenu des garanties procédurales rigoureuses en conformité </w:t>
            </w:r>
            <w:r w:rsidR="00017DA4">
              <w:rPr>
                <w:lang w:val="fr-FR"/>
              </w:rPr>
              <w:t>avec les normes internationales.</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Notée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126.23</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Afghanistan</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Garantir des services de santé maternelle, sexuelle et génésique pour les femmes</w:t>
            </w:r>
            <w:r w:rsidR="00017DA4">
              <w:rPr>
                <w:lang w:val="fr-FR"/>
              </w:rPr>
              <w:t xml:space="preserve"> selon des méthodes régulières.</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126.24</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Belgique</w:t>
            </w:r>
          </w:p>
        </w:tc>
        <w:tc>
          <w:tcPr>
            <w:tcW w:w="4111" w:type="dxa"/>
            <w:shd w:val="clear" w:color="auto" w:fill="auto"/>
            <w:tcMar>
              <w:left w:w="108" w:type="dxa"/>
            </w:tcMar>
          </w:tcPr>
          <w:p w:rsidR="00E20E50" w:rsidRPr="00E20E50" w:rsidRDefault="00E20E50" w:rsidP="00017DA4">
            <w:pPr>
              <w:spacing w:before="40" w:after="120"/>
              <w:ind w:right="113"/>
              <w:rPr>
                <w:lang w:val="fr-FR"/>
              </w:rPr>
            </w:pPr>
            <w:r w:rsidRPr="00E20E50">
              <w:rPr>
                <w:lang w:val="fr-FR"/>
              </w:rPr>
              <w:t>Appliquer une stratégie qui garantisse la santé sexuelle et génésique des jeunes et leurs droits en la matière en luttant contre les mutilations génitales féminines et en abaissant la mortalité maternelle liée aux avortements non médicalisés</w:t>
            </w:r>
            <w:r w:rsidR="00017DA4">
              <w:rPr>
                <w:lang w:val="fr-FR"/>
              </w:rPr>
              <w:t>.</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Notée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126.25</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Allemagne</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Modifier la législation pour combattre et interdire légalement la pratique des mutilations génitales féminines, d’autres coutumes préjudiciables et la violence familiale à l’égard des femmes, notamment par modification de la loi en vue de définir le viol conjugal et d’étab</w:t>
            </w:r>
            <w:r w:rsidR="00017DA4">
              <w:rPr>
                <w:lang w:val="fr-FR"/>
              </w:rPr>
              <w:t>lir une sanction correspondante.</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Notée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126.26</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Australie</w:t>
            </w:r>
          </w:p>
        </w:tc>
        <w:tc>
          <w:tcPr>
            <w:tcW w:w="4111" w:type="dxa"/>
            <w:shd w:val="clear" w:color="auto" w:fill="auto"/>
            <w:tcMar>
              <w:left w:w="108" w:type="dxa"/>
            </w:tcMar>
          </w:tcPr>
          <w:p w:rsidR="00E20E50" w:rsidRPr="00E20E50" w:rsidRDefault="00E20E50" w:rsidP="00017DA4">
            <w:pPr>
              <w:spacing w:before="40" w:after="120"/>
              <w:ind w:right="113"/>
              <w:rPr>
                <w:lang w:val="fr-FR"/>
              </w:rPr>
            </w:pPr>
            <w:r w:rsidRPr="00E20E50">
              <w:rPr>
                <w:lang w:val="fr-FR"/>
              </w:rPr>
              <w:t>Modifier le Code des personnes et de la famille pour que le même âge minimum du mariage fixé à 18 ans s’app</w:t>
            </w:r>
            <w:r w:rsidR="00017DA4">
              <w:rPr>
                <w:lang w:val="fr-FR"/>
              </w:rPr>
              <w:t xml:space="preserve">lique aux hommes et aux femmes </w:t>
            </w:r>
            <w:r w:rsidRPr="00E20E50">
              <w:rPr>
                <w:lang w:val="fr-FR"/>
              </w:rPr>
              <w:t>et concerne toutes les formes de mariages, notamment religieux et</w:t>
            </w:r>
            <w:r w:rsidR="00017DA4">
              <w:rPr>
                <w:lang w:val="fr-FR"/>
              </w:rPr>
              <w:t xml:space="preserve"> traditionnels.</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Notée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126.27</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Allemagne</w:t>
            </w:r>
          </w:p>
        </w:tc>
        <w:tc>
          <w:tcPr>
            <w:tcW w:w="4111" w:type="dxa"/>
            <w:shd w:val="clear" w:color="auto" w:fill="auto"/>
            <w:tcMar>
              <w:left w:w="108" w:type="dxa"/>
            </w:tcMar>
          </w:tcPr>
          <w:p w:rsidR="00E20E50" w:rsidRPr="00E20E50" w:rsidRDefault="00E20E50" w:rsidP="00017DA4">
            <w:pPr>
              <w:spacing w:before="40" w:after="120"/>
              <w:ind w:right="113"/>
              <w:rPr>
                <w:lang w:val="fr-FR"/>
              </w:rPr>
            </w:pPr>
            <w:r w:rsidRPr="00E20E50">
              <w:rPr>
                <w:lang w:val="fr-FR"/>
              </w:rPr>
              <w:t xml:space="preserve">Établir des mécanismes globaux pour lutter contre le mariage précoce ou forcé en portant à 18 ans l’âge minimum du mariage, y compris les mariages traditionnels, pour les garçons et </w:t>
            </w:r>
            <w:r w:rsidRPr="00E20E50">
              <w:rPr>
                <w:lang w:val="fr-FR"/>
              </w:rPr>
              <w:lastRenderedPageBreak/>
              <w:t xml:space="preserve">les filles et en mettant des refuges à disposition de personnes exposées </w:t>
            </w:r>
            <w:r w:rsidR="00017DA4">
              <w:rPr>
                <w:lang w:val="fr-FR"/>
              </w:rPr>
              <w:t>à un risque.</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lastRenderedPageBreak/>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lastRenderedPageBreak/>
              <w:t>126.28</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Irlande</w:t>
            </w:r>
          </w:p>
        </w:tc>
        <w:tc>
          <w:tcPr>
            <w:tcW w:w="4111" w:type="dxa"/>
            <w:shd w:val="clear" w:color="auto" w:fill="auto"/>
            <w:tcMar>
              <w:left w:w="108" w:type="dxa"/>
            </w:tcMar>
          </w:tcPr>
          <w:p w:rsidR="00E20E50" w:rsidRPr="00E20E50" w:rsidRDefault="00E20E50" w:rsidP="00017DA4">
            <w:pPr>
              <w:spacing w:before="40" w:after="120"/>
              <w:ind w:right="113"/>
              <w:rPr>
                <w:lang w:val="fr-FR"/>
              </w:rPr>
            </w:pPr>
            <w:r w:rsidRPr="00E20E50">
              <w:rPr>
                <w:lang w:val="fr-FR"/>
              </w:rPr>
              <w:t>Fixer à 18 ans</w:t>
            </w:r>
            <w:r w:rsidR="00017DA4">
              <w:rPr>
                <w:lang w:val="fr-FR"/>
              </w:rPr>
              <w:t xml:space="preserve"> l’âge minimum </w:t>
            </w:r>
            <w:r w:rsidRPr="00E20E50">
              <w:rPr>
                <w:lang w:val="fr-FR"/>
              </w:rPr>
              <w:t>du mariage pour les femmes et les hommes et pou</w:t>
            </w:r>
            <w:r w:rsidR="00017DA4">
              <w:rPr>
                <w:lang w:val="fr-FR"/>
              </w:rPr>
              <w:t>r toutes les formes de mariages.</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Notée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126.29</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Belgique</w:t>
            </w:r>
          </w:p>
        </w:tc>
        <w:tc>
          <w:tcPr>
            <w:tcW w:w="4111" w:type="dxa"/>
            <w:shd w:val="clear" w:color="auto" w:fill="auto"/>
            <w:tcMar>
              <w:left w:w="108" w:type="dxa"/>
            </w:tcMar>
          </w:tcPr>
          <w:p w:rsidR="00E20E50" w:rsidRPr="00E20E50" w:rsidRDefault="00E20E50" w:rsidP="00017DA4">
            <w:pPr>
              <w:spacing w:before="40" w:after="120"/>
              <w:ind w:right="113"/>
              <w:rPr>
                <w:lang w:val="fr-FR"/>
              </w:rPr>
            </w:pPr>
            <w:r w:rsidRPr="00E20E50">
              <w:rPr>
                <w:lang w:val="fr-FR"/>
              </w:rPr>
              <w:t>Abroger toutes les dispositions discriminatoires à l’égard des femmes dans le Code des personnes et de la famille et porter à 18 ans l’âge minimum légal du mariage pour les hommes et les femmes sans exception</w:t>
            </w:r>
            <w:r w:rsidR="00017DA4">
              <w:rPr>
                <w:lang w:val="fr-FR"/>
              </w:rPr>
              <w:t>.</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126.30</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Monténégro</w:t>
            </w:r>
          </w:p>
        </w:tc>
        <w:tc>
          <w:tcPr>
            <w:tcW w:w="4111" w:type="dxa"/>
            <w:shd w:val="clear" w:color="auto" w:fill="auto"/>
            <w:tcMar>
              <w:left w:w="108" w:type="dxa"/>
            </w:tcMar>
          </w:tcPr>
          <w:p w:rsidR="00E20E50" w:rsidRPr="00E20E50" w:rsidRDefault="00E20E50" w:rsidP="00017DA4">
            <w:pPr>
              <w:spacing w:before="40" w:after="120"/>
              <w:ind w:right="113"/>
              <w:rPr>
                <w:lang w:val="fr-FR"/>
              </w:rPr>
            </w:pPr>
            <w:r w:rsidRPr="00E20E50">
              <w:rPr>
                <w:lang w:val="fr-FR"/>
              </w:rPr>
              <w:t>Réexaminer la législation en vigueur afin d’interdire expressément les châtiments corporels envers des enfants dans tous les milieux, notamment au foyer</w:t>
            </w:r>
            <w:r w:rsidR="00017DA4">
              <w:rPr>
                <w:lang w:val="fr-FR"/>
              </w:rPr>
              <w:t>.</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Notée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126.31</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Botswana</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Redoubler d’efforts pour protéger les droits de personnes atteintes d’albinisme, notamment par des campagn</w:t>
            </w:r>
            <w:r w:rsidR="00017DA4">
              <w:rPr>
                <w:lang w:val="fr-FR"/>
              </w:rPr>
              <w:t>es de sensibilisation du public.</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r w:rsidR="00E20E50" w:rsidRPr="00E20E50" w:rsidTr="00E20E50">
        <w:tc>
          <w:tcPr>
            <w:tcW w:w="1384" w:type="dxa"/>
            <w:shd w:val="clear" w:color="auto" w:fill="auto"/>
            <w:tcMar>
              <w:left w:w="108" w:type="dxa"/>
            </w:tcMar>
          </w:tcPr>
          <w:p w:rsidR="00E20E50" w:rsidRPr="00E20E50" w:rsidRDefault="00E20E50" w:rsidP="00E20E50">
            <w:pPr>
              <w:spacing w:before="40" w:after="120"/>
              <w:ind w:right="113"/>
              <w:rPr>
                <w:lang w:val="fr-FR"/>
              </w:rPr>
            </w:pPr>
            <w:r>
              <w:rPr>
                <w:lang w:val="fr-FR"/>
              </w:rPr>
              <w:t>126.32</w:t>
            </w:r>
          </w:p>
        </w:tc>
        <w:tc>
          <w:tcPr>
            <w:tcW w:w="1843"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République centrafricaine</w:t>
            </w:r>
          </w:p>
        </w:tc>
        <w:tc>
          <w:tcPr>
            <w:tcW w:w="4111"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 xml:space="preserve">Poursuivre les activités de sensibilisation </w:t>
            </w:r>
            <w:r w:rsidR="00017DA4">
              <w:rPr>
                <w:lang w:val="fr-FR"/>
              </w:rPr>
              <w:t xml:space="preserve">pour contribuer à modifier les </w:t>
            </w:r>
            <w:r w:rsidRPr="00E20E50">
              <w:rPr>
                <w:lang w:val="fr-FR"/>
              </w:rPr>
              <w:t xml:space="preserve">attitudes malveillantes à l’égard de </w:t>
            </w:r>
            <w:r w:rsidR="00017DA4">
              <w:rPr>
                <w:lang w:val="fr-FR"/>
              </w:rPr>
              <w:t>personnes atteintes d’albinisme.</w:t>
            </w:r>
          </w:p>
        </w:tc>
        <w:tc>
          <w:tcPr>
            <w:tcW w:w="1187" w:type="dxa"/>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r w:rsidR="00E20E50" w:rsidRPr="00E20E50" w:rsidTr="00E20E50">
        <w:tc>
          <w:tcPr>
            <w:tcW w:w="1384" w:type="dxa"/>
            <w:tcBorders>
              <w:bottom w:val="single" w:sz="12" w:space="0" w:color="auto"/>
            </w:tcBorders>
            <w:shd w:val="clear" w:color="auto" w:fill="auto"/>
            <w:tcMar>
              <w:left w:w="108" w:type="dxa"/>
            </w:tcMar>
          </w:tcPr>
          <w:p w:rsidR="00E20E50" w:rsidRPr="00E20E50" w:rsidRDefault="00E20E50" w:rsidP="00E20E50">
            <w:pPr>
              <w:spacing w:before="40" w:after="120"/>
              <w:ind w:right="113"/>
              <w:rPr>
                <w:lang w:val="fr-FR"/>
              </w:rPr>
            </w:pPr>
            <w:r>
              <w:rPr>
                <w:lang w:val="fr-FR"/>
              </w:rPr>
              <w:t>126.33</w:t>
            </w:r>
          </w:p>
        </w:tc>
        <w:tc>
          <w:tcPr>
            <w:tcW w:w="1843" w:type="dxa"/>
            <w:tcBorders>
              <w:bottom w:val="single" w:sz="12" w:space="0" w:color="auto"/>
            </w:tcBorders>
            <w:shd w:val="clear" w:color="auto" w:fill="auto"/>
            <w:tcMar>
              <w:left w:w="108" w:type="dxa"/>
            </w:tcMar>
          </w:tcPr>
          <w:p w:rsidR="00E20E50" w:rsidRPr="00E20E50" w:rsidRDefault="00E20E50" w:rsidP="00E20E50">
            <w:pPr>
              <w:spacing w:before="40" w:after="120"/>
              <w:ind w:right="113"/>
              <w:rPr>
                <w:lang w:val="fr-FR"/>
              </w:rPr>
            </w:pPr>
            <w:r w:rsidRPr="00E20E50">
              <w:rPr>
                <w:lang w:val="fr-FR"/>
              </w:rPr>
              <w:t>Congo</w:t>
            </w:r>
          </w:p>
        </w:tc>
        <w:tc>
          <w:tcPr>
            <w:tcW w:w="4111" w:type="dxa"/>
            <w:tcBorders>
              <w:bottom w:val="single" w:sz="12" w:space="0" w:color="auto"/>
            </w:tcBorders>
            <w:shd w:val="clear" w:color="auto" w:fill="auto"/>
            <w:tcMar>
              <w:left w:w="108" w:type="dxa"/>
            </w:tcMar>
          </w:tcPr>
          <w:p w:rsidR="00E20E50" w:rsidRPr="00E20E50" w:rsidRDefault="00E20E50" w:rsidP="00E20E50">
            <w:pPr>
              <w:spacing w:before="40" w:after="120"/>
              <w:ind w:right="113"/>
              <w:rPr>
                <w:lang w:val="fr-FR"/>
              </w:rPr>
            </w:pPr>
            <w:r w:rsidRPr="00E20E50">
              <w:rPr>
                <w:lang w:val="fr-FR"/>
              </w:rPr>
              <w:t xml:space="preserve">Mener des campagnes de sensibilisation pour modifier les attitudes malveillantes à l’égard de </w:t>
            </w:r>
            <w:r w:rsidR="00017DA4">
              <w:rPr>
                <w:lang w:val="fr-FR"/>
              </w:rPr>
              <w:t>personnes atteintes d’albinisme.</w:t>
            </w:r>
          </w:p>
        </w:tc>
        <w:tc>
          <w:tcPr>
            <w:tcW w:w="1187" w:type="dxa"/>
            <w:tcBorders>
              <w:bottom w:val="single" w:sz="12" w:space="0" w:color="auto"/>
            </w:tcBorders>
            <w:shd w:val="clear" w:color="auto" w:fill="auto"/>
            <w:tcMar>
              <w:left w:w="108" w:type="dxa"/>
            </w:tcMar>
          </w:tcPr>
          <w:p w:rsidR="00E20E50" w:rsidRPr="00E20E50" w:rsidRDefault="00E20E50" w:rsidP="00E20E50">
            <w:pPr>
              <w:spacing w:before="40" w:after="120"/>
              <w:ind w:right="113"/>
              <w:rPr>
                <w:lang w:val="fr-FR"/>
              </w:rPr>
            </w:pPr>
            <w:r w:rsidRPr="00E20E50">
              <w:rPr>
                <w:lang w:val="fr-FR"/>
              </w:rPr>
              <w:t>Acceptée</w:t>
            </w:r>
          </w:p>
        </w:tc>
      </w:tr>
    </w:tbl>
    <w:p w:rsidR="00E20E50" w:rsidRPr="00E20E50" w:rsidRDefault="00E20E50" w:rsidP="00E20E50">
      <w:pPr>
        <w:spacing w:before="240"/>
        <w:ind w:left="1134" w:right="1134"/>
        <w:jc w:val="center"/>
        <w:rPr>
          <w:u w:val="single"/>
        </w:rPr>
      </w:pPr>
      <w:r>
        <w:rPr>
          <w:u w:val="single"/>
        </w:rPr>
        <w:tab/>
      </w:r>
      <w:r>
        <w:rPr>
          <w:u w:val="single"/>
        </w:rPr>
        <w:tab/>
      </w:r>
      <w:r>
        <w:rPr>
          <w:u w:val="single"/>
        </w:rPr>
        <w:tab/>
      </w:r>
    </w:p>
    <w:p w:rsidR="0008167F" w:rsidRPr="00E20E50" w:rsidRDefault="0008167F" w:rsidP="00794671"/>
    <w:sectPr w:rsidR="0008167F" w:rsidRPr="00E20E50" w:rsidSect="00E20E50">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E50" w:rsidRDefault="00E20E50"/>
  </w:endnote>
  <w:endnote w:type="continuationSeparator" w:id="0">
    <w:p w:rsidR="00E20E50" w:rsidRDefault="00E20E50"/>
  </w:endnote>
  <w:endnote w:type="continuationNotice" w:id="1">
    <w:p w:rsidR="00E20E50" w:rsidRDefault="00E20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50" w:rsidRPr="00E20E50" w:rsidRDefault="00E20E50" w:rsidP="00E20E50">
    <w:pPr>
      <w:pStyle w:val="Footer"/>
      <w:tabs>
        <w:tab w:val="right" w:pos="9638"/>
      </w:tabs>
      <w:rPr>
        <w:sz w:val="18"/>
      </w:rPr>
    </w:pPr>
    <w:r w:rsidRPr="00E20E50">
      <w:rPr>
        <w:b/>
        <w:sz w:val="18"/>
      </w:rPr>
      <w:fldChar w:fldCharType="begin"/>
    </w:r>
    <w:r w:rsidRPr="00E20E50">
      <w:rPr>
        <w:b/>
        <w:sz w:val="18"/>
      </w:rPr>
      <w:instrText xml:space="preserve"> PAGE  \* MERGEFORMAT </w:instrText>
    </w:r>
    <w:r w:rsidRPr="00E20E50">
      <w:rPr>
        <w:b/>
        <w:sz w:val="18"/>
      </w:rPr>
      <w:fldChar w:fldCharType="separate"/>
    </w:r>
    <w:r w:rsidR="00AB4A3F">
      <w:rPr>
        <w:b/>
        <w:noProof/>
        <w:sz w:val="18"/>
      </w:rPr>
      <w:t>2</w:t>
    </w:r>
    <w:r w:rsidRPr="00E20E5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50" w:rsidRPr="00E20E50" w:rsidRDefault="00E20E50" w:rsidP="00E20E50">
    <w:pPr>
      <w:pStyle w:val="Footer"/>
      <w:tabs>
        <w:tab w:val="right" w:pos="9638"/>
      </w:tabs>
      <w:rPr>
        <w:b/>
        <w:sz w:val="18"/>
      </w:rPr>
    </w:pPr>
    <w:r>
      <w:tab/>
    </w:r>
    <w:r w:rsidRPr="00E20E50">
      <w:rPr>
        <w:b/>
        <w:sz w:val="18"/>
      </w:rPr>
      <w:fldChar w:fldCharType="begin"/>
    </w:r>
    <w:r w:rsidRPr="00E20E50">
      <w:rPr>
        <w:b/>
        <w:sz w:val="18"/>
      </w:rPr>
      <w:instrText xml:space="preserve"> PAGE  \* MERGEFORMAT </w:instrText>
    </w:r>
    <w:r w:rsidRPr="00E20E50">
      <w:rPr>
        <w:b/>
        <w:sz w:val="18"/>
      </w:rPr>
      <w:fldChar w:fldCharType="separate"/>
    </w:r>
    <w:r w:rsidR="00AB4A3F">
      <w:rPr>
        <w:b/>
        <w:noProof/>
        <w:sz w:val="18"/>
      </w:rPr>
      <w:t>3</w:t>
    </w:r>
    <w:r w:rsidRPr="00E20E5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E50" w:rsidRPr="00D27D5E" w:rsidRDefault="00E20E50" w:rsidP="00D27D5E">
      <w:pPr>
        <w:tabs>
          <w:tab w:val="right" w:pos="2155"/>
        </w:tabs>
        <w:spacing w:after="80"/>
        <w:ind w:left="680"/>
        <w:rPr>
          <w:u w:val="single"/>
        </w:rPr>
      </w:pPr>
      <w:r>
        <w:rPr>
          <w:u w:val="single"/>
        </w:rPr>
        <w:tab/>
      </w:r>
    </w:p>
  </w:footnote>
  <w:footnote w:type="continuationSeparator" w:id="0">
    <w:p w:rsidR="00E20E50" w:rsidRPr="00D72E7E" w:rsidRDefault="00E20E50" w:rsidP="00D72E7E">
      <w:pPr>
        <w:tabs>
          <w:tab w:val="right" w:pos="2155"/>
        </w:tabs>
        <w:spacing w:after="80"/>
        <w:ind w:left="680"/>
        <w:rPr>
          <w:u w:val="single"/>
        </w:rPr>
      </w:pPr>
      <w:r w:rsidRPr="00D72E7E">
        <w:rPr>
          <w:u w:val="single"/>
        </w:rPr>
        <w:tab/>
      </w:r>
    </w:p>
  </w:footnote>
  <w:footnote w:type="continuationNotice" w:id="1">
    <w:p w:rsidR="00E20E50" w:rsidRDefault="00E20E50"/>
  </w:footnote>
  <w:footnote w:id="2">
    <w:p w:rsidR="00E20E50" w:rsidRPr="005A0E69" w:rsidRDefault="00E20E50" w:rsidP="00E20E50">
      <w:pPr>
        <w:pStyle w:val="FootnoteText"/>
        <w:rPr>
          <w:lang w:val="fr-FR"/>
        </w:rPr>
      </w:pPr>
      <w:r>
        <w:tab/>
      </w:r>
      <w:r w:rsidRPr="003E3C40">
        <w:rPr>
          <w:rStyle w:val="FootnoteReference"/>
          <w:sz w:val="20"/>
          <w:vertAlign w:val="baseline"/>
          <w:lang w:val="fr-FR"/>
        </w:rPr>
        <w:t>*</w:t>
      </w:r>
      <w:r w:rsidRPr="003E3C40">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50" w:rsidRPr="00E20E50" w:rsidRDefault="0016237D">
    <w:pPr>
      <w:pStyle w:val="Header"/>
    </w:pPr>
    <w:fldSimple w:instr=" TITLE  \* MERGEFORMAT ">
      <w:r w:rsidR="00AB4A3F">
        <w:t>A/HRC/39/4/Add.1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50" w:rsidRPr="00E20E50" w:rsidRDefault="0016237D" w:rsidP="00E20E50">
    <w:pPr>
      <w:pStyle w:val="Header"/>
      <w:jc w:val="right"/>
    </w:pPr>
    <w:fldSimple w:instr=" TITLE  \* MERGEFORMAT ">
      <w:r w:rsidR="00AB4A3F">
        <w:t>A/HRC/39/4/Add.1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B3F49C6"/>
    <w:multiLevelType w:val="singleLevel"/>
    <w:tmpl w:val="720CB540"/>
    <w:lvl w:ilvl="0">
      <w:start w:val="1"/>
      <w:numFmt w:val="lowerRoman"/>
      <w:lvlText w:val="(%1)"/>
      <w:lvlJc w:val="right"/>
      <w:pPr>
        <w:tabs>
          <w:tab w:val="num" w:pos="2160"/>
        </w:tabs>
        <w:ind w:left="2160" w:hanging="516"/>
      </w:pPr>
    </w:lvl>
  </w:abstractNum>
  <w:abstractNum w:abstractNumId="13">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9"/>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8"/>
  </w:num>
  <w:num w:numId="15">
    <w:abstractNumId w:val="17"/>
  </w:num>
  <w:num w:numId="16">
    <w:abstractNumId w:val="16"/>
  </w:num>
  <w:num w:numId="17">
    <w:abstractNumId w:val="14"/>
  </w:num>
  <w:num w:numId="18">
    <w:abstractNumId w:val="16"/>
  </w:num>
  <w:num w:numId="19">
    <w:abstractNumId w:val="14"/>
  </w:num>
  <w:num w:numId="20">
    <w:abstractNumId w:val="16"/>
  </w:num>
  <w:num w:numId="21">
    <w:abstractNumId w:val="14"/>
  </w:num>
  <w:num w:numId="22">
    <w:abstractNumId w:val="10"/>
  </w:num>
  <w:num w:numId="23">
    <w:abstractNumId w:val="15"/>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E50"/>
    <w:rsid w:val="00016AC5"/>
    <w:rsid w:val="00017DA4"/>
    <w:rsid w:val="00020C56"/>
    <w:rsid w:val="00025771"/>
    <w:rsid w:val="0003055E"/>
    <w:rsid w:val="00057BC0"/>
    <w:rsid w:val="0008047D"/>
    <w:rsid w:val="0008167F"/>
    <w:rsid w:val="000E03D2"/>
    <w:rsid w:val="000F41F2"/>
    <w:rsid w:val="0011219D"/>
    <w:rsid w:val="00133B7A"/>
    <w:rsid w:val="001370FA"/>
    <w:rsid w:val="00153B2E"/>
    <w:rsid w:val="00160540"/>
    <w:rsid w:val="0016237D"/>
    <w:rsid w:val="00170BBF"/>
    <w:rsid w:val="00172B99"/>
    <w:rsid w:val="00186254"/>
    <w:rsid w:val="00192EEB"/>
    <w:rsid w:val="001A20FB"/>
    <w:rsid w:val="001C6647"/>
    <w:rsid w:val="001E3FEB"/>
    <w:rsid w:val="001E4A02"/>
    <w:rsid w:val="002659F1"/>
    <w:rsid w:val="00287E79"/>
    <w:rsid w:val="002928F9"/>
    <w:rsid w:val="002A5D07"/>
    <w:rsid w:val="003016B7"/>
    <w:rsid w:val="003515AA"/>
    <w:rsid w:val="00374106"/>
    <w:rsid w:val="0037787B"/>
    <w:rsid w:val="003800E1"/>
    <w:rsid w:val="003976D5"/>
    <w:rsid w:val="003D193B"/>
    <w:rsid w:val="003D5D72"/>
    <w:rsid w:val="003D6C68"/>
    <w:rsid w:val="003E3C40"/>
    <w:rsid w:val="003E6ACD"/>
    <w:rsid w:val="004159D0"/>
    <w:rsid w:val="00453816"/>
    <w:rsid w:val="00481744"/>
    <w:rsid w:val="00482630"/>
    <w:rsid w:val="004B2F4D"/>
    <w:rsid w:val="004E0ED4"/>
    <w:rsid w:val="00506892"/>
    <w:rsid w:val="00515E4C"/>
    <w:rsid w:val="00571F41"/>
    <w:rsid w:val="00594033"/>
    <w:rsid w:val="005E5D1F"/>
    <w:rsid w:val="005F1C7A"/>
    <w:rsid w:val="005F3C2D"/>
    <w:rsid w:val="00612D48"/>
    <w:rsid w:val="00616B45"/>
    <w:rsid w:val="006402CD"/>
    <w:rsid w:val="006439EC"/>
    <w:rsid w:val="0066166E"/>
    <w:rsid w:val="006717FE"/>
    <w:rsid w:val="006739B9"/>
    <w:rsid w:val="006A4BB1"/>
    <w:rsid w:val="006B4590"/>
    <w:rsid w:val="006C340C"/>
    <w:rsid w:val="0070347C"/>
    <w:rsid w:val="007245EE"/>
    <w:rsid w:val="00757464"/>
    <w:rsid w:val="00757B26"/>
    <w:rsid w:val="007602DF"/>
    <w:rsid w:val="00794671"/>
    <w:rsid w:val="007B4AD1"/>
    <w:rsid w:val="007D30F7"/>
    <w:rsid w:val="0081197C"/>
    <w:rsid w:val="00844750"/>
    <w:rsid w:val="0088312E"/>
    <w:rsid w:val="008921DD"/>
    <w:rsid w:val="0089595B"/>
    <w:rsid w:val="008B4356"/>
    <w:rsid w:val="008E7FAE"/>
    <w:rsid w:val="00911BF7"/>
    <w:rsid w:val="0096714A"/>
    <w:rsid w:val="00977EC8"/>
    <w:rsid w:val="009D3A8C"/>
    <w:rsid w:val="009E7956"/>
    <w:rsid w:val="00A2492E"/>
    <w:rsid w:val="00A41FCA"/>
    <w:rsid w:val="00A63BBD"/>
    <w:rsid w:val="00A8374C"/>
    <w:rsid w:val="00A954DF"/>
    <w:rsid w:val="00AB4A3F"/>
    <w:rsid w:val="00AC47AD"/>
    <w:rsid w:val="00AC7977"/>
    <w:rsid w:val="00AE139D"/>
    <w:rsid w:val="00AE352C"/>
    <w:rsid w:val="00AE5C9A"/>
    <w:rsid w:val="00B32AA5"/>
    <w:rsid w:val="00B32E2D"/>
    <w:rsid w:val="00B61990"/>
    <w:rsid w:val="00B9642C"/>
    <w:rsid w:val="00BE28D3"/>
    <w:rsid w:val="00BF0556"/>
    <w:rsid w:val="00C261F8"/>
    <w:rsid w:val="00C717E0"/>
    <w:rsid w:val="00CD1A71"/>
    <w:rsid w:val="00CD1FBB"/>
    <w:rsid w:val="00CE2A9C"/>
    <w:rsid w:val="00CE5AFE"/>
    <w:rsid w:val="00D016B5"/>
    <w:rsid w:val="00D034F1"/>
    <w:rsid w:val="00D27D5E"/>
    <w:rsid w:val="00D42E42"/>
    <w:rsid w:val="00D72E7E"/>
    <w:rsid w:val="00DE2AF1"/>
    <w:rsid w:val="00DE6D90"/>
    <w:rsid w:val="00DF002F"/>
    <w:rsid w:val="00E0244D"/>
    <w:rsid w:val="00E20E50"/>
    <w:rsid w:val="00E53A1D"/>
    <w:rsid w:val="00E81E94"/>
    <w:rsid w:val="00E82607"/>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7F30DA83-0C95-4B31-A87D-9B4C2967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qFormat/>
    <w:rsid w:val="0008167F"/>
    <w:rPr>
      <w:rFonts w:ascii="Times New Roman" w:hAnsi="Times New Roman"/>
      <w:sz w:val="18"/>
      <w:vertAlign w:val="superscript"/>
    </w:rPr>
  </w:style>
  <w:style w:type="character" w:styleId="EndnoteReference">
    <w:name w:val="endnote reference"/>
    <w:aliases w:val="1_G"/>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E20E50"/>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E6DEEF-3F7D-43FE-9D54-0F84CEF13964}"/>
</file>

<file path=customXml/itemProps2.xml><?xml version="1.0" encoding="utf-8"?>
<ds:datastoreItem xmlns:ds="http://schemas.openxmlformats.org/officeDocument/2006/customXml" ds:itemID="{0D06D495-BA7E-4524-8C85-FC9C8EE8D54B}"/>
</file>

<file path=customXml/itemProps3.xml><?xml version="1.0" encoding="utf-8"?>
<ds:datastoreItem xmlns:ds="http://schemas.openxmlformats.org/officeDocument/2006/customXml" ds:itemID="{EA59CF84-CC41-4E59-A0CC-B28636C7644C}"/>
</file>

<file path=docProps/app.xml><?xml version="1.0" encoding="utf-8"?>
<Properties xmlns="http://schemas.openxmlformats.org/officeDocument/2006/extended-properties" xmlns:vt="http://schemas.openxmlformats.org/officeDocument/2006/docPropsVTypes">
  <Template>A_F.dotm</Template>
  <TotalTime>0</TotalTime>
  <Pages>4</Pages>
  <Words>1103</Words>
  <Characters>6288</Characters>
  <Application>Microsoft Office Word</Application>
  <DocSecurity>4</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A/HRC/39/4/Add.1</vt:lpstr>
      <vt:lpstr>Nations Unies</vt:lpstr>
    </vt:vector>
  </TitlesOfParts>
  <Company>CSD</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IHARA Sumiko</cp:lastModifiedBy>
  <cp:revision>2</cp:revision>
  <cp:lastPrinted>2018-09-10T14:01:00Z</cp:lastPrinted>
  <dcterms:created xsi:type="dcterms:W3CDTF">2018-09-14T08:14:00Z</dcterms:created>
  <dcterms:modified xsi:type="dcterms:W3CDTF">2018-09-14T08:14:00Z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