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rsidTr="00EA10C4">
        <w:trPr>
          <w:trHeight w:hRule="exact" w:val="851"/>
        </w:trPr>
        <w:tc>
          <w:tcPr>
            <w:tcW w:w="1276" w:type="dxa"/>
            <w:tcBorders>
              <w:bottom w:val="single" w:sz="4" w:space="0" w:color="auto"/>
            </w:tcBorders>
          </w:tcPr>
          <w:p w:rsidR="00057BC0" w:rsidRPr="00DB58B5" w:rsidRDefault="00057BC0" w:rsidP="00186254">
            <w:bookmarkStart w:id="0" w:name="_GoBack"/>
            <w:bookmarkEnd w:id="0"/>
          </w:p>
        </w:tc>
        <w:tc>
          <w:tcPr>
            <w:tcW w:w="2268" w:type="dxa"/>
            <w:tcBorders>
              <w:bottom w:val="single" w:sz="4" w:space="0" w:color="auto"/>
            </w:tcBorders>
            <w:vAlign w:val="bottom"/>
          </w:tcPr>
          <w:p w:rsidR="00057BC0" w:rsidRPr="00DB58B5" w:rsidRDefault="00057BC0" w:rsidP="00186254">
            <w:pPr>
              <w:spacing w:after="80" w:line="300" w:lineRule="exact"/>
              <w:rPr>
                <w:sz w:val="28"/>
              </w:rPr>
            </w:pPr>
          </w:p>
        </w:tc>
        <w:tc>
          <w:tcPr>
            <w:tcW w:w="6095" w:type="dxa"/>
            <w:gridSpan w:val="2"/>
            <w:tcBorders>
              <w:bottom w:val="single" w:sz="4" w:space="0" w:color="auto"/>
            </w:tcBorders>
            <w:vAlign w:val="bottom"/>
          </w:tcPr>
          <w:p w:rsidR="00057BC0" w:rsidRPr="00DB58B5" w:rsidRDefault="00EA10C4" w:rsidP="00EA10C4">
            <w:pPr>
              <w:jc w:val="right"/>
            </w:pPr>
            <w:r w:rsidRPr="00EA10C4">
              <w:rPr>
                <w:sz w:val="40"/>
              </w:rPr>
              <w:t>A</w:t>
            </w:r>
            <w:r>
              <w:t>/HRC/37/6/Add.1</w:t>
            </w:r>
          </w:p>
        </w:tc>
      </w:tr>
      <w:tr w:rsidR="00057BC0" w:rsidRPr="00DB58B5" w:rsidTr="00186254">
        <w:trPr>
          <w:trHeight w:hRule="exact" w:val="2835"/>
        </w:trPr>
        <w:tc>
          <w:tcPr>
            <w:tcW w:w="1276" w:type="dxa"/>
            <w:tcBorders>
              <w:top w:val="single" w:sz="4" w:space="0" w:color="auto"/>
              <w:bottom w:val="single" w:sz="12" w:space="0" w:color="auto"/>
            </w:tcBorders>
          </w:tcPr>
          <w:p w:rsidR="00057BC0" w:rsidRPr="00DB58B5" w:rsidRDefault="00057BC0" w:rsidP="00186254">
            <w:pPr>
              <w:spacing w:before="120"/>
              <w:jc w:val="center"/>
            </w:pPr>
          </w:p>
        </w:tc>
        <w:tc>
          <w:tcPr>
            <w:tcW w:w="5528" w:type="dxa"/>
            <w:gridSpan w:val="2"/>
            <w:tcBorders>
              <w:top w:val="single" w:sz="4" w:space="0" w:color="auto"/>
              <w:bottom w:val="single" w:sz="12" w:space="0" w:color="auto"/>
            </w:tcBorders>
          </w:tcPr>
          <w:p w:rsidR="00057BC0" w:rsidRPr="00740562" w:rsidRDefault="00AC434E" w:rsidP="00186254">
            <w:pPr>
              <w:spacing w:before="120" w:line="420" w:lineRule="exact"/>
              <w:rPr>
                <w:b/>
                <w:sz w:val="40"/>
                <w:szCs w:val="40"/>
              </w:rPr>
            </w:pPr>
            <w:r>
              <w:rPr>
                <w:b/>
                <w:sz w:val="40"/>
                <w:szCs w:val="40"/>
              </w:rPr>
              <w:t>Advance Unedited Version</w:t>
            </w:r>
          </w:p>
        </w:tc>
        <w:tc>
          <w:tcPr>
            <w:tcW w:w="2835" w:type="dxa"/>
            <w:tcBorders>
              <w:top w:val="single" w:sz="4" w:space="0" w:color="auto"/>
              <w:bottom w:val="single" w:sz="12" w:space="0" w:color="auto"/>
            </w:tcBorders>
          </w:tcPr>
          <w:p w:rsidR="00057BC0" w:rsidRDefault="00EA10C4" w:rsidP="00EA10C4">
            <w:pPr>
              <w:spacing w:before="240" w:line="240" w:lineRule="exact"/>
            </w:pPr>
            <w:r>
              <w:t>Distr. générale</w:t>
            </w:r>
          </w:p>
          <w:p w:rsidR="00EA10C4" w:rsidRDefault="0021691E" w:rsidP="00EA10C4">
            <w:pPr>
              <w:spacing w:line="240" w:lineRule="exact"/>
            </w:pPr>
            <w:r>
              <w:t>14</w:t>
            </w:r>
            <w:r w:rsidR="00EA10C4">
              <w:t xml:space="preserve"> mars 2018</w:t>
            </w:r>
          </w:p>
          <w:p w:rsidR="00EA10C4" w:rsidRDefault="00EA10C4" w:rsidP="00EA10C4">
            <w:pPr>
              <w:spacing w:line="240" w:lineRule="exact"/>
            </w:pPr>
          </w:p>
          <w:p w:rsidR="00EA10C4" w:rsidRPr="00DB58B5" w:rsidRDefault="00EA10C4" w:rsidP="00EA10C4">
            <w:pPr>
              <w:spacing w:line="240" w:lineRule="exact"/>
            </w:pPr>
            <w:r>
              <w:t>Original : français</w:t>
            </w:r>
          </w:p>
        </w:tc>
      </w:tr>
    </w:tbl>
    <w:p w:rsidR="00EA10C4" w:rsidRPr="00F714B1" w:rsidRDefault="00EA10C4" w:rsidP="00EA10C4">
      <w:pPr>
        <w:kinsoku w:val="0"/>
        <w:overflowPunct w:val="0"/>
        <w:autoSpaceDE w:val="0"/>
        <w:autoSpaceDN w:val="0"/>
        <w:adjustRightInd w:val="0"/>
        <w:snapToGrid w:val="0"/>
        <w:spacing w:before="120"/>
        <w:rPr>
          <w:b/>
          <w:sz w:val="24"/>
          <w:szCs w:val="24"/>
          <w:lang w:val="fr-FR"/>
        </w:rPr>
      </w:pPr>
      <w:r w:rsidRPr="00F714B1">
        <w:rPr>
          <w:b/>
          <w:sz w:val="24"/>
          <w:szCs w:val="24"/>
          <w:lang w:val="fr-FR"/>
        </w:rPr>
        <w:t>Conseil des droits de l’homme</w:t>
      </w:r>
    </w:p>
    <w:p w:rsidR="00EA10C4" w:rsidRDefault="00EA10C4" w:rsidP="00EA10C4">
      <w:pPr>
        <w:kinsoku w:val="0"/>
        <w:overflowPunct w:val="0"/>
        <w:autoSpaceDE w:val="0"/>
        <w:autoSpaceDN w:val="0"/>
        <w:adjustRightInd w:val="0"/>
        <w:snapToGrid w:val="0"/>
        <w:rPr>
          <w:b/>
          <w:lang w:val="fr-FR"/>
        </w:rPr>
      </w:pPr>
      <w:r w:rsidRPr="00F714B1">
        <w:rPr>
          <w:b/>
          <w:szCs w:val="24"/>
          <w:lang w:val="fr-FR"/>
        </w:rPr>
        <w:t>Trente-s</w:t>
      </w:r>
      <w:r>
        <w:rPr>
          <w:b/>
          <w:szCs w:val="24"/>
          <w:lang w:val="fr-FR"/>
        </w:rPr>
        <w:t>eptième</w:t>
      </w:r>
      <w:r w:rsidRPr="00F714B1">
        <w:rPr>
          <w:b/>
          <w:szCs w:val="24"/>
          <w:lang w:val="fr-FR"/>
        </w:rPr>
        <w:t xml:space="preserve"> </w:t>
      </w:r>
      <w:r w:rsidRPr="00F714B1">
        <w:rPr>
          <w:b/>
          <w:lang w:val="fr-FR"/>
        </w:rPr>
        <w:t>session</w:t>
      </w:r>
    </w:p>
    <w:p w:rsidR="00990024" w:rsidRPr="006C7248" w:rsidRDefault="00990024" w:rsidP="00990024">
      <w:pPr>
        <w:rPr>
          <w:b/>
          <w:bCs/>
        </w:rPr>
      </w:pPr>
      <w:r>
        <w:t>26 February–23 March 2018</w:t>
      </w:r>
    </w:p>
    <w:p w:rsidR="00EA10C4" w:rsidRPr="00F714B1" w:rsidRDefault="00EA10C4" w:rsidP="00EA10C4">
      <w:pPr>
        <w:kinsoku w:val="0"/>
        <w:overflowPunct w:val="0"/>
        <w:autoSpaceDE w:val="0"/>
        <w:autoSpaceDN w:val="0"/>
        <w:adjustRightInd w:val="0"/>
        <w:snapToGrid w:val="0"/>
        <w:rPr>
          <w:lang w:val="fr-FR"/>
        </w:rPr>
      </w:pPr>
      <w:r w:rsidRPr="00F714B1">
        <w:rPr>
          <w:lang w:val="fr-FR"/>
        </w:rPr>
        <w:t>Point 6 de l’ordre du jour</w:t>
      </w:r>
    </w:p>
    <w:p w:rsidR="00EA10C4" w:rsidRPr="00F714B1" w:rsidRDefault="00EA10C4" w:rsidP="00EA10C4">
      <w:pPr>
        <w:kinsoku w:val="0"/>
        <w:overflowPunct w:val="0"/>
        <w:autoSpaceDE w:val="0"/>
        <w:autoSpaceDN w:val="0"/>
        <w:adjustRightInd w:val="0"/>
        <w:snapToGrid w:val="0"/>
        <w:rPr>
          <w:lang w:val="fr-FR"/>
        </w:rPr>
      </w:pPr>
      <w:r w:rsidRPr="00F714B1">
        <w:rPr>
          <w:b/>
          <w:lang w:val="fr-FR"/>
        </w:rPr>
        <w:t>Examen périodique universel</w:t>
      </w:r>
    </w:p>
    <w:p w:rsidR="00EA10C4" w:rsidRPr="00F714B1" w:rsidRDefault="00EA10C4" w:rsidP="00EA10C4">
      <w:pPr>
        <w:keepNext/>
        <w:keepLines/>
        <w:tabs>
          <w:tab w:val="right" w:pos="851"/>
        </w:tabs>
        <w:spacing w:before="360" w:after="240" w:line="300" w:lineRule="exact"/>
        <w:ind w:left="1134" w:right="1134" w:hanging="1134"/>
        <w:rPr>
          <w:b/>
          <w:sz w:val="28"/>
          <w:lang w:val="fr-FR"/>
        </w:rPr>
      </w:pPr>
      <w:r w:rsidRPr="00F714B1">
        <w:rPr>
          <w:b/>
          <w:sz w:val="34"/>
          <w:lang w:val="fr-FR"/>
        </w:rPr>
        <w:lastRenderedPageBreak/>
        <w:tab/>
      </w:r>
      <w:r w:rsidRPr="00F714B1">
        <w:rPr>
          <w:b/>
          <w:sz w:val="34"/>
          <w:lang w:val="fr-FR"/>
        </w:rPr>
        <w:tab/>
      </w:r>
      <w:r w:rsidRPr="00F714B1">
        <w:rPr>
          <w:b/>
          <w:sz w:val="28"/>
          <w:lang w:val="fr-FR"/>
        </w:rPr>
        <w:t xml:space="preserve">Rapport du Groupe de travail </w:t>
      </w:r>
      <w:r w:rsidRPr="00F714B1">
        <w:rPr>
          <w:b/>
          <w:sz w:val="28"/>
          <w:lang w:val="fr-FR"/>
        </w:rPr>
        <w:br/>
        <w:t>sur l’Examen périodique universel</w:t>
      </w:r>
      <w:r w:rsidRPr="00990024">
        <w:rPr>
          <w:lang w:val="fr-FR"/>
        </w:rPr>
        <w:footnoteReference w:customMarkFollows="1" w:id="2"/>
        <w:t>*</w:t>
      </w:r>
    </w:p>
    <w:p w:rsidR="00EA10C4" w:rsidRPr="00F714B1" w:rsidRDefault="00EA10C4" w:rsidP="00EA10C4">
      <w:pPr>
        <w:keepNext/>
        <w:keepLines/>
        <w:tabs>
          <w:tab w:val="right" w:pos="851"/>
        </w:tabs>
        <w:spacing w:before="360" w:after="240" w:line="270" w:lineRule="exact"/>
        <w:ind w:left="1134" w:right="1134" w:hanging="1134"/>
        <w:rPr>
          <w:b/>
          <w:sz w:val="24"/>
          <w:lang w:val="fr-FR"/>
        </w:rPr>
      </w:pPr>
      <w:r>
        <w:rPr>
          <w:b/>
          <w:sz w:val="24"/>
          <w:lang w:val="fr-FR"/>
        </w:rPr>
        <w:tab/>
      </w:r>
      <w:r>
        <w:rPr>
          <w:b/>
          <w:sz w:val="24"/>
          <w:lang w:val="fr-FR"/>
        </w:rPr>
        <w:tab/>
        <w:t>Gabon</w:t>
      </w:r>
    </w:p>
    <w:p w:rsidR="00EA10C4" w:rsidRPr="00F714B1" w:rsidRDefault="00EA10C4" w:rsidP="00EA10C4">
      <w:pPr>
        <w:keepNext/>
        <w:keepLines/>
        <w:tabs>
          <w:tab w:val="right" w:pos="851"/>
        </w:tabs>
        <w:spacing w:before="240" w:after="120" w:line="240" w:lineRule="exact"/>
        <w:ind w:left="1134" w:right="1134" w:hanging="1134"/>
        <w:rPr>
          <w:b/>
          <w:lang w:val="fr-FR"/>
        </w:rPr>
      </w:pPr>
      <w:r w:rsidRPr="00F714B1">
        <w:rPr>
          <w:b/>
          <w:lang w:val="fr-FR"/>
        </w:rPr>
        <w:tab/>
      </w:r>
      <w:r w:rsidRPr="00F714B1">
        <w:rPr>
          <w:b/>
          <w:lang w:val="fr-FR"/>
        </w:rPr>
        <w:tab/>
        <w:t>Additif</w:t>
      </w:r>
    </w:p>
    <w:p w:rsidR="00EA10C4" w:rsidRPr="00F714B1" w:rsidRDefault="00EA10C4" w:rsidP="00EA10C4">
      <w:pPr>
        <w:keepNext/>
        <w:keepLines/>
        <w:tabs>
          <w:tab w:val="right" w:pos="851"/>
        </w:tabs>
        <w:spacing w:before="360" w:after="240" w:line="270" w:lineRule="exact"/>
        <w:ind w:left="1134" w:right="1134" w:hanging="1134"/>
        <w:rPr>
          <w:b/>
          <w:sz w:val="24"/>
          <w:lang w:val="fr-FR"/>
        </w:rPr>
      </w:pPr>
      <w:r w:rsidRPr="00F714B1">
        <w:rPr>
          <w:b/>
          <w:sz w:val="24"/>
          <w:lang w:val="fr-FR"/>
        </w:rPr>
        <w:tab/>
      </w:r>
      <w:r w:rsidRPr="00F714B1">
        <w:rPr>
          <w:b/>
          <w:sz w:val="24"/>
          <w:lang w:val="fr-FR"/>
        </w:rPr>
        <w:tab/>
        <w:t>Observations sur les conclusions et/ou recommandations</w:t>
      </w:r>
      <w:proofErr w:type="gramStart"/>
      <w:r w:rsidRPr="00F714B1">
        <w:rPr>
          <w:b/>
          <w:sz w:val="24"/>
          <w:lang w:val="fr-FR"/>
        </w:rPr>
        <w:t>,</w:t>
      </w:r>
      <w:proofErr w:type="gramEnd"/>
      <w:r w:rsidRPr="00F714B1">
        <w:rPr>
          <w:b/>
          <w:sz w:val="24"/>
          <w:lang w:val="fr-FR"/>
        </w:rPr>
        <w:br/>
        <w:t>engagements et réponses de l’État examiné</w:t>
      </w:r>
    </w:p>
    <w:p w:rsidR="009D6DE2" w:rsidRPr="009D6DE2" w:rsidRDefault="00EA10C4" w:rsidP="00A6688D">
      <w:pPr>
        <w:pStyle w:val="SingleTxtG"/>
        <w:rPr>
          <w:lang w:val="fr-FR"/>
        </w:rPr>
      </w:pPr>
      <w:r w:rsidRPr="00F714B1">
        <w:br w:type="page"/>
      </w:r>
      <w:r w:rsidR="00A6688D">
        <w:lastRenderedPageBreak/>
        <w:t>1.</w:t>
      </w:r>
      <w:r w:rsidR="00A6688D">
        <w:tab/>
      </w:r>
      <w:r w:rsidR="009D6DE2" w:rsidRPr="009D6DE2">
        <w:rPr>
          <w:lang w:val="fr-FR"/>
        </w:rPr>
        <w:t>Le 7 novembre 2017, le Gabon a été soumis à son EPU devant le Conseil des Droits de l’Homme. Au cours de celui-ci, le Ministre d’Etat, Ministre de la Justice, Garde des Sceaux, chargé des Droits Humains a présenté le rapport sous forme d’exposé des motifs, au</w:t>
      </w:r>
      <w:r w:rsidR="009D6DE2">
        <w:rPr>
          <w:lang w:val="fr-FR"/>
        </w:rPr>
        <w:t xml:space="preserve"> Conseil des droits de l’homme.</w:t>
      </w:r>
    </w:p>
    <w:p w:rsidR="009D6DE2" w:rsidRPr="009D6DE2" w:rsidRDefault="00A6688D" w:rsidP="00A6688D">
      <w:pPr>
        <w:pStyle w:val="SingleTxtG"/>
        <w:rPr>
          <w:lang w:val="fr-FR"/>
        </w:rPr>
      </w:pPr>
      <w:r>
        <w:rPr>
          <w:lang w:val="fr-FR"/>
        </w:rPr>
        <w:t>2.</w:t>
      </w:r>
      <w:r>
        <w:rPr>
          <w:lang w:val="fr-FR"/>
        </w:rPr>
        <w:tab/>
      </w:r>
      <w:r w:rsidR="009D6DE2" w:rsidRPr="009D6DE2">
        <w:rPr>
          <w:lang w:val="fr-FR"/>
        </w:rPr>
        <w:t>Puis s’en est suivi le dialogue interactif, dans un esprit constructif, entre les 73 pays inscrits volontairement pour p</w:t>
      </w:r>
      <w:r w:rsidR="009D6DE2">
        <w:rPr>
          <w:lang w:val="fr-FR"/>
        </w:rPr>
        <w:t>articiper au débat et le Gabon.</w:t>
      </w:r>
    </w:p>
    <w:p w:rsidR="009D6DE2" w:rsidRPr="009D6DE2" w:rsidRDefault="00A6688D" w:rsidP="00A6688D">
      <w:pPr>
        <w:pStyle w:val="SingleTxtG"/>
        <w:rPr>
          <w:lang w:val="fr-FR"/>
        </w:rPr>
      </w:pPr>
      <w:r>
        <w:rPr>
          <w:lang w:val="fr-FR"/>
        </w:rPr>
        <w:t>3.</w:t>
      </w:r>
      <w:r>
        <w:rPr>
          <w:lang w:val="fr-FR"/>
        </w:rPr>
        <w:tab/>
      </w:r>
      <w:r w:rsidR="009D6DE2" w:rsidRPr="009D6DE2">
        <w:rPr>
          <w:lang w:val="fr-FR"/>
        </w:rPr>
        <w:t>Le 10 novembre 2017, dans le rapport officiel présenté par le représentant de la Troïka (la Tunisie), il a été relevé que sur les 166 recommandations qui ont été adressées au Gabon, la délégation gabonaise a accepté 129, pris note de 15 recommandations et a décidé de reporter 22 recommandations pour se prononcer là-dessus à la 37</w:t>
      </w:r>
      <w:r w:rsidR="009D6DE2" w:rsidRPr="009D6DE2">
        <w:rPr>
          <w:vertAlign w:val="superscript"/>
          <w:lang w:val="fr-FR"/>
        </w:rPr>
        <w:t>e</w:t>
      </w:r>
      <w:r w:rsidR="009D6DE2" w:rsidRPr="009D6DE2">
        <w:rPr>
          <w:lang w:val="fr-FR"/>
        </w:rPr>
        <w:t xml:space="preserve"> session du Conseil des Droits de l’Homme f</w:t>
      </w:r>
      <w:r w:rsidR="009D6DE2">
        <w:rPr>
          <w:lang w:val="fr-FR"/>
        </w:rPr>
        <w:t>ixée pour le mois de mars 2018.</w:t>
      </w:r>
    </w:p>
    <w:p w:rsidR="009D6DE2" w:rsidRPr="009D6DE2" w:rsidRDefault="00A6688D" w:rsidP="00A6688D">
      <w:pPr>
        <w:pStyle w:val="SingleTxtG"/>
        <w:rPr>
          <w:lang w:val="fr-FR"/>
        </w:rPr>
      </w:pPr>
      <w:r>
        <w:rPr>
          <w:lang w:val="fr-FR"/>
        </w:rPr>
        <w:t>4.</w:t>
      </w:r>
      <w:r>
        <w:rPr>
          <w:lang w:val="fr-FR"/>
        </w:rPr>
        <w:tab/>
      </w:r>
      <w:r w:rsidR="009D6DE2" w:rsidRPr="009D6DE2">
        <w:rPr>
          <w:lang w:val="fr-FR"/>
        </w:rPr>
        <w:t>Cependant, suite à concertation entre les différents acteurs concertés par les droits de l’homme, le gouvernement a encore accepté 14 des recommandations préalablement reportées. C’est ainsi que aujourd’hui des 166 recommandations adressées à notre pays, le Gabon a accepté 143 et noté 23.</w:t>
      </w:r>
    </w:p>
    <w:p w:rsidR="009D6DE2" w:rsidRPr="009D6DE2" w:rsidRDefault="000D3AC3" w:rsidP="000D3AC3">
      <w:pPr>
        <w:pStyle w:val="HChG"/>
        <w:rPr>
          <w:lang w:val="fr-FR"/>
        </w:rPr>
      </w:pPr>
      <w:r>
        <w:rPr>
          <w:lang w:val="fr-FR"/>
        </w:rPr>
        <w:lastRenderedPageBreak/>
        <w:tab/>
      </w:r>
      <w:r>
        <w:rPr>
          <w:lang w:val="fr-FR"/>
        </w:rPr>
        <w:tab/>
      </w:r>
      <w:r w:rsidR="009D6DE2" w:rsidRPr="009D6DE2">
        <w:rPr>
          <w:lang w:val="fr-FR"/>
        </w:rPr>
        <w:t>Liste des recommandations étudiées par le Gabon</w:t>
      </w:r>
      <w:r w:rsidR="009D6DE2">
        <w:rPr>
          <w:lang w:val="fr-FR"/>
        </w:rPr>
        <w:t xml:space="preserve"> aux 166 recommandations </w:t>
      </w:r>
      <w:r w:rsidR="009D6DE2" w:rsidRPr="009D6DE2">
        <w:rPr>
          <w:lang w:val="fr-FR"/>
        </w:rPr>
        <w:t>formulées et position</w:t>
      </w:r>
      <w:r>
        <w:rPr>
          <w:lang w:val="fr-FR"/>
        </w:rPr>
        <w:t xml:space="preserve"> du pays vis-à-vis de celles-ci</w:t>
      </w:r>
    </w:p>
    <w:p w:rsidR="009D6DE2" w:rsidRPr="009D6DE2" w:rsidRDefault="009D6DE2" w:rsidP="000D3AC3">
      <w:pPr>
        <w:pStyle w:val="H1G"/>
      </w:pPr>
      <w:r>
        <w:tab/>
      </w:r>
      <w:r>
        <w:tab/>
      </w:r>
      <w:r w:rsidRPr="009D6DE2">
        <w:t>Recommandations acceptées</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8"/>
        <w:gridCol w:w="1519"/>
        <w:gridCol w:w="3948"/>
      </w:tblGrid>
      <w:tr w:rsidR="009D6DE2" w:rsidRPr="009D6DE2" w:rsidTr="00BE589B">
        <w:trPr>
          <w:tblHeader/>
        </w:trPr>
        <w:tc>
          <w:tcPr>
            <w:tcW w:w="3038" w:type="dxa"/>
            <w:tcBorders>
              <w:top w:val="single" w:sz="4" w:space="0" w:color="auto"/>
              <w:bottom w:val="single" w:sz="12" w:space="0" w:color="auto"/>
            </w:tcBorders>
            <w:shd w:val="clear" w:color="auto" w:fill="auto"/>
            <w:vAlign w:val="bottom"/>
          </w:tcPr>
          <w:p w:rsidR="009D6DE2" w:rsidRPr="009D6DE2" w:rsidRDefault="009D6DE2" w:rsidP="009D6DE2">
            <w:pPr>
              <w:spacing w:before="80" w:after="80" w:line="200" w:lineRule="exact"/>
              <w:ind w:right="113"/>
              <w:rPr>
                <w:i/>
                <w:sz w:val="16"/>
              </w:rPr>
            </w:pPr>
            <w:r>
              <w:rPr>
                <w:i/>
                <w:sz w:val="16"/>
              </w:rPr>
              <w:t>Recommendations</w:t>
            </w:r>
          </w:p>
        </w:tc>
        <w:tc>
          <w:tcPr>
            <w:tcW w:w="1519" w:type="dxa"/>
            <w:tcBorders>
              <w:top w:val="single" w:sz="4" w:space="0" w:color="auto"/>
              <w:bottom w:val="single" w:sz="12" w:space="0" w:color="auto"/>
            </w:tcBorders>
            <w:shd w:val="clear" w:color="auto" w:fill="auto"/>
            <w:vAlign w:val="bottom"/>
          </w:tcPr>
          <w:p w:rsidR="009D6DE2" w:rsidRPr="009D6DE2" w:rsidRDefault="009D6DE2" w:rsidP="009D6DE2">
            <w:pPr>
              <w:spacing w:before="80" w:after="80" w:line="200" w:lineRule="exact"/>
              <w:ind w:right="113"/>
              <w:rPr>
                <w:i/>
                <w:sz w:val="16"/>
              </w:rPr>
            </w:pPr>
            <w:r>
              <w:rPr>
                <w:i/>
                <w:sz w:val="16"/>
              </w:rPr>
              <w:t>Position du Gabon</w:t>
            </w:r>
          </w:p>
        </w:tc>
        <w:tc>
          <w:tcPr>
            <w:tcW w:w="3948" w:type="dxa"/>
            <w:tcBorders>
              <w:top w:val="single" w:sz="4" w:space="0" w:color="auto"/>
              <w:bottom w:val="single" w:sz="12" w:space="0" w:color="auto"/>
            </w:tcBorders>
            <w:shd w:val="clear" w:color="auto" w:fill="auto"/>
            <w:vAlign w:val="bottom"/>
          </w:tcPr>
          <w:p w:rsidR="009D6DE2" w:rsidRPr="009D6DE2" w:rsidRDefault="009D6DE2" w:rsidP="009D6DE2">
            <w:pPr>
              <w:spacing w:before="80" w:after="80" w:line="200" w:lineRule="exact"/>
              <w:ind w:right="113"/>
              <w:rPr>
                <w:i/>
                <w:sz w:val="16"/>
              </w:rPr>
            </w:pPr>
            <w:r>
              <w:rPr>
                <w:i/>
                <w:sz w:val="16"/>
              </w:rPr>
              <w:t>Observations</w:t>
            </w:r>
          </w:p>
        </w:tc>
      </w:tr>
      <w:tr w:rsidR="009D6DE2" w:rsidRPr="009D6DE2" w:rsidTr="00FA053E">
        <w:trPr>
          <w:trHeight w:hRule="exact" w:val="113"/>
        </w:trPr>
        <w:tc>
          <w:tcPr>
            <w:tcW w:w="3038" w:type="dxa"/>
            <w:tcBorders>
              <w:top w:val="single" w:sz="12" w:space="0" w:color="auto"/>
            </w:tcBorders>
            <w:shd w:val="clear" w:color="auto" w:fill="auto"/>
            <w:vAlign w:val="bottom"/>
          </w:tcPr>
          <w:p w:rsidR="009D6DE2" w:rsidRPr="009D6DE2" w:rsidRDefault="009D6DE2" w:rsidP="009D6DE2">
            <w:pPr>
              <w:spacing w:before="80" w:after="80" w:line="200" w:lineRule="exact"/>
              <w:ind w:right="113"/>
              <w:rPr>
                <w:i/>
                <w:sz w:val="16"/>
              </w:rPr>
            </w:pPr>
          </w:p>
        </w:tc>
        <w:tc>
          <w:tcPr>
            <w:tcW w:w="1519" w:type="dxa"/>
            <w:tcBorders>
              <w:top w:val="single" w:sz="12" w:space="0" w:color="auto"/>
            </w:tcBorders>
            <w:shd w:val="clear" w:color="auto" w:fill="auto"/>
            <w:vAlign w:val="bottom"/>
          </w:tcPr>
          <w:p w:rsidR="009D6DE2" w:rsidRPr="009D6DE2" w:rsidRDefault="009D6DE2" w:rsidP="009D6DE2">
            <w:pPr>
              <w:spacing w:before="80" w:after="80" w:line="200" w:lineRule="exact"/>
              <w:ind w:right="113"/>
              <w:rPr>
                <w:i/>
                <w:sz w:val="16"/>
              </w:rPr>
            </w:pPr>
          </w:p>
        </w:tc>
        <w:tc>
          <w:tcPr>
            <w:tcW w:w="3948" w:type="dxa"/>
            <w:tcBorders>
              <w:top w:val="single" w:sz="12" w:space="0" w:color="auto"/>
            </w:tcBorders>
            <w:shd w:val="clear" w:color="auto" w:fill="auto"/>
            <w:vAlign w:val="bottom"/>
          </w:tcPr>
          <w:p w:rsidR="009D6DE2" w:rsidRPr="009D6DE2" w:rsidRDefault="009D6DE2" w:rsidP="009D6DE2">
            <w:pPr>
              <w:spacing w:before="80" w:after="80" w:line="200" w:lineRule="exact"/>
              <w:ind w:right="113"/>
              <w:rPr>
                <w:i/>
                <w:sz w:val="16"/>
              </w:rPr>
            </w:pPr>
          </w:p>
        </w:tc>
      </w:tr>
      <w:tr w:rsidR="009D6DE2" w:rsidRPr="009D6DE2" w:rsidTr="00FA053E">
        <w:tc>
          <w:tcPr>
            <w:tcW w:w="8505" w:type="dxa"/>
            <w:gridSpan w:val="3"/>
            <w:shd w:val="clear" w:color="auto" w:fill="auto"/>
          </w:tcPr>
          <w:p w:rsidR="009D6DE2" w:rsidRPr="009D6DE2" w:rsidRDefault="009D6DE2" w:rsidP="009D6DE2">
            <w:pPr>
              <w:spacing w:before="40" w:after="120"/>
              <w:ind w:right="113"/>
            </w:pPr>
            <w:r>
              <w:t>Thematique 1 : Politique</w:t>
            </w:r>
          </w:p>
        </w:tc>
      </w:tr>
      <w:tr w:rsidR="009D6DE2" w:rsidRPr="009D6DE2" w:rsidTr="00FA053E">
        <w:tc>
          <w:tcPr>
            <w:tcW w:w="3038" w:type="dxa"/>
            <w:shd w:val="clear" w:color="auto" w:fill="auto"/>
          </w:tcPr>
          <w:p w:rsidR="009D6DE2" w:rsidRPr="009D6DE2" w:rsidRDefault="009D6DE2" w:rsidP="00FA053E">
            <w:pPr>
              <w:spacing w:before="40" w:after="120"/>
              <w:ind w:right="113"/>
            </w:pPr>
            <w:r w:rsidRPr="009D6DE2">
              <w:rPr>
                <w:lang w:val="fr-FR"/>
              </w:rPr>
              <w:t>118.1 ;</w:t>
            </w:r>
            <w:r>
              <w:rPr>
                <w:lang w:val="fr-FR"/>
              </w:rPr>
              <w:t xml:space="preserve"> </w:t>
            </w:r>
            <w:r w:rsidRPr="009D6DE2">
              <w:rPr>
                <w:lang w:val="fr-FR"/>
              </w:rPr>
              <w:t>118.2 ;</w:t>
            </w:r>
            <w:r>
              <w:rPr>
                <w:lang w:val="fr-FR"/>
              </w:rPr>
              <w:t xml:space="preserve"> </w:t>
            </w:r>
            <w:r w:rsidRPr="009D6DE2">
              <w:rPr>
                <w:lang w:val="fr-FR"/>
              </w:rPr>
              <w:t>118.3 ;</w:t>
            </w:r>
            <w:r>
              <w:rPr>
                <w:lang w:val="fr-FR"/>
              </w:rPr>
              <w:t xml:space="preserve"> </w:t>
            </w:r>
            <w:r w:rsidRPr="009D6DE2">
              <w:rPr>
                <w:lang w:val="fr-FR"/>
              </w:rPr>
              <w:t>118.4 ;</w:t>
            </w:r>
            <w:r>
              <w:rPr>
                <w:lang w:val="fr-FR"/>
              </w:rPr>
              <w:t xml:space="preserve"> </w:t>
            </w:r>
            <w:r w:rsidRPr="009D6DE2">
              <w:rPr>
                <w:lang w:val="fr-FR"/>
              </w:rPr>
              <w:t>118.5 ;</w:t>
            </w:r>
            <w:r>
              <w:rPr>
                <w:lang w:val="fr-FR"/>
              </w:rPr>
              <w:t xml:space="preserve"> </w:t>
            </w:r>
            <w:r w:rsidRPr="009D6DE2">
              <w:rPr>
                <w:lang w:val="fr-FR"/>
              </w:rPr>
              <w:t>118.6</w:t>
            </w:r>
            <w:r>
              <w:rPr>
                <w:lang w:val="fr-FR"/>
              </w:rPr>
              <w:t xml:space="preserve"> </w:t>
            </w:r>
            <w:r w:rsidRPr="009D6DE2">
              <w:rPr>
                <w:lang w:val="fr-FR"/>
              </w:rPr>
              <w:t>;</w:t>
            </w:r>
            <w:r>
              <w:rPr>
                <w:lang w:val="fr-FR"/>
              </w:rPr>
              <w:t xml:space="preserve"> </w:t>
            </w:r>
            <w:r w:rsidRPr="009D6DE2">
              <w:rPr>
                <w:lang w:val="fr-FR"/>
              </w:rPr>
              <w:t>118.7 ;</w:t>
            </w:r>
            <w:r>
              <w:rPr>
                <w:lang w:val="fr-FR"/>
              </w:rPr>
              <w:t xml:space="preserve"> </w:t>
            </w:r>
            <w:r w:rsidRPr="009D6DE2">
              <w:rPr>
                <w:lang w:val="fr-FR"/>
              </w:rPr>
              <w:t>118.8 ;</w:t>
            </w:r>
            <w:r>
              <w:rPr>
                <w:lang w:val="fr-FR"/>
              </w:rPr>
              <w:t xml:space="preserve"> </w:t>
            </w:r>
            <w:r w:rsidRPr="009D6DE2">
              <w:rPr>
                <w:lang w:val="fr-FR"/>
              </w:rPr>
              <w:t>119.1</w:t>
            </w:r>
            <w:r w:rsidR="00FA053E" w:rsidRPr="00FA053E">
              <w:rPr>
                <w:lang w:val="fr-FR"/>
              </w:rPr>
              <w:t> </w:t>
            </w:r>
            <w:r w:rsidRPr="009D6DE2">
              <w:rPr>
                <w:lang w:val="fr-FR"/>
              </w:rPr>
              <w:t>;</w:t>
            </w:r>
            <w:r>
              <w:rPr>
                <w:lang w:val="fr-FR"/>
              </w:rPr>
              <w:t xml:space="preserve"> </w:t>
            </w:r>
            <w:r w:rsidRPr="009D6DE2">
              <w:rPr>
                <w:lang w:val="fr-FR"/>
              </w:rPr>
              <w:t>119.2</w:t>
            </w:r>
            <w:r w:rsidR="00FA053E">
              <w:rPr>
                <w:lang w:val="fr-FR"/>
              </w:rPr>
              <w:t>.</w:t>
            </w:r>
          </w:p>
        </w:tc>
        <w:tc>
          <w:tcPr>
            <w:tcW w:w="1519" w:type="dxa"/>
            <w:shd w:val="clear" w:color="auto" w:fill="auto"/>
          </w:tcPr>
          <w:p w:rsidR="009D6DE2" w:rsidRPr="009D6DE2" w:rsidRDefault="009D6DE2" w:rsidP="009D6DE2">
            <w:pPr>
              <w:spacing w:before="40" w:after="120"/>
              <w:ind w:right="113"/>
            </w:pPr>
            <w:r>
              <w:t>Acceptées</w:t>
            </w:r>
          </w:p>
        </w:tc>
        <w:tc>
          <w:tcPr>
            <w:tcW w:w="3948" w:type="dxa"/>
            <w:shd w:val="clear" w:color="auto" w:fill="auto"/>
          </w:tcPr>
          <w:p w:rsidR="009D6DE2" w:rsidRPr="009D6DE2" w:rsidRDefault="009D6DE2" w:rsidP="009D6DE2">
            <w:pPr>
              <w:spacing w:before="40" w:after="120"/>
              <w:ind w:right="113"/>
              <w:rPr>
                <w:lang w:val="fr-FR"/>
              </w:rPr>
            </w:pPr>
            <w:r w:rsidRPr="009D6DE2">
              <w:rPr>
                <w:lang w:val="fr-FR"/>
              </w:rPr>
              <w:t>Nommés lors du Conseil des Ministres du 27 octobre 2017, les membres de la structure ayant pour mission de suivre et d’évaluer la mise en place des conclusions du Dialogue Politique ont démarré leurs activités le 14 décembre 2017. Cette Commission ad hoc paritaire en charge du suivi-évaluation des Actes du Dialogue politique (CAPSEAD) est chargée de procéder à la vérification de la traduction en texte législatifs et réglementaires des résolutions adoptées de manière consensuelle par les représentants de la classe politique nationale. S’agissant par exemple du volet ‘</w:t>
            </w:r>
            <w:r w:rsidR="00FA053E" w:rsidRPr="00FA053E">
              <w:rPr>
                <w:lang w:val="fr-FR"/>
              </w:rPr>
              <w:t>‘</w:t>
            </w:r>
            <w:r w:rsidRPr="009D6DE2">
              <w:rPr>
                <w:lang w:val="fr-FR"/>
              </w:rPr>
              <w:t xml:space="preserve">Réforme des institutions et consolidation de l’Etat de droit démocratique’’, la CAPSEAD va, entre autres, s’atteler à définir les modalités politiques de désignation des membres de la Cour constitutionnelle, procéder à la finalisation de la réflexion sur la </w:t>
            </w:r>
            <w:r w:rsidRPr="009D6DE2">
              <w:rPr>
                <w:lang w:val="fr-FR"/>
              </w:rPr>
              <w:lastRenderedPageBreak/>
              <w:t>qualité des membres du Conseil National de la Démocratie, etc.</w:t>
            </w:r>
          </w:p>
          <w:p w:rsidR="009D6DE2" w:rsidRPr="009D6DE2" w:rsidRDefault="009D6DE2" w:rsidP="00FA053E">
            <w:pPr>
              <w:spacing w:before="40"/>
              <w:ind w:right="113"/>
              <w:rPr>
                <w:lang w:val="fr-FR"/>
              </w:rPr>
            </w:pPr>
            <w:r w:rsidRPr="009D6DE2">
              <w:rPr>
                <w:lang w:val="fr-FR"/>
              </w:rPr>
              <w:t xml:space="preserve">Le 26 janvier 2018, le Conseil des Ministres a adopté les quatre </w:t>
            </w:r>
            <w:r>
              <w:rPr>
                <w:lang w:val="fr-FR"/>
              </w:rPr>
              <w:t>projets d’ordonnance suivants :</w:t>
            </w:r>
          </w:p>
          <w:p w:rsidR="009D6DE2" w:rsidRPr="00FA053E" w:rsidRDefault="009D6DE2" w:rsidP="00FA053E">
            <w:pPr>
              <w:numPr>
                <w:ilvl w:val="0"/>
                <w:numId w:val="25"/>
              </w:numPr>
              <w:tabs>
                <w:tab w:val="clear" w:pos="720"/>
                <w:tab w:val="num" w:pos="263"/>
              </w:tabs>
              <w:spacing w:before="40"/>
              <w:ind w:left="263" w:right="113" w:hanging="284"/>
              <w:rPr>
                <w:lang w:val="fr-FR"/>
              </w:rPr>
            </w:pPr>
            <w:r w:rsidRPr="00FA053E">
              <w:rPr>
                <w:lang w:val="fr-FR"/>
              </w:rPr>
              <w:t>le projet d’ordonnance modifiant et complétant la loi n°7/96 du 12 mars 1996 portant dispositions communes à toutes les élections politiques. Cette ordonnance vient matérialiser les recommandations issues du Dialogue politique, notamment celles relatives aux réformes électorales, en vue d’améliorer les conditions d’organisation des élections politiques ;</w:t>
            </w:r>
          </w:p>
          <w:p w:rsidR="009D6DE2" w:rsidRPr="00FA053E" w:rsidRDefault="009D6DE2" w:rsidP="00FA053E">
            <w:pPr>
              <w:numPr>
                <w:ilvl w:val="0"/>
                <w:numId w:val="25"/>
              </w:numPr>
              <w:tabs>
                <w:tab w:val="clear" w:pos="720"/>
                <w:tab w:val="num" w:pos="263"/>
              </w:tabs>
              <w:spacing w:before="40"/>
              <w:ind w:left="263" w:right="113" w:hanging="284"/>
              <w:rPr>
                <w:lang w:val="fr-FR"/>
              </w:rPr>
            </w:pPr>
            <w:r w:rsidRPr="00FA053E">
              <w:rPr>
                <w:lang w:val="fr-FR"/>
              </w:rPr>
              <w:t>le projet d’ordonnance portant modification de certaines dispositions de la loi organique n°11/96 du 15 avril 1996 relative à l’élection des députés à l’Assemblée nationale. Ce projet de texte consacre les modifications qui répondent aux recommandations du Dialogue politique relatives à l’élection des Députés à l’Assemblée Nationale, à savoir : l’adoption du scrutin majoritaire, uninominale à deux tours, l’augmentation des sièges des députés, l’adoption du principe du cumul des mandats sans cumul des rémunérations ;</w:t>
            </w:r>
          </w:p>
          <w:p w:rsidR="009D6DE2" w:rsidRPr="00FA053E" w:rsidRDefault="009D6DE2" w:rsidP="00FA053E">
            <w:pPr>
              <w:numPr>
                <w:ilvl w:val="0"/>
                <w:numId w:val="25"/>
              </w:numPr>
              <w:tabs>
                <w:tab w:val="clear" w:pos="720"/>
                <w:tab w:val="num" w:pos="263"/>
              </w:tabs>
              <w:spacing w:before="40"/>
              <w:ind w:left="263" w:right="113" w:hanging="284"/>
              <w:rPr>
                <w:lang w:val="fr-FR"/>
              </w:rPr>
            </w:pPr>
            <w:r w:rsidRPr="00FA053E">
              <w:rPr>
                <w:lang w:val="fr-FR"/>
              </w:rPr>
              <w:t xml:space="preserve">le Projet d’ordonnance portant fixation et répartition des sièges de Députés par Province, Département et Commune. Ce texte prend en compte les recommandations du dialogue politique et les circonscriptions nouvellement créées. Aussi dispose t-il que </w:t>
            </w:r>
            <w:r w:rsidRPr="00FA053E">
              <w:rPr>
                <w:lang w:val="fr-FR"/>
              </w:rPr>
              <w:lastRenderedPageBreak/>
              <w:t>le nombre de sièges de députés passe de 120 à 143, soit une augmentation de 23 sièges ;</w:t>
            </w:r>
          </w:p>
          <w:p w:rsidR="009D6DE2" w:rsidRPr="009D6DE2" w:rsidRDefault="009D6DE2" w:rsidP="00FA053E">
            <w:pPr>
              <w:numPr>
                <w:ilvl w:val="0"/>
                <w:numId w:val="25"/>
              </w:numPr>
              <w:tabs>
                <w:tab w:val="clear" w:pos="720"/>
                <w:tab w:val="num" w:pos="263"/>
              </w:tabs>
              <w:spacing w:before="40" w:after="120"/>
              <w:ind w:left="263" w:right="113" w:hanging="284"/>
              <w:rPr>
                <w:lang w:val="fr-FR"/>
              </w:rPr>
            </w:pPr>
            <w:r w:rsidRPr="009D6DE2">
              <w:rPr>
                <w:lang w:val="fr-FR"/>
              </w:rPr>
              <w:t>le projet d’ordonnance modifiant certaines dispositions de la loi n°17/96 du 15 avril 1996 portant dispositions spéciales à l’élection des Députés à l’Assemblée Nationale.</w:t>
            </w:r>
          </w:p>
          <w:p w:rsidR="009D6DE2" w:rsidRPr="009D6DE2" w:rsidRDefault="009D6DE2" w:rsidP="009D6DE2">
            <w:pPr>
              <w:spacing w:before="40" w:after="120"/>
              <w:ind w:right="113"/>
              <w:rPr>
                <w:lang w:val="fr-FR"/>
              </w:rPr>
            </w:pPr>
            <w:proofErr w:type="gramStart"/>
            <w:r w:rsidRPr="009D6DE2">
              <w:rPr>
                <w:lang w:val="fr-FR"/>
              </w:rPr>
              <w:t>S’agissant de la poursuite des activités de renforcement des capacités et de formation aux droits de l’homme à l’intention des forces de défense et de sécurité en recourant à la coopération Sud-Sud, il convient de rappeler que depuis ces dernières années, les formations en droits de l’homme sont organisées à l’intension des forces de défenses et de sécurité par les organisations gouvernementales (ministère de la justice, la Commission nationale des droits de l’homme et la Commission nationale pour les réfugiés) et par des organisations non étatiques (Unicef, HCR, OIPC Interpol et le CICR) à l’occasion soit de la célébration des journées internationales, soit de la mise en œuvre d’un plan d’action sectoriel.</w:t>
            </w:r>
            <w:proofErr w:type="gramEnd"/>
          </w:p>
          <w:p w:rsidR="009D6DE2" w:rsidRPr="009D6DE2" w:rsidRDefault="009D6DE2" w:rsidP="009D6DE2">
            <w:pPr>
              <w:spacing w:before="40" w:after="120"/>
              <w:ind w:right="113"/>
            </w:pPr>
            <w:r w:rsidRPr="009D6DE2">
              <w:rPr>
                <w:lang w:val="fr-FR"/>
              </w:rPr>
              <w:t xml:space="preserve">Cette année, le gouvernement a décidé d’intégrer dans les curricula de l’enseignement des écoles de profession militaire de la gendarmerie nationale, les droits de l’homme dans leurs multiples facettes. Notons qu’il est enseigné dans cette école, les cours de maintien de la paix ainsi que le droit international humanitaire au profit des militaires en </w:t>
            </w:r>
            <w:r w:rsidRPr="009D6DE2">
              <w:rPr>
                <w:lang w:val="fr-FR"/>
              </w:rPr>
              <w:lastRenderedPageBreak/>
              <w:t>provenance de Madagascar, du Togo, du Mali, du Bénin et de la Cote d’Ivoire</w:t>
            </w:r>
          </w:p>
        </w:tc>
      </w:tr>
      <w:tr w:rsidR="00FA053E" w:rsidRPr="009D6DE2" w:rsidTr="00C34536">
        <w:tc>
          <w:tcPr>
            <w:tcW w:w="8505" w:type="dxa"/>
            <w:gridSpan w:val="3"/>
            <w:shd w:val="clear" w:color="auto" w:fill="auto"/>
          </w:tcPr>
          <w:p w:rsidR="00FA053E" w:rsidRPr="009D6DE2" w:rsidRDefault="00FA053E" w:rsidP="009D6DE2">
            <w:pPr>
              <w:spacing w:before="40" w:after="120"/>
              <w:ind w:right="113"/>
            </w:pPr>
            <w:r>
              <w:lastRenderedPageBreak/>
              <w:t>Thématique 2 : Ratification</w:t>
            </w:r>
          </w:p>
        </w:tc>
      </w:tr>
      <w:tr w:rsidR="009D6DE2" w:rsidRPr="009D6DE2" w:rsidTr="00FA053E">
        <w:tc>
          <w:tcPr>
            <w:tcW w:w="3038" w:type="dxa"/>
            <w:shd w:val="clear" w:color="auto" w:fill="auto"/>
          </w:tcPr>
          <w:p w:rsidR="009D6DE2" w:rsidRPr="009D6DE2" w:rsidRDefault="00FA053E" w:rsidP="00FA053E">
            <w:pPr>
              <w:spacing w:before="40" w:after="120"/>
              <w:ind w:right="113"/>
            </w:pPr>
            <w:r w:rsidRPr="00FA053E">
              <w:rPr>
                <w:lang w:val="fr-FR"/>
              </w:rPr>
              <w:t>118.9 ;</w:t>
            </w:r>
            <w:r>
              <w:rPr>
                <w:lang w:val="fr-FR"/>
              </w:rPr>
              <w:t xml:space="preserve"> </w:t>
            </w:r>
            <w:r w:rsidRPr="00FA053E">
              <w:rPr>
                <w:lang w:val="fr-FR"/>
              </w:rPr>
              <w:t>118.10 ;</w:t>
            </w:r>
            <w:r>
              <w:rPr>
                <w:lang w:val="fr-FR"/>
              </w:rPr>
              <w:t xml:space="preserve"> </w:t>
            </w:r>
            <w:r w:rsidRPr="00FA053E">
              <w:rPr>
                <w:lang w:val="fr-FR"/>
              </w:rPr>
              <w:t>118.11 ;</w:t>
            </w:r>
            <w:r>
              <w:rPr>
                <w:lang w:val="fr-FR"/>
              </w:rPr>
              <w:t xml:space="preserve"> </w:t>
            </w:r>
            <w:r w:rsidRPr="00FA053E">
              <w:rPr>
                <w:lang w:val="fr-FR"/>
              </w:rPr>
              <w:t>118.12 ;</w:t>
            </w:r>
            <w:r>
              <w:rPr>
                <w:lang w:val="fr-FR"/>
              </w:rPr>
              <w:t xml:space="preserve"> </w:t>
            </w:r>
            <w:r w:rsidRPr="00FA053E">
              <w:rPr>
                <w:lang w:val="fr-FR"/>
              </w:rPr>
              <w:t>118.13 ;</w:t>
            </w:r>
            <w:r>
              <w:rPr>
                <w:lang w:val="fr-FR"/>
              </w:rPr>
              <w:t xml:space="preserve"> </w:t>
            </w:r>
            <w:r w:rsidRPr="00FA053E">
              <w:rPr>
                <w:lang w:val="fr-FR"/>
              </w:rPr>
              <w:t>118.14 ;</w:t>
            </w:r>
            <w:r>
              <w:rPr>
                <w:lang w:val="fr-FR"/>
              </w:rPr>
              <w:t xml:space="preserve"> </w:t>
            </w:r>
            <w:r w:rsidRPr="00FA053E">
              <w:rPr>
                <w:lang w:val="fr-FR"/>
              </w:rPr>
              <w:t>118.15 ;</w:t>
            </w:r>
            <w:r>
              <w:rPr>
                <w:lang w:val="fr-FR"/>
              </w:rPr>
              <w:t xml:space="preserve"> 118.16.</w:t>
            </w:r>
          </w:p>
        </w:tc>
        <w:tc>
          <w:tcPr>
            <w:tcW w:w="1519" w:type="dxa"/>
            <w:shd w:val="clear" w:color="auto" w:fill="auto"/>
          </w:tcPr>
          <w:p w:rsidR="009D6DE2" w:rsidRPr="009D6DE2" w:rsidRDefault="00FA053E" w:rsidP="009D6DE2">
            <w:pPr>
              <w:spacing w:before="40" w:after="120"/>
              <w:ind w:right="113"/>
            </w:pPr>
            <w:r>
              <w:t>Acceptées</w:t>
            </w:r>
          </w:p>
        </w:tc>
        <w:tc>
          <w:tcPr>
            <w:tcW w:w="3948" w:type="dxa"/>
            <w:shd w:val="clear" w:color="auto" w:fill="auto"/>
          </w:tcPr>
          <w:p w:rsidR="009D6DE2" w:rsidRPr="009D6DE2" w:rsidRDefault="009D6DE2" w:rsidP="009D6DE2">
            <w:pPr>
              <w:spacing w:before="40" w:after="120"/>
              <w:ind w:right="113"/>
            </w:pPr>
          </w:p>
        </w:tc>
      </w:tr>
      <w:tr w:rsidR="00FA053E" w:rsidRPr="009D6DE2" w:rsidTr="00D93ECE">
        <w:tc>
          <w:tcPr>
            <w:tcW w:w="8505" w:type="dxa"/>
            <w:gridSpan w:val="3"/>
            <w:shd w:val="clear" w:color="auto" w:fill="auto"/>
          </w:tcPr>
          <w:p w:rsidR="00FA053E" w:rsidRPr="009D6DE2" w:rsidRDefault="00FA053E" w:rsidP="009D6DE2">
            <w:pPr>
              <w:spacing w:before="40" w:after="120"/>
              <w:ind w:right="113"/>
            </w:pPr>
            <w:r>
              <w:t>Thématique 3 : Législation</w:t>
            </w:r>
          </w:p>
        </w:tc>
      </w:tr>
      <w:tr w:rsidR="009D6DE2" w:rsidRPr="009D6DE2" w:rsidTr="00FA053E">
        <w:tc>
          <w:tcPr>
            <w:tcW w:w="3038" w:type="dxa"/>
            <w:shd w:val="clear" w:color="auto" w:fill="auto"/>
          </w:tcPr>
          <w:p w:rsidR="009D6DE2" w:rsidRPr="009D6DE2" w:rsidRDefault="00FA053E" w:rsidP="00FA053E">
            <w:pPr>
              <w:spacing w:before="40" w:after="120"/>
              <w:ind w:right="113"/>
            </w:pPr>
            <w:r w:rsidRPr="00FA053E">
              <w:rPr>
                <w:lang w:val="fr-FR"/>
              </w:rPr>
              <w:t>118.17</w:t>
            </w:r>
            <w:r>
              <w:rPr>
                <w:lang w:val="fr-FR"/>
              </w:rPr>
              <w:t xml:space="preserve"> </w:t>
            </w:r>
            <w:r w:rsidRPr="00FA053E">
              <w:rPr>
                <w:lang w:val="fr-FR"/>
              </w:rPr>
              <w:t>;</w:t>
            </w:r>
            <w:r>
              <w:rPr>
                <w:lang w:val="fr-FR"/>
              </w:rPr>
              <w:t xml:space="preserve"> </w:t>
            </w:r>
            <w:r w:rsidRPr="00FA053E">
              <w:rPr>
                <w:lang w:val="fr-FR"/>
              </w:rPr>
              <w:t>118.18 ;</w:t>
            </w:r>
            <w:r>
              <w:rPr>
                <w:lang w:val="fr-FR"/>
              </w:rPr>
              <w:t xml:space="preserve"> </w:t>
            </w:r>
            <w:r w:rsidRPr="00FA053E">
              <w:rPr>
                <w:lang w:val="fr-FR"/>
              </w:rPr>
              <w:t>118.19 ;</w:t>
            </w:r>
            <w:r>
              <w:rPr>
                <w:lang w:val="fr-FR"/>
              </w:rPr>
              <w:t xml:space="preserve"> </w:t>
            </w:r>
            <w:r w:rsidRPr="00FA053E">
              <w:rPr>
                <w:lang w:val="fr-FR"/>
              </w:rPr>
              <w:t>118.20 ;</w:t>
            </w:r>
            <w:r>
              <w:rPr>
                <w:lang w:val="fr-FR"/>
              </w:rPr>
              <w:t xml:space="preserve"> </w:t>
            </w:r>
            <w:r w:rsidRPr="00FA053E">
              <w:rPr>
                <w:lang w:val="fr-FR"/>
              </w:rPr>
              <w:t xml:space="preserve">118.21 ; 118.22 ; </w:t>
            </w:r>
            <w:r>
              <w:rPr>
                <w:lang w:val="fr-FR"/>
              </w:rPr>
              <w:t>118.23 ; 118.24.</w:t>
            </w:r>
          </w:p>
        </w:tc>
        <w:tc>
          <w:tcPr>
            <w:tcW w:w="1519" w:type="dxa"/>
            <w:shd w:val="clear" w:color="auto" w:fill="auto"/>
          </w:tcPr>
          <w:p w:rsidR="009D6DE2" w:rsidRPr="009D6DE2" w:rsidRDefault="00FA053E" w:rsidP="009D6DE2">
            <w:pPr>
              <w:spacing w:before="40" w:after="120"/>
              <w:ind w:right="113"/>
            </w:pPr>
            <w:r>
              <w:t>Acceptées</w:t>
            </w:r>
          </w:p>
        </w:tc>
        <w:tc>
          <w:tcPr>
            <w:tcW w:w="3948" w:type="dxa"/>
            <w:shd w:val="clear" w:color="auto" w:fill="auto"/>
          </w:tcPr>
          <w:p w:rsidR="009D6DE2" w:rsidRPr="009D6DE2" w:rsidRDefault="009D6DE2" w:rsidP="009D6DE2">
            <w:pPr>
              <w:spacing w:before="40" w:after="120"/>
              <w:ind w:right="113"/>
            </w:pPr>
          </w:p>
        </w:tc>
      </w:tr>
      <w:tr w:rsidR="00FA053E" w:rsidRPr="009D6DE2" w:rsidTr="00841F2D">
        <w:tc>
          <w:tcPr>
            <w:tcW w:w="8505" w:type="dxa"/>
            <w:gridSpan w:val="3"/>
            <w:shd w:val="clear" w:color="auto" w:fill="auto"/>
          </w:tcPr>
          <w:p w:rsidR="00FA053E" w:rsidRPr="009D6DE2" w:rsidRDefault="00FA053E" w:rsidP="009D6DE2">
            <w:pPr>
              <w:spacing w:before="40" w:after="120"/>
              <w:ind w:right="113"/>
            </w:pPr>
            <w:r>
              <w:t>Thématique 4 : Prévention de la torture</w:t>
            </w:r>
          </w:p>
        </w:tc>
      </w:tr>
      <w:tr w:rsidR="009D6DE2" w:rsidRPr="009D6DE2" w:rsidTr="00FA053E">
        <w:tc>
          <w:tcPr>
            <w:tcW w:w="3038" w:type="dxa"/>
            <w:shd w:val="clear" w:color="auto" w:fill="auto"/>
          </w:tcPr>
          <w:p w:rsidR="009D6DE2" w:rsidRPr="009D6DE2" w:rsidRDefault="00FA053E" w:rsidP="00FA053E">
            <w:pPr>
              <w:spacing w:before="40" w:after="120"/>
              <w:ind w:right="113"/>
            </w:pPr>
            <w:r w:rsidRPr="00FA053E">
              <w:rPr>
                <w:lang w:val="fr-FR"/>
              </w:rPr>
              <w:t>118.25 ;</w:t>
            </w:r>
            <w:r>
              <w:rPr>
                <w:lang w:val="fr-FR"/>
              </w:rPr>
              <w:t xml:space="preserve"> </w:t>
            </w:r>
            <w:r w:rsidRPr="00FA053E">
              <w:rPr>
                <w:lang w:val="fr-FR"/>
              </w:rPr>
              <w:t>118.26 ;</w:t>
            </w:r>
            <w:r>
              <w:rPr>
                <w:lang w:val="fr-FR"/>
              </w:rPr>
              <w:t xml:space="preserve"> </w:t>
            </w:r>
            <w:r w:rsidRPr="00FA053E">
              <w:rPr>
                <w:lang w:val="fr-FR"/>
              </w:rPr>
              <w:t>118.27 ;</w:t>
            </w:r>
            <w:r>
              <w:rPr>
                <w:lang w:val="fr-FR"/>
              </w:rPr>
              <w:t xml:space="preserve"> </w:t>
            </w:r>
            <w:r w:rsidRPr="00FA053E">
              <w:rPr>
                <w:lang w:val="fr-FR"/>
              </w:rPr>
              <w:t>118.28 ;</w:t>
            </w:r>
            <w:r>
              <w:rPr>
                <w:lang w:val="fr-FR"/>
              </w:rPr>
              <w:t xml:space="preserve"> 118.29 ; 118.30.</w:t>
            </w:r>
          </w:p>
        </w:tc>
        <w:tc>
          <w:tcPr>
            <w:tcW w:w="1519" w:type="dxa"/>
            <w:shd w:val="clear" w:color="auto" w:fill="auto"/>
          </w:tcPr>
          <w:p w:rsidR="009D6DE2" w:rsidRPr="009D6DE2" w:rsidRDefault="00FA053E" w:rsidP="009D6DE2">
            <w:pPr>
              <w:spacing w:before="40" w:after="120"/>
              <w:ind w:right="113"/>
            </w:pPr>
            <w:r>
              <w:t>Acceptées</w:t>
            </w:r>
          </w:p>
        </w:tc>
        <w:tc>
          <w:tcPr>
            <w:tcW w:w="3948" w:type="dxa"/>
            <w:shd w:val="clear" w:color="auto" w:fill="auto"/>
          </w:tcPr>
          <w:p w:rsidR="009D6DE2" w:rsidRPr="009D6DE2" w:rsidRDefault="009D6DE2" w:rsidP="009D6DE2">
            <w:pPr>
              <w:spacing w:before="40" w:after="120"/>
              <w:ind w:right="113"/>
            </w:pPr>
          </w:p>
        </w:tc>
      </w:tr>
      <w:tr w:rsidR="00FA053E" w:rsidRPr="009D6DE2" w:rsidTr="001F1606">
        <w:tc>
          <w:tcPr>
            <w:tcW w:w="8505" w:type="dxa"/>
            <w:gridSpan w:val="3"/>
            <w:shd w:val="clear" w:color="auto" w:fill="auto"/>
          </w:tcPr>
          <w:p w:rsidR="00FA053E" w:rsidRPr="009D6DE2" w:rsidRDefault="00FA053E" w:rsidP="009D6DE2">
            <w:pPr>
              <w:spacing w:before="40" w:after="120"/>
              <w:ind w:right="113"/>
            </w:pPr>
            <w:r>
              <w:t>Thématique 5 : Administration de la justice</w:t>
            </w:r>
          </w:p>
        </w:tc>
      </w:tr>
      <w:tr w:rsidR="009D6DE2" w:rsidRPr="009D6DE2" w:rsidTr="00FA053E">
        <w:tc>
          <w:tcPr>
            <w:tcW w:w="3038" w:type="dxa"/>
            <w:shd w:val="clear" w:color="auto" w:fill="auto"/>
          </w:tcPr>
          <w:p w:rsidR="009D6DE2" w:rsidRPr="009D6DE2" w:rsidRDefault="00FA053E" w:rsidP="009D6DE2">
            <w:pPr>
              <w:spacing w:before="40" w:after="120"/>
              <w:ind w:right="113"/>
            </w:pPr>
            <w:r w:rsidRPr="00FA053E">
              <w:rPr>
                <w:lang w:val="fr-FR"/>
              </w:rPr>
              <w:t>118.31 ; 118.32 ; 118.33 ; 118.34 ; 118.35 ; 118.36 ; 118.37 ; 118.38 ; 118.39 ; 118.40 ; 118.41 ; 118.42</w:t>
            </w:r>
            <w:r w:rsidR="000472C3">
              <w:rPr>
                <w:lang w:val="fr-FR"/>
              </w:rPr>
              <w:t>.</w:t>
            </w:r>
          </w:p>
        </w:tc>
        <w:tc>
          <w:tcPr>
            <w:tcW w:w="1519" w:type="dxa"/>
            <w:shd w:val="clear" w:color="auto" w:fill="auto"/>
          </w:tcPr>
          <w:p w:rsidR="009D6DE2" w:rsidRPr="009D6DE2" w:rsidRDefault="000472C3" w:rsidP="009D6DE2">
            <w:pPr>
              <w:spacing w:before="40" w:after="120"/>
              <w:ind w:right="113"/>
            </w:pPr>
            <w:r w:rsidRPr="000472C3">
              <w:t>Acceptées</w:t>
            </w:r>
          </w:p>
        </w:tc>
        <w:tc>
          <w:tcPr>
            <w:tcW w:w="3948" w:type="dxa"/>
            <w:shd w:val="clear" w:color="auto" w:fill="auto"/>
          </w:tcPr>
          <w:p w:rsidR="009D6DE2" w:rsidRPr="009D6DE2" w:rsidRDefault="009D6DE2" w:rsidP="009D6DE2">
            <w:pPr>
              <w:spacing w:before="40" w:after="120"/>
              <w:ind w:right="113"/>
            </w:pPr>
          </w:p>
        </w:tc>
      </w:tr>
      <w:tr w:rsidR="000472C3" w:rsidRPr="009D6DE2" w:rsidTr="00F76EE2">
        <w:tc>
          <w:tcPr>
            <w:tcW w:w="8505" w:type="dxa"/>
            <w:gridSpan w:val="3"/>
            <w:shd w:val="clear" w:color="auto" w:fill="auto"/>
          </w:tcPr>
          <w:p w:rsidR="000472C3" w:rsidRPr="009D6DE2" w:rsidRDefault="000472C3" w:rsidP="009D6DE2">
            <w:pPr>
              <w:spacing w:before="40" w:after="120"/>
              <w:ind w:right="113"/>
            </w:pPr>
            <w:r>
              <w:t>Thématique 6 : Traite</w:t>
            </w:r>
          </w:p>
        </w:tc>
      </w:tr>
      <w:tr w:rsidR="009D6DE2" w:rsidRPr="009D6DE2" w:rsidTr="00FA053E">
        <w:tc>
          <w:tcPr>
            <w:tcW w:w="3038" w:type="dxa"/>
            <w:shd w:val="clear" w:color="auto" w:fill="auto"/>
          </w:tcPr>
          <w:p w:rsidR="009D6DE2" w:rsidRPr="009D6DE2" w:rsidRDefault="000472C3" w:rsidP="009D6DE2">
            <w:pPr>
              <w:spacing w:before="40" w:after="120"/>
              <w:ind w:right="113"/>
            </w:pPr>
            <w:r w:rsidRPr="000472C3">
              <w:rPr>
                <w:lang w:val="fr-FR"/>
              </w:rPr>
              <w:t>118.43 ; 118.44 ; 118.45 ; 118.46 ; 118.47 ; 118.48 ; 118.49 ; 118.50 ; 118.51 ; 118.52 ; 118.53 ; 118.54 ; 118.55 ; 118.56 ; 118.57 ; 118.58 ; 118.59 ; 118.60 ; 118.61</w:t>
            </w:r>
            <w:r>
              <w:rPr>
                <w:lang w:val="fr-FR"/>
              </w:rPr>
              <w:t>.</w:t>
            </w:r>
          </w:p>
        </w:tc>
        <w:tc>
          <w:tcPr>
            <w:tcW w:w="1519" w:type="dxa"/>
            <w:shd w:val="clear" w:color="auto" w:fill="auto"/>
          </w:tcPr>
          <w:p w:rsidR="009D6DE2" w:rsidRPr="009D6DE2" w:rsidRDefault="000472C3" w:rsidP="009D6DE2">
            <w:pPr>
              <w:spacing w:before="40" w:after="120"/>
              <w:ind w:right="113"/>
            </w:pPr>
            <w:r w:rsidRPr="000472C3">
              <w:t>Acceptées</w:t>
            </w:r>
          </w:p>
        </w:tc>
        <w:tc>
          <w:tcPr>
            <w:tcW w:w="3948" w:type="dxa"/>
            <w:shd w:val="clear" w:color="auto" w:fill="auto"/>
          </w:tcPr>
          <w:p w:rsidR="009D6DE2" w:rsidRPr="009D6DE2" w:rsidRDefault="009D6DE2" w:rsidP="009D6DE2">
            <w:pPr>
              <w:spacing w:before="40" w:after="120"/>
              <w:ind w:right="113"/>
            </w:pPr>
          </w:p>
        </w:tc>
      </w:tr>
      <w:tr w:rsidR="000472C3" w:rsidRPr="009D6DE2" w:rsidTr="00C94D08">
        <w:tc>
          <w:tcPr>
            <w:tcW w:w="8505" w:type="dxa"/>
            <w:gridSpan w:val="3"/>
            <w:shd w:val="clear" w:color="auto" w:fill="auto"/>
          </w:tcPr>
          <w:p w:rsidR="000472C3" w:rsidRPr="009D6DE2" w:rsidRDefault="000472C3" w:rsidP="009D6DE2">
            <w:pPr>
              <w:spacing w:before="40" w:after="120"/>
              <w:ind w:right="113"/>
            </w:pPr>
            <w:r>
              <w:t>Thématique 7 : Discrimination</w:t>
            </w:r>
          </w:p>
        </w:tc>
      </w:tr>
      <w:tr w:rsidR="009D6DE2" w:rsidRPr="009D6DE2" w:rsidTr="00FA053E">
        <w:tc>
          <w:tcPr>
            <w:tcW w:w="3038" w:type="dxa"/>
            <w:shd w:val="clear" w:color="auto" w:fill="auto"/>
          </w:tcPr>
          <w:p w:rsidR="009D6DE2" w:rsidRPr="009D6DE2" w:rsidRDefault="000472C3" w:rsidP="009D6DE2">
            <w:pPr>
              <w:spacing w:before="40" w:after="120"/>
              <w:ind w:right="113"/>
            </w:pPr>
            <w:r w:rsidRPr="000472C3">
              <w:rPr>
                <w:lang w:val="fr-FR"/>
              </w:rPr>
              <w:t>118.62 ; 118.63 ; 118.64 ; 118.65 ; 118.66 ; 118.67 ; 118.68 ; 118.69</w:t>
            </w:r>
            <w:r>
              <w:rPr>
                <w:lang w:val="fr-FR"/>
              </w:rPr>
              <w:t>.</w:t>
            </w:r>
          </w:p>
        </w:tc>
        <w:tc>
          <w:tcPr>
            <w:tcW w:w="1519" w:type="dxa"/>
            <w:shd w:val="clear" w:color="auto" w:fill="auto"/>
          </w:tcPr>
          <w:p w:rsidR="009D6DE2" w:rsidRPr="009D6DE2" w:rsidRDefault="000472C3" w:rsidP="009D6DE2">
            <w:pPr>
              <w:spacing w:before="40" w:after="120"/>
              <w:ind w:right="113"/>
            </w:pPr>
            <w:r>
              <w:t>Acceptées</w:t>
            </w:r>
          </w:p>
        </w:tc>
        <w:tc>
          <w:tcPr>
            <w:tcW w:w="3948" w:type="dxa"/>
            <w:shd w:val="clear" w:color="auto" w:fill="auto"/>
          </w:tcPr>
          <w:p w:rsidR="009D6DE2" w:rsidRPr="009D6DE2" w:rsidRDefault="009D6DE2" w:rsidP="009D6DE2">
            <w:pPr>
              <w:spacing w:before="40" w:after="120"/>
              <w:ind w:right="113"/>
            </w:pPr>
          </w:p>
        </w:tc>
      </w:tr>
      <w:tr w:rsidR="000472C3" w:rsidRPr="009D6DE2" w:rsidTr="00723396">
        <w:tc>
          <w:tcPr>
            <w:tcW w:w="8505" w:type="dxa"/>
            <w:gridSpan w:val="3"/>
            <w:shd w:val="clear" w:color="auto" w:fill="auto"/>
          </w:tcPr>
          <w:p w:rsidR="000472C3" w:rsidRPr="009D6DE2" w:rsidRDefault="000472C3" w:rsidP="009D6DE2">
            <w:pPr>
              <w:spacing w:before="40" w:after="120"/>
              <w:ind w:right="113"/>
            </w:pPr>
            <w:r>
              <w:t xml:space="preserve">Thématique 8 : </w:t>
            </w:r>
            <w:r w:rsidRPr="000472C3">
              <w:rPr>
                <w:lang w:val="fr-FR"/>
              </w:rPr>
              <w:t>Droits des femmes et égalité de genre</w:t>
            </w:r>
          </w:p>
        </w:tc>
      </w:tr>
      <w:tr w:rsidR="009D6DE2" w:rsidRPr="009D6DE2" w:rsidTr="00FA053E">
        <w:tc>
          <w:tcPr>
            <w:tcW w:w="3038" w:type="dxa"/>
            <w:shd w:val="clear" w:color="auto" w:fill="auto"/>
          </w:tcPr>
          <w:p w:rsidR="009D6DE2" w:rsidRPr="009D6DE2" w:rsidRDefault="000472C3" w:rsidP="000472C3">
            <w:pPr>
              <w:spacing w:before="40" w:after="120"/>
              <w:ind w:right="113"/>
            </w:pPr>
            <w:r w:rsidRPr="000472C3">
              <w:rPr>
                <w:lang w:val="fr-FR"/>
              </w:rPr>
              <w:t xml:space="preserve">118.70 ; 118.71 ; 118.72 ; 118.73 ; 118.74 ; 118.75 ; 118.76 ; 118.77 ; </w:t>
            </w:r>
            <w:r w:rsidRPr="000472C3">
              <w:rPr>
                <w:lang w:val="fr-FR"/>
              </w:rPr>
              <w:lastRenderedPageBreak/>
              <w:t>118.78 ; 118.79 ; 118.80 ; 118.81 ; 118.82 ; 118.83 ; 118.84</w:t>
            </w:r>
            <w:r>
              <w:rPr>
                <w:lang w:val="fr-FR"/>
              </w:rPr>
              <w:t>.</w:t>
            </w:r>
          </w:p>
        </w:tc>
        <w:tc>
          <w:tcPr>
            <w:tcW w:w="1519" w:type="dxa"/>
            <w:shd w:val="clear" w:color="auto" w:fill="auto"/>
          </w:tcPr>
          <w:p w:rsidR="009D6DE2" w:rsidRPr="009D6DE2" w:rsidRDefault="000472C3" w:rsidP="009D6DE2">
            <w:pPr>
              <w:spacing w:before="40" w:after="120"/>
              <w:ind w:right="113"/>
            </w:pPr>
            <w:r>
              <w:lastRenderedPageBreak/>
              <w:t>Acceptées</w:t>
            </w:r>
          </w:p>
        </w:tc>
        <w:tc>
          <w:tcPr>
            <w:tcW w:w="3948" w:type="dxa"/>
            <w:shd w:val="clear" w:color="auto" w:fill="auto"/>
          </w:tcPr>
          <w:p w:rsidR="009D6DE2" w:rsidRPr="009D6DE2" w:rsidRDefault="009D6DE2" w:rsidP="009D6DE2">
            <w:pPr>
              <w:spacing w:before="40" w:after="120"/>
              <w:ind w:right="113"/>
            </w:pPr>
          </w:p>
        </w:tc>
      </w:tr>
      <w:tr w:rsidR="009D6DE2" w:rsidRPr="009D6DE2" w:rsidTr="00FA053E">
        <w:tc>
          <w:tcPr>
            <w:tcW w:w="3038" w:type="dxa"/>
            <w:shd w:val="clear" w:color="auto" w:fill="auto"/>
          </w:tcPr>
          <w:p w:rsidR="009D6DE2" w:rsidRPr="009D6DE2" w:rsidRDefault="000472C3" w:rsidP="009D6DE2">
            <w:pPr>
              <w:spacing w:before="40" w:after="120"/>
              <w:ind w:right="113"/>
            </w:pPr>
            <w:r>
              <w:lastRenderedPageBreak/>
              <w:t>Thématique 9 : Droits de l’enfant</w:t>
            </w:r>
          </w:p>
        </w:tc>
        <w:tc>
          <w:tcPr>
            <w:tcW w:w="1519" w:type="dxa"/>
            <w:shd w:val="clear" w:color="auto" w:fill="auto"/>
          </w:tcPr>
          <w:p w:rsidR="009D6DE2" w:rsidRPr="009D6DE2" w:rsidRDefault="009D6DE2" w:rsidP="009D6DE2">
            <w:pPr>
              <w:spacing w:before="40" w:after="120"/>
              <w:ind w:right="113"/>
            </w:pPr>
          </w:p>
        </w:tc>
        <w:tc>
          <w:tcPr>
            <w:tcW w:w="3948" w:type="dxa"/>
            <w:shd w:val="clear" w:color="auto" w:fill="auto"/>
          </w:tcPr>
          <w:p w:rsidR="009D6DE2" w:rsidRPr="009D6DE2" w:rsidRDefault="009D6DE2" w:rsidP="009D6DE2">
            <w:pPr>
              <w:spacing w:before="40" w:after="120"/>
              <w:ind w:right="113"/>
            </w:pPr>
          </w:p>
        </w:tc>
      </w:tr>
      <w:tr w:rsidR="009D6DE2" w:rsidRPr="009D6DE2" w:rsidTr="00FA053E">
        <w:tc>
          <w:tcPr>
            <w:tcW w:w="3038" w:type="dxa"/>
            <w:shd w:val="clear" w:color="auto" w:fill="auto"/>
          </w:tcPr>
          <w:p w:rsidR="009D6DE2" w:rsidRPr="009D6DE2" w:rsidRDefault="000472C3" w:rsidP="000472C3">
            <w:pPr>
              <w:spacing w:before="40" w:after="120"/>
              <w:ind w:right="113"/>
            </w:pPr>
            <w:r>
              <w:rPr>
                <w:lang w:val="fr-FR"/>
              </w:rPr>
              <w:t>118.85 ; 118.86 ; 118.87 ; 118</w:t>
            </w:r>
            <w:r w:rsidRPr="000472C3">
              <w:rPr>
                <w:lang w:val="fr-FR"/>
              </w:rPr>
              <w:t>.88 ; 118.89 ; 118.90 ; 118.</w:t>
            </w:r>
            <w:r>
              <w:rPr>
                <w:lang w:val="fr-FR"/>
              </w:rPr>
              <w:t>91 ; 118.92 ; 118.93 ; 118</w:t>
            </w:r>
            <w:r w:rsidRPr="000472C3">
              <w:rPr>
                <w:lang w:val="fr-FR"/>
              </w:rPr>
              <w:t>.94</w:t>
            </w:r>
            <w:r>
              <w:rPr>
                <w:lang w:val="fr-FR"/>
              </w:rPr>
              <w:t>.</w:t>
            </w:r>
          </w:p>
        </w:tc>
        <w:tc>
          <w:tcPr>
            <w:tcW w:w="1519" w:type="dxa"/>
            <w:shd w:val="clear" w:color="auto" w:fill="auto"/>
          </w:tcPr>
          <w:p w:rsidR="009D6DE2" w:rsidRPr="009D6DE2" w:rsidRDefault="000472C3" w:rsidP="009D6DE2">
            <w:pPr>
              <w:spacing w:before="40" w:after="120"/>
              <w:ind w:right="113"/>
            </w:pPr>
            <w:r w:rsidRPr="000472C3">
              <w:t>Acceptées</w:t>
            </w:r>
          </w:p>
        </w:tc>
        <w:tc>
          <w:tcPr>
            <w:tcW w:w="3948" w:type="dxa"/>
            <w:shd w:val="clear" w:color="auto" w:fill="auto"/>
          </w:tcPr>
          <w:p w:rsidR="000472C3" w:rsidRPr="000472C3" w:rsidRDefault="000472C3" w:rsidP="000472C3">
            <w:pPr>
              <w:spacing w:before="40"/>
              <w:ind w:right="113"/>
              <w:rPr>
                <w:lang w:val="fr-FR"/>
              </w:rPr>
            </w:pPr>
            <w:r w:rsidRPr="000472C3">
              <w:rPr>
                <w:lang w:val="fr-FR"/>
              </w:rPr>
              <w:t>Dans le prolongement des activités retenues pour la célébration de la « Journée internationale des droits de l’enfant, édition 2017 », le Gouvernement a organisé du 29 novembre au 05 décembre 2017, des sessions de sensibilisation sur la protection des droits des droits des enfants victimes de violences multiformes dans les établissements scolaires publics et privés de la commune de Mouila. L’objectif principal de cette activité était de donner les outils techniques en vue de la maîtrise de la démarche administrative appropriée pour la prévention et la lutte contre les violences sur les enfants en milieu scolaire. Les chefs d’établissements, les surveillants généraux et les enseignants d’instruction civique ont constitué la population cible. Cette activité menée en partenariat avec le parquet de Mouila a eu pour conséquences :</w:t>
            </w:r>
          </w:p>
          <w:p w:rsidR="000472C3" w:rsidRDefault="000472C3" w:rsidP="00874C83">
            <w:pPr>
              <w:pStyle w:val="Bullet1G"/>
              <w:tabs>
                <w:tab w:val="clear" w:pos="1701"/>
                <w:tab w:val="num" w:pos="121"/>
              </w:tabs>
              <w:spacing w:after="0"/>
              <w:ind w:left="263" w:hanging="284"/>
              <w:jc w:val="left"/>
              <w:rPr>
                <w:lang w:val="fr-FR"/>
              </w:rPr>
            </w:pPr>
            <w:r w:rsidRPr="000472C3">
              <w:rPr>
                <w:lang w:val="fr-FR"/>
              </w:rPr>
              <w:t>la formation d’une fédération de tous les chefs d’établissement de la province de la Ngounié ;</w:t>
            </w:r>
          </w:p>
          <w:p w:rsidR="000472C3" w:rsidRPr="000472C3" w:rsidRDefault="000472C3" w:rsidP="00874C83">
            <w:pPr>
              <w:pStyle w:val="Bullet1G"/>
              <w:tabs>
                <w:tab w:val="clear" w:pos="1701"/>
                <w:tab w:val="num" w:pos="121"/>
              </w:tabs>
              <w:ind w:left="121" w:hanging="142"/>
              <w:jc w:val="left"/>
              <w:rPr>
                <w:lang w:val="fr-FR"/>
              </w:rPr>
            </w:pPr>
            <w:r w:rsidRPr="000472C3">
              <w:rPr>
                <w:lang w:val="fr-FR"/>
              </w:rPr>
              <w:t>l’arrestation du propriétaire d’une pharmacie de la ville de Mouila ainsi que la fermeture de ladite pharmacie.</w:t>
            </w:r>
          </w:p>
          <w:p w:rsidR="009D6DE2" w:rsidRPr="009D6DE2" w:rsidRDefault="000472C3" w:rsidP="00874C83">
            <w:pPr>
              <w:spacing w:before="40" w:after="120"/>
              <w:ind w:right="113"/>
            </w:pPr>
            <w:r w:rsidRPr="000472C3">
              <w:rPr>
                <w:lang w:val="fr-FR"/>
              </w:rPr>
              <w:t xml:space="preserve">Le 19 décembre 2017, une délégation conduite par le Ministre de l’éducation nationale et comprenant des administratifs, des psychologues-conseillers d’orientation et des médecins a lancé la caravane de sensibilisation </w:t>
            </w:r>
            <w:r w:rsidRPr="000472C3">
              <w:rPr>
                <w:lang w:val="fr-FR"/>
              </w:rPr>
              <w:lastRenderedPageBreak/>
              <w:t>aux violences en milieu scolaire. A cet effet, les autorités éducatives ont parcouru plusieurs établissements secondaires de Libreville et de Mouila en appelant les élèves à dire stop aux violences en milieu scolaire et au mésusage des médicaments.</w:t>
            </w:r>
          </w:p>
        </w:tc>
      </w:tr>
      <w:tr w:rsidR="000472C3" w:rsidRPr="009D6DE2" w:rsidTr="004A62AB">
        <w:tc>
          <w:tcPr>
            <w:tcW w:w="8505" w:type="dxa"/>
            <w:gridSpan w:val="3"/>
            <w:shd w:val="clear" w:color="auto" w:fill="auto"/>
          </w:tcPr>
          <w:p w:rsidR="000472C3" w:rsidRPr="009D6DE2" w:rsidRDefault="000472C3" w:rsidP="009D6DE2">
            <w:pPr>
              <w:spacing w:before="40" w:after="120"/>
              <w:ind w:right="113"/>
            </w:pPr>
            <w:r>
              <w:lastRenderedPageBreak/>
              <w:t>Thématique 10 : Liberté d’expression</w:t>
            </w:r>
          </w:p>
        </w:tc>
      </w:tr>
      <w:tr w:rsidR="009D6DE2" w:rsidRPr="009D6DE2" w:rsidTr="00FA053E">
        <w:tc>
          <w:tcPr>
            <w:tcW w:w="3038" w:type="dxa"/>
            <w:shd w:val="clear" w:color="auto" w:fill="auto"/>
          </w:tcPr>
          <w:p w:rsidR="009D6DE2" w:rsidRPr="009D6DE2" w:rsidRDefault="000472C3" w:rsidP="009D6DE2">
            <w:pPr>
              <w:spacing w:before="40" w:after="120"/>
              <w:ind w:right="113"/>
            </w:pPr>
            <w:r w:rsidRPr="000472C3">
              <w:rPr>
                <w:lang w:val="fr-FR"/>
              </w:rPr>
              <w:t>118.95 ; 118.96 ; 118.97 ; 118.98 ; 118.99 ; 118.100 ; 118.101 ; 118.102 ; 118.103 ; 118.104 ; 118.105</w:t>
            </w:r>
            <w:r>
              <w:rPr>
                <w:lang w:val="fr-FR"/>
              </w:rPr>
              <w:t>.</w:t>
            </w:r>
          </w:p>
        </w:tc>
        <w:tc>
          <w:tcPr>
            <w:tcW w:w="1519" w:type="dxa"/>
            <w:shd w:val="clear" w:color="auto" w:fill="auto"/>
          </w:tcPr>
          <w:p w:rsidR="009D6DE2" w:rsidRPr="009D6DE2" w:rsidRDefault="000472C3" w:rsidP="009D6DE2">
            <w:pPr>
              <w:spacing w:before="40" w:after="120"/>
              <w:ind w:right="113"/>
            </w:pPr>
            <w:r w:rsidRPr="000472C3">
              <w:t>Acceptées</w:t>
            </w:r>
          </w:p>
        </w:tc>
        <w:tc>
          <w:tcPr>
            <w:tcW w:w="3948" w:type="dxa"/>
            <w:shd w:val="clear" w:color="auto" w:fill="auto"/>
          </w:tcPr>
          <w:p w:rsidR="009D6DE2" w:rsidRPr="009D6DE2" w:rsidRDefault="009D6DE2" w:rsidP="009D6DE2">
            <w:pPr>
              <w:spacing w:before="40" w:after="120"/>
              <w:ind w:right="113"/>
            </w:pPr>
          </w:p>
        </w:tc>
      </w:tr>
      <w:tr w:rsidR="000472C3" w:rsidRPr="009D6DE2" w:rsidTr="00665AEC">
        <w:tc>
          <w:tcPr>
            <w:tcW w:w="8505" w:type="dxa"/>
            <w:gridSpan w:val="3"/>
            <w:shd w:val="clear" w:color="auto" w:fill="auto"/>
          </w:tcPr>
          <w:p w:rsidR="000472C3" w:rsidRPr="009D6DE2" w:rsidRDefault="000472C3" w:rsidP="009D6DE2">
            <w:pPr>
              <w:spacing w:before="40" w:after="120"/>
              <w:ind w:right="113"/>
            </w:pPr>
            <w:r>
              <w:t>Thématique 11 : Lutte contre la pauvreté</w:t>
            </w:r>
          </w:p>
        </w:tc>
      </w:tr>
      <w:tr w:rsidR="009D6DE2" w:rsidRPr="009D6DE2" w:rsidTr="00FA053E">
        <w:tc>
          <w:tcPr>
            <w:tcW w:w="3038" w:type="dxa"/>
            <w:shd w:val="clear" w:color="auto" w:fill="auto"/>
          </w:tcPr>
          <w:p w:rsidR="009D6DE2" w:rsidRPr="009D6DE2" w:rsidRDefault="000472C3" w:rsidP="009D6DE2">
            <w:pPr>
              <w:spacing w:before="40" w:after="120"/>
              <w:ind w:right="113"/>
            </w:pPr>
            <w:r w:rsidRPr="000472C3">
              <w:rPr>
                <w:lang w:val="fr-FR"/>
              </w:rPr>
              <w:t>118.106 ; 118.107 ; 118.108 ; 118.109 ; 118.110 ; 118.111</w:t>
            </w:r>
            <w:r>
              <w:rPr>
                <w:lang w:val="fr-FR"/>
              </w:rPr>
              <w:t>.</w:t>
            </w:r>
          </w:p>
        </w:tc>
        <w:tc>
          <w:tcPr>
            <w:tcW w:w="1519" w:type="dxa"/>
            <w:shd w:val="clear" w:color="auto" w:fill="auto"/>
          </w:tcPr>
          <w:p w:rsidR="009D6DE2" w:rsidRPr="009D6DE2" w:rsidRDefault="000472C3" w:rsidP="009D6DE2">
            <w:pPr>
              <w:spacing w:before="40" w:after="120"/>
              <w:ind w:right="113"/>
            </w:pPr>
            <w:r w:rsidRPr="000472C3">
              <w:t>Acceptées</w:t>
            </w:r>
          </w:p>
        </w:tc>
        <w:tc>
          <w:tcPr>
            <w:tcW w:w="3948" w:type="dxa"/>
            <w:shd w:val="clear" w:color="auto" w:fill="auto"/>
          </w:tcPr>
          <w:p w:rsidR="009D6DE2" w:rsidRPr="009D6DE2" w:rsidRDefault="009D6DE2" w:rsidP="009D6DE2">
            <w:pPr>
              <w:spacing w:before="40" w:after="120"/>
              <w:ind w:right="113"/>
            </w:pPr>
          </w:p>
        </w:tc>
      </w:tr>
      <w:tr w:rsidR="000472C3" w:rsidRPr="009D6DE2" w:rsidTr="00A37F3D">
        <w:tc>
          <w:tcPr>
            <w:tcW w:w="8505" w:type="dxa"/>
            <w:gridSpan w:val="3"/>
            <w:shd w:val="clear" w:color="auto" w:fill="auto"/>
          </w:tcPr>
          <w:p w:rsidR="000472C3" w:rsidRPr="009D6DE2" w:rsidRDefault="000472C3" w:rsidP="009D6DE2">
            <w:pPr>
              <w:spacing w:before="40" w:after="120"/>
              <w:ind w:right="113"/>
            </w:pPr>
            <w:r>
              <w:t>Thématique 12 : Droits à la santé</w:t>
            </w:r>
          </w:p>
        </w:tc>
      </w:tr>
      <w:tr w:rsidR="009D6DE2" w:rsidRPr="009D6DE2" w:rsidTr="00FA053E">
        <w:tc>
          <w:tcPr>
            <w:tcW w:w="3038" w:type="dxa"/>
            <w:shd w:val="clear" w:color="auto" w:fill="auto"/>
          </w:tcPr>
          <w:p w:rsidR="009D6DE2" w:rsidRPr="009D6DE2" w:rsidRDefault="000472C3" w:rsidP="009D6DE2">
            <w:pPr>
              <w:spacing w:before="40" w:after="120"/>
              <w:ind w:right="113"/>
            </w:pPr>
            <w:r w:rsidRPr="000472C3">
              <w:rPr>
                <w:lang w:val="fr-FR"/>
              </w:rPr>
              <w:t>118.112 ; 118.113 ; 118.114 ; 118.115 ; 118.116 ; 118.117 ; 118.118</w:t>
            </w:r>
            <w:r>
              <w:rPr>
                <w:lang w:val="fr-FR"/>
              </w:rPr>
              <w:t>.</w:t>
            </w:r>
          </w:p>
        </w:tc>
        <w:tc>
          <w:tcPr>
            <w:tcW w:w="1519" w:type="dxa"/>
            <w:shd w:val="clear" w:color="auto" w:fill="auto"/>
          </w:tcPr>
          <w:p w:rsidR="009D6DE2" w:rsidRPr="009D6DE2" w:rsidRDefault="000472C3" w:rsidP="009D6DE2">
            <w:pPr>
              <w:spacing w:before="40" w:after="120"/>
              <w:ind w:right="113"/>
            </w:pPr>
            <w:r w:rsidRPr="000472C3">
              <w:t>Acceptées</w:t>
            </w:r>
          </w:p>
        </w:tc>
        <w:tc>
          <w:tcPr>
            <w:tcW w:w="3948" w:type="dxa"/>
            <w:shd w:val="clear" w:color="auto" w:fill="auto"/>
          </w:tcPr>
          <w:p w:rsidR="000472C3" w:rsidRPr="000472C3" w:rsidRDefault="000472C3" w:rsidP="008A6CEE">
            <w:pPr>
              <w:spacing w:before="40"/>
              <w:ind w:right="113"/>
              <w:rPr>
                <w:lang w:val="fr-FR"/>
              </w:rPr>
            </w:pPr>
            <w:r w:rsidRPr="000472C3">
              <w:rPr>
                <w:lang w:val="fr-FR"/>
              </w:rPr>
              <w:t>Concernant la mise en place des cliniques mobiles dans chacune des provinces de notre pays, il s’agira de :</w:t>
            </w:r>
          </w:p>
          <w:p w:rsidR="000472C3" w:rsidRPr="000472C3" w:rsidRDefault="000472C3" w:rsidP="00874C83">
            <w:pPr>
              <w:pStyle w:val="Bullet1G"/>
              <w:tabs>
                <w:tab w:val="clear" w:pos="1701"/>
                <w:tab w:val="num" w:pos="121"/>
              </w:tabs>
              <w:spacing w:after="0"/>
              <w:ind w:left="121" w:hanging="142"/>
              <w:jc w:val="left"/>
              <w:rPr>
                <w:lang w:val="fr-FR"/>
              </w:rPr>
            </w:pPr>
            <w:r w:rsidRPr="000472C3">
              <w:rPr>
                <w:lang w:val="fr-FR"/>
              </w:rPr>
              <w:t>la constitution d’une flotte de bus médicalisés, de type 4X4, disposant des équipements nécessaires pour réaliser des soins d’urgence et de base ; consultations, gynécologie, mini-laboratoire, ophtalmologie, pédiatrie, petite chirurgie, activité de prévention et de dépistage ;</w:t>
            </w:r>
          </w:p>
          <w:p w:rsidR="000472C3" w:rsidRPr="000472C3" w:rsidRDefault="000472C3" w:rsidP="00874C83">
            <w:pPr>
              <w:pStyle w:val="Bullet1G"/>
              <w:tabs>
                <w:tab w:val="clear" w:pos="1701"/>
                <w:tab w:val="num" w:pos="121"/>
              </w:tabs>
              <w:spacing w:after="0"/>
              <w:ind w:left="121" w:hanging="142"/>
              <w:jc w:val="left"/>
              <w:rPr>
                <w:lang w:val="fr-FR"/>
              </w:rPr>
            </w:pPr>
            <w:r w:rsidRPr="000472C3">
              <w:rPr>
                <w:lang w:val="fr-FR"/>
              </w:rPr>
              <w:t>la mise en place d’un dispositif médical sécuritaire ;</w:t>
            </w:r>
          </w:p>
          <w:p w:rsidR="000472C3" w:rsidRPr="000472C3" w:rsidRDefault="000472C3" w:rsidP="00874C83">
            <w:pPr>
              <w:pStyle w:val="Bullet1G"/>
              <w:tabs>
                <w:tab w:val="clear" w:pos="1701"/>
                <w:tab w:val="num" w:pos="121"/>
              </w:tabs>
              <w:ind w:left="121" w:hanging="142"/>
              <w:jc w:val="left"/>
              <w:rPr>
                <w:lang w:val="fr-FR"/>
              </w:rPr>
            </w:pPr>
            <w:r w:rsidRPr="000472C3">
              <w:rPr>
                <w:lang w:val="fr-FR"/>
              </w:rPr>
              <w:lastRenderedPageBreak/>
              <w:t>l’affectation du personnel médical et des auxiliaires de santé.</w:t>
            </w:r>
          </w:p>
          <w:p w:rsidR="000472C3" w:rsidRPr="000472C3" w:rsidRDefault="000472C3" w:rsidP="008A6CEE">
            <w:pPr>
              <w:spacing w:before="40"/>
              <w:ind w:right="113"/>
              <w:rPr>
                <w:lang w:val="fr-FR"/>
              </w:rPr>
            </w:pPr>
            <w:r w:rsidRPr="000472C3">
              <w:rPr>
                <w:lang w:val="fr-FR"/>
              </w:rPr>
              <w:t>La mise en place d’un programme de gratuité des frais d’accouchement sur toute l’étendue du territoire national à partir du premier trimestre 2018 avec :</w:t>
            </w:r>
          </w:p>
          <w:p w:rsidR="000472C3" w:rsidRPr="000472C3" w:rsidRDefault="000472C3" w:rsidP="00874C83">
            <w:pPr>
              <w:pStyle w:val="Bullet1G"/>
              <w:tabs>
                <w:tab w:val="clear" w:pos="1701"/>
                <w:tab w:val="num" w:pos="121"/>
              </w:tabs>
              <w:spacing w:after="0"/>
              <w:ind w:left="121" w:hanging="142"/>
              <w:jc w:val="left"/>
              <w:rPr>
                <w:lang w:val="fr-FR"/>
              </w:rPr>
            </w:pPr>
            <w:r w:rsidRPr="000472C3">
              <w:rPr>
                <w:lang w:val="fr-FR"/>
              </w:rPr>
              <w:t>la détermination de la population cible : la cible va au-delà des affiliés de la CNAMGS ;</w:t>
            </w:r>
          </w:p>
          <w:p w:rsidR="000472C3" w:rsidRPr="000472C3" w:rsidRDefault="000472C3" w:rsidP="00874C83">
            <w:pPr>
              <w:pStyle w:val="Bullet1G"/>
              <w:tabs>
                <w:tab w:val="clear" w:pos="1701"/>
                <w:tab w:val="num" w:pos="121"/>
              </w:tabs>
              <w:spacing w:after="0"/>
              <w:ind w:left="121" w:hanging="142"/>
              <w:jc w:val="left"/>
              <w:rPr>
                <w:lang w:val="fr-FR"/>
              </w:rPr>
            </w:pPr>
            <w:r w:rsidRPr="000472C3">
              <w:rPr>
                <w:lang w:val="fr-FR"/>
              </w:rPr>
              <w:t>les textes juridiques à prendre pour conférer une base légale à la mesure ;</w:t>
            </w:r>
          </w:p>
          <w:p w:rsidR="000472C3" w:rsidRPr="000472C3" w:rsidRDefault="000472C3" w:rsidP="00874C83">
            <w:pPr>
              <w:pStyle w:val="Bullet1G"/>
              <w:tabs>
                <w:tab w:val="clear" w:pos="1701"/>
                <w:tab w:val="num" w:pos="121"/>
              </w:tabs>
              <w:spacing w:after="0"/>
              <w:ind w:left="121" w:hanging="142"/>
              <w:jc w:val="left"/>
              <w:rPr>
                <w:lang w:val="fr-FR"/>
              </w:rPr>
            </w:pPr>
            <w:r w:rsidRPr="000472C3">
              <w:rPr>
                <w:lang w:val="fr-FR"/>
              </w:rPr>
              <w:t>l’évaluation de l’incidence budgétaire ;</w:t>
            </w:r>
          </w:p>
          <w:p w:rsidR="000472C3" w:rsidRPr="000472C3" w:rsidRDefault="000472C3" w:rsidP="00874C83">
            <w:pPr>
              <w:pStyle w:val="Bullet1G"/>
              <w:tabs>
                <w:tab w:val="clear" w:pos="1701"/>
                <w:tab w:val="num" w:pos="121"/>
              </w:tabs>
              <w:spacing w:after="0"/>
              <w:ind w:left="121" w:hanging="142"/>
              <w:jc w:val="left"/>
              <w:rPr>
                <w:lang w:val="fr-FR"/>
              </w:rPr>
            </w:pPr>
            <w:r w:rsidRPr="000472C3">
              <w:rPr>
                <w:lang w:val="fr-FR"/>
              </w:rPr>
              <w:t>le renforcement du dispositif actuellement mis en œuvre par la CNAMGS ;</w:t>
            </w:r>
          </w:p>
          <w:p w:rsidR="000472C3" w:rsidRPr="000472C3" w:rsidRDefault="000472C3" w:rsidP="00874C83">
            <w:pPr>
              <w:pStyle w:val="Bullet1G"/>
              <w:tabs>
                <w:tab w:val="clear" w:pos="1701"/>
                <w:tab w:val="num" w:pos="121"/>
              </w:tabs>
              <w:spacing w:after="0"/>
              <w:ind w:left="121" w:hanging="142"/>
              <w:jc w:val="left"/>
              <w:rPr>
                <w:lang w:val="fr-FR"/>
              </w:rPr>
            </w:pPr>
            <w:r w:rsidRPr="000472C3">
              <w:rPr>
                <w:lang w:val="fr-FR"/>
              </w:rPr>
              <w:t>la définition du paquet complémentaire qui peut intégrer l’alimentation des nourrissons de mères infectées par le VIH/SIDA, les layettes, les moustiquaires imprégnées, etc. ;</w:t>
            </w:r>
          </w:p>
          <w:p w:rsidR="000472C3" w:rsidRPr="000472C3" w:rsidRDefault="000472C3" w:rsidP="00874C83">
            <w:pPr>
              <w:pStyle w:val="Bullet1G"/>
              <w:tabs>
                <w:tab w:val="clear" w:pos="1701"/>
                <w:tab w:val="num" w:pos="121"/>
              </w:tabs>
              <w:spacing w:after="0"/>
              <w:ind w:left="121" w:hanging="142"/>
              <w:jc w:val="left"/>
              <w:rPr>
                <w:lang w:val="fr-FR"/>
              </w:rPr>
            </w:pPr>
            <w:r w:rsidRPr="000472C3">
              <w:rPr>
                <w:lang w:val="fr-FR"/>
              </w:rPr>
              <w:t>le renforcement des capacités d’accueil (lits, équipement et médicaments) ;</w:t>
            </w:r>
          </w:p>
          <w:p w:rsidR="000472C3" w:rsidRPr="000472C3" w:rsidRDefault="000472C3" w:rsidP="00874C83">
            <w:pPr>
              <w:pStyle w:val="Bullet1G"/>
              <w:tabs>
                <w:tab w:val="clear" w:pos="1701"/>
                <w:tab w:val="num" w:pos="121"/>
              </w:tabs>
              <w:ind w:left="121" w:hanging="142"/>
              <w:jc w:val="left"/>
              <w:rPr>
                <w:lang w:val="fr-FR"/>
              </w:rPr>
            </w:pPr>
            <w:r w:rsidRPr="000472C3">
              <w:rPr>
                <w:lang w:val="fr-FR"/>
              </w:rPr>
              <w:t>la campagne de communication et de sensibilisation des structures hospitalières (principalement les maternités).</w:t>
            </w:r>
          </w:p>
          <w:p w:rsidR="000472C3" w:rsidRPr="000472C3" w:rsidRDefault="000472C3" w:rsidP="008A6CEE">
            <w:pPr>
              <w:spacing w:before="40"/>
              <w:ind w:right="113"/>
              <w:rPr>
                <w:lang w:val="fr-FR"/>
              </w:rPr>
            </w:pPr>
            <w:r w:rsidRPr="000472C3">
              <w:rPr>
                <w:lang w:val="fr-FR"/>
              </w:rPr>
              <w:t>Dans cette logique, le 26 janvier 2018, le Conseil des Ministres a adopté les deux p</w:t>
            </w:r>
            <w:r w:rsidR="008A6CEE">
              <w:rPr>
                <w:lang w:val="fr-FR"/>
              </w:rPr>
              <w:t>rojets de décrets suivants :</w:t>
            </w:r>
          </w:p>
          <w:p w:rsidR="008A6CEE" w:rsidRPr="008A6CEE" w:rsidRDefault="000472C3" w:rsidP="008A6CEE">
            <w:pPr>
              <w:numPr>
                <w:ilvl w:val="0"/>
                <w:numId w:val="28"/>
              </w:numPr>
              <w:tabs>
                <w:tab w:val="clear" w:pos="720"/>
                <w:tab w:val="num" w:pos="263"/>
              </w:tabs>
              <w:spacing w:before="40"/>
              <w:ind w:left="263" w:right="113" w:hanging="284"/>
            </w:pPr>
            <w:r w:rsidRPr="008A6CEE">
              <w:rPr>
                <w:lang w:val="fr-FR"/>
              </w:rPr>
              <w:lastRenderedPageBreak/>
              <w:t>le projet de décret fixant les modalités de prise en charge de la gratuité des frais d’accouchement dans les structures sanitaires publiques en République gabonaise pour les femmes de nationalité gabonaise, âgées à partir de 18 ans révolus ;</w:t>
            </w:r>
          </w:p>
          <w:p w:rsidR="009D6DE2" w:rsidRPr="009D6DE2" w:rsidRDefault="000472C3" w:rsidP="008A6CEE">
            <w:pPr>
              <w:numPr>
                <w:ilvl w:val="0"/>
                <w:numId w:val="28"/>
              </w:numPr>
              <w:tabs>
                <w:tab w:val="clear" w:pos="720"/>
                <w:tab w:val="num" w:pos="263"/>
              </w:tabs>
              <w:spacing w:before="40" w:after="120"/>
              <w:ind w:left="263" w:right="113" w:hanging="284"/>
            </w:pPr>
            <w:proofErr w:type="gramStart"/>
            <w:r w:rsidRPr="000472C3">
              <w:rPr>
                <w:lang w:val="fr-FR"/>
              </w:rPr>
              <w:t>le projet de décret décrivant les missions de la médecine itinérante qui offre périodiquement des prestations de santé aux populations vivant dans les Départements sanitaires, à travers des unités mobiles médicalisées, dans diverses prestations, notamment : la médecine infectieuse, la gynécologie obstétrique, la pédiatrie, l’ophtalmologie, la stomatologie, l’ORL, le cardiologie, la petite chirurgie, le médicament, les examens de laboratoire d’analyse médicale, les examens de radiologie, le dépistage et la prévention du diabète, du cancer, du paludisme et de la tuberculose, les autres spécialités de santé en cas de besoin.</w:t>
            </w:r>
            <w:proofErr w:type="gramEnd"/>
          </w:p>
        </w:tc>
      </w:tr>
      <w:tr w:rsidR="008A6CEE" w:rsidRPr="009D6DE2" w:rsidTr="00955CCD">
        <w:tc>
          <w:tcPr>
            <w:tcW w:w="8505" w:type="dxa"/>
            <w:gridSpan w:val="3"/>
            <w:shd w:val="clear" w:color="auto" w:fill="auto"/>
          </w:tcPr>
          <w:p w:rsidR="008A6CEE" w:rsidRPr="009D6DE2" w:rsidRDefault="008A6CEE" w:rsidP="009D6DE2">
            <w:pPr>
              <w:spacing w:before="40" w:after="120"/>
              <w:ind w:right="113"/>
            </w:pPr>
            <w:r>
              <w:lastRenderedPageBreak/>
              <w:t>Thématique 13 : Droits à l’éducation</w:t>
            </w:r>
          </w:p>
        </w:tc>
      </w:tr>
      <w:tr w:rsidR="009D6DE2" w:rsidRPr="009D6DE2" w:rsidTr="00FA053E">
        <w:tc>
          <w:tcPr>
            <w:tcW w:w="3038" w:type="dxa"/>
            <w:shd w:val="clear" w:color="auto" w:fill="auto"/>
          </w:tcPr>
          <w:p w:rsidR="009D6DE2" w:rsidRPr="009D6DE2" w:rsidRDefault="008A6CEE" w:rsidP="008A6CEE">
            <w:pPr>
              <w:spacing w:before="40" w:after="120"/>
              <w:ind w:right="113"/>
            </w:pPr>
            <w:r w:rsidRPr="008A6CEE">
              <w:rPr>
                <w:lang w:val="fr-FR"/>
              </w:rPr>
              <w:t>118.119 ; 118.120 ; 118.121 ; 118.122 ; 118.123 ; 118.124 ; 118.125</w:t>
            </w:r>
            <w:r>
              <w:rPr>
                <w:lang w:val="fr-FR"/>
              </w:rPr>
              <w:t>.</w:t>
            </w:r>
          </w:p>
        </w:tc>
        <w:tc>
          <w:tcPr>
            <w:tcW w:w="1519" w:type="dxa"/>
            <w:shd w:val="clear" w:color="auto" w:fill="auto"/>
          </w:tcPr>
          <w:p w:rsidR="009D6DE2" w:rsidRPr="009D6DE2" w:rsidRDefault="008A6CEE" w:rsidP="009D6DE2">
            <w:pPr>
              <w:spacing w:before="40" w:after="120"/>
              <w:ind w:right="113"/>
            </w:pPr>
            <w:r w:rsidRPr="008A6CEE">
              <w:t>Acceptées</w:t>
            </w:r>
          </w:p>
        </w:tc>
        <w:tc>
          <w:tcPr>
            <w:tcW w:w="3948" w:type="dxa"/>
            <w:shd w:val="clear" w:color="auto" w:fill="auto"/>
          </w:tcPr>
          <w:p w:rsidR="008A6CEE" w:rsidRPr="008A6CEE" w:rsidRDefault="008A6CEE" w:rsidP="008A6CEE">
            <w:pPr>
              <w:spacing w:before="40"/>
              <w:ind w:right="113"/>
              <w:rPr>
                <w:lang w:val="fr-FR"/>
              </w:rPr>
            </w:pPr>
            <w:r w:rsidRPr="008A6CEE">
              <w:rPr>
                <w:lang w:val="fr-FR"/>
              </w:rPr>
              <w:t>S’agissant de la dotation dans les collèges et lycées de salles informatiques disposant de salles Internet de qualité, il s’agira de :</w:t>
            </w:r>
          </w:p>
          <w:p w:rsidR="008A6CEE" w:rsidRPr="008A6CEE" w:rsidRDefault="008A6CEE" w:rsidP="00874C83">
            <w:pPr>
              <w:pStyle w:val="Bullet1G"/>
              <w:tabs>
                <w:tab w:val="clear" w:pos="1701"/>
                <w:tab w:val="num" w:pos="121"/>
              </w:tabs>
              <w:spacing w:after="0"/>
              <w:ind w:left="121" w:hanging="142"/>
              <w:jc w:val="left"/>
              <w:rPr>
                <w:lang w:val="fr-FR"/>
              </w:rPr>
            </w:pPr>
            <w:r w:rsidRPr="008A6CEE">
              <w:rPr>
                <w:lang w:val="fr-FR"/>
              </w:rPr>
              <w:t>l’activation de la Commission de pilotage du Plan d’Urgence (2017</w:t>
            </w:r>
            <w:r>
              <w:rPr>
                <w:lang w:val="fr-FR"/>
              </w:rPr>
              <w:t>–</w:t>
            </w:r>
            <w:r w:rsidRPr="008A6CEE">
              <w:rPr>
                <w:lang w:val="fr-FR"/>
              </w:rPr>
              <w:t>2019) de l’Education nationale ;</w:t>
            </w:r>
          </w:p>
          <w:p w:rsidR="008A6CEE" w:rsidRPr="008A6CEE" w:rsidRDefault="008A6CEE" w:rsidP="00874C83">
            <w:pPr>
              <w:pStyle w:val="Bullet1G"/>
              <w:tabs>
                <w:tab w:val="clear" w:pos="1701"/>
                <w:tab w:val="num" w:pos="121"/>
              </w:tabs>
              <w:ind w:left="121" w:hanging="142"/>
              <w:jc w:val="left"/>
              <w:rPr>
                <w:lang w:val="fr-FR"/>
              </w:rPr>
            </w:pPr>
            <w:r w:rsidRPr="008A6CEE">
              <w:rPr>
                <w:lang w:val="fr-FR"/>
              </w:rPr>
              <w:t>l’acquisition et la distribution des ordinateurs.</w:t>
            </w:r>
          </w:p>
          <w:p w:rsidR="008A6CEE" w:rsidRPr="008A6CEE" w:rsidRDefault="008A6CEE" w:rsidP="008A6CEE">
            <w:pPr>
              <w:spacing w:before="40" w:after="120"/>
              <w:ind w:right="113"/>
              <w:rPr>
                <w:lang w:val="fr-FR"/>
              </w:rPr>
            </w:pPr>
            <w:r w:rsidRPr="008A6CEE">
              <w:rPr>
                <w:lang w:val="fr-FR"/>
              </w:rPr>
              <w:lastRenderedPageBreak/>
              <w:t>En ce qui concerne le plan de rénovation des écoles primaires sur le plan du territoire, il s’agira de :</w:t>
            </w:r>
          </w:p>
          <w:p w:rsidR="008A6CEE" w:rsidRPr="008A6CEE" w:rsidRDefault="008A6CEE" w:rsidP="00874C83">
            <w:pPr>
              <w:pStyle w:val="Bullet1G"/>
              <w:tabs>
                <w:tab w:val="clear" w:pos="1701"/>
                <w:tab w:val="num" w:pos="121"/>
              </w:tabs>
              <w:ind w:left="121" w:hanging="121"/>
              <w:jc w:val="left"/>
              <w:rPr>
                <w:lang w:val="fr-FR"/>
              </w:rPr>
            </w:pPr>
            <w:r w:rsidRPr="008A6CEE">
              <w:rPr>
                <w:lang w:val="fr-FR"/>
              </w:rPr>
              <w:t>l’activation de la Commission de pi</w:t>
            </w:r>
            <w:r>
              <w:rPr>
                <w:lang w:val="fr-FR"/>
              </w:rPr>
              <w:t>lotage du Plan d’urgence (2017–</w:t>
            </w:r>
            <w:r w:rsidRPr="008A6CEE">
              <w:rPr>
                <w:lang w:val="fr-FR"/>
              </w:rPr>
              <w:t>2019) de l’Education nationale</w:t>
            </w:r>
            <w:r>
              <w:rPr>
                <w:lang w:val="fr-FR"/>
              </w:rPr>
              <w:t>.</w:t>
            </w:r>
          </w:p>
          <w:p w:rsidR="008A6CEE" w:rsidRPr="008A6CEE" w:rsidRDefault="008A6CEE" w:rsidP="008A6CEE">
            <w:pPr>
              <w:spacing w:before="40" w:after="120"/>
              <w:ind w:right="113"/>
              <w:rPr>
                <w:lang w:val="fr-FR"/>
              </w:rPr>
            </w:pPr>
            <w:r w:rsidRPr="008A6CEE">
              <w:rPr>
                <w:lang w:val="fr-FR"/>
              </w:rPr>
              <w:t>Au sujet de l’achèvement du programme de fourniture des tables-bancs pour l’ensemble des établissements scolaires du pays, il s’agira de :</w:t>
            </w:r>
          </w:p>
          <w:p w:rsidR="008A6CEE" w:rsidRPr="008A6CEE" w:rsidRDefault="008A6CEE" w:rsidP="00874C83">
            <w:pPr>
              <w:pStyle w:val="Bullet1G"/>
              <w:tabs>
                <w:tab w:val="clear" w:pos="1701"/>
                <w:tab w:val="num" w:pos="121"/>
              </w:tabs>
              <w:spacing w:after="0"/>
              <w:ind w:left="121" w:hanging="142"/>
              <w:jc w:val="left"/>
            </w:pPr>
            <w:r w:rsidRPr="008A6CEE">
              <w:rPr>
                <w:lang w:val="fr-FR"/>
              </w:rPr>
              <w:t>l’état des besoins du Mini</w:t>
            </w:r>
            <w:r>
              <w:rPr>
                <w:lang w:val="fr-FR"/>
              </w:rPr>
              <w:t>stère de l’Education nationale ;</w:t>
            </w:r>
          </w:p>
          <w:p w:rsidR="009D6DE2" w:rsidRPr="009D6DE2" w:rsidRDefault="008A6CEE" w:rsidP="00874C83">
            <w:pPr>
              <w:pStyle w:val="Bullet1G"/>
              <w:tabs>
                <w:tab w:val="clear" w:pos="1701"/>
                <w:tab w:val="num" w:pos="121"/>
              </w:tabs>
              <w:ind w:left="121" w:hanging="142"/>
              <w:jc w:val="left"/>
            </w:pPr>
            <w:r w:rsidRPr="008A6CEE">
              <w:rPr>
                <w:lang w:val="fr-FR"/>
              </w:rPr>
              <w:t>la concertation du Gouvernement avec la multinationale OLAM notamment pour rééval</w:t>
            </w:r>
            <w:r>
              <w:rPr>
                <w:lang w:val="fr-FR"/>
              </w:rPr>
              <w:t>uer la commande.</w:t>
            </w:r>
          </w:p>
        </w:tc>
      </w:tr>
      <w:tr w:rsidR="008A6CEE" w:rsidRPr="009D6DE2" w:rsidTr="00B7089D">
        <w:tc>
          <w:tcPr>
            <w:tcW w:w="8505" w:type="dxa"/>
            <w:gridSpan w:val="3"/>
            <w:shd w:val="clear" w:color="auto" w:fill="auto"/>
          </w:tcPr>
          <w:p w:rsidR="008A6CEE" w:rsidRPr="009D6DE2" w:rsidRDefault="008A6CEE" w:rsidP="009D6DE2">
            <w:pPr>
              <w:spacing w:before="40" w:after="120"/>
              <w:ind w:right="113"/>
            </w:pPr>
            <w:r>
              <w:lastRenderedPageBreak/>
              <w:t>Thématique 14 : Personne vivant avec un handicap</w:t>
            </w:r>
          </w:p>
        </w:tc>
      </w:tr>
      <w:tr w:rsidR="009D6DE2" w:rsidRPr="009D6DE2" w:rsidTr="00FA053E">
        <w:tc>
          <w:tcPr>
            <w:tcW w:w="3038" w:type="dxa"/>
            <w:shd w:val="clear" w:color="auto" w:fill="auto"/>
          </w:tcPr>
          <w:p w:rsidR="009D6DE2" w:rsidRPr="009D6DE2" w:rsidRDefault="008A6CEE" w:rsidP="009D6DE2">
            <w:pPr>
              <w:spacing w:before="40" w:after="120"/>
              <w:ind w:right="113"/>
            </w:pPr>
            <w:r w:rsidRPr="008A6CEE">
              <w:rPr>
                <w:lang w:val="fr-FR"/>
              </w:rPr>
              <w:t>118.126 ; 118.127 ; 118.128 ; 118.129</w:t>
            </w:r>
            <w:r>
              <w:rPr>
                <w:lang w:val="fr-FR"/>
              </w:rPr>
              <w:t>.</w:t>
            </w:r>
          </w:p>
        </w:tc>
        <w:tc>
          <w:tcPr>
            <w:tcW w:w="1519" w:type="dxa"/>
            <w:shd w:val="clear" w:color="auto" w:fill="auto"/>
          </w:tcPr>
          <w:p w:rsidR="009D6DE2" w:rsidRPr="009D6DE2" w:rsidRDefault="008A6CEE" w:rsidP="009D6DE2">
            <w:pPr>
              <w:spacing w:before="40" w:after="120"/>
              <w:ind w:right="113"/>
            </w:pPr>
            <w:r w:rsidRPr="008A6CEE">
              <w:t>Acceptées</w:t>
            </w:r>
          </w:p>
        </w:tc>
        <w:tc>
          <w:tcPr>
            <w:tcW w:w="3948" w:type="dxa"/>
            <w:shd w:val="clear" w:color="auto" w:fill="auto"/>
          </w:tcPr>
          <w:p w:rsidR="009D6DE2" w:rsidRPr="009D6DE2" w:rsidRDefault="009D6DE2" w:rsidP="009D6DE2">
            <w:pPr>
              <w:spacing w:before="40" w:after="120"/>
              <w:ind w:right="113"/>
            </w:pPr>
          </w:p>
        </w:tc>
      </w:tr>
      <w:tr w:rsidR="002C1596" w:rsidRPr="009D6DE2" w:rsidTr="00ED3C81">
        <w:tc>
          <w:tcPr>
            <w:tcW w:w="8505" w:type="dxa"/>
            <w:gridSpan w:val="3"/>
            <w:shd w:val="clear" w:color="auto" w:fill="auto"/>
          </w:tcPr>
          <w:p w:rsidR="002C1596" w:rsidRPr="009D6DE2" w:rsidRDefault="002C1596" w:rsidP="009D6DE2">
            <w:pPr>
              <w:spacing w:before="40" w:after="120"/>
              <w:ind w:right="113"/>
            </w:pPr>
            <w:r>
              <w:t>Thématique 15 : Commission nationale des droits de l’homme (CNDH)</w:t>
            </w:r>
          </w:p>
        </w:tc>
      </w:tr>
      <w:tr w:rsidR="008A6CEE" w:rsidRPr="009D6DE2" w:rsidTr="00FA053E">
        <w:tc>
          <w:tcPr>
            <w:tcW w:w="3038" w:type="dxa"/>
            <w:shd w:val="clear" w:color="auto" w:fill="auto"/>
          </w:tcPr>
          <w:p w:rsidR="008A6CEE" w:rsidRPr="009D6DE2" w:rsidRDefault="002C1596" w:rsidP="009D6DE2">
            <w:pPr>
              <w:spacing w:before="40" w:after="120"/>
              <w:ind w:right="113"/>
            </w:pPr>
            <w:r w:rsidRPr="002C1596">
              <w:rPr>
                <w:lang w:val="fr-FR"/>
              </w:rPr>
              <w:t>119.6 ; 119.7 ; 119.8 ; 119.9 ; 119.10 ; 119.11 ; 119.12 ; 119.13 ; 119.14 ; 119.15</w:t>
            </w:r>
            <w:r>
              <w:rPr>
                <w:lang w:val="fr-FR"/>
              </w:rPr>
              <w:t>.</w:t>
            </w:r>
          </w:p>
        </w:tc>
        <w:tc>
          <w:tcPr>
            <w:tcW w:w="1519" w:type="dxa"/>
            <w:shd w:val="clear" w:color="auto" w:fill="auto"/>
          </w:tcPr>
          <w:p w:rsidR="008A6CEE" w:rsidRPr="009D6DE2" w:rsidRDefault="002C1596" w:rsidP="009D6DE2">
            <w:pPr>
              <w:spacing w:before="40" w:after="120"/>
              <w:ind w:right="113"/>
            </w:pPr>
            <w:r w:rsidRPr="002C1596">
              <w:t>Acceptées</w:t>
            </w:r>
          </w:p>
        </w:tc>
        <w:tc>
          <w:tcPr>
            <w:tcW w:w="3948" w:type="dxa"/>
            <w:shd w:val="clear" w:color="auto" w:fill="auto"/>
          </w:tcPr>
          <w:p w:rsidR="008A6CEE" w:rsidRPr="009D6DE2" w:rsidRDefault="008A6CEE" w:rsidP="009D6DE2">
            <w:pPr>
              <w:spacing w:before="40" w:after="120"/>
              <w:ind w:right="113"/>
            </w:pPr>
          </w:p>
        </w:tc>
      </w:tr>
      <w:tr w:rsidR="002C1596" w:rsidRPr="009D6DE2" w:rsidTr="00272E3D">
        <w:tc>
          <w:tcPr>
            <w:tcW w:w="8505" w:type="dxa"/>
            <w:gridSpan w:val="3"/>
            <w:shd w:val="clear" w:color="auto" w:fill="auto"/>
          </w:tcPr>
          <w:p w:rsidR="002C1596" w:rsidRPr="009D6DE2" w:rsidRDefault="002C1596" w:rsidP="009D6DE2">
            <w:pPr>
              <w:spacing w:before="40" w:after="120"/>
              <w:ind w:right="113"/>
            </w:pPr>
            <w:r>
              <w:t>Thématique 16 : Droits des réfugiés et demandeurs d’asile</w:t>
            </w:r>
          </w:p>
        </w:tc>
      </w:tr>
      <w:tr w:rsidR="002C1596" w:rsidRPr="009D6DE2" w:rsidTr="00FA053E">
        <w:tc>
          <w:tcPr>
            <w:tcW w:w="3038" w:type="dxa"/>
            <w:tcBorders>
              <w:bottom w:val="single" w:sz="12" w:space="0" w:color="auto"/>
            </w:tcBorders>
            <w:shd w:val="clear" w:color="auto" w:fill="auto"/>
          </w:tcPr>
          <w:p w:rsidR="002C1596" w:rsidRPr="009D6DE2" w:rsidRDefault="002C1596" w:rsidP="009D6DE2">
            <w:pPr>
              <w:spacing w:before="40" w:after="120"/>
              <w:ind w:right="113"/>
            </w:pPr>
            <w:r w:rsidRPr="002C1596">
              <w:rPr>
                <w:lang w:val="fr-FR"/>
              </w:rPr>
              <w:t>119.21 ; 119.22</w:t>
            </w:r>
            <w:r>
              <w:rPr>
                <w:lang w:val="fr-FR"/>
              </w:rPr>
              <w:t>.</w:t>
            </w:r>
          </w:p>
        </w:tc>
        <w:tc>
          <w:tcPr>
            <w:tcW w:w="1519" w:type="dxa"/>
            <w:tcBorders>
              <w:bottom w:val="single" w:sz="12" w:space="0" w:color="auto"/>
            </w:tcBorders>
            <w:shd w:val="clear" w:color="auto" w:fill="auto"/>
          </w:tcPr>
          <w:p w:rsidR="002C1596" w:rsidRPr="009D6DE2" w:rsidRDefault="002C1596" w:rsidP="009D6DE2">
            <w:pPr>
              <w:spacing w:before="40" w:after="120"/>
              <w:ind w:right="113"/>
            </w:pPr>
            <w:r w:rsidRPr="002C1596">
              <w:t>Acceptées</w:t>
            </w:r>
          </w:p>
        </w:tc>
        <w:tc>
          <w:tcPr>
            <w:tcW w:w="3948" w:type="dxa"/>
            <w:tcBorders>
              <w:bottom w:val="single" w:sz="12" w:space="0" w:color="auto"/>
            </w:tcBorders>
            <w:shd w:val="clear" w:color="auto" w:fill="auto"/>
          </w:tcPr>
          <w:p w:rsidR="002C1596" w:rsidRPr="002C1596" w:rsidRDefault="002C1596" w:rsidP="002C1596">
            <w:pPr>
              <w:spacing w:before="40" w:after="120"/>
              <w:ind w:right="113"/>
              <w:rPr>
                <w:lang w:val="fr-FR"/>
              </w:rPr>
            </w:pPr>
            <w:r w:rsidRPr="002C1596">
              <w:rPr>
                <w:lang w:val="fr-FR"/>
              </w:rPr>
              <w:t>En ce qui concerne les droits des réfugiés et des demandeurs d’asile, le principe du non refoulement est fortement respecté vis-à-vis des migrants qui se conforment à la législation en vigueur en matière de migration.</w:t>
            </w:r>
          </w:p>
          <w:p w:rsidR="002C1596" w:rsidRPr="009D6DE2" w:rsidRDefault="002C1596" w:rsidP="002C1596">
            <w:pPr>
              <w:spacing w:before="40" w:after="120"/>
              <w:ind w:right="113"/>
            </w:pPr>
            <w:r w:rsidRPr="002C1596">
              <w:rPr>
                <w:lang w:val="fr-FR"/>
              </w:rPr>
              <w:lastRenderedPageBreak/>
              <w:t>Aussi, le Gouverneme</w:t>
            </w:r>
            <w:r>
              <w:rPr>
                <w:lang w:val="fr-FR"/>
              </w:rPr>
              <w:t>nt, avec l’appui du HCR, veille-</w:t>
            </w:r>
            <w:r w:rsidRPr="002C1596">
              <w:rPr>
                <w:lang w:val="fr-FR"/>
              </w:rPr>
              <w:t>t-il à l’accès des enfants réfugiés et demandeurs d’asile à des services médicaux appropriés</w:t>
            </w:r>
            <w:r>
              <w:rPr>
                <w:lang w:val="fr-FR"/>
              </w:rPr>
              <w:t>.</w:t>
            </w:r>
          </w:p>
        </w:tc>
      </w:tr>
    </w:tbl>
    <w:p w:rsidR="0008167F" w:rsidRDefault="002C1596" w:rsidP="000D3AC3">
      <w:pPr>
        <w:pStyle w:val="H1G"/>
      </w:pPr>
      <w:r>
        <w:lastRenderedPageBreak/>
        <w:tab/>
      </w:r>
      <w:r>
        <w:tab/>
        <w:t>Recommandations notées</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559"/>
        <w:gridCol w:w="3969"/>
      </w:tblGrid>
      <w:tr w:rsidR="002C1596" w:rsidRPr="002C1596" w:rsidTr="00BE589B">
        <w:trPr>
          <w:tblHeader/>
        </w:trPr>
        <w:tc>
          <w:tcPr>
            <w:tcW w:w="2977" w:type="dxa"/>
            <w:tcBorders>
              <w:top w:val="single" w:sz="4" w:space="0" w:color="auto"/>
              <w:bottom w:val="single" w:sz="12" w:space="0" w:color="auto"/>
            </w:tcBorders>
            <w:shd w:val="clear" w:color="auto" w:fill="auto"/>
            <w:vAlign w:val="bottom"/>
          </w:tcPr>
          <w:p w:rsidR="002C1596" w:rsidRPr="002C1596" w:rsidRDefault="002C1596" w:rsidP="002C1596">
            <w:pPr>
              <w:spacing w:before="80" w:after="80" w:line="200" w:lineRule="exact"/>
              <w:ind w:right="113"/>
              <w:rPr>
                <w:i/>
                <w:sz w:val="16"/>
              </w:rPr>
            </w:pPr>
            <w:r>
              <w:rPr>
                <w:i/>
                <w:sz w:val="16"/>
              </w:rPr>
              <w:t>Recommandations</w:t>
            </w:r>
          </w:p>
        </w:tc>
        <w:tc>
          <w:tcPr>
            <w:tcW w:w="1559" w:type="dxa"/>
            <w:tcBorders>
              <w:top w:val="single" w:sz="4" w:space="0" w:color="auto"/>
              <w:bottom w:val="single" w:sz="12" w:space="0" w:color="auto"/>
            </w:tcBorders>
            <w:shd w:val="clear" w:color="auto" w:fill="auto"/>
            <w:vAlign w:val="bottom"/>
          </w:tcPr>
          <w:p w:rsidR="002C1596" w:rsidRPr="002C1596" w:rsidRDefault="002C1596" w:rsidP="002C1596">
            <w:pPr>
              <w:spacing w:before="80" w:after="80" w:line="200" w:lineRule="exact"/>
              <w:ind w:right="113"/>
              <w:rPr>
                <w:i/>
                <w:sz w:val="16"/>
              </w:rPr>
            </w:pPr>
            <w:r>
              <w:rPr>
                <w:i/>
                <w:sz w:val="16"/>
              </w:rPr>
              <w:t>Position du Gabon</w:t>
            </w:r>
          </w:p>
        </w:tc>
        <w:tc>
          <w:tcPr>
            <w:tcW w:w="3969" w:type="dxa"/>
            <w:tcBorders>
              <w:top w:val="single" w:sz="4" w:space="0" w:color="auto"/>
              <w:bottom w:val="single" w:sz="12" w:space="0" w:color="auto"/>
            </w:tcBorders>
            <w:shd w:val="clear" w:color="auto" w:fill="auto"/>
            <w:vAlign w:val="bottom"/>
          </w:tcPr>
          <w:p w:rsidR="002C1596" w:rsidRPr="002C1596" w:rsidRDefault="002C1596" w:rsidP="002C1596">
            <w:pPr>
              <w:spacing w:before="80" w:after="80" w:line="200" w:lineRule="exact"/>
              <w:ind w:right="113"/>
              <w:rPr>
                <w:i/>
                <w:sz w:val="16"/>
              </w:rPr>
            </w:pPr>
            <w:r>
              <w:rPr>
                <w:i/>
                <w:sz w:val="16"/>
              </w:rPr>
              <w:t>Observations</w:t>
            </w:r>
          </w:p>
        </w:tc>
      </w:tr>
      <w:tr w:rsidR="002C1596" w:rsidRPr="002C1596" w:rsidTr="002C1596">
        <w:trPr>
          <w:trHeight w:hRule="exact" w:val="113"/>
        </w:trPr>
        <w:tc>
          <w:tcPr>
            <w:tcW w:w="2977" w:type="dxa"/>
            <w:tcBorders>
              <w:top w:val="single" w:sz="12" w:space="0" w:color="auto"/>
            </w:tcBorders>
            <w:shd w:val="clear" w:color="auto" w:fill="auto"/>
            <w:vAlign w:val="bottom"/>
          </w:tcPr>
          <w:p w:rsidR="002C1596" w:rsidRPr="002C1596" w:rsidRDefault="002C1596" w:rsidP="002C1596">
            <w:pPr>
              <w:spacing w:before="80" w:after="80" w:line="200" w:lineRule="exact"/>
              <w:ind w:right="113"/>
              <w:rPr>
                <w:i/>
                <w:sz w:val="16"/>
              </w:rPr>
            </w:pPr>
          </w:p>
        </w:tc>
        <w:tc>
          <w:tcPr>
            <w:tcW w:w="1559" w:type="dxa"/>
            <w:tcBorders>
              <w:top w:val="single" w:sz="12" w:space="0" w:color="auto"/>
            </w:tcBorders>
            <w:shd w:val="clear" w:color="auto" w:fill="auto"/>
            <w:vAlign w:val="bottom"/>
          </w:tcPr>
          <w:p w:rsidR="002C1596" w:rsidRPr="002C1596" w:rsidRDefault="002C1596" w:rsidP="002C1596">
            <w:pPr>
              <w:spacing w:before="80" w:after="80" w:line="200" w:lineRule="exact"/>
              <w:ind w:right="113"/>
              <w:rPr>
                <w:i/>
                <w:sz w:val="16"/>
              </w:rPr>
            </w:pPr>
          </w:p>
        </w:tc>
        <w:tc>
          <w:tcPr>
            <w:tcW w:w="3969" w:type="dxa"/>
            <w:tcBorders>
              <w:top w:val="single" w:sz="12" w:space="0" w:color="auto"/>
            </w:tcBorders>
            <w:shd w:val="clear" w:color="auto" w:fill="auto"/>
            <w:vAlign w:val="bottom"/>
          </w:tcPr>
          <w:p w:rsidR="002C1596" w:rsidRPr="002C1596" w:rsidRDefault="002C1596" w:rsidP="002C1596">
            <w:pPr>
              <w:spacing w:before="80" w:after="80" w:line="200" w:lineRule="exact"/>
              <w:ind w:right="113"/>
              <w:rPr>
                <w:i/>
                <w:sz w:val="16"/>
              </w:rPr>
            </w:pPr>
          </w:p>
        </w:tc>
      </w:tr>
      <w:tr w:rsidR="002C1596" w:rsidRPr="002C1596" w:rsidTr="003E2814">
        <w:tc>
          <w:tcPr>
            <w:tcW w:w="8505" w:type="dxa"/>
            <w:gridSpan w:val="3"/>
            <w:shd w:val="clear" w:color="auto" w:fill="auto"/>
          </w:tcPr>
          <w:p w:rsidR="002C1596" w:rsidRPr="002C1596" w:rsidRDefault="002C1596" w:rsidP="002C1596">
            <w:pPr>
              <w:spacing w:before="40" w:after="120"/>
              <w:ind w:right="113"/>
            </w:pPr>
            <w:r>
              <w:t>Thématique 1 : Organes de traités</w:t>
            </w:r>
          </w:p>
        </w:tc>
      </w:tr>
      <w:tr w:rsidR="002C1596" w:rsidRPr="002C1596" w:rsidTr="002C1596">
        <w:tc>
          <w:tcPr>
            <w:tcW w:w="2977" w:type="dxa"/>
            <w:shd w:val="clear" w:color="auto" w:fill="auto"/>
          </w:tcPr>
          <w:p w:rsidR="002C1596" w:rsidRPr="002C1596" w:rsidRDefault="002C1596" w:rsidP="002C1596">
            <w:pPr>
              <w:spacing w:before="40" w:after="120"/>
              <w:ind w:right="113"/>
            </w:pPr>
            <w:r>
              <w:t>120.1.</w:t>
            </w:r>
          </w:p>
        </w:tc>
        <w:tc>
          <w:tcPr>
            <w:tcW w:w="1559" w:type="dxa"/>
            <w:shd w:val="clear" w:color="auto" w:fill="auto"/>
          </w:tcPr>
          <w:p w:rsidR="002C1596" w:rsidRPr="002C1596" w:rsidRDefault="002C1596" w:rsidP="002C1596">
            <w:pPr>
              <w:spacing w:before="40" w:after="120"/>
              <w:ind w:right="113"/>
            </w:pPr>
            <w:r>
              <w:t>Notée</w:t>
            </w:r>
          </w:p>
        </w:tc>
        <w:tc>
          <w:tcPr>
            <w:tcW w:w="3969" w:type="dxa"/>
            <w:shd w:val="clear" w:color="auto" w:fill="auto"/>
          </w:tcPr>
          <w:p w:rsidR="002C1596" w:rsidRPr="002C1596" w:rsidRDefault="002C1596" w:rsidP="002C1596">
            <w:pPr>
              <w:spacing w:before="40" w:after="120"/>
              <w:ind w:right="113"/>
            </w:pPr>
          </w:p>
        </w:tc>
      </w:tr>
      <w:tr w:rsidR="002C1596" w:rsidRPr="002C1596" w:rsidTr="002C1596">
        <w:tc>
          <w:tcPr>
            <w:tcW w:w="2977" w:type="dxa"/>
            <w:shd w:val="clear" w:color="auto" w:fill="auto"/>
          </w:tcPr>
          <w:p w:rsidR="002C1596" w:rsidRPr="002C1596" w:rsidRDefault="002C1596" w:rsidP="002C1596">
            <w:pPr>
              <w:spacing w:before="40" w:after="120"/>
              <w:ind w:right="113"/>
            </w:pPr>
            <w:r>
              <w:t>Thématique 2 : Ratification</w:t>
            </w:r>
          </w:p>
        </w:tc>
        <w:tc>
          <w:tcPr>
            <w:tcW w:w="1559" w:type="dxa"/>
            <w:shd w:val="clear" w:color="auto" w:fill="auto"/>
          </w:tcPr>
          <w:p w:rsidR="002C1596" w:rsidRPr="002C1596" w:rsidRDefault="002C1596" w:rsidP="002C1596">
            <w:pPr>
              <w:spacing w:before="40" w:after="120"/>
              <w:ind w:right="113"/>
            </w:pPr>
          </w:p>
        </w:tc>
        <w:tc>
          <w:tcPr>
            <w:tcW w:w="3969" w:type="dxa"/>
            <w:shd w:val="clear" w:color="auto" w:fill="auto"/>
          </w:tcPr>
          <w:p w:rsidR="002C1596" w:rsidRPr="002C1596" w:rsidRDefault="002C1596" w:rsidP="002C1596">
            <w:pPr>
              <w:spacing w:before="40" w:after="120"/>
              <w:ind w:right="113"/>
            </w:pPr>
          </w:p>
        </w:tc>
      </w:tr>
      <w:tr w:rsidR="002C1596" w:rsidRPr="002C1596" w:rsidTr="002C1596">
        <w:tc>
          <w:tcPr>
            <w:tcW w:w="2977" w:type="dxa"/>
            <w:shd w:val="clear" w:color="auto" w:fill="auto"/>
          </w:tcPr>
          <w:p w:rsidR="002C1596" w:rsidRPr="002C1596" w:rsidRDefault="000601BF" w:rsidP="002C1596">
            <w:pPr>
              <w:spacing w:before="40" w:after="120"/>
              <w:ind w:right="113"/>
            </w:pPr>
            <w:r w:rsidRPr="000601BF">
              <w:rPr>
                <w:lang w:val="fr-FR"/>
              </w:rPr>
              <w:t>119.3 ;</w:t>
            </w:r>
            <w:r>
              <w:rPr>
                <w:lang w:val="fr-FR"/>
              </w:rPr>
              <w:t xml:space="preserve"> </w:t>
            </w:r>
            <w:r w:rsidRPr="000601BF">
              <w:rPr>
                <w:lang w:val="fr-FR"/>
              </w:rPr>
              <w:t>120.2 ;</w:t>
            </w:r>
            <w:r>
              <w:rPr>
                <w:lang w:val="fr-FR"/>
              </w:rPr>
              <w:t xml:space="preserve"> </w:t>
            </w:r>
            <w:r w:rsidRPr="000601BF">
              <w:rPr>
                <w:lang w:val="fr-FR"/>
              </w:rPr>
              <w:t>120.3 ; 120.4 ; 120.5 ; 120.6 ;</w:t>
            </w:r>
            <w:r>
              <w:rPr>
                <w:lang w:val="fr-FR"/>
              </w:rPr>
              <w:t xml:space="preserve"> </w:t>
            </w:r>
            <w:r w:rsidRPr="000601BF">
              <w:rPr>
                <w:lang w:val="fr-FR"/>
              </w:rPr>
              <w:t>120.7</w:t>
            </w:r>
            <w:r>
              <w:rPr>
                <w:lang w:val="fr-FR"/>
              </w:rPr>
              <w:t>.</w:t>
            </w:r>
          </w:p>
        </w:tc>
        <w:tc>
          <w:tcPr>
            <w:tcW w:w="1559" w:type="dxa"/>
            <w:shd w:val="clear" w:color="auto" w:fill="auto"/>
          </w:tcPr>
          <w:p w:rsidR="002C1596" w:rsidRPr="002C1596" w:rsidRDefault="000601BF" w:rsidP="002C1596">
            <w:pPr>
              <w:spacing w:before="40" w:after="120"/>
              <w:ind w:right="113"/>
            </w:pPr>
            <w:r w:rsidRPr="000601BF">
              <w:t>Notée</w:t>
            </w:r>
            <w:r>
              <w:t>s</w:t>
            </w:r>
          </w:p>
        </w:tc>
        <w:tc>
          <w:tcPr>
            <w:tcW w:w="3969" w:type="dxa"/>
            <w:shd w:val="clear" w:color="auto" w:fill="auto"/>
          </w:tcPr>
          <w:p w:rsidR="000601BF" w:rsidRPr="000601BF" w:rsidRDefault="000601BF" w:rsidP="000601BF">
            <w:pPr>
              <w:spacing w:before="40" w:after="120"/>
              <w:ind w:right="113"/>
              <w:rPr>
                <w:lang w:val="fr-FR"/>
              </w:rPr>
            </w:pPr>
            <w:r w:rsidRPr="000601BF">
              <w:rPr>
                <w:lang w:val="fr-FR"/>
              </w:rPr>
              <w:t>En ce qui concerne la question de la ratification, le Gabon a décidé d’adopter un mécanisme particulier, avant d’engager toute procédure de ratification ou d’adhésion vis-à-vis de certains textes internationaux concernant la question des armes et celle des travailleurs migrants.</w:t>
            </w:r>
          </w:p>
          <w:p w:rsidR="000601BF" w:rsidRPr="000601BF" w:rsidRDefault="000601BF" w:rsidP="000601BF">
            <w:pPr>
              <w:spacing w:before="40" w:after="120"/>
              <w:ind w:right="113"/>
              <w:rPr>
                <w:lang w:val="fr-FR"/>
              </w:rPr>
            </w:pPr>
            <w:r w:rsidRPr="000601BF">
              <w:rPr>
                <w:lang w:val="fr-FR"/>
              </w:rPr>
              <w:t>Ce mécanisme consiste à étudier les dispositions desdits textes en vue de la préparation des déclarations interprétatives</w:t>
            </w:r>
            <w:r>
              <w:rPr>
                <w:lang w:val="fr-FR"/>
              </w:rPr>
              <w:t xml:space="preserve"> sinon l’émission des réserves.</w:t>
            </w:r>
          </w:p>
          <w:p w:rsidR="000601BF" w:rsidRPr="000601BF" w:rsidRDefault="000601BF" w:rsidP="000601BF">
            <w:pPr>
              <w:spacing w:before="40" w:after="120"/>
              <w:ind w:right="113"/>
              <w:rPr>
                <w:lang w:val="fr-FR"/>
              </w:rPr>
            </w:pPr>
            <w:r w:rsidRPr="000601BF">
              <w:rPr>
                <w:lang w:val="fr-FR"/>
              </w:rPr>
              <w:t>A cet effet, la mise en place d’un Comité ad hoc de l’examen des traités internationaux est prévue dans les plus brefs délais.</w:t>
            </w:r>
          </w:p>
          <w:p w:rsidR="000601BF" w:rsidRPr="000601BF" w:rsidRDefault="000601BF" w:rsidP="000601BF">
            <w:pPr>
              <w:spacing w:before="40" w:after="120"/>
              <w:ind w:right="113"/>
              <w:rPr>
                <w:lang w:val="fr-FR"/>
              </w:rPr>
            </w:pPr>
            <w:r w:rsidRPr="000601BF">
              <w:rPr>
                <w:lang w:val="fr-FR"/>
              </w:rPr>
              <w:t xml:space="preserve">En ce qui concerne spécifiquement la ratification de la Convention internationale sur la protection des droits de tous les travailleurs </w:t>
            </w:r>
            <w:r w:rsidRPr="000601BF">
              <w:rPr>
                <w:lang w:val="fr-FR"/>
              </w:rPr>
              <w:lastRenderedPageBreak/>
              <w:t>migrants et des membres de leurs familles, une réunion technique est prévue en vue de la ratification de cette Convention, à la suite de l’adoption de la mesure de la libre circulation des biens et des personnes dans l’espace CEMAC.</w:t>
            </w:r>
          </w:p>
          <w:p w:rsidR="000601BF" w:rsidRPr="000601BF" w:rsidRDefault="000601BF" w:rsidP="000601BF">
            <w:pPr>
              <w:spacing w:before="40" w:after="120"/>
              <w:ind w:right="113"/>
              <w:rPr>
                <w:lang w:val="fr-FR"/>
              </w:rPr>
            </w:pPr>
            <w:r w:rsidRPr="000601BF">
              <w:rPr>
                <w:lang w:val="fr-FR"/>
              </w:rPr>
              <w:t>S’agissant du Protocole international relatif aux droits civils et politiques, l’Etat ne disposant pas encore de mécanismes juridictionnels pertinents pour pouvoir gérer efficacement aux multiples plaintes, ne peut pas encore envisager pour l’heure de devenir partie à ce Protocole.</w:t>
            </w:r>
          </w:p>
          <w:p w:rsidR="002C1596" w:rsidRPr="002C1596" w:rsidRDefault="000601BF" w:rsidP="000601BF">
            <w:pPr>
              <w:spacing w:before="40" w:after="120"/>
              <w:ind w:right="113"/>
            </w:pPr>
            <w:r w:rsidRPr="000601BF">
              <w:rPr>
                <w:lang w:val="fr-FR"/>
              </w:rPr>
              <w:t>En ce qui concerne la ratification de la Convention (n°169) de l’Organisation Internationale du Travail sur les peuples indigènes et tribaux, établie en 1989, il sied de préciser que le cadre conceptuel du législateur onusien sur les « peuples indigènes et tribaux » diffère de celui du législateur gabonais. En effet, en vertu du sacrosaint principe de la Constitution gabonaise de l’indivisibilité du peuple gabonais, et que, par ailleurs, la terre appartient à l’Etat, il ne pourrait y avoir, par conséquent, d’autodétermination au sens de la Convention n° 169 de l’OIT, des populations autochtones du Gabon.</w:t>
            </w:r>
          </w:p>
        </w:tc>
      </w:tr>
      <w:tr w:rsidR="000601BF" w:rsidRPr="002C1596" w:rsidTr="00873A9A">
        <w:tc>
          <w:tcPr>
            <w:tcW w:w="8505" w:type="dxa"/>
            <w:gridSpan w:val="3"/>
            <w:shd w:val="clear" w:color="auto" w:fill="auto"/>
          </w:tcPr>
          <w:p w:rsidR="000601BF" w:rsidRPr="002C1596" w:rsidRDefault="000601BF" w:rsidP="002C1596">
            <w:pPr>
              <w:spacing w:before="40" w:after="120"/>
              <w:ind w:right="113"/>
            </w:pPr>
            <w:r>
              <w:lastRenderedPageBreak/>
              <w:t>Thématique 3 : Législation</w:t>
            </w:r>
          </w:p>
        </w:tc>
      </w:tr>
      <w:tr w:rsidR="002C1596" w:rsidRPr="002C1596" w:rsidTr="002C1596">
        <w:tc>
          <w:tcPr>
            <w:tcW w:w="2977" w:type="dxa"/>
            <w:shd w:val="clear" w:color="auto" w:fill="auto"/>
          </w:tcPr>
          <w:p w:rsidR="002C1596" w:rsidRPr="002C1596" w:rsidRDefault="000601BF" w:rsidP="002C1596">
            <w:pPr>
              <w:spacing w:before="40" w:after="120"/>
              <w:ind w:right="113"/>
            </w:pPr>
            <w:r w:rsidRPr="000601BF">
              <w:rPr>
                <w:lang w:val="fr-FR"/>
              </w:rPr>
              <w:t>119.4 ; 119.5</w:t>
            </w:r>
            <w:r>
              <w:rPr>
                <w:lang w:val="fr-FR"/>
              </w:rPr>
              <w:t>.</w:t>
            </w:r>
          </w:p>
        </w:tc>
        <w:tc>
          <w:tcPr>
            <w:tcW w:w="1559" w:type="dxa"/>
            <w:shd w:val="clear" w:color="auto" w:fill="auto"/>
          </w:tcPr>
          <w:p w:rsidR="002C1596" w:rsidRPr="002C1596" w:rsidRDefault="000601BF" w:rsidP="002C1596">
            <w:pPr>
              <w:spacing w:before="40" w:after="120"/>
              <w:ind w:right="113"/>
            </w:pPr>
            <w:r w:rsidRPr="000601BF">
              <w:t>Notées</w:t>
            </w:r>
          </w:p>
        </w:tc>
        <w:tc>
          <w:tcPr>
            <w:tcW w:w="3969" w:type="dxa"/>
            <w:shd w:val="clear" w:color="auto" w:fill="auto"/>
          </w:tcPr>
          <w:p w:rsidR="000601BF" w:rsidRPr="000601BF" w:rsidRDefault="000601BF" w:rsidP="000601BF">
            <w:pPr>
              <w:spacing w:before="40" w:after="120"/>
              <w:ind w:right="113"/>
              <w:rPr>
                <w:lang w:val="fr-FR"/>
              </w:rPr>
            </w:pPr>
            <w:r w:rsidRPr="000601BF">
              <w:rPr>
                <w:lang w:val="fr-FR"/>
              </w:rPr>
              <w:t xml:space="preserve">S’agissant de la législation, notamment l’adhésion et l’adaptation de la législation nationale au Traité sur le commerce des armes et la signature du Traité sur l’interdiction des armes nucléaires, il est à noter que ce traité fait partie des instruments juridiques internationaux </w:t>
            </w:r>
            <w:r w:rsidRPr="000601BF">
              <w:rPr>
                <w:lang w:val="fr-FR"/>
              </w:rPr>
              <w:lastRenderedPageBreak/>
              <w:t>que le gouvernement envisage d’incorporer dans l’ordonnancement juridique interne dans les meilleurs délais.</w:t>
            </w:r>
          </w:p>
          <w:p w:rsidR="002C1596" w:rsidRPr="002C1596" w:rsidRDefault="000601BF" w:rsidP="000601BF">
            <w:pPr>
              <w:spacing w:before="40" w:after="120"/>
              <w:ind w:right="113"/>
            </w:pPr>
            <w:r w:rsidRPr="000601BF">
              <w:rPr>
                <w:lang w:val="fr-FR"/>
              </w:rPr>
              <w:t>Par ailleurs, le développement du cadre légal imposant un régime d’autorisation préalable afin de permettre l’émergence de la société civile moderne a été une préoccupation du dialogue participatif. A ce sujet, au regard de la caractéristique plurielle des acteurs de la société civile, le Gouvernement est à pieds d’œuvre à l’effet d’actualiser sa loi d’orientation relative à l’exercice des organisations de la société civile au Gabon conformément aux principes de la Déclaration d’Accra de 2008.</w:t>
            </w:r>
          </w:p>
        </w:tc>
      </w:tr>
      <w:tr w:rsidR="000601BF" w:rsidRPr="002C1596" w:rsidTr="00412D08">
        <w:tc>
          <w:tcPr>
            <w:tcW w:w="8505" w:type="dxa"/>
            <w:gridSpan w:val="3"/>
            <w:shd w:val="clear" w:color="auto" w:fill="auto"/>
          </w:tcPr>
          <w:p w:rsidR="000601BF" w:rsidRPr="002C1596" w:rsidRDefault="000601BF" w:rsidP="002C1596">
            <w:pPr>
              <w:spacing w:before="40" w:after="120"/>
              <w:ind w:right="113"/>
            </w:pPr>
            <w:r>
              <w:lastRenderedPageBreak/>
              <w:t>Thématique 4 : Administration de la justice</w:t>
            </w:r>
          </w:p>
        </w:tc>
      </w:tr>
      <w:tr w:rsidR="002C1596" w:rsidRPr="002C1596" w:rsidTr="002C1596">
        <w:tc>
          <w:tcPr>
            <w:tcW w:w="2977" w:type="dxa"/>
            <w:shd w:val="clear" w:color="auto" w:fill="auto"/>
          </w:tcPr>
          <w:p w:rsidR="002C1596" w:rsidRPr="002C1596" w:rsidRDefault="000601BF" w:rsidP="002C1596">
            <w:pPr>
              <w:spacing w:before="40" w:after="120"/>
              <w:ind w:right="113"/>
            </w:pPr>
            <w:r w:rsidRPr="000601BF">
              <w:rPr>
                <w:lang w:val="fr-FR"/>
              </w:rPr>
              <w:t>120.8 ; 120.9</w:t>
            </w:r>
            <w:r>
              <w:rPr>
                <w:lang w:val="fr-FR"/>
              </w:rPr>
              <w:t xml:space="preserve"> </w:t>
            </w:r>
            <w:r w:rsidRPr="000601BF">
              <w:rPr>
                <w:lang w:val="fr-FR"/>
              </w:rPr>
              <w:t>; 120.10</w:t>
            </w:r>
            <w:r>
              <w:rPr>
                <w:lang w:val="fr-FR"/>
              </w:rPr>
              <w:t>.</w:t>
            </w:r>
          </w:p>
        </w:tc>
        <w:tc>
          <w:tcPr>
            <w:tcW w:w="1559" w:type="dxa"/>
            <w:shd w:val="clear" w:color="auto" w:fill="auto"/>
          </w:tcPr>
          <w:p w:rsidR="002C1596" w:rsidRPr="002C1596" w:rsidRDefault="000601BF" w:rsidP="002C1596">
            <w:pPr>
              <w:spacing w:before="40" w:after="120"/>
              <w:ind w:right="113"/>
            </w:pPr>
            <w:r w:rsidRPr="000601BF">
              <w:t>Notées</w:t>
            </w:r>
          </w:p>
        </w:tc>
        <w:tc>
          <w:tcPr>
            <w:tcW w:w="3969" w:type="dxa"/>
            <w:shd w:val="clear" w:color="auto" w:fill="auto"/>
          </w:tcPr>
          <w:p w:rsidR="002C1596" w:rsidRPr="002C1596" w:rsidRDefault="000601BF" w:rsidP="002C1596">
            <w:pPr>
              <w:spacing w:before="40" w:after="120"/>
              <w:ind w:right="113"/>
            </w:pPr>
            <w:r w:rsidRPr="000601BF">
              <w:rPr>
                <w:lang w:val="fr-FR"/>
              </w:rPr>
              <w:t>En ce qui concerne l'implication et la responsabilité des différents acteurs et les victimes des violences postélectorales ainsi que les allégations des violences des droits de l'homme, il est à noter qu'actuellement, les accusés sont en attente de jugement à la Prison centrale de Libreville et que la procédure suit son cours normal.</w:t>
            </w:r>
          </w:p>
        </w:tc>
      </w:tr>
      <w:tr w:rsidR="002C1596" w:rsidRPr="002C1596" w:rsidTr="002C1596">
        <w:tc>
          <w:tcPr>
            <w:tcW w:w="2977" w:type="dxa"/>
            <w:shd w:val="clear" w:color="auto" w:fill="auto"/>
          </w:tcPr>
          <w:p w:rsidR="002C1596" w:rsidRPr="002C1596" w:rsidRDefault="00B27FB1" w:rsidP="002C1596">
            <w:pPr>
              <w:spacing w:before="40" w:after="120"/>
              <w:ind w:right="113"/>
            </w:pPr>
            <w:r>
              <w:t>Thématique 5 : Discrimination</w:t>
            </w:r>
          </w:p>
        </w:tc>
        <w:tc>
          <w:tcPr>
            <w:tcW w:w="1559" w:type="dxa"/>
            <w:shd w:val="clear" w:color="auto" w:fill="auto"/>
          </w:tcPr>
          <w:p w:rsidR="002C1596" w:rsidRPr="002C1596" w:rsidRDefault="002C1596" w:rsidP="002C1596">
            <w:pPr>
              <w:spacing w:before="40" w:after="120"/>
              <w:ind w:right="113"/>
            </w:pPr>
          </w:p>
        </w:tc>
        <w:tc>
          <w:tcPr>
            <w:tcW w:w="3969" w:type="dxa"/>
            <w:shd w:val="clear" w:color="auto" w:fill="auto"/>
          </w:tcPr>
          <w:p w:rsidR="002C1596" w:rsidRPr="002C1596" w:rsidRDefault="002C1596" w:rsidP="00B27FB1">
            <w:pPr>
              <w:spacing w:before="40" w:after="120"/>
              <w:ind w:right="113"/>
            </w:pPr>
          </w:p>
        </w:tc>
      </w:tr>
      <w:tr w:rsidR="008E0927" w:rsidRPr="002C1596" w:rsidTr="002C1596">
        <w:tc>
          <w:tcPr>
            <w:tcW w:w="2977" w:type="dxa"/>
            <w:shd w:val="clear" w:color="auto" w:fill="auto"/>
          </w:tcPr>
          <w:p w:rsidR="008E0927" w:rsidRDefault="008E0927" w:rsidP="008E0927">
            <w:pPr>
              <w:spacing w:before="40" w:after="120"/>
              <w:ind w:right="113"/>
            </w:pPr>
            <w:r w:rsidRPr="008E0927">
              <w:rPr>
                <w:lang w:val="fr-FR"/>
              </w:rPr>
              <w:t>119.16 ; 119.17 ; 119.18 ;</w:t>
            </w:r>
            <w:r>
              <w:rPr>
                <w:lang w:val="fr-FR"/>
              </w:rPr>
              <w:t xml:space="preserve"> </w:t>
            </w:r>
            <w:r w:rsidRPr="008E0927">
              <w:rPr>
                <w:lang w:val="fr-FR"/>
              </w:rPr>
              <w:t>119.20</w:t>
            </w:r>
            <w:r>
              <w:rPr>
                <w:lang w:val="fr-FR"/>
              </w:rPr>
              <w:t> ;</w:t>
            </w:r>
            <w:r w:rsidR="00444FD7">
              <w:rPr>
                <w:lang w:val="fr-FR"/>
              </w:rPr>
              <w:t xml:space="preserve"> </w:t>
            </w:r>
            <w:r>
              <w:rPr>
                <w:lang w:val="fr-FR"/>
              </w:rPr>
              <w:t>120.11.</w:t>
            </w:r>
          </w:p>
        </w:tc>
        <w:tc>
          <w:tcPr>
            <w:tcW w:w="1559" w:type="dxa"/>
            <w:shd w:val="clear" w:color="auto" w:fill="auto"/>
          </w:tcPr>
          <w:p w:rsidR="008E0927" w:rsidRPr="00B27FB1" w:rsidRDefault="008E0927" w:rsidP="002C1596">
            <w:pPr>
              <w:spacing w:before="40" w:after="120"/>
              <w:ind w:right="113"/>
            </w:pPr>
            <w:r w:rsidRPr="008E0927">
              <w:t>Notées</w:t>
            </w:r>
          </w:p>
        </w:tc>
        <w:tc>
          <w:tcPr>
            <w:tcW w:w="3969" w:type="dxa"/>
            <w:shd w:val="clear" w:color="auto" w:fill="auto"/>
          </w:tcPr>
          <w:p w:rsidR="008E0927" w:rsidRPr="008E0927" w:rsidRDefault="008E0927" w:rsidP="008E0927">
            <w:pPr>
              <w:spacing w:before="40" w:after="120"/>
              <w:ind w:right="113"/>
              <w:rPr>
                <w:lang w:val="fr-FR"/>
              </w:rPr>
            </w:pPr>
            <w:r w:rsidRPr="008E0927">
              <w:rPr>
                <w:lang w:val="fr-FR"/>
              </w:rPr>
              <w:t>Pour ce qui est de la discrimination, au niveau du Gouvernement, le projet de loi de révision du Code Civil prévoit l’intégration expresse pour protéger les personnes contre la discrimination, en particulier les femmes et les peuples autochtones. Dans certains textes juridiques domestiques, la discrimination est interdite.</w:t>
            </w:r>
          </w:p>
          <w:p w:rsidR="008E0927" w:rsidRPr="008E0927" w:rsidRDefault="008E0927" w:rsidP="008E0927">
            <w:pPr>
              <w:spacing w:before="40" w:after="120"/>
              <w:ind w:right="113"/>
              <w:rPr>
                <w:lang w:val="fr-FR"/>
              </w:rPr>
            </w:pPr>
            <w:r w:rsidRPr="008E0927">
              <w:rPr>
                <w:lang w:val="fr-FR"/>
              </w:rPr>
              <w:lastRenderedPageBreak/>
              <w:t>A l’exception des personnes vivant avec un handicap, et pour lesquelles le gouvernement vient d’adopter un Plan d’actions national dont elles ont présidé les travaux, les autres citoyens peuvent se prévaloir de disposer d’une protection juridique étendue.</w:t>
            </w:r>
          </w:p>
          <w:p w:rsidR="008E0927" w:rsidRPr="008E0927" w:rsidRDefault="008E0927" w:rsidP="008E0927">
            <w:pPr>
              <w:spacing w:before="40" w:after="120"/>
              <w:ind w:right="113"/>
              <w:rPr>
                <w:lang w:val="fr-FR"/>
              </w:rPr>
            </w:pPr>
            <w:r w:rsidRPr="008E0927">
              <w:rPr>
                <w:lang w:val="fr-FR"/>
              </w:rPr>
              <w:t xml:space="preserve">En République Gabonaise, il n’est fait mention d’aucun texte discriminatoire. C’est à travers des comportements humains isolés que l’on a tendance à croire à un acte institué. </w:t>
            </w:r>
          </w:p>
          <w:p w:rsidR="008E0927" w:rsidRPr="00B27FB1" w:rsidRDefault="008E0927" w:rsidP="008E0927">
            <w:pPr>
              <w:spacing w:before="40" w:after="120"/>
              <w:ind w:right="113"/>
              <w:rPr>
                <w:lang w:val="fr-FR"/>
              </w:rPr>
            </w:pPr>
            <w:r w:rsidRPr="008E0927">
              <w:rPr>
                <w:lang w:val="fr-FR"/>
              </w:rPr>
              <w:t>L’adhésion à la Convention contre la discrimination dans le domaine de l’éducation est en voie d’adoption.</w:t>
            </w:r>
          </w:p>
        </w:tc>
      </w:tr>
      <w:tr w:rsidR="00B27FB1" w:rsidRPr="002C1596" w:rsidTr="000604CA">
        <w:tc>
          <w:tcPr>
            <w:tcW w:w="8505" w:type="dxa"/>
            <w:gridSpan w:val="3"/>
            <w:shd w:val="clear" w:color="auto" w:fill="auto"/>
          </w:tcPr>
          <w:p w:rsidR="00B27FB1" w:rsidRPr="002C1596" w:rsidRDefault="00B27FB1" w:rsidP="002C1596">
            <w:pPr>
              <w:spacing w:before="40" w:after="120"/>
              <w:ind w:right="113"/>
            </w:pPr>
            <w:r>
              <w:lastRenderedPageBreak/>
              <w:t>Thématique 6 : Droits des femmes et égalité</w:t>
            </w:r>
          </w:p>
        </w:tc>
      </w:tr>
      <w:tr w:rsidR="002C1596" w:rsidRPr="002C1596" w:rsidTr="002C1596">
        <w:tc>
          <w:tcPr>
            <w:tcW w:w="2977" w:type="dxa"/>
            <w:shd w:val="clear" w:color="auto" w:fill="auto"/>
          </w:tcPr>
          <w:p w:rsidR="002C1596" w:rsidRPr="002C1596" w:rsidRDefault="00B27FB1" w:rsidP="002C1596">
            <w:pPr>
              <w:spacing w:before="40" w:after="120"/>
              <w:ind w:right="113"/>
            </w:pPr>
            <w:r>
              <w:t>120.12.</w:t>
            </w:r>
          </w:p>
        </w:tc>
        <w:tc>
          <w:tcPr>
            <w:tcW w:w="1559" w:type="dxa"/>
            <w:shd w:val="clear" w:color="auto" w:fill="auto"/>
          </w:tcPr>
          <w:p w:rsidR="002C1596" w:rsidRPr="002C1596" w:rsidRDefault="00B27FB1" w:rsidP="002C1596">
            <w:pPr>
              <w:spacing w:before="40" w:after="120"/>
              <w:ind w:right="113"/>
            </w:pPr>
            <w:r>
              <w:t>Notée</w:t>
            </w:r>
          </w:p>
        </w:tc>
        <w:tc>
          <w:tcPr>
            <w:tcW w:w="3969" w:type="dxa"/>
            <w:shd w:val="clear" w:color="auto" w:fill="auto"/>
          </w:tcPr>
          <w:p w:rsidR="002C1596" w:rsidRPr="002C1596" w:rsidRDefault="002C1596" w:rsidP="002C1596">
            <w:pPr>
              <w:spacing w:before="40" w:after="120"/>
              <w:ind w:right="113"/>
            </w:pPr>
          </w:p>
        </w:tc>
      </w:tr>
      <w:tr w:rsidR="002C1596" w:rsidRPr="002C1596" w:rsidTr="002C1596">
        <w:tc>
          <w:tcPr>
            <w:tcW w:w="2977" w:type="dxa"/>
            <w:shd w:val="clear" w:color="auto" w:fill="auto"/>
          </w:tcPr>
          <w:p w:rsidR="002C1596" w:rsidRPr="002C1596" w:rsidRDefault="00B27FB1" w:rsidP="002C1596">
            <w:pPr>
              <w:spacing w:before="40" w:after="120"/>
              <w:ind w:right="113"/>
            </w:pPr>
            <w:r>
              <w:t>Thématique 7 : Droits de l’enfant</w:t>
            </w:r>
          </w:p>
        </w:tc>
        <w:tc>
          <w:tcPr>
            <w:tcW w:w="1559" w:type="dxa"/>
            <w:shd w:val="clear" w:color="auto" w:fill="auto"/>
          </w:tcPr>
          <w:p w:rsidR="002C1596" w:rsidRPr="002C1596" w:rsidRDefault="002C1596" w:rsidP="002C1596">
            <w:pPr>
              <w:spacing w:before="40" w:after="120"/>
              <w:ind w:right="113"/>
            </w:pPr>
          </w:p>
        </w:tc>
        <w:tc>
          <w:tcPr>
            <w:tcW w:w="3969" w:type="dxa"/>
            <w:shd w:val="clear" w:color="auto" w:fill="auto"/>
          </w:tcPr>
          <w:p w:rsidR="002C1596" w:rsidRPr="002C1596" w:rsidRDefault="002C1596" w:rsidP="002C1596">
            <w:pPr>
              <w:spacing w:before="40" w:after="120"/>
              <w:ind w:right="113"/>
            </w:pPr>
          </w:p>
        </w:tc>
      </w:tr>
      <w:tr w:rsidR="002C1596" w:rsidRPr="002C1596" w:rsidTr="002C1596">
        <w:tc>
          <w:tcPr>
            <w:tcW w:w="2977" w:type="dxa"/>
            <w:shd w:val="clear" w:color="auto" w:fill="auto"/>
          </w:tcPr>
          <w:p w:rsidR="002C1596" w:rsidRPr="002C1596" w:rsidRDefault="00B27FB1" w:rsidP="002C1596">
            <w:pPr>
              <w:spacing w:before="40" w:after="120"/>
              <w:ind w:right="113"/>
            </w:pPr>
            <w:r>
              <w:t>120.15.</w:t>
            </w:r>
          </w:p>
        </w:tc>
        <w:tc>
          <w:tcPr>
            <w:tcW w:w="1559" w:type="dxa"/>
            <w:shd w:val="clear" w:color="auto" w:fill="auto"/>
          </w:tcPr>
          <w:p w:rsidR="002C1596" w:rsidRPr="002C1596" w:rsidRDefault="00B27FB1" w:rsidP="002C1596">
            <w:pPr>
              <w:spacing w:before="40" w:after="120"/>
              <w:ind w:right="113"/>
            </w:pPr>
            <w:r>
              <w:t>Notée</w:t>
            </w:r>
          </w:p>
        </w:tc>
        <w:tc>
          <w:tcPr>
            <w:tcW w:w="3969" w:type="dxa"/>
            <w:shd w:val="clear" w:color="auto" w:fill="auto"/>
          </w:tcPr>
          <w:p w:rsidR="002C1596" w:rsidRPr="002C1596" w:rsidRDefault="002C1596" w:rsidP="002C1596">
            <w:pPr>
              <w:spacing w:before="40" w:after="120"/>
              <w:ind w:right="113"/>
            </w:pPr>
          </w:p>
        </w:tc>
      </w:tr>
      <w:tr w:rsidR="00B96E97" w:rsidRPr="002C1596" w:rsidTr="009C7A85">
        <w:tc>
          <w:tcPr>
            <w:tcW w:w="8505" w:type="dxa"/>
            <w:gridSpan w:val="3"/>
            <w:shd w:val="clear" w:color="auto" w:fill="auto"/>
          </w:tcPr>
          <w:p w:rsidR="00B96E97" w:rsidRPr="002C1596" w:rsidRDefault="00B96E97" w:rsidP="002C1596">
            <w:pPr>
              <w:spacing w:before="40" w:after="120"/>
              <w:ind w:right="113"/>
            </w:pPr>
            <w:r>
              <w:t>Thématique 8 : Liberté d’expression</w:t>
            </w:r>
          </w:p>
        </w:tc>
      </w:tr>
      <w:tr w:rsidR="002C1596" w:rsidRPr="002C1596" w:rsidTr="002C1596">
        <w:tc>
          <w:tcPr>
            <w:tcW w:w="2977" w:type="dxa"/>
            <w:tcBorders>
              <w:bottom w:val="single" w:sz="12" w:space="0" w:color="auto"/>
            </w:tcBorders>
            <w:shd w:val="clear" w:color="auto" w:fill="auto"/>
          </w:tcPr>
          <w:p w:rsidR="002C1596" w:rsidRPr="002C1596" w:rsidRDefault="00B96E97" w:rsidP="002C1596">
            <w:pPr>
              <w:spacing w:before="40" w:after="120"/>
              <w:ind w:right="113"/>
            </w:pPr>
            <w:r w:rsidRPr="00B96E97">
              <w:rPr>
                <w:lang w:val="fr-FR"/>
              </w:rPr>
              <w:t>119.19 ;</w:t>
            </w:r>
            <w:r>
              <w:rPr>
                <w:lang w:val="fr-FR"/>
              </w:rPr>
              <w:t xml:space="preserve"> </w:t>
            </w:r>
            <w:r w:rsidRPr="00B96E97">
              <w:rPr>
                <w:lang w:val="fr-FR"/>
              </w:rPr>
              <w:t>120.13 ; 120.14</w:t>
            </w:r>
            <w:r>
              <w:rPr>
                <w:lang w:val="fr-FR"/>
              </w:rPr>
              <w:t>.</w:t>
            </w:r>
          </w:p>
        </w:tc>
        <w:tc>
          <w:tcPr>
            <w:tcW w:w="1559" w:type="dxa"/>
            <w:tcBorders>
              <w:bottom w:val="single" w:sz="12" w:space="0" w:color="auto"/>
            </w:tcBorders>
            <w:shd w:val="clear" w:color="auto" w:fill="auto"/>
          </w:tcPr>
          <w:p w:rsidR="002C1596" w:rsidRPr="002C1596" w:rsidRDefault="00B96E97" w:rsidP="002C1596">
            <w:pPr>
              <w:spacing w:before="40" w:after="120"/>
              <w:ind w:right="113"/>
            </w:pPr>
            <w:r>
              <w:t>Notées</w:t>
            </w:r>
          </w:p>
        </w:tc>
        <w:tc>
          <w:tcPr>
            <w:tcW w:w="3969" w:type="dxa"/>
            <w:tcBorders>
              <w:bottom w:val="single" w:sz="12" w:space="0" w:color="auto"/>
            </w:tcBorders>
            <w:shd w:val="clear" w:color="auto" w:fill="auto"/>
          </w:tcPr>
          <w:p w:rsidR="002C1596" w:rsidRPr="002C1596" w:rsidRDefault="002C1596" w:rsidP="002C1596">
            <w:pPr>
              <w:spacing w:before="40" w:after="120"/>
              <w:ind w:right="113"/>
            </w:pPr>
          </w:p>
        </w:tc>
      </w:tr>
    </w:tbl>
    <w:p w:rsidR="002C1596" w:rsidRPr="00B96E97" w:rsidRDefault="00B96E97" w:rsidP="00B96E97">
      <w:pPr>
        <w:pStyle w:val="SingleTxtG"/>
        <w:spacing w:before="240" w:after="0"/>
        <w:jc w:val="center"/>
        <w:rPr>
          <w:u w:val="single"/>
        </w:rPr>
      </w:pPr>
      <w:r>
        <w:rPr>
          <w:u w:val="single"/>
        </w:rPr>
        <w:tab/>
      </w:r>
      <w:r>
        <w:rPr>
          <w:u w:val="single"/>
        </w:rPr>
        <w:tab/>
      </w:r>
      <w:r>
        <w:rPr>
          <w:u w:val="single"/>
        </w:rPr>
        <w:tab/>
      </w:r>
    </w:p>
    <w:sectPr w:rsidR="002C1596" w:rsidRPr="00B96E97" w:rsidSect="00EA10C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C4" w:rsidRDefault="00EA10C4"/>
  </w:endnote>
  <w:endnote w:type="continuationSeparator" w:id="0">
    <w:p w:rsidR="00EA10C4" w:rsidRDefault="00EA10C4"/>
  </w:endnote>
  <w:endnote w:type="continuationNotice" w:id="1">
    <w:p w:rsidR="00EA10C4" w:rsidRDefault="00EA1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C4" w:rsidRPr="00EA10C4" w:rsidRDefault="00EA10C4" w:rsidP="00EA10C4">
    <w:pPr>
      <w:pStyle w:val="Footer"/>
      <w:tabs>
        <w:tab w:val="right" w:pos="9638"/>
      </w:tabs>
      <w:rPr>
        <w:sz w:val="18"/>
      </w:rPr>
    </w:pPr>
    <w:r w:rsidRPr="00EA10C4">
      <w:rPr>
        <w:b/>
        <w:sz w:val="18"/>
      </w:rPr>
      <w:fldChar w:fldCharType="begin"/>
    </w:r>
    <w:r w:rsidRPr="00EA10C4">
      <w:rPr>
        <w:b/>
        <w:sz w:val="18"/>
      </w:rPr>
      <w:instrText xml:space="preserve"> PAGE  \* MERGEFORMAT </w:instrText>
    </w:r>
    <w:r w:rsidRPr="00EA10C4">
      <w:rPr>
        <w:b/>
        <w:sz w:val="18"/>
      </w:rPr>
      <w:fldChar w:fldCharType="separate"/>
    </w:r>
    <w:r w:rsidR="00C20A1D">
      <w:rPr>
        <w:b/>
        <w:noProof/>
        <w:sz w:val="18"/>
      </w:rPr>
      <w:t>8</w:t>
    </w:r>
    <w:r w:rsidRPr="00EA10C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C4" w:rsidRPr="00EA10C4" w:rsidRDefault="00EA10C4" w:rsidP="00EA10C4">
    <w:pPr>
      <w:pStyle w:val="Footer"/>
      <w:tabs>
        <w:tab w:val="right" w:pos="9638"/>
      </w:tabs>
      <w:rPr>
        <w:b/>
        <w:sz w:val="18"/>
      </w:rPr>
    </w:pPr>
    <w:r>
      <w:tab/>
    </w:r>
    <w:r w:rsidRPr="00EA10C4">
      <w:rPr>
        <w:b/>
        <w:sz w:val="18"/>
      </w:rPr>
      <w:fldChar w:fldCharType="begin"/>
    </w:r>
    <w:r w:rsidRPr="00EA10C4">
      <w:rPr>
        <w:b/>
        <w:sz w:val="18"/>
      </w:rPr>
      <w:instrText xml:space="preserve"> PAGE  \* MERGEFORMAT </w:instrText>
    </w:r>
    <w:r w:rsidRPr="00EA10C4">
      <w:rPr>
        <w:b/>
        <w:sz w:val="18"/>
      </w:rPr>
      <w:fldChar w:fldCharType="separate"/>
    </w:r>
    <w:r w:rsidR="00C20A1D">
      <w:rPr>
        <w:b/>
        <w:noProof/>
        <w:sz w:val="18"/>
      </w:rPr>
      <w:t>9</w:t>
    </w:r>
    <w:r w:rsidRPr="00EA10C4">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C4" w:rsidRPr="00D27D5E" w:rsidRDefault="00EA10C4" w:rsidP="00D27D5E">
      <w:pPr>
        <w:tabs>
          <w:tab w:val="right" w:pos="2155"/>
        </w:tabs>
        <w:spacing w:after="80"/>
        <w:ind w:left="680"/>
        <w:rPr>
          <w:u w:val="single"/>
        </w:rPr>
      </w:pPr>
      <w:r>
        <w:rPr>
          <w:u w:val="single"/>
        </w:rPr>
        <w:tab/>
      </w:r>
    </w:p>
  </w:footnote>
  <w:footnote w:type="continuationSeparator" w:id="0">
    <w:p w:rsidR="00EA10C4" w:rsidRPr="00D72E7E" w:rsidRDefault="00EA10C4" w:rsidP="00D72E7E">
      <w:pPr>
        <w:tabs>
          <w:tab w:val="right" w:pos="2155"/>
        </w:tabs>
        <w:spacing w:after="80"/>
        <w:ind w:left="680"/>
        <w:rPr>
          <w:u w:val="single"/>
        </w:rPr>
      </w:pPr>
      <w:r w:rsidRPr="00D72E7E">
        <w:rPr>
          <w:u w:val="single"/>
        </w:rPr>
        <w:tab/>
      </w:r>
    </w:p>
  </w:footnote>
  <w:footnote w:type="continuationNotice" w:id="1">
    <w:p w:rsidR="00EA10C4" w:rsidRDefault="00EA10C4"/>
  </w:footnote>
  <w:footnote w:id="2">
    <w:p w:rsidR="00EA10C4" w:rsidRPr="005A0E69" w:rsidRDefault="00EA10C4" w:rsidP="00EA10C4">
      <w:pPr>
        <w:pStyle w:val="FootnoteText"/>
        <w:rPr>
          <w:lang w:val="fr-FR"/>
        </w:rPr>
      </w:pPr>
      <w:r>
        <w:tab/>
      </w:r>
      <w:r w:rsidRPr="00990024">
        <w:rPr>
          <w:rStyle w:val="FootnoteReference"/>
          <w:sz w:val="20"/>
          <w:vertAlign w:val="baseline"/>
          <w:lang w:val="fr-FR"/>
        </w:rPr>
        <w:t>*</w:t>
      </w:r>
      <w:r w:rsidRPr="005A0E69">
        <w:rPr>
          <w:sz w:val="20"/>
          <w:lang w:val="fr-FR"/>
        </w:rPr>
        <w:tab/>
      </w:r>
      <w:r w:rsidRPr="00150F0D">
        <w:rPr>
          <w:lang w:val="fr-FR"/>
        </w:rPr>
        <w:t>Le présent document n</w:t>
      </w:r>
      <w:r>
        <w:rPr>
          <w:lang w:val="fr-FR"/>
        </w:rPr>
        <w:t>’</w:t>
      </w:r>
      <w:r w:rsidRPr="00150F0D">
        <w:rPr>
          <w:lang w:val="fr-FR"/>
        </w:rPr>
        <w:t>a pas été revu par les services d</w:t>
      </w:r>
      <w:r>
        <w:rPr>
          <w:lang w:val="fr-FR"/>
        </w:rPr>
        <w:t>’</w:t>
      </w:r>
      <w:r w:rsidRPr="00150F0D">
        <w:rPr>
          <w:lang w:val="fr-FR"/>
        </w:rPr>
        <w:t>édition avant d</w:t>
      </w:r>
      <w:r>
        <w:rPr>
          <w:lang w:val="fr-FR"/>
        </w:rPr>
        <w:t>’</w:t>
      </w:r>
      <w:r w:rsidRPr="00150F0D">
        <w:rPr>
          <w:lang w:val="fr-FR"/>
        </w:rPr>
        <w:t>être envoyé aux services de traduction de l</w:t>
      </w:r>
      <w:r>
        <w:rPr>
          <w:lang w:val="fr-FR"/>
        </w:rPr>
        <w:t>’</w:t>
      </w:r>
      <w:r w:rsidRPr="00150F0D">
        <w:rPr>
          <w:lang w:val="fr-FR"/>
        </w:rPr>
        <w:t>Organisation des Nations Unies.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C4" w:rsidRPr="00EA10C4" w:rsidRDefault="00AC434E">
    <w:pPr>
      <w:pStyle w:val="Header"/>
    </w:pPr>
    <w:fldSimple w:instr=" TITLE  \* MERGEFORMAT ">
      <w:r w:rsidR="00A6688D">
        <w:t>A/HRC/37/6/Add.1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C4" w:rsidRPr="00EA10C4" w:rsidRDefault="00AC434E" w:rsidP="00EA10C4">
    <w:pPr>
      <w:pStyle w:val="Header"/>
      <w:jc w:val="right"/>
    </w:pPr>
    <w:fldSimple w:instr=" TITLE  \* MERGEFORMAT ">
      <w:r w:rsidR="00A6688D">
        <w:t>A/HRC/37/6/Add.1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EE8CA7E"/>
    <w:lvl w:ilvl="0">
      <w:start w:val="1"/>
      <w:numFmt w:val="decimal"/>
      <w:lvlText w:val="%1."/>
      <w:lvlJc w:val="left"/>
      <w:pPr>
        <w:tabs>
          <w:tab w:val="num" w:pos="1492"/>
        </w:tabs>
        <w:ind w:left="1492" w:hanging="360"/>
      </w:pPr>
    </w:lvl>
  </w:abstractNum>
  <w:abstractNum w:abstractNumId="1">
    <w:nsid w:val="FFFFFF7D"/>
    <w:multiLevelType w:val="singleLevel"/>
    <w:tmpl w:val="CE3699EC"/>
    <w:lvl w:ilvl="0">
      <w:start w:val="1"/>
      <w:numFmt w:val="decimal"/>
      <w:lvlText w:val="%1."/>
      <w:lvlJc w:val="left"/>
      <w:pPr>
        <w:tabs>
          <w:tab w:val="num" w:pos="1209"/>
        </w:tabs>
        <w:ind w:left="1209" w:hanging="360"/>
      </w:pPr>
    </w:lvl>
  </w:abstractNum>
  <w:abstractNum w:abstractNumId="2">
    <w:nsid w:val="FFFFFF7E"/>
    <w:multiLevelType w:val="singleLevel"/>
    <w:tmpl w:val="5164D40E"/>
    <w:lvl w:ilvl="0">
      <w:start w:val="1"/>
      <w:numFmt w:val="decimal"/>
      <w:lvlText w:val="%1."/>
      <w:lvlJc w:val="left"/>
      <w:pPr>
        <w:tabs>
          <w:tab w:val="num" w:pos="926"/>
        </w:tabs>
        <w:ind w:left="926" w:hanging="360"/>
      </w:pPr>
    </w:lvl>
  </w:abstractNum>
  <w:abstractNum w:abstractNumId="3">
    <w:nsid w:val="FFFFFF7F"/>
    <w:multiLevelType w:val="singleLevel"/>
    <w:tmpl w:val="14B486FE"/>
    <w:lvl w:ilvl="0">
      <w:start w:val="1"/>
      <w:numFmt w:val="decimal"/>
      <w:lvlText w:val="%1."/>
      <w:lvlJc w:val="left"/>
      <w:pPr>
        <w:tabs>
          <w:tab w:val="num" w:pos="643"/>
        </w:tabs>
        <w:ind w:left="643" w:hanging="360"/>
      </w:pPr>
    </w:lvl>
  </w:abstractNum>
  <w:abstractNum w:abstractNumId="4">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789420"/>
    <w:lvl w:ilvl="0">
      <w:start w:val="1"/>
      <w:numFmt w:val="decimal"/>
      <w:lvlText w:val="%1."/>
      <w:lvlJc w:val="left"/>
      <w:pPr>
        <w:tabs>
          <w:tab w:val="num" w:pos="360"/>
        </w:tabs>
        <w:ind w:left="360" w:hanging="360"/>
      </w:pPr>
    </w:lvl>
  </w:abstractNum>
  <w:abstractNum w:abstractNumId="9">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1">
    <w:nsid w:val="00000002"/>
    <w:multiLevelType w:val="singleLevel"/>
    <w:tmpl w:val="00000002"/>
    <w:name w:val="WW8Num2"/>
    <w:lvl w:ilvl="0">
      <w:start w:val="2"/>
      <w:numFmt w:val="bullet"/>
      <w:lvlText w:val="-"/>
      <w:lvlJc w:val="left"/>
      <w:pPr>
        <w:tabs>
          <w:tab w:val="num" w:pos="0"/>
        </w:tabs>
        <w:ind w:left="720" w:hanging="360"/>
      </w:pPr>
      <w:rPr>
        <w:rFonts w:ascii="Times New Roman" w:hAnsi="Times New Roman" w:cs="Times New Roman" w:hint="default"/>
      </w:rPr>
    </w:lvl>
  </w:abstractNum>
  <w:abstractNum w:abstractNumId="12">
    <w:nsid w:val="00000003"/>
    <w:multiLevelType w:val="singleLevel"/>
    <w:tmpl w:val="00000003"/>
    <w:name w:val="WW8Num3"/>
    <w:lvl w:ilvl="0">
      <w:numFmt w:val="bullet"/>
      <w:lvlText w:val="-"/>
      <w:lvlJc w:val="left"/>
      <w:pPr>
        <w:tabs>
          <w:tab w:val="num" w:pos="0"/>
        </w:tabs>
        <w:ind w:left="720" w:hanging="360"/>
      </w:pPr>
      <w:rPr>
        <w:rFonts w:ascii="Times New Roman" w:hAnsi="Times New Roman" w:cs="Times New Roman" w:hint="default"/>
      </w:rPr>
    </w:lvl>
  </w:abstractNum>
  <w:abstractNum w:abstractNumId="1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2B3F49C6"/>
    <w:multiLevelType w:val="singleLevel"/>
    <w:tmpl w:val="720CB540"/>
    <w:lvl w:ilvl="0">
      <w:start w:val="1"/>
      <w:numFmt w:val="lowerRoman"/>
      <w:lvlText w:val="(%1)"/>
      <w:lvlJc w:val="right"/>
      <w:pPr>
        <w:tabs>
          <w:tab w:val="num" w:pos="2160"/>
        </w:tabs>
        <w:ind w:left="2160" w:hanging="516"/>
      </w:pPr>
    </w:lvl>
  </w:abstractNum>
  <w:abstractNum w:abstractNumId="18">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2">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24"/>
  </w:num>
  <w:num w:numId="2">
    <w:abstractNumId w:val="17"/>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18"/>
  </w:num>
  <w:num w:numId="14">
    <w:abstractNumId w:val="23"/>
  </w:num>
  <w:num w:numId="15">
    <w:abstractNumId w:val="22"/>
  </w:num>
  <w:num w:numId="16">
    <w:abstractNumId w:val="21"/>
  </w:num>
  <w:num w:numId="17">
    <w:abstractNumId w:val="19"/>
  </w:num>
  <w:num w:numId="18">
    <w:abstractNumId w:val="21"/>
  </w:num>
  <w:num w:numId="19">
    <w:abstractNumId w:val="19"/>
  </w:num>
  <w:num w:numId="20">
    <w:abstractNumId w:val="21"/>
  </w:num>
  <w:num w:numId="21">
    <w:abstractNumId w:val="19"/>
  </w:num>
  <w:num w:numId="22">
    <w:abstractNumId w:val="15"/>
  </w:num>
  <w:num w:numId="23">
    <w:abstractNumId w:val="20"/>
  </w:num>
  <w:num w:numId="24">
    <w:abstractNumId w:val="16"/>
  </w:num>
  <w:num w:numId="25">
    <w:abstractNumId w:val="13"/>
  </w:num>
  <w:num w:numId="26">
    <w:abstractNumId w:val="12"/>
  </w:num>
  <w:num w:numId="27">
    <w:abstractNumId w:val="10"/>
  </w:num>
  <w:num w:numId="28">
    <w:abstractNumId w:val="14"/>
  </w:num>
  <w:num w:numId="2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C4"/>
    <w:rsid w:val="000137D7"/>
    <w:rsid w:val="00016AC5"/>
    <w:rsid w:val="00020C56"/>
    <w:rsid w:val="00025771"/>
    <w:rsid w:val="0003055E"/>
    <w:rsid w:val="000472C3"/>
    <w:rsid w:val="00057BC0"/>
    <w:rsid w:val="000601BF"/>
    <w:rsid w:val="0008047D"/>
    <w:rsid w:val="0008167F"/>
    <w:rsid w:val="000D3AC3"/>
    <w:rsid w:val="000E03D2"/>
    <w:rsid w:val="000F41F2"/>
    <w:rsid w:val="0011219D"/>
    <w:rsid w:val="00133B7A"/>
    <w:rsid w:val="001370FA"/>
    <w:rsid w:val="00153B2E"/>
    <w:rsid w:val="00160540"/>
    <w:rsid w:val="00170BBF"/>
    <w:rsid w:val="00172B99"/>
    <w:rsid w:val="00186254"/>
    <w:rsid w:val="00192EEB"/>
    <w:rsid w:val="001A20FB"/>
    <w:rsid w:val="001C6647"/>
    <w:rsid w:val="001E3FEB"/>
    <w:rsid w:val="001E4A02"/>
    <w:rsid w:val="0021691E"/>
    <w:rsid w:val="002422E1"/>
    <w:rsid w:val="002659F1"/>
    <w:rsid w:val="00287E79"/>
    <w:rsid w:val="002928F9"/>
    <w:rsid w:val="002A5D07"/>
    <w:rsid w:val="002C1596"/>
    <w:rsid w:val="003016B7"/>
    <w:rsid w:val="003515AA"/>
    <w:rsid w:val="00374106"/>
    <w:rsid w:val="0037787B"/>
    <w:rsid w:val="003800E1"/>
    <w:rsid w:val="003976D5"/>
    <w:rsid w:val="003D193B"/>
    <w:rsid w:val="003D5D72"/>
    <w:rsid w:val="003D6C68"/>
    <w:rsid w:val="003E6ACD"/>
    <w:rsid w:val="004159D0"/>
    <w:rsid w:val="00444FD7"/>
    <w:rsid w:val="00453816"/>
    <w:rsid w:val="00481744"/>
    <w:rsid w:val="00482630"/>
    <w:rsid w:val="004B2F4D"/>
    <w:rsid w:val="004E0ED4"/>
    <w:rsid w:val="00506892"/>
    <w:rsid w:val="00515E4C"/>
    <w:rsid w:val="00571F41"/>
    <w:rsid w:val="00594033"/>
    <w:rsid w:val="005E5D1F"/>
    <w:rsid w:val="005F3C2D"/>
    <w:rsid w:val="00612D48"/>
    <w:rsid w:val="00616B45"/>
    <w:rsid w:val="006402CD"/>
    <w:rsid w:val="006439EC"/>
    <w:rsid w:val="0066166E"/>
    <w:rsid w:val="006717FE"/>
    <w:rsid w:val="006739B9"/>
    <w:rsid w:val="006A4BB1"/>
    <w:rsid w:val="006B4590"/>
    <w:rsid w:val="006C340C"/>
    <w:rsid w:val="0070347C"/>
    <w:rsid w:val="007245EE"/>
    <w:rsid w:val="00757464"/>
    <w:rsid w:val="00757B26"/>
    <w:rsid w:val="007602DF"/>
    <w:rsid w:val="00794671"/>
    <w:rsid w:val="007B4AD1"/>
    <w:rsid w:val="007D30F7"/>
    <w:rsid w:val="0081197C"/>
    <w:rsid w:val="00844750"/>
    <w:rsid w:val="00874C83"/>
    <w:rsid w:val="0088312E"/>
    <w:rsid w:val="008921DD"/>
    <w:rsid w:val="0089595B"/>
    <w:rsid w:val="008A6CEE"/>
    <w:rsid w:val="008B4356"/>
    <w:rsid w:val="008E0927"/>
    <w:rsid w:val="008E7FAE"/>
    <w:rsid w:val="00911BF7"/>
    <w:rsid w:val="0096714A"/>
    <w:rsid w:val="00977EC8"/>
    <w:rsid w:val="00990024"/>
    <w:rsid w:val="009D3A8C"/>
    <w:rsid w:val="009D6DE2"/>
    <w:rsid w:val="009E7956"/>
    <w:rsid w:val="00A2492E"/>
    <w:rsid w:val="00A41FCA"/>
    <w:rsid w:val="00A63BBD"/>
    <w:rsid w:val="00A6688D"/>
    <w:rsid w:val="00A8374C"/>
    <w:rsid w:val="00A954DF"/>
    <w:rsid w:val="00AC434E"/>
    <w:rsid w:val="00AC47AD"/>
    <w:rsid w:val="00AC7977"/>
    <w:rsid w:val="00AE352C"/>
    <w:rsid w:val="00AE5C9A"/>
    <w:rsid w:val="00B27FB1"/>
    <w:rsid w:val="00B32AA5"/>
    <w:rsid w:val="00B32E2D"/>
    <w:rsid w:val="00B61990"/>
    <w:rsid w:val="00B9642C"/>
    <w:rsid w:val="00B96E97"/>
    <w:rsid w:val="00BE28D3"/>
    <w:rsid w:val="00BE589B"/>
    <w:rsid w:val="00BF0556"/>
    <w:rsid w:val="00C20A1D"/>
    <w:rsid w:val="00C261F8"/>
    <w:rsid w:val="00C717E0"/>
    <w:rsid w:val="00CD1A71"/>
    <w:rsid w:val="00CD1FBB"/>
    <w:rsid w:val="00CE2A9C"/>
    <w:rsid w:val="00CE5AFE"/>
    <w:rsid w:val="00D016B5"/>
    <w:rsid w:val="00D034F1"/>
    <w:rsid w:val="00D27D5E"/>
    <w:rsid w:val="00D42E42"/>
    <w:rsid w:val="00D72E7E"/>
    <w:rsid w:val="00DE2AF1"/>
    <w:rsid w:val="00DE6D90"/>
    <w:rsid w:val="00DF002F"/>
    <w:rsid w:val="00E0244D"/>
    <w:rsid w:val="00E53A1D"/>
    <w:rsid w:val="00E81E94"/>
    <w:rsid w:val="00E82607"/>
    <w:rsid w:val="00EA10C4"/>
    <w:rsid w:val="00F22103"/>
    <w:rsid w:val="00F42631"/>
    <w:rsid w:val="00F72951"/>
    <w:rsid w:val="00FA053E"/>
    <w:rsid w:val="00FA5A79"/>
    <w:rsid w:val="00FB0BFE"/>
    <w:rsid w:val="00FB4C51"/>
    <w:rsid w:val="00FF07B1"/>
    <w:rsid w:val="00FF1D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985A0C52-775E-4647-B6F7-BC266E03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71"/>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semiHidden/>
    <w:qFormat/>
    <w:rsid w:val="0008167F"/>
    <w:pPr>
      <w:spacing w:line="240" w:lineRule="auto"/>
      <w:outlineLvl w:val="1"/>
    </w:pPr>
    <w:rPr>
      <w:lang w:val="en-GB"/>
    </w:rPr>
  </w:style>
  <w:style w:type="paragraph" w:styleId="Heading3">
    <w:name w:val="heading 3"/>
    <w:basedOn w:val="Normal"/>
    <w:next w:val="Normal"/>
    <w:semiHidden/>
    <w:qFormat/>
    <w:rsid w:val="0008167F"/>
    <w:pPr>
      <w:spacing w:line="240" w:lineRule="auto"/>
      <w:outlineLvl w:val="2"/>
    </w:pPr>
    <w:rPr>
      <w:lang w:val="en-GB"/>
    </w:rPr>
  </w:style>
  <w:style w:type="paragraph" w:styleId="Heading4">
    <w:name w:val="heading 4"/>
    <w:basedOn w:val="Normal"/>
    <w:next w:val="Normal"/>
    <w:semiHidden/>
    <w:qFormat/>
    <w:rsid w:val="0008167F"/>
    <w:pPr>
      <w:spacing w:line="240" w:lineRule="auto"/>
      <w:outlineLvl w:val="3"/>
    </w:pPr>
    <w:rPr>
      <w:lang w:val="en-GB"/>
    </w:rPr>
  </w:style>
  <w:style w:type="paragraph" w:styleId="Heading5">
    <w:name w:val="heading 5"/>
    <w:basedOn w:val="Normal"/>
    <w:next w:val="Normal"/>
    <w:semiHidden/>
    <w:qFormat/>
    <w:rsid w:val="0008167F"/>
    <w:pPr>
      <w:spacing w:line="240" w:lineRule="auto"/>
      <w:outlineLvl w:val="4"/>
    </w:pPr>
    <w:rPr>
      <w:lang w:val="en-GB"/>
    </w:rPr>
  </w:style>
  <w:style w:type="paragraph" w:styleId="Heading6">
    <w:name w:val="heading 6"/>
    <w:basedOn w:val="Normal"/>
    <w:next w:val="Normal"/>
    <w:semiHidden/>
    <w:qFormat/>
    <w:rsid w:val="0008167F"/>
    <w:pPr>
      <w:spacing w:line="240" w:lineRule="auto"/>
      <w:outlineLvl w:val="5"/>
    </w:pPr>
    <w:rPr>
      <w:lang w:val="en-GB"/>
    </w:rPr>
  </w:style>
  <w:style w:type="paragraph" w:styleId="Heading7">
    <w:name w:val="heading 7"/>
    <w:basedOn w:val="Normal"/>
    <w:next w:val="Normal"/>
    <w:semiHidden/>
    <w:qFormat/>
    <w:rsid w:val="0008167F"/>
    <w:pPr>
      <w:spacing w:line="240" w:lineRule="auto"/>
      <w:outlineLvl w:val="6"/>
    </w:pPr>
    <w:rPr>
      <w:lang w:val="en-GB"/>
    </w:rPr>
  </w:style>
  <w:style w:type="paragraph" w:styleId="Heading8">
    <w:name w:val="heading 8"/>
    <w:basedOn w:val="Normal"/>
    <w:next w:val="Normal"/>
    <w:semiHidden/>
    <w:qFormat/>
    <w:rsid w:val="0008167F"/>
    <w:pPr>
      <w:spacing w:line="240" w:lineRule="auto"/>
      <w:outlineLvl w:val="7"/>
    </w:pPr>
    <w:rPr>
      <w:lang w:val="en-GB"/>
    </w:rPr>
  </w:style>
  <w:style w:type="paragraph" w:styleId="Heading9">
    <w:name w:val="heading 9"/>
    <w:basedOn w:val="Normal"/>
    <w:next w:val="Normal"/>
    <w:semiHidden/>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94671"/>
    <w:pPr>
      <w:spacing w:after="120"/>
      <w:ind w:left="1134" w:right="1134"/>
      <w:jc w:val="both"/>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22"/>
      </w:numPr>
      <w:spacing w:after="120"/>
      <w:ind w:right="1134"/>
      <w:jc w:val="both"/>
    </w:pPr>
  </w:style>
  <w:style w:type="paragraph" w:customStyle="1" w:styleId="Bullet2G">
    <w:name w:val="_Bullet 2_G"/>
    <w:basedOn w:val="Normal"/>
    <w:qFormat/>
    <w:rsid w:val="00794671"/>
    <w:pPr>
      <w:numPr>
        <w:numId w:val="23"/>
      </w:numPr>
      <w:spacing w:after="120"/>
      <w:ind w:right="1134"/>
      <w:jc w:val="both"/>
    </w:pPr>
  </w:style>
  <w:style w:type="character" w:styleId="FootnoteReference">
    <w:name w:val="footnote reference"/>
    <w:aliases w:val="4_G"/>
    <w:qFormat/>
    <w:rsid w:val="0008167F"/>
    <w:rPr>
      <w:rFonts w:ascii="Times New Roman" w:hAnsi="Times New Roman"/>
      <w:sz w:val="18"/>
      <w:vertAlign w:val="superscript"/>
    </w:rPr>
  </w:style>
  <w:style w:type="character" w:styleId="EndnoteReference">
    <w:name w:val="endnote reference"/>
    <w:aliases w:val="1_G"/>
    <w:qFormat/>
    <w:rsid w:val="00794671"/>
    <w:rPr>
      <w:rFonts w:ascii="Times New Roman" w:hAnsi="Times New Roman"/>
      <w:sz w:val="18"/>
      <w:vertAlign w:val="superscript"/>
      <w:lang w:val="fr-CH"/>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link w:val="FootnoteTextChar"/>
    <w:qFormat/>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08167F"/>
  </w:style>
  <w:style w:type="character" w:styleId="PageNumber">
    <w:name w:val="page number"/>
    <w:aliases w:val="7_G"/>
    <w:qFormat/>
    <w:rsid w:val="0008167F"/>
    <w:rPr>
      <w:rFonts w:ascii="Times New Roman" w:hAnsi="Times New Roman"/>
      <w:b/>
      <w:sz w:val="18"/>
    </w:rPr>
  </w:style>
  <w:style w:type="paragraph" w:styleId="Footer">
    <w:name w:val="footer"/>
    <w:aliases w:val="3_G"/>
    <w:basedOn w:val="Normal"/>
    <w:qFormat/>
    <w:rsid w:val="0008167F"/>
    <w:pPr>
      <w:spacing w:line="240" w:lineRule="auto"/>
    </w:pPr>
    <w:rPr>
      <w:sz w:val="16"/>
      <w:lang w:val="en-GB"/>
    </w:rPr>
  </w:style>
  <w:style w:type="character" w:styleId="Hyperlink">
    <w:name w:val="Hyperlink"/>
    <w:semiHidden/>
    <w:rsid w:val="0008167F"/>
    <w:rPr>
      <w:color w:val="auto"/>
      <w:u w:val="none"/>
    </w:rPr>
  </w:style>
  <w:style w:type="character" w:styleId="FollowedHyperlink">
    <w:name w:val="FollowedHyperlink"/>
    <w:semiHidden/>
    <w:rsid w:val="0008167F"/>
    <w:rPr>
      <w:color w:val="auto"/>
      <w:u w:val="none"/>
    </w:rPr>
  </w:style>
  <w:style w:type="table" w:styleId="TableGrid">
    <w:name w:val="Table Grid"/>
    <w:basedOn w:val="TableNormal"/>
    <w:semiHidden/>
    <w:rsid w:val="0008167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BalloonText">
    <w:name w:val="Balloon Text"/>
    <w:basedOn w:val="Normal"/>
    <w:link w:val="BalloonTextChar"/>
    <w:semiHidden/>
    <w:rsid w:val="006717FE"/>
    <w:pPr>
      <w:spacing w:line="240" w:lineRule="auto"/>
    </w:pPr>
    <w:rPr>
      <w:rFonts w:ascii="Tahoma" w:hAnsi="Tahoma" w:cs="Tahoma"/>
      <w:sz w:val="16"/>
      <w:szCs w:val="16"/>
    </w:rPr>
  </w:style>
  <w:style w:type="character" w:customStyle="1" w:styleId="BalloonTextChar">
    <w:name w:val="Balloon Text Char"/>
    <w:link w:val="BalloonText"/>
    <w:semiHidden/>
    <w:rsid w:val="006717FE"/>
    <w:rPr>
      <w:rFonts w:ascii="Tahoma" w:hAnsi="Tahoma" w:cs="Tahoma"/>
      <w:sz w:val="16"/>
      <w:szCs w:val="16"/>
      <w:lang w:val="fr-CH" w:eastAsia="en-US"/>
    </w:rPr>
  </w:style>
  <w:style w:type="paragraph" w:customStyle="1" w:styleId="ParNoG">
    <w:name w:val="_ParNo_G"/>
    <w:basedOn w:val="SingleTxtG"/>
    <w:qFormat/>
    <w:rsid w:val="007245EE"/>
    <w:pPr>
      <w:numPr>
        <w:numId w:val="24"/>
      </w:numPr>
      <w:kinsoku w:val="0"/>
      <w:overflowPunct w:val="0"/>
      <w:autoSpaceDE w:val="0"/>
      <w:autoSpaceDN w:val="0"/>
      <w:adjustRightInd w:val="0"/>
      <w:snapToGrid w:val="0"/>
    </w:pPr>
  </w:style>
  <w:style w:type="character" w:customStyle="1" w:styleId="FootnoteTextChar">
    <w:name w:val="Footnote Text Char"/>
    <w:aliases w:val="5_G Char"/>
    <w:link w:val="FootnoteText"/>
    <w:rsid w:val="00EA10C4"/>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7B0809-5D67-4F82-82B6-F8F6027497F2}">
  <ds:schemaRefs>
    <ds:schemaRef ds:uri="http://schemas.openxmlformats.org/officeDocument/2006/bibliography"/>
  </ds:schemaRefs>
</ds:datastoreItem>
</file>

<file path=customXml/itemProps2.xml><?xml version="1.0" encoding="utf-8"?>
<ds:datastoreItem xmlns:ds="http://schemas.openxmlformats.org/officeDocument/2006/customXml" ds:itemID="{6163B14E-2DC3-4567-8862-792D0E1EB10D}"/>
</file>

<file path=customXml/itemProps3.xml><?xml version="1.0" encoding="utf-8"?>
<ds:datastoreItem xmlns:ds="http://schemas.openxmlformats.org/officeDocument/2006/customXml" ds:itemID="{12B95623-9D51-43A8-8052-44B06A536CD6}"/>
</file>

<file path=customXml/itemProps4.xml><?xml version="1.0" encoding="utf-8"?>
<ds:datastoreItem xmlns:ds="http://schemas.openxmlformats.org/officeDocument/2006/customXml" ds:itemID="{389F8319-DD15-4344-B233-F67071E59076}"/>
</file>

<file path=docProps/app.xml><?xml version="1.0" encoding="utf-8"?>
<Properties xmlns="http://schemas.openxmlformats.org/officeDocument/2006/extended-properties" xmlns:vt="http://schemas.openxmlformats.org/officeDocument/2006/docPropsVTypes">
  <Template>A_F.dotm</Template>
  <TotalTime>1</TotalTime>
  <Pages>9</Pages>
  <Words>2522</Words>
  <Characters>14382</Characters>
  <Application>Microsoft Office Word</Application>
  <DocSecurity>4</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A/HRC/37/6/Add.1</vt:lpstr>
      <vt:lpstr>Nations Unies</vt:lpstr>
    </vt:vector>
  </TitlesOfParts>
  <Company>CSD</Company>
  <LinksUpToDate>false</LinksUpToDate>
  <CharactersWithSpaces>16871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Views on conclusions and/or recommendations, voluntary commitments and replies presented by Gabon in French</dc:title>
  <dc:creator>Sumiko IHARA</dc:creator>
  <cp:lastModifiedBy>IHARA Sumiko</cp:lastModifiedBy>
  <cp:revision>2</cp:revision>
  <cp:lastPrinted>2018-03-13T15:51:00Z</cp:lastPrinted>
  <dcterms:created xsi:type="dcterms:W3CDTF">2018-03-14T10:15:00Z</dcterms:created>
  <dcterms:modified xsi:type="dcterms:W3CDTF">2018-03-14T10:15:00Z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