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CB18FE" w:rsidRPr="00FE3D55">
        <w:trPr>
          <w:trHeight w:val="851"/>
        </w:trPr>
        <w:tc>
          <w:tcPr>
            <w:tcW w:w="1259" w:type="dxa"/>
            <w:tcBorders>
              <w:top w:val="nil"/>
              <w:left w:val="nil"/>
              <w:bottom w:val="single" w:sz="4" w:space="0" w:color="auto"/>
              <w:right w:val="nil"/>
            </w:tcBorders>
          </w:tcPr>
          <w:p w:rsidR="00CB18FE" w:rsidRPr="00FE3D55" w:rsidRDefault="00CB18FE" w:rsidP="00CB18FE">
            <w:pPr>
              <w:pStyle w:val="HMG"/>
            </w:pPr>
          </w:p>
        </w:tc>
        <w:tc>
          <w:tcPr>
            <w:tcW w:w="2236" w:type="dxa"/>
            <w:tcBorders>
              <w:top w:val="nil"/>
              <w:left w:val="nil"/>
              <w:bottom w:val="single" w:sz="4" w:space="0" w:color="auto"/>
              <w:right w:val="nil"/>
            </w:tcBorders>
            <w:vAlign w:val="bottom"/>
          </w:tcPr>
          <w:p w:rsidR="00CB18FE" w:rsidRPr="00FE3D55" w:rsidRDefault="00CB18FE" w:rsidP="00CB18FE">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CB18FE" w:rsidRPr="00FE3D55" w:rsidRDefault="00CB18FE" w:rsidP="00CB18FE">
            <w:pPr>
              <w:suppressAutoHyphens w:val="0"/>
              <w:spacing w:after="20"/>
              <w:jc w:val="right"/>
            </w:pPr>
            <w:r w:rsidRPr="00FE3D55">
              <w:rPr>
                <w:sz w:val="40"/>
              </w:rPr>
              <w:t>A</w:t>
            </w:r>
            <w:r w:rsidRPr="00FE3D55">
              <w:t>/HRC/37/1</w:t>
            </w:r>
          </w:p>
        </w:tc>
      </w:tr>
      <w:tr w:rsidR="00CB18FE" w:rsidRPr="00FE3D55">
        <w:trPr>
          <w:trHeight w:val="2835"/>
        </w:trPr>
        <w:tc>
          <w:tcPr>
            <w:tcW w:w="1259" w:type="dxa"/>
            <w:tcBorders>
              <w:top w:val="single" w:sz="4" w:space="0" w:color="auto"/>
              <w:left w:val="nil"/>
              <w:bottom w:val="single" w:sz="12" w:space="0" w:color="auto"/>
              <w:right w:val="nil"/>
            </w:tcBorders>
          </w:tcPr>
          <w:p w:rsidR="00CB18FE" w:rsidRPr="00FE3D55" w:rsidRDefault="00CB18FE" w:rsidP="00CB18FE">
            <w:pPr>
              <w:spacing w:before="120"/>
              <w:jc w:val="center"/>
            </w:pPr>
          </w:p>
        </w:tc>
        <w:tc>
          <w:tcPr>
            <w:tcW w:w="5450" w:type="dxa"/>
            <w:gridSpan w:val="2"/>
            <w:tcBorders>
              <w:top w:val="single" w:sz="4" w:space="0" w:color="auto"/>
              <w:left w:val="nil"/>
              <w:bottom w:val="single" w:sz="12" w:space="0" w:color="auto"/>
              <w:right w:val="nil"/>
            </w:tcBorders>
          </w:tcPr>
          <w:p w:rsidR="00CB18FE" w:rsidRPr="00FE3D55" w:rsidRDefault="006948E5" w:rsidP="00CB18FE">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CB18FE" w:rsidRPr="00032E05" w:rsidRDefault="00CB18FE" w:rsidP="00CB18FE">
            <w:pPr>
              <w:suppressAutoHyphens w:val="0"/>
              <w:spacing w:before="240" w:line="240" w:lineRule="exact"/>
            </w:pPr>
            <w:r w:rsidRPr="00032E05">
              <w:t>Distr.: General</w:t>
            </w:r>
          </w:p>
          <w:p w:rsidR="00CB18FE" w:rsidRPr="00032E05" w:rsidRDefault="00CB18FE" w:rsidP="00CB18FE">
            <w:pPr>
              <w:suppressAutoHyphens w:val="0"/>
            </w:pPr>
            <w:r>
              <w:t>18</w:t>
            </w:r>
            <w:r w:rsidRPr="00105C27">
              <w:t xml:space="preserve"> January 2018</w:t>
            </w:r>
          </w:p>
          <w:p w:rsidR="00CB18FE" w:rsidRPr="00032E05" w:rsidRDefault="00CB18FE" w:rsidP="00CB18FE">
            <w:pPr>
              <w:suppressAutoHyphens w:val="0"/>
            </w:pPr>
          </w:p>
          <w:p w:rsidR="00CB18FE" w:rsidRPr="00FE3D55" w:rsidRDefault="00CB18FE" w:rsidP="00CB18FE">
            <w:pPr>
              <w:suppressAutoHyphens w:val="0"/>
            </w:pPr>
            <w:r w:rsidRPr="00032E05">
              <w:t>Original: English</w:t>
            </w:r>
          </w:p>
        </w:tc>
      </w:tr>
    </w:tbl>
    <w:p w:rsidR="00CB18FE" w:rsidRPr="00DA4849" w:rsidRDefault="00CB18FE" w:rsidP="00CB18FE">
      <w:pPr>
        <w:spacing w:before="120"/>
        <w:rPr>
          <w:b/>
          <w:bCs/>
          <w:sz w:val="24"/>
          <w:szCs w:val="24"/>
        </w:rPr>
      </w:pPr>
      <w:r w:rsidRPr="00DA4849">
        <w:rPr>
          <w:b/>
          <w:bCs/>
          <w:sz w:val="24"/>
          <w:szCs w:val="24"/>
        </w:rPr>
        <w:t>Human Rights Council</w:t>
      </w:r>
    </w:p>
    <w:p w:rsidR="00CB18FE" w:rsidRPr="00DA4849" w:rsidRDefault="00CB18FE" w:rsidP="00CB18FE">
      <w:pPr>
        <w:rPr>
          <w:b/>
          <w:bCs/>
        </w:rPr>
      </w:pPr>
      <w:r w:rsidRPr="00DA4849">
        <w:rPr>
          <w:b/>
          <w:bCs/>
        </w:rPr>
        <w:t>Thirty-</w:t>
      </w:r>
      <w:r>
        <w:rPr>
          <w:b/>
          <w:bCs/>
        </w:rPr>
        <w:t>seventh</w:t>
      </w:r>
      <w:r w:rsidRPr="00DA4849">
        <w:rPr>
          <w:b/>
          <w:bCs/>
        </w:rPr>
        <w:t xml:space="preserve"> session</w:t>
      </w:r>
    </w:p>
    <w:p w:rsidR="00CB18FE" w:rsidRPr="00DA4849" w:rsidRDefault="00CB18FE" w:rsidP="00CB18FE">
      <w:r>
        <w:t>26</w:t>
      </w:r>
      <w:r w:rsidRPr="00DA4849">
        <w:t xml:space="preserve"> </w:t>
      </w:r>
      <w:r>
        <w:t>February – 23</w:t>
      </w:r>
      <w:r w:rsidRPr="00DA4849">
        <w:t xml:space="preserve"> March </w:t>
      </w:r>
      <w:r>
        <w:t>2018</w:t>
      </w:r>
    </w:p>
    <w:p w:rsidR="00CB18FE" w:rsidRPr="00DA4849" w:rsidRDefault="00CB18FE" w:rsidP="00CB18FE">
      <w:r w:rsidRPr="00DA4849">
        <w:t>Agenda item 1</w:t>
      </w:r>
    </w:p>
    <w:p w:rsidR="00CB18FE" w:rsidRPr="00DA4849" w:rsidRDefault="00CB18FE" w:rsidP="00CB18FE">
      <w:pPr>
        <w:rPr>
          <w:b/>
          <w:bCs/>
        </w:rPr>
      </w:pPr>
      <w:r w:rsidRPr="00DA4849">
        <w:rPr>
          <w:b/>
          <w:bCs/>
        </w:rPr>
        <w:t>Organizational and procedural matters</w:t>
      </w:r>
    </w:p>
    <w:p w:rsidR="00CB18FE" w:rsidRPr="00DA4849" w:rsidRDefault="00CB18FE" w:rsidP="00CB18FE">
      <w:pPr>
        <w:pStyle w:val="HChG"/>
      </w:pPr>
      <w:r w:rsidRPr="00DA4849">
        <w:tab/>
      </w:r>
      <w:r w:rsidRPr="00DA4849">
        <w:tab/>
        <w:t>Agenda and annotations</w:t>
      </w:r>
    </w:p>
    <w:p w:rsidR="00CB18FE" w:rsidRPr="00DA4849" w:rsidRDefault="00CB18FE" w:rsidP="00CB18FE">
      <w:pPr>
        <w:pStyle w:val="H1G"/>
      </w:pPr>
      <w:r w:rsidRPr="00DA4849">
        <w:tab/>
      </w:r>
      <w:r w:rsidRPr="00DA4849">
        <w:tab/>
        <w:t>Agenda</w:t>
      </w:r>
    </w:p>
    <w:p w:rsidR="00CB18FE" w:rsidRPr="00DA4849" w:rsidRDefault="00CB18FE" w:rsidP="00CB18FE">
      <w:pPr>
        <w:pStyle w:val="SingleTxtG"/>
      </w:pPr>
      <w:r w:rsidRPr="00DA4849">
        <w:t>1.</w:t>
      </w:r>
      <w:r w:rsidRPr="00DA4849">
        <w:tab/>
        <w:t>Organizational and procedural matters.</w:t>
      </w:r>
    </w:p>
    <w:p w:rsidR="00CB18FE" w:rsidRPr="00DA4849" w:rsidRDefault="00CB18FE" w:rsidP="00CB18FE">
      <w:pPr>
        <w:pStyle w:val="SingleTxtG"/>
        <w:ind w:left="1689" w:hanging="555"/>
      </w:pPr>
      <w:r w:rsidRPr="00DA4849">
        <w:t>2.</w:t>
      </w:r>
      <w:r w:rsidRPr="00DA4849">
        <w:tab/>
        <w:t>Annual report of the United Nations High Commissioner for Human Rights and reports of the Office of the High Commissioner and the Secretary-General.</w:t>
      </w:r>
    </w:p>
    <w:p w:rsidR="00CB18FE" w:rsidRPr="00DA4849" w:rsidRDefault="00CB18FE" w:rsidP="00CB18FE">
      <w:pPr>
        <w:pStyle w:val="SingleTxtG"/>
        <w:ind w:left="1689" w:hanging="555"/>
      </w:pPr>
      <w:r w:rsidRPr="00DA4849">
        <w:t>3.</w:t>
      </w:r>
      <w:r w:rsidRPr="00DA4849">
        <w:tab/>
        <w:t>Promotion and protection of all human rights, civil, political, economic, social and cultural rights, including the right to development.</w:t>
      </w:r>
    </w:p>
    <w:p w:rsidR="00CB18FE" w:rsidRPr="00DA4849" w:rsidRDefault="00CB18FE" w:rsidP="00CB18FE">
      <w:pPr>
        <w:pStyle w:val="SingleTxtG"/>
      </w:pPr>
      <w:r w:rsidRPr="00DA4849">
        <w:t>4.</w:t>
      </w:r>
      <w:r w:rsidRPr="00DA4849">
        <w:tab/>
        <w:t>Human rights situations that require the Council</w:t>
      </w:r>
      <w:r>
        <w:t>’</w:t>
      </w:r>
      <w:r w:rsidRPr="00DA4849">
        <w:t>s attention.</w:t>
      </w:r>
    </w:p>
    <w:p w:rsidR="00CB18FE" w:rsidRPr="00DA4849" w:rsidRDefault="00CB18FE" w:rsidP="00CB18FE">
      <w:pPr>
        <w:pStyle w:val="SingleTxtG"/>
      </w:pPr>
      <w:r w:rsidRPr="00DA4849">
        <w:t>5.</w:t>
      </w:r>
      <w:r w:rsidRPr="00DA4849">
        <w:tab/>
        <w:t>Human rights bodies and mechanisms.</w:t>
      </w:r>
    </w:p>
    <w:p w:rsidR="00CB18FE" w:rsidRPr="00DA4849" w:rsidRDefault="00CB18FE" w:rsidP="00CB18FE">
      <w:pPr>
        <w:pStyle w:val="SingleTxtG"/>
      </w:pPr>
      <w:r w:rsidRPr="00DA4849">
        <w:t>6.</w:t>
      </w:r>
      <w:r w:rsidRPr="00DA4849">
        <w:tab/>
        <w:t>Universal periodic review.</w:t>
      </w:r>
    </w:p>
    <w:p w:rsidR="00CB18FE" w:rsidRPr="00DA4849" w:rsidRDefault="00CB18FE" w:rsidP="00CB18FE">
      <w:pPr>
        <w:pStyle w:val="SingleTxtG"/>
      </w:pPr>
      <w:r w:rsidRPr="00DA4849">
        <w:t>7.</w:t>
      </w:r>
      <w:r w:rsidRPr="00DA4849">
        <w:tab/>
        <w:t>Human rights situation in Palestine and other occupied Arab territories.</w:t>
      </w:r>
    </w:p>
    <w:p w:rsidR="00CB18FE" w:rsidRPr="00DA4849" w:rsidRDefault="00CB18FE" w:rsidP="00CB18FE">
      <w:pPr>
        <w:pStyle w:val="SingleTxtG"/>
        <w:ind w:left="1689" w:hanging="555"/>
      </w:pPr>
      <w:r w:rsidRPr="00DA4849">
        <w:t>8.</w:t>
      </w:r>
      <w:r w:rsidRPr="00DA4849">
        <w:tab/>
        <w:t>Follow-up to and implementation of the Vienna Declaration and Programme of Action.</w:t>
      </w:r>
    </w:p>
    <w:p w:rsidR="00CB18FE" w:rsidRPr="00DA4849" w:rsidRDefault="00CB18FE" w:rsidP="00CB18FE">
      <w:pPr>
        <w:pStyle w:val="SingleTxtG"/>
        <w:ind w:left="1689" w:hanging="555"/>
      </w:pPr>
      <w:r w:rsidRPr="00DA4849">
        <w:t>9.</w:t>
      </w:r>
      <w:r w:rsidRPr="00DA4849">
        <w:tab/>
        <w:t>Racism, racial discrimination, xenophobia and related forms of intolerance, follow-up to and implementation of the Durban Declaration and Programme of Action.</w:t>
      </w:r>
    </w:p>
    <w:p w:rsidR="00CB18FE" w:rsidRPr="00DA4849" w:rsidRDefault="00CB18FE" w:rsidP="00CB18FE">
      <w:pPr>
        <w:pStyle w:val="SingleTxtG"/>
      </w:pPr>
      <w:r w:rsidRPr="00DA4849">
        <w:t>10.</w:t>
      </w:r>
      <w:r w:rsidRPr="00DA4849">
        <w:tab/>
        <w:t>Technical assistance and capacity-building.</w:t>
      </w:r>
    </w:p>
    <w:p w:rsidR="00CB18FE" w:rsidRPr="00DA4849" w:rsidRDefault="00CB18FE" w:rsidP="00CB18FE">
      <w:pPr>
        <w:pStyle w:val="H1G"/>
      </w:pPr>
      <w:r w:rsidRPr="00DA4849">
        <w:tab/>
      </w:r>
      <w:r w:rsidRPr="00DA4849">
        <w:tab/>
        <w:t>Annotations</w:t>
      </w:r>
    </w:p>
    <w:p w:rsidR="00CB18FE" w:rsidRPr="00DA4849" w:rsidRDefault="00CB18FE" w:rsidP="00CB18FE">
      <w:pPr>
        <w:pStyle w:val="H23G"/>
      </w:pPr>
      <w:r w:rsidRPr="00DA4849">
        <w:tab/>
      </w:r>
      <w:bookmarkStart w:id="1" w:name="_Toc220320987"/>
      <w:r w:rsidRPr="00DA4849">
        <w:t>1.</w:t>
      </w:r>
      <w:r w:rsidRPr="00DA4849">
        <w:tab/>
        <w:t>Organizational and procedural matters</w:t>
      </w:r>
      <w:bookmarkEnd w:id="1"/>
    </w:p>
    <w:p w:rsidR="00CB18FE" w:rsidRPr="00DA4849" w:rsidRDefault="00CB18FE" w:rsidP="00CB18FE">
      <w:pPr>
        <w:pStyle w:val="H4G"/>
      </w:pPr>
      <w:bookmarkStart w:id="2" w:name="_Toc220320988"/>
      <w:r w:rsidRPr="00DA4849">
        <w:tab/>
      </w:r>
      <w:r w:rsidRPr="00DA4849">
        <w:tab/>
        <w:t>Date and venue of the session</w:t>
      </w:r>
      <w:bookmarkEnd w:id="2"/>
    </w:p>
    <w:p w:rsidR="00CB18FE" w:rsidRPr="00DA4849" w:rsidRDefault="00CB18FE" w:rsidP="00CB18FE">
      <w:pPr>
        <w:pStyle w:val="SingleTxtG"/>
      </w:pPr>
      <w:r w:rsidRPr="00DA4849">
        <w:t>1.</w:t>
      </w:r>
      <w:r w:rsidRPr="00DA4849">
        <w:tab/>
        <w:t>In accordance with its annual programme of work, as considered on</w:t>
      </w:r>
      <w:r>
        <w:t xml:space="preserve"> 4</w:t>
      </w:r>
      <w:r w:rsidRPr="00DA4849">
        <w:t xml:space="preserve"> December </w:t>
      </w:r>
      <w:r>
        <w:t>2017</w:t>
      </w:r>
      <w:r w:rsidRPr="00DA4849">
        <w:t xml:space="preserve"> at the organizational session for its </w:t>
      </w:r>
      <w:r>
        <w:t>twelfth</w:t>
      </w:r>
      <w:r w:rsidRPr="00DA4849">
        <w:t xml:space="preserve"> cycle, the Human Rights Council will hold its </w:t>
      </w:r>
      <w:r w:rsidRPr="00DA4849">
        <w:lastRenderedPageBreak/>
        <w:t>thirty-</w:t>
      </w:r>
      <w:r>
        <w:t>seventh</w:t>
      </w:r>
      <w:r w:rsidRPr="00DA4849">
        <w:t xml:space="preserve"> session from </w:t>
      </w:r>
      <w:r>
        <w:t>26</w:t>
      </w:r>
      <w:r w:rsidRPr="00DA4849">
        <w:t xml:space="preserve"> February to 2</w:t>
      </w:r>
      <w:r>
        <w:t>3</w:t>
      </w:r>
      <w:r w:rsidRPr="00DA4849">
        <w:t xml:space="preserve"> March </w:t>
      </w:r>
      <w:r>
        <w:t>2018</w:t>
      </w:r>
      <w:r w:rsidRPr="00DA4849">
        <w:t xml:space="preserve"> at the United Nations Office at Geneva.</w:t>
      </w:r>
    </w:p>
    <w:p w:rsidR="00CB18FE" w:rsidRPr="00DA4849" w:rsidRDefault="00CB18FE" w:rsidP="00CB18FE">
      <w:pPr>
        <w:pStyle w:val="SingleTxtG"/>
      </w:pPr>
      <w:r w:rsidRPr="00DA4849">
        <w:t>2.</w:t>
      </w:r>
      <w:r w:rsidRPr="00DA4849">
        <w:tab/>
        <w:t>In accordance with rule 8 (b) of the rules of procedure of the Human Rights Council (see Council resolution 5/1</w:t>
      </w:r>
      <w:r>
        <w:t>,</w:t>
      </w:r>
      <w:r w:rsidRPr="00814366">
        <w:t xml:space="preserve"> </w:t>
      </w:r>
      <w:r w:rsidRPr="00DA4849">
        <w:t>annex</w:t>
      </w:r>
      <w:r>
        <w:t>,</w:t>
      </w:r>
      <w:r w:rsidRPr="00DA4849">
        <w:t xml:space="preserve"> sect. VII), the organizational meeting for the thirty-</w:t>
      </w:r>
      <w:r>
        <w:t>seventh</w:t>
      </w:r>
      <w:r w:rsidRPr="00DA4849">
        <w:t xml:space="preserve"> session will be held on </w:t>
      </w:r>
      <w:r>
        <w:t>12</w:t>
      </w:r>
      <w:r w:rsidRPr="00D3493E">
        <w:t xml:space="preserve"> February 2018.</w:t>
      </w:r>
    </w:p>
    <w:p w:rsidR="00CB18FE" w:rsidRPr="00DA4849" w:rsidRDefault="00CB18FE" w:rsidP="00CB18FE">
      <w:pPr>
        <w:pStyle w:val="H4G"/>
      </w:pPr>
      <w:bookmarkStart w:id="3" w:name="_Toc220320989"/>
      <w:r w:rsidRPr="00DA4849">
        <w:tab/>
      </w:r>
      <w:r w:rsidRPr="00DA4849">
        <w:tab/>
        <w:t>Agenda of the session</w:t>
      </w:r>
      <w:bookmarkEnd w:id="3"/>
    </w:p>
    <w:p w:rsidR="00CB18FE" w:rsidRPr="00DA4849" w:rsidRDefault="00CB18FE" w:rsidP="00CB18FE">
      <w:pPr>
        <w:pStyle w:val="SingleTxtG"/>
      </w:pPr>
      <w:r w:rsidRPr="00DA4849">
        <w:t>3.</w:t>
      </w:r>
      <w:r w:rsidRPr="00DA4849">
        <w:tab/>
        <w:t>The agenda of the Human Rights Council is contained in section V of the annex to Council resolution 5/1. The Council will have before it the present annotations relating to items included in the agenda for the thirty-</w:t>
      </w:r>
      <w:r>
        <w:t>seventh</w:t>
      </w:r>
      <w:r w:rsidRPr="00DA4849">
        <w:t xml:space="preserve"> </w:t>
      </w:r>
      <w:bookmarkStart w:id="4" w:name="_Toc220320990"/>
      <w:r w:rsidRPr="00DA4849">
        <w:t>session.</w:t>
      </w:r>
    </w:p>
    <w:p w:rsidR="00CB18FE" w:rsidRPr="00DA4849" w:rsidRDefault="00CB18FE" w:rsidP="00CB18FE">
      <w:pPr>
        <w:pStyle w:val="H4G"/>
      </w:pPr>
      <w:r w:rsidRPr="00DA4849">
        <w:tab/>
      </w:r>
      <w:r w:rsidRPr="00DA4849">
        <w:tab/>
        <w:t>Composition of the Human Rights Council</w:t>
      </w:r>
      <w:bookmarkEnd w:id="4"/>
    </w:p>
    <w:p w:rsidR="00CB18FE" w:rsidRDefault="00CB18FE" w:rsidP="00CB18FE">
      <w:pPr>
        <w:pStyle w:val="SingleTxtG"/>
      </w:pPr>
      <w:r w:rsidRPr="00DA4849">
        <w:t>4.</w:t>
      </w:r>
      <w:r w:rsidRPr="00DA4849">
        <w:tab/>
        <w:t>The composition of the Human Rights Council at its thirty-</w:t>
      </w:r>
      <w:r>
        <w:t>seventh</w:t>
      </w:r>
      <w:r w:rsidRPr="00DA4849">
        <w:t xml:space="preserve"> session is as follows:</w:t>
      </w:r>
      <w:r>
        <w:rPr>
          <w:rStyle w:val="FootnoteReference"/>
        </w:rPr>
        <w:footnoteReference w:id="2"/>
      </w:r>
      <w:r>
        <w:t xml:space="preserve"> A</w:t>
      </w:r>
      <w:r w:rsidRPr="004F5BEA">
        <w:t>fghanistan</w:t>
      </w:r>
      <w:r>
        <w:t xml:space="preserve"> (2020), </w:t>
      </w:r>
      <w:r w:rsidRPr="004F5BEA">
        <w:t>Angola</w:t>
      </w:r>
      <w:r>
        <w:t xml:space="preserve"> (2020)</w:t>
      </w:r>
      <w:r w:rsidRPr="004F5BEA">
        <w:t>, Australia</w:t>
      </w:r>
      <w:r>
        <w:t xml:space="preserve"> (2020)</w:t>
      </w:r>
      <w:r w:rsidRPr="004F5BEA">
        <w:t>,</w:t>
      </w:r>
      <w:r>
        <w:t xml:space="preserve"> </w:t>
      </w:r>
      <w:r w:rsidRPr="00DA4849">
        <w:t xml:space="preserve">Belgium (2018), Brazil (2019), Burundi (2018), </w:t>
      </w:r>
      <w:r w:rsidRPr="004F5BEA">
        <w:t>Chile</w:t>
      </w:r>
      <w:r w:rsidRPr="00DA4849">
        <w:t xml:space="preserve"> </w:t>
      </w:r>
      <w:r>
        <w:t xml:space="preserve">(2020), </w:t>
      </w:r>
      <w:r w:rsidRPr="00DA4849">
        <w:t>China (2019), Côte d</w:t>
      </w:r>
      <w:r>
        <w:t>’</w:t>
      </w:r>
      <w:r w:rsidRPr="00DA4849">
        <w:t xml:space="preserve">Ivoire (2018), Croatia (2019), Cuba (2019), </w:t>
      </w:r>
      <w:r w:rsidRPr="004F5BEA">
        <w:t>Democratic Republic of the Congo</w:t>
      </w:r>
      <w:r w:rsidRPr="00DA4849">
        <w:t xml:space="preserve"> </w:t>
      </w:r>
      <w:r>
        <w:t xml:space="preserve">(2020), </w:t>
      </w:r>
      <w:r w:rsidRPr="00DA4849">
        <w:t>Ecuador (2018), Egypt (2019), Ethiopia (2018), Georgia (2018), Germany (2018), Hungary (2019), Iraq (2019), Japan (2019), Kenya (2018), Kyrgyzstan (2018),</w:t>
      </w:r>
      <w:r>
        <w:t xml:space="preserve"> </w:t>
      </w:r>
      <w:r w:rsidRPr="004F5BEA">
        <w:t>Mexico</w:t>
      </w:r>
      <w:r>
        <w:t xml:space="preserve"> (2020)</w:t>
      </w:r>
      <w:r w:rsidRPr="004F5BEA">
        <w:t xml:space="preserve">, </w:t>
      </w:r>
      <w:r w:rsidRPr="00DA4849">
        <w:t xml:space="preserve">Mongolia (2018), </w:t>
      </w:r>
      <w:r>
        <w:t xml:space="preserve">Nepal (2020), Nigeria (2020), Pakistan (2020), </w:t>
      </w:r>
      <w:r w:rsidRPr="00DA4849">
        <w:t xml:space="preserve">Panama (2018), </w:t>
      </w:r>
      <w:r>
        <w:t xml:space="preserve">Peru (2020), </w:t>
      </w:r>
      <w:r w:rsidRPr="00DA4849">
        <w:t xml:space="preserve">Philippines (2018), </w:t>
      </w:r>
      <w:r>
        <w:t xml:space="preserve">Qatar (2020), </w:t>
      </w:r>
      <w:r w:rsidRPr="00DA4849">
        <w:t xml:space="preserve">Republic of Korea (2018), Rwanda (2019), Saudi Arabia (2019), </w:t>
      </w:r>
      <w:r>
        <w:t xml:space="preserve">Senegal (2020), Slovakia (2020), </w:t>
      </w:r>
      <w:r w:rsidRPr="00DA4849">
        <w:t>Slovenia (2018), South Africa (2019),</w:t>
      </w:r>
      <w:r>
        <w:t xml:space="preserve"> Spain (2020), </w:t>
      </w:r>
      <w:r w:rsidRPr="00DA4849">
        <w:t xml:space="preserve">Switzerland (2018), Togo (2018), Tunisia (2019), </w:t>
      </w:r>
      <w:r>
        <w:t xml:space="preserve">Ukraine (2020), </w:t>
      </w:r>
      <w:r w:rsidRPr="00DA4849">
        <w:t>United Arab Emirates (2018), United Kingdom of Great Britain and Northern Ireland (2019), United States of America (2019)</w:t>
      </w:r>
      <w:r>
        <w:t>,</w:t>
      </w:r>
      <w:r w:rsidRPr="00DA4849">
        <w:t xml:space="preserve"> Venezuela (Bolivarian Republic of) (2018). </w:t>
      </w:r>
    </w:p>
    <w:p w:rsidR="00CB18FE" w:rsidRPr="00DA4849" w:rsidRDefault="00CB18FE" w:rsidP="00CB18FE">
      <w:pPr>
        <w:pStyle w:val="H4G"/>
        <w:ind w:left="0" w:firstLine="0"/>
      </w:pPr>
      <w:bookmarkStart w:id="5" w:name="_Toc220320991"/>
      <w:r w:rsidRPr="00DA4849">
        <w:tab/>
      </w:r>
      <w:r w:rsidRPr="00DA4849">
        <w:tab/>
        <w:t>Bureau of the Human Rights Council</w:t>
      </w:r>
      <w:bookmarkEnd w:id="5"/>
    </w:p>
    <w:p w:rsidR="00CB18FE" w:rsidRPr="00DA4849" w:rsidRDefault="00CB18FE" w:rsidP="00CB18FE">
      <w:pPr>
        <w:pStyle w:val="SingleTxtG"/>
      </w:pPr>
      <w:r w:rsidRPr="00DA4849">
        <w:t>5.</w:t>
      </w:r>
      <w:r w:rsidRPr="00DA4849">
        <w:tab/>
        <w:t>At its organizational session</w:t>
      </w:r>
      <w:r>
        <w:t>,</w:t>
      </w:r>
      <w:r w:rsidRPr="00DA4849">
        <w:t xml:space="preserve"> held on </w:t>
      </w:r>
      <w:r>
        <w:t>4</w:t>
      </w:r>
      <w:r w:rsidRPr="00DA4849">
        <w:t xml:space="preserve"> December </w:t>
      </w:r>
      <w:r>
        <w:t>2017</w:t>
      </w:r>
      <w:r w:rsidRPr="00DA4849">
        <w:t xml:space="preserve">, </w:t>
      </w:r>
      <w:r>
        <w:t xml:space="preserve">and its organizational meeting, held on 10 January 2018, </w:t>
      </w:r>
      <w:r w:rsidRPr="00DA4849">
        <w:t xml:space="preserve">the Human Rights Council elected the following members of the Bureau for its </w:t>
      </w:r>
      <w:r>
        <w:t>twelfth</w:t>
      </w:r>
      <w:r w:rsidRPr="00DA4849">
        <w:t xml:space="preserve"> cycle, which will run from 1 January to 31 December </w:t>
      </w:r>
      <w:r>
        <w:t>2018</w:t>
      </w:r>
      <w:r w:rsidRPr="00DA4849">
        <w:t xml:space="preserve">: </w:t>
      </w:r>
    </w:p>
    <w:p w:rsidR="00CB18FE" w:rsidRPr="008B09CD" w:rsidRDefault="00CB18FE" w:rsidP="00CB18FE">
      <w:pPr>
        <w:pStyle w:val="SingleTxtG"/>
        <w:ind w:left="1701"/>
        <w:rPr>
          <w:lang w:val="en-GB"/>
        </w:rPr>
      </w:pPr>
      <w:r w:rsidRPr="008B09CD">
        <w:rPr>
          <w:i/>
          <w:iCs/>
          <w:lang w:val="en-GB"/>
        </w:rPr>
        <w:t>President</w:t>
      </w:r>
      <w:r w:rsidRPr="008B09CD">
        <w:rPr>
          <w:lang w:val="en-GB"/>
        </w:rPr>
        <w:tab/>
      </w:r>
      <w:r w:rsidRPr="008B09CD">
        <w:rPr>
          <w:lang w:val="en-GB"/>
        </w:rPr>
        <w:tab/>
        <w:t>Vojislav Šuc (Slovenia)</w:t>
      </w:r>
    </w:p>
    <w:p w:rsidR="00CB18FE" w:rsidRDefault="00CB18FE" w:rsidP="00CB18FE">
      <w:pPr>
        <w:pStyle w:val="SingleTxtG"/>
        <w:ind w:left="1701"/>
      </w:pPr>
      <w:r w:rsidRPr="00DA4849">
        <w:rPr>
          <w:i/>
          <w:iCs/>
        </w:rPr>
        <w:t>Vice-President</w:t>
      </w:r>
      <w:r w:rsidRPr="00DA4849">
        <w:tab/>
      </w:r>
      <w:r w:rsidRPr="0052206E">
        <w:t xml:space="preserve">Antje Leendertse </w:t>
      </w:r>
      <w:r>
        <w:t>(Germany)</w:t>
      </w:r>
    </w:p>
    <w:p w:rsidR="00CB18FE" w:rsidRDefault="00CB18FE" w:rsidP="00CB18FE">
      <w:pPr>
        <w:pStyle w:val="SingleTxtG"/>
        <w:ind w:left="1701"/>
        <w:rPr>
          <w:iCs/>
        </w:rPr>
      </w:pPr>
      <w:r>
        <w:rPr>
          <w:i/>
          <w:iCs/>
        </w:rPr>
        <w:tab/>
      </w:r>
      <w:r>
        <w:rPr>
          <w:i/>
          <w:iCs/>
        </w:rPr>
        <w:tab/>
      </w:r>
      <w:r>
        <w:rPr>
          <w:i/>
          <w:iCs/>
        </w:rPr>
        <w:tab/>
      </w:r>
      <w:r w:rsidR="005525E2">
        <w:rPr>
          <w:i/>
          <w:iCs/>
        </w:rPr>
        <w:tab/>
      </w:r>
      <w:r>
        <w:rPr>
          <w:iCs/>
        </w:rPr>
        <w:t>François Xavier Ngarambé (Rwanda)</w:t>
      </w:r>
    </w:p>
    <w:p w:rsidR="00CB18FE" w:rsidRDefault="00CB18FE" w:rsidP="00CB18FE">
      <w:pPr>
        <w:pStyle w:val="SingleTxtG"/>
        <w:ind w:left="1701"/>
        <w:rPr>
          <w:iCs/>
        </w:rPr>
      </w:pPr>
      <w:r>
        <w:rPr>
          <w:iCs/>
        </w:rPr>
        <w:tab/>
      </w:r>
      <w:r>
        <w:rPr>
          <w:iCs/>
        </w:rPr>
        <w:tab/>
      </w:r>
      <w:r>
        <w:rPr>
          <w:iCs/>
        </w:rPr>
        <w:tab/>
      </w:r>
      <w:r w:rsidR="005525E2">
        <w:rPr>
          <w:iCs/>
        </w:rPr>
        <w:tab/>
      </w:r>
      <w:r>
        <w:rPr>
          <w:iCs/>
        </w:rPr>
        <w:t>Evan P. Garcia (Philippines)</w:t>
      </w:r>
    </w:p>
    <w:p w:rsidR="00CB18FE" w:rsidRPr="00373F79" w:rsidRDefault="00CB18FE" w:rsidP="00CB18FE">
      <w:pPr>
        <w:pStyle w:val="SingleTxtG"/>
        <w:ind w:left="1701"/>
      </w:pPr>
      <w:r>
        <w:rPr>
          <w:iCs/>
        </w:rPr>
        <w:tab/>
      </w:r>
      <w:r>
        <w:rPr>
          <w:iCs/>
        </w:rPr>
        <w:tab/>
      </w:r>
      <w:r>
        <w:rPr>
          <w:iCs/>
        </w:rPr>
        <w:tab/>
      </w:r>
      <w:r w:rsidR="005525E2">
        <w:rPr>
          <w:iCs/>
        </w:rPr>
        <w:tab/>
      </w:r>
      <w:r>
        <w:rPr>
          <w:iCs/>
        </w:rPr>
        <w:t>Marta Maurás (Chile)</w:t>
      </w:r>
    </w:p>
    <w:p w:rsidR="00CB18FE" w:rsidRPr="00DA4849" w:rsidRDefault="00CB18FE" w:rsidP="00CB18FE">
      <w:pPr>
        <w:pStyle w:val="H4G"/>
      </w:pPr>
      <w:r w:rsidRPr="00DA4849">
        <w:tab/>
      </w:r>
      <w:r w:rsidRPr="00DA4849">
        <w:tab/>
        <w:t>Review of the work and functioning of the Human Rights Council</w:t>
      </w:r>
    </w:p>
    <w:p w:rsidR="00CB18FE" w:rsidRPr="00BB07C6" w:rsidRDefault="00CB18FE" w:rsidP="00CB18FE">
      <w:pPr>
        <w:pStyle w:val="SingleTxtG"/>
      </w:pPr>
      <w:r w:rsidRPr="00BB07C6">
        <w:t>6.</w:t>
      </w:r>
      <w:r w:rsidRPr="00BB07C6">
        <w:tab/>
        <w:t xml:space="preserve">Pursuant to paragraph 42 of the annex to </w:t>
      </w:r>
      <w:r>
        <w:t xml:space="preserve">Human Rights </w:t>
      </w:r>
      <w:r w:rsidRPr="00BB07C6">
        <w:t>Council resolution 16/21, the Council shall hold a half-day panel discussion once a year to interact with heads of governing bodies and secretariats of United Nations agencies within their respective mandates on specific human rights themes with the objective of promoting the mainstreaming of human rights throughout the United Nations system (see annex).</w:t>
      </w:r>
    </w:p>
    <w:p w:rsidR="00CB18FE" w:rsidRPr="00BB07C6" w:rsidRDefault="00CB18FE" w:rsidP="00CB18FE">
      <w:pPr>
        <w:pStyle w:val="SingleTxtG"/>
      </w:pPr>
      <w:r w:rsidRPr="00BB07C6">
        <w:t>7.</w:t>
      </w:r>
      <w:r w:rsidRPr="00BB07C6">
        <w:tab/>
        <w:t xml:space="preserve">At its organizational session, the </w:t>
      </w:r>
      <w:r>
        <w:t xml:space="preserve">Human Rights </w:t>
      </w:r>
      <w:r w:rsidRPr="00BB07C6">
        <w:t>Council decided that the theme of the 2018 panel discussion would be “</w:t>
      </w:r>
      <w:r>
        <w:t>T</w:t>
      </w:r>
      <w:r w:rsidRPr="00BB07C6">
        <w:t>he promotion and protection of human rights in the light of the universal periodic review mechanism: challenges and opportunities”.</w:t>
      </w:r>
    </w:p>
    <w:p w:rsidR="00CB18FE" w:rsidRPr="00DA4849" w:rsidRDefault="00CB18FE" w:rsidP="00CB18FE">
      <w:pPr>
        <w:pStyle w:val="H4G"/>
      </w:pPr>
      <w:r w:rsidRPr="00DA4849">
        <w:lastRenderedPageBreak/>
        <w:tab/>
      </w:r>
      <w:r w:rsidRPr="00DA4849">
        <w:tab/>
        <w:t>Selection and appointment of mandate holders</w:t>
      </w:r>
    </w:p>
    <w:p w:rsidR="00CB18FE" w:rsidRDefault="00CB18FE" w:rsidP="00CB18FE">
      <w:pPr>
        <w:pStyle w:val="SingleTxtG"/>
      </w:pPr>
      <w:r w:rsidRPr="00DA4849">
        <w:t>8.</w:t>
      </w:r>
      <w:r w:rsidRPr="00DA4849">
        <w:tab/>
      </w:r>
      <w:r w:rsidRPr="00714029">
        <w:t>In accordance with paragraph 47 of the annex to Human Rights Council resolution 5/1, paragraph 22 of the annex to Council resolution 16/21, and the requirements set out in Council decision 6/102, the members of the Consultative Group for the selection of mandate holders to be appointed at the thirty-</w:t>
      </w:r>
      <w:r>
        <w:t>seventh</w:t>
      </w:r>
      <w:r w:rsidRPr="00714029">
        <w:t xml:space="preserve"> session of the Council are </w:t>
      </w:r>
      <w:r w:rsidRPr="00147F21">
        <w:t xml:space="preserve">Israhyananda </w:t>
      </w:r>
      <w:r>
        <w:t xml:space="preserve">Dhalladoo </w:t>
      </w:r>
      <w:r w:rsidRPr="00147F21">
        <w:t>(Mauritius)</w:t>
      </w:r>
      <w:r>
        <w:t xml:space="preserve">, </w:t>
      </w:r>
      <w:r w:rsidRPr="00147F21">
        <w:t xml:space="preserve">Amran Mohamed </w:t>
      </w:r>
      <w:r>
        <w:t>Zin</w:t>
      </w:r>
      <w:r w:rsidRPr="00147F21">
        <w:t xml:space="preserve"> (Malaysia)</w:t>
      </w:r>
      <w:r>
        <w:t xml:space="preserve">, </w:t>
      </w:r>
      <w:r w:rsidRPr="00147F21">
        <w:t xml:space="preserve">Vesna </w:t>
      </w:r>
      <w:r>
        <w:t>Batistić Kos</w:t>
      </w:r>
      <w:r w:rsidRPr="00147F21">
        <w:t xml:space="preserve"> (Croatia)</w:t>
      </w:r>
      <w:r>
        <w:t xml:space="preserve">, </w:t>
      </w:r>
      <w:r w:rsidRPr="00147F21">
        <w:t xml:space="preserve">Giampaolo Carmelo </w:t>
      </w:r>
      <w:r>
        <w:t xml:space="preserve">Rizzo Alvarado </w:t>
      </w:r>
      <w:r w:rsidRPr="00147F21">
        <w:t>(Honduras)</w:t>
      </w:r>
      <w:r>
        <w:t xml:space="preserve"> and </w:t>
      </w:r>
      <w:r w:rsidRPr="00147F21">
        <w:t>Hans</w:t>
      </w:r>
      <w:r>
        <w:t xml:space="preserve"> Brattskar</w:t>
      </w:r>
      <w:r w:rsidRPr="00147F21">
        <w:t xml:space="preserve"> (Norway)</w:t>
      </w:r>
      <w:r>
        <w:t xml:space="preserve">. </w:t>
      </w:r>
      <w:r w:rsidRPr="00AB67D6">
        <w:t xml:space="preserve">The Group will propose to the President of the Council a list of candidates for the following mandates: Independent Expert on the situation of human rights in Mali; Independent Expert on the promotion of a democratic and equitable international order; Special Rapporteur on the promotion of truth, justice, reparation and guarantees of non-recurrence; </w:t>
      </w:r>
      <w:r w:rsidR="003131FC" w:rsidRPr="0078335D">
        <w:t>Special Rapporteur on the rights to freedom of peaceful assembly and of association</w:t>
      </w:r>
      <w:r w:rsidR="003131FC">
        <w:rPr>
          <w:lang w:val="en-US"/>
        </w:rPr>
        <w:t>;</w:t>
      </w:r>
      <w:r w:rsidR="003131FC" w:rsidRPr="00AB67D6" w:rsidDel="0072247B">
        <w:t xml:space="preserve"> </w:t>
      </w:r>
      <w:r w:rsidR="003131FC">
        <w:t xml:space="preserve">and </w:t>
      </w:r>
      <w:r w:rsidRPr="00AB67D6">
        <w:t>Working Group on the use of mercenaries as a means of violating human rights and impeding the exercise of the right of peoples to self-determination</w:t>
      </w:r>
      <w:r w:rsidRPr="0072247B">
        <w:t xml:space="preserve"> </w:t>
      </w:r>
      <w:r>
        <w:t>(</w:t>
      </w:r>
      <w:r w:rsidRPr="00AB67D6">
        <w:t>three members, respectively from African States, Eastern European States and Latin American and Caribbean States</w:t>
      </w:r>
      <w:r>
        <w:t>)</w:t>
      </w:r>
      <w:r w:rsidR="003131FC">
        <w:rPr>
          <w:lang w:val="en-US"/>
        </w:rPr>
        <w:t>.</w:t>
      </w:r>
      <w:r>
        <w:t xml:space="preserve"> </w:t>
      </w:r>
    </w:p>
    <w:p w:rsidR="00CB18FE" w:rsidRPr="00DA4849" w:rsidRDefault="00CB18FE" w:rsidP="00CB18FE">
      <w:pPr>
        <w:pStyle w:val="SingleTxtG"/>
      </w:pPr>
      <w:r w:rsidRPr="00DA4849">
        <w:t>9.</w:t>
      </w:r>
      <w:r w:rsidRPr="00DA4849">
        <w:tab/>
        <w:t xml:space="preserve">In accordance with the procedure stipulated in paragraphs 52 and 53 of the annex to </w:t>
      </w:r>
      <w:r>
        <w:t xml:space="preserve">Human Rights </w:t>
      </w:r>
      <w:r w:rsidRPr="00DA4849">
        <w:t>Council resolution 5/1, the appointment of special procedure mandate holders will be completed upon subsequent approval by the Council. The mandate holders in question will be appointed before the end of the thirty-</w:t>
      </w:r>
      <w:r>
        <w:t>seventh</w:t>
      </w:r>
      <w:r w:rsidRPr="00DA4849">
        <w:t xml:space="preserve"> session.</w:t>
      </w:r>
    </w:p>
    <w:p w:rsidR="00CB18FE" w:rsidRPr="00DA4849" w:rsidRDefault="00CB18FE" w:rsidP="00CB18FE">
      <w:pPr>
        <w:pStyle w:val="H4G"/>
      </w:pPr>
      <w:r w:rsidRPr="00DA4849">
        <w:tab/>
      </w:r>
      <w:r w:rsidRPr="00DA4849">
        <w:tab/>
        <w:t>Selection and appointment of members of the Expert Mechanism on the Rights of Indigenous Peoples</w:t>
      </w:r>
    </w:p>
    <w:p w:rsidR="00CB18FE" w:rsidRPr="00DA4849" w:rsidRDefault="00CB18FE" w:rsidP="00CB18FE">
      <w:pPr>
        <w:pStyle w:val="SingleTxtG"/>
      </w:pPr>
      <w:r w:rsidRPr="00DA4849">
        <w:t>10.</w:t>
      </w:r>
      <w:r w:rsidRPr="00DA4849">
        <w:tab/>
        <w:t xml:space="preserve">In its resolution 6/36, the </w:t>
      </w:r>
      <w:r>
        <w:t xml:space="preserve">Human Rights </w:t>
      </w:r>
      <w:r w:rsidRPr="00DA4849">
        <w:t xml:space="preserve">Council decided to establish a subsidiary expert mechanism to provide it with thematic expertise on the rights of indigenous peoples in the manner and form requested by the Council. In its resolution 33/25, the Council decided to amend the mandate of the Expert Mechanism on the Rights of Indigenous Peoples. In the same resolution, it also decided that the Expert Mechanism shall consist of seven independent experts, one from each of the seven indigenous sociocultural regions, selected in accordance with the procedure established in paragraphs 39 to 53 of the annex to Council resolution 5/1. It further decided to introduce staggered terms for the membership of the Expert Mechanism. The Council strongly recommended that, in the selection and appointment process, due regard be given to recognized competence and experience in the rights of indigenous peoples, experts of indigenous origin and gender balance. </w:t>
      </w:r>
    </w:p>
    <w:p w:rsidR="00CB18FE" w:rsidRPr="00DA4849" w:rsidRDefault="00CB18FE" w:rsidP="00CB18FE">
      <w:pPr>
        <w:pStyle w:val="SingleTxtG"/>
      </w:pPr>
      <w:r w:rsidRPr="00DA4849">
        <w:t>11.</w:t>
      </w:r>
      <w:r w:rsidRPr="00DA4849">
        <w:tab/>
        <w:t xml:space="preserve">In accordance with paragraph 47 of the annex to </w:t>
      </w:r>
      <w:r>
        <w:t xml:space="preserve">Human Rights </w:t>
      </w:r>
      <w:r w:rsidRPr="00DA4849">
        <w:t xml:space="preserve">Council resolution 5/1 and the requirements set out in Council decision 6/102, the consultative group will propose to the President of the Council a list of candidates from which to select </w:t>
      </w:r>
      <w:r>
        <w:t>two</w:t>
      </w:r>
      <w:r w:rsidRPr="00DA4849">
        <w:t xml:space="preserve"> independent experts of the Expert Mechanism from the following indigenous sociocultural regions: </w:t>
      </w:r>
      <w:r>
        <w:t xml:space="preserve">Africa and </w:t>
      </w:r>
      <w:r w:rsidRPr="00DA4849">
        <w:t>North America.</w:t>
      </w:r>
    </w:p>
    <w:p w:rsidR="00CB18FE" w:rsidRDefault="00CB18FE" w:rsidP="00CB18FE">
      <w:pPr>
        <w:pStyle w:val="SingleTxtG"/>
      </w:pPr>
      <w:r w:rsidRPr="00DA4849">
        <w:t>12.</w:t>
      </w:r>
      <w:r w:rsidRPr="00DA4849">
        <w:tab/>
        <w:t xml:space="preserve">In accordance with the procedure stipulated in resolution 6/36 and in paragraphs 52 and 53 of the annex to </w:t>
      </w:r>
      <w:r>
        <w:t xml:space="preserve">Human Rights </w:t>
      </w:r>
      <w:r w:rsidRPr="00DA4849">
        <w:t>Council resolution 5/1, the appointment of the above-mentioned experts will be completed upon the subsequent approval of the Council before the end of the session.</w:t>
      </w:r>
    </w:p>
    <w:p w:rsidR="00CB18FE" w:rsidRPr="00DA4849" w:rsidRDefault="00CB18FE" w:rsidP="00CB18FE">
      <w:pPr>
        <w:pStyle w:val="H4G"/>
      </w:pPr>
      <w:bookmarkStart w:id="6" w:name="_Toc220320995"/>
      <w:r w:rsidRPr="00DA4849">
        <w:tab/>
      </w:r>
      <w:r w:rsidRPr="00DA4849">
        <w:tab/>
        <w:t>Report of the session</w:t>
      </w:r>
      <w:bookmarkEnd w:id="6"/>
    </w:p>
    <w:p w:rsidR="00CB18FE" w:rsidRPr="00DA4849" w:rsidRDefault="00CB18FE" w:rsidP="00CB18FE">
      <w:pPr>
        <w:pStyle w:val="SingleTxtG"/>
      </w:pPr>
      <w:r>
        <w:t>13</w:t>
      </w:r>
      <w:r w:rsidRPr="00DA4849">
        <w:t>.</w:t>
      </w:r>
      <w:r w:rsidRPr="00DA4849">
        <w:tab/>
        <w:t>At the end of its thirty-</w:t>
      </w:r>
      <w:r>
        <w:t>seventh</w:t>
      </w:r>
      <w:r w:rsidRPr="00DA4849">
        <w:t xml:space="preserve"> session, the </w:t>
      </w:r>
      <w:r>
        <w:t xml:space="preserve">Human Rights </w:t>
      </w:r>
      <w:r w:rsidRPr="00DA4849">
        <w:t>Council will have before it for adoption a draft report containing a technical summary of the proceedings of the session.</w:t>
      </w:r>
    </w:p>
    <w:p w:rsidR="00CB18FE" w:rsidRDefault="00CB18FE" w:rsidP="00CB18FE">
      <w:pPr>
        <w:pStyle w:val="H23G"/>
      </w:pPr>
      <w:bookmarkStart w:id="7" w:name="_Toc220320996"/>
      <w:r w:rsidRPr="00DA4849">
        <w:lastRenderedPageBreak/>
        <w:tab/>
        <w:t>2.</w:t>
      </w:r>
      <w:r w:rsidRPr="00DA4849">
        <w:tab/>
        <w:t>Annual report of the United Nations High Commissioner for Human Rights and reports of the Office of the High Commissioner and the Secretary-General</w:t>
      </w:r>
      <w:bookmarkEnd w:id="7"/>
      <w:r w:rsidRPr="00DA4849">
        <w:t xml:space="preserve"> </w:t>
      </w:r>
    </w:p>
    <w:p w:rsidR="00CB18FE" w:rsidRDefault="00CB18FE" w:rsidP="00CB18FE">
      <w:pPr>
        <w:pStyle w:val="SingleTxtG"/>
      </w:pPr>
      <w:r>
        <w:t>14.</w:t>
      </w:r>
      <w:r>
        <w:tab/>
      </w:r>
      <w:r w:rsidRPr="00A5781E">
        <w:t xml:space="preserve">All reports of the United Nations High Commissioner for Human Rights, the Office of the </w:t>
      </w:r>
      <w:r>
        <w:t xml:space="preserve">United Nations </w:t>
      </w:r>
      <w:r w:rsidRPr="00A5781E">
        <w:t xml:space="preserve">High Commissioner </w:t>
      </w:r>
      <w:r>
        <w:t xml:space="preserve">for Human Rights </w:t>
      </w:r>
      <w:r w:rsidRPr="00A5781E">
        <w:t xml:space="preserve">(OHCHR) and the Secretary-General are submitted under agenda item 2, which remains an open-ended item throughout the session. </w:t>
      </w:r>
      <w:r>
        <w:t>The majority of</w:t>
      </w:r>
      <w:r w:rsidRPr="00A5781E">
        <w:t xml:space="preserve"> reports are submitted also under another item, depending on the subject of each report and the item under which the mandating resolution was </w:t>
      </w:r>
      <w:r>
        <w:t>adopted</w:t>
      </w:r>
      <w:r w:rsidRPr="00A5781E">
        <w:t>. The specific timing of consideration of the reports will be reflected in the programme of work of the session.</w:t>
      </w:r>
    </w:p>
    <w:p w:rsidR="00CB18FE" w:rsidRDefault="00CB18FE" w:rsidP="00CB18FE">
      <w:pPr>
        <w:pStyle w:val="H4G"/>
      </w:pPr>
      <w:r>
        <w:tab/>
      </w:r>
      <w:r>
        <w:tab/>
      </w:r>
      <w:r w:rsidRPr="00C11B2C">
        <w:t>Annual report of the United Nations High Commissioner for Human Rights and reports on Guatemala, Honduras and Colombia</w:t>
      </w:r>
    </w:p>
    <w:p w:rsidR="00CB18FE" w:rsidRPr="00C11B2C" w:rsidRDefault="00CB18FE" w:rsidP="00CB18FE">
      <w:pPr>
        <w:pStyle w:val="SingleTxtG"/>
      </w:pPr>
      <w:r>
        <w:t>15</w:t>
      </w:r>
      <w:r w:rsidRPr="00C11B2C">
        <w:t>.</w:t>
      </w:r>
      <w:r>
        <w:tab/>
        <w:t>Pursuant to General Assembly resolution 48/141, the Human Rights Council will consider the annual report of the High Commissioner and his reports on Guatemala, Honduras and Colombia (A/HRC/37/3 and Add. 1-3</w:t>
      </w:r>
      <w:r w:rsidRPr="00DA4849">
        <w:t>).</w:t>
      </w:r>
    </w:p>
    <w:p w:rsidR="00CB18FE" w:rsidRPr="00DA4849" w:rsidRDefault="00CB18FE" w:rsidP="00CB18FE">
      <w:pPr>
        <w:pStyle w:val="H4G"/>
      </w:pPr>
      <w:r w:rsidRPr="00DA4849">
        <w:tab/>
      </w:r>
      <w:r w:rsidRPr="00DA4849">
        <w:tab/>
        <w:t>Question of human rights in Cyprus</w:t>
      </w:r>
    </w:p>
    <w:p w:rsidR="00CB18FE" w:rsidRDefault="00CB18FE" w:rsidP="00CB18FE">
      <w:pPr>
        <w:pStyle w:val="SingleTxtG"/>
      </w:pPr>
      <w:r>
        <w:t>16</w:t>
      </w:r>
      <w:r w:rsidRPr="00DA4849">
        <w:t>.</w:t>
      </w:r>
      <w:r w:rsidRPr="00DA4849">
        <w:tab/>
        <w:t xml:space="preserve">Pursuant to its decision 2/102, the </w:t>
      </w:r>
      <w:r>
        <w:t xml:space="preserve">Human Rights </w:t>
      </w:r>
      <w:r w:rsidRPr="00DA4849">
        <w:t xml:space="preserve">Council will consider the report of OHCHR on the question of human rights in Cyprus </w:t>
      </w:r>
      <w:r>
        <w:t>(A/HRC/37/22</w:t>
      </w:r>
      <w:r w:rsidRPr="00DA4849">
        <w:t>).</w:t>
      </w:r>
    </w:p>
    <w:p w:rsidR="00CB18FE" w:rsidRDefault="00CB18FE" w:rsidP="00CB18FE">
      <w:pPr>
        <w:pStyle w:val="H4G"/>
      </w:pPr>
      <w:r>
        <w:tab/>
      </w:r>
      <w:r>
        <w:tab/>
      </w:r>
      <w:r w:rsidRPr="00F61F34">
        <w:t>Human rights situation and accountability in Burundi</w:t>
      </w:r>
    </w:p>
    <w:p w:rsidR="00CB18FE" w:rsidRDefault="00CB18FE" w:rsidP="00CB18FE">
      <w:pPr>
        <w:pStyle w:val="SingleTxtG"/>
      </w:pPr>
      <w:r>
        <w:t>17</w:t>
      </w:r>
      <w:r w:rsidRPr="00F61F34">
        <w:t>.</w:t>
      </w:r>
      <w:r w:rsidRPr="00F61F34">
        <w:tab/>
      </w:r>
      <w:r w:rsidRPr="003D393C">
        <w:t xml:space="preserve">In its resolution </w:t>
      </w:r>
      <w:r>
        <w:t>36/2</w:t>
      </w:r>
      <w:r w:rsidRPr="003D393C">
        <w:t xml:space="preserve">, the </w:t>
      </w:r>
      <w:r>
        <w:t xml:space="preserve">Human Rights </w:t>
      </w:r>
      <w:r w:rsidRPr="003D393C">
        <w:t>Council requested</w:t>
      </w:r>
      <w:r>
        <w:t xml:space="preserve"> OHCHR to </w:t>
      </w:r>
      <w:r w:rsidRPr="00E77B25">
        <w:t xml:space="preserve">urgently dispatch a team of three experts </w:t>
      </w:r>
      <w:r w:rsidRPr="004D7EF5">
        <w:rPr>
          <w:iCs/>
        </w:rPr>
        <w:t>t</w:t>
      </w:r>
      <w:r w:rsidRPr="004D7EF5">
        <w:t>o engage</w:t>
      </w:r>
      <w:r w:rsidRPr="00E77B25">
        <w:t xml:space="preserve"> with the Burundian authorities and all other stakeholders, in particular United Nations agencies and the African Union, to collect and preserve information, to determine the facts and circumstances in accordance with international standards and practice, in cooperation with the Government of Burundi, and to forward to the judicial authorities of Burundi such information in order to establish the truth and ensure that the perpetrators of deplorable crimes</w:t>
      </w:r>
      <w:r w:rsidRPr="004D7EF5">
        <w:t xml:space="preserve"> </w:t>
      </w:r>
      <w:r w:rsidRPr="00E77B25">
        <w:t xml:space="preserve">are all accountable to the judicial authorities of Burundi; </w:t>
      </w:r>
      <w:r>
        <w:t xml:space="preserve">and to </w:t>
      </w:r>
      <w:r w:rsidRPr="00E77B25">
        <w:t>make recommendations for technical assistance and capacity-building and ways of improving the situation of human rights in the country with a view to providing support to the country in fulfilling its human rights obligations, ensuring accoun</w:t>
      </w:r>
      <w:r>
        <w:t xml:space="preserve">tability and combating impunity. Pursuant to the same resolution, the High Commissioner will give an oral briefing to the Council on the mission of OHCHR. </w:t>
      </w:r>
    </w:p>
    <w:p w:rsidR="00CB18FE" w:rsidRPr="00DA4849" w:rsidRDefault="00CB18FE" w:rsidP="00CB18FE">
      <w:pPr>
        <w:pStyle w:val="H4G"/>
      </w:pPr>
      <w:r w:rsidRPr="00DA4849">
        <w:tab/>
      </w:r>
      <w:r w:rsidRPr="00DA4849">
        <w:tab/>
        <w:t>Situation of human rights in the Islamic Republic of Iran</w:t>
      </w:r>
    </w:p>
    <w:p w:rsidR="00CB18FE" w:rsidRDefault="00CB18FE" w:rsidP="00CB18FE">
      <w:pPr>
        <w:pStyle w:val="SingleTxtG"/>
      </w:pPr>
      <w:r w:rsidRPr="00032E05">
        <w:t>18.</w:t>
      </w:r>
      <w:r w:rsidRPr="00032E05">
        <w:tab/>
        <w:t xml:space="preserve">Pursuant to General Assembly resolution </w:t>
      </w:r>
      <w:r w:rsidRPr="00105C27">
        <w:t>72/</w:t>
      </w:r>
      <w:r w:rsidRPr="00032E05">
        <w:t>189, the Human Rights Council will consider the interim report of the</w:t>
      </w:r>
      <w:r w:rsidRPr="00DA4849">
        <w:t xml:space="preserve"> Secretary-General on progress made in the implementation of that resolution, including options and recommendations to improve its implementation </w:t>
      </w:r>
      <w:r>
        <w:t>(A/HRC/37/</w:t>
      </w:r>
      <w:r w:rsidRPr="00B14A50">
        <w:t xml:space="preserve">24) (see para. </w:t>
      </w:r>
      <w:r>
        <w:t>94</w:t>
      </w:r>
      <w:r w:rsidRPr="00B14A50">
        <w:t xml:space="preserve"> below).</w:t>
      </w:r>
    </w:p>
    <w:p w:rsidR="00CB18FE" w:rsidRDefault="00CB18FE" w:rsidP="00CB18FE">
      <w:pPr>
        <w:pStyle w:val="H4G"/>
      </w:pPr>
      <w:r w:rsidRPr="00DA4849">
        <w:tab/>
      </w:r>
      <w:r w:rsidRPr="00DA4849">
        <w:tab/>
        <w:t>Special Fund established by the Optional Protocol to the Convention against Torture and Other Cruel, Inhuman or Degrading Treatment or Punishment</w:t>
      </w:r>
    </w:p>
    <w:p w:rsidR="00CB18FE" w:rsidRDefault="00CB18FE" w:rsidP="00CB18FE">
      <w:pPr>
        <w:pStyle w:val="SingleTxtG"/>
      </w:pPr>
      <w:r>
        <w:t>19.</w:t>
      </w:r>
      <w:r>
        <w:tab/>
        <w:t xml:space="preserve">Reference is made to the report of the Secretary-General </w:t>
      </w:r>
      <w:r w:rsidRPr="00DA4849">
        <w:t xml:space="preserve">on the operations of the Special Fund established by the Optional Protocol to the Convention against Torture and Other Cruel, Inhuman or Degrading Treatment or Punishment </w:t>
      </w:r>
      <w:r>
        <w:t>(A/HRC/37/19) (see para</w:t>
      </w:r>
      <w:r w:rsidRPr="00DA4849">
        <w:t xml:space="preserve">. </w:t>
      </w:r>
      <w:r>
        <w:t>61 below</w:t>
      </w:r>
      <w:r w:rsidRPr="00DA4849">
        <w:t>).</w:t>
      </w:r>
    </w:p>
    <w:p w:rsidR="00F107F7" w:rsidRPr="006B399D" w:rsidRDefault="006B399D" w:rsidP="006B399D">
      <w:pPr>
        <w:pStyle w:val="H4G"/>
      </w:pPr>
      <w:r>
        <w:lastRenderedPageBreak/>
        <w:tab/>
      </w:r>
      <w:r>
        <w:tab/>
      </w:r>
      <w:r w:rsidR="00F107F7" w:rsidRPr="006B399D">
        <w:t>Torture and Other Cruel, Inhuman or Degrading Treatment or Punishment</w:t>
      </w:r>
      <w:r w:rsidR="00F107F7" w:rsidRPr="006B399D">
        <w:rPr>
          <w:lang w:val="en-US"/>
        </w:rPr>
        <w:t>:</w:t>
      </w:r>
      <w:r w:rsidR="005D6D26" w:rsidRPr="006B399D">
        <w:t xml:space="preserve"> safeguards to prevent torture during police custody and pretrial detention</w:t>
      </w:r>
      <w:r w:rsidR="00F107F7" w:rsidRPr="006B399D">
        <w:t xml:space="preserve"> </w:t>
      </w:r>
    </w:p>
    <w:p w:rsidR="00CB18FE" w:rsidRPr="00DA4849" w:rsidRDefault="00CB18FE" w:rsidP="00CB18FE">
      <w:pPr>
        <w:pStyle w:val="SingleTxtG"/>
      </w:pPr>
      <w:r>
        <w:t>20.</w:t>
      </w:r>
      <w:r>
        <w:tab/>
        <w:t xml:space="preserve">Reference is also made to the summary report of OHCHR on the </w:t>
      </w:r>
      <w:r w:rsidRPr="0095303F">
        <w:t>intersessional</w:t>
      </w:r>
      <w:r>
        <w:t xml:space="preserve"> open-ended seminar </w:t>
      </w:r>
      <w:r w:rsidRPr="000F3C06">
        <w:t>on national experiences and practices on the</w:t>
      </w:r>
      <w:r>
        <w:t xml:space="preserve"> </w:t>
      </w:r>
      <w:r w:rsidRPr="000F3C06">
        <w:t>implementation of effective safeguards to prevent</w:t>
      </w:r>
      <w:r>
        <w:t xml:space="preserve"> </w:t>
      </w:r>
      <w:r w:rsidRPr="000F3C06">
        <w:t>torture and other cruel, inhuman or degrading</w:t>
      </w:r>
      <w:r>
        <w:t xml:space="preserve"> </w:t>
      </w:r>
      <w:r w:rsidRPr="000F3C06">
        <w:t>treatment or punishment during police custody and</w:t>
      </w:r>
      <w:r>
        <w:t xml:space="preserve"> </w:t>
      </w:r>
      <w:r w:rsidRPr="000F3C06">
        <w:t>pretrial detention</w:t>
      </w:r>
      <w:r>
        <w:t xml:space="preserve"> </w:t>
      </w:r>
      <w:r w:rsidRPr="0095303F">
        <w:t>(A/HRC/37/27)</w:t>
      </w:r>
      <w:r>
        <w:t xml:space="preserve"> (see para. 63 below).</w:t>
      </w:r>
    </w:p>
    <w:p w:rsidR="00CB18FE" w:rsidRDefault="00CB18FE" w:rsidP="00CB18FE">
      <w:pPr>
        <w:pStyle w:val="H4G"/>
        <w:ind w:left="0" w:firstLine="0"/>
      </w:pPr>
      <w:r w:rsidRPr="00DA4849">
        <w:tab/>
      </w:r>
      <w:r w:rsidRPr="00DA4849">
        <w:tab/>
        <w:t>United Nations Voluntary Fund for Victims of Torture</w:t>
      </w:r>
    </w:p>
    <w:p w:rsidR="00CB18FE" w:rsidRPr="00DA4849" w:rsidRDefault="00CB18FE" w:rsidP="00CB18FE">
      <w:pPr>
        <w:pStyle w:val="SingleTxtG"/>
      </w:pPr>
      <w:r>
        <w:t>21</w:t>
      </w:r>
      <w:r w:rsidRPr="00DA4849">
        <w:t>.</w:t>
      </w:r>
      <w:r w:rsidRPr="00DA4849">
        <w:tab/>
        <w:t xml:space="preserve">Reference is also made to the </w:t>
      </w:r>
      <w:r>
        <w:t>report</w:t>
      </w:r>
      <w:r w:rsidRPr="00DA4849">
        <w:t xml:space="preserve"> of the Secretary-General on the operations of the United Nations Voluntary Fund for Victims of Torture </w:t>
      </w:r>
      <w:r>
        <w:t>(A/HRC/37/20</w:t>
      </w:r>
      <w:r w:rsidRPr="00DA4849">
        <w:t>)</w:t>
      </w:r>
      <w:r>
        <w:t xml:space="preserve"> (see para. 62</w:t>
      </w:r>
      <w:r w:rsidRPr="00DA4849">
        <w:t xml:space="preserve"> </w:t>
      </w:r>
      <w:r>
        <w:t>below</w:t>
      </w:r>
      <w:r w:rsidRPr="00DA4849">
        <w:t>).</w:t>
      </w:r>
    </w:p>
    <w:p w:rsidR="00CB18FE" w:rsidRPr="00DA4849" w:rsidRDefault="00CB18FE" w:rsidP="00CB18FE">
      <w:pPr>
        <w:pStyle w:val="H4G"/>
      </w:pPr>
      <w:r w:rsidRPr="00DA4849">
        <w:tab/>
      </w:r>
      <w:r w:rsidRPr="00DA4849">
        <w:tab/>
        <w:t>Effective implementation of international human rights instruments</w:t>
      </w:r>
    </w:p>
    <w:p w:rsidR="00CB18FE" w:rsidRPr="00DA4849" w:rsidRDefault="00CB18FE" w:rsidP="00CB18FE">
      <w:pPr>
        <w:pStyle w:val="SingleTxtG"/>
      </w:pPr>
      <w:r>
        <w:t>22</w:t>
      </w:r>
      <w:r w:rsidRPr="00DA4849">
        <w:t>.</w:t>
      </w:r>
      <w:r w:rsidRPr="00DA4849">
        <w:tab/>
        <w:t xml:space="preserve">Pursuant to its resolution 9/8, the </w:t>
      </w:r>
      <w:r>
        <w:t xml:space="preserve">Human Rights </w:t>
      </w:r>
      <w:r w:rsidRPr="00DA4849">
        <w:t xml:space="preserve">Council will have before it the report of the Secretary-General on measures taken to implement that resolution and on obstacles to its implementation, including recommendation for further improving the effectiveness of, harmonizing and reforming the treaty body system </w:t>
      </w:r>
      <w:r>
        <w:t>(A/HRC/37/21</w:t>
      </w:r>
      <w:r w:rsidRPr="00DA4849">
        <w:t>).</w:t>
      </w:r>
    </w:p>
    <w:p w:rsidR="00CB18FE" w:rsidRPr="00DA4849" w:rsidRDefault="00CB18FE" w:rsidP="00CB18FE">
      <w:pPr>
        <w:pStyle w:val="H4G"/>
      </w:pPr>
      <w:r w:rsidRPr="00DA4849">
        <w:tab/>
      </w:r>
      <w:r w:rsidRPr="00DA4849">
        <w:tab/>
        <w:t>Promoting reconciliation, accountability and human rights in Sri Lanka</w:t>
      </w:r>
    </w:p>
    <w:p w:rsidR="00CB18FE" w:rsidRPr="000D0ACB" w:rsidRDefault="00CB18FE" w:rsidP="00CB18FE">
      <w:pPr>
        <w:pStyle w:val="SingleTxtG"/>
      </w:pPr>
      <w:r>
        <w:t>23</w:t>
      </w:r>
      <w:r w:rsidRPr="00DA4849">
        <w:t>.</w:t>
      </w:r>
      <w:r w:rsidRPr="00DA4849">
        <w:tab/>
        <w:t>In its resolution 3</w:t>
      </w:r>
      <w:r>
        <w:t>4</w:t>
      </w:r>
      <w:r w:rsidRPr="00DA4849">
        <w:t xml:space="preserve">/1, the </w:t>
      </w:r>
      <w:r>
        <w:t xml:space="preserve">Human Rights </w:t>
      </w:r>
      <w:r w:rsidRPr="00DA4849">
        <w:t>Council requested OHCHR to continue to assess progress on the implementation of its recommendations and other relevant processes related to reconciliation, accountability and human rights in Sri Lanka</w:t>
      </w:r>
      <w:r>
        <w:t>.</w:t>
      </w:r>
      <w:r w:rsidRPr="00DA4849">
        <w:t xml:space="preserve"> </w:t>
      </w:r>
      <w:r>
        <w:t xml:space="preserve">Pursuant to the same resolution, the Council will consider </w:t>
      </w:r>
      <w:r w:rsidRPr="00DA4849">
        <w:t xml:space="preserve">the </w:t>
      </w:r>
      <w:r>
        <w:t xml:space="preserve">written update </w:t>
      </w:r>
      <w:r w:rsidRPr="00DA4849">
        <w:t xml:space="preserve">of OHCHR </w:t>
      </w:r>
      <w:r>
        <w:t>thereon (A/HRC/37/23</w:t>
      </w:r>
      <w:r w:rsidRPr="00DA4849">
        <w:t>).</w:t>
      </w:r>
    </w:p>
    <w:p w:rsidR="00CB18FE" w:rsidRPr="00A104F8" w:rsidRDefault="00CB18FE" w:rsidP="00CB18FE">
      <w:pPr>
        <w:pStyle w:val="H4G"/>
      </w:pPr>
      <w:r>
        <w:tab/>
      </w:r>
      <w:r>
        <w:tab/>
      </w:r>
      <w:r w:rsidRPr="00A104F8">
        <w:t>Question of the realization in all countries of economic, social and cultural rights</w:t>
      </w:r>
    </w:p>
    <w:p w:rsidR="00CB18FE" w:rsidRPr="00A422DD" w:rsidRDefault="00CB18FE" w:rsidP="00CB18FE">
      <w:pPr>
        <w:pStyle w:val="SingleTxtG"/>
      </w:pPr>
      <w:r>
        <w:t>24.</w:t>
      </w:r>
      <w:r>
        <w:tab/>
        <w:t xml:space="preserve">Reference is made to the annual report of the Secretary-General </w:t>
      </w:r>
      <w:r w:rsidRPr="00DA4849">
        <w:t>on</w:t>
      </w:r>
      <w:r>
        <w:t xml:space="preserve"> the question of the realization in all countries of economic, social and cultural rights (A/HRC/37/3</w:t>
      </w:r>
      <w:r w:rsidRPr="006B425C">
        <w:t>0)</w:t>
      </w:r>
      <w:r>
        <w:t xml:space="preserve"> (see para. 53</w:t>
      </w:r>
      <w:r w:rsidRPr="006B425C">
        <w:t xml:space="preserve"> below).</w:t>
      </w:r>
    </w:p>
    <w:p w:rsidR="00CB18FE" w:rsidRPr="00E33539" w:rsidRDefault="00CB18FE" w:rsidP="00CB18FE">
      <w:pPr>
        <w:pStyle w:val="H4G"/>
      </w:pPr>
      <w:r w:rsidRPr="00E33539">
        <w:tab/>
      </w:r>
      <w:r w:rsidRPr="00E33539">
        <w:tab/>
        <w:t>Rights of persons belonging to national or ethnic, religious and linguistic minorities</w:t>
      </w:r>
    </w:p>
    <w:p w:rsidR="00CB18FE" w:rsidRPr="00E33539" w:rsidRDefault="00CB18FE" w:rsidP="00CB18FE">
      <w:pPr>
        <w:pStyle w:val="SingleTxtG"/>
      </w:pPr>
      <w:r>
        <w:t>25</w:t>
      </w:r>
      <w:r w:rsidRPr="00E33539">
        <w:t>.</w:t>
      </w:r>
      <w:r w:rsidRPr="00E33539">
        <w:tab/>
        <w:t>Reference is made to the report of the High Commissioner on the rights of persons belonging to national or ethnic, religious and linguistic minor</w:t>
      </w:r>
      <w:r>
        <w:t>ities (A/HRC/37/26) (see para. 67</w:t>
      </w:r>
      <w:r w:rsidRPr="00E33539">
        <w:t xml:space="preserve"> below).</w:t>
      </w:r>
    </w:p>
    <w:p w:rsidR="00CB18FE" w:rsidRPr="008D7B56" w:rsidRDefault="00CB18FE" w:rsidP="00CB18FE">
      <w:pPr>
        <w:pStyle w:val="H4G"/>
      </w:pPr>
      <w:r w:rsidRPr="008D7B56">
        <w:tab/>
      </w:r>
      <w:r w:rsidRPr="008D7B56">
        <w:tab/>
        <w:t>Rights of the child</w:t>
      </w:r>
    </w:p>
    <w:p w:rsidR="00CB18FE" w:rsidRPr="007C55B7" w:rsidRDefault="00CB18FE" w:rsidP="00CB18FE">
      <w:pPr>
        <w:pStyle w:val="SingleTxtG"/>
      </w:pPr>
      <w:r>
        <w:t>26</w:t>
      </w:r>
      <w:r w:rsidRPr="008D7B56">
        <w:t>.</w:t>
      </w:r>
      <w:r w:rsidRPr="008D7B56">
        <w:tab/>
        <w:t xml:space="preserve">Reference is made to the report of the High Commissioner on </w:t>
      </w:r>
      <w:r>
        <w:t>p</w:t>
      </w:r>
      <w:r w:rsidRPr="008D7B56">
        <w:t>rotecting the rights of the child in humanitarian situations</w:t>
      </w:r>
      <w:r>
        <w:t xml:space="preserve"> (A/HRC/37/33)</w:t>
      </w:r>
      <w:r w:rsidRPr="008D7B56">
        <w:t>, which will inform the annual full-day meeting on the rights of the chi</w:t>
      </w:r>
      <w:r>
        <w:t xml:space="preserve">ld (see </w:t>
      </w:r>
      <w:r w:rsidRPr="008D7B56">
        <w:t>annex</w:t>
      </w:r>
      <w:r>
        <w:t xml:space="preserve"> </w:t>
      </w:r>
      <w:r w:rsidRPr="008D7B56">
        <w:t>and</w:t>
      </w:r>
      <w:r>
        <w:t xml:space="preserve"> para. 72</w:t>
      </w:r>
      <w:r w:rsidRPr="008D7B56">
        <w:t xml:space="preserve"> below).</w:t>
      </w:r>
    </w:p>
    <w:p w:rsidR="00CB18FE" w:rsidRPr="001550DE" w:rsidRDefault="00CB18FE" w:rsidP="00CB18FE">
      <w:pPr>
        <w:pStyle w:val="H4G"/>
      </w:pPr>
      <w:r w:rsidRPr="001550DE">
        <w:tab/>
      </w:r>
      <w:r w:rsidRPr="001550DE">
        <w:tab/>
        <w:t>Rights of persons with disabilities</w:t>
      </w:r>
    </w:p>
    <w:p w:rsidR="00CB18FE" w:rsidRPr="00036FE3" w:rsidRDefault="00CB18FE" w:rsidP="00CB18FE">
      <w:pPr>
        <w:pStyle w:val="SingleTxtG"/>
      </w:pPr>
      <w:r>
        <w:t>27.</w:t>
      </w:r>
      <w:r>
        <w:tab/>
      </w:r>
      <w:r w:rsidRPr="008D7B56">
        <w:t xml:space="preserve">Reference is made to the report of the High Commissioner on </w:t>
      </w:r>
      <w:r>
        <w:t>a</w:t>
      </w:r>
      <w:r w:rsidRPr="001550DE">
        <w:t>rticle 13 of the</w:t>
      </w:r>
      <w:r>
        <w:t xml:space="preserve"> </w:t>
      </w:r>
      <w:r w:rsidRPr="001550DE">
        <w:t>Convention on the Right</w:t>
      </w:r>
      <w:r>
        <w:t xml:space="preserve">s of Persons with Disabilities regarding access to justice </w:t>
      </w:r>
      <w:r w:rsidRPr="008D7B56">
        <w:t>(A/HRC/37</w:t>
      </w:r>
      <w:r>
        <w:t xml:space="preserve">/25), which </w:t>
      </w:r>
      <w:r w:rsidRPr="008D7B56">
        <w:t xml:space="preserve">will inform the annual </w:t>
      </w:r>
      <w:r>
        <w:t xml:space="preserve">interactive debate </w:t>
      </w:r>
      <w:r w:rsidRPr="008D7B56">
        <w:t xml:space="preserve">on the rights of </w:t>
      </w:r>
      <w:r>
        <w:t xml:space="preserve">persons with disabilities (see </w:t>
      </w:r>
      <w:r w:rsidRPr="008D7B56">
        <w:t>annex</w:t>
      </w:r>
      <w:r>
        <w:t xml:space="preserve"> </w:t>
      </w:r>
      <w:r w:rsidRPr="008D7B56">
        <w:t>and</w:t>
      </w:r>
      <w:r>
        <w:t xml:space="preserve"> para. 75</w:t>
      </w:r>
      <w:r w:rsidRPr="008D7B56">
        <w:t xml:space="preserve"> below).</w:t>
      </w:r>
    </w:p>
    <w:p w:rsidR="00CB18FE" w:rsidRDefault="00CB18FE" w:rsidP="00CB18FE">
      <w:pPr>
        <w:pStyle w:val="H4G"/>
      </w:pPr>
      <w:r>
        <w:tab/>
      </w:r>
      <w:r>
        <w:tab/>
      </w:r>
      <w:r w:rsidRPr="00B01CA0">
        <w:t>Safety of journalists and the issue of impunity</w:t>
      </w:r>
    </w:p>
    <w:p w:rsidR="00CB18FE" w:rsidRDefault="00CB18FE" w:rsidP="00CB18FE">
      <w:pPr>
        <w:pStyle w:val="SingleTxtG"/>
      </w:pPr>
      <w:r>
        <w:t>28</w:t>
      </w:r>
      <w:r w:rsidRPr="00570737">
        <w:t>.</w:t>
      </w:r>
      <w:r w:rsidRPr="00570737">
        <w:tab/>
        <w:t>Reference is made</w:t>
      </w:r>
      <w:r>
        <w:t xml:space="preserve"> to the report of the Secretary-General </w:t>
      </w:r>
      <w:r w:rsidRPr="00570737">
        <w:t>on the safety of journalist</w:t>
      </w:r>
      <w:r>
        <w:t>s</w:t>
      </w:r>
      <w:r w:rsidRPr="00570737">
        <w:t xml:space="preserve"> and th</w:t>
      </w:r>
      <w:r>
        <w:t>e issue of impunity (A/72/290; see also A/HRC/37/18) (see para. 84</w:t>
      </w:r>
      <w:r w:rsidRPr="00570737">
        <w:t xml:space="preserve"> below).</w:t>
      </w:r>
    </w:p>
    <w:p w:rsidR="00CB18FE" w:rsidRPr="0051733E" w:rsidRDefault="00CB18FE" w:rsidP="00CB18FE">
      <w:pPr>
        <w:pStyle w:val="H4G"/>
      </w:pPr>
      <w:r w:rsidRPr="0051733E">
        <w:lastRenderedPageBreak/>
        <w:tab/>
      </w:r>
      <w:r>
        <w:tab/>
      </w:r>
      <w:r w:rsidRPr="0051733E">
        <w:t>Violence against women</w:t>
      </w:r>
    </w:p>
    <w:p w:rsidR="00CB18FE" w:rsidRDefault="00CB18FE" w:rsidP="00CB18FE">
      <w:pPr>
        <w:pStyle w:val="SingleTxtG"/>
      </w:pPr>
      <w:r>
        <w:t>29</w:t>
      </w:r>
      <w:r w:rsidRPr="0051733E">
        <w:t>.</w:t>
      </w:r>
      <w:r w:rsidRPr="0051733E">
        <w:tab/>
        <w:t xml:space="preserve">Reference is made to the </w:t>
      </w:r>
      <w:r>
        <w:t xml:space="preserve">summary </w:t>
      </w:r>
      <w:r w:rsidRPr="0051733E">
        <w:t xml:space="preserve">report </w:t>
      </w:r>
      <w:r>
        <w:t>of the High Commissioner on the annual full-day discussion on the human rights of women, held at the thirty-fifth session (A/HRC/37/36) (see para. 73</w:t>
      </w:r>
      <w:r w:rsidRPr="00570737">
        <w:t xml:space="preserve"> below).</w:t>
      </w:r>
    </w:p>
    <w:p w:rsidR="00CB18FE" w:rsidRDefault="00CB18FE" w:rsidP="00CB18FE">
      <w:pPr>
        <w:pStyle w:val="H4G"/>
      </w:pPr>
      <w:r>
        <w:tab/>
      </w:r>
      <w:r>
        <w:tab/>
      </w:r>
      <w:r w:rsidRPr="00F24E4F">
        <w:t>Impact of multiple and intersecting forms of discrimination and violence in the context of racism, racial discrimination, xenophobia and related intolerance on the full enjoyment of all human rights by women and girls</w:t>
      </w:r>
    </w:p>
    <w:p w:rsidR="00CB18FE" w:rsidRDefault="00CB18FE" w:rsidP="00CB18FE">
      <w:pPr>
        <w:pStyle w:val="SingleTxtG"/>
      </w:pPr>
      <w:r>
        <w:t>30</w:t>
      </w:r>
      <w:r w:rsidRPr="00570737">
        <w:t>.</w:t>
      </w:r>
      <w:r w:rsidRPr="00570737">
        <w:tab/>
        <w:t xml:space="preserve">Reference is made to the </w:t>
      </w:r>
      <w:r>
        <w:t xml:space="preserve">summary </w:t>
      </w:r>
      <w:r w:rsidRPr="00570737">
        <w:t>report</w:t>
      </w:r>
      <w:r>
        <w:t xml:space="preserve"> of the High Commissioner on the panel discussion on the impact of </w:t>
      </w:r>
      <w:r w:rsidRPr="00F24E4F">
        <w:t>multiple and intersecting forms of discrimination and violence in the context of racism, racial discrimination, xenophobia and related intolerance on the full enjoyment of all human rights by women and girls</w:t>
      </w:r>
      <w:r>
        <w:t xml:space="preserve"> (A/HRC/37/28</w:t>
      </w:r>
      <w:r w:rsidRPr="00570737">
        <w:t>)</w:t>
      </w:r>
      <w:r w:rsidRPr="006E45FE">
        <w:t xml:space="preserve"> </w:t>
      </w:r>
      <w:r>
        <w:t>(see para. 77</w:t>
      </w:r>
      <w:r w:rsidRPr="00BB464D">
        <w:t xml:space="preserve"> below).</w:t>
      </w:r>
    </w:p>
    <w:p w:rsidR="00CB18FE" w:rsidRPr="00DA4849" w:rsidRDefault="00CB18FE" w:rsidP="00CB18FE">
      <w:pPr>
        <w:pStyle w:val="H4G"/>
      </w:pPr>
      <w:r w:rsidRPr="00DA4849">
        <w:tab/>
      </w:r>
      <w:r>
        <w:tab/>
      </w:r>
      <w:r w:rsidRPr="00DA4849">
        <w:t>Right to work</w:t>
      </w:r>
    </w:p>
    <w:p w:rsidR="00CB18FE" w:rsidRDefault="00CB18FE" w:rsidP="00CB18FE">
      <w:pPr>
        <w:pStyle w:val="SingleTxtG"/>
      </w:pPr>
      <w:r>
        <w:t>31</w:t>
      </w:r>
      <w:r w:rsidRPr="00BB464D">
        <w:t>.</w:t>
      </w:r>
      <w:r w:rsidRPr="00BB464D">
        <w:tab/>
        <w:t xml:space="preserve">Reference is made to the report of the High Commissioner on the relationship between the realization of the right to work and the implementation of relevant targets in the Sustainable Development Goals </w:t>
      </w:r>
      <w:r>
        <w:t>(A/HRC/37/32) (see para. 58</w:t>
      </w:r>
      <w:r w:rsidRPr="00BB464D">
        <w:t xml:space="preserve"> below).</w:t>
      </w:r>
    </w:p>
    <w:p w:rsidR="00CB18FE" w:rsidRPr="00714029" w:rsidRDefault="00CB18FE" w:rsidP="00CB18FE">
      <w:pPr>
        <w:pStyle w:val="H4G"/>
        <w:ind w:left="0" w:firstLine="0"/>
      </w:pPr>
      <w:r>
        <w:tab/>
      </w:r>
      <w:r>
        <w:tab/>
      </w:r>
      <w:r w:rsidRPr="00714029">
        <w:t>Human rights and unilateral coercive measures</w:t>
      </w:r>
    </w:p>
    <w:p w:rsidR="00CB18FE" w:rsidRDefault="00CB18FE" w:rsidP="00CB18FE">
      <w:pPr>
        <w:pStyle w:val="SingleTxtG"/>
      </w:pPr>
      <w:r>
        <w:t>3</w:t>
      </w:r>
      <w:r w:rsidRPr="00714029">
        <w:t>2.</w:t>
      </w:r>
      <w:r w:rsidRPr="00714029">
        <w:tab/>
      </w:r>
      <w:r w:rsidRPr="00570737">
        <w:t xml:space="preserve">Reference is made to </w:t>
      </w:r>
      <w:r>
        <w:t xml:space="preserve">the summary report of OHCHR on the panel discussion on the issue of unilateral coercive measures and human rights </w:t>
      </w:r>
      <w:r w:rsidRPr="00714029">
        <w:t>(A/HRC/3</w:t>
      </w:r>
      <w:r>
        <w:t>7/31</w:t>
      </w:r>
      <w:r w:rsidRPr="00714029">
        <w:t>)</w:t>
      </w:r>
      <w:r>
        <w:t xml:space="preserve"> (see para. 85 below).</w:t>
      </w:r>
      <w:r w:rsidRPr="00714029">
        <w:t xml:space="preserve"> </w:t>
      </w:r>
    </w:p>
    <w:p w:rsidR="00CB18FE" w:rsidRPr="00FC70E5" w:rsidRDefault="00CB18FE" w:rsidP="00CB18FE">
      <w:pPr>
        <w:pStyle w:val="H4G"/>
      </w:pPr>
      <w:r w:rsidRPr="00FC70E5">
        <w:tab/>
      </w:r>
      <w:r w:rsidRPr="00FC70E5">
        <w:tab/>
        <w:t>Protection of the human rights of migrants: the global compact for safe, orderly and regular migration</w:t>
      </w:r>
    </w:p>
    <w:p w:rsidR="00CB18FE" w:rsidRPr="00D12185" w:rsidRDefault="00CB18FE" w:rsidP="00CB18FE">
      <w:pPr>
        <w:pStyle w:val="SingleTxtG"/>
      </w:pPr>
      <w:r w:rsidRPr="00FC70E5">
        <w:t>33.</w:t>
      </w:r>
      <w:r w:rsidRPr="00FC70E5">
        <w:tab/>
        <w:t>Reference is made to the report of the High Commissioner on principles and practical guidance on the protection of the human rights of migrants in vulnerable situations (A/HRC/37/34) (see para</w:t>
      </w:r>
      <w:r>
        <w:t>.</w:t>
      </w:r>
      <w:r w:rsidRPr="00FC70E5">
        <w:t xml:space="preserve"> 7</w:t>
      </w:r>
      <w:r>
        <w:t xml:space="preserve">8 </w:t>
      </w:r>
      <w:r w:rsidRPr="00FC70E5">
        <w:t>below).</w:t>
      </w:r>
      <w:r w:rsidRPr="00714029">
        <w:t xml:space="preserve"> </w:t>
      </w:r>
    </w:p>
    <w:p w:rsidR="00CB18FE" w:rsidRDefault="00CB18FE" w:rsidP="00CB18FE">
      <w:pPr>
        <w:pStyle w:val="H4G"/>
      </w:pPr>
      <w:r>
        <w:tab/>
      </w:r>
      <w:r>
        <w:tab/>
      </w:r>
      <w:r w:rsidRPr="00CA26BF">
        <w:t>Human rights, climate change, migrants and persons displaced across international borders</w:t>
      </w:r>
    </w:p>
    <w:p w:rsidR="00CB18FE" w:rsidRDefault="00CB18FE" w:rsidP="00CB18FE">
      <w:pPr>
        <w:pStyle w:val="SingleTxtG"/>
      </w:pPr>
      <w:r>
        <w:t>34</w:t>
      </w:r>
      <w:r w:rsidRPr="00714029">
        <w:t>.</w:t>
      </w:r>
      <w:r w:rsidRPr="00714029">
        <w:tab/>
      </w:r>
      <w:r w:rsidRPr="00570737">
        <w:t xml:space="preserve">Reference is made to </w:t>
      </w:r>
      <w:r>
        <w:t xml:space="preserve">the summary report of OHCHR on the intersessional panel on human rights, climate change, migrants and persons displaced across international borders </w:t>
      </w:r>
      <w:r w:rsidRPr="00714029">
        <w:t>(A/HRC/3</w:t>
      </w:r>
      <w:r>
        <w:t>7/35</w:t>
      </w:r>
      <w:r w:rsidRPr="00714029">
        <w:t>)</w:t>
      </w:r>
      <w:r>
        <w:t xml:space="preserve"> </w:t>
      </w:r>
      <w:r w:rsidRPr="00DA4849">
        <w:t xml:space="preserve">(see para. </w:t>
      </w:r>
      <w:r>
        <w:t>86</w:t>
      </w:r>
      <w:r w:rsidRPr="00DA4849">
        <w:t xml:space="preserve"> </w:t>
      </w:r>
      <w:r>
        <w:t>below</w:t>
      </w:r>
      <w:r w:rsidRPr="00DA4849">
        <w:t>).</w:t>
      </w:r>
    </w:p>
    <w:p w:rsidR="00CB18FE" w:rsidRDefault="00CB18FE" w:rsidP="00CB18FE">
      <w:pPr>
        <w:pStyle w:val="H4G"/>
      </w:pPr>
      <w:r>
        <w:tab/>
      </w:r>
      <w:r>
        <w:tab/>
      </w:r>
      <w:r w:rsidRPr="00FF4F71">
        <w:t>Impact of the damage to or destruction of cultural heritage on the enjoyment of human rights</w:t>
      </w:r>
    </w:p>
    <w:p w:rsidR="00CB18FE" w:rsidRDefault="00CB18FE" w:rsidP="00CB18FE">
      <w:pPr>
        <w:pStyle w:val="SingleTxtG"/>
      </w:pPr>
      <w:r>
        <w:t>35</w:t>
      </w:r>
      <w:r w:rsidRPr="00CA26BF">
        <w:t>.</w:t>
      </w:r>
      <w:r w:rsidRPr="00CA26BF">
        <w:tab/>
      </w:r>
      <w:r w:rsidRPr="00570737">
        <w:t xml:space="preserve">Reference is made to </w:t>
      </w:r>
      <w:r>
        <w:t xml:space="preserve">the summary report of the High Commissioner on the intersessional panel on ways to prevent, contain and/or mitigate the detrimental impact of the damage to or destruction of cultural heritage on the enjoyment of human rights, including cultural rights by all, and on best practices in this regard </w:t>
      </w:r>
      <w:r w:rsidRPr="00714029">
        <w:t>(A/HRC/3</w:t>
      </w:r>
      <w:r>
        <w:t>7/29</w:t>
      </w:r>
      <w:r w:rsidRPr="00714029">
        <w:t>)</w:t>
      </w:r>
      <w:r>
        <w:t xml:space="preserve"> </w:t>
      </w:r>
      <w:r w:rsidRPr="00DA4849">
        <w:t xml:space="preserve">(see para. </w:t>
      </w:r>
      <w:r>
        <w:t>87</w:t>
      </w:r>
      <w:r w:rsidRPr="00DA4849">
        <w:t xml:space="preserve"> </w:t>
      </w:r>
      <w:r>
        <w:t>below</w:t>
      </w:r>
      <w:r w:rsidRPr="00DA4849">
        <w:t>).</w:t>
      </w:r>
      <w:r w:rsidRPr="00714029">
        <w:t xml:space="preserve"> </w:t>
      </w:r>
    </w:p>
    <w:p w:rsidR="00CB18FE" w:rsidRPr="00DA4849" w:rsidRDefault="00CB18FE" w:rsidP="00CB18FE">
      <w:pPr>
        <w:pStyle w:val="H4G"/>
      </w:pPr>
      <w:r>
        <w:tab/>
      </w:r>
      <w:r>
        <w:tab/>
      </w:r>
      <w:r w:rsidRPr="00DA4849">
        <w:t>Conclusions and recommendations of special procedures</w:t>
      </w:r>
    </w:p>
    <w:p w:rsidR="00CB18FE" w:rsidRPr="00353534" w:rsidRDefault="00CB18FE" w:rsidP="00CB18FE">
      <w:pPr>
        <w:pStyle w:val="SingleTxtG"/>
      </w:pPr>
      <w:r>
        <w:t>36</w:t>
      </w:r>
      <w:r w:rsidRPr="00DA4849">
        <w:t>.</w:t>
      </w:r>
      <w:r w:rsidRPr="00DA4849">
        <w:tab/>
        <w:t xml:space="preserve">Pursuant to Commission on Human Rights resolution 2004/76 and Human Rights Council decision 2/102, the </w:t>
      </w:r>
      <w:r>
        <w:t xml:space="preserve">Human Rights </w:t>
      </w:r>
      <w:r w:rsidRPr="00DA4849">
        <w:t xml:space="preserve">Council will have before it the report of the Secretary-General containing references to the conclusions and recommendations in the reports submitted by the special </w:t>
      </w:r>
      <w:r>
        <w:t>procedures (A/HRC/37/81</w:t>
      </w:r>
      <w:r w:rsidRPr="00E51ED9">
        <w:t>)</w:t>
      </w:r>
      <w:r>
        <w:t xml:space="preserve">. </w:t>
      </w:r>
    </w:p>
    <w:p w:rsidR="00CB18FE" w:rsidRPr="00DA4849" w:rsidRDefault="00CB18FE" w:rsidP="00CB18FE">
      <w:pPr>
        <w:pStyle w:val="H4G"/>
      </w:pPr>
      <w:r w:rsidRPr="00DA4849">
        <w:lastRenderedPageBreak/>
        <w:tab/>
      </w:r>
      <w:r>
        <w:tab/>
      </w:r>
      <w:r w:rsidRPr="00DA4849">
        <w:t>Situation of human rights in the Occupied Palestinian Territory, including East Jerusalem</w:t>
      </w:r>
    </w:p>
    <w:p w:rsidR="00CB18FE" w:rsidRDefault="00CB18FE" w:rsidP="00CB18FE">
      <w:pPr>
        <w:pStyle w:val="SingleTxtG"/>
      </w:pPr>
      <w:r>
        <w:t>37</w:t>
      </w:r>
      <w:r w:rsidRPr="00784EEF">
        <w:t>.</w:t>
      </w:r>
      <w:r w:rsidRPr="00784EEF">
        <w:tab/>
        <w:t>Reference is made to the report of the</w:t>
      </w:r>
      <w:r w:rsidRPr="00353534">
        <w:t xml:space="preserve"> </w:t>
      </w:r>
      <w:r w:rsidRPr="0008148C">
        <w:t>High Commissioner</w:t>
      </w:r>
      <w:r>
        <w:t xml:space="preserve"> on </w:t>
      </w:r>
      <w:r w:rsidRPr="00DA4849">
        <w:t>human rights in the Occupied Palestinian Territory, including East Jerusalem</w:t>
      </w:r>
      <w:r>
        <w:t xml:space="preserve"> (A/HRC/37/42</w:t>
      </w:r>
      <w:r w:rsidRPr="00DA4849">
        <w:t xml:space="preserve">) (see para. </w:t>
      </w:r>
      <w:r>
        <w:t>107</w:t>
      </w:r>
      <w:r w:rsidRPr="00DA4849">
        <w:t xml:space="preserve"> </w:t>
      </w:r>
      <w:r>
        <w:t>below</w:t>
      </w:r>
      <w:r w:rsidRPr="00DA4849">
        <w:t>).</w:t>
      </w:r>
    </w:p>
    <w:p w:rsidR="00CB18FE" w:rsidRDefault="00CB18FE" w:rsidP="00CB18FE">
      <w:pPr>
        <w:pStyle w:val="SingleTxtG"/>
      </w:pPr>
      <w:r>
        <w:t>38</w:t>
      </w:r>
      <w:r w:rsidRPr="005D1AB7">
        <w:t>.</w:t>
      </w:r>
      <w:r w:rsidRPr="005D1AB7">
        <w:tab/>
      </w:r>
      <w:r w:rsidRPr="00784EEF">
        <w:t>Reference is</w:t>
      </w:r>
      <w:r>
        <w:t xml:space="preserve"> also</w:t>
      </w:r>
      <w:r w:rsidRPr="00784EEF">
        <w:t xml:space="preserve"> made to the report of the</w:t>
      </w:r>
      <w:r w:rsidRPr="00353534">
        <w:t xml:space="preserve"> </w:t>
      </w:r>
      <w:r w:rsidRPr="0008148C">
        <w:t>High Commissioner</w:t>
      </w:r>
      <w:r>
        <w:t xml:space="preserve"> on the implementation of Human Rights Council resolutions </w:t>
      </w:r>
      <w:r w:rsidRPr="005D1AB7">
        <w:t xml:space="preserve">S-9/1 and </w:t>
      </w:r>
      <w:r>
        <w:t>S-12/1 (A/HRC/37/38) (see para. 108</w:t>
      </w:r>
      <w:r w:rsidRPr="005D1AB7">
        <w:t xml:space="preserve"> </w:t>
      </w:r>
      <w:r>
        <w:t>below</w:t>
      </w:r>
      <w:r w:rsidRPr="005D1AB7">
        <w:t>).</w:t>
      </w:r>
    </w:p>
    <w:p w:rsidR="00CB18FE" w:rsidRDefault="00CB18FE" w:rsidP="00CB18FE">
      <w:pPr>
        <w:pStyle w:val="H4G"/>
      </w:pPr>
      <w:r>
        <w:tab/>
      </w:r>
      <w:r>
        <w:tab/>
      </w:r>
      <w:r w:rsidRPr="00353534">
        <w:t>Ensuring accountability and justice for all violations of international law in the Occupied Palestinian Territory, including East Jerusalem</w:t>
      </w:r>
    </w:p>
    <w:p w:rsidR="00CB18FE" w:rsidRPr="00E6726D" w:rsidRDefault="00CB18FE" w:rsidP="00CB18FE">
      <w:pPr>
        <w:pStyle w:val="SingleTxtG"/>
      </w:pPr>
      <w:r>
        <w:t>39.</w:t>
      </w:r>
      <w:r>
        <w:tab/>
      </w:r>
      <w:r w:rsidRPr="00784EEF">
        <w:t>Reference is made to the report of the</w:t>
      </w:r>
      <w:r w:rsidRPr="00353534">
        <w:t xml:space="preserve"> </w:t>
      </w:r>
      <w:r w:rsidRPr="0008148C">
        <w:t>High Commissioner</w:t>
      </w:r>
      <w:r>
        <w:t xml:space="preserve"> on</w:t>
      </w:r>
      <w:r w:rsidRPr="00353534">
        <w:rPr>
          <w:i/>
        </w:rPr>
        <w:t xml:space="preserve"> </w:t>
      </w:r>
      <w:r>
        <w:t>e</w:t>
      </w:r>
      <w:r w:rsidRPr="00353534">
        <w:t>nsuring accountability and justice for all violations of international law in the Occupied Palestinian Territory, including East Jerusalem</w:t>
      </w:r>
      <w:r>
        <w:t xml:space="preserve"> (A/HRC/37/41)</w:t>
      </w:r>
      <w:r w:rsidRPr="00DA4849">
        <w:t xml:space="preserve"> (see para. </w:t>
      </w:r>
      <w:r>
        <w:t>109</w:t>
      </w:r>
      <w:r w:rsidRPr="00DA4849">
        <w:t xml:space="preserve"> </w:t>
      </w:r>
      <w:r>
        <w:t>below</w:t>
      </w:r>
      <w:r w:rsidRPr="00DA4849">
        <w:t>).</w:t>
      </w:r>
    </w:p>
    <w:p w:rsidR="00CB18FE" w:rsidRPr="00DA4849" w:rsidRDefault="00CB18FE" w:rsidP="00CB18FE">
      <w:pPr>
        <w:pStyle w:val="H4G"/>
      </w:pPr>
      <w:r w:rsidRPr="00DA4849">
        <w:tab/>
      </w:r>
      <w:r>
        <w:tab/>
      </w:r>
      <w:r w:rsidRPr="00DA4849">
        <w:t>Human rights in the occupied Syrian Golan</w:t>
      </w:r>
    </w:p>
    <w:p w:rsidR="00CB18FE" w:rsidRDefault="00CB18FE" w:rsidP="00CB18FE">
      <w:pPr>
        <w:pStyle w:val="SingleTxtG"/>
      </w:pPr>
      <w:r>
        <w:t>40.</w:t>
      </w:r>
      <w:r>
        <w:tab/>
      </w:r>
      <w:r w:rsidRPr="00A205E3">
        <w:t>Reference is made to the report of the Secretary-General on the situation of human rights in the occupied Syrian Golan</w:t>
      </w:r>
      <w:r>
        <w:t xml:space="preserve"> (A/HRC/37/40</w:t>
      </w:r>
      <w:r w:rsidRPr="00DA4849">
        <w:t xml:space="preserve">) (see para. </w:t>
      </w:r>
      <w:r>
        <w:t>110</w:t>
      </w:r>
      <w:r w:rsidRPr="00DA4849">
        <w:t xml:space="preserve"> </w:t>
      </w:r>
      <w:r>
        <w:t>below</w:t>
      </w:r>
      <w:r w:rsidRPr="00DA4849">
        <w:t>).</w:t>
      </w:r>
    </w:p>
    <w:p w:rsidR="00CB18FE" w:rsidRPr="00E6726D" w:rsidRDefault="00CB18FE" w:rsidP="00CB18FE">
      <w:pPr>
        <w:pStyle w:val="H4G"/>
      </w:pPr>
      <w:r>
        <w:tab/>
      </w:r>
      <w:r>
        <w:tab/>
      </w:r>
      <w:r w:rsidRPr="00E6726D">
        <w:t>Israeli settlements in the Occupied Palestinian Territory, including East Jerusalem, and in the occupied Syrian Golan</w:t>
      </w:r>
    </w:p>
    <w:p w:rsidR="00CB18FE" w:rsidRDefault="00CB18FE" w:rsidP="00CB18FE">
      <w:pPr>
        <w:pStyle w:val="SingleTxtG"/>
      </w:pPr>
      <w:r>
        <w:t>41.</w:t>
      </w:r>
      <w:r>
        <w:tab/>
      </w:r>
      <w:r w:rsidRPr="00784EEF">
        <w:t xml:space="preserve">Reference is made to the report of the </w:t>
      </w:r>
      <w:r>
        <w:t xml:space="preserve">High Commissioner </w:t>
      </w:r>
      <w:r w:rsidRPr="00784EEF">
        <w:t xml:space="preserve">on Israeli settlements in the Occupied Palestinian Territory, including East Jerusalem, and in the occupied Syrian Golan </w:t>
      </w:r>
      <w:r>
        <w:t>(A/HRC/37/43)</w:t>
      </w:r>
      <w:r w:rsidRPr="00DA4849">
        <w:t xml:space="preserve"> (see para. </w:t>
      </w:r>
      <w:r>
        <w:t>111 below</w:t>
      </w:r>
      <w:r w:rsidRPr="00DA4849">
        <w:t>).</w:t>
      </w:r>
    </w:p>
    <w:p w:rsidR="00CB18FE" w:rsidRDefault="00CB18FE" w:rsidP="00CB18FE">
      <w:pPr>
        <w:pStyle w:val="SingleTxtG"/>
      </w:pPr>
      <w:r>
        <w:t>42</w:t>
      </w:r>
      <w:r w:rsidRPr="00DA4849">
        <w:t>.</w:t>
      </w:r>
      <w:r w:rsidRPr="00DA4849">
        <w:tab/>
      </w:r>
      <w:r w:rsidRPr="00784EEF">
        <w:t xml:space="preserve">Reference is </w:t>
      </w:r>
      <w:r>
        <w:t xml:space="preserve">also </w:t>
      </w:r>
      <w:r w:rsidRPr="00784EEF">
        <w:t xml:space="preserve">made </w:t>
      </w:r>
      <w:r>
        <w:t xml:space="preserve">to the report of the </w:t>
      </w:r>
      <w:r w:rsidRPr="00DA4849">
        <w:t>High Commissioner</w:t>
      </w:r>
      <w:r>
        <w:t xml:space="preserve"> on the </w:t>
      </w:r>
      <w:r w:rsidRPr="00DA4849">
        <w:t>database of all business enterprises involved in the activities detailed in paragraph 96</w:t>
      </w:r>
      <w:r>
        <w:t xml:space="preserve"> of </w:t>
      </w:r>
      <w:r w:rsidRPr="00DA4849">
        <w:t>the report of the independent international fact-finding mission</w:t>
      </w:r>
      <w:r>
        <w:t xml:space="preserve"> (A/HRC/37/39 and Add.1</w:t>
      </w:r>
      <w:r w:rsidRPr="00DA4849">
        <w:t xml:space="preserve">) (see para. </w:t>
      </w:r>
      <w:r>
        <w:t>112</w:t>
      </w:r>
      <w:r w:rsidRPr="00DA4849">
        <w:t xml:space="preserve"> </w:t>
      </w:r>
      <w:r>
        <w:t>below</w:t>
      </w:r>
      <w:r w:rsidRPr="00DA4849">
        <w:t xml:space="preserve">). </w:t>
      </w:r>
    </w:p>
    <w:p w:rsidR="00CB18FE" w:rsidRPr="00DA4849" w:rsidRDefault="00CB18FE" w:rsidP="00CB18FE">
      <w:pPr>
        <w:pStyle w:val="H4G"/>
      </w:pPr>
      <w:r>
        <w:tab/>
      </w:r>
      <w:r>
        <w:tab/>
      </w:r>
      <w:r w:rsidRPr="00DA4849">
        <w:t>Combating intolerance, negative stereotyping and stigmatization of, and discrimination, incitement to violence and violence against, persons based on religion or belief</w:t>
      </w:r>
    </w:p>
    <w:p w:rsidR="00CB18FE" w:rsidRDefault="00CB18FE" w:rsidP="00CB18FE">
      <w:pPr>
        <w:pStyle w:val="SingleTxtG"/>
      </w:pPr>
      <w:r>
        <w:t>43</w:t>
      </w:r>
      <w:r w:rsidRPr="00DA4849">
        <w:t>.</w:t>
      </w:r>
      <w:r w:rsidRPr="00DA4849">
        <w:tab/>
        <w:t xml:space="preserve">Reference is made to the report of the High Commissioner on the implementation of the action plan outlined in Council resolution </w:t>
      </w:r>
      <w:r>
        <w:t>34/22</w:t>
      </w:r>
      <w:r w:rsidRPr="00DA4849">
        <w:t xml:space="preserve"> (A/HRC/3</w:t>
      </w:r>
      <w:r>
        <w:t>7/44</w:t>
      </w:r>
      <w:r w:rsidRPr="00DA4849">
        <w:t xml:space="preserve">) (see para. </w:t>
      </w:r>
      <w:r>
        <w:t>117 below</w:t>
      </w:r>
      <w:r w:rsidRPr="00DA4849">
        <w:t>).</w:t>
      </w:r>
    </w:p>
    <w:p w:rsidR="00CB18FE" w:rsidRPr="00DA4849" w:rsidRDefault="00CB18FE" w:rsidP="00CB18FE">
      <w:pPr>
        <w:pStyle w:val="H4G"/>
      </w:pPr>
      <w:r>
        <w:tab/>
      </w:r>
      <w:r>
        <w:tab/>
      </w:r>
      <w:r w:rsidRPr="00DA4849">
        <w:t>Technical assistance and capacity-building to improve human rights in Libya</w:t>
      </w:r>
    </w:p>
    <w:p w:rsidR="00CB18FE" w:rsidRPr="00DA4849" w:rsidRDefault="00CB18FE" w:rsidP="00CB18FE">
      <w:pPr>
        <w:pStyle w:val="SingleTxtG"/>
      </w:pPr>
      <w:r>
        <w:t>4</w:t>
      </w:r>
      <w:r w:rsidRPr="00DA4849">
        <w:t>4.</w:t>
      </w:r>
      <w:r w:rsidRPr="00DA4849">
        <w:tab/>
        <w:t>Reference is made to the report of the High Commissioner on the situation of human rights in Libya (A/HRC/3</w:t>
      </w:r>
      <w:r>
        <w:t>7/46</w:t>
      </w:r>
      <w:r w:rsidRPr="00DA4849">
        <w:t xml:space="preserve">) (see para. </w:t>
      </w:r>
      <w:r>
        <w:t>119 below</w:t>
      </w:r>
      <w:r w:rsidRPr="00DA4849">
        <w:t>).</w:t>
      </w:r>
    </w:p>
    <w:p w:rsidR="00CB18FE" w:rsidRPr="00DA4849" w:rsidRDefault="00CB18FE" w:rsidP="00CB18FE">
      <w:pPr>
        <w:pStyle w:val="H4G"/>
      </w:pPr>
      <w:r>
        <w:tab/>
      </w:r>
      <w:r>
        <w:tab/>
      </w:r>
      <w:r w:rsidRPr="00DA4849">
        <w:t>Cooperation with and assistance to Ukraine in the field of human rights</w:t>
      </w:r>
    </w:p>
    <w:p w:rsidR="00CB18FE" w:rsidRDefault="00CB18FE" w:rsidP="00CB18FE">
      <w:pPr>
        <w:pStyle w:val="SingleTxtG"/>
      </w:pPr>
      <w:r>
        <w:t>45</w:t>
      </w:r>
      <w:r w:rsidRPr="00DA4849">
        <w:t>.</w:t>
      </w:r>
      <w:r w:rsidRPr="00DA4849">
        <w:tab/>
        <w:t xml:space="preserve">Reference is made to the oral presentation of the High Commissioner on the situation of human rights in Ukraine (see para. </w:t>
      </w:r>
      <w:r>
        <w:t>122</w:t>
      </w:r>
      <w:r w:rsidRPr="00DA4849">
        <w:t xml:space="preserve"> </w:t>
      </w:r>
      <w:r>
        <w:t>below</w:t>
      </w:r>
      <w:r w:rsidRPr="00DA4849">
        <w:t>).</w:t>
      </w:r>
    </w:p>
    <w:p w:rsidR="00CB18FE" w:rsidRPr="00220153" w:rsidRDefault="00CB18FE" w:rsidP="00CB18FE">
      <w:pPr>
        <w:pStyle w:val="H4G"/>
      </w:pPr>
      <w:r>
        <w:tab/>
      </w:r>
      <w:r>
        <w:tab/>
      </w:r>
      <w:r w:rsidRPr="00A929FC">
        <w:t>Technical assistance to the Democratic Republic of the Congo and accountability concerning the events in the Kasai regions</w:t>
      </w:r>
    </w:p>
    <w:p w:rsidR="00CB18FE" w:rsidRDefault="00CB18FE" w:rsidP="00CB18FE">
      <w:pPr>
        <w:pStyle w:val="SingleTxtG"/>
      </w:pPr>
      <w:r>
        <w:t>46</w:t>
      </w:r>
      <w:r w:rsidRPr="00DA4849">
        <w:t>.</w:t>
      </w:r>
      <w:r w:rsidRPr="00DA4849">
        <w:tab/>
        <w:t>Reference is made to the oral presentation of the High Commissioner on the situation of human rights in</w:t>
      </w:r>
      <w:r>
        <w:t xml:space="preserve"> </w:t>
      </w:r>
      <w:r w:rsidRPr="00220153">
        <w:t>the Democratic Republic of the Congo and accountability concerning the events in the Kasai regions</w:t>
      </w:r>
      <w:r w:rsidRPr="00DA4849">
        <w:t xml:space="preserve"> (see para. </w:t>
      </w:r>
      <w:r>
        <w:t>123</w:t>
      </w:r>
      <w:r w:rsidRPr="00DA4849">
        <w:t xml:space="preserve"> </w:t>
      </w:r>
      <w:r>
        <w:t>below</w:t>
      </w:r>
      <w:r w:rsidRPr="00DA4849">
        <w:t>).</w:t>
      </w:r>
    </w:p>
    <w:p w:rsidR="00CB18FE" w:rsidRDefault="00CB18FE" w:rsidP="00CB18FE">
      <w:pPr>
        <w:pStyle w:val="SingleTxtG"/>
      </w:pPr>
      <w:r>
        <w:lastRenderedPageBreak/>
        <w:t>47.</w:t>
      </w:r>
      <w:r>
        <w:tab/>
        <w:t xml:space="preserve">Reference is also made to the enhanced interactive dialogue on the oral update of OHCHR on the situation of human rights in the Democratic Republic of the Congo (see para. 124 below). </w:t>
      </w:r>
    </w:p>
    <w:p w:rsidR="00CB18FE" w:rsidRDefault="00CB18FE" w:rsidP="00CB18FE">
      <w:pPr>
        <w:pStyle w:val="H4G"/>
      </w:pPr>
      <w:r>
        <w:tab/>
      </w:r>
      <w:r>
        <w:tab/>
      </w:r>
      <w:r w:rsidRPr="00714029">
        <w:t xml:space="preserve">Advisory services and technical </w:t>
      </w:r>
      <w:r w:rsidRPr="00E0687D">
        <w:t>assistance</w:t>
      </w:r>
      <w:r w:rsidRPr="00714029">
        <w:t xml:space="preserve"> to Cambodia</w:t>
      </w:r>
    </w:p>
    <w:p w:rsidR="00CB18FE" w:rsidRPr="00714029" w:rsidRDefault="00CB18FE" w:rsidP="00CB18FE">
      <w:pPr>
        <w:pStyle w:val="SingleTxtG"/>
      </w:pPr>
      <w:r>
        <w:t>48</w:t>
      </w:r>
      <w:r w:rsidRPr="00714029">
        <w:t>.</w:t>
      </w:r>
      <w:r w:rsidRPr="00714029">
        <w:tab/>
        <w:t>Reference is made to the report of the Secretary-General on the role and achievements of OHCHR in assisting the Government and the people of Cambodia in the promotion and</w:t>
      </w:r>
      <w:r>
        <w:t xml:space="preserve"> protection of human rights (A/HRC/37/64) (see para. 124 below</w:t>
      </w:r>
      <w:r w:rsidRPr="00714029">
        <w:t>).</w:t>
      </w:r>
    </w:p>
    <w:p w:rsidR="00CB18FE" w:rsidRPr="00DA4849" w:rsidRDefault="00CB18FE" w:rsidP="00CB18FE">
      <w:pPr>
        <w:pStyle w:val="H4G"/>
      </w:pPr>
      <w:r>
        <w:tab/>
      </w:r>
      <w:r>
        <w:tab/>
      </w:r>
      <w:r w:rsidRPr="00DA4849">
        <w:t xml:space="preserve">Enhancement of technical cooperation and capacity-building in the field of human </w:t>
      </w:r>
      <w:r>
        <w:t>rights</w:t>
      </w:r>
    </w:p>
    <w:p w:rsidR="00CB18FE" w:rsidRPr="00DA4849" w:rsidRDefault="00CB18FE" w:rsidP="00CB18FE">
      <w:pPr>
        <w:pStyle w:val="SingleTxtG"/>
      </w:pPr>
      <w:r>
        <w:t>49</w:t>
      </w:r>
      <w:r w:rsidRPr="00DA4849">
        <w:t>.</w:t>
      </w:r>
      <w:r w:rsidRPr="00DA4849">
        <w:tab/>
        <w:t>Reference is made to the annual oral presentation of the High Commissioner under agenda item 10</w:t>
      </w:r>
      <w:r>
        <w:t xml:space="preserve">, </w:t>
      </w:r>
      <w:r w:rsidRPr="00DA4849">
        <w:t xml:space="preserve">on the overview of and successes, best practices and challenges in technical assistance and capacity-building efforts (see para. </w:t>
      </w:r>
      <w:r>
        <w:t>126 below</w:t>
      </w:r>
      <w:r w:rsidRPr="00DA4849">
        <w:t>).</w:t>
      </w:r>
    </w:p>
    <w:p w:rsidR="00CB18FE" w:rsidRPr="00DA4849" w:rsidRDefault="00CB18FE" w:rsidP="00CB18FE">
      <w:pPr>
        <w:pStyle w:val="H4G"/>
      </w:pPr>
      <w:r>
        <w:tab/>
      </w:r>
      <w:r>
        <w:tab/>
      </w:r>
      <w:r w:rsidRPr="00DA4849">
        <w:t>Technical cooperation in the field of human rights in Afghanistan</w:t>
      </w:r>
    </w:p>
    <w:p w:rsidR="00CB18FE" w:rsidRPr="00DA4849" w:rsidRDefault="00CB18FE" w:rsidP="00CB18FE">
      <w:pPr>
        <w:pStyle w:val="SingleTxtG"/>
      </w:pPr>
      <w:r>
        <w:t>50</w:t>
      </w:r>
      <w:r w:rsidRPr="00DA4849">
        <w:t>.</w:t>
      </w:r>
      <w:r w:rsidRPr="00DA4849">
        <w:tab/>
        <w:t xml:space="preserve">Reference is made to the report of the High Commissioner on the situation of human rights in Afghanistan and technical assistance achievements in the field of human rights </w:t>
      </w:r>
      <w:r>
        <w:t>(A/HRC/37/45</w:t>
      </w:r>
      <w:r w:rsidRPr="00DA4849">
        <w:t xml:space="preserve">) (see para. </w:t>
      </w:r>
      <w:r>
        <w:t>127</w:t>
      </w:r>
      <w:r w:rsidRPr="00DA4849">
        <w:t xml:space="preserve"> </w:t>
      </w:r>
      <w:r>
        <w:t>below</w:t>
      </w:r>
      <w:r w:rsidRPr="00DA4849">
        <w:t>).</w:t>
      </w:r>
    </w:p>
    <w:p w:rsidR="00CB18FE" w:rsidRPr="00DA4849" w:rsidRDefault="00CB18FE" w:rsidP="00CB18FE">
      <w:pPr>
        <w:pStyle w:val="H4G"/>
      </w:pPr>
      <w:r>
        <w:tab/>
      </w:r>
      <w:r>
        <w:tab/>
      </w:r>
      <w:r w:rsidRPr="00DA4849">
        <w:t>Situation of human rights in Haiti</w:t>
      </w:r>
    </w:p>
    <w:p w:rsidR="00CB18FE" w:rsidRDefault="00CB18FE" w:rsidP="00CB18FE">
      <w:pPr>
        <w:pStyle w:val="SingleTxtG"/>
      </w:pPr>
      <w:r>
        <w:t>51</w:t>
      </w:r>
      <w:r w:rsidRPr="00DA4849">
        <w:t>.</w:t>
      </w:r>
      <w:r w:rsidRPr="00DA4849">
        <w:tab/>
        <w:t xml:space="preserve">Reference is made to the </w:t>
      </w:r>
      <w:r>
        <w:t>oral update</w:t>
      </w:r>
      <w:r w:rsidRPr="00DA4849">
        <w:t xml:space="preserve"> of the High Commissioner on the situation of human rights in </w:t>
      </w:r>
      <w:r>
        <w:t>Haiti (see para. 128 below).</w:t>
      </w:r>
    </w:p>
    <w:p w:rsidR="00CB18FE" w:rsidRPr="00FA2386" w:rsidRDefault="00CB18FE" w:rsidP="00CB18FE">
      <w:pPr>
        <w:pStyle w:val="H4G"/>
      </w:pPr>
      <w:r>
        <w:tab/>
      </w:r>
      <w:r>
        <w:tab/>
      </w:r>
      <w:r w:rsidRPr="00FA2386">
        <w:t>Technical assistance and capacity-building for Yemen in the field of human rights</w:t>
      </w:r>
    </w:p>
    <w:p w:rsidR="00CB18FE" w:rsidRPr="001F7F6D" w:rsidRDefault="00CB18FE" w:rsidP="00CB18FE">
      <w:pPr>
        <w:pStyle w:val="SingleTxtG"/>
      </w:pPr>
      <w:r>
        <w:t>52.</w:t>
      </w:r>
      <w:r>
        <w:tab/>
      </w:r>
      <w:r w:rsidRPr="00DA4849">
        <w:t xml:space="preserve">Reference is made to the </w:t>
      </w:r>
      <w:r>
        <w:t>oral update</w:t>
      </w:r>
      <w:r w:rsidRPr="00DA4849">
        <w:t xml:space="preserve"> of the High Commissioner on the situation of human rights in </w:t>
      </w:r>
      <w:r>
        <w:t>Yemen (see para. 129</w:t>
      </w:r>
      <w:r w:rsidRPr="00FA2386">
        <w:t xml:space="preserve"> </w:t>
      </w:r>
      <w:r>
        <w:t>below).</w:t>
      </w:r>
    </w:p>
    <w:p w:rsidR="00CB18FE" w:rsidRPr="00DA4849" w:rsidRDefault="00CB18FE" w:rsidP="00CB18FE">
      <w:pPr>
        <w:pStyle w:val="H23G"/>
      </w:pPr>
      <w:bookmarkStart w:id="8" w:name="_Toc220320997"/>
      <w:r w:rsidRPr="00DA4849">
        <w:tab/>
        <w:t>3.</w:t>
      </w:r>
      <w:r w:rsidRPr="00DA4849">
        <w:tab/>
        <w:t>Promotion and protection of all human rights, civil, political, economic, social and cultural rights, including the right to development</w:t>
      </w:r>
      <w:bookmarkEnd w:id="8"/>
    </w:p>
    <w:p w:rsidR="00CB18FE" w:rsidRPr="00DA4849" w:rsidRDefault="00CB18FE" w:rsidP="00CB18FE">
      <w:pPr>
        <w:pStyle w:val="H23G"/>
      </w:pPr>
      <w:bookmarkStart w:id="9" w:name="_Toc220320998"/>
      <w:r w:rsidRPr="00DA4849">
        <w:tab/>
      </w:r>
      <w:r w:rsidRPr="00DA4849">
        <w:tab/>
        <w:t>Economic, social and cultural rights</w:t>
      </w:r>
      <w:bookmarkEnd w:id="9"/>
    </w:p>
    <w:p w:rsidR="00CB18FE" w:rsidRPr="00DA4849" w:rsidRDefault="00CB18FE" w:rsidP="00CB18FE">
      <w:pPr>
        <w:pStyle w:val="H4G"/>
      </w:pPr>
      <w:r w:rsidRPr="00DA4849">
        <w:tab/>
      </w:r>
      <w:r w:rsidRPr="00DA4849">
        <w:tab/>
        <w:t>Question of the realization in all countries of economic, social and cultural rights</w:t>
      </w:r>
    </w:p>
    <w:p w:rsidR="00CB18FE" w:rsidRPr="00344C0F" w:rsidRDefault="00CB18FE" w:rsidP="00CB18FE">
      <w:pPr>
        <w:pStyle w:val="SingleTxtG"/>
      </w:pPr>
      <w:r>
        <w:t>53</w:t>
      </w:r>
      <w:r w:rsidRPr="00344C0F">
        <w:t>.</w:t>
      </w:r>
      <w:r w:rsidRPr="00344C0F">
        <w:tab/>
        <w:t xml:space="preserve"> Pursuant to its resolution 34/4, the </w:t>
      </w:r>
      <w:r>
        <w:t xml:space="preserve">Human Rights </w:t>
      </w:r>
      <w:r w:rsidRPr="00344C0F">
        <w:t>Council will consider the annual report of the Secretary-General on the question of the realization in all countries of economic, social and cultural r</w:t>
      </w:r>
      <w:r>
        <w:t>ights (A/HRC/37/30) (see para. 24</w:t>
      </w:r>
      <w:r w:rsidRPr="00344C0F">
        <w:t xml:space="preserve"> above).</w:t>
      </w:r>
    </w:p>
    <w:p w:rsidR="00CB18FE" w:rsidRPr="00344C0F" w:rsidRDefault="00CB18FE" w:rsidP="00CB18FE">
      <w:pPr>
        <w:pStyle w:val="H4G"/>
      </w:pPr>
      <w:r w:rsidRPr="00344C0F">
        <w:tab/>
      </w:r>
      <w:r w:rsidRPr="00344C0F">
        <w:tab/>
        <w:t>Right to food</w:t>
      </w:r>
    </w:p>
    <w:p w:rsidR="00CB18FE" w:rsidRPr="00DA4849" w:rsidRDefault="00CB18FE" w:rsidP="00CB18FE">
      <w:pPr>
        <w:pStyle w:val="SingleTxtG"/>
      </w:pPr>
      <w:r>
        <w:t>54</w:t>
      </w:r>
      <w:r w:rsidRPr="00344C0F">
        <w:t>.</w:t>
      </w:r>
      <w:r w:rsidRPr="00344C0F">
        <w:tab/>
      </w:r>
      <w:r>
        <w:t xml:space="preserve"> </w:t>
      </w:r>
      <w:r w:rsidRPr="008E4270">
        <w:t xml:space="preserve">Pursuant to its resolution </w:t>
      </w:r>
      <w:r>
        <w:t>34/12</w:t>
      </w:r>
      <w:r w:rsidRPr="008E4270">
        <w:t xml:space="preserve">, the </w:t>
      </w:r>
      <w:r>
        <w:t xml:space="preserve">Human Rights </w:t>
      </w:r>
      <w:r w:rsidRPr="008E4270">
        <w:t>Council will consider the report</w:t>
      </w:r>
      <w:r>
        <w:t>s</w:t>
      </w:r>
      <w:r w:rsidRPr="008E4270">
        <w:t xml:space="preserve"> of the Special Rapporteur</w:t>
      </w:r>
      <w:r>
        <w:t xml:space="preserve"> </w:t>
      </w:r>
      <w:r w:rsidRPr="00344C0F">
        <w:t>on the right to food</w:t>
      </w:r>
      <w:r>
        <w:t xml:space="preserve">, </w:t>
      </w:r>
      <w:r w:rsidRPr="00344C0F">
        <w:t>Hilal Elver (A/HRC/37/61 and Add.1).</w:t>
      </w:r>
    </w:p>
    <w:p w:rsidR="00CB18FE" w:rsidRPr="008E4270" w:rsidRDefault="00CB18FE" w:rsidP="00CB18FE">
      <w:pPr>
        <w:pStyle w:val="H4G"/>
      </w:pPr>
      <w:r w:rsidRPr="00DA4849">
        <w:tab/>
      </w:r>
      <w:r w:rsidRPr="00DA4849">
        <w:tab/>
      </w:r>
      <w:r w:rsidRPr="008E4270">
        <w:t>Adequate housing as a component of the right to an adequate standard of living</w:t>
      </w:r>
    </w:p>
    <w:p w:rsidR="00CB18FE" w:rsidRPr="008E4270" w:rsidRDefault="00CB18FE" w:rsidP="00CB18FE">
      <w:pPr>
        <w:pStyle w:val="SingleTxtG"/>
      </w:pPr>
      <w:r>
        <w:t>55</w:t>
      </w:r>
      <w:r w:rsidRPr="008E4270">
        <w:t>.</w:t>
      </w:r>
      <w:r w:rsidRPr="008E4270">
        <w:tab/>
        <w:t xml:space="preserve">Pursuant to its resolution 34/9, the </w:t>
      </w:r>
      <w:r>
        <w:t xml:space="preserve">Human Rights </w:t>
      </w:r>
      <w:r w:rsidRPr="008E4270">
        <w:t>Council will consider the report</w:t>
      </w:r>
      <w:r>
        <w:t>s</w:t>
      </w:r>
      <w:r w:rsidRPr="008E4270">
        <w:t xml:space="preserve"> of the Special Rapporteur on adequate housing as a component of the right to an adequate standard of living, and on the right to non-discrimination in this context, Leilani Farha (A/HRC/37/53 and Add.1).</w:t>
      </w:r>
    </w:p>
    <w:p w:rsidR="00CB18FE" w:rsidRPr="008E4270" w:rsidRDefault="00CB18FE" w:rsidP="00CB18FE">
      <w:pPr>
        <w:pStyle w:val="H4G"/>
      </w:pPr>
      <w:r w:rsidRPr="008E4270">
        <w:lastRenderedPageBreak/>
        <w:tab/>
      </w:r>
      <w:r w:rsidRPr="008E4270">
        <w:tab/>
        <w:t>Promotion of the enjoyment of the cultural rights of everyone and respect for cultural diversity</w:t>
      </w:r>
    </w:p>
    <w:p w:rsidR="00CB18FE" w:rsidRPr="00DA4849" w:rsidRDefault="00CB18FE" w:rsidP="00CB18FE">
      <w:pPr>
        <w:pStyle w:val="SingleTxtG"/>
      </w:pPr>
      <w:r>
        <w:t>56</w:t>
      </w:r>
      <w:r w:rsidRPr="008E4270">
        <w:t>.</w:t>
      </w:r>
      <w:r w:rsidRPr="008E4270">
        <w:tab/>
        <w:t>Pursuant to its resolution</w:t>
      </w:r>
      <w:r>
        <w:t>s 28/9 and</w:t>
      </w:r>
      <w:r w:rsidRPr="008E4270">
        <w:t xml:space="preserve"> 34/2, the </w:t>
      </w:r>
      <w:r>
        <w:t xml:space="preserve">Human Rights </w:t>
      </w:r>
      <w:r w:rsidRPr="008E4270">
        <w:t>Council will consider the report</w:t>
      </w:r>
      <w:r>
        <w:t>s</w:t>
      </w:r>
      <w:r w:rsidRPr="008E4270">
        <w:t xml:space="preserve"> of the Special Rapporteur in the field of cultural rights, Karima Bennoune (A/HRC/37/55 and Add.1).</w:t>
      </w:r>
    </w:p>
    <w:p w:rsidR="00CB18FE" w:rsidRPr="00DA4849" w:rsidRDefault="00CB18FE" w:rsidP="00CB18FE">
      <w:pPr>
        <w:pStyle w:val="H4G"/>
      </w:pPr>
      <w:r w:rsidRPr="00DA4849">
        <w:tab/>
      </w:r>
      <w:r w:rsidRPr="00DA4849">
        <w:tab/>
        <w:t>Effects of foreign debt and other related international financial obligations of States on the full enjoyment of all human rights</w:t>
      </w:r>
    </w:p>
    <w:p w:rsidR="00CB18FE" w:rsidRDefault="00CB18FE" w:rsidP="00CB18FE">
      <w:pPr>
        <w:pStyle w:val="SingleTxtG"/>
      </w:pPr>
      <w:r>
        <w:t>57</w:t>
      </w:r>
      <w:r w:rsidRPr="00DA4849">
        <w:t>.</w:t>
      </w:r>
      <w:r w:rsidRPr="00DA4849">
        <w:tab/>
        <w:t xml:space="preserve">Pursuant to its resolution </w:t>
      </w:r>
      <w:r>
        <w:t>34/3</w:t>
      </w:r>
      <w:r w:rsidRPr="00DA4849">
        <w:t xml:space="preserve">, the </w:t>
      </w:r>
      <w:r>
        <w:t xml:space="preserve">Human Rights </w:t>
      </w:r>
      <w:r w:rsidRPr="00DA4849">
        <w:t>Council will consider the report</w:t>
      </w:r>
      <w:r>
        <w:t>s</w:t>
      </w:r>
      <w:r w:rsidRPr="00DA4849">
        <w:t xml:space="preserve"> of the Independent Expert on the effects of foreign debt and other related international financial obligations of States on the full enjoyment of all human rights, particularly economic, social and cultural </w:t>
      </w:r>
      <w:r w:rsidRPr="003D393C">
        <w:t>rights, Juan Pablo Bohoslavsky (A/</w:t>
      </w:r>
      <w:r>
        <w:t>HRC/37/54</w:t>
      </w:r>
      <w:r w:rsidRPr="00DA4849">
        <w:t xml:space="preserve"> and Add.1</w:t>
      </w:r>
      <w:r>
        <w:t>-3</w:t>
      </w:r>
      <w:r w:rsidRPr="00DA4849">
        <w:t xml:space="preserve">). </w:t>
      </w:r>
    </w:p>
    <w:p w:rsidR="00CB18FE" w:rsidRPr="00DA4849" w:rsidRDefault="00CB18FE" w:rsidP="00CB18FE">
      <w:pPr>
        <w:pStyle w:val="H4G"/>
      </w:pPr>
      <w:r>
        <w:tab/>
      </w:r>
      <w:r>
        <w:tab/>
      </w:r>
      <w:r w:rsidRPr="00DA4849">
        <w:t>Right to work</w:t>
      </w:r>
    </w:p>
    <w:p w:rsidR="00CB18FE" w:rsidRDefault="00CB18FE" w:rsidP="00CB18FE">
      <w:pPr>
        <w:pStyle w:val="SingleTxtG"/>
      </w:pPr>
      <w:r>
        <w:t>58</w:t>
      </w:r>
      <w:r w:rsidRPr="00DA4849">
        <w:t>.</w:t>
      </w:r>
      <w:r w:rsidRPr="00DA4849">
        <w:tab/>
      </w:r>
      <w:r>
        <w:t>In its resolution 34/14</w:t>
      </w:r>
      <w:r w:rsidRPr="00344C0F">
        <w:t xml:space="preserve">, the </w:t>
      </w:r>
      <w:r>
        <w:t xml:space="preserve">Human Rights </w:t>
      </w:r>
      <w:r w:rsidRPr="00344C0F">
        <w:t xml:space="preserve">Council requested the </w:t>
      </w:r>
      <w:r w:rsidRPr="00BB464D">
        <w:t>High Commissioner t</w:t>
      </w:r>
      <w:r>
        <w:t xml:space="preserve">o prepare an analytical report </w:t>
      </w:r>
      <w:r w:rsidRPr="00BB464D">
        <w:t xml:space="preserve">on the relationship between the realization of the right to work and the implementation of relevant targets in the Sustainable Development Goals, in accordance with States’ respective obligations under international human rights law, </w:t>
      </w:r>
      <w:r>
        <w:t xml:space="preserve">and </w:t>
      </w:r>
      <w:r w:rsidRPr="00BB464D">
        <w:t>to indicate the major challenges and</w:t>
      </w:r>
      <w:r>
        <w:t xml:space="preserve"> best practices in that regard. The Council will consider the report of the High Commissioner (A/HRC/37/32) (see para. 31</w:t>
      </w:r>
      <w:r w:rsidRPr="009939AB">
        <w:t xml:space="preserve"> </w:t>
      </w:r>
      <w:r>
        <w:t>above</w:t>
      </w:r>
      <w:r w:rsidRPr="009939AB">
        <w:t>).</w:t>
      </w:r>
    </w:p>
    <w:p w:rsidR="00CB18FE" w:rsidRPr="00DA4849" w:rsidRDefault="00CB18FE" w:rsidP="00CB18FE">
      <w:pPr>
        <w:pStyle w:val="H23G"/>
      </w:pPr>
      <w:r w:rsidRPr="00DA4849">
        <w:tab/>
      </w:r>
      <w:r w:rsidRPr="00DA4849">
        <w:tab/>
        <w:t>Civil and political rights</w:t>
      </w:r>
    </w:p>
    <w:p w:rsidR="00CB18FE" w:rsidRPr="003D393C" w:rsidRDefault="00CB18FE" w:rsidP="00CB18FE">
      <w:pPr>
        <w:pStyle w:val="H4G"/>
      </w:pPr>
      <w:r w:rsidRPr="00DA4849">
        <w:tab/>
      </w:r>
      <w:r w:rsidRPr="00DA4849">
        <w:tab/>
      </w:r>
      <w:r w:rsidRPr="003D393C">
        <w:t>Freedom of religion or belief</w:t>
      </w:r>
    </w:p>
    <w:p w:rsidR="00CB18FE" w:rsidRPr="00DA4849" w:rsidRDefault="00CB18FE" w:rsidP="00CB18FE">
      <w:pPr>
        <w:pStyle w:val="SingleTxtG"/>
      </w:pPr>
      <w:r>
        <w:t>59</w:t>
      </w:r>
      <w:r w:rsidRPr="003D393C">
        <w:t>.</w:t>
      </w:r>
      <w:r w:rsidRPr="003D393C">
        <w:tab/>
        <w:t xml:space="preserve">In its resolution </w:t>
      </w:r>
      <w:r>
        <w:t>31/16</w:t>
      </w:r>
      <w:r w:rsidRPr="003D393C">
        <w:t xml:space="preserve">, the </w:t>
      </w:r>
      <w:r>
        <w:t xml:space="preserve">Human Rights </w:t>
      </w:r>
      <w:r w:rsidRPr="003D393C">
        <w:t xml:space="preserve">Council requested the Special Rapporteur </w:t>
      </w:r>
      <w:r>
        <w:t xml:space="preserve">on freedom of religion or belief </w:t>
      </w:r>
      <w:r w:rsidRPr="003D393C">
        <w:t xml:space="preserve">to report annually to the Council. The Council will consider the reports of the </w:t>
      </w:r>
      <w:r>
        <w:t>mandate holder,</w:t>
      </w:r>
      <w:r w:rsidRPr="003D393C">
        <w:t xml:space="preserve"> Ahmed Shaheed (A/HRC/37/49 and Add.1-2).</w:t>
      </w:r>
    </w:p>
    <w:p w:rsidR="00CB18FE" w:rsidRPr="00DA4849" w:rsidRDefault="00CB18FE" w:rsidP="00CB18FE">
      <w:pPr>
        <w:pStyle w:val="H4G"/>
      </w:pPr>
      <w:r w:rsidRPr="00DA4849">
        <w:tab/>
      </w:r>
      <w:r w:rsidRPr="00DA4849">
        <w:tab/>
        <w:t>Torture and other cruel, inhuman or degrading treatment or punishment</w:t>
      </w:r>
    </w:p>
    <w:p w:rsidR="00CB18FE" w:rsidRPr="00F3579F" w:rsidRDefault="00CB18FE" w:rsidP="00CB18FE">
      <w:pPr>
        <w:pStyle w:val="SingleTxtG"/>
      </w:pPr>
      <w:r>
        <w:t>60</w:t>
      </w:r>
      <w:r w:rsidRPr="00F3579F">
        <w:t>.</w:t>
      </w:r>
      <w:r w:rsidRPr="00F3579F">
        <w:tab/>
        <w:t xml:space="preserve">Pursuant to its resolution 34/19, the </w:t>
      </w:r>
      <w:r>
        <w:t xml:space="preserve">Human Rights </w:t>
      </w:r>
      <w:r w:rsidRPr="00F3579F">
        <w:t>Council will consider the reports of the Special Rapporteur on torture and other cruel, inhuman or degrading treatment or punishment, Nils Melzer (A/HRC/37/50 and Add.1).</w:t>
      </w:r>
    </w:p>
    <w:p w:rsidR="00CB18FE" w:rsidRPr="00F3579F" w:rsidRDefault="00CB18FE" w:rsidP="00CB18FE">
      <w:pPr>
        <w:pStyle w:val="SingleTxtG"/>
      </w:pPr>
      <w:r>
        <w:t>61</w:t>
      </w:r>
      <w:r w:rsidRPr="00F3579F">
        <w:t>.</w:t>
      </w:r>
      <w:r w:rsidRPr="00F3579F">
        <w:tab/>
        <w:t>Pursuant to General Assembly resolution 7</w:t>
      </w:r>
      <w:r w:rsidR="00D14700">
        <w:rPr>
          <w:lang w:val="en-US"/>
        </w:rPr>
        <w:t>2</w:t>
      </w:r>
      <w:r w:rsidRPr="00F3579F">
        <w:t>/16</w:t>
      </w:r>
      <w:r w:rsidR="00D14700">
        <w:rPr>
          <w:lang w:val="en-US"/>
        </w:rPr>
        <w:t>3</w:t>
      </w:r>
      <w:r w:rsidRPr="00F3579F">
        <w:t xml:space="preserve">, the </w:t>
      </w:r>
      <w:r>
        <w:t xml:space="preserve">Human Rights </w:t>
      </w:r>
      <w:r w:rsidRPr="00F3579F">
        <w:t>Council will consider the report of the Secretary-General on the operations of the Special Fund established by the Optional Protocol to the Convention against Torture and Other Cruel, Inhuman or Degrading Treatment or Punis</w:t>
      </w:r>
      <w:r>
        <w:t>hment (A/HRC/37/19) (see para. 19</w:t>
      </w:r>
      <w:r w:rsidRPr="00F3579F">
        <w:t xml:space="preserve"> above).</w:t>
      </w:r>
    </w:p>
    <w:p w:rsidR="00CB18FE" w:rsidRDefault="00CB18FE" w:rsidP="00CB18FE">
      <w:pPr>
        <w:pStyle w:val="SingleTxtG"/>
      </w:pPr>
      <w:r>
        <w:t>62</w:t>
      </w:r>
      <w:r w:rsidRPr="00F3579F">
        <w:t>.</w:t>
      </w:r>
      <w:r w:rsidRPr="00F3579F">
        <w:tab/>
        <w:t>Pursuant to General Assembly resolution 7</w:t>
      </w:r>
      <w:r w:rsidR="00C53F09">
        <w:rPr>
          <w:lang w:val="en-US"/>
        </w:rPr>
        <w:t>2</w:t>
      </w:r>
      <w:r w:rsidRPr="00F3579F">
        <w:t>/1</w:t>
      </w:r>
      <w:r w:rsidR="00C53F09">
        <w:rPr>
          <w:lang w:val="en-US"/>
        </w:rPr>
        <w:t>63</w:t>
      </w:r>
      <w:r w:rsidRPr="00F3579F">
        <w:t xml:space="preserve">46, the </w:t>
      </w:r>
      <w:r>
        <w:t xml:space="preserve">Human Rights </w:t>
      </w:r>
      <w:r w:rsidRPr="00F3579F">
        <w:t xml:space="preserve">Council will consider the report of the Secretary-General on the United Nations Voluntary Fund for Victims of Torture (A/HRC/37/20) (see para. </w:t>
      </w:r>
      <w:r>
        <w:t>21</w:t>
      </w:r>
      <w:r w:rsidRPr="00F3579F">
        <w:t xml:space="preserve"> above).</w:t>
      </w:r>
    </w:p>
    <w:p w:rsidR="00CB18FE" w:rsidRPr="00DA4849" w:rsidRDefault="00CB18FE" w:rsidP="00CB18FE">
      <w:pPr>
        <w:pStyle w:val="SingleTxtG"/>
      </w:pPr>
      <w:r>
        <w:t xml:space="preserve">63. </w:t>
      </w:r>
      <w:r>
        <w:tab/>
        <w:t xml:space="preserve">In its </w:t>
      </w:r>
      <w:r w:rsidRPr="0036127E">
        <w:t>resolution 31/31, the</w:t>
      </w:r>
      <w:r w:rsidRPr="00DA4849">
        <w:t xml:space="preserve"> </w:t>
      </w:r>
      <w:r>
        <w:t>Human Rights Council</w:t>
      </w:r>
      <w:r w:rsidRPr="00DA4849">
        <w:t xml:space="preserve"> requested</w:t>
      </w:r>
      <w:r>
        <w:t xml:space="preserve"> OHCHR to convene an </w:t>
      </w:r>
      <w:r w:rsidRPr="0095303F">
        <w:t>intersessional</w:t>
      </w:r>
      <w:r>
        <w:t>, full-day open-ended seminar, in</w:t>
      </w:r>
      <w:r w:rsidRPr="0095303F">
        <w:t xml:space="preserve"> 2017</w:t>
      </w:r>
      <w:r>
        <w:t xml:space="preserve">, with the objective of exchanging national experiences and practices on the implementation of effective safeguards to prevent torture and other cruel, inhuman or degrading treatment or punishment during police custody and pretrial detention. The </w:t>
      </w:r>
      <w:r w:rsidRPr="001C574C">
        <w:t xml:space="preserve">Council will have before it the summary report </w:t>
      </w:r>
      <w:r>
        <w:t xml:space="preserve">of the seminar, held on </w:t>
      </w:r>
      <w:r w:rsidRPr="0095303F">
        <w:t>6 October 2017</w:t>
      </w:r>
      <w:r>
        <w:t>,</w:t>
      </w:r>
      <w:r w:rsidRPr="001C574C">
        <w:t xml:space="preserve"> </w:t>
      </w:r>
      <w:r>
        <w:t xml:space="preserve">prepared by OHCHR </w:t>
      </w:r>
      <w:r w:rsidRPr="001C574C">
        <w:t>(A/HRC/37/27) (see para</w:t>
      </w:r>
      <w:r>
        <w:t xml:space="preserve">. 20 above). </w:t>
      </w:r>
    </w:p>
    <w:p w:rsidR="00CB18FE" w:rsidRPr="00F3579F" w:rsidRDefault="00CB18FE" w:rsidP="00CB18FE">
      <w:pPr>
        <w:pStyle w:val="H4G"/>
        <w:ind w:left="0" w:firstLine="0"/>
      </w:pPr>
      <w:r>
        <w:rPr>
          <w:i w:val="0"/>
        </w:rPr>
        <w:lastRenderedPageBreak/>
        <w:tab/>
      </w:r>
      <w:r>
        <w:rPr>
          <w:i w:val="0"/>
        </w:rPr>
        <w:tab/>
      </w:r>
      <w:r w:rsidRPr="00F3579F">
        <w:t>Right to privacy in the digital age</w:t>
      </w:r>
    </w:p>
    <w:p w:rsidR="00CB18FE" w:rsidRPr="00C54367" w:rsidRDefault="00CB18FE" w:rsidP="00CB18FE">
      <w:pPr>
        <w:pStyle w:val="SingleTxtG"/>
      </w:pPr>
      <w:r>
        <w:t>64</w:t>
      </w:r>
      <w:r w:rsidRPr="00F3579F">
        <w:t>.</w:t>
      </w:r>
      <w:r w:rsidRPr="00F3579F">
        <w:tab/>
        <w:t xml:space="preserve">Pursuant to its resolution 28/16, the </w:t>
      </w:r>
      <w:r>
        <w:t xml:space="preserve">Human Rights </w:t>
      </w:r>
      <w:r w:rsidRPr="00F3579F">
        <w:t>Council will consider the reports of the Special Rapporteur on the right to privacy, Joseph Cannataci (A/HRC/37/62 and Add.1).</w:t>
      </w:r>
    </w:p>
    <w:p w:rsidR="00CB18FE" w:rsidRPr="00F3579F" w:rsidRDefault="00CB18FE" w:rsidP="00CB18FE">
      <w:pPr>
        <w:pStyle w:val="H23G"/>
      </w:pPr>
      <w:r w:rsidRPr="00F3579F">
        <w:tab/>
      </w:r>
      <w:r w:rsidRPr="00F3579F">
        <w:tab/>
      </w:r>
      <w:bookmarkStart w:id="10" w:name="_Toc220321000"/>
      <w:r w:rsidRPr="00F3579F">
        <w:t>Rights of peoples, and of specific groups and individuals</w:t>
      </w:r>
      <w:bookmarkEnd w:id="10"/>
    </w:p>
    <w:p w:rsidR="00CB18FE" w:rsidRPr="00F3579F" w:rsidRDefault="00CB18FE" w:rsidP="00CB18FE">
      <w:pPr>
        <w:pStyle w:val="H4G"/>
      </w:pPr>
      <w:r w:rsidRPr="00F3579F">
        <w:tab/>
      </w:r>
      <w:r w:rsidRPr="00F3579F">
        <w:tab/>
        <w:t>Human rights defenders</w:t>
      </w:r>
    </w:p>
    <w:p w:rsidR="00CB18FE" w:rsidRPr="00DA4849" w:rsidRDefault="00CB18FE" w:rsidP="00CB18FE">
      <w:pPr>
        <w:pStyle w:val="SingleTxtG"/>
      </w:pPr>
      <w:r>
        <w:t>65</w:t>
      </w:r>
      <w:r w:rsidRPr="00F3579F">
        <w:t>.</w:t>
      </w:r>
      <w:r w:rsidRPr="00F3579F">
        <w:tab/>
        <w:t xml:space="preserve">Pursuant to its resolution 34/5, the </w:t>
      </w:r>
      <w:r>
        <w:t xml:space="preserve">Human Rights </w:t>
      </w:r>
      <w:r w:rsidRPr="00F3579F">
        <w:t>Council will consider the report of the Special Rapporteur on the situation of human rights defenders, Michel Forst (A/HRC/37/51 and Add.1-3).</w:t>
      </w:r>
    </w:p>
    <w:p w:rsidR="00CB18FE" w:rsidRPr="00DA4849" w:rsidRDefault="00CB18FE" w:rsidP="00CB18FE">
      <w:pPr>
        <w:pStyle w:val="H4G"/>
      </w:pPr>
      <w:r w:rsidRPr="00DA4849">
        <w:tab/>
      </w:r>
      <w:r w:rsidRPr="00DA4849">
        <w:tab/>
        <w:t>Minority issues</w:t>
      </w:r>
    </w:p>
    <w:p w:rsidR="00CB18FE" w:rsidRPr="00DA4849" w:rsidRDefault="00CB18FE" w:rsidP="00CB18FE">
      <w:pPr>
        <w:pStyle w:val="SingleTxtG"/>
      </w:pPr>
      <w:bookmarkStart w:id="11" w:name="_Ref216686773"/>
      <w:r>
        <w:t>66</w:t>
      </w:r>
      <w:r w:rsidRPr="00DA4849">
        <w:t>.</w:t>
      </w:r>
      <w:r w:rsidRPr="00DA4849">
        <w:tab/>
      </w:r>
      <w:r>
        <w:t xml:space="preserve">Pursuant to </w:t>
      </w:r>
      <w:r w:rsidRPr="00CC7539">
        <w:t xml:space="preserve">its resolution 34/6, the </w:t>
      </w:r>
      <w:r>
        <w:t xml:space="preserve">Human Rights </w:t>
      </w:r>
      <w:r w:rsidRPr="00CC7539">
        <w:t xml:space="preserve">Council will consider the </w:t>
      </w:r>
      <w:r w:rsidRPr="00CD5CD0">
        <w:t>report of the new Special Rapporteur</w:t>
      </w:r>
      <w:r w:rsidRPr="001B03D3">
        <w:t xml:space="preserve"> on minority issues</w:t>
      </w:r>
      <w:r w:rsidRPr="00CD5CD0">
        <w:t>, Fernand de Varennes</w:t>
      </w:r>
      <w:r w:rsidRPr="00A45864">
        <w:t xml:space="preserve"> </w:t>
      </w:r>
      <w:r w:rsidRPr="00CC7539">
        <w:t>(A/HRC/37/66).</w:t>
      </w:r>
    </w:p>
    <w:p w:rsidR="00CB18FE" w:rsidRPr="00DA4849" w:rsidRDefault="00CB18FE" w:rsidP="00CB18FE">
      <w:pPr>
        <w:pStyle w:val="SingleTxtG"/>
      </w:pPr>
      <w:r>
        <w:t>67</w:t>
      </w:r>
      <w:r w:rsidRPr="005520F5">
        <w:t>.</w:t>
      </w:r>
      <w:r w:rsidRPr="005520F5">
        <w:tab/>
        <w:t xml:space="preserve">Pursuant to its resolution </w:t>
      </w:r>
      <w:r>
        <w:t>31/13</w:t>
      </w:r>
      <w:r w:rsidRPr="005520F5">
        <w:t xml:space="preserve">, the </w:t>
      </w:r>
      <w:r>
        <w:t xml:space="preserve">Human Rights </w:t>
      </w:r>
      <w:r w:rsidRPr="005520F5">
        <w:t>Council will consider the annual report of the High Commissioner containing information on relevant developments of United Nations human rights bodies and mechanisms and on the activities undertaken by OHCHR that contribute to the promotion of and respect for the provisions of the Declaration on the Rights of Persons Belonging to National or Ethnic, Religious and Linguistic Minorities (A/HRC/37/26</w:t>
      </w:r>
      <w:r>
        <w:t>) (see para. 25</w:t>
      </w:r>
      <w:r w:rsidRPr="005520F5">
        <w:t xml:space="preserve"> above).</w:t>
      </w:r>
    </w:p>
    <w:p w:rsidR="00CB18FE" w:rsidRPr="00DA4849" w:rsidRDefault="00CB18FE" w:rsidP="00CB18FE">
      <w:pPr>
        <w:pStyle w:val="SingleTxtG"/>
      </w:pPr>
      <w:r>
        <w:t>68</w:t>
      </w:r>
      <w:r w:rsidRPr="00DA4849">
        <w:t>.</w:t>
      </w:r>
      <w:r w:rsidRPr="00DA4849">
        <w:tab/>
        <w:t xml:space="preserve">Reference is made to </w:t>
      </w:r>
      <w:bookmarkEnd w:id="11"/>
      <w:r w:rsidRPr="00DA4849">
        <w:t xml:space="preserve">the recommendations made by the Forum on Minority Issues at its </w:t>
      </w:r>
      <w:r>
        <w:t>tenth</w:t>
      </w:r>
      <w:r w:rsidRPr="00DA4849">
        <w:t xml:space="preserve"> session</w:t>
      </w:r>
      <w:r>
        <w:t xml:space="preserve"> </w:t>
      </w:r>
      <w:r w:rsidRPr="00DA4849">
        <w:t>(A/HRC/3</w:t>
      </w:r>
      <w:r>
        <w:t>7/73</w:t>
      </w:r>
      <w:r w:rsidRPr="00DA4849">
        <w:t xml:space="preserve">) (see para. </w:t>
      </w:r>
      <w:r>
        <w:t>100</w:t>
      </w:r>
      <w:r w:rsidRPr="00DA4849">
        <w:t xml:space="preserve"> below).</w:t>
      </w:r>
    </w:p>
    <w:p w:rsidR="00CB18FE" w:rsidRPr="004555CF" w:rsidRDefault="00CB18FE" w:rsidP="00CB18FE">
      <w:pPr>
        <w:pStyle w:val="H4G"/>
      </w:pPr>
      <w:r w:rsidRPr="00DA4849">
        <w:tab/>
      </w:r>
      <w:r w:rsidRPr="00DA4849">
        <w:tab/>
      </w:r>
      <w:r w:rsidRPr="004555CF">
        <w:t>Rights of the child</w:t>
      </w:r>
    </w:p>
    <w:p w:rsidR="00CB18FE" w:rsidRPr="00032E05" w:rsidRDefault="00CB18FE" w:rsidP="00CB18FE">
      <w:pPr>
        <w:pStyle w:val="SingleTxtG"/>
      </w:pPr>
      <w:bookmarkStart w:id="12" w:name="_Ref216686493"/>
      <w:r>
        <w:t>69</w:t>
      </w:r>
      <w:r w:rsidRPr="004555CF">
        <w:t>.</w:t>
      </w:r>
      <w:r w:rsidRPr="004555CF">
        <w:tab/>
        <w:t xml:space="preserve">Pursuant to its resolution </w:t>
      </w:r>
      <w:r>
        <w:t>34</w:t>
      </w:r>
      <w:r w:rsidRPr="004555CF">
        <w:t>/</w:t>
      </w:r>
      <w:r>
        <w:t>1</w:t>
      </w:r>
      <w:r w:rsidRPr="004555CF">
        <w:t xml:space="preserve">6, the </w:t>
      </w:r>
      <w:r>
        <w:t xml:space="preserve">Human Rights </w:t>
      </w:r>
      <w:r w:rsidRPr="004555CF">
        <w:t>Council will consider the report</w:t>
      </w:r>
      <w:r>
        <w:t>s</w:t>
      </w:r>
      <w:r w:rsidRPr="004555CF">
        <w:t xml:space="preserve"> of the Special Rapporteur on the sale of children, child prostitution and child pornography, Maud de Boer-Buquicchio (A/</w:t>
      </w:r>
      <w:r w:rsidRPr="00032E05">
        <w:t>HRC/37/60 and Add.1).</w:t>
      </w:r>
      <w:bookmarkEnd w:id="12"/>
    </w:p>
    <w:p w:rsidR="00CB18FE" w:rsidRPr="00032E05" w:rsidRDefault="00CB18FE" w:rsidP="00CB18FE">
      <w:pPr>
        <w:pStyle w:val="SingleTxtG"/>
      </w:pPr>
      <w:r w:rsidRPr="00032E05">
        <w:t>70.</w:t>
      </w:r>
      <w:r w:rsidRPr="00032E05">
        <w:tab/>
        <w:t xml:space="preserve">In its resolution </w:t>
      </w:r>
      <w:r w:rsidRPr="00105C27">
        <w:t>72/</w:t>
      </w:r>
      <w:r w:rsidRPr="00032E05">
        <w:t>245</w:t>
      </w:r>
      <w:r w:rsidRPr="00105C27">
        <w:t>,</w:t>
      </w:r>
      <w:r w:rsidRPr="00032E05">
        <w:t xml:space="preserve"> the General Assembly requested the Special Representative of the Secretary-General for Children and Armed Conflict to continue to submit reports to the </w:t>
      </w:r>
      <w:r>
        <w:t xml:space="preserve">Human Rights </w:t>
      </w:r>
      <w:r w:rsidRPr="00032E05">
        <w:t>Council on the activities undertaken in fulfilling her mandate. The Council will consider the report of the Special Representative, Virginia Gamba (A/HRC/37/47).</w:t>
      </w:r>
    </w:p>
    <w:p w:rsidR="00CB18FE" w:rsidRPr="002F30B0" w:rsidRDefault="00CB18FE" w:rsidP="00CB18FE">
      <w:pPr>
        <w:pStyle w:val="SingleTxtG"/>
      </w:pPr>
      <w:r w:rsidRPr="00032E05">
        <w:t>71.</w:t>
      </w:r>
      <w:r w:rsidRPr="00032E05">
        <w:tab/>
        <w:t>In resolution</w:t>
      </w:r>
      <w:r>
        <w:t xml:space="preserve"> 7</w:t>
      </w:r>
      <w:r w:rsidR="001F350D">
        <w:rPr>
          <w:lang w:val="en-US"/>
        </w:rPr>
        <w:t>2</w:t>
      </w:r>
      <w:r>
        <w:t>/</w:t>
      </w:r>
      <w:r w:rsidR="001F350D">
        <w:rPr>
          <w:lang w:val="en-US"/>
        </w:rPr>
        <w:t>245</w:t>
      </w:r>
      <w:r w:rsidRPr="00032E05">
        <w:t>, the General Assembly also requested the Special Representative</w:t>
      </w:r>
      <w:r w:rsidRPr="002F30B0">
        <w:t xml:space="preserve"> of the Secretary-General on Violence against Children to continue to submit annual reports to the Council on the activities undertaken in fulfilling her mandate. The Council will consider the report of the Special Representative, Marta Santos Pais (A/HRC/37/48).</w:t>
      </w:r>
    </w:p>
    <w:p w:rsidR="00CB18FE" w:rsidRDefault="00CB18FE" w:rsidP="00DB4008">
      <w:pPr>
        <w:pStyle w:val="SingleTxtG"/>
      </w:pPr>
      <w:bookmarkStart w:id="13" w:name="_Ref216686466"/>
      <w:r>
        <w:t>72</w:t>
      </w:r>
      <w:r w:rsidRPr="002F30B0">
        <w:t>.</w:t>
      </w:r>
      <w:r w:rsidRPr="002F30B0">
        <w:tab/>
        <w:t xml:space="preserve">Pursuant to its resolution 34/16, the </w:t>
      </w:r>
      <w:r>
        <w:t xml:space="preserve">Human Rights </w:t>
      </w:r>
      <w:r w:rsidRPr="002F30B0">
        <w:t xml:space="preserve">Council will focus its </w:t>
      </w:r>
      <w:r>
        <w:t xml:space="preserve">annual </w:t>
      </w:r>
      <w:r w:rsidRPr="002F30B0">
        <w:t xml:space="preserve">full-day meeting on </w:t>
      </w:r>
      <w:r>
        <w:t>the rights of the child on p</w:t>
      </w:r>
      <w:r w:rsidRPr="002F30B0">
        <w:t>rotecting the rights of the child in humanitarian situations</w:t>
      </w:r>
      <w:bookmarkEnd w:id="13"/>
      <w:r w:rsidRPr="002F30B0">
        <w:t xml:space="preserve">, which will be informed by the report of the High Commissioner thereon (A/HRC/37/33) (see annex and para. </w:t>
      </w:r>
      <w:r>
        <w:t>26</w:t>
      </w:r>
      <w:r w:rsidRPr="002F30B0">
        <w:t xml:space="preserve"> above).</w:t>
      </w:r>
    </w:p>
    <w:p w:rsidR="00CB18FE" w:rsidRPr="00770CF9" w:rsidRDefault="00CB18FE" w:rsidP="00CB18FE">
      <w:pPr>
        <w:pStyle w:val="H4G"/>
      </w:pPr>
      <w:r>
        <w:tab/>
      </w:r>
      <w:r>
        <w:tab/>
      </w:r>
      <w:r w:rsidRPr="00770CF9">
        <w:t>Violence against women</w:t>
      </w:r>
    </w:p>
    <w:p w:rsidR="00CB18FE" w:rsidRPr="00B00C0E" w:rsidRDefault="00CB18FE" w:rsidP="00CB18FE">
      <w:pPr>
        <w:pStyle w:val="SingleTxtG"/>
      </w:pPr>
      <w:r>
        <w:t>73.</w:t>
      </w:r>
      <w:r>
        <w:tab/>
        <w:t>Pursuant to its resolution 35/10</w:t>
      </w:r>
      <w:r w:rsidRPr="0051733E">
        <w:t xml:space="preserve">, the </w:t>
      </w:r>
      <w:r>
        <w:t xml:space="preserve">Human Rights </w:t>
      </w:r>
      <w:r w:rsidRPr="0051733E">
        <w:t>Council</w:t>
      </w:r>
      <w:r>
        <w:t xml:space="preserve"> will have before it the summary report of OHCHR on the annual full-day discussion on the human rights of women, held at its thirty-fifth session, which focused on the themes </w:t>
      </w:r>
      <w:r w:rsidRPr="00852840">
        <w:t>“</w:t>
      </w:r>
      <w:r>
        <w:t>A</w:t>
      </w:r>
      <w:r w:rsidRPr="00852840">
        <w:t>ccelerating efforts to eliminate violence against women: engaging men and boys in preventing and responding to violence</w:t>
      </w:r>
      <w:r>
        <w:t xml:space="preserve"> against women and girls” and “W</w:t>
      </w:r>
      <w:r w:rsidRPr="00852840">
        <w:t>omen</w:t>
      </w:r>
      <w:r w:rsidR="004441E9">
        <w:rPr>
          <w:lang w:val="en-US"/>
        </w:rPr>
        <w:t>’</w:t>
      </w:r>
      <w:r w:rsidRPr="00852840">
        <w:t>s rights and the 2030 Agenda for Sustainable Development: health and gender equality”</w:t>
      </w:r>
      <w:r>
        <w:t xml:space="preserve"> (A/HRC/37/36) (see para. 29</w:t>
      </w:r>
      <w:r w:rsidRPr="00AC72AF">
        <w:t xml:space="preserve"> above).</w:t>
      </w:r>
    </w:p>
    <w:p w:rsidR="00CB18FE" w:rsidRPr="00F809ED" w:rsidRDefault="00CB18FE" w:rsidP="00CB18FE">
      <w:pPr>
        <w:pStyle w:val="H4G"/>
      </w:pPr>
      <w:r w:rsidRPr="00DA4849">
        <w:lastRenderedPageBreak/>
        <w:tab/>
      </w:r>
      <w:r w:rsidRPr="00DA4849">
        <w:tab/>
      </w:r>
      <w:r w:rsidRPr="00F809ED">
        <w:t>Human rights of persons with disabilities</w:t>
      </w:r>
    </w:p>
    <w:p w:rsidR="00CB18FE" w:rsidRPr="00F809ED" w:rsidRDefault="00CB18FE" w:rsidP="00CB18FE">
      <w:pPr>
        <w:pStyle w:val="SingleTxtG"/>
      </w:pPr>
      <w:bookmarkStart w:id="14" w:name="_Ref216184782"/>
      <w:r w:rsidRPr="00F809ED">
        <w:t>7</w:t>
      </w:r>
      <w:r>
        <w:t>4</w:t>
      </w:r>
      <w:r w:rsidRPr="00F809ED">
        <w:t>.</w:t>
      </w:r>
      <w:r w:rsidRPr="00F809ED">
        <w:tab/>
        <w:t xml:space="preserve">Pursuant to its resolution 35/6, the </w:t>
      </w:r>
      <w:r>
        <w:t xml:space="preserve">Human Rights </w:t>
      </w:r>
      <w:r w:rsidRPr="00F809ED">
        <w:t>Council will consider the report of the Special Rapporteur on the rights of persons with disabilities, Catalina Devandas Aguilar (A/HRC/37/56 and Add.1-2).</w:t>
      </w:r>
    </w:p>
    <w:p w:rsidR="00CB18FE" w:rsidRPr="00DA4849" w:rsidRDefault="00CB18FE" w:rsidP="00CB18FE">
      <w:pPr>
        <w:pStyle w:val="SingleTxtG"/>
      </w:pPr>
      <w:r w:rsidRPr="00D4331C">
        <w:t>7</w:t>
      </w:r>
      <w:r>
        <w:t>5</w:t>
      </w:r>
      <w:r w:rsidRPr="00D4331C">
        <w:t>.</w:t>
      </w:r>
      <w:r w:rsidRPr="00D4331C">
        <w:tab/>
        <w:t xml:space="preserve">Pursuant to its resolution 31/6, the </w:t>
      </w:r>
      <w:r>
        <w:t xml:space="preserve">Human Rights </w:t>
      </w:r>
      <w:r w:rsidRPr="00D4331C">
        <w:t xml:space="preserve">Council will hold </w:t>
      </w:r>
      <w:r w:rsidR="00E26549">
        <w:rPr>
          <w:lang w:val="en-US"/>
        </w:rPr>
        <w:t>its annual</w:t>
      </w:r>
      <w:r w:rsidR="00E26549" w:rsidRPr="00D4331C">
        <w:t xml:space="preserve"> </w:t>
      </w:r>
      <w:r w:rsidRPr="00D4331C">
        <w:t xml:space="preserve">interactive debate on the rights of persons with disabilities, which will focus on article 13 of the Convention on the Rights of Persons with Disabilities, regarding access to justice. The debate will be informed by the study of OHCHR thereon (A/HRC/37/25) (see annex </w:t>
      </w:r>
      <w:r>
        <w:t xml:space="preserve">and </w:t>
      </w:r>
      <w:r w:rsidRPr="00D4331C">
        <w:t>para. 27 above).</w:t>
      </w:r>
      <w:r w:rsidRPr="00DA4849">
        <w:t xml:space="preserve"> </w:t>
      </w:r>
    </w:p>
    <w:p w:rsidR="00CB18FE" w:rsidRPr="00DA4849" w:rsidRDefault="00CB18FE" w:rsidP="00CB18FE">
      <w:pPr>
        <w:pStyle w:val="H4G"/>
      </w:pPr>
      <w:r w:rsidRPr="00DA4849">
        <w:tab/>
      </w:r>
      <w:r w:rsidRPr="00DA4849">
        <w:tab/>
      </w:r>
      <w:bookmarkEnd w:id="14"/>
      <w:r w:rsidRPr="00DA4849">
        <w:t>Rights of persons with albinism</w:t>
      </w:r>
    </w:p>
    <w:p w:rsidR="00CB18FE" w:rsidRDefault="00CB18FE" w:rsidP="00CB18FE">
      <w:pPr>
        <w:pStyle w:val="SingleTxtG"/>
      </w:pPr>
      <w:r>
        <w:t>76</w:t>
      </w:r>
      <w:r w:rsidRPr="00DA4849">
        <w:t>.</w:t>
      </w:r>
      <w:r w:rsidRPr="00DA4849">
        <w:tab/>
        <w:t xml:space="preserve">Pursuant to its resolution 28/6, the </w:t>
      </w:r>
      <w:r>
        <w:t xml:space="preserve">Human Rights </w:t>
      </w:r>
      <w:r w:rsidRPr="00DA4849">
        <w:t xml:space="preserve">Council will consider the report of </w:t>
      </w:r>
      <w:r w:rsidRPr="000376B6">
        <w:t>the Independent Expert on the enjoyment of human rights by persons with albinism, Ikponwosa Ero (A/HRC/37/57 and Add.1-3).</w:t>
      </w:r>
      <w:r w:rsidRPr="00DA4849">
        <w:t xml:space="preserve"> </w:t>
      </w:r>
    </w:p>
    <w:p w:rsidR="00CB18FE" w:rsidRPr="00714029" w:rsidRDefault="00CB18FE" w:rsidP="00CB18FE">
      <w:pPr>
        <w:pStyle w:val="H4G"/>
      </w:pPr>
      <w:r>
        <w:tab/>
      </w:r>
      <w:r>
        <w:tab/>
      </w:r>
      <w:r w:rsidRPr="00714029">
        <w:t>Impact of multiple and intersecting forms of discrimination and violence in the context of racism, racial discrimination, xenophobia and related intolerance on the full enjoyment of all human rights by women and girls</w:t>
      </w:r>
    </w:p>
    <w:p w:rsidR="00CB18FE" w:rsidRDefault="00CB18FE" w:rsidP="00CB18FE">
      <w:pPr>
        <w:pStyle w:val="SingleTxtG"/>
      </w:pPr>
      <w:r w:rsidRPr="007D2C6B">
        <w:t>7</w:t>
      </w:r>
      <w:r>
        <w:t>7</w:t>
      </w:r>
      <w:r w:rsidRPr="007D2C6B">
        <w:t>.</w:t>
      </w:r>
      <w:r w:rsidRPr="007D2C6B">
        <w:tab/>
      </w:r>
      <w:r>
        <w:t xml:space="preserve">Pursuant to </w:t>
      </w:r>
      <w:r w:rsidRPr="007D2C6B">
        <w:t xml:space="preserve">its resolution 32/17, the </w:t>
      </w:r>
      <w:r>
        <w:t xml:space="preserve">Human Rights </w:t>
      </w:r>
      <w:r w:rsidRPr="007D2C6B">
        <w:t xml:space="preserve">Council </w:t>
      </w:r>
      <w:r>
        <w:t>will have before it the s</w:t>
      </w:r>
      <w:r w:rsidRPr="007D2C6B">
        <w:t xml:space="preserve">ummary report </w:t>
      </w:r>
      <w:r>
        <w:t xml:space="preserve">of the High Commissioner </w:t>
      </w:r>
      <w:r w:rsidRPr="007D2C6B">
        <w:t>on the panel discussion</w:t>
      </w:r>
      <w:r>
        <w:t xml:space="preserve"> on </w:t>
      </w:r>
      <w:r w:rsidRPr="007D2C6B">
        <w:t>the impact of multiple and intersecting forms of discrimination and violence in the context of racism, racial discrimination, xenophobia and related intolerance have on the full enjoyment of all human rights by women and girls</w:t>
      </w:r>
      <w:r>
        <w:t xml:space="preserve">, </w:t>
      </w:r>
      <w:r w:rsidRPr="00217F06">
        <w:t>held at its thirty-sixth session</w:t>
      </w:r>
      <w:r w:rsidRPr="007D2C6B">
        <w:t xml:space="preserve"> (A/HRC/37/28) (see para. 30 above).</w:t>
      </w:r>
    </w:p>
    <w:p w:rsidR="00CB18FE" w:rsidRDefault="00CB18FE" w:rsidP="00CB18FE">
      <w:pPr>
        <w:pStyle w:val="H4G"/>
      </w:pPr>
      <w:r>
        <w:tab/>
      </w:r>
      <w:r>
        <w:tab/>
      </w:r>
      <w:r w:rsidRPr="00D12185">
        <w:t>Protection of the human rights of migrants: the global compact for safe, orderly and regular migration</w:t>
      </w:r>
    </w:p>
    <w:p w:rsidR="00CB18FE" w:rsidRPr="00E874FF" w:rsidRDefault="00CB18FE" w:rsidP="00CB18FE">
      <w:pPr>
        <w:pStyle w:val="SingleTxtG"/>
        <w:rPr>
          <w:i/>
          <w:iCs/>
        </w:rPr>
      </w:pPr>
      <w:r w:rsidRPr="002B6A03">
        <w:t>7</w:t>
      </w:r>
      <w:r>
        <w:t>8</w:t>
      </w:r>
      <w:r w:rsidRPr="002B6A03">
        <w:t>.</w:t>
      </w:r>
      <w:r w:rsidRPr="002B6A03">
        <w:tab/>
      </w:r>
      <w:r>
        <w:t>Pursuant to</w:t>
      </w:r>
      <w:r w:rsidRPr="002B6A03">
        <w:t xml:space="preserve"> its resolution 35/17, the </w:t>
      </w:r>
      <w:r>
        <w:t xml:space="preserve">Human Rights </w:t>
      </w:r>
      <w:r w:rsidRPr="002B6A03">
        <w:t xml:space="preserve">Council </w:t>
      </w:r>
      <w:r>
        <w:t xml:space="preserve">will consider the report of the </w:t>
      </w:r>
      <w:r w:rsidRPr="002B6A03">
        <w:t xml:space="preserve">High Commissioner </w:t>
      </w:r>
      <w:r>
        <w:t xml:space="preserve">on </w:t>
      </w:r>
      <w:r w:rsidRPr="002B6A03">
        <w:t>principles and practical guidance on the protection of the human rights of migrants in vulnerable situations</w:t>
      </w:r>
      <w:r>
        <w:t xml:space="preserve"> </w:t>
      </w:r>
      <w:r w:rsidRPr="002B6A03">
        <w:t xml:space="preserve">(A/HRC/37/34) (see </w:t>
      </w:r>
      <w:r>
        <w:t xml:space="preserve">para. </w:t>
      </w:r>
      <w:r w:rsidRPr="002B6A03">
        <w:t>33 above).</w:t>
      </w:r>
    </w:p>
    <w:p w:rsidR="00CB18FE" w:rsidRDefault="00CB18FE" w:rsidP="00CB18FE">
      <w:pPr>
        <w:pStyle w:val="H23G"/>
      </w:pPr>
      <w:bookmarkStart w:id="15" w:name="_Toc220321001"/>
      <w:r w:rsidRPr="00DA4849">
        <w:tab/>
      </w:r>
      <w:r w:rsidRPr="00DA4849">
        <w:tab/>
        <w:t>Interrelation of human rights and human rights thematic issues</w:t>
      </w:r>
      <w:bookmarkEnd w:id="15"/>
    </w:p>
    <w:p w:rsidR="00CB18FE" w:rsidRPr="00E0687D" w:rsidRDefault="00CB18FE" w:rsidP="00CB18FE">
      <w:pPr>
        <w:pStyle w:val="H4G"/>
      </w:pPr>
      <w:r>
        <w:tab/>
      </w:r>
      <w:r>
        <w:tab/>
        <w:t>Seventie</w:t>
      </w:r>
      <w:r w:rsidRPr="00E0687D">
        <w:t xml:space="preserve">th anniversary of the Universal Declaration of Human Rights and </w:t>
      </w:r>
      <w:r>
        <w:t>twenty-fifth</w:t>
      </w:r>
      <w:r w:rsidRPr="00E0687D">
        <w:t xml:space="preserve"> anniversary of the Vienna Declaration and Programme of Action</w:t>
      </w:r>
    </w:p>
    <w:p w:rsidR="00CB18FE" w:rsidRPr="004E5034" w:rsidRDefault="00CB18FE" w:rsidP="00CB18FE">
      <w:pPr>
        <w:pStyle w:val="SingleTxtG"/>
      </w:pPr>
      <w:r>
        <w:t>79</w:t>
      </w:r>
      <w:r w:rsidRPr="00AD3A5A">
        <w:t>.</w:t>
      </w:r>
      <w:r w:rsidRPr="00AD3A5A">
        <w:tab/>
        <w:t xml:space="preserve">Pursuant to its resolution 35/1, the </w:t>
      </w:r>
      <w:r>
        <w:t xml:space="preserve">Human Rights </w:t>
      </w:r>
      <w:r w:rsidRPr="00AD3A5A">
        <w:t xml:space="preserve">Council will convene a high-level panel discussion to commemorate the </w:t>
      </w:r>
      <w:r>
        <w:t>seventieth</w:t>
      </w:r>
      <w:r w:rsidRPr="00AD3A5A">
        <w:t xml:space="preserve"> anniversary of the Universal Declaration of Human Rights and the </w:t>
      </w:r>
      <w:r>
        <w:t>twenty-fifth</w:t>
      </w:r>
      <w:r w:rsidRPr="00AD3A5A">
        <w:t xml:space="preserve"> anniversary of the Vienna Declaration and Programme of Action (see annex).</w:t>
      </w:r>
    </w:p>
    <w:p w:rsidR="00CB18FE" w:rsidRDefault="00CB18FE" w:rsidP="00CB18FE">
      <w:pPr>
        <w:pStyle w:val="H4G"/>
        <w:ind w:left="0" w:firstLine="0"/>
      </w:pPr>
      <w:bookmarkStart w:id="16" w:name="_Toc220321002"/>
      <w:r>
        <w:tab/>
      </w:r>
      <w:r>
        <w:tab/>
      </w:r>
      <w:r w:rsidRPr="00DA4849">
        <w:t xml:space="preserve">Protection of human rights and fundamental freedoms while countering </w:t>
      </w:r>
      <w:r>
        <w:t>terrorism</w:t>
      </w:r>
    </w:p>
    <w:p w:rsidR="00CB18FE" w:rsidRPr="007A3038" w:rsidRDefault="00CB18FE" w:rsidP="00CB18FE">
      <w:pPr>
        <w:pStyle w:val="SingleTxtG"/>
      </w:pPr>
      <w:r>
        <w:t>80</w:t>
      </w:r>
      <w:r w:rsidRPr="003E1C30">
        <w:t>.</w:t>
      </w:r>
      <w:r w:rsidRPr="003E1C30">
        <w:tab/>
      </w:r>
      <w:r>
        <w:t>Pursuant to its resolution 35/34</w:t>
      </w:r>
      <w:r w:rsidRPr="00AD3A5A">
        <w:t xml:space="preserve">, the </w:t>
      </w:r>
      <w:r>
        <w:t xml:space="preserve">Human Rights </w:t>
      </w:r>
      <w:r w:rsidRPr="00AD3A5A">
        <w:t>Council will</w:t>
      </w:r>
      <w:r>
        <w:t xml:space="preserve"> </w:t>
      </w:r>
      <w:r w:rsidRPr="007A3038">
        <w:t>consider the report</w:t>
      </w:r>
      <w:r>
        <w:t>s</w:t>
      </w:r>
      <w:r w:rsidRPr="007A3038">
        <w:t xml:space="preserve"> of </w:t>
      </w:r>
      <w:r w:rsidRPr="001B03AB">
        <w:t>the new Special Rapporteur on the promotion</w:t>
      </w:r>
      <w:r w:rsidRPr="007A3038">
        <w:t xml:space="preserve"> and protection of human rights while countering terrorism, </w:t>
      </w:r>
      <w:r w:rsidRPr="00A45864">
        <w:t>Fionnuala N</w:t>
      </w:r>
      <w:r>
        <w:t>i Aolain</w:t>
      </w:r>
      <w:r w:rsidRPr="00A45864">
        <w:t xml:space="preserve"> </w:t>
      </w:r>
      <w:r w:rsidRPr="00EF1740">
        <w:t>(A</w:t>
      </w:r>
      <w:r>
        <w:t>/HRC/37/52</w:t>
      </w:r>
      <w:r w:rsidRPr="007A3038">
        <w:t xml:space="preserve"> </w:t>
      </w:r>
      <w:r>
        <w:t xml:space="preserve">and </w:t>
      </w:r>
      <w:r w:rsidRPr="007A3038">
        <w:t xml:space="preserve">Add.1-3). </w:t>
      </w:r>
    </w:p>
    <w:p w:rsidR="00CB18FE" w:rsidRDefault="00CB18FE" w:rsidP="00CB18FE">
      <w:pPr>
        <w:pStyle w:val="H4G"/>
      </w:pPr>
      <w:r>
        <w:tab/>
      </w:r>
      <w:r>
        <w:tab/>
      </w:r>
      <w:r w:rsidRPr="00142C1F">
        <w:t xml:space="preserve">Human rights and transitional justice </w:t>
      </w:r>
    </w:p>
    <w:p w:rsidR="00CB18FE" w:rsidRPr="007A3038" w:rsidRDefault="00CB18FE">
      <w:pPr>
        <w:pStyle w:val="SingleTxtG"/>
        <w:rPr>
          <w:i/>
        </w:rPr>
      </w:pPr>
      <w:r>
        <w:t>81.</w:t>
      </w:r>
      <w:r w:rsidRPr="007A3038">
        <w:tab/>
      </w:r>
      <w:r>
        <w:t xml:space="preserve">Pursuant to </w:t>
      </w:r>
      <w:r w:rsidRPr="007A3038">
        <w:t xml:space="preserve">its resolution 33/19, the </w:t>
      </w:r>
      <w:r>
        <w:t xml:space="preserve">Human Rights </w:t>
      </w:r>
      <w:r w:rsidRPr="007A3038">
        <w:t xml:space="preserve">Council </w:t>
      </w:r>
      <w:r>
        <w:t xml:space="preserve">will consider the joint study of </w:t>
      </w:r>
      <w:r w:rsidRPr="007A3038">
        <w:t xml:space="preserve">the Special Rapporteur on the promotion of truth, justice, reparation and guarantees of non-recurrence and the Special Adviser of the Secretary-General on </w:t>
      </w:r>
      <w:r w:rsidRPr="00442751">
        <w:t>the</w:t>
      </w:r>
      <w:r w:rsidRPr="007A3038">
        <w:t xml:space="preserve"> Prevention of </w:t>
      </w:r>
      <w:r w:rsidRPr="007A3038">
        <w:lastRenderedPageBreak/>
        <w:t>Genocide</w:t>
      </w:r>
      <w:r>
        <w:t xml:space="preserve"> on </w:t>
      </w:r>
      <w:r w:rsidRPr="007A3038">
        <w:t>the contribution of transitional justice to the prevention of gross violations and abuses of human rights and serious violations of international humanitarian law, including genocide, war crimes, ethnic cleansing and crimes against humanity, and their recurrence (A/HRC/37/65).</w:t>
      </w:r>
    </w:p>
    <w:p w:rsidR="00CB18FE" w:rsidRPr="00DA4849" w:rsidRDefault="00CB18FE" w:rsidP="00CB18FE">
      <w:pPr>
        <w:pStyle w:val="H4G"/>
      </w:pPr>
      <w:r w:rsidRPr="00DA4849">
        <w:tab/>
      </w:r>
      <w:r w:rsidRPr="00DA4849">
        <w:tab/>
        <w:t>Elaboration of an international legally binding instrument on transnational corporations and other business enterprises with respect to human rights</w:t>
      </w:r>
    </w:p>
    <w:p w:rsidR="00CB18FE" w:rsidRDefault="00CB18FE" w:rsidP="00CB18FE">
      <w:pPr>
        <w:pStyle w:val="SingleTxtG"/>
      </w:pPr>
      <w:r>
        <w:t>82.</w:t>
      </w:r>
      <w:r w:rsidRPr="00DA4849">
        <w:tab/>
        <w:t xml:space="preserve">Pursuant to its resolution 26/9, the </w:t>
      </w:r>
      <w:r>
        <w:t xml:space="preserve">Human Rights </w:t>
      </w:r>
      <w:r w:rsidRPr="00DA4849">
        <w:t xml:space="preserve">Council will consider the report of the open-ended intergovernmental working group on transnational corporations and other business enterprises with respect to human rights on its </w:t>
      </w:r>
      <w:r>
        <w:t>third</w:t>
      </w:r>
      <w:r w:rsidRPr="00DA4849">
        <w:t xml:space="preserve"> session, held from 2</w:t>
      </w:r>
      <w:r>
        <w:t>3</w:t>
      </w:r>
      <w:r w:rsidRPr="00DA4849">
        <w:t xml:space="preserve"> to </w:t>
      </w:r>
      <w:r>
        <w:t>27</w:t>
      </w:r>
      <w:r w:rsidRPr="00DA4849">
        <w:t xml:space="preserve"> October </w:t>
      </w:r>
      <w:r>
        <w:t>2017</w:t>
      </w:r>
      <w:r w:rsidRPr="00DA4849">
        <w:t xml:space="preserve"> (A/HRC/3</w:t>
      </w:r>
      <w:r>
        <w:t>7/6</w:t>
      </w:r>
      <w:r w:rsidRPr="00DA4849">
        <w:t xml:space="preserve">7). </w:t>
      </w:r>
    </w:p>
    <w:p w:rsidR="00CB18FE" w:rsidRPr="007A3038" w:rsidRDefault="00CB18FE" w:rsidP="00CB18FE">
      <w:pPr>
        <w:pStyle w:val="H4G"/>
      </w:pPr>
      <w:r w:rsidRPr="00DA4849">
        <w:tab/>
      </w:r>
      <w:r w:rsidRPr="00DA4849">
        <w:tab/>
      </w:r>
      <w:r w:rsidRPr="007A3038">
        <w:t>Human rights and the environment</w:t>
      </w:r>
    </w:p>
    <w:p w:rsidR="00CB18FE" w:rsidRDefault="00CB18FE" w:rsidP="00CB18FE">
      <w:pPr>
        <w:pStyle w:val="SingleTxtG"/>
      </w:pPr>
      <w:r>
        <w:t>83</w:t>
      </w:r>
      <w:r w:rsidRPr="007A3038">
        <w:t>.</w:t>
      </w:r>
      <w:r w:rsidRPr="007A3038">
        <w:tab/>
        <w:t>Pursuant to its resolution</w:t>
      </w:r>
      <w:r>
        <w:t>s</w:t>
      </w:r>
      <w:r w:rsidRPr="007A3038">
        <w:t xml:space="preserve"> 28/11</w:t>
      </w:r>
      <w:r>
        <w:t xml:space="preserve"> and 34/20</w:t>
      </w:r>
      <w:r w:rsidRPr="007A3038">
        <w:t xml:space="preserve">, the </w:t>
      </w:r>
      <w:r>
        <w:t xml:space="preserve">Human Rights </w:t>
      </w:r>
      <w:r w:rsidRPr="007A3038">
        <w:t xml:space="preserve">Council will consider the </w:t>
      </w:r>
      <w:r>
        <w:t xml:space="preserve">periodic </w:t>
      </w:r>
      <w:r w:rsidRPr="007A3038">
        <w:t xml:space="preserve">report of the Special Rapporteur on the issue of human rights obligations relating to the enjoyment of a safe, clean, healthy and sustainable environment, John </w:t>
      </w:r>
      <w:r>
        <w:t xml:space="preserve">H. </w:t>
      </w:r>
      <w:r w:rsidRPr="007A3038">
        <w:t>Knox (A/HRC/37/58 and Add.1-2</w:t>
      </w:r>
      <w:r>
        <w:t xml:space="preserve">), and his report on the expert </w:t>
      </w:r>
      <w:r w:rsidRPr="007A3038">
        <w:t>seminar on best practices, lessons learned and the way forward with regard to human rights obligations relating to the enjoyment of a safe, clean, healthy and sustainable env</w:t>
      </w:r>
      <w:r>
        <w:t>ironment (A/HRC/37/59).</w:t>
      </w:r>
    </w:p>
    <w:p w:rsidR="00CB18FE" w:rsidRPr="007A3038" w:rsidRDefault="00CB18FE" w:rsidP="00CB18FE">
      <w:pPr>
        <w:pStyle w:val="H4G"/>
      </w:pPr>
      <w:r>
        <w:tab/>
      </w:r>
      <w:r>
        <w:tab/>
      </w:r>
      <w:r w:rsidRPr="007A3038">
        <w:t>Safety of journalists and the issue of impunity</w:t>
      </w:r>
    </w:p>
    <w:p w:rsidR="00CB18FE" w:rsidRDefault="00CB18FE" w:rsidP="00CB18FE">
      <w:pPr>
        <w:pStyle w:val="SingleTxtG"/>
      </w:pPr>
      <w:r>
        <w:t>84</w:t>
      </w:r>
      <w:r w:rsidRPr="007A3038">
        <w:t>.</w:t>
      </w:r>
      <w:r w:rsidRPr="007A3038">
        <w:tab/>
      </w:r>
      <w:r>
        <w:t xml:space="preserve">Pursuant to </w:t>
      </w:r>
      <w:r w:rsidRPr="007A3038">
        <w:t>General Assembly resolution 70/162</w:t>
      </w:r>
      <w:r>
        <w:t>, t</w:t>
      </w:r>
      <w:r w:rsidRPr="007A3038">
        <w:t xml:space="preserve">he </w:t>
      </w:r>
      <w:r>
        <w:t xml:space="preserve">Human Rights </w:t>
      </w:r>
      <w:r w:rsidRPr="007A3038">
        <w:t>Council will consider the report of the Secretary-General</w:t>
      </w:r>
      <w:r>
        <w:t xml:space="preserve"> </w:t>
      </w:r>
      <w:r w:rsidRPr="007A3038">
        <w:t>on the safety of journalist</w:t>
      </w:r>
      <w:r>
        <w:t>s</w:t>
      </w:r>
      <w:r w:rsidRPr="007A3038">
        <w:t xml:space="preserve"> and the issue of impunity </w:t>
      </w:r>
      <w:r>
        <w:t>(A/72/290; see also A/HRC/37/18</w:t>
      </w:r>
      <w:r w:rsidRPr="007A3038">
        <w:t>)</w:t>
      </w:r>
      <w:r>
        <w:t xml:space="preserve"> (see para. 28</w:t>
      </w:r>
      <w:r w:rsidRPr="007A3038">
        <w:t xml:space="preserve"> above).</w:t>
      </w:r>
    </w:p>
    <w:p w:rsidR="00CB18FE" w:rsidRPr="00714029" w:rsidRDefault="00CB18FE" w:rsidP="00CB18FE">
      <w:pPr>
        <w:pStyle w:val="H4G"/>
      </w:pPr>
      <w:r>
        <w:tab/>
      </w:r>
      <w:r>
        <w:tab/>
      </w:r>
      <w:r w:rsidRPr="00714029">
        <w:t>Human rights and unilateral coercive measures</w:t>
      </w:r>
    </w:p>
    <w:p w:rsidR="00CB18FE" w:rsidRDefault="00CB18FE" w:rsidP="00CB18FE">
      <w:pPr>
        <w:pStyle w:val="SingleTxtG"/>
      </w:pPr>
      <w:r>
        <w:t>85</w:t>
      </w:r>
      <w:r w:rsidRPr="00714029">
        <w:t>.</w:t>
      </w:r>
      <w:r w:rsidRPr="00714029">
        <w:tab/>
      </w:r>
      <w:r>
        <w:t>Pursuant to its resolution 34/13,</w:t>
      </w:r>
      <w:r w:rsidRPr="00714029">
        <w:t xml:space="preserve"> the </w:t>
      </w:r>
      <w:r>
        <w:t xml:space="preserve">Human Rights </w:t>
      </w:r>
      <w:r w:rsidRPr="00714029">
        <w:t xml:space="preserve">Council </w:t>
      </w:r>
      <w:r>
        <w:t xml:space="preserve">will consider the report of OHCHR on the panel discussion on the issue of unilateral coercive measures and human rights, held at its thirty-sixth session </w:t>
      </w:r>
      <w:r w:rsidRPr="00714029">
        <w:t>(A/HRC/3</w:t>
      </w:r>
      <w:r>
        <w:t>7/31</w:t>
      </w:r>
      <w:r w:rsidRPr="00714029">
        <w:t>)</w:t>
      </w:r>
      <w:r>
        <w:t xml:space="preserve"> </w:t>
      </w:r>
      <w:r w:rsidRPr="00DA4849">
        <w:t xml:space="preserve">(see para. </w:t>
      </w:r>
      <w:r>
        <w:t>32</w:t>
      </w:r>
      <w:r w:rsidRPr="00DA4849">
        <w:t xml:space="preserve"> </w:t>
      </w:r>
      <w:r>
        <w:t>above</w:t>
      </w:r>
      <w:r w:rsidRPr="00DA4849">
        <w:t>).</w:t>
      </w:r>
    </w:p>
    <w:p w:rsidR="00CB18FE" w:rsidRDefault="00CB18FE" w:rsidP="00CB18FE">
      <w:pPr>
        <w:pStyle w:val="H4G"/>
      </w:pPr>
      <w:r>
        <w:tab/>
      </w:r>
      <w:r>
        <w:tab/>
      </w:r>
      <w:r w:rsidRPr="00011A13">
        <w:t>Human rights, climate change, migrants and persons displaced across international borders</w:t>
      </w:r>
    </w:p>
    <w:p w:rsidR="00CB18FE" w:rsidRDefault="00CB18FE" w:rsidP="00CB18FE">
      <w:pPr>
        <w:pStyle w:val="SingleTxtG"/>
      </w:pPr>
      <w:r>
        <w:t>86</w:t>
      </w:r>
      <w:r w:rsidRPr="00CA26BF">
        <w:t>.</w:t>
      </w:r>
      <w:r w:rsidRPr="00CA26BF">
        <w:tab/>
      </w:r>
      <w:r>
        <w:t>Pursuant to its resolution 35/20,</w:t>
      </w:r>
      <w:r w:rsidRPr="00714029">
        <w:t xml:space="preserve"> the </w:t>
      </w:r>
      <w:r>
        <w:t xml:space="preserve">Human Rights </w:t>
      </w:r>
      <w:r w:rsidRPr="00714029">
        <w:t xml:space="preserve">Council </w:t>
      </w:r>
      <w:r>
        <w:t xml:space="preserve">will consider the </w:t>
      </w:r>
      <w:r w:rsidRPr="004E4F00">
        <w:t xml:space="preserve">summary report of </w:t>
      </w:r>
      <w:r>
        <w:t xml:space="preserve">OHCHR on the </w:t>
      </w:r>
      <w:r w:rsidRPr="002A7443">
        <w:t xml:space="preserve">intersessional panel </w:t>
      </w:r>
      <w:r>
        <w:t>on</w:t>
      </w:r>
      <w:r w:rsidRPr="002A7443">
        <w:t xml:space="preserve"> </w:t>
      </w:r>
      <w:r>
        <w:t>h</w:t>
      </w:r>
      <w:r w:rsidRPr="002A7443">
        <w:t xml:space="preserve">uman </w:t>
      </w:r>
      <w:r>
        <w:t>r</w:t>
      </w:r>
      <w:r w:rsidRPr="002A7443">
        <w:t xml:space="preserve">ights, </w:t>
      </w:r>
      <w:r>
        <w:t>c</w:t>
      </w:r>
      <w:r w:rsidRPr="002A7443">
        <w:t xml:space="preserve">limate </w:t>
      </w:r>
      <w:r>
        <w:t>c</w:t>
      </w:r>
      <w:r w:rsidRPr="002A7443">
        <w:t xml:space="preserve">hange, </w:t>
      </w:r>
      <w:r>
        <w:t>m</w:t>
      </w:r>
      <w:r w:rsidRPr="002A7443">
        <w:t xml:space="preserve">igrants and </w:t>
      </w:r>
      <w:r>
        <w:t>p</w:t>
      </w:r>
      <w:r w:rsidRPr="002A7443">
        <w:t xml:space="preserve">ersons </w:t>
      </w:r>
      <w:r>
        <w:t>d</w:t>
      </w:r>
      <w:r w:rsidRPr="002A7443">
        <w:t xml:space="preserve">isplaced </w:t>
      </w:r>
      <w:r>
        <w:t>a</w:t>
      </w:r>
      <w:r w:rsidRPr="002A7443">
        <w:t xml:space="preserve">cross </w:t>
      </w:r>
      <w:r>
        <w:t>i</w:t>
      </w:r>
      <w:r w:rsidRPr="002A7443">
        <w:t xml:space="preserve">nternational </w:t>
      </w:r>
      <w:r>
        <w:t xml:space="preserve">borders, held on 6 October 2017 </w:t>
      </w:r>
      <w:r w:rsidRPr="00714029">
        <w:t>(A/HRC/3</w:t>
      </w:r>
      <w:r>
        <w:t>7/35</w:t>
      </w:r>
      <w:r w:rsidRPr="00714029">
        <w:t>)</w:t>
      </w:r>
      <w:r>
        <w:t xml:space="preserve"> </w:t>
      </w:r>
      <w:r w:rsidRPr="00DA4849">
        <w:t xml:space="preserve">(see para. </w:t>
      </w:r>
      <w:r>
        <w:t>34</w:t>
      </w:r>
      <w:r w:rsidRPr="00DA4849">
        <w:t xml:space="preserve"> </w:t>
      </w:r>
      <w:r>
        <w:t>above</w:t>
      </w:r>
      <w:r w:rsidRPr="00DA4849">
        <w:t>).</w:t>
      </w:r>
    </w:p>
    <w:p w:rsidR="00CB18FE" w:rsidRDefault="00CB18FE" w:rsidP="00CB18FE">
      <w:pPr>
        <w:pStyle w:val="H4G"/>
      </w:pPr>
      <w:r>
        <w:tab/>
      </w:r>
      <w:r>
        <w:tab/>
      </w:r>
      <w:r w:rsidRPr="00FF4F71">
        <w:t>Impact of the damage to or destruction of cultural heritage on the enjoyment of human rights</w:t>
      </w:r>
    </w:p>
    <w:p w:rsidR="00CB18FE" w:rsidRDefault="00CB18FE" w:rsidP="00CB18FE">
      <w:pPr>
        <w:pStyle w:val="SingleTxtG"/>
        <w:rPr>
          <w:i/>
        </w:rPr>
      </w:pPr>
      <w:r>
        <w:t>87</w:t>
      </w:r>
      <w:r w:rsidRPr="00CA26BF">
        <w:t>.</w:t>
      </w:r>
      <w:r w:rsidRPr="00CA26BF">
        <w:tab/>
      </w:r>
      <w:r>
        <w:t xml:space="preserve">Pursuant to its resolution 33/20, </w:t>
      </w:r>
      <w:r w:rsidRPr="00714029">
        <w:t xml:space="preserve">the </w:t>
      </w:r>
      <w:r>
        <w:t xml:space="preserve">Human Rights </w:t>
      </w:r>
      <w:r w:rsidRPr="00714029">
        <w:t xml:space="preserve">Council </w:t>
      </w:r>
      <w:r>
        <w:t xml:space="preserve">will consider the report of the </w:t>
      </w:r>
      <w:r w:rsidRPr="004E4F00">
        <w:t xml:space="preserve">High Commissioner </w:t>
      </w:r>
      <w:r>
        <w:t xml:space="preserve">on the intersessional seminar on ways to prevent, contain and/or mitigate the detrimental impact of the damage to or destruction of cultural heritage on the enjoyment of human rights, including cultural rights by all, and on best practices in this regard, held on 7 July 2017 </w:t>
      </w:r>
      <w:r w:rsidRPr="00714029">
        <w:t>(A/HRC/3</w:t>
      </w:r>
      <w:r>
        <w:t>7/29</w:t>
      </w:r>
      <w:r w:rsidRPr="00714029">
        <w:t>)</w:t>
      </w:r>
      <w:r>
        <w:t xml:space="preserve"> </w:t>
      </w:r>
      <w:r w:rsidRPr="00DA4849">
        <w:t xml:space="preserve">(see para. </w:t>
      </w:r>
      <w:r>
        <w:t>35</w:t>
      </w:r>
      <w:r w:rsidRPr="00DA4849">
        <w:t xml:space="preserve"> </w:t>
      </w:r>
      <w:r>
        <w:t>above</w:t>
      </w:r>
      <w:r w:rsidRPr="00DA4849">
        <w:t>).</w:t>
      </w:r>
    </w:p>
    <w:p w:rsidR="00CB18FE" w:rsidRPr="00714029" w:rsidRDefault="00CB18FE" w:rsidP="00CB18FE">
      <w:pPr>
        <w:pStyle w:val="H4G"/>
      </w:pPr>
      <w:r>
        <w:tab/>
      </w:r>
      <w:r>
        <w:tab/>
      </w:r>
      <w:r w:rsidRPr="00714029">
        <w:t>Promotion of a democratic and equitable international order</w:t>
      </w:r>
    </w:p>
    <w:p w:rsidR="00CB18FE" w:rsidRPr="001F7F6D" w:rsidRDefault="00CB18FE" w:rsidP="00CB18FE">
      <w:pPr>
        <w:pStyle w:val="SingleTxtG"/>
      </w:pPr>
      <w:r>
        <w:t>88</w:t>
      </w:r>
      <w:r w:rsidRPr="0024074D">
        <w:t>.</w:t>
      </w:r>
      <w:r w:rsidRPr="0024074D">
        <w:tab/>
        <w:t xml:space="preserve">In its resolution 36/4, the </w:t>
      </w:r>
      <w:r>
        <w:t xml:space="preserve">Human Rights </w:t>
      </w:r>
      <w:r w:rsidRPr="0024074D">
        <w:t xml:space="preserve">Council decided to extend the mandate of the Independent Expert on the promotion of a democratic and equitable international </w:t>
      </w:r>
      <w:r w:rsidRPr="00357DD6">
        <w:t xml:space="preserve">order for a period of three years, in conformity with the terms set forth in Council resolution 18/6. </w:t>
      </w:r>
      <w:r>
        <w:t xml:space="preserve">Pursuant to resolution 36/4, the </w:t>
      </w:r>
      <w:r w:rsidRPr="0024074D">
        <w:t>Council</w:t>
      </w:r>
      <w:r>
        <w:t xml:space="preserve"> will have before it</w:t>
      </w:r>
      <w:r w:rsidRPr="0024074D">
        <w:t xml:space="preserve"> </w:t>
      </w:r>
      <w:r>
        <w:t xml:space="preserve">the final report of the </w:t>
      </w:r>
      <w:r w:rsidRPr="0024074D">
        <w:t xml:space="preserve">Independent </w:t>
      </w:r>
      <w:r w:rsidRPr="0024074D">
        <w:lastRenderedPageBreak/>
        <w:t>Expert</w:t>
      </w:r>
      <w:r>
        <w:t xml:space="preserve">, </w:t>
      </w:r>
      <w:r w:rsidRPr="0024074D">
        <w:t>Alfred de Zayas</w:t>
      </w:r>
      <w:r>
        <w:t>,</w:t>
      </w:r>
      <w:r w:rsidRPr="0024074D">
        <w:t xml:space="preserve"> on </w:t>
      </w:r>
      <w:r>
        <w:t>the</w:t>
      </w:r>
      <w:r w:rsidRPr="0024074D">
        <w:t xml:space="preserve"> studies conducted </w:t>
      </w:r>
      <w:r>
        <w:t xml:space="preserve">by the Independent Expert </w:t>
      </w:r>
      <w:r w:rsidRPr="0024074D">
        <w:t xml:space="preserve">during the last six years of </w:t>
      </w:r>
      <w:r>
        <w:t xml:space="preserve">the </w:t>
      </w:r>
      <w:r w:rsidRPr="0024074D">
        <w:t>mandate</w:t>
      </w:r>
      <w:r>
        <w:t xml:space="preserve"> </w:t>
      </w:r>
      <w:r w:rsidRPr="0024074D">
        <w:t>(A/HRC/37/63).</w:t>
      </w:r>
    </w:p>
    <w:p w:rsidR="00CB18FE" w:rsidRPr="00F45AC7" w:rsidRDefault="00CB18FE" w:rsidP="00CB18FE">
      <w:pPr>
        <w:pStyle w:val="H23G"/>
      </w:pPr>
      <w:r w:rsidRPr="00DA4849">
        <w:tab/>
      </w:r>
      <w:r w:rsidRPr="00F45AC7">
        <w:t>4.</w:t>
      </w:r>
      <w:r w:rsidRPr="00F45AC7">
        <w:tab/>
        <w:t>Human rights situations that require the Council’s attention</w:t>
      </w:r>
      <w:bookmarkEnd w:id="16"/>
    </w:p>
    <w:p w:rsidR="00CB18FE" w:rsidRPr="00F45AC7" w:rsidRDefault="00CB18FE" w:rsidP="00CB18FE">
      <w:pPr>
        <w:pStyle w:val="H4G"/>
      </w:pPr>
      <w:r w:rsidRPr="00F45AC7">
        <w:tab/>
      </w:r>
      <w:r w:rsidRPr="00F45AC7">
        <w:tab/>
      </w:r>
      <w:r>
        <w:t>S</w:t>
      </w:r>
      <w:r w:rsidRPr="00F45AC7">
        <w:t xml:space="preserve">ituation </w:t>
      </w:r>
      <w:r>
        <w:t>of h</w:t>
      </w:r>
      <w:r w:rsidRPr="00F45AC7">
        <w:t>uman rights in the Syrian Arab Republic</w:t>
      </w:r>
    </w:p>
    <w:p w:rsidR="00CB18FE" w:rsidRPr="00F45AC7" w:rsidRDefault="00CB18FE" w:rsidP="00CB18FE">
      <w:pPr>
        <w:pStyle w:val="SingleTxtG"/>
      </w:pPr>
      <w:r w:rsidRPr="00F45AC7">
        <w:t>8</w:t>
      </w:r>
      <w:r>
        <w:t>9</w:t>
      </w:r>
      <w:r w:rsidRPr="00F45AC7">
        <w:t>.</w:t>
      </w:r>
      <w:r w:rsidRPr="00F45AC7">
        <w:tab/>
        <w:t xml:space="preserve">Pursuant to its resolution 36/20, the </w:t>
      </w:r>
      <w:r>
        <w:t xml:space="preserve">Human Rights </w:t>
      </w:r>
      <w:r w:rsidRPr="00F45AC7">
        <w:t>Council will convene a high-level panel discussion on violations of the human rights of children in the Syrian Arab Republic (see annex).</w:t>
      </w:r>
    </w:p>
    <w:p w:rsidR="00CB18FE" w:rsidRPr="00F45AC7" w:rsidRDefault="00CB18FE" w:rsidP="00CB18FE">
      <w:pPr>
        <w:pStyle w:val="SingleTxtG"/>
      </w:pPr>
      <w:r w:rsidRPr="00F45AC7">
        <w:t>9</w:t>
      </w:r>
      <w:r>
        <w:t>0</w:t>
      </w:r>
      <w:r w:rsidRPr="00F45AC7">
        <w:t>.</w:t>
      </w:r>
      <w:r w:rsidRPr="00F45AC7">
        <w:tab/>
        <w:t xml:space="preserve">In its resolution 34/26, the </w:t>
      </w:r>
      <w:r>
        <w:t xml:space="preserve">Human Rights </w:t>
      </w:r>
      <w:r w:rsidRPr="00F45AC7">
        <w:t>Council decided to extend for one year the mandate of the Independent International Commission of Inquiry on the Syrian Arab Republic, and requested the Commission to present a written updated report during an interactive dialogue at the thirty-s</w:t>
      </w:r>
      <w:r w:rsidRPr="007F5F70">
        <w:t>eventh</w:t>
      </w:r>
      <w:r w:rsidRPr="00F45AC7">
        <w:t xml:space="preserve"> session. The Council will consider the report of the Commission (A/HRC/37/72).</w:t>
      </w:r>
    </w:p>
    <w:p w:rsidR="00CB18FE" w:rsidRPr="00DA4849" w:rsidRDefault="00CB18FE" w:rsidP="00CB18FE">
      <w:pPr>
        <w:pStyle w:val="H4G"/>
      </w:pPr>
      <w:r w:rsidRPr="00DA4849">
        <w:tab/>
      </w:r>
      <w:r w:rsidRPr="00DA4849">
        <w:tab/>
        <w:t>Situation of human rights in South Sudan</w:t>
      </w:r>
    </w:p>
    <w:p w:rsidR="00CB18FE" w:rsidRPr="00DA4849" w:rsidRDefault="00CB18FE" w:rsidP="00CB18FE">
      <w:pPr>
        <w:pStyle w:val="SingleTxtG"/>
      </w:pPr>
      <w:r>
        <w:t>91</w:t>
      </w:r>
      <w:r w:rsidRPr="00714029">
        <w:t>.</w:t>
      </w:r>
      <w:r w:rsidRPr="00714029">
        <w:tab/>
        <w:t xml:space="preserve">In its resolution 34/25, the </w:t>
      </w:r>
      <w:r>
        <w:t xml:space="preserve">Human Rights </w:t>
      </w:r>
      <w:r w:rsidRPr="00714029">
        <w:t xml:space="preserve">Council decided to extend the mandate of the Commission on Human Rights in South Sudan for a period of one year, renewable as authorized by the Council. </w:t>
      </w:r>
      <w:r>
        <w:t xml:space="preserve">Pursuant to resolution 34/25, the Council </w:t>
      </w:r>
      <w:r w:rsidRPr="00DA4849">
        <w:t>will consider the report of the Commission</w:t>
      </w:r>
      <w:r>
        <w:t xml:space="preserve"> </w:t>
      </w:r>
      <w:r w:rsidRPr="00DA4849">
        <w:t>(A/HRC/3</w:t>
      </w:r>
      <w:r>
        <w:t>7/71</w:t>
      </w:r>
      <w:r w:rsidRPr="00DA4849">
        <w:t>).</w:t>
      </w:r>
    </w:p>
    <w:p w:rsidR="00CB18FE" w:rsidRPr="00DA4849" w:rsidRDefault="00CB18FE" w:rsidP="00CB18FE">
      <w:pPr>
        <w:pStyle w:val="H4G"/>
      </w:pPr>
      <w:r w:rsidRPr="00DA4849">
        <w:tab/>
      </w:r>
      <w:r w:rsidRPr="00DA4849">
        <w:tab/>
        <w:t>Situation of human rights in Burundi</w:t>
      </w:r>
    </w:p>
    <w:p w:rsidR="00CB18FE" w:rsidRPr="00DA4849" w:rsidRDefault="00CB18FE" w:rsidP="00CB18FE">
      <w:pPr>
        <w:pStyle w:val="SingleTxtG"/>
      </w:pPr>
      <w:r>
        <w:t>92</w:t>
      </w:r>
      <w:r w:rsidRPr="00DA4849">
        <w:t>.</w:t>
      </w:r>
      <w:r w:rsidRPr="00DA4849">
        <w:tab/>
        <w:t xml:space="preserve">In its resolution </w:t>
      </w:r>
      <w:r>
        <w:t>36/19</w:t>
      </w:r>
      <w:r w:rsidRPr="00DA4849">
        <w:t xml:space="preserve">, the </w:t>
      </w:r>
      <w:r>
        <w:t xml:space="preserve">Human Rights </w:t>
      </w:r>
      <w:r w:rsidRPr="00DA4849">
        <w:t xml:space="preserve">Council decided to </w:t>
      </w:r>
      <w:r w:rsidRPr="00714029">
        <w:t>extend the mandate of</w:t>
      </w:r>
      <w:r w:rsidRPr="00DA4849">
        <w:t xml:space="preserve">. </w:t>
      </w:r>
      <w:r w:rsidRPr="009B4E8A">
        <w:t>the Commission of Inquiry on Burundi</w:t>
      </w:r>
      <w:r>
        <w:t xml:space="preserve"> </w:t>
      </w:r>
      <w:r w:rsidRPr="00714029">
        <w:t>for a period of one year</w:t>
      </w:r>
      <w:r w:rsidRPr="009B4E8A">
        <w:t>, and request</w:t>
      </w:r>
      <w:r>
        <w:t>ed</w:t>
      </w:r>
      <w:r w:rsidRPr="009B4E8A">
        <w:t xml:space="preserve"> the Commission to present an oral briefing to the Council</w:t>
      </w:r>
      <w:r>
        <w:t xml:space="preserve">. </w:t>
      </w:r>
      <w:r w:rsidRPr="00DA4849">
        <w:t xml:space="preserve">The </w:t>
      </w:r>
      <w:r>
        <w:t>C</w:t>
      </w:r>
      <w:r w:rsidRPr="00DA4849">
        <w:t xml:space="preserve">ommission </w:t>
      </w:r>
      <w:r>
        <w:t xml:space="preserve">will give an oral briefing to the </w:t>
      </w:r>
      <w:r w:rsidRPr="00DA4849">
        <w:t>C</w:t>
      </w:r>
      <w:r>
        <w:t>o</w:t>
      </w:r>
      <w:r w:rsidRPr="00DA4849">
        <w:t>uncil</w:t>
      </w:r>
      <w:r>
        <w:t>.</w:t>
      </w:r>
      <w:r w:rsidRPr="00DA4849">
        <w:t xml:space="preserve"> </w:t>
      </w:r>
    </w:p>
    <w:p w:rsidR="00CB18FE" w:rsidRPr="00DA4849" w:rsidRDefault="00CB18FE" w:rsidP="00CB18FE">
      <w:pPr>
        <w:pStyle w:val="H4G"/>
      </w:pPr>
      <w:r w:rsidRPr="00DA4849">
        <w:tab/>
      </w:r>
      <w:r w:rsidRPr="00DA4849">
        <w:tab/>
        <w:t>Situation of human rights in the Islamic Republic of Iran</w:t>
      </w:r>
    </w:p>
    <w:p w:rsidR="00CB18FE" w:rsidRPr="00DA4849" w:rsidRDefault="00CB18FE" w:rsidP="00CB18FE">
      <w:pPr>
        <w:pStyle w:val="SingleTxtG"/>
      </w:pPr>
      <w:r>
        <w:t>93</w:t>
      </w:r>
      <w:r w:rsidRPr="00DA4849">
        <w:t>.</w:t>
      </w:r>
      <w:r w:rsidRPr="00DA4849">
        <w:tab/>
        <w:t xml:space="preserve">In its resolution </w:t>
      </w:r>
      <w:r>
        <w:t>34/23</w:t>
      </w:r>
      <w:r w:rsidRPr="00DA4849">
        <w:t xml:space="preserve">, the </w:t>
      </w:r>
      <w:r>
        <w:t xml:space="preserve">Human Rights </w:t>
      </w:r>
      <w:r w:rsidRPr="00DA4849">
        <w:t xml:space="preserve">Council decided to extend the mandate of the Special Rapporteur on the situation of human rights in the Islamic Republic of Iran for a further period of one year, and requested the Special Rapporteur to submit a report on the implementation of the mandate to the Council. The Council will consider the report of the mandate holder, </w:t>
      </w:r>
      <w:r w:rsidRPr="009F0F55">
        <w:t>Asma Jahangir (A/HRC/37/68).</w:t>
      </w:r>
      <w:r w:rsidRPr="00DA4849">
        <w:t xml:space="preserve"> </w:t>
      </w:r>
    </w:p>
    <w:p w:rsidR="00CB18FE" w:rsidRPr="00032E05" w:rsidRDefault="00CB18FE" w:rsidP="00CB18FE">
      <w:pPr>
        <w:pStyle w:val="SingleTxtG"/>
      </w:pPr>
      <w:r>
        <w:t>94</w:t>
      </w:r>
      <w:r w:rsidRPr="00DA4849">
        <w:t>.</w:t>
      </w:r>
      <w:r w:rsidRPr="00DA4849">
        <w:tab/>
        <w:t xml:space="preserve">Reference is made to the </w:t>
      </w:r>
      <w:r w:rsidRPr="00032E05">
        <w:t xml:space="preserve">report of the Secretary-General on progress made in the implementation of General Assembly resolution </w:t>
      </w:r>
      <w:r w:rsidRPr="00105C27">
        <w:t>72/189</w:t>
      </w:r>
      <w:r w:rsidRPr="00032E05">
        <w:t xml:space="preserve"> (A/HRC/37/24) (see para. 18 above).</w:t>
      </w:r>
    </w:p>
    <w:p w:rsidR="00CB18FE" w:rsidRPr="00DA4849" w:rsidRDefault="00CB18FE" w:rsidP="00CB18FE">
      <w:pPr>
        <w:pStyle w:val="H4G"/>
      </w:pPr>
      <w:r w:rsidRPr="00032E05">
        <w:tab/>
      </w:r>
      <w:r w:rsidRPr="00032E05">
        <w:tab/>
        <w:t>Situation of human rights in the Democratic People’s Republic</w:t>
      </w:r>
      <w:r w:rsidRPr="00DA4849">
        <w:t xml:space="preserve"> of Korea</w:t>
      </w:r>
    </w:p>
    <w:p w:rsidR="00CB18FE" w:rsidRDefault="00CB18FE" w:rsidP="00CB18FE">
      <w:pPr>
        <w:pStyle w:val="SingleTxtG"/>
      </w:pPr>
      <w:r>
        <w:t>95</w:t>
      </w:r>
      <w:r w:rsidRPr="00DA4849">
        <w:t>.</w:t>
      </w:r>
      <w:r w:rsidRPr="00DA4849">
        <w:tab/>
        <w:t xml:space="preserve">In its resolution </w:t>
      </w:r>
      <w:r>
        <w:t>34/24</w:t>
      </w:r>
      <w:r w:rsidRPr="00DA4849">
        <w:t xml:space="preserve">, the </w:t>
      </w:r>
      <w:r>
        <w:t xml:space="preserve">Human Rights </w:t>
      </w:r>
      <w:r w:rsidRPr="00DA4849">
        <w:t>Council decided to extend the mandate of the Special Rapporteur on the situation of human rights in the Democratic People</w:t>
      </w:r>
      <w:r>
        <w:t>’</w:t>
      </w:r>
      <w:r w:rsidRPr="00DA4849">
        <w:t xml:space="preserve">s Republic of </w:t>
      </w:r>
      <w:r w:rsidRPr="001C6D73">
        <w:t>Korea for a period of one year. The Council will consider the report of the mandate holder, Tomas Ojea Quintana (A/HRC/37/69).</w:t>
      </w:r>
      <w:r>
        <w:t xml:space="preserve"> </w:t>
      </w:r>
    </w:p>
    <w:p w:rsidR="00CB18FE" w:rsidRPr="00DA4849" w:rsidRDefault="00CB18FE" w:rsidP="00CB18FE">
      <w:pPr>
        <w:pStyle w:val="SingleTxtG"/>
      </w:pPr>
      <w:r>
        <w:t>96.</w:t>
      </w:r>
      <w:r>
        <w:tab/>
        <w:t>In resolution 34/24, the Human Rights Council also decided to strengthen, for a period of two years, the capacity of OHCHR, including its field-based structure in Seoul, to allow the implementation of relevant recommendations made by the group of independent experts on accountability in its report aimed at strengthening current monitoring and documentation efforts, establishing a central information and evidence repository, and having experts in legal accountability assess all information and testimonies with a view to developing possible strategies to be used in any future accountability process. Pursuant to that resolution, the High Commissioner will give an oral update to the Council.</w:t>
      </w:r>
    </w:p>
    <w:p w:rsidR="00CB18FE" w:rsidRPr="00D4331C" w:rsidRDefault="00CB18FE" w:rsidP="00CB18FE">
      <w:pPr>
        <w:pStyle w:val="H4G"/>
      </w:pPr>
      <w:r w:rsidRPr="00DA4849">
        <w:lastRenderedPageBreak/>
        <w:tab/>
      </w:r>
      <w:r w:rsidRPr="00DA4849">
        <w:tab/>
      </w:r>
      <w:r w:rsidRPr="00D4331C">
        <w:t>Situation of human rights in Myanmar</w:t>
      </w:r>
    </w:p>
    <w:p w:rsidR="00CB18FE" w:rsidRDefault="00CB18FE" w:rsidP="00CB18FE">
      <w:pPr>
        <w:pStyle w:val="SingleTxtG"/>
      </w:pPr>
      <w:r w:rsidRPr="00D4331C">
        <w:t>9</w:t>
      </w:r>
      <w:r>
        <w:t>7</w:t>
      </w:r>
      <w:r w:rsidRPr="00D4331C">
        <w:t>.</w:t>
      </w:r>
      <w:r w:rsidRPr="00D4331C">
        <w:tab/>
        <w:t xml:space="preserve">In its resolution 34/22, the </w:t>
      </w:r>
      <w:r>
        <w:t xml:space="preserve">Human Rights </w:t>
      </w:r>
      <w:r w:rsidRPr="00D4331C">
        <w:t xml:space="preserve">Council decided to dispatch urgently an independent international fact-finding mission to establish the facts and circumstances of the alleged recent human rights violations by military and security forces, and abuses, in Myanmar, in particular in Rakhine State, including but not limited to arbitrary detention, torture and inhuman treatment, rape and other forms of sexual violence, extrajudicial, summary or arbitrary killings, enforced disappearances, forced displacement and unlawful destruction of property, with a view to ensuring full accountability for perpetrators and justice for victims. In its decision 36/115, the Council decided to extend the mandate of the fact-finding mission and requested the mission to present an oral update at its thirty-seventh session. </w:t>
      </w:r>
      <w:r>
        <w:t xml:space="preserve">Pursuant to that request, the fact-finding mission will present an oral update to the Council. </w:t>
      </w:r>
    </w:p>
    <w:p w:rsidR="00CB18FE" w:rsidRPr="00DA4849" w:rsidRDefault="00CB18FE" w:rsidP="00CB18FE">
      <w:pPr>
        <w:pStyle w:val="SingleTxtG"/>
      </w:pPr>
      <w:r>
        <w:t>98.</w:t>
      </w:r>
      <w:r>
        <w:tab/>
        <w:t>I</w:t>
      </w:r>
      <w:r w:rsidRPr="000870D1">
        <w:t>n resolution 34/22, the</w:t>
      </w:r>
      <w:r>
        <w:t xml:space="preserve"> Human Rights Council also decided </w:t>
      </w:r>
      <w:r w:rsidRPr="001A31BB">
        <w:rPr>
          <w:rFonts w:eastAsia="SimSun"/>
          <w:lang w:eastAsia="hi-IN" w:bidi="hi-IN"/>
        </w:rPr>
        <w:t xml:space="preserve">to extend the mandate of the Special Rapporteur on the </w:t>
      </w:r>
      <w:r>
        <w:rPr>
          <w:rFonts w:eastAsia="SimSun"/>
          <w:lang w:eastAsia="hi-IN" w:bidi="hi-IN"/>
        </w:rPr>
        <w:t>s</w:t>
      </w:r>
      <w:r w:rsidRPr="001A31BB">
        <w:rPr>
          <w:rFonts w:eastAsia="SimSun"/>
          <w:lang w:eastAsia="hi-IN" w:bidi="hi-IN"/>
        </w:rPr>
        <w:t>ituation of human rights in Myanmar for a further period of one year</w:t>
      </w:r>
      <w:r>
        <w:rPr>
          <w:rFonts w:eastAsia="SimSun"/>
          <w:lang w:eastAsia="hi-IN" w:bidi="hi-IN"/>
        </w:rPr>
        <w:t xml:space="preserve">. </w:t>
      </w:r>
      <w:r w:rsidRPr="00714029">
        <w:t xml:space="preserve">The Council will </w:t>
      </w:r>
      <w:r>
        <w:t xml:space="preserve">consider the report of </w:t>
      </w:r>
      <w:r w:rsidRPr="00714029">
        <w:t xml:space="preserve">the </w:t>
      </w:r>
      <w:r w:rsidRPr="001A31BB">
        <w:rPr>
          <w:rFonts w:eastAsia="SimSun"/>
          <w:lang w:eastAsia="hi-IN" w:bidi="hi-IN"/>
        </w:rPr>
        <w:t>Special Rapporteur</w:t>
      </w:r>
      <w:r>
        <w:rPr>
          <w:rFonts w:eastAsia="SimSun"/>
          <w:lang w:eastAsia="hi-IN" w:bidi="hi-IN"/>
        </w:rPr>
        <w:t xml:space="preserve">, </w:t>
      </w:r>
      <w:r w:rsidRPr="00DA4849">
        <w:t>Yanghee Lee</w:t>
      </w:r>
      <w:r>
        <w:t xml:space="preserve"> (A/HRC/37/70).</w:t>
      </w:r>
    </w:p>
    <w:p w:rsidR="00CB18FE" w:rsidRPr="00DA4849" w:rsidRDefault="00CB18FE" w:rsidP="00CB18FE">
      <w:pPr>
        <w:pStyle w:val="H4G"/>
      </w:pPr>
      <w:r w:rsidRPr="00DA4849">
        <w:tab/>
      </w:r>
      <w:r w:rsidRPr="00DA4849">
        <w:tab/>
        <w:t>Situation of human rights in Eritrea</w:t>
      </w:r>
    </w:p>
    <w:p w:rsidR="00CB18FE" w:rsidRPr="00DA4849" w:rsidRDefault="00CB18FE" w:rsidP="00CB18FE">
      <w:pPr>
        <w:pStyle w:val="SingleTxtG"/>
      </w:pPr>
      <w:r w:rsidRPr="00DA4849">
        <w:t>9</w:t>
      </w:r>
      <w:r>
        <w:t>9</w:t>
      </w:r>
      <w:r w:rsidRPr="00DA4849">
        <w:t>.</w:t>
      </w:r>
      <w:r w:rsidRPr="00DA4849">
        <w:tab/>
        <w:t xml:space="preserve">In its resolution </w:t>
      </w:r>
      <w:r>
        <w:t>35/35</w:t>
      </w:r>
      <w:r w:rsidRPr="00DA4849">
        <w:t xml:space="preserve">, the </w:t>
      </w:r>
      <w:r>
        <w:t xml:space="preserve">Human Rights </w:t>
      </w:r>
      <w:r w:rsidRPr="00DA4849">
        <w:t xml:space="preserve">Council decided to </w:t>
      </w:r>
      <w:r>
        <w:t>hold an enhanced interactive dialogue on the situation of human rights in Eritrea at its thirty-seventh session, with the participation of the Special Rapporteur, OHCHR, civil society and other relevant stakeholders. The Council also requested OHCHR to continue to enhance engagement in improving the situation of human rights in Eritrea, and to present an oral update to the Council at its thirty-seventh session on progress made in the cooperation between Eritrea and the Office, and on its impact on the situation of human rights in Eritrea. Pursuant to that request, OHCHR will present an oral update to the Council.</w:t>
      </w:r>
      <w:r w:rsidRPr="00A95865">
        <w:t xml:space="preserve"> </w:t>
      </w:r>
    </w:p>
    <w:p w:rsidR="00CB18FE" w:rsidRPr="00DA4849" w:rsidRDefault="00CB18FE" w:rsidP="00CB18FE">
      <w:pPr>
        <w:pStyle w:val="H23G"/>
      </w:pPr>
      <w:bookmarkStart w:id="17" w:name="_Toc220321003"/>
      <w:r w:rsidRPr="00DA4849">
        <w:tab/>
        <w:t>5.</w:t>
      </w:r>
      <w:r w:rsidRPr="00DA4849">
        <w:tab/>
        <w:t>Human rights bodies and mechanisms</w:t>
      </w:r>
      <w:bookmarkEnd w:id="17"/>
    </w:p>
    <w:p w:rsidR="00CB18FE" w:rsidRPr="00DA4849" w:rsidRDefault="00CB18FE" w:rsidP="00CB18FE">
      <w:pPr>
        <w:pStyle w:val="H4G"/>
      </w:pPr>
      <w:r w:rsidRPr="00DA4849">
        <w:tab/>
      </w:r>
      <w:r w:rsidRPr="00DA4849">
        <w:tab/>
        <w:t>Forum on Minority Issues</w:t>
      </w:r>
    </w:p>
    <w:p w:rsidR="00CB18FE" w:rsidRPr="009D3EE9" w:rsidRDefault="00CB18FE" w:rsidP="00CB18FE">
      <w:pPr>
        <w:pStyle w:val="SingleTxtG"/>
      </w:pPr>
      <w:bookmarkStart w:id="18" w:name="_Ref216185294"/>
      <w:bookmarkStart w:id="19" w:name="_Ref216686708"/>
      <w:r>
        <w:t>100</w:t>
      </w:r>
      <w:r w:rsidRPr="00DA4849">
        <w:t>.</w:t>
      </w:r>
      <w:r>
        <w:tab/>
      </w:r>
      <w:r w:rsidRPr="00DA4849">
        <w:t xml:space="preserve">In its resolution 6/15, the </w:t>
      </w:r>
      <w:r>
        <w:t xml:space="preserve">Human Rights </w:t>
      </w:r>
      <w:r w:rsidRPr="00DA4849">
        <w:t xml:space="preserve">Council decided to establish a Forum on Minority Issues to provide a platform for promoting dialogue and cooperation on issues pertaining to persons belonging to national or ethnic, religious and linguistic minorities. In its resolution 19/23, the Council renewed the mandate of the Forum and decided that it should continue to meet annually. The Council will consider the recommendations made by the Forum at its </w:t>
      </w:r>
      <w:r>
        <w:t>tenth</w:t>
      </w:r>
      <w:r w:rsidRPr="00DA4849">
        <w:t xml:space="preserve"> session, held </w:t>
      </w:r>
      <w:r>
        <w:t>from</w:t>
      </w:r>
      <w:r w:rsidRPr="00DA4849">
        <w:t xml:space="preserve"> </w:t>
      </w:r>
      <w:r>
        <w:t>30 November to 1</w:t>
      </w:r>
      <w:r w:rsidRPr="00DA4849">
        <w:t xml:space="preserve"> </w:t>
      </w:r>
      <w:r>
        <w:t>December</w:t>
      </w:r>
      <w:r w:rsidRPr="00DA4849">
        <w:t xml:space="preserve"> </w:t>
      </w:r>
      <w:r>
        <w:t>2017</w:t>
      </w:r>
      <w:r w:rsidRPr="00DA4849">
        <w:t xml:space="preserve"> </w:t>
      </w:r>
      <w:r>
        <w:t>(A/HRC/37/73</w:t>
      </w:r>
      <w:r w:rsidRPr="00DA4849">
        <w:t xml:space="preserve">) (see paras. </w:t>
      </w:r>
      <w:r>
        <w:t>25</w:t>
      </w:r>
      <w:r w:rsidRPr="00DA4849">
        <w:t xml:space="preserve"> and </w:t>
      </w:r>
      <w:r>
        <w:t>68</w:t>
      </w:r>
      <w:r w:rsidRPr="00DA4849">
        <w:t xml:space="preserve"> above).</w:t>
      </w:r>
      <w:bookmarkEnd w:id="18"/>
      <w:bookmarkEnd w:id="19"/>
    </w:p>
    <w:p w:rsidR="00CB18FE" w:rsidRPr="009D3EE9" w:rsidDel="00A31910" w:rsidRDefault="00CB18FE" w:rsidP="00CB18FE">
      <w:pPr>
        <w:pStyle w:val="H4G"/>
      </w:pPr>
      <w:r w:rsidRPr="009D3EE9">
        <w:tab/>
      </w:r>
      <w:r w:rsidRPr="009D3EE9">
        <w:tab/>
        <w:t xml:space="preserve">Special procedures </w:t>
      </w:r>
    </w:p>
    <w:p w:rsidR="00CB18FE" w:rsidRPr="009D3EE9" w:rsidRDefault="00CB18FE" w:rsidP="00CB18FE">
      <w:pPr>
        <w:pStyle w:val="SingleTxtG"/>
      </w:pPr>
      <w:r w:rsidRPr="009D3EE9">
        <w:t>10</w:t>
      </w:r>
      <w:r>
        <w:t>1</w:t>
      </w:r>
      <w:r w:rsidRPr="009D3EE9">
        <w:t>.</w:t>
      </w:r>
      <w:r w:rsidRPr="009D3EE9">
        <w:tab/>
        <w:t xml:space="preserve">The </w:t>
      </w:r>
      <w:r>
        <w:t xml:space="preserve">Human Rights </w:t>
      </w:r>
      <w:r w:rsidRPr="009D3EE9">
        <w:t>Council will have before it a note by the High Commissioner transmitting the report on the twenty-fourth annual meeting of special rapporteurs/representatives, independent experts and working groups of the special procedures of the Council, held from 26 to 30 June 2017</w:t>
      </w:r>
      <w:r>
        <w:t xml:space="preserve"> </w:t>
      </w:r>
      <w:r w:rsidRPr="009D3EE9">
        <w:t>(A/HRC/37/37 and Add.1).</w:t>
      </w:r>
    </w:p>
    <w:p w:rsidR="00CB18FE" w:rsidRPr="00DA4849" w:rsidRDefault="00CB18FE" w:rsidP="00CB18FE">
      <w:pPr>
        <w:pStyle w:val="SingleTxtG"/>
      </w:pPr>
      <w:r w:rsidRPr="00180955">
        <w:t>10</w:t>
      </w:r>
      <w:r>
        <w:t>2</w:t>
      </w:r>
      <w:r w:rsidRPr="00180955">
        <w:t>.</w:t>
      </w:r>
      <w:r w:rsidRPr="00180955">
        <w:tab/>
        <w:t xml:space="preserve">The </w:t>
      </w:r>
      <w:r>
        <w:t xml:space="preserve">Human Rights </w:t>
      </w:r>
      <w:r w:rsidRPr="00180955">
        <w:t>Council will also consider the communications report of the special procedures (A/HRC/37/80).</w:t>
      </w:r>
    </w:p>
    <w:p w:rsidR="00CB18FE" w:rsidRPr="00DA4849" w:rsidRDefault="00CB18FE" w:rsidP="00CB18FE">
      <w:pPr>
        <w:pStyle w:val="H4G"/>
      </w:pPr>
      <w:r w:rsidRPr="00DA4849">
        <w:tab/>
      </w:r>
      <w:r w:rsidRPr="00DA4849">
        <w:tab/>
        <w:t>Social Forum</w:t>
      </w:r>
    </w:p>
    <w:p w:rsidR="00CB18FE" w:rsidRPr="00DA4849" w:rsidRDefault="00CB18FE" w:rsidP="00CB18FE">
      <w:pPr>
        <w:pStyle w:val="SingleTxtG"/>
      </w:pPr>
      <w:r w:rsidRPr="00DA4849">
        <w:t>10</w:t>
      </w:r>
      <w:r>
        <w:t>3</w:t>
      </w:r>
      <w:r w:rsidRPr="00DA4849">
        <w:t>.</w:t>
      </w:r>
      <w:r w:rsidRPr="00DA4849">
        <w:tab/>
      </w:r>
      <w:r>
        <w:t>Pursuant to its resolution 32/27</w:t>
      </w:r>
      <w:r w:rsidRPr="00DA4849">
        <w:t xml:space="preserve">, the </w:t>
      </w:r>
      <w:r>
        <w:t xml:space="preserve">Human Rights </w:t>
      </w:r>
      <w:r w:rsidRPr="00DA4849">
        <w:t xml:space="preserve">Council </w:t>
      </w:r>
      <w:r>
        <w:t xml:space="preserve">will consider the report containing conclusions and recommendations of the 2017 </w:t>
      </w:r>
      <w:r w:rsidRPr="001A38D4">
        <w:t>Social Forum</w:t>
      </w:r>
      <w:r>
        <w:t xml:space="preserve">, </w:t>
      </w:r>
      <w:r w:rsidRPr="00DA4849">
        <w:t xml:space="preserve">held from </w:t>
      </w:r>
      <w:r>
        <w:t>2</w:t>
      </w:r>
      <w:r w:rsidRPr="00DA4849">
        <w:t xml:space="preserve"> to </w:t>
      </w:r>
      <w:r>
        <w:t>4</w:t>
      </w:r>
      <w:r w:rsidRPr="00DA4849">
        <w:t xml:space="preserve"> </w:t>
      </w:r>
      <w:r w:rsidRPr="00DA4849">
        <w:lastRenderedPageBreak/>
        <w:t xml:space="preserve">October </w:t>
      </w:r>
      <w:r>
        <w:t xml:space="preserve">2017, which </w:t>
      </w:r>
      <w:r w:rsidRPr="001A38D4">
        <w:t>focus</w:t>
      </w:r>
      <w:r>
        <w:t>ed</w:t>
      </w:r>
      <w:r w:rsidRPr="001A38D4">
        <w:t xml:space="preserve"> on the promotion and protection of human rights in the context of the HIV epidemic and other comm</w:t>
      </w:r>
      <w:r>
        <w:t xml:space="preserve">unicable diseases and epidemics </w:t>
      </w:r>
      <w:r w:rsidRPr="00DA4849">
        <w:t>(A/HRC/3</w:t>
      </w:r>
      <w:r>
        <w:t>7/74</w:t>
      </w:r>
      <w:r w:rsidRPr="00DA4849">
        <w:t>).</w:t>
      </w:r>
      <w:bookmarkStart w:id="20" w:name="_Toc220321009"/>
      <w:r w:rsidRPr="00DA4849">
        <w:t xml:space="preserve"> </w:t>
      </w:r>
    </w:p>
    <w:p w:rsidR="00CB18FE" w:rsidRPr="00DA4849" w:rsidRDefault="00CB18FE" w:rsidP="00CB18FE">
      <w:pPr>
        <w:pStyle w:val="H23G"/>
      </w:pPr>
      <w:r w:rsidRPr="00DA4849">
        <w:tab/>
        <w:t>6.</w:t>
      </w:r>
      <w:r w:rsidRPr="00DA4849">
        <w:tab/>
        <w:t>Universal periodic review</w:t>
      </w:r>
      <w:bookmarkEnd w:id="20"/>
    </w:p>
    <w:p w:rsidR="00CB18FE" w:rsidRPr="00DA4849" w:rsidRDefault="00CB18FE" w:rsidP="00CB18FE">
      <w:pPr>
        <w:pStyle w:val="SingleTxtG"/>
      </w:pPr>
      <w:r>
        <w:t>104</w:t>
      </w:r>
      <w:r w:rsidRPr="00DA4849">
        <w:t>.</w:t>
      </w:r>
      <w:r w:rsidRPr="00DA4849">
        <w:tab/>
        <w:t xml:space="preserve">In its resolution 5/1, the </w:t>
      </w:r>
      <w:r>
        <w:t xml:space="preserve">Human Rights </w:t>
      </w:r>
      <w:r w:rsidRPr="00DA4849">
        <w:t>Council established the universal periodic review mechanism as contained in section I of the annex to that resolution. The Working Group on the Universal Periodic Review held its twenty-</w:t>
      </w:r>
      <w:r>
        <w:t>eighth</w:t>
      </w:r>
      <w:r w:rsidRPr="00DA4849">
        <w:t xml:space="preserve"> session from </w:t>
      </w:r>
      <w:r>
        <w:t>6</w:t>
      </w:r>
      <w:r w:rsidRPr="00DA4849">
        <w:t xml:space="preserve"> to </w:t>
      </w:r>
      <w:r>
        <w:t>17</w:t>
      </w:r>
      <w:r w:rsidRPr="00DA4849">
        <w:t xml:space="preserve"> November </w:t>
      </w:r>
      <w:r>
        <w:t>2017</w:t>
      </w:r>
      <w:r w:rsidRPr="00DA4849">
        <w:t>. At its thirty-</w:t>
      </w:r>
      <w:r>
        <w:t>seventh</w:t>
      </w:r>
      <w:r w:rsidRPr="00DA4849">
        <w:t xml:space="preserve"> session, the Council will consider and adopt the final outcomes of the review of </w:t>
      </w:r>
      <w:r>
        <w:t>Czechia (A/HRC/37/4</w:t>
      </w:r>
      <w:r w:rsidRPr="00DA4849">
        <w:t xml:space="preserve">), </w:t>
      </w:r>
      <w:r>
        <w:t>Argentina (A/HRC/37/5</w:t>
      </w:r>
      <w:r w:rsidRPr="00DA4849">
        <w:t>)</w:t>
      </w:r>
      <w:r>
        <w:t>, Gabon (A/HRC/37/6</w:t>
      </w:r>
      <w:r w:rsidRPr="00DA4849">
        <w:t>)</w:t>
      </w:r>
      <w:r>
        <w:t>, Ghana (A/HRC/37/7</w:t>
      </w:r>
      <w:r w:rsidRPr="00DA4849">
        <w:t>)</w:t>
      </w:r>
      <w:r>
        <w:t>, Peru (A/HRC/37/8</w:t>
      </w:r>
      <w:r w:rsidRPr="00DA4849">
        <w:t>)</w:t>
      </w:r>
      <w:r>
        <w:t>, Guatemala (A/HRC/37/9</w:t>
      </w:r>
      <w:r w:rsidRPr="00DA4849">
        <w:t>)</w:t>
      </w:r>
      <w:r>
        <w:t>, Benin (A/HRC/37/10</w:t>
      </w:r>
      <w:r w:rsidRPr="00DA4849">
        <w:t>)</w:t>
      </w:r>
      <w:r>
        <w:t>, the Republic of Korea (A/HRC/37/11</w:t>
      </w:r>
      <w:r w:rsidRPr="00DA4849">
        <w:t>)</w:t>
      </w:r>
      <w:r>
        <w:t>, Switzerland (A/HRC/37/12</w:t>
      </w:r>
      <w:r w:rsidRPr="00DA4849">
        <w:t>)</w:t>
      </w:r>
      <w:r>
        <w:t>, Pakistan (A/HRC/37/13</w:t>
      </w:r>
      <w:r w:rsidRPr="00DA4849">
        <w:t>)</w:t>
      </w:r>
      <w:r>
        <w:t>, Zambia (A/HRC/37/14</w:t>
      </w:r>
      <w:r w:rsidRPr="00DA4849">
        <w:t>)</w:t>
      </w:r>
      <w:r>
        <w:t>, Japan (A/HRC/37/15</w:t>
      </w:r>
      <w:r w:rsidRPr="00DA4849">
        <w:t>)</w:t>
      </w:r>
      <w:r>
        <w:t>, Ukraine (A/HRC/37/16</w:t>
      </w:r>
      <w:r w:rsidRPr="00DA4849">
        <w:t>)</w:t>
      </w:r>
      <w:r>
        <w:t xml:space="preserve"> </w:t>
      </w:r>
      <w:r w:rsidRPr="00DA4849">
        <w:t xml:space="preserve">and </w:t>
      </w:r>
      <w:r>
        <w:t>Sri Lanka (A/HRC/37/17</w:t>
      </w:r>
      <w:r w:rsidRPr="00DA4849">
        <w:t>)</w:t>
      </w:r>
      <w:r>
        <w:t>.</w:t>
      </w:r>
    </w:p>
    <w:p w:rsidR="00CB18FE" w:rsidRPr="00DA4849" w:rsidRDefault="00CB18FE" w:rsidP="00CB18FE">
      <w:pPr>
        <w:pStyle w:val="SingleTxtG"/>
      </w:pPr>
      <w:r>
        <w:t>105</w:t>
      </w:r>
      <w:r w:rsidRPr="00DA4849">
        <w:t>.</w:t>
      </w:r>
      <w:r w:rsidRPr="00DA4849">
        <w:tab/>
        <w:t>Pursuant to President</w:t>
      </w:r>
      <w:r>
        <w:t>’</w:t>
      </w:r>
      <w:r w:rsidRPr="00DA4849">
        <w:t>s statement 9/2 on modalities and practices for the universal periodic review process, the outcomes of the review are adopted by the Council at its plenary session by a standardized decision. The outcomes comprise the report of the Working Group, the views of the State under review concerning the recommendations and/or conclusions, and the voluntary commitments made and replies presented by the State under review, before the adoption of the outcome by the plenary, to questions or issues that were not sufficiently addressed during the interactive dialogue in the Working Group.</w:t>
      </w:r>
    </w:p>
    <w:p w:rsidR="00CB18FE" w:rsidRPr="00DA4849" w:rsidRDefault="00CB18FE" w:rsidP="00CB18FE">
      <w:pPr>
        <w:pStyle w:val="H23G"/>
      </w:pPr>
      <w:bookmarkStart w:id="21" w:name="_Toc220321010"/>
      <w:r w:rsidRPr="00DA4849">
        <w:tab/>
        <w:t>7.</w:t>
      </w:r>
      <w:r w:rsidRPr="00DA4849">
        <w:tab/>
        <w:t>Human rights situation in Palestine and other occupied Arab territories</w:t>
      </w:r>
      <w:bookmarkEnd w:id="21"/>
    </w:p>
    <w:p w:rsidR="00CB18FE" w:rsidRPr="00DA4849" w:rsidRDefault="00CB18FE" w:rsidP="00CB18FE">
      <w:pPr>
        <w:pStyle w:val="H4G"/>
      </w:pPr>
      <w:bookmarkStart w:id="22" w:name="_Toc220321013"/>
      <w:r w:rsidRPr="00DA4849">
        <w:tab/>
      </w:r>
      <w:r w:rsidRPr="00DA4849">
        <w:tab/>
        <w:t>Special Rapporteur on the situation of human rights in the Palestinian territories occupied since 1967</w:t>
      </w:r>
    </w:p>
    <w:p w:rsidR="00CB18FE" w:rsidRPr="00DA4849" w:rsidRDefault="00CB18FE" w:rsidP="00CB18FE">
      <w:pPr>
        <w:pStyle w:val="SingleTxtG"/>
      </w:pPr>
      <w:r>
        <w:t>106</w:t>
      </w:r>
      <w:r w:rsidRPr="00DA4849">
        <w:t>.</w:t>
      </w:r>
      <w:r w:rsidRPr="00DA4849">
        <w:tab/>
      </w:r>
      <w:r>
        <w:t>Pursuant to</w:t>
      </w:r>
      <w:r w:rsidRPr="00DA4849">
        <w:t xml:space="preserve"> its decision 2/102</w:t>
      </w:r>
      <w:r>
        <w:t xml:space="preserve"> </w:t>
      </w:r>
      <w:r w:rsidRPr="00DA4849">
        <w:t xml:space="preserve">and </w:t>
      </w:r>
      <w:r>
        <w:t xml:space="preserve">its </w:t>
      </w:r>
      <w:r w:rsidRPr="00DA4849">
        <w:t xml:space="preserve">resolution 5/1, the </w:t>
      </w:r>
      <w:r>
        <w:t xml:space="preserve">Human Rights </w:t>
      </w:r>
      <w:r w:rsidRPr="00DA4849">
        <w:t xml:space="preserve">Council will consider the report of the Special Rapporteur on the situation of human rights in the Palestinian territories occupied </w:t>
      </w:r>
      <w:r w:rsidRPr="002656BC">
        <w:t>since 1967, Michael Lynk (A/HRC/37/75</w:t>
      </w:r>
      <w:r>
        <w:t>).</w:t>
      </w:r>
    </w:p>
    <w:p w:rsidR="00CB18FE" w:rsidRPr="00DA4849" w:rsidRDefault="00CB18FE" w:rsidP="00CB18FE">
      <w:pPr>
        <w:pStyle w:val="H4G"/>
      </w:pPr>
      <w:r w:rsidRPr="00DA4849">
        <w:tab/>
      </w:r>
      <w:r w:rsidRPr="00DA4849">
        <w:tab/>
        <w:t>Situation of human rights in the Occupied Palestinian Territory, including East Jerusalem</w:t>
      </w:r>
    </w:p>
    <w:p w:rsidR="00CB18FE" w:rsidRDefault="00CB18FE" w:rsidP="00CB18FE">
      <w:pPr>
        <w:pStyle w:val="SingleTxtG"/>
      </w:pPr>
      <w:r>
        <w:t>107.</w:t>
      </w:r>
      <w:r>
        <w:tab/>
        <w:t xml:space="preserve">Pursuant to </w:t>
      </w:r>
      <w:r w:rsidRPr="00DA4849">
        <w:t xml:space="preserve">its resolution </w:t>
      </w:r>
      <w:r>
        <w:t>34/30</w:t>
      </w:r>
      <w:r w:rsidRPr="00DA4849">
        <w:t xml:space="preserve">, the </w:t>
      </w:r>
      <w:r>
        <w:t xml:space="preserve">Human Rights </w:t>
      </w:r>
      <w:r w:rsidRPr="00DA4849">
        <w:t>Council</w:t>
      </w:r>
      <w:r>
        <w:t xml:space="preserve"> will consider the report of</w:t>
      </w:r>
      <w:r w:rsidRPr="0008148C">
        <w:t xml:space="preserve"> the High Commissioner on the implementation of th</w:t>
      </w:r>
      <w:r>
        <w:t>at</w:t>
      </w:r>
      <w:r w:rsidRPr="0008148C">
        <w:t xml:space="preserve"> resolution</w:t>
      </w:r>
      <w:r>
        <w:t xml:space="preserve"> (A/HRC/37/42</w:t>
      </w:r>
      <w:r w:rsidRPr="00DA4849">
        <w:t xml:space="preserve">) (see para. </w:t>
      </w:r>
      <w:r>
        <w:t>37</w:t>
      </w:r>
      <w:r w:rsidRPr="00DA4849">
        <w:t xml:space="preserve"> above).</w:t>
      </w:r>
    </w:p>
    <w:p w:rsidR="00CB18FE" w:rsidRDefault="00CB18FE" w:rsidP="00CB18FE">
      <w:pPr>
        <w:pStyle w:val="SingleTxtG"/>
      </w:pPr>
      <w:r w:rsidRPr="005D1AB7">
        <w:t>10</w:t>
      </w:r>
      <w:r>
        <w:t>8</w:t>
      </w:r>
      <w:r w:rsidRPr="005D1AB7">
        <w:t>.</w:t>
      </w:r>
      <w:r w:rsidRPr="005D1AB7">
        <w:tab/>
        <w:t xml:space="preserve">Pursuant to its resolutions S-9/1 and S-12/1, the </w:t>
      </w:r>
      <w:r>
        <w:t xml:space="preserve">Human Rights </w:t>
      </w:r>
      <w:r w:rsidRPr="005D1AB7">
        <w:t xml:space="preserve">Council will consider the report of the High Commissioner concerning the situation of human rights in the Occupied Palestinian Territory, especially in relation to East Jerusalem and the Gaza </w:t>
      </w:r>
      <w:r>
        <w:t xml:space="preserve">Strip </w:t>
      </w:r>
      <w:r w:rsidRPr="005D1AB7">
        <w:t xml:space="preserve">(A/HRC/37/38) (see </w:t>
      </w:r>
      <w:r>
        <w:t>para. 38</w:t>
      </w:r>
      <w:r w:rsidRPr="005D1AB7">
        <w:t xml:space="preserve"> above).</w:t>
      </w:r>
    </w:p>
    <w:p w:rsidR="00CB18FE" w:rsidRPr="00353534" w:rsidRDefault="00CB18FE" w:rsidP="00CB18FE">
      <w:pPr>
        <w:pStyle w:val="H4G"/>
      </w:pPr>
      <w:r>
        <w:tab/>
      </w:r>
      <w:r>
        <w:tab/>
      </w:r>
      <w:r w:rsidRPr="00353534">
        <w:t>Ensuring accountability and justice for all violations of international law in the Occupied Palestinian Territory, including East Jerusalem</w:t>
      </w:r>
    </w:p>
    <w:p w:rsidR="00CB18FE" w:rsidRPr="00032E05" w:rsidRDefault="00CB18FE" w:rsidP="00CB18FE">
      <w:pPr>
        <w:pStyle w:val="SingleTxtG"/>
      </w:pPr>
      <w:r>
        <w:t>109.</w:t>
      </w:r>
      <w:r>
        <w:tab/>
        <w:t xml:space="preserve">Pursuant to </w:t>
      </w:r>
      <w:r w:rsidRPr="00DA4849">
        <w:t xml:space="preserve">its resolution </w:t>
      </w:r>
      <w:r>
        <w:t>34/28</w:t>
      </w:r>
      <w:r w:rsidRPr="00DA4849">
        <w:t xml:space="preserve">, the </w:t>
      </w:r>
      <w:r>
        <w:t xml:space="preserve">Human Rights </w:t>
      </w:r>
      <w:r w:rsidRPr="00DA4849">
        <w:t>Council</w:t>
      </w:r>
      <w:r>
        <w:t xml:space="preserve"> will consider the report of the </w:t>
      </w:r>
      <w:r w:rsidRPr="003E4E67">
        <w:rPr>
          <w:lang w:val="en-US"/>
        </w:rPr>
        <w:t>High Commissioner on the implementation of th</w:t>
      </w:r>
      <w:r>
        <w:rPr>
          <w:lang w:val="en-US"/>
        </w:rPr>
        <w:t>at resolution, entitled “</w:t>
      </w:r>
      <w:r w:rsidRPr="00032E05">
        <w:rPr>
          <w:lang w:val="en-US"/>
        </w:rPr>
        <w:t>Ensuring</w:t>
      </w:r>
      <w:r w:rsidRPr="00032E05">
        <w:t xml:space="preserve"> accountability and justice for all violations of international law in the Occupied Palestinian Territory, including East Jerusalem”</w:t>
      </w:r>
      <w:r>
        <w:t xml:space="preserve"> </w:t>
      </w:r>
      <w:r w:rsidRPr="00032E05">
        <w:t>(A/HRC/37/41) (see para. 39 above).</w:t>
      </w:r>
    </w:p>
    <w:p w:rsidR="00CB18FE" w:rsidRPr="00DA4849" w:rsidRDefault="00CB18FE" w:rsidP="00CB18FE">
      <w:pPr>
        <w:pStyle w:val="H4G"/>
      </w:pPr>
      <w:r w:rsidRPr="00DA4849">
        <w:tab/>
      </w:r>
      <w:r w:rsidRPr="00DA4849">
        <w:tab/>
        <w:t>Human rights in the occupied Syrian Golan</w:t>
      </w:r>
    </w:p>
    <w:p w:rsidR="00CB18FE" w:rsidRPr="00DA4849" w:rsidRDefault="00CB18FE" w:rsidP="00CB18FE">
      <w:pPr>
        <w:pStyle w:val="SingleTxtG"/>
      </w:pPr>
      <w:r>
        <w:t>110.</w:t>
      </w:r>
      <w:r>
        <w:tab/>
        <w:t xml:space="preserve">Pursuant to </w:t>
      </w:r>
      <w:r w:rsidRPr="00DA4849">
        <w:t xml:space="preserve">its resolution </w:t>
      </w:r>
      <w:r>
        <w:t>34/27</w:t>
      </w:r>
      <w:r w:rsidRPr="00DA4849">
        <w:t xml:space="preserve">, </w:t>
      </w:r>
      <w:r w:rsidRPr="00FE3D55">
        <w:rPr>
          <w:rFonts w:eastAsia="SimSun"/>
        </w:rPr>
        <w:t xml:space="preserve">the </w:t>
      </w:r>
      <w:r>
        <w:t xml:space="preserve">Human Rights </w:t>
      </w:r>
      <w:r w:rsidRPr="00FE3D55">
        <w:rPr>
          <w:rFonts w:eastAsia="SimSun"/>
        </w:rPr>
        <w:t xml:space="preserve">Council </w:t>
      </w:r>
      <w:r w:rsidRPr="00DA4849">
        <w:t>will consider the report of the Secretary-General on the situation of human rights in the occupied Syrian Golan</w:t>
      </w:r>
      <w:r>
        <w:t xml:space="preserve"> (A/HRC/37/40</w:t>
      </w:r>
      <w:r w:rsidRPr="00DA4849">
        <w:t xml:space="preserve">) (see para. </w:t>
      </w:r>
      <w:r>
        <w:t>40</w:t>
      </w:r>
      <w:r w:rsidRPr="00DA4849">
        <w:t xml:space="preserve"> above).</w:t>
      </w:r>
    </w:p>
    <w:p w:rsidR="00CB18FE" w:rsidRPr="00784EEF" w:rsidRDefault="00CB18FE" w:rsidP="00CB18FE">
      <w:pPr>
        <w:pStyle w:val="H4G"/>
      </w:pPr>
      <w:r w:rsidRPr="00DA4849">
        <w:lastRenderedPageBreak/>
        <w:tab/>
      </w:r>
      <w:r w:rsidRPr="00A205E3">
        <w:tab/>
        <w:t>Israeli settlements in the Occupied Palestinian Territory, including East Jerusalem, and in the occupied Syrian Golan</w:t>
      </w:r>
    </w:p>
    <w:p w:rsidR="00CB18FE" w:rsidRDefault="00CB18FE" w:rsidP="00CB18FE">
      <w:pPr>
        <w:pStyle w:val="SingleTxtG"/>
      </w:pPr>
      <w:r>
        <w:t>111</w:t>
      </w:r>
      <w:r w:rsidRPr="00A205E3">
        <w:t>.</w:t>
      </w:r>
      <w:r w:rsidRPr="00A205E3">
        <w:tab/>
      </w:r>
      <w:r>
        <w:t xml:space="preserve">Pursuant to </w:t>
      </w:r>
      <w:r w:rsidRPr="00DA4849">
        <w:t xml:space="preserve">its resolution </w:t>
      </w:r>
      <w:r>
        <w:t>34/31</w:t>
      </w:r>
      <w:r w:rsidRPr="00DA4849">
        <w:t xml:space="preserve">, the </w:t>
      </w:r>
      <w:r>
        <w:t xml:space="preserve">Human Rights </w:t>
      </w:r>
      <w:r w:rsidRPr="00DA4849">
        <w:t>Council</w:t>
      </w:r>
      <w:r>
        <w:t xml:space="preserve"> will consider the report of </w:t>
      </w:r>
      <w:r w:rsidRPr="00725E60">
        <w:t>the High Commissioner on the implementation of the provisions of th</w:t>
      </w:r>
      <w:r>
        <w:t xml:space="preserve">at </w:t>
      </w:r>
      <w:r w:rsidRPr="00725E60">
        <w:t>resolution</w:t>
      </w:r>
      <w:r>
        <w:t xml:space="preserve"> (A/HRC/37/43)</w:t>
      </w:r>
      <w:r w:rsidRPr="00DA4849">
        <w:t xml:space="preserve"> (see para. </w:t>
      </w:r>
      <w:r>
        <w:t>41</w:t>
      </w:r>
      <w:r w:rsidRPr="00DA4849">
        <w:t xml:space="preserve"> above).</w:t>
      </w:r>
    </w:p>
    <w:p w:rsidR="00CB18FE" w:rsidRPr="002A3AF7" w:rsidRDefault="00CB18FE" w:rsidP="00CB18FE">
      <w:pPr>
        <w:pStyle w:val="SingleTxtG"/>
      </w:pPr>
      <w:r w:rsidRPr="00B16113">
        <w:t>11</w:t>
      </w:r>
      <w:r>
        <w:t>2</w:t>
      </w:r>
      <w:r w:rsidRPr="00B16113">
        <w:t>.</w:t>
      </w:r>
      <w:r w:rsidRPr="00B16113">
        <w:tab/>
        <w:t xml:space="preserve"> </w:t>
      </w:r>
      <w:r>
        <w:t>In its resolution 31/36, the Human Rights Council requested OHCHR to produce a database of all business enterprises involved in the activities detailed in paragraph 96 of the report of the independent international fact-finding mission (A/HRC/22/63) concerning the Israeli settlements in the Occupied Palestinian Territory, to be updated annually, and to transmit the data therein to the Council at its thirty-fourth session. At its organizational meeting for the thirty-fourth session, held on 13 February 2017, the Council, pursuant to the recommendation of the High Commissioner, decided, for one time only, to defer its consideration of the above-mentioned report, and that the report should be submitted no later than the end of December 2017. The Council will consider the report of OHCHR (A/HRC/37/39 and Add.1) (see para. 42 above).</w:t>
      </w:r>
    </w:p>
    <w:p w:rsidR="00CB18FE" w:rsidRPr="00DA4849" w:rsidRDefault="00CB18FE" w:rsidP="00CB18FE">
      <w:pPr>
        <w:pStyle w:val="H23G"/>
      </w:pPr>
      <w:r w:rsidRPr="00DA4849">
        <w:tab/>
        <w:t>8.</w:t>
      </w:r>
      <w:r w:rsidRPr="00DA4849">
        <w:tab/>
      </w:r>
      <w:bookmarkStart w:id="23" w:name="OLE_LINK3"/>
      <w:bookmarkStart w:id="24" w:name="OLE_LINK4"/>
      <w:r w:rsidRPr="00DA4849">
        <w:t>Follow-up to and implementation of the Vienna Declaration and Programme of Action</w:t>
      </w:r>
      <w:bookmarkStart w:id="25" w:name="_Toc220321014"/>
      <w:bookmarkEnd w:id="22"/>
      <w:bookmarkEnd w:id="23"/>
      <w:bookmarkEnd w:id="24"/>
      <w:r w:rsidRPr="00DA4849">
        <w:t xml:space="preserve"> </w:t>
      </w:r>
    </w:p>
    <w:p w:rsidR="00CB18FE" w:rsidRPr="00DA4849" w:rsidRDefault="00CB18FE" w:rsidP="00CB18FE">
      <w:pPr>
        <w:pStyle w:val="SingleTxtG"/>
      </w:pPr>
      <w:r w:rsidRPr="00DA4849">
        <w:t>11</w:t>
      </w:r>
      <w:r>
        <w:t>3</w:t>
      </w:r>
      <w:r w:rsidRPr="00DA4849">
        <w:t>.</w:t>
      </w:r>
      <w:r w:rsidRPr="00DA4849">
        <w:tab/>
      </w:r>
      <w:r>
        <w:t>N</w:t>
      </w:r>
      <w:r w:rsidRPr="00DA4849">
        <w:t xml:space="preserve">o reports </w:t>
      </w:r>
      <w:r>
        <w:t>have been</w:t>
      </w:r>
      <w:r w:rsidRPr="00DA4849">
        <w:t xml:space="preserve"> submitted under agenda item 8.</w:t>
      </w:r>
    </w:p>
    <w:p w:rsidR="00CB18FE" w:rsidRPr="00DA4849" w:rsidRDefault="00CB18FE" w:rsidP="00CB18FE">
      <w:pPr>
        <w:pStyle w:val="H23G"/>
      </w:pPr>
      <w:r w:rsidRPr="00DA4849">
        <w:tab/>
        <w:t>9.</w:t>
      </w:r>
      <w:r w:rsidRPr="00DA4849">
        <w:tab/>
        <w:t>Racism, racial discrimination, xenophobia and related forms of intolerance, follow-up to and implementation of the Durban Declaration and Programme of Action</w:t>
      </w:r>
      <w:bookmarkEnd w:id="25"/>
    </w:p>
    <w:p w:rsidR="00CB18FE" w:rsidRPr="00032E05" w:rsidRDefault="00CB18FE" w:rsidP="00CB18FE">
      <w:pPr>
        <w:pStyle w:val="H4G"/>
      </w:pPr>
      <w:r w:rsidRPr="00DA4849">
        <w:tab/>
      </w:r>
      <w:r w:rsidRPr="00DA4849">
        <w:tab/>
        <w:t xml:space="preserve">Racism, racial discrimination, xenophobia </w:t>
      </w:r>
      <w:r w:rsidRPr="00032E05">
        <w:t>and related intolerance</w:t>
      </w:r>
    </w:p>
    <w:p w:rsidR="00CB18FE" w:rsidRPr="00DA4849" w:rsidRDefault="00CB18FE" w:rsidP="00CB18FE">
      <w:pPr>
        <w:pStyle w:val="SingleTxtG"/>
      </w:pPr>
      <w:r w:rsidRPr="00032E05">
        <w:t>11</w:t>
      </w:r>
      <w:r>
        <w:t>4</w:t>
      </w:r>
      <w:r w:rsidRPr="00032E05">
        <w:t>.</w:t>
      </w:r>
      <w:r w:rsidRPr="00032E05">
        <w:tab/>
        <w:t xml:space="preserve">Pursuant to General Assembly resolution </w:t>
      </w:r>
      <w:r w:rsidRPr="00105C27">
        <w:t>72/157</w:t>
      </w:r>
      <w:r w:rsidRPr="00032E05">
        <w:t xml:space="preserve">, the </w:t>
      </w:r>
      <w:r>
        <w:t xml:space="preserve">Human Rights </w:t>
      </w:r>
      <w:r w:rsidRPr="00032E05">
        <w:t>Council will convene a debate on promoting tolerance, inclusion, unity and respect</w:t>
      </w:r>
      <w:r>
        <w:t xml:space="preserve"> for diversity in the context of combating racial discrimination</w:t>
      </w:r>
      <w:r w:rsidRPr="00DA4849">
        <w:t>, during the commemoration of the International Day for the Elimination of Racial Discrimination (see annex).</w:t>
      </w:r>
    </w:p>
    <w:p w:rsidR="00CB18FE" w:rsidRPr="00DA4849" w:rsidRDefault="00CB18FE" w:rsidP="00CB18FE">
      <w:pPr>
        <w:pStyle w:val="H4G"/>
      </w:pPr>
      <w:r w:rsidRPr="00DA4849">
        <w:tab/>
      </w:r>
      <w:r w:rsidRPr="00DA4849">
        <w:tab/>
        <w:t>Elaboration of complementary standards to strengthen and update international instruments against racism, racial discrimination, xenophobia and related intolerance in all their aspects</w:t>
      </w:r>
    </w:p>
    <w:p w:rsidR="00CB18FE" w:rsidRPr="00DA4849" w:rsidRDefault="00CB18FE" w:rsidP="00CB18FE">
      <w:pPr>
        <w:pStyle w:val="SingleTxtG"/>
      </w:pPr>
      <w:r w:rsidRPr="00DA4849">
        <w:t>11</w:t>
      </w:r>
      <w:r>
        <w:t>5</w:t>
      </w:r>
      <w:r w:rsidRPr="00DA4849">
        <w:t>.</w:t>
      </w:r>
      <w:r w:rsidRPr="00DA4849">
        <w:tab/>
        <w:t xml:space="preserve">Pursuant to its decision 3/103 and its resolution 21/30, the </w:t>
      </w:r>
      <w:r>
        <w:t xml:space="preserve">Human Rights </w:t>
      </w:r>
      <w:r w:rsidRPr="00DA4849">
        <w:t xml:space="preserve">Council will consider the report of the Ad Hoc Committee on the Elaboration of Complementary Standards to the International Convention on the Elimination of All Forms of Racial Discrimination on its </w:t>
      </w:r>
      <w:r>
        <w:t>ninth</w:t>
      </w:r>
      <w:r w:rsidRPr="00DA4849">
        <w:t xml:space="preserve"> session, held from </w:t>
      </w:r>
      <w:r>
        <w:t>24 April</w:t>
      </w:r>
      <w:r w:rsidRPr="00DA4849">
        <w:t xml:space="preserve"> to </w:t>
      </w:r>
      <w:r>
        <w:t>5</w:t>
      </w:r>
      <w:r w:rsidRPr="00DA4849">
        <w:t xml:space="preserve"> </w:t>
      </w:r>
      <w:r>
        <w:t>May</w:t>
      </w:r>
      <w:r w:rsidRPr="00DA4849">
        <w:t xml:space="preserve"> </w:t>
      </w:r>
      <w:r>
        <w:t>2017</w:t>
      </w:r>
      <w:r w:rsidRPr="00DA4849">
        <w:t xml:space="preserve"> (A/HRC/3</w:t>
      </w:r>
      <w:r>
        <w:t>7/76</w:t>
      </w:r>
      <w:r w:rsidRPr="00DA4849">
        <w:t>).</w:t>
      </w:r>
    </w:p>
    <w:p w:rsidR="00CB18FE" w:rsidRPr="00097855" w:rsidRDefault="00CB18FE" w:rsidP="00CB18FE">
      <w:pPr>
        <w:pStyle w:val="SingleTxtG"/>
      </w:pPr>
      <w:r w:rsidRPr="00DA4849">
        <w:t>11</w:t>
      </w:r>
      <w:r>
        <w:t>6</w:t>
      </w:r>
      <w:r w:rsidRPr="00DA4849">
        <w:t>.</w:t>
      </w:r>
      <w:r w:rsidRPr="00DA4849">
        <w:tab/>
      </w:r>
      <w:r>
        <w:t>In its resolution 34/34</w:t>
      </w:r>
      <w:r w:rsidRPr="00DA4849">
        <w:t xml:space="preserve">, the </w:t>
      </w:r>
      <w:r>
        <w:t xml:space="preserve">Human Rights </w:t>
      </w:r>
      <w:r w:rsidRPr="00DA4849">
        <w:t xml:space="preserve">Council </w:t>
      </w:r>
      <w:r>
        <w:t xml:space="preserve">decided </w:t>
      </w:r>
      <w:r w:rsidRPr="00AC2CAA">
        <w:rPr>
          <w:lang w:val="en-ZA"/>
        </w:rPr>
        <w:t>to renew the mandate of the Intergovernmental Working Group on the Effective Implementation of the Durban Declaration and Programme of Action for a further period of three years</w:t>
      </w:r>
      <w:r>
        <w:rPr>
          <w:lang w:val="en-ZA"/>
        </w:rPr>
        <w:t>. The Council</w:t>
      </w:r>
      <w:r>
        <w:t xml:space="preserve"> </w:t>
      </w:r>
      <w:r w:rsidRPr="00DA4849">
        <w:t xml:space="preserve">will consider the report of the Intergovernmental Working Group on its </w:t>
      </w:r>
      <w:r>
        <w:t>fifteenth</w:t>
      </w:r>
      <w:r w:rsidRPr="00DA4849">
        <w:t xml:space="preserve"> session, held </w:t>
      </w:r>
      <w:r w:rsidRPr="00097855">
        <w:t>from 9 to 20 October 2017 (A/HRC/34/77).</w:t>
      </w:r>
    </w:p>
    <w:p w:rsidR="00CB18FE" w:rsidRPr="00097855" w:rsidRDefault="00CB18FE" w:rsidP="00CB18FE">
      <w:pPr>
        <w:pStyle w:val="H4G"/>
      </w:pPr>
      <w:r w:rsidRPr="00097855">
        <w:tab/>
      </w:r>
      <w:r w:rsidRPr="00097855">
        <w:tab/>
        <w:t>Combating intolerance, negative stereotyping and stigmatization of, and discrimination, incitement to violence and violence against, persons based on religion or belief</w:t>
      </w:r>
    </w:p>
    <w:p w:rsidR="00CB18FE" w:rsidRPr="00DA4849" w:rsidRDefault="00CB18FE" w:rsidP="00CB18FE">
      <w:pPr>
        <w:pStyle w:val="SingleTxtG"/>
      </w:pPr>
      <w:r w:rsidRPr="00097855">
        <w:t>11</w:t>
      </w:r>
      <w:r>
        <w:t>7</w:t>
      </w:r>
      <w:r w:rsidRPr="00097855">
        <w:t>.</w:t>
      </w:r>
      <w:r w:rsidRPr="00097855">
        <w:tab/>
        <w:t>Pursuant to its resolution 34/3</w:t>
      </w:r>
      <w:r w:rsidRPr="00D27CAF">
        <w:t>2</w:t>
      </w:r>
      <w:r w:rsidRPr="00097855">
        <w:t xml:space="preserve">, the </w:t>
      </w:r>
      <w:r>
        <w:t xml:space="preserve">Human Rights </w:t>
      </w:r>
      <w:r w:rsidRPr="00097855">
        <w:t>Council</w:t>
      </w:r>
      <w:r w:rsidRPr="00097855">
        <w:rPr>
          <w:lang w:val="en-US"/>
        </w:rPr>
        <w:t xml:space="preserve"> will consider the comprehensive follow-up report of the High Commissioner on the implementation of the action plan outlined in paragraphs 7 and 8 of </w:t>
      </w:r>
      <w:r w:rsidRPr="00724504">
        <w:rPr>
          <w:lang w:val="en-US"/>
        </w:rPr>
        <w:t xml:space="preserve">that </w:t>
      </w:r>
      <w:r w:rsidRPr="00097855">
        <w:rPr>
          <w:lang w:val="en-US"/>
        </w:rPr>
        <w:t xml:space="preserve">resolution, and views on potential follow-up measures for further improvement of the implementation of that plan. The Council will consider the report of the High Commissioner </w:t>
      </w:r>
      <w:r w:rsidRPr="00097855">
        <w:t>(A/HRC/37/44) (see para. 43 above).</w:t>
      </w:r>
    </w:p>
    <w:p w:rsidR="00CB18FE" w:rsidRDefault="00CB18FE" w:rsidP="00CB18FE">
      <w:pPr>
        <w:pStyle w:val="H23G"/>
      </w:pPr>
      <w:bookmarkStart w:id="26" w:name="_Toc220321015"/>
      <w:r w:rsidRPr="00DA4849">
        <w:lastRenderedPageBreak/>
        <w:tab/>
        <w:t>10.</w:t>
      </w:r>
      <w:r w:rsidRPr="00DA4849">
        <w:tab/>
        <w:t>Technical assistance and capacity-building</w:t>
      </w:r>
      <w:bookmarkEnd w:id="26"/>
    </w:p>
    <w:p w:rsidR="00CB18FE" w:rsidRPr="00DA4849" w:rsidRDefault="00CB18FE" w:rsidP="00CB18FE">
      <w:pPr>
        <w:pStyle w:val="H4G"/>
      </w:pPr>
      <w:r>
        <w:tab/>
      </w:r>
      <w:r>
        <w:tab/>
      </w:r>
      <w:r w:rsidRPr="00DA4849">
        <w:t>Technical assistance and capacity-building in the field of human rights in the Central African Republic</w:t>
      </w:r>
    </w:p>
    <w:p w:rsidR="00CB18FE" w:rsidRPr="000179A8" w:rsidRDefault="00CB18FE" w:rsidP="00CB18FE">
      <w:pPr>
        <w:pStyle w:val="SingleTxtG"/>
      </w:pPr>
      <w:r>
        <w:t>118</w:t>
      </w:r>
      <w:r w:rsidRPr="00DA4849">
        <w:t>.</w:t>
      </w:r>
      <w:r w:rsidRPr="00DA4849">
        <w:tab/>
        <w:t xml:space="preserve">In its resolution </w:t>
      </w:r>
      <w:r>
        <w:t>36</w:t>
      </w:r>
      <w:r w:rsidRPr="00DA4849">
        <w:t>/2</w:t>
      </w:r>
      <w:r>
        <w:t>5</w:t>
      </w:r>
      <w:r w:rsidRPr="00DA4849">
        <w:t xml:space="preserve">, the </w:t>
      </w:r>
      <w:r>
        <w:t xml:space="preserve">Human Rights </w:t>
      </w:r>
      <w:r w:rsidRPr="00DA4849">
        <w:t xml:space="preserve">Council decided to renew, for one year, the mandate of the Independent Expert on the situation of human rights in the Central African Republic to assess, monitor and report on the situation of human rights in the country, and </w:t>
      </w:r>
      <w:r>
        <w:t xml:space="preserve">decided </w:t>
      </w:r>
      <w:r w:rsidRPr="00653028">
        <w:t xml:space="preserve">to organize, at its thirty-seventh session, a high-level interactive dialogue to assess the evolution of the human rights situation on the ground, placing special emphasis on the impact of peace and reconciliation efforts on human rights, with the participation of the Independent Expert, representatives of the Government of the Central African Republic, the United Nations, the </w:t>
      </w:r>
      <w:r>
        <w:t>African Union and civil society. Pursuant to that decision, the Council will hold a high-level interactive dialogue.</w:t>
      </w:r>
    </w:p>
    <w:p w:rsidR="00CB18FE" w:rsidRDefault="00CB18FE" w:rsidP="00CB18FE">
      <w:pPr>
        <w:pStyle w:val="H4G"/>
      </w:pPr>
      <w:r>
        <w:tab/>
      </w:r>
      <w:r>
        <w:tab/>
      </w:r>
      <w:r w:rsidRPr="00DA4849">
        <w:t>Technical assistance and capacity-building to improve human rights in Libya</w:t>
      </w:r>
    </w:p>
    <w:p w:rsidR="00CB18FE" w:rsidRDefault="00CB18FE" w:rsidP="00CB18FE">
      <w:pPr>
        <w:pStyle w:val="SingleTxtG"/>
      </w:pPr>
      <w:r>
        <w:t>119</w:t>
      </w:r>
      <w:r w:rsidRPr="00DA4849">
        <w:t>.</w:t>
      </w:r>
      <w:r w:rsidRPr="00DA4849">
        <w:tab/>
        <w:t xml:space="preserve">In its resolution </w:t>
      </w:r>
      <w:r>
        <w:t>34/38</w:t>
      </w:r>
      <w:r w:rsidRPr="00DA4849">
        <w:t xml:space="preserve">, </w:t>
      </w:r>
      <w:r w:rsidRPr="00714029">
        <w:t xml:space="preserve">the </w:t>
      </w:r>
      <w:r>
        <w:t xml:space="preserve">Human Rights </w:t>
      </w:r>
      <w:r w:rsidRPr="00714029">
        <w:t xml:space="preserve">Council requested OHCHR, while continuing its engagement with the United Nations Support Mission in Libya, to monitor and report on human rights violations and abuses across Libya, and to establish the facts and circumstances of such abuses and violations with a view to avoiding impunity and ensuring full individual accountability. </w:t>
      </w:r>
      <w:r>
        <w:t xml:space="preserve">Pursuant to </w:t>
      </w:r>
      <w:r w:rsidRPr="00714029">
        <w:t>resolution</w:t>
      </w:r>
      <w:r>
        <w:t xml:space="preserve"> 34/38, the Council will consider the report of</w:t>
      </w:r>
      <w:r w:rsidRPr="00714029">
        <w:t xml:space="preserve"> the High Commissioner</w:t>
      </w:r>
      <w:r w:rsidRPr="002A4417">
        <w:t xml:space="preserve"> during an interactive dialogue</w:t>
      </w:r>
      <w:r>
        <w:rPr>
          <w:lang w:val="en-US"/>
        </w:rPr>
        <w:t xml:space="preserve"> </w:t>
      </w:r>
      <w:r w:rsidRPr="00DA4849">
        <w:t>(A/HRC/3</w:t>
      </w:r>
      <w:r>
        <w:t>7/46</w:t>
      </w:r>
      <w:r w:rsidRPr="00DA4849">
        <w:t xml:space="preserve">) (see para. </w:t>
      </w:r>
      <w:r>
        <w:t>44 above).</w:t>
      </w:r>
    </w:p>
    <w:p w:rsidR="00CB18FE" w:rsidRPr="00DA4849" w:rsidRDefault="00CB18FE" w:rsidP="00CB18FE">
      <w:pPr>
        <w:pStyle w:val="H4G"/>
      </w:pPr>
      <w:r>
        <w:tab/>
      </w:r>
      <w:r>
        <w:tab/>
      </w:r>
      <w:r w:rsidRPr="00DA4849">
        <w:t>Technical assistance and capacity-building for Mali in the field of human rights</w:t>
      </w:r>
    </w:p>
    <w:p w:rsidR="00CB18FE" w:rsidRDefault="00CB18FE" w:rsidP="00CB18FE">
      <w:pPr>
        <w:pStyle w:val="SingleTxtG"/>
      </w:pPr>
      <w:r>
        <w:t>120</w:t>
      </w:r>
      <w:r w:rsidRPr="00FD7AFD">
        <w:t>.</w:t>
      </w:r>
      <w:r w:rsidRPr="00FD7AFD">
        <w:tab/>
        <w:t xml:space="preserve">In its resolution 34/39, the </w:t>
      </w:r>
      <w:r>
        <w:t xml:space="preserve">Human Rights </w:t>
      </w:r>
      <w:r w:rsidRPr="00FD7AFD">
        <w:t>Council decided to extend the mandate of the Independent Expert on the situation of human rights in Mali for a period of one year, and requested the Independent Expert to report to the Council at its thirty-seventh session. The Council will consider the report of the Independent Expert, Suliman Baldo (A/HRC/37/78).</w:t>
      </w:r>
    </w:p>
    <w:p w:rsidR="00CB18FE" w:rsidRPr="00FD3363" w:rsidRDefault="00CB18FE" w:rsidP="00CB18FE">
      <w:pPr>
        <w:pStyle w:val="SingleTxtG"/>
      </w:pPr>
      <w:r>
        <w:t>121.</w:t>
      </w:r>
      <w:r>
        <w:tab/>
      </w:r>
      <w:r w:rsidRPr="00FD7AFD">
        <w:t>In resolution</w:t>
      </w:r>
      <w:r>
        <w:t xml:space="preserve"> 34/39</w:t>
      </w:r>
      <w:r w:rsidRPr="00FD7AFD">
        <w:t xml:space="preserve">, the </w:t>
      </w:r>
      <w:r>
        <w:t xml:space="preserve">Human Rights </w:t>
      </w:r>
      <w:r w:rsidRPr="00FD7AFD">
        <w:t xml:space="preserve">Council also decided to hold a dialogue at its thirty-seventh session, in the presence of the Independent Expert and representatives of the Government of Mali, to assess the evolution of the situation of human rights in the country, with a particular focus on justice and reconciliation. </w:t>
      </w:r>
      <w:r>
        <w:t>Pursuant to that decision, the Council will hold a dialogue.</w:t>
      </w:r>
    </w:p>
    <w:p w:rsidR="00CB18FE" w:rsidRPr="00FD3363" w:rsidRDefault="00CB18FE" w:rsidP="00CB18FE">
      <w:pPr>
        <w:pStyle w:val="H4G"/>
      </w:pPr>
      <w:r w:rsidRPr="00FD3363">
        <w:tab/>
      </w:r>
      <w:r w:rsidRPr="00FD3363">
        <w:tab/>
        <w:t>Cooperation with and assistance to Ukraine in the field of human rights</w:t>
      </w:r>
    </w:p>
    <w:p w:rsidR="00280B97" w:rsidRDefault="00280B97" w:rsidP="00C74161">
      <w:pPr>
        <w:pStyle w:val="NormalWeb"/>
        <w:spacing w:after="40"/>
        <w:ind w:left="1134" w:right="1134"/>
        <w:jc w:val="both"/>
        <w:rPr>
          <w:color w:val="000000"/>
        </w:rPr>
      </w:pPr>
      <w:r w:rsidRPr="00C74161">
        <w:rPr>
          <w:rFonts w:eastAsia="Calibri"/>
          <w:sz w:val="20"/>
          <w:szCs w:val="20"/>
          <w:lang w:val="x-none" w:eastAsia="en-US"/>
        </w:rPr>
        <w:t>122.</w:t>
      </w:r>
      <w:r w:rsidR="00C74161">
        <w:rPr>
          <w:rFonts w:eastAsia="Calibri"/>
          <w:sz w:val="20"/>
          <w:szCs w:val="20"/>
          <w:lang w:val="x-none" w:eastAsia="en-US"/>
        </w:rPr>
        <w:tab/>
      </w:r>
      <w:r w:rsidRPr="00C74161">
        <w:rPr>
          <w:rFonts w:eastAsia="Calibri"/>
          <w:sz w:val="20"/>
          <w:szCs w:val="20"/>
          <w:lang w:val="x-none" w:eastAsia="en-US"/>
        </w:rPr>
        <w:t>Pursuant to its resolution 35/31, the Human Rights Council will hold an interactive dialogue with the High Commissioner who will present orally to the States members of the Council and observers the findings of the periodic report of OHCHR on the situation of human rights in Ukraine. According to General Assembly resolution 72/190, his oral presentation will include an update on the situation of human rights in the temporarily occupied Autonomous Republic of Crimea and the city of Sevastopol, Ukraine (see para. 45 above).</w:t>
      </w:r>
    </w:p>
    <w:p w:rsidR="00CB18FE" w:rsidRPr="00647B70" w:rsidRDefault="00CB18FE" w:rsidP="00CB18FE">
      <w:pPr>
        <w:pStyle w:val="H4G"/>
      </w:pPr>
      <w:r w:rsidRPr="00DA4849">
        <w:tab/>
      </w:r>
      <w:r>
        <w:tab/>
      </w:r>
      <w:r w:rsidRPr="00647B70">
        <w:t>Technical assistance to the Democratic Republic of the Congo and accountability concerning the events in the Kasai regions</w:t>
      </w:r>
    </w:p>
    <w:p w:rsidR="00CB18FE" w:rsidRPr="00647B70" w:rsidRDefault="00CB18FE" w:rsidP="00CB18FE">
      <w:pPr>
        <w:pStyle w:val="SingleTxtG"/>
      </w:pPr>
      <w:r w:rsidRPr="00647B70">
        <w:t>12</w:t>
      </w:r>
      <w:r>
        <w:t>3</w:t>
      </w:r>
      <w:r w:rsidRPr="00647B70">
        <w:t>.</w:t>
      </w:r>
      <w:r w:rsidRPr="00647B70">
        <w:tab/>
        <w:t xml:space="preserve">In its resolution 35/33, the </w:t>
      </w:r>
      <w:r>
        <w:t xml:space="preserve">Human Rights </w:t>
      </w:r>
      <w:r w:rsidRPr="00647B70">
        <w:t xml:space="preserve">Council requested the High Commissioner to dispatch a team of international experts, including experts from the region, to collect and preserve information, to determine the facts and circumstances in accordance with international standards and practice, and while ensuring the protection of all persons who will cooperate with the team, in cooperation with the Government of the Democratic Republic of </w:t>
      </w:r>
      <w:r w:rsidRPr="00647B70">
        <w:lastRenderedPageBreak/>
        <w:t xml:space="preserve">the Congo, including by facilitating visits and access to the country, sites and persons, concerning alleged human rights violations and abuses, and violations of international humanitarian law in the Kasai regions, and to forward to the judicial authorities of the Democratic Republic of the Congo the conclusions of this investigation in order to establish the truth and to ensure that the perpetrators of deplorable crimes are all accountable to the judicial authorities of the Democratic Republic of the Congo. In the same resolution, the Council requested the High Commissioner to give an oral update, and to invite the team to participate in an enhanced interactive dialogue at its thirty-seventh session (see </w:t>
      </w:r>
      <w:r>
        <w:t xml:space="preserve">para. </w:t>
      </w:r>
      <w:r w:rsidRPr="00647B70">
        <w:t>46 above).</w:t>
      </w:r>
      <w:r>
        <w:t xml:space="preserve"> Pursuant to its resolution 36/30, the Human Rights Council will hold an enhanced interactive dialogue on the oral update of OHCHR on the situation of human rights in the Democratic Republic of the Congo. </w:t>
      </w:r>
    </w:p>
    <w:p w:rsidR="00CB18FE" w:rsidRPr="00714029" w:rsidRDefault="00CB18FE" w:rsidP="00CB18FE">
      <w:pPr>
        <w:pStyle w:val="H4G"/>
      </w:pPr>
      <w:r w:rsidRPr="00714029">
        <w:tab/>
      </w:r>
      <w:r>
        <w:tab/>
      </w:r>
      <w:r w:rsidRPr="00714029">
        <w:t>Advisory services and technical assistance to Cambodia</w:t>
      </w:r>
    </w:p>
    <w:p w:rsidR="00CB18FE" w:rsidRPr="00274A74" w:rsidRDefault="00CB18FE" w:rsidP="00CB18FE">
      <w:pPr>
        <w:pStyle w:val="SingleTxtG"/>
      </w:pPr>
      <w:r>
        <w:t>124.</w:t>
      </w:r>
      <w:r>
        <w:tab/>
        <w:t>In its resolution 36/32</w:t>
      </w:r>
      <w:r w:rsidRPr="00714029">
        <w:t xml:space="preserve">, the </w:t>
      </w:r>
      <w:r>
        <w:t xml:space="preserve">Human Rights </w:t>
      </w:r>
      <w:r w:rsidRPr="00714029">
        <w:t>Council decided to extend by two years the mandate of the Special Rapporteur on the situation of human rights in Cambodia</w:t>
      </w:r>
      <w:r>
        <w:t xml:space="preserve">. In the same resolution, </w:t>
      </w:r>
      <w:r w:rsidRPr="00714029">
        <w:t>the C</w:t>
      </w:r>
      <w:r>
        <w:t xml:space="preserve">ouncil requested </w:t>
      </w:r>
      <w:r w:rsidRPr="00B839E9">
        <w:t xml:space="preserve">the Secretary-General </w:t>
      </w:r>
      <w:r>
        <w:t xml:space="preserve">to </w:t>
      </w:r>
      <w:r>
        <w:rPr>
          <w:rFonts w:hint="eastAsia"/>
          <w:lang w:eastAsia="ja-JP"/>
        </w:rPr>
        <w:t xml:space="preserve">report </w:t>
      </w:r>
      <w:r w:rsidRPr="00B839E9">
        <w:rPr>
          <w:rFonts w:hint="eastAsia"/>
        </w:rPr>
        <w:t>to the Council at its thirty-</w:t>
      </w:r>
      <w:r>
        <w:rPr>
          <w:rFonts w:hint="eastAsia"/>
          <w:lang w:eastAsia="ja-JP"/>
        </w:rPr>
        <w:t>seventh</w:t>
      </w:r>
      <w:r w:rsidRPr="00B839E9">
        <w:rPr>
          <w:rFonts w:hint="eastAsia"/>
        </w:rPr>
        <w:t xml:space="preserve"> on the </w:t>
      </w:r>
      <w:r w:rsidRPr="00B839E9">
        <w:t>role and achievements of the Office of the High Commissioner in assisting the Government and the people of Cambodia in the promotion</w:t>
      </w:r>
      <w:r>
        <w:t xml:space="preserve"> and protection of human rights. The Council </w:t>
      </w:r>
      <w:r w:rsidRPr="00714029">
        <w:t xml:space="preserve">will consider the report of the Secretary-General </w:t>
      </w:r>
      <w:r>
        <w:t>(A/HRC/37/64) (see para. 48</w:t>
      </w:r>
      <w:r w:rsidRPr="00714029">
        <w:t xml:space="preserve"> above).</w:t>
      </w:r>
    </w:p>
    <w:p w:rsidR="00CB18FE" w:rsidRPr="00DA4849" w:rsidRDefault="00CB18FE" w:rsidP="00CB18FE">
      <w:pPr>
        <w:pStyle w:val="H4G"/>
      </w:pPr>
      <w:r w:rsidRPr="00DA4849">
        <w:tab/>
      </w:r>
      <w:r w:rsidRPr="00DA4849">
        <w:tab/>
        <w:t>Enhancement of technical cooperation and capacity-building in the field of human rights</w:t>
      </w:r>
    </w:p>
    <w:p w:rsidR="00CB18FE" w:rsidRDefault="00CB18FE" w:rsidP="00CB18FE">
      <w:pPr>
        <w:pStyle w:val="SingleTxtG"/>
      </w:pPr>
      <w:r>
        <w:t>125</w:t>
      </w:r>
      <w:r w:rsidRPr="00DA4849">
        <w:t>.</w:t>
      </w:r>
      <w:r w:rsidRPr="00DA4849">
        <w:tab/>
        <w:t xml:space="preserve">Pursuant to its resolution </w:t>
      </w:r>
      <w:r>
        <w:t>36</w:t>
      </w:r>
      <w:r w:rsidRPr="00DA4849">
        <w:t>/28, the Chair of the Board of Trustees of the United Nations Voluntary Fund for Technical Cooperation in the Field of Human Rights will present a comprehensive report on the Board</w:t>
      </w:r>
      <w:r>
        <w:t>’</w:t>
      </w:r>
      <w:r w:rsidRPr="00DA4849">
        <w:t>s work to the Council (A/HRC/3</w:t>
      </w:r>
      <w:r>
        <w:t>7/79</w:t>
      </w:r>
      <w:r w:rsidRPr="00DA4849">
        <w:t xml:space="preserve">). </w:t>
      </w:r>
    </w:p>
    <w:p w:rsidR="00CB18FE" w:rsidRDefault="00CB18FE" w:rsidP="00CB18FE">
      <w:pPr>
        <w:pStyle w:val="SingleTxtG"/>
      </w:pPr>
      <w:r>
        <w:t>126</w:t>
      </w:r>
      <w:r w:rsidRPr="00DA4849">
        <w:t>.</w:t>
      </w:r>
      <w:r w:rsidRPr="00DA4849">
        <w:tab/>
      </w:r>
      <w:r>
        <w:t>In resolution 36/28</w:t>
      </w:r>
      <w:r w:rsidRPr="00DA4849">
        <w:t xml:space="preserve">, the Human Rights Council </w:t>
      </w:r>
      <w:r>
        <w:t xml:space="preserve">also invited </w:t>
      </w:r>
      <w:r w:rsidRPr="00DA4849">
        <w:t>the</w:t>
      </w:r>
      <w:r>
        <w:t xml:space="preserve"> High Commissioner </w:t>
      </w:r>
      <w:r w:rsidRPr="00876432">
        <w:t>to make his next annual oral presentation, under agenda item 10,</w:t>
      </w:r>
      <w:r>
        <w:t xml:space="preserve"> </w:t>
      </w:r>
      <w:r w:rsidRPr="00DA4849">
        <w:t>on the overview of and successes, best practices and challenges in technical assistance and capacity-building efforts, particularly those provided by OHCHR and relevant United Nations agencies</w:t>
      </w:r>
      <w:r>
        <w:t xml:space="preserve">, highlighting </w:t>
      </w:r>
      <w:r w:rsidRPr="00876432">
        <w:t>the contribution of human rights technical cooperation and capacity-building to the attainment of th</w:t>
      </w:r>
      <w:r>
        <w:t>e Sustainable Development Goals. The</w:t>
      </w:r>
      <w:r w:rsidRPr="00DA4849">
        <w:t xml:space="preserve"> High Commissioner will </w:t>
      </w:r>
      <w:r>
        <w:t>make his</w:t>
      </w:r>
      <w:r w:rsidRPr="00DA4849">
        <w:t xml:space="preserve"> annual oral presentation </w:t>
      </w:r>
      <w:r>
        <w:t xml:space="preserve">to the </w:t>
      </w:r>
      <w:r w:rsidRPr="00DA4849">
        <w:t xml:space="preserve">Council (see para. </w:t>
      </w:r>
      <w:r>
        <w:t>49</w:t>
      </w:r>
      <w:r w:rsidRPr="00DA4849">
        <w:t xml:space="preserve"> </w:t>
      </w:r>
      <w:r>
        <w:t>above</w:t>
      </w:r>
      <w:r w:rsidRPr="00DA4849">
        <w:t>).</w:t>
      </w:r>
    </w:p>
    <w:p w:rsidR="00CB18FE" w:rsidRPr="00DA4849" w:rsidRDefault="00CB18FE" w:rsidP="00CB18FE">
      <w:pPr>
        <w:pStyle w:val="H4G"/>
      </w:pPr>
      <w:r>
        <w:tab/>
      </w:r>
      <w:r>
        <w:tab/>
      </w:r>
      <w:r w:rsidRPr="00DA4849">
        <w:t>Technical cooperation in the field of human rights in Afghanistan</w:t>
      </w:r>
    </w:p>
    <w:p w:rsidR="00CB18FE" w:rsidRPr="00DA4849" w:rsidRDefault="00CB18FE" w:rsidP="00CB18FE">
      <w:pPr>
        <w:pStyle w:val="SingleTxtG"/>
      </w:pPr>
      <w:r>
        <w:t>127</w:t>
      </w:r>
      <w:r w:rsidRPr="00DA4849">
        <w:t>.</w:t>
      </w:r>
      <w:r w:rsidRPr="00DA4849">
        <w:tab/>
        <w:t xml:space="preserve">Pursuant to its decision 2/113 and resolution 14/15, the </w:t>
      </w:r>
      <w:r>
        <w:t xml:space="preserve">Human Rights </w:t>
      </w:r>
      <w:r w:rsidRPr="00DA4849">
        <w:t xml:space="preserve">Council will consider the report of the High Commissioner on the situation of human rights in Afghanistan and technical assistance achievements in the field of human rights in </w:t>
      </w:r>
      <w:r>
        <w:t>2017</w:t>
      </w:r>
      <w:r w:rsidRPr="00DA4849">
        <w:t xml:space="preserve"> </w:t>
      </w:r>
      <w:r>
        <w:t>(A/HRC/37/45</w:t>
      </w:r>
      <w:r w:rsidRPr="00DA4849">
        <w:t xml:space="preserve">) (see para. </w:t>
      </w:r>
      <w:r>
        <w:t>50</w:t>
      </w:r>
      <w:r w:rsidRPr="00DA4849">
        <w:t xml:space="preserve"> </w:t>
      </w:r>
      <w:r>
        <w:t>above</w:t>
      </w:r>
      <w:r w:rsidRPr="00DA4849">
        <w:t>).</w:t>
      </w:r>
    </w:p>
    <w:p w:rsidR="00CB18FE" w:rsidRPr="00DA4849" w:rsidRDefault="00CB18FE" w:rsidP="00CB18FE">
      <w:pPr>
        <w:pStyle w:val="H4G"/>
      </w:pPr>
      <w:r>
        <w:tab/>
      </w:r>
      <w:r>
        <w:tab/>
      </w:r>
      <w:r w:rsidRPr="00DA4849">
        <w:t>Situation of human rights in Haiti</w:t>
      </w:r>
    </w:p>
    <w:p w:rsidR="00CB18FE" w:rsidRDefault="00CB18FE" w:rsidP="00CB18FE">
      <w:pPr>
        <w:pStyle w:val="SingleTxtG"/>
      </w:pPr>
      <w:r>
        <w:t>128</w:t>
      </w:r>
      <w:r w:rsidRPr="00DA4849">
        <w:t>.</w:t>
      </w:r>
      <w:r w:rsidRPr="00DA4849">
        <w:tab/>
        <w:t>In President</w:t>
      </w:r>
      <w:r>
        <w:t>’</w:t>
      </w:r>
      <w:r w:rsidRPr="00DA4849">
        <w:t xml:space="preserve">s statement </w:t>
      </w:r>
      <w:r>
        <w:t>34</w:t>
      </w:r>
      <w:r w:rsidRPr="00DA4849">
        <w:t xml:space="preserve">/1, the </w:t>
      </w:r>
      <w:r>
        <w:t xml:space="preserve">Human Rights </w:t>
      </w:r>
      <w:r w:rsidRPr="00DA4849">
        <w:t>Council</w:t>
      </w:r>
      <w:r>
        <w:t xml:space="preserve"> requested </w:t>
      </w:r>
      <w:r w:rsidRPr="0001484A">
        <w:t>the Government of Haiti to prepare a plan of action to implement the recommendations made by human rights mechanisms</w:t>
      </w:r>
      <w:r w:rsidRPr="002A16EB">
        <w:t>, including those made in the context of the universal periodic review and by the Independent Expert, to establish a national reporting and follow-up mechanism on the fulfilment of targets and indicators related to technical assistance programmes, to establish a timetable</w:t>
      </w:r>
      <w:r w:rsidRPr="0001484A">
        <w:t xml:space="preserve"> for achieving the objectives set and to identify the resources required i</w:t>
      </w:r>
      <w:r>
        <w:t xml:space="preserve">n order to implement this plan and to </w:t>
      </w:r>
      <w:r w:rsidRPr="0001484A">
        <w:t xml:space="preserve">support a national reporting and follow-up mechanism to coordinate the implementation of the national action plan, with technical assistance from </w:t>
      </w:r>
      <w:r>
        <w:t xml:space="preserve">OHCHR. In the same resolution, the Council requested </w:t>
      </w:r>
      <w:r w:rsidRPr="0001484A">
        <w:t xml:space="preserve">the High Commissioner to present an oral update on the implementation of the plan at the thirty-seventh session of the </w:t>
      </w:r>
      <w:r>
        <w:t xml:space="preserve">Council. </w:t>
      </w:r>
      <w:r>
        <w:lastRenderedPageBreak/>
        <w:t>Pursuant to that request, the High Commissioner will present an oral update to the Council (see para. 51 above)</w:t>
      </w:r>
    </w:p>
    <w:p w:rsidR="00CB18FE" w:rsidRPr="00FA2386" w:rsidRDefault="00CB18FE" w:rsidP="00CB18FE">
      <w:pPr>
        <w:pStyle w:val="H4G"/>
      </w:pPr>
      <w:r w:rsidRPr="00FA2386">
        <w:tab/>
      </w:r>
      <w:r w:rsidRPr="00FA2386">
        <w:tab/>
        <w:t>Technical assistance and capacity-building for Yemen in the field of human rights</w:t>
      </w:r>
    </w:p>
    <w:p w:rsidR="00CB18FE" w:rsidRDefault="00CB18FE" w:rsidP="00CB18FE">
      <w:pPr>
        <w:pStyle w:val="SingleTxtG"/>
      </w:pPr>
      <w:r>
        <w:t>129.</w:t>
      </w:r>
      <w:r>
        <w:tab/>
        <w:t>Pursuant to its resolution 36/31</w:t>
      </w:r>
      <w:r w:rsidRPr="00FA2386">
        <w:t xml:space="preserve">, the High Commissioner </w:t>
      </w:r>
      <w:r>
        <w:t xml:space="preserve">will give </w:t>
      </w:r>
      <w:r w:rsidRPr="00FA2386">
        <w:t xml:space="preserve">the </w:t>
      </w:r>
      <w:r>
        <w:t xml:space="preserve">Human Rights </w:t>
      </w:r>
      <w:r w:rsidRPr="00FA2386">
        <w:t>Council</w:t>
      </w:r>
      <w:r>
        <w:t xml:space="preserve"> an </w:t>
      </w:r>
      <w:r w:rsidRPr="00FA2386">
        <w:t>oral update on the situation of human rights in Yemen, and the developments in the implementation o</w:t>
      </w:r>
      <w:r>
        <w:t>f that resolution (see para. 52</w:t>
      </w:r>
      <w:r w:rsidRPr="00FA2386">
        <w:t xml:space="preserve"> </w:t>
      </w:r>
      <w:r>
        <w:t>above</w:t>
      </w:r>
      <w:r w:rsidRPr="00FA2386">
        <w:t>).</w:t>
      </w:r>
    </w:p>
    <w:p w:rsidR="00CB18FE" w:rsidRPr="00FA2386" w:rsidRDefault="00CB18FE" w:rsidP="00CB18FE">
      <w:pPr>
        <w:pStyle w:val="SingleTxtG"/>
      </w:pPr>
    </w:p>
    <w:p w:rsidR="00CB18FE" w:rsidRPr="00DA4849" w:rsidRDefault="00CB18FE" w:rsidP="00DB4008">
      <w:pPr>
        <w:pStyle w:val="HChG"/>
      </w:pPr>
      <w:r w:rsidRPr="00DA4849">
        <w:br w:type="page"/>
      </w:r>
      <w:r w:rsidRPr="00DA4849">
        <w:lastRenderedPageBreak/>
        <w:t>Annex</w:t>
      </w:r>
    </w:p>
    <w:p w:rsidR="00CB18FE" w:rsidRPr="00DA4849" w:rsidRDefault="00CB18FE" w:rsidP="00CB18FE">
      <w:pPr>
        <w:pStyle w:val="HChG"/>
      </w:pPr>
      <w:r w:rsidRPr="00DA4849">
        <w:tab/>
      </w:r>
      <w:r w:rsidRPr="00DA4849">
        <w:tab/>
        <w:t>Panels and discussions to be held at the thirty-</w:t>
      </w:r>
      <w:r>
        <w:t>seventh</w:t>
      </w:r>
      <w:r w:rsidRPr="00DA4849">
        <w:t xml:space="preserve"> session </w:t>
      </w:r>
      <w:r w:rsidRPr="00DA4849">
        <w:br/>
        <w:t>of the Human Rights Council</w:t>
      </w:r>
      <w:r>
        <w:t xml:space="preserve"> </w:t>
      </w:r>
    </w:p>
    <w:tbl>
      <w:tblPr>
        <w:tblW w:w="8505"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4253"/>
        <w:gridCol w:w="4252"/>
      </w:tblGrid>
      <w:tr w:rsidR="00CB18FE" w:rsidRPr="00FE3D55" w:rsidTr="006F5160">
        <w:trPr>
          <w:cantSplit/>
          <w:tblHeader/>
        </w:trPr>
        <w:tc>
          <w:tcPr>
            <w:tcW w:w="4253" w:type="dxa"/>
            <w:tcBorders>
              <w:top w:val="single" w:sz="4" w:space="0" w:color="auto"/>
              <w:bottom w:val="single" w:sz="12" w:space="0" w:color="auto"/>
            </w:tcBorders>
            <w:shd w:val="clear" w:color="auto" w:fill="auto"/>
            <w:vAlign w:val="bottom"/>
          </w:tcPr>
          <w:p w:rsidR="00CB18FE" w:rsidRPr="00FE3D55" w:rsidRDefault="00CB18FE" w:rsidP="00CB18FE">
            <w:pPr>
              <w:suppressAutoHyphens w:val="0"/>
              <w:spacing w:before="80" w:after="80" w:line="200" w:lineRule="exact"/>
              <w:ind w:right="113"/>
              <w:rPr>
                <w:i/>
                <w:sz w:val="16"/>
              </w:rPr>
            </w:pPr>
            <w:r>
              <w:rPr>
                <w:i/>
                <w:sz w:val="16"/>
              </w:rPr>
              <w:t>Mandate</w:t>
            </w:r>
          </w:p>
        </w:tc>
        <w:tc>
          <w:tcPr>
            <w:tcW w:w="4252" w:type="dxa"/>
            <w:tcBorders>
              <w:top w:val="single" w:sz="4" w:space="0" w:color="auto"/>
              <w:bottom w:val="single" w:sz="12" w:space="0" w:color="auto"/>
            </w:tcBorders>
            <w:shd w:val="clear" w:color="auto" w:fill="auto"/>
            <w:vAlign w:val="bottom"/>
          </w:tcPr>
          <w:p w:rsidR="00CB18FE" w:rsidRPr="00FE3D55" w:rsidRDefault="00CB18FE" w:rsidP="00CB18FE">
            <w:pPr>
              <w:suppressAutoHyphens w:val="0"/>
              <w:spacing w:before="80" w:after="80" w:line="200" w:lineRule="exact"/>
              <w:ind w:right="113"/>
              <w:rPr>
                <w:i/>
                <w:sz w:val="16"/>
              </w:rPr>
            </w:pPr>
            <w:r w:rsidRPr="00FE3D55">
              <w:rPr>
                <w:i/>
                <w:sz w:val="16"/>
              </w:rPr>
              <w:t>Pane</w:t>
            </w:r>
            <w:r>
              <w:rPr>
                <w:i/>
                <w:sz w:val="16"/>
              </w:rPr>
              <w:t>l</w:t>
            </w:r>
            <w:r w:rsidRPr="00FE3D55">
              <w:rPr>
                <w:i/>
                <w:sz w:val="16"/>
              </w:rPr>
              <w:t xml:space="preserve"> discussion</w:t>
            </w:r>
          </w:p>
        </w:tc>
      </w:tr>
      <w:tr w:rsidR="00CB18FE" w:rsidRPr="00FE3D55" w:rsidTr="006F5160">
        <w:trPr>
          <w:cantSplit/>
          <w:trHeight w:hRule="exact" w:val="113"/>
          <w:tblHeader/>
        </w:trPr>
        <w:tc>
          <w:tcPr>
            <w:tcW w:w="4253" w:type="dxa"/>
            <w:tcBorders>
              <w:top w:val="single" w:sz="12" w:space="0" w:color="auto"/>
              <w:bottom w:val="nil"/>
            </w:tcBorders>
            <w:shd w:val="clear" w:color="auto" w:fill="auto"/>
            <w:vAlign w:val="bottom"/>
          </w:tcPr>
          <w:p w:rsidR="00CB18FE" w:rsidRPr="00FE3D55" w:rsidRDefault="00CB18FE" w:rsidP="00CB18FE">
            <w:pPr>
              <w:suppressAutoHyphens w:val="0"/>
              <w:spacing w:before="80" w:after="80" w:line="200" w:lineRule="exact"/>
              <w:ind w:right="113"/>
              <w:rPr>
                <w:i/>
                <w:sz w:val="16"/>
              </w:rPr>
            </w:pPr>
          </w:p>
        </w:tc>
        <w:tc>
          <w:tcPr>
            <w:tcW w:w="4252" w:type="dxa"/>
            <w:tcBorders>
              <w:top w:val="single" w:sz="12" w:space="0" w:color="auto"/>
              <w:bottom w:val="nil"/>
            </w:tcBorders>
            <w:shd w:val="clear" w:color="auto" w:fill="auto"/>
            <w:vAlign w:val="bottom"/>
          </w:tcPr>
          <w:p w:rsidR="00CB18FE" w:rsidRPr="00FE3D55" w:rsidRDefault="00CB18FE" w:rsidP="00CB18FE">
            <w:pPr>
              <w:suppressAutoHyphens w:val="0"/>
              <w:spacing w:before="80" w:after="80" w:line="200" w:lineRule="exact"/>
              <w:ind w:right="113"/>
              <w:rPr>
                <w:i/>
                <w:sz w:val="16"/>
              </w:rPr>
            </w:pPr>
          </w:p>
        </w:tc>
      </w:tr>
      <w:tr w:rsidR="00CB18FE" w:rsidRPr="00FE3D55" w:rsidTr="006F5160">
        <w:trPr>
          <w:cantSplit/>
        </w:trPr>
        <w:tc>
          <w:tcPr>
            <w:tcW w:w="4253" w:type="dxa"/>
            <w:tcBorders>
              <w:top w:val="nil"/>
            </w:tcBorders>
            <w:shd w:val="clear" w:color="auto" w:fill="auto"/>
          </w:tcPr>
          <w:p w:rsidR="00CB18FE" w:rsidRPr="00FE3D55" w:rsidRDefault="00CB18FE" w:rsidP="00CB18FE">
            <w:pPr>
              <w:suppressAutoHyphens w:val="0"/>
              <w:spacing w:line="240" w:lineRule="auto"/>
              <w:ind w:right="113"/>
            </w:pPr>
            <w:r>
              <w:t xml:space="preserve">Human Rights Council resolution </w:t>
            </w:r>
            <w:r w:rsidRPr="00FE3D55">
              <w:t>16/21</w:t>
            </w:r>
            <w:r w:rsidRPr="00FE3D55">
              <w:br/>
              <w:t>Review of the work and functioning of the Human Rights Council</w:t>
            </w:r>
          </w:p>
        </w:tc>
        <w:tc>
          <w:tcPr>
            <w:tcW w:w="4252" w:type="dxa"/>
            <w:tcBorders>
              <w:top w:val="nil"/>
            </w:tcBorders>
            <w:shd w:val="clear" w:color="auto" w:fill="auto"/>
          </w:tcPr>
          <w:p w:rsidR="00CB18FE" w:rsidRDefault="00CB18FE" w:rsidP="00CB18FE">
            <w:pPr>
              <w:suppressAutoHyphens w:val="0"/>
              <w:spacing w:line="240" w:lineRule="auto"/>
              <w:ind w:right="113"/>
            </w:pPr>
            <w:r w:rsidRPr="00FE3D55">
              <w:t>Annual high-level panel discussion on human rights mainstreaming on the theme “</w:t>
            </w:r>
            <w:r>
              <w:t>T</w:t>
            </w:r>
            <w:r w:rsidRPr="00FE3D55">
              <w:t>he promotion and protection of human rights in the light of the universal periodic review mechanism: challenges and opportunities”</w:t>
            </w:r>
          </w:p>
          <w:p w:rsidR="00CB18FE" w:rsidRPr="00FE3D55" w:rsidRDefault="00CB18FE" w:rsidP="00CB18FE">
            <w:pPr>
              <w:suppressAutoHyphens w:val="0"/>
              <w:spacing w:line="240" w:lineRule="auto"/>
              <w:ind w:right="113"/>
            </w:pPr>
          </w:p>
        </w:tc>
      </w:tr>
      <w:tr w:rsidR="00CB18FE" w:rsidRPr="00FE3D55" w:rsidTr="006F5160">
        <w:trPr>
          <w:cantSplit/>
        </w:trPr>
        <w:tc>
          <w:tcPr>
            <w:tcW w:w="4253" w:type="dxa"/>
            <w:shd w:val="clear" w:color="auto" w:fill="auto"/>
          </w:tcPr>
          <w:p w:rsidR="00CB18FE" w:rsidRPr="00FE3D55" w:rsidRDefault="00CB18FE" w:rsidP="00CB18FE">
            <w:pPr>
              <w:suppressAutoHyphens w:val="0"/>
              <w:spacing w:line="240" w:lineRule="auto"/>
              <w:ind w:right="113"/>
            </w:pPr>
            <w:r>
              <w:t xml:space="preserve">Human Rights Council resolutions </w:t>
            </w:r>
            <w:r w:rsidRPr="00FE3D55">
              <w:t>7/9 and 31/6</w:t>
            </w:r>
          </w:p>
          <w:p w:rsidR="00CB18FE" w:rsidRPr="00FE3D55" w:rsidRDefault="00CB18FE" w:rsidP="00CB18FE">
            <w:pPr>
              <w:suppressAutoHyphens w:val="0"/>
              <w:spacing w:line="240" w:lineRule="auto"/>
              <w:ind w:right="113"/>
            </w:pPr>
            <w:r w:rsidRPr="00FE3D55">
              <w:t>Human rights of persons with disabilities</w:t>
            </w:r>
          </w:p>
        </w:tc>
        <w:tc>
          <w:tcPr>
            <w:tcW w:w="4252" w:type="dxa"/>
            <w:shd w:val="clear" w:color="auto" w:fill="auto"/>
          </w:tcPr>
          <w:p w:rsidR="00CB18FE" w:rsidRPr="00FE3D55" w:rsidDel="00E35ED7" w:rsidRDefault="00CB18FE" w:rsidP="00CB18FE">
            <w:pPr>
              <w:spacing w:line="240" w:lineRule="auto"/>
              <w:rPr>
                <w:rFonts w:ascii="Calibri" w:hAnsi="Calibri"/>
                <w:color w:val="000000"/>
                <w:sz w:val="22"/>
                <w:szCs w:val="22"/>
              </w:rPr>
            </w:pPr>
            <w:r w:rsidRPr="00784EEF">
              <w:rPr>
                <w:rFonts w:eastAsia="SimSun"/>
              </w:rPr>
              <w:t>Annual interactive debate on the rights of persons with disabilities</w:t>
            </w:r>
            <w:r>
              <w:rPr>
                <w:rFonts w:eastAsia="SimSun"/>
              </w:rPr>
              <w:t>,</w:t>
            </w:r>
            <w:r w:rsidRPr="00784EEF">
              <w:rPr>
                <w:rFonts w:eastAsia="SimSun"/>
              </w:rPr>
              <w:t xml:space="preserve"> </w:t>
            </w:r>
            <w:r>
              <w:rPr>
                <w:rFonts w:eastAsia="SimSun"/>
              </w:rPr>
              <w:t>with a focus on</w:t>
            </w:r>
            <w:r w:rsidRPr="00784EEF">
              <w:rPr>
                <w:rFonts w:eastAsia="SimSun"/>
              </w:rPr>
              <w:t xml:space="preserve"> </w:t>
            </w:r>
            <w:r>
              <w:rPr>
                <w:rFonts w:eastAsia="SimSun"/>
              </w:rPr>
              <w:t>a</w:t>
            </w:r>
            <w:r w:rsidRPr="00026585">
              <w:rPr>
                <w:rFonts w:eastAsia="SimSun"/>
              </w:rPr>
              <w:t>rticle 13 of the Convention on the Rights of Persons with Disabilities regarding access to justice</w:t>
            </w:r>
          </w:p>
          <w:p w:rsidR="00CB18FE" w:rsidRPr="00FE3D55" w:rsidRDefault="00CB18FE" w:rsidP="006F5160">
            <w:pPr>
              <w:spacing w:line="240" w:lineRule="auto"/>
            </w:pPr>
          </w:p>
        </w:tc>
      </w:tr>
      <w:tr w:rsidR="00CB18FE" w:rsidRPr="00FE3D55" w:rsidTr="006F5160">
        <w:trPr>
          <w:cantSplit/>
        </w:trPr>
        <w:tc>
          <w:tcPr>
            <w:tcW w:w="4253" w:type="dxa"/>
            <w:shd w:val="clear" w:color="auto" w:fill="auto"/>
          </w:tcPr>
          <w:p w:rsidR="00CB18FE" w:rsidRPr="00FE3D55" w:rsidRDefault="00CB18FE" w:rsidP="00CB18FE">
            <w:pPr>
              <w:suppressAutoHyphens w:val="0"/>
              <w:spacing w:line="240" w:lineRule="auto"/>
              <w:ind w:right="113"/>
            </w:pPr>
            <w:r>
              <w:t xml:space="preserve">Human Rights Council resolutions </w:t>
            </w:r>
            <w:r w:rsidRPr="00FE3D55">
              <w:t>7/29 and 34/16</w:t>
            </w:r>
          </w:p>
          <w:p w:rsidR="00CB18FE" w:rsidRPr="00FE3D55" w:rsidRDefault="00CB18FE" w:rsidP="00CB18FE">
            <w:pPr>
              <w:suppressAutoHyphens w:val="0"/>
              <w:spacing w:line="240" w:lineRule="auto"/>
              <w:ind w:right="113"/>
            </w:pPr>
            <w:r w:rsidRPr="00FE3D55">
              <w:t>Rights of the child</w:t>
            </w:r>
          </w:p>
        </w:tc>
        <w:tc>
          <w:tcPr>
            <w:tcW w:w="4252" w:type="dxa"/>
            <w:shd w:val="clear" w:color="auto" w:fill="auto"/>
          </w:tcPr>
          <w:p w:rsidR="00CB18FE" w:rsidRPr="00FE3D55" w:rsidRDefault="00CB18FE" w:rsidP="00CB18FE">
            <w:pPr>
              <w:suppressAutoHyphens w:val="0"/>
              <w:spacing w:line="240" w:lineRule="auto"/>
              <w:ind w:right="113"/>
            </w:pPr>
            <w:r w:rsidRPr="00FE3D55">
              <w:t>Annual full-day meeting on the rights of the child on the theme “Protecting the rights of the child in humanitarian situations”</w:t>
            </w:r>
          </w:p>
        </w:tc>
      </w:tr>
      <w:tr w:rsidR="00CB18FE" w:rsidRPr="00FE3D55" w:rsidTr="006F5160">
        <w:trPr>
          <w:cantSplit/>
        </w:trPr>
        <w:tc>
          <w:tcPr>
            <w:tcW w:w="4253" w:type="dxa"/>
            <w:shd w:val="clear" w:color="auto" w:fill="auto"/>
          </w:tcPr>
          <w:p w:rsidR="00CB18FE" w:rsidRPr="00FE3D55" w:rsidRDefault="00CB18FE" w:rsidP="00CB18FE">
            <w:pPr>
              <w:suppressAutoHyphens w:val="0"/>
              <w:spacing w:line="240" w:lineRule="auto"/>
              <w:ind w:right="113"/>
            </w:pPr>
          </w:p>
        </w:tc>
        <w:tc>
          <w:tcPr>
            <w:tcW w:w="4252" w:type="dxa"/>
            <w:shd w:val="clear" w:color="auto" w:fill="auto"/>
          </w:tcPr>
          <w:p w:rsidR="00CB18FE" w:rsidRPr="00FE3D55" w:rsidRDefault="00CB18FE" w:rsidP="00CB18FE">
            <w:pPr>
              <w:suppressAutoHyphens w:val="0"/>
              <w:spacing w:line="240" w:lineRule="auto"/>
              <w:ind w:right="113"/>
            </w:pPr>
          </w:p>
        </w:tc>
      </w:tr>
      <w:tr w:rsidR="00CB18FE" w:rsidRPr="00FE3D55" w:rsidTr="006F5160">
        <w:trPr>
          <w:cantSplit/>
        </w:trPr>
        <w:tc>
          <w:tcPr>
            <w:tcW w:w="4253" w:type="dxa"/>
            <w:shd w:val="clear" w:color="auto" w:fill="auto"/>
          </w:tcPr>
          <w:p w:rsidR="00CB18FE" w:rsidRPr="00FE3D55" w:rsidRDefault="00CB18FE" w:rsidP="00CB18FE">
            <w:pPr>
              <w:suppressAutoHyphens w:val="0"/>
              <w:spacing w:line="240" w:lineRule="auto"/>
              <w:ind w:right="113"/>
            </w:pPr>
            <w:r>
              <w:t xml:space="preserve">Human Rights Council resolution </w:t>
            </w:r>
            <w:r w:rsidRPr="00FE3D55">
              <w:t>35/1</w:t>
            </w:r>
            <w:r w:rsidRPr="00FE3D55">
              <w:tab/>
            </w:r>
          </w:p>
          <w:p w:rsidR="00CB18FE" w:rsidRPr="00FE3D55" w:rsidRDefault="00CB18FE" w:rsidP="00CB18FE">
            <w:pPr>
              <w:suppressAutoHyphens w:val="0"/>
              <w:spacing w:line="240" w:lineRule="auto"/>
              <w:ind w:right="113"/>
            </w:pPr>
            <w:r w:rsidRPr="00FE3D55">
              <w:t>Seventieth anniversary of the Universal Declaration of Human Rights and the twenty-fifth anniversary of the Vienna Declaration and Programme of Action</w:t>
            </w:r>
          </w:p>
        </w:tc>
        <w:tc>
          <w:tcPr>
            <w:tcW w:w="4252" w:type="dxa"/>
            <w:shd w:val="clear" w:color="auto" w:fill="auto"/>
          </w:tcPr>
          <w:p w:rsidR="00CB18FE" w:rsidRDefault="00CB18FE" w:rsidP="00CB18FE">
            <w:pPr>
              <w:suppressAutoHyphens w:val="0"/>
              <w:spacing w:line="240" w:lineRule="auto"/>
              <w:ind w:right="113"/>
            </w:pPr>
            <w:r w:rsidRPr="00FE3D55">
              <w:t xml:space="preserve">High-level panel discussion </w:t>
            </w:r>
            <w:r w:rsidR="000F3064">
              <w:t>on</w:t>
            </w:r>
            <w:r w:rsidRPr="00FE3D55">
              <w:t xml:space="preserve"> the seventieth anniversary of the Universal Declaration of Human Rights and the twenty-fifth anniversary of the Vienna Declaration and Programme of Action</w:t>
            </w:r>
          </w:p>
          <w:p w:rsidR="00CB18FE" w:rsidRPr="00FE3D55" w:rsidRDefault="00CB18FE" w:rsidP="00CB18FE">
            <w:pPr>
              <w:suppressAutoHyphens w:val="0"/>
              <w:spacing w:line="240" w:lineRule="auto"/>
              <w:ind w:right="113"/>
            </w:pPr>
          </w:p>
        </w:tc>
      </w:tr>
      <w:tr w:rsidR="00CB18FE" w:rsidRPr="00FE3D55" w:rsidTr="006F5160">
        <w:trPr>
          <w:cantSplit/>
        </w:trPr>
        <w:tc>
          <w:tcPr>
            <w:tcW w:w="4253" w:type="dxa"/>
            <w:shd w:val="clear" w:color="auto" w:fill="auto"/>
          </w:tcPr>
          <w:p w:rsidR="00CB18FE" w:rsidRPr="00FE3D55" w:rsidRDefault="00CB18FE" w:rsidP="00CB18FE">
            <w:pPr>
              <w:suppressAutoHyphens w:val="0"/>
              <w:spacing w:line="240" w:lineRule="auto"/>
              <w:ind w:right="113"/>
            </w:pPr>
            <w:r>
              <w:t xml:space="preserve">Human Rights Council resolution </w:t>
            </w:r>
            <w:r w:rsidRPr="00FE3D55">
              <w:t>36/20</w:t>
            </w:r>
            <w:r w:rsidRPr="00FE3D55">
              <w:br/>
              <w:t>The human rights situation in the Syrian Arab Republic</w:t>
            </w:r>
          </w:p>
        </w:tc>
        <w:tc>
          <w:tcPr>
            <w:tcW w:w="4252" w:type="dxa"/>
            <w:shd w:val="clear" w:color="auto" w:fill="auto"/>
          </w:tcPr>
          <w:p w:rsidR="00CB18FE" w:rsidRDefault="00CB18FE" w:rsidP="00CB18FE">
            <w:pPr>
              <w:suppressAutoHyphens w:val="0"/>
              <w:spacing w:line="240" w:lineRule="auto"/>
              <w:ind w:right="113"/>
            </w:pPr>
            <w:r w:rsidRPr="00FE3D55">
              <w:t>High-level panel discussion on violations of the human rights of children in the Syrian Arab Republic</w:t>
            </w:r>
          </w:p>
          <w:p w:rsidR="00CB18FE" w:rsidRPr="00FE3D55" w:rsidRDefault="00CB18FE" w:rsidP="00CB18FE">
            <w:pPr>
              <w:suppressAutoHyphens w:val="0"/>
              <w:spacing w:line="240" w:lineRule="auto"/>
              <w:ind w:right="113"/>
            </w:pPr>
          </w:p>
        </w:tc>
      </w:tr>
      <w:tr w:rsidR="00CB18FE" w:rsidRPr="00FE3D55" w:rsidTr="006F5160">
        <w:trPr>
          <w:cantSplit/>
        </w:trPr>
        <w:tc>
          <w:tcPr>
            <w:tcW w:w="4253" w:type="dxa"/>
            <w:tcBorders>
              <w:top w:val="nil"/>
              <w:bottom w:val="nil"/>
            </w:tcBorders>
            <w:shd w:val="clear" w:color="auto" w:fill="auto"/>
          </w:tcPr>
          <w:p w:rsidR="00CB18FE" w:rsidRPr="00FE3D55" w:rsidRDefault="00CB18FE" w:rsidP="00CB18FE">
            <w:pPr>
              <w:suppressAutoHyphens w:val="0"/>
              <w:spacing w:line="240" w:lineRule="auto"/>
              <w:ind w:right="113"/>
            </w:pPr>
          </w:p>
        </w:tc>
        <w:tc>
          <w:tcPr>
            <w:tcW w:w="4252" w:type="dxa"/>
            <w:tcBorders>
              <w:top w:val="nil"/>
              <w:bottom w:val="nil"/>
            </w:tcBorders>
            <w:shd w:val="clear" w:color="auto" w:fill="auto"/>
          </w:tcPr>
          <w:p w:rsidR="00CB18FE" w:rsidRPr="00FE3D55" w:rsidRDefault="00CB18FE" w:rsidP="00CB18FE">
            <w:pPr>
              <w:suppressAutoHyphens w:val="0"/>
              <w:spacing w:line="240" w:lineRule="auto"/>
              <w:ind w:right="113"/>
            </w:pPr>
          </w:p>
        </w:tc>
      </w:tr>
      <w:tr w:rsidR="00CB18FE" w:rsidRPr="00FE3D55" w:rsidTr="006F5160">
        <w:trPr>
          <w:cantSplit/>
        </w:trPr>
        <w:tc>
          <w:tcPr>
            <w:tcW w:w="4253" w:type="dxa"/>
            <w:tcBorders>
              <w:top w:val="nil"/>
            </w:tcBorders>
            <w:shd w:val="clear" w:color="auto" w:fill="auto"/>
          </w:tcPr>
          <w:p w:rsidR="00CB18FE" w:rsidRPr="00032E05" w:rsidRDefault="00CB18FE" w:rsidP="00CB18FE">
            <w:pPr>
              <w:suppressAutoHyphens w:val="0"/>
              <w:spacing w:line="240" w:lineRule="auto"/>
              <w:ind w:right="113"/>
            </w:pPr>
            <w:r w:rsidRPr="009E0E23">
              <w:t xml:space="preserve">General Assembly </w:t>
            </w:r>
            <w:r w:rsidRPr="00032E05">
              <w:t xml:space="preserve">resolution </w:t>
            </w:r>
            <w:r w:rsidRPr="00105C27">
              <w:t>72/157</w:t>
            </w:r>
          </w:p>
          <w:p w:rsidR="00CB18FE" w:rsidRPr="00FE3D55" w:rsidRDefault="00CB18FE" w:rsidP="00CB18FE">
            <w:pPr>
              <w:suppressAutoHyphens w:val="0"/>
              <w:spacing w:line="240" w:lineRule="auto"/>
              <w:ind w:right="113"/>
            </w:pPr>
            <w:r w:rsidRPr="00032E05">
              <w:t>A global call for concrete action for the total</w:t>
            </w:r>
            <w:r w:rsidRPr="00FE3D55">
              <w:t xml:space="preserve"> elimination of racism, racial discrimination, xenophobia and related intolerance and the comprehensive implementation of and follow-up to the Durban Declaration and Programme of Action</w:t>
            </w:r>
          </w:p>
        </w:tc>
        <w:tc>
          <w:tcPr>
            <w:tcW w:w="4252" w:type="dxa"/>
            <w:tcBorders>
              <w:top w:val="nil"/>
            </w:tcBorders>
            <w:shd w:val="clear" w:color="auto" w:fill="auto"/>
          </w:tcPr>
          <w:p w:rsidR="00CB18FE" w:rsidRPr="00FE3D55" w:rsidRDefault="00CB18FE" w:rsidP="00CB18FE">
            <w:pPr>
              <w:spacing w:line="240" w:lineRule="auto"/>
            </w:pPr>
            <w:r w:rsidRPr="00FE3D55">
              <w:t>Debate on promoting tolerance, inclusion, unity and respect for diversity in the context of combating racial discrimination (</w:t>
            </w:r>
            <w:r>
              <w:t>c</w:t>
            </w:r>
            <w:r w:rsidRPr="00FE3D55">
              <w:t xml:space="preserve">ommemoration of the </w:t>
            </w:r>
            <w:r>
              <w:t>I</w:t>
            </w:r>
            <w:r w:rsidRPr="00FE3D55">
              <w:t>nternational Day for the Elimination of Racial Discrimination)</w:t>
            </w:r>
            <w:r w:rsidRPr="00FE3D55">
              <w:br/>
            </w:r>
          </w:p>
        </w:tc>
      </w:tr>
    </w:tbl>
    <w:p w:rsidR="00CB18FE" w:rsidRPr="00DA4849" w:rsidRDefault="00CB18FE">
      <w:pPr>
        <w:spacing w:before="240"/>
        <w:jc w:val="center"/>
        <w:rPr>
          <w:u w:val="single"/>
        </w:rPr>
      </w:pPr>
      <w:r w:rsidRPr="00DA4849">
        <w:rPr>
          <w:u w:val="single"/>
        </w:rPr>
        <w:tab/>
      </w:r>
      <w:r w:rsidRPr="00DA4849">
        <w:rPr>
          <w:u w:val="single"/>
        </w:rPr>
        <w:tab/>
      </w:r>
      <w:r w:rsidRPr="00DA4849">
        <w:rPr>
          <w:u w:val="single"/>
        </w:rPr>
        <w:tab/>
      </w:r>
    </w:p>
    <w:sectPr w:rsidR="00CB18FE" w:rsidRPr="00DA4849" w:rsidSect="00CB18FE">
      <w:headerReference w:type="even" r:id="rId7"/>
      <w:headerReference w:type="default" r:id="rId8"/>
      <w:footerReference w:type="even" r:id="rId9"/>
      <w:footerReference w:type="default" r:id="rId10"/>
      <w:footerReference w:type="first" r:id="rId11"/>
      <w:footnotePr>
        <w:numFmt w:val="chicago"/>
      </w:footnotePr>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46A" w:rsidRPr="00C47B2E" w:rsidRDefault="009A046A" w:rsidP="00CB18FE">
      <w:pPr>
        <w:pStyle w:val="Footer"/>
      </w:pPr>
    </w:p>
  </w:endnote>
  <w:endnote w:type="continuationSeparator" w:id="0">
    <w:p w:rsidR="009A046A" w:rsidRPr="00C47B2E" w:rsidRDefault="009A046A" w:rsidP="00CB18FE">
      <w:pPr>
        <w:pStyle w:val="Footer"/>
      </w:pPr>
    </w:p>
  </w:endnote>
  <w:endnote w:type="continuationNotice" w:id="1">
    <w:p w:rsidR="009A046A" w:rsidRPr="00C47B2E" w:rsidRDefault="009A046A" w:rsidP="00CB18F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39T30Lfz">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FE" w:rsidRPr="003962C5" w:rsidRDefault="00CB18FE" w:rsidP="00CB18FE">
    <w:pPr>
      <w:pStyle w:val="Footer"/>
      <w:tabs>
        <w:tab w:val="right" w:pos="9598"/>
      </w:tabs>
    </w:pPr>
    <w:r w:rsidRPr="003962C5">
      <w:rPr>
        <w:b/>
        <w:sz w:val="18"/>
      </w:rPr>
      <w:fldChar w:fldCharType="begin"/>
    </w:r>
    <w:r w:rsidRPr="003962C5">
      <w:rPr>
        <w:b/>
        <w:sz w:val="18"/>
      </w:rPr>
      <w:instrText xml:space="preserve"> PAGE  \* MERGEFORMAT </w:instrText>
    </w:r>
    <w:r w:rsidRPr="003962C5">
      <w:rPr>
        <w:b/>
        <w:sz w:val="18"/>
      </w:rPr>
      <w:fldChar w:fldCharType="separate"/>
    </w:r>
    <w:r w:rsidR="006948E5">
      <w:rPr>
        <w:b/>
        <w:noProof/>
        <w:sz w:val="18"/>
      </w:rPr>
      <w:t>20</w:t>
    </w:r>
    <w:r w:rsidRPr="003962C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FE" w:rsidRPr="003962C5" w:rsidRDefault="00CB18FE" w:rsidP="00CB18FE">
    <w:pPr>
      <w:pStyle w:val="Footer"/>
      <w:tabs>
        <w:tab w:val="right" w:pos="9598"/>
      </w:tabs>
      <w:rPr>
        <w:b/>
        <w:sz w:val="18"/>
      </w:rPr>
    </w:pPr>
    <w:r>
      <w:tab/>
    </w:r>
    <w:r w:rsidRPr="003962C5">
      <w:rPr>
        <w:b/>
        <w:sz w:val="18"/>
      </w:rPr>
      <w:fldChar w:fldCharType="begin"/>
    </w:r>
    <w:r w:rsidRPr="003962C5">
      <w:rPr>
        <w:b/>
        <w:sz w:val="18"/>
      </w:rPr>
      <w:instrText xml:space="preserve"> PAGE  \* MERGEFORMAT </w:instrText>
    </w:r>
    <w:r w:rsidRPr="003962C5">
      <w:rPr>
        <w:b/>
        <w:sz w:val="18"/>
      </w:rPr>
      <w:fldChar w:fldCharType="separate"/>
    </w:r>
    <w:r w:rsidR="006948E5">
      <w:rPr>
        <w:b/>
        <w:noProof/>
        <w:sz w:val="18"/>
      </w:rPr>
      <w:t>19</w:t>
    </w:r>
    <w:r w:rsidRPr="003962C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FE" w:rsidRDefault="00CB18FE" w:rsidP="00CB18FE">
    <w:pPr>
      <w:pStyle w:val="Footer"/>
    </w:pPr>
  </w:p>
  <w:p w:rsidR="00CB18FE" w:rsidRPr="00AB3874" w:rsidRDefault="00CB18FE" w:rsidP="00CB18FE">
    <w:pPr>
      <w:pStyle w:val="Footer"/>
      <w:kinsoku/>
      <w:overflowPunct/>
      <w:autoSpaceDE/>
      <w:autoSpaceDN/>
      <w:adjustRightInd/>
      <w:ind w:right="1134"/>
      <w:rPr>
        <w:rFonts w:ascii="C39T30Lfz" w:hAnsi="C39T30Lfz"/>
        <w:sz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46A" w:rsidRPr="00C47B2E" w:rsidRDefault="009A046A" w:rsidP="00CB18FE">
      <w:pPr>
        <w:tabs>
          <w:tab w:val="right" w:pos="2155"/>
        </w:tabs>
        <w:spacing w:after="80" w:line="240" w:lineRule="auto"/>
        <w:ind w:left="680"/>
      </w:pPr>
      <w:r>
        <w:rPr>
          <w:u w:val="single"/>
        </w:rPr>
        <w:tab/>
      </w:r>
    </w:p>
  </w:footnote>
  <w:footnote w:type="continuationSeparator" w:id="0">
    <w:p w:rsidR="009A046A" w:rsidRPr="00C47B2E" w:rsidRDefault="009A046A" w:rsidP="00CB18FE">
      <w:pPr>
        <w:tabs>
          <w:tab w:val="right" w:pos="2155"/>
        </w:tabs>
        <w:spacing w:after="80" w:line="240" w:lineRule="auto"/>
        <w:ind w:left="680"/>
      </w:pPr>
      <w:r>
        <w:rPr>
          <w:u w:val="single"/>
        </w:rPr>
        <w:tab/>
      </w:r>
    </w:p>
  </w:footnote>
  <w:footnote w:type="continuationNotice" w:id="1">
    <w:p w:rsidR="009A046A" w:rsidRPr="00C47B2E" w:rsidRDefault="009A046A" w:rsidP="00CB18FE">
      <w:pPr>
        <w:pStyle w:val="Footer"/>
      </w:pPr>
    </w:p>
  </w:footnote>
  <w:footnote w:id="2">
    <w:p w:rsidR="00CB18FE" w:rsidRPr="006F5160" w:rsidRDefault="00CB18FE">
      <w:pPr>
        <w:pStyle w:val="FootnoteText"/>
        <w:rPr>
          <w:lang w:val="en-US"/>
        </w:rPr>
      </w:pPr>
      <w:r>
        <w:tab/>
      </w:r>
      <w:r>
        <w:rPr>
          <w:rStyle w:val="FootnoteReference"/>
        </w:rPr>
        <w:footnoteRef/>
      </w:r>
      <w:r>
        <w:t xml:space="preserve"> </w:t>
      </w:r>
      <w:r>
        <w:tab/>
      </w:r>
      <w:r w:rsidRPr="00CB08A9">
        <w:t>The term of membership of each State expires in the year indicated in parenthesis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FE" w:rsidRPr="003962C5" w:rsidRDefault="00CB18FE" w:rsidP="00CB18FE">
    <w:pPr>
      <w:pStyle w:val="Header"/>
    </w:pPr>
    <w:r w:rsidRPr="003962C5">
      <w:t>A/HRC/3</w:t>
    </w:r>
    <w:r>
      <w:t>7</w:t>
    </w:r>
    <w:r w:rsidRPr="003962C5">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FE" w:rsidRPr="003962C5" w:rsidRDefault="00CB18FE" w:rsidP="00CB18FE">
    <w:pPr>
      <w:pStyle w:val="Header"/>
      <w:jc w:val="right"/>
    </w:pPr>
    <w:r>
      <w:t>A/HRC/37</w:t>
    </w:r>
    <w:r w:rsidRPr="003962C5">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694CB2"/>
    <w:multiLevelType w:val="hybridMultilevel"/>
    <w:tmpl w:val="F938934C"/>
    <w:lvl w:ilvl="0" w:tplc="73E46C6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6"/>
  </w:num>
  <w:num w:numId="5">
    <w:abstractNumId w:val="7"/>
  </w:num>
  <w:num w:numId="6">
    <w:abstractNumId w:val="9"/>
  </w:num>
  <w:num w:numId="7">
    <w:abstractNumId w:val="2"/>
  </w:num>
  <w:num w:numId="8">
    <w:abstractNumId w:val="1"/>
  </w:num>
  <w:num w:numId="9">
    <w:abstractNumId w:val="8"/>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ttachedTemplate r:id="rId1"/>
  <w:defaultTabStop w:val="567"/>
  <w:evenAndOddHeaders/>
  <w:characterSpacingControl w:val="doNotCompress"/>
  <w:hdrShapeDefaults>
    <o:shapedefaults v:ext="edit" spidmax="13313"/>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DB"/>
    <w:rsid w:val="000368D4"/>
    <w:rsid w:val="000A2EE5"/>
    <w:rsid w:val="000F3064"/>
    <w:rsid w:val="00155EB0"/>
    <w:rsid w:val="001F350D"/>
    <w:rsid w:val="00240BDB"/>
    <w:rsid w:val="00280B97"/>
    <w:rsid w:val="003131FC"/>
    <w:rsid w:val="004441E9"/>
    <w:rsid w:val="004E27B8"/>
    <w:rsid w:val="0053798D"/>
    <w:rsid w:val="005525E2"/>
    <w:rsid w:val="00564F9B"/>
    <w:rsid w:val="005B485B"/>
    <w:rsid w:val="005C16AE"/>
    <w:rsid w:val="005D6D26"/>
    <w:rsid w:val="00693F64"/>
    <w:rsid w:val="006948E5"/>
    <w:rsid w:val="006B399D"/>
    <w:rsid w:val="006F5160"/>
    <w:rsid w:val="00812B2F"/>
    <w:rsid w:val="008B09CD"/>
    <w:rsid w:val="008E55B3"/>
    <w:rsid w:val="00933D54"/>
    <w:rsid w:val="009A046A"/>
    <w:rsid w:val="00A70142"/>
    <w:rsid w:val="00BC034B"/>
    <w:rsid w:val="00BC2016"/>
    <w:rsid w:val="00C53F09"/>
    <w:rsid w:val="00C7335D"/>
    <w:rsid w:val="00C74161"/>
    <w:rsid w:val="00CB18FE"/>
    <w:rsid w:val="00D104DB"/>
    <w:rsid w:val="00D14700"/>
    <w:rsid w:val="00D604C8"/>
    <w:rsid w:val="00DB4008"/>
    <w:rsid w:val="00E26549"/>
    <w:rsid w:val="00EB446A"/>
    <w:rsid w:val="00F107F7"/>
    <w:rsid w:val="00F5578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FDA596D"/>
  <w15:chartTrackingRefBased/>
  <w15:docId w15:val="{DD6BA6DB-4930-4FB1-8BE3-8ED1D844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ourier New"/>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rPr>
      <w:lang w:val="x-none"/>
    </w:rPr>
  </w:style>
  <w:style w:type="paragraph" w:styleId="Heading3">
    <w:name w:val="heading 3"/>
    <w:basedOn w:val="Normal"/>
    <w:next w:val="Normal"/>
    <w:link w:val="Heading3Char"/>
    <w:qFormat/>
    <w:rsid w:val="004A2814"/>
    <w:pPr>
      <w:spacing w:line="240" w:lineRule="auto"/>
      <w:outlineLvl w:val="2"/>
    </w:pPr>
    <w:rPr>
      <w:lang w:val="x-none"/>
    </w:rPr>
  </w:style>
  <w:style w:type="paragraph" w:styleId="Heading4">
    <w:name w:val="heading 4"/>
    <w:basedOn w:val="Normal"/>
    <w:next w:val="Normal"/>
    <w:link w:val="Heading4Char"/>
    <w:qFormat/>
    <w:rsid w:val="004A2814"/>
    <w:pPr>
      <w:spacing w:line="240" w:lineRule="auto"/>
      <w:outlineLvl w:val="3"/>
    </w:pPr>
    <w:rPr>
      <w:lang w:val="x-none"/>
    </w:rPr>
  </w:style>
  <w:style w:type="paragraph" w:styleId="Heading5">
    <w:name w:val="heading 5"/>
    <w:basedOn w:val="Normal"/>
    <w:next w:val="Normal"/>
    <w:link w:val="Heading5Char"/>
    <w:qFormat/>
    <w:rsid w:val="004A2814"/>
    <w:pPr>
      <w:spacing w:line="240" w:lineRule="auto"/>
      <w:outlineLvl w:val="4"/>
    </w:pPr>
    <w:rPr>
      <w:lang w:val="x-none"/>
    </w:rPr>
  </w:style>
  <w:style w:type="paragraph" w:styleId="Heading6">
    <w:name w:val="heading 6"/>
    <w:basedOn w:val="Normal"/>
    <w:next w:val="Normal"/>
    <w:link w:val="Heading6Char"/>
    <w:qFormat/>
    <w:rsid w:val="004A2814"/>
    <w:pPr>
      <w:spacing w:line="240" w:lineRule="auto"/>
      <w:outlineLvl w:val="5"/>
    </w:pPr>
    <w:rPr>
      <w:lang w:val="x-none"/>
    </w:rPr>
  </w:style>
  <w:style w:type="paragraph" w:styleId="Heading7">
    <w:name w:val="heading 7"/>
    <w:basedOn w:val="Normal"/>
    <w:next w:val="Normal"/>
    <w:link w:val="Heading7Char"/>
    <w:qFormat/>
    <w:rsid w:val="004A2814"/>
    <w:pPr>
      <w:spacing w:line="240" w:lineRule="auto"/>
      <w:outlineLvl w:val="6"/>
    </w:pPr>
    <w:rPr>
      <w:lang w:val="x-none"/>
    </w:rPr>
  </w:style>
  <w:style w:type="paragraph" w:styleId="Heading8">
    <w:name w:val="heading 8"/>
    <w:basedOn w:val="Normal"/>
    <w:next w:val="Normal"/>
    <w:link w:val="Heading8Char"/>
    <w:qFormat/>
    <w:rsid w:val="004A2814"/>
    <w:pPr>
      <w:spacing w:line="240" w:lineRule="auto"/>
      <w:outlineLvl w:val="7"/>
    </w:pPr>
    <w:rPr>
      <w:lang w:val="x-none"/>
    </w:rPr>
  </w:style>
  <w:style w:type="paragraph" w:styleId="Heading9">
    <w:name w:val="heading 9"/>
    <w:basedOn w:val="Normal"/>
    <w:next w:val="Normal"/>
    <w:link w:val="Heading9Char"/>
    <w:qFormat/>
    <w:rsid w:val="004A2814"/>
    <w:pPr>
      <w:spacing w:line="240" w:lineRule="auto"/>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lang w:val="x-none"/>
    </w:rPr>
  </w:style>
  <w:style w:type="character" w:customStyle="1" w:styleId="HeaderChar">
    <w:name w:val="Header Char"/>
    <w:aliases w:val="6_G Char"/>
    <w:link w:val="Header"/>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lang w:val="x-none"/>
    </w:rPr>
  </w:style>
  <w:style w:type="character" w:customStyle="1" w:styleId="FooterChar">
    <w:name w:val="Footer Char"/>
    <w:aliases w:val="3_G Char"/>
    <w:link w:val="Footer"/>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qFormat/>
    <w:rsid w:val="004A2814"/>
    <w:pPr>
      <w:keepNext/>
      <w:keepLines/>
      <w:tabs>
        <w:tab w:val="right" w:pos="851"/>
      </w:tabs>
      <w:spacing w:before="240" w:after="120" w:line="240" w:lineRule="exact"/>
      <w:ind w:left="1134" w:right="1134" w:hanging="1134"/>
    </w:pPr>
    <w:rPr>
      <w:i/>
      <w:lang w:val="x-none"/>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rPr>
      <w:lang w:val="x-none"/>
    </w:r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lang w:val="x-none"/>
    </w:rPr>
  </w:style>
  <w:style w:type="character" w:customStyle="1" w:styleId="FootnoteTextChar">
    <w:name w:val="Footnote Text Char"/>
    <w:aliases w:val="5_G Char"/>
    <w:link w:val="FootnoteText"/>
    <w:rsid w:val="007268F9"/>
    <w:rPr>
      <w:rFonts w:ascii="Times New Roman" w:eastAsia="Calibr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link w:val="EndnoteText"/>
    <w:rsid w:val="007268F9"/>
    <w:rPr>
      <w:rFonts w:ascii="Times New Roman" w:eastAsia="Calibr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link w:val="Heading1"/>
    <w:rsid w:val="003B4550"/>
    <w:rPr>
      <w:rFonts w:ascii="Times New Roman" w:eastAsia="Calibri" w:hAnsi="Times New Roman" w:cs="Times New Roman"/>
      <w:sz w:val="20"/>
      <w:szCs w:val="20"/>
      <w:lang w:eastAsia="en-US"/>
    </w:rPr>
  </w:style>
  <w:style w:type="character" w:customStyle="1" w:styleId="Heading2Char">
    <w:name w:val="Heading 2 Char"/>
    <w:link w:val="Heading2"/>
    <w:semiHidden/>
    <w:rsid w:val="003B4550"/>
    <w:rPr>
      <w:rFonts w:ascii="Times New Roman" w:eastAsia="Calibri" w:hAnsi="Times New Roman" w:cs="Times New Roman"/>
      <w:sz w:val="20"/>
      <w:szCs w:val="20"/>
      <w:lang w:eastAsia="en-US"/>
    </w:rPr>
  </w:style>
  <w:style w:type="character" w:customStyle="1" w:styleId="Heading3Char">
    <w:name w:val="Heading 3 Char"/>
    <w:link w:val="Heading3"/>
    <w:semiHidden/>
    <w:rsid w:val="003B4550"/>
    <w:rPr>
      <w:rFonts w:ascii="Times New Roman" w:eastAsia="Calibri" w:hAnsi="Times New Roman" w:cs="Times New Roman"/>
      <w:sz w:val="20"/>
      <w:szCs w:val="20"/>
      <w:lang w:eastAsia="en-US"/>
    </w:rPr>
  </w:style>
  <w:style w:type="character" w:customStyle="1" w:styleId="Heading4Char">
    <w:name w:val="Heading 4 Char"/>
    <w:link w:val="Heading4"/>
    <w:semiHidden/>
    <w:rsid w:val="003B4550"/>
    <w:rPr>
      <w:rFonts w:ascii="Times New Roman" w:eastAsia="Calibri" w:hAnsi="Times New Roman" w:cs="Times New Roman"/>
      <w:sz w:val="20"/>
      <w:szCs w:val="20"/>
      <w:lang w:eastAsia="en-US"/>
    </w:rPr>
  </w:style>
  <w:style w:type="character" w:customStyle="1" w:styleId="Heading5Char">
    <w:name w:val="Heading 5 Char"/>
    <w:link w:val="Heading5"/>
    <w:semiHidden/>
    <w:rsid w:val="003B4550"/>
    <w:rPr>
      <w:rFonts w:ascii="Times New Roman" w:eastAsia="Calibri" w:hAnsi="Times New Roman" w:cs="Times New Roman"/>
      <w:sz w:val="20"/>
      <w:szCs w:val="20"/>
      <w:lang w:eastAsia="en-US"/>
    </w:rPr>
  </w:style>
  <w:style w:type="character" w:customStyle="1" w:styleId="Heading6Char">
    <w:name w:val="Heading 6 Char"/>
    <w:link w:val="Heading6"/>
    <w:semiHidden/>
    <w:rsid w:val="003B4550"/>
    <w:rPr>
      <w:rFonts w:ascii="Times New Roman" w:eastAsia="Calibri" w:hAnsi="Times New Roman" w:cs="Times New Roman"/>
      <w:sz w:val="20"/>
      <w:szCs w:val="20"/>
      <w:lang w:eastAsia="en-US"/>
    </w:rPr>
  </w:style>
  <w:style w:type="character" w:customStyle="1" w:styleId="Heading7Char">
    <w:name w:val="Heading 7 Char"/>
    <w:link w:val="Heading7"/>
    <w:semiHidden/>
    <w:rsid w:val="003B4550"/>
    <w:rPr>
      <w:rFonts w:ascii="Times New Roman" w:eastAsia="Calibri" w:hAnsi="Times New Roman" w:cs="Times New Roman"/>
      <w:sz w:val="20"/>
      <w:szCs w:val="20"/>
      <w:lang w:eastAsia="en-US"/>
    </w:rPr>
  </w:style>
  <w:style w:type="character" w:customStyle="1" w:styleId="Heading8Char">
    <w:name w:val="Heading 8 Char"/>
    <w:link w:val="Heading8"/>
    <w:semiHidden/>
    <w:rsid w:val="003B4550"/>
    <w:rPr>
      <w:rFonts w:ascii="Times New Roman" w:eastAsia="Calibri" w:hAnsi="Times New Roman" w:cs="Times New Roman"/>
      <w:sz w:val="20"/>
      <w:szCs w:val="20"/>
      <w:lang w:eastAsia="en-US"/>
    </w:rPr>
  </w:style>
  <w:style w:type="character" w:customStyle="1" w:styleId="Heading9Char">
    <w:name w:val="Heading 9 Char"/>
    <w:link w:val="Heading9"/>
    <w:semiHidden/>
    <w:rsid w:val="003B4550"/>
    <w:rPr>
      <w:rFonts w:ascii="Times New Roman" w:eastAsia="Calibr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customStyle="1" w:styleId="GridTable1Light1">
    <w:name w:val="Grid Table 1 Light1"/>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eastAsia="Times New Roman" w:hAnsi="Tahoma"/>
      <w:sz w:val="16"/>
      <w:szCs w:val="16"/>
      <w:lang w:val="x-none"/>
    </w:rPr>
  </w:style>
  <w:style w:type="character" w:customStyle="1" w:styleId="BalloonTextChar">
    <w:name w:val="Balloon Text Char"/>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uiPriority w:val="99"/>
    <w:semiHidden/>
    <w:unhideWhenUsed/>
    <w:rsid w:val="00C61886"/>
    <w:rPr>
      <w:sz w:val="16"/>
      <w:szCs w:val="16"/>
    </w:rPr>
  </w:style>
  <w:style w:type="paragraph" w:styleId="CommentText">
    <w:name w:val="annotation text"/>
    <w:basedOn w:val="Normal"/>
    <w:link w:val="CommentTextChar"/>
    <w:uiPriority w:val="99"/>
    <w:unhideWhenUsed/>
    <w:rsid w:val="00C61886"/>
    <w:pPr>
      <w:spacing w:line="240" w:lineRule="auto"/>
    </w:pPr>
    <w:rPr>
      <w:lang w:val="x-none"/>
    </w:rPr>
  </w:style>
  <w:style w:type="character" w:customStyle="1" w:styleId="CommentTextChar">
    <w:name w:val="Comment Text Char"/>
    <w:link w:val="CommentText"/>
    <w:uiPriority w:val="99"/>
    <w:rsid w:val="00C61886"/>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61886"/>
    <w:rPr>
      <w:b/>
      <w:bCs/>
    </w:rPr>
  </w:style>
  <w:style w:type="character" w:customStyle="1" w:styleId="CommentSubjectChar">
    <w:name w:val="Comment Subject Char"/>
    <w:link w:val="CommentSubject"/>
    <w:uiPriority w:val="99"/>
    <w:semiHidden/>
    <w:rsid w:val="00C61886"/>
    <w:rPr>
      <w:rFonts w:ascii="Times New Roman" w:eastAsia="Calibri" w:hAnsi="Times New Roman" w:cs="Times New Roman"/>
      <w:b/>
      <w:bCs/>
      <w:sz w:val="20"/>
      <w:szCs w:val="20"/>
      <w:lang w:eastAsia="en-US"/>
    </w:rPr>
  </w:style>
  <w:style w:type="paragraph" w:customStyle="1" w:styleId="Default">
    <w:name w:val="Default"/>
    <w:rsid w:val="00205507"/>
    <w:pPr>
      <w:autoSpaceDE w:val="0"/>
      <w:autoSpaceDN w:val="0"/>
      <w:adjustRightInd w:val="0"/>
    </w:pPr>
    <w:rPr>
      <w:rFonts w:ascii="Times New Roman" w:hAnsi="Times New Roman" w:cs="Times New Roman"/>
      <w:color w:val="000000"/>
      <w:sz w:val="24"/>
      <w:szCs w:val="24"/>
      <w:lang w:eastAsia="zh-CN"/>
    </w:rPr>
  </w:style>
  <w:style w:type="character" w:customStyle="1" w:styleId="SingleTxtGChar">
    <w:name w:val="_ Single Txt_G Char"/>
    <w:link w:val="SingleTxtG"/>
    <w:rsid w:val="00220EDE"/>
    <w:rPr>
      <w:rFonts w:ascii="Times New Roman" w:eastAsia="Calibri" w:hAnsi="Times New Roman" w:cs="Times New Roman"/>
      <w:sz w:val="20"/>
      <w:szCs w:val="20"/>
      <w:lang w:eastAsia="en-US"/>
    </w:rPr>
  </w:style>
  <w:style w:type="character" w:customStyle="1" w:styleId="H4GChar">
    <w:name w:val="_ H_4_G Char"/>
    <w:link w:val="H4G"/>
    <w:rsid w:val="009602F4"/>
    <w:rPr>
      <w:rFonts w:ascii="Times New Roman" w:eastAsia="Calibri" w:hAnsi="Times New Roman" w:cs="Times New Roman"/>
      <w:i/>
      <w:sz w:val="20"/>
      <w:szCs w:val="20"/>
      <w:lang w:eastAsia="en-US"/>
    </w:rPr>
  </w:style>
  <w:style w:type="character" w:customStyle="1" w:styleId="H1GChar">
    <w:name w:val="_ H_1_G Char"/>
    <w:link w:val="H1G"/>
    <w:rsid w:val="00A929FC"/>
    <w:rPr>
      <w:rFonts w:ascii="Times New Roman" w:eastAsia="Calibri" w:hAnsi="Times New Roman" w:cs="Times New Roman"/>
      <w:b/>
      <w:sz w:val="24"/>
      <w:szCs w:val="20"/>
      <w:lang w:eastAsia="en-US"/>
    </w:rPr>
  </w:style>
  <w:style w:type="character" w:styleId="Strong">
    <w:name w:val="Strong"/>
    <w:uiPriority w:val="22"/>
    <w:qFormat/>
    <w:rsid w:val="00C33D97"/>
    <w:rPr>
      <w:b/>
      <w:bCs/>
      <w:i w:val="0"/>
      <w:iCs w:val="0"/>
    </w:rPr>
  </w:style>
  <w:style w:type="paragraph" w:customStyle="1" w:styleId="ColorfulShading-Accent11">
    <w:name w:val="Colorful Shading - Accent 11"/>
    <w:hidden/>
    <w:uiPriority w:val="99"/>
    <w:semiHidden/>
    <w:rsid w:val="00D4331C"/>
    <w:rPr>
      <w:rFonts w:ascii="Times New Roman" w:eastAsia="Calibri" w:hAnsi="Times New Roman" w:cs="Times New Roman"/>
      <w:lang w:eastAsia="en-US"/>
    </w:rPr>
  </w:style>
  <w:style w:type="paragraph" w:styleId="NormalWeb">
    <w:name w:val="Normal (Web)"/>
    <w:basedOn w:val="Normal"/>
    <w:uiPriority w:val="99"/>
    <w:semiHidden/>
    <w:unhideWhenUsed/>
    <w:rsid w:val="00280B97"/>
    <w:pPr>
      <w:suppressAutoHyphens w:val="0"/>
      <w:kinsoku/>
      <w:overflowPunct/>
      <w:autoSpaceDE/>
      <w:autoSpaceDN/>
      <w:adjustRightInd/>
      <w:snapToGrid/>
      <w:spacing w:line="240" w:lineRule="auto"/>
    </w:pPr>
    <w:rPr>
      <w:rFonts w:eastAsiaTheme="minorEastAsia"/>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5427">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192414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67718F-2856-4E58-9942-3BDD4CD14774}"/>
</file>

<file path=customXml/itemProps2.xml><?xml version="1.0" encoding="utf-8"?>
<ds:datastoreItem xmlns:ds="http://schemas.openxmlformats.org/officeDocument/2006/customXml" ds:itemID="{5DBD7F96-6CA7-42A5-8EC0-55F11C37BBAA}"/>
</file>

<file path=customXml/itemProps3.xml><?xml version="1.0" encoding="utf-8"?>
<ds:datastoreItem xmlns:ds="http://schemas.openxmlformats.org/officeDocument/2006/customXml" ds:itemID="{47B62BBA-8325-451A-99AD-0876806D07AA}"/>
</file>

<file path=docProps/app.xml><?xml version="1.0" encoding="utf-8"?>
<Properties xmlns="http://schemas.openxmlformats.org/officeDocument/2006/extended-properties" xmlns:vt="http://schemas.openxmlformats.org/officeDocument/2006/docPropsVTypes">
  <Template>A.dotm</Template>
  <TotalTime>1</TotalTime>
  <Pages>20</Pages>
  <Words>8525</Words>
  <Characters>48599</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1700759</vt:lpstr>
    </vt:vector>
  </TitlesOfParts>
  <Company>DCM</Company>
  <LinksUpToDate>false</LinksUpToDate>
  <CharactersWithSpaces>57010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and Annotations</dc:title>
  <dc:subject>A/HRC/34/1</dc:subject>
  <dc:creator>Brigoli</dc:creator>
  <cp:keywords/>
  <dc:description/>
  <cp:lastModifiedBy>LANZ Veronique</cp:lastModifiedBy>
  <cp:revision>2</cp:revision>
  <cp:lastPrinted>2018-01-11T10:17:00Z</cp:lastPrinted>
  <dcterms:created xsi:type="dcterms:W3CDTF">2018-01-25T14:45:00Z</dcterms:created>
  <dcterms:modified xsi:type="dcterms:W3CDTF">2018-01-25T14:45:00Z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y fmtid="{D5CDD505-2E9C-101B-9397-08002B2CF9AE}" pid="3" name="Order">
    <vt:r8>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