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180751" w:rsidP="00180751">
            <w:pPr>
              <w:suppressAutoHyphens w:val="0"/>
              <w:spacing w:after="20"/>
              <w:jc w:val="right"/>
            </w:pPr>
            <w:r w:rsidRPr="00180751">
              <w:rPr>
                <w:sz w:val="40"/>
              </w:rPr>
              <w:t>A</w:t>
            </w:r>
            <w:r>
              <w:t>/HRC/35/1</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BC48D3" w:rsidP="0040017C">
            <w:pPr>
              <w:spacing w:before="120" w:line="420" w:lineRule="exact"/>
              <w:rPr>
                <w:b/>
                <w:sz w:val="40"/>
                <w:szCs w:val="40"/>
              </w:rPr>
            </w:pPr>
            <w:r>
              <w:rPr>
                <w:b/>
                <w:sz w:val="40"/>
                <w:szCs w:val="40"/>
              </w:rPr>
              <w:t>Advance edited ve</w:t>
            </w:r>
            <w:bookmarkStart w:id="0" w:name="_GoBack"/>
            <w:bookmarkEnd w:id="0"/>
            <w:r>
              <w:rPr>
                <w:b/>
                <w:sz w:val="40"/>
                <w:szCs w:val="40"/>
              </w:rPr>
              <w:t>rsion</w:t>
            </w:r>
          </w:p>
        </w:tc>
        <w:tc>
          <w:tcPr>
            <w:tcW w:w="2930" w:type="dxa"/>
            <w:tcBorders>
              <w:top w:val="single" w:sz="4" w:space="0" w:color="auto"/>
              <w:left w:val="nil"/>
              <w:bottom w:val="single" w:sz="12" w:space="0" w:color="auto"/>
              <w:right w:val="nil"/>
            </w:tcBorders>
          </w:tcPr>
          <w:p w:rsidR="00E52109" w:rsidRDefault="00180751" w:rsidP="00180751">
            <w:pPr>
              <w:suppressAutoHyphens w:val="0"/>
              <w:spacing w:before="240" w:line="240" w:lineRule="exact"/>
            </w:pPr>
            <w:r>
              <w:t>Distr.: General</w:t>
            </w:r>
          </w:p>
          <w:p w:rsidR="00180751" w:rsidRDefault="000E7297" w:rsidP="00180751">
            <w:pPr>
              <w:suppressAutoHyphens w:val="0"/>
            </w:pPr>
            <w:r>
              <w:t>2</w:t>
            </w:r>
            <w:r w:rsidR="00EB3027">
              <w:t>5</w:t>
            </w:r>
            <w:r w:rsidR="00180751">
              <w:t xml:space="preserve"> April 2017</w:t>
            </w:r>
          </w:p>
          <w:p w:rsidR="00180751" w:rsidRDefault="00180751" w:rsidP="00180751">
            <w:pPr>
              <w:suppressAutoHyphens w:val="0"/>
            </w:pPr>
          </w:p>
          <w:p w:rsidR="00180751" w:rsidRDefault="00180751" w:rsidP="00180751">
            <w:pPr>
              <w:suppressAutoHyphens w:val="0"/>
            </w:pPr>
            <w:r>
              <w:t>Original: English</w:t>
            </w:r>
          </w:p>
        </w:tc>
      </w:tr>
    </w:tbl>
    <w:p w:rsidR="0076713F" w:rsidRPr="0076713F" w:rsidRDefault="0076713F" w:rsidP="0076713F">
      <w:pPr>
        <w:spacing w:before="120"/>
        <w:rPr>
          <w:b/>
          <w:sz w:val="24"/>
          <w:szCs w:val="24"/>
          <w:highlight w:val="yellow"/>
        </w:rPr>
      </w:pPr>
      <w:r w:rsidRPr="0076713F">
        <w:rPr>
          <w:b/>
          <w:sz w:val="24"/>
          <w:szCs w:val="24"/>
        </w:rPr>
        <w:t>Human Rights Council</w:t>
      </w:r>
    </w:p>
    <w:p w:rsidR="0076713F" w:rsidRPr="0076713F" w:rsidRDefault="0076713F" w:rsidP="0076713F">
      <w:pPr>
        <w:rPr>
          <w:b/>
        </w:rPr>
      </w:pPr>
      <w:r w:rsidRPr="0076713F">
        <w:rPr>
          <w:b/>
        </w:rPr>
        <w:t xml:space="preserve">Thirty-fifth </w:t>
      </w:r>
      <w:proofErr w:type="gramStart"/>
      <w:r w:rsidRPr="0076713F">
        <w:rPr>
          <w:b/>
        </w:rPr>
        <w:t>session</w:t>
      </w:r>
      <w:proofErr w:type="gramEnd"/>
    </w:p>
    <w:p w:rsidR="0076713F" w:rsidRPr="001F35E9" w:rsidRDefault="0076713F" w:rsidP="0076713F">
      <w:r w:rsidRPr="001F35E9">
        <w:t>6-23 June 2017</w:t>
      </w:r>
    </w:p>
    <w:p w:rsidR="0076713F" w:rsidRPr="001F35E9" w:rsidRDefault="0076713F" w:rsidP="0076713F">
      <w:r w:rsidRPr="001F35E9">
        <w:t>Agenda item 1</w:t>
      </w:r>
    </w:p>
    <w:p w:rsidR="0076713F" w:rsidRPr="0076713F" w:rsidRDefault="0076713F" w:rsidP="0076713F">
      <w:pPr>
        <w:rPr>
          <w:b/>
        </w:rPr>
      </w:pPr>
      <w:r w:rsidRPr="0076713F">
        <w:rPr>
          <w:b/>
        </w:rPr>
        <w:t>Organizational and procedural matters</w:t>
      </w:r>
    </w:p>
    <w:p w:rsidR="0076713F" w:rsidRPr="0051733E" w:rsidRDefault="0076713F" w:rsidP="0076713F">
      <w:pPr>
        <w:pStyle w:val="HChG"/>
      </w:pPr>
      <w:r w:rsidRPr="0051733E">
        <w:tab/>
      </w:r>
      <w:r w:rsidRPr="0051733E">
        <w:tab/>
        <w:t>Agenda and annotations</w:t>
      </w:r>
    </w:p>
    <w:p w:rsidR="0076713F" w:rsidRPr="0051733E" w:rsidRDefault="0076713F" w:rsidP="0076713F">
      <w:pPr>
        <w:pStyle w:val="H1G"/>
      </w:pPr>
      <w:r w:rsidRPr="0051733E">
        <w:tab/>
      </w:r>
      <w:r w:rsidRPr="0051733E">
        <w:tab/>
        <w:t>Agenda</w:t>
      </w:r>
    </w:p>
    <w:p w:rsidR="0076713F" w:rsidRPr="0051733E" w:rsidRDefault="0076713F" w:rsidP="0076713F">
      <w:pPr>
        <w:pStyle w:val="SingleTxtG"/>
        <w:ind w:left="1701" w:hanging="567"/>
      </w:pPr>
      <w:r w:rsidRPr="0051733E">
        <w:t>1.</w:t>
      </w:r>
      <w:r w:rsidRPr="0051733E">
        <w:tab/>
        <w:t>Organizational and procedural matters.</w:t>
      </w:r>
    </w:p>
    <w:p w:rsidR="0076713F" w:rsidRPr="0051733E" w:rsidRDefault="0076713F" w:rsidP="0076713F">
      <w:pPr>
        <w:pStyle w:val="SingleTxtG"/>
        <w:ind w:left="1701" w:hanging="567"/>
      </w:pPr>
      <w:r w:rsidRPr="0051733E">
        <w:t>2.</w:t>
      </w:r>
      <w:r w:rsidRPr="0051733E">
        <w:tab/>
        <w:t>Annual report of the United Nations High Commissioner for Human Rights and reports of the Office of the High Commissioner and the Secretary-General.</w:t>
      </w:r>
    </w:p>
    <w:p w:rsidR="0076713F" w:rsidRPr="0051733E" w:rsidRDefault="0076713F" w:rsidP="0076713F">
      <w:pPr>
        <w:pStyle w:val="SingleTxtG"/>
        <w:ind w:left="1701" w:hanging="567"/>
      </w:pPr>
      <w:r w:rsidRPr="0051733E">
        <w:t>3.</w:t>
      </w:r>
      <w:r w:rsidRPr="0051733E">
        <w:tab/>
        <w:t>Promotion and protection of all human rights, civil, political, economic, social and cultural rights, including the right to development.</w:t>
      </w:r>
    </w:p>
    <w:p w:rsidR="0076713F" w:rsidRPr="0051733E" w:rsidRDefault="0076713F" w:rsidP="0076713F">
      <w:pPr>
        <w:pStyle w:val="SingleTxtG"/>
        <w:ind w:left="1701" w:hanging="567"/>
      </w:pPr>
      <w:r w:rsidRPr="0051733E">
        <w:t>4.</w:t>
      </w:r>
      <w:r w:rsidRPr="0051733E">
        <w:tab/>
        <w:t>Human rights situations that require the Council</w:t>
      </w:r>
      <w:r w:rsidR="001B52C8">
        <w:t>’</w:t>
      </w:r>
      <w:r w:rsidRPr="0051733E">
        <w:t>s attention.</w:t>
      </w:r>
    </w:p>
    <w:p w:rsidR="0076713F" w:rsidRPr="0051733E" w:rsidRDefault="0076713F" w:rsidP="0076713F">
      <w:pPr>
        <w:pStyle w:val="SingleTxtG"/>
        <w:ind w:left="1701" w:hanging="567"/>
      </w:pPr>
      <w:r w:rsidRPr="0051733E">
        <w:t>5.</w:t>
      </w:r>
      <w:r w:rsidRPr="0051733E">
        <w:tab/>
        <w:t>Human rights bodies and mechanisms.</w:t>
      </w:r>
    </w:p>
    <w:p w:rsidR="0076713F" w:rsidRPr="0051733E" w:rsidRDefault="0076713F" w:rsidP="0076713F">
      <w:pPr>
        <w:pStyle w:val="SingleTxtG"/>
        <w:ind w:left="1701" w:hanging="567"/>
      </w:pPr>
      <w:r w:rsidRPr="0051733E">
        <w:t>6.</w:t>
      </w:r>
      <w:r w:rsidRPr="0051733E">
        <w:tab/>
        <w:t>Universal periodic review.</w:t>
      </w:r>
    </w:p>
    <w:p w:rsidR="0076713F" w:rsidRPr="0051733E" w:rsidRDefault="0076713F" w:rsidP="0076713F">
      <w:pPr>
        <w:pStyle w:val="SingleTxtG"/>
        <w:ind w:left="1701" w:hanging="567"/>
      </w:pPr>
      <w:r w:rsidRPr="0051733E">
        <w:t>7.</w:t>
      </w:r>
      <w:r w:rsidRPr="0051733E">
        <w:tab/>
        <w:t>Human rights situation in Palestine and other occupied Arab territories.</w:t>
      </w:r>
    </w:p>
    <w:p w:rsidR="0076713F" w:rsidRPr="0051733E" w:rsidRDefault="0076713F" w:rsidP="0076713F">
      <w:pPr>
        <w:pStyle w:val="SingleTxtG"/>
        <w:ind w:left="1701" w:hanging="567"/>
      </w:pPr>
      <w:r w:rsidRPr="0051733E">
        <w:t>8.</w:t>
      </w:r>
      <w:r w:rsidRPr="0051733E">
        <w:tab/>
        <w:t>Follow-up to and implementation of the Vienna Declaration and Programme of Action.</w:t>
      </w:r>
    </w:p>
    <w:p w:rsidR="0076713F" w:rsidRPr="0051733E" w:rsidRDefault="0076713F" w:rsidP="0076713F">
      <w:pPr>
        <w:pStyle w:val="SingleTxtG"/>
        <w:ind w:left="1701" w:hanging="567"/>
      </w:pPr>
      <w:r w:rsidRPr="0051733E">
        <w:t>9.</w:t>
      </w:r>
      <w:r w:rsidRPr="0051733E">
        <w:tab/>
        <w:t>Racism, racial discrimination, xenophobia and related forms of intolerance, follow-up to and implementation of the Durban Declaration and Programme of Action.</w:t>
      </w:r>
    </w:p>
    <w:p w:rsidR="0076713F" w:rsidRPr="0051733E" w:rsidRDefault="0076713F" w:rsidP="0076713F">
      <w:pPr>
        <w:pStyle w:val="SingleTxtG"/>
        <w:ind w:left="1701" w:hanging="567"/>
      </w:pPr>
      <w:r w:rsidRPr="0051733E">
        <w:t>10.</w:t>
      </w:r>
      <w:r w:rsidRPr="0051733E">
        <w:tab/>
        <w:t>Technical assistance and capacity-building.</w:t>
      </w:r>
    </w:p>
    <w:p w:rsidR="0076713F" w:rsidRPr="0051733E" w:rsidRDefault="0076713F" w:rsidP="00FE0EF5">
      <w:pPr>
        <w:pStyle w:val="H1G"/>
      </w:pPr>
      <w:r w:rsidRPr="0051733E">
        <w:tab/>
      </w:r>
      <w:r w:rsidRPr="0051733E">
        <w:tab/>
        <w:t>Annotations</w:t>
      </w:r>
    </w:p>
    <w:p w:rsidR="0076713F" w:rsidRPr="0051733E" w:rsidRDefault="0076713F" w:rsidP="00FE0EF5">
      <w:pPr>
        <w:pStyle w:val="H23G"/>
      </w:pPr>
      <w:r w:rsidRPr="0051733E">
        <w:tab/>
        <w:t>1.</w:t>
      </w:r>
      <w:r w:rsidRPr="0051733E">
        <w:tab/>
        <w:t>Organizational and procedural matters</w:t>
      </w:r>
    </w:p>
    <w:p w:rsidR="0076713F" w:rsidRPr="0051733E" w:rsidRDefault="0076713F" w:rsidP="00FE0EF5">
      <w:pPr>
        <w:pStyle w:val="H4G"/>
        <w:rPr>
          <w:highlight w:val="yellow"/>
        </w:rPr>
      </w:pPr>
      <w:bookmarkStart w:id="1" w:name="_Toc220320987"/>
      <w:r w:rsidRPr="0051733E">
        <w:tab/>
      </w:r>
      <w:bookmarkStart w:id="2" w:name="_Toc220320988"/>
      <w:bookmarkEnd w:id="1"/>
      <w:r w:rsidRPr="0051733E">
        <w:tab/>
        <w:t>Date and venue of the session</w:t>
      </w:r>
      <w:bookmarkEnd w:id="2"/>
    </w:p>
    <w:p w:rsidR="0076713F" w:rsidRPr="0051733E" w:rsidRDefault="0076713F" w:rsidP="0076713F">
      <w:pPr>
        <w:pStyle w:val="SingleTxtG"/>
      </w:pPr>
      <w:r w:rsidRPr="0051733E">
        <w:t>1.</w:t>
      </w:r>
      <w:r w:rsidRPr="0051733E">
        <w:tab/>
        <w:t>In accordance with its annual programme of work, as considered on 5 December 2016 at the organizational session for its eleventh cycle, the Human Rights Council will hold its thirty-fifth session from 6 to 23 June 2017 at the United Nations Office at Geneva.</w:t>
      </w:r>
    </w:p>
    <w:p w:rsidR="0076713F" w:rsidRPr="0051733E" w:rsidRDefault="0076713F" w:rsidP="0076713F">
      <w:pPr>
        <w:pStyle w:val="SingleTxtG"/>
      </w:pPr>
      <w:r w:rsidRPr="0051733E">
        <w:t>2.</w:t>
      </w:r>
      <w:r w:rsidRPr="0051733E">
        <w:tab/>
        <w:t>In accordance with rule 8 (b) of the rules of procedure of the Human Rights Council, as contained in section VII of the annex to Council resolution 5/1, the organizational meeting for the thirty-fifth session will be held on 22 May 2017.</w:t>
      </w:r>
    </w:p>
    <w:p w:rsidR="0076713F" w:rsidRPr="0051733E" w:rsidRDefault="0076713F" w:rsidP="00394049">
      <w:pPr>
        <w:pStyle w:val="H4G"/>
      </w:pPr>
      <w:bookmarkStart w:id="3" w:name="_Toc220320989"/>
      <w:r w:rsidRPr="0051733E">
        <w:lastRenderedPageBreak/>
        <w:tab/>
      </w:r>
      <w:r w:rsidRPr="0051733E">
        <w:tab/>
        <w:t>Agenda of the session</w:t>
      </w:r>
      <w:bookmarkEnd w:id="3"/>
    </w:p>
    <w:p w:rsidR="0076713F" w:rsidRPr="0051733E" w:rsidRDefault="0076713F" w:rsidP="0076713F">
      <w:pPr>
        <w:pStyle w:val="SingleTxtG"/>
      </w:pPr>
      <w:r w:rsidRPr="0051733E">
        <w:t>3.</w:t>
      </w:r>
      <w:r w:rsidRPr="0051733E">
        <w:tab/>
        <w:t>The agenda of the Human Rights Council is contained in section V of the annex to Council resolution 5/1. The Council will have before it the present annotations relating to items included in the agenda for the thirty-fifth session.</w:t>
      </w:r>
    </w:p>
    <w:p w:rsidR="0076713F" w:rsidRPr="0051733E" w:rsidRDefault="0076713F" w:rsidP="00A3315D">
      <w:pPr>
        <w:pStyle w:val="H4G"/>
      </w:pPr>
      <w:bookmarkStart w:id="4" w:name="_Toc220320990"/>
      <w:r w:rsidRPr="0051733E">
        <w:tab/>
      </w:r>
      <w:r w:rsidRPr="0051733E">
        <w:tab/>
        <w:t>Composition of the Human Rights Council</w:t>
      </w:r>
      <w:bookmarkEnd w:id="4"/>
    </w:p>
    <w:p w:rsidR="0076713F" w:rsidRPr="0051733E" w:rsidRDefault="0076713F" w:rsidP="0076713F">
      <w:pPr>
        <w:pStyle w:val="SingleTxtG"/>
      </w:pPr>
      <w:r w:rsidRPr="0051733E">
        <w:t>4.</w:t>
      </w:r>
      <w:r w:rsidRPr="0051733E">
        <w:tab/>
        <w:t>The composition of the Human Rights Council at its thirty-fifth session is as follows:</w:t>
      </w:r>
      <w:r w:rsidRPr="008C38EC">
        <w:rPr>
          <w:rStyle w:val="FootnoteReference"/>
        </w:rPr>
        <w:footnoteReference w:id="2"/>
      </w:r>
      <w:r w:rsidRPr="0051733E">
        <w:t xml:space="preserve"> </w:t>
      </w:r>
      <w:bookmarkStart w:id="5" w:name="_Toc220320991"/>
      <w:r w:rsidRPr="0051733E">
        <w:t>Albania (2017); Bangladesh (2017); Belgium (2018); Bolivia (</w:t>
      </w:r>
      <w:proofErr w:type="spellStart"/>
      <w:r w:rsidRPr="0051733E">
        <w:t>Plurinational</w:t>
      </w:r>
      <w:proofErr w:type="spellEnd"/>
      <w:r w:rsidRPr="0051733E">
        <w:t xml:space="preserve"> State of) (2017); Botswana (2017); Brazil (2019); Burundi (2018); China (2019); Congo (2017); Côte d</w:t>
      </w:r>
      <w:r w:rsidR="001B52C8">
        <w:t>’</w:t>
      </w:r>
      <w:r w:rsidRPr="0051733E">
        <w:t>Ivoire (2018); Croatia (2019); Cuba (2019); Ecuador (2018); Egypt (2019); El Salvador (2017); Ethiopia (2018); Georgia (2018); Germany (2018); Ghana (2017); Hungary (2019); India (2017); Indonesia (2017); Iraq (2019); Japan (2019); Kenya (2018); Kyrgyzstan (2018); Latvia (2017); Mongolia (2018); Netherlands (2017); Nigeria (2017); Panama (2018); Paraguay (2017); Philippines (2018); Portugal (2017); Qatar (2017); Republic of Korea (2018); Rwanda (2019); Saudi Arabia (2019); Slovenia (2018); South Africa (2019); Switzerland (2018); Togo (2018); Tunisia (2019); United Arab Emirates (2018); United Kingdom of Great Britain and Northern Ireland (2019); United States of America (2019); and Venezuela (Bolivarian Republic of) (2018).</w:t>
      </w:r>
    </w:p>
    <w:p w:rsidR="0076713F" w:rsidRPr="0051733E" w:rsidRDefault="0076713F" w:rsidP="001B52C8">
      <w:pPr>
        <w:pStyle w:val="H4G"/>
      </w:pPr>
      <w:r w:rsidRPr="0051733E">
        <w:tab/>
      </w:r>
      <w:r w:rsidRPr="0051733E">
        <w:tab/>
        <w:t>Bureau of the Human Rights Council</w:t>
      </w:r>
      <w:bookmarkEnd w:id="5"/>
    </w:p>
    <w:p w:rsidR="0076713F" w:rsidRPr="0051733E" w:rsidRDefault="0076713F" w:rsidP="0076713F">
      <w:pPr>
        <w:pStyle w:val="SingleTxtG"/>
      </w:pPr>
      <w:r w:rsidRPr="0051733E">
        <w:t>5.</w:t>
      </w:r>
      <w:r w:rsidRPr="0051733E">
        <w:tab/>
        <w:t xml:space="preserve">At its organizational session held on 5 December 2016, the Human Rights Council elected the following members of the Bureau for its eleventh cycle, which will run from 1 January to 31 December 2017: </w:t>
      </w:r>
    </w:p>
    <w:p w:rsidR="0076713F" w:rsidRPr="000E7297" w:rsidRDefault="0076713F" w:rsidP="004225C0">
      <w:pPr>
        <w:pStyle w:val="SingleTxtG"/>
        <w:tabs>
          <w:tab w:val="left" w:pos="4536"/>
        </w:tabs>
        <w:ind w:left="1701"/>
        <w:rPr>
          <w:lang w:val="es-ES"/>
        </w:rPr>
      </w:pPr>
      <w:proofErr w:type="spellStart"/>
      <w:r w:rsidRPr="000E7297">
        <w:rPr>
          <w:i/>
          <w:lang w:val="es-ES"/>
        </w:rPr>
        <w:t>President</w:t>
      </w:r>
      <w:proofErr w:type="spellEnd"/>
      <w:r w:rsidRPr="000E7297">
        <w:rPr>
          <w:lang w:val="es-ES"/>
        </w:rPr>
        <w:tab/>
      </w:r>
      <w:r w:rsidRPr="000E7297">
        <w:rPr>
          <w:lang w:val="es-ES"/>
        </w:rPr>
        <w:tab/>
        <w:t>Joaquín Alexander Maza Martelli (El Salvador)</w:t>
      </w:r>
    </w:p>
    <w:p w:rsidR="0076713F" w:rsidRPr="0051733E" w:rsidRDefault="0076713F" w:rsidP="00A33FF0">
      <w:pPr>
        <w:pStyle w:val="SingleTxtG"/>
        <w:tabs>
          <w:tab w:val="left" w:pos="4536"/>
        </w:tabs>
        <w:ind w:left="1701"/>
      </w:pPr>
      <w:r w:rsidRPr="00CC58A8">
        <w:rPr>
          <w:i/>
        </w:rPr>
        <w:t>Vice-Presidents</w:t>
      </w:r>
      <w:r w:rsidRPr="0051733E">
        <w:tab/>
        <w:t>Amr Ramadan (Egypt)</w:t>
      </w:r>
    </w:p>
    <w:p w:rsidR="0076713F" w:rsidRPr="0051733E" w:rsidRDefault="004225C0" w:rsidP="00A33FF0">
      <w:pPr>
        <w:pStyle w:val="SingleTxtG"/>
        <w:tabs>
          <w:tab w:val="left" w:pos="4536"/>
        </w:tabs>
        <w:ind w:left="1701"/>
      </w:pPr>
      <w:r>
        <w:tab/>
      </w:r>
      <w:proofErr w:type="spellStart"/>
      <w:r w:rsidR="0076713F" w:rsidRPr="0051733E">
        <w:t>Shalva</w:t>
      </w:r>
      <w:proofErr w:type="spellEnd"/>
      <w:r w:rsidR="0076713F" w:rsidRPr="0051733E">
        <w:t xml:space="preserve"> </w:t>
      </w:r>
      <w:proofErr w:type="spellStart"/>
      <w:r w:rsidR="0076713F" w:rsidRPr="0051733E">
        <w:t>Tsiskarashvili</w:t>
      </w:r>
      <w:proofErr w:type="spellEnd"/>
      <w:r w:rsidR="0076713F" w:rsidRPr="0051733E">
        <w:t xml:space="preserve"> (Georgia)</w:t>
      </w:r>
    </w:p>
    <w:p w:rsidR="0076713F" w:rsidRPr="0051733E" w:rsidRDefault="004225C0" w:rsidP="00F351C4">
      <w:pPr>
        <w:pStyle w:val="SingleTxtG"/>
        <w:tabs>
          <w:tab w:val="left" w:pos="4536"/>
        </w:tabs>
        <w:ind w:left="1701"/>
      </w:pPr>
      <w:r>
        <w:tab/>
      </w:r>
      <w:r w:rsidR="0076713F" w:rsidRPr="0051733E">
        <w:t>Valentin Zellweger (Switzerland)</w:t>
      </w:r>
    </w:p>
    <w:p w:rsidR="0076713F" w:rsidRPr="0051733E" w:rsidRDefault="0076713F" w:rsidP="004225C0">
      <w:pPr>
        <w:pStyle w:val="SingleTxtG"/>
        <w:ind w:left="1701"/>
      </w:pPr>
      <w:r w:rsidRPr="00CC58A8">
        <w:rPr>
          <w:i/>
        </w:rPr>
        <w:t>Vice-President and Rapporteur</w:t>
      </w:r>
      <w:r w:rsidRPr="0051733E">
        <w:tab/>
      </w:r>
      <w:proofErr w:type="spellStart"/>
      <w:r w:rsidRPr="0051733E">
        <w:t>Mouayed</w:t>
      </w:r>
      <w:proofErr w:type="spellEnd"/>
      <w:r w:rsidRPr="0051733E">
        <w:t xml:space="preserve"> Saleh (Iraq)</w:t>
      </w:r>
    </w:p>
    <w:p w:rsidR="0076713F" w:rsidRPr="0051733E" w:rsidRDefault="0076713F" w:rsidP="00A827C1">
      <w:pPr>
        <w:pStyle w:val="H4G"/>
      </w:pPr>
      <w:bookmarkStart w:id="6" w:name="_Toc220320993"/>
      <w:r w:rsidRPr="0051733E">
        <w:tab/>
      </w:r>
      <w:r w:rsidRPr="0051733E">
        <w:tab/>
        <w:t>Selection and appointment of mandate holders</w:t>
      </w:r>
      <w:bookmarkEnd w:id="6"/>
    </w:p>
    <w:p w:rsidR="0076713F" w:rsidRPr="0051733E" w:rsidRDefault="0076713F" w:rsidP="0076713F">
      <w:pPr>
        <w:pStyle w:val="SingleTxtG"/>
      </w:pPr>
      <w:r w:rsidRPr="0051733E">
        <w:t>6.</w:t>
      </w:r>
      <w:r w:rsidRPr="0051733E">
        <w:tab/>
        <w:t xml:space="preserve">In accordance with paragraph 47 of the annex to Human Rights Council resolution 5/1 and the requirements set out in Council decision 6/102, the consultative group, which, for the period from 1 April 2017 to 31 March 2018, is composed of Hans </w:t>
      </w:r>
      <w:proofErr w:type="spellStart"/>
      <w:r w:rsidRPr="0051733E">
        <w:t>Brattskar</w:t>
      </w:r>
      <w:proofErr w:type="spellEnd"/>
      <w:r w:rsidRPr="0051733E">
        <w:t xml:space="preserve"> (Norway), </w:t>
      </w:r>
      <w:proofErr w:type="spellStart"/>
      <w:r w:rsidRPr="0051733E">
        <w:t>Israhyananda</w:t>
      </w:r>
      <w:proofErr w:type="spellEnd"/>
      <w:r w:rsidRPr="0051733E">
        <w:t xml:space="preserve"> </w:t>
      </w:r>
      <w:proofErr w:type="spellStart"/>
      <w:r w:rsidRPr="0051733E">
        <w:t>Dhalladoo</w:t>
      </w:r>
      <w:proofErr w:type="spellEnd"/>
      <w:r w:rsidRPr="0051733E">
        <w:t xml:space="preserve"> (Mauritius), Jan </w:t>
      </w:r>
      <w:proofErr w:type="spellStart"/>
      <w:r w:rsidRPr="0051733E">
        <w:t>Kára</w:t>
      </w:r>
      <w:proofErr w:type="spellEnd"/>
      <w:r w:rsidRPr="0051733E">
        <w:t xml:space="preserve"> (</w:t>
      </w:r>
      <w:proofErr w:type="spellStart"/>
      <w:r w:rsidRPr="0051733E">
        <w:t>Czechia</w:t>
      </w:r>
      <w:proofErr w:type="spellEnd"/>
      <w:r w:rsidRPr="0051733E">
        <w:t xml:space="preserve">), </w:t>
      </w:r>
      <w:proofErr w:type="spellStart"/>
      <w:r w:rsidRPr="0051733E">
        <w:t>Giampaolo</w:t>
      </w:r>
      <w:proofErr w:type="spellEnd"/>
      <w:r w:rsidRPr="0051733E">
        <w:t xml:space="preserve"> Carmelo Rizzo Alvarado (Honduras) and </w:t>
      </w:r>
      <w:proofErr w:type="spellStart"/>
      <w:r w:rsidRPr="0051733E">
        <w:t>Amran</w:t>
      </w:r>
      <w:proofErr w:type="spellEnd"/>
      <w:r w:rsidRPr="0051733E">
        <w:t xml:space="preserve"> Mohamed Zin (Malaysia), will propose to the President of the Council a list of candidates for the mandates of Independent Expert on human rights and international solidarity, Special Rapporteur on minority issues, Special Rapporteur on the human rights of migrants, and Special Rapporteur on the promotion and protection of human rights and fundamental freedoms while countering terrorism.</w:t>
      </w:r>
    </w:p>
    <w:p w:rsidR="0076713F" w:rsidRPr="0051733E" w:rsidRDefault="0076713F" w:rsidP="0076713F">
      <w:pPr>
        <w:pStyle w:val="SingleTxtG"/>
      </w:pPr>
      <w:r w:rsidRPr="0051733E">
        <w:t>7.</w:t>
      </w:r>
      <w:r w:rsidRPr="0051733E">
        <w:tab/>
        <w:t>In accordance with the procedure stipulated in paragraphs 52 and 53 of the annex to Human Rights Council resolution 5/1, the appointment of special procedure mandate holders will be completed upon the subsequent approval by the Council. The mandate holders in question will be appointed before the end of the thirty-fifth session.</w:t>
      </w:r>
    </w:p>
    <w:p w:rsidR="0076713F" w:rsidRPr="0051733E" w:rsidRDefault="0076713F" w:rsidP="005F2F25">
      <w:pPr>
        <w:pStyle w:val="H4G"/>
      </w:pPr>
      <w:r w:rsidRPr="0051733E">
        <w:tab/>
      </w:r>
      <w:bookmarkStart w:id="7" w:name="_Toc220320995"/>
      <w:r w:rsidRPr="0051733E">
        <w:tab/>
        <w:t>Report of the session</w:t>
      </w:r>
      <w:bookmarkEnd w:id="7"/>
    </w:p>
    <w:p w:rsidR="0076713F" w:rsidRPr="0051733E" w:rsidRDefault="0076713F" w:rsidP="0076713F">
      <w:pPr>
        <w:pStyle w:val="SingleTxtG"/>
        <w:rPr>
          <w:highlight w:val="yellow"/>
        </w:rPr>
      </w:pPr>
      <w:r w:rsidRPr="0051733E">
        <w:t>8.</w:t>
      </w:r>
      <w:r w:rsidRPr="0051733E">
        <w:tab/>
        <w:t>At the end of its thirty-fifth session, the Human Rights Council will have before it for adoption a draft report prepared by the Rapporteur. It will contain a technical summary of the proceedings of the session.</w:t>
      </w:r>
    </w:p>
    <w:p w:rsidR="0076713F" w:rsidRPr="0051733E" w:rsidRDefault="0076713F" w:rsidP="005F2F25">
      <w:pPr>
        <w:pStyle w:val="H23G"/>
        <w:rPr>
          <w:highlight w:val="yellow"/>
        </w:rPr>
      </w:pPr>
      <w:bookmarkStart w:id="8" w:name="_Toc220320996"/>
      <w:r w:rsidRPr="0051733E">
        <w:lastRenderedPageBreak/>
        <w:tab/>
        <w:t>2.</w:t>
      </w:r>
      <w:r w:rsidRPr="0051733E">
        <w:tab/>
        <w:t>Annual report of the United Nations High Commissioner for Human Rights and reports of the Office of the High Commissioner and the Secretary-General</w:t>
      </w:r>
      <w:bookmarkEnd w:id="8"/>
    </w:p>
    <w:p w:rsidR="006D4EDF" w:rsidRPr="006D4EDF" w:rsidRDefault="0076713F" w:rsidP="006D4EDF">
      <w:pPr>
        <w:pStyle w:val="SingleTxtG"/>
      </w:pPr>
      <w:r w:rsidRPr="0051733E">
        <w:t>9.</w:t>
      </w:r>
      <w:r w:rsidRPr="0051733E">
        <w:tab/>
        <w:t xml:space="preserve">All reports of the United Nations High Commissioner for Human Rights, the Office of the High Commissioner (OHCHR) and the Secretary-General are submitted under agenda item 2, which remains an open-ended item throughout the session. These reports will be considered </w:t>
      </w:r>
      <w:r w:rsidR="006D4EDF">
        <w:t>at the time of consideration of</w:t>
      </w:r>
      <w:r w:rsidRPr="0051733E">
        <w:t xml:space="preserve"> relevant agenda items, as appropriate. The specific timing of their introduction will be reflected in the programme of work.</w:t>
      </w:r>
    </w:p>
    <w:p w:rsidR="0076713F" w:rsidRPr="0051733E" w:rsidRDefault="0076713F" w:rsidP="005F2F25">
      <w:pPr>
        <w:pStyle w:val="H4G"/>
      </w:pPr>
      <w:r w:rsidRPr="0051733E">
        <w:tab/>
      </w:r>
      <w:r w:rsidRPr="0051733E">
        <w:tab/>
        <w:t>Violence against women</w:t>
      </w:r>
    </w:p>
    <w:p w:rsidR="0076713F" w:rsidRPr="0051733E" w:rsidRDefault="0076713F" w:rsidP="0076713F">
      <w:pPr>
        <w:pStyle w:val="SingleTxtG"/>
      </w:pPr>
      <w:r w:rsidRPr="0051733E">
        <w:t>10.</w:t>
      </w:r>
      <w:r w:rsidRPr="0051733E">
        <w:tab/>
        <w:t xml:space="preserve">Reference is made to the report on the activities of the United Nations Trust Fund in Support of Actions to Eliminate Violence against Women (A/HRC/35/3 </w:t>
      </w:r>
      <w:r w:rsidR="00D63693">
        <w:t>-</w:t>
      </w:r>
      <w:r w:rsidRPr="0051733E">
        <w:t xml:space="preserve"> E/CN.6/2017/7) (see para. 46 below).</w:t>
      </w:r>
    </w:p>
    <w:p w:rsidR="0076713F" w:rsidRPr="0051733E" w:rsidRDefault="0076713F" w:rsidP="005F2F25">
      <w:pPr>
        <w:pStyle w:val="H4G"/>
      </w:pPr>
      <w:r w:rsidRPr="0051733E">
        <w:tab/>
      </w:r>
      <w:r w:rsidRPr="0051733E">
        <w:tab/>
        <w:t>Conscientious objection to military service</w:t>
      </w:r>
    </w:p>
    <w:p w:rsidR="0076713F" w:rsidRPr="0051733E" w:rsidRDefault="0076713F" w:rsidP="0076713F">
      <w:pPr>
        <w:pStyle w:val="SingleTxtG"/>
      </w:pPr>
      <w:r w:rsidRPr="0051733E">
        <w:t>11.</w:t>
      </w:r>
      <w:r w:rsidRPr="0051733E">
        <w:tab/>
        <w:t>Reference is made to the quadrennial report of OHCHR on conscientious objection to military service (A/HRC/35/4) (see para. 40 below).</w:t>
      </w:r>
    </w:p>
    <w:p w:rsidR="0076713F" w:rsidRPr="0051733E" w:rsidRDefault="0076713F" w:rsidP="005F2F25">
      <w:pPr>
        <w:pStyle w:val="H4G"/>
      </w:pPr>
      <w:r w:rsidRPr="0051733E">
        <w:tab/>
      </w:r>
      <w:r w:rsidRPr="0051733E">
        <w:tab/>
        <w:t>Strengthening efforts to prevent and eliminate child, early and forced marriage</w:t>
      </w:r>
    </w:p>
    <w:p w:rsidR="0076713F" w:rsidRPr="0051733E" w:rsidRDefault="0076713F" w:rsidP="0076713F">
      <w:pPr>
        <w:pStyle w:val="SingleTxtG"/>
      </w:pPr>
      <w:r w:rsidRPr="0051733E">
        <w:t>12.</w:t>
      </w:r>
      <w:r w:rsidRPr="0051733E">
        <w:tab/>
        <w:t>Reference is made to the report of the High Commissioner on the expert workshop on the impact of existing strategies and initiatives to address child, early and forced marriage (A/HRC/35/5) (see para. 54 below).</w:t>
      </w:r>
    </w:p>
    <w:p w:rsidR="0076713F" w:rsidRPr="0051733E" w:rsidRDefault="0076713F" w:rsidP="005F2F25">
      <w:pPr>
        <w:pStyle w:val="H4G"/>
      </w:pPr>
      <w:r w:rsidRPr="0051733E">
        <w:tab/>
      </w:r>
      <w:r w:rsidRPr="0051733E">
        <w:tab/>
        <w:t>The promotion, protection and enjoyment of human rights on the Internet</w:t>
      </w:r>
    </w:p>
    <w:p w:rsidR="0076713F" w:rsidRPr="0051733E" w:rsidRDefault="0076713F" w:rsidP="0076713F">
      <w:pPr>
        <w:pStyle w:val="SingleTxtG"/>
      </w:pPr>
      <w:r w:rsidRPr="0051733E">
        <w:t>13.</w:t>
      </w:r>
      <w:r w:rsidRPr="0051733E">
        <w:tab/>
        <w:t>Reference is made to the report of the High Commissioner on ways to bridge the gender digital divide from a human rights perspective (A/HRC/35/9) (see para. 59 below).</w:t>
      </w:r>
    </w:p>
    <w:p w:rsidR="0076713F" w:rsidRPr="0051733E" w:rsidRDefault="0076713F" w:rsidP="005F2F25">
      <w:pPr>
        <w:pStyle w:val="H4G"/>
      </w:pPr>
      <w:r w:rsidRPr="0051733E">
        <w:tab/>
      </w:r>
      <w:r w:rsidRPr="0051733E">
        <w:tab/>
        <w:t>Impact of multiple and intersecting forms of discrimination and violence in the context of racism, racial discrimination, xenophobia and related intolerance on the full enjoyment of all human rights by women and girls</w:t>
      </w:r>
    </w:p>
    <w:p w:rsidR="0076713F" w:rsidRPr="0051733E" w:rsidRDefault="0076713F" w:rsidP="0076713F">
      <w:pPr>
        <w:pStyle w:val="SingleTxtG"/>
      </w:pPr>
      <w:r w:rsidRPr="0051733E">
        <w:t>14.</w:t>
      </w:r>
      <w:r w:rsidRPr="0051733E">
        <w:tab/>
        <w:t>Reference is made to the report of the High Commissioner on the impact of multiple and intersecting forms of discrimination and violence in the context of racism, racial discrimination, xenophobia and related intolerance on the full enjoyment of all human rights by women and girls (A/HRC/35/10)</w:t>
      </w:r>
      <w:r w:rsidRPr="0051733E" w:rsidDel="000F6952">
        <w:t xml:space="preserve"> </w:t>
      </w:r>
      <w:r w:rsidRPr="0051733E">
        <w:t>(see para. 49 below).</w:t>
      </w:r>
    </w:p>
    <w:p w:rsidR="0076713F" w:rsidRPr="0051733E" w:rsidRDefault="0076713F" w:rsidP="003A61DD">
      <w:pPr>
        <w:pStyle w:val="H4G"/>
      </w:pPr>
      <w:r w:rsidRPr="0051733E">
        <w:tab/>
      </w:r>
      <w:r w:rsidRPr="0051733E">
        <w:tab/>
        <w:t>Realizing the equal enjoyment of the right to education by every girl</w:t>
      </w:r>
    </w:p>
    <w:p w:rsidR="0076713F" w:rsidRPr="0051733E" w:rsidRDefault="0076713F" w:rsidP="0076713F">
      <w:pPr>
        <w:pStyle w:val="SingleTxtG"/>
      </w:pPr>
      <w:r w:rsidRPr="0051733E">
        <w:t>15.</w:t>
      </w:r>
      <w:r w:rsidRPr="0051733E">
        <w:tab/>
        <w:t>Reference is made to the report of the High Commissioner on the realization of the equal enjoyment of the right to education by every girl (A/HRC/35/11) (see para. 50 below).</w:t>
      </w:r>
    </w:p>
    <w:p w:rsidR="0076713F" w:rsidRPr="0051733E" w:rsidRDefault="0076713F" w:rsidP="003A61DD">
      <w:pPr>
        <w:pStyle w:val="H4G"/>
      </w:pPr>
      <w:r w:rsidRPr="0051733E">
        <w:tab/>
      </w:r>
      <w:r w:rsidRPr="0051733E">
        <w:tab/>
        <w:t>Protection of the family: role of the family in supporting the protection and promotion of human rights of persons with disabilities</w:t>
      </w:r>
    </w:p>
    <w:p w:rsidR="0076713F" w:rsidRPr="0051733E" w:rsidRDefault="0076713F" w:rsidP="0076713F">
      <w:pPr>
        <w:pStyle w:val="SingleTxtG"/>
      </w:pPr>
      <w:r w:rsidRPr="0051733E">
        <w:t>16.</w:t>
      </w:r>
      <w:r w:rsidRPr="0051733E">
        <w:tab/>
        <w:t>Reference is made to the summary report of the High Commissioner on the intersessional seminar on the impact of the implementation by States of their obligations under relevant provisions of international human rights law with regard to the protection of the family on the role of the family in supporting the protection and promotion of the rights of persons with disabilities (A/HRC/35/12) (see para. 51 below).</w:t>
      </w:r>
    </w:p>
    <w:p w:rsidR="0076713F" w:rsidRPr="0051733E" w:rsidRDefault="0076713F" w:rsidP="003A61DD">
      <w:pPr>
        <w:pStyle w:val="H4G"/>
      </w:pPr>
      <w:r w:rsidRPr="0051733E">
        <w:tab/>
      </w:r>
      <w:r w:rsidRPr="0051733E">
        <w:tab/>
        <w:t>Human rights and climate change</w:t>
      </w:r>
    </w:p>
    <w:p w:rsidR="0076713F" w:rsidRPr="0051733E" w:rsidRDefault="0076713F" w:rsidP="0076713F">
      <w:pPr>
        <w:pStyle w:val="SingleTxtG"/>
      </w:pPr>
      <w:r w:rsidRPr="0051733E">
        <w:t>17.</w:t>
      </w:r>
      <w:r w:rsidRPr="0051733E">
        <w:tab/>
        <w:t>Reference is made to the study of OHCHR on the relationship between climate change and the full and effective enjoyment of the rights of the child (A/HRC/35/13) (see para. 60 below).</w:t>
      </w:r>
    </w:p>
    <w:p w:rsidR="0076713F" w:rsidRPr="0051733E" w:rsidRDefault="0076713F" w:rsidP="0076713F">
      <w:pPr>
        <w:pStyle w:val="SingleTxtG"/>
      </w:pPr>
      <w:r w:rsidRPr="0051733E">
        <w:t>18.</w:t>
      </w:r>
      <w:r w:rsidRPr="0051733E">
        <w:tab/>
        <w:t>Reference is also made to the summary report of OHCHR on the panel discussion on the adverse impact of climate change on States</w:t>
      </w:r>
      <w:r w:rsidR="001B52C8">
        <w:t>’</w:t>
      </w:r>
      <w:r w:rsidRPr="0051733E">
        <w:t xml:space="preserve"> efforts to realize the rights of the child and related policies, lessons learned and good practices (A/HRC/35/14) (see para. 61 below).</w:t>
      </w:r>
    </w:p>
    <w:p w:rsidR="0076713F" w:rsidRPr="0051733E" w:rsidRDefault="0076713F" w:rsidP="003A61DD">
      <w:pPr>
        <w:pStyle w:val="H4G"/>
      </w:pPr>
      <w:r w:rsidRPr="0051733E">
        <w:lastRenderedPageBreak/>
        <w:tab/>
      </w:r>
      <w:r w:rsidRPr="0051733E">
        <w:tab/>
        <w:t>Impact of arms transfers on human rights</w:t>
      </w:r>
    </w:p>
    <w:p w:rsidR="0076713F" w:rsidRPr="0051733E" w:rsidRDefault="0076713F" w:rsidP="0076713F">
      <w:pPr>
        <w:pStyle w:val="SingleTxtG"/>
      </w:pPr>
      <w:r w:rsidRPr="0051733E">
        <w:t>19.</w:t>
      </w:r>
      <w:r w:rsidRPr="0051733E">
        <w:tab/>
        <w:t>Reference is made to the report of OHCHR on the impact of arms transfers on the enjoyment of human rights (A/HRC/35/8) (see para. 62 below).</w:t>
      </w:r>
    </w:p>
    <w:p w:rsidR="0076713F" w:rsidRPr="0051733E" w:rsidRDefault="0076713F" w:rsidP="003A61DD">
      <w:pPr>
        <w:pStyle w:val="H4G"/>
      </w:pPr>
      <w:r w:rsidRPr="0051733E">
        <w:tab/>
      </w:r>
      <w:r w:rsidRPr="0051733E">
        <w:tab/>
        <w:t>Youth and human rights</w:t>
      </w:r>
    </w:p>
    <w:p w:rsidR="0076713F" w:rsidRPr="0051733E" w:rsidRDefault="0076713F" w:rsidP="0076713F">
      <w:pPr>
        <w:pStyle w:val="SingleTxtG"/>
      </w:pPr>
      <w:r w:rsidRPr="0051733E">
        <w:t>20.</w:t>
      </w:r>
      <w:r w:rsidRPr="0051733E">
        <w:tab/>
        <w:t xml:space="preserve">Reference is made to the summary report of the High Commissioner on the panel discussion on youth and human rights (A/HRC/35/7) (see para. 53 below). </w:t>
      </w:r>
    </w:p>
    <w:p w:rsidR="0076713F" w:rsidRPr="0051733E" w:rsidRDefault="0076713F" w:rsidP="003A61DD">
      <w:pPr>
        <w:pStyle w:val="H4G"/>
      </w:pPr>
      <w:r w:rsidRPr="0051733E">
        <w:tab/>
      </w:r>
      <w:r w:rsidRPr="0051733E">
        <w:tab/>
        <w:t>Human rights education and training</w:t>
      </w:r>
    </w:p>
    <w:p w:rsidR="0076713F" w:rsidRPr="0051733E" w:rsidRDefault="0076713F" w:rsidP="0076713F">
      <w:pPr>
        <w:pStyle w:val="SingleTxtG"/>
      </w:pPr>
      <w:r w:rsidRPr="0051733E">
        <w:t>21.</w:t>
      </w:r>
      <w:r w:rsidRPr="0051733E">
        <w:tab/>
        <w:t xml:space="preserve">Reference is made to the summary report of OHCHR on the high-level panel discussion on the implementation of the United Nations Declaration on Human Rights Education and Training (A/HRC/35/6) (see para. 63 below). </w:t>
      </w:r>
    </w:p>
    <w:p w:rsidR="0076713F" w:rsidRPr="0051733E" w:rsidRDefault="0076713F" w:rsidP="00980844">
      <w:pPr>
        <w:pStyle w:val="H4G"/>
      </w:pPr>
      <w:r w:rsidRPr="0051733E">
        <w:tab/>
      </w:r>
      <w:r w:rsidRPr="0051733E">
        <w:tab/>
        <w:t>Situation of human rights in Eritrea</w:t>
      </w:r>
    </w:p>
    <w:p w:rsidR="0076713F" w:rsidRPr="0051733E" w:rsidRDefault="0076713F" w:rsidP="0076713F">
      <w:pPr>
        <w:pStyle w:val="SingleTxtG"/>
      </w:pPr>
      <w:r w:rsidRPr="0051733E">
        <w:t>22.</w:t>
      </w:r>
      <w:r w:rsidRPr="0051733E">
        <w:tab/>
        <w:t>Reference is made to the oral update of OHCHR on progress in the cooperation between Eritrea and the Office, and on its impact on the situation of human rights in Eritrea (</w:t>
      </w:r>
      <w:proofErr w:type="gramStart"/>
      <w:r w:rsidRPr="0051733E">
        <w:t>see</w:t>
      </w:r>
      <w:proofErr w:type="gramEnd"/>
      <w:r w:rsidRPr="0051733E">
        <w:t xml:space="preserve"> para. 67 below). </w:t>
      </w:r>
    </w:p>
    <w:p w:rsidR="0076713F" w:rsidRPr="0051733E" w:rsidRDefault="0076713F" w:rsidP="00980844">
      <w:pPr>
        <w:pStyle w:val="H4G"/>
      </w:pPr>
      <w:r w:rsidRPr="0051733E">
        <w:tab/>
      </w:r>
      <w:r w:rsidRPr="0051733E">
        <w:tab/>
        <w:t>The human rights situation in the Syrian Arab Republic</w:t>
      </w:r>
    </w:p>
    <w:p w:rsidR="0076713F" w:rsidRPr="0051733E" w:rsidRDefault="0076713F" w:rsidP="0076713F">
      <w:pPr>
        <w:pStyle w:val="SingleTxtG"/>
      </w:pPr>
      <w:r w:rsidRPr="0051733E">
        <w:t>23.</w:t>
      </w:r>
      <w:r w:rsidRPr="0051733E">
        <w:tab/>
        <w:t>Reference is made to the summary report of OHCHR on the high-level panel discussion on the situation of human rights in the Syrian Arab Republic (A/HRC/35/15) (see para. 65 below).</w:t>
      </w:r>
    </w:p>
    <w:p w:rsidR="0076713F" w:rsidRPr="0051733E" w:rsidRDefault="0076713F" w:rsidP="00980844">
      <w:pPr>
        <w:pStyle w:val="H4G"/>
      </w:pPr>
      <w:r w:rsidRPr="0051733E">
        <w:tab/>
      </w:r>
      <w:r w:rsidRPr="0051733E">
        <w:tab/>
        <w:t>Contribution of parliaments to the work of the Human Rights Council and its universal periodic review</w:t>
      </w:r>
    </w:p>
    <w:p w:rsidR="0076713F" w:rsidRPr="0051733E" w:rsidRDefault="0076713F" w:rsidP="0076713F">
      <w:pPr>
        <w:pStyle w:val="SingleTxtG"/>
      </w:pPr>
      <w:r w:rsidRPr="0051733E">
        <w:t>24.</w:t>
      </w:r>
      <w:r w:rsidRPr="0051733E">
        <w:tab/>
        <w:t>Reference is made to the oral update of the High Commissioner on the activities of the Inter-Parliamentary Union on parliamentary capacity-building, and on its activities with regard to the work of the Human Rights Council and its universal periodic review (</w:t>
      </w:r>
      <w:proofErr w:type="gramStart"/>
      <w:r w:rsidRPr="0051733E">
        <w:t>see</w:t>
      </w:r>
      <w:proofErr w:type="gramEnd"/>
      <w:r w:rsidRPr="0051733E">
        <w:t xml:space="preserve"> para. 74 below).</w:t>
      </w:r>
    </w:p>
    <w:p w:rsidR="0076713F" w:rsidRPr="0051733E" w:rsidRDefault="0076713F" w:rsidP="0076713F">
      <w:pPr>
        <w:pStyle w:val="SingleTxtG"/>
      </w:pPr>
      <w:r w:rsidRPr="0051733E">
        <w:t>25.</w:t>
      </w:r>
      <w:r w:rsidRPr="0051733E">
        <w:tab/>
        <w:t>Reference is also made to the summary report of the High Commissioner on the panel discussion on the contribution of parliaments to the work of the Council and its universal periodic review (A/HRC/35/16) (see para. 75 below).</w:t>
      </w:r>
    </w:p>
    <w:p w:rsidR="0076713F" w:rsidRPr="0051733E" w:rsidRDefault="0076713F" w:rsidP="00980844">
      <w:pPr>
        <w:pStyle w:val="H4G"/>
      </w:pPr>
      <w:r w:rsidRPr="0051733E">
        <w:tab/>
      </w:r>
      <w:r w:rsidRPr="0051733E">
        <w:tab/>
        <w:t>Operations of the Voluntary Fund for Participation in the Universal Periodic Review and the Voluntary Fund for Financial and Technical Assistance in the Implementation of the Universal Periodic Review</w:t>
      </w:r>
    </w:p>
    <w:p w:rsidR="0076713F" w:rsidRPr="0051733E" w:rsidRDefault="0076713F" w:rsidP="0076713F">
      <w:pPr>
        <w:pStyle w:val="SingleTxtG"/>
      </w:pPr>
      <w:r w:rsidRPr="0051733E">
        <w:t>26.</w:t>
      </w:r>
      <w:r w:rsidRPr="0051733E">
        <w:tab/>
        <w:t xml:space="preserve">Reference is made to the reports of OHCHR on the operations of the Voluntary Fund for Participation in the Universal Periodic Review (A/HRC/35/17) and on the operations of the Voluntary Fund for Financial and Technical Assistance in the Implementation of the Universal Periodic Review (A/HRC/35/18) (see para. 76 below). </w:t>
      </w:r>
    </w:p>
    <w:p w:rsidR="0076713F" w:rsidRPr="0051733E" w:rsidRDefault="0076713F" w:rsidP="00980844">
      <w:pPr>
        <w:pStyle w:val="H4G"/>
      </w:pPr>
      <w:r w:rsidRPr="0051733E">
        <w:tab/>
      </w:r>
      <w:r w:rsidRPr="0051733E">
        <w:tab/>
        <w:t>Ensuring accountability and justice for all violations of international law in the Occupied Palestinian Territory, including East Jerusalem</w:t>
      </w:r>
    </w:p>
    <w:p w:rsidR="0076713F" w:rsidRPr="0051733E" w:rsidRDefault="0076713F" w:rsidP="0076713F">
      <w:pPr>
        <w:pStyle w:val="SingleTxtG"/>
      </w:pPr>
      <w:r w:rsidRPr="0051733E">
        <w:t>27.</w:t>
      </w:r>
      <w:r w:rsidRPr="0051733E">
        <w:tab/>
        <w:t>Reference is made to the report of the High Commissioner on the review on the status of implementation of the recommendations addressed to all parties since 2009 by the relevant Human Rights Council mechanisms (A/HRC/35/19 and Add.1) (see para. 77 below).</w:t>
      </w:r>
    </w:p>
    <w:p w:rsidR="0076713F" w:rsidRPr="0051733E" w:rsidRDefault="0076713F" w:rsidP="00E848D0">
      <w:pPr>
        <w:pStyle w:val="H4G"/>
      </w:pPr>
      <w:r w:rsidRPr="0051733E">
        <w:tab/>
      </w:r>
      <w:r w:rsidRPr="0051733E">
        <w:tab/>
        <w:t>Technical assistance and capacity-building for human rights in the Democratic Republic of the Congo</w:t>
      </w:r>
    </w:p>
    <w:p w:rsidR="0076713F" w:rsidRPr="0051733E" w:rsidRDefault="0076713F" w:rsidP="0076713F">
      <w:pPr>
        <w:pStyle w:val="SingleTxtG"/>
      </w:pPr>
      <w:r w:rsidRPr="0051733E">
        <w:t>28.</w:t>
      </w:r>
      <w:r w:rsidRPr="0051733E">
        <w:tab/>
        <w:t>Reference is made to the oral update of OHCHR on the situation of human rights in the Democratic Republic of the Congo</w:t>
      </w:r>
      <w:r w:rsidRPr="0051733E" w:rsidDel="00F33DAA">
        <w:t xml:space="preserve"> </w:t>
      </w:r>
      <w:r w:rsidRPr="0051733E">
        <w:t>(see para. 84 below).</w:t>
      </w:r>
    </w:p>
    <w:p w:rsidR="0076713F" w:rsidRPr="0051733E" w:rsidRDefault="0076713F" w:rsidP="00E848D0">
      <w:pPr>
        <w:pStyle w:val="H4G"/>
      </w:pPr>
      <w:r w:rsidRPr="0051733E">
        <w:lastRenderedPageBreak/>
        <w:tab/>
      </w:r>
      <w:r w:rsidRPr="0051733E">
        <w:tab/>
        <w:t>Cooperation with and assistance to Ukraine in the field of human rights</w:t>
      </w:r>
    </w:p>
    <w:p w:rsidR="0076713F" w:rsidRPr="0051733E" w:rsidRDefault="0076713F" w:rsidP="0076713F">
      <w:pPr>
        <w:pStyle w:val="SingleTxtG"/>
      </w:pPr>
      <w:r w:rsidRPr="0051733E">
        <w:t>29.</w:t>
      </w:r>
      <w:r w:rsidRPr="0051733E">
        <w:tab/>
        <w:t xml:space="preserve">Reference is made to the oral presentation of the High Commissioner on the situation of human rights in Ukraine (see para. 85 below). </w:t>
      </w:r>
    </w:p>
    <w:p w:rsidR="0076713F" w:rsidRPr="0051733E" w:rsidRDefault="0076713F" w:rsidP="00E848D0">
      <w:pPr>
        <w:pStyle w:val="H4G"/>
      </w:pPr>
      <w:r w:rsidRPr="0051733E">
        <w:tab/>
      </w:r>
      <w:r w:rsidRPr="0051733E">
        <w:tab/>
        <w:t>Enhancement of technical cooperation and capacity-building in the field of human rights</w:t>
      </w:r>
    </w:p>
    <w:p w:rsidR="0076713F" w:rsidRPr="0051733E" w:rsidRDefault="0076713F" w:rsidP="00E848D0">
      <w:pPr>
        <w:pStyle w:val="SingleTxtG"/>
      </w:pPr>
      <w:r w:rsidRPr="0051733E">
        <w:t>30.</w:t>
      </w:r>
      <w:r w:rsidRPr="0051733E">
        <w:tab/>
        <w:t>Reference is made to the report of OHCHR on progress and challenges in the main activities aimed at enhancing technical cooperation and capacity-building undertaken since the establishment of the Human Rights Council (A/HRC/35/20) (see para. 82 below and annex).</w:t>
      </w:r>
    </w:p>
    <w:p w:rsidR="0076713F" w:rsidRPr="0051733E" w:rsidRDefault="0076713F" w:rsidP="00E848D0">
      <w:pPr>
        <w:pStyle w:val="H4G"/>
      </w:pPr>
      <w:r w:rsidRPr="0051733E">
        <w:tab/>
      </w:r>
      <w:r w:rsidRPr="0051733E">
        <w:tab/>
        <w:t>Cooperation with Georgia</w:t>
      </w:r>
    </w:p>
    <w:p w:rsidR="0076713F" w:rsidRPr="0051733E" w:rsidRDefault="0076713F" w:rsidP="0076713F">
      <w:pPr>
        <w:pStyle w:val="SingleTxtG"/>
      </w:pPr>
      <w:r w:rsidRPr="0051733E">
        <w:t>31.</w:t>
      </w:r>
      <w:r w:rsidRPr="0051733E">
        <w:tab/>
        <w:t xml:space="preserve">Reference is made to the oral update of the High Commissioner on the follow-up to Human Rights Council resolution 34/37 (see para. 86 below). </w:t>
      </w:r>
    </w:p>
    <w:p w:rsidR="0076713F" w:rsidRPr="0051733E" w:rsidRDefault="0076713F" w:rsidP="00E848D0">
      <w:pPr>
        <w:pStyle w:val="H23G"/>
      </w:pPr>
      <w:r w:rsidRPr="0051733E">
        <w:tab/>
        <w:t>3.</w:t>
      </w:r>
      <w:r w:rsidRPr="0051733E">
        <w:tab/>
        <w:t>Promotion and protection of all human rights, civil, political, economic, social and cultural rights, including the right to development</w:t>
      </w:r>
    </w:p>
    <w:p w:rsidR="0076713F" w:rsidRPr="0051733E" w:rsidRDefault="0076713F" w:rsidP="00452A92">
      <w:pPr>
        <w:pStyle w:val="H23G"/>
      </w:pPr>
      <w:bookmarkStart w:id="9" w:name="_Toc220320998"/>
      <w:r w:rsidRPr="0051733E">
        <w:tab/>
      </w:r>
      <w:r w:rsidRPr="0051733E">
        <w:tab/>
        <w:t>Economic, social and cultural rights</w:t>
      </w:r>
      <w:bookmarkEnd w:id="9"/>
    </w:p>
    <w:p w:rsidR="0076713F" w:rsidRPr="0051733E" w:rsidRDefault="0076713F" w:rsidP="00452A92">
      <w:pPr>
        <w:pStyle w:val="H4G"/>
      </w:pPr>
      <w:r w:rsidRPr="0051733E">
        <w:tab/>
      </w:r>
      <w:r w:rsidRPr="0051733E">
        <w:tab/>
        <w:t>Promoting the right of everyone to the enjoyment of the highest attainable standard of physical and mental health through enhancing capacity-building in public health</w:t>
      </w:r>
    </w:p>
    <w:p w:rsidR="0076713F" w:rsidRPr="0051733E" w:rsidRDefault="0076713F" w:rsidP="0076713F">
      <w:pPr>
        <w:pStyle w:val="SingleTxtG"/>
      </w:pPr>
      <w:r w:rsidRPr="0051733E">
        <w:t>32.</w:t>
      </w:r>
      <w:r w:rsidRPr="0051733E">
        <w:tab/>
        <w:t>Pursuant to its resolution 32/16, the Human Rights Council will convene, at its thirty-fifth session, a panel discussion with the objective of exchanging experiences and practices on realizing the right of everyone to the enjoyment of the highest attainable standard of physical and mental health by enhancing capacity-building in public health (see annex).</w:t>
      </w:r>
    </w:p>
    <w:p w:rsidR="0076713F" w:rsidRPr="0051733E" w:rsidRDefault="0076713F" w:rsidP="00452A92">
      <w:pPr>
        <w:pStyle w:val="H4G"/>
      </w:pPr>
      <w:r w:rsidRPr="0051733E">
        <w:tab/>
      </w:r>
      <w:r w:rsidRPr="0051733E">
        <w:tab/>
        <w:t>Right of everyone to the enjoyment of the highest attainable standard of physical and mental health</w:t>
      </w:r>
    </w:p>
    <w:p w:rsidR="0076713F" w:rsidRPr="0051733E" w:rsidRDefault="0076713F" w:rsidP="0076713F">
      <w:pPr>
        <w:pStyle w:val="SingleTxtG"/>
      </w:pPr>
      <w:r w:rsidRPr="0051733E">
        <w:t>33.</w:t>
      </w:r>
      <w:r w:rsidRPr="0051733E">
        <w:tab/>
        <w:t xml:space="preserve">In its resolution 33/9, the Human Rights Council decided to extend the mandate of the Special Rapporteur on the right of everyone to the enjoyment of the highest attainable standard of physical and mental health for a further period of three years, and requested the Special Rapporteur to submit an annual report to the Council covering all activities relating to the mandate. Accordingly, the Council will consider the report of the mandate holder, </w:t>
      </w:r>
      <w:proofErr w:type="spellStart"/>
      <w:r w:rsidRPr="0051733E">
        <w:t>Dainius</w:t>
      </w:r>
      <w:proofErr w:type="spellEnd"/>
      <w:r w:rsidRPr="0051733E">
        <w:t xml:space="preserve"> </w:t>
      </w:r>
      <w:proofErr w:type="spellStart"/>
      <w:r w:rsidRPr="0051733E">
        <w:t>Pūras</w:t>
      </w:r>
      <w:proofErr w:type="spellEnd"/>
      <w:r w:rsidRPr="0051733E">
        <w:t xml:space="preserve"> (A/HRC/35/21 and </w:t>
      </w:r>
      <w:r w:rsidR="00D63693">
        <w:t>Add.</w:t>
      </w:r>
      <w:r w:rsidRPr="0051733E">
        <w:t>1-2).</w:t>
      </w:r>
    </w:p>
    <w:p w:rsidR="0076713F" w:rsidRPr="0051733E" w:rsidRDefault="0076713F" w:rsidP="00452A92">
      <w:pPr>
        <w:pStyle w:val="H4G"/>
      </w:pPr>
      <w:r w:rsidRPr="0051733E">
        <w:tab/>
      </w:r>
      <w:r w:rsidRPr="0051733E">
        <w:tab/>
        <w:t>Right to education</w:t>
      </w:r>
    </w:p>
    <w:p w:rsidR="0076713F" w:rsidRPr="0051733E" w:rsidRDefault="0076713F" w:rsidP="0076713F">
      <w:pPr>
        <w:pStyle w:val="SingleTxtG"/>
      </w:pPr>
      <w:r w:rsidRPr="0051733E">
        <w:t>34.</w:t>
      </w:r>
      <w:r w:rsidRPr="0051733E">
        <w:tab/>
        <w:t xml:space="preserve">In its resolution 26/17, the Human Rights Council decided to extend the mandate of the Special Rapporteur on the right to education for a period of three years, and requested the Special Rapporteur to take fully into account, in the discharge of the mandate, all provisions of Council resolutions on the right to education. The Council will consider the report of the new mandate holder, </w:t>
      </w:r>
      <w:proofErr w:type="spellStart"/>
      <w:r w:rsidRPr="0051733E">
        <w:t>Koumbou</w:t>
      </w:r>
      <w:proofErr w:type="spellEnd"/>
      <w:r w:rsidRPr="0051733E">
        <w:t xml:space="preserve"> </w:t>
      </w:r>
      <w:proofErr w:type="spellStart"/>
      <w:r w:rsidRPr="0051733E">
        <w:t>Boly</w:t>
      </w:r>
      <w:proofErr w:type="spellEnd"/>
      <w:r w:rsidRPr="0051733E">
        <w:t xml:space="preserve"> (A/HRC/35/24 and Add.1).</w:t>
      </w:r>
    </w:p>
    <w:p w:rsidR="0076713F" w:rsidRPr="0051733E" w:rsidRDefault="0076713F" w:rsidP="00452A92">
      <w:pPr>
        <w:pStyle w:val="H4G"/>
      </w:pPr>
      <w:r w:rsidRPr="0051733E">
        <w:tab/>
      </w:r>
      <w:r w:rsidRPr="0051733E">
        <w:tab/>
        <w:t>Extreme poverty and human rights</w:t>
      </w:r>
    </w:p>
    <w:p w:rsidR="0076713F" w:rsidRPr="0051733E" w:rsidRDefault="0076713F" w:rsidP="0076713F">
      <w:pPr>
        <w:pStyle w:val="SingleTxtG"/>
        <w:rPr>
          <w:highlight w:val="yellow"/>
        </w:rPr>
      </w:pPr>
      <w:r w:rsidRPr="0051733E">
        <w:t>35.</w:t>
      </w:r>
      <w:r w:rsidRPr="0051733E">
        <w:tab/>
        <w:t xml:space="preserve">In its resolution 26/3, the Human Rights Council decided to extend, for a period of three years, the mandate of </w:t>
      </w:r>
      <w:r w:rsidR="009F2610">
        <w:t xml:space="preserve">the </w:t>
      </w:r>
      <w:r w:rsidRPr="0051733E">
        <w:t xml:space="preserve">Special Rapporteur on extreme poverty and human rights as set out in Council resolution 8/11, and requested the Special Rapporteur to submit an annual report on the implementation of its resolution 26/3. Accordingly, the Council will consider the report of the mandate holder, Philip Alston (A/HRC/35/26 and </w:t>
      </w:r>
      <w:r w:rsidR="00D63693">
        <w:t>Add.</w:t>
      </w:r>
      <w:r w:rsidRPr="0051733E">
        <w:t>1-3).</w:t>
      </w:r>
    </w:p>
    <w:p w:rsidR="0076713F" w:rsidRPr="0051733E" w:rsidRDefault="0076713F" w:rsidP="00452A92">
      <w:pPr>
        <w:pStyle w:val="H23G"/>
      </w:pPr>
      <w:bookmarkStart w:id="10" w:name="_Toc220320999"/>
      <w:r w:rsidRPr="0051733E">
        <w:tab/>
      </w:r>
      <w:r w:rsidRPr="0051733E">
        <w:tab/>
        <w:t>Civil and political rights</w:t>
      </w:r>
      <w:bookmarkEnd w:id="10"/>
    </w:p>
    <w:p w:rsidR="0076713F" w:rsidRPr="0051733E" w:rsidRDefault="0076713F" w:rsidP="00452A92">
      <w:pPr>
        <w:pStyle w:val="H4G"/>
      </w:pPr>
      <w:r w:rsidRPr="0051733E">
        <w:tab/>
      </w:r>
      <w:r w:rsidRPr="0051733E">
        <w:tab/>
        <w:t>Independence of judges and lawyers</w:t>
      </w:r>
    </w:p>
    <w:p w:rsidR="0076713F" w:rsidRPr="0051733E" w:rsidRDefault="0076713F" w:rsidP="0076713F">
      <w:pPr>
        <w:pStyle w:val="SingleTxtG"/>
        <w:rPr>
          <w:rFonts w:eastAsia="SimSun"/>
        </w:rPr>
      </w:pPr>
      <w:r w:rsidRPr="0051733E">
        <w:rPr>
          <w:rFonts w:eastAsia="SimSun"/>
        </w:rPr>
        <w:t>36.</w:t>
      </w:r>
      <w:r w:rsidRPr="0051733E">
        <w:rPr>
          <w:rFonts w:eastAsia="SimSun"/>
        </w:rPr>
        <w:tab/>
        <w:t xml:space="preserve">In its resolution 26/7, the Human Rights Council decided to extend the mandate of the Special Rapporteur on the independence of judges and lawyers for a period of three </w:t>
      </w:r>
      <w:r w:rsidRPr="0051733E">
        <w:rPr>
          <w:rFonts w:eastAsia="SimSun"/>
        </w:rPr>
        <w:lastRenderedPageBreak/>
        <w:t xml:space="preserve">years on the same terms as provided by the Council in its resolution 17/2. The Council will consider the report of the new </w:t>
      </w:r>
      <w:r w:rsidRPr="0051733E">
        <w:t>mandate holder</w:t>
      </w:r>
      <w:r w:rsidRPr="0051733E">
        <w:rPr>
          <w:rFonts w:eastAsia="SimSun"/>
        </w:rPr>
        <w:t xml:space="preserve">, </w:t>
      </w:r>
      <w:r w:rsidRPr="0051733E">
        <w:t xml:space="preserve">Diego </w:t>
      </w:r>
      <w:proofErr w:type="spellStart"/>
      <w:r w:rsidRPr="0051733E">
        <w:t>García-Sayán</w:t>
      </w:r>
      <w:proofErr w:type="spellEnd"/>
      <w:r w:rsidRPr="0051733E">
        <w:t xml:space="preserve"> </w:t>
      </w:r>
      <w:r w:rsidRPr="0051733E">
        <w:rPr>
          <w:rFonts w:eastAsia="SimSun"/>
        </w:rPr>
        <w:t>(A/HRC/35/31 and Add.1).</w:t>
      </w:r>
    </w:p>
    <w:p w:rsidR="0076713F" w:rsidRPr="0051733E" w:rsidRDefault="0076713F" w:rsidP="00452A92">
      <w:pPr>
        <w:pStyle w:val="H4G"/>
        <w:rPr>
          <w:highlight w:val="yellow"/>
        </w:rPr>
      </w:pPr>
      <w:r w:rsidRPr="0051733E">
        <w:tab/>
      </w:r>
      <w:r w:rsidRPr="0051733E">
        <w:tab/>
        <w:t>Rights to freedom of peaceful assembly and of association</w:t>
      </w:r>
    </w:p>
    <w:p w:rsidR="0076713F" w:rsidRPr="0051733E" w:rsidRDefault="0076713F" w:rsidP="0076713F">
      <w:pPr>
        <w:pStyle w:val="SingleTxtG"/>
        <w:rPr>
          <w:rFonts w:eastAsia="SimSun"/>
        </w:rPr>
      </w:pPr>
      <w:r w:rsidRPr="0051733E">
        <w:rPr>
          <w:rFonts w:eastAsia="SimSun"/>
        </w:rPr>
        <w:t>37.</w:t>
      </w:r>
      <w:r w:rsidRPr="0051733E">
        <w:rPr>
          <w:rFonts w:eastAsia="SimSun"/>
        </w:rPr>
        <w:tab/>
        <w:t>In its resolution 32/32, the Human Rights Council decided to renew the mandate of the Special Rapporteur on the rights to freedom of peaceful assembly and of association for a period of three years, and requested the Special Rapporteur to continue to report annually to the Council. T</w:t>
      </w:r>
      <w:r w:rsidRPr="0051733E">
        <w:t xml:space="preserve">he Council will consider the report of the new mandate holder, Annalisa </w:t>
      </w:r>
      <w:proofErr w:type="spellStart"/>
      <w:r w:rsidRPr="0051733E">
        <w:t>Ciampi</w:t>
      </w:r>
      <w:proofErr w:type="spellEnd"/>
      <w:r w:rsidRPr="0051733E">
        <w:rPr>
          <w:rFonts w:eastAsia="SimSun"/>
        </w:rPr>
        <w:t xml:space="preserve"> (A/HRC/35/28 and </w:t>
      </w:r>
      <w:r w:rsidR="00D63693">
        <w:rPr>
          <w:rFonts w:eastAsia="SimSun"/>
        </w:rPr>
        <w:t>Add.</w:t>
      </w:r>
      <w:r w:rsidRPr="0051733E">
        <w:rPr>
          <w:rFonts w:eastAsia="SimSun"/>
        </w:rPr>
        <w:t>1-3).</w:t>
      </w:r>
    </w:p>
    <w:p w:rsidR="0076713F" w:rsidRPr="0051733E" w:rsidRDefault="0076713F" w:rsidP="00452A92">
      <w:pPr>
        <w:pStyle w:val="H4G"/>
      </w:pPr>
      <w:r w:rsidRPr="0051733E">
        <w:tab/>
      </w:r>
      <w:r w:rsidRPr="0051733E">
        <w:tab/>
        <w:t>Extrajudicial, summary or arbitrary executions</w:t>
      </w:r>
    </w:p>
    <w:p w:rsidR="0076713F" w:rsidRPr="0051733E" w:rsidRDefault="0076713F" w:rsidP="0076713F">
      <w:pPr>
        <w:pStyle w:val="SingleTxtG"/>
      </w:pPr>
      <w:r w:rsidRPr="0051733E">
        <w:t>38.</w:t>
      </w:r>
      <w:r w:rsidRPr="0051733E">
        <w:tab/>
        <w:t>In its resolution 26/12, the Human Rights Council decided to extend the mandate of the Special Rapporteur on extrajudicial, summary or arbitrary executions for three years, and requested the Special Rapporteur, in carrying out the mandate, to continue to examine situations of extrajudicial, summary or arbitrary</w:t>
      </w:r>
      <w:r w:rsidRPr="0051733E">
        <w:rPr>
          <w:rFonts w:eastAsia="MS Mincho"/>
        </w:rPr>
        <w:t xml:space="preserve"> </w:t>
      </w:r>
      <w:r w:rsidRPr="0051733E">
        <w:t xml:space="preserve">executions in all circumstances and for whatever reason, and to submit the findings on an annual basis, together with conclusions and recommendations. The Council will consider the report of the new mandate holder, </w:t>
      </w:r>
      <w:proofErr w:type="spellStart"/>
      <w:r w:rsidRPr="0051733E">
        <w:t>Agnès</w:t>
      </w:r>
      <w:proofErr w:type="spellEnd"/>
      <w:r w:rsidRPr="0051733E">
        <w:t xml:space="preserve"> </w:t>
      </w:r>
      <w:proofErr w:type="spellStart"/>
      <w:r w:rsidRPr="0051733E">
        <w:t>Callamard</w:t>
      </w:r>
      <w:proofErr w:type="spellEnd"/>
      <w:r w:rsidRPr="0051733E">
        <w:t xml:space="preserve"> (A/HRC/35/23 and </w:t>
      </w:r>
      <w:r w:rsidR="00D63693">
        <w:t>Add.</w:t>
      </w:r>
      <w:r w:rsidRPr="0051733E">
        <w:t>1-2).</w:t>
      </w:r>
    </w:p>
    <w:p w:rsidR="0076713F" w:rsidRPr="0051733E" w:rsidRDefault="0076713F" w:rsidP="00452A92">
      <w:pPr>
        <w:pStyle w:val="H4G"/>
      </w:pPr>
      <w:r w:rsidRPr="0051733E">
        <w:tab/>
      </w:r>
      <w:r w:rsidRPr="0051733E">
        <w:tab/>
        <w:t>Freedom of opinion and expression</w:t>
      </w:r>
    </w:p>
    <w:p w:rsidR="0076713F" w:rsidRPr="0051733E" w:rsidRDefault="0076713F" w:rsidP="0076713F">
      <w:pPr>
        <w:pStyle w:val="SingleTxtG"/>
      </w:pPr>
      <w:r w:rsidRPr="0051733E">
        <w:t>39.</w:t>
      </w:r>
      <w:r w:rsidRPr="0051733E">
        <w:tab/>
        <w:t xml:space="preserve">In its resolution 34/18, the Human Rights Council decided to extend the mandate of the </w:t>
      </w:r>
      <w:r w:rsidRPr="0051733E">
        <w:rPr>
          <w:rFonts w:eastAsia="SimSun"/>
        </w:rPr>
        <w:t xml:space="preserve">Special Rapporteur on the promotion and protection of the right to freedom of opinion and expression for a further period of three years, and requested the Special Rapporteur to submit an annual report to the Council covering all activities relating to the mandate. </w:t>
      </w:r>
      <w:r w:rsidRPr="0051733E">
        <w:t xml:space="preserve">The Council will consider the report of the mandate holder, David Kaye (A/HRC/35/22 and </w:t>
      </w:r>
      <w:r w:rsidR="00D63693">
        <w:t>Add.</w:t>
      </w:r>
      <w:r w:rsidRPr="0051733E">
        <w:t>1-3).</w:t>
      </w:r>
    </w:p>
    <w:p w:rsidR="0076713F" w:rsidRPr="0051733E" w:rsidRDefault="0076713F" w:rsidP="00452A92">
      <w:pPr>
        <w:pStyle w:val="H4G"/>
      </w:pPr>
      <w:r w:rsidRPr="0051733E">
        <w:tab/>
      </w:r>
      <w:r w:rsidRPr="0051733E">
        <w:tab/>
        <w:t>Conscientious objection to military service</w:t>
      </w:r>
    </w:p>
    <w:p w:rsidR="0076713F" w:rsidRPr="0051733E" w:rsidRDefault="0076713F" w:rsidP="0076713F">
      <w:pPr>
        <w:pStyle w:val="SingleTxtG"/>
      </w:pPr>
      <w:r w:rsidRPr="0051733E">
        <w:t>40.</w:t>
      </w:r>
      <w:r w:rsidRPr="0051733E">
        <w:tab/>
        <w:t>In its resolution 20/2, the Human Rights Council requested OHCHR to prepare a quadrennial analytical report on conscientious objection to military service, in particular on new developments, best practices and remaining challenges. The Council will have before it the report of OHCHR (A/HRC/35/4) (see para. 11 above).</w:t>
      </w:r>
    </w:p>
    <w:p w:rsidR="0076713F" w:rsidRPr="0051733E" w:rsidRDefault="0076713F" w:rsidP="00452A92">
      <w:pPr>
        <w:pStyle w:val="H23G"/>
      </w:pPr>
      <w:r w:rsidRPr="0051733E">
        <w:tab/>
      </w:r>
      <w:r w:rsidRPr="0051733E">
        <w:tab/>
      </w:r>
      <w:bookmarkStart w:id="11" w:name="_Toc220321000"/>
      <w:r w:rsidRPr="0051733E">
        <w:t>Rights of peoples, and of specific groups and individuals</w:t>
      </w:r>
      <w:bookmarkEnd w:id="11"/>
    </w:p>
    <w:p w:rsidR="0076713F" w:rsidRPr="0051733E" w:rsidRDefault="0076713F" w:rsidP="00452A92">
      <w:pPr>
        <w:pStyle w:val="H4G"/>
      </w:pPr>
      <w:r w:rsidRPr="0051733E">
        <w:tab/>
      </w:r>
      <w:r w:rsidRPr="0051733E">
        <w:tab/>
      </w:r>
      <w:bookmarkStart w:id="12" w:name="_Ref216686773"/>
      <w:r w:rsidRPr="0051733E">
        <w:t>Unaccompanied migrant children and adolescents and human rights</w:t>
      </w:r>
    </w:p>
    <w:p w:rsidR="0076713F" w:rsidRPr="0051733E" w:rsidRDefault="0076713F" w:rsidP="0076713F">
      <w:pPr>
        <w:pStyle w:val="SingleTxtG"/>
      </w:pPr>
      <w:r w:rsidRPr="0051733E">
        <w:t>41.</w:t>
      </w:r>
      <w:r w:rsidRPr="0051733E">
        <w:tab/>
        <w:t xml:space="preserve">Pursuant to its resolution 33/7, the Human Rights Council will convene at its thirty-fifth session a panel discussion on the theme </w:t>
      </w:r>
      <w:r w:rsidR="001B52C8">
        <w:t>“</w:t>
      </w:r>
      <w:r w:rsidRPr="0051733E">
        <w:t>Unaccompanied migrant children and adolescents and human rights</w:t>
      </w:r>
      <w:r w:rsidR="001B52C8">
        <w:t>”</w:t>
      </w:r>
      <w:r w:rsidRPr="0051733E">
        <w:t>, the objective of which will be to identify challenges and best practices by countries of origin, transit and destination and possible joint efforts at all levels to protect the human rights of unaccompanied migrant children and adolescents (see annex).</w:t>
      </w:r>
    </w:p>
    <w:p w:rsidR="0076713F" w:rsidRPr="0051733E" w:rsidRDefault="0076713F" w:rsidP="008920C2">
      <w:pPr>
        <w:pStyle w:val="H4G"/>
      </w:pPr>
      <w:r w:rsidRPr="0051733E">
        <w:tab/>
      </w:r>
      <w:r w:rsidRPr="0051733E">
        <w:tab/>
        <w:t>Human rights of migrants</w:t>
      </w:r>
    </w:p>
    <w:p w:rsidR="0076713F" w:rsidRPr="0051733E" w:rsidRDefault="0076713F" w:rsidP="0076713F">
      <w:pPr>
        <w:pStyle w:val="SingleTxtG"/>
      </w:pPr>
      <w:r w:rsidRPr="0051733E">
        <w:t>42.</w:t>
      </w:r>
      <w:r w:rsidRPr="0051733E">
        <w:tab/>
        <w:t>In its resolutions 26/19 and 29/2, the Human Rights Council requested the Special Rapporteur on the human rights of migrants to continue to report on practical solutions, including with respect to the situation of migrants in transit, by identifying best practices and concrete areas and means for international cooperation in order to enhance the protection of the human rights of migrants, and to continue to pay attention to the topic of the universal enjoyment of human rights for all migrants.</w:t>
      </w:r>
      <w:bookmarkEnd w:id="12"/>
      <w:r w:rsidRPr="0051733E">
        <w:t xml:space="preserve"> The Council will consider the report of the mandate holder, François </w:t>
      </w:r>
      <w:proofErr w:type="spellStart"/>
      <w:r w:rsidRPr="0051733E">
        <w:t>Crépeau</w:t>
      </w:r>
      <w:proofErr w:type="spellEnd"/>
      <w:r w:rsidRPr="0051733E">
        <w:t xml:space="preserve"> (A/HRC/35/25 and </w:t>
      </w:r>
      <w:r w:rsidR="00D63693">
        <w:t>Add.</w:t>
      </w:r>
      <w:r w:rsidRPr="0051733E">
        <w:t xml:space="preserve">1-3). </w:t>
      </w:r>
    </w:p>
    <w:p w:rsidR="0076713F" w:rsidRPr="0051733E" w:rsidRDefault="0076713F" w:rsidP="008920C2">
      <w:pPr>
        <w:pStyle w:val="H4G"/>
      </w:pPr>
      <w:r w:rsidRPr="0051733E">
        <w:lastRenderedPageBreak/>
        <w:tab/>
      </w:r>
      <w:r w:rsidRPr="0051733E">
        <w:tab/>
        <w:t>Protection against violence and discrimination based on sexual orientation and gender identity</w:t>
      </w:r>
    </w:p>
    <w:p w:rsidR="0076713F" w:rsidRPr="0051733E" w:rsidRDefault="0076713F" w:rsidP="0076713F">
      <w:pPr>
        <w:pStyle w:val="SingleTxtG"/>
      </w:pPr>
      <w:r w:rsidRPr="0051733E">
        <w:t>43.</w:t>
      </w:r>
      <w:r w:rsidRPr="0051733E">
        <w:tab/>
        <w:t xml:space="preserve">In its resolution 32/2, the Human Rights Council decided to appoint, for a period of three years, an Independent Expert on protection against violence and discrimination based on sexual orientation and gender identity, and requested the Independent Expert to report annually to the Council, starting from its thirty-fifth session. Accordingly, the Council will consider the report of the new mandate holder, </w:t>
      </w:r>
      <w:proofErr w:type="spellStart"/>
      <w:r w:rsidRPr="0051733E">
        <w:t>Vitit</w:t>
      </w:r>
      <w:proofErr w:type="spellEnd"/>
      <w:r w:rsidRPr="0051733E">
        <w:t xml:space="preserve"> </w:t>
      </w:r>
      <w:proofErr w:type="spellStart"/>
      <w:r w:rsidRPr="0051733E">
        <w:t>Muntarbhorn</w:t>
      </w:r>
      <w:proofErr w:type="spellEnd"/>
      <w:r w:rsidRPr="0051733E">
        <w:t xml:space="preserve"> (A/HRC/35/36).</w:t>
      </w:r>
    </w:p>
    <w:p w:rsidR="0076713F" w:rsidRPr="0051733E" w:rsidRDefault="0076713F" w:rsidP="008920C2">
      <w:pPr>
        <w:pStyle w:val="H4G"/>
      </w:pPr>
      <w:r w:rsidRPr="0051733E">
        <w:tab/>
      </w:r>
      <w:r w:rsidRPr="0051733E">
        <w:tab/>
        <w:t>Human rights of internally displaced persons</w:t>
      </w:r>
    </w:p>
    <w:p w:rsidR="0076713F" w:rsidRPr="0051733E" w:rsidRDefault="0076713F" w:rsidP="0076713F">
      <w:pPr>
        <w:pStyle w:val="SingleTxtG"/>
      </w:pPr>
      <w:r w:rsidRPr="0051733E">
        <w:t>44.</w:t>
      </w:r>
      <w:r w:rsidRPr="0051733E">
        <w:tab/>
        <w:t>In its resolution 32/11, the Human Rights Council decided to extend the mandate of the Special Rapporteur on the human rights of internally displaced persons for a period of three years, and requested the Special Rapporteur to continue to submit annual reports on the implementation of the mandate to the Council. Accordingly, the Council will consider the report of the new mandate holder, Cecilia Jimenez-</w:t>
      </w:r>
      <w:proofErr w:type="spellStart"/>
      <w:r w:rsidRPr="0051733E">
        <w:t>Damary</w:t>
      </w:r>
      <w:proofErr w:type="spellEnd"/>
      <w:r w:rsidRPr="0051733E">
        <w:t xml:space="preserve"> (A/HRC/35/27 and </w:t>
      </w:r>
      <w:r w:rsidR="00D63693">
        <w:t>Add.</w:t>
      </w:r>
      <w:r w:rsidRPr="0051733E">
        <w:t xml:space="preserve">1-3). </w:t>
      </w:r>
    </w:p>
    <w:p w:rsidR="0076713F" w:rsidRPr="0051733E" w:rsidRDefault="0076713F" w:rsidP="008920C2">
      <w:pPr>
        <w:pStyle w:val="H4G"/>
      </w:pPr>
      <w:r w:rsidRPr="0051733E">
        <w:tab/>
      </w:r>
      <w:r w:rsidRPr="0051733E">
        <w:tab/>
        <w:t>Violence against women</w:t>
      </w:r>
    </w:p>
    <w:p w:rsidR="0076713F" w:rsidRPr="0051733E" w:rsidRDefault="0076713F" w:rsidP="0076713F">
      <w:pPr>
        <w:pStyle w:val="SingleTxtG"/>
      </w:pPr>
      <w:r w:rsidRPr="0051733E">
        <w:t>45.</w:t>
      </w:r>
      <w:r w:rsidRPr="0051733E">
        <w:tab/>
        <w:t xml:space="preserve">In its resolution 32/19, the Human Rights Council decided to extend the mandate of the Special Rapporteur on violence against women, its causes and consequences, as set out in its resolution 23/25, for a period of three years. Accordingly, the Council will consider the report of the mandate holder, </w:t>
      </w:r>
      <w:proofErr w:type="spellStart"/>
      <w:r w:rsidRPr="0051733E">
        <w:t>Dubravka</w:t>
      </w:r>
      <w:proofErr w:type="spellEnd"/>
      <w:r w:rsidRPr="0051733E">
        <w:t xml:space="preserve"> </w:t>
      </w:r>
      <w:proofErr w:type="spellStart"/>
      <w:r w:rsidRPr="0051733E">
        <w:t>Šimonović</w:t>
      </w:r>
      <w:proofErr w:type="spellEnd"/>
      <w:r w:rsidRPr="0051733E">
        <w:t xml:space="preserve"> (A/HRC/35/30 and </w:t>
      </w:r>
      <w:r w:rsidR="00D63693">
        <w:t>Add.</w:t>
      </w:r>
      <w:r w:rsidRPr="0051733E">
        <w:t>1-4).</w:t>
      </w:r>
    </w:p>
    <w:p w:rsidR="0076713F" w:rsidRPr="0051733E" w:rsidRDefault="0076713F" w:rsidP="0076713F">
      <w:pPr>
        <w:pStyle w:val="SingleTxtG"/>
      </w:pPr>
      <w:r w:rsidRPr="0051733E">
        <w:t>46.</w:t>
      </w:r>
      <w:r w:rsidRPr="0051733E">
        <w:tab/>
        <w:t>Pursuant to General Assembly resolution 50/166, the Human Rights Council will have before it the report of the United Nations Entity for Gender Equality and the Empowerment of Women on the activities of the United Nations Trust Fund in Support of Actions to Eliminate Violence against Women (A/HRC/35/3</w:t>
      </w:r>
      <w:r w:rsidR="00637A04">
        <w:t xml:space="preserve"> - </w:t>
      </w:r>
      <w:r w:rsidRPr="0051733E">
        <w:t>E/CN.6/2017/7) (see para. 10 above).</w:t>
      </w:r>
    </w:p>
    <w:p w:rsidR="0076713F" w:rsidRPr="0051733E" w:rsidRDefault="0076713F" w:rsidP="008920C2">
      <w:pPr>
        <w:pStyle w:val="H4G"/>
      </w:pPr>
      <w:r w:rsidRPr="0051733E">
        <w:tab/>
      </w:r>
      <w:r w:rsidRPr="0051733E">
        <w:tab/>
        <w:t>Elimination of discrimination against women</w:t>
      </w:r>
    </w:p>
    <w:p w:rsidR="0076713F" w:rsidRPr="0051733E" w:rsidRDefault="0076713F" w:rsidP="0076713F">
      <w:pPr>
        <w:pStyle w:val="SingleTxtG"/>
      </w:pPr>
      <w:r w:rsidRPr="0051733E">
        <w:t>47.</w:t>
      </w:r>
      <w:r w:rsidRPr="0051733E">
        <w:tab/>
        <w:t>In its resolution 6/30, the Human Rights Council decided to incorporate into its programme of work sufficient and adequate time, at minimum an annual full-day meeting, to discuss the human rights of women, including measures that can be adopted by States and other stakeholders to address human rights violations experienced by women. The Council will accordingly hold a full-day discussion thereon (see annex).</w:t>
      </w:r>
    </w:p>
    <w:p w:rsidR="0076713F" w:rsidRPr="0051733E" w:rsidRDefault="0076713F" w:rsidP="0076713F">
      <w:pPr>
        <w:pStyle w:val="SingleTxtG"/>
      </w:pPr>
      <w:r w:rsidRPr="0051733E">
        <w:t>48.</w:t>
      </w:r>
      <w:r w:rsidRPr="0051733E">
        <w:tab/>
        <w:t xml:space="preserve">In its resolution 32/4, the Human Rights Council decided to extend the mandate of the Working Group on the issue of discrimination against women in law and in practice for a period of three years, on the same terms as provided for in its resolution 23/7. Accordingly, the Council will consider the report of the Working Group (A/HRC/35/29 and </w:t>
      </w:r>
      <w:r w:rsidR="00D63693">
        <w:t>Add.</w:t>
      </w:r>
      <w:r w:rsidRPr="0051733E">
        <w:t>1-2).</w:t>
      </w:r>
    </w:p>
    <w:p w:rsidR="0076713F" w:rsidRPr="0051733E" w:rsidRDefault="0076713F" w:rsidP="008920C2">
      <w:pPr>
        <w:pStyle w:val="H4G"/>
      </w:pPr>
      <w:r w:rsidRPr="0051733E">
        <w:tab/>
      </w:r>
      <w:r w:rsidRPr="0051733E">
        <w:tab/>
        <w:t>Impact of multiple and intersecting forms of discrimination and violence in the context of racism, racial discrimination, xenophobia and related intolerance on the full enjoyment of all human rights by women and girls</w:t>
      </w:r>
    </w:p>
    <w:p w:rsidR="0076713F" w:rsidRPr="0051733E" w:rsidRDefault="0076713F" w:rsidP="0076713F">
      <w:pPr>
        <w:pStyle w:val="SingleTxtG"/>
      </w:pPr>
      <w:r w:rsidRPr="0051733E">
        <w:t>49.</w:t>
      </w:r>
      <w:r w:rsidRPr="0051733E">
        <w:tab/>
        <w:t>Pursuant to its resolution 32/17, the Human Rights Council will consider the report of the High Commissioner on the impact of multiple and intersecting forms of discrimination and violence in the context of racism, racial discrimination, xenophobia and related intolerance on the full enjoyment of all human rights by women and girls (A/HRC/35/10) (see para. 14 above).</w:t>
      </w:r>
    </w:p>
    <w:p w:rsidR="0076713F" w:rsidRPr="0051733E" w:rsidRDefault="0076713F" w:rsidP="008920C2">
      <w:pPr>
        <w:pStyle w:val="H4G"/>
      </w:pPr>
      <w:r w:rsidRPr="0051733E">
        <w:tab/>
      </w:r>
      <w:r w:rsidRPr="0051733E">
        <w:tab/>
        <w:t>Realizing the equal enjoyment of the right to education by every girl</w:t>
      </w:r>
    </w:p>
    <w:p w:rsidR="0076713F" w:rsidRPr="0051733E" w:rsidRDefault="0076713F" w:rsidP="0076713F">
      <w:pPr>
        <w:pStyle w:val="SingleTxtG"/>
      </w:pPr>
      <w:r w:rsidRPr="0051733E">
        <w:t>50.</w:t>
      </w:r>
      <w:r w:rsidRPr="0051733E">
        <w:tab/>
        <w:t xml:space="preserve">In its resolution 32/20, the Human Rights Council requested the High Commissioner to prepare a report on the realization of the equal enjoyment of the right to education by every girl, and on the obstacles limiting the effective access of girls to education, and to make recommendations on appropriate measures to eliminate gender disparities in education by 2030, taking into account Goal 4 of the Sustainable Development Goals, and to submit the report to the Council for its consideration at its thirty-fifth session. </w:t>
      </w:r>
      <w:r w:rsidRPr="0051733E">
        <w:lastRenderedPageBreak/>
        <w:t>Accordingly, the Council will consider the report of the High Commissioner (A/HRC/35/11) (see para. 15 above).</w:t>
      </w:r>
    </w:p>
    <w:p w:rsidR="0076713F" w:rsidRPr="0051733E" w:rsidRDefault="0076713F" w:rsidP="008920C2">
      <w:pPr>
        <w:pStyle w:val="H4G"/>
      </w:pPr>
      <w:r w:rsidRPr="0051733E">
        <w:tab/>
      </w:r>
      <w:r w:rsidRPr="0051733E">
        <w:tab/>
        <w:t>Protection of the family: role of the family in supporting the protection and promotion of human rights of persons with disabilities</w:t>
      </w:r>
    </w:p>
    <w:p w:rsidR="0076713F" w:rsidRPr="0051733E" w:rsidRDefault="0076713F" w:rsidP="0076713F">
      <w:pPr>
        <w:pStyle w:val="SingleTxtG"/>
      </w:pPr>
      <w:r w:rsidRPr="0051733E">
        <w:t>51.</w:t>
      </w:r>
      <w:r w:rsidRPr="0051733E">
        <w:tab/>
        <w:t>Pursuant to its resolution 32/23, the Human Rights Council will have before it the summary report of the High Commissioner on the one-day intersessional seminar on the impact of the implementation by States of their obligations under relevant provisions of international human rights law with regard to the protection of the family on the role of the family in supporting the protection and promotion of the rights of persons with disabilities, held on 23 February 2017 (A/HRC/35/12) (see para. 16 above).</w:t>
      </w:r>
    </w:p>
    <w:p w:rsidR="0076713F" w:rsidRPr="0051733E" w:rsidRDefault="0076713F" w:rsidP="008920C2">
      <w:pPr>
        <w:pStyle w:val="H4G"/>
      </w:pPr>
      <w:r w:rsidRPr="0051733E">
        <w:tab/>
      </w:r>
      <w:r w:rsidRPr="0051733E">
        <w:tab/>
        <w:t>Trafficking in persons, especially women and children</w:t>
      </w:r>
    </w:p>
    <w:p w:rsidR="0076713F" w:rsidRPr="0051733E" w:rsidRDefault="0076713F" w:rsidP="0076713F">
      <w:pPr>
        <w:pStyle w:val="SingleTxtG"/>
      </w:pPr>
      <w:r w:rsidRPr="0051733E">
        <w:t>52.</w:t>
      </w:r>
      <w:r w:rsidRPr="0051733E">
        <w:tab/>
        <w:t xml:space="preserve">In its resolution 26/8, the Human Rights Council decided to extend the mandate of the Special Rapporteur on trafficking in persons, especially women and children for a period of three years, in order to, inter alia, report annually on the implementation of that resolution to the Council, according to its programme of work. The Council will consider the report of the mandate holder, Maria </w:t>
      </w:r>
      <w:proofErr w:type="spellStart"/>
      <w:r w:rsidRPr="0051733E">
        <w:t>Grazia</w:t>
      </w:r>
      <w:proofErr w:type="spellEnd"/>
      <w:r w:rsidRPr="0051733E">
        <w:t xml:space="preserve"> </w:t>
      </w:r>
      <w:proofErr w:type="spellStart"/>
      <w:r w:rsidRPr="0051733E">
        <w:t>Giammarinaro</w:t>
      </w:r>
      <w:proofErr w:type="spellEnd"/>
      <w:r w:rsidRPr="0051733E">
        <w:t xml:space="preserve"> (A/HRC/35/37 and Add.1-2).</w:t>
      </w:r>
      <w:bookmarkStart w:id="13" w:name="_Toc220321001"/>
    </w:p>
    <w:p w:rsidR="0076713F" w:rsidRPr="0051733E" w:rsidRDefault="0076713F" w:rsidP="008920C2">
      <w:pPr>
        <w:pStyle w:val="H4G"/>
      </w:pPr>
      <w:r w:rsidRPr="0051733E">
        <w:tab/>
      </w:r>
      <w:r w:rsidRPr="0051733E">
        <w:tab/>
        <w:t>Youth and human rights</w:t>
      </w:r>
    </w:p>
    <w:p w:rsidR="0076713F" w:rsidRPr="0051733E" w:rsidRDefault="0076713F" w:rsidP="0076713F">
      <w:pPr>
        <w:pStyle w:val="SingleTxtG"/>
      </w:pPr>
      <w:r w:rsidRPr="0051733E">
        <w:t>53.</w:t>
      </w:r>
      <w:r w:rsidRPr="0051733E">
        <w:tab/>
        <w:t>Pursuant to its resolution 32/1, the Human Rights Council will have before it the summary report of the High Commissioner on the panel discussion on youth and human rights, held at its thirty-third session (A/HRC/35/7) (see para. 20 above).</w:t>
      </w:r>
    </w:p>
    <w:p w:rsidR="0076713F" w:rsidRPr="0051733E" w:rsidRDefault="0076713F" w:rsidP="008920C2">
      <w:pPr>
        <w:pStyle w:val="H4G"/>
      </w:pPr>
      <w:r w:rsidRPr="0051733E">
        <w:tab/>
      </w:r>
      <w:r w:rsidRPr="0051733E">
        <w:tab/>
        <w:t>Strengthening efforts to prevent and eliminate child, early and forced marriage</w:t>
      </w:r>
    </w:p>
    <w:p w:rsidR="0076713F" w:rsidRPr="0051733E" w:rsidRDefault="0076713F" w:rsidP="0076713F">
      <w:pPr>
        <w:pStyle w:val="SingleTxtG"/>
      </w:pPr>
      <w:r w:rsidRPr="0051733E">
        <w:t>54.</w:t>
      </w:r>
      <w:r w:rsidRPr="0051733E">
        <w:tab/>
        <w:t>In its resolution 29/8, the Human Rights Council requested the High Commissioner to organize an expert workshop before the thirty-fourth session of the Council to review and discuss the impact of existing strategies and initiatives to address child, early and forced marriage and to make recommendations for further action by States and the international community towards the full implementation of human rights obligations in this regard. It further requested the High Commissioner to prepare a report on the deliberations held during the workshop and to submit it to the Council at its thirty-fifth session. The Council will have before it the report of the High Commissioner (A/HRC/35/5) (see para. 12 above).</w:t>
      </w:r>
    </w:p>
    <w:p w:rsidR="0076713F" w:rsidRPr="0051733E" w:rsidRDefault="0076713F" w:rsidP="00C73C63">
      <w:pPr>
        <w:pStyle w:val="H23G"/>
      </w:pPr>
      <w:r w:rsidRPr="0051733E">
        <w:tab/>
      </w:r>
      <w:r w:rsidRPr="0051733E">
        <w:tab/>
        <w:t>Interrelation of human rights and human rights thematic issues</w:t>
      </w:r>
      <w:bookmarkStart w:id="14" w:name="_Toc220321002"/>
      <w:bookmarkEnd w:id="13"/>
    </w:p>
    <w:p w:rsidR="0076713F" w:rsidRPr="0051733E" w:rsidRDefault="0076713F" w:rsidP="00C73C63">
      <w:pPr>
        <w:pStyle w:val="H4G"/>
      </w:pPr>
      <w:r w:rsidRPr="0051733E">
        <w:tab/>
      </w:r>
      <w:r w:rsidRPr="0051733E">
        <w:tab/>
        <w:t>Business and human rights</w:t>
      </w:r>
    </w:p>
    <w:p w:rsidR="0076713F" w:rsidRPr="0051733E" w:rsidRDefault="0076713F" w:rsidP="0076713F">
      <w:pPr>
        <w:pStyle w:val="SingleTxtG"/>
      </w:pPr>
      <w:r w:rsidRPr="0051733E">
        <w:t>55.</w:t>
      </w:r>
      <w:r w:rsidRPr="0051733E">
        <w:tab/>
        <w:t xml:space="preserve">In its resolution 17/4, the Human Rights Council decided to establish a Working Group on the issue of human rights and transnational corporations and other business enterprises, and requested it to report annually to the Council. In the same resolution, the Council requested the Working Group to guide the work of the Forum on Business and Human Rights. In its resolution 26/22, the Council decided to extend the mandate of the Working Group as set out in Council resolution 17/4 for a period of three years. The Council will consider the report of the Working Group (A/HRC/35/32 and </w:t>
      </w:r>
      <w:r w:rsidR="00D63693">
        <w:t>Add.</w:t>
      </w:r>
      <w:r w:rsidRPr="0051733E">
        <w:t>1-4).</w:t>
      </w:r>
    </w:p>
    <w:p w:rsidR="0076713F" w:rsidRPr="0051733E" w:rsidRDefault="0076713F" w:rsidP="0076713F">
      <w:pPr>
        <w:pStyle w:val="SingleTxtG"/>
      </w:pPr>
      <w:r w:rsidRPr="0051733E">
        <w:t>56.</w:t>
      </w:r>
      <w:r w:rsidRPr="0051733E">
        <w:tab/>
        <w:t>In its resolution 32/10, the Human Rights Council requested the Working Group on the issue of human rights and transnational corporations and other business enterprises to prepare a study on best practices and how to improve on the effectiveness of cross-border cooperation between States with respect to law enforcement on the issue of business and human rights, and to report to the Council at its thirty-fifth session. Accordingly, the Council will consider the report of the Working Group (A/HRC/35/33).</w:t>
      </w:r>
    </w:p>
    <w:p w:rsidR="0076713F" w:rsidRPr="0051733E" w:rsidRDefault="0076713F" w:rsidP="0076713F">
      <w:pPr>
        <w:pStyle w:val="SingleTxtG"/>
      </w:pPr>
      <w:r w:rsidRPr="0051733E">
        <w:t>57.</w:t>
      </w:r>
      <w:r w:rsidRPr="0051733E">
        <w:tab/>
        <w:t>Reference is made to the note by the Secretariat transmitting the summary of the discussions of the fifth annual Forum on Business and Human Rights (A/HRC/35/34) (see para. 72 below).</w:t>
      </w:r>
    </w:p>
    <w:p w:rsidR="0076713F" w:rsidRPr="0051733E" w:rsidRDefault="0076713F" w:rsidP="00C73C63">
      <w:pPr>
        <w:pStyle w:val="H4G"/>
      </w:pPr>
      <w:r w:rsidRPr="0051733E">
        <w:lastRenderedPageBreak/>
        <w:tab/>
      </w:r>
      <w:r w:rsidRPr="0051733E">
        <w:tab/>
        <w:t>Human rights and international solidarity</w:t>
      </w:r>
    </w:p>
    <w:p w:rsidR="0076713F" w:rsidRPr="0051733E" w:rsidRDefault="0076713F" w:rsidP="0076713F">
      <w:pPr>
        <w:pStyle w:val="SingleTxtG"/>
      </w:pPr>
      <w:r w:rsidRPr="0051733E">
        <w:t>58.</w:t>
      </w:r>
      <w:r w:rsidRPr="0051733E">
        <w:tab/>
        <w:t xml:space="preserve">Pursuant to its resolution 32/9, the Human Rights Council will consider the report of the Independent Expert on human rights and international solidarity, Virginia </w:t>
      </w:r>
      <w:proofErr w:type="spellStart"/>
      <w:r w:rsidRPr="0051733E">
        <w:t>Dandan</w:t>
      </w:r>
      <w:proofErr w:type="spellEnd"/>
      <w:r w:rsidRPr="0051733E">
        <w:t xml:space="preserve"> (A/HRC/35/35 and Add.1).</w:t>
      </w:r>
    </w:p>
    <w:p w:rsidR="0076713F" w:rsidRPr="0051733E" w:rsidRDefault="0076713F" w:rsidP="00C73C63">
      <w:pPr>
        <w:pStyle w:val="H4G"/>
      </w:pPr>
      <w:r w:rsidRPr="0051733E">
        <w:tab/>
      </w:r>
      <w:r w:rsidRPr="0051733E">
        <w:tab/>
        <w:t>The promotion, protection and enjoyment of human rights on the Internet</w:t>
      </w:r>
    </w:p>
    <w:p w:rsidR="0076713F" w:rsidRPr="0051733E" w:rsidRDefault="0076713F" w:rsidP="0076713F">
      <w:pPr>
        <w:pStyle w:val="SingleTxtG"/>
      </w:pPr>
      <w:r w:rsidRPr="0051733E">
        <w:t>59.</w:t>
      </w:r>
      <w:r w:rsidRPr="0051733E">
        <w:tab/>
        <w:t>Pursuant to its resolution 32/13, the Human Rights Council will consider the report of the High Commissioner on ways to bridge the gender digital divide from a human rights perspective (A/HRC/35/9) (see para. 13 above).</w:t>
      </w:r>
    </w:p>
    <w:p w:rsidR="0076713F" w:rsidRPr="0051733E" w:rsidRDefault="0076713F" w:rsidP="00C73C63">
      <w:pPr>
        <w:pStyle w:val="H4G"/>
      </w:pPr>
      <w:r w:rsidRPr="0051733E">
        <w:tab/>
      </w:r>
      <w:r w:rsidRPr="0051733E">
        <w:tab/>
        <w:t>Human rights and climate change</w:t>
      </w:r>
    </w:p>
    <w:p w:rsidR="0076713F" w:rsidRPr="0051733E" w:rsidRDefault="0076713F" w:rsidP="0076713F">
      <w:pPr>
        <w:pStyle w:val="SingleTxtG"/>
      </w:pPr>
      <w:r w:rsidRPr="0051733E">
        <w:t>60.</w:t>
      </w:r>
      <w:r w:rsidRPr="0051733E">
        <w:tab/>
        <w:t>In its resolution 32/33, the Human Rights Council requested OHCHR to conduct a detailed analytical study on the relationship between climate change and the full and effective enjoyment of the rights of the child, to be submitted to the Council prior to its thirty-fifth session. The Council will consider the study (A/HRC/35/13) (see para. 17 above).</w:t>
      </w:r>
    </w:p>
    <w:p w:rsidR="0076713F" w:rsidRPr="0051733E" w:rsidRDefault="0076713F" w:rsidP="0076713F">
      <w:pPr>
        <w:pStyle w:val="SingleTxtG"/>
      </w:pPr>
      <w:r w:rsidRPr="0051733E">
        <w:t>61.</w:t>
      </w:r>
      <w:r w:rsidRPr="0051733E">
        <w:tab/>
        <w:t>Pursuant to the same resolution, the Council will have before it the summary report of OHCHR on the panel discussion on the adverse impact of climate change on States</w:t>
      </w:r>
      <w:r w:rsidR="001B52C8">
        <w:t>’</w:t>
      </w:r>
      <w:r w:rsidRPr="0051733E">
        <w:t xml:space="preserve"> efforts to realize the rights of the child and related policies, lessons learned and good practices, held at its thirty-fourth session (A/HRC/35/14) (see para. 18 above).</w:t>
      </w:r>
    </w:p>
    <w:p w:rsidR="0076713F" w:rsidRPr="0051733E" w:rsidRDefault="0076713F" w:rsidP="00C73C63">
      <w:pPr>
        <w:pStyle w:val="H4G"/>
      </w:pPr>
      <w:r w:rsidRPr="0051733E">
        <w:tab/>
      </w:r>
      <w:r w:rsidRPr="0051733E">
        <w:tab/>
        <w:t>Impact of arms transfers on human rights</w:t>
      </w:r>
    </w:p>
    <w:p w:rsidR="0076713F" w:rsidRPr="0051733E" w:rsidRDefault="0076713F" w:rsidP="0076713F">
      <w:pPr>
        <w:pStyle w:val="SingleTxtG"/>
      </w:pPr>
      <w:r w:rsidRPr="0051733E">
        <w:t>62.</w:t>
      </w:r>
      <w:r w:rsidRPr="0051733E">
        <w:tab/>
        <w:t>In its resolution 32/12, the Human Rights Council requested OHCHR to prepare a report on the impact of arms transfers on the enjoyment of human rights, and to present it to the Council at its thirty-fifth session, in order to provide States and other relevant stakeholders with elements to assess the relationship between arms transfers and human rights law that may guide them to strengthen efforts to effectively protect human rights. The Council will consider the report of OHCHR (A/HRC/35/8) (see para. 19 above).</w:t>
      </w:r>
    </w:p>
    <w:p w:rsidR="0076713F" w:rsidRPr="0051733E" w:rsidRDefault="0076713F" w:rsidP="00C73C63">
      <w:pPr>
        <w:pStyle w:val="H4G"/>
      </w:pPr>
      <w:r w:rsidRPr="0051733E">
        <w:tab/>
      </w:r>
      <w:r w:rsidRPr="0051733E">
        <w:tab/>
        <w:t>Human rights education and training</w:t>
      </w:r>
    </w:p>
    <w:p w:rsidR="0076713F" w:rsidRPr="0051733E" w:rsidRDefault="0076713F" w:rsidP="0076713F">
      <w:pPr>
        <w:pStyle w:val="SingleTxtG"/>
      </w:pPr>
      <w:r w:rsidRPr="0051733E">
        <w:t>63.</w:t>
      </w:r>
      <w:r w:rsidRPr="0051733E">
        <w:tab/>
        <w:t xml:space="preserve">Pursuant to its resolution 31/21, the Human Rights Council will have before it the summary report of OHCHR on the high-level panel discussion on the implementation of the United Nations Declaration on Human Rights Education and Training, held at its thirty-third session (A/HRC/35/6) (see para. 21 above). </w:t>
      </w:r>
    </w:p>
    <w:p w:rsidR="0076713F" w:rsidRPr="0051733E" w:rsidRDefault="0076713F" w:rsidP="00C73C63">
      <w:pPr>
        <w:pStyle w:val="H23G"/>
      </w:pPr>
      <w:r w:rsidRPr="0051733E">
        <w:tab/>
        <w:t>4.</w:t>
      </w:r>
      <w:r w:rsidRPr="0051733E">
        <w:tab/>
        <w:t>Human rights situations that require the Council</w:t>
      </w:r>
      <w:r w:rsidR="001B52C8">
        <w:t>’</w:t>
      </w:r>
      <w:r w:rsidRPr="0051733E">
        <w:t>s attention</w:t>
      </w:r>
      <w:bookmarkEnd w:id="14"/>
    </w:p>
    <w:p w:rsidR="0076713F" w:rsidRPr="0051733E" w:rsidRDefault="0076713F" w:rsidP="00C73C63">
      <w:pPr>
        <w:pStyle w:val="H4G"/>
      </w:pPr>
      <w:r w:rsidRPr="0051733E">
        <w:rPr>
          <w:rFonts w:eastAsia="Calibri"/>
        </w:rPr>
        <w:tab/>
      </w:r>
      <w:r w:rsidRPr="0051733E">
        <w:rPr>
          <w:rFonts w:eastAsia="Calibri"/>
        </w:rPr>
        <w:tab/>
      </w:r>
      <w:r w:rsidRPr="0051733E">
        <w:t>The human rights situation in the Syrian Arab Republic</w:t>
      </w:r>
    </w:p>
    <w:p w:rsidR="0076713F" w:rsidRPr="0051733E" w:rsidRDefault="0076713F" w:rsidP="0076713F">
      <w:pPr>
        <w:pStyle w:val="SingleTxtG"/>
      </w:pPr>
      <w:r w:rsidRPr="0051733E">
        <w:t>64.</w:t>
      </w:r>
      <w:r w:rsidRPr="0051733E">
        <w:tab/>
        <w:t>In its resolution 34/26, the Human Rights Council decided to extend for one year the mandate of the Independent International Commission of Inquiry on the Syrian Arab Republic, and requested the Commission of Inquiry to provide an oral update to the Council during an interactive dialogue at its thirty-fifth session. The Council will hear the oral update of the Commission.</w:t>
      </w:r>
    </w:p>
    <w:p w:rsidR="0076713F" w:rsidRPr="0051733E" w:rsidRDefault="0076713F" w:rsidP="0076713F">
      <w:pPr>
        <w:pStyle w:val="SingleTxtG"/>
      </w:pPr>
      <w:r w:rsidRPr="0051733E">
        <w:t>65.</w:t>
      </w:r>
      <w:r w:rsidRPr="0051733E">
        <w:tab/>
        <w:t>Pursuant to its resolution 33/23, the Human Rights Council will have before it the summary report of OHCHR on the high-level panel discussion on the situation of human rights in the Syrian Arab Republic, held at its thirty-fourth session (A/HRC/35/15) (see para. 23 above).</w:t>
      </w:r>
    </w:p>
    <w:p w:rsidR="0076713F" w:rsidRPr="0051733E" w:rsidRDefault="0076713F" w:rsidP="00C73C63">
      <w:pPr>
        <w:pStyle w:val="H4G"/>
      </w:pPr>
      <w:r w:rsidRPr="0051733E">
        <w:tab/>
      </w:r>
      <w:r w:rsidRPr="0051733E">
        <w:tab/>
        <w:t>Situation of human rights in Eritrea</w:t>
      </w:r>
    </w:p>
    <w:p w:rsidR="0076713F" w:rsidRPr="0051733E" w:rsidRDefault="0076713F" w:rsidP="0076713F">
      <w:pPr>
        <w:pStyle w:val="SingleTxtG"/>
      </w:pPr>
      <w:r w:rsidRPr="0051733E">
        <w:t>66.</w:t>
      </w:r>
      <w:r w:rsidRPr="0051733E">
        <w:tab/>
        <w:t xml:space="preserve">In its resolution 32/24, the Human Rights Council decided to extend the mandate of the Special Rapporteur on the situation of human rights in Eritrea for a period of one year, and requested the Special Rapporteur to submit a written report on the situation of human rights in Eritrea to the Council at its thirty-fifth session. The Council will consider the report of the mandate holder, Sheila </w:t>
      </w:r>
      <w:proofErr w:type="spellStart"/>
      <w:r w:rsidRPr="0051733E">
        <w:t>Keetharuth</w:t>
      </w:r>
      <w:proofErr w:type="spellEnd"/>
      <w:r w:rsidRPr="0051733E">
        <w:t xml:space="preserve"> (A/HRC/35/39). </w:t>
      </w:r>
    </w:p>
    <w:p w:rsidR="0076713F" w:rsidRPr="0051733E" w:rsidRDefault="0076713F" w:rsidP="0076713F">
      <w:pPr>
        <w:pStyle w:val="SingleTxtG"/>
      </w:pPr>
      <w:r w:rsidRPr="0051733E">
        <w:lastRenderedPageBreak/>
        <w:t>67.</w:t>
      </w:r>
      <w:r w:rsidRPr="0051733E">
        <w:tab/>
        <w:t>In its resolution 32/24, the Human Rights Council requested OHCHR to continue to enhance engagement in improving the situation of human rights in Eritrea, and to present an oral update to the Council at its thirty-fifth session on progress in the cooperation between Eritrea and the Office, and on its impact on the situation of human rights in Eritrea. Accordingly, the Council will hear the oral update by OHCHR (see para. 22 above).</w:t>
      </w:r>
    </w:p>
    <w:p w:rsidR="0076713F" w:rsidRPr="0051733E" w:rsidRDefault="0076713F" w:rsidP="00C73C63">
      <w:pPr>
        <w:pStyle w:val="H4G"/>
      </w:pPr>
      <w:r w:rsidRPr="0051733E">
        <w:tab/>
      </w:r>
      <w:r w:rsidRPr="0051733E">
        <w:tab/>
        <w:t>Situation of human rights in Belarus</w:t>
      </w:r>
    </w:p>
    <w:p w:rsidR="0076713F" w:rsidRPr="0051733E" w:rsidRDefault="0076713F" w:rsidP="0076713F">
      <w:pPr>
        <w:pStyle w:val="SingleTxtG"/>
      </w:pPr>
      <w:r w:rsidRPr="0051733E">
        <w:t>68.</w:t>
      </w:r>
      <w:r w:rsidRPr="0051733E">
        <w:tab/>
        <w:t xml:space="preserve">In its resolution 32/26, the Human Rights Council decided to extend the mandate of the Special Rapporteur on the situation of human rights in Belarus for a period of one year, and requested the Special Rapporteur to submit a report on the situation of human rights in Belarus to the Council at its thirty-fifth session. The Council will consider the report of the mandate holder, </w:t>
      </w:r>
      <w:proofErr w:type="spellStart"/>
      <w:r w:rsidRPr="0051733E">
        <w:t>Miklós</w:t>
      </w:r>
      <w:proofErr w:type="spellEnd"/>
      <w:r w:rsidRPr="0051733E">
        <w:t xml:space="preserve"> </w:t>
      </w:r>
      <w:proofErr w:type="spellStart"/>
      <w:r w:rsidRPr="0051733E">
        <w:t>Haraszti</w:t>
      </w:r>
      <w:proofErr w:type="spellEnd"/>
      <w:r w:rsidRPr="0051733E">
        <w:t xml:space="preserve"> (A/HRC/35/40).</w:t>
      </w:r>
    </w:p>
    <w:p w:rsidR="0076713F" w:rsidRPr="0051733E" w:rsidRDefault="0076713F" w:rsidP="00A079A6">
      <w:pPr>
        <w:pStyle w:val="H4G"/>
      </w:pPr>
      <w:r w:rsidRPr="0051733E">
        <w:tab/>
      </w:r>
      <w:r w:rsidRPr="0051733E">
        <w:tab/>
        <w:t>Situation of human rights in Burundi</w:t>
      </w:r>
    </w:p>
    <w:p w:rsidR="0076713F" w:rsidRPr="0051733E" w:rsidRDefault="0076713F" w:rsidP="0076713F">
      <w:pPr>
        <w:pStyle w:val="SingleTxtG"/>
      </w:pPr>
      <w:r w:rsidRPr="0051733E">
        <w:t>69.</w:t>
      </w:r>
      <w:r w:rsidRPr="0051733E">
        <w:tab/>
        <w:t>In its resolution 33/24, the Human Rights Council decided to create for a period of one year a commission of inquiry to, inter alia: conduct a thorough investigation into human rights violations and abuses in Burundi since April 2015, including on their extent and whether they may constitute international crimes, with a view to contributing to the fight against impunity; identify alleged perpetrators of human rights violations and abuses in Burundi with a view to ensuring full accountability; and present an oral briefing to the Council at its thirty-fifth session. The Council will hear the oral briefing of the Commission.</w:t>
      </w:r>
    </w:p>
    <w:p w:rsidR="0076713F" w:rsidRPr="0051733E" w:rsidRDefault="0076713F" w:rsidP="00A079A6">
      <w:pPr>
        <w:pStyle w:val="H4G"/>
        <w:rPr>
          <w:rFonts w:eastAsia="SimSun"/>
        </w:rPr>
      </w:pPr>
      <w:r w:rsidRPr="0051733E">
        <w:tab/>
      </w:r>
      <w:r w:rsidRPr="0051733E">
        <w:tab/>
        <w:t>Situation of human rights in Myanmar</w:t>
      </w:r>
      <w:r w:rsidRPr="0051733E">
        <w:rPr>
          <w:rFonts w:eastAsia="SimSun"/>
        </w:rPr>
        <w:t xml:space="preserve"> </w:t>
      </w:r>
    </w:p>
    <w:p w:rsidR="0076713F" w:rsidRPr="0051733E" w:rsidRDefault="0076713F" w:rsidP="0076713F">
      <w:pPr>
        <w:pStyle w:val="SingleTxtG"/>
      </w:pPr>
      <w:r w:rsidRPr="0051733E">
        <w:rPr>
          <w:rFonts w:eastAsia="SimSun"/>
        </w:rPr>
        <w:t>70.</w:t>
      </w:r>
      <w:r w:rsidRPr="0051733E">
        <w:rPr>
          <w:rFonts w:eastAsia="SimSun"/>
        </w:rPr>
        <w:tab/>
        <w:t xml:space="preserve">In its resolution 34/22, the Human Rights Council decided to extend the mandate of the Special Rapporteur on the situation of human rights in Myanmar for a further period of one year and requested the Special Rapporteur to present an oral progress report to the Council at its thirty-fifth session. The Council will hear the oral report of the mandate holder, </w:t>
      </w:r>
      <w:proofErr w:type="spellStart"/>
      <w:r w:rsidRPr="0051733E">
        <w:rPr>
          <w:rFonts w:eastAsia="SimSun"/>
        </w:rPr>
        <w:t>Yanghee</w:t>
      </w:r>
      <w:proofErr w:type="spellEnd"/>
      <w:r w:rsidRPr="0051733E">
        <w:rPr>
          <w:rFonts w:eastAsia="SimSun"/>
        </w:rPr>
        <w:t xml:space="preserve"> Lee.</w:t>
      </w:r>
    </w:p>
    <w:p w:rsidR="0076713F" w:rsidRPr="0051733E" w:rsidRDefault="0076713F" w:rsidP="00A079A6">
      <w:pPr>
        <w:pStyle w:val="H23G"/>
      </w:pPr>
      <w:bookmarkStart w:id="15" w:name="_Toc220321003"/>
      <w:r w:rsidRPr="0051733E">
        <w:tab/>
        <w:t>5.</w:t>
      </w:r>
      <w:r w:rsidRPr="0051733E">
        <w:tab/>
        <w:t>Human rights bodies and mechanisms</w:t>
      </w:r>
      <w:bookmarkEnd w:id="15"/>
    </w:p>
    <w:p w:rsidR="0076713F" w:rsidRPr="0051733E" w:rsidRDefault="0076713F" w:rsidP="00A079A6">
      <w:pPr>
        <w:pStyle w:val="H4G"/>
      </w:pPr>
      <w:r w:rsidRPr="0051733E">
        <w:tab/>
      </w:r>
      <w:r w:rsidRPr="0051733E">
        <w:tab/>
        <w:t>Human Rights Council Advisory Committee</w:t>
      </w:r>
    </w:p>
    <w:p w:rsidR="0076713F" w:rsidRPr="0051733E" w:rsidRDefault="0076713F" w:rsidP="0076713F">
      <w:pPr>
        <w:pStyle w:val="SingleTxtG"/>
      </w:pPr>
      <w:r w:rsidRPr="0051733E">
        <w:t>71.</w:t>
      </w:r>
      <w:r w:rsidRPr="0051733E">
        <w:tab/>
        <w:t xml:space="preserve">In its resolution 29/5, the Human Rights Council requested the Advisory Committee to undertake a study which reviews the implementation of the principles and guidelines for the elimination of discrimination against persons affected by leprosy and their family members, together with the obstacles thereto, and to submit a report containing practical suggestions for the wider dissemination and more effective implementation of the principles and guidelines in order to eliminate discrimination and the stigma associated with leprosy and to promote, protect and respect the human rights of those affected by leprosy and their family members to the Council at its thirty-fifth session. The Council will consider the report of the Advisory Committee (A/HRC/35/38). </w:t>
      </w:r>
    </w:p>
    <w:p w:rsidR="0076713F" w:rsidRPr="0051733E" w:rsidRDefault="0076713F" w:rsidP="00A079A6">
      <w:pPr>
        <w:pStyle w:val="H4G"/>
      </w:pPr>
      <w:r w:rsidRPr="0051733E">
        <w:tab/>
      </w:r>
      <w:r w:rsidRPr="0051733E">
        <w:tab/>
        <w:t>Forum on Business and Human Rights</w:t>
      </w:r>
    </w:p>
    <w:p w:rsidR="0076713F" w:rsidRPr="0051733E" w:rsidRDefault="0076713F" w:rsidP="0076713F">
      <w:pPr>
        <w:pStyle w:val="SingleTxtG"/>
        <w:rPr>
          <w:highlight w:val="yellow"/>
        </w:rPr>
      </w:pPr>
      <w:r w:rsidRPr="0051733E">
        <w:t>72.</w:t>
      </w:r>
      <w:r w:rsidRPr="0051733E">
        <w:tab/>
        <w:t>In its resolution 17/4, the Human Rights Council decided to establish a Forum on Business and Human Rights under the guidance of the Working Group on the issue of human rights and transnational corporations and other business enterprises to discuss trends and challenges in the implementation of the Guiding Principles on Business and Human Rights and to promote dialogue and cooperation on issues linked to business and human rights, including challenges faced in particular sectors, operational environments or in relation to specific rights or groups, as well as identifying good practices. In its resolution 26/22, the Council decided that the two-day Forum should continue to be held on an annual basis, with the addition of one meeting day to allow for the preparation and sharing of new tools and experience. The Council will have before it a note by the Secretariat transmitting the summary of the discussions of the fifth annual Forum, held from 14 to 16 November 2016 (A/HRC/35/34) (see para. 57 above).</w:t>
      </w:r>
    </w:p>
    <w:p w:rsidR="0076713F" w:rsidRPr="0051733E" w:rsidRDefault="0076713F" w:rsidP="00A079A6">
      <w:pPr>
        <w:pStyle w:val="H4G"/>
      </w:pPr>
      <w:bookmarkStart w:id="16" w:name="_Ref216184648"/>
      <w:r w:rsidRPr="0051733E">
        <w:lastRenderedPageBreak/>
        <w:tab/>
      </w:r>
      <w:r w:rsidRPr="0051733E">
        <w:tab/>
      </w:r>
      <w:bookmarkEnd w:id="16"/>
      <w:r w:rsidRPr="0051733E">
        <w:t>Special procedures</w:t>
      </w:r>
    </w:p>
    <w:p w:rsidR="0076713F" w:rsidRPr="0051733E" w:rsidRDefault="0076713F" w:rsidP="0076713F">
      <w:pPr>
        <w:pStyle w:val="SingleTxtG"/>
      </w:pPr>
      <w:r w:rsidRPr="0051733E">
        <w:t>73.</w:t>
      </w:r>
      <w:r w:rsidRPr="0051733E">
        <w:tab/>
        <w:t>The Human Rights Council will have before it the communications report of special procedures (A/HRC/35/44).</w:t>
      </w:r>
    </w:p>
    <w:p w:rsidR="0076713F" w:rsidRPr="0051733E" w:rsidRDefault="0076713F" w:rsidP="00A079A6">
      <w:pPr>
        <w:pStyle w:val="H4G"/>
      </w:pPr>
      <w:r w:rsidRPr="0051733E">
        <w:tab/>
      </w:r>
      <w:r w:rsidRPr="0051733E">
        <w:tab/>
        <w:t>Contribution of parliaments to the work of the Human Rights Council and its universal periodic review</w:t>
      </w:r>
    </w:p>
    <w:p w:rsidR="0076713F" w:rsidRPr="0051733E" w:rsidRDefault="0076713F" w:rsidP="0076713F">
      <w:pPr>
        <w:pStyle w:val="SingleTxtG"/>
      </w:pPr>
      <w:r w:rsidRPr="0051733E">
        <w:t>74.</w:t>
      </w:r>
      <w:r w:rsidRPr="0051733E">
        <w:tab/>
        <w:t xml:space="preserve">In its resolution 26/29, the Human Rights Council invited the High Commissioner to provide the Council with regular updates on the activities of the Inter-Parliamentary Union on parliamentary capacity-building, and on its activities with regard to the work of the Council and its universal periodic review. The High Commissioner will accordingly give an oral update thereon (see para. 24 above). </w:t>
      </w:r>
    </w:p>
    <w:p w:rsidR="0076713F" w:rsidRPr="0051733E" w:rsidRDefault="0076713F" w:rsidP="0076713F">
      <w:pPr>
        <w:pStyle w:val="SingleTxtG"/>
      </w:pPr>
      <w:bookmarkStart w:id="17" w:name="_Toc220321009"/>
      <w:r w:rsidRPr="0051733E">
        <w:t>75.</w:t>
      </w:r>
      <w:r w:rsidRPr="0051733E">
        <w:tab/>
        <w:t>Pursuant to its resolution 30/14, the Human Rights Council will have before it the summary report of the High Commissioner on the panel discussion to take stock of the contribution of parliaments to the work of the Council and its universal periodic review and to identify ways to enhance further that contribution, held at its thirty-second session (A/HRC/35/16) (see para. 25 above).</w:t>
      </w:r>
    </w:p>
    <w:p w:rsidR="0076713F" w:rsidRPr="0051733E" w:rsidRDefault="0076713F" w:rsidP="00A079A6">
      <w:pPr>
        <w:pStyle w:val="H23G"/>
      </w:pPr>
      <w:r w:rsidRPr="0051733E">
        <w:tab/>
        <w:t>6.</w:t>
      </w:r>
      <w:r w:rsidRPr="0051733E">
        <w:tab/>
        <w:t>Universal periodic review</w:t>
      </w:r>
      <w:bookmarkEnd w:id="17"/>
    </w:p>
    <w:p w:rsidR="0076713F" w:rsidRPr="0051733E" w:rsidRDefault="0076713F" w:rsidP="00A079A6">
      <w:pPr>
        <w:pStyle w:val="H4G"/>
      </w:pPr>
      <w:r w:rsidRPr="0051733E">
        <w:tab/>
      </w:r>
      <w:r w:rsidRPr="0051733E">
        <w:tab/>
        <w:t>Operations of the Voluntary Fund for Participation in the Universal Periodic Review and the Voluntary Fund for Financial and Technical Assistance in the Implementation of the Universal Periodic Review</w:t>
      </w:r>
    </w:p>
    <w:p w:rsidR="0076713F" w:rsidRPr="0051733E" w:rsidRDefault="0076713F" w:rsidP="0076713F">
      <w:pPr>
        <w:pStyle w:val="SingleTxtG"/>
      </w:pPr>
      <w:r w:rsidRPr="0051733E">
        <w:t>76.</w:t>
      </w:r>
      <w:r w:rsidRPr="0051733E">
        <w:tab/>
        <w:t>In its decision 17/119, the Human Rights Council requested the Office of the High Commissioner to provide an annual written update to the Council on the operations of the Voluntary Fund for Participation in the Universal Periodic Review and the Voluntary Fund for Financial and Technical Assistance in the Implementation of the Universal Periodic Review and the resources available thereto. Accordingly, the Council will have before it the reports of OHCHR (A/HRC/35/17 and 18) (see para. 26 above).</w:t>
      </w:r>
    </w:p>
    <w:p w:rsidR="0076713F" w:rsidRPr="0051733E" w:rsidRDefault="0076713F" w:rsidP="00A079A6">
      <w:pPr>
        <w:pStyle w:val="H23G"/>
      </w:pPr>
      <w:r w:rsidRPr="0051733E">
        <w:tab/>
        <w:t>7.</w:t>
      </w:r>
      <w:r w:rsidRPr="0051733E">
        <w:tab/>
        <w:t>Human rights situation in Palestine and other occupied Arab territories</w:t>
      </w:r>
    </w:p>
    <w:p w:rsidR="0076713F" w:rsidRPr="0051733E" w:rsidRDefault="0076713F" w:rsidP="00A079A6">
      <w:pPr>
        <w:pStyle w:val="H4G"/>
      </w:pPr>
      <w:r w:rsidRPr="0051733E">
        <w:tab/>
      </w:r>
      <w:r w:rsidRPr="0051733E">
        <w:tab/>
        <w:t>Ensuring accountability and justice for all violations of international law in the Occupied Palestinian Territory, including East Jerusalem</w:t>
      </w:r>
    </w:p>
    <w:p w:rsidR="0076713F" w:rsidRPr="0051733E" w:rsidRDefault="0076713F" w:rsidP="0076713F">
      <w:pPr>
        <w:pStyle w:val="SingleTxtG"/>
      </w:pPr>
      <w:r w:rsidRPr="0051733E">
        <w:t>77.</w:t>
      </w:r>
      <w:r w:rsidRPr="0051733E">
        <w:tab/>
        <w:t>In its resolution 31/35, the Human Rights Council requested the High Commissioner to conduct a comprehensive review detailing the status of implementation of the recommendations addressed to all parties since 2009 by the relevant Human Rights Council mechanisms, and to identify patterns of non-compliance, non-implementation and non-cooperation, to propose follow-up measures to ensure implementation, and to present a report to the Council at its thirty-fifth session. Accordingly, the Council will consider the report of the High Commissioner (A/HRC/35/19 and Add.1) (see para. 27 above).</w:t>
      </w:r>
    </w:p>
    <w:p w:rsidR="0076713F" w:rsidRPr="0051733E" w:rsidRDefault="0076713F" w:rsidP="004A4452">
      <w:pPr>
        <w:pStyle w:val="H23G"/>
      </w:pPr>
      <w:bookmarkStart w:id="18" w:name="_Toc220321013"/>
      <w:r w:rsidRPr="0051733E">
        <w:tab/>
        <w:t>8.</w:t>
      </w:r>
      <w:r w:rsidRPr="0051733E">
        <w:tab/>
        <w:t>Follow-up to and implementation of the Vienna Declaration and Programme of Action</w:t>
      </w:r>
      <w:bookmarkEnd w:id="18"/>
    </w:p>
    <w:p w:rsidR="0076713F" w:rsidRPr="0051733E" w:rsidRDefault="0076713F" w:rsidP="0076713F">
      <w:pPr>
        <w:pStyle w:val="SingleTxtG"/>
      </w:pPr>
      <w:r w:rsidRPr="0051733E">
        <w:t xml:space="preserve">78. </w:t>
      </w:r>
      <w:r w:rsidRPr="0051733E">
        <w:tab/>
        <w:t xml:space="preserve">No reports are to be considered under agenda item 8. </w:t>
      </w:r>
    </w:p>
    <w:p w:rsidR="0076713F" w:rsidRPr="0051733E" w:rsidRDefault="0076713F" w:rsidP="004A4452">
      <w:pPr>
        <w:pStyle w:val="H23G"/>
      </w:pPr>
      <w:bookmarkStart w:id="19" w:name="_Toc220321014"/>
      <w:r w:rsidRPr="0051733E">
        <w:tab/>
        <w:t>9.</w:t>
      </w:r>
      <w:r w:rsidRPr="0051733E">
        <w:tab/>
        <w:t>Racism, racial discrimination, xenophobia and related forms of intolerance, follow-up to and implementation of the Durban Declaration and Programme of Action</w:t>
      </w:r>
      <w:bookmarkEnd w:id="19"/>
    </w:p>
    <w:p w:rsidR="0076713F" w:rsidRPr="0051733E" w:rsidRDefault="0076713F" w:rsidP="004A4452">
      <w:pPr>
        <w:pStyle w:val="H4G"/>
      </w:pPr>
      <w:r w:rsidRPr="0051733E">
        <w:tab/>
      </w:r>
      <w:r w:rsidRPr="0051733E">
        <w:tab/>
        <w:t>Racism, racial discrimination, xenophobia and related intolerance</w:t>
      </w:r>
    </w:p>
    <w:p w:rsidR="0076713F" w:rsidRPr="0051733E" w:rsidRDefault="0076713F" w:rsidP="0076713F">
      <w:pPr>
        <w:pStyle w:val="SingleTxtG"/>
        <w:rPr>
          <w:rFonts w:eastAsia="SimSun"/>
        </w:rPr>
      </w:pPr>
      <w:r w:rsidRPr="0051733E">
        <w:t>79.</w:t>
      </w:r>
      <w:r w:rsidRPr="0051733E">
        <w:tab/>
      </w:r>
      <w:r w:rsidRPr="0051733E">
        <w:rPr>
          <w:rFonts w:eastAsia="SimSun"/>
        </w:rPr>
        <w:t xml:space="preserve">In its resolution 34/35, the Human Rights Council decided to renew the mandate of the Special Rapporteur on contemporary forms of racism, racial discrimination, xenophobia and related intolerance for a further period of three years, and requested the Special Rapporteur to submit an annual report to the Council on all activities relating to the mandate. </w:t>
      </w:r>
      <w:r w:rsidRPr="0051733E">
        <w:t xml:space="preserve">The Council will consider the report of the mandate holder, </w:t>
      </w:r>
      <w:proofErr w:type="spellStart"/>
      <w:r w:rsidRPr="0051733E">
        <w:t>Mutuma</w:t>
      </w:r>
      <w:proofErr w:type="spellEnd"/>
      <w:r w:rsidRPr="0051733E">
        <w:t xml:space="preserve"> </w:t>
      </w:r>
      <w:proofErr w:type="spellStart"/>
      <w:r w:rsidRPr="0051733E">
        <w:t>Ruteere</w:t>
      </w:r>
      <w:proofErr w:type="spellEnd"/>
      <w:r w:rsidRPr="0051733E">
        <w:t xml:space="preserve"> (A/HRC/35/41 and Add.1-3).</w:t>
      </w:r>
    </w:p>
    <w:p w:rsidR="0076713F" w:rsidRPr="0051733E" w:rsidRDefault="0076713F" w:rsidP="004A4452">
      <w:pPr>
        <w:pStyle w:val="H4G"/>
      </w:pPr>
      <w:r w:rsidRPr="0051733E">
        <w:lastRenderedPageBreak/>
        <w:tab/>
      </w:r>
      <w:r w:rsidRPr="0051733E">
        <w:tab/>
        <w:t>Combating glorification of Nazism, neo-Nazism and other practices that contribute to fuelling contemporary forms of racism, racial discrimination, xenophobia and related intolerance</w:t>
      </w:r>
    </w:p>
    <w:p w:rsidR="0076713F" w:rsidRPr="0051733E" w:rsidRDefault="0076713F" w:rsidP="0076713F">
      <w:pPr>
        <w:pStyle w:val="SingleTxtG"/>
      </w:pPr>
      <w:r w:rsidRPr="0051733E">
        <w:t>80.</w:t>
      </w:r>
      <w:r w:rsidRPr="0051733E">
        <w:tab/>
        <w:t xml:space="preserve">In its resolution 71/179, the General Assembly requested the Special Rapporteur </w:t>
      </w:r>
      <w:r w:rsidRPr="0051733E">
        <w:rPr>
          <w:rFonts w:eastAsia="SimSun"/>
        </w:rPr>
        <w:t xml:space="preserve">on contemporary forms of racism, racial discrimination, xenophobia and related intolerance </w:t>
      </w:r>
      <w:r w:rsidRPr="0051733E">
        <w:t>to prepare, for submission to the Human Rights Council at its thirty-fifth session, a report on the implementation of that resolution. The Council will consider the report of the Special Rapporteur (A/HRC/35/42).</w:t>
      </w:r>
    </w:p>
    <w:p w:rsidR="0076713F" w:rsidRPr="0051733E" w:rsidRDefault="0076713F" w:rsidP="004A4452">
      <w:pPr>
        <w:pStyle w:val="H4G"/>
      </w:pPr>
      <w:r w:rsidRPr="0051733E">
        <w:tab/>
      </w:r>
      <w:r w:rsidRPr="0051733E">
        <w:tab/>
        <w:t>Mandate of the Intergovernmental Working Group on the Effective Implementation of the Durban Declaration and Programme of Action</w:t>
      </w:r>
    </w:p>
    <w:p w:rsidR="0076713F" w:rsidRPr="0051733E" w:rsidRDefault="0076713F" w:rsidP="0076713F">
      <w:pPr>
        <w:pStyle w:val="SingleTxtG"/>
      </w:pPr>
      <w:r w:rsidRPr="0051733E">
        <w:t>81.</w:t>
      </w:r>
      <w:r w:rsidRPr="0051733E">
        <w:tab/>
        <w:t>In its resolution 34/34, the Human Rights Council decided to renew the mandate of the Intergovernmental Working Group on the Effective Implementation of the Durban Declaration and Programme of Action for a further period of three years, and requested OHCHR to make the report of the Working Group on its fourteenth session available in order to enable the Chair-Rapporteur to present it to the Council at its thirty-fifth session. Accordingly, the Council will consider the report of the Intergovernmental Working Group (A/HRC/35/45).</w:t>
      </w:r>
    </w:p>
    <w:p w:rsidR="0076713F" w:rsidRPr="0051733E" w:rsidRDefault="0076713F" w:rsidP="004A4452">
      <w:pPr>
        <w:pStyle w:val="H23G"/>
      </w:pPr>
      <w:bookmarkStart w:id="20" w:name="_Toc220321015"/>
      <w:r w:rsidRPr="0051733E">
        <w:tab/>
        <w:t>10.</w:t>
      </w:r>
      <w:r w:rsidRPr="0051733E">
        <w:tab/>
        <w:t>Technical assistance and capacity-building</w:t>
      </w:r>
      <w:bookmarkEnd w:id="20"/>
    </w:p>
    <w:p w:rsidR="0076713F" w:rsidRPr="0051733E" w:rsidRDefault="0076713F" w:rsidP="004A4452">
      <w:pPr>
        <w:pStyle w:val="H4G"/>
      </w:pPr>
      <w:r w:rsidRPr="0051733E">
        <w:tab/>
      </w:r>
      <w:r w:rsidRPr="0051733E">
        <w:tab/>
        <w:t>Enhancement of technical cooperation and capacity-building in the field of human rights</w:t>
      </w:r>
    </w:p>
    <w:p w:rsidR="0076713F" w:rsidRPr="0051733E" w:rsidRDefault="0076713F" w:rsidP="0076713F">
      <w:pPr>
        <w:pStyle w:val="SingleTxtG"/>
      </w:pPr>
      <w:r w:rsidRPr="0051733E">
        <w:t>82.</w:t>
      </w:r>
      <w:r w:rsidRPr="0051733E">
        <w:tab/>
        <w:t xml:space="preserve">In its resolution 18/18, the Human Rights Council decided to hold an annual thematic discussion to promote the sharing of experiences and best practices and technical cooperation in the promotion and protection of human rights. Pursuant to its resolution 33/28, the Council will hold its annual thematic panel discussion at its thirty-fifth session on the theme </w:t>
      </w:r>
      <w:r w:rsidR="001B52C8">
        <w:t>“</w:t>
      </w:r>
      <w:r w:rsidRPr="0051733E">
        <w:t>A decade of technical cooperation and capacity-building in the Human Rights Council: challenges and the way forward</w:t>
      </w:r>
      <w:r w:rsidR="001B52C8">
        <w:t>”</w:t>
      </w:r>
      <w:r w:rsidRPr="0051733E">
        <w:t>, which will be informed by the report of OHCHR on progress and the challenges encountered in the main activities aimed at enhancing technical cooperation and capacity-building undertaken since the establishment of the Human Rights Council by OHCHR, other relevant United Nations agencies and, where applicable, regional organizations to support efforts by States to promote and protect human rights (A/HRC/35/20) (see para. 30 above and annex).</w:t>
      </w:r>
    </w:p>
    <w:p w:rsidR="0076713F" w:rsidRPr="0051733E" w:rsidRDefault="0076713F" w:rsidP="004A4452">
      <w:pPr>
        <w:pStyle w:val="H4G"/>
      </w:pPr>
      <w:r w:rsidRPr="0051733E">
        <w:tab/>
      </w:r>
      <w:r w:rsidRPr="0051733E">
        <w:tab/>
        <w:t>Capacity-building and technical cooperation with Côte d</w:t>
      </w:r>
      <w:r w:rsidR="001B52C8">
        <w:t>’</w:t>
      </w:r>
      <w:r w:rsidRPr="0051733E">
        <w:t>Ivoire in the field of human rights</w:t>
      </w:r>
    </w:p>
    <w:p w:rsidR="0076713F" w:rsidRPr="0051733E" w:rsidRDefault="0076713F" w:rsidP="0076713F">
      <w:pPr>
        <w:pStyle w:val="SingleTxtG"/>
      </w:pPr>
      <w:r w:rsidRPr="0051733E">
        <w:t>83.</w:t>
      </w:r>
      <w:r w:rsidRPr="0051733E">
        <w:tab/>
        <w:t>In its resolution 32/30, the Human Rights Council decided to extend, for a final one-year period, until 30 June 2017, the mandate of the Independent Expert on capacity-building and technical cooperation with Côte d</w:t>
      </w:r>
      <w:r w:rsidR="001B52C8">
        <w:t>’</w:t>
      </w:r>
      <w:r w:rsidRPr="0051733E">
        <w:t>Ivoire in the field of human rights, and requested the Independent Expert to submit a report and his final recommendations to the Council at its thirty-fifth session. The Council will consider the report of the mandate holder, Mohammed Ayat (A/HRC/35/43).</w:t>
      </w:r>
    </w:p>
    <w:p w:rsidR="0076713F" w:rsidRPr="0051733E" w:rsidRDefault="0076713F" w:rsidP="004A4452">
      <w:pPr>
        <w:pStyle w:val="H4G"/>
      </w:pPr>
      <w:r w:rsidRPr="0051733E">
        <w:tab/>
      </w:r>
      <w:r w:rsidRPr="0051733E">
        <w:tab/>
        <w:t>Technical assistance and capacity-building for human rights in the Democratic Republic of the Congo</w:t>
      </w:r>
    </w:p>
    <w:p w:rsidR="0076713F" w:rsidRPr="0051733E" w:rsidRDefault="0076713F" w:rsidP="0076713F">
      <w:pPr>
        <w:pStyle w:val="SingleTxtG"/>
      </w:pPr>
      <w:r w:rsidRPr="0051733E">
        <w:t>84.</w:t>
      </w:r>
      <w:r w:rsidRPr="0051733E">
        <w:tab/>
        <w:t xml:space="preserve">Pursuant to its resolution 33/29, the Human Rights Council will hear the oral update of OHCHR on the situation of human rights in the Democratic Republic of the </w:t>
      </w:r>
      <w:proofErr w:type="gramStart"/>
      <w:r w:rsidRPr="0051733E">
        <w:t>Congo,</w:t>
      </w:r>
      <w:proofErr w:type="gramEnd"/>
      <w:r w:rsidRPr="0051733E">
        <w:t xml:space="preserve"> in an interactive dialogue (see para. 28 above).</w:t>
      </w:r>
    </w:p>
    <w:p w:rsidR="0076713F" w:rsidRPr="0051733E" w:rsidRDefault="0076713F" w:rsidP="001A28F2">
      <w:pPr>
        <w:pStyle w:val="H4G"/>
      </w:pPr>
      <w:r w:rsidRPr="0051733E">
        <w:tab/>
      </w:r>
      <w:r w:rsidRPr="0051733E">
        <w:tab/>
        <w:t>Cooperation with and assistance to Ukraine in the field of human rights</w:t>
      </w:r>
    </w:p>
    <w:p w:rsidR="0076713F" w:rsidRPr="0051733E" w:rsidRDefault="0076713F" w:rsidP="0076713F">
      <w:pPr>
        <w:pStyle w:val="SingleTxtG"/>
      </w:pPr>
      <w:r w:rsidRPr="0051733E">
        <w:t>85.</w:t>
      </w:r>
      <w:r w:rsidRPr="0051733E">
        <w:tab/>
        <w:t xml:space="preserve">In its resolution 32/29, the Human Rights Council invited the High Commissioner to continue to present orally to the States members of the Council and observers the findings of each of the reports of OHCHR on the situation of human rights in Ukraine, as part of the interactive dialogues, until the thirty-fifth session of the Council. The Council will hear the oral presentation of the High Commissioner (see para. 29 above). </w:t>
      </w:r>
    </w:p>
    <w:p w:rsidR="0076713F" w:rsidRPr="0051733E" w:rsidRDefault="0076713F" w:rsidP="001A28F2">
      <w:pPr>
        <w:pStyle w:val="H4G"/>
      </w:pPr>
      <w:r w:rsidRPr="0051733E">
        <w:lastRenderedPageBreak/>
        <w:tab/>
      </w:r>
      <w:r w:rsidRPr="0051733E">
        <w:tab/>
        <w:t>Cooperation with Georgia</w:t>
      </w:r>
    </w:p>
    <w:p w:rsidR="0076713F" w:rsidRPr="0051733E" w:rsidRDefault="0076713F" w:rsidP="0076713F">
      <w:pPr>
        <w:pStyle w:val="SingleTxtG"/>
      </w:pPr>
      <w:r w:rsidRPr="0051733E">
        <w:t>86.</w:t>
      </w:r>
      <w:r w:rsidRPr="0051733E">
        <w:tab/>
        <w:t>In its resolution 34/37, the Human Rights Council requested the High Commissioner to present to the Council an oral update on the follow-up to that resolution at its thirty-fifth session. Accordingly, the Council will hear the oral update of the High Commissioner (see para. 31 above).</w:t>
      </w:r>
    </w:p>
    <w:p w:rsidR="0076713F" w:rsidRPr="0051733E" w:rsidRDefault="0076713F" w:rsidP="001A28F2">
      <w:pPr>
        <w:pStyle w:val="HChG"/>
      </w:pPr>
      <w:r w:rsidRPr="0051733E">
        <w:rPr>
          <w:highlight w:val="yellow"/>
        </w:rPr>
        <w:br w:type="page"/>
      </w:r>
      <w:r w:rsidRPr="0051733E">
        <w:lastRenderedPageBreak/>
        <w:t>Annex</w:t>
      </w:r>
    </w:p>
    <w:p w:rsidR="0076713F" w:rsidRPr="0051733E" w:rsidRDefault="0076713F" w:rsidP="001A28F2">
      <w:pPr>
        <w:pStyle w:val="HChG"/>
      </w:pPr>
      <w:r w:rsidRPr="0051733E">
        <w:tab/>
      </w:r>
      <w:r w:rsidRPr="0051733E">
        <w:tab/>
        <w:t>Panels and discussions to be held at the thirty-fifth session of the Human Rights Council</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3686"/>
        <w:gridCol w:w="3684"/>
      </w:tblGrid>
      <w:tr w:rsidR="0076713F" w:rsidRPr="001A28F2" w:rsidTr="001A28F2">
        <w:trPr>
          <w:tblHeader/>
        </w:trPr>
        <w:tc>
          <w:tcPr>
            <w:tcW w:w="3686" w:type="dxa"/>
            <w:tcBorders>
              <w:top w:val="single" w:sz="4" w:space="0" w:color="auto"/>
              <w:bottom w:val="single" w:sz="12" w:space="0" w:color="auto"/>
            </w:tcBorders>
            <w:shd w:val="clear" w:color="auto" w:fill="auto"/>
            <w:vAlign w:val="bottom"/>
          </w:tcPr>
          <w:p w:rsidR="0076713F" w:rsidRPr="001A28F2" w:rsidRDefault="0076713F" w:rsidP="001A28F2">
            <w:pPr>
              <w:suppressAutoHyphens w:val="0"/>
              <w:spacing w:before="80" w:after="80" w:line="200" w:lineRule="exact"/>
              <w:ind w:right="113"/>
              <w:rPr>
                <w:rFonts w:eastAsia="SimSun"/>
                <w:i/>
                <w:sz w:val="16"/>
              </w:rPr>
            </w:pPr>
            <w:r w:rsidRPr="001A28F2">
              <w:rPr>
                <w:rFonts w:eastAsia="SimSun"/>
                <w:i/>
                <w:sz w:val="16"/>
              </w:rPr>
              <w:t>Resolution</w:t>
            </w:r>
          </w:p>
        </w:tc>
        <w:tc>
          <w:tcPr>
            <w:tcW w:w="3684" w:type="dxa"/>
            <w:tcBorders>
              <w:top w:val="single" w:sz="4" w:space="0" w:color="auto"/>
              <w:bottom w:val="single" w:sz="12" w:space="0" w:color="auto"/>
            </w:tcBorders>
            <w:shd w:val="clear" w:color="auto" w:fill="auto"/>
            <w:vAlign w:val="bottom"/>
          </w:tcPr>
          <w:p w:rsidR="0076713F" w:rsidRPr="001A28F2" w:rsidRDefault="0076713F" w:rsidP="00724D7D">
            <w:pPr>
              <w:suppressAutoHyphens w:val="0"/>
              <w:spacing w:before="80" w:after="80" w:line="200" w:lineRule="exact"/>
              <w:ind w:right="113"/>
              <w:rPr>
                <w:rFonts w:eastAsia="SimSun"/>
                <w:i/>
                <w:sz w:val="16"/>
              </w:rPr>
            </w:pPr>
            <w:r w:rsidRPr="001A28F2">
              <w:rPr>
                <w:rFonts w:eastAsia="SimSun"/>
                <w:i/>
                <w:sz w:val="16"/>
              </w:rPr>
              <w:t>Panel/discussion</w:t>
            </w:r>
          </w:p>
        </w:tc>
      </w:tr>
      <w:tr w:rsidR="0076713F" w:rsidRPr="001A28F2" w:rsidTr="001A28F2">
        <w:tc>
          <w:tcPr>
            <w:tcW w:w="3686" w:type="dxa"/>
            <w:tcBorders>
              <w:top w:val="single" w:sz="12" w:space="0" w:color="auto"/>
            </w:tcBorders>
            <w:shd w:val="clear" w:color="auto" w:fill="auto"/>
          </w:tcPr>
          <w:p w:rsidR="0076713F" w:rsidRPr="001A28F2" w:rsidRDefault="0076713F" w:rsidP="001A28F2">
            <w:pPr>
              <w:suppressAutoHyphens w:val="0"/>
              <w:spacing w:before="40" w:after="120" w:line="220" w:lineRule="exact"/>
              <w:ind w:right="113"/>
              <w:rPr>
                <w:rFonts w:eastAsia="SimSun"/>
              </w:rPr>
            </w:pPr>
            <w:r w:rsidRPr="001A28F2">
              <w:rPr>
                <w:rFonts w:eastAsia="SimSun"/>
              </w:rPr>
              <w:t>6/30</w:t>
            </w:r>
            <w:r w:rsidRPr="001A28F2">
              <w:rPr>
                <w:rFonts w:eastAsia="SimSun"/>
              </w:rPr>
              <w:br/>
            </w:r>
            <w:r w:rsidRPr="001A28F2">
              <w:t>Integrating the human rights of women throughout the United Nations system</w:t>
            </w:r>
          </w:p>
        </w:tc>
        <w:tc>
          <w:tcPr>
            <w:tcW w:w="3684" w:type="dxa"/>
            <w:tcBorders>
              <w:top w:val="single" w:sz="12" w:space="0" w:color="auto"/>
            </w:tcBorders>
            <w:shd w:val="clear" w:color="auto" w:fill="auto"/>
          </w:tcPr>
          <w:p w:rsidR="0076713F" w:rsidRPr="001A28F2" w:rsidRDefault="0076713F" w:rsidP="001A28F2">
            <w:pPr>
              <w:suppressAutoHyphens w:val="0"/>
              <w:spacing w:before="40" w:after="120" w:line="220" w:lineRule="exact"/>
              <w:ind w:right="113"/>
              <w:rPr>
                <w:rFonts w:eastAsia="SimSun"/>
              </w:rPr>
            </w:pPr>
            <w:r w:rsidRPr="001A28F2">
              <w:rPr>
                <w:rFonts w:eastAsia="SimSun"/>
              </w:rPr>
              <w:br/>
              <w:t>Annual full-day discussion on the human rights of women</w:t>
            </w:r>
          </w:p>
        </w:tc>
      </w:tr>
      <w:tr w:rsidR="0076713F" w:rsidRPr="001A28F2" w:rsidTr="001A28F2">
        <w:tc>
          <w:tcPr>
            <w:tcW w:w="3686" w:type="dxa"/>
            <w:shd w:val="clear" w:color="auto" w:fill="auto"/>
          </w:tcPr>
          <w:p w:rsidR="0076713F" w:rsidRPr="001A28F2" w:rsidRDefault="0076713F" w:rsidP="001A28F2">
            <w:pPr>
              <w:suppressAutoHyphens w:val="0"/>
              <w:spacing w:before="40" w:after="120" w:line="220" w:lineRule="exact"/>
              <w:ind w:right="113"/>
              <w:rPr>
                <w:rFonts w:eastAsia="SimSun"/>
              </w:rPr>
            </w:pPr>
            <w:r w:rsidRPr="001A28F2">
              <w:rPr>
                <w:rFonts w:eastAsia="SimSun"/>
              </w:rPr>
              <w:t>32/16</w:t>
            </w:r>
            <w:r w:rsidRPr="001A28F2">
              <w:rPr>
                <w:rFonts w:eastAsia="SimSun"/>
              </w:rPr>
              <w:br/>
            </w:r>
            <w:r w:rsidRPr="001A28F2">
              <w:t xml:space="preserve">Promoting the right of everyone to the enjoyment of the highest attainable </w:t>
            </w:r>
            <w:r w:rsidR="00B16555">
              <w:br/>
            </w:r>
            <w:r w:rsidRPr="001A28F2">
              <w:t>standard of physical and mental health through enhancing capacity-building in public health</w:t>
            </w:r>
          </w:p>
        </w:tc>
        <w:tc>
          <w:tcPr>
            <w:tcW w:w="3684" w:type="dxa"/>
            <w:shd w:val="clear" w:color="auto" w:fill="auto"/>
          </w:tcPr>
          <w:p w:rsidR="0076713F" w:rsidRPr="001A28F2" w:rsidRDefault="0076713F" w:rsidP="001A28F2">
            <w:pPr>
              <w:suppressAutoHyphens w:val="0"/>
              <w:spacing w:before="40" w:after="120" w:line="220" w:lineRule="exact"/>
              <w:ind w:right="113"/>
              <w:rPr>
                <w:rFonts w:eastAsia="SimSun"/>
              </w:rPr>
            </w:pPr>
            <w:r w:rsidRPr="001A28F2">
              <w:rPr>
                <w:rFonts w:eastAsia="SimSun"/>
              </w:rPr>
              <w:br/>
              <w:t>Panel discussion on realizing the right of everyone to the enjoyment of the highest attainable standard of physical and mental health by enhancing capacity-building in public health (accessible to persons with disabilities)</w:t>
            </w:r>
          </w:p>
        </w:tc>
      </w:tr>
      <w:tr w:rsidR="0076713F" w:rsidRPr="001A28F2" w:rsidTr="001A28F2">
        <w:tc>
          <w:tcPr>
            <w:tcW w:w="3686" w:type="dxa"/>
            <w:shd w:val="clear" w:color="auto" w:fill="auto"/>
          </w:tcPr>
          <w:p w:rsidR="0076713F" w:rsidRPr="001A28F2" w:rsidRDefault="0076713F" w:rsidP="001A28F2">
            <w:pPr>
              <w:suppressAutoHyphens w:val="0"/>
              <w:spacing w:before="40" w:after="120" w:line="220" w:lineRule="exact"/>
              <w:ind w:right="113"/>
              <w:rPr>
                <w:rFonts w:eastAsia="SimSun"/>
              </w:rPr>
            </w:pPr>
            <w:r w:rsidRPr="001A28F2">
              <w:rPr>
                <w:rFonts w:eastAsia="SimSun"/>
              </w:rPr>
              <w:t>33/7</w:t>
            </w:r>
            <w:r w:rsidRPr="001A28F2">
              <w:rPr>
                <w:rFonts w:eastAsia="SimSun"/>
              </w:rPr>
              <w:br/>
            </w:r>
            <w:r w:rsidRPr="001A28F2">
              <w:t>Unaccompanied migrant children and adolescents and human rights</w:t>
            </w:r>
          </w:p>
        </w:tc>
        <w:tc>
          <w:tcPr>
            <w:tcW w:w="3684" w:type="dxa"/>
            <w:shd w:val="clear" w:color="auto" w:fill="auto"/>
          </w:tcPr>
          <w:p w:rsidR="0076713F" w:rsidRPr="001A28F2" w:rsidRDefault="0076713F" w:rsidP="001A28F2">
            <w:pPr>
              <w:suppressAutoHyphens w:val="0"/>
              <w:spacing w:before="40" w:after="120" w:line="220" w:lineRule="exact"/>
              <w:ind w:right="113"/>
              <w:rPr>
                <w:rFonts w:eastAsia="SimSun"/>
              </w:rPr>
            </w:pPr>
            <w:r w:rsidRPr="001A28F2">
              <w:rPr>
                <w:rFonts w:eastAsia="SimSun"/>
              </w:rPr>
              <w:br/>
              <w:t>Panel discussion on unaccompanied migrant children and adolescents and human rights</w:t>
            </w:r>
          </w:p>
        </w:tc>
      </w:tr>
      <w:tr w:rsidR="0076713F" w:rsidRPr="001A28F2" w:rsidTr="001A28F2">
        <w:tc>
          <w:tcPr>
            <w:tcW w:w="3686" w:type="dxa"/>
            <w:shd w:val="clear" w:color="auto" w:fill="auto"/>
          </w:tcPr>
          <w:p w:rsidR="0076713F" w:rsidRPr="001A28F2" w:rsidRDefault="0076713F" w:rsidP="001A28F2">
            <w:pPr>
              <w:suppressAutoHyphens w:val="0"/>
              <w:spacing w:before="40" w:after="120" w:line="220" w:lineRule="exact"/>
              <w:ind w:right="113"/>
              <w:rPr>
                <w:rFonts w:eastAsia="SimSun"/>
              </w:rPr>
            </w:pPr>
            <w:r w:rsidRPr="001A28F2">
              <w:rPr>
                <w:rFonts w:eastAsia="SimSun"/>
              </w:rPr>
              <w:t>18/18 and 33/28</w:t>
            </w:r>
            <w:r w:rsidRPr="001A28F2">
              <w:rPr>
                <w:rFonts w:eastAsia="SimSun"/>
              </w:rPr>
              <w:br/>
              <w:t>Enhancement of technical cooperation and capacity-building in the field of human rights</w:t>
            </w:r>
          </w:p>
        </w:tc>
        <w:tc>
          <w:tcPr>
            <w:tcW w:w="3684" w:type="dxa"/>
            <w:shd w:val="clear" w:color="auto" w:fill="auto"/>
          </w:tcPr>
          <w:p w:rsidR="0076713F" w:rsidRPr="001A28F2" w:rsidRDefault="0076713F" w:rsidP="001A28F2">
            <w:pPr>
              <w:suppressAutoHyphens w:val="0"/>
              <w:spacing w:before="40" w:after="120" w:line="220" w:lineRule="exact"/>
              <w:ind w:right="113"/>
              <w:rPr>
                <w:rFonts w:eastAsia="SimSun"/>
              </w:rPr>
            </w:pPr>
            <w:r w:rsidRPr="001A28F2">
              <w:rPr>
                <w:rFonts w:eastAsia="SimSun"/>
              </w:rPr>
              <w:br/>
              <w:t xml:space="preserve">Annual thematic panel discussion on technical cooperation in the promotion and protection of human rights on the theme </w:t>
            </w:r>
            <w:r w:rsidR="001B52C8" w:rsidRPr="001A28F2">
              <w:rPr>
                <w:rFonts w:eastAsia="SimSun"/>
              </w:rPr>
              <w:t>“</w:t>
            </w:r>
            <w:r w:rsidRPr="001A28F2">
              <w:t>A decade of technical cooperation and capacity-building in the Human Rights Council: challenges and the way forward</w:t>
            </w:r>
            <w:r w:rsidR="001B52C8" w:rsidRPr="001A28F2">
              <w:t>”</w:t>
            </w:r>
          </w:p>
        </w:tc>
      </w:tr>
    </w:tbl>
    <w:p w:rsidR="001A28F2" w:rsidRPr="00106A43" w:rsidRDefault="001A28F2">
      <w:pPr>
        <w:spacing w:before="240"/>
        <w:jc w:val="center"/>
        <w:rPr>
          <w:u w:val="single"/>
        </w:rPr>
      </w:pPr>
      <w:r>
        <w:rPr>
          <w:u w:val="single"/>
        </w:rPr>
        <w:tab/>
      </w:r>
      <w:r>
        <w:rPr>
          <w:u w:val="single"/>
        </w:rPr>
        <w:tab/>
      </w:r>
      <w:r>
        <w:rPr>
          <w:u w:val="single"/>
        </w:rPr>
        <w:tab/>
      </w:r>
    </w:p>
    <w:sectPr w:rsidR="001A28F2" w:rsidRPr="00106A43" w:rsidSect="00180751">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FED" w:rsidRPr="00C47B2E" w:rsidRDefault="004B5FED" w:rsidP="00C47B2E">
      <w:pPr>
        <w:pStyle w:val="Footer"/>
      </w:pPr>
    </w:p>
  </w:endnote>
  <w:endnote w:type="continuationSeparator" w:id="0">
    <w:p w:rsidR="004B5FED" w:rsidRPr="00C47B2E" w:rsidRDefault="004B5FED" w:rsidP="00C47B2E">
      <w:pPr>
        <w:pStyle w:val="Footer"/>
      </w:pPr>
    </w:p>
  </w:endnote>
  <w:endnote w:type="continuationNotice" w:id="1">
    <w:p w:rsidR="004B5FED" w:rsidRPr="00C47B2E" w:rsidRDefault="004B5FE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51" w:rsidRPr="00180751" w:rsidRDefault="00180751" w:rsidP="00180751">
    <w:pPr>
      <w:pStyle w:val="Footer"/>
      <w:tabs>
        <w:tab w:val="right" w:pos="9598"/>
      </w:tabs>
    </w:pPr>
    <w:r w:rsidRPr="00180751">
      <w:rPr>
        <w:b/>
        <w:sz w:val="18"/>
      </w:rPr>
      <w:fldChar w:fldCharType="begin"/>
    </w:r>
    <w:r w:rsidRPr="00180751">
      <w:rPr>
        <w:b/>
        <w:sz w:val="18"/>
      </w:rPr>
      <w:instrText xml:space="preserve"> PAGE  \* MERGEFORMAT </w:instrText>
    </w:r>
    <w:r w:rsidRPr="00180751">
      <w:rPr>
        <w:b/>
        <w:sz w:val="18"/>
      </w:rPr>
      <w:fldChar w:fldCharType="separate"/>
    </w:r>
    <w:r w:rsidR="00BC48D3">
      <w:rPr>
        <w:b/>
        <w:noProof/>
        <w:sz w:val="18"/>
      </w:rPr>
      <w:t>14</w:t>
    </w:r>
    <w:r w:rsidRPr="00180751">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51" w:rsidRPr="00180751" w:rsidRDefault="00180751" w:rsidP="00180751">
    <w:pPr>
      <w:pStyle w:val="Footer"/>
      <w:tabs>
        <w:tab w:val="right" w:pos="9598"/>
      </w:tabs>
      <w:rPr>
        <w:b/>
        <w:sz w:val="18"/>
      </w:rPr>
    </w:pPr>
    <w:r>
      <w:tab/>
    </w:r>
    <w:r w:rsidRPr="00180751">
      <w:rPr>
        <w:b/>
        <w:sz w:val="18"/>
      </w:rPr>
      <w:fldChar w:fldCharType="begin"/>
    </w:r>
    <w:r w:rsidRPr="00180751">
      <w:rPr>
        <w:b/>
        <w:sz w:val="18"/>
      </w:rPr>
      <w:instrText xml:space="preserve"> PAGE  \* MERGEFORMAT </w:instrText>
    </w:r>
    <w:r w:rsidRPr="00180751">
      <w:rPr>
        <w:b/>
        <w:sz w:val="18"/>
      </w:rPr>
      <w:fldChar w:fldCharType="separate"/>
    </w:r>
    <w:r w:rsidR="00BC48D3">
      <w:rPr>
        <w:b/>
        <w:noProof/>
        <w:sz w:val="18"/>
      </w:rPr>
      <w:t>13</w:t>
    </w:r>
    <w:r w:rsidRPr="00180751">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FED" w:rsidRPr="00C47B2E" w:rsidRDefault="004B5FED" w:rsidP="00C47B2E">
      <w:pPr>
        <w:tabs>
          <w:tab w:val="right" w:pos="2155"/>
        </w:tabs>
        <w:spacing w:after="80" w:line="240" w:lineRule="auto"/>
        <w:ind w:left="680"/>
      </w:pPr>
      <w:r>
        <w:rPr>
          <w:u w:val="single"/>
        </w:rPr>
        <w:tab/>
      </w:r>
    </w:p>
  </w:footnote>
  <w:footnote w:type="continuationSeparator" w:id="0">
    <w:p w:rsidR="004B5FED" w:rsidRPr="00C47B2E" w:rsidRDefault="004B5FED" w:rsidP="005E716E">
      <w:pPr>
        <w:tabs>
          <w:tab w:val="right" w:pos="2155"/>
        </w:tabs>
        <w:spacing w:after="80" w:line="240" w:lineRule="auto"/>
        <w:ind w:left="680"/>
      </w:pPr>
      <w:r>
        <w:rPr>
          <w:u w:val="single"/>
        </w:rPr>
        <w:tab/>
      </w:r>
    </w:p>
  </w:footnote>
  <w:footnote w:type="continuationNotice" w:id="1">
    <w:p w:rsidR="004B5FED" w:rsidRPr="00C47B2E" w:rsidRDefault="004B5FED" w:rsidP="00C47B2E">
      <w:pPr>
        <w:pStyle w:val="Footer"/>
      </w:pPr>
    </w:p>
  </w:footnote>
  <w:footnote w:id="2">
    <w:p w:rsidR="0076713F" w:rsidRPr="00945DCF" w:rsidRDefault="0076713F" w:rsidP="0076713F">
      <w:pPr>
        <w:pStyle w:val="FootnoteText"/>
        <w:widowControl w:val="0"/>
      </w:pPr>
      <w:r w:rsidRPr="00945DCF">
        <w:tab/>
      </w:r>
      <w:r w:rsidRPr="008C38EC">
        <w:rPr>
          <w:rStyle w:val="FootnoteReference"/>
        </w:rPr>
        <w:footnoteRef/>
      </w:r>
      <w:r w:rsidRPr="00945DCF">
        <w:tab/>
        <w:t xml:space="preserve">The term of membership of each State expires at the </w:t>
      </w:r>
      <w:r w:rsidRPr="001F35E9">
        <w:t>end of</w:t>
      </w:r>
      <w:r w:rsidRPr="00945DCF">
        <w:t xml:space="preserve"> the year indicated in parenthesis.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51" w:rsidRPr="00180751" w:rsidRDefault="00180751" w:rsidP="00180751">
    <w:pPr>
      <w:pStyle w:val="Header"/>
    </w:pPr>
    <w:r w:rsidRPr="00180751">
      <w:t>A/HRC/35/1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51" w:rsidRPr="00180751" w:rsidRDefault="00180751" w:rsidP="00180751">
    <w:pPr>
      <w:pStyle w:val="Header"/>
      <w:jc w:val="right"/>
    </w:pPr>
    <w:r w:rsidRPr="00180751">
      <w:t>A/HRC/35/1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ca Forcignano">
    <w15:presenceInfo w15:providerId="None" w15:userId="Veronica Forcign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23"/>
    <w:rsid w:val="00046E92"/>
    <w:rsid w:val="00061128"/>
    <w:rsid w:val="00063C90"/>
    <w:rsid w:val="00072607"/>
    <w:rsid w:val="000A019A"/>
    <w:rsid w:val="000E1113"/>
    <w:rsid w:val="000E7297"/>
    <w:rsid w:val="00101B98"/>
    <w:rsid w:val="00180751"/>
    <w:rsid w:val="001A28F2"/>
    <w:rsid w:val="001B52C8"/>
    <w:rsid w:val="00247E2C"/>
    <w:rsid w:val="002A32CB"/>
    <w:rsid w:val="002D6C53"/>
    <w:rsid w:val="002F5595"/>
    <w:rsid w:val="00334F6A"/>
    <w:rsid w:val="00342AC8"/>
    <w:rsid w:val="003531AD"/>
    <w:rsid w:val="00394049"/>
    <w:rsid w:val="003A61DD"/>
    <w:rsid w:val="003B4550"/>
    <w:rsid w:val="0040017C"/>
    <w:rsid w:val="004225C0"/>
    <w:rsid w:val="0044589E"/>
    <w:rsid w:val="00452A92"/>
    <w:rsid w:val="00452C23"/>
    <w:rsid w:val="00461253"/>
    <w:rsid w:val="004A2814"/>
    <w:rsid w:val="004A4452"/>
    <w:rsid w:val="004B5FED"/>
    <w:rsid w:val="004C0622"/>
    <w:rsid w:val="004D10F9"/>
    <w:rsid w:val="004E5154"/>
    <w:rsid w:val="005042C2"/>
    <w:rsid w:val="00506124"/>
    <w:rsid w:val="00566EC3"/>
    <w:rsid w:val="005E716E"/>
    <w:rsid w:val="005F2F25"/>
    <w:rsid w:val="00637A04"/>
    <w:rsid w:val="006531DE"/>
    <w:rsid w:val="00671529"/>
    <w:rsid w:val="006D4EDF"/>
    <w:rsid w:val="0070489D"/>
    <w:rsid w:val="00724D7D"/>
    <w:rsid w:val="007268F9"/>
    <w:rsid w:val="0076713F"/>
    <w:rsid w:val="0079492C"/>
    <w:rsid w:val="007C4504"/>
    <w:rsid w:val="007C52B0"/>
    <w:rsid w:val="008920C2"/>
    <w:rsid w:val="008C38EC"/>
    <w:rsid w:val="009411B4"/>
    <w:rsid w:val="00980844"/>
    <w:rsid w:val="009D0139"/>
    <w:rsid w:val="009D717D"/>
    <w:rsid w:val="009F2610"/>
    <w:rsid w:val="009F5CDC"/>
    <w:rsid w:val="00A079A6"/>
    <w:rsid w:val="00A16988"/>
    <w:rsid w:val="00A3315D"/>
    <w:rsid w:val="00A33FF0"/>
    <w:rsid w:val="00A775CF"/>
    <w:rsid w:val="00A827C1"/>
    <w:rsid w:val="00B06045"/>
    <w:rsid w:val="00B16555"/>
    <w:rsid w:val="00B52EF4"/>
    <w:rsid w:val="00BC48D3"/>
    <w:rsid w:val="00BC6C27"/>
    <w:rsid w:val="00C03015"/>
    <w:rsid w:val="00C0358D"/>
    <w:rsid w:val="00C35A27"/>
    <w:rsid w:val="00C47B2E"/>
    <w:rsid w:val="00C73C63"/>
    <w:rsid w:val="00CA1B04"/>
    <w:rsid w:val="00CC58A8"/>
    <w:rsid w:val="00D63693"/>
    <w:rsid w:val="00E02C2B"/>
    <w:rsid w:val="00E2197D"/>
    <w:rsid w:val="00E24A7E"/>
    <w:rsid w:val="00E52109"/>
    <w:rsid w:val="00E75317"/>
    <w:rsid w:val="00E848D0"/>
    <w:rsid w:val="00EB3027"/>
    <w:rsid w:val="00ED6C48"/>
    <w:rsid w:val="00F30435"/>
    <w:rsid w:val="00F351C4"/>
    <w:rsid w:val="00F65F5D"/>
    <w:rsid w:val="00F86A3A"/>
    <w:rsid w:val="00FE0EF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6D4EDF"/>
    <w:rPr>
      <w:rFonts w:ascii="Times New Roman" w:eastAsiaTheme="minorHAnsi"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6D4EDF"/>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023EB2-A826-4A61-B4A4-982CB6EFBA00}"/>
</file>

<file path=customXml/itemProps2.xml><?xml version="1.0" encoding="utf-8"?>
<ds:datastoreItem xmlns:ds="http://schemas.openxmlformats.org/officeDocument/2006/customXml" ds:itemID="{41D7268D-BE61-47CA-8C3F-B2C253B00C91}"/>
</file>

<file path=customXml/itemProps3.xml><?xml version="1.0" encoding="utf-8"?>
<ds:datastoreItem xmlns:ds="http://schemas.openxmlformats.org/officeDocument/2006/customXml" ds:itemID="{73C6A34F-0D5E-46B2-8CDD-A40E36D5EB61}"/>
</file>

<file path=customXml/itemProps4.xml><?xml version="1.0" encoding="utf-8"?>
<ds:datastoreItem xmlns:ds="http://schemas.openxmlformats.org/officeDocument/2006/customXml" ds:itemID="{6399E29E-5136-45CF-A013-E0DA034CD819}"/>
</file>

<file path=docProps/app.xml><?xml version="1.0" encoding="utf-8"?>
<Properties xmlns="http://schemas.openxmlformats.org/officeDocument/2006/extended-properties" xmlns:vt="http://schemas.openxmlformats.org/officeDocument/2006/docPropsVTypes">
  <Template>A.dotm</Template>
  <TotalTime>0</TotalTime>
  <Pages>14</Pages>
  <Words>6122</Words>
  <Characters>34901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1705955</vt:lpstr>
    </vt:vector>
  </TitlesOfParts>
  <Company>DCM</Company>
  <LinksUpToDate>false</LinksUpToDate>
  <CharactersWithSpaces>40942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annotations for the thirty-fifth session of the Human Rights Council  - Advance Edited Version</dc:title>
  <dc:subject>A/HRC/35/1</dc:subject>
  <dc:creator>Maria Rosario GATMAYTAN</dc:creator>
  <cp:lastModifiedBy>Iuliia Somova</cp:lastModifiedBy>
  <cp:revision>2</cp:revision>
  <cp:lastPrinted>2017-04-25T08:28:00Z</cp:lastPrinted>
  <dcterms:created xsi:type="dcterms:W3CDTF">2017-04-26T09:54:00Z</dcterms:created>
  <dcterms:modified xsi:type="dcterms:W3CDTF">2017-04-26T09:54:00Z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8400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