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AD4165" w:rsidP="00AD4165">
            <w:pPr>
              <w:jc w:val="right"/>
            </w:pPr>
            <w:r w:rsidRPr="00AD4165">
              <w:rPr>
                <w:sz w:val="40"/>
              </w:rPr>
              <w:t>A</w:t>
            </w:r>
            <w:r>
              <w:t>/HRC/34/8/Add.1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3284C"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AD4165" w:rsidP="00AD4165">
            <w:pPr>
              <w:spacing w:before="240" w:line="240" w:lineRule="exact"/>
            </w:pPr>
            <w:r>
              <w:t>Distr.: General</w:t>
            </w:r>
          </w:p>
          <w:p w:rsidR="00AD4165" w:rsidRDefault="00AD4165" w:rsidP="00AD4165">
            <w:pPr>
              <w:spacing w:line="240" w:lineRule="exact"/>
            </w:pPr>
            <w:r>
              <w:t>1</w:t>
            </w:r>
            <w:r w:rsidR="005A3763">
              <w:t>3</w:t>
            </w:r>
            <w:r>
              <w:t xml:space="preserve"> March 2017</w:t>
            </w:r>
          </w:p>
          <w:p w:rsidR="00AD4165" w:rsidRDefault="00AD4165" w:rsidP="00AD4165">
            <w:pPr>
              <w:spacing w:line="240" w:lineRule="exact"/>
            </w:pPr>
          </w:p>
          <w:p w:rsidR="00AD4165" w:rsidRDefault="00AD4165" w:rsidP="00AD4165">
            <w:pPr>
              <w:spacing w:line="240" w:lineRule="exact"/>
            </w:pPr>
            <w:r>
              <w:t>Original: English</w:t>
            </w:r>
          </w:p>
        </w:tc>
      </w:tr>
    </w:tbl>
    <w:p w:rsidR="00AD4165" w:rsidRPr="00C267F4" w:rsidRDefault="00AD4165" w:rsidP="00AD4165">
      <w:pPr>
        <w:rPr>
          <w:b/>
          <w:bCs/>
          <w:sz w:val="24"/>
          <w:szCs w:val="24"/>
        </w:rPr>
      </w:pPr>
      <w:r w:rsidRPr="00C267F4">
        <w:rPr>
          <w:b/>
          <w:bCs/>
          <w:sz w:val="24"/>
          <w:szCs w:val="24"/>
        </w:rPr>
        <w:t>Human Rights Council</w:t>
      </w:r>
      <w:r w:rsidR="00C5410C">
        <w:rPr>
          <w:noProof/>
          <w:lang w:eastAsia="ja-JP"/>
        </w:rPr>
        <mc:AlternateContent>
          <mc:Choice Requires="wps">
            <w:drawing>
              <wp:anchor distT="0" distB="0" distL="114300" distR="114300" simplePos="0" relativeHeight="251659264" behindDoc="0" locked="0" layoutInCell="1" allowOverlap="0" wp14:anchorId="3D0A3A53" wp14:editId="4C6C58B2">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AD4165" w:rsidRDefault="00AD4165" w:rsidP="00AD4165">
      <w:pPr>
        <w:rPr>
          <w:b/>
          <w:bCs/>
        </w:rPr>
      </w:pPr>
      <w:r w:rsidRPr="00C267F4">
        <w:rPr>
          <w:b/>
          <w:bCs/>
        </w:rPr>
        <w:t>Thirty-</w:t>
      </w:r>
      <w:r>
        <w:rPr>
          <w:b/>
          <w:bCs/>
        </w:rPr>
        <w:t>fourth</w:t>
      </w:r>
      <w:r w:rsidRPr="00C267F4">
        <w:rPr>
          <w:b/>
          <w:bCs/>
        </w:rPr>
        <w:t xml:space="preserve"> </w:t>
      </w:r>
      <w:proofErr w:type="gramStart"/>
      <w:r w:rsidRPr="00C267F4">
        <w:rPr>
          <w:b/>
          <w:bCs/>
        </w:rPr>
        <w:t>session</w:t>
      </w:r>
      <w:proofErr w:type="gramEnd"/>
    </w:p>
    <w:p w:rsidR="005A3763" w:rsidRPr="00F12109" w:rsidRDefault="005A3763" w:rsidP="005A3763">
      <w:r w:rsidRPr="00F12109">
        <w:t>27 February-24 March 2017</w:t>
      </w:r>
    </w:p>
    <w:p w:rsidR="00AD4165" w:rsidRPr="00C267F4" w:rsidRDefault="00AD4165" w:rsidP="00AD4165">
      <w:r w:rsidRPr="00C267F4">
        <w:t>Agenda item 6</w:t>
      </w:r>
    </w:p>
    <w:p w:rsidR="00AD4165" w:rsidRPr="00C267F4" w:rsidRDefault="00AD4165" w:rsidP="00AD4165">
      <w:pPr>
        <w:rPr>
          <w:b/>
        </w:rPr>
      </w:pPr>
      <w:r w:rsidRPr="00C267F4">
        <w:rPr>
          <w:b/>
        </w:rPr>
        <w:t>Universal Periodic Review</w:t>
      </w:r>
    </w:p>
    <w:p w:rsidR="00AD4165" w:rsidRPr="00C267F4" w:rsidRDefault="00AD4165" w:rsidP="00AD4165">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5A3763">
        <w:rPr>
          <w:b/>
        </w:rPr>
        <w:footnoteReference w:customMarkFollows="1" w:id="2"/>
        <w:t>*</w:t>
      </w:r>
    </w:p>
    <w:p w:rsidR="00AD4165" w:rsidRPr="00C267F4" w:rsidRDefault="00AD4165" w:rsidP="00AD4165">
      <w:pPr>
        <w:keepNext/>
        <w:keepLines/>
        <w:tabs>
          <w:tab w:val="right" w:pos="851"/>
        </w:tabs>
        <w:spacing w:before="360" w:after="240" w:line="300" w:lineRule="exact"/>
        <w:ind w:left="1134" w:right="1134" w:hanging="1134"/>
        <w:rPr>
          <w:b/>
          <w:sz w:val="28"/>
        </w:rPr>
      </w:pPr>
      <w:r>
        <w:rPr>
          <w:b/>
          <w:sz w:val="28"/>
        </w:rPr>
        <w:tab/>
      </w:r>
      <w:r>
        <w:rPr>
          <w:b/>
          <w:sz w:val="28"/>
        </w:rPr>
        <w:tab/>
        <w:t>Zimbabwe</w:t>
      </w:r>
    </w:p>
    <w:p w:rsidR="00AD4165" w:rsidRPr="00C267F4" w:rsidRDefault="00AD4165" w:rsidP="00AD4165">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AD4165" w:rsidRPr="00C267F4" w:rsidRDefault="00AD4165" w:rsidP="00AD4165">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870DDD" w:rsidRPr="00870DDD" w:rsidRDefault="00AD4165" w:rsidP="00870DDD">
      <w:pPr>
        <w:pStyle w:val="HChG"/>
        <w:rPr>
          <w:lang w:val="en-ZW"/>
        </w:rPr>
      </w:pPr>
      <w:r w:rsidRPr="00C267F4">
        <w:br w:type="page"/>
      </w:r>
      <w:r w:rsidR="00870DDD">
        <w:lastRenderedPageBreak/>
        <w:tab/>
      </w:r>
      <w:r w:rsidR="00870DDD">
        <w:tab/>
      </w:r>
      <w:r w:rsidR="00870DDD" w:rsidRPr="00870DDD">
        <w:rPr>
          <w:lang w:val="en-ZW"/>
        </w:rPr>
        <w:t>Introduction</w:t>
      </w:r>
    </w:p>
    <w:p w:rsidR="00870DDD" w:rsidRPr="00870DDD" w:rsidRDefault="00870DDD" w:rsidP="00870DDD">
      <w:pPr>
        <w:pStyle w:val="SingleTxtG"/>
        <w:rPr>
          <w:lang w:val="en-US"/>
        </w:rPr>
      </w:pPr>
      <w:r>
        <w:t>1.</w:t>
      </w:r>
      <w:r>
        <w:tab/>
      </w:r>
      <w:r w:rsidRPr="00870DDD">
        <w:t xml:space="preserve">The Republic of Zimbabwe </w:t>
      </w:r>
      <w:r w:rsidRPr="00870DDD">
        <w:rPr>
          <w:lang w:val="en-US"/>
        </w:rPr>
        <w:t xml:space="preserve">presented its Report under the Universal Periodic Review during the </w:t>
      </w:r>
      <w:r w:rsidRPr="00870DDD">
        <w:t xml:space="preserve">twenty-sixth session </w:t>
      </w:r>
      <w:r w:rsidRPr="00870DDD">
        <w:rPr>
          <w:lang w:val="en-US"/>
        </w:rPr>
        <w:t>of the Working Group of the Human Rights Council. During the Review, Zimbabwe received two hundred and sixty (260) recommendations, of which one hundred and forty-two (142) were supported during the session, eighteen (18) were noted and one hundred (100) were deferred, as they required further consideration at the national level.</w:t>
      </w:r>
    </w:p>
    <w:p w:rsidR="00870DDD" w:rsidRPr="00870DDD" w:rsidRDefault="00870DDD" w:rsidP="00870DDD">
      <w:pPr>
        <w:pStyle w:val="SingleTxtG"/>
        <w:rPr>
          <w:b/>
          <w:lang w:val="en-ZW"/>
        </w:rPr>
      </w:pPr>
      <w:r>
        <w:rPr>
          <w:lang w:val="en-US"/>
        </w:rPr>
        <w:t>2.</w:t>
      </w:r>
      <w:r>
        <w:rPr>
          <w:lang w:val="en-US"/>
        </w:rPr>
        <w:tab/>
      </w:r>
      <w:r w:rsidRPr="00870DDD">
        <w:rPr>
          <w:lang w:val="en-US"/>
        </w:rPr>
        <w:t xml:space="preserve">Zimbabwe considered the hundred deferred recommendations and fourteen (14) are supported. The supported recommendations are based on Zimbabwe’s capacity to implement these within the next UPR cycle. Zimbabwe has accepted mostly recommendations that are in the process of being implemented in accordance with our developmental </w:t>
      </w:r>
      <w:proofErr w:type="spellStart"/>
      <w:r w:rsidRPr="00870DDD">
        <w:rPr>
          <w:lang w:val="en-US"/>
        </w:rPr>
        <w:t>programmes</w:t>
      </w:r>
      <w:proofErr w:type="spellEnd"/>
      <w:r w:rsidRPr="00870DDD">
        <w:rPr>
          <w:lang w:val="en-US"/>
        </w:rPr>
        <w:t>.</w:t>
      </w:r>
    </w:p>
    <w:p w:rsidR="00870DDD" w:rsidRPr="00870DDD" w:rsidRDefault="00870DDD" w:rsidP="00870DDD">
      <w:pPr>
        <w:pStyle w:val="SingleTxtG"/>
        <w:rPr>
          <w:lang w:val="en-ZW"/>
        </w:rPr>
      </w:pPr>
      <w:r>
        <w:rPr>
          <w:lang w:val="en-US"/>
        </w:rPr>
        <w:t>3.</w:t>
      </w:r>
      <w:r>
        <w:rPr>
          <w:lang w:val="en-US"/>
        </w:rPr>
        <w:tab/>
      </w:r>
      <w:r w:rsidRPr="00870DDD">
        <w:rPr>
          <w:lang w:val="en-US"/>
        </w:rPr>
        <w:t>Eighty-six (86) of the deferred recommendations do not enjoy the support of Zimbabwe and have thus been noted. The noted recommendations are those that Zimbabwe is unable to commit to implementation immediately or those that are inconsistent with national policies.</w:t>
      </w:r>
    </w:p>
    <w:p w:rsidR="00870DDD" w:rsidRPr="00870DDD" w:rsidRDefault="00870DDD" w:rsidP="00870DDD">
      <w:pPr>
        <w:pStyle w:val="SingleTxtG"/>
        <w:rPr>
          <w:lang w:val="en-ZW"/>
        </w:rPr>
      </w:pPr>
      <w:r>
        <w:rPr>
          <w:lang w:val="en-US"/>
        </w:rPr>
        <w:t>4.</w:t>
      </w:r>
      <w:r>
        <w:rPr>
          <w:lang w:val="en-US"/>
        </w:rPr>
        <w:tab/>
      </w:r>
      <w:r w:rsidRPr="00870DDD">
        <w:rPr>
          <w:lang w:val="en-US"/>
        </w:rPr>
        <w:t>Below is an explanation of Zimbabwe’s final position on the deferred recommendations. The recommendations have been groupe</w:t>
      </w:r>
      <w:r>
        <w:rPr>
          <w:lang w:val="en-US"/>
        </w:rPr>
        <w:t>d according to thematic issues.</w:t>
      </w:r>
    </w:p>
    <w:p w:rsidR="00870DDD" w:rsidRPr="00870DDD" w:rsidRDefault="00870DDD" w:rsidP="00870DDD">
      <w:pPr>
        <w:pStyle w:val="HChG"/>
        <w:rPr>
          <w:lang w:val="en-ZW"/>
        </w:rPr>
      </w:pPr>
      <w:r>
        <w:rPr>
          <w:lang w:val="en-ZW"/>
        </w:rPr>
        <w:tab/>
        <w:t>I.</w:t>
      </w:r>
      <w:r>
        <w:rPr>
          <w:lang w:val="en-ZW"/>
        </w:rPr>
        <w:tab/>
      </w:r>
      <w:r w:rsidRPr="00870DDD">
        <w:rPr>
          <w:lang w:val="en-ZW"/>
        </w:rPr>
        <w:t>Ratification of international human rights instruments</w:t>
      </w:r>
    </w:p>
    <w:p w:rsidR="00870DDD" w:rsidRPr="00870DDD" w:rsidRDefault="00870DDD" w:rsidP="00870DDD">
      <w:pPr>
        <w:pStyle w:val="H23G"/>
        <w:rPr>
          <w:lang w:val="en-ZW"/>
        </w:rPr>
      </w:pPr>
      <w:r>
        <w:rPr>
          <w:lang w:val="en-ZW"/>
        </w:rPr>
        <w:tab/>
      </w:r>
      <w:r>
        <w:rPr>
          <w:lang w:val="en-ZW"/>
        </w:rPr>
        <w:tab/>
      </w:r>
      <w:r w:rsidRPr="00870DDD">
        <w:rPr>
          <w:lang w:val="en-ZW"/>
        </w:rPr>
        <w:t>Ratification of the United Nations Convention Against Torture and Other Cruel or Inhuman and Degrading Punishment and its optional Protocol (CAT/OPCAT)</w:t>
      </w:r>
      <w:r w:rsidR="00937C6A">
        <w:rPr>
          <w:rStyle w:val="EndnoteReference"/>
          <w:lang w:val="en-ZW"/>
        </w:rPr>
        <w:endnoteReference w:id="2"/>
      </w:r>
      <w:r w:rsidRPr="00870DDD">
        <w:rPr>
          <w:lang w:val="en-ZW"/>
        </w:rPr>
        <w:t xml:space="preserve"> and other conventions and international human rights treaties that Zimbabwe is not party to</w:t>
      </w:r>
    </w:p>
    <w:p w:rsidR="00870DDD" w:rsidRPr="00870DDD" w:rsidRDefault="00870DDD" w:rsidP="00870DDD">
      <w:pPr>
        <w:pStyle w:val="SingleTxtG"/>
        <w:rPr>
          <w:lang w:val="en-ZW"/>
        </w:rPr>
      </w:pPr>
      <w:r>
        <w:rPr>
          <w:lang w:val="en-ZW"/>
        </w:rPr>
        <w:t>5.</w:t>
      </w:r>
      <w:r>
        <w:rPr>
          <w:lang w:val="en-ZW"/>
        </w:rPr>
        <w:tab/>
      </w:r>
      <w:r w:rsidRPr="00870DDD">
        <w:rPr>
          <w:lang w:val="en-ZW"/>
        </w:rPr>
        <w:t xml:space="preserve">Noted. </w:t>
      </w:r>
      <w:proofErr w:type="gramStart"/>
      <w:r w:rsidRPr="00870DDD">
        <w:rPr>
          <w:lang w:val="en-ZW"/>
        </w:rPr>
        <w:t>Does not enjoy the support of the State.</w:t>
      </w:r>
      <w:proofErr w:type="gramEnd"/>
    </w:p>
    <w:p w:rsidR="00870DDD" w:rsidRPr="00870DDD" w:rsidRDefault="00870DDD" w:rsidP="00870DDD">
      <w:pPr>
        <w:pStyle w:val="SingleTxtG"/>
        <w:rPr>
          <w:lang w:val="en-ZW"/>
        </w:rPr>
      </w:pPr>
      <w:r>
        <w:rPr>
          <w:lang w:val="en-ZW"/>
        </w:rPr>
        <w:t>6.</w:t>
      </w:r>
      <w:r>
        <w:rPr>
          <w:lang w:val="en-ZW"/>
        </w:rPr>
        <w:tab/>
      </w:r>
      <w:r w:rsidRPr="00870DDD">
        <w:rPr>
          <w:lang w:val="en-ZW"/>
        </w:rPr>
        <w:t xml:space="preserve">For purposes of clarity recommendations </w:t>
      </w:r>
      <w:r w:rsidRPr="00870DDD">
        <w:rPr>
          <w:b/>
          <w:lang w:val="en-ZW"/>
        </w:rPr>
        <w:t>132.1</w:t>
      </w:r>
      <w:r w:rsidRPr="00870DDD">
        <w:rPr>
          <w:lang w:val="en-ZW"/>
        </w:rPr>
        <w:t xml:space="preserve"> and </w:t>
      </w:r>
      <w:r w:rsidRPr="00870DDD">
        <w:rPr>
          <w:b/>
          <w:lang w:val="en-ZW"/>
        </w:rPr>
        <w:t>132.2</w:t>
      </w:r>
      <w:r w:rsidRPr="00870DDD">
        <w:rPr>
          <w:lang w:val="en-ZW"/>
        </w:rPr>
        <w:t xml:space="preserve"> are wholly noted.</w:t>
      </w:r>
    </w:p>
    <w:p w:rsidR="00870DDD" w:rsidRPr="00870DDD" w:rsidRDefault="00870DDD" w:rsidP="00870DDD">
      <w:pPr>
        <w:pStyle w:val="H23G"/>
        <w:rPr>
          <w:lang w:val="en-ZW"/>
        </w:rPr>
      </w:pPr>
      <w:r>
        <w:rPr>
          <w:lang w:val="en-ZW"/>
        </w:rPr>
        <w:tab/>
      </w:r>
      <w:r>
        <w:rPr>
          <w:lang w:val="en-ZW"/>
        </w:rPr>
        <w:tab/>
      </w:r>
      <w:r w:rsidRPr="00870DDD">
        <w:rPr>
          <w:lang w:val="en-ZW"/>
        </w:rPr>
        <w:t>Ratification of the International Convention on the Protection of the Rights of All Migrant Workers and their Families</w:t>
      </w:r>
      <w:r w:rsidR="00937C6A">
        <w:rPr>
          <w:rStyle w:val="EndnoteReference"/>
          <w:lang w:val="en-ZW"/>
        </w:rPr>
        <w:endnoteReference w:id="3"/>
      </w:r>
    </w:p>
    <w:p w:rsidR="00870DDD" w:rsidRPr="00870DDD" w:rsidRDefault="00870DDD" w:rsidP="00870DDD">
      <w:pPr>
        <w:pStyle w:val="SingleTxtG"/>
        <w:rPr>
          <w:lang w:val="en-ZW"/>
        </w:rPr>
      </w:pPr>
      <w:r>
        <w:rPr>
          <w:lang w:val="en-ZW"/>
        </w:rPr>
        <w:t>7.</w:t>
      </w:r>
      <w:r>
        <w:rPr>
          <w:lang w:val="en-ZW"/>
        </w:rPr>
        <w:tab/>
      </w:r>
      <w:r w:rsidRPr="00870DDD">
        <w:rPr>
          <w:lang w:val="en-ZW"/>
        </w:rPr>
        <w:t xml:space="preserve">Noted. </w:t>
      </w:r>
      <w:proofErr w:type="gramStart"/>
      <w:r w:rsidRPr="00870DDD">
        <w:rPr>
          <w:lang w:val="en-ZW"/>
        </w:rPr>
        <w:t>Does not enjoy the support of the State.</w:t>
      </w:r>
      <w:proofErr w:type="gramEnd"/>
    </w:p>
    <w:p w:rsidR="00870DDD" w:rsidRPr="00870DDD" w:rsidRDefault="00870DDD" w:rsidP="00870DDD">
      <w:pPr>
        <w:pStyle w:val="H23G"/>
        <w:rPr>
          <w:lang w:val="en-ZW"/>
        </w:rPr>
      </w:pPr>
      <w:r>
        <w:rPr>
          <w:lang w:val="en-ZW"/>
        </w:rPr>
        <w:tab/>
      </w:r>
      <w:r>
        <w:rPr>
          <w:lang w:val="en-ZW"/>
        </w:rPr>
        <w:tab/>
      </w:r>
      <w:r w:rsidRPr="00870DDD">
        <w:rPr>
          <w:lang w:val="en-ZW"/>
        </w:rPr>
        <w:t>Ratification of the International Convention for the Protection of All Persons from Enforced Disappearances</w:t>
      </w:r>
      <w:r w:rsidR="00937C6A">
        <w:rPr>
          <w:rStyle w:val="EndnoteReference"/>
          <w:lang w:val="en-ZW"/>
        </w:rPr>
        <w:endnoteReference w:id="4"/>
      </w:r>
    </w:p>
    <w:p w:rsidR="00870DDD" w:rsidRPr="00870DDD" w:rsidRDefault="00870DDD" w:rsidP="00870DDD">
      <w:pPr>
        <w:pStyle w:val="SingleTxtG"/>
        <w:rPr>
          <w:b/>
          <w:lang w:val="en-ZW"/>
        </w:rPr>
      </w:pPr>
      <w:r>
        <w:rPr>
          <w:lang w:val="en-ZW"/>
        </w:rPr>
        <w:t>8.</w:t>
      </w:r>
      <w:r>
        <w:rPr>
          <w:lang w:val="en-ZW"/>
        </w:rPr>
        <w:tab/>
      </w:r>
      <w:r w:rsidRPr="00870DDD">
        <w:rPr>
          <w:lang w:val="en-ZW"/>
        </w:rPr>
        <w:t xml:space="preserve">Noted. </w:t>
      </w:r>
      <w:proofErr w:type="gramStart"/>
      <w:r w:rsidRPr="00870DDD">
        <w:rPr>
          <w:lang w:val="en-ZW"/>
        </w:rPr>
        <w:t>Does not enjoy the support of the State.</w:t>
      </w:r>
      <w:proofErr w:type="gramEnd"/>
    </w:p>
    <w:p w:rsidR="00870DDD" w:rsidRPr="00870DDD" w:rsidRDefault="00870DDD" w:rsidP="00870DDD">
      <w:pPr>
        <w:pStyle w:val="H23G"/>
        <w:rPr>
          <w:lang w:val="en-ZW"/>
        </w:rPr>
      </w:pPr>
      <w:r>
        <w:rPr>
          <w:lang w:val="en-ZW"/>
        </w:rPr>
        <w:tab/>
      </w:r>
      <w:r>
        <w:rPr>
          <w:lang w:val="en-ZW"/>
        </w:rPr>
        <w:tab/>
      </w:r>
      <w:r w:rsidRPr="00870DDD">
        <w:rPr>
          <w:lang w:val="en-ZW"/>
        </w:rPr>
        <w:t>Ratification of the Optional Protocol of the Convention on the Elimination of all Forms of Discrimination against Women</w:t>
      </w:r>
      <w:r w:rsidR="00937C6A">
        <w:rPr>
          <w:rStyle w:val="EndnoteReference"/>
          <w:lang w:val="en-ZW"/>
        </w:rPr>
        <w:endnoteReference w:id="5"/>
      </w:r>
    </w:p>
    <w:p w:rsidR="00870DDD" w:rsidRPr="00870DDD" w:rsidRDefault="00870DDD" w:rsidP="00870DDD">
      <w:pPr>
        <w:pStyle w:val="SingleTxtG"/>
        <w:rPr>
          <w:lang w:val="en-ZW"/>
        </w:rPr>
      </w:pPr>
      <w:r>
        <w:rPr>
          <w:lang w:val="en-ZW"/>
        </w:rPr>
        <w:t>9.</w:t>
      </w:r>
      <w:r>
        <w:rPr>
          <w:lang w:val="en-ZW"/>
        </w:rPr>
        <w:tab/>
      </w:r>
      <w:r w:rsidRPr="00870DDD">
        <w:rPr>
          <w:lang w:val="en-ZW"/>
        </w:rPr>
        <w:t xml:space="preserve">Noted. </w:t>
      </w:r>
      <w:proofErr w:type="gramStart"/>
      <w:r w:rsidRPr="00870DDD">
        <w:rPr>
          <w:lang w:val="en-ZW"/>
        </w:rPr>
        <w:t>Does not enjoy the support of the State.</w:t>
      </w:r>
      <w:proofErr w:type="gramEnd"/>
    </w:p>
    <w:p w:rsidR="00870DDD" w:rsidRPr="00870DDD" w:rsidRDefault="00870DDD" w:rsidP="00870DDD">
      <w:pPr>
        <w:pStyle w:val="H23G"/>
        <w:rPr>
          <w:lang w:val="en-ZW"/>
        </w:rPr>
      </w:pPr>
      <w:r>
        <w:rPr>
          <w:lang w:val="en-ZW"/>
        </w:rPr>
        <w:tab/>
      </w:r>
      <w:r>
        <w:rPr>
          <w:lang w:val="en-ZW"/>
        </w:rPr>
        <w:tab/>
      </w:r>
      <w:r w:rsidRPr="00870DDD">
        <w:rPr>
          <w:lang w:val="en-ZW"/>
        </w:rPr>
        <w:t>Ratification of the First and Second Optional Protocol</w:t>
      </w:r>
      <w:r w:rsidR="00042A34">
        <w:rPr>
          <w:lang w:val="en-ZW"/>
        </w:rPr>
        <w:t>s</w:t>
      </w:r>
      <w:r w:rsidRPr="00870DDD">
        <w:rPr>
          <w:lang w:val="en-ZW"/>
        </w:rPr>
        <w:t xml:space="preserve"> to the International Covenant on Civil and Political Rights</w:t>
      </w:r>
      <w:r w:rsidR="00937C6A">
        <w:rPr>
          <w:rStyle w:val="EndnoteReference"/>
          <w:lang w:val="en-ZW"/>
        </w:rPr>
        <w:endnoteReference w:id="6"/>
      </w:r>
    </w:p>
    <w:p w:rsidR="00870DDD" w:rsidRPr="00870DDD" w:rsidRDefault="00870DDD" w:rsidP="00870DDD">
      <w:pPr>
        <w:pStyle w:val="SingleTxtG"/>
        <w:rPr>
          <w:lang w:val="en-ZW"/>
        </w:rPr>
      </w:pPr>
      <w:r>
        <w:rPr>
          <w:lang w:val="en-ZW"/>
        </w:rPr>
        <w:t>10.</w:t>
      </w:r>
      <w:r>
        <w:rPr>
          <w:lang w:val="en-ZW"/>
        </w:rPr>
        <w:tab/>
      </w:r>
      <w:r w:rsidRPr="00870DDD">
        <w:rPr>
          <w:lang w:val="en-ZW"/>
        </w:rPr>
        <w:t xml:space="preserve">Noted. </w:t>
      </w:r>
      <w:proofErr w:type="gramStart"/>
      <w:r w:rsidRPr="00870DDD">
        <w:rPr>
          <w:lang w:val="en-ZW"/>
        </w:rPr>
        <w:t>Does not enjoy the support of the State.</w:t>
      </w:r>
      <w:proofErr w:type="gramEnd"/>
    </w:p>
    <w:p w:rsidR="00870DDD" w:rsidRPr="00870DDD" w:rsidRDefault="00870DDD" w:rsidP="00870DDD">
      <w:pPr>
        <w:pStyle w:val="H23G"/>
        <w:rPr>
          <w:lang w:val="en-ZW"/>
        </w:rPr>
      </w:pPr>
      <w:r>
        <w:rPr>
          <w:lang w:val="en-ZW"/>
        </w:rPr>
        <w:lastRenderedPageBreak/>
        <w:tab/>
      </w:r>
      <w:r>
        <w:rPr>
          <w:lang w:val="en-ZW"/>
        </w:rPr>
        <w:tab/>
      </w:r>
      <w:r w:rsidRPr="00870DDD">
        <w:rPr>
          <w:lang w:val="en-ZW"/>
        </w:rPr>
        <w:t>Ratification of the Optional Protocol to the International Covenant on Economic, Social and Cultural Rights</w:t>
      </w:r>
      <w:r w:rsidR="00937C6A">
        <w:rPr>
          <w:rStyle w:val="EndnoteReference"/>
          <w:lang w:val="en-ZW"/>
        </w:rPr>
        <w:endnoteReference w:id="7"/>
      </w:r>
    </w:p>
    <w:p w:rsidR="00870DDD" w:rsidRPr="00870DDD" w:rsidRDefault="00870DDD" w:rsidP="00870DDD">
      <w:pPr>
        <w:pStyle w:val="SingleTxtG"/>
        <w:rPr>
          <w:lang w:val="en-ZW"/>
        </w:rPr>
      </w:pPr>
      <w:r>
        <w:rPr>
          <w:lang w:val="en-ZW"/>
        </w:rPr>
        <w:t>11.</w:t>
      </w:r>
      <w:r>
        <w:rPr>
          <w:lang w:val="en-ZW"/>
        </w:rPr>
        <w:tab/>
      </w:r>
      <w:r w:rsidRPr="00870DDD">
        <w:rPr>
          <w:lang w:val="en-ZW"/>
        </w:rPr>
        <w:t xml:space="preserve">Noted. </w:t>
      </w:r>
      <w:proofErr w:type="gramStart"/>
      <w:r w:rsidRPr="00870DDD">
        <w:rPr>
          <w:lang w:val="en-ZW"/>
        </w:rPr>
        <w:t>Does not enjoy the support of the State.</w:t>
      </w:r>
      <w:proofErr w:type="gramEnd"/>
    </w:p>
    <w:p w:rsidR="00870DDD" w:rsidRPr="00870DDD" w:rsidRDefault="00870DDD" w:rsidP="00870DDD">
      <w:pPr>
        <w:pStyle w:val="H23G"/>
        <w:rPr>
          <w:lang w:val="en-ZW"/>
        </w:rPr>
      </w:pPr>
      <w:r>
        <w:rPr>
          <w:lang w:val="en-ZW"/>
        </w:rPr>
        <w:tab/>
      </w:r>
      <w:r>
        <w:rPr>
          <w:lang w:val="en-ZW"/>
        </w:rPr>
        <w:tab/>
      </w:r>
      <w:r w:rsidRPr="00870DDD">
        <w:rPr>
          <w:lang w:val="en-ZW"/>
        </w:rPr>
        <w:t>Ratification of the Optional Protocol 3 to the UN Convention on the Rights of the Child</w:t>
      </w:r>
      <w:r w:rsidR="00937C6A">
        <w:rPr>
          <w:rStyle w:val="EndnoteReference"/>
          <w:lang w:val="en-ZW"/>
        </w:rPr>
        <w:endnoteReference w:id="8"/>
      </w:r>
    </w:p>
    <w:p w:rsidR="00870DDD" w:rsidRPr="00870DDD" w:rsidRDefault="00870DDD" w:rsidP="00870DDD">
      <w:pPr>
        <w:pStyle w:val="SingleTxtG"/>
        <w:rPr>
          <w:lang w:val="en-ZW"/>
        </w:rPr>
      </w:pPr>
      <w:r>
        <w:rPr>
          <w:lang w:val="en-ZW"/>
        </w:rPr>
        <w:t>12.</w:t>
      </w:r>
      <w:r>
        <w:rPr>
          <w:lang w:val="en-ZW"/>
        </w:rPr>
        <w:tab/>
      </w:r>
      <w:r w:rsidRPr="00870DDD">
        <w:rPr>
          <w:lang w:val="en-ZW"/>
        </w:rPr>
        <w:t xml:space="preserve">Noted. </w:t>
      </w:r>
      <w:proofErr w:type="gramStart"/>
      <w:r w:rsidRPr="00870DDD">
        <w:rPr>
          <w:lang w:val="en-ZW"/>
        </w:rPr>
        <w:t>Does not enjoy the support of Zimbabwe.</w:t>
      </w:r>
      <w:proofErr w:type="gramEnd"/>
    </w:p>
    <w:p w:rsidR="00870DDD" w:rsidRPr="00870DDD" w:rsidRDefault="00870DDD" w:rsidP="00870DDD">
      <w:pPr>
        <w:pStyle w:val="H23G"/>
        <w:rPr>
          <w:lang w:val="en-ZW"/>
        </w:rPr>
      </w:pPr>
      <w:r>
        <w:rPr>
          <w:lang w:val="en-ZW"/>
        </w:rPr>
        <w:tab/>
      </w:r>
      <w:r>
        <w:rPr>
          <w:lang w:val="en-ZW"/>
        </w:rPr>
        <w:tab/>
      </w:r>
      <w:r w:rsidRPr="00870DDD">
        <w:rPr>
          <w:lang w:val="en-ZW"/>
        </w:rPr>
        <w:t>Ratification of ILO Convention 189</w:t>
      </w:r>
      <w:r w:rsidR="00937C6A">
        <w:rPr>
          <w:rStyle w:val="EndnoteReference"/>
          <w:lang w:val="en-ZW"/>
        </w:rPr>
        <w:endnoteReference w:id="9"/>
      </w:r>
    </w:p>
    <w:p w:rsidR="00870DDD" w:rsidRPr="00870DDD" w:rsidRDefault="00870DDD" w:rsidP="00870DDD">
      <w:pPr>
        <w:pStyle w:val="SingleTxtG"/>
        <w:rPr>
          <w:lang w:val="en-ZW"/>
        </w:rPr>
      </w:pPr>
      <w:r>
        <w:rPr>
          <w:lang w:val="en-ZW"/>
        </w:rPr>
        <w:t>13.</w:t>
      </w:r>
      <w:r>
        <w:rPr>
          <w:lang w:val="en-ZW"/>
        </w:rPr>
        <w:tab/>
      </w:r>
      <w:r w:rsidRPr="00870DDD">
        <w:rPr>
          <w:lang w:val="en-ZW"/>
        </w:rPr>
        <w:t>Noted. The matter is still under consideration.</w:t>
      </w:r>
    </w:p>
    <w:p w:rsidR="00870DDD" w:rsidRPr="00870DDD" w:rsidRDefault="00870DDD" w:rsidP="00870DDD">
      <w:pPr>
        <w:pStyle w:val="H23G"/>
        <w:rPr>
          <w:lang w:val="en-ZW"/>
        </w:rPr>
      </w:pPr>
      <w:r>
        <w:rPr>
          <w:lang w:val="en-ZW"/>
        </w:rPr>
        <w:tab/>
      </w:r>
      <w:r>
        <w:rPr>
          <w:lang w:val="en-ZW"/>
        </w:rPr>
        <w:tab/>
      </w:r>
      <w:r w:rsidRPr="00870DDD">
        <w:rPr>
          <w:lang w:val="en-ZW"/>
        </w:rPr>
        <w:t xml:space="preserve">Recommendation 132.33 </w:t>
      </w:r>
    </w:p>
    <w:p w:rsidR="00870DDD" w:rsidRPr="00870DDD" w:rsidRDefault="00870DDD" w:rsidP="00870DDD">
      <w:pPr>
        <w:pStyle w:val="SingleTxtG"/>
        <w:rPr>
          <w:lang w:val="en-ZW"/>
        </w:rPr>
      </w:pPr>
      <w:r>
        <w:rPr>
          <w:lang w:val="en-ZW"/>
        </w:rPr>
        <w:t>14.</w:t>
      </w:r>
      <w:r>
        <w:rPr>
          <w:lang w:val="en-ZW"/>
        </w:rPr>
        <w:tab/>
      </w:r>
      <w:r w:rsidRPr="00870DDD">
        <w:rPr>
          <w:lang w:val="en-ZW"/>
        </w:rPr>
        <w:t xml:space="preserve">Noted. </w:t>
      </w:r>
      <w:proofErr w:type="gramStart"/>
      <w:r w:rsidRPr="00870DDD">
        <w:rPr>
          <w:lang w:val="en-ZW"/>
        </w:rPr>
        <w:t>Does not enjoy the support of the State.</w:t>
      </w:r>
      <w:proofErr w:type="gramEnd"/>
    </w:p>
    <w:p w:rsidR="00870DDD" w:rsidRPr="00870DDD" w:rsidRDefault="00870DDD" w:rsidP="00870DDD">
      <w:pPr>
        <w:pStyle w:val="HChG"/>
        <w:rPr>
          <w:lang w:val="en-ZW"/>
        </w:rPr>
      </w:pPr>
      <w:r>
        <w:rPr>
          <w:lang w:val="en-ZW"/>
        </w:rPr>
        <w:tab/>
        <w:t>II.</w:t>
      </w:r>
      <w:r>
        <w:rPr>
          <w:lang w:val="en-ZW"/>
        </w:rPr>
        <w:tab/>
      </w:r>
      <w:r w:rsidRPr="00870DDD">
        <w:rPr>
          <w:lang w:val="en-ZW"/>
        </w:rPr>
        <w:t>Adoption of an immediate moratorium on the death penalty</w:t>
      </w:r>
      <w:r w:rsidR="00937C6A">
        <w:rPr>
          <w:rStyle w:val="EndnoteReference"/>
          <w:lang w:val="en-ZW"/>
        </w:rPr>
        <w:endnoteReference w:id="10"/>
      </w:r>
    </w:p>
    <w:p w:rsidR="00870DDD" w:rsidRPr="00870DDD" w:rsidRDefault="00870DDD" w:rsidP="00870DDD">
      <w:pPr>
        <w:pStyle w:val="SingleTxtG"/>
        <w:rPr>
          <w:lang w:val="en-ZW"/>
        </w:rPr>
      </w:pPr>
      <w:r>
        <w:rPr>
          <w:lang w:val="en-ZW"/>
        </w:rPr>
        <w:t>15.</w:t>
      </w:r>
      <w:r>
        <w:rPr>
          <w:lang w:val="en-ZW"/>
        </w:rPr>
        <w:tab/>
      </w:r>
      <w:r w:rsidRPr="00870DDD">
        <w:rPr>
          <w:lang w:val="en-ZW"/>
        </w:rPr>
        <w:t xml:space="preserve">Noted. The matter is receiving attention by </w:t>
      </w:r>
      <w:r w:rsidR="0053255F">
        <w:rPr>
          <w:lang w:val="en-ZW"/>
        </w:rPr>
        <w:t xml:space="preserve">the </w:t>
      </w:r>
      <w:r w:rsidRPr="00870DDD">
        <w:rPr>
          <w:lang w:val="en-ZW"/>
        </w:rPr>
        <w:t>Government.</w:t>
      </w:r>
    </w:p>
    <w:p w:rsidR="00870DDD" w:rsidRPr="00870DDD" w:rsidRDefault="00870DDD" w:rsidP="00870DDD">
      <w:pPr>
        <w:pStyle w:val="HChG"/>
        <w:rPr>
          <w:lang w:val="en-ZW"/>
        </w:rPr>
      </w:pPr>
      <w:r>
        <w:rPr>
          <w:lang w:val="en-ZW"/>
        </w:rPr>
        <w:tab/>
        <w:t>III.</w:t>
      </w:r>
      <w:r>
        <w:rPr>
          <w:lang w:val="en-ZW"/>
        </w:rPr>
        <w:tab/>
      </w:r>
      <w:r w:rsidRPr="00870DDD">
        <w:rPr>
          <w:lang w:val="en-ZW"/>
        </w:rPr>
        <w:t>Enactment of national legislation abolishing the death penalty for all crimes</w:t>
      </w:r>
    </w:p>
    <w:p w:rsidR="00870DDD" w:rsidRPr="00870DDD" w:rsidRDefault="00870DDD" w:rsidP="00870DDD">
      <w:pPr>
        <w:pStyle w:val="SingleTxtG"/>
        <w:rPr>
          <w:lang w:val="en-ZW"/>
        </w:rPr>
      </w:pPr>
      <w:r>
        <w:rPr>
          <w:lang w:val="en-ZW"/>
        </w:rPr>
        <w:t>16.</w:t>
      </w:r>
      <w:r>
        <w:rPr>
          <w:lang w:val="en-ZW"/>
        </w:rPr>
        <w:tab/>
      </w:r>
      <w:r w:rsidRPr="00870DDD">
        <w:rPr>
          <w:lang w:val="en-ZW"/>
        </w:rPr>
        <w:t>Noted. The matter is receiving attention by</w:t>
      </w:r>
      <w:r w:rsidR="005F7664">
        <w:rPr>
          <w:lang w:val="en-ZW"/>
        </w:rPr>
        <w:t xml:space="preserve"> the</w:t>
      </w:r>
      <w:r w:rsidRPr="00870DDD">
        <w:rPr>
          <w:lang w:val="en-ZW"/>
        </w:rPr>
        <w:t xml:space="preserve"> Government.</w:t>
      </w:r>
    </w:p>
    <w:p w:rsidR="00870DDD" w:rsidRPr="00870DDD" w:rsidRDefault="00870DDD" w:rsidP="00870DDD">
      <w:pPr>
        <w:pStyle w:val="HChG"/>
        <w:rPr>
          <w:lang w:val="en-ZW"/>
        </w:rPr>
      </w:pPr>
      <w:r>
        <w:rPr>
          <w:lang w:val="en-ZW"/>
        </w:rPr>
        <w:tab/>
        <w:t>IV.</w:t>
      </w:r>
      <w:r>
        <w:rPr>
          <w:lang w:val="en-ZW"/>
        </w:rPr>
        <w:tab/>
      </w:r>
      <w:r w:rsidRPr="00870DDD">
        <w:rPr>
          <w:lang w:val="en-ZW"/>
        </w:rPr>
        <w:t>Freedom of expression and freedom of the media</w:t>
      </w:r>
      <w:r w:rsidR="00937C6A">
        <w:rPr>
          <w:rStyle w:val="EndnoteReference"/>
          <w:lang w:val="en-ZW"/>
        </w:rPr>
        <w:endnoteReference w:id="11"/>
      </w:r>
    </w:p>
    <w:p w:rsidR="00870DDD" w:rsidRPr="00870DDD" w:rsidRDefault="00870DDD" w:rsidP="00870DDD">
      <w:pPr>
        <w:pStyle w:val="SingleTxtG"/>
        <w:rPr>
          <w:b/>
          <w:lang w:val="en-ZW"/>
        </w:rPr>
      </w:pPr>
      <w:r>
        <w:rPr>
          <w:lang w:val="en-ZW"/>
        </w:rPr>
        <w:t>17.</w:t>
      </w:r>
      <w:r>
        <w:rPr>
          <w:lang w:val="en-ZW"/>
        </w:rPr>
        <w:tab/>
      </w:r>
      <w:r w:rsidRPr="00870DDD">
        <w:rPr>
          <w:lang w:val="en-ZW"/>
        </w:rPr>
        <w:t xml:space="preserve">Zimbabwe supports in part recommendation </w:t>
      </w:r>
      <w:r w:rsidRPr="00870DDD">
        <w:rPr>
          <w:b/>
          <w:lang w:val="en-ZW"/>
        </w:rPr>
        <w:t>132.62.</w:t>
      </w:r>
      <w:r w:rsidRPr="00870DDD">
        <w:rPr>
          <w:lang w:val="en-ZW"/>
        </w:rPr>
        <w:t xml:space="preserve"> The Government is currently reviewing all laws in order to align them to the Constitution and this includes the Access to Information and Protection of Privacy Act and the Public Order and Security Act. However, no commitment can be made towards the repeal of the above mentioned Acts and the recommendation is not supported in that respect.</w:t>
      </w:r>
    </w:p>
    <w:p w:rsidR="00870DDD" w:rsidRPr="00870DDD" w:rsidRDefault="00870DDD" w:rsidP="00870DDD">
      <w:pPr>
        <w:pStyle w:val="SingleTxtG"/>
        <w:rPr>
          <w:lang w:val="en-ZW"/>
        </w:rPr>
      </w:pPr>
      <w:r>
        <w:rPr>
          <w:lang w:val="en-ZW"/>
        </w:rPr>
        <w:t>18.</w:t>
      </w:r>
      <w:r>
        <w:rPr>
          <w:lang w:val="en-ZW"/>
        </w:rPr>
        <w:tab/>
      </w:r>
      <w:r w:rsidRPr="00870DDD">
        <w:rPr>
          <w:lang w:val="en-ZW"/>
        </w:rPr>
        <w:t xml:space="preserve">Recommendation </w:t>
      </w:r>
      <w:r w:rsidRPr="00870DDD">
        <w:rPr>
          <w:b/>
          <w:lang w:val="en-ZW"/>
        </w:rPr>
        <w:t>132.93</w:t>
      </w:r>
      <w:r w:rsidRPr="00870DDD">
        <w:rPr>
          <w:lang w:val="en-ZW"/>
        </w:rPr>
        <w:t xml:space="preserve"> enjoys the support of Zimbabwe. The recommendation was for Zimbabwe to make efforts to promote free and unbiased local media, including by removing restrictions on local radio broadcasts.</w:t>
      </w:r>
    </w:p>
    <w:p w:rsidR="00870DDD" w:rsidRPr="00870DDD" w:rsidRDefault="00870DDD" w:rsidP="00870DDD">
      <w:pPr>
        <w:pStyle w:val="SingleTxtG"/>
        <w:rPr>
          <w:lang w:val="en-ZW"/>
        </w:rPr>
      </w:pPr>
      <w:r>
        <w:rPr>
          <w:lang w:val="en-ZW"/>
        </w:rPr>
        <w:t>19.</w:t>
      </w:r>
      <w:r>
        <w:rPr>
          <w:lang w:val="en-ZW"/>
        </w:rPr>
        <w:tab/>
      </w:r>
      <w:r w:rsidRPr="00870DDD">
        <w:rPr>
          <w:lang w:val="en-ZW"/>
        </w:rPr>
        <w:t xml:space="preserve">Recommendation </w:t>
      </w:r>
      <w:r w:rsidRPr="00870DDD">
        <w:rPr>
          <w:b/>
          <w:lang w:val="en-ZW"/>
        </w:rPr>
        <w:t>132.66</w:t>
      </w:r>
      <w:r w:rsidRPr="00870DDD">
        <w:rPr>
          <w:lang w:val="en-ZW"/>
        </w:rPr>
        <w:t xml:space="preserve"> is noted</w:t>
      </w:r>
      <w:r>
        <w:rPr>
          <w:lang w:val="en-ZW"/>
        </w:rPr>
        <w:t>.</w:t>
      </w:r>
    </w:p>
    <w:p w:rsidR="00870DDD" w:rsidRPr="00870DDD" w:rsidRDefault="00870DDD" w:rsidP="00870DDD">
      <w:pPr>
        <w:pStyle w:val="SingleTxtG"/>
        <w:rPr>
          <w:lang w:val="en-ZW"/>
        </w:rPr>
      </w:pPr>
      <w:r>
        <w:rPr>
          <w:lang w:val="en-ZW"/>
        </w:rPr>
        <w:t>20.</w:t>
      </w:r>
      <w:r>
        <w:rPr>
          <w:lang w:val="en-ZW"/>
        </w:rPr>
        <w:tab/>
      </w:r>
      <w:r w:rsidRPr="00870DDD">
        <w:rPr>
          <w:lang w:val="en-ZW"/>
        </w:rPr>
        <w:t xml:space="preserve">Recommendation </w:t>
      </w:r>
      <w:r w:rsidRPr="00870DDD">
        <w:rPr>
          <w:b/>
          <w:lang w:val="en-ZW"/>
        </w:rPr>
        <w:t>132.92</w:t>
      </w:r>
      <w:r w:rsidRPr="00870DDD">
        <w:rPr>
          <w:lang w:val="en-ZW"/>
        </w:rPr>
        <w:t xml:space="preserve"> is noted. </w:t>
      </w:r>
      <w:proofErr w:type="gramStart"/>
      <w:r w:rsidRPr="00870DDD">
        <w:rPr>
          <w:lang w:val="en-ZW"/>
        </w:rPr>
        <w:t>Does not enjoy the support of the State.</w:t>
      </w:r>
      <w:proofErr w:type="gramEnd"/>
    </w:p>
    <w:p w:rsidR="00870DDD" w:rsidRPr="00870DDD" w:rsidRDefault="00870DDD" w:rsidP="00870DDD">
      <w:pPr>
        <w:pStyle w:val="HChG"/>
        <w:rPr>
          <w:lang w:val="en-ZW"/>
        </w:rPr>
      </w:pPr>
      <w:r>
        <w:rPr>
          <w:lang w:val="en-ZW"/>
        </w:rPr>
        <w:tab/>
        <w:t>V.</w:t>
      </w:r>
      <w:r>
        <w:rPr>
          <w:lang w:val="en-ZW"/>
        </w:rPr>
        <w:tab/>
      </w:r>
      <w:r w:rsidRPr="00870DDD">
        <w:rPr>
          <w:lang w:val="en-ZW"/>
        </w:rPr>
        <w:t>Recommendation to review and update the Private Voluntary Organisations Act</w:t>
      </w:r>
      <w:r w:rsidR="00937C6A">
        <w:rPr>
          <w:rStyle w:val="EndnoteReference"/>
          <w:lang w:val="en-ZW"/>
        </w:rPr>
        <w:endnoteReference w:id="12"/>
      </w:r>
    </w:p>
    <w:p w:rsidR="00870DDD" w:rsidRPr="00870DDD" w:rsidRDefault="00870DDD" w:rsidP="00870DDD">
      <w:pPr>
        <w:pStyle w:val="SingleTxtG"/>
        <w:rPr>
          <w:lang w:val="en-ZW"/>
        </w:rPr>
      </w:pPr>
      <w:r>
        <w:rPr>
          <w:lang w:val="en-ZW"/>
        </w:rPr>
        <w:t>21.</w:t>
      </w:r>
      <w:r>
        <w:rPr>
          <w:lang w:val="en-ZW"/>
        </w:rPr>
        <w:tab/>
      </w:r>
      <w:r w:rsidRPr="00870DDD">
        <w:rPr>
          <w:lang w:val="en-ZW"/>
        </w:rPr>
        <w:t xml:space="preserve">Noted. The Act has already been reviewed and updated in line with International standards. </w:t>
      </w:r>
    </w:p>
    <w:p w:rsidR="00870DDD" w:rsidRPr="00870DDD" w:rsidRDefault="00870DDD" w:rsidP="00870DDD">
      <w:pPr>
        <w:pStyle w:val="HChG"/>
        <w:rPr>
          <w:lang w:val="en-ZW"/>
        </w:rPr>
      </w:pPr>
      <w:r>
        <w:rPr>
          <w:lang w:val="en-ZW"/>
        </w:rPr>
        <w:tab/>
        <w:t>VI.</w:t>
      </w:r>
      <w:r>
        <w:rPr>
          <w:lang w:val="en-ZW"/>
        </w:rPr>
        <w:tab/>
      </w:r>
      <w:r w:rsidRPr="00870DDD">
        <w:rPr>
          <w:lang w:val="en-ZW"/>
        </w:rPr>
        <w:t>Recommendation to repeal and amend the Public Order and Security Act</w:t>
      </w:r>
      <w:r w:rsidR="00937C6A">
        <w:rPr>
          <w:rStyle w:val="EndnoteReference"/>
          <w:lang w:val="en-ZW"/>
        </w:rPr>
        <w:endnoteReference w:id="13"/>
      </w:r>
    </w:p>
    <w:p w:rsidR="00870DDD" w:rsidRPr="00870DDD" w:rsidRDefault="00870DDD" w:rsidP="00870DDD">
      <w:pPr>
        <w:pStyle w:val="SingleTxtG"/>
        <w:rPr>
          <w:lang w:val="en-ZW"/>
        </w:rPr>
      </w:pPr>
      <w:r>
        <w:rPr>
          <w:lang w:val="en-ZW"/>
        </w:rPr>
        <w:t>22.</w:t>
      </w:r>
      <w:r>
        <w:rPr>
          <w:lang w:val="en-ZW"/>
        </w:rPr>
        <w:tab/>
      </w:r>
      <w:r w:rsidRPr="00870DDD">
        <w:rPr>
          <w:lang w:val="en-ZW"/>
        </w:rPr>
        <w:t xml:space="preserve">Noted. </w:t>
      </w:r>
      <w:proofErr w:type="gramStart"/>
      <w:r w:rsidRPr="00870DDD">
        <w:rPr>
          <w:lang w:val="en-ZW"/>
        </w:rPr>
        <w:t>Does not enjoy the support of Zimbabwe.</w:t>
      </w:r>
      <w:proofErr w:type="gramEnd"/>
    </w:p>
    <w:p w:rsidR="00870DDD" w:rsidRPr="00870DDD" w:rsidRDefault="00870DDD" w:rsidP="00870DDD">
      <w:pPr>
        <w:pStyle w:val="SingleTxtG"/>
        <w:rPr>
          <w:lang w:val="en-ZW"/>
        </w:rPr>
      </w:pPr>
      <w:r>
        <w:rPr>
          <w:lang w:val="en-ZW"/>
        </w:rPr>
        <w:t>23.</w:t>
      </w:r>
      <w:r>
        <w:rPr>
          <w:lang w:val="en-ZW"/>
        </w:rPr>
        <w:tab/>
      </w:r>
      <w:r w:rsidRPr="00870DDD">
        <w:rPr>
          <w:lang w:val="en-ZW"/>
        </w:rPr>
        <w:t>The Public Order and Security Act is compliant with the Constitution of Zimbabwe and this has been recently confirmed by the High Court of Zimbabwe</w:t>
      </w:r>
      <w:r>
        <w:rPr>
          <w:lang w:val="en-ZW"/>
        </w:rPr>
        <w:t>.</w:t>
      </w:r>
    </w:p>
    <w:p w:rsidR="00870DDD" w:rsidRPr="00870DDD" w:rsidRDefault="00870DDD" w:rsidP="00870DDD">
      <w:pPr>
        <w:pStyle w:val="HChG"/>
        <w:rPr>
          <w:lang w:val="en-ZW"/>
        </w:rPr>
      </w:pPr>
      <w:r>
        <w:rPr>
          <w:lang w:val="en-ZW"/>
        </w:rPr>
        <w:tab/>
        <w:t>VII.</w:t>
      </w:r>
      <w:r>
        <w:rPr>
          <w:lang w:val="en-ZW"/>
        </w:rPr>
        <w:tab/>
      </w:r>
      <w:r w:rsidRPr="00870DDD">
        <w:rPr>
          <w:lang w:val="en-ZW"/>
        </w:rPr>
        <w:t>Recommendation to repeal the ban on public demonstrations</w:t>
      </w:r>
      <w:r w:rsidR="00937C6A">
        <w:rPr>
          <w:rStyle w:val="EndnoteReference"/>
          <w:lang w:val="en-ZW"/>
        </w:rPr>
        <w:endnoteReference w:id="14"/>
      </w:r>
    </w:p>
    <w:p w:rsidR="00870DDD" w:rsidRPr="00870DDD" w:rsidRDefault="00870DDD" w:rsidP="00870DDD">
      <w:pPr>
        <w:pStyle w:val="SingleTxtG"/>
        <w:rPr>
          <w:lang w:val="en-ZW"/>
        </w:rPr>
      </w:pPr>
      <w:r>
        <w:rPr>
          <w:lang w:val="en-ZW"/>
        </w:rPr>
        <w:t>24.</w:t>
      </w:r>
      <w:r>
        <w:rPr>
          <w:lang w:val="en-ZW"/>
        </w:rPr>
        <w:tab/>
      </w:r>
      <w:r w:rsidRPr="00870DDD">
        <w:rPr>
          <w:lang w:val="en-ZW"/>
        </w:rPr>
        <w:t>Noted. The law allows for peaceful demonstrations in Zimbabwe subject to permissible restrictions in terms of the Constitution.</w:t>
      </w:r>
    </w:p>
    <w:p w:rsidR="00870DDD" w:rsidRPr="00870DDD" w:rsidRDefault="00870DDD" w:rsidP="00870DDD">
      <w:pPr>
        <w:pStyle w:val="HChG"/>
        <w:rPr>
          <w:lang w:val="en-ZW"/>
        </w:rPr>
      </w:pPr>
      <w:r>
        <w:rPr>
          <w:lang w:val="en-ZW"/>
        </w:rPr>
        <w:tab/>
        <w:t>VIII.</w:t>
      </w:r>
      <w:r>
        <w:rPr>
          <w:lang w:val="en-ZW"/>
        </w:rPr>
        <w:tab/>
      </w:r>
      <w:r w:rsidRPr="00870DDD">
        <w:rPr>
          <w:lang w:val="en-ZW"/>
        </w:rPr>
        <w:t>Family,</w:t>
      </w:r>
      <w:r>
        <w:rPr>
          <w:lang w:val="en-ZW"/>
        </w:rPr>
        <w:t xml:space="preserve"> m</w:t>
      </w:r>
      <w:r w:rsidRPr="00870DDD">
        <w:rPr>
          <w:lang w:val="en-ZW"/>
        </w:rPr>
        <w:t xml:space="preserve">arriage and </w:t>
      </w:r>
      <w:r>
        <w:rPr>
          <w:lang w:val="en-ZW"/>
        </w:rPr>
        <w:t>d</w:t>
      </w:r>
      <w:r w:rsidRPr="00870DDD">
        <w:rPr>
          <w:lang w:val="en-ZW"/>
        </w:rPr>
        <w:t xml:space="preserve">ivorce </w:t>
      </w:r>
      <w:r>
        <w:rPr>
          <w:lang w:val="en-ZW"/>
        </w:rPr>
        <w:t>l</w:t>
      </w:r>
      <w:r w:rsidRPr="00870DDD">
        <w:rPr>
          <w:lang w:val="en-ZW"/>
        </w:rPr>
        <w:t>aws</w:t>
      </w:r>
      <w:r w:rsidR="00937C6A">
        <w:rPr>
          <w:rStyle w:val="EndnoteReference"/>
          <w:lang w:val="en-ZW"/>
        </w:rPr>
        <w:endnoteReference w:id="15"/>
      </w:r>
    </w:p>
    <w:p w:rsidR="00870DDD" w:rsidRPr="00870DDD" w:rsidRDefault="00870DDD" w:rsidP="00870DDD">
      <w:pPr>
        <w:pStyle w:val="SingleTxtG"/>
        <w:rPr>
          <w:lang w:val="en-ZW"/>
        </w:rPr>
      </w:pPr>
      <w:r>
        <w:rPr>
          <w:lang w:val="en-ZW"/>
        </w:rPr>
        <w:t>25.</w:t>
      </w:r>
      <w:r>
        <w:rPr>
          <w:lang w:val="en-ZW"/>
        </w:rPr>
        <w:tab/>
      </w:r>
      <w:r w:rsidRPr="00870DDD">
        <w:rPr>
          <w:lang w:val="en-ZW"/>
        </w:rPr>
        <w:t xml:space="preserve">Noted. </w:t>
      </w:r>
      <w:proofErr w:type="gramStart"/>
      <w:r w:rsidRPr="00870DDD">
        <w:rPr>
          <w:lang w:val="en-ZW"/>
        </w:rPr>
        <w:t>Does not enjoy the support of Zimbabwe.</w:t>
      </w:r>
      <w:proofErr w:type="gramEnd"/>
    </w:p>
    <w:p w:rsidR="00870DDD" w:rsidRPr="00870DDD" w:rsidRDefault="00870DDD" w:rsidP="00870DDD">
      <w:pPr>
        <w:pStyle w:val="HChG"/>
        <w:rPr>
          <w:lang w:val="en-ZW"/>
        </w:rPr>
      </w:pPr>
      <w:r>
        <w:rPr>
          <w:lang w:val="en-ZW"/>
        </w:rPr>
        <w:tab/>
        <w:t>IX.</w:t>
      </w:r>
      <w:r>
        <w:rPr>
          <w:lang w:val="en-ZW"/>
        </w:rPr>
        <w:tab/>
      </w:r>
      <w:r w:rsidRPr="00870DDD">
        <w:rPr>
          <w:lang w:val="en-ZW"/>
        </w:rPr>
        <w:t>Independence of the Zimbabwe Human Rights Commission</w:t>
      </w:r>
      <w:r w:rsidR="00937C6A">
        <w:rPr>
          <w:rStyle w:val="EndnoteReference"/>
          <w:lang w:val="en-ZW"/>
        </w:rPr>
        <w:endnoteReference w:id="16"/>
      </w:r>
    </w:p>
    <w:p w:rsidR="00870DDD" w:rsidRPr="00870DDD" w:rsidRDefault="00870DDD" w:rsidP="00870DDD">
      <w:pPr>
        <w:pStyle w:val="SingleTxtG"/>
        <w:rPr>
          <w:lang w:val="en-ZW"/>
        </w:rPr>
      </w:pPr>
      <w:r>
        <w:rPr>
          <w:lang w:val="en-ZW"/>
        </w:rPr>
        <w:t>26.</w:t>
      </w:r>
      <w:r>
        <w:rPr>
          <w:lang w:val="en-ZW"/>
        </w:rPr>
        <w:tab/>
      </w:r>
      <w:r w:rsidRPr="00870DDD">
        <w:rPr>
          <w:lang w:val="en-ZW"/>
        </w:rPr>
        <w:t>These recommendations are supported in part by the State. The Zimbabwe Human Rights Commission is independent and enjoys financial autonomy. Zimbabwe does not fully appreciate the aspect of the recommendations concerning immunity and as such those aspects of the recommendations cannot be supported.</w:t>
      </w:r>
    </w:p>
    <w:p w:rsidR="00870DDD" w:rsidRPr="00870DDD" w:rsidRDefault="00870DDD" w:rsidP="00870DDD">
      <w:pPr>
        <w:pStyle w:val="HChG"/>
        <w:rPr>
          <w:lang w:val="en-ZW"/>
        </w:rPr>
      </w:pPr>
      <w:r>
        <w:rPr>
          <w:lang w:val="en-ZW"/>
        </w:rPr>
        <w:tab/>
        <w:t>X.</w:t>
      </w:r>
      <w:r>
        <w:rPr>
          <w:lang w:val="en-ZW"/>
        </w:rPr>
        <w:tab/>
        <w:t>Humanitarian a</w:t>
      </w:r>
      <w:r w:rsidRPr="00870DDD">
        <w:rPr>
          <w:lang w:val="en-ZW"/>
        </w:rPr>
        <w:t>gencies</w:t>
      </w:r>
      <w:r w:rsidR="00937C6A">
        <w:rPr>
          <w:rStyle w:val="EndnoteReference"/>
          <w:lang w:val="en-ZW"/>
        </w:rPr>
        <w:endnoteReference w:id="17"/>
      </w:r>
    </w:p>
    <w:p w:rsidR="00870DDD" w:rsidRPr="00870DDD" w:rsidRDefault="00870DDD" w:rsidP="00870DDD">
      <w:pPr>
        <w:pStyle w:val="SingleTxtG"/>
        <w:rPr>
          <w:lang w:val="en-ZW"/>
        </w:rPr>
      </w:pPr>
      <w:r>
        <w:rPr>
          <w:lang w:val="en-ZW"/>
        </w:rPr>
        <w:t>27.</w:t>
      </w:r>
      <w:r>
        <w:rPr>
          <w:lang w:val="en-ZW"/>
        </w:rPr>
        <w:tab/>
      </w:r>
      <w:r w:rsidRPr="00870DDD">
        <w:rPr>
          <w:lang w:val="en-ZW"/>
        </w:rPr>
        <w:t xml:space="preserve">Noted. </w:t>
      </w:r>
      <w:proofErr w:type="gramStart"/>
      <w:r w:rsidRPr="00870DDD">
        <w:rPr>
          <w:lang w:val="en-ZW"/>
        </w:rPr>
        <w:t>Does not enjoy the support of Zimbabwe on the basis that the law guarantees the agencies freedom to operate freely provided that they operate within the confines of the law.</w:t>
      </w:r>
      <w:proofErr w:type="gramEnd"/>
      <w:r w:rsidRPr="00870DDD">
        <w:rPr>
          <w:lang w:val="en-ZW"/>
        </w:rPr>
        <w:t xml:space="preserve"> </w:t>
      </w:r>
    </w:p>
    <w:p w:rsidR="00870DDD" w:rsidRPr="00870DDD" w:rsidRDefault="00870DDD" w:rsidP="00870DDD">
      <w:pPr>
        <w:pStyle w:val="HChG"/>
        <w:rPr>
          <w:lang w:val="en-ZW"/>
        </w:rPr>
      </w:pPr>
      <w:r>
        <w:rPr>
          <w:lang w:val="en-ZW"/>
        </w:rPr>
        <w:tab/>
        <w:t>XI.</w:t>
      </w:r>
      <w:r>
        <w:rPr>
          <w:lang w:val="en-ZW"/>
        </w:rPr>
        <w:tab/>
        <w:t>Standing invitation to s</w:t>
      </w:r>
      <w:r w:rsidRPr="00870DDD">
        <w:rPr>
          <w:lang w:val="en-ZW"/>
        </w:rPr>
        <w:t xml:space="preserve">pecial </w:t>
      </w:r>
      <w:r>
        <w:rPr>
          <w:lang w:val="en-ZW"/>
        </w:rPr>
        <w:t>p</w:t>
      </w:r>
      <w:r w:rsidRPr="00870DDD">
        <w:rPr>
          <w:lang w:val="en-ZW"/>
        </w:rPr>
        <w:t>rocedures and their requests to visit Zimbabwe</w:t>
      </w:r>
      <w:r w:rsidR="00937C6A">
        <w:rPr>
          <w:rStyle w:val="EndnoteReference"/>
          <w:lang w:val="en-ZW"/>
        </w:rPr>
        <w:endnoteReference w:id="18"/>
      </w:r>
    </w:p>
    <w:p w:rsidR="00870DDD" w:rsidRPr="00870DDD" w:rsidRDefault="00870DDD" w:rsidP="00870DDD">
      <w:pPr>
        <w:pStyle w:val="SingleTxtG"/>
        <w:rPr>
          <w:lang w:val="en-ZW"/>
        </w:rPr>
      </w:pPr>
      <w:r>
        <w:rPr>
          <w:lang w:val="en-ZW"/>
        </w:rPr>
        <w:t>28.</w:t>
      </w:r>
      <w:r>
        <w:rPr>
          <w:lang w:val="en-ZW"/>
        </w:rPr>
        <w:tab/>
      </w:r>
      <w:r w:rsidRPr="00870DDD">
        <w:rPr>
          <w:lang w:val="en-ZW"/>
        </w:rPr>
        <w:t xml:space="preserve">Both parts are </w:t>
      </w:r>
      <w:r w:rsidR="00C920E9">
        <w:rPr>
          <w:lang w:val="en-ZW"/>
        </w:rPr>
        <w:t>n</w:t>
      </w:r>
      <w:r w:rsidRPr="00870DDD">
        <w:rPr>
          <w:lang w:val="en-ZW"/>
        </w:rPr>
        <w:t>oted. Do not enjoy the support of the State.</w:t>
      </w:r>
    </w:p>
    <w:p w:rsidR="00870DDD" w:rsidRPr="00870DDD" w:rsidRDefault="00870DDD" w:rsidP="00870DDD">
      <w:pPr>
        <w:pStyle w:val="SingleTxtG"/>
        <w:rPr>
          <w:lang w:val="en-ZW"/>
        </w:rPr>
      </w:pPr>
      <w:r>
        <w:rPr>
          <w:lang w:val="en-ZW"/>
        </w:rPr>
        <w:t>29.</w:t>
      </w:r>
      <w:r>
        <w:rPr>
          <w:lang w:val="en-ZW"/>
        </w:rPr>
        <w:tab/>
      </w:r>
      <w:r w:rsidRPr="00870DDD">
        <w:rPr>
          <w:lang w:val="en-ZW"/>
        </w:rPr>
        <w:t>Zimbabwe will consider inviting them and any request on a case by case basis.</w:t>
      </w:r>
    </w:p>
    <w:p w:rsidR="00870DDD" w:rsidRPr="00870DDD" w:rsidRDefault="00870DDD" w:rsidP="00870DDD">
      <w:pPr>
        <w:pStyle w:val="HChG"/>
        <w:rPr>
          <w:lang w:val="en-ZW"/>
        </w:rPr>
      </w:pPr>
      <w:r>
        <w:rPr>
          <w:lang w:val="en-ZW"/>
        </w:rPr>
        <w:tab/>
        <w:t>XII.</w:t>
      </w:r>
      <w:r>
        <w:rPr>
          <w:lang w:val="en-ZW"/>
        </w:rPr>
        <w:tab/>
      </w:r>
      <w:r w:rsidRPr="00870DDD">
        <w:rPr>
          <w:lang w:val="en-ZW"/>
        </w:rPr>
        <w:t>Birth registration</w:t>
      </w:r>
      <w:r w:rsidR="00937C6A">
        <w:rPr>
          <w:rStyle w:val="EndnoteReference"/>
          <w:lang w:val="en-ZW"/>
        </w:rPr>
        <w:endnoteReference w:id="19"/>
      </w:r>
    </w:p>
    <w:p w:rsidR="00870DDD" w:rsidRPr="00870DDD" w:rsidRDefault="00870DDD" w:rsidP="00870DDD">
      <w:pPr>
        <w:pStyle w:val="SingleTxtG"/>
        <w:rPr>
          <w:lang w:val="en-ZW"/>
        </w:rPr>
      </w:pPr>
      <w:r>
        <w:rPr>
          <w:lang w:val="en-ZW"/>
        </w:rPr>
        <w:t>30.</w:t>
      </w:r>
      <w:r>
        <w:rPr>
          <w:lang w:val="en-ZW"/>
        </w:rPr>
        <w:tab/>
      </w:r>
      <w:r w:rsidRPr="00870DDD">
        <w:rPr>
          <w:lang w:val="en-ZW"/>
        </w:rPr>
        <w:t>Enjoys the support of the State.</w:t>
      </w:r>
    </w:p>
    <w:p w:rsidR="00870DDD" w:rsidRPr="00870DDD" w:rsidRDefault="00870DDD" w:rsidP="00870DDD">
      <w:pPr>
        <w:pStyle w:val="HChG"/>
        <w:rPr>
          <w:lang w:val="en-ZW"/>
        </w:rPr>
      </w:pPr>
      <w:r>
        <w:rPr>
          <w:lang w:val="en-ZW"/>
        </w:rPr>
        <w:tab/>
        <w:t>XIII.</w:t>
      </w:r>
      <w:r>
        <w:rPr>
          <w:lang w:val="en-ZW"/>
        </w:rPr>
        <w:tab/>
        <w:t>Child c</w:t>
      </w:r>
      <w:r w:rsidRPr="00870DDD">
        <w:rPr>
          <w:lang w:val="en-ZW"/>
        </w:rPr>
        <w:t>are</w:t>
      </w:r>
      <w:r w:rsidR="00937C6A">
        <w:rPr>
          <w:rStyle w:val="EndnoteReference"/>
          <w:lang w:val="en-ZW"/>
        </w:rPr>
        <w:endnoteReference w:id="20"/>
      </w:r>
    </w:p>
    <w:p w:rsidR="00870DDD" w:rsidRPr="00870DDD" w:rsidRDefault="00870DDD" w:rsidP="00870DDD">
      <w:pPr>
        <w:pStyle w:val="SingleTxtG"/>
        <w:rPr>
          <w:lang w:val="en-ZW"/>
        </w:rPr>
      </w:pPr>
      <w:r>
        <w:rPr>
          <w:lang w:val="en-ZW"/>
        </w:rPr>
        <w:t>31.</w:t>
      </w:r>
      <w:r>
        <w:rPr>
          <w:lang w:val="en-ZW"/>
        </w:rPr>
        <w:tab/>
      </w:r>
      <w:r w:rsidRPr="00870DDD">
        <w:rPr>
          <w:lang w:val="en-ZW"/>
        </w:rPr>
        <w:t>The recommendation is accepted in part. Zimbabwe is already pursuing efforts to ensure that all children are progressively afforded free quality health care. Zimbabwe is also progressively implementing various child protection programmes in line with international obligations as enshrined in the United Nations Convention on the Rights of the Child. Zimbabwe is however unable to support the part of the recommendation concerning corporal punishment as this matter is still pending before the Constitutional Court.</w:t>
      </w:r>
    </w:p>
    <w:p w:rsidR="00870DDD" w:rsidRPr="00870DDD" w:rsidRDefault="00870DDD" w:rsidP="00870DDD">
      <w:pPr>
        <w:pStyle w:val="HChG"/>
        <w:rPr>
          <w:lang w:val="en-ZW"/>
        </w:rPr>
      </w:pPr>
      <w:r>
        <w:rPr>
          <w:lang w:val="en-ZW"/>
        </w:rPr>
        <w:tab/>
        <w:t>XIV.</w:t>
      </w:r>
      <w:r>
        <w:rPr>
          <w:lang w:val="en-ZW"/>
        </w:rPr>
        <w:tab/>
      </w:r>
      <w:r w:rsidRPr="00870DDD">
        <w:rPr>
          <w:lang w:val="en-ZW"/>
        </w:rPr>
        <w:t>State justice accountability systems</w:t>
      </w:r>
      <w:r w:rsidR="00937C6A">
        <w:rPr>
          <w:rStyle w:val="EndnoteReference"/>
          <w:lang w:val="en-ZW"/>
        </w:rPr>
        <w:endnoteReference w:id="21"/>
      </w:r>
    </w:p>
    <w:p w:rsidR="00870DDD" w:rsidRPr="00870DDD" w:rsidRDefault="00870DDD" w:rsidP="00870DDD">
      <w:pPr>
        <w:pStyle w:val="SingleTxtG"/>
        <w:rPr>
          <w:lang w:val="en-ZW"/>
        </w:rPr>
      </w:pPr>
      <w:r>
        <w:rPr>
          <w:lang w:val="en-ZW"/>
        </w:rPr>
        <w:t>32.</w:t>
      </w:r>
      <w:r>
        <w:rPr>
          <w:lang w:val="en-ZW"/>
        </w:rPr>
        <w:tab/>
      </w:r>
      <w:r w:rsidRPr="00870DDD">
        <w:rPr>
          <w:lang w:val="en-ZW"/>
        </w:rPr>
        <w:t>Enjoys the support of the State.</w:t>
      </w:r>
    </w:p>
    <w:p w:rsidR="00870DDD" w:rsidRPr="00870DDD" w:rsidRDefault="00870DDD" w:rsidP="00870DDD">
      <w:pPr>
        <w:pStyle w:val="HChG"/>
        <w:rPr>
          <w:lang w:val="en-ZW"/>
        </w:rPr>
      </w:pPr>
      <w:r>
        <w:rPr>
          <w:lang w:val="en-ZW"/>
        </w:rPr>
        <w:tab/>
        <w:t>XV.</w:t>
      </w:r>
      <w:r>
        <w:rPr>
          <w:lang w:val="en-ZW"/>
        </w:rPr>
        <w:tab/>
        <w:t>Civil society o</w:t>
      </w:r>
      <w:r w:rsidRPr="00870DDD">
        <w:rPr>
          <w:lang w:val="en-ZW"/>
        </w:rPr>
        <w:t>rganisations</w:t>
      </w:r>
      <w:r w:rsidR="00937C6A">
        <w:rPr>
          <w:rStyle w:val="EndnoteReference"/>
          <w:lang w:val="en-ZW"/>
        </w:rPr>
        <w:endnoteReference w:id="22"/>
      </w:r>
    </w:p>
    <w:p w:rsidR="00870DDD" w:rsidRPr="00870DDD" w:rsidRDefault="00870DDD" w:rsidP="00870DDD">
      <w:pPr>
        <w:pStyle w:val="SingleTxtG"/>
        <w:rPr>
          <w:lang w:val="en-ZW"/>
        </w:rPr>
      </w:pPr>
      <w:r>
        <w:rPr>
          <w:lang w:val="en-ZW"/>
        </w:rPr>
        <w:t>33.</w:t>
      </w:r>
      <w:r>
        <w:rPr>
          <w:lang w:val="en-ZW"/>
        </w:rPr>
        <w:tab/>
      </w:r>
      <w:r w:rsidRPr="00870DDD">
        <w:rPr>
          <w:lang w:val="en-ZW"/>
        </w:rPr>
        <w:t xml:space="preserve">Recommendation </w:t>
      </w:r>
      <w:r w:rsidRPr="00870DDD">
        <w:rPr>
          <w:b/>
          <w:lang w:val="en-ZW"/>
        </w:rPr>
        <w:t>132.94</w:t>
      </w:r>
      <w:r w:rsidRPr="00870DDD">
        <w:rPr>
          <w:lang w:val="en-ZW"/>
        </w:rPr>
        <w:t xml:space="preserve"> enjoys the support of the State. All members of the Zimbabwean society are afforded equal protection by the law. No individual is above the law.</w:t>
      </w:r>
    </w:p>
    <w:p w:rsidR="00870DDD" w:rsidRPr="00870DDD" w:rsidRDefault="00870DDD" w:rsidP="00870DDD">
      <w:pPr>
        <w:pStyle w:val="SingleTxtG"/>
        <w:rPr>
          <w:lang w:val="en-ZW"/>
        </w:rPr>
      </w:pPr>
      <w:r>
        <w:rPr>
          <w:lang w:val="en-ZW"/>
        </w:rPr>
        <w:t>34.</w:t>
      </w:r>
      <w:r>
        <w:rPr>
          <w:lang w:val="en-ZW"/>
        </w:rPr>
        <w:tab/>
      </w:r>
      <w:r w:rsidRPr="00870DDD">
        <w:rPr>
          <w:lang w:val="en-ZW"/>
        </w:rPr>
        <w:t xml:space="preserve">Recommendation </w:t>
      </w:r>
      <w:r w:rsidRPr="00870DDD">
        <w:rPr>
          <w:b/>
          <w:lang w:val="en-ZW"/>
        </w:rPr>
        <w:t>132.96</w:t>
      </w:r>
      <w:r w:rsidRPr="00870DDD">
        <w:rPr>
          <w:lang w:val="en-ZW"/>
        </w:rPr>
        <w:t xml:space="preserve"> enjoys partial support of the State. Zimbabwe is committed to providing a safe and enabling environment for civil society. The aspect of the recommendation concerning a visit by the Special Rapporteur on the situation of Human Rights Defenders is noted.</w:t>
      </w:r>
    </w:p>
    <w:p w:rsidR="00870DDD" w:rsidRPr="00870DDD" w:rsidRDefault="00870DDD" w:rsidP="00870DDD">
      <w:pPr>
        <w:pStyle w:val="HChG"/>
        <w:rPr>
          <w:lang w:val="en-ZW"/>
        </w:rPr>
      </w:pPr>
      <w:r>
        <w:rPr>
          <w:lang w:val="en-ZW"/>
        </w:rPr>
        <w:tab/>
        <w:t>XVI.</w:t>
      </w:r>
      <w:r>
        <w:rPr>
          <w:lang w:val="en-ZW"/>
        </w:rPr>
        <w:tab/>
      </w:r>
      <w:r w:rsidRPr="00870DDD">
        <w:rPr>
          <w:lang w:val="en-ZW"/>
        </w:rPr>
        <w:t>Recommendation 132.95</w:t>
      </w:r>
      <w:r w:rsidR="00937C6A">
        <w:rPr>
          <w:rStyle w:val="EndnoteReference"/>
          <w:lang w:val="en-ZW"/>
        </w:rPr>
        <w:endnoteReference w:id="23"/>
      </w:r>
    </w:p>
    <w:p w:rsidR="00870DDD" w:rsidRPr="00870DDD" w:rsidRDefault="00870DDD" w:rsidP="00870DDD">
      <w:pPr>
        <w:pStyle w:val="SingleTxtG"/>
        <w:rPr>
          <w:lang w:val="en-ZW"/>
        </w:rPr>
      </w:pPr>
      <w:r>
        <w:rPr>
          <w:lang w:val="en-ZW"/>
        </w:rPr>
        <w:t>35.</w:t>
      </w:r>
      <w:r>
        <w:rPr>
          <w:lang w:val="en-ZW"/>
        </w:rPr>
        <w:tab/>
      </w:r>
      <w:r w:rsidRPr="00870DDD">
        <w:rPr>
          <w:lang w:val="en-ZW"/>
        </w:rPr>
        <w:t xml:space="preserve">Noted. </w:t>
      </w:r>
      <w:proofErr w:type="gramStart"/>
      <w:r w:rsidRPr="00870DDD">
        <w:rPr>
          <w:lang w:val="en-ZW"/>
        </w:rPr>
        <w:t>Does not enjoy the support of the State.</w:t>
      </w:r>
      <w:proofErr w:type="gramEnd"/>
    </w:p>
    <w:p w:rsidR="00870DDD" w:rsidRPr="00870DDD" w:rsidRDefault="00870DDD" w:rsidP="00870DDD">
      <w:pPr>
        <w:pStyle w:val="HChG"/>
        <w:rPr>
          <w:lang w:val="en-ZW"/>
        </w:rPr>
      </w:pPr>
      <w:r>
        <w:rPr>
          <w:lang w:val="en-ZW"/>
        </w:rPr>
        <w:tab/>
        <w:t>XVII.</w:t>
      </w:r>
      <w:r>
        <w:rPr>
          <w:lang w:val="en-ZW"/>
        </w:rPr>
        <w:tab/>
      </w:r>
      <w:r w:rsidRPr="00870DDD">
        <w:rPr>
          <w:lang w:val="en-ZW"/>
        </w:rPr>
        <w:t>Freedom of assembly and association</w:t>
      </w:r>
      <w:r w:rsidR="00937C6A">
        <w:rPr>
          <w:rStyle w:val="EndnoteReference"/>
          <w:lang w:val="en-ZW"/>
        </w:rPr>
        <w:endnoteReference w:id="24"/>
      </w:r>
    </w:p>
    <w:p w:rsidR="00870DDD" w:rsidRPr="00870DDD" w:rsidRDefault="00870DDD" w:rsidP="00870DDD">
      <w:pPr>
        <w:pStyle w:val="SingleTxtG"/>
        <w:rPr>
          <w:lang w:val="en-ZW"/>
        </w:rPr>
      </w:pPr>
      <w:r>
        <w:rPr>
          <w:lang w:val="en-ZW"/>
        </w:rPr>
        <w:t>36.</w:t>
      </w:r>
      <w:r>
        <w:rPr>
          <w:lang w:val="en-ZW"/>
        </w:rPr>
        <w:tab/>
      </w:r>
      <w:r w:rsidRPr="00870DDD">
        <w:rPr>
          <w:lang w:val="en-ZW"/>
        </w:rPr>
        <w:t>Enjoy the support of the State.</w:t>
      </w:r>
    </w:p>
    <w:p w:rsidR="00870DDD" w:rsidRPr="00870DDD" w:rsidRDefault="00870DDD" w:rsidP="00870DDD">
      <w:pPr>
        <w:pStyle w:val="HChG"/>
        <w:rPr>
          <w:lang w:val="en-ZW"/>
        </w:rPr>
      </w:pPr>
      <w:r>
        <w:rPr>
          <w:lang w:val="en-ZW"/>
        </w:rPr>
        <w:tab/>
        <w:t>XVIII.</w:t>
      </w:r>
      <w:r>
        <w:rPr>
          <w:lang w:val="en-ZW"/>
        </w:rPr>
        <w:tab/>
        <w:t>Human r</w:t>
      </w:r>
      <w:r w:rsidRPr="00870DDD">
        <w:rPr>
          <w:lang w:val="en-ZW"/>
        </w:rPr>
        <w:t xml:space="preserve">ights </w:t>
      </w:r>
      <w:r>
        <w:rPr>
          <w:lang w:val="en-ZW"/>
        </w:rPr>
        <w:t>d</w:t>
      </w:r>
      <w:r w:rsidRPr="00870DDD">
        <w:rPr>
          <w:lang w:val="en-ZW"/>
        </w:rPr>
        <w:t>efenders</w:t>
      </w:r>
      <w:r w:rsidR="00937C6A">
        <w:rPr>
          <w:rStyle w:val="EndnoteReference"/>
          <w:lang w:val="en-ZW"/>
        </w:rPr>
        <w:endnoteReference w:id="25"/>
      </w:r>
    </w:p>
    <w:p w:rsidR="00870DDD" w:rsidRPr="00870DDD" w:rsidRDefault="00870DDD" w:rsidP="00870DDD">
      <w:pPr>
        <w:pStyle w:val="SingleTxtG"/>
        <w:rPr>
          <w:lang w:val="en-ZW"/>
        </w:rPr>
      </w:pPr>
      <w:r>
        <w:rPr>
          <w:lang w:val="en-ZW"/>
        </w:rPr>
        <w:t>37.</w:t>
      </w:r>
      <w:r>
        <w:rPr>
          <w:lang w:val="en-ZW"/>
        </w:rPr>
        <w:tab/>
      </w:r>
      <w:r w:rsidRPr="00870DDD">
        <w:rPr>
          <w:lang w:val="en-ZW"/>
        </w:rPr>
        <w:t xml:space="preserve">Recommendation </w:t>
      </w:r>
      <w:r w:rsidRPr="00870DDD">
        <w:rPr>
          <w:b/>
          <w:lang w:val="en-ZW"/>
        </w:rPr>
        <w:t>132.99</w:t>
      </w:r>
      <w:r w:rsidRPr="00870DDD">
        <w:rPr>
          <w:lang w:val="en-ZW"/>
        </w:rPr>
        <w:t xml:space="preserve"> enjoys the support of the State. The national laws provide adequate protection for all members of society including human rights defenders.</w:t>
      </w:r>
    </w:p>
    <w:p w:rsidR="00870DDD" w:rsidRPr="00870DDD" w:rsidRDefault="00870DDD" w:rsidP="00870DDD">
      <w:pPr>
        <w:pStyle w:val="HChG"/>
        <w:rPr>
          <w:lang w:val="en-ZW"/>
        </w:rPr>
      </w:pPr>
      <w:r>
        <w:rPr>
          <w:lang w:val="en-ZW"/>
        </w:rPr>
        <w:tab/>
        <w:t>XIX.</w:t>
      </w:r>
      <w:r>
        <w:rPr>
          <w:lang w:val="en-ZW"/>
        </w:rPr>
        <w:tab/>
      </w:r>
      <w:r w:rsidRPr="00870DDD">
        <w:rPr>
          <w:lang w:val="en-ZW"/>
        </w:rPr>
        <w:t>Enactment of s</w:t>
      </w:r>
      <w:r>
        <w:rPr>
          <w:lang w:val="en-ZW"/>
        </w:rPr>
        <w:t>pecific legislation to protect h</w:t>
      </w:r>
      <w:r w:rsidRPr="00870DDD">
        <w:rPr>
          <w:lang w:val="en-ZW"/>
        </w:rPr>
        <w:t xml:space="preserve">uman </w:t>
      </w:r>
      <w:r>
        <w:rPr>
          <w:lang w:val="en-ZW"/>
        </w:rPr>
        <w:t>r</w:t>
      </w:r>
      <w:r w:rsidRPr="00870DDD">
        <w:rPr>
          <w:lang w:val="en-ZW"/>
        </w:rPr>
        <w:t xml:space="preserve">ights </w:t>
      </w:r>
      <w:r>
        <w:rPr>
          <w:lang w:val="en-ZW"/>
        </w:rPr>
        <w:t>d</w:t>
      </w:r>
      <w:r w:rsidRPr="00870DDD">
        <w:rPr>
          <w:lang w:val="en-ZW"/>
        </w:rPr>
        <w:t>efenders</w:t>
      </w:r>
      <w:r w:rsidR="00937C6A">
        <w:rPr>
          <w:rStyle w:val="EndnoteReference"/>
          <w:lang w:val="en-ZW"/>
        </w:rPr>
        <w:endnoteReference w:id="26"/>
      </w:r>
    </w:p>
    <w:p w:rsidR="00870DDD" w:rsidRPr="00870DDD" w:rsidRDefault="00870DDD" w:rsidP="00870DDD">
      <w:pPr>
        <w:pStyle w:val="SingleTxtG"/>
        <w:rPr>
          <w:b/>
          <w:lang w:val="en-ZW"/>
        </w:rPr>
      </w:pPr>
      <w:r>
        <w:rPr>
          <w:lang w:val="en-ZW"/>
        </w:rPr>
        <w:t>38.</w:t>
      </w:r>
      <w:r>
        <w:rPr>
          <w:lang w:val="en-ZW"/>
        </w:rPr>
        <w:tab/>
      </w:r>
      <w:r w:rsidRPr="00870DDD">
        <w:rPr>
          <w:lang w:val="en-ZW"/>
        </w:rPr>
        <w:t>Does not enjoy the support of the State on the basis that Zimbabwe already has laws that provide adequate protection, hence there is no need to enact new laws.</w:t>
      </w:r>
    </w:p>
    <w:p w:rsidR="00CF586F" w:rsidRPr="00AD4165" w:rsidRDefault="00870DDD" w:rsidP="00870DDD">
      <w:pPr>
        <w:pStyle w:val="H4G"/>
      </w:pPr>
      <w:r>
        <w:t>Notes</w:t>
      </w:r>
    </w:p>
    <w:sectPr w:rsidR="00CF586F" w:rsidRPr="00AD4165" w:rsidSect="00AD4165">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65" w:rsidRDefault="00AD4165"/>
  </w:endnote>
  <w:endnote w:type="continuationSeparator" w:id="0">
    <w:p w:rsidR="00AD4165" w:rsidRDefault="00AD4165"/>
  </w:endnote>
  <w:endnote w:type="continuationNotice" w:id="1">
    <w:p w:rsidR="00AD4165" w:rsidRDefault="00AD4165"/>
  </w:endnote>
  <w:endnote w:id="2">
    <w:p w:rsidR="00937C6A" w:rsidRPr="005A3763" w:rsidRDefault="00937C6A" w:rsidP="00937C6A">
      <w:pPr>
        <w:pStyle w:val="EndnoteText"/>
        <w:widowControl w:val="0"/>
        <w:tabs>
          <w:tab w:val="clear" w:pos="1021"/>
          <w:tab w:val="right" w:pos="1020"/>
        </w:tabs>
        <w:rPr>
          <w:lang w:val="fr-CH"/>
        </w:rPr>
      </w:pPr>
      <w:r>
        <w:tab/>
      </w:r>
      <w:r>
        <w:rPr>
          <w:rStyle w:val="EndnoteReference"/>
        </w:rPr>
        <w:endnoteRef/>
      </w:r>
      <w:r w:rsidRPr="005A3763">
        <w:rPr>
          <w:lang w:val="fr-CH"/>
        </w:rPr>
        <w:tab/>
        <w:t>Recommendations 132.1; 132.2; 132.3; 132.4; 132.5; 132.6; 132.7; 132.8; 132.9; 132.10; 132.11; 132.12; 132.13; 132.14; 132.15; 132.16; 132.17; 132.18; 132.19; 132.20; 132.21; 132.22; 132.23; 132.24;132.27; 132.31; 132.33; 132.34; 132.38; 132.42; 132.45; 132.48; 132.51; 132.52.</w:t>
      </w:r>
    </w:p>
  </w:endnote>
  <w:endnote w:id="3">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Recommendations 132.2; 132.3; 132.25; 132.35; 132.40; 132.43; 132.57.</w:t>
      </w:r>
    </w:p>
  </w:endnote>
  <w:endnote w:id="4">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Recommendations 132.1; 132.30; 132.32; 132.36, 132.37; 132.41;132.53; 132.54; 132.55; 132.56.</w:t>
      </w:r>
    </w:p>
  </w:endnote>
  <w:endnote w:id="5">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Recommendations 132.26; 132.59; 132.60; 132.61.</w:t>
      </w:r>
    </w:p>
  </w:endnote>
  <w:endnote w:id="6">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Recommendations 132.28; 132.33; 132.44; 132.47; 132.48; 132.49; 132.50; 132.82; 132.83; 132.84; 132.85; 132.86; 132.87.</w:t>
      </w:r>
    </w:p>
  </w:endnote>
  <w:endnote w:id="7">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Recommendations 132.29; 132.46.</w:t>
      </w:r>
    </w:p>
  </w:endnote>
  <w:endnote w:id="8">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 132.33.</w:t>
      </w:r>
    </w:p>
  </w:endnote>
  <w:endnote w:id="9">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Recommendation132.58.</w:t>
      </w:r>
    </w:p>
  </w:endnote>
  <w:endnote w:id="10">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w:t>
      </w:r>
      <w:r w:rsidR="00543791" w:rsidRPr="005A3763">
        <w:rPr>
          <w:lang w:val="fr-CH"/>
        </w:rPr>
        <w:t>s</w:t>
      </w:r>
      <w:r w:rsidRPr="005A3763">
        <w:rPr>
          <w:lang w:val="fr-CH"/>
        </w:rPr>
        <w:t xml:space="preserve"> 132.82; 132.83; 132.84; 132.85; 132.86; 132.87; 132.88.</w:t>
      </w:r>
    </w:p>
  </w:endnote>
  <w:endnote w:id="11">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w:t>
      </w:r>
      <w:r w:rsidR="00543791" w:rsidRPr="005A3763">
        <w:rPr>
          <w:lang w:val="fr-CH"/>
        </w:rPr>
        <w:t>s</w:t>
      </w:r>
      <w:r w:rsidRPr="005A3763">
        <w:rPr>
          <w:lang w:val="fr-CH"/>
        </w:rPr>
        <w:t xml:space="preserve"> 132.62; 132.64; 132.92; 132.93.</w:t>
      </w:r>
    </w:p>
  </w:endnote>
  <w:endnote w:id="12">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 132.63.</w:t>
      </w:r>
    </w:p>
  </w:endnote>
  <w:endnote w:id="13">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w:t>
      </w:r>
      <w:r w:rsidR="00543791" w:rsidRPr="005A3763">
        <w:rPr>
          <w:lang w:val="fr-CH"/>
        </w:rPr>
        <w:t>s</w:t>
      </w:r>
      <w:r w:rsidRPr="005A3763">
        <w:rPr>
          <w:lang w:val="fr-CH"/>
        </w:rPr>
        <w:t xml:space="preserve"> 132.63; 132.64; 132.66; 132.90; 132.91.</w:t>
      </w:r>
    </w:p>
  </w:endnote>
  <w:endnote w:id="14">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 132.95.</w:t>
      </w:r>
    </w:p>
  </w:endnote>
  <w:endnote w:id="15">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 132.65.</w:t>
      </w:r>
    </w:p>
  </w:endnote>
  <w:endnote w:id="16">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w:t>
      </w:r>
      <w:r w:rsidR="00543791" w:rsidRPr="005A3763">
        <w:rPr>
          <w:lang w:val="fr-CH"/>
        </w:rPr>
        <w:t>s</w:t>
      </w:r>
      <w:r w:rsidRPr="005A3763">
        <w:rPr>
          <w:lang w:val="fr-CH"/>
        </w:rPr>
        <w:t xml:space="preserve"> 132.67; 132.68.</w:t>
      </w:r>
    </w:p>
  </w:endnote>
  <w:endnote w:id="17">
    <w:p w:rsidR="00937C6A" w:rsidRDefault="00937C6A" w:rsidP="00937C6A">
      <w:pPr>
        <w:pStyle w:val="EndnoteText"/>
        <w:widowControl w:val="0"/>
        <w:tabs>
          <w:tab w:val="clear" w:pos="1021"/>
          <w:tab w:val="right" w:pos="1020"/>
        </w:tabs>
      </w:pPr>
      <w:r w:rsidRPr="005A3763">
        <w:rPr>
          <w:lang w:val="fr-CH"/>
        </w:rPr>
        <w:tab/>
      </w:r>
      <w:r>
        <w:rPr>
          <w:rStyle w:val="EndnoteReference"/>
        </w:rPr>
        <w:endnoteRef/>
      </w:r>
      <w:r>
        <w:tab/>
      </w:r>
      <w:proofErr w:type="gramStart"/>
      <w:r w:rsidRPr="00937C6A">
        <w:t>Recommendation 132.69</w:t>
      </w:r>
      <w:r>
        <w:t>.</w:t>
      </w:r>
      <w:proofErr w:type="gramEnd"/>
    </w:p>
  </w:endnote>
  <w:endnote w:id="18">
    <w:p w:rsidR="00937C6A" w:rsidRDefault="00937C6A" w:rsidP="00937C6A">
      <w:pPr>
        <w:pStyle w:val="EndnoteText"/>
        <w:widowControl w:val="0"/>
        <w:tabs>
          <w:tab w:val="clear" w:pos="1021"/>
          <w:tab w:val="right" w:pos="1020"/>
        </w:tabs>
      </w:pPr>
      <w:r>
        <w:tab/>
      </w:r>
      <w:r>
        <w:rPr>
          <w:rStyle w:val="EndnoteReference"/>
        </w:rPr>
        <w:endnoteRef/>
      </w:r>
      <w:r>
        <w:tab/>
      </w:r>
      <w:r w:rsidRPr="00937C6A">
        <w:t>Recommendation</w:t>
      </w:r>
      <w:r w:rsidR="00543791">
        <w:t>s</w:t>
      </w:r>
      <w:r w:rsidRPr="00937C6A">
        <w:t xml:space="preserve"> 132.39; 132.70; 132.71; 132.72; 132.73; 132.74; 132.75; 132.76; 132.77</w:t>
      </w:r>
      <w:r>
        <w:t>.</w:t>
      </w:r>
    </w:p>
  </w:endnote>
  <w:endnote w:id="19">
    <w:p w:rsidR="00937C6A" w:rsidRPr="005A3763" w:rsidRDefault="00937C6A" w:rsidP="00937C6A">
      <w:pPr>
        <w:pStyle w:val="EndnoteText"/>
        <w:widowControl w:val="0"/>
        <w:tabs>
          <w:tab w:val="clear" w:pos="1021"/>
          <w:tab w:val="right" w:pos="1020"/>
        </w:tabs>
        <w:rPr>
          <w:lang w:val="fr-CH"/>
        </w:rPr>
      </w:pPr>
      <w:r>
        <w:tab/>
      </w:r>
      <w:r>
        <w:rPr>
          <w:rStyle w:val="EndnoteReference"/>
        </w:rPr>
        <w:endnoteRef/>
      </w:r>
      <w:r w:rsidRPr="005A3763">
        <w:rPr>
          <w:lang w:val="fr-CH"/>
        </w:rPr>
        <w:tab/>
        <w:t>Recommendation</w:t>
      </w:r>
      <w:r w:rsidR="00543791" w:rsidRPr="005A3763">
        <w:rPr>
          <w:lang w:val="fr-CH"/>
        </w:rPr>
        <w:t>s</w:t>
      </w:r>
      <w:r w:rsidRPr="005A3763">
        <w:rPr>
          <w:lang w:val="fr-CH"/>
        </w:rPr>
        <w:t xml:space="preserve"> 132.78; 132.79; 132.80.</w:t>
      </w:r>
    </w:p>
  </w:endnote>
  <w:endnote w:id="20">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 132.81.</w:t>
      </w:r>
    </w:p>
  </w:endnote>
  <w:endnote w:id="21">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 132.89.</w:t>
      </w:r>
    </w:p>
  </w:endnote>
  <w:endnote w:id="22">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w:t>
      </w:r>
      <w:r w:rsidR="00543791" w:rsidRPr="005A3763">
        <w:rPr>
          <w:lang w:val="fr-CH"/>
        </w:rPr>
        <w:t>s</w:t>
      </w:r>
      <w:r w:rsidRPr="005A3763">
        <w:rPr>
          <w:lang w:val="fr-CH"/>
        </w:rPr>
        <w:t xml:space="preserve"> 132.94; 132.96.</w:t>
      </w:r>
    </w:p>
  </w:endnote>
  <w:endnote w:id="23">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 132.95.</w:t>
      </w:r>
    </w:p>
  </w:endnote>
  <w:endnote w:id="24">
    <w:p w:rsidR="00937C6A" w:rsidRDefault="00937C6A" w:rsidP="00937C6A">
      <w:pPr>
        <w:pStyle w:val="EndnoteText"/>
        <w:widowControl w:val="0"/>
        <w:tabs>
          <w:tab w:val="clear" w:pos="1021"/>
          <w:tab w:val="right" w:pos="1020"/>
        </w:tabs>
      </w:pPr>
      <w:r w:rsidRPr="005A3763">
        <w:rPr>
          <w:lang w:val="fr-CH"/>
        </w:rPr>
        <w:tab/>
      </w:r>
      <w:r>
        <w:rPr>
          <w:rStyle w:val="EndnoteReference"/>
        </w:rPr>
        <w:endnoteRef/>
      </w:r>
      <w:r>
        <w:tab/>
      </w:r>
      <w:r w:rsidRPr="00937C6A">
        <w:t>Recommendation</w:t>
      </w:r>
      <w:r w:rsidR="00543791">
        <w:t>s</w:t>
      </w:r>
      <w:r w:rsidRPr="00937C6A">
        <w:t xml:space="preserve"> 132.97; 132.98</w:t>
      </w:r>
      <w:r>
        <w:t>.</w:t>
      </w:r>
    </w:p>
  </w:endnote>
  <w:endnote w:id="25">
    <w:p w:rsidR="00937C6A" w:rsidRDefault="00937C6A" w:rsidP="00937C6A">
      <w:pPr>
        <w:pStyle w:val="EndnoteText"/>
        <w:widowControl w:val="0"/>
        <w:tabs>
          <w:tab w:val="clear" w:pos="1021"/>
          <w:tab w:val="right" w:pos="1020"/>
        </w:tabs>
      </w:pPr>
      <w:r>
        <w:tab/>
      </w:r>
      <w:r>
        <w:rPr>
          <w:rStyle w:val="EndnoteReference"/>
        </w:rPr>
        <w:endnoteRef/>
      </w:r>
      <w:r>
        <w:tab/>
      </w:r>
      <w:proofErr w:type="gramStart"/>
      <w:r w:rsidRPr="00937C6A">
        <w:t>Recommendation 132.99</w:t>
      </w:r>
      <w:r>
        <w:t>.</w:t>
      </w:r>
      <w:proofErr w:type="gramEnd"/>
    </w:p>
  </w:endnote>
  <w:endnote w:id="26">
    <w:p w:rsidR="00937C6A" w:rsidRDefault="00937C6A" w:rsidP="00937C6A">
      <w:pPr>
        <w:pStyle w:val="EndnoteText"/>
        <w:widowControl w:val="0"/>
        <w:tabs>
          <w:tab w:val="clear" w:pos="1021"/>
          <w:tab w:val="right" w:pos="1020"/>
        </w:tabs>
      </w:pPr>
      <w:r>
        <w:tab/>
      </w:r>
      <w:r>
        <w:rPr>
          <w:rStyle w:val="EndnoteReference"/>
        </w:rPr>
        <w:endnoteRef/>
      </w:r>
      <w:r>
        <w:tab/>
      </w:r>
      <w:proofErr w:type="gramStart"/>
      <w:r w:rsidRPr="00937C6A">
        <w:t>Recommendation 132.100</w:t>
      </w:r>
      <w:r>
        <w:t>.</w:t>
      </w:r>
      <w:proofErr w:type="gramEnd"/>
    </w:p>
    <w:p w:rsidR="00937C6A" w:rsidRDefault="00937C6A" w:rsidP="00937C6A">
      <w:pPr>
        <w:pStyle w:val="EndnoteText"/>
        <w:tabs>
          <w:tab w:val="clear" w:pos="1021"/>
          <w:tab w:val="right" w:pos="1020"/>
        </w:tabs>
        <w:spacing w:before="240" w:line="240" w:lineRule="atLeast"/>
        <w:ind w:firstLine="0"/>
        <w:jc w:val="center"/>
      </w:pPr>
      <w:r>
        <w:rPr>
          <w:u w:val="single"/>
        </w:rPr>
        <w:tab/>
      </w:r>
      <w:r>
        <w:rPr>
          <w:u w:val="single"/>
        </w:rPr>
        <w:tab/>
      </w:r>
      <w:r>
        <w:rPr>
          <w:u w:val="single"/>
        </w:rPr>
        <w:tab/>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65" w:rsidRPr="00AD4165" w:rsidRDefault="00AD4165" w:rsidP="00AD4165">
    <w:pPr>
      <w:pStyle w:val="Footer"/>
      <w:tabs>
        <w:tab w:val="right" w:pos="9638"/>
      </w:tabs>
    </w:pPr>
    <w:r w:rsidRPr="00AD4165">
      <w:rPr>
        <w:b/>
        <w:sz w:val="18"/>
      </w:rPr>
      <w:fldChar w:fldCharType="begin"/>
    </w:r>
    <w:r w:rsidRPr="00AD4165">
      <w:rPr>
        <w:b/>
        <w:sz w:val="18"/>
      </w:rPr>
      <w:instrText xml:space="preserve"> PAGE  \* MERGEFORMAT </w:instrText>
    </w:r>
    <w:r w:rsidRPr="00AD4165">
      <w:rPr>
        <w:b/>
        <w:sz w:val="18"/>
      </w:rPr>
      <w:fldChar w:fldCharType="separate"/>
    </w:r>
    <w:r w:rsidR="00676D4B">
      <w:rPr>
        <w:b/>
        <w:noProof/>
        <w:sz w:val="18"/>
      </w:rPr>
      <w:t>6</w:t>
    </w:r>
    <w:r w:rsidRPr="00AD416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65" w:rsidRPr="00AD4165" w:rsidRDefault="00AD4165" w:rsidP="00AD4165">
    <w:pPr>
      <w:pStyle w:val="Footer"/>
      <w:tabs>
        <w:tab w:val="right" w:pos="9638"/>
      </w:tabs>
      <w:rPr>
        <w:b/>
        <w:sz w:val="18"/>
      </w:rPr>
    </w:pPr>
    <w:r>
      <w:tab/>
    </w:r>
    <w:r w:rsidRPr="00AD4165">
      <w:rPr>
        <w:b/>
        <w:sz w:val="18"/>
      </w:rPr>
      <w:fldChar w:fldCharType="begin"/>
    </w:r>
    <w:r w:rsidRPr="00AD4165">
      <w:rPr>
        <w:b/>
        <w:sz w:val="18"/>
      </w:rPr>
      <w:instrText xml:space="preserve"> PAGE  \* MERGEFORMAT </w:instrText>
    </w:r>
    <w:r w:rsidRPr="00AD4165">
      <w:rPr>
        <w:b/>
        <w:sz w:val="18"/>
      </w:rPr>
      <w:fldChar w:fldCharType="separate"/>
    </w:r>
    <w:r w:rsidR="00676D4B">
      <w:rPr>
        <w:b/>
        <w:noProof/>
        <w:sz w:val="18"/>
      </w:rPr>
      <w:t>5</w:t>
    </w:r>
    <w:r w:rsidRPr="00AD416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65" w:rsidRPr="000B175B" w:rsidRDefault="00AD4165" w:rsidP="000B175B">
      <w:pPr>
        <w:tabs>
          <w:tab w:val="right" w:pos="2155"/>
        </w:tabs>
        <w:spacing w:after="80"/>
        <w:ind w:left="680"/>
        <w:rPr>
          <w:u w:val="single"/>
        </w:rPr>
      </w:pPr>
      <w:r>
        <w:rPr>
          <w:u w:val="single"/>
        </w:rPr>
        <w:tab/>
      </w:r>
    </w:p>
  </w:footnote>
  <w:footnote w:type="continuationSeparator" w:id="0">
    <w:p w:rsidR="00AD4165" w:rsidRPr="00FC68B7" w:rsidRDefault="00AD4165" w:rsidP="00FC68B7">
      <w:pPr>
        <w:tabs>
          <w:tab w:val="left" w:pos="2155"/>
        </w:tabs>
        <w:spacing w:after="80"/>
        <w:ind w:left="680"/>
        <w:rPr>
          <w:u w:val="single"/>
        </w:rPr>
      </w:pPr>
      <w:r>
        <w:rPr>
          <w:u w:val="single"/>
        </w:rPr>
        <w:tab/>
      </w:r>
    </w:p>
  </w:footnote>
  <w:footnote w:type="continuationNotice" w:id="1">
    <w:p w:rsidR="00AD4165" w:rsidRDefault="00AD4165"/>
  </w:footnote>
  <w:footnote w:id="2">
    <w:p w:rsidR="00AD4165" w:rsidRDefault="00AD4165" w:rsidP="00AD4165">
      <w:pPr>
        <w:pStyle w:val="FootnoteText"/>
        <w:rPr>
          <w:szCs w:val="18"/>
        </w:rPr>
      </w:pPr>
      <w:r>
        <w:tab/>
      </w:r>
      <w:r w:rsidRPr="005A3763">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65" w:rsidRPr="00AD4165" w:rsidRDefault="00AD4165">
    <w:pPr>
      <w:pStyle w:val="Header"/>
    </w:pPr>
    <w:r>
      <w:t>A/HRC/34/</w:t>
    </w:r>
    <w:r w:rsidR="00FF3083">
      <w:t>8</w:t>
    </w:r>
    <w: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65" w:rsidRPr="00AD4165" w:rsidRDefault="00FF3083" w:rsidP="00AD4165">
    <w:pPr>
      <w:pStyle w:val="Header"/>
      <w:jc w:val="right"/>
    </w:pPr>
    <w:r>
      <w:t>A/HRC/34/8</w:t>
    </w:r>
    <w:r w:rsidR="00AD4165">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391BD6"/>
    <w:multiLevelType w:val="hybridMultilevel"/>
    <w:tmpl w:val="3B4A0E48"/>
    <w:lvl w:ilvl="0" w:tplc="64822938">
      <w:start w:val="1"/>
      <w:numFmt w:val="upperRoman"/>
      <w:lvlText w:val="%1."/>
      <w:lvlJc w:val="right"/>
      <w:pPr>
        <w:ind w:left="720" w:hanging="360"/>
      </w:pPr>
      <w:rPr>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472075"/>
    <w:multiLevelType w:val="hybridMultilevel"/>
    <w:tmpl w:val="264A5952"/>
    <w:lvl w:ilvl="0" w:tplc="0F94F9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2"/>
  </w:num>
  <w:num w:numId="5">
    <w:abstractNumId w:val="0"/>
  </w:num>
  <w:num w:numId="6">
    <w:abstractNumId w:val="1"/>
  </w:num>
  <w:num w:numId="7">
    <w:abstractNumId w:val="7"/>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ZW"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65"/>
    <w:rsid w:val="00007F7F"/>
    <w:rsid w:val="00022DB5"/>
    <w:rsid w:val="000403D1"/>
    <w:rsid w:val="00042A34"/>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284C"/>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3E4411"/>
    <w:rsid w:val="00424C80"/>
    <w:rsid w:val="004325CB"/>
    <w:rsid w:val="0044503A"/>
    <w:rsid w:val="00446DE4"/>
    <w:rsid w:val="00447761"/>
    <w:rsid w:val="00451EC3"/>
    <w:rsid w:val="004721B1"/>
    <w:rsid w:val="004859EC"/>
    <w:rsid w:val="00496A15"/>
    <w:rsid w:val="004B75D2"/>
    <w:rsid w:val="004D1140"/>
    <w:rsid w:val="004F55ED"/>
    <w:rsid w:val="0052176C"/>
    <w:rsid w:val="00524D4D"/>
    <w:rsid w:val="005261E5"/>
    <w:rsid w:val="0053255F"/>
    <w:rsid w:val="005420F2"/>
    <w:rsid w:val="00542574"/>
    <w:rsid w:val="005436AB"/>
    <w:rsid w:val="00543791"/>
    <w:rsid w:val="00546DBF"/>
    <w:rsid w:val="00553D76"/>
    <w:rsid w:val="005552B5"/>
    <w:rsid w:val="0056117B"/>
    <w:rsid w:val="00571365"/>
    <w:rsid w:val="005A3763"/>
    <w:rsid w:val="005B3DB3"/>
    <w:rsid w:val="005B6E48"/>
    <w:rsid w:val="005E1712"/>
    <w:rsid w:val="005F7664"/>
    <w:rsid w:val="00611FC4"/>
    <w:rsid w:val="006176FB"/>
    <w:rsid w:val="00640B26"/>
    <w:rsid w:val="00670741"/>
    <w:rsid w:val="00676D4B"/>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914"/>
    <w:rsid w:val="007C1B62"/>
    <w:rsid w:val="007C3390"/>
    <w:rsid w:val="007C4F4B"/>
    <w:rsid w:val="007D2CDC"/>
    <w:rsid w:val="007D5327"/>
    <w:rsid w:val="007F6611"/>
    <w:rsid w:val="008155C3"/>
    <w:rsid w:val="008175E9"/>
    <w:rsid w:val="0082243E"/>
    <w:rsid w:val="008242D7"/>
    <w:rsid w:val="00856CD2"/>
    <w:rsid w:val="00861BC6"/>
    <w:rsid w:val="00870DDD"/>
    <w:rsid w:val="00871FD5"/>
    <w:rsid w:val="008979B1"/>
    <w:rsid w:val="008A6B25"/>
    <w:rsid w:val="008A6C4F"/>
    <w:rsid w:val="008C1E4D"/>
    <w:rsid w:val="008E0E46"/>
    <w:rsid w:val="0090452C"/>
    <w:rsid w:val="00907C3F"/>
    <w:rsid w:val="0092237C"/>
    <w:rsid w:val="0093707B"/>
    <w:rsid w:val="00937C6A"/>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D4165"/>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5410C"/>
    <w:rsid w:val="00C64458"/>
    <w:rsid w:val="00C745C3"/>
    <w:rsid w:val="00C920E9"/>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B03"/>
    <w:rsid w:val="00F07FD9"/>
    <w:rsid w:val="00F23933"/>
    <w:rsid w:val="00F24119"/>
    <w:rsid w:val="00F40E75"/>
    <w:rsid w:val="00F42CD9"/>
    <w:rsid w:val="00F52936"/>
    <w:rsid w:val="00F677CB"/>
    <w:rsid w:val="00FA7DF3"/>
    <w:rsid w:val="00FC68B7"/>
    <w:rsid w:val="00FD7C12"/>
    <w:rsid w:val="00FF30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AD4165"/>
    <w:rPr>
      <w:sz w:val="18"/>
      <w:lang w:eastAsia="en-US"/>
    </w:rPr>
  </w:style>
  <w:style w:type="paragraph" w:styleId="BalloonText">
    <w:name w:val="Balloon Text"/>
    <w:basedOn w:val="Normal"/>
    <w:link w:val="BalloonTextChar"/>
    <w:rsid w:val="007C191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C19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AD4165"/>
    <w:rPr>
      <w:sz w:val="18"/>
      <w:lang w:eastAsia="en-US"/>
    </w:rPr>
  </w:style>
  <w:style w:type="paragraph" w:styleId="BalloonText">
    <w:name w:val="Balloon Text"/>
    <w:basedOn w:val="Normal"/>
    <w:link w:val="BalloonTextChar"/>
    <w:rsid w:val="007C191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C19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B46002-2713-420D-8C2D-2443B29605F8}"/>
</file>

<file path=customXml/itemProps2.xml><?xml version="1.0" encoding="utf-8"?>
<ds:datastoreItem xmlns:ds="http://schemas.openxmlformats.org/officeDocument/2006/customXml" ds:itemID="{ECD77307-8779-41EC-815E-8FA1C6ED0B75}"/>
</file>

<file path=customXml/itemProps3.xml><?xml version="1.0" encoding="utf-8"?>
<ds:datastoreItem xmlns:ds="http://schemas.openxmlformats.org/officeDocument/2006/customXml" ds:itemID="{90649C68-29BC-48B0-843A-AE0BFB2FFC77}"/>
</file>

<file path=docProps/app.xml><?xml version="1.0" encoding="utf-8"?>
<Properties xmlns="http://schemas.openxmlformats.org/officeDocument/2006/extended-properties" xmlns:vt="http://schemas.openxmlformats.org/officeDocument/2006/docPropsVTypes">
  <Template>A_E.dotm</Template>
  <TotalTime>0</TotalTime>
  <Pages>6</Pages>
  <Words>1133</Words>
  <Characters>6461</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Zimbabwe</dc:title>
  <dc:creator>Sumiko IHARA</dc:creator>
  <cp:lastModifiedBy>Sumiko IHARA</cp:lastModifiedBy>
  <cp:revision>2</cp:revision>
  <cp:lastPrinted>2017-03-10T08:00:00Z</cp:lastPrinted>
  <dcterms:created xsi:type="dcterms:W3CDTF">2017-03-13T13:30:00Z</dcterms:created>
  <dcterms:modified xsi:type="dcterms:W3CDTF">2017-03-13T13:30:00Z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7800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