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9E" w:rsidRPr="002816E9" w:rsidRDefault="002816E9" w:rsidP="002816E9">
      <w:pPr>
        <w:spacing w:line="20" w:lineRule="exact"/>
        <w:rPr>
          <w:sz w:val="2"/>
          <w:szCs w:val="2"/>
        </w:rPr>
      </w:pPr>
      <w:r>
        <w:rPr>
          <w:rStyle w:val="CommentReference"/>
        </w:rPr>
        <w:commentReference w:id="0"/>
      </w:r>
    </w:p>
    <w:p w:rsidR="002816E9" w:rsidRPr="003E6675" w:rsidRDefault="002816E9" w:rsidP="003E6675">
      <w:pPr>
        <w:spacing w:line="240" w:lineRule="auto"/>
        <w:rPr>
          <w:sz w:val="2"/>
          <w:szCs w:val="2"/>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87398" w:rsidRPr="009E1A90">
        <w:trPr>
          <w:trHeight w:val="851"/>
        </w:trPr>
        <w:tc>
          <w:tcPr>
            <w:tcW w:w="1259" w:type="dxa"/>
            <w:tcBorders>
              <w:top w:val="nil"/>
              <w:left w:val="nil"/>
              <w:bottom w:val="single" w:sz="4" w:space="0" w:color="auto"/>
              <w:right w:val="nil"/>
            </w:tcBorders>
          </w:tcPr>
          <w:p w:rsidR="00787398" w:rsidRPr="006248E1" w:rsidRDefault="00787398">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rsidR="00787398" w:rsidRPr="009E1A90" w:rsidRDefault="008B7549">
            <w:pPr>
              <w:spacing w:after="80" w:line="300" w:lineRule="exact"/>
              <w:rPr>
                <w:sz w:val="28"/>
                <w:szCs w:val="28"/>
              </w:rPr>
            </w:pPr>
            <w:r w:rsidRPr="009E1A90">
              <w:rPr>
                <w:sz w:val="28"/>
                <w:szCs w:val="28"/>
              </w:rPr>
              <w:t>United Nations</w:t>
            </w:r>
          </w:p>
        </w:tc>
        <w:tc>
          <w:tcPr>
            <w:tcW w:w="6144" w:type="dxa"/>
            <w:gridSpan w:val="2"/>
            <w:tcBorders>
              <w:top w:val="nil"/>
              <w:left w:val="nil"/>
              <w:bottom w:val="single" w:sz="4" w:space="0" w:color="auto"/>
              <w:right w:val="nil"/>
            </w:tcBorders>
            <w:vAlign w:val="bottom"/>
          </w:tcPr>
          <w:p w:rsidR="00787398" w:rsidRPr="009E1A90" w:rsidRDefault="00F055F9" w:rsidP="00806D14">
            <w:pPr>
              <w:suppressAutoHyphens w:val="0"/>
              <w:spacing w:after="20"/>
              <w:jc w:val="right"/>
            </w:pPr>
            <w:r w:rsidRPr="009E1A90">
              <w:rPr>
                <w:sz w:val="40"/>
              </w:rPr>
              <w:t>A</w:t>
            </w:r>
            <w:r w:rsidRPr="009E1A90">
              <w:t>/HRC/</w:t>
            </w:r>
            <w:r w:rsidR="00FC09E1" w:rsidRPr="009E1A90">
              <w:t>30</w:t>
            </w:r>
            <w:r w:rsidRPr="009E1A90">
              <w:t>/</w:t>
            </w:r>
            <w:r w:rsidR="00806D14" w:rsidRPr="009E1A90">
              <w:t>36</w:t>
            </w:r>
            <w:r w:rsidRPr="009E1A90">
              <w:t>/</w:t>
            </w:r>
            <w:r w:rsidR="00806D14" w:rsidRPr="009E1A90">
              <w:t>Add.3</w:t>
            </w:r>
          </w:p>
        </w:tc>
      </w:tr>
      <w:tr w:rsidR="00787398" w:rsidRPr="009E1A90">
        <w:trPr>
          <w:trHeight w:val="2835"/>
        </w:trPr>
        <w:tc>
          <w:tcPr>
            <w:tcW w:w="1259" w:type="dxa"/>
            <w:tcBorders>
              <w:top w:val="single" w:sz="4" w:space="0" w:color="auto"/>
              <w:left w:val="nil"/>
              <w:bottom w:val="single" w:sz="12" w:space="0" w:color="auto"/>
              <w:right w:val="nil"/>
            </w:tcBorders>
          </w:tcPr>
          <w:p w:rsidR="00787398" w:rsidRPr="009E1A90" w:rsidRDefault="00BB0282">
            <w:pPr>
              <w:spacing w:before="120"/>
              <w:jc w:val="center"/>
            </w:pPr>
            <w:r>
              <w:rPr>
                <w:noProof/>
                <w:lang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87398" w:rsidRPr="009E1A90" w:rsidRDefault="008B7549">
            <w:pPr>
              <w:spacing w:before="120" w:line="420" w:lineRule="exact"/>
              <w:rPr>
                <w:b/>
                <w:sz w:val="40"/>
                <w:szCs w:val="40"/>
              </w:rPr>
            </w:pPr>
            <w:r w:rsidRPr="009E1A90">
              <w:rPr>
                <w:b/>
                <w:sz w:val="40"/>
                <w:szCs w:val="40"/>
              </w:rPr>
              <w:t>General Assembly</w:t>
            </w:r>
          </w:p>
        </w:tc>
        <w:tc>
          <w:tcPr>
            <w:tcW w:w="2930" w:type="dxa"/>
            <w:tcBorders>
              <w:top w:val="single" w:sz="4" w:space="0" w:color="auto"/>
              <w:left w:val="nil"/>
              <w:bottom w:val="single" w:sz="12" w:space="0" w:color="auto"/>
              <w:right w:val="nil"/>
            </w:tcBorders>
          </w:tcPr>
          <w:p w:rsidR="00F055F9" w:rsidRPr="009E1A90" w:rsidRDefault="00F055F9" w:rsidP="00F055F9">
            <w:pPr>
              <w:suppressAutoHyphens w:val="0"/>
              <w:spacing w:before="240" w:line="240" w:lineRule="exact"/>
            </w:pPr>
            <w:r w:rsidRPr="009E1A90">
              <w:t>Distr.: General</w:t>
            </w:r>
          </w:p>
          <w:p w:rsidR="00F055F9" w:rsidRPr="009E1A90" w:rsidRDefault="001060A9" w:rsidP="00F055F9">
            <w:pPr>
              <w:suppressAutoHyphens w:val="0"/>
            </w:pPr>
            <w:r w:rsidRPr="009E1A90">
              <w:t>1</w:t>
            </w:r>
            <w:r w:rsidR="00BD7E7C">
              <w:t>0</w:t>
            </w:r>
            <w:r w:rsidRPr="009E1A90">
              <w:t xml:space="preserve"> </w:t>
            </w:r>
            <w:r w:rsidR="00806D14" w:rsidRPr="009E1A90">
              <w:t xml:space="preserve">June </w:t>
            </w:r>
            <w:r w:rsidR="00465220" w:rsidRPr="009E1A90">
              <w:t>2015</w:t>
            </w:r>
          </w:p>
          <w:p w:rsidR="00973C1C" w:rsidRPr="009E1A90" w:rsidRDefault="00973C1C" w:rsidP="00406A34">
            <w:pPr>
              <w:suppressAutoHyphens w:val="0"/>
            </w:pPr>
          </w:p>
          <w:p w:rsidR="00787398" w:rsidRPr="009E1A90" w:rsidRDefault="00F055F9" w:rsidP="00973C1C">
            <w:pPr>
              <w:suppressAutoHyphens w:val="0"/>
            </w:pPr>
            <w:r w:rsidRPr="009E1A90">
              <w:t xml:space="preserve">Original: </w:t>
            </w:r>
            <w:r w:rsidR="00406A34" w:rsidRPr="009E1A90">
              <w:t>Engl</w:t>
            </w:r>
            <w:r w:rsidR="00973C1C" w:rsidRPr="009E1A90">
              <w:t>ish</w:t>
            </w:r>
          </w:p>
          <w:p w:rsidR="00A40858" w:rsidRPr="009E1A90" w:rsidRDefault="00A40858" w:rsidP="00973C1C">
            <w:pPr>
              <w:suppressAutoHyphens w:val="0"/>
              <w:rPr>
                <w:b/>
              </w:rPr>
            </w:pPr>
          </w:p>
        </w:tc>
      </w:tr>
    </w:tbl>
    <w:p w:rsidR="00956BC1" w:rsidRPr="009E1A90" w:rsidRDefault="00956BC1" w:rsidP="003666FC">
      <w:pPr>
        <w:spacing w:before="120"/>
        <w:rPr>
          <w:b/>
        </w:rPr>
      </w:pPr>
      <w:r w:rsidRPr="009E1A90">
        <w:rPr>
          <w:b/>
          <w:sz w:val="24"/>
          <w:szCs w:val="24"/>
        </w:rPr>
        <w:t>Human Rights Council</w:t>
      </w:r>
      <w:r w:rsidR="003666FC" w:rsidRPr="009E1A90">
        <w:rPr>
          <w:b/>
          <w:sz w:val="24"/>
          <w:szCs w:val="24"/>
        </w:rPr>
        <w:br/>
      </w:r>
      <w:r w:rsidRPr="009E1A90">
        <w:rPr>
          <w:b/>
        </w:rPr>
        <w:t>T</w:t>
      </w:r>
      <w:r w:rsidR="00465220" w:rsidRPr="009E1A90">
        <w:rPr>
          <w:b/>
        </w:rPr>
        <w:t>hirtieth</w:t>
      </w:r>
      <w:r w:rsidR="00747BB2" w:rsidRPr="009E1A90">
        <w:rPr>
          <w:b/>
        </w:rPr>
        <w:t xml:space="preserve"> </w:t>
      </w:r>
      <w:r w:rsidRPr="009E1A90">
        <w:rPr>
          <w:b/>
        </w:rPr>
        <w:t>session</w:t>
      </w:r>
      <w:r w:rsidR="003666FC" w:rsidRPr="009E1A90">
        <w:rPr>
          <w:b/>
        </w:rPr>
        <w:br/>
      </w:r>
      <w:r w:rsidRPr="009E1A90">
        <w:t>Agenda item 3</w:t>
      </w:r>
      <w:r w:rsidR="003666FC" w:rsidRPr="009E1A90">
        <w:br/>
      </w:r>
      <w:r w:rsidR="00310A72" w:rsidRPr="009E1A90">
        <w:rPr>
          <w:b/>
        </w:rPr>
        <w:t xml:space="preserve">Promotion and protection of all human rights, civil, </w:t>
      </w:r>
      <w:r w:rsidR="00116F73" w:rsidRPr="009E1A90">
        <w:rPr>
          <w:b/>
        </w:rPr>
        <w:br/>
      </w:r>
      <w:r w:rsidR="00310A72" w:rsidRPr="009E1A90">
        <w:rPr>
          <w:b/>
        </w:rPr>
        <w:t xml:space="preserve">political, economic, social and cultural rights, </w:t>
      </w:r>
      <w:r w:rsidR="00116F73" w:rsidRPr="009E1A90">
        <w:rPr>
          <w:b/>
        </w:rPr>
        <w:br/>
      </w:r>
      <w:r w:rsidR="00310A72" w:rsidRPr="009E1A90">
        <w:rPr>
          <w:b/>
        </w:rPr>
        <w:t>including the right to development</w:t>
      </w:r>
    </w:p>
    <w:p w:rsidR="00F055F9" w:rsidRPr="009E1A90" w:rsidRDefault="001D055C" w:rsidP="001D055C">
      <w:pPr>
        <w:pStyle w:val="HChG"/>
      </w:pPr>
      <w:r w:rsidRPr="009E1A90">
        <w:tab/>
      </w:r>
      <w:r w:rsidRPr="009E1A90">
        <w:tab/>
        <w:t>Report of the Working Group on Arbitra</w:t>
      </w:r>
      <w:bookmarkStart w:id="1" w:name="_GoBack"/>
      <w:bookmarkEnd w:id="1"/>
      <w:r w:rsidRPr="009E1A90">
        <w:t>ry Detention</w:t>
      </w:r>
    </w:p>
    <w:p w:rsidR="001D055C" w:rsidRPr="009E1A90" w:rsidRDefault="001D055C" w:rsidP="001D055C">
      <w:pPr>
        <w:pStyle w:val="H23G"/>
      </w:pPr>
      <w:r w:rsidRPr="009E1A90">
        <w:tab/>
      </w:r>
      <w:r w:rsidRPr="009E1A90">
        <w:tab/>
        <w:t>Addendum</w:t>
      </w:r>
    </w:p>
    <w:p w:rsidR="00A341A0" w:rsidRPr="009E1A90" w:rsidRDefault="001D055C" w:rsidP="0063294C">
      <w:pPr>
        <w:pStyle w:val="H1G"/>
        <w:rPr>
          <w:b w:val="0"/>
          <w:bCs/>
          <w:sz w:val="20"/>
        </w:rPr>
      </w:pPr>
      <w:r w:rsidRPr="009E1A90">
        <w:tab/>
      </w:r>
      <w:r w:rsidRPr="009E1A90">
        <w:tab/>
      </w:r>
      <w:r w:rsidR="00FC09E1" w:rsidRPr="009E1A90">
        <w:t>Follow-up m</w:t>
      </w:r>
      <w:r w:rsidRPr="009E1A90">
        <w:t xml:space="preserve">ission to </w:t>
      </w:r>
      <w:r w:rsidR="009A5EC9" w:rsidRPr="009E1A90">
        <w:t>Italy</w:t>
      </w:r>
      <w:r w:rsidR="0085611C" w:rsidRPr="00BB0282">
        <w:rPr>
          <w:rStyle w:val="FootnoteReference"/>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341A0" w:rsidRPr="009E1A90" w:rsidTr="00064BB4">
        <w:trPr>
          <w:jc w:val="center"/>
        </w:trPr>
        <w:tc>
          <w:tcPr>
            <w:tcW w:w="9637" w:type="dxa"/>
            <w:shd w:val="clear" w:color="auto" w:fill="auto"/>
          </w:tcPr>
          <w:p w:rsidR="00A341A0" w:rsidRPr="009E1A90" w:rsidRDefault="00A341A0" w:rsidP="00064BB4">
            <w:pPr>
              <w:spacing w:before="240" w:after="120"/>
              <w:ind w:left="255"/>
              <w:rPr>
                <w:rFonts w:eastAsia="SimSun"/>
                <w:i/>
                <w:sz w:val="24"/>
              </w:rPr>
            </w:pPr>
            <w:r w:rsidRPr="009E1A90">
              <w:rPr>
                <w:rFonts w:eastAsia="SimSun"/>
                <w:i/>
                <w:sz w:val="24"/>
              </w:rPr>
              <w:t>Summary</w:t>
            </w:r>
          </w:p>
        </w:tc>
      </w:tr>
      <w:tr w:rsidR="00A341A0" w:rsidRPr="009E1A90" w:rsidTr="00064BB4">
        <w:trPr>
          <w:jc w:val="center"/>
        </w:trPr>
        <w:tc>
          <w:tcPr>
            <w:tcW w:w="9637" w:type="dxa"/>
            <w:shd w:val="clear" w:color="auto" w:fill="auto"/>
          </w:tcPr>
          <w:p w:rsidR="00A341A0" w:rsidRPr="009E1A90" w:rsidRDefault="00A341A0" w:rsidP="006248E1">
            <w:pPr>
              <w:pStyle w:val="SingleTxtG"/>
              <w:spacing w:line="220" w:lineRule="atLeast"/>
              <w:ind w:firstLine="567"/>
              <w:rPr>
                <w:rFonts w:eastAsia="SimSun"/>
              </w:rPr>
            </w:pPr>
            <w:r w:rsidRPr="009E1A90">
              <w:rPr>
                <w:rFonts w:eastAsia="SimSun"/>
              </w:rPr>
              <w:t xml:space="preserve">The present report contains the findings and recommendations of the Working Group on Arbitrary Detention, following its visit to Italy from 7 to 9 July 2014. The purpose of this visit was to evaluate </w:t>
            </w:r>
            <w:r w:rsidR="00EA368F" w:rsidRPr="009E1A90">
              <w:rPr>
                <w:rFonts w:eastAsia="SimSun"/>
              </w:rPr>
              <w:t xml:space="preserve">the </w:t>
            </w:r>
            <w:r w:rsidRPr="009E1A90">
              <w:rPr>
                <w:rFonts w:eastAsia="SimSun"/>
              </w:rPr>
              <w:t xml:space="preserve">progress made by the Government </w:t>
            </w:r>
            <w:r w:rsidR="00830929" w:rsidRPr="009E1A90">
              <w:rPr>
                <w:rFonts w:eastAsia="SimSun"/>
              </w:rPr>
              <w:t xml:space="preserve">of Italy </w:t>
            </w:r>
            <w:r w:rsidRPr="009E1A90">
              <w:rPr>
                <w:rFonts w:eastAsia="SimSun"/>
              </w:rPr>
              <w:t xml:space="preserve">with respect to the implementation of recommendations </w:t>
            </w:r>
            <w:r w:rsidR="00EA368F" w:rsidRPr="009E1A90">
              <w:rPr>
                <w:rFonts w:eastAsia="SimSun"/>
              </w:rPr>
              <w:t>contained in</w:t>
            </w:r>
            <w:r w:rsidRPr="009E1A90">
              <w:rPr>
                <w:rFonts w:eastAsia="SimSun"/>
              </w:rPr>
              <w:t xml:space="preserve"> the Working Group’s report (</w:t>
            </w:r>
            <w:r w:rsidRPr="009E1A90">
              <w:rPr>
                <w:rFonts w:eastAsia="SimSun"/>
                <w:spacing w:val="3"/>
              </w:rPr>
              <w:t>A/HRC/10/21/Add.5</w:t>
            </w:r>
            <w:r w:rsidRPr="009E1A90">
              <w:rPr>
                <w:rFonts w:eastAsia="SimSun"/>
              </w:rPr>
              <w:t>) following its 2008 visit to Italy. The Working Group expresses its appreciation to the Government for the invitation to conduct follow-up, and highlights that this constitutes a good practice and an example for other States to follow in their cooperation with the United Nations Special Procedures of the Human Rights Council.</w:t>
            </w:r>
          </w:p>
        </w:tc>
      </w:tr>
      <w:tr w:rsidR="00A341A0" w:rsidRPr="009E1A90" w:rsidTr="00BB0282">
        <w:trPr>
          <w:jc w:val="center"/>
        </w:trPr>
        <w:tc>
          <w:tcPr>
            <w:tcW w:w="9637" w:type="dxa"/>
            <w:tcBorders>
              <w:bottom w:val="nil"/>
            </w:tcBorders>
            <w:shd w:val="clear" w:color="auto" w:fill="auto"/>
          </w:tcPr>
          <w:p w:rsidR="00A341A0" w:rsidRPr="009E1A90" w:rsidRDefault="00A341A0" w:rsidP="006248E1">
            <w:pPr>
              <w:pStyle w:val="SingleTxtG"/>
              <w:spacing w:line="220" w:lineRule="atLeast"/>
              <w:ind w:firstLine="567"/>
              <w:rPr>
                <w:rFonts w:eastAsia="SimSun"/>
              </w:rPr>
            </w:pPr>
            <w:r w:rsidRPr="009E1A90">
              <w:rPr>
                <w:rFonts w:eastAsia="SimSun"/>
              </w:rPr>
              <w:t xml:space="preserve">The Working Group welcomes the measures, especially legislative reforms, undertaken by the Government to implement its recommendations. It is encouraged by the open and rights-based dialogue in the legislative, executive and judicial branches on </w:t>
            </w:r>
            <w:r w:rsidR="00830929" w:rsidRPr="009E1A90">
              <w:rPr>
                <w:rFonts w:eastAsia="SimSun"/>
              </w:rPr>
              <w:t xml:space="preserve">the </w:t>
            </w:r>
            <w:r w:rsidRPr="009E1A90">
              <w:rPr>
                <w:rFonts w:eastAsia="SimSun"/>
              </w:rPr>
              <w:t>issue of arbitrary detention</w:t>
            </w:r>
            <w:r w:rsidR="001727D6" w:rsidRPr="009E1A90">
              <w:rPr>
                <w:rFonts w:eastAsia="SimSun"/>
              </w:rPr>
              <w:t>,</w:t>
            </w:r>
            <w:r w:rsidRPr="009E1A90">
              <w:rPr>
                <w:rFonts w:eastAsia="SimSun"/>
              </w:rPr>
              <w:t xml:space="preserve"> and notes that there is a clear reali</w:t>
            </w:r>
            <w:r w:rsidR="00830929" w:rsidRPr="009E1A90">
              <w:rPr>
                <w:rFonts w:eastAsia="SimSun"/>
              </w:rPr>
              <w:t>z</w:t>
            </w:r>
            <w:r w:rsidRPr="009E1A90">
              <w:rPr>
                <w:rFonts w:eastAsia="SimSun"/>
              </w:rPr>
              <w:t>ation at different levels of the need for further effort in several areas to prevent arbitrary deprivation of liberty.</w:t>
            </w:r>
          </w:p>
        </w:tc>
      </w:tr>
      <w:tr w:rsidR="00A341A0" w:rsidRPr="009E1A90" w:rsidTr="00BB0282">
        <w:trPr>
          <w:jc w:val="center"/>
        </w:trPr>
        <w:tc>
          <w:tcPr>
            <w:tcW w:w="9637" w:type="dxa"/>
            <w:tcBorders>
              <w:top w:val="nil"/>
              <w:left w:val="single" w:sz="4" w:space="0" w:color="auto"/>
              <w:bottom w:val="nil"/>
              <w:right w:val="single" w:sz="4" w:space="0" w:color="auto"/>
            </w:tcBorders>
            <w:shd w:val="clear" w:color="auto" w:fill="auto"/>
          </w:tcPr>
          <w:p w:rsidR="00A341A0" w:rsidRPr="009E1A90" w:rsidRDefault="00A341A0" w:rsidP="006248E1">
            <w:pPr>
              <w:pStyle w:val="SingleTxtG"/>
              <w:spacing w:line="220" w:lineRule="atLeast"/>
              <w:ind w:firstLine="567"/>
              <w:rPr>
                <w:rFonts w:eastAsia="SimSun"/>
              </w:rPr>
            </w:pPr>
            <w:r w:rsidRPr="009E1A90">
              <w:rPr>
                <w:rFonts w:eastAsia="SimSun"/>
              </w:rPr>
              <w:t xml:space="preserve">Notwithstanding these positive developments, concerns remain with regard to the high number of </w:t>
            </w:r>
            <w:proofErr w:type="spellStart"/>
            <w:r w:rsidRPr="009E1A90">
              <w:rPr>
                <w:rFonts w:eastAsia="SimSun"/>
              </w:rPr>
              <w:t>pretrial</w:t>
            </w:r>
            <w:proofErr w:type="spellEnd"/>
            <w:r w:rsidRPr="009E1A90">
              <w:rPr>
                <w:rFonts w:eastAsia="SimSun"/>
              </w:rPr>
              <w:t xml:space="preserve"> detainees and, as a consequence, the problem of overcrowding in the penitentiary system. In addition, there is a need to monitor and remedy the disproportionate application of </w:t>
            </w:r>
            <w:proofErr w:type="spellStart"/>
            <w:r w:rsidRPr="009E1A90">
              <w:rPr>
                <w:rFonts w:eastAsia="SimSun"/>
              </w:rPr>
              <w:t>pretrial</w:t>
            </w:r>
            <w:proofErr w:type="spellEnd"/>
            <w:r w:rsidRPr="009E1A90">
              <w:rPr>
                <w:rFonts w:eastAsia="SimSun"/>
              </w:rPr>
              <w:t xml:space="preserve"> detention in the case of foreign nationals and Roma, including minors.</w:t>
            </w:r>
          </w:p>
        </w:tc>
      </w:tr>
      <w:tr w:rsidR="00A341A0" w:rsidRPr="009E1A90" w:rsidTr="00BB0282">
        <w:trPr>
          <w:jc w:val="center"/>
        </w:trPr>
        <w:tc>
          <w:tcPr>
            <w:tcW w:w="9637" w:type="dxa"/>
            <w:tcBorders>
              <w:top w:val="nil"/>
              <w:left w:val="single" w:sz="4" w:space="0" w:color="auto"/>
              <w:bottom w:val="nil"/>
              <w:right w:val="single" w:sz="4" w:space="0" w:color="auto"/>
            </w:tcBorders>
            <w:shd w:val="clear" w:color="auto" w:fill="auto"/>
          </w:tcPr>
          <w:p w:rsidR="00A341A0" w:rsidRPr="009E1A90" w:rsidRDefault="00A341A0" w:rsidP="006248E1">
            <w:pPr>
              <w:pStyle w:val="SingleTxtG"/>
              <w:ind w:firstLine="567"/>
              <w:rPr>
                <w:rFonts w:eastAsia="SimSun"/>
              </w:rPr>
            </w:pPr>
            <w:r w:rsidRPr="009E1A90">
              <w:rPr>
                <w:rFonts w:eastAsia="SimSun"/>
              </w:rPr>
              <w:t xml:space="preserve">Noting that Italy does not have a general policy of mandatory detention of all </w:t>
            </w:r>
            <w:r w:rsidRPr="009E1A90">
              <w:rPr>
                <w:rFonts w:eastAsia="SimSun"/>
              </w:rPr>
              <w:lastRenderedPageBreak/>
              <w:t xml:space="preserve">asylum seekers and migrants in an irregular situation, as opposed to some other European countries, the Working Group welcomes the recent abolition of migration as an aggravating circumstance in criminal law and steps taken by the Parliament to abrogate the crime of “illegal entry and stay”. While noting with appreciation that the maximum duration of administrative detention in </w:t>
            </w:r>
            <w:r w:rsidR="001727D6" w:rsidRPr="009E1A90">
              <w:rPr>
                <w:rFonts w:eastAsia="SimSun"/>
              </w:rPr>
              <w:t>“i</w:t>
            </w:r>
            <w:r w:rsidRPr="009E1A90">
              <w:rPr>
                <w:rFonts w:eastAsia="SimSun"/>
              </w:rPr>
              <w:t xml:space="preserve">dentification and </w:t>
            </w:r>
            <w:r w:rsidR="001727D6" w:rsidRPr="009E1A90">
              <w:rPr>
                <w:rFonts w:eastAsia="SimSun"/>
              </w:rPr>
              <w:t>e</w:t>
            </w:r>
            <w:r w:rsidRPr="009E1A90">
              <w:rPr>
                <w:rFonts w:eastAsia="SimSun"/>
              </w:rPr>
              <w:t xml:space="preserve">xpulsion </w:t>
            </w:r>
            <w:r w:rsidR="001727D6" w:rsidRPr="009E1A90">
              <w:rPr>
                <w:rFonts w:eastAsia="SimSun"/>
              </w:rPr>
              <w:t>c</w:t>
            </w:r>
            <w:r w:rsidRPr="009E1A90">
              <w:rPr>
                <w:rFonts w:eastAsia="SimSun"/>
              </w:rPr>
              <w:t>entres</w:t>
            </w:r>
            <w:r w:rsidR="001727D6" w:rsidRPr="009E1A90">
              <w:rPr>
                <w:rFonts w:eastAsia="SimSun"/>
              </w:rPr>
              <w:t>”</w:t>
            </w:r>
            <w:r w:rsidRPr="009E1A90">
              <w:rPr>
                <w:rFonts w:eastAsia="SimSun"/>
              </w:rPr>
              <w:t xml:space="preserve"> has recently been decreased from 18 </w:t>
            </w:r>
            <w:r w:rsidR="001727D6" w:rsidRPr="009E1A90">
              <w:rPr>
                <w:rFonts w:eastAsia="SimSun"/>
              </w:rPr>
              <w:t xml:space="preserve">months </w:t>
            </w:r>
            <w:r w:rsidRPr="009E1A90">
              <w:rPr>
                <w:rFonts w:eastAsia="SimSun"/>
              </w:rPr>
              <w:t xml:space="preserve">to </w:t>
            </w:r>
            <w:r w:rsidR="001727D6" w:rsidRPr="009E1A90">
              <w:rPr>
                <w:rFonts w:eastAsia="SimSun"/>
              </w:rPr>
              <w:t xml:space="preserve">3 </w:t>
            </w:r>
            <w:r w:rsidRPr="009E1A90">
              <w:rPr>
                <w:rFonts w:eastAsia="SimSun"/>
              </w:rPr>
              <w:t xml:space="preserve">months, the Working Group remains concerned about the conditions of detention in </w:t>
            </w:r>
            <w:r w:rsidR="001727D6" w:rsidRPr="009E1A90">
              <w:rPr>
                <w:rFonts w:eastAsia="SimSun"/>
              </w:rPr>
              <w:t>those centres</w:t>
            </w:r>
            <w:r w:rsidRPr="009E1A90">
              <w:rPr>
                <w:rFonts w:eastAsia="SimSun"/>
              </w:rPr>
              <w:t xml:space="preserve">. Concerns are also expressed in relation to reports of summary returns of individuals, including in some cases unaccompanied minors and adult asylum seekers, in the context of bilateral readmission agreements, mainly </w:t>
            </w:r>
            <w:r w:rsidR="001727D6" w:rsidRPr="009E1A90">
              <w:rPr>
                <w:rFonts w:eastAsia="SimSun"/>
              </w:rPr>
              <w:t>owing</w:t>
            </w:r>
            <w:r w:rsidRPr="009E1A90">
              <w:rPr>
                <w:rFonts w:eastAsia="SimSun"/>
              </w:rPr>
              <w:t xml:space="preserve"> to inadequate or non-existing screening</w:t>
            </w:r>
            <w:r w:rsidR="001727D6" w:rsidRPr="009E1A90">
              <w:rPr>
                <w:rFonts w:eastAsia="SimSun"/>
              </w:rPr>
              <w:t>s</w:t>
            </w:r>
            <w:r w:rsidRPr="009E1A90">
              <w:rPr>
                <w:rFonts w:eastAsia="SimSun"/>
              </w:rPr>
              <w:t xml:space="preserve"> that fail to determine age</w:t>
            </w:r>
            <w:r w:rsidR="001727D6" w:rsidRPr="009E1A90">
              <w:rPr>
                <w:rFonts w:eastAsia="SimSun"/>
              </w:rPr>
              <w:t>,</w:t>
            </w:r>
            <w:r w:rsidRPr="009E1A90">
              <w:rPr>
                <w:rFonts w:eastAsia="SimSun"/>
              </w:rPr>
              <w:t xml:space="preserve"> or to </w:t>
            </w:r>
            <w:r w:rsidR="001727D6" w:rsidRPr="009E1A90">
              <w:rPr>
                <w:rFonts w:eastAsia="SimSun"/>
              </w:rPr>
              <w:t xml:space="preserve">a failure to </w:t>
            </w:r>
            <w:r w:rsidRPr="009E1A90">
              <w:rPr>
                <w:rFonts w:eastAsia="SimSun"/>
              </w:rPr>
              <w:t>inform them of their rights.</w:t>
            </w:r>
          </w:p>
        </w:tc>
      </w:tr>
      <w:tr w:rsidR="00A341A0" w:rsidRPr="009E1A90" w:rsidTr="00BB0282">
        <w:trPr>
          <w:jc w:val="center"/>
        </w:trPr>
        <w:tc>
          <w:tcPr>
            <w:tcW w:w="9637" w:type="dxa"/>
            <w:tcBorders>
              <w:top w:val="nil"/>
            </w:tcBorders>
            <w:shd w:val="clear" w:color="auto" w:fill="auto"/>
          </w:tcPr>
          <w:p w:rsidR="00A341A0" w:rsidRPr="009E1A90" w:rsidRDefault="00A341A0" w:rsidP="006248E1">
            <w:pPr>
              <w:pStyle w:val="SingleTxtG"/>
              <w:ind w:firstLine="567"/>
              <w:rPr>
                <w:rFonts w:eastAsia="SimSun"/>
              </w:rPr>
            </w:pPr>
            <w:r w:rsidRPr="009E1A90">
              <w:rPr>
                <w:rFonts w:eastAsia="SimSun"/>
              </w:rPr>
              <w:lastRenderedPageBreak/>
              <w:t>The Working Group notes that the special detention regime for mafia offenders under article 41</w:t>
            </w:r>
            <w:r w:rsidR="001727D6" w:rsidRPr="009E1A90">
              <w:rPr>
                <w:rFonts w:eastAsia="SimSun"/>
                <w:i/>
                <w:iCs/>
              </w:rPr>
              <w:t> </w:t>
            </w:r>
            <w:proofErr w:type="spellStart"/>
            <w:r w:rsidRPr="009E1A90">
              <w:rPr>
                <w:rFonts w:eastAsia="SimSun"/>
              </w:rPr>
              <w:t>bis</w:t>
            </w:r>
            <w:proofErr w:type="spellEnd"/>
            <w:r w:rsidRPr="009E1A90">
              <w:rPr>
                <w:rFonts w:eastAsia="SimSun"/>
                <w:i/>
                <w:iCs/>
              </w:rPr>
              <w:t xml:space="preserve"> </w:t>
            </w:r>
            <w:r w:rsidRPr="009E1A90">
              <w:rPr>
                <w:rFonts w:eastAsia="SimSun"/>
              </w:rPr>
              <w:t>of the Law on the Penitentiary System has not yet been brought in</w:t>
            </w:r>
            <w:r w:rsidR="001727D6" w:rsidRPr="009E1A90">
              <w:rPr>
                <w:rFonts w:eastAsia="SimSun"/>
              </w:rPr>
              <w:t>to</w:t>
            </w:r>
            <w:r w:rsidRPr="009E1A90">
              <w:rPr>
                <w:rFonts w:eastAsia="SimSun"/>
              </w:rPr>
              <w:t xml:space="preserve"> compliance with international human rights requirements. The judicial review of the orders imposing or extending this form of detention would need to be sufficiently strengthened and expedited. With regard to the psychiatric system, the Working Group recommends that the Government prioriti</w:t>
            </w:r>
            <w:r w:rsidR="00830929" w:rsidRPr="009E1A90">
              <w:rPr>
                <w:rFonts w:eastAsia="SimSun"/>
              </w:rPr>
              <w:t>z</w:t>
            </w:r>
            <w:r w:rsidRPr="009E1A90">
              <w:rPr>
                <w:rFonts w:eastAsia="SimSun"/>
              </w:rPr>
              <w:t xml:space="preserve">e reform proposals to close the </w:t>
            </w:r>
            <w:r w:rsidR="001727D6" w:rsidRPr="009E1A90">
              <w:rPr>
                <w:rFonts w:eastAsia="SimSun"/>
              </w:rPr>
              <w:t>j</w:t>
            </w:r>
            <w:r w:rsidRPr="009E1A90">
              <w:rPr>
                <w:rFonts w:eastAsia="SimSun"/>
              </w:rPr>
              <w:t xml:space="preserve">udicial </w:t>
            </w:r>
            <w:r w:rsidR="001727D6" w:rsidRPr="009E1A90">
              <w:rPr>
                <w:rFonts w:eastAsia="SimSun"/>
              </w:rPr>
              <w:t>p</w:t>
            </w:r>
            <w:r w:rsidRPr="009E1A90">
              <w:rPr>
                <w:rFonts w:eastAsia="SimSun"/>
              </w:rPr>
              <w:t xml:space="preserve">sychiatric </w:t>
            </w:r>
            <w:r w:rsidR="001727D6" w:rsidRPr="009E1A90">
              <w:rPr>
                <w:rFonts w:eastAsia="SimSun"/>
              </w:rPr>
              <w:t>h</w:t>
            </w:r>
            <w:r w:rsidRPr="009E1A90">
              <w:rPr>
                <w:rFonts w:eastAsia="SimSun"/>
              </w:rPr>
              <w:t>ospitals and transfer their competence to regional substitutive health</w:t>
            </w:r>
            <w:r w:rsidR="001727D6" w:rsidRPr="009E1A90">
              <w:rPr>
                <w:rFonts w:eastAsia="SimSun"/>
              </w:rPr>
              <w:t>-</w:t>
            </w:r>
            <w:r w:rsidRPr="009E1A90">
              <w:rPr>
                <w:rFonts w:eastAsia="SimSun"/>
              </w:rPr>
              <w:t>care structures.</w:t>
            </w:r>
          </w:p>
        </w:tc>
      </w:tr>
      <w:tr w:rsidR="00A341A0" w:rsidRPr="009E1A90" w:rsidTr="00064BB4">
        <w:trPr>
          <w:jc w:val="center"/>
        </w:trPr>
        <w:tc>
          <w:tcPr>
            <w:tcW w:w="9637" w:type="dxa"/>
            <w:shd w:val="clear" w:color="auto" w:fill="auto"/>
          </w:tcPr>
          <w:p w:rsidR="00A341A0" w:rsidRPr="009E1A90" w:rsidRDefault="00A341A0" w:rsidP="006248E1">
            <w:pPr>
              <w:pStyle w:val="SingleTxtG"/>
              <w:ind w:firstLine="567"/>
              <w:rPr>
                <w:rFonts w:eastAsia="SimSun"/>
              </w:rPr>
            </w:pPr>
            <w:r w:rsidRPr="009E1A90">
              <w:rPr>
                <w:rFonts w:eastAsia="SimSun"/>
              </w:rPr>
              <w:t>The Working Group issues a number of recommendations to the Government</w:t>
            </w:r>
            <w:r w:rsidR="008E6A6A" w:rsidRPr="009E1A90">
              <w:rPr>
                <w:rFonts w:eastAsia="SimSun"/>
              </w:rPr>
              <w:t xml:space="preserve"> </w:t>
            </w:r>
            <w:r w:rsidRPr="009E1A90">
              <w:rPr>
                <w:rFonts w:eastAsia="SimSun"/>
              </w:rPr>
              <w:t xml:space="preserve">and underlines that prompt and sustained action is required by </w:t>
            </w:r>
            <w:r w:rsidR="008E6A6A" w:rsidRPr="009E1A90">
              <w:rPr>
                <w:rFonts w:eastAsia="SimSun"/>
              </w:rPr>
              <w:t xml:space="preserve">the Government </w:t>
            </w:r>
            <w:r w:rsidRPr="009E1A90">
              <w:rPr>
                <w:rFonts w:eastAsia="SimSun"/>
              </w:rPr>
              <w:t>in the next phase to ensure compliance with human rights standards.</w:t>
            </w:r>
          </w:p>
        </w:tc>
      </w:tr>
      <w:tr w:rsidR="00A341A0" w:rsidRPr="009E1A90" w:rsidTr="00064BB4">
        <w:trPr>
          <w:jc w:val="center"/>
        </w:trPr>
        <w:tc>
          <w:tcPr>
            <w:tcW w:w="9637" w:type="dxa"/>
            <w:shd w:val="clear" w:color="auto" w:fill="auto"/>
          </w:tcPr>
          <w:p w:rsidR="00A341A0" w:rsidRPr="009E1A90" w:rsidRDefault="00A341A0" w:rsidP="00064BB4">
            <w:pPr>
              <w:rPr>
                <w:rFonts w:eastAsia="SimSun"/>
              </w:rPr>
            </w:pPr>
          </w:p>
        </w:tc>
      </w:tr>
    </w:tbl>
    <w:p w:rsidR="009A26C4" w:rsidRPr="009E1A90" w:rsidRDefault="003A3F75" w:rsidP="009A26C4">
      <w:pPr>
        <w:pStyle w:val="HChG"/>
      </w:pPr>
      <w:r w:rsidRPr="009E1A90">
        <w:rPr>
          <w:color w:val="FF0000"/>
        </w:rPr>
        <w:br w:type="page"/>
      </w:r>
      <w:r w:rsidR="009A26C4" w:rsidRPr="009E1A90">
        <w:lastRenderedPageBreak/>
        <w:t>Annex</w:t>
      </w:r>
    </w:p>
    <w:p w:rsidR="009A26C4" w:rsidRPr="009E1A90" w:rsidRDefault="009A26C4" w:rsidP="00BB0282">
      <w:pPr>
        <w:ind w:right="1134"/>
        <w:jc w:val="right"/>
      </w:pPr>
      <w:r w:rsidRPr="009E1A90">
        <w:rPr>
          <w:i/>
        </w:rPr>
        <w:t>[English only</w:t>
      </w:r>
      <w:r w:rsidRPr="009E1A90">
        <w:t>]</w:t>
      </w:r>
    </w:p>
    <w:p w:rsidR="002F1D94" w:rsidRPr="009E1A90" w:rsidRDefault="002F1D94" w:rsidP="006248E1">
      <w:pPr>
        <w:pStyle w:val="HChG"/>
      </w:pPr>
      <w:r w:rsidRPr="009E1A90">
        <w:tab/>
      </w:r>
      <w:r w:rsidRPr="009E1A90">
        <w:tab/>
        <w:t xml:space="preserve">Report of the Working Group on Arbitrary Detention </w:t>
      </w:r>
      <w:r w:rsidR="00F0213B" w:rsidRPr="009E1A90">
        <w:br/>
      </w:r>
      <w:r w:rsidRPr="009E1A90">
        <w:t xml:space="preserve">on its </w:t>
      </w:r>
      <w:r w:rsidR="00BD38BC" w:rsidRPr="009E1A90">
        <w:t xml:space="preserve">follow-up </w:t>
      </w:r>
      <w:r w:rsidRPr="009E1A90">
        <w:t xml:space="preserve">visit to </w:t>
      </w:r>
      <w:r w:rsidR="00BD38BC" w:rsidRPr="009E1A90">
        <w:t xml:space="preserve">Italy </w:t>
      </w:r>
      <w:r w:rsidR="002C2C87" w:rsidRPr="009E1A90">
        <w:t>(</w:t>
      </w:r>
      <w:r w:rsidR="00F31249" w:rsidRPr="009E1A90">
        <w:t>7</w:t>
      </w:r>
      <w:r w:rsidR="008E6A6A" w:rsidRPr="009E1A90">
        <w:t>–</w:t>
      </w:r>
      <w:r w:rsidR="00BD38BC" w:rsidRPr="009E1A90">
        <w:t xml:space="preserve">9 July </w:t>
      </w:r>
      <w:r w:rsidR="00F31249" w:rsidRPr="009E1A90">
        <w:t>2014</w:t>
      </w:r>
      <w:r w:rsidR="002C2C87" w:rsidRPr="009E1A90">
        <w:t>)</w:t>
      </w:r>
    </w:p>
    <w:p w:rsidR="00A56DE8" w:rsidRPr="009E1A90" w:rsidRDefault="002B0FBE" w:rsidP="005815C5">
      <w:pPr>
        <w:pStyle w:val="HChG"/>
      </w:pPr>
      <w:r w:rsidRPr="009E1A90">
        <w:tab/>
        <w:t>I.</w:t>
      </w:r>
      <w:r w:rsidRPr="009E1A90">
        <w:tab/>
        <w:t>Introduction</w:t>
      </w:r>
    </w:p>
    <w:p w:rsidR="00BD38BC" w:rsidRPr="009E1A90" w:rsidRDefault="009E1A90" w:rsidP="009E1A90">
      <w:pPr>
        <w:pStyle w:val="SingleTxtG"/>
        <w:suppressAutoHyphens w:val="0"/>
        <w:rPr>
          <w:color w:val="000000"/>
          <w:lang w:eastAsia="en-GB"/>
        </w:rPr>
      </w:pPr>
      <w:r w:rsidRPr="009E1A90">
        <w:rPr>
          <w:color w:val="000000"/>
          <w:lang w:eastAsia="en-GB"/>
        </w:rPr>
        <w:t>1.</w:t>
      </w:r>
      <w:r w:rsidRPr="009E1A90">
        <w:rPr>
          <w:color w:val="000000"/>
          <w:lang w:eastAsia="en-GB"/>
        </w:rPr>
        <w:tab/>
      </w:r>
      <w:r w:rsidR="00BD38BC" w:rsidRPr="009E1A90">
        <w:t>The Working Group on Arbitrary Detention conducted a follow-up visit to Italy from 7 to 9 July 2014, at the invitation of the Government</w:t>
      </w:r>
      <w:r w:rsidR="008630AE" w:rsidRPr="009E1A90">
        <w:t xml:space="preserve"> of Italy</w:t>
      </w:r>
      <w:r w:rsidR="00BD38BC" w:rsidRPr="009E1A90">
        <w:t>. The</w:t>
      </w:r>
      <w:r w:rsidR="00426177" w:rsidRPr="009E1A90">
        <w:t xml:space="preserve"> purpose of the visit was to evaluate the progress made by the Government with respect to the implementation of recommendations </w:t>
      </w:r>
      <w:r w:rsidR="00EA368F" w:rsidRPr="009E1A90">
        <w:rPr>
          <w:rFonts w:eastAsia="SimSun"/>
        </w:rPr>
        <w:t xml:space="preserve">contained in </w:t>
      </w:r>
      <w:r w:rsidR="00426177" w:rsidRPr="009E1A90">
        <w:t>the Working Group’s report following its visit to Italy</w:t>
      </w:r>
      <w:r w:rsidR="00830929" w:rsidRPr="009E1A90">
        <w:t xml:space="preserve"> from 3 to 14 November 2008</w:t>
      </w:r>
      <w:r w:rsidR="00192D0D" w:rsidRPr="009E1A90">
        <w:t xml:space="preserve"> (</w:t>
      </w:r>
      <w:r w:rsidR="00192D0D" w:rsidRPr="009E1A90">
        <w:rPr>
          <w:spacing w:val="3"/>
        </w:rPr>
        <w:t>A/HRC/10/21/Add.5)</w:t>
      </w:r>
      <w:r w:rsidR="00426177" w:rsidRPr="009E1A90">
        <w:t xml:space="preserve">. The </w:t>
      </w:r>
      <w:r w:rsidR="00BD38BC" w:rsidRPr="009E1A90">
        <w:t xml:space="preserve">Working Group is grateful to the Government for this invitation to conduct </w:t>
      </w:r>
      <w:r w:rsidR="00830929" w:rsidRPr="009E1A90">
        <w:t xml:space="preserve">a </w:t>
      </w:r>
      <w:r w:rsidR="00BD38BC" w:rsidRPr="009E1A90">
        <w:t xml:space="preserve">follow-up </w:t>
      </w:r>
      <w:r w:rsidR="00830929" w:rsidRPr="009E1A90">
        <w:t xml:space="preserve">visit </w:t>
      </w:r>
      <w:r w:rsidR="00BD38BC" w:rsidRPr="009E1A90">
        <w:t>and emphasizes that it constitutes a good practice and an example for other States to follow.</w:t>
      </w:r>
    </w:p>
    <w:p w:rsidR="00BD38BC" w:rsidRPr="009E1A90" w:rsidRDefault="009E1A90" w:rsidP="009E1A90">
      <w:pPr>
        <w:pStyle w:val="SingleTxtG"/>
        <w:suppressAutoHyphens w:val="0"/>
        <w:rPr>
          <w:color w:val="000000"/>
          <w:lang w:eastAsia="en-GB"/>
        </w:rPr>
      </w:pPr>
      <w:r w:rsidRPr="009E1A90">
        <w:rPr>
          <w:color w:val="000000"/>
          <w:lang w:eastAsia="en-GB"/>
        </w:rPr>
        <w:t>2.</w:t>
      </w:r>
      <w:r w:rsidRPr="009E1A90">
        <w:rPr>
          <w:color w:val="000000"/>
          <w:lang w:eastAsia="en-GB"/>
        </w:rPr>
        <w:tab/>
      </w:r>
      <w:r w:rsidR="00BD38BC" w:rsidRPr="009E1A90">
        <w:t xml:space="preserve">During the visit, the Working Group met with various officials from different </w:t>
      </w:r>
      <w:r w:rsidR="00830929" w:rsidRPr="009E1A90">
        <w:t>g</w:t>
      </w:r>
      <w:r w:rsidR="00BD38BC" w:rsidRPr="009E1A90">
        <w:t>overnment agencies, including with the Under-Secretary of State of the Ministry of Foreign Affairs</w:t>
      </w:r>
      <w:r w:rsidR="0095067D" w:rsidRPr="009E1A90">
        <w:t xml:space="preserve">, </w:t>
      </w:r>
      <w:r w:rsidR="00BD38BC" w:rsidRPr="009E1A90">
        <w:t>the Under-Secretary of State and officials of the Ministry of the Interior</w:t>
      </w:r>
      <w:r w:rsidR="0095067D" w:rsidRPr="009E1A90">
        <w:t xml:space="preserve">, </w:t>
      </w:r>
      <w:r w:rsidR="00BD38BC" w:rsidRPr="009E1A90">
        <w:t>officials from the Ministries of Justice and Health</w:t>
      </w:r>
      <w:r w:rsidR="0095067D" w:rsidRPr="009E1A90">
        <w:t xml:space="preserve"> </w:t>
      </w:r>
      <w:r w:rsidR="00EA368F" w:rsidRPr="009E1A90">
        <w:t xml:space="preserve">and </w:t>
      </w:r>
      <w:r w:rsidR="0095067D" w:rsidRPr="009E1A90">
        <w:t xml:space="preserve">representatives of the </w:t>
      </w:r>
      <w:proofErr w:type="spellStart"/>
      <w:r w:rsidR="0095067D" w:rsidRPr="009E1A90">
        <w:t>Inter</w:t>
      </w:r>
      <w:r w:rsidR="00EA368F" w:rsidRPr="009E1A90">
        <w:t>m</w:t>
      </w:r>
      <w:r w:rsidR="0095067D" w:rsidRPr="009E1A90">
        <w:t>inisterial</w:t>
      </w:r>
      <w:proofErr w:type="spellEnd"/>
      <w:r w:rsidR="0095067D" w:rsidRPr="009E1A90">
        <w:t xml:space="preserve"> Committee on Human Rights</w:t>
      </w:r>
      <w:r w:rsidR="00BD38BC" w:rsidRPr="009E1A90">
        <w:t xml:space="preserve">. The Working Group also had meetings with the </w:t>
      </w:r>
      <w:r w:rsidR="0095067D" w:rsidRPr="009E1A90">
        <w:t>First President of the Court of Cassation, representatives of the Constitutional Court</w:t>
      </w:r>
      <w:r w:rsidR="00C95AE2" w:rsidRPr="009E1A90">
        <w:t>, the</w:t>
      </w:r>
      <w:r w:rsidR="0095067D" w:rsidRPr="009E1A90">
        <w:t xml:space="preserve"> </w:t>
      </w:r>
      <w:r w:rsidR="00BD38BC" w:rsidRPr="009E1A90">
        <w:t>Chair of the Parliamentarian Committee of Human Rights of the Chamber of Deputies</w:t>
      </w:r>
      <w:r w:rsidR="00C95AE2" w:rsidRPr="009E1A90">
        <w:t xml:space="preserve"> </w:t>
      </w:r>
      <w:r w:rsidR="00EA368F" w:rsidRPr="009E1A90">
        <w:t xml:space="preserve">and </w:t>
      </w:r>
      <w:r w:rsidR="00BD38BC" w:rsidRPr="009E1A90">
        <w:t>representatives of the Parliamentarian Senate</w:t>
      </w:r>
      <w:r w:rsidR="0095067D" w:rsidRPr="009E1A90">
        <w:t xml:space="preserve">. </w:t>
      </w:r>
      <w:r w:rsidR="00BD38BC" w:rsidRPr="009E1A90">
        <w:t xml:space="preserve">The Working Group </w:t>
      </w:r>
      <w:r w:rsidR="00EA368F" w:rsidRPr="009E1A90">
        <w:t xml:space="preserve">also met with </w:t>
      </w:r>
      <w:r w:rsidR="00BD38BC" w:rsidRPr="009E1A90">
        <w:t>representatives of United Nations agencies</w:t>
      </w:r>
      <w:r w:rsidR="00EA368F" w:rsidRPr="009E1A90">
        <w:t>, for example,</w:t>
      </w:r>
      <w:r w:rsidR="00BD38BC" w:rsidRPr="009E1A90">
        <w:t xml:space="preserve"> </w:t>
      </w:r>
      <w:r w:rsidR="00EA368F" w:rsidRPr="009E1A90">
        <w:t xml:space="preserve">the International Organization for Migration </w:t>
      </w:r>
      <w:r w:rsidR="00BD38BC" w:rsidRPr="009E1A90">
        <w:t>(IOM)</w:t>
      </w:r>
      <w:r w:rsidR="00EA368F" w:rsidRPr="009E1A90">
        <w:t>,</w:t>
      </w:r>
      <w:r w:rsidR="00BD38BC" w:rsidRPr="009E1A90">
        <w:t xml:space="preserve"> and of civil society organizations. </w:t>
      </w:r>
      <w:r w:rsidR="00C95AE2" w:rsidRPr="009E1A90">
        <w:t>T</w:t>
      </w:r>
      <w:r w:rsidR="00BD38BC" w:rsidRPr="009E1A90">
        <w:t xml:space="preserve">he Working Group </w:t>
      </w:r>
      <w:r w:rsidR="00EA368F" w:rsidRPr="009E1A90">
        <w:t xml:space="preserve">further </w:t>
      </w:r>
      <w:r w:rsidR="00BD38BC" w:rsidRPr="009E1A90">
        <w:t xml:space="preserve">met with the </w:t>
      </w:r>
      <w:r w:rsidR="001060A9" w:rsidRPr="009E1A90">
        <w:t xml:space="preserve">Prefect </w:t>
      </w:r>
      <w:r w:rsidR="00C95AE2" w:rsidRPr="009E1A90">
        <w:t>on the island of Sicily.</w:t>
      </w:r>
    </w:p>
    <w:p w:rsidR="00A7431F" w:rsidRPr="009E1A90" w:rsidRDefault="009E1A90" w:rsidP="009E1A90">
      <w:pPr>
        <w:pStyle w:val="SingleTxtG"/>
        <w:suppressAutoHyphens w:val="0"/>
      </w:pPr>
      <w:r w:rsidRPr="009E1A90">
        <w:t>3.</w:t>
      </w:r>
      <w:r w:rsidRPr="009E1A90">
        <w:tab/>
      </w:r>
      <w:r w:rsidR="00BD38BC" w:rsidRPr="009E1A90">
        <w:t xml:space="preserve">The Working Group would like to thank the Government for its openness and availability for meetings, and particularly </w:t>
      </w:r>
      <w:r w:rsidR="00EA368F" w:rsidRPr="009E1A90">
        <w:t xml:space="preserve">the </w:t>
      </w:r>
      <w:proofErr w:type="spellStart"/>
      <w:r w:rsidR="00EA368F" w:rsidRPr="009E1A90">
        <w:t>Interministerial</w:t>
      </w:r>
      <w:proofErr w:type="spellEnd"/>
      <w:r w:rsidR="00EA368F" w:rsidRPr="009E1A90">
        <w:t xml:space="preserve"> Committee on Human Rights</w:t>
      </w:r>
      <w:r w:rsidR="00BD38BC" w:rsidRPr="009E1A90">
        <w:t xml:space="preserve"> for </w:t>
      </w:r>
      <w:r w:rsidR="008630AE" w:rsidRPr="009E1A90">
        <w:t xml:space="preserve">its </w:t>
      </w:r>
      <w:r w:rsidR="00BD38BC" w:rsidRPr="009E1A90">
        <w:t xml:space="preserve">support. </w:t>
      </w:r>
      <w:r w:rsidR="008630AE" w:rsidRPr="009E1A90">
        <w:t>In Palermo and Trapani o</w:t>
      </w:r>
      <w:r w:rsidR="00C95AE2" w:rsidRPr="009E1A90">
        <w:t xml:space="preserve">n the island of Sicily, the Working Group visited places where persons </w:t>
      </w:r>
      <w:r w:rsidR="008630AE" w:rsidRPr="009E1A90">
        <w:t xml:space="preserve">were </w:t>
      </w:r>
      <w:r w:rsidR="00C95AE2" w:rsidRPr="009E1A90">
        <w:t xml:space="preserve">deprived of their liberty. </w:t>
      </w:r>
      <w:r w:rsidR="00BD38BC" w:rsidRPr="009E1A90">
        <w:t>The Working Group expresses its gratitude</w:t>
      </w:r>
      <w:r w:rsidR="00C95AE2" w:rsidRPr="009E1A90">
        <w:t xml:space="preserve"> to the Government </w:t>
      </w:r>
      <w:r w:rsidR="00BD38BC" w:rsidRPr="009E1A90">
        <w:t>for allowing the delegation unimpeded access to places of detention</w:t>
      </w:r>
      <w:r w:rsidR="00C95AE2" w:rsidRPr="009E1A90">
        <w:t xml:space="preserve"> and to conduct private and confidential interviews with detainees of its choice</w:t>
      </w:r>
      <w:r w:rsidR="00BD38BC" w:rsidRPr="009E1A90">
        <w:t>, in accordance with the terms of reference for fact-finding missions by special procedures mandate holders.</w:t>
      </w:r>
    </w:p>
    <w:p w:rsidR="00426177" w:rsidRPr="009E1A90" w:rsidRDefault="009E1A90" w:rsidP="009E1A90">
      <w:pPr>
        <w:pStyle w:val="SingleTxtG"/>
        <w:suppressAutoHyphens w:val="0"/>
      </w:pPr>
      <w:r w:rsidRPr="009E1A90">
        <w:t>4.</w:t>
      </w:r>
      <w:r w:rsidRPr="009E1A90">
        <w:tab/>
      </w:r>
      <w:r w:rsidR="00426177" w:rsidRPr="009E1A90">
        <w:t xml:space="preserve">The Working Group shared its preliminary findings with the Government at the close of the follow-up visit. On </w:t>
      </w:r>
      <w:r w:rsidR="00C95AE2" w:rsidRPr="009E1A90">
        <w:t xml:space="preserve">17 April </w:t>
      </w:r>
      <w:r w:rsidR="00426177" w:rsidRPr="009E1A90">
        <w:t xml:space="preserve">2015, it sent an advance preliminary version of the present report to the Government. </w:t>
      </w:r>
    </w:p>
    <w:p w:rsidR="001819A8" w:rsidRPr="009E1A90" w:rsidRDefault="00A56DE8" w:rsidP="00192D0D">
      <w:pPr>
        <w:pStyle w:val="HChG"/>
        <w:rPr>
          <w:szCs w:val="28"/>
        </w:rPr>
      </w:pPr>
      <w:r w:rsidRPr="009E1A90">
        <w:tab/>
        <w:t>I</w:t>
      </w:r>
      <w:r w:rsidR="00A7431F" w:rsidRPr="009E1A90">
        <w:t>I</w:t>
      </w:r>
      <w:r w:rsidRPr="009E1A90">
        <w:t>.</w:t>
      </w:r>
      <w:r w:rsidRPr="009E1A90">
        <w:tab/>
      </w:r>
      <w:r w:rsidR="001819A8" w:rsidRPr="009E1A90">
        <w:t xml:space="preserve">Status of the implementation of </w:t>
      </w:r>
      <w:r w:rsidR="00192D0D" w:rsidRPr="009E1A90">
        <w:t xml:space="preserve">the </w:t>
      </w:r>
      <w:r w:rsidR="001819A8" w:rsidRPr="009E1A90">
        <w:t>recommendations contained in the report on the 2008 visit of the Working Group to Italy</w:t>
      </w:r>
      <w:r w:rsidR="00BD2921" w:rsidRPr="009E1A90">
        <w:rPr>
          <w:szCs w:val="28"/>
        </w:rPr>
        <w:t xml:space="preserve"> </w:t>
      </w:r>
      <w:r w:rsidR="001819A8" w:rsidRPr="009E1A90">
        <w:rPr>
          <w:szCs w:val="28"/>
        </w:rPr>
        <w:t>(</w:t>
      </w:r>
      <w:r w:rsidR="001819A8" w:rsidRPr="009E1A90">
        <w:rPr>
          <w:szCs w:val="28"/>
          <w:lang w:eastAsia="en-GB"/>
        </w:rPr>
        <w:t>A/HRC/10/21/Add.5)</w:t>
      </w:r>
    </w:p>
    <w:p w:rsidR="001819A8" w:rsidRPr="009E1A90" w:rsidRDefault="009E1A90" w:rsidP="009E1A90">
      <w:pPr>
        <w:pStyle w:val="SingleTxtG"/>
        <w:suppressAutoHyphens w:val="0"/>
        <w:rPr>
          <w:spacing w:val="3"/>
        </w:rPr>
      </w:pPr>
      <w:r w:rsidRPr="009E1A90">
        <w:rPr>
          <w:spacing w:val="3"/>
        </w:rPr>
        <w:t>5.</w:t>
      </w:r>
      <w:r w:rsidRPr="009E1A90">
        <w:rPr>
          <w:spacing w:val="3"/>
        </w:rPr>
        <w:tab/>
      </w:r>
      <w:r w:rsidR="00E92EBD" w:rsidRPr="009E1A90">
        <w:rPr>
          <w:spacing w:val="3"/>
        </w:rPr>
        <w:t xml:space="preserve">An </w:t>
      </w:r>
      <w:r w:rsidR="001819A8" w:rsidRPr="009E1A90">
        <w:rPr>
          <w:spacing w:val="3"/>
        </w:rPr>
        <w:t xml:space="preserve">analysis </w:t>
      </w:r>
      <w:r w:rsidR="00E92EBD" w:rsidRPr="009E1A90">
        <w:rPr>
          <w:spacing w:val="3"/>
        </w:rPr>
        <w:t xml:space="preserve">is presented below </w:t>
      </w:r>
      <w:r w:rsidR="001819A8" w:rsidRPr="009E1A90">
        <w:rPr>
          <w:spacing w:val="3"/>
        </w:rPr>
        <w:t xml:space="preserve">of the implementation of the recommendations made </w:t>
      </w:r>
      <w:r w:rsidR="00E92EBD" w:rsidRPr="009E1A90">
        <w:rPr>
          <w:spacing w:val="3"/>
        </w:rPr>
        <w:t xml:space="preserve">in paragraphs 111 to 124 of the report of </w:t>
      </w:r>
      <w:r w:rsidR="001819A8" w:rsidRPr="009E1A90">
        <w:rPr>
          <w:spacing w:val="3"/>
        </w:rPr>
        <w:t xml:space="preserve">the Working Group </w:t>
      </w:r>
      <w:r w:rsidR="00192D0D" w:rsidRPr="009E1A90">
        <w:t>following its visit to Italy from 3 to 14 November 2008</w:t>
      </w:r>
      <w:r w:rsidR="001819A8" w:rsidRPr="009E1A90">
        <w:rPr>
          <w:spacing w:val="3"/>
        </w:rPr>
        <w:t>.</w:t>
      </w:r>
    </w:p>
    <w:p w:rsidR="00B37140" w:rsidRPr="009E1A90" w:rsidRDefault="00DC6C5E" w:rsidP="006248E1">
      <w:pPr>
        <w:pStyle w:val="H1G"/>
      </w:pPr>
      <w:r w:rsidRPr="009E1A90">
        <w:lastRenderedPageBreak/>
        <w:tab/>
        <w:t>A.</w:t>
      </w:r>
      <w:r w:rsidRPr="009E1A90">
        <w:tab/>
      </w:r>
      <w:r w:rsidR="005F192F" w:rsidRPr="009E1A90">
        <w:t>Length of criminal proceedings and excessive recourse</w:t>
      </w:r>
      <w:r w:rsidR="008C0B9E" w:rsidRPr="009E1A90">
        <w:br/>
      </w:r>
      <w:r w:rsidR="005F192F" w:rsidRPr="009E1A90">
        <w:t xml:space="preserve">to </w:t>
      </w:r>
      <w:proofErr w:type="spellStart"/>
      <w:r w:rsidR="005F192F" w:rsidRPr="009E1A90">
        <w:t>p</w:t>
      </w:r>
      <w:r w:rsidR="00B37140" w:rsidRPr="009E1A90">
        <w:t>retrial</w:t>
      </w:r>
      <w:proofErr w:type="spellEnd"/>
      <w:r w:rsidR="005F192F" w:rsidRPr="009E1A90">
        <w:t xml:space="preserve"> detention</w:t>
      </w:r>
    </w:p>
    <w:p w:rsidR="00D65A56" w:rsidRPr="009E1A90" w:rsidRDefault="009E1A90" w:rsidP="009E1A90">
      <w:pPr>
        <w:pStyle w:val="SingleTxtG"/>
        <w:suppressAutoHyphens w:val="0"/>
      </w:pPr>
      <w:r w:rsidRPr="009E1A90">
        <w:t>6.</w:t>
      </w:r>
      <w:r w:rsidRPr="009E1A90">
        <w:tab/>
      </w:r>
      <w:r w:rsidR="00D65A56" w:rsidRPr="009E1A90">
        <w:t xml:space="preserve">In its 2008 report, the Working Group noted that, although safeguards against illegal detention in the Italian criminal justice system were numerous and robust, situations of arbitrary detention could result from the unreasonable length of criminal proceedings and from excessive recourse to remand detention. </w:t>
      </w:r>
    </w:p>
    <w:p w:rsidR="00806D14" w:rsidRPr="009E1A90" w:rsidRDefault="009E1A90" w:rsidP="009E1A90">
      <w:pPr>
        <w:pStyle w:val="SingleTxtG"/>
        <w:suppressAutoHyphens w:val="0"/>
        <w:spacing w:line="240" w:lineRule="auto"/>
      </w:pPr>
      <w:r w:rsidRPr="009E1A90">
        <w:t>7.</w:t>
      </w:r>
      <w:r w:rsidRPr="009E1A90">
        <w:tab/>
      </w:r>
      <w:r w:rsidR="00D65A56" w:rsidRPr="009E1A90">
        <w:t xml:space="preserve">In its follow-up replies to the country visit report, the Government informed the Working Group of </w:t>
      </w:r>
      <w:r w:rsidR="00D32DA2" w:rsidRPr="009E1A90">
        <w:t>a number of recent regulatory changes designed to limit the use of remand in custody. Such measures include Act</w:t>
      </w:r>
      <w:r w:rsidR="00666352" w:rsidRPr="009E1A90">
        <w:t xml:space="preserve"> No. </w:t>
      </w:r>
      <w:r w:rsidR="00D32DA2" w:rsidRPr="009E1A90">
        <w:t>9/2012, adopted with the aim of reducing prison overcrowding; Law-Decree</w:t>
      </w:r>
      <w:r w:rsidR="00666352" w:rsidRPr="009E1A90">
        <w:t xml:space="preserve"> No. </w:t>
      </w:r>
      <w:r w:rsidR="00D32DA2" w:rsidRPr="009E1A90">
        <w:t>78/2013, as converted into law by Act</w:t>
      </w:r>
      <w:r w:rsidR="00666352" w:rsidRPr="009E1A90">
        <w:t xml:space="preserve"> No. </w:t>
      </w:r>
      <w:r w:rsidR="00D32DA2" w:rsidRPr="009E1A90">
        <w:t xml:space="preserve">94/2013, whereby the </w:t>
      </w:r>
      <w:r w:rsidR="00E92EBD" w:rsidRPr="009E1A90">
        <w:t xml:space="preserve">required </w:t>
      </w:r>
      <w:r w:rsidR="00D32DA2" w:rsidRPr="009E1A90">
        <w:t>limit</w:t>
      </w:r>
      <w:r w:rsidR="00E92EBD" w:rsidRPr="009E1A90">
        <w:t xml:space="preserve"> </w:t>
      </w:r>
      <w:r w:rsidR="00D32DA2" w:rsidRPr="009E1A90">
        <w:t>for the applicability of the precautionary measure of custody in prison was raised from 4 to 5 years; Act</w:t>
      </w:r>
      <w:r w:rsidR="00666352" w:rsidRPr="009E1A90">
        <w:t xml:space="preserve"> No. </w:t>
      </w:r>
      <w:r w:rsidR="00D32DA2" w:rsidRPr="009E1A90">
        <w:t>199/2010</w:t>
      </w:r>
      <w:r w:rsidR="00E92EBD" w:rsidRPr="009E1A90">
        <w:t>,</w:t>
      </w:r>
      <w:r w:rsidR="00D32DA2" w:rsidRPr="009E1A90">
        <w:t xml:space="preserve"> which introduced a new regulation aimed at enforcing prison sentences in premises </w:t>
      </w:r>
      <w:r w:rsidR="00E92EBD" w:rsidRPr="009E1A90">
        <w:t xml:space="preserve">other than </w:t>
      </w:r>
      <w:r w:rsidR="00D32DA2" w:rsidRPr="009E1A90">
        <w:t xml:space="preserve">prison </w:t>
      </w:r>
      <w:r w:rsidR="00E92EBD" w:rsidRPr="009E1A90">
        <w:t>facilities,</w:t>
      </w:r>
      <w:r w:rsidR="00D32DA2" w:rsidRPr="009E1A90">
        <w:t xml:space="preserve"> i.e. </w:t>
      </w:r>
      <w:r w:rsidR="00E92EBD" w:rsidRPr="009E1A90">
        <w:t xml:space="preserve">the </w:t>
      </w:r>
      <w:r w:rsidR="00D32DA2" w:rsidRPr="009E1A90">
        <w:t xml:space="preserve">home of the offender or other public or private care </w:t>
      </w:r>
      <w:r w:rsidR="00E92EBD" w:rsidRPr="009E1A90">
        <w:t>c</w:t>
      </w:r>
      <w:r w:rsidR="00D32DA2" w:rsidRPr="009E1A90">
        <w:t>entres falling within the definition of residence and abode</w:t>
      </w:r>
      <w:r w:rsidR="002C45D3" w:rsidRPr="009E1A90">
        <w:t>; and Law-Decree No.</w:t>
      </w:r>
      <w:r w:rsidR="00666352" w:rsidRPr="009E1A90">
        <w:t> </w:t>
      </w:r>
      <w:r w:rsidR="002C45D3" w:rsidRPr="009E1A90">
        <w:t>146/2013</w:t>
      </w:r>
      <w:r w:rsidR="00E92EBD" w:rsidRPr="009E1A90">
        <w:t>,</w:t>
      </w:r>
      <w:r w:rsidR="002C45D3" w:rsidRPr="009E1A90">
        <w:t xml:space="preserve"> which provides for, inter alia</w:t>
      </w:r>
      <w:r w:rsidR="00E92EBD" w:rsidRPr="009E1A90">
        <w:t>,</w:t>
      </w:r>
      <w:r w:rsidR="002C45D3" w:rsidRPr="009E1A90">
        <w:t xml:space="preserve"> a </w:t>
      </w:r>
      <w:r w:rsidR="00E92EBD" w:rsidRPr="009E1A90">
        <w:t>s</w:t>
      </w:r>
      <w:r w:rsidR="002C45D3" w:rsidRPr="009E1A90">
        <w:t xml:space="preserve">pecial </w:t>
      </w:r>
      <w:r w:rsidR="00E92EBD" w:rsidRPr="009E1A90">
        <w:t>e</w:t>
      </w:r>
      <w:r w:rsidR="002C45D3" w:rsidRPr="009E1A90">
        <w:t xml:space="preserve">arly </w:t>
      </w:r>
      <w:r w:rsidR="00E92EBD" w:rsidRPr="009E1A90">
        <w:t>r</w:t>
      </w:r>
      <w:r w:rsidR="002C45D3" w:rsidRPr="009E1A90">
        <w:t>elease</w:t>
      </w:r>
      <w:r w:rsidR="0002674A" w:rsidRPr="009E1A90">
        <w:t>.</w:t>
      </w:r>
      <w:r w:rsidR="002C45D3" w:rsidRPr="009E1A90">
        <w:t xml:space="preserve"> </w:t>
      </w:r>
      <w:r w:rsidR="0002674A" w:rsidRPr="009E1A90">
        <w:t xml:space="preserve">Recently, Law No. 47/15 </w:t>
      </w:r>
      <w:r w:rsidR="00806D14" w:rsidRPr="009E1A90">
        <w:t>entered in force</w:t>
      </w:r>
      <w:r w:rsidR="0002674A" w:rsidRPr="009E1A90">
        <w:t>,</w:t>
      </w:r>
      <w:r w:rsidR="00806D14" w:rsidRPr="009E1A90">
        <w:t xml:space="preserve"> </w:t>
      </w:r>
      <w:r w:rsidR="0002674A" w:rsidRPr="009E1A90">
        <w:t xml:space="preserve">by which </w:t>
      </w:r>
      <w:r w:rsidR="00806D14" w:rsidRPr="009E1A90">
        <w:t>several amendments into the Criminal Procedure Code and the Penitentiary Act (Law</w:t>
      </w:r>
      <w:r w:rsidR="00666352" w:rsidRPr="009E1A90">
        <w:t xml:space="preserve"> No. </w:t>
      </w:r>
      <w:r w:rsidR="00806D14" w:rsidRPr="009E1A90">
        <w:t xml:space="preserve">354/1975), the most important of which are the following: </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r w:rsidR="00666352" w:rsidRPr="009E1A90">
        <w:rPr>
          <w:lang w:val="en-GB"/>
        </w:rPr>
        <w:t>I</w:t>
      </w:r>
      <w:r w:rsidR="00806D14" w:rsidRPr="009E1A90">
        <w:rPr>
          <w:lang w:val="en-GB"/>
        </w:rPr>
        <w:t xml:space="preserve">n case of risk of absconding or </w:t>
      </w:r>
      <w:r w:rsidR="00C515D8" w:rsidRPr="009E1A90">
        <w:rPr>
          <w:lang w:val="en-GB"/>
        </w:rPr>
        <w:t>recidivism</w:t>
      </w:r>
      <w:r w:rsidR="00806D14" w:rsidRPr="009E1A90">
        <w:rPr>
          <w:lang w:val="en-GB"/>
        </w:rPr>
        <w:t>, the precautionary measures can be applied only when the risk is current and concrete</w:t>
      </w:r>
      <w:r w:rsidR="00C515D8" w:rsidRPr="009E1A90">
        <w:rPr>
          <w:lang w:val="en-GB"/>
        </w:rPr>
        <w:t>;</w:t>
      </w:r>
      <w:r w:rsidR="00806D14" w:rsidRPr="009E1A90">
        <w:rPr>
          <w:lang w:val="en-GB"/>
        </w:rPr>
        <w:t xml:space="preserve"> </w:t>
      </w:r>
      <w:r w:rsidR="00C515D8" w:rsidRPr="009E1A90">
        <w:rPr>
          <w:lang w:val="en-GB"/>
        </w:rPr>
        <w:t>t</w:t>
      </w:r>
      <w:r w:rsidR="00806D14" w:rsidRPr="009E1A90">
        <w:rPr>
          <w:lang w:val="en-GB"/>
        </w:rPr>
        <w:t>he risk cannot be presumed from the seriousness</w:t>
      </w:r>
      <w:r w:rsidR="00F13069" w:rsidRPr="009E1A90">
        <w:rPr>
          <w:lang w:val="en-GB"/>
        </w:rPr>
        <w:t xml:space="preserve"> </w:t>
      </w:r>
      <w:r w:rsidR="00806D14" w:rsidRPr="009E1A90">
        <w:rPr>
          <w:lang w:val="en-GB"/>
        </w:rPr>
        <w:t>or the type of the crime</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proofErr w:type="spellStart"/>
      <w:r w:rsidR="00666352" w:rsidRPr="009E1A90">
        <w:rPr>
          <w:lang w:val="en-GB"/>
        </w:rPr>
        <w:t>P</w:t>
      </w:r>
      <w:r w:rsidR="00806D14" w:rsidRPr="009E1A90">
        <w:rPr>
          <w:lang w:val="en-GB"/>
        </w:rPr>
        <w:t>retrial</w:t>
      </w:r>
      <w:proofErr w:type="spellEnd"/>
      <w:r w:rsidR="00806D14" w:rsidRPr="009E1A90">
        <w:rPr>
          <w:lang w:val="en-GB"/>
        </w:rPr>
        <w:t xml:space="preserve"> detention can be ordered only when other measures, coercive or precautionary, are not adequate</w:t>
      </w:r>
      <w:r w:rsidR="00C515D8" w:rsidRPr="009E1A90">
        <w:rPr>
          <w:lang w:val="en-GB"/>
        </w:rPr>
        <w:t>;</w:t>
      </w:r>
      <w:r w:rsidR="00806D14" w:rsidRPr="009E1A90">
        <w:rPr>
          <w:lang w:val="en-GB"/>
        </w:rPr>
        <w:t xml:space="preserve"> </w:t>
      </w:r>
      <w:r w:rsidR="00C515D8" w:rsidRPr="009E1A90">
        <w:rPr>
          <w:lang w:val="en-GB"/>
        </w:rPr>
        <w:t>i</w:t>
      </w:r>
      <w:r w:rsidR="00806D14" w:rsidRPr="009E1A90">
        <w:rPr>
          <w:lang w:val="en-GB"/>
        </w:rPr>
        <w:t>t is possible to apply both coercive and precautionary measures at the same time</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r w:rsidR="00666352" w:rsidRPr="009E1A90">
        <w:rPr>
          <w:lang w:val="en-GB"/>
        </w:rPr>
        <w:t>T</w:t>
      </w:r>
      <w:r w:rsidR="00806D14" w:rsidRPr="009E1A90">
        <w:rPr>
          <w:lang w:val="en-GB"/>
        </w:rPr>
        <w:t xml:space="preserve">he judge must not </w:t>
      </w:r>
      <w:r w:rsidR="00C515D8" w:rsidRPr="009E1A90">
        <w:rPr>
          <w:lang w:val="en-GB"/>
        </w:rPr>
        <w:t xml:space="preserve">assess whether </w:t>
      </w:r>
      <w:r w:rsidR="00806D14" w:rsidRPr="009E1A90">
        <w:rPr>
          <w:lang w:val="en-GB"/>
        </w:rPr>
        <w:t xml:space="preserve">it is possible to apply alternative measures instead of </w:t>
      </w:r>
      <w:proofErr w:type="spellStart"/>
      <w:r w:rsidR="00806D14" w:rsidRPr="009E1A90">
        <w:rPr>
          <w:lang w:val="en-GB"/>
        </w:rPr>
        <w:t>pretrial</w:t>
      </w:r>
      <w:proofErr w:type="spellEnd"/>
      <w:r w:rsidR="00806D14" w:rsidRPr="009E1A90">
        <w:rPr>
          <w:lang w:val="en-GB"/>
        </w:rPr>
        <w:t xml:space="preserve"> detention when the proceeding concerns seditious conspiracy</w:t>
      </w:r>
      <w:r w:rsidR="00C515D8" w:rsidRPr="009E1A90">
        <w:rPr>
          <w:lang w:val="en-GB"/>
        </w:rPr>
        <w:t>,</w:t>
      </w:r>
      <w:r w:rsidR="00806D14" w:rsidRPr="009E1A90">
        <w:rPr>
          <w:lang w:val="en-GB"/>
        </w:rPr>
        <w:t xml:space="preserve"> terroristic conspiracy </w:t>
      </w:r>
      <w:r w:rsidR="00C515D8" w:rsidRPr="009E1A90">
        <w:rPr>
          <w:lang w:val="en-GB"/>
        </w:rPr>
        <w:t xml:space="preserve">or </w:t>
      </w:r>
      <w:r w:rsidR="00806D14" w:rsidRPr="009E1A90">
        <w:rPr>
          <w:lang w:val="en-GB"/>
        </w:rPr>
        <w:t>mafia conspiracy</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r w:rsidR="00666352" w:rsidRPr="009E1A90">
        <w:rPr>
          <w:lang w:val="en-GB"/>
        </w:rPr>
        <w:t>W</w:t>
      </w:r>
      <w:r w:rsidR="00806D14" w:rsidRPr="009E1A90">
        <w:rPr>
          <w:lang w:val="en-GB"/>
        </w:rPr>
        <w:t xml:space="preserve">hen the judge orders </w:t>
      </w:r>
      <w:proofErr w:type="spellStart"/>
      <w:r w:rsidR="00806D14" w:rsidRPr="009E1A90">
        <w:rPr>
          <w:lang w:val="en-GB"/>
        </w:rPr>
        <w:t>pretrial</w:t>
      </w:r>
      <w:proofErr w:type="spellEnd"/>
      <w:r w:rsidR="00806D14" w:rsidRPr="009E1A90">
        <w:rPr>
          <w:lang w:val="en-GB"/>
        </w:rPr>
        <w:t xml:space="preserve"> detention, he must indicate the specific reasons for which house arrest </w:t>
      </w:r>
      <w:r w:rsidR="00C515D8" w:rsidRPr="009E1A90">
        <w:rPr>
          <w:lang w:val="en-GB"/>
        </w:rPr>
        <w:t xml:space="preserve">or </w:t>
      </w:r>
      <w:r w:rsidR="00806D14" w:rsidRPr="009E1A90">
        <w:rPr>
          <w:lang w:val="en-GB"/>
        </w:rPr>
        <w:t>electronic tag are not to be granted in the case</w:t>
      </w:r>
      <w:r w:rsidR="00C515D8" w:rsidRPr="009E1A90">
        <w:rPr>
          <w:lang w:val="en-GB"/>
        </w:rPr>
        <w:t xml:space="preserve"> in question</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r w:rsidR="00666352" w:rsidRPr="009E1A90">
        <w:rPr>
          <w:lang w:val="en-GB"/>
        </w:rPr>
        <w:t>W</w:t>
      </w:r>
      <w:r w:rsidR="00806D14" w:rsidRPr="009E1A90">
        <w:rPr>
          <w:lang w:val="en-GB"/>
        </w:rPr>
        <w:t xml:space="preserve">hen the accused breaches house arrest, the judge </w:t>
      </w:r>
      <w:r w:rsidR="00C515D8" w:rsidRPr="009E1A90">
        <w:rPr>
          <w:lang w:val="en-GB"/>
        </w:rPr>
        <w:t xml:space="preserve">can </w:t>
      </w:r>
      <w:r w:rsidR="00806D14" w:rsidRPr="009E1A90">
        <w:rPr>
          <w:lang w:val="en-GB"/>
        </w:rPr>
        <w:t>order the withdrawal of the house arrest</w:t>
      </w:r>
      <w:r w:rsidR="00C515D8" w:rsidRPr="009E1A90">
        <w:rPr>
          <w:lang w:val="en-GB"/>
        </w:rPr>
        <w:t>,</w:t>
      </w:r>
      <w:r w:rsidR="00F13069" w:rsidRPr="009E1A90">
        <w:rPr>
          <w:lang w:val="en-GB"/>
        </w:rPr>
        <w:t xml:space="preserve"> </w:t>
      </w:r>
      <w:r w:rsidR="00806D14" w:rsidRPr="009E1A90">
        <w:rPr>
          <w:lang w:val="en-GB"/>
        </w:rPr>
        <w:t>except in cases of lesser relevance</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r w:rsidR="00666352" w:rsidRPr="009E1A90">
        <w:rPr>
          <w:lang w:val="en-GB"/>
        </w:rPr>
        <w:t>S</w:t>
      </w:r>
      <w:r w:rsidR="00806D14" w:rsidRPr="009E1A90">
        <w:rPr>
          <w:lang w:val="en-GB"/>
        </w:rPr>
        <w:t xml:space="preserve">trict rules have been adopted regarding both the </w:t>
      </w:r>
      <w:proofErr w:type="spellStart"/>
      <w:r w:rsidR="00806D14" w:rsidRPr="009E1A90">
        <w:rPr>
          <w:lang w:val="en-GB"/>
        </w:rPr>
        <w:t>pretrial</w:t>
      </w:r>
      <w:proofErr w:type="spellEnd"/>
      <w:r w:rsidR="00806D14" w:rsidRPr="009E1A90">
        <w:rPr>
          <w:lang w:val="en-GB"/>
        </w:rPr>
        <w:t xml:space="preserve"> detention motivations and the deadlines for taking a decision by the Court of </w:t>
      </w:r>
      <w:r w:rsidR="00C515D8" w:rsidRPr="009E1A90">
        <w:rPr>
          <w:lang w:val="en-GB"/>
        </w:rPr>
        <w:t>R</w:t>
      </w:r>
      <w:r w:rsidR="00806D14" w:rsidRPr="009E1A90">
        <w:rPr>
          <w:lang w:val="en-GB"/>
        </w:rPr>
        <w:t>eview</w:t>
      </w:r>
      <w:r w:rsidR="00C515D8" w:rsidRPr="009E1A90">
        <w:rPr>
          <w:lang w:val="en-GB"/>
        </w:rPr>
        <w:t>;</w:t>
      </w:r>
      <w:r w:rsidR="00806D14" w:rsidRPr="009E1A90">
        <w:rPr>
          <w:lang w:val="en-GB"/>
        </w:rPr>
        <w:t xml:space="preserve"> if such requirements are not respected</w:t>
      </w:r>
      <w:r w:rsidR="00C515D8" w:rsidRPr="009E1A90">
        <w:rPr>
          <w:lang w:val="en-GB"/>
        </w:rPr>
        <w:t>,</w:t>
      </w:r>
      <w:r w:rsidR="00806D14" w:rsidRPr="009E1A90">
        <w:rPr>
          <w:lang w:val="en-GB"/>
        </w:rPr>
        <w:t xml:space="preserve"> the </w:t>
      </w:r>
      <w:proofErr w:type="spellStart"/>
      <w:r w:rsidR="00806D14" w:rsidRPr="009E1A90">
        <w:rPr>
          <w:lang w:val="en-GB"/>
        </w:rPr>
        <w:t>pretrial</w:t>
      </w:r>
      <w:proofErr w:type="spellEnd"/>
      <w:r w:rsidR="00806D14" w:rsidRPr="009E1A90">
        <w:rPr>
          <w:lang w:val="en-GB"/>
        </w:rPr>
        <w:t xml:space="preserve"> detention loses effectiveness</w:t>
      </w:r>
    </w:p>
    <w:p w:rsidR="00806D14" w:rsidRPr="009E1A90" w:rsidRDefault="009E1A90" w:rsidP="009E1A90">
      <w:pPr>
        <w:pStyle w:val="Bullet1G"/>
        <w:numPr>
          <w:ilvl w:val="0"/>
          <w:numId w:val="0"/>
        </w:numPr>
        <w:tabs>
          <w:tab w:val="left" w:pos="1701"/>
        </w:tabs>
        <w:ind w:left="1701" w:hanging="170"/>
        <w:rPr>
          <w:lang w:val="en-GB"/>
        </w:rPr>
      </w:pPr>
      <w:r w:rsidRPr="009E1A90">
        <w:rPr>
          <w:lang w:val="en-GB"/>
        </w:rPr>
        <w:t>•</w:t>
      </w:r>
      <w:r w:rsidRPr="009E1A90">
        <w:rPr>
          <w:lang w:val="en-GB"/>
        </w:rPr>
        <w:tab/>
      </w:r>
      <w:r w:rsidR="00666352" w:rsidRPr="009E1A90">
        <w:rPr>
          <w:lang w:val="en-GB"/>
        </w:rPr>
        <w:t>T</w:t>
      </w:r>
      <w:r w:rsidR="00806D14" w:rsidRPr="009E1A90">
        <w:rPr>
          <w:lang w:val="en-GB"/>
        </w:rPr>
        <w:t>he right of detainees to receive visitors has been extended to seriously handicapped sons</w:t>
      </w:r>
      <w:r w:rsidR="00C515D8" w:rsidRPr="009E1A90">
        <w:rPr>
          <w:lang w:val="en-GB"/>
        </w:rPr>
        <w:t xml:space="preserve"> or </w:t>
      </w:r>
      <w:r w:rsidR="00806D14" w:rsidRPr="009E1A90">
        <w:rPr>
          <w:lang w:val="en-GB"/>
        </w:rPr>
        <w:t>daughters, in addition to sons</w:t>
      </w:r>
      <w:r w:rsidR="00C515D8" w:rsidRPr="009E1A90">
        <w:rPr>
          <w:lang w:val="en-GB"/>
        </w:rPr>
        <w:t xml:space="preserve"> or </w:t>
      </w:r>
      <w:r w:rsidR="00806D14" w:rsidRPr="009E1A90">
        <w:rPr>
          <w:lang w:val="en-GB"/>
        </w:rPr>
        <w:t>daughters who</w:t>
      </w:r>
      <w:r w:rsidR="00C515D8" w:rsidRPr="009E1A90">
        <w:rPr>
          <w:lang w:val="en-GB"/>
        </w:rPr>
        <w:t>se</w:t>
      </w:r>
      <w:r w:rsidR="00806D14" w:rsidRPr="009E1A90">
        <w:rPr>
          <w:lang w:val="en-GB"/>
        </w:rPr>
        <w:t xml:space="preserve"> </w:t>
      </w:r>
      <w:r w:rsidR="00C515D8" w:rsidRPr="009E1A90">
        <w:rPr>
          <w:lang w:val="en-GB"/>
        </w:rPr>
        <w:t xml:space="preserve">lives </w:t>
      </w:r>
      <w:r w:rsidR="00806D14" w:rsidRPr="009E1A90">
        <w:rPr>
          <w:lang w:val="en-GB"/>
        </w:rPr>
        <w:t xml:space="preserve">are in danger or </w:t>
      </w:r>
      <w:r w:rsidR="00C515D8" w:rsidRPr="009E1A90">
        <w:rPr>
          <w:lang w:val="en-GB"/>
        </w:rPr>
        <w:t xml:space="preserve">who are </w:t>
      </w:r>
      <w:r w:rsidR="00806D14" w:rsidRPr="009E1A90">
        <w:rPr>
          <w:lang w:val="en-GB"/>
        </w:rPr>
        <w:t xml:space="preserve">affected by </w:t>
      </w:r>
      <w:r w:rsidR="00C515D8" w:rsidRPr="009E1A90">
        <w:rPr>
          <w:lang w:val="en-GB"/>
        </w:rPr>
        <w:t xml:space="preserve">a </w:t>
      </w:r>
      <w:r w:rsidR="00806D14" w:rsidRPr="009E1A90">
        <w:rPr>
          <w:lang w:val="en-GB"/>
        </w:rPr>
        <w:t xml:space="preserve">serious </w:t>
      </w:r>
      <w:r w:rsidR="00C515D8" w:rsidRPr="009E1A90">
        <w:rPr>
          <w:lang w:val="en-GB"/>
        </w:rPr>
        <w:t>illness</w:t>
      </w:r>
    </w:p>
    <w:p w:rsidR="00D65A56" w:rsidRPr="009E1A90" w:rsidRDefault="009E1A90" w:rsidP="009E1A90">
      <w:pPr>
        <w:pStyle w:val="SingleTxtG"/>
        <w:suppressAutoHyphens w:val="0"/>
      </w:pPr>
      <w:r w:rsidRPr="009E1A90">
        <w:t>8.</w:t>
      </w:r>
      <w:r w:rsidRPr="009E1A90">
        <w:tab/>
      </w:r>
      <w:r w:rsidR="005E0C7B" w:rsidRPr="009E1A90">
        <w:t>Legislative Decree</w:t>
      </w:r>
      <w:r w:rsidR="00666352" w:rsidRPr="009E1A90">
        <w:t xml:space="preserve"> No. </w:t>
      </w:r>
      <w:r w:rsidR="005E0C7B" w:rsidRPr="009E1A90">
        <w:t>28/2015, implementing</w:t>
      </w:r>
      <w:r w:rsidR="00F13069" w:rsidRPr="009E1A90">
        <w:t xml:space="preserve"> </w:t>
      </w:r>
      <w:r w:rsidR="005E0C7B" w:rsidRPr="009E1A90">
        <w:t>Law</w:t>
      </w:r>
      <w:r w:rsidR="00666352" w:rsidRPr="009E1A90">
        <w:t xml:space="preserve"> No. </w:t>
      </w:r>
      <w:r w:rsidR="005E0C7B" w:rsidRPr="009E1A90">
        <w:t xml:space="preserve">67/2014, added </w:t>
      </w:r>
      <w:r w:rsidR="00204674" w:rsidRPr="009E1A90">
        <w:t>article </w:t>
      </w:r>
      <w:r w:rsidR="005E0C7B" w:rsidRPr="009E1A90">
        <w:t>131</w:t>
      </w:r>
      <w:r w:rsidR="008C0B9E" w:rsidRPr="009E1A90">
        <w:t> </w:t>
      </w:r>
      <w:proofErr w:type="spellStart"/>
      <w:r w:rsidR="005E0C7B" w:rsidRPr="009E1A90">
        <w:t>bis</w:t>
      </w:r>
      <w:proofErr w:type="spellEnd"/>
      <w:r w:rsidR="005E0C7B" w:rsidRPr="009E1A90">
        <w:t xml:space="preserve"> to the Criminal Code. This </w:t>
      </w:r>
      <w:r w:rsidR="00204674" w:rsidRPr="009E1A90">
        <w:t>article</w:t>
      </w:r>
      <w:r w:rsidR="0081517F" w:rsidRPr="009E1A90">
        <w:t xml:space="preserve"> </w:t>
      </w:r>
      <w:r w:rsidR="005E0C7B" w:rsidRPr="009E1A90">
        <w:t>establishes that the defendant cannot be punished if the maximum penalty for the crime does not exceed five years of imprisonment</w:t>
      </w:r>
      <w:r w:rsidR="00F13069" w:rsidRPr="009E1A90">
        <w:t xml:space="preserve"> </w:t>
      </w:r>
      <w:r w:rsidR="005E0C7B" w:rsidRPr="009E1A90">
        <w:t>and the judge considers the committed actions not socially dangerous, because the offense is not</w:t>
      </w:r>
      <w:r w:rsidR="00F13069" w:rsidRPr="009E1A90">
        <w:t xml:space="preserve"> </w:t>
      </w:r>
      <w:r w:rsidR="005E0C7B" w:rsidRPr="009E1A90">
        <w:t>serious and the defendant’s behavio</w:t>
      </w:r>
      <w:r w:rsidR="0081517F" w:rsidRPr="009E1A90">
        <w:t>u</w:t>
      </w:r>
      <w:r w:rsidR="005E0C7B" w:rsidRPr="009E1A90">
        <w:t>r is not persistent.</w:t>
      </w:r>
      <w:r w:rsidR="00F13069" w:rsidRPr="009E1A90">
        <w:t xml:space="preserve"> </w:t>
      </w:r>
      <w:r w:rsidR="005E0C7B" w:rsidRPr="009E1A90">
        <w:t>The Government pointed out that Law</w:t>
      </w:r>
      <w:r w:rsidR="00666352" w:rsidRPr="009E1A90">
        <w:t xml:space="preserve"> No. </w:t>
      </w:r>
      <w:r w:rsidR="005E0C7B" w:rsidRPr="009E1A90">
        <w:t>117/2014, which converted Law-Decree</w:t>
      </w:r>
      <w:r w:rsidR="00666352" w:rsidRPr="009E1A90">
        <w:t xml:space="preserve"> No. </w:t>
      </w:r>
      <w:r w:rsidR="005E0C7B" w:rsidRPr="009E1A90">
        <w:t xml:space="preserve">92/2014, introduced several exceptions to the general rule of the exclusion of the </w:t>
      </w:r>
      <w:proofErr w:type="spellStart"/>
      <w:r w:rsidR="005E0C7B" w:rsidRPr="009E1A90">
        <w:t>pretrial</w:t>
      </w:r>
      <w:proofErr w:type="spellEnd"/>
      <w:r w:rsidR="005E0C7B" w:rsidRPr="009E1A90">
        <w:t xml:space="preserve"> detention when the established penalty does not exceed three years of imprisonment. In fact, the judge cannot apply such a general rule when </w:t>
      </w:r>
      <w:r w:rsidR="0081517F" w:rsidRPr="009E1A90">
        <w:t>(a) </w:t>
      </w:r>
      <w:r w:rsidR="005E0C7B" w:rsidRPr="009E1A90">
        <w:t xml:space="preserve">the crimes concerned are domestic violence or stalking; </w:t>
      </w:r>
      <w:r w:rsidR="0081517F" w:rsidRPr="009E1A90">
        <w:t>(b) </w:t>
      </w:r>
      <w:r w:rsidR="005E0C7B" w:rsidRPr="009E1A90">
        <w:t>other grave crimes are concerned</w:t>
      </w:r>
      <w:r w:rsidR="0081517F" w:rsidRPr="009E1A90">
        <w:t>,</w:t>
      </w:r>
      <w:r w:rsidR="005E0C7B" w:rsidRPr="009E1A90">
        <w:t xml:space="preserve"> as established in </w:t>
      </w:r>
      <w:r w:rsidR="00204674" w:rsidRPr="009E1A90">
        <w:t>article </w:t>
      </w:r>
      <w:r w:rsidR="005E0C7B" w:rsidRPr="009E1A90">
        <w:t>4</w:t>
      </w:r>
      <w:r w:rsidR="005E0C7B" w:rsidRPr="009E1A90">
        <w:rPr>
          <w:i/>
          <w:iCs/>
        </w:rPr>
        <w:t xml:space="preserve"> </w:t>
      </w:r>
      <w:proofErr w:type="spellStart"/>
      <w:r w:rsidR="005E0C7B" w:rsidRPr="009E1A90">
        <w:t>bis</w:t>
      </w:r>
      <w:proofErr w:type="spellEnd"/>
      <w:r w:rsidR="005E0C7B" w:rsidRPr="009E1A90">
        <w:rPr>
          <w:i/>
          <w:iCs/>
        </w:rPr>
        <w:t xml:space="preserve"> </w:t>
      </w:r>
      <w:r w:rsidR="005E0C7B" w:rsidRPr="009E1A90">
        <w:t>of Law</w:t>
      </w:r>
      <w:r w:rsidR="00666352" w:rsidRPr="009E1A90">
        <w:t xml:space="preserve"> No. </w:t>
      </w:r>
      <w:r w:rsidR="005E0C7B" w:rsidRPr="009E1A90">
        <w:t xml:space="preserve">354/195; </w:t>
      </w:r>
      <w:r w:rsidR="0081517F" w:rsidRPr="009E1A90">
        <w:t>(c) </w:t>
      </w:r>
      <w:r w:rsidR="005E0C7B" w:rsidRPr="009E1A90">
        <w:t>when</w:t>
      </w:r>
      <w:r w:rsidR="0081517F" w:rsidRPr="009E1A90">
        <w:t>,</w:t>
      </w:r>
      <w:r w:rsidR="005E0C7B" w:rsidRPr="009E1A90">
        <w:t xml:space="preserve"> according to the advice of the judge</w:t>
      </w:r>
      <w:r w:rsidR="0081517F" w:rsidRPr="009E1A90">
        <w:t>,</w:t>
      </w:r>
      <w:r w:rsidR="005E0C7B" w:rsidRPr="009E1A90">
        <w:t xml:space="preserve"> all</w:t>
      </w:r>
      <w:r w:rsidR="00F13069" w:rsidRPr="009E1A90">
        <w:t xml:space="preserve"> </w:t>
      </w:r>
      <w:r w:rsidR="005E0C7B" w:rsidRPr="009E1A90">
        <w:t>other precautionary measures are inadequate</w:t>
      </w:r>
      <w:r w:rsidR="0081517F" w:rsidRPr="009E1A90">
        <w:t>;</w:t>
      </w:r>
      <w:r w:rsidR="005E0C7B" w:rsidRPr="009E1A90">
        <w:t xml:space="preserve"> and </w:t>
      </w:r>
      <w:r w:rsidR="0081517F" w:rsidRPr="009E1A90">
        <w:lastRenderedPageBreak/>
        <w:t>(d) </w:t>
      </w:r>
      <w:r w:rsidR="005E0C7B" w:rsidRPr="009E1A90">
        <w:t>when there is not an adequate domicile to allow</w:t>
      </w:r>
      <w:r w:rsidR="00F13069" w:rsidRPr="009E1A90">
        <w:t xml:space="preserve"> </w:t>
      </w:r>
      <w:r w:rsidR="005E0C7B" w:rsidRPr="009E1A90">
        <w:t>house arrest.</w:t>
      </w:r>
      <w:r w:rsidR="00F13069" w:rsidRPr="009E1A90">
        <w:t xml:space="preserve"> </w:t>
      </w:r>
      <w:r w:rsidR="00D32DA2" w:rsidRPr="009E1A90">
        <w:t xml:space="preserve">The Working Group also notes with interest that </w:t>
      </w:r>
      <w:r w:rsidR="00082890" w:rsidRPr="009E1A90">
        <w:t xml:space="preserve">a </w:t>
      </w:r>
      <w:r w:rsidR="00D65A56" w:rsidRPr="009E1A90">
        <w:t xml:space="preserve">draft law on </w:t>
      </w:r>
      <w:r w:rsidR="0081517F" w:rsidRPr="009E1A90">
        <w:t>a</w:t>
      </w:r>
      <w:r w:rsidR="00D65A56" w:rsidRPr="009E1A90">
        <w:t>mendments to the Code of Criminal Procedure relating to appeal</w:t>
      </w:r>
      <w:r w:rsidR="0081517F" w:rsidRPr="009E1A90">
        <w:t>s</w:t>
      </w:r>
      <w:r w:rsidR="00D65A56" w:rsidRPr="009E1A90">
        <w:t xml:space="preserve"> to the Court of Cassation (</w:t>
      </w:r>
      <w:r w:rsidR="0081517F" w:rsidRPr="009E1A90">
        <w:t xml:space="preserve">third </w:t>
      </w:r>
      <w:r w:rsidR="00D65A56" w:rsidRPr="009E1A90">
        <w:t>level of adjudication) was submitted to the Chamber of Deputies in</w:t>
      </w:r>
      <w:r w:rsidR="00082890" w:rsidRPr="009E1A90">
        <w:t xml:space="preserve"> March 2013</w:t>
      </w:r>
      <w:r w:rsidR="00D65A56" w:rsidRPr="009E1A90">
        <w:t xml:space="preserve"> </w:t>
      </w:r>
      <w:r w:rsidR="00082890" w:rsidRPr="009E1A90">
        <w:t xml:space="preserve">in </w:t>
      </w:r>
      <w:r w:rsidR="00D65A56" w:rsidRPr="009E1A90">
        <w:t xml:space="preserve">order to ensure the principle of reasonable duration of the criminal proceedings. </w:t>
      </w:r>
    </w:p>
    <w:p w:rsidR="00D65A56" w:rsidRPr="009E1A90" w:rsidRDefault="009E1A90" w:rsidP="009E1A90">
      <w:pPr>
        <w:pStyle w:val="SingleTxtG"/>
        <w:suppressAutoHyphens w:val="0"/>
      </w:pPr>
      <w:r w:rsidRPr="009E1A90">
        <w:t>9.</w:t>
      </w:r>
      <w:r w:rsidRPr="009E1A90">
        <w:tab/>
      </w:r>
      <w:r w:rsidR="002C45D3" w:rsidRPr="009E1A90">
        <w:t>According to t</w:t>
      </w:r>
      <w:r w:rsidR="00082890" w:rsidRPr="009E1A90">
        <w:t>he Government</w:t>
      </w:r>
      <w:r w:rsidR="002C45D3" w:rsidRPr="009E1A90">
        <w:t xml:space="preserve">, </w:t>
      </w:r>
      <w:r w:rsidR="00D65A56" w:rsidRPr="009E1A90">
        <w:t>preventive custody in prison</w:t>
      </w:r>
      <w:r w:rsidR="00082890" w:rsidRPr="009E1A90">
        <w:t xml:space="preserve"> is taken as a</w:t>
      </w:r>
      <w:r w:rsidR="00D65A56" w:rsidRPr="009E1A90">
        <w:t xml:space="preserve"> measure </w:t>
      </w:r>
      <w:r w:rsidR="00082890" w:rsidRPr="009E1A90">
        <w:t xml:space="preserve">of </w:t>
      </w:r>
      <w:r w:rsidR="00D65A56" w:rsidRPr="009E1A90">
        <w:t>last resort (</w:t>
      </w:r>
      <w:r w:rsidR="00995473" w:rsidRPr="009E1A90">
        <w:t>a</w:t>
      </w:r>
      <w:r w:rsidR="0063294C" w:rsidRPr="009E1A90">
        <w:t>rt. </w:t>
      </w:r>
      <w:r w:rsidR="00D65A56" w:rsidRPr="009E1A90">
        <w:t xml:space="preserve">275, </w:t>
      </w:r>
      <w:r w:rsidR="0063294C" w:rsidRPr="009E1A90">
        <w:t>para. </w:t>
      </w:r>
      <w:r w:rsidR="00D65A56" w:rsidRPr="009E1A90">
        <w:t>3, of the Criminal Proce</w:t>
      </w:r>
      <w:r w:rsidR="00082890" w:rsidRPr="009E1A90">
        <w:t xml:space="preserve">dure </w:t>
      </w:r>
      <w:r w:rsidR="00D65A56" w:rsidRPr="009E1A90">
        <w:t xml:space="preserve">Code) under the strict circumstances provided for in </w:t>
      </w:r>
      <w:r w:rsidR="00995473" w:rsidRPr="009E1A90">
        <w:t>a</w:t>
      </w:r>
      <w:r w:rsidR="0063294C" w:rsidRPr="009E1A90">
        <w:t>rt. </w:t>
      </w:r>
      <w:proofErr w:type="gramStart"/>
      <w:r w:rsidR="00D65A56" w:rsidRPr="009E1A90">
        <w:t>273 of the Criminal Proce</w:t>
      </w:r>
      <w:r w:rsidR="00082890" w:rsidRPr="009E1A90">
        <w:t xml:space="preserve">dure </w:t>
      </w:r>
      <w:r w:rsidR="00D65A56" w:rsidRPr="009E1A90">
        <w:t>Code</w:t>
      </w:r>
      <w:r w:rsidR="00082890" w:rsidRPr="009E1A90">
        <w:t>.</w:t>
      </w:r>
      <w:proofErr w:type="gramEnd"/>
      <w:r w:rsidR="00082890" w:rsidRPr="009E1A90">
        <w:t xml:space="preserve"> P</w:t>
      </w:r>
      <w:r w:rsidR="00D65A56" w:rsidRPr="009E1A90">
        <w:t xml:space="preserve">reventive custody in prison can be imposed only as a last resort if there is clear and convincing evidence of a serious offence. However, preventive custody is not permitted for pregnant women, single parents of children under the age of 3, persons over the age of 70 or those who are seriously ill. </w:t>
      </w:r>
    </w:p>
    <w:p w:rsidR="00077EA6" w:rsidRPr="009E1A90" w:rsidRDefault="009E1A90" w:rsidP="009E1A90">
      <w:pPr>
        <w:pStyle w:val="SingleTxtG"/>
        <w:suppressAutoHyphens w:val="0"/>
      </w:pPr>
      <w:r w:rsidRPr="009E1A90">
        <w:t>10.</w:t>
      </w:r>
      <w:r w:rsidRPr="009E1A90">
        <w:tab/>
      </w:r>
      <w:r w:rsidR="003809C7" w:rsidRPr="009E1A90">
        <w:t xml:space="preserve">In the course of its visit, the Working Group was encouraged by the open and rights-based dialogue in the legislative, executive and judicial branches on issues of arbitrary detention. It was also informed of further </w:t>
      </w:r>
      <w:r w:rsidR="00082890" w:rsidRPr="009E1A90">
        <w:t>measures undertaken by the Government to implement its recommendations.</w:t>
      </w:r>
      <w:r w:rsidR="00F13069" w:rsidRPr="009E1A90">
        <w:t xml:space="preserve"> </w:t>
      </w:r>
    </w:p>
    <w:p w:rsidR="00082890" w:rsidRPr="009E1A90" w:rsidRDefault="009E1A90" w:rsidP="009E1A90">
      <w:pPr>
        <w:pStyle w:val="SingleTxtG"/>
        <w:suppressAutoHyphens w:val="0"/>
      </w:pPr>
      <w:r w:rsidRPr="009E1A90">
        <w:t>11.</w:t>
      </w:r>
      <w:r w:rsidRPr="009E1A90">
        <w:tab/>
      </w:r>
      <w:r w:rsidR="00077EA6" w:rsidRPr="009E1A90">
        <w:t xml:space="preserve">Such positive measures </w:t>
      </w:r>
      <w:r w:rsidR="00082890" w:rsidRPr="009E1A90">
        <w:t xml:space="preserve">include the recent reforms </w:t>
      </w:r>
      <w:r w:rsidR="0093230C" w:rsidRPr="009E1A90">
        <w:t xml:space="preserve">to reduce </w:t>
      </w:r>
      <w:r w:rsidR="00082890" w:rsidRPr="009E1A90">
        <w:t xml:space="preserve">the length of sentences, overcrowding in the penitentiary establishments and the use of </w:t>
      </w:r>
      <w:proofErr w:type="spellStart"/>
      <w:r w:rsidR="00082890" w:rsidRPr="009E1A90">
        <w:t>pretrial</w:t>
      </w:r>
      <w:proofErr w:type="spellEnd"/>
      <w:r w:rsidR="00082890" w:rsidRPr="009E1A90">
        <w:t xml:space="preserve"> detention. According to </w:t>
      </w:r>
      <w:r w:rsidR="00204674" w:rsidRPr="009E1A90">
        <w:t>article </w:t>
      </w:r>
      <w:r w:rsidR="00082890" w:rsidRPr="009E1A90">
        <w:t xml:space="preserve">8 of </w:t>
      </w:r>
      <w:proofErr w:type="spellStart"/>
      <w:r w:rsidR="00082890" w:rsidRPr="009E1A90">
        <w:t>Decreto</w:t>
      </w:r>
      <w:proofErr w:type="spellEnd"/>
      <w:r w:rsidR="00082890" w:rsidRPr="009E1A90">
        <w:t xml:space="preserve"> </w:t>
      </w:r>
      <w:proofErr w:type="spellStart"/>
      <w:r w:rsidR="00082890" w:rsidRPr="009E1A90">
        <w:t>legge</w:t>
      </w:r>
      <w:proofErr w:type="spellEnd"/>
      <w:r w:rsidR="00082890" w:rsidRPr="009E1A90">
        <w:t xml:space="preserve"> 92/2014, </w:t>
      </w:r>
      <w:proofErr w:type="spellStart"/>
      <w:r w:rsidR="00082890" w:rsidRPr="009E1A90">
        <w:t>pretrial</w:t>
      </w:r>
      <w:proofErr w:type="spellEnd"/>
      <w:r w:rsidR="00082890" w:rsidRPr="009E1A90">
        <w:t xml:space="preserve"> detention cannot be applied in cases where the judge considers that the defendant, if found guilty, </w:t>
      </w:r>
      <w:r w:rsidR="0093230C" w:rsidRPr="009E1A90">
        <w:t xml:space="preserve">would </w:t>
      </w:r>
      <w:r w:rsidR="00082890" w:rsidRPr="009E1A90">
        <w:t xml:space="preserve">be sentenced to three years or less or given a suspended sentence. The Working Group is of the view that this would reduce the inappropriate use of </w:t>
      </w:r>
      <w:proofErr w:type="spellStart"/>
      <w:r w:rsidR="00082890" w:rsidRPr="009E1A90">
        <w:t>pretrial</w:t>
      </w:r>
      <w:proofErr w:type="spellEnd"/>
      <w:r w:rsidR="00082890" w:rsidRPr="009E1A90">
        <w:t xml:space="preserve"> detention as a penalty. </w:t>
      </w:r>
    </w:p>
    <w:p w:rsidR="00082890" w:rsidRPr="009E1A90" w:rsidRDefault="009E1A90" w:rsidP="009E1A90">
      <w:pPr>
        <w:pStyle w:val="SingleTxtG"/>
        <w:suppressAutoHyphens w:val="0"/>
      </w:pPr>
      <w:r w:rsidRPr="009E1A90">
        <w:t>12.</w:t>
      </w:r>
      <w:r w:rsidRPr="009E1A90">
        <w:tab/>
      </w:r>
      <w:r w:rsidR="00082890" w:rsidRPr="009E1A90">
        <w:t>The Working Group also notes the positive measures in the criminal justice system,</w:t>
      </w:r>
      <w:r w:rsidR="00F13069" w:rsidRPr="009E1A90">
        <w:t xml:space="preserve"> </w:t>
      </w:r>
      <w:r w:rsidR="00082890" w:rsidRPr="009E1A90">
        <w:t>including the Constitutional Court’s judg</w:t>
      </w:r>
      <w:r w:rsidR="0093230C" w:rsidRPr="009E1A90">
        <w:t>e</w:t>
      </w:r>
      <w:r w:rsidR="00082890" w:rsidRPr="009E1A90">
        <w:t xml:space="preserve">ment </w:t>
      </w:r>
      <w:r w:rsidR="0093230C" w:rsidRPr="009E1A90">
        <w:t xml:space="preserve">to relax </w:t>
      </w:r>
      <w:r w:rsidR="00082890" w:rsidRPr="009E1A90">
        <w:t>the indiscriminately higher penalties for minor drugs offences</w:t>
      </w:r>
      <w:r w:rsidR="0093230C" w:rsidRPr="009E1A90">
        <w:t>,</w:t>
      </w:r>
      <w:r w:rsidR="00082890" w:rsidRPr="009E1A90">
        <w:t xml:space="preserve"> which, followed by recent legislation, </w:t>
      </w:r>
      <w:r w:rsidR="0093230C" w:rsidRPr="009E1A90">
        <w:t xml:space="preserve">have given </w:t>
      </w:r>
      <w:r w:rsidR="00082890" w:rsidRPr="009E1A90">
        <w:t>effect to the requirement of proportionality</w:t>
      </w:r>
      <w:r w:rsidR="0093230C" w:rsidRPr="009E1A90">
        <w:t>,</w:t>
      </w:r>
      <w:r w:rsidR="00082890" w:rsidRPr="009E1A90">
        <w:t xml:space="preserve"> as stated in international human rights law. The same applies to the relaxation of the disproportionate penalties for repeat offenders or recidivists.</w:t>
      </w:r>
      <w:r w:rsidR="00F13069" w:rsidRPr="009E1A90">
        <w:t xml:space="preserve"> </w:t>
      </w:r>
    </w:p>
    <w:p w:rsidR="00C64443" w:rsidRPr="009E1A90" w:rsidRDefault="009E1A90" w:rsidP="009E1A90">
      <w:pPr>
        <w:pStyle w:val="SingleTxtG"/>
        <w:suppressAutoHyphens w:val="0"/>
      </w:pPr>
      <w:r w:rsidRPr="009E1A90">
        <w:t>13.</w:t>
      </w:r>
      <w:r w:rsidRPr="009E1A90">
        <w:tab/>
      </w:r>
      <w:r w:rsidR="00972AE1" w:rsidRPr="009E1A90">
        <w:t xml:space="preserve">Notwithstanding these positive measures, the Working Group remains concerned with regard to the high number of </w:t>
      </w:r>
      <w:proofErr w:type="spellStart"/>
      <w:r w:rsidR="00972AE1" w:rsidRPr="009E1A90">
        <w:t>pretrial</w:t>
      </w:r>
      <w:proofErr w:type="spellEnd"/>
      <w:r w:rsidR="00972AE1" w:rsidRPr="009E1A90">
        <w:t xml:space="preserve"> detainees.</w:t>
      </w:r>
      <w:r w:rsidR="00E84405" w:rsidRPr="009E1A90">
        <w:t xml:space="preserve"> A large number of people are remanded in custody after being charged instead of being released on bail. Figures before the Working Group indicate that </w:t>
      </w:r>
      <w:proofErr w:type="spellStart"/>
      <w:r w:rsidR="00E84405" w:rsidRPr="009E1A90">
        <w:t>pretrial</w:t>
      </w:r>
      <w:proofErr w:type="spellEnd"/>
      <w:r w:rsidR="00E84405" w:rsidRPr="009E1A90">
        <w:t xml:space="preserve"> detainees make up approximately 40 per</w:t>
      </w:r>
      <w:r w:rsidR="00830929" w:rsidRPr="009E1A90">
        <w:t xml:space="preserve"> </w:t>
      </w:r>
      <w:r w:rsidR="00E84405" w:rsidRPr="009E1A90">
        <w:t xml:space="preserve">cent of the prison population. </w:t>
      </w:r>
      <w:r w:rsidR="00C64443" w:rsidRPr="009E1A90">
        <w:t xml:space="preserve">In this respect, the Italian authorities indicated that </w:t>
      </w:r>
      <w:r w:rsidR="0093230C" w:rsidRPr="009E1A90">
        <w:t xml:space="preserve">the </w:t>
      </w:r>
      <w:r w:rsidR="00C64443" w:rsidRPr="009E1A90">
        <w:t xml:space="preserve">statistics </w:t>
      </w:r>
      <w:r w:rsidR="0093230C" w:rsidRPr="009E1A90">
        <w:t xml:space="preserve">for </w:t>
      </w:r>
      <w:r w:rsidR="00C64443" w:rsidRPr="009E1A90">
        <w:t xml:space="preserve">“accused prisoners” </w:t>
      </w:r>
      <w:r w:rsidR="0093230C" w:rsidRPr="009E1A90">
        <w:t xml:space="preserve">include </w:t>
      </w:r>
      <w:r w:rsidR="00C64443" w:rsidRPr="009E1A90">
        <w:t xml:space="preserve">those who have already been convicted </w:t>
      </w:r>
      <w:r w:rsidR="0093230C" w:rsidRPr="009E1A90">
        <w:t xml:space="preserve">and whose </w:t>
      </w:r>
      <w:r w:rsidR="00C64443" w:rsidRPr="009E1A90">
        <w:t>judg</w:t>
      </w:r>
      <w:r w:rsidR="0093230C" w:rsidRPr="009E1A90">
        <w:t>e</w:t>
      </w:r>
      <w:r w:rsidR="00C64443" w:rsidRPr="009E1A90">
        <w:t>ment has not yet become final.</w:t>
      </w:r>
    </w:p>
    <w:p w:rsidR="0031557F" w:rsidRPr="009E1A90" w:rsidRDefault="009E1A90" w:rsidP="009E1A90">
      <w:pPr>
        <w:pStyle w:val="SingleTxtG"/>
        <w:suppressAutoHyphens w:val="0"/>
      </w:pPr>
      <w:r w:rsidRPr="009E1A90">
        <w:t>14.</w:t>
      </w:r>
      <w:r w:rsidRPr="009E1A90">
        <w:tab/>
      </w:r>
      <w:r w:rsidR="0031557F" w:rsidRPr="009E1A90">
        <w:t>A</w:t>
      </w:r>
      <w:r w:rsidR="00E84405" w:rsidRPr="009E1A90">
        <w:t xml:space="preserve">s a consequence, </w:t>
      </w:r>
      <w:r w:rsidR="0031557F" w:rsidRPr="009E1A90">
        <w:t>prison overcrowding</w:t>
      </w:r>
      <w:r w:rsidR="00E84405" w:rsidRPr="009E1A90">
        <w:t xml:space="preserve"> </w:t>
      </w:r>
      <w:r w:rsidR="0093230C" w:rsidRPr="009E1A90">
        <w:t xml:space="preserve">and substandard prison conditions </w:t>
      </w:r>
      <w:r w:rsidR="00E84405" w:rsidRPr="009E1A90">
        <w:t>remain major problem</w:t>
      </w:r>
      <w:r w:rsidR="0093230C" w:rsidRPr="009E1A90">
        <w:t>s</w:t>
      </w:r>
      <w:r w:rsidR="00E84405" w:rsidRPr="009E1A90">
        <w:t xml:space="preserve"> in Italy</w:t>
      </w:r>
      <w:r w:rsidR="0031557F" w:rsidRPr="009E1A90">
        <w:t xml:space="preserve">. According to the Ministry of Justice, as </w:t>
      </w:r>
      <w:r w:rsidR="0093230C" w:rsidRPr="009E1A90">
        <w:t xml:space="preserve">at </w:t>
      </w:r>
      <w:r w:rsidR="0031557F" w:rsidRPr="009E1A90">
        <w:t>14 October 2013, there were 64</w:t>
      </w:r>
      <w:r w:rsidR="008C0B9E" w:rsidRPr="009E1A90">
        <w:t>,</w:t>
      </w:r>
      <w:r w:rsidR="0031557F" w:rsidRPr="009E1A90">
        <w:t xml:space="preserve">564 people in prison. </w:t>
      </w:r>
      <w:r w:rsidR="0093230C" w:rsidRPr="009E1A90">
        <w:t>O</w:t>
      </w:r>
      <w:r w:rsidR="0031557F" w:rsidRPr="009E1A90">
        <w:t>fficially</w:t>
      </w:r>
      <w:r w:rsidR="0093230C" w:rsidRPr="009E1A90">
        <w:t>,</w:t>
      </w:r>
      <w:r w:rsidR="0031557F" w:rsidRPr="009E1A90">
        <w:t xml:space="preserve"> </w:t>
      </w:r>
      <w:r w:rsidR="0093230C" w:rsidRPr="009E1A90">
        <w:t xml:space="preserve">there </w:t>
      </w:r>
      <w:r w:rsidR="0031557F" w:rsidRPr="009E1A90">
        <w:t>were 47</w:t>
      </w:r>
      <w:r w:rsidR="0093230C" w:rsidRPr="009E1A90">
        <w:t>,</w:t>
      </w:r>
      <w:r w:rsidR="0031557F" w:rsidRPr="009E1A90">
        <w:t xml:space="preserve">599 </w:t>
      </w:r>
      <w:r w:rsidR="0093230C" w:rsidRPr="009E1A90">
        <w:t xml:space="preserve">available </w:t>
      </w:r>
      <w:r w:rsidR="0031557F" w:rsidRPr="009E1A90">
        <w:t>places but</w:t>
      </w:r>
      <w:r w:rsidR="0093230C" w:rsidRPr="009E1A90">
        <w:t>,</w:t>
      </w:r>
      <w:r w:rsidR="0031557F" w:rsidRPr="009E1A90">
        <w:t xml:space="preserve"> in reality, </w:t>
      </w:r>
      <w:r w:rsidR="0093230C" w:rsidRPr="009E1A90">
        <w:t xml:space="preserve">an average of </w:t>
      </w:r>
      <w:r w:rsidR="0031557F" w:rsidRPr="009E1A90">
        <w:t>4</w:t>
      </w:r>
      <w:r w:rsidR="008C0B9E" w:rsidRPr="009E1A90">
        <w:t>,</w:t>
      </w:r>
      <w:r w:rsidR="0031557F" w:rsidRPr="009E1A90">
        <w:t xml:space="preserve">500 </w:t>
      </w:r>
      <w:r w:rsidR="0093230C" w:rsidRPr="009E1A90">
        <w:t xml:space="preserve">of these </w:t>
      </w:r>
      <w:r w:rsidR="0031557F" w:rsidRPr="009E1A90">
        <w:t xml:space="preserve">could not be used </w:t>
      </w:r>
      <w:r w:rsidR="0093230C" w:rsidRPr="009E1A90">
        <w:t xml:space="preserve">owing </w:t>
      </w:r>
      <w:r w:rsidR="0031557F" w:rsidRPr="009E1A90">
        <w:t>to the need for repairs.</w:t>
      </w:r>
      <w:r w:rsidR="0031557F" w:rsidRPr="009E1A90">
        <w:rPr>
          <w:rStyle w:val="FootnoteReference"/>
        </w:rPr>
        <w:footnoteReference w:id="3"/>
      </w:r>
      <w:r w:rsidR="0031557F" w:rsidRPr="009E1A90">
        <w:t xml:space="preserve"> </w:t>
      </w:r>
      <w:r w:rsidR="00083AD9" w:rsidRPr="009E1A90">
        <w:t xml:space="preserve">The Working Group notes with concern that </w:t>
      </w:r>
      <w:r w:rsidR="006F71D0" w:rsidRPr="009E1A90">
        <w:rPr>
          <w:rFonts w:cs="Arial"/>
        </w:rPr>
        <w:t xml:space="preserve">Italian prisons are </w:t>
      </w:r>
      <w:r w:rsidR="00E84405" w:rsidRPr="009E1A90">
        <w:rPr>
          <w:rFonts w:cs="Arial"/>
        </w:rPr>
        <w:t xml:space="preserve">among the </w:t>
      </w:r>
      <w:r w:rsidR="006F71D0" w:rsidRPr="009E1A90">
        <w:rPr>
          <w:rFonts w:cs="Arial"/>
        </w:rPr>
        <w:t>most crowded in the European Union</w:t>
      </w:r>
      <w:r w:rsidR="0093230C" w:rsidRPr="009E1A90">
        <w:rPr>
          <w:rFonts w:cs="Arial"/>
        </w:rPr>
        <w:t>,</w:t>
      </w:r>
      <w:r w:rsidR="006F71D0" w:rsidRPr="009E1A90">
        <w:rPr>
          <w:rFonts w:cs="Arial"/>
        </w:rPr>
        <w:t xml:space="preserve"> with occupancy </w:t>
      </w:r>
      <w:r w:rsidR="00E84405" w:rsidRPr="009E1A90">
        <w:rPr>
          <w:rFonts w:cs="Arial"/>
        </w:rPr>
        <w:t>close to 140</w:t>
      </w:r>
      <w:r w:rsidR="006F71D0" w:rsidRPr="009E1A90">
        <w:rPr>
          <w:rFonts w:cs="Arial"/>
        </w:rPr>
        <w:t xml:space="preserve"> per</w:t>
      </w:r>
      <w:r w:rsidR="00830929" w:rsidRPr="009E1A90">
        <w:rPr>
          <w:rFonts w:cs="Arial"/>
        </w:rPr>
        <w:t xml:space="preserve"> </w:t>
      </w:r>
      <w:r w:rsidR="006F71D0" w:rsidRPr="009E1A90">
        <w:rPr>
          <w:rFonts w:cs="Arial"/>
        </w:rPr>
        <w:t>cent of capacity.</w:t>
      </w:r>
    </w:p>
    <w:p w:rsidR="00972AE1" w:rsidRPr="009E1A90" w:rsidRDefault="009E1A90" w:rsidP="009E1A90">
      <w:pPr>
        <w:pStyle w:val="SingleTxtG"/>
        <w:suppressAutoHyphens w:val="0"/>
      </w:pPr>
      <w:r w:rsidRPr="009E1A90">
        <w:t>15.</w:t>
      </w:r>
      <w:r w:rsidRPr="009E1A90">
        <w:tab/>
      </w:r>
      <w:r w:rsidR="00E84405" w:rsidRPr="009E1A90">
        <w:rPr>
          <w:rFonts w:cs="Arial"/>
        </w:rPr>
        <w:t>The</w:t>
      </w:r>
      <w:r w:rsidR="005F192F" w:rsidRPr="009E1A90">
        <w:rPr>
          <w:rFonts w:cs="Arial"/>
        </w:rPr>
        <w:t xml:space="preserve"> Working Group also notes with concern the </w:t>
      </w:r>
      <w:r w:rsidR="0093230C" w:rsidRPr="009E1A90">
        <w:rPr>
          <w:rFonts w:cs="Arial"/>
        </w:rPr>
        <w:t xml:space="preserve">large </w:t>
      </w:r>
      <w:r w:rsidR="00E84405" w:rsidRPr="009E1A90">
        <w:rPr>
          <w:rFonts w:cs="Arial"/>
        </w:rPr>
        <w:t xml:space="preserve">proportion of foreigners </w:t>
      </w:r>
      <w:r w:rsidR="0093230C" w:rsidRPr="009E1A90">
        <w:rPr>
          <w:rFonts w:cs="Arial"/>
        </w:rPr>
        <w:t>in Italian prisons.</w:t>
      </w:r>
      <w:r w:rsidR="00E84405" w:rsidRPr="009E1A90">
        <w:rPr>
          <w:rFonts w:cs="Arial"/>
        </w:rPr>
        <w:t xml:space="preserve"> </w:t>
      </w:r>
      <w:r w:rsidR="0093230C" w:rsidRPr="009E1A90">
        <w:rPr>
          <w:rFonts w:cs="Arial"/>
        </w:rPr>
        <w:t xml:space="preserve">These account for </w:t>
      </w:r>
      <w:r w:rsidR="00E84405" w:rsidRPr="009E1A90">
        <w:rPr>
          <w:rFonts w:cs="Arial"/>
        </w:rPr>
        <w:t>35</w:t>
      </w:r>
      <w:r w:rsidR="00AB6385" w:rsidRPr="009E1A90">
        <w:rPr>
          <w:rFonts w:cs="Arial"/>
        </w:rPr>
        <w:t> </w:t>
      </w:r>
      <w:r w:rsidR="00E84405" w:rsidRPr="009E1A90">
        <w:rPr>
          <w:rFonts w:cs="Arial"/>
        </w:rPr>
        <w:t>per</w:t>
      </w:r>
      <w:r w:rsidR="00830929" w:rsidRPr="009E1A90">
        <w:rPr>
          <w:rFonts w:cs="Arial"/>
        </w:rPr>
        <w:t xml:space="preserve"> </w:t>
      </w:r>
      <w:r w:rsidR="00E84405" w:rsidRPr="009E1A90">
        <w:rPr>
          <w:rFonts w:cs="Arial"/>
        </w:rPr>
        <w:t xml:space="preserve">cent of the total, partly </w:t>
      </w:r>
      <w:r w:rsidR="0093230C" w:rsidRPr="009E1A90">
        <w:rPr>
          <w:rFonts w:cs="Arial"/>
        </w:rPr>
        <w:t xml:space="preserve">owing </w:t>
      </w:r>
      <w:r w:rsidR="00E84405" w:rsidRPr="009E1A90">
        <w:rPr>
          <w:rFonts w:cs="Arial"/>
        </w:rPr>
        <w:t xml:space="preserve">to the high rate of drug arrests in a country </w:t>
      </w:r>
      <w:r w:rsidR="0093230C" w:rsidRPr="009E1A90">
        <w:rPr>
          <w:rFonts w:cs="Arial"/>
        </w:rPr>
        <w:t xml:space="preserve">that </w:t>
      </w:r>
      <w:r w:rsidR="00E84405" w:rsidRPr="009E1A90">
        <w:rPr>
          <w:rFonts w:cs="Arial"/>
        </w:rPr>
        <w:t>is a corridor for the narcotics trade. Nearly 40 per</w:t>
      </w:r>
      <w:r w:rsidR="00830929" w:rsidRPr="009E1A90">
        <w:rPr>
          <w:rFonts w:cs="Arial"/>
        </w:rPr>
        <w:t xml:space="preserve"> </w:t>
      </w:r>
      <w:r w:rsidR="00E84405" w:rsidRPr="009E1A90">
        <w:rPr>
          <w:rFonts w:cs="Arial"/>
        </w:rPr>
        <w:t xml:space="preserve">cent of convicts in Italy are serving time for drugs offences. The Working </w:t>
      </w:r>
      <w:r w:rsidR="005F192F" w:rsidRPr="009E1A90">
        <w:rPr>
          <w:rFonts w:cs="Arial"/>
        </w:rPr>
        <w:t xml:space="preserve">Group </w:t>
      </w:r>
      <w:r w:rsidR="00E84405" w:rsidRPr="009E1A90">
        <w:rPr>
          <w:rFonts w:cs="Arial"/>
        </w:rPr>
        <w:t xml:space="preserve">thus reiterates that there </w:t>
      </w:r>
      <w:r w:rsidR="00972AE1" w:rsidRPr="009E1A90">
        <w:t xml:space="preserve">is a need to monitor and remedy the disproportionate application of </w:t>
      </w:r>
      <w:proofErr w:type="spellStart"/>
      <w:r w:rsidR="00972AE1" w:rsidRPr="009E1A90">
        <w:t>pretrial</w:t>
      </w:r>
      <w:proofErr w:type="spellEnd"/>
      <w:r w:rsidR="00972AE1" w:rsidRPr="009E1A90">
        <w:t xml:space="preserve"> detention in the case of foreign nationals and Roma, including minors. </w:t>
      </w:r>
    </w:p>
    <w:p w:rsidR="003278B0" w:rsidRPr="009E1A90" w:rsidRDefault="009E1A90" w:rsidP="009E1A90">
      <w:pPr>
        <w:pStyle w:val="SingleTxtG"/>
        <w:suppressAutoHyphens w:val="0"/>
        <w:rPr>
          <w:u w:val="single"/>
        </w:rPr>
      </w:pPr>
      <w:r w:rsidRPr="009E1A90">
        <w:lastRenderedPageBreak/>
        <w:t>16.</w:t>
      </w:r>
      <w:r w:rsidRPr="009E1A90">
        <w:tab/>
      </w:r>
      <w:r w:rsidR="003278B0" w:rsidRPr="009E1A90">
        <w:t xml:space="preserve">In January 2013, </w:t>
      </w:r>
      <w:r w:rsidR="0031557F" w:rsidRPr="009E1A90">
        <w:t xml:space="preserve">in the </w:t>
      </w:r>
      <w:proofErr w:type="spellStart"/>
      <w:r w:rsidR="0031557F" w:rsidRPr="009E1A90">
        <w:rPr>
          <w:i/>
        </w:rPr>
        <w:t>Torreggiani</w:t>
      </w:r>
      <w:proofErr w:type="spellEnd"/>
      <w:r w:rsidR="0031557F" w:rsidRPr="009E1A90">
        <w:t xml:space="preserve"> judg</w:t>
      </w:r>
      <w:r w:rsidR="0093230C" w:rsidRPr="009E1A90">
        <w:t>e</w:t>
      </w:r>
      <w:r w:rsidR="0031557F" w:rsidRPr="009E1A90">
        <w:t xml:space="preserve">ment, </w:t>
      </w:r>
      <w:r w:rsidR="003278B0" w:rsidRPr="009E1A90">
        <w:t xml:space="preserve">the European Court of Human Rights held that Italy had violated </w:t>
      </w:r>
      <w:r w:rsidR="0093230C" w:rsidRPr="009E1A90">
        <w:t>a</w:t>
      </w:r>
      <w:r w:rsidR="00204674" w:rsidRPr="009E1A90">
        <w:t>rticle </w:t>
      </w:r>
      <w:r w:rsidR="003278B0" w:rsidRPr="009E1A90">
        <w:t xml:space="preserve">3 of the Convention </w:t>
      </w:r>
      <w:r w:rsidR="007F42EE" w:rsidRPr="009E1A90">
        <w:t xml:space="preserve">for the Protection of </w:t>
      </w:r>
      <w:r w:rsidR="003278B0" w:rsidRPr="009E1A90">
        <w:t xml:space="preserve">Human Rights </w:t>
      </w:r>
      <w:r w:rsidR="007F42EE" w:rsidRPr="009E1A90">
        <w:t xml:space="preserve">and Fundamental Freedoms, on the </w:t>
      </w:r>
      <w:r w:rsidR="003278B0" w:rsidRPr="009E1A90">
        <w:t>prohibition of torture and inhuman or degrading treatment</w:t>
      </w:r>
      <w:r w:rsidR="007F42EE" w:rsidRPr="009E1A90">
        <w:t>,</w:t>
      </w:r>
      <w:r w:rsidR="003278B0" w:rsidRPr="009E1A90">
        <w:t xml:space="preserve"> by subjecting detainees to conditions involving “hardship of an intensity exceeding the unavoidable suffering inherent in detention”.</w:t>
      </w:r>
      <w:r w:rsidR="003809C7" w:rsidRPr="009E1A90">
        <w:rPr>
          <w:rStyle w:val="FootnoteReference"/>
        </w:rPr>
        <w:footnoteReference w:id="4"/>
      </w:r>
      <w:r w:rsidR="003278B0" w:rsidRPr="009E1A90">
        <w:t xml:space="preserve"> The Court found that the hardship was caused by the overcrowding of cells and the lack of sufficient living space</w:t>
      </w:r>
      <w:r w:rsidR="007F42EE" w:rsidRPr="009E1A90">
        <w:t>,</w:t>
      </w:r>
      <w:r w:rsidR="003278B0" w:rsidRPr="009E1A90">
        <w:t xml:space="preserve"> and that overcrowding in Italian prisons amounted to a structural and systemic problem.</w:t>
      </w:r>
    </w:p>
    <w:p w:rsidR="00077EA6" w:rsidRPr="009E1A90" w:rsidRDefault="009E1A90" w:rsidP="009E1A90">
      <w:pPr>
        <w:pStyle w:val="SingleTxtG"/>
        <w:suppressAutoHyphens w:val="0"/>
      </w:pPr>
      <w:r w:rsidRPr="009E1A90">
        <w:t>17.</w:t>
      </w:r>
      <w:r w:rsidRPr="009E1A90">
        <w:tab/>
      </w:r>
      <w:r w:rsidR="00C64443" w:rsidRPr="009E1A90">
        <w:t>The Court concluded that the G</w:t>
      </w:r>
      <w:r w:rsidR="00077EA6" w:rsidRPr="009E1A90">
        <w:t xml:space="preserve">overnment must put in place, within one year from </w:t>
      </w:r>
      <w:r w:rsidR="007F42EE" w:rsidRPr="009E1A90">
        <w:t xml:space="preserve">the time </w:t>
      </w:r>
      <w:r w:rsidR="00077EA6" w:rsidRPr="009E1A90">
        <w:t>the judg</w:t>
      </w:r>
      <w:r w:rsidR="0093230C" w:rsidRPr="009E1A90">
        <w:t>e</w:t>
      </w:r>
      <w:r w:rsidR="00077EA6" w:rsidRPr="009E1A90">
        <w:t xml:space="preserve">ment became final, an effective domestic remedy or a combination of such remedies capable of affording adequate and sufficient redress in cases of overcrowding in prisons. </w:t>
      </w:r>
      <w:r w:rsidR="007F42EE" w:rsidRPr="009E1A90">
        <w:t xml:space="preserve">It did so on 27 May 2013. </w:t>
      </w:r>
    </w:p>
    <w:p w:rsidR="00077EA6" w:rsidRPr="009E1A90" w:rsidRDefault="009E1A90" w:rsidP="009E1A90">
      <w:pPr>
        <w:pStyle w:val="SingleTxtG"/>
        <w:suppressAutoHyphens w:val="0"/>
      </w:pPr>
      <w:r w:rsidRPr="009E1A90">
        <w:t>18.</w:t>
      </w:r>
      <w:r w:rsidRPr="009E1A90">
        <w:tab/>
      </w:r>
      <w:r w:rsidR="00077EA6" w:rsidRPr="009E1A90">
        <w:t xml:space="preserve">The authorities have since taken some measures to address the issues raised by the Court. In particular, the adoption of Law </w:t>
      </w:r>
      <w:r w:rsidR="003809C7" w:rsidRPr="009E1A90">
        <w:t>94/</w:t>
      </w:r>
      <w:r w:rsidR="00077EA6" w:rsidRPr="009E1A90">
        <w:t>2013</w:t>
      </w:r>
      <w:r w:rsidR="003809C7" w:rsidRPr="009E1A90">
        <w:t>,</w:t>
      </w:r>
      <w:r w:rsidR="00077EA6" w:rsidRPr="009E1A90">
        <w:t xml:space="preserve"> which decreases the use of </w:t>
      </w:r>
      <w:proofErr w:type="spellStart"/>
      <w:r w:rsidR="00077EA6" w:rsidRPr="009E1A90">
        <w:t>pretrial</w:t>
      </w:r>
      <w:proofErr w:type="spellEnd"/>
      <w:r w:rsidR="00077EA6" w:rsidRPr="009E1A90">
        <w:t xml:space="preserve"> detention, increases the possibility </w:t>
      </w:r>
      <w:r w:rsidR="003B626A" w:rsidRPr="009E1A90">
        <w:t xml:space="preserve">of a reduced prison term </w:t>
      </w:r>
      <w:r w:rsidR="00077EA6" w:rsidRPr="009E1A90">
        <w:t xml:space="preserve">and </w:t>
      </w:r>
      <w:r w:rsidR="003B626A" w:rsidRPr="009E1A90">
        <w:t xml:space="preserve">also </w:t>
      </w:r>
      <w:r w:rsidR="00077EA6" w:rsidRPr="009E1A90">
        <w:t>increases the options for detainees to carry out public utility work outside prison</w:t>
      </w:r>
      <w:r w:rsidR="003809C7" w:rsidRPr="009E1A90">
        <w:t xml:space="preserve">. The Working Group notes </w:t>
      </w:r>
      <w:r w:rsidR="00077EA6" w:rsidRPr="009E1A90">
        <w:t>the presentation of a number of bills proposing alternative penalties to detention</w:t>
      </w:r>
      <w:r w:rsidR="003B626A" w:rsidRPr="009E1A90">
        <w:t>,</w:t>
      </w:r>
      <w:r w:rsidR="00077EA6" w:rsidRPr="009E1A90">
        <w:t xml:space="preserve"> as suggested by the Court</w:t>
      </w:r>
      <w:r w:rsidR="003B626A" w:rsidRPr="009E1A90">
        <w:t>,</w:t>
      </w:r>
      <w:r w:rsidR="00077EA6" w:rsidRPr="009E1A90">
        <w:t xml:space="preserve"> and the creation in June 2013 by the Minister of Justice of a commission to </w:t>
      </w:r>
      <w:proofErr w:type="gramStart"/>
      <w:r w:rsidR="00077EA6" w:rsidRPr="009E1A90">
        <w:t>advise</w:t>
      </w:r>
      <w:proofErr w:type="gramEnd"/>
      <w:r w:rsidR="00077EA6" w:rsidRPr="009E1A90">
        <w:t xml:space="preserve"> on overcrowding in prisons</w:t>
      </w:r>
      <w:r w:rsidR="003B626A" w:rsidRPr="009E1A90">
        <w:t>.</w:t>
      </w:r>
      <w:r w:rsidR="00077EA6" w:rsidRPr="009E1A90">
        <w:t xml:space="preserve"> The construction of extra places was</w:t>
      </w:r>
      <w:r w:rsidR="003809C7" w:rsidRPr="009E1A90">
        <w:t xml:space="preserve"> reportedly</w:t>
      </w:r>
      <w:r w:rsidR="00077EA6" w:rsidRPr="009E1A90">
        <w:t xml:space="preserve"> also planned. </w:t>
      </w:r>
    </w:p>
    <w:p w:rsidR="00077EA6" w:rsidRPr="009E1A90" w:rsidRDefault="009E1A90" w:rsidP="009E1A90">
      <w:pPr>
        <w:pStyle w:val="SingleTxtG"/>
        <w:suppressAutoHyphens w:val="0"/>
      </w:pPr>
      <w:r w:rsidRPr="009E1A90">
        <w:t>19.</w:t>
      </w:r>
      <w:r w:rsidRPr="009E1A90">
        <w:tab/>
      </w:r>
      <w:r w:rsidR="00077EA6" w:rsidRPr="009E1A90">
        <w:t>At its 1193rd meeting</w:t>
      </w:r>
      <w:r w:rsidR="003B626A" w:rsidRPr="009E1A90">
        <w:t>,</w:t>
      </w:r>
      <w:r w:rsidR="00077EA6" w:rsidRPr="009E1A90">
        <w:t xml:space="preserve"> on 6 March 2014, the Committee of Ministers of the Council of Europe, considering the execution of the </w:t>
      </w:r>
      <w:proofErr w:type="spellStart"/>
      <w:r w:rsidR="00077EA6" w:rsidRPr="009E1A90">
        <w:t>Torreggiani</w:t>
      </w:r>
      <w:proofErr w:type="spellEnd"/>
      <w:r w:rsidR="00077EA6" w:rsidRPr="009E1A90">
        <w:t xml:space="preserve"> judg</w:t>
      </w:r>
      <w:r w:rsidR="0093230C" w:rsidRPr="009E1A90">
        <w:t>e</w:t>
      </w:r>
      <w:r w:rsidR="00077EA6" w:rsidRPr="009E1A90">
        <w:t xml:space="preserve">ment, expressed concern that the measures </w:t>
      </w:r>
      <w:r w:rsidR="00583C3D" w:rsidRPr="009E1A90">
        <w:t xml:space="preserve">the Government </w:t>
      </w:r>
      <w:r w:rsidR="00077EA6" w:rsidRPr="009E1A90">
        <w:t>was planning would not be adequate and “strongly urged the Italian authorities to take concrete steps to put in place a remedy or combination of remedies with preventive and compensatory effect affording adequate and sufficient redress in respect of Convention violations stemming from overcrowding in Italian prisons by the deadline set”</w:t>
      </w:r>
      <w:r w:rsidR="00583C3D" w:rsidRPr="009E1A90">
        <w:t>,</w:t>
      </w:r>
      <w:r w:rsidR="00077EA6" w:rsidRPr="009E1A90">
        <w:t xml:space="preserve"> </w:t>
      </w:r>
      <w:r w:rsidR="00583C3D" w:rsidRPr="009E1A90">
        <w:t xml:space="preserve">namely, </w:t>
      </w:r>
      <w:r w:rsidR="00077EA6" w:rsidRPr="009E1A90">
        <w:t>27 May 2014.</w:t>
      </w:r>
      <w:r w:rsidR="00F13069" w:rsidRPr="009E1A90">
        <w:t xml:space="preserve"> </w:t>
      </w:r>
      <w:r w:rsidR="00566927" w:rsidRPr="009E1A90">
        <w:t xml:space="preserve">With regard to the </w:t>
      </w:r>
      <w:proofErr w:type="spellStart"/>
      <w:r w:rsidR="00566927" w:rsidRPr="009E1A90">
        <w:t>Torreggiani</w:t>
      </w:r>
      <w:proofErr w:type="spellEnd"/>
      <w:r w:rsidR="00566927" w:rsidRPr="009E1A90">
        <w:t xml:space="preserve"> judg</w:t>
      </w:r>
      <w:r w:rsidR="0093230C" w:rsidRPr="009E1A90">
        <w:t>e</w:t>
      </w:r>
      <w:r w:rsidR="00566927" w:rsidRPr="009E1A90">
        <w:t>ment, the Government pointed out that</w:t>
      </w:r>
      <w:r w:rsidR="00F13069" w:rsidRPr="009E1A90">
        <w:t xml:space="preserve"> </w:t>
      </w:r>
      <w:r w:rsidR="00566927" w:rsidRPr="009E1A90">
        <w:t xml:space="preserve">new remedies, both preventive and compensatory, </w:t>
      </w:r>
      <w:r w:rsidR="00583C3D" w:rsidRPr="009E1A90">
        <w:t xml:space="preserve">had </w:t>
      </w:r>
      <w:r w:rsidR="00566927" w:rsidRPr="009E1A90">
        <w:t xml:space="preserve">been introduced by Italy, as requested by the </w:t>
      </w:r>
      <w:r w:rsidR="00583C3D" w:rsidRPr="009E1A90">
        <w:t>European Court of Human Rights</w:t>
      </w:r>
      <w:r w:rsidR="00566927" w:rsidRPr="009E1A90">
        <w:t>.</w:t>
      </w:r>
      <w:r w:rsidR="00F13069" w:rsidRPr="009E1A90">
        <w:t xml:space="preserve"> </w:t>
      </w:r>
      <w:r w:rsidR="00566927" w:rsidRPr="009E1A90">
        <w:t>Law-Decree</w:t>
      </w:r>
      <w:r w:rsidR="00666352" w:rsidRPr="009E1A90">
        <w:t xml:space="preserve"> No. </w:t>
      </w:r>
      <w:r w:rsidR="00566927" w:rsidRPr="009E1A90">
        <w:t>146/2013 of December 2013 lays down a new preventive remedy allowing detainees to complain about any violation of their rights to a supervisory judge. This remedy</w:t>
      </w:r>
      <w:r w:rsidR="00F13069" w:rsidRPr="009E1A90">
        <w:t xml:space="preserve"> </w:t>
      </w:r>
      <w:r w:rsidR="00566927" w:rsidRPr="009E1A90">
        <w:t xml:space="preserve">can provide redress for detention in conditions contrary to </w:t>
      </w:r>
      <w:r w:rsidR="00204674" w:rsidRPr="009E1A90">
        <w:t>article </w:t>
      </w:r>
      <w:r w:rsidR="00566927" w:rsidRPr="009E1A90">
        <w:t>3</w:t>
      </w:r>
      <w:r w:rsidR="00583C3D" w:rsidRPr="009E1A90">
        <w:t>.</w:t>
      </w:r>
      <w:r w:rsidR="00566927" w:rsidRPr="009E1A90">
        <w:t xml:space="preserve"> </w:t>
      </w:r>
      <w:r w:rsidR="00583C3D" w:rsidRPr="009E1A90">
        <w:t>F</w:t>
      </w:r>
      <w:r w:rsidR="00566927" w:rsidRPr="009E1A90">
        <w:t>or example</w:t>
      </w:r>
      <w:r w:rsidR="00583C3D" w:rsidRPr="009E1A90">
        <w:t>,</w:t>
      </w:r>
      <w:r w:rsidR="00566927" w:rsidRPr="009E1A90">
        <w:t xml:space="preserve"> the judge has the power to order the transfer of an applicant out of</w:t>
      </w:r>
      <w:r w:rsidR="00F13069" w:rsidRPr="009E1A90">
        <w:t xml:space="preserve"> </w:t>
      </w:r>
      <w:r w:rsidR="00566927" w:rsidRPr="009E1A90">
        <w:t>an overcrowded cell. Legal means are now also available to enforce such an order if it is not executed by the penitentiary authorities.</w:t>
      </w:r>
      <w:r w:rsidR="00F13069" w:rsidRPr="009E1A90">
        <w:t xml:space="preserve"> </w:t>
      </w:r>
      <w:r w:rsidR="00566927" w:rsidRPr="009E1A90">
        <w:t>Law-Decree</w:t>
      </w:r>
      <w:r w:rsidR="00666352" w:rsidRPr="009E1A90">
        <w:t xml:space="preserve"> No. </w:t>
      </w:r>
      <w:r w:rsidR="00566927" w:rsidRPr="009E1A90">
        <w:t xml:space="preserve">92/2014, which came into force on 28 June 2014, establishes a new compensatory remedy. Accordingly, a detainee may apply to a supervisory judge for a reduction of the sentence </w:t>
      </w:r>
      <w:r w:rsidR="00583C3D" w:rsidRPr="009E1A90">
        <w:t xml:space="preserve">that </w:t>
      </w:r>
      <w:r w:rsidR="00566927" w:rsidRPr="009E1A90">
        <w:t>remains to be served</w:t>
      </w:r>
      <w:r w:rsidR="00583C3D" w:rsidRPr="009E1A90">
        <w:t>,</w:t>
      </w:r>
      <w:r w:rsidR="00566927" w:rsidRPr="009E1A90">
        <w:t xml:space="preserve"> </w:t>
      </w:r>
      <w:r w:rsidR="00583C3D" w:rsidRPr="009E1A90">
        <w:t xml:space="preserve">namely, </w:t>
      </w:r>
      <w:r w:rsidR="00566927" w:rsidRPr="009E1A90">
        <w:t>1</w:t>
      </w:r>
      <w:r w:rsidR="002102B6" w:rsidRPr="009E1A90">
        <w:t> </w:t>
      </w:r>
      <w:r w:rsidR="00566927" w:rsidRPr="009E1A90">
        <w:t xml:space="preserve">day of reduction, for </w:t>
      </w:r>
      <w:r w:rsidR="00583C3D" w:rsidRPr="009E1A90">
        <w:t xml:space="preserve">every </w:t>
      </w:r>
      <w:r w:rsidR="00566927" w:rsidRPr="009E1A90">
        <w:t xml:space="preserve">10 days spent in detention conditions </w:t>
      </w:r>
      <w:r w:rsidR="00583C3D" w:rsidRPr="009E1A90">
        <w:t xml:space="preserve">that did not comply </w:t>
      </w:r>
      <w:r w:rsidR="00566927" w:rsidRPr="009E1A90">
        <w:t xml:space="preserve">with </w:t>
      </w:r>
      <w:r w:rsidR="00204674" w:rsidRPr="009E1A90">
        <w:t>article </w:t>
      </w:r>
      <w:r w:rsidR="00566927" w:rsidRPr="009E1A90">
        <w:t xml:space="preserve">3 of the Convention. Persons already released can apply to the civil courts for pecuniary compensation in the amount of 8 euros </w:t>
      </w:r>
      <w:r w:rsidR="00583C3D" w:rsidRPr="009E1A90">
        <w:t xml:space="preserve">for every </w:t>
      </w:r>
      <w:r w:rsidR="00566927" w:rsidRPr="009E1A90">
        <w:t xml:space="preserve">day spent in detention conditions </w:t>
      </w:r>
      <w:r w:rsidR="00583C3D" w:rsidRPr="009E1A90">
        <w:t xml:space="preserve">that did not comply </w:t>
      </w:r>
      <w:r w:rsidR="00566927" w:rsidRPr="009E1A90">
        <w:t xml:space="preserve">with </w:t>
      </w:r>
      <w:r w:rsidR="00204674" w:rsidRPr="009E1A90">
        <w:t>article </w:t>
      </w:r>
      <w:r w:rsidR="00566927" w:rsidRPr="009E1A90">
        <w:t xml:space="preserve">3 of the Convention. The pecuniary compensation remedy applies also to persons who </w:t>
      </w:r>
      <w:r w:rsidR="00583C3D" w:rsidRPr="009E1A90">
        <w:t xml:space="preserve">have </w:t>
      </w:r>
      <w:r w:rsidR="00566927" w:rsidRPr="009E1A90">
        <w:t>spent less than 15 days in such conditions or if the sentence</w:t>
      </w:r>
      <w:r w:rsidR="00F13069" w:rsidRPr="009E1A90">
        <w:t xml:space="preserve"> </w:t>
      </w:r>
      <w:r w:rsidR="00566927" w:rsidRPr="009E1A90">
        <w:t xml:space="preserve">to be served is shorter than the period </w:t>
      </w:r>
      <w:r w:rsidR="00583C3D" w:rsidRPr="009E1A90">
        <w:t xml:space="preserve">that </w:t>
      </w:r>
      <w:r w:rsidR="00566927" w:rsidRPr="009E1A90">
        <w:t>could be deducted.</w:t>
      </w:r>
      <w:r w:rsidR="00F13069" w:rsidRPr="009E1A90">
        <w:t xml:space="preserve"> </w:t>
      </w:r>
      <w:r w:rsidR="00566927" w:rsidRPr="009E1A90">
        <w:t>On 16 September 2014, the Court, taking into consideration the efforts made by the Government to establish preventive and compensatory remedies, delivered two decisions</w:t>
      </w:r>
      <w:r w:rsidR="00F13069" w:rsidRPr="009E1A90">
        <w:t>,</w:t>
      </w:r>
      <w:r w:rsidR="00566927" w:rsidRPr="009E1A90">
        <w:t xml:space="preserve"> </w:t>
      </w:r>
      <w:r w:rsidR="00566927" w:rsidRPr="009E1A90">
        <w:rPr>
          <w:i/>
          <w:iCs/>
        </w:rPr>
        <w:t>Stella v. Italy</w:t>
      </w:r>
      <w:r w:rsidR="00566927" w:rsidRPr="009E1A90">
        <w:t xml:space="preserve"> and </w:t>
      </w:r>
      <w:proofErr w:type="spellStart"/>
      <w:r w:rsidR="00566927" w:rsidRPr="009E1A90">
        <w:rPr>
          <w:i/>
          <w:iCs/>
        </w:rPr>
        <w:t>Rexhepi</w:t>
      </w:r>
      <w:proofErr w:type="spellEnd"/>
      <w:r w:rsidR="00566927" w:rsidRPr="009E1A90">
        <w:rPr>
          <w:i/>
          <w:iCs/>
        </w:rPr>
        <w:t xml:space="preserve"> v. Italy</w:t>
      </w:r>
      <w:r w:rsidR="00F13069" w:rsidRPr="009E1A90">
        <w:rPr>
          <w:i/>
          <w:iCs/>
        </w:rPr>
        <w:t>,</w:t>
      </w:r>
      <w:r w:rsidR="00F13069" w:rsidRPr="009E1A90">
        <w:t xml:space="preserve"> </w:t>
      </w:r>
      <w:r w:rsidR="000078A4" w:rsidRPr="009E1A90">
        <w:t xml:space="preserve">in which </w:t>
      </w:r>
      <w:r w:rsidR="00566927" w:rsidRPr="009E1A90">
        <w:t xml:space="preserve">it indicated that the preventive remedy </w:t>
      </w:r>
      <w:r w:rsidR="000078A4" w:rsidRPr="009E1A90">
        <w:t xml:space="preserve">had </w:t>
      </w:r>
      <w:r w:rsidR="00566927" w:rsidRPr="009E1A90">
        <w:t xml:space="preserve">appeared “a priori” accessible and </w:t>
      </w:r>
      <w:r w:rsidR="000078A4" w:rsidRPr="009E1A90">
        <w:t xml:space="preserve">had </w:t>
      </w:r>
      <w:r w:rsidR="00566927" w:rsidRPr="009E1A90">
        <w:t>offered reasonable prospects of success. Concerning the compensatory remedy, the European Court found that</w:t>
      </w:r>
      <w:r w:rsidR="000078A4" w:rsidRPr="009E1A90">
        <w:t>,</w:t>
      </w:r>
      <w:r w:rsidR="00566927" w:rsidRPr="009E1A90">
        <w:t xml:space="preserve"> in principle</w:t>
      </w:r>
      <w:r w:rsidR="000078A4" w:rsidRPr="009E1A90">
        <w:t>,</w:t>
      </w:r>
      <w:r w:rsidR="00566927" w:rsidRPr="009E1A90">
        <w:t xml:space="preserve"> it constituted an appropriate remedy.</w:t>
      </w:r>
      <w:r w:rsidR="00F13069" w:rsidRPr="009E1A90">
        <w:t xml:space="preserve"> </w:t>
      </w:r>
      <w:r w:rsidR="00566927" w:rsidRPr="009E1A90">
        <w:t xml:space="preserve">Subsequent to </w:t>
      </w:r>
      <w:r w:rsidR="00566927" w:rsidRPr="009E1A90">
        <w:lastRenderedPageBreak/>
        <w:t>these two judg</w:t>
      </w:r>
      <w:r w:rsidR="0093230C" w:rsidRPr="009E1A90">
        <w:t>e</w:t>
      </w:r>
      <w:r w:rsidR="00566927" w:rsidRPr="009E1A90">
        <w:t>ments, about 3</w:t>
      </w:r>
      <w:r w:rsidR="00F30E02" w:rsidRPr="009E1A90">
        <w:t>,</w:t>
      </w:r>
      <w:r w:rsidR="00566927" w:rsidRPr="009E1A90">
        <w:t>500 pending cases on the same prison overcrowding issue were likewise declared not acceptable.</w:t>
      </w:r>
    </w:p>
    <w:p w:rsidR="00D65A56" w:rsidRPr="009E1A90" w:rsidRDefault="009E1A90" w:rsidP="009E1A90">
      <w:pPr>
        <w:pStyle w:val="SingleTxtG"/>
        <w:suppressAutoHyphens w:val="0"/>
      </w:pPr>
      <w:r w:rsidRPr="009E1A90">
        <w:t>20.</w:t>
      </w:r>
      <w:r w:rsidRPr="009E1A90">
        <w:tab/>
      </w:r>
      <w:r w:rsidR="003411E3" w:rsidRPr="009E1A90">
        <w:t xml:space="preserve">According to data published on the </w:t>
      </w:r>
      <w:r w:rsidR="00064E64" w:rsidRPr="009E1A90">
        <w:t>web</w:t>
      </w:r>
      <w:r w:rsidR="003411E3" w:rsidRPr="009E1A90">
        <w:t xml:space="preserve">site of </w:t>
      </w:r>
      <w:r w:rsidR="00064E64" w:rsidRPr="009E1A90">
        <w:t xml:space="preserve">the </w:t>
      </w:r>
      <w:r w:rsidR="003411E3" w:rsidRPr="009E1A90">
        <w:t xml:space="preserve">Ministry of </w:t>
      </w:r>
      <w:r w:rsidR="00064E64" w:rsidRPr="009E1A90">
        <w:t>J</w:t>
      </w:r>
      <w:r w:rsidR="003411E3" w:rsidRPr="009E1A90">
        <w:t xml:space="preserve">ustice, the </w:t>
      </w:r>
      <w:r w:rsidR="00064E64" w:rsidRPr="009E1A90">
        <w:t xml:space="preserve">overall </w:t>
      </w:r>
      <w:r w:rsidR="003411E3" w:rsidRPr="009E1A90">
        <w:t>number of people detained in prison on 31 August 2014 was 54</w:t>
      </w:r>
      <w:r w:rsidR="00F30E02" w:rsidRPr="009E1A90">
        <w:t>,</w:t>
      </w:r>
      <w:r w:rsidR="003411E3" w:rsidRPr="009E1A90">
        <w:t xml:space="preserve">252 (791 of </w:t>
      </w:r>
      <w:r w:rsidR="00064E64" w:rsidRPr="009E1A90">
        <w:t xml:space="preserve">whom were </w:t>
      </w:r>
      <w:r w:rsidR="003411E3" w:rsidRPr="009E1A90">
        <w:t>serving their sentence on day release). A comparison with the statistical data previously released by the Government shows that the number of detainees is currently decreasing (</w:t>
      </w:r>
      <w:r w:rsidR="00064E64" w:rsidRPr="009E1A90">
        <w:t xml:space="preserve">there </w:t>
      </w:r>
      <w:r w:rsidR="003411E3" w:rsidRPr="009E1A90">
        <w:t>were 58</w:t>
      </w:r>
      <w:r w:rsidR="00F30E02" w:rsidRPr="009E1A90">
        <w:t>,</w:t>
      </w:r>
      <w:r w:rsidR="003411E3" w:rsidRPr="009E1A90">
        <w:t xml:space="preserve">092 </w:t>
      </w:r>
      <w:r w:rsidR="00064E64" w:rsidRPr="009E1A90">
        <w:t>detainees as at</w:t>
      </w:r>
      <w:r w:rsidR="003411E3" w:rsidRPr="009E1A90">
        <w:t xml:space="preserve"> 30 June 2014), as an effect of the other general measures recently adopted in criminal and penitentiary </w:t>
      </w:r>
      <w:r w:rsidR="00264086" w:rsidRPr="009E1A90">
        <w:t>l</w:t>
      </w:r>
      <w:r w:rsidR="003411E3" w:rsidRPr="009E1A90">
        <w:t>aw.</w:t>
      </w:r>
    </w:p>
    <w:p w:rsidR="00DB1367" w:rsidRPr="009E1A90" w:rsidRDefault="00DC6C5E" w:rsidP="005815C5">
      <w:pPr>
        <w:pStyle w:val="H1G"/>
      </w:pPr>
      <w:r w:rsidRPr="009E1A90">
        <w:tab/>
        <w:t>B.</w:t>
      </w:r>
      <w:r w:rsidRPr="009E1A90">
        <w:tab/>
      </w:r>
      <w:r w:rsidR="00DB1367" w:rsidRPr="009E1A90">
        <w:t xml:space="preserve">Special detention regime under </w:t>
      </w:r>
      <w:r w:rsidR="00204674" w:rsidRPr="009E1A90">
        <w:t>article </w:t>
      </w:r>
      <w:r w:rsidR="00DB1367" w:rsidRPr="009E1A90">
        <w:t xml:space="preserve">41 </w:t>
      </w:r>
      <w:proofErr w:type="spellStart"/>
      <w:r w:rsidR="00DB1367" w:rsidRPr="009E1A90">
        <w:t>bis</w:t>
      </w:r>
      <w:proofErr w:type="spellEnd"/>
      <w:r w:rsidR="00DB1367" w:rsidRPr="009E1A90">
        <w:t xml:space="preserve"> of the Law on the Penitentiary System</w:t>
      </w:r>
    </w:p>
    <w:p w:rsidR="00DB1367" w:rsidRPr="009E1A90" w:rsidRDefault="009E1A90" w:rsidP="009E1A90">
      <w:pPr>
        <w:pStyle w:val="SingleTxtG"/>
        <w:suppressAutoHyphens w:val="0"/>
      </w:pPr>
      <w:r w:rsidRPr="009E1A90">
        <w:t>21.</w:t>
      </w:r>
      <w:r w:rsidRPr="009E1A90">
        <w:tab/>
      </w:r>
      <w:r w:rsidR="00DB1367" w:rsidRPr="009E1A90">
        <w:t xml:space="preserve">The Working Group, in its 2008 report, referred to the declaration of the Government </w:t>
      </w:r>
      <w:r w:rsidR="00064E64" w:rsidRPr="009E1A90">
        <w:t xml:space="preserve">that </w:t>
      </w:r>
      <w:r w:rsidR="00DB1367" w:rsidRPr="009E1A90">
        <w:t xml:space="preserve">organized crime of the mafia type, the threat of international terrorism and criminality by irregular migrants </w:t>
      </w:r>
      <w:r w:rsidR="00064E64" w:rsidRPr="009E1A90">
        <w:t xml:space="preserve">were </w:t>
      </w:r>
      <w:r w:rsidR="00DB1367" w:rsidRPr="009E1A90">
        <w:t>public security emergencies. The Working Group noted that the Governmen</w:t>
      </w:r>
      <w:r w:rsidR="008841CC" w:rsidRPr="009E1A90">
        <w:t>t</w:t>
      </w:r>
      <w:r w:rsidR="00DB1367" w:rsidRPr="009E1A90">
        <w:t xml:space="preserve"> </w:t>
      </w:r>
      <w:r w:rsidR="00064E64" w:rsidRPr="009E1A90">
        <w:t xml:space="preserve">had </w:t>
      </w:r>
      <w:r w:rsidR="00DB1367" w:rsidRPr="009E1A90">
        <w:t xml:space="preserve">responded to each of these emergencies by adopting extraordinary measures, some of </w:t>
      </w:r>
      <w:r w:rsidR="003809C7" w:rsidRPr="009E1A90">
        <w:t xml:space="preserve">which </w:t>
      </w:r>
      <w:r w:rsidR="00DB1367" w:rsidRPr="009E1A90">
        <w:t xml:space="preserve">carry with them a considerable risk of resulting in arbitrary detention. </w:t>
      </w:r>
    </w:p>
    <w:p w:rsidR="00CF214A" w:rsidRPr="009E1A90" w:rsidRDefault="009E1A90" w:rsidP="009E1A90">
      <w:pPr>
        <w:pStyle w:val="SingleTxtG"/>
        <w:suppressAutoHyphens w:val="0"/>
      </w:pPr>
      <w:r w:rsidRPr="009E1A90">
        <w:t>22.</w:t>
      </w:r>
      <w:r w:rsidRPr="009E1A90">
        <w:tab/>
      </w:r>
      <w:r w:rsidR="00354DB7" w:rsidRPr="009E1A90">
        <w:t xml:space="preserve">According to the Government, </w:t>
      </w:r>
      <w:r w:rsidR="008841CC" w:rsidRPr="009E1A90">
        <w:t>the relevant legal framework has undergone significant changes</w:t>
      </w:r>
      <w:r w:rsidR="00354DB7" w:rsidRPr="009E1A90">
        <w:t xml:space="preserve"> since the Working Group’s visit</w:t>
      </w:r>
      <w:r w:rsidR="00064E64" w:rsidRPr="009E1A90">
        <w:t>,</w:t>
      </w:r>
      <w:r w:rsidR="00354DB7" w:rsidRPr="009E1A90">
        <w:t xml:space="preserve"> </w:t>
      </w:r>
      <w:r w:rsidR="008841CC" w:rsidRPr="009E1A90">
        <w:t>with</w:t>
      </w:r>
      <w:r w:rsidR="00CF214A" w:rsidRPr="009E1A90">
        <w:t xml:space="preserve"> </w:t>
      </w:r>
      <w:r w:rsidR="008841CC" w:rsidRPr="009E1A90">
        <w:t>the adoption of an amendment to Section 41</w:t>
      </w:r>
      <w:r w:rsidR="003809C7" w:rsidRPr="009E1A90">
        <w:rPr>
          <w:i/>
          <w:iCs/>
        </w:rPr>
        <w:t xml:space="preserve"> </w:t>
      </w:r>
      <w:proofErr w:type="spellStart"/>
      <w:r w:rsidR="008841CC" w:rsidRPr="009E1A90">
        <w:t>bis</w:t>
      </w:r>
      <w:proofErr w:type="spellEnd"/>
      <w:r w:rsidR="008841CC" w:rsidRPr="009E1A90">
        <w:rPr>
          <w:i/>
          <w:iCs/>
        </w:rPr>
        <w:t xml:space="preserve"> </w:t>
      </w:r>
      <w:r w:rsidR="008841CC" w:rsidRPr="009E1A90">
        <w:t>of the Law</w:t>
      </w:r>
      <w:r w:rsidR="003764F3" w:rsidRPr="009E1A90">
        <w:t xml:space="preserve"> on the Penitentiary System</w:t>
      </w:r>
      <w:r w:rsidR="00354DB7" w:rsidRPr="009E1A90">
        <w:t>, commonly referred to as the special detention regime under Section 41</w:t>
      </w:r>
      <w:r w:rsidR="003809C7" w:rsidRPr="009E1A90">
        <w:t xml:space="preserve"> </w:t>
      </w:r>
      <w:proofErr w:type="spellStart"/>
      <w:r w:rsidR="00354DB7" w:rsidRPr="009E1A90">
        <w:t>bis</w:t>
      </w:r>
      <w:proofErr w:type="spellEnd"/>
      <w:r w:rsidR="00A112E9" w:rsidRPr="009E1A90">
        <w:t>. The Law was amended by Act</w:t>
      </w:r>
      <w:r w:rsidR="00666352" w:rsidRPr="009E1A90">
        <w:t xml:space="preserve"> No. </w:t>
      </w:r>
      <w:r w:rsidR="00A112E9" w:rsidRPr="009E1A90">
        <w:t xml:space="preserve">94 of 2009, which strengthened </w:t>
      </w:r>
      <w:r w:rsidR="00064E64" w:rsidRPr="009E1A90">
        <w:t xml:space="preserve">the special detention </w:t>
      </w:r>
      <w:r w:rsidR="00A112E9" w:rsidRPr="009E1A90">
        <w:t>regime</w:t>
      </w:r>
      <w:r w:rsidR="00064E64" w:rsidRPr="009E1A90">
        <w:t>,</w:t>
      </w:r>
      <w:r w:rsidR="00515172" w:rsidRPr="009E1A90">
        <w:t xml:space="preserve"> and new circulars were </w:t>
      </w:r>
      <w:r w:rsidR="008841CC" w:rsidRPr="009E1A90">
        <w:t>subsequent</w:t>
      </w:r>
      <w:r w:rsidR="00515172" w:rsidRPr="009E1A90">
        <w:t xml:space="preserve">ly </w:t>
      </w:r>
      <w:r w:rsidR="008841CC" w:rsidRPr="009E1A90">
        <w:t>issu</w:t>
      </w:r>
      <w:r w:rsidR="00515172" w:rsidRPr="009E1A90">
        <w:t>ed</w:t>
      </w:r>
      <w:r w:rsidR="008841CC" w:rsidRPr="009E1A90">
        <w:t xml:space="preserve"> by the Department of Prison Administration.</w:t>
      </w:r>
      <w:r w:rsidR="00351E99" w:rsidRPr="009E1A90">
        <w:t xml:space="preserve"> </w:t>
      </w:r>
      <w:r w:rsidR="00354DB7" w:rsidRPr="009E1A90">
        <w:t xml:space="preserve">During the visit, the Working Group was informed that approximately 700 detainees </w:t>
      </w:r>
      <w:r w:rsidR="00064E64" w:rsidRPr="009E1A90">
        <w:t xml:space="preserve">had been </w:t>
      </w:r>
      <w:r w:rsidR="00354DB7" w:rsidRPr="009E1A90">
        <w:t xml:space="preserve">subjected to this regime. </w:t>
      </w:r>
    </w:p>
    <w:p w:rsidR="00DB1367" w:rsidRPr="009E1A90" w:rsidRDefault="009E1A90" w:rsidP="009E1A90">
      <w:pPr>
        <w:pStyle w:val="SingleTxtG"/>
        <w:suppressAutoHyphens w:val="0"/>
      </w:pPr>
      <w:r w:rsidRPr="009E1A90">
        <w:t>23.</w:t>
      </w:r>
      <w:r w:rsidRPr="009E1A90">
        <w:tab/>
      </w:r>
      <w:r w:rsidR="00DB1367" w:rsidRPr="009E1A90">
        <w:t xml:space="preserve">The Government, in its follow-up response, elaborated on this special detention regime. </w:t>
      </w:r>
      <w:r w:rsidR="00A112E9" w:rsidRPr="009E1A90">
        <w:t xml:space="preserve">Procedurally, the provision applying </w:t>
      </w:r>
      <w:r w:rsidR="00064E64" w:rsidRPr="009E1A90">
        <w:t xml:space="preserve">the </w:t>
      </w:r>
      <w:r w:rsidR="00A112E9" w:rsidRPr="009E1A90">
        <w:t xml:space="preserve">regime is adopted by the Minister of Justice; it has </w:t>
      </w:r>
      <w:proofErr w:type="gramStart"/>
      <w:r w:rsidR="00A112E9" w:rsidRPr="009E1A90">
        <w:t>a duration</w:t>
      </w:r>
      <w:proofErr w:type="gramEnd"/>
      <w:r w:rsidR="00A112E9" w:rsidRPr="009E1A90">
        <w:t xml:space="preserve"> of </w:t>
      </w:r>
      <w:r w:rsidR="00FB4AC6" w:rsidRPr="009E1A90">
        <w:t xml:space="preserve">four </w:t>
      </w:r>
      <w:r w:rsidR="00A112E9" w:rsidRPr="009E1A90">
        <w:t xml:space="preserve">years and can be extended for an additional period of two years. </w:t>
      </w:r>
      <w:r w:rsidR="00DB1367" w:rsidRPr="009E1A90">
        <w:t xml:space="preserve">Complaints can be lodged within </w:t>
      </w:r>
      <w:r w:rsidR="00064E64" w:rsidRPr="009E1A90">
        <w:t xml:space="preserve">20 </w:t>
      </w:r>
      <w:r w:rsidR="00DB1367" w:rsidRPr="009E1A90">
        <w:t>days from the date of the communication of the provision</w:t>
      </w:r>
      <w:r w:rsidR="00064E64" w:rsidRPr="009E1A90">
        <w:t>,</w:t>
      </w:r>
      <w:r w:rsidR="00DB1367" w:rsidRPr="009E1A90">
        <w:t xml:space="preserve"> and its decision shall be made by the Supervisory Court of Rome. The restrictions of the </w:t>
      </w:r>
      <w:r w:rsidR="00064E64" w:rsidRPr="009E1A90">
        <w:t xml:space="preserve">Section </w:t>
      </w:r>
      <w:r w:rsidR="00DB1367" w:rsidRPr="009E1A90">
        <w:t>41</w:t>
      </w:r>
      <w:r w:rsidR="003809C7" w:rsidRPr="009E1A90">
        <w:t xml:space="preserve"> </w:t>
      </w:r>
      <w:proofErr w:type="spellStart"/>
      <w:proofErr w:type="gramStart"/>
      <w:r w:rsidR="00DB1367" w:rsidRPr="009E1A90">
        <w:t>b</w:t>
      </w:r>
      <w:r w:rsidR="003809C7" w:rsidRPr="009E1A90">
        <w:t>is</w:t>
      </w:r>
      <w:proofErr w:type="spellEnd"/>
      <w:proofErr w:type="gramEnd"/>
      <w:r w:rsidR="00DB1367" w:rsidRPr="009E1A90">
        <w:t xml:space="preserve"> regime cannot be modified either by the administrative authority or by the judicial authority, since they are provided by the </w:t>
      </w:r>
      <w:r w:rsidR="00064E64" w:rsidRPr="009E1A90">
        <w:t xml:space="preserve">Penitentiary </w:t>
      </w:r>
      <w:r w:rsidR="00DB1367" w:rsidRPr="009E1A90">
        <w:t>Law.</w:t>
      </w:r>
    </w:p>
    <w:p w:rsidR="00DB1367" w:rsidRPr="009E1A90" w:rsidRDefault="009E1A90" w:rsidP="009E1A90">
      <w:pPr>
        <w:pStyle w:val="SingleTxtG"/>
        <w:suppressAutoHyphens w:val="0"/>
      </w:pPr>
      <w:r w:rsidRPr="009E1A90">
        <w:t>24.</w:t>
      </w:r>
      <w:r w:rsidRPr="009E1A90">
        <w:tab/>
      </w:r>
      <w:r w:rsidR="00DB1367" w:rsidRPr="009E1A90">
        <w:t xml:space="preserve">The Working Group notes with interest the Constitutional </w:t>
      </w:r>
      <w:proofErr w:type="spellStart"/>
      <w:r w:rsidR="00DB1367" w:rsidRPr="009E1A90">
        <w:t>Court</w:t>
      </w:r>
      <w:r w:rsidR="00064E64" w:rsidRPr="009E1A90">
        <w:t>ʼs</w:t>
      </w:r>
      <w:proofErr w:type="spellEnd"/>
      <w:r w:rsidR="00666352" w:rsidRPr="009E1A90">
        <w:t xml:space="preserve"> </w:t>
      </w:r>
      <w:r w:rsidR="00064E64" w:rsidRPr="009E1A90">
        <w:t xml:space="preserve">decision </w:t>
      </w:r>
      <w:r w:rsidR="00666352" w:rsidRPr="009E1A90">
        <w:t>No. </w:t>
      </w:r>
      <w:r w:rsidR="00DB1367" w:rsidRPr="009E1A90">
        <w:t>143 of 17 June 2013</w:t>
      </w:r>
      <w:r w:rsidR="00064E64" w:rsidRPr="009E1A90">
        <w:t>,</w:t>
      </w:r>
      <w:r w:rsidR="00DB1367" w:rsidRPr="009E1A90">
        <w:t xml:space="preserve"> </w:t>
      </w:r>
      <w:r w:rsidR="00064E64" w:rsidRPr="009E1A90">
        <w:t xml:space="preserve">in which it </w:t>
      </w:r>
      <w:r w:rsidR="00DB1367" w:rsidRPr="009E1A90">
        <w:t xml:space="preserve">sanctioned the constitutional illegitimacy of </w:t>
      </w:r>
      <w:r w:rsidR="00064E64" w:rsidRPr="009E1A90">
        <w:t>the last sentence of a</w:t>
      </w:r>
      <w:r w:rsidR="00204674" w:rsidRPr="009E1A90">
        <w:t>rticle </w:t>
      </w:r>
      <w:r w:rsidR="00DB1367" w:rsidRPr="009E1A90">
        <w:t>41</w:t>
      </w:r>
      <w:r w:rsidR="00064E64" w:rsidRPr="009E1A90">
        <w:t xml:space="preserve"> (</w:t>
      </w:r>
      <w:r w:rsidR="00DB1367" w:rsidRPr="009E1A90">
        <w:t>b</w:t>
      </w:r>
      <w:r w:rsidR="00064E64" w:rsidRPr="009E1A90">
        <w:t>)</w:t>
      </w:r>
      <w:r w:rsidR="00DB1367" w:rsidRPr="009E1A90">
        <w:t>, paragraph 2</w:t>
      </w:r>
      <w:r w:rsidR="00064E64" w:rsidRPr="009E1A90">
        <w:t xml:space="preserve"> (</w:t>
      </w:r>
      <w:r w:rsidR="00DB1367" w:rsidRPr="009E1A90">
        <w:t>d</w:t>
      </w:r>
      <w:r w:rsidR="00064E64" w:rsidRPr="009E1A90">
        <w:t>)</w:t>
      </w:r>
      <w:r w:rsidR="00DB1367" w:rsidRPr="009E1A90">
        <w:t xml:space="preserve">, </w:t>
      </w:r>
      <w:r w:rsidR="00064E64" w:rsidRPr="009E1A90">
        <w:t>subparagraph (</w:t>
      </w:r>
      <w:r w:rsidR="00DB1367" w:rsidRPr="009E1A90">
        <w:t>b</w:t>
      </w:r>
      <w:r w:rsidR="00064E64" w:rsidRPr="009E1A90">
        <w:t>)</w:t>
      </w:r>
      <w:r w:rsidR="00DB1367" w:rsidRPr="009E1A90">
        <w:t>, of Act</w:t>
      </w:r>
      <w:r w:rsidR="00666352" w:rsidRPr="009E1A90">
        <w:t xml:space="preserve"> No. </w:t>
      </w:r>
      <w:r w:rsidR="00DB1367" w:rsidRPr="009E1A90">
        <w:t>354 of 1975 (Penitentiary Act), as amended by Act</w:t>
      </w:r>
      <w:r w:rsidR="00666352" w:rsidRPr="009E1A90">
        <w:t xml:space="preserve"> No. </w:t>
      </w:r>
      <w:r w:rsidR="00DB1367" w:rsidRPr="009E1A90">
        <w:t xml:space="preserve">94/2009, </w:t>
      </w:r>
      <w:r w:rsidR="00064E64" w:rsidRPr="009E1A90">
        <w:t xml:space="preserve">which </w:t>
      </w:r>
      <w:r w:rsidR="00DB1367" w:rsidRPr="009E1A90">
        <w:t>provided for limitations to interviews with defence counsels. Therefore, paragraph 2</w:t>
      </w:r>
      <w:r w:rsidR="00064E64" w:rsidRPr="009E1A90">
        <w:t xml:space="preserve"> (</w:t>
      </w:r>
      <w:r w:rsidR="00DB1367" w:rsidRPr="009E1A90">
        <w:t>d</w:t>
      </w:r>
      <w:r w:rsidR="00064E64" w:rsidRPr="009E1A90">
        <w:t>)</w:t>
      </w:r>
      <w:r w:rsidR="00DB1367" w:rsidRPr="009E1A90">
        <w:t xml:space="preserve">, </w:t>
      </w:r>
      <w:r w:rsidR="00064E64" w:rsidRPr="009E1A90">
        <w:t>subparagraph (</w:t>
      </w:r>
      <w:r w:rsidR="00DB1367" w:rsidRPr="009E1A90">
        <w:t>b</w:t>
      </w:r>
      <w:r w:rsidR="00064E64" w:rsidRPr="009E1A90">
        <w:t>)</w:t>
      </w:r>
      <w:r w:rsidR="00DB1367" w:rsidRPr="009E1A90">
        <w:t xml:space="preserve"> of </w:t>
      </w:r>
      <w:r w:rsidR="00204674" w:rsidRPr="009E1A90">
        <w:t>article </w:t>
      </w:r>
      <w:r w:rsidR="00DB1367" w:rsidRPr="009E1A90">
        <w:t>41</w:t>
      </w:r>
      <w:r w:rsidR="00064E64" w:rsidRPr="009E1A90">
        <w:t xml:space="preserve"> (</w:t>
      </w:r>
      <w:r w:rsidR="00DB1367" w:rsidRPr="009E1A90">
        <w:t>b</w:t>
      </w:r>
      <w:r w:rsidR="00064E64" w:rsidRPr="009E1A90">
        <w:t>)</w:t>
      </w:r>
      <w:r w:rsidR="00DB1367" w:rsidRPr="009E1A90">
        <w:t xml:space="preserve"> currently in </w:t>
      </w:r>
      <w:proofErr w:type="gramStart"/>
      <w:r w:rsidR="00DB1367" w:rsidRPr="009E1A90">
        <w:t>force</w:t>
      </w:r>
      <w:proofErr w:type="gramEnd"/>
      <w:r w:rsidR="00DB1367" w:rsidRPr="009E1A90">
        <w:t xml:space="preserve"> restricts only visits paid by prisoners</w:t>
      </w:r>
      <w:r w:rsidR="0063294C" w:rsidRPr="009E1A90">
        <w:t>’</w:t>
      </w:r>
      <w:r w:rsidR="00DB1367" w:rsidRPr="009E1A90">
        <w:t xml:space="preserve"> family members and cohabitants</w:t>
      </w:r>
      <w:r w:rsidR="00064E64" w:rsidRPr="009E1A90">
        <w:t>,</w:t>
      </w:r>
      <w:r w:rsidR="00DB1367" w:rsidRPr="009E1A90">
        <w:t xml:space="preserve"> and does not restrict interviews with their defence counsels.</w:t>
      </w:r>
    </w:p>
    <w:p w:rsidR="00DB1367" w:rsidRPr="009E1A90" w:rsidRDefault="009E1A90" w:rsidP="009E1A90">
      <w:pPr>
        <w:pStyle w:val="SingleTxtG"/>
        <w:suppressAutoHyphens w:val="0"/>
      </w:pPr>
      <w:r w:rsidRPr="009E1A90">
        <w:t>25.</w:t>
      </w:r>
      <w:r w:rsidRPr="009E1A90">
        <w:tab/>
      </w:r>
      <w:r w:rsidR="00DB1367" w:rsidRPr="009E1A90">
        <w:t xml:space="preserve">Following </w:t>
      </w:r>
      <w:r w:rsidR="00E32331" w:rsidRPr="009E1A90">
        <w:t xml:space="preserve">the decision of the </w:t>
      </w:r>
      <w:r w:rsidR="00DB1367" w:rsidRPr="009E1A90">
        <w:t xml:space="preserve">Constitutional Court, the Head of the Department of Penitentiary Administration prepared </w:t>
      </w:r>
      <w:r w:rsidR="00DA0849" w:rsidRPr="009E1A90">
        <w:t xml:space="preserve">an </w:t>
      </w:r>
      <w:r w:rsidR="00DB1367" w:rsidRPr="009E1A90">
        <w:t xml:space="preserve">amendment </w:t>
      </w:r>
      <w:r w:rsidR="00DA0849" w:rsidRPr="009E1A90">
        <w:t xml:space="preserve">providing that </w:t>
      </w:r>
      <w:r w:rsidR="00DB1367" w:rsidRPr="009E1A90">
        <w:t>prisoners</w:t>
      </w:r>
      <w:r w:rsidR="0063294C" w:rsidRPr="009E1A90">
        <w:t>’</w:t>
      </w:r>
      <w:r w:rsidR="00DB1367" w:rsidRPr="009E1A90">
        <w:t xml:space="preserve"> right</w:t>
      </w:r>
      <w:r w:rsidR="00DA0849" w:rsidRPr="009E1A90">
        <w:t>s</w:t>
      </w:r>
      <w:r w:rsidR="00DB1367" w:rsidRPr="009E1A90">
        <w:t xml:space="preserve"> shall be clearly acknowledged in order to allow prisoners to have interviews with their defence counsels</w:t>
      </w:r>
      <w:r w:rsidR="00DA0849" w:rsidRPr="009E1A90">
        <w:t>,</w:t>
      </w:r>
      <w:r w:rsidR="00DB1367" w:rsidRPr="009E1A90">
        <w:t xml:space="preserve"> even prisoners</w:t>
      </w:r>
      <w:r w:rsidR="00DA0849" w:rsidRPr="009E1A90">
        <w:t>,</w:t>
      </w:r>
      <w:r w:rsidR="00F13069" w:rsidRPr="009E1A90">
        <w:t xml:space="preserve"> </w:t>
      </w:r>
      <w:r w:rsidR="00DB1367" w:rsidRPr="009E1A90">
        <w:t>without any authori</w:t>
      </w:r>
      <w:r w:rsidR="00830929" w:rsidRPr="009E1A90">
        <w:t>z</w:t>
      </w:r>
      <w:r w:rsidR="00DB1367" w:rsidRPr="009E1A90">
        <w:t xml:space="preserve">ation nor limitation of the number and duration of interviews, without the possibility to check the actual need or the reasons for the interviews and subject to the definition of the practical modalities of carrying out such interviews, including the setting of hours, the choice of premises </w:t>
      </w:r>
      <w:r w:rsidR="00DA0849" w:rsidRPr="009E1A90">
        <w:t xml:space="preserve">and </w:t>
      </w:r>
      <w:r w:rsidR="00DB1367" w:rsidRPr="009E1A90">
        <w:t>the identification of the defence counsel.</w:t>
      </w:r>
    </w:p>
    <w:p w:rsidR="00DB1367" w:rsidRPr="009E1A90" w:rsidRDefault="009E1A90" w:rsidP="009E1A90">
      <w:pPr>
        <w:pStyle w:val="SingleTxtG"/>
        <w:suppressAutoHyphens w:val="0"/>
      </w:pPr>
      <w:r w:rsidRPr="009E1A90">
        <w:t>26.</w:t>
      </w:r>
      <w:r w:rsidRPr="009E1A90">
        <w:tab/>
      </w:r>
      <w:r w:rsidR="00A112E9" w:rsidRPr="009E1A90">
        <w:t xml:space="preserve">Notwithstanding this positive development, the </w:t>
      </w:r>
      <w:r w:rsidR="00DB1367" w:rsidRPr="009E1A90">
        <w:t>Working Group</w:t>
      </w:r>
      <w:r w:rsidR="00A112E9" w:rsidRPr="009E1A90">
        <w:t xml:space="preserve"> </w:t>
      </w:r>
      <w:r w:rsidR="00DB1367" w:rsidRPr="009E1A90">
        <w:t>note</w:t>
      </w:r>
      <w:r w:rsidR="00A112E9" w:rsidRPr="009E1A90">
        <w:t xml:space="preserve">s with concern </w:t>
      </w:r>
      <w:r w:rsidR="00DB1367" w:rsidRPr="009E1A90">
        <w:t xml:space="preserve">that the special detention regime for mafia offenders under </w:t>
      </w:r>
      <w:r w:rsidR="00204674" w:rsidRPr="009E1A90">
        <w:t>article </w:t>
      </w:r>
      <w:r w:rsidR="00DB1367" w:rsidRPr="009E1A90">
        <w:t>41</w:t>
      </w:r>
      <w:r w:rsidR="00DB1367" w:rsidRPr="009E1A90">
        <w:rPr>
          <w:i/>
          <w:iCs/>
        </w:rPr>
        <w:t xml:space="preserve"> </w:t>
      </w:r>
      <w:proofErr w:type="spellStart"/>
      <w:r w:rsidR="00DB1367" w:rsidRPr="009E1A90">
        <w:t>bis</w:t>
      </w:r>
      <w:proofErr w:type="spellEnd"/>
      <w:r w:rsidR="00DB1367" w:rsidRPr="009E1A90">
        <w:rPr>
          <w:i/>
          <w:iCs/>
        </w:rPr>
        <w:t xml:space="preserve"> </w:t>
      </w:r>
      <w:r w:rsidR="00DB1367" w:rsidRPr="009E1A90">
        <w:t xml:space="preserve">of the Law on the </w:t>
      </w:r>
      <w:r w:rsidR="00DB1367" w:rsidRPr="009E1A90">
        <w:lastRenderedPageBreak/>
        <w:t xml:space="preserve">Penitentiary System has not yet been brought in compliance with international human rights requirements. </w:t>
      </w:r>
      <w:r w:rsidR="00A112E9" w:rsidRPr="009E1A90">
        <w:t>I</w:t>
      </w:r>
      <w:r w:rsidR="00DB1367" w:rsidRPr="009E1A90">
        <w:t>t became clear to the Working Group during its meetings with authorities that the Government had so far not undertaken any measures to sufficiently strengthen and expedite the judicial review of the orders imposing or extending this form of detention.</w:t>
      </w:r>
      <w:r w:rsidR="00A112E9" w:rsidRPr="009E1A90">
        <w:t xml:space="preserve"> At times, renewal of the orders would appear to be a </w:t>
      </w:r>
      <w:r w:rsidR="00DB1367" w:rsidRPr="009E1A90">
        <w:t>rubber</w:t>
      </w:r>
      <w:r w:rsidR="00A326FB" w:rsidRPr="009E1A90">
        <w:t>-</w:t>
      </w:r>
      <w:r w:rsidR="00DB1367" w:rsidRPr="009E1A90">
        <w:t>stamping</w:t>
      </w:r>
      <w:r w:rsidR="00830929" w:rsidRPr="009E1A90">
        <w:t xml:space="preserve"> </w:t>
      </w:r>
      <w:r w:rsidR="00A112E9" w:rsidRPr="009E1A90">
        <w:t>exercise</w:t>
      </w:r>
      <w:r w:rsidR="00DB1367" w:rsidRPr="009E1A90">
        <w:t xml:space="preserve"> and </w:t>
      </w:r>
      <w:r w:rsidR="00A112E9" w:rsidRPr="009E1A90">
        <w:t xml:space="preserve">the restrictions are applied </w:t>
      </w:r>
      <w:r w:rsidR="00DB1367" w:rsidRPr="009E1A90">
        <w:t>for several years</w:t>
      </w:r>
      <w:r w:rsidR="00A112E9" w:rsidRPr="009E1A90">
        <w:t xml:space="preserve"> at a time</w:t>
      </w:r>
      <w:r w:rsidR="00DB1367" w:rsidRPr="009E1A90">
        <w:t xml:space="preserve">. </w:t>
      </w:r>
    </w:p>
    <w:p w:rsidR="00A330AC" w:rsidRPr="009E1A90" w:rsidRDefault="009E1A90" w:rsidP="009E1A90">
      <w:pPr>
        <w:pStyle w:val="SingleTxtG"/>
        <w:suppressAutoHyphens w:val="0"/>
      </w:pPr>
      <w:r w:rsidRPr="009E1A90">
        <w:t>27.</w:t>
      </w:r>
      <w:r w:rsidRPr="009E1A90">
        <w:tab/>
      </w:r>
      <w:r w:rsidR="00A330AC" w:rsidRPr="009E1A90">
        <w:t>The Working Group emphasi</w:t>
      </w:r>
      <w:r w:rsidR="00830929" w:rsidRPr="009E1A90">
        <w:t>z</w:t>
      </w:r>
      <w:r w:rsidR="00A330AC" w:rsidRPr="009E1A90">
        <w:t xml:space="preserve">es that a special security regime </w:t>
      </w:r>
      <w:r w:rsidR="00A326FB" w:rsidRPr="009E1A90">
        <w:t xml:space="preserve">that </w:t>
      </w:r>
      <w:r w:rsidR="00A330AC" w:rsidRPr="009E1A90">
        <w:t>entails severe restrictions on prisoners in terms of sociali</w:t>
      </w:r>
      <w:r w:rsidR="00830929" w:rsidRPr="009E1A90">
        <w:t>z</w:t>
      </w:r>
      <w:r w:rsidR="00A330AC" w:rsidRPr="009E1A90">
        <w:t>ation with other inmates and contact with the outside world may have harmful effects, and even more so when the prisoners concerned are held under such conditions for prolonged periods.</w:t>
      </w:r>
      <w:r w:rsidR="00A112E9" w:rsidRPr="009E1A90">
        <w:t xml:space="preserve"> </w:t>
      </w:r>
      <w:r w:rsidR="00A330AC" w:rsidRPr="009E1A90">
        <w:t>Therefore, in order to counteract potentially harmful effects</w:t>
      </w:r>
      <w:r w:rsidR="00A326FB" w:rsidRPr="009E1A90">
        <w:t>,</w:t>
      </w:r>
      <w:r w:rsidR="00A330AC" w:rsidRPr="009E1A90">
        <w:t xml:space="preserve"> it is essential that a balance be struck between the legitimate interests of society and the provision of a regime </w:t>
      </w:r>
      <w:r w:rsidR="00A326FB" w:rsidRPr="009E1A90">
        <w:t xml:space="preserve">that </w:t>
      </w:r>
      <w:r w:rsidR="00A330AC" w:rsidRPr="009E1A90">
        <w:t>offers adequate human contact to the prisoners concerned.</w:t>
      </w:r>
    </w:p>
    <w:p w:rsidR="00DB1367" w:rsidRPr="009E1A90" w:rsidRDefault="009E1A90" w:rsidP="009E1A90">
      <w:pPr>
        <w:pStyle w:val="SingleTxtG"/>
        <w:suppressAutoHyphens w:val="0"/>
      </w:pPr>
      <w:r w:rsidRPr="009E1A90">
        <w:t>28.</w:t>
      </w:r>
      <w:r w:rsidRPr="009E1A90">
        <w:tab/>
      </w:r>
      <w:r w:rsidR="00A330AC" w:rsidRPr="009E1A90">
        <w:t>The Working Group reiterates that a</w:t>
      </w:r>
      <w:r w:rsidR="00DB1367" w:rsidRPr="009E1A90">
        <w:t xml:space="preserve">ny such restrictive measures must be reviewed on a regular basis in order to ensure their compliance with the principles of necessity and proportionality. </w:t>
      </w:r>
    </w:p>
    <w:p w:rsidR="00A56DE8" w:rsidRPr="009E1A90" w:rsidRDefault="00DC6C5E" w:rsidP="005815C5">
      <w:pPr>
        <w:pStyle w:val="H1G"/>
      </w:pPr>
      <w:r w:rsidRPr="009E1A90">
        <w:rPr>
          <w:color w:val="FF0000"/>
        </w:rPr>
        <w:tab/>
      </w:r>
      <w:r w:rsidRPr="009E1A90">
        <w:t>C.</w:t>
      </w:r>
      <w:r w:rsidRPr="009E1A90">
        <w:tab/>
      </w:r>
      <w:r w:rsidR="00312D7F" w:rsidRPr="009E1A90">
        <w:t xml:space="preserve">Detention of </w:t>
      </w:r>
      <w:r w:rsidR="00454165" w:rsidRPr="009E1A90">
        <w:t>asylum seekers and migrants in an irregular situation</w:t>
      </w:r>
    </w:p>
    <w:p w:rsidR="00FA1841" w:rsidRPr="009E1A90" w:rsidRDefault="009E1A90" w:rsidP="009E1A90">
      <w:pPr>
        <w:pStyle w:val="SingleTxtG"/>
        <w:suppressAutoHyphens w:val="0"/>
      </w:pPr>
      <w:r w:rsidRPr="009E1A90">
        <w:t>29.</w:t>
      </w:r>
      <w:r w:rsidRPr="009E1A90">
        <w:tab/>
      </w:r>
      <w:r w:rsidR="00AA2E1F" w:rsidRPr="009E1A90">
        <w:t>In its 2008 report, the Working Group noted that the Italian</w:t>
      </w:r>
      <w:r w:rsidR="00FA1841" w:rsidRPr="009E1A90">
        <w:t xml:space="preserve"> system for administrative detention of migrants and asylum</w:t>
      </w:r>
      <w:r w:rsidR="00A326FB" w:rsidRPr="009E1A90">
        <w:t xml:space="preserve"> </w:t>
      </w:r>
      <w:r w:rsidR="00FA1841" w:rsidRPr="009E1A90">
        <w:t>seekers d</w:t>
      </w:r>
      <w:r w:rsidR="00AA2E1F" w:rsidRPr="009E1A90">
        <w:t>id</w:t>
      </w:r>
      <w:r w:rsidR="00FA1841" w:rsidRPr="009E1A90">
        <w:t xml:space="preserve"> not result in overall excessive deprivation of liberty. There </w:t>
      </w:r>
      <w:r w:rsidR="00AA2E1F" w:rsidRPr="009E1A90">
        <w:t>were</w:t>
      </w:r>
      <w:r w:rsidR="00FA1841" w:rsidRPr="009E1A90">
        <w:t xml:space="preserve">, however, weaknesses in the legal basis and procedural safeguards of the system and incongruities </w:t>
      </w:r>
      <w:r w:rsidR="00A326FB" w:rsidRPr="009E1A90">
        <w:t xml:space="preserve">that </w:t>
      </w:r>
      <w:r w:rsidR="00FA1841" w:rsidRPr="009E1A90">
        <w:t>need</w:t>
      </w:r>
      <w:r w:rsidR="00AA2E1F" w:rsidRPr="009E1A90">
        <w:t>ed</w:t>
      </w:r>
      <w:r w:rsidR="00FA1841" w:rsidRPr="009E1A90">
        <w:t xml:space="preserve"> to be rectified to avoid arbitrariness.</w:t>
      </w:r>
    </w:p>
    <w:p w:rsidR="00E32331" w:rsidRPr="009E1A90" w:rsidRDefault="009E1A90" w:rsidP="009E1A90">
      <w:pPr>
        <w:pStyle w:val="SingleTxtG"/>
        <w:suppressAutoHyphens w:val="0"/>
      </w:pPr>
      <w:r w:rsidRPr="009E1A90">
        <w:t>30.</w:t>
      </w:r>
      <w:r w:rsidRPr="009E1A90">
        <w:tab/>
      </w:r>
      <w:r w:rsidR="00E32331" w:rsidRPr="009E1A90">
        <w:t>At the outset, the Working Group reiterates that Italy does not have a general policy of mandatory detention of all asylum seekers and migrants in an irregular situation, as opposed to some other European countries.</w:t>
      </w:r>
    </w:p>
    <w:p w:rsidR="00E32331" w:rsidRPr="009E1A90" w:rsidRDefault="00182C4D" w:rsidP="003E6675">
      <w:pPr>
        <w:pStyle w:val="H23G"/>
      </w:pPr>
      <w:r w:rsidRPr="009E1A90">
        <w:tab/>
      </w:r>
      <w:r w:rsidRPr="009E1A90">
        <w:tab/>
      </w:r>
      <w:r w:rsidR="00E32331" w:rsidRPr="009E1A90">
        <w:t>Legislative framework</w:t>
      </w:r>
    </w:p>
    <w:p w:rsidR="00E32331" w:rsidRPr="009E1A90" w:rsidRDefault="009E1A90" w:rsidP="009E1A90">
      <w:pPr>
        <w:pStyle w:val="SingleTxtG"/>
        <w:suppressAutoHyphens w:val="0"/>
      </w:pPr>
      <w:r w:rsidRPr="009E1A90">
        <w:t>31.</w:t>
      </w:r>
      <w:r w:rsidRPr="009E1A90">
        <w:tab/>
      </w:r>
      <w:r w:rsidR="00E32331" w:rsidRPr="009E1A90">
        <w:t xml:space="preserve">The Working Group </w:t>
      </w:r>
      <w:r w:rsidR="00454165" w:rsidRPr="009E1A90">
        <w:t>welcome</w:t>
      </w:r>
      <w:r w:rsidR="00AA2E1F" w:rsidRPr="009E1A90">
        <w:t>s</w:t>
      </w:r>
      <w:r w:rsidR="00454165" w:rsidRPr="009E1A90">
        <w:t xml:space="preserve"> the recent abolition of migration as an aggravating circumstance in criminal law and </w:t>
      </w:r>
      <w:r w:rsidR="00A326FB" w:rsidRPr="009E1A90">
        <w:t xml:space="preserve">the </w:t>
      </w:r>
      <w:r w:rsidR="00454165" w:rsidRPr="009E1A90">
        <w:t>steps taken by the Parliament to abrogate the crime of “illegal entry and stay”</w:t>
      </w:r>
      <w:r w:rsidR="00A326FB" w:rsidRPr="009E1A90">
        <w:t>.</w:t>
      </w:r>
      <w:r w:rsidR="00454165" w:rsidRPr="009E1A90">
        <w:t xml:space="preserve"> </w:t>
      </w:r>
      <w:r w:rsidR="00E32331" w:rsidRPr="009E1A90">
        <w:t>Law</w:t>
      </w:r>
      <w:r w:rsidR="00666352" w:rsidRPr="009E1A90">
        <w:t xml:space="preserve"> No. </w:t>
      </w:r>
      <w:r w:rsidR="00E32331" w:rsidRPr="009E1A90">
        <w:t>67 of 28 April 2014 (</w:t>
      </w:r>
      <w:r w:rsidR="00204674" w:rsidRPr="009E1A90">
        <w:t>article </w:t>
      </w:r>
      <w:r w:rsidR="00E32331" w:rsidRPr="009E1A90">
        <w:t xml:space="preserve">2) was passed by Parliament, requiring the Government to abolish the crime of irregular entry and stay within 18 months. The Working Group would appreciate an update as to </w:t>
      </w:r>
      <w:r w:rsidR="00A326FB" w:rsidRPr="009E1A90">
        <w:t xml:space="preserve">the </w:t>
      </w:r>
      <w:r w:rsidR="00E32331" w:rsidRPr="009E1A90">
        <w:t xml:space="preserve">measures undertaken by the Government in this respect. </w:t>
      </w:r>
    </w:p>
    <w:p w:rsidR="00454165" w:rsidRPr="009E1A90" w:rsidRDefault="009E1A90" w:rsidP="009E1A90">
      <w:pPr>
        <w:pStyle w:val="SingleTxtG"/>
        <w:suppressAutoHyphens w:val="0"/>
      </w:pPr>
      <w:r w:rsidRPr="009E1A90">
        <w:t>32.</w:t>
      </w:r>
      <w:r w:rsidRPr="009E1A90">
        <w:tab/>
      </w:r>
      <w:r w:rsidR="00E32331" w:rsidRPr="009E1A90">
        <w:t>The Working Group notes with concern</w:t>
      </w:r>
      <w:r w:rsidR="00454165" w:rsidRPr="009E1A90">
        <w:t xml:space="preserve"> that the </w:t>
      </w:r>
      <w:r w:rsidR="00E32331" w:rsidRPr="009E1A90">
        <w:t xml:space="preserve">crime of irregular entry and stay </w:t>
      </w:r>
      <w:r w:rsidR="00454165" w:rsidRPr="009E1A90">
        <w:t>remains an administrative offence</w:t>
      </w:r>
      <w:r w:rsidR="0024380B" w:rsidRPr="009E1A90">
        <w:t xml:space="preserve"> and </w:t>
      </w:r>
      <w:proofErr w:type="gramStart"/>
      <w:r w:rsidR="0024380B" w:rsidRPr="009E1A90">
        <w:t>that irregular migrants</w:t>
      </w:r>
      <w:proofErr w:type="gramEnd"/>
      <w:r w:rsidR="0024380B" w:rsidRPr="009E1A90">
        <w:t xml:space="preserve"> re-entering the country following an expulsion will continue to face criminal sanctions</w:t>
      </w:r>
      <w:r w:rsidR="00454165" w:rsidRPr="009E1A90">
        <w:t>.</w:t>
      </w:r>
      <w:r w:rsidR="00F13069" w:rsidRPr="009E1A90">
        <w:rPr>
          <w:sz w:val="12"/>
          <w:szCs w:val="12"/>
        </w:rPr>
        <w:t xml:space="preserve"> </w:t>
      </w:r>
    </w:p>
    <w:p w:rsidR="00D770D4" w:rsidRPr="009E1A90" w:rsidRDefault="009E1A90" w:rsidP="009E1A90">
      <w:pPr>
        <w:pStyle w:val="SingleTxtG"/>
        <w:suppressAutoHyphens w:val="0"/>
      </w:pPr>
      <w:r w:rsidRPr="009E1A90">
        <w:t>33.</w:t>
      </w:r>
      <w:r w:rsidRPr="009E1A90">
        <w:tab/>
      </w:r>
      <w:r w:rsidR="00060055" w:rsidRPr="009E1A90">
        <w:t>The Working Group notes that t</w:t>
      </w:r>
      <w:r w:rsidR="008841CC" w:rsidRPr="009E1A90">
        <w:t xml:space="preserve">he legal framework governing detention pending deportation has undergone important changes since </w:t>
      </w:r>
      <w:r w:rsidR="00060055" w:rsidRPr="009E1A90">
        <w:t xml:space="preserve">its </w:t>
      </w:r>
      <w:r w:rsidR="008841CC" w:rsidRPr="009E1A90">
        <w:t xml:space="preserve">2008 visit. In particular, </w:t>
      </w:r>
      <w:r w:rsidR="00086A2A" w:rsidRPr="009E1A90">
        <w:t>Law</w:t>
      </w:r>
      <w:r w:rsidR="00666352" w:rsidRPr="009E1A90">
        <w:t xml:space="preserve"> No. </w:t>
      </w:r>
      <w:r w:rsidR="00086A2A" w:rsidRPr="009E1A90">
        <w:t xml:space="preserve">129 of 2 August 2011 increased </w:t>
      </w:r>
      <w:r w:rsidR="008841CC" w:rsidRPr="009E1A90">
        <w:t>the maximum period of detention, previously set at 60</w:t>
      </w:r>
      <w:r w:rsidR="00FE0E9D" w:rsidRPr="009E1A90">
        <w:t> </w:t>
      </w:r>
      <w:r w:rsidR="008841CC" w:rsidRPr="009E1A90">
        <w:t xml:space="preserve">days, to six months and </w:t>
      </w:r>
      <w:r w:rsidR="00060055" w:rsidRPr="009E1A90">
        <w:t>the statutory maximum duration</w:t>
      </w:r>
      <w:r w:rsidR="008841CC" w:rsidRPr="009E1A90">
        <w:t xml:space="preserve">, under certain circumstances, </w:t>
      </w:r>
      <w:r w:rsidR="00E32331" w:rsidRPr="009E1A90">
        <w:t xml:space="preserve">to </w:t>
      </w:r>
      <w:r w:rsidR="008841CC" w:rsidRPr="009E1A90">
        <w:t>18</w:t>
      </w:r>
      <w:r w:rsidR="00FE0E9D" w:rsidRPr="009E1A90">
        <w:t> </w:t>
      </w:r>
      <w:r w:rsidR="008841CC" w:rsidRPr="009E1A90">
        <w:t>months</w:t>
      </w:r>
      <w:r w:rsidR="00060055" w:rsidRPr="009E1A90">
        <w:t xml:space="preserve">. </w:t>
      </w:r>
      <w:r w:rsidR="00E32331" w:rsidRPr="009E1A90">
        <w:t xml:space="preserve">Following its visit, </w:t>
      </w:r>
      <w:r w:rsidR="00ED6507" w:rsidRPr="009E1A90">
        <w:t>t</w:t>
      </w:r>
      <w:r w:rsidR="00D770D4" w:rsidRPr="009E1A90">
        <w:t xml:space="preserve">he Working Group </w:t>
      </w:r>
      <w:r w:rsidR="00ED6507" w:rsidRPr="009E1A90">
        <w:t>expressed its serious concern about th</w:t>
      </w:r>
      <w:r w:rsidR="00ED6507" w:rsidRPr="009E1A90">
        <w:rPr>
          <w:bCs/>
        </w:rPr>
        <w:t xml:space="preserve">e </w:t>
      </w:r>
      <w:r w:rsidR="00ED6507" w:rsidRPr="009E1A90">
        <w:t xml:space="preserve">length of administrative detention, although </w:t>
      </w:r>
      <w:r w:rsidR="00A326FB" w:rsidRPr="009E1A90">
        <w:t xml:space="preserve">it </w:t>
      </w:r>
      <w:r w:rsidR="00ED6507" w:rsidRPr="009E1A90">
        <w:t>wa</w:t>
      </w:r>
      <w:r w:rsidR="00060055" w:rsidRPr="009E1A90">
        <w:t>s encouraged by recent legislative initiatives to reduce the maximum period</w:t>
      </w:r>
      <w:r w:rsidR="00A326FB" w:rsidRPr="009E1A90">
        <w:t xml:space="preserve"> </w:t>
      </w:r>
      <w:r w:rsidR="00060055" w:rsidRPr="009E1A90">
        <w:t xml:space="preserve">of detention of irregular migrants to 12, or even </w:t>
      </w:r>
      <w:r w:rsidR="00A326FB" w:rsidRPr="009E1A90">
        <w:t>6</w:t>
      </w:r>
      <w:r w:rsidR="00060055" w:rsidRPr="009E1A90">
        <w:t xml:space="preserve">, months. Importantly, the </w:t>
      </w:r>
      <w:proofErr w:type="spellStart"/>
      <w:r w:rsidR="00060055" w:rsidRPr="009E1A90">
        <w:t>Ruperto</w:t>
      </w:r>
      <w:proofErr w:type="spellEnd"/>
      <w:r w:rsidR="00060055" w:rsidRPr="009E1A90">
        <w:t xml:space="preserve"> Commission report endorsed by the Minister of </w:t>
      </w:r>
      <w:r w:rsidR="00A326FB" w:rsidRPr="009E1A90">
        <w:t xml:space="preserve">the </w:t>
      </w:r>
      <w:r w:rsidR="00060055" w:rsidRPr="009E1A90">
        <w:t>Interior in 2013 ha</w:t>
      </w:r>
      <w:r w:rsidR="00ED6507" w:rsidRPr="009E1A90">
        <w:t>d</w:t>
      </w:r>
      <w:r w:rsidR="00060055" w:rsidRPr="009E1A90">
        <w:t xml:space="preserve"> proposed that the maximum period of detention be reduced to 12</w:t>
      </w:r>
      <w:r w:rsidR="00FE0E9D" w:rsidRPr="009E1A90">
        <w:t> </w:t>
      </w:r>
      <w:r w:rsidR="00060055" w:rsidRPr="009E1A90">
        <w:t>months.</w:t>
      </w:r>
      <w:r w:rsidR="00D770D4" w:rsidRPr="009E1A90">
        <w:t xml:space="preserve"> </w:t>
      </w:r>
    </w:p>
    <w:p w:rsidR="00CC5380" w:rsidRPr="009E1A90" w:rsidRDefault="009E1A90" w:rsidP="009E1A90">
      <w:pPr>
        <w:pStyle w:val="SingleTxtG"/>
        <w:suppressAutoHyphens w:val="0"/>
      </w:pPr>
      <w:r w:rsidRPr="009E1A90">
        <w:t>34.</w:t>
      </w:r>
      <w:r w:rsidRPr="009E1A90">
        <w:tab/>
      </w:r>
      <w:r w:rsidR="00086A2A" w:rsidRPr="009E1A90">
        <w:t>At the end of 2014, the Parliament approved Law</w:t>
      </w:r>
      <w:r w:rsidR="00666352" w:rsidRPr="009E1A90">
        <w:t xml:space="preserve"> No. </w:t>
      </w:r>
      <w:r w:rsidR="00086A2A" w:rsidRPr="009E1A90">
        <w:t>161</w:t>
      </w:r>
      <w:r w:rsidR="00A326FB" w:rsidRPr="009E1A90">
        <w:t>,</w:t>
      </w:r>
      <w:r w:rsidR="00CC5380" w:rsidRPr="009E1A90">
        <w:t xml:space="preserve"> which </w:t>
      </w:r>
      <w:r w:rsidR="00086A2A" w:rsidRPr="009E1A90">
        <w:t xml:space="preserve">mandates the reform of immigration detention, thereby representing a radical change compared with the </w:t>
      </w:r>
      <w:r w:rsidR="00086A2A" w:rsidRPr="009E1A90">
        <w:lastRenderedPageBreak/>
        <w:t xml:space="preserve">previous immigration policy. </w:t>
      </w:r>
      <w:r w:rsidR="00CC5380" w:rsidRPr="009E1A90">
        <w:t xml:space="preserve">The Working Group notes that </w:t>
      </w:r>
      <w:r w:rsidR="00086A2A" w:rsidRPr="009E1A90">
        <w:t xml:space="preserve">this reform constitutes a new starting point for Italy </w:t>
      </w:r>
      <w:r w:rsidR="00CC5380" w:rsidRPr="009E1A90">
        <w:t>in its migration policy, but it i</w:t>
      </w:r>
      <w:r w:rsidR="00086A2A" w:rsidRPr="009E1A90">
        <w:t xml:space="preserve">s also an important model for the whole European Union, where, in recent years, the use of detention for reasons of immigration law enforcement has increased enormously, both in asylum and in removal proceedings. </w:t>
      </w:r>
    </w:p>
    <w:p w:rsidR="00E800C2" w:rsidRPr="009E1A90" w:rsidRDefault="009E1A90" w:rsidP="009E1A90">
      <w:pPr>
        <w:pStyle w:val="SingleTxtG"/>
        <w:suppressAutoHyphens w:val="0"/>
      </w:pPr>
      <w:r w:rsidRPr="009E1A90">
        <w:t>35.</w:t>
      </w:r>
      <w:r w:rsidRPr="009E1A90">
        <w:tab/>
      </w:r>
      <w:r w:rsidR="00CC5380" w:rsidRPr="009E1A90">
        <w:t xml:space="preserve">There are two key points of this reform. The most relevant aspect is the reduction in the maximum period of migrants’ detention within removal centres, with an additional reduction in the maximum time limit of detention provided for those migrants who have already served sentences in prison. </w:t>
      </w:r>
      <w:r w:rsidR="00A766A0" w:rsidRPr="009E1A90">
        <w:t xml:space="preserve">With the new law, the maximum time a foreign national may be detained in </w:t>
      </w:r>
      <w:proofErr w:type="gramStart"/>
      <w:r w:rsidR="00A766A0" w:rsidRPr="009E1A90">
        <w:t>a</w:t>
      </w:r>
      <w:r w:rsidR="001727D6" w:rsidRPr="009E1A90">
        <w:t>n</w:t>
      </w:r>
      <w:r w:rsidR="00A766A0" w:rsidRPr="009E1A90">
        <w:t xml:space="preserve"> </w:t>
      </w:r>
      <w:r w:rsidR="007F4EB8" w:rsidRPr="009E1A90">
        <w:t>i</w:t>
      </w:r>
      <w:r w:rsidR="001727D6" w:rsidRPr="009E1A90">
        <w:rPr>
          <w:rFonts w:eastAsia="SimSun"/>
        </w:rPr>
        <w:t>dentification</w:t>
      </w:r>
      <w:proofErr w:type="gramEnd"/>
      <w:r w:rsidR="001727D6" w:rsidRPr="009E1A90">
        <w:rPr>
          <w:rFonts w:eastAsia="SimSun"/>
        </w:rPr>
        <w:t xml:space="preserve"> and </w:t>
      </w:r>
      <w:r w:rsidR="007F4EB8" w:rsidRPr="009E1A90">
        <w:rPr>
          <w:rFonts w:eastAsia="SimSun"/>
        </w:rPr>
        <w:t>e</w:t>
      </w:r>
      <w:r w:rsidR="001727D6" w:rsidRPr="009E1A90">
        <w:rPr>
          <w:rFonts w:eastAsia="SimSun"/>
        </w:rPr>
        <w:t xml:space="preserve">xpulsion </w:t>
      </w:r>
      <w:r w:rsidR="007F4EB8" w:rsidRPr="009E1A90">
        <w:rPr>
          <w:rFonts w:eastAsia="SimSun"/>
        </w:rPr>
        <w:t>c</w:t>
      </w:r>
      <w:r w:rsidR="001727D6" w:rsidRPr="009E1A90">
        <w:rPr>
          <w:rFonts w:eastAsia="SimSun"/>
        </w:rPr>
        <w:t>entre</w:t>
      </w:r>
      <w:r w:rsidR="00A766A0" w:rsidRPr="009E1A90">
        <w:t xml:space="preserve"> has changed from 18 months to a strict limit of </w:t>
      </w:r>
      <w:r w:rsidR="007F4EB8" w:rsidRPr="009E1A90">
        <w:t xml:space="preserve">3 </w:t>
      </w:r>
      <w:r w:rsidR="00A766A0" w:rsidRPr="009E1A90">
        <w:t xml:space="preserve">months. This new maximum is reduced to 30 days if the foreign national has already spent three months or more in prison. </w:t>
      </w:r>
    </w:p>
    <w:p w:rsidR="00086A2A" w:rsidRPr="009E1A90" w:rsidRDefault="009E1A90" w:rsidP="009E1A90">
      <w:pPr>
        <w:pStyle w:val="SingleTxtG"/>
        <w:suppressAutoHyphens w:val="0"/>
      </w:pPr>
      <w:r w:rsidRPr="009E1A90">
        <w:t>36.</w:t>
      </w:r>
      <w:r w:rsidRPr="009E1A90">
        <w:tab/>
      </w:r>
      <w:r w:rsidR="00E800C2" w:rsidRPr="009E1A90">
        <w:t>Moreover, the reform has replaced the system of judicial control on prolonged detention. The law now requires that after the initial 60 days</w:t>
      </w:r>
      <w:r w:rsidR="007F4EB8" w:rsidRPr="009E1A90">
        <w:t>,</w:t>
      </w:r>
      <w:r w:rsidR="006032A7" w:rsidRPr="009E1A90">
        <w:t xml:space="preserve"> </w:t>
      </w:r>
      <w:r w:rsidR="00E800C2" w:rsidRPr="009E1A90">
        <w:t>after the first extended detention period has expired</w:t>
      </w:r>
      <w:r w:rsidR="007F4EB8" w:rsidRPr="009E1A90">
        <w:t>,</w:t>
      </w:r>
      <w:r w:rsidR="006032A7" w:rsidRPr="009E1A90">
        <w:t xml:space="preserve"> </w:t>
      </w:r>
      <w:r w:rsidR="00E800C2" w:rsidRPr="009E1A90">
        <w:t>further time in a</w:t>
      </w:r>
      <w:r w:rsidR="001727D6" w:rsidRPr="009E1A90">
        <w:t>n</w:t>
      </w:r>
      <w:r w:rsidR="00E800C2" w:rsidRPr="009E1A90">
        <w:t xml:space="preserve"> </w:t>
      </w:r>
      <w:r w:rsidR="007F4EB8" w:rsidRPr="009E1A90">
        <w:t>i</w:t>
      </w:r>
      <w:r w:rsidR="001727D6" w:rsidRPr="009E1A90">
        <w:rPr>
          <w:rFonts w:eastAsia="SimSun"/>
        </w:rPr>
        <w:t xml:space="preserve">dentification and </w:t>
      </w:r>
      <w:r w:rsidR="007F4EB8" w:rsidRPr="009E1A90">
        <w:rPr>
          <w:rFonts w:eastAsia="SimSun"/>
        </w:rPr>
        <w:t>e</w:t>
      </w:r>
      <w:r w:rsidR="001727D6" w:rsidRPr="009E1A90">
        <w:rPr>
          <w:rFonts w:eastAsia="SimSun"/>
        </w:rPr>
        <w:t xml:space="preserve">xpulsion </w:t>
      </w:r>
      <w:r w:rsidR="007F4EB8" w:rsidRPr="009E1A90">
        <w:rPr>
          <w:rFonts w:eastAsia="SimSun"/>
        </w:rPr>
        <w:t>c</w:t>
      </w:r>
      <w:r w:rsidR="001727D6" w:rsidRPr="009E1A90">
        <w:rPr>
          <w:rFonts w:eastAsia="SimSun"/>
        </w:rPr>
        <w:t xml:space="preserve">entre </w:t>
      </w:r>
      <w:r w:rsidR="00E800C2" w:rsidRPr="009E1A90">
        <w:t xml:space="preserve">has to be supported by concrete facts that demonstrate the probable identification of the foreign national or that continued detention is necessary to arrange his or her return. However, as mentioned above, even in such cases, the maximum period of detention in </w:t>
      </w:r>
      <w:r w:rsidR="001727D6" w:rsidRPr="009E1A90">
        <w:t xml:space="preserve">such a </w:t>
      </w:r>
      <w:r w:rsidR="007F4EB8" w:rsidRPr="009E1A90">
        <w:t>c</w:t>
      </w:r>
      <w:r w:rsidR="001727D6" w:rsidRPr="009E1A90">
        <w:rPr>
          <w:rFonts w:eastAsia="SimSun"/>
        </w:rPr>
        <w:t xml:space="preserve">entre </w:t>
      </w:r>
      <w:r w:rsidR="00E800C2" w:rsidRPr="009E1A90">
        <w:t xml:space="preserve">cannot </w:t>
      </w:r>
      <w:r w:rsidR="007F4EB8" w:rsidRPr="009E1A90">
        <w:t xml:space="preserve">be for more </w:t>
      </w:r>
      <w:r w:rsidR="00E800C2" w:rsidRPr="009E1A90">
        <w:t xml:space="preserve">than 90 days. This reform insists on a case-by-case evaluation, in compliance with the provisions set by the European </w:t>
      </w:r>
      <w:r w:rsidR="007F4EB8" w:rsidRPr="009E1A90">
        <w:t xml:space="preserve">Union </w:t>
      </w:r>
      <w:r w:rsidR="00E800C2" w:rsidRPr="009E1A90">
        <w:t>Return</w:t>
      </w:r>
      <w:r w:rsidR="007F4EB8" w:rsidRPr="009E1A90">
        <w:t>s</w:t>
      </w:r>
      <w:r w:rsidR="00E800C2" w:rsidRPr="009E1A90">
        <w:t xml:space="preserve"> Directive. </w:t>
      </w:r>
    </w:p>
    <w:p w:rsidR="00D770D4" w:rsidRPr="009E1A90" w:rsidRDefault="009E1A90" w:rsidP="009E1A90">
      <w:pPr>
        <w:pStyle w:val="SingleTxtG"/>
        <w:suppressAutoHyphens w:val="0"/>
      </w:pPr>
      <w:r w:rsidRPr="009E1A90">
        <w:t>37.</w:t>
      </w:r>
      <w:r w:rsidRPr="009E1A90">
        <w:tab/>
      </w:r>
      <w:r w:rsidR="00E800C2" w:rsidRPr="009E1A90">
        <w:t xml:space="preserve">The Working Group welcomes this recent reform. </w:t>
      </w:r>
      <w:r w:rsidR="00D770D4" w:rsidRPr="009E1A90">
        <w:t xml:space="preserve">According to </w:t>
      </w:r>
      <w:r w:rsidR="00E800C2" w:rsidRPr="009E1A90">
        <w:t xml:space="preserve">its </w:t>
      </w:r>
      <w:r w:rsidR="00D770D4" w:rsidRPr="009E1A90">
        <w:t>jurisprudence</w:t>
      </w:r>
      <w:r w:rsidR="007F4EB8" w:rsidRPr="009E1A90">
        <w:t>,</w:t>
      </w:r>
      <w:r w:rsidR="00E800C2" w:rsidRPr="009E1A90">
        <w:t xml:space="preserve"> </w:t>
      </w:r>
      <w:r w:rsidR="00EB2075" w:rsidRPr="009E1A90">
        <w:t>and in accordance with the principle of proportionality</w:t>
      </w:r>
      <w:r w:rsidR="00D770D4" w:rsidRPr="009E1A90">
        <w:t>, migration-related detention should</w:t>
      </w:r>
      <w:r w:rsidR="00EB2075" w:rsidRPr="009E1A90">
        <w:t xml:space="preserve"> be used as </w:t>
      </w:r>
      <w:r w:rsidR="00D770D4" w:rsidRPr="009E1A90">
        <w:t>a last resort</w:t>
      </w:r>
      <w:r w:rsidR="00EB2075" w:rsidRPr="009E1A90">
        <w:t xml:space="preserve"> </w:t>
      </w:r>
      <w:r w:rsidR="00B63E2B" w:rsidRPr="009E1A90">
        <w:t xml:space="preserve">and </w:t>
      </w:r>
      <w:r w:rsidR="00EB2075" w:rsidRPr="009E1A90">
        <w:t xml:space="preserve">only for the shortest period of time, and alternatives to detention should be sought whenever possible. </w:t>
      </w:r>
      <w:r w:rsidR="00D770D4" w:rsidRPr="009E1A90">
        <w:t>The Working Group</w:t>
      </w:r>
      <w:r w:rsidR="00EB2075" w:rsidRPr="009E1A90">
        <w:t xml:space="preserve"> thus</w:t>
      </w:r>
      <w:r w:rsidR="00D770D4" w:rsidRPr="009E1A90">
        <w:t xml:space="preserve"> urges the Government to </w:t>
      </w:r>
      <w:r w:rsidR="00E800C2" w:rsidRPr="009E1A90">
        <w:t xml:space="preserve">take the necessary measures to </w:t>
      </w:r>
      <w:r w:rsidR="00D770D4" w:rsidRPr="009E1A90">
        <w:t xml:space="preserve">reduce the length of the detention in the </w:t>
      </w:r>
      <w:r w:rsidR="00B63E2B" w:rsidRPr="009E1A90">
        <w:t>i</w:t>
      </w:r>
      <w:r w:rsidR="001727D6" w:rsidRPr="009E1A90">
        <w:rPr>
          <w:rFonts w:eastAsia="SimSun"/>
        </w:rPr>
        <w:t xml:space="preserve">dentification and </w:t>
      </w:r>
      <w:r w:rsidR="00B63E2B" w:rsidRPr="009E1A90">
        <w:rPr>
          <w:rFonts w:eastAsia="SimSun"/>
        </w:rPr>
        <w:t>e</w:t>
      </w:r>
      <w:r w:rsidR="001727D6" w:rsidRPr="009E1A90">
        <w:rPr>
          <w:rFonts w:eastAsia="SimSun"/>
        </w:rPr>
        <w:t xml:space="preserve">xpulsion </w:t>
      </w:r>
      <w:r w:rsidR="00B63E2B" w:rsidRPr="009E1A90">
        <w:rPr>
          <w:rFonts w:eastAsia="SimSun"/>
        </w:rPr>
        <w:t>c</w:t>
      </w:r>
      <w:r w:rsidR="001727D6" w:rsidRPr="009E1A90">
        <w:rPr>
          <w:rFonts w:eastAsia="SimSun"/>
        </w:rPr>
        <w:t xml:space="preserve">entres </w:t>
      </w:r>
      <w:r w:rsidR="00D770D4" w:rsidRPr="009E1A90">
        <w:t>to the period of time strictly necessary for the identification.</w:t>
      </w:r>
    </w:p>
    <w:p w:rsidR="00CC5380" w:rsidRPr="009E1A90" w:rsidRDefault="00182C4D" w:rsidP="003E6675">
      <w:pPr>
        <w:pStyle w:val="H23G"/>
      </w:pPr>
      <w:r w:rsidRPr="009E1A90">
        <w:tab/>
      </w:r>
      <w:r w:rsidRPr="009E1A90">
        <w:tab/>
      </w:r>
      <w:r w:rsidR="00CC5380" w:rsidRPr="009E1A90">
        <w:t xml:space="preserve">Conditions of detention in the </w:t>
      </w:r>
      <w:r w:rsidR="00B63E2B" w:rsidRPr="009E1A90">
        <w:t>i</w:t>
      </w:r>
      <w:r w:rsidR="001727D6" w:rsidRPr="009E1A90">
        <w:rPr>
          <w:rFonts w:eastAsia="SimSun"/>
        </w:rPr>
        <w:t xml:space="preserve">dentification and </w:t>
      </w:r>
      <w:r w:rsidR="00B63E2B" w:rsidRPr="009E1A90">
        <w:rPr>
          <w:rFonts w:eastAsia="SimSun"/>
        </w:rPr>
        <w:t>e</w:t>
      </w:r>
      <w:r w:rsidR="001727D6" w:rsidRPr="009E1A90">
        <w:rPr>
          <w:rFonts w:eastAsia="SimSun"/>
        </w:rPr>
        <w:t xml:space="preserve">xpulsion </w:t>
      </w:r>
      <w:r w:rsidR="00B63E2B" w:rsidRPr="009E1A90">
        <w:rPr>
          <w:rFonts w:eastAsia="SimSun"/>
        </w:rPr>
        <w:t>c</w:t>
      </w:r>
      <w:r w:rsidR="001727D6" w:rsidRPr="009E1A90">
        <w:rPr>
          <w:rFonts w:eastAsia="SimSun"/>
        </w:rPr>
        <w:t xml:space="preserve">entres </w:t>
      </w:r>
    </w:p>
    <w:p w:rsidR="00AC3933" w:rsidRPr="009E1A90" w:rsidRDefault="009E1A90" w:rsidP="009E1A90">
      <w:pPr>
        <w:pStyle w:val="SingleTxtG"/>
        <w:suppressAutoHyphens w:val="0"/>
      </w:pPr>
      <w:r w:rsidRPr="009E1A90">
        <w:t>38.</w:t>
      </w:r>
      <w:r w:rsidRPr="009E1A90">
        <w:tab/>
      </w:r>
      <w:r w:rsidR="001727D6" w:rsidRPr="009E1A90">
        <w:rPr>
          <w:rFonts w:eastAsia="SimSun"/>
        </w:rPr>
        <w:t xml:space="preserve">Identification and </w:t>
      </w:r>
      <w:r w:rsidR="00DA0D3B" w:rsidRPr="009E1A90">
        <w:rPr>
          <w:rFonts w:eastAsia="SimSun"/>
        </w:rPr>
        <w:t>e</w:t>
      </w:r>
      <w:r w:rsidR="001727D6" w:rsidRPr="009E1A90">
        <w:rPr>
          <w:rFonts w:eastAsia="SimSun"/>
        </w:rPr>
        <w:t xml:space="preserve">xpulsion </w:t>
      </w:r>
      <w:r w:rsidR="00DA0D3B" w:rsidRPr="009E1A90">
        <w:rPr>
          <w:rFonts w:eastAsia="SimSun"/>
        </w:rPr>
        <w:t>c</w:t>
      </w:r>
      <w:r w:rsidR="001727D6" w:rsidRPr="009E1A90">
        <w:rPr>
          <w:rFonts w:eastAsia="SimSun"/>
        </w:rPr>
        <w:t xml:space="preserve">entres </w:t>
      </w:r>
      <w:r w:rsidR="00AC3933" w:rsidRPr="009E1A90">
        <w:t xml:space="preserve">are centres where migrants are sent in order to be fully identified and removed from the territory. If, at the expiration of the detention period in a </w:t>
      </w:r>
      <w:r w:rsidR="001727D6" w:rsidRPr="009E1A90">
        <w:rPr>
          <w:rFonts w:eastAsia="SimSun"/>
        </w:rPr>
        <w:t>Centre</w:t>
      </w:r>
      <w:r w:rsidR="00AC3933" w:rsidRPr="009E1A90">
        <w:t xml:space="preserve">, the expulsion order cannot be executed, the Police Commissioner must release the foreigner and order them to leave the country within seven days. In the event that the individual does not comply and is apprehended by the police, they may be ordered to pay a fine of between 10,000 and 20,000 </w:t>
      </w:r>
      <w:r w:rsidR="00A54C1B" w:rsidRPr="009E1A90">
        <w:t xml:space="preserve">euros </w:t>
      </w:r>
      <w:r w:rsidR="00AC3933" w:rsidRPr="009E1A90">
        <w:t xml:space="preserve">and can be detained in a new </w:t>
      </w:r>
      <w:r w:rsidR="00A54C1B" w:rsidRPr="009E1A90">
        <w:t>c</w:t>
      </w:r>
      <w:r w:rsidR="001727D6" w:rsidRPr="009E1A90">
        <w:rPr>
          <w:rFonts w:eastAsia="SimSun"/>
        </w:rPr>
        <w:t>entre</w:t>
      </w:r>
      <w:r w:rsidR="00AC3933" w:rsidRPr="009E1A90">
        <w:t xml:space="preserve"> and subject to another removal order.</w:t>
      </w:r>
    </w:p>
    <w:p w:rsidR="00AC3933" w:rsidRPr="009E1A90" w:rsidRDefault="009E1A90" w:rsidP="009E1A90">
      <w:pPr>
        <w:pStyle w:val="SingleTxtG"/>
        <w:suppressAutoHyphens w:val="0"/>
      </w:pPr>
      <w:r w:rsidRPr="009E1A90">
        <w:t>39.</w:t>
      </w:r>
      <w:r w:rsidRPr="009E1A90">
        <w:tab/>
      </w:r>
      <w:r w:rsidR="00AC3933" w:rsidRPr="009E1A90">
        <w:t xml:space="preserve">Italian law establishes minimum conditions for detention. Legislative Decree 286/1998, </w:t>
      </w:r>
      <w:r w:rsidR="00204674" w:rsidRPr="009E1A90">
        <w:t>article </w:t>
      </w:r>
      <w:r w:rsidR="00AC3933" w:rsidRPr="009E1A90">
        <w:t xml:space="preserve">14.2, provides that detainees in </w:t>
      </w:r>
      <w:r w:rsidR="00AF1C35" w:rsidRPr="009E1A90">
        <w:t>i</w:t>
      </w:r>
      <w:r w:rsidR="001727D6" w:rsidRPr="009E1A90">
        <w:rPr>
          <w:rFonts w:eastAsia="SimSun"/>
        </w:rPr>
        <w:t xml:space="preserve">dentification and </w:t>
      </w:r>
      <w:r w:rsidR="00AF1C35" w:rsidRPr="009E1A90">
        <w:rPr>
          <w:rFonts w:eastAsia="SimSun"/>
        </w:rPr>
        <w:t>e</w:t>
      </w:r>
      <w:r w:rsidR="001727D6" w:rsidRPr="009E1A90">
        <w:rPr>
          <w:rFonts w:eastAsia="SimSun"/>
        </w:rPr>
        <w:t xml:space="preserve">xpulsion </w:t>
      </w:r>
      <w:r w:rsidR="00AF1C35" w:rsidRPr="009E1A90">
        <w:rPr>
          <w:rFonts w:eastAsia="SimSun"/>
        </w:rPr>
        <w:t>c</w:t>
      </w:r>
      <w:r w:rsidR="001727D6" w:rsidRPr="009E1A90">
        <w:rPr>
          <w:rFonts w:eastAsia="SimSun"/>
        </w:rPr>
        <w:t xml:space="preserve">entres </w:t>
      </w:r>
      <w:r w:rsidR="00AC3933" w:rsidRPr="009E1A90">
        <w:t xml:space="preserve">must be </w:t>
      </w:r>
      <w:r w:rsidR="00AF1C35" w:rsidRPr="009E1A90">
        <w:t xml:space="preserve">kept </w:t>
      </w:r>
      <w:r w:rsidR="00AC3933" w:rsidRPr="009E1A90">
        <w:t xml:space="preserve">in a way that guarantees the necessary assistance and full respect of their own dignity. Presidential Decree 394/1999, </w:t>
      </w:r>
      <w:r w:rsidR="00204674" w:rsidRPr="009E1A90">
        <w:t>article </w:t>
      </w:r>
      <w:r w:rsidR="00AC3933" w:rsidRPr="009E1A90">
        <w:t xml:space="preserve">21.2, further provides that detention centres should provide detainees </w:t>
      </w:r>
      <w:r w:rsidR="00AF1C35" w:rsidRPr="009E1A90">
        <w:t xml:space="preserve">with </w:t>
      </w:r>
      <w:r w:rsidR="00AC3933" w:rsidRPr="009E1A90">
        <w:t xml:space="preserve">essential health services, activities for their socialization and freedom of worship. Furthermore, the Ministry of </w:t>
      </w:r>
      <w:r w:rsidR="00AF1C35" w:rsidRPr="009E1A90">
        <w:t xml:space="preserve">the </w:t>
      </w:r>
      <w:r w:rsidR="00AC3933" w:rsidRPr="009E1A90">
        <w:t xml:space="preserve">Interior has developed guidelines </w:t>
      </w:r>
      <w:r w:rsidR="00AF1C35" w:rsidRPr="009E1A90">
        <w:t xml:space="preserve">that </w:t>
      </w:r>
      <w:r w:rsidR="00AC3933" w:rsidRPr="009E1A90">
        <w:t xml:space="preserve">detail all services to be provided and items to be distributed in </w:t>
      </w:r>
      <w:r w:rsidR="001727D6" w:rsidRPr="009E1A90">
        <w:t xml:space="preserve">such </w:t>
      </w:r>
      <w:r w:rsidR="00AF1C35" w:rsidRPr="009E1A90">
        <w:t>c</w:t>
      </w:r>
      <w:r w:rsidR="001727D6" w:rsidRPr="009E1A90">
        <w:rPr>
          <w:rFonts w:eastAsia="SimSun"/>
        </w:rPr>
        <w:t>entres</w:t>
      </w:r>
      <w:r w:rsidR="00AC3933" w:rsidRPr="009E1A90">
        <w:t>.</w:t>
      </w:r>
    </w:p>
    <w:p w:rsidR="00AC3933" w:rsidRPr="009E1A90" w:rsidRDefault="009E1A90" w:rsidP="009E1A90">
      <w:pPr>
        <w:pStyle w:val="SingleTxtG"/>
        <w:suppressAutoHyphens w:val="0"/>
      </w:pPr>
      <w:r w:rsidRPr="009E1A90">
        <w:t>40.</w:t>
      </w:r>
      <w:r w:rsidRPr="009E1A90">
        <w:tab/>
      </w:r>
      <w:r w:rsidR="00AC3933" w:rsidRPr="009E1A90">
        <w:t>The Working Group welcomes these overarching principles as they provide the necessary foundation for minimum conditions of detention in accordance with international law. Nevertheless, the lack of applicable nationwide standards appears to leave a large margin of discretion to centre managers</w:t>
      </w:r>
      <w:r w:rsidR="00AF1C35" w:rsidRPr="009E1A90">
        <w:t>,</w:t>
      </w:r>
      <w:r w:rsidR="00424E1C" w:rsidRPr="009E1A90">
        <w:t xml:space="preserve"> and the Working Group has received reports of degrading conditions in many </w:t>
      </w:r>
      <w:r w:rsidR="00AF1C35" w:rsidRPr="009E1A90">
        <w:t>i</w:t>
      </w:r>
      <w:r w:rsidR="001727D6" w:rsidRPr="009E1A90">
        <w:rPr>
          <w:rFonts w:eastAsia="SimSun"/>
        </w:rPr>
        <w:t xml:space="preserve">dentification and </w:t>
      </w:r>
      <w:r w:rsidR="00AF1C35" w:rsidRPr="009E1A90">
        <w:rPr>
          <w:rFonts w:eastAsia="SimSun"/>
        </w:rPr>
        <w:t>e</w:t>
      </w:r>
      <w:r w:rsidR="001727D6" w:rsidRPr="009E1A90">
        <w:rPr>
          <w:rFonts w:eastAsia="SimSun"/>
        </w:rPr>
        <w:t xml:space="preserve">xpulsion </w:t>
      </w:r>
      <w:r w:rsidR="00AF1C35" w:rsidRPr="009E1A90">
        <w:rPr>
          <w:rFonts w:eastAsia="SimSun"/>
        </w:rPr>
        <w:t>c</w:t>
      </w:r>
      <w:r w:rsidR="001727D6" w:rsidRPr="009E1A90">
        <w:rPr>
          <w:rFonts w:eastAsia="SimSun"/>
        </w:rPr>
        <w:t>entres</w:t>
      </w:r>
      <w:r w:rsidR="00424E1C" w:rsidRPr="009E1A90">
        <w:t>.</w:t>
      </w:r>
    </w:p>
    <w:p w:rsidR="00505ACF" w:rsidRPr="009E1A90" w:rsidRDefault="009E1A90" w:rsidP="009E1A90">
      <w:pPr>
        <w:pStyle w:val="SingleTxtG"/>
        <w:suppressAutoHyphens w:val="0"/>
      </w:pPr>
      <w:r w:rsidRPr="009E1A90">
        <w:t>41.</w:t>
      </w:r>
      <w:r w:rsidRPr="009E1A90">
        <w:tab/>
      </w:r>
      <w:r w:rsidR="00AA2E1F" w:rsidRPr="009E1A90">
        <w:t>The Working Group visited the detention facility for migrants</w:t>
      </w:r>
      <w:r w:rsidR="00426177" w:rsidRPr="009E1A90">
        <w:t xml:space="preserve"> in Trapani</w:t>
      </w:r>
      <w:r w:rsidR="00AF1C35" w:rsidRPr="009E1A90">
        <w:t>,</w:t>
      </w:r>
      <w:r w:rsidR="00426177" w:rsidRPr="009E1A90">
        <w:t xml:space="preserve"> </w:t>
      </w:r>
      <w:r w:rsidR="00AF1C35" w:rsidRPr="009E1A90">
        <w:t>at the Milo i</w:t>
      </w:r>
      <w:r w:rsidR="001727D6" w:rsidRPr="009E1A90">
        <w:rPr>
          <w:rFonts w:eastAsia="SimSun"/>
        </w:rPr>
        <w:t xml:space="preserve">dentification and </w:t>
      </w:r>
      <w:r w:rsidR="00AF1C35" w:rsidRPr="009E1A90">
        <w:rPr>
          <w:rFonts w:eastAsia="SimSun"/>
        </w:rPr>
        <w:t>e</w:t>
      </w:r>
      <w:r w:rsidR="001727D6" w:rsidRPr="009E1A90">
        <w:rPr>
          <w:rFonts w:eastAsia="SimSun"/>
        </w:rPr>
        <w:t xml:space="preserve">xpulsion </w:t>
      </w:r>
      <w:r w:rsidR="00AF1C35" w:rsidRPr="009E1A90">
        <w:rPr>
          <w:rFonts w:eastAsia="SimSun"/>
        </w:rPr>
        <w:t>c</w:t>
      </w:r>
      <w:r w:rsidR="001727D6" w:rsidRPr="009E1A90">
        <w:rPr>
          <w:rFonts w:eastAsia="SimSun"/>
        </w:rPr>
        <w:t>entre</w:t>
      </w:r>
      <w:r w:rsidR="00AA2E1F" w:rsidRPr="009E1A90">
        <w:t xml:space="preserve">. This facility had previously been visited </w:t>
      </w:r>
      <w:r w:rsidR="00AF1C35" w:rsidRPr="009E1A90">
        <w:t xml:space="preserve">in 2012 </w:t>
      </w:r>
      <w:r w:rsidR="00AA2E1F" w:rsidRPr="009E1A90">
        <w:t xml:space="preserve">by the Special Rapporteur on </w:t>
      </w:r>
      <w:r w:rsidR="00AF1C35" w:rsidRPr="009E1A90">
        <w:t xml:space="preserve">the human rights of </w:t>
      </w:r>
      <w:r w:rsidR="00AA2E1F" w:rsidRPr="009E1A90">
        <w:t>migrants</w:t>
      </w:r>
      <w:r w:rsidR="00AF1C35" w:rsidRPr="009E1A90">
        <w:t>,</w:t>
      </w:r>
      <w:r w:rsidR="00AA2E1F" w:rsidRPr="009E1A90">
        <w:t xml:space="preserve"> who had expressed serious </w:t>
      </w:r>
      <w:r w:rsidR="00AA2E1F" w:rsidRPr="009E1A90">
        <w:lastRenderedPageBreak/>
        <w:t>concerns about</w:t>
      </w:r>
      <w:r w:rsidR="00F92CD0" w:rsidRPr="009E1A90">
        <w:rPr>
          <w:spacing w:val="2"/>
        </w:rPr>
        <w:t xml:space="preserve"> t</w:t>
      </w:r>
      <w:r w:rsidR="00F92CD0" w:rsidRPr="009E1A90">
        <w:rPr>
          <w:spacing w:val="-2"/>
        </w:rPr>
        <w:t>h</w:t>
      </w:r>
      <w:r w:rsidR="00F92CD0" w:rsidRPr="009E1A90">
        <w:t>e</w:t>
      </w:r>
      <w:r w:rsidR="00F92CD0" w:rsidRPr="009E1A90">
        <w:rPr>
          <w:spacing w:val="24"/>
        </w:rPr>
        <w:t xml:space="preserve"> </w:t>
      </w:r>
      <w:r w:rsidR="00F92CD0" w:rsidRPr="009E1A90">
        <w:rPr>
          <w:spacing w:val="-2"/>
        </w:rPr>
        <w:t>h</w:t>
      </w:r>
      <w:r w:rsidR="00F92CD0" w:rsidRPr="009E1A90">
        <w:rPr>
          <w:spacing w:val="2"/>
        </w:rPr>
        <w:t>i</w:t>
      </w:r>
      <w:r w:rsidR="00F92CD0" w:rsidRPr="009E1A90">
        <w:rPr>
          <w:spacing w:val="-2"/>
        </w:rPr>
        <w:t>g</w:t>
      </w:r>
      <w:r w:rsidR="00F92CD0" w:rsidRPr="009E1A90">
        <w:rPr>
          <w:spacing w:val="1"/>
        </w:rPr>
        <w:t>h</w:t>
      </w:r>
      <w:r w:rsidR="00F92CD0" w:rsidRPr="009E1A90">
        <w:rPr>
          <w:spacing w:val="2"/>
        </w:rPr>
        <w:t>l</w:t>
      </w:r>
      <w:r w:rsidR="00F92CD0" w:rsidRPr="009E1A90">
        <w:t>y</w:t>
      </w:r>
      <w:r w:rsidR="00F92CD0" w:rsidRPr="009E1A90">
        <w:rPr>
          <w:spacing w:val="23"/>
        </w:rPr>
        <w:t xml:space="preserve"> </w:t>
      </w:r>
      <w:r w:rsidR="00F92CD0" w:rsidRPr="009E1A90">
        <w:rPr>
          <w:spacing w:val="-2"/>
        </w:rPr>
        <w:t>m</w:t>
      </w:r>
      <w:r w:rsidR="00F92CD0" w:rsidRPr="009E1A90">
        <w:rPr>
          <w:spacing w:val="-1"/>
        </w:rPr>
        <w:t>ilit</w:t>
      </w:r>
      <w:r w:rsidR="00F92CD0" w:rsidRPr="009E1A90">
        <w:t>ar</w:t>
      </w:r>
      <w:r w:rsidR="00F92CD0" w:rsidRPr="009E1A90">
        <w:rPr>
          <w:spacing w:val="2"/>
        </w:rPr>
        <w:t>i</w:t>
      </w:r>
      <w:r w:rsidR="00F92CD0" w:rsidRPr="009E1A90">
        <w:rPr>
          <w:spacing w:val="-1"/>
        </w:rPr>
        <w:t>z</w:t>
      </w:r>
      <w:r w:rsidR="00F92CD0" w:rsidRPr="009E1A90">
        <w:t>ed</w:t>
      </w:r>
      <w:r w:rsidR="00F92CD0" w:rsidRPr="009E1A90">
        <w:rPr>
          <w:spacing w:val="23"/>
        </w:rPr>
        <w:t xml:space="preserve"> </w:t>
      </w:r>
      <w:r w:rsidR="00F92CD0" w:rsidRPr="009E1A90">
        <w:rPr>
          <w:spacing w:val="1"/>
        </w:rPr>
        <w:t>d</w:t>
      </w:r>
      <w:r w:rsidR="00F92CD0" w:rsidRPr="009E1A90">
        <w:t>e</w:t>
      </w:r>
      <w:r w:rsidR="00F92CD0" w:rsidRPr="009E1A90">
        <w:rPr>
          <w:spacing w:val="-1"/>
        </w:rPr>
        <w:t>si</w:t>
      </w:r>
      <w:r w:rsidR="00F92CD0" w:rsidRPr="009E1A90">
        <w:rPr>
          <w:spacing w:val="1"/>
        </w:rPr>
        <w:t>g</w:t>
      </w:r>
      <w:r w:rsidR="00F92CD0" w:rsidRPr="009E1A90">
        <w:t>n</w:t>
      </w:r>
      <w:r w:rsidR="00F92CD0" w:rsidRPr="009E1A90">
        <w:rPr>
          <w:spacing w:val="20"/>
        </w:rPr>
        <w:t xml:space="preserve"> </w:t>
      </w:r>
      <w:r w:rsidR="00F92CD0" w:rsidRPr="009E1A90">
        <w:rPr>
          <w:spacing w:val="1"/>
        </w:rPr>
        <w:t>o</w:t>
      </w:r>
      <w:r w:rsidR="00F92CD0" w:rsidRPr="009E1A90">
        <w:t>f</w:t>
      </w:r>
      <w:r w:rsidR="00F92CD0" w:rsidRPr="009E1A90">
        <w:rPr>
          <w:w w:val="99"/>
        </w:rPr>
        <w:t xml:space="preserve"> the recently constructed </w:t>
      </w:r>
      <w:r w:rsidR="00403517" w:rsidRPr="009E1A90">
        <w:rPr>
          <w:w w:val="99"/>
        </w:rPr>
        <w:t xml:space="preserve">facility, </w:t>
      </w:r>
      <w:r w:rsidR="00F92CD0" w:rsidRPr="009E1A90">
        <w:rPr>
          <w:spacing w:val="-3"/>
        </w:rPr>
        <w:t>w</w:t>
      </w:r>
      <w:r w:rsidR="00F92CD0" w:rsidRPr="009E1A90">
        <w:rPr>
          <w:spacing w:val="-1"/>
        </w:rPr>
        <w:t>i</w:t>
      </w:r>
      <w:r w:rsidR="00F92CD0" w:rsidRPr="009E1A90">
        <w:rPr>
          <w:spacing w:val="2"/>
        </w:rPr>
        <w:t>t</w:t>
      </w:r>
      <w:r w:rsidR="00F92CD0" w:rsidRPr="009E1A90">
        <w:t>h</w:t>
      </w:r>
      <w:r w:rsidR="00F92CD0" w:rsidRPr="009E1A90">
        <w:rPr>
          <w:spacing w:val="6"/>
        </w:rPr>
        <w:t xml:space="preserve"> </w:t>
      </w:r>
      <w:r w:rsidR="00BB302B" w:rsidRPr="009E1A90">
        <w:rPr>
          <w:spacing w:val="6"/>
        </w:rPr>
        <w:t xml:space="preserve">its </w:t>
      </w:r>
      <w:r w:rsidR="00F92CD0" w:rsidRPr="009E1A90">
        <w:rPr>
          <w:spacing w:val="-2"/>
        </w:rPr>
        <w:t>h</w:t>
      </w:r>
      <w:r w:rsidR="00F92CD0" w:rsidRPr="009E1A90">
        <w:rPr>
          <w:spacing w:val="2"/>
        </w:rPr>
        <w:t>i</w:t>
      </w:r>
      <w:r w:rsidR="00F92CD0" w:rsidRPr="009E1A90">
        <w:rPr>
          <w:spacing w:val="-2"/>
        </w:rPr>
        <w:t>g</w:t>
      </w:r>
      <w:r w:rsidR="00F92CD0" w:rsidRPr="009E1A90">
        <w:t>h</w:t>
      </w:r>
      <w:r w:rsidR="00F92CD0" w:rsidRPr="009E1A90">
        <w:rPr>
          <w:spacing w:val="7"/>
        </w:rPr>
        <w:t xml:space="preserve"> </w:t>
      </w:r>
      <w:r w:rsidR="00F92CD0" w:rsidRPr="009E1A90">
        <w:rPr>
          <w:spacing w:val="-3"/>
        </w:rPr>
        <w:t>w</w:t>
      </w:r>
      <w:r w:rsidR="00F92CD0" w:rsidRPr="009E1A90">
        <w:rPr>
          <w:spacing w:val="-1"/>
        </w:rPr>
        <w:t>i</w:t>
      </w:r>
      <w:r w:rsidR="00F92CD0" w:rsidRPr="009E1A90">
        <w:t>red</w:t>
      </w:r>
      <w:r w:rsidR="00F92CD0" w:rsidRPr="009E1A90">
        <w:rPr>
          <w:spacing w:val="8"/>
        </w:rPr>
        <w:t xml:space="preserve"> </w:t>
      </w:r>
      <w:r w:rsidR="00F92CD0" w:rsidRPr="009E1A90">
        <w:rPr>
          <w:spacing w:val="-2"/>
        </w:rPr>
        <w:t>f</w:t>
      </w:r>
      <w:r w:rsidR="00F92CD0" w:rsidRPr="009E1A90">
        <w:t>e</w:t>
      </w:r>
      <w:r w:rsidR="00F92CD0" w:rsidRPr="009E1A90">
        <w:rPr>
          <w:spacing w:val="-2"/>
        </w:rPr>
        <w:t>n</w:t>
      </w:r>
      <w:r w:rsidR="00F92CD0" w:rsidRPr="009E1A90">
        <w:t>c</w:t>
      </w:r>
      <w:r w:rsidR="00F92CD0" w:rsidRPr="009E1A90">
        <w:rPr>
          <w:spacing w:val="2"/>
        </w:rPr>
        <w:t>e</w:t>
      </w:r>
      <w:r w:rsidR="00F92CD0" w:rsidRPr="009E1A90">
        <w:rPr>
          <w:spacing w:val="-1"/>
        </w:rPr>
        <w:t>s</w:t>
      </w:r>
      <w:r w:rsidR="00F92CD0" w:rsidRPr="009E1A90">
        <w:rPr>
          <w:spacing w:val="5"/>
        </w:rPr>
        <w:t xml:space="preserve"> </w:t>
      </w:r>
      <w:r w:rsidR="00F92CD0" w:rsidRPr="009E1A90">
        <w:t>a</w:t>
      </w:r>
      <w:r w:rsidR="00F92CD0" w:rsidRPr="009E1A90">
        <w:rPr>
          <w:spacing w:val="-2"/>
        </w:rPr>
        <w:t>n</w:t>
      </w:r>
      <w:r w:rsidR="00F92CD0" w:rsidRPr="009E1A90">
        <w:t>d</w:t>
      </w:r>
      <w:r w:rsidR="00F92CD0" w:rsidRPr="009E1A90">
        <w:rPr>
          <w:spacing w:val="7"/>
        </w:rPr>
        <w:t xml:space="preserve"> </w:t>
      </w:r>
      <w:r w:rsidR="00F92CD0" w:rsidRPr="009E1A90">
        <w:t>ce</w:t>
      </w:r>
      <w:r w:rsidR="00F92CD0" w:rsidRPr="009E1A90">
        <w:rPr>
          <w:spacing w:val="-1"/>
        </w:rPr>
        <w:t>l</w:t>
      </w:r>
      <w:r w:rsidR="00F92CD0" w:rsidRPr="009E1A90">
        <w:t>l</w:t>
      </w:r>
      <w:r w:rsidR="00F92CD0" w:rsidRPr="009E1A90">
        <w:rPr>
          <w:spacing w:val="7"/>
        </w:rPr>
        <w:t>-</w:t>
      </w:r>
      <w:r w:rsidR="00F92CD0" w:rsidRPr="009E1A90">
        <w:rPr>
          <w:spacing w:val="-1"/>
        </w:rPr>
        <w:t>l</w:t>
      </w:r>
      <w:r w:rsidR="00F92CD0" w:rsidRPr="009E1A90">
        <w:rPr>
          <w:spacing w:val="2"/>
        </w:rPr>
        <w:t>i</w:t>
      </w:r>
      <w:r w:rsidR="00F92CD0" w:rsidRPr="009E1A90">
        <w:rPr>
          <w:spacing w:val="-2"/>
        </w:rPr>
        <w:t>k</w:t>
      </w:r>
      <w:r w:rsidR="00F92CD0" w:rsidRPr="009E1A90">
        <w:t>e</w:t>
      </w:r>
      <w:r w:rsidR="00F92CD0" w:rsidRPr="009E1A90">
        <w:rPr>
          <w:spacing w:val="6"/>
        </w:rPr>
        <w:t xml:space="preserve"> </w:t>
      </w:r>
      <w:r w:rsidR="00F92CD0" w:rsidRPr="009E1A90">
        <w:t>c</w:t>
      </w:r>
      <w:r w:rsidR="00F92CD0" w:rsidRPr="009E1A90">
        <w:rPr>
          <w:spacing w:val="1"/>
        </w:rPr>
        <w:t>o</w:t>
      </w:r>
      <w:r w:rsidR="00F92CD0" w:rsidRPr="009E1A90">
        <w:rPr>
          <w:spacing w:val="-2"/>
        </w:rPr>
        <w:t>n</w:t>
      </w:r>
      <w:r w:rsidR="00F92CD0" w:rsidRPr="009E1A90">
        <w:rPr>
          <w:spacing w:val="1"/>
        </w:rPr>
        <w:t>d</w:t>
      </w:r>
      <w:r w:rsidR="00F92CD0" w:rsidRPr="009E1A90">
        <w:rPr>
          <w:spacing w:val="-1"/>
        </w:rPr>
        <w:t>iti</w:t>
      </w:r>
      <w:r w:rsidR="00F92CD0" w:rsidRPr="009E1A90">
        <w:rPr>
          <w:spacing w:val="1"/>
        </w:rPr>
        <w:t>on</w:t>
      </w:r>
      <w:r w:rsidR="00F92CD0" w:rsidRPr="009E1A90">
        <w:rPr>
          <w:spacing w:val="-1"/>
        </w:rPr>
        <w:t>s</w:t>
      </w:r>
      <w:r w:rsidR="00E9427D" w:rsidRPr="009E1A90">
        <w:rPr>
          <w:spacing w:val="-1"/>
        </w:rPr>
        <w:t>.</w:t>
      </w:r>
      <w:r w:rsidR="005F192F" w:rsidRPr="009E1A90">
        <w:rPr>
          <w:rStyle w:val="FootnoteReference"/>
        </w:rPr>
        <w:footnoteReference w:id="5"/>
      </w:r>
      <w:r w:rsidR="00F92CD0" w:rsidRPr="009E1A90">
        <w:rPr>
          <w:spacing w:val="5"/>
        </w:rPr>
        <w:t xml:space="preserve"> </w:t>
      </w:r>
      <w:r w:rsidR="00AA2E1F" w:rsidRPr="009E1A90">
        <w:t xml:space="preserve">The Working Group found that the situation in this particular detention facility had significantly </w:t>
      </w:r>
      <w:r w:rsidR="003B64E6" w:rsidRPr="009E1A90">
        <w:t>improved</w:t>
      </w:r>
      <w:r w:rsidR="00AA2E1F" w:rsidRPr="009E1A90">
        <w:t xml:space="preserve">, both in terms of overcrowding and general </w:t>
      </w:r>
      <w:r w:rsidR="00D770D4" w:rsidRPr="009E1A90">
        <w:t xml:space="preserve">living </w:t>
      </w:r>
      <w:r w:rsidR="00AA2E1F" w:rsidRPr="009E1A90">
        <w:t xml:space="preserve">conditions. </w:t>
      </w:r>
      <w:r w:rsidR="00D770D4" w:rsidRPr="009E1A90">
        <w:t xml:space="preserve">Such improvements were </w:t>
      </w:r>
      <w:r w:rsidR="00424E1C" w:rsidRPr="009E1A90">
        <w:t xml:space="preserve">to a large extent </w:t>
      </w:r>
      <w:r w:rsidR="00D770D4" w:rsidRPr="009E1A90">
        <w:t xml:space="preserve">attributable to </w:t>
      </w:r>
      <w:r w:rsidR="00AA2E1F" w:rsidRPr="009E1A90">
        <w:t xml:space="preserve">the </w:t>
      </w:r>
      <w:r w:rsidR="003B64E6" w:rsidRPr="009E1A90">
        <w:t>centre manager</w:t>
      </w:r>
      <w:r w:rsidR="00AA2E1F" w:rsidRPr="009E1A90">
        <w:t xml:space="preserve"> at the time of the visit. </w:t>
      </w:r>
    </w:p>
    <w:p w:rsidR="00505ACF" w:rsidRPr="009E1A90" w:rsidRDefault="009E1A90" w:rsidP="009E1A90">
      <w:pPr>
        <w:pStyle w:val="SingleTxtG"/>
        <w:suppressAutoHyphens w:val="0"/>
      </w:pPr>
      <w:r w:rsidRPr="009E1A90">
        <w:t>42.</w:t>
      </w:r>
      <w:r w:rsidRPr="009E1A90">
        <w:tab/>
      </w:r>
      <w:r w:rsidR="00505ACF" w:rsidRPr="009E1A90">
        <w:t>The Working Group notes that</w:t>
      </w:r>
      <w:r w:rsidR="00BB302B" w:rsidRPr="009E1A90">
        <w:t>,</w:t>
      </w:r>
      <w:r w:rsidR="00505ACF" w:rsidRPr="009E1A90">
        <w:t xml:space="preserve"> since 1 January 2012, the </w:t>
      </w:r>
      <w:r w:rsidR="00BB302B" w:rsidRPr="009E1A90">
        <w:t>o</w:t>
      </w:r>
      <w:r w:rsidR="00505ACF" w:rsidRPr="009E1A90">
        <w:t>rganizations involved in the so-called “</w:t>
      </w:r>
      <w:proofErr w:type="spellStart"/>
      <w:r w:rsidR="00505ACF" w:rsidRPr="009E1A90">
        <w:t>Praesidium</w:t>
      </w:r>
      <w:proofErr w:type="spellEnd"/>
      <w:r w:rsidR="00505ACF" w:rsidRPr="009E1A90">
        <w:t xml:space="preserve"> VII” </w:t>
      </w:r>
      <w:r w:rsidR="00BB302B" w:rsidRPr="009E1A90">
        <w:t>p</w:t>
      </w:r>
      <w:r w:rsidR="00505ACF" w:rsidRPr="009E1A90">
        <w:t>roject</w:t>
      </w:r>
      <w:r w:rsidR="00BB302B" w:rsidRPr="009E1A90">
        <w:t>,</w:t>
      </w:r>
      <w:r w:rsidR="00505ACF" w:rsidRPr="009E1A90">
        <w:t xml:space="preserve"> </w:t>
      </w:r>
      <w:r w:rsidR="009A5DE4" w:rsidRPr="009E1A90">
        <w:t>namely,</w:t>
      </w:r>
      <w:r w:rsidR="00BB302B" w:rsidRPr="009E1A90">
        <w:t xml:space="preserve"> </w:t>
      </w:r>
      <w:r w:rsidR="00505ACF" w:rsidRPr="009E1A90">
        <w:t>IOM</w:t>
      </w:r>
      <w:r w:rsidR="00BB302B" w:rsidRPr="009E1A90">
        <w:t xml:space="preserve">, the Italian Red Cross, the Office of the United Nations High Commissioner for Refugees and </w:t>
      </w:r>
      <w:r w:rsidR="00505ACF" w:rsidRPr="009E1A90">
        <w:t>Save the Children</w:t>
      </w:r>
      <w:r w:rsidR="009A5DE4" w:rsidRPr="009E1A90">
        <w:t>,</w:t>
      </w:r>
      <w:r w:rsidR="00505ACF" w:rsidRPr="009E1A90">
        <w:t xml:space="preserve"> </w:t>
      </w:r>
      <w:r w:rsidR="009A5DE4" w:rsidRPr="009E1A90">
        <w:t xml:space="preserve">with funding from </w:t>
      </w:r>
      <w:r w:rsidR="00505ACF" w:rsidRPr="009E1A90">
        <w:t xml:space="preserve">the Ministry of </w:t>
      </w:r>
      <w:r w:rsidR="009A5DE4" w:rsidRPr="009E1A90">
        <w:t xml:space="preserve">the </w:t>
      </w:r>
      <w:r w:rsidR="00505ACF" w:rsidRPr="009E1A90">
        <w:t xml:space="preserve">Interior </w:t>
      </w:r>
      <w:r w:rsidR="009A5DE4" w:rsidRPr="009E1A90">
        <w:t xml:space="preserve">and the </w:t>
      </w:r>
      <w:r w:rsidR="00505ACF" w:rsidRPr="009E1A90">
        <w:t xml:space="preserve">Department for </w:t>
      </w:r>
      <w:r w:rsidR="009A5DE4" w:rsidRPr="009E1A90">
        <w:t>C</w:t>
      </w:r>
      <w:r w:rsidR="00505ACF" w:rsidRPr="009E1A90">
        <w:t xml:space="preserve">ivil </w:t>
      </w:r>
      <w:r w:rsidR="009A5DE4" w:rsidRPr="009E1A90">
        <w:t>L</w:t>
      </w:r>
      <w:r w:rsidR="00505ACF" w:rsidRPr="009E1A90">
        <w:t xml:space="preserve">iberties and </w:t>
      </w:r>
      <w:r w:rsidR="009A5DE4" w:rsidRPr="009E1A90">
        <w:t>I</w:t>
      </w:r>
      <w:r w:rsidR="00505ACF" w:rsidRPr="009E1A90">
        <w:t xml:space="preserve">mmigration, have </w:t>
      </w:r>
      <w:r w:rsidR="009A5DE4" w:rsidRPr="009E1A90">
        <w:t xml:space="preserve">been acting </w:t>
      </w:r>
      <w:r w:rsidR="00505ACF" w:rsidRPr="009E1A90">
        <w:t xml:space="preserve">according to </w:t>
      </w:r>
      <w:r w:rsidR="009A5DE4" w:rsidRPr="009E1A90">
        <w:t xml:space="preserve">their </w:t>
      </w:r>
      <w:r w:rsidR="00505ACF" w:rsidRPr="009E1A90">
        <w:t>institutional mandate</w:t>
      </w:r>
      <w:r w:rsidR="009A5DE4" w:rsidRPr="009E1A90">
        <w:t>s</w:t>
      </w:r>
      <w:r w:rsidR="00505ACF" w:rsidRPr="009E1A90">
        <w:t xml:space="preserve"> in the main </w:t>
      </w:r>
      <w:r w:rsidR="009A5DE4" w:rsidRPr="009E1A90">
        <w:t xml:space="preserve">migrant </w:t>
      </w:r>
      <w:r w:rsidR="00505ACF" w:rsidRPr="009E1A90">
        <w:t xml:space="preserve">landing </w:t>
      </w:r>
      <w:r w:rsidR="009A5DE4" w:rsidRPr="009E1A90">
        <w:t>areas and g</w:t>
      </w:r>
      <w:r w:rsidR="00505ACF" w:rsidRPr="009E1A90">
        <w:t xml:space="preserve">overnment </w:t>
      </w:r>
      <w:r w:rsidR="009A5DE4" w:rsidRPr="009E1A90">
        <w:t>c</w:t>
      </w:r>
      <w:r w:rsidR="00505ACF" w:rsidRPr="009E1A90">
        <w:t>entres</w:t>
      </w:r>
      <w:r w:rsidR="009A5DE4" w:rsidRPr="009E1A90">
        <w:t>,</w:t>
      </w:r>
      <w:r w:rsidR="00505ACF" w:rsidRPr="009E1A90">
        <w:t xml:space="preserve"> and have been making themselves available for the hosts’ needs. Within the </w:t>
      </w:r>
      <w:r w:rsidR="009A5DE4" w:rsidRPr="009E1A90">
        <w:t xml:space="preserve">framework of the </w:t>
      </w:r>
      <w:r w:rsidR="00505ACF" w:rsidRPr="009E1A90">
        <w:t xml:space="preserve">above-mentioned </w:t>
      </w:r>
      <w:r w:rsidR="009A5DE4" w:rsidRPr="009E1A90">
        <w:t>p</w:t>
      </w:r>
      <w:r w:rsidR="00505ACF" w:rsidRPr="009E1A90">
        <w:t>roject</w:t>
      </w:r>
      <w:r w:rsidR="00505ACF" w:rsidRPr="009E1A90">
        <w:rPr>
          <w:rStyle w:val="FootnoteReference"/>
        </w:rPr>
        <w:footnoteReference w:id="6"/>
      </w:r>
      <w:r w:rsidR="00505ACF" w:rsidRPr="009E1A90">
        <w:rPr>
          <w:rStyle w:val="FootnoteReference"/>
        </w:rPr>
        <w:t xml:space="preserve"> </w:t>
      </w:r>
      <w:r w:rsidR="00505ACF" w:rsidRPr="009E1A90">
        <w:t xml:space="preserve">the Italian Red Cross </w:t>
      </w:r>
      <w:r w:rsidR="009A5DE4" w:rsidRPr="009E1A90">
        <w:t xml:space="preserve">monitors </w:t>
      </w:r>
      <w:r w:rsidR="00505ACF" w:rsidRPr="009E1A90">
        <w:t>health assistance standards and carries out, together with the health units operating in the facilities, interventions and/or procedures aimed at improving the health conditions of the inmates.</w:t>
      </w:r>
      <w:r w:rsidR="00F13069" w:rsidRPr="009E1A90">
        <w:t xml:space="preserve"> </w:t>
      </w:r>
    </w:p>
    <w:p w:rsidR="00454165" w:rsidRPr="009E1A90" w:rsidRDefault="009E1A90" w:rsidP="009E1A90">
      <w:pPr>
        <w:pStyle w:val="SingleTxtG"/>
        <w:suppressAutoHyphens w:val="0"/>
      </w:pPr>
      <w:r w:rsidRPr="009E1A90">
        <w:t>43.</w:t>
      </w:r>
      <w:r w:rsidRPr="009E1A90">
        <w:tab/>
      </w:r>
      <w:r w:rsidR="00992BEF" w:rsidRPr="009E1A90">
        <w:t xml:space="preserve">The Working Group </w:t>
      </w:r>
      <w:r w:rsidR="00454165" w:rsidRPr="009E1A90">
        <w:t xml:space="preserve">found that a significant number of detainees in </w:t>
      </w:r>
      <w:r w:rsidR="009A5DE4" w:rsidRPr="009E1A90">
        <w:t>i</w:t>
      </w:r>
      <w:r w:rsidR="001727D6" w:rsidRPr="009E1A90">
        <w:rPr>
          <w:rFonts w:eastAsia="SimSun"/>
        </w:rPr>
        <w:t xml:space="preserve">dentification and </w:t>
      </w:r>
      <w:r w:rsidR="009A5DE4" w:rsidRPr="009E1A90">
        <w:rPr>
          <w:rFonts w:eastAsia="SimSun"/>
        </w:rPr>
        <w:t>e</w:t>
      </w:r>
      <w:r w:rsidR="001727D6" w:rsidRPr="009E1A90">
        <w:rPr>
          <w:rFonts w:eastAsia="SimSun"/>
        </w:rPr>
        <w:t xml:space="preserve">xpulsion </w:t>
      </w:r>
      <w:r w:rsidR="009A5DE4" w:rsidRPr="009E1A90">
        <w:rPr>
          <w:rFonts w:eastAsia="SimSun"/>
        </w:rPr>
        <w:t>c</w:t>
      </w:r>
      <w:r w:rsidR="001727D6" w:rsidRPr="009E1A90">
        <w:rPr>
          <w:rFonts w:eastAsia="SimSun"/>
        </w:rPr>
        <w:t>entres</w:t>
      </w:r>
      <w:r w:rsidR="00454165" w:rsidRPr="009E1A90">
        <w:t xml:space="preserve"> </w:t>
      </w:r>
      <w:r w:rsidR="002A6BF1" w:rsidRPr="009E1A90">
        <w:t xml:space="preserve">were </w:t>
      </w:r>
      <w:r w:rsidR="00454165" w:rsidRPr="009E1A90">
        <w:t xml:space="preserve">foreign nationals </w:t>
      </w:r>
      <w:r w:rsidR="009D3A36" w:rsidRPr="009E1A90">
        <w:t xml:space="preserve">who had been </w:t>
      </w:r>
      <w:r w:rsidR="00454165" w:rsidRPr="009E1A90">
        <w:t xml:space="preserve">convicted of criminal offences </w:t>
      </w:r>
      <w:r w:rsidR="009D3A36" w:rsidRPr="009E1A90">
        <w:t xml:space="preserve">and </w:t>
      </w:r>
      <w:r w:rsidR="00454165" w:rsidRPr="009E1A90">
        <w:t>subsequently remanded in these centres</w:t>
      </w:r>
      <w:r w:rsidR="00EB2075" w:rsidRPr="009E1A90">
        <w:t xml:space="preserve"> for the purposes of deportation after having served a prison term</w:t>
      </w:r>
      <w:r w:rsidR="00454165" w:rsidRPr="009E1A90">
        <w:t xml:space="preserve">. </w:t>
      </w:r>
      <w:r w:rsidR="00424E1C" w:rsidRPr="009E1A90">
        <w:t xml:space="preserve">While noting that the maximum period of administrative detention in the </w:t>
      </w:r>
      <w:r w:rsidR="009D3A36" w:rsidRPr="009E1A90">
        <w:t>c</w:t>
      </w:r>
      <w:r w:rsidR="001727D6" w:rsidRPr="009E1A90">
        <w:rPr>
          <w:rFonts w:eastAsia="SimSun"/>
        </w:rPr>
        <w:t>entres</w:t>
      </w:r>
      <w:r w:rsidR="00424E1C" w:rsidRPr="009E1A90">
        <w:t xml:space="preserve"> has been reduced to 30 days if the foreign national has already spent three months or more in prison, t</w:t>
      </w:r>
      <w:r w:rsidR="00EB2075" w:rsidRPr="009E1A90">
        <w:t>he Working Group</w:t>
      </w:r>
      <w:r w:rsidR="00424E1C" w:rsidRPr="009E1A90">
        <w:t xml:space="preserve"> nonetheless</w:t>
      </w:r>
      <w:r w:rsidR="00EB2075" w:rsidRPr="009E1A90">
        <w:t xml:space="preserve"> reiterates its </w:t>
      </w:r>
      <w:r w:rsidR="00454165" w:rsidRPr="009E1A90">
        <w:t xml:space="preserve">call </w:t>
      </w:r>
      <w:r w:rsidR="009D3A36" w:rsidRPr="009E1A90">
        <w:t>up</w:t>
      </w:r>
      <w:r w:rsidR="00454165" w:rsidRPr="009E1A90">
        <w:t xml:space="preserve">on the </w:t>
      </w:r>
      <w:r w:rsidR="00EB2075" w:rsidRPr="009E1A90">
        <w:t>relevant Italian authorities to take proactive steps to commence the necessary expulsion and deportation procedures prior to the scheduled release from prison</w:t>
      </w:r>
      <w:r w:rsidR="009D3A36" w:rsidRPr="009E1A90">
        <w:t>,</w:t>
      </w:r>
      <w:r w:rsidR="00EB2075" w:rsidRPr="009E1A90">
        <w:t xml:space="preserve"> thereby </w:t>
      </w:r>
      <w:r w:rsidR="00454165" w:rsidRPr="009E1A90">
        <w:t>avoid</w:t>
      </w:r>
      <w:r w:rsidR="009D3A36" w:rsidRPr="009E1A90">
        <w:t>ing</w:t>
      </w:r>
      <w:r w:rsidR="00454165" w:rsidRPr="009E1A90">
        <w:t xml:space="preserve"> the transfer </w:t>
      </w:r>
      <w:r w:rsidR="009D3A36" w:rsidRPr="009E1A90">
        <w:t xml:space="preserve">of these individuals </w:t>
      </w:r>
      <w:r w:rsidR="00454165" w:rsidRPr="009E1A90">
        <w:t xml:space="preserve">to </w:t>
      </w:r>
      <w:r w:rsidR="009D3A36" w:rsidRPr="009E1A90">
        <w:t>i</w:t>
      </w:r>
      <w:r w:rsidR="001727D6" w:rsidRPr="009E1A90">
        <w:rPr>
          <w:rFonts w:eastAsia="SimSun"/>
        </w:rPr>
        <w:t xml:space="preserve">dentification and </w:t>
      </w:r>
      <w:r w:rsidR="009D3A36" w:rsidRPr="009E1A90">
        <w:rPr>
          <w:rFonts w:eastAsia="SimSun"/>
        </w:rPr>
        <w:t>e</w:t>
      </w:r>
      <w:r w:rsidR="001727D6" w:rsidRPr="009E1A90">
        <w:rPr>
          <w:rFonts w:eastAsia="SimSun"/>
        </w:rPr>
        <w:t xml:space="preserve">xpulsion </w:t>
      </w:r>
      <w:r w:rsidR="009D3A36" w:rsidRPr="009E1A90">
        <w:rPr>
          <w:rFonts w:eastAsia="SimSun"/>
        </w:rPr>
        <w:t>c</w:t>
      </w:r>
      <w:r w:rsidR="001727D6" w:rsidRPr="009E1A90">
        <w:rPr>
          <w:rFonts w:eastAsia="SimSun"/>
        </w:rPr>
        <w:t>entres</w:t>
      </w:r>
      <w:r w:rsidR="00EB2075" w:rsidRPr="009E1A90">
        <w:t>.</w:t>
      </w:r>
      <w:r w:rsidR="00F13069" w:rsidRPr="009E1A90">
        <w:t xml:space="preserve"> </w:t>
      </w:r>
    </w:p>
    <w:p w:rsidR="00CC5380" w:rsidRPr="009E1A90" w:rsidRDefault="00182C4D" w:rsidP="003E6675">
      <w:pPr>
        <w:pStyle w:val="H23G"/>
      </w:pPr>
      <w:r w:rsidRPr="009E1A90">
        <w:tab/>
      </w:r>
      <w:r w:rsidRPr="009E1A90">
        <w:tab/>
      </w:r>
      <w:r w:rsidR="00CC5380" w:rsidRPr="009E1A90">
        <w:t xml:space="preserve">Summary returns </w:t>
      </w:r>
    </w:p>
    <w:p w:rsidR="00227F4A" w:rsidRPr="009E1A90" w:rsidRDefault="009E1A90" w:rsidP="009E1A90">
      <w:pPr>
        <w:pStyle w:val="SingleTxtG"/>
        <w:suppressAutoHyphens w:val="0"/>
      </w:pPr>
      <w:r w:rsidRPr="009E1A90">
        <w:t>44.</w:t>
      </w:r>
      <w:r w:rsidRPr="009E1A90">
        <w:tab/>
      </w:r>
      <w:r w:rsidR="00DB1367" w:rsidRPr="009E1A90">
        <w:t>The Working Group notes with particular concern reports of summary returns of individuals, including in some cases unaccompanied minors and adult asylum seekers, in the context of bilateral readmission agreements, mainly due to inadequate or non-existing screening</w:t>
      </w:r>
      <w:r w:rsidR="009D3A36" w:rsidRPr="009E1A90">
        <w:t>s</w:t>
      </w:r>
      <w:r w:rsidR="00DB1367" w:rsidRPr="009E1A90">
        <w:t xml:space="preserve"> that fail to determine age or to inform </w:t>
      </w:r>
      <w:r w:rsidR="009D3A36" w:rsidRPr="009E1A90">
        <w:t xml:space="preserve">asylum seekers </w:t>
      </w:r>
      <w:r w:rsidR="00DB1367" w:rsidRPr="009E1A90">
        <w:t xml:space="preserve">of their rights. </w:t>
      </w:r>
      <w:r w:rsidR="00505ACF" w:rsidRPr="009E1A90">
        <w:t>Similar concerns were expressed by the Committee on the Rights of the Child in 2011</w:t>
      </w:r>
      <w:r w:rsidR="00E7294F" w:rsidRPr="009E1A90">
        <w:t>.</w:t>
      </w:r>
      <w:r w:rsidR="00505ACF" w:rsidRPr="009E1A90">
        <w:rPr>
          <w:rStyle w:val="FootnoteReference"/>
        </w:rPr>
        <w:footnoteReference w:id="7"/>
      </w:r>
    </w:p>
    <w:p w:rsidR="00DB1367" w:rsidRPr="009E1A90" w:rsidRDefault="009E1A90" w:rsidP="009E1A90">
      <w:pPr>
        <w:pStyle w:val="SingleTxtG"/>
        <w:suppressAutoHyphens w:val="0"/>
      </w:pPr>
      <w:r w:rsidRPr="009E1A90">
        <w:t>45.</w:t>
      </w:r>
      <w:r w:rsidRPr="009E1A90">
        <w:tab/>
      </w:r>
      <w:r w:rsidR="00227F4A" w:rsidRPr="009E1A90">
        <w:t>In addition, b</w:t>
      </w:r>
      <w:r w:rsidR="00227F4A" w:rsidRPr="009E1A90">
        <w:rPr>
          <w:lang w:eastAsia="en-GB"/>
        </w:rPr>
        <w:t>oth the Council of Europe Commissioner for Human Rights</w:t>
      </w:r>
      <w:r w:rsidR="005F192F" w:rsidRPr="009E1A90">
        <w:rPr>
          <w:lang w:eastAsia="en-GB"/>
        </w:rPr>
        <w:t>,</w:t>
      </w:r>
      <w:r w:rsidR="00227F4A" w:rsidRPr="009E1A90">
        <w:rPr>
          <w:lang w:eastAsia="en-GB"/>
        </w:rPr>
        <w:t xml:space="preserve"> Nils </w:t>
      </w:r>
      <w:proofErr w:type="spellStart"/>
      <w:r w:rsidR="00227F4A" w:rsidRPr="009E1A90">
        <w:rPr>
          <w:lang w:eastAsia="en-GB"/>
        </w:rPr>
        <w:t>Muižnieks</w:t>
      </w:r>
      <w:proofErr w:type="spellEnd"/>
      <w:r w:rsidR="00227F4A" w:rsidRPr="009E1A90">
        <w:rPr>
          <w:lang w:eastAsia="en-GB"/>
        </w:rPr>
        <w:t>, in September 2012, and the Special Rapporteur on the rights of migrants</w:t>
      </w:r>
      <w:r w:rsidR="005F192F" w:rsidRPr="009E1A90">
        <w:rPr>
          <w:lang w:eastAsia="en-GB"/>
        </w:rPr>
        <w:t>,</w:t>
      </w:r>
      <w:r w:rsidR="00227F4A" w:rsidRPr="009E1A90">
        <w:rPr>
          <w:lang w:eastAsia="en-GB"/>
        </w:rPr>
        <w:t xml:space="preserve"> Francois </w:t>
      </w:r>
      <w:proofErr w:type="spellStart"/>
      <w:r w:rsidR="00227F4A" w:rsidRPr="009E1A90">
        <w:rPr>
          <w:lang w:eastAsia="en-GB"/>
        </w:rPr>
        <w:t>Crépeau</w:t>
      </w:r>
      <w:proofErr w:type="spellEnd"/>
      <w:r w:rsidR="00227F4A" w:rsidRPr="009E1A90">
        <w:rPr>
          <w:lang w:eastAsia="en-GB"/>
        </w:rPr>
        <w:t xml:space="preserve">, in May 2013, </w:t>
      </w:r>
      <w:proofErr w:type="gramStart"/>
      <w:r w:rsidR="00227F4A" w:rsidRPr="009E1A90">
        <w:rPr>
          <w:lang w:eastAsia="en-GB"/>
        </w:rPr>
        <w:t>have</w:t>
      </w:r>
      <w:proofErr w:type="gramEnd"/>
      <w:r w:rsidR="00227F4A" w:rsidRPr="009E1A90">
        <w:rPr>
          <w:lang w:eastAsia="en-GB"/>
        </w:rPr>
        <w:t xml:space="preserve"> urged Italy to refrain from summary returns to Greece, citing continuing concerns over the grave deficiencies in </w:t>
      </w:r>
      <w:r w:rsidR="009D3A36" w:rsidRPr="009E1A90">
        <w:rPr>
          <w:lang w:eastAsia="en-GB"/>
        </w:rPr>
        <w:t xml:space="preserve">the </w:t>
      </w:r>
      <w:r w:rsidR="00227F4A" w:rsidRPr="009E1A90">
        <w:rPr>
          <w:lang w:eastAsia="en-GB"/>
        </w:rPr>
        <w:t>asylum system</w:t>
      </w:r>
      <w:r w:rsidR="009D3A36" w:rsidRPr="009E1A90">
        <w:rPr>
          <w:lang w:eastAsia="en-GB"/>
        </w:rPr>
        <w:t xml:space="preserve"> of Greece</w:t>
      </w:r>
      <w:r w:rsidR="00E7294F" w:rsidRPr="009E1A90">
        <w:rPr>
          <w:lang w:eastAsia="en-GB"/>
        </w:rPr>
        <w:t>.</w:t>
      </w:r>
      <w:r w:rsidR="00CD000D" w:rsidRPr="009E1A90">
        <w:rPr>
          <w:rStyle w:val="FootnoteReference"/>
        </w:rPr>
        <w:footnoteReference w:id="8"/>
      </w:r>
      <w:r w:rsidR="00F13069" w:rsidRPr="009E1A90">
        <w:rPr>
          <w:lang w:eastAsia="en-GB"/>
        </w:rPr>
        <w:t xml:space="preserve"> </w:t>
      </w:r>
      <w:r w:rsidR="00347F3B" w:rsidRPr="009E1A90">
        <w:rPr>
          <w:lang w:eastAsia="en-GB"/>
        </w:rPr>
        <w:t xml:space="preserve">However, the Government pointed out that Italy </w:t>
      </w:r>
      <w:r w:rsidR="004D589E" w:rsidRPr="009E1A90">
        <w:rPr>
          <w:lang w:eastAsia="en-GB"/>
        </w:rPr>
        <w:t xml:space="preserve">did </w:t>
      </w:r>
      <w:r w:rsidR="00347F3B" w:rsidRPr="009E1A90">
        <w:rPr>
          <w:lang w:eastAsia="en-GB"/>
        </w:rPr>
        <w:t xml:space="preserve">not carry out summary returns to Greece. All the operational procedures carried out at borders by Italy </w:t>
      </w:r>
      <w:r w:rsidR="004D589E" w:rsidRPr="009E1A90">
        <w:rPr>
          <w:lang w:eastAsia="en-GB"/>
        </w:rPr>
        <w:t xml:space="preserve">had </w:t>
      </w:r>
      <w:r w:rsidR="00347F3B" w:rsidRPr="009E1A90">
        <w:rPr>
          <w:lang w:eastAsia="en-GB"/>
        </w:rPr>
        <w:t xml:space="preserve">always </w:t>
      </w:r>
      <w:r w:rsidR="004D589E" w:rsidRPr="009E1A90">
        <w:rPr>
          <w:lang w:eastAsia="en-GB"/>
        </w:rPr>
        <w:t xml:space="preserve">been </w:t>
      </w:r>
      <w:r w:rsidR="00347F3B" w:rsidRPr="009E1A90">
        <w:rPr>
          <w:lang w:eastAsia="en-GB"/>
        </w:rPr>
        <w:t xml:space="preserve">implemented </w:t>
      </w:r>
      <w:r w:rsidR="004D589E" w:rsidRPr="009E1A90">
        <w:rPr>
          <w:lang w:eastAsia="en-GB"/>
        </w:rPr>
        <w:t xml:space="preserve">on </w:t>
      </w:r>
      <w:r w:rsidR="00347F3B" w:rsidRPr="009E1A90">
        <w:rPr>
          <w:lang w:eastAsia="en-GB"/>
        </w:rPr>
        <w:t xml:space="preserve">a case-by-case </w:t>
      </w:r>
      <w:r w:rsidR="004D589E" w:rsidRPr="009E1A90">
        <w:rPr>
          <w:lang w:eastAsia="en-GB"/>
        </w:rPr>
        <w:t>basis</w:t>
      </w:r>
      <w:r w:rsidR="00347F3B" w:rsidRPr="009E1A90">
        <w:rPr>
          <w:lang w:eastAsia="en-GB"/>
        </w:rPr>
        <w:t>.</w:t>
      </w:r>
      <w:r w:rsidR="00F13069" w:rsidRPr="009E1A90">
        <w:rPr>
          <w:lang w:eastAsia="en-GB"/>
        </w:rPr>
        <w:t xml:space="preserve"> </w:t>
      </w:r>
      <w:r w:rsidR="00347F3B" w:rsidRPr="009E1A90">
        <w:rPr>
          <w:lang w:eastAsia="en-GB"/>
        </w:rPr>
        <w:t xml:space="preserve">Each migrant </w:t>
      </w:r>
      <w:r w:rsidR="004D589E" w:rsidRPr="009E1A90">
        <w:rPr>
          <w:lang w:eastAsia="en-GB"/>
        </w:rPr>
        <w:t xml:space="preserve">was </w:t>
      </w:r>
      <w:r w:rsidR="00347F3B" w:rsidRPr="009E1A90">
        <w:rPr>
          <w:lang w:eastAsia="en-GB"/>
        </w:rPr>
        <w:t xml:space="preserve">properly identified and all personal details </w:t>
      </w:r>
      <w:r w:rsidR="004D589E" w:rsidRPr="009E1A90">
        <w:rPr>
          <w:lang w:eastAsia="en-GB"/>
        </w:rPr>
        <w:t xml:space="preserve">were </w:t>
      </w:r>
      <w:r w:rsidR="00347F3B" w:rsidRPr="009E1A90">
        <w:rPr>
          <w:lang w:eastAsia="en-GB"/>
        </w:rPr>
        <w:t xml:space="preserve">managed by the authorities in order to monitor </w:t>
      </w:r>
      <w:r w:rsidR="004D589E" w:rsidRPr="009E1A90">
        <w:rPr>
          <w:lang w:eastAsia="en-GB"/>
        </w:rPr>
        <w:t xml:space="preserve">each individual </w:t>
      </w:r>
      <w:r w:rsidR="00347F3B" w:rsidRPr="009E1A90">
        <w:rPr>
          <w:lang w:eastAsia="en-GB"/>
        </w:rPr>
        <w:t xml:space="preserve">case and </w:t>
      </w:r>
      <w:r w:rsidR="004D589E" w:rsidRPr="009E1A90">
        <w:rPr>
          <w:lang w:eastAsia="en-GB"/>
        </w:rPr>
        <w:t xml:space="preserve">the </w:t>
      </w:r>
      <w:r w:rsidR="00347F3B" w:rsidRPr="009E1A90">
        <w:rPr>
          <w:lang w:eastAsia="en-GB"/>
        </w:rPr>
        <w:t>related assistance measures.</w:t>
      </w:r>
    </w:p>
    <w:p w:rsidR="00FA6D91" w:rsidRPr="009E1A90" w:rsidRDefault="009E1A90" w:rsidP="009E1A90">
      <w:pPr>
        <w:pStyle w:val="SingleTxtG"/>
        <w:suppressAutoHyphens w:val="0"/>
        <w:rPr>
          <w:sz w:val="24"/>
          <w:szCs w:val="24"/>
          <w:lang w:eastAsia="en-GB"/>
        </w:rPr>
      </w:pPr>
      <w:r w:rsidRPr="009E1A90">
        <w:rPr>
          <w:lang w:eastAsia="en-GB"/>
        </w:rPr>
        <w:lastRenderedPageBreak/>
        <w:t>46.</w:t>
      </w:r>
      <w:r w:rsidRPr="009E1A90">
        <w:rPr>
          <w:lang w:eastAsia="en-GB"/>
        </w:rPr>
        <w:tab/>
      </w:r>
      <w:r w:rsidR="00347F3B" w:rsidRPr="009E1A90">
        <w:t xml:space="preserve">Italy has abandoned the “push back” practice and is strongly committed </w:t>
      </w:r>
      <w:r w:rsidR="004D589E" w:rsidRPr="009E1A90">
        <w:t xml:space="preserve">to </w:t>
      </w:r>
      <w:r w:rsidR="00347F3B" w:rsidRPr="009E1A90">
        <w:t>and involved in search-and-rescue activities at sea, very often far</w:t>
      </w:r>
      <w:r w:rsidR="00F13069" w:rsidRPr="009E1A90">
        <w:t xml:space="preserve"> </w:t>
      </w:r>
      <w:r w:rsidR="00347F3B" w:rsidRPr="009E1A90">
        <w:t>beyond its area of responsibilities, ensuring the rescue</w:t>
      </w:r>
      <w:r w:rsidR="009B78A9" w:rsidRPr="009E1A90">
        <w:t xml:space="preserve"> </w:t>
      </w:r>
      <w:r w:rsidR="00347F3B" w:rsidRPr="009E1A90">
        <w:t xml:space="preserve">of migrants </w:t>
      </w:r>
      <w:r w:rsidR="004D589E" w:rsidRPr="009E1A90">
        <w:t xml:space="preserve">and their delivery </w:t>
      </w:r>
      <w:r w:rsidR="00347F3B" w:rsidRPr="009E1A90">
        <w:t>onto the Italian territory.</w:t>
      </w:r>
      <w:r w:rsidR="00F13069" w:rsidRPr="009E1A90">
        <w:t xml:space="preserve"> </w:t>
      </w:r>
      <w:r w:rsidR="00347F3B" w:rsidRPr="009E1A90">
        <w:t>Law</w:t>
      </w:r>
      <w:r w:rsidR="00666352" w:rsidRPr="009E1A90">
        <w:t xml:space="preserve"> No. </w:t>
      </w:r>
      <w:r w:rsidR="00347F3B" w:rsidRPr="009E1A90">
        <w:t xml:space="preserve">129/2011, translating Directive 2008/115/CE, has introduced a gradual expulsion mechanism on the </w:t>
      </w:r>
      <w:r w:rsidR="004D589E" w:rsidRPr="009E1A90">
        <w:t xml:space="preserve">basis of a </w:t>
      </w:r>
      <w:r w:rsidR="00347F3B" w:rsidRPr="009E1A90">
        <w:t>systematic case</w:t>
      </w:r>
      <w:r w:rsidR="004D589E" w:rsidRPr="009E1A90">
        <w:t>-</w:t>
      </w:r>
      <w:r w:rsidR="00347F3B" w:rsidRPr="009E1A90">
        <w:t>by</w:t>
      </w:r>
      <w:r w:rsidR="004D589E" w:rsidRPr="009E1A90">
        <w:t>-</w:t>
      </w:r>
      <w:r w:rsidR="00347F3B" w:rsidRPr="009E1A90">
        <w:t xml:space="preserve">case </w:t>
      </w:r>
      <w:r w:rsidR="004D589E" w:rsidRPr="009E1A90">
        <w:t xml:space="preserve">analysis </w:t>
      </w:r>
      <w:r w:rsidR="00347F3B" w:rsidRPr="009E1A90">
        <w:t>of the situation of each migrant to be repatriated</w:t>
      </w:r>
      <w:r w:rsidR="004D589E" w:rsidRPr="009E1A90">
        <w:t>.</w:t>
      </w:r>
      <w:r w:rsidR="00347F3B" w:rsidRPr="009E1A90">
        <w:t xml:space="preserve"> </w:t>
      </w:r>
      <w:r w:rsidR="004D589E" w:rsidRPr="009E1A90">
        <w:t xml:space="preserve">As a result, </w:t>
      </w:r>
      <w:r w:rsidR="00347F3B" w:rsidRPr="009E1A90">
        <w:t>the repatriation of migrants is immediate where there is the risk of absconding or if the migrant in question is particularly dangerous or has submitted an unfounded or fraudulent application for</w:t>
      </w:r>
      <w:r w:rsidR="00F13069" w:rsidRPr="009E1A90">
        <w:t xml:space="preserve"> </w:t>
      </w:r>
      <w:r w:rsidR="00347F3B" w:rsidRPr="009E1A90">
        <w:t>a residence permit. Otherwise, the repatriation is granted to the foreign applicant, by fixing a specific period for voluntary departure from Italy.</w:t>
      </w:r>
      <w:r w:rsidR="00F13069" w:rsidRPr="009E1A90">
        <w:t xml:space="preserve"> </w:t>
      </w:r>
      <w:r w:rsidR="00EB2075" w:rsidRPr="009E1A90">
        <w:t>The Working Group recalls that s</w:t>
      </w:r>
      <w:r w:rsidR="00DB1367" w:rsidRPr="009E1A90">
        <w:t xml:space="preserve">uch summary returns violate </w:t>
      </w:r>
      <w:r w:rsidR="004D589E" w:rsidRPr="009E1A90">
        <w:t xml:space="preserve">the </w:t>
      </w:r>
      <w:r w:rsidR="00DB1367" w:rsidRPr="009E1A90">
        <w:t xml:space="preserve">obligations </w:t>
      </w:r>
      <w:r w:rsidR="004D589E" w:rsidRPr="009E1A90">
        <w:t xml:space="preserve">of Italy </w:t>
      </w:r>
      <w:r w:rsidR="00DB1367" w:rsidRPr="009E1A90">
        <w:t xml:space="preserve">under national, European and international law to ensure access to a fair asylum procedure and protection against </w:t>
      </w:r>
      <w:proofErr w:type="spellStart"/>
      <w:r w:rsidR="00DB1367" w:rsidRPr="009E1A90">
        <w:t>refoulement</w:t>
      </w:r>
      <w:proofErr w:type="spellEnd"/>
      <w:r w:rsidR="00DB1367" w:rsidRPr="009E1A90">
        <w:t xml:space="preserve">, as well as the prohibition of expulsion of unaccompanied minors. </w:t>
      </w:r>
    </w:p>
    <w:p w:rsidR="00505ACF" w:rsidRPr="009E1A90" w:rsidRDefault="00182C4D" w:rsidP="003E6675">
      <w:pPr>
        <w:pStyle w:val="H23G"/>
      </w:pPr>
      <w:r w:rsidRPr="009E1A90">
        <w:tab/>
      </w:r>
      <w:r w:rsidRPr="009E1A90">
        <w:tab/>
      </w:r>
      <w:r w:rsidR="00505ACF" w:rsidRPr="009E1A90">
        <w:t>A</w:t>
      </w:r>
      <w:r w:rsidR="00FA6D91" w:rsidRPr="009E1A90">
        <w:t>lternatives to</w:t>
      </w:r>
      <w:r w:rsidR="00505ACF" w:rsidRPr="009E1A90">
        <w:t xml:space="preserve"> detention </w:t>
      </w:r>
    </w:p>
    <w:p w:rsidR="00992BEF" w:rsidRPr="009E1A90" w:rsidRDefault="009E1A90" w:rsidP="009E1A90">
      <w:pPr>
        <w:pStyle w:val="SingleTxtG"/>
        <w:suppressAutoHyphens w:val="0"/>
      </w:pPr>
      <w:r w:rsidRPr="009E1A90">
        <w:t>47.</w:t>
      </w:r>
      <w:r w:rsidRPr="009E1A90">
        <w:tab/>
      </w:r>
      <w:r w:rsidR="00992BEF" w:rsidRPr="009E1A90">
        <w:t xml:space="preserve">According to </w:t>
      </w:r>
      <w:r w:rsidR="00505ACF" w:rsidRPr="009E1A90">
        <w:t>Italian</w:t>
      </w:r>
      <w:r w:rsidR="00992BEF" w:rsidRPr="009E1A90">
        <w:t xml:space="preserve"> law, unaccompanied children cannot be detained and are to be issued with a residence permit (</w:t>
      </w:r>
      <w:proofErr w:type="spellStart"/>
      <w:r w:rsidR="00992BEF" w:rsidRPr="009E1A90">
        <w:t>Decreto</w:t>
      </w:r>
      <w:proofErr w:type="spellEnd"/>
      <w:r w:rsidR="00992BEF" w:rsidRPr="009E1A90">
        <w:t xml:space="preserve"> </w:t>
      </w:r>
      <w:proofErr w:type="spellStart"/>
      <w:r w:rsidR="00992BEF" w:rsidRPr="009E1A90">
        <w:t>Legislativo</w:t>
      </w:r>
      <w:proofErr w:type="spellEnd"/>
      <w:r w:rsidR="00992BEF" w:rsidRPr="009E1A90">
        <w:t xml:space="preserve"> 286/98, </w:t>
      </w:r>
      <w:r w:rsidR="00204674" w:rsidRPr="009E1A90">
        <w:t>article </w:t>
      </w:r>
      <w:r w:rsidR="00992BEF" w:rsidRPr="009E1A90">
        <w:t>19.2.a). Other vulnerable categories of migrants, such as victims of trafficking or asylum applicants, cannot be removed</w:t>
      </w:r>
      <w:r w:rsidR="0099290B" w:rsidRPr="009E1A90">
        <w:t>.</w:t>
      </w:r>
      <w:r w:rsidR="00921DD0" w:rsidRPr="009E1A90">
        <w:rPr>
          <w:rStyle w:val="FootnoteReference"/>
        </w:rPr>
        <w:footnoteReference w:id="9"/>
      </w:r>
      <w:r w:rsidR="00992BEF" w:rsidRPr="009E1A90">
        <w:t xml:space="preserve"> Other provisions further protect minors and pregnant women and their spouses, or parents of new born babies up to six months old. However, the Working Group notes that certain practical obstacles, including lack of cooperation of countries of origin of irregular migrants, statelessness and difficulties in the identification of persons subject to a removal, are other reasons for which these orders are not able to be carried out.</w:t>
      </w:r>
    </w:p>
    <w:p w:rsidR="00454165" w:rsidRPr="009E1A90" w:rsidRDefault="009E1A90" w:rsidP="009E1A90">
      <w:pPr>
        <w:pStyle w:val="SingleTxtG"/>
        <w:suppressAutoHyphens w:val="0"/>
      </w:pPr>
      <w:r w:rsidRPr="009E1A90">
        <w:t>48.</w:t>
      </w:r>
      <w:r w:rsidRPr="009E1A90">
        <w:tab/>
      </w:r>
      <w:r w:rsidR="00454165" w:rsidRPr="009E1A90">
        <w:t>The Working Group emphasi</w:t>
      </w:r>
      <w:r w:rsidR="00830929" w:rsidRPr="009E1A90">
        <w:t>z</w:t>
      </w:r>
      <w:r w:rsidR="00454165" w:rsidRPr="009E1A90">
        <w:t xml:space="preserve">es that </w:t>
      </w:r>
      <w:r w:rsidR="00EB2075" w:rsidRPr="009E1A90">
        <w:t>c</w:t>
      </w:r>
      <w:r w:rsidR="00454165" w:rsidRPr="009E1A90">
        <w:t>hildren and other vulnerable persons should not be detained pending resolution of their claims. Alternatives to detention should always be given preference. International evidence suggests that humane and cost</w:t>
      </w:r>
      <w:r w:rsidR="003E31F7" w:rsidRPr="009E1A90">
        <w:t>-</w:t>
      </w:r>
      <w:r w:rsidR="00454165" w:rsidRPr="009E1A90">
        <w:t>effective mechanisms such as community release programmes can be very successful.</w:t>
      </w:r>
    </w:p>
    <w:p w:rsidR="00A56DE8" w:rsidRPr="009E1A90" w:rsidRDefault="00A56DE8" w:rsidP="00A56DE8">
      <w:pPr>
        <w:pStyle w:val="H1G"/>
      </w:pPr>
      <w:r w:rsidRPr="009E1A90">
        <w:rPr>
          <w:color w:val="FF0000"/>
        </w:rPr>
        <w:tab/>
      </w:r>
      <w:r w:rsidR="00C4688C" w:rsidRPr="009E1A90">
        <w:t>D.</w:t>
      </w:r>
      <w:r w:rsidR="00C4688C" w:rsidRPr="009E1A90">
        <w:tab/>
      </w:r>
      <w:r w:rsidRPr="009E1A90">
        <w:t xml:space="preserve">Detention </w:t>
      </w:r>
      <w:r w:rsidR="00711FB7" w:rsidRPr="009E1A90">
        <w:t>of persons in health facilities</w:t>
      </w:r>
    </w:p>
    <w:p w:rsidR="00403517" w:rsidRPr="009E1A90" w:rsidRDefault="009E1A90" w:rsidP="009E1A90">
      <w:pPr>
        <w:pStyle w:val="SingleTxtG"/>
        <w:suppressAutoHyphens w:val="0"/>
      </w:pPr>
      <w:r w:rsidRPr="009E1A90">
        <w:t>49.</w:t>
      </w:r>
      <w:r w:rsidRPr="009E1A90">
        <w:tab/>
      </w:r>
      <w:r w:rsidR="00403517" w:rsidRPr="009E1A90">
        <w:t>Following its 2008 visit, the Working Group noted that</w:t>
      </w:r>
      <w:r w:rsidR="003E31F7" w:rsidRPr="009E1A90">
        <w:t>,</w:t>
      </w:r>
      <w:r w:rsidR="00403517" w:rsidRPr="009E1A90">
        <w:t xml:space="preserve"> regarding the deprivation of liberty of persons with mental health problems, the reform of the health</w:t>
      </w:r>
      <w:r w:rsidR="003E31F7" w:rsidRPr="009E1A90">
        <w:t>-</w:t>
      </w:r>
      <w:r w:rsidR="00403517" w:rsidRPr="009E1A90">
        <w:t xml:space="preserve">care laws </w:t>
      </w:r>
      <w:r w:rsidR="003E31F7" w:rsidRPr="009E1A90">
        <w:t xml:space="preserve">that </w:t>
      </w:r>
      <w:r w:rsidR="00403517" w:rsidRPr="009E1A90">
        <w:t xml:space="preserve">abolished closed institutions had not been reflected in similar reforms regarding judicial psychiatric hospitals. The system of open-ended “security measures” for persons considered “dangerous” on the basis of mental illness, drug-addiction or other </w:t>
      </w:r>
      <w:r w:rsidR="003E31F7" w:rsidRPr="009E1A90">
        <w:t xml:space="preserve">conditions </w:t>
      </w:r>
      <w:r w:rsidR="00403517" w:rsidRPr="009E1A90">
        <w:t>might not contain sufficient safeguards.</w:t>
      </w:r>
    </w:p>
    <w:p w:rsidR="00403517" w:rsidRPr="009E1A90" w:rsidRDefault="009E1A90" w:rsidP="009E1A90">
      <w:pPr>
        <w:pStyle w:val="SingleTxtG"/>
        <w:suppressAutoHyphens w:val="0"/>
      </w:pPr>
      <w:r w:rsidRPr="009E1A90">
        <w:t>50.</w:t>
      </w:r>
      <w:r w:rsidRPr="009E1A90">
        <w:tab/>
      </w:r>
      <w:r w:rsidR="00403517" w:rsidRPr="009E1A90">
        <w:t>According to the detailed follow-up response submitted by the Government, t</w:t>
      </w:r>
      <w:r w:rsidR="00554A82" w:rsidRPr="009E1A90">
        <w:t xml:space="preserve">he process to overcome the </w:t>
      </w:r>
      <w:r w:rsidR="003E31F7" w:rsidRPr="009E1A90">
        <w:t>j</w:t>
      </w:r>
      <w:r w:rsidR="00554A82" w:rsidRPr="009E1A90">
        <w:t xml:space="preserve">udicial </w:t>
      </w:r>
      <w:r w:rsidR="003E31F7" w:rsidRPr="009E1A90">
        <w:t>p</w:t>
      </w:r>
      <w:r w:rsidR="00554A82" w:rsidRPr="009E1A90">
        <w:t xml:space="preserve">sychiatric </w:t>
      </w:r>
      <w:r w:rsidR="003E31F7" w:rsidRPr="009E1A90">
        <w:t>h</w:t>
      </w:r>
      <w:r w:rsidR="00554A82" w:rsidRPr="009E1A90">
        <w:t xml:space="preserve">ospitals started in 2008 with the Decree of the President of the Council of Ministers, which established the shifting of the responsibility of the penitentiary health-care service to the </w:t>
      </w:r>
      <w:r w:rsidR="003E31F7" w:rsidRPr="009E1A90">
        <w:t>r</w:t>
      </w:r>
      <w:r w:rsidR="00554A82" w:rsidRPr="009E1A90">
        <w:t xml:space="preserve">egions. </w:t>
      </w:r>
    </w:p>
    <w:p w:rsidR="00454165" w:rsidRPr="009E1A90" w:rsidRDefault="009E1A90" w:rsidP="009E1A90">
      <w:pPr>
        <w:pStyle w:val="SingleTxtG"/>
        <w:suppressAutoHyphens w:val="0"/>
      </w:pPr>
      <w:r w:rsidRPr="009E1A90">
        <w:t>51.</w:t>
      </w:r>
      <w:r w:rsidRPr="009E1A90">
        <w:tab/>
      </w:r>
      <w:r w:rsidR="009D0954" w:rsidRPr="009E1A90">
        <w:t xml:space="preserve">On 31 March 2015, </w:t>
      </w:r>
      <w:r w:rsidR="003E31F7" w:rsidRPr="009E1A90">
        <w:t>j</w:t>
      </w:r>
      <w:r w:rsidR="009D0954" w:rsidRPr="009E1A90">
        <w:t xml:space="preserve">udicial </w:t>
      </w:r>
      <w:r w:rsidR="003E31F7" w:rsidRPr="009E1A90">
        <w:t>p</w:t>
      </w:r>
      <w:r w:rsidR="009D0954" w:rsidRPr="009E1A90">
        <w:t xml:space="preserve">sychiatric </w:t>
      </w:r>
      <w:r w:rsidR="003E31F7" w:rsidRPr="009E1A90">
        <w:t>h</w:t>
      </w:r>
      <w:r w:rsidR="009D0954" w:rsidRPr="009E1A90">
        <w:t>ospitals were closed, in compliance with the deadline established by Law</w:t>
      </w:r>
      <w:r w:rsidR="00666352" w:rsidRPr="009E1A90">
        <w:t xml:space="preserve"> No. </w:t>
      </w:r>
      <w:r w:rsidR="009D0954" w:rsidRPr="009E1A90">
        <w:t>81/2014. Since 1 April 2015, their competence has been transferred to regional health</w:t>
      </w:r>
      <w:r w:rsidR="007F54A3" w:rsidRPr="009E1A90">
        <w:t>-</w:t>
      </w:r>
      <w:r w:rsidR="009D0954" w:rsidRPr="009E1A90">
        <w:t xml:space="preserve">care structures and the patients are now </w:t>
      </w:r>
      <w:r w:rsidR="00F705A4" w:rsidRPr="009E1A90">
        <w:t xml:space="preserve">under the supervision </w:t>
      </w:r>
      <w:r w:rsidR="009D0954" w:rsidRPr="009E1A90">
        <w:t xml:space="preserve">of the community Mental Health Department, </w:t>
      </w:r>
      <w:r w:rsidR="00F705A4" w:rsidRPr="009E1A90">
        <w:t xml:space="preserve">which provides </w:t>
      </w:r>
      <w:r w:rsidR="009D0954" w:rsidRPr="009E1A90">
        <w:t>an individual care program</w:t>
      </w:r>
      <w:r w:rsidR="00830929" w:rsidRPr="009E1A90">
        <w:t>me</w:t>
      </w:r>
      <w:r w:rsidR="009D0954" w:rsidRPr="009E1A90">
        <w:t>.</w:t>
      </w:r>
      <w:r w:rsidR="00F13069" w:rsidRPr="009E1A90">
        <w:t xml:space="preserve"> </w:t>
      </w:r>
      <w:r w:rsidR="00403517" w:rsidRPr="009E1A90">
        <w:t>During the follow-up visit, t</w:t>
      </w:r>
      <w:r w:rsidR="00454165" w:rsidRPr="009E1A90">
        <w:t xml:space="preserve">he Working Group also examined </w:t>
      </w:r>
      <w:r w:rsidR="009D0954" w:rsidRPr="009E1A90">
        <w:t xml:space="preserve">these </w:t>
      </w:r>
      <w:r w:rsidR="00454165" w:rsidRPr="009E1A90">
        <w:t xml:space="preserve">efforts to close the </w:t>
      </w:r>
      <w:r w:rsidR="00F705A4" w:rsidRPr="009E1A90">
        <w:t>j</w:t>
      </w:r>
      <w:r w:rsidR="00454165" w:rsidRPr="009E1A90">
        <w:t xml:space="preserve">udicial </w:t>
      </w:r>
      <w:r w:rsidR="00F705A4" w:rsidRPr="009E1A90">
        <w:t>p</w:t>
      </w:r>
      <w:r w:rsidR="00454165" w:rsidRPr="009E1A90">
        <w:t xml:space="preserve">sychiatric </w:t>
      </w:r>
      <w:r w:rsidR="00F705A4" w:rsidRPr="009E1A90">
        <w:t>h</w:t>
      </w:r>
      <w:r w:rsidR="00454165" w:rsidRPr="009E1A90">
        <w:t>ospitals and transfer their competence to regional substitutive health</w:t>
      </w:r>
      <w:r w:rsidR="007F54A3" w:rsidRPr="009E1A90">
        <w:t>-</w:t>
      </w:r>
      <w:r w:rsidR="00454165" w:rsidRPr="009E1A90">
        <w:t xml:space="preserve">care structures. </w:t>
      </w:r>
      <w:r w:rsidR="004D7AAB" w:rsidRPr="009E1A90">
        <w:t xml:space="preserve">The Working Group </w:t>
      </w:r>
      <w:r w:rsidR="00454165" w:rsidRPr="009E1A90">
        <w:t>regret</w:t>
      </w:r>
      <w:r w:rsidR="004D7AAB" w:rsidRPr="009E1A90">
        <w:t>s</w:t>
      </w:r>
      <w:r w:rsidR="00454165" w:rsidRPr="009E1A90">
        <w:t xml:space="preserve"> that the deadline for </w:t>
      </w:r>
      <w:r w:rsidR="00454165" w:rsidRPr="009E1A90">
        <w:lastRenderedPageBreak/>
        <w:t xml:space="preserve">implementing the reform of the psychiatric system </w:t>
      </w:r>
      <w:r w:rsidR="009D0954" w:rsidRPr="009E1A90">
        <w:t>was</w:t>
      </w:r>
      <w:r w:rsidR="00454165" w:rsidRPr="009E1A90">
        <w:t xml:space="preserve"> postponed twice</w:t>
      </w:r>
      <w:r w:rsidR="00B64E45" w:rsidRPr="009E1A90">
        <w:t>,</w:t>
      </w:r>
      <w:r w:rsidR="00454165" w:rsidRPr="009E1A90">
        <w:t xml:space="preserve"> but </w:t>
      </w:r>
      <w:r w:rsidR="00B64E45" w:rsidRPr="009E1A90">
        <w:t xml:space="preserve">is </w:t>
      </w:r>
      <w:r w:rsidR="00454165" w:rsidRPr="009E1A90">
        <w:t xml:space="preserve">encouraged by the fact that the most recent legislative initiative </w:t>
      </w:r>
      <w:r w:rsidR="00B164F5" w:rsidRPr="009E1A90">
        <w:t xml:space="preserve">provides for an </w:t>
      </w:r>
      <w:r w:rsidR="00454165" w:rsidRPr="009E1A90">
        <w:t>assessment of all individual cases</w:t>
      </w:r>
      <w:r w:rsidR="00B164F5" w:rsidRPr="009E1A90">
        <w:t>,</w:t>
      </w:r>
      <w:r w:rsidR="00454165" w:rsidRPr="009E1A90">
        <w:t xml:space="preserve"> as well as strict reporting and monitoring requirements with regard to progress made.</w:t>
      </w:r>
    </w:p>
    <w:p w:rsidR="00FA1841" w:rsidRPr="009E1A90" w:rsidRDefault="00FA1841" w:rsidP="00554A82">
      <w:pPr>
        <w:pStyle w:val="H1G"/>
      </w:pPr>
      <w:r w:rsidRPr="009E1A90">
        <w:tab/>
      </w:r>
      <w:r w:rsidR="00A7431F" w:rsidRPr="009E1A90">
        <w:t>E</w:t>
      </w:r>
      <w:r w:rsidRPr="009E1A90">
        <w:t>.</w:t>
      </w:r>
      <w:r w:rsidRPr="009E1A90">
        <w:tab/>
        <w:t xml:space="preserve">Other issues </w:t>
      </w:r>
    </w:p>
    <w:p w:rsidR="00555E77" w:rsidRPr="009E1A90" w:rsidRDefault="00DC6C5E" w:rsidP="003E6675">
      <w:pPr>
        <w:pStyle w:val="H23G"/>
      </w:pPr>
      <w:r w:rsidRPr="009E1A90">
        <w:tab/>
      </w:r>
      <w:r w:rsidRPr="009E1A90">
        <w:tab/>
      </w:r>
      <w:r w:rsidR="00555E77" w:rsidRPr="009E1A90">
        <w:t xml:space="preserve">Incidents of police brutality against arrestees </w:t>
      </w:r>
    </w:p>
    <w:p w:rsidR="000D5D7C" w:rsidRPr="009E1A90" w:rsidRDefault="009E1A90" w:rsidP="009E1A90">
      <w:pPr>
        <w:pStyle w:val="SingleTxtG"/>
        <w:suppressAutoHyphens w:val="0"/>
      </w:pPr>
      <w:r w:rsidRPr="009E1A90">
        <w:t>52.</w:t>
      </w:r>
      <w:r w:rsidRPr="009E1A90">
        <w:tab/>
      </w:r>
      <w:r w:rsidR="00555E77" w:rsidRPr="009E1A90">
        <w:t xml:space="preserve">As for the incidents of police brutality, the Government has provided follow-up information about a strong normative framework designed in order to ensure provisions adequate to the service performed by the </w:t>
      </w:r>
      <w:r w:rsidR="00403517" w:rsidRPr="009E1A90">
        <w:t>p</w:t>
      </w:r>
      <w:r w:rsidR="00555E77" w:rsidRPr="009E1A90">
        <w:t xml:space="preserve">olice forces. The </w:t>
      </w:r>
      <w:r w:rsidR="00403517" w:rsidRPr="009E1A90">
        <w:t>p</w:t>
      </w:r>
      <w:r w:rsidR="00555E77" w:rsidRPr="009E1A90">
        <w:t xml:space="preserve">olice forces are bound to the following duties: diligence, legality, correctness and loyalty. </w:t>
      </w:r>
      <w:r w:rsidR="00C23558" w:rsidRPr="009E1A90">
        <w:t>They</w:t>
      </w:r>
      <w:r w:rsidR="00403517" w:rsidRPr="009E1A90">
        <w:t xml:space="preserve"> </w:t>
      </w:r>
      <w:r w:rsidR="00555E77" w:rsidRPr="009E1A90">
        <w:t>are also duty-bound to additional specific obligations and prescriptions (See Act</w:t>
      </w:r>
      <w:r w:rsidR="00666352" w:rsidRPr="009E1A90">
        <w:t xml:space="preserve"> No. </w:t>
      </w:r>
      <w:r w:rsidR="00555E77" w:rsidRPr="009E1A90">
        <w:t xml:space="preserve">121/81), which are reflected in the so-called disciplinary responsibility, along the lines of the military system. The disciplinary responsibility is linked with, and strongly aims at, ensuring the full compliance with the constitutional principles contained in </w:t>
      </w:r>
      <w:r w:rsidR="00204674" w:rsidRPr="009E1A90">
        <w:t>article </w:t>
      </w:r>
      <w:r w:rsidR="00555E77" w:rsidRPr="009E1A90">
        <w:t>97 of the Italian Constitution. Accordingly, the relat</w:t>
      </w:r>
      <w:r w:rsidR="00403517" w:rsidRPr="009E1A90">
        <w:t>ed</w:t>
      </w:r>
      <w:r w:rsidR="00555E77" w:rsidRPr="009E1A90">
        <w:t xml:space="preserve"> </w:t>
      </w:r>
      <w:proofErr w:type="spellStart"/>
      <w:r w:rsidR="00555E77" w:rsidRPr="009E1A90">
        <w:t>sanctional</w:t>
      </w:r>
      <w:proofErr w:type="spellEnd"/>
      <w:r w:rsidR="00555E77" w:rsidRPr="009E1A90">
        <w:t xml:space="preserve"> system, being based upon the principle of the expeditiousness of the proceeding, is strictly linked to the disciplinary responsibility. Generally, each and every case/incident is duly and promptly investigated.</w:t>
      </w:r>
      <w:r w:rsidR="00F13069" w:rsidRPr="009E1A90">
        <w:t xml:space="preserve"> </w:t>
      </w:r>
      <w:r w:rsidR="000D5D7C" w:rsidRPr="009E1A90">
        <w:t>The Bill introducing the specific crime of torture (A.S. n.</w:t>
      </w:r>
      <w:r w:rsidR="002863E1" w:rsidRPr="009E1A90">
        <w:t> </w:t>
      </w:r>
      <w:r w:rsidR="000D5D7C" w:rsidRPr="009E1A90">
        <w:t xml:space="preserve">10-362-388-395-849-874-B) is under examination at the Italian Senate (second reading) since </w:t>
      </w:r>
      <w:r w:rsidR="00645521" w:rsidRPr="009E1A90">
        <w:t xml:space="preserve">21 </w:t>
      </w:r>
      <w:r w:rsidR="000D5D7C" w:rsidRPr="009E1A90">
        <w:t>April</w:t>
      </w:r>
      <w:r w:rsidR="00645521" w:rsidRPr="009E1A90">
        <w:t xml:space="preserve"> </w:t>
      </w:r>
      <w:r w:rsidR="000D5D7C" w:rsidRPr="009E1A90">
        <w:t xml:space="preserve">2015. It comprises seven articles: </w:t>
      </w:r>
    </w:p>
    <w:p w:rsidR="000D5D7C" w:rsidRPr="009E1A90" w:rsidRDefault="00C55B89" w:rsidP="003E6675">
      <w:pPr>
        <w:pStyle w:val="Bullet2G"/>
        <w:numPr>
          <w:ilvl w:val="0"/>
          <w:numId w:val="0"/>
        </w:numPr>
        <w:ind w:left="1134" w:firstLine="567"/>
      </w:pPr>
      <w:r w:rsidRPr="009E1A90">
        <w:t xml:space="preserve">(a) Article </w:t>
      </w:r>
      <w:r w:rsidR="000D5D7C" w:rsidRPr="009E1A90">
        <w:t>1</w:t>
      </w:r>
      <w:r w:rsidRPr="009E1A90">
        <w:t>, under which t</w:t>
      </w:r>
      <w:r w:rsidR="000D5D7C" w:rsidRPr="009E1A90">
        <w:t>he crime of torture is design</w:t>
      </w:r>
      <w:r w:rsidRPr="009E1A90">
        <w:t>at</w:t>
      </w:r>
      <w:r w:rsidR="000D5D7C" w:rsidRPr="009E1A90">
        <w:t xml:space="preserve">ed as a common crime and will be included in the Criminal Code under </w:t>
      </w:r>
      <w:r w:rsidR="00204674" w:rsidRPr="009E1A90">
        <w:t>article </w:t>
      </w:r>
      <w:r w:rsidR="000D5D7C" w:rsidRPr="009E1A90">
        <w:t>613-bis;</w:t>
      </w:r>
    </w:p>
    <w:p w:rsidR="000D5D7C" w:rsidRPr="009E1A90" w:rsidRDefault="00C55B89" w:rsidP="003E6675">
      <w:pPr>
        <w:pStyle w:val="Bullet2G"/>
        <w:numPr>
          <w:ilvl w:val="0"/>
          <w:numId w:val="0"/>
        </w:numPr>
        <w:ind w:left="1134" w:firstLine="567"/>
      </w:pPr>
      <w:r w:rsidRPr="009E1A90">
        <w:t xml:space="preserve">(b) Article </w:t>
      </w:r>
      <w:r w:rsidR="000D5D7C" w:rsidRPr="009E1A90">
        <w:t>2</w:t>
      </w:r>
      <w:r w:rsidRPr="009E1A90">
        <w:t>, under which s</w:t>
      </w:r>
      <w:r w:rsidR="000D5D7C" w:rsidRPr="009E1A90">
        <w:t>ome aggravating circumstances, including when this crime is committed by a public official, have been envisaged;</w:t>
      </w:r>
    </w:p>
    <w:p w:rsidR="000D5D7C" w:rsidRPr="009E1A90" w:rsidRDefault="00C55B89" w:rsidP="003E6675">
      <w:pPr>
        <w:pStyle w:val="Bullet2G"/>
        <w:numPr>
          <w:ilvl w:val="0"/>
          <w:numId w:val="0"/>
        </w:numPr>
        <w:ind w:left="1134" w:firstLine="567"/>
      </w:pPr>
      <w:r w:rsidRPr="009E1A90">
        <w:t xml:space="preserve">(c) Article </w:t>
      </w:r>
      <w:r w:rsidR="000D5D7C" w:rsidRPr="009E1A90">
        <w:t>3</w:t>
      </w:r>
      <w:r w:rsidRPr="009E1A90">
        <w:t xml:space="preserve">, under which </w:t>
      </w:r>
      <w:r w:rsidR="000D5D7C" w:rsidRPr="009E1A90">
        <w:t xml:space="preserve">the incitement to torture </w:t>
      </w:r>
      <w:r w:rsidRPr="009E1A90">
        <w:t xml:space="preserve">is designated </w:t>
      </w:r>
      <w:r w:rsidR="000D5D7C" w:rsidRPr="009E1A90">
        <w:t>as a formal specific crime, when committed by public officials;</w:t>
      </w:r>
    </w:p>
    <w:p w:rsidR="000D5D7C" w:rsidRPr="009E1A90" w:rsidRDefault="00C55B89" w:rsidP="003E6675">
      <w:pPr>
        <w:pStyle w:val="Bullet2G"/>
        <w:numPr>
          <w:ilvl w:val="0"/>
          <w:numId w:val="0"/>
        </w:numPr>
        <w:ind w:left="1134" w:firstLine="567"/>
      </w:pPr>
      <w:r w:rsidRPr="009E1A90">
        <w:t xml:space="preserve">(d) Article </w:t>
      </w:r>
      <w:r w:rsidR="000D5D7C" w:rsidRPr="009E1A90">
        <w:t>4</w:t>
      </w:r>
      <w:r w:rsidRPr="009E1A90">
        <w:t>, under which t</w:t>
      </w:r>
      <w:r w:rsidR="000D5D7C" w:rsidRPr="009E1A90">
        <w:t>he statute of limitations has been doubled in the event of torture;</w:t>
      </w:r>
    </w:p>
    <w:p w:rsidR="000D5D7C" w:rsidRPr="009E1A90" w:rsidRDefault="00C55B89" w:rsidP="003E6675">
      <w:pPr>
        <w:pStyle w:val="Bullet2G"/>
        <w:numPr>
          <w:ilvl w:val="0"/>
          <w:numId w:val="0"/>
        </w:numPr>
        <w:ind w:left="1134" w:firstLine="567"/>
      </w:pPr>
      <w:r w:rsidRPr="009E1A90">
        <w:t xml:space="preserve">(e) Article </w:t>
      </w:r>
      <w:r w:rsidR="000D5D7C" w:rsidRPr="009E1A90">
        <w:t>5</w:t>
      </w:r>
      <w:r w:rsidRPr="009E1A90">
        <w:t>, which provides for the i</w:t>
      </w:r>
      <w:r w:rsidR="000D5D7C" w:rsidRPr="009E1A90">
        <w:t>nadmissibility in a penal judgement of the declarations extorted through torture</w:t>
      </w:r>
      <w:r w:rsidRPr="009E1A90">
        <w:t>,</w:t>
      </w:r>
      <w:r w:rsidR="000D5D7C" w:rsidRPr="009E1A90">
        <w:t xml:space="preserve"> except when these declarations are to be used against the author of the torture itself;</w:t>
      </w:r>
    </w:p>
    <w:p w:rsidR="000D5D7C" w:rsidRPr="009E1A90" w:rsidRDefault="00C55B89" w:rsidP="003E6675">
      <w:pPr>
        <w:pStyle w:val="Bullet2G"/>
        <w:numPr>
          <w:ilvl w:val="0"/>
          <w:numId w:val="0"/>
        </w:numPr>
        <w:ind w:left="1134" w:firstLine="567"/>
      </w:pPr>
      <w:r w:rsidRPr="009E1A90">
        <w:t xml:space="preserve">(f) Article </w:t>
      </w:r>
      <w:r w:rsidR="000D5D7C" w:rsidRPr="009E1A90">
        <w:t>6</w:t>
      </w:r>
      <w:r w:rsidRPr="009E1A90">
        <w:t xml:space="preserve">, which </w:t>
      </w:r>
      <w:proofErr w:type="gramStart"/>
      <w:r w:rsidR="000D5D7C" w:rsidRPr="009E1A90">
        <w:t>forbid</w:t>
      </w:r>
      <w:r w:rsidRPr="009E1A90">
        <w:t>s</w:t>
      </w:r>
      <w:proofErr w:type="gramEnd"/>
      <w:r w:rsidR="000D5D7C" w:rsidRPr="009E1A90">
        <w:t xml:space="preserve"> the expulsion or the rejection of non</w:t>
      </w:r>
      <w:r w:rsidRPr="009E1A90">
        <w:t xml:space="preserve">-European Union </w:t>
      </w:r>
      <w:r w:rsidR="000D5D7C" w:rsidRPr="009E1A90">
        <w:t>citizens when it is deemed that, in their countries of origin, they could be exposed to torture;</w:t>
      </w:r>
    </w:p>
    <w:p w:rsidR="00555E77" w:rsidRPr="009E1A90" w:rsidRDefault="00C55B89" w:rsidP="003E6675">
      <w:pPr>
        <w:pStyle w:val="Bullet2G"/>
        <w:numPr>
          <w:ilvl w:val="0"/>
          <w:numId w:val="0"/>
        </w:numPr>
        <w:ind w:left="1134" w:firstLine="567"/>
      </w:pPr>
      <w:r w:rsidRPr="009E1A90">
        <w:t xml:space="preserve">(g) Article </w:t>
      </w:r>
      <w:r w:rsidR="000D5D7C" w:rsidRPr="009E1A90">
        <w:t>7</w:t>
      </w:r>
      <w:r w:rsidRPr="009E1A90">
        <w:t>, under which n</w:t>
      </w:r>
      <w:r w:rsidR="000D5D7C" w:rsidRPr="009E1A90">
        <w:t>o diplomatic immunity can be claimed for those foreign citizens investigated or condemned in their countries of origin on the account of torture.</w:t>
      </w:r>
    </w:p>
    <w:p w:rsidR="00555E77" w:rsidRPr="009E1A90" w:rsidRDefault="009E1A90" w:rsidP="009E1A90">
      <w:pPr>
        <w:pStyle w:val="SingleTxtG"/>
        <w:suppressAutoHyphens w:val="0"/>
      </w:pPr>
      <w:r w:rsidRPr="009E1A90">
        <w:t>53.</w:t>
      </w:r>
      <w:r w:rsidRPr="009E1A90">
        <w:tab/>
      </w:r>
      <w:r w:rsidR="00555E77" w:rsidRPr="009E1A90">
        <w:t xml:space="preserve">The Working Group </w:t>
      </w:r>
      <w:r w:rsidR="00C23558" w:rsidRPr="009E1A90">
        <w:t>takes note of the information provided but r</w:t>
      </w:r>
      <w:r w:rsidR="00555E77" w:rsidRPr="009E1A90">
        <w:t>egrets, however</w:t>
      </w:r>
      <w:r w:rsidR="00BB1889" w:rsidRPr="009E1A90">
        <w:t>,</w:t>
      </w:r>
      <w:r w:rsidR="00555E77" w:rsidRPr="009E1A90">
        <w:t xml:space="preserve"> that the Government has not submitted concrete and updated information on measures undertaken to increase police accountability. Information before the Working Group suggests that no such measures have been taken at the systemic level</w:t>
      </w:r>
      <w:r w:rsidR="00BB1889" w:rsidRPr="009E1A90">
        <w:t>,</w:t>
      </w:r>
      <w:r w:rsidR="00555E77" w:rsidRPr="009E1A90">
        <w:t xml:space="preserve"> despite ample evidence of the need for such measures, for example</w:t>
      </w:r>
      <w:r w:rsidR="00BB1889" w:rsidRPr="009E1A90">
        <w:t>,</w:t>
      </w:r>
      <w:r w:rsidR="00555E77" w:rsidRPr="009E1A90">
        <w:t xml:space="preserve"> following the investigations and judicial proceedings surrounding the abuses against demonstrators </w:t>
      </w:r>
      <w:r w:rsidR="00BB1889" w:rsidRPr="009E1A90">
        <w:t xml:space="preserve">at the meeting in Genoa of the Group of Eight </w:t>
      </w:r>
      <w:r w:rsidR="00555E77" w:rsidRPr="009E1A90">
        <w:t>and numerous cases of deaths in custody and ill-treatment by police. There has</w:t>
      </w:r>
      <w:r w:rsidR="00C23558" w:rsidRPr="009E1A90">
        <w:t xml:space="preserve"> reportedly</w:t>
      </w:r>
      <w:r w:rsidR="00555E77" w:rsidRPr="009E1A90">
        <w:t xml:space="preserve"> been no progress to make identity badges </w:t>
      </w:r>
      <w:r w:rsidR="00BB1889" w:rsidRPr="009E1A90">
        <w:t xml:space="preserve">compulsory </w:t>
      </w:r>
      <w:r w:rsidR="00555E77" w:rsidRPr="009E1A90">
        <w:t>for police officers, nor in strengthening and rendering more transparent the internal disciplinary system. There has also been no progress to ensure adequate training in the use of non-</w:t>
      </w:r>
      <w:r w:rsidR="00555E77" w:rsidRPr="009E1A90">
        <w:lastRenderedPageBreak/>
        <w:t xml:space="preserve">violent and non-lethal methods and when to resort, when strictly necessary and in a legitimate and proportionate manner, to the use of force. </w:t>
      </w:r>
    </w:p>
    <w:p w:rsidR="003411E3" w:rsidRPr="009E1A90" w:rsidRDefault="00DC6C5E" w:rsidP="003E6675">
      <w:pPr>
        <w:pStyle w:val="H23G"/>
      </w:pPr>
      <w:r w:rsidRPr="009E1A90">
        <w:tab/>
      </w:r>
      <w:r w:rsidRPr="009E1A90">
        <w:tab/>
      </w:r>
      <w:r w:rsidR="003411E3" w:rsidRPr="009E1A90">
        <w:t xml:space="preserve">Establishment of a national human rights institution </w:t>
      </w:r>
    </w:p>
    <w:p w:rsidR="00C23558" w:rsidRPr="009E1A90" w:rsidRDefault="009E1A90" w:rsidP="009E1A90">
      <w:pPr>
        <w:pStyle w:val="SingleTxtG"/>
        <w:suppressAutoHyphens w:val="0"/>
      </w:pPr>
      <w:r w:rsidRPr="009E1A90">
        <w:t>54.</w:t>
      </w:r>
      <w:r w:rsidRPr="009E1A90">
        <w:tab/>
      </w:r>
      <w:r w:rsidR="00FA1841" w:rsidRPr="009E1A90">
        <w:t xml:space="preserve">In the context of monitoring places of detention, </w:t>
      </w:r>
      <w:r w:rsidR="00C23558" w:rsidRPr="009E1A90">
        <w:t xml:space="preserve">the Working Group welcomes Italy’s ratification </w:t>
      </w:r>
      <w:r w:rsidR="00BB1889" w:rsidRPr="009E1A90">
        <w:t xml:space="preserve">in November 2012 </w:t>
      </w:r>
      <w:r w:rsidR="00C23558" w:rsidRPr="009E1A90">
        <w:t xml:space="preserve">of the Optional Protocol to the Convention against Torture </w:t>
      </w:r>
      <w:r w:rsidR="00BB1889" w:rsidRPr="009E1A90">
        <w:t>and Other Cruel, Inhuman or Degrading Treatment or Punishment</w:t>
      </w:r>
      <w:r w:rsidR="00C23558" w:rsidRPr="009E1A90">
        <w:t xml:space="preserve">. One important corollary of the ratification of </w:t>
      </w:r>
      <w:r w:rsidR="00BB1889" w:rsidRPr="009E1A90">
        <w:t xml:space="preserve">the Optional Protocol </w:t>
      </w:r>
      <w:r w:rsidR="00C23558" w:rsidRPr="009E1A90">
        <w:t xml:space="preserve">will be the establishment of a national preventive mechanism, with the mandate to conduct unannounced visits to detention facilities. The Working Group also welcomes </w:t>
      </w:r>
      <w:r w:rsidR="00FA1841" w:rsidRPr="009E1A90">
        <w:t xml:space="preserve">the establishment of the </w:t>
      </w:r>
      <w:r w:rsidR="00BB1889" w:rsidRPr="009E1A90">
        <w:t xml:space="preserve">office of </w:t>
      </w:r>
      <w:r w:rsidR="00FA1841" w:rsidRPr="009E1A90">
        <w:t>National Guarantor of the rights of detainees.</w:t>
      </w:r>
    </w:p>
    <w:p w:rsidR="0001239F" w:rsidRPr="009E1A90" w:rsidRDefault="009E1A90" w:rsidP="009E1A90">
      <w:pPr>
        <w:pStyle w:val="SingleTxtG"/>
        <w:suppressAutoHyphens w:val="0"/>
      </w:pPr>
      <w:r w:rsidRPr="009E1A90">
        <w:t>55.</w:t>
      </w:r>
      <w:r w:rsidRPr="009E1A90">
        <w:tab/>
      </w:r>
      <w:r w:rsidR="0001239F" w:rsidRPr="009E1A90">
        <w:t>The Working Group regrets that Italy has not yet established a national human rights institution</w:t>
      </w:r>
      <w:r w:rsidR="00BB1889" w:rsidRPr="009E1A90">
        <w:t>,</w:t>
      </w:r>
      <w:r w:rsidR="0001239F" w:rsidRPr="009E1A90">
        <w:t xml:space="preserve"> in accordance with the Principles</w:t>
      </w:r>
      <w:r w:rsidR="00BB1889" w:rsidRPr="009E1A90">
        <w:t xml:space="preserve"> relating to the status of national institutions for the promotion and protection of human rights</w:t>
      </w:r>
      <w:r w:rsidR="0001239F" w:rsidRPr="009E1A90">
        <w:t xml:space="preserve">, despite the Working Group’s previous recommendation and despite having accepted recommendations to this effect in the context of the </w:t>
      </w:r>
      <w:r w:rsidR="00BB1889" w:rsidRPr="009E1A90">
        <w:t>u</w:t>
      </w:r>
      <w:r w:rsidR="0001239F" w:rsidRPr="009E1A90">
        <w:t xml:space="preserve">niversal </w:t>
      </w:r>
      <w:r w:rsidR="00BB1889" w:rsidRPr="009E1A90">
        <w:t>p</w:t>
      </w:r>
      <w:r w:rsidR="0001239F" w:rsidRPr="009E1A90">
        <w:t xml:space="preserve">eriodic </w:t>
      </w:r>
      <w:r w:rsidR="00BB1889" w:rsidRPr="009E1A90">
        <w:t>r</w:t>
      </w:r>
      <w:r w:rsidR="0001239F" w:rsidRPr="009E1A90">
        <w:t xml:space="preserve">eview. The Working Group notes that Italy had also committed to establishing </w:t>
      </w:r>
      <w:r w:rsidR="00BB1889" w:rsidRPr="009E1A90">
        <w:t xml:space="preserve">such </w:t>
      </w:r>
      <w:r w:rsidR="0001239F" w:rsidRPr="009E1A90">
        <w:t xml:space="preserve">an </w:t>
      </w:r>
      <w:r w:rsidR="00BB1889" w:rsidRPr="009E1A90">
        <w:t>institution</w:t>
      </w:r>
      <w:r w:rsidR="0001239F" w:rsidRPr="009E1A90">
        <w:t xml:space="preserve"> in its voluntary pledge when putting forward its candidature to the Human Rights Council for the </w:t>
      </w:r>
      <w:r w:rsidR="0082055E" w:rsidRPr="009E1A90">
        <w:t xml:space="preserve">period </w:t>
      </w:r>
      <w:r w:rsidR="0001239F" w:rsidRPr="009E1A90">
        <w:t>2011</w:t>
      </w:r>
      <w:r w:rsidR="0055039E" w:rsidRPr="009E1A90">
        <w:t>–</w:t>
      </w:r>
      <w:r w:rsidR="0001239F" w:rsidRPr="009E1A90">
        <w:t xml:space="preserve">2014. </w:t>
      </w:r>
    </w:p>
    <w:p w:rsidR="0001239F" w:rsidRPr="009E1A90" w:rsidRDefault="009E1A90" w:rsidP="009E1A90">
      <w:pPr>
        <w:pStyle w:val="SingleTxtG"/>
        <w:suppressAutoHyphens w:val="0"/>
      </w:pPr>
      <w:r w:rsidRPr="009E1A90">
        <w:t>56.</w:t>
      </w:r>
      <w:r w:rsidRPr="009E1A90">
        <w:tab/>
      </w:r>
      <w:r w:rsidR="00FA1841" w:rsidRPr="009E1A90">
        <w:t>Noting bills currently before Parliament</w:t>
      </w:r>
      <w:r w:rsidR="0082055E" w:rsidRPr="009E1A90">
        <w:t>,</w:t>
      </w:r>
      <w:r w:rsidR="00555E77" w:rsidRPr="009E1A90">
        <w:rPr>
          <w:rStyle w:val="FootnoteReference"/>
        </w:rPr>
        <w:footnoteReference w:id="10"/>
      </w:r>
      <w:r w:rsidR="00FA1841" w:rsidRPr="009E1A90">
        <w:t xml:space="preserve"> the Working Group urge</w:t>
      </w:r>
      <w:r w:rsidR="0001239F" w:rsidRPr="009E1A90">
        <w:t>s</w:t>
      </w:r>
      <w:r w:rsidR="00FA1841" w:rsidRPr="009E1A90">
        <w:t xml:space="preserve"> the Government to prioritize the establishment of such an institution with a broad human rights mandate</w:t>
      </w:r>
      <w:r w:rsidR="0001239F" w:rsidRPr="009E1A90">
        <w:t xml:space="preserve">, with an explicit power to make unannounced spot checks in detention facilities and with </w:t>
      </w:r>
      <w:r w:rsidR="00FA1841" w:rsidRPr="009E1A90">
        <w:t xml:space="preserve">the necessary human and financial resources for its effective functioning. </w:t>
      </w:r>
    </w:p>
    <w:p w:rsidR="00921DD0" w:rsidRPr="009E1A90" w:rsidRDefault="00DC6C5E" w:rsidP="003E6675">
      <w:pPr>
        <w:pStyle w:val="H23G"/>
      </w:pPr>
      <w:r w:rsidRPr="009E1A90">
        <w:tab/>
      </w:r>
      <w:r w:rsidRPr="009E1A90">
        <w:tab/>
      </w:r>
      <w:r w:rsidR="00921DD0" w:rsidRPr="009E1A90">
        <w:t>International Convention on the Protection of the Rights of All Migrant Workers and</w:t>
      </w:r>
      <w:r w:rsidR="00666352" w:rsidRPr="009E1A90">
        <w:t> </w:t>
      </w:r>
      <w:r w:rsidR="00921DD0" w:rsidRPr="009E1A90">
        <w:t xml:space="preserve">Members of </w:t>
      </w:r>
      <w:r w:rsidR="00445EDC" w:rsidRPr="009E1A90">
        <w:t>t</w:t>
      </w:r>
      <w:r w:rsidR="00921DD0" w:rsidRPr="009E1A90">
        <w:t>heir Families</w:t>
      </w:r>
    </w:p>
    <w:p w:rsidR="0001239F" w:rsidRPr="009E1A90" w:rsidRDefault="009E1A90" w:rsidP="009E1A90">
      <w:pPr>
        <w:pStyle w:val="SingleTxtG"/>
        <w:suppressAutoHyphens w:val="0"/>
      </w:pPr>
      <w:r w:rsidRPr="009E1A90">
        <w:t>57.</w:t>
      </w:r>
      <w:r w:rsidRPr="009E1A90">
        <w:tab/>
      </w:r>
      <w:r w:rsidR="00D307D9" w:rsidRPr="009E1A90">
        <w:t xml:space="preserve">Following the ratification of </w:t>
      </w:r>
      <w:r w:rsidR="00445EDC" w:rsidRPr="009E1A90">
        <w:t xml:space="preserve">the International Labour Organization Migrant Workers (Supplementary Provisions) Convention, 1975 (No. 143) and Domestic Workers Convention, 2011 (No. 189), </w:t>
      </w:r>
      <w:r w:rsidR="00D307D9" w:rsidRPr="009E1A90">
        <w:t>Italy accepted to be periodically reviewed with regard to the implementation of these Conventions at the domestic level.</w:t>
      </w:r>
      <w:r w:rsidR="00F13069" w:rsidRPr="009E1A90">
        <w:t xml:space="preserve"> </w:t>
      </w:r>
      <w:r w:rsidR="0001239F" w:rsidRPr="009E1A90">
        <w:t xml:space="preserve">While noting that Italy is not yet a party to the International Convention on the Protection of the Rights of All Migrant Workers and Members of </w:t>
      </w:r>
      <w:r w:rsidR="00445EDC" w:rsidRPr="009E1A90">
        <w:t>t</w:t>
      </w:r>
      <w:r w:rsidR="0001239F" w:rsidRPr="009E1A90">
        <w:t xml:space="preserve">heir Families, the Working Group encourages the Government to proceed with the ratification of this international instrument. </w:t>
      </w:r>
    </w:p>
    <w:p w:rsidR="00A56DE8" w:rsidRPr="009E1A90" w:rsidRDefault="00DC6C5E" w:rsidP="005815C5">
      <w:pPr>
        <w:pStyle w:val="HChG"/>
      </w:pPr>
      <w:r w:rsidRPr="009E1A90">
        <w:tab/>
      </w:r>
      <w:r w:rsidR="00A7431F" w:rsidRPr="009E1A90">
        <w:t>I</w:t>
      </w:r>
      <w:r w:rsidR="008255D3" w:rsidRPr="009E1A90">
        <w:t>II</w:t>
      </w:r>
      <w:r w:rsidR="00A56DE8" w:rsidRPr="009E1A90">
        <w:t>.</w:t>
      </w:r>
      <w:r w:rsidR="00A56DE8" w:rsidRPr="009E1A90">
        <w:tab/>
        <w:t>Conclusions</w:t>
      </w:r>
    </w:p>
    <w:p w:rsidR="00527A21" w:rsidRPr="009E1A90" w:rsidRDefault="009E1A90" w:rsidP="009E1A90">
      <w:pPr>
        <w:pStyle w:val="SingleTxtG"/>
        <w:suppressAutoHyphens w:val="0"/>
        <w:rPr>
          <w:b/>
        </w:rPr>
      </w:pPr>
      <w:r w:rsidRPr="009E1A90">
        <w:t>58.</w:t>
      </w:r>
      <w:r w:rsidRPr="009E1A90">
        <w:tab/>
      </w:r>
      <w:r w:rsidR="00527A21" w:rsidRPr="009E1A90">
        <w:rPr>
          <w:b/>
        </w:rPr>
        <w:t xml:space="preserve">The Working Group expresses its appreciation to the Government of Italy for the invitation to conduct follow-up, and highlights that this constitutes a good practice and an example for other States to follow in their cooperation with the </w:t>
      </w:r>
      <w:r w:rsidR="003764F3" w:rsidRPr="009E1A90">
        <w:rPr>
          <w:b/>
        </w:rPr>
        <w:t>s</w:t>
      </w:r>
      <w:r w:rsidR="00527A21" w:rsidRPr="009E1A90">
        <w:rPr>
          <w:b/>
        </w:rPr>
        <w:t xml:space="preserve">pecial </w:t>
      </w:r>
      <w:r w:rsidR="003764F3" w:rsidRPr="009E1A90">
        <w:rPr>
          <w:b/>
        </w:rPr>
        <w:t>p</w:t>
      </w:r>
      <w:r w:rsidR="00527A21" w:rsidRPr="009E1A90">
        <w:rPr>
          <w:b/>
        </w:rPr>
        <w:t>rocedures of the Human Rights Council.</w:t>
      </w:r>
    </w:p>
    <w:p w:rsidR="00060055" w:rsidRPr="009E1A90" w:rsidRDefault="009E1A90" w:rsidP="009E1A90">
      <w:pPr>
        <w:pStyle w:val="SingleTxtG"/>
        <w:suppressAutoHyphens w:val="0"/>
        <w:rPr>
          <w:b/>
        </w:rPr>
      </w:pPr>
      <w:r w:rsidRPr="009E1A90">
        <w:t>59.</w:t>
      </w:r>
      <w:r w:rsidRPr="009E1A90">
        <w:tab/>
      </w:r>
      <w:r w:rsidR="00527A21" w:rsidRPr="009E1A90">
        <w:rPr>
          <w:b/>
        </w:rPr>
        <w:t xml:space="preserve">The Working Group welcomes the measures, especially legislative reforms, undertaken by the Government to implement its recommendations. It is encouraged by the open and rights-based dialogue in the legislative, executive and judicial </w:t>
      </w:r>
      <w:r w:rsidR="00527A21" w:rsidRPr="009E1A90">
        <w:rPr>
          <w:b/>
        </w:rPr>
        <w:lastRenderedPageBreak/>
        <w:t>branches on issues of arbitrary detention</w:t>
      </w:r>
      <w:r w:rsidR="00060055" w:rsidRPr="009E1A90">
        <w:rPr>
          <w:b/>
        </w:rPr>
        <w:t xml:space="preserve"> and notes that there is a clear reali</w:t>
      </w:r>
      <w:r w:rsidR="00830929" w:rsidRPr="009E1A90">
        <w:rPr>
          <w:b/>
        </w:rPr>
        <w:t>z</w:t>
      </w:r>
      <w:r w:rsidR="00060055" w:rsidRPr="009E1A90">
        <w:rPr>
          <w:b/>
        </w:rPr>
        <w:t>ation at different levels of the need for further effort in several areas to prevent arbitrary deprivation of liberty</w:t>
      </w:r>
      <w:r w:rsidR="00527A21" w:rsidRPr="009E1A90">
        <w:rPr>
          <w:b/>
        </w:rPr>
        <w:t xml:space="preserve">. </w:t>
      </w:r>
    </w:p>
    <w:p w:rsidR="00527A21" w:rsidRPr="009E1A90" w:rsidRDefault="009E1A90" w:rsidP="009E1A90">
      <w:pPr>
        <w:pStyle w:val="SingleTxtG"/>
        <w:suppressAutoHyphens w:val="0"/>
        <w:rPr>
          <w:b/>
        </w:rPr>
      </w:pPr>
      <w:r w:rsidRPr="009E1A90">
        <w:t>60.</w:t>
      </w:r>
      <w:r w:rsidRPr="009E1A90">
        <w:tab/>
      </w:r>
      <w:r w:rsidR="00527A21" w:rsidRPr="009E1A90">
        <w:rPr>
          <w:b/>
        </w:rPr>
        <w:t xml:space="preserve">Notwithstanding these positive developments, concerns remain with regard to the high number of </w:t>
      </w:r>
      <w:proofErr w:type="spellStart"/>
      <w:r w:rsidR="00527A21" w:rsidRPr="009E1A90">
        <w:rPr>
          <w:b/>
        </w:rPr>
        <w:t>pretrial</w:t>
      </w:r>
      <w:proofErr w:type="spellEnd"/>
      <w:r w:rsidR="00527A21" w:rsidRPr="009E1A90">
        <w:rPr>
          <w:b/>
        </w:rPr>
        <w:t xml:space="preserve"> detainees and, as a consequence, the problem of overcrowding in the penitentiary system. In addition, there is a need to monitor and remedy the disproportionate application of </w:t>
      </w:r>
      <w:proofErr w:type="spellStart"/>
      <w:r w:rsidR="00527A21" w:rsidRPr="009E1A90">
        <w:rPr>
          <w:b/>
        </w:rPr>
        <w:t>pretrial</w:t>
      </w:r>
      <w:proofErr w:type="spellEnd"/>
      <w:r w:rsidR="00527A21" w:rsidRPr="009E1A90">
        <w:rPr>
          <w:b/>
        </w:rPr>
        <w:t xml:space="preserve"> detention in the case of foreign nationals and Roma, including minors.</w:t>
      </w:r>
    </w:p>
    <w:p w:rsidR="00527A21" w:rsidRPr="009E1A90" w:rsidRDefault="009E1A90" w:rsidP="009E1A90">
      <w:pPr>
        <w:pStyle w:val="SingleTxtG"/>
        <w:suppressAutoHyphens w:val="0"/>
        <w:rPr>
          <w:b/>
        </w:rPr>
      </w:pPr>
      <w:r w:rsidRPr="009E1A90">
        <w:t>61.</w:t>
      </w:r>
      <w:r w:rsidRPr="009E1A90">
        <w:tab/>
      </w:r>
      <w:r w:rsidR="00527A21" w:rsidRPr="009E1A90">
        <w:rPr>
          <w:b/>
        </w:rPr>
        <w:t xml:space="preserve">Noting that Italy does not have a general policy of mandatory detention of all asylum seekers and migrants in an irregular situation, as opposed to some other European countries, the Working Group welcomes the recent abolition of migration as an aggravating circumstance in criminal law and </w:t>
      </w:r>
      <w:r w:rsidR="003764F3" w:rsidRPr="009E1A90">
        <w:rPr>
          <w:b/>
        </w:rPr>
        <w:t xml:space="preserve">the </w:t>
      </w:r>
      <w:r w:rsidR="00527A21" w:rsidRPr="009E1A90">
        <w:rPr>
          <w:b/>
        </w:rPr>
        <w:t xml:space="preserve">steps taken by the Parliament to abrogate the crime of “illegal entry and stay”. </w:t>
      </w:r>
      <w:r w:rsidR="0001239F" w:rsidRPr="009E1A90">
        <w:rPr>
          <w:b/>
        </w:rPr>
        <w:t xml:space="preserve">While noting with appreciation that the maximum duration of administrative detention in the </w:t>
      </w:r>
      <w:r w:rsidR="003764F3" w:rsidRPr="009E1A90">
        <w:rPr>
          <w:b/>
        </w:rPr>
        <w:t>i</w:t>
      </w:r>
      <w:r w:rsidR="0001239F" w:rsidRPr="009E1A90">
        <w:rPr>
          <w:b/>
        </w:rPr>
        <w:t xml:space="preserve">dentification and </w:t>
      </w:r>
      <w:r w:rsidR="003764F3" w:rsidRPr="009E1A90">
        <w:rPr>
          <w:b/>
        </w:rPr>
        <w:t>e</w:t>
      </w:r>
      <w:r w:rsidR="0001239F" w:rsidRPr="009E1A90">
        <w:rPr>
          <w:b/>
        </w:rPr>
        <w:t xml:space="preserve">xpulsion </w:t>
      </w:r>
      <w:r w:rsidR="003764F3" w:rsidRPr="009E1A90">
        <w:rPr>
          <w:b/>
        </w:rPr>
        <w:t>c</w:t>
      </w:r>
      <w:r w:rsidR="0001239F" w:rsidRPr="009E1A90">
        <w:rPr>
          <w:b/>
        </w:rPr>
        <w:t xml:space="preserve">entres has recently been decreased from 18 </w:t>
      </w:r>
      <w:r w:rsidR="003764F3" w:rsidRPr="009E1A90">
        <w:rPr>
          <w:b/>
        </w:rPr>
        <w:t xml:space="preserve">months </w:t>
      </w:r>
      <w:r w:rsidR="0001239F" w:rsidRPr="009E1A90">
        <w:rPr>
          <w:b/>
        </w:rPr>
        <w:t xml:space="preserve">to </w:t>
      </w:r>
      <w:r w:rsidR="003764F3" w:rsidRPr="009E1A90">
        <w:rPr>
          <w:b/>
        </w:rPr>
        <w:t xml:space="preserve">3 </w:t>
      </w:r>
      <w:r w:rsidR="0001239F" w:rsidRPr="009E1A90">
        <w:rPr>
          <w:b/>
        </w:rPr>
        <w:t xml:space="preserve">months, the Working Group </w:t>
      </w:r>
      <w:r w:rsidR="00527A21" w:rsidRPr="009E1A90">
        <w:rPr>
          <w:b/>
        </w:rPr>
        <w:t xml:space="preserve">remains concerned about the conditions of detention in the </w:t>
      </w:r>
      <w:r w:rsidR="003764F3" w:rsidRPr="009E1A90">
        <w:rPr>
          <w:b/>
        </w:rPr>
        <w:t>c</w:t>
      </w:r>
      <w:r w:rsidR="001727D6" w:rsidRPr="009E1A90">
        <w:rPr>
          <w:rFonts w:eastAsia="SimSun"/>
          <w:b/>
          <w:bCs/>
        </w:rPr>
        <w:t>entres</w:t>
      </w:r>
      <w:r w:rsidR="00527A21" w:rsidRPr="009E1A90">
        <w:rPr>
          <w:b/>
        </w:rPr>
        <w:t xml:space="preserve">. Concerns are also expressed in relation to reports of summary returns of individuals, including in some cases unaccompanied minors and adult asylum seekers, in the context of bilateral readmission agreements, mainly due to inadequate or non-existing screening that fail to determine age or to inform them of their rights. </w:t>
      </w:r>
    </w:p>
    <w:p w:rsidR="00527A21" w:rsidRPr="009E1A90" w:rsidRDefault="009E1A90" w:rsidP="009E1A90">
      <w:pPr>
        <w:pStyle w:val="SingleTxtG"/>
        <w:suppressAutoHyphens w:val="0"/>
        <w:rPr>
          <w:b/>
        </w:rPr>
      </w:pPr>
      <w:r w:rsidRPr="009E1A90">
        <w:t>62.</w:t>
      </w:r>
      <w:r w:rsidRPr="009E1A90">
        <w:tab/>
      </w:r>
      <w:r w:rsidR="00527A21" w:rsidRPr="009E1A90">
        <w:rPr>
          <w:b/>
        </w:rPr>
        <w:t xml:space="preserve">The Working Group notes that the special detention regime for mafia offenders under </w:t>
      </w:r>
      <w:r w:rsidR="00204674" w:rsidRPr="009E1A90">
        <w:rPr>
          <w:b/>
        </w:rPr>
        <w:t>article </w:t>
      </w:r>
      <w:r w:rsidR="00527A21" w:rsidRPr="009E1A90">
        <w:rPr>
          <w:b/>
        </w:rPr>
        <w:t>41</w:t>
      </w:r>
      <w:r w:rsidR="00527A21" w:rsidRPr="009E1A90">
        <w:rPr>
          <w:b/>
          <w:i/>
          <w:iCs/>
        </w:rPr>
        <w:t xml:space="preserve"> </w:t>
      </w:r>
      <w:proofErr w:type="spellStart"/>
      <w:r w:rsidR="00527A21" w:rsidRPr="009E1A90">
        <w:rPr>
          <w:b/>
        </w:rPr>
        <w:t>bis</w:t>
      </w:r>
      <w:proofErr w:type="spellEnd"/>
      <w:r w:rsidR="00527A21" w:rsidRPr="009E1A90">
        <w:rPr>
          <w:b/>
          <w:i/>
          <w:iCs/>
        </w:rPr>
        <w:t xml:space="preserve"> </w:t>
      </w:r>
      <w:r w:rsidR="00527A21" w:rsidRPr="009E1A90">
        <w:rPr>
          <w:b/>
        </w:rPr>
        <w:t xml:space="preserve">of the Law on the Penitentiary System has not yet been brought in compliance with international human rights requirements. The judicial review of the orders imposing or extending this form of detention would need to be sufficiently strengthened and expedited. </w:t>
      </w:r>
    </w:p>
    <w:p w:rsidR="0038422E" w:rsidRPr="009E1A90" w:rsidRDefault="009E1A90" w:rsidP="009E1A90">
      <w:pPr>
        <w:pStyle w:val="SingleTxtG"/>
        <w:suppressAutoHyphens w:val="0"/>
      </w:pPr>
      <w:r w:rsidRPr="009E1A90">
        <w:t>63.</w:t>
      </w:r>
      <w:r w:rsidRPr="009E1A90">
        <w:tab/>
      </w:r>
      <w:r w:rsidR="00527A21" w:rsidRPr="009E1A90">
        <w:rPr>
          <w:b/>
        </w:rPr>
        <w:t>With regard to the psychiatric system, the Working Group recommends that the Government prioriti</w:t>
      </w:r>
      <w:r w:rsidR="00830929" w:rsidRPr="009E1A90">
        <w:rPr>
          <w:b/>
        </w:rPr>
        <w:t>z</w:t>
      </w:r>
      <w:r w:rsidR="00527A21" w:rsidRPr="009E1A90">
        <w:rPr>
          <w:b/>
        </w:rPr>
        <w:t xml:space="preserve">e reform proposals to close the </w:t>
      </w:r>
      <w:r w:rsidR="003764F3" w:rsidRPr="009E1A90">
        <w:rPr>
          <w:b/>
        </w:rPr>
        <w:t>j</w:t>
      </w:r>
      <w:r w:rsidR="00527A21" w:rsidRPr="009E1A90">
        <w:rPr>
          <w:b/>
        </w:rPr>
        <w:t xml:space="preserve">udicial </w:t>
      </w:r>
      <w:r w:rsidR="003764F3" w:rsidRPr="009E1A90">
        <w:rPr>
          <w:b/>
        </w:rPr>
        <w:t>p</w:t>
      </w:r>
      <w:r w:rsidR="00527A21" w:rsidRPr="009E1A90">
        <w:rPr>
          <w:b/>
        </w:rPr>
        <w:t xml:space="preserve">sychiatric </w:t>
      </w:r>
      <w:r w:rsidR="003764F3" w:rsidRPr="009E1A90">
        <w:rPr>
          <w:b/>
        </w:rPr>
        <w:t>h</w:t>
      </w:r>
      <w:r w:rsidR="00527A21" w:rsidRPr="009E1A90">
        <w:rPr>
          <w:b/>
        </w:rPr>
        <w:t>ospitals and transfer their competence to regional substitutive health</w:t>
      </w:r>
      <w:r w:rsidR="007F54A3" w:rsidRPr="009E1A90">
        <w:rPr>
          <w:b/>
        </w:rPr>
        <w:t>-</w:t>
      </w:r>
      <w:r w:rsidR="00527A21" w:rsidRPr="009E1A90">
        <w:rPr>
          <w:b/>
        </w:rPr>
        <w:t>care structures.</w:t>
      </w:r>
      <w:r w:rsidR="00527A21" w:rsidRPr="009E1A90">
        <w:t xml:space="preserve"> </w:t>
      </w:r>
    </w:p>
    <w:p w:rsidR="00527A21" w:rsidRPr="009E1A90" w:rsidRDefault="009E1A90" w:rsidP="009E1A90">
      <w:pPr>
        <w:pStyle w:val="SingleTxtG"/>
        <w:suppressAutoHyphens w:val="0"/>
        <w:rPr>
          <w:b/>
        </w:rPr>
      </w:pPr>
      <w:r w:rsidRPr="009E1A90">
        <w:t>64.</w:t>
      </w:r>
      <w:r w:rsidRPr="009E1A90">
        <w:tab/>
      </w:r>
      <w:r w:rsidR="0038422E" w:rsidRPr="009E1A90">
        <w:rPr>
          <w:b/>
        </w:rPr>
        <w:t>The Working Group has noted the high degree of compliance with the current</w:t>
      </w:r>
      <w:r w:rsidR="00997C04" w:rsidRPr="009E1A90">
        <w:rPr>
          <w:b/>
        </w:rPr>
        <w:t xml:space="preserve"> </w:t>
      </w:r>
      <w:r w:rsidR="0038422E" w:rsidRPr="009E1A90">
        <w:rPr>
          <w:b/>
        </w:rPr>
        <w:t>draft of</w:t>
      </w:r>
      <w:r w:rsidR="00997C04" w:rsidRPr="009E1A90">
        <w:rPr>
          <w:b/>
        </w:rPr>
        <w:t xml:space="preserve"> </w:t>
      </w:r>
      <w:r w:rsidR="0038422E" w:rsidRPr="009E1A90">
        <w:rPr>
          <w:b/>
        </w:rPr>
        <w:t xml:space="preserve">the </w:t>
      </w:r>
      <w:r w:rsidR="00997C04" w:rsidRPr="009E1A90">
        <w:rPr>
          <w:b/>
        </w:rPr>
        <w:t>basic principles and guidelines on remedies and procedures on the right of anyone deprived of his or her liberty by arrest or detention to bring proceedings before court,</w:t>
      </w:r>
      <w:r w:rsidR="0038422E" w:rsidRPr="009E1A90">
        <w:rPr>
          <w:b/>
        </w:rPr>
        <w:t xml:space="preserve"> </w:t>
      </w:r>
      <w:r w:rsidR="00997C04" w:rsidRPr="009E1A90">
        <w:rPr>
          <w:b/>
        </w:rPr>
        <w:t xml:space="preserve">which </w:t>
      </w:r>
      <w:r w:rsidR="0038422E" w:rsidRPr="009E1A90">
        <w:rPr>
          <w:b/>
        </w:rPr>
        <w:t>the Working Group has presented</w:t>
      </w:r>
      <w:r w:rsidR="00997C04" w:rsidRPr="009E1A90">
        <w:rPr>
          <w:b/>
        </w:rPr>
        <w:t xml:space="preserve"> </w:t>
      </w:r>
      <w:r w:rsidR="0038422E" w:rsidRPr="009E1A90">
        <w:rPr>
          <w:b/>
        </w:rPr>
        <w:t>in accordance with Human Rights Council resolution</w:t>
      </w:r>
      <w:r w:rsidR="00997C04" w:rsidRPr="009E1A90">
        <w:rPr>
          <w:b/>
        </w:rPr>
        <w:t xml:space="preserve"> </w:t>
      </w:r>
      <w:r w:rsidR="0038422E" w:rsidRPr="009E1A90">
        <w:rPr>
          <w:b/>
        </w:rPr>
        <w:t>20/16, and which is declaratory of international law and based on the human rights conventions, customary</w:t>
      </w:r>
      <w:r w:rsidR="002F3F69" w:rsidRPr="009E1A90">
        <w:rPr>
          <w:b/>
        </w:rPr>
        <w:t xml:space="preserve"> </w:t>
      </w:r>
      <w:r w:rsidR="0038422E" w:rsidRPr="009E1A90">
        <w:rPr>
          <w:b/>
        </w:rPr>
        <w:t>international law and general</w:t>
      </w:r>
      <w:r w:rsidR="002F3F69" w:rsidRPr="009E1A90">
        <w:rPr>
          <w:b/>
        </w:rPr>
        <w:t xml:space="preserve"> </w:t>
      </w:r>
      <w:r w:rsidR="0038422E" w:rsidRPr="009E1A90">
        <w:rPr>
          <w:b/>
        </w:rPr>
        <w:t>principles of international law.</w:t>
      </w:r>
    </w:p>
    <w:p w:rsidR="00A56DE8" w:rsidRPr="009E1A90" w:rsidRDefault="00DC6C5E" w:rsidP="005815C5">
      <w:pPr>
        <w:pStyle w:val="HChG"/>
      </w:pPr>
      <w:r w:rsidRPr="009E1A90">
        <w:tab/>
      </w:r>
      <w:r w:rsidR="008255D3" w:rsidRPr="009E1A90">
        <w:t>I</w:t>
      </w:r>
      <w:r w:rsidR="00A56DE8" w:rsidRPr="009E1A90">
        <w:t>V.</w:t>
      </w:r>
      <w:r w:rsidR="00A56DE8" w:rsidRPr="009E1A90">
        <w:tab/>
        <w:t>Recommendations</w:t>
      </w:r>
    </w:p>
    <w:p w:rsidR="006937F3" w:rsidRPr="009E1A90" w:rsidRDefault="009E1A90" w:rsidP="009E1A90">
      <w:pPr>
        <w:pStyle w:val="SingleTxtG"/>
        <w:suppressAutoHyphens w:val="0"/>
        <w:rPr>
          <w:b/>
        </w:rPr>
      </w:pPr>
      <w:r w:rsidRPr="009E1A90">
        <w:t>65.</w:t>
      </w:r>
      <w:r w:rsidRPr="009E1A90">
        <w:tab/>
      </w:r>
      <w:r w:rsidR="006937F3" w:rsidRPr="009E1A90">
        <w:rPr>
          <w:b/>
        </w:rPr>
        <w:t xml:space="preserve">The Working Group encourages the Government to ensure that the positive legislative and administrative developments described in the present report are accompanied by effective implementation measures in strict compliance with international human rights principles and standards. </w:t>
      </w:r>
    </w:p>
    <w:p w:rsidR="00A56DE8" w:rsidRPr="009E1A90" w:rsidRDefault="009E1A90" w:rsidP="009E1A90">
      <w:pPr>
        <w:pStyle w:val="SingleTxtG"/>
        <w:suppressAutoHyphens w:val="0"/>
        <w:rPr>
          <w:b/>
        </w:rPr>
      </w:pPr>
      <w:r w:rsidRPr="009E1A90">
        <w:t>66.</w:t>
      </w:r>
      <w:r w:rsidRPr="009E1A90">
        <w:tab/>
      </w:r>
      <w:r w:rsidR="00A56DE8" w:rsidRPr="009E1A90">
        <w:rPr>
          <w:b/>
        </w:rPr>
        <w:t xml:space="preserve">On the basis of its findings, the Working Group makes the </w:t>
      </w:r>
      <w:r w:rsidR="002F3F69" w:rsidRPr="009E1A90">
        <w:rPr>
          <w:b/>
        </w:rPr>
        <w:t xml:space="preserve">below </w:t>
      </w:r>
      <w:r w:rsidR="00A56DE8" w:rsidRPr="009E1A90">
        <w:rPr>
          <w:b/>
        </w:rPr>
        <w:t>recommendations to the Government</w:t>
      </w:r>
      <w:r w:rsidR="002F3F69" w:rsidRPr="009E1A90">
        <w:rPr>
          <w:b/>
        </w:rPr>
        <w:t>.</w:t>
      </w:r>
    </w:p>
    <w:p w:rsidR="003411E3" w:rsidRPr="009E1A90" w:rsidRDefault="009E1A90" w:rsidP="009E1A90">
      <w:pPr>
        <w:pStyle w:val="SingleTxtG"/>
        <w:suppressAutoHyphens w:val="0"/>
        <w:rPr>
          <w:b/>
        </w:rPr>
      </w:pPr>
      <w:r w:rsidRPr="009E1A90">
        <w:t>67.</w:t>
      </w:r>
      <w:r w:rsidRPr="009E1A90">
        <w:tab/>
      </w:r>
      <w:r w:rsidR="003411E3" w:rsidRPr="009E1A90">
        <w:rPr>
          <w:b/>
        </w:rPr>
        <w:t>The Government should continue to put in place legislative and other measures to decrease the duration of criminal trials</w:t>
      </w:r>
      <w:r w:rsidR="002F3F69" w:rsidRPr="009E1A90">
        <w:rPr>
          <w:b/>
        </w:rPr>
        <w:t>,</w:t>
      </w:r>
      <w:r w:rsidR="003411E3" w:rsidRPr="009E1A90">
        <w:rPr>
          <w:b/>
        </w:rPr>
        <w:t xml:space="preserve"> with a view to ensuring better protection of the right to be tried without undue delay.</w:t>
      </w:r>
    </w:p>
    <w:p w:rsidR="00C64443" w:rsidRPr="009E1A90" w:rsidRDefault="009E1A90" w:rsidP="009E1A90">
      <w:pPr>
        <w:pStyle w:val="SingleTxtG"/>
        <w:suppressAutoHyphens w:val="0"/>
        <w:rPr>
          <w:b/>
        </w:rPr>
      </w:pPr>
      <w:r w:rsidRPr="009E1A90">
        <w:lastRenderedPageBreak/>
        <w:t>68.</w:t>
      </w:r>
      <w:r w:rsidRPr="009E1A90">
        <w:tab/>
      </w:r>
      <w:r w:rsidR="005F192F" w:rsidRPr="009E1A90">
        <w:rPr>
          <w:b/>
        </w:rPr>
        <w:t>T</w:t>
      </w:r>
      <w:r w:rsidR="00C64443" w:rsidRPr="009E1A90">
        <w:rPr>
          <w:b/>
        </w:rPr>
        <w:t xml:space="preserve">he authorities </w:t>
      </w:r>
      <w:r w:rsidR="005F192F" w:rsidRPr="009E1A90">
        <w:rPr>
          <w:b/>
        </w:rPr>
        <w:t xml:space="preserve">should </w:t>
      </w:r>
      <w:r w:rsidR="00C64443" w:rsidRPr="009E1A90">
        <w:rPr>
          <w:b/>
        </w:rPr>
        <w:t>vigorously</w:t>
      </w:r>
      <w:r w:rsidR="005F192F" w:rsidRPr="009E1A90">
        <w:rPr>
          <w:b/>
        </w:rPr>
        <w:t xml:space="preserve"> pursue</w:t>
      </w:r>
      <w:r w:rsidR="00C64443" w:rsidRPr="009E1A90">
        <w:rPr>
          <w:b/>
        </w:rPr>
        <w:t xml:space="preserve"> their endeavours to combat prison overcrowding, including through increased application of non-custodial measures during the period before any imposition of a sentence. The Working Group would like to receive updated information on progress made by the authorities in this area, including </w:t>
      </w:r>
      <w:r w:rsidR="005F192F" w:rsidRPr="009E1A90">
        <w:rPr>
          <w:b/>
        </w:rPr>
        <w:t xml:space="preserve">disaggregated </w:t>
      </w:r>
      <w:r w:rsidR="00C64443" w:rsidRPr="009E1A90">
        <w:rPr>
          <w:b/>
        </w:rPr>
        <w:t>statistical data.</w:t>
      </w:r>
    </w:p>
    <w:p w:rsidR="003278B0" w:rsidRPr="009E1A90" w:rsidRDefault="009E1A90" w:rsidP="009E1A90">
      <w:pPr>
        <w:pStyle w:val="SingleTxtG"/>
        <w:suppressAutoHyphens w:val="0"/>
        <w:rPr>
          <w:b/>
        </w:rPr>
      </w:pPr>
      <w:r w:rsidRPr="009E1A90">
        <w:t>69.</w:t>
      </w:r>
      <w:r w:rsidRPr="009E1A90">
        <w:tab/>
      </w:r>
      <w:r w:rsidR="00527A21" w:rsidRPr="009E1A90">
        <w:rPr>
          <w:b/>
        </w:rPr>
        <w:t xml:space="preserve">Urgent measures should be taken to </w:t>
      </w:r>
      <w:r w:rsidR="003278B0" w:rsidRPr="009E1A90">
        <w:rPr>
          <w:b/>
        </w:rPr>
        <w:t>improve living conditions in p</w:t>
      </w:r>
      <w:r w:rsidR="00527A21" w:rsidRPr="009E1A90">
        <w:rPr>
          <w:b/>
        </w:rPr>
        <w:t>enitentiary institutions. In this respect, the</w:t>
      </w:r>
      <w:r w:rsidR="00C64443" w:rsidRPr="009E1A90">
        <w:rPr>
          <w:b/>
        </w:rPr>
        <w:t xml:space="preserve"> Working Group calls on the authorities to comply with its recommendations on </w:t>
      </w:r>
      <w:proofErr w:type="spellStart"/>
      <w:r w:rsidR="00C64443" w:rsidRPr="009E1A90">
        <w:rPr>
          <w:b/>
        </w:rPr>
        <w:t>overincarceration</w:t>
      </w:r>
      <w:proofErr w:type="spellEnd"/>
      <w:r w:rsidR="00C64443" w:rsidRPr="009E1A90">
        <w:rPr>
          <w:b/>
        </w:rPr>
        <w:t xml:space="preserve"> and the </w:t>
      </w:r>
      <w:proofErr w:type="spellStart"/>
      <w:r w:rsidR="00C64443" w:rsidRPr="009E1A90">
        <w:rPr>
          <w:b/>
        </w:rPr>
        <w:t>Torreggiani</w:t>
      </w:r>
      <w:proofErr w:type="spellEnd"/>
      <w:r w:rsidR="00C64443" w:rsidRPr="009E1A90">
        <w:rPr>
          <w:b/>
        </w:rPr>
        <w:t xml:space="preserve"> judg</w:t>
      </w:r>
      <w:r w:rsidR="0093230C" w:rsidRPr="009E1A90">
        <w:rPr>
          <w:b/>
        </w:rPr>
        <w:t>e</w:t>
      </w:r>
      <w:r w:rsidR="00C64443" w:rsidRPr="009E1A90">
        <w:rPr>
          <w:b/>
        </w:rPr>
        <w:t>ment of the European Court of Human Rights.</w:t>
      </w:r>
    </w:p>
    <w:p w:rsidR="00DB3FA1" w:rsidRPr="009E1A90" w:rsidRDefault="009E1A90" w:rsidP="009E1A90">
      <w:pPr>
        <w:pStyle w:val="SingleTxtG"/>
        <w:suppressAutoHyphens w:val="0"/>
        <w:rPr>
          <w:b/>
        </w:rPr>
      </w:pPr>
      <w:r w:rsidRPr="009E1A90">
        <w:t>70.</w:t>
      </w:r>
      <w:r w:rsidRPr="009E1A90">
        <w:tab/>
      </w:r>
      <w:r w:rsidR="009D1691" w:rsidRPr="009E1A90">
        <w:rPr>
          <w:b/>
        </w:rPr>
        <w:t>The Government should intensify its efforts to tackle the root causes of discrimination in the criminal justice system</w:t>
      </w:r>
      <w:r w:rsidR="002F3F69" w:rsidRPr="009E1A90">
        <w:rPr>
          <w:b/>
        </w:rPr>
        <w:t>,</w:t>
      </w:r>
      <w:r w:rsidR="009D1691" w:rsidRPr="009E1A90">
        <w:rPr>
          <w:b/>
        </w:rPr>
        <w:t xml:space="preserve"> particularly to reduce the high rates of incarceration among foreign nationals and Roma.</w:t>
      </w:r>
    </w:p>
    <w:p w:rsidR="00DB3FA1" w:rsidRPr="009E1A90" w:rsidRDefault="009E1A90" w:rsidP="009E1A90">
      <w:pPr>
        <w:pStyle w:val="SingleTxtG"/>
        <w:suppressAutoHyphens w:val="0"/>
        <w:rPr>
          <w:b/>
        </w:rPr>
      </w:pPr>
      <w:r w:rsidRPr="009E1A90">
        <w:t>71.</w:t>
      </w:r>
      <w:r w:rsidRPr="009E1A90">
        <w:tab/>
      </w:r>
      <w:r w:rsidR="002F3F69" w:rsidRPr="009E1A90">
        <w:rPr>
          <w:b/>
        </w:rPr>
        <w:t xml:space="preserve">The Government </w:t>
      </w:r>
      <w:r w:rsidR="00DB3FA1" w:rsidRPr="009E1A90">
        <w:rPr>
          <w:b/>
        </w:rPr>
        <w:t xml:space="preserve">should develop a broad range of alternative measures to detention for children in conflict with the law. </w:t>
      </w:r>
    </w:p>
    <w:p w:rsidR="00FA1841" w:rsidRPr="009E1A90" w:rsidRDefault="009E1A90" w:rsidP="009E1A90">
      <w:pPr>
        <w:pStyle w:val="SingleTxtG"/>
        <w:suppressAutoHyphens w:val="0"/>
        <w:rPr>
          <w:b/>
        </w:rPr>
      </w:pPr>
      <w:r w:rsidRPr="009E1A90">
        <w:t>72.</w:t>
      </w:r>
      <w:r w:rsidRPr="009E1A90">
        <w:tab/>
      </w:r>
      <w:r w:rsidR="00FA1841" w:rsidRPr="009E1A90">
        <w:rPr>
          <w:b/>
        </w:rPr>
        <w:t xml:space="preserve">Under </w:t>
      </w:r>
      <w:r w:rsidR="00204674" w:rsidRPr="009E1A90">
        <w:rPr>
          <w:b/>
        </w:rPr>
        <w:t>article </w:t>
      </w:r>
      <w:r w:rsidR="00FA1841" w:rsidRPr="009E1A90">
        <w:rPr>
          <w:b/>
        </w:rPr>
        <w:t xml:space="preserve">41 </w:t>
      </w:r>
      <w:proofErr w:type="spellStart"/>
      <w:r w:rsidR="00FA1841" w:rsidRPr="009E1A90">
        <w:rPr>
          <w:b/>
        </w:rPr>
        <w:t>bis</w:t>
      </w:r>
      <w:proofErr w:type="spellEnd"/>
      <w:r w:rsidR="00B62019" w:rsidRPr="009E1A90">
        <w:rPr>
          <w:b/>
        </w:rPr>
        <w:t xml:space="preserve"> of the Law on the Penitentiary System</w:t>
      </w:r>
      <w:r w:rsidR="00FA1841" w:rsidRPr="009E1A90">
        <w:rPr>
          <w:b/>
        </w:rPr>
        <w:t xml:space="preserve">, any restrictive measure must be reviewed on a regular basis in order to ensure compliance with the principles of necessity and proportionality. </w:t>
      </w:r>
    </w:p>
    <w:p w:rsidR="00AB0204" w:rsidRPr="009E1A90" w:rsidRDefault="009E1A90" w:rsidP="009E1A90">
      <w:pPr>
        <w:pStyle w:val="SingleTxtG"/>
        <w:suppressAutoHyphens w:val="0"/>
        <w:rPr>
          <w:b/>
        </w:rPr>
      </w:pPr>
      <w:r w:rsidRPr="009E1A90">
        <w:t>73.</w:t>
      </w:r>
      <w:r w:rsidRPr="009E1A90">
        <w:tab/>
      </w:r>
      <w:r w:rsidR="00AB0204" w:rsidRPr="009E1A90">
        <w:rPr>
          <w:b/>
        </w:rPr>
        <w:t>Deprivation of liberty of asylum seekers, refugees and migrants in an irregular situation should only be used as a measure of last resort</w:t>
      </w:r>
      <w:r w:rsidR="00B62019" w:rsidRPr="009E1A90">
        <w:rPr>
          <w:b/>
        </w:rPr>
        <w:t xml:space="preserve">. The Government should take sustained measures to ensure </w:t>
      </w:r>
      <w:r w:rsidR="00AB0204" w:rsidRPr="009E1A90">
        <w:rPr>
          <w:b/>
        </w:rPr>
        <w:t>that</w:t>
      </w:r>
      <w:r w:rsidR="00B62019" w:rsidRPr="009E1A90">
        <w:rPr>
          <w:b/>
        </w:rPr>
        <w:t xml:space="preserve"> these groups of individuals </w:t>
      </w:r>
      <w:r w:rsidR="00AB0204" w:rsidRPr="009E1A90">
        <w:rPr>
          <w:b/>
        </w:rPr>
        <w:t>are detained only because they present a danger for themselves or others, or would abscond from future proceedings, always for the shortest time possible, and that non-custodial measures are always considered first as alternatives to detention.</w:t>
      </w:r>
    </w:p>
    <w:p w:rsidR="008255D3" w:rsidRPr="009E1A90" w:rsidRDefault="009E1A90" w:rsidP="009E1A90">
      <w:pPr>
        <w:pStyle w:val="SingleTxtG"/>
        <w:suppressAutoHyphens w:val="0"/>
        <w:rPr>
          <w:b/>
        </w:rPr>
      </w:pPr>
      <w:r w:rsidRPr="009E1A90">
        <w:t>74.</w:t>
      </w:r>
      <w:r w:rsidRPr="009E1A90">
        <w:tab/>
      </w:r>
      <w:r w:rsidR="00B62019" w:rsidRPr="009E1A90">
        <w:rPr>
          <w:b/>
        </w:rPr>
        <w:t>Where the expulsion of a migrant is ordered by a criminal court, preparations for the deportation should be carried out while the migrant is in prison, to avoid detention in a</w:t>
      </w:r>
      <w:r w:rsidR="001727D6" w:rsidRPr="009E1A90">
        <w:rPr>
          <w:b/>
        </w:rPr>
        <w:t>n</w:t>
      </w:r>
      <w:r w:rsidR="00B62019" w:rsidRPr="009E1A90">
        <w:rPr>
          <w:b/>
        </w:rPr>
        <w:t xml:space="preserve"> </w:t>
      </w:r>
      <w:r w:rsidR="002F3F69" w:rsidRPr="009E1A90">
        <w:rPr>
          <w:b/>
        </w:rPr>
        <w:t>i</w:t>
      </w:r>
      <w:r w:rsidR="001727D6" w:rsidRPr="009E1A90">
        <w:rPr>
          <w:rFonts w:eastAsia="SimSun"/>
          <w:b/>
          <w:bCs/>
        </w:rPr>
        <w:t xml:space="preserve">dentification and </w:t>
      </w:r>
      <w:r w:rsidR="002F3F69" w:rsidRPr="009E1A90">
        <w:rPr>
          <w:rFonts w:eastAsia="SimSun"/>
          <w:b/>
          <w:bCs/>
        </w:rPr>
        <w:t>e</w:t>
      </w:r>
      <w:r w:rsidR="001727D6" w:rsidRPr="009E1A90">
        <w:rPr>
          <w:rFonts w:eastAsia="SimSun"/>
          <w:b/>
          <w:bCs/>
        </w:rPr>
        <w:t xml:space="preserve">xpulsion </w:t>
      </w:r>
      <w:r w:rsidR="002F3F69" w:rsidRPr="009E1A90">
        <w:rPr>
          <w:rFonts w:eastAsia="SimSun"/>
          <w:b/>
          <w:bCs/>
        </w:rPr>
        <w:t>c</w:t>
      </w:r>
      <w:r w:rsidR="001727D6" w:rsidRPr="009E1A90">
        <w:rPr>
          <w:rFonts w:eastAsia="SimSun"/>
          <w:b/>
          <w:bCs/>
        </w:rPr>
        <w:t>entre</w:t>
      </w:r>
      <w:r w:rsidR="00B62019" w:rsidRPr="009E1A90">
        <w:rPr>
          <w:b/>
        </w:rPr>
        <w:t xml:space="preserve">. </w:t>
      </w:r>
    </w:p>
    <w:p w:rsidR="00AB0204" w:rsidRPr="009E1A90" w:rsidRDefault="009E1A90" w:rsidP="009E1A90">
      <w:pPr>
        <w:pStyle w:val="SingleTxtG"/>
        <w:suppressAutoHyphens w:val="0"/>
        <w:rPr>
          <w:b/>
        </w:rPr>
      </w:pPr>
      <w:r w:rsidRPr="009E1A90">
        <w:t>75.</w:t>
      </w:r>
      <w:r w:rsidRPr="009E1A90">
        <w:tab/>
      </w:r>
      <w:r w:rsidR="00B62019" w:rsidRPr="009E1A90">
        <w:rPr>
          <w:b/>
        </w:rPr>
        <w:t>A</w:t>
      </w:r>
      <w:r w:rsidR="00AB0204" w:rsidRPr="009E1A90">
        <w:rPr>
          <w:b/>
        </w:rPr>
        <w:t>ll detained migrants</w:t>
      </w:r>
      <w:r w:rsidR="00B62019" w:rsidRPr="009E1A90">
        <w:rPr>
          <w:b/>
        </w:rPr>
        <w:t xml:space="preserve"> should</w:t>
      </w:r>
      <w:r w:rsidR="00AB0204" w:rsidRPr="009E1A90">
        <w:rPr>
          <w:b/>
        </w:rPr>
        <w:t xml:space="preserve"> have access to proper medical care, interpreters, adequate food and clothes, hygienic conditions, adequate space to move around and access to outdoor exercise.</w:t>
      </w:r>
    </w:p>
    <w:p w:rsidR="00AB0204" w:rsidRPr="009E1A90" w:rsidRDefault="009E1A90" w:rsidP="009E1A90">
      <w:pPr>
        <w:pStyle w:val="SingleTxtG"/>
        <w:suppressAutoHyphens w:val="0"/>
        <w:rPr>
          <w:b/>
        </w:rPr>
      </w:pPr>
      <w:r w:rsidRPr="009E1A90">
        <w:t>76.</w:t>
      </w:r>
      <w:r w:rsidRPr="009E1A90">
        <w:tab/>
      </w:r>
      <w:r w:rsidR="00B62019" w:rsidRPr="009E1A90">
        <w:rPr>
          <w:b/>
        </w:rPr>
        <w:t>Detained migrants should be s</w:t>
      </w:r>
      <w:r w:rsidR="00AB0204" w:rsidRPr="009E1A90">
        <w:rPr>
          <w:b/>
        </w:rPr>
        <w:t>ystematically inform</w:t>
      </w:r>
      <w:r w:rsidR="00B62019" w:rsidRPr="009E1A90">
        <w:rPr>
          <w:b/>
        </w:rPr>
        <w:t>ed</w:t>
      </w:r>
      <w:r w:rsidR="00AB0204" w:rsidRPr="009E1A90">
        <w:rPr>
          <w:b/>
        </w:rPr>
        <w:t xml:space="preserve"> in writing, in a language they understand, of the reason for their detention, its duration, their right to have access to a lawyer, the right to promptly challenge their detention and to seek asylum.</w:t>
      </w:r>
    </w:p>
    <w:p w:rsidR="00AB0204" w:rsidRPr="009E1A90" w:rsidRDefault="009E1A90" w:rsidP="009E1A90">
      <w:pPr>
        <w:pStyle w:val="SingleTxtG"/>
        <w:suppressAutoHyphens w:val="0"/>
        <w:rPr>
          <w:b/>
        </w:rPr>
      </w:pPr>
      <w:r w:rsidRPr="009E1A90">
        <w:t>77.</w:t>
      </w:r>
      <w:r w:rsidRPr="009E1A90">
        <w:tab/>
      </w:r>
      <w:r w:rsidR="00B62019" w:rsidRPr="009E1A90">
        <w:rPr>
          <w:b/>
        </w:rPr>
        <w:t>A</w:t>
      </w:r>
      <w:r w:rsidR="00AB0204" w:rsidRPr="009E1A90">
        <w:rPr>
          <w:b/>
        </w:rPr>
        <w:t xml:space="preserve">ll migrants deprived of their liberty </w:t>
      </w:r>
      <w:r w:rsidR="00B62019" w:rsidRPr="009E1A90">
        <w:rPr>
          <w:b/>
        </w:rPr>
        <w:t xml:space="preserve">should be </w:t>
      </w:r>
      <w:r w:rsidR="00AB0204" w:rsidRPr="009E1A90">
        <w:rPr>
          <w:b/>
        </w:rPr>
        <w:t>able to promptly contact their family, consular services and a lawyer, which should be free of charge.</w:t>
      </w:r>
    </w:p>
    <w:p w:rsidR="00AB0204" w:rsidRPr="009E1A90" w:rsidRDefault="009E1A90" w:rsidP="009E1A90">
      <w:pPr>
        <w:pStyle w:val="SingleTxtG"/>
        <w:suppressAutoHyphens w:val="0"/>
        <w:rPr>
          <w:b/>
        </w:rPr>
      </w:pPr>
      <w:r w:rsidRPr="009E1A90">
        <w:t>78.</w:t>
      </w:r>
      <w:r w:rsidRPr="009E1A90">
        <w:tab/>
      </w:r>
      <w:r w:rsidR="00B62019" w:rsidRPr="009E1A90">
        <w:rPr>
          <w:b/>
        </w:rPr>
        <w:t>C</w:t>
      </w:r>
      <w:r w:rsidR="00AB0204" w:rsidRPr="009E1A90">
        <w:rPr>
          <w:b/>
        </w:rPr>
        <w:t xml:space="preserve">omprehensive human rights training programmes </w:t>
      </w:r>
      <w:r w:rsidR="00B62019" w:rsidRPr="009E1A90">
        <w:rPr>
          <w:b/>
        </w:rPr>
        <w:t xml:space="preserve">should be developed </w:t>
      </w:r>
      <w:r w:rsidR="00AB0204" w:rsidRPr="009E1A90">
        <w:rPr>
          <w:b/>
        </w:rPr>
        <w:t xml:space="preserve">for all staff who </w:t>
      </w:r>
      <w:proofErr w:type="gramStart"/>
      <w:r w:rsidR="00AB0204" w:rsidRPr="009E1A90">
        <w:rPr>
          <w:b/>
        </w:rPr>
        <w:t>work</w:t>
      </w:r>
      <w:proofErr w:type="gramEnd"/>
      <w:r w:rsidR="00AB0204" w:rsidRPr="009E1A90">
        <w:rPr>
          <w:b/>
        </w:rPr>
        <w:t xml:space="preserve"> in such centres.</w:t>
      </w:r>
    </w:p>
    <w:p w:rsidR="00AB0204" w:rsidRPr="009E1A90" w:rsidRDefault="009E1A90" w:rsidP="009E1A90">
      <w:pPr>
        <w:pStyle w:val="SingleTxtG"/>
        <w:suppressAutoHyphens w:val="0"/>
        <w:rPr>
          <w:b/>
        </w:rPr>
      </w:pPr>
      <w:r w:rsidRPr="009E1A90">
        <w:t>79.</w:t>
      </w:r>
      <w:r w:rsidRPr="009E1A90">
        <w:tab/>
      </w:r>
      <w:r w:rsidR="009D1691" w:rsidRPr="009E1A90">
        <w:rPr>
          <w:b/>
        </w:rPr>
        <w:t xml:space="preserve">A </w:t>
      </w:r>
      <w:r w:rsidR="00AB0204" w:rsidRPr="009E1A90">
        <w:rPr>
          <w:b/>
        </w:rPr>
        <w:t xml:space="preserve">fairer and simpler system </w:t>
      </w:r>
      <w:r w:rsidR="009D1691" w:rsidRPr="009E1A90">
        <w:rPr>
          <w:b/>
        </w:rPr>
        <w:t xml:space="preserve">should be established </w:t>
      </w:r>
      <w:r w:rsidR="00AB0204" w:rsidRPr="009E1A90">
        <w:rPr>
          <w:b/>
        </w:rPr>
        <w:t>for migrant detainees to be able to challenge expulsion and detention orders.</w:t>
      </w:r>
    </w:p>
    <w:p w:rsidR="00AB0204" w:rsidRPr="009E1A90" w:rsidRDefault="009E1A90" w:rsidP="009E1A90">
      <w:pPr>
        <w:pStyle w:val="SingleTxtG"/>
        <w:suppressAutoHyphens w:val="0"/>
        <w:rPr>
          <w:b/>
        </w:rPr>
      </w:pPr>
      <w:r w:rsidRPr="009E1A90">
        <w:t>80.</w:t>
      </w:r>
      <w:r w:rsidRPr="009E1A90">
        <w:tab/>
      </w:r>
      <w:r w:rsidR="009D1691" w:rsidRPr="009E1A90">
        <w:rPr>
          <w:b/>
        </w:rPr>
        <w:t>A</w:t>
      </w:r>
      <w:r w:rsidR="00AB0204" w:rsidRPr="009E1A90">
        <w:rPr>
          <w:b/>
        </w:rPr>
        <w:t xml:space="preserve">ll detained persons who claim protection concerns </w:t>
      </w:r>
      <w:r w:rsidR="009D1691" w:rsidRPr="009E1A90">
        <w:rPr>
          <w:b/>
        </w:rPr>
        <w:t>should</w:t>
      </w:r>
      <w:r w:rsidR="00AB0204" w:rsidRPr="009E1A90">
        <w:rPr>
          <w:b/>
        </w:rPr>
        <w:t>, without delay,</w:t>
      </w:r>
      <w:r w:rsidR="009D1691" w:rsidRPr="009E1A90">
        <w:rPr>
          <w:b/>
        </w:rPr>
        <w:t xml:space="preserve"> be</w:t>
      </w:r>
      <w:r w:rsidR="00AB0204" w:rsidRPr="009E1A90">
        <w:rPr>
          <w:b/>
        </w:rPr>
        <w:t xml:space="preserve"> adequately informed of their right to seek asylum, have access to registration of asylum claims and </w:t>
      </w:r>
      <w:r w:rsidR="009D1691" w:rsidRPr="009E1A90">
        <w:rPr>
          <w:b/>
        </w:rPr>
        <w:t xml:space="preserve">should be able to </w:t>
      </w:r>
      <w:r w:rsidR="00AB0204" w:rsidRPr="009E1A90">
        <w:rPr>
          <w:b/>
        </w:rPr>
        <w:t xml:space="preserve">communicate with </w:t>
      </w:r>
      <w:r w:rsidR="002F3F69" w:rsidRPr="009E1A90">
        <w:rPr>
          <w:b/>
        </w:rPr>
        <w:t xml:space="preserve">the </w:t>
      </w:r>
      <w:r w:rsidR="00BB302B" w:rsidRPr="009E1A90">
        <w:rPr>
          <w:b/>
        </w:rPr>
        <w:t>Office of the United Nations High Commissioner for Refugees</w:t>
      </w:r>
      <w:r w:rsidR="00AB0204" w:rsidRPr="009E1A90">
        <w:rPr>
          <w:b/>
        </w:rPr>
        <w:t>, lawyers and civil society organizations.</w:t>
      </w:r>
    </w:p>
    <w:p w:rsidR="006937F3" w:rsidRPr="009E1A90" w:rsidRDefault="009E1A90" w:rsidP="009E1A90">
      <w:pPr>
        <w:pStyle w:val="SingleTxtG"/>
        <w:suppressAutoHyphens w:val="0"/>
        <w:rPr>
          <w:b/>
        </w:rPr>
      </w:pPr>
      <w:r w:rsidRPr="009E1A90">
        <w:t>81.</w:t>
      </w:r>
      <w:r w:rsidRPr="009E1A90">
        <w:tab/>
      </w:r>
      <w:r w:rsidR="008024DD" w:rsidRPr="009E1A90">
        <w:rPr>
          <w:b/>
        </w:rPr>
        <w:t xml:space="preserve">In compliance with the </w:t>
      </w:r>
      <w:r w:rsidR="002F3F69" w:rsidRPr="009E1A90">
        <w:rPr>
          <w:b/>
        </w:rPr>
        <w:t xml:space="preserve">European Union </w:t>
      </w:r>
      <w:r w:rsidR="008024DD" w:rsidRPr="009E1A90">
        <w:rPr>
          <w:b/>
        </w:rPr>
        <w:t xml:space="preserve">“Dublin III” Regulation, asylum seekers can be transferred only to European Union </w:t>
      </w:r>
      <w:r w:rsidR="002F3F69" w:rsidRPr="009E1A90">
        <w:rPr>
          <w:b/>
        </w:rPr>
        <w:t>m</w:t>
      </w:r>
      <w:r w:rsidR="008024DD" w:rsidRPr="009E1A90">
        <w:rPr>
          <w:b/>
        </w:rPr>
        <w:t xml:space="preserve">ember States, according to the territorial competence of </w:t>
      </w:r>
      <w:r w:rsidR="002F3F69" w:rsidRPr="009E1A90">
        <w:rPr>
          <w:b/>
        </w:rPr>
        <w:t>those m</w:t>
      </w:r>
      <w:r w:rsidR="008024DD" w:rsidRPr="009E1A90">
        <w:rPr>
          <w:b/>
        </w:rPr>
        <w:t xml:space="preserve">ember States in receiving and processing the asylum claim, as </w:t>
      </w:r>
      <w:r w:rsidR="002F3F69" w:rsidRPr="009E1A90">
        <w:rPr>
          <w:b/>
        </w:rPr>
        <w:t xml:space="preserve">provided </w:t>
      </w:r>
      <w:r w:rsidR="008024DD" w:rsidRPr="009E1A90">
        <w:rPr>
          <w:b/>
        </w:rPr>
        <w:t>by the Regulation.</w:t>
      </w:r>
      <w:r w:rsidR="00F13069" w:rsidRPr="009E1A90">
        <w:rPr>
          <w:b/>
        </w:rPr>
        <w:t xml:space="preserve"> </w:t>
      </w:r>
      <w:r w:rsidR="002F3F69" w:rsidRPr="009E1A90">
        <w:rPr>
          <w:b/>
        </w:rPr>
        <w:t xml:space="preserve">The Government </w:t>
      </w:r>
      <w:r w:rsidR="006937F3" w:rsidRPr="009E1A90">
        <w:rPr>
          <w:b/>
        </w:rPr>
        <w:t>should prohibit the transfer of asylum</w:t>
      </w:r>
      <w:r w:rsidR="00A326FB" w:rsidRPr="009E1A90">
        <w:rPr>
          <w:b/>
        </w:rPr>
        <w:t xml:space="preserve"> </w:t>
      </w:r>
      <w:r w:rsidR="006937F3" w:rsidRPr="009E1A90">
        <w:rPr>
          <w:b/>
        </w:rPr>
        <w:t xml:space="preserve">seekers to detention centres in third countries </w:t>
      </w:r>
      <w:r w:rsidR="002F3F69" w:rsidRPr="009E1A90">
        <w:rPr>
          <w:b/>
        </w:rPr>
        <w:t xml:space="preserve">that </w:t>
      </w:r>
      <w:r w:rsidR="006937F3" w:rsidRPr="009E1A90">
        <w:rPr>
          <w:b/>
        </w:rPr>
        <w:t xml:space="preserve">do not meet international </w:t>
      </w:r>
      <w:r w:rsidR="006937F3" w:rsidRPr="009E1A90">
        <w:rPr>
          <w:b/>
        </w:rPr>
        <w:lastRenderedPageBreak/>
        <w:t xml:space="preserve">human rights standards or </w:t>
      </w:r>
      <w:r w:rsidR="002F3F69" w:rsidRPr="009E1A90">
        <w:rPr>
          <w:b/>
        </w:rPr>
        <w:t xml:space="preserve">that </w:t>
      </w:r>
      <w:r w:rsidR="006937F3" w:rsidRPr="009E1A90">
        <w:rPr>
          <w:b/>
        </w:rPr>
        <w:t>have no procedures to assess promptly claims</w:t>
      </w:r>
      <w:r w:rsidR="002F3F69" w:rsidRPr="009E1A90">
        <w:rPr>
          <w:b/>
        </w:rPr>
        <w:t xml:space="preserve"> for asylum</w:t>
      </w:r>
      <w:r w:rsidR="009D1691" w:rsidRPr="009E1A90">
        <w:rPr>
          <w:b/>
        </w:rPr>
        <w:t>.</w:t>
      </w:r>
    </w:p>
    <w:p w:rsidR="00E050C3" w:rsidRPr="009E1A90" w:rsidRDefault="009E1A90" w:rsidP="009E1A90">
      <w:pPr>
        <w:pStyle w:val="SingleTxtG"/>
        <w:suppressAutoHyphens w:val="0"/>
        <w:rPr>
          <w:b/>
        </w:rPr>
      </w:pPr>
      <w:r w:rsidRPr="009E1A90">
        <w:t>82.</w:t>
      </w:r>
      <w:r w:rsidRPr="009E1A90">
        <w:tab/>
      </w:r>
      <w:r w:rsidR="00E050C3" w:rsidRPr="009E1A90">
        <w:rPr>
          <w:b/>
        </w:rPr>
        <w:t>The Working Group urges all relevant regional and national authorities to implement the reform of the psychiatric system as a matter of priority and to take all necessary steps to ensure that forensic psychiatric patients throughout Italy are henceforth provided with a therapeutic environment and individuali</w:t>
      </w:r>
      <w:r w:rsidR="00830929" w:rsidRPr="009E1A90">
        <w:rPr>
          <w:b/>
        </w:rPr>
        <w:t>z</w:t>
      </w:r>
      <w:r w:rsidR="00E050C3" w:rsidRPr="009E1A90">
        <w:rPr>
          <w:b/>
        </w:rPr>
        <w:t xml:space="preserve">ed treatment programme on </w:t>
      </w:r>
      <w:r w:rsidR="002F3F69" w:rsidRPr="009E1A90">
        <w:rPr>
          <w:b/>
        </w:rPr>
        <w:t xml:space="preserve">the basis of </w:t>
      </w:r>
      <w:r w:rsidR="00E050C3" w:rsidRPr="009E1A90">
        <w:rPr>
          <w:b/>
        </w:rPr>
        <w:t>a multidisciplinary approach.</w:t>
      </w:r>
    </w:p>
    <w:p w:rsidR="00555E77" w:rsidRPr="009E1A90" w:rsidRDefault="009E1A90" w:rsidP="009E1A90">
      <w:pPr>
        <w:pStyle w:val="SingleTxtG"/>
        <w:suppressAutoHyphens w:val="0"/>
        <w:rPr>
          <w:b/>
        </w:rPr>
      </w:pPr>
      <w:r w:rsidRPr="009E1A90">
        <w:t>83.</w:t>
      </w:r>
      <w:r w:rsidRPr="009E1A90">
        <w:tab/>
      </w:r>
      <w:r w:rsidR="00555E77" w:rsidRPr="009E1A90">
        <w:rPr>
          <w:b/>
        </w:rPr>
        <w:t>Incidents of police brutality against arrestees should be thoroughly investigated and those responsible held accountable.</w:t>
      </w:r>
    </w:p>
    <w:p w:rsidR="00DB3FA1" w:rsidRPr="009E1A90" w:rsidRDefault="009E1A90" w:rsidP="009E1A90">
      <w:pPr>
        <w:pStyle w:val="SingleTxtG"/>
        <w:suppressAutoHyphens w:val="0"/>
      </w:pPr>
      <w:r w:rsidRPr="009E1A90">
        <w:t>84.</w:t>
      </w:r>
      <w:r w:rsidRPr="009E1A90">
        <w:tab/>
      </w:r>
      <w:r w:rsidR="00DB3FA1" w:rsidRPr="009E1A90">
        <w:rPr>
          <w:b/>
        </w:rPr>
        <w:t>The Government should prioritize the establishment of a national human rights institution with a broad human rights mandate, with an explicit power to make unannounced spot checks in detention facilities and with the necessary human and financial resources for its effective functioning.</w:t>
      </w:r>
      <w:r w:rsidR="00DB3FA1" w:rsidRPr="009E1A90">
        <w:t xml:space="preserve"> </w:t>
      </w:r>
    </w:p>
    <w:p w:rsidR="008047FE" w:rsidRPr="009E1A90" w:rsidRDefault="009E1A90" w:rsidP="009E1A90">
      <w:pPr>
        <w:pStyle w:val="SingleTxtG"/>
        <w:suppressAutoHyphens w:val="0"/>
        <w:rPr>
          <w:b/>
        </w:rPr>
      </w:pPr>
      <w:r w:rsidRPr="009E1A90">
        <w:t>85.</w:t>
      </w:r>
      <w:r w:rsidRPr="009E1A90">
        <w:tab/>
      </w:r>
      <w:r w:rsidR="00C31545" w:rsidRPr="009E1A90">
        <w:rPr>
          <w:b/>
        </w:rPr>
        <w:t xml:space="preserve">Following the ratification of the </w:t>
      </w:r>
      <w:r w:rsidR="002F3F69" w:rsidRPr="009E1A90">
        <w:rPr>
          <w:b/>
        </w:rPr>
        <w:t xml:space="preserve">Optional Protocol to the Convention against Torture and Other Cruel, Inhuman or Degrading Treatment or Punishment </w:t>
      </w:r>
      <w:r w:rsidR="00C31545" w:rsidRPr="009E1A90">
        <w:rPr>
          <w:b/>
        </w:rPr>
        <w:t>(Law</w:t>
      </w:r>
      <w:r w:rsidR="00666352" w:rsidRPr="009E1A90">
        <w:rPr>
          <w:b/>
        </w:rPr>
        <w:t xml:space="preserve"> No. </w:t>
      </w:r>
      <w:r w:rsidR="00C31545" w:rsidRPr="009E1A90">
        <w:rPr>
          <w:b/>
        </w:rPr>
        <w:t xml:space="preserve">195/2012), </w:t>
      </w:r>
      <w:r w:rsidR="00204674" w:rsidRPr="009E1A90">
        <w:rPr>
          <w:b/>
        </w:rPr>
        <w:t>article </w:t>
      </w:r>
      <w:r w:rsidR="00C31545" w:rsidRPr="009E1A90">
        <w:rPr>
          <w:b/>
        </w:rPr>
        <w:t>7 of Law</w:t>
      </w:r>
      <w:r w:rsidR="00666352" w:rsidRPr="009E1A90">
        <w:rPr>
          <w:b/>
        </w:rPr>
        <w:t xml:space="preserve"> No. </w:t>
      </w:r>
      <w:r w:rsidR="00C31545" w:rsidRPr="009E1A90">
        <w:rPr>
          <w:b/>
        </w:rPr>
        <w:t xml:space="preserve">10/2014 has provided for the establishment by the Ministry of Justice of a </w:t>
      </w:r>
      <w:r w:rsidR="002F3F69" w:rsidRPr="009E1A90">
        <w:rPr>
          <w:b/>
        </w:rPr>
        <w:t>n</w:t>
      </w:r>
      <w:r w:rsidR="00C31545" w:rsidRPr="009E1A90">
        <w:rPr>
          <w:b/>
        </w:rPr>
        <w:t xml:space="preserve">ational </w:t>
      </w:r>
      <w:r w:rsidR="002F3F69" w:rsidRPr="009E1A90">
        <w:rPr>
          <w:b/>
        </w:rPr>
        <w:t>a</w:t>
      </w:r>
      <w:r w:rsidR="00C31545" w:rsidRPr="009E1A90">
        <w:rPr>
          <w:b/>
        </w:rPr>
        <w:t xml:space="preserve">uthority for the rights of detainees, tasked with monitoring the treatment of individuals deprived of personal freedom and the implementation of alternative measures to detention in conformity with constitutional, legislative and international standards. It will have the power to visit prisons, investigate on detention measures </w:t>
      </w:r>
      <w:r w:rsidR="00A75C52" w:rsidRPr="009E1A90">
        <w:rPr>
          <w:b/>
        </w:rPr>
        <w:t xml:space="preserve">and </w:t>
      </w:r>
      <w:r w:rsidR="00C31545" w:rsidRPr="009E1A90">
        <w:rPr>
          <w:b/>
        </w:rPr>
        <w:t xml:space="preserve">visit judicial psychiatric hospitals and all institutions, including </w:t>
      </w:r>
      <w:r w:rsidR="00A75C52" w:rsidRPr="009E1A90">
        <w:rPr>
          <w:b/>
        </w:rPr>
        <w:t>i</w:t>
      </w:r>
      <w:r w:rsidR="001727D6" w:rsidRPr="009E1A90">
        <w:rPr>
          <w:rFonts w:eastAsia="SimSun"/>
          <w:b/>
          <w:bCs/>
        </w:rPr>
        <w:t xml:space="preserve">dentification and </w:t>
      </w:r>
      <w:r w:rsidR="00A75C52" w:rsidRPr="009E1A90">
        <w:rPr>
          <w:rFonts w:eastAsia="SimSun"/>
          <w:b/>
          <w:bCs/>
        </w:rPr>
        <w:t>e</w:t>
      </w:r>
      <w:r w:rsidR="001727D6" w:rsidRPr="009E1A90">
        <w:rPr>
          <w:rFonts w:eastAsia="SimSun"/>
          <w:b/>
          <w:bCs/>
        </w:rPr>
        <w:t xml:space="preserve">xpulsion </w:t>
      </w:r>
      <w:r w:rsidR="00A75C52" w:rsidRPr="009E1A90">
        <w:rPr>
          <w:rFonts w:eastAsia="SimSun"/>
          <w:b/>
          <w:bCs/>
        </w:rPr>
        <w:t>c</w:t>
      </w:r>
      <w:r w:rsidR="001727D6" w:rsidRPr="009E1A90">
        <w:rPr>
          <w:rFonts w:eastAsia="SimSun"/>
          <w:b/>
          <w:bCs/>
        </w:rPr>
        <w:t>entres</w:t>
      </w:r>
      <w:r w:rsidR="00C31545" w:rsidRPr="009E1A90">
        <w:rPr>
          <w:b/>
        </w:rPr>
        <w:t xml:space="preserve">, </w:t>
      </w:r>
      <w:r w:rsidR="00A75C52" w:rsidRPr="009E1A90">
        <w:rPr>
          <w:b/>
        </w:rPr>
        <w:t xml:space="preserve">that </w:t>
      </w:r>
      <w:r w:rsidR="00C31545" w:rsidRPr="009E1A90">
        <w:rPr>
          <w:b/>
        </w:rPr>
        <w:t>host individuals deprived of personal liberty. It can also adopt specific recommendations.</w:t>
      </w:r>
      <w:r w:rsidR="00F13069" w:rsidRPr="009E1A90">
        <w:rPr>
          <w:b/>
        </w:rPr>
        <w:t xml:space="preserve"> </w:t>
      </w:r>
      <w:r w:rsidR="00C31545" w:rsidRPr="009E1A90">
        <w:rPr>
          <w:b/>
        </w:rPr>
        <w:t xml:space="preserve">The Working Group considers that a </w:t>
      </w:r>
      <w:r w:rsidR="008047FE" w:rsidRPr="009E1A90">
        <w:rPr>
          <w:b/>
        </w:rPr>
        <w:t>fully independent national preventive mechanism</w:t>
      </w:r>
      <w:r w:rsidR="009D1691" w:rsidRPr="009E1A90">
        <w:rPr>
          <w:b/>
        </w:rPr>
        <w:t xml:space="preserve"> should be established</w:t>
      </w:r>
      <w:r w:rsidR="008047FE" w:rsidRPr="009E1A90">
        <w:rPr>
          <w:b/>
        </w:rPr>
        <w:t>, in accordance with the Optional Protocol, which is mandated to visit all places where persons are deprived of their liberty.</w:t>
      </w:r>
    </w:p>
    <w:p w:rsidR="008047FE" w:rsidRPr="001060A9" w:rsidRDefault="009E1A90" w:rsidP="009E1A90">
      <w:pPr>
        <w:pStyle w:val="SingleTxtG"/>
        <w:suppressAutoHyphens w:val="0"/>
        <w:rPr>
          <w:b/>
        </w:rPr>
      </w:pPr>
      <w:r w:rsidRPr="009E1A90">
        <w:t>86.</w:t>
      </w:r>
      <w:r w:rsidRPr="009E1A90">
        <w:tab/>
      </w:r>
      <w:r w:rsidR="009D1691" w:rsidRPr="009E1A90">
        <w:rPr>
          <w:b/>
        </w:rPr>
        <w:t>The Government should r</w:t>
      </w:r>
      <w:r w:rsidR="008047FE" w:rsidRPr="009E1A90">
        <w:rPr>
          <w:b/>
        </w:rPr>
        <w:t xml:space="preserve">atify the International Convention on the Protection of the Rights of All Migrant Workers and Members of </w:t>
      </w:r>
      <w:r w:rsidR="00A75C52" w:rsidRPr="009E1A90">
        <w:rPr>
          <w:b/>
        </w:rPr>
        <w:t>t</w:t>
      </w:r>
      <w:r w:rsidR="008047FE" w:rsidRPr="009E1A90">
        <w:rPr>
          <w:b/>
        </w:rPr>
        <w:t>heir Families.</w:t>
      </w:r>
    </w:p>
    <w:p w:rsidR="00B84210" w:rsidRPr="00DB6F1C" w:rsidRDefault="00F96338" w:rsidP="005815C5">
      <w:pPr>
        <w:pStyle w:val="SingleTxtG"/>
        <w:spacing w:before="240" w:after="0"/>
        <w:jc w:val="center"/>
        <w:rPr>
          <w:bCs/>
          <w:u w:val="single"/>
        </w:rPr>
      </w:pPr>
      <w:r w:rsidRPr="003E6675">
        <w:rPr>
          <w:bCs/>
          <w:u w:val="single"/>
        </w:rPr>
        <w:tab/>
      </w:r>
      <w:r w:rsidRPr="003E6675">
        <w:rPr>
          <w:bCs/>
          <w:u w:val="single"/>
        </w:rPr>
        <w:tab/>
      </w:r>
      <w:r w:rsidRPr="003E6675">
        <w:rPr>
          <w:bCs/>
          <w:u w:val="single"/>
        </w:rPr>
        <w:tab/>
      </w:r>
    </w:p>
    <w:sectPr w:rsidR="00B84210" w:rsidRPr="00DB6F1C" w:rsidSect="002816E9">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09:12:00Z" w:initials="Start">
    <w:p w:rsidR="002816E9" w:rsidRDefault="002816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NO&gt;&gt;N1515449E&lt;&lt;ODS JOB NO&gt;&gt;</w:t>
      </w:r>
    </w:p>
    <w:p w:rsidR="002816E9" w:rsidRDefault="002816E9">
      <w:pPr>
        <w:pStyle w:val="CommentText"/>
      </w:pPr>
      <w:r>
        <w:t>&lt;&lt;ODS DOC SYMBOL1&gt;&gt;A/HRC/30/36/ADD.3&lt;&lt;ODS DOC SYMBOL1&gt;&gt;</w:t>
      </w:r>
    </w:p>
    <w:p w:rsidR="002816E9" w:rsidRDefault="002816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DD" w:rsidRDefault="004419DD"/>
  </w:endnote>
  <w:endnote w:type="continuationSeparator" w:id="0">
    <w:p w:rsidR="004419DD" w:rsidRDefault="004419DD"/>
  </w:endnote>
  <w:endnote w:type="continuationNotice" w:id="1">
    <w:p w:rsidR="004419DD" w:rsidRDefault="0044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F" w:rsidRPr="00F055F9" w:rsidRDefault="0001239F" w:rsidP="00F055F9">
    <w:pPr>
      <w:pStyle w:val="Footer"/>
      <w:tabs>
        <w:tab w:val="right" w:pos="9598"/>
      </w:tabs>
    </w:pPr>
    <w:r w:rsidRPr="00F055F9">
      <w:rPr>
        <w:b/>
        <w:sz w:val="18"/>
      </w:rPr>
      <w:fldChar w:fldCharType="begin"/>
    </w:r>
    <w:r w:rsidRPr="00F055F9">
      <w:rPr>
        <w:b/>
        <w:sz w:val="18"/>
      </w:rPr>
      <w:instrText xml:space="preserve"> PAGE  \* MERGEFORMAT </w:instrText>
    </w:r>
    <w:r w:rsidRPr="00F055F9">
      <w:rPr>
        <w:b/>
        <w:sz w:val="18"/>
      </w:rPr>
      <w:fldChar w:fldCharType="separate"/>
    </w:r>
    <w:r w:rsidR="003A56BD">
      <w:rPr>
        <w:b/>
        <w:noProof/>
        <w:sz w:val="18"/>
      </w:rPr>
      <w:t>2</w:t>
    </w:r>
    <w:r w:rsidRPr="00F055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F" w:rsidRDefault="0001239F" w:rsidP="00F055F9">
    <w:pPr>
      <w:pStyle w:val="Footer"/>
      <w:tabs>
        <w:tab w:val="right" w:pos="9598"/>
      </w:tabs>
      <w:rPr>
        <w:b/>
        <w:sz w:val="18"/>
      </w:rPr>
    </w:pPr>
    <w:r>
      <w:tab/>
    </w:r>
    <w:r w:rsidRPr="00F055F9">
      <w:rPr>
        <w:b/>
        <w:sz w:val="18"/>
      </w:rPr>
      <w:fldChar w:fldCharType="begin"/>
    </w:r>
    <w:r w:rsidRPr="00F055F9">
      <w:rPr>
        <w:b/>
        <w:sz w:val="18"/>
      </w:rPr>
      <w:instrText xml:space="preserve"> PAGE  \* MERGEFORMAT </w:instrText>
    </w:r>
    <w:r w:rsidRPr="00F055F9">
      <w:rPr>
        <w:b/>
        <w:sz w:val="18"/>
      </w:rPr>
      <w:fldChar w:fldCharType="separate"/>
    </w:r>
    <w:r w:rsidR="003A56BD">
      <w:rPr>
        <w:b/>
        <w:noProof/>
        <w:sz w:val="18"/>
      </w:rPr>
      <w:t>3</w:t>
    </w:r>
    <w:r w:rsidRPr="00F055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816E9" w:rsidTr="002816E9">
      <w:tc>
        <w:tcPr>
          <w:tcW w:w="3614" w:type="dxa"/>
          <w:shd w:val="clear" w:color="auto" w:fill="auto"/>
        </w:tcPr>
        <w:p w:rsidR="002816E9" w:rsidRDefault="002816E9" w:rsidP="002816E9">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6/AD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6/AD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GE.15-11706(E)</w:t>
          </w:r>
        </w:p>
        <w:p w:rsidR="002816E9" w:rsidRPr="002816E9" w:rsidRDefault="002816E9" w:rsidP="002816E9">
          <w:pPr>
            <w:pStyle w:val="Footer"/>
            <w:rPr>
              <w:rFonts w:ascii="Barcode 3 of 9 by request" w:hAnsi="Barcode 3 of 9 by request"/>
              <w:sz w:val="24"/>
            </w:rPr>
          </w:pPr>
          <w:r>
            <w:rPr>
              <w:rFonts w:ascii="Barcode 3 of 9 by request" w:hAnsi="Barcode 3 of 9 by request"/>
              <w:sz w:val="24"/>
            </w:rPr>
            <w:t>*1511706*</w:t>
          </w:r>
        </w:p>
      </w:tc>
      <w:tc>
        <w:tcPr>
          <w:tcW w:w="4752" w:type="dxa"/>
          <w:shd w:val="clear" w:color="auto" w:fill="auto"/>
        </w:tcPr>
        <w:p w:rsidR="002816E9" w:rsidRDefault="002816E9" w:rsidP="002816E9">
          <w:pPr>
            <w:pStyle w:val="Footer"/>
            <w:spacing w:line="240" w:lineRule="atLeast"/>
            <w:jc w:val="right"/>
            <w:rPr>
              <w:sz w:val="20"/>
            </w:rPr>
          </w:pPr>
          <w:r>
            <w:rPr>
              <w:noProof/>
              <w:sz w:val="20"/>
              <w:lang w:eastAsia="zh-CN"/>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816E9" w:rsidRPr="002816E9" w:rsidRDefault="002816E9" w:rsidP="002816E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DD" w:rsidRDefault="004419DD">
      <w:pPr>
        <w:tabs>
          <w:tab w:val="right" w:pos="2155"/>
        </w:tabs>
        <w:spacing w:after="80"/>
        <w:ind w:left="680"/>
        <w:rPr>
          <w:u w:val="single"/>
        </w:rPr>
      </w:pPr>
      <w:r>
        <w:rPr>
          <w:u w:val="single"/>
        </w:rPr>
        <w:tab/>
      </w:r>
    </w:p>
  </w:footnote>
  <w:footnote w:type="continuationSeparator" w:id="0">
    <w:p w:rsidR="004419DD" w:rsidRDefault="004419DD">
      <w:pPr>
        <w:tabs>
          <w:tab w:val="left" w:pos="2155"/>
        </w:tabs>
        <w:spacing w:after="80"/>
        <w:ind w:left="680"/>
        <w:rPr>
          <w:u w:val="single"/>
        </w:rPr>
      </w:pPr>
      <w:r>
        <w:rPr>
          <w:u w:val="single"/>
        </w:rPr>
        <w:tab/>
      </w:r>
    </w:p>
  </w:footnote>
  <w:footnote w:type="continuationNotice" w:id="1">
    <w:p w:rsidR="004419DD" w:rsidRDefault="004419DD"/>
  </w:footnote>
  <w:footnote w:id="2">
    <w:p w:rsidR="0001239F" w:rsidRPr="003E6675" w:rsidRDefault="0001239F" w:rsidP="00EF5364">
      <w:pPr>
        <w:pStyle w:val="Default"/>
        <w:tabs>
          <w:tab w:val="right" w:pos="1021"/>
        </w:tabs>
        <w:ind w:left="1134" w:right="1134" w:hanging="1134"/>
        <w:rPr>
          <w:rStyle w:val="FootnoteTextChar"/>
          <w:lang w:val="en-GB"/>
        </w:rPr>
      </w:pPr>
      <w:r w:rsidRPr="003E6675">
        <w:rPr>
          <w:lang w:val="en-GB"/>
        </w:rPr>
        <w:tab/>
      </w:r>
      <w:r w:rsidRPr="00BB0282">
        <w:rPr>
          <w:rStyle w:val="FootnoteReference"/>
          <w:sz w:val="20"/>
          <w:lang w:val="en-GB"/>
        </w:rPr>
        <w:t>*</w:t>
      </w:r>
      <w:r w:rsidRPr="003E6675">
        <w:rPr>
          <w:color w:val="auto"/>
          <w:lang w:val="en-GB"/>
        </w:rPr>
        <w:tab/>
      </w:r>
      <w:r w:rsidRPr="003E6675">
        <w:rPr>
          <w:rStyle w:val="FootnoteTextChar"/>
          <w:lang w:val="en-GB"/>
        </w:rPr>
        <w:t>The summary of the present report is circulated in all official languages. The report itself, which is annexed to the summary, is circulated in the language of submission only.</w:t>
      </w:r>
    </w:p>
  </w:footnote>
  <w:footnote w:id="3">
    <w:p w:rsidR="0001239F" w:rsidRPr="003E6675" w:rsidRDefault="0038039F" w:rsidP="006248E1">
      <w:pPr>
        <w:pStyle w:val="Default"/>
        <w:tabs>
          <w:tab w:val="right" w:pos="1021"/>
        </w:tabs>
        <w:spacing w:line="220" w:lineRule="exact"/>
        <w:ind w:left="1134" w:right="1134" w:hanging="1134"/>
        <w:rPr>
          <w:rStyle w:val="FootnoteTextChar"/>
          <w:lang w:val="en-GB"/>
        </w:rPr>
      </w:pPr>
      <w:r w:rsidRPr="003E6675">
        <w:rPr>
          <w:sz w:val="18"/>
          <w:szCs w:val="18"/>
          <w:lang w:val="en-GB"/>
        </w:rPr>
        <w:tab/>
      </w:r>
      <w:r w:rsidR="0001239F" w:rsidRPr="003E6675">
        <w:rPr>
          <w:rStyle w:val="FootnoteReference"/>
          <w:szCs w:val="18"/>
          <w:lang w:val="en-GB"/>
        </w:rPr>
        <w:footnoteRef/>
      </w:r>
      <w:r w:rsidR="0001239F" w:rsidRPr="003E6675">
        <w:rPr>
          <w:sz w:val="18"/>
          <w:szCs w:val="18"/>
          <w:lang w:val="en-GB"/>
        </w:rPr>
        <w:t xml:space="preserve"> </w:t>
      </w:r>
      <w:r w:rsidRPr="003E6675">
        <w:rPr>
          <w:sz w:val="18"/>
          <w:szCs w:val="18"/>
          <w:lang w:val="en-GB"/>
        </w:rPr>
        <w:tab/>
      </w:r>
      <w:r w:rsidR="0001239F" w:rsidRPr="003E6675">
        <w:rPr>
          <w:rStyle w:val="FootnoteTextChar"/>
          <w:lang w:val="en-GB"/>
        </w:rPr>
        <w:t>See http://documenti.camera.it/leg17/resoconti/commissioni/stenografici/html/02/audiz2/</w:t>
      </w:r>
      <w:r w:rsidR="0093230C" w:rsidRPr="003E6675">
        <w:rPr>
          <w:rStyle w:val="FootnoteTextChar"/>
          <w:lang w:val="en-GB"/>
        </w:rPr>
        <w:br/>
      </w:r>
      <w:proofErr w:type="spellStart"/>
      <w:r w:rsidR="0001239F" w:rsidRPr="003E6675">
        <w:rPr>
          <w:rStyle w:val="FootnoteTextChar"/>
          <w:lang w:val="en-GB"/>
        </w:rPr>
        <w:t>audizione</w:t>
      </w:r>
      <w:proofErr w:type="spellEnd"/>
      <w:r w:rsidR="0001239F" w:rsidRPr="003E6675">
        <w:rPr>
          <w:rStyle w:val="FootnoteTextChar"/>
          <w:lang w:val="en-GB"/>
        </w:rPr>
        <w:t>/2013/10/17/indice_stenografico.0003.html#</w:t>
      </w:r>
      <w:r w:rsidR="0093230C" w:rsidRPr="003E6675">
        <w:rPr>
          <w:rStyle w:val="FootnoteTextChar"/>
          <w:lang w:val="en-GB"/>
        </w:rPr>
        <w:t xml:space="preserve"> (website available in Italian only)</w:t>
      </w:r>
      <w:r w:rsidR="00AB6385" w:rsidRPr="003E6675">
        <w:rPr>
          <w:sz w:val="18"/>
          <w:szCs w:val="18"/>
          <w:lang w:val="en-GB" w:eastAsia="en-GB"/>
        </w:rPr>
        <w:t>.</w:t>
      </w:r>
    </w:p>
  </w:footnote>
  <w:footnote w:id="4">
    <w:p w:rsidR="0001239F" w:rsidRPr="006248E1" w:rsidRDefault="0038039F" w:rsidP="006248E1">
      <w:pPr>
        <w:pStyle w:val="Default"/>
        <w:tabs>
          <w:tab w:val="right" w:pos="1021"/>
        </w:tabs>
        <w:spacing w:line="220" w:lineRule="exact"/>
        <w:ind w:left="1134" w:right="1134" w:hanging="1134"/>
        <w:rPr>
          <w:lang w:val="en-GB"/>
        </w:rPr>
      </w:pPr>
      <w:r w:rsidRPr="003E6675">
        <w:rPr>
          <w:lang w:val="en-GB"/>
        </w:rPr>
        <w:tab/>
      </w:r>
      <w:r w:rsidR="0001239F" w:rsidRPr="003E6675">
        <w:rPr>
          <w:rStyle w:val="FootnoteReference"/>
          <w:lang w:val="en-GB"/>
        </w:rPr>
        <w:footnoteRef/>
      </w:r>
      <w:r w:rsidR="0001239F" w:rsidRPr="003E6675">
        <w:rPr>
          <w:lang w:val="en-GB"/>
        </w:rPr>
        <w:t xml:space="preserve"> </w:t>
      </w:r>
      <w:r w:rsidRPr="003E6675">
        <w:rPr>
          <w:lang w:val="en-GB"/>
        </w:rPr>
        <w:tab/>
      </w:r>
      <w:proofErr w:type="spellStart"/>
      <w:proofErr w:type="gramStart"/>
      <w:r w:rsidR="0001239F" w:rsidRPr="003E6675">
        <w:rPr>
          <w:rStyle w:val="FootnoteTextChar"/>
          <w:i/>
          <w:lang w:val="en-GB"/>
        </w:rPr>
        <w:t>Torreggiani</w:t>
      </w:r>
      <w:proofErr w:type="spellEnd"/>
      <w:r w:rsidR="0001239F" w:rsidRPr="003E6675">
        <w:rPr>
          <w:rStyle w:val="FootnoteTextChar"/>
          <w:i/>
          <w:lang w:val="en-GB"/>
        </w:rPr>
        <w:t xml:space="preserve"> and Others</w:t>
      </w:r>
      <w:r w:rsidR="0001239F" w:rsidRPr="003E6675">
        <w:rPr>
          <w:rStyle w:val="FootnoteTextChar"/>
          <w:lang w:val="en-GB"/>
        </w:rPr>
        <w:t xml:space="preserve"> </w:t>
      </w:r>
      <w:r w:rsidR="0001239F" w:rsidRPr="003E6675">
        <w:rPr>
          <w:rStyle w:val="FootnoteTextChar"/>
          <w:i/>
          <w:iCs/>
          <w:lang w:val="en-GB"/>
        </w:rPr>
        <w:t>v. Italy</w:t>
      </w:r>
      <w:r w:rsidR="0001239F" w:rsidRPr="003E6675">
        <w:rPr>
          <w:rStyle w:val="FootnoteTextChar"/>
          <w:lang w:val="en-GB"/>
        </w:rPr>
        <w:t xml:space="preserve"> (application</w:t>
      </w:r>
      <w:r w:rsidR="00666352" w:rsidRPr="003E6675">
        <w:rPr>
          <w:rStyle w:val="FootnoteTextChar"/>
          <w:lang w:val="en-GB"/>
        </w:rPr>
        <w:t xml:space="preserve"> No. </w:t>
      </w:r>
      <w:r w:rsidR="0001239F" w:rsidRPr="003E6675">
        <w:rPr>
          <w:rStyle w:val="FootnoteTextChar"/>
          <w:lang w:val="en-GB"/>
        </w:rPr>
        <w:t>43517/09).</w:t>
      </w:r>
      <w:proofErr w:type="gramEnd"/>
      <w:r w:rsidR="0001239F" w:rsidRPr="003E6675">
        <w:rPr>
          <w:rStyle w:val="FootnoteTextChar"/>
          <w:lang w:val="en-GB"/>
        </w:rPr>
        <w:t xml:space="preserve"> This was a “pilot-judgement”, allowing the court to identify a structural problem underlying the violations and to indicate specific measures or actions to be taken by the respondent state to remedy them.</w:t>
      </w:r>
      <w:r w:rsidR="0001239F" w:rsidRPr="003E6675">
        <w:rPr>
          <w:sz w:val="18"/>
          <w:szCs w:val="18"/>
          <w:lang w:val="en-GB" w:eastAsia="en-GB"/>
        </w:rPr>
        <w:t xml:space="preserve"> </w:t>
      </w:r>
    </w:p>
  </w:footnote>
  <w:footnote w:id="5">
    <w:p w:rsidR="005F192F" w:rsidRPr="003E6675" w:rsidRDefault="005F192F" w:rsidP="005815C5">
      <w:pPr>
        <w:pStyle w:val="FootnoteText"/>
        <w:ind w:rightChars="1134" w:right="2268"/>
        <w:rPr>
          <w:lang w:val="en-GB"/>
        </w:rPr>
      </w:pPr>
      <w:r w:rsidRPr="006248E1">
        <w:rPr>
          <w:lang w:val="en-GB"/>
        </w:rPr>
        <w:tab/>
      </w:r>
      <w:r w:rsidRPr="003E6675">
        <w:rPr>
          <w:rStyle w:val="FootnoteReference"/>
          <w:lang w:val="en-GB"/>
        </w:rPr>
        <w:footnoteRef/>
      </w:r>
      <w:r w:rsidR="0038039F" w:rsidRPr="006248E1">
        <w:rPr>
          <w:lang w:val="en-GB"/>
        </w:rPr>
        <w:tab/>
      </w:r>
      <w:r w:rsidRPr="003E6675">
        <w:rPr>
          <w:rStyle w:val="FootnoteReference"/>
          <w:lang w:val="en-GB"/>
        </w:rPr>
        <w:t xml:space="preserve"> </w:t>
      </w:r>
      <w:r w:rsidR="00BB302B">
        <w:rPr>
          <w:lang w:val="en-GB"/>
        </w:rPr>
        <w:t xml:space="preserve">See </w:t>
      </w:r>
      <w:r w:rsidRPr="003E6675">
        <w:rPr>
          <w:lang w:val="en-GB"/>
        </w:rPr>
        <w:t xml:space="preserve">A/HRC/23/46/Add.3, </w:t>
      </w:r>
      <w:r w:rsidR="0063294C" w:rsidRPr="003E6675">
        <w:rPr>
          <w:lang w:val="en-GB"/>
        </w:rPr>
        <w:t>para. </w:t>
      </w:r>
      <w:r w:rsidRPr="003E6675">
        <w:rPr>
          <w:lang w:val="en-GB"/>
        </w:rPr>
        <w:t>67.</w:t>
      </w:r>
    </w:p>
  </w:footnote>
  <w:footnote w:id="6">
    <w:p w:rsidR="0001239F" w:rsidRPr="003E6675" w:rsidRDefault="0038039F" w:rsidP="006248E1">
      <w:pPr>
        <w:pStyle w:val="Default"/>
        <w:tabs>
          <w:tab w:val="right" w:pos="1021"/>
        </w:tabs>
        <w:spacing w:line="220" w:lineRule="exact"/>
        <w:ind w:left="1134" w:right="1134" w:hanging="1134"/>
        <w:rPr>
          <w:rStyle w:val="FootnoteTextChar"/>
          <w:lang w:val="en-GB"/>
        </w:rPr>
      </w:pPr>
      <w:r w:rsidRPr="003E6675">
        <w:rPr>
          <w:lang w:val="en-GB"/>
        </w:rPr>
        <w:tab/>
      </w:r>
      <w:r w:rsidR="0001239F" w:rsidRPr="003E6675">
        <w:rPr>
          <w:rStyle w:val="FootnoteReference"/>
          <w:lang w:val="en-GB"/>
        </w:rPr>
        <w:footnoteRef/>
      </w:r>
      <w:r w:rsidRPr="003E6675">
        <w:rPr>
          <w:lang w:val="en-GB"/>
        </w:rPr>
        <w:tab/>
      </w:r>
      <w:r w:rsidR="0001239F" w:rsidRPr="003E6675">
        <w:rPr>
          <w:rStyle w:val="FootnoteReference"/>
          <w:lang w:val="en-GB"/>
        </w:rPr>
        <w:t xml:space="preserve"> </w:t>
      </w:r>
      <w:r w:rsidR="0001239F" w:rsidRPr="003E6675">
        <w:rPr>
          <w:rStyle w:val="FootnoteTextChar"/>
          <w:lang w:val="en-GB"/>
        </w:rPr>
        <w:t xml:space="preserve">All </w:t>
      </w:r>
      <w:r w:rsidR="009A5DE4">
        <w:rPr>
          <w:rStyle w:val="FootnoteTextChar"/>
          <w:lang w:val="en-GB"/>
        </w:rPr>
        <w:t xml:space="preserve">of </w:t>
      </w:r>
      <w:r w:rsidR="0001239F" w:rsidRPr="003E6675">
        <w:rPr>
          <w:rStyle w:val="FootnoteTextChar"/>
          <w:lang w:val="en-GB"/>
        </w:rPr>
        <w:t xml:space="preserve">the organizations were partners of the </w:t>
      </w:r>
      <w:r w:rsidR="009A5DE4">
        <w:rPr>
          <w:rStyle w:val="FootnoteTextChar"/>
          <w:lang w:val="en-GB"/>
        </w:rPr>
        <w:t>G</w:t>
      </w:r>
      <w:r w:rsidR="0001239F" w:rsidRPr="003E6675">
        <w:rPr>
          <w:rStyle w:val="FootnoteTextChar"/>
          <w:lang w:val="en-GB"/>
        </w:rPr>
        <w:t>overnment in the implementation of the project, which aimed to improve the capacity and quality of reception of people potentially in need of international protection.</w:t>
      </w:r>
      <w:r w:rsidR="0063294C" w:rsidRPr="003E6675">
        <w:rPr>
          <w:rStyle w:val="FootnoteTextChar"/>
          <w:lang w:val="en-GB"/>
        </w:rPr>
        <w:t xml:space="preserve"> </w:t>
      </w:r>
    </w:p>
  </w:footnote>
  <w:footnote w:id="7">
    <w:p w:rsidR="0001239F" w:rsidRPr="006248E1" w:rsidRDefault="0001239F" w:rsidP="006248E1">
      <w:pPr>
        <w:pStyle w:val="FootnoteText"/>
        <w:rPr>
          <w:szCs w:val="18"/>
          <w:lang w:val="en-GB"/>
        </w:rPr>
      </w:pPr>
      <w:r w:rsidRPr="006248E1">
        <w:rPr>
          <w:lang w:val="en-GB"/>
        </w:rPr>
        <w:tab/>
      </w:r>
      <w:r w:rsidRPr="003E6675">
        <w:rPr>
          <w:rStyle w:val="FootnoteReference"/>
          <w:lang w:val="en-GB"/>
        </w:rPr>
        <w:footnoteRef/>
      </w:r>
      <w:r w:rsidR="00B03008" w:rsidRPr="006248E1">
        <w:rPr>
          <w:lang w:val="en-GB"/>
        </w:rPr>
        <w:tab/>
      </w:r>
      <w:r w:rsidR="009D3A36">
        <w:rPr>
          <w:szCs w:val="18"/>
          <w:lang w:val="en-GB"/>
        </w:rPr>
        <w:t xml:space="preserve">See </w:t>
      </w:r>
      <w:r w:rsidRPr="003E6675">
        <w:rPr>
          <w:szCs w:val="18"/>
          <w:lang w:val="en-GB"/>
        </w:rPr>
        <w:t>CRC/C/ITA/CO/3-4</w:t>
      </w:r>
      <w:r w:rsidRPr="006248E1">
        <w:rPr>
          <w:szCs w:val="18"/>
          <w:lang w:val="en-GB"/>
        </w:rPr>
        <w:t xml:space="preserve">, </w:t>
      </w:r>
      <w:r w:rsidR="00E7294F" w:rsidRPr="006248E1">
        <w:rPr>
          <w:szCs w:val="18"/>
          <w:lang w:val="en-GB"/>
        </w:rPr>
        <w:t>paras. </w:t>
      </w:r>
      <w:proofErr w:type="gramStart"/>
      <w:r w:rsidRPr="006248E1">
        <w:rPr>
          <w:szCs w:val="18"/>
          <w:lang w:val="en-GB"/>
        </w:rPr>
        <w:t>63 and 64.</w:t>
      </w:r>
      <w:proofErr w:type="gramEnd"/>
      <w:r w:rsidRPr="006248E1">
        <w:rPr>
          <w:szCs w:val="18"/>
          <w:lang w:val="en-GB"/>
        </w:rPr>
        <w:t xml:space="preserve"> </w:t>
      </w:r>
    </w:p>
  </w:footnote>
  <w:footnote w:id="8">
    <w:p w:rsidR="0001239F" w:rsidRPr="006248E1" w:rsidRDefault="0001239F" w:rsidP="006248E1">
      <w:pPr>
        <w:pStyle w:val="FootnoteText"/>
        <w:rPr>
          <w:lang w:val="en-GB"/>
        </w:rPr>
      </w:pPr>
      <w:r w:rsidRPr="006248E1">
        <w:rPr>
          <w:lang w:val="en-GB"/>
        </w:rPr>
        <w:tab/>
      </w:r>
      <w:r w:rsidRPr="003E6675">
        <w:rPr>
          <w:rStyle w:val="FootnoteReference"/>
          <w:lang w:val="en-GB"/>
        </w:rPr>
        <w:footnoteRef/>
      </w:r>
      <w:r w:rsidR="00B03008" w:rsidRPr="006248E1">
        <w:rPr>
          <w:lang w:val="en-GB"/>
        </w:rPr>
        <w:tab/>
      </w:r>
      <w:r w:rsidR="009D3A36">
        <w:rPr>
          <w:lang w:val="en-GB"/>
        </w:rPr>
        <w:t xml:space="preserve">See </w:t>
      </w:r>
      <w:r w:rsidRPr="003E6675">
        <w:rPr>
          <w:lang w:val="en-GB"/>
        </w:rPr>
        <w:t>A/HRC/</w:t>
      </w:r>
      <w:r w:rsidRPr="006248E1">
        <w:rPr>
          <w:lang w:val="en-GB"/>
        </w:rPr>
        <w:t>23/</w:t>
      </w:r>
      <w:r w:rsidRPr="003E6675">
        <w:rPr>
          <w:lang w:val="en-GB"/>
        </w:rPr>
        <w:t>46/Add.3</w:t>
      </w:r>
      <w:r w:rsidRPr="006248E1">
        <w:rPr>
          <w:lang w:val="en-GB"/>
        </w:rPr>
        <w:t xml:space="preserve">, </w:t>
      </w:r>
      <w:r w:rsidR="00E7294F" w:rsidRPr="006248E1">
        <w:rPr>
          <w:lang w:val="en-GB"/>
        </w:rPr>
        <w:t>paras. </w:t>
      </w:r>
      <w:proofErr w:type="gramStart"/>
      <w:r w:rsidRPr="006248E1">
        <w:rPr>
          <w:lang w:val="en-GB"/>
        </w:rPr>
        <w:t>50</w:t>
      </w:r>
      <w:r w:rsidR="00D53D65" w:rsidRPr="006248E1">
        <w:rPr>
          <w:lang w:val="en-GB"/>
        </w:rPr>
        <w:t>–</w:t>
      </w:r>
      <w:r w:rsidRPr="006248E1">
        <w:rPr>
          <w:lang w:val="en-GB"/>
        </w:rPr>
        <w:t>55.</w:t>
      </w:r>
      <w:proofErr w:type="gramEnd"/>
      <w:r w:rsidRPr="003E6675">
        <w:rPr>
          <w:lang w:val="en-GB"/>
        </w:rPr>
        <w:t xml:space="preserve"> </w:t>
      </w:r>
      <w:r w:rsidRPr="006248E1">
        <w:rPr>
          <w:lang w:val="en-GB"/>
        </w:rPr>
        <w:t xml:space="preserve">Furthermore, the Special Rapporteur on the rights of migrants analysed the various </w:t>
      </w:r>
      <w:r w:rsidRPr="003E6675">
        <w:rPr>
          <w:spacing w:val="1"/>
          <w:lang w:val="en-GB"/>
        </w:rPr>
        <w:t>b</w:t>
      </w:r>
      <w:r w:rsidRPr="003E6675">
        <w:rPr>
          <w:spacing w:val="-1"/>
          <w:lang w:val="en-GB"/>
        </w:rPr>
        <w:t>il</w:t>
      </w:r>
      <w:r w:rsidRPr="003E6675">
        <w:rPr>
          <w:lang w:val="en-GB"/>
        </w:rPr>
        <w:t>a</w:t>
      </w:r>
      <w:r w:rsidRPr="003E6675">
        <w:rPr>
          <w:spacing w:val="-1"/>
          <w:lang w:val="en-GB"/>
        </w:rPr>
        <w:t>t</w:t>
      </w:r>
      <w:r w:rsidRPr="003E6675">
        <w:rPr>
          <w:spacing w:val="2"/>
          <w:lang w:val="en-GB"/>
        </w:rPr>
        <w:t>e</w:t>
      </w:r>
      <w:r w:rsidRPr="003E6675">
        <w:rPr>
          <w:lang w:val="en-GB"/>
        </w:rPr>
        <w:t>ral</w:t>
      </w:r>
      <w:r w:rsidRPr="003E6675">
        <w:rPr>
          <w:w w:val="99"/>
          <w:lang w:val="en-GB"/>
        </w:rPr>
        <w:t xml:space="preserve"> </w:t>
      </w:r>
      <w:r w:rsidRPr="003E6675">
        <w:rPr>
          <w:lang w:val="en-GB"/>
        </w:rPr>
        <w:t>c</w:t>
      </w:r>
      <w:r w:rsidRPr="003E6675">
        <w:rPr>
          <w:spacing w:val="1"/>
          <w:lang w:val="en-GB"/>
        </w:rPr>
        <w:t>oop</w:t>
      </w:r>
      <w:r w:rsidRPr="003E6675">
        <w:rPr>
          <w:lang w:val="en-GB"/>
        </w:rPr>
        <w:t>era</w:t>
      </w:r>
      <w:r w:rsidRPr="003E6675">
        <w:rPr>
          <w:spacing w:val="-1"/>
          <w:lang w:val="en-GB"/>
        </w:rPr>
        <w:t>ti</w:t>
      </w:r>
      <w:r w:rsidRPr="003E6675">
        <w:rPr>
          <w:spacing w:val="1"/>
          <w:lang w:val="en-GB"/>
        </w:rPr>
        <w:t>o</w:t>
      </w:r>
      <w:r w:rsidRPr="003E6675">
        <w:rPr>
          <w:lang w:val="en-GB"/>
        </w:rPr>
        <w:t>n</w:t>
      </w:r>
      <w:r w:rsidRPr="003E6675">
        <w:rPr>
          <w:spacing w:val="14"/>
          <w:lang w:val="en-GB"/>
        </w:rPr>
        <w:t xml:space="preserve"> </w:t>
      </w:r>
      <w:r w:rsidRPr="003E6675">
        <w:rPr>
          <w:lang w:val="en-GB"/>
        </w:rPr>
        <w:t>a</w:t>
      </w:r>
      <w:r w:rsidRPr="003E6675">
        <w:rPr>
          <w:spacing w:val="-2"/>
          <w:lang w:val="en-GB"/>
        </w:rPr>
        <w:t>n</w:t>
      </w:r>
      <w:r w:rsidRPr="003E6675">
        <w:rPr>
          <w:lang w:val="en-GB"/>
        </w:rPr>
        <w:t>d</w:t>
      </w:r>
      <w:r w:rsidRPr="003E6675">
        <w:rPr>
          <w:spacing w:val="17"/>
          <w:lang w:val="en-GB"/>
        </w:rPr>
        <w:t xml:space="preserve"> </w:t>
      </w:r>
      <w:r w:rsidRPr="003E6675">
        <w:rPr>
          <w:lang w:val="en-GB"/>
        </w:rPr>
        <w:t>rea</w:t>
      </w:r>
      <w:r w:rsidRPr="003E6675">
        <w:rPr>
          <w:spacing w:val="1"/>
          <w:lang w:val="en-GB"/>
        </w:rPr>
        <w:t>d</w:t>
      </w:r>
      <w:r w:rsidRPr="003E6675">
        <w:rPr>
          <w:spacing w:val="-5"/>
          <w:lang w:val="en-GB"/>
        </w:rPr>
        <w:t>m</w:t>
      </w:r>
      <w:r w:rsidRPr="003E6675">
        <w:rPr>
          <w:spacing w:val="2"/>
          <w:lang w:val="en-GB"/>
        </w:rPr>
        <w:t>i</w:t>
      </w:r>
      <w:r w:rsidRPr="003E6675">
        <w:rPr>
          <w:spacing w:val="-1"/>
          <w:lang w:val="en-GB"/>
        </w:rPr>
        <w:t>ssi</w:t>
      </w:r>
      <w:r w:rsidRPr="003E6675">
        <w:rPr>
          <w:spacing w:val="3"/>
          <w:lang w:val="en-GB"/>
        </w:rPr>
        <w:t>o</w:t>
      </w:r>
      <w:r w:rsidRPr="003E6675">
        <w:rPr>
          <w:lang w:val="en-GB"/>
        </w:rPr>
        <w:t>n</w:t>
      </w:r>
      <w:r w:rsidRPr="003E6675">
        <w:rPr>
          <w:spacing w:val="17"/>
          <w:lang w:val="en-GB"/>
        </w:rPr>
        <w:t xml:space="preserve"> </w:t>
      </w:r>
      <w:r w:rsidRPr="003E6675">
        <w:rPr>
          <w:lang w:val="en-GB"/>
        </w:rPr>
        <w:t>a</w:t>
      </w:r>
      <w:r w:rsidRPr="003E6675">
        <w:rPr>
          <w:spacing w:val="-2"/>
          <w:lang w:val="en-GB"/>
        </w:rPr>
        <w:t>g</w:t>
      </w:r>
      <w:r w:rsidRPr="003E6675">
        <w:rPr>
          <w:lang w:val="en-GB"/>
        </w:rPr>
        <w:t>re</w:t>
      </w:r>
      <w:r w:rsidRPr="003E6675">
        <w:rPr>
          <w:spacing w:val="2"/>
          <w:lang w:val="en-GB"/>
        </w:rPr>
        <w:t>e</w:t>
      </w:r>
      <w:r w:rsidRPr="003E6675">
        <w:rPr>
          <w:spacing w:val="-5"/>
          <w:lang w:val="en-GB"/>
        </w:rPr>
        <w:t>m</w:t>
      </w:r>
      <w:r w:rsidRPr="003E6675">
        <w:rPr>
          <w:spacing w:val="2"/>
          <w:lang w:val="en-GB"/>
        </w:rPr>
        <w:t>e</w:t>
      </w:r>
      <w:r w:rsidRPr="003E6675">
        <w:rPr>
          <w:spacing w:val="-2"/>
          <w:lang w:val="en-GB"/>
        </w:rPr>
        <w:t>n</w:t>
      </w:r>
      <w:r w:rsidRPr="003E6675">
        <w:rPr>
          <w:spacing w:val="-1"/>
          <w:lang w:val="en-GB"/>
        </w:rPr>
        <w:t>t</w:t>
      </w:r>
      <w:r w:rsidRPr="003E6675">
        <w:rPr>
          <w:lang w:val="en-GB"/>
        </w:rPr>
        <w:t>s</w:t>
      </w:r>
      <w:r w:rsidRPr="003E6675">
        <w:rPr>
          <w:spacing w:val="17"/>
          <w:lang w:val="en-GB"/>
        </w:rPr>
        <w:t xml:space="preserve"> </w:t>
      </w:r>
      <w:r w:rsidRPr="003E6675">
        <w:rPr>
          <w:spacing w:val="-2"/>
          <w:lang w:val="en-GB"/>
        </w:rPr>
        <w:t>n</w:t>
      </w:r>
      <w:r w:rsidRPr="003E6675">
        <w:rPr>
          <w:spacing w:val="2"/>
          <w:lang w:val="en-GB"/>
        </w:rPr>
        <w:t>e</w:t>
      </w:r>
      <w:r w:rsidRPr="003E6675">
        <w:rPr>
          <w:spacing w:val="-2"/>
          <w:lang w:val="en-GB"/>
        </w:rPr>
        <w:t>g</w:t>
      </w:r>
      <w:r w:rsidRPr="003E6675">
        <w:rPr>
          <w:spacing w:val="1"/>
          <w:lang w:val="en-GB"/>
        </w:rPr>
        <w:t>o</w:t>
      </w:r>
      <w:r w:rsidRPr="003E6675">
        <w:rPr>
          <w:spacing w:val="-1"/>
          <w:lang w:val="en-GB"/>
        </w:rPr>
        <w:t>ti</w:t>
      </w:r>
      <w:r w:rsidRPr="003E6675">
        <w:rPr>
          <w:lang w:val="en-GB"/>
        </w:rPr>
        <w:t>a</w:t>
      </w:r>
      <w:r w:rsidRPr="003E6675">
        <w:rPr>
          <w:spacing w:val="-1"/>
          <w:lang w:val="en-GB"/>
        </w:rPr>
        <w:t>t</w:t>
      </w:r>
      <w:r w:rsidRPr="003E6675">
        <w:rPr>
          <w:lang w:val="en-GB"/>
        </w:rPr>
        <w:t>ed</w:t>
      </w:r>
      <w:r w:rsidRPr="003E6675">
        <w:rPr>
          <w:spacing w:val="17"/>
          <w:lang w:val="en-GB"/>
        </w:rPr>
        <w:t xml:space="preserve"> </w:t>
      </w:r>
      <w:r w:rsidRPr="003E6675">
        <w:rPr>
          <w:spacing w:val="1"/>
          <w:lang w:val="en-GB"/>
        </w:rPr>
        <w:t>by</w:t>
      </w:r>
      <w:r w:rsidRPr="003E6675">
        <w:rPr>
          <w:spacing w:val="14"/>
          <w:lang w:val="en-GB"/>
        </w:rPr>
        <w:t xml:space="preserve"> </w:t>
      </w:r>
      <w:r w:rsidRPr="003E6675">
        <w:rPr>
          <w:lang w:val="en-GB"/>
        </w:rPr>
        <w:t>I</w:t>
      </w:r>
      <w:r w:rsidRPr="003E6675">
        <w:rPr>
          <w:spacing w:val="-1"/>
          <w:lang w:val="en-GB"/>
        </w:rPr>
        <w:t>t</w:t>
      </w:r>
      <w:r w:rsidRPr="003E6675">
        <w:rPr>
          <w:lang w:val="en-GB"/>
        </w:rPr>
        <w:t>a</w:t>
      </w:r>
      <w:r w:rsidRPr="003E6675">
        <w:rPr>
          <w:spacing w:val="2"/>
          <w:lang w:val="en-GB"/>
        </w:rPr>
        <w:t>l</w:t>
      </w:r>
      <w:r w:rsidRPr="003E6675">
        <w:rPr>
          <w:lang w:val="en-GB"/>
        </w:rPr>
        <w:t>y</w:t>
      </w:r>
      <w:r w:rsidRPr="003E6675">
        <w:rPr>
          <w:spacing w:val="15"/>
          <w:lang w:val="en-GB"/>
        </w:rPr>
        <w:t xml:space="preserve"> </w:t>
      </w:r>
      <w:r w:rsidRPr="003E6675">
        <w:rPr>
          <w:lang w:val="en-GB"/>
        </w:rPr>
        <w:t>a</w:t>
      </w:r>
      <w:r w:rsidRPr="003E6675">
        <w:rPr>
          <w:spacing w:val="-2"/>
          <w:lang w:val="en-GB"/>
        </w:rPr>
        <w:t>n</w:t>
      </w:r>
      <w:r w:rsidRPr="003E6675">
        <w:rPr>
          <w:lang w:val="en-GB"/>
        </w:rPr>
        <w:t>d</w:t>
      </w:r>
      <w:r w:rsidRPr="003E6675">
        <w:rPr>
          <w:spacing w:val="17"/>
          <w:lang w:val="en-GB"/>
        </w:rPr>
        <w:t xml:space="preserve"> </w:t>
      </w:r>
      <w:r w:rsidRPr="003E6675">
        <w:rPr>
          <w:spacing w:val="-1"/>
          <w:lang w:val="en-GB"/>
        </w:rPr>
        <w:t>i</w:t>
      </w:r>
      <w:r w:rsidRPr="003E6675">
        <w:rPr>
          <w:spacing w:val="2"/>
          <w:lang w:val="en-GB"/>
        </w:rPr>
        <w:t>t</w:t>
      </w:r>
      <w:r w:rsidRPr="003E6675">
        <w:rPr>
          <w:lang w:val="en-GB"/>
        </w:rPr>
        <w:t>s</w:t>
      </w:r>
      <w:r w:rsidRPr="003E6675">
        <w:rPr>
          <w:spacing w:val="15"/>
          <w:lang w:val="en-GB"/>
        </w:rPr>
        <w:t xml:space="preserve"> </w:t>
      </w:r>
      <w:r w:rsidRPr="003E6675">
        <w:rPr>
          <w:spacing w:val="-2"/>
          <w:lang w:val="en-GB"/>
        </w:rPr>
        <w:t>n</w:t>
      </w:r>
      <w:r w:rsidRPr="003E6675">
        <w:rPr>
          <w:spacing w:val="2"/>
          <w:lang w:val="en-GB"/>
        </w:rPr>
        <w:t>e</w:t>
      </w:r>
      <w:r w:rsidRPr="003E6675">
        <w:rPr>
          <w:spacing w:val="-1"/>
          <w:lang w:val="en-GB"/>
        </w:rPr>
        <w:t>i</w:t>
      </w:r>
      <w:r w:rsidRPr="003E6675">
        <w:rPr>
          <w:spacing w:val="1"/>
          <w:lang w:val="en-GB"/>
        </w:rPr>
        <w:t>g</w:t>
      </w:r>
      <w:r w:rsidRPr="003E6675">
        <w:rPr>
          <w:spacing w:val="-2"/>
          <w:lang w:val="en-GB"/>
        </w:rPr>
        <w:t>h</w:t>
      </w:r>
      <w:r w:rsidRPr="003E6675">
        <w:rPr>
          <w:spacing w:val="1"/>
          <w:lang w:val="en-GB"/>
        </w:rPr>
        <w:t>bo</w:t>
      </w:r>
      <w:r w:rsidRPr="003E6675">
        <w:rPr>
          <w:spacing w:val="-2"/>
          <w:lang w:val="en-GB"/>
        </w:rPr>
        <w:t>u</w:t>
      </w:r>
      <w:r w:rsidRPr="003E6675">
        <w:rPr>
          <w:lang w:val="en-GB"/>
        </w:rPr>
        <w:t>r</w:t>
      </w:r>
      <w:r w:rsidRPr="003E6675">
        <w:rPr>
          <w:spacing w:val="-1"/>
          <w:lang w:val="en-GB"/>
        </w:rPr>
        <w:t>s</w:t>
      </w:r>
      <w:r w:rsidRPr="006248E1">
        <w:rPr>
          <w:spacing w:val="-1"/>
          <w:lang w:val="en-GB"/>
        </w:rPr>
        <w:t xml:space="preserve"> in </w:t>
      </w:r>
      <w:r w:rsidR="00E7294F" w:rsidRPr="006248E1">
        <w:rPr>
          <w:spacing w:val="-1"/>
          <w:lang w:val="en-GB"/>
        </w:rPr>
        <w:t>paras. </w:t>
      </w:r>
      <w:proofErr w:type="gramStart"/>
      <w:r w:rsidRPr="006248E1">
        <w:rPr>
          <w:spacing w:val="-1"/>
          <w:lang w:val="en-GB"/>
        </w:rPr>
        <w:t>43</w:t>
      </w:r>
      <w:r w:rsidR="00D53D65" w:rsidRPr="006248E1">
        <w:rPr>
          <w:spacing w:val="-1"/>
          <w:lang w:val="en-GB"/>
        </w:rPr>
        <w:t>–</w:t>
      </w:r>
      <w:r w:rsidRPr="006248E1">
        <w:rPr>
          <w:spacing w:val="-1"/>
          <w:lang w:val="en-GB"/>
        </w:rPr>
        <w:t>55 of his report.</w:t>
      </w:r>
      <w:proofErr w:type="gramEnd"/>
      <w:r w:rsidRPr="006248E1">
        <w:rPr>
          <w:spacing w:val="-1"/>
          <w:lang w:val="en-GB"/>
        </w:rPr>
        <w:t xml:space="preserve"> </w:t>
      </w:r>
    </w:p>
  </w:footnote>
  <w:footnote w:id="9">
    <w:p w:rsidR="0001239F" w:rsidRPr="006248E1" w:rsidRDefault="0001239F">
      <w:pPr>
        <w:pStyle w:val="FootnoteText"/>
        <w:rPr>
          <w:lang w:val="en-GB"/>
        </w:rPr>
      </w:pPr>
      <w:r w:rsidRPr="006248E1">
        <w:rPr>
          <w:lang w:val="en-GB"/>
        </w:rPr>
        <w:tab/>
      </w:r>
      <w:r w:rsidRPr="003E6675">
        <w:rPr>
          <w:rStyle w:val="FootnoteReference"/>
          <w:lang w:val="en-GB"/>
        </w:rPr>
        <w:footnoteRef/>
      </w:r>
      <w:r w:rsidR="00B03008" w:rsidRPr="006248E1">
        <w:rPr>
          <w:lang w:val="en-GB"/>
        </w:rPr>
        <w:tab/>
      </w:r>
      <w:r w:rsidR="003E31F7">
        <w:rPr>
          <w:lang w:val="en-GB"/>
        </w:rPr>
        <w:t xml:space="preserve">See </w:t>
      </w:r>
      <w:r w:rsidRPr="003E6675">
        <w:rPr>
          <w:lang w:val="en-GB"/>
        </w:rPr>
        <w:t xml:space="preserve">Legislative Decree 286/98, </w:t>
      </w:r>
      <w:r w:rsidR="0063294C" w:rsidRPr="003E6675">
        <w:rPr>
          <w:lang w:val="en-GB"/>
        </w:rPr>
        <w:t>art. </w:t>
      </w:r>
      <w:proofErr w:type="gramStart"/>
      <w:r w:rsidRPr="003E6675">
        <w:rPr>
          <w:lang w:val="en-GB"/>
        </w:rPr>
        <w:t xml:space="preserve">19, </w:t>
      </w:r>
      <w:r w:rsidR="0063294C" w:rsidRPr="003E6675">
        <w:rPr>
          <w:lang w:val="en-GB"/>
        </w:rPr>
        <w:t>para.</w:t>
      </w:r>
      <w:proofErr w:type="gramEnd"/>
      <w:r w:rsidR="0063294C" w:rsidRPr="003E6675">
        <w:rPr>
          <w:lang w:val="en-GB"/>
        </w:rPr>
        <w:t> </w:t>
      </w:r>
      <w:r w:rsidRPr="003E6675">
        <w:rPr>
          <w:lang w:val="en-GB"/>
        </w:rPr>
        <w:t>1.</w:t>
      </w:r>
    </w:p>
  </w:footnote>
  <w:footnote w:id="10">
    <w:p w:rsidR="0001239F" w:rsidRPr="006248E1" w:rsidRDefault="0073773B" w:rsidP="006248E1">
      <w:pPr>
        <w:pStyle w:val="SingleTxtG"/>
        <w:tabs>
          <w:tab w:val="right" w:pos="1021"/>
        </w:tabs>
        <w:spacing w:after="0" w:line="220" w:lineRule="exact"/>
        <w:ind w:hanging="1134"/>
        <w:jc w:val="left"/>
      </w:pPr>
      <w:r w:rsidRPr="006248E1">
        <w:rPr>
          <w:sz w:val="18"/>
          <w:szCs w:val="18"/>
        </w:rPr>
        <w:tab/>
      </w:r>
      <w:r w:rsidR="0001239F" w:rsidRPr="006248E1">
        <w:rPr>
          <w:rStyle w:val="FootnoteReference"/>
          <w:szCs w:val="18"/>
        </w:rPr>
        <w:footnoteRef/>
      </w:r>
      <w:r w:rsidRPr="006248E1">
        <w:rPr>
          <w:sz w:val="18"/>
          <w:szCs w:val="18"/>
        </w:rPr>
        <w:tab/>
      </w:r>
      <w:r w:rsidR="0001239F" w:rsidRPr="006248E1">
        <w:rPr>
          <w:sz w:val="18"/>
          <w:szCs w:val="18"/>
        </w:rPr>
        <w:t xml:space="preserve">Such </w:t>
      </w:r>
      <w:r w:rsidR="0082055E">
        <w:rPr>
          <w:sz w:val="18"/>
          <w:szCs w:val="18"/>
        </w:rPr>
        <w:t xml:space="preserve">as </w:t>
      </w:r>
      <w:r w:rsidR="0001239F" w:rsidRPr="006248E1">
        <w:rPr>
          <w:sz w:val="18"/>
          <w:szCs w:val="18"/>
        </w:rPr>
        <w:t>A. C.1004</w:t>
      </w:r>
      <w:r w:rsidR="0082055E">
        <w:rPr>
          <w:sz w:val="18"/>
          <w:szCs w:val="18"/>
        </w:rPr>
        <w:t>,</w:t>
      </w:r>
      <w:r w:rsidR="0001239F" w:rsidRPr="006248E1">
        <w:rPr>
          <w:sz w:val="18"/>
          <w:szCs w:val="18"/>
        </w:rPr>
        <w:t xml:space="preserve"> on the establishment of the </w:t>
      </w:r>
      <w:r w:rsidR="0082055E">
        <w:rPr>
          <w:sz w:val="18"/>
          <w:szCs w:val="18"/>
        </w:rPr>
        <w:t>n</w:t>
      </w:r>
      <w:r w:rsidR="0001239F" w:rsidRPr="006248E1">
        <w:rPr>
          <w:sz w:val="18"/>
          <w:szCs w:val="18"/>
        </w:rPr>
        <w:t xml:space="preserve">ational </w:t>
      </w:r>
      <w:r w:rsidR="0082055E">
        <w:rPr>
          <w:sz w:val="18"/>
          <w:szCs w:val="18"/>
        </w:rPr>
        <w:t>c</w:t>
      </w:r>
      <w:r w:rsidR="0001239F" w:rsidRPr="006248E1">
        <w:rPr>
          <w:sz w:val="18"/>
          <w:szCs w:val="18"/>
        </w:rPr>
        <w:t xml:space="preserve">ommission for the promotion and protection of human rights, submitted by Khalid </w:t>
      </w:r>
      <w:proofErr w:type="spellStart"/>
      <w:r w:rsidR="0082055E" w:rsidRPr="006248E1">
        <w:rPr>
          <w:sz w:val="18"/>
          <w:szCs w:val="18"/>
        </w:rPr>
        <w:t>C</w:t>
      </w:r>
      <w:r w:rsidR="0082055E">
        <w:rPr>
          <w:sz w:val="18"/>
          <w:szCs w:val="18"/>
        </w:rPr>
        <w:t>haouki</w:t>
      </w:r>
      <w:proofErr w:type="spellEnd"/>
      <w:r w:rsidR="0001239F" w:rsidRPr="006248E1">
        <w:rPr>
          <w:sz w:val="18"/>
          <w:szCs w:val="18"/>
        </w:rPr>
        <w:t xml:space="preserve"> on</w:t>
      </w:r>
      <w:r w:rsidR="0063294C" w:rsidRPr="006248E1">
        <w:rPr>
          <w:sz w:val="18"/>
          <w:szCs w:val="18"/>
        </w:rPr>
        <w:t xml:space="preserve"> </w:t>
      </w:r>
      <w:r w:rsidR="0082055E">
        <w:rPr>
          <w:sz w:val="18"/>
          <w:szCs w:val="18"/>
        </w:rPr>
        <w:t xml:space="preserve">20 </w:t>
      </w:r>
      <w:r w:rsidR="0001239F" w:rsidRPr="006248E1">
        <w:rPr>
          <w:sz w:val="18"/>
          <w:szCs w:val="18"/>
        </w:rPr>
        <w:t>May 20</w:t>
      </w:r>
      <w:r w:rsidR="0082055E">
        <w:rPr>
          <w:sz w:val="18"/>
          <w:szCs w:val="18"/>
        </w:rPr>
        <w:t xml:space="preserve"> </w:t>
      </w:r>
      <w:r w:rsidR="0001239F" w:rsidRPr="006248E1">
        <w:rPr>
          <w:sz w:val="18"/>
          <w:szCs w:val="18"/>
        </w:rPr>
        <w:t xml:space="preserve">2013, then assigned to the First Committee on Constitutional Affairs on </w:t>
      </w:r>
      <w:r w:rsidR="0082055E">
        <w:rPr>
          <w:sz w:val="18"/>
          <w:szCs w:val="18"/>
        </w:rPr>
        <w:t xml:space="preserve">29 </w:t>
      </w:r>
      <w:r w:rsidR="0001239F" w:rsidRPr="006248E1">
        <w:rPr>
          <w:sz w:val="18"/>
          <w:szCs w:val="18"/>
        </w:rPr>
        <w:t>July 2013; A. S.865</w:t>
      </w:r>
      <w:r w:rsidR="0082055E">
        <w:rPr>
          <w:sz w:val="18"/>
          <w:szCs w:val="18"/>
        </w:rPr>
        <w:t>,</w:t>
      </w:r>
      <w:r w:rsidR="0001239F" w:rsidRPr="006248E1">
        <w:rPr>
          <w:sz w:val="18"/>
          <w:szCs w:val="18"/>
        </w:rPr>
        <w:t xml:space="preserve"> on the establishment of the </w:t>
      </w:r>
      <w:r w:rsidR="0082055E">
        <w:rPr>
          <w:sz w:val="18"/>
          <w:szCs w:val="18"/>
        </w:rPr>
        <w:t>n</w:t>
      </w:r>
      <w:r w:rsidR="0001239F" w:rsidRPr="006248E1">
        <w:rPr>
          <w:sz w:val="18"/>
          <w:szCs w:val="18"/>
        </w:rPr>
        <w:t xml:space="preserve">ational </w:t>
      </w:r>
      <w:r w:rsidR="0082055E">
        <w:rPr>
          <w:sz w:val="18"/>
          <w:szCs w:val="18"/>
        </w:rPr>
        <w:t>c</w:t>
      </w:r>
      <w:r w:rsidR="0001239F" w:rsidRPr="006248E1">
        <w:rPr>
          <w:sz w:val="18"/>
          <w:szCs w:val="18"/>
        </w:rPr>
        <w:t xml:space="preserve">ommission for the promotion and protection of human rights, submitted by Emma </w:t>
      </w:r>
      <w:proofErr w:type="spellStart"/>
      <w:r w:rsidR="0082055E" w:rsidRPr="006248E1">
        <w:rPr>
          <w:sz w:val="18"/>
          <w:szCs w:val="18"/>
        </w:rPr>
        <w:t>F</w:t>
      </w:r>
      <w:r w:rsidR="0082055E">
        <w:rPr>
          <w:sz w:val="18"/>
          <w:szCs w:val="18"/>
        </w:rPr>
        <w:t>attorini</w:t>
      </w:r>
      <w:proofErr w:type="spellEnd"/>
      <w:r w:rsidR="0082055E" w:rsidRPr="006248E1">
        <w:rPr>
          <w:sz w:val="18"/>
          <w:szCs w:val="18"/>
        </w:rPr>
        <w:t xml:space="preserve"> </w:t>
      </w:r>
      <w:r w:rsidR="0001239F" w:rsidRPr="006248E1">
        <w:rPr>
          <w:sz w:val="18"/>
          <w:szCs w:val="18"/>
        </w:rPr>
        <w:t>on</w:t>
      </w:r>
      <w:r w:rsidR="0063294C" w:rsidRPr="006248E1">
        <w:rPr>
          <w:sz w:val="18"/>
          <w:szCs w:val="18"/>
        </w:rPr>
        <w:t xml:space="preserve"> </w:t>
      </w:r>
      <w:r w:rsidR="0082055E">
        <w:rPr>
          <w:sz w:val="18"/>
          <w:szCs w:val="18"/>
        </w:rPr>
        <w:t xml:space="preserve">21 </w:t>
      </w:r>
      <w:r w:rsidR="0001239F" w:rsidRPr="006248E1">
        <w:rPr>
          <w:sz w:val="18"/>
          <w:szCs w:val="18"/>
        </w:rPr>
        <w:t xml:space="preserve">June 2013; </w:t>
      </w:r>
      <w:r w:rsidR="0082055E">
        <w:rPr>
          <w:sz w:val="18"/>
          <w:szCs w:val="18"/>
        </w:rPr>
        <w:t xml:space="preserve">and </w:t>
      </w:r>
      <w:r w:rsidR="0001239F" w:rsidRPr="006248E1">
        <w:rPr>
          <w:sz w:val="18"/>
          <w:szCs w:val="18"/>
        </w:rPr>
        <w:t>A. C.1256</w:t>
      </w:r>
      <w:r w:rsidR="0082055E">
        <w:rPr>
          <w:sz w:val="18"/>
          <w:szCs w:val="18"/>
        </w:rPr>
        <w:t>,</w:t>
      </w:r>
      <w:r w:rsidR="0001239F" w:rsidRPr="006248E1">
        <w:rPr>
          <w:sz w:val="18"/>
          <w:szCs w:val="18"/>
        </w:rPr>
        <w:t xml:space="preserve"> on the establishment of the </w:t>
      </w:r>
      <w:r w:rsidR="0082055E">
        <w:rPr>
          <w:sz w:val="18"/>
          <w:szCs w:val="18"/>
        </w:rPr>
        <w:t>n</w:t>
      </w:r>
      <w:r w:rsidR="0001239F" w:rsidRPr="006248E1">
        <w:rPr>
          <w:sz w:val="18"/>
          <w:szCs w:val="18"/>
        </w:rPr>
        <w:t xml:space="preserve">ational </w:t>
      </w:r>
      <w:r w:rsidR="0082055E">
        <w:rPr>
          <w:sz w:val="18"/>
          <w:szCs w:val="18"/>
        </w:rPr>
        <w:t>c</w:t>
      </w:r>
      <w:r w:rsidR="0001239F" w:rsidRPr="006248E1">
        <w:rPr>
          <w:sz w:val="18"/>
          <w:szCs w:val="18"/>
        </w:rPr>
        <w:t>ommission for the promotion and protection of human rights</w:t>
      </w:r>
      <w:r w:rsidR="0082055E">
        <w:rPr>
          <w:sz w:val="18"/>
          <w:szCs w:val="18"/>
        </w:rPr>
        <w:t>,</w:t>
      </w:r>
      <w:r w:rsidR="0001239F" w:rsidRPr="006248E1">
        <w:rPr>
          <w:sz w:val="18"/>
          <w:szCs w:val="18"/>
        </w:rPr>
        <w:t xml:space="preserve"> submitted by Barbara </w:t>
      </w:r>
      <w:proofErr w:type="spellStart"/>
      <w:r w:rsidR="0082055E" w:rsidRPr="006248E1">
        <w:rPr>
          <w:sz w:val="18"/>
          <w:szCs w:val="18"/>
        </w:rPr>
        <w:t>P</w:t>
      </w:r>
      <w:r w:rsidR="0082055E">
        <w:rPr>
          <w:sz w:val="18"/>
          <w:szCs w:val="18"/>
        </w:rPr>
        <w:t>ollastrini</w:t>
      </w:r>
      <w:proofErr w:type="spellEnd"/>
      <w:r w:rsidR="0001239F" w:rsidRPr="006248E1">
        <w:rPr>
          <w:sz w:val="18"/>
          <w:szCs w:val="18"/>
        </w:rPr>
        <w:t xml:space="preserve"> on </w:t>
      </w:r>
      <w:r w:rsidR="0082055E">
        <w:rPr>
          <w:sz w:val="18"/>
          <w:szCs w:val="18"/>
        </w:rPr>
        <w:t xml:space="preserve">24 </w:t>
      </w:r>
      <w:r w:rsidR="0001239F" w:rsidRPr="006248E1">
        <w:rPr>
          <w:sz w:val="18"/>
          <w:szCs w:val="18"/>
        </w:rPr>
        <w:t xml:space="preserve">June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F" w:rsidRDefault="0001239F" w:rsidP="00F055F9">
    <w:pPr>
      <w:pStyle w:val="Header"/>
    </w:pPr>
    <w:r w:rsidRPr="00F055F9">
      <w:t>A/HRC/</w:t>
    </w:r>
    <w:r w:rsidR="00FC09E1">
      <w:t>30</w:t>
    </w:r>
    <w:r w:rsidRPr="00F055F9">
      <w:t>/</w:t>
    </w:r>
    <w:r w:rsidR="00806D14">
      <w:t>36</w:t>
    </w:r>
    <w:r w:rsidRPr="00F055F9">
      <w:t>/</w:t>
    </w:r>
    <w:r w:rsidR="00806D14">
      <w:t>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F" w:rsidRDefault="0001239F" w:rsidP="00F055F9">
    <w:pPr>
      <w:pStyle w:val="Header"/>
      <w:jc w:val="right"/>
    </w:pPr>
    <w:r w:rsidRPr="00F055F9">
      <w:t>A/HRC/</w:t>
    </w:r>
    <w:r w:rsidR="00A61A6F">
      <w:t>30</w:t>
    </w:r>
    <w:r w:rsidRPr="00F055F9">
      <w:t>/</w:t>
    </w:r>
    <w:r w:rsidR="00806D14">
      <w:t>36</w:t>
    </w:r>
    <w:r w:rsidRPr="00F055F9">
      <w:t>/</w:t>
    </w:r>
    <w:r w:rsidR="00806D14">
      <w:t>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46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0000000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AB3B92"/>
    <w:multiLevelType w:val="hybridMultilevel"/>
    <w:tmpl w:val="C3202C8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504101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5414684"/>
    <w:multiLevelType w:val="hybridMultilevel"/>
    <w:tmpl w:val="9432D08A"/>
    <w:lvl w:ilvl="0" w:tplc="1D8E34F2">
      <w:start w:val="1"/>
      <w:numFmt w:val="lowerLetter"/>
      <w:lvlText w:val="(%1)"/>
      <w:lvlJc w:val="left"/>
      <w:pPr>
        <w:ind w:left="360" w:hanging="360"/>
      </w:pPr>
      <w:rPr>
        <w:rFonts w:hint="default"/>
      </w:rPr>
    </w:lvl>
    <w:lvl w:ilvl="1" w:tplc="100C0019" w:tentative="1">
      <w:start w:val="1"/>
      <w:numFmt w:val="lowerLetter"/>
      <w:lvlText w:val="%2."/>
      <w:lvlJc w:val="left"/>
      <w:pPr>
        <w:ind w:left="1091" w:hanging="360"/>
      </w:pPr>
    </w:lvl>
    <w:lvl w:ilvl="2" w:tplc="100C001B">
      <w:start w:val="1"/>
      <w:numFmt w:val="lowerRoman"/>
      <w:lvlText w:val="%3."/>
      <w:lvlJc w:val="right"/>
      <w:pPr>
        <w:ind w:left="1811" w:hanging="180"/>
      </w:pPr>
    </w:lvl>
    <w:lvl w:ilvl="3" w:tplc="100C000F">
      <w:start w:val="1"/>
      <w:numFmt w:val="decimal"/>
      <w:lvlText w:val="%4."/>
      <w:lvlJc w:val="left"/>
      <w:pPr>
        <w:ind w:left="2531" w:hanging="360"/>
      </w:pPr>
    </w:lvl>
    <w:lvl w:ilvl="4" w:tplc="100C0019" w:tentative="1">
      <w:start w:val="1"/>
      <w:numFmt w:val="lowerLetter"/>
      <w:lvlText w:val="%5."/>
      <w:lvlJc w:val="left"/>
      <w:pPr>
        <w:ind w:left="3251" w:hanging="360"/>
      </w:pPr>
    </w:lvl>
    <w:lvl w:ilvl="5" w:tplc="100C001B" w:tentative="1">
      <w:start w:val="1"/>
      <w:numFmt w:val="lowerRoman"/>
      <w:lvlText w:val="%6."/>
      <w:lvlJc w:val="right"/>
      <w:pPr>
        <w:ind w:left="3971" w:hanging="180"/>
      </w:pPr>
    </w:lvl>
    <w:lvl w:ilvl="6" w:tplc="100C000F" w:tentative="1">
      <w:start w:val="1"/>
      <w:numFmt w:val="decimal"/>
      <w:lvlText w:val="%7."/>
      <w:lvlJc w:val="left"/>
      <w:pPr>
        <w:ind w:left="4691" w:hanging="360"/>
      </w:pPr>
    </w:lvl>
    <w:lvl w:ilvl="7" w:tplc="100C0019" w:tentative="1">
      <w:start w:val="1"/>
      <w:numFmt w:val="lowerLetter"/>
      <w:lvlText w:val="%8."/>
      <w:lvlJc w:val="left"/>
      <w:pPr>
        <w:ind w:left="5411" w:hanging="360"/>
      </w:pPr>
    </w:lvl>
    <w:lvl w:ilvl="8" w:tplc="100C001B" w:tentative="1">
      <w:start w:val="1"/>
      <w:numFmt w:val="lowerRoman"/>
      <w:lvlText w:val="%9."/>
      <w:lvlJc w:val="right"/>
      <w:pPr>
        <w:ind w:left="6131" w:hanging="180"/>
      </w:pPr>
    </w:lvl>
  </w:abstractNum>
  <w:abstractNum w:abstractNumId="9">
    <w:nsid w:val="0F4625A8"/>
    <w:multiLevelType w:val="hybridMultilevel"/>
    <w:tmpl w:val="A03226E8"/>
    <w:lvl w:ilvl="0" w:tplc="D1DA2B22">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3015"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C1D9F"/>
    <w:multiLevelType w:val="hybridMultilevel"/>
    <w:tmpl w:val="E7507D6C"/>
    <w:lvl w:ilvl="0" w:tplc="EAA45B46">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3">
    <w:nsid w:val="287D030F"/>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29683F1D"/>
    <w:multiLevelType w:val="hybridMultilevel"/>
    <w:tmpl w:val="11DEB892"/>
    <w:lvl w:ilvl="0" w:tplc="0809000B">
      <w:start w:val="1"/>
      <w:numFmt w:val="bullet"/>
      <w:lvlText w:val=""/>
      <w:lvlJc w:val="left"/>
      <w:pPr>
        <w:ind w:left="4281" w:hanging="737"/>
      </w:pPr>
      <w:rPr>
        <w:rFonts w:ascii="Wingdings" w:hAnsi="Wingdings" w:hint="default"/>
        <w:b w:val="0"/>
        <w:spacing w:val="0"/>
        <w:w w:val="100"/>
        <w:sz w:val="20"/>
        <w:szCs w:val="20"/>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5">
    <w:nsid w:val="2E581EA2"/>
    <w:multiLevelType w:val="hybridMultilevel"/>
    <w:tmpl w:val="FD8A49BE"/>
    <w:lvl w:ilvl="0" w:tplc="11868C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1A12325"/>
    <w:multiLevelType w:val="hybridMultilevel"/>
    <w:tmpl w:val="C248C0A4"/>
    <w:lvl w:ilvl="0" w:tplc="D354F71E">
      <w:start w:val="1"/>
      <w:numFmt w:val="bullet"/>
      <w:lvlText w:val="•"/>
      <w:lvlJc w:val="left"/>
      <w:pPr>
        <w:tabs>
          <w:tab w:val="num" w:pos="4707"/>
        </w:tabs>
        <w:ind w:left="4707"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67218B"/>
    <w:multiLevelType w:val="hybridMultilevel"/>
    <w:tmpl w:val="E0D4A946"/>
    <w:lvl w:ilvl="0" w:tplc="A51C8D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16475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5DC7E6D"/>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3D8147EC"/>
    <w:multiLevelType w:val="hybridMultilevel"/>
    <w:tmpl w:val="B7BC2FB0"/>
    <w:lvl w:ilvl="0" w:tplc="0809000F">
      <w:start w:val="1"/>
      <w:numFmt w:val="decimal"/>
      <w:lvlText w:val="%1."/>
      <w:lvlJc w:val="left"/>
      <w:pPr>
        <w:ind w:left="1071" w:hanging="50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2E22557"/>
    <w:multiLevelType w:val="hybridMultilevel"/>
    <w:tmpl w:val="35985278"/>
    <w:lvl w:ilvl="0" w:tplc="5EFC46DE">
      <w:start w:val="5"/>
      <w:numFmt w:val="bullet"/>
      <w:lvlText w:val="-"/>
      <w:lvlJc w:val="left"/>
      <w:pPr>
        <w:ind w:left="1080" w:hanging="360"/>
      </w:pPr>
      <w:rPr>
        <w:rFonts w:ascii="Times New Roman" w:eastAsia="Times New Roman" w:hAnsi="Times New Roman" w:cs="Times New Roman"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468A6C08"/>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4FE25CCD"/>
    <w:multiLevelType w:val="hybridMultilevel"/>
    <w:tmpl w:val="16C605C2"/>
    <w:lvl w:ilvl="0" w:tplc="12C443F8">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204174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7EB1AA1"/>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5811455B"/>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59E61FDC"/>
    <w:multiLevelType w:val="hybridMultilevel"/>
    <w:tmpl w:val="E3F251D0"/>
    <w:lvl w:ilvl="0" w:tplc="2B92F4BA">
      <w:start w:val="27"/>
      <w:numFmt w:val="decimal"/>
      <w:lvlText w:val="%1."/>
      <w:lvlJc w:val="left"/>
      <w:pPr>
        <w:ind w:hanging="737"/>
        <w:jc w:val="right"/>
      </w:pPr>
      <w:rPr>
        <w:rFonts w:ascii="Times New Roman" w:eastAsia="Times New Roman" w:hAnsi="Times New Roman" w:cs="Times New Roman" w:hint="default"/>
        <w:spacing w:val="0"/>
        <w:w w:val="100"/>
        <w:sz w:val="20"/>
        <w:szCs w:val="20"/>
      </w:rPr>
    </w:lvl>
    <w:lvl w:ilvl="1" w:tplc="ED14D586">
      <w:start w:val="1"/>
      <w:numFmt w:val="bullet"/>
      <w:lvlText w:val="•"/>
      <w:lvlJc w:val="left"/>
      <w:rPr>
        <w:rFonts w:hint="default"/>
      </w:rPr>
    </w:lvl>
    <w:lvl w:ilvl="2" w:tplc="FAA2AE82">
      <w:start w:val="1"/>
      <w:numFmt w:val="bullet"/>
      <w:lvlText w:val="•"/>
      <w:lvlJc w:val="left"/>
      <w:rPr>
        <w:rFonts w:hint="default"/>
      </w:rPr>
    </w:lvl>
    <w:lvl w:ilvl="3" w:tplc="3378FBF6">
      <w:start w:val="1"/>
      <w:numFmt w:val="bullet"/>
      <w:lvlText w:val="•"/>
      <w:lvlJc w:val="left"/>
      <w:rPr>
        <w:rFonts w:hint="default"/>
      </w:rPr>
    </w:lvl>
    <w:lvl w:ilvl="4" w:tplc="92F6726C">
      <w:start w:val="1"/>
      <w:numFmt w:val="bullet"/>
      <w:lvlText w:val="•"/>
      <w:lvlJc w:val="left"/>
      <w:rPr>
        <w:rFonts w:hint="default"/>
      </w:rPr>
    </w:lvl>
    <w:lvl w:ilvl="5" w:tplc="1DC427EE">
      <w:start w:val="1"/>
      <w:numFmt w:val="bullet"/>
      <w:lvlText w:val="•"/>
      <w:lvlJc w:val="left"/>
      <w:rPr>
        <w:rFonts w:hint="default"/>
      </w:rPr>
    </w:lvl>
    <w:lvl w:ilvl="6" w:tplc="324035F8">
      <w:start w:val="1"/>
      <w:numFmt w:val="bullet"/>
      <w:lvlText w:val="•"/>
      <w:lvlJc w:val="left"/>
      <w:rPr>
        <w:rFonts w:hint="default"/>
      </w:rPr>
    </w:lvl>
    <w:lvl w:ilvl="7" w:tplc="FD463148">
      <w:start w:val="1"/>
      <w:numFmt w:val="bullet"/>
      <w:lvlText w:val="•"/>
      <w:lvlJc w:val="left"/>
      <w:rPr>
        <w:rFonts w:hint="default"/>
      </w:rPr>
    </w:lvl>
    <w:lvl w:ilvl="8" w:tplc="F8464D88">
      <w:start w:val="1"/>
      <w:numFmt w:val="bullet"/>
      <w:lvlText w:val="•"/>
      <w:lvlJc w:val="left"/>
      <w:rPr>
        <w:rFonts w:hint="default"/>
      </w:rPr>
    </w:lvl>
  </w:abstractNum>
  <w:abstractNum w:abstractNumId="28">
    <w:nsid w:val="5E982655"/>
    <w:multiLevelType w:val="hybridMultilevel"/>
    <w:tmpl w:val="A036A3D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44D338B"/>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65CF7039"/>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6A5641BA"/>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3373"/>
        </w:tabs>
        <w:ind w:left="3373"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71BA3F50"/>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785B0629"/>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7A2A7C0F"/>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6"/>
  </w:num>
  <w:num w:numId="2">
    <w:abstractNumId w:val="11"/>
  </w:num>
  <w:num w:numId="3">
    <w:abstractNumId w:val="29"/>
  </w:num>
  <w:num w:numId="4">
    <w:abstractNumId w:val="10"/>
  </w:num>
  <w:num w:numId="5">
    <w:abstractNumId w:val="4"/>
  </w:num>
  <w:num w:numId="6">
    <w:abstractNumId w:val="2"/>
  </w:num>
  <w:num w:numId="7">
    <w:abstractNumId w:val="3"/>
  </w:num>
  <w:num w:numId="8">
    <w:abstractNumId w:val="16"/>
  </w:num>
  <w:num w:numId="9">
    <w:abstractNumId w:val="16"/>
  </w:num>
  <w:num w:numId="10">
    <w:abstractNumId w:val="24"/>
  </w:num>
  <w:num w:numId="11">
    <w:abstractNumId w:val="33"/>
  </w:num>
  <w:num w:numId="12">
    <w:abstractNumId w:val="7"/>
  </w:num>
  <w:num w:numId="13">
    <w:abstractNumId w:val="30"/>
  </w:num>
  <w:num w:numId="14">
    <w:abstractNumId w:val="18"/>
  </w:num>
  <w:num w:numId="15">
    <w:abstractNumId w:val="20"/>
  </w:num>
  <w:num w:numId="16">
    <w:abstractNumId w:val="5"/>
  </w:num>
  <w:num w:numId="17">
    <w:abstractNumId w:val="8"/>
  </w:num>
  <w:num w:numId="18">
    <w:abstractNumId w:val="12"/>
  </w:num>
  <w:num w:numId="19">
    <w:abstractNumId w:val="21"/>
  </w:num>
  <w:num w:numId="20">
    <w:abstractNumId w:val="35"/>
  </w:num>
  <w:num w:numId="21">
    <w:abstractNumId w:val="11"/>
  </w:num>
  <w:num w:numId="22">
    <w:abstractNumId w:val="13"/>
  </w:num>
  <w:num w:numId="23">
    <w:abstractNumId w:val="34"/>
  </w:num>
  <w:num w:numId="24">
    <w:abstractNumId w:val="27"/>
  </w:num>
  <w:num w:numId="25">
    <w:abstractNumId w:val="14"/>
  </w:num>
  <w:num w:numId="26">
    <w:abstractNumId w:val="22"/>
  </w:num>
  <w:num w:numId="27">
    <w:abstractNumId w:val="9"/>
  </w:num>
  <w:num w:numId="28">
    <w:abstractNumId w:val="32"/>
  </w:num>
  <w:num w:numId="29">
    <w:abstractNumId w:val="28"/>
  </w:num>
  <w:num w:numId="30">
    <w:abstractNumId w:val="19"/>
  </w:num>
  <w:num w:numId="31">
    <w:abstractNumId w:val="25"/>
  </w:num>
  <w:num w:numId="32">
    <w:abstractNumId w:val="15"/>
  </w:num>
  <w:num w:numId="33">
    <w:abstractNumId w:val="23"/>
  </w:num>
  <w:num w:numId="34">
    <w:abstractNumId w:val="17"/>
  </w:num>
  <w:num w:numId="35">
    <w:abstractNumId w:val="26"/>
  </w:num>
  <w:num w:numId="36">
    <w:abstractNumId w:val="31"/>
  </w:num>
  <w:num w:numId="37">
    <w:abstractNumId w:val="0"/>
  </w:num>
  <w:num w:numId="38">
    <w:abstractNumId w:val="6"/>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8"/>
    <w:rsid w:val="00001832"/>
    <w:rsid w:val="000069F2"/>
    <w:rsid w:val="00006F59"/>
    <w:rsid w:val="000078A4"/>
    <w:rsid w:val="0001239F"/>
    <w:rsid w:val="00020E0B"/>
    <w:rsid w:val="0002104D"/>
    <w:rsid w:val="0002674A"/>
    <w:rsid w:val="000316A2"/>
    <w:rsid w:val="00033553"/>
    <w:rsid w:val="00034146"/>
    <w:rsid w:val="0004009A"/>
    <w:rsid w:val="000527B5"/>
    <w:rsid w:val="00054674"/>
    <w:rsid w:val="00060055"/>
    <w:rsid w:val="0006455A"/>
    <w:rsid w:val="00064BB4"/>
    <w:rsid w:val="00064D87"/>
    <w:rsid w:val="00064E64"/>
    <w:rsid w:val="00065AF1"/>
    <w:rsid w:val="00067D74"/>
    <w:rsid w:val="0007440F"/>
    <w:rsid w:val="0007556C"/>
    <w:rsid w:val="000763BC"/>
    <w:rsid w:val="00077EA6"/>
    <w:rsid w:val="000807D1"/>
    <w:rsid w:val="00082890"/>
    <w:rsid w:val="00083AD9"/>
    <w:rsid w:val="00086A2A"/>
    <w:rsid w:val="00087254"/>
    <w:rsid w:val="000906F1"/>
    <w:rsid w:val="00092AC9"/>
    <w:rsid w:val="000943C2"/>
    <w:rsid w:val="00094D9B"/>
    <w:rsid w:val="000A6E34"/>
    <w:rsid w:val="000A781A"/>
    <w:rsid w:val="000B192F"/>
    <w:rsid w:val="000B6E5E"/>
    <w:rsid w:val="000C50E4"/>
    <w:rsid w:val="000C5385"/>
    <w:rsid w:val="000D09A7"/>
    <w:rsid w:val="000D54D0"/>
    <w:rsid w:val="000D5D7C"/>
    <w:rsid w:val="000E08CE"/>
    <w:rsid w:val="000E1B43"/>
    <w:rsid w:val="000F03F8"/>
    <w:rsid w:val="000F5006"/>
    <w:rsid w:val="00101156"/>
    <w:rsid w:val="00104E5B"/>
    <w:rsid w:val="001060A9"/>
    <w:rsid w:val="00107714"/>
    <w:rsid w:val="001156D5"/>
    <w:rsid w:val="00116F73"/>
    <w:rsid w:val="00133C3B"/>
    <w:rsid w:val="00140BEA"/>
    <w:rsid w:val="001476BA"/>
    <w:rsid w:val="001577F2"/>
    <w:rsid w:val="00157E48"/>
    <w:rsid w:val="00160F3E"/>
    <w:rsid w:val="001663CA"/>
    <w:rsid w:val="00170DDA"/>
    <w:rsid w:val="001727D6"/>
    <w:rsid w:val="00173992"/>
    <w:rsid w:val="00176EF9"/>
    <w:rsid w:val="001819A8"/>
    <w:rsid w:val="00182C4D"/>
    <w:rsid w:val="00183719"/>
    <w:rsid w:val="00184322"/>
    <w:rsid w:val="001854AB"/>
    <w:rsid w:val="00192D0D"/>
    <w:rsid w:val="0019407E"/>
    <w:rsid w:val="001A1540"/>
    <w:rsid w:val="001A4602"/>
    <w:rsid w:val="001B1733"/>
    <w:rsid w:val="001C215A"/>
    <w:rsid w:val="001C36DC"/>
    <w:rsid w:val="001C58C2"/>
    <w:rsid w:val="001D055C"/>
    <w:rsid w:val="001D4D84"/>
    <w:rsid w:val="001D55CE"/>
    <w:rsid w:val="001D5874"/>
    <w:rsid w:val="001E01CE"/>
    <w:rsid w:val="001E2514"/>
    <w:rsid w:val="001F299F"/>
    <w:rsid w:val="001F5AE7"/>
    <w:rsid w:val="00200F97"/>
    <w:rsid w:val="00204674"/>
    <w:rsid w:val="00204B65"/>
    <w:rsid w:val="002102B6"/>
    <w:rsid w:val="00212851"/>
    <w:rsid w:val="0021630B"/>
    <w:rsid w:val="0022444D"/>
    <w:rsid w:val="00226311"/>
    <w:rsid w:val="00227F4A"/>
    <w:rsid w:val="002334FF"/>
    <w:rsid w:val="002346AD"/>
    <w:rsid w:val="0024217D"/>
    <w:rsid w:val="0024380B"/>
    <w:rsid w:val="00245F73"/>
    <w:rsid w:val="00250E17"/>
    <w:rsid w:val="00257275"/>
    <w:rsid w:val="002608E0"/>
    <w:rsid w:val="00261EB9"/>
    <w:rsid w:val="00264086"/>
    <w:rsid w:val="002706EF"/>
    <w:rsid w:val="002804AC"/>
    <w:rsid w:val="002816E9"/>
    <w:rsid w:val="00285618"/>
    <w:rsid w:val="002863E1"/>
    <w:rsid w:val="00286DB0"/>
    <w:rsid w:val="00290FE8"/>
    <w:rsid w:val="002941C0"/>
    <w:rsid w:val="002A5134"/>
    <w:rsid w:val="002A6BF1"/>
    <w:rsid w:val="002B0FBE"/>
    <w:rsid w:val="002B1F79"/>
    <w:rsid w:val="002B612D"/>
    <w:rsid w:val="002B76D2"/>
    <w:rsid w:val="002C2C87"/>
    <w:rsid w:val="002C3EA1"/>
    <w:rsid w:val="002C45D3"/>
    <w:rsid w:val="002C4860"/>
    <w:rsid w:val="002D1538"/>
    <w:rsid w:val="002D3D46"/>
    <w:rsid w:val="002D65E3"/>
    <w:rsid w:val="002E3D6B"/>
    <w:rsid w:val="002E49FA"/>
    <w:rsid w:val="002F14E0"/>
    <w:rsid w:val="002F1D94"/>
    <w:rsid w:val="002F20D1"/>
    <w:rsid w:val="002F21E2"/>
    <w:rsid w:val="002F38A5"/>
    <w:rsid w:val="002F3F69"/>
    <w:rsid w:val="002F4A09"/>
    <w:rsid w:val="002F6F80"/>
    <w:rsid w:val="002F79D9"/>
    <w:rsid w:val="003053BE"/>
    <w:rsid w:val="00310A72"/>
    <w:rsid w:val="00312AD4"/>
    <w:rsid w:val="00312D7F"/>
    <w:rsid w:val="0031311E"/>
    <w:rsid w:val="00314CD8"/>
    <w:rsid w:val="0031557F"/>
    <w:rsid w:val="003220F5"/>
    <w:rsid w:val="0032510F"/>
    <w:rsid w:val="003278B0"/>
    <w:rsid w:val="00334213"/>
    <w:rsid w:val="003411E3"/>
    <w:rsid w:val="003437C5"/>
    <w:rsid w:val="00347A8E"/>
    <w:rsid w:val="00347F3B"/>
    <w:rsid w:val="00351E99"/>
    <w:rsid w:val="003541A1"/>
    <w:rsid w:val="00354DB7"/>
    <w:rsid w:val="00354F66"/>
    <w:rsid w:val="00355DCB"/>
    <w:rsid w:val="0036075D"/>
    <w:rsid w:val="00360AED"/>
    <w:rsid w:val="003666FC"/>
    <w:rsid w:val="003745B4"/>
    <w:rsid w:val="003764F3"/>
    <w:rsid w:val="0038039F"/>
    <w:rsid w:val="003809C7"/>
    <w:rsid w:val="00380EC5"/>
    <w:rsid w:val="003823B6"/>
    <w:rsid w:val="003836DA"/>
    <w:rsid w:val="00383988"/>
    <w:rsid w:val="0038422E"/>
    <w:rsid w:val="00384F02"/>
    <w:rsid w:val="003979DC"/>
    <w:rsid w:val="003A05B9"/>
    <w:rsid w:val="003A1376"/>
    <w:rsid w:val="003A2E3B"/>
    <w:rsid w:val="003A3F75"/>
    <w:rsid w:val="003A56BD"/>
    <w:rsid w:val="003B3F8D"/>
    <w:rsid w:val="003B5842"/>
    <w:rsid w:val="003B5E41"/>
    <w:rsid w:val="003B626A"/>
    <w:rsid w:val="003B63C4"/>
    <w:rsid w:val="003B64E6"/>
    <w:rsid w:val="003C65DA"/>
    <w:rsid w:val="003C6D30"/>
    <w:rsid w:val="003D45D1"/>
    <w:rsid w:val="003E1CF8"/>
    <w:rsid w:val="003E31F7"/>
    <w:rsid w:val="003E33A7"/>
    <w:rsid w:val="003E6675"/>
    <w:rsid w:val="003F4B6A"/>
    <w:rsid w:val="003F4C3C"/>
    <w:rsid w:val="003F50F7"/>
    <w:rsid w:val="003F64FB"/>
    <w:rsid w:val="00403517"/>
    <w:rsid w:val="00404C49"/>
    <w:rsid w:val="00404F1A"/>
    <w:rsid w:val="00406A34"/>
    <w:rsid w:val="00407E92"/>
    <w:rsid w:val="00413A93"/>
    <w:rsid w:val="00413C90"/>
    <w:rsid w:val="00414276"/>
    <w:rsid w:val="00422AB4"/>
    <w:rsid w:val="00424E1C"/>
    <w:rsid w:val="004253BF"/>
    <w:rsid w:val="00426177"/>
    <w:rsid w:val="004419DD"/>
    <w:rsid w:val="004443EF"/>
    <w:rsid w:val="00445EDC"/>
    <w:rsid w:val="00450146"/>
    <w:rsid w:val="00452F26"/>
    <w:rsid w:val="00454165"/>
    <w:rsid w:val="0046228F"/>
    <w:rsid w:val="00465220"/>
    <w:rsid w:val="00465FA5"/>
    <w:rsid w:val="00466C9A"/>
    <w:rsid w:val="004671B3"/>
    <w:rsid w:val="00473D00"/>
    <w:rsid w:val="004745E7"/>
    <w:rsid w:val="00476324"/>
    <w:rsid w:val="00484170"/>
    <w:rsid w:val="0048549D"/>
    <w:rsid w:val="00494E5C"/>
    <w:rsid w:val="0049748F"/>
    <w:rsid w:val="004A06CC"/>
    <w:rsid w:val="004A1448"/>
    <w:rsid w:val="004A1F86"/>
    <w:rsid w:val="004A3534"/>
    <w:rsid w:val="004A7B49"/>
    <w:rsid w:val="004B09F2"/>
    <w:rsid w:val="004B3F07"/>
    <w:rsid w:val="004B4470"/>
    <w:rsid w:val="004B4F51"/>
    <w:rsid w:val="004B6D7B"/>
    <w:rsid w:val="004C53A2"/>
    <w:rsid w:val="004D1E93"/>
    <w:rsid w:val="004D2FB5"/>
    <w:rsid w:val="004D589E"/>
    <w:rsid w:val="004D649D"/>
    <w:rsid w:val="004D7AAB"/>
    <w:rsid w:val="004D7BF6"/>
    <w:rsid w:val="004E4A69"/>
    <w:rsid w:val="004E7131"/>
    <w:rsid w:val="004E72BE"/>
    <w:rsid w:val="004F360A"/>
    <w:rsid w:val="004F44F8"/>
    <w:rsid w:val="004F6EBA"/>
    <w:rsid w:val="0050585A"/>
    <w:rsid w:val="00505ACF"/>
    <w:rsid w:val="00507E5D"/>
    <w:rsid w:val="00510D4C"/>
    <w:rsid w:val="00515172"/>
    <w:rsid w:val="00527460"/>
    <w:rsid w:val="00527A21"/>
    <w:rsid w:val="00534D76"/>
    <w:rsid w:val="00537BF5"/>
    <w:rsid w:val="00541E9D"/>
    <w:rsid w:val="00546E17"/>
    <w:rsid w:val="0055039E"/>
    <w:rsid w:val="00550B37"/>
    <w:rsid w:val="00552283"/>
    <w:rsid w:val="0055257B"/>
    <w:rsid w:val="00554A82"/>
    <w:rsid w:val="00555E77"/>
    <w:rsid w:val="00557C80"/>
    <w:rsid w:val="00562465"/>
    <w:rsid w:val="00563AC3"/>
    <w:rsid w:val="0056602F"/>
    <w:rsid w:val="00566927"/>
    <w:rsid w:val="00567C38"/>
    <w:rsid w:val="00570575"/>
    <w:rsid w:val="00575649"/>
    <w:rsid w:val="005815C5"/>
    <w:rsid w:val="0058323D"/>
    <w:rsid w:val="00583C3D"/>
    <w:rsid w:val="00585609"/>
    <w:rsid w:val="005871B7"/>
    <w:rsid w:val="00591BE9"/>
    <w:rsid w:val="00593A27"/>
    <w:rsid w:val="005B0B65"/>
    <w:rsid w:val="005C1016"/>
    <w:rsid w:val="005D3871"/>
    <w:rsid w:val="005E0C7B"/>
    <w:rsid w:val="005E0E92"/>
    <w:rsid w:val="005E5972"/>
    <w:rsid w:val="005F192F"/>
    <w:rsid w:val="005F361B"/>
    <w:rsid w:val="00600D2A"/>
    <w:rsid w:val="0060255F"/>
    <w:rsid w:val="006032A7"/>
    <w:rsid w:val="006126FE"/>
    <w:rsid w:val="0061298B"/>
    <w:rsid w:val="00615FF5"/>
    <w:rsid w:val="006240BC"/>
    <w:rsid w:val="006245EA"/>
    <w:rsid w:val="006248E1"/>
    <w:rsid w:val="0062514E"/>
    <w:rsid w:val="00626FB4"/>
    <w:rsid w:val="00631B99"/>
    <w:rsid w:val="0063294C"/>
    <w:rsid w:val="00637012"/>
    <w:rsid w:val="0063736C"/>
    <w:rsid w:val="00641D12"/>
    <w:rsid w:val="00645521"/>
    <w:rsid w:val="00647E39"/>
    <w:rsid w:val="00653FD8"/>
    <w:rsid w:val="006570AC"/>
    <w:rsid w:val="00663A14"/>
    <w:rsid w:val="00666352"/>
    <w:rsid w:val="00687178"/>
    <w:rsid w:val="006937F3"/>
    <w:rsid w:val="006A69C0"/>
    <w:rsid w:val="006B0D5E"/>
    <w:rsid w:val="006C5147"/>
    <w:rsid w:val="006C6C0E"/>
    <w:rsid w:val="006C7FFE"/>
    <w:rsid w:val="006D185D"/>
    <w:rsid w:val="006E14F4"/>
    <w:rsid w:val="006E2051"/>
    <w:rsid w:val="006F71D0"/>
    <w:rsid w:val="00701496"/>
    <w:rsid w:val="007017C3"/>
    <w:rsid w:val="00705195"/>
    <w:rsid w:val="00706FF9"/>
    <w:rsid w:val="00711FB7"/>
    <w:rsid w:val="00712759"/>
    <w:rsid w:val="007215D7"/>
    <w:rsid w:val="00722F3D"/>
    <w:rsid w:val="007260E8"/>
    <w:rsid w:val="00726E52"/>
    <w:rsid w:val="0073773B"/>
    <w:rsid w:val="00742AED"/>
    <w:rsid w:val="007467FB"/>
    <w:rsid w:val="00747BB2"/>
    <w:rsid w:val="00752326"/>
    <w:rsid w:val="00757D5F"/>
    <w:rsid w:val="00764876"/>
    <w:rsid w:val="00776B94"/>
    <w:rsid w:val="00781207"/>
    <w:rsid w:val="00782BA2"/>
    <w:rsid w:val="00787398"/>
    <w:rsid w:val="007914BF"/>
    <w:rsid w:val="00796381"/>
    <w:rsid w:val="0079745D"/>
    <w:rsid w:val="00797B5F"/>
    <w:rsid w:val="007B0DA0"/>
    <w:rsid w:val="007C13A0"/>
    <w:rsid w:val="007C27AD"/>
    <w:rsid w:val="007C50CF"/>
    <w:rsid w:val="007C6CAD"/>
    <w:rsid w:val="007D02AD"/>
    <w:rsid w:val="007D3EBF"/>
    <w:rsid w:val="007E3345"/>
    <w:rsid w:val="007E51AA"/>
    <w:rsid w:val="007E6630"/>
    <w:rsid w:val="007F08B2"/>
    <w:rsid w:val="007F245E"/>
    <w:rsid w:val="007F42EE"/>
    <w:rsid w:val="007F4EB8"/>
    <w:rsid w:val="007F54A3"/>
    <w:rsid w:val="007F5E9F"/>
    <w:rsid w:val="00800DC9"/>
    <w:rsid w:val="008024DD"/>
    <w:rsid w:val="008047FE"/>
    <w:rsid w:val="00806CEA"/>
    <w:rsid w:val="00806D14"/>
    <w:rsid w:val="008075BB"/>
    <w:rsid w:val="0081517F"/>
    <w:rsid w:val="0082055E"/>
    <w:rsid w:val="008255D3"/>
    <w:rsid w:val="00830929"/>
    <w:rsid w:val="00831932"/>
    <w:rsid w:val="00831B2D"/>
    <w:rsid w:val="00835D4E"/>
    <w:rsid w:val="0083667B"/>
    <w:rsid w:val="00842695"/>
    <w:rsid w:val="00847A28"/>
    <w:rsid w:val="008507B1"/>
    <w:rsid w:val="0085611C"/>
    <w:rsid w:val="00856BC1"/>
    <w:rsid w:val="008572DD"/>
    <w:rsid w:val="008616BC"/>
    <w:rsid w:val="008630AE"/>
    <w:rsid w:val="00866FFB"/>
    <w:rsid w:val="00867824"/>
    <w:rsid w:val="008715E3"/>
    <w:rsid w:val="00872D01"/>
    <w:rsid w:val="00873A79"/>
    <w:rsid w:val="00880277"/>
    <w:rsid w:val="0088285E"/>
    <w:rsid w:val="008841CC"/>
    <w:rsid w:val="0088532D"/>
    <w:rsid w:val="00895436"/>
    <w:rsid w:val="00896141"/>
    <w:rsid w:val="008A005F"/>
    <w:rsid w:val="008A0752"/>
    <w:rsid w:val="008A0C8B"/>
    <w:rsid w:val="008A3C5F"/>
    <w:rsid w:val="008A6979"/>
    <w:rsid w:val="008A7033"/>
    <w:rsid w:val="008B1048"/>
    <w:rsid w:val="008B3A5F"/>
    <w:rsid w:val="008B42E2"/>
    <w:rsid w:val="008B7549"/>
    <w:rsid w:val="008C0B9E"/>
    <w:rsid w:val="008C4BF8"/>
    <w:rsid w:val="008C4F71"/>
    <w:rsid w:val="008C7918"/>
    <w:rsid w:val="008D0B35"/>
    <w:rsid w:val="008D2905"/>
    <w:rsid w:val="008D3BF3"/>
    <w:rsid w:val="008E58FD"/>
    <w:rsid w:val="008E6A6A"/>
    <w:rsid w:val="008F3C4C"/>
    <w:rsid w:val="008F4FCB"/>
    <w:rsid w:val="00902675"/>
    <w:rsid w:val="00904E1C"/>
    <w:rsid w:val="00905C97"/>
    <w:rsid w:val="009066B8"/>
    <w:rsid w:val="00910934"/>
    <w:rsid w:val="009121E3"/>
    <w:rsid w:val="0091623D"/>
    <w:rsid w:val="00921DD0"/>
    <w:rsid w:val="009233C6"/>
    <w:rsid w:val="009266D4"/>
    <w:rsid w:val="00931A07"/>
    <w:rsid w:val="0093230C"/>
    <w:rsid w:val="009376A7"/>
    <w:rsid w:val="009411A6"/>
    <w:rsid w:val="00941850"/>
    <w:rsid w:val="009435D9"/>
    <w:rsid w:val="00943A4F"/>
    <w:rsid w:val="00944DDC"/>
    <w:rsid w:val="00947195"/>
    <w:rsid w:val="0095067D"/>
    <w:rsid w:val="00952D69"/>
    <w:rsid w:val="00956BC1"/>
    <w:rsid w:val="00956D59"/>
    <w:rsid w:val="0095701B"/>
    <w:rsid w:val="009677F6"/>
    <w:rsid w:val="00972AE1"/>
    <w:rsid w:val="00973C1C"/>
    <w:rsid w:val="00975F0D"/>
    <w:rsid w:val="009762BB"/>
    <w:rsid w:val="00985284"/>
    <w:rsid w:val="0098722F"/>
    <w:rsid w:val="00987AD4"/>
    <w:rsid w:val="00990340"/>
    <w:rsid w:val="009914FF"/>
    <w:rsid w:val="0099290B"/>
    <w:rsid w:val="00992BEF"/>
    <w:rsid w:val="00995473"/>
    <w:rsid w:val="00996C6D"/>
    <w:rsid w:val="00997C04"/>
    <w:rsid w:val="009A26C4"/>
    <w:rsid w:val="009A3953"/>
    <w:rsid w:val="009A5DE4"/>
    <w:rsid w:val="009A5EC9"/>
    <w:rsid w:val="009A6C27"/>
    <w:rsid w:val="009B19B0"/>
    <w:rsid w:val="009B46B5"/>
    <w:rsid w:val="009B54E0"/>
    <w:rsid w:val="009B78A9"/>
    <w:rsid w:val="009C0084"/>
    <w:rsid w:val="009C71D6"/>
    <w:rsid w:val="009D0954"/>
    <w:rsid w:val="009D1691"/>
    <w:rsid w:val="009D32B3"/>
    <w:rsid w:val="009D3A36"/>
    <w:rsid w:val="009E05F3"/>
    <w:rsid w:val="009E130E"/>
    <w:rsid w:val="009E1A90"/>
    <w:rsid w:val="009E3C28"/>
    <w:rsid w:val="009E6769"/>
    <w:rsid w:val="009F36B1"/>
    <w:rsid w:val="009F50FB"/>
    <w:rsid w:val="009F637D"/>
    <w:rsid w:val="00A01486"/>
    <w:rsid w:val="00A05D13"/>
    <w:rsid w:val="00A070F1"/>
    <w:rsid w:val="00A112E9"/>
    <w:rsid w:val="00A1631C"/>
    <w:rsid w:val="00A23E18"/>
    <w:rsid w:val="00A326FB"/>
    <w:rsid w:val="00A32774"/>
    <w:rsid w:val="00A32BDA"/>
    <w:rsid w:val="00A330AC"/>
    <w:rsid w:val="00A33106"/>
    <w:rsid w:val="00A333B9"/>
    <w:rsid w:val="00A341A0"/>
    <w:rsid w:val="00A34781"/>
    <w:rsid w:val="00A36C48"/>
    <w:rsid w:val="00A40858"/>
    <w:rsid w:val="00A43CE2"/>
    <w:rsid w:val="00A46730"/>
    <w:rsid w:val="00A520E1"/>
    <w:rsid w:val="00A54A08"/>
    <w:rsid w:val="00A54A8D"/>
    <w:rsid w:val="00A54C1B"/>
    <w:rsid w:val="00A5539B"/>
    <w:rsid w:val="00A56DE8"/>
    <w:rsid w:val="00A57065"/>
    <w:rsid w:val="00A61A6F"/>
    <w:rsid w:val="00A62FC0"/>
    <w:rsid w:val="00A676B4"/>
    <w:rsid w:val="00A7431F"/>
    <w:rsid w:val="00A75C52"/>
    <w:rsid w:val="00A766A0"/>
    <w:rsid w:val="00A81B4C"/>
    <w:rsid w:val="00A86FC9"/>
    <w:rsid w:val="00A96659"/>
    <w:rsid w:val="00AA0436"/>
    <w:rsid w:val="00AA23F9"/>
    <w:rsid w:val="00AA2DD7"/>
    <w:rsid w:val="00AA2E1F"/>
    <w:rsid w:val="00AA3778"/>
    <w:rsid w:val="00AA55DF"/>
    <w:rsid w:val="00AA5769"/>
    <w:rsid w:val="00AA7F1A"/>
    <w:rsid w:val="00AB0204"/>
    <w:rsid w:val="00AB17C3"/>
    <w:rsid w:val="00AB4EA8"/>
    <w:rsid w:val="00AB5BEE"/>
    <w:rsid w:val="00AB6385"/>
    <w:rsid w:val="00AB6785"/>
    <w:rsid w:val="00AC1416"/>
    <w:rsid w:val="00AC21DE"/>
    <w:rsid w:val="00AC2C31"/>
    <w:rsid w:val="00AC3933"/>
    <w:rsid w:val="00AD0705"/>
    <w:rsid w:val="00AD35BE"/>
    <w:rsid w:val="00AD36D4"/>
    <w:rsid w:val="00AF1C35"/>
    <w:rsid w:val="00AF526F"/>
    <w:rsid w:val="00B028FD"/>
    <w:rsid w:val="00B03008"/>
    <w:rsid w:val="00B032EF"/>
    <w:rsid w:val="00B045A2"/>
    <w:rsid w:val="00B11282"/>
    <w:rsid w:val="00B14198"/>
    <w:rsid w:val="00B15DFC"/>
    <w:rsid w:val="00B164F5"/>
    <w:rsid w:val="00B321C3"/>
    <w:rsid w:val="00B32616"/>
    <w:rsid w:val="00B360C6"/>
    <w:rsid w:val="00B37140"/>
    <w:rsid w:val="00B42B2D"/>
    <w:rsid w:val="00B4615D"/>
    <w:rsid w:val="00B4723D"/>
    <w:rsid w:val="00B53E8E"/>
    <w:rsid w:val="00B555A1"/>
    <w:rsid w:val="00B56464"/>
    <w:rsid w:val="00B62019"/>
    <w:rsid w:val="00B63DE8"/>
    <w:rsid w:val="00B63E2B"/>
    <w:rsid w:val="00B6462B"/>
    <w:rsid w:val="00B64E45"/>
    <w:rsid w:val="00B67E90"/>
    <w:rsid w:val="00B810CF"/>
    <w:rsid w:val="00B82801"/>
    <w:rsid w:val="00B83B05"/>
    <w:rsid w:val="00B84210"/>
    <w:rsid w:val="00B8475C"/>
    <w:rsid w:val="00B9144E"/>
    <w:rsid w:val="00B91867"/>
    <w:rsid w:val="00B920E6"/>
    <w:rsid w:val="00B96592"/>
    <w:rsid w:val="00B96DAA"/>
    <w:rsid w:val="00BA0929"/>
    <w:rsid w:val="00BA342F"/>
    <w:rsid w:val="00BA59BB"/>
    <w:rsid w:val="00BB0282"/>
    <w:rsid w:val="00BB0C65"/>
    <w:rsid w:val="00BB1889"/>
    <w:rsid w:val="00BB25BB"/>
    <w:rsid w:val="00BB302B"/>
    <w:rsid w:val="00BB310C"/>
    <w:rsid w:val="00BC18CC"/>
    <w:rsid w:val="00BC4F64"/>
    <w:rsid w:val="00BD2921"/>
    <w:rsid w:val="00BD38BC"/>
    <w:rsid w:val="00BD4A94"/>
    <w:rsid w:val="00BD4FE6"/>
    <w:rsid w:val="00BD7E7C"/>
    <w:rsid w:val="00BD7F86"/>
    <w:rsid w:val="00BE5316"/>
    <w:rsid w:val="00BE6D82"/>
    <w:rsid w:val="00BF6155"/>
    <w:rsid w:val="00C0053E"/>
    <w:rsid w:val="00C01725"/>
    <w:rsid w:val="00C032EA"/>
    <w:rsid w:val="00C042D1"/>
    <w:rsid w:val="00C07663"/>
    <w:rsid w:val="00C23558"/>
    <w:rsid w:val="00C26159"/>
    <w:rsid w:val="00C3092D"/>
    <w:rsid w:val="00C30E67"/>
    <w:rsid w:val="00C31545"/>
    <w:rsid w:val="00C31943"/>
    <w:rsid w:val="00C447DA"/>
    <w:rsid w:val="00C465FE"/>
    <w:rsid w:val="00C4688C"/>
    <w:rsid w:val="00C50D08"/>
    <w:rsid w:val="00C515D8"/>
    <w:rsid w:val="00C55B89"/>
    <w:rsid w:val="00C623A9"/>
    <w:rsid w:val="00C64443"/>
    <w:rsid w:val="00C8065B"/>
    <w:rsid w:val="00C83D02"/>
    <w:rsid w:val="00C8645F"/>
    <w:rsid w:val="00C93404"/>
    <w:rsid w:val="00C946CF"/>
    <w:rsid w:val="00C95AE2"/>
    <w:rsid w:val="00C97E73"/>
    <w:rsid w:val="00CA701B"/>
    <w:rsid w:val="00CA7D3B"/>
    <w:rsid w:val="00CC35ED"/>
    <w:rsid w:val="00CC4D57"/>
    <w:rsid w:val="00CC5380"/>
    <w:rsid w:val="00CC74FE"/>
    <w:rsid w:val="00CD000D"/>
    <w:rsid w:val="00CD0098"/>
    <w:rsid w:val="00CD3788"/>
    <w:rsid w:val="00CD659D"/>
    <w:rsid w:val="00CD69B5"/>
    <w:rsid w:val="00CD7D9D"/>
    <w:rsid w:val="00CE0A4F"/>
    <w:rsid w:val="00CF214A"/>
    <w:rsid w:val="00CF30AA"/>
    <w:rsid w:val="00CF7066"/>
    <w:rsid w:val="00D06527"/>
    <w:rsid w:val="00D079E1"/>
    <w:rsid w:val="00D108B9"/>
    <w:rsid w:val="00D12693"/>
    <w:rsid w:val="00D13274"/>
    <w:rsid w:val="00D14F67"/>
    <w:rsid w:val="00D2432A"/>
    <w:rsid w:val="00D307D9"/>
    <w:rsid w:val="00D32DA2"/>
    <w:rsid w:val="00D37AE4"/>
    <w:rsid w:val="00D5074F"/>
    <w:rsid w:val="00D53D65"/>
    <w:rsid w:val="00D5483E"/>
    <w:rsid w:val="00D55F49"/>
    <w:rsid w:val="00D578DF"/>
    <w:rsid w:val="00D654D5"/>
    <w:rsid w:val="00D65A56"/>
    <w:rsid w:val="00D73E25"/>
    <w:rsid w:val="00D748D2"/>
    <w:rsid w:val="00D75B39"/>
    <w:rsid w:val="00D770D4"/>
    <w:rsid w:val="00D80A80"/>
    <w:rsid w:val="00D86A03"/>
    <w:rsid w:val="00D92CA1"/>
    <w:rsid w:val="00D941AC"/>
    <w:rsid w:val="00D973F6"/>
    <w:rsid w:val="00D9794F"/>
    <w:rsid w:val="00D97B12"/>
    <w:rsid w:val="00DA0849"/>
    <w:rsid w:val="00DA0D3B"/>
    <w:rsid w:val="00DA1E86"/>
    <w:rsid w:val="00DA2B72"/>
    <w:rsid w:val="00DB0E90"/>
    <w:rsid w:val="00DB1367"/>
    <w:rsid w:val="00DB3FA1"/>
    <w:rsid w:val="00DB6F1C"/>
    <w:rsid w:val="00DC1970"/>
    <w:rsid w:val="00DC2249"/>
    <w:rsid w:val="00DC3FB1"/>
    <w:rsid w:val="00DC6C5E"/>
    <w:rsid w:val="00DD309B"/>
    <w:rsid w:val="00DD3374"/>
    <w:rsid w:val="00DD67EE"/>
    <w:rsid w:val="00DD6F7D"/>
    <w:rsid w:val="00DE3B6B"/>
    <w:rsid w:val="00DE5652"/>
    <w:rsid w:val="00DE66F8"/>
    <w:rsid w:val="00E00037"/>
    <w:rsid w:val="00E00262"/>
    <w:rsid w:val="00E050C3"/>
    <w:rsid w:val="00E06DEA"/>
    <w:rsid w:val="00E10402"/>
    <w:rsid w:val="00E134A7"/>
    <w:rsid w:val="00E1396B"/>
    <w:rsid w:val="00E16A8E"/>
    <w:rsid w:val="00E209E2"/>
    <w:rsid w:val="00E25458"/>
    <w:rsid w:val="00E260C7"/>
    <w:rsid w:val="00E27FBE"/>
    <w:rsid w:val="00E30D2E"/>
    <w:rsid w:val="00E319A5"/>
    <w:rsid w:val="00E32331"/>
    <w:rsid w:val="00E3407A"/>
    <w:rsid w:val="00E40E49"/>
    <w:rsid w:val="00E471F8"/>
    <w:rsid w:val="00E47436"/>
    <w:rsid w:val="00E53BAC"/>
    <w:rsid w:val="00E56346"/>
    <w:rsid w:val="00E5727D"/>
    <w:rsid w:val="00E57A9D"/>
    <w:rsid w:val="00E57D61"/>
    <w:rsid w:val="00E6198E"/>
    <w:rsid w:val="00E7294F"/>
    <w:rsid w:val="00E800C2"/>
    <w:rsid w:val="00E82151"/>
    <w:rsid w:val="00E84405"/>
    <w:rsid w:val="00E91000"/>
    <w:rsid w:val="00E92B23"/>
    <w:rsid w:val="00E92EBD"/>
    <w:rsid w:val="00E9427D"/>
    <w:rsid w:val="00E952F1"/>
    <w:rsid w:val="00EA20A5"/>
    <w:rsid w:val="00EA2833"/>
    <w:rsid w:val="00EA368F"/>
    <w:rsid w:val="00EA5ADC"/>
    <w:rsid w:val="00EB0810"/>
    <w:rsid w:val="00EB2075"/>
    <w:rsid w:val="00EB2CE0"/>
    <w:rsid w:val="00EB503E"/>
    <w:rsid w:val="00EB624C"/>
    <w:rsid w:val="00EC14A0"/>
    <w:rsid w:val="00EC1F16"/>
    <w:rsid w:val="00EC230E"/>
    <w:rsid w:val="00EC74DA"/>
    <w:rsid w:val="00ED1A7F"/>
    <w:rsid w:val="00ED3C29"/>
    <w:rsid w:val="00ED64EC"/>
    <w:rsid w:val="00ED6507"/>
    <w:rsid w:val="00EE30D3"/>
    <w:rsid w:val="00EE3AC8"/>
    <w:rsid w:val="00EF22F5"/>
    <w:rsid w:val="00EF3609"/>
    <w:rsid w:val="00EF4EB5"/>
    <w:rsid w:val="00EF5364"/>
    <w:rsid w:val="00F0213B"/>
    <w:rsid w:val="00F02803"/>
    <w:rsid w:val="00F0369B"/>
    <w:rsid w:val="00F04E66"/>
    <w:rsid w:val="00F055F9"/>
    <w:rsid w:val="00F13069"/>
    <w:rsid w:val="00F2254A"/>
    <w:rsid w:val="00F2589D"/>
    <w:rsid w:val="00F25E07"/>
    <w:rsid w:val="00F301CF"/>
    <w:rsid w:val="00F30B26"/>
    <w:rsid w:val="00F30E02"/>
    <w:rsid w:val="00F31249"/>
    <w:rsid w:val="00F35FF4"/>
    <w:rsid w:val="00F45409"/>
    <w:rsid w:val="00F460E8"/>
    <w:rsid w:val="00F5234D"/>
    <w:rsid w:val="00F60900"/>
    <w:rsid w:val="00F64784"/>
    <w:rsid w:val="00F64F25"/>
    <w:rsid w:val="00F678E0"/>
    <w:rsid w:val="00F705A4"/>
    <w:rsid w:val="00F710DA"/>
    <w:rsid w:val="00F711E8"/>
    <w:rsid w:val="00F735B9"/>
    <w:rsid w:val="00F739C4"/>
    <w:rsid w:val="00F7573B"/>
    <w:rsid w:val="00F804BF"/>
    <w:rsid w:val="00F81D7A"/>
    <w:rsid w:val="00F8550B"/>
    <w:rsid w:val="00F869DE"/>
    <w:rsid w:val="00F92CD0"/>
    <w:rsid w:val="00F94F97"/>
    <w:rsid w:val="00F96338"/>
    <w:rsid w:val="00FA1841"/>
    <w:rsid w:val="00FA54E5"/>
    <w:rsid w:val="00FA581A"/>
    <w:rsid w:val="00FA5EED"/>
    <w:rsid w:val="00FA6AD7"/>
    <w:rsid w:val="00FA6D91"/>
    <w:rsid w:val="00FB4217"/>
    <w:rsid w:val="00FB4AC6"/>
    <w:rsid w:val="00FB7112"/>
    <w:rsid w:val="00FC09E1"/>
    <w:rsid w:val="00FC5036"/>
    <w:rsid w:val="00FC7948"/>
    <w:rsid w:val="00FD0E1E"/>
    <w:rsid w:val="00FE0E9D"/>
    <w:rsid w:val="00FE3C95"/>
    <w:rsid w:val="00FE6CAE"/>
    <w:rsid w:val="00FE7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A21"/>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rPr>
      <w:lang w:val="x-none"/>
    </w:r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63294C"/>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63294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styleId="BalloonText">
    <w:name w:val="Balloon Text"/>
    <w:basedOn w:val="Normal"/>
    <w:link w:val="BalloonTextChar"/>
    <w:uiPriority w:val="99"/>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666352"/>
    <w:pPr>
      <w:numPr>
        <w:numId w:val="38"/>
      </w:numPr>
      <w:kinsoku w:val="0"/>
      <w:overflowPunct w:val="0"/>
      <w:autoSpaceDE w:val="0"/>
      <w:autoSpaceDN w:val="0"/>
      <w:adjustRightInd w:val="0"/>
      <w:snapToGrid w:val="0"/>
      <w:spacing w:after="120"/>
      <w:ind w:right="1134"/>
      <w:jc w:val="both"/>
    </w:pPr>
    <w:rPr>
      <w:rFonts w:eastAsia="SimSun"/>
      <w:lang w:val="en-US" w:eastAsia="zh-CN"/>
    </w:rPr>
  </w:style>
  <w:style w:type="character" w:customStyle="1" w:styleId="BalloonTextChar">
    <w:name w:val="Balloon Text Char"/>
    <w:link w:val="BalloonText"/>
    <w:uiPriority w:val="99"/>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w:link w:val="FootnoteText"/>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ColorfulList-Accent11">
    <w:name w:val="Colorful List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paragraph" w:styleId="BodyText">
    <w:name w:val="Body Text"/>
    <w:basedOn w:val="Normal"/>
    <w:link w:val="BodyTextChar"/>
    <w:rsid w:val="00AB0204"/>
    <w:pPr>
      <w:spacing w:after="120"/>
    </w:pPr>
  </w:style>
  <w:style w:type="character" w:customStyle="1" w:styleId="BodyTextChar">
    <w:name w:val="Body Text Char"/>
    <w:link w:val="BodyText"/>
    <w:rsid w:val="00AB0204"/>
    <w:rPr>
      <w:lang w:eastAsia="en-US"/>
    </w:rPr>
  </w:style>
  <w:style w:type="character" w:customStyle="1" w:styleId="HeaderChar">
    <w:name w:val="Header Char"/>
    <w:aliases w:val="6_G Char"/>
    <w:link w:val="Header"/>
    <w:uiPriority w:val="99"/>
    <w:rsid w:val="00AC3933"/>
    <w:rPr>
      <w:b/>
      <w:sz w:val="18"/>
      <w:lang w:eastAsia="en-US"/>
    </w:rPr>
  </w:style>
  <w:style w:type="paragraph" w:styleId="PlainText">
    <w:name w:val="Plain Text"/>
    <w:basedOn w:val="Normal"/>
    <w:link w:val="PlainTextChar"/>
    <w:unhideWhenUsed/>
    <w:rsid w:val="00554A82"/>
    <w:pPr>
      <w:suppressAutoHyphens w:val="0"/>
      <w:spacing w:line="240" w:lineRule="auto"/>
    </w:pPr>
    <w:rPr>
      <w:rFonts w:ascii="Consolas" w:hAnsi="Consolas" w:cs="Consolas"/>
      <w:sz w:val="21"/>
      <w:szCs w:val="21"/>
      <w:lang w:val="it-IT" w:eastAsia="it-IT"/>
    </w:rPr>
  </w:style>
  <w:style w:type="character" w:customStyle="1" w:styleId="PlainTextChar">
    <w:name w:val="Plain Text Char"/>
    <w:link w:val="PlainText"/>
    <w:rsid w:val="00554A82"/>
    <w:rPr>
      <w:rFonts w:ascii="Consolas" w:hAnsi="Consolas" w:cs="Consolas"/>
      <w:sz w:val="21"/>
      <w:szCs w:val="21"/>
      <w:lang w:val="it-IT" w:eastAsia="it-IT"/>
    </w:rPr>
  </w:style>
  <w:style w:type="character" w:styleId="CommentReference">
    <w:name w:val="annotation reference"/>
    <w:rsid w:val="009C71D6"/>
    <w:rPr>
      <w:sz w:val="16"/>
      <w:szCs w:val="16"/>
    </w:rPr>
  </w:style>
  <w:style w:type="paragraph" w:styleId="CommentText">
    <w:name w:val="annotation text"/>
    <w:basedOn w:val="Normal"/>
    <w:link w:val="CommentTextChar"/>
    <w:rsid w:val="009C71D6"/>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customStyle="1" w:styleId="CommentTextChar">
    <w:name w:val="Comment Text Char"/>
    <w:link w:val="CommentText"/>
    <w:rsid w:val="009C71D6"/>
    <w:rPr>
      <w:lang w:eastAsia="en-US"/>
    </w:rPr>
  </w:style>
  <w:style w:type="character" w:styleId="HTMLAcronym">
    <w:name w:val="HTML Acronym"/>
    <w:basedOn w:val="DefaultParagraphFont"/>
    <w:semiHidden/>
  </w:style>
  <w:style w:type="paragraph" w:styleId="CommentSubject">
    <w:name w:val="annotation subject"/>
    <w:basedOn w:val="CommentText"/>
    <w:next w:val="CommentText"/>
    <w:link w:val="CommentSubjectChar"/>
    <w:rsid w:val="009C71D6"/>
    <w:rPr>
      <w:b/>
      <w:bCs/>
    </w:rPr>
  </w:style>
  <w:style w:type="character" w:customStyle="1" w:styleId="CommentSubjectChar">
    <w:name w:val="Comment Subject Char"/>
    <w:link w:val="CommentSubject"/>
    <w:rsid w:val="009C71D6"/>
    <w:rPr>
      <w:b/>
      <w:bCs/>
      <w:lang w:eastAsia="en-US"/>
    </w:rPr>
  </w:style>
  <w:style w:type="character" w:customStyle="1" w:styleId="SingleTxtGChar">
    <w:name w:val="_ Single Txt_G Char"/>
    <w:link w:val="SingleTxtG"/>
    <w:rsid w:val="002D1538"/>
    <w:rPr>
      <w:lang w:eastAsia="en-US"/>
    </w:rPr>
  </w:style>
  <w:style w:type="table" w:styleId="TableGrid">
    <w:name w:val="Table Grid"/>
    <w:basedOn w:val="TableNormal"/>
    <w:rsid w:val="00A341A0"/>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pple-converted-space">
    <w:name w:val="apple-converted-space"/>
    <w:rsid w:val="00BB1889"/>
  </w:style>
  <w:style w:type="paragraph" w:styleId="Revision">
    <w:name w:val="Revision"/>
    <w:hidden/>
    <w:uiPriority w:val="99"/>
    <w:semiHidden/>
    <w:rsid w:val="006248E1"/>
    <w:rPr>
      <w:lang w:eastAsia="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A21"/>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rPr>
      <w:lang w:val="x-none"/>
    </w:r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63294C"/>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63294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styleId="BalloonText">
    <w:name w:val="Balloon Text"/>
    <w:basedOn w:val="Normal"/>
    <w:link w:val="BalloonTextChar"/>
    <w:uiPriority w:val="99"/>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666352"/>
    <w:pPr>
      <w:numPr>
        <w:numId w:val="38"/>
      </w:numPr>
      <w:kinsoku w:val="0"/>
      <w:overflowPunct w:val="0"/>
      <w:autoSpaceDE w:val="0"/>
      <w:autoSpaceDN w:val="0"/>
      <w:adjustRightInd w:val="0"/>
      <w:snapToGrid w:val="0"/>
      <w:spacing w:after="120"/>
      <w:ind w:right="1134"/>
      <w:jc w:val="both"/>
    </w:pPr>
    <w:rPr>
      <w:rFonts w:eastAsia="SimSun"/>
      <w:lang w:val="en-US" w:eastAsia="zh-CN"/>
    </w:rPr>
  </w:style>
  <w:style w:type="character" w:customStyle="1" w:styleId="BalloonTextChar">
    <w:name w:val="Balloon Text Char"/>
    <w:link w:val="BalloonText"/>
    <w:uiPriority w:val="99"/>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w:link w:val="FootnoteText"/>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ColorfulList-Accent11">
    <w:name w:val="Colorful List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paragraph" w:styleId="BodyText">
    <w:name w:val="Body Text"/>
    <w:basedOn w:val="Normal"/>
    <w:link w:val="BodyTextChar"/>
    <w:rsid w:val="00AB0204"/>
    <w:pPr>
      <w:spacing w:after="120"/>
    </w:pPr>
  </w:style>
  <w:style w:type="character" w:customStyle="1" w:styleId="BodyTextChar">
    <w:name w:val="Body Text Char"/>
    <w:link w:val="BodyText"/>
    <w:rsid w:val="00AB0204"/>
    <w:rPr>
      <w:lang w:eastAsia="en-US"/>
    </w:rPr>
  </w:style>
  <w:style w:type="character" w:customStyle="1" w:styleId="HeaderChar">
    <w:name w:val="Header Char"/>
    <w:aliases w:val="6_G Char"/>
    <w:link w:val="Header"/>
    <w:uiPriority w:val="99"/>
    <w:rsid w:val="00AC3933"/>
    <w:rPr>
      <w:b/>
      <w:sz w:val="18"/>
      <w:lang w:eastAsia="en-US"/>
    </w:rPr>
  </w:style>
  <w:style w:type="paragraph" w:styleId="PlainText">
    <w:name w:val="Plain Text"/>
    <w:basedOn w:val="Normal"/>
    <w:link w:val="PlainTextChar"/>
    <w:unhideWhenUsed/>
    <w:rsid w:val="00554A82"/>
    <w:pPr>
      <w:suppressAutoHyphens w:val="0"/>
      <w:spacing w:line="240" w:lineRule="auto"/>
    </w:pPr>
    <w:rPr>
      <w:rFonts w:ascii="Consolas" w:hAnsi="Consolas" w:cs="Consolas"/>
      <w:sz w:val="21"/>
      <w:szCs w:val="21"/>
      <w:lang w:val="it-IT" w:eastAsia="it-IT"/>
    </w:rPr>
  </w:style>
  <w:style w:type="character" w:customStyle="1" w:styleId="PlainTextChar">
    <w:name w:val="Plain Text Char"/>
    <w:link w:val="PlainText"/>
    <w:rsid w:val="00554A82"/>
    <w:rPr>
      <w:rFonts w:ascii="Consolas" w:hAnsi="Consolas" w:cs="Consolas"/>
      <w:sz w:val="21"/>
      <w:szCs w:val="21"/>
      <w:lang w:val="it-IT" w:eastAsia="it-IT"/>
    </w:rPr>
  </w:style>
  <w:style w:type="character" w:styleId="CommentReference">
    <w:name w:val="annotation reference"/>
    <w:rsid w:val="009C71D6"/>
    <w:rPr>
      <w:sz w:val="16"/>
      <w:szCs w:val="16"/>
    </w:rPr>
  </w:style>
  <w:style w:type="paragraph" w:styleId="CommentText">
    <w:name w:val="annotation text"/>
    <w:basedOn w:val="Normal"/>
    <w:link w:val="CommentTextChar"/>
    <w:rsid w:val="009C71D6"/>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customStyle="1" w:styleId="CommentTextChar">
    <w:name w:val="Comment Text Char"/>
    <w:link w:val="CommentText"/>
    <w:rsid w:val="009C71D6"/>
    <w:rPr>
      <w:lang w:eastAsia="en-US"/>
    </w:rPr>
  </w:style>
  <w:style w:type="character" w:styleId="HTMLAcronym">
    <w:name w:val="HTML Acronym"/>
    <w:basedOn w:val="DefaultParagraphFont"/>
    <w:semiHidden/>
  </w:style>
  <w:style w:type="paragraph" w:styleId="CommentSubject">
    <w:name w:val="annotation subject"/>
    <w:basedOn w:val="CommentText"/>
    <w:next w:val="CommentText"/>
    <w:link w:val="CommentSubjectChar"/>
    <w:rsid w:val="009C71D6"/>
    <w:rPr>
      <w:b/>
      <w:bCs/>
    </w:rPr>
  </w:style>
  <w:style w:type="character" w:customStyle="1" w:styleId="CommentSubjectChar">
    <w:name w:val="Comment Subject Char"/>
    <w:link w:val="CommentSubject"/>
    <w:rsid w:val="009C71D6"/>
    <w:rPr>
      <w:b/>
      <w:bCs/>
      <w:lang w:eastAsia="en-US"/>
    </w:rPr>
  </w:style>
  <w:style w:type="character" w:customStyle="1" w:styleId="SingleTxtGChar">
    <w:name w:val="_ Single Txt_G Char"/>
    <w:link w:val="SingleTxtG"/>
    <w:rsid w:val="002D1538"/>
    <w:rPr>
      <w:lang w:eastAsia="en-US"/>
    </w:rPr>
  </w:style>
  <w:style w:type="table" w:styleId="TableGrid">
    <w:name w:val="Table Grid"/>
    <w:basedOn w:val="TableNormal"/>
    <w:rsid w:val="00A341A0"/>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pple-converted-space">
    <w:name w:val="apple-converted-space"/>
    <w:rsid w:val="00BB1889"/>
  </w:style>
  <w:style w:type="paragraph" w:styleId="Revision">
    <w:name w:val="Revision"/>
    <w:hidden/>
    <w:uiPriority w:val="99"/>
    <w:semiHidden/>
    <w:rsid w:val="006248E1"/>
    <w:rPr>
      <w:lang w:eastAsia="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737">
      <w:bodyDiv w:val="1"/>
      <w:marLeft w:val="0"/>
      <w:marRight w:val="0"/>
      <w:marTop w:val="0"/>
      <w:marBottom w:val="0"/>
      <w:divBdr>
        <w:top w:val="none" w:sz="0" w:space="0" w:color="auto"/>
        <w:left w:val="none" w:sz="0" w:space="0" w:color="auto"/>
        <w:bottom w:val="none" w:sz="0" w:space="0" w:color="auto"/>
        <w:right w:val="none" w:sz="0" w:space="0" w:color="auto"/>
      </w:divBdr>
    </w:div>
    <w:div w:id="173303709">
      <w:bodyDiv w:val="1"/>
      <w:marLeft w:val="0"/>
      <w:marRight w:val="0"/>
      <w:marTop w:val="0"/>
      <w:marBottom w:val="0"/>
      <w:divBdr>
        <w:top w:val="none" w:sz="0" w:space="0" w:color="auto"/>
        <w:left w:val="none" w:sz="0" w:space="0" w:color="auto"/>
        <w:bottom w:val="none" w:sz="0" w:space="0" w:color="auto"/>
        <w:right w:val="none" w:sz="0" w:space="0" w:color="auto"/>
      </w:divBdr>
    </w:div>
    <w:div w:id="196311179">
      <w:bodyDiv w:val="1"/>
      <w:marLeft w:val="0"/>
      <w:marRight w:val="0"/>
      <w:marTop w:val="0"/>
      <w:marBottom w:val="0"/>
      <w:divBdr>
        <w:top w:val="none" w:sz="0" w:space="0" w:color="auto"/>
        <w:left w:val="none" w:sz="0" w:space="0" w:color="auto"/>
        <w:bottom w:val="none" w:sz="0" w:space="0" w:color="auto"/>
        <w:right w:val="none" w:sz="0" w:space="0" w:color="auto"/>
      </w:divBdr>
    </w:div>
    <w:div w:id="209542026">
      <w:bodyDiv w:val="1"/>
      <w:marLeft w:val="0"/>
      <w:marRight w:val="0"/>
      <w:marTop w:val="0"/>
      <w:marBottom w:val="0"/>
      <w:divBdr>
        <w:top w:val="none" w:sz="0" w:space="0" w:color="auto"/>
        <w:left w:val="none" w:sz="0" w:space="0" w:color="auto"/>
        <w:bottom w:val="none" w:sz="0" w:space="0" w:color="auto"/>
        <w:right w:val="none" w:sz="0" w:space="0" w:color="auto"/>
      </w:divBdr>
    </w:div>
    <w:div w:id="276065252">
      <w:bodyDiv w:val="1"/>
      <w:marLeft w:val="0"/>
      <w:marRight w:val="0"/>
      <w:marTop w:val="0"/>
      <w:marBottom w:val="0"/>
      <w:divBdr>
        <w:top w:val="none" w:sz="0" w:space="0" w:color="auto"/>
        <w:left w:val="none" w:sz="0" w:space="0" w:color="auto"/>
        <w:bottom w:val="none" w:sz="0" w:space="0" w:color="auto"/>
        <w:right w:val="none" w:sz="0" w:space="0" w:color="auto"/>
      </w:divBdr>
    </w:div>
    <w:div w:id="309987194">
      <w:bodyDiv w:val="1"/>
      <w:marLeft w:val="0"/>
      <w:marRight w:val="0"/>
      <w:marTop w:val="0"/>
      <w:marBottom w:val="0"/>
      <w:divBdr>
        <w:top w:val="none" w:sz="0" w:space="0" w:color="auto"/>
        <w:left w:val="none" w:sz="0" w:space="0" w:color="auto"/>
        <w:bottom w:val="none" w:sz="0" w:space="0" w:color="auto"/>
        <w:right w:val="none" w:sz="0" w:space="0" w:color="auto"/>
      </w:divBdr>
    </w:div>
    <w:div w:id="313723163">
      <w:bodyDiv w:val="1"/>
      <w:marLeft w:val="0"/>
      <w:marRight w:val="0"/>
      <w:marTop w:val="0"/>
      <w:marBottom w:val="0"/>
      <w:divBdr>
        <w:top w:val="none" w:sz="0" w:space="0" w:color="auto"/>
        <w:left w:val="none" w:sz="0" w:space="0" w:color="auto"/>
        <w:bottom w:val="none" w:sz="0" w:space="0" w:color="auto"/>
        <w:right w:val="none" w:sz="0" w:space="0" w:color="auto"/>
      </w:divBdr>
    </w:div>
    <w:div w:id="320816756">
      <w:bodyDiv w:val="1"/>
      <w:marLeft w:val="0"/>
      <w:marRight w:val="0"/>
      <w:marTop w:val="0"/>
      <w:marBottom w:val="0"/>
      <w:divBdr>
        <w:top w:val="none" w:sz="0" w:space="0" w:color="auto"/>
        <w:left w:val="none" w:sz="0" w:space="0" w:color="auto"/>
        <w:bottom w:val="none" w:sz="0" w:space="0" w:color="auto"/>
        <w:right w:val="none" w:sz="0" w:space="0" w:color="auto"/>
      </w:divBdr>
    </w:div>
    <w:div w:id="411853628">
      <w:bodyDiv w:val="1"/>
      <w:marLeft w:val="0"/>
      <w:marRight w:val="0"/>
      <w:marTop w:val="0"/>
      <w:marBottom w:val="0"/>
      <w:divBdr>
        <w:top w:val="none" w:sz="0" w:space="0" w:color="auto"/>
        <w:left w:val="none" w:sz="0" w:space="0" w:color="auto"/>
        <w:bottom w:val="none" w:sz="0" w:space="0" w:color="auto"/>
        <w:right w:val="none" w:sz="0" w:space="0" w:color="auto"/>
      </w:divBdr>
    </w:div>
    <w:div w:id="443351125">
      <w:bodyDiv w:val="1"/>
      <w:marLeft w:val="0"/>
      <w:marRight w:val="0"/>
      <w:marTop w:val="0"/>
      <w:marBottom w:val="0"/>
      <w:divBdr>
        <w:top w:val="none" w:sz="0" w:space="0" w:color="auto"/>
        <w:left w:val="none" w:sz="0" w:space="0" w:color="auto"/>
        <w:bottom w:val="none" w:sz="0" w:space="0" w:color="auto"/>
        <w:right w:val="none" w:sz="0" w:space="0" w:color="auto"/>
      </w:divBdr>
    </w:div>
    <w:div w:id="490022816">
      <w:bodyDiv w:val="1"/>
      <w:marLeft w:val="0"/>
      <w:marRight w:val="0"/>
      <w:marTop w:val="0"/>
      <w:marBottom w:val="0"/>
      <w:divBdr>
        <w:top w:val="none" w:sz="0" w:space="0" w:color="auto"/>
        <w:left w:val="none" w:sz="0" w:space="0" w:color="auto"/>
        <w:bottom w:val="none" w:sz="0" w:space="0" w:color="auto"/>
        <w:right w:val="none" w:sz="0" w:space="0" w:color="auto"/>
      </w:divBdr>
    </w:div>
    <w:div w:id="604267300">
      <w:bodyDiv w:val="1"/>
      <w:marLeft w:val="0"/>
      <w:marRight w:val="0"/>
      <w:marTop w:val="0"/>
      <w:marBottom w:val="0"/>
      <w:divBdr>
        <w:top w:val="none" w:sz="0" w:space="0" w:color="auto"/>
        <w:left w:val="none" w:sz="0" w:space="0" w:color="auto"/>
        <w:bottom w:val="none" w:sz="0" w:space="0" w:color="auto"/>
        <w:right w:val="none" w:sz="0" w:space="0" w:color="auto"/>
      </w:divBdr>
    </w:div>
    <w:div w:id="718474981">
      <w:bodyDiv w:val="1"/>
      <w:marLeft w:val="0"/>
      <w:marRight w:val="0"/>
      <w:marTop w:val="0"/>
      <w:marBottom w:val="0"/>
      <w:divBdr>
        <w:top w:val="none" w:sz="0" w:space="0" w:color="auto"/>
        <w:left w:val="none" w:sz="0" w:space="0" w:color="auto"/>
        <w:bottom w:val="none" w:sz="0" w:space="0" w:color="auto"/>
        <w:right w:val="none" w:sz="0" w:space="0" w:color="auto"/>
      </w:divBdr>
    </w:div>
    <w:div w:id="766774029">
      <w:bodyDiv w:val="1"/>
      <w:marLeft w:val="0"/>
      <w:marRight w:val="0"/>
      <w:marTop w:val="0"/>
      <w:marBottom w:val="0"/>
      <w:divBdr>
        <w:top w:val="none" w:sz="0" w:space="0" w:color="auto"/>
        <w:left w:val="none" w:sz="0" w:space="0" w:color="auto"/>
        <w:bottom w:val="none" w:sz="0" w:space="0" w:color="auto"/>
        <w:right w:val="none" w:sz="0" w:space="0" w:color="auto"/>
      </w:divBdr>
    </w:div>
    <w:div w:id="873930231">
      <w:bodyDiv w:val="1"/>
      <w:marLeft w:val="0"/>
      <w:marRight w:val="0"/>
      <w:marTop w:val="0"/>
      <w:marBottom w:val="0"/>
      <w:divBdr>
        <w:top w:val="none" w:sz="0" w:space="0" w:color="auto"/>
        <w:left w:val="none" w:sz="0" w:space="0" w:color="auto"/>
        <w:bottom w:val="none" w:sz="0" w:space="0" w:color="auto"/>
        <w:right w:val="none" w:sz="0" w:space="0" w:color="auto"/>
      </w:divBdr>
    </w:div>
    <w:div w:id="1299920309">
      <w:bodyDiv w:val="1"/>
      <w:marLeft w:val="0"/>
      <w:marRight w:val="0"/>
      <w:marTop w:val="0"/>
      <w:marBottom w:val="0"/>
      <w:divBdr>
        <w:top w:val="none" w:sz="0" w:space="0" w:color="auto"/>
        <w:left w:val="none" w:sz="0" w:space="0" w:color="auto"/>
        <w:bottom w:val="none" w:sz="0" w:space="0" w:color="auto"/>
        <w:right w:val="none" w:sz="0" w:space="0" w:color="auto"/>
      </w:divBdr>
    </w:div>
    <w:div w:id="1415471227">
      <w:bodyDiv w:val="1"/>
      <w:marLeft w:val="0"/>
      <w:marRight w:val="0"/>
      <w:marTop w:val="0"/>
      <w:marBottom w:val="0"/>
      <w:divBdr>
        <w:top w:val="none" w:sz="0" w:space="0" w:color="auto"/>
        <w:left w:val="none" w:sz="0" w:space="0" w:color="auto"/>
        <w:bottom w:val="none" w:sz="0" w:space="0" w:color="auto"/>
        <w:right w:val="none" w:sz="0" w:space="0" w:color="auto"/>
      </w:divBdr>
    </w:div>
    <w:div w:id="1473718215">
      <w:bodyDiv w:val="1"/>
      <w:marLeft w:val="0"/>
      <w:marRight w:val="0"/>
      <w:marTop w:val="0"/>
      <w:marBottom w:val="0"/>
      <w:divBdr>
        <w:top w:val="none" w:sz="0" w:space="0" w:color="auto"/>
        <w:left w:val="none" w:sz="0" w:space="0" w:color="auto"/>
        <w:bottom w:val="none" w:sz="0" w:space="0" w:color="auto"/>
        <w:right w:val="none" w:sz="0" w:space="0" w:color="auto"/>
      </w:divBdr>
    </w:div>
    <w:div w:id="1546454779">
      <w:bodyDiv w:val="1"/>
      <w:marLeft w:val="0"/>
      <w:marRight w:val="0"/>
      <w:marTop w:val="0"/>
      <w:marBottom w:val="0"/>
      <w:divBdr>
        <w:top w:val="none" w:sz="0" w:space="0" w:color="auto"/>
        <w:left w:val="none" w:sz="0" w:space="0" w:color="auto"/>
        <w:bottom w:val="none" w:sz="0" w:space="0" w:color="auto"/>
        <w:right w:val="none" w:sz="0" w:space="0" w:color="auto"/>
      </w:divBdr>
    </w:div>
    <w:div w:id="1557737071">
      <w:bodyDiv w:val="1"/>
      <w:marLeft w:val="0"/>
      <w:marRight w:val="0"/>
      <w:marTop w:val="0"/>
      <w:marBottom w:val="0"/>
      <w:divBdr>
        <w:top w:val="none" w:sz="0" w:space="0" w:color="auto"/>
        <w:left w:val="none" w:sz="0" w:space="0" w:color="auto"/>
        <w:bottom w:val="none" w:sz="0" w:space="0" w:color="auto"/>
        <w:right w:val="none" w:sz="0" w:space="0" w:color="auto"/>
      </w:divBdr>
    </w:div>
    <w:div w:id="1653873775">
      <w:bodyDiv w:val="1"/>
      <w:marLeft w:val="0"/>
      <w:marRight w:val="0"/>
      <w:marTop w:val="0"/>
      <w:marBottom w:val="0"/>
      <w:divBdr>
        <w:top w:val="none" w:sz="0" w:space="0" w:color="auto"/>
        <w:left w:val="none" w:sz="0" w:space="0" w:color="auto"/>
        <w:bottom w:val="none" w:sz="0" w:space="0" w:color="auto"/>
        <w:right w:val="none" w:sz="0" w:space="0" w:color="auto"/>
      </w:divBdr>
    </w:div>
    <w:div w:id="1662853821">
      <w:bodyDiv w:val="1"/>
      <w:marLeft w:val="0"/>
      <w:marRight w:val="0"/>
      <w:marTop w:val="0"/>
      <w:marBottom w:val="0"/>
      <w:divBdr>
        <w:top w:val="none" w:sz="0" w:space="0" w:color="auto"/>
        <w:left w:val="none" w:sz="0" w:space="0" w:color="auto"/>
        <w:bottom w:val="none" w:sz="0" w:space="0" w:color="auto"/>
        <w:right w:val="none" w:sz="0" w:space="0" w:color="auto"/>
      </w:divBdr>
    </w:div>
    <w:div w:id="1703440277">
      <w:bodyDiv w:val="1"/>
      <w:marLeft w:val="0"/>
      <w:marRight w:val="0"/>
      <w:marTop w:val="0"/>
      <w:marBottom w:val="0"/>
      <w:divBdr>
        <w:top w:val="none" w:sz="0" w:space="0" w:color="auto"/>
        <w:left w:val="none" w:sz="0" w:space="0" w:color="auto"/>
        <w:bottom w:val="none" w:sz="0" w:space="0" w:color="auto"/>
        <w:right w:val="none" w:sz="0" w:space="0" w:color="auto"/>
      </w:divBdr>
    </w:div>
    <w:div w:id="1771777859">
      <w:bodyDiv w:val="1"/>
      <w:marLeft w:val="0"/>
      <w:marRight w:val="0"/>
      <w:marTop w:val="0"/>
      <w:marBottom w:val="0"/>
      <w:divBdr>
        <w:top w:val="none" w:sz="0" w:space="0" w:color="auto"/>
        <w:left w:val="none" w:sz="0" w:space="0" w:color="auto"/>
        <w:bottom w:val="none" w:sz="0" w:space="0" w:color="auto"/>
        <w:right w:val="none" w:sz="0" w:space="0" w:color="auto"/>
      </w:divBdr>
    </w:div>
    <w:div w:id="1806388486">
      <w:bodyDiv w:val="1"/>
      <w:marLeft w:val="0"/>
      <w:marRight w:val="0"/>
      <w:marTop w:val="0"/>
      <w:marBottom w:val="0"/>
      <w:divBdr>
        <w:top w:val="none" w:sz="0" w:space="0" w:color="auto"/>
        <w:left w:val="none" w:sz="0" w:space="0" w:color="auto"/>
        <w:bottom w:val="none" w:sz="0" w:space="0" w:color="auto"/>
        <w:right w:val="none" w:sz="0" w:space="0" w:color="auto"/>
      </w:divBdr>
    </w:div>
    <w:div w:id="1830049111">
      <w:bodyDiv w:val="1"/>
      <w:marLeft w:val="0"/>
      <w:marRight w:val="0"/>
      <w:marTop w:val="0"/>
      <w:marBottom w:val="0"/>
      <w:divBdr>
        <w:top w:val="none" w:sz="0" w:space="0" w:color="auto"/>
        <w:left w:val="none" w:sz="0" w:space="0" w:color="auto"/>
        <w:bottom w:val="none" w:sz="0" w:space="0" w:color="auto"/>
        <w:right w:val="none" w:sz="0" w:space="0" w:color="auto"/>
      </w:divBdr>
    </w:div>
    <w:div w:id="1840534346">
      <w:bodyDiv w:val="1"/>
      <w:marLeft w:val="0"/>
      <w:marRight w:val="0"/>
      <w:marTop w:val="0"/>
      <w:marBottom w:val="0"/>
      <w:divBdr>
        <w:top w:val="none" w:sz="0" w:space="0" w:color="auto"/>
        <w:left w:val="none" w:sz="0" w:space="0" w:color="auto"/>
        <w:bottom w:val="none" w:sz="0" w:space="0" w:color="auto"/>
        <w:right w:val="none" w:sz="0" w:space="0" w:color="auto"/>
      </w:divBdr>
    </w:div>
    <w:div w:id="2064598090">
      <w:bodyDiv w:val="1"/>
      <w:marLeft w:val="0"/>
      <w:marRight w:val="0"/>
      <w:marTop w:val="0"/>
      <w:marBottom w:val="0"/>
      <w:divBdr>
        <w:top w:val="none" w:sz="0" w:space="0" w:color="auto"/>
        <w:left w:val="none" w:sz="0" w:space="0" w:color="auto"/>
        <w:bottom w:val="none" w:sz="0" w:space="0" w:color="auto"/>
        <w:right w:val="none" w:sz="0" w:space="0" w:color="auto"/>
      </w:divBdr>
    </w:div>
    <w:div w:id="2098285221">
      <w:bodyDiv w:val="1"/>
      <w:marLeft w:val="0"/>
      <w:marRight w:val="0"/>
      <w:marTop w:val="0"/>
      <w:marBottom w:val="0"/>
      <w:divBdr>
        <w:top w:val="none" w:sz="0" w:space="0" w:color="auto"/>
        <w:left w:val="none" w:sz="0" w:space="0" w:color="auto"/>
        <w:bottom w:val="none" w:sz="0" w:space="0" w:color="auto"/>
        <w:right w:val="none" w:sz="0" w:space="0" w:color="auto"/>
      </w:divBdr>
    </w:div>
    <w:div w:id="21117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9AE5-7FA6-4CD5-A805-29196226843A}"/>
</file>

<file path=customXml/itemProps2.xml><?xml version="1.0" encoding="utf-8"?>
<ds:datastoreItem xmlns:ds="http://schemas.openxmlformats.org/officeDocument/2006/customXml" ds:itemID="{B49F0806-C3A6-4D2F-8C8C-FADAD166A696}"/>
</file>

<file path=customXml/itemProps3.xml><?xml version="1.0" encoding="utf-8"?>
<ds:datastoreItem xmlns:ds="http://schemas.openxmlformats.org/officeDocument/2006/customXml" ds:itemID="{0A56500B-AAF2-4CBA-B19E-B58015AD2EDC}"/>
</file>

<file path=customXml/itemProps4.xml><?xml version="1.0" encoding="utf-8"?>
<ds:datastoreItem xmlns:ds="http://schemas.openxmlformats.org/officeDocument/2006/customXml" ds:itemID="{A90B40F2-FF00-4137-9C15-B27801EAC87C}"/>
</file>

<file path=docProps/app.xml><?xml version="1.0" encoding="utf-8"?>
<Properties xmlns="http://schemas.openxmlformats.org/officeDocument/2006/extended-properties" xmlns:vt="http://schemas.openxmlformats.org/officeDocument/2006/docPropsVTypes">
  <Template>A.dot</Template>
  <TotalTime>1</TotalTime>
  <Pages>16</Pages>
  <Words>7685</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1310163</vt:lpstr>
    </vt:vector>
  </TitlesOfParts>
  <Company>CSD</Company>
  <LinksUpToDate>false</LinksUpToDate>
  <CharactersWithSpaces>51394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Addendum - Follow-up mission to Italy in English</dc:title>
  <dc:creator>cg</dc:creator>
  <cp:keywords>A/HRC/22/44/Add.2</cp:keywords>
  <dc:description>Final</dc:description>
  <cp:lastModifiedBy>Brigoli</cp:lastModifiedBy>
  <cp:revision>2</cp:revision>
  <cp:lastPrinted>2015-07-10T14:38:00Z</cp:lastPrinted>
  <dcterms:created xsi:type="dcterms:W3CDTF">2015-08-07T07:13:00Z</dcterms:created>
  <dcterms:modified xsi:type="dcterms:W3CDTF">2015-08-07T07:13:00Z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