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87398">
        <w:trPr>
          <w:trHeight w:val="851"/>
        </w:trPr>
        <w:tc>
          <w:tcPr>
            <w:tcW w:w="1259" w:type="dxa"/>
            <w:tcBorders>
              <w:top w:val="nil"/>
              <w:left w:val="nil"/>
              <w:bottom w:val="single" w:sz="4" w:space="0" w:color="auto"/>
              <w:right w:val="nil"/>
            </w:tcBorders>
          </w:tcPr>
          <w:p w:rsidR="00787398" w:rsidRPr="00E04776" w:rsidRDefault="00E04776" w:rsidP="00E04776">
            <w:pPr>
              <w:tabs>
                <w:tab w:val="right" w:pos="850"/>
                <w:tab w:val="left" w:pos="1134"/>
                <w:tab w:val="right" w:leader="dot" w:pos="8504"/>
              </w:tabs>
              <w:spacing w:line="20" w:lineRule="exact"/>
              <w:rPr>
                <w:rStyle w:val="Emphasis"/>
                <w:sz w:val="2"/>
              </w:rPr>
            </w:pPr>
            <w:r>
              <w:rPr>
                <w:rStyle w:val="CommentReference"/>
              </w:rPr>
              <w:commentReference w:id="0"/>
            </w:r>
          </w:p>
          <w:p w:rsidR="00E04776" w:rsidRPr="00413C90" w:rsidRDefault="00E04776">
            <w:pPr>
              <w:tabs>
                <w:tab w:val="right" w:pos="850"/>
                <w:tab w:val="left" w:pos="1134"/>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rsidR="00787398" w:rsidRDefault="00787398">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87398" w:rsidRDefault="00F055F9" w:rsidP="005C5F79">
            <w:pPr>
              <w:suppressAutoHyphens w:val="0"/>
              <w:spacing w:after="20"/>
              <w:jc w:val="right"/>
            </w:pPr>
            <w:r w:rsidRPr="00F055F9">
              <w:rPr>
                <w:sz w:val="40"/>
              </w:rPr>
              <w:t>A</w:t>
            </w:r>
            <w:r>
              <w:t>/HRC/</w:t>
            </w:r>
            <w:r w:rsidR="0087558E">
              <w:t>30</w:t>
            </w:r>
            <w:r>
              <w:t>/</w:t>
            </w:r>
            <w:r w:rsidR="00DE6861">
              <w:t>36/Add.1</w:t>
            </w:r>
          </w:p>
        </w:tc>
      </w:tr>
      <w:tr w:rsidR="00787398">
        <w:trPr>
          <w:trHeight w:val="2835"/>
        </w:trPr>
        <w:tc>
          <w:tcPr>
            <w:tcW w:w="1259" w:type="dxa"/>
            <w:tcBorders>
              <w:top w:val="single" w:sz="4" w:space="0" w:color="auto"/>
              <w:left w:val="nil"/>
              <w:bottom w:val="single" w:sz="12" w:space="0" w:color="auto"/>
              <w:right w:val="nil"/>
            </w:tcBorders>
          </w:tcPr>
          <w:p w:rsidR="00787398" w:rsidRDefault="00DE6861">
            <w:pPr>
              <w:spacing w:before="120"/>
              <w:jc w:val="center"/>
            </w:pPr>
            <w:r>
              <w:rPr>
                <w:noProof/>
                <w:lang w:eastAsia="zh-CN"/>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87398" w:rsidRDefault="00787398">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F055F9" w:rsidRDefault="00F055F9" w:rsidP="00F055F9">
            <w:pPr>
              <w:suppressAutoHyphens w:val="0"/>
              <w:spacing w:before="240" w:line="240" w:lineRule="exact"/>
            </w:pPr>
            <w:r>
              <w:t>Distr.: General</w:t>
            </w:r>
          </w:p>
          <w:p w:rsidR="00F055F9" w:rsidRDefault="00CE2E4A" w:rsidP="00F055F9">
            <w:pPr>
              <w:suppressAutoHyphens w:val="0"/>
            </w:pPr>
            <w:r>
              <w:t>10</w:t>
            </w:r>
            <w:r w:rsidR="0080504E">
              <w:t xml:space="preserve"> Ju</w:t>
            </w:r>
            <w:r w:rsidR="00DB663B">
              <w:t>ly</w:t>
            </w:r>
            <w:r w:rsidR="0087558E">
              <w:t xml:space="preserve"> </w:t>
            </w:r>
            <w:r w:rsidR="00DB0E90">
              <w:t>201</w:t>
            </w:r>
            <w:r w:rsidR="00EA3406">
              <w:t>5</w:t>
            </w:r>
          </w:p>
          <w:p w:rsidR="00973C1C" w:rsidRDefault="00973C1C" w:rsidP="00406A34">
            <w:pPr>
              <w:suppressAutoHyphens w:val="0"/>
            </w:pPr>
          </w:p>
          <w:p w:rsidR="00787398" w:rsidRDefault="00F055F9" w:rsidP="00973C1C">
            <w:pPr>
              <w:suppressAutoHyphens w:val="0"/>
            </w:pPr>
            <w:r>
              <w:t xml:space="preserve">Original: </w:t>
            </w:r>
            <w:r w:rsidR="00406A34">
              <w:t>Engl</w:t>
            </w:r>
            <w:r w:rsidR="00973C1C">
              <w:t>ish</w:t>
            </w:r>
          </w:p>
          <w:p w:rsidR="008075BB" w:rsidRPr="008075BB" w:rsidRDefault="008075BB" w:rsidP="00973C1C">
            <w:pPr>
              <w:suppressAutoHyphens w:val="0"/>
              <w:rPr>
                <w:b/>
              </w:rPr>
            </w:pPr>
          </w:p>
        </w:tc>
      </w:tr>
    </w:tbl>
    <w:p w:rsidR="00956BC1" w:rsidRPr="00054674" w:rsidRDefault="00956BC1" w:rsidP="003666FC">
      <w:pPr>
        <w:spacing w:before="120"/>
        <w:rPr>
          <w:b/>
        </w:rPr>
      </w:pPr>
      <w:r>
        <w:rPr>
          <w:b/>
          <w:sz w:val="24"/>
          <w:szCs w:val="24"/>
        </w:rPr>
        <w:t>Human Rights Council</w:t>
      </w:r>
      <w:r w:rsidR="0016443B">
        <w:rPr>
          <w:b/>
          <w:sz w:val="24"/>
          <w:szCs w:val="24"/>
        </w:rPr>
        <w:t xml:space="preserve"> </w:t>
      </w:r>
      <w:r w:rsidR="00254B4A">
        <w:rPr>
          <w:b/>
          <w:sz w:val="24"/>
          <w:szCs w:val="24"/>
        </w:rPr>
        <w:br/>
      </w:r>
      <w:r>
        <w:rPr>
          <w:b/>
        </w:rPr>
        <w:t>T</w:t>
      </w:r>
      <w:r w:rsidR="00EA3406">
        <w:rPr>
          <w:b/>
        </w:rPr>
        <w:t xml:space="preserve">hirtieth </w:t>
      </w:r>
      <w:r>
        <w:rPr>
          <w:b/>
        </w:rPr>
        <w:t>session</w:t>
      </w:r>
      <w:r w:rsidR="003666FC">
        <w:rPr>
          <w:b/>
        </w:rPr>
        <w:br/>
      </w:r>
      <w:r w:rsidRPr="00054674">
        <w:t>Agenda item 3</w:t>
      </w:r>
      <w:r w:rsidR="003666FC">
        <w:br/>
      </w:r>
      <w:r w:rsidR="00310A72" w:rsidRPr="00054674">
        <w:rPr>
          <w:b/>
        </w:rPr>
        <w:t xml:space="preserve">Promotion and protection of all human rights, civil, </w:t>
      </w:r>
      <w:r w:rsidR="00116F73" w:rsidRPr="00054674">
        <w:rPr>
          <w:b/>
        </w:rPr>
        <w:br/>
      </w:r>
      <w:r w:rsidR="00310A72" w:rsidRPr="00054674">
        <w:rPr>
          <w:b/>
        </w:rPr>
        <w:t xml:space="preserve">political, economic, social and cultural rights, </w:t>
      </w:r>
      <w:r w:rsidR="00116F73" w:rsidRPr="00054674">
        <w:rPr>
          <w:b/>
        </w:rPr>
        <w:br/>
      </w:r>
      <w:r w:rsidR="00310A72" w:rsidRPr="00054674">
        <w:rPr>
          <w:b/>
        </w:rPr>
        <w:t>including the right to development</w:t>
      </w:r>
      <w:bookmarkStart w:id="1" w:name="_GoBack"/>
      <w:bookmarkEnd w:id="1"/>
    </w:p>
    <w:p w:rsidR="00F055F9" w:rsidRDefault="001D055C" w:rsidP="001D055C">
      <w:pPr>
        <w:pStyle w:val="HChG"/>
      </w:pPr>
      <w:r w:rsidRPr="00054674">
        <w:tab/>
      </w:r>
      <w:r w:rsidRPr="00054674">
        <w:tab/>
        <w:t>Report of the</w:t>
      </w:r>
      <w:r>
        <w:t xml:space="preserve"> Working Group on Arbitrary Detention</w:t>
      </w:r>
    </w:p>
    <w:p w:rsidR="001D055C" w:rsidRDefault="001D055C" w:rsidP="001D055C">
      <w:pPr>
        <w:pStyle w:val="H23G"/>
      </w:pPr>
      <w:r>
        <w:tab/>
      </w:r>
      <w:r>
        <w:tab/>
        <w:t>Addendum</w:t>
      </w:r>
    </w:p>
    <w:p w:rsidR="001D055C" w:rsidRPr="001D055C" w:rsidRDefault="001D055C" w:rsidP="00FB2189">
      <w:pPr>
        <w:pStyle w:val="H1G"/>
      </w:pPr>
      <w:r>
        <w:tab/>
      </w:r>
      <w:r>
        <w:tab/>
      </w:r>
      <w:r w:rsidR="00EA3406">
        <w:t xml:space="preserve">Follow-up </w:t>
      </w:r>
      <w:r w:rsidR="0087558E">
        <w:t>m</w:t>
      </w:r>
      <w:r>
        <w:t xml:space="preserve">ission to </w:t>
      </w:r>
      <w:r w:rsidR="00EA3406">
        <w:t>Germany</w:t>
      </w:r>
      <w:r w:rsidR="0085611C" w:rsidRPr="00DE6861">
        <w:rPr>
          <w:rStyle w:val="FootnoteReference"/>
          <w:b w:val="0"/>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7"/>
      </w:tblGrid>
      <w:tr w:rsidR="00D73E25" w:rsidRPr="004D1E93" w:rsidTr="00595341">
        <w:trPr>
          <w:jc w:val="center"/>
        </w:trPr>
        <w:tc>
          <w:tcPr>
            <w:tcW w:w="9637" w:type="dxa"/>
          </w:tcPr>
          <w:p w:rsidR="00D73E25" w:rsidRPr="004D1E93" w:rsidRDefault="00D73E25" w:rsidP="00595341">
            <w:pPr>
              <w:kinsoku w:val="0"/>
              <w:overflowPunct w:val="0"/>
              <w:autoSpaceDE w:val="0"/>
              <w:autoSpaceDN w:val="0"/>
              <w:adjustRightInd w:val="0"/>
              <w:snapToGrid w:val="0"/>
              <w:spacing w:before="240" w:after="120"/>
              <w:ind w:left="255"/>
              <w:rPr>
                <w:sz w:val="24"/>
              </w:rPr>
            </w:pPr>
            <w:r w:rsidRPr="004D1E93">
              <w:tab/>
            </w:r>
            <w:r w:rsidRPr="007627BC">
              <w:rPr>
                <w:rFonts w:eastAsia="SimSun"/>
                <w:i/>
                <w:sz w:val="24"/>
                <w:lang w:val="en-US" w:eastAsia="zh-CN"/>
              </w:rPr>
              <w:t>Summary</w:t>
            </w:r>
          </w:p>
        </w:tc>
      </w:tr>
      <w:tr w:rsidR="00254B4A" w:rsidRPr="004D1E93" w:rsidTr="00595341">
        <w:trPr>
          <w:jc w:val="center"/>
        </w:trPr>
        <w:tc>
          <w:tcPr>
            <w:tcW w:w="9637" w:type="dxa"/>
          </w:tcPr>
          <w:p w:rsidR="00254B4A" w:rsidRPr="004D1E93" w:rsidRDefault="00254B4A" w:rsidP="00D31F5B">
            <w:pPr>
              <w:pStyle w:val="SingleTxtG"/>
            </w:pPr>
            <w:r>
              <w:tab/>
            </w:r>
            <w:r w:rsidRPr="00BA0929">
              <w:t xml:space="preserve">The Working Group on Arbitrary Detention conducted a </w:t>
            </w:r>
            <w:r>
              <w:t>follow-up visit to Germany between</w:t>
            </w:r>
            <w:r w:rsidRPr="00BA0929">
              <w:t xml:space="preserve"> </w:t>
            </w:r>
            <w:r>
              <w:t xml:space="preserve">12 and 14 November 2014 </w:t>
            </w:r>
            <w:r w:rsidRPr="00BA0929">
              <w:t xml:space="preserve">at the invitation of the Government. </w:t>
            </w:r>
            <w:r w:rsidR="00D31F5B">
              <w:t>Throughout</w:t>
            </w:r>
            <w:r w:rsidR="00D31F5B" w:rsidRPr="00BA0929">
              <w:t xml:space="preserve"> </w:t>
            </w:r>
            <w:r w:rsidRPr="00BA0929">
              <w:t>the visit</w:t>
            </w:r>
            <w:r w:rsidR="00D31F5B">
              <w:t>,</w:t>
            </w:r>
            <w:r w:rsidRPr="00BA0929">
              <w:t xml:space="preserve"> the Working Group enjoyed the fullest cooperation of the Government.</w:t>
            </w:r>
          </w:p>
        </w:tc>
      </w:tr>
      <w:tr w:rsidR="00254B4A" w:rsidRPr="004D1E93" w:rsidTr="00595341">
        <w:trPr>
          <w:jc w:val="center"/>
        </w:trPr>
        <w:tc>
          <w:tcPr>
            <w:tcW w:w="9637" w:type="dxa"/>
          </w:tcPr>
          <w:p w:rsidR="00254B4A" w:rsidRPr="00254B4A" w:rsidRDefault="00254B4A" w:rsidP="007627BC">
            <w:pPr>
              <w:pStyle w:val="SingleTxtG"/>
            </w:pPr>
            <w:r>
              <w:tab/>
            </w:r>
            <w:r w:rsidRPr="00254B4A">
              <w:t xml:space="preserve">In </w:t>
            </w:r>
            <w:r w:rsidR="007627BC">
              <w:t>the present</w:t>
            </w:r>
            <w:r w:rsidR="007627BC" w:rsidRPr="00254B4A">
              <w:t xml:space="preserve"> </w:t>
            </w:r>
            <w:r w:rsidRPr="00254B4A">
              <w:t>report, the Working Group notes that reduction in prison population is a remarkable achievement for Germany</w:t>
            </w:r>
            <w:r w:rsidR="00D31F5B">
              <w:t>,</w:t>
            </w:r>
            <w:r w:rsidRPr="00254B4A">
              <w:t xml:space="preserve"> as countries struggle with the consequences of over-incarceration. The trends noted during the </w:t>
            </w:r>
            <w:r w:rsidRPr="007627BC">
              <w:t>Working Group’s 2011 visit</w:t>
            </w:r>
            <w:r w:rsidRPr="00254B4A">
              <w:t xml:space="preserve"> have continued. The constitutional discourse, giving effect to international law obligations, on the proportionality of measures limiting the liberty of individuals is active in the German political and legal system.</w:t>
            </w:r>
          </w:p>
        </w:tc>
      </w:tr>
      <w:tr w:rsidR="00254B4A" w:rsidRPr="004D1E93" w:rsidTr="00595341">
        <w:trPr>
          <w:jc w:val="center"/>
        </w:trPr>
        <w:tc>
          <w:tcPr>
            <w:tcW w:w="9637" w:type="dxa"/>
            <w:tcBorders>
              <w:bottom w:val="nil"/>
            </w:tcBorders>
          </w:tcPr>
          <w:p w:rsidR="00254B4A" w:rsidRPr="00254B4A" w:rsidRDefault="00254B4A" w:rsidP="00254B4A">
            <w:pPr>
              <w:pStyle w:val="SingleTxtG"/>
            </w:pPr>
            <w:r>
              <w:tab/>
            </w:r>
            <w:r w:rsidRPr="00254B4A">
              <w:t xml:space="preserve">The Working Group considers that the German sentencing regime and the review of </w:t>
            </w:r>
            <w:proofErr w:type="spellStart"/>
            <w:r w:rsidRPr="00254B4A">
              <w:t>pretrial</w:t>
            </w:r>
            <w:proofErr w:type="spellEnd"/>
            <w:r w:rsidRPr="00254B4A">
              <w:t xml:space="preserve"> detention </w:t>
            </w:r>
            <w:proofErr w:type="gramStart"/>
            <w:r w:rsidRPr="00254B4A">
              <w:t>constitutes</w:t>
            </w:r>
            <w:proofErr w:type="gramEnd"/>
            <w:r w:rsidRPr="00254B4A">
              <w:t xml:space="preserve"> international best practice.</w:t>
            </w:r>
          </w:p>
        </w:tc>
      </w:tr>
      <w:tr w:rsidR="00254B4A" w:rsidRPr="004D1E93" w:rsidTr="00595341">
        <w:trPr>
          <w:jc w:val="center"/>
        </w:trPr>
        <w:tc>
          <w:tcPr>
            <w:tcW w:w="9637" w:type="dxa"/>
            <w:tcBorders>
              <w:top w:val="nil"/>
              <w:bottom w:val="nil"/>
            </w:tcBorders>
          </w:tcPr>
          <w:p w:rsidR="00254B4A" w:rsidRPr="00254B4A" w:rsidRDefault="00254B4A" w:rsidP="00DB663B">
            <w:pPr>
              <w:pStyle w:val="SingleTxtG"/>
            </w:pPr>
            <w:r>
              <w:tab/>
            </w:r>
            <w:r w:rsidRPr="00254B4A">
              <w:t>Necessity and proportionality under international law require alternatives to</w:t>
            </w:r>
            <w:r w:rsidR="00EC3620">
              <w:t xml:space="preserve"> </w:t>
            </w:r>
            <w:r w:rsidR="007627BC">
              <w:t xml:space="preserve">the </w:t>
            </w:r>
            <w:r w:rsidRPr="00254B4A">
              <w:t xml:space="preserve">detention of migrants who do not </w:t>
            </w:r>
            <w:r w:rsidR="00F40480">
              <w:t>obtain</w:t>
            </w:r>
            <w:r w:rsidR="00F40480" w:rsidRPr="00254B4A">
              <w:t xml:space="preserve"> </w:t>
            </w:r>
            <w:r w:rsidR="00F40480">
              <w:t>the</w:t>
            </w:r>
            <w:r w:rsidRPr="00254B4A">
              <w:t xml:space="preserve"> right to remain in the country. International law</w:t>
            </w:r>
            <w:r w:rsidR="007627BC">
              <w:t>,</w:t>
            </w:r>
            <w:r w:rsidRPr="00254B4A">
              <w:t xml:space="preserve"> </w:t>
            </w:r>
            <w:r w:rsidRPr="007627BC">
              <w:t>restated</w:t>
            </w:r>
            <w:r w:rsidRPr="00254B4A">
              <w:t xml:space="preserve"> in the jurisprudence of the Working Group, requires that migration-related detention is a last resort and only for the shortest period of time. The Working Group requests the Government to reduce the length of the detention to the period of time strictly necessary for identification.</w:t>
            </w:r>
            <w:r w:rsidR="003B14C5">
              <w:t xml:space="preserve"> </w:t>
            </w:r>
            <w:r w:rsidRPr="00254B4A">
              <w:t>To safeguard the rights of asylum seekers and refugees</w:t>
            </w:r>
            <w:r w:rsidR="007627BC">
              <w:t>,</w:t>
            </w:r>
            <w:r w:rsidRPr="00254B4A">
              <w:t xml:space="preserve"> the Government is requested to prohibit pre-deportation custody orders against </w:t>
            </w:r>
            <w:r w:rsidRPr="00254B4A">
              <w:lastRenderedPageBreak/>
              <w:t>persons belonging to particularly vulnerable groups, such as unaccompanied minors. The Government is also requested to take steps to prevent human rights violations during deportations.</w:t>
            </w:r>
          </w:p>
        </w:tc>
      </w:tr>
      <w:tr w:rsidR="00254B4A" w:rsidRPr="004D1E93" w:rsidTr="00595341">
        <w:trPr>
          <w:jc w:val="center"/>
        </w:trPr>
        <w:tc>
          <w:tcPr>
            <w:tcW w:w="9637" w:type="dxa"/>
            <w:tcBorders>
              <w:top w:val="nil"/>
            </w:tcBorders>
          </w:tcPr>
          <w:p w:rsidR="00254B4A" w:rsidRDefault="00254B4A" w:rsidP="00103405">
            <w:pPr>
              <w:pStyle w:val="SingleTxtG"/>
            </w:pPr>
            <w:r>
              <w:lastRenderedPageBreak/>
              <w:tab/>
            </w:r>
            <w:r w:rsidRPr="00254B4A">
              <w:t>The report makes reference to the process of giving effect to international law requirements to the post-sentence preventive detention regime (</w:t>
            </w:r>
            <w:proofErr w:type="spellStart"/>
            <w:r w:rsidRPr="004168B8">
              <w:rPr>
                <w:i/>
              </w:rPr>
              <w:t>Sicherungsverwahrung</w:t>
            </w:r>
            <w:proofErr w:type="spellEnd"/>
            <w:r w:rsidRPr="00254B4A">
              <w:t xml:space="preserve">) which continues in a dialogue with the European Court of Human Rights. The Working Group notes that violations of the </w:t>
            </w:r>
            <w:r w:rsidR="007627BC" w:rsidRPr="004168B8">
              <w:rPr>
                <w:iCs/>
              </w:rPr>
              <w:t>Convention</w:t>
            </w:r>
            <w:r w:rsidR="007627BC" w:rsidRPr="007627BC">
              <w:t> for the Protection of</w:t>
            </w:r>
            <w:r w:rsidR="007627BC">
              <w:t xml:space="preserve"> </w:t>
            </w:r>
            <w:r w:rsidR="007627BC" w:rsidRPr="004168B8">
              <w:rPr>
                <w:iCs/>
              </w:rPr>
              <w:t>Human</w:t>
            </w:r>
            <w:r w:rsidR="007627BC" w:rsidRPr="007627BC">
              <w:t> </w:t>
            </w:r>
            <w:r w:rsidR="007627BC" w:rsidRPr="004168B8">
              <w:rPr>
                <w:iCs/>
              </w:rPr>
              <w:t>Rights</w:t>
            </w:r>
            <w:r w:rsidR="007627BC" w:rsidRPr="007627BC">
              <w:t> and Fundamental Freedoms</w:t>
            </w:r>
            <w:r w:rsidR="007627BC" w:rsidRPr="007627BC" w:rsidDel="007627BC">
              <w:t xml:space="preserve"> </w:t>
            </w:r>
            <w:r w:rsidRPr="00254B4A">
              <w:t>also constitute violations of international law.</w:t>
            </w:r>
            <w:r w:rsidR="003B14C5">
              <w:t xml:space="preserve"> </w:t>
            </w:r>
            <w:r w:rsidRPr="00254B4A">
              <w:t xml:space="preserve">The International Covenant on Civil and Political Rights and customary international law require that additional detention be justified by compelling reasons </w:t>
            </w:r>
            <w:r w:rsidR="007627BC">
              <w:t xml:space="preserve">arising </w:t>
            </w:r>
            <w:r w:rsidRPr="00254B4A">
              <w:t>from the gravity of the crimes committed and the likelihood of similar crimes</w:t>
            </w:r>
            <w:r w:rsidR="00103405">
              <w:t xml:space="preserve"> being committed</w:t>
            </w:r>
            <w:r w:rsidRPr="00254B4A">
              <w:t xml:space="preserve"> in the future. Such detention is a last resort, and regular periodic reviews by an independent body must be </w:t>
            </w:r>
            <w:r w:rsidR="007627BC">
              <w:t>ensured</w:t>
            </w:r>
            <w:r w:rsidR="007627BC" w:rsidRPr="00254B4A">
              <w:t xml:space="preserve"> </w:t>
            </w:r>
            <w:r w:rsidRPr="00254B4A">
              <w:t>to decide whether continued detention is justified.</w:t>
            </w:r>
          </w:p>
        </w:tc>
      </w:tr>
      <w:tr w:rsidR="00254B4A" w:rsidRPr="004D1E93" w:rsidTr="00595341">
        <w:trPr>
          <w:jc w:val="center"/>
        </w:trPr>
        <w:tc>
          <w:tcPr>
            <w:tcW w:w="9637" w:type="dxa"/>
          </w:tcPr>
          <w:p w:rsidR="00254B4A" w:rsidRDefault="00254B4A" w:rsidP="00254B4A">
            <w:pPr>
              <w:pStyle w:val="SingleTxtG"/>
            </w:pPr>
            <w:r>
              <w:tab/>
            </w:r>
            <w:r w:rsidRPr="00254B4A">
              <w:t>According to the report, certain detention regimes and restrictions on personal liberty that under international law are considered punishment are not</w:t>
            </w:r>
            <w:r w:rsidR="007627BC">
              <w:t xml:space="preserve"> considered as such</w:t>
            </w:r>
            <w:r w:rsidRPr="00254B4A">
              <w:t xml:space="preserve"> under German law, and consequently there are different guarantees against retroactivity, including less effective remedies.</w:t>
            </w:r>
          </w:p>
        </w:tc>
      </w:tr>
      <w:tr w:rsidR="00254B4A" w:rsidRPr="004D1E93" w:rsidTr="00595341">
        <w:trPr>
          <w:jc w:val="center"/>
        </w:trPr>
        <w:tc>
          <w:tcPr>
            <w:tcW w:w="9637" w:type="dxa"/>
          </w:tcPr>
          <w:p w:rsidR="00254B4A" w:rsidRDefault="00254B4A" w:rsidP="00254B4A">
            <w:pPr>
              <w:pStyle w:val="SingleTxtG"/>
            </w:pPr>
            <w:r>
              <w:tab/>
            </w:r>
            <w:r w:rsidRPr="00254B4A">
              <w:t xml:space="preserve">The Working Group repeats its recommendations that members of the police in all </w:t>
            </w:r>
            <w:proofErr w:type="spellStart"/>
            <w:r w:rsidRPr="00254B4A">
              <w:t>Länder</w:t>
            </w:r>
            <w:proofErr w:type="spellEnd"/>
            <w:r w:rsidRPr="00254B4A">
              <w:t xml:space="preserve"> should be effectively identifiable so that they can be held accountable. The Working Group follows the development of best practices that comply with international law, including obligatory identification badges in Berlin and other </w:t>
            </w:r>
            <w:proofErr w:type="spellStart"/>
            <w:r w:rsidRPr="00254B4A">
              <w:t>Länder</w:t>
            </w:r>
            <w:proofErr w:type="spellEnd"/>
            <w:r w:rsidRPr="00254B4A">
              <w:t>. The Working Group welcomes continued dialogue on this issue and on independent complaints mechanisms open to all individuals.</w:t>
            </w:r>
          </w:p>
        </w:tc>
      </w:tr>
      <w:tr w:rsidR="00254B4A" w:rsidRPr="004D1E93" w:rsidTr="00595341">
        <w:trPr>
          <w:jc w:val="center"/>
        </w:trPr>
        <w:tc>
          <w:tcPr>
            <w:tcW w:w="9637" w:type="dxa"/>
          </w:tcPr>
          <w:p w:rsidR="00254B4A" w:rsidRPr="00254B4A" w:rsidRDefault="00254B4A" w:rsidP="00254B4A">
            <w:pPr>
              <w:pStyle w:val="SingleTxtG"/>
            </w:pPr>
            <w:r>
              <w:tab/>
            </w:r>
            <w:r w:rsidRPr="00254B4A">
              <w:t>In its recommendations, the Working Group asks the Government not to limit court review of deportation orders, and to build on the achievements in reducing the number of foreigners awaiting deportation in detention. International law and the principle of the rule of law require that individuals retain the right to court review when faced with deportation.</w:t>
            </w:r>
          </w:p>
        </w:tc>
      </w:tr>
      <w:tr w:rsidR="00254B4A" w:rsidRPr="004D1E93" w:rsidTr="00595341">
        <w:trPr>
          <w:jc w:val="center"/>
        </w:trPr>
        <w:tc>
          <w:tcPr>
            <w:tcW w:w="9637" w:type="dxa"/>
          </w:tcPr>
          <w:p w:rsidR="00254B4A" w:rsidRDefault="00254B4A" w:rsidP="00254B4A">
            <w:pPr>
              <w:pStyle w:val="SingleTxtG"/>
            </w:pPr>
            <w:r>
              <w:tab/>
            </w:r>
            <w:r w:rsidRPr="00254B4A">
              <w:t>Detention is the last resort and only allowed when necessary and proportionate, and when there are no less burdensome alternatives.</w:t>
            </w:r>
          </w:p>
        </w:tc>
      </w:tr>
      <w:tr w:rsidR="00D73E25" w:rsidRPr="00BA0929" w:rsidTr="00A55565">
        <w:trPr>
          <w:jc w:val="center"/>
        </w:trPr>
        <w:tc>
          <w:tcPr>
            <w:tcW w:w="9637" w:type="dxa"/>
          </w:tcPr>
          <w:p w:rsidR="00D73E25" w:rsidRPr="00BA0929" w:rsidRDefault="00D73E25" w:rsidP="00D73E25">
            <w:pPr>
              <w:suppressAutoHyphens w:val="0"/>
              <w:rPr>
                <w:highlight w:val="yellow"/>
              </w:rPr>
            </w:pPr>
          </w:p>
        </w:tc>
      </w:tr>
    </w:tbl>
    <w:p w:rsidR="008F7A63" w:rsidRPr="00F31249" w:rsidRDefault="003A3F75" w:rsidP="008F7A63">
      <w:pPr>
        <w:pStyle w:val="HChG"/>
      </w:pPr>
      <w:r w:rsidRPr="00BA0929">
        <w:rPr>
          <w:color w:val="FF0000"/>
          <w:highlight w:val="yellow"/>
        </w:rPr>
        <w:br w:type="page"/>
      </w:r>
      <w:r w:rsidR="008F7A63" w:rsidRPr="00F31249">
        <w:lastRenderedPageBreak/>
        <w:t>Annex</w:t>
      </w:r>
    </w:p>
    <w:p w:rsidR="008F7A63" w:rsidRPr="00DE6861" w:rsidRDefault="008F7A63" w:rsidP="00DE6861">
      <w:pPr>
        <w:ind w:right="1134"/>
        <w:jc w:val="right"/>
        <w:rPr>
          <w:i/>
        </w:rPr>
      </w:pPr>
      <w:r w:rsidRPr="00DE6861">
        <w:rPr>
          <w:i/>
          <w:lang w:val="en-US"/>
        </w:rPr>
        <w:t>[English only]</w:t>
      </w:r>
    </w:p>
    <w:p w:rsidR="004168B8" w:rsidRDefault="002F1D94" w:rsidP="004168B8">
      <w:pPr>
        <w:pStyle w:val="HChG"/>
      </w:pPr>
      <w:r w:rsidRPr="002C2C87">
        <w:tab/>
      </w:r>
      <w:r w:rsidRPr="002C2C87">
        <w:tab/>
        <w:t xml:space="preserve">Report of the Working Group on Arbitrary Detention </w:t>
      </w:r>
      <w:r w:rsidR="00B609DD">
        <w:br/>
      </w:r>
      <w:r w:rsidRPr="002C2C87">
        <w:t xml:space="preserve">on its visit to </w:t>
      </w:r>
      <w:r w:rsidR="002A1EC4">
        <w:t xml:space="preserve">Germany </w:t>
      </w:r>
      <w:r w:rsidR="002C2C87" w:rsidRPr="002C2C87">
        <w:t>(</w:t>
      </w:r>
      <w:r w:rsidR="002A1EC4">
        <w:t>12</w:t>
      </w:r>
      <w:r w:rsidR="00B609DD">
        <w:t>–</w:t>
      </w:r>
      <w:r w:rsidR="002A1EC4">
        <w:t>14 November 2014</w:t>
      </w:r>
      <w:r w:rsidR="002C2C87" w:rsidRPr="002C2C87">
        <w:t>)</w:t>
      </w:r>
    </w:p>
    <w:p w:rsidR="00A56DE8" w:rsidRPr="0087558E" w:rsidRDefault="004168B8" w:rsidP="004168B8">
      <w:pPr>
        <w:pStyle w:val="HChG"/>
        <w:rPr>
          <w:lang w:val="fr-CH"/>
        </w:rPr>
      </w:pPr>
      <w:r>
        <w:tab/>
      </w:r>
      <w:r w:rsidR="00A56DE8" w:rsidRPr="0087558E">
        <w:rPr>
          <w:lang w:val="fr-CH"/>
        </w:rPr>
        <w:t>I.</w:t>
      </w:r>
      <w:r w:rsidR="00A56DE8" w:rsidRPr="0087558E">
        <w:rPr>
          <w:lang w:val="fr-CH"/>
        </w:rPr>
        <w:tab/>
        <w:t>Introduction</w:t>
      </w:r>
    </w:p>
    <w:p w:rsidR="006E526D" w:rsidRPr="00653C55" w:rsidRDefault="00E134A7" w:rsidP="00DB663B">
      <w:pPr>
        <w:pStyle w:val="SingleTxtG"/>
        <w:numPr>
          <w:ilvl w:val="2"/>
          <w:numId w:val="7"/>
        </w:numPr>
        <w:tabs>
          <w:tab w:val="clear" w:pos="2774"/>
        </w:tabs>
        <w:ind w:left="1134" w:firstLine="0"/>
      </w:pPr>
      <w:r w:rsidRPr="00653C55">
        <w:t>T</w:t>
      </w:r>
      <w:r w:rsidR="00A56DE8" w:rsidRPr="00653C55">
        <w:t xml:space="preserve">he Working Group on Arbitrary Detention, established pursuant to former Commission on Human Rights resolution 1991/42, whose mandate was clarified by Commission resolution 1997/50, and extended for a further three-year period by Human Rights Council resolution </w:t>
      </w:r>
      <w:r w:rsidR="006E526D" w:rsidRPr="00653C55">
        <w:t xml:space="preserve">24/7 of 26 September </w:t>
      </w:r>
      <w:r w:rsidR="00A56DE8" w:rsidRPr="00653C55">
        <w:t xml:space="preserve">2013, conducted a </w:t>
      </w:r>
      <w:r w:rsidR="00675705" w:rsidRPr="00653C55">
        <w:t xml:space="preserve">follow-up </w:t>
      </w:r>
      <w:r w:rsidR="00A56DE8" w:rsidRPr="00653C55">
        <w:t>country</w:t>
      </w:r>
      <w:r w:rsidR="00BB721B" w:rsidRPr="00653C55">
        <w:t xml:space="preserve"> </w:t>
      </w:r>
      <w:r w:rsidR="008C0517" w:rsidRPr="00653C55">
        <w:t xml:space="preserve">visit to </w:t>
      </w:r>
      <w:r w:rsidR="00675705" w:rsidRPr="00653C55">
        <w:t xml:space="preserve">Germany </w:t>
      </w:r>
      <w:r w:rsidR="00A56DE8" w:rsidRPr="00653C55">
        <w:t xml:space="preserve">from </w:t>
      </w:r>
      <w:r w:rsidR="00BB721B" w:rsidRPr="00653C55">
        <w:t xml:space="preserve">12 to 14 November </w:t>
      </w:r>
      <w:r w:rsidR="008C0517" w:rsidRPr="00653C55">
        <w:t>2014 at</w:t>
      </w:r>
      <w:r w:rsidR="00A56DE8" w:rsidRPr="00653C55">
        <w:t xml:space="preserve"> the invitation of its Government.</w:t>
      </w:r>
      <w:r w:rsidR="003B14C5" w:rsidRPr="00653C55">
        <w:t xml:space="preserve"> </w:t>
      </w:r>
      <w:r w:rsidR="00A56DE8" w:rsidRPr="00653C55">
        <w:t xml:space="preserve">The Working Group </w:t>
      </w:r>
      <w:r w:rsidR="00675705" w:rsidRPr="00653C55">
        <w:t>was represented by its Chair-</w:t>
      </w:r>
      <w:r w:rsidR="00A56DE8" w:rsidRPr="00653C55">
        <w:t>Rapporteur</w:t>
      </w:r>
      <w:r w:rsidR="00675705" w:rsidRPr="00653C55">
        <w:t>,</w:t>
      </w:r>
      <w:r w:rsidR="003B14C5" w:rsidRPr="00653C55">
        <w:t xml:space="preserve"> </w:t>
      </w:r>
      <w:r w:rsidR="00675705" w:rsidRPr="00653C55">
        <w:t xml:space="preserve">Mads </w:t>
      </w:r>
      <w:proofErr w:type="spellStart"/>
      <w:r w:rsidR="00675705" w:rsidRPr="00653C55">
        <w:t>Andenas</w:t>
      </w:r>
      <w:proofErr w:type="spellEnd"/>
      <w:r w:rsidR="00675705" w:rsidRPr="00653C55">
        <w:t xml:space="preserve"> (Norway). He was </w:t>
      </w:r>
      <w:r w:rsidR="00A56DE8" w:rsidRPr="00653C55">
        <w:t>accompanied by the Secretary of the Working Group</w:t>
      </w:r>
      <w:r w:rsidR="006E3EA5" w:rsidRPr="00653C55">
        <w:t xml:space="preserve"> a</w:t>
      </w:r>
      <w:r w:rsidR="00A56DE8" w:rsidRPr="00653C55">
        <w:t xml:space="preserve">nd </w:t>
      </w:r>
      <w:r w:rsidR="006E3EA5" w:rsidRPr="00653C55">
        <w:t xml:space="preserve">two interpreters. </w:t>
      </w:r>
    </w:p>
    <w:p w:rsidR="00A56DE8" w:rsidRPr="00653C55" w:rsidRDefault="00D22CB4" w:rsidP="00283359">
      <w:pPr>
        <w:pStyle w:val="SingleTxtG"/>
        <w:numPr>
          <w:ilvl w:val="2"/>
          <w:numId w:val="7"/>
        </w:numPr>
        <w:tabs>
          <w:tab w:val="clear" w:pos="2774"/>
        </w:tabs>
        <w:ind w:left="1134" w:firstLine="0"/>
      </w:pPr>
      <w:r>
        <w:t>Throughout the</w:t>
      </w:r>
      <w:r w:rsidR="00A56DE8" w:rsidRPr="00653C55">
        <w:t xml:space="preserve"> </w:t>
      </w:r>
      <w:r w:rsidR="006E526D" w:rsidRPr="00653C55">
        <w:t xml:space="preserve">follow-up </w:t>
      </w:r>
      <w:r w:rsidR="00A56DE8" w:rsidRPr="00653C55">
        <w:t xml:space="preserve">visit and in all respects, the Working Group enjoyed the fullest cooperation of the Government of </w:t>
      </w:r>
      <w:r w:rsidR="006E3EA5" w:rsidRPr="00653C55">
        <w:t xml:space="preserve">Germany </w:t>
      </w:r>
      <w:r w:rsidR="00A56DE8" w:rsidRPr="00653C55">
        <w:t>and all authorities</w:t>
      </w:r>
      <w:r>
        <w:t xml:space="preserve"> with which</w:t>
      </w:r>
      <w:r w:rsidR="00A56DE8" w:rsidRPr="00653C55">
        <w:t xml:space="preserve"> it dealt. The Working Group would like to extend its gratitude and appreciation to the Government for its quick and prompt response to the Working Group’s request to </w:t>
      </w:r>
      <w:r w:rsidR="006E526D" w:rsidRPr="00653C55">
        <w:t xml:space="preserve">carry out its follow-up </w:t>
      </w:r>
      <w:r w:rsidR="00A56DE8" w:rsidRPr="00653C55">
        <w:t>visit</w:t>
      </w:r>
      <w:r w:rsidR="006E526D" w:rsidRPr="00653C55">
        <w:t>.</w:t>
      </w:r>
      <w:r w:rsidR="003B14C5" w:rsidRPr="00653C55">
        <w:t xml:space="preserve"> </w:t>
      </w:r>
      <w:r w:rsidR="00A56DE8" w:rsidRPr="00653C55">
        <w:t xml:space="preserve">This </w:t>
      </w:r>
      <w:r>
        <w:t>should</w:t>
      </w:r>
      <w:r w:rsidRPr="00653C55">
        <w:t xml:space="preserve"> </w:t>
      </w:r>
      <w:r w:rsidR="00A56DE8" w:rsidRPr="00653C55">
        <w:t>indeed be highlighted</w:t>
      </w:r>
      <w:r>
        <w:t>,</w:t>
      </w:r>
      <w:r w:rsidR="00A56DE8" w:rsidRPr="00653C55">
        <w:t xml:space="preserve"> as it displays the willingness of this Government to cooperate with </w:t>
      </w:r>
      <w:r>
        <w:t xml:space="preserve">the </w:t>
      </w:r>
      <w:r w:rsidR="00A56DE8" w:rsidRPr="00653C55">
        <w:t>Working Group</w:t>
      </w:r>
      <w:r w:rsidR="006E526D" w:rsidRPr="00653C55">
        <w:t xml:space="preserve"> and, in general, the special </w:t>
      </w:r>
      <w:r w:rsidR="00DE5DC1" w:rsidRPr="00653C55">
        <w:t>procedure</w:t>
      </w:r>
      <w:r w:rsidR="00A56DE8" w:rsidRPr="00653C55">
        <w:t xml:space="preserve"> mandate</w:t>
      </w:r>
      <w:r>
        <w:t xml:space="preserve"> holder</w:t>
      </w:r>
      <w:r w:rsidR="006E526D" w:rsidRPr="00653C55">
        <w:t>s</w:t>
      </w:r>
      <w:r w:rsidR="00A56DE8" w:rsidRPr="00653C55">
        <w:t>.</w:t>
      </w:r>
    </w:p>
    <w:p w:rsidR="007E3E69" w:rsidRPr="00653C55" w:rsidRDefault="007E3E69" w:rsidP="007E3E69">
      <w:pPr>
        <w:pStyle w:val="SingleTxtG"/>
        <w:numPr>
          <w:ilvl w:val="2"/>
          <w:numId w:val="7"/>
        </w:numPr>
        <w:tabs>
          <w:tab w:val="clear" w:pos="2774"/>
        </w:tabs>
        <w:ind w:left="1134" w:firstLine="0"/>
      </w:pPr>
      <w:r w:rsidRPr="00653C55">
        <w:t>The Federal Government observes that it had been agreed between the Working Group and the Government that the official discussions during the visit should, due to the short notice of the visit, focus on the question of preventive detention and the reforms in this area since 2011. All information about other areas of law contained in the report are therefore based on information received by the Working Group from other sources and do not represent the outcome of any substantive discussions with the Federal Government.</w:t>
      </w:r>
    </w:p>
    <w:p w:rsidR="00A56DE8" w:rsidRPr="00653C55" w:rsidRDefault="00A56DE8" w:rsidP="00283359">
      <w:pPr>
        <w:pStyle w:val="SingleTxtG"/>
        <w:numPr>
          <w:ilvl w:val="2"/>
          <w:numId w:val="7"/>
        </w:numPr>
        <w:tabs>
          <w:tab w:val="clear" w:pos="2774"/>
        </w:tabs>
        <w:ind w:left="1134" w:firstLine="0"/>
      </w:pPr>
      <w:r w:rsidRPr="00653C55">
        <w:t>The Working Group</w:t>
      </w:r>
      <w:r w:rsidR="006E526D" w:rsidRPr="00653C55">
        <w:t xml:space="preserve"> </w:t>
      </w:r>
      <w:r w:rsidR="00D22CB4">
        <w:t>was able to</w:t>
      </w:r>
      <w:r w:rsidR="00D22CB4" w:rsidRPr="00653C55">
        <w:t xml:space="preserve"> </w:t>
      </w:r>
      <w:r w:rsidR="00DE5DC1" w:rsidRPr="00653C55">
        <w:t>meet</w:t>
      </w:r>
      <w:r w:rsidR="00D22CB4">
        <w:t xml:space="preserve"> with</w:t>
      </w:r>
      <w:r w:rsidRPr="00653C55">
        <w:t xml:space="preserve"> and interview detainees confidentially as required by its mandate. </w:t>
      </w:r>
    </w:p>
    <w:p w:rsidR="00A56DE8" w:rsidRPr="00653C55" w:rsidRDefault="00A56DE8" w:rsidP="00283359">
      <w:pPr>
        <w:pStyle w:val="SingleTxtG"/>
        <w:numPr>
          <w:ilvl w:val="2"/>
          <w:numId w:val="7"/>
        </w:numPr>
        <w:tabs>
          <w:tab w:val="clear" w:pos="2774"/>
        </w:tabs>
        <w:ind w:left="1134" w:firstLine="0"/>
      </w:pPr>
      <w:r w:rsidRPr="00653C55">
        <w:t xml:space="preserve">The Working Group would also like to thank the representatives of </w:t>
      </w:r>
      <w:r w:rsidR="006E3EA5" w:rsidRPr="00653C55">
        <w:t xml:space="preserve">German </w:t>
      </w:r>
      <w:r w:rsidRPr="00653C55">
        <w:t xml:space="preserve">civil society for </w:t>
      </w:r>
      <w:r w:rsidR="00D22CB4">
        <w:t>their</w:t>
      </w:r>
      <w:r w:rsidR="00D22CB4" w:rsidRPr="00653C55">
        <w:t xml:space="preserve"> </w:t>
      </w:r>
      <w:r w:rsidRPr="00653C55">
        <w:t xml:space="preserve">support during the </w:t>
      </w:r>
      <w:r w:rsidR="006E3EA5" w:rsidRPr="00653C55">
        <w:t xml:space="preserve">visit, </w:t>
      </w:r>
      <w:r w:rsidRPr="00653C55">
        <w:t>particularly representatives of</w:t>
      </w:r>
      <w:r w:rsidR="006E526D" w:rsidRPr="00653C55">
        <w:t xml:space="preserve"> the national human rights institution</w:t>
      </w:r>
      <w:r w:rsidR="00D22CB4">
        <w:t xml:space="preserve"> and</w:t>
      </w:r>
      <w:r w:rsidR="006E526D" w:rsidRPr="00653C55">
        <w:t xml:space="preserve"> </w:t>
      </w:r>
      <w:r w:rsidRPr="00653C55">
        <w:t>non-governmental organizations</w:t>
      </w:r>
      <w:r w:rsidR="00D22CB4">
        <w:t>,</w:t>
      </w:r>
      <w:r w:rsidRPr="00653C55">
        <w:t xml:space="preserve"> human rights defenders</w:t>
      </w:r>
      <w:r w:rsidR="00D22CB4">
        <w:t>,</w:t>
      </w:r>
      <w:r w:rsidRPr="00653C55">
        <w:t xml:space="preserve"> lawyers, academics and jurists</w:t>
      </w:r>
      <w:r w:rsidR="00D22CB4">
        <w:t>,</w:t>
      </w:r>
      <w:r w:rsidRPr="00653C55">
        <w:t xml:space="preserve"> who met </w:t>
      </w:r>
      <w:r w:rsidR="00D22CB4">
        <w:t xml:space="preserve">with </w:t>
      </w:r>
      <w:r w:rsidRPr="00653C55">
        <w:t xml:space="preserve">the delegation and provided the Working Group with important information and assistance. Additionally, the Working Group wishes to thank colleagues at </w:t>
      </w:r>
      <w:r w:rsidR="00D22CB4">
        <w:t>the Office of the United Nations High Commissioner for Refugees</w:t>
      </w:r>
      <w:r w:rsidR="00D22CB4" w:rsidRPr="00653C55">
        <w:t xml:space="preserve"> </w:t>
      </w:r>
      <w:r w:rsidRPr="00653C55">
        <w:t xml:space="preserve">for their valuable assistance. </w:t>
      </w:r>
    </w:p>
    <w:p w:rsidR="00A56DE8" w:rsidRPr="002C2C87" w:rsidRDefault="00A56DE8" w:rsidP="00A56DE8">
      <w:pPr>
        <w:pStyle w:val="HChG"/>
      </w:pPr>
      <w:bookmarkStart w:id="2" w:name="_Toc226784839"/>
      <w:r w:rsidRPr="002C2C87">
        <w:rPr>
          <w:color w:val="FF0000"/>
        </w:rPr>
        <w:tab/>
      </w:r>
      <w:r w:rsidRPr="002C2C87">
        <w:t>II.</w:t>
      </w:r>
      <w:r w:rsidRPr="002C2C87">
        <w:tab/>
        <w:t xml:space="preserve">Programme of the </w:t>
      </w:r>
      <w:r w:rsidR="006E3EA5">
        <w:t xml:space="preserve">follow-up </w:t>
      </w:r>
      <w:r w:rsidRPr="002C2C87">
        <w:t>visit</w:t>
      </w:r>
      <w:bookmarkEnd w:id="2"/>
    </w:p>
    <w:p w:rsidR="00BB721B" w:rsidRDefault="00A56DE8" w:rsidP="00DB663B">
      <w:pPr>
        <w:pStyle w:val="SingleTxtG"/>
        <w:numPr>
          <w:ilvl w:val="2"/>
          <w:numId w:val="7"/>
        </w:numPr>
        <w:tabs>
          <w:tab w:val="clear" w:pos="2774"/>
        </w:tabs>
        <w:ind w:left="1134" w:firstLine="0"/>
      </w:pPr>
      <w:r>
        <w:t xml:space="preserve">The Working Group met with senior authorities from the executive, legislative and judicial branches of the State, including </w:t>
      </w:r>
      <w:r w:rsidR="00BB721B">
        <w:t xml:space="preserve">representatives of the Ministries </w:t>
      </w:r>
      <w:r w:rsidR="00760327">
        <w:t xml:space="preserve">of </w:t>
      </w:r>
      <w:r w:rsidR="00BB721B">
        <w:t xml:space="preserve">Foreign Affairs, Interior and Justice; </w:t>
      </w:r>
      <w:r>
        <w:t xml:space="preserve">members of the </w:t>
      </w:r>
      <w:r w:rsidR="006E526D">
        <w:t xml:space="preserve">Committee on Legal Affairs and Consumer </w:t>
      </w:r>
      <w:r w:rsidR="00760327">
        <w:t>P</w:t>
      </w:r>
      <w:r w:rsidR="006E526D">
        <w:t xml:space="preserve">rotection of the </w:t>
      </w:r>
      <w:proofErr w:type="spellStart"/>
      <w:r w:rsidR="006E526D">
        <w:t>Deutscher</w:t>
      </w:r>
      <w:proofErr w:type="spellEnd"/>
      <w:r w:rsidR="006E526D">
        <w:t xml:space="preserve"> Bundestag (</w:t>
      </w:r>
      <w:r>
        <w:t>Parliamen</w:t>
      </w:r>
      <w:r w:rsidR="00BB721B">
        <w:t>t</w:t>
      </w:r>
      <w:r w:rsidR="006E526D">
        <w:t>)</w:t>
      </w:r>
      <w:r w:rsidR="00BB721B">
        <w:t>; magistrates; judges; prosecutors</w:t>
      </w:r>
      <w:r w:rsidR="008C0517">
        <w:t>; and</w:t>
      </w:r>
      <w:r w:rsidR="00BB721B">
        <w:t xml:space="preserve"> public defenders and repre</w:t>
      </w:r>
      <w:r w:rsidR="00D81ECC">
        <w:t>sen</w:t>
      </w:r>
      <w:r w:rsidR="00BB721B">
        <w:t xml:space="preserve">tatives of the Berlin Senate Department </w:t>
      </w:r>
      <w:r w:rsidR="00760327">
        <w:t xml:space="preserve">for </w:t>
      </w:r>
      <w:r w:rsidR="00D81ECC">
        <w:t>J</w:t>
      </w:r>
      <w:r w:rsidR="00BB721B">
        <w:t xml:space="preserve">ustice. The delegation also visited the </w:t>
      </w:r>
      <w:proofErr w:type="spellStart"/>
      <w:r w:rsidR="001712F4">
        <w:t>Tegel</w:t>
      </w:r>
      <w:proofErr w:type="spellEnd"/>
      <w:r w:rsidR="001712F4">
        <w:t xml:space="preserve"> </w:t>
      </w:r>
      <w:r w:rsidR="00BB721B">
        <w:t xml:space="preserve">Penal Institution </w:t>
      </w:r>
      <w:r w:rsidR="001712F4">
        <w:t>in Berlin</w:t>
      </w:r>
      <w:r w:rsidR="00DE5DC1">
        <w:t>.</w:t>
      </w:r>
    </w:p>
    <w:p w:rsidR="00FA2311" w:rsidRPr="008F7A63" w:rsidRDefault="008F7A63" w:rsidP="00DB663B">
      <w:pPr>
        <w:pStyle w:val="HChG"/>
      </w:pPr>
      <w:r>
        <w:lastRenderedPageBreak/>
        <w:tab/>
      </w:r>
      <w:r w:rsidR="00A56DE8" w:rsidRPr="008F7A63">
        <w:t>III.</w:t>
      </w:r>
      <w:r w:rsidR="00A56DE8" w:rsidRPr="008F7A63">
        <w:tab/>
      </w:r>
      <w:r>
        <w:t>S</w:t>
      </w:r>
      <w:r w:rsidRPr="008F7A63">
        <w:t xml:space="preserve">tatus of the implementation of recommendations contained in the report on the 2011 </w:t>
      </w:r>
      <w:r>
        <w:t>W</w:t>
      </w:r>
      <w:r w:rsidRPr="008F7A63">
        <w:t xml:space="preserve">orking </w:t>
      </w:r>
      <w:r w:rsidR="00527191">
        <w:t>G</w:t>
      </w:r>
      <w:r w:rsidRPr="008F7A63">
        <w:t>roup’s</w:t>
      </w:r>
      <w:r w:rsidR="003B14C5">
        <w:t xml:space="preserve"> </w:t>
      </w:r>
      <w:r w:rsidRPr="008F7A63">
        <w:t xml:space="preserve">visit to </w:t>
      </w:r>
      <w:r>
        <w:t>G</w:t>
      </w:r>
      <w:r w:rsidRPr="008F7A63">
        <w:t xml:space="preserve">ermany </w:t>
      </w:r>
    </w:p>
    <w:p w:rsidR="00CC0358" w:rsidRPr="008F7A63" w:rsidRDefault="00CC0358" w:rsidP="00DB663B">
      <w:pPr>
        <w:pStyle w:val="SingleTxtG"/>
        <w:numPr>
          <w:ilvl w:val="2"/>
          <w:numId w:val="7"/>
        </w:numPr>
        <w:tabs>
          <w:tab w:val="clear" w:pos="2774"/>
        </w:tabs>
        <w:ind w:left="1134" w:firstLine="0"/>
      </w:pPr>
      <w:r w:rsidRPr="008F7A63">
        <w:t xml:space="preserve">The following is the analysis of the implementation of the recommendations made by the Working Group at the end of its 2011 visit </w:t>
      </w:r>
      <w:r w:rsidR="00527191">
        <w:t>(see</w:t>
      </w:r>
      <w:r w:rsidRPr="008F7A63">
        <w:t xml:space="preserve"> A/HRC/19/57/Add.3</w:t>
      </w:r>
      <w:r w:rsidR="00527191">
        <w:t>, para. 68)</w:t>
      </w:r>
      <w:r w:rsidRPr="008F7A63">
        <w:t>.</w:t>
      </w:r>
    </w:p>
    <w:p w:rsidR="00D46E1D" w:rsidRPr="00283359" w:rsidRDefault="00A56DE8" w:rsidP="00595341">
      <w:pPr>
        <w:pStyle w:val="H23G"/>
      </w:pPr>
      <w:r w:rsidRPr="000C4AAE">
        <w:tab/>
      </w:r>
      <w:r w:rsidR="00850D06">
        <w:t>(a)</w:t>
      </w:r>
      <w:r w:rsidR="00850D06">
        <w:tab/>
      </w:r>
      <w:r w:rsidR="00D46E1D" w:rsidRPr="00283359">
        <w:t>R</w:t>
      </w:r>
      <w:r w:rsidR="009F4DFD" w:rsidRPr="00283359">
        <w:t>ecommendation</w:t>
      </w:r>
      <w:r w:rsidR="00850D06">
        <w:t>:</w:t>
      </w:r>
      <w:r w:rsidR="00CC0358" w:rsidRPr="00283359">
        <w:t xml:space="preserve"> </w:t>
      </w:r>
      <w:r w:rsidR="009F4DFD" w:rsidRPr="00283359">
        <w:t>All appropriate measures should be taken to ensure that deprivation of liberty is only used as a measure of last resort and for the shortest possible time</w:t>
      </w:r>
      <w:r w:rsidR="00D46E1D" w:rsidRPr="00283359">
        <w:t xml:space="preserve"> </w:t>
      </w:r>
    </w:p>
    <w:p w:rsidR="006E3EA5" w:rsidRPr="00283359" w:rsidRDefault="009F4DFD" w:rsidP="00283359">
      <w:pPr>
        <w:pStyle w:val="SingleTxtG"/>
        <w:numPr>
          <w:ilvl w:val="2"/>
          <w:numId w:val="7"/>
        </w:numPr>
        <w:tabs>
          <w:tab w:val="clear" w:pos="2774"/>
        </w:tabs>
        <w:ind w:left="1134" w:firstLine="0"/>
      </w:pPr>
      <w:r w:rsidRPr="00283359">
        <w:t>The Working Group considers that d</w:t>
      </w:r>
      <w:r w:rsidR="006E3EA5" w:rsidRPr="00283359">
        <w:t>etention is the last resort and only allowed when necessary and proportionate, and when there are no less burdensome alternatives.</w:t>
      </w:r>
    </w:p>
    <w:p w:rsidR="001712F4" w:rsidRPr="00283359" w:rsidRDefault="001712F4" w:rsidP="00283359">
      <w:pPr>
        <w:pStyle w:val="SingleTxtG"/>
        <w:numPr>
          <w:ilvl w:val="2"/>
          <w:numId w:val="7"/>
        </w:numPr>
        <w:tabs>
          <w:tab w:val="clear" w:pos="2774"/>
        </w:tabs>
        <w:ind w:left="1134" w:firstLine="0"/>
      </w:pPr>
      <w:r w:rsidRPr="00283359">
        <w:t>At the time of the Working Group’s follow-up visit</w:t>
      </w:r>
      <w:r w:rsidR="00A118B2">
        <w:t>,</w:t>
      </w:r>
      <w:r w:rsidRPr="00283359">
        <w:t xml:space="preserve"> the prison population was 64,379, including 11,119 </w:t>
      </w:r>
      <w:proofErr w:type="spellStart"/>
      <w:r w:rsidRPr="00283359">
        <w:t>pretrial</w:t>
      </w:r>
      <w:proofErr w:type="spellEnd"/>
      <w:r w:rsidRPr="00283359">
        <w:t xml:space="preserve"> detainees and 348 juvenile </w:t>
      </w:r>
      <w:r w:rsidR="007627BC">
        <w:t>under the age of</w:t>
      </w:r>
      <w:r w:rsidRPr="00283359">
        <w:t xml:space="preserve"> 18. The prison system has a capacity of 77,243 inmates. </w:t>
      </w:r>
    </w:p>
    <w:p w:rsidR="006E3EA5" w:rsidRPr="00283359" w:rsidRDefault="001712F4" w:rsidP="00DB663B">
      <w:pPr>
        <w:pStyle w:val="SingleTxtG"/>
        <w:numPr>
          <w:ilvl w:val="2"/>
          <w:numId w:val="7"/>
        </w:numPr>
        <w:tabs>
          <w:tab w:val="clear" w:pos="2774"/>
        </w:tabs>
        <w:ind w:left="1134" w:firstLine="0"/>
      </w:pPr>
      <w:r w:rsidRPr="00283359">
        <w:t>Th</w:t>
      </w:r>
      <w:r w:rsidR="00D46E1D" w:rsidRPr="00283359">
        <w:t>e Working Group notes that</w:t>
      </w:r>
      <w:r w:rsidR="00220688">
        <w:t xml:space="preserve"> the</w:t>
      </w:r>
      <w:r w:rsidR="00D46E1D" w:rsidRPr="00283359">
        <w:t xml:space="preserve"> r</w:t>
      </w:r>
      <w:r w:rsidR="006E3EA5" w:rsidRPr="00283359">
        <w:t>eduction in prison population is a remarkable achievement for Germany</w:t>
      </w:r>
      <w:r w:rsidR="00220688">
        <w:t>,</w:t>
      </w:r>
      <w:r w:rsidR="006E3EA5" w:rsidRPr="00283359">
        <w:t xml:space="preserve"> as </w:t>
      </w:r>
      <w:r w:rsidR="00220688">
        <w:t xml:space="preserve">many </w:t>
      </w:r>
      <w:r w:rsidR="006E3EA5" w:rsidRPr="00283359">
        <w:t xml:space="preserve">countries struggle with the consequences of </w:t>
      </w:r>
      <w:r w:rsidR="006E3EA5" w:rsidRPr="006E3936">
        <w:t>over-incarceration</w:t>
      </w:r>
      <w:r w:rsidR="006E3EA5" w:rsidRPr="00283359">
        <w:t>.</w:t>
      </w:r>
      <w:r w:rsidR="003B14C5">
        <w:t xml:space="preserve"> </w:t>
      </w:r>
      <w:r w:rsidR="006E3EA5" w:rsidRPr="00283359">
        <w:t xml:space="preserve">The trends noted </w:t>
      </w:r>
      <w:r w:rsidR="002F3BCA">
        <w:t>by</w:t>
      </w:r>
      <w:r w:rsidR="002F3BCA" w:rsidRPr="00283359">
        <w:t xml:space="preserve"> </w:t>
      </w:r>
      <w:r w:rsidR="006E3EA5" w:rsidRPr="00283359">
        <w:t>the Working Group</w:t>
      </w:r>
      <w:r w:rsidR="002F3BCA">
        <w:t xml:space="preserve"> during its</w:t>
      </w:r>
      <w:r w:rsidR="006E3EA5" w:rsidRPr="00283359">
        <w:t xml:space="preserve"> 2011 visit have continued. The constitutional discourse, giving effect to international law obligations on the proportionality of measures limiting the liberty of individuals, is active in the German political and legal system. The German sentencing </w:t>
      </w:r>
      <w:r w:rsidR="00DE5DC1" w:rsidRPr="00283359">
        <w:t xml:space="preserve">regime and the review of </w:t>
      </w:r>
      <w:proofErr w:type="spellStart"/>
      <w:r w:rsidR="00DE5DC1" w:rsidRPr="00283359">
        <w:t>pretrial</w:t>
      </w:r>
      <w:proofErr w:type="spellEnd"/>
      <w:r w:rsidR="00DE5DC1" w:rsidRPr="00283359">
        <w:t xml:space="preserve"> detention constitute</w:t>
      </w:r>
      <w:r w:rsidR="006E3EA5" w:rsidRPr="00283359">
        <w:t xml:space="preserve"> international best practice</w:t>
      </w:r>
      <w:r w:rsidR="00D46E1D" w:rsidRPr="00283359">
        <w:t>.</w:t>
      </w:r>
      <w:r w:rsidR="006E3EA5" w:rsidRPr="00283359">
        <w:t xml:space="preserve"> </w:t>
      </w:r>
    </w:p>
    <w:p w:rsidR="009F4DFD" w:rsidRPr="00DB663B" w:rsidRDefault="009F4DFD" w:rsidP="00283359">
      <w:pPr>
        <w:pStyle w:val="SingleTxtG"/>
        <w:numPr>
          <w:ilvl w:val="2"/>
          <w:numId w:val="7"/>
        </w:numPr>
        <w:tabs>
          <w:tab w:val="clear" w:pos="2774"/>
        </w:tabs>
        <w:ind w:left="1134" w:firstLine="0"/>
      </w:pPr>
      <w:r w:rsidRPr="00DB663B">
        <w:t xml:space="preserve">The Working Group notes with satisfaction the legislative amendment prohibiting children in detention from being placed with persons up to the age of 24. </w:t>
      </w:r>
    </w:p>
    <w:p w:rsidR="006E3EA5" w:rsidRDefault="006E3EA5" w:rsidP="00283359">
      <w:pPr>
        <w:pStyle w:val="SingleTxtG"/>
        <w:numPr>
          <w:ilvl w:val="2"/>
          <w:numId w:val="7"/>
        </w:numPr>
        <w:tabs>
          <w:tab w:val="clear" w:pos="2774"/>
        </w:tabs>
        <w:ind w:left="1134" w:firstLine="0"/>
      </w:pPr>
      <w:r w:rsidRPr="00283359">
        <w:t xml:space="preserve">The Working Group </w:t>
      </w:r>
      <w:r w:rsidR="00DB663B">
        <w:t>is continuing</w:t>
      </w:r>
      <w:r w:rsidR="00DB663B" w:rsidRPr="00283359">
        <w:t xml:space="preserve"> </w:t>
      </w:r>
      <w:r w:rsidRPr="00283359">
        <w:t>discussion</w:t>
      </w:r>
      <w:r w:rsidR="00DB663B">
        <w:t>s</w:t>
      </w:r>
      <w:r w:rsidRPr="00283359">
        <w:t xml:space="preserve"> with the Government on several issues</w:t>
      </w:r>
      <w:r w:rsidR="00DB663B" w:rsidRPr="00DB663B">
        <w:t xml:space="preserve"> </w:t>
      </w:r>
      <w:r w:rsidR="00DB663B">
        <w:t xml:space="preserve">related to </w:t>
      </w:r>
      <w:r w:rsidR="00DB663B" w:rsidRPr="00283359">
        <w:t>detention</w:t>
      </w:r>
      <w:r w:rsidRPr="00283359">
        <w:t xml:space="preserve">. </w:t>
      </w:r>
      <w:r w:rsidR="00DB663B">
        <w:t>For example, t</w:t>
      </w:r>
      <w:r w:rsidRPr="00283359">
        <w:t>here is a need to monitor and remedy</w:t>
      </w:r>
      <w:r w:rsidR="00DB663B">
        <w:t xml:space="preserve"> the</w:t>
      </w:r>
      <w:r w:rsidRPr="00283359">
        <w:t xml:space="preserve"> disproportionate application of </w:t>
      </w:r>
      <w:proofErr w:type="spellStart"/>
      <w:r w:rsidRPr="00283359">
        <w:t>pretrial</w:t>
      </w:r>
      <w:proofErr w:type="spellEnd"/>
      <w:r w:rsidRPr="00283359">
        <w:t xml:space="preserve"> detention in the case of foreign nationals and Roma, including minors.</w:t>
      </w:r>
    </w:p>
    <w:p w:rsidR="007E3E69" w:rsidRPr="00283359" w:rsidRDefault="007E3E69" w:rsidP="00283359">
      <w:pPr>
        <w:pStyle w:val="SingleTxtG"/>
        <w:numPr>
          <w:ilvl w:val="2"/>
          <w:numId w:val="7"/>
        </w:numPr>
        <w:tabs>
          <w:tab w:val="clear" w:pos="2774"/>
        </w:tabs>
        <w:ind w:left="1134" w:firstLine="0"/>
      </w:pPr>
      <w:r>
        <w:t xml:space="preserve">According to the Federal Government, there are no figures to support the Working Group’s presumption that there is a disproportionate application of </w:t>
      </w:r>
      <w:proofErr w:type="spellStart"/>
      <w:r>
        <w:t>pretrial</w:t>
      </w:r>
      <w:proofErr w:type="spellEnd"/>
      <w:r>
        <w:t xml:space="preserve"> detention with regard to foreign nationals and Roma. Nor has there been any systematic evaluation of this question by the Working Group. The Federal Government therefore does not share the conclusion made in para</w:t>
      </w:r>
      <w:r w:rsidR="00DB663B">
        <w:t>graph</w:t>
      </w:r>
      <w:r>
        <w:t xml:space="preserve"> 1</w:t>
      </w:r>
      <w:r w:rsidR="00DB663B">
        <w:t>2</w:t>
      </w:r>
      <w:r>
        <w:t>.</w:t>
      </w:r>
    </w:p>
    <w:p w:rsidR="00D4533C" w:rsidRPr="00850D06" w:rsidRDefault="00850D06" w:rsidP="00595341">
      <w:pPr>
        <w:pStyle w:val="H23G"/>
      </w:pPr>
      <w:r>
        <w:tab/>
        <w:t>(b)</w:t>
      </w:r>
      <w:r>
        <w:tab/>
      </w:r>
      <w:r w:rsidR="00CC0358" w:rsidRPr="00850D06">
        <w:t>Recommendation: States (</w:t>
      </w:r>
      <w:proofErr w:type="spellStart"/>
      <w:r w:rsidR="00CC0358" w:rsidRPr="00850D06">
        <w:t>Länder</w:t>
      </w:r>
      <w:proofErr w:type="spellEnd"/>
      <w:r w:rsidR="00CC0358" w:rsidRPr="00850D06">
        <w:t>) should consider the model of independent special commissions for the investigation of police officers in cases of alleged misconduct or alleged ill-treatment</w:t>
      </w:r>
      <w:r w:rsidR="0055363D">
        <w:t>,</w:t>
      </w:r>
      <w:r w:rsidR="00CC0358" w:rsidRPr="00850D06">
        <w:t xml:space="preserve"> such as that established in Hamburg</w:t>
      </w:r>
    </w:p>
    <w:p w:rsidR="00E579D7" w:rsidRPr="00850D06" w:rsidRDefault="00D4533C" w:rsidP="00850D06">
      <w:pPr>
        <w:pStyle w:val="SingleTxtG"/>
        <w:numPr>
          <w:ilvl w:val="2"/>
          <w:numId w:val="7"/>
        </w:numPr>
        <w:tabs>
          <w:tab w:val="clear" w:pos="2774"/>
        </w:tabs>
        <w:ind w:left="1134" w:firstLine="0"/>
      </w:pPr>
      <w:r w:rsidRPr="00850D06">
        <w:t xml:space="preserve">The Working Group </w:t>
      </w:r>
      <w:r w:rsidR="00FD4C4F" w:rsidRPr="00850D06">
        <w:t>is concerned that</w:t>
      </w:r>
      <w:r w:rsidR="00E579D7" w:rsidRPr="00850D06">
        <w:t xml:space="preserve"> cases of alleged ill-treatment or excessive use of force by the police were not always investigated promptly, independently</w:t>
      </w:r>
      <w:r w:rsidR="001712F4" w:rsidRPr="00850D06">
        <w:t xml:space="preserve">, </w:t>
      </w:r>
      <w:r w:rsidR="00E579D7" w:rsidRPr="00850D06">
        <w:t>impartially</w:t>
      </w:r>
      <w:r w:rsidR="001712F4" w:rsidRPr="00850D06">
        <w:t xml:space="preserve"> or </w:t>
      </w:r>
      <w:r w:rsidR="00E579D7" w:rsidRPr="00850D06">
        <w:t xml:space="preserve">effectively. </w:t>
      </w:r>
    </w:p>
    <w:p w:rsidR="00E579D7" w:rsidRPr="00850D06" w:rsidRDefault="00E579D7" w:rsidP="00850D06">
      <w:pPr>
        <w:pStyle w:val="SingleTxtG"/>
        <w:numPr>
          <w:ilvl w:val="2"/>
          <w:numId w:val="7"/>
        </w:numPr>
        <w:tabs>
          <w:tab w:val="clear" w:pos="2774"/>
        </w:tabs>
        <w:ind w:left="1134" w:firstLine="0"/>
      </w:pPr>
      <w:r w:rsidRPr="00850D06">
        <w:t xml:space="preserve">According to the </w:t>
      </w:r>
      <w:r w:rsidRPr="00D22CB4">
        <w:t>German Institute for Human Rights</w:t>
      </w:r>
      <w:r w:rsidRPr="00850D06">
        <w:t>, data on police violence have long shown a discrepancy between the number of criminal proceedings and the number of convictions, which it attributed to an increased reluctance on the part of officers to incriminate their colleagues</w:t>
      </w:r>
      <w:r w:rsidR="0055363D">
        <w:t>,</w:t>
      </w:r>
      <w:r w:rsidRPr="00850D06">
        <w:t xml:space="preserve"> as well as to the difficulty of proving such offen</w:t>
      </w:r>
      <w:r w:rsidR="0055363D">
        <w:t>c</w:t>
      </w:r>
      <w:r w:rsidRPr="00850D06">
        <w:t xml:space="preserve">es. </w:t>
      </w:r>
    </w:p>
    <w:p w:rsidR="00FD4C4F" w:rsidRPr="00850D06" w:rsidRDefault="00E579D7" w:rsidP="00850D06">
      <w:pPr>
        <w:pStyle w:val="SingleTxtG"/>
        <w:numPr>
          <w:ilvl w:val="2"/>
          <w:numId w:val="7"/>
        </w:numPr>
        <w:tabs>
          <w:tab w:val="clear" w:pos="2774"/>
        </w:tabs>
        <w:ind w:left="1134" w:firstLine="0"/>
      </w:pPr>
      <w:r w:rsidRPr="00850D06">
        <w:t xml:space="preserve">The Working Group is also </w:t>
      </w:r>
      <w:r w:rsidR="00DE5DC1" w:rsidRPr="00850D06">
        <w:t>concerned that</w:t>
      </w:r>
      <w:r w:rsidR="00FD4C4F" w:rsidRPr="00850D06">
        <w:t>,</w:t>
      </w:r>
      <w:r w:rsidRPr="00850D06">
        <w:t xml:space="preserve"> </w:t>
      </w:r>
      <w:r w:rsidR="00FD4C4F" w:rsidRPr="00850D06">
        <w:t xml:space="preserve">with the exception of </w:t>
      </w:r>
      <w:r w:rsidR="0055363D">
        <w:t xml:space="preserve">the police forces in </w:t>
      </w:r>
      <w:r w:rsidR="00FD4C4F" w:rsidRPr="00850D06">
        <w:t xml:space="preserve">Berlin and Brandenburg, </w:t>
      </w:r>
      <w:r w:rsidR="0055363D">
        <w:t>p</w:t>
      </w:r>
      <w:r w:rsidR="00FD4C4F" w:rsidRPr="00850D06">
        <w:t xml:space="preserve">olice officers are not obliged to wear identification badges showing their name or number during the exercise of their functions. Even in those two </w:t>
      </w:r>
      <w:proofErr w:type="spellStart"/>
      <w:r w:rsidR="00FD4C4F" w:rsidRPr="00850D06">
        <w:t>L</w:t>
      </w:r>
      <w:r w:rsidR="0055363D" w:rsidRPr="00DE6861">
        <w:t>ä</w:t>
      </w:r>
      <w:r w:rsidR="00FD4C4F" w:rsidRPr="00850D06">
        <w:t>nder</w:t>
      </w:r>
      <w:proofErr w:type="spellEnd"/>
      <w:r w:rsidR="00FD4C4F" w:rsidRPr="00850D06">
        <w:t xml:space="preserve">, the obligation </w:t>
      </w:r>
      <w:r w:rsidR="0055363D">
        <w:t>to</w:t>
      </w:r>
      <w:r w:rsidR="0055363D" w:rsidRPr="00850D06">
        <w:t xml:space="preserve"> </w:t>
      </w:r>
      <w:r w:rsidR="00FD4C4F" w:rsidRPr="00850D06">
        <w:t>wear</w:t>
      </w:r>
      <w:r w:rsidR="0055363D">
        <w:t xml:space="preserve"> a</w:t>
      </w:r>
      <w:r w:rsidR="00FD4C4F" w:rsidRPr="00850D06">
        <w:t xml:space="preserve"> badge might be withdrawn in order to protect the safety and security of the </w:t>
      </w:r>
      <w:r w:rsidR="0055363D">
        <w:t>p</w:t>
      </w:r>
      <w:r w:rsidR="00FD4C4F" w:rsidRPr="00850D06">
        <w:t xml:space="preserve">olice officers. According to a study commissioned by the Berlin Police, </w:t>
      </w:r>
      <w:r w:rsidR="00FD4C4F" w:rsidRPr="00850D06">
        <w:lastRenderedPageBreak/>
        <w:t xml:space="preserve">some 10 per cent of cases of alleged ill-treatment by </w:t>
      </w:r>
      <w:r w:rsidR="0055363D">
        <w:t>p</w:t>
      </w:r>
      <w:r w:rsidR="00FD4C4F" w:rsidRPr="00850D06">
        <w:t xml:space="preserve">olice </w:t>
      </w:r>
      <w:r w:rsidR="0055363D">
        <w:t>officers</w:t>
      </w:r>
      <w:r w:rsidR="0055363D" w:rsidRPr="00850D06">
        <w:t xml:space="preserve"> </w:t>
      </w:r>
      <w:r w:rsidR="00FD4C4F" w:rsidRPr="00850D06">
        <w:t xml:space="preserve">could not be </w:t>
      </w:r>
      <w:r w:rsidR="0055363D">
        <w:t>investigated</w:t>
      </w:r>
      <w:r w:rsidR="0055363D" w:rsidRPr="00850D06">
        <w:t xml:space="preserve"> </w:t>
      </w:r>
      <w:r w:rsidR="00FD4C4F" w:rsidRPr="00850D06">
        <w:t xml:space="preserve">or prosecuted because </w:t>
      </w:r>
      <w:r w:rsidR="0055363D">
        <w:t xml:space="preserve">the officers involved were not wearing </w:t>
      </w:r>
      <w:r w:rsidR="00FD4C4F" w:rsidRPr="00850D06">
        <w:t xml:space="preserve">identification. </w:t>
      </w:r>
    </w:p>
    <w:p w:rsidR="00CC0358" w:rsidRPr="00850D06" w:rsidRDefault="00FD4C4F" w:rsidP="00850D06">
      <w:pPr>
        <w:pStyle w:val="SingleTxtG"/>
        <w:numPr>
          <w:ilvl w:val="2"/>
          <w:numId w:val="7"/>
        </w:numPr>
        <w:tabs>
          <w:tab w:val="clear" w:pos="2774"/>
        </w:tabs>
        <w:ind w:left="1134" w:firstLine="0"/>
      </w:pPr>
      <w:r w:rsidRPr="00850D06">
        <w:t>The Working Group r</w:t>
      </w:r>
      <w:r w:rsidR="00D4533C" w:rsidRPr="00850D06">
        <w:t xml:space="preserve">epeats its recommendation that members of the police in all </w:t>
      </w:r>
      <w:proofErr w:type="spellStart"/>
      <w:r w:rsidR="00D4533C" w:rsidRPr="00850D06">
        <w:t>Länder</w:t>
      </w:r>
      <w:proofErr w:type="spellEnd"/>
      <w:r w:rsidR="00D4533C" w:rsidRPr="00850D06">
        <w:t xml:space="preserve"> should be effectively identifiable so that they can be held accountable. The Working Group </w:t>
      </w:r>
      <w:r w:rsidR="005B51F5">
        <w:t xml:space="preserve">is </w:t>
      </w:r>
      <w:r w:rsidR="00D4533C" w:rsidRPr="00850D06">
        <w:t>follow</w:t>
      </w:r>
      <w:r w:rsidR="005B51F5">
        <w:t>ing</w:t>
      </w:r>
      <w:r w:rsidR="00D4533C" w:rsidRPr="00850D06">
        <w:t xml:space="preserve"> the development of best practices that comply with international law, including obligatory identification badges in Berlin and other </w:t>
      </w:r>
      <w:proofErr w:type="spellStart"/>
      <w:r w:rsidR="00D4533C" w:rsidRPr="00850D06">
        <w:t>Länder</w:t>
      </w:r>
      <w:proofErr w:type="spellEnd"/>
      <w:r w:rsidR="00D4533C" w:rsidRPr="00850D06">
        <w:t xml:space="preserve">. The Working Group welcomes continued dialogue on this issue and on independent complaints mechanisms open to all individuals. </w:t>
      </w:r>
    </w:p>
    <w:p w:rsidR="001004DF" w:rsidRDefault="00850D06" w:rsidP="00595341">
      <w:pPr>
        <w:pStyle w:val="H23G"/>
      </w:pPr>
      <w:r>
        <w:tab/>
        <w:t>(c)</w:t>
      </w:r>
      <w:r>
        <w:tab/>
      </w:r>
      <w:r w:rsidR="001004DF">
        <w:t xml:space="preserve">Recommendation: Concerning the post-sentence preventive detention regime, </w:t>
      </w:r>
      <w:r w:rsidR="0055363D">
        <w:t xml:space="preserve">the Working Group recommends that </w:t>
      </w:r>
      <w:r w:rsidR="001004DF">
        <w:t>the</w:t>
      </w:r>
      <w:r w:rsidR="00D13C4D">
        <w:t> </w:t>
      </w:r>
      <w:r w:rsidR="001004DF">
        <w:t>Government give full effect to the mechanism set out by the Federal Constitutional Court in its May 2011 judg</w:t>
      </w:r>
      <w:r w:rsidR="0055363D">
        <w:t>e</w:t>
      </w:r>
      <w:r w:rsidR="001004DF">
        <w:t>ment for the compliance with the decision of</w:t>
      </w:r>
      <w:r w:rsidR="00B850F0">
        <w:t> </w:t>
      </w:r>
      <w:r w:rsidR="001004DF">
        <w:t>the European Court of Human Rights</w:t>
      </w:r>
    </w:p>
    <w:p w:rsidR="00F50195" w:rsidRPr="00850D06" w:rsidRDefault="00CC0358" w:rsidP="00850D06">
      <w:pPr>
        <w:pStyle w:val="SingleTxtG"/>
        <w:numPr>
          <w:ilvl w:val="2"/>
          <w:numId w:val="7"/>
        </w:numPr>
        <w:tabs>
          <w:tab w:val="clear" w:pos="2774"/>
        </w:tabs>
        <w:ind w:left="1134" w:firstLine="0"/>
      </w:pPr>
      <w:r w:rsidRPr="00850D06">
        <w:t xml:space="preserve">The Working Group </w:t>
      </w:r>
      <w:r w:rsidR="00F50195" w:rsidRPr="00850D06">
        <w:t xml:space="preserve">is concerned about the number of persons who are still detained </w:t>
      </w:r>
      <w:r w:rsidR="0055363D">
        <w:t>i</w:t>
      </w:r>
      <w:r w:rsidR="00F50195" w:rsidRPr="00850D06">
        <w:t>n post-conviction preventive detention in Germany</w:t>
      </w:r>
      <w:r w:rsidR="002657C1" w:rsidRPr="00850D06">
        <w:t xml:space="preserve"> (252 persons at time of the follow-up visit; 38 persons in Berlin)</w:t>
      </w:r>
      <w:r w:rsidR="0055363D">
        <w:t>,</w:t>
      </w:r>
      <w:r w:rsidR="00F50195" w:rsidRPr="00850D06">
        <w:t xml:space="preserve"> </w:t>
      </w:r>
      <w:r w:rsidR="005B51F5">
        <w:t xml:space="preserve">and </w:t>
      </w:r>
      <w:r w:rsidR="00F50195" w:rsidRPr="00850D06">
        <w:t xml:space="preserve">the duration and conditions of </w:t>
      </w:r>
      <w:r w:rsidR="0055363D">
        <w:t xml:space="preserve">such </w:t>
      </w:r>
      <w:r w:rsidR="00F50195" w:rsidRPr="00850D06">
        <w:t xml:space="preserve">detention. </w:t>
      </w:r>
    </w:p>
    <w:p w:rsidR="00CC0358" w:rsidRPr="00850D06" w:rsidRDefault="00F50195" w:rsidP="00850D06">
      <w:pPr>
        <w:pStyle w:val="SingleTxtG"/>
        <w:numPr>
          <w:ilvl w:val="2"/>
          <w:numId w:val="7"/>
        </w:numPr>
        <w:tabs>
          <w:tab w:val="clear" w:pos="2774"/>
        </w:tabs>
        <w:ind w:left="1134" w:firstLine="0"/>
      </w:pPr>
      <w:r w:rsidRPr="00850D06">
        <w:t xml:space="preserve">The </w:t>
      </w:r>
      <w:r w:rsidR="009D5839" w:rsidRPr="00850D06">
        <w:t>s</w:t>
      </w:r>
      <w:r w:rsidR="002657C1" w:rsidRPr="00850D06">
        <w:t>y</w:t>
      </w:r>
      <w:r w:rsidR="009D5839" w:rsidRPr="00850D06">
        <w:t xml:space="preserve">stem of preventive detention in Germany is undergoing a major reform, in the light of recent judgments of the European Court of Human Rights and the Federal Constitutional Court. </w:t>
      </w:r>
      <w:r w:rsidR="0055363D">
        <w:t xml:space="preserve">The </w:t>
      </w:r>
      <w:r w:rsidRPr="00850D06">
        <w:t xml:space="preserve">Working Group </w:t>
      </w:r>
      <w:r w:rsidR="002E56CA">
        <w:t>is following</w:t>
      </w:r>
      <w:r w:rsidR="002E56CA" w:rsidRPr="00850D06">
        <w:t xml:space="preserve"> </w:t>
      </w:r>
      <w:r w:rsidR="00CC0358" w:rsidRPr="00850D06">
        <w:t xml:space="preserve">how the process of giving effect to international law requirements </w:t>
      </w:r>
      <w:r w:rsidR="00950F80">
        <w:t>for</w:t>
      </w:r>
      <w:r w:rsidR="00950F80" w:rsidRPr="00850D06">
        <w:t xml:space="preserve"> </w:t>
      </w:r>
      <w:r w:rsidR="00CC0358" w:rsidRPr="00850D06">
        <w:t>the post-sentence preventive detention</w:t>
      </w:r>
      <w:r w:rsidR="00950F80">
        <w:t xml:space="preserve"> </w:t>
      </w:r>
      <w:r w:rsidR="00950F80" w:rsidRPr="00850D06">
        <w:t>(</w:t>
      </w:r>
      <w:proofErr w:type="spellStart"/>
      <w:r w:rsidR="00950F80" w:rsidRPr="004168B8">
        <w:rPr>
          <w:i/>
        </w:rPr>
        <w:t>Sicherungsverwahrung</w:t>
      </w:r>
      <w:proofErr w:type="spellEnd"/>
      <w:r w:rsidR="00950F80" w:rsidRPr="00850D06">
        <w:t>)</w:t>
      </w:r>
      <w:r w:rsidR="00CC0358" w:rsidRPr="00850D06">
        <w:t xml:space="preserve"> regime continues in a dialogue with the European Court of Human Rights, which </w:t>
      </w:r>
      <w:r w:rsidR="00950F80">
        <w:t>has</w:t>
      </w:r>
      <w:r w:rsidR="00CC0358" w:rsidRPr="00850D06">
        <w:t xml:space="preserve"> further cases</w:t>
      </w:r>
      <w:r w:rsidR="0055363D">
        <w:t xml:space="preserve"> on the issue</w:t>
      </w:r>
      <w:r w:rsidR="00950F80">
        <w:t xml:space="preserve"> under consideration</w:t>
      </w:r>
      <w:r w:rsidR="00CC0358" w:rsidRPr="00850D06">
        <w:t xml:space="preserve">. </w:t>
      </w:r>
      <w:r w:rsidR="00950F80" w:rsidRPr="00850D06">
        <w:t>In 2014</w:t>
      </w:r>
      <w:r w:rsidR="00950F80">
        <w:t>,</w:t>
      </w:r>
      <w:r w:rsidR="00950F80" w:rsidRPr="00850D06">
        <w:t xml:space="preserve"> </w:t>
      </w:r>
      <w:r w:rsidR="00CC0358" w:rsidRPr="00850D06">
        <w:t>Germany graduated from the enhanced supervision regime of the Council of Europe Committee of Ministers to standard supervision, in re</w:t>
      </w:r>
      <w:r w:rsidR="002518D5" w:rsidRPr="00850D06">
        <w:t>cognition of</w:t>
      </w:r>
      <w:r w:rsidR="00CC0358" w:rsidRPr="00850D06">
        <w:t xml:space="preserve"> its implementation of the Court’s judgments. </w:t>
      </w:r>
    </w:p>
    <w:p w:rsidR="003E056E" w:rsidRPr="00850D06" w:rsidRDefault="00CC0358" w:rsidP="00850D06">
      <w:pPr>
        <w:pStyle w:val="SingleTxtG"/>
        <w:numPr>
          <w:ilvl w:val="2"/>
          <w:numId w:val="7"/>
        </w:numPr>
        <w:tabs>
          <w:tab w:val="clear" w:pos="2774"/>
        </w:tabs>
        <w:ind w:left="1134" w:firstLine="0"/>
      </w:pPr>
      <w:r w:rsidRPr="00850D06">
        <w:t xml:space="preserve">The </w:t>
      </w:r>
      <w:r w:rsidR="002E56CA">
        <w:t xml:space="preserve">Implementation </w:t>
      </w:r>
      <w:r w:rsidR="00BA1A38" w:rsidRPr="00850D06">
        <w:t>Act under</w:t>
      </w:r>
      <w:r w:rsidR="002E56CA">
        <w:t xml:space="preserve"> the</w:t>
      </w:r>
      <w:r w:rsidR="00BA1A38" w:rsidRPr="00850D06">
        <w:t xml:space="preserve"> Federal Law of the Distance Requirement in the Law Governing Preventive Detention of 5 December 2012 entered into force on 1 June 2013.</w:t>
      </w:r>
      <w:r w:rsidR="003B14C5">
        <w:t xml:space="preserve"> </w:t>
      </w:r>
      <w:r w:rsidR="00BA1A38" w:rsidRPr="00850D06">
        <w:t xml:space="preserve">The Act implements the requirements that the Federal Constitutional Court set </w:t>
      </w:r>
      <w:r w:rsidR="002E56CA">
        <w:t>forth</w:t>
      </w:r>
      <w:r w:rsidR="002E56CA" w:rsidRPr="00850D06">
        <w:t xml:space="preserve"> </w:t>
      </w:r>
      <w:r w:rsidR="00BA1A38" w:rsidRPr="00850D06">
        <w:t xml:space="preserve">in its leading judgment of 4 May 2011. The distance requirement is the difference in treatment between preventive detainees and prisoners serving sentences. According to the Government, the Act represents the federal-law element of a new freedom-oriented and therapy-based overall concept of preventive detention for implementing the distance requirement. </w:t>
      </w:r>
      <w:r w:rsidR="003E056E" w:rsidRPr="00850D06">
        <w:t xml:space="preserve">The goal is </w:t>
      </w:r>
      <w:r w:rsidR="00950F80">
        <w:t xml:space="preserve">to </w:t>
      </w:r>
      <w:r w:rsidR="003E056E" w:rsidRPr="00850D06">
        <w:t xml:space="preserve">enable </w:t>
      </w:r>
      <w:r w:rsidR="002E56CA">
        <w:t>those in preventive detention</w:t>
      </w:r>
      <w:r w:rsidR="003E056E" w:rsidRPr="00850D06">
        <w:t xml:space="preserve"> to be released as early as possible by reducing the risk they pose.</w:t>
      </w:r>
    </w:p>
    <w:p w:rsidR="00BA1A38" w:rsidRPr="00850D06" w:rsidRDefault="002E56CA" w:rsidP="00850D06">
      <w:pPr>
        <w:pStyle w:val="SingleTxtG"/>
        <w:numPr>
          <w:ilvl w:val="2"/>
          <w:numId w:val="7"/>
        </w:numPr>
        <w:tabs>
          <w:tab w:val="clear" w:pos="2774"/>
        </w:tabs>
        <w:ind w:left="1134" w:firstLine="0"/>
      </w:pPr>
      <w:r>
        <w:t>Such</w:t>
      </w:r>
      <w:r w:rsidRPr="00850D06">
        <w:t xml:space="preserve"> </w:t>
      </w:r>
      <w:r w:rsidR="003E056E" w:rsidRPr="00850D06">
        <w:t>detainees should be offered adequate treatment options during the execution of their prison sentences. Otherwise, their placement in preventive detention would be disproportionate</w:t>
      </w:r>
      <w:r w:rsidR="009A49D5">
        <w:t>;</w:t>
      </w:r>
      <w:r w:rsidR="003E056E" w:rsidRPr="00850D06">
        <w:t xml:space="preserve"> </w:t>
      </w:r>
      <w:r w:rsidR="009A49D5">
        <w:t>i</w:t>
      </w:r>
      <w:r w:rsidR="003E056E" w:rsidRPr="00850D06">
        <w:t>n this case, the execution of preventive detention must be suspended on probation.</w:t>
      </w:r>
      <w:r w:rsidR="003B14C5">
        <w:t xml:space="preserve"> </w:t>
      </w:r>
      <w:r w:rsidR="009A49D5">
        <w:t>A</w:t>
      </w:r>
      <w:r w:rsidR="003E056E" w:rsidRPr="00850D06">
        <w:t xml:space="preserve">dequate treatment options should also be </w:t>
      </w:r>
      <w:r w:rsidR="009A49D5">
        <w:t>offered</w:t>
      </w:r>
      <w:r w:rsidR="009A49D5" w:rsidRPr="00850D06">
        <w:t xml:space="preserve"> </w:t>
      </w:r>
      <w:r>
        <w:t>as part</w:t>
      </w:r>
      <w:r w:rsidR="003E056E" w:rsidRPr="00850D06">
        <w:t xml:space="preserve"> of regular judicial reviews to determine whether preventive detention should continue. These judicial reviews </w:t>
      </w:r>
      <w:r w:rsidR="00950F80">
        <w:t>are to</w:t>
      </w:r>
      <w:r w:rsidR="00950F80" w:rsidRPr="00850D06">
        <w:t xml:space="preserve"> </w:t>
      </w:r>
      <w:r w:rsidR="003E056E" w:rsidRPr="00850D06">
        <w:t xml:space="preserve">be conducted annually and, after 10 years of preventive detention, every nine months. </w:t>
      </w:r>
    </w:p>
    <w:p w:rsidR="003E056E" w:rsidRPr="00850D06" w:rsidRDefault="003E056E" w:rsidP="00850D06">
      <w:pPr>
        <w:pStyle w:val="SingleTxtG"/>
        <w:numPr>
          <w:ilvl w:val="2"/>
          <w:numId w:val="7"/>
        </w:numPr>
        <w:tabs>
          <w:tab w:val="clear" w:pos="2774"/>
        </w:tabs>
        <w:ind w:left="1134" w:firstLine="0"/>
      </w:pPr>
      <w:r w:rsidRPr="00850D06">
        <w:t>The responsibility</w:t>
      </w:r>
      <w:r w:rsidR="00BF7D08" w:rsidRPr="00850D06">
        <w:t xml:space="preserve"> for the execution </w:t>
      </w:r>
      <w:r w:rsidRPr="00850D06">
        <w:t xml:space="preserve">of preventive detention is with the </w:t>
      </w:r>
      <w:proofErr w:type="spellStart"/>
      <w:r w:rsidRPr="00850D06">
        <w:t>Länder</w:t>
      </w:r>
      <w:proofErr w:type="spellEnd"/>
      <w:r w:rsidRPr="00850D06">
        <w:t xml:space="preserve">. </w:t>
      </w:r>
      <w:proofErr w:type="spellStart"/>
      <w:r w:rsidR="00BF7D08" w:rsidRPr="00850D06">
        <w:t>Länder</w:t>
      </w:r>
      <w:proofErr w:type="spellEnd"/>
      <w:r w:rsidR="00BF7D08" w:rsidRPr="00850D06">
        <w:t xml:space="preserve"> should establish specific rules governing the detainees’ everyday activities, which should differ significantly from those serving prison sentences. </w:t>
      </w:r>
    </w:p>
    <w:p w:rsidR="00836BA0" w:rsidRPr="00850D06" w:rsidRDefault="009A49D5" w:rsidP="00850D06">
      <w:pPr>
        <w:pStyle w:val="SingleTxtG"/>
        <w:numPr>
          <w:ilvl w:val="2"/>
          <w:numId w:val="7"/>
        </w:numPr>
        <w:tabs>
          <w:tab w:val="clear" w:pos="2774"/>
        </w:tabs>
        <w:ind w:left="1134" w:firstLine="0"/>
      </w:pPr>
      <w:r>
        <w:t>A</w:t>
      </w:r>
      <w:r w:rsidRPr="00850D06">
        <w:t>t time of the Working Group’</w:t>
      </w:r>
      <w:r>
        <w:t>s</w:t>
      </w:r>
      <w:r w:rsidRPr="00850D06">
        <w:t xml:space="preserve"> follow-up visit</w:t>
      </w:r>
      <w:r>
        <w:t>,</w:t>
      </w:r>
      <w:r w:rsidRPr="00850D06">
        <w:t xml:space="preserve"> </w:t>
      </w:r>
      <w:r w:rsidR="00836BA0" w:rsidRPr="00850D06">
        <w:t>252 persons were in preventive detention in Germany</w:t>
      </w:r>
      <w:r>
        <w:t>,</w:t>
      </w:r>
      <w:r w:rsidR="00836BA0" w:rsidRPr="00850D06">
        <w:t xml:space="preserve"> </w:t>
      </w:r>
      <w:r w:rsidR="001600EF" w:rsidRPr="00850D06">
        <w:t>86</w:t>
      </w:r>
      <w:r>
        <w:t xml:space="preserve"> of whom</w:t>
      </w:r>
      <w:r w:rsidR="001600EF" w:rsidRPr="00850D06">
        <w:t xml:space="preserve"> </w:t>
      </w:r>
      <w:r w:rsidR="00836BA0" w:rsidRPr="00850D06">
        <w:t xml:space="preserve">have been in preventive detention for more than </w:t>
      </w:r>
      <w:r w:rsidR="001600EF" w:rsidRPr="00850D06">
        <w:t>1</w:t>
      </w:r>
      <w:r w:rsidR="00836BA0" w:rsidRPr="00850D06">
        <w:t>0 years.</w:t>
      </w:r>
      <w:r w:rsidR="001600EF" w:rsidRPr="00850D06">
        <w:t xml:space="preserve"> </w:t>
      </w:r>
      <w:r w:rsidR="00836BA0" w:rsidRPr="00850D06">
        <w:t>During 2009 and 2010</w:t>
      </w:r>
      <w:r>
        <w:t>,</w:t>
      </w:r>
      <w:r w:rsidR="00836BA0" w:rsidRPr="00850D06">
        <w:t xml:space="preserve"> there were more than 500</w:t>
      </w:r>
      <w:r w:rsidR="001600EF" w:rsidRPr="00850D06">
        <w:t xml:space="preserve"> persons in preventive detention</w:t>
      </w:r>
      <w:r w:rsidR="00836BA0" w:rsidRPr="00850D06">
        <w:t xml:space="preserve">. </w:t>
      </w:r>
    </w:p>
    <w:p w:rsidR="00836BA0" w:rsidRPr="00850D06" w:rsidRDefault="00836BA0" w:rsidP="00850D06">
      <w:pPr>
        <w:pStyle w:val="SingleTxtG"/>
        <w:numPr>
          <w:ilvl w:val="2"/>
          <w:numId w:val="7"/>
        </w:numPr>
        <w:tabs>
          <w:tab w:val="clear" w:pos="2774"/>
        </w:tabs>
        <w:ind w:left="1134" w:firstLine="0"/>
      </w:pPr>
      <w:r w:rsidRPr="00850D06">
        <w:t xml:space="preserve">Responsibility </w:t>
      </w:r>
      <w:r w:rsidR="009A49D5">
        <w:t>for</w:t>
      </w:r>
      <w:r w:rsidR="009A49D5" w:rsidRPr="00850D06">
        <w:t xml:space="preserve"> </w:t>
      </w:r>
      <w:r w:rsidRPr="00850D06">
        <w:t xml:space="preserve">preventive detention </w:t>
      </w:r>
      <w:r w:rsidR="009A49D5">
        <w:t>lies</w:t>
      </w:r>
      <w:r w:rsidR="009A49D5" w:rsidRPr="00850D06">
        <w:t xml:space="preserve"> </w:t>
      </w:r>
      <w:r w:rsidRPr="00850D06">
        <w:t xml:space="preserve">with the </w:t>
      </w:r>
      <w:proofErr w:type="spellStart"/>
      <w:r w:rsidRPr="00850D06">
        <w:t>Länder</w:t>
      </w:r>
      <w:proofErr w:type="spellEnd"/>
      <w:r w:rsidRPr="00850D06">
        <w:t>.</w:t>
      </w:r>
      <w:r w:rsidR="003B14C5">
        <w:t xml:space="preserve"> </w:t>
      </w:r>
      <w:r w:rsidRPr="00850D06">
        <w:t xml:space="preserve">They are drafting guidelines for </w:t>
      </w:r>
      <w:r w:rsidR="009A49D5">
        <w:t>employing</w:t>
      </w:r>
      <w:r w:rsidRPr="00850D06">
        <w:t xml:space="preserve"> preventive detention. Problems </w:t>
      </w:r>
      <w:r w:rsidR="009A49D5">
        <w:t xml:space="preserve">have </w:t>
      </w:r>
      <w:r w:rsidRPr="00850D06">
        <w:t>arise</w:t>
      </w:r>
      <w:r w:rsidR="009A49D5">
        <w:t>n</w:t>
      </w:r>
      <w:r w:rsidRPr="00850D06">
        <w:t xml:space="preserve"> concerning the </w:t>
      </w:r>
      <w:r w:rsidR="009A49D5">
        <w:lastRenderedPageBreak/>
        <w:t>allocation</w:t>
      </w:r>
      <w:r w:rsidR="009A49D5" w:rsidRPr="00850D06">
        <w:t xml:space="preserve"> </w:t>
      </w:r>
      <w:r w:rsidRPr="00850D06">
        <w:t>of resources</w:t>
      </w:r>
      <w:r w:rsidR="009A49D5">
        <w:t xml:space="preserve"> to preventive detention,</w:t>
      </w:r>
      <w:r w:rsidRPr="00850D06">
        <w:t xml:space="preserve"> given the high cost of the facilities and the social</w:t>
      </w:r>
      <w:r w:rsidR="009A49D5">
        <w:t>/</w:t>
      </w:r>
      <w:r w:rsidRPr="00850D06">
        <w:t>therapeutic and psychological programmes.</w:t>
      </w:r>
    </w:p>
    <w:p w:rsidR="00CC0358" w:rsidRPr="00850D06" w:rsidRDefault="00437466" w:rsidP="00850D06">
      <w:pPr>
        <w:pStyle w:val="SingleTxtG"/>
        <w:numPr>
          <w:ilvl w:val="2"/>
          <w:numId w:val="7"/>
        </w:numPr>
        <w:tabs>
          <w:tab w:val="clear" w:pos="2774"/>
        </w:tabs>
        <w:ind w:left="1134" w:firstLine="0"/>
      </w:pPr>
      <w:r w:rsidRPr="00850D06">
        <w:t>The Wo</w:t>
      </w:r>
      <w:r w:rsidR="00CC0358" w:rsidRPr="00850D06">
        <w:t>rking Group notes that violations of the European Convention also constitute violations of international law.</w:t>
      </w:r>
      <w:r w:rsidR="003B14C5">
        <w:t xml:space="preserve"> </w:t>
      </w:r>
      <w:r w:rsidR="00CC0358" w:rsidRPr="00850D06">
        <w:t>The International Covenant on Civil and Political Rights and customary international law require that additional detention be justified by compelling reasons</w:t>
      </w:r>
      <w:r w:rsidR="009A49D5">
        <w:t xml:space="preserve"> arising</w:t>
      </w:r>
      <w:r w:rsidR="00CC0358" w:rsidRPr="00850D06">
        <w:t xml:space="preserve"> from the gravity of the crimes committed and the likelihood of similar crimes</w:t>
      </w:r>
      <w:r w:rsidR="00103405">
        <w:t xml:space="preserve"> being committed</w:t>
      </w:r>
      <w:r w:rsidR="00CC0358" w:rsidRPr="00850D06">
        <w:t xml:space="preserve"> in the future. Such detention is a last resort, and regular periodic reviews by an independent body must be </w:t>
      </w:r>
      <w:r w:rsidR="009A49D5">
        <w:t>ensured</w:t>
      </w:r>
      <w:r w:rsidR="009A49D5" w:rsidRPr="00850D06">
        <w:t xml:space="preserve"> </w:t>
      </w:r>
      <w:r w:rsidR="00CC0358" w:rsidRPr="00850D06">
        <w:t>to decide whether continued detention is justified.</w:t>
      </w:r>
      <w:r w:rsidR="003B14C5">
        <w:t xml:space="preserve"> </w:t>
      </w:r>
    </w:p>
    <w:p w:rsidR="00CC0358" w:rsidRPr="00850D06" w:rsidRDefault="00CC0358" w:rsidP="00850D06">
      <w:pPr>
        <w:pStyle w:val="SingleTxtG"/>
        <w:numPr>
          <w:ilvl w:val="2"/>
          <w:numId w:val="7"/>
        </w:numPr>
        <w:tabs>
          <w:tab w:val="clear" w:pos="2774"/>
        </w:tabs>
        <w:ind w:left="1134" w:firstLine="0"/>
      </w:pPr>
      <w:r w:rsidRPr="00850D06">
        <w:t>States must exercise caution and provide appropriate guarantees in evaluating future dangers.</w:t>
      </w:r>
      <w:r w:rsidR="003B14C5">
        <w:t xml:space="preserve"> </w:t>
      </w:r>
      <w:r w:rsidRPr="00850D06">
        <w:t xml:space="preserve">The conditions </w:t>
      </w:r>
      <w:r w:rsidR="009A49D5">
        <w:t>in</w:t>
      </w:r>
      <w:r w:rsidR="009A49D5" w:rsidRPr="00850D06">
        <w:t xml:space="preserve"> </w:t>
      </w:r>
      <w:r w:rsidRPr="00850D06">
        <w:t>such detention must be distinct from the conditions for convicted prisoners serving a punitive sentence and must be aimed at the detainees’ rehabilitation and reintegration into society.</w:t>
      </w:r>
      <w:r w:rsidR="003B14C5">
        <w:t xml:space="preserve"> </w:t>
      </w:r>
    </w:p>
    <w:p w:rsidR="00CC0358" w:rsidRPr="00850D06" w:rsidRDefault="00CC0358" w:rsidP="00850D06">
      <w:pPr>
        <w:pStyle w:val="SingleTxtG"/>
        <w:numPr>
          <w:ilvl w:val="2"/>
          <w:numId w:val="7"/>
        </w:numPr>
        <w:tabs>
          <w:tab w:val="clear" w:pos="2774"/>
        </w:tabs>
        <w:ind w:left="1134" w:firstLine="0"/>
      </w:pPr>
      <w:r w:rsidRPr="00850D06">
        <w:t xml:space="preserve">If a prisoner has fully served the sentence imposed at the time of conviction, </w:t>
      </w:r>
      <w:r w:rsidR="0046764A">
        <w:t>articles </w:t>
      </w:r>
      <w:r w:rsidRPr="00850D06">
        <w:t xml:space="preserve">9 and 15 </w:t>
      </w:r>
      <w:r w:rsidR="009A49D5">
        <w:t>of the International Covenant on Civil and Political Rights</w:t>
      </w:r>
      <w:r w:rsidR="009A49D5" w:rsidRPr="00850D06">
        <w:t xml:space="preserve"> </w:t>
      </w:r>
      <w:r w:rsidRPr="00850D06">
        <w:t>and customary international law prohibit a retroactive increase in sentence</w:t>
      </w:r>
      <w:r w:rsidR="002657C1" w:rsidRPr="00850D06">
        <w:t>.</w:t>
      </w:r>
      <w:r w:rsidRPr="00850D06">
        <w:t xml:space="preserve"> States may not circumvent this prohibition by imposing a detention that is equivalent to penal imprisonment under any other label. </w:t>
      </w:r>
      <w:r w:rsidR="0046764A">
        <w:t>Articles </w:t>
      </w:r>
      <w:r w:rsidRPr="00850D06">
        <w:t xml:space="preserve">9 and 15 </w:t>
      </w:r>
      <w:r w:rsidR="009A49D5">
        <w:t>of the Covenant</w:t>
      </w:r>
      <w:r w:rsidR="009A49D5" w:rsidRPr="00850D06">
        <w:t xml:space="preserve"> </w:t>
      </w:r>
      <w:r w:rsidRPr="00850D06">
        <w:t xml:space="preserve">and customary international law, as restated by the Human Rights Committee in </w:t>
      </w:r>
      <w:r w:rsidR="009A49D5">
        <w:t>its g</w:t>
      </w:r>
      <w:r w:rsidRPr="00850D06">
        <w:t xml:space="preserve">eneral </w:t>
      </w:r>
      <w:r w:rsidR="009A49D5">
        <w:t>c</w:t>
      </w:r>
      <w:r w:rsidRPr="00850D06">
        <w:t>omment</w:t>
      </w:r>
      <w:r w:rsidR="00B850F0">
        <w:t xml:space="preserve"> No. </w:t>
      </w:r>
      <w:r w:rsidRPr="00850D06">
        <w:t>35</w:t>
      </w:r>
      <w:r w:rsidR="009A49D5">
        <w:t xml:space="preserve"> </w:t>
      </w:r>
      <w:r w:rsidR="001C226B">
        <w:t xml:space="preserve">(2014) </w:t>
      </w:r>
      <w:r w:rsidR="009A49D5">
        <w:t>on</w:t>
      </w:r>
      <w:r w:rsidR="001C226B">
        <w:t xml:space="preserve"> article 9</w:t>
      </w:r>
      <w:r w:rsidR="009A49D5">
        <w:t xml:space="preserve"> </w:t>
      </w:r>
      <w:r w:rsidR="001C226B">
        <w:t>(</w:t>
      </w:r>
      <w:r w:rsidR="009A49D5">
        <w:t>liberty and security of person</w:t>
      </w:r>
      <w:r w:rsidR="001C226B">
        <w:t>)</w:t>
      </w:r>
      <w:r w:rsidRPr="00850D06">
        <w:t xml:space="preserve"> and in the practice of the Working Group, clearly prohibit the imposition of the new preventive detention regime </w:t>
      </w:r>
      <w:r w:rsidR="001C226B">
        <w:t>of</w:t>
      </w:r>
      <w:r w:rsidR="001C226B" w:rsidRPr="00850D06">
        <w:t xml:space="preserve"> </w:t>
      </w:r>
      <w:r w:rsidRPr="00850D06">
        <w:t>1998, including the provisions which would allow the extension of detention after the completion of penalties (and other restrictions under domestic law).</w:t>
      </w:r>
    </w:p>
    <w:p w:rsidR="00CC0358" w:rsidRDefault="00CC0358" w:rsidP="00850D06">
      <w:pPr>
        <w:pStyle w:val="SingleTxtG"/>
        <w:numPr>
          <w:ilvl w:val="2"/>
          <w:numId w:val="7"/>
        </w:numPr>
        <w:tabs>
          <w:tab w:val="clear" w:pos="2774"/>
        </w:tabs>
        <w:ind w:left="1134" w:firstLine="0"/>
      </w:pPr>
      <w:r w:rsidRPr="00850D06">
        <w:t xml:space="preserve">The Working Group notes that it </w:t>
      </w:r>
      <w:r w:rsidR="001C226B">
        <w:t>is still</w:t>
      </w:r>
      <w:r w:rsidR="001C226B" w:rsidRPr="00850D06">
        <w:t xml:space="preserve"> </w:t>
      </w:r>
      <w:r w:rsidRPr="00850D06">
        <w:t>unsatisfactory that certain detention regimes and restrictions on personal liberty that</w:t>
      </w:r>
      <w:r w:rsidR="001C226B">
        <w:t>,</w:t>
      </w:r>
      <w:r w:rsidRPr="00850D06">
        <w:t xml:space="preserve"> under international law</w:t>
      </w:r>
      <w:r w:rsidR="001C226B">
        <w:t>,</w:t>
      </w:r>
      <w:r w:rsidRPr="00850D06">
        <w:t xml:space="preserve"> are considered punishment are not</w:t>
      </w:r>
      <w:r w:rsidR="001C226B">
        <w:t xml:space="preserve"> so considered</w:t>
      </w:r>
      <w:r w:rsidRPr="00850D06">
        <w:t xml:space="preserve"> under German law, and </w:t>
      </w:r>
      <w:r w:rsidR="001C226B">
        <w:t xml:space="preserve">that </w:t>
      </w:r>
      <w:r w:rsidRPr="00850D06">
        <w:t xml:space="preserve">consequently there are different guarantees against retroactivity, including less effective remedies. </w:t>
      </w:r>
    </w:p>
    <w:p w:rsidR="007E3E69" w:rsidRPr="00850D06" w:rsidRDefault="007E3E69" w:rsidP="00BE4ADB">
      <w:pPr>
        <w:pStyle w:val="SingleTxtG"/>
        <w:numPr>
          <w:ilvl w:val="2"/>
          <w:numId w:val="7"/>
        </w:numPr>
        <w:tabs>
          <w:tab w:val="clear" w:pos="2774"/>
        </w:tabs>
        <w:ind w:left="1134" w:firstLine="0"/>
      </w:pPr>
      <w:r>
        <w:t xml:space="preserve">The Federal Government </w:t>
      </w:r>
      <w:r>
        <w:rPr>
          <w:lang w:val="en"/>
        </w:rPr>
        <w:t xml:space="preserve">considers the statements made in </w:t>
      </w:r>
      <w:r w:rsidRPr="004168B8">
        <w:rPr>
          <w:lang w:val="en"/>
        </w:rPr>
        <w:t>para</w:t>
      </w:r>
      <w:r w:rsidR="001A09F7" w:rsidRPr="004168B8">
        <w:rPr>
          <w:lang w:val="en"/>
        </w:rPr>
        <w:t>graphs </w:t>
      </w:r>
      <w:r w:rsidRPr="004168B8">
        <w:rPr>
          <w:lang w:val="en"/>
        </w:rPr>
        <w:t>25 and 26</w:t>
      </w:r>
      <w:r>
        <w:rPr>
          <w:lang w:val="en"/>
        </w:rPr>
        <w:t xml:space="preserve"> as</w:t>
      </w:r>
      <w:r w:rsidR="009D5A16">
        <w:rPr>
          <w:lang w:val="en"/>
        </w:rPr>
        <w:t>,</w:t>
      </w:r>
      <w:r>
        <w:rPr>
          <w:lang w:val="en"/>
        </w:rPr>
        <w:t xml:space="preserve"> at least</w:t>
      </w:r>
      <w:r w:rsidR="009D5A16">
        <w:rPr>
          <w:lang w:val="en"/>
        </w:rPr>
        <w:t>,</w:t>
      </w:r>
      <w:r>
        <w:rPr>
          <w:lang w:val="en"/>
        </w:rPr>
        <w:t xml:space="preserve"> incomplete since they are based on the former legislation and do not take the amendments made sufficiently into account.</w:t>
      </w:r>
      <w:r w:rsidR="003B14C5">
        <w:rPr>
          <w:lang w:val="en"/>
        </w:rPr>
        <w:t xml:space="preserve"> </w:t>
      </w:r>
      <w:r>
        <w:rPr>
          <w:lang w:val="en"/>
        </w:rPr>
        <w:t xml:space="preserve">Normative and practical changes have been made to address the concerns with regard to international law. </w:t>
      </w:r>
      <w:r w:rsidR="001C226B">
        <w:rPr>
          <w:lang w:val="en"/>
        </w:rPr>
        <w:t xml:space="preserve">Following </w:t>
      </w:r>
      <w:r>
        <w:rPr>
          <w:lang w:val="en"/>
        </w:rPr>
        <w:t xml:space="preserve">these changes, </w:t>
      </w:r>
      <w:r>
        <w:t xml:space="preserve">there remain </w:t>
      </w:r>
      <w:r w:rsidR="001A09F7">
        <w:t>—</w:t>
      </w:r>
      <w:r>
        <w:t xml:space="preserve"> </w:t>
      </w:r>
      <w:r w:rsidR="001C226B">
        <w:t xml:space="preserve">limited </w:t>
      </w:r>
      <w:r w:rsidR="001A09F7">
        <w:t>—</w:t>
      </w:r>
      <w:r>
        <w:t xml:space="preserve"> possibilities to extend detention on preventive grounds after the completion of penalties which have been considered as compatible with the European Convention on Human Rights by the European Court of Human Rights, including preventive detention as regulated by the judg</w:t>
      </w:r>
      <w:r w:rsidR="001C226B">
        <w:t>e</w:t>
      </w:r>
      <w:r>
        <w:t xml:space="preserve">ment of the Federal Constitutional Court or reserved preventive detention (see </w:t>
      </w:r>
      <w:r w:rsidRPr="004168B8">
        <w:rPr>
          <w:i/>
          <w:iCs/>
        </w:rPr>
        <w:t>M</w:t>
      </w:r>
      <w:r w:rsidR="007F13F0" w:rsidRPr="00DE6861">
        <w:rPr>
          <w:i/>
          <w:iCs/>
        </w:rPr>
        <w:t>üller</w:t>
      </w:r>
      <w:r w:rsidRPr="004168B8">
        <w:rPr>
          <w:i/>
          <w:iCs/>
        </w:rPr>
        <w:t xml:space="preserve"> v. Germany</w:t>
      </w:r>
      <w:r w:rsidRPr="004168B8">
        <w:t xml:space="preserve">, decision of 10 February 2015, </w:t>
      </w:r>
      <w:r w:rsidR="007F13F0" w:rsidRPr="004168B8">
        <w:rPr>
          <w:lang w:val="en-US"/>
        </w:rPr>
        <w:t>a</w:t>
      </w:r>
      <w:proofErr w:type="spellStart"/>
      <w:r w:rsidRPr="004168B8">
        <w:t>pplication</w:t>
      </w:r>
      <w:proofErr w:type="spellEnd"/>
      <w:r w:rsidR="00B850F0" w:rsidRPr="004168B8">
        <w:t xml:space="preserve"> No. </w:t>
      </w:r>
      <w:r w:rsidRPr="004168B8">
        <w:t>264/13</w:t>
      </w:r>
      <w:r>
        <w:t xml:space="preserve">). </w:t>
      </w:r>
      <w:r>
        <w:rPr>
          <w:lang w:val="en"/>
        </w:rPr>
        <w:t xml:space="preserve">These concerns have been addressed </w:t>
      </w:r>
      <w:r w:rsidR="009D5A16">
        <w:rPr>
          <w:lang w:val="en"/>
        </w:rPr>
        <w:t xml:space="preserve">in </w:t>
      </w:r>
      <w:r>
        <w:rPr>
          <w:lang w:val="en"/>
        </w:rPr>
        <w:t>legislation and the corresponding changes in the detention regime.</w:t>
      </w:r>
    </w:p>
    <w:p w:rsidR="001600EF" w:rsidRPr="001600EF" w:rsidRDefault="0007757E" w:rsidP="004168B8">
      <w:pPr>
        <w:pStyle w:val="H23G"/>
        <w:rPr>
          <w:lang w:eastAsia="en-GB"/>
        </w:rPr>
      </w:pPr>
      <w:r>
        <w:rPr>
          <w:lang w:eastAsia="en-GB"/>
        </w:rPr>
        <w:tab/>
      </w:r>
      <w:r>
        <w:rPr>
          <w:lang w:eastAsia="en-GB"/>
        </w:rPr>
        <w:tab/>
      </w:r>
      <w:r w:rsidR="001600EF" w:rsidRPr="001600EF">
        <w:rPr>
          <w:lang w:eastAsia="en-GB"/>
        </w:rPr>
        <w:t xml:space="preserve">Visit to </w:t>
      </w:r>
      <w:proofErr w:type="spellStart"/>
      <w:r w:rsidR="001600EF" w:rsidRPr="001600EF">
        <w:rPr>
          <w:lang w:eastAsia="en-GB"/>
        </w:rPr>
        <w:t>Tegel</w:t>
      </w:r>
      <w:proofErr w:type="spellEnd"/>
      <w:r w:rsidR="001600EF" w:rsidRPr="001600EF">
        <w:rPr>
          <w:lang w:eastAsia="en-GB"/>
        </w:rPr>
        <w:t xml:space="preserve"> Penal Institution</w:t>
      </w:r>
    </w:p>
    <w:p w:rsidR="001600EF" w:rsidRPr="0007757E" w:rsidRDefault="001600EF" w:rsidP="0007757E">
      <w:pPr>
        <w:pStyle w:val="SingleTxtG"/>
        <w:numPr>
          <w:ilvl w:val="2"/>
          <w:numId w:val="7"/>
        </w:numPr>
        <w:tabs>
          <w:tab w:val="clear" w:pos="2774"/>
        </w:tabs>
        <w:ind w:left="1134" w:firstLine="0"/>
      </w:pPr>
      <w:r w:rsidRPr="0007757E">
        <w:t xml:space="preserve">The delegation was able to visit the new compound destined to </w:t>
      </w:r>
      <w:r w:rsidR="001C226B">
        <w:t xml:space="preserve">hold </w:t>
      </w:r>
      <w:r w:rsidRPr="0007757E">
        <w:t xml:space="preserve">preventive detainees in </w:t>
      </w:r>
      <w:proofErr w:type="spellStart"/>
      <w:r w:rsidRPr="0007757E">
        <w:t>Tegel</w:t>
      </w:r>
      <w:proofErr w:type="spellEnd"/>
      <w:r w:rsidRPr="0007757E">
        <w:t xml:space="preserve">, which has a </w:t>
      </w:r>
      <w:proofErr w:type="spellStart"/>
      <w:r w:rsidR="001C226B">
        <w:t>multistorey</w:t>
      </w:r>
      <w:proofErr w:type="spellEnd"/>
      <w:r w:rsidRPr="0007757E">
        <w:t xml:space="preserve"> building with large living areas and a big courtyard. </w:t>
      </w:r>
      <w:r w:rsidR="009D5A16">
        <w:t>However,</w:t>
      </w:r>
      <w:r w:rsidR="009D5A16" w:rsidRPr="0007757E">
        <w:t xml:space="preserve"> </w:t>
      </w:r>
      <w:r w:rsidRPr="0007757E">
        <w:t xml:space="preserve">this </w:t>
      </w:r>
      <w:r w:rsidR="001C226B">
        <w:t>building</w:t>
      </w:r>
      <w:r w:rsidR="001C226B" w:rsidRPr="0007757E">
        <w:t xml:space="preserve"> </w:t>
      </w:r>
      <w:r w:rsidRPr="0007757E">
        <w:t>is located at the end of the detention’s compound and access</w:t>
      </w:r>
      <w:r w:rsidR="001C226B">
        <w:t xml:space="preserve"> to it</w:t>
      </w:r>
      <w:r w:rsidRPr="0007757E">
        <w:t xml:space="preserve"> is through the prison entrance. New therapeutic activities and motivation programmes are being developed. Facilities are very good but </w:t>
      </w:r>
      <w:r w:rsidR="001C226B">
        <w:t>upkeep</w:t>
      </w:r>
      <w:r w:rsidR="001C226B" w:rsidRPr="0007757E">
        <w:t xml:space="preserve"> </w:t>
      </w:r>
      <w:r w:rsidRPr="0007757E">
        <w:t>is very expensive.</w:t>
      </w:r>
      <w:r w:rsidR="003B14C5">
        <w:t xml:space="preserve"> </w:t>
      </w:r>
      <w:r w:rsidRPr="0007757E">
        <w:t>At time of the Working Group’s follow-up visit</w:t>
      </w:r>
      <w:r w:rsidR="001C226B">
        <w:t>,</w:t>
      </w:r>
      <w:r w:rsidRPr="0007757E">
        <w:t xml:space="preserve"> there were 38 persons in preventive detention in </w:t>
      </w:r>
      <w:proofErr w:type="spellStart"/>
      <w:r w:rsidRPr="0007757E">
        <w:t>Tegel</w:t>
      </w:r>
      <w:proofErr w:type="spellEnd"/>
      <w:r w:rsidRPr="0007757E">
        <w:t xml:space="preserve">. </w:t>
      </w:r>
      <w:r w:rsidR="001C226B">
        <w:t>This</w:t>
      </w:r>
      <w:r w:rsidRPr="0007757E">
        <w:t xml:space="preserve"> special </w:t>
      </w:r>
      <w:r w:rsidR="001C226B">
        <w:t>compound</w:t>
      </w:r>
      <w:r w:rsidR="001C226B" w:rsidRPr="0007757E">
        <w:t xml:space="preserve"> </w:t>
      </w:r>
      <w:r w:rsidR="001C226B">
        <w:t>can hold up to</w:t>
      </w:r>
      <w:r w:rsidRPr="0007757E">
        <w:t xml:space="preserve"> 60 persons. </w:t>
      </w:r>
    </w:p>
    <w:p w:rsidR="001600EF" w:rsidRPr="0007757E" w:rsidRDefault="001600EF" w:rsidP="0007757E">
      <w:pPr>
        <w:pStyle w:val="SingleTxtG"/>
        <w:numPr>
          <w:ilvl w:val="2"/>
          <w:numId w:val="7"/>
        </w:numPr>
        <w:tabs>
          <w:tab w:val="clear" w:pos="2774"/>
        </w:tabs>
        <w:ind w:left="1134" w:firstLine="0"/>
      </w:pPr>
      <w:r w:rsidRPr="0007757E">
        <w:t xml:space="preserve">The Working Group was informed that the programmes in </w:t>
      </w:r>
      <w:proofErr w:type="spellStart"/>
      <w:r w:rsidRPr="0007757E">
        <w:t>Tegel</w:t>
      </w:r>
      <w:proofErr w:type="spellEnd"/>
      <w:r w:rsidRPr="0007757E">
        <w:t xml:space="preserve"> are therapy</w:t>
      </w:r>
      <w:r w:rsidR="001C226B">
        <w:t>-</w:t>
      </w:r>
      <w:r w:rsidRPr="0007757E">
        <w:t xml:space="preserve">oriented, </w:t>
      </w:r>
      <w:r w:rsidR="001C226B">
        <w:t>rather</w:t>
      </w:r>
      <w:r w:rsidR="001C226B" w:rsidRPr="0007757E">
        <w:t xml:space="preserve"> </w:t>
      </w:r>
      <w:r w:rsidRPr="0007757E">
        <w:t xml:space="preserve">than release-oriented. All preventive detainees are </w:t>
      </w:r>
      <w:r w:rsidR="001C226B">
        <w:t>undergoing</w:t>
      </w:r>
      <w:r w:rsidR="001C226B" w:rsidRPr="0007757E">
        <w:t xml:space="preserve"> </w:t>
      </w:r>
      <w:r w:rsidRPr="0007757E">
        <w:t>a treatment assessment and a treatment plan.</w:t>
      </w:r>
      <w:r w:rsidR="003B14C5">
        <w:t xml:space="preserve"> </w:t>
      </w:r>
    </w:p>
    <w:p w:rsidR="000C0175" w:rsidRDefault="0007757E" w:rsidP="00595341">
      <w:pPr>
        <w:pStyle w:val="H23G"/>
        <w:rPr>
          <w:lang w:eastAsia="en-GB"/>
        </w:rPr>
      </w:pPr>
      <w:r>
        <w:rPr>
          <w:lang w:eastAsia="en-GB"/>
        </w:rPr>
        <w:lastRenderedPageBreak/>
        <w:tab/>
        <w:t>(d)</w:t>
      </w:r>
      <w:r>
        <w:rPr>
          <w:lang w:eastAsia="en-GB"/>
        </w:rPr>
        <w:tab/>
      </w:r>
      <w:r w:rsidR="00F3415C" w:rsidRPr="000C4AAE">
        <w:rPr>
          <w:lang w:eastAsia="en-GB"/>
        </w:rPr>
        <w:t>R</w:t>
      </w:r>
      <w:r w:rsidR="001004DF">
        <w:rPr>
          <w:lang w:eastAsia="en-GB"/>
        </w:rPr>
        <w:t>ecommend</w:t>
      </w:r>
      <w:r w:rsidR="00D26E30">
        <w:rPr>
          <w:lang w:eastAsia="en-GB"/>
        </w:rPr>
        <w:t>a</w:t>
      </w:r>
      <w:r w:rsidR="001004DF">
        <w:rPr>
          <w:lang w:eastAsia="en-GB"/>
        </w:rPr>
        <w:t>tion</w:t>
      </w:r>
      <w:r>
        <w:rPr>
          <w:lang w:eastAsia="en-GB"/>
        </w:rPr>
        <w:t>:</w:t>
      </w:r>
      <w:r w:rsidR="001004DF">
        <w:rPr>
          <w:lang w:eastAsia="en-GB"/>
        </w:rPr>
        <w:t xml:space="preserve"> The use of restraints, such as handcuffs and shac</w:t>
      </w:r>
      <w:r w:rsidR="00D26E30">
        <w:rPr>
          <w:lang w:eastAsia="en-GB"/>
        </w:rPr>
        <w:t>k</w:t>
      </w:r>
      <w:r w:rsidR="001004DF">
        <w:rPr>
          <w:lang w:eastAsia="en-GB"/>
        </w:rPr>
        <w:t>ling, in remand hearings should be monitored; guidelines would provide assistance in the application of the relevant proportionality test</w:t>
      </w:r>
    </w:p>
    <w:p w:rsidR="00C510F9" w:rsidRPr="0007757E" w:rsidRDefault="000C0175" w:rsidP="0007757E">
      <w:pPr>
        <w:pStyle w:val="SingleTxtG"/>
        <w:numPr>
          <w:ilvl w:val="2"/>
          <w:numId w:val="7"/>
        </w:numPr>
        <w:tabs>
          <w:tab w:val="clear" w:pos="2774"/>
        </w:tabs>
        <w:ind w:left="1134" w:firstLine="0"/>
      </w:pPr>
      <w:r w:rsidRPr="0007757E">
        <w:t>The Government reported that shackl</w:t>
      </w:r>
      <w:r w:rsidR="008137F1">
        <w:t>ing</w:t>
      </w:r>
      <w:r w:rsidRPr="0007757E">
        <w:t xml:space="preserve"> detainees is a permissible practice in all of</w:t>
      </w:r>
      <w:r w:rsidR="008137F1">
        <w:t xml:space="preserve"> the</w:t>
      </w:r>
      <w:r w:rsidRPr="0007757E">
        <w:t xml:space="preserve"> </w:t>
      </w:r>
      <w:proofErr w:type="spellStart"/>
      <w:r w:rsidRPr="0007757E">
        <w:t>Länder</w:t>
      </w:r>
      <w:proofErr w:type="spellEnd"/>
      <w:r w:rsidRPr="0007757E">
        <w:t>. The practice of “</w:t>
      </w:r>
      <w:proofErr w:type="spellStart"/>
      <w:r w:rsidRPr="0007757E">
        <w:t>Fixierung</w:t>
      </w:r>
      <w:proofErr w:type="spellEnd"/>
      <w:r w:rsidRPr="0007757E">
        <w:t xml:space="preserve">”, i.e. using restraints to deprive detainees of the ability to move, is tied to stringent prerequisites </w:t>
      </w:r>
      <w:r w:rsidR="00DE5DC1" w:rsidRPr="0007757E">
        <w:t>and</w:t>
      </w:r>
      <w:r w:rsidRPr="0007757E">
        <w:t xml:space="preserve"> is used only in some </w:t>
      </w:r>
      <w:proofErr w:type="spellStart"/>
      <w:r w:rsidRPr="0007757E">
        <w:t>Länder</w:t>
      </w:r>
      <w:proofErr w:type="spellEnd"/>
      <w:r w:rsidRPr="0007757E">
        <w:t xml:space="preserve"> and in rare and exceptional cases. Such means of restraint are used only in </w:t>
      </w:r>
      <w:r w:rsidR="00DE5DC1" w:rsidRPr="0007757E">
        <w:t>situations</w:t>
      </w:r>
      <w:r w:rsidRPr="0007757E">
        <w:t xml:space="preserve"> in which the parties affected pose a hazard to themselves or others.</w:t>
      </w:r>
    </w:p>
    <w:p w:rsidR="00C510F9" w:rsidRPr="0007757E" w:rsidRDefault="00C510F9" w:rsidP="0007757E">
      <w:pPr>
        <w:pStyle w:val="SingleTxtG"/>
        <w:numPr>
          <w:ilvl w:val="2"/>
          <w:numId w:val="7"/>
        </w:numPr>
        <w:tabs>
          <w:tab w:val="clear" w:pos="2774"/>
        </w:tabs>
        <w:ind w:left="1134" w:firstLine="0"/>
      </w:pPr>
      <w:r w:rsidRPr="0007757E">
        <w:t>The Working Group notes that the use of restraints</w:t>
      </w:r>
      <w:r w:rsidR="00E31CAB">
        <w:t>,</w:t>
      </w:r>
      <w:r w:rsidRPr="0007757E">
        <w:t xml:space="preserve"> such as handcuffs and shackling</w:t>
      </w:r>
      <w:r w:rsidR="00E31CAB">
        <w:t>,</w:t>
      </w:r>
      <w:r w:rsidRPr="0007757E">
        <w:t xml:space="preserve"> in remand hearings is </w:t>
      </w:r>
      <w:r w:rsidR="00E31CAB">
        <w:t>applied by</w:t>
      </w:r>
      <w:r w:rsidRPr="0007757E">
        <w:t xml:space="preserve"> the court hearing</w:t>
      </w:r>
      <w:r w:rsidR="009D5A16">
        <w:t xml:space="preserve"> the case</w:t>
      </w:r>
      <w:r w:rsidR="00E31CAB">
        <w:t>,</w:t>
      </w:r>
      <w:r w:rsidRPr="0007757E">
        <w:t xml:space="preserve"> applying the proportionality requirement of the criminal procedure statute. The general proportionality test applied seems to be in conformity with fair trial and other relevant international standards. The issue of concern continues to be the </w:t>
      </w:r>
      <w:r w:rsidR="00E31CAB">
        <w:t>inconsistent</w:t>
      </w:r>
      <w:r w:rsidR="00E31CAB" w:rsidRPr="0007757E">
        <w:t xml:space="preserve"> </w:t>
      </w:r>
      <w:r w:rsidRPr="0007757E">
        <w:t xml:space="preserve">application of restraints, without any justification offered for the clear differences </w:t>
      </w:r>
      <w:r w:rsidR="00E31CAB">
        <w:t>between</w:t>
      </w:r>
      <w:r w:rsidR="00E31CAB" w:rsidRPr="0007757E">
        <w:t xml:space="preserve"> </w:t>
      </w:r>
      <w:r w:rsidRPr="0007757E">
        <w:t xml:space="preserve">the local courts that the Working Group visited in 2011. The Working Group repeats its recommendation that the use of restraints be monitored. Statistical information and guidelines may provide assistance at different levels, </w:t>
      </w:r>
      <w:r w:rsidR="00E31CAB">
        <w:t>including</w:t>
      </w:r>
      <w:r w:rsidR="00E31CAB" w:rsidRPr="0007757E">
        <w:t xml:space="preserve"> </w:t>
      </w:r>
      <w:r w:rsidRPr="0007757E">
        <w:t>for the judges who must apply the relevant proportionality test.</w:t>
      </w:r>
    </w:p>
    <w:p w:rsidR="001004DF" w:rsidRDefault="0007757E" w:rsidP="00595341">
      <w:pPr>
        <w:pStyle w:val="H23G"/>
        <w:rPr>
          <w:lang w:eastAsia="en-GB"/>
        </w:rPr>
      </w:pPr>
      <w:r>
        <w:rPr>
          <w:lang w:eastAsia="en-GB"/>
        </w:rPr>
        <w:tab/>
      </w:r>
      <w:r w:rsidR="00F20D0B">
        <w:rPr>
          <w:lang w:eastAsia="en-GB"/>
        </w:rPr>
        <w:t>(e)</w:t>
      </w:r>
      <w:r>
        <w:rPr>
          <w:lang w:eastAsia="en-GB"/>
        </w:rPr>
        <w:tab/>
      </w:r>
      <w:r w:rsidR="001004DF">
        <w:rPr>
          <w:lang w:eastAsia="en-GB"/>
        </w:rPr>
        <w:t>Recommendation</w:t>
      </w:r>
      <w:r w:rsidR="00D26E30">
        <w:rPr>
          <w:lang w:eastAsia="en-GB"/>
        </w:rPr>
        <w:t>: The use of alternatives to detention for foreigners who are not in possession of a valid visa or whose visa is expired should always be considered</w:t>
      </w:r>
    </w:p>
    <w:p w:rsidR="006B2947" w:rsidRDefault="006B2947" w:rsidP="00595341">
      <w:pPr>
        <w:pStyle w:val="SingleTxtG"/>
        <w:numPr>
          <w:ilvl w:val="2"/>
          <w:numId w:val="7"/>
        </w:numPr>
        <w:tabs>
          <w:tab w:val="clear" w:pos="2774"/>
        </w:tabs>
        <w:ind w:left="1134" w:firstLine="0"/>
      </w:pPr>
      <w:r w:rsidRPr="0007757E">
        <w:t xml:space="preserve">In 2012, Germany became the second largest recipient of migrants in the world, second only to the United States of America. In 2013, 127,000 persons sought protection in Germany. </w:t>
      </w:r>
      <w:r w:rsidR="00E31CAB">
        <w:t xml:space="preserve">Some </w:t>
      </w:r>
      <w:r w:rsidRPr="0007757E">
        <w:t xml:space="preserve">4,812 persons were placed in </w:t>
      </w:r>
      <w:r w:rsidRPr="00D22CB4">
        <w:t>immigration detention</w:t>
      </w:r>
      <w:r w:rsidRPr="0007757E">
        <w:t>. Germany continues to make wide use of its prison system to hold foreigners in administrative detention.</w:t>
      </w:r>
      <w:r w:rsidR="003B14C5">
        <w:t xml:space="preserve"> </w:t>
      </w:r>
      <w:r w:rsidRPr="0007757E">
        <w:t>Of the 16</w:t>
      </w:r>
      <w:r w:rsidR="00E73D5B">
        <w:t> </w:t>
      </w:r>
      <w:proofErr w:type="spellStart"/>
      <w:r w:rsidRPr="0007757E">
        <w:t>Länder</w:t>
      </w:r>
      <w:proofErr w:type="spellEnd"/>
      <w:r w:rsidRPr="0007757E">
        <w:t>, 10 use pri</w:t>
      </w:r>
      <w:r w:rsidR="009D5A16">
        <w:t>s</w:t>
      </w:r>
      <w:r w:rsidRPr="0007757E">
        <w:t xml:space="preserve">ons for detaining migrants. </w:t>
      </w:r>
    </w:p>
    <w:p w:rsidR="00504279" w:rsidRPr="0007757E" w:rsidRDefault="00504279" w:rsidP="00595341">
      <w:pPr>
        <w:pStyle w:val="SingleTxtG"/>
        <w:numPr>
          <w:ilvl w:val="2"/>
          <w:numId w:val="7"/>
        </w:numPr>
        <w:tabs>
          <w:tab w:val="clear" w:pos="2774"/>
        </w:tabs>
        <w:ind w:left="1134" w:firstLine="0"/>
      </w:pPr>
      <w:r w:rsidRPr="00504279">
        <w:t>The Federal Government finds no basis in fact for the allegation in para</w:t>
      </w:r>
      <w:r w:rsidR="00E73D5B">
        <w:t>graph </w:t>
      </w:r>
      <w:r w:rsidRPr="00504279">
        <w:t>3</w:t>
      </w:r>
      <w:r w:rsidR="00E31CAB">
        <w:t>4</w:t>
      </w:r>
      <w:r w:rsidRPr="00504279">
        <w:t xml:space="preserve"> that Germany made “wide use of prisons” for pre-removal detainees</w:t>
      </w:r>
      <w:r w:rsidR="009D5A16">
        <w:t>.</w:t>
      </w:r>
    </w:p>
    <w:p w:rsidR="006B2947" w:rsidRPr="0007757E" w:rsidRDefault="006B2947" w:rsidP="0007757E">
      <w:pPr>
        <w:pStyle w:val="SingleTxtG"/>
        <w:numPr>
          <w:ilvl w:val="2"/>
          <w:numId w:val="7"/>
        </w:numPr>
        <w:tabs>
          <w:tab w:val="clear" w:pos="2774"/>
        </w:tabs>
        <w:ind w:left="1134" w:firstLine="0"/>
      </w:pPr>
      <w:r w:rsidRPr="0007757E">
        <w:t xml:space="preserve">In July 2014, the </w:t>
      </w:r>
      <w:r w:rsidR="00E31CAB">
        <w:t>Court of Justice of the European Union</w:t>
      </w:r>
      <w:r w:rsidR="00E31CAB" w:rsidRPr="0007757E">
        <w:t xml:space="preserve"> </w:t>
      </w:r>
      <w:r w:rsidRPr="0007757E">
        <w:t xml:space="preserve">found that </w:t>
      </w:r>
      <w:r w:rsidR="00E31CAB">
        <w:t xml:space="preserve">the </w:t>
      </w:r>
      <w:r w:rsidRPr="0007757E">
        <w:t>practice</w:t>
      </w:r>
      <w:r w:rsidR="00E31CAB">
        <w:t xml:space="preserve"> of Germany</w:t>
      </w:r>
      <w:r w:rsidRPr="0007757E">
        <w:t xml:space="preserve"> of using prisons for immigrants was incompatible with </w:t>
      </w:r>
      <w:r w:rsidR="00E31CAB">
        <w:t>Directive 2008/115/EC of the European Parliament and of the Council of 16 December 2008 on common standards and procedures in Member States for returning illegally staying third-country nationals</w:t>
      </w:r>
      <w:r w:rsidRPr="0007757E">
        <w:t xml:space="preserve"> (</w:t>
      </w:r>
      <w:r w:rsidR="00DE7965" w:rsidRPr="00873BBE">
        <w:t xml:space="preserve">cases of </w:t>
      </w:r>
      <w:proofErr w:type="spellStart"/>
      <w:r w:rsidRPr="004168B8">
        <w:rPr>
          <w:i/>
        </w:rPr>
        <w:t>Bero</w:t>
      </w:r>
      <w:proofErr w:type="spellEnd"/>
      <w:r w:rsidRPr="004168B8">
        <w:rPr>
          <w:i/>
        </w:rPr>
        <w:t xml:space="preserve"> </w:t>
      </w:r>
      <w:r w:rsidR="00873BBE" w:rsidRPr="004168B8">
        <w:rPr>
          <w:i/>
        </w:rPr>
        <w:t>and</w:t>
      </w:r>
      <w:r w:rsidRPr="004168B8">
        <w:rPr>
          <w:i/>
        </w:rPr>
        <w:t xml:space="preserve"> </w:t>
      </w:r>
      <w:proofErr w:type="spellStart"/>
      <w:r w:rsidRPr="004168B8">
        <w:rPr>
          <w:i/>
        </w:rPr>
        <w:t>Bouzalmate</w:t>
      </w:r>
      <w:proofErr w:type="spellEnd"/>
      <w:r w:rsidRPr="00873BBE">
        <w:t>;</w:t>
      </w:r>
      <w:r w:rsidR="00873BBE" w:rsidRPr="004168B8">
        <w:rPr>
          <w:rStyle w:val="FootnoteReference"/>
          <w:rFonts w:eastAsia="Calibri"/>
        </w:rPr>
        <w:footnoteReference w:id="3"/>
      </w:r>
      <w:r w:rsidRPr="00873BBE">
        <w:t xml:space="preserve"> </w:t>
      </w:r>
      <w:r w:rsidR="00DE7965" w:rsidRPr="00873BBE">
        <w:t xml:space="preserve">case of </w:t>
      </w:r>
      <w:r w:rsidRPr="004168B8">
        <w:rPr>
          <w:i/>
        </w:rPr>
        <w:t>Pham</w:t>
      </w:r>
      <w:r w:rsidR="00873BBE" w:rsidRPr="00595341">
        <w:rPr>
          <w:rStyle w:val="FootnoteReference"/>
          <w:rFonts w:eastAsia="Calibri"/>
        </w:rPr>
        <w:footnoteReference w:id="4"/>
      </w:r>
      <w:r w:rsidRPr="0007757E">
        <w:t>).</w:t>
      </w:r>
    </w:p>
    <w:p w:rsidR="001004DF" w:rsidRDefault="006B2947" w:rsidP="0007757E">
      <w:pPr>
        <w:pStyle w:val="SingleTxtG"/>
        <w:numPr>
          <w:ilvl w:val="2"/>
          <w:numId w:val="7"/>
        </w:numPr>
        <w:tabs>
          <w:tab w:val="clear" w:pos="2774"/>
        </w:tabs>
        <w:ind w:left="1134" w:firstLine="0"/>
      </w:pPr>
      <w:r w:rsidRPr="0007757E">
        <w:t>T</w:t>
      </w:r>
      <w:r w:rsidR="00D26E30" w:rsidRPr="0007757E">
        <w:t xml:space="preserve">he Working Group notes that necessity and proportionality under international law require alternatives to detention of migrants who do not </w:t>
      </w:r>
      <w:r w:rsidR="009D5A16">
        <w:t>obtain</w:t>
      </w:r>
      <w:r w:rsidR="009D5A16" w:rsidRPr="0007757E">
        <w:t xml:space="preserve"> </w:t>
      </w:r>
      <w:r w:rsidR="009D5A16">
        <w:t>the</w:t>
      </w:r>
      <w:r w:rsidR="00D26E30" w:rsidRPr="0007757E">
        <w:t xml:space="preserve"> right to remain in the country. International law</w:t>
      </w:r>
      <w:r w:rsidR="00E31CAB">
        <w:t>,</w:t>
      </w:r>
      <w:r w:rsidR="00D26E30" w:rsidRPr="0007757E">
        <w:t xml:space="preserve"> restated in the jurisprudence of the Working Group, requires that migration-related detention is a last resort and only for the shortest period of time.</w:t>
      </w:r>
    </w:p>
    <w:p w:rsidR="00504279" w:rsidRPr="0007757E" w:rsidRDefault="00504279" w:rsidP="00BE4ADB">
      <w:pPr>
        <w:pStyle w:val="SingleTxtG"/>
        <w:numPr>
          <w:ilvl w:val="2"/>
          <w:numId w:val="7"/>
        </w:numPr>
        <w:tabs>
          <w:tab w:val="clear" w:pos="2774"/>
        </w:tabs>
        <w:ind w:left="1134" w:firstLine="0"/>
      </w:pPr>
      <w:r>
        <w:t xml:space="preserve">The Government finds no basis in fact for the allegation </w:t>
      </w:r>
      <w:r w:rsidRPr="00504279">
        <w:t xml:space="preserve">that offences under </w:t>
      </w:r>
      <w:r w:rsidR="00E31CAB">
        <w:t>s</w:t>
      </w:r>
      <w:r w:rsidRPr="00504279">
        <w:t>ection</w:t>
      </w:r>
      <w:r w:rsidR="000A478C">
        <w:t> </w:t>
      </w:r>
      <w:r w:rsidRPr="00504279">
        <w:t>95 (1) of the Residence Act were subject to “harsh sentencing”. As far as the Government is aware, proceedings for such offences are in practice either discontinued or end with only mild sentences</w:t>
      </w:r>
      <w:r w:rsidR="00E31CAB">
        <w:t xml:space="preserve"> being handed down</w:t>
      </w:r>
      <w:r w:rsidRPr="00504279">
        <w:t>.</w:t>
      </w:r>
    </w:p>
    <w:p w:rsidR="00F3415C" w:rsidRPr="000C4AAE" w:rsidRDefault="00725EDD" w:rsidP="00595341">
      <w:pPr>
        <w:pStyle w:val="H23G"/>
        <w:rPr>
          <w:color w:val="000000"/>
          <w:lang w:eastAsia="en-GB"/>
        </w:rPr>
      </w:pPr>
      <w:r>
        <w:rPr>
          <w:rFonts w:eastAsia="Calibri"/>
        </w:rPr>
        <w:lastRenderedPageBreak/>
        <w:tab/>
        <w:t>(f)</w:t>
      </w:r>
      <w:r>
        <w:rPr>
          <w:rFonts w:eastAsia="Calibri"/>
        </w:rPr>
        <w:tab/>
      </w:r>
      <w:r w:rsidR="00D26E30" w:rsidRPr="00D26E30">
        <w:rPr>
          <w:rFonts w:eastAsia="Calibri"/>
        </w:rPr>
        <w:t>Recommendation: The issue of proportionality in the detention of foreign</w:t>
      </w:r>
      <w:r w:rsidR="00D26E30">
        <w:rPr>
          <w:rFonts w:eastAsia="Calibri"/>
        </w:rPr>
        <w:t>e</w:t>
      </w:r>
      <w:r w:rsidR="00D26E30" w:rsidRPr="00D26E30">
        <w:rPr>
          <w:rFonts w:eastAsia="Calibri"/>
        </w:rPr>
        <w:t>rs for illegal entry to the country or for illegal border crossing, coupled with harsh sentencing, should be carefully addressed</w:t>
      </w:r>
    </w:p>
    <w:p w:rsidR="00DE7965" w:rsidRPr="00725EDD" w:rsidRDefault="00DE7965" w:rsidP="00725EDD">
      <w:pPr>
        <w:pStyle w:val="SingleTxtG"/>
        <w:numPr>
          <w:ilvl w:val="2"/>
          <w:numId w:val="7"/>
        </w:numPr>
        <w:tabs>
          <w:tab w:val="clear" w:pos="2774"/>
        </w:tabs>
        <w:ind w:left="1134" w:firstLine="0"/>
      </w:pPr>
      <w:r w:rsidRPr="00725EDD">
        <w:t xml:space="preserve">In June 2014, the Federal Ministry of the Interior presented draft legislation addressing, inter alia, certain aspects of </w:t>
      </w:r>
      <w:r w:rsidR="009D5A16">
        <w:t xml:space="preserve">the </w:t>
      </w:r>
      <w:r w:rsidRPr="00725EDD">
        <w:t>detention of foreign</w:t>
      </w:r>
      <w:r w:rsidR="00E31CAB">
        <w:t xml:space="preserve"> national</w:t>
      </w:r>
      <w:r w:rsidRPr="00725EDD">
        <w:t>s</w:t>
      </w:r>
      <w:r w:rsidR="00E31CAB">
        <w:t>,</w:t>
      </w:r>
      <w:r w:rsidRPr="00725EDD">
        <w:t xml:space="preserve"> incl</w:t>
      </w:r>
      <w:r w:rsidR="00E31CAB">
        <w:t>uding</w:t>
      </w:r>
      <w:r w:rsidR="00851C07">
        <w:t xml:space="preserve"> detention under </w:t>
      </w:r>
      <w:r w:rsidR="00851C07" w:rsidRPr="00851C07">
        <w:rPr>
          <w:bCs/>
        </w:rPr>
        <w:t xml:space="preserve">Regulation </w:t>
      </w:r>
      <w:r w:rsidR="00851C07" w:rsidRPr="004168B8">
        <w:rPr>
          <w:bCs/>
        </w:rPr>
        <w:t>No</w:t>
      </w:r>
      <w:r w:rsidR="00851C07">
        <w:rPr>
          <w:bCs/>
        </w:rPr>
        <w:t>.</w:t>
      </w:r>
      <w:r w:rsidR="00851C07" w:rsidRPr="004168B8">
        <w:rPr>
          <w:bCs/>
        </w:rPr>
        <w:t> 343/2003</w:t>
      </w:r>
      <w:r w:rsidR="00851C07">
        <w:rPr>
          <w:bCs/>
        </w:rPr>
        <w:t xml:space="preserve"> of the Council of the European Union</w:t>
      </w:r>
      <w:r w:rsidR="00851C07" w:rsidRPr="004168B8">
        <w:rPr>
          <w:bCs/>
        </w:rPr>
        <w:t> of 18 February 2003 establishing the criteria and mechanisms for determining the Member State responsible for examining an asylum application lodged in one of the Member States by a third-country national (</w:t>
      </w:r>
      <w:r w:rsidR="009D5A16" w:rsidRPr="004168B8">
        <w:rPr>
          <w:bCs/>
        </w:rPr>
        <w:t xml:space="preserve">the </w:t>
      </w:r>
      <w:r w:rsidR="00851C07">
        <w:t>Dublin II Regulation)</w:t>
      </w:r>
      <w:r w:rsidRPr="00725EDD">
        <w:t xml:space="preserve">. The draft legislation was commented </w:t>
      </w:r>
      <w:r w:rsidR="00E31CAB">
        <w:t xml:space="preserve">upon </w:t>
      </w:r>
      <w:r w:rsidRPr="00725EDD">
        <w:t xml:space="preserve">by </w:t>
      </w:r>
      <w:r w:rsidR="00562F1D" w:rsidRPr="00725EDD">
        <w:t>international agencies</w:t>
      </w:r>
      <w:r w:rsidRPr="0021685F">
        <w:rPr>
          <w:rStyle w:val="FootnoteReference"/>
          <w:rFonts w:eastAsia="Calibri"/>
        </w:rPr>
        <w:footnoteReference w:id="5"/>
      </w:r>
      <w:r w:rsidRPr="00BE4ADB">
        <w:rPr>
          <w:rStyle w:val="FootnoteReference"/>
          <w:rFonts w:eastAsia="Calibri"/>
          <w:vertAlign w:val="baseline"/>
        </w:rPr>
        <w:t xml:space="preserve"> </w:t>
      </w:r>
      <w:r w:rsidRPr="00725EDD">
        <w:t xml:space="preserve">and several </w:t>
      </w:r>
      <w:r w:rsidR="009D5A16">
        <w:t>non-governmental organizations</w:t>
      </w:r>
      <w:r w:rsidRPr="00725EDD">
        <w:t>. With regard to immigration detention, the breadth of criteria in the draft was sharply critici</w:t>
      </w:r>
      <w:r w:rsidR="00E31CAB">
        <w:t>z</w:t>
      </w:r>
      <w:r w:rsidRPr="00725EDD">
        <w:t xml:space="preserve">ed. However, as the different </w:t>
      </w:r>
      <w:r w:rsidR="00E31CAB">
        <w:t>m</w:t>
      </w:r>
      <w:r w:rsidRPr="00725EDD">
        <w:t xml:space="preserve">inistries </w:t>
      </w:r>
      <w:r w:rsidR="00E31CAB" w:rsidRPr="00725EDD">
        <w:t xml:space="preserve">responsible </w:t>
      </w:r>
      <w:r w:rsidRPr="00725EDD">
        <w:t>are still in the process of coordinating</w:t>
      </w:r>
      <w:r w:rsidR="00E31CAB">
        <w:t xml:space="preserve"> work on</w:t>
      </w:r>
      <w:r w:rsidRPr="00725EDD">
        <w:t xml:space="preserve"> the law, the final draft version is not </w:t>
      </w:r>
      <w:r w:rsidR="00E31CAB">
        <w:t>available</w:t>
      </w:r>
      <w:r w:rsidRPr="00725EDD">
        <w:t>.</w:t>
      </w:r>
    </w:p>
    <w:p w:rsidR="00F3415C" w:rsidRDefault="00F3415C" w:rsidP="00725EDD">
      <w:pPr>
        <w:pStyle w:val="SingleTxtG"/>
        <w:numPr>
          <w:ilvl w:val="2"/>
          <w:numId w:val="7"/>
        </w:numPr>
        <w:tabs>
          <w:tab w:val="clear" w:pos="2774"/>
        </w:tabs>
        <w:ind w:left="1134" w:firstLine="0"/>
      </w:pPr>
      <w:r w:rsidRPr="00725EDD">
        <w:t>The Working Group</w:t>
      </w:r>
      <w:r w:rsidR="006E3EA5" w:rsidRPr="00725EDD">
        <w:t xml:space="preserve"> urge</w:t>
      </w:r>
      <w:r w:rsidRPr="00725EDD">
        <w:t>s</w:t>
      </w:r>
      <w:r w:rsidR="006E3EA5" w:rsidRPr="00725EDD">
        <w:t xml:space="preserve"> the Government to reduce the length of the detention to the period of time strictly necessary for identification.</w:t>
      </w:r>
    </w:p>
    <w:p w:rsidR="00A7476C" w:rsidRPr="00725EDD" w:rsidRDefault="00A7476C" w:rsidP="00A7476C">
      <w:pPr>
        <w:pStyle w:val="SingleTxtG"/>
        <w:numPr>
          <w:ilvl w:val="2"/>
          <w:numId w:val="7"/>
        </w:numPr>
        <w:tabs>
          <w:tab w:val="clear" w:pos="2774"/>
        </w:tabs>
        <w:ind w:left="1134" w:firstLine="0"/>
      </w:pPr>
      <w:r>
        <w:t>The Government pointed out that</w:t>
      </w:r>
      <w:r w:rsidR="00E31CAB">
        <w:t>,</w:t>
      </w:r>
      <w:r>
        <w:t xml:space="preserve"> under German law, detention prior to deportation </w:t>
      </w:r>
      <w:r w:rsidRPr="00A7476C">
        <w:t xml:space="preserve">may only be ordered to secure the actual execution of the deportation order. This is only possible if </w:t>
      </w:r>
      <w:r w:rsidR="009D5A16">
        <w:t xml:space="preserve">the </w:t>
      </w:r>
      <w:r w:rsidRPr="00A7476C">
        <w:t>identity and nationality of the person to be deported have been established. German law does therefore not provide for detention in order to establish the identity of a foreign national.</w:t>
      </w:r>
    </w:p>
    <w:p w:rsidR="004471C8" w:rsidRPr="004471C8" w:rsidRDefault="00725EDD" w:rsidP="00595341">
      <w:pPr>
        <w:pStyle w:val="H23G"/>
        <w:rPr>
          <w:lang w:eastAsia="en-GB"/>
        </w:rPr>
      </w:pPr>
      <w:r>
        <w:rPr>
          <w:lang w:eastAsia="en-GB"/>
        </w:rPr>
        <w:tab/>
        <w:t>(g)</w:t>
      </w:r>
      <w:r>
        <w:rPr>
          <w:lang w:eastAsia="en-GB"/>
        </w:rPr>
        <w:tab/>
      </w:r>
      <w:r w:rsidR="004471C8" w:rsidRPr="004471C8">
        <w:rPr>
          <w:lang w:eastAsia="en-GB"/>
        </w:rPr>
        <w:t xml:space="preserve">Recommendation: An individual risk assessment should be requested to process forcible returns of foreigners, particularly in the cases of foreigners requesting political asylum. The risk of persecution and discrimination in countries of origin should be evaluated, and essential economic and social rights should be considered </w:t>
      </w:r>
    </w:p>
    <w:p w:rsidR="00FC209E" w:rsidRDefault="00FC209E" w:rsidP="00FC209E">
      <w:pPr>
        <w:pStyle w:val="SingleTxtG"/>
        <w:numPr>
          <w:ilvl w:val="2"/>
          <w:numId w:val="7"/>
        </w:numPr>
        <w:tabs>
          <w:tab w:val="clear" w:pos="2774"/>
        </w:tabs>
        <w:ind w:left="1134" w:firstLine="0"/>
      </w:pPr>
      <w:r>
        <w:t xml:space="preserve">The Government stated that foreigners </w:t>
      </w:r>
      <w:r w:rsidRPr="00FC209E">
        <w:t xml:space="preserve">undergoing asylum </w:t>
      </w:r>
      <w:r w:rsidR="009D5A16">
        <w:t>proceedings</w:t>
      </w:r>
      <w:r w:rsidR="009D5A16" w:rsidRPr="00FC209E">
        <w:t xml:space="preserve"> </w:t>
      </w:r>
      <w:r w:rsidRPr="00FC209E">
        <w:t>in Germany are under no circumstances forced to return to their country of origin, i.e. the potential country of persecution.</w:t>
      </w:r>
      <w:r w:rsidR="003B14C5">
        <w:t xml:space="preserve"> </w:t>
      </w:r>
      <w:r>
        <w:t>The Working Group</w:t>
      </w:r>
      <w:r w:rsidR="009D5A16">
        <w:t>,</w:t>
      </w:r>
      <w:r>
        <w:t xml:space="preserve"> </w:t>
      </w:r>
      <w:r w:rsidRPr="00FC209E">
        <w:t>in many instances</w:t>
      </w:r>
      <w:r w:rsidR="009D5A16">
        <w:t>,</w:t>
      </w:r>
      <w:r w:rsidRPr="00FC209E">
        <w:t xml:space="preserve"> uses the term “asylum seekers” in the meaning of </w:t>
      </w:r>
      <w:r w:rsidRPr="004168B8">
        <w:rPr>
          <w:i/>
        </w:rPr>
        <w:t>rejected</w:t>
      </w:r>
      <w:r w:rsidRPr="00FC209E">
        <w:t xml:space="preserve"> asylum seekers, i.e. persons required to leave the country.</w:t>
      </w:r>
    </w:p>
    <w:p w:rsidR="00F3415C" w:rsidRDefault="006E3EA5" w:rsidP="005A1A46">
      <w:pPr>
        <w:pStyle w:val="SingleTxtG"/>
        <w:numPr>
          <w:ilvl w:val="2"/>
          <w:numId w:val="7"/>
        </w:numPr>
        <w:tabs>
          <w:tab w:val="clear" w:pos="2774"/>
        </w:tabs>
        <w:ind w:left="1134" w:firstLine="0"/>
      </w:pPr>
      <w:r w:rsidRPr="000C4AAE">
        <w:t>To safeguard the rights of asylum seekers and refugees</w:t>
      </w:r>
      <w:r w:rsidR="00DE7965">
        <w:t>,</w:t>
      </w:r>
      <w:r w:rsidRPr="000C4AAE">
        <w:t xml:space="preserve"> the Government is </w:t>
      </w:r>
      <w:r w:rsidR="009F4DFD">
        <w:t>requested t</w:t>
      </w:r>
      <w:r w:rsidRPr="000C4AAE">
        <w:t xml:space="preserve">o prohibit pre-deportation custody orders against persons belonging to particularly vulnerable groups, such as unaccompanied minors. The Government is </w:t>
      </w:r>
      <w:r w:rsidR="00A62630">
        <w:t>asked</w:t>
      </w:r>
      <w:r w:rsidR="00A62630" w:rsidRPr="000C4AAE">
        <w:t xml:space="preserve"> </w:t>
      </w:r>
      <w:r w:rsidRPr="000C4AAE">
        <w:t xml:space="preserve">to adopt law and practice so that traumatized and psychologically ill persons are not detained, but instead receive </w:t>
      </w:r>
      <w:r w:rsidR="00A62630">
        <w:t>the</w:t>
      </w:r>
      <w:r w:rsidR="00A62630" w:rsidRPr="000C4AAE">
        <w:t xml:space="preserve"> </w:t>
      </w:r>
      <w:r w:rsidRPr="000C4AAE">
        <w:t>treatment</w:t>
      </w:r>
      <w:r w:rsidR="00A62630">
        <w:t xml:space="preserve"> necessary</w:t>
      </w:r>
      <w:r w:rsidRPr="000C4AAE">
        <w:t xml:space="preserve">. </w:t>
      </w:r>
    </w:p>
    <w:p w:rsidR="008E6E95" w:rsidRPr="000C4AAE" w:rsidRDefault="008E6E95" w:rsidP="00BE4ADB">
      <w:pPr>
        <w:pStyle w:val="SingleTxtG"/>
        <w:numPr>
          <w:ilvl w:val="2"/>
          <w:numId w:val="7"/>
        </w:numPr>
        <w:tabs>
          <w:tab w:val="clear" w:pos="2774"/>
        </w:tabs>
        <w:ind w:left="1134" w:firstLine="0"/>
      </w:pPr>
      <w:r>
        <w:t xml:space="preserve">The Government noted that </w:t>
      </w:r>
      <w:r w:rsidRPr="008E6E95">
        <w:t>the situation of particularly vulnerable groups is already taken into account when pre-deportation detention</w:t>
      </w:r>
      <w:r w:rsidR="00A62630">
        <w:t xml:space="preserve"> is decided upon</w:t>
      </w:r>
      <w:r w:rsidRPr="008E6E95">
        <w:t xml:space="preserve">. </w:t>
      </w:r>
      <w:r w:rsidR="00530B88">
        <w:t>M</w:t>
      </w:r>
      <w:r w:rsidRPr="008E6E95">
        <w:t xml:space="preserve">inors </w:t>
      </w:r>
      <w:r w:rsidR="00530B88">
        <w:t>are detained</w:t>
      </w:r>
      <w:r w:rsidR="00530B88" w:rsidRPr="008E6E95">
        <w:t xml:space="preserve"> </w:t>
      </w:r>
      <w:r w:rsidRPr="008E6E95">
        <w:t>extremely rarely in practice and</w:t>
      </w:r>
      <w:r w:rsidR="00A62630">
        <w:t>,</w:t>
      </w:r>
      <w:r w:rsidRPr="008E6E95">
        <w:t xml:space="preserve"> </w:t>
      </w:r>
      <w:r w:rsidR="00A62630">
        <w:t>as with</w:t>
      </w:r>
      <w:r w:rsidR="00A62630" w:rsidRPr="008E6E95">
        <w:t xml:space="preserve"> </w:t>
      </w:r>
      <w:r w:rsidRPr="008E6E95">
        <w:t>any detention under German law</w:t>
      </w:r>
      <w:r w:rsidR="00A62630">
        <w:t>,</w:t>
      </w:r>
      <w:r w:rsidRPr="008E6E95">
        <w:t xml:space="preserve"> by order of a judge only.</w:t>
      </w:r>
    </w:p>
    <w:p w:rsidR="00677B78" w:rsidRPr="00595341" w:rsidRDefault="006E3EA5" w:rsidP="005A1A46">
      <w:pPr>
        <w:pStyle w:val="SingleTxtG"/>
        <w:numPr>
          <w:ilvl w:val="2"/>
          <w:numId w:val="7"/>
        </w:numPr>
        <w:tabs>
          <w:tab w:val="clear" w:pos="2774"/>
        </w:tabs>
        <w:ind w:left="1134" w:firstLine="0"/>
        <w:rPr>
          <w:rFonts w:eastAsia="Calibri"/>
          <w:bCs/>
          <w:lang w:val="en-US"/>
        </w:rPr>
      </w:pPr>
      <w:r w:rsidRPr="009F4DFD">
        <w:t xml:space="preserve">The </w:t>
      </w:r>
      <w:r w:rsidR="008C0517" w:rsidRPr="009F4DFD">
        <w:t>Government is</w:t>
      </w:r>
      <w:r w:rsidR="00F3415C" w:rsidRPr="009F4DFD">
        <w:t xml:space="preserve"> also requested </w:t>
      </w:r>
      <w:r w:rsidRPr="009F4DFD">
        <w:t>take steps to prevent human rights violations during deportations.</w:t>
      </w:r>
      <w:r w:rsidR="009F4DFD" w:rsidRPr="009F4DFD">
        <w:t xml:space="preserve"> </w:t>
      </w:r>
      <w:r w:rsidR="009F4DFD" w:rsidRPr="00D26E30">
        <w:t>I</w:t>
      </w:r>
      <w:r w:rsidR="009F4DFD" w:rsidRPr="00D26E30">
        <w:rPr>
          <w:color w:val="000000"/>
          <w:lang w:eastAsia="en-GB"/>
        </w:rPr>
        <w:t>nternational law and the principle of the rule of law require that individuals retain the right to court review when faced with deportation</w:t>
      </w:r>
      <w:r w:rsidR="00677B78" w:rsidRPr="00677B78">
        <w:rPr>
          <w:rFonts w:eastAsia="Calibri"/>
          <w:lang w:val="en-US"/>
        </w:rPr>
        <w:t>.</w:t>
      </w:r>
    </w:p>
    <w:p w:rsidR="00904A5F" w:rsidRPr="00595341" w:rsidRDefault="00904A5F" w:rsidP="00904A5F">
      <w:pPr>
        <w:pStyle w:val="SingleTxtG"/>
        <w:numPr>
          <w:ilvl w:val="2"/>
          <w:numId w:val="7"/>
        </w:numPr>
        <w:tabs>
          <w:tab w:val="clear" w:pos="2774"/>
        </w:tabs>
        <w:ind w:left="1134" w:firstLine="0"/>
        <w:rPr>
          <w:rFonts w:eastAsia="Calibri"/>
          <w:bCs/>
          <w:lang w:val="en-US"/>
        </w:rPr>
      </w:pPr>
      <w:r>
        <w:rPr>
          <w:rFonts w:eastAsia="Calibri"/>
          <w:lang w:val="en-US"/>
        </w:rPr>
        <w:lastRenderedPageBreak/>
        <w:t>According to the Government</w:t>
      </w:r>
      <w:r w:rsidR="00530B88">
        <w:rPr>
          <w:rFonts w:eastAsia="Calibri"/>
          <w:lang w:val="en-US"/>
        </w:rPr>
        <w:t>,</w:t>
      </w:r>
      <w:r>
        <w:rPr>
          <w:rFonts w:eastAsia="Calibri"/>
          <w:lang w:val="en-US"/>
        </w:rPr>
        <w:t xml:space="preserve"> this seems to </w:t>
      </w:r>
      <w:r w:rsidRPr="00904A5F">
        <w:rPr>
          <w:rFonts w:eastAsia="Calibri"/>
          <w:lang w:val="en-US"/>
        </w:rPr>
        <w:t>imply that there is no right to court review with regard to deportation orders. This is not the case; German law does provide for the right to court review of deportation orders.</w:t>
      </w:r>
    </w:p>
    <w:p w:rsidR="00677B78" w:rsidRPr="00677B78" w:rsidRDefault="00677B78" w:rsidP="005A1A46">
      <w:pPr>
        <w:pStyle w:val="SingleTxtG"/>
        <w:numPr>
          <w:ilvl w:val="2"/>
          <w:numId w:val="7"/>
        </w:numPr>
        <w:tabs>
          <w:tab w:val="clear" w:pos="2774"/>
        </w:tabs>
        <w:ind w:left="1134" w:firstLine="0"/>
        <w:rPr>
          <w:rFonts w:eastAsia="Calibri"/>
        </w:rPr>
      </w:pPr>
      <w:r w:rsidRPr="00677B78">
        <w:rPr>
          <w:rFonts w:eastAsia="Calibri"/>
        </w:rPr>
        <w:t>In 2009, the Federal Court of Justice</w:t>
      </w:r>
      <w:r w:rsidR="00530B88">
        <w:rPr>
          <w:rFonts w:eastAsia="Calibri"/>
        </w:rPr>
        <w:t xml:space="preserve"> (</w:t>
      </w:r>
      <w:proofErr w:type="spellStart"/>
      <w:r w:rsidR="00530B88" w:rsidRPr="00983685">
        <w:rPr>
          <w:rFonts w:eastAsia="Calibri"/>
        </w:rPr>
        <w:t>Bundesgerichtshof</w:t>
      </w:r>
      <w:proofErr w:type="spellEnd"/>
      <w:r w:rsidRPr="00677B78">
        <w:rPr>
          <w:rFonts w:eastAsia="Calibri"/>
        </w:rPr>
        <w:t>) was designated the last instance court for all cases of detention for the purpose of removal in Germany. Since then</w:t>
      </w:r>
      <w:r w:rsidR="00A62630">
        <w:rPr>
          <w:rFonts w:eastAsia="Calibri"/>
        </w:rPr>
        <w:t>,</w:t>
      </w:r>
      <w:r w:rsidRPr="00677B78">
        <w:rPr>
          <w:rFonts w:eastAsia="Calibri"/>
        </w:rPr>
        <w:t xml:space="preserve"> it has delivered a great number of judgments improving the position and rights of persons, including asylum seekers, in detention.</w:t>
      </w:r>
      <w:r w:rsidR="003B14C5">
        <w:rPr>
          <w:rFonts w:eastAsia="Calibri"/>
        </w:rPr>
        <w:t xml:space="preserve"> </w:t>
      </w:r>
      <w:r w:rsidRPr="00677B78">
        <w:rPr>
          <w:rFonts w:eastAsia="Calibri"/>
        </w:rPr>
        <w:t xml:space="preserve">Most of the decisions concerned the right to a fair hearing and the formal requirements of a request for detention. </w:t>
      </w:r>
    </w:p>
    <w:p w:rsidR="0055374B" w:rsidRDefault="00677B78" w:rsidP="005A1A46">
      <w:pPr>
        <w:pStyle w:val="SingleTxtG"/>
        <w:numPr>
          <w:ilvl w:val="2"/>
          <w:numId w:val="7"/>
        </w:numPr>
        <w:tabs>
          <w:tab w:val="clear" w:pos="2774"/>
        </w:tabs>
        <w:ind w:left="1134" w:firstLine="0"/>
        <w:rPr>
          <w:rFonts w:eastAsia="Calibri"/>
        </w:rPr>
      </w:pPr>
      <w:r w:rsidRPr="00677B78">
        <w:rPr>
          <w:rFonts w:eastAsia="Calibri"/>
        </w:rPr>
        <w:t xml:space="preserve">In 2013, the Federal Court of Justice ruled that a person in pre-deportation detention must be provided with the means </w:t>
      </w:r>
      <w:r w:rsidR="00A62630" w:rsidRPr="00677B78">
        <w:rPr>
          <w:rFonts w:eastAsia="Calibri"/>
        </w:rPr>
        <w:t xml:space="preserve">necessary </w:t>
      </w:r>
      <w:r w:rsidRPr="00677B78">
        <w:rPr>
          <w:rFonts w:eastAsia="Calibri"/>
        </w:rPr>
        <w:t>to legally defend him</w:t>
      </w:r>
      <w:r w:rsidR="00530B88">
        <w:rPr>
          <w:rFonts w:eastAsia="Calibri"/>
        </w:rPr>
        <w:t>- or her</w:t>
      </w:r>
      <w:r w:rsidRPr="00677B78">
        <w:rPr>
          <w:rFonts w:eastAsia="Calibri"/>
        </w:rPr>
        <w:t xml:space="preserve">self against the detention order, including by the </w:t>
      </w:r>
      <w:r w:rsidR="00530B88">
        <w:rPr>
          <w:rFonts w:eastAsia="Calibri"/>
        </w:rPr>
        <w:t>appointment</w:t>
      </w:r>
      <w:r w:rsidR="00530B88" w:rsidRPr="00677B78">
        <w:rPr>
          <w:rFonts w:eastAsia="Calibri"/>
        </w:rPr>
        <w:t xml:space="preserve"> </w:t>
      </w:r>
      <w:r w:rsidRPr="00677B78">
        <w:rPr>
          <w:rFonts w:eastAsia="Calibri"/>
        </w:rPr>
        <w:t>of a lawyer, if a person in his</w:t>
      </w:r>
      <w:r w:rsidR="00A62630">
        <w:rPr>
          <w:rFonts w:eastAsia="Calibri"/>
        </w:rPr>
        <w:t xml:space="preserve"> or her</w:t>
      </w:r>
      <w:r w:rsidRPr="00677B78">
        <w:rPr>
          <w:rFonts w:eastAsia="Calibri"/>
        </w:rPr>
        <w:t xml:space="preserve"> position would reasonably hire a</w:t>
      </w:r>
      <w:r w:rsidR="00530B88">
        <w:rPr>
          <w:rFonts w:eastAsia="Calibri"/>
        </w:rPr>
        <w:t xml:space="preserve"> lawyer </w:t>
      </w:r>
      <w:r w:rsidRPr="00677B78">
        <w:rPr>
          <w:rFonts w:eastAsia="Calibri"/>
        </w:rPr>
        <w:t>but does not have the financial means to pay for one him</w:t>
      </w:r>
      <w:r w:rsidR="00A62630">
        <w:rPr>
          <w:rFonts w:eastAsia="Calibri"/>
        </w:rPr>
        <w:t>- or her</w:t>
      </w:r>
      <w:r w:rsidRPr="00677B78">
        <w:rPr>
          <w:rFonts w:eastAsia="Calibri"/>
        </w:rPr>
        <w:t>self</w:t>
      </w:r>
      <w:r w:rsidR="0010755B">
        <w:rPr>
          <w:rFonts w:eastAsia="Calibri"/>
        </w:rPr>
        <w:t>.</w:t>
      </w:r>
      <w:r w:rsidRPr="00595341">
        <w:rPr>
          <w:rStyle w:val="FootnoteReference"/>
          <w:rFonts w:eastAsia="Calibri"/>
        </w:rPr>
        <w:footnoteReference w:id="6"/>
      </w:r>
    </w:p>
    <w:p w:rsidR="00677B78" w:rsidRPr="00677B78" w:rsidRDefault="0055374B" w:rsidP="005A1A46">
      <w:pPr>
        <w:pStyle w:val="SingleTxtG"/>
        <w:numPr>
          <w:ilvl w:val="2"/>
          <w:numId w:val="7"/>
        </w:numPr>
        <w:tabs>
          <w:tab w:val="clear" w:pos="2774"/>
        </w:tabs>
        <w:ind w:left="1134" w:firstLine="0"/>
        <w:rPr>
          <w:rFonts w:eastAsia="Calibri"/>
        </w:rPr>
      </w:pPr>
      <w:r>
        <w:rPr>
          <w:rFonts w:eastAsia="Calibri"/>
        </w:rPr>
        <w:t xml:space="preserve">Legal aid is paid </w:t>
      </w:r>
      <w:r w:rsidR="00A62630">
        <w:rPr>
          <w:rFonts w:eastAsia="Calibri"/>
        </w:rPr>
        <w:t xml:space="preserve">in order that a person in pre-deportation detention hire </w:t>
      </w:r>
      <w:r>
        <w:rPr>
          <w:rFonts w:eastAsia="Calibri"/>
        </w:rPr>
        <w:t>a lawyer in appeals against negative decisions only if the appeal is likely to succeed according to the court’s summary assessment.</w:t>
      </w:r>
      <w:r w:rsidR="00677B78" w:rsidRPr="00677B78">
        <w:rPr>
          <w:rFonts w:eastAsia="Calibri"/>
        </w:rPr>
        <w:t xml:space="preserve"> </w:t>
      </w:r>
    </w:p>
    <w:p w:rsidR="00677B78" w:rsidRPr="00677B78" w:rsidRDefault="00677B78" w:rsidP="00BE4ADB">
      <w:pPr>
        <w:pStyle w:val="SingleTxtG"/>
        <w:numPr>
          <w:ilvl w:val="2"/>
          <w:numId w:val="7"/>
        </w:numPr>
        <w:tabs>
          <w:tab w:val="clear" w:pos="2774"/>
        </w:tabs>
        <w:ind w:left="1134" w:firstLine="0"/>
        <w:rPr>
          <w:rFonts w:eastAsia="Calibri"/>
        </w:rPr>
      </w:pPr>
      <w:r w:rsidRPr="00677B78">
        <w:rPr>
          <w:rFonts w:eastAsia="Calibri"/>
        </w:rPr>
        <w:t>Other decisions of</w:t>
      </w:r>
      <w:r w:rsidR="00A62630">
        <w:rPr>
          <w:rFonts w:eastAsia="Calibri"/>
        </w:rPr>
        <w:t xml:space="preserve"> </w:t>
      </w:r>
      <w:r w:rsidRPr="00677B78">
        <w:rPr>
          <w:rFonts w:eastAsia="Calibri"/>
        </w:rPr>
        <w:t xml:space="preserve">the Federal Court of Justice show that a request for detention has to </w:t>
      </w:r>
      <w:r w:rsidR="001A73EC">
        <w:rPr>
          <w:rFonts w:eastAsia="Calibri"/>
        </w:rPr>
        <w:t>detail</w:t>
      </w:r>
      <w:r w:rsidR="001A73EC" w:rsidRPr="00677B78">
        <w:rPr>
          <w:rFonts w:eastAsia="Calibri"/>
        </w:rPr>
        <w:t xml:space="preserve"> </w:t>
      </w:r>
      <w:r w:rsidRPr="00677B78">
        <w:rPr>
          <w:rFonts w:eastAsia="Calibri"/>
        </w:rPr>
        <w:t>the country of destination</w:t>
      </w:r>
      <w:r w:rsidR="001A73EC">
        <w:rPr>
          <w:rFonts w:eastAsia="Calibri"/>
        </w:rPr>
        <w:t>,</w:t>
      </w:r>
      <w:r w:rsidRPr="00677B78">
        <w:rPr>
          <w:rFonts w:eastAsia="Calibri"/>
        </w:rPr>
        <w:t xml:space="preserve"> the </w:t>
      </w:r>
      <w:r w:rsidR="001A73EC">
        <w:rPr>
          <w:rFonts w:eastAsia="Calibri"/>
        </w:rPr>
        <w:t>specific</w:t>
      </w:r>
      <w:r w:rsidR="001A73EC" w:rsidRPr="00677B78">
        <w:rPr>
          <w:rFonts w:eastAsia="Calibri"/>
        </w:rPr>
        <w:t xml:space="preserve"> </w:t>
      </w:r>
      <w:r w:rsidRPr="00677B78">
        <w:rPr>
          <w:rFonts w:eastAsia="Calibri"/>
        </w:rPr>
        <w:t>procedure</w:t>
      </w:r>
      <w:r w:rsidR="001A73EC">
        <w:rPr>
          <w:rFonts w:eastAsia="Calibri"/>
        </w:rPr>
        <w:t xml:space="preserve"> that is expected to be carried out</w:t>
      </w:r>
      <w:r w:rsidRPr="00677B78">
        <w:rPr>
          <w:rFonts w:eastAsia="Calibri"/>
        </w:rPr>
        <w:t xml:space="preserve"> </w:t>
      </w:r>
      <w:r w:rsidR="001A73EC">
        <w:rPr>
          <w:rFonts w:eastAsia="Calibri"/>
        </w:rPr>
        <w:t>and</w:t>
      </w:r>
      <w:r w:rsidRPr="00677B78">
        <w:rPr>
          <w:rFonts w:eastAsia="Calibri"/>
        </w:rPr>
        <w:t xml:space="preserve"> the time</w:t>
      </w:r>
      <w:r w:rsidR="001A73EC">
        <w:rPr>
          <w:rFonts w:eastAsia="Calibri"/>
        </w:rPr>
        <w:t xml:space="preserve"> </w:t>
      </w:r>
      <w:r w:rsidRPr="00677B78">
        <w:rPr>
          <w:rFonts w:eastAsia="Calibri"/>
        </w:rPr>
        <w:t xml:space="preserve">frame </w:t>
      </w:r>
      <w:r w:rsidR="001A73EC">
        <w:rPr>
          <w:rFonts w:eastAsia="Calibri"/>
        </w:rPr>
        <w:t xml:space="preserve">that </w:t>
      </w:r>
      <w:r w:rsidRPr="00677B78">
        <w:rPr>
          <w:rFonts w:eastAsia="Calibri"/>
        </w:rPr>
        <w:t xml:space="preserve">the enforcement of a </w:t>
      </w:r>
      <w:r w:rsidR="001A73EC">
        <w:rPr>
          <w:rFonts w:eastAsia="Calibri"/>
        </w:rPr>
        <w:t>deportation</w:t>
      </w:r>
      <w:r w:rsidRPr="00677B78">
        <w:rPr>
          <w:rFonts w:eastAsia="Calibri"/>
        </w:rPr>
        <w:t xml:space="preserve"> to that specific country would take</w:t>
      </w:r>
      <w:r w:rsidR="005C4520">
        <w:rPr>
          <w:rFonts w:eastAsia="Calibri"/>
        </w:rPr>
        <w:t>.</w:t>
      </w:r>
      <w:r w:rsidRPr="00595341">
        <w:rPr>
          <w:rStyle w:val="FootnoteReference"/>
          <w:rFonts w:eastAsia="Calibri"/>
        </w:rPr>
        <w:footnoteReference w:id="7"/>
      </w:r>
      <w:r w:rsidRPr="00677B78">
        <w:rPr>
          <w:rFonts w:eastAsia="Calibri"/>
        </w:rPr>
        <w:t xml:space="preserve"> </w:t>
      </w:r>
    </w:p>
    <w:p w:rsidR="00677B78" w:rsidRPr="00677B78" w:rsidRDefault="00562F1D" w:rsidP="00595341">
      <w:pPr>
        <w:pStyle w:val="SingleTxtG"/>
        <w:numPr>
          <w:ilvl w:val="2"/>
          <w:numId w:val="7"/>
        </w:numPr>
        <w:tabs>
          <w:tab w:val="clear" w:pos="2774"/>
        </w:tabs>
        <w:ind w:left="1134" w:firstLine="0"/>
        <w:rPr>
          <w:rFonts w:eastAsia="Calibri"/>
        </w:rPr>
      </w:pPr>
      <w:r>
        <w:rPr>
          <w:rFonts w:eastAsia="Calibri"/>
        </w:rPr>
        <w:t xml:space="preserve"> </w:t>
      </w:r>
      <w:r w:rsidR="00677B78" w:rsidRPr="00677B78">
        <w:rPr>
          <w:rFonts w:eastAsia="Calibri"/>
        </w:rPr>
        <w:t xml:space="preserve">Moreover, </w:t>
      </w:r>
      <w:r w:rsidR="001A73EC">
        <w:rPr>
          <w:rFonts w:eastAsia="Calibri"/>
        </w:rPr>
        <w:t xml:space="preserve">the </w:t>
      </w:r>
      <w:r w:rsidR="00677B78" w:rsidRPr="00677B78">
        <w:rPr>
          <w:rFonts w:eastAsia="Calibri"/>
        </w:rPr>
        <w:t xml:space="preserve">decisions of </w:t>
      </w:r>
      <w:r w:rsidR="001A73EC">
        <w:rPr>
          <w:rFonts w:eastAsia="Calibri"/>
        </w:rPr>
        <w:t>the various</w:t>
      </w:r>
      <w:r w:rsidR="001A73EC" w:rsidRPr="00677B78">
        <w:rPr>
          <w:rFonts w:eastAsia="Calibri"/>
        </w:rPr>
        <w:t xml:space="preserve"> </w:t>
      </w:r>
      <w:r w:rsidR="00677B78" w:rsidRPr="00677B78">
        <w:rPr>
          <w:rFonts w:eastAsia="Calibri"/>
        </w:rPr>
        <w:t xml:space="preserve">courts </w:t>
      </w:r>
      <w:r w:rsidR="001A73EC">
        <w:rPr>
          <w:rFonts w:eastAsia="Calibri"/>
        </w:rPr>
        <w:t>examine</w:t>
      </w:r>
      <w:r w:rsidR="00677B78" w:rsidRPr="00677B78">
        <w:rPr>
          <w:rFonts w:eastAsia="Calibri"/>
        </w:rPr>
        <w:t xml:space="preserve"> the proportionality of detention orders,</w:t>
      </w:r>
      <w:r w:rsidR="001A73EC">
        <w:rPr>
          <w:rFonts w:eastAsia="Calibri"/>
        </w:rPr>
        <w:t xml:space="preserve"> for example,</w:t>
      </w:r>
      <w:r w:rsidR="00677B78" w:rsidRPr="00677B78">
        <w:rPr>
          <w:rFonts w:eastAsia="Calibri"/>
        </w:rPr>
        <w:t xml:space="preserve"> the following: </w:t>
      </w:r>
      <w:r w:rsidR="001A73EC">
        <w:rPr>
          <w:rFonts w:eastAsia="Calibri"/>
        </w:rPr>
        <w:t xml:space="preserve">an </w:t>
      </w:r>
      <w:r w:rsidR="00677B78" w:rsidRPr="00677B78">
        <w:rPr>
          <w:rFonts w:eastAsia="Calibri"/>
        </w:rPr>
        <w:t>illegal border crossing in itself does not justify detention</w:t>
      </w:r>
      <w:r w:rsidR="008775AB">
        <w:rPr>
          <w:rFonts w:eastAsia="Calibri"/>
        </w:rPr>
        <w:t>;</w:t>
      </w:r>
      <w:r w:rsidR="00677B78" w:rsidRPr="00595341">
        <w:rPr>
          <w:rStyle w:val="FootnoteReference"/>
          <w:rFonts w:eastAsia="Calibri"/>
        </w:rPr>
        <w:footnoteReference w:id="8"/>
      </w:r>
      <w:r w:rsidR="00677B78" w:rsidRPr="00677B78">
        <w:rPr>
          <w:rFonts w:eastAsia="Calibri"/>
        </w:rPr>
        <w:t xml:space="preserve"> the detention period must be limited to the minimum amount of time necessary to execute a removal order</w:t>
      </w:r>
      <w:r w:rsidR="005C4520">
        <w:rPr>
          <w:rFonts w:eastAsia="Calibri"/>
        </w:rPr>
        <w:t>;</w:t>
      </w:r>
      <w:r w:rsidR="00677B78" w:rsidRPr="00595341">
        <w:rPr>
          <w:rStyle w:val="FootnoteReference"/>
          <w:rFonts w:eastAsia="Calibri"/>
        </w:rPr>
        <w:footnoteReference w:id="9"/>
      </w:r>
      <w:r w:rsidR="00677B78" w:rsidRPr="00677B78">
        <w:rPr>
          <w:rFonts w:eastAsia="Calibri"/>
        </w:rPr>
        <w:t xml:space="preserve"> </w:t>
      </w:r>
      <w:r w:rsidR="001A73EC">
        <w:rPr>
          <w:rFonts w:eastAsia="Calibri"/>
        </w:rPr>
        <w:t xml:space="preserve">and </w:t>
      </w:r>
      <w:r w:rsidR="00677B78" w:rsidRPr="00677B78">
        <w:rPr>
          <w:rFonts w:eastAsia="Calibri"/>
        </w:rPr>
        <w:t xml:space="preserve">any indication </w:t>
      </w:r>
      <w:r w:rsidR="001A73EC">
        <w:rPr>
          <w:rFonts w:eastAsia="Calibri"/>
        </w:rPr>
        <w:t>of</w:t>
      </w:r>
      <w:r w:rsidR="001A73EC" w:rsidRPr="00677B78">
        <w:rPr>
          <w:rFonts w:eastAsia="Calibri"/>
        </w:rPr>
        <w:t xml:space="preserve"> </w:t>
      </w:r>
      <w:r w:rsidR="00677B78" w:rsidRPr="00677B78">
        <w:rPr>
          <w:rFonts w:eastAsia="Calibri"/>
        </w:rPr>
        <w:t>a change of circumstances possibly affecting the legality of the (continued) detention must lead the court in charge to investigate and reconsider the original detention order</w:t>
      </w:r>
      <w:r w:rsidR="005C4520">
        <w:rPr>
          <w:rFonts w:eastAsia="Calibri"/>
        </w:rPr>
        <w:t>.</w:t>
      </w:r>
      <w:r w:rsidR="00677B78" w:rsidRPr="00595341">
        <w:rPr>
          <w:rStyle w:val="FootnoteReference"/>
          <w:rFonts w:eastAsia="Calibri"/>
        </w:rPr>
        <w:footnoteReference w:id="10"/>
      </w:r>
    </w:p>
    <w:p w:rsidR="0055374B" w:rsidRDefault="0055374B" w:rsidP="005A1A46">
      <w:pPr>
        <w:pStyle w:val="SingleTxtG"/>
        <w:numPr>
          <w:ilvl w:val="2"/>
          <w:numId w:val="7"/>
        </w:numPr>
        <w:tabs>
          <w:tab w:val="clear" w:pos="2774"/>
        </w:tabs>
        <w:ind w:left="1134" w:firstLine="0"/>
        <w:rPr>
          <w:rFonts w:eastAsia="Calibri"/>
        </w:rPr>
      </w:pPr>
      <w:r>
        <w:rPr>
          <w:rFonts w:eastAsia="Calibri"/>
        </w:rPr>
        <w:t>Several thousand asylum</w:t>
      </w:r>
      <w:r w:rsidR="001A73EC">
        <w:rPr>
          <w:rFonts w:eastAsia="Calibri"/>
        </w:rPr>
        <w:t xml:space="preserve"> </w:t>
      </w:r>
      <w:r>
        <w:rPr>
          <w:rFonts w:eastAsia="Calibri"/>
        </w:rPr>
        <w:t xml:space="preserve">seekers whose </w:t>
      </w:r>
      <w:r w:rsidR="00904A5F">
        <w:rPr>
          <w:rFonts w:eastAsia="Calibri"/>
        </w:rPr>
        <w:t xml:space="preserve">application has been </w:t>
      </w:r>
      <w:r w:rsidR="001A73EC">
        <w:rPr>
          <w:rFonts w:eastAsia="Calibri"/>
        </w:rPr>
        <w:t xml:space="preserve">definitively </w:t>
      </w:r>
      <w:r w:rsidR="00904A5F">
        <w:rPr>
          <w:rFonts w:eastAsia="Calibri"/>
        </w:rPr>
        <w:t xml:space="preserve">rejected and who are required to leave the country </w:t>
      </w:r>
      <w:r>
        <w:rPr>
          <w:rFonts w:eastAsia="Calibri"/>
        </w:rPr>
        <w:t xml:space="preserve">and a majority of those who are the subject in the </w:t>
      </w:r>
      <w:r w:rsidR="006E3936">
        <w:rPr>
          <w:rFonts w:eastAsia="Calibri"/>
        </w:rPr>
        <w:t>cas</w:t>
      </w:r>
      <w:r w:rsidR="00D85027">
        <w:rPr>
          <w:rFonts w:eastAsia="Calibri"/>
        </w:rPr>
        <w:t>es under the Dublin II Protocol</w:t>
      </w:r>
      <w:r>
        <w:rPr>
          <w:rFonts w:eastAsia="Calibri"/>
        </w:rPr>
        <w:t xml:space="preserve"> continue to be accommodated in </w:t>
      </w:r>
      <w:proofErr w:type="spellStart"/>
      <w:r>
        <w:rPr>
          <w:rFonts w:eastAsia="Calibri"/>
        </w:rPr>
        <w:t>Länder</w:t>
      </w:r>
      <w:proofErr w:type="spellEnd"/>
      <w:r>
        <w:rPr>
          <w:rFonts w:eastAsia="Calibri"/>
        </w:rPr>
        <w:t xml:space="preserve"> detention facilities immediately upon arrival, sometimes for long periods. This practice would contravene Directive 2008/115/EC of the European Parliament.</w:t>
      </w:r>
      <w:r w:rsidR="003B14C5">
        <w:rPr>
          <w:rFonts w:eastAsia="Calibri"/>
        </w:rPr>
        <w:t xml:space="preserve"> </w:t>
      </w:r>
      <w:r w:rsidR="00904A5F">
        <w:rPr>
          <w:rFonts w:eastAsia="Calibri"/>
        </w:rPr>
        <w:t>The Government stated that this is simply wrong in fact.</w:t>
      </w:r>
    </w:p>
    <w:p w:rsidR="00904A5F" w:rsidRDefault="00904A5F" w:rsidP="00904A5F">
      <w:pPr>
        <w:pStyle w:val="SingleTxtG"/>
        <w:numPr>
          <w:ilvl w:val="2"/>
          <w:numId w:val="7"/>
        </w:numPr>
        <w:tabs>
          <w:tab w:val="clear" w:pos="2774"/>
        </w:tabs>
        <w:ind w:left="1134" w:firstLine="0"/>
        <w:rPr>
          <w:rFonts w:eastAsia="Calibri"/>
        </w:rPr>
      </w:pPr>
      <w:r w:rsidRPr="00904A5F">
        <w:rPr>
          <w:rFonts w:eastAsia="Calibri"/>
        </w:rPr>
        <w:t>With regard to detention prior to deportation, the Residence</w:t>
      </w:r>
      <w:r w:rsidR="001A73EC">
        <w:rPr>
          <w:rFonts w:eastAsia="Calibri"/>
        </w:rPr>
        <w:t xml:space="preserve"> Act</w:t>
      </w:r>
      <w:r w:rsidRPr="00904A5F">
        <w:rPr>
          <w:rFonts w:eastAsia="Calibri"/>
        </w:rPr>
        <w:t xml:space="preserve"> and the related General Administrative Rules already provide for alternative measures. </w:t>
      </w:r>
      <w:r w:rsidR="00920685">
        <w:rPr>
          <w:rFonts w:eastAsia="Calibri"/>
        </w:rPr>
        <w:t>The a</w:t>
      </w:r>
      <w:r w:rsidRPr="00904A5F">
        <w:rPr>
          <w:rFonts w:eastAsia="Calibri"/>
        </w:rPr>
        <w:t xml:space="preserve">uthorities are required to examine whether less severe means are sufficient, which is also mentioned in </w:t>
      </w:r>
      <w:r w:rsidR="00920685">
        <w:rPr>
          <w:rFonts w:eastAsia="Calibri"/>
        </w:rPr>
        <w:t>s</w:t>
      </w:r>
      <w:r w:rsidRPr="00904A5F">
        <w:rPr>
          <w:rFonts w:eastAsia="Calibri"/>
        </w:rPr>
        <w:t xml:space="preserve">ection 62 (1) of the Residence Act, for example. </w:t>
      </w:r>
      <w:r w:rsidR="00920685">
        <w:rPr>
          <w:rFonts w:eastAsia="Calibri"/>
        </w:rPr>
        <w:t>R</w:t>
      </w:r>
      <w:r w:rsidRPr="00904A5F">
        <w:rPr>
          <w:rFonts w:eastAsia="Calibri"/>
        </w:rPr>
        <w:t>educ</w:t>
      </w:r>
      <w:r w:rsidR="00920685">
        <w:rPr>
          <w:rFonts w:eastAsia="Calibri"/>
        </w:rPr>
        <w:t>ing</w:t>
      </w:r>
      <w:r w:rsidRPr="00904A5F">
        <w:rPr>
          <w:rFonts w:eastAsia="Calibri"/>
        </w:rPr>
        <w:t xml:space="preserve"> the length of detention to the period of time strictly necessary</w:t>
      </w:r>
      <w:r>
        <w:rPr>
          <w:rFonts w:eastAsia="Calibri"/>
        </w:rPr>
        <w:t xml:space="preserve"> </w:t>
      </w:r>
      <w:r w:rsidRPr="00904A5F">
        <w:rPr>
          <w:rFonts w:eastAsia="Calibri"/>
        </w:rPr>
        <w:t xml:space="preserve">is required </w:t>
      </w:r>
      <w:r w:rsidR="00920685">
        <w:rPr>
          <w:rFonts w:eastAsia="Calibri"/>
        </w:rPr>
        <w:t>under</w:t>
      </w:r>
      <w:r w:rsidRPr="00904A5F">
        <w:rPr>
          <w:rFonts w:eastAsia="Calibri"/>
        </w:rPr>
        <w:t xml:space="preserve"> </w:t>
      </w:r>
      <w:r w:rsidR="00920685">
        <w:rPr>
          <w:rFonts w:eastAsia="Calibri"/>
        </w:rPr>
        <w:t>s</w:t>
      </w:r>
      <w:r w:rsidRPr="00904A5F">
        <w:rPr>
          <w:rFonts w:eastAsia="Calibri"/>
        </w:rPr>
        <w:t xml:space="preserve">ection 62 (1) of the Residence Act. The use of detention as </w:t>
      </w:r>
      <w:r w:rsidRPr="004168B8">
        <w:rPr>
          <w:rFonts w:eastAsia="Calibri"/>
          <w:i/>
        </w:rPr>
        <w:t>ultima ratio</w:t>
      </w:r>
      <w:r w:rsidRPr="00904A5F">
        <w:rPr>
          <w:rFonts w:eastAsia="Calibri"/>
        </w:rPr>
        <w:t xml:space="preserve"> already </w:t>
      </w:r>
      <w:r w:rsidR="00920685">
        <w:rPr>
          <w:rFonts w:eastAsia="Calibri"/>
        </w:rPr>
        <w:t xml:space="preserve">ensues </w:t>
      </w:r>
      <w:r w:rsidRPr="00904A5F">
        <w:rPr>
          <w:rFonts w:eastAsia="Calibri"/>
        </w:rPr>
        <w:t xml:space="preserve">from the principle of proportionality which stems directly from the </w:t>
      </w:r>
      <w:r>
        <w:rPr>
          <w:rFonts w:eastAsia="Calibri"/>
        </w:rPr>
        <w:t>C</w:t>
      </w:r>
      <w:r w:rsidRPr="00904A5F">
        <w:rPr>
          <w:rFonts w:eastAsia="Calibri"/>
        </w:rPr>
        <w:t>onstitution.</w:t>
      </w:r>
      <w:r w:rsidR="003B14C5">
        <w:rPr>
          <w:rFonts w:eastAsia="Calibri"/>
        </w:rPr>
        <w:t xml:space="preserve"> </w:t>
      </w:r>
      <w:r>
        <w:rPr>
          <w:rFonts w:eastAsia="Calibri"/>
        </w:rPr>
        <w:t xml:space="preserve">According to the Government, the Working Group </w:t>
      </w:r>
      <w:r>
        <w:rPr>
          <w:rFonts w:eastAsia="Calibri"/>
        </w:rPr>
        <w:lastRenderedPageBreak/>
        <w:t xml:space="preserve">should </w:t>
      </w:r>
      <w:r w:rsidRPr="00904A5F">
        <w:rPr>
          <w:rFonts w:eastAsia="Calibri"/>
        </w:rPr>
        <w:t>sufficiently recognize this constitutional dimension of the principle of proportionality in German law.</w:t>
      </w:r>
    </w:p>
    <w:p w:rsidR="00677B78" w:rsidRPr="00677B78" w:rsidRDefault="00920685" w:rsidP="00BE4ADB">
      <w:pPr>
        <w:pStyle w:val="SingleTxtG"/>
        <w:numPr>
          <w:ilvl w:val="2"/>
          <w:numId w:val="7"/>
        </w:numPr>
        <w:tabs>
          <w:tab w:val="clear" w:pos="2774"/>
        </w:tabs>
        <w:ind w:left="1134" w:firstLine="0"/>
        <w:rPr>
          <w:rFonts w:eastAsia="Calibri"/>
        </w:rPr>
      </w:pPr>
      <w:r>
        <w:rPr>
          <w:rFonts w:eastAsia="Calibri"/>
        </w:rPr>
        <w:t>D</w:t>
      </w:r>
      <w:r w:rsidR="00677B78" w:rsidRPr="00677B78">
        <w:rPr>
          <w:rFonts w:eastAsia="Calibri"/>
        </w:rPr>
        <w:t xml:space="preserve">ecisions on the necessity of separate accommodation </w:t>
      </w:r>
      <w:r>
        <w:rPr>
          <w:rFonts w:eastAsia="Calibri"/>
        </w:rPr>
        <w:t>for</w:t>
      </w:r>
      <w:r w:rsidRPr="00677B78">
        <w:rPr>
          <w:rFonts w:eastAsia="Calibri"/>
        </w:rPr>
        <w:t xml:space="preserve"> </w:t>
      </w:r>
      <w:r w:rsidR="00677B78" w:rsidRPr="00677B78">
        <w:rPr>
          <w:rFonts w:eastAsia="Calibri"/>
        </w:rPr>
        <w:t xml:space="preserve">persons in pre-removal detention and ordinary prisoners detained </w:t>
      </w:r>
      <w:r>
        <w:rPr>
          <w:rFonts w:eastAsia="Calibri"/>
        </w:rPr>
        <w:t>under</w:t>
      </w:r>
      <w:r w:rsidR="00677B78" w:rsidRPr="00677B78">
        <w:rPr>
          <w:rFonts w:eastAsia="Calibri"/>
        </w:rPr>
        <w:t xml:space="preserve"> criminal law</w:t>
      </w:r>
      <w:r>
        <w:rPr>
          <w:rFonts w:eastAsia="Calibri"/>
        </w:rPr>
        <w:t xml:space="preserve"> had a great impact</w:t>
      </w:r>
      <w:r w:rsidR="00677B78" w:rsidRPr="00677B78">
        <w:rPr>
          <w:rFonts w:eastAsia="Calibri"/>
        </w:rPr>
        <w:t xml:space="preserve">. Most importantly, some German courts submitted requests to the Court of Justice of the European Union concerning the interpretation of the principle of separation of pre-removal detainees from detainees under criminal law under </w:t>
      </w:r>
      <w:r>
        <w:rPr>
          <w:rFonts w:eastAsia="Calibri"/>
        </w:rPr>
        <w:t>a</w:t>
      </w:r>
      <w:r w:rsidR="0046764A">
        <w:rPr>
          <w:rFonts w:eastAsia="Calibri"/>
        </w:rPr>
        <w:t>rticle </w:t>
      </w:r>
      <w:r w:rsidR="00677B78" w:rsidRPr="00677B78">
        <w:rPr>
          <w:rFonts w:eastAsia="Calibri"/>
        </w:rPr>
        <w:t>16 (1) of Directive 2008/115/EC</w:t>
      </w:r>
      <w:r w:rsidR="008775AB">
        <w:rPr>
          <w:rFonts w:eastAsia="Calibri"/>
        </w:rPr>
        <w:t>.</w:t>
      </w:r>
      <w:r w:rsidR="00677B78" w:rsidRPr="00595341">
        <w:rPr>
          <w:rStyle w:val="FootnoteReference"/>
          <w:rFonts w:eastAsia="Calibri"/>
        </w:rPr>
        <w:footnoteReference w:id="11"/>
      </w:r>
    </w:p>
    <w:p w:rsidR="00677B78" w:rsidRPr="000C4AAE" w:rsidRDefault="00677B78" w:rsidP="00BE4ADB">
      <w:pPr>
        <w:pStyle w:val="SingleTxtG"/>
        <w:numPr>
          <w:ilvl w:val="2"/>
          <w:numId w:val="7"/>
        </w:numPr>
        <w:tabs>
          <w:tab w:val="clear" w:pos="2774"/>
        </w:tabs>
        <w:ind w:left="1134" w:firstLine="0"/>
        <w:rPr>
          <w:rFonts w:eastAsia="Calibri"/>
        </w:rPr>
      </w:pPr>
      <w:r w:rsidRPr="00677B78">
        <w:rPr>
          <w:rFonts w:eastAsia="Calibri"/>
        </w:rPr>
        <w:t xml:space="preserve">Specialized detention facilities exist in only </w:t>
      </w:r>
      <w:r w:rsidR="00920685">
        <w:rPr>
          <w:rFonts w:eastAsia="Calibri"/>
        </w:rPr>
        <w:t>5</w:t>
      </w:r>
      <w:r w:rsidR="00920685" w:rsidRPr="00677B78">
        <w:rPr>
          <w:rFonts w:eastAsia="Calibri"/>
        </w:rPr>
        <w:t xml:space="preserve"> </w:t>
      </w:r>
      <w:r w:rsidRPr="00677B78">
        <w:rPr>
          <w:rFonts w:eastAsia="Calibri"/>
        </w:rPr>
        <w:t xml:space="preserve">of </w:t>
      </w:r>
      <w:r w:rsidR="00DE7965">
        <w:rPr>
          <w:rFonts w:eastAsia="Calibri"/>
        </w:rPr>
        <w:t>16</w:t>
      </w:r>
      <w:r w:rsidR="004471C8">
        <w:rPr>
          <w:rFonts w:eastAsia="Calibri"/>
        </w:rPr>
        <w:t xml:space="preserve"> </w:t>
      </w:r>
      <w:proofErr w:type="spellStart"/>
      <w:r w:rsidR="004471C8">
        <w:rPr>
          <w:rFonts w:eastAsia="Calibri"/>
        </w:rPr>
        <w:t>Länder</w:t>
      </w:r>
      <w:proofErr w:type="spellEnd"/>
      <w:r w:rsidR="004471C8">
        <w:rPr>
          <w:rFonts w:eastAsia="Calibri"/>
        </w:rPr>
        <w:t xml:space="preserve">. </w:t>
      </w:r>
      <w:r w:rsidR="00DE7965">
        <w:rPr>
          <w:rFonts w:eastAsia="Calibri"/>
        </w:rPr>
        <w:t>S</w:t>
      </w:r>
      <w:r w:rsidRPr="00677B78">
        <w:rPr>
          <w:rFonts w:eastAsia="Calibri"/>
        </w:rPr>
        <w:t>everal regional courts had (preliminarily) suspended the execution of detention orders where a separated placement of third-country nationals in pre-removal detention and ordinary prisoners was not guaranteed</w:t>
      </w:r>
      <w:r w:rsidR="00164138">
        <w:rPr>
          <w:rFonts w:eastAsia="Calibri"/>
        </w:rPr>
        <w:t>.</w:t>
      </w:r>
      <w:r w:rsidRPr="00595341">
        <w:rPr>
          <w:rStyle w:val="FootnoteReference"/>
          <w:rFonts w:eastAsia="Calibri"/>
        </w:rPr>
        <w:footnoteReference w:id="12"/>
      </w:r>
      <w:r w:rsidRPr="00677B78">
        <w:rPr>
          <w:rFonts w:eastAsia="Calibri"/>
        </w:rPr>
        <w:t xml:space="preserve"> </w:t>
      </w:r>
    </w:p>
    <w:p w:rsidR="00677B78" w:rsidRPr="000C4AAE" w:rsidRDefault="00677B78" w:rsidP="00595341">
      <w:pPr>
        <w:pStyle w:val="SingleTxtG"/>
        <w:numPr>
          <w:ilvl w:val="2"/>
          <w:numId w:val="7"/>
        </w:numPr>
        <w:tabs>
          <w:tab w:val="clear" w:pos="2774"/>
        </w:tabs>
        <w:ind w:left="1134" w:firstLine="0"/>
        <w:rPr>
          <w:rFonts w:eastAsia="Calibri"/>
        </w:rPr>
      </w:pPr>
      <w:r w:rsidRPr="00677B78">
        <w:rPr>
          <w:rFonts w:eastAsia="Calibri"/>
        </w:rPr>
        <w:t xml:space="preserve">The </w:t>
      </w:r>
      <w:r w:rsidR="00920685" w:rsidRPr="00677B78">
        <w:rPr>
          <w:rFonts w:eastAsia="Calibri"/>
        </w:rPr>
        <w:t>Court of Justice of the European Union</w:t>
      </w:r>
      <w:r w:rsidR="00920685" w:rsidRPr="00677B78" w:rsidDel="00920685">
        <w:rPr>
          <w:rFonts w:eastAsia="Calibri"/>
        </w:rPr>
        <w:t xml:space="preserve"> </w:t>
      </w:r>
      <w:r w:rsidRPr="00677B78">
        <w:rPr>
          <w:rFonts w:eastAsia="Calibri"/>
        </w:rPr>
        <w:t xml:space="preserve">ruled on 17 July 2014 in its decision on the joint cases of </w:t>
      </w:r>
      <w:proofErr w:type="spellStart"/>
      <w:r w:rsidRPr="004168B8">
        <w:rPr>
          <w:rFonts w:eastAsia="Calibri"/>
          <w:i/>
        </w:rPr>
        <w:t>Bero</w:t>
      </w:r>
      <w:proofErr w:type="spellEnd"/>
      <w:r w:rsidRPr="004168B8">
        <w:rPr>
          <w:rFonts w:eastAsia="Calibri"/>
          <w:i/>
        </w:rPr>
        <w:t xml:space="preserve"> </w:t>
      </w:r>
      <w:r w:rsidR="0013400B" w:rsidRPr="004168B8">
        <w:rPr>
          <w:rFonts w:eastAsia="Calibri"/>
          <w:i/>
        </w:rPr>
        <w:t>and</w:t>
      </w:r>
      <w:r w:rsidRPr="004168B8">
        <w:rPr>
          <w:rFonts w:eastAsia="Calibri"/>
          <w:i/>
        </w:rPr>
        <w:t xml:space="preserve"> </w:t>
      </w:r>
      <w:proofErr w:type="spellStart"/>
      <w:r w:rsidRPr="004168B8">
        <w:rPr>
          <w:rFonts w:eastAsia="Calibri"/>
          <w:i/>
        </w:rPr>
        <w:t>Bouzalmate</w:t>
      </w:r>
      <w:proofErr w:type="spellEnd"/>
      <w:r w:rsidR="00164138" w:rsidRPr="00873BBE">
        <w:rPr>
          <w:rFonts w:eastAsia="Calibri"/>
        </w:rPr>
        <w:t>,</w:t>
      </w:r>
      <w:r w:rsidRPr="00873BBE">
        <w:rPr>
          <w:rFonts w:eastAsia="Calibri"/>
        </w:rPr>
        <w:t xml:space="preserve"> and the case of </w:t>
      </w:r>
      <w:r w:rsidRPr="004168B8">
        <w:rPr>
          <w:rFonts w:eastAsia="Calibri"/>
          <w:i/>
        </w:rPr>
        <w:t>Pham</w:t>
      </w:r>
      <w:r w:rsidR="00164138">
        <w:rPr>
          <w:rFonts w:eastAsia="Calibri"/>
        </w:rPr>
        <w:t>,</w:t>
      </w:r>
      <w:r w:rsidRPr="00677B78">
        <w:rPr>
          <w:rFonts w:eastAsia="Calibri"/>
        </w:rPr>
        <w:t xml:space="preserve"> that a </w:t>
      </w:r>
      <w:r w:rsidRPr="000C4AAE">
        <w:rPr>
          <w:rFonts w:eastAsia="Calibri"/>
        </w:rPr>
        <w:t>M</w:t>
      </w:r>
      <w:r w:rsidRPr="00677B78">
        <w:rPr>
          <w:rFonts w:eastAsia="Calibri"/>
        </w:rPr>
        <w:t xml:space="preserve">ember </w:t>
      </w:r>
      <w:r w:rsidRPr="000C4AAE">
        <w:rPr>
          <w:rFonts w:eastAsia="Calibri"/>
        </w:rPr>
        <w:t>S</w:t>
      </w:r>
      <w:r w:rsidRPr="00677B78">
        <w:rPr>
          <w:rFonts w:eastAsia="Calibri"/>
        </w:rPr>
        <w:t xml:space="preserve">tate </w:t>
      </w:r>
      <w:r w:rsidR="00164138">
        <w:rPr>
          <w:rFonts w:eastAsia="Calibri"/>
        </w:rPr>
        <w:t>—</w:t>
      </w:r>
      <w:r w:rsidRPr="00677B78">
        <w:rPr>
          <w:rFonts w:eastAsia="Calibri"/>
        </w:rPr>
        <w:t xml:space="preserve"> irrespective of its federal structure </w:t>
      </w:r>
      <w:r w:rsidR="00164138">
        <w:rPr>
          <w:rFonts w:eastAsia="Calibri"/>
        </w:rPr>
        <w:t>—</w:t>
      </w:r>
      <w:r w:rsidRPr="00677B78">
        <w:rPr>
          <w:rFonts w:eastAsia="Calibri"/>
        </w:rPr>
        <w:t xml:space="preserve"> cannot rely on the fact that there are no specialized detention facilities in a part of its territory to justify keeping aliens in an ordinary prison pending their removal (</w:t>
      </w:r>
      <w:proofErr w:type="spellStart"/>
      <w:r w:rsidRPr="004168B8">
        <w:rPr>
          <w:rFonts w:eastAsia="Calibri"/>
          <w:i/>
        </w:rPr>
        <w:t>Bero</w:t>
      </w:r>
      <w:proofErr w:type="spellEnd"/>
      <w:r w:rsidRPr="004168B8">
        <w:rPr>
          <w:rFonts w:eastAsia="Calibri"/>
          <w:i/>
        </w:rPr>
        <w:t xml:space="preserve"> </w:t>
      </w:r>
      <w:r w:rsidR="0013400B" w:rsidRPr="004168B8">
        <w:rPr>
          <w:rFonts w:eastAsia="Calibri"/>
          <w:i/>
        </w:rPr>
        <w:t>and</w:t>
      </w:r>
      <w:r w:rsidRPr="004168B8">
        <w:rPr>
          <w:rFonts w:eastAsia="Calibri"/>
          <w:i/>
        </w:rPr>
        <w:t xml:space="preserve"> </w:t>
      </w:r>
      <w:proofErr w:type="spellStart"/>
      <w:r w:rsidRPr="004168B8">
        <w:rPr>
          <w:rFonts w:eastAsia="Calibri"/>
          <w:i/>
        </w:rPr>
        <w:t>Bouzalmate</w:t>
      </w:r>
      <w:proofErr w:type="spellEnd"/>
      <w:r w:rsidRPr="00677B78">
        <w:rPr>
          <w:rFonts w:eastAsia="Calibri"/>
        </w:rPr>
        <w:t>), and that the same rule applies even if the migration detainee has consented to being confined in a penitentiary (</w:t>
      </w:r>
      <w:r w:rsidRPr="004168B8">
        <w:rPr>
          <w:rFonts w:eastAsia="Calibri"/>
          <w:i/>
        </w:rPr>
        <w:t>Pham</w:t>
      </w:r>
      <w:r w:rsidRPr="00677B78">
        <w:rPr>
          <w:rFonts w:eastAsia="Calibri"/>
        </w:rPr>
        <w:t xml:space="preserve">). Thus, several </w:t>
      </w:r>
      <w:proofErr w:type="spellStart"/>
      <w:r w:rsidR="004471C8">
        <w:rPr>
          <w:rFonts w:eastAsia="Calibri"/>
        </w:rPr>
        <w:t>Länder</w:t>
      </w:r>
      <w:proofErr w:type="spellEnd"/>
      <w:r w:rsidR="004471C8">
        <w:rPr>
          <w:rFonts w:eastAsia="Calibri"/>
        </w:rPr>
        <w:t xml:space="preserve"> </w:t>
      </w:r>
      <w:r w:rsidRPr="00677B78">
        <w:rPr>
          <w:rFonts w:eastAsia="Calibri"/>
        </w:rPr>
        <w:t xml:space="preserve">had to find other practical solutions. </w:t>
      </w:r>
    </w:p>
    <w:p w:rsidR="00677B78" w:rsidRPr="00677B78" w:rsidRDefault="00677B78" w:rsidP="005A1A46">
      <w:pPr>
        <w:pStyle w:val="SingleTxtG"/>
        <w:numPr>
          <w:ilvl w:val="2"/>
          <w:numId w:val="7"/>
        </w:numPr>
        <w:tabs>
          <w:tab w:val="clear" w:pos="2774"/>
        </w:tabs>
        <w:ind w:left="1134" w:firstLine="0"/>
        <w:rPr>
          <w:rFonts w:eastAsia="Calibri"/>
        </w:rPr>
      </w:pPr>
      <w:r w:rsidRPr="000C4AAE">
        <w:rPr>
          <w:rFonts w:eastAsia="Calibri"/>
        </w:rPr>
        <w:t>T</w:t>
      </w:r>
      <w:r w:rsidRPr="00677B78">
        <w:rPr>
          <w:rFonts w:eastAsia="Calibri"/>
        </w:rPr>
        <w:t xml:space="preserve">he decision of the </w:t>
      </w:r>
      <w:r w:rsidR="0013400B" w:rsidRPr="00677B78">
        <w:rPr>
          <w:rFonts w:eastAsia="Calibri"/>
        </w:rPr>
        <w:t>Court of Justice of the European Union</w:t>
      </w:r>
      <w:r w:rsidR="0013400B" w:rsidRPr="00677B78" w:rsidDel="0013400B">
        <w:rPr>
          <w:rFonts w:eastAsia="Calibri"/>
        </w:rPr>
        <w:t xml:space="preserve"> </w:t>
      </w:r>
      <w:r w:rsidRPr="00677B78">
        <w:rPr>
          <w:rFonts w:eastAsia="Calibri"/>
        </w:rPr>
        <w:t xml:space="preserve">resulted in several </w:t>
      </w:r>
      <w:proofErr w:type="spellStart"/>
      <w:r w:rsidR="004471C8">
        <w:rPr>
          <w:rFonts w:eastAsia="Calibri"/>
        </w:rPr>
        <w:t>Länder</w:t>
      </w:r>
      <w:proofErr w:type="spellEnd"/>
      <w:r w:rsidR="004471C8">
        <w:rPr>
          <w:rFonts w:eastAsia="Calibri"/>
        </w:rPr>
        <w:t xml:space="preserve"> </w:t>
      </w:r>
      <w:r w:rsidRPr="00677B78">
        <w:rPr>
          <w:rFonts w:eastAsia="Calibri"/>
        </w:rPr>
        <w:t>not being able to accommodate their pre-removal detainees anymore. As a consequence, some of them are transferring them to other</w:t>
      </w:r>
      <w:r w:rsidR="004471C8">
        <w:rPr>
          <w:rFonts w:eastAsia="Calibri"/>
        </w:rPr>
        <w:t xml:space="preserve"> </w:t>
      </w:r>
      <w:proofErr w:type="spellStart"/>
      <w:r w:rsidR="004471C8">
        <w:rPr>
          <w:rFonts w:eastAsia="Calibri"/>
        </w:rPr>
        <w:t>Länder</w:t>
      </w:r>
      <w:proofErr w:type="spellEnd"/>
      <w:r w:rsidR="00DE5DC1">
        <w:rPr>
          <w:rFonts w:eastAsia="Calibri"/>
        </w:rPr>
        <w:t>, such</w:t>
      </w:r>
      <w:r w:rsidRPr="00677B78">
        <w:rPr>
          <w:rFonts w:eastAsia="Calibri"/>
        </w:rPr>
        <w:t xml:space="preserve"> as Berlin, where separated immigration detention facilities exist</w:t>
      </w:r>
      <w:r w:rsidR="00DE7965">
        <w:rPr>
          <w:rFonts w:eastAsia="Calibri"/>
        </w:rPr>
        <w:t>. S</w:t>
      </w:r>
      <w:r w:rsidRPr="00677B78">
        <w:rPr>
          <w:rFonts w:eastAsia="Calibri"/>
        </w:rPr>
        <w:t>uch practice was explicitly regarded as compatible with Directive</w:t>
      </w:r>
      <w:r w:rsidR="00D85027">
        <w:rPr>
          <w:rFonts w:eastAsia="Calibri"/>
        </w:rPr>
        <w:t xml:space="preserve"> </w:t>
      </w:r>
      <w:r w:rsidR="00D85027" w:rsidRPr="00677B78">
        <w:rPr>
          <w:rFonts w:eastAsia="Calibri"/>
        </w:rPr>
        <w:t>2008/115/EC</w:t>
      </w:r>
      <w:r w:rsidRPr="00677B78">
        <w:rPr>
          <w:rFonts w:eastAsia="Calibri"/>
        </w:rPr>
        <w:t xml:space="preserve"> by the </w:t>
      </w:r>
      <w:r w:rsidR="0013400B">
        <w:rPr>
          <w:rFonts w:eastAsia="Calibri"/>
        </w:rPr>
        <w:t>Court</w:t>
      </w:r>
      <w:r w:rsidRPr="00677B78">
        <w:rPr>
          <w:rFonts w:eastAsia="Calibri"/>
        </w:rPr>
        <w:t xml:space="preserve">. In fact, some large detention </w:t>
      </w:r>
      <w:r w:rsidR="008C0517" w:rsidRPr="00677B78">
        <w:rPr>
          <w:rFonts w:eastAsia="Calibri"/>
        </w:rPr>
        <w:t>centres</w:t>
      </w:r>
      <w:r w:rsidRPr="00677B78">
        <w:rPr>
          <w:rFonts w:eastAsia="Calibri"/>
        </w:rPr>
        <w:t xml:space="preserve"> (such as the </w:t>
      </w:r>
      <w:proofErr w:type="spellStart"/>
      <w:r w:rsidRPr="00677B78">
        <w:rPr>
          <w:rFonts w:eastAsia="Calibri"/>
        </w:rPr>
        <w:t>Büren</w:t>
      </w:r>
      <w:proofErr w:type="spellEnd"/>
      <w:r w:rsidRPr="00677B78">
        <w:rPr>
          <w:rFonts w:eastAsia="Calibri"/>
        </w:rPr>
        <w:t xml:space="preserve"> </w:t>
      </w:r>
      <w:r w:rsidR="0013400B" w:rsidRPr="00677B78">
        <w:rPr>
          <w:rFonts w:eastAsia="Calibri"/>
        </w:rPr>
        <w:t xml:space="preserve">prison </w:t>
      </w:r>
      <w:r w:rsidRPr="00677B78">
        <w:rPr>
          <w:rFonts w:eastAsia="Calibri"/>
        </w:rPr>
        <w:t xml:space="preserve">in North-Rhine-Westphalia) </w:t>
      </w:r>
      <w:r w:rsidR="00D85027">
        <w:rPr>
          <w:rFonts w:eastAsia="Calibri"/>
        </w:rPr>
        <w:t>that</w:t>
      </w:r>
      <w:r w:rsidR="00D85027" w:rsidRPr="00677B78">
        <w:rPr>
          <w:rFonts w:eastAsia="Calibri"/>
        </w:rPr>
        <w:t xml:space="preserve"> </w:t>
      </w:r>
      <w:r w:rsidRPr="00677B78">
        <w:rPr>
          <w:rFonts w:eastAsia="Calibri"/>
        </w:rPr>
        <w:t>had served as a detention facility for significant numbers of pre-removal detainees are no</w:t>
      </w:r>
      <w:r w:rsidR="0013400B">
        <w:rPr>
          <w:rFonts w:eastAsia="Calibri"/>
        </w:rPr>
        <w:t xml:space="preserve"> longer</w:t>
      </w:r>
      <w:r w:rsidRPr="00677B78">
        <w:rPr>
          <w:rFonts w:eastAsia="Calibri"/>
        </w:rPr>
        <w:t xml:space="preserve"> used for </w:t>
      </w:r>
      <w:r w:rsidR="00D85027">
        <w:rPr>
          <w:rFonts w:eastAsia="Calibri"/>
        </w:rPr>
        <w:t>that purpose</w:t>
      </w:r>
      <w:r w:rsidRPr="00677B78">
        <w:rPr>
          <w:rFonts w:eastAsia="Calibri"/>
        </w:rPr>
        <w:t xml:space="preserve">. </w:t>
      </w:r>
    </w:p>
    <w:p w:rsidR="00677B78" w:rsidRPr="00677B78" w:rsidRDefault="00677B78" w:rsidP="005A1A46">
      <w:pPr>
        <w:pStyle w:val="SingleTxtG"/>
        <w:numPr>
          <w:ilvl w:val="2"/>
          <w:numId w:val="7"/>
        </w:numPr>
        <w:tabs>
          <w:tab w:val="clear" w:pos="2774"/>
        </w:tabs>
        <w:ind w:left="1134" w:firstLine="0"/>
        <w:rPr>
          <w:rFonts w:eastAsia="Calibri"/>
        </w:rPr>
      </w:pPr>
      <w:r w:rsidRPr="00677B78">
        <w:rPr>
          <w:rFonts w:eastAsia="Calibri"/>
        </w:rPr>
        <w:t xml:space="preserve">Furthermore, </w:t>
      </w:r>
      <w:r w:rsidR="00DB6D4E">
        <w:rPr>
          <w:rFonts w:eastAsia="Calibri"/>
        </w:rPr>
        <w:t>at</w:t>
      </w:r>
      <w:r w:rsidR="00DB6D4E" w:rsidRPr="00677B78">
        <w:rPr>
          <w:rFonts w:eastAsia="Calibri"/>
        </w:rPr>
        <w:t xml:space="preserve"> </w:t>
      </w:r>
      <w:r w:rsidRPr="00677B78">
        <w:rPr>
          <w:rFonts w:eastAsia="Calibri"/>
        </w:rPr>
        <w:t>the political level, there are discussions about the abolition of immigration detention and the removal of immigration detention facilities in general.</w:t>
      </w:r>
    </w:p>
    <w:p w:rsidR="00677B78" w:rsidRPr="00677B78" w:rsidRDefault="00677B78" w:rsidP="005A1A46">
      <w:pPr>
        <w:pStyle w:val="SingleTxtG"/>
        <w:numPr>
          <w:ilvl w:val="2"/>
          <w:numId w:val="7"/>
        </w:numPr>
        <w:tabs>
          <w:tab w:val="clear" w:pos="2774"/>
        </w:tabs>
        <w:ind w:left="1134" w:firstLine="0"/>
        <w:rPr>
          <w:rFonts w:eastAsia="Calibri"/>
        </w:rPr>
      </w:pPr>
      <w:r w:rsidRPr="00677B78">
        <w:rPr>
          <w:rFonts w:eastAsia="Calibri"/>
        </w:rPr>
        <w:t>Pre-</w:t>
      </w:r>
      <w:r w:rsidR="008C0517" w:rsidRPr="00677B78">
        <w:rPr>
          <w:rFonts w:eastAsia="Calibri"/>
        </w:rPr>
        <w:t>deportation</w:t>
      </w:r>
      <w:r w:rsidRPr="00677B78">
        <w:rPr>
          <w:rFonts w:eastAsia="Calibri"/>
        </w:rPr>
        <w:t xml:space="preserve"> detention has also been applied for securing asylum seekers’ Dublin transfers to another member </w:t>
      </w:r>
      <w:r w:rsidR="00DB6D4E">
        <w:rPr>
          <w:rFonts w:eastAsia="Calibri"/>
        </w:rPr>
        <w:t>S</w:t>
      </w:r>
      <w:r w:rsidRPr="00677B78">
        <w:rPr>
          <w:rFonts w:eastAsia="Calibri"/>
        </w:rPr>
        <w:t>tate</w:t>
      </w:r>
      <w:r w:rsidR="00DB6D4E">
        <w:rPr>
          <w:rFonts w:eastAsia="Calibri"/>
        </w:rPr>
        <w:t xml:space="preserve"> of the European Union</w:t>
      </w:r>
      <w:r w:rsidRPr="00677B78">
        <w:rPr>
          <w:rFonts w:eastAsia="Calibri"/>
        </w:rPr>
        <w:t xml:space="preserve"> determined to be responsible according to the </w:t>
      </w:r>
      <w:r w:rsidRPr="006E3936">
        <w:rPr>
          <w:rFonts w:eastAsia="Calibri"/>
        </w:rPr>
        <w:t>Dublin</w:t>
      </w:r>
      <w:r w:rsidR="006E3936">
        <w:rPr>
          <w:rFonts w:eastAsia="Calibri"/>
        </w:rPr>
        <w:t xml:space="preserve"> II</w:t>
      </w:r>
      <w:r w:rsidRPr="006E3936">
        <w:rPr>
          <w:rFonts w:eastAsia="Calibri"/>
        </w:rPr>
        <w:t xml:space="preserve"> Regulation.</w:t>
      </w:r>
      <w:r w:rsidRPr="00677B78">
        <w:rPr>
          <w:rFonts w:eastAsia="Calibri"/>
        </w:rPr>
        <w:t xml:space="preserve"> </w:t>
      </w:r>
    </w:p>
    <w:p w:rsidR="00677B78" w:rsidRPr="000C4AAE" w:rsidRDefault="00677B78" w:rsidP="00BE4ADB">
      <w:pPr>
        <w:pStyle w:val="SingleTxtG"/>
        <w:numPr>
          <w:ilvl w:val="2"/>
          <w:numId w:val="7"/>
        </w:numPr>
        <w:tabs>
          <w:tab w:val="clear" w:pos="2774"/>
        </w:tabs>
        <w:ind w:left="1134" w:firstLine="0"/>
        <w:rPr>
          <w:rFonts w:eastAsia="Calibri"/>
        </w:rPr>
      </w:pPr>
      <w:r w:rsidRPr="00677B78">
        <w:rPr>
          <w:rFonts w:eastAsia="Calibri"/>
        </w:rPr>
        <w:t xml:space="preserve">Under the new </w:t>
      </w:r>
      <w:r w:rsidR="006E3936" w:rsidRPr="006E3936">
        <w:rPr>
          <w:rFonts w:eastAsia="Calibri"/>
          <w:bCs/>
        </w:rPr>
        <w:t xml:space="preserve">Regulation </w:t>
      </w:r>
      <w:r w:rsidR="006E3936" w:rsidRPr="004168B8">
        <w:rPr>
          <w:rFonts w:eastAsia="Calibri"/>
          <w:bCs/>
        </w:rPr>
        <w:t>No</w:t>
      </w:r>
      <w:r w:rsidR="006E3936">
        <w:rPr>
          <w:rFonts w:eastAsia="Calibri"/>
          <w:bCs/>
        </w:rPr>
        <w:t>.</w:t>
      </w:r>
      <w:r w:rsidR="006E3936" w:rsidRPr="004168B8">
        <w:rPr>
          <w:rFonts w:eastAsia="Calibri"/>
          <w:bCs/>
        </w:rPr>
        <w:t>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r w:rsidR="006E3936" w:rsidRPr="006E3936" w:rsidDel="006E3936">
        <w:rPr>
          <w:rFonts w:eastAsia="Calibri"/>
        </w:rPr>
        <w:t xml:space="preserve"> </w:t>
      </w:r>
      <w:r w:rsidRPr="006E3936">
        <w:rPr>
          <w:rFonts w:eastAsia="Calibri"/>
        </w:rPr>
        <w:t>(</w:t>
      </w:r>
      <w:r w:rsidR="00D85027">
        <w:rPr>
          <w:rFonts w:eastAsia="Calibri"/>
        </w:rPr>
        <w:t xml:space="preserve">the </w:t>
      </w:r>
      <w:r w:rsidRPr="006E3936">
        <w:rPr>
          <w:rFonts w:eastAsia="Calibri"/>
        </w:rPr>
        <w:t>Dublin III</w:t>
      </w:r>
      <w:r w:rsidR="006E3936">
        <w:rPr>
          <w:rFonts w:eastAsia="Calibri"/>
        </w:rPr>
        <w:t xml:space="preserve"> Regulation</w:t>
      </w:r>
      <w:r w:rsidRPr="006E3936">
        <w:rPr>
          <w:rFonts w:eastAsia="Calibri"/>
        </w:rPr>
        <w:t>)</w:t>
      </w:r>
      <w:r w:rsidRPr="00677B78">
        <w:rPr>
          <w:rFonts w:eastAsia="Calibri"/>
        </w:rPr>
        <w:t xml:space="preserve">, detention securing Dublin transfers of asylum seekers to another member </w:t>
      </w:r>
      <w:r w:rsidR="00DE7965">
        <w:rPr>
          <w:rFonts w:eastAsia="Calibri"/>
        </w:rPr>
        <w:t>S</w:t>
      </w:r>
      <w:r w:rsidRPr="00677B78">
        <w:rPr>
          <w:rFonts w:eastAsia="Calibri"/>
        </w:rPr>
        <w:t>tate</w:t>
      </w:r>
      <w:r w:rsidR="00DB6D4E">
        <w:rPr>
          <w:rFonts w:eastAsia="Calibri"/>
        </w:rPr>
        <w:t xml:space="preserve"> (to date</w:t>
      </w:r>
      <w:r w:rsidRPr="00677B78">
        <w:rPr>
          <w:rFonts w:eastAsia="Calibri"/>
        </w:rPr>
        <w:t xml:space="preserve"> based on certain provisions in national law</w:t>
      </w:r>
      <w:r w:rsidR="00DB6D4E">
        <w:rPr>
          <w:rFonts w:eastAsia="Calibri"/>
        </w:rPr>
        <w:t>)</w:t>
      </w:r>
      <w:r w:rsidRPr="00677B78">
        <w:rPr>
          <w:rFonts w:eastAsia="Calibri"/>
        </w:rPr>
        <w:t xml:space="preserve"> must be based on </w:t>
      </w:r>
      <w:r w:rsidR="00DB6D4E" w:rsidRPr="006E3936">
        <w:rPr>
          <w:rFonts w:eastAsia="Calibri"/>
        </w:rPr>
        <w:t>a</w:t>
      </w:r>
      <w:r w:rsidRPr="006E3936">
        <w:rPr>
          <w:rFonts w:eastAsia="Calibri"/>
        </w:rPr>
        <w:t>rt</w:t>
      </w:r>
      <w:r w:rsidR="00DB6D4E" w:rsidRPr="006E3936">
        <w:rPr>
          <w:rFonts w:eastAsia="Calibri"/>
        </w:rPr>
        <w:t>icle</w:t>
      </w:r>
      <w:r w:rsidRPr="006E3936">
        <w:rPr>
          <w:rFonts w:eastAsia="Calibri"/>
        </w:rPr>
        <w:t xml:space="preserve"> 28</w:t>
      </w:r>
      <w:r w:rsidR="00DB6D4E" w:rsidRPr="006E3936">
        <w:rPr>
          <w:rFonts w:eastAsia="Calibri"/>
        </w:rPr>
        <w:t xml:space="preserve"> of</w:t>
      </w:r>
      <w:r w:rsidRPr="006E3936">
        <w:rPr>
          <w:rFonts w:eastAsia="Calibri"/>
        </w:rPr>
        <w:t xml:space="preserve"> </w:t>
      </w:r>
      <w:r w:rsidR="006E3936">
        <w:rPr>
          <w:rFonts w:eastAsia="Calibri"/>
        </w:rPr>
        <w:t xml:space="preserve">the </w:t>
      </w:r>
      <w:r w:rsidRPr="006E3936">
        <w:rPr>
          <w:rFonts w:eastAsia="Calibri"/>
        </w:rPr>
        <w:t>Dublin</w:t>
      </w:r>
      <w:r w:rsidR="00DB6D4E" w:rsidRPr="006E3936">
        <w:rPr>
          <w:rFonts w:eastAsia="Calibri"/>
        </w:rPr>
        <w:t xml:space="preserve"> </w:t>
      </w:r>
      <w:r w:rsidRPr="006E3936">
        <w:rPr>
          <w:rFonts w:eastAsia="Calibri"/>
        </w:rPr>
        <w:t>III Regulation</w:t>
      </w:r>
      <w:r w:rsidRPr="00677B78">
        <w:rPr>
          <w:rFonts w:eastAsia="Calibri"/>
        </w:rPr>
        <w:t xml:space="preserve"> and the criteria set out there</w:t>
      </w:r>
      <w:r w:rsidR="00DB6D4E">
        <w:rPr>
          <w:rFonts w:eastAsia="Calibri"/>
        </w:rPr>
        <w:t>in</w:t>
      </w:r>
      <w:r w:rsidRPr="00817EA4">
        <w:rPr>
          <w:rFonts w:eastAsia="Calibri"/>
          <w:i/>
        </w:rPr>
        <w:t xml:space="preserve">. </w:t>
      </w:r>
      <w:r w:rsidRPr="004168B8">
        <w:rPr>
          <w:rFonts w:eastAsia="Calibri"/>
        </w:rPr>
        <w:t>Inter alia</w:t>
      </w:r>
      <w:r w:rsidRPr="00DB6D4E">
        <w:rPr>
          <w:rFonts w:eastAsia="Calibri"/>
        </w:rPr>
        <w:t>,</w:t>
      </w:r>
      <w:r w:rsidRPr="00677B78">
        <w:rPr>
          <w:rFonts w:eastAsia="Calibri"/>
        </w:rPr>
        <w:t xml:space="preserve"> this </w:t>
      </w:r>
      <w:r w:rsidR="008C0517" w:rsidRPr="00677B78">
        <w:rPr>
          <w:rFonts w:eastAsia="Calibri"/>
        </w:rPr>
        <w:t>requires</w:t>
      </w:r>
      <w:r w:rsidR="00817EA4">
        <w:rPr>
          <w:rFonts w:eastAsia="Calibri"/>
        </w:rPr>
        <w:t xml:space="preserve"> </w:t>
      </w:r>
      <w:r w:rsidR="00DB6D4E">
        <w:rPr>
          <w:rFonts w:eastAsia="Calibri"/>
        </w:rPr>
        <w:t>“</w:t>
      </w:r>
      <w:r w:rsidRPr="00677B78">
        <w:rPr>
          <w:rFonts w:eastAsia="Calibri"/>
        </w:rPr>
        <w:t>a significant risk of absconding”</w:t>
      </w:r>
      <w:r w:rsidR="00DB6D4E">
        <w:rPr>
          <w:rFonts w:eastAsia="Calibri"/>
        </w:rPr>
        <w:t xml:space="preserve"> to be present</w:t>
      </w:r>
      <w:r w:rsidRPr="00677B78">
        <w:rPr>
          <w:rFonts w:eastAsia="Calibri"/>
        </w:rPr>
        <w:t>.</w:t>
      </w:r>
    </w:p>
    <w:p w:rsidR="000C4AAE" w:rsidRPr="000C4AAE" w:rsidRDefault="00677B78" w:rsidP="00595341">
      <w:pPr>
        <w:pStyle w:val="SingleTxtG"/>
        <w:numPr>
          <w:ilvl w:val="2"/>
          <w:numId w:val="7"/>
        </w:numPr>
        <w:tabs>
          <w:tab w:val="clear" w:pos="2774"/>
        </w:tabs>
        <w:ind w:left="1134" w:firstLine="0"/>
        <w:rPr>
          <w:rFonts w:eastAsia="Calibri"/>
        </w:rPr>
      </w:pPr>
      <w:r w:rsidRPr="00677B78">
        <w:rPr>
          <w:rFonts w:eastAsia="Calibri"/>
        </w:rPr>
        <w:t>However,</w:t>
      </w:r>
      <w:r w:rsidR="0055374B">
        <w:rPr>
          <w:rFonts w:eastAsia="Calibri"/>
        </w:rPr>
        <w:t xml:space="preserve"> </w:t>
      </w:r>
      <w:r w:rsidR="00B536D1">
        <w:rPr>
          <w:rFonts w:eastAsia="Calibri"/>
        </w:rPr>
        <w:t>in accordance with</w:t>
      </w:r>
      <w:r w:rsidRPr="00677B78">
        <w:rPr>
          <w:rFonts w:eastAsia="Calibri"/>
        </w:rPr>
        <w:t xml:space="preserve"> </w:t>
      </w:r>
      <w:r w:rsidR="00B536D1" w:rsidRPr="006E3936">
        <w:rPr>
          <w:rFonts w:eastAsia="Calibri"/>
        </w:rPr>
        <w:t>a</w:t>
      </w:r>
      <w:r w:rsidRPr="006E3936">
        <w:rPr>
          <w:rFonts w:eastAsia="Calibri"/>
        </w:rPr>
        <w:t>rt</w:t>
      </w:r>
      <w:r w:rsidR="00164138" w:rsidRPr="006E3936">
        <w:rPr>
          <w:rFonts w:eastAsia="Calibri"/>
        </w:rPr>
        <w:t>icle </w:t>
      </w:r>
      <w:r w:rsidRPr="006E3936">
        <w:rPr>
          <w:rFonts w:eastAsia="Calibri"/>
        </w:rPr>
        <w:t>2</w:t>
      </w:r>
      <w:r w:rsidR="00164138" w:rsidRPr="006E3936">
        <w:rPr>
          <w:rFonts w:eastAsia="Calibri"/>
        </w:rPr>
        <w:t> </w:t>
      </w:r>
      <w:r w:rsidR="00B536D1" w:rsidRPr="006E3936">
        <w:rPr>
          <w:rFonts w:eastAsia="Calibri"/>
        </w:rPr>
        <w:t>(</w:t>
      </w:r>
      <w:r w:rsidRPr="006E3936">
        <w:rPr>
          <w:rFonts w:eastAsia="Calibri"/>
        </w:rPr>
        <w:t>n)</w:t>
      </w:r>
      <w:r w:rsidR="00B536D1" w:rsidRPr="006E3936">
        <w:rPr>
          <w:rFonts w:eastAsia="Calibri"/>
        </w:rPr>
        <w:t xml:space="preserve"> of the</w:t>
      </w:r>
      <w:r w:rsidRPr="006E3936">
        <w:rPr>
          <w:rFonts w:eastAsia="Calibri"/>
        </w:rPr>
        <w:t xml:space="preserve"> Dublin </w:t>
      </w:r>
      <w:r w:rsidR="006E3936">
        <w:rPr>
          <w:rFonts w:eastAsia="Calibri"/>
        </w:rPr>
        <w:t xml:space="preserve">III </w:t>
      </w:r>
      <w:r w:rsidRPr="006E3936">
        <w:rPr>
          <w:rFonts w:eastAsia="Calibri"/>
        </w:rPr>
        <w:t>Regulation</w:t>
      </w:r>
      <w:r w:rsidR="00B536D1" w:rsidRPr="006E3936">
        <w:rPr>
          <w:rFonts w:eastAsia="Calibri"/>
        </w:rPr>
        <w:t>,</w:t>
      </w:r>
      <w:r w:rsidRPr="00677B78">
        <w:rPr>
          <w:rFonts w:eastAsia="Calibri"/>
        </w:rPr>
        <w:t xml:space="preserve"> objective criteria for </w:t>
      </w:r>
      <w:r w:rsidR="00164138">
        <w:rPr>
          <w:rFonts w:eastAsia="Calibri"/>
        </w:rPr>
        <w:t>“</w:t>
      </w:r>
      <w:r w:rsidRPr="00677B78">
        <w:rPr>
          <w:rFonts w:eastAsia="Calibri"/>
        </w:rPr>
        <w:t>risk of absconding</w:t>
      </w:r>
      <w:r w:rsidR="00164138">
        <w:rPr>
          <w:rFonts w:eastAsia="Calibri"/>
        </w:rPr>
        <w:t>”</w:t>
      </w:r>
      <w:r w:rsidRPr="00677B78">
        <w:rPr>
          <w:rFonts w:eastAsia="Calibri"/>
        </w:rPr>
        <w:t xml:space="preserve"> </w:t>
      </w:r>
      <w:r w:rsidR="00B536D1">
        <w:rPr>
          <w:rFonts w:eastAsia="Calibri"/>
        </w:rPr>
        <w:t>must be set out in</w:t>
      </w:r>
      <w:r w:rsidR="00B536D1" w:rsidRPr="00677B78">
        <w:rPr>
          <w:rFonts w:eastAsia="Calibri"/>
        </w:rPr>
        <w:t xml:space="preserve"> </w:t>
      </w:r>
      <w:r w:rsidRPr="00677B78">
        <w:rPr>
          <w:rFonts w:eastAsia="Calibri"/>
        </w:rPr>
        <w:t xml:space="preserve">national law. The Federal Court of Justice decided recently that the most relevant existing national provisions do not comply with </w:t>
      </w:r>
      <w:r w:rsidR="00B536D1">
        <w:rPr>
          <w:rFonts w:eastAsia="Calibri"/>
        </w:rPr>
        <w:t>a</w:t>
      </w:r>
      <w:r w:rsidRPr="00677B78">
        <w:rPr>
          <w:rFonts w:eastAsia="Calibri"/>
        </w:rPr>
        <w:t>rt</w:t>
      </w:r>
      <w:r w:rsidR="00164138">
        <w:rPr>
          <w:rFonts w:eastAsia="Calibri"/>
        </w:rPr>
        <w:t>icle </w:t>
      </w:r>
      <w:r w:rsidRPr="00677B78">
        <w:rPr>
          <w:rFonts w:eastAsia="Calibri"/>
        </w:rPr>
        <w:t>2</w:t>
      </w:r>
      <w:r w:rsidR="00164138">
        <w:rPr>
          <w:rFonts w:eastAsia="Calibri"/>
        </w:rPr>
        <w:t> </w:t>
      </w:r>
      <w:r w:rsidR="00B536D1">
        <w:rPr>
          <w:rFonts w:eastAsia="Calibri"/>
        </w:rPr>
        <w:t>(</w:t>
      </w:r>
      <w:r w:rsidRPr="00677B78">
        <w:rPr>
          <w:rFonts w:eastAsia="Calibri"/>
        </w:rPr>
        <w:t>n)</w:t>
      </w:r>
      <w:r w:rsidR="00B536D1">
        <w:rPr>
          <w:rFonts w:eastAsia="Calibri"/>
        </w:rPr>
        <w:t>,</w:t>
      </w:r>
      <w:r w:rsidRPr="00677B78">
        <w:rPr>
          <w:rFonts w:eastAsia="Calibri"/>
        </w:rPr>
        <w:t xml:space="preserve"> so there is currently no legal basis for Dublin detention, as a rule; certain rather exceptional situations of a risk of absconding were considered</w:t>
      </w:r>
      <w:r w:rsidR="00D85027">
        <w:rPr>
          <w:rFonts w:eastAsia="Calibri"/>
        </w:rPr>
        <w:t xml:space="preserve"> by</w:t>
      </w:r>
      <w:r w:rsidRPr="00677B78">
        <w:rPr>
          <w:rFonts w:eastAsia="Calibri"/>
        </w:rPr>
        <w:t xml:space="preserve"> </w:t>
      </w:r>
      <w:r w:rsidR="00D85027" w:rsidRPr="00677B78">
        <w:rPr>
          <w:rFonts w:eastAsia="Calibri"/>
        </w:rPr>
        <w:t xml:space="preserve">the Federal Court </w:t>
      </w:r>
      <w:r w:rsidR="00D85027" w:rsidRPr="00677B78">
        <w:rPr>
          <w:rFonts w:eastAsia="Calibri"/>
        </w:rPr>
        <w:lastRenderedPageBreak/>
        <w:t xml:space="preserve">of Justice </w:t>
      </w:r>
      <w:r w:rsidRPr="00677B78">
        <w:rPr>
          <w:rFonts w:eastAsia="Calibri"/>
        </w:rPr>
        <w:t xml:space="preserve">to be sufficiently defined as to constitute a provision in </w:t>
      </w:r>
      <w:r w:rsidR="00B536D1">
        <w:rPr>
          <w:rFonts w:eastAsia="Calibri"/>
        </w:rPr>
        <w:t>accordance</w:t>
      </w:r>
      <w:r w:rsidR="00B536D1" w:rsidRPr="00677B78">
        <w:rPr>
          <w:rFonts w:eastAsia="Calibri"/>
        </w:rPr>
        <w:t xml:space="preserve"> </w:t>
      </w:r>
      <w:r w:rsidRPr="00677B78">
        <w:rPr>
          <w:rFonts w:eastAsia="Calibri"/>
        </w:rPr>
        <w:t xml:space="preserve">with </w:t>
      </w:r>
      <w:r w:rsidR="00B536D1" w:rsidRPr="006E3936">
        <w:rPr>
          <w:rFonts w:eastAsia="Calibri"/>
        </w:rPr>
        <w:t>a</w:t>
      </w:r>
      <w:r w:rsidRPr="006E3936">
        <w:rPr>
          <w:rFonts w:eastAsia="Calibri"/>
        </w:rPr>
        <w:t>rt</w:t>
      </w:r>
      <w:r w:rsidR="00164138" w:rsidRPr="006E3936">
        <w:rPr>
          <w:rFonts w:eastAsia="Calibri"/>
        </w:rPr>
        <w:t>icle </w:t>
      </w:r>
      <w:r w:rsidRPr="006E3936">
        <w:rPr>
          <w:rFonts w:eastAsia="Calibri"/>
        </w:rPr>
        <w:t>2</w:t>
      </w:r>
      <w:r w:rsidR="00164138" w:rsidRPr="006E3936">
        <w:rPr>
          <w:rFonts w:eastAsia="Calibri"/>
        </w:rPr>
        <w:t> </w:t>
      </w:r>
      <w:r w:rsidR="00B536D1" w:rsidRPr="006E3936">
        <w:rPr>
          <w:rFonts w:eastAsia="Calibri"/>
        </w:rPr>
        <w:t>(</w:t>
      </w:r>
      <w:r w:rsidRPr="006E3936">
        <w:rPr>
          <w:rFonts w:eastAsia="Calibri"/>
        </w:rPr>
        <w:t xml:space="preserve">n) </w:t>
      </w:r>
      <w:r w:rsidR="00B536D1" w:rsidRPr="006E3936">
        <w:rPr>
          <w:rFonts w:eastAsia="Calibri"/>
        </w:rPr>
        <w:t xml:space="preserve">of the </w:t>
      </w:r>
      <w:r w:rsidRPr="006E3936">
        <w:rPr>
          <w:rFonts w:eastAsia="Calibri"/>
        </w:rPr>
        <w:t>Dublin</w:t>
      </w:r>
      <w:r w:rsidR="00B536D1" w:rsidRPr="006E3936">
        <w:rPr>
          <w:rFonts w:eastAsia="Calibri"/>
        </w:rPr>
        <w:t xml:space="preserve"> </w:t>
      </w:r>
      <w:r w:rsidRPr="006E3936">
        <w:rPr>
          <w:rFonts w:eastAsia="Calibri"/>
        </w:rPr>
        <w:t>III Regulation</w:t>
      </w:r>
      <w:r w:rsidRPr="00677B78">
        <w:rPr>
          <w:rFonts w:eastAsia="Calibri"/>
        </w:rPr>
        <w:t xml:space="preserve"> (for instance, a change of the place of stay without informing the authorities </w:t>
      </w:r>
      <w:r w:rsidR="00B536D1">
        <w:rPr>
          <w:rFonts w:eastAsia="Calibri"/>
        </w:rPr>
        <w:t>of</w:t>
      </w:r>
      <w:r w:rsidR="00B536D1" w:rsidRPr="00677B78">
        <w:rPr>
          <w:rFonts w:eastAsia="Calibri"/>
        </w:rPr>
        <w:t xml:space="preserve"> </w:t>
      </w:r>
      <w:r w:rsidR="00B536D1">
        <w:rPr>
          <w:rFonts w:eastAsia="Calibri"/>
        </w:rPr>
        <w:t>the new</w:t>
      </w:r>
      <w:r w:rsidR="00B536D1" w:rsidRPr="00677B78">
        <w:rPr>
          <w:rFonts w:eastAsia="Calibri"/>
        </w:rPr>
        <w:t xml:space="preserve"> </w:t>
      </w:r>
      <w:r w:rsidRPr="00677B78">
        <w:rPr>
          <w:rFonts w:eastAsia="Calibri"/>
        </w:rPr>
        <w:t>address).</w:t>
      </w:r>
      <w:r w:rsidRPr="00595341">
        <w:rPr>
          <w:rStyle w:val="FootnoteReference"/>
          <w:rFonts w:eastAsia="Calibri"/>
        </w:rPr>
        <w:footnoteReference w:id="13"/>
      </w:r>
      <w:r w:rsidRPr="00677B78">
        <w:rPr>
          <w:rFonts w:eastAsia="Calibri"/>
        </w:rPr>
        <w:t xml:space="preserve"> </w:t>
      </w:r>
    </w:p>
    <w:p w:rsidR="00677B78" w:rsidRDefault="00677B78" w:rsidP="005A1A46">
      <w:pPr>
        <w:pStyle w:val="SingleTxtG"/>
        <w:numPr>
          <w:ilvl w:val="2"/>
          <w:numId w:val="7"/>
        </w:numPr>
        <w:tabs>
          <w:tab w:val="clear" w:pos="2774"/>
        </w:tabs>
        <w:ind w:left="1134" w:firstLine="0"/>
        <w:rPr>
          <w:rFonts w:eastAsia="Calibri"/>
        </w:rPr>
      </w:pPr>
      <w:r w:rsidRPr="00677B78">
        <w:rPr>
          <w:rFonts w:eastAsia="Calibri"/>
        </w:rPr>
        <w:t xml:space="preserve">This led to a situation where there is practically no pre-deportation detention of asylum seekers for securing </w:t>
      </w:r>
      <w:r w:rsidR="006E3936">
        <w:rPr>
          <w:rFonts w:eastAsia="Calibri"/>
        </w:rPr>
        <w:t>“</w:t>
      </w:r>
      <w:r w:rsidRPr="006E3936">
        <w:rPr>
          <w:rFonts w:eastAsia="Calibri"/>
        </w:rPr>
        <w:t>Dublin transfers</w:t>
      </w:r>
      <w:r w:rsidR="006E3936">
        <w:rPr>
          <w:rFonts w:eastAsia="Calibri"/>
        </w:rPr>
        <w:t>”</w:t>
      </w:r>
      <w:r w:rsidRPr="00677B78">
        <w:rPr>
          <w:rFonts w:eastAsia="Calibri"/>
        </w:rPr>
        <w:t xml:space="preserve"> in Germany at the </w:t>
      </w:r>
      <w:r w:rsidR="00562F1D">
        <w:rPr>
          <w:rFonts w:eastAsia="Calibri"/>
        </w:rPr>
        <w:t xml:space="preserve">time of the Working Group’s follow-up visit. </w:t>
      </w:r>
      <w:r w:rsidRPr="00677B78">
        <w:rPr>
          <w:rFonts w:eastAsia="Calibri"/>
        </w:rPr>
        <w:t xml:space="preserve">The Federal Government is working on the adoption of </w:t>
      </w:r>
      <w:r w:rsidR="00B536D1">
        <w:rPr>
          <w:rFonts w:eastAsia="Calibri"/>
        </w:rPr>
        <w:t>the necessary</w:t>
      </w:r>
      <w:r w:rsidR="00B536D1" w:rsidRPr="00677B78">
        <w:rPr>
          <w:rFonts w:eastAsia="Calibri"/>
        </w:rPr>
        <w:t xml:space="preserve"> </w:t>
      </w:r>
      <w:r w:rsidRPr="00677B78">
        <w:rPr>
          <w:rFonts w:eastAsia="Calibri"/>
        </w:rPr>
        <w:t>provisions</w:t>
      </w:r>
      <w:r w:rsidR="00562F1D">
        <w:rPr>
          <w:rFonts w:eastAsia="Calibri"/>
        </w:rPr>
        <w:t>.</w:t>
      </w:r>
      <w:r w:rsidRPr="00677B78">
        <w:rPr>
          <w:rFonts w:eastAsia="Calibri"/>
        </w:rPr>
        <w:t xml:space="preserve"> The process is ongoing and it is likely that </w:t>
      </w:r>
      <w:r w:rsidRPr="006E3936">
        <w:rPr>
          <w:rFonts w:eastAsia="Calibri"/>
        </w:rPr>
        <w:t>Dublin detention</w:t>
      </w:r>
      <w:r w:rsidR="00D85027">
        <w:rPr>
          <w:rFonts w:eastAsia="Calibri"/>
        </w:rPr>
        <w:t xml:space="preserve"> will</w:t>
      </w:r>
      <w:r w:rsidRPr="00677B78">
        <w:rPr>
          <w:rFonts w:eastAsia="Calibri"/>
        </w:rPr>
        <w:t xml:space="preserve"> become </w:t>
      </w:r>
      <w:r w:rsidR="00D85027">
        <w:rPr>
          <w:rFonts w:eastAsia="Calibri"/>
        </w:rPr>
        <w:t>relevant</w:t>
      </w:r>
      <w:r w:rsidRPr="00677B78">
        <w:rPr>
          <w:rFonts w:eastAsia="Calibri"/>
        </w:rPr>
        <w:t xml:space="preserve"> again after the ad</w:t>
      </w:r>
      <w:r w:rsidR="00B536D1">
        <w:rPr>
          <w:rFonts w:eastAsia="Calibri"/>
        </w:rPr>
        <w:t>o</w:t>
      </w:r>
      <w:r w:rsidRPr="00677B78">
        <w:rPr>
          <w:rFonts w:eastAsia="Calibri"/>
        </w:rPr>
        <w:t>ption of legal amendments.</w:t>
      </w:r>
    </w:p>
    <w:p w:rsidR="0055374B" w:rsidRPr="00677B78" w:rsidRDefault="0055374B" w:rsidP="005A1A46">
      <w:pPr>
        <w:pStyle w:val="SingleTxtG"/>
        <w:numPr>
          <w:ilvl w:val="2"/>
          <w:numId w:val="7"/>
        </w:numPr>
        <w:tabs>
          <w:tab w:val="clear" w:pos="2774"/>
        </w:tabs>
        <w:ind w:left="1134" w:firstLine="0"/>
        <w:rPr>
          <w:rFonts w:eastAsia="Calibri"/>
        </w:rPr>
      </w:pPr>
      <w:r>
        <w:rPr>
          <w:rFonts w:eastAsia="Calibri"/>
        </w:rPr>
        <w:t xml:space="preserve">The Working </w:t>
      </w:r>
      <w:r w:rsidR="00562F1D">
        <w:rPr>
          <w:rFonts w:eastAsia="Calibri"/>
        </w:rPr>
        <w:t>G</w:t>
      </w:r>
      <w:r>
        <w:rPr>
          <w:rFonts w:eastAsia="Calibri"/>
        </w:rPr>
        <w:t xml:space="preserve">roup continues to be concerned at the lack of procedure for </w:t>
      </w:r>
      <w:r w:rsidR="00B536D1">
        <w:rPr>
          <w:rFonts w:eastAsia="Calibri"/>
        </w:rPr>
        <w:t xml:space="preserve">the </w:t>
      </w:r>
      <w:r>
        <w:rPr>
          <w:rFonts w:eastAsia="Calibri"/>
        </w:rPr>
        <w:t>identification of vulnerable asylum</w:t>
      </w:r>
      <w:r w:rsidR="00B536D1">
        <w:rPr>
          <w:rFonts w:eastAsia="Calibri"/>
        </w:rPr>
        <w:t xml:space="preserve"> </w:t>
      </w:r>
      <w:r>
        <w:rPr>
          <w:rFonts w:eastAsia="Calibri"/>
        </w:rPr>
        <w:t>seekers, such as unaccompanied minors or traumatized refugees</w:t>
      </w:r>
      <w:r w:rsidR="00D501C4">
        <w:rPr>
          <w:rFonts w:eastAsia="Calibri"/>
        </w:rPr>
        <w:t xml:space="preserve">, in a number of </w:t>
      </w:r>
      <w:proofErr w:type="spellStart"/>
      <w:r w:rsidR="00D501C4">
        <w:rPr>
          <w:rFonts w:eastAsia="Calibri"/>
        </w:rPr>
        <w:t>L</w:t>
      </w:r>
      <w:r w:rsidR="00B536D1" w:rsidRPr="00DE6861">
        <w:rPr>
          <w:rFonts w:eastAsia="Calibri"/>
        </w:rPr>
        <w:t>ä</w:t>
      </w:r>
      <w:r w:rsidR="00D501C4">
        <w:rPr>
          <w:rFonts w:eastAsia="Calibri"/>
        </w:rPr>
        <w:t>nder</w:t>
      </w:r>
      <w:proofErr w:type="spellEnd"/>
      <w:r w:rsidR="00D501C4">
        <w:rPr>
          <w:rFonts w:eastAsia="Calibri"/>
        </w:rPr>
        <w:t xml:space="preserve">. The only mandatory medical checks are those </w:t>
      </w:r>
      <w:r w:rsidR="00B536D1">
        <w:rPr>
          <w:rFonts w:eastAsia="Calibri"/>
        </w:rPr>
        <w:t xml:space="preserve">for </w:t>
      </w:r>
      <w:r w:rsidR="00D501C4">
        <w:rPr>
          <w:rFonts w:eastAsia="Calibri"/>
        </w:rPr>
        <w:t xml:space="preserve">tuberculosis. Systematic </w:t>
      </w:r>
      <w:r w:rsidR="00DE5DC1">
        <w:rPr>
          <w:rFonts w:eastAsia="Calibri"/>
        </w:rPr>
        <w:t xml:space="preserve">examinations </w:t>
      </w:r>
      <w:r w:rsidR="00B536D1">
        <w:rPr>
          <w:rFonts w:eastAsia="Calibri"/>
        </w:rPr>
        <w:t>to diagnose</w:t>
      </w:r>
      <w:r w:rsidR="00DE5DC1">
        <w:rPr>
          <w:rFonts w:eastAsia="Calibri"/>
        </w:rPr>
        <w:t xml:space="preserve"> mental illnesses or traumatization </w:t>
      </w:r>
      <w:r w:rsidR="00B536D1">
        <w:rPr>
          <w:rFonts w:eastAsia="Calibri"/>
        </w:rPr>
        <w:t xml:space="preserve">upon arrival </w:t>
      </w:r>
      <w:r w:rsidR="00DE5DC1">
        <w:rPr>
          <w:rFonts w:eastAsia="Calibri"/>
        </w:rPr>
        <w:t>are</w:t>
      </w:r>
      <w:r w:rsidR="00D501C4">
        <w:rPr>
          <w:rFonts w:eastAsia="Calibri"/>
        </w:rPr>
        <w:t xml:space="preserve"> </w:t>
      </w:r>
      <w:r w:rsidR="00B536D1">
        <w:rPr>
          <w:rFonts w:eastAsia="Calibri"/>
        </w:rPr>
        <w:t>not conducted</w:t>
      </w:r>
      <w:r w:rsidR="00D501C4">
        <w:rPr>
          <w:rFonts w:eastAsia="Calibri"/>
        </w:rPr>
        <w:t xml:space="preserve">. </w:t>
      </w:r>
    </w:p>
    <w:p w:rsidR="00677B78" w:rsidRPr="00677B78" w:rsidRDefault="00E86F12" w:rsidP="004168B8">
      <w:pPr>
        <w:pStyle w:val="H23G"/>
        <w:rPr>
          <w:rFonts w:eastAsia="Calibri"/>
        </w:rPr>
      </w:pPr>
      <w:r>
        <w:rPr>
          <w:rFonts w:eastAsia="Calibri"/>
        </w:rPr>
        <w:tab/>
      </w:r>
      <w:r>
        <w:rPr>
          <w:rFonts w:eastAsia="Calibri"/>
        </w:rPr>
        <w:tab/>
      </w:r>
      <w:r w:rsidR="000C4AAE" w:rsidRPr="000C4AAE">
        <w:rPr>
          <w:rFonts w:eastAsia="Calibri"/>
        </w:rPr>
        <w:t xml:space="preserve">The </w:t>
      </w:r>
      <w:r w:rsidR="00677B78" w:rsidRPr="00677B78">
        <w:rPr>
          <w:rFonts w:eastAsia="Calibri"/>
          <w:lang w:val="en-US"/>
        </w:rPr>
        <w:t>“</w:t>
      </w:r>
      <w:r w:rsidR="00B536D1">
        <w:rPr>
          <w:rFonts w:eastAsia="Calibri"/>
          <w:lang w:val="en-US"/>
        </w:rPr>
        <w:t>f</w:t>
      </w:r>
      <w:r w:rsidR="00677B78" w:rsidRPr="00677B78">
        <w:rPr>
          <w:rFonts w:eastAsia="Calibri"/>
          <w:lang w:val="en-US"/>
        </w:rPr>
        <w:t>ast-track” procedure at German airports</w:t>
      </w:r>
    </w:p>
    <w:p w:rsidR="00677B78" w:rsidRPr="00677B78" w:rsidRDefault="00677B78" w:rsidP="00595341">
      <w:pPr>
        <w:pStyle w:val="SingleTxtG"/>
        <w:numPr>
          <w:ilvl w:val="2"/>
          <w:numId w:val="7"/>
        </w:numPr>
        <w:tabs>
          <w:tab w:val="clear" w:pos="2774"/>
        </w:tabs>
        <w:ind w:left="1134" w:firstLine="0"/>
        <w:rPr>
          <w:rFonts w:eastAsia="Calibri"/>
          <w:lang w:val="en-US"/>
        </w:rPr>
      </w:pPr>
      <w:r w:rsidRPr="00677B78">
        <w:rPr>
          <w:rFonts w:eastAsia="Calibri"/>
        </w:rPr>
        <w:t xml:space="preserve">The legal basis for the “fast-track” procedure at German airports is </w:t>
      </w:r>
      <w:r w:rsidR="000C4AAE" w:rsidRPr="000C4AAE">
        <w:rPr>
          <w:rFonts w:eastAsia="Calibri"/>
        </w:rPr>
        <w:t>p</w:t>
      </w:r>
      <w:r w:rsidRPr="00677B78">
        <w:rPr>
          <w:rFonts w:eastAsia="Calibri"/>
        </w:rPr>
        <w:t>ara</w:t>
      </w:r>
      <w:r w:rsidR="008965DD">
        <w:rPr>
          <w:rFonts w:eastAsia="Calibri"/>
        </w:rPr>
        <w:t>graph </w:t>
      </w:r>
      <w:r w:rsidRPr="00677B78">
        <w:rPr>
          <w:rFonts w:eastAsia="Calibri"/>
        </w:rPr>
        <w:t>18</w:t>
      </w:r>
      <w:r w:rsidR="00562F1D">
        <w:rPr>
          <w:rFonts w:eastAsia="Calibri"/>
        </w:rPr>
        <w:t xml:space="preserve"> </w:t>
      </w:r>
      <w:r w:rsidR="00B536D1">
        <w:rPr>
          <w:rFonts w:eastAsia="Calibri"/>
        </w:rPr>
        <w:t>of the</w:t>
      </w:r>
      <w:r w:rsidRPr="00677B78">
        <w:rPr>
          <w:rFonts w:eastAsia="Calibri"/>
        </w:rPr>
        <w:t xml:space="preserve"> Asylum Procedure Act</w:t>
      </w:r>
      <w:r w:rsidR="00F2053C">
        <w:rPr>
          <w:rFonts w:eastAsia="Calibri"/>
        </w:rPr>
        <w:t>.</w:t>
      </w:r>
      <w:r w:rsidRPr="00595341">
        <w:rPr>
          <w:rStyle w:val="FootnoteReference"/>
          <w:rFonts w:eastAsia="Calibri"/>
        </w:rPr>
        <w:footnoteReference w:id="14"/>
      </w:r>
      <w:r w:rsidRPr="00677B78">
        <w:rPr>
          <w:rFonts w:eastAsia="Calibri"/>
        </w:rPr>
        <w:t xml:space="preserve"> </w:t>
      </w:r>
      <w:r w:rsidRPr="00677B78">
        <w:rPr>
          <w:rFonts w:eastAsia="Calibri"/>
          <w:lang w:val="en-US"/>
        </w:rPr>
        <w:t xml:space="preserve">According to </w:t>
      </w:r>
      <w:r w:rsidR="00B536D1">
        <w:rPr>
          <w:rFonts w:eastAsia="Calibri"/>
          <w:lang w:val="en-US"/>
        </w:rPr>
        <w:t>a</w:t>
      </w:r>
      <w:r w:rsidR="00B536D1" w:rsidRPr="00677B78">
        <w:rPr>
          <w:rFonts w:eastAsia="Calibri"/>
          <w:lang w:val="en-US"/>
        </w:rPr>
        <w:t xml:space="preserve"> </w:t>
      </w:r>
      <w:r w:rsidRPr="00677B78">
        <w:rPr>
          <w:rFonts w:eastAsia="Calibri"/>
          <w:lang w:val="en-US"/>
        </w:rPr>
        <w:t>landmark decision by the German Federal Constitutional Court</w:t>
      </w:r>
      <w:r w:rsidR="00AF27CB">
        <w:rPr>
          <w:rFonts w:eastAsia="Calibri"/>
          <w:lang w:val="en-US"/>
        </w:rPr>
        <w:t>,</w:t>
      </w:r>
      <w:r w:rsidRPr="00595341">
        <w:rPr>
          <w:rStyle w:val="FootnoteReference"/>
          <w:rFonts w:eastAsia="Calibri"/>
        </w:rPr>
        <w:footnoteReference w:id="15"/>
      </w:r>
      <w:r w:rsidRPr="00677B78">
        <w:rPr>
          <w:rFonts w:eastAsia="Calibri"/>
          <w:lang w:val="en-US"/>
        </w:rPr>
        <w:t xml:space="preserve"> the restriction of movement and liberty at these facilities does not constitute detention as</w:t>
      </w:r>
      <w:r w:rsidR="00B536D1">
        <w:rPr>
          <w:rFonts w:eastAsia="Calibri"/>
          <w:lang w:val="en-US"/>
        </w:rPr>
        <w:t>,</w:t>
      </w:r>
      <w:r w:rsidRPr="00677B78">
        <w:rPr>
          <w:rFonts w:eastAsia="Calibri"/>
          <w:lang w:val="en-US"/>
        </w:rPr>
        <w:t xml:space="preserve"> according to the </w:t>
      </w:r>
      <w:r w:rsidR="00817EA4">
        <w:rPr>
          <w:rFonts w:eastAsia="Calibri"/>
          <w:lang w:val="en-US"/>
        </w:rPr>
        <w:t>C</w:t>
      </w:r>
      <w:r w:rsidRPr="00677B78">
        <w:rPr>
          <w:rFonts w:eastAsia="Calibri"/>
          <w:lang w:val="en-US"/>
        </w:rPr>
        <w:t>ourt</w:t>
      </w:r>
      <w:r w:rsidR="00B536D1">
        <w:rPr>
          <w:rFonts w:eastAsia="Calibri"/>
          <w:lang w:val="en-US"/>
        </w:rPr>
        <w:t>,</w:t>
      </w:r>
      <w:r w:rsidRPr="00677B78">
        <w:rPr>
          <w:rFonts w:eastAsia="Calibri"/>
          <w:lang w:val="en-US"/>
        </w:rPr>
        <w:t xml:space="preserve"> there is the option to leave by plane</w:t>
      </w:r>
      <w:r w:rsidR="00B536D1">
        <w:rPr>
          <w:rFonts w:eastAsia="Calibri"/>
          <w:lang w:val="en-US"/>
        </w:rPr>
        <w:t>;</w:t>
      </w:r>
      <w:r w:rsidRPr="00677B78">
        <w:rPr>
          <w:rFonts w:eastAsia="Calibri"/>
          <w:lang w:val="en-US"/>
        </w:rPr>
        <w:t xml:space="preserve"> </w:t>
      </w:r>
      <w:r w:rsidR="00B536D1">
        <w:rPr>
          <w:rFonts w:eastAsia="Calibri"/>
          <w:lang w:val="en-US"/>
        </w:rPr>
        <w:t>al</w:t>
      </w:r>
      <w:r w:rsidRPr="00677B78">
        <w:rPr>
          <w:rFonts w:eastAsia="Calibri"/>
          <w:lang w:val="en-US"/>
        </w:rPr>
        <w:t xml:space="preserve">though this is </w:t>
      </w:r>
      <w:r w:rsidR="00B536D1">
        <w:rPr>
          <w:rFonts w:eastAsia="Calibri"/>
          <w:lang w:val="en-US"/>
        </w:rPr>
        <w:t xml:space="preserve">a </w:t>
      </w:r>
      <w:r w:rsidRPr="00677B78">
        <w:rPr>
          <w:rFonts w:eastAsia="Calibri"/>
          <w:lang w:val="en-US"/>
        </w:rPr>
        <w:t xml:space="preserve">problematic argumentation with regard to asylum seekers and will in fact not be possible in many cases given the </w:t>
      </w:r>
      <w:r w:rsidR="00C64085">
        <w:rPr>
          <w:rFonts w:eastAsia="Calibri"/>
          <w:lang w:val="en-US"/>
        </w:rPr>
        <w:t>need for</w:t>
      </w:r>
      <w:r w:rsidRPr="00677B78">
        <w:rPr>
          <w:rFonts w:eastAsia="Calibri"/>
          <w:lang w:val="en-US"/>
        </w:rPr>
        <w:t xml:space="preserve"> personal documentation and </w:t>
      </w:r>
      <w:r w:rsidR="00B536D1">
        <w:rPr>
          <w:rFonts w:eastAsia="Calibri"/>
          <w:lang w:val="en-US"/>
        </w:rPr>
        <w:t>sufficient</w:t>
      </w:r>
      <w:r w:rsidR="00B536D1" w:rsidRPr="00677B78">
        <w:rPr>
          <w:rFonts w:eastAsia="Calibri"/>
          <w:lang w:val="en-US"/>
        </w:rPr>
        <w:t xml:space="preserve"> </w:t>
      </w:r>
      <w:r w:rsidRPr="00677B78">
        <w:rPr>
          <w:rFonts w:eastAsia="Calibri"/>
          <w:lang w:val="en-US"/>
        </w:rPr>
        <w:t xml:space="preserve">financial means to </w:t>
      </w:r>
      <w:r w:rsidR="00B536D1">
        <w:rPr>
          <w:rFonts w:eastAsia="Calibri"/>
          <w:lang w:val="en-US"/>
        </w:rPr>
        <w:t>purchase</w:t>
      </w:r>
      <w:r w:rsidR="00B536D1" w:rsidRPr="00677B78">
        <w:rPr>
          <w:rFonts w:eastAsia="Calibri"/>
          <w:lang w:val="en-US"/>
        </w:rPr>
        <w:t xml:space="preserve"> </w:t>
      </w:r>
      <w:r w:rsidRPr="00677B78">
        <w:rPr>
          <w:rFonts w:eastAsia="Calibri"/>
          <w:lang w:val="en-US"/>
        </w:rPr>
        <w:t xml:space="preserve">a plane ticket. Neither the leading decision of the European Court of Human Rights </w:t>
      </w:r>
      <w:proofErr w:type="spellStart"/>
      <w:r w:rsidRPr="00D56B4B">
        <w:rPr>
          <w:rFonts w:eastAsia="Calibri"/>
          <w:i/>
          <w:iCs/>
          <w:lang w:val="en-US"/>
        </w:rPr>
        <w:t>Amuur</w:t>
      </w:r>
      <w:proofErr w:type="spellEnd"/>
      <w:r w:rsidRPr="00D56B4B">
        <w:rPr>
          <w:rFonts w:eastAsia="Calibri"/>
          <w:i/>
          <w:iCs/>
          <w:lang w:val="en-US"/>
        </w:rPr>
        <w:t xml:space="preserve"> v. France</w:t>
      </w:r>
      <w:r w:rsidRPr="00D56B4B">
        <w:rPr>
          <w:rFonts w:eastAsia="Calibri"/>
          <w:lang w:val="en-US"/>
        </w:rPr>
        <w:t xml:space="preserve"> </w:t>
      </w:r>
      <w:r w:rsidR="00B536D1" w:rsidRPr="00D56B4B">
        <w:rPr>
          <w:rFonts w:eastAsia="Calibri"/>
          <w:lang w:val="en-US"/>
        </w:rPr>
        <w:t xml:space="preserve">(application No. </w:t>
      </w:r>
      <w:r w:rsidRPr="00D56B4B">
        <w:rPr>
          <w:rFonts w:eastAsia="Calibri"/>
          <w:lang w:val="en-US"/>
        </w:rPr>
        <w:t>17/1995/523/609</w:t>
      </w:r>
      <w:r w:rsidR="00D56B4B">
        <w:rPr>
          <w:rFonts w:eastAsia="Calibri"/>
          <w:lang w:val="en-US"/>
        </w:rPr>
        <w:t>, judgement</w:t>
      </w:r>
      <w:r w:rsidRPr="00D56B4B">
        <w:rPr>
          <w:rFonts w:eastAsia="Calibri"/>
          <w:lang w:val="en-US"/>
        </w:rPr>
        <w:t xml:space="preserve"> of 25 June 1996</w:t>
      </w:r>
      <w:r w:rsidR="00B536D1" w:rsidRPr="00D56B4B">
        <w:rPr>
          <w:rFonts w:eastAsia="Calibri"/>
          <w:lang w:val="en-US"/>
        </w:rPr>
        <w:t>)</w:t>
      </w:r>
      <w:r w:rsidR="00AF27CB" w:rsidRPr="00D56B4B">
        <w:rPr>
          <w:rFonts w:eastAsia="Calibri"/>
          <w:lang w:val="en-US"/>
        </w:rPr>
        <w:t>,</w:t>
      </w:r>
      <w:r w:rsidRPr="00D56B4B">
        <w:rPr>
          <w:rFonts w:eastAsia="Calibri"/>
          <w:lang w:val="en-US"/>
        </w:rPr>
        <w:t xml:space="preserve"> nor the </w:t>
      </w:r>
      <w:r w:rsidR="00B536D1" w:rsidRPr="00D56B4B">
        <w:rPr>
          <w:rFonts w:eastAsia="Calibri"/>
          <w:lang w:val="en-US"/>
        </w:rPr>
        <w:t xml:space="preserve">subsequent </w:t>
      </w:r>
      <w:r w:rsidRPr="00D56B4B">
        <w:rPr>
          <w:rFonts w:eastAsia="Calibri"/>
          <w:lang w:val="en-US"/>
        </w:rPr>
        <w:t xml:space="preserve">decision </w:t>
      </w:r>
      <w:r w:rsidRPr="00D56B4B">
        <w:rPr>
          <w:rFonts w:eastAsia="Calibri"/>
          <w:i/>
          <w:iCs/>
          <w:lang w:val="en-US"/>
        </w:rPr>
        <w:t>Gebremedhin [</w:t>
      </w:r>
      <w:proofErr w:type="spellStart"/>
      <w:r w:rsidRPr="00D56B4B">
        <w:rPr>
          <w:rFonts w:eastAsia="Calibri"/>
          <w:i/>
          <w:iCs/>
          <w:lang w:val="en-US"/>
        </w:rPr>
        <w:t>Gaberamadhien</w:t>
      </w:r>
      <w:proofErr w:type="spellEnd"/>
      <w:r w:rsidRPr="00D56B4B">
        <w:rPr>
          <w:rFonts w:eastAsia="Calibri"/>
          <w:i/>
          <w:iCs/>
          <w:lang w:val="en-US"/>
        </w:rPr>
        <w:t>] v. France</w:t>
      </w:r>
      <w:r w:rsidRPr="00D56B4B">
        <w:rPr>
          <w:rFonts w:eastAsia="Calibri"/>
          <w:lang w:val="en-US"/>
        </w:rPr>
        <w:t xml:space="preserve"> </w:t>
      </w:r>
      <w:r w:rsidR="00B536D1" w:rsidRPr="00D56B4B">
        <w:rPr>
          <w:rFonts w:eastAsia="Calibri"/>
          <w:lang w:val="en-US"/>
        </w:rPr>
        <w:t xml:space="preserve">(application No. </w:t>
      </w:r>
      <w:r w:rsidRPr="00D56B4B">
        <w:rPr>
          <w:rFonts w:eastAsia="Calibri"/>
          <w:lang w:val="en-US"/>
        </w:rPr>
        <w:t>25389/05</w:t>
      </w:r>
      <w:r w:rsidR="00D56B4B">
        <w:rPr>
          <w:rFonts w:eastAsia="Calibri"/>
          <w:lang w:val="en-US"/>
        </w:rPr>
        <w:t>, judgement</w:t>
      </w:r>
      <w:r w:rsidRPr="00D56B4B">
        <w:rPr>
          <w:rFonts w:eastAsia="Calibri"/>
          <w:lang w:val="en-US"/>
        </w:rPr>
        <w:t xml:space="preserve"> of 26 April 2007</w:t>
      </w:r>
      <w:r w:rsidR="00B536D1" w:rsidRPr="00D56B4B">
        <w:rPr>
          <w:rFonts w:eastAsia="Calibri"/>
          <w:lang w:val="en-US"/>
        </w:rPr>
        <w:t>)</w:t>
      </w:r>
      <w:r w:rsidRPr="00677B78">
        <w:rPr>
          <w:rFonts w:eastAsia="Calibri"/>
          <w:lang w:val="en-US"/>
        </w:rPr>
        <w:t xml:space="preserve"> brought any changes in German jurisprudence.</w:t>
      </w:r>
    </w:p>
    <w:p w:rsidR="001004DF" w:rsidRDefault="00677B78" w:rsidP="00595341">
      <w:pPr>
        <w:pStyle w:val="SingleTxtG"/>
        <w:numPr>
          <w:ilvl w:val="2"/>
          <w:numId w:val="7"/>
        </w:numPr>
        <w:tabs>
          <w:tab w:val="clear" w:pos="2774"/>
        </w:tabs>
        <w:ind w:left="1134" w:firstLine="0"/>
        <w:rPr>
          <w:rFonts w:eastAsia="Calibri"/>
          <w:lang w:val="en-US"/>
        </w:rPr>
      </w:pPr>
      <w:r w:rsidRPr="00677B78">
        <w:rPr>
          <w:rFonts w:eastAsia="Calibri"/>
          <w:lang w:val="en-US"/>
        </w:rPr>
        <w:t xml:space="preserve">The “fast-track” airport procedure remains problematic </w:t>
      </w:r>
      <w:r w:rsidR="00B536D1">
        <w:rPr>
          <w:rFonts w:eastAsia="Calibri"/>
          <w:lang w:val="en-US"/>
        </w:rPr>
        <w:t>as</w:t>
      </w:r>
      <w:r w:rsidR="00B536D1" w:rsidRPr="00677B78">
        <w:rPr>
          <w:rFonts w:eastAsia="Calibri"/>
          <w:lang w:val="en-US"/>
        </w:rPr>
        <w:t xml:space="preserve"> </w:t>
      </w:r>
      <w:r w:rsidRPr="00677B78">
        <w:rPr>
          <w:rFonts w:eastAsia="Calibri"/>
          <w:lang w:val="en-US"/>
        </w:rPr>
        <w:t>it emphasi</w:t>
      </w:r>
      <w:r w:rsidR="00B536D1">
        <w:rPr>
          <w:rFonts w:eastAsia="Calibri"/>
          <w:lang w:val="en-US"/>
        </w:rPr>
        <w:t>zes</w:t>
      </w:r>
      <w:r w:rsidRPr="00677B78">
        <w:rPr>
          <w:rFonts w:eastAsia="Calibri"/>
          <w:lang w:val="en-US"/>
        </w:rPr>
        <w:t xml:space="preserve"> speediness and shortened deadlines for legal remedies. However, the significance of the airport procedure in terms of proportionality of numbers </w:t>
      </w:r>
      <w:r w:rsidR="00113673">
        <w:rPr>
          <w:rFonts w:eastAsia="Calibri"/>
          <w:lang w:val="en-US"/>
        </w:rPr>
        <w:t>has decreased</w:t>
      </w:r>
      <w:r w:rsidRPr="00677B78">
        <w:rPr>
          <w:rFonts w:eastAsia="Calibri"/>
          <w:lang w:val="en-US"/>
        </w:rPr>
        <w:t xml:space="preserve"> in recent years. In 2012, only about 60 decisions have been reached with 787 applications made </w:t>
      </w:r>
      <w:r w:rsidR="00485C20">
        <w:rPr>
          <w:rFonts w:eastAsia="Calibri"/>
          <w:lang w:val="en-US"/>
        </w:rPr>
        <w:t>in</w:t>
      </w:r>
      <w:r w:rsidR="00485C20" w:rsidRPr="00677B78">
        <w:rPr>
          <w:rFonts w:eastAsia="Calibri"/>
          <w:lang w:val="en-US"/>
        </w:rPr>
        <w:t xml:space="preserve"> </w:t>
      </w:r>
      <w:r w:rsidRPr="00677B78">
        <w:rPr>
          <w:rFonts w:eastAsia="Calibri"/>
          <w:lang w:val="en-US"/>
        </w:rPr>
        <w:t>German airports and 77,651 asylum applications made in Germany in total. In 2013, only 48</w:t>
      </w:r>
      <w:r w:rsidR="00AF27CB">
        <w:rPr>
          <w:rFonts w:eastAsia="Calibri"/>
          <w:lang w:val="en-US"/>
        </w:rPr>
        <w:t> </w:t>
      </w:r>
      <w:r w:rsidRPr="00677B78">
        <w:rPr>
          <w:rFonts w:eastAsia="Calibri"/>
          <w:lang w:val="en-US"/>
        </w:rPr>
        <w:t xml:space="preserve">decisions were taken, with 972 applications made </w:t>
      </w:r>
      <w:r w:rsidR="00485C20">
        <w:rPr>
          <w:rFonts w:eastAsia="Calibri"/>
          <w:lang w:val="en-US"/>
        </w:rPr>
        <w:t>in</w:t>
      </w:r>
      <w:r w:rsidR="00485C20" w:rsidRPr="00677B78">
        <w:rPr>
          <w:rFonts w:eastAsia="Calibri"/>
          <w:lang w:val="en-US"/>
        </w:rPr>
        <w:t xml:space="preserve"> </w:t>
      </w:r>
      <w:r w:rsidRPr="00677B78">
        <w:rPr>
          <w:rFonts w:eastAsia="Calibri"/>
          <w:lang w:val="en-US"/>
        </w:rPr>
        <w:t>German airports and 127,023 asylum applications made in Germany in total</w:t>
      </w:r>
      <w:r w:rsidR="00F20D0B">
        <w:rPr>
          <w:rFonts w:eastAsia="Calibri"/>
          <w:lang w:val="en-US"/>
        </w:rPr>
        <w:t>.</w:t>
      </w:r>
      <w:r w:rsidRPr="00595341">
        <w:rPr>
          <w:rStyle w:val="FootnoteReference"/>
          <w:rFonts w:eastAsia="Calibri"/>
        </w:rPr>
        <w:footnoteReference w:id="16"/>
      </w:r>
    </w:p>
    <w:p w:rsidR="00817EA4" w:rsidRPr="000C4AAE" w:rsidRDefault="00E86F12" w:rsidP="00595341">
      <w:pPr>
        <w:pStyle w:val="H23G"/>
      </w:pPr>
      <w:r>
        <w:tab/>
        <w:t>(h)</w:t>
      </w:r>
      <w:r>
        <w:tab/>
      </w:r>
      <w:r w:rsidR="00817EA4">
        <w:t>Recommendation: The Government should consider extending the mandate of the German Institute for Human Rights to structural and factual monitoring, as well as its consultative role in the process of drafting legislation with human rights relevance. The Institute should be allocated adequate human, financial and technical resources</w:t>
      </w:r>
    </w:p>
    <w:p w:rsidR="00817EA4" w:rsidRPr="000C4AAE" w:rsidRDefault="00817EA4" w:rsidP="005A1A46">
      <w:pPr>
        <w:pStyle w:val="SingleTxtG"/>
        <w:numPr>
          <w:ilvl w:val="2"/>
          <w:numId w:val="7"/>
        </w:numPr>
        <w:tabs>
          <w:tab w:val="clear" w:pos="2774"/>
        </w:tabs>
        <w:ind w:left="1134" w:firstLine="0"/>
      </w:pPr>
      <w:r w:rsidRPr="000C4AAE">
        <w:t xml:space="preserve">The Working Group supports </w:t>
      </w:r>
      <w:r w:rsidR="00485C20">
        <w:t>the adoption of</w:t>
      </w:r>
      <w:r w:rsidR="00485C20" w:rsidRPr="000C4AAE">
        <w:t xml:space="preserve"> </w:t>
      </w:r>
      <w:r w:rsidRPr="000C4AAE">
        <w:t xml:space="preserve">legislation </w:t>
      </w:r>
      <w:r w:rsidR="00485C20">
        <w:t>that</w:t>
      </w:r>
      <w:r w:rsidRPr="000C4AAE">
        <w:t xml:space="preserve"> would qualify the German Institute </w:t>
      </w:r>
      <w:r w:rsidR="00485C20">
        <w:t>for</w:t>
      </w:r>
      <w:r w:rsidR="00485C20" w:rsidRPr="000C4AAE">
        <w:t xml:space="preserve"> </w:t>
      </w:r>
      <w:r w:rsidRPr="000C4AAE">
        <w:t>Human Rights as a national human rights institution in category A in the U</w:t>
      </w:r>
      <w:r w:rsidR="00485C20">
        <w:t xml:space="preserve">nited </w:t>
      </w:r>
      <w:r w:rsidRPr="000C4AAE">
        <w:t>N</w:t>
      </w:r>
      <w:r w:rsidR="00485C20">
        <w:t>ations</w:t>
      </w:r>
      <w:r w:rsidRPr="000C4AAE">
        <w:t xml:space="preserve"> human rights system and</w:t>
      </w:r>
      <w:r w:rsidR="00485C20">
        <w:t xml:space="preserve"> under the principles relating to the status of </w:t>
      </w:r>
      <w:r w:rsidR="00485C20">
        <w:lastRenderedPageBreak/>
        <w:t>national institutions for the promotion and protection of human rights</w:t>
      </w:r>
      <w:r w:rsidRPr="000C4AAE">
        <w:t xml:space="preserve"> </w:t>
      </w:r>
      <w:r w:rsidR="00485C20">
        <w:t>(</w:t>
      </w:r>
      <w:r w:rsidRPr="000C4AAE">
        <w:t>the Paris Principles</w:t>
      </w:r>
      <w:r w:rsidR="00113673">
        <w:t>)</w:t>
      </w:r>
      <w:r w:rsidRPr="000C4AAE">
        <w:t xml:space="preserve">, which would appropriately reflect </w:t>
      </w:r>
      <w:r w:rsidR="00485C20">
        <w:t>the</w:t>
      </w:r>
      <w:r w:rsidR="00485C20" w:rsidRPr="000C4AAE">
        <w:t xml:space="preserve"> </w:t>
      </w:r>
      <w:r w:rsidRPr="000C4AAE">
        <w:t>position</w:t>
      </w:r>
      <w:r w:rsidR="00485C20">
        <w:t xml:space="preserve"> of Germany</w:t>
      </w:r>
      <w:r w:rsidRPr="000C4AAE">
        <w:t xml:space="preserve"> in the international community.</w:t>
      </w:r>
    </w:p>
    <w:p w:rsidR="00817EA4" w:rsidRDefault="00E86F12" w:rsidP="00595341">
      <w:pPr>
        <w:pStyle w:val="H23G"/>
        <w:rPr>
          <w:lang w:eastAsia="en-GB"/>
        </w:rPr>
      </w:pPr>
      <w:r>
        <w:rPr>
          <w:lang w:eastAsia="en-GB"/>
        </w:rPr>
        <w:tab/>
        <w:t>(</w:t>
      </w:r>
      <w:proofErr w:type="spellStart"/>
      <w:r>
        <w:rPr>
          <w:lang w:eastAsia="en-GB"/>
        </w:rPr>
        <w:t>i</w:t>
      </w:r>
      <w:proofErr w:type="spellEnd"/>
      <w:r>
        <w:rPr>
          <w:lang w:eastAsia="en-GB"/>
        </w:rPr>
        <w:t>)</w:t>
      </w:r>
      <w:r>
        <w:rPr>
          <w:lang w:eastAsia="en-GB"/>
        </w:rPr>
        <w:tab/>
      </w:r>
      <w:r w:rsidR="00817EA4">
        <w:rPr>
          <w:lang w:eastAsia="en-GB"/>
        </w:rPr>
        <w:t xml:space="preserve">Recommendation: The Government should consider promulgating a binding legal regulation by the Parliament establishing that the Convention on the Rights of the Child and its Optional Protocols </w:t>
      </w:r>
      <w:proofErr w:type="gramStart"/>
      <w:r w:rsidR="00817EA4">
        <w:rPr>
          <w:lang w:eastAsia="en-GB"/>
        </w:rPr>
        <w:t>have</w:t>
      </w:r>
      <w:proofErr w:type="gramEnd"/>
      <w:r w:rsidR="00817EA4">
        <w:rPr>
          <w:lang w:eastAsia="en-GB"/>
        </w:rPr>
        <w:t xml:space="preserve"> priority over alien and asylum laws </w:t>
      </w:r>
    </w:p>
    <w:p w:rsidR="001004DF" w:rsidRPr="000C4AAE" w:rsidRDefault="001004DF" w:rsidP="005A1A46">
      <w:pPr>
        <w:pStyle w:val="SingleTxtG"/>
        <w:numPr>
          <w:ilvl w:val="2"/>
          <w:numId w:val="7"/>
        </w:numPr>
        <w:tabs>
          <w:tab w:val="clear" w:pos="2774"/>
        </w:tabs>
        <w:ind w:left="1134" w:firstLine="0"/>
        <w:rPr>
          <w:lang w:eastAsia="en-GB"/>
        </w:rPr>
      </w:pPr>
      <w:r w:rsidRPr="000C4AAE">
        <w:rPr>
          <w:lang w:eastAsia="en-GB"/>
        </w:rPr>
        <w:t xml:space="preserve">The Working Group notes </w:t>
      </w:r>
      <w:r w:rsidR="00103964">
        <w:rPr>
          <w:lang w:eastAsia="en-GB"/>
        </w:rPr>
        <w:t>that</w:t>
      </w:r>
      <w:r w:rsidRPr="000C4AAE">
        <w:rPr>
          <w:lang w:eastAsia="en-GB"/>
        </w:rPr>
        <w:t xml:space="preserve"> Germany has signed the Optional Protocol to the Convention on the Rights of the Child on a communications procedure. The law ratifying the Optional Protocol was adopted in 2012, and the same year Germany submitted the declarations regarding individual or inter-</w:t>
      </w:r>
      <w:r w:rsidR="00103964">
        <w:rPr>
          <w:lang w:eastAsia="en-GB"/>
        </w:rPr>
        <w:t>S</w:t>
      </w:r>
      <w:r w:rsidRPr="000C4AAE">
        <w:rPr>
          <w:lang w:eastAsia="en-GB"/>
        </w:rPr>
        <w:t xml:space="preserve">tate communications in accordance with </w:t>
      </w:r>
      <w:r w:rsidR="0046764A">
        <w:rPr>
          <w:lang w:eastAsia="en-GB"/>
        </w:rPr>
        <w:t>articles </w:t>
      </w:r>
      <w:r w:rsidRPr="000C4AAE">
        <w:rPr>
          <w:lang w:eastAsia="en-GB"/>
        </w:rPr>
        <w:t xml:space="preserve">31 and 32 of the International Convention for the Protection of </w:t>
      </w:r>
      <w:r w:rsidR="00103964">
        <w:rPr>
          <w:lang w:eastAsia="en-GB"/>
        </w:rPr>
        <w:t>A</w:t>
      </w:r>
      <w:r w:rsidRPr="000C4AAE">
        <w:rPr>
          <w:lang w:eastAsia="en-GB"/>
        </w:rPr>
        <w:t xml:space="preserve">ll Persons </w:t>
      </w:r>
      <w:r w:rsidR="00103964">
        <w:rPr>
          <w:lang w:eastAsia="en-GB"/>
        </w:rPr>
        <w:t>from</w:t>
      </w:r>
      <w:r w:rsidR="00103964" w:rsidRPr="000C4AAE">
        <w:rPr>
          <w:lang w:eastAsia="en-GB"/>
        </w:rPr>
        <w:t xml:space="preserve"> </w:t>
      </w:r>
      <w:r w:rsidRPr="000C4AAE">
        <w:rPr>
          <w:lang w:eastAsia="en-GB"/>
        </w:rPr>
        <w:t xml:space="preserve">Enforced Disappearance. </w:t>
      </w:r>
    </w:p>
    <w:p w:rsidR="001004DF" w:rsidRPr="000C4AAE" w:rsidRDefault="001004DF" w:rsidP="005A1A46">
      <w:pPr>
        <w:pStyle w:val="SingleTxtG"/>
        <w:numPr>
          <w:ilvl w:val="2"/>
          <w:numId w:val="7"/>
        </w:numPr>
        <w:tabs>
          <w:tab w:val="clear" w:pos="2774"/>
        </w:tabs>
        <w:ind w:left="1134" w:firstLine="0"/>
      </w:pPr>
      <w:r w:rsidRPr="000C4AAE">
        <w:rPr>
          <w:lang w:eastAsia="en-GB"/>
        </w:rPr>
        <w:t xml:space="preserve">The Working Group has also noted with approval </w:t>
      </w:r>
      <w:r w:rsidR="00103964">
        <w:rPr>
          <w:lang w:eastAsia="en-GB"/>
        </w:rPr>
        <w:t>the</w:t>
      </w:r>
      <w:r w:rsidR="00103964" w:rsidRPr="000C4AAE">
        <w:rPr>
          <w:lang w:eastAsia="en-GB"/>
        </w:rPr>
        <w:t xml:space="preserve"> </w:t>
      </w:r>
      <w:r w:rsidRPr="000C4AAE">
        <w:rPr>
          <w:lang w:eastAsia="en-GB"/>
        </w:rPr>
        <w:t xml:space="preserve">statements </w:t>
      </w:r>
      <w:r w:rsidR="00103964">
        <w:rPr>
          <w:lang w:eastAsia="en-GB"/>
        </w:rPr>
        <w:t>by Germany on</w:t>
      </w:r>
      <w:r w:rsidR="00103964" w:rsidRPr="000C4AAE">
        <w:rPr>
          <w:lang w:eastAsia="en-GB"/>
        </w:rPr>
        <w:t xml:space="preserve"> </w:t>
      </w:r>
      <w:r w:rsidRPr="000C4AAE">
        <w:rPr>
          <w:lang w:eastAsia="en-GB"/>
        </w:rPr>
        <w:t>observing the obligations under the European Convention on Human Rights and the International Covenant on Civil and Political Rights in military operations abroad. Within the scope of peace missions, Germany guarantees to all persons subject to its authority or acts of its officials and troops the rights acknowledged in international human rights conventions by which Germany is bound</w:t>
      </w:r>
      <w:r w:rsidR="00562F1D">
        <w:rPr>
          <w:lang w:eastAsia="en-GB"/>
        </w:rPr>
        <w:t>.</w:t>
      </w:r>
      <w:r w:rsidR="00C510F9">
        <w:rPr>
          <w:lang w:eastAsia="en-GB"/>
        </w:rPr>
        <w:t xml:space="preserve"> The Working Group notes that this is done in compliance with international law</w:t>
      </w:r>
      <w:r w:rsidR="002518D5">
        <w:rPr>
          <w:lang w:eastAsia="en-GB"/>
        </w:rPr>
        <w:t xml:space="preserve"> and in recognition </w:t>
      </w:r>
      <w:r w:rsidR="00103964">
        <w:rPr>
          <w:lang w:eastAsia="en-GB"/>
        </w:rPr>
        <w:t>there</w:t>
      </w:r>
      <w:r w:rsidR="002518D5">
        <w:rPr>
          <w:lang w:eastAsia="en-GB"/>
        </w:rPr>
        <w:t>of</w:t>
      </w:r>
      <w:r w:rsidR="00C510F9">
        <w:rPr>
          <w:lang w:eastAsia="en-GB"/>
        </w:rPr>
        <w:t>.</w:t>
      </w:r>
      <w:r w:rsidR="002518D5">
        <w:rPr>
          <w:lang w:eastAsia="en-GB"/>
        </w:rPr>
        <w:t xml:space="preserve"> The Working Group also commends Germany for its early ratification of the </w:t>
      </w:r>
      <w:r w:rsidR="002518D5" w:rsidRPr="002518D5">
        <w:rPr>
          <w:lang w:eastAsia="en-GB"/>
        </w:rPr>
        <w:t>International Convention for the Protection of All Persons from Enforced Disappearance</w:t>
      </w:r>
      <w:r w:rsidR="002518D5">
        <w:rPr>
          <w:lang w:eastAsia="en-GB"/>
        </w:rPr>
        <w:t xml:space="preserve">, the duties of </w:t>
      </w:r>
      <w:r w:rsidR="00103964">
        <w:rPr>
          <w:lang w:eastAsia="en-GB"/>
        </w:rPr>
        <w:t>S</w:t>
      </w:r>
      <w:r w:rsidR="002518D5">
        <w:rPr>
          <w:lang w:eastAsia="en-GB"/>
        </w:rPr>
        <w:t xml:space="preserve">tates under which is customary international law and </w:t>
      </w:r>
      <w:proofErr w:type="gramStart"/>
      <w:r w:rsidR="002518D5">
        <w:rPr>
          <w:lang w:eastAsia="en-GB"/>
        </w:rPr>
        <w:t>apply</w:t>
      </w:r>
      <w:proofErr w:type="gramEnd"/>
      <w:r w:rsidR="002518D5">
        <w:rPr>
          <w:lang w:eastAsia="en-GB"/>
        </w:rPr>
        <w:t xml:space="preserve"> in military operations and other acts of the </w:t>
      </w:r>
      <w:r w:rsidR="00103964">
        <w:rPr>
          <w:lang w:eastAsia="en-GB"/>
        </w:rPr>
        <w:t>S</w:t>
      </w:r>
      <w:r w:rsidR="002518D5">
        <w:rPr>
          <w:lang w:eastAsia="en-GB"/>
        </w:rPr>
        <w:t xml:space="preserve">tate or </w:t>
      </w:r>
      <w:r w:rsidR="00103964">
        <w:rPr>
          <w:lang w:eastAsia="en-GB"/>
        </w:rPr>
        <w:t>S</w:t>
      </w:r>
      <w:r w:rsidR="002518D5">
        <w:rPr>
          <w:lang w:eastAsia="en-GB"/>
        </w:rPr>
        <w:t xml:space="preserve">tate officials abroad. </w:t>
      </w:r>
    </w:p>
    <w:p w:rsidR="00A56DE8" w:rsidRDefault="00B153EB" w:rsidP="00B153EB">
      <w:pPr>
        <w:pStyle w:val="HChG"/>
      </w:pPr>
      <w:r>
        <w:tab/>
        <w:t>IV.</w:t>
      </w:r>
      <w:r>
        <w:tab/>
      </w:r>
      <w:r w:rsidR="00A56DE8" w:rsidRPr="00781207">
        <w:t>Conclusions</w:t>
      </w:r>
    </w:p>
    <w:p w:rsidR="007B1595" w:rsidRPr="00E45DE5" w:rsidRDefault="00082D0A" w:rsidP="00BE4ADB">
      <w:pPr>
        <w:pStyle w:val="SingleTxtG"/>
        <w:numPr>
          <w:ilvl w:val="2"/>
          <w:numId w:val="7"/>
        </w:numPr>
        <w:tabs>
          <w:tab w:val="clear" w:pos="2774"/>
        </w:tabs>
        <w:ind w:left="1134" w:firstLine="0"/>
        <w:rPr>
          <w:b/>
          <w:lang w:eastAsia="en-GB"/>
        </w:rPr>
      </w:pPr>
      <w:r w:rsidRPr="00E45DE5">
        <w:rPr>
          <w:b/>
          <w:lang w:eastAsia="en-GB"/>
        </w:rPr>
        <w:t xml:space="preserve">The Working Group considers that </w:t>
      </w:r>
      <w:r w:rsidR="007B1595" w:rsidRPr="00E45DE5">
        <w:rPr>
          <w:b/>
          <w:lang w:eastAsia="en-GB"/>
        </w:rPr>
        <w:t>the re</w:t>
      </w:r>
      <w:r w:rsidRPr="00E45DE5">
        <w:rPr>
          <w:b/>
          <w:lang w:eastAsia="en-GB"/>
        </w:rPr>
        <w:t>duction in prison population is a remarkable achievement for Germany</w:t>
      </w:r>
      <w:r w:rsidR="002E56CA">
        <w:rPr>
          <w:b/>
          <w:lang w:eastAsia="en-GB"/>
        </w:rPr>
        <w:t>,</w:t>
      </w:r>
      <w:r w:rsidRPr="00E45DE5">
        <w:rPr>
          <w:b/>
          <w:lang w:eastAsia="en-GB"/>
        </w:rPr>
        <w:t xml:space="preserve"> as </w:t>
      </w:r>
      <w:r w:rsidR="002E56CA">
        <w:rPr>
          <w:b/>
          <w:lang w:eastAsia="en-GB"/>
        </w:rPr>
        <w:t xml:space="preserve">many </w:t>
      </w:r>
      <w:r w:rsidRPr="00E45DE5">
        <w:rPr>
          <w:b/>
          <w:lang w:eastAsia="en-GB"/>
        </w:rPr>
        <w:t>countries struggle with the consequences of over-incarceration.</w:t>
      </w:r>
      <w:r w:rsidR="003B14C5">
        <w:rPr>
          <w:b/>
          <w:lang w:eastAsia="en-GB"/>
        </w:rPr>
        <w:t xml:space="preserve"> </w:t>
      </w:r>
      <w:r w:rsidRPr="00E45DE5">
        <w:rPr>
          <w:b/>
          <w:lang w:eastAsia="en-GB"/>
        </w:rPr>
        <w:t>The trends noted during the Working Group’s 2011 visit have continued.</w:t>
      </w:r>
    </w:p>
    <w:p w:rsidR="00562F1D" w:rsidRPr="00E45DE5" w:rsidRDefault="002E56CA" w:rsidP="00B153EB">
      <w:pPr>
        <w:pStyle w:val="SingleTxtG"/>
        <w:numPr>
          <w:ilvl w:val="2"/>
          <w:numId w:val="7"/>
        </w:numPr>
        <w:tabs>
          <w:tab w:val="clear" w:pos="2774"/>
        </w:tabs>
        <w:ind w:left="1134" w:firstLine="0"/>
        <w:rPr>
          <w:b/>
          <w:lang w:eastAsia="en-GB"/>
        </w:rPr>
      </w:pPr>
      <w:r>
        <w:rPr>
          <w:b/>
          <w:lang w:eastAsia="en-GB"/>
        </w:rPr>
        <w:t>The</w:t>
      </w:r>
      <w:r w:rsidR="00562F1D" w:rsidRPr="00E45DE5">
        <w:rPr>
          <w:b/>
          <w:lang w:eastAsia="en-GB"/>
        </w:rPr>
        <w:t xml:space="preserve"> reduction of </w:t>
      </w:r>
      <w:r>
        <w:rPr>
          <w:b/>
          <w:lang w:eastAsia="en-GB"/>
        </w:rPr>
        <w:t xml:space="preserve">the number of </w:t>
      </w:r>
      <w:r w:rsidR="00562F1D" w:rsidRPr="00E45DE5">
        <w:rPr>
          <w:b/>
          <w:lang w:eastAsia="en-GB"/>
        </w:rPr>
        <w:t>persons in preventive detention (from more than 500 persons in 2009 and 2010 to 252 at the time of the Working Group’s follow-up visit)</w:t>
      </w:r>
      <w:r>
        <w:rPr>
          <w:b/>
          <w:lang w:eastAsia="en-GB"/>
        </w:rPr>
        <w:t xml:space="preserve"> is also noteworthy</w:t>
      </w:r>
      <w:r w:rsidR="00562F1D" w:rsidRPr="00E45DE5">
        <w:rPr>
          <w:b/>
          <w:lang w:eastAsia="en-GB"/>
        </w:rPr>
        <w:t>.</w:t>
      </w:r>
    </w:p>
    <w:p w:rsidR="007B1595" w:rsidRPr="00E45DE5" w:rsidRDefault="00082D0A" w:rsidP="00B153EB">
      <w:pPr>
        <w:pStyle w:val="SingleTxtG"/>
        <w:numPr>
          <w:ilvl w:val="2"/>
          <w:numId w:val="7"/>
        </w:numPr>
        <w:tabs>
          <w:tab w:val="clear" w:pos="2774"/>
        </w:tabs>
        <w:ind w:left="1134" w:firstLine="0"/>
        <w:rPr>
          <w:b/>
          <w:lang w:eastAsia="en-GB"/>
        </w:rPr>
      </w:pPr>
      <w:r w:rsidRPr="00E45DE5">
        <w:rPr>
          <w:b/>
          <w:lang w:eastAsia="en-GB"/>
        </w:rPr>
        <w:t xml:space="preserve">The constitutional discourse, giving effect to international law obligations, on the proportionality of measures limiting the liberty of individuals is active in the German political and legal system. The German sentencing </w:t>
      </w:r>
      <w:r w:rsidR="00DE5DC1" w:rsidRPr="00E45DE5">
        <w:rPr>
          <w:b/>
          <w:lang w:eastAsia="en-GB"/>
        </w:rPr>
        <w:t xml:space="preserve">regime, and the review of </w:t>
      </w:r>
      <w:proofErr w:type="spellStart"/>
      <w:r w:rsidR="00DE5DC1" w:rsidRPr="00E45DE5">
        <w:rPr>
          <w:b/>
          <w:lang w:eastAsia="en-GB"/>
        </w:rPr>
        <w:t>pretrial</w:t>
      </w:r>
      <w:proofErr w:type="spellEnd"/>
      <w:r w:rsidR="00DE5DC1" w:rsidRPr="00E45DE5">
        <w:rPr>
          <w:b/>
          <w:lang w:eastAsia="en-GB"/>
        </w:rPr>
        <w:t xml:space="preserve"> detention, constitutes</w:t>
      </w:r>
      <w:r w:rsidRPr="00E45DE5">
        <w:rPr>
          <w:b/>
          <w:lang w:eastAsia="en-GB"/>
        </w:rPr>
        <w:t xml:space="preserve"> international best practice</w:t>
      </w:r>
      <w:r w:rsidR="007B1595" w:rsidRPr="00E45DE5">
        <w:rPr>
          <w:b/>
          <w:lang w:eastAsia="en-GB"/>
        </w:rPr>
        <w:t xml:space="preserve">. </w:t>
      </w:r>
    </w:p>
    <w:p w:rsidR="00082D0A" w:rsidRPr="00E45DE5" w:rsidRDefault="007B1595" w:rsidP="00B153EB">
      <w:pPr>
        <w:pStyle w:val="SingleTxtG"/>
        <w:numPr>
          <w:ilvl w:val="2"/>
          <w:numId w:val="7"/>
        </w:numPr>
        <w:tabs>
          <w:tab w:val="clear" w:pos="2774"/>
        </w:tabs>
        <w:ind w:left="1134" w:firstLine="0"/>
        <w:rPr>
          <w:b/>
          <w:lang w:eastAsia="en-GB"/>
        </w:rPr>
      </w:pPr>
      <w:r w:rsidRPr="00E45DE5">
        <w:rPr>
          <w:b/>
          <w:lang w:eastAsia="en-GB"/>
        </w:rPr>
        <w:t>The W</w:t>
      </w:r>
      <w:r w:rsidR="00082D0A" w:rsidRPr="00E45DE5">
        <w:rPr>
          <w:b/>
          <w:lang w:eastAsia="en-GB"/>
        </w:rPr>
        <w:t>orking Group continues the discussion with the Government on several detention issues. There is a need to monitor and remedy</w:t>
      </w:r>
      <w:r w:rsidR="002E56CA">
        <w:rPr>
          <w:b/>
          <w:lang w:eastAsia="en-GB"/>
        </w:rPr>
        <w:t xml:space="preserve"> the</w:t>
      </w:r>
      <w:r w:rsidR="00082D0A" w:rsidRPr="00E45DE5">
        <w:rPr>
          <w:b/>
          <w:lang w:eastAsia="en-GB"/>
        </w:rPr>
        <w:t xml:space="preserve"> disproportionate application of </w:t>
      </w:r>
      <w:proofErr w:type="spellStart"/>
      <w:r w:rsidR="00082D0A" w:rsidRPr="00E45DE5">
        <w:rPr>
          <w:b/>
          <w:lang w:eastAsia="en-GB"/>
        </w:rPr>
        <w:t>pretrial</w:t>
      </w:r>
      <w:proofErr w:type="spellEnd"/>
      <w:r w:rsidR="00082D0A" w:rsidRPr="00E45DE5">
        <w:rPr>
          <w:b/>
          <w:lang w:eastAsia="en-GB"/>
        </w:rPr>
        <w:t xml:space="preserve"> detention in the case of foreign nationals and Roma, including minors.</w:t>
      </w:r>
    </w:p>
    <w:p w:rsidR="006D1C9B" w:rsidRPr="00E45DE5" w:rsidRDefault="00082D0A" w:rsidP="00B153EB">
      <w:pPr>
        <w:pStyle w:val="SingleTxtG"/>
        <w:numPr>
          <w:ilvl w:val="2"/>
          <w:numId w:val="7"/>
        </w:numPr>
        <w:tabs>
          <w:tab w:val="clear" w:pos="2774"/>
        </w:tabs>
        <w:ind w:left="1134" w:firstLine="0"/>
        <w:rPr>
          <w:b/>
          <w:lang w:eastAsia="en-GB"/>
        </w:rPr>
      </w:pPr>
      <w:r w:rsidRPr="00E45DE5">
        <w:rPr>
          <w:b/>
          <w:lang w:eastAsia="en-GB"/>
        </w:rPr>
        <w:t xml:space="preserve">Necessity and proportionality under international law require alternatives to </w:t>
      </w:r>
      <w:r w:rsidR="000C13BD">
        <w:rPr>
          <w:b/>
          <w:lang w:eastAsia="en-GB"/>
        </w:rPr>
        <w:t xml:space="preserve">the </w:t>
      </w:r>
      <w:r w:rsidRPr="00E45DE5">
        <w:rPr>
          <w:b/>
          <w:lang w:eastAsia="en-GB"/>
        </w:rPr>
        <w:t xml:space="preserve">detention of migrants who do not </w:t>
      </w:r>
      <w:r w:rsidR="002E56CA">
        <w:rPr>
          <w:b/>
          <w:lang w:eastAsia="en-GB"/>
        </w:rPr>
        <w:t>obtain</w:t>
      </w:r>
      <w:r w:rsidR="002E56CA" w:rsidRPr="00E45DE5">
        <w:rPr>
          <w:b/>
          <w:lang w:eastAsia="en-GB"/>
        </w:rPr>
        <w:t xml:space="preserve"> </w:t>
      </w:r>
      <w:r w:rsidR="002E56CA">
        <w:rPr>
          <w:b/>
          <w:lang w:eastAsia="en-GB"/>
        </w:rPr>
        <w:t>the</w:t>
      </w:r>
      <w:r w:rsidRPr="00E45DE5">
        <w:rPr>
          <w:b/>
          <w:lang w:eastAsia="en-GB"/>
        </w:rPr>
        <w:t xml:space="preserve"> right to remain in the country. International law</w:t>
      </w:r>
      <w:r w:rsidR="002E56CA">
        <w:rPr>
          <w:b/>
          <w:lang w:eastAsia="en-GB"/>
        </w:rPr>
        <w:t>,</w:t>
      </w:r>
      <w:r w:rsidRPr="00E45DE5">
        <w:rPr>
          <w:b/>
          <w:lang w:eastAsia="en-GB"/>
        </w:rPr>
        <w:t xml:space="preserve"> restated in the jurisprudence of the Working Group, requires that migration-related detention is a last resort and only for the shortest period of time</w:t>
      </w:r>
      <w:r w:rsidR="006D1C9B" w:rsidRPr="00E45DE5">
        <w:rPr>
          <w:b/>
          <w:lang w:eastAsia="en-GB"/>
        </w:rPr>
        <w:t xml:space="preserve">. </w:t>
      </w:r>
    </w:p>
    <w:p w:rsidR="006D1C9B" w:rsidRPr="00E45DE5" w:rsidRDefault="00082D0A" w:rsidP="00B153EB">
      <w:pPr>
        <w:pStyle w:val="SingleTxtG"/>
        <w:numPr>
          <w:ilvl w:val="2"/>
          <w:numId w:val="7"/>
        </w:numPr>
        <w:tabs>
          <w:tab w:val="clear" w:pos="2774"/>
        </w:tabs>
        <w:ind w:left="1134" w:firstLine="0"/>
        <w:rPr>
          <w:b/>
          <w:lang w:eastAsia="en-GB"/>
        </w:rPr>
      </w:pPr>
      <w:r w:rsidRPr="00E45DE5">
        <w:rPr>
          <w:b/>
          <w:lang w:eastAsia="en-GB"/>
        </w:rPr>
        <w:t xml:space="preserve">The Working </w:t>
      </w:r>
      <w:r w:rsidR="00E579D7" w:rsidRPr="00E45DE5">
        <w:rPr>
          <w:b/>
          <w:lang w:eastAsia="en-GB"/>
        </w:rPr>
        <w:t>G</w:t>
      </w:r>
      <w:r w:rsidRPr="00E45DE5">
        <w:rPr>
          <w:b/>
          <w:lang w:eastAsia="en-GB"/>
        </w:rPr>
        <w:t xml:space="preserve">roup </w:t>
      </w:r>
      <w:r w:rsidR="002E56CA">
        <w:rPr>
          <w:b/>
          <w:lang w:eastAsia="en-GB"/>
        </w:rPr>
        <w:t>is following</w:t>
      </w:r>
      <w:r w:rsidR="002E56CA" w:rsidRPr="00E45DE5">
        <w:rPr>
          <w:b/>
          <w:lang w:eastAsia="en-GB"/>
        </w:rPr>
        <w:t xml:space="preserve"> </w:t>
      </w:r>
      <w:r w:rsidRPr="00E45DE5">
        <w:rPr>
          <w:b/>
          <w:lang w:eastAsia="en-GB"/>
        </w:rPr>
        <w:t xml:space="preserve">how the process of giving effect to international law requirements to the post-sentence preventive detention regime continues in a dialogue with the European Court of Human Rights, which </w:t>
      </w:r>
      <w:r w:rsidR="000C13BD">
        <w:rPr>
          <w:b/>
          <w:lang w:eastAsia="en-GB"/>
        </w:rPr>
        <w:t>has</w:t>
      </w:r>
      <w:r w:rsidRPr="00E45DE5">
        <w:rPr>
          <w:b/>
          <w:lang w:eastAsia="en-GB"/>
        </w:rPr>
        <w:t xml:space="preserve"> further</w:t>
      </w:r>
      <w:r w:rsidR="002E56CA">
        <w:rPr>
          <w:b/>
          <w:lang w:eastAsia="en-GB"/>
        </w:rPr>
        <w:t xml:space="preserve"> related</w:t>
      </w:r>
      <w:r w:rsidRPr="00E45DE5">
        <w:rPr>
          <w:b/>
          <w:lang w:eastAsia="en-GB"/>
        </w:rPr>
        <w:t xml:space="preserve"> cases</w:t>
      </w:r>
      <w:r w:rsidR="000C13BD">
        <w:rPr>
          <w:b/>
          <w:lang w:eastAsia="en-GB"/>
        </w:rPr>
        <w:t xml:space="preserve"> under consideration</w:t>
      </w:r>
      <w:r w:rsidRPr="00E45DE5">
        <w:rPr>
          <w:b/>
          <w:lang w:eastAsia="en-GB"/>
        </w:rPr>
        <w:t xml:space="preserve">. </w:t>
      </w:r>
    </w:p>
    <w:p w:rsidR="006D1C9B" w:rsidRPr="00E45DE5" w:rsidRDefault="00082D0A" w:rsidP="00B153EB">
      <w:pPr>
        <w:pStyle w:val="SingleTxtG"/>
        <w:numPr>
          <w:ilvl w:val="2"/>
          <w:numId w:val="7"/>
        </w:numPr>
        <w:tabs>
          <w:tab w:val="clear" w:pos="2774"/>
        </w:tabs>
        <w:ind w:left="1134" w:firstLine="0"/>
        <w:rPr>
          <w:b/>
          <w:lang w:eastAsia="en-GB"/>
        </w:rPr>
      </w:pPr>
      <w:r w:rsidRPr="00E45DE5">
        <w:rPr>
          <w:b/>
          <w:lang w:eastAsia="en-GB"/>
        </w:rPr>
        <w:lastRenderedPageBreak/>
        <w:t xml:space="preserve">The International Covenant on Civil and Political Rights and customary international law require that additional detention be justified by compelling reasons </w:t>
      </w:r>
      <w:r w:rsidR="000C13BD">
        <w:rPr>
          <w:b/>
          <w:lang w:eastAsia="en-GB"/>
        </w:rPr>
        <w:t xml:space="preserve">arising </w:t>
      </w:r>
      <w:r w:rsidRPr="00E45DE5">
        <w:rPr>
          <w:b/>
          <w:lang w:eastAsia="en-GB"/>
        </w:rPr>
        <w:t>from the gravity of the crimes committed and the likelihood of similar crimes</w:t>
      </w:r>
      <w:r w:rsidR="00103405">
        <w:rPr>
          <w:b/>
          <w:lang w:eastAsia="en-GB"/>
        </w:rPr>
        <w:t xml:space="preserve"> being committed</w:t>
      </w:r>
      <w:r w:rsidRPr="00E45DE5">
        <w:rPr>
          <w:b/>
          <w:lang w:eastAsia="en-GB"/>
        </w:rPr>
        <w:t xml:space="preserve"> in the future. Such detention is a last resort, and regular periodic reviews by an independent body must be </w:t>
      </w:r>
      <w:r w:rsidR="009A49D5">
        <w:rPr>
          <w:b/>
          <w:lang w:eastAsia="en-GB"/>
        </w:rPr>
        <w:t>ensured</w:t>
      </w:r>
      <w:r w:rsidR="009A49D5" w:rsidRPr="00E45DE5">
        <w:rPr>
          <w:b/>
          <w:lang w:eastAsia="en-GB"/>
        </w:rPr>
        <w:t xml:space="preserve"> </w:t>
      </w:r>
      <w:r w:rsidRPr="00E45DE5">
        <w:rPr>
          <w:b/>
          <w:lang w:eastAsia="en-GB"/>
        </w:rPr>
        <w:t xml:space="preserve">to decide whether continued detention is justified. </w:t>
      </w:r>
    </w:p>
    <w:p w:rsidR="006D1C9B" w:rsidRPr="00E45DE5" w:rsidRDefault="00082D0A" w:rsidP="00B153EB">
      <w:pPr>
        <w:pStyle w:val="SingleTxtG"/>
        <w:numPr>
          <w:ilvl w:val="2"/>
          <w:numId w:val="7"/>
        </w:numPr>
        <w:tabs>
          <w:tab w:val="clear" w:pos="2774"/>
        </w:tabs>
        <w:ind w:left="1134" w:firstLine="0"/>
        <w:rPr>
          <w:b/>
          <w:lang w:eastAsia="en-GB"/>
        </w:rPr>
      </w:pPr>
      <w:r w:rsidRPr="00E45DE5">
        <w:rPr>
          <w:b/>
          <w:lang w:eastAsia="en-GB"/>
        </w:rPr>
        <w:t>States must exercise caution and provide appropriate guarantees in evaluating future dangers.</w:t>
      </w:r>
      <w:r w:rsidR="003B14C5">
        <w:rPr>
          <w:b/>
          <w:lang w:eastAsia="en-GB"/>
        </w:rPr>
        <w:t xml:space="preserve"> </w:t>
      </w:r>
      <w:r w:rsidRPr="00E45DE5">
        <w:rPr>
          <w:b/>
          <w:lang w:eastAsia="en-GB"/>
        </w:rPr>
        <w:t>The conditions in such detention must be distinct from the conditions for convicted prisoners serving a punitive sentence and must be aimed at the detainees’ rehabilitation and reintegration into society.</w:t>
      </w:r>
      <w:r w:rsidR="003B14C5">
        <w:rPr>
          <w:b/>
          <w:lang w:eastAsia="en-GB"/>
        </w:rPr>
        <w:t xml:space="preserve"> </w:t>
      </w:r>
    </w:p>
    <w:p w:rsidR="00082D0A" w:rsidRPr="00E45DE5" w:rsidRDefault="004B077E" w:rsidP="00B153EB">
      <w:pPr>
        <w:pStyle w:val="SingleTxtG"/>
        <w:numPr>
          <w:ilvl w:val="2"/>
          <w:numId w:val="7"/>
        </w:numPr>
        <w:tabs>
          <w:tab w:val="clear" w:pos="2774"/>
        </w:tabs>
        <w:ind w:left="1134" w:firstLine="0"/>
        <w:rPr>
          <w:b/>
          <w:lang w:eastAsia="en-GB"/>
        </w:rPr>
      </w:pPr>
      <w:r w:rsidRPr="00E45DE5">
        <w:rPr>
          <w:b/>
          <w:lang w:eastAsia="en-GB"/>
        </w:rPr>
        <w:t xml:space="preserve">Although the </w:t>
      </w:r>
      <w:r w:rsidR="00626CC4">
        <w:rPr>
          <w:b/>
          <w:lang w:eastAsia="en-GB"/>
        </w:rPr>
        <w:t>European Court of Human Rights</w:t>
      </w:r>
      <w:r w:rsidR="00626CC4" w:rsidRPr="00E45DE5">
        <w:rPr>
          <w:b/>
          <w:lang w:eastAsia="en-GB"/>
        </w:rPr>
        <w:t xml:space="preserve"> </w:t>
      </w:r>
      <w:r w:rsidRPr="00E45DE5">
        <w:rPr>
          <w:b/>
          <w:lang w:eastAsia="en-GB"/>
        </w:rPr>
        <w:t xml:space="preserve">has on several occasions accepted the German system of preventive detention as such (e.g. </w:t>
      </w:r>
      <w:r w:rsidRPr="00D56B4B">
        <w:rPr>
          <w:b/>
          <w:i/>
          <w:iCs/>
          <w:lang w:eastAsia="en-GB"/>
        </w:rPr>
        <w:t>G. v. Germany</w:t>
      </w:r>
      <w:r w:rsidRPr="00D56B4B">
        <w:rPr>
          <w:b/>
          <w:lang w:eastAsia="en-GB"/>
        </w:rPr>
        <w:t xml:space="preserve">, </w:t>
      </w:r>
      <w:r w:rsidR="00D56B4B">
        <w:rPr>
          <w:b/>
          <w:lang w:eastAsia="en-GB"/>
        </w:rPr>
        <w:t>application</w:t>
      </w:r>
      <w:r w:rsidR="00D56B4B" w:rsidRPr="00D56B4B">
        <w:rPr>
          <w:b/>
          <w:lang w:eastAsia="en-GB"/>
        </w:rPr>
        <w:t xml:space="preserve"> </w:t>
      </w:r>
      <w:r w:rsidR="00B850F0" w:rsidRPr="00D56B4B">
        <w:rPr>
          <w:b/>
          <w:lang w:eastAsia="en-GB"/>
        </w:rPr>
        <w:t>No. </w:t>
      </w:r>
      <w:r w:rsidR="00D56B4B">
        <w:rPr>
          <w:b/>
          <w:lang w:eastAsia="en-GB"/>
        </w:rPr>
        <w:t>65210/09, judgement of 7 June 2012</w:t>
      </w:r>
      <w:r w:rsidRPr="00D56B4B">
        <w:rPr>
          <w:b/>
          <w:lang w:eastAsia="en-GB"/>
        </w:rPr>
        <w:t xml:space="preserve">, </w:t>
      </w:r>
      <w:r w:rsidR="00D56B4B">
        <w:rPr>
          <w:b/>
          <w:lang w:eastAsia="en-GB"/>
        </w:rPr>
        <w:t>paras.</w:t>
      </w:r>
      <w:r w:rsidR="00B850F0" w:rsidRPr="00D56B4B">
        <w:rPr>
          <w:b/>
          <w:lang w:eastAsia="en-GB"/>
        </w:rPr>
        <w:t> </w:t>
      </w:r>
      <w:r w:rsidRPr="00D56B4B">
        <w:rPr>
          <w:b/>
          <w:lang w:eastAsia="en-GB"/>
        </w:rPr>
        <w:t>46 ff.</w:t>
      </w:r>
      <w:r w:rsidRPr="00E45DE5">
        <w:rPr>
          <w:b/>
          <w:lang w:eastAsia="en-GB"/>
        </w:rPr>
        <w:t xml:space="preserve">), it </w:t>
      </w:r>
      <w:r w:rsidR="00626CC4">
        <w:rPr>
          <w:b/>
          <w:lang w:eastAsia="en-GB"/>
        </w:rPr>
        <w:t>is still</w:t>
      </w:r>
      <w:r w:rsidR="00626CC4" w:rsidRPr="00E45DE5">
        <w:rPr>
          <w:b/>
          <w:lang w:eastAsia="en-GB"/>
        </w:rPr>
        <w:t xml:space="preserve"> </w:t>
      </w:r>
      <w:r w:rsidR="00082D0A" w:rsidRPr="00E45DE5">
        <w:rPr>
          <w:b/>
          <w:lang w:eastAsia="en-GB"/>
        </w:rPr>
        <w:t xml:space="preserve">unsatisfactory that certain detention regimes and restrictions on personal liberty that under international law are considered </w:t>
      </w:r>
      <w:r w:rsidR="008C0517" w:rsidRPr="00E45DE5">
        <w:rPr>
          <w:b/>
          <w:lang w:eastAsia="en-GB"/>
        </w:rPr>
        <w:t>punishment</w:t>
      </w:r>
      <w:r w:rsidR="00082D0A" w:rsidRPr="00E45DE5">
        <w:rPr>
          <w:b/>
          <w:lang w:eastAsia="en-GB"/>
        </w:rPr>
        <w:t xml:space="preserve"> are not </w:t>
      </w:r>
      <w:r w:rsidR="00626CC4">
        <w:rPr>
          <w:b/>
          <w:lang w:eastAsia="en-GB"/>
        </w:rPr>
        <w:t xml:space="preserve">so considered </w:t>
      </w:r>
      <w:r w:rsidR="00082D0A" w:rsidRPr="00E45DE5">
        <w:rPr>
          <w:b/>
          <w:lang w:eastAsia="en-GB"/>
        </w:rPr>
        <w:t xml:space="preserve">under German law, and consequently there are different guarantees against retroactivity, including less effective remedies. </w:t>
      </w:r>
    </w:p>
    <w:p w:rsidR="00D37D7A" w:rsidRPr="00E45DE5" w:rsidRDefault="00711113" w:rsidP="00B153EB">
      <w:pPr>
        <w:pStyle w:val="SingleTxtG"/>
        <w:numPr>
          <w:ilvl w:val="2"/>
          <w:numId w:val="7"/>
        </w:numPr>
        <w:tabs>
          <w:tab w:val="clear" w:pos="2774"/>
        </w:tabs>
        <w:ind w:left="1134" w:firstLine="0"/>
        <w:rPr>
          <w:b/>
          <w:lang w:eastAsia="en-GB"/>
        </w:rPr>
      </w:pPr>
      <w:r>
        <w:rPr>
          <w:b/>
          <w:lang w:eastAsia="en-GB"/>
        </w:rPr>
        <w:t>T</w:t>
      </w:r>
      <w:r w:rsidR="004B077E" w:rsidRPr="00E45DE5">
        <w:rPr>
          <w:b/>
          <w:lang w:eastAsia="en-GB"/>
        </w:rPr>
        <w:t>he abolition of the maximum duration for the first-time preventive detention in 1998 and the introduction of retrospective preventive detention in 2004 led to serious concerns with respect to retroactivity</w:t>
      </w:r>
      <w:r w:rsidRPr="00711113">
        <w:rPr>
          <w:b/>
          <w:lang w:eastAsia="en-GB"/>
        </w:rPr>
        <w:t xml:space="preserve"> </w:t>
      </w:r>
      <w:r w:rsidRPr="00E45DE5">
        <w:rPr>
          <w:b/>
          <w:lang w:eastAsia="en-GB"/>
        </w:rPr>
        <w:t xml:space="preserve">under the </w:t>
      </w:r>
      <w:r w:rsidRPr="00983685">
        <w:rPr>
          <w:b/>
          <w:lang w:eastAsia="en-GB"/>
        </w:rPr>
        <w:t>European Convention on Human Rights</w:t>
      </w:r>
      <w:r w:rsidR="004B077E" w:rsidRPr="00E45DE5">
        <w:rPr>
          <w:b/>
          <w:lang w:eastAsia="en-GB"/>
        </w:rPr>
        <w:t>.</w:t>
      </w:r>
      <w:r w:rsidR="003B14C5">
        <w:rPr>
          <w:b/>
          <w:lang w:eastAsia="en-GB"/>
        </w:rPr>
        <w:t xml:space="preserve"> </w:t>
      </w:r>
      <w:r w:rsidR="004B077E" w:rsidRPr="00E45DE5">
        <w:rPr>
          <w:b/>
          <w:lang w:eastAsia="en-GB"/>
        </w:rPr>
        <w:t xml:space="preserve">These concerns have been addressed by legislation and the corresponding changes in the detention regime. </w:t>
      </w:r>
      <w:r w:rsidR="00D37D7A" w:rsidRPr="00E45DE5">
        <w:rPr>
          <w:b/>
          <w:lang w:eastAsia="en-GB"/>
        </w:rPr>
        <w:t>Public trust in the police is of paramount importance in democratic societies. Accountability and transparency of the police forces are necessary conditions for such trust. The Working Group invites the Government to provide it with information on the measures adopted to identify individual police officers when their uniform and equipment make them unidentifiable.</w:t>
      </w:r>
    </w:p>
    <w:p w:rsidR="006E3EA5" w:rsidRPr="00E45DE5" w:rsidRDefault="00082D0A" w:rsidP="00B153EB">
      <w:pPr>
        <w:pStyle w:val="SingleTxtG"/>
        <w:numPr>
          <w:ilvl w:val="2"/>
          <w:numId w:val="7"/>
        </w:numPr>
        <w:tabs>
          <w:tab w:val="clear" w:pos="2774"/>
        </w:tabs>
        <w:ind w:left="1134" w:firstLine="0"/>
        <w:rPr>
          <w:b/>
          <w:lang w:eastAsia="en-GB"/>
        </w:rPr>
      </w:pPr>
      <w:r w:rsidRPr="00E45DE5">
        <w:rPr>
          <w:b/>
          <w:lang w:eastAsia="en-GB"/>
        </w:rPr>
        <w:t>The Working Group note</w:t>
      </w:r>
      <w:r w:rsidR="006D1C9B" w:rsidRPr="00E45DE5">
        <w:rPr>
          <w:b/>
          <w:lang w:eastAsia="en-GB"/>
        </w:rPr>
        <w:t>s</w:t>
      </w:r>
      <w:r w:rsidRPr="00E45DE5">
        <w:rPr>
          <w:b/>
          <w:lang w:eastAsia="en-GB"/>
        </w:rPr>
        <w:t xml:space="preserve"> with approval statements </w:t>
      </w:r>
      <w:r w:rsidR="00711113">
        <w:rPr>
          <w:b/>
          <w:lang w:eastAsia="en-GB"/>
        </w:rPr>
        <w:t>by Germany on</w:t>
      </w:r>
      <w:r w:rsidRPr="00E45DE5">
        <w:rPr>
          <w:b/>
          <w:lang w:eastAsia="en-GB"/>
        </w:rPr>
        <w:t xml:space="preserve"> observing the obligations under the European Convention on Human Rights and the International Covenant on Civil and Political Rights in military operations abroad. Within the scope of peace missions, Germany guarantees to all persons subject to its authority or acts of its officials and troops the rights acknowledged in international human rights conventions by which Germany is bound. </w:t>
      </w:r>
    </w:p>
    <w:p w:rsidR="001534E1" w:rsidRPr="00E45DE5" w:rsidRDefault="001534E1" w:rsidP="00B153EB">
      <w:pPr>
        <w:pStyle w:val="SingleTxtG"/>
        <w:numPr>
          <w:ilvl w:val="2"/>
          <w:numId w:val="7"/>
        </w:numPr>
        <w:tabs>
          <w:tab w:val="clear" w:pos="2774"/>
        </w:tabs>
        <w:ind w:left="1134" w:firstLine="0"/>
        <w:rPr>
          <w:b/>
        </w:rPr>
      </w:pPr>
      <w:r w:rsidRPr="00E45DE5">
        <w:rPr>
          <w:b/>
        </w:rPr>
        <w:t>The Working Group has noted the high degree of compliance with the current</w:t>
      </w:r>
      <w:r w:rsidR="00B609DD">
        <w:rPr>
          <w:b/>
        </w:rPr>
        <w:t xml:space="preserve"> </w:t>
      </w:r>
      <w:r w:rsidRPr="00E45DE5">
        <w:rPr>
          <w:b/>
        </w:rPr>
        <w:t>draft of</w:t>
      </w:r>
      <w:r w:rsidR="00702EB6">
        <w:rPr>
          <w:b/>
        </w:rPr>
        <w:t xml:space="preserve"> </w:t>
      </w:r>
      <w:r w:rsidRPr="00E45DE5">
        <w:rPr>
          <w:b/>
        </w:rPr>
        <w:t xml:space="preserve">the </w:t>
      </w:r>
      <w:r w:rsidR="006E3936" w:rsidRPr="006E3936">
        <w:rPr>
          <w:b/>
        </w:rPr>
        <w:t>basic principles on the right of anyone deprived of their liberty by arrest or detention to bring proceedings before court</w:t>
      </w:r>
      <w:r w:rsidR="006E3936" w:rsidRPr="00E45DE5">
        <w:rPr>
          <w:b/>
        </w:rPr>
        <w:t xml:space="preserve"> </w:t>
      </w:r>
      <w:r w:rsidRPr="00E45DE5">
        <w:rPr>
          <w:b/>
        </w:rPr>
        <w:t>that the Working Group has presented</w:t>
      </w:r>
      <w:r w:rsidR="00702EB6">
        <w:rPr>
          <w:b/>
        </w:rPr>
        <w:t xml:space="preserve"> </w:t>
      </w:r>
      <w:r w:rsidRPr="00E45DE5">
        <w:rPr>
          <w:b/>
        </w:rPr>
        <w:t xml:space="preserve">in accordance with Human Rights Council </w:t>
      </w:r>
      <w:r w:rsidRPr="006E3936">
        <w:rPr>
          <w:b/>
        </w:rPr>
        <w:t>resolution 20/16</w:t>
      </w:r>
      <w:r w:rsidRPr="00E45DE5">
        <w:rPr>
          <w:b/>
        </w:rPr>
        <w:t>, and which is declaratory of international law and based on the human rights conventions, customary international law and general principles of international law.</w:t>
      </w:r>
    </w:p>
    <w:p w:rsidR="00A56DE8" w:rsidRDefault="00536064" w:rsidP="00536064">
      <w:pPr>
        <w:pStyle w:val="HChG"/>
      </w:pPr>
      <w:r>
        <w:tab/>
      </w:r>
      <w:r w:rsidR="00A56DE8" w:rsidRPr="00D92CA1">
        <w:t>V.</w:t>
      </w:r>
      <w:r w:rsidR="00A56DE8" w:rsidRPr="00D92CA1">
        <w:tab/>
        <w:t>Recommendations</w:t>
      </w:r>
    </w:p>
    <w:p w:rsidR="009F4DFD" w:rsidRPr="00E45DE5" w:rsidRDefault="006D1C9B" w:rsidP="004168B8">
      <w:pPr>
        <w:pStyle w:val="SingleTxtG"/>
        <w:numPr>
          <w:ilvl w:val="2"/>
          <w:numId w:val="7"/>
        </w:numPr>
        <w:tabs>
          <w:tab w:val="clear" w:pos="2774"/>
        </w:tabs>
        <w:ind w:left="1134" w:firstLine="0"/>
        <w:rPr>
          <w:b/>
        </w:rPr>
      </w:pPr>
      <w:r w:rsidRPr="00E45DE5">
        <w:rPr>
          <w:b/>
        </w:rPr>
        <w:t>The Working Group</w:t>
      </w:r>
      <w:r w:rsidR="009F4DFD" w:rsidRPr="00E45DE5">
        <w:rPr>
          <w:b/>
        </w:rPr>
        <w:t xml:space="preserve"> reiterates its recommendation that deprivation of liberty </w:t>
      </w:r>
      <w:r w:rsidR="004B077E" w:rsidRPr="00E45DE5">
        <w:rPr>
          <w:b/>
        </w:rPr>
        <w:t xml:space="preserve">must </w:t>
      </w:r>
      <w:r w:rsidR="009F4DFD" w:rsidRPr="00E45DE5">
        <w:rPr>
          <w:b/>
        </w:rPr>
        <w:t>be used as a measure of last resort in all cases, and for the shortest possible time. Alternative sentences, such as probation or community service, should be examined.</w:t>
      </w:r>
    </w:p>
    <w:p w:rsidR="0084750D" w:rsidRPr="00E45DE5" w:rsidRDefault="004B077E" w:rsidP="004168B8">
      <w:pPr>
        <w:pStyle w:val="SingleTxtG"/>
        <w:numPr>
          <w:ilvl w:val="2"/>
          <w:numId w:val="7"/>
        </w:numPr>
        <w:tabs>
          <w:tab w:val="clear" w:pos="2774"/>
        </w:tabs>
        <w:ind w:left="1134" w:firstLine="0"/>
        <w:rPr>
          <w:b/>
        </w:rPr>
      </w:pPr>
      <w:r w:rsidRPr="00E45DE5">
        <w:rPr>
          <w:b/>
        </w:rPr>
        <w:t xml:space="preserve">The </w:t>
      </w:r>
      <w:r w:rsidR="0084750D" w:rsidRPr="00E45DE5">
        <w:rPr>
          <w:b/>
        </w:rPr>
        <w:t xml:space="preserve">Working Group highlights the ongoing dialogue on preventive detention between the Federal Government and the </w:t>
      </w:r>
      <w:r w:rsidR="00711113">
        <w:rPr>
          <w:b/>
        </w:rPr>
        <w:t>European Court of Human Rights</w:t>
      </w:r>
      <w:r w:rsidR="00711113" w:rsidRPr="00E45DE5">
        <w:rPr>
          <w:b/>
        </w:rPr>
        <w:t xml:space="preserve"> </w:t>
      </w:r>
      <w:r w:rsidR="0084750D" w:rsidRPr="00E45DE5">
        <w:rPr>
          <w:b/>
        </w:rPr>
        <w:t xml:space="preserve">and the </w:t>
      </w:r>
      <w:r w:rsidR="00711113">
        <w:rPr>
          <w:b/>
        </w:rPr>
        <w:t xml:space="preserve">Council of Europe </w:t>
      </w:r>
      <w:r w:rsidR="0084750D" w:rsidRPr="00E45DE5">
        <w:rPr>
          <w:b/>
        </w:rPr>
        <w:t xml:space="preserve">Committee of Ministers. </w:t>
      </w:r>
    </w:p>
    <w:p w:rsidR="009D5839" w:rsidRPr="00E45DE5" w:rsidRDefault="009D5839" w:rsidP="004168B8">
      <w:pPr>
        <w:pStyle w:val="SingleTxtG"/>
        <w:numPr>
          <w:ilvl w:val="2"/>
          <w:numId w:val="7"/>
        </w:numPr>
        <w:tabs>
          <w:tab w:val="clear" w:pos="2774"/>
        </w:tabs>
        <w:ind w:left="1134" w:firstLine="0"/>
        <w:rPr>
          <w:b/>
        </w:rPr>
      </w:pPr>
      <w:r w:rsidRPr="00E45DE5">
        <w:rPr>
          <w:b/>
        </w:rPr>
        <w:lastRenderedPageBreak/>
        <w:t xml:space="preserve">Authorities should take into account the United Nations Standard Minimum Rules for Non-custodial Measures (the Tokyo Rules) when devising the measures alternative to preventive detention. </w:t>
      </w:r>
    </w:p>
    <w:p w:rsidR="00D501C4" w:rsidRPr="00E45DE5" w:rsidRDefault="006D1C9B" w:rsidP="004168B8">
      <w:pPr>
        <w:pStyle w:val="SingleTxtG"/>
        <w:numPr>
          <w:ilvl w:val="2"/>
          <w:numId w:val="7"/>
        </w:numPr>
        <w:tabs>
          <w:tab w:val="clear" w:pos="2774"/>
        </w:tabs>
        <w:ind w:left="1134" w:firstLine="0"/>
        <w:rPr>
          <w:b/>
        </w:rPr>
      </w:pPr>
      <w:r w:rsidRPr="00E45DE5">
        <w:rPr>
          <w:b/>
        </w:rPr>
        <w:t>To safeguard the rights of asylum seekers and refugees</w:t>
      </w:r>
      <w:r w:rsidR="00711113">
        <w:rPr>
          <w:b/>
        </w:rPr>
        <w:t>,</w:t>
      </w:r>
      <w:r w:rsidRPr="00E45DE5">
        <w:rPr>
          <w:b/>
        </w:rPr>
        <w:t xml:space="preserve"> the Government should prohibit pre-deportation custody orders against persons belonging to particularly vulnerable groups, such as unaccompanied minors.</w:t>
      </w:r>
      <w:r w:rsidR="0084750D" w:rsidRPr="00E45DE5">
        <w:rPr>
          <w:b/>
        </w:rPr>
        <w:t xml:space="preserve"> The Working Group recommends </w:t>
      </w:r>
      <w:r w:rsidR="00711113">
        <w:rPr>
          <w:b/>
        </w:rPr>
        <w:t xml:space="preserve">that </w:t>
      </w:r>
      <w:r w:rsidR="0084750D" w:rsidRPr="00E45DE5">
        <w:rPr>
          <w:b/>
        </w:rPr>
        <w:t>the Government reduce the length of the detention to the period of time strictly necessary for identification.</w:t>
      </w:r>
    </w:p>
    <w:p w:rsidR="0084750D" w:rsidRPr="00E45DE5" w:rsidRDefault="0084750D" w:rsidP="004168B8">
      <w:pPr>
        <w:pStyle w:val="SingleTxtG"/>
        <w:numPr>
          <w:ilvl w:val="2"/>
          <w:numId w:val="7"/>
        </w:numPr>
        <w:tabs>
          <w:tab w:val="clear" w:pos="2774"/>
        </w:tabs>
        <w:ind w:left="1134" w:firstLine="0"/>
        <w:rPr>
          <w:b/>
        </w:rPr>
      </w:pPr>
      <w:r w:rsidRPr="00E45DE5">
        <w:rPr>
          <w:b/>
        </w:rPr>
        <w:t>There is a need for special attention to be given to vulnerable asylum</w:t>
      </w:r>
      <w:r w:rsidR="00711113">
        <w:rPr>
          <w:b/>
        </w:rPr>
        <w:t xml:space="preserve"> </w:t>
      </w:r>
      <w:r w:rsidRPr="00E45DE5">
        <w:rPr>
          <w:b/>
        </w:rPr>
        <w:t xml:space="preserve">seekers </w:t>
      </w:r>
      <w:r w:rsidR="00711113">
        <w:rPr>
          <w:b/>
        </w:rPr>
        <w:t>during</w:t>
      </w:r>
      <w:r w:rsidRPr="00E45DE5">
        <w:rPr>
          <w:b/>
        </w:rPr>
        <w:t xml:space="preserve"> the initial medical check.</w:t>
      </w:r>
    </w:p>
    <w:p w:rsidR="006D1C9B" w:rsidRPr="00E45DE5" w:rsidRDefault="006D1C9B" w:rsidP="004168B8">
      <w:pPr>
        <w:pStyle w:val="SingleTxtG"/>
        <w:numPr>
          <w:ilvl w:val="2"/>
          <w:numId w:val="7"/>
        </w:numPr>
        <w:tabs>
          <w:tab w:val="clear" w:pos="2774"/>
        </w:tabs>
        <w:ind w:left="1134" w:firstLine="0"/>
        <w:rPr>
          <w:b/>
        </w:rPr>
      </w:pPr>
      <w:r w:rsidRPr="00E45DE5">
        <w:rPr>
          <w:b/>
        </w:rPr>
        <w:t xml:space="preserve">The </w:t>
      </w:r>
      <w:r w:rsidR="00545F69" w:rsidRPr="00E45DE5">
        <w:rPr>
          <w:b/>
        </w:rPr>
        <w:t>Working Group recommends</w:t>
      </w:r>
      <w:r w:rsidR="00711113">
        <w:rPr>
          <w:b/>
        </w:rPr>
        <w:t xml:space="preserve"> that</w:t>
      </w:r>
      <w:r w:rsidR="00545F69" w:rsidRPr="00E45DE5">
        <w:rPr>
          <w:b/>
        </w:rPr>
        <w:t xml:space="preserve"> the </w:t>
      </w:r>
      <w:r w:rsidRPr="00E45DE5">
        <w:rPr>
          <w:b/>
        </w:rPr>
        <w:t xml:space="preserve">Government adopt law and practice so that traumatized and psychologically ill persons are not detained, but instead receive </w:t>
      </w:r>
      <w:r w:rsidR="00711113">
        <w:rPr>
          <w:b/>
        </w:rPr>
        <w:t xml:space="preserve">the </w:t>
      </w:r>
      <w:r w:rsidRPr="00E45DE5">
        <w:rPr>
          <w:b/>
        </w:rPr>
        <w:t>treatment</w:t>
      </w:r>
      <w:r w:rsidR="00711113" w:rsidRPr="00711113">
        <w:rPr>
          <w:b/>
        </w:rPr>
        <w:t xml:space="preserve"> </w:t>
      </w:r>
      <w:r w:rsidR="00711113" w:rsidRPr="00E45DE5">
        <w:rPr>
          <w:b/>
        </w:rPr>
        <w:t>necessary</w:t>
      </w:r>
      <w:r w:rsidRPr="00E45DE5">
        <w:rPr>
          <w:b/>
        </w:rPr>
        <w:t xml:space="preserve">. The Government </w:t>
      </w:r>
      <w:r w:rsidR="00545F69" w:rsidRPr="00E45DE5">
        <w:rPr>
          <w:b/>
        </w:rPr>
        <w:t xml:space="preserve">should also </w:t>
      </w:r>
      <w:r w:rsidRPr="00E45DE5">
        <w:rPr>
          <w:b/>
        </w:rPr>
        <w:t>take steps to prevent human rights violations during deportations.</w:t>
      </w:r>
    </w:p>
    <w:p w:rsidR="00D501C4" w:rsidRPr="00E45DE5" w:rsidRDefault="00D501C4" w:rsidP="004168B8">
      <w:pPr>
        <w:pStyle w:val="SingleTxtG"/>
        <w:numPr>
          <w:ilvl w:val="2"/>
          <w:numId w:val="7"/>
        </w:numPr>
        <w:tabs>
          <w:tab w:val="clear" w:pos="2774"/>
        </w:tabs>
        <w:ind w:left="1134" w:firstLine="0"/>
        <w:rPr>
          <w:b/>
        </w:rPr>
      </w:pPr>
      <w:r w:rsidRPr="00E45DE5">
        <w:rPr>
          <w:b/>
        </w:rPr>
        <w:t>The Working Group re</w:t>
      </w:r>
      <w:r w:rsidR="0084750D" w:rsidRPr="00E45DE5">
        <w:rPr>
          <w:b/>
        </w:rPr>
        <w:t xml:space="preserve">commends </w:t>
      </w:r>
      <w:r w:rsidR="00711113">
        <w:rPr>
          <w:b/>
        </w:rPr>
        <w:t xml:space="preserve">that </w:t>
      </w:r>
      <w:r w:rsidRPr="00E45DE5">
        <w:rPr>
          <w:b/>
        </w:rPr>
        <w:t>the Government not limit court review of deportation orders, and build on the achievements in reducing the number of foreign</w:t>
      </w:r>
      <w:r w:rsidR="009A49D5">
        <w:rPr>
          <w:b/>
        </w:rPr>
        <w:t xml:space="preserve"> national</w:t>
      </w:r>
      <w:r w:rsidRPr="00E45DE5">
        <w:rPr>
          <w:b/>
        </w:rPr>
        <w:t>s awaiting deportation in detention.</w:t>
      </w:r>
    </w:p>
    <w:p w:rsidR="00566A8B" w:rsidRPr="00E45DE5" w:rsidRDefault="00566A8B" w:rsidP="004168B8">
      <w:pPr>
        <w:pStyle w:val="SingleTxtG"/>
        <w:numPr>
          <w:ilvl w:val="2"/>
          <w:numId w:val="7"/>
        </w:numPr>
        <w:tabs>
          <w:tab w:val="clear" w:pos="2774"/>
        </w:tabs>
        <w:ind w:left="1134" w:firstLine="0"/>
        <w:rPr>
          <w:b/>
        </w:rPr>
      </w:pPr>
      <w:r w:rsidRPr="00E45DE5">
        <w:rPr>
          <w:b/>
        </w:rPr>
        <w:t xml:space="preserve">The duration of detention pending deportation should be subjected to the strict application of the principle of proportionality and limited to the shortest possible period. The Working Group recommends </w:t>
      </w:r>
      <w:r w:rsidR="009A49D5">
        <w:rPr>
          <w:b/>
        </w:rPr>
        <w:t xml:space="preserve">that </w:t>
      </w:r>
      <w:r w:rsidRPr="00E45DE5">
        <w:rPr>
          <w:b/>
        </w:rPr>
        <w:t>the duration of pre-deportation custody</w:t>
      </w:r>
      <w:r w:rsidR="009A49D5">
        <w:rPr>
          <w:b/>
        </w:rPr>
        <w:t xml:space="preserve"> be significantly decreased</w:t>
      </w:r>
      <w:r w:rsidRPr="00E45DE5">
        <w:rPr>
          <w:b/>
        </w:rPr>
        <w:t xml:space="preserve">. </w:t>
      </w:r>
    </w:p>
    <w:p w:rsidR="00D501C4" w:rsidRPr="00E45DE5" w:rsidRDefault="00566A8B" w:rsidP="004168B8">
      <w:pPr>
        <w:pStyle w:val="SingleTxtG"/>
        <w:numPr>
          <w:ilvl w:val="2"/>
          <w:numId w:val="7"/>
        </w:numPr>
        <w:tabs>
          <w:tab w:val="clear" w:pos="2774"/>
        </w:tabs>
        <w:ind w:left="1134" w:firstLine="0"/>
        <w:rPr>
          <w:b/>
        </w:rPr>
      </w:pPr>
      <w:r w:rsidRPr="00E45DE5">
        <w:rPr>
          <w:b/>
        </w:rPr>
        <w:t>G</w:t>
      </w:r>
      <w:r w:rsidR="00D501C4" w:rsidRPr="00E45DE5">
        <w:rPr>
          <w:b/>
        </w:rPr>
        <w:t xml:space="preserve">ermany should revise its Asylum Procedure Act to extend the one-week time </w:t>
      </w:r>
      <w:r w:rsidR="00DE5DC1" w:rsidRPr="00E45DE5">
        <w:rPr>
          <w:b/>
        </w:rPr>
        <w:t>limit to</w:t>
      </w:r>
      <w:r w:rsidR="00D501C4" w:rsidRPr="00E45DE5">
        <w:rPr>
          <w:b/>
        </w:rPr>
        <w:t xml:space="preserve"> challenge an order for deportation and submit a legal remedy and to allow suspensive orders in case of transfers of asylum seekers to any State bound by the </w:t>
      </w:r>
      <w:r w:rsidR="00D501C4" w:rsidRPr="006E3936">
        <w:rPr>
          <w:b/>
        </w:rPr>
        <w:t>Dublin II Regulation.</w:t>
      </w:r>
      <w:r w:rsidR="00D501C4" w:rsidRPr="00E45DE5">
        <w:rPr>
          <w:b/>
        </w:rPr>
        <w:t xml:space="preserve"> Deportation should not be permissible before a court decision is handed down. The legal provisions of the Asylum Procedure Act excluding suspensive effects of the appeals against </w:t>
      </w:r>
      <w:r w:rsidR="009A49D5">
        <w:rPr>
          <w:b/>
        </w:rPr>
        <w:t xml:space="preserve">a </w:t>
      </w:r>
      <w:r w:rsidR="00D501C4" w:rsidRPr="00E45DE5">
        <w:rPr>
          <w:b/>
        </w:rPr>
        <w:t>decision to transfer an asylum</w:t>
      </w:r>
      <w:r w:rsidR="009A49D5">
        <w:rPr>
          <w:b/>
        </w:rPr>
        <w:t xml:space="preserve"> </w:t>
      </w:r>
      <w:r w:rsidR="00D501C4" w:rsidRPr="00E45DE5">
        <w:rPr>
          <w:b/>
        </w:rPr>
        <w:t xml:space="preserve">seeker to another State participating in the Dublin system should also be abolished. </w:t>
      </w:r>
    </w:p>
    <w:p w:rsidR="00566A8B" w:rsidRPr="00E45DE5" w:rsidRDefault="00D501C4" w:rsidP="004168B8">
      <w:pPr>
        <w:pStyle w:val="SingleTxtG"/>
        <w:numPr>
          <w:ilvl w:val="2"/>
          <w:numId w:val="7"/>
        </w:numPr>
        <w:tabs>
          <w:tab w:val="clear" w:pos="2774"/>
        </w:tabs>
        <w:ind w:left="1134" w:firstLine="0"/>
        <w:rPr>
          <w:b/>
        </w:rPr>
      </w:pPr>
      <w:r w:rsidRPr="00E45DE5">
        <w:rPr>
          <w:b/>
        </w:rPr>
        <w:t>Access to independent, qualified and free-of-charge counselling for asylum</w:t>
      </w:r>
      <w:r w:rsidR="009A49D5">
        <w:rPr>
          <w:b/>
        </w:rPr>
        <w:t xml:space="preserve"> </w:t>
      </w:r>
      <w:r w:rsidRPr="00E45DE5">
        <w:rPr>
          <w:b/>
        </w:rPr>
        <w:t>seekers before hearings</w:t>
      </w:r>
      <w:r w:rsidR="009A49D5">
        <w:rPr>
          <w:b/>
        </w:rPr>
        <w:t>,</w:t>
      </w:r>
      <w:r w:rsidRPr="00E45DE5">
        <w:rPr>
          <w:b/>
        </w:rPr>
        <w:t xml:space="preserve"> as well as legal </w:t>
      </w:r>
      <w:r w:rsidR="00DE5DC1" w:rsidRPr="00E45DE5">
        <w:rPr>
          <w:b/>
        </w:rPr>
        <w:t>aid after</w:t>
      </w:r>
      <w:r w:rsidRPr="00E45DE5">
        <w:rPr>
          <w:b/>
        </w:rPr>
        <w:t xml:space="preserve"> a negative decision</w:t>
      </w:r>
      <w:r w:rsidR="009A49D5">
        <w:rPr>
          <w:b/>
        </w:rPr>
        <w:t>,</w:t>
      </w:r>
      <w:r w:rsidRPr="00E45DE5">
        <w:rPr>
          <w:b/>
        </w:rPr>
        <w:t xml:space="preserve"> should be guaranteed. </w:t>
      </w:r>
    </w:p>
    <w:p w:rsidR="0084750D" w:rsidRPr="00E45DE5" w:rsidRDefault="0084750D" w:rsidP="004168B8">
      <w:pPr>
        <w:pStyle w:val="SingleTxtG"/>
        <w:numPr>
          <w:ilvl w:val="2"/>
          <w:numId w:val="7"/>
        </w:numPr>
        <w:tabs>
          <w:tab w:val="clear" w:pos="2774"/>
        </w:tabs>
        <w:ind w:left="1134" w:firstLine="0"/>
        <w:rPr>
          <w:b/>
        </w:rPr>
      </w:pPr>
      <w:r w:rsidRPr="00E45DE5">
        <w:rPr>
          <w:b/>
        </w:rPr>
        <w:t xml:space="preserve">Independent, impartial and effective investigation and prosecution in cases of alleged police violence should be </w:t>
      </w:r>
      <w:r w:rsidR="009A49D5">
        <w:rPr>
          <w:b/>
        </w:rPr>
        <w:t>ensured</w:t>
      </w:r>
      <w:r w:rsidRPr="00E45DE5">
        <w:rPr>
          <w:b/>
        </w:rPr>
        <w:t>.</w:t>
      </w:r>
      <w:r w:rsidR="003B14C5">
        <w:rPr>
          <w:b/>
        </w:rPr>
        <w:t xml:space="preserve"> </w:t>
      </w:r>
      <w:proofErr w:type="spellStart"/>
      <w:r w:rsidRPr="00E45DE5">
        <w:rPr>
          <w:b/>
        </w:rPr>
        <w:t>Länder</w:t>
      </w:r>
      <w:proofErr w:type="spellEnd"/>
      <w:r w:rsidRPr="00E45DE5">
        <w:rPr>
          <w:b/>
        </w:rPr>
        <w:t xml:space="preserve"> should consider the model of independent special commissions for the investigation of police officers in cases of alleged misconduct or alleged ill-treatment, such as that established in Hamburg, which constitute best practice. Alleged victims of ill-treatment or misconduct by the </w:t>
      </w:r>
      <w:r w:rsidR="009A49D5">
        <w:rPr>
          <w:b/>
        </w:rPr>
        <w:t>p</w:t>
      </w:r>
      <w:r w:rsidRPr="00E45DE5">
        <w:rPr>
          <w:b/>
        </w:rPr>
        <w:t xml:space="preserve">olice should be aware of </w:t>
      </w:r>
      <w:r w:rsidR="009A49D5">
        <w:rPr>
          <w:b/>
        </w:rPr>
        <w:t xml:space="preserve">other </w:t>
      </w:r>
      <w:r w:rsidRPr="00E45DE5">
        <w:rPr>
          <w:b/>
        </w:rPr>
        <w:t>complaints procedure</w:t>
      </w:r>
      <w:r w:rsidR="009A49D5">
        <w:rPr>
          <w:b/>
        </w:rPr>
        <w:t>s</w:t>
      </w:r>
      <w:r w:rsidRPr="00E45DE5">
        <w:rPr>
          <w:b/>
        </w:rPr>
        <w:t xml:space="preserve"> </w:t>
      </w:r>
      <w:r w:rsidR="009A49D5">
        <w:rPr>
          <w:b/>
        </w:rPr>
        <w:t>than</w:t>
      </w:r>
      <w:r w:rsidR="009A49D5" w:rsidRPr="00E45DE5">
        <w:rPr>
          <w:b/>
        </w:rPr>
        <w:t xml:space="preserve"> </w:t>
      </w:r>
      <w:r w:rsidRPr="00E45DE5">
        <w:rPr>
          <w:b/>
        </w:rPr>
        <w:t xml:space="preserve">complaints to the Police. The Working Group welcomes continued dialogue on this issue and on independent complaints mechanisms open to all individuals. </w:t>
      </w:r>
    </w:p>
    <w:p w:rsidR="0084750D" w:rsidRPr="00E45DE5" w:rsidRDefault="006D1C9B" w:rsidP="004168B8">
      <w:pPr>
        <w:pStyle w:val="SingleTxtG"/>
        <w:numPr>
          <w:ilvl w:val="2"/>
          <w:numId w:val="7"/>
        </w:numPr>
        <w:tabs>
          <w:tab w:val="clear" w:pos="2774"/>
        </w:tabs>
        <w:ind w:left="1134" w:firstLine="0"/>
        <w:rPr>
          <w:b/>
        </w:rPr>
      </w:pPr>
      <w:r w:rsidRPr="00E45DE5">
        <w:rPr>
          <w:b/>
        </w:rPr>
        <w:t>The Working Group re</w:t>
      </w:r>
      <w:r w:rsidR="0084750D" w:rsidRPr="00E45DE5">
        <w:rPr>
          <w:b/>
        </w:rPr>
        <w:t xml:space="preserve">iterates </w:t>
      </w:r>
      <w:r w:rsidRPr="00E45DE5">
        <w:rPr>
          <w:b/>
        </w:rPr>
        <w:t xml:space="preserve">its recommendations that members of the police in all </w:t>
      </w:r>
      <w:proofErr w:type="spellStart"/>
      <w:r w:rsidRPr="00E45DE5">
        <w:rPr>
          <w:b/>
        </w:rPr>
        <w:t>Länder</w:t>
      </w:r>
      <w:proofErr w:type="spellEnd"/>
      <w:r w:rsidRPr="00E45DE5">
        <w:rPr>
          <w:b/>
        </w:rPr>
        <w:t xml:space="preserve"> should be effectively identifiable so that they can be held accountable. </w:t>
      </w:r>
      <w:r w:rsidR="009A49D5">
        <w:rPr>
          <w:b/>
        </w:rPr>
        <w:t>The i</w:t>
      </w:r>
      <w:r w:rsidR="00D37D7A" w:rsidRPr="00E45DE5">
        <w:rPr>
          <w:b/>
        </w:rPr>
        <w:t xml:space="preserve">dentification of individual police officers on duty should be </w:t>
      </w:r>
      <w:r w:rsidR="009A49D5">
        <w:rPr>
          <w:b/>
        </w:rPr>
        <w:t>ensured</w:t>
      </w:r>
      <w:r w:rsidR="009A49D5" w:rsidRPr="00E45DE5">
        <w:rPr>
          <w:b/>
        </w:rPr>
        <w:t xml:space="preserve"> </w:t>
      </w:r>
      <w:r w:rsidR="00D37D7A" w:rsidRPr="00E45DE5">
        <w:rPr>
          <w:b/>
        </w:rPr>
        <w:t xml:space="preserve">in the Federal Police and in all </w:t>
      </w:r>
      <w:proofErr w:type="spellStart"/>
      <w:r w:rsidR="00D37D7A" w:rsidRPr="00E45DE5">
        <w:rPr>
          <w:b/>
        </w:rPr>
        <w:t>Länder</w:t>
      </w:r>
      <w:proofErr w:type="spellEnd"/>
      <w:r w:rsidR="00D37D7A" w:rsidRPr="00E45DE5">
        <w:rPr>
          <w:b/>
        </w:rPr>
        <w:t xml:space="preserve">. </w:t>
      </w:r>
      <w:r w:rsidRPr="00E45DE5">
        <w:rPr>
          <w:b/>
        </w:rPr>
        <w:t>The Working Group follows the development of best practices that comply with international law, including obligatory identification badges in Berlin</w:t>
      </w:r>
      <w:r w:rsidR="0084750D" w:rsidRPr="00E45DE5">
        <w:rPr>
          <w:b/>
        </w:rPr>
        <w:t>.</w:t>
      </w:r>
    </w:p>
    <w:p w:rsidR="006D1C9B" w:rsidRPr="00E45DE5" w:rsidRDefault="006D1C9B" w:rsidP="004168B8">
      <w:pPr>
        <w:pStyle w:val="SingleTxtG"/>
        <w:numPr>
          <w:ilvl w:val="2"/>
          <w:numId w:val="7"/>
        </w:numPr>
        <w:tabs>
          <w:tab w:val="clear" w:pos="2774"/>
        </w:tabs>
        <w:ind w:left="1134" w:firstLine="0"/>
        <w:rPr>
          <w:b/>
        </w:rPr>
      </w:pPr>
      <w:r w:rsidRPr="00E45DE5">
        <w:rPr>
          <w:b/>
        </w:rPr>
        <w:t xml:space="preserve">The Working Group supports </w:t>
      </w:r>
      <w:r w:rsidR="009A49D5">
        <w:rPr>
          <w:b/>
        </w:rPr>
        <w:t>the adoption of</w:t>
      </w:r>
      <w:r w:rsidR="009A49D5" w:rsidRPr="00E45DE5">
        <w:rPr>
          <w:b/>
        </w:rPr>
        <w:t xml:space="preserve"> </w:t>
      </w:r>
      <w:r w:rsidRPr="00E45DE5">
        <w:rPr>
          <w:b/>
        </w:rPr>
        <w:t xml:space="preserve">legislation </w:t>
      </w:r>
      <w:r w:rsidR="009A49D5">
        <w:rPr>
          <w:b/>
        </w:rPr>
        <w:t>that</w:t>
      </w:r>
      <w:r w:rsidRPr="00E45DE5">
        <w:rPr>
          <w:b/>
        </w:rPr>
        <w:t xml:space="preserve"> would qualify the </w:t>
      </w:r>
      <w:r w:rsidRPr="006E3936">
        <w:rPr>
          <w:b/>
        </w:rPr>
        <w:t xml:space="preserve">German Institute </w:t>
      </w:r>
      <w:r w:rsidR="006E3936">
        <w:rPr>
          <w:b/>
        </w:rPr>
        <w:t>for</w:t>
      </w:r>
      <w:r w:rsidR="006E3936" w:rsidRPr="006E3936">
        <w:rPr>
          <w:b/>
        </w:rPr>
        <w:t xml:space="preserve"> </w:t>
      </w:r>
      <w:r w:rsidRPr="006E3936">
        <w:rPr>
          <w:b/>
        </w:rPr>
        <w:t>Human Rights</w:t>
      </w:r>
      <w:r w:rsidRPr="00E45DE5">
        <w:rPr>
          <w:b/>
        </w:rPr>
        <w:t xml:space="preserve"> as a national human rights institution in category </w:t>
      </w:r>
      <w:r w:rsidRPr="00E45DE5">
        <w:rPr>
          <w:b/>
        </w:rPr>
        <w:lastRenderedPageBreak/>
        <w:t>A in the U</w:t>
      </w:r>
      <w:r w:rsidR="00D37D7A" w:rsidRPr="00E45DE5">
        <w:rPr>
          <w:b/>
        </w:rPr>
        <w:t>nited Nations hu</w:t>
      </w:r>
      <w:r w:rsidRPr="00E45DE5">
        <w:rPr>
          <w:b/>
        </w:rPr>
        <w:t>man rights system a</w:t>
      </w:r>
      <w:r w:rsidR="00D37D7A" w:rsidRPr="00E45DE5">
        <w:rPr>
          <w:b/>
        </w:rPr>
        <w:t>ccording to t</w:t>
      </w:r>
      <w:r w:rsidRPr="00E45DE5">
        <w:rPr>
          <w:b/>
        </w:rPr>
        <w:t xml:space="preserve">he Paris Principles, which would appropriately reflect </w:t>
      </w:r>
      <w:r w:rsidR="000C13BD">
        <w:rPr>
          <w:b/>
        </w:rPr>
        <w:t>the</w:t>
      </w:r>
      <w:r w:rsidR="000C13BD" w:rsidRPr="00E45DE5">
        <w:rPr>
          <w:b/>
        </w:rPr>
        <w:t xml:space="preserve"> </w:t>
      </w:r>
      <w:r w:rsidRPr="00E45DE5">
        <w:rPr>
          <w:b/>
        </w:rPr>
        <w:t>position</w:t>
      </w:r>
      <w:r w:rsidR="000C13BD">
        <w:rPr>
          <w:b/>
        </w:rPr>
        <w:t xml:space="preserve"> of Germany</w:t>
      </w:r>
      <w:r w:rsidRPr="00E45DE5">
        <w:rPr>
          <w:b/>
        </w:rPr>
        <w:t xml:space="preserve"> in the international community</w:t>
      </w:r>
      <w:r w:rsidR="00E45DE5" w:rsidRPr="00E45DE5">
        <w:rPr>
          <w:b/>
        </w:rPr>
        <w:t>.</w:t>
      </w:r>
    </w:p>
    <w:p w:rsidR="00536064" w:rsidRPr="00536064" w:rsidRDefault="00536064" w:rsidP="00536064">
      <w:pPr>
        <w:pStyle w:val="SingleTxtG"/>
        <w:spacing w:before="240" w:after="0"/>
        <w:jc w:val="center"/>
        <w:rPr>
          <w:u w:val="single"/>
        </w:rPr>
      </w:pPr>
      <w:r>
        <w:rPr>
          <w:u w:val="single"/>
        </w:rPr>
        <w:tab/>
      </w:r>
      <w:r>
        <w:rPr>
          <w:u w:val="single"/>
        </w:rPr>
        <w:tab/>
      </w:r>
      <w:r>
        <w:rPr>
          <w:u w:val="single"/>
        </w:rPr>
        <w:tab/>
      </w:r>
    </w:p>
    <w:sectPr w:rsidR="00536064" w:rsidRPr="00536064" w:rsidSect="00E04776">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09:05:00Z" w:initials="Start">
    <w:p w:rsidR="00E04776" w:rsidRDefault="00E0477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NO&gt;&gt;N1515443E&lt;&lt;ODS JOB NO&gt;&gt;</w:t>
      </w:r>
    </w:p>
    <w:p w:rsidR="00E04776" w:rsidRDefault="00E04776">
      <w:pPr>
        <w:pStyle w:val="CommentText"/>
      </w:pPr>
      <w:r>
        <w:t>&lt;&lt;ODS DOC SYMBOL1&gt;&gt;A/HRC/30/36/ADD.1&lt;&lt;ODS DOC SYMBOL1&gt;&gt;</w:t>
      </w:r>
    </w:p>
    <w:p w:rsidR="00E04776" w:rsidRDefault="00E0477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C8" w:rsidRDefault="002043C8"/>
  </w:endnote>
  <w:endnote w:type="continuationSeparator" w:id="0">
    <w:p w:rsidR="002043C8" w:rsidRDefault="002043C8"/>
  </w:endnote>
  <w:endnote w:type="continuationNotice" w:id="1">
    <w:p w:rsidR="002043C8" w:rsidRDefault="0020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1" w:rsidRPr="00F055F9" w:rsidRDefault="00B536D1" w:rsidP="00F055F9">
    <w:pPr>
      <w:pStyle w:val="Footer"/>
      <w:tabs>
        <w:tab w:val="right" w:pos="9598"/>
      </w:tabs>
    </w:pPr>
    <w:r w:rsidRPr="00F055F9">
      <w:rPr>
        <w:b/>
        <w:sz w:val="18"/>
      </w:rPr>
      <w:fldChar w:fldCharType="begin"/>
    </w:r>
    <w:r w:rsidRPr="00F055F9">
      <w:rPr>
        <w:b/>
        <w:sz w:val="18"/>
      </w:rPr>
      <w:instrText xml:space="preserve"> PAGE  \* MERGEFORMAT </w:instrText>
    </w:r>
    <w:r w:rsidRPr="00F055F9">
      <w:rPr>
        <w:b/>
        <w:sz w:val="18"/>
      </w:rPr>
      <w:fldChar w:fldCharType="separate"/>
    </w:r>
    <w:r w:rsidR="0091768F">
      <w:rPr>
        <w:b/>
        <w:noProof/>
        <w:sz w:val="18"/>
      </w:rPr>
      <w:t>2</w:t>
    </w:r>
    <w:r w:rsidRPr="00F055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1" w:rsidRDefault="00B536D1" w:rsidP="00F055F9">
    <w:pPr>
      <w:pStyle w:val="Footer"/>
      <w:tabs>
        <w:tab w:val="right" w:pos="9598"/>
      </w:tabs>
      <w:rPr>
        <w:b/>
        <w:sz w:val="18"/>
      </w:rPr>
    </w:pPr>
    <w:r>
      <w:tab/>
    </w:r>
    <w:r w:rsidRPr="00F055F9">
      <w:rPr>
        <w:b/>
        <w:sz w:val="18"/>
      </w:rPr>
      <w:fldChar w:fldCharType="begin"/>
    </w:r>
    <w:r w:rsidRPr="00F055F9">
      <w:rPr>
        <w:b/>
        <w:sz w:val="18"/>
      </w:rPr>
      <w:instrText xml:space="preserve"> PAGE  \* MERGEFORMAT </w:instrText>
    </w:r>
    <w:r w:rsidRPr="00F055F9">
      <w:rPr>
        <w:b/>
        <w:sz w:val="18"/>
      </w:rPr>
      <w:fldChar w:fldCharType="separate"/>
    </w:r>
    <w:r w:rsidR="0091768F">
      <w:rPr>
        <w:b/>
        <w:noProof/>
        <w:sz w:val="18"/>
      </w:rPr>
      <w:t>3</w:t>
    </w:r>
    <w:r w:rsidRPr="00F055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04776" w:rsidTr="00E04776">
      <w:tc>
        <w:tcPr>
          <w:tcW w:w="3614" w:type="dxa"/>
          <w:shd w:val="clear" w:color="auto" w:fill="auto"/>
        </w:tcPr>
        <w:p w:rsidR="00E04776" w:rsidRDefault="00E04776" w:rsidP="00E04776">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3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GE.15-11708(E)</w:t>
          </w:r>
        </w:p>
        <w:p w:rsidR="00E04776" w:rsidRPr="00E04776" w:rsidRDefault="00E04776" w:rsidP="00E04776">
          <w:pPr>
            <w:pStyle w:val="Footer"/>
            <w:rPr>
              <w:rFonts w:ascii="Barcode 3 of 9 by request" w:hAnsi="Barcode 3 of 9 by request"/>
              <w:sz w:val="24"/>
            </w:rPr>
          </w:pPr>
          <w:r>
            <w:rPr>
              <w:rFonts w:ascii="Barcode 3 of 9 by request" w:hAnsi="Barcode 3 of 9 by request"/>
              <w:sz w:val="24"/>
            </w:rPr>
            <w:t>*1511708*</w:t>
          </w:r>
        </w:p>
      </w:tc>
      <w:tc>
        <w:tcPr>
          <w:tcW w:w="4752" w:type="dxa"/>
          <w:shd w:val="clear" w:color="auto" w:fill="auto"/>
        </w:tcPr>
        <w:p w:rsidR="00E04776" w:rsidRDefault="00E04776" w:rsidP="00E04776">
          <w:pPr>
            <w:pStyle w:val="Footer"/>
            <w:spacing w:line="240" w:lineRule="atLeast"/>
            <w:jc w:val="right"/>
            <w:rPr>
              <w:sz w:val="20"/>
            </w:rPr>
          </w:pPr>
          <w:r>
            <w:rPr>
              <w:noProof/>
              <w:sz w:val="20"/>
              <w:lang w:eastAsia="zh-CN"/>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04776" w:rsidRPr="00E04776" w:rsidRDefault="00E04776" w:rsidP="00E0477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C8" w:rsidRDefault="002043C8">
      <w:pPr>
        <w:tabs>
          <w:tab w:val="right" w:pos="2155"/>
        </w:tabs>
        <w:spacing w:after="80"/>
        <w:ind w:left="680"/>
        <w:rPr>
          <w:u w:val="single"/>
        </w:rPr>
      </w:pPr>
      <w:r>
        <w:rPr>
          <w:u w:val="single"/>
        </w:rPr>
        <w:tab/>
      </w:r>
    </w:p>
  </w:footnote>
  <w:footnote w:type="continuationSeparator" w:id="0">
    <w:p w:rsidR="002043C8" w:rsidRDefault="002043C8">
      <w:pPr>
        <w:tabs>
          <w:tab w:val="left" w:pos="2155"/>
        </w:tabs>
        <w:spacing w:after="80"/>
        <w:ind w:left="680"/>
        <w:rPr>
          <w:u w:val="single"/>
        </w:rPr>
      </w:pPr>
      <w:r>
        <w:rPr>
          <w:u w:val="single"/>
        </w:rPr>
        <w:tab/>
      </w:r>
    </w:p>
  </w:footnote>
  <w:footnote w:type="continuationNotice" w:id="1">
    <w:p w:rsidR="002043C8" w:rsidRDefault="002043C8"/>
  </w:footnote>
  <w:footnote w:id="2">
    <w:p w:rsidR="00B536D1" w:rsidRPr="00595341" w:rsidRDefault="00B536D1" w:rsidP="00E45DE5">
      <w:pPr>
        <w:pStyle w:val="Default"/>
        <w:tabs>
          <w:tab w:val="right" w:pos="1021"/>
        </w:tabs>
        <w:ind w:left="1134" w:right="1134" w:hanging="1134"/>
        <w:rPr>
          <w:sz w:val="20"/>
          <w:szCs w:val="20"/>
        </w:rPr>
      </w:pPr>
      <w:r>
        <w:tab/>
      </w:r>
      <w:r w:rsidRPr="00DE6861">
        <w:rPr>
          <w:rStyle w:val="FootnoteReference"/>
          <w:sz w:val="20"/>
        </w:rPr>
        <w:t>*</w:t>
      </w:r>
      <w:r w:rsidRPr="00DE6861">
        <w:rPr>
          <w:color w:val="auto"/>
          <w:vertAlign w:val="superscript"/>
        </w:rPr>
        <w:tab/>
      </w:r>
      <w:r w:rsidRPr="00E45DE5">
        <w:rPr>
          <w:color w:val="auto"/>
          <w:sz w:val="18"/>
          <w:szCs w:val="18"/>
        </w:rPr>
        <w:t xml:space="preserve">The summary of </w:t>
      </w:r>
      <w:r w:rsidRPr="00E45DE5">
        <w:rPr>
          <w:sz w:val="18"/>
          <w:szCs w:val="18"/>
        </w:rPr>
        <w:t>the present</w:t>
      </w:r>
      <w:r w:rsidRPr="00E45DE5">
        <w:rPr>
          <w:color w:val="auto"/>
          <w:sz w:val="18"/>
          <w:szCs w:val="18"/>
        </w:rPr>
        <w:t xml:space="preserve"> report is </w:t>
      </w:r>
      <w:proofErr w:type="spellStart"/>
      <w:r w:rsidRPr="00E45DE5">
        <w:rPr>
          <w:color w:val="auto"/>
          <w:sz w:val="18"/>
          <w:szCs w:val="18"/>
        </w:rPr>
        <w:t>circulated</w:t>
      </w:r>
      <w:proofErr w:type="spellEnd"/>
      <w:r w:rsidRPr="00E45DE5">
        <w:rPr>
          <w:color w:val="auto"/>
          <w:sz w:val="18"/>
          <w:szCs w:val="18"/>
        </w:rPr>
        <w:t xml:space="preserve"> in </w:t>
      </w:r>
      <w:proofErr w:type="spellStart"/>
      <w:proofErr w:type="gramStart"/>
      <w:r w:rsidRPr="00E45DE5">
        <w:rPr>
          <w:color w:val="auto"/>
          <w:sz w:val="18"/>
          <w:szCs w:val="18"/>
        </w:rPr>
        <w:t>all</w:t>
      </w:r>
      <w:proofErr w:type="spellEnd"/>
      <w:proofErr w:type="gramEnd"/>
      <w:r w:rsidRPr="00E45DE5">
        <w:rPr>
          <w:color w:val="auto"/>
          <w:sz w:val="18"/>
          <w:szCs w:val="18"/>
        </w:rPr>
        <w:t xml:space="preserve"> official </w:t>
      </w:r>
      <w:proofErr w:type="spellStart"/>
      <w:r w:rsidRPr="00E45DE5">
        <w:rPr>
          <w:color w:val="auto"/>
          <w:sz w:val="18"/>
          <w:szCs w:val="18"/>
        </w:rPr>
        <w:t>languages</w:t>
      </w:r>
      <w:proofErr w:type="spellEnd"/>
      <w:r w:rsidRPr="00E45DE5">
        <w:rPr>
          <w:color w:val="auto"/>
          <w:sz w:val="18"/>
          <w:szCs w:val="18"/>
        </w:rPr>
        <w:t xml:space="preserve">. </w:t>
      </w:r>
      <w:r w:rsidRPr="00E45DE5">
        <w:rPr>
          <w:sz w:val="18"/>
          <w:szCs w:val="18"/>
          <w:lang w:eastAsia="en-GB"/>
        </w:rPr>
        <w:t xml:space="preserve">The report </w:t>
      </w:r>
      <w:proofErr w:type="spellStart"/>
      <w:r w:rsidRPr="00E45DE5">
        <w:rPr>
          <w:sz w:val="18"/>
          <w:szCs w:val="18"/>
          <w:lang w:eastAsia="en-GB"/>
        </w:rPr>
        <w:t>itself</w:t>
      </w:r>
      <w:proofErr w:type="spellEnd"/>
      <w:r w:rsidRPr="00E45DE5">
        <w:rPr>
          <w:sz w:val="18"/>
          <w:szCs w:val="18"/>
          <w:lang w:eastAsia="en-GB"/>
        </w:rPr>
        <w:t xml:space="preserve">, </w:t>
      </w:r>
      <w:proofErr w:type="spellStart"/>
      <w:r w:rsidRPr="00E45DE5">
        <w:rPr>
          <w:sz w:val="18"/>
          <w:szCs w:val="18"/>
          <w:lang w:eastAsia="en-GB"/>
        </w:rPr>
        <w:t>which</w:t>
      </w:r>
      <w:proofErr w:type="spellEnd"/>
      <w:r w:rsidRPr="00E45DE5">
        <w:rPr>
          <w:sz w:val="18"/>
          <w:szCs w:val="18"/>
          <w:lang w:eastAsia="en-GB"/>
        </w:rPr>
        <w:t xml:space="preserve"> is </w:t>
      </w:r>
      <w:proofErr w:type="spellStart"/>
      <w:r w:rsidRPr="00E45DE5">
        <w:rPr>
          <w:sz w:val="18"/>
          <w:szCs w:val="18"/>
          <w:lang w:eastAsia="en-GB"/>
        </w:rPr>
        <w:t>annexed</w:t>
      </w:r>
      <w:proofErr w:type="spellEnd"/>
      <w:r w:rsidRPr="00E45DE5">
        <w:rPr>
          <w:sz w:val="18"/>
          <w:szCs w:val="18"/>
          <w:lang w:eastAsia="en-GB"/>
        </w:rPr>
        <w:t xml:space="preserve"> </w:t>
      </w:r>
      <w:proofErr w:type="spellStart"/>
      <w:r w:rsidRPr="00E45DE5">
        <w:rPr>
          <w:sz w:val="18"/>
          <w:szCs w:val="18"/>
          <w:lang w:eastAsia="en-GB"/>
        </w:rPr>
        <w:t>to</w:t>
      </w:r>
      <w:proofErr w:type="spellEnd"/>
      <w:r w:rsidRPr="00E45DE5">
        <w:rPr>
          <w:sz w:val="18"/>
          <w:szCs w:val="18"/>
          <w:lang w:eastAsia="en-GB"/>
        </w:rPr>
        <w:t xml:space="preserve"> </w:t>
      </w:r>
      <w:proofErr w:type="spellStart"/>
      <w:r w:rsidRPr="00E45DE5">
        <w:rPr>
          <w:sz w:val="18"/>
          <w:szCs w:val="18"/>
          <w:lang w:eastAsia="en-GB"/>
        </w:rPr>
        <w:t>the</w:t>
      </w:r>
      <w:proofErr w:type="spellEnd"/>
      <w:r w:rsidRPr="00E45DE5">
        <w:rPr>
          <w:sz w:val="18"/>
          <w:szCs w:val="18"/>
          <w:lang w:eastAsia="en-GB"/>
        </w:rPr>
        <w:t xml:space="preserve"> summary, is </w:t>
      </w:r>
      <w:proofErr w:type="spellStart"/>
      <w:r w:rsidRPr="00E45DE5">
        <w:rPr>
          <w:sz w:val="18"/>
          <w:szCs w:val="18"/>
          <w:lang w:eastAsia="en-GB"/>
        </w:rPr>
        <w:t>circulated</w:t>
      </w:r>
      <w:proofErr w:type="spellEnd"/>
      <w:r w:rsidRPr="00E45DE5">
        <w:rPr>
          <w:sz w:val="18"/>
          <w:szCs w:val="18"/>
          <w:lang w:eastAsia="en-GB"/>
        </w:rPr>
        <w:t xml:space="preserve"> in </w:t>
      </w:r>
      <w:proofErr w:type="spellStart"/>
      <w:r w:rsidRPr="00E45DE5">
        <w:rPr>
          <w:sz w:val="18"/>
          <w:szCs w:val="18"/>
          <w:lang w:eastAsia="en-GB"/>
        </w:rPr>
        <w:t>the</w:t>
      </w:r>
      <w:proofErr w:type="spellEnd"/>
      <w:r w:rsidRPr="00E45DE5">
        <w:rPr>
          <w:sz w:val="18"/>
          <w:szCs w:val="18"/>
          <w:lang w:eastAsia="en-GB"/>
        </w:rPr>
        <w:t xml:space="preserve"> </w:t>
      </w:r>
      <w:proofErr w:type="spellStart"/>
      <w:r w:rsidRPr="00E45DE5">
        <w:rPr>
          <w:sz w:val="18"/>
          <w:szCs w:val="18"/>
          <w:lang w:eastAsia="en-GB"/>
        </w:rPr>
        <w:t>language</w:t>
      </w:r>
      <w:proofErr w:type="spellEnd"/>
      <w:r w:rsidRPr="00E45DE5">
        <w:rPr>
          <w:sz w:val="18"/>
          <w:szCs w:val="18"/>
          <w:lang w:eastAsia="en-GB"/>
        </w:rPr>
        <w:t xml:space="preserve"> of </w:t>
      </w:r>
      <w:proofErr w:type="spellStart"/>
      <w:r w:rsidRPr="00E45DE5">
        <w:rPr>
          <w:sz w:val="18"/>
          <w:szCs w:val="18"/>
          <w:lang w:eastAsia="en-GB"/>
        </w:rPr>
        <w:t>submission</w:t>
      </w:r>
      <w:proofErr w:type="spellEnd"/>
      <w:r w:rsidRPr="00E45DE5">
        <w:rPr>
          <w:sz w:val="18"/>
          <w:szCs w:val="18"/>
          <w:lang w:eastAsia="en-GB"/>
        </w:rPr>
        <w:t xml:space="preserve"> </w:t>
      </w:r>
      <w:proofErr w:type="spellStart"/>
      <w:r w:rsidRPr="00E45DE5">
        <w:rPr>
          <w:color w:val="auto"/>
          <w:sz w:val="18"/>
          <w:szCs w:val="18"/>
        </w:rPr>
        <w:t>only</w:t>
      </w:r>
      <w:proofErr w:type="spellEnd"/>
      <w:r w:rsidRPr="00E45DE5">
        <w:rPr>
          <w:color w:val="auto"/>
          <w:sz w:val="18"/>
          <w:szCs w:val="18"/>
        </w:rPr>
        <w:t>.</w:t>
      </w:r>
    </w:p>
  </w:footnote>
  <w:footnote w:id="3">
    <w:p w:rsidR="00873BBE" w:rsidRPr="008E3D60" w:rsidRDefault="00873BBE" w:rsidP="00873BBE">
      <w:pPr>
        <w:pStyle w:val="FootnoteText"/>
      </w:pPr>
      <w:r>
        <w:tab/>
      </w:r>
      <w:r w:rsidRPr="008E3D60">
        <w:rPr>
          <w:rStyle w:val="FootnoteReference"/>
        </w:rPr>
        <w:footnoteRef/>
      </w:r>
      <w:r w:rsidRPr="008E3D60">
        <w:t xml:space="preserve"> </w:t>
      </w:r>
      <w:r>
        <w:tab/>
      </w:r>
      <w:proofErr w:type="gramStart"/>
      <w:r>
        <w:t xml:space="preserve">Judgement of 17 July 2014, joined cases </w:t>
      </w:r>
      <w:r w:rsidRPr="008E3D60">
        <w:t xml:space="preserve">C-473/13 </w:t>
      </w:r>
      <w:r>
        <w:t>and</w:t>
      </w:r>
      <w:r w:rsidRPr="008E3D60">
        <w:t xml:space="preserve"> C-514/13</w:t>
      </w:r>
      <w:r>
        <w:t>.</w:t>
      </w:r>
      <w:proofErr w:type="gramEnd"/>
    </w:p>
  </w:footnote>
  <w:footnote w:id="4">
    <w:p w:rsidR="00873BBE" w:rsidRPr="008E3D60" w:rsidRDefault="00873BBE" w:rsidP="00873BBE">
      <w:pPr>
        <w:pStyle w:val="FootnoteText"/>
      </w:pPr>
      <w:r>
        <w:tab/>
      </w:r>
      <w:r w:rsidRPr="008E3D60">
        <w:rPr>
          <w:rStyle w:val="FootnoteReference"/>
        </w:rPr>
        <w:footnoteRef/>
      </w:r>
      <w:r w:rsidRPr="008E3D60">
        <w:t xml:space="preserve"> </w:t>
      </w:r>
      <w:r>
        <w:tab/>
        <w:t>Judgement</w:t>
      </w:r>
      <w:r w:rsidRPr="00873BBE">
        <w:t xml:space="preserve"> </w:t>
      </w:r>
      <w:r>
        <w:t xml:space="preserve">of 17 July 2014, case </w:t>
      </w:r>
      <w:r w:rsidRPr="008E3D60">
        <w:t>C-474/13</w:t>
      </w:r>
      <w:r>
        <w:t>.</w:t>
      </w:r>
    </w:p>
  </w:footnote>
  <w:footnote w:id="5">
    <w:p w:rsidR="00B536D1" w:rsidRPr="008E3D60" w:rsidRDefault="00B536D1" w:rsidP="0021685F">
      <w:pPr>
        <w:pStyle w:val="FootnoteText"/>
      </w:pPr>
      <w:r>
        <w:tab/>
      </w:r>
      <w:r w:rsidRPr="008E3D60">
        <w:rPr>
          <w:rStyle w:val="FootnoteReference"/>
        </w:rPr>
        <w:footnoteRef/>
      </w:r>
      <w:r w:rsidRPr="008E3D60">
        <w:t xml:space="preserve"> </w:t>
      </w:r>
      <w:r>
        <w:tab/>
      </w:r>
      <w:proofErr w:type="gramStart"/>
      <w:r w:rsidRPr="008E3D60">
        <w:t xml:space="preserve">Available in German at </w:t>
      </w:r>
      <w:r w:rsidRPr="004168B8">
        <w:t>www.unhcr.de/fileadmin/rechtsinfos/fluechtlingsrecht/3_deutschland/3_2_unhcr_stellungnahmen/FR_GER-HCR_Referentenentwurf_062014.pdf</w:t>
      </w:r>
      <w:r w:rsidRPr="008E3D60">
        <w:t>.</w:t>
      </w:r>
      <w:proofErr w:type="gramEnd"/>
    </w:p>
  </w:footnote>
  <w:footnote w:id="6">
    <w:p w:rsidR="00B536D1" w:rsidRPr="0016305C" w:rsidRDefault="00B536D1" w:rsidP="00677B78">
      <w:pPr>
        <w:pStyle w:val="FootnoteText"/>
        <w:spacing w:line="240" w:lineRule="auto"/>
        <w:rPr>
          <w:rFonts w:cs="Calibri"/>
        </w:rPr>
      </w:pPr>
      <w:r>
        <w:rPr>
          <w:rFonts w:cs="Calibri"/>
        </w:rPr>
        <w:tab/>
      </w:r>
      <w:r w:rsidRPr="0016305C">
        <w:rPr>
          <w:rStyle w:val="FootnoteReference"/>
          <w:rFonts w:cs="Calibri"/>
        </w:rPr>
        <w:footnoteRef/>
      </w:r>
      <w:r>
        <w:rPr>
          <w:rFonts w:cs="Calibri"/>
        </w:rPr>
        <w:tab/>
      </w:r>
      <w:r w:rsidRPr="0016305C">
        <w:rPr>
          <w:rFonts w:cs="Calibri"/>
        </w:rPr>
        <w:t>Federal Court of Justice, decision of 28</w:t>
      </w:r>
      <w:r>
        <w:rPr>
          <w:rFonts w:cs="Calibri"/>
        </w:rPr>
        <w:t xml:space="preserve"> February </w:t>
      </w:r>
      <w:r w:rsidRPr="0016305C">
        <w:rPr>
          <w:rFonts w:cs="Calibri"/>
        </w:rPr>
        <w:t>2013, case</w:t>
      </w:r>
      <w:r>
        <w:rPr>
          <w:rFonts w:cs="Calibri"/>
        </w:rPr>
        <w:t xml:space="preserve"> </w:t>
      </w:r>
      <w:proofErr w:type="gramStart"/>
      <w:r>
        <w:rPr>
          <w:rFonts w:cs="Calibri"/>
        </w:rPr>
        <w:t>No</w:t>
      </w:r>
      <w:proofErr w:type="gramEnd"/>
      <w:r>
        <w:rPr>
          <w:rFonts w:cs="Calibri"/>
        </w:rPr>
        <w:t>. </w:t>
      </w:r>
      <w:proofErr w:type="gramStart"/>
      <w:r w:rsidRPr="0016305C">
        <w:rPr>
          <w:rFonts w:cs="Calibri"/>
        </w:rPr>
        <w:t>V ZB 138/12.</w:t>
      </w:r>
      <w:proofErr w:type="gramEnd"/>
    </w:p>
  </w:footnote>
  <w:footnote w:id="7">
    <w:p w:rsidR="00B536D1" w:rsidRPr="008E3D60" w:rsidRDefault="00B536D1" w:rsidP="00BE4ADB">
      <w:pPr>
        <w:pStyle w:val="FootnoteText"/>
        <w:spacing w:line="240" w:lineRule="auto"/>
      </w:pPr>
      <w:r>
        <w:tab/>
      </w:r>
      <w:r w:rsidRPr="008E3D60">
        <w:rPr>
          <w:rStyle w:val="FootnoteReference"/>
        </w:rPr>
        <w:footnoteRef/>
      </w:r>
      <w:r>
        <w:tab/>
        <w:t>For example,</w:t>
      </w:r>
      <w:r w:rsidRPr="008E3D60">
        <w:t xml:space="preserve"> Regional Court Frankfurt/Oder,</w:t>
      </w:r>
      <w:r>
        <w:t xml:space="preserve"> decision of</w:t>
      </w:r>
      <w:r w:rsidRPr="008E3D60">
        <w:t xml:space="preserve"> 2</w:t>
      </w:r>
      <w:r>
        <w:t xml:space="preserve"> October </w:t>
      </w:r>
      <w:r w:rsidRPr="008E3D60">
        <w:t xml:space="preserve">2013, </w:t>
      </w:r>
      <w:r>
        <w:t>case No. </w:t>
      </w:r>
      <w:r w:rsidRPr="008E3D60">
        <w:t>15 T 122/13; Federal</w:t>
      </w:r>
      <w:r>
        <w:t> </w:t>
      </w:r>
      <w:r w:rsidRPr="008E3D60">
        <w:t>Court of Justice,</w:t>
      </w:r>
      <w:r>
        <w:t xml:space="preserve"> decision of</w:t>
      </w:r>
      <w:r w:rsidRPr="008E3D60">
        <w:t xml:space="preserve"> 7</w:t>
      </w:r>
      <w:r>
        <w:t xml:space="preserve"> March </w:t>
      </w:r>
      <w:r w:rsidRPr="008E3D60">
        <w:t xml:space="preserve">2013, </w:t>
      </w:r>
      <w:r>
        <w:t xml:space="preserve">case </w:t>
      </w:r>
      <w:proofErr w:type="gramStart"/>
      <w:r>
        <w:t>No</w:t>
      </w:r>
      <w:proofErr w:type="gramEnd"/>
      <w:r>
        <w:t>. </w:t>
      </w:r>
      <w:proofErr w:type="gramStart"/>
      <w:r w:rsidRPr="008E3D60">
        <w:t>V ZB 116/12.</w:t>
      </w:r>
      <w:proofErr w:type="gramEnd"/>
    </w:p>
  </w:footnote>
  <w:footnote w:id="8">
    <w:p w:rsidR="00B536D1" w:rsidRPr="008E3D60" w:rsidRDefault="00B536D1" w:rsidP="00677B78">
      <w:pPr>
        <w:pStyle w:val="FootnoteText"/>
        <w:spacing w:line="240" w:lineRule="auto"/>
      </w:pPr>
      <w:r>
        <w:tab/>
      </w:r>
      <w:r w:rsidRPr="008E3D60">
        <w:rPr>
          <w:rStyle w:val="FootnoteReference"/>
        </w:rPr>
        <w:footnoteRef/>
      </w:r>
      <w:r w:rsidRPr="008E3D60">
        <w:t xml:space="preserve"> </w:t>
      </w:r>
      <w:r>
        <w:tab/>
        <w:t>For example,</w:t>
      </w:r>
      <w:r w:rsidRPr="008E3D60">
        <w:t xml:space="preserve"> Regional Court </w:t>
      </w:r>
      <w:r>
        <w:t xml:space="preserve">of </w:t>
      </w:r>
      <w:r w:rsidRPr="008E3D60">
        <w:t xml:space="preserve">Munich I, </w:t>
      </w:r>
      <w:r>
        <w:t xml:space="preserve">decision of </w:t>
      </w:r>
      <w:r w:rsidRPr="008E3D60">
        <w:t>31</w:t>
      </w:r>
      <w:r>
        <w:t xml:space="preserve"> July </w:t>
      </w:r>
      <w:r w:rsidRPr="008E3D60">
        <w:t xml:space="preserve">2013, </w:t>
      </w:r>
      <w:r>
        <w:t>case No. </w:t>
      </w:r>
      <w:r w:rsidRPr="008E3D60">
        <w:t>13 T 16164/13.</w:t>
      </w:r>
    </w:p>
  </w:footnote>
  <w:footnote w:id="9">
    <w:p w:rsidR="00B536D1" w:rsidRPr="008E3D60" w:rsidRDefault="00B536D1" w:rsidP="00677B78">
      <w:pPr>
        <w:pStyle w:val="FootnoteText"/>
        <w:spacing w:line="240" w:lineRule="auto"/>
      </w:pPr>
      <w:r>
        <w:tab/>
      </w:r>
      <w:r w:rsidRPr="008E3D60">
        <w:rPr>
          <w:rStyle w:val="FootnoteReference"/>
        </w:rPr>
        <w:footnoteRef/>
      </w:r>
      <w:r>
        <w:tab/>
        <w:t>For example,</w:t>
      </w:r>
      <w:r w:rsidRPr="008E3D60">
        <w:t xml:space="preserve"> Federal Court of Justice, </w:t>
      </w:r>
      <w:r>
        <w:t xml:space="preserve">decision of </w:t>
      </w:r>
      <w:r w:rsidRPr="008E3D60">
        <w:t>26</w:t>
      </w:r>
      <w:r>
        <w:t xml:space="preserve"> September </w:t>
      </w:r>
      <w:r w:rsidRPr="008E3D60">
        <w:t xml:space="preserve">2013, </w:t>
      </w:r>
      <w:r>
        <w:t xml:space="preserve">case </w:t>
      </w:r>
      <w:proofErr w:type="gramStart"/>
      <w:r>
        <w:t>No</w:t>
      </w:r>
      <w:proofErr w:type="gramEnd"/>
      <w:r>
        <w:t>. </w:t>
      </w:r>
      <w:r w:rsidRPr="008E3D60">
        <w:t>V ZB 2/13; Federal Court</w:t>
      </w:r>
      <w:r>
        <w:t xml:space="preserve"> of Justice</w:t>
      </w:r>
      <w:r w:rsidRPr="008E3D60">
        <w:t xml:space="preserve">, </w:t>
      </w:r>
      <w:r>
        <w:t xml:space="preserve">decision of </w:t>
      </w:r>
      <w:r w:rsidRPr="008E3D60">
        <w:t>10</w:t>
      </w:r>
      <w:r>
        <w:t xml:space="preserve"> October</w:t>
      </w:r>
      <w:r w:rsidRPr="008E3D60">
        <w:t xml:space="preserve">2013, </w:t>
      </w:r>
      <w:r>
        <w:t>case No. </w:t>
      </w:r>
      <w:proofErr w:type="gramStart"/>
      <w:r w:rsidRPr="008E3D60">
        <w:t>V ZB 25/13; Regional Court</w:t>
      </w:r>
      <w:r>
        <w:t xml:space="preserve"> of</w:t>
      </w:r>
      <w:r w:rsidRPr="008E3D60">
        <w:t xml:space="preserve"> Dresden, </w:t>
      </w:r>
      <w:r>
        <w:t xml:space="preserve">decision of </w:t>
      </w:r>
      <w:r w:rsidRPr="008E3D60">
        <w:t>12</w:t>
      </w:r>
      <w:r>
        <w:t xml:space="preserve"> November </w:t>
      </w:r>
      <w:r w:rsidRPr="008E3D60">
        <w:t xml:space="preserve">2013, </w:t>
      </w:r>
      <w:r>
        <w:t>case No. </w:t>
      </w:r>
      <w:r w:rsidRPr="008E3D60">
        <w:t>2 T 821/13.</w:t>
      </w:r>
      <w:proofErr w:type="gramEnd"/>
    </w:p>
  </w:footnote>
  <w:footnote w:id="10">
    <w:p w:rsidR="00B536D1" w:rsidRPr="008E3D60" w:rsidRDefault="00B536D1" w:rsidP="00677B78">
      <w:pPr>
        <w:pStyle w:val="FootnoteText"/>
        <w:spacing w:line="240" w:lineRule="auto"/>
      </w:pPr>
      <w:r>
        <w:tab/>
      </w:r>
      <w:r w:rsidRPr="008E3D60">
        <w:rPr>
          <w:rStyle w:val="FootnoteReference"/>
        </w:rPr>
        <w:footnoteRef/>
      </w:r>
      <w:r>
        <w:tab/>
      </w:r>
      <w:r w:rsidRPr="008E3D60">
        <w:t>Federal Court of Justice,</w:t>
      </w:r>
      <w:r>
        <w:t xml:space="preserve"> decision of</w:t>
      </w:r>
      <w:r w:rsidRPr="008E3D60">
        <w:t xml:space="preserve"> 30</w:t>
      </w:r>
      <w:r>
        <w:t xml:space="preserve"> October </w:t>
      </w:r>
      <w:r w:rsidRPr="008E3D60">
        <w:t xml:space="preserve">2013, </w:t>
      </w:r>
      <w:r>
        <w:t xml:space="preserve">case </w:t>
      </w:r>
      <w:proofErr w:type="gramStart"/>
      <w:r>
        <w:t>No</w:t>
      </w:r>
      <w:proofErr w:type="gramEnd"/>
      <w:r>
        <w:t>. </w:t>
      </w:r>
      <w:proofErr w:type="gramStart"/>
      <w:r w:rsidRPr="008E3D60">
        <w:t>V ZB 69/13.</w:t>
      </w:r>
      <w:proofErr w:type="gramEnd"/>
    </w:p>
  </w:footnote>
  <w:footnote w:id="11">
    <w:p w:rsidR="00B536D1" w:rsidRPr="008E3D60" w:rsidRDefault="00B536D1" w:rsidP="00677B78">
      <w:pPr>
        <w:pStyle w:val="FootnoteText"/>
        <w:spacing w:line="240" w:lineRule="auto"/>
      </w:pPr>
      <w:r>
        <w:tab/>
      </w:r>
      <w:r w:rsidRPr="008E3D60">
        <w:rPr>
          <w:rStyle w:val="FootnoteReference"/>
        </w:rPr>
        <w:footnoteRef/>
      </w:r>
      <w:r>
        <w:tab/>
      </w:r>
      <w:r w:rsidRPr="008E3D60">
        <w:t xml:space="preserve">Federal Court of Justice, </w:t>
      </w:r>
      <w:r>
        <w:t xml:space="preserve">decision of </w:t>
      </w:r>
      <w:r w:rsidRPr="008E3D60">
        <w:t>11</w:t>
      </w:r>
      <w:r>
        <w:t xml:space="preserve"> July </w:t>
      </w:r>
      <w:r w:rsidRPr="008E3D60">
        <w:t>2013,</w:t>
      </w:r>
      <w:r>
        <w:t xml:space="preserve"> case </w:t>
      </w:r>
      <w:proofErr w:type="gramStart"/>
      <w:r>
        <w:t>No</w:t>
      </w:r>
      <w:proofErr w:type="gramEnd"/>
      <w:r>
        <w:t>. </w:t>
      </w:r>
      <w:proofErr w:type="gramStart"/>
      <w:r w:rsidRPr="008E3D60">
        <w:t>V ZB 40/11.</w:t>
      </w:r>
      <w:proofErr w:type="gramEnd"/>
    </w:p>
  </w:footnote>
  <w:footnote w:id="12">
    <w:p w:rsidR="00B536D1" w:rsidRPr="008E3D60" w:rsidRDefault="00B536D1" w:rsidP="00BE4ADB">
      <w:pPr>
        <w:pStyle w:val="FootnoteText"/>
        <w:spacing w:line="240" w:lineRule="auto"/>
      </w:pPr>
      <w:r>
        <w:tab/>
      </w:r>
      <w:r w:rsidRPr="008E3D60">
        <w:rPr>
          <w:rStyle w:val="FootnoteReference"/>
        </w:rPr>
        <w:footnoteRef/>
      </w:r>
      <w:r>
        <w:tab/>
        <w:t>For example,</w:t>
      </w:r>
      <w:r w:rsidRPr="008E3D60">
        <w:t xml:space="preserve"> Local Court </w:t>
      </w:r>
      <w:r>
        <w:t xml:space="preserve">of </w:t>
      </w:r>
      <w:proofErr w:type="spellStart"/>
      <w:r w:rsidRPr="008E3D60">
        <w:t>Laufen</w:t>
      </w:r>
      <w:proofErr w:type="spellEnd"/>
      <w:r w:rsidRPr="008E3D60">
        <w:t xml:space="preserve">, </w:t>
      </w:r>
      <w:r>
        <w:t xml:space="preserve">decision of </w:t>
      </w:r>
      <w:r w:rsidRPr="008E3D60">
        <w:t>12</w:t>
      </w:r>
      <w:r>
        <w:t xml:space="preserve"> November </w:t>
      </w:r>
      <w:r w:rsidRPr="008E3D60">
        <w:t xml:space="preserve">2013, </w:t>
      </w:r>
      <w:r>
        <w:t xml:space="preserve">case </w:t>
      </w:r>
      <w:proofErr w:type="gramStart"/>
      <w:r>
        <w:t>No</w:t>
      </w:r>
      <w:proofErr w:type="gramEnd"/>
      <w:r>
        <w:t>. </w:t>
      </w:r>
      <w:r w:rsidRPr="008E3D60">
        <w:t xml:space="preserve">XIC 221/13; Regional Court </w:t>
      </w:r>
      <w:r>
        <w:t xml:space="preserve">of </w:t>
      </w:r>
      <w:proofErr w:type="spellStart"/>
      <w:r w:rsidRPr="008E3D60">
        <w:t>Görlitz</w:t>
      </w:r>
      <w:proofErr w:type="spellEnd"/>
      <w:r w:rsidRPr="008E3D60">
        <w:t xml:space="preserve">, </w:t>
      </w:r>
      <w:r>
        <w:t xml:space="preserve">decision of </w:t>
      </w:r>
      <w:r w:rsidRPr="008E3D60">
        <w:t>23</w:t>
      </w:r>
      <w:r>
        <w:t xml:space="preserve"> October </w:t>
      </w:r>
      <w:r w:rsidRPr="008E3D60">
        <w:t xml:space="preserve">2013, </w:t>
      </w:r>
      <w:r>
        <w:t>case No. </w:t>
      </w:r>
      <w:r w:rsidRPr="008E3D60">
        <w:t>2 T 102/13; Regional Court</w:t>
      </w:r>
      <w:r>
        <w:t xml:space="preserve"> of</w:t>
      </w:r>
      <w:r w:rsidRPr="008E3D60">
        <w:t xml:space="preserve"> Munich II, </w:t>
      </w:r>
      <w:r>
        <w:t xml:space="preserve">decision of </w:t>
      </w:r>
      <w:r w:rsidRPr="008E3D60">
        <w:t>16</w:t>
      </w:r>
      <w:r>
        <w:t xml:space="preserve"> October </w:t>
      </w:r>
      <w:r w:rsidRPr="008E3D60">
        <w:t>2013,</w:t>
      </w:r>
      <w:r>
        <w:t xml:space="preserve"> case No. </w:t>
      </w:r>
      <w:r w:rsidRPr="008E3D60">
        <w:t>6 T 4334/13.</w:t>
      </w:r>
    </w:p>
  </w:footnote>
  <w:footnote w:id="13">
    <w:p w:rsidR="00B536D1" w:rsidRPr="00A859DB" w:rsidRDefault="00B536D1" w:rsidP="00677B78">
      <w:pPr>
        <w:pStyle w:val="FootnoteText"/>
      </w:pPr>
      <w:r>
        <w:tab/>
      </w:r>
      <w:r>
        <w:rPr>
          <w:rStyle w:val="FootnoteReference"/>
        </w:rPr>
        <w:footnoteRef/>
      </w:r>
      <w:r>
        <w:tab/>
        <w:t xml:space="preserve">Federal Court of Justice, decision of </w:t>
      </w:r>
      <w:r w:rsidRPr="00282904">
        <w:t>26 June 2014</w:t>
      </w:r>
      <w:r>
        <w:t xml:space="preserve">, case </w:t>
      </w:r>
      <w:proofErr w:type="gramStart"/>
      <w:r>
        <w:t>No</w:t>
      </w:r>
      <w:proofErr w:type="gramEnd"/>
      <w:r>
        <w:t>. </w:t>
      </w:r>
      <w:proofErr w:type="gramStart"/>
      <w:r w:rsidRPr="00282904">
        <w:t>V ZB 31/14</w:t>
      </w:r>
      <w:r>
        <w:t>.</w:t>
      </w:r>
      <w:proofErr w:type="gramEnd"/>
    </w:p>
  </w:footnote>
  <w:footnote w:id="14">
    <w:p w:rsidR="00B536D1" w:rsidRPr="008E3D60" w:rsidRDefault="00B536D1" w:rsidP="00BE4ADB">
      <w:pPr>
        <w:pStyle w:val="FootnoteText"/>
        <w:spacing w:line="240" w:lineRule="auto"/>
      </w:pPr>
      <w:r>
        <w:tab/>
      </w:r>
      <w:r w:rsidRPr="008E3D60">
        <w:rPr>
          <w:rStyle w:val="FootnoteReference"/>
        </w:rPr>
        <w:footnoteRef/>
      </w:r>
      <w:r>
        <w:tab/>
      </w:r>
      <w:r w:rsidRPr="008E3D60">
        <w:t xml:space="preserve">For </w:t>
      </w:r>
      <w:r w:rsidR="00103964">
        <w:t>an</w:t>
      </w:r>
      <w:r w:rsidR="00103964" w:rsidRPr="008E3D60">
        <w:t xml:space="preserve"> </w:t>
      </w:r>
      <w:r w:rsidRPr="008E3D60">
        <w:t xml:space="preserve">English </w:t>
      </w:r>
      <w:r w:rsidR="00103964">
        <w:t>translation</w:t>
      </w:r>
      <w:r w:rsidR="00103964" w:rsidRPr="008E3D60">
        <w:t xml:space="preserve"> </w:t>
      </w:r>
      <w:r w:rsidRPr="008E3D60">
        <w:t>of the Asylum Procedure Act</w:t>
      </w:r>
      <w:r w:rsidR="00103964">
        <w:t>,</w:t>
      </w:r>
      <w:r w:rsidRPr="008E3D60">
        <w:t xml:space="preserve"> see </w:t>
      </w:r>
      <w:hyperlink w:history="1"/>
      <w:r w:rsidR="00103964" w:rsidRPr="004168B8">
        <w:t>www.gesetze-im-internet.de/englisch_asylvfg/index.html</w:t>
      </w:r>
      <w:r w:rsidRPr="008E3D60">
        <w:t>.</w:t>
      </w:r>
    </w:p>
  </w:footnote>
  <w:footnote w:id="15">
    <w:p w:rsidR="00B536D1" w:rsidRPr="008E3D60" w:rsidRDefault="00B536D1" w:rsidP="00677B78">
      <w:pPr>
        <w:pStyle w:val="FootnoteText"/>
        <w:spacing w:line="240" w:lineRule="auto"/>
      </w:pPr>
      <w:r>
        <w:tab/>
      </w:r>
      <w:r w:rsidRPr="008E3D60">
        <w:rPr>
          <w:rStyle w:val="FootnoteReference"/>
        </w:rPr>
        <w:footnoteRef/>
      </w:r>
      <w:r w:rsidRPr="008E3D60">
        <w:t xml:space="preserve"> </w:t>
      </w:r>
      <w:r>
        <w:tab/>
      </w:r>
      <w:proofErr w:type="gramStart"/>
      <w:r w:rsidR="00103964">
        <w:t>I</w:t>
      </w:r>
      <w:r w:rsidRPr="008E3D60">
        <w:t xml:space="preserve">n 1996, </w:t>
      </w:r>
      <w:r>
        <w:t>d</w:t>
      </w:r>
      <w:r w:rsidRPr="008E3D60">
        <w:t>ecision of 14</w:t>
      </w:r>
      <w:r>
        <w:t xml:space="preserve"> May </w:t>
      </w:r>
      <w:r w:rsidRPr="008E3D60">
        <w:t>1996 (</w:t>
      </w:r>
      <w:r>
        <w:t>case No. </w:t>
      </w:r>
      <w:r w:rsidRPr="008E3D60">
        <w:t xml:space="preserve">2 </w:t>
      </w:r>
      <w:proofErr w:type="spellStart"/>
      <w:r w:rsidRPr="008E3D60">
        <w:t>BvR</w:t>
      </w:r>
      <w:proofErr w:type="spellEnd"/>
      <w:r w:rsidRPr="008E3D60">
        <w:t xml:space="preserve"> 1516/93), </w:t>
      </w:r>
      <w:proofErr w:type="spellStart"/>
      <w:r w:rsidRPr="008E3D60">
        <w:t>BVerfGE</w:t>
      </w:r>
      <w:proofErr w:type="spellEnd"/>
      <w:r w:rsidRPr="008E3D60">
        <w:t xml:space="preserve"> 94, 166).</w:t>
      </w:r>
      <w:proofErr w:type="gramEnd"/>
    </w:p>
  </w:footnote>
  <w:footnote w:id="16">
    <w:p w:rsidR="00B536D1" w:rsidRPr="008E3D60" w:rsidRDefault="00B536D1" w:rsidP="00677B78">
      <w:pPr>
        <w:pStyle w:val="FootnoteText"/>
        <w:spacing w:line="240" w:lineRule="auto"/>
      </w:pPr>
      <w:r>
        <w:tab/>
      </w:r>
      <w:r w:rsidRPr="008E3D60">
        <w:rPr>
          <w:rStyle w:val="FootnoteReference"/>
        </w:rPr>
        <w:footnoteRef/>
      </w:r>
      <w:r w:rsidRPr="008E3D60">
        <w:t xml:space="preserve"> </w:t>
      </w:r>
      <w:r>
        <w:tab/>
      </w:r>
      <w:r w:rsidR="00103964">
        <w:t>See</w:t>
      </w:r>
      <w:r w:rsidRPr="008E3D60">
        <w:t xml:space="preserve"> most recent statistics available in the Federal Government’s reply to a Parliamentary request on asylum statistics </w:t>
      </w:r>
      <w:r w:rsidR="00103964">
        <w:t>(</w:t>
      </w:r>
      <w:r w:rsidRPr="008E3D60">
        <w:t>2013,</w:t>
      </w:r>
      <w:r w:rsidR="00653C55">
        <w:t xml:space="preserve"> official</w:t>
      </w:r>
      <w:r w:rsidRPr="008E3D60">
        <w:t xml:space="preserve"> </w:t>
      </w:r>
      <w:r w:rsidR="00653C55">
        <w:t>document</w:t>
      </w:r>
      <w:r w:rsidR="00653C55" w:rsidRPr="008E3D60">
        <w:t xml:space="preserve"> </w:t>
      </w:r>
      <w:r w:rsidRPr="008E3D60">
        <w:t>18/705</w:t>
      </w:r>
      <w:r w:rsidR="00103964">
        <w:t>).</w:t>
      </w:r>
      <w:r w:rsidRPr="008E3D60">
        <w:t xml:space="preserve"> </w:t>
      </w:r>
      <w:proofErr w:type="gramStart"/>
      <w:r w:rsidR="00103964">
        <w:t>A</w:t>
      </w:r>
      <w:r w:rsidRPr="008E3D60">
        <w:t xml:space="preserve">vailable (in German only) at </w:t>
      </w:r>
      <w:r w:rsidR="00653C55" w:rsidRPr="004168B8">
        <w:t>http://dipbt.bundestag.de/doc/btd/18/007/1800705.pdf</w:t>
      </w:r>
      <w:r w:rsidRPr="008E3D60">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1" w:rsidRDefault="00B536D1" w:rsidP="00F055F9">
    <w:pPr>
      <w:pStyle w:val="Header"/>
    </w:pPr>
    <w:r w:rsidRPr="00F055F9">
      <w:t>A/HRC/</w:t>
    </w:r>
    <w:r>
      <w:t>30</w:t>
    </w:r>
    <w:r w:rsidRPr="00F055F9">
      <w:t>/</w:t>
    </w:r>
    <w:r w:rsidR="00DE6861">
      <w:t>36/Add.1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1" w:rsidRDefault="00B536D1" w:rsidP="00254B4A">
    <w:pPr>
      <w:pStyle w:val="Header"/>
      <w:jc w:val="right"/>
    </w:pPr>
    <w:r w:rsidRPr="00F055F9">
      <w:t>A/HRC/</w:t>
    </w:r>
    <w:r>
      <w:t>30</w:t>
    </w:r>
    <w:r w:rsidRPr="00F055F9">
      <w:t>/</w:t>
    </w:r>
    <w:r>
      <w:t>36</w:t>
    </w:r>
    <w:r w:rsidRPr="00F055F9">
      <w:t>/</w:t>
    </w:r>
    <w:r w:rsidR="00DE6861">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BE7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00000003"/>
    <w:multiLevelType w:val="multilevel"/>
    <w:tmpl w:val="A6DAA2E6"/>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774"/>
        </w:tabs>
        <w:ind w:left="2774" w:hanging="363"/>
      </w:pPr>
      <w:rPr>
        <w:b w:val="0"/>
        <w:sz w:val="20"/>
        <w:szCs w:val="20"/>
        <w:vertAlign w:val="baseline"/>
        <w:lang w:val="en-G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AB3B92"/>
    <w:multiLevelType w:val="hybridMultilevel"/>
    <w:tmpl w:val="C3202C8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0504101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414684"/>
    <w:multiLevelType w:val="hybridMultilevel"/>
    <w:tmpl w:val="9432D08A"/>
    <w:lvl w:ilvl="0" w:tplc="1D8E34F2">
      <w:start w:val="1"/>
      <w:numFmt w:val="lowerLetter"/>
      <w:lvlText w:val="(%1)"/>
      <w:lvlJc w:val="left"/>
      <w:pPr>
        <w:ind w:left="360" w:hanging="360"/>
      </w:pPr>
      <w:rPr>
        <w:rFonts w:hint="default"/>
      </w:rPr>
    </w:lvl>
    <w:lvl w:ilvl="1" w:tplc="100C0019" w:tentative="1">
      <w:start w:val="1"/>
      <w:numFmt w:val="lowerLetter"/>
      <w:lvlText w:val="%2."/>
      <w:lvlJc w:val="left"/>
      <w:pPr>
        <w:ind w:left="1091" w:hanging="360"/>
      </w:pPr>
    </w:lvl>
    <w:lvl w:ilvl="2" w:tplc="100C001B">
      <w:start w:val="1"/>
      <w:numFmt w:val="lowerRoman"/>
      <w:lvlText w:val="%3."/>
      <w:lvlJc w:val="right"/>
      <w:pPr>
        <w:ind w:left="1811" w:hanging="180"/>
      </w:pPr>
    </w:lvl>
    <w:lvl w:ilvl="3" w:tplc="100C000F">
      <w:start w:val="1"/>
      <w:numFmt w:val="decimal"/>
      <w:lvlText w:val="%4."/>
      <w:lvlJc w:val="left"/>
      <w:pPr>
        <w:ind w:left="2531" w:hanging="360"/>
      </w:pPr>
    </w:lvl>
    <w:lvl w:ilvl="4" w:tplc="100C0019" w:tentative="1">
      <w:start w:val="1"/>
      <w:numFmt w:val="lowerLetter"/>
      <w:lvlText w:val="%5."/>
      <w:lvlJc w:val="left"/>
      <w:pPr>
        <w:ind w:left="3251" w:hanging="360"/>
      </w:pPr>
    </w:lvl>
    <w:lvl w:ilvl="5" w:tplc="100C001B" w:tentative="1">
      <w:start w:val="1"/>
      <w:numFmt w:val="lowerRoman"/>
      <w:lvlText w:val="%6."/>
      <w:lvlJc w:val="right"/>
      <w:pPr>
        <w:ind w:left="3971" w:hanging="180"/>
      </w:pPr>
    </w:lvl>
    <w:lvl w:ilvl="6" w:tplc="100C000F" w:tentative="1">
      <w:start w:val="1"/>
      <w:numFmt w:val="decimal"/>
      <w:lvlText w:val="%7."/>
      <w:lvlJc w:val="left"/>
      <w:pPr>
        <w:ind w:left="4691" w:hanging="360"/>
      </w:pPr>
    </w:lvl>
    <w:lvl w:ilvl="7" w:tplc="100C0019" w:tentative="1">
      <w:start w:val="1"/>
      <w:numFmt w:val="lowerLetter"/>
      <w:lvlText w:val="%8."/>
      <w:lvlJc w:val="left"/>
      <w:pPr>
        <w:ind w:left="5411" w:hanging="360"/>
      </w:pPr>
    </w:lvl>
    <w:lvl w:ilvl="8" w:tplc="100C001B" w:tentative="1">
      <w:start w:val="1"/>
      <w:numFmt w:val="lowerRoman"/>
      <w:lvlText w:val="%9."/>
      <w:lvlJc w:val="right"/>
      <w:pPr>
        <w:ind w:left="6131" w:hanging="180"/>
      </w:pPr>
    </w:lvl>
  </w:abstractNum>
  <w:abstractNum w:abstractNumId="7">
    <w:nsid w:val="064A0257"/>
    <w:multiLevelType w:val="hybridMultilevel"/>
    <w:tmpl w:val="439E5410"/>
    <w:lvl w:ilvl="0" w:tplc="50C2A01A">
      <w:start w:val="1"/>
      <w:numFmt w:val="lowerLetter"/>
      <w:lvlText w:val="(%1)"/>
      <w:lvlJc w:val="left"/>
      <w:pPr>
        <w:ind w:left="2420" w:hanging="360"/>
      </w:pPr>
      <w:rPr>
        <w:rFonts w:hint="default"/>
        <w:b w:val="0"/>
        <w:bCs/>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B67839"/>
    <w:multiLevelType w:val="hybridMultilevel"/>
    <w:tmpl w:val="EC4CA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C1D9F"/>
    <w:multiLevelType w:val="hybridMultilevel"/>
    <w:tmpl w:val="E7507D6C"/>
    <w:lvl w:ilvl="0" w:tplc="EAA45B46">
      <w:start w:val="2"/>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2">
    <w:nsid w:val="2BCA26E0"/>
    <w:multiLevelType w:val="hybridMultilevel"/>
    <w:tmpl w:val="F2069AAE"/>
    <w:lvl w:ilvl="0" w:tplc="426CA69A">
      <w:start w:val="1"/>
      <w:numFmt w:val="lowerLetter"/>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3">
    <w:nsid w:val="2F4243DA"/>
    <w:multiLevelType w:val="hybridMultilevel"/>
    <w:tmpl w:val="9440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12325"/>
    <w:multiLevelType w:val="hybridMultilevel"/>
    <w:tmpl w:val="C248C0A4"/>
    <w:lvl w:ilvl="0" w:tplc="D354F71E">
      <w:start w:val="1"/>
      <w:numFmt w:val="bullet"/>
      <w:pStyle w:val="Bullet1G"/>
      <w:lvlText w:val="•"/>
      <w:lvlJc w:val="left"/>
      <w:pPr>
        <w:tabs>
          <w:tab w:val="num" w:pos="4707"/>
        </w:tabs>
        <w:ind w:left="4707"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475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3D8147EC"/>
    <w:multiLevelType w:val="hybridMultilevel"/>
    <w:tmpl w:val="B7BC2FB0"/>
    <w:lvl w:ilvl="0" w:tplc="0809000F">
      <w:start w:val="1"/>
      <w:numFmt w:val="decimal"/>
      <w:lvlText w:val="%1."/>
      <w:lvlJc w:val="left"/>
      <w:pPr>
        <w:ind w:left="1071" w:hanging="50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42E22557"/>
    <w:multiLevelType w:val="hybridMultilevel"/>
    <w:tmpl w:val="35985278"/>
    <w:lvl w:ilvl="0" w:tplc="5EFC46DE">
      <w:start w:val="5"/>
      <w:numFmt w:val="bullet"/>
      <w:lvlText w:val="-"/>
      <w:lvlJc w:val="left"/>
      <w:pPr>
        <w:ind w:left="1080" w:hanging="360"/>
      </w:pPr>
      <w:rPr>
        <w:rFonts w:ascii="Times New Roman" w:eastAsia="Times New Roman" w:hAnsi="Times New Roman" w:cs="Times New Roman"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8">
    <w:nsid w:val="4C436CBC"/>
    <w:multiLevelType w:val="hybridMultilevel"/>
    <w:tmpl w:val="72AA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4174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44D338B"/>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71BA3F50"/>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7A2A7C0F"/>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4"/>
  </w:num>
  <w:num w:numId="2">
    <w:abstractNumId w:val="10"/>
  </w:num>
  <w:num w:numId="3">
    <w:abstractNumId w:val="20"/>
  </w:num>
  <w:num w:numId="4">
    <w:abstractNumId w:val="8"/>
  </w:num>
  <w:num w:numId="5">
    <w:abstractNumId w:val="3"/>
  </w:num>
  <w:num w:numId="6">
    <w:abstractNumId w:val="1"/>
  </w:num>
  <w:num w:numId="7">
    <w:abstractNumId w:val="2"/>
  </w:num>
  <w:num w:numId="8">
    <w:abstractNumId w:val="14"/>
  </w:num>
  <w:num w:numId="9">
    <w:abstractNumId w:val="14"/>
  </w:num>
  <w:num w:numId="10">
    <w:abstractNumId w:val="19"/>
  </w:num>
  <w:num w:numId="11">
    <w:abstractNumId w:val="22"/>
  </w:num>
  <w:num w:numId="12">
    <w:abstractNumId w:val="5"/>
  </w:num>
  <w:num w:numId="13">
    <w:abstractNumId w:val="21"/>
  </w:num>
  <w:num w:numId="14">
    <w:abstractNumId w:val="15"/>
  </w:num>
  <w:num w:numId="15">
    <w:abstractNumId w:val="16"/>
  </w:num>
  <w:num w:numId="16">
    <w:abstractNumId w:val="4"/>
  </w:num>
  <w:num w:numId="17">
    <w:abstractNumId w:val="6"/>
  </w:num>
  <w:num w:numId="18">
    <w:abstractNumId w:val="11"/>
  </w:num>
  <w:num w:numId="19">
    <w:abstractNumId w:val="17"/>
  </w:num>
  <w:num w:numId="20">
    <w:abstractNumId w:val="23"/>
  </w:num>
  <w:num w:numId="21">
    <w:abstractNumId w:val="18"/>
  </w:num>
  <w:num w:numId="22">
    <w:abstractNumId w:val="13"/>
  </w:num>
  <w:num w:numId="23">
    <w:abstractNumId w:val="9"/>
  </w:num>
  <w:num w:numId="24">
    <w:abstractNumId w:val="0"/>
  </w:num>
  <w:num w:numId="25">
    <w:abstractNumId w:val="7"/>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98"/>
    <w:rsid w:val="00006A67"/>
    <w:rsid w:val="00006F59"/>
    <w:rsid w:val="00020DD6"/>
    <w:rsid w:val="00020E0B"/>
    <w:rsid w:val="0002104D"/>
    <w:rsid w:val="000316A2"/>
    <w:rsid w:val="00033553"/>
    <w:rsid w:val="00034146"/>
    <w:rsid w:val="0004009A"/>
    <w:rsid w:val="00046A9E"/>
    <w:rsid w:val="00054674"/>
    <w:rsid w:val="0006299B"/>
    <w:rsid w:val="0006455A"/>
    <w:rsid w:val="00065AF1"/>
    <w:rsid w:val="00067D74"/>
    <w:rsid w:val="0007440F"/>
    <w:rsid w:val="0007556C"/>
    <w:rsid w:val="0007757E"/>
    <w:rsid w:val="00082D0A"/>
    <w:rsid w:val="00087254"/>
    <w:rsid w:val="00092AC9"/>
    <w:rsid w:val="00094D9B"/>
    <w:rsid w:val="000A478C"/>
    <w:rsid w:val="000A577D"/>
    <w:rsid w:val="000A60DC"/>
    <w:rsid w:val="000A6E34"/>
    <w:rsid w:val="000A781A"/>
    <w:rsid w:val="000B6E5E"/>
    <w:rsid w:val="000C0175"/>
    <w:rsid w:val="000C13BD"/>
    <w:rsid w:val="000C4538"/>
    <w:rsid w:val="000C4AAE"/>
    <w:rsid w:val="000E08CE"/>
    <w:rsid w:val="000E1B43"/>
    <w:rsid w:val="000F03F8"/>
    <w:rsid w:val="001004DF"/>
    <w:rsid w:val="00101156"/>
    <w:rsid w:val="00103405"/>
    <w:rsid w:val="00103964"/>
    <w:rsid w:val="0010755B"/>
    <w:rsid w:val="00113673"/>
    <w:rsid w:val="001156D5"/>
    <w:rsid w:val="00116F73"/>
    <w:rsid w:val="00117A4F"/>
    <w:rsid w:val="00127990"/>
    <w:rsid w:val="00133C3B"/>
    <w:rsid w:val="0013400B"/>
    <w:rsid w:val="00140BEA"/>
    <w:rsid w:val="001476BA"/>
    <w:rsid w:val="001534E1"/>
    <w:rsid w:val="001577F2"/>
    <w:rsid w:val="001600EF"/>
    <w:rsid w:val="00160F3E"/>
    <w:rsid w:val="00164138"/>
    <w:rsid w:val="0016443B"/>
    <w:rsid w:val="001663CA"/>
    <w:rsid w:val="00170DDA"/>
    <w:rsid w:val="001712F4"/>
    <w:rsid w:val="00173992"/>
    <w:rsid w:val="00176EF9"/>
    <w:rsid w:val="00184322"/>
    <w:rsid w:val="001854AB"/>
    <w:rsid w:val="001A09F7"/>
    <w:rsid w:val="001A1540"/>
    <w:rsid w:val="001A4602"/>
    <w:rsid w:val="001A73EC"/>
    <w:rsid w:val="001B1733"/>
    <w:rsid w:val="001C040F"/>
    <w:rsid w:val="001C215A"/>
    <w:rsid w:val="001C226B"/>
    <w:rsid w:val="001C36DC"/>
    <w:rsid w:val="001D055C"/>
    <w:rsid w:val="001D1916"/>
    <w:rsid w:val="001D2035"/>
    <w:rsid w:val="001D4D84"/>
    <w:rsid w:val="001D55CE"/>
    <w:rsid w:val="001D5874"/>
    <w:rsid w:val="001E2514"/>
    <w:rsid w:val="001F299F"/>
    <w:rsid w:val="002043C8"/>
    <w:rsid w:val="00204B65"/>
    <w:rsid w:val="0021630B"/>
    <w:rsid w:val="0021685F"/>
    <w:rsid w:val="00220688"/>
    <w:rsid w:val="00221AD2"/>
    <w:rsid w:val="00223F84"/>
    <w:rsid w:val="00226311"/>
    <w:rsid w:val="00226E69"/>
    <w:rsid w:val="002334FF"/>
    <w:rsid w:val="002346AD"/>
    <w:rsid w:val="00245F73"/>
    <w:rsid w:val="00247ABA"/>
    <w:rsid w:val="002518D5"/>
    <w:rsid w:val="00254B4A"/>
    <w:rsid w:val="002608E0"/>
    <w:rsid w:val="00261EB9"/>
    <w:rsid w:val="002657C1"/>
    <w:rsid w:val="002804AC"/>
    <w:rsid w:val="00283359"/>
    <w:rsid w:val="00286DB0"/>
    <w:rsid w:val="00287A8B"/>
    <w:rsid w:val="00292BC3"/>
    <w:rsid w:val="002A1EC4"/>
    <w:rsid w:val="002B1F79"/>
    <w:rsid w:val="002B76D2"/>
    <w:rsid w:val="002C1922"/>
    <w:rsid w:val="002C2C87"/>
    <w:rsid w:val="002C3EA1"/>
    <w:rsid w:val="002D0333"/>
    <w:rsid w:val="002E3D6B"/>
    <w:rsid w:val="002E49FA"/>
    <w:rsid w:val="002E56CA"/>
    <w:rsid w:val="002F14E0"/>
    <w:rsid w:val="002F1D94"/>
    <w:rsid w:val="002F20D1"/>
    <w:rsid w:val="002F20DA"/>
    <w:rsid w:val="002F21E2"/>
    <w:rsid w:val="002F3BCA"/>
    <w:rsid w:val="002F4A09"/>
    <w:rsid w:val="002F6F80"/>
    <w:rsid w:val="002F79D9"/>
    <w:rsid w:val="003053BE"/>
    <w:rsid w:val="00310A72"/>
    <w:rsid w:val="0032510F"/>
    <w:rsid w:val="00333E87"/>
    <w:rsid w:val="00334213"/>
    <w:rsid w:val="003541A1"/>
    <w:rsid w:val="00354F66"/>
    <w:rsid w:val="00355DCB"/>
    <w:rsid w:val="0036075D"/>
    <w:rsid w:val="00360AED"/>
    <w:rsid w:val="003666FC"/>
    <w:rsid w:val="003745B4"/>
    <w:rsid w:val="00380EC5"/>
    <w:rsid w:val="003823B6"/>
    <w:rsid w:val="00382B89"/>
    <w:rsid w:val="003836DA"/>
    <w:rsid w:val="00383988"/>
    <w:rsid w:val="00384F02"/>
    <w:rsid w:val="003A05B9"/>
    <w:rsid w:val="003A1376"/>
    <w:rsid w:val="003A2E3B"/>
    <w:rsid w:val="003A3F75"/>
    <w:rsid w:val="003B1391"/>
    <w:rsid w:val="003B14C5"/>
    <w:rsid w:val="003B3F8D"/>
    <w:rsid w:val="003B5842"/>
    <w:rsid w:val="003C16EB"/>
    <w:rsid w:val="003C65DA"/>
    <w:rsid w:val="003C6D30"/>
    <w:rsid w:val="003D45D1"/>
    <w:rsid w:val="003E056E"/>
    <w:rsid w:val="003E1CF8"/>
    <w:rsid w:val="003E33A7"/>
    <w:rsid w:val="003F1AAF"/>
    <w:rsid w:val="003F4C3C"/>
    <w:rsid w:val="003F64FB"/>
    <w:rsid w:val="00404C49"/>
    <w:rsid w:val="00404F1A"/>
    <w:rsid w:val="00406A34"/>
    <w:rsid w:val="00413A93"/>
    <w:rsid w:val="00413C90"/>
    <w:rsid w:val="00414276"/>
    <w:rsid w:val="004168B8"/>
    <w:rsid w:val="00422AB4"/>
    <w:rsid w:val="004253BF"/>
    <w:rsid w:val="00430D24"/>
    <w:rsid w:val="00437466"/>
    <w:rsid w:val="004471C8"/>
    <w:rsid w:val="00450146"/>
    <w:rsid w:val="004509E2"/>
    <w:rsid w:val="00455667"/>
    <w:rsid w:val="00465FA5"/>
    <w:rsid w:val="00466C9A"/>
    <w:rsid w:val="004671B3"/>
    <w:rsid w:val="0046764A"/>
    <w:rsid w:val="00473D00"/>
    <w:rsid w:val="00476324"/>
    <w:rsid w:val="0048549D"/>
    <w:rsid w:val="00485C20"/>
    <w:rsid w:val="0049748F"/>
    <w:rsid w:val="004A06CC"/>
    <w:rsid w:val="004A1F86"/>
    <w:rsid w:val="004A3534"/>
    <w:rsid w:val="004A476F"/>
    <w:rsid w:val="004A7B49"/>
    <w:rsid w:val="004B077E"/>
    <w:rsid w:val="004B09F2"/>
    <w:rsid w:val="004B3F07"/>
    <w:rsid w:val="004C53A2"/>
    <w:rsid w:val="004D1E93"/>
    <w:rsid w:val="004D2FB5"/>
    <w:rsid w:val="004D649D"/>
    <w:rsid w:val="004D7BF6"/>
    <w:rsid w:val="004E320A"/>
    <w:rsid w:val="004E4A69"/>
    <w:rsid w:val="004E6BCE"/>
    <w:rsid w:val="004E7131"/>
    <w:rsid w:val="004F44F8"/>
    <w:rsid w:val="00504279"/>
    <w:rsid w:val="0050585A"/>
    <w:rsid w:val="00507E5D"/>
    <w:rsid w:val="00510D4C"/>
    <w:rsid w:val="00516ABB"/>
    <w:rsid w:val="00527191"/>
    <w:rsid w:val="00527460"/>
    <w:rsid w:val="00530B88"/>
    <w:rsid w:val="00534929"/>
    <w:rsid w:val="00534D76"/>
    <w:rsid w:val="00536064"/>
    <w:rsid w:val="00541E9D"/>
    <w:rsid w:val="00545F69"/>
    <w:rsid w:val="00546E17"/>
    <w:rsid w:val="005507C0"/>
    <w:rsid w:val="0055257B"/>
    <w:rsid w:val="0055363D"/>
    <w:rsid w:val="0055374B"/>
    <w:rsid w:val="00557C80"/>
    <w:rsid w:val="00562F1D"/>
    <w:rsid w:val="00563AC3"/>
    <w:rsid w:val="00566A8B"/>
    <w:rsid w:val="00577C11"/>
    <w:rsid w:val="00581392"/>
    <w:rsid w:val="00585609"/>
    <w:rsid w:val="005871B7"/>
    <w:rsid w:val="00591BE9"/>
    <w:rsid w:val="00595341"/>
    <w:rsid w:val="005A1A46"/>
    <w:rsid w:val="005B51F5"/>
    <w:rsid w:val="005C1016"/>
    <w:rsid w:val="005C4520"/>
    <w:rsid w:val="005C5F79"/>
    <w:rsid w:val="005D107C"/>
    <w:rsid w:val="005D3871"/>
    <w:rsid w:val="005D58B3"/>
    <w:rsid w:val="005E00D7"/>
    <w:rsid w:val="005E0E92"/>
    <w:rsid w:val="005E1EA3"/>
    <w:rsid w:val="005F361B"/>
    <w:rsid w:val="0060255F"/>
    <w:rsid w:val="006126FE"/>
    <w:rsid w:val="00615FF5"/>
    <w:rsid w:val="006240BC"/>
    <w:rsid w:val="00626CC4"/>
    <w:rsid w:val="00626FB4"/>
    <w:rsid w:val="00631B99"/>
    <w:rsid w:val="00641D12"/>
    <w:rsid w:val="00647E39"/>
    <w:rsid w:val="00650AFA"/>
    <w:rsid w:val="00653C55"/>
    <w:rsid w:val="00653FD8"/>
    <w:rsid w:val="006564F2"/>
    <w:rsid w:val="00675705"/>
    <w:rsid w:val="00677B78"/>
    <w:rsid w:val="006832D4"/>
    <w:rsid w:val="006909B6"/>
    <w:rsid w:val="006B2947"/>
    <w:rsid w:val="006B7601"/>
    <w:rsid w:val="006C5147"/>
    <w:rsid w:val="006C6C0E"/>
    <w:rsid w:val="006C7FFE"/>
    <w:rsid w:val="006D185D"/>
    <w:rsid w:val="006D1C9B"/>
    <w:rsid w:val="006E14F4"/>
    <w:rsid w:val="006E3936"/>
    <w:rsid w:val="006E3EA5"/>
    <w:rsid w:val="006E526D"/>
    <w:rsid w:val="00702EB6"/>
    <w:rsid w:val="00705195"/>
    <w:rsid w:val="00711113"/>
    <w:rsid w:val="007215D7"/>
    <w:rsid w:val="00722F3D"/>
    <w:rsid w:val="00725EDD"/>
    <w:rsid w:val="007260E8"/>
    <w:rsid w:val="007346A3"/>
    <w:rsid w:val="007467FB"/>
    <w:rsid w:val="00747BB2"/>
    <w:rsid w:val="00752326"/>
    <w:rsid w:val="00760327"/>
    <w:rsid w:val="00761940"/>
    <w:rsid w:val="007627BC"/>
    <w:rsid w:val="00764876"/>
    <w:rsid w:val="00776B94"/>
    <w:rsid w:val="00781207"/>
    <w:rsid w:val="00787398"/>
    <w:rsid w:val="0079745D"/>
    <w:rsid w:val="00797B5F"/>
    <w:rsid w:val="007B0DA0"/>
    <w:rsid w:val="007B1595"/>
    <w:rsid w:val="007B5758"/>
    <w:rsid w:val="007C13A0"/>
    <w:rsid w:val="007C50CF"/>
    <w:rsid w:val="007C6CAD"/>
    <w:rsid w:val="007D02AD"/>
    <w:rsid w:val="007D3EBF"/>
    <w:rsid w:val="007E3E69"/>
    <w:rsid w:val="007F08B2"/>
    <w:rsid w:val="007F13F0"/>
    <w:rsid w:val="007F245E"/>
    <w:rsid w:val="007F5E9F"/>
    <w:rsid w:val="00800DC9"/>
    <w:rsid w:val="0080504E"/>
    <w:rsid w:val="008075BB"/>
    <w:rsid w:val="008137F1"/>
    <w:rsid w:val="00817EA4"/>
    <w:rsid w:val="00831932"/>
    <w:rsid w:val="00831B2D"/>
    <w:rsid w:val="00835D4E"/>
    <w:rsid w:val="00836BA0"/>
    <w:rsid w:val="00842695"/>
    <w:rsid w:val="0084750D"/>
    <w:rsid w:val="00847A28"/>
    <w:rsid w:val="008507B1"/>
    <w:rsid w:val="00850D06"/>
    <w:rsid w:val="00851C07"/>
    <w:rsid w:val="0085611C"/>
    <w:rsid w:val="00856BC1"/>
    <w:rsid w:val="008572DD"/>
    <w:rsid w:val="00866FFB"/>
    <w:rsid w:val="00867824"/>
    <w:rsid w:val="008715E3"/>
    <w:rsid w:val="00872D01"/>
    <w:rsid w:val="00873BBE"/>
    <w:rsid w:val="0087558E"/>
    <w:rsid w:val="008775AB"/>
    <w:rsid w:val="00880277"/>
    <w:rsid w:val="0088285E"/>
    <w:rsid w:val="0088532D"/>
    <w:rsid w:val="00895436"/>
    <w:rsid w:val="00896141"/>
    <w:rsid w:val="008965DD"/>
    <w:rsid w:val="008A005F"/>
    <w:rsid w:val="008A0C8B"/>
    <w:rsid w:val="008A3C5F"/>
    <w:rsid w:val="008A7033"/>
    <w:rsid w:val="008B3A5F"/>
    <w:rsid w:val="008C0517"/>
    <w:rsid w:val="008C4F71"/>
    <w:rsid w:val="008C7918"/>
    <w:rsid w:val="008D0B35"/>
    <w:rsid w:val="008D2905"/>
    <w:rsid w:val="008D3BF3"/>
    <w:rsid w:val="008E6E95"/>
    <w:rsid w:val="008F1451"/>
    <w:rsid w:val="008F3C4C"/>
    <w:rsid w:val="008F4FCB"/>
    <w:rsid w:val="008F7A63"/>
    <w:rsid w:val="00902675"/>
    <w:rsid w:val="00904A5F"/>
    <w:rsid w:val="00904E1C"/>
    <w:rsid w:val="009066B8"/>
    <w:rsid w:val="009121E3"/>
    <w:rsid w:val="0091768F"/>
    <w:rsid w:val="00920685"/>
    <w:rsid w:val="009233C6"/>
    <w:rsid w:val="009266D4"/>
    <w:rsid w:val="009376A7"/>
    <w:rsid w:val="00941850"/>
    <w:rsid w:val="009435D9"/>
    <w:rsid w:val="00950F80"/>
    <w:rsid w:val="00952D69"/>
    <w:rsid w:val="009551F6"/>
    <w:rsid w:val="00955E72"/>
    <w:rsid w:val="00956BC1"/>
    <w:rsid w:val="00956D59"/>
    <w:rsid w:val="0096034B"/>
    <w:rsid w:val="009677F6"/>
    <w:rsid w:val="00973C1C"/>
    <w:rsid w:val="00975A48"/>
    <w:rsid w:val="00975F0D"/>
    <w:rsid w:val="009762BB"/>
    <w:rsid w:val="009817B0"/>
    <w:rsid w:val="00983DA0"/>
    <w:rsid w:val="00985284"/>
    <w:rsid w:val="0098722F"/>
    <w:rsid w:val="00987AD4"/>
    <w:rsid w:val="00990340"/>
    <w:rsid w:val="00996C6D"/>
    <w:rsid w:val="009A261C"/>
    <w:rsid w:val="009A3953"/>
    <w:rsid w:val="009A49D5"/>
    <w:rsid w:val="009A6C27"/>
    <w:rsid w:val="009B54E0"/>
    <w:rsid w:val="009C0084"/>
    <w:rsid w:val="009C5C55"/>
    <w:rsid w:val="009D24BB"/>
    <w:rsid w:val="009D321D"/>
    <w:rsid w:val="009D5839"/>
    <w:rsid w:val="009D5A16"/>
    <w:rsid w:val="009E130E"/>
    <w:rsid w:val="009F36B1"/>
    <w:rsid w:val="009F4DFD"/>
    <w:rsid w:val="009F50FB"/>
    <w:rsid w:val="00A01486"/>
    <w:rsid w:val="00A05D13"/>
    <w:rsid w:val="00A070F1"/>
    <w:rsid w:val="00A118B2"/>
    <w:rsid w:val="00A23E18"/>
    <w:rsid w:val="00A32774"/>
    <w:rsid w:val="00A33106"/>
    <w:rsid w:val="00A333B9"/>
    <w:rsid w:val="00A36C48"/>
    <w:rsid w:val="00A43CE2"/>
    <w:rsid w:val="00A46730"/>
    <w:rsid w:val="00A520E1"/>
    <w:rsid w:val="00A54A8D"/>
    <w:rsid w:val="00A55565"/>
    <w:rsid w:val="00A56DE8"/>
    <w:rsid w:val="00A57065"/>
    <w:rsid w:val="00A62630"/>
    <w:rsid w:val="00A676B4"/>
    <w:rsid w:val="00A7476C"/>
    <w:rsid w:val="00A81B4C"/>
    <w:rsid w:val="00A81DC5"/>
    <w:rsid w:val="00AA0436"/>
    <w:rsid w:val="00AA2DD7"/>
    <w:rsid w:val="00AA4BBD"/>
    <w:rsid w:val="00AA55DF"/>
    <w:rsid w:val="00AA5769"/>
    <w:rsid w:val="00AA7F1A"/>
    <w:rsid w:val="00AB4EA8"/>
    <w:rsid w:val="00AB6785"/>
    <w:rsid w:val="00AC1416"/>
    <w:rsid w:val="00AC2C31"/>
    <w:rsid w:val="00AC3552"/>
    <w:rsid w:val="00AD0705"/>
    <w:rsid w:val="00AD35BE"/>
    <w:rsid w:val="00AF27CB"/>
    <w:rsid w:val="00AF526F"/>
    <w:rsid w:val="00B032EF"/>
    <w:rsid w:val="00B045A2"/>
    <w:rsid w:val="00B14ADA"/>
    <w:rsid w:val="00B153EB"/>
    <w:rsid w:val="00B15DFC"/>
    <w:rsid w:val="00B31B79"/>
    <w:rsid w:val="00B321C3"/>
    <w:rsid w:val="00B32616"/>
    <w:rsid w:val="00B34C1D"/>
    <w:rsid w:val="00B42B2D"/>
    <w:rsid w:val="00B4615D"/>
    <w:rsid w:val="00B4723D"/>
    <w:rsid w:val="00B47C2D"/>
    <w:rsid w:val="00B536D1"/>
    <w:rsid w:val="00B53E8E"/>
    <w:rsid w:val="00B56464"/>
    <w:rsid w:val="00B609DD"/>
    <w:rsid w:val="00B632A4"/>
    <w:rsid w:val="00B63DE8"/>
    <w:rsid w:val="00B6462B"/>
    <w:rsid w:val="00B67E90"/>
    <w:rsid w:val="00B7542D"/>
    <w:rsid w:val="00B810CF"/>
    <w:rsid w:val="00B8475C"/>
    <w:rsid w:val="00B850F0"/>
    <w:rsid w:val="00B9144E"/>
    <w:rsid w:val="00B91867"/>
    <w:rsid w:val="00B920E6"/>
    <w:rsid w:val="00BA0929"/>
    <w:rsid w:val="00BA1A38"/>
    <w:rsid w:val="00BA342F"/>
    <w:rsid w:val="00BA59BB"/>
    <w:rsid w:val="00BB0C65"/>
    <w:rsid w:val="00BB25BB"/>
    <w:rsid w:val="00BB26F5"/>
    <w:rsid w:val="00BB721B"/>
    <w:rsid w:val="00BD4FE6"/>
    <w:rsid w:val="00BD7F86"/>
    <w:rsid w:val="00BE4ADB"/>
    <w:rsid w:val="00BE5316"/>
    <w:rsid w:val="00BE6D82"/>
    <w:rsid w:val="00BF6155"/>
    <w:rsid w:val="00BF7D08"/>
    <w:rsid w:val="00C0053E"/>
    <w:rsid w:val="00C01725"/>
    <w:rsid w:val="00C032EA"/>
    <w:rsid w:val="00C07663"/>
    <w:rsid w:val="00C27732"/>
    <w:rsid w:val="00C3092D"/>
    <w:rsid w:val="00C30E67"/>
    <w:rsid w:val="00C31943"/>
    <w:rsid w:val="00C3692E"/>
    <w:rsid w:val="00C447DA"/>
    <w:rsid w:val="00C465FE"/>
    <w:rsid w:val="00C47B9F"/>
    <w:rsid w:val="00C50D08"/>
    <w:rsid w:val="00C510F9"/>
    <w:rsid w:val="00C64085"/>
    <w:rsid w:val="00C93404"/>
    <w:rsid w:val="00CA7D3B"/>
    <w:rsid w:val="00CB4E41"/>
    <w:rsid w:val="00CC012F"/>
    <w:rsid w:val="00CC0358"/>
    <w:rsid w:val="00CC35ED"/>
    <w:rsid w:val="00CC4D57"/>
    <w:rsid w:val="00CC74FE"/>
    <w:rsid w:val="00CD3788"/>
    <w:rsid w:val="00CD659D"/>
    <w:rsid w:val="00CD7D9D"/>
    <w:rsid w:val="00CE2E4A"/>
    <w:rsid w:val="00CF30AA"/>
    <w:rsid w:val="00CF7066"/>
    <w:rsid w:val="00D06527"/>
    <w:rsid w:val="00D079E1"/>
    <w:rsid w:val="00D12693"/>
    <w:rsid w:val="00D13274"/>
    <w:rsid w:val="00D13C4D"/>
    <w:rsid w:val="00D14F67"/>
    <w:rsid w:val="00D22CB4"/>
    <w:rsid w:val="00D26E30"/>
    <w:rsid w:val="00D31F5B"/>
    <w:rsid w:val="00D37AE4"/>
    <w:rsid w:val="00D37D7A"/>
    <w:rsid w:val="00D4533C"/>
    <w:rsid w:val="00D46E1D"/>
    <w:rsid w:val="00D501C4"/>
    <w:rsid w:val="00D5483E"/>
    <w:rsid w:val="00D55F49"/>
    <w:rsid w:val="00D56B4B"/>
    <w:rsid w:val="00D578DF"/>
    <w:rsid w:val="00D654D5"/>
    <w:rsid w:val="00D677B6"/>
    <w:rsid w:val="00D73E25"/>
    <w:rsid w:val="00D80A80"/>
    <w:rsid w:val="00D811A8"/>
    <w:rsid w:val="00D81ECC"/>
    <w:rsid w:val="00D85027"/>
    <w:rsid w:val="00D86A03"/>
    <w:rsid w:val="00D918E9"/>
    <w:rsid w:val="00D92CA1"/>
    <w:rsid w:val="00D941AC"/>
    <w:rsid w:val="00D9794F"/>
    <w:rsid w:val="00D97B12"/>
    <w:rsid w:val="00DA1E86"/>
    <w:rsid w:val="00DA2B72"/>
    <w:rsid w:val="00DB0E90"/>
    <w:rsid w:val="00DB5EFA"/>
    <w:rsid w:val="00DB663B"/>
    <w:rsid w:val="00DB6D4E"/>
    <w:rsid w:val="00DB6DFD"/>
    <w:rsid w:val="00DC1BCF"/>
    <w:rsid w:val="00DC63C9"/>
    <w:rsid w:val="00DD67EE"/>
    <w:rsid w:val="00DD6F7D"/>
    <w:rsid w:val="00DE5652"/>
    <w:rsid w:val="00DE5DC1"/>
    <w:rsid w:val="00DE6861"/>
    <w:rsid w:val="00DE7965"/>
    <w:rsid w:val="00E00262"/>
    <w:rsid w:val="00E02489"/>
    <w:rsid w:val="00E04776"/>
    <w:rsid w:val="00E06DEA"/>
    <w:rsid w:val="00E10402"/>
    <w:rsid w:val="00E134A7"/>
    <w:rsid w:val="00E1396B"/>
    <w:rsid w:val="00E209E2"/>
    <w:rsid w:val="00E25458"/>
    <w:rsid w:val="00E260C7"/>
    <w:rsid w:val="00E31CAB"/>
    <w:rsid w:val="00E45DE5"/>
    <w:rsid w:val="00E471F8"/>
    <w:rsid w:val="00E47436"/>
    <w:rsid w:val="00E5727D"/>
    <w:rsid w:val="00E579D7"/>
    <w:rsid w:val="00E57A9D"/>
    <w:rsid w:val="00E57D61"/>
    <w:rsid w:val="00E6198E"/>
    <w:rsid w:val="00E73D5B"/>
    <w:rsid w:val="00E82675"/>
    <w:rsid w:val="00E86F12"/>
    <w:rsid w:val="00E92B23"/>
    <w:rsid w:val="00E93006"/>
    <w:rsid w:val="00E952F1"/>
    <w:rsid w:val="00EA2833"/>
    <w:rsid w:val="00EA3406"/>
    <w:rsid w:val="00EA5ADC"/>
    <w:rsid w:val="00EA7EA9"/>
    <w:rsid w:val="00EB0810"/>
    <w:rsid w:val="00EB503E"/>
    <w:rsid w:val="00EB624C"/>
    <w:rsid w:val="00EC1F16"/>
    <w:rsid w:val="00EC3620"/>
    <w:rsid w:val="00ED1A7F"/>
    <w:rsid w:val="00ED5D92"/>
    <w:rsid w:val="00EE3AC8"/>
    <w:rsid w:val="00F0369B"/>
    <w:rsid w:val="00F04E66"/>
    <w:rsid w:val="00F055F9"/>
    <w:rsid w:val="00F2053C"/>
    <w:rsid w:val="00F20D0B"/>
    <w:rsid w:val="00F30ABA"/>
    <w:rsid w:val="00F30B26"/>
    <w:rsid w:val="00F30FAB"/>
    <w:rsid w:val="00F3415C"/>
    <w:rsid w:val="00F34E97"/>
    <w:rsid w:val="00F35FF4"/>
    <w:rsid w:val="00F40480"/>
    <w:rsid w:val="00F4551F"/>
    <w:rsid w:val="00F460E8"/>
    <w:rsid w:val="00F462A1"/>
    <w:rsid w:val="00F50195"/>
    <w:rsid w:val="00F64784"/>
    <w:rsid w:val="00F678E0"/>
    <w:rsid w:val="00F710DA"/>
    <w:rsid w:val="00F72490"/>
    <w:rsid w:val="00F8550B"/>
    <w:rsid w:val="00F869DE"/>
    <w:rsid w:val="00F94F97"/>
    <w:rsid w:val="00FA2311"/>
    <w:rsid w:val="00FA54E5"/>
    <w:rsid w:val="00FA581A"/>
    <w:rsid w:val="00FB2189"/>
    <w:rsid w:val="00FB4217"/>
    <w:rsid w:val="00FB7112"/>
    <w:rsid w:val="00FC209E"/>
    <w:rsid w:val="00FD0E1E"/>
    <w:rsid w:val="00FD4445"/>
    <w:rsid w:val="00FD4C4F"/>
    <w:rsid w:val="00FE3C95"/>
    <w:rsid w:val="00FE6CAE"/>
    <w:rsid w:val="00FE7C70"/>
    <w:rsid w:val="00FF24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C6D"/>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FB2189"/>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FB218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uiPriority w:val="99"/>
    <w:rPr>
      <w:rFonts w:ascii="Times New Roman" w:hAnsi="Times New Roman"/>
      <w:b/>
      <w:sz w:val="18"/>
    </w:rPr>
  </w:style>
  <w:style w:type="paragraph" w:styleId="BalloonText">
    <w:name w:val="Balloon Text"/>
    <w:basedOn w:val="Normal"/>
    <w:link w:val="BalloonTextChar"/>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autoRedefine/>
    <w:rsid w:val="00B920E6"/>
    <w:pPr>
      <w:numPr>
        <w:numId w:val="1"/>
      </w:numPr>
      <w:tabs>
        <w:tab w:val="clear" w:pos="4707"/>
      </w:tabs>
      <w:spacing w:after="120"/>
      <w:ind w:left="2013" w:right="1134"/>
      <w:jc w:val="both"/>
    </w:pPr>
  </w:style>
  <w:style w:type="character" w:customStyle="1" w:styleId="BalloonTextChar">
    <w:name w:val="Balloon Text Char"/>
    <w:link w:val="BalloonText"/>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eastAsia="en-US"/>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
    <w:link w:val="FootnoteText"/>
    <w:rsid w:val="00985284"/>
    <w:rPr>
      <w:rFonts w:eastAsia="SimSun"/>
      <w:sz w:val="18"/>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Listecouleur-Accent11">
    <w:name w:val="Liste couleur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character" w:styleId="Hyperlink">
    <w:name w:val="Hyperlink"/>
    <w:uiPriority w:val="99"/>
    <w:unhideWhenUsed/>
    <w:rsid w:val="00677B78"/>
    <w:rPr>
      <w:color w:val="0000FF"/>
      <w:u w:val="single"/>
    </w:rPr>
  </w:style>
  <w:style w:type="character" w:customStyle="1" w:styleId="apple-converted-space">
    <w:name w:val="apple-converted-space"/>
    <w:rsid w:val="00677B78"/>
  </w:style>
  <w:style w:type="character" w:customStyle="1" w:styleId="HeaderChar">
    <w:name w:val="Header Char"/>
    <w:aliases w:val="6_G Char"/>
    <w:link w:val="Header"/>
    <w:uiPriority w:val="99"/>
    <w:rsid w:val="00254B4A"/>
    <w:rPr>
      <w:b/>
      <w:sz w:val="18"/>
      <w:lang w:eastAsia="en-US"/>
    </w:rPr>
  </w:style>
  <w:style w:type="character" w:customStyle="1" w:styleId="SingleTxtGChar">
    <w:name w:val="_ Single Txt_G Char"/>
    <w:link w:val="SingleTxtG"/>
    <w:rsid w:val="00516ABB"/>
    <w:rPr>
      <w:lang w:eastAsia="en-US"/>
    </w:rPr>
  </w:style>
  <w:style w:type="character" w:styleId="CommentReference">
    <w:name w:val="annotation reference"/>
    <w:rsid w:val="00DB663B"/>
    <w:rPr>
      <w:sz w:val="16"/>
      <w:szCs w:val="16"/>
    </w:rPr>
  </w:style>
  <w:style w:type="paragraph" w:styleId="CommentText">
    <w:name w:val="annotation text"/>
    <w:basedOn w:val="Normal"/>
    <w:link w:val="CommentTextChar"/>
    <w:rsid w:val="00DB663B"/>
  </w:style>
  <w:style w:type="character" w:customStyle="1" w:styleId="CommentTextChar">
    <w:name w:val="Comment Text Char"/>
    <w:link w:val="CommentText"/>
    <w:rsid w:val="00DB663B"/>
    <w:rPr>
      <w:lang w:val="en-GB"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DB663B"/>
    <w:rPr>
      <w:b/>
      <w:bCs/>
    </w:rPr>
  </w:style>
  <w:style w:type="character" w:styleId="HTMLAcronym">
    <w:name w:val="HTML Acronym"/>
    <w:basedOn w:val="DefaultParagraphFont"/>
    <w:semiHidden/>
  </w:style>
  <w:style w:type="character" w:customStyle="1" w:styleId="CommentSubjectChar">
    <w:name w:val="Comment Subject Char"/>
    <w:link w:val="CommentSubject"/>
    <w:rsid w:val="00DB663B"/>
    <w:rPr>
      <w:b/>
      <w:bCs/>
      <w:lang w:val="en-GB" w:eastAsia="en-US"/>
    </w:rPr>
  </w:style>
  <w:style w:type="paragraph" w:styleId="Revision">
    <w:name w:val="Revision"/>
    <w:hidden/>
    <w:uiPriority w:val="99"/>
    <w:semiHidden/>
    <w:rsid w:val="00DB663B"/>
    <w:rPr>
      <w:lang w:eastAsia="en-US"/>
    </w:rPr>
  </w:style>
  <w:style w:type="character" w:styleId="Strong">
    <w:name w:val="Strong"/>
    <w:uiPriority w:val="22"/>
    <w:qFormat/>
    <w:rsid w:val="004A476F"/>
    <w:rPr>
      <w:b/>
      <w:b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Grid">
    <w:name w:val="Table Grid"/>
    <w:basedOn w:val="TableNormal"/>
    <w:rsid w:val="00E0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C6D"/>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FB2189"/>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FB218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uiPriority w:val="99"/>
    <w:rPr>
      <w:rFonts w:ascii="Times New Roman" w:hAnsi="Times New Roman"/>
      <w:b/>
      <w:sz w:val="18"/>
    </w:rPr>
  </w:style>
  <w:style w:type="paragraph" w:styleId="BalloonText">
    <w:name w:val="Balloon Text"/>
    <w:basedOn w:val="Normal"/>
    <w:link w:val="BalloonTextChar"/>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autoRedefine/>
    <w:rsid w:val="00B920E6"/>
    <w:pPr>
      <w:numPr>
        <w:numId w:val="1"/>
      </w:numPr>
      <w:tabs>
        <w:tab w:val="clear" w:pos="4707"/>
      </w:tabs>
      <w:spacing w:after="120"/>
      <w:ind w:left="2013" w:right="1134"/>
      <w:jc w:val="both"/>
    </w:pPr>
  </w:style>
  <w:style w:type="character" w:customStyle="1" w:styleId="BalloonTextChar">
    <w:name w:val="Balloon Text Char"/>
    <w:link w:val="BalloonText"/>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eastAsia="en-US"/>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
    <w:link w:val="FootnoteText"/>
    <w:rsid w:val="00985284"/>
    <w:rPr>
      <w:rFonts w:eastAsia="SimSun"/>
      <w:sz w:val="18"/>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Listecouleur-Accent11">
    <w:name w:val="Liste couleur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character" w:styleId="Hyperlink">
    <w:name w:val="Hyperlink"/>
    <w:uiPriority w:val="99"/>
    <w:unhideWhenUsed/>
    <w:rsid w:val="00677B78"/>
    <w:rPr>
      <w:color w:val="0000FF"/>
      <w:u w:val="single"/>
    </w:rPr>
  </w:style>
  <w:style w:type="character" w:customStyle="1" w:styleId="apple-converted-space">
    <w:name w:val="apple-converted-space"/>
    <w:rsid w:val="00677B78"/>
  </w:style>
  <w:style w:type="character" w:customStyle="1" w:styleId="HeaderChar">
    <w:name w:val="Header Char"/>
    <w:aliases w:val="6_G Char"/>
    <w:link w:val="Header"/>
    <w:uiPriority w:val="99"/>
    <w:rsid w:val="00254B4A"/>
    <w:rPr>
      <w:b/>
      <w:sz w:val="18"/>
      <w:lang w:eastAsia="en-US"/>
    </w:rPr>
  </w:style>
  <w:style w:type="character" w:customStyle="1" w:styleId="SingleTxtGChar">
    <w:name w:val="_ Single Txt_G Char"/>
    <w:link w:val="SingleTxtG"/>
    <w:rsid w:val="00516ABB"/>
    <w:rPr>
      <w:lang w:eastAsia="en-US"/>
    </w:rPr>
  </w:style>
  <w:style w:type="character" w:styleId="CommentReference">
    <w:name w:val="annotation reference"/>
    <w:rsid w:val="00DB663B"/>
    <w:rPr>
      <w:sz w:val="16"/>
      <w:szCs w:val="16"/>
    </w:rPr>
  </w:style>
  <w:style w:type="paragraph" w:styleId="CommentText">
    <w:name w:val="annotation text"/>
    <w:basedOn w:val="Normal"/>
    <w:link w:val="CommentTextChar"/>
    <w:rsid w:val="00DB663B"/>
  </w:style>
  <w:style w:type="character" w:customStyle="1" w:styleId="CommentTextChar">
    <w:name w:val="Comment Text Char"/>
    <w:link w:val="CommentText"/>
    <w:rsid w:val="00DB663B"/>
    <w:rPr>
      <w:lang w:val="en-GB"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DB663B"/>
    <w:rPr>
      <w:b/>
      <w:bCs/>
    </w:rPr>
  </w:style>
  <w:style w:type="character" w:styleId="HTMLAcronym">
    <w:name w:val="HTML Acronym"/>
    <w:basedOn w:val="DefaultParagraphFont"/>
    <w:semiHidden/>
  </w:style>
  <w:style w:type="character" w:customStyle="1" w:styleId="CommentSubjectChar">
    <w:name w:val="Comment Subject Char"/>
    <w:link w:val="CommentSubject"/>
    <w:rsid w:val="00DB663B"/>
    <w:rPr>
      <w:b/>
      <w:bCs/>
      <w:lang w:val="en-GB" w:eastAsia="en-US"/>
    </w:rPr>
  </w:style>
  <w:style w:type="paragraph" w:styleId="Revision">
    <w:name w:val="Revision"/>
    <w:hidden/>
    <w:uiPriority w:val="99"/>
    <w:semiHidden/>
    <w:rsid w:val="00DB663B"/>
    <w:rPr>
      <w:lang w:eastAsia="en-US"/>
    </w:rPr>
  </w:style>
  <w:style w:type="character" w:styleId="Strong">
    <w:name w:val="Strong"/>
    <w:uiPriority w:val="22"/>
    <w:qFormat/>
    <w:rsid w:val="004A476F"/>
    <w:rPr>
      <w:b/>
      <w:b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Grid">
    <w:name w:val="Table Grid"/>
    <w:basedOn w:val="TableNormal"/>
    <w:rsid w:val="00E0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1469">
      <w:bodyDiv w:val="1"/>
      <w:marLeft w:val="0"/>
      <w:marRight w:val="0"/>
      <w:marTop w:val="0"/>
      <w:marBottom w:val="0"/>
      <w:divBdr>
        <w:top w:val="none" w:sz="0" w:space="0" w:color="auto"/>
        <w:left w:val="none" w:sz="0" w:space="0" w:color="auto"/>
        <w:bottom w:val="none" w:sz="0" w:space="0" w:color="auto"/>
        <w:right w:val="none" w:sz="0" w:space="0" w:color="auto"/>
      </w:divBdr>
    </w:div>
    <w:div w:id="1551384123">
      <w:bodyDiv w:val="1"/>
      <w:marLeft w:val="0"/>
      <w:marRight w:val="0"/>
      <w:marTop w:val="0"/>
      <w:marBottom w:val="0"/>
      <w:divBdr>
        <w:top w:val="none" w:sz="0" w:space="0" w:color="auto"/>
        <w:left w:val="none" w:sz="0" w:space="0" w:color="auto"/>
        <w:bottom w:val="none" w:sz="0" w:space="0" w:color="auto"/>
        <w:right w:val="none" w:sz="0" w:space="0" w:color="auto"/>
      </w:divBdr>
    </w:div>
    <w:div w:id="1861354783">
      <w:bodyDiv w:val="1"/>
      <w:marLeft w:val="0"/>
      <w:marRight w:val="0"/>
      <w:marTop w:val="0"/>
      <w:marBottom w:val="0"/>
      <w:divBdr>
        <w:top w:val="none" w:sz="0" w:space="0" w:color="auto"/>
        <w:left w:val="none" w:sz="0" w:space="0" w:color="auto"/>
        <w:bottom w:val="none" w:sz="0" w:space="0" w:color="auto"/>
        <w:right w:val="none" w:sz="0" w:space="0" w:color="auto"/>
      </w:divBdr>
    </w:div>
    <w:div w:id="19990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AD1F-65FA-4000-AEB8-AC712A7FFAC9}"/>
</file>

<file path=customXml/itemProps2.xml><?xml version="1.0" encoding="utf-8"?>
<ds:datastoreItem xmlns:ds="http://schemas.openxmlformats.org/officeDocument/2006/customXml" ds:itemID="{93560D29-D9D8-4AC5-A97D-57D23E29B457}"/>
</file>

<file path=customXml/itemProps3.xml><?xml version="1.0" encoding="utf-8"?>
<ds:datastoreItem xmlns:ds="http://schemas.openxmlformats.org/officeDocument/2006/customXml" ds:itemID="{24D93FD7-1F54-4180-9C3D-3B2584A7DC15}"/>
</file>

<file path=customXml/itemProps4.xml><?xml version="1.0" encoding="utf-8"?>
<ds:datastoreItem xmlns:ds="http://schemas.openxmlformats.org/officeDocument/2006/customXml" ds:itemID="{F26EA62A-93A5-4F3E-BE37-CC465A41A4D7}"/>
</file>

<file path=docProps/app.xml><?xml version="1.0" encoding="utf-8"?>
<Properties xmlns="http://schemas.openxmlformats.org/officeDocument/2006/extended-properties" xmlns:vt="http://schemas.openxmlformats.org/officeDocument/2006/docPropsVTypes">
  <Template>A.dot</Template>
  <TotalTime>2</TotalTime>
  <Pages>15</Pages>
  <Words>6619</Words>
  <Characters>37731</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1310163</vt:lpstr>
      <vt:lpstr>1310163</vt:lpstr>
    </vt:vector>
  </TitlesOfParts>
  <Company>CSD</Company>
  <LinksUpToDate>false</LinksUpToDate>
  <CharactersWithSpaces>44262</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Addendum - Follow-up mission to Germany in English</dc:title>
  <dc:creator>cg</dc:creator>
  <cp:keywords>A/HRC/22/44/Add.2</cp:keywords>
  <cp:lastModifiedBy>Brigoli</cp:lastModifiedBy>
  <cp:revision>2</cp:revision>
  <cp:lastPrinted>2015-07-10T14:50:00Z</cp:lastPrinted>
  <dcterms:created xsi:type="dcterms:W3CDTF">2015-08-07T07:07:00Z</dcterms:created>
  <dcterms:modified xsi:type="dcterms:W3CDTF">2015-08-07T07:07:00Z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