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r w:rsidR="00323E4C">
              <w:fldChar w:fldCharType="begin"/>
            </w:r>
            <w:r w:rsidR="00323E4C">
              <w:instrText xml:space="preserve"> FILLIN  "Введите часть символа после A/HRC/"  \* MERGEFORMAT </w:instrText>
            </w:r>
            <w:r w:rsidR="00323E4C">
              <w:fldChar w:fldCharType="separate"/>
            </w:r>
            <w:r w:rsidR="00275F7B">
              <w:t>29/28/Add.3</w:t>
            </w:r>
            <w:r w:rsidR="00323E4C">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323E4C">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275F7B">
              <w:rPr>
                <w:lang w:val="en-US"/>
              </w:rPr>
              <w:t>2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323E4C">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3C70B4" w:rsidRPr="003C70B4" w:rsidRDefault="003C70B4" w:rsidP="003C70B4">
      <w:pPr>
        <w:rPr>
          <w:b/>
          <w:bCs/>
        </w:rPr>
      </w:pPr>
      <w:r w:rsidRPr="003C70B4">
        <w:rPr>
          <w:b/>
          <w:bCs/>
        </w:rPr>
        <w:t>Двадцать девятая сессия</w:t>
      </w:r>
    </w:p>
    <w:p w:rsidR="003C70B4" w:rsidRPr="003C70B4" w:rsidRDefault="003C70B4" w:rsidP="003C70B4">
      <w:r w:rsidRPr="003C70B4">
        <w:t>Пункт 3 повестки дня</w:t>
      </w:r>
    </w:p>
    <w:p w:rsidR="003C70B4" w:rsidRPr="003C70B4" w:rsidRDefault="003C70B4" w:rsidP="003C70B4">
      <w:pPr>
        <w:rPr>
          <w:b/>
          <w:bCs/>
        </w:rPr>
      </w:pPr>
      <w:r w:rsidRPr="003C70B4">
        <w:rPr>
          <w:b/>
          <w:bCs/>
        </w:rPr>
        <w:t xml:space="preserve">Поощрение и защита всех прав человека, </w:t>
      </w:r>
      <w:r w:rsidRPr="003C70B4">
        <w:rPr>
          <w:b/>
          <w:bCs/>
        </w:rPr>
        <w:br/>
        <w:t xml:space="preserve">гражданских, политических, экономических, </w:t>
      </w:r>
      <w:r w:rsidRPr="003C70B4">
        <w:rPr>
          <w:b/>
          <w:bCs/>
        </w:rPr>
        <w:br/>
        <w:t xml:space="preserve">социальных и культурных прав, </w:t>
      </w:r>
      <w:r w:rsidRPr="003C70B4">
        <w:rPr>
          <w:b/>
          <w:bCs/>
        </w:rPr>
        <w:br/>
        <w:t>включая право на развитие</w:t>
      </w:r>
    </w:p>
    <w:p w:rsidR="003C70B4" w:rsidRPr="003C70B4" w:rsidRDefault="003C70B4" w:rsidP="003C70B4">
      <w:pPr>
        <w:pStyle w:val="HChGR"/>
      </w:pPr>
      <w:r w:rsidRPr="003C70B4">
        <w:tab/>
      </w:r>
      <w:r w:rsidRPr="003C70B4">
        <w:tab/>
        <w:t>Доклад Рабочей группы по вопросу о правах человека и транснациональных корпорациях и других предприятиях</w:t>
      </w:r>
      <w:r w:rsidRPr="003C70B4">
        <w:rPr>
          <w:vertAlign w:val="superscript"/>
        </w:rPr>
        <w:footnoteReference w:customMarkFollows="1" w:id="1"/>
        <w:t>*</w:t>
      </w:r>
    </w:p>
    <w:p w:rsidR="003C70B4" w:rsidRPr="003C70B4" w:rsidRDefault="003C70B4" w:rsidP="003C70B4">
      <w:pPr>
        <w:pStyle w:val="H23GR"/>
      </w:pPr>
      <w:r w:rsidRPr="003C70B4">
        <w:tab/>
      </w:r>
      <w:r w:rsidRPr="003C70B4">
        <w:tab/>
        <w:t>Добавление</w:t>
      </w:r>
    </w:p>
    <w:p w:rsidR="003C70B4" w:rsidRPr="003C70B4" w:rsidRDefault="003C70B4" w:rsidP="003C70B4">
      <w:pPr>
        <w:pStyle w:val="H1GR"/>
      </w:pPr>
      <w:r w:rsidRPr="003C70B4">
        <w:tab/>
      </w:r>
      <w:r w:rsidRPr="003C70B4">
        <w:tab/>
        <w:t xml:space="preserve">Выявление новых подходов и накопленного опыта в области соблюдения прав человека корпорациями: соображения </w:t>
      </w:r>
      <w:r w:rsidRPr="003C70B4">
        <w:br/>
        <w:t xml:space="preserve">по итогам дискуссий, проведенных на Форуме 2014 года </w:t>
      </w:r>
      <w:r w:rsidRPr="003C70B4">
        <w:br/>
        <w:t>по вопросам предпринимательской деятельности и прав человека</w:t>
      </w:r>
    </w:p>
    <w:tbl>
      <w:tblPr>
        <w:tblStyle w:val="a8"/>
        <w:tblW w:w="0" w:type="auto"/>
        <w:tblBorders>
          <w:insideH w:val="none" w:sz="0" w:space="0" w:color="auto"/>
        </w:tblBorders>
        <w:tblLook w:val="05E0" w:firstRow="1" w:lastRow="1" w:firstColumn="1" w:lastColumn="1" w:noHBand="0" w:noVBand="1"/>
      </w:tblPr>
      <w:tblGrid>
        <w:gridCol w:w="9855"/>
      </w:tblGrid>
      <w:tr w:rsidR="003C70B4" w:rsidTr="006655E3">
        <w:tc>
          <w:tcPr>
            <w:tcW w:w="9855" w:type="dxa"/>
            <w:tcBorders>
              <w:bottom w:val="nil"/>
            </w:tcBorders>
            <w:shd w:val="clear" w:color="auto" w:fill="auto"/>
          </w:tcPr>
          <w:p w:rsidR="003C70B4" w:rsidRPr="003C70B4" w:rsidRDefault="003C70B4" w:rsidP="003C70B4">
            <w:pPr>
              <w:suppressAutoHyphens/>
              <w:spacing w:before="240" w:after="120"/>
              <w:ind w:left="255"/>
              <w:rPr>
                <w:i/>
                <w:sz w:val="24"/>
                <w:lang w:eastAsia="ru-RU"/>
              </w:rPr>
            </w:pPr>
            <w:r w:rsidRPr="003C70B4">
              <w:rPr>
                <w:i/>
                <w:sz w:val="24"/>
                <w:lang w:eastAsia="ru-RU"/>
              </w:rPr>
              <w:t>Резюме</w:t>
            </w:r>
          </w:p>
        </w:tc>
      </w:tr>
      <w:tr w:rsidR="003C70B4" w:rsidTr="006655E3">
        <w:tc>
          <w:tcPr>
            <w:tcW w:w="9855" w:type="dxa"/>
            <w:tcBorders>
              <w:top w:val="nil"/>
              <w:bottom w:val="nil"/>
            </w:tcBorders>
            <w:shd w:val="clear" w:color="auto" w:fill="auto"/>
          </w:tcPr>
          <w:p w:rsidR="003C70B4" w:rsidRDefault="003C70B4" w:rsidP="00AD1F1E">
            <w:pPr>
              <w:pStyle w:val="SingleTxtGR"/>
              <w:rPr>
                <w:lang w:eastAsia="ru-RU"/>
              </w:rPr>
            </w:pPr>
            <w:r w:rsidRPr="00323E4C">
              <w:rPr>
                <w:lang w:eastAsia="ru-RU"/>
              </w:rPr>
              <w:tab/>
            </w:r>
            <w:r w:rsidRPr="003C70B4">
              <w:rPr>
                <w:lang w:eastAsia="ru-RU"/>
              </w:rPr>
              <w:t>В настоящем докладе, представляе</w:t>
            </w:r>
            <w:r w:rsidR="006655E3">
              <w:rPr>
                <w:lang w:eastAsia="ru-RU"/>
              </w:rPr>
              <w:t>мом в соответствии с резолюц</w:t>
            </w:r>
            <w:r w:rsidR="006655E3">
              <w:rPr>
                <w:lang w:eastAsia="ru-RU"/>
              </w:rPr>
              <w:t>и</w:t>
            </w:r>
            <w:r w:rsidR="006655E3">
              <w:rPr>
                <w:lang w:eastAsia="ru-RU"/>
              </w:rPr>
              <w:t>ей</w:t>
            </w:r>
            <w:r w:rsidR="006655E3">
              <w:rPr>
                <w:lang w:val="en-US" w:eastAsia="ru-RU"/>
              </w:rPr>
              <w:t> </w:t>
            </w:r>
            <w:r w:rsidRPr="003C70B4">
              <w:rPr>
                <w:lang w:eastAsia="ru-RU"/>
              </w:rPr>
              <w:t>26/22 Совета по правам человека, рассматриваются действия, предпринятые предприятиями в целях выполнения своей корпоративной ответственности за соблюдение прав человека на основе дискуссий, состоявшихся в ходе третьего ежегодного Форума по вопросам предпринимательской деятельности и прав ч</w:t>
            </w:r>
            <w:r w:rsidRPr="003C70B4">
              <w:rPr>
                <w:lang w:eastAsia="ru-RU"/>
              </w:rPr>
              <w:t>е</w:t>
            </w:r>
            <w:r w:rsidRPr="003C70B4">
              <w:rPr>
                <w:lang w:eastAsia="ru-RU"/>
              </w:rPr>
              <w:t>ловека, проведенного 1</w:t>
            </w:r>
            <w:r w:rsidR="006655E3" w:rsidRPr="006655E3">
              <w:rPr>
                <w:lang w:eastAsia="ru-RU"/>
              </w:rPr>
              <w:t>−</w:t>
            </w:r>
            <w:r w:rsidR="00AD1F1E" w:rsidRPr="00AD1F1E">
              <w:rPr>
                <w:lang w:eastAsia="ru-RU"/>
              </w:rPr>
              <w:t>3</w:t>
            </w:r>
            <w:r w:rsidRPr="003C70B4">
              <w:rPr>
                <w:lang w:eastAsia="ru-RU"/>
              </w:rPr>
              <w:t xml:space="preserve"> декабря 2014 года. Основное внимание в докладе уделяется докладам и основным извлеченным урокам в рамках заседания на т</w:t>
            </w:r>
            <w:r w:rsidRPr="003C70B4">
              <w:rPr>
                <w:lang w:eastAsia="ru-RU"/>
              </w:rPr>
              <w:t>е</w:t>
            </w:r>
            <w:r w:rsidRPr="003C70B4">
              <w:rPr>
                <w:lang w:eastAsia="ru-RU"/>
              </w:rPr>
              <w:t xml:space="preserve">му "Уважение на практике: прогресс и проблемы, связанные с корпоративной ответственностью за соблюдение прав человека", созванного Рабочей группой </w:t>
            </w:r>
            <w:r w:rsidRPr="003C70B4">
              <w:rPr>
                <w:lang w:eastAsia="ru-RU"/>
              </w:rPr>
              <w:lastRenderedPageBreak/>
              <w:t>по вопросу о правах человека и транснациональных корпорациях и других предприятиях и организованного совместно с Глобальной инициативой пре</w:t>
            </w:r>
            <w:r w:rsidRPr="003C70B4">
              <w:rPr>
                <w:lang w:eastAsia="ru-RU"/>
              </w:rPr>
              <w:t>д</w:t>
            </w:r>
            <w:r w:rsidRPr="003C70B4">
              <w:rPr>
                <w:lang w:eastAsia="ru-RU"/>
              </w:rPr>
              <w:t>принимателей по правам человека и Информационным центром по вопросам предпринимательства и прав человека. Настоящий документ основан на докл</w:t>
            </w:r>
            <w:r w:rsidRPr="003C70B4">
              <w:rPr>
                <w:lang w:eastAsia="ru-RU"/>
              </w:rPr>
              <w:t>а</w:t>
            </w:r>
            <w:r w:rsidRPr="003C70B4">
              <w:rPr>
                <w:lang w:eastAsia="ru-RU"/>
              </w:rPr>
              <w:t>де о работе заседания, подготовленном этими двумя организациями в их кач</w:t>
            </w:r>
            <w:r w:rsidRPr="003C70B4">
              <w:rPr>
                <w:lang w:eastAsia="ru-RU"/>
              </w:rPr>
              <w:t>е</w:t>
            </w:r>
            <w:r w:rsidRPr="003C70B4">
              <w:rPr>
                <w:lang w:eastAsia="ru-RU"/>
              </w:rPr>
              <w:t>стве совместных организаторов. В заключительном разделе Рабочая группа о</w:t>
            </w:r>
            <w:r w:rsidRPr="003C70B4">
              <w:rPr>
                <w:lang w:eastAsia="ru-RU"/>
              </w:rPr>
              <w:t>т</w:t>
            </w:r>
            <w:r w:rsidRPr="003C70B4">
              <w:rPr>
                <w:lang w:eastAsia="ru-RU"/>
              </w:rPr>
              <w:t>мечает замечания и рекомендации, выносимые на рассмотрение заинтересова</w:t>
            </w:r>
            <w:r w:rsidRPr="003C70B4">
              <w:rPr>
                <w:lang w:eastAsia="ru-RU"/>
              </w:rPr>
              <w:t>н</w:t>
            </w:r>
            <w:r w:rsidRPr="003C70B4">
              <w:rPr>
                <w:lang w:eastAsia="ru-RU"/>
              </w:rPr>
              <w:t>ных сторон.</w:t>
            </w:r>
          </w:p>
        </w:tc>
      </w:tr>
      <w:tr w:rsidR="003C70B4" w:rsidTr="006655E3">
        <w:tc>
          <w:tcPr>
            <w:tcW w:w="9855" w:type="dxa"/>
            <w:tcBorders>
              <w:top w:val="nil"/>
            </w:tcBorders>
            <w:shd w:val="clear" w:color="auto" w:fill="auto"/>
          </w:tcPr>
          <w:p w:rsidR="003C70B4" w:rsidRDefault="003C70B4" w:rsidP="003C70B4">
            <w:pPr>
              <w:pStyle w:val="SingleTxtGR"/>
              <w:rPr>
                <w:lang w:eastAsia="ru-RU"/>
              </w:rPr>
            </w:pPr>
            <w:r w:rsidRPr="00323E4C">
              <w:lastRenderedPageBreak/>
              <w:tab/>
            </w:r>
            <w:r w:rsidRPr="003C70B4">
              <w:t>Цель тематического заседания состояла в том, чтобы создать возможн</w:t>
            </w:r>
            <w:r w:rsidRPr="003C70B4">
              <w:t>о</w:t>
            </w:r>
            <w:r w:rsidRPr="003C70B4">
              <w:t>сти для проведения конструктивного диалога с участием широкого круга заи</w:t>
            </w:r>
            <w:r w:rsidRPr="003C70B4">
              <w:t>н</w:t>
            </w:r>
            <w:r w:rsidRPr="003C70B4">
              <w:t>тересованных сторон по вопросам передового опыта, уроков, проблем, нед</w:t>
            </w:r>
            <w:r w:rsidRPr="003C70B4">
              <w:t>о</w:t>
            </w:r>
            <w:r w:rsidRPr="003C70B4">
              <w:t>статков, инноваций и сложных моментов, связанных со вторым компонентом Руководящих принципов предпринимательской деятельности в аспекте прав ч</w:t>
            </w:r>
            <w:r w:rsidRPr="003C70B4">
              <w:t>е</w:t>
            </w:r>
            <w:r w:rsidRPr="003C70B4">
              <w:t>ловека, касающимся корпоративной ответственности за соблюдение прав чел</w:t>
            </w:r>
            <w:r w:rsidRPr="003C70B4">
              <w:t>о</w:t>
            </w:r>
            <w:r w:rsidRPr="003C70B4">
              <w:t>века.</w:t>
            </w:r>
          </w:p>
        </w:tc>
      </w:tr>
      <w:tr w:rsidR="003C70B4" w:rsidTr="003C70B4">
        <w:tc>
          <w:tcPr>
            <w:tcW w:w="9855" w:type="dxa"/>
            <w:shd w:val="clear" w:color="auto" w:fill="auto"/>
          </w:tcPr>
          <w:p w:rsidR="003C70B4" w:rsidRDefault="003C70B4" w:rsidP="003C70B4">
            <w:pPr>
              <w:pStyle w:val="SingleTxtGR"/>
              <w:rPr>
                <w:lang w:eastAsia="ru-RU"/>
              </w:rPr>
            </w:pPr>
            <w:r w:rsidRPr="00323E4C">
              <w:rPr>
                <w:lang w:eastAsia="ru-RU"/>
              </w:rPr>
              <w:tab/>
            </w:r>
            <w:r w:rsidRPr="003C70B4">
              <w:rPr>
                <w:lang w:eastAsia="ru-RU"/>
              </w:rPr>
              <w:t>Настоящий доклад содержит обзор докладов и дискуссий, а также ключ</w:t>
            </w:r>
            <w:r w:rsidRPr="003C70B4">
              <w:rPr>
                <w:lang w:eastAsia="ru-RU"/>
              </w:rPr>
              <w:t>е</w:t>
            </w:r>
            <w:r w:rsidRPr="003C70B4">
              <w:rPr>
                <w:lang w:eastAsia="ru-RU"/>
              </w:rPr>
              <w:t>вых уроков и выводов по итогам этого заседания. Цель состоит в том, чтобы сделать полученный благодаря Форуму конкретный опыт и извлеченные из него уроки доступными для более широкой аудитории с целью формирования общих знаний и поддержки дальнейших усилий по осуществлению Руководящих принципов.</w:t>
            </w:r>
          </w:p>
        </w:tc>
      </w:tr>
      <w:tr w:rsidR="003C70B4" w:rsidTr="003C70B4">
        <w:tc>
          <w:tcPr>
            <w:tcW w:w="9855" w:type="dxa"/>
            <w:shd w:val="clear" w:color="auto" w:fill="auto"/>
          </w:tcPr>
          <w:p w:rsidR="003C70B4" w:rsidRDefault="003C70B4" w:rsidP="003C70B4">
            <w:pPr>
              <w:pStyle w:val="SingleTxtGR"/>
              <w:rPr>
                <w:lang w:eastAsia="ru-RU"/>
              </w:rPr>
            </w:pPr>
            <w:r w:rsidRPr="00323E4C">
              <w:rPr>
                <w:lang w:eastAsia="ru-RU"/>
              </w:rPr>
              <w:tab/>
            </w:r>
            <w:r w:rsidRPr="003C70B4">
              <w:rPr>
                <w:lang w:eastAsia="ru-RU"/>
              </w:rPr>
              <w:t>Одна часть заседания была посвящена теме "Включение Руководящих принципов в стратегии, процессы и процедуры принятия решений". Несколько представителей деловых кругов поделились опытом и уроками, извлеченными из работы их компаний по достижению реальной интеграции, со ссылкой на ряд ключевых концепций, изложенных в Руководящих принципах. Группа участн</w:t>
            </w:r>
            <w:r w:rsidRPr="003C70B4">
              <w:rPr>
                <w:lang w:eastAsia="ru-RU"/>
              </w:rPr>
              <w:t>и</w:t>
            </w:r>
            <w:r w:rsidRPr="003C70B4">
              <w:rPr>
                <w:lang w:eastAsia="ru-RU"/>
              </w:rPr>
              <w:t>ков затронула вопросы привлечения к этому процессу главных администрати</w:t>
            </w:r>
            <w:r w:rsidRPr="003C70B4">
              <w:rPr>
                <w:lang w:eastAsia="ru-RU"/>
              </w:rPr>
              <w:t>в</w:t>
            </w:r>
            <w:r w:rsidRPr="003C70B4">
              <w:rPr>
                <w:lang w:eastAsia="ru-RU"/>
              </w:rPr>
              <w:t>ных сотрудников; обновления политических обязательств; многофункционал</w:t>
            </w:r>
            <w:r w:rsidRPr="003C70B4">
              <w:rPr>
                <w:lang w:eastAsia="ru-RU"/>
              </w:rPr>
              <w:t>ь</w:t>
            </w:r>
            <w:r w:rsidRPr="003C70B4">
              <w:rPr>
                <w:lang w:eastAsia="ru-RU"/>
              </w:rPr>
              <w:t>ного участия; необходимости обеспечения существенных инвестиций в укре</w:t>
            </w:r>
            <w:r w:rsidRPr="003C70B4">
              <w:rPr>
                <w:lang w:eastAsia="ru-RU"/>
              </w:rPr>
              <w:t>п</w:t>
            </w:r>
            <w:r w:rsidRPr="003C70B4">
              <w:rPr>
                <w:lang w:eastAsia="ru-RU"/>
              </w:rPr>
              <w:t xml:space="preserve">ление внутреннего потенциала для обеспечения горизонтальной и вертикальной слаженности; методологий применения должной осмотрительности в вопросах прав человека; учета правозащитных аспектов в основной деятельности; </w:t>
            </w:r>
            <w:r w:rsidR="00AD1F1E" w:rsidRPr="00AD1F1E">
              <w:rPr>
                <w:lang w:eastAsia="ru-RU"/>
              </w:rPr>
              <w:br/>
            </w:r>
            <w:r w:rsidRPr="003C70B4">
              <w:rPr>
                <w:lang w:eastAsia="ru-RU"/>
              </w:rPr>
              <w:t>и укрепления оперативных механизмов рассмотрения жалоб. В ходе обсужд</w:t>
            </w:r>
            <w:r w:rsidRPr="003C70B4">
              <w:rPr>
                <w:lang w:eastAsia="ru-RU"/>
              </w:rPr>
              <w:t>е</w:t>
            </w:r>
            <w:r w:rsidRPr="003C70B4">
              <w:rPr>
                <w:lang w:eastAsia="ru-RU"/>
              </w:rPr>
              <w:t>ния были сформулированы несколько общих замечаний, в том числе:</w:t>
            </w:r>
          </w:p>
        </w:tc>
      </w:tr>
      <w:tr w:rsidR="003C70B4" w:rsidTr="00AD1F1E">
        <w:tc>
          <w:tcPr>
            <w:tcW w:w="9855" w:type="dxa"/>
            <w:tcBorders>
              <w:bottom w:val="nil"/>
            </w:tcBorders>
            <w:shd w:val="clear" w:color="auto" w:fill="auto"/>
          </w:tcPr>
          <w:p w:rsidR="003C70B4" w:rsidRPr="003C70B4" w:rsidRDefault="00AD1F1E" w:rsidP="006655E3">
            <w:pPr>
              <w:pStyle w:val="Bullet1GR"/>
            </w:pPr>
            <w:r w:rsidRPr="003C70B4">
              <w:t>п</w:t>
            </w:r>
            <w:r w:rsidR="003C70B4" w:rsidRPr="003C70B4">
              <w:t>ри наличии приверженности компаний Руководящие принципы оказ</w:t>
            </w:r>
            <w:r w:rsidR="003C70B4" w:rsidRPr="003C70B4">
              <w:t>ы</w:t>
            </w:r>
            <w:r w:rsidR="003C70B4" w:rsidRPr="003C70B4">
              <w:t>вают влияние на их практическую деятельность и процесс принятия р</w:t>
            </w:r>
            <w:r w:rsidR="003C70B4" w:rsidRPr="003C70B4">
              <w:t>е</w:t>
            </w:r>
            <w:r w:rsidR="003C70B4" w:rsidRPr="003C70B4">
              <w:t>шений;</w:t>
            </w:r>
          </w:p>
          <w:p w:rsidR="003C70B4" w:rsidRPr="003C70B4" w:rsidRDefault="00AD1F1E" w:rsidP="006655E3">
            <w:pPr>
              <w:pStyle w:val="Bullet1GR"/>
            </w:pPr>
            <w:r w:rsidRPr="003C70B4">
              <w:t>п</w:t>
            </w:r>
            <w:r w:rsidR="003C70B4" w:rsidRPr="003C70B4">
              <w:t>роисходит определенное сближение позиций в отношении основопол</w:t>
            </w:r>
            <w:r w:rsidR="003C70B4" w:rsidRPr="003C70B4">
              <w:t>а</w:t>
            </w:r>
            <w:r w:rsidR="003C70B4" w:rsidRPr="003C70B4">
              <w:t>гающих компонентов и связанных с ними инструментов и подходов, к</w:t>
            </w:r>
            <w:r w:rsidR="003C70B4" w:rsidRPr="003C70B4">
              <w:t>а</w:t>
            </w:r>
            <w:r w:rsidR="003C70B4" w:rsidRPr="003C70B4">
              <w:t>сающихся осуществления корпоративной ответственности за соблюдение прав человека;</w:t>
            </w:r>
          </w:p>
          <w:p w:rsidR="003C70B4" w:rsidRPr="003C70B4" w:rsidRDefault="00AD1F1E" w:rsidP="006655E3">
            <w:pPr>
              <w:pStyle w:val="Bullet1GR"/>
            </w:pPr>
            <w:r w:rsidRPr="003C70B4">
              <w:t>с</w:t>
            </w:r>
            <w:r w:rsidR="003C70B4" w:rsidRPr="003C70B4">
              <w:t>оздание основополагающих элементов в крупных организациях заним</w:t>
            </w:r>
            <w:r w:rsidR="003C70B4" w:rsidRPr="003C70B4">
              <w:t>а</w:t>
            </w:r>
            <w:r w:rsidR="003C70B4" w:rsidRPr="003C70B4">
              <w:t>ет определенное время, а осуществление представляет собой постоянный процесс;</w:t>
            </w:r>
          </w:p>
          <w:p w:rsidR="003C70B4" w:rsidRDefault="00AD1F1E" w:rsidP="006655E3">
            <w:pPr>
              <w:pStyle w:val="Bullet1GR"/>
            </w:pPr>
            <w:r w:rsidRPr="003C70B4">
              <w:t>и</w:t>
            </w:r>
            <w:r w:rsidR="003C70B4" w:rsidRPr="003C70B4">
              <w:t>меет место коммуникационный разрыв, поскольку компании могут не сообщать заинтересованным сторонам и общественности и не обсуждать с ними всю информацию о том, что они делают.</w:t>
            </w:r>
          </w:p>
        </w:tc>
      </w:tr>
      <w:tr w:rsidR="003C70B4" w:rsidTr="00AD1F1E">
        <w:tc>
          <w:tcPr>
            <w:tcW w:w="9855" w:type="dxa"/>
            <w:tcBorders>
              <w:top w:val="nil"/>
              <w:bottom w:val="nil"/>
            </w:tcBorders>
            <w:shd w:val="clear" w:color="auto" w:fill="auto"/>
          </w:tcPr>
          <w:p w:rsidR="003C70B4" w:rsidRDefault="003C70B4" w:rsidP="003C70B4">
            <w:pPr>
              <w:pStyle w:val="SingleTxtGR"/>
              <w:rPr>
                <w:lang w:eastAsia="ru-RU"/>
              </w:rPr>
            </w:pPr>
            <w:r w:rsidRPr="008D1267">
              <w:rPr>
                <w:lang w:eastAsia="ru-RU"/>
              </w:rPr>
              <w:tab/>
            </w:r>
            <w:r w:rsidRPr="003C70B4">
              <w:rPr>
                <w:lang w:eastAsia="ru-RU"/>
              </w:rPr>
              <w:t xml:space="preserve">Другая важная часть заседания была посвящена обмену извлеченными уроками по итогам рассмотрения конкретных примеров взаимодействия между </w:t>
            </w:r>
            <w:r w:rsidRPr="003C70B4">
              <w:rPr>
                <w:lang w:eastAsia="ru-RU"/>
              </w:rPr>
              <w:lastRenderedPageBreak/>
              <w:t>деловыми кругами и гражданским обществом в целях содействия осуществл</w:t>
            </w:r>
            <w:r w:rsidRPr="003C70B4">
              <w:rPr>
                <w:lang w:eastAsia="ru-RU"/>
              </w:rPr>
              <w:t>е</w:t>
            </w:r>
            <w:r w:rsidRPr="003C70B4">
              <w:rPr>
                <w:lang w:eastAsia="ru-RU"/>
              </w:rPr>
              <w:t>нию корпоративной ответственности за соблюдение прав человека. Темой этого группового обсуждения было "Применение Руководящих принципов в конкре</w:t>
            </w:r>
            <w:r w:rsidRPr="003C70B4">
              <w:rPr>
                <w:lang w:eastAsia="ru-RU"/>
              </w:rPr>
              <w:t>т</w:t>
            </w:r>
            <w:r w:rsidRPr="003C70B4">
              <w:rPr>
                <w:lang w:eastAsia="ru-RU"/>
              </w:rPr>
              <w:t>ных случаях сотрудничества между организациями гражданского общества и деловыми кругами". В нем приняли участие представители деловых кругов и организаций гражданского общества, которые сотрудничают</w:t>
            </w:r>
            <w:r w:rsidR="008E0BD4">
              <w:rPr>
                <w:lang w:eastAsia="ru-RU"/>
              </w:rPr>
              <w:t xml:space="preserve"> − </w:t>
            </w:r>
            <w:r w:rsidRPr="003C70B4">
              <w:rPr>
                <w:lang w:eastAsia="ru-RU"/>
              </w:rPr>
              <w:t>хотя и не всегда при полном согласии</w:t>
            </w:r>
            <w:r w:rsidR="008E0BD4">
              <w:rPr>
                <w:lang w:eastAsia="ru-RU"/>
              </w:rPr>
              <w:t xml:space="preserve"> − </w:t>
            </w:r>
            <w:r w:rsidRPr="003C70B4">
              <w:rPr>
                <w:lang w:eastAsia="ru-RU"/>
              </w:rPr>
              <w:t>в деле применения Руководящих принципов в конкре</w:t>
            </w:r>
            <w:r w:rsidRPr="003C70B4">
              <w:rPr>
                <w:lang w:eastAsia="ru-RU"/>
              </w:rPr>
              <w:t>т</w:t>
            </w:r>
            <w:r w:rsidRPr="003C70B4">
              <w:rPr>
                <w:lang w:eastAsia="ru-RU"/>
              </w:rPr>
              <w:t>ных местных или секторальных условиях, и на нем, в частности, обсуждались следующие тематические исследования:</w:t>
            </w:r>
          </w:p>
        </w:tc>
      </w:tr>
      <w:tr w:rsidR="003C70B4" w:rsidTr="00AD1F1E">
        <w:tc>
          <w:tcPr>
            <w:tcW w:w="9855" w:type="dxa"/>
            <w:tcBorders>
              <w:top w:val="nil"/>
            </w:tcBorders>
            <w:shd w:val="clear" w:color="auto" w:fill="auto"/>
          </w:tcPr>
          <w:p w:rsidR="008E0BD4" w:rsidRPr="008E0BD4" w:rsidRDefault="008E0BD4" w:rsidP="008D1267">
            <w:pPr>
              <w:pStyle w:val="Bullet1GR"/>
            </w:pPr>
            <w:r w:rsidRPr="008E0BD4">
              <w:lastRenderedPageBreak/>
              <w:t>Перемещение общин в контексте добычи полезных ископаемых в Моза</w:t>
            </w:r>
            <w:r w:rsidRPr="008E0BD4">
              <w:t>м</w:t>
            </w:r>
            <w:r w:rsidRPr="008E0BD4">
              <w:t>бике ("Хьюман райтс уотч" и "Вале");</w:t>
            </w:r>
          </w:p>
          <w:p w:rsidR="008E0BD4" w:rsidRPr="008E0BD4" w:rsidRDefault="008E0BD4" w:rsidP="008D1267">
            <w:pPr>
              <w:pStyle w:val="Bullet1GR"/>
            </w:pPr>
            <w:r w:rsidRPr="008E0BD4">
              <w:t>Детский труд и права женщин на плантациях какао в Западной Африке (Международная инициатива по какао, "Нестле" и "Охсфам");</w:t>
            </w:r>
          </w:p>
          <w:p w:rsidR="008E0BD4" w:rsidRPr="008E0BD4" w:rsidRDefault="008E0BD4" w:rsidP="008D1267">
            <w:pPr>
              <w:pStyle w:val="Bullet1GR"/>
            </w:pPr>
            <w:r w:rsidRPr="008E0BD4">
              <w:t>Применение на местах</w:t>
            </w:r>
            <w:bookmarkStart w:id="2" w:name="_GoBack"/>
            <w:bookmarkEnd w:id="2"/>
            <w:r w:rsidRPr="008E0BD4">
              <w:t xml:space="preserve"> глобальных рамочных соглашений о правах про</w:t>
            </w:r>
            <w:r w:rsidRPr="008E0BD4">
              <w:t>ф</w:t>
            </w:r>
            <w:r w:rsidRPr="008E0BD4">
              <w:t>союзов на основе взаимной ответственности в секторе текстильной пр</w:t>
            </w:r>
            <w:r w:rsidRPr="008E0BD4">
              <w:t>о</w:t>
            </w:r>
            <w:r w:rsidRPr="008E0BD4">
              <w:t>мышленности ("Индитекс" и "ИндустриАЛЛ");</w:t>
            </w:r>
          </w:p>
          <w:p w:rsidR="003C70B4" w:rsidRDefault="008E0BD4" w:rsidP="008D1267">
            <w:pPr>
              <w:pStyle w:val="Bullet1GR"/>
            </w:pPr>
            <w:r w:rsidRPr="008E0BD4">
              <w:t>Неприкосновенность частной жизни и свобода выражения мнений в И</w:t>
            </w:r>
            <w:r w:rsidRPr="008E0BD4">
              <w:t>н</w:t>
            </w:r>
            <w:r w:rsidRPr="008E0BD4">
              <w:t>тернете (иерархия цифровых прав).</w:t>
            </w:r>
          </w:p>
        </w:tc>
      </w:tr>
      <w:tr w:rsidR="003C70B4" w:rsidTr="003C70B4">
        <w:tc>
          <w:tcPr>
            <w:tcW w:w="9855" w:type="dxa"/>
            <w:shd w:val="clear" w:color="auto" w:fill="auto"/>
          </w:tcPr>
          <w:p w:rsidR="003C70B4" w:rsidRDefault="008D1267" w:rsidP="008D1267">
            <w:pPr>
              <w:pStyle w:val="SingleTxtGR"/>
              <w:keepNext/>
              <w:rPr>
                <w:lang w:eastAsia="ru-RU"/>
              </w:rPr>
            </w:pPr>
            <w:r w:rsidRPr="00323E4C">
              <w:rPr>
                <w:lang w:eastAsia="ru-RU"/>
              </w:rPr>
              <w:tab/>
            </w:r>
            <w:r w:rsidR="008E0BD4" w:rsidRPr="008E0BD4">
              <w:rPr>
                <w:lang w:eastAsia="ru-RU"/>
              </w:rPr>
              <w:t>В число основных извлеченных в ходе этого заседания уроков входят следующие:</w:t>
            </w:r>
          </w:p>
        </w:tc>
      </w:tr>
      <w:tr w:rsidR="003C70B4" w:rsidTr="008D1267">
        <w:tc>
          <w:tcPr>
            <w:tcW w:w="9855" w:type="dxa"/>
            <w:tcBorders>
              <w:bottom w:val="nil"/>
            </w:tcBorders>
            <w:shd w:val="clear" w:color="auto" w:fill="auto"/>
          </w:tcPr>
          <w:p w:rsidR="003C70B4" w:rsidRDefault="00AD1F1E" w:rsidP="008D1267">
            <w:pPr>
              <w:pStyle w:val="Bullet1GR"/>
            </w:pPr>
            <w:r w:rsidRPr="008E0BD4">
              <w:t>п</w:t>
            </w:r>
            <w:r w:rsidR="008E0BD4" w:rsidRPr="008E0BD4">
              <w:t>онимание того, что в число компонентов для успешного взаимодействия между неправительственными организациями и деловыми кругами вх</w:t>
            </w:r>
            <w:r w:rsidR="008E0BD4" w:rsidRPr="008E0BD4">
              <w:t>о</w:t>
            </w:r>
            <w:r w:rsidR="008E0BD4" w:rsidRPr="008E0BD4">
              <w:t>дят общее обязательство улучшать положение затронутых общин, тран</w:t>
            </w:r>
            <w:r w:rsidR="008E0BD4" w:rsidRPr="008E0BD4">
              <w:t>с</w:t>
            </w:r>
            <w:r w:rsidR="008E0BD4" w:rsidRPr="008E0BD4">
              <w:t>парентность с обеих сторон, готовность искать пути поощрения постоя</w:t>
            </w:r>
            <w:r w:rsidR="008E0BD4" w:rsidRPr="008E0BD4">
              <w:t>н</w:t>
            </w:r>
            <w:r w:rsidR="008E0BD4" w:rsidRPr="008E0BD4">
              <w:t>ного диалога для постепенного улучшения отношений и признание того, что укрепление взаимоотношений − это постоянный процесс;</w:t>
            </w:r>
          </w:p>
        </w:tc>
      </w:tr>
      <w:tr w:rsidR="003C70B4" w:rsidTr="008D1267">
        <w:tc>
          <w:tcPr>
            <w:tcW w:w="9855" w:type="dxa"/>
            <w:tcBorders>
              <w:top w:val="nil"/>
              <w:bottom w:val="nil"/>
            </w:tcBorders>
            <w:shd w:val="clear" w:color="auto" w:fill="auto"/>
          </w:tcPr>
          <w:p w:rsidR="008E0BD4" w:rsidRPr="008E0BD4" w:rsidRDefault="00AD1F1E" w:rsidP="008D1267">
            <w:pPr>
              <w:pStyle w:val="Bullet1GR"/>
            </w:pPr>
            <w:r w:rsidRPr="008E0BD4">
              <w:t>о</w:t>
            </w:r>
            <w:r w:rsidR="008E0BD4" w:rsidRPr="008E0BD4">
              <w:t>тношения между компаниями и гражданским обществом, как правило, ориентированы на решение конкретных правозащитных проблем в ко</w:t>
            </w:r>
            <w:r w:rsidR="008E0BD4" w:rsidRPr="008E0BD4">
              <w:t>н</w:t>
            </w:r>
            <w:r w:rsidR="008E0BD4" w:rsidRPr="008E0BD4">
              <w:t>кретных ситуациях. Часто для этого есть весомые практические причины, и это не противоречит тому, что компании, как предполагается, должны быть в то же время информированы о полном спектре воздействия их д</w:t>
            </w:r>
            <w:r w:rsidR="008E0BD4" w:rsidRPr="008E0BD4">
              <w:t>е</w:t>
            </w:r>
            <w:r w:rsidR="008E0BD4" w:rsidRPr="008E0BD4">
              <w:t>ятельности на права человека;</w:t>
            </w:r>
          </w:p>
          <w:p w:rsidR="008E0BD4" w:rsidRPr="008E0BD4" w:rsidRDefault="00AD1F1E" w:rsidP="008D1267">
            <w:pPr>
              <w:pStyle w:val="Bullet1GR"/>
            </w:pPr>
            <w:r w:rsidRPr="008E0BD4">
              <w:t>о</w:t>
            </w:r>
            <w:r w:rsidR="008E0BD4" w:rsidRPr="008E0BD4">
              <w:t>пыт показывает, что конструктивное взаимодействие может привести к принятию компаниями на местах конкретных мер в течение относительно короткого времени;</w:t>
            </w:r>
          </w:p>
          <w:p w:rsidR="008E0BD4" w:rsidRPr="008E0BD4" w:rsidRDefault="00AD1F1E" w:rsidP="008D1267">
            <w:pPr>
              <w:pStyle w:val="Bullet1GR"/>
            </w:pPr>
            <w:r w:rsidRPr="008E0BD4">
              <w:t>х</w:t>
            </w:r>
            <w:r w:rsidR="008E0BD4" w:rsidRPr="008E0BD4">
              <w:t>орошие отношения между компаниями и неправительственными орган</w:t>
            </w:r>
            <w:r w:rsidR="008E0BD4" w:rsidRPr="008E0BD4">
              <w:t>и</w:t>
            </w:r>
            <w:r w:rsidR="008E0BD4" w:rsidRPr="008E0BD4">
              <w:t>зациями должны способствовать дальнейшему укреплению − а не з</w:t>
            </w:r>
            <w:r w:rsidR="008E0BD4" w:rsidRPr="008E0BD4">
              <w:t>а</w:t>
            </w:r>
            <w:r w:rsidR="008E0BD4" w:rsidRPr="008E0BD4">
              <w:t>мене</w:t>
            </w:r>
            <w:r>
              <w:rPr>
                <w:lang w:val="en-US"/>
              </w:rPr>
              <w:t> </w:t>
            </w:r>
            <w:r w:rsidR="008E0BD4" w:rsidRPr="008E0BD4">
              <w:t>− взаимодействия, особенно с заинтересованными сторонами гра</w:t>
            </w:r>
            <w:r w:rsidR="008E0BD4" w:rsidRPr="008E0BD4">
              <w:t>ж</w:t>
            </w:r>
            <w:r w:rsidR="008E0BD4" w:rsidRPr="008E0BD4">
              <w:t>данского общества на местном уровне;</w:t>
            </w:r>
          </w:p>
          <w:p w:rsidR="003C70B4" w:rsidRDefault="00AD1F1E" w:rsidP="008D1267">
            <w:pPr>
              <w:pStyle w:val="Bullet1GR"/>
            </w:pPr>
            <w:r w:rsidRPr="008E0BD4">
              <w:t>у</w:t>
            </w:r>
            <w:r w:rsidR="008E0BD4" w:rsidRPr="008E0BD4">
              <w:t>частие правительства необходимо и будет способствовать формиров</w:t>
            </w:r>
            <w:r w:rsidR="008E0BD4" w:rsidRPr="008E0BD4">
              <w:t>а</w:t>
            </w:r>
            <w:r w:rsidR="008E0BD4" w:rsidRPr="008E0BD4">
              <w:t>нию взаимоотношений между неправительственными организациями и деловыми кругами.</w:t>
            </w:r>
          </w:p>
        </w:tc>
      </w:tr>
      <w:tr w:rsidR="003C70B4" w:rsidTr="008D1267">
        <w:tc>
          <w:tcPr>
            <w:tcW w:w="9855" w:type="dxa"/>
            <w:tcBorders>
              <w:top w:val="nil"/>
            </w:tcBorders>
            <w:shd w:val="clear" w:color="auto" w:fill="auto"/>
          </w:tcPr>
          <w:p w:rsidR="003C70B4" w:rsidRDefault="008D1267" w:rsidP="008D1267">
            <w:pPr>
              <w:pStyle w:val="SingleTxtGR"/>
              <w:keepNext/>
              <w:rPr>
                <w:lang w:eastAsia="ru-RU"/>
              </w:rPr>
            </w:pPr>
            <w:r w:rsidRPr="008D1267">
              <w:rPr>
                <w:lang w:eastAsia="ru-RU"/>
              </w:rPr>
              <w:lastRenderedPageBreak/>
              <w:tab/>
            </w:r>
            <w:r w:rsidRPr="008E0BD4">
              <w:rPr>
                <w:lang w:eastAsia="ru-RU"/>
              </w:rPr>
              <w:t>В рамках своих основных рекомендаций на будущее Рабочая группа пр</w:t>
            </w:r>
            <w:r w:rsidRPr="008E0BD4">
              <w:rPr>
                <w:lang w:eastAsia="ru-RU"/>
              </w:rPr>
              <w:t>и</w:t>
            </w:r>
            <w:r w:rsidRPr="008E0BD4">
              <w:rPr>
                <w:lang w:eastAsia="ru-RU"/>
              </w:rPr>
              <w:t>зывает большее число компаний и неправительственных организаций открыто обмениваться примерами принятых мер по реализации второго компонента Р</w:t>
            </w:r>
            <w:r w:rsidRPr="008E0BD4">
              <w:rPr>
                <w:lang w:eastAsia="ru-RU"/>
              </w:rPr>
              <w:t>у</w:t>
            </w:r>
            <w:r w:rsidRPr="008E0BD4">
              <w:rPr>
                <w:lang w:eastAsia="ru-RU"/>
              </w:rPr>
              <w:t>ководящих принципов и совместных усилий по решению проблем в конкретных ситуациях и контекстах как на ежегодном Форуме, так в рамках других мер</w:t>
            </w:r>
            <w:r w:rsidRPr="008E0BD4">
              <w:rPr>
                <w:lang w:eastAsia="ru-RU"/>
              </w:rPr>
              <w:t>о</w:t>
            </w:r>
            <w:r w:rsidRPr="008E0BD4">
              <w:rPr>
                <w:lang w:eastAsia="ru-RU"/>
              </w:rPr>
              <w:t>приятий. Такой диалог и обмен опытом, в которых должны также участвовать правительства, могут в значительной степени стимулировать дальнейшее ра</w:t>
            </w:r>
            <w:r w:rsidRPr="008E0BD4">
              <w:rPr>
                <w:lang w:eastAsia="ru-RU"/>
              </w:rPr>
              <w:t>с</w:t>
            </w:r>
            <w:r w:rsidRPr="008E0BD4">
              <w:rPr>
                <w:lang w:eastAsia="ru-RU"/>
              </w:rPr>
              <w:t>пространение информации и инновационного взаимодействия между неправ</w:t>
            </w:r>
            <w:r w:rsidRPr="008E0BD4">
              <w:rPr>
                <w:lang w:eastAsia="ru-RU"/>
              </w:rPr>
              <w:t>и</w:t>
            </w:r>
            <w:r w:rsidRPr="008E0BD4">
              <w:rPr>
                <w:lang w:eastAsia="ru-RU"/>
              </w:rPr>
              <w:t>тельственными организациями и деловыми кругами в целях устранения и нед</w:t>
            </w:r>
            <w:r w:rsidRPr="008E0BD4">
              <w:rPr>
                <w:lang w:eastAsia="ru-RU"/>
              </w:rPr>
              <w:t>о</w:t>
            </w:r>
            <w:r w:rsidRPr="008E0BD4">
              <w:rPr>
                <w:lang w:eastAsia="ru-RU"/>
              </w:rPr>
              <w:t>пущения негативных последствий предпринимательской деятельности для прав человека.</w:t>
            </w:r>
          </w:p>
        </w:tc>
      </w:tr>
    </w:tbl>
    <w:p w:rsidR="003C70B4" w:rsidRPr="003C70B4" w:rsidRDefault="003C70B4" w:rsidP="003C70B4">
      <w:pPr>
        <w:rPr>
          <w:lang w:eastAsia="ru-RU"/>
        </w:rPr>
      </w:pPr>
    </w:p>
    <w:p w:rsidR="003C70B4" w:rsidRPr="003C70B4" w:rsidRDefault="008E0BD4" w:rsidP="008E0BD4">
      <w:pPr>
        <w:pStyle w:val="HChGR"/>
      </w:pPr>
      <w:r>
        <w:br w:type="page"/>
      </w:r>
      <w:r w:rsidR="003C70B4" w:rsidRPr="003C70B4">
        <w:lastRenderedPageBreak/>
        <w:t>Приложение</w:t>
      </w:r>
    </w:p>
    <w:p w:rsidR="008E0BD4" w:rsidRPr="00323E4C" w:rsidRDefault="003C70B4" w:rsidP="008E0BD4">
      <w:pPr>
        <w:pStyle w:val="SingleTxtGR"/>
        <w:jc w:val="right"/>
        <w:rPr>
          <w:i/>
        </w:rPr>
      </w:pPr>
      <w:r w:rsidRPr="008E0BD4">
        <w:rPr>
          <w:i/>
        </w:rPr>
        <w:t>[Только на английском языке]</w:t>
      </w:r>
    </w:p>
    <w:p w:rsidR="008E0BD4" w:rsidRDefault="008E0BD4" w:rsidP="008E0BD4">
      <w:pPr>
        <w:pStyle w:val="HChG"/>
      </w:pPr>
      <w:r w:rsidRPr="00323E4C">
        <w:rPr>
          <w:lang w:val="ru-RU"/>
        </w:rPr>
        <w:tab/>
      </w:r>
      <w:r w:rsidRPr="00323E4C">
        <w:rPr>
          <w:lang w:val="ru-RU"/>
        </w:rPr>
        <w:tab/>
      </w:r>
      <w:r w:rsidRPr="00DD13AC">
        <w:t xml:space="preserve">Identifying emerging approaches and lessons learned </w:t>
      </w:r>
      <w:r>
        <w:t>in c</w:t>
      </w:r>
      <w:r w:rsidRPr="00DD13AC">
        <w:t xml:space="preserve">orporate respect for human rights: </w:t>
      </w:r>
      <w:r>
        <w:t>r</w:t>
      </w:r>
      <w:r w:rsidRPr="00DD13AC">
        <w:t>eflections from discussions held at the 2014 Forum on Business and Human Rights</w:t>
      </w:r>
    </w:p>
    <w:p w:rsidR="008E0BD4" w:rsidRPr="008E0BD4" w:rsidRDefault="008E0BD4" w:rsidP="008E0BD4">
      <w:pPr>
        <w:spacing w:after="120"/>
        <w:rPr>
          <w:sz w:val="28"/>
          <w:lang w:val="en-US"/>
        </w:rPr>
      </w:pPr>
      <w:r w:rsidRPr="008E0BD4">
        <w:rPr>
          <w:sz w:val="28"/>
          <w:lang w:val="en-US"/>
        </w:rPr>
        <w:t>Contents</w:t>
      </w:r>
    </w:p>
    <w:p w:rsidR="008E0BD4" w:rsidRPr="008E0BD4" w:rsidRDefault="008E0BD4" w:rsidP="008E0BD4">
      <w:pPr>
        <w:tabs>
          <w:tab w:val="right" w:pos="8929"/>
          <w:tab w:val="right" w:pos="9638"/>
        </w:tabs>
        <w:spacing w:after="120"/>
        <w:ind w:left="283"/>
        <w:rPr>
          <w:lang w:val="en-US"/>
        </w:rPr>
      </w:pPr>
      <w:r w:rsidRPr="008E0BD4">
        <w:rPr>
          <w:i/>
          <w:sz w:val="18"/>
          <w:lang w:val="en-US"/>
        </w:rPr>
        <w:tab/>
        <w:t>Paragraphs</w:t>
      </w:r>
      <w:r w:rsidRPr="008E0BD4">
        <w:rPr>
          <w:i/>
          <w:sz w:val="18"/>
          <w:lang w:val="en-US"/>
        </w:rPr>
        <w:tab/>
        <w:t>Page</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t>I.</w:t>
      </w:r>
      <w:r w:rsidRPr="008E0BD4">
        <w:rPr>
          <w:color w:val="000000"/>
          <w:lang w:val="en-US"/>
        </w:rPr>
        <w:tab/>
        <w:t xml:space="preserve">Introduction and background </w:t>
      </w:r>
      <w:r w:rsidRPr="008E0BD4">
        <w:rPr>
          <w:color w:val="000000"/>
          <w:lang w:val="en-US"/>
        </w:rPr>
        <w:tab/>
      </w:r>
      <w:r w:rsidRPr="008E0BD4">
        <w:rPr>
          <w:color w:val="000000"/>
          <w:lang w:val="en-US"/>
        </w:rPr>
        <w:tab/>
        <w:t>1–7</w:t>
      </w:r>
      <w:r w:rsidRPr="008E0BD4">
        <w:rPr>
          <w:color w:val="000000"/>
          <w:lang w:val="en-US"/>
        </w:rPr>
        <w:tab/>
      </w:r>
      <w:r w:rsidR="00AD1F1E">
        <w:rPr>
          <w:color w:val="000000"/>
          <w:lang w:val="en-US"/>
        </w:rPr>
        <w:t>6</w:t>
      </w:r>
    </w:p>
    <w:p w:rsidR="008E0BD4" w:rsidRPr="008E0BD4" w:rsidRDefault="008E0BD4" w:rsidP="008E0BD4">
      <w:pPr>
        <w:tabs>
          <w:tab w:val="right" w:pos="850"/>
          <w:tab w:val="left" w:pos="1134"/>
          <w:tab w:val="left" w:pos="1559"/>
          <w:tab w:val="left" w:pos="1843"/>
          <w:tab w:val="left" w:leader="dot" w:pos="7654"/>
          <w:tab w:val="right" w:pos="8929"/>
          <w:tab w:val="right" w:pos="9638"/>
        </w:tabs>
        <w:spacing w:after="120"/>
        <w:rPr>
          <w:color w:val="000000"/>
          <w:lang w:val="en-US"/>
        </w:rPr>
      </w:pPr>
      <w:r w:rsidRPr="008E0BD4">
        <w:rPr>
          <w:color w:val="000000"/>
          <w:lang w:val="en-US"/>
        </w:rPr>
        <w:tab/>
        <w:t>II.</w:t>
      </w:r>
      <w:r w:rsidRPr="008E0BD4">
        <w:rPr>
          <w:color w:val="000000"/>
          <w:lang w:val="en-US"/>
        </w:rPr>
        <w:tab/>
      </w:r>
      <w:r w:rsidRPr="008E0BD4">
        <w:rPr>
          <w:lang w:val="en-US"/>
        </w:rPr>
        <w:t xml:space="preserve">Introductory reflections on the discussion on respect </w:t>
      </w:r>
      <w:r w:rsidRPr="008E0BD4">
        <w:rPr>
          <w:color w:val="000000"/>
          <w:lang w:val="en-US"/>
        </w:rPr>
        <w:tab/>
      </w:r>
      <w:r w:rsidRPr="008E0BD4">
        <w:rPr>
          <w:color w:val="000000"/>
          <w:lang w:val="en-US"/>
        </w:rPr>
        <w:tab/>
        <w:t>8–11</w:t>
      </w:r>
      <w:r w:rsidRPr="008E0BD4">
        <w:rPr>
          <w:color w:val="000000"/>
          <w:lang w:val="en-US"/>
        </w:rPr>
        <w:tab/>
      </w:r>
      <w:r w:rsidR="00AD1F1E">
        <w:rPr>
          <w:color w:val="000000"/>
          <w:lang w:val="en-US"/>
        </w:rPr>
        <w:t>7</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t>III.</w:t>
      </w:r>
      <w:r w:rsidRPr="008E0BD4">
        <w:rPr>
          <w:color w:val="000000"/>
          <w:lang w:val="en-US"/>
        </w:rPr>
        <w:tab/>
      </w:r>
      <w:r w:rsidRPr="008E0BD4">
        <w:rPr>
          <w:lang w:val="en-US"/>
        </w:rPr>
        <w:t>Examples of companies’ efforts to integrate human rights in policies</w:t>
      </w:r>
      <w:r w:rsidRPr="008E0BD4">
        <w:rPr>
          <w:lang w:val="en-US"/>
        </w:rPr>
        <w:br/>
      </w:r>
      <w:r w:rsidRPr="008E0BD4">
        <w:rPr>
          <w:lang w:val="en-US"/>
        </w:rPr>
        <w:tab/>
      </w:r>
      <w:r w:rsidRPr="008E0BD4">
        <w:rPr>
          <w:lang w:val="en-US"/>
        </w:rPr>
        <w:tab/>
        <w:t xml:space="preserve">and processes </w:t>
      </w:r>
      <w:r w:rsidRPr="008E0BD4">
        <w:rPr>
          <w:color w:val="000000"/>
          <w:lang w:val="en-US"/>
        </w:rPr>
        <w:tab/>
      </w:r>
      <w:r w:rsidRPr="008E0BD4">
        <w:rPr>
          <w:color w:val="000000"/>
          <w:lang w:val="en-US"/>
        </w:rPr>
        <w:tab/>
        <w:t>12–24</w:t>
      </w:r>
      <w:r w:rsidRPr="008E0BD4">
        <w:rPr>
          <w:color w:val="000000"/>
          <w:lang w:val="en-US"/>
        </w:rPr>
        <w:tab/>
      </w:r>
      <w:r w:rsidR="00AD1F1E">
        <w:rPr>
          <w:color w:val="000000"/>
          <w:lang w:val="en-US"/>
        </w:rPr>
        <w:t>8</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A.</w:t>
      </w:r>
      <w:r w:rsidRPr="008E0BD4">
        <w:rPr>
          <w:color w:val="000000"/>
          <w:lang w:val="en-US"/>
        </w:rPr>
        <w:tab/>
        <w:t xml:space="preserve">Introduction </w:t>
      </w:r>
      <w:r w:rsidRPr="008E0BD4">
        <w:rPr>
          <w:color w:val="000000"/>
          <w:lang w:val="en-US"/>
        </w:rPr>
        <w:tab/>
      </w:r>
      <w:r w:rsidRPr="008E0BD4">
        <w:rPr>
          <w:color w:val="000000"/>
          <w:lang w:val="en-US"/>
        </w:rPr>
        <w:tab/>
        <w:t>12</w:t>
      </w:r>
      <w:r w:rsidRPr="008E0BD4">
        <w:rPr>
          <w:color w:val="000000"/>
          <w:lang w:val="en-US"/>
        </w:rPr>
        <w:tab/>
      </w:r>
      <w:r w:rsidR="00AD1F1E">
        <w:rPr>
          <w:color w:val="000000"/>
          <w:lang w:val="en-US"/>
        </w:rPr>
        <w:t>8</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B.</w:t>
      </w:r>
      <w:r w:rsidRPr="008E0BD4">
        <w:rPr>
          <w:color w:val="000000"/>
          <w:lang w:val="en-US"/>
        </w:rPr>
        <w:tab/>
        <w:t xml:space="preserve">Policy development and senior management buy-in </w:t>
      </w:r>
      <w:r w:rsidRPr="008E0BD4">
        <w:rPr>
          <w:color w:val="000000"/>
          <w:lang w:val="en-US"/>
        </w:rPr>
        <w:tab/>
      </w:r>
      <w:r w:rsidRPr="008E0BD4">
        <w:rPr>
          <w:color w:val="000000"/>
          <w:lang w:val="en-US"/>
        </w:rPr>
        <w:tab/>
        <w:t>13</w:t>
      </w:r>
      <w:r w:rsidRPr="008E0BD4">
        <w:rPr>
          <w:color w:val="000000"/>
          <w:lang w:val="en-US"/>
        </w:rPr>
        <w:tab/>
      </w:r>
      <w:r w:rsidR="00AD1F1E">
        <w:rPr>
          <w:color w:val="000000"/>
          <w:lang w:val="en-US"/>
        </w:rPr>
        <w:t>8</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C.</w:t>
      </w:r>
      <w:r w:rsidRPr="008E0BD4">
        <w:rPr>
          <w:color w:val="000000"/>
          <w:lang w:val="en-US"/>
        </w:rPr>
        <w:tab/>
        <w:t xml:space="preserve">Corporate-wide impact and risk mapping </w:t>
      </w:r>
      <w:r w:rsidRPr="008E0BD4">
        <w:rPr>
          <w:color w:val="000000"/>
          <w:lang w:val="en-US"/>
        </w:rPr>
        <w:tab/>
      </w:r>
      <w:r w:rsidRPr="008E0BD4">
        <w:rPr>
          <w:color w:val="000000"/>
          <w:lang w:val="en-US"/>
        </w:rPr>
        <w:tab/>
        <w:t>14</w:t>
      </w:r>
      <w:r w:rsidRPr="008E0BD4">
        <w:rPr>
          <w:color w:val="000000"/>
          <w:lang w:val="en-US"/>
        </w:rPr>
        <w:tab/>
      </w:r>
      <w:r w:rsidR="00AD1F1E">
        <w:rPr>
          <w:color w:val="000000"/>
          <w:lang w:val="en-US"/>
        </w:rPr>
        <w:t>9</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D.</w:t>
      </w:r>
      <w:r w:rsidRPr="008E0BD4">
        <w:rPr>
          <w:color w:val="000000"/>
          <w:lang w:val="en-US"/>
        </w:rPr>
        <w:tab/>
        <w:t xml:space="preserve">Internal human rights training and capacity-building </w:t>
      </w:r>
      <w:r w:rsidRPr="008E0BD4">
        <w:rPr>
          <w:color w:val="000000"/>
          <w:lang w:val="en-US"/>
        </w:rPr>
        <w:tab/>
      </w:r>
      <w:r w:rsidRPr="008E0BD4">
        <w:rPr>
          <w:color w:val="000000"/>
          <w:lang w:val="en-US"/>
        </w:rPr>
        <w:tab/>
        <w:t>15</w:t>
      </w:r>
      <w:r w:rsidRPr="008E0BD4">
        <w:rPr>
          <w:color w:val="000000"/>
          <w:lang w:val="en-US"/>
        </w:rPr>
        <w:tab/>
      </w:r>
      <w:r w:rsidR="00AD1F1E">
        <w:rPr>
          <w:color w:val="000000"/>
          <w:lang w:val="en-US"/>
        </w:rPr>
        <w:t>9</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E.</w:t>
      </w:r>
      <w:r w:rsidRPr="008E0BD4">
        <w:rPr>
          <w:color w:val="000000"/>
          <w:lang w:val="en-US"/>
        </w:rPr>
        <w:tab/>
        <w:t xml:space="preserve">Effectiveness of operational-level grievance mechanisms </w:t>
      </w:r>
      <w:r w:rsidRPr="008E0BD4">
        <w:rPr>
          <w:color w:val="000000"/>
          <w:lang w:val="en-US"/>
        </w:rPr>
        <w:tab/>
      </w:r>
      <w:r w:rsidRPr="008E0BD4">
        <w:rPr>
          <w:color w:val="000000"/>
          <w:lang w:val="en-US"/>
        </w:rPr>
        <w:tab/>
        <w:t>16–17</w:t>
      </w:r>
      <w:r w:rsidRPr="008E0BD4">
        <w:rPr>
          <w:color w:val="000000"/>
          <w:lang w:val="en-US"/>
        </w:rPr>
        <w:tab/>
        <w:t>9</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F.</w:t>
      </w:r>
      <w:r w:rsidRPr="008E0BD4">
        <w:rPr>
          <w:color w:val="000000"/>
          <w:lang w:val="en-US"/>
        </w:rPr>
        <w:tab/>
        <w:t xml:space="preserve">General observations from the discussion on embedding the Guiding </w:t>
      </w:r>
      <w:r w:rsidRPr="008E0BD4">
        <w:rPr>
          <w:color w:val="000000"/>
          <w:lang w:val="en-US"/>
        </w:rPr>
        <w:br/>
      </w:r>
      <w:r w:rsidRPr="008E0BD4">
        <w:rPr>
          <w:color w:val="000000"/>
          <w:lang w:val="en-US"/>
        </w:rPr>
        <w:tab/>
      </w:r>
      <w:r w:rsidRPr="008E0BD4">
        <w:rPr>
          <w:color w:val="000000"/>
          <w:lang w:val="en-US"/>
        </w:rPr>
        <w:tab/>
      </w:r>
      <w:r w:rsidRPr="008E0BD4">
        <w:rPr>
          <w:color w:val="000000"/>
          <w:lang w:val="en-US"/>
        </w:rPr>
        <w:tab/>
        <w:t xml:space="preserve">Principles in </w:t>
      </w:r>
      <w:r w:rsidRPr="008E0BD4">
        <w:rPr>
          <w:lang w:val="en-US"/>
        </w:rPr>
        <w:t xml:space="preserve">company policies, processes and </w:t>
      </w:r>
      <w:r w:rsidRPr="008E0BD4">
        <w:rPr>
          <w:color w:val="000000"/>
          <w:lang w:val="en-US"/>
        </w:rPr>
        <w:t xml:space="preserve">decision-making </w:t>
      </w:r>
      <w:r w:rsidRPr="008E0BD4">
        <w:rPr>
          <w:color w:val="000000"/>
          <w:lang w:val="en-US"/>
        </w:rPr>
        <w:tab/>
      </w:r>
      <w:r w:rsidRPr="008E0BD4">
        <w:rPr>
          <w:color w:val="000000"/>
          <w:lang w:val="en-US"/>
        </w:rPr>
        <w:tab/>
        <w:t>18–24</w:t>
      </w:r>
      <w:r w:rsidRPr="008E0BD4">
        <w:rPr>
          <w:color w:val="000000"/>
          <w:lang w:val="en-US"/>
        </w:rPr>
        <w:tab/>
      </w:r>
      <w:r w:rsidR="003936D0">
        <w:rPr>
          <w:color w:val="000000"/>
          <w:lang w:val="en-US"/>
        </w:rPr>
        <w:t>10</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t>IV.</w:t>
      </w:r>
      <w:r w:rsidRPr="008E0BD4">
        <w:rPr>
          <w:color w:val="000000"/>
          <w:lang w:val="en-US"/>
        </w:rPr>
        <w:tab/>
      </w:r>
      <w:r w:rsidRPr="008E0BD4">
        <w:rPr>
          <w:lang w:val="en-US"/>
        </w:rPr>
        <w:t>Examples of engagement between non-governmental organizations</w:t>
      </w:r>
      <w:r w:rsidRPr="008E0BD4">
        <w:rPr>
          <w:lang w:val="en-US"/>
        </w:rPr>
        <w:br/>
      </w:r>
      <w:r w:rsidRPr="008E0BD4">
        <w:rPr>
          <w:lang w:val="en-US"/>
        </w:rPr>
        <w:tab/>
      </w:r>
      <w:r w:rsidRPr="008E0BD4">
        <w:rPr>
          <w:lang w:val="en-US"/>
        </w:rPr>
        <w:tab/>
        <w:t>and business to advance implementation of the corporate responsibility</w:t>
      </w:r>
      <w:r w:rsidRPr="008E0BD4">
        <w:rPr>
          <w:lang w:val="en-US"/>
        </w:rPr>
        <w:br/>
      </w:r>
      <w:r w:rsidRPr="008E0BD4">
        <w:rPr>
          <w:lang w:val="en-US"/>
        </w:rPr>
        <w:tab/>
      </w:r>
      <w:r w:rsidRPr="008E0BD4">
        <w:rPr>
          <w:lang w:val="en-US"/>
        </w:rPr>
        <w:tab/>
        <w:t>to respect</w:t>
      </w:r>
      <w:r w:rsidRPr="008E0BD4">
        <w:rPr>
          <w:lang w:val="en-US"/>
        </w:rPr>
        <w:tab/>
        <w:t>human rights</w:t>
      </w:r>
      <w:r w:rsidRPr="008E0BD4">
        <w:rPr>
          <w:color w:val="000000"/>
          <w:lang w:val="en-US"/>
        </w:rPr>
        <w:tab/>
      </w:r>
      <w:r w:rsidRPr="008E0BD4">
        <w:rPr>
          <w:color w:val="000000"/>
          <w:lang w:val="en-US"/>
        </w:rPr>
        <w:tab/>
        <w:t>25–62</w:t>
      </w:r>
      <w:r w:rsidRPr="008E0BD4">
        <w:rPr>
          <w:color w:val="000000"/>
          <w:lang w:val="en-US"/>
        </w:rPr>
        <w:tab/>
        <w:t>1</w:t>
      </w:r>
      <w:r w:rsidR="003936D0">
        <w:rPr>
          <w:color w:val="000000"/>
          <w:lang w:val="en-US"/>
        </w:rPr>
        <w:t>2</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A.</w:t>
      </w:r>
      <w:r w:rsidRPr="008E0BD4">
        <w:rPr>
          <w:color w:val="000000"/>
          <w:lang w:val="en-US"/>
        </w:rPr>
        <w:tab/>
        <w:t xml:space="preserve">Introduction </w:t>
      </w:r>
      <w:r w:rsidRPr="008E0BD4">
        <w:rPr>
          <w:color w:val="000000"/>
          <w:lang w:val="en-US"/>
        </w:rPr>
        <w:tab/>
      </w:r>
      <w:r w:rsidRPr="008E0BD4">
        <w:rPr>
          <w:color w:val="000000"/>
          <w:lang w:val="en-US"/>
        </w:rPr>
        <w:tab/>
        <w:t>25</w:t>
      </w:r>
      <w:r w:rsidRPr="008E0BD4">
        <w:rPr>
          <w:color w:val="000000"/>
          <w:lang w:val="en-US"/>
        </w:rPr>
        <w:tab/>
        <w:t>1</w:t>
      </w:r>
      <w:r w:rsidR="003936D0">
        <w:rPr>
          <w:color w:val="000000"/>
          <w:lang w:val="en-US"/>
        </w:rPr>
        <w:t>2</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B.</w:t>
      </w:r>
      <w:r w:rsidRPr="008E0BD4">
        <w:rPr>
          <w:color w:val="000000"/>
          <w:lang w:val="en-US"/>
        </w:rPr>
        <w:tab/>
        <w:t xml:space="preserve">Community relocation in the context of mining in Mozambique </w:t>
      </w:r>
      <w:r w:rsidRPr="008E0BD4">
        <w:rPr>
          <w:color w:val="000000"/>
          <w:lang w:val="en-US"/>
        </w:rPr>
        <w:tab/>
      </w:r>
      <w:r w:rsidRPr="008E0BD4">
        <w:rPr>
          <w:color w:val="000000"/>
          <w:lang w:val="en-US"/>
        </w:rPr>
        <w:tab/>
        <w:t>26–35</w:t>
      </w:r>
      <w:r w:rsidRPr="008E0BD4">
        <w:rPr>
          <w:color w:val="000000"/>
          <w:lang w:val="en-US"/>
        </w:rPr>
        <w:tab/>
        <w:t>1</w:t>
      </w:r>
      <w:r w:rsidR="003936D0">
        <w:rPr>
          <w:color w:val="000000"/>
          <w:lang w:val="en-US"/>
        </w:rPr>
        <w:t>3</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C.</w:t>
      </w:r>
      <w:r w:rsidRPr="008E0BD4">
        <w:rPr>
          <w:color w:val="000000"/>
          <w:lang w:val="en-US"/>
        </w:rPr>
        <w:tab/>
        <w:t xml:space="preserve">Child </w:t>
      </w:r>
      <w:proofErr w:type="spellStart"/>
      <w:r w:rsidRPr="008E0BD4">
        <w:rPr>
          <w:color w:val="000000"/>
          <w:lang w:val="en-US"/>
        </w:rPr>
        <w:t>labour</w:t>
      </w:r>
      <w:proofErr w:type="spellEnd"/>
      <w:r w:rsidRPr="008E0BD4">
        <w:rPr>
          <w:color w:val="000000"/>
          <w:lang w:val="en-US"/>
        </w:rPr>
        <w:t xml:space="preserve"> and women’s rights on West African cocoa farms </w:t>
      </w:r>
      <w:r w:rsidRPr="008E0BD4">
        <w:rPr>
          <w:color w:val="000000"/>
          <w:lang w:val="en-US"/>
        </w:rPr>
        <w:tab/>
      </w:r>
      <w:r w:rsidRPr="008E0BD4">
        <w:rPr>
          <w:color w:val="000000"/>
          <w:lang w:val="en-US"/>
        </w:rPr>
        <w:tab/>
        <w:t>36–45</w:t>
      </w:r>
      <w:r w:rsidRPr="008E0BD4">
        <w:rPr>
          <w:color w:val="000000"/>
          <w:lang w:val="en-US"/>
        </w:rPr>
        <w:tab/>
        <w:t>1</w:t>
      </w:r>
      <w:r w:rsidR="003936D0">
        <w:rPr>
          <w:color w:val="000000"/>
          <w:lang w:val="en-US"/>
        </w:rPr>
        <w:t>5</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D.</w:t>
      </w:r>
      <w:r w:rsidRPr="008E0BD4">
        <w:rPr>
          <w:color w:val="000000"/>
          <w:lang w:val="en-US"/>
        </w:rPr>
        <w:tab/>
        <w:t xml:space="preserve">Applying global framework agreements locally through mutual </w:t>
      </w:r>
      <w:r w:rsidRPr="008E0BD4">
        <w:rPr>
          <w:color w:val="000000"/>
          <w:lang w:val="en-US"/>
        </w:rPr>
        <w:br/>
      </w:r>
      <w:r w:rsidRPr="008E0BD4">
        <w:rPr>
          <w:color w:val="000000"/>
          <w:lang w:val="en-US"/>
        </w:rPr>
        <w:tab/>
      </w:r>
      <w:r w:rsidRPr="008E0BD4">
        <w:rPr>
          <w:color w:val="000000"/>
          <w:lang w:val="en-US"/>
        </w:rPr>
        <w:tab/>
      </w:r>
      <w:r w:rsidRPr="008E0BD4">
        <w:rPr>
          <w:color w:val="000000"/>
          <w:lang w:val="en-US"/>
        </w:rPr>
        <w:tab/>
        <w:t xml:space="preserve">responsibility in the textile sector </w:t>
      </w:r>
      <w:r w:rsidRPr="008E0BD4">
        <w:rPr>
          <w:color w:val="000000"/>
          <w:lang w:val="en-US"/>
        </w:rPr>
        <w:tab/>
      </w:r>
      <w:r w:rsidRPr="008E0BD4">
        <w:rPr>
          <w:color w:val="000000"/>
          <w:lang w:val="en-US"/>
        </w:rPr>
        <w:tab/>
        <w:t>46–51</w:t>
      </w:r>
      <w:r w:rsidRPr="008E0BD4">
        <w:rPr>
          <w:color w:val="000000"/>
          <w:lang w:val="en-US"/>
        </w:rPr>
        <w:tab/>
        <w:t>1</w:t>
      </w:r>
      <w:r w:rsidR="003936D0">
        <w:rPr>
          <w:color w:val="000000"/>
          <w:lang w:val="en-US"/>
        </w:rPr>
        <w:t>7</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E.</w:t>
      </w:r>
      <w:r w:rsidRPr="008E0BD4">
        <w:rPr>
          <w:color w:val="000000"/>
          <w:lang w:val="en-US"/>
        </w:rPr>
        <w:tab/>
        <w:t xml:space="preserve">Privacy and freedom of expression on the Internet </w:t>
      </w:r>
      <w:r w:rsidRPr="008E0BD4">
        <w:rPr>
          <w:color w:val="000000"/>
          <w:lang w:val="en-US"/>
        </w:rPr>
        <w:tab/>
      </w:r>
      <w:r w:rsidRPr="008E0BD4">
        <w:rPr>
          <w:color w:val="000000"/>
          <w:lang w:val="en-US"/>
        </w:rPr>
        <w:tab/>
        <w:t>52–55</w:t>
      </w:r>
      <w:r w:rsidRPr="008E0BD4">
        <w:rPr>
          <w:color w:val="000000"/>
          <w:lang w:val="en-US"/>
        </w:rPr>
        <w:tab/>
        <w:t>1</w:t>
      </w:r>
      <w:r w:rsidR="003936D0">
        <w:rPr>
          <w:color w:val="000000"/>
          <w:lang w:val="en-US"/>
        </w:rPr>
        <w:t>8</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F.</w:t>
      </w:r>
      <w:r w:rsidRPr="008E0BD4">
        <w:rPr>
          <w:color w:val="000000"/>
          <w:lang w:val="en-US"/>
        </w:rPr>
        <w:tab/>
        <w:t xml:space="preserve">Government perspectives </w:t>
      </w:r>
      <w:r w:rsidRPr="008E0BD4">
        <w:rPr>
          <w:color w:val="000000"/>
          <w:lang w:val="en-US"/>
        </w:rPr>
        <w:tab/>
      </w:r>
      <w:r w:rsidRPr="008E0BD4">
        <w:rPr>
          <w:color w:val="000000"/>
          <w:lang w:val="en-US"/>
        </w:rPr>
        <w:tab/>
        <w:t>56</w:t>
      </w:r>
      <w:r w:rsidRPr="008E0BD4">
        <w:rPr>
          <w:color w:val="000000"/>
          <w:lang w:val="en-US"/>
        </w:rPr>
        <w:tab/>
        <w:t>1</w:t>
      </w:r>
      <w:r w:rsidR="003936D0">
        <w:rPr>
          <w:color w:val="000000"/>
          <w:lang w:val="en-US"/>
        </w:rPr>
        <w:t>9</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r>
      <w:r w:rsidRPr="008E0BD4">
        <w:rPr>
          <w:color w:val="000000"/>
          <w:lang w:val="en-US"/>
        </w:rPr>
        <w:tab/>
        <w:t>G.</w:t>
      </w:r>
      <w:r w:rsidRPr="008E0BD4">
        <w:rPr>
          <w:color w:val="000000"/>
          <w:lang w:val="en-US"/>
        </w:rPr>
        <w:tab/>
        <w:t>General observations from the discussion on relationships between</w:t>
      </w:r>
      <w:r w:rsidRPr="008E0BD4">
        <w:rPr>
          <w:color w:val="000000"/>
          <w:lang w:val="en-US"/>
        </w:rPr>
        <w:br/>
      </w:r>
      <w:r w:rsidRPr="008E0BD4">
        <w:rPr>
          <w:color w:val="000000"/>
          <w:lang w:val="en-US"/>
        </w:rPr>
        <w:tab/>
      </w:r>
      <w:r w:rsidRPr="008E0BD4">
        <w:rPr>
          <w:color w:val="000000"/>
          <w:lang w:val="en-US"/>
        </w:rPr>
        <w:tab/>
      </w:r>
      <w:r w:rsidRPr="008E0BD4">
        <w:rPr>
          <w:color w:val="000000"/>
          <w:lang w:val="en-US"/>
        </w:rPr>
        <w:tab/>
        <w:t xml:space="preserve">civil society organizations and business </w:t>
      </w:r>
      <w:r w:rsidRPr="008E0BD4">
        <w:rPr>
          <w:color w:val="000000"/>
          <w:lang w:val="en-US"/>
        </w:rPr>
        <w:tab/>
      </w:r>
      <w:r w:rsidRPr="008E0BD4">
        <w:rPr>
          <w:color w:val="000000"/>
          <w:lang w:val="en-US"/>
        </w:rPr>
        <w:tab/>
        <w:t>57–62</w:t>
      </w:r>
      <w:r w:rsidRPr="008E0BD4">
        <w:rPr>
          <w:color w:val="000000"/>
          <w:lang w:val="en-US"/>
        </w:rPr>
        <w:tab/>
        <w:t>19</w:t>
      </w:r>
    </w:p>
    <w:p w:rsidR="008E0BD4" w:rsidRPr="008E0BD4" w:rsidRDefault="008E0BD4" w:rsidP="008E0BD4">
      <w:pPr>
        <w:tabs>
          <w:tab w:val="right" w:pos="850"/>
          <w:tab w:val="left" w:pos="1134"/>
          <w:tab w:val="left" w:pos="1559"/>
          <w:tab w:val="left" w:pos="1984"/>
          <w:tab w:val="left" w:leader="dot" w:pos="7654"/>
          <w:tab w:val="right" w:pos="8929"/>
          <w:tab w:val="right" w:pos="9638"/>
        </w:tabs>
        <w:spacing w:after="120"/>
        <w:rPr>
          <w:color w:val="000000"/>
          <w:lang w:val="en-US"/>
        </w:rPr>
      </w:pPr>
      <w:r w:rsidRPr="008E0BD4">
        <w:rPr>
          <w:color w:val="000000"/>
          <w:lang w:val="en-US"/>
        </w:rPr>
        <w:tab/>
        <w:t xml:space="preserve">V. </w:t>
      </w:r>
      <w:r w:rsidRPr="008E0BD4">
        <w:rPr>
          <w:color w:val="000000"/>
          <w:lang w:val="en-US"/>
        </w:rPr>
        <w:tab/>
        <w:t xml:space="preserve">Conclusions and recommendations </w:t>
      </w:r>
      <w:r w:rsidRPr="008E0BD4">
        <w:rPr>
          <w:color w:val="000000"/>
          <w:lang w:val="en-US"/>
        </w:rPr>
        <w:tab/>
      </w:r>
      <w:r w:rsidRPr="008E0BD4">
        <w:rPr>
          <w:color w:val="000000"/>
          <w:lang w:val="en-US"/>
        </w:rPr>
        <w:tab/>
        <w:t>63–68</w:t>
      </w:r>
      <w:r w:rsidRPr="008E0BD4">
        <w:rPr>
          <w:color w:val="000000"/>
          <w:lang w:val="en-US"/>
        </w:rPr>
        <w:tab/>
        <w:t>2</w:t>
      </w:r>
      <w:r w:rsidR="003936D0">
        <w:rPr>
          <w:color w:val="000000"/>
          <w:lang w:val="en-US"/>
        </w:rPr>
        <w:t>1</w:t>
      </w:r>
    </w:p>
    <w:p w:rsidR="008E0BD4" w:rsidRPr="00DD13AC" w:rsidRDefault="008E0BD4" w:rsidP="008E0BD4">
      <w:pPr>
        <w:pStyle w:val="HChG"/>
      </w:pPr>
      <w:r w:rsidRPr="00DD13AC">
        <w:br w:type="page"/>
      </w:r>
      <w:r w:rsidRPr="00DD13AC">
        <w:lastRenderedPageBreak/>
        <w:tab/>
        <w:t>I.</w:t>
      </w:r>
      <w:r w:rsidRPr="00DD13AC">
        <w:tab/>
        <w:t>Introduction and background</w:t>
      </w:r>
    </w:p>
    <w:p w:rsidR="008E0BD4" w:rsidRPr="00DD13AC" w:rsidRDefault="008E0BD4" w:rsidP="008E0BD4">
      <w:pPr>
        <w:pStyle w:val="SingleTxtG"/>
      </w:pPr>
      <w:r w:rsidRPr="00DD13AC">
        <w:rPr>
          <w:bCs/>
        </w:rPr>
        <w:t>1.</w:t>
      </w:r>
      <w:r w:rsidRPr="00DD13AC">
        <w:rPr>
          <w:bCs/>
        </w:rPr>
        <w:tab/>
      </w:r>
      <w:r w:rsidRPr="00DD13AC">
        <w:t xml:space="preserve">The </w:t>
      </w:r>
      <w:r w:rsidRPr="00DD13AC">
        <w:rPr>
          <w:rFonts w:eastAsia="Calibri"/>
        </w:rPr>
        <w:t>Guiding Principles on Business and Human Rights</w:t>
      </w:r>
      <w:r>
        <w:rPr>
          <w:rFonts w:eastAsia="Calibri"/>
        </w:rPr>
        <w:t>:</w:t>
      </w:r>
      <w:r w:rsidRPr="00DD13AC">
        <w:rPr>
          <w:rFonts w:eastAsia="Calibri"/>
        </w:rPr>
        <w:t xml:space="preserve"> </w:t>
      </w:r>
      <w:r>
        <w:rPr>
          <w:rFonts w:eastAsia="Calibri"/>
        </w:rPr>
        <w:t>I</w:t>
      </w:r>
      <w:r w:rsidRPr="00DD13AC">
        <w:rPr>
          <w:rFonts w:eastAsia="Calibri"/>
        </w:rPr>
        <w:t>mplementing the United Nations “Protect, Respect and Remedy” Framework</w:t>
      </w:r>
      <w:r w:rsidRPr="00DD13AC">
        <w:t xml:space="preserve"> clearly </w:t>
      </w:r>
      <w:r>
        <w:t>establish</w:t>
      </w:r>
      <w:r w:rsidRPr="00DD13AC">
        <w:t xml:space="preserve"> that all business enterprises have a responsibility to respect human rights. Understanding better what </w:t>
      </w:r>
      <w:r>
        <w:t>such</w:t>
      </w:r>
      <w:r w:rsidRPr="00DD13AC">
        <w:t xml:space="preserve"> respect for human rights m</w:t>
      </w:r>
      <w:r>
        <w:t>ight</w:t>
      </w:r>
      <w:r w:rsidRPr="00DD13AC">
        <w:t xml:space="preserve"> entail in terms of practical steps for companies in specific situations would </w:t>
      </w:r>
      <w:r>
        <w:t>constitute</w:t>
      </w:r>
      <w:r w:rsidRPr="00DD13AC">
        <w:t xml:space="preserve"> an important contribution to </w:t>
      </w:r>
      <w:r>
        <w:t>meeting</w:t>
      </w:r>
      <w:r w:rsidRPr="00DD13AC">
        <w:t xml:space="preserve"> th</w:t>
      </w:r>
      <w:r>
        <w:t>at</w:t>
      </w:r>
      <w:r w:rsidRPr="00DD13AC">
        <w:t xml:space="preserve"> responsibility. That is the focus of the present report</w:t>
      </w:r>
      <w:r>
        <w:t>;</w:t>
      </w:r>
      <w:r w:rsidRPr="00DD13AC">
        <w:t xml:space="preserve"> </w:t>
      </w:r>
      <w:r>
        <w:t>it</w:t>
      </w:r>
      <w:r w:rsidRPr="00DD13AC">
        <w:t xml:space="preserve"> seeks to </w:t>
      </w:r>
      <w:r>
        <w:t>provide</w:t>
      </w:r>
      <w:r w:rsidRPr="00DD13AC">
        <w:t xml:space="preserve"> examples of action companies have taken, based on discussions </w:t>
      </w:r>
      <w:r>
        <w:t>held at</w:t>
      </w:r>
      <w:r w:rsidRPr="00DD13AC">
        <w:t xml:space="preserve"> the third Forum on Business and Human Rights</w:t>
      </w:r>
      <w:r>
        <w:t xml:space="preserve">, which was held from </w:t>
      </w:r>
      <w:r w:rsidRPr="00DD13AC">
        <w:t>1</w:t>
      </w:r>
      <w:r>
        <w:t xml:space="preserve"> to </w:t>
      </w:r>
      <w:r w:rsidRPr="00DD13AC">
        <w:t>3 December 2014.</w:t>
      </w:r>
    </w:p>
    <w:p w:rsidR="008E0BD4" w:rsidRPr="00DD13AC" w:rsidRDefault="008E0BD4" w:rsidP="008E0BD4">
      <w:pPr>
        <w:pStyle w:val="SingleTxtG"/>
      </w:pPr>
      <w:r w:rsidRPr="00DD13AC">
        <w:rPr>
          <w:bCs/>
        </w:rPr>
        <w:t>2.</w:t>
      </w:r>
      <w:r w:rsidRPr="00DD13AC">
        <w:rPr>
          <w:bCs/>
        </w:rPr>
        <w:tab/>
      </w:r>
      <w:r w:rsidRPr="00DD13AC">
        <w:t>Specifically, the report provides an overview of a session held at the Forum entitled “Respect in practice</w:t>
      </w:r>
      <w:r>
        <w:t>:</w:t>
      </w:r>
      <w:r w:rsidRPr="00DD13AC">
        <w:t xml:space="preserve"> progress and challenges in implementing the corporate responsibility to respect”. The session was convened by </w:t>
      </w:r>
      <w:r w:rsidRPr="00DD13AC">
        <w:rPr>
          <w:rFonts w:eastAsia="Calibri"/>
        </w:rPr>
        <w:t xml:space="preserve">the Working Group on the issue of human rights and transnational corporations and other business enterprises, and </w:t>
      </w:r>
      <w:r w:rsidRPr="00DD13AC">
        <w:t xml:space="preserve">organized </w:t>
      </w:r>
      <w:r>
        <w:t xml:space="preserve">jointly </w:t>
      </w:r>
      <w:r w:rsidRPr="00DD13AC">
        <w:t>with the Global Business Initiative on Human Rights (</w:t>
      </w:r>
      <w:proofErr w:type="spellStart"/>
      <w:r w:rsidRPr="00DD13AC">
        <w:t>GBI</w:t>
      </w:r>
      <w:proofErr w:type="spellEnd"/>
      <w:r w:rsidRPr="00DD13AC">
        <w:t xml:space="preserve">) and the Business </w:t>
      </w:r>
      <w:r>
        <w:t>and</w:t>
      </w:r>
      <w:r w:rsidRPr="00DD13AC">
        <w:t xml:space="preserve"> Human Rights Resource Centre (</w:t>
      </w:r>
      <w:proofErr w:type="spellStart"/>
      <w:r w:rsidRPr="00DD13AC">
        <w:t>BHRRC</w:t>
      </w:r>
      <w:proofErr w:type="spellEnd"/>
      <w:r w:rsidRPr="00DD13AC">
        <w:t xml:space="preserve">). The Working Group would like to thank </w:t>
      </w:r>
      <w:proofErr w:type="spellStart"/>
      <w:r w:rsidRPr="00DD13AC">
        <w:t>GBI</w:t>
      </w:r>
      <w:proofErr w:type="spellEnd"/>
      <w:r w:rsidRPr="00DD13AC">
        <w:t xml:space="preserve"> and </w:t>
      </w:r>
      <w:proofErr w:type="spellStart"/>
      <w:r w:rsidRPr="00DD13AC">
        <w:t>BHRRC</w:t>
      </w:r>
      <w:proofErr w:type="spellEnd"/>
      <w:r w:rsidRPr="00DD13AC">
        <w:t xml:space="preserve"> for the</w:t>
      </w:r>
      <w:r>
        <w:t>ir</w:t>
      </w:r>
      <w:r w:rsidRPr="00DD13AC">
        <w:t xml:space="preserve"> collaboration </w:t>
      </w:r>
      <w:r>
        <w:t>in</w:t>
      </w:r>
      <w:r w:rsidRPr="00DD13AC">
        <w:t xml:space="preserve"> organiz</w:t>
      </w:r>
      <w:r>
        <w:t>ing</w:t>
      </w:r>
      <w:r w:rsidRPr="00DD13AC">
        <w:t xml:space="preserve"> the session and for having prepared a report containing a detailed summary and analysis of the discussions.</w:t>
      </w:r>
      <w:r w:rsidRPr="00DD13AC">
        <w:rPr>
          <w:rStyle w:val="ac"/>
        </w:rPr>
        <w:footnoteReference w:id="2"/>
      </w:r>
      <w:r w:rsidRPr="00DD13AC">
        <w:t xml:space="preserve"> The present document is based on th</w:t>
      </w:r>
      <w:r>
        <w:t>at</w:t>
      </w:r>
      <w:r w:rsidRPr="00DD13AC">
        <w:t xml:space="preserve"> report</w:t>
      </w:r>
      <w:r>
        <w:t>, and</w:t>
      </w:r>
      <w:r w:rsidRPr="00DD13AC">
        <w:t xml:space="preserve"> seeks to transmit key lessons and insights to interested parties. In the concluding section, the Working Group highlights observations and recommendations for the consideration of stakeholders.</w:t>
      </w:r>
    </w:p>
    <w:p w:rsidR="008E0BD4" w:rsidRPr="00DD13AC" w:rsidRDefault="008E0BD4" w:rsidP="008E0BD4">
      <w:pPr>
        <w:pStyle w:val="SingleTxtG"/>
      </w:pPr>
      <w:r w:rsidRPr="00DD13AC">
        <w:rPr>
          <w:bCs/>
        </w:rPr>
        <w:t>3.</w:t>
      </w:r>
      <w:r w:rsidRPr="00DD13AC">
        <w:rPr>
          <w:bCs/>
        </w:rPr>
        <w:tab/>
      </w:r>
      <w:r w:rsidRPr="00DD13AC">
        <w:t>One aspect of the Working Group’s mandate</w:t>
      </w:r>
      <w:r w:rsidRPr="00DD13AC">
        <w:rPr>
          <w:rFonts w:eastAsia="Calibri"/>
        </w:rPr>
        <w:t xml:space="preserve"> </w:t>
      </w:r>
      <w:r w:rsidRPr="00DD13AC">
        <w:t>is to identify, exchange and promote good practices and lessons learned on the implementation of the Guiding Principles</w:t>
      </w:r>
      <w:r>
        <w:t xml:space="preserve"> (</w:t>
      </w:r>
      <w:r w:rsidRPr="001F1849">
        <w:rPr>
          <w:szCs w:val="18"/>
        </w:rPr>
        <w:t>A/</w:t>
      </w:r>
      <w:proofErr w:type="spellStart"/>
      <w:r w:rsidRPr="001F1849">
        <w:rPr>
          <w:szCs w:val="18"/>
        </w:rPr>
        <w:t>HRC</w:t>
      </w:r>
      <w:proofErr w:type="spellEnd"/>
      <w:r w:rsidRPr="001F1849">
        <w:rPr>
          <w:szCs w:val="18"/>
        </w:rPr>
        <w:t>/17/31</w:t>
      </w:r>
      <w:r>
        <w:rPr>
          <w:szCs w:val="18"/>
        </w:rPr>
        <w:t>, annex)</w:t>
      </w:r>
      <w:r w:rsidRPr="00DD13AC">
        <w:t>.</w:t>
      </w:r>
      <w:r w:rsidRPr="00DD13AC">
        <w:rPr>
          <w:rStyle w:val="ac"/>
          <w:rFonts w:eastAsia="Calibri"/>
        </w:rPr>
        <w:footnoteReference w:id="3"/>
      </w:r>
      <w:r w:rsidRPr="00DD13AC">
        <w:t xml:space="preserve"> The Working Group also has a mandate to guide the annual Forum on Business and Human Rights that was established to discuss trends and challenges in the implementation of the Guiding Principles and promote dialogue and cooperation on issues linked to business and human rights, including challenges faced in particular sectors, operational environments </w:t>
      </w:r>
      <w:r>
        <w:t>and</w:t>
      </w:r>
      <w:r w:rsidRPr="00DD13AC">
        <w:t xml:space="preserve"> in relation to specific rights </w:t>
      </w:r>
      <w:r>
        <w:t>and</w:t>
      </w:r>
      <w:r w:rsidRPr="00DD13AC">
        <w:t xml:space="preserve"> groups, as well as identifying good practices.</w:t>
      </w:r>
    </w:p>
    <w:p w:rsidR="008E0BD4" w:rsidRPr="00DD13AC" w:rsidRDefault="008E0BD4" w:rsidP="008E0BD4">
      <w:pPr>
        <w:pStyle w:val="SingleTxtG"/>
      </w:pPr>
      <w:r w:rsidRPr="00DD13AC">
        <w:rPr>
          <w:bCs/>
        </w:rPr>
        <w:t>4.</w:t>
      </w:r>
      <w:r w:rsidRPr="00DD13AC">
        <w:rPr>
          <w:bCs/>
        </w:rPr>
        <w:tab/>
      </w:r>
      <w:r>
        <w:t>The m</w:t>
      </w:r>
      <w:r w:rsidRPr="00DD13AC">
        <w:t xml:space="preserve">ain themes of the third annual Forum included challenges faced and progress made by companies in integrating the corporate responsibility to respect human rights both in policy and </w:t>
      </w:r>
      <w:r>
        <w:t xml:space="preserve">in </w:t>
      </w:r>
      <w:r w:rsidRPr="00DD13AC">
        <w:t>practice</w:t>
      </w:r>
      <w:r>
        <w:t>,</w:t>
      </w:r>
      <w:r w:rsidRPr="00DD13AC">
        <w:t xml:space="preserve"> as well as good practice models for meaningful stakeholder engagement.</w:t>
      </w:r>
      <w:r w:rsidRPr="00DD13AC">
        <w:rPr>
          <w:rStyle w:val="ac"/>
        </w:rPr>
        <w:footnoteReference w:id="4"/>
      </w:r>
      <w:r w:rsidRPr="00DD13AC">
        <w:t xml:space="preserve"> Accordingly, the “</w:t>
      </w:r>
      <w:r>
        <w:t>r</w:t>
      </w:r>
      <w:r w:rsidRPr="00DD13AC">
        <w:t xml:space="preserve">espect in practice” thematic sessions sought to </w:t>
      </w:r>
      <w:r>
        <w:t>facilitate</w:t>
      </w:r>
      <w:r w:rsidRPr="00DD13AC">
        <w:t xml:space="preserve"> a multi-stakeholder dialogue about good practices, lessons, challenges, shortfalls, innovations and complexities relating to implementation of the second pillar of the Guiding Principles and the “Protect, Respect and Remedy” Framework</w:t>
      </w:r>
      <w:r>
        <w:t xml:space="preserve">, which is </w:t>
      </w:r>
      <w:r w:rsidRPr="00DD13AC">
        <w:t>the corporate responsibility to respect human rights.</w:t>
      </w:r>
      <w:r w:rsidRPr="00DD13AC">
        <w:rPr>
          <w:rStyle w:val="ac"/>
        </w:rPr>
        <w:footnoteReference w:id="5"/>
      </w:r>
      <w:r w:rsidRPr="00DD13AC">
        <w:t xml:space="preserve"> </w:t>
      </w:r>
    </w:p>
    <w:p w:rsidR="008E0BD4" w:rsidRPr="00DD13AC" w:rsidRDefault="008E0BD4" w:rsidP="008E0BD4">
      <w:pPr>
        <w:pStyle w:val="SingleTxtG"/>
      </w:pPr>
      <w:r w:rsidRPr="00DD13AC">
        <w:rPr>
          <w:bCs/>
        </w:rPr>
        <w:lastRenderedPageBreak/>
        <w:t>5.</w:t>
      </w:r>
      <w:r w:rsidRPr="00DD13AC">
        <w:rPr>
          <w:bCs/>
        </w:rPr>
        <w:tab/>
      </w:r>
      <w:r w:rsidRPr="00DD13AC">
        <w:t xml:space="preserve">The overall aim of reporting on the thematic sessions is to make available to a wider audience concrete experiences and lessons presented at the Forum in order to build common knowledge and support further efforts to implement the Guiding Principles. </w:t>
      </w:r>
    </w:p>
    <w:p w:rsidR="008E0BD4" w:rsidRPr="00DD13AC" w:rsidRDefault="008E0BD4" w:rsidP="008E0BD4">
      <w:pPr>
        <w:pStyle w:val="SingleTxtG"/>
      </w:pPr>
      <w:r w:rsidRPr="00DD13AC">
        <w:rPr>
          <w:bCs/>
        </w:rPr>
        <w:t>6.</w:t>
      </w:r>
      <w:r w:rsidRPr="00DD13AC">
        <w:rPr>
          <w:bCs/>
        </w:rPr>
        <w:tab/>
      </w:r>
      <w:r w:rsidRPr="00DD13AC">
        <w:t>The Working Group would like to note that the examples highlighted in th</w:t>
      </w:r>
      <w:r>
        <w:t>e present</w:t>
      </w:r>
      <w:r w:rsidRPr="00DD13AC">
        <w:t xml:space="preserve"> report </w:t>
      </w:r>
      <w:r>
        <w:t>constitute</w:t>
      </w:r>
      <w:r w:rsidRPr="00DD13AC">
        <w:t xml:space="preserve"> a limited sample of </w:t>
      </w:r>
      <w:r>
        <w:t>the</w:t>
      </w:r>
      <w:r w:rsidRPr="00DD13AC">
        <w:t xml:space="preserve"> practice</w:t>
      </w:r>
      <w:r>
        <w:t>s</w:t>
      </w:r>
      <w:r w:rsidRPr="00DD13AC">
        <w:t xml:space="preserve"> presented by companies that participated in the Forum</w:t>
      </w:r>
      <w:r>
        <w:t xml:space="preserve"> and that</w:t>
      </w:r>
      <w:r w:rsidRPr="00DD13AC">
        <w:t xml:space="preserve">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w:t>
      </w:r>
      <w:r>
        <w:t>them</w:t>
      </w:r>
      <w:r w:rsidRPr="00DD13AC">
        <w:t xml:space="preserve"> as “good practice”, nor of the company overall</w:t>
      </w:r>
      <w:r>
        <w:t>,</w:t>
      </w:r>
      <w:r w:rsidRPr="00DD13AC">
        <w:t xml:space="preserve"> its policy </w:t>
      </w:r>
      <w:r>
        <w:t>or</w:t>
      </w:r>
      <w:r w:rsidRPr="00DD13AC">
        <w:t xml:space="preserve"> action </w:t>
      </w:r>
      <w:r>
        <w:t xml:space="preserve">taken </w:t>
      </w:r>
      <w:r w:rsidRPr="00DD13AC">
        <w:t xml:space="preserve">to respect human rights. The primary purpose </w:t>
      </w:r>
      <w:r>
        <w:t>in</w:t>
      </w:r>
      <w:r w:rsidRPr="00DD13AC">
        <w:t xml:space="preserve"> discussing the case studies is to facilitate </w:t>
      </w:r>
      <w:r>
        <w:t>the</w:t>
      </w:r>
      <w:r w:rsidRPr="00DD13AC">
        <w:t xml:space="preserve"> exchange of experience and mutual learning among business, civil society and Governments. </w:t>
      </w:r>
    </w:p>
    <w:p w:rsidR="008E0BD4" w:rsidRPr="00DD13AC" w:rsidRDefault="008E0BD4" w:rsidP="008E0BD4">
      <w:pPr>
        <w:pStyle w:val="SingleTxtG"/>
      </w:pPr>
      <w:r w:rsidRPr="00DD13AC">
        <w:rPr>
          <w:bCs/>
        </w:rPr>
        <w:t>7.</w:t>
      </w:r>
      <w:r w:rsidRPr="00DD13AC">
        <w:rPr>
          <w:bCs/>
        </w:rPr>
        <w:tab/>
      </w:r>
      <w:r w:rsidRPr="00DD13AC">
        <w:t>Based on its own assessment, and feedback received from all stakeholder groups, the Working Group would like to facilitate more of th</w:t>
      </w:r>
      <w:r>
        <w:t>at</w:t>
      </w:r>
      <w:r w:rsidRPr="00DD13AC">
        <w:t xml:space="preserve"> type of focused and action-oriented discussion around specific cases and experiences. In th</w:t>
      </w:r>
      <w:r>
        <w:t>at</w:t>
      </w:r>
      <w:r w:rsidRPr="00DD13AC">
        <w:t xml:space="preserve"> regard, it commends the companies, non-governmental organizations and States that shared their experiences and perspectives at the Forum.</w:t>
      </w:r>
    </w:p>
    <w:p w:rsidR="008E0BD4" w:rsidRPr="00DD13AC" w:rsidRDefault="008E0BD4" w:rsidP="008E0BD4">
      <w:pPr>
        <w:pStyle w:val="HChG"/>
      </w:pPr>
      <w:r w:rsidRPr="00DD13AC">
        <w:tab/>
        <w:t>II.</w:t>
      </w:r>
      <w:r w:rsidRPr="00DD13AC">
        <w:tab/>
        <w:t>Introductory reflections o</w:t>
      </w:r>
      <w:r>
        <w:t>n</w:t>
      </w:r>
      <w:r w:rsidRPr="00DD13AC">
        <w:t xml:space="preserve"> the discussion on respect </w:t>
      </w:r>
    </w:p>
    <w:p w:rsidR="008E0BD4" w:rsidRPr="00DD13AC" w:rsidRDefault="008E0BD4" w:rsidP="008E0BD4">
      <w:pPr>
        <w:pStyle w:val="SingleTxtG"/>
      </w:pPr>
      <w:r w:rsidRPr="00DD13AC">
        <w:rPr>
          <w:bCs/>
        </w:rPr>
        <w:t>8.</w:t>
      </w:r>
      <w:r w:rsidRPr="00DD13AC">
        <w:rPr>
          <w:bCs/>
        </w:rPr>
        <w:tab/>
      </w:r>
      <w:r w:rsidRPr="00DD13AC">
        <w:t xml:space="preserve">The Working Group acknowledged the key importance of using the annual Forum to </w:t>
      </w:r>
      <w:r>
        <w:t>explore</w:t>
      </w:r>
      <w:r w:rsidRPr="00DD13AC">
        <w:t xml:space="preserve"> the complexity of what corporate respect for human rights means in practice</w:t>
      </w:r>
      <w:r>
        <w:t>,</w:t>
      </w:r>
      <w:r w:rsidRPr="00DD13AC">
        <w:t xml:space="preserve"> and to involve a diverse range of stakeholders in th</w:t>
      </w:r>
      <w:r>
        <w:t>e</w:t>
      </w:r>
      <w:r w:rsidRPr="00DD13AC">
        <w:t xml:space="preserve"> discussion. With the support of </w:t>
      </w:r>
      <w:proofErr w:type="spellStart"/>
      <w:r w:rsidRPr="00DD13AC">
        <w:t>GBI</w:t>
      </w:r>
      <w:proofErr w:type="spellEnd"/>
      <w:r w:rsidRPr="00DD13AC">
        <w:t xml:space="preserve"> and </w:t>
      </w:r>
      <w:proofErr w:type="spellStart"/>
      <w:r w:rsidRPr="00DD13AC">
        <w:t>BHRRC</w:t>
      </w:r>
      <w:proofErr w:type="spellEnd"/>
      <w:r>
        <w:t>,</w:t>
      </w:r>
      <w:r w:rsidRPr="00DD13AC">
        <w:t xml:space="preserve"> the aim was to take an innovative approach </w:t>
      </w:r>
      <w:r>
        <w:t>by</w:t>
      </w:r>
      <w:r w:rsidRPr="00DD13AC">
        <w:t xml:space="preserve"> looking both inside companies to understand the policies and systems being put in place</w:t>
      </w:r>
      <w:r>
        <w:t>,</w:t>
      </w:r>
      <w:r w:rsidRPr="00DD13AC">
        <w:t xml:space="preserve"> and at the same time</w:t>
      </w:r>
      <w:r>
        <w:t>,</w:t>
      </w:r>
      <w:r w:rsidRPr="00DD13AC">
        <w:t xml:space="preserve"> at how business engages with civil society </w:t>
      </w:r>
      <w:r>
        <w:t>organizations</w:t>
      </w:r>
      <w:r w:rsidRPr="00DD13AC">
        <w:t>.</w:t>
      </w:r>
    </w:p>
    <w:p w:rsidR="008E0BD4" w:rsidRPr="00DD13AC" w:rsidRDefault="008E0BD4" w:rsidP="008E0BD4">
      <w:pPr>
        <w:pStyle w:val="SingleTxtG"/>
      </w:pPr>
      <w:r w:rsidRPr="00DD13AC">
        <w:rPr>
          <w:bCs/>
        </w:rPr>
        <w:t>9.</w:t>
      </w:r>
      <w:r w:rsidRPr="00DD13AC">
        <w:rPr>
          <w:bCs/>
        </w:rPr>
        <w:tab/>
      </w:r>
      <w:r>
        <w:t>I</w:t>
      </w:r>
      <w:r w:rsidRPr="00DD13AC">
        <w:t xml:space="preserve">nside companies, all actors </w:t>
      </w:r>
      <w:r>
        <w:t>must</w:t>
      </w:r>
      <w:r w:rsidRPr="00DD13AC">
        <w:t xml:space="preserve"> appreciate </w:t>
      </w:r>
      <w:r>
        <w:t>the need to</w:t>
      </w:r>
      <w:r w:rsidRPr="00DD13AC">
        <w:t xml:space="preserve"> develop robust policies, operating procedures, processes and systems. However, it is also necessary to look at the cultural, “people-side” of respect for human rights</w:t>
      </w:r>
      <w:r>
        <w:t>, be it</w:t>
      </w:r>
      <w:r w:rsidRPr="00DD13AC">
        <w:t xml:space="preserve"> the message from the </w:t>
      </w:r>
      <w:r>
        <w:t>chief executive officer (</w:t>
      </w:r>
      <w:proofErr w:type="spellStart"/>
      <w:r w:rsidRPr="00DD13AC">
        <w:t>CEO</w:t>
      </w:r>
      <w:proofErr w:type="spellEnd"/>
      <w:r>
        <w:t>)</w:t>
      </w:r>
      <w:r w:rsidRPr="00DD13AC">
        <w:t xml:space="preserve"> or the decision of the manager on the ground</w:t>
      </w:r>
      <w:r>
        <w:t>,</w:t>
      </w:r>
      <w:r w:rsidRPr="00DD13AC">
        <w:t xml:space="preserve"> as th</w:t>
      </w:r>
      <w:r>
        <w:t>o</w:t>
      </w:r>
      <w:r w:rsidRPr="00DD13AC">
        <w:t xml:space="preserve">se two dynamics need to work together to achieve effective and sustained human rights due diligence. The Working Group has consistently </w:t>
      </w:r>
      <w:r>
        <w:t>highlighted</w:t>
      </w:r>
      <w:r w:rsidRPr="00DD13AC">
        <w:t xml:space="preserve"> the need </w:t>
      </w:r>
      <w:r>
        <w:t>for</w:t>
      </w:r>
      <w:r w:rsidRPr="00DD13AC">
        <w:t xml:space="preserve"> more companies </w:t>
      </w:r>
      <w:r>
        <w:t xml:space="preserve">to </w:t>
      </w:r>
      <w:r w:rsidRPr="00DD13AC">
        <w:t>talk publicly about their systems</w:t>
      </w:r>
      <w:r>
        <w:t>,</w:t>
      </w:r>
      <w:r w:rsidRPr="00DD13AC">
        <w:t xml:space="preserve"> </w:t>
      </w:r>
      <w:r>
        <w:t>which</w:t>
      </w:r>
      <w:r w:rsidRPr="00DD13AC">
        <w:t xml:space="preserve"> in some instances </w:t>
      </w:r>
      <w:r>
        <w:t xml:space="preserve">are </w:t>
      </w:r>
      <w:r w:rsidRPr="00DD13AC">
        <w:t xml:space="preserve">highly sophisticated and robust from a human rights perspective, and not just from a business management perspective. </w:t>
      </w:r>
      <w:r>
        <w:t>F</w:t>
      </w:r>
      <w:r w:rsidRPr="00DD13AC">
        <w:t>or the Working Group</w:t>
      </w:r>
      <w:r>
        <w:t xml:space="preserve">, that is imperative in order </w:t>
      </w:r>
      <w:r w:rsidRPr="00DD13AC">
        <w:t xml:space="preserve">to </w:t>
      </w:r>
      <w:r>
        <w:t>ensure that</w:t>
      </w:r>
      <w:r w:rsidRPr="00DD13AC">
        <w:t xml:space="preserve"> the vast majority of companies that are new to the business and human rights agenda </w:t>
      </w:r>
      <w:r>
        <w:t xml:space="preserve">do not </w:t>
      </w:r>
      <w:r w:rsidRPr="00DD13AC">
        <w:t xml:space="preserve">have to reinvent the wheel, and </w:t>
      </w:r>
      <w:r>
        <w:t>also in order to</w:t>
      </w:r>
      <w:r w:rsidRPr="00DD13AC">
        <w:t xml:space="preserve"> recogni</w:t>
      </w:r>
      <w:r>
        <w:t>ze</w:t>
      </w:r>
      <w:r w:rsidRPr="00DD13AC">
        <w:t xml:space="preserve"> that it is essential to close the gap between </w:t>
      </w:r>
      <w:r>
        <w:t>“</w:t>
      </w:r>
      <w:r w:rsidRPr="00DD13AC">
        <w:t>leaders and laggards</w:t>
      </w:r>
      <w:r>
        <w:t>”</w:t>
      </w:r>
      <w:r w:rsidRPr="00DD13AC">
        <w:t>. A common challenge is that there is often reluctance for companies to share their approaches and lessons, in part because it is very easy to go from “hero to zero” when things go wrong. Further</w:t>
      </w:r>
      <w:r>
        <w:t>more</w:t>
      </w:r>
      <w:r w:rsidRPr="00DD13AC">
        <w:t xml:space="preserve">, good people can make bad decisions, </w:t>
      </w:r>
      <w:r w:rsidRPr="00DD13AC">
        <w:lastRenderedPageBreak/>
        <w:t>and good systems can sometimes lead to bad outcomes. Th</w:t>
      </w:r>
      <w:r>
        <w:t>at</w:t>
      </w:r>
      <w:r w:rsidRPr="00DD13AC">
        <w:t xml:space="preserve"> reinforces the need to engage with expert</w:t>
      </w:r>
      <w:r>
        <w:t>s</w:t>
      </w:r>
      <w:r w:rsidRPr="00DD13AC">
        <w:t xml:space="preserve"> and external stakeholders who can support due diligence approaches. </w:t>
      </w:r>
    </w:p>
    <w:p w:rsidR="008E0BD4" w:rsidRPr="00DD13AC" w:rsidRDefault="008E0BD4" w:rsidP="008E0BD4">
      <w:pPr>
        <w:pStyle w:val="SingleTxtG"/>
      </w:pPr>
      <w:r w:rsidRPr="00DD13AC">
        <w:rPr>
          <w:bCs/>
        </w:rPr>
        <w:t>10.</w:t>
      </w:r>
      <w:r w:rsidRPr="00DD13AC">
        <w:rPr>
          <w:bCs/>
        </w:rPr>
        <w:tab/>
      </w:r>
      <w:r>
        <w:t>Moreover</w:t>
      </w:r>
      <w:r w:rsidRPr="00DD13AC">
        <w:t xml:space="preserve">, in exploring the nuts and bolts of corporate respect for human rights in very practical terms, it is not only necessary to address what goes on within companies when putting in place policies and systems, but also how companies engage with affected stakeholders and civil society </w:t>
      </w:r>
      <w:r>
        <w:t>organizations</w:t>
      </w:r>
      <w:r w:rsidRPr="00DD13AC">
        <w:t xml:space="preserve">. </w:t>
      </w:r>
      <w:r>
        <w:t xml:space="preserve">While </w:t>
      </w:r>
      <w:r w:rsidRPr="00DD13AC">
        <w:t xml:space="preserve">relations with communities and civil society </w:t>
      </w:r>
      <w:r>
        <w:t>organizations</w:t>
      </w:r>
      <w:r w:rsidRPr="00DD13AC">
        <w:t xml:space="preserve"> are </w:t>
      </w:r>
      <w:r>
        <w:t>s</w:t>
      </w:r>
      <w:r w:rsidRPr="00DD13AC">
        <w:t>ometimes</w:t>
      </w:r>
      <w:r>
        <w:t xml:space="preserve"> </w:t>
      </w:r>
      <w:r w:rsidRPr="00DD13AC">
        <w:t xml:space="preserve">tense, they can also be hugely constructive for all parties if </w:t>
      </w:r>
      <w:r>
        <w:t>approached</w:t>
      </w:r>
      <w:r w:rsidRPr="00DD13AC">
        <w:t xml:space="preserve"> correctly. </w:t>
      </w:r>
    </w:p>
    <w:p w:rsidR="008E0BD4" w:rsidRPr="00DD13AC" w:rsidRDefault="008E0BD4" w:rsidP="008E0BD4">
      <w:pPr>
        <w:pStyle w:val="SingleTxtG"/>
      </w:pPr>
      <w:r w:rsidRPr="00DD13AC">
        <w:rPr>
          <w:bCs/>
        </w:rPr>
        <w:t>11.</w:t>
      </w:r>
      <w:r w:rsidRPr="00DD13AC">
        <w:rPr>
          <w:bCs/>
        </w:rPr>
        <w:tab/>
      </w:r>
      <w:r>
        <w:t>A</w:t>
      </w:r>
      <w:r w:rsidRPr="00DD13AC">
        <w:t xml:space="preserve">nother central aspect relates to the role of </w:t>
      </w:r>
      <w:r>
        <w:t>G</w:t>
      </w:r>
      <w:r w:rsidRPr="00DD13AC">
        <w:t xml:space="preserve">overnments, as both business integration and relationships </w:t>
      </w:r>
      <w:r>
        <w:t>between c</w:t>
      </w:r>
      <w:r w:rsidRPr="00DD13AC">
        <w:t>ompan</w:t>
      </w:r>
      <w:r>
        <w:t xml:space="preserve">ies and civil society </w:t>
      </w:r>
      <w:r w:rsidRPr="00DD13AC">
        <w:t>are influenced by the context</w:t>
      </w:r>
      <w:r>
        <w:t>,</w:t>
      </w:r>
      <w:r w:rsidRPr="00DD13AC">
        <w:t xml:space="preserve"> or operating environment</w:t>
      </w:r>
      <w:r>
        <w:t>,</w:t>
      </w:r>
      <w:r w:rsidRPr="00DD13AC">
        <w:t xml:space="preserve"> that the </w:t>
      </w:r>
      <w:r>
        <w:t>G</w:t>
      </w:r>
      <w:r w:rsidRPr="00DD13AC">
        <w:t>overnment creates. However, th</w:t>
      </w:r>
      <w:r>
        <w:t>at</w:t>
      </w:r>
      <w:r w:rsidRPr="00DD13AC">
        <w:t xml:space="preserve"> is also a complex task, meaning that it is key for </w:t>
      </w:r>
      <w:r>
        <w:t>G</w:t>
      </w:r>
      <w:r w:rsidRPr="00DD13AC">
        <w:t xml:space="preserve">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t>
      </w:r>
      <w:r>
        <w:t>when business interests have</w:t>
      </w:r>
      <w:r w:rsidRPr="00DD13AC">
        <w:t xml:space="preserve"> adverse impacts</w:t>
      </w:r>
      <w:r>
        <w:t xml:space="preserve"> on human rights</w:t>
      </w:r>
      <w:r w:rsidRPr="00DD13AC">
        <w:t>.</w:t>
      </w:r>
    </w:p>
    <w:p w:rsidR="008E0BD4" w:rsidRPr="00DD13AC" w:rsidRDefault="008E0BD4" w:rsidP="008E0BD4">
      <w:pPr>
        <w:pStyle w:val="HChG"/>
      </w:pPr>
      <w:r w:rsidRPr="00DD13AC">
        <w:tab/>
        <w:t>III.</w:t>
      </w:r>
      <w:r w:rsidRPr="00DD13AC">
        <w:tab/>
        <w:t>Examples of companies’ efforts to integrate human rights in policies and processes</w:t>
      </w:r>
      <w:r>
        <w:t xml:space="preserve"> </w:t>
      </w:r>
      <w:r w:rsidRPr="00DD13AC">
        <w:t>and</w:t>
      </w:r>
      <w:r>
        <w:t xml:space="preserve"> </w:t>
      </w:r>
      <w:r w:rsidRPr="00DD13AC">
        <w:t>decision-making</w:t>
      </w:r>
    </w:p>
    <w:p w:rsidR="008E0BD4" w:rsidRPr="00DD13AC" w:rsidRDefault="008E0BD4" w:rsidP="008E0BD4">
      <w:pPr>
        <w:pStyle w:val="H1G"/>
      </w:pPr>
      <w:r w:rsidRPr="00DD13AC">
        <w:tab/>
        <w:t>A.</w:t>
      </w:r>
      <w:r w:rsidRPr="00DD13AC">
        <w:tab/>
        <w:t>Introduction</w:t>
      </w:r>
    </w:p>
    <w:p w:rsidR="008E0BD4" w:rsidRPr="00DD13AC" w:rsidRDefault="008E0BD4" w:rsidP="008E0BD4">
      <w:pPr>
        <w:pStyle w:val="SingleTxtG"/>
      </w:pPr>
      <w:r w:rsidRPr="00DD13AC">
        <w:rPr>
          <w:bCs/>
        </w:rPr>
        <w:t>12.</w:t>
      </w:r>
      <w:r w:rsidRPr="00DD13AC">
        <w:rPr>
          <w:bCs/>
        </w:rPr>
        <w:tab/>
      </w:r>
      <w:r w:rsidRPr="00DD13AC">
        <w:t xml:space="preserve">The first panel of the “respect in practice” session was entitled “Embedding the Guiding Principles in </w:t>
      </w:r>
      <w:r>
        <w:t xml:space="preserve">company policies, </w:t>
      </w:r>
      <w:r w:rsidRPr="00DD13AC">
        <w:t>processes</w:t>
      </w:r>
      <w:r>
        <w:t xml:space="preserve"> </w:t>
      </w:r>
      <w:r w:rsidRPr="00DD13AC">
        <w:t>and</w:t>
      </w:r>
      <w:r>
        <w:t xml:space="preserve"> </w:t>
      </w:r>
      <w:r w:rsidRPr="00DD13AC">
        <w:t xml:space="preserve">decision-making”. The background for the focus of the panel was the benchmark and the standard of conduct </w:t>
      </w:r>
      <w:r>
        <w:t>established</w:t>
      </w:r>
      <w:r w:rsidRPr="00DD13AC">
        <w:t xml:space="preserve"> </w:t>
      </w:r>
      <w:r>
        <w:t>in</w:t>
      </w:r>
      <w:r w:rsidRPr="00DD13AC">
        <w:t xml:space="preserve"> the Guiding Principles for both States and businesses. For businesses, respect for human rights requires </w:t>
      </w:r>
      <w:r>
        <w:t xml:space="preserve">a </w:t>
      </w:r>
      <w:r w:rsidRPr="00DD13AC">
        <w:t>clear policy commitment to respect human rights, acting with human rights due diligence and engaging in remediation. Th</w:t>
      </w:r>
      <w:r>
        <w:t>at</w:t>
      </w:r>
      <w:r w:rsidRPr="00DD13AC">
        <w:t xml:space="preserve"> is not a check-box exercise. Rather</w:t>
      </w:r>
      <w:r>
        <w:t>,</w:t>
      </w:r>
      <w:r w:rsidRPr="00DD13AC">
        <w:t xml:space="preserve"> it requires genuine changes</w:t>
      </w:r>
      <w:r>
        <w:t xml:space="preserve"> in </w:t>
      </w:r>
      <w:proofErr w:type="spellStart"/>
      <w:r w:rsidRPr="00DD13AC">
        <w:t>mindset</w:t>
      </w:r>
      <w:r>
        <w:t>s</w:t>
      </w:r>
      <w:proofErr w:type="spellEnd"/>
      <w:r w:rsidRPr="00DD13AC">
        <w:t>, culture and systems</w:t>
      </w:r>
      <w:r>
        <w:t>,</w:t>
      </w:r>
      <w:r w:rsidRPr="00DD13AC">
        <w:t xml:space="preserve"> similar to developments in other areas of corporate policy and systems</w:t>
      </w:r>
      <w:r>
        <w:t xml:space="preserve"> such as</w:t>
      </w:r>
      <w:r w:rsidRPr="00DD13AC">
        <w:t xml:space="preserve"> health and safety, </w:t>
      </w:r>
      <w:r>
        <w:t xml:space="preserve">the fight against </w:t>
      </w:r>
      <w:r w:rsidRPr="00DD13AC">
        <w:t xml:space="preserve">corruption and environmental management. Furthermore, the Guiding Principles articulate certain concepts and ideas that are intended to improve the quality and outcomes of corporate action. The panel </w:t>
      </w:r>
      <w:r>
        <w:t>was therefore composed of</w:t>
      </w:r>
      <w:r w:rsidRPr="00DD13AC">
        <w:t xml:space="preserve"> several business representatives who shared the experience and lessons of their company’s work to achieve meaningful integration, with reference to some of the key concepts set out in the Guiding Principles. </w:t>
      </w:r>
    </w:p>
    <w:p w:rsidR="008E0BD4" w:rsidRPr="00DD13AC" w:rsidRDefault="008E0BD4" w:rsidP="008E0BD4">
      <w:pPr>
        <w:pStyle w:val="H1G"/>
      </w:pPr>
      <w:r w:rsidRPr="00DD13AC">
        <w:tab/>
        <w:t>B.</w:t>
      </w:r>
      <w:r w:rsidRPr="00DD13AC">
        <w:tab/>
        <w:t>Policy development and senior management buy-in</w:t>
      </w:r>
    </w:p>
    <w:p w:rsidR="008E0BD4" w:rsidRPr="00DD13AC" w:rsidRDefault="008E0BD4" w:rsidP="008E0BD4">
      <w:pPr>
        <w:pStyle w:val="SingleTxtG"/>
      </w:pPr>
      <w:r w:rsidRPr="00DD13AC">
        <w:rPr>
          <w:bCs/>
        </w:rPr>
        <w:t>13.</w:t>
      </w:r>
      <w:r w:rsidRPr="00DD13AC">
        <w:rPr>
          <w:bCs/>
        </w:rPr>
        <w:tab/>
      </w:r>
      <w:r>
        <w:t xml:space="preserve">The representative of </w:t>
      </w:r>
      <w:r w:rsidRPr="00DD13AC">
        <w:t xml:space="preserve">Total S.A. focused on the decade-long journey towards establishing a corporate policy commitment to respect human rights, and the role of </w:t>
      </w:r>
      <w:proofErr w:type="spellStart"/>
      <w:r w:rsidRPr="00DD13AC">
        <w:t>CEOs</w:t>
      </w:r>
      <w:proofErr w:type="spellEnd"/>
      <w:r w:rsidRPr="00DD13AC">
        <w:t xml:space="preserve"> and senior leaders in th</w:t>
      </w:r>
      <w:r>
        <w:t>at</w:t>
      </w:r>
      <w:r w:rsidRPr="00DD13AC">
        <w:t xml:space="preserve"> process. Some of the following lessons from th</w:t>
      </w:r>
      <w:r>
        <w:t>e</w:t>
      </w:r>
      <w:r w:rsidRPr="00DD13AC">
        <w:t xml:space="preserve"> process were highlighted, including the need to:</w:t>
      </w:r>
    </w:p>
    <w:p w:rsidR="008E0BD4" w:rsidRPr="00DD13AC" w:rsidRDefault="008E0BD4" w:rsidP="008E0BD4">
      <w:pPr>
        <w:pStyle w:val="Bullet1G"/>
        <w:numPr>
          <w:ilvl w:val="0"/>
          <w:numId w:val="0"/>
        </w:numPr>
        <w:tabs>
          <w:tab w:val="left" w:pos="1701"/>
        </w:tabs>
        <w:ind w:left="1701" w:hanging="170"/>
        <w:rPr>
          <w:b/>
        </w:rPr>
      </w:pPr>
      <w:r w:rsidRPr="00DD13AC">
        <w:t>•</w:t>
      </w:r>
      <w:r w:rsidRPr="00DD13AC">
        <w:tab/>
        <w:t>Demystify human rights for colleagues and be prepared to use operational language;</w:t>
      </w:r>
    </w:p>
    <w:p w:rsidR="008E0BD4" w:rsidRPr="00DD13AC" w:rsidRDefault="008E0BD4" w:rsidP="008E0BD4">
      <w:pPr>
        <w:pStyle w:val="Bullet1G"/>
        <w:numPr>
          <w:ilvl w:val="0"/>
          <w:numId w:val="0"/>
        </w:numPr>
        <w:tabs>
          <w:tab w:val="left" w:pos="1701"/>
        </w:tabs>
        <w:ind w:left="1701" w:hanging="170"/>
        <w:rPr>
          <w:b/>
        </w:rPr>
      </w:pPr>
      <w:r w:rsidRPr="00DD13AC">
        <w:t>•</w:t>
      </w:r>
      <w:r w:rsidRPr="00DD13AC">
        <w:tab/>
        <w:t>Tailor the business case to different internal functions and stakeholders, or in other words</w:t>
      </w:r>
      <w:r>
        <w:t>,</w:t>
      </w:r>
      <w:r w:rsidRPr="00DD13AC">
        <w:t xml:space="preserve"> speak about issues that are relevant to them;</w:t>
      </w:r>
    </w:p>
    <w:p w:rsidR="008E0BD4" w:rsidRPr="00DD13AC" w:rsidRDefault="008E0BD4" w:rsidP="008E0BD4">
      <w:pPr>
        <w:pStyle w:val="Bullet1G"/>
        <w:numPr>
          <w:ilvl w:val="0"/>
          <w:numId w:val="0"/>
        </w:numPr>
        <w:tabs>
          <w:tab w:val="left" w:pos="1701"/>
        </w:tabs>
        <w:ind w:left="1701" w:hanging="170"/>
        <w:rPr>
          <w:b/>
        </w:rPr>
      </w:pPr>
      <w:r w:rsidRPr="00DD13AC">
        <w:t>•</w:t>
      </w:r>
      <w:r w:rsidRPr="00DD13AC">
        <w:tab/>
        <w:t xml:space="preserve">Focus on </w:t>
      </w:r>
      <w:r w:rsidRPr="00422AA4">
        <w:rPr>
          <w:iCs/>
        </w:rPr>
        <w:t>costs and opportunities</w:t>
      </w:r>
      <w:r>
        <w:rPr>
          <w:iCs/>
        </w:rPr>
        <w:t>:</w:t>
      </w:r>
      <w:r>
        <w:t xml:space="preserve"> while</w:t>
      </w:r>
      <w:r w:rsidRPr="00DD13AC">
        <w:t xml:space="preserve"> implementing systems for good due diligence and remediation does cost money, there are always much larger costs when things are not managed and go wrong;</w:t>
      </w:r>
    </w:p>
    <w:p w:rsidR="008E0BD4" w:rsidRPr="00DD13AC" w:rsidRDefault="008E0BD4" w:rsidP="008E0BD4">
      <w:pPr>
        <w:pStyle w:val="Bullet1G"/>
        <w:numPr>
          <w:ilvl w:val="0"/>
          <w:numId w:val="0"/>
        </w:numPr>
        <w:tabs>
          <w:tab w:val="left" w:pos="1701"/>
        </w:tabs>
        <w:ind w:left="1701" w:hanging="170"/>
        <w:rPr>
          <w:b/>
        </w:rPr>
      </w:pPr>
      <w:r w:rsidRPr="00DD13AC">
        <w:lastRenderedPageBreak/>
        <w:t>•</w:t>
      </w:r>
      <w:r w:rsidRPr="00DD13AC">
        <w:tab/>
        <w:t xml:space="preserve">Take a </w:t>
      </w:r>
      <w:proofErr w:type="spellStart"/>
      <w:r w:rsidRPr="00DD13AC">
        <w:t>sector</w:t>
      </w:r>
      <w:r>
        <w:t>al</w:t>
      </w:r>
      <w:proofErr w:type="spellEnd"/>
      <w:r w:rsidRPr="00DD13AC">
        <w:t xml:space="preserve"> approach, which also means work</w:t>
      </w:r>
      <w:r>
        <w:t>ing</w:t>
      </w:r>
      <w:r w:rsidRPr="00DD13AC">
        <w:t xml:space="preserve"> collaboratively with competitors;</w:t>
      </w:r>
    </w:p>
    <w:p w:rsidR="008E0BD4" w:rsidRPr="00DD13AC" w:rsidRDefault="008E0BD4" w:rsidP="008E0BD4">
      <w:pPr>
        <w:pStyle w:val="Bullet1G"/>
        <w:numPr>
          <w:ilvl w:val="0"/>
          <w:numId w:val="0"/>
        </w:numPr>
        <w:tabs>
          <w:tab w:val="left" w:pos="1701"/>
        </w:tabs>
        <w:ind w:left="1701" w:hanging="170"/>
        <w:rPr>
          <w:b/>
        </w:rPr>
      </w:pPr>
      <w:r w:rsidRPr="00DD13AC">
        <w:t>•</w:t>
      </w:r>
      <w:r w:rsidRPr="00DD13AC">
        <w:tab/>
        <w:t>Take an integrated approach by working with existing processes and systems;</w:t>
      </w:r>
    </w:p>
    <w:p w:rsidR="008E0BD4" w:rsidRPr="00DD13AC" w:rsidRDefault="008E0BD4" w:rsidP="008E0BD4">
      <w:pPr>
        <w:pStyle w:val="Bullet1G"/>
        <w:numPr>
          <w:ilvl w:val="0"/>
          <w:numId w:val="0"/>
        </w:numPr>
        <w:tabs>
          <w:tab w:val="left" w:pos="1701"/>
        </w:tabs>
        <w:ind w:left="1701" w:hanging="170"/>
        <w:rPr>
          <w:b/>
        </w:rPr>
      </w:pPr>
      <w:r w:rsidRPr="00DD13AC">
        <w:t>•</w:t>
      </w:r>
      <w:r w:rsidRPr="00DD13AC">
        <w:tab/>
        <w:t xml:space="preserve">Benchmark </w:t>
      </w:r>
      <w:r>
        <w:t>through</w:t>
      </w:r>
      <w:r w:rsidRPr="00DD13AC">
        <w:t xml:space="preserve"> engagement with experts, civil society and peers from diverse industries.</w:t>
      </w:r>
      <w:r w:rsidRPr="00DD13AC">
        <w:rPr>
          <w:b/>
        </w:rPr>
        <w:t xml:space="preserve"> </w:t>
      </w:r>
    </w:p>
    <w:p w:rsidR="008E0BD4" w:rsidRPr="00DD13AC" w:rsidRDefault="008E0BD4" w:rsidP="008E0BD4">
      <w:pPr>
        <w:pStyle w:val="H1G"/>
      </w:pPr>
      <w:r w:rsidRPr="00DD13AC">
        <w:tab/>
        <w:t>C.</w:t>
      </w:r>
      <w:r w:rsidRPr="00DD13AC">
        <w:tab/>
        <w:t>Corporate-wide impact and risk mapping</w:t>
      </w:r>
    </w:p>
    <w:p w:rsidR="008E0BD4" w:rsidRPr="00DD13AC" w:rsidRDefault="008E0BD4" w:rsidP="008E0BD4">
      <w:pPr>
        <w:pStyle w:val="SingleTxtG"/>
      </w:pPr>
      <w:r w:rsidRPr="00DD13AC">
        <w:rPr>
          <w:bCs/>
        </w:rPr>
        <w:t>14.</w:t>
      </w:r>
      <w:r w:rsidRPr="00DD13AC">
        <w:rPr>
          <w:bCs/>
        </w:rPr>
        <w:tab/>
      </w:r>
      <w:r>
        <w:t xml:space="preserve">The representative of </w:t>
      </w:r>
      <w:r w:rsidRPr="00DD13AC">
        <w:t xml:space="preserve">Novo Nordisk shared insights from </w:t>
      </w:r>
      <w:r>
        <w:t>the company’s</w:t>
      </w:r>
      <w:r w:rsidRPr="00DD13AC">
        <w:t xml:space="preserve"> experiences of conducting corporate-wide human rights impact and risk mapping. Some of the key lessons learned from the process were</w:t>
      </w:r>
      <w:r>
        <w:t xml:space="preserve"> that</w:t>
      </w:r>
      <w:r w:rsidRPr="00DD13AC">
        <w:t xml:space="preserve">: </w:t>
      </w:r>
    </w:p>
    <w:p w:rsidR="008E0BD4" w:rsidRPr="00DD13AC" w:rsidRDefault="008E0BD4" w:rsidP="008E0BD4">
      <w:pPr>
        <w:pStyle w:val="Bullet1G"/>
        <w:numPr>
          <w:ilvl w:val="0"/>
          <w:numId w:val="0"/>
        </w:numPr>
        <w:tabs>
          <w:tab w:val="left" w:pos="1701"/>
        </w:tabs>
        <w:ind w:left="1701" w:hanging="170"/>
      </w:pPr>
      <w:r w:rsidRPr="00DD13AC">
        <w:t>•</w:t>
      </w:r>
      <w:r w:rsidRPr="00DD13AC">
        <w:tab/>
        <w:t>Understanding the business context and realities f</w:t>
      </w:r>
      <w:r>
        <w:t>aced by those</w:t>
      </w:r>
      <w:r w:rsidRPr="00DD13AC">
        <w:t xml:space="preserve"> </w:t>
      </w:r>
      <w:r>
        <w:t xml:space="preserve">responsible for carrying out the human rights impact and risk mapping </w:t>
      </w:r>
      <w:r w:rsidRPr="00DD13AC">
        <w:t xml:space="preserve">is key. </w:t>
      </w:r>
      <w:r>
        <w:t>Such</w:t>
      </w:r>
      <w:r w:rsidRPr="00DD13AC">
        <w:t xml:space="preserve"> internal engagement and effort to understand builds buy-in and ownership;</w:t>
      </w:r>
    </w:p>
    <w:p w:rsidR="008E0BD4" w:rsidRPr="00DD13AC" w:rsidRDefault="008E0BD4" w:rsidP="008E0BD4">
      <w:pPr>
        <w:pStyle w:val="Bullet1G"/>
        <w:numPr>
          <w:ilvl w:val="0"/>
          <w:numId w:val="0"/>
        </w:numPr>
        <w:tabs>
          <w:tab w:val="left" w:pos="1701"/>
        </w:tabs>
        <w:ind w:left="1701" w:hanging="170"/>
      </w:pPr>
      <w:r w:rsidRPr="00DD13AC">
        <w:t>•</w:t>
      </w:r>
      <w:r w:rsidRPr="00DD13AC">
        <w:tab/>
        <w:t>Undertaking corporate level due diligence is a good starting point because it allows the company to identify priority areas for deeper due diligence and impact assessments at the local level. Th</w:t>
      </w:r>
      <w:r>
        <w:t>at</w:t>
      </w:r>
      <w:r w:rsidRPr="00DD13AC">
        <w:t xml:space="preserve"> deeper level will probably require different types of internal and external expertise;</w:t>
      </w:r>
    </w:p>
    <w:p w:rsidR="008E0BD4" w:rsidRPr="00DD13AC" w:rsidRDefault="008E0BD4" w:rsidP="008E0BD4">
      <w:pPr>
        <w:pStyle w:val="Bullet1G"/>
        <w:numPr>
          <w:ilvl w:val="0"/>
          <w:numId w:val="0"/>
        </w:numPr>
        <w:tabs>
          <w:tab w:val="left" w:pos="1701"/>
        </w:tabs>
        <w:ind w:left="1701" w:hanging="170"/>
      </w:pPr>
      <w:r w:rsidRPr="00DD13AC">
        <w:t>•</w:t>
      </w:r>
      <w:r w:rsidRPr="00DD13AC">
        <w:tab/>
        <w:t>The Guiding Principles helped the company to look at their human rights programmes with fresh eyes and in a more systematic way.</w:t>
      </w:r>
    </w:p>
    <w:p w:rsidR="008E0BD4" w:rsidRPr="00DD13AC" w:rsidRDefault="008E0BD4" w:rsidP="008E0BD4">
      <w:pPr>
        <w:pStyle w:val="H1G"/>
      </w:pPr>
      <w:r w:rsidRPr="00DD13AC">
        <w:tab/>
        <w:t>D.</w:t>
      </w:r>
      <w:r w:rsidRPr="00DD13AC">
        <w:tab/>
        <w:t>Internal human rights training and capacity</w:t>
      </w:r>
      <w:r>
        <w:t>-</w:t>
      </w:r>
      <w:r w:rsidRPr="00DD13AC">
        <w:t>building</w:t>
      </w:r>
    </w:p>
    <w:p w:rsidR="008E0BD4" w:rsidRPr="00DD13AC" w:rsidRDefault="008E0BD4" w:rsidP="008E0BD4">
      <w:pPr>
        <w:pStyle w:val="SingleTxtG"/>
      </w:pPr>
      <w:r w:rsidRPr="00DD13AC">
        <w:rPr>
          <w:bCs/>
        </w:rPr>
        <w:t>15.</w:t>
      </w:r>
      <w:r w:rsidRPr="00DD13AC">
        <w:rPr>
          <w:bCs/>
        </w:rPr>
        <w:tab/>
      </w:r>
      <w:r>
        <w:t xml:space="preserve">The representative of </w:t>
      </w:r>
      <w:r w:rsidRPr="00DD13AC">
        <w:t xml:space="preserve">ABB </w:t>
      </w:r>
      <w:r>
        <w:t>highlighted</w:t>
      </w:r>
      <w:r w:rsidRPr="00DD13AC">
        <w:t xml:space="preserve"> some key lessons and challenges regarding efforts to embed human rights in the company through human rights training and capacity</w:t>
      </w:r>
      <w:r>
        <w:t>-</w:t>
      </w:r>
      <w:r w:rsidRPr="00DD13AC">
        <w:t xml:space="preserve">building, including that: </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The leadership mandate from the </w:t>
      </w:r>
      <w:proofErr w:type="spellStart"/>
      <w:r w:rsidRPr="00DD13AC">
        <w:t>CEO</w:t>
      </w:r>
      <w:proofErr w:type="spellEnd"/>
      <w:r w:rsidRPr="00DD13AC">
        <w:t xml:space="preserve"> and senior management for training is key, but ensuring ongoing commitment in the context of stretched resources is a challenge for all businesses;</w:t>
      </w:r>
    </w:p>
    <w:p w:rsidR="008E0BD4" w:rsidRPr="00DD13AC" w:rsidRDefault="008E0BD4" w:rsidP="008E0BD4">
      <w:pPr>
        <w:pStyle w:val="Bullet1G"/>
        <w:numPr>
          <w:ilvl w:val="0"/>
          <w:numId w:val="0"/>
        </w:numPr>
        <w:tabs>
          <w:tab w:val="left" w:pos="1701"/>
        </w:tabs>
        <w:ind w:left="1701" w:hanging="170"/>
      </w:pPr>
      <w:r w:rsidRPr="00DD13AC">
        <w:t>•</w:t>
      </w:r>
      <w:r w:rsidRPr="00DD13AC">
        <w:tab/>
        <w:t>Achieving coherence across a group of 140,000 people is very difficult. Th</w:t>
      </w:r>
      <w:r>
        <w:t>at</w:t>
      </w:r>
      <w:r w:rsidRPr="00DD13AC">
        <w:t xml:space="preserve"> becomes even more of a challenge when a company has to consider diverse functions, different business units and membership of business associations;</w:t>
      </w:r>
    </w:p>
    <w:p w:rsidR="008E0BD4" w:rsidRPr="00DD13AC" w:rsidRDefault="008E0BD4" w:rsidP="008E0BD4">
      <w:pPr>
        <w:pStyle w:val="Bullet1G"/>
        <w:numPr>
          <w:ilvl w:val="0"/>
          <w:numId w:val="0"/>
        </w:numPr>
        <w:tabs>
          <w:tab w:val="left" w:pos="1701"/>
        </w:tabs>
        <w:ind w:left="1701" w:hanging="170"/>
      </w:pPr>
      <w:r w:rsidRPr="00DD13AC">
        <w:t>•</w:t>
      </w:r>
      <w:r w:rsidRPr="00DD13AC">
        <w:tab/>
        <w:t>Training is necessary, but it is imperative to put the correct processes in place to ensure people make the correct decisions. For example</w:t>
      </w:r>
      <w:r>
        <w:t>,</w:t>
      </w:r>
      <w:r w:rsidRPr="00DD13AC">
        <w:t xml:space="preserve"> the need for human rights training for the security function was highlighted, as </w:t>
      </w:r>
      <w:r>
        <w:t>security officers</w:t>
      </w:r>
      <w:r w:rsidRPr="00DD13AC">
        <w:t xml:space="preserve"> are also responsible for questions and requirements about human rights when contracting security providers;</w:t>
      </w:r>
    </w:p>
    <w:p w:rsidR="008E0BD4" w:rsidRPr="00DD13AC" w:rsidRDefault="008E0BD4" w:rsidP="008E0BD4">
      <w:pPr>
        <w:pStyle w:val="Bullet1G"/>
        <w:numPr>
          <w:ilvl w:val="0"/>
          <w:numId w:val="0"/>
        </w:numPr>
        <w:tabs>
          <w:tab w:val="left" w:pos="1701"/>
        </w:tabs>
        <w:ind w:left="1701" w:hanging="170"/>
      </w:pPr>
      <w:r w:rsidRPr="00DD13AC">
        <w:t>•</w:t>
      </w:r>
      <w:r w:rsidRPr="00DD13AC">
        <w:tab/>
        <w:t>Individuals who have been on training program</w:t>
      </w:r>
      <w:r>
        <w:t>me</w:t>
      </w:r>
      <w:r w:rsidRPr="00DD13AC">
        <w:t xml:space="preserve">s support the company in identifying human rights risks and gaps in company approaches. People who are well trained can become “eyes and ears” on the ground to support overall due diligence efforts. </w:t>
      </w:r>
    </w:p>
    <w:p w:rsidR="008E0BD4" w:rsidRPr="00DD13AC" w:rsidRDefault="008E0BD4" w:rsidP="008E0BD4">
      <w:pPr>
        <w:pStyle w:val="H1G"/>
      </w:pPr>
      <w:r w:rsidRPr="00DD13AC">
        <w:tab/>
        <w:t>E.</w:t>
      </w:r>
      <w:r w:rsidRPr="00DD13AC">
        <w:tab/>
        <w:t>Effectiveness of operational-level grievance mechanisms</w:t>
      </w:r>
    </w:p>
    <w:p w:rsidR="008E0BD4" w:rsidRPr="00DD13AC" w:rsidRDefault="008E0BD4" w:rsidP="008E0BD4">
      <w:pPr>
        <w:pStyle w:val="SingleTxtG"/>
      </w:pPr>
      <w:r w:rsidRPr="00DD13AC">
        <w:rPr>
          <w:bCs/>
        </w:rPr>
        <w:t>16.</w:t>
      </w:r>
      <w:r w:rsidRPr="00DD13AC">
        <w:rPr>
          <w:bCs/>
        </w:rPr>
        <w:tab/>
      </w:r>
      <w:r>
        <w:t>The representative of t</w:t>
      </w:r>
      <w:r w:rsidRPr="00DD13AC">
        <w:t xml:space="preserve">he BG Group shed light on experiences and challenges related to the effectiveness criteria for operational-level grievance mechanisms set out in the </w:t>
      </w:r>
      <w:r w:rsidRPr="00DD13AC">
        <w:lastRenderedPageBreak/>
        <w:t>Guiding Principles, as the company had learned several lessons about issues that can either help or hinder meeting the effectiveness criteria. The</w:t>
      </w:r>
      <w:r>
        <w:t xml:space="preserve"> lessons learned</w:t>
      </w:r>
      <w:r w:rsidRPr="00DD13AC">
        <w:t xml:space="preserve"> included: </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Good key performance indicators are critical. It is important to look at trends and not make judgements about effectiveness based on data at one point in time. One common pitfall highlighted was the </w:t>
      </w:r>
      <w:r>
        <w:t>mis</w:t>
      </w:r>
      <w:r w:rsidRPr="00DD13AC">
        <w:t xml:space="preserve">perception that </w:t>
      </w:r>
      <w:r>
        <w:t>few</w:t>
      </w:r>
      <w:r w:rsidRPr="00DD13AC">
        <w:t xml:space="preserve"> grievances </w:t>
      </w:r>
      <w:r>
        <w:t>was</w:t>
      </w:r>
      <w:r w:rsidRPr="00DD13AC">
        <w:t xml:space="preserve"> </w:t>
      </w:r>
      <w:r>
        <w:t>necessarily</w:t>
      </w:r>
      <w:r w:rsidRPr="00DD13AC">
        <w:t xml:space="preserve"> an indicator of success;</w:t>
      </w:r>
    </w:p>
    <w:p w:rsidR="008E0BD4" w:rsidRPr="00DD13AC" w:rsidRDefault="008E0BD4" w:rsidP="008E0BD4">
      <w:pPr>
        <w:pStyle w:val="Bullet1G"/>
        <w:numPr>
          <w:ilvl w:val="0"/>
          <w:numId w:val="0"/>
        </w:numPr>
        <w:tabs>
          <w:tab w:val="left" w:pos="1701"/>
        </w:tabs>
        <w:ind w:left="1701" w:hanging="170"/>
      </w:pPr>
      <w:r w:rsidRPr="00DD13AC">
        <w:t>•</w:t>
      </w:r>
      <w:r w:rsidRPr="00DD13AC">
        <w:tab/>
        <w:t>The design of the mechanism should be informed by stakeholder engagement, especially with those who may ultimately use the mechanism. Th</w:t>
      </w:r>
      <w:r>
        <w:t>at</w:t>
      </w:r>
      <w:r w:rsidRPr="00DD13AC">
        <w:t xml:space="preserve"> can help with questions of accessibility and cultural appropriateness;</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Addressing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8E0BD4" w:rsidRPr="00DD13AC" w:rsidRDefault="008E0BD4" w:rsidP="008E0BD4">
      <w:pPr>
        <w:pStyle w:val="SingleTxtG"/>
      </w:pPr>
      <w:r w:rsidRPr="00DD13AC">
        <w:rPr>
          <w:bCs/>
        </w:rPr>
        <w:t>17.</w:t>
      </w:r>
      <w:r w:rsidRPr="00DD13AC">
        <w:rPr>
          <w:bCs/>
        </w:rPr>
        <w:tab/>
      </w:r>
      <w:r>
        <w:t>I</w:t>
      </w:r>
      <w:r w:rsidRPr="00DD13AC">
        <w:t xml:space="preserve">n the context of insights related to implementation of operational grievance mechanisms, a toolbox and </w:t>
      </w:r>
      <w:r>
        <w:t xml:space="preserve">a </w:t>
      </w:r>
      <w:r w:rsidRPr="00DD13AC">
        <w:t xml:space="preserve">manual developed by </w:t>
      </w:r>
      <w:r>
        <w:t xml:space="preserve">the </w:t>
      </w:r>
      <w:r w:rsidRPr="00C315AC">
        <w:t xml:space="preserve">International Petroleum Industry Environmental Conservation Association </w:t>
      </w:r>
      <w:r>
        <w:t>(</w:t>
      </w:r>
      <w:proofErr w:type="spellStart"/>
      <w:r>
        <w:t>I</w:t>
      </w:r>
      <w:r w:rsidRPr="00DD13AC">
        <w:t>PIECA</w:t>
      </w:r>
      <w:proofErr w:type="spellEnd"/>
      <w:r>
        <w:t xml:space="preserve">) </w:t>
      </w:r>
      <w:r w:rsidRPr="00DD13AC">
        <w:t>were highlighted. The toolbox includes an awareness pack, template operating procedures, and a diagnostic tool for existing corporate grievance mechanisms.</w:t>
      </w:r>
      <w:r>
        <w:rPr>
          <w:rStyle w:val="ac"/>
        </w:rPr>
        <w:footnoteReference w:id="6"/>
      </w:r>
      <w:r w:rsidRPr="00DD13AC">
        <w:t xml:space="preserve"> The manual </w:t>
      </w:r>
      <w:r>
        <w:t xml:space="preserve">is </w:t>
      </w:r>
      <w:r w:rsidRPr="00DD13AC">
        <w:t>for site manager</w:t>
      </w:r>
      <w:r>
        <w:t>s</w:t>
      </w:r>
      <w:r w:rsidRPr="00DD13AC">
        <w:t xml:space="preserve"> a</w:t>
      </w:r>
      <w:r>
        <w:t>nd</w:t>
      </w:r>
      <w:r w:rsidRPr="00DD13AC">
        <w:t xml:space="preserve"> those at corporate level.</w:t>
      </w:r>
      <w:r>
        <w:rPr>
          <w:rStyle w:val="ac"/>
        </w:rPr>
        <w:footnoteReference w:id="7"/>
      </w:r>
      <w:r w:rsidRPr="00DD13AC">
        <w:t xml:space="preserve"> </w:t>
      </w:r>
    </w:p>
    <w:p w:rsidR="008E0BD4" w:rsidRPr="00DD13AC" w:rsidRDefault="008E0BD4" w:rsidP="008E0BD4">
      <w:pPr>
        <w:pStyle w:val="H1G"/>
      </w:pPr>
      <w:r w:rsidRPr="00DD13AC">
        <w:tab/>
        <w:t>F.</w:t>
      </w:r>
      <w:r w:rsidRPr="00DD13AC">
        <w:tab/>
        <w:t xml:space="preserve">General observations from the discussion on embedding the Guiding Principles in </w:t>
      </w:r>
      <w:r>
        <w:t xml:space="preserve">company policies, </w:t>
      </w:r>
      <w:r w:rsidRPr="00DD13AC">
        <w:t>processes</w:t>
      </w:r>
      <w:r>
        <w:t xml:space="preserve"> </w:t>
      </w:r>
      <w:r w:rsidRPr="00DD13AC">
        <w:t>and</w:t>
      </w:r>
      <w:r>
        <w:t xml:space="preserve"> </w:t>
      </w:r>
      <w:r w:rsidRPr="00DD13AC">
        <w:t>decision-making</w:t>
      </w:r>
    </w:p>
    <w:p w:rsidR="008E0BD4" w:rsidRPr="00DD13AC" w:rsidRDefault="008E0BD4" w:rsidP="008E0BD4">
      <w:pPr>
        <w:pStyle w:val="H23G"/>
      </w:pPr>
      <w:r w:rsidRPr="00DD13AC">
        <w:tab/>
      </w:r>
      <w:r>
        <w:t>1.</w:t>
      </w:r>
      <w:r w:rsidRPr="00DD13AC">
        <w:tab/>
        <w:t xml:space="preserve">Where company commitment exists, the Guiding Principles </w:t>
      </w:r>
      <w:r w:rsidRPr="00422AA4">
        <w:rPr>
          <w:iCs/>
        </w:rPr>
        <w:t xml:space="preserve">are </w:t>
      </w:r>
      <w:r w:rsidRPr="00DD13AC">
        <w:t xml:space="preserve">influencing practices and decision making </w:t>
      </w:r>
    </w:p>
    <w:p w:rsidR="008E0BD4" w:rsidRPr="00DD13AC" w:rsidRDefault="008E0BD4" w:rsidP="008E0BD4">
      <w:pPr>
        <w:pStyle w:val="SingleTxtG"/>
      </w:pPr>
      <w:r w:rsidRPr="00DD13AC">
        <w:rPr>
          <w:bCs/>
        </w:rPr>
        <w:t>18.</w:t>
      </w:r>
      <w:r w:rsidRPr="00DD13AC">
        <w:rPr>
          <w:bCs/>
        </w:rPr>
        <w:tab/>
      </w:r>
      <w:r w:rsidRPr="00DD13AC">
        <w:t>Speakers noted that the endorsement of the Guiding Principles by the Human Rights Council provoked a step-up, or reset, of their human rights commitments and work. Equally important</w:t>
      </w:r>
      <w:r>
        <w:t>ly</w:t>
      </w:r>
      <w:r w:rsidRPr="00DD13AC">
        <w:t xml:space="preserve">, the content of the Guiding Principles has begun to influence the details of implementation. Speakers described instances where the spirit and letter of the Guiding Principles are making their way into policies, practices and processes. The panel touched upon </w:t>
      </w:r>
      <w:proofErr w:type="spellStart"/>
      <w:r w:rsidRPr="00DD13AC">
        <w:t>CEO</w:t>
      </w:r>
      <w:proofErr w:type="spellEnd"/>
      <w:r w:rsidRPr="00DD13AC">
        <w:t xml:space="preserve"> engagement on human rights, upgraded policy commitments, cross-functional involvement, strong investment in internal capacity</w:t>
      </w:r>
      <w:r>
        <w:t>-</w:t>
      </w:r>
      <w:r w:rsidRPr="00DD13AC">
        <w:t>building to support horizontal and vertical coherence, methodologies to apply human rights due diligence, embedding human rights considerations into core processes, and enhancing operational grievance mechanisms. Examples of where the Guiding Principles are directly influenc</w:t>
      </w:r>
      <w:r>
        <w:t>ing</w:t>
      </w:r>
      <w:r w:rsidRPr="00DD13AC">
        <w:t xml:space="preserve"> policies and processes include due diligence that looks at all operations and all human rights</w:t>
      </w:r>
      <w:r>
        <w:t>,</w:t>
      </w:r>
      <w:r w:rsidRPr="00DD13AC">
        <w:t xml:space="preserve"> </w:t>
      </w:r>
      <w:r>
        <w:t>as opposed to</w:t>
      </w:r>
      <w:r w:rsidRPr="00DD13AC">
        <w:t xml:space="preserve"> one function and a sub-set of rights; wording about addressing conflict of laws in codes of conduct; </w:t>
      </w:r>
      <w:r>
        <w:t xml:space="preserve">the </w:t>
      </w:r>
      <w:r w:rsidRPr="00DD13AC">
        <w:t xml:space="preserve">use of </w:t>
      </w:r>
      <w:r>
        <w:t xml:space="preserve">the phrase </w:t>
      </w:r>
      <w:r w:rsidRPr="00DD13AC">
        <w:t xml:space="preserve">“cause, contribute and directly linked” when engaging colleagues about the company’s impact; and verbatim inclusion of the effectiveness criteria for grievance mechanisms </w:t>
      </w:r>
      <w:r>
        <w:t xml:space="preserve">contained in the </w:t>
      </w:r>
      <w:r w:rsidRPr="00DD13AC">
        <w:t xml:space="preserve">Guiding Principles in company standards and operating procedures. </w:t>
      </w:r>
    </w:p>
    <w:p w:rsidR="008E0BD4" w:rsidRPr="00DD13AC" w:rsidRDefault="008E0BD4" w:rsidP="008E0BD4">
      <w:pPr>
        <w:pStyle w:val="H23G"/>
      </w:pPr>
      <w:r w:rsidRPr="00DD13AC">
        <w:lastRenderedPageBreak/>
        <w:tab/>
      </w:r>
      <w:r>
        <w:t>2.</w:t>
      </w:r>
      <w:r w:rsidRPr="00DD13AC">
        <w:tab/>
        <w:t>Some convergence is occurring around foundational building blocks and associated tools and approaches</w:t>
      </w:r>
    </w:p>
    <w:p w:rsidR="008E0BD4" w:rsidRPr="00DD13AC" w:rsidRDefault="008E0BD4" w:rsidP="008E0BD4">
      <w:pPr>
        <w:pStyle w:val="SingleTxtG"/>
      </w:pPr>
      <w:r w:rsidRPr="00DD13AC">
        <w:rPr>
          <w:bCs/>
        </w:rPr>
        <w:t>19.</w:t>
      </w:r>
      <w:r w:rsidRPr="00DD13AC">
        <w:rPr>
          <w:bCs/>
        </w:rPr>
        <w:tab/>
      </w:r>
      <w:r w:rsidRPr="00DD13AC">
        <w:t>Speakers were invited to address one aspect of their human rights work, as each sector and company establish</w:t>
      </w:r>
      <w:r>
        <w:t>es</w:t>
      </w:r>
      <w:r w:rsidRPr="00DD13AC">
        <w:t xml:space="preserve"> an approach to human rights that fits their circumstances. At the same time, it seems </w:t>
      </w:r>
      <w:r>
        <w:t xml:space="preserve">that </w:t>
      </w:r>
      <w:r w:rsidRPr="00DD13AC">
        <w:t xml:space="preserve">a picture is beginning to emerge about some key foundational building blocks relating to implementing respect for human rights. </w:t>
      </w:r>
      <w:r>
        <w:t>S</w:t>
      </w:r>
      <w:r w:rsidRPr="00DD13AC">
        <w:t>peakers presented or referenced tools and resources that have been developed in-house</w:t>
      </w:r>
      <w:r>
        <w:t>,</w:t>
      </w:r>
      <w:r w:rsidRPr="00DD13AC">
        <w:t xml:space="preserve"> </w:t>
      </w:r>
      <w:r>
        <w:t>albeit</w:t>
      </w:r>
      <w:r w:rsidRPr="00DD13AC">
        <w:t xml:space="preserve"> often with the help of external experts. For example: </w:t>
      </w:r>
    </w:p>
    <w:p w:rsidR="008E0BD4" w:rsidRPr="00DD13AC" w:rsidRDefault="008E0BD4" w:rsidP="008E0BD4">
      <w:pPr>
        <w:pStyle w:val="Bullet1G"/>
        <w:numPr>
          <w:ilvl w:val="0"/>
          <w:numId w:val="0"/>
        </w:numPr>
        <w:tabs>
          <w:tab w:val="left" w:pos="1701"/>
        </w:tabs>
        <w:ind w:left="1701" w:hanging="170"/>
      </w:pPr>
      <w:r w:rsidRPr="00DD13AC">
        <w:t>•</w:t>
      </w:r>
      <w:r w:rsidRPr="00DD13AC">
        <w:tab/>
      </w:r>
      <w:r w:rsidRPr="00DD13AC">
        <w:rPr>
          <w:bCs/>
        </w:rPr>
        <w:t>To establish priorities and a road map</w:t>
      </w:r>
      <w:r w:rsidRPr="00DD13AC">
        <w:t>, some companies are developing in-house Excel and Word tools to map human rights risks at a corporate</w:t>
      </w:r>
      <w:r>
        <w:t xml:space="preserve"> </w:t>
      </w:r>
      <w:r w:rsidRPr="00DD13AC">
        <w:t>level. Th</w:t>
      </w:r>
      <w:r>
        <w:t>o</w:t>
      </w:r>
      <w:r w:rsidRPr="00DD13AC">
        <w:t>se tools cover all business processes, the value chain and operational contexts</w:t>
      </w:r>
      <w:r>
        <w:t>,</w:t>
      </w:r>
      <w:r w:rsidRPr="00DD13AC">
        <w:t xml:space="preserve"> address the adequacy of current policy and practice</w:t>
      </w:r>
      <w:r>
        <w:t>,</w:t>
      </w:r>
      <w:r w:rsidRPr="00DD13AC">
        <w:t xml:space="preserve"> and are based on the Guiding Principles</w:t>
      </w:r>
      <w:r w:rsidRPr="00DD13AC">
        <w:rPr>
          <w:rFonts w:eastAsia="MS Gothic" w:hAnsi="MS Gothic"/>
        </w:rPr>
        <w:t>;</w:t>
      </w:r>
    </w:p>
    <w:p w:rsidR="008E0BD4" w:rsidRPr="00DD13AC" w:rsidRDefault="008E0BD4" w:rsidP="008E0BD4">
      <w:pPr>
        <w:pStyle w:val="Bullet1G"/>
        <w:numPr>
          <w:ilvl w:val="0"/>
          <w:numId w:val="0"/>
        </w:numPr>
        <w:tabs>
          <w:tab w:val="left" w:pos="1701"/>
        </w:tabs>
        <w:ind w:left="1701" w:hanging="170"/>
      </w:pPr>
      <w:r w:rsidRPr="00DD13AC">
        <w:t>•</w:t>
      </w:r>
      <w:r w:rsidRPr="00DD13AC">
        <w:tab/>
      </w:r>
      <w:r w:rsidRPr="00DD13AC">
        <w:rPr>
          <w:bCs/>
        </w:rPr>
        <w:t>To strengthen internal coherence and commitment to action</w:t>
      </w:r>
      <w:r w:rsidRPr="00DD13AC">
        <w:t>, some companies are hosting cross-functional meetings and workshops or establishing cross-functional working groups or committees;</w:t>
      </w:r>
    </w:p>
    <w:p w:rsidR="008E0BD4" w:rsidRPr="00DD13AC" w:rsidRDefault="008E0BD4" w:rsidP="008E0BD4">
      <w:pPr>
        <w:pStyle w:val="Bullet1G"/>
        <w:numPr>
          <w:ilvl w:val="0"/>
          <w:numId w:val="0"/>
        </w:numPr>
        <w:tabs>
          <w:tab w:val="left" w:pos="1701"/>
        </w:tabs>
        <w:ind w:left="1701" w:hanging="170"/>
      </w:pPr>
      <w:r w:rsidRPr="00DD13AC">
        <w:t>•</w:t>
      </w:r>
      <w:r w:rsidRPr="00DD13AC">
        <w:tab/>
      </w:r>
      <w:r w:rsidRPr="00DD13AC">
        <w:rPr>
          <w:bCs/>
        </w:rPr>
        <w:t>To build capacity and awareness</w:t>
      </w:r>
      <w:r w:rsidRPr="00DD13AC">
        <w:t>, some companies are publishing internal guides or developing training modules that address basic definitional questions while using examples and operational language relevant to the business;</w:t>
      </w:r>
    </w:p>
    <w:p w:rsidR="008E0BD4" w:rsidRPr="00DD13AC" w:rsidRDefault="008E0BD4" w:rsidP="008E0BD4">
      <w:pPr>
        <w:pStyle w:val="Bullet1G"/>
        <w:numPr>
          <w:ilvl w:val="0"/>
          <w:numId w:val="0"/>
        </w:numPr>
        <w:tabs>
          <w:tab w:val="left" w:pos="1701"/>
        </w:tabs>
        <w:ind w:left="1701" w:hanging="170"/>
      </w:pPr>
      <w:r w:rsidRPr="00DD13AC">
        <w:t>•</w:t>
      </w:r>
      <w:r w:rsidRPr="00DD13AC">
        <w:tab/>
      </w:r>
      <w:r w:rsidRPr="00DD13AC">
        <w:rPr>
          <w:bCs/>
        </w:rPr>
        <w:t>To begin to prevent and mitigate adverse human rights impacts</w:t>
      </w:r>
      <w:r w:rsidRPr="00DD13AC">
        <w:t>, some companies are using a mixture of self-assessments, studies and impact assessments. The</w:t>
      </w:r>
      <w:r>
        <w:t>y</w:t>
      </w:r>
      <w:r w:rsidRPr="00DD13AC">
        <w:t xml:space="preserve"> can relate to a specific function, a country, an operation or a product or service in the value chain;</w:t>
      </w:r>
    </w:p>
    <w:p w:rsidR="008E0BD4" w:rsidRPr="00DD13AC" w:rsidRDefault="008E0BD4" w:rsidP="008E0BD4">
      <w:pPr>
        <w:pStyle w:val="Bullet1G"/>
        <w:numPr>
          <w:ilvl w:val="0"/>
          <w:numId w:val="0"/>
        </w:numPr>
        <w:tabs>
          <w:tab w:val="left" w:pos="1701"/>
        </w:tabs>
        <w:ind w:left="1701" w:hanging="170"/>
      </w:pPr>
      <w:r w:rsidRPr="00DD13AC">
        <w:t>•</w:t>
      </w:r>
      <w:r w:rsidRPr="00DD13AC">
        <w:tab/>
      </w:r>
      <w:r w:rsidRPr="00DD13AC">
        <w:rPr>
          <w:bCs/>
        </w:rPr>
        <w:t xml:space="preserve">To </w:t>
      </w:r>
      <w:r>
        <w:rPr>
          <w:bCs/>
        </w:rPr>
        <w:t>start</w:t>
      </w:r>
      <w:r w:rsidRPr="00DD13AC">
        <w:rPr>
          <w:bCs/>
        </w:rPr>
        <w:t xml:space="preserve"> thinking about grievance mechanisms, </w:t>
      </w:r>
      <w:r w:rsidRPr="00DD13AC">
        <w:t xml:space="preserve">some companies are beginning to develop tools to assess current mechanisms against the effectiveness criteria set out </w:t>
      </w:r>
      <w:r>
        <w:t>in</w:t>
      </w:r>
      <w:r w:rsidRPr="00DD13AC">
        <w:t xml:space="preserve"> the Guiding Principles. </w:t>
      </w:r>
    </w:p>
    <w:p w:rsidR="008E0BD4" w:rsidRPr="00DD13AC" w:rsidRDefault="008E0BD4" w:rsidP="008E0BD4">
      <w:pPr>
        <w:pStyle w:val="H23G"/>
      </w:pPr>
      <w:r w:rsidRPr="00DD13AC">
        <w:tab/>
      </w:r>
      <w:r>
        <w:t>3.</w:t>
      </w:r>
      <w:r w:rsidRPr="00DD13AC">
        <w:tab/>
        <w:t>Putting the basics in place within large organi</w:t>
      </w:r>
      <w:r>
        <w:t>z</w:t>
      </w:r>
      <w:r w:rsidRPr="00DD13AC">
        <w:t>ations takes time</w:t>
      </w:r>
      <w:r>
        <w:t xml:space="preserve">, and </w:t>
      </w:r>
      <w:r w:rsidRPr="00DD13AC">
        <w:t xml:space="preserve">implementation is an ongoing journey </w:t>
      </w:r>
      <w:r>
        <w:t>during which</w:t>
      </w:r>
      <w:r w:rsidRPr="00DD13AC">
        <w:t xml:space="preserve"> things </w:t>
      </w:r>
      <w:r>
        <w:t xml:space="preserve">can </w:t>
      </w:r>
      <w:r w:rsidRPr="00DD13AC">
        <w:t xml:space="preserve">change </w:t>
      </w:r>
      <w:r>
        <w:t>and</w:t>
      </w:r>
      <w:r w:rsidRPr="00DD13AC">
        <w:t xml:space="preserve"> go wrong </w:t>
      </w:r>
    </w:p>
    <w:p w:rsidR="008E0BD4" w:rsidRPr="00DD13AC" w:rsidRDefault="008E0BD4" w:rsidP="008E0BD4">
      <w:pPr>
        <w:pStyle w:val="SingleTxtG"/>
      </w:pPr>
      <w:r w:rsidRPr="00DD13AC">
        <w:rPr>
          <w:bCs/>
        </w:rPr>
        <w:t>20.</w:t>
      </w:r>
      <w:r w:rsidRPr="00DD13AC">
        <w:rPr>
          <w:bCs/>
        </w:rPr>
        <w:tab/>
      </w:r>
      <w:r w:rsidRPr="00DD13AC">
        <w:t xml:space="preserve">The session was a reminder of the attention and time it takes for a single company to address </w:t>
      </w:r>
      <w:r w:rsidRPr="00D06973">
        <w:rPr>
          <w:iCs/>
        </w:rPr>
        <w:t>one aspect</w:t>
      </w:r>
      <w:r w:rsidRPr="00DD13AC">
        <w:t xml:space="preserve"> of </w:t>
      </w:r>
      <w:r>
        <w:t>its</w:t>
      </w:r>
      <w:r w:rsidRPr="00DD13AC">
        <w:t xml:space="preserve"> human rights programme. </w:t>
      </w:r>
      <w:r>
        <w:t>E</w:t>
      </w:r>
      <w:r w:rsidRPr="00DD13AC">
        <w:t>ven for companies that are actively engaged and committed to implement</w:t>
      </w:r>
      <w:r>
        <w:t>ing</w:t>
      </w:r>
      <w:r w:rsidRPr="00DD13AC">
        <w:t xml:space="preserve"> corporate respect for human rights, getting the basics in place across vast entities and value chains takes time. It also seemed clear that even the best tools, processes and systems can be undermined by personnel changes, restructuring and bad decision-making. Th</w:t>
      </w:r>
      <w:r>
        <w:t>at</w:t>
      </w:r>
      <w:r w:rsidRPr="00DD13AC">
        <w:t xml:space="preserve"> is true of every aspect of corporate life and emphasizes the need to build coherence, the correct incentives, robust processes, awareness and culture. </w:t>
      </w:r>
    </w:p>
    <w:p w:rsidR="008E0BD4" w:rsidRPr="00DD13AC" w:rsidRDefault="008E0BD4" w:rsidP="008E0BD4">
      <w:pPr>
        <w:pStyle w:val="H23G"/>
      </w:pPr>
      <w:r w:rsidRPr="00DD13AC">
        <w:tab/>
      </w:r>
      <w:r>
        <w:t>4.</w:t>
      </w:r>
      <w:r w:rsidRPr="00DD13AC">
        <w:tab/>
        <w:t xml:space="preserve">Given </w:t>
      </w:r>
      <w:r>
        <w:t xml:space="preserve">that </w:t>
      </w:r>
      <w:r w:rsidRPr="00DD13AC">
        <w:t xml:space="preserve">companies are acknowledging that it takes time to put in place the necessary components to respect human rights, questions remain regarding the timelines for suppliers to meet expectations </w:t>
      </w:r>
    </w:p>
    <w:p w:rsidR="008E0BD4" w:rsidRPr="00DD13AC" w:rsidRDefault="008E0BD4" w:rsidP="008E0BD4">
      <w:pPr>
        <w:pStyle w:val="SingleTxtG"/>
      </w:pPr>
      <w:r w:rsidRPr="00DD13AC">
        <w:rPr>
          <w:bCs/>
        </w:rPr>
        <w:t>21.</w:t>
      </w:r>
      <w:r w:rsidRPr="00DD13AC">
        <w:rPr>
          <w:bCs/>
        </w:rPr>
        <w:tab/>
      </w:r>
      <w:r w:rsidRPr="00DD13AC">
        <w:t xml:space="preserve">The panel noted that </w:t>
      </w:r>
      <w:r>
        <w:t>assessing</w:t>
      </w:r>
      <w:r w:rsidRPr="00DD13AC">
        <w:t xml:space="preserve"> whether a supplier or business partner is a good performer or not regarding respect for human rights</w:t>
      </w:r>
      <w:r>
        <w:t xml:space="preserve"> was rarely a simple process</w:t>
      </w:r>
      <w:r w:rsidRPr="00DD13AC">
        <w:t>. Certain rights m</w:t>
      </w:r>
      <w:r>
        <w:t>ight</w:t>
      </w:r>
      <w:r w:rsidRPr="00DD13AC">
        <w:t xml:space="preserve"> be very well respected and others not. The decision then becomes about whether to work with the supplier towards improvement</w:t>
      </w:r>
      <w:r>
        <w:t>,</w:t>
      </w:r>
      <w:r w:rsidRPr="00DD13AC">
        <w:t xml:space="preserve"> what is non-negotiable in terms of current practice or timetable for corrective action and how to work with the supplier to raise performance. It was acknowledged that a further query that needs to be addressed is what companies should ask of business partners to substantiate the judg</w:t>
      </w:r>
      <w:r>
        <w:t>e</w:t>
      </w:r>
      <w:r w:rsidRPr="00DD13AC">
        <w:t xml:space="preserve">ment about their performance regarding human rights. </w:t>
      </w:r>
    </w:p>
    <w:p w:rsidR="008E0BD4" w:rsidRPr="00DD13AC" w:rsidRDefault="008E0BD4" w:rsidP="008E0BD4">
      <w:pPr>
        <w:pStyle w:val="H23G"/>
      </w:pPr>
      <w:r w:rsidRPr="00DD13AC">
        <w:lastRenderedPageBreak/>
        <w:tab/>
      </w:r>
      <w:r>
        <w:t>5.</w:t>
      </w:r>
      <w:r w:rsidRPr="00DD13AC">
        <w:tab/>
      </w:r>
      <w:r>
        <w:t>C</w:t>
      </w:r>
      <w:r w:rsidRPr="00DD13AC">
        <w:t>oherence and endurance</w:t>
      </w:r>
      <w:r>
        <w:t xml:space="preserve"> are </w:t>
      </w:r>
      <w:r w:rsidRPr="00DD13AC">
        <w:t>importan</w:t>
      </w:r>
      <w:r>
        <w:t>t</w:t>
      </w:r>
      <w:r w:rsidRPr="00DD13AC">
        <w:t>, as good systems and policies do not mean things cannot go wrong</w:t>
      </w:r>
      <w:r>
        <w:t>,</w:t>
      </w:r>
      <w:r w:rsidRPr="00DD13AC">
        <w:t xml:space="preserve"> and the reasons why things go wrong are not necessarily</w:t>
      </w:r>
      <w:r>
        <w:t xml:space="preserve"> simple</w:t>
      </w:r>
      <w:r w:rsidRPr="00DD13AC">
        <w:t xml:space="preserve"> </w:t>
      </w:r>
    </w:p>
    <w:p w:rsidR="008E0BD4" w:rsidRPr="00DD13AC" w:rsidRDefault="008E0BD4" w:rsidP="008E0BD4">
      <w:pPr>
        <w:pStyle w:val="SingleTxtG"/>
      </w:pPr>
      <w:r w:rsidRPr="00DD13AC">
        <w:rPr>
          <w:bCs/>
        </w:rPr>
        <w:t>22.</w:t>
      </w:r>
      <w:r w:rsidRPr="00DD13AC">
        <w:rPr>
          <w:bCs/>
        </w:rPr>
        <w:tab/>
      </w:r>
      <w:r w:rsidRPr="00DD13AC">
        <w:t>In essence, things can go wrong because companies are made up of people and people do not always follow the rules. It was noted that there is not one reason for th</w:t>
      </w:r>
      <w:r>
        <w:t>at</w:t>
      </w:r>
      <w:r w:rsidRPr="00DD13AC">
        <w:t>. It can be a result of different cultural understandings of a rule or the idea of rules. It can be a function of an incentive structure that does not prioritize certain rules in favour of other objectives. Sometimes people</w:t>
      </w:r>
      <w:r>
        <w:t>,</w:t>
      </w:r>
      <w:r w:rsidRPr="00DD13AC">
        <w:t xml:space="preserve"> often a very small number</w:t>
      </w:r>
      <w:r>
        <w:t>,</w:t>
      </w:r>
      <w:r w:rsidRPr="00DD13AC">
        <w:t xml:space="preserve"> simply do not want to follow the rules. All of th</w:t>
      </w:r>
      <w:r>
        <w:t>at</w:t>
      </w:r>
      <w:r w:rsidRPr="00DD13AC">
        <w:t xml:space="preserve"> reinforces the importance of coherence, the correct incentives, robust processes, awareness and culture. </w:t>
      </w:r>
    </w:p>
    <w:p w:rsidR="008E0BD4" w:rsidRPr="00DD13AC" w:rsidRDefault="008E0BD4" w:rsidP="008E0BD4">
      <w:pPr>
        <w:pStyle w:val="H23G"/>
      </w:pPr>
      <w:r w:rsidRPr="00DD13AC">
        <w:tab/>
      </w:r>
      <w:r>
        <w:t>6.</w:t>
      </w:r>
      <w:r w:rsidRPr="00DD13AC">
        <w:tab/>
        <w:t xml:space="preserve">There is a communication gap </w:t>
      </w:r>
    </w:p>
    <w:p w:rsidR="008E0BD4" w:rsidRPr="00DD13AC" w:rsidRDefault="008E0BD4" w:rsidP="008E0BD4">
      <w:pPr>
        <w:pStyle w:val="SingleTxtG"/>
      </w:pPr>
      <w:r w:rsidRPr="00DD13AC">
        <w:rPr>
          <w:bCs/>
        </w:rPr>
        <w:t>23.</w:t>
      </w:r>
      <w:r w:rsidRPr="00DD13AC">
        <w:rPr>
          <w:bCs/>
        </w:rPr>
        <w:tab/>
      </w:r>
      <w:r w:rsidRPr="00DD13AC">
        <w:t xml:space="preserve">Committed companies may not be sharing and discussing the totality of what they do with stakeholders and the public. A few speakers noted that </w:t>
      </w:r>
      <w:r>
        <w:t>such</w:t>
      </w:r>
      <w:r w:rsidRPr="00DD13AC">
        <w:t xml:space="preserve"> reticence often comes from knowledge that there is still much more work to be done. Further</w:t>
      </w:r>
      <w:r>
        <w:t>more</w:t>
      </w:r>
      <w:r w:rsidRPr="00DD13AC">
        <w:t>, a bad incident or error could render communication of progress and action meaningless</w:t>
      </w:r>
      <w:r>
        <w:t>,</w:t>
      </w:r>
      <w:r w:rsidRPr="00DD13AC">
        <w:t xml:space="preserve"> or worse, disingenuous</w:t>
      </w:r>
      <w:r>
        <w:t>,</w:t>
      </w:r>
      <w:r w:rsidRPr="00DD13AC">
        <w:t xml:space="preserve"> in the eyes of some stakeholders. At the same time, it is likely that stakeholders could interpret limited communication as reflecting a limited or hollow commitment. </w:t>
      </w:r>
    </w:p>
    <w:p w:rsidR="008E0BD4" w:rsidRPr="00DD13AC" w:rsidRDefault="008E0BD4" w:rsidP="008E0BD4">
      <w:pPr>
        <w:pStyle w:val="H23G"/>
      </w:pPr>
      <w:r w:rsidRPr="00DD13AC">
        <w:tab/>
      </w:r>
      <w:r>
        <w:t>7.</w:t>
      </w:r>
      <w:r w:rsidRPr="00DD13AC">
        <w:tab/>
      </w:r>
      <w:r>
        <w:t>S</w:t>
      </w:r>
      <w:r w:rsidRPr="00DD13AC">
        <w:t xml:space="preserve">takeholder engagement </w:t>
      </w:r>
      <w:r>
        <w:t>is of critical</w:t>
      </w:r>
      <w:r w:rsidRPr="00DD13AC">
        <w:t xml:space="preserve"> value </w:t>
      </w:r>
    </w:p>
    <w:p w:rsidR="008E0BD4" w:rsidRPr="00DD13AC" w:rsidRDefault="008E0BD4" w:rsidP="008E0BD4">
      <w:pPr>
        <w:pStyle w:val="SingleTxtG"/>
      </w:pPr>
      <w:r w:rsidRPr="00DD13AC">
        <w:rPr>
          <w:bCs/>
        </w:rPr>
        <w:t>24.</w:t>
      </w:r>
      <w:r w:rsidRPr="00DD13AC">
        <w:rPr>
          <w:bCs/>
        </w:rPr>
        <w:tab/>
      </w:r>
      <w:r w:rsidRPr="00DD13AC">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w:t>
      </w:r>
      <w:r>
        <w:t>such</w:t>
      </w:r>
      <w:r w:rsidRPr="00DD13AC">
        <w:t xml:space="preserve"> tensions can exist, and that in order to avoid th</w:t>
      </w:r>
      <w:r>
        <w:t>em</w:t>
      </w:r>
      <w:r w:rsidRPr="00DD13AC">
        <w:t xml:space="preserve"> as much as possible, it is imperative that the company has cross-functional buy-in, discusses the issues in depth, and addresses the budgeting</w:t>
      </w:r>
      <w:r>
        <w:t xml:space="preserve"> and </w:t>
      </w:r>
      <w:r w:rsidRPr="00DD13AC">
        <w:t xml:space="preserve">resource question up front. </w:t>
      </w:r>
    </w:p>
    <w:p w:rsidR="008E0BD4" w:rsidRPr="00DD13AC" w:rsidRDefault="008E0BD4" w:rsidP="008E0BD4">
      <w:pPr>
        <w:pStyle w:val="HChG"/>
      </w:pPr>
      <w:r w:rsidRPr="00DD13AC">
        <w:tab/>
        <w:t>IV.</w:t>
      </w:r>
      <w:r w:rsidRPr="00DD13AC">
        <w:tab/>
        <w:t>Examples of engagement</w:t>
      </w:r>
      <w:r>
        <w:t xml:space="preserve"> between </w:t>
      </w:r>
      <w:r w:rsidRPr="004748EE">
        <w:t>non-governmental organization</w:t>
      </w:r>
      <w:r>
        <w:t xml:space="preserve">s and </w:t>
      </w:r>
      <w:r w:rsidRPr="00DD13AC">
        <w:t>business to advance implementation of the corporate responsibility to respect human rights</w:t>
      </w:r>
    </w:p>
    <w:p w:rsidR="008E0BD4" w:rsidRPr="00DD13AC" w:rsidRDefault="008E0BD4" w:rsidP="008E0BD4">
      <w:pPr>
        <w:pStyle w:val="H1G"/>
      </w:pPr>
      <w:r w:rsidRPr="00DD13AC">
        <w:tab/>
        <w:t>A.</w:t>
      </w:r>
      <w:r w:rsidRPr="00DD13AC">
        <w:tab/>
        <w:t>Introduction</w:t>
      </w:r>
    </w:p>
    <w:p w:rsidR="008E0BD4" w:rsidRPr="00DD13AC" w:rsidRDefault="008E0BD4" w:rsidP="008E0BD4">
      <w:pPr>
        <w:pStyle w:val="SingleTxtG"/>
      </w:pPr>
      <w:r w:rsidRPr="00DD13AC">
        <w:rPr>
          <w:bCs/>
        </w:rPr>
        <w:t>25.</w:t>
      </w:r>
      <w:r w:rsidRPr="00DD13AC">
        <w:rPr>
          <w:bCs/>
        </w:rPr>
        <w:tab/>
      </w:r>
      <w:r w:rsidRPr="00DD13AC">
        <w:t xml:space="preserve">The second panel of the session </w:t>
      </w:r>
      <w:r>
        <w:t>was entitled</w:t>
      </w:r>
      <w:r w:rsidRPr="00DD13AC">
        <w:t xml:space="preserve"> “Applying the Guiding Principles in specific cases: cases of collaboration between civil society organizations and business”. As the Guiding Principles are a means to an end</w:t>
      </w:r>
      <w:r>
        <w:t>, intended</w:t>
      </w:r>
      <w:r w:rsidRPr="00DD13AC">
        <w:t xml:space="preserve"> to ensure that the human rights of those impacted by business operations, decisions, omissions and actions are respected and protected, and that remedy is provided in the case of adverse impacts</w:t>
      </w:r>
      <w:r>
        <w:t>,</w:t>
      </w:r>
      <w:r w:rsidRPr="00DD13AC">
        <w:t xml:space="preserve"> their implementation is far more than the development or enhancement of policies, processes and management systems. </w:t>
      </w:r>
      <w:r>
        <w:t>C</w:t>
      </w:r>
      <w:r w:rsidRPr="00DD13AC">
        <w:t xml:space="preserve">ompanies </w:t>
      </w:r>
      <w:r>
        <w:t xml:space="preserve">therefore </w:t>
      </w:r>
      <w:r w:rsidRPr="00DD13AC">
        <w:t>should and need to communicate openly about specific cases and situations</w:t>
      </w:r>
      <w:r>
        <w:t>,</w:t>
      </w:r>
      <w:r w:rsidRPr="00DD13AC">
        <w:t xml:space="preserve"> including </w:t>
      </w:r>
      <w:r>
        <w:t>ones in which</w:t>
      </w:r>
      <w:r w:rsidRPr="00DD13AC">
        <w:t xml:space="preserve"> they have made progress, but also </w:t>
      </w:r>
      <w:r>
        <w:t>cases and situations in which</w:t>
      </w:r>
      <w:r w:rsidRPr="00DD13AC">
        <w:t xml:space="preserve"> mistakes have been made and lessons have been learned. Further</w:t>
      </w:r>
      <w:r>
        <w:t>more</w:t>
      </w:r>
      <w:r w:rsidRPr="00DD13AC">
        <w:t>, understanding what good quality and meaningful respect looks like in practice is a task that is highly dependent on the specific operating and human rights context</w:t>
      </w:r>
      <w:r>
        <w:t>;</w:t>
      </w:r>
      <w:r w:rsidRPr="00DD13AC">
        <w:t xml:space="preserve"> in th</w:t>
      </w:r>
      <w:r>
        <w:t>at</w:t>
      </w:r>
      <w:r w:rsidRPr="00DD13AC">
        <w:t xml:space="preserve"> regard, cooperation with civil society organizations is crucial. Moreover, the Guiding Principles themselves </w:t>
      </w:r>
      <w:r>
        <w:t xml:space="preserve">include a </w:t>
      </w:r>
      <w:r w:rsidRPr="00DD13AC">
        <w:t xml:space="preserve">call for engagement with human rights experts, relevant stakeholders and affected populations as part of due diligence processes. Thus, the panel brought </w:t>
      </w:r>
      <w:r w:rsidRPr="00DD13AC">
        <w:lastRenderedPageBreak/>
        <w:t>together businesses and civil society organizations working collaboratively</w:t>
      </w:r>
      <w:r>
        <w:t>,</w:t>
      </w:r>
      <w:r w:rsidRPr="00DD13AC">
        <w:t xml:space="preserve"> though not always in full agreement</w:t>
      </w:r>
      <w:r>
        <w:t>,</w:t>
      </w:r>
      <w:r w:rsidRPr="00DD13AC">
        <w:t xml:space="preserve"> to apply the Guiding Principles in specific local </w:t>
      </w:r>
      <w:r>
        <w:t>and</w:t>
      </w:r>
      <w:r w:rsidRPr="00DD13AC">
        <w:t xml:space="preserve"> </w:t>
      </w:r>
      <w:proofErr w:type="spellStart"/>
      <w:r w:rsidRPr="00DD13AC">
        <w:t>sectoral</w:t>
      </w:r>
      <w:proofErr w:type="spellEnd"/>
      <w:r w:rsidRPr="00DD13AC">
        <w:t xml:space="preserve"> contexts. </w:t>
      </w:r>
    </w:p>
    <w:p w:rsidR="008E0BD4" w:rsidRPr="00DD13AC" w:rsidRDefault="008E0BD4" w:rsidP="008E0BD4">
      <w:pPr>
        <w:pStyle w:val="H1G"/>
      </w:pPr>
      <w:r w:rsidRPr="00DD13AC">
        <w:tab/>
        <w:t>B.</w:t>
      </w:r>
      <w:r w:rsidRPr="00DD13AC">
        <w:tab/>
        <w:t>Community relocation in the context of mining in Mozambique</w:t>
      </w:r>
    </w:p>
    <w:p w:rsidR="008E0BD4" w:rsidRPr="00DD13AC" w:rsidRDefault="008E0BD4" w:rsidP="008E0BD4">
      <w:pPr>
        <w:pStyle w:val="SingleTxtG"/>
      </w:pPr>
      <w:r w:rsidRPr="00DD13AC">
        <w:rPr>
          <w:bCs/>
        </w:rPr>
        <w:t>26.</w:t>
      </w:r>
      <w:r w:rsidRPr="00DD13AC">
        <w:rPr>
          <w:bCs/>
        </w:rPr>
        <w:tab/>
      </w:r>
      <w:r w:rsidRPr="00DD13AC">
        <w:t xml:space="preserve">The discussion featured a case study on the engagement between the mining company Vale and the international </w:t>
      </w:r>
      <w:r>
        <w:t>non-governmental organization (</w:t>
      </w:r>
      <w:r w:rsidRPr="00DD13AC">
        <w:t>NGO</w:t>
      </w:r>
      <w:r>
        <w:t>)</w:t>
      </w:r>
      <w:r w:rsidRPr="00DD13AC">
        <w:t xml:space="preserve"> Human Rights Watch in the context of the </w:t>
      </w:r>
      <w:proofErr w:type="spellStart"/>
      <w:r w:rsidRPr="00DD13AC">
        <w:t>Moat</w:t>
      </w:r>
      <w:r>
        <w:t>i</w:t>
      </w:r>
      <w:r w:rsidRPr="00DD13AC">
        <w:t>ze</w:t>
      </w:r>
      <w:proofErr w:type="spellEnd"/>
      <w:r w:rsidRPr="00DD13AC">
        <w:t xml:space="preserve"> mine in Mozambique. </w:t>
      </w:r>
      <w:r>
        <w:t>In</w:t>
      </w:r>
      <w:r w:rsidRPr="00DD13AC">
        <w:t xml:space="preserve"> recent years</w:t>
      </w:r>
      <w:r>
        <w:t xml:space="preserve">, </w:t>
      </w:r>
      <w:r w:rsidRPr="00DD13AC">
        <w:t xml:space="preserve">Human Rights Watch </w:t>
      </w:r>
      <w:r>
        <w:t xml:space="preserve">has been </w:t>
      </w:r>
      <w:r w:rsidRPr="00DD13AC">
        <w:t>engage</w:t>
      </w:r>
      <w:r>
        <w:t>d</w:t>
      </w:r>
      <w:r w:rsidRPr="00DD13AC">
        <w:t xml:space="preserve"> </w:t>
      </w:r>
      <w:r>
        <w:t>in</w:t>
      </w:r>
      <w:r w:rsidRPr="00DD13AC">
        <w:t xml:space="preserve"> monitor</w:t>
      </w:r>
      <w:r>
        <w:t>ing</w:t>
      </w:r>
      <w:r w:rsidRPr="00DD13AC">
        <w:t xml:space="preserve"> the impact on local communities</w:t>
      </w:r>
      <w:r>
        <w:t xml:space="preserve"> </w:t>
      </w:r>
      <w:r w:rsidRPr="00DD13AC">
        <w:t xml:space="preserve">of the extractives boom in Mozambique, especially regarding resettlements. According to the presentations at the Forum, between 2006 and 2010, </w:t>
      </w:r>
      <w:r>
        <w:t xml:space="preserve">the </w:t>
      </w:r>
      <w:proofErr w:type="spellStart"/>
      <w:r w:rsidRPr="00DD13AC">
        <w:t>Moat</w:t>
      </w:r>
      <w:r>
        <w:t>i</w:t>
      </w:r>
      <w:r w:rsidRPr="00DD13AC">
        <w:t>ze</w:t>
      </w:r>
      <w:proofErr w:type="spellEnd"/>
      <w:r w:rsidRPr="00DD13AC">
        <w:t xml:space="preserve"> mine </w:t>
      </w:r>
      <w:r>
        <w:t xml:space="preserve">developed by </w:t>
      </w:r>
      <w:r w:rsidRPr="00DD13AC">
        <w:t xml:space="preserve">Vale involved moving 1,365 households </w:t>
      </w:r>
      <w:r>
        <w:t>that were</w:t>
      </w:r>
      <w:r w:rsidRPr="00DD13AC">
        <w:t xml:space="preserve"> in close proximity to the project site. </w:t>
      </w:r>
      <w:r>
        <w:t xml:space="preserve">The representative of </w:t>
      </w:r>
      <w:r w:rsidRPr="00DD13AC">
        <w:t>Vale explained</w:t>
      </w:r>
      <w:r>
        <w:t xml:space="preserve"> that</w:t>
      </w:r>
      <w:r w:rsidRPr="00DD13AC">
        <w:t xml:space="preserve"> </w:t>
      </w:r>
      <w:r>
        <w:t>the company had</w:t>
      </w:r>
      <w:r w:rsidRPr="00DD13AC">
        <w:t xml:space="preserve"> worked closely with local communities on the resettlement, conducting dialogues and consultations</w:t>
      </w:r>
      <w:r>
        <w:t>,</w:t>
      </w:r>
      <w:r w:rsidRPr="00DD13AC">
        <w:t xml:space="preserve"> </w:t>
      </w:r>
      <w:r>
        <w:t>in accordance with</w:t>
      </w:r>
      <w:r w:rsidRPr="00DD13AC">
        <w:t xml:space="preserve"> company guidelines on respect for human rights. Human Rights Watch conducted research on the resettlements in 2012 and raised concerns about </w:t>
      </w:r>
      <w:r>
        <w:t xml:space="preserve">the </w:t>
      </w:r>
      <w:r w:rsidRPr="00DD13AC">
        <w:t>ability</w:t>
      </w:r>
      <w:r>
        <w:t xml:space="preserve"> of </w:t>
      </w:r>
      <w:r w:rsidRPr="00DD13AC">
        <w:t>resettled families to obtain adequate food</w:t>
      </w:r>
      <w:r>
        <w:t>,</w:t>
      </w:r>
      <w:r w:rsidRPr="00DD13AC">
        <w:t xml:space="preserve"> water and access to work. Vale and Human Rights Watch engaged in a productive dialogue as Vale worked to address th</w:t>
      </w:r>
      <w:r>
        <w:t>o</w:t>
      </w:r>
      <w:r w:rsidRPr="00DD13AC">
        <w:t xml:space="preserve">se concerns. </w:t>
      </w:r>
    </w:p>
    <w:p w:rsidR="008E0BD4" w:rsidRPr="00DD13AC" w:rsidRDefault="008E0BD4" w:rsidP="008E0BD4">
      <w:pPr>
        <w:pStyle w:val="SingleTxtG"/>
      </w:pPr>
      <w:r w:rsidRPr="00DD13AC">
        <w:rPr>
          <w:bCs/>
        </w:rPr>
        <w:t>27.</w:t>
      </w:r>
      <w:r w:rsidRPr="00DD13AC">
        <w:rPr>
          <w:bCs/>
        </w:rPr>
        <w:tab/>
      </w:r>
      <w:r>
        <w:t xml:space="preserve">The representative of </w:t>
      </w:r>
      <w:r w:rsidRPr="00DD13AC">
        <w:t xml:space="preserve">Vale highlighted that </w:t>
      </w:r>
      <w:r>
        <w:t xml:space="preserve">the </w:t>
      </w:r>
      <w:r w:rsidRPr="00DD13AC">
        <w:t>mode of engagement</w:t>
      </w:r>
      <w:r>
        <w:t xml:space="preserve"> of </w:t>
      </w:r>
      <w:r w:rsidRPr="00DD13AC">
        <w:t xml:space="preserve">Human Rights Watch </w:t>
      </w:r>
      <w:r>
        <w:t>had been</w:t>
      </w:r>
      <w:r w:rsidRPr="00DD13AC">
        <w:t xml:space="preserve"> key in enabling a constructive relationship. </w:t>
      </w:r>
      <w:r>
        <w:t>T</w:t>
      </w:r>
      <w:r w:rsidRPr="00DD13AC">
        <w:t>he relationship was seen as a “two</w:t>
      </w:r>
      <w:r>
        <w:t>-</w:t>
      </w:r>
      <w:r w:rsidRPr="00DD13AC">
        <w:t>way street”</w:t>
      </w:r>
      <w:r>
        <w:t>,</w:t>
      </w:r>
      <w:r w:rsidRPr="00DD13AC">
        <w:t xml:space="preserve"> with a strong focus on transparency and being proactive about changes on the ground as </w:t>
      </w:r>
      <w:r>
        <w:t>early</w:t>
      </w:r>
      <w:r w:rsidRPr="00DD13AC">
        <w:t xml:space="preserve"> as possible. The following elements of the approach were identified: </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Human Rights Watch demonstrated understanding of how a company works, which was reflected in the initial approach to </w:t>
      </w:r>
      <w:r>
        <w:t xml:space="preserve">the </w:t>
      </w:r>
      <w:r w:rsidRPr="00DD13AC">
        <w:t xml:space="preserve">president </w:t>
      </w:r>
      <w:r>
        <w:t xml:space="preserve">of </w:t>
      </w:r>
      <w:r w:rsidRPr="00DD13AC">
        <w:t xml:space="preserve">Vale and in </w:t>
      </w:r>
      <w:r>
        <w:t>its</w:t>
      </w:r>
      <w:r w:rsidRPr="00DD13AC">
        <w:t xml:space="preserve"> support of the company’s response and action plans;</w:t>
      </w:r>
    </w:p>
    <w:p w:rsidR="008E0BD4" w:rsidRPr="00DD13AC" w:rsidRDefault="008E0BD4" w:rsidP="008E0BD4">
      <w:pPr>
        <w:pStyle w:val="Bullet1G"/>
        <w:numPr>
          <w:ilvl w:val="0"/>
          <w:numId w:val="0"/>
        </w:numPr>
        <w:tabs>
          <w:tab w:val="left" w:pos="1701"/>
        </w:tabs>
        <w:ind w:left="1701" w:hanging="170"/>
      </w:pPr>
      <w:r w:rsidRPr="00DD13AC">
        <w:t>•</w:t>
      </w:r>
      <w:r w:rsidRPr="00DD13AC">
        <w:tab/>
      </w:r>
      <w:r>
        <w:t>F</w:t>
      </w:r>
      <w:r w:rsidRPr="00DD13AC">
        <w:t xml:space="preserve">rom the </w:t>
      </w:r>
      <w:r>
        <w:t>outset,</w:t>
      </w:r>
      <w:r w:rsidRPr="00DD13AC">
        <w:t xml:space="preserve"> Human Rights Watch was very transparent about the findings of </w:t>
      </w:r>
      <w:r>
        <w:t>its</w:t>
      </w:r>
      <w:r w:rsidRPr="00DD13AC">
        <w:t xml:space="preserve"> research and what </w:t>
      </w:r>
      <w:r>
        <w:t>i</w:t>
      </w:r>
      <w:r w:rsidRPr="00DD13AC">
        <w:t xml:space="preserve">t felt the company needed to correct. Human Rights Watch shared </w:t>
      </w:r>
      <w:r>
        <w:t>i</w:t>
      </w:r>
      <w:r w:rsidRPr="00DD13AC">
        <w:t>t</w:t>
      </w:r>
      <w:r>
        <w:t>s</w:t>
      </w:r>
      <w:r w:rsidRPr="00DD13AC">
        <w:t xml:space="preserve"> initial findings with Vale;</w:t>
      </w:r>
    </w:p>
    <w:p w:rsidR="008E0BD4" w:rsidRPr="00DD13AC" w:rsidRDefault="008E0BD4" w:rsidP="008E0BD4">
      <w:pPr>
        <w:pStyle w:val="Bullet1G"/>
        <w:numPr>
          <w:ilvl w:val="0"/>
          <w:numId w:val="0"/>
        </w:numPr>
        <w:tabs>
          <w:tab w:val="left" w:pos="1701"/>
        </w:tabs>
        <w:ind w:left="1701" w:hanging="170"/>
      </w:pPr>
      <w:r w:rsidRPr="00DD13AC">
        <w:t>•</w:t>
      </w:r>
      <w:r w:rsidRPr="00DD13AC">
        <w:tab/>
      </w:r>
      <w:r>
        <w:t>Concerning</w:t>
      </w:r>
      <w:r w:rsidRPr="00DD13AC">
        <w:t xml:space="preserve"> transparency, Human Rights Watch wanted </w:t>
      </w:r>
      <w:r>
        <w:t>Vale</w:t>
      </w:r>
      <w:r w:rsidRPr="00DD13AC">
        <w:t xml:space="preserve"> to be proactive from the outset. </w:t>
      </w:r>
      <w:r>
        <w:t>It</w:t>
      </w:r>
      <w:r w:rsidRPr="00DD13AC">
        <w:t xml:space="preserve"> w</w:t>
      </w:r>
      <w:r>
        <w:t>as</w:t>
      </w:r>
      <w:r w:rsidRPr="00DD13AC">
        <w:t xml:space="preserve"> in favour of Vale taking action that would lead to results as early as possible for the families</w:t>
      </w:r>
      <w:r>
        <w:t xml:space="preserve"> and</w:t>
      </w:r>
      <w:r w:rsidRPr="00DD13AC">
        <w:t xml:space="preserve"> communities </w:t>
      </w:r>
      <w:r>
        <w:t xml:space="preserve">concerned, </w:t>
      </w:r>
      <w:r w:rsidRPr="00DD13AC">
        <w:t xml:space="preserve">and </w:t>
      </w:r>
      <w:r>
        <w:t xml:space="preserve">for </w:t>
      </w:r>
      <w:r w:rsidRPr="00DD13AC">
        <w:t>the company;</w:t>
      </w:r>
    </w:p>
    <w:p w:rsidR="008E0BD4" w:rsidRPr="00DD13AC" w:rsidRDefault="008E0BD4" w:rsidP="008E0BD4">
      <w:pPr>
        <w:pStyle w:val="Bullet1G"/>
        <w:numPr>
          <w:ilvl w:val="0"/>
          <w:numId w:val="0"/>
        </w:numPr>
        <w:tabs>
          <w:tab w:val="left" w:pos="1701"/>
        </w:tabs>
        <w:ind w:left="1701" w:hanging="170"/>
      </w:pPr>
      <w:r w:rsidRPr="00DD13AC">
        <w:t>•</w:t>
      </w:r>
      <w:r w:rsidRPr="00DD13AC">
        <w:tab/>
        <w:t>The overall spirit of the engagement was not to “name and shame”</w:t>
      </w:r>
      <w:r>
        <w:t>,</w:t>
      </w:r>
      <w:r w:rsidRPr="00DD13AC">
        <w:t xml:space="preserve"> even </w:t>
      </w:r>
      <w:r>
        <w:t>though</w:t>
      </w:r>
      <w:r w:rsidRPr="00DD13AC">
        <w:t xml:space="preserve"> it was made clear that th</w:t>
      </w:r>
      <w:r>
        <w:t>at</w:t>
      </w:r>
      <w:r w:rsidRPr="00DD13AC">
        <w:t xml:space="preserve"> would be a possible avenue of action if deemed necessary;</w:t>
      </w:r>
    </w:p>
    <w:p w:rsidR="008E0BD4" w:rsidRPr="00DD13AC" w:rsidRDefault="008E0BD4" w:rsidP="008E0BD4">
      <w:pPr>
        <w:pStyle w:val="Bullet1G"/>
        <w:numPr>
          <w:ilvl w:val="0"/>
          <w:numId w:val="0"/>
        </w:numPr>
        <w:tabs>
          <w:tab w:val="left" w:pos="1701"/>
        </w:tabs>
        <w:ind w:left="1701" w:hanging="170"/>
      </w:pPr>
      <w:r w:rsidRPr="00DD13AC">
        <w:t>•</w:t>
      </w:r>
      <w:r w:rsidRPr="00DD13AC">
        <w:tab/>
      </w:r>
      <w:r>
        <w:t>W</w:t>
      </w:r>
      <w:r w:rsidRPr="00DD13AC">
        <w:t>hen conducting the investigation</w:t>
      </w:r>
      <w:r>
        <w:t>,</w:t>
      </w:r>
      <w:r w:rsidRPr="00DD13AC">
        <w:t xml:space="preserve"> </w:t>
      </w:r>
      <w:r>
        <w:t>t</w:t>
      </w:r>
      <w:r w:rsidRPr="00DD13AC">
        <w:t xml:space="preserve">he research methodology </w:t>
      </w:r>
      <w:r>
        <w:t xml:space="preserve">of the </w:t>
      </w:r>
      <w:r w:rsidRPr="00DD13AC">
        <w:t xml:space="preserve">NGO was thorough and fact-based. </w:t>
      </w:r>
    </w:p>
    <w:p w:rsidR="008E0BD4" w:rsidRPr="00DD13AC" w:rsidRDefault="008E0BD4" w:rsidP="008E0BD4">
      <w:pPr>
        <w:pStyle w:val="SingleTxtG"/>
      </w:pPr>
      <w:r w:rsidRPr="00DD13AC">
        <w:rPr>
          <w:bCs/>
        </w:rPr>
        <w:t>28.</w:t>
      </w:r>
      <w:r w:rsidRPr="00DD13AC">
        <w:rPr>
          <w:bCs/>
        </w:rPr>
        <w:tab/>
      </w:r>
      <w:r w:rsidRPr="00DD13AC">
        <w:t xml:space="preserve">The presentation also included an explanation of the immediate steps taken by the company following </w:t>
      </w:r>
      <w:r>
        <w:t xml:space="preserve">the </w:t>
      </w:r>
      <w:r w:rsidRPr="00DD13AC">
        <w:t xml:space="preserve">initial communication </w:t>
      </w:r>
      <w:r>
        <w:t xml:space="preserve">from </w:t>
      </w:r>
      <w:r w:rsidRPr="00DD13AC">
        <w:t xml:space="preserve">Human Rights Watch to </w:t>
      </w:r>
      <w:r>
        <w:t xml:space="preserve">the </w:t>
      </w:r>
      <w:r w:rsidRPr="00DD13AC">
        <w:t>president</w:t>
      </w:r>
      <w:r>
        <w:t xml:space="preserve"> of </w:t>
      </w:r>
      <w:r w:rsidRPr="00DD13AC">
        <w:t>Vale, including:</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Opening up the records </w:t>
      </w:r>
      <w:r w:rsidRPr="00AA68DE">
        <w:t>about the resettlement process</w:t>
      </w:r>
      <w:r w:rsidRPr="00DD13AC">
        <w:t xml:space="preserve"> in question and discussing with Human Rights Watch what had been done, what flaws there were and what mistakes had been made;</w:t>
      </w:r>
    </w:p>
    <w:p w:rsidR="008E0BD4" w:rsidRPr="00DD13AC" w:rsidRDefault="008E0BD4" w:rsidP="008E0BD4">
      <w:pPr>
        <w:pStyle w:val="Bullet1G"/>
        <w:numPr>
          <w:ilvl w:val="0"/>
          <w:numId w:val="0"/>
        </w:numPr>
        <w:tabs>
          <w:tab w:val="left" w:pos="1701"/>
        </w:tabs>
        <w:ind w:left="1701" w:hanging="170"/>
      </w:pPr>
      <w:r w:rsidRPr="00DD13AC">
        <w:t>•</w:t>
      </w:r>
      <w:r w:rsidRPr="00DD13AC">
        <w:tab/>
      </w:r>
      <w:r>
        <w:t>Six</w:t>
      </w:r>
      <w:r w:rsidRPr="00DD13AC">
        <w:t xml:space="preserve"> weeks after the initial meeting, and on the recommendation </w:t>
      </w:r>
      <w:r>
        <w:t>o</w:t>
      </w:r>
      <w:r w:rsidRPr="00DD13AC">
        <w:t>f the NGO, Vale convened a 40-person group of its managers in Mozambique to identify lessons learned, which the company recorded as a very positive experience;</w:t>
      </w:r>
    </w:p>
    <w:p w:rsidR="008E0BD4" w:rsidRPr="00DD13AC" w:rsidRDefault="008E0BD4" w:rsidP="008E0BD4">
      <w:pPr>
        <w:pStyle w:val="Bullet1G"/>
        <w:numPr>
          <w:ilvl w:val="0"/>
          <w:numId w:val="0"/>
        </w:numPr>
        <w:tabs>
          <w:tab w:val="left" w:pos="1701"/>
        </w:tabs>
        <w:ind w:left="1701" w:hanging="170"/>
      </w:pPr>
      <w:r w:rsidRPr="00DD13AC">
        <w:t>•</w:t>
      </w:r>
      <w:r w:rsidRPr="00DD13AC">
        <w:tab/>
        <w:t>An agreement/</w:t>
      </w:r>
      <w:r>
        <w:t>memorandum of understanding</w:t>
      </w:r>
      <w:r w:rsidRPr="00DD13AC">
        <w:t xml:space="preserve"> between Vale and the local authorities was signed. A plan of action containing 42 </w:t>
      </w:r>
      <w:r>
        <w:t>points</w:t>
      </w:r>
      <w:r w:rsidRPr="00DD13AC">
        <w:t xml:space="preserve"> relat</w:t>
      </w:r>
      <w:r>
        <w:t>ing</w:t>
      </w:r>
      <w:r w:rsidRPr="00DD13AC">
        <w:t xml:space="preserve"> to water</w:t>
      </w:r>
      <w:r>
        <w:t>,</w:t>
      </w:r>
      <w:r w:rsidRPr="00DD13AC">
        <w:t xml:space="preserve"> housing</w:t>
      </w:r>
      <w:r>
        <w:t>,</w:t>
      </w:r>
      <w:r w:rsidRPr="00DD13AC">
        <w:t xml:space="preserve"> road </w:t>
      </w:r>
      <w:r w:rsidRPr="00DD13AC">
        <w:lastRenderedPageBreak/>
        <w:t>maintenance</w:t>
      </w:r>
      <w:r>
        <w:t>,</w:t>
      </w:r>
      <w:r w:rsidRPr="00DD13AC">
        <w:t xml:space="preserve"> transportation and income generation</w:t>
      </w:r>
      <w:r>
        <w:t xml:space="preserve"> </w:t>
      </w:r>
      <w:r w:rsidRPr="00DD13AC">
        <w:t>was agreed on b</w:t>
      </w:r>
      <w:r>
        <w:t>y</w:t>
      </w:r>
      <w:r w:rsidRPr="00DD13AC">
        <w:t xml:space="preserve"> the parties. An important aspect of th</w:t>
      </w:r>
      <w:r>
        <w:t>e plan</w:t>
      </w:r>
      <w:r w:rsidRPr="00DD13AC">
        <w:t xml:space="preserve"> was clar</w:t>
      </w:r>
      <w:r>
        <w:t>ity</w:t>
      </w:r>
      <w:r w:rsidRPr="00DD13AC">
        <w:t xml:space="preserve"> about </w:t>
      </w:r>
      <w:r>
        <w:t xml:space="preserve">the </w:t>
      </w:r>
      <w:r w:rsidRPr="00DD13AC">
        <w:t xml:space="preserve">timing of the action. Vale was clear about what could be achieved in the medium and </w:t>
      </w:r>
      <w:r>
        <w:t xml:space="preserve">the </w:t>
      </w:r>
      <w:r w:rsidRPr="00DD13AC">
        <w:t>long</w:t>
      </w:r>
      <w:r>
        <w:t xml:space="preserve"> </w:t>
      </w:r>
      <w:r w:rsidRPr="00DD13AC">
        <w:t>term. Managing expectation</w:t>
      </w:r>
      <w:r>
        <w:t>s</w:t>
      </w:r>
      <w:r w:rsidRPr="00DD13AC">
        <w:t xml:space="preserve"> about what was possible and when was very important;</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Joint follow-up calls to monitor and discuss progress and a meeting in less than a year to review action regarding the resettlement. </w:t>
      </w:r>
      <w:r>
        <w:t>The s</w:t>
      </w:r>
      <w:r w:rsidRPr="00DD13AC">
        <w:t>ustainability Vice</w:t>
      </w:r>
      <w:r>
        <w:t>-</w:t>
      </w:r>
      <w:r w:rsidRPr="00DD13AC">
        <w:t xml:space="preserve">President </w:t>
      </w:r>
      <w:r>
        <w:t xml:space="preserve">of </w:t>
      </w:r>
      <w:r w:rsidRPr="00DD13AC">
        <w:t>Vale met with Human Rights Watch in New York to re</w:t>
      </w:r>
      <w:r>
        <w:t>affirm</w:t>
      </w:r>
      <w:r w:rsidRPr="00DD13AC">
        <w:t xml:space="preserve"> </w:t>
      </w:r>
      <w:r>
        <w:t>the company</w:t>
      </w:r>
      <w:r w:rsidRPr="00DD13AC">
        <w:t>’s engagement in the process.</w:t>
      </w:r>
    </w:p>
    <w:p w:rsidR="008E0BD4" w:rsidRPr="00DD13AC" w:rsidRDefault="008E0BD4" w:rsidP="008E0BD4">
      <w:pPr>
        <w:pStyle w:val="SingleTxtG"/>
      </w:pPr>
      <w:r w:rsidRPr="00DD13AC">
        <w:rPr>
          <w:bCs/>
        </w:rPr>
        <w:t>29.</w:t>
      </w:r>
      <w:r w:rsidRPr="00DD13AC">
        <w:rPr>
          <w:bCs/>
        </w:rPr>
        <w:tab/>
      </w:r>
      <w:r>
        <w:t xml:space="preserve">The representative of </w:t>
      </w:r>
      <w:r w:rsidRPr="00DD13AC">
        <w:t xml:space="preserve">Vale also shared </w:t>
      </w:r>
      <w:r>
        <w:t>the company’s</w:t>
      </w:r>
      <w:r w:rsidRPr="00DD13AC">
        <w:t xml:space="preserve"> perspective on lessons learned and further steps that were taken after Human Rights Watch released its report in May 2013. The company attended the release in Maputo and participated in dialogues with stakeholders in Mozambique. At th</w:t>
      </w:r>
      <w:r>
        <w:t>at</w:t>
      </w:r>
      <w:r w:rsidRPr="00DD13AC">
        <w:t xml:space="preserve"> stage, </w:t>
      </w:r>
      <w:r>
        <w:t>additional</w:t>
      </w:r>
      <w:r w:rsidRPr="00DD13AC">
        <w:t xml:space="preserve"> </w:t>
      </w:r>
      <w:r>
        <w:t xml:space="preserve">points </w:t>
      </w:r>
      <w:r w:rsidRPr="00DD13AC">
        <w:t xml:space="preserve">were added to </w:t>
      </w:r>
      <w:r>
        <w:t>the</w:t>
      </w:r>
      <w:r w:rsidRPr="00DD13AC">
        <w:t xml:space="preserve"> action plan, including with regard to social dialogue and grievance mechanisms. A key lesson was the need to ensure </w:t>
      </w:r>
      <w:r>
        <w:t xml:space="preserve">that </w:t>
      </w:r>
      <w:r w:rsidRPr="00DD13AC">
        <w:t>all human rights are dealt with in the context of social and environmental impact assessments. Further</w:t>
      </w:r>
      <w:r>
        <w:t>more</w:t>
      </w:r>
      <w:r w:rsidRPr="00DD13AC">
        <w:t xml:space="preserve">, the process was seen as being instructive in terms of </w:t>
      </w:r>
      <w:r>
        <w:t>establishing</w:t>
      </w:r>
      <w:r w:rsidRPr="00DD13AC">
        <w:t xml:space="preserve"> a clear internal </w:t>
      </w:r>
      <w:r>
        <w:t>standard for</w:t>
      </w:r>
      <w:r w:rsidRPr="00DD13AC">
        <w:t xml:space="preserve"> </w:t>
      </w:r>
      <w:r>
        <w:t xml:space="preserve">the conduct of </w:t>
      </w:r>
      <w:r w:rsidRPr="00DD13AC">
        <w:t>resettlement process</w:t>
      </w:r>
      <w:r>
        <w:t>es, which</w:t>
      </w:r>
      <w:r w:rsidRPr="00DD13AC">
        <w:t xml:space="preserve"> everyone in the business must apply. </w:t>
      </w:r>
    </w:p>
    <w:p w:rsidR="008E0BD4" w:rsidRPr="00DD13AC" w:rsidRDefault="008E0BD4" w:rsidP="008E0BD4">
      <w:pPr>
        <w:pStyle w:val="SingleTxtG"/>
      </w:pPr>
      <w:r w:rsidRPr="00DD13AC">
        <w:rPr>
          <w:bCs/>
        </w:rPr>
        <w:t>30.</w:t>
      </w:r>
      <w:r w:rsidRPr="00DD13AC">
        <w:rPr>
          <w:bCs/>
        </w:rPr>
        <w:tab/>
      </w:r>
      <w:r>
        <w:t>A</w:t>
      </w:r>
      <w:r w:rsidRPr="00DD13AC">
        <w:t xml:space="preserve"> central challenge </w:t>
      </w:r>
      <w:r>
        <w:t xml:space="preserve">that was </w:t>
      </w:r>
      <w:r w:rsidRPr="00DD13AC">
        <w:t>highlighted was the need to address the State’s duties</w:t>
      </w:r>
      <w:r>
        <w:t>,</w:t>
      </w:r>
      <w:r w:rsidRPr="00DD13AC">
        <w:t xml:space="preserve"> as some of the issues relate to government policies, legal frameworks and actions related to land and resettlement. The</w:t>
      </w:r>
      <w:r>
        <w:t>y</w:t>
      </w:r>
      <w:r w:rsidRPr="00DD13AC">
        <w:t xml:space="preserve"> involve issues that cannot be solved by one company unilaterally</w:t>
      </w:r>
      <w:r>
        <w:t>.</w:t>
      </w:r>
      <w:r w:rsidRPr="00DD13AC">
        <w:t xml:space="preserve"> </w:t>
      </w:r>
      <w:r>
        <w:t>I</w:t>
      </w:r>
      <w:r w:rsidRPr="00DD13AC">
        <w:t xml:space="preserve">n addition, </w:t>
      </w:r>
      <w:r>
        <w:t>the point</w:t>
      </w:r>
      <w:r w:rsidRPr="00DD13AC">
        <w:t xml:space="preserve"> was highlighted that often</w:t>
      </w:r>
      <w:r>
        <w:t>,</w:t>
      </w:r>
      <w:r w:rsidRPr="00DD13AC">
        <w:t xml:space="preserve"> more than one company is involved in the social and human rights impacts </w:t>
      </w:r>
      <w:r>
        <w:t xml:space="preserve">that are being felt </w:t>
      </w:r>
      <w:r w:rsidRPr="00DD13AC">
        <w:t xml:space="preserve">on the ground. </w:t>
      </w:r>
    </w:p>
    <w:p w:rsidR="008E0BD4" w:rsidRPr="00DD13AC" w:rsidRDefault="008E0BD4" w:rsidP="008E0BD4">
      <w:pPr>
        <w:pStyle w:val="SingleTxtG"/>
      </w:pPr>
      <w:r w:rsidRPr="00DD13AC">
        <w:rPr>
          <w:bCs/>
        </w:rPr>
        <w:t>31.</w:t>
      </w:r>
      <w:r w:rsidRPr="00DD13AC">
        <w:rPr>
          <w:bCs/>
        </w:rPr>
        <w:tab/>
      </w:r>
      <w:r>
        <w:t xml:space="preserve">The representative of </w:t>
      </w:r>
      <w:r w:rsidRPr="00DD13AC">
        <w:t xml:space="preserve">Human Rights Watch </w:t>
      </w:r>
      <w:r>
        <w:t>emphasized the fact</w:t>
      </w:r>
      <w:r w:rsidRPr="00DD13AC">
        <w:t xml:space="preserve"> that </w:t>
      </w:r>
      <w:r>
        <w:t>it</w:t>
      </w:r>
      <w:r w:rsidRPr="00DD13AC">
        <w:t xml:space="preserve"> s</w:t>
      </w:r>
      <w:r>
        <w:t>ought</w:t>
      </w:r>
      <w:r w:rsidRPr="00DD13AC">
        <w:t xml:space="preserve"> to engage with various actors to achieve necessary changes in the context of human rights abuses. With regard to the specific situation in Mozambique, it was noted that the combination of the mining boom and the outdated regulation</w:t>
      </w:r>
      <w:r>
        <w:t>s</w:t>
      </w:r>
      <w:r w:rsidRPr="00DD13AC">
        <w:t xml:space="preserve">, as well as </w:t>
      </w:r>
      <w:r>
        <w:t xml:space="preserve">the </w:t>
      </w:r>
      <w:r w:rsidRPr="00DD13AC">
        <w:t xml:space="preserve">lack of monitoring and oversight over licensing and mining operations, was a recipe for human rights abuses. The NGO had first become involved in the Vale mine in 2012 when it </w:t>
      </w:r>
      <w:r>
        <w:t xml:space="preserve">had </w:t>
      </w:r>
      <w:r w:rsidRPr="00DD13AC">
        <w:t xml:space="preserve">learned of a protest related to the quality of housing, which </w:t>
      </w:r>
      <w:r>
        <w:t xml:space="preserve">had </w:t>
      </w:r>
      <w:r w:rsidRPr="00DD13AC">
        <w:t>led to the initial investigation.</w:t>
      </w:r>
    </w:p>
    <w:p w:rsidR="008E0BD4" w:rsidRPr="00DD13AC" w:rsidRDefault="008E0BD4" w:rsidP="008E0BD4">
      <w:pPr>
        <w:pStyle w:val="SingleTxtG"/>
      </w:pPr>
      <w:r w:rsidRPr="00DD13AC">
        <w:rPr>
          <w:bCs/>
        </w:rPr>
        <w:t>32.</w:t>
      </w:r>
      <w:r w:rsidRPr="00DD13AC">
        <w:rPr>
          <w:bCs/>
        </w:rPr>
        <w:tab/>
      </w:r>
      <w:r>
        <w:t xml:space="preserve">The representative of </w:t>
      </w:r>
      <w:r w:rsidRPr="00DD13AC">
        <w:t xml:space="preserve">Human Rights Watch noted that the nature of </w:t>
      </w:r>
      <w:r>
        <w:t xml:space="preserve">the </w:t>
      </w:r>
      <w:r w:rsidRPr="00DD13AC">
        <w:t>response</w:t>
      </w:r>
      <w:r>
        <w:t xml:space="preserve"> from </w:t>
      </w:r>
      <w:r w:rsidRPr="00DD13AC">
        <w:t xml:space="preserve">Vale to </w:t>
      </w:r>
      <w:r>
        <w:t>its</w:t>
      </w:r>
      <w:r w:rsidRPr="00DD13AC">
        <w:t xml:space="preserve"> action had been positive in comparison </w:t>
      </w:r>
      <w:r>
        <w:t>with</w:t>
      </w:r>
      <w:r w:rsidRPr="00DD13AC">
        <w:t xml:space="preserve"> many other responses to investigations. </w:t>
      </w:r>
      <w:r>
        <w:t>T</w:t>
      </w:r>
      <w:r w:rsidRPr="00DD13AC">
        <w:t xml:space="preserve">he response to the initial inquiry </w:t>
      </w:r>
      <w:r>
        <w:t>had been</w:t>
      </w:r>
      <w:r w:rsidRPr="00DD13AC">
        <w:t xml:space="preserve"> immediate and Vale</w:t>
      </w:r>
      <w:r>
        <w:t xml:space="preserve"> had</w:t>
      </w:r>
      <w:r w:rsidRPr="00DD13AC">
        <w:t xml:space="preserve"> made all the relevant documentation available, and the company’s attitude was seen as timely and open. </w:t>
      </w:r>
      <w:r>
        <w:t>In addition</w:t>
      </w:r>
      <w:r w:rsidRPr="00DD13AC">
        <w:t xml:space="preserve">, Human Rights Watch was given </w:t>
      </w:r>
      <w:r>
        <w:t xml:space="preserve">significant </w:t>
      </w:r>
      <w:r w:rsidRPr="00DD13AC">
        <w:t xml:space="preserve">access to leaders and employees at all levels of </w:t>
      </w:r>
      <w:r>
        <w:t xml:space="preserve">the </w:t>
      </w:r>
      <w:r w:rsidRPr="00DD13AC">
        <w:t>company</w:t>
      </w:r>
      <w:r>
        <w:t>,</w:t>
      </w:r>
      <w:r w:rsidRPr="00DD13AC">
        <w:t xml:space="preserve"> from the headquarters in Brazil to offices in Maputo and at the mining operation. Th</w:t>
      </w:r>
      <w:r>
        <w:t>at</w:t>
      </w:r>
      <w:r w:rsidRPr="00DD13AC">
        <w:t xml:space="preserve"> had facilitated </w:t>
      </w:r>
      <w:r>
        <w:t xml:space="preserve">the </w:t>
      </w:r>
      <w:r w:rsidRPr="00DD13AC">
        <w:t>ability</w:t>
      </w:r>
      <w:r>
        <w:t xml:space="preserve"> of </w:t>
      </w:r>
      <w:r w:rsidRPr="00DD13AC">
        <w:t xml:space="preserve">Human Rights Watch to identify the best way forward in terms of recommendations to improve the situation. </w:t>
      </w:r>
    </w:p>
    <w:p w:rsidR="008E0BD4" w:rsidRPr="00DD13AC" w:rsidRDefault="008E0BD4" w:rsidP="008E0BD4">
      <w:pPr>
        <w:pStyle w:val="SingleTxtG"/>
      </w:pPr>
      <w:r w:rsidRPr="00DD13AC">
        <w:rPr>
          <w:bCs/>
        </w:rPr>
        <w:t>33.</w:t>
      </w:r>
      <w:r w:rsidRPr="00DD13AC">
        <w:rPr>
          <w:bCs/>
        </w:rPr>
        <w:tab/>
      </w:r>
      <w:r w:rsidRPr="00DD13AC">
        <w:t>As part of the engagement, Vale had also been provided with a version of the final report before the launch. Due to the nature of the relationship</w:t>
      </w:r>
      <w:r>
        <w:t>,</w:t>
      </w:r>
      <w:r w:rsidRPr="00DD13AC">
        <w:t xml:space="preserve"> it had been possible to reflect the views and actions taken by Vale, even if the purpose of sharing the report had not been to enable the company to propose changes.</w:t>
      </w:r>
    </w:p>
    <w:p w:rsidR="008E0BD4" w:rsidRPr="00DD13AC" w:rsidRDefault="008E0BD4" w:rsidP="008E0BD4">
      <w:pPr>
        <w:pStyle w:val="SingleTxtG"/>
      </w:pPr>
      <w:r w:rsidRPr="00DD13AC">
        <w:rPr>
          <w:bCs/>
        </w:rPr>
        <w:t>34.</w:t>
      </w:r>
      <w:r w:rsidRPr="00DD13AC">
        <w:rPr>
          <w:bCs/>
        </w:rPr>
        <w:tab/>
      </w:r>
      <w:r w:rsidRPr="00DD13AC">
        <w:t xml:space="preserve">Like Vale, Human Rights Watch also reported </w:t>
      </w:r>
      <w:r>
        <w:t>that i</w:t>
      </w:r>
      <w:r w:rsidRPr="00DD13AC">
        <w:t xml:space="preserve">t found the relationship with Vale to be a positive experience, and that it led to meaningful concrete changes in company action and the situation of the community in Mozambique. The NGO also noted </w:t>
      </w:r>
      <w:r>
        <w:t xml:space="preserve">that </w:t>
      </w:r>
      <w:r w:rsidRPr="00DD13AC">
        <w:t xml:space="preserve">it was pleased </w:t>
      </w:r>
      <w:r>
        <w:t xml:space="preserve">that </w:t>
      </w:r>
      <w:r w:rsidRPr="00DD13AC">
        <w:t xml:space="preserve">Vale </w:t>
      </w:r>
      <w:r>
        <w:t xml:space="preserve">was </w:t>
      </w:r>
      <w:r w:rsidRPr="00DD13AC">
        <w:t>determin</w:t>
      </w:r>
      <w:r>
        <w:t xml:space="preserve">ed </w:t>
      </w:r>
      <w:r w:rsidRPr="00DD13AC">
        <w:t>to integrate lessons learned into policies and practices in other operations</w:t>
      </w:r>
      <w:r>
        <w:t xml:space="preserve">. </w:t>
      </w:r>
      <w:r w:rsidRPr="00DD13AC">
        <w:t>Human Rights Watch hoped that other</w:t>
      </w:r>
      <w:r>
        <w:t xml:space="preserve"> companie</w:t>
      </w:r>
      <w:r w:rsidRPr="00DD13AC">
        <w:t>s operating in Mozambique</w:t>
      </w:r>
      <w:r>
        <w:t xml:space="preserve"> </w:t>
      </w:r>
      <w:r w:rsidRPr="00DD13AC">
        <w:t xml:space="preserve">would do </w:t>
      </w:r>
      <w:r>
        <w:t>likewise</w:t>
      </w:r>
      <w:r w:rsidRPr="00DD13AC">
        <w:t xml:space="preserve">. </w:t>
      </w:r>
    </w:p>
    <w:p w:rsidR="008E0BD4" w:rsidRPr="008B6788" w:rsidRDefault="008E0BD4" w:rsidP="008E0BD4">
      <w:pPr>
        <w:pStyle w:val="SingleTxtG"/>
      </w:pPr>
      <w:r w:rsidRPr="008B6788">
        <w:rPr>
          <w:bCs/>
        </w:rPr>
        <w:lastRenderedPageBreak/>
        <w:t>35.</w:t>
      </w:r>
      <w:r w:rsidRPr="008B6788">
        <w:rPr>
          <w:bCs/>
        </w:rPr>
        <w:tab/>
      </w:r>
      <w:r w:rsidRPr="00DD13AC">
        <w:t>Human Rights Watch</w:t>
      </w:r>
      <w:r w:rsidRPr="005E09AB">
        <w:t xml:space="preserve"> provided several general reflectio</w:t>
      </w:r>
      <w:r w:rsidRPr="008B6788">
        <w:t>ns, including:</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A number of issues could have been addressed or prevented if </w:t>
      </w:r>
      <w:r>
        <w:t>better</w:t>
      </w:r>
      <w:r w:rsidRPr="00DD13AC">
        <w:t xml:space="preserve"> due diligence had been done early on;</w:t>
      </w:r>
    </w:p>
    <w:p w:rsidR="008E0BD4" w:rsidRPr="00DD13AC" w:rsidRDefault="008E0BD4" w:rsidP="008E0BD4">
      <w:pPr>
        <w:pStyle w:val="Bullet1G"/>
        <w:numPr>
          <w:ilvl w:val="0"/>
          <w:numId w:val="0"/>
        </w:numPr>
        <w:tabs>
          <w:tab w:val="left" w:pos="1701"/>
        </w:tabs>
        <w:ind w:left="1701" w:hanging="170"/>
      </w:pPr>
      <w:r w:rsidRPr="00DD13AC">
        <w:t>•</w:t>
      </w:r>
      <w:r w:rsidRPr="00DD13AC">
        <w:tab/>
        <w:t>Companies often have good systems in place, but Human Rights Watch finds that they often lack an accurate picture of perspectives on the ground. Sometimes, companies recognize the issues, but fail to accept the</w:t>
      </w:r>
      <w:r>
        <w:t>ir</w:t>
      </w:r>
      <w:r w:rsidRPr="00DD13AC">
        <w:t xml:space="preserve"> gravity;</w:t>
      </w:r>
    </w:p>
    <w:p w:rsidR="008E0BD4" w:rsidRPr="00DD13AC" w:rsidRDefault="008E0BD4" w:rsidP="008E0BD4">
      <w:pPr>
        <w:pStyle w:val="Bullet1G"/>
        <w:numPr>
          <w:ilvl w:val="0"/>
          <w:numId w:val="0"/>
        </w:numPr>
        <w:tabs>
          <w:tab w:val="left" w:pos="1701"/>
        </w:tabs>
        <w:ind w:left="1701" w:hanging="170"/>
      </w:pPr>
      <w:r w:rsidRPr="00DD13AC">
        <w:t>•</w:t>
      </w:r>
      <w:r w:rsidRPr="00DD13AC">
        <w:tab/>
      </w:r>
      <w:r>
        <w:t>While f</w:t>
      </w:r>
      <w:r w:rsidRPr="00DD13AC">
        <w:t>orming relationships with local civil society organizations is critically important, i</w:t>
      </w:r>
      <w:r>
        <w:t>t</w:t>
      </w:r>
      <w:r w:rsidRPr="00DD13AC">
        <w:t xml:space="preserve"> can be different from working with international NGOs. Often, there is a heightened sense of conflict between local actors and the company</w:t>
      </w:r>
      <w:r>
        <w:t>,</w:t>
      </w:r>
      <w:r w:rsidRPr="00DD13AC">
        <w:t xml:space="preserve"> local actors may have access to fewer resources</w:t>
      </w:r>
      <w:r>
        <w:t>,</w:t>
      </w:r>
      <w:r w:rsidRPr="00DD13AC">
        <w:t xml:space="preserve"> </w:t>
      </w:r>
      <w:r>
        <w:t xml:space="preserve">they </w:t>
      </w:r>
      <w:r w:rsidRPr="00DD13AC">
        <w:t>can be less sophisticated in their mode of engagement and some can feel excluded from a process. Human Rights Watch urged companies to investigate thoroughly</w:t>
      </w:r>
      <w:r>
        <w:t xml:space="preserve"> </w:t>
      </w:r>
      <w:r w:rsidRPr="00DD13AC">
        <w:t>any issues or concerns that c</w:t>
      </w:r>
      <w:r>
        <w:t>a</w:t>
      </w:r>
      <w:r w:rsidRPr="00DD13AC">
        <w:t>me their way, without needing the external push or scrutiny that international NGOs br</w:t>
      </w:r>
      <w:r>
        <w:t>ou</w:t>
      </w:r>
      <w:r w:rsidRPr="00DD13AC">
        <w:t>g</w:t>
      </w:r>
      <w:r>
        <w:t>ht</w:t>
      </w:r>
      <w:r w:rsidRPr="00DD13AC">
        <w:t xml:space="preserve">. </w:t>
      </w:r>
      <w:r>
        <w:t>T</w:t>
      </w:r>
      <w:r w:rsidRPr="00DD13AC">
        <w:t>hat should also be considered even when management th</w:t>
      </w:r>
      <w:r>
        <w:t>ought</w:t>
      </w:r>
      <w:r w:rsidRPr="00DD13AC">
        <w:t xml:space="preserve"> it </w:t>
      </w:r>
      <w:r>
        <w:t>was aware of</w:t>
      </w:r>
      <w:r w:rsidRPr="00DD13AC">
        <w:t xml:space="preserve"> the situation and even when there </w:t>
      </w:r>
      <w:r>
        <w:t>were</w:t>
      </w:r>
      <w:r w:rsidRPr="00DD13AC">
        <w:t xml:space="preserve"> doubts about the credibility of interlocutors. </w:t>
      </w:r>
    </w:p>
    <w:p w:rsidR="008E0BD4" w:rsidRPr="00DD13AC" w:rsidRDefault="008E0BD4" w:rsidP="008E0BD4">
      <w:pPr>
        <w:pStyle w:val="H1G"/>
      </w:pPr>
      <w:r w:rsidRPr="00DD13AC">
        <w:tab/>
        <w:t>C.</w:t>
      </w:r>
      <w:r w:rsidRPr="00DD13AC">
        <w:tab/>
        <w:t xml:space="preserve">Child labour and women’s rights </w:t>
      </w:r>
      <w:r>
        <w:t>o</w:t>
      </w:r>
      <w:r w:rsidRPr="00DD13AC">
        <w:t>n West African cocoa farms</w:t>
      </w:r>
    </w:p>
    <w:p w:rsidR="008E0BD4" w:rsidRPr="00DD13AC" w:rsidRDefault="008E0BD4" w:rsidP="008E0BD4">
      <w:pPr>
        <w:pStyle w:val="SingleTxtG"/>
      </w:pPr>
      <w:r w:rsidRPr="00DD13AC">
        <w:rPr>
          <w:bCs/>
        </w:rPr>
        <w:t>36.</w:t>
      </w:r>
      <w:r w:rsidRPr="00DD13AC">
        <w:rPr>
          <w:bCs/>
        </w:rPr>
        <w:tab/>
      </w:r>
      <w:r w:rsidRPr="00DD13AC">
        <w:t>Th</w:t>
      </w:r>
      <w:r>
        <w:t>e</w:t>
      </w:r>
      <w:r w:rsidRPr="00DD13AC">
        <w:t xml:space="preserve"> </w:t>
      </w:r>
      <w:r>
        <w:t xml:space="preserve">second </w:t>
      </w:r>
      <w:r w:rsidRPr="00DD13AC">
        <w:t xml:space="preserve">case study featured presentations by </w:t>
      </w:r>
      <w:r>
        <w:t xml:space="preserve">representatives of </w:t>
      </w:r>
      <w:r w:rsidRPr="00DD13AC">
        <w:t xml:space="preserve">Nestlé, Oxfam and the International Cocoa Initiative (ICI) on their engagement </w:t>
      </w:r>
      <w:r>
        <w:t>in</w:t>
      </w:r>
      <w:r w:rsidRPr="00DD13AC">
        <w:t xml:space="preserve"> address</w:t>
      </w:r>
      <w:r>
        <w:t>ing</w:t>
      </w:r>
      <w:r w:rsidRPr="00DD13AC">
        <w:t xml:space="preserve"> challenges related to child labour and women’s rights in the context of cocoa production in West Africa, an issue that has </w:t>
      </w:r>
      <w:r>
        <w:t>attracted</w:t>
      </w:r>
      <w:r w:rsidRPr="00DD13AC">
        <w:t xml:space="preserve"> increasing attention from civil society organizations in the past decade.</w:t>
      </w:r>
    </w:p>
    <w:p w:rsidR="008E0BD4" w:rsidRPr="00DD13AC" w:rsidRDefault="008E0BD4" w:rsidP="008E0BD4">
      <w:pPr>
        <w:pStyle w:val="SingleTxtG"/>
      </w:pPr>
      <w:r w:rsidRPr="00DD13AC">
        <w:rPr>
          <w:bCs/>
        </w:rPr>
        <w:t>37.</w:t>
      </w:r>
      <w:r w:rsidRPr="00DD13AC">
        <w:rPr>
          <w:bCs/>
        </w:rPr>
        <w:tab/>
      </w:r>
      <w:r>
        <w:t xml:space="preserve">The representative of </w:t>
      </w:r>
      <w:r w:rsidRPr="00DD13AC">
        <w:t xml:space="preserve">Nestlé provided some background </w:t>
      </w:r>
      <w:r>
        <w:t>information on</w:t>
      </w:r>
      <w:r w:rsidRPr="00DD13AC">
        <w:t xml:space="preserve"> the programme to address child labour in the cocoa industry. In recent years</w:t>
      </w:r>
      <w:r>
        <w:t>,</w:t>
      </w:r>
      <w:r w:rsidRPr="00DD13AC">
        <w:t xml:space="preserve"> the yield for cocoa has stagnated for a number of reasons</w:t>
      </w:r>
      <w:r>
        <w:t>,</w:t>
      </w:r>
      <w:r w:rsidRPr="00DD13AC">
        <w:t xml:space="preserve"> including</w:t>
      </w:r>
      <w:r>
        <w:t xml:space="preserve"> the</w:t>
      </w:r>
      <w:r w:rsidRPr="00DD13AC">
        <w:t xml:space="preserve"> lack of implementation of good agricultural practices</w:t>
      </w:r>
      <w:r>
        <w:t>,</w:t>
      </w:r>
      <w:r w:rsidRPr="00DD13AC">
        <w:t xml:space="preserve"> the small size of fields</w:t>
      </w:r>
      <w:r>
        <w:t>, which</w:t>
      </w:r>
      <w:r w:rsidRPr="00DD13AC">
        <w:t xml:space="preserve"> limited industrial production</w:t>
      </w:r>
      <w:r>
        <w:t>,</w:t>
      </w:r>
      <w:r w:rsidRPr="00DD13AC">
        <w:t xml:space="preserve"> ag</w:t>
      </w:r>
      <w:r>
        <w:t>e</w:t>
      </w:r>
      <w:r w:rsidRPr="00DD13AC">
        <w:t>ing trees</w:t>
      </w:r>
      <w:r>
        <w:t>,</w:t>
      </w:r>
      <w:r w:rsidRPr="00DD13AC">
        <w:t xml:space="preserve"> an ag</w:t>
      </w:r>
      <w:r>
        <w:t>e</w:t>
      </w:r>
      <w:r w:rsidRPr="00DD13AC">
        <w:t>ing workforce</w:t>
      </w:r>
      <w:r>
        <w:t>,</w:t>
      </w:r>
      <w:r w:rsidRPr="00DD13AC">
        <w:t xml:space="preserve"> as many young people d</w:t>
      </w:r>
      <w:r>
        <w:t>id</w:t>
      </w:r>
      <w:r w:rsidRPr="00DD13AC">
        <w:t xml:space="preserve"> not want to work </w:t>
      </w:r>
      <w:r>
        <w:t>i</w:t>
      </w:r>
      <w:r w:rsidRPr="00DD13AC">
        <w:t>n the cocoa fields</w:t>
      </w:r>
      <w:r>
        <w:t>, and the</w:t>
      </w:r>
      <w:r w:rsidRPr="00DD13AC">
        <w:t xml:space="preserve"> stagnation in the commodity </w:t>
      </w:r>
      <w:r>
        <w:t>price coupled with</w:t>
      </w:r>
      <w:r w:rsidRPr="00DD13AC">
        <w:t xml:space="preserve"> a reduction in prices at the farm level</w:t>
      </w:r>
      <w:r>
        <w:t>,</w:t>
      </w:r>
      <w:r w:rsidRPr="00DD13AC">
        <w:t xml:space="preserve"> in part due to high taxation and the number actors/tiers in the supply chain. Further</w:t>
      </w:r>
      <w:r>
        <w:t>more</w:t>
      </w:r>
      <w:r w:rsidRPr="00DD13AC">
        <w:t>, the situation is characterized by low income for farmers (about US</w:t>
      </w:r>
      <w:r>
        <w:t>$</w:t>
      </w:r>
      <w:r w:rsidRPr="00DD13AC">
        <w:t> 50 per month, or barely above US</w:t>
      </w:r>
      <w:r>
        <w:t>$</w:t>
      </w:r>
      <w:r w:rsidRPr="00DD13AC">
        <w:t> 2 per day) and the high number of children involved in cocoa production</w:t>
      </w:r>
      <w:r>
        <w:t>.</w:t>
      </w:r>
      <w:r w:rsidRPr="00DD13AC">
        <w:t xml:space="preserve"> </w:t>
      </w:r>
      <w:r>
        <w:t>O</w:t>
      </w:r>
      <w:r w:rsidRPr="00DD13AC">
        <w:t xml:space="preserve">ne estimate is that there are 800,000 children working in the cocoa supply chain in Côte d’Ivoire alone. </w:t>
      </w:r>
    </w:p>
    <w:p w:rsidR="008E0BD4" w:rsidRPr="00DD13AC" w:rsidRDefault="008E0BD4" w:rsidP="008E0BD4">
      <w:pPr>
        <w:pStyle w:val="SingleTxtG"/>
      </w:pPr>
      <w:r w:rsidRPr="00DD13AC">
        <w:rPr>
          <w:bCs/>
        </w:rPr>
        <w:t>38.</w:t>
      </w:r>
      <w:r w:rsidRPr="00DD13AC">
        <w:rPr>
          <w:bCs/>
        </w:rPr>
        <w:tab/>
      </w:r>
      <w:r>
        <w:t xml:space="preserve">The representative of </w:t>
      </w:r>
      <w:r w:rsidRPr="00DD13AC">
        <w:t>Nestlé explained that its response was to put in place a programme consisting of three pillars</w:t>
      </w:r>
      <w:r>
        <w:t>,</w:t>
      </w:r>
      <w:r w:rsidRPr="00DD13AC">
        <w:t xml:space="preserve"> </w:t>
      </w:r>
      <w:r>
        <w:t>t</w:t>
      </w:r>
      <w:r w:rsidRPr="00DD13AC">
        <w:t>he first seeking to increase farmers’ profits</w:t>
      </w:r>
      <w:r>
        <w:t>,</w:t>
      </w:r>
      <w:r w:rsidRPr="00DD13AC">
        <w:t xml:space="preserve"> the second focused on the social conditions in the supply chain and the third seeking to ensure resilience in the cocoa supply chain </w:t>
      </w:r>
      <w:r>
        <w:t xml:space="preserve">in order </w:t>
      </w:r>
      <w:r w:rsidRPr="00DD13AC">
        <w:t xml:space="preserve">to meet production needs. </w:t>
      </w:r>
    </w:p>
    <w:p w:rsidR="008E0BD4" w:rsidRPr="00DD13AC" w:rsidRDefault="008E0BD4" w:rsidP="008E0BD4">
      <w:pPr>
        <w:pStyle w:val="SingleTxtG"/>
      </w:pPr>
      <w:r w:rsidRPr="00DD13AC">
        <w:rPr>
          <w:bCs/>
        </w:rPr>
        <w:t>39.</w:t>
      </w:r>
      <w:r w:rsidRPr="00DD13AC">
        <w:rPr>
          <w:bCs/>
        </w:rPr>
        <w:tab/>
      </w:r>
      <w:r w:rsidRPr="00DD13AC">
        <w:t>In order to address</w:t>
      </w:r>
      <w:r>
        <w:t xml:space="preserve"> the issue of</w:t>
      </w:r>
      <w:r w:rsidRPr="00DD13AC">
        <w:t xml:space="preserve"> social conditions, Nestlé entered into a partnership with the Fair </w:t>
      </w:r>
      <w:proofErr w:type="spellStart"/>
      <w:r w:rsidRPr="00DD13AC">
        <w:t>Labor</w:t>
      </w:r>
      <w:proofErr w:type="spellEnd"/>
      <w:r w:rsidRPr="00DD13AC">
        <w:t xml:space="preserve"> Association in 2011 to conduct a baseline analysis </w:t>
      </w:r>
      <w:r>
        <w:t>of</w:t>
      </w:r>
      <w:r w:rsidRPr="00DD13AC">
        <w:t xml:space="preserve"> </w:t>
      </w:r>
      <w:r>
        <w:t xml:space="preserve">the </w:t>
      </w:r>
      <w:r w:rsidRPr="00DD13AC">
        <w:t>prevalence of child labour in the coc</w:t>
      </w:r>
      <w:r>
        <w:t>o</w:t>
      </w:r>
      <w:r w:rsidRPr="00DD13AC">
        <w:t xml:space="preserve">a supply chain, which resulted in </w:t>
      </w:r>
      <w:r>
        <w:t>11</w:t>
      </w:r>
      <w:r w:rsidRPr="00DD13AC">
        <w:t xml:space="preserve"> recommendations from </w:t>
      </w:r>
      <w:r>
        <w:t xml:space="preserve">the </w:t>
      </w:r>
      <w:r w:rsidRPr="00DD13AC">
        <w:t xml:space="preserve">Fair </w:t>
      </w:r>
      <w:proofErr w:type="spellStart"/>
      <w:r w:rsidRPr="00DD13AC">
        <w:t>Labor</w:t>
      </w:r>
      <w:proofErr w:type="spellEnd"/>
      <w:r w:rsidRPr="00DD13AC">
        <w:t xml:space="preserve"> Association. Nestlé adopted all the</w:t>
      </w:r>
      <w:r>
        <w:t xml:space="preserve"> recommendations,</w:t>
      </w:r>
      <w:r w:rsidRPr="00DD13AC">
        <w:t xml:space="preserve"> including the </w:t>
      </w:r>
      <w:r>
        <w:t>one to establish</w:t>
      </w:r>
      <w:r w:rsidRPr="00DD13AC">
        <w:t xml:space="preserve"> the Child Labour Monitoring and Remediation System, which was supported by ICI. Th</w:t>
      </w:r>
      <w:r>
        <w:t>e</w:t>
      </w:r>
      <w:r w:rsidRPr="00DD13AC">
        <w:t xml:space="preserve"> system sought to address policies and practices </w:t>
      </w:r>
      <w:r>
        <w:t>in</w:t>
      </w:r>
      <w:r w:rsidRPr="00DD13AC">
        <w:t xml:space="preserve"> all </w:t>
      </w:r>
      <w:r>
        <w:t xml:space="preserve">the </w:t>
      </w:r>
      <w:r w:rsidRPr="00DD13AC">
        <w:t xml:space="preserve">tiers of the supply chain, from local growers </w:t>
      </w:r>
      <w:r>
        <w:t>to</w:t>
      </w:r>
      <w:r w:rsidRPr="00DD13AC">
        <w:t xml:space="preserve"> cooperatives and tier-one suppliers to Nestlé. </w:t>
      </w:r>
      <w:r>
        <w:t>B</w:t>
      </w:r>
      <w:r w:rsidRPr="00DD13AC">
        <w:t xml:space="preserve">y the end of November 2014, </w:t>
      </w:r>
      <w:r>
        <w:t xml:space="preserve">some </w:t>
      </w:r>
      <w:r w:rsidRPr="00DD13AC">
        <w:t xml:space="preserve">16 cooperatives had implemented the system. The aim </w:t>
      </w:r>
      <w:r>
        <w:t>i</w:t>
      </w:r>
      <w:r w:rsidRPr="00DD13AC">
        <w:t xml:space="preserve">s to have the system implemented by all </w:t>
      </w:r>
      <w:r>
        <w:t xml:space="preserve">Nestlé </w:t>
      </w:r>
      <w:r w:rsidRPr="00DD13AC">
        <w:t xml:space="preserve">Cocoa Plan cooperatives by 2016. With the support of ICI, Nestlé conducted training </w:t>
      </w:r>
      <w:r>
        <w:t>for</w:t>
      </w:r>
      <w:r w:rsidRPr="00DD13AC">
        <w:t xml:space="preserve"> company employees</w:t>
      </w:r>
      <w:r>
        <w:t>,</w:t>
      </w:r>
      <w:r w:rsidRPr="00DD13AC">
        <w:t xml:space="preserve"> including agronomists</w:t>
      </w:r>
      <w:r>
        <w:t>,</w:t>
      </w:r>
      <w:r w:rsidRPr="00DD13AC">
        <w:t xml:space="preserve"> who can now identify cases of child labour</w:t>
      </w:r>
      <w:r>
        <w:t>,</w:t>
      </w:r>
      <w:r w:rsidRPr="00DD13AC">
        <w:t xml:space="preserve"> and with external </w:t>
      </w:r>
      <w:proofErr w:type="spellStart"/>
      <w:r w:rsidRPr="00DD13AC">
        <w:t>actors</w:t>
      </w:r>
      <w:proofErr w:type="spellEnd"/>
      <w:r w:rsidRPr="00DD13AC">
        <w:t xml:space="preserve"> such as farmers and cooperative owners. A key finding was that the system </w:t>
      </w:r>
      <w:r>
        <w:t>identifies</w:t>
      </w:r>
      <w:r w:rsidRPr="00DD13AC">
        <w:t xml:space="preserve"> more cases of concern than </w:t>
      </w:r>
      <w:r>
        <w:t xml:space="preserve">those </w:t>
      </w:r>
      <w:r>
        <w:lastRenderedPageBreak/>
        <w:t xml:space="preserve">identified under </w:t>
      </w:r>
      <w:r w:rsidRPr="00DD13AC">
        <w:t>the certification scheme</w:t>
      </w:r>
      <w:r>
        <w:t xml:space="preserve"> </w:t>
      </w:r>
      <w:r w:rsidRPr="00DD13AC">
        <w:t>audits</w:t>
      </w:r>
      <w:r>
        <w:t xml:space="preserve">. In fact, </w:t>
      </w:r>
      <w:r w:rsidRPr="00DD13AC">
        <w:t>about 3</w:t>
      </w:r>
      <w:r>
        <w:t>,</w:t>
      </w:r>
      <w:r w:rsidRPr="00DD13AC">
        <w:t xml:space="preserve">000 instances of child labour were found that were linked to certified cooperatives. </w:t>
      </w:r>
    </w:p>
    <w:p w:rsidR="008E0BD4" w:rsidRPr="00DD13AC" w:rsidRDefault="008E0BD4" w:rsidP="008E0BD4">
      <w:pPr>
        <w:pStyle w:val="SingleTxtG"/>
      </w:pPr>
      <w:r w:rsidRPr="00DD13AC">
        <w:rPr>
          <w:bCs/>
        </w:rPr>
        <w:t>40.</w:t>
      </w:r>
      <w:r w:rsidRPr="00DD13AC">
        <w:rPr>
          <w:bCs/>
        </w:rPr>
        <w:tab/>
      </w:r>
      <w:r w:rsidRPr="00DD13AC">
        <w:t xml:space="preserve">The collaboration with </w:t>
      </w:r>
      <w:r>
        <w:t xml:space="preserve">the </w:t>
      </w:r>
      <w:r w:rsidRPr="00DD13AC">
        <w:t xml:space="preserve">Fair </w:t>
      </w:r>
      <w:proofErr w:type="spellStart"/>
      <w:r w:rsidRPr="00DD13AC">
        <w:t>Labor</w:t>
      </w:r>
      <w:proofErr w:type="spellEnd"/>
      <w:r w:rsidRPr="00DD13AC">
        <w:t xml:space="preserve"> Association and ICI was seen as crucial by Nestlé with respect to its efforts to address child labour. </w:t>
      </w:r>
      <w:r>
        <w:t>C</w:t>
      </w:r>
      <w:r w:rsidRPr="00DD13AC">
        <w:t xml:space="preserve">ivil society organizations have the necessary expertise, credibility and capacity to implement programmes and audits. It was also important to try and engage </w:t>
      </w:r>
      <w:r>
        <w:t xml:space="preserve">with </w:t>
      </w:r>
      <w:r w:rsidRPr="00DD13AC">
        <w:t xml:space="preserve">the </w:t>
      </w:r>
      <w:r>
        <w:t>G</w:t>
      </w:r>
      <w:r w:rsidRPr="00DD13AC">
        <w:t xml:space="preserve">overnment in order to coordinate programmes. </w:t>
      </w:r>
    </w:p>
    <w:p w:rsidR="008E0BD4" w:rsidRPr="00DD13AC" w:rsidRDefault="008E0BD4" w:rsidP="008E0BD4">
      <w:pPr>
        <w:pStyle w:val="SingleTxtG"/>
      </w:pPr>
      <w:r w:rsidRPr="00DD13AC">
        <w:rPr>
          <w:bCs/>
        </w:rPr>
        <w:t>41.</w:t>
      </w:r>
      <w:r w:rsidRPr="00DD13AC">
        <w:rPr>
          <w:bCs/>
        </w:rPr>
        <w:tab/>
      </w:r>
      <w:r>
        <w:t>I</w:t>
      </w:r>
      <w:r w:rsidRPr="00DD13AC">
        <w:t>t was noted that activities related to child labour were part of the overall programme on human rights due diligence</w:t>
      </w:r>
      <w:r>
        <w:t>. T</w:t>
      </w:r>
      <w:r w:rsidRPr="00DD13AC">
        <w:t>he Guiding Principles had been critical in informing the design of the programme</w:t>
      </w:r>
      <w:r>
        <w:t xml:space="preserve"> and</w:t>
      </w:r>
      <w:r w:rsidRPr="00DD13AC">
        <w:t xml:space="preserve"> in clarifying the responsibility of the company to use leverage in addressing the problem of child labour in the supply chain. </w:t>
      </w:r>
    </w:p>
    <w:p w:rsidR="008E0BD4" w:rsidRPr="00DD13AC" w:rsidRDefault="008E0BD4" w:rsidP="008E0BD4">
      <w:pPr>
        <w:pStyle w:val="SingleTxtG"/>
      </w:pPr>
      <w:r w:rsidRPr="00DD13AC">
        <w:rPr>
          <w:bCs/>
        </w:rPr>
        <w:t>42.</w:t>
      </w:r>
      <w:r w:rsidRPr="00DD13AC">
        <w:rPr>
          <w:bCs/>
        </w:rPr>
        <w:tab/>
      </w:r>
      <w:r>
        <w:t>The representative of</w:t>
      </w:r>
      <w:r w:rsidRPr="00DD13AC">
        <w:t xml:space="preserve"> ICI</w:t>
      </w:r>
      <w:r>
        <w:t>,</w:t>
      </w:r>
      <w:r w:rsidRPr="00DD13AC">
        <w:t xml:space="preserve"> a multi-stakeholder coalition </w:t>
      </w:r>
      <w:r>
        <w:t>that aimed to</w:t>
      </w:r>
      <w:r w:rsidRPr="00DD13AC">
        <w:t xml:space="preserve"> </w:t>
      </w:r>
      <w:r>
        <w:t>bring about</w:t>
      </w:r>
      <w:r w:rsidRPr="00DD13AC">
        <w:t xml:space="preserve"> sector-wide change to protect children in the cocoa industry</w:t>
      </w:r>
      <w:r>
        <w:t>,</w:t>
      </w:r>
      <w:r w:rsidRPr="00DD13AC">
        <w:t xml:space="preserve"> noted that a key aspect of its work was building </w:t>
      </w:r>
      <w:r>
        <w:t xml:space="preserve">the </w:t>
      </w:r>
      <w:r w:rsidRPr="00DD13AC">
        <w:t>capacity of a range of actors in the supply chain</w:t>
      </w:r>
      <w:r>
        <w:t>,</w:t>
      </w:r>
      <w:r w:rsidRPr="00DD13AC">
        <w:t xml:space="preserve"> including Nestlé</w:t>
      </w:r>
      <w:r>
        <w:t>,</w:t>
      </w:r>
      <w:r w:rsidRPr="00DD13AC">
        <w:t xml:space="preserve"> and engaging communities and </w:t>
      </w:r>
      <w:r>
        <w:t>G</w:t>
      </w:r>
      <w:r w:rsidRPr="00DD13AC">
        <w:t xml:space="preserve">overnments in producing countries. Among the insights ICI </w:t>
      </w:r>
      <w:r>
        <w:t xml:space="preserve">had </w:t>
      </w:r>
      <w:r w:rsidRPr="00DD13AC">
        <w:t>identified with re</w:t>
      </w:r>
      <w:r>
        <w:t>gard</w:t>
      </w:r>
      <w:r w:rsidRPr="00DD13AC">
        <w:t xml:space="preserve"> to making </w:t>
      </w:r>
      <w:r>
        <w:t>valuable</w:t>
      </w:r>
      <w:r w:rsidRPr="00DD13AC">
        <w:t xml:space="preserve"> changes on the ground </w:t>
      </w:r>
      <w:r>
        <w:t>through</w:t>
      </w:r>
      <w:r w:rsidRPr="00DD13AC">
        <w:t xml:space="preserve"> collaboration with multiple actors, the following were emphasized:</w:t>
      </w:r>
    </w:p>
    <w:p w:rsidR="008E0BD4" w:rsidRPr="00DD13AC" w:rsidRDefault="008E0BD4" w:rsidP="008E0BD4">
      <w:pPr>
        <w:pStyle w:val="Bullet1G"/>
        <w:numPr>
          <w:ilvl w:val="0"/>
          <w:numId w:val="0"/>
        </w:numPr>
        <w:tabs>
          <w:tab w:val="left" w:pos="1701"/>
        </w:tabs>
        <w:ind w:left="1701" w:hanging="170"/>
      </w:pPr>
      <w:r w:rsidRPr="00DD13AC">
        <w:t>•</w:t>
      </w:r>
      <w:r w:rsidRPr="00DD13AC">
        <w:tab/>
        <w:t>It is necessary to recognize that identif</w:t>
      </w:r>
      <w:r>
        <w:t>y</w:t>
      </w:r>
      <w:r w:rsidRPr="00DD13AC">
        <w:t>in</w:t>
      </w:r>
      <w:r>
        <w:t>g</w:t>
      </w:r>
      <w:r w:rsidRPr="00DD13AC">
        <w:t xml:space="preserve"> child labour is a complex issue. It is not easy to walk </w:t>
      </w:r>
      <w:r>
        <w:t>o</w:t>
      </w:r>
      <w:r w:rsidRPr="00DD13AC">
        <w:t>nto a farm and s</w:t>
      </w:r>
      <w:r>
        <w:t xml:space="preserve">pot which cases constitute </w:t>
      </w:r>
      <w:r w:rsidRPr="00DD13AC">
        <w:t xml:space="preserve">child labour and </w:t>
      </w:r>
      <w:r>
        <w:t>which do</w:t>
      </w:r>
      <w:r w:rsidRPr="00DD13AC">
        <w:t xml:space="preserve"> not. </w:t>
      </w:r>
      <w:r>
        <w:t>C</w:t>
      </w:r>
      <w:r w:rsidRPr="00DD13AC">
        <w:t>onsider</w:t>
      </w:r>
      <w:r>
        <w:t>ation should be given to</w:t>
      </w:r>
      <w:r w:rsidRPr="00DD13AC">
        <w:t xml:space="preserve"> time of day, the nature of the work and the age of the child</w:t>
      </w:r>
      <w:r>
        <w:t>,</w:t>
      </w:r>
      <w:r w:rsidRPr="00DD13AC">
        <w:t xml:space="preserve"> which is not always easy to determine;</w:t>
      </w:r>
    </w:p>
    <w:p w:rsidR="008E0BD4" w:rsidRPr="00DD13AC" w:rsidRDefault="008E0BD4" w:rsidP="008E0BD4">
      <w:pPr>
        <w:pStyle w:val="Bullet1G"/>
        <w:numPr>
          <w:ilvl w:val="0"/>
          <w:numId w:val="0"/>
        </w:numPr>
        <w:tabs>
          <w:tab w:val="left" w:pos="1701"/>
        </w:tabs>
        <w:ind w:left="1701" w:hanging="170"/>
      </w:pPr>
      <w:r w:rsidRPr="00DD13AC">
        <w:t>•</w:t>
      </w:r>
      <w:r w:rsidRPr="00DD13AC">
        <w:tab/>
        <w:t>Building on existing capacity makes sense</w:t>
      </w:r>
      <w:r>
        <w:t>.</w:t>
      </w:r>
      <w:r w:rsidRPr="00DD13AC">
        <w:t xml:space="preserve"> </w:t>
      </w:r>
      <w:r>
        <w:t>Since c</w:t>
      </w:r>
      <w:r w:rsidRPr="00DD13AC">
        <w:t>ooperatives in the supply chain are institutions with management capability and structures</w:t>
      </w:r>
      <w:r>
        <w:t>,</w:t>
      </w:r>
      <w:r w:rsidRPr="00DD13AC">
        <w:t xml:space="preserve"> </w:t>
      </w:r>
      <w:r>
        <w:t>w</w:t>
      </w:r>
      <w:r w:rsidRPr="00DD13AC">
        <w:t>orking through the</w:t>
      </w:r>
      <w:r>
        <w:t>m</w:t>
      </w:r>
      <w:r w:rsidRPr="00DD13AC">
        <w:t xml:space="preserve"> is necessary;</w:t>
      </w:r>
    </w:p>
    <w:p w:rsidR="008E0BD4" w:rsidRPr="00DD13AC" w:rsidRDefault="008E0BD4" w:rsidP="008E0BD4">
      <w:pPr>
        <w:pStyle w:val="Bullet1G"/>
        <w:numPr>
          <w:ilvl w:val="0"/>
          <w:numId w:val="0"/>
        </w:numPr>
        <w:tabs>
          <w:tab w:val="left" w:pos="1701"/>
        </w:tabs>
        <w:ind w:left="1701" w:hanging="170"/>
      </w:pPr>
      <w:r w:rsidRPr="00DD13AC">
        <w:t>•</w:t>
      </w:r>
      <w:r w:rsidRPr="00DD13AC">
        <w:tab/>
        <w:t>Real remediation, not policing, is critical</w:t>
      </w:r>
      <w:r>
        <w:t>.</w:t>
      </w:r>
      <w:r w:rsidRPr="00DD13AC">
        <w:t xml:space="preserve"> </w:t>
      </w:r>
      <w:r>
        <w:t>Arriving on</w:t>
      </w:r>
      <w:r w:rsidRPr="00DD13AC">
        <w:t xml:space="preserve"> a farm and simply </w:t>
      </w:r>
      <w:r>
        <w:t>pinpointing</w:t>
      </w:r>
      <w:r w:rsidRPr="00DD13AC">
        <w:t xml:space="preserve"> child labour silences dialogue and pushes the issue under the surface. Farmers and children need good alternatives that work;</w:t>
      </w:r>
    </w:p>
    <w:p w:rsidR="008E0BD4" w:rsidRPr="00DD13AC" w:rsidRDefault="008E0BD4" w:rsidP="008E0BD4">
      <w:pPr>
        <w:pStyle w:val="Bullet1G"/>
        <w:numPr>
          <w:ilvl w:val="0"/>
          <w:numId w:val="0"/>
        </w:numPr>
        <w:tabs>
          <w:tab w:val="left" w:pos="1701"/>
        </w:tabs>
        <w:ind w:left="1701" w:hanging="170"/>
      </w:pPr>
      <w:r w:rsidRPr="00DD13AC">
        <w:t>•</w:t>
      </w:r>
      <w:r w:rsidRPr="00DD13AC">
        <w:tab/>
        <w:t>Innovation can help spread knowledge and good practices</w:t>
      </w:r>
      <w:r>
        <w:t>, such as</w:t>
      </w:r>
      <w:r w:rsidRPr="00DD13AC">
        <w:t xml:space="preserve"> </w:t>
      </w:r>
      <w:r>
        <w:t xml:space="preserve">in the case of </w:t>
      </w:r>
      <w:r w:rsidRPr="00DD13AC">
        <w:t xml:space="preserve">a </w:t>
      </w:r>
      <w:r>
        <w:t>s</w:t>
      </w:r>
      <w:r w:rsidRPr="00DD13AC">
        <w:t xml:space="preserve">martphone application implemented by ICI that allows data to be gathered </w:t>
      </w:r>
      <w:r>
        <w:t xml:space="preserve">in order </w:t>
      </w:r>
      <w:r w:rsidRPr="00DD13AC">
        <w:t xml:space="preserve">to inform decisions </w:t>
      </w:r>
      <w:r>
        <w:t>taken by</w:t>
      </w:r>
      <w:r w:rsidRPr="00DD13AC">
        <w:t xml:space="preserve"> cooperatives. </w:t>
      </w:r>
    </w:p>
    <w:p w:rsidR="008E0BD4" w:rsidRPr="00DD13AC" w:rsidRDefault="008E0BD4" w:rsidP="008E0BD4">
      <w:pPr>
        <w:pStyle w:val="SingleTxtG"/>
      </w:pPr>
      <w:r w:rsidRPr="00DD13AC">
        <w:rPr>
          <w:bCs/>
        </w:rPr>
        <w:t>43.</w:t>
      </w:r>
      <w:r w:rsidRPr="00DD13AC">
        <w:rPr>
          <w:bCs/>
        </w:rPr>
        <w:tab/>
      </w:r>
      <w:r>
        <w:t xml:space="preserve">The representative of </w:t>
      </w:r>
      <w:r w:rsidRPr="00DD13AC">
        <w:t xml:space="preserve">Oxfam explained that its engagement with Nestlé and other companies in the sector </w:t>
      </w:r>
      <w:r>
        <w:t>took place</w:t>
      </w:r>
      <w:r w:rsidRPr="00DD13AC">
        <w:t xml:space="preserve"> in part through the “Behind the Brands” campaign, which ranks and scores </w:t>
      </w:r>
      <w:r>
        <w:t>10</w:t>
      </w:r>
      <w:r w:rsidRPr="00DD13AC">
        <w:t xml:space="preserve"> food and beverage companies in seven areas: </w:t>
      </w:r>
      <w:r>
        <w:t>l</w:t>
      </w:r>
      <w:r w:rsidRPr="00DD13AC">
        <w:t>and access and rights, women’s rights, support to farmers, workers’ rights, mitigation of climate impacts, transparency at corporate level, and water use and impacts as well as access to water. Issues and lessons highlighted from engagement through th</w:t>
      </w:r>
      <w:r>
        <w:t>at</w:t>
      </w:r>
      <w:r w:rsidRPr="00DD13AC">
        <w:t xml:space="preserve"> initiative included:</w:t>
      </w:r>
    </w:p>
    <w:p w:rsidR="008E0BD4" w:rsidRPr="00DD13AC" w:rsidRDefault="008E0BD4" w:rsidP="008E0BD4">
      <w:pPr>
        <w:pStyle w:val="Bullet1G"/>
        <w:numPr>
          <w:ilvl w:val="0"/>
          <w:numId w:val="0"/>
        </w:numPr>
        <w:tabs>
          <w:tab w:val="left" w:pos="1701"/>
        </w:tabs>
        <w:ind w:left="1701" w:hanging="170"/>
      </w:pPr>
      <w:r w:rsidRPr="00DD13AC">
        <w:t>•</w:t>
      </w:r>
      <w:r w:rsidRPr="00DD13AC">
        <w:tab/>
        <w:t>It is not just about the relationship between Oxfam and the brands</w:t>
      </w:r>
      <w:r w:rsidRPr="00DD13AC">
        <w:rPr>
          <w:b/>
        </w:rPr>
        <w:t>.</w:t>
      </w:r>
      <w:r w:rsidRPr="00DD13AC">
        <w:t xml:space="preserve"> It is also a dialogue </w:t>
      </w:r>
      <w:r>
        <w:t>in which</w:t>
      </w:r>
      <w:r w:rsidRPr="00DD13AC">
        <w:t xml:space="preserve"> Oxfam has tried to involve the public;</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It is not easy to engage all </w:t>
      </w:r>
      <w:r>
        <w:t>10</w:t>
      </w:r>
      <w:r w:rsidRPr="00DD13AC">
        <w:t xml:space="preserve"> companies on all seven areas. Companies are often more comfortable or confident addressing some issues </w:t>
      </w:r>
      <w:r>
        <w:t>rather than</w:t>
      </w:r>
      <w:r w:rsidRPr="00DD13AC">
        <w:t xml:space="preserve"> others;</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Oxfam found </w:t>
      </w:r>
      <w:r>
        <w:t xml:space="preserve">that </w:t>
      </w:r>
      <w:r w:rsidRPr="00DD13AC">
        <w:t xml:space="preserve">it is effective to use reports and campaigns to highlight specific issues </w:t>
      </w:r>
      <w:r>
        <w:t>that require more</w:t>
      </w:r>
      <w:r w:rsidRPr="00DD13AC">
        <w:t xml:space="preserve"> attention</w:t>
      </w:r>
      <w:r>
        <w:t>, in its opinion</w:t>
      </w:r>
      <w:r w:rsidRPr="00DD13AC">
        <w:t>;</w:t>
      </w:r>
    </w:p>
    <w:p w:rsidR="008E0BD4" w:rsidRPr="00DD13AC" w:rsidRDefault="008E0BD4" w:rsidP="008E0BD4">
      <w:pPr>
        <w:pStyle w:val="Bullet1G"/>
        <w:numPr>
          <w:ilvl w:val="0"/>
          <w:numId w:val="0"/>
        </w:numPr>
        <w:tabs>
          <w:tab w:val="left" w:pos="1701"/>
        </w:tabs>
        <w:ind w:left="1701" w:hanging="170"/>
      </w:pPr>
      <w:r w:rsidRPr="00DD13AC">
        <w:t>•</w:t>
      </w:r>
      <w:r w:rsidRPr="00DD13AC">
        <w:tab/>
        <w:t>Oxfam does not set out to blindside companies. Before going public with reports</w:t>
      </w:r>
      <w:r>
        <w:t>, it</w:t>
      </w:r>
      <w:r w:rsidRPr="00DD13AC">
        <w:t xml:space="preserve"> </w:t>
      </w:r>
      <w:r>
        <w:t>gives</w:t>
      </w:r>
      <w:r w:rsidRPr="00DD13AC">
        <w:t xml:space="preserve"> the company or companies</w:t>
      </w:r>
      <w:r>
        <w:t xml:space="preserve"> concerned</w:t>
      </w:r>
      <w:r w:rsidRPr="00DD13AC">
        <w:t xml:space="preserve"> the opportunity to comment and understand Oxfam’s demands.</w:t>
      </w:r>
    </w:p>
    <w:p w:rsidR="008E0BD4" w:rsidRPr="00DD13AC" w:rsidRDefault="008E0BD4" w:rsidP="008E0BD4">
      <w:pPr>
        <w:pStyle w:val="SingleTxtG"/>
      </w:pPr>
      <w:r w:rsidRPr="00DD13AC">
        <w:rPr>
          <w:bCs/>
        </w:rPr>
        <w:t>44.</w:t>
      </w:r>
      <w:r w:rsidRPr="00DD13AC">
        <w:rPr>
          <w:bCs/>
        </w:rPr>
        <w:tab/>
      </w:r>
      <w:r w:rsidRPr="00DD13AC">
        <w:t xml:space="preserve">A particular focus for Oxfam’s work on the cocoa supply chains was the issue of women’s inequality, and the double aspect of recognizing the need to protect women’s </w:t>
      </w:r>
      <w:r w:rsidRPr="00DD13AC">
        <w:lastRenderedPageBreak/>
        <w:t>rights and addressing inequality as a means to tackle child labour. As women make up 43 per</w:t>
      </w:r>
      <w:r>
        <w:t xml:space="preserve"> </w:t>
      </w:r>
      <w:r w:rsidRPr="00DD13AC">
        <w:t>cent of the workforce in the world’s agricultural sector, and investments in family health</w:t>
      </w:r>
      <w:r>
        <w:t xml:space="preserve"> </w:t>
      </w:r>
      <w:r w:rsidRPr="00DD13AC">
        <w:t>care, children’s education and food tends to be the concern of women, it was noted that increased income and opportunit</w:t>
      </w:r>
      <w:r>
        <w:t>ies</w:t>
      </w:r>
      <w:r w:rsidRPr="00DD13AC">
        <w:t xml:space="preserve"> for women in the supply chain can </w:t>
      </w:r>
      <w:r>
        <w:t>address</w:t>
      </w:r>
      <w:r w:rsidRPr="00DD13AC">
        <w:t xml:space="preserve"> the </w:t>
      </w:r>
      <w:r>
        <w:t>root causes of</w:t>
      </w:r>
      <w:r w:rsidRPr="00DD13AC">
        <w:t xml:space="preserve"> child labour. </w:t>
      </w:r>
    </w:p>
    <w:p w:rsidR="008E0BD4" w:rsidRPr="00DD13AC" w:rsidRDefault="008E0BD4" w:rsidP="008E0BD4">
      <w:pPr>
        <w:pStyle w:val="SingleTxtG"/>
      </w:pPr>
      <w:r w:rsidRPr="00DD13AC">
        <w:rPr>
          <w:bCs/>
        </w:rPr>
        <w:t>45.</w:t>
      </w:r>
      <w:r w:rsidRPr="00DD13AC">
        <w:rPr>
          <w:bCs/>
        </w:rPr>
        <w:tab/>
      </w:r>
      <w:r w:rsidRPr="00DD13AC">
        <w:t xml:space="preserve">With regard to engaging Nestlé, Oxfam explained that research conducted in 2013 </w:t>
      </w:r>
      <w:r>
        <w:t xml:space="preserve">had </w:t>
      </w:r>
      <w:r w:rsidRPr="00DD13AC">
        <w:t>highlighted the issue of women’s rights in the cocoa supply chain. Th</w:t>
      </w:r>
      <w:r>
        <w:t>e</w:t>
      </w:r>
      <w:r w:rsidRPr="00DD13AC">
        <w:t xml:space="preserve"> process </w:t>
      </w:r>
      <w:r>
        <w:t xml:space="preserve">had </w:t>
      </w:r>
      <w:r w:rsidRPr="00DD13AC">
        <w:t>involved engaging Nestlé and others both privately and publicly, and shortly after the public campaign</w:t>
      </w:r>
      <w:r>
        <w:t>,</w:t>
      </w:r>
      <w:r w:rsidRPr="00DD13AC">
        <w:t xml:space="preserve"> Nestlé </w:t>
      </w:r>
      <w:r>
        <w:t xml:space="preserve">had </w:t>
      </w:r>
      <w:r w:rsidRPr="00DD13AC">
        <w:t>agreed to all of the requests made. After engagement between Oxfam and Nestlé</w:t>
      </w:r>
      <w:r>
        <w:t>,</w:t>
      </w:r>
      <w:r w:rsidRPr="00DD13AC">
        <w:t xml:space="preserve"> as well as Mars and Mondel</w:t>
      </w:r>
      <w:r>
        <w:t>ē</w:t>
      </w:r>
      <w:r w:rsidRPr="00DD13AC">
        <w:t xml:space="preserve">z, a road map to address the issues </w:t>
      </w:r>
      <w:r>
        <w:t>had been</w:t>
      </w:r>
      <w:r w:rsidRPr="00DD13AC">
        <w:t xml:space="preserve"> agreed</w:t>
      </w:r>
      <w:r>
        <w:t xml:space="preserve"> on</w:t>
      </w:r>
      <w:r w:rsidRPr="00DD13AC">
        <w:t xml:space="preserve">, and Oxfam </w:t>
      </w:r>
      <w:r>
        <w:t xml:space="preserve">had </w:t>
      </w:r>
      <w:r w:rsidRPr="00DD13AC">
        <w:t>continued the engagement with th</w:t>
      </w:r>
      <w:r>
        <w:t>o</w:t>
      </w:r>
      <w:r w:rsidRPr="00DD13AC">
        <w:t>se companies in order to evaluate the progress on th</w:t>
      </w:r>
      <w:r>
        <w:t>e</w:t>
      </w:r>
      <w:r w:rsidRPr="00DD13AC">
        <w:t xml:space="preserve"> road map. </w:t>
      </w:r>
    </w:p>
    <w:p w:rsidR="008E0BD4" w:rsidRPr="00DD13AC" w:rsidRDefault="008E0BD4" w:rsidP="008E0BD4">
      <w:pPr>
        <w:pStyle w:val="H1G"/>
      </w:pPr>
      <w:r w:rsidRPr="00DD13AC">
        <w:tab/>
        <w:t>D.</w:t>
      </w:r>
      <w:r w:rsidRPr="00DD13AC">
        <w:tab/>
        <w:t>Applying global framework agreements locally through mutual responsibility in the textile sector</w:t>
      </w:r>
    </w:p>
    <w:p w:rsidR="008E0BD4" w:rsidRPr="00DD13AC" w:rsidRDefault="008E0BD4" w:rsidP="008E0BD4">
      <w:pPr>
        <w:pStyle w:val="SingleTxtG"/>
      </w:pPr>
      <w:r w:rsidRPr="00DD13AC">
        <w:rPr>
          <w:bCs/>
        </w:rPr>
        <w:t>46.</w:t>
      </w:r>
      <w:r w:rsidRPr="00DD13AC">
        <w:rPr>
          <w:bCs/>
        </w:rPr>
        <w:tab/>
      </w:r>
      <w:r w:rsidRPr="00DD13AC">
        <w:t>Th</w:t>
      </w:r>
      <w:r>
        <w:t>e third</w:t>
      </w:r>
      <w:r w:rsidRPr="00DD13AC">
        <w:t xml:space="preserve"> case study included presentations by </w:t>
      </w:r>
      <w:r>
        <w:t xml:space="preserve">representatives of </w:t>
      </w:r>
      <w:proofErr w:type="spellStart"/>
      <w:r w:rsidRPr="00DD13AC">
        <w:t>Inditex</w:t>
      </w:r>
      <w:proofErr w:type="spellEnd"/>
      <w:r w:rsidRPr="00DD13AC">
        <w:t xml:space="preserve"> and the global union federation </w:t>
      </w:r>
      <w:proofErr w:type="spellStart"/>
      <w:r w:rsidRPr="00DD13AC">
        <w:t>IndustriALL</w:t>
      </w:r>
      <w:proofErr w:type="spellEnd"/>
      <w:r w:rsidRPr="00DD13AC">
        <w:t xml:space="preserve"> on the implementation of a global framework agreement covering </w:t>
      </w:r>
      <w:r>
        <w:t xml:space="preserve">the </w:t>
      </w:r>
      <w:r w:rsidRPr="00DD13AC">
        <w:t>6,000 factories</w:t>
      </w:r>
      <w:r>
        <w:t xml:space="preserve"> that supplied </w:t>
      </w:r>
      <w:proofErr w:type="spellStart"/>
      <w:r w:rsidRPr="00DD13AC">
        <w:t>Inditex</w:t>
      </w:r>
      <w:proofErr w:type="spellEnd"/>
      <w:r w:rsidRPr="00DD13AC">
        <w:t xml:space="preserve">. </w:t>
      </w:r>
      <w:proofErr w:type="spellStart"/>
      <w:r w:rsidRPr="00DD13AC">
        <w:t>Inditex</w:t>
      </w:r>
      <w:proofErr w:type="spellEnd"/>
      <w:r w:rsidRPr="00DD13AC">
        <w:t xml:space="preserve">, which manufactures close to </w:t>
      </w:r>
      <w:r>
        <w:t>1</w:t>
      </w:r>
      <w:r w:rsidRPr="00DD13AC">
        <w:t xml:space="preserve"> billion garments per year, involving some </w:t>
      </w:r>
      <w:r>
        <w:t>1</w:t>
      </w:r>
      <w:r w:rsidRPr="00DD13AC">
        <w:t xml:space="preserve"> million workers in 40 different countries, signed an agreement with </w:t>
      </w:r>
      <w:proofErr w:type="spellStart"/>
      <w:r w:rsidRPr="00DD13AC">
        <w:t>IndustriALL</w:t>
      </w:r>
      <w:proofErr w:type="spellEnd"/>
      <w:r w:rsidRPr="00DD13AC">
        <w:t xml:space="preserve"> in 2007</w:t>
      </w:r>
      <w:r>
        <w:t>, which was</w:t>
      </w:r>
      <w:r w:rsidRPr="00DD13AC">
        <w:t xml:space="preserve"> renewed in 2014</w:t>
      </w:r>
      <w:r>
        <w:t>,</w:t>
      </w:r>
      <w:r w:rsidRPr="00DD13AC">
        <w:t xml:space="preserve"> to promote decent working conditions in supplier factories worldwide. The agreement emphasizes the importance of freedom of association and collective bargaining, enabling workers to monitor and enforce their rights. The agreement is underpinned by </w:t>
      </w:r>
      <w:r>
        <w:t xml:space="preserve">the </w:t>
      </w:r>
      <w:proofErr w:type="spellStart"/>
      <w:r w:rsidRPr="00DD13AC">
        <w:t>Inditex</w:t>
      </w:r>
      <w:proofErr w:type="spellEnd"/>
      <w:r w:rsidRPr="00DD13AC">
        <w:t xml:space="preserve"> code of conduct</w:t>
      </w:r>
      <w:r>
        <w:t>,</w:t>
      </w:r>
      <w:r w:rsidRPr="00DD13AC">
        <w:t xml:space="preserve"> which sets out a commitment by the company that includes requirements </w:t>
      </w:r>
      <w:r>
        <w:t>for</w:t>
      </w:r>
      <w:r w:rsidRPr="00DD13AC">
        <w:t xml:space="preserve"> zero tolerance </w:t>
      </w:r>
      <w:r>
        <w:t>o</w:t>
      </w:r>
      <w:r w:rsidRPr="00DD13AC">
        <w:t xml:space="preserve">f forced and child labour, the guarantee of a living wage and other core labour rights. </w:t>
      </w:r>
    </w:p>
    <w:p w:rsidR="008E0BD4" w:rsidRPr="00DD13AC" w:rsidRDefault="008E0BD4" w:rsidP="008E0BD4">
      <w:pPr>
        <w:pStyle w:val="SingleTxtG"/>
      </w:pPr>
      <w:r w:rsidRPr="00DD13AC">
        <w:rPr>
          <w:bCs/>
        </w:rPr>
        <w:t>47.</w:t>
      </w:r>
      <w:r w:rsidRPr="00DD13AC">
        <w:rPr>
          <w:bCs/>
        </w:rPr>
        <w:tab/>
      </w:r>
      <w:r>
        <w:t xml:space="preserve">The representative of </w:t>
      </w:r>
      <w:proofErr w:type="spellStart"/>
      <w:r w:rsidRPr="00DD13AC">
        <w:t>Inditex</w:t>
      </w:r>
      <w:proofErr w:type="spellEnd"/>
      <w:r w:rsidRPr="00DD13AC">
        <w:t xml:space="preserve"> highlighted the commercial benefits of th</w:t>
      </w:r>
      <w:r>
        <w:t>at</w:t>
      </w:r>
      <w:r w:rsidRPr="00DD13AC">
        <w:t xml:space="preserve"> arrangement, and its importance to the expression of the company’s values of creating prosperity and being transparent in its operations. </w:t>
      </w:r>
      <w:r>
        <w:t>A</w:t>
      </w:r>
      <w:r w:rsidRPr="00DD13AC">
        <w:t>ll suppliers were bound by social and environmental responsibility guidelines, but the approach was not only about compliance, but rather multilateral cooperation involving trade unions, NGOs, the International Labour Organi</w:t>
      </w:r>
      <w:r>
        <w:t>z</w:t>
      </w:r>
      <w:r w:rsidRPr="00DD13AC">
        <w:t>ation and local industries to engage directly with supplier factories.</w:t>
      </w:r>
    </w:p>
    <w:p w:rsidR="008E0BD4" w:rsidRPr="00DD13AC" w:rsidRDefault="008E0BD4" w:rsidP="008E0BD4">
      <w:pPr>
        <w:pStyle w:val="SingleTxtG"/>
      </w:pPr>
      <w:r w:rsidRPr="00DD13AC">
        <w:rPr>
          <w:bCs/>
        </w:rPr>
        <w:t>48.</w:t>
      </w:r>
      <w:r w:rsidRPr="00DD13AC">
        <w:rPr>
          <w:bCs/>
        </w:rPr>
        <w:tab/>
      </w:r>
      <w:r>
        <w:t xml:space="preserve">The representative of </w:t>
      </w:r>
      <w:proofErr w:type="spellStart"/>
      <w:r w:rsidRPr="00DD13AC">
        <w:t>IndustriALL</w:t>
      </w:r>
      <w:proofErr w:type="spellEnd"/>
      <w:r w:rsidRPr="00DD13AC">
        <w:t xml:space="preserve"> explained how the policy framework had come into </w:t>
      </w:r>
      <w:r>
        <w:t>being</w:t>
      </w:r>
      <w:r w:rsidRPr="00DD13AC">
        <w:t xml:space="preserve">, starting with a series of unilateral commitments, codes and approaches to implementation by </w:t>
      </w:r>
      <w:proofErr w:type="spellStart"/>
      <w:r>
        <w:t>Inditex</w:t>
      </w:r>
      <w:proofErr w:type="spellEnd"/>
      <w:r w:rsidRPr="00DD13AC">
        <w:t xml:space="preserve"> in 2002. Th</w:t>
      </w:r>
      <w:r>
        <w:t>at had</w:t>
      </w:r>
      <w:r w:rsidRPr="00DD13AC">
        <w:t xml:space="preserve"> led in 2007 to the signing by both parties of a global framework agreement</w:t>
      </w:r>
      <w:r>
        <w:t>,</w:t>
      </w:r>
      <w:r w:rsidRPr="00DD13AC">
        <w:t xml:space="preserve"> which </w:t>
      </w:r>
      <w:r>
        <w:t>had been</w:t>
      </w:r>
      <w:r w:rsidRPr="00DD13AC">
        <w:t xml:space="preserve"> the first such agreement in the garment sector.</w:t>
      </w:r>
      <w:r w:rsidRPr="00DD13AC">
        <w:rPr>
          <w:rStyle w:val="ac"/>
        </w:rPr>
        <w:footnoteReference w:id="8"/>
      </w:r>
      <w:r w:rsidRPr="00DD13AC">
        <w:t xml:space="preserve"> In 2012, </w:t>
      </w:r>
      <w:proofErr w:type="spellStart"/>
      <w:r w:rsidRPr="00DD13AC">
        <w:t>Inditex</w:t>
      </w:r>
      <w:proofErr w:type="spellEnd"/>
      <w:r w:rsidRPr="00DD13AC">
        <w:t xml:space="preserve"> and </w:t>
      </w:r>
      <w:proofErr w:type="spellStart"/>
      <w:r w:rsidRPr="00DD13AC">
        <w:t>IndustriALL</w:t>
      </w:r>
      <w:proofErr w:type="spellEnd"/>
      <w:r w:rsidRPr="00DD13AC">
        <w:t xml:space="preserve"> </w:t>
      </w:r>
      <w:r>
        <w:t xml:space="preserve">had </w:t>
      </w:r>
      <w:r w:rsidRPr="00DD13AC">
        <w:t xml:space="preserve">signed a protocol on trade union rights. The protocol established the role of trade unions in the implementation of the </w:t>
      </w:r>
      <w:r>
        <w:t>agreement.</w:t>
      </w:r>
      <w:r w:rsidRPr="00DD13AC">
        <w:t xml:space="preserve"> In 2014, the </w:t>
      </w:r>
      <w:r>
        <w:t>agreement</w:t>
      </w:r>
      <w:r w:rsidRPr="00DD13AC">
        <w:t xml:space="preserve"> was renewed. </w:t>
      </w:r>
    </w:p>
    <w:p w:rsidR="008E0BD4" w:rsidRPr="00DD13AC" w:rsidRDefault="008E0BD4" w:rsidP="008E0BD4">
      <w:pPr>
        <w:pStyle w:val="SingleTxtG"/>
      </w:pPr>
      <w:r w:rsidRPr="00DD13AC">
        <w:rPr>
          <w:bCs/>
        </w:rPr>
        <w:t>49.</w:t>
      </w:r>
      <w:r w:rsidRPr="00DD13AC">
        <w:rPr>
          <w:bCs/>
        </w:rPr>
        <w:tab/>
      </w:r>
      <w:r w:rsidRPr="00DD13AC">
        <w:t xml:space="preserve">With regard to </w:t>
      </w:r>
      <w:r>
        <w:t xml:space="preserve">the </w:t>
      </w:r>
      <w:r w:rsidRPr="00DD13AC">
        <w:t>application of the global framework agreement, by 2013</w:t>
      </w:r>
      <w:r>
        <w:t>, some</w:t>
      </w:r>
      <w:r w:rsidRPr="00DD13AC">
        <w:t xml:space="preserv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Bangladesh</w:t>
      </w:r>
      <w:r>
        <w:t xml:space="preserve">, </w:t>
      </w:r>
      <w:r w:rsidRPr="00DD13AC">
        <w:t>Cambodia</w:t>
      </w:r>
      <w:r>
        <w:t xml:space="preserve"> </w:t>
      </w:r>
      <w:r w:rsidRPr="00DD13AC">
        <w:t>and</w:t>
      </w:r>
      <w:r>
        <w:t xml:space="preserve"> </w:t>
      </w:r>
      <w:r w:rsidRPr="00DD13AC">
        <w:t xml:space="preserve">Peru; and a project to create factory health and safety committees in Bangladesh. </w:t>
      </w:r>
    </w:p>
    <w:p w:rsidR="008E0BD4" w:rsidRPr="00DD13AC" w:rsidRDefault="008E0BD4" w:rsidP="008E0BD4">
      <w:pPr>
        <w:pStyle w:val="SingleTxtG"/>
      </w:pPr>
      <w:r w:rsidRPr="00DD13AC">
        <w:rPr>
          <w:bCs/>
        </w:rPr>
        <w:lastRenderedPageBreak/>
        <w:t>50.</w:t>
      </w:r>
      <w:r w:rsidRPr="00DD13AC">
        <w:rPr>
          <w:bCs/>
        </w:rPr>
        <w:tab/>
      </w:r>
      <w:r w:rsidRPr="00DD13AC">
        <w:t>Commenting on the effectiveness of th</w:t>
      </w:r>
      <w:r>
        <w:t>e</w:t>
      </w:r>
      <w:r w:rsidRPr="00DD13AC">
        <w:t xml:space="preserve"> model for engagement, </w:t>
      </w:r>
      <w:r>
        <w:t xml:space="preserve">the representative of </w:t>
      </w:r>
      <w:proofErr w:type="spellStart"/>
      <w:r w:rsidRPr="00DD13AC">
        <w:t>IndustriALL</w:t>
      </w:r>
      <w:proofErr w:type="spellEnd"/>
      <w:r w:rsidRPr="00DD13AC">
        <w:t xml:space="preserve"> observed that local trade unions need to be involved. Th</w:t>
      </w:r>
      <w:r>
        <w:t>at</w:t>
      </w:r>
      <w:r w:rsidRPr="00DD13AC">
        <w:t xml:space="preserve"> means engaging in bargaining, discussions and factory visits. </w:t>
      </w:r>
      <w:r>
        <w:t>T</w:t>
      </w:r>
      <w:r w:rsidRPr="00DD13AC">
        <w:t>he role of unions is not just t</w:t>
      </w:r>
      <w:r>
        <w:t>o</w:t>
      </w:r>
      <w:r w:rsidRPr="00DD13AC">
        <w:t xml:space="preserve"> address grievances or complaints, but also t</w:t>
      </w:r>
      <w:r>
        <w:t>o</w:t>
      </w:r>
      <w:r w:rsidRPr="00DD13AC">
        <w:t xml:space="preserve"> prevent problems and address the root causes of labour rights abuses. </w:t>
      </w:r>
      <w:r>
        <w:t xml:space="preserve">The representative of </w:t>
      </w:r>
      <w:proofErr w:type="spellStart"/>
      <w:r w:rsidRPr="00DD13AC">
        <w:t>IndustriALL</w:t>
      </w:r>
      <w:proofErr w:type="spellEnd"/>
      <w:r w:rsidRPr="00DD13AC">
        <w:t xml:space="preserve"> </w:t>
      </w:r>
      <w:r>
        <w:t xml:space="preserve">also </w:t>
      </w:r>
      <w:r w:rsidRPr="00DD13AC">
        <w:t>stressed the importance of recognizing the move from unilateral corporate commitments to joint responsibility based on mutual and contractual commitments between actors. Joint responsibility also needed to be about broadening application and spreading th</w:t>
      </w:r>
      <w:r>
        <w:t>e</w:t>
      </w:r>
      <w:r w:rsidRPr="00DD13AC">
        <w:t xml:space="preserve"> experience to others in the sector. </w:t>
      </w:r>
    </w:p>
    <w:p w:rsidR="008E0BD4" w:rsidRPr="00DD13AC" w:rsidRDefault="008E0BD4" w:rsidP="008E0BD4">
      <w:pPr>
        <w:pStyle w:val="SingleTxtG"/>
      </w:pPr>
      <w:r w:rsidRPr="00DD13AC">
        <w:rPr>
          <w:bCs/>
        </w:rPr>
        <w:t>51.</w:t>
      </w:r>
      <w:r w:rsidRPr="00DD13AC">
        <w:rPr>
          <w:bCs/>
        </w:rPr>
        <w:tab/>
      </w:r>
      <w:r w:rsidRPr="00DD13AC">
        <w:t xml:space="preserve">One lesson identified was the need to establish </w:t>
      </w:r>
      <w:r>
        <w:t xml:space="preserve">legally </w:t>
      </w:r>
      <w:r w:rsidRPr="00DD13AC">
        <w:t xml:space="preserve">binding agreements at </w:t>
      </w:r>
      <w:r>
        <w:t>the</w:t>
      </w:r>
      <w:r w:rsidRPr="00DD13AC">
        <w:t xml:space="preserve"> local level so that mutual responsibility exists. </w:t>
      </w:r>
      <w:r>
        <w:t>T</w:t>
      </w:r>
      <w:r w:rsidRPr="00DD13AC">
        <w:t xml:space="preserve">he Guiding Principles </w:t>
      </w:r>
      <w:r w:rsidRPr="00D7768A">
        <w:t>on Business and Human Rights</w:t>
      </w:r>
      <w:r>
        <w:t>,</w:t>
      </w:r>
      <w:r w:rsidRPr="00D7768A">
        <w:t xml:space="preserve"> </w:t>
      </w:r>
      <w:r w:rsidRPr="00DD13AC">
        <w:t>which require companies to look at all human rights</w:t>
      </w:r>
      <w:r>
        <w:t>,</w:t>
      </w:r>
      <w:r w:rsidRPr="00DD13AC">
        <w:t xml:space="preserve"> had been taken into account in the </w:t>
      </w:r>
      <w:r>
        <w:t>development</w:t>
      </w:r>
      <w:r w:rsidRPr="00DD13AC">
        <w:t xml:space="preserve"> of the framework</w:t>
      </w:r>
      <w:r>
        <w:t xml:space="preserve"> agreement</w:t>
      </w:r>
      <w:r w:rsidRPr="00DD13AC">
        <w:t>, which now include</w:t>
      </w:r>
      <w:r>
        <w:t>s</w:t>
      </w:r>
      <w:r w:rsidRPr="00DD13AC">
        <w:t xml:space="preserve"> the concepts from the Guiding Principles of prevention, correction and remediation. </w:t>
      </w:r>
      <w:r>
        <w:t>T</w:t>
      </w:r>
      <w:r w:rsidRPr="00DD13AC">
        <w:t xml:space="preserve">he focus on union rights was </w:t>
      </w:r>
      <w:r>
        <w:t xml:space="preserve">also a </w:t>
      </w:r>
      <w:r w:rsidRPr="00DD13AC">
        <w:t>necess</w:t>
      </w:r>
      <w:r>
        <w:t>it</w:t>
      </w:r>
      <w:r w:rsidRPr="00DD13AC">
        <w:t>y</w:t>
      </w:r>
      <w:r>
        <w:t>,</w:t>
      </w:r>
      <w:r w:rsidRPr="00DD13AC">
        <w:t xml:space="preserve"> given the capacity of the union federation</w:t>
      </w:r>
      <w:r>
        <w:t>. A</w:t>
      </w:r>
      <w:r w:rsidRPr="00DD13AC">
        <w:t xml:space="preserve">t </w:t>
      </w:r>
      <w:r>
        <w:t xml:space="preserve">the </w:t>
      </w:r>
      <w:r w:rsidRPr="00DD13AC">
        <w:t>local level, the first challenge is often to get managers to speak with trade unions, which can lead to addressing a whole range of rights concerns.</w:t>
      </w:r>
    </w:p>
    <w:p w:rsidR="008E0BD4" w:rsidRPr="00DD13AC" w:rsidRDefault="008E0BD4" w:rsidP="008E0BD4">
      <w:pPr>
        <w:pStyle w:val="H1G"/>
      </w:pPr>
      <w:r w:rsidRPr="00DD13AC">
        <w:tab/>
        <w:t>E.</w:t>
      </w:r>
      <w:r w:rsidRPr="00DD13AC">
        <w:tab/>
        <w:t>Privacy and freedom of expression on the Internet</w:t>
      </w:r>
    </w:p>
    <w:p w:rsidR="008E0BD4" w:rsidRPr="00DD13AC" w:rsidRDefault="008E0BD4" w:rsidP="008E0BD4">
      <w:pPr>
        <w:pStyle w:val="SingleTxtG"/>
      </w:pPr>
      <w:r w:rsidRPr="00DD13AC">
        <w:rPr>
          <w:bCs/>
        </w:rPr>
        <w:t>52.</w:t>
      </w:r>
      <w:r w:rsidRPr="00DD13AC">
        <w:rPr>
          <w:bCs/>
        </w:rPr>
        <w:tab/>
      </w:r>
      <w:r w:rsidRPr="00DD13AC">
        <w:t>The following case study was presented by the NGO Ranking Digital Rights and featured its engagement with Microsoft to strengthen protection of the right to privacy and freedom of expression for Internet users.</w:t>
      </w:r>
      <w:r w:rsidRPr="00DD13AC">
        <w:rPr>
          <w:rStyle w:val="ac"/>
        </w:rPr>
        <w:footnoteReference w:id="9"/>
      </w:r>
      <w:r w:rsidRPr="00DD13AC">
        <w:t xml:space="preserve"> The specific human rights issue in question focused on how telecommunications companies providing web and voice services over the Internet respect the freedom of expression and privacy of users. </w:t>
      </w:r>
      <w:r>
        <w:t>T</w:t>
      </w:r>
      <w:r w:rsidRPr="00DD13AC">
        <w:t>hat is a concern worldwide</w:t>
      </w:r>
      <w:r>
        <w:t>,</w:t>
      </w:r>
      <w:r w:rsidRPr="00DD13AC">
        <w:t xml:space="preserve"> and </w:t>
      </w:r>
      <w:r>
        <w:t xml:space="preserve">is </w:t>
      </w:r>
      <w:r w:rsidRPr="00DD13AC">
        <w:t xml:space="preserve">often characterized by a situation </w:t>
      </w:r>
      <w:r>
        <w:t xml:space="preserve">in </w:t>
      </w:r>
      <w:r w:rsidRPr="00DD13AC">
        <w:t>wh</w:t>
      </w:r>
      <w:r>
        <w:t>ich</w:t>
      </w:r>
      <w:r w:rsidRPr="00DD13AC">
        <w:t xml:space="preserve"> companies are stuck between demands from a </w:t>
      </w:r>
      <w:r>
        <w:t>G</w:t>
      </w:r>
      <w:r w:rsidRPr="00DD13AC">
        <w:t xml:space="preserve">overnment and the concerns of a company’s users or customers. </w:t>
      </w:r>
    </w:p>
    <w:p w:rsidR="008E0BD4" w:rsidRPr="00DD13AC" w:rsidRDefault="008E0BD4" w:rsidP="008E0BD4">
      <w:pPr>
        <w:pStyle w:val="SingleTxtG"/>
      </w:pPr>
      <w:r w:rsidRPr="00DD13AC">
        <w:rPr>
          <w:bCs/>
        </w:rPr>
        <w:t>53.</w:t>
      </w:r>
      <w:r w:rsidRPr="00DD13AC">
        <w:rPr>
          <w:bCs/>
        </w:rPr>
        <w:tab/>
      </w:r>
      <w:r w:rsidRPr="00DD13AC">
        <w:t xml:space="preserve">The presentation highlighted how the relationship between civil society </w:t>
      </w:r>
      <w:r>
        <w:t>organizations</w:t>
      </w:r>
      <w:r w:rsidRPr="00DD13AC">
        <w:t xml:space="preserve"> and business on th</w:t>
      </w:r>
      <w:r>
        <w:t>at</w:t>
      </w:r>
      <w:r w:rsidRPr="00DD13AC">
        <w:t xml:space="preserve"> particular issue</w:t>
      </w:r>
      <w:r>
        <w:t xml:space="preserve"> </w:t>
      </w:r>
      <w:r w:rsidRPr="00DD13AC">
        <w:t>had evolv</w:t>
      </w:r>
      <w:r>
        <w:t>ed</w:t>
      </w:r>
      <w:r w:rsidRPr="00DD13AC">
        <w:t xml:space="preserve"> from one of public confrontation to shared learning, dialogue and problem solving</w:t>
      </w:r>
      <w:r>
        <w:t>, as described in the following four phases</w:t>
      </w:r>
      <w:r w:rsidRPr="00DD13AC">
        <w:t>:</w:t>
      </w:r>
    </w:p>
    <w:p w:rsidR="008E0BD4" w:rsidRPr="00DD13AC" w:rsidRDefault="008E0BD4" w:rsidP="008E0BD4">
      <w:pPr>
        <w:pStyle w:val="Bullet1G"/>
        <w:numPr>
          <w:ilvl w:val="0"/>
          <w:numId w:val="0"/>
        </w:numPr>
        <w:tabs>
          <w:tab w:val="left" w:pos="1701"/>
        </w:tabs>
        <w:ind w:left="1701" w:hanging="170"/>
      </w:pPr>
      <w:r w:rsidRPr="00DD13AC">
        <w:t>•</w:t>
      </w:r>
      <w:r w:rsidRPr="00DD13AC">
        <w:tab/>
        <w:t>Online criticism of the sector:</w:t>
      </w:r>
      <w:r w:rsidRPr="00DD13AC">
        <w:rPr>
          <w:i/>
        </w:rPr>
        <w:t xml:space="preserve"> </w:t>
      </w:r>
      <w:r w:rsidRPr="00DD13AC">
        <w:t>In January 2006, Microsoft had its first experience with th</w:t>
      </w:r>
      <w:r>
        <w:t>e</w:t>
      </w:r>
      <w:r w:rsidRPr="00DD13AC">
        <w:t xml:space="preserve"> issue when a story surfaced about Microsoft deleting a blog of a Chinese activist. After investigation</w:t>
      </w:r>
      <w:r>
        <w:t>,</w:t>
      </w:r>
      <w:r w:rsidRPr="00DD13AC">
        <w:t xml:space="preserve"> it transpired that th</w:t>
      </w:r>
      <w:r>
        <w:t>e</w:t>
      </w:r>
      <w:r w:rsidRPr="00DD13AC">
        <w:t xml:space="preserve"> </w:t>
      </w:r>
      <w:r>
        <w:t xml:space="preserve">deletion had </w:t>
      </w:r>
      <w:r w:rsidRPr="00DD13AC">
        <w:t xml:space="preserve">allegedly followed a </w:t>
      </w:r>
      <w:r>
        <w:t>tele</w:t>
      </w:r>
      <w:r w:rsidRPr="00DD13AC">
        <w:t>phone call from a government official and was a result of action taken by a local Microsoft partner. Th</w:t>
      </w:r>
      <w:r>
        <w:t>at</w:t>
      </w:r>
      <w:r w:rsidRPr="00DD13AC">
        <w:t xml:space="preserve"> was happening at the same time as Yahoo! and Google were involved in related freedom of expression and privacy issues in China. In 2006, the status of the relationship </w:t>
      </w:r>
      <w:r>
        <w:t>between c</w:t>
      </w:r>
      <w:r w:rsidRPr="00DD13AC">
        <w:t>ompan</w:t>
      </w:r>
      <w:r>
        <w:t xml:space="preserve">ies and civil society </w:t>
      </w:r>
      <w:r w:rsidRPr="00DD13AC">
        <w:t xml:space="preserve">effectively </w:t>
      </w:r>
      <w:r>
        <w:t xml:space="preserve">amounted to </w:t>
      </w:r>
      <w:r w:rsidRPr="00DD13AC">
        <w:t xml:space="preserve">yelling at each other over the </w:t>
      </w:r>
      <w:r>
        <w:t>so-called “</w:t>
      </w:r>
      <w:r w:rsidRPr="00DD13AC">
        <w:t>blogosphere”;</w:t>
      </w:r>
    </w:p>
    <w:p w:rsidR="008E0BD4" w:rsidRPr="00DD13AC" w:rsidRDefault="008E0BD4" w:rsidP="008E0BD4">
      <w:pPr>
        <w:pStyle w:val="Bullet1G"/>
        <w:numPr>
          <w:ilvl w:val="0"/>
          <w:numId w:val="0"/>
        </w:numPr>
        <w:tabs>
          <w:tab w:val="left" w:pos="1701"/>
        </w:tabs>
        <w:ind w:left="1701" w:hanging="170"/>
      </w:pPr>
      <w:r w:rsidRPr="00DD13AC">
        <w:t>•</w:t>
      </w:r>
      <w:r w:rsidRPr="00DD13AC">
        <w:tab/>
      </w:r>
      <w:r>
        <w:t>I</w:t>
      </w:r>
      <w:r w:rsidRPr="00DD13AC">
        <w:t>nteraction in the United States</w:t>
      </w:r>
      <w:r>
        <w:t xml:space="preserve"> of America</w:t>
      </w:r>
      <w:r w:rsidRPr="00DD13AC">
        <w:t xml:space="preserve">: </w:t>
      </w:r>
      <w:r>
        <w:t>In</w:t>
      </w:r>
      <w:r w:rsidRPr="00DD13AC">
        <w:t xml:space="preserve"> 2006, a high</w:t>
      </w:r>
      <w:r>
        <w:t>-</w:t>
      </w:r>
      <w:r w:rsidRPr="00DD13AC">
        <w:t xml:space="preserve">ranking member of </w:t>
      </w:r>
      <w:r>
        <w:t xml:space="preserve">the United States </w:t>
      </w:r>
      <w:r w:rsidRPr="00DD13AC">
        <w:t xml:space="preserve">Congress called </w:t>
      </w:r>
      <w:r>
        <w:t>attention to</w:t>
      </w:r>
      <w:r w:rsidRPr="00DD13AC">
        <w:t xml:space="preserve"> th</w:t>
      </w:r>
      <w:r>
        <w:t>o</w:t>
      </w:r>
      <w:r w:rsidRPr="00DD13AC">
        <w:t xml:space="preserve">se cases and in effect claimed that the companies were morally deficient for allowing </w:t>
      </w:r>
      <w:r>
        <w:t xml:space="preserve">such </w:t>
      </w:r>
      <w:r w:rsidRPr="00DD13AC">
        <w:t>things to happen. At th</w:t>
      </w:r>
      <w:r>
        <w:t>at</w:t>
      </w:r>
      <w:r w:rsidRPr="00DD13AC">
        <w:t xml:space="preserve"> time, </w:t>
      </w:r>
      <w:r>
        <w:t>there were opposing views, with</w:t>
      </w:r>
      <w:r w:rsidRPr="00DD13AC">
        <w:t xml:space="preserve"> </w:t>
      </w:r>
      <w:r>
        <w:t>m</w:t>
      </w:r>
      <w:r w:rsidRPr="00DD13AC">
        <w:t>any argu</w:t>
      </w:r>
      <w:r>
        <w:t>ing</w:t>
      </w:r>
      <w:r w:rsidRPr="00DD13AC">
        <w:t xml:space="preserve"> that companies should pull out from markets where they faced such requirements, whereas the companies argued that their presence was a good thing </w:t>
      </w:r>
      <w:r>
        <w:t>as it could foster</w:t>
      </w:r>
      <w:r w:rsidRPr="00DD13AC">
        <w:t xml:space="preserve"> development and </w:t>
      </w:r>
      <w:r>
        <w:t xml:space="preserve">respect for </w:t>
      </w:r>
      <w:r w:rsidRPr="00DD13AC">
        <w:t>various rights where they operate</w:t>
      </w:r>
      <w:r>
        <w:t>d</w:t>
      </w:r>
      <w:r w:rsidRPr="00DD13AC">
        <w:t>;</w:t>
      </w:r>
    </w:p>
    <w:p w:rsidR="008E0BD4" w:rsidRPr="00DD13AC" w:rsidRDefault="008E0BD4" w:rsidP="008E0BD4">
      <w:pPr>
        <w:pStyle w:val="Bullet1G"/>
        <w:numPr>
          <w:ilvl w:val="0"/>
          <w:numId w:val="0"/>
        </w:numPr>
        <w:tabs>
          <w:tab w:val="left" w:pos="1701"/>
        </w:tabs>
        <w:ind w:left="1701" w:hanging="170"/>
      </w:pPr>
      <w:r w:rsidRPr="00DD13AC">
        <w:lastRenderedPageBreak/>
        <w:t>•</w:t>
      </w:r>
      <w:r w:rsidRPr="00DD13AC">
        <w:tab/>
        <w:t xml:space="preserve">A discussion about subtleties: Around the same time, </w:t>
      </w:r>
      <w:r>
        <w:t>some</w:t>
      </w:r>
      <w:r w:rsidRPr="00DD13AC">
        <w:t xml:space="preserve"> individuals and organizations within civil society started asking more subtle questions such as: If a company is going to do business in th</w:t>
      </w:r>
      <w:r>
        <w:t>at</w:t>
      </w:r>
      <w:r w:rsidRPr="00DD13AC">
        <w:t xml:space="preserve"> market, how will it do business? What will or should a company do to be responsible? Were the requests </w:t>
      </w:r>
      <w:r>
        <w:t xml:space="preserve">to take down </w:t>
      </w:r>
      <w:r w:rsidRPr="00DD13AC">
        <w:t>user information or data linked to a legal process? Does Microsoft</w:t>
      </w:r>
      <w:r>
        <w:t>,</w:t>
      </w:r>
      <w:r w:rsidRPr="00DD13AC">
        <w:t xml:space="preserve"> and </w:t>
      </w:r>
      <w:r>
        <w:t xml:space="preserve">do </w:t>
      </w:r>
      <w:r w:rsidRPr="00DD13AC">
        <w:t>others</w:t>
      </w:r>
      <w:r>
        <w:t>,</w:t>
      </w:r>
      <w:r w:rsidRPr="00DD13AC">
        <w:t xml:space="preserve"> have a process in place to evaluate requests or evaluate local partners?</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Multi-stakeholder agreement on principles and monitoring: In 2008, the Global Network Initiative was founded based on the </w:t>
      </w:r>
      <w:r>
        <w:t>p</w:t>
      </w:r>
      <w:r w:rsidRPr="00DD13AC">
        <w:t xml:space="preserve">rinciples of </w:t>
      </w:r>
      <w:r>
        <w:t>f</w:t>
      </w:r>
      <w:r w:rsidRPr="00DD13AC">
        <w:t xml:space="preserve">reedom of </w:t>
      </w:r>
      <w:r>
        <w:t>e</w:t>
      </w:r>
      <w:r w:rsidRPr="00DD13AC">
        <w:t xml:space="preserve">xpression and </w:t>
      </w:r>
      <w:r>
        <w:t>p</w:t>
      </w:r>
      <w:r w:rsidRPr="00DD13AC">
        <w:t>rivacy. A number of companies, human rights organizations, investors and academics joined th</w:t>
      </w:r>
      <w:r>
        <w:t>e</w:t>
      </w:r>
      <w:r w:rsidRPr="00DD13AC">
        <w:t xml:space="preserve"> process to agree guidelines, monitor their implementation and support transparency regarding company practices. </w:t>
      </w:r>
    </w:p>
    <w:p w:rsidR="008E0BD4" w:rsidRPr="00DD13AC" w:rsidRDefault="008E0BD4" w:rsidP="008E0BD4">
      <w:pPr>
        <w:pStyle w:val="SingleTxtG"/>
      </w:pPr>
      <w:r w:rsidRPr="00DD13AC">
        <w:rPr>
          <w:bCs/>
        </w:rPr>
        <w:t>54.</w:t>
      </w:r>
      <w:r w:rsidRPr="00DD13AC">
        <w:rPr>
          <w:bCs/>
        </w:rPr>
        <w:tab/>
      </w:r>
      <w:r w:rsidRPr="00DD13AC">
        <w:t>Further insights were shared in relation to Microsoft’s purchase of Skype in 2011, at which time Skype’s Chinese joint venture had been exposed as allegedly enabling government surveillance and censorship. Working in close consultation with the civil society and academic members</w:t>
      </w:r>
      <w:r>
        <w:t xml:space="preserve"> of the </w:t>
      </w:r>
      <w:r w:rsidRPr="00DD13AC">
        <w:t xml:space="preserve">Global Network Initiative, Microsoft ended Skype’s original joint venture and found a new local partner that allowed Microsoft to maintain control over Skype’s security and communications. </w:t>
      </w:r>
    </w:p>
    <w:p w:rsidR="008E0BD4" w:rsidRPr="00DD13AC" w:rsidRDefault="008E0BD4" w:rsidP="008E0BD4">
      <w:pPr>
        <w:pStyle w:val="SingleTxtG"/>
      </w:pPr>
      <w:r w:rsidRPr="00DD13AC">
        <w:rPr>
          <w:bCs/>
        </w:rPr>
        <w:t>55.</w:t>
      </w:r>
      <w:r w:rsidRPr="00DD13AC">
        <w:rPr>
          <w:bCs/>
        </w:rPr>
        <w:tab/>
      </w:r>
      <w:r>
        <w:t>One of the</w:t>
      </w:r>
      <w:r w:rsidRPr="00DD13AC">
        <w:t xml:space="preserve"> key lessons </w:t>
      </w:r>
      <w:r>
        <w:t xml:space="preserve">that was noted </w:t>
      </w:r>
      <w:r w:rsidRPr="00DD13AC">
        <w:t>from th</w:t>
      </w:r>
      <w:r>
        <w:t>e</w:t>
      </w:r>
      <w:r w:rsidRPr="00DD13AC">
        <w:t xml:space="preserve"> evolving relationship</w:t>
      </w:r>
      <w:r>
        <w:t xml:space="preserve"> between </w:t>
      </w:r>
      <w:r w:rsidRPr="00DD13AC">
        <w:t>civil society</w:t>
      </w:r>
      <w:r>
        <w:t xml:space="preserve"> and </w:t>
      </w:r>
      <w:r w:rsidRPr="00DD13AC">
        <w:t xml:space="preserve">business </w:t>
      </w:r>
      <w:r>
        <w:t>was</w:t>
      </w:r>
      <w:r w:rsidRPr="00DD13AC">
        <w:t xml:space="preserve"> the importance of recognizing that both sides learned from the engagement. A</w:t>
      </w:r>
      <w:r>
        <w:t>nother</w:t>
      </w:r>
      <w:r w:rsidRPr="00DD13AC">
        <w:t xml:space="preserve"> key le</w:t>
      </w:r>
      <w:r>
        <w:t>sson le</w:t>
      </w:r>
      <w:r w:rsidRPr="00DD13AC">
        <w:t>arn</w:t>
      </w:r>
      <w:r>
        <w:t>ed</w:t>
      </w:r>
      <w:r w:rsidRPr="00DD13AC">
        <w:t xml:space="preserve"> for everyone was that decisions were not </w:t>
      </w:r>
      <w:r>
        <w:t>straight forward</w:t>
      </w:r>
      <w:r w:rsidRPr="00DD13AC">
        <w:t xml:space="preserve">. For civil society </w:t>
      </w:r>
      <w:r>
        <w:t>organizations</w:t>
      </w:r>
      <w:r w:rsidRPr="00DD13AC">
        <w:t xml:space="preserve"> engaged in </w:t>
      </w:r>
      <w:r>
        <w:t xml:space="preserve">the </w:t>
      </w:r>
      <w:r w:rsidRPr="00DD13AC">
        <w:t xml:space="preserve">Global Network Initiative, an important </w:t>
      </w:r>
      <w:r>
        <w:t>lesson</w:t>
      </w:r>
      <w:r w:rsidRPr="00DD13AC">
        <w:t xml:space="preserve"> learn</w:t>
      </w:r>
      <w:r>
        <w:t>ed</w:t>
      </w:r>
      <w:r w:rsidRPr="00DD13AC">
        <w:t xml:space="preserve"> was that companies are often faced with a range of sub-optimal choices. In th</w:t>
      </w:r>
      <w:r>
        <w:t>at</w:t>
      </w:r>
      <w:r w:rsidRPr="00DD13AC">
        <w:t xml:space="preserve"> regard, a mature relationship</w:t>
      </w:r>
      <w:r>
        <w:t xml:space="preserve"> between </w:t>
      </w:r>
      <w:r w:rsidRPr="00DD13AC">
        <w:t>civil society</w:t>
      </w:r>
      <w:r>
        <w:t xml:space="preserve"> and business</w:t>
      </w:r>
      <w:r w:rsidRPr="00DD13AC">
        <w:t xml:space="preserve"> c</w:t>
      </w:r>
      <w:r>
        <w:t>ould</w:t>
      </w:r>
      <w:r w:rsidRPr="00DD13AC">
        <w:t xml:space="preserve"> play a role in supporting the company to make the least bad choice, and to be open </w:t>
      </w:r>
      <w:r>
        <w:t>about that fact</w:t>
      </w:r>
      <w:r w:rsidRPr="00DD13AC">
        <w:t xml:space="preserve">. </w:t>
      </w:r>
    </w:p>
    <w:p w:rsidR="008E0BD4" w:rsidRPr="00DD13AC" w:rsidRDefault="008E0BD4" w:rsidP="008E0BD4">
      <w:pPr>
        <w:pStyle w:val="H1G"/>
      </w:pPr>
      <w:r w:rsidRPr="00DD13AC">
        <w:tab/>
        <w:t>F.</w:t>
      </w:r>
      <w:r w:rsidRPr="00DD13AC">
        <w:tab/>
        <w:t>Government perspectives</w:t>
      </w:r>
    </w:p>
    <w:p w:rsidR="008E0BD4" w:rsidRPr="00DD13AC" w:rsidRDefault="008E0BD4" w:rsidP="008E0BD4">
      <w:pPr>
        <w:pStyle w:val="SingleTxtG"/>
      </w:pPr>
      <w:r w:rsidRPr="00DD13AC">
        <w:rPr>
          <w:bCs/>
        </w:rPr>
        <w:t>56.</w:t>
      </w:r>
      <w:r w:rsidRPr="00DD13AC">
        <w:rPr>
          <w:bCs/>
        </w:rPr>
        <w:tab/>
      </w:r>
      <w:r>
        <w:t xml:space="preserve">Representatives of </w:t>
      </w:r>
      <w:r w:rsidRPr="00DD13AC">
        <w:t>Government</w:t>
      </w:r>
      <w:r>
        <w:t>s</w:t>
      </w:r>
      <w:r w:rsidRPr="00DD13AC">
        <w:t xml:space="preserve"> speak</w:t>
      </w:r>
      <w:r>
        <w:t>ing at</w:t>
      </w:r>
      <w:r w:rsidRPr="00DD13AC">
        <w:t xml:space="preserve"> the session</w:t>
      </w:r>
      <w:r w:rsidRPr="00DD13AC">
        <w:rPr>
          <w:rStyle w:val="ac"/>
        </w:rPr>
        <w:footnoteReference w:id="10"/>
      </w:r>
      <w:r w:rsidRPr="00DD13AC">
        <w:t xml:space="preserve"> emphasized the value of </w:t>
      </w:r>
      <w:r>
        <w:t xml:space="preserve">hearing </w:t>
      </w:r>
      <w:r w:rsidRPr="00DD13AC">
        <w:t xml:space="preserve">practical examples of companies and civil society working together. Some observations included the need for both sides to learn in the process and putting in place long-term changes that </w:t>
      </w:r>
      <w:r>
        <w:t>we</w:t>
      </w:r>
      <w:r w:rsidRPr="00DD13AC">
        <w:t>re sector</w:t>
      </w:r>
      <w:r>
        <w:t>-</w:t>
      </w:r>
      <w:r w:rsidRPr="00DD13AC">
        <w:t xml:space="preserve">wide. With regard to the role that </w:t>
      </w:r>
      <w:r>
        <w:t>G</w:t>
      </w:r>
      <w:r w:rsidRPr="00DD13AC">
        <w:t>overnments c</w:t>
      </w:r>
      <w:r>
        <w:t>ould</w:t>
      </w:r>
      <w:r w:rsidRPr="00DD13AC">
        <w:t xml:space="preserve"> play, it was noted that </w:t>
      </w:r>
      <w:r>
        <w:t>G</w:t>
      </w:r>
      <w:r w:rsidRPr="00DD13AC">
        <w:t>overnment</w:t>
      </w:r>
      <w:r>
        <w:t>s</w:t>
      </w:r>
      <w:r w:rsidRPr="00DD13AC">
        <w:t xml:space="preserve"> c</w:t>
      </w:r>
      <w:r>
        <w:t>ould</w:t>
      </w:r>
      <w:r w:rsidRPr="00DD13AC">
        <w:t xml:space="preserve"> encourage and reinforce partnerships, and also play an active role in facilitating or participating in multi-stakeholder platforms. Moreover, </w:t>
      </w:r>
      <w:r>
        <w:t>G</w:t>
      </w:r>
      <w:r w:rsidRPr="00DD13AC">
        <w:t>overnment</w:t>
      </w:r>
      <w:r>
        <w:t>s</w:t>
      </w:r>
      <w:r w:rsidRPr="00DD13AC">
        <w:t xml:space="preserve"> c</w:t>
      </w:r>
      <w:r>
        <w:t>ould</w:t>
      </w:r>
      <w:r w:rsidRPr="00DD13AC">
        <w:t xml:space="preserve"> also support good practices through </w:t>
      </w:r>
      <w:r>
        <w:t>their</w:t>
      </w:r>
      <w:r w:rsidRPr="00DD13AC">
        <w:t xml:space="preserve"> own relationships with business</w:t>
      </w:r>
      <w:r>
        <w:t xml:space="preserve">, such as when </w:t>
      </w:r>
      <w:r w:rsidRPr="00DD13AC">
        <w:t>purchas</w:t>
      </w:r>
      <w:r>
        <w:t>ing goods or services</w:t>
      </w:r>
      <w:r w:rsidRPr="00DD13AC">
        <w:t>, enact legislation, and develop national action plans on business and human rights</w:t>
      </w:r>
      <w:r>
        <w:t>, ensuring that</w:t>
      </w:r>
      <w:r w:rsidRPr="00DD13AC">
        <w:t xml:space="preserve"> both business and civil society </w:t>
      </w:r>
      <w:r>
        <w:t>we</w:t>
      </w:r>
      <w:r w:rsidRPr="00DD13AC">
        <w:t xml:space="preserve">re engaged in the consultation process. </w:t>
      </w:r>
    </w:p>
    <w:p w:rsidR="008E0BD4" w:rsidRPr="00DD13AC" w:rsidRDefault="008E0BD4" w:rsidP="008E0BD4">
      <w:pPr>
        <w:pStyle w:val="H1G"/>
      </w:pPr>
      <w:r w:rsidRPr="00DD13AC">
        <w:tab/>
        <w:t>G.</w:t>
      </w:r>
      <w:r w:rsidRPr="00DD13AC">
        <w:tab/>
        <w:t>General observations from the discussion on relationships</w:t>
      </w:r>
      <w:r>
        <w:t xml:space="preserve"> between </w:t>
      </w:r>
      <w:r w:rsidRPr="00DD13AC">
        <w:t>civil society</w:t>
      </w:r>
      <w:r>
        <w:t xml:space="preserve"> organizations and </w:t>
      </w:r>
      <w:r w:rsidRPr="00DD13AC">
        <w:t>business</w:t>
      </w:r>
    </w:p>
    <w:p w:rsidR="008E0BD4" w:rsidRPr="00DD13AC" w:rsidRDefault="008E0BD4" w:rsidP="008E0BD4">
      <w:pPr>
        <w:pStyle w:val="H23G"/>
      </w:pPr>
      <w:r w:rsidRPr="00DD13AC">
        <w:tab/>
      </w:r>
      <w:r>
        <w:t>1.</w:t>
      </w:r>
      <w:r w:rsidRPr="00DD13AC">
        <w:tab/>
      </w:r>
      <w:r w:rsidRPr="00F85C1E">
        <w:t>There are some common ingredients for successful</w:t>
      </w:r>
      <w:r w:rsidRPr="00DD13AC">
        <w:t xml:space="preserve"> relationships </w:t>
      </w:r>
    </w:p>
    <w:p w:rsidR="008E0BD4" w:rsidRPr="00DD13AC" w:rsidRDefault="008E0BD4" w:rsidP="008E0BD4">
      <w:pPr>
        <w:pStyle w:val="SingleTxtG"/>
      </w:pPr>
      <w:r w:rsidRPr="00DD13AC">
        <w:rPr>
          <w:bCs/>
        </w:rPr>
        <w:t>57.</w:t>
      </w:r>
      <w:r w:rsidRPr="00DD13AC">
        <w:rPr>
          <w:bCs/>
        </w:rPr>
        <w:tab/>
      </w:r>
      <w:r w:rsidRPr="00DD13AC">
        <w:t>Based on the presentations by the panel speakers, certain elements that seem essential for meaningful and constructive engagement</w:t>
      </w:r>
      <w:r>
        <w:t xml:space="preserve"> between </w:t>
      </w:r>
      <w:r w:rsidRPr="00DD13AC">
        <w:t>compan</w:t>
      </w:r>
      <w:r>
        <w:t xml:space="preserve">ies and </w:t>
      </w:r>
      <w:r w:rsidRPr="00DD13AC">
        <w:t xml:space="preserve">civil society </w:t>
      </w:r>
      <w:r>
        <w:t>were elicited</w:t>
      </w:r>
      <w:r w:rsidRPr="00DD13AC">
        <w:t xml:space="preserve">. For example: </w:t>
      </w:r>
    </w:p>
    <w:p w:rsidR="008E0BD4" w:rsidRPr="00DD13AC" w:rsidRDefault="008E0BD4" w:rsidP="008E0BD4">
      <w:pPr>
        <w:pStyle w:val="Bullet1G"/>
        <w:numPr>
          <w:ilvl w:val="0"/>
          <w:numId w:val="0"/>
        </w:numPr>
        <w:tabs>
          <w:tab w:val="left" w:pos="1701"/>
        </w:tabs>
        <w:ind w:left="1701" w:hanging="170"/>
      </w:pPr>
      <w:r w:rsidRPr="00DD13AC">
        <w:lastRenderedPageBreak/>
        <w:t>•</w:t>
      </w:r>
      <w:r w:rsidRPr="00DD13AC">
        <w:tab/>
        <w:t>Shared commitment to improved results for rights-holders;</w:t>
      </w:r>
    </w:p>
    <w:p w:rsidR="008E0BD4" w:rsidRPr="00DD13AC" w:rsidRDefault="008E0BD4" w:rsidP="008E0BD4">
      <w:pPr>
        <w:pStyle w:val="Bullet1G"/>
        <w:numPr>
          <w:ilvl w:val="0"/>
          <w:numId w:val="0"/>
        </w:numPr>
        <w:tabs>
          <w:tab w:val="left" w:pos="1701"/>
        </w:tabs>
        <w:ind w:left="1701" w:hanging="170"/>
      </w:pPr>
      <w:r w:rsidRPr="00DD13AC">
        <w:t>•</w:t>
      </w:r>
      <w:r w:rsidRPr="00DD13AC">
        <w:tab/>
        <w:t>Two-way transparency, including the company providing open access to documentation and civil society not blindsiding the company;</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Formalizing relationships </w:t>
      </w:r>
      <w:r>
        <w:t>through</w:t>
      </w:r>
      <w:r w:rsidRPr="00DD13AC">
        <w:t xml:space="preserve"> open letters, memorandums of understanding, work plans and even binding or contractual arrangements support</w:t>
      </w:r>
      <w:r>
        <w:t>s</w:t>
      </w:r>
      <w:r w:rsidRPr="00DD13AC">
        <w:t xml:space="preserve"> clarity and mutual accountability;</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Making the relationship institutional </w:t>
      </w:r>
      <w:r>
        <w:t>as opposed to</w:t>
      </w:r>
      <w:r w:rsidRPr="00DD13AC">
        <w:t xml:space="preserve"> between a few people </w:t>
      </w:r>
      <w:r>
        <w:t>only, such as</w:t>
      </w:r>
      <w:r w:rsidRPr="00DD13AC">
        <w:t xml:space="preserve"> the NGO and someone in the </w:t>
      </w:r>
      <w:r>
        <w:t xml:space="preserve">company’s </w:t>
      </w:r>
      <w:r w:rsidRPr="00F85C1E">
        <w:t>corporate social responsibility</w:t>
      </w:r>
      <w:r w:rsidRPr="00DD13AC">
        <w:t xml:space="preserve"> department. Th</w:t>
      </w:r>
      <w:r>
        <w:t>at</w:t>
      </w:r>
      <w:r w:rsidRPr="00DD13AC">
        <w:t xml:space="preserve"> includes meetings involving individuals at company and NGO </w:t>
      </w:r>
      <w:r>
        <w:t>h</w:t>
      </w:r>
      <w:r w:rsidRPr="00DD13AC">
        <w:t xml:space="preserve">eadquarters, in </w:t>
      </w:r>
      <w:r>
        <w:t xml:space="preserve">the </w:t>
      </w:r>
      <w:r w:rsidRPr="00DD13AC">
        <w:t xml:space="preserve">country </w:t>
      </w:r>
      <w:r>
        <w:t xml:space="preserve">concerned </w:t>
      </w:r>
      <w:r w:rsidRPr="00DD13AC">
        <w:t>and at a local or operational level;</w:t>
      </w:r>
    </w:p>
    <w:p w:rsidR="008E0BD4" w:rsidRPr="00DD13AC" w:rsidRDefault="008E0BD4" w:rsidP="008E0BD4">
      <w:pPr>
        <w:pStyle w:val="Bullet1G"/>
        <w:numPr>
          <w:ilvl w:val="0"/>
          <w:numId w:val="0"/>
        </w:numPr>
        <w:tabs>
          <w:tab w:val="left" w:pos="1701"/>
        </w:tabs>
        <w:ind w:left="1701" w:hanging="170"/>
      </w:pPr>
      <w:r w:rsidRPr="00DD13AC">
        <w:t>•</w:t>
      </w:r>
      <w:r w:rsidRPr="00DD13AC">
        <w:tab/>
        <w:t xml:space="preserve">All parties must expect to learn, including being prepared to take on new data, and to change perspectives and </w:t>
      </w:r>
      <w:proofErr w:type="spellStart"/>
      <w:r w:rsidRPr="00DD13AC">
        <w:t>mindsets</w:t>
      </w:r>
      <w:proofErr w:type="spellEnd"/>
      <w:r>
        <w:t>,</w:t>
      </w:r>
      <w:r w:rsidRPr="00DD13AC">
        <w:t xml:space="preserve"> even when they feel they start with a large amount of knowledge and insight.</w:t>
      </w:r>
    </w:p>
    <w:p w:rsidR="008E0BD4" w:rsidRPr="00DD13AC" w:rsidRDefault="008E0BD4" w:rsidP="008E0BD4">
      <w:pPr>
        <w:pStyle w:val="H23G"/>
      </w:pPr>
      <w:r w:rsidRPr="00DD13AC">
        <w:tab/>
      </w:r>
      <w:r>
        <w:t>2.</w:t>
      </w:r>
      <w:r w:rsidRPr="00DD13AC">
        <w:tab/>
        <w:t xml:space="preserve">Grounding the interaction and relationship in the company’s responsibility to respect can be productive </w:t>
      </w:r>
    </w:p>
    <w:p w:rsidR="008E0BD4" w:rsidRPr="00DD13AC" w:rsidRDefault="008E0BD4" w:rsidP="008E0BD4">
      <w:pPr>
        <w:pStyle w:val="SingleTxtG"/>
      </w:pPr>
      <w:r w:rsidRPr="00DD13AC">
        <w:rPr>
          <w:bCs/>
        </w:rPr>
        <w:t>58.</w:t>
      </w:r>
      <w:r w:rsidRPr="00DD13AC">
        <w:rPr>
          <w:bCs/>
        </w:rPr>
        <w:tab/>
      </w:r>
      <w:r w:rsidRPr="00DD13AC">
        <w:t>From the examples shared, it appears that meaningful relationships include a mutual interest in enhancing the company’s ability to meet its responsibility to respect</w:t>
      </w:r>
      <w:r>
        <w:t>,</w:t>
      </w:r>
      <w:r w:rsidRPr="00DD13AC">
        <w:t xml:space="preserve"> as defined </w:t>
      </w:r>
      <w:r>
        <w:t>in</w:t>
      </w:r>
      <w:r w:rsidRPr="00DD13AC">
        <w:t xml:space="preserve"> the Guiding Principles. Th</w:t>
      </w:r>
      <w:r>
        <w:t>at</w:t>
      </w:r>
      <w:r w:rsidRPr="00DD13AC">
        <w:t xml:space="preserve"> is distinct from companies closing off genuine policy and practice changes, or civil society using scrutiny or knowledge of a company with the main aim of influencing the action of others</w:t>
      </w:r>
      <w:r>
        <w:t>,</w:t>
      </w:r>
      <w:r w:rsidRPr="00DD13AC">
        <w:t xml:space="preserve"> such as </w:t>
      </w:r>
      <w:r>
        <w:t>G</w:t>
      </w:r>
      <w:r w:rsidRPr="00DD13AC">
        <w:t xml:space="preserve">overnments or investors. When civil society proposals dovetail with some level of existing company commitment and know-how, </w:t>
      </w:r>
      <w:r>
        <w:t>i</w:t>
      </w:r>
      <w:r w:rsidRPr="00DD13AC">
        <w:t xml:space="preserve">t seems to maximise the chances of successful relationships. </w:t>
      </w:r>
    </w:p>
    <w:p w:rsidR="008E0BD4" w:rsidRPr="00DD13AC" w:rsidRDefault="008E0BD4" w:rsidP="008E0BD4">
      <w:pPr>
        <w:pStyle w:val="H23G"/>
      </w:pPr>
      <w:r w:rsidRPr="00DD13AC">
        <w:tab/>
      </w:r>
      <w:r>
        <w:t>3.</w:t>
      </w:r>
      <w:r w:rsidRPr="00DD13AC">
        <w:tab/>
      </w:r>
      <w:r>
        <w:t>R</w:t>
      </w:r>
      <w:r w:rsidRPr="00DD13AC">
        <w:t xml:space="preserve">elationships </w:t>
      </w:r>
      <w:r>
        <w:t>between c</w:t>
      </w:r>
      <w:r w:rsidRPr="00DD13AC">
        <w:t>ompan</w:t>
      </w:r>
      <w:r>
        <w:t xml:space="preserve">ies and civil society </w:t>
      </w:r>
      <w:r w:rsidRPr="00DD13AC">
        <w:t xml:space="preserve">seem to be focused on addressing specific rights in specific contexts with specific individuals or groups in mind </w:t>
      </w:r>
    </w:p>
    <w:p w:rsidR="008E0BD4" w:rsidRPr="00DD13AC" w:rsidRDefault="008E0BD4" w:rsidP="008E0BD4">
      <w:pPr>
        <w:pStyle w:val="SingleTxtG"/>
      </w:pPr>
      <w:r w:rsidRPr="00DD13AC">
        <w:rPr>
          <w:bCs/>
        </w:rPr>
        <w:t>59.</w:t>
      </w:r>
      <w:r w:rsidRPr="00DD13AC">
        <w:rPr>
          <w:bCs/>
        </w:rPr>
        <w:tab/>
      </w:r>
      <w:r w:rsidRPr="00DD13AC">
        <w:t>Th</w:t>
      </w:r>
      <w:r>
        <w:t>e relationships discussed</w:t>
      </w:r>
      <w:r w:rsidRPr="00DD13AC">
        <w:t xml:space="preserve"> seem</w:t>
      </w:r>
      <w:r>
        <w:t>ed</w:t>
      </w:r>
      <w:r w:rsidRPr="00DD13AC">
        <w:t xml:space="preserve"> to relate to the particular mission, agenda, skill set and experiences of the civil society organization. In every example shared, the civil society </w:t>
      </w:r>
      <w:r>
        <w:t>organization</w:t>
      </w:r>
      <w:r w:rsidRPr="00DD13AC">
        <w:t xml:space="preserve"> is a recognized leader in achieving policy and practice change on the issue in question. </w:t>
      </w:r>
      <w:r>
        <w:t xml:space="preserve">Given the </w:t>
      </w:r>
      <w:r w:rsidRPr="00DD13AC">
        <w:t>highly significant and severe risks for the company or industry in question</w:t>
      </w:r>
      <w:r>
        <w:t>,</w:t>
      </w:r>
      <w:r w:rsidRPr="00DD13AC">
        <w:t xml:space="preserve"> the company itself </w:t>
      </w:r>
      <w:r>
        <w:t xml:space="preserve">usually </w:t>
      </w:r>
      <w:r w:rsidRPr="00DD13AC">
        <w:t xml:space="preserve">has a level of knowledge and experience, but sees the need to go further in its efforts </w:t>
      </w:r>
      <w:r>
        <w:t>to respect rights related to, for example,</w:t>
      </w:r>
      <w:r w:rsidRPr="00DD13AC">
        <w:t xml:space="preserve"> land in the mining industry</w:t>
      </w:r>
      <w:r>
        <w:t>,</w:t>
      </w:r>
      <w:r w:rsidRPr="00DD13AC">
        <w:t xml:space="preserve"> trade union rights in </w:t>
      </w:r>
      <w:r>
        <w:t xml:space="preserve">the </w:t>
      </w:r>
      <w:r w:rsidRPr="00DD13AC">
        <w:t>textiles</w:t>
      </w:r>
      <w:r>
        <w:t xml:space="preserve"> sector,</w:t>
      </w:r>
      <w:r w:rsidRPr="00DD13AC">
        <w:t xml:space="preserve"> child labour in agriculture and freedom of expression and privacy in the </w:t>
      </w:r>
      <w:r w:rsidRPr="00E66A4A">
        <w:t>information and communications technology</w:t>
      </w:r>
      <w:r>
        <w:t xml:space="preserve"> </w:t>
      </w:r>
      <w:r w:rsidRPr="00DD13AC">
        <w:t xml:space="preserve">industry. While it is important to bear in mind that the Guiding Principles </w:t>
      </w:r>
      <w:r>
        <w:t>indicate</w:t>
      </w:r>
      <w:r w:rsidRPr="00DD13AC">
        <w:t xml:space="preserve"> that companies have a responsibility to respect all human rights, in evaluating partnerships in th</w:t>
      </w:r>
      <w:r>
        <w:t>at</w:t>
      </w:r>
      <w:r w:rsidRPr="00DD13AC">
        <w:t xml:space="preserve"> regard</w:t>
      </w:r>
      <w:r>
        <w:t>,</w:t>
      </w:r>
      <w:r w:rsidRPr="00DD13AC">
        <w:t xml:space="preserve"> </w:t>
      </w:r>
      <w:r>
        <w:t>two</w:t>
      </w:r>
      <w:r w:rsidRPr="00DD13AC">
        <w:t xml:space="preserve"> </w:t>
      </w:r>
      <w:r>
        <w:t>elements come to light</w:t>
      </w:r>
      <w:r w:rsidRPr="00DD13AC">
        <w:t>. First</w:t>
      </w:r>
      <w:r>
        <w:t>ly</w:t>
      </w:r>
      <w:r w:rsidRPr="00DD13AC">
        <w:t>, the activities linked to the relationship are rarely the sum total of a company’s efforts to meet its responsibility to respect human rights. Second</w:t>
      </w:r>
      <w:r>
        <w:t>ly</w:t>
      </w:r>
      <w:r w:rsidRPr="00DD13AC">
        <w:t>, addressing some rights in great depth can enable the protection and respect of others rights</w:t>
      </w:r>
      <w:r>
        <w:t>, such as when tackling</w:t>
      </w:r>
      <w:r w:rsidRPr="00DD13AC">
        <w:t xml:space="preserve"> inequality for women in the cocoa supply chain </w:t>
      </w:r>
      <w:r>
        <w:t>helps eliminate</w:t>
      </w:r>
      <w:r w:rsidRPr="00DD13AC">
        <w:t xml:space="preserve"> child labour </w:t>
      </w:r>
      <w:r>
        <w:t>and when</w:t>
      </w:r>
      <w:r w:rsidRPr="00DD13AC">
        <w:t xml:space="preserve"> other rights </w:t>
      </w:r>
      <w:r>
        <w:t>are indirectly upheld when</w:t>
      </w:r>
      <w:r w:rsidRPr="00DD13AC">
        <w:t xml:space="preserve"> trade union rights are protected. </w:t>
      </w:r>
    </w:p>
    <w:p w:rsidR="008E0BD4" w:rsidRPr="00DD13AC" w:rsidRDefault="008E0BD4" w:rsidP="008E0BD4">
      <w:pPr>
        <w:pStyle w:val="H23G"/>
      </w:pPr>
      <w:r w:rsidRPr="00DD13AC">
        <w:tab/>
      </w:r>
      <w:r>
        <w:t>4.</w:t>
      </w:r>
      <w:r w:rsidRPr="00DD13AC">
        <w:tab/>
        <w:t>Timing and timeframes matter</w:t>
      </w:r>
      <w:r>
        <w:t>,</w:t>
      </w:r>
      <w:r w:rsidRPr="00DD13AC">
        <w:t xml:space="preserve"> and not everything takes a long time </w:t>
      </w:r>
    </w:p>
    <w:p w:rsidR="008E0BD4" w:rsidRPr="00DD13AC" w:rsidRDefault="008E0BD4" w:rsidP="008E0BD4">
      <w:pPr>
        <w:pStyle w:val="SingleTxtG"/>
      </w:pPr>
      <w:r w:rsidRPr="00DD13AC">
        <w:rPr>
          <w:bCs/>
        </w:rPr>
        <w:t>60.</w:t>
      </w:r>
      <w:r w:rsidRPr="00DD13AC">
        <w:rPr>
          <w:bCs/>
        </w:rPr>
        <w:tab/>
      </w:r>
      <w:r w:rsidRPr="00DD13AC">
        <w:t>It is notable that in the examples involving a report from civil society, the company in question acted very quickly and constructively</w:t>
      </w:r>
      <w:r>
        <w:t>;</w:t>
      </w:r>
      <w:r w:rsidRPr="00DD13AC">
        <w:t xml:space="preserve"> sometimes meetings took place within one week and action plans were in place within one month. Importantly, th</w:t>
      </w:r>
      <w:r>
        <w:t>at</w:t>
      </w:r>
      <w:r w:rsidRPr="00DD13AC">
        <w:t xml:space="preserve"> may be because the civil society group provided a window of opportunity for the company to input and engage before reports were released. </w:t>
      </w:r>
      <w:r>
        <w:t>E</w:t>
      </w:r>
      <w:r w:rsidRPr="00DD13AC">
        <w:t xml:space="preserve">stablishing timeframes for </w:t>
      </w:r>
      <w:r>
        <w:t xml:space="preserve">action such as </w:t>
      </w:r>
      <w:r w:rsidRPr="00DD13AC">
        <w:t xml:space="preserve">implementing commitments, </w:t>
      </w:r>
      <w:r>
        <w:t xml:space="preserve">taking </w:t>
      </w:r>
      <w:r w:rsidRPr="00DD13AC">
        <w:t>next steps</w:t>
      </w:r>
      <w:r>
        <w:t xml:space="preserve"> and</w:t>
      </w:r>
      <w:r w:rsidRPr="00DD13AC">
        <w:t xml:space="preserve"> publi</w:t>
      </w:r>
      <w:r>
        <w:t>shing</w:t>
      </w:r>
      <w:r w:rsidRPr="00DD13AC">
        <w:t xml:space="preserve"> reports is important. </w:t>
      </w:r>
      <w:r>
        <w:t>Several</w:t>
      </w:r>
      <w:r w:rsidRPr="00DD13AC">
        <w:t xml:space="preserve"> </w:t>
      </w:r>
      <w:r w:rsidRPr="00DD13AC">
        <w:lastRenderedPageBreak/>
        <w:t>speakers noted that managing expectations is necessary. For example, it helps if actors are realistic and clear about what is possible by when</w:t>
      </w:r>
      <w:r>
        <w:t>,</w:t>
      </w:r>
      <w:r w:rsidRPr="00DD13AC">
        <w:t xml:space="preserve"> ideally with a short, medium and long-term division of action.</w:t>
      </w:r>
    </w:p>
    <w:p w:rsidR="008E0BD4" w:rsidRPr="00DD13AC" w:rsidRDefault="008E0BD4" w:rsidP="008E0BD4">
      <w:pPr>
        <w:pStyle w:val="H23G"/>
      </w:pPr>
      <w:r w:rsidRPr="00DD13AC">
        <w:tab/>
      </w:r>
      <w:r>
        <w:t>5.</w:t>
      </w:r>
      <w:r w:rsidRPr="00DD13AC">
        <w:tab/>
        <w:t>Good relationships should enable</w:t>
      </w:r>
      <w:r>
        <w:t>,</w:t>
      </w:r>
      <w:r w:rsidRPr="00DD13AC">
        <w:t xml:space="preserve"> not replace</w:t>
      </w:r>
      <w:r>
        <w:t>,</w:t>
      </w:r>
      <w:r w:rsidRPr="00DD13AC">
        <w:t xml:space="preserve"> further relationship building, especially at the local level</w:t>
      </w:r>
    </w:p>
    <w:p w:rsidR="008E0BD4" w:rsidRPr="00DD13AC" w:rsidRDefault="008E0BD4" w:rsidP="008E0BD4">
      <w:pPr>
        <w:pStyle w:val="SingleTxtG"/>
      </w:pPr>
      <w:r w:rsidRPr="00DD13AC">
        <w:rPr>
          <w:bCs/>
        </w:rPr>
        <w:t>61.</w:t>
      </w:r>
      <w:r w:rsidRPr="00DD13AC">
        <w:rPr>
          <w:bCs/>
        </w:rPr>
        <w:tab/>
      </w:r>
      <w:r w:rsidRPr="00DD13AC">
        <w:t>M</w:t>
      </w:r>
      <w:r>
        <w:t>any</w:t>
      </w:r>
      <w:r w:rsidRPr="00DD13AC">
        <w:t xml:space="preserve"> speakers emphasized that</w:t>
      </w:r>
      <w:r>
        <w:t>,</w:t>
      </w:r>
      <w:r w:rsidRPr="00DD13AC">
        <w:t xml:space="preserve"> while international civil society organi</w:t>
      </w:r>
      <w:r>
        <w:t>z</w:t>
      </w:r>
      <w:r w:rsidRPr="00DD13AC">
        <w:t xml:space="preserve">ations have particular strengths </w:t>
      </w:r>
      <w:r>
        <w:t xml:space="preserve">from which </w:t>
      </w:r>
      <w:r w:rsidRPr="00DD13AC">
        <w:t>companies can benefit</w:t>
      </w:r>
      <w:r>
        <w:t xml:space="preserve">, </w:t>
      </w:r>
      <w:r w:rsidRPr="00DD13AC">
        <w:t xml:space="preserve">relationships between corporations and international NGOs should not replace engagement with local stakeholders and rights-holders. </w:t>
      </w:r>
      <w:r>
        <w:t>Moreover</w:t>
      </w:r>
      <w:r w:rsidRPr="00DD13AC">
        <w:t xml:space="preserve">, as one speaker noted, relationships with local actors can often be more conflict-ridden or politically complex. A key positive feature of all the examples shared was that the relationship </w:t>
      </w:r>
      <w:r>
        <w:t>between c</w:t>
      </w:r>
      <w:r w:rsidRPr="00DD13AC">
        <w:t>ompan</w:t>
      </w:r>
      <w:r>
        <w:t xml:space="preserve">ies and civil society </w:t>
      </w:r>
      <w:r w:rsidRPr="00DD13AC">
        <w:t>actively encouraged and supported engagement with other actors. Th</w:t>
      </w:r>
      <w:r>
        <w:t>at</w:t>
      </w:r>
      <w:r w:rsidRPr="00DD13AC">
        <w:t xml:space="preserve"> include</w:t>
      </w:r>
      <w:r>
        <w:t>s</w:t>
      </w:r>
      <w:r w:rsidRPr="00DD13AC">
        <w:t xml:space="preserve"> local actors </w:t>
      </w:r>
      <w:r>
        <w:t xml:space="preserve">such as </w:t>
      </w:r>
      <w:r w:rsidRPr="00DD13AC">
        <w:t xml:space="preserve">local trade unions </w:t>
      </w:r>
      <w:r>
        <w:t>and</w:t>
      </w:r>
      <w:r w:rsidRPr="00DD13AC">
        <w:t xml:space="preserve"> affected populations</w:t>
      </w:r>
      <w:r>
        <w:t xml:space="preserve">, but </w:t>
      </w:r>
      <w:r w:rsidRPr="00DD13AC">
        <w:t>it also includes other international NGOs, academic experts, competitors and even consumers and the public</w:t>
      </w:r>
      <w:r>
        <w:t xml:space="preserve">, as </w:t>
      </w:r>
      <w:r w:rsidRPr="00DD13AC">
        <w:t>i</w:t>
      </w:r>
      <w:r>
        <w:t>s</w:t>
      </w:r>
      <w:r w:rsidRPr="00DD13AC">
        <w:t xml:space="preserve"> the case </w:t>
      </w:r>
      <w:r>
        <w:t>in</w:t>
      </w:r>
      <w:r w:rsidRPr="00DD13AC">
        <w:t xml:space="preserve"> the Behind the Brands campaign. At all levels, open and honest communication is a key ingredient for successful engagement between companies and NGOs.</w:t>
      </w:r>
    </w:p>
    <w:p w:rsidR="008E0BD4" w:rsidRPr="00DD13AC" w:rsidRDefault="008E0BD4" w:rsidP="008E0BD4">
      <w:pPr>
        <w:pStyle w:val="H23G"/>
      </w:pPr>
      <w:r w:rsidRPr="00DD13AC">
        <w:tab/>
      </w:r>
      <w:r>
        <w:t>6.</w:t>
      </w:r>
      <w:r w:rsidRPr="00DD13AC">
        <w:tab/>
        <w:t>Without government engagement, partnerships</w:t>
      </w:r>
      <w:r>
        <w:t xml:space="preserve"> between </w:t>
      </w:r>
      <w:r w:rsidRPr="00DD13AC">
        <w:t>compan</w:t>
      </w:r>
      <w:r>
        <w:t xml:space="preserve">ies and </w:t>
      </w:r>
      <w:r w:rsidRPr="00DD13AC">
        <w:t>NGO</w:t>
      </w:r>
      <w:r>
        <w:t xml:space="preserve">s </w:t>
      </w:r>
      <w:r w:rsidRPr="00DD13AC">
        <w:t xml:space="preserve">to support the corporate responsibility to respect </w:t>
      </w:r>
      <w:r>
        <w:t>will be limited in their ability</w:t>
      </w:r>
      <w:r w:rsidRPr="00DD13AC">
        <w:t xml:space="preserve"> to address the human rights impacts associated with business </w:t>
      </w:r>
    </w:p>
    <w:p w:rsidR="008E0BD4" w:rsidRPr="00DD13AC" w:rsidRDefault="008E0BD4" w:rsidP="008E0BD4">
      <w:pPr>
        <w:pStyle w:val="SingleTxtG"/>
      </w:pPr>
      <w:r w:rsidRPr="00DD13AC">
        <w:rPr>
          <w:bCs/>
        </w:rPr>
        <w:t>62.</w:t>
      </w:r>
      <w:r w:rsidRPr="00DD13AC">
        <w:rPr>
          <w:bCs/>
        </w:rPr>
        <w:tab/>
      </w:r>
      <w:r w:rsidRPr="00DD13AC">
        <w:t>Ultimately, partnerships between diverse private actors</w:t>
      </w:r>
      <w:r>
        <w:t>, both</w:t>
      </w:r>
      <w:r w:rsidRPr="00DD13AC">
        <w:t xml:space="preserve"> business </w:t>
      </w:r>
      <w:r>
        <w:t>and</w:t>
      </w:r>
      <w:r w:rsidRPr="00DD13AC">
        <w:t xml:space="preserve"> civil society</w:t>
      </w:r>
      <w:r>
        <w:t>,</w:t>
      </w:r>
      <w:r w:rsidRPr="00DD13AC">
        <w:t xml:space="preserve"> are always at some level trying to fill a governance gap due to a failure of the State to meet its duty to protect</w:t>
      </w:r>
      <w:r>
        <w:t>,</w:t>
      </w:r>
      <w:r w:rsidRPr="00DD13AC">
        <w:t xml:space="preserve"> </w:t>
      </w:r>
      <w:r>
        <w:t>owing</w:t>
      </w:r>
      <w:r w:rsidRPr="00DD13AC">
        <w:t xml:space="preserve"> to lack of political will or capacity. Th</w:t>
      </w:r>
      <w:r>
        <w:t>at</w:t>
      </w:r>
      <w:r w:rsidRPr="00DD13AC">
        <w:t xml:space="preserve"> suggests that more of th</w:t>
      </w:r>
      <w:r>
        <w:t>o</w:t>
      </w:r>
      <w:r w:rsidRPr="00DD13AC">
        <w:t xml:space="preserve">se relationships need to </w:t>
      </w:r>
      <w:r>
        <w:t>include</w:t>
      </w:r>
      <w:r w:rsidRPr="00DD13AC">
        <w:t xml:space="preserve"> </w:t>
      </w:r>
      <w:r>
        <w:t>G</w:t>
      </w:r>
      <w:r w:rsidRPr="00DD13AC">
        <w:t>overnment</w:t>
      </w:r>
      <w:r>
        <w:t>s</w:t>
      </w:r>
      <w:r w:rsidRPr="00DD13AC">
        <w:t xml:space="preserve"> around the </w:t>
      </w:r>
      <w:r>
        <w:t xml:space="preserve">negotiating </w:t>
      </w:r>
      <w:r w:rsidRPr="00DD13AC">
        <w:t xml:space="preserve">table in order to sustain, widen and </w:t>
      </w:r>
      <w:r>
        <w:t>foster</w:t>
      </w:r>
      <w:r w:rsidRPr="00DD13AC">
        <w:t xml:space="preserve"> progress. </w:t>
      </w:r>
    </w:p>
    <w:p w:rsidR="008E0BD4" w:rsidRPr="00DD13AC" w:rsidRDefault="008E0BD4" w:rsidP="008E0BD4">
      <w:pPr>
        <w:pStyle w:val="HChG"/>
      </w:pPr>
      <w:r w:rsidRPr="00DD13AC">
        <w:tab/>
        <w:t>V.</w:t>
      </w:r>
      <w:r w:rsidRPr="00DD13AC">
        <w:tab/>
        <w:t>Conclusions and recommendations</w:t>
      </w:r>
    </w:p>
    <w:p w:rsidR="008E0BD4" w:rsidRPr="00DD13AC" w:rsidRDefault="008E0BD4" w:rsidP="008E0BD4">
      <w:pPr>
        <w:pStyle w:val="SingleTxtG"/>
        <w:rPr>
          <w:b/>
        </w:rPr>
      </w:pPr>
      <w:r w:rsidRPr="00DD13AC">
        <w:rPr>
          <w:bCs/>
        </w:rPr>
        <w:t>63.</w:t>
      </w:r>
      <w:r w:rsidRPr="00DD13AC">
        <w:rPr>
          <w:bCs/>
        </w:rPr>
        <w:tab/>
      </w:r>
      <w:r w:rsidRPr="00DD13AC">
        <w:rPr>
          <w:b/>
        </w:rPr>
        <w:t>While all stakeholders recognize that there is still more work to be done</w:t>
      </w:r>
      <w:r>
        <w:rPr>
          <w:b/>
        </w:rPr>
        <w:t>, given that</w:t>
      </w:r>
      <w:r w:rsidRPr="00DD13AC">
        <w:rPr>
          <w:b/>
        </w:rPr>
        <w:t xml:space="preserve"> a large part of the business community worldwide remains unaware of </w:t>
      </w:r>
      <w:r>
        <w:rPr>
          <w:b/>
        </w:rPr>
        <w:t>its</w:t>
      </w:r>
      <w:r w:rsidRPr="00DD13AC">
        <w:rPr>
          <w:b/>
        </w:rPr>
        <w:t xml:space="preserve"> human rights responsibilities</w:t>
      </w:r>
      <w:r>
        <w:rPr>
          <w:b/>
        </w:rPr>
        <w:t>,</w:t>
      </w:r>
      <w:r w:rsidRPr="00DD13AC">
        <w:rPr>
          <w:b/>
        </w:rPr>
        <w:t xml:space="preserve"> discussions at the Forum highlighted that there is much commitment and innovative learning </w:t>
      </w:r>
      <w:r>
        <w:rPr>
          <w:b/>
        </w:rPr>
        <w:t xml:space="preserve">on which </w:t>
      </w:r>
      <w:r w:rsidRPr="00DD13AC">
        <w:rPr>
          <w:b/>
        </w:rPr>
        <w:t xml:space="preserve">to build. </w:t>
      </w:r>
    </w:p>
    <w:p w:rsidR="008E0BD4" w:rsidRPr="00DD13AC" w:rsidRDefault="008E0BD4" w:rsidP="008E0BD4">
      <w:pPr>
        <w:pStyle w:val="SingleTxtG"/>
        <w:rPr>
          <w:b/>
        </w:rPr>
      </w:pPr>
      <w:r w:rsidRPr="00DD13AC">
        <w:rPr>
          <w:bCs/>
        </w:rPr>
        <w:t>64.</w:t>
      </w:r>
      <w:r w:rsidRPr="00DD13AC">
        <w:rPr>
          <w:bCs/>
        </w:rPr>
        <w:tab/>
      </w:r>
      <w:r w:rsidRPr="00DD13AC">
        <w:rPr>
          <w:b/>
        </w:rPr>
        <w:t>The Forum discussions also highlighted that the Guiding Principles are influencing practices and decision</w:t>
      </w:r>
      <w:r>
        <w:rPr>
          <w:b/>
        </w:rPr>
        <w:t>-</w:t>
      </w:r>
      <w:r w:rsidRPr="00DD13AC">
        <w:rPr>
          <w:b/>
        </w:rPr>
        <w:t xml:space="preserve">making </w:t>
      </w:r>
      <w:r>
        <w:rPr>
          <w:b/>
        </w:rPr>
        <w:t>in</w:t>
      </w:r>
      <w:r w:rsidRPr="00DD13AC">
        <w:rPr>
          <w:b/>
        </w:rPr>
        <w:t xml:space="preserve"> some companies and </w:t>
      </w:r>
      <w:r>
        <w:rPr>
          <w:b/>
        </w:rPr>
        <w:t xml:space="preserve">are </w:t>
      </w:r>
      <w:r w:rsidRPr="00DD13AC">
        <w:rPr>
          <w:b/>
        </w:rPr>
        <w:t>also informing the development of new tools and approaches relating to the corporate responsibility to respect. The Working Group welcomes the development of such tools</w:t>
      </w:r>
      <w:r>
        <w:rPr>
          <w:b/>
        </w:rPr>
        <w:t>,</w:t>
      </w:r>
      <w:r w:rsidRPr="00DD13AC">
        <w:rPr>
          <w:b/>
        </w:rPr>
        <w:t xml:space="preserve"> both in-house and through collaborative efforts, such as through industry associations</w:t>
      </w:r>
      <w:r>
        <w:rPr>
          <w:b/>
        </w:rPr>
        <w:t>,</w:t>
      </w:r>
      <w:r w:rsidRPr="00DD13AC">
        <w:rPr>
          <w:b/>
        </w:rPr>
        <w:t xml:space="preserve"> and remains committed to working with business actors and other stakeholders to support such efforts. The Working Group is also committed to facilitating multi-stakeholder dialogue on questions that need further clarification and to ensur</w:t>
      </w:r>
      <w:r>
        <w:rPr>
          <w:b/>
        </w:rPr>
        <w:t>ing</w:t>
      </w:r>
      <w:r w:rsidRPr="00DD13AC">
        <w:rPr>
          <w:b/>
        </w:rPr>
        <w:t xml:space="preserve"> that all efforts are consistent with the Guiding Principles.</w:t>
      </w:r>
    </w:p>
    <w:p w:rsidR="008E0BD4" w:rsidRPr="00DD13AC" w:rsidRDefault="008E0BD4" w:rsidP="008E0BD4">
      <w:pPr>
        <w:pStyle w:val="SingleTxtG"/>
        <w:rPr>
          <w:b/>
        </w:rPr>
      </w:pPr>
      <w:r w:rsidRPr="00DD13AC">
        <w:rPr>
          <w:bCs/>
        </w:rPr>
        <w:t>65.</w:t>
      </w:r>
      <w:r w:rsidRPr="00DD13AC">
        <w:rPr>
          <w:bCs/>
        </w:rPr>
        <w:tab/>
      </w:r>
      <w:r w:rsidRPr="00DD13AC">
        <w:rPr>
          <w:b/>
        </w:rPr>
        <w:t xml:space="preserve">The Working Group recognizes the importance of addressing the gap </w:t>
      </w:r>
      <w:r>
        <w:rPr>
          <w:b/>
        </w:rPr>
        <w:t xml:space="preserve">that has been </w:t>
      </w:r>
      <w:r w:rsidRPr="00DD13AC">
        <w:rPr>
          <w:b/>
        </w:rPr>
        <w:t>identified</w:t>
      </w:r>
      <w:r>
        <w:rPr>
          <w:b/>
        </w:rPr>
        <w:t xml:space="preserve"> </w:t>
      </w:r>
      <w:r w:rsidRPr="00DD13AC">
        <w:rPr>
          <w:b/>
        </w:rPr>
        <w:t>in communication about what companies are doing to implement the Guiding Principles. All stakeholders have a role to play to overcome th</w:t>
      </w:r>
      <w:r>
        <w:rPr>
          <w:b/>
        </w:rPr>
        <w:t>e</w:t>
      </w:r>
      <w:r w:rsidRPr="00DD13AC">
        <w:rPr>
          <w:b/>
        </w:rPr>
        <w:t xml:space="preserve"> reluctance by companies to share information on </w:t>
      </w:r>
      <w:r>
        <w:rPr>
          <w:b/>
        </w:rPr>
        <w:t xml:space="preserve">the </w:t>
      </w:r>
      <w:r w:rsidRPr="00DD13AC">
        <w:rPr>
          <w:b/>
        </w:rPr>
        <w:t xml:space="preserve">steps </w:t>
      </w:r>
      <w:r>
        <w:rPr>
          <w:b/>
        </w:rPr>
        <w:t xml:space="preserve">being </w:t>
      </w:r>
      <w:r w:rsidRPr="00DD13AC">
        <w:rPr>
          <w:b/>
        </w:rPr>
        <w:t xml:space="preserve">taken to avoid and address human rights abuses in their operations. </w:t>
      </w:r>
      <w:r>
        <w:rPr>
          <w:b/>
        </w:rPr>
        <w:t>T</w:t>
      </w:r>
      <w:r w:rsidRPr="00DD13AC">
        <w:rPr>
          <w:b/>
        </w:rPr>
        <w:t xml:space="preserve">he annual Forum should serve as a space for companies and business associations to share practice and experience and </w:t>
      </w:r>
      <w:r>
        <w:rPr>
          <w:b/>
        </w:rPr>
        <w:t xml:space="preserve">to </w:t>
      </w:r>
      <w:r w:rsidRPr="00DD13AC">
        <w:rPr>
          <w:b/>
        </w:rPr>
        <w:t xml:space="preserve">engage in a constructive dialogue with other stakeholder groups. </w:t>
      </w:r>
    </w:p>
    <w:p w:rsidR="008E0BD4" w:rsidRPr="00DD13AC" w:rsidRDefault="008E0BD4" w:rsidP="008E0BD4">
      <w:pPr>
        <w:pStyle w:val="SingleTxtG"/>
        <w:rPr>
          <w:b/>
        </w:rPr>
      </w:pPr>
      <w:r w:rsidRPr="00DD13AC">
        <w:rPr>
          <w:bCs/>
        </w:rPr>
        <w:lastRenderedPageBreak/>
        <w:t>66.</w:t>
      </w:r>
      <w:r w:rsidRPr="00DD13AC">
        <w:rPr>
          <w:bCs/>
        </w:rPr>
        <w:tab/>
      </w:r>
      <w:r w:rsidRPr="00DD13AC">
        <w:rPr>
          <w:b/>
        </w:rPr>
        <w:t xml:space="preserve">The Working Group welcomes the innovative and constructive contributions of the companies and NGOs that shared their experiences of joint engagement to address specific human rights concerns in the context of the companies’ operations. One challenge </w:t>
      </w:r>
      <w:r>
        <w:rPr>
          <w:b/>
        </w:rPr>
        <w:t>in the future</w:t>
      </w:r>
      <w:r w:rsidRPr="00DD13AC">
        <w:rPr>
          <w:b/>
        </w:rPr>
        <w:t xml:space="preserve"> will be to explore how such approaches can spread to other companies, and not just to the few most visible global brands. The Working Group considers that the kind</w:t>
      </w:r>
      <w:r>
        <w:rPr>
          <w:b/>
        </w:rPr>
        <w:t>s</w:t>
      </w:r>
      <w:r w:rsidRPr="00DD13AC">
        <w:rPr>
          <w:b/>
        </w:rPr>
        <w:t xml:space="preserve"> of engagement that were featured at the Forum, focused as they were on finding solutions and improving situations in local contexts, should be emulated to a much greater extent. Often such constructive engagement may arise from investigative efforts by civil society </w:t>
      </w:r>
      <w:r w:rsidRPr="00D06973">
        <w:rPr>
          <w:b/>
        </w:rPr>
        <w:t>organizations</w:t>
      </w:r>
      <w:r w:rsidRPr="00DD13AC">
        <w:rPr>
          <w:b/>
        </w:rPr>
        <w:t xml:space="preserve"> to shed light on human rights concerns and negative impacts, but where companies are willing to engage with NGOs on such findings, it is clear that </w:t>
      </w:r>
      <w:r>
        <w:rPr>
          <w:b/>
        </w:rPr>
        <w:t>all parties</w:t>
      </w:r>
      <w:r w:rsidRPr="00DD13AC">
        <w:rPr>
          <w:b/>
        </w:rPr>
        <w:t xml:space="preserve">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w:t>
      </w:r>
      <w:r>
        <w:rPr>
          <w:b/>
        </w:rPr>
        <w:t xml:space="preserve">the </w:t>
      </w:r>
      <w:r w:rsidRPr="00DD13AC">
        <w:rPr>
          <w:b/>
        </w:rPr>
        <w:t>traditional approaches of “naming and shaming” and litigation may be seen as the only available avenues.</w:t>
      </w:r>
    </w:p>
    <w:p w:rsidR="008E0BD4" w:rsidRPr="00DD13AC" w:rsidRDefault="008E0BD4" w:rsidP="008E0BD4">
      <w:pPr>
        <w:pStyle w:val="SingleTxtG"/>
        <w:rPr>
          <w:b/>
        </w:rPr>
      </w:pPr>
      <w:r w:rsidRPr="00DD13AC">
        <w:rPr>
          <w:bCs/>
        </w:rPr>
        <w:t>67.</w:t>
      </w:r>
      <w:r w:rsidRPr="00DD13AC">
        <w:rPr>
          <w:bCs/>
        </w:rPr>
        <w:tab/>
      </w:r>
      <w:r w:rsidRPr="00DD13AC">
        <w:rPr>
          <w:b/>
        </w:rPr>
        <w:t xml:space="preserve">In order to </w:t>
      </w:r>
      <w:r>
        <w:rPr>
          <w:b/>
        </w:rPr>
        <w:t>encourage</w:t>
      </w:r>
      <w:r w:rsidRPr="00DD13AC">
        <w:rPr>
          <w:b/>
        </w:rPr>
        <w:t xml:space="preserve"> further learning and </w:t>
      </w:r>
      <w:r>
        <w:rPr>
          <w:b/>
        </w:rPr>
        <w:t xml:space="preserve">the </w:t>
      </w:r>
      <w:r w:rsidRPr="00DD13AC">
        <w:rPr>
          <w:b/>
        </w:rPr>
        <w:t>spread of innovative engagement</w:t>
      </w:r>
      <w:r>
        <w:rPr>
          <w:b/>
        </w:rPr>
        <w:t xml:space="preserve"> between </w:t>
      </w:r>
      <w:r w:rsidRPr="00DD13AC">
        <w:rPr>
          <w:b/>
        </w:rPr>
        <w:t>NGO</w:t>
      </w:r>
      <w:r>
        <w:rPr>
          <w:b/>
        </w:rPr>
        <w:t xml:space="preserve">s and </w:t>
      </w:r>
      <w:r w:rsidRPr="00DD13AC">
        <w:rPr>
          <w:b/>
        </w:rPr>
        <w:t xml:space="preserve">business on business and human rights, the Working Group would like to encourage NGOs and companies to share more examples of joint efforts undertaken in specific cases at future </w:t>
      </w:r>
      <w:r>
        <w:rPr>
          <w:b/>
        </w:rPr>
        <w:t xml:space="preserve">sessions of the </w:t>
      </w:r>
      <w:r w:rsidRPr="00DD13AC">
        <w:rPr>
          <w:b/>
        </w:rPr>
        <w:t>Forum. The Working Group calls</w:t>
      </w:r>
      <w:r>
        <w:rPr>
          <w:b/>
        </w:rPr>
        <w:t xml:space="preserve"> </w:t>
      </w:r>
      <w:r w:rsidRPr="00DD13AC">
        <w:rPr>
          <w:b/>
        </w:rPr>
        <w:t xml:space="preserve">in particular on </w:t>
      </w:r>
      <w:r>
        <w:rPr>
          <w:b/>
        </w:rPr>
        <w:t>G</w:t>
      </w:r>
      <w:r w:rsidRPr="00DD13AC">
        <w:rPr>
          <w:b/>
        </w:rPr>
        <w:t>overnments to join the discussions and encourage</w:t>
      </w:r>
      <w:r>
        <w:rPr>
          <w:b/>
        </w:rPr>
        <w:t>s</w:t>
      </w:r>
      <w:r w:rsidRPr="00DD13AC">
        <w:rPr>
          <w:b/>
        </w:rPr>
        <w:t xml:space="preserve"> both relevant host and home States to participate in panel</w:t>
      </w:r>
      <w:r>
        <w:rPr>
          <w:b/>
        </w:rPr>
        <w:t xml:space="preserve"> discussion</w:t>
      </w:r>
      <w:r w:rsidRPr="00DD13AC">
        <w:rPr>
          <w:b/>
        </w:rPr>
        <w:t>s similar to the one on engagement</w:t>
      </w:r>
      <w:r>
        <w:rPr>
          <w:b/>
        </w:rPr>
        <w:t xml:space="preserve"> between </w:t>
      </w:r>
      <w:r w:rsidRPr="00DD13AC">
        <w:rPr>
          <w:b/>
        </w:rPr>
        <w:t>NGO</w:t>
      </w:r>
      <w:r>
        <w:rPr>
          <w:b/>
        </w:rPr>
        <w:t xml:space="preserve">s and </w:t>
      </w:r>
      <w:r w:rsidRPr="00DD13AC">
        <w:rPr>
          <w:b/>
        </w:rPr>
        <w:t>compan</w:t>
      </w:r>
      <w:r>
        <w:rPr>
          <w:b/>
        </w:rPr>
        <w:t>ies</w:t>
      </w:r>
      <w:r w:rsidRPr="00DD13AC">
        <w:rPr>
          <w:b/>
        </w:rPr>
        <w:t xml:space="preserve"> held at the third annual Forum. Moreover, </w:t>
      </w:r>
      <w:r>
        <w:rPr>
          <w:b/>
        </w:rPr>
        <w:t>t</w:t>
      </w:r>
      <w:r w:rsidRPr="00DD13AC">
        <w:rPr>
          <w:b/>
        </w:rPr>
        <w:t>he Working Group encourage</w:t>
      </w:r>
      <w:r>
        <w:rPr>
          <w:b/>
        </w:rPr>
        <w:t>s</w:t>
      </w:r>
      <w:r w:rsidRPr="00DD13AC">
        <w:rPr>
          <w:b/>
        </w:rPr>
        <w:t xml:space="preserve"> the sharing of such examples and dialogue on lessons </w:t>
      </w:r>
      <w:r>
        <w:rPr>
          <w:b/>
        </w:rPr>
        <w:t xml:space="preserve">learned </w:t>
      </w:r>
      <w:r w:rsidRPr="00DD13AC">
        <w:rPr>
          <w:b/>
        </w:rPr>
        <w:t>in other relevant contexts, such as at regional forums and meetings convened by stakeholders themselves.</w:t>
      </w:r>
    </w:p>
    <w:p w:rsidR="008E0BD4" w:rsidRPr="00DD13AC" w:rsidRDefault="008E0BD4" w:rsidP="008E0BD4">
      <w:pPr>
        <w:pStyle w:val="SingleTxtG"/>
        <w:rPr>
          <w:b/>
        </w:rPr>
      </w:pPr>
      <w:r w:rsidRPr="00DD13AC">
        <w:rPr>
          <w:bCs/>
        </w:rPr>
        <w:t>68.</w:t>
      </w:r>
      <w:r w:rsidRPr="00DD13AC">
        <w:rPr>
          <w:bCs/>
        </w:rPr>
        <w:tab/>
      </w:r>
      <w:r w:rsidRPr="00DD13AC">
        <w:rPr>
          <w:b/>
        </w:rPr>
        <w:t>Highlighting existing practices of both company efforts to meet the business responsibility to respect, and of joint stakeholder engagement to deal with concrete cases, should be supported by all stakeholders in order to encourage further action and the small but important steps towards workable solutions that ultimately benefit rights-holders on the ground.</w:t>
      </w:r>
    </w:p>
    <w:p w:rsidR="008E0BD4" w:rsidRPr="0070229C" w:rsidRDefault="008E0BD4" w:rsidP="008E0BD4">
      <w:pPr>
        <w:pStyle w:val="SingleTxtG"/>
        <w:spacing w:before="240" w:after="0"/>
        <w:jc w:val="center"/>
        <w:rPr>
          <w:bCs/>
          <w:u w:val="single"/>
        </w:rPr>
      </w:pPr>
      <w:r w:rsidRPr="0070229C">
        <w:rPr>
          <w:bCs/>
          <w:u w:val="single"/>
        </w:rPr>
        <w:tab/>
      </w:r>
      <w:r w:rsidRPr="0070229C">
        <w:rPr>
          <w:bCs/>
          <w:u w:val="single"/>
        </w:rPr>
        <w:tab/>
      </w:r>
      <w:r w:rsidRPr="0070229C">
        <w:rPr>
          <w:bCs/>
          <w:u w:val="single"/>
        </w:rPr>
        <w:tab/>
      </w:r>
    </w:p>
    <w:p w:rsidR="00E147C1" w:rsidRPr="008E0BD4" w:rsidRDefault="00E147C1" w:rsidP="003C70B4">
      <w:pPr>
        <w:rPr>
          <w:lang w:val="en-US"/>
        </w:rPr>
      </w:pPr>
    </w:p>
    <w:sectPr w:rsidR="00E147C1" w:rsidRPr="008E0BD4"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7B" w:rsidRDefault="00275F7B">
      <w:r>
        <w:rPr>
          <w:lang w:val="en-US"/>
        </w:rPr>
        <w:tab/>
      </w:r>
      <w:r>
        <w:separator/>
      </w:r>
    </w:p>
  </w:endnote>
  <w:endnote w:type="continuationSeparator" w:id="0">
    <w:p w:rsidR="00275F7B" w:rsidRDefault="0027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e"/>
      </w:rPr>
      <w:fldChar w:fldCharType="begin"/>
    </w:r>
    <w:r>
      <w:rPr>
        <w:rStyle w:val="ae"/>
      </w:rPr>
      <w:instrText xml:space="preserve"> PAGE </w:instrText>
    </w:r>
    <w:r>
      <w:rPr>
        <w:rStyle w:val="ae"/>
      </w:rPr>
      <w:fldChar w:fldCharType="separate"/>
    </w:r>
    <w:r w:rsidR="00323E4C">
      <w:rPr>
        <w:rStyle w:val="ae"/>
        <w:noProof/>
      </w:rPr>
      <w:t>22</w:t>
    </w:r>
    <w:r>
      <w:rPr>
        <w:rStyle w:val="ae"/>
      </w:rPr>
      <w:fldChar w:fldCharType="end"/>
    </w:r>
    <w:r>
      <w:rPr>
        <w:lang w:val="en-US"/>
      </w:rPr>
      <w:tab/>
      <w:t>GE.</w:t>
    </w:r>
    <w:r w:rsidR="00F411D5">
      <w:rPr>
        <w:lang w:val="en-US"/>
      </w:rPr>
      <w:t>1</w:t>
    </w:r>
    <w:r w:rsidR="00E147C1">
      <w:rPr>
        <w:lang w:val="en-US"/>
      </w:rPr>
      <w:t>5</w:t>
    </w:r>
    <w:r>
      <w:rPr>
        <w:lang w:val="en-US"/>
      </w:rPr>
      <w:t>-</w:t>
    </w:r>
    <w:r w:rsidR="00275F7B">
      <w:rPr>
        <w:lang w:val="en-US"/>
      </w:rPr>
      <w:t>07025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275F7B" w:rsidRPr="00275F7B">
      <w:rPr>
        <w:lang w:val="en-US"/>
      </w:rPr>
      <w:t>15-07025</w:t>
    </w:r>
    <w:r>
      <w:rPr>
        <w:lang w:val="en-US"/>
      </w:rPr>
      <w:tab/>
    </w:r>
    <w:r>
      <w:rPr>
        <w:rStyle w:val="ae"/>
      </w:rPr>
      <w:fldChar w:fldCharType="begin"/>
    </w:r>
    <w:r>
      <w:rPr>
        <w:rStyle w:val="ae"/>
      </w:rPr>
      <w:instrText xml:space="preserve"> PAGE </w:instrText>
    </w:r>
    <w:r>
      <w:rPr>
        <w:rStyle w:val="ae"/>
      </w:rPr>
      <w:fldChar w:fldCharType="separate"/>
    </w:r>
    <w:r w:rsidR="00323E4C">
      <w:rPr>
        <w:rStyle w:val="ae"/>
        <w:noProof/>
      </w:rPr>
      <w:t>3</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6D4931" w:rsidRDefault="00B731EC" w:rsidP="00275F7B">
          <w:r>
            <w:rPr>
              <w:lang w:val="en-US"/>
            </w:rPr>
            <w:t>GE.</w:t>
          </w:r>
          <w:r w:rsidR="00275F7B" w:rsidRPr="00275F7B">
            <w:rPr>
              <w:lang w:val="en-US"/>
            </w:rPr>
            <w:t>15-07025</w:t>
          </w:r>
          <w:r w:rsidR="006D4931" w:rsidRPr="006D4931">
            <w:rPr>
              <w:lang w:val="en-US"/>
            </w:rPr>
            <w:t xml:space="preserve">   (R)</w:t>
          </w:r>
          <w:r w:rsidR="006655E3">
            <w:rPr>
              <w:lang w:val="en-US"/>
            </w:rPr>
            <w:t xml:space="preserve">   100415   140415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69156AB0" wp14:editId="75AADC11">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6655E3" w:rsidP="00036FE6">
          <w:pPr>
            <w:jc w:val="right"/>
          </w:pPr>
          <w:r>
            <w:rPr>
              <w:noProof/>
              <w:lang w:eastAsia="ru-RU"/>
            </w:rPr>
            <w:drawing>
              <wp:inline distT="0" distB="0" distL="0" distR="0" wp14:anchorId="36C97B3A" wp14:editId="6A892E12">
                <wp:extent cx="868680" cy="868680"/>
                <wp:effectExtent l="0" t="0" r="7620" b="7620"/>
                <wp:docPr id="3" name="Рисунок 3" descr="http://undocs.org/m2/QRCode2.ashx?DS=A/HRC/29/28/Ad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8/Ad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6D4931" w:rsidRPr="00797A78" w:rsidTr="00036FE6">
      <w:tc>
        <w:tcPr>
          <w:tcW w:w="4068" w:type="dxa"/>
          <w:vAlign w:val="bottom"/>
        </w:tcPr>
        <w:p w:rsidR="006D4931" w:rsidRPr="006655E3" w:rsidRDefault="006655E3" w:rsidP="00036FE6">
          <w:pPr>
            <w:spacing w:after="40"/>
            <w:rPr>
              <w:rFonts w:ascii="C39T30Lfz" w:hAnsi="C39T30Lfz"/>
              <w:spacing w:val="0"/>
              <w:w w:val="100"/>
              <w:kern w:val="0"/>
              <w:sz w:val="56"/>
              <w:szCs w:val="56"/>
              <w:lang w:val="en-US" w:eastAsia="ru-RU"/>
            </w:rPr>
          </w:pP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r w:rsidRPr="006655E3">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7B" w:rsidRPr="00F71F63" w:rsidRDefault="00275F7B"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275F7B" w:rsidRPr="00F71F63" w:rsidRDefault="00275F7B" w:rsidP="00635E86">
      <w:pPr>
        <w:tabs>
          <w:tab w:val="right" w:pos="2155"/>
        </w:tabs>
        <w:spacing w:after="80" w:line="240" w:lineRule="auto"/>
        <w:rPr>
          <w:u w:val="single"/>
          <w:lang w:val="en-US"/>
        </w:rPr>
      </w:pPr>
      <w:r w:rsidRPr="00F71F63">
        <w:rPr>
          <w:u w:val="single"/>
          <w:lang w:val="en-US"/>
        </w:rPr>
        <w:tab/>
      </w:r>
    </w:p>
    <w:p w:rsidR="00275F7B" w:rsidRPr="00635E86" w:rsidRDefault="00275F7B" w:rsidP="00635E86">
      <w:pPr>
        <w:pStyle w:val="ad"/>
      </w:pPr>
    </w:p>
  </w:footnote>
  <w:footnote w:id="1">
    <w:p w:rsidR="003C70B4" w:rsidRPr="005378C6" w:rsidRDefault="003C70B4" w:rsidP="003C70B4">
      <w:pPr>
        <w:pStyle w:val="af0"/>
        <w:rPr>
          <w:lang w:val="ru-RU"/>
        </w:rPr>
      </w:pPr>
      <w:r w:rsidRPr="00C22800">
        <w:rPr>
          <w:rStyle w:val="ac"/>
          <w:lang w:val="ru-RU"/>
        </w:rPr>
        <w:tab/>
      </w:r>
      <w:r>
        <w:rPr>
          <w:lang w:val="ru-RU"/>
        </w:rPr>
        <w:t xml:space="preserve">* </w:t>
      </w:r>
      <w:r w:rsidR="006655E3" w:rsidRPr="006655E3">
        <w:rPr>
          <w:lang w:val="ru-RU"/>
        </w:rPr>
        <w:tab/>
      </w:r>
      <w:r>
        <w:rPr>
          <w:lang w:val="ru-RU"/>
        </w:rPr>
        <w:t>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w:t>
      </w:r>
    </w:p>
  </w:footnote>
  <w:footnote w:id="2">
    <w:p w:rsidR="008E0BD4" w:rsidRPr="00323E4C" w:rsidRDefault="008E0BD4" w:rsidP="008E0BD4">
      <w:pPr>
        <w:pStyle w:val="af0"/>
        <w:rPr>
          <w:szCs w:val="18"/>
          <w:lang w:val="ru-RU"/>
        </w:rPr>
      </w:pPr>
      <w:r w:rsidRPr="00323E4C">
        <w:rPr>
          <w:szCs w:val="18"/>
          <w:lang w:val="ru-RU"/>
        </w:rPr>
        <w:tab/>
      </w:r>
      <w:r w:rsidRPr="008E0BD4">
        <w:rPr>
          <w:rStyle w:val="ac"/>
          <w:szCs w:val="18"/>
        </w:rPr>
        <w:footnoteRef/>
      </w:r>
      <w:r w:rsidRPr="00323E4C">
        <w:rPr>
          <w:szCs w:val="18"/>
          <w:lang w:val="ru-RU"/>
        </w:rPr>
        <w:tab/>
      </w:r>
      <w:r w:rsidRPr="008E0BD4">
        <w:rPr>
          <w:rStyle w:val="ac"/>
          <w:szCs w:val="18"/>
          <w:vertAlign w:val="baseline"/>
        </w:rPr>
        <w:t>Available</w:t>
      </w:r>
      <w:r w:rsidRPr="00323E4C">
        <w:rPr>
          <w:szCs w:val="18"/>
          <w:lang w:val="ru-RU"/>
        </w:rPr>
        <w:t xml:space="preserve"> </w:t>
      </w:r>
      <w:r w:rsidRPr="008E0BD4">
        <w:rPr>
          <w:szCs w:val="18"/>
        </w:rPr>
        <w:t>from</w:t>
      </w:r>
    </w:p>
    <w:p w:rsidR="008E0BD4" w:rsidRPr="00323E4C" w:rsidRDefault="008E0BD4" w:rsidP="008E0BD4">
      <w:pPr>
        <w:pStyle w:val="afff1"/>
        <w:rPr>
          <w:sz w:val="18"/>
          <w:szCs w:val="18"/>
          <w:lang w:val="ru-RU"/>
        </w:rPr>
      </w:pPr>
      <w:r w:rsidRPr="00323E4C">
        <w:rPr>
          <w:sz w:val="18"/>
          <w:szCs w:val="18"/>
          <w:lang w:val="ru-RU"/>
        </w:rPr>
        <w:tab/>
      </w:r>
      <w:r w:rsidRPr="00323E4C">
        <w:rPr>
          <w:sz w:val="18"/>
          <w:szCs w:val="18"/>
          <w:lang w:val="ru-RU"/>
        </w:rPr>
        <w:tab/>
      </w:r>
      <w:r w:rsidRPr="008E0BD4">
        <w:rPr>
          <w:sz w:val="18"/>
          <w:szCs w:val="18"/>
          <w:lang w:val="en-GB"/>
        </w:rPr>
        <w:t>http</w:t>
      </w:r>
      <w:r w:rsidRPr="00323E4C">
        <w:rPr>
          <w:sz w:val="18"/>
          <w:szCs w:val="18"/>
          <w:lang w:val="ru-RU"/>
        </w:rPr>
        <w:t>://</w:t>
      </w:r>
      <w:r w:rsidRPr="008E0BD4">
        <w:rPr>
          <w:sz w:val="18"/>
          <w:szCs w:val="18"/>
          <w:lang w:val="en-GB"/>
        </w:rPr>
        <w:t>business</w:t>
      </w:r>
      <w:r w:rsidRPr="00323E4C">
        <w:rPr>
          <w:sz w:val="18"/>
          <w:szCs w:val="18"/>
          <w:lang w:val="ru-RU"/>
        </w:rPr>
        <w:t>-</w:t>
      </w:r>
      <w:r w:rsidRPr="008E0BD4">
        <w:rPr>
          <w:sz w:val="18"/>
          <w:szCs w:val="18"/>
          <w:lang w:val="en-GB"/>
        </w:rPr>
        <w:t>humanrights</w:t>
      </w:r>
      <w:r w:rsidRPr="00323E4C">
        <w:rPr>
          <w:sz w:val="18"/>
          <w:szCs w:val="18"/>
          <w:lang w:val="ru-RU"/>
        </w:rPr>
        <w:t>.</w:t>
      </w:r>
      <w:r w:rsidRPr="008E0BD4">
        <w:rPr>
          <w:sz w:val="18"/>
          <w:szCs w:val="18"/>
          <w:lang w:val="en-GB"/>
        </w:rPr>
        <w:t>org</w:t>
      </w:r>
      <w:r w:rsidRPr="00323E4C">
        <w:rPr>
          <w:sz w:val="18"/>
          <w:szCs w:val="18"/>
          <w:lang w:val="ru-RU"/>
        </w:rPr>
        <w:t>/</w:t>
      </w:r>
      <w:r w:rsidRPr="008E0BD4">
        <w:rPr>
          <w:sz w:val="18"/>
          <w:szCs w:val="18"/>
          <w:lang w:val="en-GB"/>
        </w:rPr>
        <w:t>sites</w:t>
      </w:r>
      <w:r w:rsidRPr="00323E4C">
        <w:rPr>
          <w:sz w:val="18"/>
          <w:szCs w:val="18"/>
          <w:lang w:val="ru-RU"/>
        </w:rPr>
        <w:t>/</w:t>
      </w:r>
      <w:r w:rsidRPr="008E0BD4">
        <w:rPr>
          <w:sz w:val="18"/>
          <w:szCs w:val="18"/>
          <w:lang w:val="en-GB"/>
        </w:rPr>
        <w:t>default</w:t>
      </w:r>
      <w:r w:rsidRPr="00323E4C">
        <w:rPr>
          <w:sz w:val="18"/>
          <w:szCs w:val="18"/>
          <w:lang w:val="ru-RU"/>
        </w:rPr>
        <w:t>/</w:t>
      </w:r>
      <w:r w:rsidRPr="008E0BD4">
        <w:rPr>
          <w:sz w:val="18"/>
          <w:szCs w:val="18"/>
          <w:lang w:val="en-GB"/>
        </w:rPr>
        <w:t>files</w:t>
      </w:r>
      <w:r w:rsidRPr="00323E4C">
        <w:rPr>
          <w:sz w:val="18"/>
          <w:szCs w:val="18"/>
          <w:lang w:val="ru-RU"/>
        </w:rPr>
        <w:t>/</w:t>
      </w:r>
      <w:r w:rsidRPr="008E0BD4">
        <w:rPr>
          <w:sz w:val="18"/>
          <w:szCs w:val="18"/>
          <w:lang w:val="en-GB"/>
        </w:rPr>
        <w:t>documents</w:t>
      </w:r>
      <w:r w:rsidRPr="00323E4C">
        <w:rPr>
          <w:sz w:val="18"/>
          <w:szCs w:val="18"/>
          <w:lang w:val="ru-RU"/>
        </w:rPr>
        <w:t>/</w:t>
      </w:r>
      <w:r w:rsidRPr="008E0BD4">
        <w:rPr>
          <w:sz w:val="18"/>
          <w:szCs w:val="18"/>
          <w:lang w:val="en-GB"/>
        </w:rPr>
        <w:t>Respect</w:t>
      </w:r>
      <w:r w:rsidRPr="00323E4C">
        <w:rPr>
          <w:sz w:val="18"/>
          <w:szCs w:val="18"/>
          <w:lang w:val="ru-RU"/>
        </w:rPr>
        <w:t>%20</w:t>
      </w:r>
      <w:r w:rsidRPr="008E0BD4">
        <w:rPr>
          <w:sz w:val="18"/>
          <w:szCs w:val="18"/>
          <w:lang w:val="en-GB"/>
        </w:rPr>
        <w:t>in</w:t>
      </w:r>
      <w:r w:rsidRPr="00323E4C">
        <w:rPr>
          <w:sz w:val="18"/>
          <w:szCs w:val="18"/>
          <w:lang w:val="ru-RU"/>
        </w:rPr>
        <w:t>%20</w:t>
      </w:r>
      <w:r w:rsidRPr="008E0BD4">
        <w:rPr>
          <w:sz w:val="18"/>
          <w:szCs w:val="18"/>
          <w:lang w:val="en-GB"/>
        </w:rPr>
        <w:t>Practice</w:t>
      </w:r>
      <w:r w:rsidRPr="00323E4C">
        <w:rPr>
          <w:sz w:val="18"/>
          <w:szCs w:val="18"/>
          <w:lang w:val="ru-RU"/>
        </w:rPr>
        <w:t>%20</w:t>
      </w:r>
      <w:r w:rsidRPr="008E0BD4">
        <w:rPr>
          <w:sz w:val="18"/>
          <w:szCs w:val="18"/>
          <w:lang w:val="en-GB"/>
        </w:rPr>
        <w:t>Report</w:t>
      </w:r>
      <w:r w:rsidRPr="00323E4C">
        <w:rPr>
          <w:sz w:val="18"/>
          <w:szCs w:val="18"/>
          <w:lang w:val="ru-RU"/>
        </w:rPr>
        <w:t>.</w:t>
      </w:r>
      <w:r w:rsidRPr="008E0BD4">
        <w:rPr>
          <w:sz w:val="18"/>
          <w:szCs w:val="18"/>
          <w:lang w:val="en-GB"/>
        </w:rPr>
        <w:t>pdf</w:t>
      </w:r>
      <w:r w:rsidRPr="00323E4C">
        <w:rPr>
          <w:sz w:val="18"/>
          <w:szCs w:val="18"/>
          <w:lang w:val="ru-RU"/>
        </w:rPr>
        <w:t>.</w:t>
      </w:r>
    </w:p>
  </w:footnote>
  <w:footnote w:id="3">
    <w:p w:rsidR="008E0BD4" w:rsidRPr="008E0BD4" w:rsidRDefault="008E0BD4" w:rsidP="008E0BD4">
      <w:pPr>
        <w:pStyle w:val="af0"/>
        <w:rPr>
          <w:szCs w:val="18"/>
        </w:rPr>
      </w:pPr>
      <w:r w:rsidRPr="00323E4C">
        <w:rPr>
          <w:szCs w:val="18"/>
          <w:lang w:val="ru-RU"/>
        </w:rPr>
        <w:tab/>
      </w:r>
      <w:r w:rsidRPr="008E0BD4">
        <w:rPr>
          <w:rStyle w:val="ac"/>
        </w:rPr>
        <w:footnoteRef/>
      </w:r>
      <w:r w:rsidRPr="008E0BD4">
        <w:rPr>
          <w:szCs w:val="18"/>
        </w:rPr>
        <w:tab/>
        <w:t xml:space="preserve">The </w:t>
      </w:r>
      <w:r w:rsidRPr="008E0BD4">
        <w:t>Guiding Principles were</w:t>
      </w:r>
      <w:r w:rsidRPr="008E0BD4">
        <w:rPr>
          <w:szCs w:val="18"/>
        </w:rPr>
        <w:t xml:space="preserv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4">
    <w:p w:rsidR="008E0BD4" w:rsidRPr="008E0BD4" w:rsidRDefault="008E0BD4" w:rsidP="008E0BD4">
      <w:pPr>
        <w:pStyle w:val="af0"/>
        <w:rPr>
          <w:szCs w:val="18"/>
        </w:rPr>
      </w:pPr>
      <w:r w:rsidRPr="008E0BD4">
        <w:rPr>
          <w:szCs w:val="18"/>
        </w:rPr>
        <w:tab/>
      </w:r>
      <w:r w:rsidRPr="008E0BD4">
        <w:rPr>
          <w:rStyle w:val="ac"/>
        </w:rPr>
        <w:footnoteRef/>
      </w:r>
      <w:r w:rsidRPr="008E0BD4">
        <w:rPr>
          <w:szCs w:val="18"/>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5">
    <w:p w:rsidR="008E0BD4" w:rsidRPr="008E0BD4" w:rsidRDefault="008E0BD4" w:rsidP="008E0BD4">
      <w:pPr>
        <w:pStyle w:val="af0"/>
        <w:rPr>
          <w:szCs w:val="18"/>
        </w:rPr>
      </w:pPr>
      <w:r w:rsidRPr="008E0BD4">
        <w:rPr>
          <w:szCs w:val="18"/>
        </w:rPr>
        <w:tab/>
      </w:r>
      <w:r w:rsidRPr="008E0BD4">
        <w:rPr>
          <w:rStyle w:val="ac"/>
        </w:rPr>
        <w:footnoteRef/>
      </w:r>
      <w:r w:rsidRPr="008E0BD4">
        <w:rPr>
          <w:szCs w:val="18"/>
        </w:rPr>
        <w:tab/>
        <w:t>The concept note for the session, which includes further background and the names of panellists, is available from www.ohchr.org/EN/Issues/Business/Forum/Pages/2014ForumParallelUNled.aspx. The Working Group also convened other ”good practice” oriented sessions at the Forum in collaboration with other organizations: a panel discussion on meaningful stakeholder engagement in human rights due diligence, and another on supporting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 summary of discussions of the Forum on Business and Human Rights, prepared by the Chair, Mo Ibrahim (A/</w:t>
      </w:r>
      <w:proofErr w:type="spellStart"/>
      <w:r w:rsidRPr="008E0BD4">
        <w:rPr>
          <w:szCs w:val="18"/>
        </w:rPr>
        <w:t>HRC</w:t>
      </w:r>
      <w:proofErr w:type="spellEnd"/>
      <w:r w:rsidRPr="008E0BD4">
        <w:rPr>
          <w:szCs w:val="18"/>
        </w:rPr>
        <w:t>/</w:t>
      </w:r>
      <w:proofErr w:type="spellStart"/>
      <w:r w:rsidRPr="008E0BD4">
        <w:rPr>
          <w:szCs w:val="18"/>
        </w:rPr>
        <w:t>FBHR</w:t>
      </w:r>
      <w:proofErr w:type="spellEnd"/>
      <w:r w:rsidRPr="008E0BD4">
        <w:rPr>
          <w:szCs w:val="18"/>
        </w:rPr>
        <w:t xml:space="preserve">/2014/3). </w:t>
      </w:r>
    </w:p>
  </w:footnote>
  <w:footnote w:id="6">
    <w:p w:rsidR="008E0BD4" w:rsidRPr="008E0BD4" w:rsidRDefault="008E0BD4" w:rsidP="008E0BD4">
      <w:pPr>
        <w:pStyle w:val="af0"/>
      </w:pPr>
      <w:r w:rsidRPr="008E0BD4">
        <w:tab/>
      </w:r>
      <w:r w:rsidRPr="008E0BD4">
        <w:rPr>
          <w:rStyle w:val="ac"/>
        </w:rPr>
        <w:footnoteRef/>
      </w:r>
      <w:r w:rsidRPr="008E0BD4">
        <w:tab/>
        <w:t>See www.ipieca.org/publication/community-grievance-mechanisms-toolbox.</w:t>
      </w:r>
    </w:p>
  </w:footnote>
  <w:footnote w:id="7">
    <w:p w:rsidR="008E0BD4" w:rsidRPr="008E0BD4" w:rsidRDefault="008E0BD4" w:rsidP="008E0BD4">
      <w:pPr>
        <w:pStyle w:val="af0"/>
      </w:pPr>
      <w:r w:rsidRPr="008E0BD4">
        <w:tab/>
      </w:r>
      <w:r w:rsidRPr="008E0BD4">
        <w:rPr>
          <w:rStyle w:val="ac"/>
        </w:rPr>
        <w:footnoteRef/>
      </w:r>
      <w:r w:rsidRPr="008E0BD4">
        <w:tab/>
        <w:t>See www.ipieca.org/publication/community-grievance-mechanisms-oil-and-gas-industry-manual-implementing-operational-leve.</w:t>
      </w:r>
    </w:p>
  </w:footnote>
  <w:footnote w:id="8">
    <w:p w:rsidR="008E0BD4" w:rsidRPr="008E0BD4" w:rsidRDefault="008E0BD4" w:rsidP="008E0BD4">
      <w:pPr>
        <w:pStyle w:val="af"/>
        <w:rPr>
          <w:szCs w:val="18"/>
        </w:rPr>
      </w:pPr>
      <w:r w:rsidRPr="008E0BD4">
        <w:rPr>
          <w:szCs w:val="18"/>
        </w:rPr>
        <w:tab/>
      </w:r>
      <w:r w:rsidRPr="008E0BD4">
        <w:rPr>
          <w:rStyle w:val="ac"/>
        </w:rPr>
        <w:footnoteRef/>
      </w:r>
      <w:r w:rsidRPr="008E0BD4">
        <w:rPr>
          <w:szCs w:val="18"/>
        </w:rPr>
        <w:tab/>
        <w:t xml:space="preserve">There are now 42 such agreements in diverse sectors. It was noted that the Accord on Fire and Building Safety in Bangladesh, which includes a legally binding agreement between 190 brands, had been the result of the promotion of such arrangements. </w:t>
      </w:r>
    </w:p>
  </w:footnote>
  <w:footnote w:id="9">
    <w:p w:rsidR="008E0BD4" w:rsidRPr="001F1849" w:rsidRDefault="008E0BD4" w:rsidP="008E0BD4">
      <w:pPr>
        <w:pStyle w:val="af"/>
        <w:rPr>
          <w:szCs w:val="18"/>
        </w:rPr>
      </w:pPr>
      <w:r w:rsidRPr="008E0BD4">
        <w:rPr>
          <w:szCs w:val="18"/>
        </w:rPr>
        <w:tab/>
      </w:r>
      <w:r w:rsidRPr="008E0BD4">
        <w:rPr>
          <w:rStyle w:val="ac"/>
        </w:rPr>
        <w:footnoteRef/>
      </w:r>
      <w:r w:rsidRPr="008E0BD4">
        <w:rPr>
          <w:szCs w:val="18"/>
        </w:rPr>
        <w:tab/>
        <w:t>Microsoft was also scheduled to join the discussion, but had to cancel. However, Microsoft encouraged Ranking Digital Rights to proceed alone, thus giving a clear indication of the level of trust and dialogue that exists between the two entities.</w:t>
      </w:r>
    </w:p>
  </w:footnote>
  <w:footnote w:id="10">
    <w:p w:rsidR="008E0BD4" w:rsidRPr="001F1849" w:rsidRDefault="008E0BD4" w:rsidP="008E0BD4">
      <w:pPr>
        <w:pStyle w:val="af0"/>
        <w:rPr>
          <w:szCs w:val="18"/>
        </w:rPr>
      </w:pPr>
      <w:r w:rsidRPr="00422AA4">
        <w:rPr>
          <w:szCs w:val="18"/>
        </w:rPr>
        <w:tab/>
      </w:r>
      <w:r w:rsidRPr="00937FFD">
        <w:rPr>
          <w:rStyle w:val="ac"/>
        </w:rPr>
        <w:footnoteRef/>
      </w:r>
      <w:r w:rsidRPr="00422AA4">
        <w:rPr>
          <w:szCs w:val="18"/>
        </w:rPr>
        <w:tab/>
      </w:r>
      <w:r w:rsidRPr="001F1849">
        <w:rPr>
          <w:szCs w:val="18"/>
        </w:rPr>
        <w:t>The panel included representatives from the Government</w:t>
      </w:r>
      <w:r>
        <w:rPr>
          <w:szCs w:val="18"/>
        </w:rPr>
        <w:t>s</w:t>
      </w:r>
      <w:r w:rsidRPr="001F1849">
        <w:rPr>
          <w:szCs w:val="18"/>
        </w:rPr>
        <w:t xml:space="preserve"> of Colombia and the United Kingdom</w:t>
      </w:r>
      <w:r>
        <w:rPr>
          <w:szCs w:val="18"/>
        </w:rPr>
        <w:t xml:space="preserve"> </w:t>
      </w:r>
      <w:r w:rsidRPr="006E5EF0">
        <w:rPr>
          <w:szCs w:val="18"/>
        </w:rPr>
        <w:t>of Great Britain and Northern Ireland</w:t>
      </w:r>
      <w:r w:rsidRPr="001F1849">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275F7B">
      <w:rPr>
        <w:lang w:val="en-US"/>
      </w:rPr>
      <w:t>29/28/Add.3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t>A/</w:t>
    </w:r>
    <w:proofErr w:type="spellStart"/>
    <w:r>
      <w:rPr>
        <w:lang w:val="en-US"/>
      </w:rPr>
      <w:t>HRC</w:t>
    </w:r>
    <w:proofErr w:type="spellEnd"/>
    <w:r>
      <w:rPr>
        <w:lang w:val="en-US"/>
      </w:rPr>
      <w:t>/</w:t>
    </w:r>
    <w:r w:rsidR="00275F7B">
      <w:rPr>
        <w:lang w:val="en-US"/>
      </w:rPr>
      <w:t>29/28/Add.3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4"/>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7B"/>
    <w:rsid w:val="000033D8"/>
    <w:rsid w:val="000054E3"/>
    <w:rsid w:val="00005C1C"/>
    <w:rsid w:val="00016553"/>
    <w:rsid w:val="000233B3"/>
    <w:rsid w:val="00023E9E"/>
    <w:rsid w:val="00026B0C"/>
    <w:rsid w:val="0003638E"/>
    <w:rsid w:val="00036FE6"/>
    <w:rsid w:val="00036FF2"/>
    <w:rsid w:val="0004010A"/>
    <w:rsid w:val="00043D88"/>
    <w:rsid w:val="00046E4D"/>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32D42"/>
    <w:rsid w:val="00237334"/>
    <w:rsid w:val="002444F4"/>
    <w:rsid w:val="002629A0"/>
    <w:rsid w:val="00267F74"/>
    <w:rsid w:val="00275F7B"/>
    <w:rsid w:val="0028492B"/>
    <w:rsid w:val="00291C8F"/>
    <w:rsid w:val="002C5036"/>
    <w:rsid w:val="002C6A71"/>
    <w:rsid w:val="002C6D5F"/>
    <w:rsid w:val="002D15EA"/>
    <w:rsid w:val="002D414F"/>
    <w:rsid w:val="002D6C07"/>
    <w:rsid w:val="002E0CE6"/>
    <w:rsid w:val="002E1163"/>
    <w:rsid w:val="002E43F3"/>
    <w:rsid w:val="003215F5"/>
    <w:rsid w:val="00323E4C"/>
    <w:rsid w:val="00332891"/>
    <w:rsid w:val="00356BB2"/>
    <w:rsid w:val="00360477"/>
    <w:rsid w:val="00367FC9"/>
    <w:rsid w:val="003711A1"/>
    <w:rsid w:val="00372123"/>
    <w:rsid w:val="00382B38"/>
    <w:rsid w:val="00386581"/>
    <w:rsid w:val="00387100"/>
    <w:rsid w:val="003936D0"/>
    <w:rsid w:val="003951D3"/>
    <w:rsid w:val="003978C6"/>
    <w:rsid w:val="003A0687"/>
    <w:rsid w:val="003A3F16"/>
    <w:rsid w:val="003B40A9"/>
    <w:rsid w:val="003C016E"/>
    <w:rsid w:val="003C70B4"/>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655E3"/>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748"/>
    <w:rsid w:val="00762446"/>
    <w:rsid w:val="00781ACB"/>
    <w:rsid w:val="007A79EB"/>
    <w:rsid w:val="007B5AAA"/>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1267"/>
    <w:rsid w:val="008D6A7A"/>
    <w:rsid w:val="008E0BD4"/>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D1F1E"/>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4F9"/>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rsid w:val="00E8167D"/>
    <w:pPr>
      <w:tabs>
        <w:tab w:val="right" w:pos="9639"/>
      </w:tabs>
      <w:suppressAutoHyphens/>
      <w:spacing w:line="240" w:lineRule="auto"/>
    </w:pPr>
    <w:rPr>
      <w:spacing w:val="0"/>
      <w:w w:val="100"/>
      <w:kern w:val="0"/>
      <w:sz w:val="16"/>
      <w:lang w:val="en-GB" w:eastAsia="ru-RU"/>
    </w:rPr>
  </w:style>
  <w:style w:type="character" w:styleId="ae">
    <w:name w:val="page number"/>
    <w:aliases w:val="7_GR,7_G"/>
    <w:basedOn w:val="a3"/>
    <w:rsid w:val="00E72C5E"/>
    <w:rPr>
      <w:rFonts w:ascii="Times New Roman" w:hAnsi="Times New Roman"/>
      <w:b/>
      <w:sz w:val="18"/>
    </w:rPr>
  </w:style>
  <w:style w:type="paragraph" w:styleId="af">
    <w:name w:val="endnote text"/>
    <w:aliases w:val="2_GR,2_G"/>
    <w:basedOn w:val="af0"/>
    <w:rsid w:val="00D84ECF"/>
  </w:style>
  <w:style w:type="paragraph" w:styleId="af0">
    <w:name w:val="footnote text"/>
    <w:aliases w:val="5_GR,5_G,Footnotes,Note de bas de page2,fn,Fußnotentext RAXEN,Footnote Text Char2 Char,Footnote Text Char Char1 Char,Footnote Text Char2 Char Char Char,Footnote Text Char1 Char Char Char Char,footnotes,Tex,Char, Char"/>
    <w:basedOn w:val="a2"/>
    <w:link w:val="af1"/>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2">
    <w:name w:val="Emphasis"/>
    <w:basedOn w:val="a3"/>
    <w:qFormat/>
    <w:rsid w:val="007E71C9"/>
    <w:rPr>
      <w:i/>
      <w:iCs/>
    </w:rPr>
  </w:style>
  <w:style w:type="paragraph" w:styleId="af3">
    <w:name w:val="Note Heading"/>
    <w:basedOn w:val="a2"/>
    <w:next w:val="a2"/>
    <w:semiHidden/>
    <w:rsid w:val="007E71C9"/>
  </w:style>
  <w:style w:type="table" w:styleId="af4">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5">
    <w:name w:val="Body Text"/>
    <w:basedOn w:val="a2"/>
    <w:semiHidden/>
    <w:rsid w:val="007E71C9"/>
  </w:style>
  <w:style w:type="paragraph" w:styleId="af6">
    <w:name w:val="Body Text First Indent"/>
    <w:basedOn w:val="af5"/>
    <w:semiHidden/>
    <w:rsid w:val="007E71C9"/>
    <w:pPr>
      <w:ind w:firstLine="210"/>
    </w:pPr>
  </w:style>
  <w:style w:type="paragraph" w:styleId="af7">
    <w:name w:val="Body Text Indent"/>
    <w:basedOn w:val="a2"/>
    <w:semiHidden/>
    <w:rsid w:val="007E71C9"/>
    <w:pPr>
      <w:ind w:left="283"/>
    </w:pPr>
  </w:style>
  <w:style w:type="paragraph" w:styleId="24">
    <w:name w:val="Body Text First Indent 2"/>
    <w:basedOn w:val="af7"/>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8">
    <w:name w:val="Title"/>
    <w:basedOn w:val="a2"/>
    <w:qFormat/>
    <w:rsid w:val="007E71C9"/>
    <w:pPr>
      <w:spacing w:before="240" w:after="60"/>
      <w:jc w:val="center"/>
      <w:outlineLvl w:val="0"/>
    </w:pPr>
    <w:rPr>
      <w:rFonts w:ascii="Arial" w:hAnsi="Arial" w:cs="Arial"/>
      <w:b/>
      <w:bCs/>
      <w:kern w:val="28"/>
      <w:sz w:val="32"/>
      <w:szCs w:val="32"/>
    </w:rPr>
  </w:style>
  <w:style w:type="character" w:styleId="af9">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Normal (Web)"/>
    <w:basedOn w:val="a2"/>
    <w:semiHidden/>
    <w:rsid w:val="007E71C9"/>
    <w:rPr>
      <w:sz w:val="24"/>
    </w:rPr>
  </w:style>
  <w:style w:type="paragraph" w:styleId="afb">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c">
    <w:name w:val="Subtitle"/>
    <w:basedOn w:val="a2"/>
    <w:qFormat/>
    <w:rsid w:val="007E71C9"/>
    <w:pPr>
      <w:spacing w:after="60"/>
      <w:jc w:val="center"/>
      <w:outlineLvl w:val="1"/>
    </w:pPr>
    <w:rPr>
      <w:rFonts w:ascii="Arial" w:hAnsi="Arial" w:cs="Arial"/>
      <w:sz w:val="24"/>
    </w:rPr>
  </w:style>
  <w:style w:type="paragraph" w:styleId="afd">
    <w:name w:val="Signature"/>
    <w:basedOn w:val="a2"/>
    <w:semiHidden/>
    <w:rsid w:val="007E71C9"/>
    <w:pPr>
      <w:ind w:left="4252"/>
    </w:pPr>
  </w:style>
  <w:style w:type="paragraph" w:styleId="afe">
    <w:name w:val="Salutation"/>
    <w:basedOn w:val="a2"/>
    <w:next w:val="a2"/>
    <w:semiHidden/>
    <w:rsid w:val="007E71C9"/>
  </w:style>
  <w:style w:type="paragraph" w:styleId="aff">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0">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1">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3">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4">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5">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6">
    <w:name w:val="Block Text"/>
    <w:basedOn w:val="a2"/>
    <w:semiHidden/>
    <w:rsid w:val="007E71C9"/>
    <w:pPr>
      <w:ind w:left="1440" w:right="1440"/>
    </w:pPr>
  </w:style>
  <w:style w:type="character" w:styleId="HTML8">
    <w:name w:val="HTML Cite"/>
    <w:basedOn w:val="a3"/>
    <w:semiHidden/>
    <w:rsid w:val="007E71C9"/>
    <w:rPr>
      <w:i/>
      <w:iCs/>
    </w:rPr>
  </w:style>
  <w:style w:type="paragraph" w:styleId="aff7">
    <w:name w:val="E-mail Signature"/>
    <w:basedOn w:val="a2"/>
    <w:semiHidden/>
    <w:rsid w:val="007E71C9"/>
  </w:style>
  <w:style w:type="character" w:styleId="aff8">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9">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a">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b">
    <w:name w:val="Plain Text"/>
    <w:basedOn w:val="a2"/>
    <w:semiHidden/>
    <w:rsid w:val="007E71C9"/>
    <w:rPr>
      <w:rFonts w:ascii="Courier New" w:hAnsi="Courier New" w:cs="Courier New"/>
    </w:rPr>
  </w:style>
  <w:style w:type="paragraph" w:styleId="affc">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d">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e">
    <w:name w:val="Balloon Text"/>
    <w:basedOn w:val="a2"/>
    <w:link w:val="afff"/>
    <w:rsid w:val="00E147C1"/>
    <w:pPr>
      <w:spacing w:line="240" w:lineRule="auto"/>
    </w:pPr>
    <w:rPr>
      <w:rFonts w:ascii="Tahoma" w:hAnsi="Tahoma" w:cs="Tahoma"/>
      <w:sz w:val="16"/>
      <w:szCs w:val="16"/>
    </w:rPr>
  </w:style>
  <w:style w:type="character" w:customStyle="1" w:styleId="afff">
    <w:name w:val="Текст выноски Знак"/>
    <w:basedOn w:val="a3"/>
    <w:link w:val="affe"/>
    <w:rsid w:val="00E147C1"/>
    <w:rPr>
      <w:rFonts w:ascii="Tahoma" w:hAnsi="Tahoma" w:cs="Tahoma"/>
      <w:spacing w:val="4"/>
      <w:w w:val="103"/>
      <w:kern w:val="14"/>
      <w:sz w:val="16"/>
      <w:szCs w:val="16"/>
      <w:lang w:eastAsia="en-US"/>
    </w:rPr>
  </w:style>
  <w:style w:type="paragraph" w:customStyle="1" w:styleId="SingleTxtG">
    <w:name w:val="_ Single Txt_G"/>
    <w:basedOn w:val="a2"/>
    <w:rsid w:val="008E0BD4"/>
    <w:pPr>
      <w:suppressAutoHyphens/>
      <w:spacing w:after="120"/>
      <w:ind w:left="1134" w:right="1134"/>
      <w:jc w:val="both"/>
    </w:pPr>
    <w:rPr>
      <w:spacing w:val="0"/>
      <w:w w:val="100"/>
      <w:kern w:val="0"/>
      <w:lang w:val="en-GB"/>
    </w:rPr>
  </w:style>
  <w:style w:type="paragraph" w:customStyle="1" w:styleId="HMG">
    <w:name w:val="_ H __M_G"/>
    <w:basedOn w:val="a2"/>
    <w:next w:val="a2"/>
    <w:rsid w:val="008E0BD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8E0BD4"/>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8E0BD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8E0BD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8E0BD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8E0BD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8E0BD4"/>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8E0BD4"/>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8E0BD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8E0BD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8E0BD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8E0BD4"/>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ff0">
    <w:name w:val="caption"/>
    <w:basedOn w:val="a2"/>
    <w:next w:val="a2"/>
    <w:qFormat/>
    <w:rsid w:val="008E0BD4"/>
    <w:pPr>
      <w:suppressAutoHyphens/>
      <w:spacing w:before="120"/>
    </w:pPr>
    <w:rPr>
      <w:b/>
      <w:spacing w:val="0"/>
      <w:w w:val="100"/>
      <w:kern w:val="0"/>
      <w:sz w:val="24"/>
      <w:szCs w:val="24"/>
      <w:lang w:val="en-GB"/>
    </w:rPr>
  </w:style>
  <w:style w:type="character" w:customStyle="1" w:styleId="aa">
    <w:name w:val="Верхний колонтитул Знак"/>
    <w:aliases w:val="6_GR Знак,6_G Знак"/>
    <w:link w:val="a9"/>
    <w:uiPriority w:val="99"/>
    <w:rsid w:val="008E0BD4"/>
    <w:rPr>
      <w:b/>
      <w:sz w:val="18"/>
      <w:lang w:val="en-GB"/>
    </w:rPr>
  </w:style>
  <w:style w:type="paragraph" w:customStyle="1" w:styleId="ColorfulList-Accent11">
    <w:name w:val="Colorful List - Accent 11"/>
    <w:basedOn w:val="a2"/>
    <w:uiPriority w:val="34"/>
    <w:qFormat/>
    <w:rsid w:val="008E0BD4"/>
    <w:pPr>
      <w:spacing w:after="200" w:line="276" w:lineRule="auto"/>
      <w:ind w:left="720"/>
      <w:contextualSpacing/>
    </w:pPr>
    <w:rPr>
      <w:rFonts w:ascii="Calibri" w:hAnsi="Calibri"/>
      <w:spacing w:val="0"/>
      <w:w w:val="100"/>
      <w:kern w:val="0"/>
      <w:sz w:val="22"/>
      <w:szCs w:val="22"/>
      <w:lang w:val="en-GB" w:eastAsia="en-GB"/>
    </w:rPr>
  </w:style>
  <w:style w:type="character" w:customStyle="1" w:styleId="af1">
    <w:name w:val="Текст сноски Знак"/>
    <w:aliases w:val="5_GR Знак,5_G Знак,Footnotes Знак,Note de bas de page2 Знак,fn Знак,Fußnotentext RAXEN Знак,Footnote Text Char2 Char Знак,Footnote Text Char Char1 Char Знак,Footnote Text Char2 Char Char Char Знак,footnotes Знак,Tex Знак,Char Знак"/>
    <w:link w:val="af0"/>
    <w:rsid w:val="008E0BD4"/>
    <w:rPr>
      <w:spacing w:val="5"/>
      <w:w w:val="104"/>
      <w:kern w:val="14"/>
      <w:sz w:val="18"/>
      <w:lang w:val="en-GB"/>
    </w:rPr>
  </w:style>
  <w:style w:type="paragraph" w:styleId="afff1">
    <w:name w:val="annotation text"/>
    <w:basedOn w:val="a2"/>
    <w:link w:val="afff2"/>
    <w:uiPriority w:val="99"/>
    <w:rsid w:val="008E0BD4"/>
    <w:pPr>
      <w:suppressAutoHyphens/>
    </w:pPr>
    <w:rPr>
      <w:spacing w:val="0"/>
      <w:w w:val="100"/>
      <w:kern w:val="0"/>
      <w:lang w:val="x-none"/>
    </w:rPr>
  </w:style>
  <w:style w:type="character" w:customStyle="1" w:styleId="afff2">
    <w:name w:val="Текст примечания Знак"/>
    <w:basedOn w:val="a3"/>
    <w:link w:val="afff1"/>
    <w:uiPriority w:val="99"/>
    <w:rsid w:val="008E0BD4"/>
    <w:rPr>
      <w:lang w:val="x-none" w:eastAsia="en-US"/>
    </w:rPr>
  </w:style>
  <w:style w:type="paragraph" w:styleId="afff3">
    <w:name w:val="annotation subject"/>
    <w:basedOn w:val="afff1"/>
    <w:next w:val="afff1"/>
    <w:link w:val="afff4"/>
    <w:rsid w:val="008E0BD4"/>
    <w:rPr>
      <w:b/>
      <w:bCs/>
    </w:rPr>
  </w:style>
  <w:style w:type="character" w:customStyle="1" w:styleId="afff4">
    <w:name w:val="Тема примечания Знак"/>
    <w:basedOn w:val="afff2"/>
    <w:link w:val="afff3"/>
    <w:rsid w:val="008E0BD4"/>
    <w:rPr>
      <w:b/>
      <w:bCs/>
      <w:lang w:val="x-none" w:eastAsia="en-US"/>
    </w:rPr>
  </w:style>
  <w:style w:type="paragraph" w:styleId="afff5">
    <w:name w:val="List Paragraph"/>
    <w:basedOn w:val="a2"/>
    <w:uiPriority w:val="34"/>
    <w:qFormat/>
    <w:rsid w:val="008E0BD4"/>
    <w:pPr>
      <w:spacing w:after="200" w:line="276" w:lineRule="auto"/>
      <w:ind w:left="720"/>
      <w:contextualSpacing/>
    </w:pPr>
    <w:rPr>
      <w:rFonts w:ascii="Calibri" w:hAnsi="Calibri"/>
      <w:spacing w:val="0"/>
      <w:w w:val="100"/>
      <w:kern w:val="0"/>
      <w:sz w:val="22"/>
      <w:szCs w:val="22"/>
      <w:lang w:val="en-GB" w:eastAsia="en-GB"/>
    </w:rPr>
  </w:style>
  <w:style w:type="paragraph" w:styleId="afff6">
    <w:name w:val="Revision"/>
    <w:hidden/>
    <w:uiPriority w:val="99"/>
    <w:semiHidden/>
    <w:rsid w:val="008E0BD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14"/>
      </w:numPr>
      <w:spacing w:after="120"/>
      <w:ind w:right="1134"/>
      <w:jc w:val="both"/>
    </w:pPr>
    <w:rPr>
      <w:lang w:eastAsia="ru-RU"/>
    </w:rPr>
  </w:style>
  <w:style w:type="paragraph" w:customStyle="1" w:styleId="Bullet2GR">
    <w:name w:val="_Bullet 2_GR"/>
    <w:basedOn w:val="a2"/>
    <w:rsid w:val="00BB4C4A"/>
    <w:pPr>
      <w:numPr>
        <w:numId w:val="15"/>
      </w:numPr>
      <w:spacing w:after="120"/>
      <w:ind w:right="1134"/>
      <w:jc w:val="both"/>
    </w:pPr>
    <w:rPr>
      <w:lang w:eastAsia="ru-RU"/>
    </w:rPr>
  </w:style>
  <w:style w:type="numbering" w:styleId="111111">
    <w:name w:val="Outline List 2"/>
    <w:basedOn w:val="a5"/>
    <w:semiHidden/>
    <w:rsid w:val="007E71C9"/>
    <w:pPr>
      <w:numPr>
        <w:numId w:val="1"/>
      </w:numPr>
    </w:pPr>
  </w:style>
  <w:style w:type="numbering" w:styleId="1ai">
    <w:name w:val="Outline List 1"/>
    <w:basedOn w:val="a5"/>
    <w:semiHidden/>
    <w:rsid w:val="007E71C9"/>
    <w:pPr>
      <w:numPr>
        <w:numId w:val="2"/>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7"/>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rsid w:val="00E8167D"/>
    <w:pPr>
      <w:tabs>
        <w:tab w:val="right" w:pos="9639"/>
      </w:tabs>
      <w:suppressAutoHyphens/>
      <w:spacing w:line="240" w:lineRule="auto"/>
    </w:pPr>
    <w:rPr>
      <w:spacing w:val="0"/>
      <w:w w:val="100"/>
      <w:kern w:val="0"/>
      <w:sz w:val="16"/>
      <w:lang w:val="en-GB" w:eastAsia="ru-RU"/>
    </w:rPr>
  </w:style>
  <w:style w:type="character" w:styleId="ae">
    <w:name w:val="page number"/>
    <w:aliases w:val="7_GR,7_G"/>
    <w:basedOn w:val="a3"/>
    <w:rsid w:val="00E72C5E"/>
    <w:rPr>
      <w:rFonts w:ascii="Times New Roman" w:hAnsi="Times New Roman"/>
      <w:b/>
      <w:sz w:val="18"/>
    </w:rPr>
  </w:style>
  <w:style w:type="paragraph" w:styleId="af">
    <w:name w:val="endnote text"/>
    <w:aliases w:val="2_GR,2_G"/>
    <w:basedOn w:val="af0"/>
    <w:rsid w:val="00D84ECF"/>
  </w:style>
  <w:style w:type="paragraph" w:styleId="af0">
    <w:name w:val="footnote text"/>
    <w:aliases w:val="5_GR,5_G,Footnotes,Note de bas de page2,fn,Fußnotentext RAXEN,Footnote Text Char2 Char,Footnote Text Char Char1 Char,Footnote Text Char2 Char Char Char,Footnote Text Char1 Char Char Char Char,footnotes,Tex,Char, Char"/>
    <w:basedOn w:val="a2"/>
    <w:link w:val="af1"/>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16"/>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2">
    <w:name w:val="Emphasis"/>
    <w:basedOn w:val="a3"/>
    <w:qFormat/>
    <w:rsid w:val="007E71C9"/>
    <w:rPr>
      <w:i/>
      <w:iCs/>
    </w:rPr>
  </w:style>
  <w:style w:type="paragraph" w:styleId="af3">
    <w:name w:val="Note Heading"/>
    <w:basedOn w:val="a2"/>
    <w:next w:val="a2"/>
    <w:semiHidden/>
    <w:rsid w:val="007E71C9"/>
  </w:style>
  <w:style w:type="table" w:styleId="af4">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5">
    <w:name w:val="Body Text"/>
    <w:basedOn w:val="a2"/>
    <w:semiHidden/>
    <w:rsid w:val="007E71C9"/>
  </w:style>
  <w:style w:type="paragraph" w:styleId="af6">
    <w:name w:val="Body Text First Indent"/>
    <w:basedOn w:val="af5"/>
    <w:semiHidden/>
    <w:rsid w:val="007E71C9"/>
    <w:pPr>
      <w:ind w:firstLine="210"/>
    </w:pPr>
  </w:style>
  <w:style w:type="paragraph" w:styleId="af7">
    <w:name w:val="Body Text Indent"/>
    <w:basedOn w:val="a2"/>
    <w:semiHidden/>
    <w:rsid w:val="007E71C9"/>
    <w:pPr>
      <w:ind w:left="283"/>
    </w:pPr>
  </w:style>
  <w:style w:type="paragraph" w:styleId="24">
    <w:name w:val="Body Text First Indent 2"/>
    <w:basedOn w:val="af7"/>
    <w:semiHidden/>
    <w:rsid w:val="007E71C9"/>
    <w:pPr>
      <w:ind w:firstLine="210"/>
    </w:pPr>
  </w:style>
  <w:style w:type="paragraph" w:styleId="a0">
    <w:name w:val="List Bullet"/>
    <w:basedOn w:val="a2"/>
    <w:semiHidden/>
    <w:rsid w:val="007E71C9"/>
    <w:pPr>
      <w:numPr>
        <w:numId w:val="3"/>
      </w:numPr>
    </w:pPr>
  </w:style>
  <w:style w:type="paragraph" w:styleId="20">
    <w:name w:val="List Bullet 2"/>
    <w:basedOn w:val="a2"/>
    <w:semiHidden/>
    <w:rsid w:val="007E71C9"/>
    <w:pPr>
      <w:numPr>
        <w:numId w:val="4"/>
      </w:numPr>
    </w:pPr>
  </w:style>
  <w:style w:type="paragraph" w:styleId="30">
    <w:name w:val="List Bullet 3"/>
    <w:basedOn w:val="a2"/>
    <w:semiHidden/>
    <w:rsid w:val="007E71C9"/>
    <w:pPr>
      <w:numPr>
        <w:numId w:val="5"/>
      </w:numPr>
    </w:pPr>
  </w:style>
  <w:style w:type="paragraph" w:styleId="40">
    <w:name w:val="List Bullet 4"/>
    <w:basedOn w:val="a2"/>
    <w:semiHidden/>
    <w:rsid w:val="007E71C9"/>
    <w:pPr>
      <w:numPr>
        <w:numId w:val="6"/>
      </w:numPr>
    </w:pPr>
  </w:style>
  <w:style w:type="paragraph" w:styleId="af8">
    <w:name w:val="Title"/>
    <w:basedOn w:val="a2"/>
    <w:qFormat/>
    <w:rsid w:val="007E71C9"/>
    <w:pPr>
      <w:spacing w:before="240" w:after="60"/>
      <w:jc w:val="center"/>
      <w:outlineLvl w:val="0"/>
    </w:pPr>
    <w:rPr>
      <w:rFonts w:ascii="Arial" w:hAnsi="Arial" w:cs="Arial"/>
      <w:b/>
      <w:bCs/>
      <w:kern w:val="28"/>
      <w:sz w:val="32"/>
      <w:szCs w:val="32"/>
    </w:rPr>
  </w:style>
  <w:style w:type="character" w:styleId="af9">
    <w:name w:val="line number"/>
    <w:basedOn w:val="a3"/>
    <w:semiHidden/>
    <w:rsid w:val="007E71C9"/>
  </w:style>
  <w:style w:type="paragraph" w:styleId="a">
    <w:name w:val="List Number"/>
    <w:basedOn w:val="a2"/>
    <w:semiHidden/>
    <w:rsid w:val="007E71C9"/>
    <w:pPr>
      <w:numPr>
        <w:numId w:val="8"/>
      </w:numPr>
    </w:pPr>
  </w:style>
  <w:style w:type="paragraph" w:styleId="2">
    <w:name w:val="List Number 2"/>
    <w:basedOn w:val="a2"/>
    <w:semiHidden/>
    <w:rsid w:val="007E71C9"/>
    <w:pPr>
      <w:numPr>
        <w:numId w:val="9"/>
      </w:numPr>
    </w:pPr>
  </w:style>
  <w:style w:type="paragraph" w:styleId="3">
    <w:name w:val="List Number 3"/>
    <w:basedOn w:val="a2"/>
    <w:semiHidden/>
    <w:rsid w:val="007E71C9"/>
    <w:pPr>
      <w:numPr>
        <w:numId w:val="10"/>
      </w:numPr>
    </w:pPr>
  </w:style>
  <w:style w:type="paragraph" w:styleId="4">
    <w:name w:val="List Number 4"/>
    <w:basedOn w:val="a2"/>
    <w:semiHidden/>
    <w:rsid w:val="007E71C9"/>
    <w:pPr>
      <w:numPr>
        <w:numId w:val="11"/>
      </w:numPr>
    </w:pPr>
  </w:style>
  <w:style w:type="paragraph" w:styleId="5">
    <w:name w:val="List Number 5"/>
    <w:basedOn w:val="a2"/>
    <w:semiHidden/>
    <w:rsid w:val="007E71C9"/>
    <w:pPr>
      <w:numPr>
        <w:numId w:val="12"/>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Normal (Web)"/>
    <w:basedOn w:val="a2"/>
    <w:semiHidden/>
    <w:rsid w:val="007E71C9"/>
    <w:rPr>
      <w:sz w:val="24"/>
    </w:rPr>
  </w:style>
  <w:style w:type="paragraph" w:styleId="afb">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c">
    <w:name w:val="Subtitle"/>
    <w:basedOn w:val="a2"/>
    <w:qFormat/>
    <w:rsid w:val="007E71C9"/>
    <w:pPr>
      <w:spacing w:after="60"/>
      <w:jc w:val="center"/>
      <w:outlineLvl w:val="1"/>
    </w:pPr>
    <w:rPr>
      <w:rFonts w:ascii="Arial" w:hAnsi="Arial" w:cs="Arial"/>
      <w:sz w:val="24"/>
    </w:rPr>
  </w:style>
  <w:style w:type="paragraph" w:styleId="afd">
    <w:name w:val="Signature"/>
    <w:basedOn w:val="a2"/>
    <w:semiHidden/>
    <w:rsid w:val="007E71C9"/>
    <w:pPr>
      <w:ind w:left="4252"/>
    </w:pPr>
  </w:style>
  <w:style w:type="paragraph" w:styleId="afe">
    <w:name w:val="Salutation"/>
    <w:basedOn w:val="a2"/>
    <w:next w:val="a2"/>
    <w:semiHidden/>
    <w:rsid w:val="007E71C9"/>
  </w:style>
  <w:style w:type="paragraph" w:styleId="aff">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0">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1">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3">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3"/>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4">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5">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6">
    <w:name w:val="Block Text"/>
    <w:basedOn w:val="a2"/>
    <w:semiHidden/>
    <w:rsid w:val="007E71C9"/>
    <w:pPr>
      <w:ind w:left="1440" w:right="1440"/>
    </w:pPr>
  </w:style>
  <w:style w:type="character" w:styleId="HTML8">
    <w:name w:val="HTML Cite"/>
    <w:basedOn w:val="a3"/>
    <w:semiHidden/>
    <w:rsid w:val="007E71C9"/>
    <w:rPr>
      <w:i/>
      <w:iCs/>
    </w:rPr>
  </w:style>
  <w:style w:type="paragraph" w:styleId="aff7">
    <w:name w:val="E-mail Signature"/>
    <w:basedOn w:val="a2"/>
    <w:semiHidden/>
    <w:rsid w:val="007E71C9"/>
  </w:style>
  <w:style w:type="character" w:styleId="aff8">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9">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a">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b">
    <w:name w:val="Plain Text"/>
    <w:basedOn w:val="a2"/>
    <w:semiHidden/>
    <w:rsid w:val="007E71C9"/>
    <w:rPr>
      <w:rFonts w:ascii="Courier New" w:hAnsi="Courier New" w:cs="Courier New"/>
    </w:rPr>
  </w:style>
  <w:style w:type="paragraph" w:styleId="affc">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d">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e">
    <w:name w:val="Balloon Text"/>
    <w:basedOn w:val="a2"/>
    <w:link w:val="afff"/>
    <w:rsid w:val="00E147C1"/>
    <w:pPr>
      <w:spacing w:line="240" w:lineRule="auto"/>
    </w:pPr>
    <w:rPr>
      <w:rFonts w:ascii="Tahoma" w:hAnsi="Tahoma" w:cs="Tahoma"/>
      <w:sz w:val="16"/>
      <w:szCs w:val="16"/>
    </w:rPr>
  </w:style>
  <w:style w:type="character" w:customStyle="1" w:styleId="afff">
    <w:name w:val="Текст выноски Знак"/>
    <w:basedOn w:val="a3"/>
    <w:link w:val="affe"/>
    <w:rsid w:val="00E147C1"/>
    <w:rPr>
      <w:rFonts w:ascii="Tahoma" w:hAnsi="Tahoma" w:cs="Tahoma"/>
      <w:spacing w:val="4"/>
      <w:w w:val="103"/>
      <w:kern w:val="14"/>
      <w:sz w:val="16"/>
      <w:szCs w:val="16"/>
      <w:lang w:eastAsia="en-US"/>
    </w:rPr>
  </w:style>
  <w:style w:type="paragraph" w:customStyle="1" w:styleId="SingleTxtG">
    <w:name w:val="_ Single Txt_G"/>
    <w:basedOn w:val="a2"/>
    <w:rsid w:val="008E0BD4"/>
    <w:pPr>
      <w:suppressAutoHyphens/>
      <w:spacing w:after="120"/>
      <w:ind w:left="1134" w:right="1134"/>
      <w:jc w:val="both"/>
    </w:pPr>
    <w:rPr>
      <w:spacing w:val="0"/>
      <w:w w:val="100"/>
      <w:kern w:val="0"/>
      <w:lang w:val="en-GB"/>
    </w:rPr>
  </w:style>
  <w:style w:type="paragraph" w:customStyle="1" w:styleId="HMG">
    <w:name w:val="_ H __M_G"/>
    <w:basedOn w:val="a2"/>
    <w:next w:val="a2"/>
    <w:rsid w:val="008E0BD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rsid w:val="008E0BD4"/>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8E0BD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8E0BD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8E0BD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8E0BD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8E0BD4"/>
    <w:pPr>
      <w:numPr>
        <w:numId w:val="17"/>
      </w:numPr>
      <w:suppressAutoHyphens/>
      <w:spacing w:after="120"/>
      <w:ind w:right="1134"/>
      <w:jc w:val="both"/>
    </w:pPr>
    <w:rPr>
      <w:spacing w:val="0"/>
      <w:w w:val="100"/>
      <w:kern w:val="0"/>
      <w:lang w:val="en-GB"/>
    </w:rPr>
  </w:style>
  <w:style w:type="paragraph" w:customStyle="1" w:styleId="Bullet2G">
    <w:name w:val="_Bullet 2_G"/>
    <w:basedOn w:val="a2"/>
    <w:rsid w:val="008E0BD4"/>
    <w:pPr>
      <w:numPr>
        <w:numId w:val="18"/>
      </w:numPr>
      <w:suppressAutoHyphens/>
      <w:spacing w:after="120"/>
      <w:ind w:right="1134"/>
      <w:jc w:val="both"/>
    </w:pPr>
    <w:rPr>
      <w:spacing w:val="0"/>
      <w:w w:val="100"/>
      <w:kern w:val="0"/>
      <w:lang w:val="en-GB"/>
    </w:rPr>
  </w:style>
  <w:style w:type="paragraph" w:customStyle="1" w:styleId="H1G">
    <w:name w:val="_ H_1_G"/>
    <w:basedOn w:val="a2"/>
    <w:next w:val="a2"/>
    <w:rsid w:val="008E0BD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8E0BD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8E0BD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8E0BD4"/>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ff0">
    <w:name w:val="caption"/>
    <w:basedOn w:val="a2"/>
    <w:next w:val="a2"/>
    <w:qFormat/>
    <w:rsid w:val="008E0BD4"/>
    <w:pPr>
      <w:suppressAutoHyphens/>
      <w:spacing w:before="120"/>
    </w:pPr>
    <w:rPr>
      <w:b/>
      <w:spacing w:val="0"/>
      <w:w w:val="100"/>
      <w:kern w:val="0"/>
      <w:sz w:val="24"/>
      <w:szCs w:val="24"/>
      <w:lang w:val="en-GB"/>
    </w:rPr>
  </w:style>
  <w:style w:type="character" w:customStyle="1" w:styleId="aa">
    <w:name w:val="Верхний колонтитул Знак"/>
    <w:aliases w:val="6_GR Знак,6_G Знак"/>
    <w:link w:val="a9"/>
    <w:uiPriority w:val="99"/>
    <w:rsid w:val="008E0BD4"/>
    <w:rPr>
      <w:b/>
      <w:sz w:val="18"/>
      <w:lang w:val="en-GB"/>
    </w:rPr>
  </w:style>
  <w:style w:type="paragraph" w:customStyle="1" w:styleId="ColorfulList-Accent11">
    <w:name w:val="Colorful List - Accent 11"/>
    <w:basedOn w:val="a2"/>
    <w:uiPriority w:val="34"/>
    <w:qFormat/>
    <w:rsid w:val="008E0BD4"/>
    <w:pPr>
      <w:spacing w:after="200" w:line="276" w:lineRule="auto"/>
      <w:ind w:left="720"/>
      <w:contextualSpacing/>
    </w:pPr>
    <w:rPr>
      <w:rFonts w:ascii="Calibri" w:hAnsi="Calibri"/>
      <w:spacing w:val="0"/>
      <w:w w:val="100"/>
      <w:kern w:val="0"/>
      <w:sz w:val="22"/>
      <w:szCs w:val="22"/>
      <w:lang w:val="en-GB" w:eastAsia="en-GB"/>
    </w:rPr>
  </w:style>
  <w:style w:type="character" w:customStyle="1" w:styleId="af1">
    <w:name w:val="Текст сноски Знак"/>
    <w:aliases w:val="5_GR Знак,5_G Знак,Footnotes Знак,Note de bas de page2 Знак,fn Знак,Fußnotentext RAXEN Знак,Footnote Text Char2 Char Знак,Footnote Text Char Char1 Char Знак,Footnote Text Char2 Char Char Char Знак,footnotes Знак,Tex Знак,Char Знак"/>
    <w:link w:val="af0"/>
    <w:rsid w:val="008E0BD4"/>
    <w:rPr>
      <w:spacing w:val="5"/>
      <w:w w:val="104"/>
      <w:kern w:val="14"/>
      <w:sz w:val="18"/>
      <w:lang w:val="en-GB"/>
    </w:rPr>
  </w:style>
  <w:style w:type="paragraph" w:styleId="afff1">
    <w:name w:val="annotation text"/>
    <w:basedOn w:val="a2"/>
    <w:link w:val="afff2"/>
    <w:uiPriority w:val="99"/>
    <w:rsid w:val="008E0BD4"/>
    <w:pPr>
      <w:suppressAutoHyphens/>
    </w:pPr>
    <w:rPr>
      <w:spacing w:val="0"/>
      <w:w w:val="100"/>
      <w:kern w:val="0"/>
      <w:lang w:val="x-none"/>
    </w:rPr>
  </w:style>
  <w:style w:type="character" w:customStyle="1" w:styleId="afff2">
    <w:name w:val="Текст примечания Знак"/>
    <w:basedOn w:val="a3"/>
    <w:link w:val="afff1"/>
    <w:uiPriority w:val="99"/>
    <w:rsid w:val="008E0BD4"/>
    <w:rPr>
      <w:lang w:val="x-none" w:eastAsia="en-US"/>
    </w:rPr>
  </w:style>
  <w:style w:type="paragraph" w:styleId="afff3">
    <w:name w:val="annotation subject"/>
    <w:basedOn w:val="afff1"/>
    <w:next w:val="afff1"/>
    <w:link w:val="afff4"/>
    <w:rsid w:val="008E0BD4"/>
    <w:rPr>
      <w:b/>
      <w:bCs/>
    </w:rPr>
  </w:style>
  <w:style w:type="character" w:customStyle="1" w:styleId="afff4">
    <w:name w:val="Тема примечания Знак"/>
    <w:basedOn w:val="afff2"/>
    <w:link w:val="afff3"/>
    <w:rsid w:val="008E0BD4"/>
    <w:rPr>
      <w:b/>
      <w:bCs/>
      <w:lang w:val="x-none" w:eastAsia="en-US"/>
    </w:rPr>
  </w:style>
  <w:style w:type="paragraph" w:styleId="afff5">
    <w:name w:val="List Paragraph"/>
    <w:basedOn w:val="a2"/>
    <w:uiPriority w:val="34"/>
    <w:qFormat/>
    <w:rsid w:val="008E0BD4"/>
    <w:pPr>
      <w:spacing w:after="200" w:line="276" w:lineRule="auto"/>
      <w:ind w:left="720"/>
      <w:contextualSpacing/>
    </w:pPr>
    <w:rPr>
      <w:rFonts w:ascii="Calibri" w:hAnsi="Calibri"/>
      <w:spacing w:val="0"/>
      <w:w w:val="100"/>
      <w:kern w:val="0"/>
      <w:sz w:val="22"/>
      <w:szCs w:val="22"/>
      <w:lang w:val="en-GB" w:eastAsia="en-GB"/>
    </w:rPr>
  </w:style>
  <w:style w:type="paragraph" w:styleId="afff6">
    <w:name w:val="Revision"/>
    <w:hidden/>
    <w:uiPriority w:val="99"/>
    <w:semiHidden/>
    <w:rsid w:val="008E0BD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29E760-21D8-481E-8625-DB5A9DD8BC1F}"/>
</file>

<file path=customXml/itemProps2.xml><?xml version="1.0" encoding="utf-8"?>
<ds:datastoreItem xmlns:ds="http://schemas.openxmlformats.org/officeDocument/2006/customXml" ds:itemID="{F4EBF424-3263-446A-9A0F-DB8A216758A0}"/>
</file>

<file path=customXml/itemProps3.xml><?xml version="1.0" encoding="utf-8"?>
<ds:datastoreItem xmlns:ds="http://schemas.openxmlformats.org/officeDocument/2006/customXml" ds:itemID="{CE638BC5-0252-4ADC-8285-12D346C06706}"/>
</file>

<file path=docProps/app.xml><?xml version="1.0" encoding="utf-8"?>
<Properties xmlns="http://schemas.openxmlformats.org/officeDocument/2006/extended-properties" xmlns:vt="http://schemas.openxmlformats.org/officeDocument/2006/docPropsVTypes">
  <Template>A HRC.dotm</Template>
  <TotalTime>2</TotalTime>
  <Pages>22</Pages>
  <Words>9911</Words>
  <Characters>55803</Characters>
  <Application>Microsoft Office Word</Application>
  <DocSecurity>0</DocSecurity>
  <Lines>914</Lines>
  <Paragraphs>245</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Identifying emerging approaches and lessons in Russian</dc:title>
  <dc:creator>Анна Благодатских</dc:creator>
  <cp:lastModifiedBy>Анна Благодатских</cp:lastModifiedBy>
  <cp:revision>3</cp:revision>
  <cp:lastPrinted>2015-04-14T07:59:00Z</cp:lastPrinted>
  <dcterms:created xsi:type="dcterms:W3CDTF">2015-04-14T07:59:00Z</dcterms:created>
  <dcterms:modified xsi:type="dcterms:W3CDTF">2015-04-14T08:01:00Z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