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D13AC" w:rsidTr="00E806EE">
        <w:trPr>
          <w:trHeight w:val="851"/>
        </w:trPr>
        <w:tc>
          <w:tcPr>
            <w:tcW w:w="1259" w:type="dxa"/>
            <w:tcBorders>
              <w:top w:val="nil"/>
              <w:left w:val="nil"/>
              <w:bottom w:val="single" w:sz="4" w:space="0" w:color="auto"/>
              <w:right w:val="nil"/>
            </w:tcBorders>
          </w:tcPr>
          <w:p w:rsidR="00446DE4" w:rsidRPr="00DD13AC"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DD13AC" w:rsidRDefault="00B3317B" w:rsidP="0022130F">
            <w:pPr>
              <w:spacing w:after="80" w:line="300" w:lineRule="exact"/>
              <w:rPr>
                <w:sz w:val="28"/>
                <w:szCs w:val="28"/>
              </w:rPr>
            </w:pPr>
            <w:r w:rsidRPr="00DD13AC">
              <w:rPr>
                <w:sz w:val="28"/>
                <w:szCs w:val="28"/>
              </w:rPr>
              <w:t>United Nations</w:t>
            </w:r>
          </w:p>
        </w:tc>
        <w:tc>
          <w:tcPr>
            <w:tcW w:w="6144" w:type="dxa"/>
            <w:gridSpan w:val="2"/>
            <w:tcBorders>
              <w:top w:val="nil"/>
              <w:left w:val="nil"/>
              <w:bottom w:val="single" w:sz="4" w:space="0" w:color="auto"/>
              <w:right w:val="nil"/>
            </w:tcBorders>
            <w:vAlign w:val="bottom"/>
          </w:tcPr>
          <w:p w:rsidR="00446DE4" w:rsidRPr="00DD13AC" w:rsidRDefault="000315ED" w:rsidP="000315ED">
            <w:pPr>
              <w:jc w:val="right"/>
            </w:pPr>
            <w:r w:rsidRPr="00DD13AC">
              <w:rPr>
                <w:sz w:val="40"/>
              </w:rPr>
              <w:t>A</w:t>
            </w:r>
            <w:r w:rsidRPr="00DD13AC">
              <w:t>/HRC/29/28/Add.3</w:t>
            </w:r>
          </w:p>
        </w:tc>
      </w:tr>
      <w:tr w:rsidR="003107FA" w:rsidRPr="00DD13AC" w:rsidTr="00E806EE">
        <w:trPr>
          <w:trHeight w:val="2835"/>
        </w:trPr>
        <w:tc>
          <w:tcPr>
            <w:tcW w:w="1259" w:type="dxa"/>
            <w:tcBorders>
              <w:top w:val="single" w:sz="4" w:space="0" w:color="auto"/>
              <w:left w:val="nil"/>
              <w:bottom w:val="single" w:sz="12" w:space="0" w:color="auto"/>
              <w:right w:val="nil"/>
            </w:tcBorders>
          </w:tcPr>
          <w:p w:rsidR="003107FA" w:rsidRPr="00DD13AC" w:rsidRDefault="00AE7413" w:rsidP="00956D9B">
            <w:pPr>
              <w:spacing w:before="120"/>
              <w:jc w:val="center"/>
            </w:pPr>
            <w:r>
              <w:rPr>
                <w:noProof/>
                <w:lang w:eastAsia="zh-CN"/>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DD13AC" w:rsidRDefault="00B3317B" w:rsidP="00EF5BDB">
            <w:pPr>
              <w:spacing w:before="120" w:line="420" w:lineRule="exact"/>
              <w:rPr>
                <w:b/>
                <w:sz w:val="40"/>
                <w:szCs w:val="40"/>
              </w:rPr>
            </w:pPr>
            <w:r w:rsidRPr="00DD13AC">
              <w:rPr>
                <w:b/>
                <w:sz w:val="40"/>
                <w:szCs w:val="40"/>
              </w:rPr>
              <w:t>General Assembly</w:t>
            </w:r>
          </w:p>
        </w:tc>
        <w:tc>
          <w:tcPr>
            <w:tcW w:w="2930" w:type="dxa"/>
            <w:tcBorders>
              <w:top w:val="single" w:sz="4" w:space="0" w:color="auto"/>
              <w:left w:val="nil"/>
              <w:bottom w:val="single" w:sz="12" w:space="0" w:color="auto"/>
              <w:right w:val="nil"/>
            </w:tcBorders>
          </w:tcPr>
          <w:p w:rsidR="003107FA" w:rsidRPr="00DD13AC" w:rsidRDefault="000315ED" w:rsidP="000315ED">
            <w:pPr>
              <w:spacing w:before="240" w:line="240" w:lineRule="exact"/>
            </w:pPr>
            <w:r w:rsidRPr="00DD13AC">
              <w:t>Distr.: General</w:t>
            </w:r>
          </w:p>
          <w:p w:rsidR="000315ED" w:rsidRPr="00DD13AC" w:rsidRDefault="00C21E0C" w:rsidP="00F142C6">
            <w:pPr>
              <w:spacing w:line="240" w:lineRule="exact"/>
            </w:pPr>
            <w:r>
              <w:t>2</w:t>
            </w:r>
            <w:r w:rsidR="00F57EE3" w:rsidRPr="00DD13AC">
              <w:t xml:space="preserve"> </w:t>
            </w:r>
            <w:r w:rsidR="00F142C6" w:rsidRPr="00DD13AC">
              <w:t>April</w:t>
            </w:r>
            <w:r w:rsidR="000315ED" w:rsidRPr="00DD13AC">
              <w:t xml:space="preserve"> 2015</w:t>
            </w:r>
          </w:p>
          <w:p w:rsidR="000315ED" w:rsidRPr="00DD13AC" w:rsidRDefault="000315ED" w:rsidP="000315ED">
            <w:pPr>
              <w:spacing w:line="240" w:lineRule="exact"/>
            </w:pPr>
          </w:p>
          <w:p w:rsidR="000315ED" w:rsidRPr="00DD13AC" w:rsidRDefault="000315ED" w:rsidP="000315ED">
            <w:pPr>
              <w:spacing w:line="240" w:lineRule="exact"/>
            </w:pPr>
            <w:r w:rsidRPr="00DD13AC">
              <w:t>Original: English</w:t>
            </w:r>
          </w:p>
          <w:p w:rsidR="00DD19A1" w:rsidRPr="00DD13AC" w:rsidRDefault="00DD19A1" w:rsidP="008E7818">
            <w:pPr>
              <w:spacing w:line="240" w:lineRule="exact"/>
            </w:pPr>
          </w:p>
        </w:tc>
      </w:tr>
    </w:tbl>
    <w:p w:rsidR="007701CE" w:rsidRPr="00DD13AC" w:rsidRDefault="007701CE" w:rsidP="007701CE">
      <w:pPr>
        <w:pStyle w:val="Caption"/>
      </w:pPr>
      <w:r w:rsidRPr="00DD13AC">
        <w:t>Human Rights Council</w:t>
      </w:r>
    </w:p>
    <w:p w:rsidR="007701CE" w:rsidRPr="00DD13AC" w:rsidRDefault="007701CE" w:rsidP="007701CE">
      <w:pPr>
        <w:rPr>
          <w:b/>
        </w:rPr>
      </w:pPr>
      <w:r w:rsidRPr="00DD13AC">
        <w:rPr>
          <w:b/>
        </w:rPr>
        <w:t>Twenty-ninth session</w:t>
      </w:r>
      <w:bookmarkStart w:id="0" w:name="_GoBack"/>
      <w:bookmarkEnd w:id="0"/>
    </w:p>
    <w:p w:rsidR="007701CE" w:rsidRPr="00DD13AC" w:rsidRDefault="007701CE" w:rsidP="007701CE">
      <w:r w:rsidRPr="00DD13AC">
        <w:t xml:space="preserve">Agenda item 3 </w:t>
      </w:r>
    </w:p>
    <w:p w:rsidR="007701CE" w:rsidRPr="00DD13AC" w:rsidRDefault="007701CE" w:rsidP="007701CE">
      <w:pPr>
        <w:rPr>
          <w:b/>
          <w:bCs/>
        </w:rPr>
      </w:pPr>
      <w:r w:rsidRPr="00DD13AC">
        <w:rPr>
          <w:b/>
          <w:bCs/>
        </w:rPr>
        <w:t xml:space="preserve">Promotion and protection of all human rights, civil, </w:t>
      </w:r>
      <w:r w:rsidRPr="00DD13AC">
        <w:rPr>
          <w:b/>
          <w:bCs/>
        </w:rPr>
        <w:br/>
        <w:t xml:space="preserve">political, economic, social and cultural rights, </w:t>
      </w:r>
      <w:r w:rsidRPr="00DD13AC">
        <w:rPr>
          <w:b/>
          <w:bCs/>
        </w:rPr>
        <w:br/>
        <w:t>including the right to development</w:t>
      </w:r>
    </w:p>
    <w:p w:rsidR="007701CE" w:rsidRPr="00DD13AC" w:rsidRDefault="007701CE" w:rsidP="00DB1ED9">
      <w:pPr>
        <w:pStyle w:val="HChG"/>
      </w:pPr>
      <w:r w:rsidRPr="00DD13AC">
        <w:tab/>
      </w:r>
      <w:r w:rsidRPr="00DD13AC">
        <w:tab/>
        <w:t>Report of the Working Group on the issue of human rights and transnational corporations and other business enterprises</w:t>
      </w:r>
      <w:r w:rsidR="005378C6" w:rsidRPr="00C22800">
        <w:rPr>
          <w:rStyle w:val="FootnoteReference"/>
          <w:sz w:val="20"/>
        </w:rPr>
        <w:footnoteReference w:customMarkFollows="1" w:id="2"/>
        <w:t>*</w:t>
      </w:r>
    </w:p>
    <w:p w:rsidR="007701CE" w:rsidRPr="00DD13AC" w:rsidRDefault="007701CE" w:rsidP="00DB1ED9">
      <w:pPr>
        <w:pStyle w:val="H23G"/>
      </w:pPr>
      <w:r w:rsidRPr="00DD13AC">
        <w:tab/>
      </w:r>
      <w:r w:rsidRPr="00DD13AC">
        <w:tab/>
        <w:t>Addendum</w:t>
      </w:r>
    </w:p>
    <w:p w:rsidR="007701CE" w:rsidRPr="00514B92" w:rsidRDefault="007701CE" w:rsidP="00514B92">
      <w:pPr>
        <w:pStyle w:val="H1G"/>
      </w:pPr>
      <w:r w:rsidRPr="00DD13AC">
        <w:tab/>
      </w:r>
      <w:r w:rsidRPr="00DD13AC">
        <w:tab/>
      </w:r>
      <w:r w:rsidR="005378C6" w:rsidRPr="00DD13AC">
        <w:t>Identifying emerging approaches and lessons learned in c</w:t>
      </w:r>
      <w:r w:rsidRPr="00DD13AC">
        <w:t>orporate respect for human rights</w:t>
      </w:r>
      <w:r w:rsidR="00C02714" w:rsidRPr="00DD13AC">
        <w:t xml:space="preserve">: </w:t>
      </w:r>
      <w:r w:rsidR="005378C6" w:rsidRPr="00DD13AC">
        <w:t>r</w:t>
      </w:r>
      <w:r w:rsidRPr="00DD13AC">
        <w:t>eflections from discussions held at the 2014 Forum on Business and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02714" w:rsidRPr="00DD13AC" w:rsidTr="00F57EE3">
        <w:trPr>
          <w:jc w:val="center"/>
        </w:trPr>
        <w:tc>
          <w:tcPr>
            <w:tcW w:w="9637" w:type="dxa"/>
            <w:tcBorders>
              <w:bottom w:val="nil"/>
            </w:tcBorders>
            <w:shd w:val="clear" w:color="auto" w:fill="auto"/>
          </w:tcPr>
          <w:p w:rsidR="00C02714" w:rsidRPr="00DD13AC" w:rsidRDefault="00C02714" w:rsidP="002E5ABB">
            <w:pPr>
              <w:spacing w:before="240" w:after="120"/>
              <w:ind w:left="255"/>
              <w:rPr>
                <w:i/>
                <w:sz w:val="24"/>
              </w:rPr>
            </w:pPr>
            <w:r w:rsidRPr="00DD13AC">
              <w:rPr>
                <w:i/>
                <w:sz w:val="24"/>
              </w:rPr>
              <w:t>Summary</w:t>
            </w:r>
          </w:p>
        </w:tc>
      </w:tr>
      <w:tr w:rsidR="00293AB1" w:rsidRPr="00DD13AC" w:rsidTr="00F57EE3">
        <w:trPr>
          <w:jc w:val="center"/>
        </w:trPr>
        <w:tc>
          <w:tcPr>
            <w:tcW w:w="9637" w:type="dxa"/>
            <w:tcBorders>
              <w:top w:val="nil"/>
              <w:left w:val="single" w:sz="4" w:space="0" w:color="auto"/>
              <w:bottom w:val="nil"/>
              <w:right w:val="single" w:sz="4" w:space="0" w:color="auto"/>
            </w:tcBorders>
            <w:shd w:val="clear" w:color="auto" w:fill="auto"/>
          </w:tcPr>
          <w:p w:rsidR="00293AB1" w:rsidRPr="00DD13AC" w:rsidRDefault="00293AB1" w:rsidP="00C22800">
            <w:pPr>
              <w:pStyle w:val="SingleTxtG"/>
              <w:ind w:firstLine="567"/>
            </w:pPr>
            <w:r w:rsidRPr="00DD13AC">
              <w:t xml:space="preserve">The present report, </w:t>
            </w:r>
            <w:r w:rsidRPr="00DD13AC">
              <w:rPr>
                <w:color w:val="000000"/>
              </w:rPr>
              <w:t>submitted pursuant to Human Rights Council resolution 26/22,</w:t>
            </w:r>
            <w:r w:rsidRPr="00DD13AC">
              <w:t xml:space="preserve"> considers the kind</w:t>
            </w:r>
            <w:r w:rsidR="00B51CE2">
              <w:t>s</w:t>
            </w:r>
            <w:r w:rsidRPr="00DD13AC">
              <w:t xml:space="preserve"> of action that business enterprises have taken to meet th</w:t>
            </w:r>
            <w:r w:rsidR="00DD13AC">
              <w:t xml:space="preserve">eir </w:t>
            </w:r>
            <w:r w:rsidR="00B51CE2">
              <w:t xml:space="preserve">corporate </w:t>
            </w:r>
            <w:r w:rsidRPr="00DD13AC">
              <w:t>responsibility</w:t>
            </w:r>
            <w:r w:rsidR="003E0DC7">
              <w:t xml:space="preserve"> to respect human rights</w:t>
            </w:r>
            <w:r w:rsidRPr="00DD13AC">
              <w:t xml:space="preserve">, based on </w:t>
            </w:r>
            <w:r w:rsidR="003E0DC7">
              <w:t xml:space="preserve">the </w:t>
            </w:r>
            <w:r w:rsidRPr="00DD13AC">
              <w:t>discussions held during the third annual Forum on Business and Human Rights</w:t>
            </w:r>
            <w:r w:rsidR="003E0DC7">
              <w:t>, which took place from</w:t>
            </w:r>
            <w:r w:rsidRPr="00DD13AC">
              <w:t xml:space="preserve"> 1</w:t>
            </w:r>
            <w:r w:rsidR="003E0DC7">
              <w:t xml:space="preserve"> to </w:t>
            </w:r>
            <w:r w:rsidRPr="00DD13AC">
              <w:t xml:space="preserve">3 December 2014. </w:t>
            </w:r>
            <w:r w:rsidR="003E0DC7">
              <w:t>The report</w:t>
            </w:r>
            <w:r w:rsidRPr="00DD13AC">
              <w:t xml:space="preserve"> focuses on presentations and key lessons from </w:t>
            </w:r>
            <w:r w:rsidR="00B51CE2">
              <w:t>the</w:t>
            </w:r>
            <w:r w:rsidRPr="00DD13AC">
              <w:t xml:space="preserve"> thematic session entitled “Respect in practice</w:t>
            </w:r>
            <w:r w:rsidR="00606310">
              <w:t>:</w:t>
            </w:r>
            <w:r w:rsidRPr="00DD13AC">
              <w:t xml:space="preserve"> progress and challenges in implementing the corporate responsibility to respect”, </w:t>
            </w:r>
            <w:r w:rsidR="006524C7">
              <w:t xml:space="preserve">which was </w:t>
            </w:r>
            <w:r w:rsidRPr="00DD13AC">
              <w:t>convened by the Working Group on the issue of human rights and transnational corporations and other business enterprises</w:t>
            </w:r>
            <w:r w:rsidR="00075E87">
              <w:t>,</w:t>
            </w:r>
            <w:r w:rsidRPr="00DD13AC">
              <w:t xml:space="preserve"> and organized </w:t>
            </w:r>
            <w:r w:rsidR="00075E87">
              <w:t xml:space="preserve">jointly </w:t>
            </w:r>
            <w:r w:rsidRPr="00DD13AC">
              <w:t xml:space="preserve">with the Global Business Initiative on Human Rights and the Business </w:t>
            </w:r>
            <w:r w:rsidR="00606310">
              <w:t>and</w:t>
            </w:r>
            <w:r w:rsidRPr="00DD13AC">
              <w:t xml:space="preserve"> Human Rights Resource Centre. The present document is based on the session report prepared by </w:t>
            </w:r>
            <w:r w:rsidR="006524C7">
              <w:t>those two organizations</w:t>
            </w:r>
            <w:r w:rsidRPr="00DD13AC">
              <w:t xml:space="preserve"> in their capacity as </w:t>
            </w:r>
            <w:r w:rsidR="006524C7">
              <w:t xml:space="preserve">joint </w:t>
            </w:r>
            <w:r w:rsidRPr="00DD13AC">
              <w:t>organizers. In the concluding section, the Working Group highlights observations and recommendations for the consideration of stakeholders.</w:t>
            </w:r>
          </w:p>
        </w:tc>
      </w:tr>
      <w:tr w:rsidR="00293AB1" w:rsidRPr="00DD13AC" w:rsidTr="00F57EE3">
        <w:trPr>
          <w:jc w:val="center"/>
        </w:trPr>
        <w:tc>
          <w:tcPr>
            <w:tcW w:w="9637" w:type="dxa"/>
            <w:tcBorders>
              <w:top w:val="nil"/>
              <w:left w:val="single" w:sz="4" w:space="0" w:color="auto"/>
              <w:bottom w:val="nil"/>
              <w:right w:val="single" w:sz="4" w:space="0" w:color="auto"/>
            </w:tcBorders>
            <w:shd w:val="clear" w:color="auto" w:fill="auto"/>
          </w:tcPr>
          <w:p w:rsidR="00293AB1" w:rsidRPr="00DD13AC" w:rsidRDefault="00AE7413" w:rsidP="00075E87">
            <w:pPr>
              <w:pStyle w:val="SingleTxtG"/>
              <w:ind w:firstLine="567"/>
            </w:pPr>
            <w:r>
              <w:rPr>
                <w:noProof/>
                <w:lang w:eastAsia="zh-CN"/>
              </w:rPr>
              <w:drawing>
                <wp:anchor distT="0" distB="0" distL="114300" distR="114300" simplePos="0" relativeHeight="251658240" behindDoc="0" locked="0" layoutInCell="1" allowOverlap="0">
                  <wp:simplePos x="0" y="0"/>
                  <wp:positionH relativeFrom="margin">
                    <wp:posOffset>5456555</wp:posOffset>
                  </wp:positionH>
                  <wp:positionV relativeFrom="margin">
                    <wp:posOffset>1040765</wp:posOffset>
                  </wp:positionV>
                  <wp:extent cx="638175" cy="638175"/>
                  <wp:effectExtent l="0" t="0" r="9525" b="9525"/>
                  <wp:wrapNone/>
                  <wp:docPr id="2" name="Picture 2" descr="http://undocs.org/m2/QRCode.ashx?DS=A/HRC/29/28/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8/Add.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AB1" w:rsidRPr="00DD13AC">
              <w:t xml:space="preserve">The purpose of the thematic session was to enable a </w:t>
            </w:r>
            <w:r w:rsidR="006524C7">
              <w:t xml:space="preserve">meaningful </w:t>
            </w:r>
            <w:r w:rsidR="00293AB1" w:rsidRPr="00DD13AC">
              <w:t xml:space="preserve">multi-stakeholder dialogue about good practices, lessons, challenges, shortfalls, innovations and complexities </w:t>
            </w:r>
            <w:r w:rsidR="00293AB1" w:rsidRPr="00DD13AC">
              <w:lastRenderedPageBreak/>
              <w:t xml:space="preserve">relating to the second pillar of the Guiding Principles </w:t>
            </w:r>
            <w:r w:rsidR="006524C7">
              <w:t>on Business and Human Rights</w:t>
            </w:r>
            <w:r w:rsidR="00514B92">
              <w:t xml:space="preserve">, </w:t>
            </w:r>
            <w:r w:rsidR="00075E87">
              <w:t xml:space="preserve">which </w:t>
            </w:r>
            <w:r w:rsidR="00514B92">
              <w:t>concern</w:t>
            </w:r>
            <w:r w:rsidR="00075E87">
              <w:t>s</w:t>
            </w:r>
            <w:r w:rsidR="00293AB1" w:rsidRPr="00DD13AC">
              <w:t xml:space="preserve"> the corporate responsibility to respect human rights. </w:t>
            </w:r>
          </w:p>
        </w:tc>
      </w:tr>
      <w:tr w:rsidR="00293AB1" w:rsidRPr="00DD13AC" w:rsidTr="00F57EE3">
        <w:trPr>
          <w:jc w:val="center"/>
        </w:trPr>
        <w:tc>
          <w:tcPr>
            <w:tcW w:w="9637" w:type="dxa"/>
            <w:tcBorders>
              <w:top w:val="nil"/>
              <w:left w:val="single" w:sz="4" w:space="0" w:color="auto"/>
              <w:bottom w:val="nil"/>
              <w:right w:val="single" w:sz="4" w:space="0" w:color="auto"/>
            </w:tcBorders>
            <w:shd w:val="clear" w:color="auto" w:fill="auto"/>
          </w:tcPr>
          <w:p w:rsidR="00293AB1" w:rsidRPr="00DD13AC" w:rsidRDefault="00293AB1" w:rsidP="00075E87">
            <w:pPr>
              <w:pStyle w:val="SingleTxtG"/>
              <w:keepNext/>
              <w:ind w:firstLine="567"/>
            </w:pPr>
            <w:r w:rsidRPr="00DD13AC">
              <w:lastRenderedPageBreak/>
              <w:t>The present report provides an overview of the presentations and discussions</w:t>
            </w:r>
            <w:r w:rsidR="007252B9">
              <w:t>,</w:t>
            </w:r>
            <w:r w:rsidRPr="00DD13AC">
              <w:t xml:space="preserve"> as well as some key lessons and insights from th</w:t>
            </w:r>
            <w:r w:rsidR="00075E87">
              <w:t>e</w:t>
            </w:r>
            <w:r w:rsidRPr="00DD13AC">
              <w:t xml:space="preserve"> session. The aim is to make available </w:t>
            </w:r>
            <w:r w:rsidR="007252B9" w:rsidRPr="00DD13AC">
              <w:t xml:space="preserve">to a wider audience </w:t>
            </w:r>
            <w:r w:rsidRPr="00DD13AC">
              <w:t>the concrete experiences highlighted and lessons identified at the Forum with a view to building common knowledge and supporting further efforts to implement the Guiding Principles.</w:t>
            </w:r>
          </w:p>
        </w:tc>
      </w:tr>
      <w:tr w:rsidR="00293AB1" w:rsidRPr="00DD13AC" w:rsidTr="00F57EE3">
        <w:trPr>
          <w:jc w:val="center"/>
        </w:trPr>
        <w:tc>
          <w:tcPr>
            <w:tcW w:w="9637" w:type="dxa"/>
            <w:tcBorders>
              <w:top w:val="nil"/>
              <w:left w:val="single" w:sz="4" w:space="0" w:color="auto"/>
              <w:bottom w:val="nil"/>
              <w:right w:val="single" w:sz="4" w:space="0" w:color="auto"/>
            </w:tcBorders>
            <w:shd w:val="clear" w:color="auto" w:fill="auto"/>
          </w:tcPr>
          <w:p w:rsidR="00293AB1" w:rsidRPr="00DD13AC" w:rsidRDefault="00A7254C" w:rsidP="00E72A18">
            <w:pPr>
              <w:pStyle w:val="SingleTxtG"/>
              <w:ind w:firstLine="567"/>
            </w:pPr>
            <w:r>
              <w:t>One</w:t>
            </w:r>
            <w:r w:rsidR="00293AB1" w:rsidRPr="00DD13AC">
              <w:t xml:space="preserve"> part of the session was entitled “Embedding the Guiding Principles in </w:t>
            </w:r>
            <w:r w:rsidR="00E72A18">
              <w:t xml:space="preserve">company policies, </w:t>
            </w:r>
            <w:r w:rsidR="00E72A18" w:rsidRPr="00DD13AC">
              <w:t>processes</w:t>
            </w:r>
            <w:r w:rsidR="00E72A18">
              <w:t xml:space="preserve"> </w:t>
            </w:r>
            <w:r w:rsidR="00E72A18" w:rsidRPr="00DD13AC">
              <w:t>and</w:t>
            </w:r>
            <w:r w:rsidR="00E72A18">
              <w:t xml:space="preserve"> </w:t>
            </w:r>
            <w:r w:rsidR="00293AB1" w:rsidRPr="00DD13AC">
              <w:t xml:space="preserve">decision-making”. </w:t>
            </w:r>
            <w:r w:rsidR="007252B9">
              <w:t>S</w:t>
            </w:r>
            <w:r w:rsidR="00293AB1" w:rsidRPr="00DD13AC">
              <w:t xml:space="preserve">everal business representatives shared the experience </w:t>
            </w:r>
            <w:r w:rsidR="00075E87">
              <w:t xml:space="preserve">of, </w:t>
            </w:r>
            <w:r w:rsidR="00293AB1" w:rsidRPr="00DD13AC">
              <w:t>and lessons f</w:t>
            </w:r>
            <w:r w:rsidR="00075E87">
              <w:t>rom,</w:t>
            </w:r>
            <w:r w:rsidR="00293AB1" w:rsidRPr="00DD13AC">
              <w:t xml:space="preserve"> their company’s work to achieve meaningful integration, with reference to some of the key concepts set out in the Guiding Principles. The panel touched upon </w:t>
            </w:r>
            <w:r w:rsidR="007252B9">
              <w:t xml:space="preserve">the </w:t>
            </w:r>
            <w:r w:rsidR="007252B9" w:rsidRPr="00DD13AC">
              <w:t xml:space="preserve">engagement </w:t>
            </w:r>
            <w:r w:rsidR="007252B9">
              <w:t>of chief executive officers</w:t>
            </w:r>
            <w:r w:rsidR="00293AB1" w:rsidRPr="00DD13AC">
              <w:t xml:space="preserve"> on human rights</w:t>
            </w:r>
            <w:r w:rsidR="001B77CB">
              <w:t>;</w:t>
            </w:r>
            <w:r w:rsidR="00293AB1" w:rsidRPr="00DD13AC">
              <w:t xml:space="preserve"> upgraded policy commitments; cross-functional involvement; the need for strong investment in internal capacity</w:t>
            </w:r>
            <w:r w:rsidR="001B77CB">
              <w:t>-</w:t>
            </w:r>
            <w:r w:rsidR="00293AB1" w:rsidRPr="00DD13AC">
              <w:t xml:space="preserve">building to support horizontal and vertical coherence; methodologies to apply human rights due diligence; embedding human rights considerations into core processes; and enhancing operational grievance mechanisms. Several general observations </w:t>
            </w:r>
            <w:r w:rsidR="001B77CB">
              <w:t>were</w:t>
            </w:r>
            <w:r w:rsidR="00293AB1" w:rsidRPr="00DD13AC">
              <w:t xml:space="preserve"> drawn from th</w:t>
            </w:r>
            <w:r w:rsidR="001B77CB">
              <w:t>e</w:t>
            </w:r>
            <w:r w:rsidR="00293AB1" w:rsidRPr="00DD13AC">
              <w:t xml:space="preserve"> discussion, including:</w:t>
            </w:r>
          </w:p>
        </w:tc>
      </w:tr>
      <w:tr w:rsidR="00293AB1" w:rsidRPr="00DD13AC" w:rsidTr="00F57EE3">
        <w:trPr>
          <w:jc w:val="center"/>
        </w:trPr>
        <w:tc>
          <w:tcPr>
            <w:tcW w:w="9637" w:type="dxa"/>
            <w:tcBorders>
              <w:top w:val="nil"/>
              <w:left w:val="single" w:sz="4" w:space="0" w:color="auto"/>
              <w:bottom w:val="nil"/>
              <w:right w:val="single" w:sz="4" w:space="0" w:color="auto"/>
            </w:tcBorders>
            <w:shd w:val="clear" w:color="auto" w:fill="auto"/>
          </w:tcPr>
          <w:p w:rsidR="00293AB1" w:rsidRPr="00DD13AC" w:rsidRDefault="00D06973" w:rsidP="00D06973">
            <w:pPr>
              <w:pStyle w:val="Bullet1G"/>
              <w:numPr>
                <w:ilvl w:val="0"/>
                <w:numId w:val="0"/>
              </w:numPr>
              <w:tabs>
                <w:tab w:val="left" w:pos="1701"/>
              </w:tabs>
              <w:ind w:left="1701" w:hanging="170"/>
            </w:pPr>
            <w:r w:rsidRPr="00DD13AC">
              <w:t>•</w:t>
            </w:r>
            <w:r w:rsidRPr="00DD13AC">
              <w:tab/>
            </w:r>
            <w:r w:rsidR="00293AB1" w:rsidRPr="00DD13AC">
              <w:t xml:space="preserve">Where company commitment exists, the Guiding Principles </w:t>
            </w:r>
            <w:r w:rsidR="00293AB1" w:rsidRPr="00422AA4">
              <w:rPr>
                <w:iCs/>
              </w:rPr>
              <w:t xml:space="preserve">are </w:t>
            </w:r>
            <w:r w:rsidR="00293AB1" w:rsidRPr="00DD13AC">
              <w:t>influencing practices and decision</w:t>
            </w:r>
            <w:r w:rsidR="001B77CB">
              <w:t>-</w:t>
            </w:r>
            <w:r w:rsidR="00293AB1" w:rsidRPr="00DD13AC">
              <w:t>making;</w:t>
            </w:r>
          </w:p>
          <w:p w:rsidR="00293AB1" w:rsidRPr="00DD13AC" w:rsidRDefault="00D06973" w:rsidP="00D06973">
            <w:pPr>
              <w:pStyle w:val="Bullet1G"/>
              <w:numPr>
                <w:ilvl w:val="0"/>
                <w:numId w:val="0"/>
              </w:numPr>
              <w:tabs>
                <w:tab w:val="left" w:pos="1701"/>
              </w:tabs>
              <w:ind w:left="1701" w:hanging="170"/>
            </w:pPr>
            <w:r w:rsidRPr="00DD13AC">
              <w:t>•</w:t>
            </w:r>
            <w:r w:rsidRPr="00DD13AC">
              <w:tab/>
            </w:r>
            <w:r w:rsidR="00293AB1" w:rsidRPr="00DD13AC">
              <w:t>Some convergence is occurring around foundational building blocks and associated tools and approaches related to implementing the corporate responsibility to respect;</w:t>
            </w:r>
          </w:p>
          <w:p w:rsidR="00293AB1" w:rsidRPr="00DD13AC" w:rsidRDefault="00D06973" w:rsidP="00D06973">
            <w:pPr>
              <w:pStyle w:val="Bullet1G"/>
              <w:numPr>
                <w:ilvl w:val="0"/>
                <w:numId w:val="0"/>
              </w:numPr>
              <w:tabs>
                <w:tab w:val="left" w:pos="1701"/>
              </w:tabs>
              <w:ind w:left="1701" w:hanging="170"/>
            </w:pPr>
            <w:r w:rsidRPr="00DD13AC">
              <w:t>•</w:t>
            </w:r>
            <w:r w:rsidRPr="00DD13AC">
              <w:tab/>
            </w:r>
            <w:r w:rsidR="00293AB1" w:rsidRPr="00DD13AC">
              <w:t>Putting the basics in place within large organizations takes time</w:t>
            </w:r>
            <w:r w:rsidR="001B77CB">
              <w:t>, and</w:t>
            </w:r>
            <w:r w:rsidR="00293AB1" w:rsidRPr="00DD13AC">
              <w:t xml:space="preserve"> implementation is an ongoing process;</w:t>
            </w:r>
          </w:p>
          <w:p w:rsidR="00293AB1" w:rsidRPr="00DD13AC" w:rsidRDefault="00D06973" w:rsidP="00D06973">
            <w:pPr>
              <w:pStyle w:val="Bullet1G"/>
              <w:numPr>
                <w:ilvl w:val="0"/>
                <w:numId w:val="0"/>
              </w:numPr>
              <w:tabs>
                <w:tab w:val="left" w:pos="1701"/>
              </w:tabs>
              <w:ind w:left="1701" w:hanging="170"/>
            </w:pPr>
            <w:r w:rsidRPr="00DD13AC">
              <w:t>•</w:t>
            </w:r>
            <w:r w:rsidRPr="00DD13AC">
              <w:tab/>
            </w:r>
            <w:r w:rsidR="00293AB1" w:rsidRPr="00DD13AC">
              <w:t>There is a communication gap, as companies may not be sharing and discussing the totality of what they do with stakeholders and the public.</w:t>
            </w:r>
          </w:p>
        </w:tc>
      </w:tr>
      <w:tr w:rsidR="00293AB1" w:rsidRPr="00DD13AC" w:rsidTr="00F57EE3">
        <w:trPr>
          <w:jc w:val="center"/>
        </w:trPr>
        <w:tc>
          <w:tcPr>
            <w:tcW w:w="9637" w:type="dxa"/>
            <w:tcBorders>
              <w:top w:val="nil"/>
              <w:left w:val="single" w:sz="4" w:space="0" w:color="auto"/>
              <w:bottom w:val="nil"/>
              <w:right w:val="single" w:sz="4" w:space="0" w:color="auto"/>
            </w:tcBorders>
            <w:shd w:val="clear" w:color="auto" w:fill="auto"/>
          </w:tcPr>
          <w:p w:rsidR="00293AB1" w:rsidRPr="00DD13AC" w:rsidRDefault="00293AB1" w:rsidP="00606310">
            <w:pPr>
              <w:pStyle w:val="SingleTxtG"/>
              <w:ind w:firstLine="567"/>
            </w:pPr>
            <w:r w:rsidRPr="00DD13AC">
              <w:t xml:space="preserve">The other main part </w:t>
            </w:r>
            <w:r w:rsidR="00A7254C">
              <w:t xml:space="preserve">of the session </w:t>
            </w:r>
            <w:r w:rsidR="00A7254C" w:rsidRPr="00DD13AC">
              <w:t>focus</w:t>
            </w:r>
            <w:r w:rsidR="00A7254C">
              <w:t>ed</w:t>
            </w:r>
            <w:r w:rsidR="00A7254C" w:rsidRPr="00DD13AC">
              <w:t xml:space="preserve"> o</w:t>
            </w:r>
            <w:r w:rsidR="00A7254C">
              <w:t>n</w:t>
            </w:r>
            <w:r w:rsidR="00A7254C" w:rsidRPr="00DD13AC">
              <w:t xml:space="preserve"> sharing</w:t>
            </w:r>
            <w:r w:rsidR="00A7254C">
              <w:t xml:space="preserve"> </w:t>
            </w:r>
            <w:r w:rsidRPr="00DD13AC">
              <w:t>lesson</w:t>
            </w:r>
            <w:r w:rsidR="00A7254C">
              <w:t>s</w:t>
            </w:r>
            <w:r w:rsidRPr="00DD13AC">
              <w:t xml:space="preserve"> from </w:t>
            </w:r>
            <w:r w:rsidR="00A7254C">
              <w:t>specific</w:t>
            </w:r>
            <w:r w:rsidRPr="00DD13AC">
              <w:t xml:space="preserve"> cases of </w:t>
            </w:r>
            <w:r w:rsidR="00A7254C" w:rsidRPr="00DD13AC">
              <w:t>engagement</w:t>
            </w:r>
            <w:r w:rsidR="00A7254C">
              <w:t xml:space="preserve"> between </w:t>
            </w:r>
            <w:r w:rsidRPr="00DD13AC">
              <w:t>business</w:t>
            </w:r>
            <w:r w:rsidR="00A7254C">
              <w:t xml:space="preserve"> and </w:t>
            </w:r>
            <w:r w:rsidRPr="00DD13AC">
              <w:t xml:space="preserve">civil society </w:t>
            </w:r>
            <w:r w:rsidR="00A7254C">
              <w:t xml:space="preserve">in order </w:t>
            </w:r>
            <w:r w:rsidRPr="00DD13AC">
              <w:t>to support implementation of the corporate responsibility to respect human rights. The title of th</w:t>
            </w:r>
            <w:r w:rsidR="00A7254C">
              <w:t>at</w:t>
            </w:r>
            <w:r w:rsidRPr="00DD13AC">
              <w:t xml:space="preserve"> panel was “Applying the Guiding Principles in specific cases: cases of collaboration between civil society organizations and business”. It brought together businesses and civil society organizations working collaboratively</w:t>
            </w:r>
            <w:r w:rsidR="007B3F8B">
              <w:t>,</w:t>
            </w:r>
            <w:r w:rsidRPr="00DD13AC">
              <w:t xml:space="preserve"> though not always in full agreement</w:t>
            </w:r>
            <w:r w:rsidR="007B3F8B">
              <w:t>,</w:t>
            </w:r>
            <w:r w:rsidRPr="00DD13AC">
              <w:t xml:space="preserve"> to apply the Guiding Principles in specific local or sectoral contexts, and included the following case studies:</w:t>
            </w:r>
          </w:p>
        </w:tc>
      </w:tr>
      <w:tr w:rsidR="00293AB1" w:rsidRPr="00DD13AC" w:rsidTr="00F57EE3">
        <w:trPr>
          <w:jc w:val="center"/>
        </w:trPr>
        <w:tc>
          <w:tcPr>
            <w:tcW w:w="9637" w:type="dxa"/>
            <w:tcBorders>
              <w:top w:val="nil"/>
              <w:left w:val="single" w:sz="4" w:space="0" w:color="auto"/>
              <w:bottom w:val="nil"/>
              <w:right w:val="single" w:sz="4" w:space="0" w:color="auto"/>
            </w:tcBorders>
            <w:shd w:val="clear" w:color="auto" w:fill="auto"/>
          </w:tcPr>
          <w:p w:rsidR="00293AB1" w:rsidRPr="00DD13AC" w:rsidRDefault="00D06973" w:rsidP="00D06973">
            <w:pPr>
              <w:pStyle w:val="Bullet1G"/>
              <w:numPr>
                <w:ilvl w:val="0"/>
                <w:numId w:val="0"/>
              </w:numPr>
              <w:tabs>
                <w:tab w:val="left" w:pos="1701"/>
              </w:tabs>
              <w:ind w:left="1701" w:hanging="170"/>
            </w:pPr>
            <w:r w:rsidRPr="00DD13AC">
              <w:t>•</w:t>
            </w:r>
            <w:r w:rsidRPr="00DD13AC">
              <w:tab/>
            </w:r>
            <w:r w:rsidR="00293AB1" w:rsidRPr="00DD13AC">
              <w:t>Community relocation in the context of mining in Mozambique (Human Rights Watch and Vale);</w:t>
            </w:r>
          </w:p>
          <w:p w:rsidR="007B3F8B" w:rsidRDefault="00D06973" w:rsidP="00D06973">
            <w:pPr>
              <w:pStyle w:val="Bullet1G"/>
              <w:numPr>
                <w:ilvl w:val="0"/>
                <w:numId w:val="0"/>
              </w:numPr>
              <w:tabs>
                <w:tab w:val="left" w:pos="1701"/>
              </w:tabs>
              <w:ind w:left="1701" w:hanging="170"/>
            </w:pPr>
            <w:r>
              <w:t>•</w:t>
            </w:r>
            <w:r>
              <w:tab/>
            </w:r>
            <w:r w:rsidR="00293AB1" w:rsidRPr="00DD13AC">
              <w:t xml:space="preserve">Child labour and women’s rights </w:t>
            </w:r>
            <w:r w:rsidR="00075E87">
              <w:t>o</w:t>
            </w:r>
            <w:r w:rsidR="00293AB1" w:rsidRPr="00DD13AC">
              <w:t>n West African cocoa farms (International Cocoa Initiative, Nestlé and Oxfam)</w:t>
            </w:r>
            <w:r w:rsidR="007B3F8B">
              <w:t>;</w:t>
            </w:r>
          </w:p>
          <w:p w:rsidR="00293AB1" w:rsidRPr="00DD13AC" w:rsidRDefault="00D06973" w:rsidP="00D06973">
            <w:pPr>
              <w:pStyle w:val="Bullet1G"/>
              <w:numPr>
                <w:ilvl w:val="0"/>
                <w:numId w:val="0"/>
              </w:numPr>
              <w:tabs>
                <w:tab w:val="left" w:pos="1701"/>
              </w:tabs>
              <w:ind w:left="1701" w:hanging="170"/>
            </w:pPr>
            <w:r w:rsidRPr="00DD13AC">
              <w:t>•</w:t>
            </w:r>
            <w:r w:rsidRPr="00DD13AC">
              <w:tab/>
            </w:r>
            <w:r w:rsidR="007B3F8B">
              <w:t>A</w:t>
            </w:r>
            <w:r w:rsidR="00293AB1" w:rsidRPr="00DD13AC">
              <w:t>pplying global framework agreements on union rights locally through mutual responsibility in the textile sector (Inditex and IndustriALL);</w:t>
            </w:r>
          </w:p>
          <w:p w:rsidR="00293AB1" w:rsidRPr="00DD13AC" w:rsidRDefault="00D06973" w:rsidP="00D06973">
            <w:pPr>
              <w:pStyle w:val="Bullet1G"/>
              <w:numPr>
                <w:ilvl w:val="0"/>
                <w:numId w:val="0"/>
              </w:numPr>
              <w:tabs>
                <w:tab w:val="left" w:pos="1701"/>
              </w:tabs>
              <w:ind w:left="1701" w:hanging="170"/>
            </w:pPr>
            <w:r w:rsidRPr="00DD13AC">
              <w:t>•</w:t>
            </w:r>
            <w:r w:rsidRPr="00DD13AC">
              <w:tab/>
            </w:r>
            <w:r w:rsidR="00293AB1" w:rsidRPr="00DD13AC">
              <w:t>Privacy and freedom of expression on the Internet (Ranking Digital Rights).</w:t>
            </w:r>
          </w:p>
        </w:tc>
      </w:tr>
      <w:tr w:rsidR="00293AB1" w:rsidRPr="00DD13AC" w:rsidTr="00F57EE3">
        <w:trPr>
          <w:jc w:val="center"/>
        </w:trPr>
        <w:tc>
          <w:tcPr>
            <w:tcW w:w="9637" w:type="dxa"/>
            <w:tcBorders>
              <w:top w:val="nil"/>
              <w:left w:val="single" w:sz="4" w:space="0" w:color="auto"/>
              <w:bottom w:val="nil"/>
              <w:right w:val="single" w:sz="4" w:space="0" w:color="auto"/>
            </w:tcBorders>
            <w:shd w:val="clear" w:color="auto" w:fill="auto"/>
          </w:tcPr>
          <w:p w:rsidR="00293AB1" w:rsidRPr="00DD13AC" w:rsidRDefault="00A2114D" w:rsidP="00D06973">
            <w:pPr>
              <w:pStyle w:val="SingleTxtG"/>
            </w:pPr>
            <w:r>
              <w:t>The m</w:t>
            </w:r>
            <w:r w:rsidR="00293AB1" w:rsidRPr="00DD13AC">
              <w:t xml:space="preserve">ain lessons </w:t>
            </w:r>
            <w:r>
              <w:t xml:space="preserve">of the session </w:t>
            </w:r>
            <w:r w:rsidR="00293AB1" w:rsidRPr="00DD13AC">
              <w:t>included:</w:t>
            </w:r>
          </w:p>
        </w:tc>
      </w:tr>
      <w:tr w:rsidR="00293AB1" w:rsidRPr="00DD13AC" w:rsidTr="00F57EE3">
        <w:trPr>
          <w:jc w:val="center"/>
        </w:trPr>
        <w:tc>
          <w:tcPr>
            <w:tcW w:w="9637" w:type="dxa"/>
            <w:tcBorders>
              <w:top w:val="nil"/>
              <w:left w:val="single" w:sz="4" w:space="0" w:color="auto"/>
              <w:bottom w:val="nil"/>
              <w:right w:val="single" w:sz="4" w:space="0" w:color="auto"/>
            </w:tcBorders>
            <w:shd w:val="clear" w:color="auto" w:fill="auto"/>
          </w:tcPr>
          <w:p w:rsidR="00293AB1" w:rsidRPr="00DD13AC" w:rsidRDefault="00D06973" w:rsidP="00D06973">
            <w:pPr>
              <w:pStyle w:val="Bullet1G"/>
              <w:numPr>
                <w:ilvl w:val="0"/>
                <w:numId w:val="0"/>
              </w:numPr>
              <w:tabs>
                <w:tab w:val="left" w:pos="1701"/>
              </w:tabs>
              <w:ind w:left="1701" w:hanging="170"/>
            </w:pPr>
            <w:r w:rsidRPr="00DD13AC">
              <w:t>•</w:t>
            </w:r>
            <w:r w:rsidRPr="00DD13AC">
              <w:tab/>
            </w:r>
            <w:r w:rsidR="00293AB1" w:rsidRPr="00DD13AC">
              <w:t xml:space="preserve">An understanding that </w:t>
            </w:r>
            <w:r w:rsidR="00A2114D">
              <w:t>the</w:t>
            </w:r>
            <w:r w:rsidR="00293AB1" w:rsidRPr="00DD13AC">
              <w:t xml:space="preserve"> ingredients for successful relationships between non-governmental organizations and business include a shared commitment to improving the situation for affected communities</w:t>
            </w:r>
            <w:r w:rsidR="00075E87">
              <w:t>,</w:t>
            </w:r>
            <w:r w:rsidR="00293AB1" w:rsidRPr="00DD13AC">
              <w:t xml:space="preserve"> transparency on both sides</w:t>
            </w:r>
            <w:r w:rsidR="00075E87">
              <w:t>,</w:t>
            </w:r>
            <w:r w:rsidR="00293AB1" w:rsidRPr="00DD13AC">
              <w:t xml:space="preserve"> </w:t>
            </w:r>
            <w:r w:rsidR="00075E87">
              <w:t xml:space="preserve">a willingness to </w:t>
            </w:r>
            <w:r w:rsidR="00293AB1" w:rsidRPr="00DD13AC">
              <w:t>find ways to promote ongoing communication in order to improve relationships over time</w:t>
            </w:r>
            <w:r w:rsidR="00075E87">
              <w:t>,</w:t>
            </w:r>
            <w:r w:rsidR="00293AB1" w:rsidRPr="00DD13AC">
              <w:t xml:space="preserve"> and </w:t>
            </w:r>
            <w:r w:rsidR="00EB2261">
              <w:t>the</w:t>
            </w:r>
            <w:r w:rsidR="00293AB1" w:rsidRPr="00DD13AC">
              <w:t xml:space="preserve"> recognition that relationship building is a continual process;</w:t>
            </w:r>
          </w:p>
        </w:tc>
      </w:tr>
      <w:tr w:rsidR="00C02714" w:rsidRPr="00DD13AC" w:rsidTr="00F57EE3">
        <w:trPr>
          <w:jc w:val="center"/>
        </w:trPr>
        <w:tc>
          <w:tcPr>
            <w:tcW w:w="9637" w:type="dxa"/>
            <w:tcBorders>
              <w:top w:val="nil"/>
              <w:left w:val="single" w:sz="4" w:space="0" w:color="auto"/>
              <w:bottom w:val="nil"/>
              <w:right w:val="single" w:sz="4" w:space="0" w:color="auto"/>
            </w:tcBorders>
            <w:shd w:val="clear" w:color="auto" w:fill="auto"/>
          </w:tcPr>
          <w:p w:rsidR="00D0230C" w:rsidRPr="00DD13AC" w:rsidRDefault="00D06973" w:rsidP="00D06973">
            <w:pPr>
              <w:pStyle w:val="Bullet1G"/>
              <w:keepNext/>
              <w:numPr>
                <w:ilvl w:val="0"/>
                <w:numId w:val="0"/>
              </w:numPr>
              <w:tabs>
                <w:tab w:val="left" w:pos="1701"/>
              </w:tabs>
              <w:ind w:left="1701" w:hanging="170"/>
            </w:pPr>
            <w:r w:rsidRPr="00DD13AC">
              <w:lastRenderedPageBreak/>
              <w:t>•</w:t>
            </w:r>
            <w:r w:rsidRPr="00DD13AC">
              <w:tab/>
            </w:r>
            <w:r w:rsidR="00FF1DD5">
              <w:t>R</w:t>
            </w:r>
            <w:r w:rsidR="00FF1DD5" w:rsidRPr="00DD13AC">
              <w:t>elationships</w:t>
            </w:r>
            <w:r w:rsidR="00FF1DD5">
              <w:t xml:space="preserve"> between c</w:t>
            </w:r>
            <w:r w:rsidR="00D0230C" w:rsidRPr="00DD13AC">
              <w:t>ompan</w:t>
            </w:r>
            <w:r w:rsidR="00FF1DD5">
              <w:t xml:space="preserve">ies and </w:t>
            </w:r>
            <w:r w:rsidR="00D0230C" w:rsidRPr="00DD13AC">
              <w:t>civil society tend to focus on addressing specific human rights issues in specific contexts. There are often good practical reasons for th</w:t>
            </w:r>
            <w:r w:rsidR="00A2114D">
              <w:t>at</w:t>
            </w:r>
            <w:r w:rsidR="00D0230C" w:rsidRPr="00DD13AC">
              <w:t xml:space="preserve">, and it </w:t>
            </w:r>
            <w:r w:rsidR="00EB2261">
              <w:t xml:space="preserve">is </w:t>
            </w:r>
            <w:r w:rsidR="00D0230C" w:rsidRPr="00DD13AC">
              <w:t xml:space="preserve">not </w:t>
            </w:r>
            <w:r w:rsidR="00EB2261">
              <w:t>incompatible</w:t>
            </w:r>
            <w:r w:rsidR="00D0230C" w:rsidRPr="00DD13AC">
              <w:t xml:space="preserve"> with the expectation that companies need to be aware </w:t>
            </w:r>
            <w:r w:rsidR="001B0E95" w:rsidRPr="00DD13AC">
              <w:t>at the same time</w:t>
            </w:r>
            <w:r w:rsidR="001B0E95">
              <w:t xml:space="preserve"> </w:t>
            </w:r>
            <w:r w:rsidR="00D0230C" w:rsidRPr="00DD13AC">
              <w:t>of the full range of human rights impacts across their operations;</w:t>
            </w:r>
          </w:p>
          <w:p w:rsidR="00C02714" w:rsidRPr="00DD13AC" w:rsidRDefault="00D06973" w:rsidP="00D06973">
            <w:pPr>
              <w:pStyle w:val="Bullet1G"/>
              <w:keepNext/>
              <w:numPr>
                <w:ilvl w:val="0"/>
                <w:numId w:val="0"/>
              </w:numPr>
              <w:tabs>
                <w:tab w:val="left" w:pos="1701"/>
              </w:tabs>
              <w:ind w:left="1701" w:hanging="170"/>
            </w:pPr>
            <w:r w:rsidRPr="00DD13AC">
              <w:t>•</w:t>
            </w:r>
            <w:r w:rsidRPr="00DD13AC">
              <w:tab/>
            </w:r>
            <w:r w:rsidR="00540891" w:rsidRPr="00DD13AC">
              <w:t>E</w:t>
            </w:r>
            <w:r w:rsidR="00C02714" w:rsidRPr="00DD13AC">
              <w:t xml:space="preserve">xperience </w:t>
            </w:r>
            <w:r w:rsidR="00A2114D">
              <w:t xml:space="preserve">has </w:t>
            </w:r>
            <w:r w:rsidR="00C02714" w:rsidRPr="00DD13AC">
              <w:t>show</w:t>
            </w:r>
            <w:r w:rsidR="00A2114D">
              <w:t>n</w:t>
            </w:r>
            <w:r w:rsidR="00C02714" w:rsidRPr="00DD13AC">
              <w:t xml:space="preserve"> that constructive interaction can lead to </w:t>
            </w:r>
            <w:r w:rsidR="00A2114D">
              <w:t>specific</w:t>
            </w:r>
            <w:r w:rsidR="00C02714" w:rsidRPr="00DD13AC">
              <w:t xml:space="preserve"> steps </w:t>
            </w:r>
            <w:r w:rsidR="00A2114D">
              <w:t xml:space="preserve">being </w:t>
            </w:r>
            <w:r w:rsidR="00C02714" w:rsidRPr="00DD13AC">
              <w:t>taken by companies on the ground within</w:t>
            </w:r>
            <w:r w:rsidR="00472C0D" w:rsidRPr="00DD13AC">
              <w:t xml:space="preserve"> a</w:t>
            </w:r>
            <w:r w:rsidR="00C02714" w:rsidRPr="00DD13AC">
              <w:t xml:space="preserve"> relatively short time</w:t>
            </w:r>
            <w:r w:rsidR="00FE36B2" w:rsidRPr="00DD13AC">
              <w:t>;</w:t>
            </w:r>
          </w:p>
          <w:p w:rsidR="00C02714" w:rsidRPr="00DD13AC" w:rsidRDefault="00D06973" w:rsidP="00D06973">
            <w:pPr>
              <w:pStyle w:val="Bullet1G"/>
              <w:keepNext/>
              <w:numPr>
                <w:ilvl w:val="0"/>
                <w:numId w:val="0"/>
              </w:numPr>
              <w:tabs>
                <w:tab w:val="left" w:pos="1701"/>
              </w:tabs>
              <w:ind w:left="1701" w:hanging="170"/>
            </w:pPr>
            <w:r w:rsidRPr="00DD13AC">
              <w:t>•</w:t>
            </w:r>
            <w:r w:rsidRPr="00DD13AC">
              <w:tab/>
            </w:r>
            <w:r w:rsidR="00540891" w:rsidRPr="00DD13AC">
              <w:t>G</w:t>
            </w:r>
            <w:r w:rsidR="00C02714" w:rsidRPr="00DD13AC">
              <w:t xml:space="preserve">ood relationships between companies and </w:t>
            </w:r>
            <w:r w:rsidR="00E57CD6" w:rsidRPr="00DD13AC">
              <w:t>non-governmental organizations</w:t>
            </w:r>
            <w:r w:rsidR="00C02714" w:rsidRPr="00DD13AC">
              <w:t xml:space="preserve"> should enable</w:t>
            </w:r>
            <w:r w:rsidR="001B0E95">
              <w:t>,</w:t>
            </w:r>
            <w:r w:rsidR="00C02714" w:rsidRPr="00DD13AC">
              <w:t xml:space="preserve"> not replace</w:t>
            </w:r>
            <w:r w:rsidR="001B0E95">
              <w:t>,</w:t>
            </w:r>
            <w:r w:rsidR="00C02714" w:rsidRPr="00DD13AC">
              <w:t xml:space="preserve"> further relationship building, especially with civil society stakeholders at the local level</w:t>
            </w:r>
            <w:r w:rsidR="00FE36B2" w:rsidRPr="00DD13AC">
              <w:t>;</w:t>
            </w:r>
          </w:p>
          <w:p w:rsidR="00C02714" w:rsidRPr="00DD13AC" w:rsidRDefault="00D06973" w:rsidP="00D06973">
            <w:pPr>
              <w:pStyle w:val="Bullet1G"/>
              <w:keepNext/>
              <w:numPr>
                <w:ilvl w:val="0"/>
                <w:numId w:val="0"/>
              </w:numPr>
              <w:tabs>
                <w:tab w:val="left" w:pos="1701"/>
              </w:tabs>
              <w:ind w:left="1701" w:hanging="170"/>
            </w:pPr>
            <w:r w:rsidRPr="00DD13AC">
              <w:t>•</w:t>
            </w:r>
            <w:r w:rsidRPr="00DD13AC">
              <w:tab/>
            </w:r>
            <w:r w:rsidR="00C02714" w:rsidRPr="00DD13AC">
              <w:t xml:space="preserve">Government engagement is necessary and will help to frame the relationship between </w:t>
            </w:r>
            <w:r w:rsidR="00E57CD6" w:rsidRPr="00DD13AC">
              <w:t>non-governmental organizations</w:t>
            </w:r>
            <w:r w:rsidR="00C02714" w:rsidRPr="00DD13AC">
              <w:t xml:space="preserve"> and business. </w:t>
            </w:r>
          </w:p>
          <w:p w:rsidR="00C02714" w:rsidRPr="00DD13AC" w:rsidRDefault="00E57CD6" w:rsidP="001B0E95">
            <w:pPr>
              <w:pStyle w:val="SingleTxtG"/>
              <w:keepNext/>
              <w:ind w:firstLine="567"/>
            </w:pPr>
            <w:r>
              <w:t>A</w:t>
            </w:r>
            <w:r w:rsidR="00C02714" w:rsidRPr="00DD13AC">
              <w:t xml:space="preserve">mong </w:t>
            </w:r>
            <w:r>
              <w:t>its</w:t>
            </w:r>
            <w:r w:rsidR="00C02714" w:rsidRPr="00DD13AC">
              <w:t xml:space="preserve"> key recommendations </w:t>
            </w:r>
            <w:r>
              <w:t>for the future,</w:t>
            </w:r>
            <w:r w:rsidR="00C02714" w:rsidRPr="00DD13AC">
              <w:t xml:space="preserve"> the Working Group encourages more companies and </w:t>
            </w:r>
            <w:r w:rsidRPr="00DD13AC">
              <w:t>non-governmental organizations</w:t>
            </w:r>
            <w:r w:rsidR="00C02714" w:rsidRPr="00DD13AC">
              <w:t xml:space="preserve"> to </w:t>
            </w:r>
            <w:r w:rsidR="00472C0D" w:rsidRPr="00DD13AC">
              <w:t xml:space="preserve">publicly </w:t>
            </w:r>
            <w:r w:rsidR="00C02714" w:rsidRPr="00DD13AC">
              <w:t>share examples of steps taken to implement the second pillar of the Guiding Principles and joint efforts to address challenges in specific situations and contexts, both at the annual Forum and in other settings.</w:t>
            </w:r>
            <w:r w:rsidR="00472C0D" w:rsidRPr="00DD13AC">
              <w:t xml:space="preserve"> Such dialogue and lesson sharing</w:t>
            </w:r>
            <w:r w:rsidR="000F0E9E" w:rsidRPr="00DD13AC">
              <w:t xml:space="preserve">, which should also involve </w:t>
            </w:r>
            <w:r w:rsidR="004748EE">
              <w:t>G</w:t>
            </w:r>
            <w:r w:rsidR="000F0E9E" w:rsidRPr="00DD13AC">
              <w:t>overnments,</w:t>
            </w:r>
            <w:r w:rsidR="00472C0D" w:rsidRPr="00DD13AC">
              <w:t xml:space="preserve"> has great potential for stimulating further learning and spread</w:t>
            </w:r>
            <w:r w:rsidR="004748EE">
              <w:t>ing</w:t>
            </w:r>
            <w:r w:rsidR="00472C0D" w:rsidRPr="00DD13AC">
              <w:t xml:space="preserve"> innovative</w:t>
            </w:r>
            <w:r w:rsidR="001B0E95">
              <w:t xml:space="preserve"> </w:t>
            </w:r>
            <w:r w:rsidR="001B0E95" w:rsidRPr="00DD13AC">
              <w:t>engagement</w:t>
            </w:r>
            <w:r w:rsidR="001B0E95">
              <w:t xml:space="preserve"> between</w:t>
            </w:r>
            <w:r w:rsidR="00472C0D" w:rsidRPr="00DD13AC">
              <w:t xml:space="preserve"> </w:t>
            </w:r>
            <w:r w:rsidRPr="00DD13AC">
              <w:t>non-governmental organization</w:t>
            </w:r>
            <w:r w:rsidR="001B0E95">
              <w:t xml:space="preserve">s and </w:t>
            </w:r>
            <w:r w:rsidR="00472C0D" w:rsidRPr="00DD13AC">
              <w:t xml:space="preserve">business </w:t>
            </w:r>
            <w:r w:rsidR="000F0E9E" w:rsidRPr="00DD13AC">
              <w:t xml:space="preserve">to prevent and address adverse impacts </w:t>
            </w:r>
            <w:r w:rsidR="004748EE">
              <w:t xml:space="preserve">of business </w:t>
            </w:r>
            <w:r w:rsidR="000F0E9E" w:rsidRPr="00DD13AC">
              <w:t>on human rights.</w:t>
            </w:r>
          </w:p>
        </w:tc>
      </w:tr>
      <w:tr w:rsidR="00C02714" w:rsidRPr="00DD13AC" w:rsidTr="00F57EE3">
        <w:trPr>
          <w:jc w:val="center"/>
        </w:trPr>
        <w:tc>
          <w:tcPr>
            <w:tcW w:w="9637" w:type="dxa"/>
            <w:tcBorders>
              <w:top w:val="nil"/>
            </w:tcBorders>
            <w:shd w:val="clear" w:color="auto" w:fill="auto"/>
          </w:tcPr>
          <w:p w:rsidR="00C02714" w:rsidRPr="00DD13AC" w:rsidRDefault="00C02714" w:rsidP="00C02714"/>
        </w:tc>
      </w:tr>
    </w:tbl>
    <w:p w:rsidR="00C02714" w:rsidRPr="00DD13AC" w:rsidRDefault="00C02714" w:rsidP="00C02714"/>
    <w:p w:rsidR="001809D1" w:rsidRPr="00DD13AC" w:rsidRDefault="00C02714" w:rsidP="001809D1">
      <w:pPr>
        <w:pStyle w:val="HChG"/>
      </w:pPr>
      <w:r w:rsidRPr="00DD13AC">
        <w:br w:type="page"/>
      </w:r>
      <w:r w:rsidR="001809D1" w:rsidRPr="00DD13AC">
        <w:lastRenderedPageBreak/>
        <w:t>Annex</w:t>
      </w:r>
    </w:p>
    <w:p w:rsidR="001809D1" w:rsidRPr="00DD13AC" w:rsidRDefault="001809D1" w:rsidP="001809D1">
      <w:pPr>
        <w:pStyle w:val="H4G"/>
        <w:ind w:right="0"/>
        <w:jc w:val="right"/>
      </w:pPr>
      <w:r w:rsidRPr="00DD13AC">
        <w:t>[English only]</w:t>
      </w:r>
    </w:p>
    <w:p w:rsidR="001809D1" w:rsidRDefault="001809D1" w:rsidP="00606310">
      <w:pPr>
        <w:pStyle w:val="HChG"/>
      </w:pPr>
      <w:r w:rsidRPr="00DD13AC">
        <w:tab/>
      </w:r>
      <w:r w:rsidRPr="00DD13AC">
        <w:tab/>
      </w:r>
      <w:r w:rsidR="00E5077F" w:rsidRPr="00DD13AC">
        <w:t xml:space="preserve">Identifying emerging approaches and lessons learned </w:t>
      </w:r>
      <w:r w:rsidR="00606310">
        <w:t>in c</w:t>
      </w:r>
      <w:r w:rsidR="00606310" w:rsidRPr="00DD13AC">
        <w:t xml:space="preserve">orporate respect for human rights: </w:t>
      </w:r>
      <w:r w:rsidR="00606310">
        <w:t>r</w:t>
      </w:r>
      <w:r w:rsidR="00E5077F" w:rsidRPr="00DD13AC">
        <w:t>eflections from discussions held at the 2014 Forum on Business and Human Rights</w:t>
      </w:r>
    </w:p>
    <w:p w:rsidR="001809D1" w:rsidRPr="00DD13AC" w:rsidRDefault="001809D1" w:rsidP="001809D1">
      <w:pPr>
        <w:spacing w:after="120"/>
        <w:rPr>
          <w:sz w:val="28"/>
        </w:rPr>
      </w:pPr>
      <w:r w:rsidRPr="00DD13AC">
        <w:rPr>
          <w:sz w:val="28"/>
        </w:rPr>
        <w:t>Contents</w:t>
      </w:r>
    </w:p>
    <w:p w:rsidR="001809D1" w:rsidRPr="00DD13AC" w:rsidRDefault="001809D1" w:rsidP="001809D1">
      <w:pPr>
        <w:tabs>
          <w:tab w:val="right" w:pos="8929"/>
          <w:tab w:val="right" w:pos="9638"/>
        </w:tabs>
        <w:spacing w:after="120"/>
        <w:ind w:left="283"/>
      </w:pPr>
      <w:r w:rsidRPr="00DD13AC">
        <w:rPr>
          <w:i/>
          <w:sz w:val="18"/>
        </w:rPr>
        <w:tab/>
        <w:t>Paragraphs</w:t>
      </w:r>
      <w:r w:rsidRPr="00DD13AC">
        <w:rPr>
          <w:i/>
          <w:sz w:val="18"/>
        </w:rPr>
        <w:tab/>
        <w:t>Page</w:t>
      </w:r>
    </w:p>
    <w:p w:rsidR="001809D1" w:rsidRPr="00DD13AC" w:rsidRDefault="001809D1" w:rsidP="001809D1">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t>I.</w:t>
      </w:r>
      <w:r w:rsidRPr="00DD13AC">
        <w:rPr>
          <w:color w:val="000000"/>
        </w:rPr>
        <w:tab/>
        <w:t>Introduction and background</w:t>
      </w:r>
      <w:r w:rsidR="001B0E95">
        <w:rPr>
          <w:color w:val="000000"/>
        </w:rPr>
        <w:t xml:space="preserve"> </w:t>
      </w:r>
      <w:r w:rsidRPr="00DD13AC">
        <w:rPr>
          <w:color w:val="000000"/>
        </w:rPr>
        <w:tab/>
      </w:r>
      <w:r w:rsidRPr="00DD13AC">
        <w:rPr>
          <w:color w:val="000000"/>
        </w:rPr>
        <w:tab/>
        <w:t>1–</w:t>
      </w:r>
      <w:r w:rsidR="00845B96" w:rsidRPr="00DD13AC">
        <w:rPr>
          <w:color w:val="000000"/>
        </w:rPr>
        <w:t>7</w:t>
      </w:r>
      <w:r w:rsidRPr="00DD13AC">
        <w:rPr>
          <w:color w:val="000000"/>
        </w:rPr>
        <w:tab/>
      </w:r>
      <w:r w:rsidR="00845B96" w:rsidRPr="00DD13AC">
        <w:rPr>
          <w:color w:val="000000"/>
        </w:rPr>
        <w:t>5</w:t>
      </w:r>
    </w:p>
    <w:p w:rsidR="001809D1" w:rsidRPr="00DD13AC" w:rsidRDefault="001809D1" w:rsidP="001B0E95">
      <w:pPr>
        <w:tabs>
          <w:tab w:val="right" w:pos="850"/>
          <w:tab w:val="left" w:pos="1134"/>
          <w:tab w:val="left" w:pos="1559"/>
          <w:tab w:val="left" w:pos="1843"/>
          <w:tab w:val="left" w:leader="dot" w:pos="7654"/>
          <w:tab w:val="right" w:pos="8929"/>
          <w:tab w:val="right" w:pos="9638"/>
        </w:tabs>
        <w:spacing w:after="120"/>
        <w:rPr>
          <w:color w:val="000000"/>
        </w:rPr>
      </w:pPr>
      <w:r w:rsidRPr="00DD13AC">
        <w:rPr>
          <w:color w:val="000000"/>
        </w:rPr>
        <w:tab/>
        <w:t>II.</w:t>
      </w:r>
      <w:r w:rsidRPr="00DD13AC">
        <w:rPr>
          <w:color w:val="000000"/>
        </w:rPr>
        <w:tab/>
      </w:r>
      <w:r w:rsidR="00716853" w:rsidRPr="00DD13AC">
        <w:t>Introductory reflections o</w:t>
      </w:r>
      <w:r w:rsidR="00A877F1">
        <w:t>n</w:t>
      </w:r>
      <w:r w:rsidR="00716853" w:rsidRPr="00DD13AC">
        <w:t xml:space="preserve"> the discussion on respect</w:t>
      </w:r>
      <w:r w:rsidR="001B0E95">
        <w:t xml:space="preserve"> </w:t>
      </w:r>
      <w:r w:rsidRPr="00DD13AC">
        <w:rPr>
          <w:color w:val="000000"/>
        </w:rPr>
        <w:tab/>
      </w:r>
      <w:r w:rsidRPr="00DD13AC">
        <w:rPr>
          <w:color w:val="000000"/>
        </w:rPr>
        <w:tab/>
      </w:r>
      <w:r w:rsidR="00845B96" w:rsidRPr="00DD13AC">
        <w:rPr>
          <w:color w:val="000000"/>
        </w:rPr>
        <w:t>8</w:t>
      </w:r>
      <w:r w:rsidRPr="00DD13AC">
        <w:rPr>
          <w:color w:val="000000"/>
        </w:rPr>
        <w:t>–1</w:t>
      </w:r>
      <w:r w:rsidR="00845B96" w:rsidRPr="00DD13AC">
        <w:rPr>
          <w:color w:val="000000"/>
        </w:rPr>
        <w:t>1</w:t>
      </w:r>
      <w:r w:rsidRPr="00DD13AC">
        <w:rPr>
          <w:color w:val="000000"/>
        </w:rPr>
        <w:tab/>
      </w:r>
      <w:r w:rsidR="00845B96" w:rsidRPr="00DD13AC">
        <w:rPr>
          <w:color w:val="000000"/>
        </w:rPr>
        <w:t>6</w:t>
      </w:r>
    </w:p>
    <w:p w:rsidR="001809D1" w:rsidRPr="00DD13AC" w:rsidRDefault="001809D1" w:rsidP="001B0E95">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t>III.</w:t>
      </w:r>
      <w:r w:rsidRPr="00DD13AC">
        <w:rPr>
          <w:color w:val="000000"/>
        </w:rPr>
        <w:tab/>
      </w:r>
      <w:r w:rsidR="00716853" w:rsidRPr="00DD13AC">
        <w:t>Examples of companies’ efforts to integrate human rights in policies</w:t>
      </w:r>
      <w:r w:rsidR="001B0E95">
        <w:br/>
      </w:r>
      <w:r w:rsidR="001B0E95">
        <w:tab/>
      </w:r>
      <w:r w:rsidR="001B0E95">
        <w:tab/>
      </w:r>
      <w:r w:rsidR="00716853" w:rsidRPr="00DD13AC">
        <w:t>and processes</w:t>
      </w:r>
      <w:r w:rsidR="001B0E95">
        <w:t xml:space="preserve"> </w:t>
      </w:r>
      <w:r w:rsidRPr="00DD13AC">
        <w:rPr>
          <w:color w:val="000000"/>
        </w:rPr>
        <w:tab/>
      </w:r>
      <w:r w:rsidR="00A21846" w:rsidRPr="00DD13AC">
        <w:rPr>
          <w:color w:val="000000"/>
        </w:rPr>
        <w:tab/>
      </w:r>
      <w:r w:rsidRPr="00DD13AC">
        <w:rPr>
          <w:color w:val="000000"/>
        </w:rPr>
        <w:t>1</w:t>
      </w:r>
      <w:r w:rsidR="00845B96" w:rsidRPr="00DD13AC">
        <w:rPr>
          <w:color w:val="000000"/>
        </w:rPr>
        <w:t>2</w:t>
      </w:r>
      <w:r w:rsidRPr="00DD13AC">
        <w:rPr>
          <w:color w:val="000000"/>
        </w:rPr>
        <w:t>–</w:t>
      </w:r>
      <w:r w:rsidR="00845B96" w:rsidRPr="00DD13AC">
        <w:rPr>
          <w:color w:val="000000"/>
        </w:rPr>
        <w:t>2</w:t>
      </w:r>
      <w:r w:rsidR="00815D78" w:rsidRPr="00DD13AC">
        <w:rPr>
          <w:color w:val="000000"/>
        </w:rPr>
        <w:t>4</w:t>
      </w:r>
      <w:r w:rsidRPr="00DD13AC">
        <w:rPr>
          <w:color w:val="000000"/>
        </w:rPr>
        <w:tab/>
      </w:r>
      <w:r w:rsidR="006523C8" w:rsidRPr="00DD13AC">
        <w:rPr>
          <w:color w:val="000000"/>
        </w:rPr>
        <w:t>7</w:t>
      </w:r>
    </w:p>
    <w:p w:rsidR="00845B96" w:rsidRPr="00DD13AC" w:rsidRDefault="00845B96" w:rsidP="001809D1">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A.</w:t>
      </w:r>
      <w:r w:rsidRPr="00DD13AC">
        <w:rPr>
          <w:color w:val="000000"/>
        </w:rPr>
        <w:tab/>
        <w:t xml:space="preserve">Introduction </w:t>
      </w:r>
      <w:r w:rsidRPr="00DD13AC">
        <w:rPr>
          <w:color w:val="000000"/>
        </w:rPr>
        <w:tab/>
      </w:r>
      <w:r w:rsidRPr="00DD13AC">
        <w:rPr>
          <w:color w:val="000000"/>
        </w:rPr>
        <w:tab/>
        <w:t>12</w:t>
      </w:r>
      <w:r w:rsidRPr="00DD13AC">
        <w:rPr>
          <w:color w:val="000000"/>
        </w:rPr>
        <w:tab/>
        <w:t>7</w:t>
      </w:r>
    </w:p>
    <w:p w:rsidR="00845B96" w:rsidRPr="00DD13AC" w:rsidRDefault="00845B96" w:rsidP="001809D1">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B.</w:t>
      </w:r>
      <w:r w:rsidRPr="00DD13AC">
        <w:rPr>
          <w:color w:val="000000"/>
        </w:rPr>
        <w:tab/>
        <w:t xml:space="preserve">Policy development and senior management buy-in </w:t>
      </w:r>
      <w:r w:rsidRPr="00DD13AC">
        <w:rPr>
          <w:color w:val="000000"/>
        </w:rPr>
        <w:tab/>
      </w:r>
      <w:r w:rsidRPr="00DD13AC">
        <w:rPr>
          <w:color w:val="000000"/>
        </w:rPr>
        <w:tab/>
        <w:t>13</w:t>
      </w:r>
      <w:r w:rsidRPr="00DD13AC">
        <w:rPr>
          <w:color w:val="000000"/>
        </w:rPr>
        <w:tab/>
        <w:t>7</w:t>
      </w:r>
    </w:p>
    <w:p w:rsidR="00845B96" w:rsidRPr="00DD13AC" w:rsidRDefault="00845B96" w:rsidP="004748EE">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C.</w:t>
      </w:r>
      <w:r w:rsidRPr="00DD13AC">
        <w:rPr>
          <w:color w:val="000000"/>
        </w:rPr>
        <w:tab/>
        <w:t xml:space="preserve">Corporate-wide impact and risk mapping </w:t>
      </w:r>
      <w:r w:rsidRPr="00DD13AC">
        <w:rPr>
          <w:color w:val="000000"/>
        </w:rPr>
        <w:tab/>
      </w:r>
      <w:r w:rsidRPr="00DD13AC">
        <w:rPr>
          <w:color w:val="000000"/>
        </w:rPr>
        <w:tab/>
        <w:t>14</w:t>
      </w:r>
      <w:r w:rsidRPr="00DD13AC">
        <w:rPr>
          <w:color w:val="000000"/>
        </w:rPr>
        <w:tab/>
        <w:t>8</w:t>
      </w:r>
    </w:p>
    <w:p w:rsidR="00845B96" w:rsidRPr="00DD13AC" w:rsidRDefault="00845B96" w:rsidP="004748EE">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D.</w:t>
      </w:r>
      <w:r w:rsidRPr="00DD13AC">
        <w:rPr>
          <w:color w:val="000000"/>
        </w:rPr>
        <w:tab/>
        <w:t>Internal human rights training and capacity</w:t>
      </w:r>
      <w:r w:rsidR="004748EE">
        <w:rPr>
          <w:color w:val="000000"/>
        </w:rPr>
        <w:t>-</w:t>
      </w:r>
      <w:r w:rsidRPr="00DD13AC">
        <w:rPr>
          <w:color w:val="000000"/>
        </w:rPr>
        <w:t xml:space="preserve">building </w:t>
      </w:r>
      <w:r w:rsidRPr="00DD13AC">
        <w:rPr>
          <w:color w:val="000000"/>
        </w:rPr>
        <w:tab/>
      </w:r>
      <w:r w:rsidRPr="00DD13AC">
        <w:rPr>
          <w:color w:val="000000"/>
        </w:rPr>
        <w:tab/>
        <w:t>15</w:t>
      </w:r>
      <w:r w:rsidRPr="00DD13AC">
        <w:rPr>
          <w:color w:val="000000"/>
        </w:rPr>
        <w:tab/>
        <w:t>8</w:t>
      </w:r>
    </w:p>
    <w:p w:rsidR="00845B96" w:rsidRPr="00DD13AC" w:rsidRDefault="00845B96" w:rsidP="001B0E95">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E.</w:t>
      </w:r>
      <w:r w:rsidRPr="00DD13AC">
        <w:rPr>
          <w:color w:val="000000"/>
        </w:rPr>
        <w:tab/>
        <w:t xml:space="preserve">Effectiveness of operational-level grievance mechanisms </w:t>
      </w:r>
      <w:r w:rsidRPr="00DD13AC">
        <w:rPr>
          <w:color w:val="000000"/>
        </w:rPr>
        <w:tab/>
      </w:r>
      <w:r w:rsidRPr="00DD13AC">
        <w:rPr>
          <w:color w:val="000000"/>
        </w:rPr>
        <w:tab/>
        <w:t>16–17</w:t>
      </w:r>
      <w:r w:rsidRPr="00DD13AC">
        <w:rPr>
          <w:color w:val="000000"/>
        </w:rPr>
        <w:tab/>
      </w:r>
      <w:r w:rsidR="001B0E95">
        <w:rPr>
          <w:color w:val="000000"/>
        </w:rPr>
        <w:t>9</w:t>
      </w:r>
    </w:p>
    <w:p w:rsidR="00845B96" w:rsidRPr="00DD13AC" w:rsidRDefault="00845B96" w:rsidP="00F142C6">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F.</w:t>
      </w:r>
      <w:r w:rsidRPr="00DD13AC">
        <w:rPr>
          <w:color w:val="000000"/>
        </w:rPr>
        <w:tab/>
        <w:t xml:space="preserve">General observations from the discussion on embedding the Guiding </w:t>
      </w:r>
      <w:r w:rsidR="00AF4DB9" w:rsidRPr="00DD13AC">
        <w:rPr>
          <w:color w:val="000000"/>
        </w:rPr>
        <w:br/>
      </w:r>
      <w:r w:rsidR="00AF4DB9" w:rsidRPr="00DD13AC">
        <w:rPr>
          <w:color w:val="000000"/>
        </w:rPr>
        <w:tab/>
      </w:r>
      <w:r w:rsidR="00AF4DB9" w:rsidRPr="00DD13AC">
        <w:rPr>
          <w:color w:val="000000"/>
        </w:rPr>
        <w:tab/>
      </w:r>
      <w:r w:rsidR="00AF4DB9" w:rsidRPr="00DD13AC">
        <w:rPr>
          <w:color w:val="000000"/>
        </w:rPr>
        <w:tab/>
        <w:t xml:space="preserve">Principles in </w:t>
      </w:r>
      <w:r w:rsidR="00E72A18">
        <w:t xml:space="preserve">company policies, </w:t>
      </w:r>
      <w:r w:rsidR="00E72A18" w:rsidRPr="00DD13AC">
        <w:t>processes</w:t>
      </w:r>
      <w:r w:rsidR="00E72A18">
        <w:t xml:space="preserve"> </w:t>
      </w:r>
      <w:r w:rsidR="00E72A18" w:rsidRPr="00DD13AC">
        <w:t>and</w:t>
      </w:r>
      <w:r w:rsidR="00E72A18">
        <w:t xml:space="preserve"> </w:t>
      </w:r>
      <w:r w:rsidR="00AF4DB9" w:rsidRPr="00DD13AC">
        <w:rPr>
          <w:color w:val="000000"/>
        </w:rPr>
        <w:t xml:space="preserve">decision-making </w:t>
      </w:r>
      <w:r w:rsidR="00AF4DB9" w:rsidRPr="00DD13AC">
        <w:rPr>
          <w:color w:val="000000"/>
        </w:rPr>
        <w:tab/>
      </w:r>
      <w:r w:rsidR="00AF4DB9" w:rsidRPr="00DD13AC">
        <w:rPr>
          <w:color w:val="000000"/>
        </w:rPr>
        <w:tab/>
      </w:r>
      <w:r w:rsidRPr="00DD13AC">
        <w:rPr>
          <w:color w:val="000000"/>
        </w:rPr>
        <w:t>1</w:t>
      </w:r>
      <w:r w:rsidR="00E63D4F" w:rsidRPr="00DD13AC">
        <w:rPr>
          <w:color w:val="000000"/>
        </w:rPr>
        <w:t>8</w:t>
      </w:r>
      <w:r w:rsidRPr="00DD13AC">
        <w:rPr>
          <w:color w:val="000000"/>
        </w:rPr>
        <w:t>–2</w:t>
      </w:r>
      <w:r w:rsidR="00E63D4F" w:rsidRPr="00DD13AC">
        <w:rPr>
          <w:color w:val="000000"/>
        </w:rPr>
        <w:t>4</w:t>
      </w:r>
      <w:r w:rsidRPr="00DD13AC">
        <w:rPr>
          <w:color w:val="000000"/>
        </w:rPr>
        <w:tab/>
        <w:t>9</w:t>
      </w:r>
    </w:p>
    <w:p w:rsidR="001809D1" w:rsidRPr="00DD13AC" w:rsidRDefault="001809D1" w:rsidP="00A877F1">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t>IV.</w:t>
      </w:r>
      <w:r w:rsidRPr="00DD13AC">
        <w:rPr>
          <w:color w:val="000000"/>
        </w:rPr>
        <w:tab/>
      </w:r>
      <w:r w:rsidR="00716853" w:rsidRPr="00DD13AC">
        <w:t xml:space="preserve">Examples of </w:t>
      </w:r>
      <w:r w:rsidR="00A877F1" w:rsidRPr="00DD13AC">
        <w:t xml:space="preserve">engagement </w:t>
      </w:r>
      <w:r w:rsidR="00A877F1">
        <w:t xml:space="preserve">between </w:t>
      </w:r>
      <w:r w:rsidR="004748EE" w:rsidRPr="00DD13AC">
        <w:t>non-governmental organization</w:t>
      </w:r>
      <w:r w:rsidR="00A877F1">
        <w:t>s</w:t>
      </w:r>
      <w:r w:rsidR="00A877F1">
        <w:br/>
      </w:r>
      <w:r w:rsidR="00A877F1">
        <w:tab/>
      </w:r>
      <w:r w:rsidR="00A877F1">
        <w:tab/>
        <w:t xml:space="preserve">and </w:t>
      </w:r>
      <w:r w:rsidR="00716853" w:rsidRPr="00DD13AC">
        <w:t>business</w:t>
      </w:r>
      <w:r w:rsidR="00A877F1">
        <w:t xml:space="preserve"> </w:t>
      </w:r>
      <w:r w:rsidR="00716853" w:rsidRPr="00DD13AC">
        <w:t>to advance</w:t>
      </w:r>
      <w:r w:rsidR="00A877F1">
        <w:t xml:space="preserve"> </w:t>
      </w:r>
      <w:r w:rsidR="00716853" w:rsidRPr="00DD13AC">
        <w:t>implementation of the corporate responsibility</w:t>
      </w:r>
      <w:r w:rsidR="00A877F1">
        <w:br/>
      </w:r>
      <w:r w:rsidR="00A877F1">
        <w:tab/>
      </w:r>
      <w:r w:rsidR="00A877F1">
        <w:tab/>
      </w:r>
      <w:r w:rsidR="00716853" w:rsidRPr="00DD13AC">
        <w:t>to</w:t>
      </w:r>
      <w:r w:rsidR="00540891" w:rsidRPr="00DD13AC">
        <w:t xml:space="preserve"> </w:t>
      </w:r>
      <w:r w:rsidR="00716853" w:rsidRPr="00DD13AC">
        <w:t>respect</w:t>
      </w:r>
      <w:r w:rsidR="00A877F1">
        <w:tab/>
      </w:r>
      <w:r w:rsidR="00716853" w:rsidRPr="00DD13AC">
        <w:t>human rights</w:t>
      </w:r>
      <w:r w:rsidRPr="00DD13AC">
        <w:rPr>
          <w:color w:val="000000"/>
        </w:rPr>
        <w:tab/>
      </w:r>
      <w:r w:rsidRPr="00DD13AC">
        <w:rPr>
          <w:color w:val="000000"/>
        </w:rPr>
        <w:tab/>
      </w:r>
      <w:r w:rsidR="00845B96" w:rsidRPr="00DD13AC">
        <w:rPr>
          <w:color w:val="000000"/>
        </w:rPr>
        <w:t>2</w:t>
      </w:r>
      <w:r w:rsidR="00E63D4F" w:rsidRPr="00DD13AC">
        <w:rPr>
          <w:color w:val="000000"/>
        </w:rPr>
        <w:t>5</w:t>
      </w:r>
      <w:r w:rsidRPr="00DD13AC">
        <w:rPr>
          <w:color w:val="000000"/>
        </w:rPr>
        <w:t>–</w:t>
      </w:r>
      <w:r w:rsidR="00B34ADD" w:rsidRPr="00DD13AC">
        <w:rPr>
          <w:color w:val="000000"/>
        </w:rPr>
        <w:t>6</w:t>
      </w:r>
      <w:r w:rsidR="00815D78" w:rsidRPr="00DD13AC">
        <w:rPr>
          <w:color w:val="000000"/>
        </w:rPr>
        <w:t>2</w:t>
      </w:r>
      <w:r w:rsidRPr="00DD13AC">
        <w:rPr>
          <w:color w:val="000000"/>
        </w:rPr>
        <w:tab/>
      </w:r>
      <w:r w:rsidR="00845B96" w:rsidRPr="00DD13AC">
        <w:rPr>
          <w:color w:val="000000"/>
        </w:rPr>
        <w:t>11</w:t>
      </w:r>
    </w:p>
    <w:p w:rsidR="00845B96" w:rsidRPr="00DD13AC" w:rsidRDefault="00845B96" w:rsidP="001809D1">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A.</w:t>
      </w:r>
      <w:r w:rsidRPr="00DD13AC">
        <w:rPr>
          <w:color w:val="000000"/>
        </w:rPr>
        <w:tab/>
        <w:t xml:space="preserve">Introduction </w:t>
      </w:r>
      <w:r w:rsidRPr="00DD13AC">
        <w:rPr>
          <w:color w:val="000000"/>
        </w:rPr>
        <w:tab/>
      </w:r>
      <w:r w:rsidRPr="00DD13AC">
        <w:rPr>
          <w:color w:val="000000"/>
        </w:rPr>
        <w:tab/>
        <w:t>2</w:t>
      </w:r>
      <w:r w:rsidR="00876F1F" w:rsidRPr="00DD13AC">
        <w:rPr>
          <w:color w:val="000000"/>
        </w:rPr>
        <w:t>5</w:t>
      </w:r>
      <w:r w:rsidRPr="00DD13AC">
        <w:rPr>
          <w:color w:val="000000"/>
        </w:rPr>
        <w:tab/>
        <w:t>11</w:t>
      </w:r>
    </w:p>
    <w:p w:rsidR="00845B96" w:rsidRPr="00DD13AC" w:rsidRDefault="00845B96" w:rsidP="001B0E95">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B.</w:t>
      </w:r>
      <w:r w:rsidRPr="00DD13AC">
        <w:rPr>
          <w:color w:val="000000"/>
        </w:rPr>
        <w:tab/>
        <w:t xml:space="preserve">Community relocation in the context of mining in Mozambique </w:t>
      </w:r>
      <w:r w:rsidRPr="00DD13AC">
        <w:rPr>
          <w:color w:val="000000"/>
        </w:rPr>
        <w:tab/>
      </w:r>
      <w:r w:rsidRPr="00DD13AC">
        <w:rPr>
          <w:color w:val="000000"/>
        </w:rPr>
        <w:tab/>
        <w:t>2</w:t>
      </w:r>
      <w:r w:rsidR="00876F1F" w:rsidRPr="00DD13AC">
        <w:rPr>
          <w:color w:val="000000"/>
        </w:rPr>
        <w:t>6</w:t>
      </w:r>
      <w:r w:rsidR="00B34ADD" w:rsidRPr="00DD13AC">
        <w:rPr>
          <w:color w:val="000000"/>
        </w:rPr>
        <w:t>–3</w:t>
      </w:r>
      <w:r w:rsidR="00876F1F" w:rsidRPr="00DD13AC">
        <w:rPr>
          <w:color w:val="000000"/>
        </w:rPr>
        <w:t>5</w:t>
      </w:r>
      <w:r w:rsidR="00B34ADD" w:rsidRPr="00DD13AC">
        <w:rPr>
          <w:color w:val="000000"/>
        </w:rPr>
        <w:tab/>
        <w:t>1</w:t>
      </w:r>
      <w:r w:rsidR="001B0E95">
        <w:rPr>
          <w:color w:val="000000"/>
        </w:rPr>
        <w:t>2</w:t>
      </w:r>
    </w:p>
    <w:p w:rsidR="00B34ADD" w:rsidRPr="00DD13AC" w:rsidRDefault="00B34ADD" w:rsidP="00CD7B96">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C.</w:t>
      </w:r>
      <w:r w:rsidRPr="00DD13AC">
        <w:rPr>
          <w:color w:val="000000"/>
        </w:rPr>
        <w:tab/>
        <w:t xml:space="preserve">Child labour and women’s rights </w:t>
      </w:r>
      <w:r w:rsidR="00CD7B96">
        <w:rPr>
          <w:color w:val="000000"/>
        </w:rPr>
        <w:t>o</w:t>
      </w:r>
      <w:r w:rsidRPr="00DD13AC">
        <w:rPr>
          <w:color w:val="000000"/>
        </w:rPr>
        <w:t xml:space="preserve">n West African cocoa farms </w:t>
      </w:r>
      <w:r w:rsidRPr="00DD13AC">
        <w:rPr>
          <w:color w:val="000000"/>
        </w:rPr>
        <w:tab/>
      </w:r>
      <w:r w:rsidRPr="00DD13AC">
        <w:rPr>
          <w:color w:val="000000"/>
        </w:rPr>
        <w:tab/>
        <w:t>3</w:t>
      </w:r>
      <w:r w:rsidR="00876F1F" w:rsidRPr="00DD13AC">
        <w:rPr>
          <w:color w:val="000000"/>
        </w:rPr>
        <w:t>6</w:t>
      </w:r>
      <w:r w:rsidRPr="00DD13AC">
        <w:rPr>
          <w:color w:val="000000"/>
        </w:rPr>
        <w:t>–4</w:t>
      </w:r>
      <w:r w:rsidR="00876F1F" w:rsidRPr="00DD13AC">
        <w:rPr>
          <w:color w:val="000000"/>
        </w:rPr>
        <w:t>5</w:t>
      </w:r>
      <w:r w:rsidRPr="00DD13AC">
        <w:rPr>
          <w:color w:val="000000"/>
        </w:rPr>
        <w:tab/>
        <w:t>14</w:t>
      </w:r>
    </w:p>
    <w:p w:rsidR="00B34ADD" w:rsidRPr="00DD13AC" w:rsidRDefault="00B34ADD" w:rsidP="001809D1">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D.</w:t>
      </w:r>
      <w:r w:rsidRPr="00DD13AC">
        <w:rPr>
          <w:color w:val="000000"/>
        </w:rPr>
        <w:tab/>
        <w:t xml:space="preserve">Applying global framework agreements locally through mutual </w:t>
      </w:r>
      <w:r w:rsidRPr="00DD13AC">
        <w:rPr>
          <w:color w:val="000000"/>
        </w:rPr>
        <w:br/>
      </w:r>
      <w:r w:rsidRPr="00DD13AC">
        <w:rPr>
          <w:color w:val="000000"/>
        </w:rPr>
        <w:tab/>
      </w:r>
      <w:r w:rsidRPr="00DD13AC">
        <w:rPr>
          <w:color w:val="000000"/>
        </w:rPr>
        <w:tab/>
      </w:r>
      <w:r w:rsidRPr="00DD13AC">
        <w:rPr>
          <w:color w:val="000000"/>
        </w:rPr>
        <w:tab/>
        <w:t xml:space="preserve">responsibility in the textile sector </w:t>
      </w:r>
      <w:r w:rsidRPr="00DD13AC">
        <w:rPr>
          <w:color w:val="000000"/>
        </w:rPr>
        <w:tab/>
      </w:r>
      <w:r w:rsidRPr="00DD13AC">
        <w:rPr>
          <w:color w:val="000000"/>
        </w:rPr>
        <w:tab/>
        <w:t>4</w:t>
      </w:r>
      <w:r w:rsidR="00876F1F" w:rsidRPr="00DD13AC">
        <w:rPr>
          <w:color w:val="000000"/>
        </w:rPr>
        <w:t>6</w:t>
      </w:r>
      <w:r w:rsidRPr="00DD13AC">
        <w:rPr>
          <w:color w:val="000000"/>
        </w:rPr>
        <w:t>–5</w:t>
      </w:r>
      <w:r w:rsidR="00876F1F" w:rsidRPr="00DD13AC">
        <w:rPr>
          <w:color w:val="000000"/>
        </w:rPr>
        <w:t>1</w:t>
      </w:r>
      <w:r w:rsidRPr="00DD13AC">
        <w:rPr>
          <w:color w:val="000000"/>
        </w:rPr>
        <w:tab/>
        <w:t>16</w:t>
      </w:r>
    </w:p>
    <w:p w:rsidR="00B34ADD" w:rsidRPr="00DD13AC" w:rsidRDefault="00B34ADD" w:rsidP="001809D1">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E.</w:t>
      </w:r>
      <w:r w:rsidRPr="00DD13AC">
        <w:rPr>
          <w:color w:val="000000"/>
        </w:rPr>
        <w:tab/>
        <w:t xml:space="preserve">Privacy and freedom of expression on the Internet </w:t>
      </w:r>
      <w:r w:rsidRPr="00DD13AC">
        <w:rPr>
          <w:color w:val="000000"/>
        </w:rPr>
        <w:tab/>
      </w:r>
      <w:r w:rsidRPr="00DD13AC">
        <w:rPr>
          <w:color w:val="000000"/>
        </w:rPr>
        <w:tab/>
        <w:t>5</w:t>
      </w:r>
      <w:r w:rsidR="00876F1F" w:rsidRPr="00DD13AC">
        <w:rPr>
          <w:color w:val="000000"/>
        </w:rPr>
        <w:t>2</w:t>
      </w:r>
      <w:r w:rsidRPr="00DD13AC">
        <w:rPr>
          <w:color w:val="000000"/>
        </w:rPr>
        <w:t>–5</w:t>
      </w:r>
      <w:r w:rsidR="00876F1F" w:rsidRPr="00DD13AC">
        <w:rPr>
          <w:color w:val="000000"/>
        </w:rPr>
        <w:t>5</w:t>
      </w:r>
      <w:r w:rsidRPr="00DD13AC">
        <w:rPr>
          <w:color w:val="000000"/>
        </w:rPr>
        <w:tab/>
        <w:t>17</w:t>
      </w:r>
    </w:p>
    <w:p w:rsidR="00B34ADD" w:rsidRPr="00DD13AC" w:rsidRDefault="00B34ADD" w:rsidP="001809D1">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F.</w:t>
      </w:r>
      <w:r w:rsidRPr="00DD13AC">
        <w:rPr>
          <w:color w:val="000000"/>
        </w:rPr>
        <w:tab/>
        <w:t xml:space="preserve">Government perspectives </w:t>
      </w:r>
      <w:r w:rsidRPr="00DD13AC">
        <w:rPr>
          <w:color w:val="000000"/>
        </w:rPr>
        <w:tab/>
      </w:r>
      <w:r w:rsidRPr="00DD13AC">
        <w:rPr>
          <w:color w:val="000000"/>
        </w:rPr>
        <w:tab/>
        <w:t>5</w:t>
      </w:r>
      <w:r w:rsidR="00876F1F" w:rsidRPr="00DD13AC">
        <w:rPr>
          <w:color w:val="000000"/>
        </w:rPr>
        <w:t>6</w:t>
      </w:r>
      <w:r w:rsidRPr="00DD13AC">
        <w:rPr>
          <w:color w:val="000000"/>
        </w:rPr>
        <w:tab/>
        <w:t>18</w:t>
      </w:r>
    </w:p>
    <w:p w:rsidR="00B34ADD" w:rsidRPr="00DD13AC" w:rsidRDefault="00B34ADD" w:rsidP="00E72A18">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r>
      <w:r w:rsidRPr="00DD13AC">
        <w:rPr>
          <w:color w:val="000000"/>
        </w:rPr>
        <w:tab/>
        <w:t>G.</w:t>
      </w:r>
      <w:r w:rsidRPr="00DD13AC">
        <w:rPr>
          <w:color w:val="000000"/>
        </w:rPr>
        <w:tab/>
        <w:t xml:space="preserve">General observations from the discussion on </w:t>
      </w:r>
      <w:r w:rsidR="00CD7B96" w:rsidRPr="00DD13AC">
        <w:rPr>
          <w:color w:val="000000"/>
        </w:rPr>
        <w:t>relationships</w:t>
      </w:r>
      <w:r w:rsidR="00CD7B96">
        <w:rPr>
          <w:color w:val="000000"/>
        </w:rPr>
        <w:t xml:space="preserve"> between</w:t>
      </w:r>
      <w:r w:rsidR="00CD7B96">
        <w:rPr>
          <w:color w:val="000000"/>
        </w:rPr>
        <w:br/>
      </w:r>
      <w:r w:rsidR="00CD7B96">
        <w:rPr>
          <w:color w:val="000000"/>
        </w:rPr>
        <w:tab/>
      </w:r>
      <w:r w:rsidR="00CD7B96">
        <w:rPr>
          <w:color w:val="000000"/>
        </w:rPr>
        <w:tab/>
      </w:r>
      <w:r w:rsidR="00CD7B96">
        <w:rPr>
          <w:color w:val="000000"/>
        </w:rPr>
        <w:tab/>
      </w:r>
      <w:r w:rsidRPr="00DD13AC">
        <w:rPr>
          <w:color w:val="000000"/>
        </w:rPr>
        <w:t>civil society</w:t>
      </w:r>
      <w:r w:rsidR="00E72A18">
        <w:rPr>
          <w:color w:val="000000"/>
        </w:rPr>
        <w:t xml:space="preserve"> organizations</w:t>
      </w:r>
      <w:r w:rsidR="00CD7B96">
        <w:rPr>
          <w:color w:val="000000"/>
        </w:rPr>
        <w:t xml:space="preserve"> and </w:t>
      </w:r>
      <w:r w:rsidRPr="00DD13AC">
        <w:rPr>
          <w:color w:val="000000"/>
        </w:rPr>
        <w:t xml:space="preserve">business </w:t>
      </w:r>
      <w:r w:rsidRPr="00DD13AC">
        <w:rPr>
          <w:color w:val="000000"/>
        </w:rPr>
        <w:tab/>
      </w:r>
      <w:r w:rsidR="00A21846" w:rsidRPr="00DD13AC">
        <w:rPr>
          <w:color w:val="000000"/>
        </w:rPr>
        <w:tab/>
      </w:r>
      <w:r w:rsidRPr="00DD13AC">
        <w:rPr>
          <w:color w:val="000000"/>
        </w:rPr>
        <w:t>5</w:t>
      </w:r>
      <w:r w:rsidR="00876F1F" w:rsidRPr="00DD13AC">
        <w:rPr>
          <w:color w:val="000000"/>
        </w:rPr>
        <w:t>7</w:t>
      </w:r>
      <w:r w:rsidRPr="00DD13AC">
        <w:rPr>
          <w:color w:val="000000"/>
        </w:rPr>
        <w:t>–6</w:t>
      </w:r>
      <w:r w:rsidR="00876F1F" w:rsidRPr="00DD13AC">
        <w:rPr>
          <w:color w:val="000000"/>
        </w:rPr>
        <w:t>2</w:t>
      </w:r>
      <w:r w:rsidRPr="00DD13AC">
        <w:rPr>
          <w:color w:val="000000"/>
        </w:rPr>
        <w:tab/>
        <w:t>1</w:t>
      </w:r>
      <w:r w:rsidR="001B0E95">
        <w:rPr>
          <w:color w:val="000000"/>
        </w:rPr>
        <w:t>9</w:t>
      </w:r>
    </w:p>
    <w:p w:rsidR="001809D1" w:rsidRPr="00DD13AC" w:rsidRDefault="001809D1" w:rsidP="001809D1">
      <w:pPr>
        <w:tabs>
          <w:tab w:val="right" w:pos="850"/>
          <w:tab w:val="left" w:pos="1134"/>
          <w:tab w:val="left" w:pos="1559"/>
          <w:tab w:val="left" w:pos="1984"/>
          <w:tab w:val="left" w:leader="dot" w:pos="7654"/>
          <w:tab w:val="right" w:pos="8929"/>
          <w:tab w:val="right" w:pos="9638"/>
        </w:tabs>
        <w:spacing w:after="120"/>
        <w:rPr>
          <w:color w:val="000000"/>
        </w:rPr>
      </w:pPr>
      <w:r w:rsidRPr="00DD13AC">
        <w:rPr>
          <w:color w:val="000000"/>
        </w:rPr>
        <w:tab/>
        <w:t xml:space="preserve">V. </w:t>
      </w:r>
      <w:r w:rsidRPr="00DD13AC">
        <w:rPr>
          <w:color w:val="000000"/>
        </w:rPr>
        <w:tab/>
        <w:t xml:space="preserve">Conclusions and recommendations </w:t>
      </w:r>
      <w:r w:rsidRPr="00DD13AC">
        <w:rPr>
          <w:color w:val="000000"/>
        </w:rPr>
        <w:tab/>
      </w:r>
      <w:r w:rsidRPr="00DD13AC">
        <w:rPr>
          <w:color w:val="000000"/>
        </w:rPr>
        <w:tab/>
      </w:r>
      <w:r w:rsidR="00B34ADD" w:rsidRPr="00DD13AC">
        <w:rPr>
          <w:color w:val="000000"/>
        </w:rPr>
        <w:t>6</w:t>
      </w:r>
      <w:r w:rsidR="00876F1F" w:rsidRPr="00DD13AC">
        <w:rPr>
          <w:color w:val="000000"/>
        </w:rPr>
        <w:t>3</w:t>
      </w:r>
      <w:r w:rsidRPr="00DD13AC">
        <w:rPr>
          <w:color w:val="000000"/>
        </w:rPr>
        <w:t>–</w:t>
      </w:r>
      <w:r w:rsidR="00B34ADD" w:rsidRPr="00DD13AC">
        <w:rPr>
          <w:color w:val="000000"/>
        </w:rPr>
        <w:t>6</w:t>
      </w:r>
      <w:r w:rsidR="00876F1F" w:rsidRPr="00DD13AC">
        <w:rPr>
          <w:color w:val="000000"/>
        </w:rPr>
        <w:t>8</w:t>
      </w:r>
      <w:r w:rsidRPr="00DD13AC">
        <w:rPr>
          <w:color w:val="000000"/>
        </w:rPr>
        <w:tab/>
      </w:r>
      <w:r w:rsidR="00B34ADD" w:rsidRPr="00DD13AC">
        <w:rPr>
          <w:color w:val="000000"/>
        </w:rPr>
        <w:t>20</w:t>
      </w:r>
    </w:p>
    <w:p w:rsidR="00CF586F" w:rsidRPr="00DD13AC" w:rsidRDefault="001809D1" w:rsidP="001809D1">
      <w:pPr>
        <w:pStyle w:val="HChG"/>
      </w:pPr>
      <w:r w:rsidRPr="00DD13AC">
        <w:br w:type="page"/>
      </w:r>
      <w:r w:rsidRPr="00DD13AC">
        <w:lastRenderedPageBreak/>
        <w:tab/>
        <w:t>I.</w:t>
      </w:r>
      <w:r w:rsidRPr="00DD13AC">
        <w:tab/>
        <w:t>Introduction and background</w:t>
      </w:r>
    </w:p>
    <w:p w:rsidR="003E1A40" w:rsidRPr="00DD13AC" w:rsidRDefault="00D06973" w:rsidP="00D06973">
      <w:pPr>
        <w:pStyle w:val="SingleTxtG"/>
      </w:pPr>
      <w:r w:rsidRPr="00DD13AC">
        <w:rPr>
          <w:bCs/>
        </w:rPr>
        <w:t>1.</w:t>
      </w:r>
      <w:r w:rsidRPr="00DD13AC">
        <w:rPr>
          <w:bCs/>
        </w:rPr>
        <w:tab/>
      </w:r>
      <w:r w:rsidR="001809D1" w:rsidRPr="00DD13AC">
        <w:t xml:space="preserve">The </w:t>
      </w:r>
      <w:r w:rsidR="001809D1" w:rsidRPr="00DD13AC">
        <w:rPr>
          <w:rFonts w:eastAsia="Calibri"/>
        </w:rPr>
        <w:t>Guiding Principles on Business and Human Rights</w:t>
      </w:r>
      <w:r w:rsidR="003A4480">
        <w:rPr>
          <w:rFonts w:eastAsia="Calibri"/>
        </w:rPr>
        <w:t>:</w:t>
      </w:r>
      <w:r w:rsidR="001809D1" w:rsidRPr="00DD13AC">
        <w:rPr>
          <w:rFonts w:eastAsia="Calibri"/>
        </w:rPr>
        <w:t xml:space="preserve"> </w:t>
      </w:r>
      <w:r w:rsidR="003A4480">
        <w:rPr>
          <w:rFonts w:eastAsia="Calibri"/>
        </w:rPr>
        <w:t>I</w:t>
      </w:r>
      <w:r w:rsidR="001809D1" w:rsidRPr="00DD13AC">
        <w:rPr>
          <w:rFonts w:eastAsia="Calibri"/>
        </w:rPr>
        <w:t>mplementing the United Nations “Protect, Respect and Remedy” Framework</w:t>
      </w:r>
      <w:r w:rsidR="001809D1" w:rsidRPr="00DD13AC">
        <w:t xml:space="preserve"> clearly </w:t>
      </w:r>
      <w:r w:rsidR="00DF1191">
        <w:t>establish</w:t>
      </w:r>
      <w:r w:rsidR="001809D1" w:rsidRPr="00DD13AC">
        <w:t xml:space="preserve"> that all business enterprises have a responsibility to respect human rights. Understanding better what </w:t>
      </w:r>
      <w:r w:rsidR="00DF1191">
        <w:t>such</w:t>
      </w:r>
      <w:r w:rsidR="001809D1" w:rsidRPr="00DD13AC">
        <w:t xml:space="preserve"> respect for human rights m</w:t>
      </w:r>
      <w:r w:rsidR="00DF1191">
        <w:t>ight</w:t>
      </w:r>
      <w:r w:rsidR="001809D1" w:rsidRPr="00DD13AC">
        <w:t xml:space="preserve"> entail in terms of practical steps for companies in specific situations would </w:t>
      </w:r>
      <w:r w:rsidR="0066086B">
        <w:t>constitute</w:t>
      </w:r>
      <w:r w:rsidR="0066086B" w:rsidRPr="00DD13AC">
        <w:t xml:space="preserve"> </w:t>
      </w:r>
      <w:r w:rsidR="001809D1" w:rsidRPr="00DD13AC">
        <w:t xml:space="preserve">an important contribution to </w:t>
      </w:r>
      <w:r w:rsidR="0066086B">
        <w:t>meeting</w:t>
      </w:r>
      <w:r w:rsidR="001809D1" w:rsidRPr="00DD13AC">
        <w:t xml:space="preserve"> th</w:t>
      </w:r>
      <w:r w:rsidR="0066086B">
        <w:t>at</w:t>
      </w:r>
      <w:r w:rsidR="001809D1" w:rsidRPr="00DD13AC">
        <w:t xml:space="preserve"> responsibility. Th</w:t>
      </w:r>
      <w:r w:rsidR="007E422C" w:rsidRPr="00DD13AC">
        <w:t>at is the focus</w:t>
      </w:r>
      <w:r w:rsidR="00531207" w:rsidRPr="00DD13AC">
        <w:t xml:space="preserve"> of th</w:t>
      </w:r>
      <w:r w:rsidR="001809D1" w:rsidRPr="00DD13AC">
        <w:t>e present report</w:t>
      </w:r>
      <w:r w:rsidR="0066086B">
        <w:t>;</w:t>
      </w:r>
      <w:r w:rsidR="00531207" w:rsidRPr="00DD13AC">
        <w:t xml:space="preserve"> </w:t>
      </w:r>
      <w:r w:rsidR="0066086B">
        <w:t>it</w:t>
      </w:r>
      <w:r w:rsidR="001809D1" w:rsidRPr="00DD13AC">
        <w:t xml:space="preserve"> seeks to </w:t>
      </w:r>
      <w:r w:rsidR="0066086B">
        <w:t>provide</w:t>
      </w:r>
      <w:r w:rsidR="001809D1" w:rsidRPr="00DD13AC">
        <w:t xml:space="preserve"> examples of action companies have taken, based on discussions </w:t>
      </w:r>
      <w:r w:rsidR="003A4480">
        <w:t xml:space="preserve">held </w:t>
      </w:r>
      <w:r w:rsidR="0066086B">
        <w:t>at</w:t>
      </w:r>
      <w:r w:rsidR="001809D1" w:rsidRPr="00DD13AC">
        <w:t xml:space="preserve"> the third Forum on Business and Human Rights</w:t>
      </w:r>
      <w:r w:rsidR="0066086B">
        <w:t xml:space="preserve">, which was held from </w:t>
      </w:r>
      <w:r w:rsidR="001809D1" w:rsidRPr="00DD13AC">
        <w:t>1</w:t>
      </w:r>
      <w:r w:rsidR="0066086B">
        <w:t xml:space="preserve"> to </w:t>
      </w:r>
      <w:r w:rsidR="001809D1" w:rsidRPr="00DD13AC">
        <w:t>3 December 2014</w:t>
      </w:r>
      <w:r w:rsidR="003A7BBC" w:rsidRPr="00DD13AC">
        <w:t>.</w:t>
      </w:r>
    </w:p>
    <w:p w:rsidR="001809D1" w:rsidRPr="00DD13AC" w:rsidRDefault="00D06973" w:rsidP="00D06973">
      <w:pPr>
        <w:pStyle w:val="SingleTxtG"/>
      </w:pPr>
      <w:r w:rsidRPr="00DD13AC">
        <w:rPr>
          <w:bCs/>
        </w:rPr>
        <w:t>2.</w:t>
      </w:r>
      <w:r w:rsidRPr="00DD13AC">
        <w:rPr>
          <w:bCs/>
        </w:rPr>
        <w:tab/>
      </w:r>
      <w:r w:rsidR="002B1486" w:rsidRPr="00DD13AC">
        <w:t>Spec</w:t>
      </w:r>
      <w:r w:rsidR="00531207" w:rsidRPr="00DD13AC">
        <w:t xml:space="preserve">ifically, the report provides an </w:t>
      </w:r>
      <w:r w:rsidR="002B1486" w:rsidRPr="00DD13AC">
        <w:t xml:space="preserve">overview of a session held at the Forum </w:t>
      </w:r>
      <w:r w:rsidR="003A7BBC" w:rsidRPr="00DD13AC">
        <w:t xml:space="preserve">entitled </w:t>
      </w:r>
      <w:r w:rsidR="002B1486" w:rsidRPr="00DD13AC">
        <w:t>“Respect in practice</w:t>
      </w:r>
      <w:r w:rsidR="00E12308">
        <w:t>:</w:t>
      </w:r>
      <w:r w:rsidR="002B1486" w:rsidRPr="00DD13AC">
        <w:t xml:space="preserve"> progress and challenges in implementing the corporate responsibility to respect”. The session was convened by </w:t>
      </w:r>
      <w:r w:rsidR="002B1486" w:rsidRPr="00DD13AC">
        <w:rPr>
          <w:rFonts w:eastAsia="Calibri"/>
        </w:rPr>
        <w:t xml:space="preserve">the Working Group on the issue of human rights and transnational corporations and other business enterprises, and </w:t>
      </w:r>
      <w:r w:rsidR="002B1486" w:rsidRPr="00DD13AC">
        <w:t xml:space="preserve">organized </w:t>
      </w:r>
      <w:r w:rsidR="00E12308">
        <w:t xml:space="preserve">jointly </w:t>
      </w:r>
      <w:r w:rsidR="002B1486" w:rsidRPr="00DD13AC">
        <w:t xml:space="preserve">with the Global Business Initiative on Human Rights (GBI) and the Business </w:t>
      </w:r>
      <w:r w:rsidR="00E12308">
        <w:t>and</w:t>
      </w:r>
      <w:r w:rsidR="002B1486" w:rsidRPr="00DD13AC">
        <w:t xml:space="preserve"> Human Rights Resource Centre (BHRRC</w:t>
      </w:r>
      <w:r w:rsidR="00845B96" w:rsidRPr="00DD13AC">
        <w:t>)</w:t>
      </w:r>
      <w:r w:rsidR="002B1486" w:rsidRPr="00DD13AC">
        <w:t>.</w:t>
      </w:r>
      <w:r w:rsidR="003A7BBC" w:rsidRPr="00DD13AC">
        <w:t xml:space="preserve"> The Working Group would like to thank GBI and BHRRC for the</w:t>
      </w:r>
      <w:r w:rsidR="0066086B">
        <w:t>ir</w:t>
      </w:r>
      <w:r w:rsidR="003A7BBC" w:rsidRPr="00DD13AC">
        <w:t xml:space="preserve"> collaboration </w:t>
      </w:r>
      <w:r w:rsidR="0066086B">
        <w:t>in</w:t>
      </w:r>
      <w:r w:rsidR="003A7BBC" w:rsidRPr="00DD13AC">
        <w:t xml:space="preserve"> organiz</w:t>
      </w:r>
      <w:r w:rsidR="0066086B">
        <w:t>ing</w:t>
      </w:r>
      <w:r w:rsidR="003A7BBC" w:rsidRPr="00DD13AC">
        <w:t xml:space="preserve"> the session and for having </w:t>
      </w:r>
      <w:r w:rsidR="00AA6894" w:rsidRPr="00DD13AC">
        <w:t xml:space="preserve">prepared a report containing a detailed summary </w:t>
      </w:r>
      <w:r w:rsidR="003A7BBC" w:rsidRPr="00DD13AC">
        <w:t>and analysis of the discussions</w:t>
      </w:r>
      <w:r w:rsidR="003A3987" w:rsidRPr="00DD13AC">
        <w:t>.</w:t>
      </w:r>
      <w:r w:rsidR="003A7BBC" w:rsidRPr="00DD13AC">
        <w:rPr>
          <w:rStyle w:val="FootnoteReference"/>
        </w:rPr>
        <w:footnoteReference w:id="3"/>
      </w:r>
      <w:r w:rsidR="003A7BBC" w:rsidRPr="00DD13AC">
        <w:t xml:space="preserve"> The present document </w:t>
      </w:r>
      <w:r w:rsidR="00AA6894" w:rsidRPr="00DD13AC">
        <w:t>is based on th</w:t>
      </w:r>
      <w:r w:rsidR="00C3165C">
        <w:t>at</w:t>
      </w:r>
      <w:r w:rsidR="00AA6894" w:rsidRPr="00DD13AC">
        <w:t xml:space="preserve"> report</w:t>
      </w:r>
      <w:r w:rsidR="00C3165C">
        <w:t>, and</w:t>
      </w:r>
      <w:r w:rsidR="003A3987" w:rsidRPr="00DD13AC">
        <w:t xml:space="preserve"> seeks to transmit key lessons and insights to interested parties. In the concluding section, the Working Group highlights observations and recommendations for the consideration of stakeholders.</w:t>
      </w:r>
    </w:p>
    <w:p w:rsidR="001809D1" w:rsidRPr="00DD13AC" w:rsidRDefault="00D06973" w:rsidP="00D06973">
      <w:pPr>
        <w:pStyle w:val="SingleTxtG"/>
      </w:pPr>
      <w:r w:rsidRPr="00DD13AC">
        <w:rPr>
          <w:bCs/>
        </w:rPr>
        <w:t>3.</w:t>
      </w:r>
      <w:r w:rsidRPr="00DD13AC">
        <w:rPr>
          <w:bCs/>
        </w:rPr>
        <w:tab/>
      </w:r>
      <w:r w:rsidR="001809D1" w:rsidRPr="00DD13AC">
        <w:t xml:space="preserve">One aspect of </w:t>
      </w:r>
      <w:r w:rsidR="00531207" w:rsidRPr="00DD13AC">
        <w:t>the Working Group’s mandate</w:t>
      </w:r>
      <w:r w:rsidR="00531207" w:rsidRPr="00DD13AC">
        <w:rPr>
          <w:rFonts w:eastAsia="Calibri"/>
        </w:rPr>
        <w:t xml:space="preserve"> </w:t>
      </w:r>
      <w:r w:rsidR="001809D1" w:rsidRPr="00DD13AC">
        <w:t>is to identify, exchange and promote good practices and lessons learned on the implementation of the Guiding Principles</w:t>
      </w:r>
      <w:r w:rsidR="00C3165C">
        <w:t xml:space="preserve"> (</w:t>
      </w:r>
      <w:r w:rsidR="00C3165C" w:rsidRPr="001F1849">
        <w:rPr>
          <w:szCs w:val="18"/>
        </w:rPr>
        <w:t>A/HRC/17/31</w:t>
      </w:r>
      <w:r w:rsidR="00C3165C">
        <w:rPr>
          <w:szCs w:val="18"/>
        </w:rPr>
        <w:t>, annex)</w:t>
      </w:r>
      <w:r w:rsidR="001809D1" w:rsidRPr="00DD13AC">
        <w:t>.</w:t>
      </w:r>
      <w:r w:rsidR="00E5077F" w:rsidRPr="00DD13AC">
        <w:rPr>
          <w:rStyle w:val="FootnoteReference"/>
          <w:rFonts w:eastAsia="Calibri"/>
        </w:rPr>
        <w:footnoteReference w:id="4"/>
      </w:r>
      <w:r w:rsidR="001809D1" w:rsidRPr="00DD13AC">
        <w:t xml:space="preserve"> The Working Group also has a mandate to guide the annual Forum </w:t>
      </w:r>
      <w:r w:rsidR="00E5077F" w:rsidRPr="00DD13AC">
        <w:t xml:space="preserve">on Business and Human Rights </w:t>
      </w:r>
      <w:r w:rsidR="001809D1" w:rsidRPr="00DD13AC">
        <w:t xml:space="preserve">that was established to discuss trends and challenges in the implementation of the Guiding Principles and promote dialogue and cooperation on issues linked to business and human rights, including challenges faced in particular sectors, operational environments </w:t>
      </w:r>
      <w:r w:rsidR="00E12308">
        <w:t>and</w:t>
      </w:r>
      <w:r w:rsidR="001809D1" w:rsidRPr="00DD13AC">
        <w:t xml:space="preserve"> in relation to specific rights </w:t>
      </w:r>
      <w:r w:rsidR="00E12308">
        <w:t>and</w:t>
      </w:r>
      <w:r w:rsidR="001809D1" w:rsidRPr="00DD13AC">
        <w:t xml:space="preserve"> groups, as well as identifying good practices.</w:t>
      </w:r>
    </w:p>
    <w:p w:rsidR="001809D1" w:rsidRPr="00DD13AC" w:rsidRDefault="00D06973" w:rsidP="00D06973">
      <w:pPr>
        <w:pStyle w:val="SingleTxtG"/>
      </w:pPr>
      <w:r w:rsidRPr="00DD13AC">
        <w:rPr>
          <w:bCs/>
        </w:rPr>
        <w:t>4.</w:t>
      </w:r>
      <w:r w:rsidRPr="00DD13AC">
        <w:rPr>
          <w:bCs/>
        </w:rPr>
        <w:tab/>
      </w:r>
      <w:r w:rsidR="00C3165C">
        <w:t>The m</w:t>
      </w:r>
      <w:r w:rsidR="001809D1" w:rsidRPr="00DD13AC">
        <w:t xml:space="preserve">ain themes of the third annual Forum included challenges faced and progress made by companies in integrating the corporate responsibility to respect human rights both in policy and </w:t>
      </w:r>
      <w:r w:rsidR="00E12308">
        <w:t xml:space="preserve">in </w:t>
      </w:r>
      <w:r w:rsidR="001809D1" w:rsidRPr="00DD13AC">
        <w:t>practice</w:t>
      </w:r>
      <w:r w:rsidR="00C3165C">
        <w:t>,</w:t>
      </w:r>
      <w:r w:rsidR="001809D1" w:rsidRPr="00DD13AC">
        <w:t xml:space="preserve"> as well as good practice models for meaningful stakeholder engagement.</w:t>
      </w:r>
      <w:r w:rsidR="001809D1" w:rsidRPr="00DD13AC">
        <w:rPr>
          <w:rStyle w:val="FootnoteReference"/>
        </w:rPr>
        <w:footnoteReference w:id="5"/>
      </w:r>
      <w:r w:rsidR="001809D1" w:rsidRPr="00DD13AC">
        <w:t xml:space="preserve"> Accordingly, </w:t>
      </w:r>
      <w:r w:rsidR="00531207" w:rsidRPr="00DD13AC">
        <w:t>the “</w:t>
      </w:r>
      <w:r w:rsidR="00C277DC">
        <w:t>r</w:t>
      </w:r>
      <w:r w:rsidR="00531207" w:rsidRPr="00DD13AC">
        <w:t xml:space="preserve">espect in practice” </w:t>
      </w:r>
      <w:r w:rsidR="005D0FC2" w:rsidRPr="00DD13AC">
        <w:t xml:space="preserve">thematic </w:t>
      </w:r>
      <w:r w:rsidR="00531207" w:rsidRPr="00DD13AC">
        <w:t>session</w:t>
      </w:r>
      <w:r w:rsidR="005D0FC2" w:rsidRPr="00DD13AC">
        <w:t>s</w:t>
      </w:r>
      <w:r w:rsidR="00531207" w:rsidRPr="00DD13AC">
        <w:t xml:space="preserve"> </w:t>
      </w:r>
      <w:r w:rsidR="001809D1" w:rsidRPr="00DD13AC">
        <w:t xml:space="preserve">sought to </w:t>
      </w:r>
      <w:r w:rsidR="00E70FB3">
        <w:t>facilitate</w:t>
      </w:r>
      <w:r w:rsidR="001809D1" w:rsidRPr="00DD13AC">
        <w:t xml:space="preserve"> a multi-stakeholder dialogue about good practices, lessons, challenges, shortfalls, innovations and complexities relating to implementation of the second pillar of the Guiding Principles</w:t>
      </w:r>
      <w:r w:rsidR="007654E3" w:rsidRPr="00DD13AC">
        <w:t xml:space="preserve"> </w:t>
      </w:r>
      <w:r w:rsidR="007654E3" w:rsidRPr="00DD13AC">
        <w:lastRenderedPageBreak/>
        <w:t>and the “Protect, Respect and Remedy” Framework</w:t>
      </w:r>
      <w:r w:rsidR="00BB2E26">
        <w:t xml:space="preserve">, which is </w:t>
      </w:r>
      <w:r w:rsidR="001809D1" w:rsidRPr="00DD13AC">
        <w:t>the corporate responsibility to respect human rights.</w:t>
      </w:r>
      <w:r w:rsidR="001809D1" w:rsidRPr="00DD13AC">
        <w:rPr>
          <w:rStyle w:val="FootnoteReference"/>
        </w:rPr>
        <w:footnoteReference w:id="6"/>
      </w:r>
      <w:r w:rsidR="001809D1" w:rsidRPr="00DD13AC">
        <w:t xml:space="preserve"> </w:t>
      </w:r>
    </w:p>
    <w:p w:rsidR="003E1A40" w:rsidRPr="00DD13AC" w:rsidRDefault="00D06973" w:rsidP="00D06973">
      <w:pPr>
        <w:pStyle w:val="SingleTxtG"/>
      </w:pPr>
      <w:r w:rsidRPr="00DD13AC">
        <w:rPr>
          <w:bCs/>
        </w:rPr>
        <w:t>5.</w:t>
      </w:r>
      <w:r w:rsidRPr="00DD13AC">
        <w:rPr>
          <w:bCs/>
        </w:rPr>
        <w:tab/>
      </w:r>
      <w:r w:rsidR="00344EB7" w:rsidRPr="00DD13AC">
        <w:t xml:space="preserve">The </w:t>
      </w:r>
      <w:r w:rsidR="007E422C" w:rsidRPr="00DD13AC">
        <w:t xml:space="preserve">overall </w:t>
      </w:r>
      <w:r w:rsidR="00344EB7" w:rsidRPr="00DD13AC">
        <w:t xml:space="preserve">aim </w:t>
      </w:r>
      <w:r w:rsidR="007E422C" w:rsidRPr="00DD13AC">
        <w:t xml:space="preserve">of reporting </w:t>
      </w:r>
      <w:r w:rsidR="005D0FC2" w:rsidRPr="00DD13AC">
        <w:t xml:space="preserve">on the thematic </w:t>
      </w:r>
      <w:r w:rsidR="007E422C" w:rsidRPr="00DD13AC">
        <w:t>session</w:t>
      </w:r>
      <w:r w:rsidR="005D0FC2" w:rsidRPr="00DD13AC">
        <w:t>s</w:t>
      </w:r>
      <w:r w:rsidR="007E422C" w:rsidRPr="00DD13AC">
        <w:t xml:space="preserve"> </w:t>
      </w:r>
      <w:r w:rsidR="00301EA6" w:rsidRPr="00DD13AC">
        <w:t xml:space="preserve">is </w:t>
      </w:r>
      <w:r w:rsidR="001809D1" w:rsidRPr="00DD13AC">
        <w:t xml:space="preserve">to make available </w:t>
      </w:r>
      <w:r w:rsidR="00301EA6" w:rsidRPr="00DD13AC">
        <w:t xml:space="preserve">to a wider audience </w:t>
      </w:r>
      <w:r w:rsidR="001809D1" w:rsidRPr="00DD13AC">
        <w:t xml:space="preserve">concrete experiences and lessons </w:t>
      </w:r>
      <w:r w:rsidR="00301EA6" w:rsidRPr="00DD13AC">
        <w:t xml:space="preserve">presented </w:t>
      </w:r>
      <w:r w:rsidR="001809D1" w:rsidRPr="00DD13AC">
        <w:t xml:space="preserve">at the Forum </w:t>
      </w:r>
      <w:r w:rsidR="00E33580" w:rsidRPr="00DD13AC">
        <w:t xml:space="preserve">in order </w:t>
      </w:r>
      <w:r w:rsidR="001809D1" w:rsidRPr="00DD13AC">
        <w:t xml:space="preserve">to </w:t>
      </w:r>
      <w:r w:rsidR="00E33580" w:rsidRPr="00DD13AC">
        <w:t xml:space="preserve">build common knowledge and </w:t>
      </w:r>
      <w:r w:rsidR="001809D1" w:rsidRPr="00DD13AC">
        <w:t xml:space="preserve">support further efforts to implement the Guiding Principles. </w:t>
      </w:r>
    </w:p>
    <w:p w:rsidR="001809D1" w:rsidRPr="00DD13AC" w:rsidRDefault="00D06973" w:rsidP="00D06973">
      <w:pPr>
        <w:pStyle w:val="SingleTxtG"/>
      </w:pPr>
      <w:r w:rsidRPr="00DD13AC">
        <w:rPr>
          <w:bCs/>
        </w:rPr>
        <w:t>6.</w:t>
      </w:r>
      <w:r w:rsidRPr="00DD13AC">
        <w:rPr>
          <w:bCs/>
        </w:rPr>
        <w:tab/>
      </w:r>
      <w:r w:rsidR="00344EB7" w:rsidRPr="00DD13AC">
        <w:t>T</w:t>
      </w:r>
      <w:r w:rsidR="001809D1" w:rsidRPr="00DD13AC">
        <w:t>he Working Group would like to note that the examples highlighted in th</w:t>
      </w:r>
      <w:r w:rsidR="00BB2E26">
        <w:t>e present</w:t>
      </w:r>
      <w:r w:rsidR="001809D1" w:rsidRPr="00DD13AC">
        <w:t xml:space="preserve"> report </w:t>
      </w:r>
      <w:r w:rsidR="00DC2E4A">
        <w:t>constitute</w:t>
      </w:r>
      <w:r w:rsidR="001809D1" w:rsidRPr="00DD13AC">
        <w:t xml:space="preserve"> a limited sample of </w:t>
      </w:r>
      <w:r w:rsidR="00E70FB3">
        <w:t>the</w:t>
      </w:r>
      <w:r w:rsidR="001809D1" w:rsidRPr="00DD13AC">
        <w:t xml:space="preserve"> practice</w:t>
      </w:r>
      <w:r w:rsidR="00E70FB3">
        <w:t>s</w:t>
      </w:r>
      <w:r w:rsidR="001809D1" w:rsidRPr="00DD13AC">
        <w:t xml:space="preserve"> presented by companies that participated in the Forum</w:t>
      </w:r>
      <w:r w:rsidR="00E70FB3">
        <w:t xml:space="preserve"> and that</w:t>
      </w:r>
      <w:r w:rsidR="001809D1" w:rsidRPr="00DD13AC">
        <w:t xml:space="preserve"> were willing to share their perspectives in public in a multi-stakeholder setting, which a number of other companies are not yet ready to do. Moreover, the fact that the examples were discussed as part of the thematic discussion on “respect in practice” does not imply any endorsement of </w:t>
      </w:r>
      <w:r w:rsidR="00DC2E4A">
        <w:t>them</w:t>
      </w:r>
      <w:r w:rsidR="001809D1" w:rsidRPr="00DD13AC">
        <w:t xml:space="preserve"> as “good practice”, nor of the company overall</w:t>
      </w:r>
      <w:r w:rsidR="00DC2E4A">
        <w:t>,</w:t>
      </w:r>
      <w:r w:rsidR="001809D1" w:rsidRPr="00DD13AC">
        <w:t xml:space="preserve"> its policy </w:t>
      </w:r>
      <w:r w:rsidR="00DC2E4A">
        <w:t>or</w:t>
      </w:r>
      <w:r w:rsidR="001809D1" w:rsidRPr="00DD13AC">
        <w:t xml:space="preserve"> action </w:t>
      </w:r>
      <w:r w:rsidR="00E70FB3">
        <w:t xml:space="preserve">taken </w:t>
      </w:r>
      <w:r w:rsidR="001809D1" w:rsidRPr="00DD13AC">
        <w:t xml:space="preserve">to respect human rights. The primary purpose </w:t>
      </w:r>
      <w:r w:rsidR="00133D26">
        <w:t>in</w:t>
      </w:r>
      <w:r w:rsidR="001809D1" w:rsidRPr="00DD13AC">
        <w:t xml:space="preserve"> discussing the case studies is to facilitate </w:t>
      </w:r>
      <w:r w:rsidR="00133D26">
        <w:t>the</w:t>
      </w:r>
      <w:r w:rsidR="001809D1" w:rsidRPr="00DD13AC">
        <w:t xml:space="preserve"> exchange of experience and mutual learning among business, civil society and Governments. </w:t>
      </w:r>
    </w:p>
    <w:p w:rsidR="001809D1" w:rsidRPr="00DD13AC" w:rsidRDefault="00D06973" w:rsidP="00D06973">
      <w:pPr>
        <w:pStyle w:val="SingleTxtG"/>
      </w:pPr>
      <w:r w:rsidRPr="00DD13AC">
        <w:rPr>
          <w:bCs/>
        </w:rPr>
        <w:t>7.</w:t>
      </w:r>
      <w:r w:rsidRPr="00DD13AC">
        <w:rPr>
          <w:bCs/>
        </w:rPr>
        <w:tab/>
      </w:r>
      <w:r w:rsidR="001809D1" w:rsidRPr="00DD13AC">
        <w:t>Based on its own assessment, and feedback received from all stakeholder groups, the Working Group would like to facilitate more of th</w:t>
      </w:r>
      <w:r w:rsidR="00DC2E4A">
        <w:t>at</w:t>
      </w:r>
      <w:r w:rsidR="001809D1" w:rsidRPr="00DD13AC">
        <w:t xml:space="preserve"> type of focused and action-oriented discussion around specific cases and experiences. In th</w:t>
      </w:r>
      <w:r w:rsidR="00DC2E4A">
        <w:t>at</w:t>
      </w:r>
      <w:r w:rsidR="001809D1" w:rsidRPr="00DD13AC">
        <w:t xml:space="preserve"> regard, it commend</w:t>
      </w:r>
      <w:r w:rsidR="001E1C19" w:rsidRPr="00DD13AC">
        <w:t>s</w:t>
      </w:r>
      <w:r w:rsidR="001809D1" w:rsidRPr="00DD13AC">
        <w:t xml:space="preserve"> the companies, non-governmental organizations and States that shared their experiences and perspectives at the Forum.</w:t>
      </w:r>
    </w:p>
    <w:p w:rsidR="005078B0" w:rsidRPr="00DD13AC" w:rsidRDefault="005078B0" w:rsidP="001B0E95">
      <w:pPr>
        <w:pStyle w:val="HChG"/>
      </w:pPr>
      <w:r w:rsidRPr="00DD13AC">
        <w:tab/>
        <w:t>II.</w:t>
      </w:r>
      <w:r w:rsidRPr="00DD13AC">
        <w:tab/>
        <w:t>Introductory reflections o</w:t>
      </w:r>
      <w:r w:rsidR="00DC2E4A">
        <w:t>n</w:t>
      </w:r>
      <w:r w:rsidRPr="00DD13AC">
        <w:t xml:space="preserve"> the discussion on respect </w:t>
      </w:r>
    </w:p>
    <w:p w:rsidR="005078B0" w:rsidRPr="00DD13AC" w:rsidRDefault="00D06973" w:rsidP="00D06973">
      <w:pPr>
        <w:pStyle w:val="SingleTxtG"/>
      </w:pPr>
      <w:r w:rsidRPr="00DD13AC">
        <w:rPr>
          <w:bCs/>
        </w:rPr>
        <w:t>8.</w:t>
      </w:r>
      <w:r w:rsidRPr="00DD13AC">
        <w:rPr>
          <w:bCs/>
        </w:rPr>
        <w:tab/>
      </w:r>
      <w:r w:rsidR="005078B0" w:rsidRPr="00DD13AC">
        <w:t xml:space="preserve">The Working Group acknowledged the key importance of using the annual Forum to </w:t>
      </w:r>
      <w:r w:rsidR="001E7D86">
        <w:t>explore</w:t>
      </w:r>
      <w:r w:rsidR="005078B0" w:rsidRPr="00DD13AC">
        <w:t xml:space="preserve"> the complexity of what corporate respect for human rights means in practice</w:t>
      </w:r>
      <w:r w:rsidR="001E7D86">
        <w:t>,</w:t>
      </w:r>
      <w:r w:rsidR="005078B0" w:rsidRPr="00DD13AC">
        <w:t xml:space="preserve"> and to involve a diverse range of stakeholders in th</w:t>
      </w:r>
      <w:r w:rsidR="001E7D86">
        <w:t>e</w:t>
      </w:r>
      <w:r w:rsidR="005078B0" w:rsidRPr="00DD13AC">
        <w:t xml:space="preserve"> discussion. With the support of GBI</w:t>
      </w:r>
      <w:r w:rsidR="007654E3" w:rsidRPr="00DD13AC">
        <w:t xml:space="preserve"> and BHRRC</w:t>
      </w:r>
      <w:r w:rsidR="001E7D86">
        <w:t>,</w:t>
      </w:r>
      <w:r w:rsidR="005078B0" w:rsidRPr="00DD13AC">
        <w:t xml:space="preserve"> the aim was to take an innovative approach </w:t>
      </w:r>
      <w:r w:rsidR="00133D26">
        <w:t>by</w:t>
      </w:r>
      <w:r w:rsidR="005078B0" w:rsidRPr="00DD13AC">
        <w:t xml:space="preserve"> looking both inside companies to understand the policies and systems being put in place</w:t>
      </w:r>
      <w:r w:rsidR="001E7D86">
        <w:t>,</w:t>
      </w:r>
      <w:r w:rsidR="005078B0" w:rsidRPr="00DD13AC">
        <w:t xml:space="preserve"> and at the same time</w:t>
      </w:r>
      <w:r w:rsidR="001E7D86">
        <w:t>,</w:t>
      </w:r>
      <w:r w:rsidR="005078B0" w:rsidRPr="00DD13AC">
        <w:t xml:space="preserve"> at how business engages with civil society </w:t>
      </w:r>
      <w:r w:rsidR="00D63BD5">
        <w:t>organizations</w:t>
      </w:r>
      <w:r w:rsidR="005078B0" w:rsidRPr="00DD13AC">
        <w:t>.</w:t>
      </w:r>
    </w:p>
    <w:p w:rsidR="005078B0" w:rsidRPr="00DD13AC" w:rsidRDefault="00D06973" w:rsidP="00D06973">
      <w:pPr>
        <w:pStyle w:val="SingleTxtG"/>
      </w:pPr>
      <w:r w:rsidRPr="00DD13AC">
        <w:rPr>
          <w:bCs/>
        </w:rPr>
        <w:t>9.</w:t>
      </w:r>
      <w:r w:rsidRPr="00DD13AC">
        <w:rPr>
          <w:bCs/>
        </w:rPr>
        <w:tab/>
      </w:r>
      <w:r w:rsidR="001E7D86">
        <w:t>I</w:t>
      </w:r>
      <w:r w:rsidR="005078B0" w:rsidRPr="00DD13AC">
        <w:t xml:space="preserve">nside companies, all actors </w:t>
      </w:r>
      <w:r w:rsidR="001E7D86">
        <w:t>must</w:t>
      </w:r>
      <w:r w:rsidR="005078B0" w:rsidRPr="00DD13AC">
        <w:t xml:space="preserve"> appreciate </w:t>
      </w:r>
      <w:r w:rsidR="001E7D86">
        <w:t>the need to</w:t>
      </w:r>
      <w:r w:rsidR="005078B0" w:rsidRPr="00DD13AC">
        <w:t xml:space="preserve"> develop robust policies, operating procedures, processes and systems. However, it is also necessary to look at the cultural, “people-side” of respect for human rights</w:t>
      </w:r>
      <w:r w:rsidR="001E7D86">
        <w:t>, be it</w:t>
      </w:r>
      <w:r w:rsidR="005078B0" w:rsidRPr="00DD13AC">
        <w:t xml:space="preserve"> the message from the </w:t>
      </w:r>
      <w:r w:rsidR="001E7D86">
        <w:t>chief executive officer (</w:t>
      </w:r>
      <w:r w:rsidR="005078B0" w:rsidRPr="00DD13AC">
        <w:t>CEO</w:t>
      </w:r>
      <w:r w:rsidR="001E7D86">
        <w:t>)</w:t>
      </w:r>
      <w:r w:rsidR="005078B0" w:rsidRPr="00DD13AC">
        <w:t xml:space="preserve"> or the decision of the manager on the ground</w:t>
      </w:r>
      <w:r w:rsidR="00FF1DD5">
        <w:t>,</w:t>
      </w:r>
      <w:r w:rsidR="005078B0" w:rsidRPr="00DD13AC">
        <w:t xml:space="preserve"> as th</w:t>
      </w:r>
      <w:r w:rsidR="00FF1DD5">
        <w:t>o</w:t>
      </w:r>
      <w:r w:rsidR="005078B0" w:rsidRPr="00DD13AC">
        <w:t xml:space="preserve">se two dynamics need to work together to achieve effective and sustained human rights due diligence. The Working Group has consistently </w:t>
      </w:r>
      <w:r w:rsidR="00FF1DD5">
        <w:t>highlighted</w:t>
      </w:r>
      <w:r w:rsidR="005078B0" w:rsidRPr="00DD13AC">
        <w:t xml:space="preserve"> the need </w:t>
      </w:r>
      <w:r w:rsidR="00FF1DD5">
        <w:t>for</w:t>
      </w:r>
      <w:r w:rsidR="005078B0" w:rsidRPr="00DD13AC">
        <w:t xml:space="preserve"> more companies </w:t>
      </w:r>
      <w:r w:rsidR="00FF1DD5">
        <w:t xml:space="preserve">to </w:t>
      </w:r>
      <w:r w:rsidR="005078B0" w:rsidRPr="00DD13AC">
        <w:t>talk publicly about their systems</w:t>
      </w:r>
      <w:r w:rsidR="00FF1DD5">
        <w:t>,</w:t>
      </w:r>
      <w:r w:rsidR="005078B0" w:rsidRPr="00DD13AC">
        <w:t xml:space="preserve"> </w:t>
      </w:r>
      <w:r w:rsidR="00FF1DD5">
        <w:t>which</w:t>
      </w:r>
      <w:r w:rsidR="005078B0" w:rsidRPr="00DD13AC">
        <w:t xml:space="preserve"> in some instances </w:t>
      </w:r>
      <w:r w:rsidR="00FF1DD5">
        <w:t xml:space="preserve">are </w:t>
      </w:r>
      <w:r w:rsidR="005078B0" w:rsidRPr="00DD13AC">
        <w:t>highly sophisticated and robust from a human rights perspective</w:t>
      </w:r>
      <w:r w:rsidR="007654E3" w:rsidRPr="00DD13AC">
        <w:t>,</w:t>
      </w:r>
      <w:r w:rsidR="005078B0" w:rsidRPr="00DD13AC">
        <w:t xml:space="preserve"> and not just from a business management perspective. </w:t>
      </w:r>
      <w:r w:rsidR="00FF1DD5">
        <w:t>F</w:t>
      </w:r>
      <w:r w:rsidR="00FF1DD5" w:rsidRPr="00DD13AC">
        <w:t>or the Working Group</w:t>
      </w:r>
      <w:r w:rsidR="00FF1DD5">
        <w:t xml:space="preserve">, that is imperative in order </w:t>
      </w:r>
      <w:r w:rsidR="005078B0" w:rsidRPr="00DD13AC">
        <w:t xml:space="preserve">to </w:t>
      </w:r>
      <w:r w:rsidR="00FF1DD5">
        <w:t>ensure that</w:t>
      </w:r>
      <w:r w:rsidR="005078B0" w:rsidRPr="00DD13AC">
        <w:t xml:space="preserve"> the vast majority of companies that are new to the business and human rights agenda </w:t>
      </w:r>
      <w:r w:rsidR="00FF1DD5">
        <w:t xml:space="preserve">do not </w:t>
      </w:r>
      <w:r w:rsidR="005078B0" w:rsidRPr="00DD13AC">
        <w:t xml:space="preserve">have to reinvent the wheel, and </w:t>
      </w:r>
      <w:r w:rsidR="00FF1DD5">
        <w:t>also in order to</w:t>
      </w:r>
      <w:r w:rsidR="005078B0" w:rsidRPr="00DD13AC">
        <w:t xml:space="preserve"> recogni</w:t>
      </w:r>
      <w:r w:rsidR="00FF1DD5">
        <w:t>ze</w:t>
      </w:r>
      <w:r w:rsidR="005078B0" w:rsidRPr="00DD13AC">
        <w:t xml:space="preserve"> that it is essential to close the gap between </w:t>
      </w:r>
      <w:r w:rsidR="00133D26">
        <w:t>“</w:t>
      </w:r>
      <w:r w:rsidR="005078B0" w:rsidRPr="00DD13AC">
        <w:t>leaders and laggards</w:t>
      </w:r>
      <w:r w:rsidR="00133D26">
        <w:t>”</w:t>
      </w:r>
      <w:r w:rsidR="005078B0" w:rsidRPr="00DD13AC">
        <w:t xml:space="preserve">. A common challenge is that there is often reluctance for </w:t>
      </w:r>
      <w:r w:rsidR="005078B0" w:rsidRPr="00DD13AC">
        <w:lastRenderedPageBreak/>
        <w:t>companies to share their approaches and lessons, in part because it is very easy to go from “hero to zero” when things go wrong. Further</w:t>
      </w:r>
      <w:r w:rsidR="00FF1DD5">
        <w:t>more</w:t>
      </w:r>
      <w:r w:rsidR="005078B0" w:rsidRPr="00DD13AC">
        <w:t>, good people can make bad decisions, and good systems can sometimes lead to bad outcomes. Th</w:t>
      </w:r>
      <w:r w:rsidR="00FF1DD5">
        <w:t>at</w:t>
      </w:r>
      <w:r w:rsidR="005078B0" w:rsidRPr="00DD13AC">
        <w:t xml:space="preserve"> reinforces the need to engage with expert</w:t>
      </w:r>
      <w:r w:rsidR="00FF1DD5">
        <w:t>s</w:t>
      </w:r>
      <w:r w:rsidR="005078B0" w:rsidRPr="00DD13AC">
        <w:t xml:space="preserve"> and external stakeholders who can support due diligence approaches. </w:t>
      </w:r>
    </w:p>
    <w:p w:rsidR="005078B0" w:rsidRPr="00DD13AC" w:rsidRDefault="00D06973" w:rsidP="00D06973">
      <w:pPr>
        <w:pStyle w:val="SingleTxtG"/>
      </w:pPr>
      <w:r w:rsidRPr="00DD13AC">
        <w:rPr>
          <w:bCs/>
        </w:rPr>
        <w:t>10.</w:t>
      </w:r>
      <w:r w:rsidRPr="00DD13AC">
        <w:rPr>
          <w:bCs/>
        </w:rPr>
        <w:tab/>
      </w:r>
      <w:r w:rsidR="00FF1DD5">
        <w:t>Moreover</w:t>
      </w:r>
      <w:r w:rsidR="005078B0" w:rsidRPr="00DD13AC">
        <w:t xml:space="preserve">, in exploring the nuts and bolts of corporate respect for human rights in very practical terms, it </w:t>
      </w:r>
      <w:r w:rsidR="005D0FC2" w:rsidRPr="00DD13AC">
        <w:t xml:space="preserve">is </w:t>
      </w:r>
      <w:r w:rsidR="005078B0" w:rsidRPr="00DD13AC">
        <w:t xml:space="preserve">not only necessary to address what goes on within companies when putting in place policies and systems, but also </w:t>
      </w:r>
      <w:r w:rsidR="005D0FC2" w:rsidRPr="00DD13AC">
        <w:t xml:space="preserve">how companies </w:t>
      </w:r>
      <w:r w:rsidR="005078B0" w:rsidRPr="00DD13AC">
        <w:t xml:space="preserve">engage with affected stakeholders and civil society </w:t>
      </w:r>
      <w:r w:rsidR="00D63BD5">
        <w:t>organizations</w:t>
      </w:r>
      <w:r w:rsidR="005078B0" w:rsidRPr="00DD13AC">
        <w:t xml:space="preserve">. </w:t>
      </w:r>
      <w:r w:rsidR="00FF1DD5">
        <w:t xml:space="preserve">While </w:t>
      </w:r>
      <w:r w:rsidR="005D0FC2" w:rsidRPr="00DD13AC">
        <w:t xml:space="preserve">relations with communities and civil society </w:t>
      </w:r>
      <w:r w:rsidR="00D63BD5">
        <w:t>organizations</w:t>
      </w:r>
      <w:r w:rsidR="005D0FC2" w:rsidRPr="00DD13AC">
        <w:t xml:space="preserve"> </w:t>
      </w:r>
      <w:r w:rsidR="001E1C19" w:rsidRPr="00DD13AC">
        <w:t xml:space="preserve">are </w:t>
      </w:r>
      <w:r w:rsidR="00FF1DD5">
        <w:t>s</w:t>
      </w:r>
      <w:r w:rsidR="00FF1DD5" w:rsidRPr="00DD13AC">
        <w:t>ometimes</w:t>
      </w:r>
      <w:r w:rsidR="00FF1DD5">
        <w:t xml:space="preserve"> </w:t>
      </w:r>
      <w:r w:rsidR="005078B0" w:rsidRPr="00DD13AC">
        <w:t xml:space="preserve">tense, </w:t>
      </w:r>
      <w:r w:rsidR="001E1C19" w:rsidRPr="00DD13AC">
        <w:t>they</w:t>
      </w:r>
      <w:r w:rsidR="005078B0" w:rsidRPr="00DD13AC">
        <w:t xml:space="preserve"> can </w:t>
      </w:r>
      <w:r w:rsidR="001E1C19" w:rsidRPr="00DD13AC">
        <w:t xml:space="preserve">also </w:t>
      </w:r>
      <w:r w:rsidR="005078B0" w:rsidRPr="00DD13AC">
        <w:t xml:space="preserve">be hugely constructive for all parties if </w:t>
      </w:r>
      <w:r w:rsidR="00FF1DD5">
        <w:t>approached</w:t>
      </w:r>
      <w:r w:rsidR="005078B0" w:rsidRPr="00DD13AC">
        <w:t xml:space="preserve"> correctly. </w:t>
      </w:r>
    </w:p>
    <w:p w:rsidR="005078B0" w:rsidRPr="00DD13AC" w:rsidRDefault="00D06973" w:rsidP="00D06973">
      <w:pPr>
        <w:pStyle w:val="SingleTxtG"/>
      </w:pPr>
      <w:r w:rsidRPr="00DD13AC">
        <w:rPr>
          <w:bCs/>
        </w:rPr>
        <w:t>11.</w:t>
      </w:r>
      <w:r w:rsidRPr="00DD13AC">
        <w:rPr>
          <w:bCs/>
        </w:rPr>
        <w:tab/>
      </w:r>
      <w:r w:rsidR="00FF1DD5">
        <w:t>A</w:t>
      </w:r>
      <w:r w:rsidR="005078B0" w:rsidRPr="00DD13AC">
        <w:t>nother central aspect relate</w:t>
      </w:r>
      <w:r w:rsidR="007654E3" w:rsidRPr="00DD13AC">
        <w:t>s</w:t>
      </w:r>
      <w:r w:rsidR="005078B0" w:rsidRPr="00DD13AC">
        <w:t xml:space="preserve"> to the role of </w:t>
      </w:r>
      <w:r w:rsidR="00FF1DD5">
        <w:t>G</w:t>
      </w:r>
      <w:r w:rsidR="005078B0" w:rsidRPr="00DD13AC">
        <w:t xml:space="preserve">overnments, as both business integration and relationships </w:t>
      </w:r>
      <w:r w:rsidR="00FF1DD5">
        <w:t>between c</w:t>
      </w:r>
      <w:r w:rsidR="00FF1DD5" w:rsidRPr="00DD13AC">
        <w:t>ompan</w:t>
      </w:r>
      <w:r w:rsidR="00FF1DD5">
        <w:t xml:space="preserve">ies and civil society </w:t>
      </w:r>
      <w:r w:rsidR="005078B0" w:rsidRPr="00DD13AC">
        <w:t>are influenced by the context</w:t>
      </w:r>
      <w:r w:rsidR="00C277DC">
        <w:t>,</w:t>
      </w:r>
      <w:r w:rsidR="005078B0" w:rsidRPr="00DD13AC">
        <w:t xml:space="preserve"> or operating environment</w:t>
      </w:r>
      <w:r w:rsidR="00C277DC">
        <w:t>,</w:t>
      </w:r>
      <w:r w:rsidR="005078B0" w:rsidRPr="00DD13AC">
        <w:t xml:space="preserve"> that the </w:t>
      </w:r>
      <w:r w:rsidR="00C277DC">
        <w:t>G</w:t>
      </w:r>
      <w:r w:rsidR="005078B0" w:rsidRPr="00DD13AC">
        <w:t>overnment creates. However, th</w:t>
      </w:r>
      <w:r w:rsidR="00C277DC">
        <w:t>at</w:t>
      </w:r>
      <w:r w:rsidR="005078B0" w:rsidRPr="00DD13AC">
        <w:t xml:space="preserve"> is also a complex task, meaning that it is key for </w:t>
      </w:r>
      <w:r w:rsidR="00C277DC">
        <w:t>G</w:t>
      </w:r>
      <w:r w:rsidR="005078B0" w:rsidRPr="00DD13AC">
        <w:t xml:space="preserve">overnments to learn about what it takes to achieve corporate respect for human rights. Governments need to understand the challenges and concerns of communities, civil society and business in order to be effective in meeting their own duties to protect human rights and ensure access to effective remedy </w:t>
      </w:r>
      <w:r w:rsidR="00C277DC">
        <w:t>when business interests have</w:t>
      </w:r>
      <w:r w:rsidR="005078B0" w:rsidRPr="00DD13AC">
        <w:t xml:space="preserve"> adverse impacts</w:t>
      </w:r>
      <w:r w:rsidR="00C277DC">
        <w:t xml:space="preserve"> on human rights</w:t>
      </w:r>
      <w:r w:rsidR="005078B0" w:rsidRPr="00DD13AC">
        <w:t>.</w:t>
      </w:r>
    </w:p>
    <w:p w:rsidR="005078B0" w:rsidRPr="00DD13AC" w:rsidRDefault="00216E21" w:rsidP="00937FFD">
      <w:pPr>
        <w:pStyle w:val="HChG"/>
      </w:pPr>
      <w:r w:rsidRPr="00DD13AC">
        <w:tab/>
        <w:t>III.</w:t>
      </w:r>
      <w:r w:rsidRPr="00DD13AC">
        <w:tab/>
      </w:r>
      <w:r w:rsidR="005078B0" w:rsidRPr="00DD13AC">
        <w:t>Examples of companies’ efforts to integrate human rights in</w:t>
      </w:r>
      <w:r w:rsidR="007A2FC8" w:rsidRPr="00DD13AC">
        <w:t> </w:t>
      </w:r>
      <w:r w:rsidR="005078B0" w:rsidRPr="00DD13AC">
        <w:t>policies and processes</w:t>
      </w:r>
      <w:r w:rsidR="00D63BD5">
        <w:t xml:space="preserve"> </w:t>
      </w:r>
      <w:r w:rsidR="00D63BD5" w:rsidRPr="00DD13AC">
        <w:t>and</w:t>
      </w:r>
      <w:r w:rsidR="00D63BD5">
        <w:t xml:space="preserve"> </w:t>
      </w:r>
      <w:r w:rsidR="00D63BD5" w:rsidRPr="00DD13AC">
        <w:t>decision-making</w:t>
      </w:r>
    </w:p>
    <w:p w:rsidR="005078B0" w:rsidRPr="00DD13AC" w:rsidRDefault="00216E21" w:rsidP="00216E21">
      <w:pPr>
        <w:pStyle w:val="H1G"/>
      </w:pPr>
      <w:r w:rsidRPr="00DD13AC">
        <w:tab/>
        <w:t>A.</w:t>
      </w:r>
      <w:r w:rsidRPr="00DD13AC">
        <w:tab/>
      </w:r>
      <w:r w:rsidR="005078B0" w:rsidRPr="00DD13AC">
        <w:t>Introduction</w:t>
      </w:r>
    </w:p>
    <w:p w:rsidR="005078B0" w:rsidRPr="00DD13AC" w:rsidRDefault="00D06973" w:rsidP="00D06973">
      <w:pPr>
        <w:pStyle w:val="SingleTxtG"/>
      </w:pPr>
      <w:r w:rsidRPr="00DD13AC">
        <w:rPr>
          <w:bCs/>
        </w:rPr>
        <w:t>12.</w:t>
      </w:r>
      <w:r w:rsidRPr="00DD13AC">
        <w:rPr>
          <w:bCs/>
        </w:rPr>
        <w:tab/>
      </w:r>
      <w:r w:rsidR="005078B0" w:rsidRPr="00DD13AC">
        <w:t xml:space="preserve">The first panel of the “respect in practice” session was entitled “Embedding the Guiding Principles in </w:t>
      </w:r>
      <w:r w:rsidR="00E72A18">
        <w:t xml:space="preserve">company policies, </w:t>
      </w:r>
      <w:r w:rsidR="00E72A18" w:rsidRPr="00DD13AC">
        <w:t>processes</w:t>
      </w:r>
      <w:r w:rsidR="00E72A18">
        <w:t xml:space="preserve"> </w:t>
      </w:r>
      <w:r w:rsidR="00E72A18" w:rsidRPr="00DD13AC">
        <w:t>and</w:t>
      </w:r>
      <w:r w:rsidR="00E72A18">
        <w:t xml:space="preserve"> </w:t>
      </w:r>
      <w:r w:rsidR="005078B0" w:rsidRPr="00DD13AC">
        <w:t xml:space="preserve">decision-making”. The background for the focus of the panel was the benchmark and the standard of conduct </w:t>
      </w:r>
      <w:r w:rsidR="00C277DC">
        <w:t>established</w:t>
      </w:r>
      <w:r w:rsidR="00C277DC" w:rsidRPr="00DD13AC">
        <w:t xml:space="preserve"> </w:t>
      </w:r>
      <w:r w:rsidR="00C277DC">
        <w:t>in</w:t>
      </w:r>
      <w:r w:rsidR="00C277DC" w:rsidRPr="00DD13AC">
        <w:t xml:space="preserve"> the Guiding Principles</w:t>
      </w:r>
      <w:r w:rsidR="005078B0" w:rsidRPr="00DD13AC">
        <w:t xml:space="preserve"> for both States and businesses. For businesses, respect for human rights requires </w:t>
      </w:r>
      <w:r w:rsidR="00D63BD5">
        <w:t xml:space="preserve">a </w:t>
      </w:r>
      <w:r w:rsidR="005078B0" w:rsidRPr="00DD13AC">
        <w:t>clear policy commitment to respect human rights, acting with human rights due diligence and engaging in remediation. Th</w:t>
      </w:r>
      <w:r w:rsidR="00C277DC">
        <w:t>at</w:t>
      </w:r>
      <w:r w:rsidR="005078B0" w:rsidRPr="00DD13AC">
        <w:t xml:space="preserve"> is not a check-box exercise. Rather</w:t>
      </w:r>
      <w:r w:rsidR="00C277DC">
        <w:t>,</w:t>
      </w:r>
      <w:r w:rsidR="005078B0" w:rsidRPr="00DD13AC">
        <w:t xml:space="preserve"> it requires genuine </w:t>
      </w:r>
      <w:r w:rsidR="00D63BD5" w:rsidRPr="00DD13AC">
        <w:t>changes</w:t>
      </w:r>
      <w:r w:rsidR="00D63BD5">
        <w:t xml:space="preserve"> in </w:t>
      </w:r>
      <w:r w:rsidR="005078B0" w:rsidRPr="00DD13AC">
        <w:t>mindset</w:t>
      </w:r>
      <w:r w:rsidR="00D63BD5">
        <w:t>s</w:t>
      </w:r>
      <w:r w:rsidR="005078B0" w:rsidRPr="00DD13AC">
        <w:t>, culture and systems</w:t>
      </w:r>
      <w:r w:rsidR="00C277DC">
        <w:t>,</w:t>
      </w:r>
      <w:r w:rsidR="005078B0" w:rsidRPr="00DD13AC">
        <w:t xml:space="preserve"> similar to developments in other areas of corporate policy and systems</w:t>
      </w:r>
      <w:r w:rsidR="00C277DC">
        <w:t xml:space="preserve"> such as</w:t>
      </w:r>
      <w:r w:rsidR="005078B0" w:rsidRPr="00DD13AC">
        <w:t xml:space="preserve"> health and safety, </w:t>
      </w:r>
      <w:r w:rsidR="00C277DC">
        <w:t xml:space="preserve">the fight against </w:t>
      </w:r>
      <w:r w:rsidR="005078B0" w:rsidRPr="00DD13AC">
        <w:t xml:space="preserve">corruption and environmental management. Furthermore, the Guiding Principles articulate certain concepts and ideas that are intended to improve the quality </w:t>
      </w:r>
      <w:r w:rsidR="00C277DC" w:rsidRPr="00DD13AC">
        <w:t xml:space="preserve">and outcomes </w:t>
      </w:r>
      <w:r w:rsidR="005078B0" w:rsidRPr="00DD13AC">
        <w:t xml:space="preserve">of corporate action. The panel </w:t>
      </w:r>
      <w:r w:rsidR="00C277DC">
        <w:t>was therefore composed of</w:t>
      </w:r>
      <w:r w:rsidR="005078B0" w:rsidRPr="00DD13AC">
        <w:t xml:space="preserve"> several business representatives who shared the experience and lessons of their company’s work to achieve meaningful integration, with reference to some of the key concepts set out in the Guiding Principles. </w:t>
      </w:r>
    </w:p>
    <w:p w:rsidR="005078B0" w:rsidRPr="00DD13AC" w:rsidRDefault="00216E21" w:rsidP="00216E21">
      <w:pPr>
        <w:pStyle w:val="H1G"/>
      </w:pPr>
      <w:r w:rsidRPr="00DD13AC">
        <w:tab/>
        <w:t>B.</w:t>
      </w:r>
      <w:r w:rsidRPr="00DD13AC">
        <w:tab/>
      </w:r>
      <w:r w:rsidR="005078B0" w:rsidRPr="00DD13AC">
        <w:t>Policy development and senior management buy-in</w:t>
      </w:r>
    </w:p>
    <w:p w:rsidR="005078B0" w:rsidRPr="00DD13AC" w:rsidRDefault="00D06973" w:rsidP="00D06973">
      <w:pPr>
        <w:pStyle w:val="SingleTxtG"/>
      </w:pPr>
      <w:r w:rsidRPr="00DD13AC">
        <w:rPr>
          <w:bCs/>
        </w:rPr>
        <w:t>13.</w:t>
      </w:r>
      <w:r w:rsidRPr="00DD13AC">
        <w:rPr>
          <w:bCs/>
        </w:rPr>
        <w:tab/>
      </w:r>
      <w:r w:rsidR="009E7144">
        <w:t xml:space="preserve">The representative of </w:t>
      </w:r>
      <w:r w:rsidR="005078B0" w:rsidRPr="00DD13AC">
        <w:t xml:space="preserve">Total </w:t>
      </w:r>
      <w:r w:rsidR="0059319D" w:rsidRPr="00DD13AC">
        <w:t>S.</w:t>
      </w:r>
      <w:r w:rsidR="005078B0" w:rsidRPr="00DD13AC">
        <w:t>A</w:t>
      </w:r>
      <w:r w:rsidR="0059319D" w:rsidRPr="00DD13AC">
        <w:t>.</w:t>
      </w:r>
      <w:r w:rsidR="005078B0" w:rsidRPr="00DD13AC">
        <w:t xml:space="preserve"> focused on the decade-long journey towards establishing a corporate policy commitment to respect human rights, and the role of CEOs and senior leaders in th</w:t>
      </w:r>
      <w:r w:rsidR="009E7144">
        <w:t>at</w:t>
      </w:r>
      <w:r w:rsidR="005078B0" w:rsidRPr="00DD13AC">
        <w:t xml:space="preserve"> process. Some of the following lessons from th</w:t>
      </w:r>
      <w:r w:rsidR="009E7144">
        <w:t>e</w:t>
      </w:r>
      <w:r w:rsidR="005078B0" w:rsidRPr="00DD13AC">
        <w:t xml:space="preserve"> process were highlighted</w:t>
      </w:r>
      <w:r w:rsidR="007654E3" w:rsidRPr="00DD13AC">
        <w:t>, including the need to</w:t>
      </w:r>
      <w:r w:rsidR="005078B0" w:rsidRPr="00DD13AC">
        <w:t>:</w:t>
      </w:r>
    </w:p>
    <w:p w:rsidR="005078B0" w:rsidRPr="00DD13AC" w:rsidRDefault="00D06973" w:rsidP="00D06973">
      <w:pPr>
        <w:pStyle w:val="Bullet1G"/>
        <w:numPr>
          <w:ilvl w:val="0"/>
          <w:numId w:val="0"/>
        </w:numPr>
        <w:tabs>
          <w:tab w:val="left" w:pos="1701"/>
        </w:tabs>
        <w:ind w:left="1701" w:hanging="170"/>
        <w:rPr>
          <w:b/>
        </w:rPr>
      </w:pPr>
      <w:r w:rsidRPr="00DD13AC">
        <w:t>•</w:t>
      </w:r>
      <w:r w:rsidRPr="00DD13AC">
        <w:tab/>
      </w:r>
      <w:r w:rsidR="007A2FC8" w:rsidRPr="00DD13AC">
        <w:t>D</w:t>
      </w:r>
      <w:r w:rsidR="005078B0" w:rsidRPr="00DD13AC">
        <w:t>emystify human rights for colleagues and be prepa</w:t>
      </w:r>
      <w:r w:rsidR="00C960F2" w:rsidRPr="00DD13AC">
        <w:t>red to use operational language</w:t>
      </w:r>
      <w:r w:rsidR="007A2FC8" w:rsidRPr="00DD13AC">
        <w:t>;</w:t>
      </w:r>
    </w:p>
    <w:p w:rsidR="005078B0" w:rsidRPr="00DD13AC" w:rsidRDefault="00D06973" w:rsidP="00D06973">
      <w:pPr>
        <w:pStyle w:val="Bullet1G"/>
        <w:numPr>
          <w:ilvl w:val="0"/>
          <w:numId w:val="0"/>
        </w:numPr>
        <w:tabs>
          <w:tab w:val="left" w:pos="1701"/>
        </w:tabs>
        <w:ind w:left="1701" w:hanging="170"/>
        <w:rPr>
          <w:b/>
        </w:rPr>
      </w:pPr>
      <w:r w:rsidRPr="00DD13AC">
        <w:t>•</w:t>
      </w:r>
      <w:r w:rsidRPr="00DD13AC">
        <w:tab/>
      </w:r>
      <w:r w:rsidR="007A2FC8" w:rsidRPr="00DD13AC">
        <w:t>T</w:t>
      </w:r>
      <w:r w:rsidR="005078B0" w:rsidRPr="00DD13AC">
        <w:t>ailor the business case to different internal functions and stakeholders, or in other words</w:t>
      </w:r>
      <w:r w:rsidR="009E7144">
        <w:t>,</w:t>
      </w:r>
      <w:r w:rsidR="005078B0" w:rsidRPr="00DD13AC">
        <w:t xml:space="preserve"> speak about is</w:t>
      </w:r>
      <w:r w:rsidR="00C960F2" w:rsidRPr="00DD13AC">
        <w:t>sues that are relevant to them</w:t>
      </w:r>
      <w:r w:rsidR="007A2FC8" w:rsidRPr="00DD13AC">
        <w:t>;</w:t>
      </w:r>
    </w:p>
    <w:p w:rsidR="005078B0" w:rsidRPr="00DD13AC" w:rsidRDefault="00D06973" w:rsidP="00D06973">
      <w:pPr>
        <w:pStyle w:val="Bullet1G"/>
        <w:numPr>
          <w:ilvl w:val="0"/>
          <w:numId w:val="0"/>
        </w:numPr>
        <w:tabs>
          <w:tab w:val="left" w:pos="1701"/>
        </w:tabs>
        <w:ind w:left="1701" w:hanging="170"/>
        <w:rPr>
          <w:b/>
        </w:rPr>
      </w:pPr>
      <w:r w:rsidRPr="00DD13AC">
        <w:lastRenderedPageBreak/>
        <w:t>•</w:t>
      </w:r>
      <w:r w:rsidRPr="00DD13AC">
        <w:tab/>
      </w:r>
      <w:r w:rsidR="007A2FC8" w:rsidRPr="00DD13AC">
        <w:t>F</w:t>
      </w:r>
      <w:r w:rsidR="005078B0" w:rsidRPr="00DD13AC">
        <w:t xml:space="preserve">ocus on </w:t>
      </w:r>
      <w:r w:rsidR="005078B0" w:rsidRPr="00422AA4">
        <w:rPr>
          <w:iCs/>
        </w:rPr>
        <w:t>costs and opportunities</w:t>
      </w:r>
      <w:r w:rsidR="0075649B">
        <w:rPr>
          <w:iCs/>
        </w:rPr>
        <w:t>:</w:t>
      </w:r>
      <w:r w:rsidR="0075649B">
        <w:t xml:space="preserve"> while</w:t>
      </w:r>
      <w:r w:rsidR="005078B0" w:rsidRPr="00DD13AC">
        <w:t xml:space="preserve"> implementing systems for good due diligence and remediation does cost money, there are always much larger costs when thin</w:t>
      </w:r>
      <w:r w:rsidR="00C960F2" w:rsidRPr="00DD13AC">
        <w:t>gs are not managed and go wrong</w:t>
      </w:r>
      <w:r w:rsidR="007A2FC8" w:rsidRPr="00DD13AC">
        <w:t>;</w:t>
      </w:r>
    </w:p>
    <w:p w:rsidR="005078B0" w:rsidRPr="00DD13AC" w:rsidRDefault="00D06973" w:rsidP="00D06973">
      <w:pPr>
        <w:pStyle w:val="Bullet1G"/>
        <w:numPr>
          <w:ilvl w:val="0"/>
          <w:numId w:val="0"/>
        </w:numPr>
        <w:tabs>
          <w:tab w:val="left" w:pos="1701"/>
        </w:tabs>
        <w:ind w:left="1701" w:hanging="170"/>
        <w:rPr>
          <w:b/>
        </w:rPr>
      </w:pPr>
      <w:r w:rsidRPr="00DD13AC">
        <w:t>•</w:t>
      </w:r>
      <w:r w:rsidRPr="00DD13AC">
        <w:tab/>
      </w:r>
      <w:r w:rsidR="007A2FC8" w:rsidRPr="00DD13AC">
        <w:t>T</w:t>
      </w:r>
      <w:r w:rsidR="005078B0" w:rsidRPr="00DD13AC">
        <w:t>ake a sector</w:t>
      </w:r>
      <w:r w:rsidR="0075649B">
        <w:t>al</w:t>
      </w:r>
      <w:r w:rsidR="005078B0" w:rsidRPr="00DD13AC">
        <w:t xml:space="preserve"> approach, which also means work</w:t>
      </w:r>
      <w:r w:rsidR="0075649B">
        <w:t>ing</w:t>
      </w:r>
      <w:r w:rsidR="005078B0" w:rsidRPr="00DD13AC">
        <w:t xml:space="preserve"> collaboratively</w:t>
      </w:r>
      <w:r w:rsidR="00C960F2" w:rsidRPr="00DD13AC">
        <w:t xml:space="preserve"> with competitors</w:t>
      </w:r>
      <w:r w:rsidR="007A2FC8" w:rsidRPr="00DD13AC">
        <w:t>;</w:t>
      </w:r>
    </w:p>
    <w:p w:rsidR="005078B0" w:rsidRPr="00DD13AC" w:rsidRDefault="00D06973" w:rsidP="00D06973">
      <w:pPr>
        <w:pStyle w:val="Bullet1G"/>
        <w:numPr>
          <w:ilvl w:val="0"/>
          <w:numId w:val="0"/>
        </w:numPr>
        <w:tabs>
          <w:tab w:val="left" w:pos="1701"/>
        </w:tabs>
        <w:ind w:left="1701" w:hanging="170"/>
        <w:rPr>
          <w:b/>
        </w:rPr>
      </w:pPr>
      <w:r w:rsidRPr="00DD13AC">
        <w:t>•</w:t>
      </w:r>
      <w:r w:rsidRPr="00DD13AC">
        <w:tab/>
      </w:r>
      <w:r w:rsidR="007A2FC8" w:rsidRPr="00DD13AC">
        <w:t>T</w:t>
      </w:r>
      <w:r w:rsidR="005078B0" w:rsidRPr="00DD13AC">
        <w:t xml:space="preserve">ake an integrated approach by working with </w:t>
      </w:r>
      <w:r w:rsidR="00C960F2" w:rsidRPr="00DD13AC">
        <w:t>existing processes and systems</w:t>
      </w:r>
      <w:r w:rsidR="007A2FC8" w:rsidRPr="00DD13AC">
        <w:t>;</w:t>
      </w:r>
    </w:p>
    <w:p w:rsidR="005078B0" w:rsidRPr="00DD13AC" w:rsidRDefault="00D06973" w:rsidP="00D06973">
      <w:pPr>
        <w:pStyle w:val="Bullet1G"/>
        <w:numPr>
          <w:ilvl w:val="0"/>
          <w:numId w:val="0"/>
        </w:numPr>
        <w:tabs>
          <w:tab w:val="left" w:pos="1701"/>
        </w:tabs>
        <w:ind w:left="1701" w:hanging="170"/>
        <w:rPr>
          <w:b/>
        </w:rPr>
      </w:pPr>
      <w:r w:rsidRPr="00DD13AC">
        <w:t>•</w:t>
      </w:r>
      <w:r w:rsidRPr="00DD13AC">
        <w:tab/>
      </w:r>
      <w:r w:rsidR="007A2FC8" w:rsidRPr="00DD13AC">
        <w:t>B</w:t>
      </w:r>
      <w:r w:rsidR="005078B0" w:rsidRPr="00DD13AC">
        <w:t xml:space="preserve">enchmark </w:t>
      </w:r>
      <w:r w:rsidR="00D63BD5">
        <w:t>through</w:t>
      </w:r>
      <w:r w:rsidR="005078B0" w:rsidRPr="00DD13AC">
        <w:t xml:space="preserve"> engagement with experts, civil society and peers from diverse industries.</w:t>
      </w:r>
      <w:r w:rsidR="005078B0" w:rsidRPr="00DD13AC">
        <w:rPr>
          <w:b/>
        </w:rPr>
        <w:t xml:space="preserve"> </w:t>
      </w:r>
    </w:p>
    <w:p w:rsidR="005078B0" w:rsidRPr="00DD13AC" w:rsidRDefault="00C960F2" w:rsidP="004748EE">
      <w:pPr>
        <w:pStyle w:val="H1G"/>
      </w:pPr>
      <w:r w:rsidRPr="00DD13AC">
        <w:tab/>
        <w:t>C.</w:t>
      </w:r>
      <w:r w:rsidRPr="00DD13AC">
        <w:tab/>
      </w:r>
      <w:r w:rsidR="005078B0" w:rsidRPr="00DD13AC">
        <w:t>Corporate-wide impact and risk mapping</w:t>
      </w:r>
    </w:p>
    <w:p w:rsidR="005078B0" w:rsidRPr="00DD13AC" w:rsidRDefault="00D06973" w:rsidP="00D06973">
      <w:pPr>
        <w:pStyle w:val="SingleTxtG"/>
      </w:pPr>
      <w:r w:rsidRPr="00DD13AC">
        <w:rPr>
          <w:bCs/>
        </w:rPr>
        <w:t>14.</w:t>
      </w:r>
      <w:r w:rsidRPr="00DD13AC">
        <w:rPr>
          <w:bCs/>
        </w:rPr>
        <w:tab/>
      </w:r>
      <w:r w:rsidR="009E7144">
        <w:t xml:space="preserve">The representative of </w:t>
      </w:r>
      <w:r w:rsidR="005078B0" w:rsidRPr="00DD13AC">
        <w:t xml:space="preserve">Novo Nordisk shared insights from </w:t>
      </w:r>
      <w:r w:rsidR="0075649B">
        <w:t>the company’s</w:t>
      </w:r>
      <w:r w:rsidR="005078B0" w:rsidRPr="00DD13AC">
        <w:t xml:space="preserve"> experiences of conducting corporate-wide human rights impact and risk mapping. Some of the key lessons learned from the process were</w:t>
      </w:r>
      <w:r w:rsidR="0075649B">
        <w:t xml:space="preserve"> that</w:t>
      </w:r>
      <w:r w:rsidR="005078B0" w:rsidRPr="00DD13AC">
        <w:t xml:space="preserve">: </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A2FC8" w:rsidRPr="00DD13AC">
        <w:t>U</w:t>
      </w:r>
      <w:r w:rsidR="005078B0" w:rsidRPr="00DD13AC">
        <w:t>nderstanding the business context and realities f</w:t>
      </w:r>
      <w:r w:rsidR="00AA7BA5">
        <w:t>aced by those</w:t>
      </w:r>
      <w:r w:rsidR="005078B0" w:rsidRPr="00DD13AC">
        <w:t xml:space="preserve"> </w:t>
      </w:r>
      <w:r w:rsidR="00AA7BA5">
        <w:t xml:space="preserve">responsible for carrying out the human rights impact and risk mapping </w:t>
      </w:r>
      <w:r w:rsidR="005078B0" w:rsidRPr="00DD13AC">
        <w:t xml:space="preserve">is key. </w:t>
      </w:r>
      <w:r w:rsidR="0075649B">
        <w:t>Such</w:t>
      </w:r>
      <w:r w:rsidR="005078B0" w:rsidRPr="00DD13AC">
        <w:t xml:space="preserve"> internal engagement and effort to understa</w:t>
      </w:r>
      <w:r w:rsidR="00C960F2" w:rsidRPr="00DD13AC">
        <w:t>nd builds buy-in and ownership</w:t>
      </w:r>
      <w:r w:rsidR="007A2FC8"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A2FC8" w:rsidRPr="00DD13AC">
        <w:t>U</w:t>
      </w:r>
      <w:r w:rsidR="005078B0" w:rsidRPr="00DD13AC">
        <w:t>ndertaking corporate level due diligence is a good start</w:t>
      </w:r>
      <w:r w:rsidR="007654E3" w:rsidRPr="00DD13AC">
        <w:t>ing point</w:t>
      </w:r>
      <w:r w:rsidR="005078B0" w:rsidRPr="00DD13AC">
        <w:t xml:space="preserve"> because it allows the company to identify priority areas for deeper due diligence and impact assessments at the local level. Th</w:t>
      </w:r>
      <w:r w:rsidR="0075649B">
        <w:t>at</w:t>
      </w:r>
      <w:r w:rsidR="005078B0" w:rsidRPr="00DD13AC">
        <w:t xml:space="preserve"> deeper level will probably require different types of i</w:t>
      </w:r>
      <w:r w:rsidR="00C960F2" w:rsidRPr="00DD13AC">
        <w:t>nternal and external expertise</w:t>
      </w:r>
      <w:r w:rsidR="007A2FC8"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A2FC8" w:rsidRPr="00DD13AC">
        <w:t>T</w:t>
      </w:r>
      <w:r w:rsidR="005078B0" w:rsidRPr="00DD13AC">
        <w:t>he Guiding Principles helped the company to look at their human rights programmes with fresh eyes and in a more systematic way.</w:t>
      </w:r>
    </w:p>
    <w:p w:rsidR="005078B0" w:rsidRPr="00DD13AC" w:rsidRDefault="00474A26" w:rsidP="004748EE">
      <w:pPr>
        <w:pStyle w:val="H1G"/>
      </w:pPr>
      <w:r w:rsidRPr="00DD13AC">
        <w:tab/>
        <w:t>D.</w:t>
      </w:r>
      <w:r w:rsidRPr="00DD13AC">
        <w:tab/>
      </w:r>
      <w:r w:rsidR="005078B0" w:rsidRPr="00DD13AC">
        <w:t>Internal human rights training and capacity</w:t>
      </w:r>
      <w:r w:rsidR="004748EE">
        <w:t>-</w:t>
      </w:r>
      <w:r w:rsidR="005078B0" w:rsidRPr="00DD13AC">
        <w:t>building</w:t>
      </w:r>
    </w:p>
    <w:p w:rsidR="005078B0" w:rsidRPr="00DD13AC" w:rsidRDefault="00D06973" w:rsidP="00D06973">
      <w:pPr>
        <w:pStyle w:val="SingleTxtG"/>
      </w:pPr>
      <w:r w:rsidRPr="00DD13AC">
        <w:rPr>
          <w:bCs/>
        </w:rPr>
        <w:t>15.</w:t>
      </w:r>
      <w:r w:rsidRPr="00DD13AC">
        <w:rPr>
          <w:bCs/>
        </w:rPr>
        <w:tab/>
      </w:r>
      <w:r w:rsidR="009E7144">
        <w:t xml:space="preserve">The representative of </w:t>
      </w:r>
      <w:r w:rsidR="005078B0" w:rsidRPr="00DD13AC">
        <w:t xml:space="preserve">ABB </w:t>
      </w:r>
      <w:r w:rsidR="0075649B">
        <w:t>highlighted</w:t>
      </w:r>
      <w:r w:rsidR="005078B0" w:rsidRPr="00DD13AC">
        <w:t xml:space="preserve"> some key lessons and challenges regarding efforts to embed human rights in the company through human rights training and capacity</w:t>
      </w:r>
      <w:r w:rsidR="004748EE">
        <w:t>-</w:t>
      </w:r>
      <w:r w:rsidR="005078B0" w:rsidRPr="00DD13AC">
        <w:t>building</w:t>
      </w:r>
      <w:r w:rsidR="007654E3" w:rsidRPr="00DD13AC">
        <w:t>, including that</w:t>
      </w:r>
      <w:r w:rsidR="005078B0" w:rsidRPr="00DD13AC">
        <w:t xml:space="preserve">: </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A2FC8" w:rsidRPr="00DD13AC">
        <w:t>T</w:t>
      </w:r>
      <w:r w:rsidR="005078B0" w:rsidRPr="00DD13AC">
        <w:t>he leadership mandate from the CEO and senior management for training is key, but ensuring ongoing commitment in the context of stretched resources is</w:t>
      </w:r>
      <w:r w:rsidR="00474A26" w:rsidRPr="00DD13AC">
        <w:t xml:space="preserve"> a challenge for all businesses</w:t>
      </w:r>
      <w:r w:rsidR="007A2FC8"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A2FC8" w:rsidRPr="00DD13AC">
        <w:t>A</w:t>
      </w:r>
      <w:r w:rsidR="005078B0" w:rsidRPr="00DD13AC">
        <w:t>chieving coherence across a group of 1</w:t>
      </w:r>
      <w:r w:rsidR="007654E3" w:rsidRPr="00DD13AC">
        <w:t>4</w:t>
      </w:r>
      <w:r w:rsidR="005078B0" w:rsidRPr="00DD13AC">
        <w:t>0,000 people is very difficult. Th</w:t>
      </w:r>
      <w:r w:rsidR="0075649B">
        <w:t>at</w:t>
      </w:r>
      <w:r w:rsidR="005078B0" w:rsidRPr="00DD13AC">
        <w:t xml:space="preserve"> becomes even more of a challenge when a company </w:t>
      </w:r>
      <w:r w:rsidR="007654E3" w:rsidRPr="00DD13AC">
        <w:t xml:space="preserve">has to </w:t>
      </w:r>
      <w:r w:rsidR="005078B0" w:rsidRPr="00DD13AC">
        <w:t>consider diverse functions, different business units and memb</w:t>
      </w:r>
      <w:r w:rsidR="00474A26" w:rsidRPr="00DD13AC">
        <w:t>ership of business associations</w:t>
      </w:r>
      <w:r w:rsidR="007A2FC8"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A2FC8" w:rsidRPr="00DD13AC">
        <w:t>T</w:t>
      </w:r>
      <w:r w:rsidR="005078B0" w:rsidRPr="00DD13AC">
        <w:t>raining is necessary, but it is imperative to put the correct processes in place to ensure people make the correct decisions. For example</w:t>
      </w:r>
      <w:r w:rsidR="0075649B">
        <w:t>,</w:t>
      </w:r>
      <w:r w:rsidR="005078B0" w:rsidRPr="00DD13AC">
        <w:t xml:space="preserve"> the need for human rights training for the security function was highlighted, as </w:t>
      </w:r>
      <w:r w:rsidR="00AA7BA5">
        <w:t>security officers</w:t>
      </w:r>
      <w:r w:rsidR="005078B0" w:rsidRPr="00DD13AC">
        <w:t xml:space="preserve"> </w:t>
      </w:r>
      <w:r w:rsidR="007654E3" w:rsidRPr="00DD13AC">
        <w:t>are also responsible for</w:t>
      </w:r>
      <w:r w:rsidR="006F7C72" w:rsidRPr="00DD13AC">
        <w:t xml:space="preserve"> </w:t>
      </w:r>
      <w:r w:rsidR="005078B0" w:rsidRPr="00DD13AC">
        <w:t xml:space="preserve">questions and requirements about human rights when </w:t>
      </w:r>
      <w:r w:rsidR="00DD5C9D" w:rsidRPr="00DD13AC">
        <w:t>contracting security providers</w:t>
      </w:r>
      <w:r w:rsidR="007A2FC8"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A2FC8" w:rsidRPr="00DD13AC">
        <w:t>I</w:t>
      </w:r>
      <w:r w:rsidR="005078B0" w:rsidRPr="00DD13AC">
        <w:t>ndividuals who have been on training program</w:t>
      </w:r>
      <w:r w:rsidR="00C315AC">
        <w:t>me</w:t>
      </w:r>
      <w:r w:rsidR="005078B0" w:rsidRPr="00DD13AC">
        <w:t xml:space="preserve">s support the company in identifying human rights risks and gaps in company approaches. People who are well trained can become “eyes and ears” on the ground to support overall due diligence efforts. </w:t>
      </w:r>
    </w:p>
    <w:p w:rsidR="005078B0" w:rsidRPr="00DD13AC" w:rsidRDefault="00DD5C9D" w:rsidP="00DD5C9D">
      <w:pPr>
        <w:pStyle w:val="H1G"/>
      </w:pPr>
      <w:r w:rsidRPr="00DD13AC">
        <w:lastRenderedPageBreak/>
        <w:tab/>
        <w:t>E.</w:t>
      </w:r>
      <w:r w:rsidRPr="00DD13AC">
        <w:tab/>
      </w:r>
      <w:r w:rsidR="005078B0" w:rsidRPr="00DD13AC">
        <w:t>Effectiveness of operational-level grievance mechanisms</w:t>
      </w:r>
    </w:p>
    <w:p w:rsidR="005078B0" w:rsidRPr="00DD13AC" w:rsidRDefault="00D06973" w:rsidP="00D06973">
      <w:pPr>
        <w:pStyle w:val="SingleTxtG"/>
      </w:pPr>
      <w:r w:rsidRPr="00DD13AC">
        <w:rPr>
          <w:bCs/>
        </w:rPr>
        <w:t>16.</w:t>
      </w:r>
      <w:r w:rsidRPr="00DD13AC">
        <w:rPr>
          <w:bCs/>
        </w:rPr>
        <w:tab/>
      </w:r>
      <w:r w:rsidR="009E7144">
        <w:t>The representative of t</w:t>
      </w:r>
      <w:r w:rsidR="005078B0" w:rsidRPr="00DD13AC">
        <w:t>he BG Group shed light on experiences and challenges related to the effectiveness criteria for operational-level grievance mechanisms set out in the Guiding Principles, as the company had learned several lessons about issues that can either help or hinder meeting the effectiveness criteria. The</w:t>
      </w:r>
      <w:r w:rsidR="00CA7B15">
        <w:t xml:space="preserve"> lessons learned</w:t>
      </w:r>
      <w:r w:rsidR="005078B0" w:rsidRPr="00DD13AC">
        <w:t xml:space="preserve"> included: </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A2FC8" w:rsidRPr="00DD13AC">
        <w:t>G</w:t>
      </w:r>
      <w:r w:rsidR="005078B0" w:rsidRPr="00DD13AC">
        <w:t xml:space="preserve">ood key performance indicators are critical. It is important to look at trends and not make judgements about effectiveness based on data at one point in time. One common pitfall highlighted was the </w:t>
      </w:r>
      <w:r w:rsidR="00CA7B15">
        <w:t>mis</w:t>
      </w:r>
      <w:r w:rsidR="007654E3" w:rsidRPr="00DD13AC">
        <w:t>perception</w:t>
      </w:r>
      <w:r w:rsidR="005078B0" w:rsidRPr="00DD13AC">
        <w:t xml:space="preserve"> that </w:t>
      </w:r>
      <w:r w:rsidR="00C315AC">
        <w:t>few</w:t>
      </w:r>
      <w:r w:rsidR="005078B0" w:rsidRPr="00DD13AC">
        <w:t xml:space="preserve"> grievances </w:t>
      </w:r>
      <w:r w:rsidR="00CA7B15">
        <w:t>was</w:t>
      </w:r>
      <w:r w:rsidR="005078B0" w:rsidRPr="00DD13AC">
        <w:t xml:space="preserve"> </w:t>
      </w:r>
      <w:r w:rsidR="00CA7B15">
        <w:t>necessarily</w:t>
      </w:r>
      <w:r w:rsidR="00DD5C9D" w:rsidRPr="00DD13AC">
        <w:t xml:space="preserve"> an indicator of success</w:t>
      </w:r>
      <w:r w:rsidR="007A2FC8"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A2FC8" w:rsidRPr="00DD13AC">
        <w:t>T</w:t>
      </w:r>
      <w:r w:rsidR="005078B0" w:rsidRPr="00DD13AC">
        <w:t>he design of the mechanism should be informed by stakeholder engagement, especially with those who may ultimately use the mechanism. Th</w:t>
      </w:r>
      <w:r w:rsidR="00C315AC">
        <w:t>at</w:t>
      </w:r>
      <w:r w:rsidR="005078B0" w:rsidRPr="00DD13AC">
        <w:t xml:space="preserve"> can help with questions of accessibilit</w:t>
      </w:r>
      <w:r w:rsidR="00DD5C9D" w:rsidRPr="00DD13AC">
        <w:t>y and cultural appropriateness</w:t>
      </w:r>
      <w:r w:rsidR="007A2FC8"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A2FC8" w:rsidRPr="00DD13AC">
        <w:t>A</w:t>
      </w:r>
      <w:r w:rsidR="005078B0" w:rsidRPr="00DD13AC">
        <w:t xml:space="preserve">ddressing budget issues up front is important. In one situation, it was found that lack of internal clarity on who would cover the costs of compensation led to a delay in closing a case. The lesson was to have a budget in place up front which can be used to close off cases and clarify which functions or departments need to be billed for the payment. </w:t>
      </w:r>
    </w:p>
    <w:p w:rsidR="005078B0" w:rsidRPr="00DD13AC" w:rsidRDefault="00D06973" w:rsidP="00D06973">
      <w:pPr>
        <w:pStyle w:val="SingleTxtG"/>
      </w:pPr>
      <w:r w:rsidRPr="00DD13AC">
        <w:rPr>
          <w:bCs/>
        </w:rPr>
        <w:t>17.</w:t>
      </w:r>
      <w:r w:rsidRPr="00DD13AC">
        <w:rPr>
          <w:bCs/>
        </w:rPr>
        <w:tab/>
      </w:r>
      <w:r w:rsidR="00C315AC">
        <w:t>I</w:t>
      </w:r>
      <w:r w:rsidR="005078B0" w:rsidRPr="00DD13AC">
        <w:t xml:space="preserve">n the context of insights related to implementation of operational grievance mechanisms, a toolbox and </w:t>
      </w:r>
      <w:r w:rsidR="00CA7B15">
        <w:t xml:space="preserve">a </w:t>
      </w:r>
      <w:r w:rsidR="005078B0" w:rsidRPr="00DD13AC">
        <w:t xml:space="preserve">manual developed by </w:t>
      </w:r>
      <w:r w:rsidR="00C315AC">
        <w:t xml:space="preserve">the </w:t>
      </w:r>
      <w:r w:rsidR="00C315AC" w:rsidRPr="00C315AC">
        <w:t xml:space="preserve">International Petroleum Industry Environmental Conservation Association </w:t>
      </w:r>
      <w:r w:rsidR="00C315AC">
        <w:t>(I</w:t>
      </w:r>
      <w:r w:rsidR="00C315AC" w:rsidRPr="00DD13AC">
        <w:t>PIECA</w:t>
      </w:r>
      <w:r w:rsidR="00C315AC">
        <w:t xml:space="preserve">) </w:t>
      </w:r>
      <w:r w:rsidR="005078B0" w:rsidRPr="00DD13AC">
        <w:t>were highlighted. The toolbox includes an awareness pack, template operating procedures, and a diagnostic tool for existing corporate grievance mechanisms.</w:t>
      </w:r>
      <w:r w:rsidR="005B6AF1">
        <w:rPr>
          <w:rStyle w:val="FootnoteReference"/>
        </w:rPr>
        <w:footnoteReference w:id="7"/>
      </w:r>
      <w:r w:rsidR="005078B0" w:rsidRPr="00DD13AC">
        <w:t xml:space="preserve"> The manual </w:t>
      </w:r>
      <w:r w:rsidR="00CA7B15">
        <w:t xml:space="preserve">is </w:t>
      </w:r>
      <w:r w:rsidR="005078B0" w:rsidRPr="00DD13AC">
        <w:t>for site manager</w:t>
      </w:r>
      <w:r w:rsidR="005B6AF1">
        <w:t>s</w:t>
      </w:r>
      <w:r w:rsidR="005078B0" w:rsidRPr="00DD13AC">
        <w:t xml:space="preserve"> a</w:t>
      </w:r>
      <w:r w:rsidR="005B6AF1">
        <w:t>nd</w:t>
      </w:r>
      <w:r w:rsidR="005078B0" w:rsidRPr="00DD13AC">
        <w:t xml:space="preserve"> those at corporate level.</w:t>
      </w:r>
      <w:r w:rsidR="005B6AF1">
        <w:rPr>
          <w:rStyle w:val="FootnoteReference"/>
        </w:rPr>
        <w:footnoteReference w:id="8"/>
      </w:r>
      <w:r w:rsidR="005078B0" w:rsidRPr="00DD13AC">
        <w:t xml:space="preserve"> </w:t>
      </w:r>
    </w:p>
    <w:p w:rsidR="005078B0" w:rsidRPr="00DD13AC" w:rsidRDefault="00DD5C9D" w:rsidP="00E72A18">
      <w:pPr>
        <w:pStyle w:val="H1G"/>
      </w:pPr>
      <w:r w:rsidRPr="00DD13AC">
        <w:tab/>
        <w:t>F.</w:t>
      </w:r>
      <w:r w:rsidRPr="00DD13AC">
        <w:tab/>
      </w:r>
      <w:r w:rsidR="005078B0" w:rsidRPr="00DD13AC">
        <w:t xml:space="preserve">General observations from the discussion on embedding the Guiding Principles in </w:t>
      </w:r>
      <w:r w:rsidR="00E72A18">
        <w:t xml:space="preserve">company policies, </w:t>
      </w:r>
      <w:r w:rsidR="00E72A18" w:rsidRPr="00DD13AC">
        <w:t>processes</w:t>
      </w:r>
      <w:r w:rsidR="00E72A18">
        <w:t xml:space="preserve"> </w:t>
      </w:r>
      <w:r w:rsidR="00E72A18" w:rsidRPr="00DD13AC">
        <w:t>and</w:t>
      </w:r>
      <w:r w:rsidR="00E72A18">
        <w:t xml:space="preserve"> </w:t>
      </w:r>
      <w:r w:rsidR="005078B0" w:rsidRPr="00DD13AC">
        <w:t>decision-making</w:t>
      </w:r>
    </w:p>
    <w:p w:rsidR="00DD5C9D" w:rsidRPr="00DD13AC" w:rsidRDefault="00DD5C9D" w:rsidP="005B6AF1">
      <w:pPr>
        <w:pStyle w:val="H23G"/>
      </w:pPr>
      <w:r w:rsidRPr="00DD13AC">
        <w:tab/>
      </w:r>
      <w:r w:rsidR="005B6AF1">
        <w:t>1.</w:t>
      </w:r>
      <w:r w:rsidRPr="00DD13AC">
        <w:tab/>
      </w:r>
      <w:r w:rsidR="005078B0" w:rsidRPr="00DD13AC">
        <w:t xml:space="preserve">Where company commitment exists, the Guiding Principles </w:t>
      </w:r>
      <w:r w:rsidR="005078B0" w:rsidRPr="00422AA4">
        <w:rPr>
          <w:iCs/>
        </w:rPr>
        <w:t xml:space="preserve">are </w:t>
      </w:r>
      <w:r w:rsidR="005078B0" w:rsidRPr="00DD13AC">
        <w:t xml:space="preserve">influencing practices and decision making </w:t>
      </w:r>
    </w:p>
    <w:p w:rsidR="005078B0" w:rsidRPr="00DD13AC" w:rsidRDefault="00D06973" w:rsidP="00D06973">
      <w:pPr>
        <w:pStyle w:val="SingleTxtG"/>
      </w:pPr>
      <w:r w:rsidRPr="00DD13AC">
        <w:rPr>
          <w:bCs/>
        </w:rPr>
        <w:t>18.</w:t>
      </w:r>
      <w:r w:rsidRPr="00DD13AC">
        <w:rPr>
          <w:bCs/>
        </w:rPr>
        <w:tab/>
      </w:r>
      <w:r w:rsidR="005078B0" w:rsidRPr="00DD13AC">
        <w:t>Speakers noted that the endorsement of the Guiding Principles by the Human Rights Council provoked a step-up, or reset, of their human rights commitments and work. Equally important</w:t>
      </w:r>
      <w:r w:rsidR="005B6AF1">
        <w:t>ly</w:t>
      </w:r>
      <w:r w:rsidR="005078B0" w:rsidRPr="00DD13AC">
        <w:t xml:space="preserve">, the content of the Guiding Principles has begun to influence the details of implementation. Speakers described instances where the spirit and letter of the Guiding Principles are making their way into policies, practices and processes. </w:t>
      </w:r>
      <w:r w:rsidR="00CB2A94" w:rsidRPr="00DD13AC">
        <w:t>The panel touched upon CEO engagement on human rights, upgraded policy commitments, cross-functional involvement, strong investment in internal capacity</w:t>
      </w:r>
      <w:r w:rsidR="004748EE">
        <w:t>-</w:t>
      </w:r>
      <w:r w:rsidR="00CB2A94" w:rsidRPr="00DD13AC">
        <w:t xml:space="preserve">building to support horizontal and vertical coherence, methodologies to apply human rights due diligence, embedding human rights considerations into core processes, and enhancing operational grievance mechanisms. </w:t>
      </w:r>
      <w:r w:rsidR="005078B0" w:rsidRPr="00DD13AC">
        <w:t xml:space="preserve">Examples of </w:t>
      </w:r>
      <w:r w:rsidR="00CB2A94" w:rsidRPr="00DD13AC">
        <w:t>where the Guiding Principles are directly influenc</w:t>
      </w:r>
      <w:r w:rsidR="005B6AF1">
        <w:t>ing</w:t>
      </w:r>
      <w:r w:rsidR="00CB2A94" w:rsidRPr="00DD13AC">
        <w:t xml:space="preserve"> policies and processes </w:t>
      </w:r>
      <w:r w:rsidR="005078B0" w:rsidRPr="00DD13AC">
        <w:t>include due diligence that looks at all operations and all human rights</w:t>
      </w:r>
      <w:r w:rsidR="005B6AF1">
        <w:t>,</w:t>
      </w:r>
      <w:r w:rsidR="005078B0" w:rsidRPr="00DD13AC">
        <w:t xml:space="preserve"> </w:t>
      </w:r>
      <w:r w:rsidR="005B6AF1">
        <w:t>as opposed to</w:t>
      </w:r>
      <w:r w:rsidR="005078B0" w:rsidRPr="00DD13AC">
        <w:t xml:space="preserve"> one function and a sub-set of rights; wording about addressing conflict of laws in codes of conduct; </w:t>
      </w:r>
      <w:r w:rsidR="005B6AF1">
        <w:t xml:space="preserve">the </w:t>
      </w:r>
      <w:r w:rsidR="005078B0" w:rsidRPr="00DD13AC">
        <w:t xml:space="preserve">use of </w:t>
      </w:r>
      <w:r w:rsidR="005B6AF1">
        <w:t xml:space="preserve">the phrase </w:t>
      </w:r>
      <w:r w:rsidR="005078B0" w:rsidRPr="00DD13AC">
        <w:t xml:space="preserve">“cause, contribute and directly linked” when engaging colleagues about the company’s impact; and verbatim inclusion of the effectiveness criteria </w:t>
      </w:r>
      <w:r w:rsidR="005078B0" w:rsidRPr="00DD13AC">
        <w:lastRenderedPageBreak/>
        <w:t xml:space="preserve">for grievance mechanisms </w:t>
      </w:r>
      <w:r w:rsidR="00533CED">
        <w:t xml:space="preserve">contained in the </w:t>
      </w:r>
      <w:r w:rsidR="00533CED" w:rsidRPr="00DD13AC">
        <w:t xml:space="preserve">Guiding Principles </w:t>
      </w:r>
      <w:r w:rsidR="005078B0" w:rsidRPr="00DD13AC">
        <w:t xml:space="preserve">in company standards and operating procedures. </w:t>
      </w:r>
    </w:p>
    <w:p w:rsidR="00DD5C9D" w:rsidRPr="00DD13AC" w:rsidRDefault="00DD5C9D" w:rsidP="00AA7BA5">
      <w:pPr>
        <w:pStyle w:val="H23G"/>
      </w:pPr>
      <w:r w:rsidRPr="00DD13AC">
        <w:tab/>
      </w:r>
      <w:r w:rsidR="005B6AF1">
        <w:t>2.</w:t>
      </w:r>
      <w:r w:rsidRPr="00DD13AC">
        <w:tab/>
      </w:r>
      <w:r w:rsidR="005078B0" w:rsidRPr="00DD13AC">
        <w:t>Some convergence is occurring around foundational building blocks and associated tools and approaches</w:t>
      </w:r>
    </w:p>
    <w:p w:rsidR="005078B0" w:rsidRPr="00DD13AC" w:rsidRDefault="00D06973" w:rsidP="00D06973">
      <w:pPr>
        <w:pStyle w:val="SingleTxtG"/>
      </w:pPr>
      <w:r w:rsidRPr="00DD13AC">
        <w:rPr>
          <w:bCs/>
        </w:rPr>
        <w:t>19.</w:t>
      </w:r>
      <w:r w:rsidRPr="00DD13AC">
        <w:rPr>
          <w:bCs/>
        </w:rPr>
        <w:tab/>
      </w:r>
      <w:r w:rsidR="005078B0" w:rsidRPr="00DD13AC">
        <w:t>Speakers were invited to address one aspect of their human rights work, as each sector and company establish</w:t>
      </w:r>
      <w:r w:rsidR="00533CED">
        <w:t>es</w:t>
      </w:r>
      <w:r w:rsidR="005078B0" w:rsidRPr="00DD13AC">
        <w:t xml:space="preserve"> an approach to human rights that fits their circumstances. At the same time, it seems </w:t>
      </w:r>
      <w:r w:rsidR="00CA7B15">
        <w:t xml:space="preserve">that </w:t>
      </w:r>
      <w:r w:rsidR="005078B0" w:rsidRPr="00DD13AC">
        <w:t>a picture is beginning to emerge about some key foundational building blocks relating to implementing respect for human rights.</w:t>
      </w:r>
      <w:r w:rsidR="00146B06" w:rsidRPr="00DD13AC">
        <w:t xml:space="preserve"> </w:t>
      </w:r>
      <w:r w:rsidR="00533CED">
        <w:t>S</w:t>
      </w:r>
      <w:r w:rsidR="005078B0" w:rsidRPr="00DD13AC">
        <w:t>peakers presented or referenced tools and resources that have been developed in-house</w:t>
      </w:r>
      <w:r w:rsidR="00533CED">
        <w:t>,</w:t>
      </w:r>
      <w:r w:rsidR="005078B0" w:rsidRPr="00DD13AC">
        <w:t xml:space="preserve"> </w:t>
      </w:r>
      <w:r w:rsidR="00533CED">
        <w:t>albeit</w:t>
      </w:r>
      <w:r w:rsidR="005078B0" w:rsidRPr="00DD13AC">
        <w:t xml:space="preserve"> often with the help of external experts. For example: </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641BBD" w:rsidRPr="00DD13AC">
        <w:rPr>
          <w:bCs/>
        </w:rPr>
        <w:t>T</w:t>
      </w:r>
      <w:r w:rsidR="005078B0" w:rsidRPr="00DD13AC">
        <w:rPr>
          <w:bCs/>
        </w:rPr>
        <w:t>o establish priorities and a road map</w:t>
      </w:r>
      <w:r w:rsidR="005078B0" w:rsidRPr="00DD13AC">
        <w:t>, some companies are developing in-house Excel and Word tools to map human rights risks at a corporate</w:t>
      </w:r>
      <w:r w:rsidR="00CA7B15">
        <w:t xml:space="preserve"> </w:t>
      </w:r>
      <w:r w:rsidR="005078B0" w:rsidRPr="00DD13AC">
        <w:t>level. Th</w:t>
      </w:r>
      <w:r w:rsidR="00533CED">
        <w:t>o</w:t>
      </w:r>
      <w:r w:rsidR="005078B0" w:rsidRPr="00DD13AC">
        <w:t>se tools cover all business processes, the value chain and operational contexts</w:t>
      </w:r>
      <w:r w:rsidR="00533CED">
        <w:t>,</w:t>
      </w:r>
      <w:r w:rsidR="005078B0" w:rsidRPr="00DD13AC">
        <w:t xml:space="preserve"> address the adequacy of current policy and practice</w:t>
      </w:r>
      <w:r w:rsidR="00533CED">
        <w:t>,</w:t>
      </w:r>
      <w:r w:rsidR="005078B0" w:rsidRPr="00DD13AC">
        <w:t xml:space="preserve"> and are based on the Guiding Principle</w:t>
      </w:r>
      <w:r w:rsidR="00DD5C9D" w:rsidRPr="00DD13AC">
        <w:t>s</w:t>
      </w:r>
      <w:r w:rsidR="00641BBD" w:rsidRPr="00DD13AC">
        <w:rPr>
          <w:rFonts w:eastAsia="MS Gothic" w:hAnsi="MS Gothic"/>
        </w:rPr>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641BBD" w:rsidRPr="00DD13AC">
        <w:rPr>
          <w:bCs/>
        </w:rPr>
        <w:t>T</w:t>
      </w:r>
      <w:r w:rsidR="005078B0" w:rsidRPr="00DD13AC">
        <w:rPr>
          <w:bCs/>
        </w:rPr>
        <w:t>o strengthen internal coherence and commitment to action</w:t>
      </w:r>
      <w:r w:rsidR="005078B0" w:rsidRPr="00DD13AC">
        <w:t xml:space="preserve">, some companies are hosting cross-functional meetings and workshops or establishing cross-functional working groups or </w:t>
      </w:r>
      <w:r w:rsidR="00DD5C9D" w:rsidRPr="00DD13AC">
        <w:t>committees</w:t>
      </w:r>
      <w:r w:rsidR="00641BBD"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641BBD" w:rsidRPr="00DD13AC">
        <w:rPr>
          <w:bCs/>
        </w:rPr>
        <w:t>T</w:t>
      </w:r>
      <w:r w:rsidR="005078B0" w:rsidRPr="00DD13AC">
        <w:rPr>
          <w:bCs/>
        </w:rPr>
        <w:t>o build capacity and awareness</w:t>
      </w:r>
      <w:r w:rsidR="005078B0" w:rsidRPr="00DD13AC">
        <w:t>, some companies are publishing internal guides or developing training modules that address basic definitional questions while using examples and operational lan</w:t>
      </w:r>
      <w:r w:rsidR="00DD5C9D" w:rsidRPr="00DD13AC">
        <w:t>guage relevant to the business</w:t>
      </w:r>
      <w:r w:rsidR="00641BBD"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641BBD" w:rsidRPr="00DD13AC">
        <w:rPr>
          <w:bCs/>
        </w:rPr>
        <w:t>T</w:t>
      </w:r>
      <w:r w:rsidR="005078B0" w:rsidRPr="00DD13AC">
        <w:rPr>
          <w:bCs/>
        </w:rPr>
        <w:t>o begin to prevent and mitigate adverse human rights impacts</w:t>
      </w:r>
      <w:r w:rsidR="005078B0" w:rsidRPr="00DD13AC">
        <w:t>, some companies are using a mixture of self-assessments, studies and impact assessments. The</w:t>
      </w:r>
      <w:r w:rsidR="00533CED">
        <w:t>y</w:t>
      </w:r>
      <w:r w:rsidR="005078B0" w:rsidRPr="00DD13AC">
        <w:t xml:space="preserve"> can relate to a specific function, a country, an operation or a product or </w:t>
      </w:r>
      <w:r w:rsidR="00DD5C9D" w:rsidRPr="00DD13AC">
        <w:t>service in the value chain</w:t>
      </w:r>
      <w:r w:rsidR="00641BBD"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641BBD" w:rsidRPr="00DD13AC">
        <w:rPr>
          <w:bCs/>
        </w:rPr>
        <w:t>T</w:t>
      </w:r>
      <w:r w:rsidR="005078B0" w:rsidRPr="00DD13AC">
        <w:rPr>
          <w:bCs/>
        </w:rPr>
        <w:t xml:space="preserve">o </w:t>
      </w:r>
      <w:r w:rsidR="00533CED">
        <w:rPr>
          <w:bCs/>
        </w:rPr>
        <w:t>start</w:t>
      </w:r>
      <w:r w:rsidR="005078B0" w:rsidRPr="00DD13AC">
        <w:rPr>
          <w:bCs/>
        </w:rPr>
        <w:t xml:space="preserve"> thinking about grievance mechanisms, </w:t>
      </w:r>
      <w:r w:rsidR="005078B0" w:rsidRPr="00DD13AC">
        <w:t xml:space="preserve">some companies are beginning to develop tools to assess current mechanisms against the effectiveness criteria set out </w:t>
      </w:r>
      <w:r w:rsidR="00533CED">
        <w:t>in</w:t>
      </w:r>
      <w:r w:rsidR="005078B0" w:rsidRPr="00DD13AC">
        <w:t xml:space="preserve"> the Guiding Principles. </w:t>
      </w:r>
    </w:p>
    <w:p w:rsidR="00DD5C9D" w:rsidRPr="00DD13AC" w:rsidRDefault="00DD5C9D" w:rsidP="00CA7B15">
      <w:pPr>
        <w:pStyle w:val="H23G"/>
      </w:pPr>
      <w:r w:rsidRPr="00DD13AC">
        <w:tab/>
      </w:r>
      <w:r w:rsidR="005B6AF1">
        <w:t>3.</w:t>
      </w:r>
      <w:r w:rsidRPr="00DD13AC">
        <w:tab/>
      </w:r>
      <w:r w:rsidR="005078B0" w:rsidRPr="00DD13AC">
        <w:t>Putting the basics in place within large organi</w:t>
      </w:r>
      <w:r w:rsidR="00533CED">
        <w:t>z</w:t>
      </w:r>
      <w:r w:rsidR="005078B0" w:rsidRPr="00DD13AC">
        <w:t>ations takes time</w:t>
      </w:r>
      <w:r w:rsidR="00533CED">
        <w:t xml:space="preserve">, and </w:t>
      </w:r>
      <w:r w:rsidR="005078B0" w:rsidRPr="00DD13AC">
        <w:t xml:space="preserve">implementation is an ongoing journey </w:t>
      </w:r>
      <w:r w:rsidR="00533CED">
        <w:t>during which</w:t>
      </w:r>
      <w:r w:rsidR="005078B0" w:rsidRPr="00DD13AC">
        <w:t xml:space="preserve"> things </w:t>
      </w:r>
      <w:r w:rsidR="00533CED">
        <w:t xml:space="preserve">can </w:t>
      </w:r>
      <w:r w:rsidR="005078B0" w:rsidRPr="00DD13AC">
        <w:t xml:space="preserve">change </w:t>
      </w:r>
      <w:r w:rsidR="00533CED">
        <w:t>and</w:t>
      </w:r>
      <w:r w:rsidR="005078B0" w:rsidRPr="00DD13AC">
        <w:t xml:space="preserve"> go wrong </w:t>
      </w:r>
    </w:p>
    <w:p w:rsidR="005078B0" w:rsidRPr="00DD13AC" w:rsidRDefault="00D06973" w:rsidP="00D06973">
      <w:pPr>
        <w:pStyle w:val="SingleTxtG"/>
      </w:pPr>
      <w:r w:rsidRPr="00DD13AC">
        <w:rPr>
          <w:bCs/>
        </w:rPr>
        <w:t>20.</w:t>
      </w:r>
      <w:r w:rsidRPr="00DD13AC">
        <w:rPr>
          <w:bCs/>
        </w:rPr>
        <w:tab/>
      </w:r>
      <w:r w:rsidR="005078B0" w:rsidRPr="00DD13AC">
        <w:t xml:space="preserve">The session was a reminder of the attention and time it takes for a single company to address </w:t>
      </w:r>
      <w:r w:rsidR="005078B0" w:rsidRPr="00D06973">
        <w:rPr>
          <w:iCs/>
        </w:rPr>
        <w:t>one aspect</w:t>
      </w:r>
      <w:r w:rsidR="005078B0" w:rsidRPr="00DD13AC">
        <w:t xml:space="preserve"> of </w:t>
      </w:r>
      <w:r w:rsidR="00533CED">
        <w:t>its</w:t>
      </w:r>
      <w:r w:rsidR="005078B0" w:rsidRPr="00DD13AC">
        <w:t xml:space="preserve"> human rights programme. </w:t>
      </w:r>
      <w:r w:rsidR="00533CED">
        <w:t>E</w:t>
      </w:r>
      <w:r w:rsidR="005078B0" w:rsidRPr="00DD13AC">
        <w:t>ven for companies that are actively engaged and committed to implement</w:t>
      </w:r>
      <w:r w:rsidR="00533CED">
        <w:t>ing</w:t>
      </w:r>
      <w:r w:rsidR="005078B0" w:rsidRPr="00DD13AC">
        <w:t xml:space="preserve"> corporate respect for human rights, getting the basics in place across vast entities and value chains takes time. It also seemed clear that even the best tools, processes and systems can be undermined by personnel changes, restructuring and bad decision-making. Th</w:t>
      </w:r>
      <w:r w:rsidR="00533CED">
        <w:t>at</w:t>
      </w:r>
      <w:r w:rsidR="005078B0" w:rsidRPr="00DD13AC">
        <w:t xml:space="preserve"> is true of every aspect of corporate life and emphasizes the need to build coherence, the correct incentives, robust processes, awareness and culture. </w:t>
      </w:r>
    </w:p>
    <w:p w:rsidR="00B9481A" w:rsidRPr="00DD13AC" w:rsidRDefault="00B9481A" w:rsidP="00533CED">
      <w:pPr>
        <w:pStyle w:val="H23G"/>
      </w:pPr>
      <w:r w:rsidRPr="00DD13AC">
        <w:tab/>
      </w:r>
      <w:r w:rsidR="005B6AF1">
        <w:t>4.</w:t>
      </w:r>
      <w:r w:rsidRPr="00DD13AC">
        <w:tab/>
      </w:r>
      <w:r w:rsidR="005078B0" w:rsidRPr="00DD13AC">
        <w:t xml:space="preserve">Given </w:t>
      </w:r>
      <w:r w:rsidR="00533CED">
        <w:t xml:space="preserve">that </w:t>
      </w:r>
      <w:r w:rsidR="005078B0" w:rsidRPr="00DD13AC">
        <w:t xml:space="preserve">companies are acknowledging that it takes time to put in place the necessary components to respect human rights, questions remain regarding the timelines for suppliers to meet expectations </w:t>
      </w:r>
    </w:p>
    <w:p w:rsidR="005078B0" w:rsidRPr="00DD13AC" w:rsidRDefault="00D06973" w:rsidP="00D06973">
      <w:pPr>
        <w:pStyle w:val="SingleTxtG"/>
      </w:pPr>
      <w:r w:rsidRPr="00DD13AC">
        <w:rPr>
          <w:bCs/>
        </w:rPr>
        <w:t>21.</w:t>
      </w:r>
      <w:r w:rsidRPr="00DD13AC">
        <w:rPr>
          <w:bCs/>
        </w:rPr>
        <w:tab/>
      </w:r>
      <w:r w:rsidR="005078B0" w:rsidRPr="00DD13AC">
        <w:t xml:space="preserve">The panel noted that </w:t>
      </w:r>
      <w:r w:rsidR="003E66C1">
        <w:t>assessing</w:t>
      </w:r>
      <w:r w:rsidR="005078B0" w:rsidRPr="00DD13AC">
        <w:t xml:space="preserve"> whether a supplier or business partner is a good performer or not regarding respect for human rights</w:t>
      </w:r>
      <w:r w:rsidR="003E66C1">
        <w:t xml:space="preserve"> was rarely a simple process</w:t>
      </w:r>
      <w:r w:rsidR="005078B0" w:rsidRPr="00DD13AC">
        <w:t>. Certain rights m</w:t>
      </w:r>
      <w:r w:rsidR="003E66C1">
        <w:t>ight</w:t>
      </w:r>
      <w:r w:rsidR="005078B0" w:rsidRPr="00DD13AC">
        <w:t xml:space="preserve"> be very well respected and others not. The decision then becomes about whether to work with the supplier towards improvement</w:t>
      </w:r>
      <w:r w:rsidR="003E66C1">
        <w:t>,</w:t>
      </w:r>
      <w:r w:rsidR="005078B0" w:rsidRPr="00DD13AC">
        <w:t xml:space="preserve"> what is non-negotiable in terms of current practice or timetable for corrective action and how to work with the supplier to raise performance. It was acknowledged that a further query that needs to be addressed is what </w:t>
      </w:r>
      <w:r w:rsidR="005078B0" w:rsidRPr="00DD13AC">
        <w:lastRenderedPageBreak/>
        <w:t>companies should ask of business partners to substantiate the judg</w:t>
      </w:r>
      <w:r w:rsidR="003E66C1">
        <w:t>e</w:t>
      </w:r>
      <w:r w:rsidR="005078B0" w:rsidRPr="00DD13AC">
        <w:t xml:space="preserve">ment about their performance regarding human rights. </w:t>
      </w:r>
    </w:p>
    <w:p w:rsidR="003645D6" w:rsidRPr="00DD13AC" w:rsidRDefault="003645D6" w:rsidP="003E66C1">
      <w:pPr>
        <w:pStyle w:val="H23G"/>
      </w:pPr>
      <w:r w:rsidRPr="00DD13AC">
        <w:tab/>
      </w:r>
      <w:r w:rsidR="005B6AF1">
        <w:t>5.</w:t>
      </w:r>
      <w:r w:rsidRPr="00DD13AC">
        <w:tab/>
      </w:r>
      <w:r w:rsidR="003E66C1">
        <w:t>C</w:t>
      </w:r>
      <w:r w:rsidR="003E66C1" w:rsidRPr="00DD13AC">
        <w:t>oherence and endurance</w:t>
      </w:r>
      <w:r w:rsidR="003E66C1">
        <w:t xml:space="preserve"> are </w:t>
      </w:r>
      <w:r w:rsidR="005078B0" w:rsidRPr="00DD13AC">
        <w:t>importan</w:t>
      </w:r>
      <w:r w:rsidR="003E66C1">
        <w:t>t</w:t>
      </w:r>
      <w:r w:rsidR="005078B0" w:rsidRPr="00DD13AC">
        <w:t>, as good systems and policies do not mean things cannot go wrong</w:t>
      </w:r>
      <w:r w:rsidR="003E66C1">
        <w:t>,</w:t>
      </w:r>
      <w:r w:rsidR="005078B0" w:rsidRPr="00DD13AC">
        <w:t xml:space="preserve"> and the reasons why things go wrong are not necessarily</w:t>
      </w:r>
      <w:r w:rsidR="003E66C1">
        <w:t xml:space="preserve"> simple</w:t>
      </w:r>
      <w:r w:rsidR="005078B0" w:rsidRPr="00DD13AC">
        <w:t xml:space="preserve"> </w:t>
      </w:r>
    </w:p>
    <w:p w:rsidR="005078B0" w:rsidRPr="00DD13AC" w:rsidRDefault="00D06973" w:rsidP="00D06973">
      <w:pPr>
        <w:pStyle w:val="SingleTxtG"/>
      </w:pPr>
      <w:r w:rsidRPr="00DD13AC">
        <w:rPr>
          <w:bCs/>
        </w:rPr>
        <w:t>22.</w:t>
      </w:r>
      <w:r w:rsidRPr="00DD13AC">
        <w:rPr>
          <w:bCs/>
        </w:rPr>
        <w:tab/>
      </w:r>
      <w:r w:rsidR="005078B0" w:rsidRPr="00DD13AC">
        <w:t>In essence, things can go wrong because companies are made up of people and people do not always follow the rules. It was noted that there is not one reason for th</w:t>
      </w:r>
      <w:r w:rsidR="003E66C1">
        <w:t>at</w:t>
      </w:r>
      <w:r w:rsidR="005078B0" w:rsidRPr="00DD13AC">
        <w:t>. It can be a result of different cultural understandings of a rule or the idea of rules. It can be a function of an incentive structure that does not prioritize certain rules in favour of other objectives. Sometimes people</w:t>
      </w:r>
      <w:r w:rsidR="003E66C1">
        <w:t>,</w:t>
      </w:r>
      <w:r w:rsidR="005078B0" w:rsidRPr="00DD13AC">
        <w:t xml:space="preserve"> often a very small number</w:t>
      </w:r>
      <w:r w:rsidR="003E66C1">
        <w:t>,</w:t>
      </w:r>
      <w:r w:rsidR="005078B0" w:rsidRPr="00DD13AC">
        <w:t xml:space="preserve"> simply do not want to follow the rules. All of th</w:t>
      </w:r>
      <w:r w:rsidR="003E66C1">
        <w:t>at</w:t>
      </w:r>
      <w:r w:rsidR="005078B0" w:rsidRPr="00DD13AC">
        <w:t xml:space="preserve"> reinforces the importance of coherence, the correct incentives, robust processes, awareness and culture. </w:t>
      </w:r>
    </w:p>
    <w:p w:rsidR="003645D6" w:rsidRPr="00DD13AC" w:rsidRDefault="003645D6" w:rsidP="003E66C1">
      <w:pPr>
        <w:pStyle w:val="H23G"/>
      </w:pPr>
      <w:r w:rsidRPr="00DD13AC">
        <w:tab/>
      </w:r>
      <w:r w:rsidR="005B6AF1">
        <w:t>6.</w:t>
      </w:r>
      <w:r w:rsidRPr="00DD13AC">
        <w:tab/>
      </w:r>
      <w:r w:rsidR="005078B0" w:rsidRPr="00DD13AC">
        <w:t xml:space="preserve">There is a communication gap </w:t>
      </w:r>
    </w:p>
    <w:p w:rsidR="005078B0" w:rsidRPr="00DD13AC" w:rsidRDefault="00D06973" w:rsidP="00D06973">
      <w:pPr>
        <w:pStyle w:val="SingleTxtG"/>
      </w:pPr>
      <w:r w:rsidRPr="00DD13AC">
        <w:rPr>
          <w:bCs/>
        </w:rPr>
        <w:t>23.</w:t>
      </w:r>
      <w:r w:rsidRPr="00DD13AC">
        <w:rPr>
          <w:bCs/>
        </w:rPr>
        <w:tab/>
      </w:r>
      <w:r w:rsidR="005078B0" w:rsidRPr="00DD13AC">
        <w:t xml:space="preserve">Committed companies may not be sharing and discussing the totality of what they do with stakeholders and the public. A few speakers noted that </w:t>
      </w:r>
      <w:r w:rsidR="003E66C1">
        <w:t>such</w:t>
      </w:r>
      <w:r w:rsidR="005078B0" w:rsidRPr="00DD13AC">
        <w:t xml:space="preserve"> reticence often comes from knowledge that there is still much more work to be done. Further</w:t>
      </w:r>
      <w:r w:rsidR="003E66C1">
        <w:t>more</w:t>
      </w:r>
      <w:r w:rsidR="005078B0" w:rsidRPr="00DD13AC">
        <w:t>, a bad incident or error could render communication of progress and action meaningless</w:t>
      </w:r>
      <w:r w:rsidR="003E66C1">
        <w:t>,</w:t>
      </w:r>
      <w:r w:rsidR="005078B0" w:rsidRPr="00DD13AC">
        <w:t xml:space="preserve"> or worse, disingenuous</w:t>
      </w:r>
      <w:r w:rsidR="003E66C1">
        <w:t>,</w:t>
      </w:r>
      <w:r w:rsidR="005078B0" w:rsidRPr="00DD13AC">
        <w:t xml:space="preserve"> in the eyes of some stakeholders. At the same time, it is likely that stakeholders could interpret limited communication as reflecting a limited or hollow commitment. </w:t>
      </w:r>
    </w:p>
    <w:p w:rsidR="003645D6" w:rsidRPr="00DD13AC" w:rsidRDefault="003645D6" w:rsidP="003E66C1">
      <w:pPr>
        <w:pStyle w:val="H23G"/>
      </w:pPr>
      <w:r w:rsidRPr="00DD13AC">
        <w:tab/>
      </w:r>
      <w:r w:rsidR="005B6AF1">
        <w:t>7.</w:t>
      </w:r>
      <w:r w:rsidRPr="00DD13AC">
        <w:tab/>
      </w:r>
      <w:r w:rsidR="003E66C1">
        <w:t>S</w:t>
      </w:r>
      <w:r w:rsidR="003E66C1" w:rsidRPr="00DD13AC">
        <w:t xml:space="preserve">takeholder engagement </w:t>
      </w:r>
      <w:r w:rsidR="003E66C1">
        <w:t>is of critical</w:t>
      </w:r>
      <w:r w:rsidR="005078B0" w:rsidRPr="00DD13AC">
        <w:t xml:space="preserve"> value </w:t>
      </w:r>
    </w:p>
    <w:p w:rsidR="005078B0" w:rsidRPr="00DD13AC" w:rsidRDefault="00D06973" w:rsidP="00D06973">
      <w:pPr>
        <w:pStyle w:val="SingleTxtG"/>
      </w:pPr>
      <w:r w:rsidRPr="00DD13AC">
        <w:rPr>
          <w:bCs/>
        </w:rPr>
        <w:t>24.</w:t>
      </w:r>
      <w:r w:rsidRPr="00DD13AC">
        <w:rPr>
          <w:bCs/>
        </w:rPr>
        <w:tab/>
      </w:r>
      <w:r w:rsidR="005078B0" w:rsidRPr="00DD13AC">
        <w:t xml:space="preserve">The discussion highlighted that engagement with stakeholders and rights-holders is a critical success factor for achieving meaningful results for vulnerable groups. One observation was that there are often inherent tensions between the interests of the company and the interests of the community, especially when addressing the issues involves significant costs. It was acknowledged that </w:t>
      </w:r>
      <w:r w:rsidR="003E66C1">
        <w:t>such</w:t>
      </w:r>
      <w:r w:rsidR="005078B0" w:rsidRPr="00DD13AC">
        <w:t xml:space="preserve"> tensions can exist, and that in order to avoid th</w:t>
      </w:r>
      <w:r w:rsidR="003E66C1">
        <w:t>em</w:t>
      </w:r>
      <w:r w:rsidR="005078B0" w:rsidRPr="00DD13AC">
        <w:t xml:space="preserve"> as much as possible, it is imperative that the company has cross-functional buy-in, discusses the issues in depth, and addresses the budgeting</w:t>
      </w:r>
      <w:r w:rsidR="003E66C1">
        <w:t xml:space="preserve"> and </w:t>
      </w:r>
      <w:r w:rsidR="005078B0" w:rsidRPr="00DD13AC">
        <w:t xml:space="preserve">resource question up front. </w:t>
      </w:r>
    </w:p>
    <w:p w:rsidR="005078B0" w:rsidRPr="00DD13AC" w:rsidRDefault="008E626B" w:rsidP="003E66C1">
      <w:pPr>
        <w:pStyle w:val="HChG"/>
      </w:pPr>
      <w:r w:rsidRPr="00DD13AC">
        <w:tab/>
        <w:t>IV.</w:t>
      </w:r>
      <w:r w:rsidRPr="00DD13AC">
        <w:tab/>
      </w:r>
      <w:r w:rsidR="005078B0" w:rsidRPr="00DD13AC">
        <w:t xml:space="preserve">Examples of </w:t>
      </w:r>
      <w:r w:rsidR="003E66C1" w:rsidRPr="00DD13AC">
        <w:t>engagement</w:t>
      </w:r>
      <w:r w:rsidR="003E66C1">
        <w:t xml:space="preserve"> between </w:t>
      </w:r>
      <w:r w:rsidR="004748EE" w:rsidRPr="004748EE">
        <w:t>non-governmental organization</w:t>
      </w:r>
      <w:r w:rsidR="003E66C1">
        <w:t xml:space="preserve">s and </w:t>
      </w:r>
      <w:r w:rsidR="005078B0" w:rsidRPr="00DD13AC">
        <w:t>business to advance implementation of the corporate responsibility to respect human rights</w:t>
      </w:r>
    </w:p>
    <w:p w:rsidR="005078B0" w:rsidRPr="00DD13AC" w:rsidRDefault="008E626B" w:rsidP="008E626B">
      <w:pPr>
        <w:pStyle w:val="H1G"/>
      </w:pPr>
      <w:r w:rsidRPr="00DD13AC">
        <w:tab/>
        <w:t>A.</w:t>
      </w:r>
      <w:r w:rsidRPr="00DD13AC">
        <w:tab/>
      </w:r>
      <w:r w:rsidR="005078B0" w:rsidRPr="00DD13AC">
        <w:t>Introduction</w:t>
      </w:r>
    </w:p>
    <w:p w:rsidR="005078B0" w:rsidRPr="00DD13AC" w:rsidRDefault="00D06973" w:rsidP="00D06973">
      <w:pPr>
        <w:pStyle w:val="SingleTxtG"/>
      </w:pPr>
      <w:r w:rsidRPr="00DD13AC">
        <w:rPr>
          <w:bCs/>
        </w:rPr>
        <w:t>25.</w:t>
      </w:r>
      <w:r w:rsidRPr="00DD13AC">
        <w:rPr>
          <w:bCs/>
        </w:rPr>
        <w:tab/>
      </w:r>
      <w:r w:rsidR="005078B0" w:rsidRPr="00DD13AC">
        <w:t xml:space="preserve">The second panel of the session </w:t>
      </w:r>
      <w:r w:rsidR="003E66C1">
        <w:t>was entitled</w:t>
      </w:r>
      <w:r w:rsidR="005078B0" w:rsidRPr="00DD13AC">
        <w:t xml:space="preserve"> “Applying the Guiding Principles in specific </w:t>
      </w:r>
      <w:r w:rsidR="00716853" w:rsidRPr="00DD13AC">
        <w:t>cases: cases of collaboration between civil society organizations and business</w:t>
      </w:r>
      <w:r w:rsidR="005078B0" w:rsidRPr="00DD13AC">
        <w:t>”. As the Guiding Principles are a means to an end</w:t>
      </w:r>
      <w:r w:rsidR="003E66C1">
        <w:t>, intended</w:t>
      </w:r>
      <w:r w:rsidR="005078B0" w:rsidRPr="00DD13AC">
        <w:t xml:space="preserve"> to ensure that the human rights of those impacted by business operations, decisions, omissions and actions are respected and protected, and that remedy is provided in the case of adverse impacts</w:t>
      </w:r>
      <w:r w:rsidR="003E66C1">
        <w:t>,</w:t>
      </w:r>
      <w:r w:rsidR="005078B0" w:rsidRPr="00DD13AC">
        <w:t xml:space="preserve"> their implementation is far more than the development or enhancement of policies, processes and management systems. </w:t>
      </w:r>
      <w:r w:rsidR="00001F80">
        <w:t>C</w:t>
      </w:r>
      <w:r w:rsidR="005078B0" w:rsidRPr="00DD13AC">
        <w:t xml:space="preserve">ompanies </w:t>
      </w:r>
      <w:r w:rsidR="00001F80">
        <w:t xml:space="preserve">therefore </w:t>
      </w:r>
      <w:r w:rsidR="005078B0" w:rsidRPr="00DD13AC">
        <w:t>should and need to communicate openly about specific cases and situations</w:t>
      </w:r>
      <w:r w:rsidR="00001F80">
        <w:t>,</w:t>
      </w:r>
      <w:r w:rsidR="005078B0" w:rsidRPr="00DD13AC">
        <w:t xml:space="preserve"> including </w:t>
      </w:r>
      <w:r w:rsidR="00001F80">
        <w:t>ones in which</w:t>
      </w:r>
      <w:r w:rsidR="005078B0" w:rsidRPr="00DD13AC">
        <w:t xml:space="preserve"> they have made progress, but also </w:t>
      </w:r>
      <w:r w:rsidR="005E09AB">
        <w:t xml:space="preserve">cases and situations </w:t>
      </w:r>
      <w:r w:rsidR="00001F80">
        <w:t>in which</w:t>
      </w:r>
      <w:r w:rsidR="005078B0" w:rsidRPr="00DD13AC">
        <w:t xml:space="preserve"> mistakes have been made and lessons have been learned. Further</w:t>
      </w:r>
      <w:r w:rsidR="00001F80">
        <w:t>more</w:t>
      </w:r>
      <w:r w:rsidR="005078B0" w:rsidRPr="00DD13AC">
        <w:t xml:space="preserve">, understanding what good quality and meaningful respect looks like </w:t>
      </w:r>
      <w:r w:rsidR="005E09AB" w:rsidRPr="00DD13AC">
        <w:t xml:space="preserve">in practice </w:t>
      </w:r>
      <w:r w:rsidR="005078B0" w:rsidRPr="00DD13AC">
        <w:t>is a task that is highly dependent on the specific operating and human rights context</w:t>
      </w:r>
      <w:r w:rsidR="00001F80">
        <w:t>;</w:t>
      </w:r>
      <w:r w:rsidR="005078B0" w:rsidRPr="00DD13AC">
        <w:t xml:space="preserve"> in th</w:t>
      </w:r>
      <w:r w:rsidR="00001F80">
        <w:t>at</w:t>
      </w:r>
      <w:r w:rsidR="005078B0" w:rsidRPr="00DD13AC">
        <w:t xml:space="preserve"> regard, </w:t>
      </w:r>
      <w:r w:rsidR="005078B0" w:rsidRPr="00DD13AC">
        <w:lastRenderedPageBreak/>
        <w:t xml:space="preserve">cooperation with civil society organizations is crucial. Moreover, the Guiding Principles themselves </w:t>
      </w:r>
      <w:r w:rsidR="00001F80">
        <w:t xml:space="preserve">include a </w:t>
      </w:r>
      <w:r w:rsidR="005078B0" w:rsidRPr="00DD13AC">
        <w:t>call for engagement with human rights experts, relevant stakeholders and affected populations as pa</w:t>
      </w:r>
      <w:r w:rsidR="008E626B" w:rsidRPr="00DD13AC">
        <w:t xml:space="preserve">rt of due diligence processes. </w:t>
      </w:r>
      <w:r w:rsidR="005078B0" w:rsidRPr="00DD13AC">
        <w:t>Thus, the panel brought together businesses and civil society organizations working collaboratively</w:t>
      </w:r>
      <w:r w:rsidR="00001F80">
        <w:t>,</w:t>
      </w:r>
      <w:r w:rsidR="005078B0" w:rsidRPr="00DD13AC">
        <w:t xml:space="preserve"> though not always in full agreement</w:t>
      </w:r>
      <w:r w:rsidR="00001F80">
        <w:t>,</w:t>
      </w:r>
      <w:r w:rsidR="005078B0" w:rsidRPr="00DD13AC">
        <w:t xml:space="preserve"> to apply the Guiding Principles in specific local </w:t>
      </w:r>
      <w:r w:rsidR="00001F80">
        <w:t>and</w:t>
      </w:r>
      <w:r w:rsidR="005078B0" w:rsidRPr="00DD13AC">
        <w:t xml:space="preserve"> sectoral contexts. </w:t>
      </w:r>
    </w:p>
    <w:p w:rsidR="005078B0" w:rsidRPr="00DD13AC" w:rsidRDefault="008E626B" w:rsidP="008E626B">
      <w:pPr>
        <w:pStyle w:val="H1G"/>
      </w:pPr>
      <w:r w:rsidRPr="00DD13AC">
        <w:tab/>
        <w:t>B.</w:t>
      </w:r>
      <w:r w:rsidRPr="00DD13AC">
        <w:tab/>
      </w:r>
      <w:r w:rsidR="005078B0" w:rsidRPr="00DD13AC">
        <w:t>Community relocation in the context of mining in Mozambique</w:t>
      </w:r>
    </w:p>
    <w:p w:rsidR="005078B0" w:rsidRPr="00DD13AC" w:rsidRDefault="00D06973" w:rsidP="00D06973">
      <w:pPr>
        <w:pStyle w:val="SingleTxtG"/>
      </w:pPr>
      <w:r w:rsidRPr="00DD13AC">
        <w:rPr>
          <w:bCs/>
        </w:rPr>
        <w:t>26.</w:t>
      </w:r>
      <w:r w:rsidRPr="00DD13AC">
        <w:rPr>
          <w:bCs/>
        </w:rPr>
        <w:tab/>
      </w:r>
      <w:r w:rsidR="005078B0" w:rsidRPr="00DD13AC">
        <w:t xml:space="preserve">The discussion featured a case study on the engagement between the mining company Vale and the international </w:t>
      </w:r>
      <w:r w:rsidR="00D704BC">
        <w:t>non-governmental organization (</w:t>
      </w:r>
      <w:r w:rsidR="005078B0" w:rsidRPr="00DD13AC">
        <w:t>NGO</w:t>
      </w:r>
      <w:r w:rsidR="00D704BC">
        <w:t>)</w:t>
      </w:r>
      <w:r w:rsidR="005078B0" w:rsidRPr="00DD13AC">
        <w:t xml:space="preserve"> Human Rights Watch in the context of the Moat</w:t>
      </w:r>
      <w:r w:rsidR="009763B3">
        <w:t>i</w:t>
      </w:r>
      <w:r w:rsidR="005078B0" w:rsidRPr="00DD13AC">
        <w:t xml:space="preserve">ze mine in Mozambique. </w:t>
      </w:r>
      <w:r w:rsidR="009763B3">
        <w:t>In</w:t>
      </w:r>
      <w:r w:rsidR="009763B3" w:rsidRPr="00DD13AC">
        <w:t xml:space="preserve"> recent years</w:t>
      </w:r>
      <w:r w:rsidR="009763B3">
        <w:t xml:space="preserve">, </w:t>
      </w:r>
      <w:r w:rsidR="005078B0" w:rsidRPr="00DD13AC">
        <w:t xml:space="preserve">Human Rights Watch </w:t>
      </w:r>
      <w:r w:rsidR="009763B3">
        <w:t xml:space="preserve">has been </w:t>
      </w:r>
      <w:r w:rsidR="005078B0" w:rsidRPr="00DD13AC">
        <w:t>engage</w:t>
      </w:r>
      <w:r w:rsidR="009763B3">
        <w:t>d</w:t>
      </w:r>
      <w:r w:rsidR="005078B0" w:rsidRPr="00DD13AC">
        <w:t xml:space="preserve"> </w:t>
      </w:r>
      <w:r w:rsidR="009763B3">
        <w:t>in</w:t>
      </w:r>
      <w:r w:rsidR="005078B0" w:rsidRPr="00DD13AC">
        <w:t xml:space="preserve"> monitor</w:t>
      </w:r>
      <w:r w:rsidR="009763B3">
        <w:t>ing</w:t>
      </w:r>
      <w:r w:rsidR="005078B0" w:rsidRPr="00DD13AC">
        <w:t xml:space="preserve"> the impact </w:t>
      </w:r>
      <w:r w:rsidR="009763B3" w:rsidRPr="00DD13AC">
        <w:t>on local communities</w:t>
      </w:r>
      <w:r w:rsidR="009763B3">
        <w:t xml:space="preserve"> </w:t>
      </w:r>
      <w:r w:rsidR="005078B0" w:rsidRPr="00DD13AC">
        <w:t>of the extractives boom in Mozambique, especially regarding resettlements.</w:t>
      </w:r>
      <w:r w:rsidR="00146B06" w:rsidRPr="00DD13AC">
        <w:t xml:space="preserve"> </w:t>
      </w:r>
      <w:r w:rsidR="005078B0" w:rsidRPr="00DD13AC">
        <w:t xml:space="preserve">According to the presentations at the Forum, between 2006 and 2010, </w:t>
      </w:r>
      <w:r w:rsidR="000D5129">
        <w:t xml:space="preserve">the </w:t>
      </w:r>
      <w:r w:rsidR="005078B0" w:rsidRPr="00DD13AC">
        <w:t>Moat</w:t>
      </w:r>
      <w:r w:rsidR="009763B3">
        <w:t>i</w:t>
      </w:r>
      <w:r w:rsidR="005078B0" w:rsidRPr="00DD13AC">
        <w:t xml:space="preserve">ze mine </w:t>
      </w:r>
      <w:r w:rsidR="000D5129">
        <w:t xml:space="preserve">developed by </w:t>
      </w:r>
      <w:r w:rsidR="000D5129" w:rsidRPr="00DD13AC">
        <w:t xml:space="preserve">Vale </w:t>
      </w:r>
      <w:r w:rsidR="005078B0" w:rsidRPr="00DD13AC">
        <w:t xml:space="preserve">involved moving 1,365 households </w:t>
      </w:r>
      <w:r w:rsidR="003D3645">
        <w:t>that were</w:t>
      </w:r>
      <w:r w:rsidR="005078B0" w:rsidRPr="00DD13AC">
        <w:t xml:space="preserve"> in close proximity to the project site.</w:t>
      </w:r>
      <w:r w:rsidR="00146B06" w:rsidRPr="00DD13AC">
        <w:t xml:space="preserve"> </w:t>
      </w:r>
      <w:r w:rsidR="000D5129">
        <w:t xml:space="preserve">The representative of </w:t>
      </w:r>
      <w:r w:rsidR="000D5129" w:rsidRPr="00DD13AC">
        <w:t>Vale explained</w:t>
      </w:r>
      <w:r w:rsidR="000D5129">
        <w:t xml:space="preserve"> that</w:t>
      </w:r>
      <w:r w:rsidR="005078B0" w:rsidRPr="00DD13AC">
        <w:t xml:space="preserve"> </w:t>
      </w:r>
      <w:r w:rsidR="000D5129">
        <w:t>the company had</w:t>
      </w:r>
      <w:r w:rsidR="005078B0" w:rsidRPr="00DD13AC">
        <w:t xml:space="preserve"> worked closely with local communities on the resettlement, conducting dialogues and consultations</w:t>
      </w:r>
      <w:r w:rsidR="000D5129">
        <w:t>,</w:t>
      </w:r>
      <w:r w:rsidR="005078B0" w:rsidRPr="00DD13AC">
        <w:t xml:space="preserve"> </w:t>
      </w:r>
      <w:r w:rsidR="000D5129">
        <w:t>in accordance with</w:t>
      </w:r>
      <w:r w:rsidR="005078B0" w:rsidRPr="00DD13AC">
        <w:t xml:space="preserve"> company guidelines on respect for human rights. Human Rights Watch conducted research on the resettlements in 2012 and raised concerns about </w:t>
      </w:r>
      <w:r w:rsidR="000D5129">
        <w:t xml:space="preserve">the </w:t>
      </w:r>
      <w:r w:rsidR="000D5129" w:rsidRPr="00DD13AC">
        <w:t>ability</w:t>
      </w:r>
      <w:r w:rsidR="000D5129">
        <w:t xml:space="preserve"> of </w:t>
      </w:r>
      <w:r w:rsidR="005078B0" w:rsidRPr="00DD13AC">
        <w:t>resettled families to obtain adequate food</w:t>
      </w:r>
      <w:r w:rsidR="000D5129">
        <w:t>,</w:t>
      </w:r>
      <w:r w:rsidR="005078B0" w:rsidRPr="00DD13AC">
        <w:t xml:space="preserve"> water and access to work</w:t>
      </w:r>
      <w:r w:rsidR="00716853" w:rsidRPr="00DD13AC">
        <w:t>.</w:t>
      </w:r>
      <w:r w:rsidR="005078B0" w:rsidRPr="00DD13AC">
        <w:t xml:space="preserve"> Vale and Human Rights Watch engaged in a productive dialogue as Vale worked to address th</w:t>
      </w:r>
      <w:r w:rsidR="000D5129">
        <w:t>o</w:t>
      </w:r>
      <w:r w:rsidR="005078B0" w:rsidRPr="00DD13AC">
        <w:t xml:space="preserve">se concerns. </w:t>
      </w:r>
    </w:p>
    <w:p w:rsidR="005078B0" w:rsidRPr="00DD13AC" w:rsidRDefault="00D06973" w:rsidP="00D06973">
      <w:pPr>
        <w:pStyle w:val="SingleTxtG"/>
      </w:pPr>
      <w:r w:rsidRPr="00DD13AC">
        <w:rPr>
          <w:bCs/>
        </w:rPr>
        <w:t>27.</w:t>
      </w:r>
      <w:r w:rsidRPr="00DD13AC">
        <w:rPr>
          <w:bCs/>
        </w:rPr>
        <w:tab/>
      </w:r>
      <w:r w:rsidR="009E7144">
        <w:t xml:space="preserve">The representative of </w:t>
      </w:r>
      <w:r w:rsidR="005078B0" w:rsidRPr="00DD13AC">
        <w:t xml:space="preserve">Vale highlighted that </w:t>
      </w:r>
      <w:r w:rsidR="000D5129">
        <w:t xml:space="preserve">the </w:t>
      </w:r>
      <w:r w:rsidR="000D5129" w:rsidRPr="00DD13AC">
        <w:t>mode of engagement</w:t>
      </w:r>
      <w:r w:rsidR="000D5129">
        <w:t xml:space="preserve"> of </w:t>
      </w:r>
      <w:r w:rsidR="005078B0" w:rsidRPr="00DD13AC">
        <w:t xml:space="preserve">Human Rights Watch </w:t>
      </w:r>
      <w:r w:rsidR="000D5129">
        <w:t>had been</w:t>
      </w:r>
      <w:r w:rsidR="005078B0" w:rsidRPr="00DD13AC">
        <w:t xml:space="preserve"> key in enabling a constructive relationship. </w:t>
      </w:r>
      <w:r w:rsidR="000D5129">
        <w:t>T</w:t>
      </w:r>
      <w:r w:rsidR="005078B0" w:rsidRPr="00DD13AC">
        <w:t>he relationship was seen as a “two</w:t>
      </w:r>
      <w:r w:rsidR="000D5129">
        <w:t>-</w:t>
      </w:r>
      <w:r w:rsidR="005078B0" w:rsidRPr="00DD13AC">
        <w:t>way street”</w:t>
      </w:r>
      <w:r w:rsidR="000D5129">
        <w:t>,</w:t>
      </w:r>
      <w:r w:rsidR="005078B0" w:rsidRPr="00DD13AC">
        <w:t xml:space="preserve"> with a strong focus on transparency and being proactive about changes on the ground as </w:t>
      </w:r>
      <w:r w:rsidR="00277D15">
        <w:t>early</w:t>
      </w:r>
      <w:r w:rsidR="005078B0" w:rsidRPr="00DD13AC">
        <w:t xml:space="preserve"> as possible. The following elements of the approach were identified: </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5078B0" w:rsidRPr="00DD13AC">
        <w:t xml:space="preserve">Human Rights Watch demonstrated understanding of how a company works, which was reflected in the initial approach to </w:t>
      </w:r>
      <w:r w:rsidR="00277D15">
        <w:t xml:space="preserve">the </w:t>
      </w:r>
      <w:r w:rsidR="005078B0" w:rsidRPr="00DD13AC">
        <w:t xml:space="preserve">president </w:t>
      </w:r>
      <w:r w:rsidR="00277D15">
        <w:t xml:space="preserve">of </w:t>
      </w:r>
      <w:r w:rsidR="00277D15" w:rsidRPr="00DD13AC">
        <w:t xml:space="preserve">Vale </w:t>
      </w:r>
      <w:r w:rsidR="005078B0" w:rsidRPr="00DD13AC">
        <w:t xml:space="preserve">and in </w:t>
      </w:r>
      <w:r w:rsidR="00277D15">
        <w:t>its</w:t>
      </w:r>
      <w:r w:rsidR="005078B0" w:rsidRPr="00DD13AC">
        <w:t xml:space="preserve"> support of the comp</w:t>
      </w:r>
      <w:r w:rsidR="00146B06" w:rsidRPr="00DD13AC">
        <w:t>any’s response and action plans</w:t>
      </w:r>
      <w:r w:rsidR="008739F0"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277D15">
        <w:t>F</w:t>
      </w:r>
      <w:r w:rsidR="00277D15" w:rsidRPr="00DD13AC">
        <w:t xml:space="preserve">rom the </w:t>
      </w:r>
      <w:r w:rsidR="00277D15">
        <w:t>outset,</w:t>
      </w:r>
      <w:r w:rsidR="00277D15" w:rsidRPr="00DD13AC">
        <w:t xml:space="preserve"> </w:t>
      </w:r>
      <w:r w:rsidR="005078B0" w:rsidRPr="00DD13AC">
        <w:t xml:space="preserve">Human Rights Watch was very transparent about the findings of </w:t>
      </w:r>
      <w:r w:rsidR="00277D15">
        <w:t>its</w:t>
      </w:r>
      <w:r w:rsidR="005078B0" w:rsidRPr="00DD13AC">
        <w:t xml:space="preserve"> research and what </w:t>
      </w:r>
      <w:r w:rsidR="00277D15">
        <w:t>i</w:t>
      </w:r>
      <w:r w:rsidR="005078B0" w:rsidRPr="00DD13AC">
        <w:t>t felt the company needed to correct</w:t>
      </w:r>
      <w:r w:rsidR="00716853" w:rsidRPr="00DD13AC">
        <w:t xml:space="preserve">. Human Rights Watch shared </w:t>
      </w:r>
      <w:r w:rsidR="00277D15">
        <w:t>i</w:t>
      </w:r>
      <w:r w:rsidR="00716853" w:rsidRPr="00DD13AC">
        <w:t>t</w:t>
      </w:r>
      <w:r w:rsidR="00277D15">
        <w:t>s</w:t>
      </w:r>
      <w:r w:rsidR="00716853" w:rsidRPr="00DD13AC">
        <w:t xml:space="preserve"> initial findings with Vale</w:t>
      </w:r>
      <w:r w:rsidR="008739F0"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277D15">
        <w:t>Concerning</w:t>
      </w:r>
      <w:r w:rsidR="005078B0" w:rsidRPr="00DD13AC">
        <w:t xml:space="preserve"> transparency, Human Rights Watch wanted </w:t>
      </w:r>
      <w:r w:rsidR="00277D15">
        <w:t>Vale</w:t>
      </w:r>
      <w:r w:rsidR="005078B0" w:rsidRPr="00DD13AC">
        <w:t xml:space="preserve"> to be proactive from the outset. </w:t>
      </w:r>
      <w:r w:rsidR="00277D15">
        <w:t>It</w:t>
      </w:r>
      <w:r w:rsidR="005078B0" w:rsidRPr="00DD13AC">
        <w:t xml:space="preserve"> w</w:t>
      </w:r>
      <w:r w:rsidR="00277D15">
        <w:t>as</w:t>
      </w:r>
      <w:r w:rsidR="005078B0" w:rsidRPr="00DD13AC">
        <w:t xml:space="preserve"> in favour of Vale taking action that would lead to results as early as possible for the families</w:t>
      </w:r>
      <w:r w:rsidR="00277D15">
        <w:t xml:space="preserve"> and</w:t>
      </w:r>
      <w:r w:rsidR="005078B0" w:rsidRPr="00DD13AC">
        <w:t xml:space="preserve"> communities </w:t>
      </w:r>
      <w:r w:rsidR="00277D15">
        <w:t xml:space="preserve">concerned, </w:t>
      </w:r>
      <w:r w:rsidR="005078B0" w:rsidRPr="00DD13AC">
        <w:t xml:space="preserve">and </w:t>
      </w:r>
      <w:r w:rsidR="00277D15">
        <w:t xml:space="preserve">for </w:t>
      </w:r>
      <w:r w:rsidR="005078B0" w:rsidRPr="00DD13AC">
        <w:t>the company</w:t>
      </w:r>
      <w:r w:rsidR="008739F0"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8739F0" w:rsidRPr="00DD13AC">
        <w:t>T</w:t>
      </w:r>
      <w:r w:rsidR="005078B0" w:rsidRPr="00DD13AC">
        <w:t>he overall spirit of the engagement was not to “name and shame”</w:t>
      </w:r>
      <w:r w:rsidR="00277D15">
        <w:t>,</w:t>
      </w:r>
      <w:r w:rsidR="005078B0" w:rsidRPr="00DD13AC">
        <w:t xml:space="preserve"> even </w:t>
      </w:r>
      <w:r w:rsidR="00277D15">
        <w:t>though</w:t>
      </w:r>
      <w:r w:rsidR="005078B0" w:rsidRPr="00DD13AC">
        <w:t xml:space="preserve"> it was made clear that th</w:t>
      </w:r>
      <w:r w:rsidR="00277D15">
        <w:t>at</w:t>
      </w:r>
      <w:r w:rsidR="005078B0" w:rsidRPr="00DD13AC">
        <w:t xml:space="preserve"> would be a possible avenue</w:t>
      </w:r>
      <w:r w:rsidR="00BA3F31" w:rsidRPr="00DD13AC">
        <w:t xml:space="preserve"> of action if deemed necessary</w:t>
      </w:r>
      <w:r w:rsidR="008739F0"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277D15">
        <w:t>W</w:t>
      </w:r>
      <w:r w:rsidR="00277D15" w:rsidRPr="00DD13AC">
        <w:t>hen conducting the investigation</w:t>
      </w:r>
      <w:r w:rsidR="00277D15">
        <w:t>,</w:t>
      </w:r>
      <w:r w:rsidR="00277D15" w:rsidRPr="00DD13AC">
        <w:t xml:space="preserve"> </w:t>
      </w:r>
      <w:r w:rsidR="00277D15">
        <w:t>t</w:t>
      </w:r>
      <w:r w:rsidR="005078B0" w:rsidRPr="00DD13AC">
        <w:t xml:space="preserve">he </w:t>
      </w:r>
      <w:r w:rsidR="00277D15" w:rsidRPr="00DD13AC">
        <w:t xml:space="preserve">research methodology </w:t>
      </w:r>
      <w:r w:rsidR="00277D15">
        <w:t xml:space="preserve">of the </w:t>
      </w:r>
      <w:r w:rsidR="005078B0" w:rsidRPr="00DD13AC">
        <w:t xml:space="preserve">NGO was thorough and fact-based. </w:t>
      </w:r>
    </w:p>
    <w:p w:rsidR="005078B0" w:rsidRPr="00DD13AC" w:rsidRDefault="00D06973" w:rsidP="00D06973">
      <w:pPr>
        <w:pStyle w:val="SingleTxtG"/>
      </w:pPr>
      <w:r w:rsidRPr="00DD13AC">
        <w:rPr>
          <w:bCs/>
        </w:rPr>
        <w:t>28.</w:t>
      </w:r>
      <w:r w:rsidRPr="00DD13AC">
        <w:rPr>
          <w:bCs/>
        </w:rPr>
        <w:tab/>
      </w:r>
      <w:r w:rsidR="005078B0" w:rsidRPr="00DD13AC">
        <w:t xml:space="preserve">The presentation also included an explanation of the immediate steps taken by the company following </w:t>
      </w:r>
      <w:r w:rsidR="00277D15">
        <w:t xml:space="preserve">the </w:t>
      </w:r>
      <w:r w:rsidR="00277D15" w:rsidRPr="00DD13AC">
        <w:t xml:space="preserve">initial communication </w:t>
      </w:r>
      <w:r w:rsidR="00277D15">
        <w:t xml:space="preserve">from </w:t>
      </w:r>
      <w:r w:rsidR="005078B0" w:rsidRPr="00DD13AC">
        <w:t xml:space="preserve">Human Rights Watch to </w:t>
      </w:r>
      <w:r w:rsidR="00277D15">
        <w:t xml:space="preserve">the </w:t>
      </w:r>
      <w:r w:rsidR="00277D15" w:rsidRPr="00DD13AC">
        <w:t>president</w:t>
      </w:r>
      <w:r w:rsidR="00277D15">
        <w:t xml:space="preserve"> of </w:t>
      </w:r>
      <w:r w:rsidR="005078B0" w:rsidRPr="00DD13AC">
        <w:t>Vale, including:</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8739F0" w:rsidRPr="00DD13AC">
        <w:t>O</w:t>
      </w:r>
      <w:r w:rsidR="005078B0" w:rsidRPr="00DD13AC">
        <w:t xml:space="preserve">pening up the records </w:t>
      </w:r>
      <w:r w:rsidR="005078B0" w:rsidRPr="00AA68DE">
        <w:t>about the resettlement process</w:t>
      </w:r>
      <w:r w:rsidR="005078B0" w:rsidRPr="00DD13AC">
        <w:t xml:space="preserve"> in question and discussing with Human Rights Watch what had been done, what flaws there were and what mistakes had been made</w:t>
      </w:r>
      <w:r w:rsidR="008739F0" w:rsidRPr="00DD13AC">
        <w:t>;</w:t>
      </w:r>
    </w:p>
    <w:p w:rsidR="005078B0" w:rsidRPr="00DD13AC" w:rsidRDefault="00D06973" w:rsidP="00D06973">
      <w:pPr>
        <w:pStyle w:val="Bullet1G"/>
        <w:numPr>
          <w:ilvl w:val="0"/>
          <w:numId w:val="0"/>
        </w:numPr>
        <w:tabs>
          <w:tab w:val="left" w:pos="1701"/>
        </w:tabs>
        <w:ind w:left="1701" w:hanging="170"/>
      </w:pPr>
      <w:r w:rsidRPr="00DD13AC">
        <w:lastRenderedPageBreak/>
        <w:t>•</w:t>
      </w:r>
      <w:r w:rsidRPr="00DD13AC">
        <w:tab/>
      </w:r>
      <w:r w:rsidR="00AA68DE">
        <w:t>Six</w:t>
      </w:r>
      <w:r w:rsidR="005078B0" w:rsidRPr="00DD13AC">
        <w:t xml:space="preserve"> weeks after the initial meeting, and on the recommendation </w:t>
      </w:r>
      <w:r w:rsidR="00AA68DE">
        <w:t>o</w:t>
      </w:r>
      <w:r w:rsidR="005078B0" w:rsidRPr="00DD13AC">
        <w:t>f the NGO, Vale convened a 40-person group of its managers in Mozambique to identify lessons learned, which the company recorde</w:t>
      </w:r>
      <w:r w:rsidR="00BA3F31" w:rsidRPr="00DD13AC">
        <w:t>d as a very positive experience</w:t>
      </w:r>
      <w:r w:rsidR="008739F0" w:rsidRPr="00DD13AC">
        <w:t>;</w:t>
      </w:r>
    </w:p>
    <w:p w:rsidR="00716853" w:rsidRPr="00DD13AC" w:rsidRDefault="00D06973" w:rsidP="00D06973">
      <w:pPr>
        <w:pStyle w:val="Bullet1G"/>
        <w:numPr>
          <w:ilvl w:val="0"/>
          <w:numId w:val="0"/>
        </w:numPr>
        <w:tabs>
          <w:tab w:val="left" w:pos="1701"/>
        </w:tabs>
        <w:ind w:left="1701" w:hanging="170"/>
      </w:pPr>
      <w:r w:rsidRPr="00DD13AC">
        <w:t>•</w:t>
      </w:r>
      <w:r w:rsidRPr="00DD13AC">
        <w:tab/>
      </w:r>
      <w:r w:rsidR="008739F0" w:rsidRPr="00DD13AC">
        <w:t>A</w:t>
      </w:r>
      <w:r w:rsidR="00716853" w:rsidRPr="00DD13AC">
        <w:t>n agreement/</w:t>
      </w:r>
      <w:r w:rsidR="00AA68DE">
        <w:t>memorandum of understanding</w:t>
      </w:r>
      <w:r w:rsidR="00716853" w:rsidRPr="00DD13AC">
        <w:t xml:space="preserve"> between Vale and the local authorities was signed. A plan of action containing 42 </w:t>
      </w:r>
      <w:r w:rsidR="00AA68DE">
        <w:t>points</w:t>
      </w:r>
      <w:r w:rsidR="00716853" w:rsidRPr="00DD13AC">
        <w:t xml:space="preserve"> </w:t>
      </w:r>
      <w:r w:rsidR="00AA68DE" w:rsidRPr="00DD13AC">
        <w:t>relat</w:t>
      </w:r>
      <w:r w:rsidR="00AA68DE">
        <w:t>ing</w:t>
      </w:r>
      <w:r w:rsidR="00AA68DE" w:rsidRPr="00DD13AC">
        <w:t xml:space="preserve"> to water</w:t>
      </w:r>
      <w:r w:rsidR="00AA68DE">
        <w:t>,</w:t>
      </w:r>
      <w:r w:rsidR="00AA68DE" w:rsidRPr="00DD13AC">
        <w:t xml:space="preserve"> housing</w:t>
      </w:r>
      <w:r w:rsidR="00AA68DE">
        <w:t>,</w:t>
      </w:r>
      <w:r w:rsidR="00AA68DE" w:rsidRPr="00DD13AC">
        <w:t xml:space="preserve"> road maintenance</w:t>
      </w:r>
      <w:r w:rsidR="00AA68DE">
        <w:t>,</w:t>
      </w:r>
      <w:r w:rsidR="00AA68DE" w:rsidRPr="00DD13AC">
        <w:t xml:space="preserve"> transportation and income generation</w:t>
      </w:r>
      <w:r w:rsidR="00AA68DE">
        <w:t xml:space="preserve"> </w:t>
      </w:r>
      <w:r w:rsidR="00716853" w:rsidRPr="00DD13AC">
        <w:t>was agreed on b</w:t>
      </w:r>
      <w:r w:rsidR="00AA68DE">
        <w:t>y</w:t>
      </w:r>
      <w:r w:rsidR="00716853" w:rsidRPr="00DD13AC">
        <w:t xml:space="preserve"> the parties. An important aspect of th</w:t>
      </w:r>
      <w:r w:rsidR="00AA68DE">
        <w:t>e plan</w:t>
      </w:r>
      <w:r w:rsidR="00716853" w:rsidRPr="00DD13AC">
        <w:t xml:space="preserve"> was clar</w:t>
      </w:r>
      <w:r w:rsidR="00AA68DE">
        <w:t>ity</w:t>
      </w:r>
      <w:r w:rsidR="00716853" w:rsidRPr="00DD13AC">
        <w:t xml:space="preserve"> about </w:t>
      </w:r>
      <w:r w:rsidR="00AA68DE">
        <w:t xml:space="preserve">the </w:t>
      </w:r>
      <w:r w:rsidR="00716853" w:rsidRPr="00DD13AC">
        <w:t xml:space="preserve">timing of the action. Vale was clear about what could be achieved in the medium and </w:t>
      </w:r>
      <w:r w:rsidR="00AA68DE">
        <w:t xml:space="preserve">the </w:t>
      </w:r>
      <w:r w:rsidR="00716853" w:rsidRPr="00DD13AC">
        <w:t>long</w:t>
      </w:r>
      <w:r w:rsidR="00AA68DE">
        <w:t xml:space="preserve"> </w:t>
      </w:r>
      <w:r w:rsidR="00716853" w:rsidRPr="00DD13AC">
        <w:t>term. Managing expectation</w:t>
      </w:r>
      <w:r w:rsidR="00AA68DE">
        <w:t>s</w:t>
      </w:r>
      <w:r w:rsidR="00716853" w:rsidRPr="00DD13AC">
        <w:t xml:space="preserve"> about what was possible and when was very important</w:t>
      </w:r>
      <w:r w:rsidR="008739F0"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8739F0" w:rsidRPr="00DD13AC">
        <w:t>J</w:t>
      </w:r>
      <w:r w:rsidR="005078B0" w:rsidRPr="00DD13AC">
        <w:t xml:space="preserve">oint follow-up calls to monitor and discuss progress and a meeting in less than a year to review action regarding the resettlement. </w:t>
      </w:r>
      <w:r w:rsidR="00AA68DE">
        <w:t>The s</w:t>
      </w:r>
      <w:r w:rsidR="00AA68DE" w:rsidRPr="00DD13AC">
        <w:t>ustainability Vice</w:t>
      </w:r>
      <w:r w:rsidR="00AA68DE">
        <w:t>-</w:t>
      </w:r>
      <w:r w:rsidR="00AA68DE" w:rsidRPr="00DD13AC">
        <w:t xml:space="preserve">President </w:t>
      </w:r>
      <w:r w:rsidR="00AA68DE">
        <w:t xml:space="preserve">of </w:t>
      </w:r>
      <w:r w:rsidR="00716853" w:rsidRPr="00DD13AC">
        <w:t>Vale met with Human Rights Watch in New York to re</w:t>
      </w:r>
      <w:r w:rsidR="002878CB">
        <w:t>affirm</w:t>
      </w:r>
      <w:r w:rsidR="00716853" w:rsidRPr="00DD13AC">
        <w:t xml:space="preserve"> </w:t>
      </w:r>
      <w:r w:rsidR="00AA68DE">
        <w:t>the company</w:t>
      </w:r>
      <w:r w:rsidR="00716853" w:rsidRPr="00DD13AC">
        <w:t>’s engagement in the process.</w:t>
      </w:r>
    </w:p>
    <w:p w:rsidR="005078B0" w:rsidRPr="00DD13AC" w:rsidRDefault="00D06973" w:rsidP="00D06973">
      <w:pPr>
        <w:pStyle w:val="SingleTxtG"/>
      </w:pPr>
      <w:r w:rsidRPr="00DD13AC">
        <w:rPr>
          <w:bCs/>
        </w:rPr>
        <w:t>29.</w:t>
      </w:r>
      <w:r w:rsidRPr="00DD13AC">
        <w:rPr>
          <w:bCs/>
        </w:rPr>
        <w:tab/>
      </w:r>
      <w:r w:rsidR="009E7144">
        <w:t xml:space="preserve">The representative of </w:t>
      </w:r>
      <w:r w:rsidR="005078B0" w:rsidRPr="00DD13AC">
        <w:t xml:space="preserve">Vale also shared </w:t>
      </w:r>
      <w:r w:rsidR="00AA68DE">
        <w:t>the company’s</w:t>
      </w:r>
      <w:r w:rsidR="005078B0" w:rsidRPr="00DD13AC">
        <w:t xml:space="preserve"> perspective on lessons learned and further steps that were taken after Human Rights Watch released its report in May 2013. The company attended the release in Maputo and participated in dialogues with stakeholders in Mozambique. At th</w:t>
      </w:r>
      <w:r w:rsidR="00AA68DE">
        <w:t>at</w:t>
      </w:r>
      <w:r w:rsidR="005078B0" w:rsidRPr="00DD13AC">
        <w:t xml:space="preserve"> stage, </w:t>
      </w:r>
      <w:r w:rsidR="00AA68DE">
        <w:t>additional</w:t>
      </w:r>
      <w:r w:rsidR="005078B0" w:rsidRPr="00DD13AC">
        <w:t xml:space="preserve"> </w:t>
      </w:r>
      <w:r w:rsidR="00AA68DE">
        <w:t xml:space="preserve">points </w:t>
      </w:r>
      <w:r w:rsidR="005078B0" w:rsidRPr="00DD13AC">
        <w:t xml:space="preserve">were added to </w:t>
      </w:r>
      <w:r w:rsidR="00AA68DE">
        <w:t>the</w:t>
      </w:r>
      <w:r w:rsidR="005078B0" w:rsidRPr="00DD13AC">
        <w:t xml:space="preserve"> action plan, including with regard to social dialogue and grievance mechanisms. A key lesson was the need to ensure </w:t>
      </w:r>
      <w:r w:rsidR="00AA68DE">
        <w:t xml:space="preserve">that </w:t>
      </w:r>
      <w:r w:rsidR="005078B0" w:rsidRPr="00DD13AC">
        <w:t>all human rights are dealt with in the context of social and environmental impact assessments. Further</w:t>
      </w:r>
      <w:r w:rsidR="00AA68DE">
        <w:t>more</w:t>
      </w:r>
      <w:r w:rsidR="005078B0" w:rsidRPr="00DD13AC">
        <w:t xml:space="preserve">, the process was seen as being instructive in terms of </w:t>
      </w:r>
      <w:r w:rsidR="00AA68DE">
        <w:t>establishing</w:t>
      </w:r>
      <w:r w:rsidR="005078B0" w:rsidRPr="00DD13AC">
        <w:t xml:space="preserve"> a clear internal </w:t>
      </w:r>
      <w:r w:rsidR="00AA68DE">
        <w:t>standard for</w:t>
      </w:r>
      <w:r w:rsidR="005078B0" w:rsidRPr="00DD13AC">
        <w:t xml:space="preserve"> </w:t>
      </w:r>
      <w:r w:rsidR="00AA68DE">
        <w:t xml:space="preserve">the conduct of </w:t>
      </w:r>
      <w:r w:rsidR="00AA68DE" w:rsidRPr="00DD13AC">
        <w:t xml:space="preserve">resettlement </w:t>
      </w:r>
      <w:r w:rsidR="005078B0" w:rsidRPr="00DD13AC">
        <w:t>process</w:t>
      </w:r>
      <w:r w:rsidR="00AA68DE">
        <w:t>es, which</w:t>
      </w:r>
      <w:r w:rsidR="005078B0" w:rsidRPr="00DD13AC">
        <w:t xml:space="preserve"> everyone in the business must apply. </w:t>
      </w:r>
    </w:p>
    <w:p w:rsidR="005078B0" w:rsidRPr="00DD13AC" w:rsidRDefault="00D06973" w:rsidP="00D06973">
      <w:pPr>
        <w:pStyle w:val="SingleTxtG"/>
      </w:pPr>
      <w:r w:rsidRPr="00DD13AC">
        <w:rPr>
          <w:bCs/>
        </w:rPr>
        <w:t>30.</w:t>
      </w:r>
      <w:r w:rsidRPr="00DD13AC">
        <w:rPr>
          <w:bCs/>
        </w:rPr>
        <w:tab/>
      </w:r>
      <w:r w:rsidR="00AA68DE">
        <w:t>A</w:t>
      </w:r>
      <w:r w:rsidR="005078B0" w:rsidRPr="00DD13AC">
        <w:t xml:space="preserve"> central challenge </w:t>
      </w:r>
      <w:r w:rsidR="00AA68DE">
        <w:t xml:space="preserve">that was </w:t>
      </w:r>
      <w:r w:rsidR="005078B0" w:rsidRPr="00DD13AC">
        <w:t>highlighted was the need to address the State’s duties</w:t>
      </w:r>
      <w:r w:rsidR="00AA68DE">
        <w:t>,</w:t>
      </w:r>
      <w:r w:rsidR="005078B0" w:rsidRPr="00DD13AC">
        <w:t xml:space="preserve"> as some of the issues relate to government policies, legal frameworks and actions related to land and resettlement. The</w:t>
      </w:r>
      <w:r w:rsidR="00AA68DE">
        <w:t>y</w:t>
      </w:r>
      <w:r w:rsidR="005078B0" w:rsidRPr="00DD13AC">
        <w:t xml:space="preserve"> involve issues that cannot be solved by one company unilaterally</w:t>
      </w:r>
      <w:r w:rsidR="00AA68DE">
        <w:t>.</w:t>
      </w:r>
      <w:r w:rsidR="005078B0" w:rsidRPr="00DD13AC">
        <w:t xml:space="preserve"> </w:t>
      </w:r>
      <w:r w:rsidR="00AA68DE">
        <w:t>I</w:t>
      </w:r>
      <w:r w:rsidR="005078B0" w:rsidRPr="00DD13AC">
        <w:t xml:space="preserve">n addition, </w:t>
      </w:r>
      <w:r w:rsidR="00AA68DE">
        <w:t>the point</w:t>
      </w:r>
      <w:r w:rsidR="005078B0" w:rsidRPr="00DD13AC">
        <w:t xml:space="preserve"> was highlighted that often</w:t>
      </w:r>
      <w:r w:rsidR="00AA68DE">
        <w:t>,</w:t>
      </w:r>
      <w:r w:rsidR="005078B0" w:rsidRPr="00DD13AC">
        <w:t xml:space="preserve"> more than one company is involved in the social and human rights impacts </w:t>
      </w:r>
      <w:r w:rsidR="00AA68DE">
        <w:t xml:space="preserve">that </w:t>
      </w:r>
      <w:r w:rsidR="002878CB">
        <w:t>a</w:t>
      </w:r>
      <w:r w:rsidR="00AA68DE">
        <w:t xml:space="preserve">re being felt </w:t>
      </w:r>
      <w:r w:rsidR="005078B0" w:rsidRPr="00DD13AC">
        <w:t xml:space="preserve">on the ground. </w:t>
      </w:r>
    </w:p>
    <w:p w:rsidR="005078B0" w:rsidRPr="00DD13AC" w:rsidRDefault="00D06973" w:rsidP="00D06973">
      <w:pPr>
        <w:pStyle w:val="SingleTxtG"/>
      </w:pPr>
      <w:r w:rsidRPr="00DD13AC">
        <w:rPr>
          <w:bCs/>
        </w:rPr>
        <w:t>31.</w:t>
      </w:r>
      <w:r w:rsidRPr="00DD13AC">
        <w:rPr>
          <w:bCs/>
        </w:rPr>
        <w:tab/>
      </w:r>
      <w:r w:rsidR="009E7144">
        <w:t xml:space="preserve">The representative of </w:t>
      </w:r>
      <w:r w:rsidR="005078B0" w:rsidRPr="00DD13AC">
        <w:t xml:space="preserve">Human Rights Watch </w:t>
      </w:r>
      <w:r w:rsidR="00AA68DE">
        <w:t>emphasized the fact</w:t>
      </w:r>
      <w:r w:rsidR="005078B0" w:rsidRPr="00DD13AC">
        <w:t xml:space="preserve"> that </w:t>
      </w:r>
      <w:r w:rsidR="00F61455">
        <w:t>it</w:t>
      </w:r>
      <w:r w:rsidR="005078B0" w:rsidRPr="00DD13AC">
        <w:t xml:space="preserve"> s</w:t>
      </w:r>
      <w:r w:rsidR="00F61455">
        <w:t>ought</w:t>
      </w:r>
      <w:r w:rsidR="005078B0" w:rsidRPr="00DD13AC">
        <w:t xml:space="preserve"> to engage with various actors to achieve necessary changes in the context of human rights abuses. With regard to the specific situation in Mozambique, it was noted that the combination of the mining boom and the outdated regulation</w:t>
      </w:r>
      <w:r w:rsidR="00F61455">
        <w:t>s</w:t>
      </w:r>
      <w:r w:rsidR="005078B0" w:rsidRPr="00DD13AC">
        <w:t xml:space="preserve">, as well as </w:t>
      </w:r>
      <w:r w:rsidR="00F61455">
        <w:t xml:space="preserve">the </w:t>
      </w:r>
      <w:r w:rsidR="005078B0" w:rsidRPr="00DD13AC">
        <w:t xml:space="preserve">lack of monitoring and oversight over licensing and mining operations, was a recipe for human rights abuses. The NGO had first become involved in the Vale mine in 2012 when it </w:t>
      </w:r>
      <w:r w:rsidR="00F61455">
        <w:t xml:space="preserve">had </w:t>
      </w:r>
      <w:r w:rsidR="005078B0" w:rsidRPr="00DD13AC">
        <w:t xml:space="preserve">learned of a protest related to the quality of housing, which </w:t>
      </w:r>
      <w:r w:rsidR="00F61455">
        <w:t xml:space="preserve">had </w:t>
      </w:r>
      <w:r w:rsidR="005078B0" w:rsidRPr="00DD13AC">
        <w:t>led to the initial investigation.</w:t>
      </w:r>
    </w:p>
    <w:p w:rsidR="005078B0" w:rsidRPr="00DD13AC" w:rsidRDefault="00D06973" w:rsidP="00D06973">
      <w:pPr>
        <w:pStyle w:val="SingleTxtG"/>
      </w:pPr>
      <w:r w:rsidRPr="00DD13AC">
        <w:rPr>
          <w:bCs/>
        </w:rPr>
        <w:t>32.</w:t>
      </w:r>
      <w:r w:rsidRPr="00DD13AC">
        <w:rPr>
          <w:bCs/>
        </w:rPr>
        <w:tab/>
      </w:r>
      <w:r w:rsidR="009E7144">
        <w:t xml:space="preserve">The representative of </w:t>
      </w:r>
      <w:r w:rsidR="005078B0" w:rsidRPr="00DD13AC">
        <w:t xml:space="preserve">Human Rights Watch noted that the nature of </w:t>
      </w:r>
      <w:r w:rsidR="00F61455">
        <w:t xml:space="preserve">the </w:t>
      </w:r>
      <w:r w:rsidR="00F61455" w:rsidRPr="00DD13AC">
        <w:t>response</w:t>
      </w:r>
      <w:r w:rsidR="00F61455">
        <w:t xml:space="preserve"> from </w:t>
      </w:r>
      <w:r w:rsidR="005078B0" w:rsidRPr="00DD13AC">
        <w:t xml:space="preserve">Vale to </w:t>
      </w:r>
      <w:r w:rsidR="00F61455">
        <w:t>its</w:t>
      </w:r>
      <w:r w:rsidR="005078B0" w:rsidRPr="00DD13AC">
        <w:t xml:space="preserve"> action had been positive in comparison </w:t>
      </w:r>
      <w:r w:rsidR="00F61455">
        <w:t>with</w:t>
      </w:r>
      <w:r w:rsidR="005078B0" w:rsidRPr="00DD13AC">
        <w:t xml:space="preserve"> many other responses to investigations. </w:t>
      </w:r>
      <w:r w:rsidR="00F61455">
        <w:t>T</w:t>
      </w:r>
      <w:r w:rsidR="005078B0" w:rsidRPr="00DD13AC">
        <w:t xml:space="preserve">he response to the initial inquiry </w:t>
      </w:r>
      <w:r w:rsidR="00F61455">
        <w:t>had been</w:t>
      </w:r>
      <w:r w:rsidR="005078B0" w:rsidRPr="00DD13AC">
        <w:t xml:space="preserve"> immediate and Vale</w:t>
      </w:r>
      <w:r w:rsidR="00F61455">
        <w:t xml:space="preserve"> had</w:t>
      </w:r>
      <w:r w:rsidR="005078B0" w:rsidRPr="00DD13AC">
        <w:t xml:space="preserve"> made all the relevant documentation available, and the company’s attitude was seen as timely and open. </w:t>
      </w:r>
      <w:r w:rsidR="00F61455">
        <w:t>In addition</w:t>
      </w:r>
      <w:r w:rsidR="005078B0" w:rsidRPr="00DD13AC">
        <w:t xml:space="preserve">, Human Rights Watch was given </w:t>
      </w:r>
      <w:r w:rsidR="00F61455">
        <w:t xml:space="preserve">significant </w:t>
      </w:r>
      <w:r w:rsidR="005078B0" w:rsidRPr="00DD13AC">
        <w:t xml:space="preserve">access to leaders and employees at all levels of </w:t>
      </w:r>
      <w:r w:rsidR="002878CB">
        <w:t xml:space="preserve">the </w:t>
      </w:r>
      <w:r w:rsidR="005078B0" w:rsidRPr="00DD13AC">
        <w:t>company</w:t>
      </w:r>
      <w:r w:rsidR="00F61455">
        <w:t>,</w:t>
      </w:r>
      <w:r w:rsidR="005078B0" w:rsidRPr="00DD13AC">
        <w:t xml:space="preserve"> from the headquarters in Brazil to offices in Maputo and at the mining operation. Th</w:t>
      </w:r>
      <w:r w:rsidR="00F61455">
        <w:t>at</w:t>
      </w:r>
      <w:r w:rsidR="005078B0" w:rsidRPr="00DD13AC">
        <w:t xml:space="preserve"> had facilitated </w:t>
      </w:r>
      <w:r w:rsidR="00F61455">
        <w:t xml:space="preserve">the </w:t>
      </w:r>
      <w:r w:rsidR="00F61455" w:rsidRPr="00DD13AC">
        <w:t>ability</w:t>
      </w:r>
      <w:r w:rsidR="00F61455">
        <w:t xml:space="preserve"> of </w:t>
      </w:r>
      <w:r w:rsidR="005078B0" w:rsidRPr="00DD13AC">
        <w:t xml:space="preserve">Human Rights Watch to identify the best way forward in terms of recommendations to improve the situation. </w:t>
      </w:r>
    </w:p>
    <w:p w:rsidR="005078B0" w:rsidRPr="00DD13AC" w:rsidRDefault="00D06973" w:rsidP="00D06973">
      <w:pPr>
        <w:pStyle w:val="SingleTxtG"/>
      </w:pPr>
      <w:r w:rsidRPr="00DD13AC">
        <w:rPr>
          <w:bCs/>
        </w:rPr>
        <w:t>33.</w:t>
      </w:r>
      <w:r w:rsidRPr="00DD13AC">
        <w:rPr>
          <w:bCs/>
        </w:rPr>
        <w:tab/>
      </w:r>
      <w:r w:rsidR="005078B0" w:rsidRPr="00DD13AC">
        <w:t>As part of the engagement, Vale had also been provided with a version of the final report before the launch. Due to the nature of the relationship</w:t>
      </w:r>
      <w:r w:rsidR="00F61455">
        <w:t>,</w:t>
      </w:r>
      <w:r w:rsidR="005078B0" w:rsidRPr="00DD13AC">
        <w:t xml:space="preserve"> it had been possible to reflect the views and actions taken by Vale, even if the purpose of sharing the report had not been to enable the company to propose changes.</w:t>
      </w:r>
    </w:p>
    <w:p w:rsidR="005078B0" w:rsidRPr="00DD13AC" w:rsidRDefault="00D06973" w:rsidP="00D06973">
      <w:pPr>
        <w:pStyle w:val="SingleTxtG"/>
      </w:pPr>
      <w:r w:rsidRPr="00DD13AC">
        <w:rPr>
          <w:bCs/>
        </w:rPr>
        <w:lastRenderedPageBreak/>
        <w:t>34.</w:t>
      </w:r>
      <w:r w:rsidRPr="00DD13AC">
        <w:rPr>
          <w:bCs/>
        </w:rPr>
        <w:tab/>
      </w:r>
      <w:r w:rsidR="005078B0" w:rsidRPr="00DD13AC">
        <w:t xml:space="preserve">Like Vale, Human Rights Watch also reported </w:t>
      </w:r>
      <w:r w:rsidR="00280EAF">
        <w:t>that i</w:t>
      </w:r>
      <w:r w:rsidR="005078B0" w:rsidRPr="00DD13AC">
        <w:t xml:space="preserve">t found the relationship with Vale to be a positive experience, and that it led to meaningful concrete changes in company action and the situation of the community in Mozambique. The NGO also noted </w:t>
      </w:r>
      <w:r w:rsidR="00280EAF">
        <w:t xml:space="preserve">that </w:t>
      </w:r>
      <w:r w:rsidR="005078B0" w:rsidRPr="00DD13AC">
        <w:t xml:space="preserve">it was pleased </w:t>
      </w:r>
      <w:r w:rsidR="00280EAF">
        <w:t xml:space="preserve">that </w:t>
      </w:r>
      <w:r w:rsidR="005078B0" w:rsidRPr="00DD13AC">
        <w:t xml:space="preserve">Vale </w:t>
      </w:r>
      <w:r w:rsidR="00280EAF">
        <w:t xml:space="preserve">was </w:t>
      </w:r>
      <w:r w:rsidR="00280EAF" w:rsidRPr="00DD13AC">
        <w:t>determin</w:t>
      </w:r>
      <w:r w:rsidR="00280EAF">
        <w:t xml:space="preserve">ed </w:t>
      </w:r>
      <w:r w:rsidR="005078B0" w:rsidRPr="00DD13AC">
        <w:t xml:space="preserve">to </w:t>
      </w:r>
      <w:r w:rsidR="00280EAF" w:rsidRPr="00DD13AC">
        <w:t>integrate</w:t>
      </w:r>
      <w:r w:rsidR="005078B0" w:rsidRPr="00DD13AC">
        <w:t xml:space="preserve"> lessons learned into policies and practices in other operations</w:t>
      </w:r>
      <w:r w:rsidR="00280EAF">
        <w:t xml:space="preserve">. </w:t>
      </w:r>
      <w:r w:rsidR="00280EAF" w:rsidRPr="00DD13AC">
        <w:t>Human Rights Watch</w:t>
      </w:r>
      <w:r w:rsidR="005078B0" w:rsidRPr="00DD13AC">
        <w:t xml:space="preserve"> hoped that </w:t>
      </w:r>
      <w:r w:rsidR="00280EAF" w:rsidRPr="00DD13AC">
        <w:t>other</w:t>
      </w:r>
      <w:r w:rsidR="00280EAF">
        <w:t xml:space="preserve"> companie</w:t>
      </w:r>
      <w:r w:rsidR="00280EAF" w:rsidRPr="00DD13AC">
        <w:t>s operating in Mozambique</w:t>
      </w:r>
      <w:r w:rsidR="00280EAF">
        <w:t xml:space="preserve"> </w:t>
      </w:r>
      <w:r w:rsidR="005078B0" w:rsidRPr="00DD13AC">
        <w:t xml:space="preserve">would do </w:t>
      </w:r>
      <w:r w:rsidR="00280EAF">
        <w:t>likewise</w:t>
      </w:r>
      <w:r w:rsidR="005078B0" w:rsidRPr="00DD13AC">
        <w:t xml:space="preserve">. </w:t>
      </w:r>
    </w:p>
    <w:p w:rsidR="005078B0" w:rsidRPr="008B6788" w:rsidRDefault="00D06973" w:rsidP="00D06973">
      <w:pPr>
        <w:pStyle w:val="SingleTxtG"/>
      </w:pPr>
      <w:r w:rsidRPr="008B6788">
        <w:rPr>
          <w:bCs/>
        </w:rPr>
        <w:t>35.</w:t>
      </w:r>
      <w:r w:rsidRPr="008B6788">
        <w:rPr>
          <w:bCs/>
        </w:rPr>
        <w:tab/>
      </w:r>
      <w:r w:rsidR="00280EAF" w:rsidRPr="00DD13AC">
        <w:t>Human Rights Watch</w:t>
      </w:r>
      <w:r w:rsidR="005078B0" w:rsidRPr="005E09AB">
        <w:t xml:space="preserve"> provided several general reflectio</w:t>
      </w:r>
      <w:r w:rsidR="005078B0" w:rsidRPr="008B6788">
        <w:t>ns, including:</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23788C" w:rsidRPr="00DD13AC">
        <w:t>A</w:t>
      </w:r>
      <w:r w:rsidR="005078B0" w:rsidRPr="00DD13AC">
        <w:t xml:space="preserve"> number of issues could have been addressed or prevented if </w:t>
      </w:r>
      <w:r w:rsidR="002D2E15">
        <w:t>better</w:t>
      </w:r>
      <w:r w:rsidR="005078B0" w:rsidRPr="00DD13AC">
        <w:t xml:space="preserve"> due d</w:t>
      </w:r>
      <w:r w:rsidR="006D4B03" w:rsidRPr="00DD13AC">
        <w:t>iligence had been done early on</w:t>
      </w:r>
      <w:r w:rsidR="0023788C"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23788C" w:rsidRPr="00DD13AC">
        <w:t>C</w:t>
      </w:r>
      <w:r w:rsidR="005078B0" w:rsidRPr="00DD13AC">
        <w:t>ompanies often have good systems in place, but Human Rights Watch finds that they often lack an accurate picture of perspectives on the ground. Sometimes, companies recognize the issues, but fail</w:t>
      </w:r>
      <w:r w:rsidR="006D4B03" w:rsidRPr="00DD13AC">
        <w:t xml:space="preserve"> to accept the</w:t>
      </w:r>
      <w:r w:rsidR="002D2E15">
        <w:t>ir</w:t>
      </w:r>
      <w:r w:rsidR="006D4B03" w:rsidRPr="00DD13AC">
        <w:t xml:space="preserve"> gravity</w:t>
      </w:r>
      <w:r w:rsidR="0023788C"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2D2E15">
        <w:t>While f</w:t>
      </w:r>
      <w:r w:rsidR="005078B0" w:rsidRPr="00DD13AC">
        <w:t>orming relationships with local civil society organizations is critically important, i</w:t>
      </w:r>
      <w:r w:rsidR="002D2E15">
        <w:t>t</w:t>
      </w:r>
      <w:r w:rsidR="005078B0" w:rsidRPr="00DD13AC">
        <w:t xml:space="preserve"> can be different from working with international NGOs. Often, there is a heightened sense of conflict between local actors and the company</w:t>
      </w:r>
      <w:r w:rsidR="002D2E15">
        <w:t>,</w:t>
      </w:r>
      <w:r w:rsidR="005078B0" w:rsidRPr="00DD13AC">
        <w:t xml:space="preserve"> local actors may have access to fewer resources</w:t>
      </w:r>
      <w:r w:rsidR="002D2E15">
        <w:t>,</w:t>
      </w:r>
      <w:r w:rsidR="005078B0" w:rsidRPr="00DD13AC">
        <w:t xml:space="preserve"> </w:t>
      </w:r>
      <w:r w:rsidR="002D2E15">
        <w:t xml:space="preserve">they </w:t>
      </w:r>
      <w:r w:rsidR="005078B0" w:rsidRPr="00DD13AC">
        <w:t xml:space="preserve">can be less sophisticated in their mode of engagement and some can feel excluded from a process. Human Rights Watch urged companies to investigate </w:t>
      </w:r>
      <w:r w:rsidR="002D2E15" w:rsidRPr="00DD13AC">
        <w:t>thoroughly</w:t>
      </w:r>
      <w:r w:rsidR="002D2E15">
        <w:t xml:space="preserve"> </w:t>
      </w:r>
      <w:r w:rsidR="005078B0" w:rsidRPr="00DD13AC">
        <w:t>any issues or concerns that c</w:t>
      </w:r>
      <w:r w:rsidR="002D2E15">
        <w:t>a</w:t>
      </w:r>
      <w:r w:rsidR="005078B0" w:rsidRPr="00DD13AC">
        <w:t>me their way, without needing the external push or scrutiny that international NGOs br</w:t>
      </w:r>
      <w:r w:rsidR="002D2E15">
        <w:t>ou</w:t>
      </w:r>
      <w:r w:rsidR="005078B0" w:rsidRPr="00DD13AC">
        <w:t>g</w:t>
      </w:r>
      <w:r w:rsidR="002D2E15">
        <w:t>ht</w:t>
      </w:r>
      <w:r w:rsidR="005078B0" w:rsidRPr="00DD13AC">
        <w:t xml:space="preserve">. </w:t>
      </w:r>
      <w:r w:rsidR="002D2E15">
        <w:t>T</w:t>
      </w:r>
      <w:r w:rsidR="005078B0" w:rsidRPr="00DD13AC">
        <w:t>hat should also be considered even when management th</w:t>
      </w:r>
      <w:r w:rsidR="002D2E15">
        <w:t>ought</w:t>
      </w:r>
      <w:r w:rsidR="005078B0" w:rsidRPr="00DD13AC">
        <w:t xml:space="preserve"> it </w:t>
      </w:r>
      <w:r w:rsidR="002D2E15">
        <w:t>was aware of</w:t>
      </w:r>
      <w:r w:rsidR="005078B0" w:rsidRPr="00DD13AC">
        <w:t xml:space="preserve"> the situation and even when there </w:t>
      </w:r>
      <w:r w:rsidR="002D2E15">
        <w:t>were</w:t>
      </w:r>
      <w:r w:rsidR="005078B0" w:rsidRPr="00DD13AC">
        <w:t xml:space="preserve"> doubts about the credibility of interlocutors. </w:t>
      </w:r>
    </w:p>
    <w:p w:rsidR="005078B0" w:rsidRPr="00DD13AC" w:rsidRDefault="006D4B03" w:rsidP="00CD7B96">
      <w:pPr>
        <w:pStyle w:val="H1G"/>
      </w:pPr>
      <w:r w:rsidRPr="00DD13AC">
        <w:tab/>
        <w:t>C.</w:t>
      </w:r>
      <w:r w:rsidRPr="00DD13AC">
        <w:tab/>
      </w:r>
      <w:r w:rsidR="005078B0" w:rsidRPr="00DD13AC">
        <w:t xml:space="preserve">Child labour and women’s rights </w:t>
      </w:r>
      <w:r w:rsidR="00CD7B96">
        <w:t>o</w:t>
      </w:r>
      <w:r w:rsidR="005078B0" w:rsidRPr="00DD13AC">
        <w:t>n West African cocoa farms</w:t>
      </w:r>
    </w:p>
    <w:p w:rsidR="005078B0" w:rsidRPr="00DD13AC" w:rsidRDefault="00D06973" w:rsidP="00D06973">
      <w:pPr>
        <w:pStyle w:val="SingleTxtG"/>
      </w:pPr>
      <w:r w:rsidRPr="00DD13AC">
        <w:rPr>
          <w:bCs/>
        </w:rPr>
        <w:t>36.</w:t>
      </w:r>
      <w:r w:rsidRPr="00DD13AC">
        <w:rPr>
          <w:bCs/>
        </w:rPr>
        <w:tab/>
      </w:r>
      <w:r w:rsidR="005078B0" w:rsidRPr="00DD13AC">
        <w:t>Th</w:t>
      </w:r>
      <w:r w:rsidR="006D6601">
        <w:t>e</w:t>
      </w:r>
      <w:r w:rsidR="005078B0" w:rsidRPr="00DD13AC">
        <w:t xml:space="preserve"> </w:t>
      </w:r>
      <w:r w:rsidR="006D6601">
        <w:t xml:space="preserve">second </w:t>
      </w:r>
      <w:r w:rsidR="005078B0" w:rsidRPr="00DD13AC">
        <w:t xml:space="preserve">case study featured presentations by </w:t>
      </w:r>
      <w:r w:rsidR="009E7144">
        <w:t xml:space="preserve">representatives of </w:t>
      </w:r>
      <w:r w:rsidR="005078B0" w:rsidRPr="00DD13AC">
        <w:t xml:space="preserve">Nestlé, Oxfam and the International Cocoa Initiative (ICI) on their engagement </w:t>
      </w:r>
      <w:r w:rsidR="006D6601">
        <w:t>in</w:t>
      </w:r>
      <w:r w:rsidR="005078B0" w:rsidRPr="00DD13AC">
        <w:t xml:space="preserve"> address</w:t>
      </w:r>
      <w:r w:rsidR="006D6601">
        <w:t>ing</w:t>
      </w:r>
      <w:r w:rsidR="005078B0" w:rsidRPr="00DD13AC">
        <w:t xml:space="preserve"> challenges related to child labour and women’s rights in the context of cocoa production in West Africa, an issue that has </w:t>
      </w:r>
      <w:r w:rsidR="006D6601">
        <w:t>attracted</w:t>
      </w:r>
      <w:r w:rsidR="005078B0" w:rsidRPr="00DD13AC">
        <w:t xml:space="preserve"> increasing attention from civil society organizations in the past decade.</w:t>
      </w:r>
    </w:p>
    <w:p w:rsidR="005078B0" w:rsidRPr="00DD13AC" w:rsidRDefault="00D06973" w:rsidP="00D06973">
      <w:pPr>
        <w:pStyle w:val="SingleTxtG"/>
      </w:pPr>
      <w:r w:rsidRPr="00DD13AC">
        <w:rPr>
          <w:bCs/>
        </w:rPr>
        <w:t>37.</w:t>
      </w:r>
      <w:r w:rsidRPr="00DD13AC">
        <w:rPr>
          <w:bCs/>
        </w:rPr>
        <w:tab/>
      </w:r>
      <w:r w:rsidR="009E7144">
        <w:t xml:space="preserve">The representative of </w:t>
      </w:r>
      <w:r w:rsidR="005078B0" w:rsidRPr="00DD13AC">
        <w:t xml:space="preserve">Nestlé provided some background </w:t>
      </w:r>
      <w:r w:rsidR="006D6601">
        <w:t>information on</w:t>
      </w:r>
      <w:r w:rsidR="005078B0" w:rsidRPr="00DD13AC">
        <w:t xml:space="preserve"> the programme to address child labour in the cocoa industry. In recent years</w:t>
      </w:r>
      <w:r w:rsidR="006D6601">
        <w:t>,</w:t>
      </w:r>
      <w:r w:rsidR="005078B0" w:rsidRPr="00DD13AC">
        <w:t xml:space="preserve"> the yield for cocoa has stagnated for a number of reasons</w:t>
      </w:r>
      <w:r w:rsidR="006D6601">
        <w:t>,</w:t>
      </w:r>
      <w:r w:rsidR="005078B0" w:rsidRPr="00DD13AC">
        <w:t xml:space="preserve"> including</w:t>
      </w:r>
      <w:r w:rsidR="006D6601">
        <w:t xml:space="preserve"> the</w:t>
      </w:r>
      <w:r w:rsidR="005078B0" w:rsidRPr="00DD13AC">
        <w:t xml:space="preserve"> lack of implementation of good agricultural practices</w:t>
      </w:r>
      <w:r w:rsidR="006D6601">
        <w:t>,</w:t>
      </w:r>
      <w:r w:rsidR="005078B0" w:rsidRPr="00DD13AC">
        <w:t xml:space="preserve"> the small size of fields</w:t>
      </w:r>
      <w:r w:rsidR="006D6601">
        <w:t>, which</w:t>
      </w:r>
      <w:r w:rsidR="005078B0" w:rsidRPr="00DD13AC">
        <w:t xml:space="preserve"> limited industrial production</w:t>
      </w:r>
      <w:r w:rsidR="006D6601">
        <w:t>,</w:t>
      </w:r>
      <w:r w:rsidR="005078B0" w:rsidRPr="00DD13AC">
        <w:t xml:space="preserve"> ag</w:t>
      </w:r>
      <w:r w:rsidR="006D6601">
        <w:t>e</w:t>
      </w:r>
      <w:r w:rsidR="005078B0" w:rsidRPr="00DD13AC">
        <w:t>ing trees</w:t>
      </w:r>
      <w:r w:rsidR="006D6601">
        <w:t>,</w:t>
      </w:r>
      <w:r w:rsidR="005078B0" w:rsidRPr="00DD13AC">
        <w:t xml:space="preserve"> an ag</w:t>
      </w:r>
      <w:r w:rsidR="004D3F5E">
        <w:t>e</w:t>
      </w:r>
      <w:r w:rsidR="005078B0" w:rsidRPr="00DD13AC">
        <w:t>ing workforce</w:t>
      </w:r>
      <w:r w:rsidR="006D6601">
        <w:t>,</w:t>
      </w:r>
      <w:r w:rsidR="005078B0" w:rsidRPr="00DD13AC">
        <w:t xml:space="preserve"> as many young people d</w:t>
      </w:r>
      <w:r w:rsidR="004D3F5E">
        <w:t>id</w:t>
      </w:r>
      <w:r w:rsidR="005078B0" w:rsidRPr="00DD13AC">
        <w:t xml:space="preserve"> not want to work </w:t>
      </w:r>
      <w:r w:rsidR="006D6601">
        <w:t>i</w:t>
      </w:r>
      <w:r w:rsidR="005078B0" w:rsidRPr="00DD13AC">
        <w:t>n the cocoa fields</w:t>
      </w:r>
      <w:r w:rsidR="006D6601">
        <w:t>, and the</w:t>
      </w:r>
      <w:r w:rsidR="005078B0" w:rsidRPr="00DD13AC">
        <w:t xml:space="preserve"> stagnation in the commodity </w:t>
      </w:r>
      <w:r w:rsidR="006D6601">
        <w:t>price coupled with</w:t>
      </w:r>
      <w:r w:rsidR="005078B0" w:rsidRPr="00DD13AC">
        <w:t xml:space="preserve"> a reduction in prices at the farm level</w:t>
      </w:r>
      <w:r w:rsidR="006D6601">
        <w:t>,</w:t>
      </w:r>
      <w:r w:rsidR="005078B0" w:rsidRPr="00DD13AC">
        <w:t xml:space="preserve"> in part due to high taxation and the number actors/tiers in the supply chain. Further</w:t>
      </w:r>
      <w:r w:rsidR="006D6601">
        <w:t>more</w:t>
      </w:r>
      <w:r w:rsidR="005078B0" w:rsidRPr="00DD13AC">
        <w:t>, the situation is characterized by low income for farmers (about US</w:t>
      </w:r>
      <w:r w:rsidR="004D3F5E">
        <w:t>$</w:t>
      </w:r>
      <w:r w:rsidR="00815D78" w:rsidRPr="00DD13AC">
        <w:t> </w:t>
      </w:r>
      <w:r w:rsidR="005078B0" w:rsidRPr="00DD13AC">
        <w:t>50 per month, or barely above US</w:t>
      </w:r>
      <w:r w:rsidR="004D3F5E">
        <w:t>$</w:t>
      </w:r>
      <w:r w:rsidR="00815D78" w:rsidRPr="00DD13AC">
        <w:t> </w:t>
      </w:r>
      <w:r w:rsidR="005078B0" w:rsidRPr="00DD13AC">
        <w:t>2 per day) and the high number of children involved in cocoa production</w:t>
      </w:r>
      <w:r w:rsidR="004D3F5E">
        <w:t>.</w:t>
      </w:r>
      <w:r w:rsidR="005078B0" w:rsidRPr="00DD13AC">
        <w:t xml:space="preserve"> </w:t>
      </w:r>
      <w:r w:rsidR="004D3F5E">
        <w:t>O</w:t>
      </w:r>
      <w:r w:rsidR="005078B0" w:rsidRPr="00DD13AC">
        <w:t xml:space="preserve">ne estimate is that there are 800,000 children working in the cocoa supply chain in Côte d’Ivoire alone. </w:t>
      </w:r>
    </w:p>
    <w:p w:rsidR="005078B0" w:rsidRPr="00DD13AC" w:rsidRDefault="00D06973" w:rsidP="00D06973">
      <w:pPr>
        <w:pStyle w:val="SingleTxtG"/>
      </w:pPr>
      <w:r w:rsidRPr="00DD13AC">
        <w:rPr>
          <w:bCs/>
        </w:rPr>
        <w:t>38.</w:t>
      </w:r>
      <w:r w:rsidRPr="00DD13AC">
        <w:rPr>
          <w:bCs/>
        </w:rPr>
        <w:tab/>
      </w:r>
      <w:r w:rsidR="009E7144">
        <w:t xml:space="preserve">The representative of </w:t>
      </w:r>
      <w:r w:rsidR="005078B0" w:rsidRPr="00DD13AC">
        <w:t xml:space="preserve">Nestlé explained that its response was to put in place a programme consisting </w:t>
      </w:r>
      <w:r w:rsidR="009B5209" w:rsidRPr="00DD13AC">
        <w:t>of three pillars</w:t>
      </w:r>
      <w:r w:rsidR="00807473">
        <w:t>,</w:t>
      </w:r>
      <w:r w:rsidR="009B5209" w:rsidRPr="00DD13AC">
        <w:t xml:space="preserve"> </w:t>
      </w:r>
      <w:r w:rsidR="004D3F5E">
        <w:t>t</w:t>
      </w:r>
      <w:r w:rsidR="005078B0" w:rsidRPr="00DD13AC">
        <w:t>he first seeking to</w:t>
      </w:r>
      <w:r w:rsidR="00716853" w:rsidRPr="00DD13AC">
        <w:t xml:space="preserve"> increase farmers’ profits</w:t>
      </w:r>
      <w:r w:rsidR="00807473">
        <w:t>,</w:t>
      </w:r>
      <w:r w:rsidR="005078B0" w:rsidRPr="00DD13AC">
        <w:t xml:space="preserve"> the second focused on the social conditions in the supply chain and the third seeking to ensure resilience in the cocoa supply chain </w:t>
      </w:r>
      <w:r w:rsidR="004D3F5E">
        <w:t xml:space="preserve">in order </w:t>
      </w:r>
      <w:r w:rsidR="005078B0" w:rsidRPr="00DD13AC">
        <w:t xml:space="preserve">to meet production needs. </w:t>
      </w:r>
    </w:p>
    <w:p w:rsidR="005078B0" w:rsidRPr="00DD13AC" w:rsidRDefault="00D06973" w:rsidP="00D06973">
      <w:pPr>
        <w:pStyle w:val="SingleTxtG"/>
      </w:pPr>
      <w:r w:rsidRPr="00DD13AC">
        <w:rPr>
          <w:bCs/>
        </w:rPr>
        <w:t>39.</w:t>
      </w:r>
      <w:r w:rsidRPr="00DD13AC">
        <w:rPr>
          <w:bCs/>
        </w:rPr>
        <w:tab/>
      </w:r>
      <w:r w:rsidR="005078B0" w:rsidRPr="00DD13AC">
        <w:t>In order to address</w:t>
      </w:r>
      <w:r w:rsidR="004D3F5E">
        <w:t xml:space="preserve"> the issue of</w:t>
      </w:r>
      <w:r w:rsidR="005078B0" w:rsidRPr="00DD13AC">
        <w:t xml:space="preserve"> social conditions, Nestlé entered into a partnership with the Fair Labor Association in 2011 to conduct a baseline analysis </w:t>
      </w:r>
      <w:r w:rsidR="00807473">
        <w:t>of</w:t>
      </w:r>
      <w:r w:rsidR="005078B0" w:rsidRPr="00DD13AC">
        <w:t xml:space="preserve"> </w:t>
      </w:r>
      <w:r w:rsidR="00807473">
        <w:t xml:space="preserve">the </w:t>
      </w:r>
      <w:r w:rsidR="005078B0" w:rsidRPr="00DD13AC">
        <w:t>prevalence of child labour in the coc</w:t>
      </w:r>
      <w:r w:rsidR="00807473">
        <w:t>o</w:t>
      </w:r>
      <w:r w:rsidR="005078B0" w:rsidRPr="00DD13AC">
        <w:t xml:space="preserve">a supply chain, which resulted in </w:t>
      </w:r>
      <w:r w:rsidR="00807473">
        <w:t>11</w:t>
      </w:r>
      <w:r w:rsidR="005078B0" w:rsidRPr="00DD13AC">
        <w:t xml:space="preserve"> recommendations from </w:t>
      </w:r>
      <w:r w:rsidR="004D3F5E">
        <w:t xml:space="preserve">the </w:t>
      </w:r>
      <w:r w:rsidR="00807473" w:rsidRPr="00DD13AC">
        <w:t xml:space="preserve">Fair </w:t>
      </w:r>
      <w:r w:rsidR="004D3F5E" w:rsidRPr="00DD13AC">
        <w:t>Labor Association</w:t>
      </w:r>
      <w:r w:rsidR="005078B0" w:rsidRPr="00DD13AC">
        <w:t>. Nestlé adopted all the</w:t>
      </w:r>
      <w:r w:rsidR="00807473">
        <w:t xml:space="preserve"> recommendations,</w:t>
      </w:r>
      <w:r w:rsidR="005078B0" w:rsidRPr="00DD13AC">
        <w:t xml:space="preserve"> including the </w:t>
      </w:r>
      <w:r w:rsidR="00807473">
        <w:t>one to establish</w:t>
      </w:r>
      <w:r w:rsidR="005078B0" w:rsidRPr="00DD13AC">
        <w:t xml:space="preserve"> the Child Labour Monitoring and Remediation System, which was supported by ICI. Th</w:t>
      </w:r>
      <w:r w:rsidR="00807473">
        <w:t>e</w:t>
      </w:r>
      <w:r w:rsidR="005078B0" w:rsidRPr="00DD13AC">
        <w:t xml:space="preserve"> </w:t>
      </w:r>
      <w:r w:rsidR="005078B0" w:rsidRPr="00DD13AC">
        <w:lastRenderedPageBreak/>
        <w:t xml:space="preserve">system sought to address policies and practices </w:t>
      </w:r>
      <w:r w:rsidR="00807473">
        <w:t>in</w:t>
      </w:r>
      <w:r w:rsidR="005078B0" w:rsidRPr="00DD13AC">
        <w:t xml:space="preserve"> all </w:t>
      </w:r>
      <w:r w:rsidR="00807473">
        <w:t xml:space="preserve">the </w:t>
      </w:r>
      <w:r w:rsidR="005078B0" w:rsidRPr="00DD13AC">
        <w:t xml:space="preserve">tiers of the supply chain, from local growers </w:t>
      </w:r>
      <w:r w:rsidR="00807473">
        <w:t>to</w:t>
      </w:r>
      <w:r w:rsidR="005078B0" w:rsidRPr="00DD13AC">
        <w:t xml:space="preserve"> cooperatives and tier-one suppliers to Nestlé. </w:t>
      </w:r>
      <w:r w:rsidR="00807473">
        <w:t>B</w:t>
      </w:r>
      <w:r w:rsidR="00716853" w:rsidRPr="00DD13AC">
        <w:t xml:space="preserve">y the end of November 2014, </w:t>
      </w:r>
      <w:r w:rsidR="002878CB">
        <w:t xml:space="preserve">some </w:t>
      </w:r>
      <w:r w:rsidR="00716853" w:rsidRPr="00DD13AC">
        <w:t xml:space="preserve">16 cooperatives had implemented the system. The aim </w:t>
      </w:r>
      <w:r w:rsidR="00807473">
        <w:t>i</w:t>
      </w:r>
      <w:r w:rsidR="00716853" w:rsidRPr="00DD13AC">
        <w:t xml:space="preserve">s to have the system implemented by all </w:t>
      </w:r>
      <w:r w:rsidR="00422AA4">
        <w:t xml:space="preserve">Nestlé </w:t>
      </w:r>
      <w:r w:rsidR="00716853" w:rsidRPr="00DD13AC">
        <w:t xml:space="preserve">Cocoa Plan cooperatives by 2016. </w:t>
      </w:r>
      <w:r w:rsidR="005078B0" w:rsidRPr="00DD13AC">
        <w:t xml:space="preserve">With the support of ICI, Nestlé conducted training </w:t>
      </w:r>
      <w:r w:rsidR="00807473">
        <w:t>for</w:t>
      </w:r>
      <w:r w:rsidR="005078B0" w:rsidRPr="00DD13AC">
        <w:t xml:space="preserve"> company employees</w:t>
      </w:r>
      <w:r w:rsidR="00807473">
        <w:t>,</w:t>
      </w:r>
      <w:r w:rsidR="005078B0" w:rsidRPr="00DD13AC">
        <w:t xml:space="preserve"> including agronomists</w:t>
      </w:r>
      <w:r w:rsidR="002878CB">
        <w:t>,</w:t>
      </w:r>
      <w:r w:rsidR="005078B0" w:rsidRPr="00DD13AC">
        <w:t xml:space="preserve"> who can now identify cases of child labour</w:t>
      </w:r>
      <w:r w:rsidR="00807473">
        <w:t>,</w:t>
      </w:r>
      <w:r w:rsidR="005078B0" w:rsidRPr="00DD13AC">
        <w:t xml:space="preserve"> and with external actors such as farmers and cooperative owners. A key finding was that the system </w:t>
      </w:r>
      <w:r w:rsidR="00807473">
        <w:t>identifies</w:t>
      </w:r>
      <w:r w:rsidR="005078B0" w:rsidRPr="00DD13AC">
        <w:t xml:space="preserve"> more cases of concern than </w:t>
      </w:r>
      <w:r w:rsidR="00422AA4">
        <w:t xml:space="preserve">those identified under </w:t>
      </w:r>
      <w:r w:rsidR="005078B0" w:rsidRPr="00DD13AC">
        <w:t>the certification scheme</w:t>
      </w:r>
      <w:r w:rsidR="00422AA4">
        <w:t xml:space="preserve"> </w:t>
      </w:r>
      <w:r w:rsidR="00422AA4" w:rsidRPr="00DD13AC">
        <w:t>audits</w:t>
      </w:r>
      <w:r w:rsidR="004B5386">
        <w:t xml:space="preserve">. In fact, </w:t>
      </w:r>
      <w:r w:rsidR="005078B0" w:rsidRPr="00DD13AC">
        <w:t>about 3</w:t>
      </w:r>
      <w:r w:rsidR="002878CB">
        <w:t>,</w:t>
      </w:r>
      <w:r w:rsidR="005078B0" w:rsidRPr="00DD13AC">
        <w:t xml:space="preserve">000 instances of child labour were found that were linked to certified cooperatives. </w:t>
      </w:r>
    </w:p>
    <w:p w:rsidR="005078B0" w:rsidRPr="00DD13AC" w:rsidRDefault="00D06973" w:rsidP="00D06973">
      <w:pPr>
        <w:pStyle w:val="SingleTxtG"/>
      </w:pPr>
      <w:r w:rsidRPr="00DD13AC">
        <w:rPr>
          <w:bCs/>
        </w:rPr>
        <w:t>40.</w:t>
      </w:r>
      <w:r w:rsidRPr="00DD13AC">
        <w:rPr>
          <w:bCs/>
        </w:rPr>
        <w:tab/>
      </w:r>
      <w:r w:rsidR="005078B0" w:rsidRPr="00DD13AC">
        <w:t xml:space="preserve">The collaboration with </w:t>
      </w:r>
      <w:r w:rsidR="004D3F5E">
        <w:t xml:space="preserve">the </w:t>
      </w:r>
      <w:r w:rsidR="004D3F5E" w:rsidRPr="00DD13AC">
        <w:t>Fair Labor Association</w:t>
      </w:r>
      <w:r w:rsidR="005078B0" w:rsidRPr="00DD13AC">
        <w:t xml:space="preserve"> and ICI was seen as crucial by Nestlé with respect to its efforts to address child labour. </w:t>
      </w:r>
      <w:r w:rsidR="004B5386">
        <w:t>C</w:t>
      </w:r>
      <w:r w:rsidR="005078B0" w:rsidRPr="00DD13AC">
        <w:t xml:space="preserve">ivil society organizations have the necessary expertise, credibility and capacity to implement programmes and audits. It was also important to try and engage </w:t>
      </w:r>
      <w:r w:rsidR="004B5386">
        <w:t xml:space="preserve">with </w:t>
      </w:r>
      <w:r w:rsidR="005078B0" w:rsidRPr="00DD13AC">
        <w:t xml:space="preserve">the </w:t>
      </w:r>
      <w:r w:rsidR="004B5386">
        <w:t>G</w:t>
      </w:r>
      <w:r w:rsidR="005078B0" w:rsidRPr="00DD13AC">
        <w:t xml:space="preserve">overnment in order to coordinate programmes. </w:t>
      </w:r>
    </w:p>
    <w:p w:rsidR="005078B0" w:rsidRPr="00DD13AC" w:rsidRDefault="00D06973" w:rsidP="00D06973">
      <w:pPr>
        <w:pStyle w:val="SingleTxtG"/>
      </w:pPr>
      <w:r w:rsidRPr="00DD13AC">
        <w:rPr>
          <w:bCs/>
        </w:rPr>
        <w:t>41.</w:t>
      </w:r>
      <w:r w:rsidRPr="00DD13AC">
        <w:rPr>
          <w:bCs/>
        </w:rPr>
        <w:tab/>
      </w:r>
      <w:r w:rsidR="004B5386">
        <w:t>I</w:t>
      </w:r>
      <w:r w:rsidR="005078B0" w:rsidRPr="00DD13AC">
        <w:t>t was noted that activities related to child labour were part of the overall programme on human rights due diligence</w:t>
      </w:r>
      <w:r w:rsidR="004B5386">
        <w:t>. T</w:t>
      </w:r>
      <w:r w:rsidR="005078B0" w:rsidRPr="00DD13AC">
        <w:t>he Guiding Principles had been critical in informing the design of the programme</w:t>
      </w:r>
      <w:r w:rsidR="004B5386">
        <w:t xml:space="preserve"> and</w:t>
      </w:r>
      <w:r w:rsidR="005078B0" w:rsidRPr="00DD13AC">
        <w:t xml:space="preserve"> in clarifying the responsibility of the company to use leverage in addressing the problem of child labour in the supply chain. </w:t>
      </w:r>
    </w:p>
    <w:p w:rsidR="005078B0" w:rsidRPr="00DD13AC" w:rsidRDefault="00D06973" w:rsidP="00D06973">
      <w:pPr>
        <w:pStyle w:val="SingleTxtG"/>
      </w:pPr>
      <w:r w:rsidRPr="00DD13AC">
        <w:rPr>
          <w:bCs/>
        </w:rPr>
        <w:t>42.</w:t>
      </w:r>
      <w:r w:rsidRPr="00DD13AC">
        <w:rPr>
          <w:bCs/>
        </w:rPr>
        <w:tab/>
      </w:r>
      <w:r w:rsidR="009E7144">
        <w:t>The representative of</w:t>
      </w:r>
      <w:r w:rsidR="005078B0" w:rsidRPr="00DD13AC">
        <w:t xml:space="preserve"> ICI</w:t>
      </w:r>
      <w:r w:rsidR="009E7144">
        <w:t>,</w:t>
      </w:r>
      <w:r w:rsidR="005078B0" w:rsidRPr="00DD13AC">
        <w:t xml:space="preserve"> a multi-stakeholder coalition </w:t>
      </w:r>
      <w:r w:rsidR="004B5386">
        <w:t>that aimed to</w:t>
      </w:r>
      <w:r w:rsidR="005078B0" w:rsidRPr="00DD13AC">
        <w:t xml:space="preserve"> </w:t>
      </w:r>
      <w:r w:rsidR="004B5386">
        <w:t>bring about</w:t>
      </w:r>
      <w:r w:rsidR="005078B0" w:rsidRPr="00DD13AC">
        <w:t xml:space="preserve"> sector-wide change to protect children in the cocoa industry</w:t>
      </w:r>
      <w:r w:rsidR="009E7144">
        <w:t>,</w:t>
      </w:r>
      <w:r w:rsidR="005078B0" w:rsidRPr="00DD13AC">
        <w:t xml:space="preserve"> noted that a key aspect of its work was building </w:t>
      </w:r>
      <w:r w:rsidR="004B5386">
        <w:t xml:space="preserve">the </w:t>
      </w:r>
      <w:r w:rsidR="005078B0" w:rsidRPr="00DD13AC">
        <w:t>capacity of a range of actors in the supply chain</w:t>
      </w:r>
      <w:r w:rsidR="009E7144">
        <w:t>,</w:t>
      </w:r>
      <w:r w:rsidR="005078B0" w:rsidRPr="00DD13AC">
        <w:t xml:space="preserve"> including Nestlé</w:t>
      </w:r>
      <w:r w:rsidR="009E7144">
        <w:t>,</w:t>
      </w:r>
      <w:r w:rsidR="005078B0" w:rsidRPr="00DD13AC">
        <w:t xml:space="preserve"> and engaging communities and </w:t>
      </w:r>
      <w:r w:rsidR="004B5386">
        <w:t>G</w:t>
      </w:r>
      <w:r w:rsidR="005078B0" w:rsidRPr="00DD13AC">
        <w:t xml:space="preserve">overnments in producing countries. Among the insights ICI </w:t>
      </w:r>
      <w:r w:rsidR="004B5386">
        <w:t xml:space="preserve">had </w:t>
      </w:r>
      <w:r w:rsidR="004B5386" w:rsidRPr="00DD13AC">
        <w:t xml:space="preserve">identified </w:t>
      </w:r>
      <w:r w:rsidR="005078B0" w:rsidRPr="00DD13AC">
        <w:t>with re</w:t>
      </w:r>
      <w:r w:rsidR="004B5386">
        <w:t>gard</w:t>
      </w:r>
      <w:r w:rsidR="005078B0" w:rsidRPr="00DD13AC">
        <w:t xml:space="preserve"> to making </w:t>
      </w:r>
      <w:r w:rsidR="004B5386">
        <w:t>valuable</w:t>
      </w:r>
      <w:r w:rsidR="005078B0" w:rsidRPr="00DD13AC">
        <w:t xml:space="preserve"> changes on the ground </w:t>
      </w:r>
      <w:r w:rsidR="004B5386">
        <w:t>through</w:t>
      </w:r>
      <w:r w:rsidR="005078B0" w:rsidRPr="00DD13AC">
        <w:t xml:space="preserve"> collaboration with multiple actors, the following were emphasized:</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23788C" w:rsidRPr="00DD13AC">
        <w:t>I</w:t>
      </w:r>
      <w:r w:rsidR="005078B0" w:rsidRPr="00DD13AC">
        <w:t>t is necessary to recognize that identif</w:t>
      </w:r>
      <w:r w:rsidR="004B5386">
        <w:t>y</w:t>
      </w:r>
      <w:r w:rsidR="005078B0" w:rsidRPr="00DD13AC">
        <w:t>in</w:t>
      </w:r>
      <w:r w:rsidR="004B5386">
        <w:t>g</w:t>
      </w:r>
      <w:r w:rsidR="005078B0" w:rsidRPr="00DD13AC">
        <w:t xml:space="preserve"> child labour is a complex issue. It is not easy to walk </w:t>
      </w:r>
      <w:r w:rsidR="00EA642B">
        <w:t>o</w:t>
      </w:r>
      <w:r w:rsidR="005078B0" w:rsidRPr="00DD13AC">
        <w:t>nto a farm and s</w:t>
      </w:r>
      <w:r w:rsidR="00EA642B">
        <w:t xml:space="preserve">pot which cases constitute </w:t>
      </w:r>
      <w:r w:rsidR="005078B0" w:rsidRPr="00DD13AC">
        <w:t xml:space="preserve">child labour and </w:t>
      </w:r>
      <w:r w:rsidR="00EA642B">
        <w:t>which do</w:t>
      </w:r>
      <w:r w:rsidR="005078B0" w:rsidRPr="00DD13AC">
        <w:t xml:space="preserve"> not. </w:t>
      </w:r>
      <w:r w:rsidR="00EA642B">
        <w:t>C</w:t>
      </w:r>
      <w:r w:rsidR="005078B0" w:rsidRPr="00DD13AC">
        <w:t>onsider</w:t>
      </w:r>
      <w:r w:rsidR="00EA642B">
        <w:t>ation should be given to</w:t>
      </w:r>
      <w:r w:rsidR="005078B0" w:rsidRPr="00DD13AC">
        <w:t xml:space="preserve"> time of day, the nature of the work and the age of the child</w:t>
      </w:r>
      <w:r w:rsidR="00EA642B">
        <w:t>,</w:t>
      </w:r>
      <w:r w:rsidR="005078B0" w:rsidRPr="00DD13AC">
        <w:t xml:space="preserve"> which i</w:t>
      </w:r>
      <w:r w:rsidR="00EA5053" w:rsidRPr="00DD13AC">
        <w:t>s not always easy to determine</w:t>
      </w:r>
      <w:r w:rsidR="0023788C"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23788C" w:rsidRPr="00DD13AC">
        <w:t>B</w:t>
      </w:r>
      <w:r w:rsidR="005078B0" w:rsidRPr="00DD13AC">
        <w:t>uilding on existing capacity makes sense</w:t>
      </w:r>
      <w:r w:rsidR="00EA642B">
        <w:t>.</w:t>
      </w:r>
      <w:r w:rsidR="005078B0" w:rsidRPr="00DD13AC">
        <w:t xml:space="preserve"> </w:t>
      </w:r>
      <w:r w:rsidR="00EA642B">
        <w:t>Since c</w:t>
      </w:r>
      <w:r w:rsidR="005078B0" w:rsidRPr="00DD13AC">
        <w:t>ooperatives in the supply chain are institutions with management capability and structures</w:t>
      </w:r>
      <w:r w:rsidR="00EA642B">
        <w:t>,</w:t>
      </w:r>
      <w:r w:rsidR="005078B0" w:rsidRPr="00DD13AC">
        <w:t xml:space="preserve"> </w:t>
      </w:r>
      <w:r w:rsidR="00EA642B">
        <w:t>w</w:t>
      </w:r>
      <w:r w:rsidR="005078B0" w:rsidRPr="00DD13AC">
        <w:t>orking through the</w:t>
      </w:r>
      <w:r w:rsidR="00EA642B">
        <w:t>m</w:t>
      </w:r>
      <w:r w:rsidR="005078B0" w:rsidRPr="00DD13AC">
        <w:t xml:space="preserve"> is necess</w:t>
      </w:r>
      <w:r w:rsidR="00EA5053" w:rsidRPr="00DD13AC">
        <w:t>ary</w:t>
      </w:r>
      <w:r w:rsidR="0023788C"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23788C" w:rsidRPr="00DD13AC">
        <w:t>R</w:t>
      </w:r>
      <w:r w:rsidR="005078B0" w:rsidRPr="00DD13AC">
        <w:t>eal remediation, not policing, is critical</w:t>
      </w:r>
      <w:r w:rsidR="00EA642B">
        <w:t>.</w:t>
      </w:r>
      <w:r w:rsidR="005078B0" w:rsidRPr="00DD13AC">
        <w:t xml:space="preserve"> </w:t>
      </w:r>
      <w:r w:rsidR="00EA642B">
        <w:t>Arriving on</w:t>
      </w:r>
      <w:r w:rsidR="005078B0" w:rsidRPr="00DD13AC">
        <w:t xml:space="preserve"> a farm and simply </w:t>
      </w:r>
      <w:r w:rsidR="00A23396">
        <w:t>pinpointing</w:t>
      </w:r>
      <w:r w:rsidR="005078B0" w:rsidRPr="00DD13AC">
        <w:t xml:space="preserve"> child labour silences dialogue and pushes the issue under the surface. Farmers and children n</w:t>
      </w:r>
      <w:r w:rsidR="00EA5053" w:rsidRPr="00DD13AC">
        <w:t>eed good alternatives that work</w:t>
      </w:r>
      <w:r w:rsidR="0023788C"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23788C" w:rsidRPr="00DD13AC">
        <w:t>I</w:t>
      </w:r>
      <w:r w:rsidR="005078B0" w:rsidRPr="00DD13AC">
        <w:t>nnovation can help spread knowledge and good practices</w:t>
      </w:r>
      <w:r w:rsidR="00A23396">
        <w:t>, such as</w:t>
      </w:r>
      <w:r w:rsidR="005078B0" w:rsidRPr="00DD13AC">
        <w:t xml:space="preserve"> </w:t>
      </w:r>
      <w:r w:rsidR="00A23396">
        <w:t xml:space="preserve">in the case of </w:t>
      </w:r>
      <w:r w:rsidR="005078B0" w:rsidRPr="00DD13AC">
        <w:t xml:space="preserve">a </w:t>
      </w:r>
      <w:r w:rsidR="00A23396">
        <w:t>s</w:t>
      </w:r>
      <w:r w:rsidR="005078B0" w:rsidRPr="00DD13AC">
        <w:t xml:space="preserve">martphone application implemented by ICI that allows data to be gathered </w:t>
      </w:r>
      <w:r w:rsidR="00A23396">
        <w:t xml:space="preserve">in order </w:t>
      </w:r>
      <w:r w:rsidR="005078B0" w:rsidRPr="00DD13AC">
        <w:t xml:space="preserve">to inform decisions </w:t>
      </w:r>
      <w:r w:rsidR="00A23396">
        <w:t>taken by</w:t>
      </w:r>
      <w:r w:rsidR="005078B0" w:rsidRPr="00DD13AC">
        <w:t xml:space="preserve"> cooperatives. </w:t>
      </w:r>
    </w:p>
    <w:p w:rsidR="005078B0" w:rsidRPr="00DD13AC" w:rsidRDefault="00D06973" w:rsidP="00D06973">
      <w:pPr>
        <w:pStyle w:val="SingleTxtG"/>
      </w:pPr>
      <w:r w:rsidRPr="00DD13AC">
        <w:rPr>
          <w:bCs/>
        </w:rPr>
        <w:t>43.</w:t>
      </w:r>
      <w:r w:rsidRPr="00DD13AC">
        <w:rPr>
          <w:bCs/>
        </w:rPr>
        <w:tab/>
      </w:r>
      <w:r w:rsidR="00A23396">
        <w:t>T</w:t>
      </w:r>
      <w:r w:rsidR="009E7144">
        <w:t xml:space="preserve">he representative of </w:t>
      </w:r>
      <w:r w:rsidR="005078B0" w:rsidRPr="00DD13AC">
        <w:t xml:space="preserve">Oxfam explained that its engagement with Nestlé and other companies in the sector </w:t>
      </w:r>
      <w:r w:rsidR="00A23396">
        <w:t>took place</w:t>
      </w:r>
      <w:r w:rsidR="005078B0" w:rsidRPr="00DD13AC">
        <w:t xml:space="preserve"> in part through the “Behind the Brands” campaign, which ranks and scores </w:t>
      </w:r>
      <w:r w:rsidR="000722B8">
        <w:t>10</w:t>
      </w:r>
      <w:r w:rsidR="005078B0" w:rsidRPr="00DD13AC">
        <w:t xml:space="preserve"> food and beverage companies in seven areas: </w:t>
      </w:r>
      <w:r w:rsidR="00A23396">
        <w:t>l</w:t>
      </w:r>
      <w:r w:rsidR="005078B0" w:rsidRPr="00DD13AC">
        <w:t>and access and rights, women’s rights, support to farmers, workers’ rights, mitigation of climate impacts, transparency at corporate level, and water use and impacts as well as access to water. Issues and lessons highlighted from engagement through th</w:t>
      </w:r>
      <w:r w:rsidR="00A23396">
        <w:t>at</w:t>
      </w:r>
      <w:r w:rsidR="005078B0" w:rsidRPr="00DD13AC">
        <w:t xml:space="preserve"> initiative included:</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B3555" w:rsidRPr="00DD13AC">
        <w:t>I</w:t>
      </w:r>
      <w:r w:rsidR="005078B0" w:rsidRPr="00DD13AC">
        <w:t>t is not just about the relationship between Oxfam and the brands</w:t>
      </w:r>
      <w:r w:rsidR="005078B0" w:rsidRPr="00DD13AC">
        <w:rPr>
          <w:b/>
        </w:rPr>
        <w:t>.</w:t>
      </w:r>
      <w:r w:rsidR="005078B0" w:rsidRPr="00DD13AC">
        <w:t xml:space="preserve"> It is also a dialogue </w:t>
      </w:r>
      <w:r w:rsidR="000722B8">
        <w:t>in which</w:t>
      </w:r>
      <w:r w:rsidR="005078B0" w:rsidRPr="00DD13AC">
        <w:t xml:space="preserve"> Oxfam has </w:t>
      </w:r>
      <w:r w:rsidR="00424062" w:rsidRPr="00DD13AC">
        <w:t>tried to involve the public</w:t>
      </w:r>
      <w:r w:rsidR="007B3555"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B3555" w:rsidRPr="00DD13AC">
        <w:t>I</w:t>
      </w:r>
      <w:r w:rsidR="005078B0" w:rsidRPr="00DD13AC">
        <w:t xml:space="preserve">t is not easy to engage all </w:t>
      </w:r>
      <w:r w:rsidR="000722B8">
        <w:t>10</w:t>
      </w:r>
      <w:r w:rsidR="005078B0" w:rsidRPr="00DD13AC">
        <w:t xml:space="preserve"> companies on all seven areas. Companies are often more comfortable or confident addre</w:t>
      </w:r>
      <w:r w:rsidR="00424062" w:rsidRPr="00DD13AC">
        <w:t xml:space="preserve">ssing some issues </w:t>
      </w:r>
      <w:r w:rsidR="000722B8">
        <w:t>rather than</w:t>
      </w:r>
      <w:r w:rsidR="00424062" w:rsidRPr="00DD13AC">
        <w:t xml:space="preserve"> others</w:t>
      </w:r>
      <w:r w:rsidR="007B3555" w:rsidRPr="00DD13AC">
        <w:t>;</w:t>
      </w:r>
    </w:p>
    <w:p w:rsidR="005078B0" w:rsidRPr="00DD13AC" w:rsidRDefault="00D06973" w:rsidP="00D06973">
      <w:pPr>
        <w:pStyle w:val="Bullet1G"/>
        <w:numPr>
          <w:ilvl w:val="0"/>
          <w:numId w:val="0"/>
        </w:numPr>
        <w:tabs>
          <w:tab w:val="left" w:pos="1701"/>
        </w:tabs>
        <w:ind w:left="1701" w:hanging="170"/>
      </w:pPr>
      <w:r w:rsidRPr="00DD13AC">
        <w:lastRenderedPageBreak/>
        <w:t>•</w:t>
      </w:r>
      <w:r w:rsidRPr="00DD13AC">
        <w:tab/>
      </w:r>
      <w:r w:rsidR="005078B0" w:rsidRPr="00DD13AC">
        <w:t xml:space="preserve">Oxfam found </w:t>
      </w:r>
      <w:r w:rsidR="000722B8">
        <w:t xml:space="preserve">that </w:t>
      </w:r>
      <w:r w:rsidR="005078B0" w:rsidRPr="00DD13AC">
        <w:t xml:space="preserve">it is effective to use reports and campaigns to highlight specific issues </w:t>
      </w:r>
      <w:r w:rsidR="000722B8">
        <w:t>that require more</w:t>
      </w:r>
      <w:r w:rsidR="00424062" w:rsidRPr="00DD13AC">
        <w:t xml:space="preserve"> attention</w:t>
      </w:r>
      <w:r w:rsidR="000722B8">
        <w:t>, in its opinion</w:t>
      </w:r>
      <w:r w:rsidR="007B3555"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5078B0" w:rsidRPr="00DD13AC">
        <w:t>Oxfam does not set out to blindside companies. Before going public with reports</w:t>
      </w:r>
      <w:r w:rsidR="00D62519">
        <w:t>, it</w:t>
      </w:r>
      <w:r w:rsidR="005078B0" w:rsidRPr="00DD13AC">
        <w:t xml:space="preserve"> </w:t>
      </w:r>
      <w:r w:rsidR="000722B8">
        <w:t>give</w:t>
      </w:r>
      <w:r w:rsidR="00D62519">
        <w:t>s</w:t>
      </w:r>
      <w:r w:rsidR="005078B0" w:rsidRPr="00DD13AC">
        <w:t xml:space="preserve"> the company or companies</w:t>
      </w:r>
      <w:r w:rsidR="000722B8">
        <w:t xml:space="preserve"> concerned</w:t>
      </w:r>
      <w:r w:rsidR="005078B0" w:rsidRPr="00DD13AC">
        <w:t xml:space="preserve"> the opportunity to comment </w:t>
      </w:r>
      <w:r w:rsidR="00424062" w:rsidRPr="00DD13AC">
        <w:t>and understand Oxfam’s demands</w:t>
      </w:r>
      <w:r w:rsidR="007B3555" w:rsidRPr="00DD13AC">
        <w:t>.</w:t>
      </w:r>
    </w:p>
    <w:p w:rsidR="005078B0" w:rsidRPr="00DD13AC" w:rsidRDefault="00D06973" w:rsidP="00D06973">
      <w:pPr>
        <w:pStyle w:val="SingleTxtG"/>
      </w:pPr>
      <w:r w:rsidRPr="00DD13AC">
        <w:rPr>
          <w:bCs/>
        </w:rPr>
        <w:t>44.</w:t>
      </w:r>
      <w:r w:rsidRPr="00DD13AC">
        <w:rPr>
          <w:bCs/>
        </w:rPr>
        <w:tab/>
      </w:r>
      <w:r w:rsidR="005078B0" w:rsidRPr="00DD13AC">
        <w:t>A particular focus for Oxfam’s work on the cocoa supply chains was the issue of women’s inequality, and the double aspect of recognizing the need to protect women’s rights and addressing inequality as a means to tackle child labour. As women make up 43</w:t>
      </w:r>
      <w:r w:rsidR="007B3555" w:rsidRPr="00DD13AC">
        <w:t> </w:t>
      </w:r>
      <w:r w:rsidR="005078B0" w:rsidRPr="00DD13AC">
        <w:t>per</w:t>
      </w:r>
      <w:r w:rsidR="000722B8">
        <w:t xml:space="preserve"> </w:t>
      </w:r>
      <w:r w:rsidR="005078B0" w:rsidRPr="00DD13AC">
        <w:t>cent of the workforce in the world’s agricultural sector, and investments in family health</w:t>
      </w:r>
      <w:r w:rsidR="000722B8">
        <w:t xml:space="preserve"> </w:t>
      </w:r>
      <w:r w:rsidR="005078B0" w:rsidRPr="00DD13AC">
        <w:t>care, children’s education and food tends to be the concern of women, it was noted that increased income and opportunit</w:t>
      </w:r>
      <w:r w:rsidR="000722B8">
        <w:t>ies</w:t>
      </w:r>
      <w:r w:rsidR="005078B0" w:rsidRPr="00DD13AC">
        <w:t xml:space="preserve"> for women in the supply chain can </w:t>
      </w:r>
      <w:r w:rsidR="000722B8">
        <w:t>address</w:t>
      </w:r>
      <w:r w:rsidR="005078B0" w:rsidRPr="00DD13AC">
        <w:t xml:space="preserve"> the </w:t>
      </w:r>
      <w:r w:rsidR="000722B8">
        <w:t>root causes of</w:t>
      </w:r>
      <w:r w:rsidR="005078B0" w:rsidRPr="00DD13AC">
        <w:t xml:space="preserve"> child labour. </w:t>
      </w:r>
    </w:p>
    <w:p w:rsidR="005078B0" w:rsidRPr="00DD13AC" w:rsidRDefault="00D06973" w:rsidP="00D06973">
      <w:pPr>
        <w:pStyle w:val="SingleTxtG"/>
      </w:pPr>
      <w:r w:rsidRPr="00DD13AC">
        <w:rPr>
          <w:bCs/>
        </w:rPr>
        <w:t>45.</w:t>
      </w:r>
      <w:r w:rsidRPr="00DD13AC">
        <w:rPr>
          <w:bCs/>
        </w:rPr>
        <w:tab/>
      </w:r>
      <w:r w:rsidR="005078B0" w:rsidRPr="00DD13AC">
        <w:t xml:space="preserve">With regard to engaging Nestlé, Oxfam explained that research conducted in 2013 </w:t>
      </w:r>
      <w:r w:rsidR="000722B8">
        <w:t xml:space="preserve">had </w:t>
      </w:r>
      <w:r w:rsidR="005078B0" w:rsidRPr="00DD13AC">
        <w:t>highlighted the issue of women’s rights in the cocoa supply chain. Th</w:t>
      </w:r>
      <w:r w:rsidR="000722B8">
        <w:t>e</w:t>
      </w:r>
      <w:r w:rsidR="005078B0" w:rsidRPr="00DD13AC">
        <w:t xml:space="preserve"> process </w:t>
      </w:r>
      <w:r w:rsidR="000722B8">
        <w:t xml:space="preserve">had </w:t>
      </w:r>
      <w:r w:rsidR="005078B0" w:rsidRPr="00DD13AC">
        <w:t>involved engaging Nestlé and others both privately and publicly, and shortly after the public campaign</w:t>
      </w:r>
      <w:r w:rsidR="000722B8">
        <w:t>,</w:t>
      </w:r>
      <w:r w:rsidR="005078B0" w:rsidRPr="00DD13AC">
        <w:t xml:space="preserve"> Nestlé </w:t>
      </w:r>
      <w:r w:rsidR="000722B8">
        <w:t xml:space="preserve">had </w:t>
      </w:r>
      <w:r w:rsidR="005078B0" w:rsidRPr="00DD13AC">
        <w:t>agreed to all of the requests made. After engagement between Oxfam and Nestlé</w:t>
      </w:r>
      <w:r w:rsidR="000722B8">
        <w:t>,</w:t>
      </w:r>
      <w:r w:rsidR="005078B0" w:rsidRPr="00DD13AC">
        <w:t xml:space="preserve"> as well as Mars and Mondel</w:t>
      </w:r>
      <w:r w:rsidR="000722B8">
        <w:t>ē</w:t>
      </w:r>
      <w:r w:rsidR="005078B0" w:rsidRPr="00DD13AC">
        <w:t xml:space="preserve">z, a road map to address the issues </w:t>
      </w:r>
      <w:r w:rsidR="000722B8">
        <w:t>had been</w:t>
      </w:r>
      <w:r w:rsidR="005078B0" w:rsidRPr="00DD13AC">
        <w:t xml:space="preserve"> agreed</w:t>
      </w:r>
      <w:r w:rsidR="00D62519">
        <w:t xml:space="preserve"> on</w:t>
      </w:r>
      <w:r w:rsidR="005078B0" w:rsidRPr="00DD13AC">
        <w:t xml:space="preserve">, and Oxfam </w:t>
      </w:r>
      <w:r w:rsidR="000722B8">
        <w:t xml:space="preserve">had </w:t>
      </w:r>
      <w:r w:rsidR="005078B0" w:rsidRPr="00DD13AC">
        <w:t>continued the engagement with th</w:t>
      </w:r>
      <w:r w:rsidR="000722B8">
        <w:t>o</w:t>
      </w:r>
      <w:r w:rsidR="005078B0" w:rsidRPr="00DD13AC">
        <w:t>se companies in order to evaluate the progress on th</w:t>
      </w:r>
      <w:r w:rsidR="000722B8">
        <w:t>e</w:t>
      </w:r>
      <w:r w:rsidR="005078B0" w:rsidRPr="00DD13AC">
        <w:t xml:space="preserve"> road map.</w:t>
      </w:r>
      <w:r w:rsidR="00146B06" w:rsidRPr="00DD13AC">
        <w:t xml:space="preserve"> </w:t>
      </w:r>
    </w:p>
    <w:p w:rsidR="005078B0" w:rsidRPr="00DD13AC" w:rsidRDefault="00725D86" w:rsidP="00725D86">
      <w:pPr>
        <w:pStyle w:val="H1G"/>
      </w:pPr>
      <w:r w:rsidRPr="00DD13AC">
        <w:tab/>
        <w:t>D.</w:t>
      </w:r>
      <w:r w:rsidRPr="00DD13AC">
        <w:tab/>
      </w:r>
      <w:r w:rsidR="005078B0" w:rsidRPr="00DD13AC">
        <w:t xml:space="preserve">Applying global </w:t>
      </w:r>
      <w:r w:rsidR="005C0092" w:rsidRPr="00DD13AC">
        <w:t xml:space="preserve">framework </w:t>
      </w:r>
      <w:r w:rsidR="005078B0" w:rsidRPr="00DD13AC">
        <w:t>agreements locally through mutual responsibility</w:t>
      </w:r>
      <w:r w:rsidR="005C0092" w:rsidRPr="00DD13AC">
        <w:t xml:space="preserve"> in the textile sector</w:t>
      </w:r>
    </w:p>
    <w:p w:rsidR="005078B0" w:rsidRPr="00DD13AC" w:rsidRDefault="00D06973" w:rsidP="00D06973">
      <w:pPr>
        <w:pStyle w:val="SingleTxtG"/>
      </w:pPr>
      <w:r w:rsidRPr="00DD13AC">
        <w:rPr>
          <w:bCs/>
        </w:rPr>
        <w:t>46.</w:t>
      </w:r>
      <w:r w:rsidRPr="00DD13AC">
        <w:rPr>
          <w:bCs/>
        </w:rPr>
        <w:tab/>
      </w:r>
      <w:r w:rsidR="005078B0" w:rsidRPr="00DD13AC">
        <w:t>Th</w:t>
      </w:r>
      <w:r w:rsidR="006D6601">
        <w:t>e third</w:t>
      </w:r>
      <w:r w:rsidR="005078B0" w:rsidRPr="00DD13AC">
        <w:t xml:space="preserve"> case study included presentations by </w:t>
      </w:r>
      <w:r w:rsidR="009E7144">
        <w:t xml:space="preserve">representatives of </w:t>
      </w:r>
      <w:r w:rsidR="005078B0" w:rsidRPr="00DD13AC">
        <w:t xml:space="preserve">Inditex and the global union federation IndustriALL on the implementation of a global framework agreement covering </w:t>
      </w:r>
      <w:r w:rsidR="00D04D1E">
        <w:t xml:space="preserve">the </w:t>
      </w:r>
      <w:r w:rsidR="005078B0" w:rsidRPr="00DD13AC">
        <w:t>6,000 factories</w:t>
      </w:r>
      <w:r w:rsidR="00D04D1E">
        <w:t xml:space="preserve"> that supplied </w:t>
      </w:r>
      <w:r w:rsidR="00D04D1E" w:rsidRPr="00DD13AC">
        <w:t>Inditex</w:t>
      </w:r>
      <w:r w:rsidR="005078B0" w:rsidRPr="00DD13AC">
        <w:t xml:space="preserve">. Inditex, which manufactures close to </w:t>
      </w:r>
      <w:r w:rsidR="00D04D1E">
        <w:t>1</w:t>
      </w:r>
      <w:r w:rsidR="005078B0" w:rsidRPr="00DD13AC">
        <w:t xml:space="preserve"> billion garments per year, involving some </w:t>
      </w:r>
      <w:r w:rsidR="00D04D1E">
        <w:t>1</w:t>
      </w:r>
      <w:r w:rsidR="005078B0" w:rsidRPr="00DD13AC">
        <w:t xml:space="preserve"> million workers in 40 different countries, signed an agreement with IndustriALL in 2007</w:t>
      </w:r>
      <w:r w:rsidR="00D04D1E">
        <w:t>, which was</w:t>
      </w:r>
      <w:r w:rsidR="005078B0" w:rsidRPr="00DD13AC">
        <w:t xml:space="preserve"> renewed in 2014</w:t>
      </w:r>
      <w:r w:rsidR="00D04D1E">
        <w:t>,</w:t>
      </w:r>
      <w:r w:rsidR="005078B0" w:rsidRPr="00DD13AC">
        <w:t xml:space="preserve"> to promote decent working conditions in supplier factories worldwide. The agreement emphasizes the importance of freedom of association and collective bargaining, enabling workers to monitor and enforce their rights.</w:t>
      </w:r>
      <w:r w:rsidR="00146B06" w:rsidRPr="00DD13AC">
        <w:t xml:space="preserve"> </w:t>
      </w:r>
      <w:r w:rsidR="005078B0" w:rsidRPr="00DD13AC">
        <w:t xml:space="preserve">The agreement is underpinned by </w:t>
      </w:r>
      <w:r w:rsidR="00D04D1E">
        <w:t xml:space="preserve">the </w:t>
      </w:r>
      <w:r w:rsidR="005078B0" w:rsidRPr="00DD13AC">
        <w:t>Inditex code of conduct</w:t>
      </w:r>
      <w:r w:rsidR="00D04D1E">
        <w:t>,</w:t>
      </w:r>
      <w:r w:rsidR="005078B0" w:rsidRPr="00DD13AC">
        <w:t xml:space="preserve"> which sets out a commitment by the company that includes requirements </w:t>
      </w:r>
      <w:r w:rsidR="00D04D1E">
        <w:t>for</w:t>
      </w:r>
      <w:r w:rsidR="005078B0" w:rsidRPr="00DD13AC">
        <w:t xml:space="preserve"> zero tolerance </w:t>
      </w:r>
      <w:r w:rsidR="00D04D1E">
        <w:t>o</w:t>
      </w:r>
      <w:r w:rsidR="005078B0" w:rsidRPr="00DD13AC">
        <w:t xml:space="preserve">f forced and child labour, the guarantee of a living wage and other core labour rights. </w:t>
      </w:r>
    </w:p>
    <w:p w:rsidR="005078B0" w:rsidRPr="00DD13AC" w:rsidRDefault="00D06973" w:rsidP="00D06973">
      <w:pPr>
        <w:pStyle w:val="SingleTxtG"/>
      </w:pPr>
      <w:r w:rsidRPr="00DD13AC">
        <w:rPr>
          <w:bCs/>
        </w:rPr>
        <w:t>47.</w:t>
      </w:r>
      <w:r w:rsidRPr="00DD13AC">
        <w:rPr>
          <w:bCs/>
        </w:rPr>
        <w:tab/>
      </w:r>
      <w:r w:rsidR="009E7144">
        <w:t xml:space="preserve">The representative of </w:t>
      </w:r>
      <w:r w:rsidR="005078B0" w:rsidRPr="00DD13AC">
        <w:t>Inditex highlighted the commercial benefits of th</w:t>
      </w:r>
      <w:r w:rsidR="00D04D1E">
        <w:t>at</w:t>
      </w:r>
      <w:r w:rsidR="005078B0" w:rsidRPr="00DD13AC">
        <w:t xml:space="preserve"> arrangement, and its importance to the expression of the company’s values of creating prosperity and being transparent in its operations. </w:t>
      </w:r>
      <w:r w:rsidR="00D04D1E">
        <w:t>A</w:t>
      </w:r>
      <w:r w:rsidR="005078B0" w:rsidRPr="00DD13AC">
        <w:t>ll suppliers were bound by social and environmental responsibility guidelines, but the approach was not only about compliance, but rather multilateral cooperation involving trade unions, NGOs, the International Labour Organi</w:t>
      </w:r>
      <w:r w:rsidR="00533CED">
        <w:t>z</w:t>
      </w:r>
      <w:r w:rsidR="005078B0" w:rsidRPr="00DD13AC">
        <w:t>ation and local industries to engage directly with supplier factories.</w:t>
      </w:r>
    </w:p>
    <w:p w:rsidR="005078B0" w:rsidRPr="00DD13AC" w:rsidRDefault="00D06973" w:rsidP="00D06973">
      <w:pPr>
        <w:pStyle w:val="SingleTxtG"/>
      </w:pPr>
      <w:r w:rsidRPr="00DD13AC">
        <w:rPr>
          <w:bCs/>
        </w:rPr>
        <w:t>48.</w:t>
      </w:r>
      <w:r w:rsidRPr="00DD13AC">
        <w:rPr>
          <w:bCs/>
        </w:rPr>
        <w:tab/>
      </w:r>
      <w:r w:rsidR="009E7144">
        <w:t xml:space="preserve">The representative of </w:t>
      </w:r>
      <w:r w:rsidR="005078B0" w:rsidRPr="00DD13AC">
        <w:t xml:space="preserve">IndustriALL explained how the policy framework had come into </w:t>
      </w:r>
      <w:r w:rsidR="00D04D1E">
        <w:t>being</w:t>
      </w:r>
      <w:r w:rsidR="005078B0" w:rsidRPr="00DD13AC">
        <w:t xml:space="preserve">, starting with a series of unilateral commitments, codes and approaches to implementation by </w:t>
      </w:r>
      <w:r w:rsidR="00D04D1E">
        <w:t>Inditex</w:t>
      </w:r>
      <w:r w:rsidR="005078B0" w:rsidRPr="00DD13AC">
        <w:t xml:space="preserve"> in 2002. Th</w:t>
      </w:r>
      <w:r w:rsidR="00D04D1E">
        <w:t>at had</w:t>
      </w:r>
      <w:r w:rsidR="005078B0" w:rsidRPr="00DD13AC">
        <w:t xml:space="preserve"> led in 2007 to the signing by both parties of a global framework agreement</w:t>
      </w:r>
      <w:r w:rsidR="00D04D1E">
        <w:t>,</w:t>
      </w:r>
      <w:r w:rsidR="005078B0" w:rsidRPr="00DD13AC">
        <w:t xml:space="preserve"> which </w:t>
      </w:r>
      <w:r w:rsidR="00D04D1E">
        <w:t>had been</w:t>
      </w:r>
      <w:r w:rsidR="005078B0" w:rsidRPr="00DD13AC">
        <w:t xml:space="preserve"> the first such agreement in the garment sector.</w:t>
      </w:r>
      <w:r w:rsidR="005078B0" w:rsidRPr="00DD13AC">
        <w:rPr>
          <w:rStyle w:val="FootnoteReference"/>
        </w:rPr>
        <w:footnoteReference w:id="9"/>
      </w:r>
      <w:r w:rsidR="005078B0" w:rsidRPr="00DD13AC">
        <w:t xml:space="preserve"> In 2012, Inditex and IndustriALL </w:t>
      </w:r>
      <w:r w:rsidR="00D04D1E">
        <w:t xml:space="preserve">had </w:t>
      </w:r>
      <w:r w:rsidR="005078B0" w:rsidRPr="00DD13AC">
        <w:t xml:space="preserve">signed a protocol on trade union rights. The </w:t>
      </w:r>
      <w:r w:rsidR="005078B0" w:rsidRPr="00DD13AC">
        <w:lastRenderedPageBreak/>
        <w:t xml:space="preserve">protocol established the role of trade unions in the implementation of the </w:t>
      </w:r>
      <w:r w:rsidR="00D04D1E">
        <w:t>agreement.</w:t>
      </w:r>
      <w:r w:rsidR="005078B0" w:rsidRPr="00DD13AC">
        <w:t xml:space="preserve"> In 2014, the </w:t>
      </w:r>
      <w:r w:rsidR="00D04D1E">
        <w:t>agreement</w:t>
      </w:r>
      <w:r w:rsidR="005078B0" w:rsidRPr="00DD13AC">
        <w:t xml:space="preserve"> was renewed. </w:t>
      </w:r>
    </w:p>
    <w:p w:rsidR="005078B0" w:rsidRPr="00DD13AC" w:rsidRDefault="00D06973" w:rsidP="00D06973">
      <w:pPr>
        <w:pStyle w:val="SingleTxtG"/>
      </w:pPr>
      <w:r w:rsidRPr="00DD13AC">
        <w:rPr>
          <w:bCs/>
        </w:rPr>
        <w:t>49.</w:t>
      </w:r>
      <w:r w:rsidRPr="00DD13AC">
        <w:rPr>
          <w:bCs/>
        </w:rPr>
        <w:tab/>
      </w:r>
      <w:r w:rsidR="005078B0" w:rsidRPr="00DD13AC">
        <w:t xml:space="preserve">With regard to </w:t>
      </w:r>
      <w:r w:rsidR="00D04D1E">
        <w:t xml:space="preserve">the </w:t>
      </w:r>
      <w:r w:rsidR="005078B0" w:rsidRPr="00DD13AC">
        <w:t xml:space="preserve">application of the </w:t>
      </w:r>
      <w:r w:rsidR="00D04D1E" w:rsidRPr="00DD13AC">
        <w:t>global framework agreement</w:t>
      </w:r>
      <w:r w:rsidR="005078B0" w:rsidRPr="00DD13AC">
        <w:t>, by 2013</w:t>
      </w:r>
      <w:r w:rsidR="00D04D1E">
        <w:t>, some</w:t>
      </w:r>
      <w:r w:rsidR="005078B0" w:rsidRPr="00DD13AC">
        <w:t xml:space="preserve"> 3,500 factories were taking steps related to trade union rights. Other activities included country-level follow-up plans; trade union visits to a number of factories; a pilot project in Turkey involving elected workers’ representatives, trade union leaders and managers from factories; conflict resolution in </w:t>
      </w:r>
      <w:r w:rsidR="00D04D1E" w:rsidRPr="00DD13AC">
        <w:t>Bangladesh</w:t>
      </w:r>
      <w:r w:rsidR="00D04D1E">
        <w:t xml:space="preserve">, </w:t>
      </w:r>
      <w:r w:rsidR="00D04D1E" w:rsidRPr="00DD13AC">
        <w:t>Cambodia</w:t>
      </w:r>
      <w:r w:rsidR="00D04D1E">
        <w:t xml:space="preserve"> </w:t>
      </w:r>
      <w:r w:rsidR="00D04D1E" w:rsidRPr="00DD13AC">
        <w:t>and</w:t>
      </w:r>
      <w:r w:rsidR="00D04D1E">
        <w:t xml:space="preserve"> </w:t>
      </w:r>
      <w:r w:rsidR="005078B0" w:rsidRPr="00DD13AC">
        <w:t xml:space="preserve">Peru; and a project to create factory health and safety committees in Bangladesh. </w:t>
      </w:r>
    </w:p>
    <w:p w:rsidR="005078B0" w:rsidRPr="00DD13AC" w:rsidRDefault="00D06973" w:rsidP="00D06973">
      <w:pPr>
        <w:pStyle w:val="SingleTxtG"/>
      </w:pPr>
      <w:r w:rsidRPr="00DD13AC">
        <w:rPr>
          <w:bCs/>
        </w:rPr>
        <w:t>50.</w:t>
      </w:r>
      <w:r w:rsidRPr="00DD13AC">
        <w:rPr>
          <w:bCs/>
        </w:rPr>
        <w:tab/>
      </w:r>
      <w:r w:rsidR="005078B0" w:rsidRPr="00DD13AC">
        <w:t>Commenting on the effectiveness of th</w:t>
      </w:r>
      <w:r w:rsidR="00831D59">
        <w:t>e</w:t>
      </w:r>
      <w:r w:rsidR="005078B0" w:rsidRPr="00DD13AC">
        <w:t xml:space="preserve"> model for engagement, </w:t>
      </w:r>
      <w:r w:rsidR="00831D59">
        <w:t>t</w:t>
      </w:r>
      <w:r w:rsidR="009E7144">
        <w:t xml:space="preserve">he representative of </w:t>
      </w:r>
      <w:r w:rsidR="005078B0" w:rsidRPr="00DD13AC">
        <w:t>IndustriALL observed that local trade unions need to be involved. Th</w:t>
      </w:r>
      <w:r w:rsidR="00831D59">
        <w:t>at</w:t>
      </w:r>
      <w:r w:rsidR="005078B0" w:rsidRPr="00DD13AC">
        <w:t xml:space="preserve"> means engaging in bargaining, discussions and factory visits. </w:t>
      </w:r>
      <w:r w:rsidR="00831D59">
        <w:t>T</w:t>
      </w:r>
      <w:r w:rsidR="005078B0" w:rsidRPr="00DD13AC">
        <w:t>he role of unions is not just t</w:t>
      </w:r>
      <w:r w:rsidR="00831D59">
        <w:t>o</w:t>
      </w:r>
      <w:r w:rsidR="005078B0" w:rsidRPr="00DD13AC">
        <w:t xml:space="preserve"> address grievances or complaints, but also t</w:t>
      </w:r>
      <w:r w:rsidR="00831D59">
        <w:t>o</w:t>
      </w:r>
      <w:r w:rsidR="005078B0" w:rsidRPr="00DD13AC">
        <w:t xml:space="preserve"> prevent problems and address the root causes of labour rights abuses. </w:t>
      </w:r>
      <w:r w:rsidR="009E7144">
        <w:t xml:space="preserve">The representative of </w:t>
      </w:r>
      <w:r w:rsidR="005078B0" w:rsidRPr="00DD13AC">
        <w:t xml:space="preserve">IndustriALL </w:t>
      </w:r>
      <w:r w:rsidR="00831D59">
        <w:t xml:space="preserve">also </w:t>
      </w:r>
      <w:r w:rsidR="005078B0" w:rsidRPr="00DD13AC">
        <w:t>stressed the importance of recognizing the move from unilateral corporate commitments to joint responsibility based on mutual and contractual commitments between actors. Joint responsibility also needed to be about broadening application and spreading th</w:t>
      </w:r>
      <w:r w:rsidR="00831D59">
        <w:t>e</w:t>
      </w:r>
      <w:r w:rsidR="005078B0" w:rsidRPr="00DD13AC">
        <w:t xml:space="preserve"> experience to others in the sector. </w:t>
      </w:r>
    </w:p>
    <w:p w:rsidR="005078B0" w:rsidRPr="00DD13AC" w:rsidRDefault="00D06973" w:rsidP="00D06973">
      <w:pPr>
        <w:pStyle w:val="SingleTxtG"/>
      </w:pPr>
      <w:r w:rsidRPr="00DD13AC">
        <w:rPr>
          <w:bCs/>
        </w:rPr>
        <w:t>51.</w:t>
      </w:r>
      <w:r w:rsidRPr="00DD13AC">
        <w:rPr>
          <w:bCs/>
        </w:rPr>
        <w:tab/>
      </w:r>
      <w:r w:rsidR="005078B0" w:rsidRPr="00DD13AC">
        <w:t xml:space="preserve">One lesson identified was the need to establish </w:t>
      </w:r>
      <w:r w:rsidR="00831D59">
        <w:t xml:space="preserve">legally </w:t>
      </w:r>
      <w:r w:rsidR="005078B0" w:rsidRPr="00DD13AC">
        <w:t xml:space="preserve">binding agreements at </w:t>
      </w:r>
      <w:r w:rsidR="00831D59">
        <w:t>the</w:t>
      </w:r>
      <w:r w:rsidR="005078B0" w:rsidRPr="00DD13AC">
        <w:t xml:space="preserve"> local level so that mutual responsibility exists. </w:t>
      </w:r>
      <w:r w:rsidR="00D7768A">
        <w:t>T</w:t>
      </w:r>
      <w:r w:rsidR="005078B0" w:rsidRPr="00DD13AC">
        <w:t xml:space="preserve">he Guiding Principles </w:t>
      </w:r>
      <w:r w:rsidR="00D7768A" w:rsidRPr="00D7768A">
        <w:t>on Business and Human Rights</w:t>
      </w:r>
      <w:r w:rsidR="00D7768A">
        <w:t>,</w:t>
      </w:r>
      <w:r w:rsidR="00D7768A" w:rsidRPr="00D7768A">
        <w:t xml:space="preserve"> </w:t>
      </w:r>
      <w:r w:rsidR="005078B0" w:rsidRPr="00DD13AC">
        <w:t>which require companies to look at all human rights</w:t>
      </w:r>
      <w:r w:rsidR="00D7768A">
        <w:t>,</w:t>
      </w:r>
      <w:r w:rsidR="005078B0" w:rsidRPr="00DD13AC">
        <w:t xml:space="preserve"> had been taken into account in the </w:t>
      </w:r>
      <w:r w:rsidR="00D7768A">
        <w:t>development</w:t>
      </w:r>
      <w:r w:rsidR="005078B0" w:rsidRPr="00DD13AC">
        <w:t xml:space="preserve"> of the framework</w:t>
      </w:r>
      <w:r w:rsidR="00D7768A">
        <w:t xml:space="preserve"> agreement</w:t>
      </w:r>
      <w:r w:rsidR="005078B0" w:rsidRPr="00DD13AC">
        <w:t>, which now include</w:t>
      </w:r>
      <w:r w:rsidR="00DB2CB3">
        <w:t>s</w:t>
      </w:r>
      <w:r w:rsidR="005078B0" w:rsidRPr="00DD13AC">
        <w:t xml:space="preserve"> the concepts from the Guiding Principles of prevention, correction and remediation. </w:t>
      </w:r>
      <w:r w:rsidR="00D7768A">
        <w:t>T</w:t>
      </w:r>
      <w:r w:rsidR="005078B0" w:rsidRPr="00DD13AC">
        <w:t xml:space="preserve">he focus on union rights was </w:t>
      </w:r>
      <w:r w:rsidR="00D7768A">
        <w:t xml:space="preserve">also a </w:t>
      </w:r>
      <w:r w:rsidR="005078B0" w:rsidRPr="00DD13AC">
        <w:t>necess</w:t>
      </w:r>
      <w:r w:rsidR="00D7768A">
        <w:t>it</w:t>
      </w:r>
      <w:r w:rsidR="005078B0" w:rsidRPr="00DD13AC">
        <w:t>y</w:t>
      </w:r>
      <w:r w:rsidR="00D7768A">
        <w:t>,</w:t>
      </w:r>
      <w:r w:rsidR="005078B0" w:rsidRPr="00DD13AC">
        <w:t xml:space="preserve"> given the capacity of the union federation</w:t>
      </w:r>
      <w:r w:rsidR="00D7768A">
        <w:t>. A</w:t>
      </w:r>
      <w:r w:rsidR="005078B0" w:rsidRPr="00DD13AC">
        <w:t xml:space="preserve">t </w:t>
      </w:r>
      <w:r w:rsidR="00D7768A">
        <w:t xml:space="preserve">the </w:t>
      </w:r>
      <w:r w:rsidR="005078B0" w:rsidRPr="00DD13AC">
        <w:t>local level, the first challenge is often to get managers to speak with trade unions, which can lead to addressing a whole range of rights concerns.</w:t>
      </w:r>
    </w:p>
    <w:p w:rsidR="005078B0" w:rsidRPr="00DD13AC" w:rsidRDefault="00725D86" w:rsidP="00725D86">
      <w:pPr>
        <w:pStyle w:val="H1G"/>
      </w:pPr>
      <w:r w:rsidRPr="00DD13AC">
        <w:tab/>
        <w:t>E.</w:t>
      </w:r>
      <w:r w:rsidRPr="00DD13AC">
        <w:tab/>
      </w:r>
      <w:r w:rsidR="005078B0" w:rsidRPr="00DD13AC">
        <w:t>Privacy and freedom of expression on the Internet</w:t>
      </w:r>
    </w:p>
    <w:p w:rsidR="005078B0" w:rsidRPr="00DD13AC" w:rsidRDefault="00D06973" w:rsidP="00D06973">
      <w:pPr>
        <w:pStyle w:val="SingleTxtG"/>
      </w:pPr>
      <w:r w:rsidRPr="00DD13AC">
        <w:rPr>
          <w:bCs/>
        </w:rPr>
        <w:t>52.</w:t>
      </w:r>
      <w:r w:rsidRPr="00DD13AC">
        <w:rPr>
          <w:bCs/>
        </w:rPr>
        <w:tab/>
      </w:r>
      <w:r w:rsidR="005078B0" w:rsidRPr="00DD13AC">
        <w:t>The following case study was presented by the NGO Ranking Digital Rights and featured its engagement with Microsoft to strengthen protection of the right to privacy and freedom of expression for Internet users.</w:t>
      </w:r>
      <w:r w:rsidR="005078B0" w:rsidRPr="00DD13AC">
        <w:rPr>
          <w:rStyle w:val="FootnoteReference"/>
        </w:rPr>
        <w:footnoteReference w:id="10"/>
      </w:r>
      <w:r w:rsidR="005C0092" w:rsidRPr="00DD13AC">
        <w:t xml:space="preserve"> T</w:t>
      </w:r>
      <w:r w:rsidR="005078B0" w:rsidRPr="00DD13AC">
        <w:t xml:space="preserve">he specific human rights issue in question focused on how telecommunications companies providing web and voice services over the Internet respect the freedom of expression and privacy of users. </w:t>
      </w:r>
      <w:r w:rsidR="005C05D7">
        <w:t>T</w:t>
      </w:r>
      <w:r w:rsidR="005078B0" w:rsidRPr="00DD13AC">
        <w:t>hat is a concern worldwide</w:t>
      </w:r>
      <w:r w:rsidR="005C05D7">
        <w:t>,</w:t>
      </w:r>
      <w:r w:rsidR="005078B0" w:rsidRPr="00DD13AC">
        <w:t xml:space="preserve"> and </w:t>
      </w:r>
      <w:r w:rsidR="005C05D7">
        <w:t xml:space="preserve">is </w:t>
      </w:r>
      <w:r w:rsidR="005078B0" w:rsidRPr="00DD13AC">
        <w:t xml:space="preserve">often characterized by a situation </w:t>
      </w:r>
      <w:r w:rsidR="005C05D7">
        <w:t xml:space="preserve">in </w:t>
      </w:r>
      <w:r w:rsidR="005078B0" w:rsidRPr="00DD13AC">
        <w:t>wh</w:t>
      </w:r>
      <w:r w:rsidR="005C05D7">
        <w:t>ich</w:t>
      </w:r>
      <w:r w:rsidR="005078B0" w:rsidRPr="00DD13AC">
        <w:t xml:space="preserve"> companies are stuck between demands from a </w:t>
      </w:r>
      <w:r w:rsidR="005C05D7">
        <w:t>G</w:t>
      </w:r>
      <w:r w:rsidR="005078B0" w:rsidRPr="00DD13AC">
        <w:t xml:space="preserve">overnment and the concerns of a company’s users or customers. </w:t>
      </w:r>
    </w:p>
    <w:p w:rsidR="005078B0" w:rsidRPr="00DD13AC" w:rsidRDefault="00D06973" w:rsidP="00D06973">
      <w:pPr>
        <w:pStyle w:val="SingleTxtG"/>
      </w:pPr>
      <w:r w:rsidRPr="00DD13AC">
        <w:rPr>
          <w:bCs/>
        </w:rPr>
        <w:t>53.</w:t>
      </w:r>
      <w:r w:rsidRPr="00DD13AC">
        <w:rPr>
          <w:bCs/>
        </w:rPr>
        <w:tab/>
      </w:r>
      <w:r w:rsidR="005078B0" w:rsidRPr="00DD13AC">
        <w:t xml:space="preserve">The presentation highlighted how the </w:t>
      </w:r>
      <w:r w:rsidR="00DB2CB3" w:rsidRPr="00DD13AC">
        <w:t xml:space="preserve">relationship between civil society </w:t>
      </w:r>
      <w:r w:rsidR="00DB2CB3">
        <w:t>organizations</w:t>
      </w:r>
      <w:r w:rsidR="00DB2CB3" w:rsidRPr="00DD13AC">
        <w:t xml:space="preserve"> and business on th</w:t>
      </w:r>
      <w:r w:rsidR="00DB2CB3">
        <w:t>at</w:t>
      </w:r>
      <w:r w:rsidR="00DB2CB3" w:rsidRPr="00DD13AC">
        <w:t xml:space="preserve"> particular issue</w:t>
      </w:r>
      <w:r w:rsidR="00DB2CB3">
        <w:t xml:space="preserve"> </w:t>
      </w:r>
      <w:r w:rsidR="005078B0" w:rsidRPr="00DD13AC">
        <w:t>had evolv</w:t>
      </w:r>
      <w:r w:rsidR="00DB2CB3">
        <w:t>ed</w:t>
      </w:r>
      <w:r w:rsidR="005078B0" w:rsidRPr="00DD13AC">
        <w:t xml:space="preserve"> from one of public confrontation to shared learning, dialogue and problem solving</w:t>
      </w:r>
      <w:r w:rsidR="005C05D7">
        <w:t>, as described in the following four phases</w:t>
      </w:r>
      <w:r w:rsidR="005078B0"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B3555" w:rsidRPr="00DD13AC">
        <w:t>O</w:t>
      </w:r>
      <w:r w:rsidR="005078B0" w:rsidRPr="00DD13AC">
        <w:t>nline criticism of the sector:</w:t>
      </w:r>
      <w:r w:rsidR="005078B0" w:rsidRPr="00DD13AC">
        <w:rPr>
          <w:i/>
        </w:rPr>
        <w:t xml:space="preserve"> </w:t>
      </w:r>
      <w:r w:rsidR="005078B0" w:rsidRPr="00DD13AC">
        <w:t>In January 2006, Microsoft had its first experience with th</w:t>
      </w:r>
      <w:r w:rsidR="005C05D7">
        <w:t>e</w:t>
      </w:r>
      <w:r w:rsidR="005078B0" w:rsidRPr="00DD13AC">
        <w:t xml:space="preserve"> issue when a story surfaced about Microsoft deleting a blog of a Chinese activist. After investigation</w:t>
      </w:r>
      <w:r w:rsidR="005C05D7">
        <w:t>,</w:t>
      </w:r>
      <w:r w:rsidR="005078B0" w:rsidRPr="00DD13AC">
        <w:t xml:space="preserve"> it transpired that th</w:t>
      </w:r>
      <w:r w:rsidR="005C05D7">
        <w:t>e</w:t>
      </w:r>
      <w:r w:rsidR="005078B0" w:rsidRPr="00DD13AC">
        <w:t xml:space="preserve"> </w:t>
      </w:r>
      <w:r w:rsidR="005C05D7">
        <w:t xml:space="preserve">deletion had </w:t>
      </w:r>
      <w:r w:rsidR="005078B0" w:rsidRPr="00DD13AC">
        <w:t xml:space="preserve">allegedly followed a </w:t>
      </w:r>
      <w:r w:rsidR="005C05D7">
        <w:t>tele</w:t>
      </w:r>
      <w:r w:rsidR="005078B0" w:rsidRPr="00DD13AC">
        <w:t>phone call from a government official and was a result of action taken by a local Microsoft partner. Th</w:t>
      </w:r>
      <w:r w:rsidR="005C05D7">
        <w:t>at</w:t>
      </w:r>
      <w:r w:rsidR="005078B0" w:rsidRPr="00DD13AC">
        <w:t xml:space="preserve"> was happening at the same time as Yahoo! and Google were involved in related freedom of expression and privacy issues in China. In 2006, the </w:t>
      </w:r>
      <w:r w:rsidR="005078B0" w:rsidRPr="00DD13AC">
        <w:lastRenderedPageBreak/>
        <w:t xml:space="preserve">status of the relationship </w:t>
      </w:r>
      <w:r w:rsidR="00FF1DD5">
        <w:t>between c</w:t>
      </w:r>
      <w:r w:rsidR="00FF1DD5" w:rsidRPr="00DD13AC">
        <w:t>ompan</w:t>
      </w:r>
      <w:r w:rsidR="00FF1DD5">
        <w:t xml:space="preserve">ies and civil society </w:t>
      </w:r>
      <w:r w:rsidR="005078B0" w:rsidRPr="00DD13AC">
        <w:t xml:space="preserve">effectively </w:t>
      </w:r>
      <w:r w:rsidR="005C05D7">
        <w:t xml:space="preserve">amounted to </w:t>
      </w:r>
      <w:r w:rsidR="005078B0" w:rsidRPr="00DD13AC">
        <w:t xml:space="preserve">yelling at </w:t>
      </w:r>
      <w:r w:rsidR="00233040" w:rsidRPr="00DD13AC">
        <w:t xml:space="preserve">each other over the </w:t>
      </w:r>
      <w:r w:rsidR="00F0751E">
        <w:t>so</w:t>
      </w:r>
      <w:r w:rsidR="00DB2CB3">
        <w:t>-</w:t>
      </w:r>
      <w:r w:rsidR="00F0751E">
        <w:t>called “</w:t>
      </w:r>
      <w:r w:rsidR="00233040" w:rsidRPr="00DD13AC">
        <w:t>blogosphere</w:t>
      </w:r>
      <w:r w:rsidR="005078B0" w:rsidRPr="00DD13AC">
        <w:t>”</w:t>
      </w:r>
      <w:r w:rsidR="007B3555"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F0751E">
        <w:t>I</w:t>
      </w:r>
      <w:r w:rsidR="005078B0" w:rsidRPr="00DD13AC">
        <w:t>nteraction in the United States</w:t>
      </w:r>
      <w:r w:rsidR="00F0751E">
        <w:t xml:space="preserve"> of America</w:t>
      </w:r>
      <w:r w:rsidR="005078B0" w:rsidRPr="00DD13AC">
        <w:t xml:space="preserve">: </w:t>
      </w:r>
      <w:r w:rsidR="00F0751E">
        <w:t>In</w:t>
      </w:r>
      <w:r w:rsidR="005078B0" w:rsidRPr="00DD13AC">
        <w:t xml:space="preserve"> 2006, a high</w:t>
      </w:r>
      <w:r w:rsidR="00F0751E">
        <w:t>-</w:t>
      </w:r>
      <w:r w:rsidR="005078B0" w:rsidRPr="00DD13AC">
        <w:t xml:space="preserve">ranking member of </w:t>
      </w:r>
      <w:r w:rsidR="00F0751E">
        <w:t xml:space="preserve">the United States </w:t>
      </w:r>
      <w:r w:rsidR="005078B0" w:rsidRPr="00DD13AC">
        <w:t xml:space="preserve">Congress called </w:t>
      </w:r>
      <w:r w:rsidR="00F0751E">
        <w:t>attention to</w:t>
      </w:r>
      <w:r w:rsidR="005078B0" w:rsidRPr="00DD13AC">
        <w:t xml:space="preserve"> th</w:t>
      </w:r>
      <w:r w:rsidR="00F0751E">
        <w:t>o</w:t>
      </w:r>
      <w:r w:rsidR="005078B0" w:rsidRPr="00DD13AC">
        <w:t xml:space="preserve">se cases and in effect claimed that the companies were morally deficient for allowing </w:t>
      </w:r>
      <w:r w:rsidR="00F0751E">
        <w:t xml:space="preserve">such </w:t>
      </w:r>
      <w:r w:rsidR="005078B0" w:rsidRPr="00DD13AC">
        <w:t>things to happen. At th</w:t>
      </w:r>
      <w:r w:rsidR="00F0751E">
        <w:t>at</w:t>
      </w:r>
      <w:r w:rsidR="005078B0" w:rsidRPr="00DD13AC">
        <w:t xml:space="preserve"> time, </w:t>
      </w:r>
      <w:r w:rsidR="00F0751E">
        <w:t>there were opposing views, with</w:t>
      </w:r>
      <w:r w:rsidR="005078B0" w:rsidRPr="00DD13AC">
        <w:t xml:space="preserve"> </w:t>
      </w:r>
      <w:r w:rsidR="00F0751E">
        <w:t>m</w:t>
      </w:r>
      <w:r w:rsidR="005078B0" w:rsidRPr="00DD13AC">
        <w:t>any argu</w:t>
      </w:r>
      <w:r w:rsidR="00F0751E">
        <w:t>ing</w:t>
      </w:r>
      <w:r w:rsidR="005078B0" w:rsidRPr="00DD13AC">
        <w:t xml:space="preserve"> that companies should pull out from markets where they faced such requirements, whereas the companies argued that their presence was a good thing </w:t>
      </w:r>
      <w:r w:rsidR="00F0751E">
        <w:t>as it could foster</w:t>
      </w:r>
      <w:r w:rsidR="005078B0" w:rsidRPr="00DD13AC">
        <w:t xml:space="preserve"> development and </w:t>
      </w:r>
      <w:r w:rsidR="00F0751E">
        <w:t xml:space="preserve">respect for </w:t>
      </w:r>
      <w:r w:rsidR="005078B0" w:rsidRPr="00DD13AC">
        <w:t>va</w:t>
      </w:r>
      <w:r w:rsidR="00233040" w:rsidRPr="00DD13AC">
        <w:t>rious rights where they operate</w:t>
      </w:r>
      <w:r w:rsidR="00F0751E">
        <w:t>d</w:t>
      </w:r>
      <w:r w:rsidR="007B3555"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B3555" w:rsidRPr="00DD13AC">
        <w:t>A</w:t>
      </w:r>
      <w:r w:rsidR="005078B0" w:rsidRPr="00DD13AC">
        <w:t xml:space="preserve"> discussion about subtleties: Around the same time, </w:t>
      </w:r>
      <w:r w:rsidR="00F0751E">
        <w:t>some</w:t>
      </w:r>
      <w:r w:rsidR="005078B0" w:rsidRPr="00DD13AC">
        <w:t xml:space="preserve"> individuals and organizations within civil society started asking more subtle questions such as: If a company is going to do business in th</w:t>
      </w:r>
      <w:r w:rsidR="005810F9">
        <w:t>at</w:t>
      </w:r>
      <w:r w:rsidR="005078B0" w:rsidRPr="00DD13AC">
        <w:t xml:space="preserve"> market, how will it do business? What will or should a company do to be responsible? Were the requests </w:t>
      </w:r>
      <w:r w:rsidR="005810F9">
        <w:t xml:space="preserve">to take down </w:t>
      </w:r>
      <w:r w:rsidR="005078B0" w:rsidRPr="00DD13AC">
        <w:t>user information or data linked to a legal process? Does Microsoft</w:t>
      </w:r>
      <w:r w:rsidR="005810F9">
        <w:t>,</w:t>
      </w:r>
      <w:r w:rsidR="005078B0" w:rsidRPr="00DD13AC">
        <w:t xml:space="preserve"> and </w:t>
      </w:r>
      <w:r w:rsidR="005810F9">
        <w:t xml:space="preserve">do </w:t>
      </w:r>
      <w:r w:rsidR="005078B0" w:rsidRPr="00DD13AC">
        <w:t>others</w:t>
      </w:r>
      <w:r w:rsidR="005810F9">
        <w:t>,</w:t>
      </w:r>
      <w:r w:rsidR="005078B0" w:rsidRPr="00DD13AC">
        <w:t xml:space="preserve"> have a process in place to evaluate requests or evaluate local partners?</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5078B0" w:rsidRPr="00DD13AC">
        <w:t xml:space="preserve">Multi-stakeholder agreement on principles and monitoring: In 2008, the Global Network Initiative was founded based on the </w:t>
      </w:r>
      <w:r w:rsidR="005810F9">
        <w:t>p</w:t>
      </w:r>
      <w:r w:rsidR="005078B0" w:rsidRPr="00DD13AC">
        <w:t xml:space="preserve">rinciples of </w:t>
      </w:r>
      <w:r w:rsidR="005810F9">
        <w:t>f</w:t>
      </w:r>
      <w:r w:rsidR="005078B0" w:rsidRPr="00DD13AC">
        <w:t xml:space="preserve">reedom of </w:t>
      </w:r>
      <w:r w:rsidR="005810F9">
        <w:t>e</w:t>
      </w:r>
      <w:r w:rsidR="005078B0" w:rsidRPr="00DD13AC">
        <w:t xml:space="preserve">xpression and </w:t>
      </w:r>
      <w:r w:rsidR="005810F9">
        <w:t>p</w:t>
      </w:r>
      <w:r w:rsidR="005078B0" w:rsidRPr="00DD13AC">
        <w:t>rivacy. A number of companies, human rights organizations, investors and academics joined th</w:t>
      </w:r>
      <w:r w:rsidR="005810F9">
        <w:t>e</w:t>
      </w:r>
      <w:r w:rsidR="005078B0" w:rsidRPr="00DD13AC">
        <w:t xml:space="preserve"> process to agree guidelines, monitor their implementation and support transparency regarding company practices. </w:t>
      </w:r>
    </w:p>
    <w:p w:rsidR="005078B0" w:rsidRPr="00DD13AC" w:rsidRDefault="00D06973" w:rsidP="00D06973">
      <w:pPr>
        <w:pStyle w:val="SingleTxtG"/>
      </w:pPr>
      <w:r w:rsidRPr="00DD13AC">
        <w:rPr>
          <w:bCs/>
        </w:rPr>
        <w:t>54.</w:t>
      </w:r>
      <w:r w:rsidRPr="00DD13AC">
        <w:rPr>
          <w:bCs/>
        </w:rPr>
        <w:tab/>
      </w:r>
      <w:r w:rsidR="005078B0" w:rsidRPr="00DD13AC">
        <w:t xml:space="preserve">Further insights were shared in relation to Microsoft’s purchase of Skype in 2011, at which time Skype’s Chinese joint venture had been exposed as allegedly enabling government surveillance and censorship. Working in close consultation with the </w:t>
      </w:r>
      <w:r w:rsidR="005810F9" w:rsidRPr="00DD13AC">
        <w:t>civil society and academic members</w:t>
      </w:r>
      <w:r w:rsidR="005810F9">
        <w:t xml:space="preserve"> of the </w:t>
      </w:r>
      <w:r w:rsidR="005810F9" w:rsidRPr="00DD13AC">
        <w:t>Global Network Initiative</w:t>
      </w:r>
      <w:r w:rsidR="005078B0" w:rsidRPr="00DD13AC">
        <w:t xml:space="preserve">, Microsoft ended Skype’s original joint venture and found a new local partner that allowed Microsoft to maintain control over Skype’s security and communications. </w:t>
      </w:r>
    </w:p>
    <w:p w:rsidR="005078B0" w:rsidRPr="00DD13AC" w:rsidRDefault="00D06973" w:rsidP="00D06973">
      <w:pPr>
        <w:pStyle w:val="SingleTxtG"/>
      </w:pPr>
      <w:r w:rsidRPr="00DD13AC">
        <w:rPr>
          <w:bCs/>
        </w:rPr>
        <w:t>55.</w:t>
      </w:r>
      <w:r w:rsidRPr="00DD13AC">
        <w:rPr>
          <w:bCs/>
        </w:rPr>
        <w:tab/>
      </w:r>
      <w:r w:rsidR="005810F9">
        <w:t>One of the</w:t>
      </w:r>
      <w:r w:rsidR="005078B0" w:rsidRPr="00DD13AC">
        <w:t xml:space="preserve"> key lessons </w:t>
      </w:r>
      <w:r w:rsidR="005810F9">
        <w:t xml:space="preserve">that was noted </w:t>
      </w:r>
      <w:r w:rsidR="005078B0" w:rsidRPr="00DD13AC">
        <w:t>from th</w:t>
      </w:r>
      <w:r w:rsidR="00DB2CB3">
        <w:t>e</w:t>
      </w:r>
      <w:r w:rsidR="005078B0" w:rsidRPr="00DD13AC">
        <w:t xml:space="preserve"> evolving </w:t>
      </w:r>
      <w:r w:rsidR="005810F9" w:rsidRPr="00DD13AC">
        <w:t>relationship</w:t>
      </w:r>
      <w:r w:rsidR="005810F9">
        <w:t xml:space="preserve"> between </w:t>
      </w:r>
      <w:r w:rsidR="005078B0" w:rsidRPr="00DD13AC">
        <w:t>civil society</w:t>
      </w:r>
      <w:r w:rsidR="005810F9">
        <w:t xml:space="preserve"> and </w:t>
      </w:r>
      <w:r w:rsidR="005078B0" w:rsidRPr="00DD13AC">
        <w:t xml:space="preserve">business </w:t>
      </w:r>
      <w:r w:rsidR="005810F9">
        <w:t>was</w:t>
      </w:r>
      <w:r w:rsidR="005C0092" w:rsidRPr="00DD13AC">
        <w:t xml:space="preserve"> the importance of recognizing that both sides learned from the engagement</w:t>
      </w:r>
      <w:r w:rsidR="005078B0" w:rsidRPr="00DD13AC">
        <w:t>. A</w:t>
      </w:r>
      <w:r w:rsidR="005810F9">
        <w:t>nother</w:t>
      </w:r>
      <w:r w:rsidR="005078B0" w:rsidRPr="00DD13AC">
        <w:t xml:space="preserve"> key le</w:t>
      </w:r>
      <w:r w:rsidR="005810F9">
        <w:t>sson le</w:t>
      </w:r>
      <w:r w:rsidR="005078B0" w:rsidRPr="00DD13AC">
        <w:t>arn</w:t>
      </w:r>
      <w:r w:rsidR="005810F9">
        <w:t>ed</w:t>
      </w:r>
      <w:r w:rsidR="005078B0" w:rsidRPr="00DD13AC">
        <w:t xml:space="preserve"> for everyone was that decisions were not </w:t>
      </w:r>
      <w:r w:rsidR="005810F9">
        <w:t>straight forward</w:t>
      </w:r>
      <w:r w:rsidR="005078B0" w:rsidRPr="00DD13AC">
        <w:t xml:space="preserve">. For civil society </w:t>
      </w:r>
      <w:r w:rsidR="00D63BD5">
        <w:t>organizations</w:t>
      </w:r>
      <w:r w:rsidR="005078B0" w:rsidRPr="00DD13AC">
        <w:t xml:space="preserve"> engaged in </w:t>
      </w:r>
      <w:r w:rsidR="005810F9">
        <w:t xml:space="preserve">the </w:t>
      </w:r>
      <w:r w:rsidR="005810F9" w:rsidRPr="00DD13AC">
        <w:t>Global Network Initiative</w:t>
      </w:r>
      <w:r w:rsidR="005078B0" w:rsidRPr="00DD13AC">
        <w:t xml:space="preserve">, an important </w:t>
      </w:r>
      <w:r w:rsidR="005810F9">
        <w:t>lesson</w:t>
      </w:r>
      <w:r w:rsidR="005078B0" w:rsidRPr="00DD13AC">
        <w:t xml:space="preserve"> learn</w:t>
      </w:r>
      <w:r w:rsidR="005810F9">
        <w:t>ed</w:t>
      </w:r>
      <w:r w:rsidR="005078B0" w:rsidRPr="00DD13AC">
        <w:t xml:space="preserve"> was that companies are often faced with a range of sub-optimal choices. In th</w:t>
      </w:r>
      <w:r w:rsidR="005810F9">
        <w:t>at</w:t>
      </w:r>
      <w:r w:rsidR="005078B0" w:rsidRPr="00DD13AC">
        <w:t xml:space="preserve"> regard, a mature </w:t>
      </w:r>
      <w:r w:rsidR="005810F9" w:rsidRPr="00DD13AC">
        <w:t>relationship</w:t>
      </w:r>
      <w:r w:rsidR="005810F9">
        <w:t xml:space="preserve"> between </w:t>
      </w:r>
      <w:r w:rsidR="005078B0" w:rsidRPr="00DD13AC">
        <w:t>civil society</w:t>
      </w:r>
      <w:r w:rsidR="005810F9">
        <w:t xml:space="preserve"> and business</w:t>
      </w:r>
      <w:r w:rsidR="005078B0" w:rsidRPr="00DD13AC">
        <w:t xml:space="preserve"> c</w:t>
      </w:r>
      <w:r w:rsidR="005810F9">
        <w:t>ould</w:t>
      </w:r>
      <w:r w:rsidR="005078B0" w:rsidRPr="00DD13AC">
        <w:t xml:space="preserve"> play a role in supporting the company to make the least bad choice, and to be open </w:t>
      </w:r>
      <w:r w:rsidR="005810F9">
        <w:t>about that fact</w:t>
      </w:r>
      <w:r w:rsidR="005078B0" w:rsidRPr="00DD13AC">
        <w:t xml:space="preserve">. </w:t>
      </w:r>
    </w:p>
    <w:p w:rsidR="005C0092" w:rsidRPr="00DD13AC" w:rsidRDefault="0059319D" w:rsidP="0059319D">
      <w:pPr>
        <w:pStyle w:val="H1G"/>
      </w:pPr>
      <w:r w:rsidRPr="00DD13AC">
        <w:tab/>
        <w:t>F.</w:t>
      </w:r>
      <w:r w:rsidRPr="00DD13AC">
        <w:tab/>
      </w:r>
      <w:r w:rsidR="005C0092" w:rsidRPr="00DD13AC">
        <w:t>Government perspectives</w:t>
      </w:r>
    </w:p>
    <w:p w:rsidR="005C0092" w:rsidRPr="00DD13AC" w:rsidRDefault="00D06973" w:rsidP="00D06973">
      <w:pPr>
        <w:pStyle w:val="SingleTxtG"/>
      </w:pPr>
      <w:r w:rsidRPr="00DD13AC">
        <w:rPr>
          <w:bCs/>
        </w:rPr>
        <w:t>56.</w:t>
      </w:r>
      <w:r w:rsidRPr="00DD13AC">
        <w:rPr>
          <w:bCs/>
        </w:rPr>
        <w:tab/>
      </w:r>
      <w:r w:rsidR="009E7144">
        <w:t xml:space="preserve">Representatives of </w:t>
      </w:r>
      <w:r w:rsidR="005C0092" w:rsidRPr="00DD13AC">
        <w:t>Government</w:t>
      </w:r>
      <w:r w:rsidR="009E7144">
        <w:t>s</w:t>
      </w:r>
      <w:r w:rsidR="005C0092" w:rsidRPr="00DD13AC">
        <w:t xml:space="preserve"> speak</w:t>
      </w:r>
      <w:r w:rsidR="009E7144">
        <w:t>ing at</w:t>
      </w:r>
      <w:r w:rsidR="009E7144" w:rsidRPr="00DD13AC">
        <w:t xml:space="preserve"> the session</w:t>
      </w:r>
      <w:r w:rsidR="00D124D9" w:rsidRPr="00DD13AC">
        <w:rPr>
          <w:rStyle w:val="FootnoteReference"/>
        </w:rPr>
        <w:footnoteReference w:id="11"/>
      </w:r>
      <w:r w:rsidR="005C0092" w:rsidRPr="00DD13AC">
        <w:t xml:space="preserve"> emphasized the value of </w:t>
      </w:r>
      <w:r w:rsidR="006E5EF0">
        <w:t xml:space="preserve">hearing </w:t>
      </w:r>
      <w:r w:rsidR="00D124D9" w:rsidRPr="00DD13AC">
        <w:t xml:space="preserve">practical </w:t>
      </w:r>
      <w:r w:rsidR="005C0092" w:rsidRPr="00DD13AC">
        <w:t>examples of companies and civil society working together.</w:t>
      </w:r>
      <w:r w:rsidR="00D124D9" w:rsidRPr="00DD13AC">
        <w:t xml:space="preserve"> Some observations included the need for both sides to learn in the process and putting in place long-term changes that </w:t>
      </w:r>
      <w:r w:rsidR="006E5EF0">
        <w:t>we</w:t>
      </w:r>
      <w:r w:rsidR="00D124D9" w:rsidRPr="00DD13AC">
        <w:t>re sector</w:t>
      </w:r>
      <w:r w:rsidR="006E5EF0">
        <w:t>-</w:t>
      </w:r>
      <w:r w:rsidR="00D124D9" w:rsidRPr="00DD13AC">
        <w:t xml:space="preserve">wide. With regard to the role that </w:t>
      </w:r>
      <w:r w:rsidR="006E5EF0">
        <w:t>G</w:t>
      </w:r>
      <w:r w:rsidR="00D124D9" w:rsidRPr="00DD13AC">
        <w:t>overnments c</w:t>
      </w:r>
      <w:r w:rsidR="006E5EF0">
        <w:t>ould</w:t>
      </w:r>
      <w:r w:rsidR="00D124D9" w:rsidRPr="00DD13AC">
        <w:t xml:space="preserve"> play, it was noted that </w:t>
      </w:r>
      <w:r w:rsidR="006E5EF0">
        <w:t>G</w:t>
      </w:r>
      <w:r w:rsidR="00D124D9" w:rsidRPr="00DD13AC">
        <w:t>overnment</w:t>
      </w:r>
      <w:r w:rsidR="006E5EF0">
        <w:t>s</w:t>
      </w:r>
      <w:r w:rsidR="00D124D9" w:rsidRPr="00DD13AC">
        <w:t xml:space="preserve"> c</w:t>
      </w:r>
      <w:r w:rsidR="006E5EF0">
        <w:t>ould</w:t>
      </w:r>
      <w:r w:rsidR="00D124D9" w:rsidRPr="00DD13AC">
        <w:t xml:space="preserve"> encourage and reinforce partnerships, and also play an active role in facilitating or participating in multi-stakeholder platforms. Moreover, </w:t>
      </w:r>
      <w:r w:rsidR="006E5EF0">
        <w:t>G</w:t>
      </w:r>
      <w:r w:rsidR="00D124D9" w:rsidRPr="00DD13AC">
        <w:t>overnment</w:t>
      </w:r>
      <w:r w:rsidR="006E5EF0">
        <w:t>s</w:t>
      </w:r>
      <w:r w:rsidR="00D124D9" w:rsidRPr="00DD13AC">
        <w:t xml:space="preserve"> c</w:t>
      </w:r>
      <w:r w:rsidR="006E5EF0">
        <w:t>ould</w:t>
      </w:r>
      <w:r w:rsidR="00D124D9" w:rsidRPr="00DD13AC">
        <w:t xml:space="preserve"> also support good practices through </w:t>
      </w:r>
      <w:r w:rsidR="006E5EF0">
        <w:t>their</w:t>
      </w:r>
      <w:r w:rsidR="00D124D9" w:rsidRPr="00DD13AC">
        <w:t xml:space="preserve"> own relationships with business</w:t>
      </w:r>
      <w:r w:rsidR="006E5EF0">
        <w:t xml:space="preserve">, such as when </w:t>
      </w:r>
      <w:r w:rsidR="00D124D9" w:rsidRPr="00DD13AC">
        <w:t>purchas</w:t>
      </w:r>
      <w:r w:rsidR="006E5EF0">
        <w:t>ing goods or services</w:t>
      </w:r>
      <w:r w:rsidR="00D124D9" w:rsidRPr="00DD13AC">
        <w:t xml:space="preserve">, enact legislation, and develop </w:t>
      </w:r>
      <w:r w:rsidR="00D124D9" w:rsidRPr="00DD13AC">
        <w:lastRenderedPageBreak/>
        <w:t>national action plans on business and human rights</w:t>
      </w:r>
      <w:r w:rsidR="006E5EF0">
        <w:t>, ensuring that</w:t>
      </w:r>
      <w:r w:rsidR="00D124D9" w:rsidRPr="00DD13AC">
        <w:t xml:space="preserve"> both business and civil society </w:t>
      </w:r>
      <w:r w:rsidR="006E5EF0">
        <w:t>we</w:t>
      </w:r>
      <w:r w:rsidR="00D124D9" w:rsidRPr="00DD13AC">
        <w:t xml:space="preserve">re engaged in the consultation process. </w:t>
      </w:r>
    </w:p>
    <w:p w:rsidR="005078B0" w:rsidRPr="00DD13AC" w:rsidRDefault="00692125" w:rsidP="00E72A18">
      <w:pPr>
        <w:pStyle w:val="H1G"/>
      </w:pPr>
      <w:r w:rsidRPr="00DD13AC">
        <w:tab/>
      </w:r>
      <w:r w:rsidR="005C0092" w:rsidRPr="00DD13AC">
        <w:t>G.</w:t>
      </w:r>
      <w:r w:rsidRPr="00DD13AC">
        <w:tab/>
      </w:r>
      <w:r w:rsidR="005078B0" w:rsidRPr="00DD13AC">
        <w:t xml:space="preserve">General observations from the discussion on </w:t>
      </w:r>
      <w:r w:rsidR="006E5EF0" w:rsidRPr="00DD13AC">
        <w:t>relationships</w:t>
      </w:r>
      <w:r w:rsidR="006E5EF0">
        <w:t xml:space="preserve"> between </w:t>
      </w:r>
      <w:r w:rsidR="005078B0" w:rsidRPr="00DD13AC">
        <w:t>civil society</w:t>
      </w:r>
      <w:r w:rsidR="006E5EF0">
        <w:t xml:space="preserve"> </w:t>
      </w:r>
      <w:r w:rsidR="00E72A18">
        <w:t xml:space="preserve">organizations </w:t>
      </w:r>
      <w:r w:rsidR="006E5EF0">
        <w:t xml:space="preserve">and </w:t>
      </w:r>
      <w:r w:rsidR="005078B0" w:rsidRPr="00DD13AC">
        <w:t>business</w:t>
      </w:r>
    </w:p>
    <w:p w:rsidR="00692125" w:rsidRPr="00DD13AC" w:rsidRDefault="00692125" w:rsidP="00F85C1E">
      <w:pPr>
        <w:pStyle w:val="H23G"/>
      </w:pPr>
      <w:r w:rsidRPr="00DD13AC">
        <w:tab/>
      </w:r>
      <w:r w:rsidR="005B6AF1">
        <w:t>1.</w:t>
      </w:r>
      <w:r w:rsidRPr="00DD13AC">
        <w:tab/>
      </w:r>
      <w:r w:rsidR="005078B0" w:rsidRPr="00F85C1E">
        <w:t>There are some common ingredients for successful</w:t>
      </w:r>
      <w:r w:rsidR="005078B0" w:rsidRPr="00DD13AC">
        <w:t xml:space="preserve"> relationships </w:t>
      </w:r>
    </w:p>
    <w:p w:rsidR="005078B0" w:rsidRPr="00DD13AC" w:rsidRDefault="00D06973" w:rsidP="00D06973">
      <w:pPr>
        <w:pStyle w:val="SingleTxtG"/>
      </w:pPr>
      <w:r w:rsidRPr="00DD13AC">
        <w:rPr>
          <w:bCs/>
        </w:rPr>
        <w:t>57.</w:t>
      </w:r>
      <w:r w:rsidRPr="00DD13AC">
        <w:rPr>
          <w:bCs/>
        </w:rPr>
        <w:tab/>
      </w:r>
      <w:r w:rsidR="005078B0" w:rsidRPr="00DD13AC">
        <w:t xml:space="preserve">Based on the presentations by the panel speakers, certain elements that seem essential for meaningful and constructive </w:t>
      </w:r>
      <w:r w:rsidR="00F85C1E" w:rsidRPr="00DD13AC">
        <w:t>engagement</w:t>
      </w:r>
      <w:r w:rsidR="00F85C1E">
        <w:t xml:space="preserve"> between </w:t>
      </w:r>
      <w:r w:rsidR="005078B0" w:rsidRPr="00DD13AC">
        <w:t>compan</w:t>
      </w:r>
      <w:r w:rsidR="00F85C1E">
        <w:t xml:space="preserve">ies and </w:t>
      </w:r>
      <w:r w:rsidR="005078B0" w:rsidRPr="00DD13AC">
        <w:t xml:space="preserve">civil society </w:t>
      </w:r>
      <w:r w:rsidR="00DB2CB3">
        <w:t>were elicited</w:t>
      </w:r>
      <w:r w:rsidR="005078B0" w:rsidRPr="00DD13AC">
        <w:t xml:space="preserve">. For example: </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B3555" w:rsidRPr="00DD13AC">
        <w:t>S</w:t>
      </w:r>
      <w:r w:rsidR="005078B0" w:rsidRPr="00DD13AC">
        <w:t>hared commitment to impr</w:t>
      </w:r>
      <w:r w:rsidR="00692125" w:rsidRPr="00DD13AC">
        <w:t>oved results for rights-holders</w:t>
      </w:r>
      <w:r w:rsidR="007B3555"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B3555" w:rsidRPr="00DD13AC">
        <w:t>T</w:t>
      </w:r>
      <w:r w:rsidR="005078B0" w:rsidRPr="00DD13AC">
        <w:t>wo-way transparency, including the company providing open access to documentation and civil society</w:t>
      </w:r>
      <w:r w:rsidR="00692125" w:rsidRPr="00DD13AC">
        <w:t xml:space="preserve"> not blindsiding the company</w:t>
      </w:r>
      <w:r w:rsidR="007B3555"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B3555" w:rsidRPr="00DD13AC">
        <w:t>F</w:t>
      </w:r>
      <w:r w:rsidR="005078B0" w:rsidRPr="00DD13AC">
        <w:t xml:space="preserve">ormalizing relationships </w:t>
      </w:r>
      <w:r w:rsidR="00F85C1E">
        <w:t>through</w:t>
      </w:r>
      <w:r w:rsidR="005078B0" w:rsidRPr="00DD13AC">
        <w:t xml:space="preserve"> open letters, memorandums of understanding, work plans and even binding or contractual arrangements support</w:t>
      </w:r>
      <w:r w:rsidR="00F85C1E">
        <w:t>s</w:t>
      </w:r>
      <w:r w:rsidR="005078B0" w:rsidRPr="00DD13AC">
        <w:t xml:space="preserve"> cla</w:t>
      </w:r>
      <w:r w:rsidR="00692125" w:rsidRPr="00DD13AC">
        <w:t>rity and mutual accountability</w:t>
      </w:r>
      <w:r w:rsidR="007B3555"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B3555" w:rsidRPr="00DD13AC">
        <w:t>M</w:t>
      </w:r>
      <w:r w:rsidR="005078B0" w:rsidRPr="00DD13AC">
        <w:t xml:space="preserve">aking the relationship institutional </w:t>
      </w:r>
      <w:r w:rsidR="00F85C1E">
        <w:t>as opposed to</w:t>
      </w:r>
      <w:r w:rsidR="005078B0" w:rsidRPr="00DD13AC">
        <w:t xml:space="preserve"> between a few people </w:t>
      </w:r>
      <w:r w:rsidR="00F85C1E">
        <w:t>only, such as</w:t>
      </w:r>
      <w:r w:rsidR="005078B0" w:rsidRPr="00DD13AC">
        <w:t xml:space="preserve"> the NGO and someone in the </w:t>
      </w:r>
      <w:r w:rsidR="00F85C1E">
        <w:t xml:space="preserve">company’s </w:t>
      </w:r>
      <w:r w:rsidR="00F85C1E" w:rsidRPr="00F85C1E">
        <w:t>corporate social responsibility</w:t>
      </w:r>
      <w:r w:rsidR="005078B0" w:rsidRPr="00DD13AC">
        <w:t xml:space="preserve"> department. Th</w:t>
      </w:r>
      <w:r w:rsidR="00F85C1E">
        <w:t>at</w:t>
      </w:r>
      <w:r w:rsidR="005078B0" w:rsidRPr="00DD13AC">
        <w:t xml:space="preserve"> includes meetings involving individuals at company and NGO </w:t>
      </w:r>
      <w:r w:rsidR="00F85C1E">
        <w:t>h</w:t>
      </w:r>
      <w:r w:rsidR="005078B0" w:rsidRPr="00DD13AC">
        <w:t xml:space="preserve">eadquarters, in </w:t>
      </w:r>
      <w:r w:rsidR="00F85C1E">
        <w:t xml:space="preserve">the </w:t>
      </w:r>
      <w:r w:rsidR="005078B0" w:rsidRPr="00DD13AC">
        <w:t xml:space="preserve">country </w:t>
      </w:r>
      <w:r w:rsidR="00F85C1E">
        <w:t xml:space="preserve">concerned </w:t>
      </w:r>
      <w:r w:rsidR="005078B0" w:rsidRPr="00DD13AC">
        <w:t xml:space="preserve">and at a local or </w:t>
      </w:r>
      <w:r w:rsidR="00692125" w:rsidRPr="00DD13AC">
        <w:t>operational level</w:t>
      </w:r>
      <w:r w:rsidR="007B3555" w:rsidRPr="00DD13AC">
        <w:t>;</w:t>
      </w:r>
    </w:p>
    <w:p w:rsidR="005078B0" w:rsidRPr="00DD13AC" w:rsidRDefault="00D06973" w:rsidP="00D06973">
      <w:pPr>
        <w:pStyle w:val="Bullet1G"/>
        <w:numPr>
          <w:ilvl w:val="0"/>
          <w:numId w:val="0"/>
        </w:numPr>
        <w:tabs>
          <w:tab w:val="left" w:pos="1701"/>
        </w:tabs>
        <w:ind w:left="1701" w:hanging="170"/>
      </w:pPr>
      <w:r w:rsidRPr="00DD13AC">
        <w:t>•</w:t>
      </w:r>
      <w:r w:rsidRPr="00DD13AC">
        <w:tab/>
      </w:r>
      <w:r w:rsidR="007B3555" w:rsidRPr="00DD13AC">
        <w:t>A</w:t>
      </w:r>
      <w:r w:rsidR="005078B0" w:rsidRPr="00DD13AC">
        <w:t>ll parties must expect to learn, including being prepared to take on new data, and to change perspectives and mindsets</w:t>
      </w:r>
      <w:r w:rsidR="00F85C1E">
        <w:t>,</w:t>
      </w:r>
      <w:r w:rsidR="005078B0" w:rsidRPr="00DD13AC">
        <w:t xml:space="preserve"> even when they feel they start with a large amount of knowledge and insight</w:t>
      </w:r>
      <w:r w:rsidR="00692125" w:rsidRPr="00DD13AC">
        <w:t>.</w:t>
      </w:r>
    </w:p>
    <w:p w:rsidR="00692125" w:rsidRPr="00DD13AC" w:rsidRDefault="00692125" w:rsidP="00F85C1E">
      <w:pPr>
        <w:pStyle w:val="H23G"/>
      </w:pPr>
      <w:r w:rsidRPr="00DD13AC">
        <w:tab/>
      </w:r>
      <w:r w:rsidR="005B6AF1">
        <w:t>2.</w:t>
      </w:r>
      <w:r w:rsidRPr="00DD13AC">
        <w:tab/>
      </w:r>
      <w:r w:rsidR="005078B0" w:rsidRPr="00DD13AC">
        <w:t xml:space="preserve">Grounding the interaction and relationship in the company’s responsibility to respect can be productive </w:t>
      </w:r>
    </w:p>
    <w:p w:rsidR="005078B0" w:rsidRPr="00DD13AC" w:rsidRDefault="00D06973" w:rsidP="00D06973">
      <w:pPr>
        <w:pStyle w:val="SingleTxtG"/>
      </w:pPr>
      <w:r w:rsidRPr="00DD13AC">
        <w:rPr>
          <w:bCs/>
        </w:rPr>
        <w:t>58.</w:t>
      </w:r>
      <w:r w:rsidRPr="00DD13AC">
        <w:rPr>
          <w:bCs/>
        </w:rPr>
        <w:tab/>
      </w:r>
      <w:r w:rsidR="005078B0" w:rsidRPr="00DD13AC">
        <w:t>From the examples shared, it appears that meaningful relationships include a mutual interest in enhancing the company’s ability to meet its responsibility to respect</w:t>
      </w:r>
      <w:r w:rsidR="00376822">
        <w:t>,</w:t>
      </w:r>
      <w:r w:rsidR="005078B0" w:rsidRPr="00DD13AC">
        <w:t xml:space="preserve"> as defined </w:t>
      </w:r>
      <w:r w:rsidR="00376822">
        <w:t>in</w:t>
      </w:r>
      <w:r w:rsidR="005078B0" w:rsidRPr="00DD13AC">
        <w:t xml:space="preserve"> the Guiding Principles. Th</w:t>
      </w:r>
      <w:r w:rsidR="00376822">
        <w:t>at</w:t>
      </w:r>
      <w:r w:rsidR="005078B0" w:rsidRPr="00DD13AC">
        <w:t xml:space="preserve"> is distinct from companies closing off genuine policy and practice changes, or civil society using scrutiny or knowledge of a company with the main aim of influencing the action of others</w:t>
      </w:r>
      <w:r w:rsidR="00376822">
        <w:t>,</w:t>
      </w:r>
      <w:r w:rsidR="005078B0" w:rsidRPr="00DD13AC">
        <w:t xml:space="preserve"> such as </w:t>
      </w:r>
      <w:r w:rsidR="00376822">
        <w:t>G</w:t>
      </w:r>
      <w:r w:rsidR="005078B0" w:rsidRPr="00DD13AC">
        <w:t>overnments or investors. When civil society proposals dovetail with some level of exist</w:t>
      </w:r>
      <w:r w:rsidR="005C0092" w:rsidRPr="00DD13AC">
        <w:t>ing</w:t>
      </w:r>
      <w:r w:rsidR="005078B0" w:rsidRPr="00DD13AC">
        <w:t xml:space="preserve"> company commitment and know-how, </w:t>
      </w:r>
      <w:r w:rsidR="00376822">
        <w:t>i</w:t>
      </w:r>
      <w:r w:rsidR="005078B0" w:rsidRPr="00DD13AC">
        <w:t xml:space="preserve">t seems to maximise the chances of successful relationships. </w:t>
      </w:r>
    </w:p>
    <w:p w:rsidR="00692125" w:rsidRPr="00DD13AC" w:rsidRDefault="00692125" w:rsidP="00F85C1E">
      <w:pPr>
        <w:pStyle w:val="H23G"/>
      </w:pPr>
      <w:r w:rsidRPr="00DD13AC">
        <w:tab/>
      </w:r>
      <w:r w:rsidR="005B6AF1">
        <w:t>3.</w:t>
      </w:r>
      <w:r w:rsidRPr="00DD13AC">
        <w:tab/>
      </w:r>
      <w:r w:rsidR="00FF1DD5">
        <w:t>R</w:t>
      </w:r>
      <w:r w:rsidR="005078B0" w:rsidRPr="00DD13AC">
        <w:t xml:space="preserve">elationships </w:t>
      </w:r>
      <w:r w:rsidR="00FF1DD5">
        <w:t>between c</w:t>
      </w:r>
      <w:r w:rsidR="00FF1DD5" w:rsidRPr="00DD13AC">
        <w:t>ompan</w:t>
      </w:r>
      <w:r w:rsidR="00FF1DD5">
        <w:t xml:space="preserve">ies and civil society </w:t>
      </w:r>
      <w:r w:rsidR="005078B0" w:rsidRPr="00DD13AC">
        <w:t xml:space="preserve">seem to be focused on addressing specific rights in specific contexts with specific individuals or groups in mind </w:t>
      </w:r>
    </w:p>
    <w:p w:rsidR="005078B0" w:rsidRPr="00DD13AC" w:rsidRDefault="00D06973" w:rsidP="00D06973">
      <w:pPr>
        <w:pStyle w:val="SingleTxtG"/>
      </w:pPr>
      <w:r w:rsidRPr="00DD13AC">
        <w:rPr>
          <w:bCs/>
        </w:rPr>
        <w:t>59.</w:t>
      </w:r>
      <w:r w:rsidRPr="00DD13AC">
        <w:rPr>
          <w:bCs/>
        </w:rPr>
        <w:tab/>
      </w:r>
      <w:r w:rsidR="005078B0" w:rsidRPr="00DD13AC">
        <w:t>Th</w:t>
      </w:r>
      <w:r w:rsidR="00E66A4A">
        <w:t>e relationships discussed</w:t>
      </w:r>
      <w:r w:rsidR="005078B0" w:rsidRPr="00DD13AC">
        <w:t xml:space="preserve"> seem</w:t>
      </w:r>
      <w:r w:rsidR="00E66A4A">
        <w:t>ed</w:t>
      </w:r>
      <w:r w:rsidR="005078B0" w:rsidRPr="00DD13AC">
        <w:t xml:space="preserve"> to relate to the particular mission, agenda, skill set and experiences of the civil society organization. In every example shared, the civil society </w:t>
      </w:r>
      <w:r w:rsidR="00D63BD5">
        <w:t>organization</w:t>
      </w:r>
      <w:r w:rsidR="005078B0" w:rsidRPr="00DD13AC">
        <w:t xml:space="preserve"> is a recognized leader in achieving policy and practice change on the issue in question. </w:t>
      </w:r>
      <w:r w:rsidR="00E66A4A">
        <w:t xml:space="preserve">Given the </w:t>
      </w:r>
      <w:r w:rsidR="005078B0" w:rsidRPr="00DD13AC">
        <w:t>highly significant and severe risks for the company or industry in question</w:t>
      </w:r>
      <w:r w:rsidR="00E66A4A">
        <w:t>,</w:t>
      </w:r>
      <w:r w:rsidR="005078B0" w:rsidRPr="00DD13AC">
        <w:t xml:space="preserve"> the company itself </w:t>
      </w:r>
      <w:r w:rsidR="00E66A4A">
        <w:t xml:space="preserve">usually </w:t>
      </w:r>
      <w:r w:rsidR="005078B0" w:rsidRPr="00DD13AC">
        <w:t xml:space="preserve">has a level of knowledge and experience, but sees the need to go further in its efforts </w:t>
      </w:r>
      <w:r w:rsidR="00E66A4A">
        <w:t>to respect rights related to, for example,</w:t>
      </w:r>
      <w:r w:rsidR="005078B0" w:rsidRPr="00DD13AC">
        <w:t xml:space="preserve"> land in the mining industry</w:t>
      </w:r>
      <w:r w:rsidR="00E66A4A">
        <w:t>,</w:t>
      </w:r>
      <w:r w:rsidR="005078B0" w:rsidRPr="00DD13AC">
        <w:t xml:space="preserve"> trade union rights in </w:t>
      </w:r>
      <w:r w:rsidR="00E66A4A">
        <w:t xml:space="preserve">the </w:t>
      </w:r>
      <w:r w:rsidR="005078B0" w:rsidRPr="00DD13AC">
        <w:t>textiles</w:t>
      </w:r>
      <w:r w:rsidR="00E66A4A">
        <w:t xml:space="preserve"> sector,</w:t>
      </w:r>
      <w:r w:rsidR="005078B0" w:rsidRPr="00DD13AC">
        <w:t xml:space="preserve"> child labour in agriculture and freedom of expression and privacy in the </w:t>
      </w:r>
      <w:r w:rsidR="00E66A4A" w:rsidRPr="00E66A4A">
        <w:t>information and communications technology</w:t>
      </w:r>
      <w:r w:rsidR="00E66A4A">
        <w:t xml:space="preserve"> </w:t>
      </w:r>
      <w:r w:rsidR="005078B0" w:rsidRPr="00DD13AC">
        <w:t xml:space="preserve">industry. While it is important to bear in mind that the Guiding Principles </w:t>
      </w:r>
      <w:r w:rsidR="00E66A4A">
        <w:t>indicate</w:t>
      </w:r>
      <w:r w:rsidR="005078B0" w:rsidRPr="00DD13AC">
        <w:t xml:space="preserve"> that companies have a responsibility to respect all human rights, in evaluating partnerships in th</w:t>
      </w:r>
      <w:r w:rsidR="00E66A4A">
        <w:t>at</w:t>
      </w:r>
      <w:r w:rsidR="005078B0" w:rsidRPr="00DD13AC">
        <w:t xml:space="preserve"> regard</w:t>
      </w:r>
      <w:r w:rsidR="00E66A4A">
        <w:t>,</w:t>
      </w:r>
      <w:r w:rsidR="005078B0" w:rsidRPr="00DD13AC">
        <w:t xml:space="preserve"> </w:t>
      </w:r>
      <w:r w:rsidR="00E66A4A">
        <w:t>two</w:t>
      </w:r>
      <w:r w:rsidR="005078B0" w:rsidRPr="00DD13AC">
        <w:t xml:space="preserve"> </w:t>
      </w:r>
      <w:r w:rsidR="00E66A4A">
        <w:t>elements come to light</w:t>
      </w:r>
      <w:r w:rsidR="005078B0" w:rsidRPr="00DD13AC">
        <w:t>. First</w:t>
      </w:r>
      <w:r w:rsidR="00E66A4A">
        <w:t>ly</w:t>
      </w:r>
      <w:r w:rsidR="005078B0" w:rsidRPr="00DD13AC">
        <w:t xml:space="preserve">, the activities linked to the relationship are rarely the sum total of a company’s efforts to meet its responsibility to respect human </w:t>
      </w:r>
      <w:r w:rsidR="005078B0" w:rsidRPr="00DD13AC">
        <w:lastRenderedPageBreak/>
        <w:t>rights. Second</w:t>
      </w:r>
      <w:r w:rsidR="00E66A4A">
        <w:t>ly</w:t>
      </w:r>
      <w:r w:rsidR="005078B0" w:rsidRPr="00DD13AC">
        <w:t>, addressing some rights in great depth can enable the protection and respect of others rights</w:t>
      </w:r>
      <w:r w:rsidR="00E66A4A">
        <w:t xml:space="preserve">, </w:t>
      </w:r>
      <w:r w:rsidR="005135E6">
        <w:t>such as when tackling</w:t>
      </w:r>
      <w:r w:rsidR="005078B0" w:rsidRPr="00DD13AC">
        <w:t xml:space="preserve"> inequality for women in the cocoa supply chain </w:t>
      </w:r>
      <w:r w:rsidR="005135E6">
        <w:t>helps eliminate</w:t>
      </w:r>
      <w:r w:rsidR="005078B0" w:rsidRPr="00DD13AC">
        <w:t xml:space="preserve"> child labour </w:t>
      </w:r>
      <w:r w:rsidR="005135E6">
        <w:t>and when</w:t>
      </w:r>
      <w:r w:rsidR="005078B0" w:rsidRPr="00DD13AC">
        <w:t xml:space="preserve"> other rights </w:t>
      </w:r>
      <w:r w:rsidR="005135E6">
        <w:t>are indirectly upheld when</w:t>
      </w:r>
      <w:r w:rsidR="005078B0" w:rsidRPr="00DD13AC">
        <w:t xml:space="preserve"> trade union rights are protected. </w:t>
      </w:r>
    </w:p>
    <w:p w:rsidR="00692125" w:rsidRPr="00DD13AC" w:rsidRDefault="00692125" w:rsidP="00F85C1E">
      <w:pPr>
        <w:pStyle w:val="H23G"/>
      </w:pPr>
      <w:r w:rsidRPr="00DD13AC">
        <w:tab/>
      </w:r>
      <w:r w:rsidR="005B6AF1">
        <w:t>4.</w:t>
      </w:r>
      <w:r w:rsidRPr="00DD13AC">
        <w:tab/>
      </w:r>
      <w:r w:rsidR="005078B0" w:rsidRPr="00DD13AC">
        <w:t>Timing and timeframes matter</w:t>
      </w:r>
      <w:r w:rsidR="005135E6">
        <w:t>,</w:t>
      </w:r>
      <w:r w:rsidR="005078B0" w:rsidRPr="00DD13AC">
        <w:t xml:space="preserve"> and not everything takes a long time </w:t>
      </w:r>
    </w:p>
    <w:p w:rsidR="005078B0" w:rsidRPr="00DD13AC" w:rsidRDefault="00D06973" w:rsidP="00D06973">
      <w:pPr>
        <w:pStyle w:val="SingleTxtG"/>
      </w:pPr>
      <w:r w:rsidRPr="00DD13AC">
        <w:rPr>
          <w:bCs/>
        </w:rPr>
        <w:t>60.</w:t>
      </w:r>
      <w:r w:rsidRPr="00DD13AC">
        <w:rPr>
          <w:bCs/>
        </w:rPr>
        <w:tab/>
      </w:r>
      <w:r w:rsidR="005078B0" w:rsidRPr="00DD13AC">
        <w:t>It is notable that in the examples involving a report from civil society, the company in question acted very quickly and constructively</w:t>
      </w:r>
      <w:r w:rsidR="005135E6">
        <w:t>;</w:t>
      </w:r>
      <w:r w:rsidR="005078B0" w:rsidRPr="00DD13AC">
        <w:t xml:space="preserve"> sometimes meetings took place within one week and action plans were in place within one month. Importantly, th</w:t>
      </w:r>
      <w:r w:rsidR="005135E6">
        <w:t>at</w:t>
      </w:r>
      <w:r w:rsidR="005078B0" w:rsidRPr="00DD13AC">
        <w:t xml:space="preserve"> may be because the civil society group provided a window of opportunity for the company to input and engage before reports were released. </w:t>
      </w:r>
      <w:r w:rsidR="005135E6">
        <w:t>E</w:t>
      </w:r>
      <w:r w:rsidR="005078B0" w:rsidRPr="00DD13AC">
        <w:t xml:space="preserve">stablishing timeframes for </w:t>
      </w:r>
      <w:r w:rsidR="005135E6">
        <w:t xml:space="preserve">action such as </w:t>
      </w:r>
      <w:r w:rsidR="005078B0" w:rsidRPr="00DD13AC">
        <w:t xml:space="preserve">implementing commitments, </w:t>
      </w:r>
      <w:r w:rsidR="005135E6">
        <w:t xml:space="preserve">taking </w:t>
      </w:r>
      <w:r w:rsidR="005078B0" w:rsidRPr="00DD13AC">
        <w:t>next steps</w:t>
      </w:r>
      <w:r w:rsidR="005135E6">
        <w:t xml:space="preserve"> and</w:t>
      </w:r>
      <w:r w:rsidR="005078B0" w:rsidRPr="00DD13AC">
        <w:t xml:space="preserve"> publi</w:t>
      </w:r>
      <w:r w:rsidR="005135E6">
        <w:t>shing</w:t>
      </w:r>
      <w:r w:rsidR="005078B0" w:rsidRPr="00DD13AC">
        <w:t xml:space="preserve"> reports is important. </w:t>
      </w:r>
      <w:r w:rsidR="005135E6">
        <w:t>Several</w:t>
      </w:r>
      <w:r w:rsidR="005078B0" w:rsidRPr="00DD13AC">
        <w:t xml:space="preserve"> speakers noted that managing expectations is necessary. For example, it helps if actors are realistic and clear about what is possible by when</w:t>
      </w:r>
      <w:r w:rsidR="005135E6">
        <w:t>,</w:t>
      </w:r>
      <w:r w:rsidR="005078B0" w:rsidRPr="00DD13AC">
        <w:t xml:space="preserve"> ideally with a short, medium and long-term division of action.</w:t>
      </w:r>
    </w:p>
    <w:p w:rsidR="00B85817" w:rsidRPr="00DD13AC" w:rsidRDefault="00B85817" w:rsidP="005135E6">
      <w:pPr>
        <w:pStyle w:val="H23G"/>
      </w:pPr>
      <w:r w:rsidRPr="00DD13AC">
        <w:tab/>
      </w:r>
      <w:r w:rsidR="005B6AF1">
        <w:t>5.</w:t>
      </w:r>
      <w:r w:rsidRPr="00DD13AC">
        <w:tab/>
      </w:r>
      <w:r w:rsidR="005078B0" w:rsidRPr="00DD13AC">
        <w:t>Good relationships should enable</w:t>
      </w:r>
      <w:r w:rsidR="005135E6">
        <w:t>,</w:t>
      </w:r>
      <w:r w:rsidR="005078B0" w:rsidRPr="00DD13AC">
        <w:t xml:space="preserve"> not replace</w:t>
      </w:r>
      <w:r w:rsidR="005135E6">
        <w:t>,</w:t>
      </w:r>
      <w:r w:rsidR="005078B0" w:rsidRPr="00DD13AC">
        <w:t xml:space="preserve"> further relationship building, especially at the local level</w:t>
      </w:r>
    </w:p>
    <w:p w:rsidR="005078B0" w:rsidRPr="00DD13AC" w:rsidRDefault="00D06973" w:rsidP="00D06973">
      <w:pPr>
        <w:pStyle w:val="SingleTxtG"/>
      </w:pPr>
      <w:r w:rsidRPr="00DD13AC">
        <w:rPr>
          <w:bCs/>
        </w:rPr>
        <w:t>61.</w:t>
      </w:r>
      <w:r w:rsidRPr="00DD13AC">
        <w:rPr>
          <w:bCs/>
        </w:rPr>
        <w:tab/>
      </w:r>
      <w:r w:rsidR="005078B0" w:rsidRPr="00DD13AC">
        <w:t>M</w:t>
      </w:r>
      <w:r w:rsidR="005135E6">
        <w:t>any</w:t>
      </w:r>
      <w:r w:rsidR="005078B0" w:rsidRPr="00DD13AC">
        <w:t xml:space="preserve"> speakers emphasized that</w:t>
      </w:r>
      <w:r w:rsidR="005135E6">
        <w:t>,</w:t>
      </w:r>
      <w:r w:rsidR="005078B0" w:rsidRPr="00DD13AC">
        <w:t xml:space="preserve"> </w:t>
      </w:r>
      <w:r w:rsidR="005135E6" w:rsidRPr="00DD13AC">
        <w:t>while international civil society organi</w:t>
      </w:r>
      <w:r w:rsidR="005135E6">
        <w:t>z</w:t>
      </w:r>
      <w:r w:rsidR="005135E6" w:rsidRPr="00DD13AC">
        <w:t xml:space="preserve">ations have particular strengths </w:t>
      </w:r>
      <w:r w:rsidR="005135E6">
        <w:t xml:space="preserve">from which </w:t>
      </w:r>
      <w:r w:rsidR="005135E6" w:rsidRPr="00DD13AC">
        <w:t>companies can benefit</w:t>
      </w:r>
      <w:r w:rsidR="005135E6">
        <w:t xml:space="preserve">, </w:t>
      </w:r>
      <w:r w:rsidR="005078B0" w:rsidRPr="00DD13AC">
        <w:t xml:space="preserve">relationships between corporations and international NGOs should not replace engagement with local stakeholders and rights-holders. </w:t>
      </w:r>
      <w:r w:rsidR="005135E6">
        <w:t>Moreover</w:t>
      </w:r>
      <w:r w:rsidR="005078B0" w:rsidRPr="00DD13AC">
        <w:t xml:space="preserve">, as one speaker noted, relationships with local actors can often be more conflict-ridden or politically complex. A key positive feature of all the examples shared was that the relationship </w:t>
      </w:r>
      <w:r w:rsidR="00FF1DD5">
        <w:t>between c</w:t>
      </w:r>
      <w:r w:rsidR="00FF1DD5" w:rsidRPr="00DD13AC">
        <w:t>ompan</w:t>
      </w:r>
      <w:r w:rsidR="00FF1DD5">
        <w:t xml:space="preserve">ies and civil society </w:t>
      </w:r>
      <w:r w:rsidR="005078B0" w:rsidRPr="00DD13AC">
        <w:t>actively encouraged and supported engagement with other actors. Th</w:t>
      </w:r>
      <w:r w:rsidR="005135E6">
        <w:t>at</w:t>
      </w:r>
      <w:r w:rsidR="005078B0" w:rsidRPr="00DD13AC">
        <w:t xml:space="preserve"> include</w:t>
      </w:r>
      <w:r w:rsidR="005135E6">
        <w:t>s</w:t>
      </w:r>
      <w:r w:rsidR="005078B0" w:rsidRPr="00DD13AC">
        <w:t xml:space="preserve"> local actors </w:t>
      </w:r>
      <w:r w:rsidR="005135E6">
        <w:t xml:space="preserve">such as </w:t>
      </w:r>
      <w:r w:rsidR="005078B0" w:rsidRPr="00DD13AC">
        <w:t xml:space="preserve">local trade unions </w:t>
      </w:r>
      <w:r w:rsidR="005135E6">
        <w:t>and</w:t>
      </w:r>
      <w:r w:rsidR="005078B0" w:rsidRPr="00DD13AC">
        <w:t xml:space="preserve"> affected populations</w:t>
      </w:r>
      <w:r w:rsidR="005135E6">
        <w:t xml:space="preserve">, but </w:t>
      </w:r>
      <w:r w:rsidR="005078B0" w:rsidRPr="00DD13AC">
        <w:t>it also includes other international NGOs, academic experts, competitors and even consumers and the public</w:t>
      </w:r>
      <w:r w:rsidR="005135E6">
        <w:t xml:space="preserve">, as </w:t>
      </w:r>
      <w:r w:rsidR="005135E6" w:rsidRPr="00DD13AC">
        <w:t>i</w:t>
      </w:r>
      <w:r w:rsidR="005135E6">
        <w:t>s</w:t>
      </w:r>
      <w:r w:rsidR="005135E6" w:rsidRPr="00DD13AC">
        <w:t xml:space="preserve"> the case </w:t>
      </w:r>
      <w:r w:rsidR="005135E6">
        <w:t>in</w:t>
      </w:r>
      <w:r w:rsidR="005135E6" w:rsidRPr="00DD13AC">
        <w:t xml:space="preserve"> the Behind the Brands campaign</w:t>
      </w:r>
      <w:r w:rsidR="005078B0" w:rsidRPr="00DD13AC">
        <w:t>. At all levels, open and honest communication is a key ingredient for successful engagement between companies and NGOs.</w:t>
      </w:r>
    </w:p>
    <w:p w:rsidR="00B85817" w:rsidRPr="00DD13AC" w:rsidRDefault="00B85817" w:rsidP="00133D26">
      <w:pPr>
        <w:pStyle w:val="H23G"/>
      </w:pPr>
      <w:r w:rsidRPr="00DD13AC">
        <w:tab/>
      </w:r>
      <w:r w:rsidR="005B6AF1">
        <w:t>6.</w:t>
      </w:r>
      <w:r w:rsidRPr="00DD13AC">
        <w:tab/>
      </w:r>
      <w:r w:rsidR="005078B0" w:rsidRPr="00DD13AC">
        <w:t xml:space="preserve">Without government engagement, </w:t>
      </w:r>
      <w:r w:rsidR="00A877F1" w:rsidRPr="00DD13AC">
        <w:t>partnerships</w:t>
      </w:r>
      <w:r w:rsidR="00A877F1">
        <w:t xml:space="preserve"> between </w:t>
      </w:r>
      <w:r w:rsidR="005078B0" w:rsidRPr="00DD13AC">
        <w:t>compan</w:t>
      </w:r>
      <w:r w:rsidR="00A877F1">
        <w:t xml:space="preserve">ies and </w:t>
      </w:r>
      <w:r w:rsidR="005078B0" w:rsidRPr="00DD13AC">
        <w:t>NGO</w:t>
      </w:r>
      <w:r w:rsidR="00A877F1">
        <w:t>s</w:t>
      </w:r>
      <w:r w:rsidR="00133D26">
        <w:t xml:space="preserve"> </w:t>
      </w:r>
      <w:r w:rsidR="005078B0" w:rsidRPr="00DD13AC">
        <w:t xml:space="preserve">to support the corporate responsibility to respect </w:t>
      </w:r>
      <w:r w:rsidR="00A877F1">
        <w:t>will be limited in their ability</w:t>
      </w:r>
      <w:r w:rsidR="005078B0" w:rsidRPr="00DD13AC">
        <w:t xml:space="preserve"> to address the human rights impacts associated with business </w:t>
      </w:r>
    </w:p>
    <w:p w:rsidR="005078B0" w:rsidRPr="00DD13AC" w:rsidRDefault="00D06973" w:rsidP="00D06973">
      <w:pPr>
        <w:pStyle w:val="SingleTxtG"/>
      </w:pPr>
      <w:r w:rsidRPr="00DD13AC">
        <w:rPr>
          <w:bCs/>
        </w:rPr>
        <w:t>62.</w:t>
      </w:r>
      <w:r w:rsidRPr="00DD13AC">
        <w:rPr>
          <w:bCs/>
        </w:rPr>
        <w:tab/>
      </w:r>
      <w:r w:rsidR="005078B0" w:rsidRPr="00DD13AC">
        <w:t>Ultimately, partnerships between diverse private actors</w:t>
      </w:r>
      <w:r w:rsidR="00A877F1">
        <w:t>, both</w:t>
      </w:r>
      <w:r w:rsidR="005078B0" w:rsidRPr="00DD13AC">
        <w:t xml:space="preserve"> business </w:t>
      </w:r>
      <w:r w:rsidR="00A877F1">
        <w:t>and</w:t>
      </w:r>
      <w:r w:rsidR="005078B0" w:rsidRPr="00DD13AC">
        <w:t xml:space="preserve"> civil society</w:t>
      </w:r>
      <w:r w:rsidR="00A877F1">
        <w:t>,</w:t>
      </w:r>
      <w:r w:rsidR="005078B0" w:rsidRPr="00DD13AC">
        <w:t xml:space="preserve"> are always at some level trying to fill a governance gap due to a failure of the State to meet its duty to protect</w:t>
      </w:r>
      <w:r w:rsidR="00A877F1">
        <w:t>,</w:t>
      </w:r>
      <w:r w:rsidR="005078B0" w:rsidRPr="00DD13AC">
        <w:t xml:space="preserve"> </w:t>
      </w:r>
      <w:r w:rsidR="007648F5">
        <w:t>owing</w:t>
      </w:r>
      <w:r w:rsidR="005078B0" w:rsidRPr="00DD13AC">
        <w:t xml:space="preserve"> to</w:t>
      </w:r>
      <w:r w:rsidR="005C0092" w:rsidRPr="00DD13AC">
        <w:t xml:space="preserve"> lack of</w:t>
      </w:r>
      <w:r w:rsidR="005078B0" w:rsidRPr="00DD13AC">
        <w:t xml:space="preserve"> political will or capacity. Th</w:t>
      </w:r>
      <w:r w:rsidR="00A877F1">
        <w:t>at</w:t>
      </w:r>
      <w:r w:rsidR="005078B0" w:rsidRPr="00DD13AC">
        <w:t xml:space="preserve"> suggests that more of th</w:t>
      </w:r>
      <w:r w:rsidR="00A877F1">
        <w:t>o</w:t>
      </w:r>
      <w:r w:rsidR="005078B0" w:rsidRPr="00DD13AC">
        <w:t xml:space="preserve">se relationships need to </w:t>
      </w:r>
      <w:r w:rsidR="00A877F1">
        <w:t>include</w:t>
      </w:r>
      <w:r w:rsidR="005078B0" w:rsidRPr="00DD13AC">
        <w:t xml:space="preserve"> </w:t>
      </w:r>
      <w:r w:rsidR="00A877F1">
        <w:t>G</w:t>
      </w:r>
      <w:r w:rsidR="005078B0" w:rsidRPr="00DD13AC">
        <w:t>overnment</w:t>
      </w:r>
      <w:r w:rsidR="00A877F1">
        <w:t>s</w:t>
      </w:r>
      <w:r w:rsidR="005078B0" w:rsidRPr="00DD13AC">
        <w:t xml:space="preserve"> around the </w:t>
      </w:r>
      <w:r w:rsidR="00A877F1">
        <w:t xml:space="preserve">negotiating </w:t>
      </w:r>
      <w:r w:rsidR="005078B0" w:rsidRPr="00DD13AC">
        <w:t xml:space="preserve">table in order to sustain, widen and </w:t>
      </w:r>
      <w:r w:rsidR="00A877F1">
        <w:t>foster</w:t>
      </w:r>
      <w:r w:rsidR="005078B0" w:rsidRPr="00DD13AC">
        <w:t xml:space="preserve"> progress. </w:t>
      </w:r>
    </w:p>
    <w:p w:rsidR="005078B0" w:rsidRPr="00DD13AC" w:rsidRDefault="00A42743" w:rsidP="00A42743">
      <w:pPr>
        <w:pStyle w:val="HChG"/>
      </w:pPr>
      <w:r w:rsidRPr="00DD13AC">
        <w:tab/>
        <w:t>V.</w:t>
      </w:r>
      <w:r w:rsidRPr="00DD13AC">
        <w:tab/>
      </w:r>
      <w:r w:rsidR="005078B0" w:rsidRPr="00DD13AC">
        <w:t>Conclusions</w:t>
      </w:r>
      <w:r w:rsidR="00146B06" w:rsidRPr="00DD13AC">
        <w:t xml:space="preserve"> </w:t>
      </w:r>
      <w:r w:rsidR="005078B0" w:rsidRPr="00DD13AC">
        <w:t>and recommendations</w:t>
      </w:r>
    </w:p>
    <w:p w:rsidR="005078B0" w:rsidRPr="00DD13AC" w:rsidRDefault="00D06973" w:rsidP="00D06973">
      <w:pPr>
        <w:pStyle w:val="SingleTxtG"/>
        <w:rPr>
          <w:b/>
        </w:rPr>
      </w:pPr>
      <w:r w:rsidRPr="00DD13AC">
        <w:rPr>
          <w:bCs/>
        </w:rPr>
        <w:t>63.</w:t>
      </w:r>
      <w:r w:rsidRPr="00DD13AC">
        <w:rPr>
          <w:bCs/>
        </w:rPr>
        <w:tab/>
      </w:r>
      <w:r w:rsidR="005078B0" w:rsidRPr="00DD13AC">
        <w:rPr>
          <w:b/>
        </w:rPr>
        <w:t>While all stakeholders recognize that there is still more work to be done</w:t>
      </w:r>
      <w:r w:rsidR="00CD7B96">
        <w:rPr>
          <w:b/>
        </w:rPr>
        <w:t>, given that</w:t>
      </w:r>
      <w:r w:rsidR="005078B0" w:rsidRPr="00DD13AC">
        <w:rPr>
          <w:b/>
        </w:rPr>
        <w:t xml:space="preserve"> a large part of the business community worldwide remains unaware of </w:t>
      </w:r>
      <w:r w:rsidR="00CD7B96">
        <w:rPr>
          <w:b/>
        </w:rPr>
        <w:t>its</w:t>
      </w:r>
      <w:r w:rsidR="005078B0" w:rsidRPr="00DD13AC">
        <w:rPr>
          <w:b/>
        </w:rPr>
        <w:t xml:space="preserve"> human rights responsibilities</w:t>
      </w:r>
      <w:r w:rsidR="00CD7B96">
        <w:rPr>
          <w:b/>
        </w:rPr>
        <w:t>,</w:t>
      </w:r>
      <w:r w:rsidR="005078B0" w:rsidRPr="00DD13AC">
        <w:rPr>
          <w:b/>
        </w:rPr>
        <w:t xml:space="preserve"> </w:t>
      </w:r>
      <w:r w:rsidR="00CB2A94" w:rsidRPr="00DD13AC">
        <w:rPr>
          <w:b/>
        </w:rPr>
        <w:t xml:space="preserve">discussions at the Forum highlighted that </w:t>
      </w:r>
      <w:r w:rsidR="005078B0" w:rsidRPr="00DD13AC">
        <w:rPr>
          <w:b/>
        </w:rPr>
        <w:t xml:space="preserve">there is much commitment and innovative learning </w:t>
      </w:r>
      <w:r w:rsidR="007648F5">
        <w:rPr>
          <w:b/>
        </w:rPr>
        <w:t xml:space="preserve">on which </w:t>
      </w:r>
      <w:r w:rsidR="005078B0" w:rsidRPr="00DD13AC">
        <w:rPr>
          <w:b/>
        </w:rPr>
        <w:t xml:space="preserve">to build. </w:t>
      </w:r>
    </w:p>
    <w:p w:rsidR="005078B0" w:rsidRPr="00DD13AC" w:rsidRDefault="00D06973" w:rsidP="00D06973">
      <w:pPr>
        <w:pStyle w:val="SingleTxtG"/>
        <w:rPr>
          <w:b/>
        </w:rPr>
      </w:pPr>
      <w:r w:rsidRPr="00DD13AC">
        <w:rPr>
          <w:bCs/>
        </w:rPr>
        <w:t>64.</w:t>
      </w:r>
      <w:r w:rsidRPr="00DD13AC">
        <w:rPr>
          <w:bCs/>
        </w:rPr>
        <w:tab/>
      </w:r>
      <w:r w:rsidR="005078B0" w:rsidRPr="00DD13AC">
        <w:rPr>
          <w:b/>
        </w:rPr>
        <w:t>The Forum discussions also highlighted that the Guiding Principles are influencing practices and decision</w:t>
      </w:r>
      <w:r w:rsidR="00CD7B96">
        <w:rPr>
          <w:b/>
        </w:rPr>
        <w:t>-</w:t>
      </w:r>
      <w:r w:rsidR="005078B0" w:rsidRPr="00DD13AC">
        <w:rPr>
          <w:b/>
        </w:rPr>
        <w:t xml:space="preserve">making </w:t>
      </w:r>
      <w:r w:rsidR="00CD7B96">
        <w:rPr>
          <w:b/>
        </w:rPr>
        <w:t>in</w:t>
      </w:r>
      <w:r w:rsidR="005078B0" w:rsidRPr="00DD13AC">
        <w:rPr>
          <w:b/>
        </w:rPr>
        <w:t xml:space="preserve"> some companies and </w:t>
      </w:r>
      <w:r w:rsidR="00CD7B96">
        <w:rPr>
          <w:b/>
        </w:rPr>
        <w:t xml:space="preserve">are </w:t>
      </w:r>
      <w:r w:rsidR="005078B0" w:rsidRPr="00DD13AC">
        <w:rPr>
          <w:b/>
        </w:rPr>
        <w:t>also informing the development of new tools and approaches relating to the corporate responsibility to respect. The Working Group welcomes the development of such tools</w:t>
      </w:r>
      <w:r w:rsidR="00CD7B96">
        <w:rPr>
          <w:b/>
        </w:rPr>
        <w:t>,</w:t>
      </w:r>
      <w:r w:rsidR="005078B0" w:rsidRPr="00DD13AC">
        <w:rPr>
          <w:b/>
        </w:rPr>
        <w:t xml:space="preserve"> both in-house and through collaborative efforts, such as through industry associations</w:t>
      </w:r>
      <w:r w:rsidR="00CD7B96">
        <w:rPr>
          <w:b/>
        </w:rPr>
        <w:t>,</w:t>
      </w:r>
      <w:r w:rsidR="005078B0" w:rsidRPr="00DD13AC">
        <w:rPr>
          <w:b/>
        </w:rPr>
        <w:t xml:space="preserve"> and </w:t>
      </w:r>
      <w:r w:rsidR="005078B0" w:rsidRPr="00DD13AC">
        <w:rPr>
          <w:b/>
        </w:rPr>
        <w:lastRenderedPageBreak/>
        <w:t>remains committed to working with business actors and other stakeholders to support such efforts. The Working Group is also committed to facilitating multi-stakeholder dialogue on questions that need further clarification and to ensur</w:t>
      </w:r>
      <w:r w:rsidR="00CD7B96">
        <w:rPr>
          <w:b/>
        </w:rPr>
        <w:t>ing</w:t>
      </w:r>
      <w:r w:rsidR="005078B0" w:rsidRPr="00DD13AC">
        <w:rPr>
          <w:b/>
        </w:rPr>
        <w:t xml:space="preserve"> that all efforts are consistent with the Guiding Principles.</w:t>
      </w:r>
    </w:p>
    <w:p w:rsidR="005078B0" w:rsidRPr="00DD13AC" w:rsidRDefault="00D06973" w:rsidP="00D06973">
      <w:pPr>
        <w:pStyle w:val="SingleTxtG"/>
        <w:rPr>
          <w:b/>
        </w:rPr>
      </w:pPr>
      <w:r w:rsidRPr="00DD13AC">
        <w:rPr>
          <w:bCs/>
        </w:rPr>
        <w:t>65.</w:t>
      </w:r>
      <w:r w:rsidRPr="00DD13AC">
        <w:rPr>
          <w:bCs/>
        </w:rPr>
        <w:tab/>
      </w:r>
      <w:r w:rsidR="005078B0" w:rsidRPr="00DD13AC">
        <w:rPr>
          <w:b/>
        </w:rPr>
        <w:t xml:space="preserve">The Working Group recognizes the importance of addressing the gap </w:t>
      </w:r>
      <w:r w:rsidR="00CD7B96">
        <w:rPr>
          <w:b/>
        </w:rPr>
        <w:t xml:space="preserve">that has been </w:t>
      </w:r>
      <w:r w:rsidR="00CD7B96" w:rsidRPr="00DD13AC">
        <w:rPr>
          <w:b/>
        </w:rPr>
        <w:t>identified</w:t>
      </w:r>
      <w:r w:rsidR="00CD7B96">
        <w:rPr>
          <w:b/>
        </w:rPr>
        <w:t xml:space="preserve"> </w:t>
      </w:r>
      <w:r w:rsidR="005078B0" w:rsidRPr="00DD13AC">
        <w:rPr>
          <w:b/>
        </w:rPr>
        <w:t>in communication about what companies are doing to implement the Guiding Principles. All stakeholders have a role to play to overcome th</w:t>
      </w:r>
      <w:r w:rsidR="00CD7B96">
        <w:rPr>
          <w:b/>
        </w:rPr>
        <w:t>e</w:t>
      </w:r>
      <w:r w:rsidR="005078B0" w:rsidRPr="00DD13AC">
        <w:rPr>
          <w:b/>
        </w:rPr>
        <w:t xml:space="preserve"> reluctance by companies to share information on </w:t>
      </w:r>
      <w:r w:rsidR="00CD7B96">
        <w:rPr>
          <w:b/>
        </w:rPr>
        <w:t xml:space="preserve">the </w:t>
      </w:r>
      <w:r w:rsidR="005078B0" w:rsidRPr="00DD13AC">
        <w:rPr>
          <w:b/>
        </w:rPr>
        <w:t xml:space="preserve">steps </w:t>
      </w:r>
      <w:r w:rsidR="00CD7B96">
        <w:rPr>
          <w:b/>
        </w:rPr>
        <w:t xml:space="preserve">being </w:t>
      </w:r>
      <w:r w:rsidR="005078B0" w:rsidRPr="00DD13AC">
        <w:rPr>
          <w:b/>
        </w:rPr>
        <w:t xml:space="preserve">taken to avoid and address human rights abuses in their operations. </w:t>
      </w:r>
      <w:r w:rsidR="00CD7B96">
        <w:rPr>
          <w:b/>
        </w:rPr>
        <w:t>T</w:t>
      </w:r>
      <w:r w:rsidR="005078B0" w:rsidRPr="00DD13AC">
        <w:rPr>
          <w:b/>
        </w:rPr>
        <w:t xml:space="preserve">he annual Forum should serve as a space for companies and business associations to share practice and experience and </w:t>
      </w:r>
      <w:r w:rsidR="00CD7B96">
        <w:rPr>
          <w:b/>
        </w:rPr>
        <w:t xml:space="preserve">to </w:t>
      </w:r>
      <w:r w:rsidR="005078B0" w:rsidRPr="00DD13AC">
        <w:rPr>
          <w:b/>
        </w:rPr>
        <w:t xml:space="preserve">engage in a constructive dialogue with other stakeholder groups. </w:t>
      </w:r>
    </w:p>
    <w:p w:rsidR="005078B0" w:rsidRPr="00DD13AC" w:rsidRDefault="00D06973" w:rsidP="00D06973">
      <w:pPr>
        <w:pStyle w:val="SingleTxtG"/>
        <w:rPr>
          <w:b/>
        </w:rPr>
      </w:pPr>
      <w:r w:rsidRPr="00DD13AC">
        <w:rPr>
          <w:bCs/>
        </w:rPr>
        <w:t>66.</w:t>
      </w:r>
      <w:r w:rsidRPr="00DD13AC">
        <w:rPr>
          <w:bCs/>
        </w:rPr>
        <w:tab/>
      </w:r>
      <w:r w:rsidR="005078B0" w:rsidRPr="00DD13AC">
        <w:rPr>
          <w:b/>
        </w:rPr>
        <w:t xml:space="preserve">The Working Group welcomes the innovative and constructive contributions of the companies and NGOs that shared their experiences of joint engagement to address specific human rights concerns in the context of the companies’ operations. One challenge </w:t>
      </w:r>
      <w:r w:rsidR="00CD7B96">
        <w:rPr>
          <w:b/>
        </w:rPr>
        <w:t>in the future</w:t>
      </w:r>
      <w:r w:rsidR="005078B0" w:rsidRPr="00DD13AC">
        <w:rPr>
          <w:b/>
        </w:rPr>
        <w:t xml:space="preserve"> will be to explore how such approaches can spread to other companies, and not just to the </w:t>
      </w:r>
      <w:r w:rsidR="00CD7B96" w:rsidRPr="00DD13AC">
        <w:rPr>
          <w:b/>
        </w:rPr>
        <w:t xml:space="preserve">few </w:t>
      </w:r>
      <w:r w:rsidR="005078B0" w:rsidRPr="00DD13AC">
        <w:rPr>
          <w:b/>
        </w:rPr>
        <w:t>most visible global brands. The Working Group considers that the kind</w:t>
      </w:r>
      <w:r w:rsidR="007648F5">
        <w:rPr>
          <w:b/>
        </w:rPr>
        <w:t>s</w:t>
      </w:r>
      <w:r w:rsidR="005078B0" w:rsidRPr="00DD13AC">
        <w:rPr>
          <w:b/>
        </w:rPr>
        <w:t xml:space="preserve"> of engagement that were featured at the Forum, focused as they were on finding solutions and improving situations in local contexts, should be emulated to a much greater extent. Often such constructive engagement may arise from investigative efforts by civil society </w:t>
      </w:r>
      <w:r w:rsidR="00D63BD5" w:rsidRPr="00D06973">
        <w:rPr>
          <w:b/>
        </w:rPr>
        <w:t>organizations</w:t>
      </w:r>
      <w:r w:rsidR="005078B0" w:rsidRPr="00DD13AC">
        <w:rPr>
          <w:b/>
        </w:rPr>
        <w:t xml:space="preserve"> to shed light on human rights concerns and negative impacts, but where companies are willing to engage with NGOs on such findings, it is clear that </w:t>
      </w:r>
      <w:r w:rsidR="00CD7B96">
        <w:rPr>
          <w:b/>
        </w:rPr>
        <w:t>all parties</w:t>
      </w:r>
      <w:r w:rsidR="005078B0" w:rsidRPr="00DD13AC">
        <w:rPr>
          <w:b/>
        </w:rPr>
        <w:t xml:space="preserve"> stand to gain. When there is genuine engagement from both sides, significant progress can be made in preventing and addressing human rights impacts of business activities. At the same time, where companies are not willing to engage with civil society and affected stakeholders in addressing concerns, </w:t>
      </w:r>
      <w:r w:rsidR="00CD7B96">
        <w:rPr>
          <w:b/>
        </w:rPr>
        <w:t xml:space="preserve">the </w:t>
      </w:r>
      <w:r w:rsidR="005078B0" w:rsidRPr="00DD13AC">
        <w:rPr>
          <w:b/>
        </w:rPr>
        <w:t>traditional approaches of “naming and shaming” and litigation may be seen as the only available avenues.</w:t>
      </w:r>
    </w:p>
    <w:p w:rsidR="005078B0" w:rsidRPr="00DD13AC" w:rsidRDefault="00D06973" w:rsidP="00D06973">
      <w:pPr>
        <w:pStyle w:val="SingleTxtG"/>
        <w:rPr>
          <w:b/>
        </w:rPr>
      </w:pPr>
      <w:r w:rsidRPr="00DD13AC">
        <w:rPr>
          <w:bCs/>
        </w:rPr>
        <w:t>67.</w:t>
      </w:r>
      <w:r w:rsidRPr="00DD13AC">
        <w:rPr>
          <w:bCs/>
        </w:rPr>
        <w:tab/>
      </w:r>
      <w:r w:rsidR="005078B0" w:rsidRPr="00DD13AC">
        <w:rPr>
          <w:b/>
        </w:rPr>
        <w:t xml:space="preserve">In order to </w:t>
      </w:r>
      <w:r w:rsidR="00CD7B96">
        <w:rPr>
          <w:b/>
        </w:rPr>
        <w:t>encourage</w:t>
      </w:r>
      <w:r w:rsidR="005078B0" w:rsidRPr="00DD13AC">
        <w:rPr>
          <w:b/>
        </w:rPr>
        <w:t xml:space="preserve"> further learning and </w:t>
      </w:r>
      <w:r w:rsidR="00CD7B96">
        <w:rPr>
          <w:b/>
        </w:rPr>
        <w:t xml:space="preserve">the </w:t>
      </w:r>
      <w:r w:rsidR="005078B0" w:rsidRPr="00DD13AC">
        <w:rPr>
          <w:b/>
        </w:rPr>
        <w:t xml:space="preserve">spread of innovative </w:t>
      </w:r>
      <w:r w:rsidR="00CD7B96" w:rsidRPr="00DD13AC">
        <w:rPr>
          <w:b/>
        </w:rPr>
        <w:t>engagement</w:t>
      </w:r>
      <w:r w:rsidR="00CD7B96">
        <w:rPr>
          <w:b/>
        </w:rPr>
        <w:t xml:space="preserve"> between </w:t>
      </w:r>
      <w:r w:rsidR="005078B0" w:rsidRPr="00DD13AC">
        <w:rPr>
          <w:b/>
        </w:rPr>
        <w:t>NGO</w:t>
      </w:r>
      <w:r w:rsidR="00CD7B96">
        <w:rPr>
          <w:b/>
        </w:rPr>
        <w:t xml:space="preserve">s and </w:t>
      </w:r>
      <w:r w:rsidR="005078B0" w:rsidRPr="00DD13AC">
        <w:rPr>
          <w:b/>
        </w:rPr>
        <w:t xml:space="preserve">business on business and human rights, the Working Group would like to encourage NGOs and companies to share more examples of joint efforts undertaken in specific cases at future </w:t>
      </w:r>
      <w:r w:rsidR="00CD7B96">
        <w:rPr>
          <w:b/>
        </w:rPr>
        <w:t xml:space="preserve">sessions of the </w:t>
      </w:r>
      <w:r w:rsidR="005078B0" w:rsidRPr="00DD13AC">
        <w:rPr>
          <w:b/>
        </w:rPr>
        <w:t xml:space="preserve">Forum. The Working Group </w:t>
      </w:r>
      <w:r w:rsidR="000F7110" w:rsidRPr="00DD13AC">
        <w:rPr>
          <w:b/>
        </w:rPr>
        <w:t>calls</w:t>
      </w:r>
      <w:r w:rsidR="000F7110">
        <w:rPr>
          <w:b/>
        </w:rPr>
        <w:t xml:space="preserve"> </w:t>
      </w:r>
      <w:r w:rsidR="005078B0" w:rsidRPr="00DD13AC">
        <w:rPr>
          <w:b/>
        </w:rPr>
        <w:t xml:space="preserve">in particular on </w:t>
      </w:r>
      <w:r w:rsidR="000F7110">
        <w:rPr>
          <w:b/>
        </w:rPr>
        <w:t>G</w:t>
      </w:r>
      <w:r w:rsidR="005078B0" w:rsidRPr="00DD13AC">
        <w:rPr>
          <w:b/>
        </w:rPr>
        <w:t>overnments to join the discussions and encourage</w:t>
      </w:r>
      <w:r w:rsidR="000F7110">
        <w:rPr>
          <w:b/>
        </w:rPr>
        <w:t>s</w:t>
      </w:r>
      <w:r w:rsidR="005078B0" w:rsidRPr="00DD13AC">
        <w:rPr>
          <w:b/>
        </w:rPr>
        <w:t xml:space="preserve"> both relevant host and home States to participate in panel</w:t>
      </w:r>
      <w:r w:rsidR="007648F5">
        <w:rPr>
          <w:b/>
        </w:rPr>
        <w:t xml:space="preserve"> discussion</w:t>
      </w:r>
      <w:r w:rsidR="005078B0" w:rsidRPr="00DD13AC">
        <w:rPr>
          <w:b/>
        </w:rPr>
        <w:t xml:space="preserve">s similar to the one on </w:t>
      </w:r>
      <w:r w:rsidR="000F7110" w:rsidRPr="00DD13AC">
        <w:rPr>
          <w:b/>
        </w:rPr>
        <w:t>engagement</w:t>
      </w:r>
      <w:r w:rsidR="000F7110">
        <w:rPr>
          <w:b/>
        </w:rPr>
        <w:t xml:space="preserve"> between </w:t>
      </w:r>
      <w:r w:rsidR="005078B0" w:rsidRPr="00DD13AC">
        <w:rPr>
          <w:b/>
        </w:rPr>
        <w:t>NGO</w:t>
      </w:r>
      <w:r w:rsidR="000F7110">
        <w:rPr>
          <w:b/>
        </w:rPr>
        <w:t xml:space="preserve">s and </w:t>
      </w:r>
      <w:r w:rsidR="005078B0" w:rsidRPr="00DD13AC">
        <w:rPr>
          <w:b/>
        </w:rPr>
        <w:t>compan</w:t>
      </w:r>
      <w:r w:rsidR="000F7110">
        <w:rPr>
          <w:b/>
        </w:rPr>
        <w:t>ies</w:t>
      </w:r>
      <w:r w:rsidR="005078B0" w:rsidRPr="00DD13AC">
        <w:rPr>
          <w:b/>
        </w:rPr>
        <w:t xml:space="preserve"> held at the third annual Forum. Moreover, </w:t>
      </w:r>
      <w:r w:rsidR="007648F5">
        <w:rPr>
          <w:b/>
        </w:rPr>
        <w:t>t</w:t>
      </w:r>
      <w:r w:rsidR="007648F5" w:rsidRPr="00DD13AC">
        <w:rPr>
          <w:b/>
        </w:rPr>
        <w:t xml:space="preserve">he Working Group </w:t>
      </w:r>
      <w:r w:rsidR="005078B0" w:rsidRPr="00DD13AC">
        <w:rPr>
          <w:b/>
        </w:rPr>
        <w:t>encourage</w:t>
      </w:r>
      <w:r w:rsidR="000F7110">
        <w:rPr>
          <w:b/>
        </w:rPr>
        <w:t>s</w:t>
      </w:r>
      <w:r w:rsidR="005078B0" w:rsidRPr="00DD13AC">
        <w:rPr>
          <w:b/>
        </w:rPr>
        <w:t xml:space="preserve"> the sharing of such examples and dialogue on lessons </w:t>
      </w:r>
      <w:r w:rsidR="000F7110">
        <w:rPr>
          <w:b/>
        </w:rPr>
        <w:t xml:space="preserve">learned </w:t>
      </w:r>
      <w:r w:rsidR="005078B0" w:rsidRPr="00DD13AC">
        <w:rPr>
          <w:b/>
        </w:rPr>
        <w:t>in other relevant contexts, such as at regional forums and meetings convened by stakeholders themselves.</w:t>
      </w:r>
    </w:p>
    <w:p w:rsidR="00A42743" w:rsidRPr="00DD13AC" w:rsidRDefault="00D06973" w:rsidP="00D06973">
      <w:pPr>
        <w:pStyle w:val="SingleTxtG"/>
        <w:rPr>
          <w:b/>
        </w:rPr>
      </w:pPr>
      <w:r w:rsidRPr="00DD13AC">
        <w:rPr>
          <w:bCs/>
        </w:rPr>
        <w:t>68.</w:t>
      </w:r>
      <w:r w:rsidRPr="00DD13AC">
        <w:rPr>
          <w:bCs/>
        </w:rPr>
        <w:tab/>
      </w:r>
      <w:r w:rsidR="005078B0" w:rsidRPr="00DD13AC">
        <w:rPr>
          <w:b/>
        </w:rPr>
        <w:t xml:space="preserve">Highlighting existing practices of both company efforts to meet the business responsibility to respect, and of joint stakeholder engagement to deal with </w:t>
      </w:r>
      <w:r w:rsidR="005C0092" w:rsidRPr="00DD13AC">
        <w:rPr>
          <w:b/>
        </w:rPr>
        <w:t>concrete</w:t>
      </w:r>
      <w:r w:rsidR="00BB5934" w:rsidRPr="00DD13AC">
        <w:rPr>
          <w:b/>
        </w:rPr>
        <w:t xml:space="preserve"> </w:t>
      </w:r>
      <w:r w:rsidR="005C0092" w:rsidRPr="00DD13AC">
        <w:rPr>
          <w:b/>
        </w:rPr>
        <w:t>cases</w:t>
      </w:r>
      <w:r w:rsidR="005078B0" w:rsidRPr="00DD13AC">
        <w:rPr>
          <w:b/>
        </w:rPr>
        <w:t xml:space="preserve">, should be supported by all stakeholders in order to </w:t>
      </w:r>
      <w:r w:rsidR="005C0092" w:rsidRPr="00DD13AC">
        <w:rPr>
          <w:b/>
        </w:rPr>
        <w:t xml:space="preserve">encourage further </w:t>
      </w:r>
      <w:r w:rsidR="005078B0" w:rsidRPr="00DD13AC">
        <w:rPr>
          <w:b/>
        </w:rPr>
        <w:t>action and the small but important steps towards workable solutions that ultimately benefit rights-holders on the ground.</w:t>
      </w:r>
    </w:p>
    <w:p w:rsidR="005078B0" w:rsidRPr="0070229C" w:rsidRDefault="00A42743" w:rsidP="00A42743">
      <w:pPr>
        <w:pStyle w:val="SingleTxtG"/>
        <w:spacing w:before="240" w:after="0"/>
        <w:jc w:val="center"/>
        <w:rPr>
          <w:bCs/>
          <w:u w:val="single"/>
        </w:rPr>
      </w:pPr>
      <w:r w:rsidRPr="0070229C">
        <w:rPr>
          <w:bCs/>
          <w:u w:val="single"/>
        </w:rPr>
        <w:tab/>
      </w:r>
      <w:r w:rsidRPr="0070229C">
        <w:rPr>
          <w:bCs/>
          <w:u w:val="single"/>
        </w:rPr>
        <w:tab/>
      </w:r>
      <w:r w:rsidRPr="0070229C">
        <w:rPr>
          <w:bCs/>
          <w:u w:val="single"/>
        </w:rPr>
        <w:tab/>
      </w:r>
    </w:p>
    <w:sectPr w:rsidR="005078B0" w:rsidRPr="0070229C" w:rsidSect="00772D0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52" w:rsidRDefault="00B53C52"/>
  </w:endnote>
  <w:endnote w:type="continuationSeparator" w:id="0">
    <w:p w:rsidR="00B53C52" w:rsidRDefault="00B53C52"/>
  </w:endnote>
  <w:endnote w:type="continuationNotice" w:id="1">
    <w:p w:rsidR="00B53C52" w:rsidRDefault="00B53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0315ED" w:rsidRDefault="00831D59" w:rsidP="000315ED">
    <w:pPr>
      <w:pStyle w:val="Footer"/>
      <w:tabs>
        <w:tab w:val="right" w:pos="9638"/>
      </w:tabs>
    </w:pPr>
    <w:r w:rsidRPr="000315ED">
      <w:rPr>
        <w:b/>
        <w:sz w:val="18"/>
      </w:rPr>
      <w:fldChar w:fldCharType="begin"/>
    </w:r>
    <w:r w:rsidRPr="000315ED">
      <w:rPr>
        <w:b/>
        <w:sz w:val="18"/>
      </w:rPr>
      <w:instrText xml:space="preserve"> PAGE  \* MERGEFORMAT </w:instrText>
    </w:r>
    <w:r w:rsidRPr="000315ED">
      <w:rPr>
        <w:b/>
        <w:sz w:val="18"/>
      </w:rPr>
      <w:fldChar w:fldCharType="separate"/>
    </w:r>
    <w:r w:rsidR="006A6679">
      <w:rPr>
        <w:b/>
        <w:noProof/>
        <w:sz w:val="18"/>
      </w:rPr>
      <w:t>20</w:t>
    </w:r>
    <w:r w:rsidRPr="000315E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0315ED" w:rsidRDefault="00831D59" w:rsidP="000315ED">
    <w:pPr>
      <w:pStyle w:val="Footer"/>
      <w:tabs>
        <w:tab w:val="right" w:pos="9638"/>
      </w:tabs>
      <w:rPr>
        <w:b/>
        <w:sz w:val="18"/>
      </w:rPr>
    </w:pPr>
    <w:r>
      <w:tab/>
    </w:r>
    <w:r w:rsidRPr="000315ED">
      <w:rPr>
        <w:b/>
        <w:sz w:val="18"/>
      </w:rPr>
      <w:fldChar w:fldCharType="begin"/>
    </w:r>
    <w:r w:rsidRPr="000315ED">
      <w:rPr>
        <w:b/>
        <w:sz w:val="18"/>
      </w:rPr>
      <w:instrText xml:space="preserve"> PAGE  \* MERGEFORMAT </w:instrText>
    </w:r>
    <w:r w:rsidRPr="000315ED">
      <w:rPr>
        <w:b/>
        <w:sz w:val="18"/>
      </w:rPr>
      <w:fldChar w:fldCharType="separate"/>
    </w:r>
    <w:r w:rsidR="006A6679">
      <w:rPr>
        <w:b/>
        <w:noProof/>
        <w:sz w:val="18"/>
      </w:rPr>
      <w:t>21</w:t>
    </w:r>
    <w:r w:rsidRPr="000315E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0315ED" w:rsidRDefault="00AE7413" w:rsidP="00542574">
    <w:r>
      <w:rPr>
        <w:noProof/>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831D59">
      <w:t>GE.15-</w:t>
    </w:r>
    <w:r w:rsidR="008E12BC">
      <w:t>07023</w:t>
    </w:r>
    <w:r w:rsidR="00A05D8D">
      <w:t xml:space="preserve"> </w:t>
    </w:r>
    <w:r w:rsidR="008E12BC">
      <w:t xml:space="preserve"> (E)</w:t>
    </w:r>
    <w:r w:rsidR="00A05D8D">
      <w:br/>
    </w:r>
    <w:r w:rsidR="00A05D8D" w:rsidRPr="00A05D8D">
      <w:rPr>
        <w:rFonts w:ascii="C39T30Lfz" w:hAnsi="C39T30Lfz"/>
        <w:sz w:val="56"/>
      </w:rPr>
      <w:t></w:t>
    </w:r>
    <w:r w:rsidR="00A05D8D" w:rsidRPr="00A05D8D">
      <w:rPr>
        <w:rFonts w:ascii="C39T30Lfz" w:hAnsi="C39T30Lfz"/>
        <w:sz w:val="56"/>
      </w:rPr>
      <w:t></w:t>
    </w:r>
    <w:r w:rsidR="00A05D8D" w:rsidRPr="00A05D8D">
      <w:rPr>
        <w:rFonts w:ascii="C39T30Lfz" w:hAnsi="C39T30Lfz"/>
        <w:sz w:val="56"/>
      </w:rPr>
      <w:t></w:t>
    </w:r>
    <w:r w:rsidR="00A05D8D" w:rsidRPr="00A05D8D">
      <w:rPr>
        <w:rFonts w:ascii="C39T30Lfz" w:hAnsi="C39T30Lfz"/>
        <w:sz w:val="56"/>
      </w:rPr>
      <w:t></w:t>
    </w:r>
    <w:r w:rsidR="00A05D8D" w:rsidRPr="00A05D8D">
      <w:rPr>
        <w:rFonts w:ascii="C39T30Lfz" w:hAnsi="C39T30Lfz"/>
        <w:sz w:val="56"/>
      </w:rPr>
      <w:t></w:t>
    </w:r>
    <w:r w:rsidR="00A05D8D" w:rsidRPr="00A05D8D">
      <w:rPr>
        <w:rFonts w:ascii="C39T30Lfz" w:hAnsi="C39T30Lfz"/>
        <w:sz w:val="56"/>
      </w:rPr>
      <w:t></w:t>
    </w:r>
    <w:r w:rsidR="00A05D8D" w:rsidRPr="00A05D8D">
      <w:rPr>
        <w:rFonts w:ascii="C39T30Lfz" w:hAnsi="C39T30Lfz"/>
        <w:sz w:val="56"/>
      </w:rPr>
      <w:t></w:t>
    </w:r>
    <w:r w:rsidR="00A05D8D" w:rsidRPr="00A05D8D">
      <w:rPr>
        <w:rFonts w:ascii="C39T30Lfz" w:hAnsi="C39T30Lfz"/>
        <w:sz w:val="56"/>
      </w:rPr>
      <w:t></w:t>
    </w:r>
    <w:r w:rsidR="00A05D8D" w:rsidRPr="00A05D8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52" w:rsidRPr="000B175B" w:rsidRDefault="00B53C52" w:rsidP="000B175B">
      <w:pPr>
        <w:tabs>
          <w:tab w:val="right" w:pos="2155"/>
        </w:tabs>
        <w:spacing w:after="80"/>
        <w:ind w:left="680"/>
        <w:rPr>
          <w:u w:val="single"/>
        </w:rPr>
      </w:pPr>
      <w:r>
        <w:rPr>
          <w:u w:val="single"/>
        </w:rPr>
        <w:tab/>
      </w:r>
    </w:p>
  </w:footnote>
  <w:footnote w:type="continuationSeparator" w:id="0">
    <w:p w:rsidR="00B53C52" w:rsidRPr="00FC68B7" w:rsidRDefault="00B53C52" w:rsidP="00FC68B7">
      <w:pPr>
        <w:tabs>
          <w:tab w:val="left" w:pos="2155"/>
        </w:tabs>
        <w:spacing w:after="80"/>
        <w:ind w:left="680"/>
        <w:rPr>
          <w:u w:val="single"/>
        </w:rPr>
      </w:pPr>
      <w:r>
        <w:rPr>
          <w:u w:val="single"/>
        </w:rPr>
        <w:tab/>
      </w:r>
    </w:p>
  </w:footnote>
  <w:footnote w:type="continuationNotice" w:id="1">
    <w:p w:rsidR="00B53C52" w:rsidRDefault="00B53C52"/>
  </w:footnote>
  <w:footnote w:id="2">
    <w:p w:rsidR="00831D59" w:rsidRPr="005378C6" w:rsidRDefault="00831D59">
      <w:pPr>
        <w:pStyle w:val="FootnoteText"/>
      </w:pPr>
      <w:r w:rsidRPr="00C22800">
        <w:rPr>
          <w:rStyle w:val="FootnoteReference"/>
          <w:vertAlign w:val="baseline"/>
        </w:rPr>
        <w:tab/>
      </w:r>
      <w:r w:rsidRPr="00C22800">
        <w:rPr>
          <w:rStyle w:val="FootnoteReference"/>
          <w:sz w:val="20"/>
        </w:rPr>
        <w:t>*</w:t>
      </w:r>
      <w:r>
        <w:rPr>
          <w:rStyle w:val="FootnoteReference"/>
          <w:sz w:val="20"/>
          <w:vertAlign w:val="baseline"/>
        </w:rPr>
        <w:tab/>
      </w:r>
      <w:r w:rsidRPr="00894D50">
        <w:rPr>
          <w:color w:val="000000"/>
          <w:szCs w:val="18"/>
        </w:rPr>
        <w:t xml:space="preserve">The summary of the present report is circulated in all official languages. The report itself, </w:t>
      </w:r>
      <w:r>
        <w:rPr>
          <w:color w:val="000000"/>
          <w:szCs w:val="18"/>
        </w:rPr>
        <w:t xml:space="preserve">which is </w:t>
      </w:r>
      <w:r w:rsidRPr="00894D50">
        <w:rPr>
          <w:color w:val="000000"/>
          <w:szCs w:val="18"/>
        </w:rPr>
        <w:t>annex</w:t>
      </w:r>
      <w:r>
        <w:rPr>
          <w:color w:val="000000"/>
          <w:szCs w:val="18"/>
        </w:rPr>
        <w:t>ed</w:t>
      </w:r>
      <w:r w:rsidRPr="00894D50">
        <w:rPr>
          <w:color w:val="000000"/>
          <w:szCs w:val="18"/>
        </w:rPr>
        <w:t xml:space="preserve"> to the summary, is circulated in the language of submission only.</w:t>
      </w:r>
    </w:p>
  </w:footnote>
  <w:footnote w:id="3">
    <w:p w:rsidR="006A4DC5" w:rsidRPr="0097035B" w:rsidRDefault="00831D59" w:rsidP="00422AA4">
      <w:pPr>
        <w:pStyle w:val="FootnoteText"/>
        <w:rPr>
          <w:szCs w:val="18"/>
          <w:lang w:val="fr-CH"/>
        </w:rPr>
      </w:pPr>
      <w:r w:rsidRPr="001F1849">
        <w:rPr>
          <w:szCs w:val="18"/>
        </w:rPr>
        <w:tab/>
      </w:r>
      <w:r w:rsidRPr="00D06973">
        <w:rPr>
          <w:rStyle w:val="FootnoteReference"/>
          <w:szCs w:val="18"/>
        </w:rPr>
        <w:footnoteRef/>
      </w:r>
      <w:r w:rsidRPr="0097035B">
        <w:rPr>
          <w:szCs w:val="18"/>
        </w:rPr>
        <w:tab/>
      </w:r>
      <w:r w:rsidRPr="00D06973">
        <w:rPr>
          <w:rStyle w:val="FootnoteReference"/>
          <w:szCs w:val="18"/>
          <w:vertAlign w:val="baseline"/>
          <w:lang w:val="en-GB"/>
        </w:rPr>
        <w:t>Available</w:t>
      </w:r>
      <w:r w:rsidRPr="0097035B">
        <w:rPr>
          <w:szCs w:val="18"/>
          <w:lang w:val="fr-CH"/>
        </w:rPr>
        <w:t xml:space="preserve"> from</w:t>
      </w:r>
    </w:p>
    <w:p w:rsidR="00831D59" w:rsidRPr="006A4DC5" w:rsidRDefault="006A4DC5" w:rsidP="006A4DC5">
      <w:pPr>
        <w:pStyle w:val="CommentText"/>
        <w:rPr>
          <w:sz w:val="18"/>
          <w:szCs w:val="18"/>
          <w:lang w:val="fr-CH"/>
        </w:rPr>
      </w:pPr>
      <w:r w:rsidRPr="00422AA4">
        <w:rPr>
          <w:sz w:val="18"/>
          <w:szCs w:val="18"/>
          <w:lang w:val="fr-CH"/>
        </w:rPr>
        <w:tab/>
      </w:r>
      <w:r w:rsidRPr="00422AA4">
        <w:rPr>
          <w:sz w:val="18"/>
          <w:szCs w:val="18"/>
          <w:lang w:val="fr-CH"/>
        </w:rPr>
        <w:tab/>
        <w:t>http://business-</w:t>
      </w:r>
      <w:r w:rsidR="00AA7BA5">
        <w:rPr>
          <w:sz w:val="18"/>
          <w:szCs w:val="18"/>
          <w:lang w:val="fr-CH"/>
        </w:rPr>
        <w:t>h</w:t>
      </w:r>
      <w:r w:rsidRPr="00422AA4">
        <w:rPr>
          <w:sz w:val="18"/>
          <w:szCs w:val="18"/>
          <w:lang w:val="fr-CH"/>
        </w:rPr>
        <w:t>umanrights.org/sites/default/files/documents/Respect%20in%20Practice%20Report.pdf</w:t>
      </w:r>
      <w:r w:rsidR="00831D59" w:rsidRPr="006A4DC5">
        <w:rPr>
          <w:sz w:val="18"/>
          <w:szCs w:val="18"/>
          <w:lang w:val="fr-CH"/>
        </w:rPr>
        <w:t>.</w:t>
      </w:r>
    </w:p>
  </w:footnote>
  <w:footnote w:id="4">
    <w:p w:rsidR="00831D59" w:rsidRPr="00BB2E26" w:rsidRDefault="00831D59" w:rsidP="00C3165C">
      <w:pPr>
        <w:pStyle w:val="FootnoteText"/>
        <w:rPr>
          <w:szCs w:val="18"/>
          <w:lang w:val="en-GB"/>
        </w:rPr>
      </w:pPr>
      <w:r w:rsidRPr="006A4DC5">
        <w:rPr>
          <w:szCs w:val="18"/>
          <w:lang w:val="fr-CH"/>
        </w:rPr>
        <w:tab/>
      </w:r>
      <w:r w:rsidRPr="00BB2E26">
        <w:rPr>
          <w:rStyle w:val="FootnoteReference"/>
          <w:lang w:val="en-GB"/>
        </w:rPr>
        <w:footnoteRef/>
      </w:r>
      <w:r w:rsidRPr="00BB2E26">
        <w:rPr>
          <w:szCs w:val="18"/>
          <w:lang w:val="en-GB"/>
        </w:rPr>
        <w:tab/>
        <w:t xml:space="preserve">The </w:t>
      </w:r>
      <w:r w:rsidRPr="00BB2E26">
        <w:rPr>
          <w:lang w:val="en-GB"/>
        </w:rPr>
        <w:t>Guiding Principles were</w:t>
      </w:r>
      <w:r w:rsidRPr="00BB2E26">
        <w:rPr>
          <w:szCs w:val="18"/>
          <w:lang w:val="en-GB"/>
        </w:rPr>
        <w:t xml:space="preserve"> endorsed by the Human Rights Council in its resolution 17/4. They are the first United Nations-backed framework to define the respective duties and responsibilities of Governments and business enterprises for preventing and addressing adverse human rights impacts arising from business activities. They apply to all States and business enterprises of all sizes and in all sectors and operating contexts.</w:t>
      </w:r>
    </w:p>
  </w:footnote>
  <w:footnote w:id="5">
    <w:p w:rsidR="00831D59" w:rsidRPr="00BB2E26" w:rsidRDefault="00831D59" w:rsidP="00E12308">
      <w:pPr>
        <w:pStyle w:val="FootnoteText"/>
        <w:rPr>
          <w:szCs w:val="18"/>
          <w:lang w:val="en-GB"/>
        </w:rPr>
      </w:pPr>
      <w:r w:rsidRPr="00BB2E26">
        <w:rPr>
          <w:szCs w:val="18"/>
          <w:lang w:val="en-GB"/>
        </w:rPr>
        <w:tab/>
      </w:r>
      <w:r w:rsidRPr="00BB2E26">
        <w:rPr>
          <w:rStyle w:val="FootnoteReference"/>
          <w:lang w:val="en-GB"/>
        </w:rPr>
        <w:footnoteRef/>
      </w:r>
      <w:r w:rsidRPr="00BB2E26">
        <w:rPr>
          <w:szCs w:val="18"/>
          <w:lang w:val="en-GB"/>
        </w:rPr>
        <w:tab/>
        <w:t>The other themes were the role of public policy and national action plans, ways to enhance accountability and access to effective remedy for victims of business-related human rights abuse, and the integration of the Guiding Principles in global governance structures.</w:t>
      </w:r>
    </w:p>
  </w:footnote>
  <w:footnote w:id="6">
    <w:p w:rsidR="00831D59" w:rsidRPr="001E1C19" w:rsidRDefault="00831D59" w:rsidP="00133D26">
      <w:pPr>
        <w:pStyle w:val="FootnoteText"/>
        <w:rPr>
          <w:szCs w:val="18"/>
        </w:rPr>
      </w:pPr>
      <w:r w:rsidRPr="00BB2E26">
        <w:rPr>
          <w:szCs w:val="18"/>
          <w:lang w:val="en-GB"/>
        </w:rPr>
        <w:tab/>
      </w:r>
      <w:r w:rsidRPr="00BB2E26">
        <w:rPr>
          <w:rStyle w:val="FootnoteReference"/>
          <w:lang w:val="en-GB"/>
        </w:rPr>
        <w:footnoteRef/>
      </w:r>
      <w:r w:rsidRPr="00BB2E26">
        <w:rPr>
          <w:szCs w:val="18"/>
          <w:lang w:val="en-GB"/>
        </w:rPr>
        <w:tab/>
        <w:t>The concept note for the session, which includes further background and the names of panellists, is available from www.ohchr.org/EN/Issues/Business/Forum/Pages/2014ForumParallelUNled.aspx. The Working Group also convened other ”good practice” oriented sessions at the Forum in collaboration</w:t>
      </w:r>
      <w:r w:rsidRPr="001F1849">
        <w:rPr>
          <w:szCs w:val="18"/>
        </w:rPr>
        <w:t xml:space="preserve"> with other organizations</w:t>
      </w:r>
      <w:r>
        <w:rPr>
          <w:szCs w:val="18"/>
        </w:rPr>
        <w:t>:</w:t>
      </w:r>
      <w:r w:rsidRPr="001F1849">
        <w:rPr>
          <w:szCs w:val="18"/>
        </w:rPr>
        <w:t xml:space="preserve"> a panel </w:t>
      </w:r>
      <w:r>
        <w:rPr>
          <w:szCs w:val="18"/>
        </w:rPr>
        <w:t xml:space="preserve">discussion </w:t>
      </w:r>
      <w:r w:rsidRPr="001F1849">
        <w:rPr>
          <w:szCs w:val="18"/>
        </w:rPr>
        <w:t xml:space="preserve">on </w:t>
      </w:r>
      <w:r>
        <w:rPr>
          <w:szCs w:val="18"/>
        </w:rPr>
        <w:t>m</w:t>
      </w:r>
      <w:r w:rsidRPr="001F1849">
        <w:rPr>
          <w:szCs w:val="18"/>
        </w:rPr>
        <w:t>eaningful stakeholder engagement in human rights due diligence</w:t>
      </w:r>
      <w:r>
        <w:rPr>
          <w:szCs w:val="18"/>
        </w:rPr>
        <w:t>,</w:t>
      </w:r>
      <w:r w:rsidRPr="001F1849">
        <w:rPr>
          <w:szCs w:val="18"/>
        </w:rPr>
        <w:t xml:space="preserve"> and another on </w:t>
      </w:r>
      <w:r>
        <w:rPr>
          <w:szCs w:val="18"/>
        </w:rPr>
        <w:t>s</w:t>
      </w:r>
      <w:r w:rsidRPr="001F1849">
        <w:rPr>
          <w:szCs w:val="18"/>
        </w:rPr>
        <w:t>upporting and protecting human rights defenders who work on issues of corporate responsibility and accountability. Both provided valuable insights on elements of good practice relating to implementation of the corporate responsibility to respect. Summaries of the discussions are available in the</w:t>
      </w:r>
      <w:r w:rsidRPr="00BB2E26">
        <w:rPr>
          <w:szCs w:val="18"/>
        </w:rPr>
        <w:t xml:space="preserve"> </w:t>
      </w:r>
      <w:r>
        <w:rPr>
          <w:szCs w:val="18"/>
        </w:rPr>
        <w:t>s</w:t>
      </w:r>
      <w:r w:rsidRPr="00BB2E26">
        <w:rPr>
          <w:szCs w:val="18"/>
        </w:rPr>
        <w:t>ummary of discussions of the Forum on Business and</w:t>
      </w:r>
      <w:r>
        <w:rPr>
          <w:szCs w:val="18"/>
        </w:rPr>
        <w:t xml:space="preserve"> </w:t>
      </w:r>
      <w:r w:rsidRPr="00BB2E26">
        <w:rPr>
          <w:szCs w:val="18"/>
        </w:rPr>
        <w:t xml:space="preserve">Human Rights, prepared by the Chair, Mo Ibrahim </w:t>
      </w:r>
      <w:r w:rsidRPr="001F1849">
        <w:rPr>
          <w:szCs w:val="18"/>
        </w:rPr>
        <w:t xml:space="preserve">(A/HRC/FBHR/2014/3). </w:t>
      </w:r>
    </w:p>
  </w:footnote>
  <w:footnote w:id="7">
    <w:p w:rsidR="00831D59" w:rsidRDefault="00831D59" w:rsidP="005B6AF1">
      <w:pPr>
        <w:pStyle w:val="FootnoteText"/>
      </w:pPr>
      <w:r>
        <w:tab/>
      </w:r>
      <w:r>
        <w:rPr>
          <w:rStyle w:val="FootnoteReference"/>
        </w:rPr>
        <w:footnoteRef/>
      </w:r>
      <w:r>
        <w:tab/>
        <w:t xml:space="preserve">See </w:t>
      </w:r>
      <w:r w:rsidRPr="005B6AF1">
        <w:t>www.ipieca.org/publication/community-grievance-mechanisms-toolbox</w:t>
      </w:r>
      <w:r>
        <w:t>.</w:t>
      </w:r>
    </w:p>
  </w:footnote>
  <w:footnote w:id="8">
    <w:p w:rsidR="00831D59" w:rsidRDefault="00831D59" w:rsidP="005B6AF1">
      <w:pPr>
        <w:pStyle w:val="FootnoteText"/>
      </w:pPr>
      <w:r>
        <w:tab/>
      </w:r>
      <w:r>
        <w:rPr>
          <w:rStyle w:val="FootnoteReference"/>
        </w:rPr>
        <w:footnoteRef/>
      </w:r>
      <w:r>
        <w:tab/>
        <w:t xml:space="preserve">See </w:t>
      </w:r>
      <w:r w:rsidRPr="005B6AF1">
        <w:t>www.ipieca.org/publication/community-grievance-mechanisms-oil-and-gas-industry-manual-implementing-operational-leve</w:t>
      </w:r>
      <w:r>
        <w:t>.</w:t>
      </w:r>
    </w:p>
  </w:footnote>
  <w:footnote w:id="9">
    <w:p w:rsidR="00831D59" w:rsidRPr="001F1849" w:rsidRDefault="00831D59" w:rsidP="00D62519">
      <w:pPr>
        <w:pStyle w:val="EndnoteText"/>
        <w:rPr>
          <w:szCs w:val="18"/>
        </w:rPr>
      </w:pPr>
      <w:r w:rsidRPr="001E1C19">
        <w:rPr>
          <w:szCs w:val="18"/>
        </w:rPr>
        <w:tab/>
      </w:r>
      <w:r w:rsidRPr="00937FFD">
        <w:rPr>
          <w:rStyle w:val="FootnoteReference"/>
        </w:rPr>
        <w:footnoteRef/>
      </w:r>
      <w:r w:rsidRPr="001F1849">
        <w:rPr>
          <w:szCs w:val="18"/>
        </w:rPr>
        <w:tab/>
        <w:t>There are now 42 such agreements in diverse sectors. It was noted that the Accord</w:t>
      </w:r>
      <w:r>
        <w:rPr>
          <w:szCs w:val="18"/>
        </w:rPr>
        <w:t xml:space="preserve"> on Fire and Building Safety in </w:t>
      </w:r>
      <w:r w:rsidRPr="001F1849">
        <w:rPr>
          <w:szCs w:val="18"/>
        </w:rPr>
        <w:t>Bangladesh</w:t>
      </w:r>
      <w:r>
        <w:rPr>
          <w:szCs w:val="18"/>
        </w:rPr>
        <w:t>,</w:t>
      </w:r>
      <w:r w:rsidRPr="001F1849">
        <w:rPr>
          <w:szCs w:val="18"/>
        </w:rPr>
        <w:t xml:space="preserve"> which includes a </w:t>
      </w:r>
      <w:r>
        <w:rPr>
          <w:szCs w:val="18"/>
        </w:rPr>
        <w:t xml:space="preserve">legally </w:t>
      </w:r>
      <w:r w:rsidRPr="001F1849">
        <w:rPr>
          <w:szCs w:val="18"/>
        </w:rPr>
        <w:t xml:space="preserve">binding agreement between 190 </w:t>
      </w:r>
      <w:r>
        <w:rPr>
          <w:szCs w:val="18"/>
        </w:rPr>
        <w:t>brands,</w:t>
      </w:r>
      <w:r w:rsidRPr="001F1849">
        <w:rPr>
          <w:szCs w:val="18"/>
        </w:rPr>
        <w:t xml:space="preserve"> </w:t>
      </w:r>
      <w:r w:rsidR="00D62519">
        <w:rPr>
          <w:szCs w:val="18"/>
        </w:rPr>
        <w:t>had been</w:t>
      </w:r>
      <w:r w:rsidRPr="001F1849">
        <w:rPr>
          <w:szCs w:val="18"/>
        </w:rPr>
        <w:t xml:space="preserve"> </w:t>
      </w:r>
      <w:r>
        <w:rPr>
          <w:szCs w:val="18"/>
        </w:rPr>
        <w:t xml:space="preserve">the result </w:t>
      </w:r>
      <w:r w:rsidRPr="001F1849">
        <w:rPr>
          <w:szCs w:val="18"/>
        </w:rPr>
        <w:t xml:space="preserve">of </w:t>
      </w:r>
      <w:r>
        <w:rPr>
          <w:szCs w:val="18"/>
        </w:rPr>
        <w:t xml:space="preserve">the </w:t>
      </w:r>
      <w:r w:rsidRPr="001F1849">
        <w:rPr>
          <w:szCs w:val="18"/>
        </w:rPr>
        <w:t>promoti</w:t>
      </w:r>
      <w:r>
        <w:rPr>
          <w:szCs w:val="18"/>
        </w:rPr>
        <w:t>o</w:t>
      </w:r>
      <w:r w:rsidRPr="001F1849">
        <w:rPr>
          <w:szCs w:val="18"/>
        </w:rPr>
        <w:t xml:space="preserve">n </w:t>
      </w:r>
      <w:r>
        <w:rPr>
          <w:szCs w:val="18"/>
        </w:rPr>
        <w:t xml:space="preserve">of </w:t>
      </w:r>
      <w:r w:rsidRPr="001F1849">
        <w:rPr>
          <w:szCs w:val="18"/>
        </w:rPr>
        <w:t xml:space="preserve">such arrangements. </w:t>
      </w:r>
    </w:p>
  </w:footnote>
  <w:footnote w:id="10">
    <w:p w:rsidR="00831D59" w:rsidRPr="001F1849" w:rsidRDefault="00831D59" w:rsidP="005C05D7">
      <w:pPr>
        <w:pStyle w:val="EndnoteText"/>
        <w:rPr>
          <w:szCs w:val="18"/>
        </w:rPr>
      </w:pPr>
      <w:r w:rsidRPr="001F1849">
        <w:rPr>
          <w:szCs w:val="18"/>
        </w:rPr>
        <w:tab/>
      </w:r>
      <w:r w:rsidRPr="00937FFD">
        <w:rPr>
          <w:rStyle w:val="FootnoteReference"/>
        </w:rPr>
        <w:footnoteRef/>
      </w:r>
      <w:r w:rsidRPr="001F1849">
        <w:rPr>
          <w:szCs w:val="18"/>
        </w:rPr>
        <w:tab/>
        <w:t>Microsoft was also scheduled to join the discussion, but had to cancel. However, Microsoft encouraged Ranking Digital Rights to proceed alone</w:t>
      </w:r>
      <w:r w:rsidR="00D704BC">
        <w:rPr>
          <w:szCs w:val="18"/>
        </w:rPr>
        <w:t xml:space="preserve">, thus giving </w:t>
      </w:r>
      <w:r w:rsidRPr="001F1849">
        <w:rPr>
          <w:szCs w:val="18"/>
        </w:rPr>
        <w:t xml:space="preserve">a clear </w:t>
      </w:r>
      <w:r w:rsidR="005C05D7">
        <w:rPr>
          <w:szCs w:val="18"/>
        </w:rPr>
        <w:t xml:space="preserve">indication </w:t>
      </w:r>
      <w:r w:rsidRPr="001F1849">
        <w:rPr>
          <w:szCs w:val="18"/>
        </w:rPr>
        <w:t xml:space="preserve">of the </w:t>
      </w:r>
      <w:r w:rsidR="005C05D7">
        <w:rPr>
          <w:szCs w:val="18"/>
        </w:rPr>
        <w:t xml:space="preserve">level of </w:t>
      </w:r>
      <w:r w:rsidRPr="001F1849">
        <w:rPr>
          <w:szCs w:val="18"/>
        </w:rPr>
        <w:t xml:space="preserve">trust and dialogue </w:t>
      </w:r>
      <w:r w:rsidR="005C05D7">
        <w:rPr>
          <w:szCs w:val="18"/>
        </w:rPr>
        <w:t xml:space="preserve">that exists </w:t>
      </w:r>
      <w:r w:rsidRPr="001F1849">
        <w:rPr>
          <w:szCs w:val="18"/>
        </w:rPr>
        <w:t xml:space="preserve">between the two </w:t>
      </w:r>
      <w:r w:rsidR="00D704BC">
        <w:rPr>
          <w:szCs w:val="18"/>
        </w:rPr>
        <w:t>entities</w:t>
      </w:r>
      <w:r w:rsidRPr="001F1849">
        <w:rPr>
          <w:szCs w:val="18"/>
        </w:rPr>
        <w:t>.</w:t>
      </w:r>
    </w:p>
  </w:footnote>
  <w:footnote w:id="11">
    <w:p w:rsidR="00831D59" w:rsidRPr="001F1849" w:rsidRDefault="00831D59" w:rsidP="005810F9">
      <w:pPr>
        <w:pStyle w:val="FootnoteText"/>
        <w:rPr>
          <w:szCs w:val="18"/>
        </w:rPr>
      </w:pPr>
      <w:r w:rsidRPr="00422AA4">
        <w:rPr>
          <w:szCs w:val="18"/>
        </w:rPr>
        <w:tab/>
      </w:r>
      <w:r w:rsidRPr="00937FFD">
        <w:rPr>
          <w:rStyle w:val="FootnoteReference"/>
        </w:rPr>
        <w:footnoteRef/>
      </w:r>
      <w:r w:rsidRPr="00422AA4">
        <w:rPr>
          <w:szCs w:val="18"/>
        </w:rPr>
        <w:tab/>
      </w:r>
      <w:r w:rsidRPr="001F1849">
        <w:rPr>
          <w:szCs w:val="18"/>
        </w:rPr>
        <w:t>The panel included representatives from the Government</w:t>
      </w:r>
      <w:r w:rsidR="005810F9">
        <w:rPr>
          <w:szCs w:val="18"/>
        </w:rPr>
        <w:t>s</w:t>
      </w:r>
      <w:r w:rsidRPr="001F1849">
        <w:rPr>
          <w:szCs w:val="18"/>
        </w:rPr>
        <w:t xml:space="preserve"> of Colombia and the United Kingdom</w:t>
      </w:r>
      <w:r w:rsidR="006E5EF0">
        <w:rPr>
          <w:szCs w:val="18"/>
        </w:rPr>
        <w:t xml:space="preserve"> </w:t>
      </w:r>
      <w:r w:rsidR="006E5EF0" w:rsidRPr="006E5EF0">
        <w:rPr>
          <w:szCs w:val="18"/>
        </w:rPr>
        <w:t>of Great Britain and Northern Ireland</w:t>
      </w:r>
      <w:r w:rsidRPr="001F1849">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0315ED" w:rsidRDefault="00831D59">
    <w:pPr>
      <w:pStyle w:val="Header"/>
    </w:pPr>
    <w:r>
      <w:t>A/HRC/29/28/Add.3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0315ED" w:rsidRDefault="00831D59" w:rsidP="000315ED">
    <w:pPr>
      <w:pStyle w:val="Header"/>
      <w:jc w:val="right"/>
    </w:pPr>
    <w:r>
      <w:t>A/HRC/29/28/Add.3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AE2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524801"/>
    <w:multiLevelType w:val="hybridMultilevel"/>
    <w:tmpl w:val="03B8EC6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C459C8"/>
    <w:multiLevelType w:val="hybridMultilevel"/>
    <w:tmpl w:val="4B44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92469"/>
    <w:multiLevelType w:val="hybridMultilevel"/>
    <w:tmpl w:val="1A5A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86578"/>
    <w:multiLevelType w:val="hybridMultilevel"/>
    <w:tmpl w:val="CD48E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9C0137D"/>
    <w:multiLevelType w:val="hybridMultilevel"/>
    <w:tmpl w:val="7C78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92D20"/>
    <w:multiLevelType w:val="hybridMultilevel"/>
    <w:tmpl w:val="B58E7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7E7F36"/>
    <w:multiLevelType w:val="hybridMultilevel"/>
    <w:tmpl w:val="0EAAF32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C7EEB"/>
    <w:multiLevelType w:val="hybridMultilevel"/>
    <w:tmpl w:val="C05E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05A72"/>
    <w:multiLevelType w:val="hybridMultilevel"/>
    <w:tmpl w:val="7FC63572"/>
    <w:lvl w:ilvl="0" w:tplc="F1201C6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EB27F69"/>
    <w:multiLevelType w:val="hybridMultilevel"/>
    <w:tmpl w:val="8B68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B64D5"/>
    <w:multiLevelType w:val="hybridMultilevel"/>
    <w:tmpl w:val="E292ABF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8826212"/>
    <w:multiLevelType w:val="hybridMultilevel"/>
    <w:tmpl w:val="1E703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15569E0"/>
    <w:multiLevelType w:val="hybridMultilevel"/>
    <w:tmpl w:val="F082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F3B02"/>
    <w:multiLevelType w:val="hybridMultilevel"/>
    <w:tmpl w:val="F178488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nsid w:val="57CE445F"/>
    <w:multiLevelType w:val="hybridMultilevel"/>
    <w:tmpl w:val="8AA8C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1BD537D"/>
    <w:multiLevelType w:val="hybridMultilevel"/>
    <w:tmpl w:val="516AAC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FDF1B98"/>
    <w:multiLevelType w:val="hybridMultilevel"/>
    <w:tmpl w:val="CD6E7FAC"/>
    <w:lvl w:ilvl="0" w:tplc="61C8A2F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70506AE0"/>
    <w:multiLevelType w:val="hybridMultilevel"/>
    <w:tmpl w:val="C876D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32762B6"/>
    <w:multiLevelType w:val="hybridMultilevel"/>
    <w:tmpl w:val="360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383619"/>
    <w:multiLevelType w:val="hybridMultilevel"/>
    <w:tmpl w:val="3B20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3"/>
  </w:num>
  <w:num w:numId="4">
    <w:abstractNumId w:val="4"/>
  </w:num>
  <w:num w:numId="5">
    <w:abstractNumId w:val="1"/>
  </w:num>
  <w:num w:numId="6">
    <w:abstractNumId w:val="3"/>
  </w:num>
  <w:num w:numId="7">
    <w:abstractNumId w:val="22"/>
  </w:num>
  <w:num w:numId="8">
    <w:abstractNumId w:val="6"/>
  </w:num>
  <w:num w:numId="9">
    <w:abstractNumId w:val="19"/>
  </w:num>
  <w:num w:numId="10">
    <w:abstractNumId w:val="9"/>
  </w:num>
  <w:num w:numId="11">
    <w:abstractNumId w:val="21"/>
  </w:num>
  <w:num w:numId="12">
    <w:abstractNumId w:val="18"/>
  </w:num>
  <w:num w:numId="13">
    <w:abstractNumId w:val="5"/>
  </w:num>
  <w:num w:numId="14">
    <w:abstractNumId w:val="15"/>
  </w:num>
  <w:num w:numId="15">
    <w:abstractNumId w:val="8"/>
  </w:num>
  <w:num w:numId="16">
    <w:abstractNumId w:val="13"/>
  </w:num>
  <w:num w:numId="17">
    <w:abstractNumId w:val="27"/>
  </w:num>
  <w:num w:numId="18">
    <w:abstractNumId w:val="26"/>
  </w:num>
  <w:num w:numId="19">
    <w:abstractNumId w:val="7"/>
  </w:num>
  <w:num w:numId="20">
    <w:abstractNumId w:val="17"/>
  </w:num>
  <w:num w:numId="21">
    <w:abstractNumId w:val="25"/>
  </w:num>
  <w:num w:numId="22">
    <w:abstractNumId w:val="20"/>
  </w:num>
  <w:num w:numId="23">
    <w:abstractNumId w:val="14"/>
  </w:num>
  <w:num w:numId="24">
    <w:abstractNumId w:val="16"/>
  </w:num>
  <w:num w:numId="25">
    <w:abstractNumId w:val="2"/>
  </w:num>
  <w:num w:numId="26">
    <w:abstractNumId w:val="0"/>
  </w:num>
  <w:num w:numId="27">
    <w:abstractNumId w:val="11"/>
  </w:num>
  <w:num w:numId="28">
    <w:abstractNumId w:val="24"/>
  </w:num>
  <w:num w:numId="29">
    <w:abstractNumId w:val="3"/>
  </w:num>
  <w:num w:numId="30">
    <w:abstractNumId w:val="3"/>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ED"/>
    <w:rsid w:val="00001F80"/>
    <w:rsid w:val="000024A0"/>
    <w:rsid w:val="00007F7F"/>
    <w:rsid w:val="00022DB5"/>
    <w:rsid w:val="000315ED"/>
    <w:rsid w:val="000403D1"/>
    <w:rsid w:val="000449AA"/>
    <w:rsid w:val="00050F6B"/>
    <w:rsid w:val="000722B8"/>
    <w:rsid w:val="00072911"/>
    <w:rsid w:val="00072C8C"/>
    <w:rsid w:val="00073E70"/>
    <w:rsid w:val="00075E87"/>
    <w:rsid w:val="00084098"/>
    <w:rsid w:val="000876EB"/>
    <w:rsid w:val="00091419"/>
    <w:rsid w:val="000931C0"/>
    <w:rsid w:val="00095F87"/>
    <w:rsid w:val="000A617E"/>
    <w:rsid w:val="000A7F43"/>
    <w:rsid w:val="000B175B"/>
    <w:rsid w:val="000B3A0F"/>
    <w:rsid w:val="000B4A3B"/>
    <w:rsid w:val="000D1851"/>
    <w:rsid w:val="000D5129"/>
    <w:rsid w:val="000E0415"/>
    <w:rsid w:val="000F0E9E"/>
    <w:rsid w:val="000F7110"/>
    <w:rsid w:val="00133D26"/>
    <w:rsid w:val="00146B06"/>
    <w:rsid w:val="00146D32"/>
    <w:rsid w:val="001509BA"/>
    <w:rsid w:val="00161782"/>
    <w:rsid w:val="001809D1"/>
    <w:rsid w:val="001A1CF6"/>
    <w:rsid w:val="001A376C"/>
    <w:rsid w:val="001B0E95"/>
    <w:rsid w:val="001B17A1"/>
    <w:rsid w:val="001B4B04"/>
    <w:rsid w:val="001B77CB"/>
    <w:rsid w:val="001C2430"/>
    <w:rsid w:val="001C6663"/>
    <w:rsid w:val="001C7895"/>
    <w:rsid w:val="001D26DF"/>
    <w:rsid w:val="001D4B10"/>
    <w:rsid w:val="001E1C19"/>
    <w:rsid w:val="001E2790"/>
    <w:rsid w:val="001E7D86"/>
    <w:rsid w:val="001F1849"/>
    <w:rsid w:val="001F7CB1"/>
    <w:rsid w:val="00211E0B"/>
    <w:rsid w:val="00211E72"/>
    <w:rsid w:val="00214047"/>
    <w:rsid w:val="00216E21"/>
    <w:rsid w:val="0021728C"/>
    <w:rsid w:val="0021742F"/>
    <w:rsid w:val="0022130F"/>
    <w:rsid w:val="00233040"/>
    <w:rsid w:val="00237785"/>
    <w:rsid w:val="0023788C"/>
    <w:rsid w:val="002410DD"/>
    <w:rsid w:val="00241466"/>
    <w:rsid w:val="00253D58"/>
    <w:rsid w:val="002610E3"/>
    <w:rsid w:val="0027725F"/>
    <w:rsid w:val="00277D15"/>
    <w:rsid w:val="00280EAF"/>
    <w:rsid w:val="002878CB"/>
    <w:rsid w:val="00287DBD"/>
    <w:rsid w:val="00293AB1"/>
    <w:rsid w:val="002A2242"/>
    <w:rsid w:val="002B1486"/>
    <w:rsid w:val="002C21F0"/>
    <w:rsid w:val="002D2E15"/>
    <w:rsid w:val="002E5ABB"/>
    <w:rsid w:val="002F3FFD"/>
    <w:rsid w:val="00301EA6"/>
    <w:rsid w:val="003107FA"/>
    <w:rsid w:val="00317977"/>
    <w:rsid w:val="003229D8"/>
    <w:rsid w:val="003314D1"/>
    <w:rsid w:val="00335A2F"/>
    <w:rsid w:val="00341937"/>
    <w:rsid w:val="00344EB7"/>
    <w:rsid w:val="003645D6"/>
    <w:rsid w:val="00376822"/>
    <w:rsid w:val="00391AB8"/>
    <w:rsid w:val="0039277A"/>
    <w:rsid w:val="003972E0"/>
    <w:rsid w:val="003975ED"/>
    <w:rsid w:val="003A3987"/>
    <w:rsid w:val="003A4480"/>
    <w:rsid w:val="003A7BBC"/>
    <w:rsid w:val="003B47C0"/>
    <w:rsid w:val="003C2CC4"/>
    <w:rsid w:val="003D3645"/>
    <w:rsid w:val="003D4B23"/>
    <w:rsid w:val="003E0DC7"/>
    <w:rsid w:val="003E1A40"/>
    <w:rsid w:val="003E66C1"/>
    <w:rsid w:val="00422AA4"/>
    <w:rsid w:val="00424062"/>
    <w:rsid w:val="00424C80"/>
    <w:rsid w:val="004304A8"/>
    <w:rsid w:val="004325CB"/>
    <w:rsid w:val="0044503A"/>
    <w:rsid w:val="00446DE4"/>
    <w:rsid w:val="00447761"/>
    <w:rsid w:val="00451EC3"/>
    <w:rsid w:val="004721B1"/>
    <w:rsid w:val="00472C0D"/>
    <w:rsid w:val="004748EE"/>
    <w:rsid w:val="00474A26"/>
    <w:rsid w:val="004859EC"/>
    <w:rsid w:val="00496A15"/>
    <w:rsid w:val="004B5386"/>
    <w:rsid w:val="004B75D2"/>
    <w:rsid w:val="004D1140"/>
    <w:rsid w:val="004D3F5E"/>
    <w:rsid w:val="004E2463"/>
    <w:rsid w:val="004F4FF1"/>
    <w:rsid w:val="004F55ED"/>
    <w:rsid w:val="005078B0"/>
    <w:rsid w:val="005135E6"/>
    <w:rsid w:val="00514B92"/>
    <w:rsid w:val="0052176C"/>
    <w:rsid w:val="005261E5"/>
    <w:rsid w:val="00531207"/>
    <w:rsid w:val="00533CED"/>
    <w:rsid w:val="005378C6"/>
    <w:rsid w:val="00540891"/>
    <w:rsid w:val="005420F2"/>
    <w:rsid w:val="00542574"/>
    <w:rsid w:val="005436AB"/>
    <w:rsid w:val="00546DBF"/>
    <w:rsid w:val="00553D76"/>
    <w:rsid w:val="005552B5"/>
    <w:rsid w:val="0056117B"/>
    <w:rsid w:val="005708AB"/>
    <w:rsid w:val="00571365"/>
    <w:rsid w:val="005810F9"/>
    <w:rsid w:val="00582F43"/>
    <w:rsid w:val="0059319D"/>
    <w:rsid w:val="005B3DB3"/>
    <w:rsid w:val="005B6AF1"/>
    <w:rsid w:val="005B6E48"/>
    <w:rsid w:val="005C0092"/>
    <w:rsid w:val="005C05D7"/>
    <w:rsid w:val="005D0FC2"/>
    <w:rsid w:val="005E09AB"/>
    <w:rsid w:val="005E1712"/>
    <w:rsid w:val="00606310"/>
    <w:rsid w:val="00611FC4"/>
    <w:rsid w:val="006176FB"/>
    <w:rsid w:val="00640B26"/>
    <w:rsid w:val="00641BBD"/>
    <w:rsid w:val="006523C8"/>
    <w:rsid w:val="006524C7"/>
    <w:rsid w:val="0066086B"/>
    <w:rsid w:val="00670741"/>
    <w:rsid w:val="00681E68"/>
    <w:rsid w:val="00692125"/>
    <w:rsid w:val="00696BD6"/>
    <w:rsid w:val="006A2CB4"/>
    <w:rsid w:val="006A4DC5"/>
    <w:rsid w:val="006A6679"/>
    <w:rsid w:val="006A6B9D"/>
    <w:rsid w:val="006A7392"/>
    <w:rsid w:val="006B2648"/>
    <w:rsid w:val="006B3189"/>
    <w:rsid w:val="006B7D65"/>
    <w:rsid w:val="006C3E53"/>
    <w:rsid w:val="006D23C3"/>
    <w:rsid w:val="006D4B03"/>
    <w:rsid w:val="006D4D48"/>
    <w:rsid w:val="006D6601"/>
    <w:rsid w:val="006D6DA6"/>
    <w:rsid w:val="006E564B"/>
    <w:rsid w:val="006E5EF0"/>
    <w:rsid w:val="006F13F0"/>
    <w:rsid w:val="006F5035"/>
    <w:rsid w:val="006F7C72"/>
    <w:rsid w:val="0070229C"/>
    <w:rsid w:val="007065EB"/>
    <w:rsid w:val="00716853"/>
    <w:rsid w:val="00716AEA"/>
    <w:rsid w:val="00720183"/>
    <w:rsid w:val="007252B9"/>
    <w:rsid w:val="00725D86"/>
    <w:rsid w:val="0072632A"/>
    <w:rsid w:val="0074200B"/>
    <w:rsid w:val="0075649B"/>
    <w:rsid w:val="007629DD"/>
    <w:rsid w:val="007648F5"/>
    <w:rsid w:val="007654E3"/>
    <w:rsid w:val="00766BAD"/>
    <w:rsid w:val="007701CE"/>
    <w:rsid w:val="00772D09"/>
    <w:rsid w:val="0078004F"/>
    <w:rsid w:val="007A2FC8"/>
    <w:rsid w:val="007A37CB"/>
    <w:rsid w:val="007A6296"/>
    <w:rsid w:val="007B3555"/>
    <w:rsid w:val="007B3F8B"/>
    <w:rsid w:val="007B6BA5"/>
    <w:rsid w:val="007C1B62"/>
    <w:rsid w:val="007C3390"/>
    <w:rsid w:val="007C4F4B"/>
    <w:rsid w:val="007D2CDC"/>
    <w:rsid w:val="007D5327"/>
    <w:rsid w:val="007E422C"/>
    <w:rsid w:val="007F6611"/>
    <w:rsid w:val="00804E99"/>
    <w:rsid w:val="00807473"/>
    <w:rsid w:val="008155C3"/>
    <w:rsid w:val="00815D78"/>
    <w:rsid w:val="008175E9"/>
    <w:rsid w:val="0082243E"/>
    <w:rsid w:val="00822C1B"/>
    <w:rsid w:val="008242D7"/>
    <w:rsid w:val="00831D59"/>
    <w:rsid w:val="0083649B"/>
    <w:rsid w:val="00845B96"/>
    <w:rsid w:val="0084644C"/>
    <w:rsid w:val="00856CD2"/>
    <w:rsid w:val="00861BC6"/>
    <w:rsid w:val="00871FD5"/>
    <w:rsid w:val="008739F0"/>
    <w:rsid w:val="00876F1F"/>
    <w:rsid w:val="008979B1"/>
    <w:rsid w:val="008A6B25"/>
    <w:rsid w:val="008A6C4F"/>
    <w:rsid w:val="008B6788"/>
    <w:rsid w:val="008C1E4D"/>
    <w:rsid w:val="008C5447"/>
    <w:rsid w:val="008E0E46"/>
    <w:rsid w:val="008E12BC"/>
    <w:rsid w:val="008E626B"/>
    <w:rsid w:val="008E7818"/>
    <w:rsid w:val="0090452C"/>
    <w:rsid w:val="00907C3F"/>
    <w:rsid w:val="009158E8"/>
    <w:rsid w:val="0092237C"/>
    <w:rsid w:val="0093707B"/>
    <w:rsid w:val="00937FFD"/>
    <w:rsid w:val="009400EB"/>
    <w:rsid w:val="009427E3"/>
    <w:rsid w:val="00956A2A"/>
    <w:rsid w:val="00956D9B"/>
    <w:rsid w:val="00961415"/>
    <w:rsid w:val="00963CBA"/>
    <w:rsid w:val="009654B7"/>
    <w:rsid w:val="0097035B"/>
    <w:rsid w:val="00974930"/>
    <w:rsid w:val="009763B3"/>
    <w:rsid w:val="00991261"/>
    <w:rsid w:val="0099369F"/>
    <w:rsid w:val="009A0B83"/>
    <w:rsid w:val="009B3800"/>
    <w:rsid w:val="009B5209"/>
    <w:rsid w:val="009D22AC"/>
    <w:rsid w:val="009D50DB"/>
    <w:rsid w:val="009E1C4E"/>
    <w:rsid w:val="009E366E"/>
    <w:rsid w:val="009E7144"/>
    <w:rsid w:val="009F558A"/>
    <w:rsid w:val="00A01676"/>
    <w:rsid w:val="00A05D8D"/>
    <w:rsid w:val="00A05E0B"/>
    <w:rsid w:val="00A1427D"/>
    <w:rsid w:val="00A2114D"/>
    <w:rsid w:val="00A21846"/>
    <w:rsid w:val="00A23396"/>
    <w:rsid w:val="00A42743"/>
    <w:rsid w:val="00A4634F"/>
    <w:rsid w:val="00A51CF3"/>
    <w:rsid w:val="00A7254C"/>
    <w:rsid w:val="00A72F22"/>
    <w:rsid w:val="00A748A6"/>
    <w:rsid w:val="00A877F1"/>
    <w:rsid w:val="00A879A4"/>
    <w:rsid w:val="00A87E95"/>
    <w:rsid w:val="00A92E29"/>
    <w:rsid w:val="00AA6894"/>
    <w:rsid w:val="00AA68DE"/>
    <w:rsid w:val="00AA7BA5"/>
    <w:rsid w:val="00AC38AF"/>
    <w:rsid w:val="00AD09E9"/>
    <w:rsid w:val="00AE7413"/>
    <w:rsid w:val="00AF0576"/>
    <w:rsid w:val="00AF3829"/>
    <w:rsid w:val="00AF4DB9"/>
    <w:rsid w:val="00B037F0"/>
    <w:rsid w:val="00B14B14"/>
    <w:rsid w:val="00B2327D"/>
    <w:rsid w:val="00B23D8F"/>
    <w:rsid w:val="00B2718F"/>
    <w:rsid w:val="00B2794E"/>
    <w:rsid w:val="00B30179"/>
    <w:rsid w:val="00B3317B"/>
    <w:rsid w:val="00B334DC"/>
    <w:rsid w:val="00B34ADD"/>
    <w:rsid w:val="00B3631A"/>
    <w:rsid w:val="00B4130F"/>
    <w:rsid w:val="00B455B2"/>
    <w:rsid w:val="00B51CE2"/>
    <w:rsid w:val="00B53013"/>
    <w:rsid w:val="00B53C52"/>
    <w:rsid w:val="00B67F5E"/>
    <w:rsid w:val="00B71E96"/>
    <w:rsid w:val="00B73E65"/>
    <w:rsid w:val="00B76764"/>
    <w:rsid w:val="00B81E12"/>
    <w:rsid w:val="00B85817"/>
    <w:rsid w:val="00B87110"/>
    <w:rsid w:val="00B9481A"/>
    <w:rsid w:val="00B971B9"/>
    <w:rsid w:val="00B97FA8"/>
    <w:rsid w:val="00BA3F31"/>
    <w:rsid w:val="00BA52DE"/>
    <w:rsid w:val="00BA7A7C"/>
    <w:rsid w:val="00BB2E26"/>
    <w:rsid w:val="00BB5934"/>
    <w:rsid w:val="00BC1385"/>
    <w:rsid w:val="00BC2902"/>
    <w:rsid w:val="00BC74E9"/>
    <w:rsid w:val="00BD536C"/>
    <w:rsid w:val="00BE618E"/>
    <w:rsid w:val="00C02714"/>
    <w:rsid w:val="00C14AB2"/>
    <w:rsid w:val="00C16CE5"/>
    <w:rsid w:val="00C21E0C"/>
    <w:rsid w:val="00C22800"/>
    <w:rsid w:val="00C24693"/>
    <w:rsid w:val="00C277DC"/>
    <w:rsid w:val="00C310BD"/>
    <w:rsid w:val="00C315AC"/>
    <w:rsid w:val="00C3165C"/>
    <w:rsid w:val="00C35F0B"/>
    <w:rsid w:val="00C463DD"/>
    <w:rsid w:val="00C60C80"/>
    <w:rsid w:val="00C64458"/>
    <w:rsid w:val="00C745C3"/>
    <w:rsid w:val="00C960F2"/>
    <w:rsid w:val="00C96FDC"/>
    <w:rsid w:val="00CA2A58"/>
    <w:rsid w:val="00CA7B15"/>
    <w:rsid w:val="00CB2A94"/>
    <w:rsid w:val="00CC0B55"/>
    <w:rsid w:val="00CC5EF8"/>
    <w:rsid w:val="00CD6995"/>
    <w:rsid w:val="00CD7B96"/>
    <w:rsid w:val="00CE4A8F"/>
    <w:rsid w:val="00CF0214"/>
    <w:rsid w:val="00CF586F"/>
    <w:rsid w:val="00CF7D43"/>
    <w:rsid w:val="00D0230C"/>
    <w:rsid w:val="00D04D1E"/>
    <w:rsid w:val="00D06973"/>
    <w:rsid w:val="00D11129"/>
    <w:rsid w:val="00D124D9"/>
    <w:rsid w:val="00D2031B"/>
    <w:rsid w:val="00D22332"/>
    <w:rsid w:val="00D226FD"/>
    <w:rsid w:val="00D25FE2"/>
    <w:rsid w:val="00D43252"/>
    <w:rsid w:val="00D550F9"/>
    <w:rsid w:val="00D572B0"/>
    <w:rsid w:val="00D62519"/>
    <w:rsid w:val="00D62E90"/>
    <w:rsid w:val="00D63BD5"/>
    <w:rsid w:val="00D704BC"/>
    <w:rsid w:val="00D76BE5"/>
    <w:rsid w:val="00D7768A"/>
    <w:rsid w:val="00D8792B"/>
    <w:rsid w:val="00D978C6"/>
    <w:rsid w:val="00DA67AD"/>
    <w:rsid w:val="00DB18CE"/>
    <w:rsid w:val="00DB1ED9"/>
    <w:rsid w:val="00DB2CB3"/>
    <w:rsid w:val="00DC2E4A"/>
    <w:rsid w:val="00DD13AC"/>
    <w:rsid w:val="00DD19A1"/>
    <w:rsid w:val="00DD5C9D"/>
    <w:rsid w:val="00DE3EC0"/>
    <w:rsid w:val="00DF1191"/>
    <w:rsid w:val="00E11593"/>
    <w:rsid w:val="00E12308"/>
    <w:rsid w:val="00E12566"/>
    <w:rsid w:val="00E12B6B"/>
    <w:rsid w:val="00E130AB"/>
    <w:rsid w:val="00E268F0"/>
    <w:rsid w:val="00E33580"/>
    <w:rsid w:val="00E438D9"/>
    <w:rsid w:val="00E5077F"/>
    <w:rsid w:val="00E5644E"/>
    <w:rsid w:val="00E57CD6"/>
    <w:rsid w:val="00E630B9"/>
    <w:rsid w:val="00E63D4F"/>
    <w:rsid w:val="00E66A4A"/>
    <w:rsid w:val="00E70FB3"/>
    <w:rsid w:val="00E7260F"/>
    <w:rsid w:val="00E72A18"/>
    <w:rsid w:val="00E7755A"/>
    <w:rsid w:val="00E806EE"/>
    <w:rsid w:val="00E95D86"/>
    <w:rsid w:val="00E96630"/>
    <w:rsid w:val="00EA5053"/>
    <w:rsid w:val="00EA642B"/>
    <w:rsid w:val="00EB0FB9"/>
    <w:rsid w:val="00EB2261"/>
    <w:rsid w:val="00ED0CA9"/>
    <w:rsid w:val="00ED1EE4"/>
    <w:rsid w:val="00ED7A2A"/>
    <w:rsid w:val="00EE3641"/>
    <w:rsid w:val="00EF1D7F"/>
    <w:rsid w:val="00EF5BDB"/>
    <w:rsid w:val="00F0751E"/>
    <w:rsid w:val="00F07FD9"/>
    <w:rsid w:val="00F142C6"/>
    <w:rsid w:val="00F23933"/>
    <w:rsid w:val="00F24119"/>
    <w:rsid w:val="00F25881"/>
    <w:rsid w:val="00F36132"/>
    <w:rsid w:val="00F40E75"/>
    <w:rsid w:val="00F42CD9"/>
    <w:rsid w:val="00F52936"/>
    <w:rsid w:val="00F57EE3"/>
    <w:rsid w:val="00F61455"/>
    <w:rsid w:val="00F677CB"/>
    <w:rsid w:val="00F85C1E"/>
    <w:rsid w:val="00FA7DF3"/>
    <w:rsid w:val="00FC68B7"/>
    <w:rsid w:val="00FD7C12"/>
    <w:rsid w:val="00FE36B2"/>
    <w:rsid w:val="00FE4351"/>
    <w:rsid w:val="00FE489D"/>
    <w:rsid w:val="00FE5EB1"/>
    <w:rsid w:val="00FF1D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37FFD"/>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qFormat/>
    <w:rsid w:val="00937FF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aption">
    <w:name w:val="caption"/>
    <w:basedOn w:val="Normal"/>
    <w:next w:val="Normal"/>
    <w:qFormat/>
    <w:rsid w:val="007701CE"/>
    <w:pPr>
      <w:spacing w:before="120"/>
    </w:pPr>
    <w:rPr>
      <w:b/>
      <w:sz w:val="24"/>
      <w:szCs w:val="24"/>
    </w:rPr>
  </w:style>
  <w:style w:type="character" w:customStyle="1" w:styleId="HeaderChar">
    <w:name w:val="Header Char"/>
    <w:aliases w:val="6_G Char"/>
    <w:link w:val="Header"/>
    <w:uiPriority w:val="99"/>
    <w:rsid w:val="00C02714"/>
    <w:rPr>
      <w:b/>
      <w:sz w:val="18"/>
      <w:lang w:eastAsia="en-US"/>
    </w:rPr>
  </w:style>
  <w:style w:type="paragraph" w:customStyle="1" w:styleId="ColorfulList-Accent11">
    <w:name w:val="Colorful List - Accent 11"/>
    <w:basedOn w:val="Normal"/>
    <w:uiPriority w:val="34"/>
    <w:qFormat/>
    <w:rsid w:val="00C02714"/>
    <w:pPr>
      <w:suppressAutoHyphens w:val="0"/>
      <w:spacing w:after="200" w:line="276" w:lineRule="auto"/>
      <w:ind w:left="720"/>
      <w:contextualSpacing/>
    </w:pPr>
    <w:rPr>
      <w:rFonts w:ascii="Calibri" w:hAnsi="Calibri"/>
      <w:sz w:val="22"/>
      <w:szCs w:val="22"/>
      <w:lang w:eastAsia="en-GB"/>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1809D1"/>
    <w:rPr>
      <w:rFonts w:eastAsia="SimSun"/>
      <w:sz w:val="18"/>
    </w:rPr>
  </w:style>
  <w:style w:type="character" w:styleId="CommentReference">
    <w:name w:val="annotation reference"/>
    <w:uiPriority w:val="99"/>
    <w:rsid w:val="009B5209"/>
    <w:rPr>
      <w:sz w:val="16"/>
      <w:szCs w:val="16"/>
    </w:rPr>
  </w:style>
  <w:style w:type="paragraph" w:styleId="CommentText">
    <w:name w:val="annotation text"/>
    <w:basedOn w:val="Normal"/>
    <w:link w:val="CommentTextChar"/>
    <w:uiPriority w:val="99"/>
    <w:rsid w:val="009B5209"/>
    <w:rPr>
      <w:lang w:val="x-none"/>
    </w:rPr>
  </w:style>
  <w:style w:type="character" w:customStyle="1" w:styleId="CommentTextChar">
    <w:name w:val="Comment Text Char"/>
    <w:link w:val="CommentText"/>
    <w:uiPriority w:val="99"/>
    <w:rsid w:val="009B5209"/>
    <w:rPr>
      <w:lang w:eastAsia="en-US"/>
    </w:rPr>
  </w:style>
  <w:style w:type="paragraph" w:styleId="CommentSubject">
    <w:name w:val="annotation subject"/>
    <w:basedOn w:val="CommentText"/>
    <w:next w:val="CommentText"/>
    <w:link w:val="CommentSubjectChar"/>
    <w:rsid w:val="009B5209"/>
    <w:rPr>
      <w:b/>
      <w:bCs/>
    </w:rPr>
  </w:style>
  <w:style w:type="character" w:customStyle="1" w:styleId="CommentSubjectChar">
    <w:name w:val="Comment Subject Char"/>
    <w:link w:val="CommentSubject"/>
    <w:rsid w:val="009B5209"/>
    <w:rPr>
      <w:b/>
      <w:bCs/>
      <w:lang w:eastAsia="en-US"/>
    </w:rPr>
  </w:style>
  <w:style w:type="paragraph" w:styleId="BalloonText">
    <w:name w:val="Balloon Text"/>
    <w:basedOn w:val="Normal"/>
    <w:link w:val="BalloonTextChar"/>
    <w:rsid w:val="009B5209"/>
    <w:pPr>
      <w:spacing w:line="240" w:lineRule="auto"/>
    </w:pPr>
    <w:rPr>
      <w:rFonts w:ascii="Tahoma" w:hAnsi="Tahoma"/>
      <w:sz w:val="16"/>
      <w:szCs w:val="16"/>
      <w:lang w:val="x-none"/>
    </w:rPr>
  </w:style>
  <w:style w:type="character" w:customStyle="1" w:styleId="BalloonTextChar">
    <w:name w:val="Balloon Text Char"/>
    <w:link w:val="BalloonText"/>
    <w:rsid w:val="009B5209"/>
    <w:rPr>
      <w:rFonts w:ascii="Tahoma" w:hAnsi="Tahoma" w:cs="Tahoma"/>
      <w:sz w:val="16"/>
      <w:szCs w:val="16"/>
      <w:lang w:eastAsia="en-US"/>
    </w:rPr>
  </w:style>
  <w:style w:type="paragraph" w:styleId="ListParagraph">
    <w:name w:val="List Paragraph"/>
    <w:basedOn w:val="Normal"/>
    <w:uiPriority w:val="34"/>
    <w:qFormat/>
    <w:rsid w:val="00716853"/>
    <w:pPr>
      <w:suppressAutoHyphens w:val="0"/>
      <w:spacing w:after="200" w:line="276" w:lineRule="auto"/>
      <w:ind w:left="720"/>
      <w:contextualSpacing/>
    </w:pPr>
    <w:rPr>
      <w:rFonts w:ascii="Calibri" w:hAnsi="Calibri"/>
      <w:sz w:val="22"/>
      <w:szCs w:val="22"/>
      <w:lang w:eastAsia="en-GB"/>
    </w:rPr>
  </w:style>
  <w:style w:type="paragraph" w:styleId="Revision">
    <w:name w:val="Revision"/>
    <w:hidden/>
    <w:uiPriority w:val="99"/>
    <w:semiHidden/>
    <w:rsid w:val="008B678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caption"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37FFD"/>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Footnote Text Char Char Cha"/>
    <w:basedOn w:val="Normal"/>
    <w:link w:val="FootnoteTextChar"/>
    <w:qFormat/>
    <w:rsid w:val="00937FF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aption">
    <w:name w:val="caption"/>
    <w:basedOn w:val="Normal"/>
    <w:next w:val="Normal"/>
    <w:qFormat/>
    <w:rsid w:val="007701CE"/>
    <w:pPr>
      <w:spacing w:before="120"/>
    </w:pPr>
    <w:rPr>
      <w:b/>
      <w:sz w:val="24"/>
      <w:szCs w:val="24"/>
    </w:rPr>
  </w:style>
  <w:style w:type="character" w:customStyle="1" w:styleId="HeaderChar">
    <w:name w:val="Header Char"/>
    <w:aliases w:val="6_G Char"/>
    <w:link w:val="Header"/>
    <w:uiPriority w:val="99"/>
    <w:rsid w:val="00C02714"/>
    <w:rPr>
      <w:b/>
      <w:sz w:val="18"/>
      <w:lang w:eastAsia="en-US"/>
    </w:rPr>
  </w:style>
  <w:style w:type="paragraph" w:customStyle="1" w:styleId="ColorfulList-Accent11">
    <w:name w:val="Colorful List - Accent 11"/>
    <w:basedOn w:val="Normal"/>
    <w:uiPriority w:val="34"/>
    <w:qFormat/>
    <w:rsid w:val="00C02714"/>
    <w:pPr>
      <w:suppressAutoHyphens w:val="0"/>
      <w:spacing w:after="200" w:line="276" w:lineRule="auto"/>
      <w:ind w:left="720"/>
      <w:contextualSpacing/>
    </w:pPr>
    <w:rPr>
      <w:rFonts w:ascii="Calibri" w:hAnsi="Calibri"/>
      <w:sz w:val="22"/>
      <w:szCs w:val="22"/>
      <w:lang w:eastAsia="en-GB"/>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1809D1"/>
    <w:rPr>
      <w:rFonts w:eastAsia="SimSun"/>
      <w:sz w:val="18"/>
    </w:rPr>
  </w:style>
  <w:style w:type="character" w:styleId="CommentReference">
    <w:name w:val="annotation reference"/>
    <w:uiPriority w:val="99"/>
    <w:rsid w:val="009B5209"/>
    <w:rPr>
      <w:sz w:val="16"/>
      <w:szCs w:val="16"/>
    </w:rPr>
  </w:style>
  <w:style w:type="paragraph" w:styleId="CommentText">
    <w:name w:val="annotation text"/>
    <w:basedOn w:val="Normal"/>
    <w:link w:val="CommentTextChar"/>
    <w:uiPriority w:val="99"/>
    <w:rsid w:val="009B5209"/>
    <w:rPr>
      <w:lang w:val="x-none"/>
    </w:rPr>
  </w:style>
  <w:style w:type="character" w:customStyle="1" w:styleId="CommentTextChar">
    <w:name w:val="Comment Text Char"/>
    <w:link w:val="CommentText"/>
    <w:uiPriority w:val="99"/>
    <w:rsid w:val="009B5209"/>
    <w:rPr>
      <w:lang w:eastAsia="en-US"/>
    </w:rPr>
  </w:style>
  <w:style w:type="paragraph" w:styleId="CommentSubject">
    <w:name w:val="annotation subject"/>
    <w:basedOn w:val="CommentText"/>
    <w:next w:val="CommentText"/>
    <w:link w:val="CommentSubjectChar"/>
    <w:rsid w:val="009B5209"/>
    <w:rPr>
      <w:b/>
      <w:bCs/>
    </w:rPr>
  </w:style>
  <w:style w:type="character" w:customStyle="1" w:styleId="CommentSubjectChar">
    <w:name w:val="Comment Subject Char"/>
    <w:link w:val="CommentSubject"/>
    <w:rsid w:val="009B5209"/>
    <w:rPr>
      <w:b/>
      <w:bCs/>
      <w:lang w:eastAsia="en-US"/>
    </w:rPr>
  </w:style>
  <w:style w:type="paragraph" w:styleId="BalloonText">
    <w:name w:val="Balloon Text"/>
    <w:basedOn w:val="Normal"/>
    <w:link w:val="BalloonTextChar"/>
    <w:rsid w:val="009B5209"/>
    <w:pPr>
      <w:spacing w:line="240" w:lineRule="auto"/>
    </w:pPr>
    <w:rPr>
      <w:rFonts w:ascii="Tahoma" w:hAnsi="Tahoma"/>
      <w:sz w:val="16"/>
      <w:szCs w:val="16"/>
      <w:lang w:val="x-none"/>
    </w:rPr>
  </w:style>
  <w:style w:type="character" w:customStyle="1" w:styleId="BalloonTextChar">
    <w:name w:val="Balloon Text Char"/>
    <w:link w:val="BalloonText"/>
    <w:rsid w:val="009B5209"/>
    <w:rPr>
      <w:rFonts w:ascii="Tahoma" w:hAnsi="Tahoma" w:cs="Tahoma"/>
      <w:sz w:val="16"/>
      <w:szCs w:val="16"/>
      <w:lang w:eastAsia="en-US"/>
    </w:rPr>
  </w:style>
  <w:style w:type="paragraph" w:styleId="ListParagraph">
    <w:name w:val="List Paragraph"/>
    <w:basedOn w:val="Normal"/>
    <w:uiPriority w:val="34"/>
    <w:qFormat/>
    <w:rsid w:val="00716853"/>
    <w:pPr>
      <w:suppressAutoHyphens w:val="0"/>
      <w:spacing w:after="200" w:line="276" w:lineRule="auto"/>
      <w:ind w:left="720"/>
      <w:contextualSpacing/>
    </w:pPr>
    <w:rPr>
      <w:rFonts w:ascii="Calibri" w:hAnsi="Calibri"/>
      <w:sz w:val="22"/>
      <w:szCs w:val="22"/>
      <w:lang w:eastAsia="en-GB"/>
    </w:rPr>
  </w:style>
  <w:style w:type="paragraph" w:styleId="Revision">
    <w:name w:val="Revision"/>
    <w:hidden/>
    <w:uiPriority w:val="99"/>
    <w:semiHidden/>
    <w:rsid w:val="008B67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6622-7E7C-442A-BC24-877C2FCA728C}"/>
</file>

<file path=customXml/itemProps2.xml><?xml version="1.0" encoding="utf-8"?>
<ds:datastoreItem xmlns:ds="http://schemas.openxmlformats.org/officeDocument/2006/customXml" ds:itemID="{7657115D-E98E-42E0-A1B9-684B50C51CF7}"/>
</file>

<file path=customXml/itemProps3.xml><?xml version="1.0" encoding="utf-8"?>
<ds:datastoreItem xmlns:ds="http://schemas.openxmlformats.org/officeDocument/2006/customXml" ds:itemID="{DD160CE6-6C8F-4B11-9B7E-FB5B9FC4981E}"/>
</file>

<file path=customXml/itemProps4.xml><?xml version="1.0" encoding="utf-8"?>
<ds:datastoreItem xmlns:ds="http://schemas.openxmlformats.org/officeDocument/2006/customXml" ds:itemID="{462BF9DC-4D0E-483F-B557-125DCF915B15}"/>
</file>

<file path=docProps/app.xml><?xml version="1.0" encoding="utf-8"?>
<Properties xmlns="http://schemas.openxmlformats.org/officeDocument/2006/extended-properties" xmlns:vt="http://schemas.openxmlformats.org/officeDocument/2006/docPropsVTypes">
  <Template>A_E.dotm</Template>
  <TotalTime>1</TotalTime>
  <Pages>21</Pages>
  <Words>9645</Words>
  <Characters>54982</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human rights and transnational corporations and other business enterprises, Addendum - Identifying emerging approaches and lessons in English</dc:title>
  <dc:creator>Francesca Foppiano</dc:creator>
  <cp:lastModifiedBy>Brigoli</cp:lastModifiedBy>
  <cp:revision>2</cp:revision>
  <cp:lastPrinted>2015-03-18T12:16:00Z</cp:lastPrinted>
  <dcterms:created xsi:type="dcterms:W3CDTF">2015-04-02T14:50:00Z</dcterms:created>
  <dcterms:modified xsi:type="dcterms:W3CDTF">2015-04-02T14:50:00Z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