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page" w:horzAnchor="page" w:tblpX="1135" w:tblpY="568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3820"/>
        <w:gridCol w:w="195"/>
        <w:gridCol w:w="1525"/>
        <w:gridCol w:w="2819"/>
      </w:tblGrid>
      <w:tr w:rsidR="003A0687" w:rsidRPr="00E11B8F" w:rsidTr="006730C4">
        <w:trPr>
          <w:trHeight w:hRule="exact" w:val="851"/>
        </w:trPr>
        <w:tc>
          <w:tcPr>
            <w:tcW w:w="5100" w:type="dxa"/>
            <w:gridSpan w:val="2"/>
            <w:tcBorders>
              <w:bottom w:val="single" w:sz="4" w:space="0" w:color="auto"/>
            </w:tcBorders>
            <w:vAlign w:val="bottom"/>
          </w:tcPr>
          <w:p w:rsidR="003A0687" w:rsidRPr="00E11B8F" w:rsidRDefault="003A0687" w:rsidP="006730C4">
            <w:pPr>
              <w:spacing w:after="80" w:line="300" w:lineRule="exact"/>
              <w:rPr>
                <w:sz w:val="28"/>
              </w:rPr>
            </w:pPr>
            <w:bookmarkStart w:id="0" w:name="_GoBack"/>
            <w:bookmarkEnd w:id="0"/>
            <w:r w:rsidRPr="00E11B8F">
              <w:rPr>
                <w:sz w:val="28"/>
              </w:rPr>
              <w:t>Организация Объединенных Наций</w:t>
            </w:r>
          </w:p>
        </w:tc>
        <w:tc>
          <w:tcPr>
            <w:tcW w:w="195" w:type="dxa"/>
            <w:tcBorders>
              <w:bottom w:val="single" w:sz="4" w:space="0" w:color="auto"/>
            </w:tcBorders>
            <w:vAlign w:val="bottom"/>
          </w:tcPr>
          <w:p w:rsidR="003A0687" w:rsidRPr="00E11B8F" w:rsidRDefault="003A0687" w:rsidP="006730C4">
            <w:pPr>
              <w:jc w:val="right"/>
            </w:pPr>
          </w:p>
        </w:tc>
        <w:tc>
          <w:tcPr>
            <w:tcW w:w="4344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3A0687" w:rsidRPr="00E11B8F" w:rsidRDefault="003A0687" w:rsidP="006730C4">
            <w:pPr>
              <w:jc w:val="right"/>
            </w:pPr>
            <w:r w:rsidRPr="00E11B8F">
              <w:rPr>
                <w:sz w:val="40"/>
                <w:szCs w:val="40"/>
              </w:rPr>
              <w:t>A</w:t>
            </w:r>
            <w:r w:rsidRPr="00E11B8F">
              <w:t>/</w:t>
            </w:r>
            <w:proofErr w:type="spellStart"/>
            <w:r w:rsidRPr="00E11B8F">
              <w:t>HRC</w:t>
            </w:r>
            <w:proofErr w:type="spellEnd"/>
            <w:r w:rsidRPr="00E11B8F">
              <w:t>/</w:t>
            </w:r>
            <w:fldSimple w:instr=" FILLIN  &quot;Введите часть символа после A/HRC/&quot;  \* MERGEFORMAT ">
              <w:r w:rsidR="00E11B8F" w:rsidRPr="00E11B8F">
                <w:t>29/22</w:t>
              </w:r>
            </w:fldSimple>
          </w:p>
        </w:tc>
      </w:tr>
      <w:tr w:rsidR="003A0687" w:rsidRPr="00E11B8F" w:rsidTr="006730C4">
        <w:trPr>
          <w:trHeight w:hRule="exact" w:val="2835"/>
        </w:trPr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E11B8F" w:rsidRDefault="002D414F" w:rsidP="006730C4">
            <w:pPr>
              <w:spacing w:before="120"/>
              <w:jc w:val="center"/>
            </w:pPr>
            <w:r w:rsidRPr="00E11B8F">
              <w:rPr>
                <w:noProof/>
                <w:lang w:eastAsia="ru-RU"/>
              </w:rPr>
              <w:drawing>
                <wp:inline distT="0" distB="0" distL="0" distR="0" wp14:anchorId="2BE27984" wp14:editId="2A5C7F0B">
                  <wp:extent cx="714375" cy="591820"/>
                  <wp:effectExtent l="0" t="0" r="9525" b="0"/>
                  <wp:docPr id="1" name="Рисунок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A0687" w:rsidRPr="00E11B8F" w:rsidRDefault="003A0687" w:rsidP="006730C4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E11B8F">
              <w:rPr>
                <w:b/>
                <w:sz w:val="40"/>
                <w:szCs w:val="40"/>
              </w:rPr>
              <w:t>Генеральная Ассамблея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12" w:space="0" w:color="auto"/>
            </w:tcBorders>
          </w:tcPr>
          <w:p w:rsidR="003A0687" w:rsidRPr="00E11B8F" w:rsidRDefault="003A0687" w:rsidP="006730C4">
            <w:pPr>
              <w:spacing w:before="240"/>
            </w:pPr>
            <w:proofErr w:type="spellStart"/>
            <w:r w:rsidRPr="00E11B8F">
              <w:t>Distr</w:t>
            </w:r>
            <w:proofErr w:type="spellEnd"/>
            <w:r w:rsidRPr="00E11B8F">
              <w:t xml:space="preserve">.: </w:t>
            </w:r>
            <w:bookmarkStart w:id="1" w:name="ПолеСоСписком1"/>
            <w:r w:rsidRPr="00E11B8F"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General"/>
                    <w:listEntry w:val="Limited"/>
                    <w:listEntry w:val="Restricted"/>
                  </w:ddList>
                </w:ffData>
              </w:fldChar>
            </w:r>
            <w:r w:rsidRPr="00E11B8F">
              <w:instrText xml:space="preserve"> FORMDROPDOWN </w:instrText>
            </w:r>
            <w:r w:rsidR="002C7198">
              <w:fldChar w:fldCharType="separate"/>
            </w:r>
            <w:r w:rsidRPr="00E11B8F">
              <w:fldChar w:fldCharType="end"/>
            </w:r>
            <w:bookmarkEnd w:id="1"/>
          </w:p>
          <w:p w:rsidR="003A0687" w:rsidRPr="00E11B8F" w:rsidRDefault="003A0687" w:rsidP="006730C4">
            <w:r w:rsidRPr="00E11B8F">
              <w:fldChar w:fldCharType="begin"/>
            </w:r>
            <w:r w:rsidRPr="00E11B8F">
              <w:instrText xml:space="preserve"> FILLIN  "Введите дату документа" \* MERGEFORMAT </w:instrText>
            </w:r>
            <w:r w:rsidRPr="00E11B8F">
              <w:fldChar w:fldCharType="separate"/>
            </w:r>
            <w:r w:rsidR="00E11B8F" w:rsidRPr="00E11B8F">
              <w:t xml:space="preserve">2 </w:t>
            </w:r>
            <w:proofErr w:type="spellStart"/>
            <w:r w:rsidR="00E11B8F" w:rsidRPr="00E11B8F">
              <w:t>April</w:t>
            </w:r>
            <w:proofErr w:type="spellEnd"/>
            <w:r w:rsidR="00E11B8F" w:rsidRPr="00E11B8F">
              <w:t xml:space="preserve"> 2015</w:t>
            </w:r>
            <w:r w:rsidRPr="00E11B8F">
              <w:fldChar w:fldCharType="end"/>
            </w:r>
          </w:p>
          <w:p w:rsidR="003A0687" w:rsidRPr="00E11B8F" w:rsidRDefault="003A0687" w:rsidP="006730C4">
            <w:proofErr w:type="spellStart"/>
            <w:r w:rsidRPr="00E11B8F">
              <w:t>Russian</w:t>
            </w:r>
            <w:proofErr w:type="spellEnd"/>
          </w:p>
          <w:p w:rsidR="003A0687" w:rsidRPr="00E11B8F" w:rsidRDefault="003A0687" w:rsidP="006730C4">
            <w:proofErr w:type="spellStart"/>
            <w:r w:rsidRPr="00E11B8F">
              <w:t>Original</w:t>
            </w:r>
            <w:proofErr w:type="spellEnd"/>
            <w:r w:rsidRPr="00E11B8F">
              <w:t xml:space="preserve">:  </w:t>
            </w:r>
            <w:bookmarkStart w:id="2" w:name="ПолеСоСписком2"/>
            <w:r w:rsidRPr="00E11B8F"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English"/>
                    <w:listEntry w:val="French"/>
                    <w:listEntry w:val="Spanish"/>
                    <w:listEntry w:val="Arabic"/>
                    <w:listEntry w:val="Chinese"/>
                    <w:listEntry w:val="English/French"/>
                    <w:listEntry w:val="English and French"/>
                  </w:ddList>
                </w:ffData>
              </w:fldChar>
            </w:r>
            <w:r w:rsidRPr="00E11B8F">
              <w:instrText xml:space="preserve"> FORMDROPDOWN </w:instrText>
            </w:r>
            <w:r w:rsidR="002C7198">
              <w:fldChar w:fldCharType="separate"/>
            </w:r>
            <w:r w:rsidRPr="00E11B8F">
              <w:fldChar w:fldCharType="end"/>
            </w:r>
            <w:bookmarkEnd w:id="2"/>
          </w:p>
          <w:p w:rsidR="003A0687" w:rsidRPr="00E11B8F" w:rsidRDefault="003A0687" w:rsidP="006730C4"/>
        </w:tc>
      </w:tr>
    </w:tbl>
    <w:p w:rsidR="003A0687" w:rsidRPr="00E11B8F" w:rsidRDefault="003A0687" w:rsidP="006730C4">
      <w:pPr>
        <w:spacing w:before="120"/>
        <w:rPr>
          <w:b/>
          <w:sz w:val="24"/>
          <w:szCs w:val="24"/>
        </w:rPr>
      </w:pPr>
      <w:r w:rsidRPr="00E11B8F">
        <w:rPr>
          <w:b/>
          <w:sz w:val="24"/>
          <w:szCs w:val="24"/>
        </w:rPr>
        <w:t>Совет по правам человека</w:t>
      </w:r>
    </w:p>
    <w:p w:rsidR="00E11B8F" w:rsidRPr="00E11B8F" w:rsidRDefault="00E11B8F" w:rsidP="00E11B8F">
      <w:pPr>
        <w:rPr>
          <w:b/>
          <w:bCs/>
        </w:rPr>
      </w:pPr>
      <w:r w:rsidRPr="00E11B8F">
        <w:rPr>
          <w:b/>
          <w:bCs/>
        </w:rPr>
        <w:t>Двадцать девятая сессия</w:t>
      </w:r>
    </w:p>
    <w:p w:rsidR="00E11B8F" w:rsidRPr="00E11B8F" w:rsidRDefault="00E11B8F" w:rsidP="00E11B8F">
      <w:r w:rsidRPr="00E11B8F">
        <w:t>Пункты 2 и 6 повестки дня</w:t>
      </w:r>
    </w:p>
    <w:p w:rsidR="00E11B8F" w:rsidRPr="00E11B8F" w:rsidRDefault="00E11B8F" w:rsidP="00E11B8F">
      <w:pPr>
        <w:rPr>
          <w:b/>
          <w:bCs/>
        </w:rPr>
      </w:pPr>
      <w:r w:rsidRPr="00E11B8F">
        <w:rPr>
          <w:b/>
          <w:bCs/>
        </w:rPr>
        <w:t xml:space="preserve">Ежегодный доклад Верховного комиссара </w:t>
      </w:r>
      <w:r w:rsidRPr="00E11B8F">
        <w:rPr>
          <w:b/>
          <w:bCs/>
        </w:rPr>
        <w:br/>
        <w:t xml:space="preserve">Организации Объединенных Наций </w:t>
      </w:r>
      <w:r w:rsidRPr="00E11B8F">
        <w:rPr>
          <w:b/>
          <w:bCs/>
        </w:rPr>
        <w:br/>
        <w:t xml:space="preserve">по правам человека и доклады Управления </w:t>
      </w:r>
      <w:r w:rsidRPr="00E11B8F">
        <w:rPr>
          <w:b/>
          <w:bCs/>
        </w:rPr>
        <w:br/>
        <w:t>Верховного комиссара и Генерального секретаря</w:t>
      </w:r>
    </w:p>
    <w:p w:rsidR="00E11B8F" w:rsidRPr="00E11B8F" w:rsidRDefault="00E11B8F" w:rsidP="00E11B8F">
      <w:pPr>
        <w:spacing w:before="120"/>
        <w:rPr>
          <w:b/>
          <w:bCs/>
        </w:rPr>
      </w:pPr>
      <w:r w:rsidRPr="00E11B8F">
        <w:rPr>
          <w:b/>
          <w:bCs/>
        </w:rPr>
        <w:t>Универсальный периодический обзор</w:t>
      </w:r>
    </w:p>
    <w:p w:rsidR="00E11B8F" w:rsidRPr="00E11B8F" w:rsidRDefault="00E11B8F" w:rsidP="00E11B8F">
      <w:pPr>
        <w:pStyle w:val="HChGR"/>
      </w:pPr>
      <w:r w:rsidRPr="00E11B8F">
        <w:tab/>
      </w:r>
      <w:r w:rsidRPr="00E11B8F">
        <w:tab/>
        <w:t xml:space="preserve">Доклад Управления Верховного комиссара Организации Объединенных Наций по правам человека о деятельности Добровольного фонда для финансовой и технической помощи в осуществлении универсального </w:t>
      </w:r>
      <w:r w:rsidRPr="00E11B8F">
        <w:br/>
        <w:t>периодического обзора</w:t>
      </w:r>
    </w:p>
    <w:p w:rsidR="00E11B8F" w:rsidRPr="00E11B8F" w:rsidRDefault="00E11B8F" w:rsidP="00E11B8F">
      <w:pPr>
        <w:pStyle w:val="SingleTxtGR"/>
        <w:suppressAutoHyphens/>
        <w:ind w:left="0" w:right="0"/>
        <w:jc w:val="left"/>
        <w:rPr>
          <w:sz w:val="28"/>
        </w:rPr>
      </w:pPr>
      <w:r w:rsidRPr="00E11B8F">
        <w:br w:type="page"/>
      </w:r>
      <w:r w:rsidRPr="00E11B8F">
        <w:rPr>
          <w:sz w:val="28"/>
        </w:rPr>
        <w:lastRenderedPageBreak/>
        <w:t>Содержание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929"/>
          <w:tab w:val="right" w:pos="9638"/>
        </w:tabs>
        <w:suppressAutoHyphens/>
        <w:ind w:left="283" w:right="0"/>
        <w:jc w:val="left"/>
      </w:pPr>
      <w:r w:rsidRPr="00E11B8F">
        <w:rPr>
          <w:i/>
          <w:sz w:val="18"/>
        </w:rPr>
        <w:tab/>
        <w:t>Пункты</w:t>
      </w:r>
      <w:r w:rsidRPr="00E11B8F">
        <w:rPr>
          <w:i/>
          <w:sz w:val="18"/>
        </w:rPr>
        <w:tab/>
        <w:t>Стр.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  <w:t xml:space="preserve">I. </w:t>
      </w:r>
      <w:r w:rsidRPr="00E11B8F">
        <w:tab/>
        <w:t xml:space="preserve">Введение </w:t>
      </w:r>
      <w:r w:rsidRPr="00E11B8F">
        <w:tab/>
      </w:r>
      <w:r w:rsidRPr="00E11B8F">
        <w:tab/>
        <w:t>1−3</w:t>
      </w:r>
      <w:r w:rsidRPr="00E11B8F">
        <w:tab/>
      </w:r>
      <w:r w:rsidR="00993721">
        <w:t>3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r w:rsidRPr="00E11B8F">
        <w:tab/>
        <w:t xml:space="preserve">A. </w:t>
      </w:r>
      <w:r w:rsidRPr="00E11B8F">
        <w:tab/>
        <w:t xml:space="preserve">Представление доклада </w:t>
      </w:r>
      <w:r w:rsidRPr="00E11B8F">
        <w:tab/>
      </w:r>
      <w:r w:rsidRPr="00E11B8F">
        <w:tab/>
        <w:t>1</w:t>
      </w:r>
      <w:r w:rsidRPr="00E11B8F">
        <w:tab/>
      </w:r>
      <w:r w:rsidR="00993721">
        <w:t>3</w:t>
      </w:r>
    </w:p>
    <w:p w:rsidR="00E11B8F" w:rsidRPr="00E11B8F" w:rsidRDefault="00E11B8F" w:rsidP="00A02669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r w:rsidRPr="00E11B8F">
        <w:tab/>
        <w:t xml:space="preserve">B. </w:t>
      </w:r>
      <w:r w:rsidRPr="00E11B8F">
        <w:tab/>
        <w:t xml:space="preserve">Справочная информация </w:t>
      </w:r>
      <w:r w:rsidRPr="00E11B8F">
        <w:tab/>
      </w:r>
      <w:r w:rsidRPr="00E11B8F">
        <w:tab/>
      </w:r>
      <w:r w:rsidR="00A02669" w:rsidRPr="000C17AA">
        <w:t>2</w:t>
      </w:r>
      <w:r w:rsidRPr="00E11B8F">
        <w:t>−</w:t>
      </w:r>
      <w:r w:rsidR="00A02669" w:rsidRPr="000C17AA">
        <w:t>3</w:t>
      </w:r>
      <w:r w:rsidRPr="00E11B8F">
        <w:tab/>
      </w:r>
      <w:r w:rsidR="00993721">
        <w:t>3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proofErr w:type="spellStart"/>
      <w:r w:rsidRPr="00E11B8F">
        <w:t>II</w:t>
      </w:r>
      <w:proofErr w:type="spellEnd"/>
      <w:r w:rsidRPr="00E11B8F">
        <w:t xml:space="preserve">. </w:t>
      </w:r>
      <w:r w:rsidRPr="00E11B8F">
        <w:tab/>
        <w:t xml:space="preserve">Ввод Фонда в действие </w:t>
      </w:r>
      <w:r w:rsidRPr="00E11B8F">
        <w:tab/>
      </w:r>
      <w:r w:rsidRPr="00E11B8F">
        <w:tab/>
        <w:t>4−12</w:t>
      </w:r>
      <w:r w:rsidRPr="00E11B8F">
        <w:tab/>
      </w:r>
      <w:r w:rsidR="00993721">
        <w:t>4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r w:rsidRPr="00E11B8F">
        <w:tab/>
        <w:t xml:space="preserve">A. </w:t>
      </w:r>
      <w:r w:rsidRPr="00E11B8F">
        <w:tab/>
        <w:t xml:space="preserve">Совет попечителей Фонда </w:t>
      </w:r>
      <w:r w:rsidRPr="00E11B8F">
        <w:tab/>
      </w:r>
      <w:r w:rsidRPr="00E11B8F">
        <w:tab/>
        <w:t>4−8</w:t>
      </w:r>
      <w:r w:rsidRPr="00E11B8F">
        <w:tab/>
      </w:r>
      <w:r w:rsidR="00993721">
        <w:t>4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1559" w:right="0" w:hanging="1559"/>
        <w:jc w:val="left"/>
      </w:pPr>
      <w:r w:rsidRPr="00E11B8F">
        <w:tab/>
      </w:r>
      <w:r w:rsidRPr="00E11B8F">
        <w:tab/>
        <w:t xml:space="preserve">B. </w:t>
      </w:r>
      <w:r w:rsidRPr="00E11B8F">
        <w:tab/>
        <w:t xml:space="preserve">Стратегическое видение </w:t>
      </w:r>
      <w:proofErr w:type="spellStart"/>
      <w:r w:rsidRPr="00E11B8F">
        <w:t>УВКПЧ</w:t>
      </w:r>
      <w:proofErr w:type="spellEnd"/>
      <w:r w:rsidRPr="00E11B8F">
        <w:t xml:space="preserve"> в отношении последующей </w:t>
      </w:r>
      <w:r w:rsidRPr="00E11B8F">
        <w:br/>
        <w:t xml:space="preserve">деятельности по итогам универсального периодического </w:t>
      </w:r>
      <w:r w:rsidRPr="00E11B8F">
        <w:br/>
        <w:t xml:space="preserve">обзора и Фонда: движение вперед </w:t>
      </w:r>
      <w:r w:rsidRPr="00E11B8F">
        <w:tab/>
      </w:r>
      <w:r w:rsidRPr="00E11B8F">
        <w:tab/>
        <w:t>9−12</w:t>
      </w:r>
      <w:r w:rsidRPr="00E11B8F">
        <w:tab/>
      </w:r>
      <w:r w:rsidR="00993721">
        <w:t>5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proofErr w:type="spellStart"/>
      <w:r w:rsidRPr="00E11B8F">
        <w:t>III</w:t>
      </w:r>
      <w:proofErr w:type="spellEnd"/>
      <w:r w:rsidRPr="00E11B8F">
        <w:t xml:space="preserve">. </w:t>
      </w:r>
      <w:r w:rsidRPr="00E11B8F">
        <w:tab/>
        <w:t xml:space="preserve">Деятельность, которая будет финансироваться Фондом в 2015 году </w:t>
      </w:r>
      <w:r w:rsidRPr="00E11B8F">
        <w:tab/>
      </w:r>
      <w:r w:rsidRPr="00E11B8F">
        <w:tab/>
        <w:t>13−38</w:t>
      </w:r>
      <w:r w:rsidRPr="00E11B8F">
        <w:tab/>
      </w:r>
      <w:r w:rsidR="00993721">
        <w:t>6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</w:r>
      <w:proofErr w:type="spellStart"/>
      <w:r w:rsidRPr="00E11B8F">
        <w:t>IV</w:t>
      </w:r>
      <w:proofErr w:type="spellEnd"/>
      <w:r w:rsidRPr="00E11B8F">
        <w:t xml:space="preserve">. </w:t>
      </w:r>
      <w:r w:rsidRPr="00E11B8F">
        <w:tab/>
        <w:t xml:space="preserve">Финансовое положение Фонда </w:t>
      </w:r>
      <w:r w:rsidRPr="00E11B8F">
        <w:tab/>
      </w:r>
      <w:r w:rsidRPr="00E11B8F">
        <w:tab/>
        <w:t>39−41</w:t>
      </w:r>
      <w:r w:rsidRPr="00E11B8F">
        <w:tab/>
      </w:r>
      <w:r w:rsidR="00993721">
        <w:t>12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ab/>
        <w:t xml:space="preserve">V. </w:t>
      </w:r>
      <w:r w:rsidRPr="00E11B8F">
        <w:tab/>
        <w:t xml:space="preserve">Выводы </w:t>
      </w:r>
      <w:r w:rsidRPr="00E11B8F">
        <w:tab/>
      </w:r>
      <w:r w:rsidRPr="00E11B8F">
        <w:tab/>
        <w:t>42−47</w:t>
      </w:r>
      <w:r w:rsidRPr="00E11B8F">
        <w:tab/>
      </w:r>
      <w:r w:rsidR="00993721">
        <w:t>14</w:t>
      </w:r>
    </w:p>
    <w:p w:rsidR="00E11B8F" w:rsidRPr="00E11B8F" w:rsidRDefault="00E11B8F" w:rsidP="00E11B8F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left" w:pos="1984"/>
          <w:tab w:val="left" w:leader="dot" w:pos="7654"/>
          <w:tab w:val="right" w:pos="8929"/>
          <w:tab w:val="right" w:pos="9638"/>
        </w:tabs>
        <w:suppressAutoHyphens/>
        <w:ind w:left="0" w:right="0"/>
        <w:jc w:val="left"/>
      </w:pPr>
      <w:r w:rsidRPr="00E11B8F">
        <w:t>Таблицы</w:t>
      </w:r>
    </w:p>
    <w:p w:rsidR="00E11B8F" w:rsidRPr="00E11B8F" w:rsidRDefault="00E11B8F" w:rsidP="006342D2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right" w:leader="dot" w:pos="8929"/>
          <w:tab w:val="right" w:pos="9638"/>
        </w:tabs>
        <w:suppressAutoHyphens/>
        <w:ind w:right="0" w:hanging="1134"/>
        <w:jc w:val="left"/>
      </w:pPr>
      <w:r w:rsidRPr="00E11B8F">
        <w:tab/>
        <w:t>1.</w:t>
      </w:r>
      <w:r w:rsidRPr="00E11B8F">
        <w:tab/>
        <w:t xml:space="preserve">Ведомость поступлений и расходов за двухгодичный период 2014−2015 годов </w:t>
      </w:r>
      <w:r w:rsidRPr="00E11B8F">
        <w:br/>
        <w:t xml:space="preserve">(1 января 2014 года − 31 декабря 2014 года) </w:t>
      </w:r>
      <w:r w:rsidRPr="00E11B8F">
        <w:tab/>
      </w:r>
      <w:r w:rsidR="006342D2">
        <w:tab/>
      </w:r>
      <w:r w:rsidR="00993721">
        <w:t>12</w:t>
      </w:r>
    </w:p>
    <w:p w:rsidR="00E11B8F" w:rsidRPr="00E11B8F" w:rsidRDefault="00E11B8F" w:rsidP="006342D2">
      <w:pPr>
        <w:pStyle w:val="SingleTxtGR"/>
        <w:tabs>
          <w:tab w:val="clear" w:pos="1701"/>
          <w:tab w:val="clear" w:pos="2268"/>
          <w:tab w:val="clear" w:pos="2835"/>
          <w:tab w:val="clear" w:pos="3402"/>
          <w:tab w:val="clear" w:pos="3969"/>
          <w:tab w:val="right" w:pos="850"/>
          <w:tab w:val="left" w:pos="1134"/>
          <w:tab w:val="left" w:pos="1559"/>
          <w:tab w:val="right" w:leader="dot" w:pos="8929"/>
          <w:tab w:val="right" w:pos="9638"/>
        </w:tabs>
        <w:suppressAutoHyphens/>
        <w:ind w:right="0" w:hanging="1134"/>
        <w:jc w:val="left"/>
      </w:pPr>
      <w:r w:rsidRPr="00E11B8F">
        <w:tab/>
        <w:t>2.</w:t>
      </w:r>
      <w:r w:rsidRPr="00E11B8F">
        <w:tab/>
        <w:t xml:space="preserve">Добровольный фонд для финансовой и технической помощи в осуществлении универсального периодического обзора: добровольные взносы со времени </w:t>
      </w:r>
      <w:r w:rsidRPr="00E11B8F">
        <w:br/>
        <w:t xml:space="preserve">создания Фонда по 31 декабря 2014 года </w:t>
      </w:r>
      <w:r w:rsidRPr="00E11B8F">
        <w:tab/>
      </w:r>
      <w:r w:rsidR="006342D2">
        <w:tab/>
      </w:r>
      <w:r w:rsidR="00993721">
        <w:t>13</w:t>
      </w:r>
    </w:p>
    <w:p w:rsidR="00E11B8F" w:rsidRPr="00E11B8F" w:rsidRDefault="00E11B8F" w:rsidP="00E11B8F">
      <w:pPr>
        <w:pStyle w:val="HChGR"/>
      </w:pPr>
      <w:r w:rsidRPr="00E11B8F">
        <w:br w:type="page"/>
      </w:r>
      <w:r w:rsidRPr="00E11B8F">
        <w:lastRenderedPageBreak/>
        <w:tab/>
        <w:t xml:space="preserve">I. </w:t>
      </w:r>
      <w:r>
        <w:tab/>
      </w:r>
      <w:r w:rsidRPr="00E11B8F">
        <w:t>Введение</w:t>
      </w:r>
    </w:p>
    <w:p w:rsidR="00E11B8F" w:rsidRPr="00E11B8F" w:rsidRDefault="00E11B8F" w:rsidP="00E11B8F">
      <w:pPr>
        <w:pStyle w:val="H1GR"/>
      </w:pPr>
      <w:r w:rsidRPr="00E11B8F">
        <w:tab/>
        <w:t xml:space="preserve">A. </w:t>
      </w:r>
      <w:r>
        <w:tab/>
      </w:r>
      <w:r w:rsidRPr="00E11B8F">
        <w:t>Представление доклада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1.</w:t>
      </w:r>
      <w:r w:rsidRPr="00E11B8F">
        <w:rPr>
          <w:bCs/>
        </w:rPr>
        <w:tab/>
      </w:r>
      <w:r w:rsidRPr="00E11B8F">
        <w:t>Настоящий доклад представляется в соответствии с решением 17/119 С</w:t>
      </w:r>
      <w:r w:rsidRPr="00E11B8F">
        <w:t>о</w:t>
      </w:r>
      <w:r w:rsidRPr="00E11B8F">
        <w:t>вета по правам человека, в котором секретариату была адресована просьба представлять в письменном виде ежегодную обновленную информацию о де</w:t>
      </w:r>
      <w:r w:rsidRPr="00E11B8F">
        <w:t>я</w:t>
      </w:r>
      <w:r w:rsidRPr="00E11B8F">
        <w:t>тельности Добровольного фонда для финансовой и технической помощи в ос</w:t>
      </w:r>
      <w:r w:rsidRPr="00E11B8F">
        <w:t>у</w:t>
      </w:r>
      <w:r w:rsidRPr="00E11B8F">
        <w:t>ществлении универсального периодического обзора (далее − "Добровольный фонд") и имеющихся в нем средствах. Доклад был подготовлен секретариатом в рамках консультаций с Советом попечителей Добровольного фонда и одобрен Советом. В настоящем докладе содержится обзорная информация о взносах и расходах по состоянию на 31 декабря 2014 года наряду с описанием мер, пр</w:t>
      </w:r>
      <w:r w:rsidRPr="00E11B8F">
        <w:t>и</w:t>
      </w:r>
      <w:r w:rsidRPr="00E11B8F">
        <w:t>нятых после представления предыдущего доклада (A/</w:t>
      </w:r>
      <w:proofErr w:type="spellStart"/>
      <w:r w:rsidRPr="00E11B8F">
        <w:t>HRC</w:t>
      </w:r>
      <w:proofErr w:type="spellEnd"/>
      <w:r w:rsidRPr="00E11B8F">
        <w:t>/26/54) в целях ввода Добровольного фонда в действие. В нем содержится также информация о мер</w:t>
      </w:r>
      <w:r w:rsidRPr="00E11B8F">
        <w:t>о</w:t>
      </w:r>
      <w:r w:rsidRPr="00E11B8F">
        <w:t>приятиях, которые будут финансироваться из Добровольного фонда в течение 2015 года.</w:t>
      </w:r>
    </w:p>
    <w:p w:rsidR="00E11B8F" w:rsidRPr="00E11B8F" w:rsidRDefault="00E11B8F" w:rsidP="00E11B8F">
      <w:pPr>
        <w:pStyle w:val="H1GR"/>
      </w:pPr>
      <w:r w:rsidRPr="00E11B8F">
        <w:tab/>
        <w:t xml:space="preserve">B. </w:t>
      </w:r>
      <w:r>
        <w:tab/>
      </w:r>
      <w:r w:rsidRPr="00E11B8F">
        <w:t>Справочная информация</w:t>
      </w:r>
    </w:p>
    <w:p w:rsidR="00E11B8F" w:rsidRPr="00E11B8F" w:rsidRDefault="00E11B8F" w:rsidP="00A02669">
      <w:pPr>
        <w:pStyle w:val="SingleTxtGR"/>
      </w:pPr>
      <w:r w:rsidRPr="00E11B8F">
        <w:rPr>
          <w:bCs/>
        </w:rPr>
        <w:t>2.</w:t>
      </w:r>
      <w:r w:rsidRPr="00E11B8F">
        <w:rPr>
          <w:bCs/>
        </w:rPr>
        <w:tab/>
      </w:r>
      <w:r w:rsidRPr="00E11B8F">
        <w:t>В своей резолюции 6/17 Совет по правам человека просил Генерального секретаря учредить новый финансовый механизм под названием "Добровол</w:t>
      </w:r>
      <w:r w:rsidRPr="00E11B8F">
        <w:t>ь</w:t>
      </w:r>
      <w:r w:rsidRPr="00E11B8F">
        <w:t xml:space="preserve">ный фонд </w:t>
      </w:r>
      <w:r w:rsidR="00A02669">
        <w:t>для</w:t>
      </w:r>
      <w:r w:rsidRPr="00E11B8F">
        <w:t xml:space="preserve"> финансовой и технической помощи", с тем чтобы обеспечивать совместно с многосторонними механизмами финансирования источник фина</w:t>
      </w:r>
      <w:r w:rsidRPr="00E11B8F">
        <w:t>н</w:t>
      </w:r>
      <w:r w:rsidRPr="00E11B8F">
        <w:t>совой и технической помощи для оказания содействия странам в выполнении рекомендаций, вытекающих из итогов универсального периодического обзора, в консультации с соответствующей страной и с ее согласия. В своей резолюции 16/21 Совет по правам человека просил укрепить и ввести в действие Добр</w:t>
      </w:r>
      <w:r w:rsidRPr="00E11B8F">
        <w:t>о</w:t>
      </w:r>
      <w:r w:rsidRPr="00E11B8F">
        <w:t>вольный фонд, с тем чтобы тот служил источником финансовой и технической помощи для оказания содействия странам, в частности наименее развитым странами и малым островным развивающимся государствам, в целях выполн</w:t>
      </w:r>
      <w:r w:rsidRPr="00E11B8F">
        <w:t>е</w:t>
      </w:r>
      <w:r w:rsidRPr="00E11B8F">
        <w:t>ния рекомендаций, выработанных в ходе их обзора. Совет по правам человека просил также создать совет попечителей в соответствии с правилами Организ</w:t>
      </w:r>
      <w:r w:rsidRPr="00E11B8F">
        <w:t>а</w:t>
      </w:r>
      <w:r w:rsidRPr="00E11B8F">
        <w:t>ции Объедине</w:t>
      </w:r>
      <w:r w:rsidRPr="00E11B8F">
        <w:t>н</w:t>
      </w:r>
      <w:r w:rsidRPr="00E11B8F">
        <w:t>ных Наций.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3.</w:t>
      </w:r>
      <w:r w:rsidRPr="00E11B8F">
        <w:rPr>
          <w:bCs/>
        </w:rPr>
        <w:tab/>
      </w:r>
      <w:r w:rsidRPr="00E11B8F">
        <w:t>Добровольный фонд был учрежден в 2009 году. Управление Верховного комиссара Организации Объединенных Наций по правам человека (</w:t>
      </w:r>
      <w:proofErr w:type="spellStart"/>
      <w:r w:rsidRPr="00E11B8F">
        <w:t>УВКПЧ</w:t>
      </w:r>
      <w:proofErr w:type="spellEnd"/>
      <w:r w:rsidRPr="00E11B8F">
        <w:t>) начало вводить Фонд в действие, оказывая финансовую и техническую помощь государствам, обращающимся за поддержкой. Поддержка оказывается в духе механизма универсального периодического обзора, в резолюции о создании к</w:t>
      </w:r>
      <w:r w:rsidRPr="00E11B8F">
        <w:t>о</w:t>
      </w:r>
      <w:r w:rsidRPr="00E11B8F">
        <w:t>торого предусмотрено, что его целями являются улучшение положения в обл</w:t>
      </w:r>
      <w:r w:rsidRPr="00E11B8F">
        <w:t>а</w:t>
      </w:r>
      <w:r w:rsidRPr="00E11B8F">
        <w:t>сти прав человека на местах (резолюция 5/1 Совета по правам человека, прил</w:t>
      </w:r>
      <w:r w:rsidRPr="00E11B8F">
        <w:t>о</w:t>
      </w:r>
      <w:r w:rsidRPr="00E11B8F">
        <w:t>жение, пункт 4 a)), выполнение обязанностей и обязательств государства в о</w:t>
      </w:r>
      <w:r w:rsidRPr="00E11B8F">
        <w:t>б</w:t>
      </w:r>
      <w:r w:rsidRPr="00E11B8F">
        <w:t>ласти прав человека (там же, пункт 4 b)) и укрепление потенциала государства и технической помощи в консультации с соответствующим государством и с его согласия (там же, пункт 4 с)).</w:t>
      </w:r>
    </w:p>
    <w:p w:rsidR="00E11B8F" w:rsidRPr="00E11B8F" w:rsidRDefault="00E11B8F" w:rsidP="00E11B8F">
      <w:pPr>
        <w:pStyle w:val="HChGR"/>
      </w:pPr>
      <w:r w:rsidRPr="00E11B8F">
        <w:lastRenderedPageBreak/>
        <w:tab/>
      </w:r>
      <w:proofErr w:type="spellStart"/>
      <w:r w:rsidRPr="00E11B8F">
        <w:t>II</w:t>
      </w:r>
      <w:proofErr w:type="spellEnd"/>
      <w:r w:rsidRPr="00E11B8F">
        <w:t xml:space="preserve">. </w:t>
      </w:r>
      <w:r>
        <w:tab/>
      </w:r>
      <w:r w:rsidRPr="00E11B8F">
        <w:t>Ввод Фонда в действие</w:t>
      </w:r>
    </w:p>
    <w:p w:rsidR="00E11B8F" w:rsidRPr="00E11B8F" w:rsidRDefault="00E11B8F" w:rsidP="00E11B8F">
      <w:pPr>
        <w:pStyle w:val="H1GR"/>
      </w:pPr>
      <w:r w:rsidRPr="00E11B8F">
        <w:tab/>
        <w:t xml:space="preserve">A. </w:t>
      </w:r>
      <w:r>
        <w:tab/>
      </w:r>
      <w:r w:rsidRPr="00E11B8F">
        <w:t>Совет попечителей Фонда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4.</w:t>
      </w:r>
      <w:r w:rsidRPr="00E11B8F">
        <w:rPr>
          <w:bCs/>
        </w:rPr>
        <w:tab/>
      </w:r>
      <w:r w:rsidRPr="00E11B8F">
        <w:t>30 мая 2013 года Генеральный секретарь назначил членов Совета попеч</w:t>
      </w:r>
      <w:r w:rsidRPr="00E11B8F">
        <w:t>и</w:t>
      </w:r>
      <w:r w:rsidRPr="00E11B8F">
        <w:t>телей Добровольного фонда для технического сотрудничества, который будет также выполнять функции Совета попечителей Добровольного фонда для ф</w:t>
      </w:r>
      <w:r w:rsidRPr="00E11B8F">
        <w:t>и</w:t>
      </w:r>
      <w:r w:rsidRPr="00E11B8F">
        <w:t>нансовой и технической помощи в осуществлении универсального периодич</w:t>
      </w:r>
      <w:r w:rsidRPr="00E11B8F">
        <w:t>е</w:t>
      </w:r>
      <w:r w:rsidRPr="00E11B8F">
        <w:t>ского обзора. Им поручено осуществлять надзор за управлением данным Фо</w:t>
      </w:r>
      <w:r w:rsidRPr="00E11B8F">
        <w:t>н</w:t>
      </w:r>
      <w:r w:rsidRPr="00E11B8F">
        <w:t>дом.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5.</w:t>
      </w:r>
      <w:r w:rsidRPr="00E11B8F">
        <w:rPr>
          <w:bCs/>
        </w:rPr>
        <w:tab/>
      </w:r>
      <w:r w:rsidRPr="00E11B8F">
        <w:t xml:space="preserve">В тесном взаимодействии с различными подразделениями </w:t>
      </w:r>
      <w:proofErr w:type="spellStart"/>
      <w:r w:rsidRPr="00E11B8F">
        <w:t>УВКПЧ</w:t>
      </w:r>
      <w:proofErr w:type="spellEnd"/>
      <w:r w:rsidRPr="00E11B8F">
        <w:t xml:space="preserve"> Совет попечителей уделяет основное внимание общему руководству процессом ввода Фонда в действие посредством предоставления консультаций по вопросам п</w:t>
      </w:r>
      <w:r w:rsidRPr="00E11B8F">
        <w:t>о</w:t>
      </w:r>
      <w:r w:rsidRPr="00E11B8F">
        <w:t>литики.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6.</w:t>
      </w:r>
      <w:r w:rsidRPr="00E11B8F">
        <w:rPr>
          <w:bCs/>
        </w:rPr>
        <w:tab/>
      </w:r>
      <w:r w:rsidRPr="00E11B8F">
        <w:t>За время, прошедшее после представления последнего доклада (A/</w:t>
      </w:r>
      <w:proofErr w:type="spellStart"/>
      <w:r w:rsidRPr="00E11B8F">
        <w:t>HRC</w:t>
      </w:r>
      <w:proofErr w:type="spellEnd"/>
      <w:r w:rsidRPr="00E11B8F">
        <w:t>/26/54), Совет попечителей провел свою третью сессию в Женеве в о</w:t>
      </w:r>
      <w:r w:rsidRPr="00E11B8F">
        <w:t>к</w:t>
      </w:r>
      <w:r w:rsidRPr="00E11B8F">
        <w:t>тябре 2014 года и четвертую сессию в Пномпене и Бангкоке в феврале 2015 г</w:t>
      </w:r>
      <w:r w:rsidRPr="00E11B8F">
        <w:t>о</w:t>
      </w:r>
      <w:r w:rsidRPr="00E11B8F">
        <w:t xml:space="preserve">да, в ходе которых он имел возможность представить </w:t>
      </w:r>
      <w:proofErr w:type="spellStart"/>
      <w:r w:rsidRPr="00E11B8F">
        <w:t>УВКПЧ</w:t>
      </w:r>
      <w:proofErr w:type="spellEnd"/>
      <w:r w:rsidRPr="00E11B8F">
        <w:t xml:space="preserve"> руководящие ук</w:t>
      </w:r>
      <w:r w:rsidRPr="00E11B8F">
        <w:t>а</w:t>
      </w:r>
      <w:r w:rsidRPr="00E11B8F">
        <w:t>зания, направленные на максимальное повышение эффективности технической помощи и финансовой поддержки, оказываемой государствам в осуществлении рекомендаций, вынесенных по итогам универсального периодического обзора, а</w:t>
      </w:r>
      <w:r>
        <w:t> </w:t>
      </w:r>
      <w:r w:rsidRPr="00E11B8F">
        <w:t>также другими международными механизмами на уровне страны.</w:t>
      </w:r>
    </w:p>
    <w:p w:rsidR="00E11B8F" w:rsidRPr="00E11B8F" w:rsidRDefault="00E11B8F" w:rsidP="00E11B8F">
      <w:pPr>
        <w:pStyle w:val="SingleTxtGR"/>
      </w:pPr>
      <w:r w:rsidRPr="00E11B8F">
        <w:rPr>
          <w:bCs/>
        </w:rPr>
        <w:t>7.</w:t>
      </w:r>
      <w:r w:rsidRPr="00E11B8F">
        <w:rPr>
          <w:bCs/>
        </w:rPr>
        <w:tab/>
      </w:r>
      <w:r w:rsidRPr="00E11B8F">
        <w:t xml:space="preserve">В ходе своей третьей сессии в Женеве Совет попечителей рекомендовал </w:t>
      </w:r>
      <w:proofErr w:type="spellStart"/>
      <w:r w:rsidRPr="00E11B8F">
        <w:t>УВКПЧ</w:t>
      </w:r>
      <w:proofErr w:type="spellEnd"/>
      <w:r w:rsidRPr="00E11B8F">
        <w:t xml:space="preserve"> рассмотреть вопрос о создании систем координационных центров для универсального периодического обзора на уровне региональных отделений </w:t>
      </w:r>
      <w:proofErr w:type="spellStart"/>
      <w:r w:rsidRPr="00E11B8F">
        <w:t>УВКПЧ</w:t>
      </w:r>
      <w:proofErr w:type="spellEnd"/>
      <w:r w:rsidRPr="00E11B8F">
        <w:t>, с тем чтобы оказывать поддержку странам в соответствующих реги</w:t>
      </w:r>
      <w:r w:rsidRPr="00E11B8F">
        <w:t>о</w:t>
      </w:r>
      <w:r w:rsidRPr="00E11B8F">
        <w:t>нах в деле эффективной последующей деятельности по итогам универсального периодического обзора и рекомендациям других механизмов. Это должно обе</w:t>
      </w:r>
      <w:r w:rsidRPr="00E11B8F">
        <w:t>с</w:t>
      </w:r>
      <w:r w:rsidRPr="00E11B8F">
        <w:t>печиваться параллельно с итогами реформы договорных органов и с использ</w:t>
      </w:r>
      <w:r w:rsidRPr="00E11B8F">
        <w:t>о</w:t>
      </w:r>
      <w:r w:rsidRPr="00E11B8F">
        <w:t>ванием дополнительных ресурсов. Кроме того, Совет попечителей подчеркнул важность документирования передового опыта и извлеченных уроков в связи с последующей деятельностью по итогам универсального периодического обз</w:t>
      </w:r>
      <w:r w:rsidRPr="00E11B8F">
        <w:t>о</w:t>
      </w:r>
      <w:r w:rsidRPr="00E11B8F">
        <w:t xml:space="preserve">ра, которые могут быть доведены до сведения местных отделений </w:t>
      </w:r>
      <w:proofErr w:type="spellStart"/>
      <w:r w:rsidRPr="00E11B8F">
        <w:t>УВКПЧ</w:t>
      </w:r>
      <w:proofErr w:type="spellEnd"/>
      <w:r w:rsidRPr="00E11B8F">
        <w:t xml:space="preserve"> на местах в целях содействия более эффективной последующей деятельности по итогам универсального периодического обзора и рекомендациям других мех</w:t>
      </w:r>
      <w:r w:rsidRPr="00E11B8F">
        <w:t>а</w:t>
      </w:r>
      <w:r w:rsidRPr="00E11B8F">
        <w:t>низмов на местах.</w:t>
      </w:r>
    </w:p>
    <w:p w:rsidR="00E147C1" w:rsidRDefault="00E11B8F" w:rsidP="00E11B8F">
      <w:pPr>
        <w:pStyle w:val="SingleTxtGR"/>
      </w:pPr>
      <w:r w:rsidRPr="00E11B8F">
        <w:rPr>
          <w:bCs/>
        </w:rPr>
        <w:t>8.</w:t>
      </w:r>
      <w:r w:rsidRPr="00E11B8F">
        <w:rPr>
          <w:bCs/>
        </w:rPr>
        <w:tab/>
      </w:r>
      <w:r w:rsidRPr="00E11B8F">
        <w:t xml:space="preserve">В ходе четвертой сессии, которая была посвящена рассмотрению работы </w:t>
      </w:r>
      <w:proofErr w:type="spellStart"/>
      <w:r w:rsidRPr="00E11B8F">
        <w:t>УВКПЧ</w:t>
      </w:r>
      <w:proofErr w:type="spellEnd"/>
      <w:r w:rsidRPr="00E11B8F">
        <w:t xml:space="preserve"> по оказанию поддержки последующей деятельности в Азиатско-Тихоокеанском регионе, Совет попечителей имел также возможность обсудить с </w:t>
      </w:r>
      <w:proofErr w:type="spellStart"/>
      <w:r w:rsidRPr="00E11B8F">
        <w:t>УВКПЧ</w:t>
      </w:r>
      <w:proofErr w:type="spellEnd"/>
      <w:r w:rsidRPr="00E11B8F">
        <w:t xml:space="preserve"> вопрос о том, каким образом оно оказывает техническую помощь и финансовую поддержку по линии Добровольного фонда для финансовой и те</w:t>
      </w:r>
      <w:r w:rsidRPr="00E11B8F">
        <w:t>х</w:t>
      </w:r>
      <w:r w:rsidRPr="00E11B8F">
        <w:t>нической помощи в осуществлении универсального периодического обзора на более систематической основе, а также с большей отдачей. Совет попечителей подчеркнул также важное значение последовательного и согласованного и</w:t>
      </w:r>
      <w:r w:rsidRPr="00E11B8F">
        <w:t>с</w:t>
      </w:r>
      <w:r w:rsidRPr="00E11B8F">
        <w:t>пользования этих двух фондов добровольных взносов, а именно Добровольного фонда для финансовой и технической помощи в осуществлении универсального периодического обзора и Фонда добровольных взносов для технического с</w:t>
      </w:r>
      <w:r w:rsidRPr="00E11B8F">
        <w:t>о</w:t>
      </w:r>
      <w:r w:rsidRPr="00E11B8F">
        <w:t>трудничества в области прав человека, в целях повышения эффективности и достижения устойчивых результатов. Совет попечителей провел также пре</w:t>
      </w:r>
      <w:r w:rsidRPr="00E11B8F">
        <w:t>д</w:t>
      </w:r>
      <w:r w:rsidRPr="00E11B8F">
        <w:t xml:space="preserve">метный диалог со </w:t>
      </w:r>
      <w:proofErr w:type="spellStart"/>
      <w:r w:rsidRPr="00E11B8F">
        <w:t>страновыми</w:t>
      </w:r>
      <w:proofErr w:type="spellEnd"/>
      <w:r w:rsidRPr="00E11B8F">
        <w:t xml:space="preserve"> группами Организации Объединенных Наций в </w:t>
      </w:r>
      <w:r w:rsidRPr="00E11B8F">
        <w:lastRenderedPageBreak/>
        <w:t>целях подготовки общих рекомендаций по вопросам политики в связи с их ус</w:t>
      </w:r>
      <w:r w:rsidRPr="00E11B8F">
        <w:t>и</w:t>
      </w:r>
      <w:r w:rsidRPr="00E11B8F">
        <w:t>лиями по учету рекомендаций международных правозащитных механизмов, в том числе договорных органов, специальных процедур и универсального пер</w:t>
      </w:r>
      <w:r w:rsidRPr="00E11B8F">
        <w:t>и</w:t>
      </w:r>
      <w:r w:rsidRPr="00E11B8F">
        <w:t xml:space="preserve">одического обзора, в рамках их соответствующих </w:t>
      </w:r>
      <w:proofErr w:type="spellStart"/>
      <w:r w:rsidRPr="00E11B8F">
        <w:t>страновых</w:t>
      </w:r>
      <w:proofErr w:type="spellEnd"/>
      <w:r w:rsidRPr="00E11B8F">
        <w:t xml:space="preserve"> программ. Совет попечителей был впечатлен усилиями по включению аспектов прав человека и стратегий, в том числе рекомендаций международных правозащитных механи</w:t>
      </w:r>
      <w:r w:rsidRPr="00E11B8F">
        <w:t>з</w:t>
      </w:r>
      <w:r w:rsidRPr="00E11B8F">
        <w:t xml:space="preserve">мов, в общие </w:t>
      </w:r>
      <w:proofErr w:type="spellStart"/>
      <w:r w:rsidRPr="00E11B8F">
        <w:t>страновые</w:t>
      </w:r>
      <w:proofErr w:type="spellEnd"/>
      <w:r w:rsidRPr="00E11B8F">
        <w:t xml:space="preserve"> программные документы Организации Объединенных Наций, такие, например, как Рамочная программа Организации Объединенных Наций по оказанию помощи в целях развития. Он настоятельно призвал пр</w:t>
      </w:r>
      <w:r w:rsidRPr="00E11B8F">
        <w:t>о</w:t>
      </w:r>
      <w:r w:rsidRPr="00E11B8F">
        <w:t>должать и расширять эти усилия. Совет попечителей с удовлетворением отм</w:t>
      </w:r>
      <w:r w:rsidRPr="00E11B8F">
        <w:t>е</w:t>
      </w:r>
      <w:r w:rsidRPr="00E11B8F">
        <w:t xml:space="preserve">тил усилия, предпринимаемых </w:t>
      </w:r>
      <w:proofErr w:type="spellStart"/>
      <w:r w:rsidRPr="00E11B8F">
        <w:t>УВКПЧ</w:t>
      </w:r>
      <w:proofErr w:type="spellEnd"/>
      <w:r w:rsidRPr="00E11B8F">
        <w:t xml:space="preserve"> по систематическому предоставлению технической помощи и финансовой поддержки с использованием Фонда для оказания содействия государствам в осуществлении рекомендаций междун</w:t>
      </w:r>
      <w:r w:rsidRPr="00E11B8F">
        <w:t>а</w:t>
      </w:r>
      <w:r w:rsidRPr="00E11B8F">
        <w:t>родных механизмов по правам человека.</w:t>
      </w:r>
    </w:p>
    <w:p w:rsidR="00F1223D" w:rsidRPr="00EB2CE1" w:rsidRDefault="00F1223D" w:rsidP="00F1223D">
      <w:pPr>
        <w:pStyle w:val="H1GR"/>
      </w:pPr>
      <w:r>
        <w:rPr>
          <w:lang w:val="en-US"/>
        </w:rPr>
        <w:tab/>
      </w:r>
      <w:r w:rsidRPr="00EB2CE1">
        <w:t>B.</w:t>
      </w:r>
      <w:r w:rsidRPr="00EB2CE1">
        <w:tab/>
        <w:t xml:space="preserve">Стратегическое видение </w:t>
      </w:r>
      <w:proofErr w:type="spellStart"/>
      <w:r w:rsidRPr="00EB2CE1">
        <w:t>УВКПЧ</w:t>
      </w:r>
      <w:proofErr w:type="spellEnd"/>
      <w:r w:rsidRPr="00EB2CE1">
        <w:t xml:space="preserve"> в отношении последующей деятельности по итогам универсального периодического обзора и Фонда: движение вперед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9.</w:t>
      </w:r>
      <w:r w:rsidRPr="00EB2CE1">
        <w:rPr>
          <w:bCs/>
        </w:rPr>
        <w:tab/>
      </w:r>
      <w:r w:rsidRPr="00EB2CE1">
        <w:t>Как отмечалось в предыдущем докладе (A/</w:t>
      </w:r>
      <w:proofErr w:type="spellStart"/>
      <w:r w:rsidRPr="00EB2CE1">
        <w:t>HRC</w:t>
      </w:r>
      <w:proofErr w:type="spellEnd"/>
      <w:r w:rsidRPr="00EB2CE1">
        <w:t xml:space="preserve">/26/54), </w:t>
      </w:r>
      <w:proofErr w:type="spellStart"/>
      <w:r w:rsidRPr="00EB2CE1">
        <w:t>УВКПЧ</w:t>
      </w:r>
      <w:proofErr w:type="spellEnd"/>
      <w:r w:rsidRPr="00EB2CE1">
        <w:t xml:space="preserve"> наращ</w:t>
      </w:r>
      <w:r w:rsidRPr="00EB2CE1">
        <w:t>и</w:t>
      </w:r>
      <w:r w:rsidRPr="00EB2CE1">
        <w:t xml:space="preserve">вает потенциал </w:t>
      </w:r>
      <w:r>
        <w:t>в</w:t>
      </w:r>
      <w:r w:rsidRPr="00EB2CE1">
        <w:t xml:space="preserve"> цел</w:t>
      </w:r>
      <w:r>
        <w:t>ях</w:t>
      </w:r>
      <w:r w:rsidRPr="00EB2CE1">
        <w:t xml:space="preserve"> оказания более широкой поддержки государствам в их усилиях по выполнению рекомендаций, сформулированных в ходе универсал</w:t>
      </w:r>
      <w:r w:rsidRPr="00EB2CE1">
        <w:t>ь</w:t>
      </w:r>
      <w:r w:rsidRPr="00EB2CE1">
        <w:t>ного периодического обзора, в том числе посредством ввода в действие Добр</w:t>
      </w:r>
      <w:r w:rsidRPr="00EB2CE1">
        <w:t>о</w:t>
      </w:r>
      <w:r w:rsidRPr="00EB2CE1">
        <w:t>вольного фонда. Эти усилия включа</w:t>
      </w:r>
      <w:r>
        <w:t>ют в себя</w:t>
      </w:r>
      <w:r w:rsidRPr="00EB2CE1">
        <w:t xml:space="preserve"> применение комплексного подх</w:t>
      </w:r>
      <w:r w:rsidRPr="00EB2CE1">
        <w:t>о</w:t>
      </w:r>
      <w:r w:rsidRPr="00EB2CE1">
        <w:t>да к поддержке выполнения рекомендаций, поступающих от всех междунаро</w:t>
      </w:r>
      <w:r w:rsidRPr="00EB2CE1">
        <w:t>д</w:t>
      </w:r>
      <w:r w:rsidRPr="00EB2CE1">
        <w:t>ных механизмов по правам человека.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10.</w:t>
      </w:r>
      <w:r w:rsidRPr="00EB2CE1">
        <w:rPr>
          <w:bCs/>
        </w:rPr>
        <w:tab/>
      </w:r>
      <w:proofErr w:type="spellStart"/>
      <w:r w:rsidRPr="00EB2CE1">
        <w:t>УВКПЧ</w:t>
      </w:r>
      <w:proofErr w:type="spellEnd"/>
      <w:r w:rsidRPr="00EB2CE1">
        <w:t xml:space="preserve"> </w:t>
      </w:r>
      <w:r>
        <w:t>взяло на вооружение</w:t>
      </w:r>
      <w:r w:rsidRPr="00EB2CE1">
        <w:t xml:space="preserve"> более </w:t>
      </w:r>
      <w:r>
        <w:t>дальновидное</w:t>
      </w:r>
      <w:r w:rsidRPr="00EB2CE1">
        <w:t>, систематическое и ориентированное на достижение результатов стратегическое видение послед</w:t>
      </w:r>
      <w:r w:rsidRPr="00EB2CE1">
        <w:t>у</w:t>
      </w:r>
      <w:r w:rsidRPr="00EB2CE1">
        <w:t>ющей деятельности по итогам универсального периодического обзора. Эта о</w:t>
      </w:r>
      <w:r w:rsidRPr="00EB2CE1">
        <w:t>б</w:t>
      </w:r>
      <w:r w:rsidRPr="00EB2CE1">
        <w:t xml:space="preserve">новленная стратегия последующей деятельности обеспечивает </w:t>
      </w:r>
      <w:proofErr w:type="spellStart"/>
      <w:r w:rsidRPr="00EB2CE1">
        <w:t>УВКПЧ</w:t>
      </w:r>
      <w:proofErr w:type="spellEnd"/>
      <w:r w:rsidRPr="00EB2CE1">
        <w:t xml:space="preserve"> во</w:t>
      </w:r>
      <w:r w:rsidRPr="00EB2CE1">
        <w:t>з</w:t>
      </w:r>
      <w:r w:rsidRPr="00EB2CE1">
        <w:t xml:space="preserve">можность оказывать государствам на местах более эффективную поддержку, будь то непосредственным образом или путем интеграции такой поддержки в программы последующих действий, разрабатываемые </w:t>
      </w:r>
      <w:proofErr w:type="spellStart"/>
      <w:r w:rsidRPr="00EB2CE1">
        <w:t>страновыми</w:t>
      </w:r>
      <w:proofErr w:type="spellEnd"/>
      <w:r w:rsidRPr="00EB2CE1">
        <w:t xml:space="preserve"> группами Организации Объединенных Наций, с тем чтобы государства могли достигать конкретных результатов в </w:t>
      </w:r>
      <w:r>
        <w:t>деле</w:t>
      </w:r>
      <w:r w:rsidRPr="00EB2CE1">
        <w:t xml:space="preserve"> поощрения и защиты прав человека.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11.</w:t>
      </w:r>
      <w:r w:rsidRPr="00EB2CE1">
        <w:rPr>
          <w:bCs/>
        </w:rPr>
        <w:tab/>
      </w:r>
      <w:r w:rsidRPr="00EB2CE1">
        <w:t xml:space="preserve">Основываясь на накопленном опыте, </w:t>
      </w:r>
      <w:proofErr w:type="spellStart"/>
      <w:r w:rsidRPr="00EB2CE1">
        <w:t>УВКПЧ</w:t>
      </w:r>
      <w:proofErr w:type="spellEnd"/>
      <w:r w:rsidRPr="00EB2CE1">
        <w:t xml:space="preserve"> концентрирует свои усилия на оказании поддержки в создании и/или активизации национальных процессов последующей деятельности: эффективно функционирующий межучережденч</w:t>
      </w:r>
      <w:r w:rsidRPr="00EB2CE1">
        <w:t>е</w:t>
      </w:r>
      <w:r w:rsidRPr="00EB2CE1">
        <w:t>ский орган был назван одним из ключевых элементов для обеспечения более результативной последующей деятельности на национальном уровне</w:t>
      </w:r>
      <w:r>
        <w:t xml:space="preserve"> наряду с</w:t>
      </w:r>
      <w:r w:rsidRPr="00EB2CE1">
        <w:t xml:space="preserve"> осуществлени</w:t>
      </w:r>
      <w:r>
        <w:t>ем</w:t>
      </w:r>
      <w:r w:rsidRPr="00EB2CE1">
        <w:t xml:space="preserve"> плана действий, в котором четко определены приоритеты и достижимые результаты, ответственные за осуществление национальные пр</w:t>
      </w:r>
      <w:r w:rsidRPr="00EB2CE1">
        <w:t>а</w:t>
      </w:r>
      <w:r w:rsidRPr="00EB2CE1">
        <w:t>вительственные учреждения, а также показатели и сроки для оценки результ</w:t>
      </w:r>
      <w:r w:rsidRPr="00EB2CE1">
        <w:t>а</w:t>
      </w:r>
      <w:r w:rsidRPr="00EB2CE1">
        <w:t xml:space="preserve">тов. Кроме того, </w:t>
      </w:r>
      <w:proofErr w:type="spellStart"/>
      <w:r w:rsidRPr="00EB2CE1">
        <w:t>УВКПЧ</w:t>
      </w:r>
      <w:proofErr w:type="spellEnd"/>
      <w:r w:rsidRPr="00EB2CE1">
        <w:t xml:space="preserve"> оказывает поддержку в ключевых тематических обл</w:t>
      </w:r>
      <w:r w:rsidRPr="00EB2CE1">
        <w:t>а</w:t>
      </w:r>
      <w:r w:rsidRPr="00EB2CE1">
        <w:t>стях, содержащихся в таких планах действий, которые были определены в кач</w:t>
      </w:r>
      <w:r w:rsidRPr="00EB2CE1">
        <w:t>е</w:t>
      </w:r>
      <w:r w:rsidRPr="00EB2CE1">
        <w:t>стве приоритетных вопросов в области осуществления.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12.</w:t>
      </w:r>
      <w:r w:rsidRPr="00EB2CE1">
        <w:rPr>
          <w:bCs/>
        </w:rPr>
        <w:tab/>
      </w:r>
      <w:r w:rsidRPr="00EB2CE1">
        <w:t xml:space="preserve">Важным приоритетным элементом для </w:t>
      </w:r>
      <w:proofErr w:type="spellStart"/>
      <w:r w:rsidRPr="00EB2CE1">
        <w:t>УВКПЧ</w:t>
      </w:r>
      <w:proofErr w:type="spellEnd"/>
      <w:r w:rsidRPr="00EB2CE1">
        <w:t xml:space="preserve"> является также докуме</w:t>
      </w:r>
      <w:r w:rsidRPr="00EB2CE1">
        <w:t>н</w:t>
      </w:r>
      <w:r w:rsidRPr="00EB2CE1">
        <w:t>т</w:t>
      </w:r>
      <w:r>
        <w:t>ирование передовой практики</w:t>
      </w:r>
      <w:r w:rsidRPr="00EB2CE1">
        <w:t xml:space="preserve">. </w:t>
      </w:r>
      <w:r>
        <w:t>Крайне в</w:t>
      </w:r>
      <w:r w:rsidRPr="00EB2CE1">
        <w:t>ажно, чтобы оптимальн</w:t>
      </w:r>
      <w:r>
        <w:t>ая</w:t>
      </w:r>
      <w:r w:rsidRPr="00EB2CE1">
        <w:t xml:space="preserve"> практик</w:t>
      </w:r>
      <w:r>
        <w:t>а, связанная с</w:t>
      </w:r>
      <w:r w:rsidRPr="00EB2CE1">
        <w:t xml:space="preserve"> национальны</w:t>
      </w:r>
      <w:r>
        <w:t>ми</w:t>
      </w:r>
      <w:r w:rsidRPr="00EB2CE1">
        <w:t xml:space="preserve"> процесс</w:t>
      </w:r>
      <w:r>
        <w:t>ами</w:t>
      </w:r>
      <w:r w:rsidRPr="00EB2CE1">
        <w:t xml:space="preserve"> последующей деятельности, включая способы совместной работы учреждений Организации Объединенных Наций на </w:t>
      </w:r>
      <w:proofErr w:type="spellStart"/>
      <w:r w:rsidRPr="00EB2CE1">
        <w:t>страновом</w:t>
      </w:r>
      <w:proofErr w:type="spellEnd"/>
      <w:r w:rsidRPr="00EB2CE1">
        <w:t xml:space="preserve"> уровне в целях поощрения прав человека, распростран</w:t>
      </w:r>
      <w:r>
        <w:t>ялась</w:t>
      </w:r>
      <w:r w:rsidRPr="001C594A">
        <w:t xml:space="preserve"> </w:t>
      </w:r>
      <w:r w:rsidRPr="00EB2CE1">
        <w:t>макс</w:t>
      </w:r>
      <w:r w:rsidRPr="00EB2CE1">
        <w:t>и</w:t>
      </w:r>
      <w:r w:rsidRPr="00EB2CE1">
        <w:lastRenderedPageBreak/>
        <w:t>мально широко. В связи с этим Добровольный фонд продолжает финансировать подготовк</w:t>
      </w:r>
      <w:r>
        <w:t>у</w:t>
      </w:r>
      <w:r w:rsidRPr="00EB2CE1">
        <w:t xml:space="preserve"> документации о передовом опыте, в частности о таких национал</w:t>
      </w:r>
      <w:r w:rsidRPr="00EB2CE1">
        <w:t>ь</w:t>
      </w:r>
      <w:r w:rsidRPr="00EB2CE1">
        <w:t xml:space="preserve">ных процессах. Кроме того, он стремится документировать передовую практику и накопленный опыт в области осуществления </w:t>
      </w:r>
      <w:r>
        <w:t xml:space="preserve">мер по </w:t>
      </w:r>
      <w:r w:rsidRPr="00EB2CE1">
        <w:t>важны</w:t>
      </w:r>
      <w:r>
        <w:t>м</w:t>
      </w:r>
      <w:r w:rsidRPr="00EB2CE1">
        <w:t xml:space="preserve"> тематически</w:t>
      </w:r>
      <w:r>
        <w:t>м</w:t>
      </w:r>
      <w:r w:rsidRPr="00EB2CE1">
        <w:t xml:space="preserve"> вопрос</w:t>
      </w:r>
      <w:r>
        <w:t>ам</w:t>
      </w:r>
      <w:r w:rsidRPr="00EB2CE1">
        <w:t>, которые были затронуты в рекомендациях универсального период</w:t>
      </w:r>
      <w:r w:rsidRPr="00EB2CE1">
        <w:t>и</w:t>
      </w:r>
      <w:r w:rsidRPr="00EB2CE1">
        <w:t>ческого обзора.</w:t>
      </w:r>
    </w:p>
    <w:p w:rsidR="00F1223D" w:rsidRPr="00EB2CE1" w:rsidRDefault="00F1223D" w:rsidP="00F1223D">
      <w:pPr>
        <w:pStyle w:val="HChGR"/>
      </w:pPr>
      <w:r w:rsidRPr="00EB2CE1">
        <w:tab/>
      </w:r>
      <w:proofErr w:type="spellStart"/>
      <w:r w:rsidRPr="00EB2CE1">
        <w:t>III</w:t>
      </w:r>
      <w:proofErr w:type="spellEnd"/>
      <w:r w:rsidRPr="00EB2CE1">
        <w:t>.</w:t>
      </w:r>
      <w:r w:rsidRPr="00EB2CE1">
        <w:tab/>
        <w:t>Деятельность, которая будет финансироваться Фондом в 2015</w:t>
      </w:r>
      <w:r>
        <w:t> год</w:t>
      </w:r>
      <w:r w:rsidRPr="00EB2CE1">
        <w:t>у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13.</w:t>
      </w:r>
      <w:r w:rsidRPr="00EB2CE1">
        <w:rPr>
          <w:bCs/>
        </w:rPr>
        <w:tab/>
      </w:r>
      <w:r w:rsidRPr="00EB2CE1">
        <w:t xml:space="preserve">Как отмечалось выше, в рамках усилий по систематизации поддержки, оказываемой государствам, ряду государств будет предоставлена техническая помощь с </w:t>
      </w:r>
      <w:r>
        <w:t>заострением</w:t>
      </w:r>
      <w:r w:rsidRPr="00EB2CE1">
        <w:t xml:space="preserve"> внимания </w:t>
      </w:r>
      <w:r>
        <w:t xml:space="preserve">на </w:t>
      </w:r>
      <w:r w:rsidRPr="00EB2CE1">
        <w:t>вопроса</w:t>
      </w:r>
      <w:r>
        <w:t>х</w:t>
      </w:r>
      <w:r w:rsidRPr="00EB2CE1">
        <w:t xml:space="preserve"> </w:t>
      </w:r>
      <w:r>
        <w:t>формирования</w:t>
      </w:r>
      <w:r w:rsidRPr="00EB2CE1">
        <w:t xml:space="preserve"> и/или укрепления национальных процессов последующей деятельности.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14.</w:t>
      </w:r>
      <w:r w:rsidRPr="00EB2CE1">
        <w:rPr>
          <w:bCs/>
        </w:rPr>
        <w:tab/>
      </w:r>
      <w:r w:rsidRPr="00EB2CE1">
        <w:t>Например, правительству Боснии и Герцеговин</w:t>
      </w:r>
      <w:r>
        <w:t>ы</w:t>
      </w:r>
      <w:r w:rsidRPr="00EB2CE1">
        <w:t xml:space="preserve"> будет оказываться н</w:t>
      </w:r>
      <w:r w:rsidRPr="00EB2CE1">
        <w:t>е</w:t>
      </w:r>
      <w:r w:rsidRPr="00EB2CE1">
        <w:t xml:space="preserve">прерывная поддержка через </w:t>
      </w:r>
      <w:proofErr w:type="spellStart"/>
      <w:r w:rsidRPr="00EB2CE1">
        <w:t>страновую</w:t>
      </w:r>
      <w:proofErr w:type="spellEnd"/>
      <w:r w:rsidRPr="00EB2CE1">
        <w:t xml:space="preserve"> группу Организации Объединенных Наций </w:t>
      </w:r>
      <w:r>
        <w:t>в</w:t>
      </w:r>
      <w:r w:rsidRPr="00EB2CE1">
        <w:t xml:space="preserve"> цел</w:t>
      </w:r>
      <w:r>
        <w:t>ях</w:t>
      </w:r>
      <w:r w:rsidRPr="00EB2CE1">
        <w:t xml:space="preserve"> подготовки </w:t>
      </w:r>
      <w:r>
        <w:t>страной</w:t>
      </w:r>
      <w:r w:rsidRPr="00EB2CE1">
        <w:t xml:space="preserve"> плана осуществления рекомендаций униве</w:t>
      </w:r>
      <w:r w:rsidRPr="00EB2CE1">
        <w:t>р</w:t>
      </w:r>
      <w:r w:rsidRPr="00EB2CE1">
        <w:t>сального периодического обзора второго цикла путем проведения рабочих с</w:t>
      </w:r>
      <w:r w:rsidRPr="00EB2CE1">
        <w:t>о</w:t>
      </w:r>
      <w:r w:rsidRPr="00EB2CE1">
        <w:t>вещаний и консультаций, укрепления взаимодействия с заинтересованными сторонами, включая омбудсмена, а также профессиональной подготовки гос</w:t>
      </w:r>
      <w:r w:rsidRPr="00EB2CE1">
        <w:t>у</w:t>
      </w:r>
      <w:r w:rsidRPr="00EB2CE1">
        <w:t>дарственных служащих.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15.</w:t>
      </w:r>
      <w:r w:rsidRPr="00EB2CE1">
        <w:rPr>
          <w:bCs/>
        </w:rPr>
        <w:tab/>
      </w:r>
      <w:r w:rsidRPr="00EB2CE1">
        <w:t xml:space="preserve">В Чаде техническая помощь будет предоставляться властям в </w:t>
      </w:r>
      <w:r>
        <w:t>деле</w:t>
      </w:r>
      <w:r w:rsidRPr="00EB2CE1">
        <w:t xml:space="preserve"> разр</w:t>
      </w:r>
      <w:r w:rsidRPr="00EB2CE1">
        <w:t>а</w:t>
      </w:r>
      <w:r w:rsidRPr="00EB2CE1">
        <w:t>ботки и принятия в сотрудничестве с гражданским обществом национального плана действий по осуществлению рекомендаций, вынесенных договорными органами и в рамках универсального периодического обзора. Помощь будет оказана</w:t>
      </w:r>
      <w:r w:rsidRPr="00E15802">
        <w:t xml:space="preserve"> </w:t>
      </w:r>
      <w:r w:rsidRPr="00EB2CE1">
        <w:t>также в доработк</w:t>
      </w:r>
      <w:r>
        <w:t>е</w:t>
      </w:r>
      <w:r w:rsidRPr="00EB2CE1">
        <w:t xml:space="preserve"> </w:t>
      </w:r>
      <w:r>
        <w:t>уставных документов</w:t>
      </w:r>
      <w:r w:rsidRPr="00EB2CE1">
        <w:t xml:space="preserve"> Национальной комиссии по правам человека и </w:t>
      </w:r>
      <w:r>
        <w:t xml:space="preserve">в </w:t>
      </w:r>
      <w:r w:rsidRPr="00EB2CE1">
        <w:t>наращивани</w:t>
      </w:r>
      <w:r>
        <w:t>и</w:t>
      </w:r>
      <w:r w:rsidRPr="00EB2CE1">
        <w:t xml:space="preserve"> потенциала ее членов в соответствии с при</w:t>
      </w:r>
      <w:r w:rsidRPr="00EB2CE1">
        <w:t>н</w:t>
      </w:r>
      <w:r w:rsidRPr="00EB2CE1">
        <w:t>ципами, касающимися статуса национальных учреждений, занимающихся п</w:t>
      </w:r>
      <w:r w:rsidRPr="00EB2CE1">
        <w:t>о</w:t>
      </w:r>
      <w:r w:rsidRPr="00EB2CE1">
        <w:t>ощрением и защитой прав человека (Парижские принципы).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16.</w:t>
      </w:r>
      <w:r w:rsidRPr="00EB2CE1">
        <w:rPr>
          <w:bCs/>
        </w:rPr>
        <w:tab/>
      </w:r>
      <w:r w:rsidRPr="00EB2CE1">
        <w:t>В Коста-Рике Региональное отделение для Центральной Америки будет продолжать оказывать стране поддержку и помощь в деле укрепления потенц</w:t>
      </w:r>
      <w:r w:rsidRPr="00EB2CE1">
        <w:t>и</w:t>
      </w:r>
      <w:r w:rsidRPr="00EB2CE1">
        <w:t>ала межведомственной комиссии по последующей деятельности в связи с ос</w:t>
      </w:r>
      <w:r w:rsidRPr="00EB2CE1">
        <w:t>у</w:t>
      </w:r>
      <w:r w:rsidRPr="00EB2CE1">
        <w:t>ществлением рекомендаций правозащитных механизмов и оказывать технич</w:t>
      </w:r>
      <w:r w:rsidRPr="00EB2CE1">
        <w:t>е</w:t>
      </w:r>
      <w:r w:rsidRPr="00EB2CE1">
        <w:t xml:space="preserve">скую консультативную помощь по приоритетным рекомендациям. В частности, </w:t>
      </w:r>
      <w:proofErr w:type="spellStart"/>
      <w:r w:rsidRPr="00EB2CE1">
        <w:t>УВКПЧ</w:t>
      </w:r>
      <w:proofErr w:type="spellEnd"/>
      <w:r w:rsidRPr="00EB2CE1">
        <w:t xml:space="preserve"> будет оказывать </w:t>
      </w:r>
      <w:r>
        <w:t>содействие</w:t>
      </w:r>
      <w:r w:rsidRPr="00EB2CE1">
        <w:t xml:space="preserve"> в разработке "дорожной карты" для ос</w:t>
      </w:r>
      <w:r w:rsidRPr="00EB2CE1">
        <w:t>у</w:t>
      </w:r>
      <w:r w:rsidRPr="00EB2CE1">
        <w:t>ществления последующей деятельности по рекомендациям универсального п</w:t>
      </w:r>
      <w:r w:rsidRPr="00EB2CE1">
        <w:t>е</w:t>
      </w:r>
      <w:r w:rsidRPr="00EB2CE1">
        <w:t>риодического обзора, вынесенны</w:t>
      </w:r>
      <w:r>
        <w:t>м</w:t>
      </w:r>
      <w:r w:rsidRPr="00EB2CE1">
        <w:t xml:space="preserve"> в ходе первого и второго циклов, а также поддержку в </w:t>
      </w:r>
      <w:r>
        <w:t>вопросах всестороннего</w:t>
      </w:r>
      <w:r w:rsidRPr="00EB2CE1">
        <w:t xml:space="preserve"> учета рекомендаций, выносимых всеми правозащитными механизмами, в процессе разработки программ и оказания помощи Организацией Объединенных Наций.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17.</w:t>
      </w:r>
      <w:r w:rsidRPr="00EB2CE1">
        <w:rPr>
          <w:bCs/>
        </w:rPr>
        <w:tab/>
      </w:r>
      <w:r w:rsidRPr="00EB2CE1">
        <w:t xml:space="preserve">В Доминиканской Республике </w:t>
      </w:r>
      <w:r>
        <w:t>поддержка</w:t>
      </w:r>
      <w:r w:rsidRPr="00EB2CE1">
        <w:t xml:space="preserve"> будет оказываться советником по правам человека для содействия диалогу между государственными учрежд</w:t>
      </w:r>
      <w:r w:rsidRPr="00EB2CE1">
        <w:t>е</w:t>
      </w:r>
      <w:r w:rsidRPr="00EB2CE1">
        <w:t>ниями и гражданским обществом, а также в целях активизации процесса разр</w:t>
      </w:r>
      <w:r w:rsidRPr="00EB2CE1">
        <w:t>а</w:t>
      </w:r>
      <w:r w:rsidRPr="00EB2CE1">
        <w:t xml:space="preserve">ботки национального плана действий в области прав человека </w:t>
      </w:r>
      <w:r>
        <w:t>в</w:t>
      </w:r>
      <w:r w:rsidRPr="00EB2CE1">
        <w:t xml:space="preserve"> цел</w:t>
      </w:r>
      <w:r>
        <w:t>ях</w:t>
      </w:r>
      <w:r w:rsidRPr="00EB2CE1">
        <w:t xml:space="preserve"> принятия последующих мер по рекомендациям универсального периодического обзора. Техническая консультативная помощь будет предоставляться также для опред</w:t>
      </w:r>
      <w:r w:rsidRPr="00EB2CE1">
        <w:t>е</w:t>
      </w:r>
      <w:r w:rsidRPr="00EB2CE1">
        <w:t xml:space="preserve">ления методологии и сроков этой </w:t>
      </w:r>
      <w:r>
        <w:t>работы</w:t>
      </w:r>
      <w:r w:rsidRPr="00EB2CE1">
        <w:t>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18.</w:t>
      </w:r>
      <w:r w:rsidRPr="00EB2CE1">
        <w:rPr>
          <w:bCs/>
        </w:rPr>
        <w:tab/>
      </w:r>
      <w:r w:rsidRPr="00EB2CE1">
        <w:t>Советник по правам человека, котор</w:t>
      </w:r>
      <w:r>
        <w:t>ый</w:t>
      </w:r>
      <w:r w:rsidRPr="00EB2CE1">
        <w:t xml:space="preserve"> недавно</w:t>
      </w:r>
      <w:r w:rsidRPr="00094853">
        <w:t xml:space="preserve"> </w:t>
      </w:r>
      <w:r w:rsidRPr="00EB2CE1">
        <w:t xml:space="preserve">был </w:t>
      </w:r>
      <w:r>
        <w:t>назначен</w:t>
      </w:r>
      <w:r w:rsidRPr="00EB2CE1">
        <w:t xml:space="preserve"> на Ямайке, будет оказывать поддержку в </w:t>
      </w:r>
      <w:r>
        <w:t>деле</w:t>
      </w:r>
      <w:r w:rsidRPr="00EB2CE1">
        <w:t xml:space="preserve"> подготовки общего базового документа, </w:t>
      </w:r>
      <w:r>
        <w:t>что</w:t>
      </w:r>
      <w:r w:rsidRPr="00EB2CE1">
        <w:t xml:space="preserve"> будет способствовать наращиванию потенциала </w:t>
      </w:r>
      <w:r>
        <w:t xml:space="preserve">Ямайки </w:t>
      </w:r>
      <w:r w:rsidRPr="00EB2CE1">
        <w:t>для выполнения обяз</w:t>
      </w:r>
      <w:r w:rsidRPr="00EB2CE1">
        <w:t>а</w:t>
      </w:r>
      <w:r w:rsidRPr="00EB2CE1">
        <w:lastRenderedPageBreak/>
        <w:t>тельств по представлению докладов международным механизмам по правам ч</w:t>
      </w:r>
      <w:r w:rsidRPr="00EB2CE1">
        <w:t>е</w:t>
      </w:r>
      <w:r w:rsidRPr="00EB2CE1">
        <w:t>ловека в рамках последующей деятельности по выполнению рекомендаций универсального периодического обзора. Будет также оказываться поддержка в создани</w:t>
      </w:r>
      <w:r>
        <w:t>и</w:t>
      </w:r>
      <w:r w:rsidRPr="00EB2CE1">
        <w:t xml:space="preserve"> базы данных о рекомендациях в области прав человека, с тем чтобы расширить </w:t>
      </w:r>
      <w:r>
        <w:t>возможности</w:t>
      </w:r>
      <w:r w:rsidRPr="00EB2CE1">
        <w:t xml:space="preserve"> государств</w:t>
      </w:r>
      <w:r>
        <w:t>а</w:t>
      </w:r>
      <w:r w:rsidRPr="00EB2CE1">
        <w:t xml:space="preserve"> в области последующей деятельности по выполнению рекомендаций всех международных механизмов по правам чел</w:t>
      </w:r>
      <w:r w:rsidRPr="00EB2CE1">
        <w:t>о</w:t>
      </w:r>
      <w:r w:rsidRPr="00EB2CE1">
        <w:t>века.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19.</w:t>
      </w:r>
      <w:r w:rsidRPr="00EB2CE1">
        <w:rPr>
          <w:bCs/>
        </w:rPr>
        <w:tab/>
      </w:r>
      <w:r w:rsidRPr="00EB2CE1">
        <w:t>В Казахстане техническая помощь будет предоставл</w:t>
      </w:r>
      <w:r>
        <w:t>яться</w:t>
      </w:r>
      <w:r w:rsidRPr="00EB2CE1">
        <w:t xml:space="preserve"> правительству для выполнения им рекомендаций, которые были вынесены в ходе второго ци</w:t>
      </w:r>
      <w:r w:rsidRPr="00EB2CE1">
        <w:t>к</w:t>
      </w:r>
      <w:r w:rsidRPr="00EB2CE1">
        <w:t>ла универсального периодического обзора и в которых был сформулирован призыв к разработке и осуществлению национального плана действий в обл</w:t>
      </w:r>
      <w:r w:rsidRPr="00EB2CE1">
        <w:t>а</w:t>
      </w:r>
      <w:r w:rsidRPr="00EB2CE1">
        <w:t>сти прав человека, а также к укреплению потенциала национального преве</w:t>
      </w:r>
      <w:r w:rsidRPr="00EB2CE1">
        <w:t>н</w:t>
      </w:r>
      <w:r w:rsidRPr="00EB2CE1">
        <w:t xml:space="preserve">тивного механизма. </w:t>
      </w:r>
      <w:r>
        <w:t>Эксперты подготовят советы и рекомендации по вопросам</w:t>
      </w:r>
      <w:r w:rsidRPr="00EB2CE1">
        <w:t xml:space="preserve"> создания постоянного национального координационного механизма для обесп</w:t>
      </w:r>
      <w:r w:rsidRPr="00EB2CE1">
        <w:t>е</w:t>
      </w:r>
      <w:r w:rsidRPr="00EB2CE1">
        <w:t>чения комплексной последующей деятельности в связи с рекомендациями пр</w:t>
      </w:r>
      <w:r w:rsidRPr="00EB2CE1">
        <w:t>а</w:t>
      </w:r>
      <w:r w:rsidRPr="00EB2CE1">
        <w:t>возащитных механизмов.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20.</w:t>
      </w:r>
      <w:r w:rsidRPr="00EB2CE1">
        <w:rPr>
          <w:bCs/>
        </w:rPr>
        <w:tab/>
      </w:r>
      <w:r w:rsidRPr="00EB2CE1">
        <w:t>Бывшая югославская Республика Македония по итогам первого униве</w:t>
      </w:r>
      <w:r w:rsidRPr="00EB2CE1">
        <w:t>р</w:t>
      </w:r>
      <w:r w:rsidRPr="00EB2CE1">
        <w:t xml:space="preserve">сального периодического обзора учредила </w:t>
      </w:r>
      <w:proofErr w:type="spellStart"/>
      <w:r w:rsidRPr="00EB2CE1">
        <w:t>Межсекторальный</w:t>
      </w:r>
      <w:proofErr w:type="spellEnd"/>
      <w:r w:rsidRPr="00EB2CE1">
        <w:t xml:space="preserve"> орган по правам человека. Этот орган состоит из </w:t>
      </w:r>
      <w:r>
        <w:t>статс-</w:t>
      </w:r>
      <w:r w:rsidRPr="00EB2CE1">
        <w:t>секретарей ключевых министерств и и</w:t>
      </w:r>
      <w:r w:rsidRPr="00EB2CE1">
        <w:t>г</w:t>
      </w:r>
      <w:r w:rsidRPr="00EB2CE1">
        <w:t xml:space="preserve">рает ведущую роль в координации последующей деятельности по выполнению рекомендаций, вынесенных </w:t>
      </w:r>
      <w:r>
        <w:t>в рамках</w:t>
      </w:r>
      <w:r w:rsidRPr="00EB2CE1">
        <w:t xml:space="preserve"> универсального периодического обзора, а также другими правозащитными механизмами. Последующая деятельность по итогам консультаций по поводу второго универсального периодического обзора </w:t>
      </w:r>
      <w:r>
        <w:t>высветила</w:t>
      </w:r>
      <w:r w:rsidRPr="00EB2CE1">
        <w:t xml:space="preserve"> необходимость усиления существенной и экспертной поддержки о</w:t>
      </w:r>
      <w:r w:rsidRPr="00EB2CE1">
        <w:t>р</w:t>
      </w:r>
      <w:r w:rsidRPr="00EB2CE1">
        <w:t>гану, а также наращивания потенциала посредством подключения "консульт</w:t>
      </w:r>
      <w:r w:rsidRPr="00EB2CE1">
        <w:t>а</w:t>
      </w:r>
      <w:r w:rsidRPr="00EB2CE1">
        <w:t xml:space="preserve">тивной группы экспертов". Будет оказана техническая помощь для содействия </w:t>
      </w:r>
      <w:r>
        <w:t>укреплению</w:t>
      </w:r>
      <w:r w:rsidRPr="00EB2CE1">
        <w:t xml:space="preserve"> потенциала этого органа и группы экспертов. Будет организован целый ряд мероприятий, в том числе ознакомительные </w:t>
      </w:r>
      <w:r>
        <w:t>поездки</w:t>
      </w:r>
      <w:r w:rsidRPr="00EB2CE1">
        <w:t xml:space="preserve"> в другие гос</w:t>
      </w:r>
      <w:r w:rsidRPr="00EB2CE1">
        <w:t>у</w:t>
      </w:r>
      <w:r w:rsidRPr="00EB2CE1">
        <w:t xml:space="preserve">дарства, находящиеся в аналогичном положении, "наставничество" со стороны другого государства </w:t>
      </w:r>
      <w:r>
        <w:t xml:space="preserve">по вопросам </w:t>
      </w:r>
      <w:r w:rsidRPr="00EB2CE1">
        <w:t>последующей деятельности в области сове</w:t>
      </w:r>
      <w:r w:rsidRPr="00EB2CE1">
        <w:t>р</w:t>
      </w:r>
      <w:r w:rsidRPr="00EB2CE1">
        <w:t xml:space="preserve">шенствования процесса и </w:t>
      </w:r>
      <w:r>
        <w:t>расширения возможностей</w:t>
      </w:r>
      <w:r w:rsidRPr="00EB2CE1">
        <w:t>, практикумы (</w:t>
      </w:r>
      <w:r>
        <w:t>которые</w:t>
      </w:r>
      <w:r w:rsidRPr="00EB2CE1">
        <w:t xml:space="preserve"> б</w:t>
      </w:r>
      <w:r w:rsidRPr="00EB2CE1">
        <w:t>у</w:t>
      </w:r>
      <w:r w:rsidRPr="00EB2CE1">
        <w:t>д</w:t>
      </w:r>
      <w:r>
        <w:t>у</w:t>
      </w:r>
      <w:r w:rsidRPr="00EB2CE1">
        <w:t>т также способствовать более активному участию заинтересованных пре</w:t>
      </w:r>
      <w:r w:rsidRPr="00EB2CE1">
        <w:t>д</w:t>
      </w:r>
      <w:r w:rsidRPr="00EB2CE1">
        <w:t>ставителей гражданского общества), а также семинары для изучения рекоме</w:t>
      </w:r>
      <w:r w:rsidRPr="00EB2CE1">
        <w:t>н</w:t>
      </w:r>
      <w:r w:rsidRPr="00EB2CE1">
        <w:t>даций и разработки инструментария для мониторинга последующей деятельн</w:t>
      </w:r>
      <w:r w:rsidRPr="00EB2CE1">
        <w:t>о</w:t>
      </w:r>
      <w:r w:rsidRPr="00EB2CE1">
        <w:t>сти по их выполнению.</w:t>
      </w:r>
    </w:p>
    <w:p w:rsidR="00F1223D" w:rsidRPr="00EB2CE1" w:rsidRDefault="00F1223D" w:rsidP="00F1223D">
      <w:pPr>
        <w:pStyle w:val="SingleTxtGR"/>
      </w:pPr>
      <w:r w:rsidRPr="00EB2CE1">
        <w:rPr>
          <w:bCs/>
        </w:rPr>
        <w:t>21.</w:t>
      </w:r>
      <w:r w:rsidRPr="00EB2CE1">
        <w:rPr>
          <w:bCs/>
        </w:rPr>
        <w:tab/>
      </w:r>
      <w:r w:rsidRPr="00EB2CE1">
        <w:t xml:space="preserve">В Малайзии тематическая группа по правам человека и развитию </w:t>
      </w:r>
      <w:proofErr w:type="spellStart"/>
      <w:r w:rsidRPr="00EB2CE1">
        <w:t>стран</w:t>
      </w:r>
      <w:r w:rsidRPr="00EB2CE1">
        <w:t>о</w:t>
      </w:r>
      <w:r w:rsidRPr="00EB2CE1">
        <w:t>вой</w:t>
      </w:r>
      <w:proofErr w:type="spellEnd"/>
      <w:r w:rsidRPr="00EB2CE1">
        <w:t xml:space="preserve"> группы Организации Объединенных Наций взаимодействует с правител</w:t>
      </w:r>
      <w:r w:rsidRPr="00EB2CE1">
        <w:t>ь</w:t>
      </w:r>
      <w:r w:rsidRPr="00EB2CE1">
        <w:t>ством в целях разработки национального плана действий по выполнению рек</w:t>
      </w:r>
      <w:r w:rsidRPr="00EB2CE1">
        <w:t>о</w:t>
      </w:r>
      <w:r w:rsidRPr="00EB2CE1">
        <w:t>мендаций второго цикла универсального периодического обзора. В этой связи будет оказана поддержка в организации консультативных совещаний между правительством и другими заинтересованными сторонами по вопросам разр</w:t>
      </w:r>
      <w:r w:rsidRPr="00EB2CE1">
        <w:t>а</w:t>
      </w:r>
      <w:r w:rsidRPr="00EB2CE1">
        <w:t>ботки плана действий. Национальная комиссия по правам человека Малайзии</w:t>
      </w:r>
      <w:r>
        <w:t>,</w:t>
      </w:r>
      <w:r w:rsidRPr="00EB2CE1">
        <w:t xml:space="preserve"> в</w:t>
      </w:r>
      <w:r>
        <w:t>ходящая</w:t>
      </w:r>
      <w:r w:rsidRPr="00EB2CE1">
        <w:t xml:space="preserve"> </w:t>
      </w:r>
      <w:r>
        <w:t>в состав</w:t>
      </w:r>
      <w:r w:rsidRPr="00EB2CE1">
        <w:t xml:space="preserve"> Правительственной целевой группы по вопросам разработки национального плана действий в области прав человека</w:t>
      </w:r>
      <w:r>
        <w:t>,</w:t>
      </w:r>
      <w:r w:rsidRPr="00EB2CE1">
        <w:t xml:space="preserve"> собирается </w:t>
      </w:r>
      <w:r>
        <w:t>создать</w:t>
      </w:r>
      <w:r w:rsidRPr="00EB2CE1">
        <w:t xml:space="preserve"> б</w:t>
      </w:r>
      <w:r w:rsidRPr="00EB2CE1">
        <w:t>а</w:t>
      </w:r>
      <w:r w:rsidRPr="00EB2CE1">
        <w:t>зу данных для отслеживания хода выполнения рекомендаций по итогам униве</w:t>
      </w:r>
      <w:r w:rsidRPr="00EB2CE1">
        <w:t>р</w:t>
      </w:r>
      <w:r w:rsidRPr="00EB2CE1">
        <w:t xml:space="preserve">сального периодического обзора в </w:t>
      </w:r>
      <w:r>
        <w:t xml:space="preserve">рамках </w:t>
      </w:r>
      <w:r w:rsidRPr="00EB2CE1">
        <w:t>консультаци</w:t>
      </w:r>
      <w:r>
        <w:t>й</w:t>
      </w:r>
      <w:r w:rsidRPr="00EB2CE1">
        <w:t xml:space="preserve"> с правительством М</w:t>
      </w:r>
      <w:r w:rsidRPr="00EB2CE1">
        <w:t>а</w:t>
      </w:r>
      <w:r w:rsidRPr="00EB2CE1">
        <w:t xml:space="preserve">лайзии. В связи с этим Комиссии будет оказана поддержка </w:t>
      </w:r>
      <w:r>
        <w:t>в</w:t>
      </w:r>
      <w:r w:rsidRPr="00EB2CE1">
        <w:t xml:space="preserve"> разработк</w:t>
      </w:r>
      <w:r>
        <w:t>е</w:t>
      </w:r>
      <w:r w:rsidRPr="00EB2CE1">
        <w:t xml:space="preserve"> такой базы данных, которая будет основана на примерах передовой практики других стран в этой области.</w:t>
      </w:r>
    </w:p>
    <w:p w:rsidR="00F1223D" w:rsidRPr="00EB2CE1" w:rsidRDefault="00F1223D" w:rsidP="00B4717A">
      <w:pPr>
        <w:pStyle w:val="SingleTxtGR"/>
        <w:keepNext/>
        <w:keepLines/>
      </w:pPr>
      <w:r w:rsidRPr="00EB2CE1">
        <w:rPr>
          <w:bCs/>
        </w:rPr>
        <w:lastRenderedPageBreak/>
        <w:t>22.</w:t>
      </w:r>
      <w:r w:rsidRPr="00EB2CE1">
        <w:rPr>
          <w:bCs/>
        </w:rPr>
        <w:tab/>
      </w:r>
      <w:r w:rsidRPr="00EB2CE1">
        <w:t>Мали будет оказана техническая помощь в целях укрепления национал</w:t>
      </w:r>
      <w:r w:rsidRPr="00EB2CE1">
        <w:t>ь</w:t>
      </w:r>
      <w:r w:rsidRPr="00EB2CE1">
        <w:t>ных процессов последующей деятельности. Так, предоставляемая помощь б</w:t>
      </w:r>
      <w:r w:rsidRPr="00EB2CE1">
        <w:t>у</w:t>
      </w:r>
      <w:r w:rsidRPr="00EB2CE1">
        <w:t>дет направлена конкретно на: разв</w:t>
      </w:r>
      <w:r>
        <w:t>е</w:t>
      </w:r>
      <w:r w:rsidRPr="00EB2CE1">
        <w:t>ртывание дискуссии по вопросу о целесоо</w:t>
      </w:r>
      <w:r w:rsidRPr="00EB2CE1">
        <w:t>б</w:t>
      </w:r>
      <w:r w:rsidRPr="00EB2CE1">
        <w:t xml:space="preserve">разности объединения различных действующих в стране </w:t>
      </w:r>
      <w:proofErr w:type="spellStart"/>
      <w:r w:rsidRPr="00EB2CE1">
        <w:t>междепартаментских</w:t>
      </w:r>
      <w:proofErr w:type="spellEnd"/>
      <w:r w:rsidRPr="00EB2CE1">
        <w:t xml:space="preserve"> комитетов; поддержку </w:t>
      </w:r>
      <w:proofErr w:type="spellStart"/>
      <w:r w:rsidRPr="00EB2CE1">
        <w:t>малийских</w:t>
      </w:r>
      <w:proofErr w:type="spellEnd"/>
      <w:r w:rsidRPr="00EB2CE1">
        <w:t xml:space="preserve"> властей в </w:t>
      </w:r>
      <w:r>
        <w:t xml:space="preserve">деле </w:t>
      </w:r>
      <w:r w:rsidRPr="00EB2CE1">
        <w:t>подготовк</w:t>
      </w:r>
      <w:r>
        <w:t>и</w:t>
      </w:r>
      <w:r w:rsidRPr="00EB2CE1">
        <w:t xml:space="preserve"> плана действий по осуществлению рекомендаций универсального периодического обзора; и оказ</w:t>
      </w:r>
      <w:r w:rsidRPr="00EB2CE1">
        <w:t>а</w:t>
      </w:r>
      <w:r w:rsidRPr="00EB2CE1">
        <w:t>ние поддержки Национальному руководящему комитету в период до объедин</w:t>
      </w:r>
      <w:r w:rsidRPr="00EB2CE1">
        <w:t>е</w:t>
      </w:r>
      <w:r w:rsidRPr="00EB2CE1">
        <w:t xml:space="preserve">ния различных существующих </w:t>
      </w:r>
      <w:proofErr w:type="spellStart"/>
      <w:r w:rsidRPr="00EB2CE1">
        <w:t>междепартамен</w:t>
      </w:r>
      <w:r>
        <w:t>т</w:t>
      </w:r>
      <w:r w:rsidRPr="00EB2CE1">
        <w:t>ских</w:t>
      </w:r>
      <w:proofErr w:type="spellEnd"/>
      <w:r w:rsidRPr="00EB2CE1">
        <w:t xml:space="preserve"> комитетов. Национальный консультант будет оказывать властям помощь в разработке плана действий по осуществлению рекомендаций.</w:t>
      </w:r>
    </w:p>
    <w:p w:rsidR="00F1223D" w:rsidRPr="000450D1" w:rsidRDefault="00F1223D" w:rsidP="00F1223D">
      <w:pPr>
        <w:pStyle w:val="SingleTxtGR"/>
      </w:pPr>
      <w:r w:rsidRPr="00EB2CE1">
        <w:rPr>
          <w:bCs/>
        </w:rPr>
        <w:t>23.</w:t>
      </w:r>
      <w:r w:rsidRPr="00EB2CE1">
        <w:rPr>
          <w:bCs/>
        </w:rPr>
        <w:tab/>
      </w:r>
      <w:r w:rsidRPr="00EB2CE1">
        <w:t>В ответ на обращение правительства Мавритании за помощью в разр</w:t>
      </w:r>
      <w:r w:rsidRPr="00EB2CE1">
        <w:t>а</w:t>
      </w:r>
      <w:r w:rsidRPr="00EB2CE1">
        <w:t xml:space="preserve">ботке и осуществлении стратегии последующей деятельности по выполнению рекомендаций универсального периодического обзора и других механизмов по правам человека при поддержке </w:t>
      </w:r>
      <w:proofErr w:type="spellStart"/>
      <w:r w:rsidRPr="00EB2CE1">
        <w:t>страновой</w:t>
      </w:r>
      <w:proofErr w:type="spellEnd"/>
      <w:r w:rsidRPr="00EB2CE1">
        <w:t xml:space="preserve"> группы Организации Объединенных </w:t>
      </w:r>
      <w:r>
        <w:t>Наций и во взаимодействии с ней</w:t>
      </w:r>
      <w:r w:rsidRPr="00EB2CE1">
        <w:t xml:space="preserve"> будет оказана техническая помощь прав</w:t>
      </w:r>
      <w:r w:rsidRPr="00EB2CE1">
        <w:t>и</w:t>
      </w:r>
      <w:r w:rsidRPr="00EB2CE1">
        <w:t>тельству, которое, в свою очередь, обязалось создать межведомственный техн</w:t>
      </w:r>
      <w:r w:rsidRPr="00EB2CE1">
        <w:t>и</w:t>
      </w:r>
      <w:r w:rsidRPr="00EB2CE1">
        <w:t>ческий комитет, который будет принимать меры по осуществлению рекоменд</w:t>
      </w:r>
      <w:r w:rsidRPr="00EB2CE1">
        <w:t>а</w:t>
      </w:r>
      <w:r w:rsidRPr="00EB2CE1">
        <w:t>ций, сформулированных по итогам универсального периодического обзора и вынесенных другими механизмами по правам человека. Эта техническая п</w:t>
      </w:r>
      <w:r w:rsidRPr="00EB2CE1">
        <w:t>о</w:t>
      </w:r>
      <w:r w:rsidRPr="00EB2CE1">
        <w:t xml:space="preserve">мощь направлена непосредственно на </w:t>
      </w:r>
      <w:r>
        <w:t xml:space="preserve">оказание </w:t>
      </w:r>
      <w:r w:rsidRPr="00EB2CE1">
        <w:t>поддержк</w:t>
      </w:r>
      <w:r>
        <w:t>и в</w:t>
      </w:r>
      <w:r w:rsidRPr="00EB2CE1">
        <w:t xml:space="preserve"> создани</w:t>
      </w:r>
      <w:r>
        <w:t>и</w:t>
      </w:r>
      <w:r w:rsidRPr="00EB2CE1">
        <w:t xml:space="preserve"> межв</w:t>
      </w:r>
      <w:r w:rsidRPr="00EB2CE1">
        <w:t>е</w:t>
      </w:r>
      <w:r w:rsidRPr="00EB2CE1">
        <w:t>домственного технического комитета, отвечающего за осуществление, контроль и представление докладов договорным органам, специальным процедурам и в рамках универсального периодического обзора. Кроме того, будет оказана по</w:t>
      </w:r>
      <w:r w:rsidRPr="00EB2CE1">
        <w:t>д</w:t>
      </w:r>
      <w:r w:rsidRPr="00EB2CE1">
        <w:t>держка в разработке национального плана действий по осуществлению. С этой целью будет организовано рабочее совещание по утверждению национального плана действий по выполнению рекомендаций договорных органов, специал</w:t>
      </w:r>
      <w:r w:rsidRPr="00EB2CE1">
        <w:t>ь</w:t>
      </w:r>
      <w:r w:rsidRPr="00EB2CE1">
        <w:t>ных процедур и универсального периодического обзора с участием Национал</w:t>
      </w:r>
      <w:r w:rsidRPr="00EB2CE1">
        <w:t>ь</w:t>
      </w:r>
      <w:r w:rsidRPr="00EB2CE1">
        <w:t>ной комиссии по правам человека и организаций гражданского общества.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24.</w:t>
      </w:r>
      <w:r w:rsidRPr="00D078AC">
        <w:rPr>
          <w:bCs/>
        </w:rPr>
        <w:tab/>
      </w:r>
      <w:r w:rsidRPr="00D078AC">
        <w:t>В Нигерии правительству будет оказана помощь в укреплении межведо</w:t>
      </w:r>
      <w:r w:rsidRPr="00D078AC">
        <w:t>м</w:t>
      </w:r>
      <w:r w:rsidRPr="00D078AC">
        <w:t>ственного комитета и в подготовке проекта национального плана действий по осуществлению рекомендаций универсального периодического обзора в с</w:t>
      </w:r>
      <w:r w:rsidRPr="00D078AC">
        <w:t>о</w:t>
      </w:r>
      <w:r w:rsidRPr="00D078AC">
        <w:t xml:space="preserve">трудничестве с соответствующими заинтересованными сторонами, включая Национальную комиссию по правам человека и </w:t>
      </w:r>
      <w:r>
        <w:t xml:space="preserve">представителей </w:t>
      </w:r>
      <w:r w:rsidRPr="00D078AC">
        <w:t>гражданского общества. Для достижения этой цели в дополнение к помощи со стороны с</w:t>
      </w:r>
      <w:r w:rsidRPr="00D078AC">
        <w:t>о</w:t>
      </w:r>
      <w:r w:rsidRPr="00D078AC">
        <w:t xml:space="preserve">ветника по правам человека </w:t>
      </w:r>
      <w:proofErr w:type="spellStart"/>
      <w:r w:rsidRPr="00D078AC">
        <w:t>УВКПЧ</w:t>
      </w:r>
      <w:proofErr w:type="spellEnd"/>
      <w:r w:rsidRPr="00D078AC">
        <w:t xml:space="preserve"> будет назначен национальный консультант, который будет оказывать помощь межведомственному комитету в разработке плана действий и в подготовк</w:t>
      </w:r>
      <w:r>
        <w:t>е</w:t>
      </w:r>
      <w:r w:rsidRPr="00D078AC">
        <w:t xml:space="preserve"> докладов, подлежащих представлению догово</w:t>
      </w:r>
      <w:r w:rsidRPr="00D078AC">
        <w:t>р</w:t>
      </w:r>
      <w:r w:rsidRPr="00D078AC">
        <w:t>ным органам.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25.</w:t>
      </w:r>
      <w:r w:rsidRPr="00D078AC">
        <w:rPr>
          <w:bCs/>
        </w:rPr>
        <w:tab/>
      </w:r>
      <w:r w:rsidRPr="00D078AC">
        <w:t xml:space="preserve">В Парагвае советник по правам человека будет продолжать оказывать техническую помощь государственным учреждениям в двух сферах: </w:t>
      </w:r>
      <w:r>
        <w:br/>
      </w:r>
      <w:r w:rsidRPr="00D078AC">
        <w:t>а) в осу</w:t>
      </w:r>
      <w:r>
        <w:t>ществлении</w:t>
      </w:r>
      <w:r w:rsidRPr="00D078AC">
        <w:t xml:space="preserve"> приоритетных рекомендаций в трех тематических областях и b) </w:t>
      </w:r>
      <w:r>
        <w:t>в</w:t>
      </w:r>
      <w:r w:rsidRPr="00D078AC">
        <w:t xml:space="preserve"> укреплени</w:t>
      </w:r>
      <w:r>
        <w:t>и потенциала Министерства иностранных дел, М</w:t>
      </w:r>
      <w:r w:rsidRPr="00D078AC">
        <w:t>инистерства юс</w:t>
      </w:r>
      <w:r>
        <w:t>тиции и С</w:t>
      </w:r>
      <w:r w:rsidRPr="00D078AC">
        <w:t>ети исполнительной власти по правам человека для осуществления мониторинга и представления информации о прогрессе, достигнутом в деле осуществления международных рекомендаций в области прав человека</w:t>
      </w:r>
      <w:r>
        <w:t>,</w:t>
      </w:r>
      <w:r w:rsidRPr="00D078AC">
        <w:t xml:space="preserve"> за счет создания системы </w:t>
      </w:r>
      <w:r>
        <w:t>мониторинга</w:t>
      </w:r>
      <w:r w:rsidRPr="00D078AC">
        <w:t xml:space="preserve">, разработанной в рамках этого сотрудничества. </w:t>
      </w:r>
      <w:r>
        <w:t>В </w:t>
      </w:r>
      <w:r w:rsidRPr="00D078AC">
        <w:t>более конкретно</w:t>
      </w:r>
      <w:r>
        <w:t>м плане</w:t>
      </w:r>
      <w:r w:rsidRPr="00D078AC">
        <w:t xml:space="preserve"> </w:t>
      </w:r>
      <w:proofErr w:type="spellStart"/>
      <w:r w:rsidRPr="00D078AC">
        <w:t>УВКПЧ</w:t>
      </w:r>
      <w:proofErr w:type="spellEnd"/>
      <w:r w:rsidRPr="00D078AC">
        <w:t xml:space="preserve"> будет и далее оказывать техническую п</w:t>
      </w:r>
      <w:r w:rsidRPr="00D078AC">
        <w:t>о</w:t>
      </w:r>
      <w:r w:rsidRPr="00D078AC">
        <w:t xml:space="preserve">мощь, проводить специализированную подготовку и обеспечивать поддержку </w:t>
      </w:r>
      <w:r>
        <w:t xml:space="preserve">для </w:t>
      </w:r>
      <w:r w:rsidRPr="00D078AC">
        <w:t>проведения широких консультаций с целевыми группами, чтобы укрепить потенциал Секретариата социального обеспечения, Институт</w:t>
      </w:r>
      <w:r>
        <w:t>а</w:t>
      </w:r>
      <w:r w:rsidRPr="00D078AC">
        <w:t xml:space="preserve"> по вопросам к</w:t>
      </w:r>
      <w:r w:rsidRPr="00D078AC">
        <w:t>о</w:t>
      </w:r>
      <w:r w:rsidRPr="00D078AC">
        <w:t>ренных народов и Национальн</w:t>
      </w:r>
      <w:r>
        <w:t>ого</w:t>
      </w:r>
      <w:r w:rsidRPr="00D078AC">
        <w:t xml:space="preserve"> секретар</w:t>
      </w:r>
      <w:r>
        <w:t>я</w:t>
      </w:r>
      <w:r w:rsidRPr="00D078AC">
        <w:t xml:space="preserve"> по вопросам прав инвалидов в о</w:t>
      </w:r>
      <w:r w:rsidRPr="00D078AC">
        <w:t>б</w:t>
      </w:r>
      <w:r w:rsidRPr="00D078AC">
        <w:t>ласти применения правозащитного подхода при определении</w:t>
      </w:r>
      <w:r>
        <w:t xml:space="preserve"> мер</w:t>
      </w:r>
      <w:r w:rsidRPr="00D078AC">
        <w:t xml:space="preserve"> политики </w:t>
      </w:r>
      <w:r>
        <w:t xml:space="preserve">в </w:t>
      </w:r>
      <w:r>
        <w:lastRenderedPageBreak/>
        <w:t xml:space="preserve">области </w:t>
      </w:r>
      <w:r w:rsidRPr="00D078AC">
        <w:t xml:space="preserve">борьбы с нищетой, защиты коренных народов и прав инвалидов. </w:t>
      </w:r>
      <w:proofErr w:type="spellStart"/>
      <w:r w:rsidRPr="00D078AC">
        <w:t>УВКПЧ</w:t>
      </w:r>
      <w:proofErr w:type="spellEnd"/>
      <w:r w:rsidRPr="00D078AC">
        <w:t xml:space="preserve"> будет также продолжать оказывать Парагваю содействие в целях п</w:t>
      </w:r>
      <w:r w:rsidRPr="00D078AC">
        <w:t>о</w:t>
      </w:r>
      <w:r w:rsidRPr="00D078AC">
        <w:t xml:space="preserve">вышения потенциала учреждений, использующих базу данных </w:t>
      </w:r>
      <w:proofErr w:type="spellStart"/>
      <w:r w:rsidRPr="00D078AC">
        <w:t>СИМОРЕ</w:t>
      </w:r>
      <w:proofErr w:type="spellEnd"/>
      <w:r w:rsidRPr="00D078AC">
        <w:t xml:space="preserve"> </w:t>
      </w:r>
      <w:r w:rsidR="00B31D1B">
        <w:br/>
      </w:r>
      <w:r w:rsidRPr="00D078AC">
        <w:t>(с</w:t>
      </w:r>
      <w:r w:rsidRPr="00D078AC">
        <w:t>и</w:t>
      </w:r>
      <w:r w:rsidRPr="00D078AC">
        <w:t xml:space="preserve">стема </w:t>
      </w:r>
      <w:r>
        <w:t xml:space="preserve">мониторинга </w:t>
      </w:r>
      <w:r w:rsidRPr="00D078AC">
        <w:t xml:space="preserve">международных рекомендаций), разработанную в рамках первого этапа сотрудничества с </w:t>
      </w:r>
      <w:proofErr w:type="spellStart"/>
      <w:r w:rsidRPr="00D078AC">
        <w:t>УВКПЧ</w:t>
      </w:r>
      <w:proofErr w:type="spellEnd"/>
      <w:r w:rsidRPr="00D078AC">
        <w:t xml:space="preserve">. Кроме того, по просьбе правительства </w:t>
      </w:r>
      <w:proofErr w:type="spellStart"/>
      <w:r w:rsidRPr="00D078AC">
        <w:t>УВКПЧ</w:t>
      </w:r>
      <w:proofErr w:type="spellEnd"/>
      <w:r w:rsidRPr="00D078AC">
        <w:t xml:space="preserve"> будет также оказывать необходимую техническую помощь и соде</w:t>
      </w:r>
      <w:r w:rsidRPr="00D078AC">
        <w:t>й</w:t>
      </w:r>
      <w:r w:rsidRPr="00D078AC">
        <w:t xml:space="preserve">ствие в установлении связи между базой данных </w:t>
      </w:r>
      <w:proofErr w:type="spellStart"/>
      <w:r w:rsidRPr="00D078AC">
        <w:t>СИМОРЕ</w:t>
      </w:r>
      <w:proofErr w:type="spellEnd"/>
      <w:r w:rsidRPr="00D078AC">
        <w:t xml:space="preserve"> и базой данных ун</w:t>
      </w:r>
      <w:r w:rsidRPr="00D078AC">
        <w:t>и</w:t>
      </w:r>
      <w:r w:rsidRPr="00D078AC">
        <w:t xml:space="preserve">версального индекса по правам человека, находящейся в ведении </w:t>
      </w:r>
      <w:proofErr w:type="spellStart"/>
      <w:r w:rsidRPr="00D078AC">
        <w:t>УВКПЧ</w:t>
      </w:r>
      <w:proofErr w:type="spellEnd"/>
      <w:r w:rsidRPr="00D078AC">
        <w:t xml:space="preserve"> в Ж</w:t>
      </w:r>
      <w:r w:rsidRPr="00D078AC">
        <w:t>е</w:t>
      </w:r>
      <w:r w:rsidRPr="00D078AC">
        <w:t>неве.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26.</w:t>
      </w:r>
      <w:r w:rsidRPr="00D078AC">
        <w:rPr>
          <w:bCs/>
        </w:rPr>
        <w:tab/>
      </w:r>
      <w:r w:rsidRPr="00D078AC">
        <w:t>В Руанде будет назначен национальный консультант для выполнения под руководством советника по правам человека следующей основной деятельн</w:t>
      </w:r>
      <w:r w:rsidRPr="00D078AC">
        <w:t>о</w:t>
      </w:r>
      <w:r w:rsidRPr="00D078AC">
        <w:t>сти. Во-первых, он будет оказывать техническую поддержку в укреплении п</w:t>
      </w:r>
      <w:r w:rsidRPr="00D078AC">
        <w:t>о</w:t>
      </w:r>
      <w:r w:rsidRPr="00D078AC">
        <w:t>тенциала Целевой группы правительства Руанды по представлению докладов договорным органам, которая после обзора 2011 года разработала "дорожную карту" для универсального периодического обзора и которой была поручена р</w:t>
      </w:r>
      <w:r w:rsidRPr="00D078AC">
        <w:t>а</w:t>
      </w:r>
      <w:r w:rsidRPr="00D078AC">
        <w:t>бота по осуществлению рекомендаций. Во-вторых, он будет оказывать по</w:t>
      </w:r>
      <w:r w:rsidRPr="00D078AC">
        <w:t>д</w:t>
      </w:r>
      <w:r w:rsidRPr="00D078AC">
        <w:t>держку Национальной комиссии по правам человека и соответствующим заи</w:t>
      </w:r>
      <w:r w:rsidRPr="00D078AC">
        <w:t>н</w:t>
      </w:r>
      <w:r w:rsidRPr="00D078AC">
        <w:t xml:space="preserve">тересованным сторонам в разработке и осуществлении политики в области прав человека. Национальный консультант входит в структуру </w:t>
      </w:r>
      <w:r>
        <w:t>к</w:t>
      </w:r>
      <w:r w:rsidRPr="00D078AC">
        <w:t>анцелярии координ</w:t>
      </w:r>
      <w:r w:rsidRPr="00D078AC">
        <w:t>а</w:t>
      </w:r>
      <w:r w:rsidRPr="00D078AC">
        <w:t>тора-резидента и занимается в первую очередь последующей деятельностью по итогам универсального периодического обзора, а также соответствующими программами, которые должны быть разработаны</w:t>
      </w:r>
      <w:r>
        <w:t xml:space="preserve"> по линии профильного плана</w:t>
      </w:r>
      <w:r w:rsidRPr="00D078AC">
        <w:t xml:space="preserve"> в рамках </w:t>
      </w:r>
      <w:r>
        <w:t>П</w:t>
      </w:r>
      <w:r w:rsidRPr="00D078AC">
        <w:t>рограммы Организации Объединенных Наций по оказанию помощи в целях развития, известно</w:t>
      </w:r>
      <w:r>
        <w:t>го</w:t>
      </w:r>
      <w:r w:rsidRPr="00D078AC">
        <w:t xml:space="preserve"> как "Доступ к правосудию, права человека и укрепление мира".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27.</w:t>
      </w:r>
      <w:r w:rsidRPr="00D078AC">
        <w:rPr>
          <w:bCs/>
        </w:rPr>
        <w:tab/>
      </w:r>
      <w:r w:rsidRPr="00D078AC">
        <w:t>В Сенегале техническая помощь будет оказана Техническому комитету, который проведет обзор национального плана действий по выполнению рек</w:t>
      </w:r>
      <w:r w:rsidRPr="00D078AC">
        <w:t>о</w:t>
      </w:r>
      <w:r w:rsidRPr="00D078AC">
        <w:t>мендаций международных механизмов по правам человека, в том числе униве</w:t>
      </w:r>
      <w:r w:rsidRPr="00D078AC">
        <w:t>р</w:t>
      </w:r>
      <w:r w:rsidRPr="00D078AC">
        <w:t>сального периодического обзора.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28.</w:t>
      </w:r>
      <w:r w:rsidRPr="00D078AC">
        <w:rPr>
          <w:bCs/>
        </w:rPr>
        <w:tab/>
      </w:r>
      <w:r w:rsidRPr="00D078AC">
        <w:t>В ответ на обращение Сейшельских Островов</w:t>
      </w:r>
      <w:r>
        <w:t xml:space="preserve"> с просьбой</w:t>
      </w:r>
      <w:r w:rsidRPr="00D078AC">
        <w:t xml:space="preserve"> о предоставл</w:t>
      </w:r>
      <w:r w:rsidRPr="00D078AC">
        <w:t>е</w:t>
      </w:r>
      <w:r w:rsidRPr="00D078AC">
        <w:t>нии финансовой и технической помощи будет оказано техническое содействие в целях укрепления национального учреждения по правам человека, чтобы обе</w:t>
      </w:r>
      <w:r w:rsidRPr="00D078AC">
        <w:t>с</w:t>
      </w:r>
      <w:r w:rsidRPr="00D078AC">
        <w:t>печить его соответствие Парижским принципам, которое будет иметь форму помощи в проведении пересмотра соответствующего законодательства и в ра</w:t>
      </w:r>
      <w:r w:rsidRPr="00D078AC">
        <w:t>з</w:t>
      </w:r>
      <w:r w:rsidRPr="00D078AC">
        <w:t xml:space="preserve">работке законопроекта о внесении в него изменений и дополнений, а также </w:t>
      </w:r>
      <w:r>
        <w:t xml:space="preserve">в проведении </w:t>
      </w:r>
      <w:r w:rsidRPr="00D078AC">
        <w:t>обзор</w:t>
      </w:r>
      <w:r>
        <w:t>а</w:t>
      </w:r>
      <w:r w:rsidRPr="00D078AC">
        <w:t xml:space="preserve"> нынеш</w:t>
      </w:r>
      <w:r>
        <w:t>ней</w:t>
      </w:r>
      <w:r w:rsidRPr="00D078AC">
        <w:t xml:space="preserve"> организационно</w:t>
      </w:r>
      <w:r>
        <w:t>й</w:t>
      </w:r>
      <w:r w:rsidRPr="00D078AC">
        <w:t xml:space="preserve"> </w:t>
      </w:r>
      <w:r>
        <w:t xml:space="preserve">структуры </w:t>
      </w:r>
      <w:r w:rsidRPr="00D078AC">
        <w:t>этого учреждения. Будет оказана помощь в разработк</w:t>
      </w:r>
      <w:r>
        <w:t>е</w:t>
      </w:r>
      <w:r w:rsidRPr="00D078AC">
        <w:t xml:space="preserve"> координационного механизма по вопросам образования в области прав человека. Кроме того, помощь будет оказываться в целях укрепления потенциала правоохранительных органов </w:t>
      </w:r>
      <w:r>
        <w:t xml:space="preserve">для </w:t>
      </w:r>
      <w:r w:rsidRPr="00D078AC">
        <w:t>обеспечения соблюдени</w:t>
      </w:r>
      <w:r>
        <w:t>я</w:t>
      </w:r>
      <w:r w:rsidRPr="00D078AC">
        <w:t xml:space="preserve"> </w:t>
      </w:r>
      <w:r>
        <w:t xml:space="preserve">стандартов ювенальной юстиции; это </w:t>
      </w:r>
      <w:r w:rsidRPr="00D078AC">
        <w:t xml:space="preserve">будет </w:t>
      </w:r>
      <w:r>
        <w:t xml:space="preserve">иметь </w:t>
      </w:r>
      <w:r w:rsidRPr="00D078AC">
        <w:t>форм</w:t>
      </w:r>
      <w:r>
        <w:t>у</w:t>
      </w:r>
      <w:r w:rsidRPr="00D078AC">
        <w:t xml:space="preserve"> соде</w:t>
      </w:r>
      <w:r w:rsidRPr="00D078AC">
        <w:t>й</w:t>
      </w:r>
      <w:r w:rsidRPr="00D078AC">
        <w:t xml:space="preserve">ствия </w:t>
      </w:r>
      <w:r>
        <w:t xml:space="preserve">в </w:t>
      </w:r>
      <w:r w:rsidRPr="00D078AC">
        <w:t>проведени</w:t>
      </w:r>
      <w:r>
        <w:t>и</w:t>
      </w:r>
      <w:r w:rsidRPr="00D078AC">
        <w:t xml:space="preserve"> оценки существующей практики и разра</w:t>
      </w:r>
      <w:r>
        <w:t>ботке</w:t>
      </w:r>
      <w:r w:rsidRPr="00D078AC">
        <w:t xml:space="preserve"> стандартов и процедур.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29.</w:t>
      </w:r>
      <w:r w:rsidRPr="00D078AC">
        <w:rPr>
          <w:bCs/>
        </w:rPr>
        <w:tab/>
      </w:r>
      <w:r w:rsidRPr="00D078AC">
        <w:t>Соломоновым Островам будет оказываться поддержка за счет привлеч</w:t>
      </w:r>
      <w:r w:rsidRPr="00D078AC">
        <w:t>е</w:t>
      </w:r>
      <w:r w:rsidRPr="00D078AC">
        <w:t xml:space="preserve">ния национального добровольца Организации Объединенных Наций, который будет </w:t>
      </w:r>
      <w:r>
        <w:t>работать в структуре М</w:t>
      </w:r>
      <w:r w:rsidRPr="00D078AC">
        <w:t>инистерств</w:t>
      </w:r>
      <w:r>
        <w:t>а</w:t>
      </w:r>
      <w:r w:rsidRPr="00D078AC">
        <w:t xml:space="preserve"> юстиции и </w:t>
      </w:r>
      <w:r>
        <w:t>по делам законодател</w:t>
      </w:r>
      <w:r>
        <w:t>ь</w:t>
      </w:r>
      <w:r>
        <w:t>ства</w:t>
      </w:r>
      <w:r w:rsidRPr="00D078AC">
        <w:t xml:space="preserve">. Этот доброволец будет </w:t>
      </w:r>
      <w:r>
        <w:t xml:space="preserve">действовать </w:t>
      </w:r>
      <w:r w:rsidRPr="00D078AC">
        <w:t>в тесном контакте с соответствующ</w:t>
      </w:r>
      <w:r w:rsidRPr="00D078AC">
        <w:t>и</w:t>
      </w:r>
      <w:r w:rsidRPr="00D078AC">
        <w:t xml:space="preserve">ми государственными </w:t>
      </w:r>
      <w:r>
        <w:t>ведомствами</w:t>
      </w:r>
      <w:r w:rsidRPr="00D078AC">
        <w:t>, гражданским обществом, учреждениями Организации Объединенных Наций и региональными организациями, с тем чтобы поощрять и поддерживать создание межведомственного координацио</w:t>
      </w:r>
      <w:r w:rsidRPr="00D078AC">
        <w:t>н</w:t>
      </w:r>
      <w:r w:rsidRPr="00D078AC">
        <w:t xml:space="preserve">ного комитета, отвечающего за представление </w:t>
      </w:r>
      <w:r>
        <w:t xml:space="preserve">докладов </w:t>
      </w:r>
      <w:r w:rsidRPr="00D078AC">
        <w:t>международным мех</w:t>
      </w:r>
      <w:r w:rsidRPr="00D078AC">
        <w:t>а</w:t>
      </w:r>
      <w:r w:rsidRPr="00D078AC">
        <w:t xml:space="preserve">низмам по правам человека, включая универсальный периодический обзор и </w:t>
      </w:r>
      <w:r w:rsidRPr="00D078AC">
        <w:lastRenderedPageBreak/>
        <w:t>договорные органы. Доброволец будет также оказывать помощь правительству в деле подготовки доклада для второго цикла универсального периодического обзора путем подведения итогов в отношении уровня выполнения рекоменд</w:t>
      </w:r>
      <w:r w:rsidRPr="00D078AC">
        <w:t>а</w:t>
      </w:r>
      <w:r w:rsidRPr="00D078AC">
        <w:t>ций, вынесенных по итогам первого цикла, в том числе на основе консультаций с различными заинтересованными сторонами по вопросу о недостатках, изм</w:t>
      </w:r>
      <w:r w:rsidRPr="00D078AC">
        <w:t>е</w:t>
      </w:r>
      <w:r w:rsidRPr="00D078AC">
        <w:t>нениях и мероприятиях, имеющих отношение к этим рекомендациям.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30.</w:t>
      </w:r>
      <w:r w:rsidRPr="00D078AC">
        <w:rPr>
          <w:bCs/>
        </w:rPr>
        <w:tab/>
      </w:r>
      <w:r w:rsidRPr="00D078AC">
        <w:t>Судану будет оказана техническая помощь в укреплени</w:t>
      </w:r>
      <w:r>
        <w:t>и</w:t>
      </w:r>
      <w:r w:rsidRPr="00D078AC">
        <w:t xml:space="preserve"> потенциала Специального уголовного суда по событиям в </w:t>
      </w:r>
      <w:proofErr w:type="spellStart"/>
      <w:r w:rsidRPr="00D078AC">
        <w:t>Дарфуре</w:t>
      </w:r>
      <w:proofErr w:type="spellEnd"/>
      <w:r w:rsidRPr="00D078AC">
        <w:t>. Эта помощь будет ок</w:t>
      </w:r>
      <w:r w:rsidRPr="00D078AC">
        <w:t>а</w:t>
      </w:r>
      <w:r w:rsidRPr="00D078AC">
        <w:t>зываться в форме проведения учебных курсов для судей и работников судебных органов по вопросам применения международных стандартов в области уг</w:t>
      </w:r>
      <w:r w:rsidRPr="00D078AC">
        <w:t>о</w:t>
      </w:r>
      <w:r w:rsidRPr="00D078AC">
        <w:t>ловного правосудия. Кроме того, будут организованы учебные курсы по пров</w:t>
      </w:r>
      <w:r w:rsidRPr="00D078AC">
        <w:t>е</w:t>
      </w:r>
      <w:r w:rsidRPr="00D078AC">
        <w:t>дению уголовных расследований. Техническая помощь будет предоставляться в соответствии с рекомендациями, касающимися, в частности</w:t>
      </w:r>
      <w:r>
        <w:t>,</w:t>
      </w:r>
      <w:r w:rsidRPr="00D078AC">
        <w:t xml:space="preserve"> поддержки при</w:t>
      </w:r>
      <w:r w:rsidRPr="00D078AC">
        <w:t>н</w:t>
      </w:r>
      <w:r w:rsidRPr="00D078AC">
        <w:t xml:space="preserve">ципа верховенства права и отправления правосудия в </w:t>
      </w:r>
      <w:proofErr w:type="spellStart"/>
      <w:r w:rsidRPr="00D078AC">
        <w:t>Дарфуре</w:t>
      </w:r>
      <w:proofErr w:type="spellEnd"/>
      <w:r w:rsidRPr="00D078AC">
        <w:t xml:space="preserve"> и организации программ профессиональной подготовки для сотрудников судебных и прав</w:t>
      </w:r>
      <w:r w:rsidRPr="00D078AC">
        <w:t>о</w:t>
      </w:r>
      <w:r w:rsidRPr="00D078AC">
        <w:t>охранительных органов, которые пользуются поддержкой Судана.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31.</w:t>
      </w:r>
      <w:r w:rsidRPr="00D078AC">
        <w:rPr>
          <w:bCs/>
        </w:rPr>
        <w:tab/>
      </w:r>
      <w:r w:rsidRPr="00D078AC">
        <w:t xml:space="preserve">Правительству Таджикистана техническая помощь будет оказываться </w:t>
      </w:r>
      <w:r>
        <w:t xml:space="preserve">в деле </w:t>
      </w:r>
      <w:r w:rsidRPr="00D078AC">
        <w:t>укрепления структуры и потенциала национального координационного механизма, чтобы обеспечить эффективную координацию и мониторинг посл</w:t>
      </w:r>
      <w:r w:rsidRPr="00D078AC">
        <w:t>е</w:t>
      </w:r>
      <w:r w:rsidRPr="00D078AC">
        <w:t>дующей деятельности по выполнению рекомендаций механизмов по правам ч</w:t>
      </w:r>
      <w:r w:rsidRPr="00D078AC">
        <w:t>е</w:t>
      </w:r>
      <w:r w:rsidRPr="00D078AC">
        <w:t>ловека. В частности, будет усовершенствована нормативно-правовая база нац</w:t>
      </w:r>
      <w:r w:rsidRPr="00D078AC">
        <w:t>и</w:t>
      </w:r>
      <w:r w:rsidRPr="00D078AC">
        <w:t xml:space="preserve">онального координационного механизма на основании рекомендаций экспертов, предоставленных в рамках этой технической помощи. Будет организован ряд учебных курсов и семинаров по международным механизмам в области прав человека и их требованиям в отношении представления </w:t>
      </w:r>
      <w:r>
        <w:t xml:space="preserve">докладов </w:t>
      </w:r>
      <w:r w:rsidRPr="00D078AC">
        <w:t>для предст</w:t>
      </w:r>
      <w:r w:rsidRPr="00D078AC">
        <w:t>а</w:t>
      </w:r>
      <w:r w:rsidRPr="00D078AC">
        <w:t>вителей различных министерств, входящих в состав национального координ</w:t>
      </w:r>
      <w:r w:rsidRPr="00D078AC">
        <w:t>а</w:t>
      </w:r>
      <w:r w:rsidRPr="00D078AC">
        <w:t>цион</w:t>
      </w:r>
      <w:r>
        <w:t>ного механизма, в</w:t>
      </w:r>
      <w:r w:rsidRPr="00D078AC">
        <w:t xml:space="preserve"> цел</w:t>
      </w:r>
      <w:r>
        <w:t>ях</w:t>
      </w:r>
      <w:r w:rsidRPr="00D078AC">
        <w:t xml:space="preserve"> обеспечения их конструктивного вклада в проце</w:t>
      </w:r>
      <w:r w:rsidRPr="00D078AC">
        <w:t>с</w:t>
      </w:r>
      <w:r w:rsidRPr="00D078AC">
        <w:t>сы последующей деятельности и представления докладов.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32.</w:t>
      </w:r>
      <w:r w:rsidRPr="00D078AC">
        <w:rPr>
          <w:bCs/>
        </w:rPr>
        <w:tab/>
      </w:r>
      <w:r w:rsidRPr="00D078AC">
        <w:t>В Тиморе-</w:t>
      </w:r>
      <w:proofErr w:type="spellStart"/>
      <w:r w:rsidRPr="00D078AC">
        <w:t>Лешти</w:t>
      </w:r>
      <w:proofErr w:type="spellEnd"/>
      <w:r w:rsidRPr="00D078AC">
        <w:t xml:space="preserve"> в 2014 году была учреждена основанная на широком участии Национальная директивная комиссия, состоящая из представителей правительства, национальных правозащитных учреждений, гражданского о</w:t>
      </w:r>
      <w:r w:rsidRPr="00D078AC">
        <w:t>б</w:t>
      </w:r>
      <w:r w:rsidRPr="00D078AC">
        <w:t xml:space="preserve">щества и частного сектора, </w:t>
      </w:r>
      <w:r>
        <w:t xml:space="preserve">для </w:t>
      </w:r>
      <w:r w:rsidRPr="00D078AC">
        <w:t>разработк</w:t>
      </w:r>
      <w:r>
        <w:t>и</w:t>
      </w:r>
      <w:r w:rsidRPr="00D078AC">
        <w:t xml:space="preserve"> проекта национального плана де</w:t>
      </w:r>
      <w:r w:rsidRPr="00D078AC">
        <w:t>й</w:t>
      </w:r>
      <w:r w:rsidRPr="00D078AC">
        <w:t xml:space="preserve">ствий в области прав человека. Будет оказана </w:t>
      </w:r>
      <w:r>
        <w:t xml:space="preserve">поддержка </w:t>
      </w:r>
      <w:r w:rsidRPr="00D078AC">
        <w:t>в укреплении поте</w:t>
      </w:r>
      <w:r w:rsidRPr="00D078AC">
        <w:t>н</w:t>
      </w:r>
      <w:r w:rsidRPr="00D078AC">
        <w:t>циала этой Комиссии по разработке проекта плана действий в рамках инкл</w:t>
      </w:r>
      <w:r w:rsidRPr="00D078AC">
        <w:t>ю</w:t>
      </w:r>
      <w:r w:rsidRPr="00D078AC">
        <w:t>зивного и основанного на широком участии процесса. Процесс планирования деятельности будет включать в себя определение приоритетов среди ключевых рекомендаций, вынесенных к настоящему времени в адрес Тимор</w:t>
      </w:r>
      <w:r>
        <w:t>а</w:t>
      </w:r>
      <w:r w:rsidRPr="00D078AC">
        <w:t>-</w:t>
      </w:r>
      <w:proofErr w:type="spellStart"/>
      <w:r w:rsidRPr="00D078AC">
        <w:t>Лешти</w:t>
      </w:r>
      <w:proofErr w:type="spellEnd"/>
      <w:r w:rsidRPr="00D078AC">
        <w:t xml:space="preserve"> в х</w:t>
      </w:r>
      <w:r w:rsidRPr="00D078AC">
        <w:t>о</w:t>
      </w:r>
      <w:r w:rsidRPr="00D078AC">
        <w:t>де универсального периодического обзора, а также другими правозащитными механизмами Организации Объединенных Наций. Будет также оказана по</w:t>
      </w:r>
      <w:r w:rsidRPr="00D078AC">
        <w:t>д</w:t>
      </w:r>
      <w:r w:rsidRPr="00D078AC">
        <w:t>держка в деле подготовки базового исследования, организации общественных консультаций, наращивания потенциала членов Комиссии и проведения общ</w:t>
      </w:r>
      <w:r w:rsidRPr="00D078AC">
        <w:t>е</w:t>
      </w:r>
      <w:r w:rsidRPr="00D078AC">
        <w:t>ственной информационной кампании в целях распространения информации о процессе планирования мероприятий и получения мнений обществ</w:t>
      </w:r>
      <w:r>
        <w:t>енности</w:t>
      </w:r>
      <w:r w:rsidRPr="00D078AC">
        <w:t>.</w:t>
      </w:r>
    </w:p>
    <w:p w:rsidR="00D444E5" w:rsidRPr="00D078AC" w:rsidRDefault="00D444E5" w:rsidP="00D444E5">
      <w:pPr>
        <w:pStyle w:val="SingleTxtGR"/>
      </w:pPr>
      <w:r w:rsidRPr="00D078AC">
        <w:rPr>
          <w:bCs/>
        </w:rPr>
        <w:t>33.</w:t>
      </w:r>
      <w:r w:rsidRPr="00D078AC">
        <w:rPr>
          <w:bCs/>
        </w:rPr>
        <w:tab/>
      </w:r>
      <w:r w:rsidRPr="00D078AC">
        <w:t xml:space="preserve">В Афганистане вспомогательной группе по правам человека </w:t>
      </w:r>
      <w:r>
        <w:t>М</w:t>
      </w:r>
      <w:r w:rsidRPr="00D078AC">
        <w:t>инисте</w:t>
      </w:r>
      <w:r w:rsidRPr="00D078AC">
        <w:t>р</w:t>
      </w:r>
      <w:r w:rsidRPr="00D078AC">
        <w:t xml:space="preserve">ства юстиции </w:t>
      </w:r>
      <w:r>
        <w:t xml:space="preserve">будет оказана поддержка в деле </w:t>
      </w:r>
      <w:r w:rsidRPr="00D078AC">
        <w:t>пересмотра и обновле</w:t>
      </w:r>
      <w:r>
        <w:t>ния Н</w:t>
      </w:r>
      <w:r w:rsidRPr="00D078AC">
        <w:t>аци</w:t>
      </w:r>
      <w:r w:rsidRPr="00D078AC">
        <w:t>о</w:t>
      </w:r>
      <w:r w:rsidRPr="00D078AC">
        <w:t xml:space="preserve">нального плана действий по выполнению рекомендаций наблюдательных </w:t>
      </w:r>
      <w:r>
        <w:t>пр</w:t>
      </w:r>
      <w:r>
        <w:t>а</w:t>
      </w:r>
      <w:r>
        <w:t xml:space="preserve">возащитных </w:t>
      </w:r>
      <w:r w:rsidRPr="00D078AC">
        <w:t>механизмов Организации Объединенных Наций по итогам ра</w:t>
      </w:r>
      <w:r w:rsidRPr="00D078AC">
        <w:t>с</w:t>
      </w:r>
      <w:r w:rsidRPr="00D078AC">
        <w:t>смотрения периодических докладов Афганистана Комитетом по экономич</w:t>
      </w:r>
      <w:r w:rsidRPr="00D078AC">
        <w:t>е</w:t>
      </w:r>
      <w:r w:rsidRPr="00D078AC">
        <w:t>ским, социальным и культурным правам (2010 год</w:t>
      </w:r>
      <w:r w:rsidR="00B31D1B" w:rsidRPr="00D078AC">
        <w:t>)</w:t>
      </w:r>
      <w:r w:rsidRPr="00D078AC">
        <w:t xml:space="preserve">, Комитетом по ликвидации дискриминации в отношении женщин (2013 год), Комитетом по правам ребенка (2011 год) и в рамках универсального периодического обзора (2014 год). Если </w:t>
      </w:r>
      <w:r w:rsidRPr="00D078AC">
        <w:lastRenderedPageBreak/>
        <w:t xml:space="preserve">говорить более конкретно, то будет оказываться содействие в осуществлении последующей деятельности и </w:t>
      </w:r>
      <w:r>
        <w:t xml:space="preserve">отслеживания </w:t>
      </w:r>
      <w:r w:rsidRPr="00D078AC">
        <w:t>ход</w:t>
      </w:r>
      <w:r>
        <w:t>а</w:t>
      </w:r>
      <w:r w:rsidRPr="00D078AC">
        <w:t xml:space="preserve"> </w:t>
      </w:r>
      <w:r>
        <w:t xml:space="preserve">выполнения </w:t>
      </w:r>
      <w:r w:rsidRPr="00D078AC">
        <w:t>рекомендаций международных механизмов по правам человека государственными орг</w:t>
      </w:r>
      <w:r w:rsidRPr="00D078AC">
        <w:t>а</w:t>
      </w:r>
      <w:r w:rsidRPr="00D078AC">
        <w:t>нами. Кроме того, группе будет оказана помощь, с тем чтобы обеспечить соотве</w:t>
      </w:r>
      <w:r w:rsidRPr="00D078AC">
        <w:t>т</w:t>
      </w:r>
      <w:r w:rsidRPr="00D078AC">
        <w:t>ствие всех афганских законов, постановлений, политики, стратегий и государстве</w:t>
      </w:r>
      <w:r w:rsidRPr="00D078AC">
        <w:t>н</w:t>
      </w:r>
      <w:r w:rsidRPr="00D078AC">
        <w:t>ных программ международным договорам в области прав человека, госуда</w:t>
      </w:r>
      <w:r w:rsidRPr="00D078AC">
        <w:t>р</w:t>
      </w:r>
      <w:r w:rsidRPr="00D078AC">
        <w:t>ством-участником которых является Афганистан; повысить уровень информ</w:t>
      </w:r>
      <w:r w:rsidRPr="00D078AC">
        <w:t>и</w:t>
      </w:r>
      <w:r w:rsidRPr="00D078AC">
        <w:t xml:space="preserve">рованности и укрепить потенциал должностных лиц государства в </w:t>
      </w:r>
      <w:r>
        <w:t>вопросах</w:t>
      </w:r>
      <w:r w:rsidRPr="00D078AC">
        <w:t>, каса</w:t>
      </w:r>
      <w:r>
        <w:t xml:space="preserve">ющихся </w:t>
      </w:r>
      <w:r w:rsidRPr="00D078AC">
        <w:t>обязательств в области прав человека; а также предоставить те</w:t>
      </w:r>
      <w:r w:rsidRPr="00D078AC">
        <w:t>х</w:t>
      </w:r>
      <w:r w:rsidRPr="00D078AC">
        <w:t xml:space="preserve">ническое содействие и </w:t>
      </w:r>
      <w:r>
        <w:t xml:space="preserve">помощь в </w:t>
      </w:r>
      <w:r w:rsidRPr="00D078AC">
        <w:t>наращивани</w:t>
      </w:r>
      <w:r>
        <w:t>и</w:t>
      </w:r>
      <w:r w:rsidRPr="00D078AC">
        <w:t xml:space="preserve"> потенциала группы в </w:t>
      </w:r>
      <w:r>
        <w:t xml:space="preserve">области </w:t>
      </w:r>
      <w:r w:rsidRPr="00D078AC">
        <w:t>координации деятельности по выполнению рекомендаций универсального п</w:t>
      </w:r>
      <w:r w:rsidRPr="00D078AC">
        <w:t>е</w:t>
      </w:r>
      <w:r w:rsidRPr="00D078AC">
        <w:t>риодического обзора.</w:t>
      </w:r>
    </w:p>
    <w:p w:rsidR="00D444E5" w:rsidRPr="00D078AC" w:rsidRDefault="00D444E5" w:rsidP="00D444E5">
      <w:pPr>
        <w:pStyle w:val="SingleTxtGR"/>
        <w:rPr>
          <w:rFonts w:eastAsia="Calibri"/>
        </w:rPr>
      </w:pPr>
      <w:r w:rsidRPr="00D078AC">
        <w:rPr>
          <w:rFonts w:eastAsia="Calibri"/>
          <w:bCs/>
        </w:rPr>
        <w:t>34.</w:t>
      </w:r>
      <w:r w:rsidRPr="00D078AC">
        <w:rPr>
          <w:rFonts w:eastAsia="Calibri"/>
          <w:bCs/>
        </w:rPr>
        <w:tab/>
      </w:r>
      <w:r w:rsidRPr="00D078AC">
        <w:t xml:space="preserve">В Бутане доброволец Организации Объединенных Наций будет работать вместе со </w:t>
      </w:r>
      <w:proofErr w:type="spellStart"/>
      <w:r w:rsidRPr="00D078AC">
        <w:t>страновой</w:t>
      </w:r>
      <w:proofErr w:type="spellEnd"/>
      <w:r w:rsidRPr="00D078AC">
        <w:t xml:space="preserve"> группой Организации Объединенных Наций или </w:t>
      </w:r>
      <w:r>
        <w:t>М</w:t>
      </w:r>
      <w:r w:rsidRPr="00D078AC">
        <w:t>ин</w:t>
      </w:r>
      <w:r w:rsidRPr="00D078AC">
        <w:t>и</w:t>
      </w:r>
      <w:r w:rsidRPr="00D078AC">
        <w:t xml:space="preserve">стерством иностранных дел </w:t>
      </w:r>
      <w:r>
        <w:t>в</w:t>
      </w:r>
      <w:r w:rsidRPr="00D078AC">
        <w:t xml:space="preserve"> цел</w:t>
      </w:r>
      <w:r>
        <w:t>ях</w:t>
      </w:r>
      <w:r w:rsidRPr="00D078AC">
        <w:t xml:space="preserve"> оказания технической поддержки </w:t>
      </w:r>
      <w:r>
        <w:t>М</w:t>
      </w:r>
      <w:r w:rsidRPr="00D078AC">
        <w:t>ин</w:t>
      </w:r>
      <w:r w:rsidRPr="00D078AC">
        <w:t>и</w:t>
      </w:r>
      <w:r w:rsidRPr="00D078AC">
        <w:t>стерству иностранных в деле создания межведомственного координационного органа.</w:t>
      </w:r>
    </w:p>
    <w:p w:rsidR="00615D8A" w:rsidRPr="00262E24" w:rsidRDefault="00615D8A" w:rsidP="00615D8A">
      <w:pPr>
        <w:pStyle w:val="SingleTxtGR"/>
      </w:pPr>
      <w:r w:rsidRPr="00262E24">
        <w:t>35.</w:t>
      </w:r>
      <w:r w:rsidRPr="00262E24">
        <w:tab/>
        <w:t>Продолж</w:t>
      </w:r>
      <w:r>
        <w:t>а</w:t>
      </w:r>
      <w:r w:rsidRPr="00262E24">
        <w:t xml:space="preserve">лось оказание поддержки на местах в </w:t>
      </w:r>
      <w:r>
        <w:t>связи с</w:t>
      </w:r>
      <w:r w:rsidRPr="00262E24">
        <w:t xml:space="preserve"> последующей д</w:t>
      </w:r>
      <w:r w:rsidRPr="00262E24">
        <w:t>е</w:t>
      </w:r>
      <w:r w:rsidRPr="00262E24">
        <w:t>ятельност</w:t>
      </w:r>
      <w:r>
        <w:t>ью</w:t>
      </w:r>
      <w:r w:rsidRPr="00262E24">
        <w:t xml:space="preserve"> по выполнению рекомендаций международных правозащитных механизмов в рамках </w:t>
      </w:r>
      <w:proofErr w:type="spellStart"/>
      <w:r w:rsidRPr="00262E24">
        <w:t>страновых</w:t>
      </w:r>
      <w:proofErr w:type="spellEnd"/>
      <w:r w:rsidRPr="00262E24">
        <w:t xml:space="preserve"> программ Организации Объединенных Наций. Например, опираясь на опыт сотрудничества с Барбадосом в 2015 году, </w:t>
      </w:r>
      <w:proofErr w:type="spellStart"/>
      <w:r w:rsidRPr="00262E24">
        <w:t>УВКПЧ</w:t>
      </w:r>
      <w:proofErr w:type="spellEnd"/>
      <w:r w:rsidRPr="00262E24">
        <w:t xml:space="preserve"> будет сотрудничать с </w:t>
      </w:r>
      <w:proofErr w:type="spellStart"/>
      <w:r w:rsidRPr="00262E24">
        <w:t>англого</w:t>
      </w:r>
      <w:r>
        <w:t>язычны</w:t>
      </w:r>
      <w:r w:rsidRPr="00262E24">
        <w:t>ми</w:t>
      </w:r>
      <w:proofErr w:type="spellEnd"/>
      <w:r w:rsidRPr="00262E24">
        <w:t xml:space="preserve"> странами восточной части Карибского бассейна посредством поддержки, которая будет предоставл</w:t>
      </w:r>
      <w:r>
        <w:t>яться</w:t>
      </w:r>
      <w:r w:rsidRPr="00262E24">
        <w:t xml:space="preserve"> национал</w:t>
      </w:r>
      <w:r w:rsidRPr="00262E24">
        <w:t>ь</w:t>
      </w:r>
      <w:r w:rsidRPr="00262E24">
        <w:t>ным правозащитным учреждением и координационным центром универсальн</w:t>
      </w:r>
      <w:r w:rsidRPr="00262E24">
        <w:t>о</w:t>
      </w:r>
      <w:r w:rsidRPr="00262E24">
        <w:t>го периодического обзора, базирующимся в отделении координатора-резидента Организации Объединенных Наций в Барбадосе и Организации восточно-карибских государств, а также в рамках сотрудничества с учреждениями Орг</w:t>
      </w:r>
      <w:r w:rsidRPr="00262E24">
        <w:t>а</w:t>
      </w:r>
      <w:r w:rsidRPr="00262E24">
        <w:t>низации Объединенных Наций, действующими в регионе. Основное внимание в ходе деятельности будет уделяться распространению знаний о правах человека и механизмах защиты Организации Объединенных Наций; поощрению ко</w:t>
      </w:r>
      <w:r w:rsidRPr="00262E24">
        <w:t>н</w:t>
      </w:r>
      <w:r w:rsidRPr="00262E24">
        <w:t>кретных мер, принимаемых правительствами по выполнению рекомендаций, вынесенных международными механизмами по правам человека, созданию межведомственных координационных механизмов, разработке планов и и</w:t>
      </w:r>
      <w:r w:rsidRPr="00262E24">
        <w:t>н</w:t>
      </w:r>
      <w:r w:rsidRPr="00262E24">
        <w:t>струментов последующей деятельности; и оказанию технической консультати</w:t>
      </w:r>
      <w:r w:rsidRPr="00262E24">
        <w:t>в</w:t>
      </w:r>
      <w:r w:rsidRPr="00262E24">
        <w:t>ной помощи и поддержки в целях наращивания и укрепления существующих национальных возможностей поощрения и защиты прав человека.</w:t>
      </w:r>
    </w:p>
    <w:p w:rsidR="00615D8A" w:rsidRPr="00262E24" w:rsidRDefault="00615D8A" w:rsidP="00615D8A">
      <w:pPr>
        <w:pStyle w:val="SingleTxtGR"/>
      </w:pPr>
      <w:r w:rsidRPr="00262E24">
        <w:t>36.</w:t>
      </w:r>
      <w:r w:rsidRPr="00262E24">
        <w:tab/>
        <w:t xml:space="preserve">Региональное отделение </w:t>
      </w:r>
      <w:proofErr w:type="spellStart"/>
      <w:r w:rsidRPr="00262E24">
        <w:t>УВКПЧ</w:t>
      </w:r>
      <w:proofErr w:type="spellEnd"/>
      <w:r w:rsidRPr="00262E24">
        <w:t xml:space="preserve"> для Южной Америки будет и далее ок</w:t>
      </w:r>
      <w:r w:rsidRPr="00262E24">
        <w:t>а</w:t>
      </w:r>
      <w:r w:rsidRPr="00262E24">
        <w:t>зывать поддержку Аргентине, Бразилии, Перу</w:t>
      </w:r>
      <w:r>
        <w:t>,</w:t>
      </w:r>
      <w:r w:rsidRPr="00262E24">
        <w:t xml:space="preserve"> Уругваю</w:t>
      </w:r>
      <w:r>
        <w:t>,</w:t>
      </w:r>
      <w:r w:rsidRPr="00262E24">
        <w:t xml:space="preserve"> </w:t>
      </w:r>
      <w:r>
        <w:t>Чили и</w:t>
      </w:r>
      <w:r w:rsidRPr="00262E24">
        <w:t xml:space="preserve"> Эквадору в ц</w:t>
      </w:r>
      <w:r w:rsidRPr="00262E24">
        <w:t>е</w:t>
      </w:r>
      <w:r w:rsidRPr="00262E24">
        <w:t xml:space="preserve">лях укрепления их потенциала </w:t>
      </w:r>
      <w:r>
        <w:t>для</w:t>
      </w:r>
      <w:r w:rsidRPr="00262E24">
        <w:t xml:space="preserve"> выполнени</w:t>
      </w:r>
      <w:r>
        <w:t>я</w:t>
      </w:r>
      <w:r w:rsidRPr="00262E24">
        <w:t xml:space="preserve"> рекомендаций международных механизмов по правам человека, в том числе в рамках сотрудничества на осн</w:t>
      </w:r>
      <w:r w:rsidRPr="00262E24">
        <w:t>о</w:t>
      </w:r>
      <w:r w:rsidRPr="00262E24">
        <w:t xml:space="preserve">вании </w:t>
      </w:r>
      <w:proofErr w:type="spellStart"/>
      <w:r w:rsidRPr="00262E24">
        <w:t>страновых</w:t>
      </w:r>
      <w:proofErr w:type="spellEnd"/>
      <w:r w:rsidRPr="00262E24">
        <w:t xml:space="preserve"> программ Организации Объединенных Наций. В сотруднич</w:t>
      </w:r>
      <w:r w:rsidRPr="00262E24">
        <w:t>е</w:t>
      </w:r>
      <w:r w:rsidRPr="00262E24">
        <w:t xml:space="preserve">стве со </w:t>
      </w:r>
      <w:proofErr w:type="spellStart"/>
      <w:r w:rsidRPr="00262E24">
        <w:t>страновыми</w:t>
      </w:r>
      <w:proofErr w:type="spellEnd"/>
      <w:r w:rsidRPr="00262E24">
        <w:t xml:space="preserve"> группами Организации Объединенных Наций, а также при поддержке</w:t>
      </w:r>
      <w:r>
        <w:t xml:space="preserve"> экспертов</w:t>
      </w:r>
      <w:r w:rsidRPr="00262E24">
        <w:t xml:space="preserve"> и с помощью экспертных консультаций со стороны Реги</w:t>
      </w:r>
      <w:r w:rsidRPr="00262E24">
        <w:t>о</w:t>
      </w:r>
      <w:r w:rsidRPr="00262E24">
        <w:t xml:space="preserve">нального отделения </w:t>
      </w:r>
      <w:proofErr w:type="spellStart"/>
      <w:r w:rsidRPr="00262E24">
        <w:t>УВКПЧ</w:t>
      </w:r>
      <w:proofErr w:type="spellEnd"/>
      <w:r w:rsidRPr="00262E24">
        <w:t xml:space="preserve"> будет и впредь оказывать поддержку правител</w:t>
      </w:r>
      <w:r w:rsidRPr="00262E24">
        <w:t>ь</w:t>
      </w:r>
      <w:r w:rsidRPr="00262E24">
        <w:t>ствам и гражданскому обществу в деле анализа и пересмотра ключевых рек</w:t>
      </w:r>
      <w:r w:rsidRPr="00262E24">
        <w:t>о</w:t>
      </w:r>
      <w:r w:rsidRPr="00262E24">
        <w:t>мендаций по итогам универсального периодического обзора</w:t>
      </w:r>
      <w:r>
        <w:t xml:space="preserve"> относительно</w:t>
      </w:r>
      <w:r w:rsidRPr="00262E24">
        <w:t xml:space="preserve"> с</w:t>
      </w:r>
      <w:r w:rsidRPr="00262E24">
        <w:t>о</w:t>
      </w:r>
      <w:r w:rsidRPr="00262E24">
        <w:t xml:space="preserve">здания </w:t>
      </w:r>
      <w:proofErr w:type="spellStart"/>
      <w:r w:rsidRPr="00262E24">
        <w:t>межучрежденческих</w:t>
      </w:r>
      <w:proofErr w:type="spellEnd"/>
      <w:r w:rsidRPr="00262E24">
        <w:t xml:space="preserve"> механизмов, разработки "дорожных карт" и выя</w:t>
      </w:r>
      <w:r w:rsidRPr="00262E24">
        <w:t>в</w:t>
      </w:r>
      <w:r w:rsidRPr="00262E24">
        <w:t>ления потребностей в области наращивания потенциала и технической помощи, которые были включены в соответствующи</w:t>
      </w:r>
      <w:r>
        <w:t>е</w:t>
      </w:r>
      <w:r w:rsidRPr="00262E24">
        <w:t xml:space="preserve"> документ</w:t>
      </w:r>
      <w:r>
        <w:t>ы</w:t>
      </w:r>
      <w:r w:rsidRPr="00262E24">
        <w:t xml:space="preserve"> по общим </w:t>
      </w:r>
      <w:proofErr w:type="spellStart"/>
      <w:r w:rsidRPr="00262E24">
        <w:t>страновым</w:t>
      </w:r>
      <w:proofErr w:type="spellEnd"/>
      <w:r w:rsidRPr="00262E24">
        <w:t xml:space="preserve"> программам Организации Объединенных Наций, таки</w:t>
      </w:r>
      <w:r>
        <w:t>е</w:t>
      </w:r>
      <w:r w:rsidRPr="00262E24">
        <w:t xml:space="preserve"> как Рамочная программа Организации Объединенных Наций по оказанию помощи в целях развития. Кроме того, </w:t>
      </w:r>
      <w:proofErr w:type="spellStart"/>
      <w:r w:rsidRPr="00262E24">
        <w:t>УВКПЧ</w:t>
      </w:r>
      <w:proofErr w:type="spellEnd"/>
      <w:r w:rsidRPr="00262E24">
        <w:t xml:space="preserve"> будет оказывать поддержку в деле документирования и </w:t>
      </w:r>
      <w:r w:rsidRPr="00262E24">
        <w:lastRenderedPageBreak/>
        <w:t>распространения передовой практики в области сотрудничества с правозащи</w:t>
      </w:r>
      <w:r w:rsidRPr="00262E24">
        <w:t>т</w:t>
      </w:r>
      <w:r w:rsidRPr="00262E24">
        <w:t xml:space="preserve">ными механизмами Организации Объединенных Наций в странах региона, а также в области политики </w:t>
      </w:r>
      <w:r>
        <w:t xml:space="preserve">и </w:t>
      </w:r>
      <w:r w:rsidRPr="00262E24">
        <w:t>стратегий решени</w:t>
      </w:r>
      <w:r>
        <w:t>я</w:t>
      </w:r>
      <w:r w:rsidRPr="00262E24">
        <w:t xml:space="preserve"> ключевых тематических вопр</w:t>
      </w:r>
      <w:r w:rsidRPr="00262E24">
        <w:t>о</w:t>
      </w:r>
      <w:r w:rsidRPr="00262E24">
        <w:t>сов, касающихся прав человека.</w:t>
      </w:r>
    </w:p>
    <w:p w:rsidR="00615D8A" w:rsidRPr="00262E24" w:rsidRDefault="00615D8A" w:rsidP="00615D8A">
      <w:pPr>
        <w:pStyle w:val="SingleTxtGR"/>
      </w:pPr>
      <w:r w:rsidRPr="00262E24">
        <w:t>37.</w:t>
      </w:r>
      <w:r w:rsidRPr="00262E24">
        <w:tab/>
        <w:t>Кроме того, техническая помощь и поддержка будут предоставляться н</w:t>
      </w:r>
      <w:r w:rsidRPr="00262E24">
        <w:t>е</w:t>
      </w:r>
      <w:r w:rsidRPr="00262E24">
        <w:t xml:space="preserve">которым государствам с </w:t>
      </w:r>
      <w:proofErr w:type="spellStart"/>
      <w:r w:rsidRPr="00262E24">
        <w:t>уделением</w:t>
      </w:r>
      <w:proofErr w:type="spellEnd"/>
      <w:r w:rsidRPr="00262E24">
        <w:t xml:space="preserve"> особого внимания приоритетным тематич</w:t>
      </w:r>
      <w:r w:rsidRPr="00262E24">
        <w:t>е</w:t>
      </w:r>
      <w:r w:rsidRPr="00262E24">
        <w:t>ским направлениям. Например, на Филиппинах будет проведен комплекс сем</w:t>
      </w:r>
      <w:r w:rsidRPr="00262E24">
        <w:t>и</w:t>
      </w:r>
      <w:r w:rsidRPr="00262E24">
        <w:t xml:space="preserve">наров для Филиппинской комиссии по правам человека в рамках Программы развития Организации Объединенных Наций, с тем чтобы она могла </w:t>
      </w:r>
      <w:r>
        <w:t>организ</w:t>
      </w:r>
      <w:r>
        <w:t>о</w:t>
      </w:r>
      <w:r>
        <w:t>вать</w:t>
      </w:r>
      <w:r w:rsidRPr="00262E24">
        <w:t xml:space="preserve"> семинар-практикум по вопросу о создании национального превентивного механизма, предусмотренного Факультативным протоколом к Конвенции пр</w:t>
      </w:r>
      <w:r w:rsidRPr="00262E24">
        <w:t>о</w:t>
      </w:r>
      <w:r w:rsidRPr="00262E24">
        <w:t>тив пыток и других жестоких, бесчеловечных или унижающих достоинство в</w:t>
      </w:r>
      <w:r w:rsidRPr="00262E24">
        <w:t>и</w:t>
      </w:r>
      <w:r w:rsidRPr="00262E24">
        <w:t>дов обращения и наказания. В Таиланде ведущую роль в деле подготовки к р</w:t>
      </w:r>
      <w:r w:rsidRPr="00262E24">
        <w:t>а</w:t>
      </w:r>
      <w:r w:rsidRPr="00262E24">
        <w:t>тификации Факультативного протокола</w:t>
      </w:r>
      <w:r>
        <w:t xml:space="preserve"> играет</w:t>
      </w:r>
      <w:r w:rsidRPr="00D85C64">
        <w:t xml:space="preserve"> </w:t>
      </w:r>
      <w:r w:rsidRPr="00262E24">
        <w:t xml:space="preserve">Министерство юстиции. </w:t>
      </w:r>
      <w:r>
        <w:t>В</w:t>
      </w:r>
      <w:r w:rsidRPr="00262E24">
        <w:t xml:space="preserve"> этой связи </w:t>
      </w:r>
      <w:r>
        <w:t xml:space="preserve">ему </w:t>
      </w:r>
      <w:r w:rsidRPr="00262E24">
        <w:t xml:space="preserve">будет оказана </w:t>
      </w:r>
      <w:r>
        <w:t>поддержка</w:t>
      </w:r>
      <w:r w:rsidRPr="00262E24">
        <w:t xml:space="preserve"> в целях повышения уровня </w:t>
      </w:r>
      <w:r>
        <w:t>информирова</w:t>
      </w:r>
      <w:r>
        <w:t>н</w:t>
      </w:r>
      <w:r>
        <w:t xml:space="preserve">ности и </w:t>
      </w:r>
      <w:r w:rsidRPr="00262E24">
        <w:t xml:space="preserve">осведомленности соответствующих учреждений </w:t>
      </w:r>
      <w:r>
        <w:t>о</w:t>
      </w:r>
      <w:r w:rsidRPr="00262E24">
        <w:t xml:space="preserve"> последстви</w:t>
      </w:r>
      <w:r>
        <w:t>ях</w:t>
      </w:r>
      <w:r w:rsidRPr="00262E24">
        <w:t xml:space="preserve"> рат</w:t>
      </w:r>
      <w:r w:rsidRPr="00262E24">
        <w:t>и</w:t>
      </w:r>
      <w:r w:rsidRPr="00262E24">
        <w:t>фикации Факультативного протокола.</w:t>
      </w:r>
    </w:p>
    <w:p w:rsidR="00615D8A" w:rsidRPr="00262E24" w:rsidRDefault="00615D8A" w:rsidP="00615D8A">
      <w:pPr>
        <w:pStyle w:val="SingleTxtGR"/>
      </w:pPr>
      <w:r w:rsidRPr="00262E24">
        <w:t>38.</w:t>
      </w:r>
      <w:r w:rsidRPr="00262E24">
        <w:tab/>
        <w:t xml:space="preserve">С учетом признанных Панамой конкретных рекомендаций </w:t>
      </w:r>
      <w:r>
        <w:t>относительно</w:t>
      </w:r>
      <w:r w:rsidRPr="00262E24">
        <w:t xml:space="preserve"> активизации усилий по гарантированию права всех детей на регистрацию ро</w:t>
      </w:r>
      <w:r w:rsidRPr="00262E24">
        <w:t>ж</w:t>
      </w:r>
      <w:r w:rsidRPr="00262E24">
        <w:t>дения</w:t>
      </w:r>
      <w:r>
        <w:t>, вынесенных</w:t>
      </w:r>
      <w:r w:rsidRPr="00262E24">
        <w:t xml:space="preserve"> в ходе универсального периодического обзора 2010 года, </w:t>
      </w:r>
      <w:r>
        <w:t xml:space="preserve">в </w:t>
      </w:r>
      <w:r w:rsidRPr="00262E24">
        <w:t>проект</w:t>
      </w:r>
      <w:r>
        <w:t>е</w:t>
      </w:r>
      <w:r w:rsidRPr="00262E24">
        <w:t>,</w:t>
      </w:r>
      <w:r>
        <w:t xml:space="preserve"> реализация которого началась</w:t>
      </w:r>
      <w:r w:rsidRPr="00262E24">
        <w:t xml:space="preserve"> в 2013 году, основное внимание </w:t>
      </w:r>
      <w:r>
        <w:t xml:space="preserve">уделено </w:t>
      </w:r>
      <w:r w:rsidRPr="00262E24">
        <w:t>обеспечению регистрации рождения детей из числа коренных народов в отд</w:t>
      </w:r>
      <w:r w:rsidRPr="00262E24">
        <w:t>а</w:t>
      </w:r>
      <w:r w:rsidRPr="00262E24">
        <w:t xml:space="preserve">ленных районах. Региональное отделение </w:t>
      </w:r>
      <w:proofErr w:type="spellStart"/>
      <w:r w:rsidRPr="00262E24">
        <w:t>УВКПЧ</w:t>
      </w:r>
      <w:proofErr w:type="spellEnd"/>
      <w:r w:rsidRPr="00262E24">
        <w:t xml:space="preserve"> для Центральной Америки</w:t>
      </w:r>
      <w:r>
        <w:t>, базирующееся</w:t>
      </w:r>
      <w:r w:rsidRPr="00262E24">
        <w:t xml:space="preserve"> в Панаме</w:t>
      </w:r>
      <w:r>
        <w:t>,</w:t>
      </w:r>
      <w:r w:rsidRPr="00262E24">
        <w:t xml:space="preserve"> в сотрудничестве с Детским фондом Организации Объединенных Наций (ЮНИСЕФ) оказывает содействие Национальному управлению службы записи актов гражданского состояния при Суде по делам о выборах в деле обеспечения регистрации рождений в общинах коренных нар</w:t>
      </w:r>
      <w:r w:rsidRPr="00262E24">
        <w:t>о</w:t>
      </w:r>
      <w:r w:rsidRPr="00262E24">
        <w:t xml:space="preserve">дов </w:t>
      </w:r>
      <w:proofErr w:type="spellStart"/>
      <w:r w:rsidRPr="00262E24">
        <w:t>Нгабе-Бугле</w:t>
      </w:r>
      <w:proofErr w:type="spellEnd"/>
      <w:r w:rsidRPr="00262E24">
        <w:t xml:space="preserve"> религии Мама Тата, которые традиционно отказываются от р</w:t>
      </w:r>
      <w:r w:rsidRPr="00262E24">
        <w:t>е</w:t>
      </w:r>
      <w:r w:rsidRPr="00262E24">
        <w:t>гистрации.</w:t>
      </w:r>
    </w:p>
    <w:p w:rsidR="00615D8A" w:rsidRPr="00262E24" w:rsidRDefault="00615D8A" w:rsidP="00615D8A">
      <w:pPr>
        <w:pStyle w:val="HChGR"/>
      </w:pPr>
      <w:r>
        <w:tab/>
      </w:r>
      <w:proofErr w:type="spellStart"/>
      <w:r>
        <w:t>IV</w:t>
      </w:r>
      <w:proofErr w:type="spellEnd"/>
      <w:r>
        <w:t>.</w:t>
      </w:r>
      <w:r>
        <w:tab/>
      </w:r>
      <w:r w:rsidRPr="00262E24">
        <w:t>Финансовое положение Фонда</w:t>
      </w:r>
    </w:p>
    <w:p w:rsidR="00615D8A" w:rsidRPr="009C44DD" w:rsidRDefault="00615D8A" w:rsidP="009C44DD">
      <w:pPr>
        <w:pStyle w:val="1"/>
        <w:suppressAutoHyphens/>
        <w:spacing w:after="120"/>
        <w:ind w:left="1134" w:right="1134"/>
        <w:jc w:val="left"/>
      </w:pPr>
      <w:r w:rsidRPr="009C44DD">
        <w:rPr>
          <w:b w:val="0"/>
        </w:rPr>
        <w:t>Таблица 1</w:t>
      </w:r>
      <w:r w:rsidRPr="009C44DD">
        <w:rPr>
          <w:b w:val="0"/>
        </w:rPr>
        <w:br/>
      </w:r>
      <w:r w:rsidRPr="009C44DD">
        <w:t xml:space="preserve">Ведомость поступлений и расходов за двухгодичный период </w:t>
      </w:r>
      <w:r w:rsidRPr="009C44DD">
        <w:br/>
        <w:t>2014–2015 годов (1 января 2014 года − 31 декабря 2014 года)</w:t>
      </w:r>
    </w:p>
    <w:tbl>
      <w:tblPr>
        <w:tblStyle w:val="TabNum"/>
        <w:tblW w:w="7370" w:type="dxa"/>
        <w:tblInd w:w="1134" w:type="dxa"/>
        <w:tblLayout w:type="fixed"/>
        <w:tblLook w:val="05E0" w:firstRow="1" w:lastRow="1" w:firstColumn="1" w:lastColumn="1" w:noHBand="0" w:noVBand="1"/>
      </w:tblPr>
      <w:tblGrid>
        <w:gridCol w:w="2172"/>
        <w:gridCol w:w="1097"/>
        <w:gridCol w:w="2694"/>
        <w:gridCol w:w="1407"/>
      </w:tblGrid>
      <w:tr w:rsidR="00615D8A" w:rsidRPr="007508DB" w:rsidTr="0022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5D8A" w:rsidRPr="007508DB" w:rsidRDefault="00615D8A" w:rsidP="002C7198">
            <w:pPr>
              <w:rPr>
                <w:rFonts w:eastAsia="Calibri"/>
                <w:i/>
                <w:szCs w:val="18"/>
              </w:rPr>
            </w:pPr>
            <w:r w:rsidRPr="007508DB">
              <w:rPr>
                <w:i/>
                <w:szCs w:val="18"/>
              </w:rPr>
              <w:t>I. Поступления</w:t>
            </w: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  <w:r w:rsidRPr="007508DB">
              <w:rPr>
                <w:i/>
                <w:szCs w:val="18"/>
              </w:rPr>
              <w:t>Долл. США</w:t>
            </w:r>
          </w:p>
        </w:tc>
      </w:tr>
      <w:tr w:rsidR="00615D8A" w:rsidRPr="007508DB" w:rsidTr="0022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single" w:sz="4" w:space="0" w:color="auto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Добровольные взносы, полученные от правительств в 2014 году</w:t>
            </w:r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490 440,91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2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Проценты и прочие поступления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16 319,72</w:t>
            </w:r>
          </w:p>
        </w:tc>
      </w:tr>
      <w:tr w:rsidR="00615D8A" w:rsidRPr="007508DB" w:rsidTr="0022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B777D">
            <w:pPr>
              <w:ind w:firstLine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Общий объем поступлений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506 760,63</w:t>
            </w:r>
          </w:p>
        </w:tc>
      </w:tr>
      <w:tr w:rsidR="00615D8A" w:rsidRPr="007508DB" w:rsidTr="0022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rPr>
                <w:rFonts w:eastAsia="Calibri"/>
                <w:i/>
                <w:szCs w:val="18"/>
              </w:rPr>
            </w:pPr>
            <w:proofErr w:type="spellStart"/>
            <w:r w:rsidRPr="007508DB">
              <w:rPr>
                <w:i/>
                <w:szCs w:val="18"/>
              </w:rPr>
              <w:t>II</w:t>
            </w:r>
            <w:proofErr w:type="spellEnd"/>
            <w:r w:rsidRPr="007508DB">
              <w:rPr>
                <w:i/>
                <w:szCs w:val="18"/>
              </w:rPr>
              <w:t>. Расходы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  <w:r w:rsidRPr="007508DB">
              <w:rPr>
                <w:i/>
                <w:szCs w:val="18"/>
              </w:rPr>
              <w:t>Долл. США</w:t>
            </w:r>
          </w:p>
        </w:tc>
      </w:tr>
      <w:tr w:rsidR="00615D8A" w:rsidRPr="007508DB" w:rsidTr="002256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top w:val="single" w:sz="4" w:space="0" w:color="auto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Расходы на персонал</w:t>
            </w:r>
          </w:p>
        </w:tc>
        <w:tc>
          <w:tcPr>
            <w:tcW w:w="1097" w:type="dxa"/>
            <w:tcBorders>
              <w:top w:val="single" w:sz="4" w:space="0" w:color="auto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83 682,50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Вознаграждение и путевые расходы экспертов и консультантов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220 261,00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Путевые расходы персонала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58 652,36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2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Путевые расходы представителей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48 940,92</w:t>
            </w:r>
          </w:p>
        </w:tc>
      </w:tr>
      <w:tr w:rsidR="00615D8A" w:rsidRPr="007508DB" w:rsidTr="004D2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3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Услуги по контрактам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30 290,00</w:t>
            </w:r>
          </w:p>
        </w:tc>
      </w:tr>
      <w:tr w:rsidR="00615D8A" w:rsidRPr="007508DB" w:rsidTr="004D2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2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Общие оперативные расходы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2 554,00</w:t>
            </w:r>
          </w:p>
        </w:tc>
      </w:tr>
    </w:tbl>
    <w:p w:rsidR="00FD6FC9" w:rsidRDefault="00FD6FC9"/>
    <w:tbl>
      <w:tblPr>
        <w:tblStyle w:val="TabNum"/>
        <w:tblW w:w="7370" w:type="dxa"/>
        <w:tblInd w:w="1134" w:type="dxa"/>
        <w:tblLayout w:type="fixed"/>
        <w:tblLook w:val="05E0" w:firstRow="1" w:lastRow="1" w:firstColumn="1" w:lastColumn="1" w:noHBand="0" w:noVBand="1"/>
      </w:tblPr>
      <w:tblGrid>
        <w:gridCol w:w="2172"/>
        <w:gridCol w:w="244"/>
        <w:gridCol w:w="853"/>
        <w:gridCol w:w="2694"/>
        <w:gridCol w:w="1407"/>
      </w:tblGrid>
      <w:tr w:rsidR="00FD6FC9" w:rsidRPr="007508DB" w:rsidTr="00A900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2" w:type="dxa"/>
            <w:tcBorders>
              <w:bottom w:val="single" w:sz="4" w:space="0" w:color="auto"/>
            </w:tcBorders>
          </w:tcPr>
          <w:p w:rsidR="00FD6FC9" w:rsidRPr="007508DB" w:rsidRDefault="00FD6FC9" w:rsidP="00A900AB">
            <w:pPr>
              <w:rPr>
                <w:rFonts w:eastAsia="Calibri"/>
                <w:i/>
                <w:szCs w:val="18"/>
              </w:rPr>
            </w:pPr>
            <w:proofErr w:type="spellStart"/>
            <w:r w:rsidRPr="007508DB">
              <w:rPr>
                <w:i/>
                <w:szCs w:val="18"/>
              </w:rPr>
              <w:lastRenderedPageBreak/>
              <w:t>II</w:t>
            </w:r>
            <w:proofErr w:type="spellEnd"/>
            <w:r w:rsidRPr="007508DB">
              <w:rPr>
                <w:i/>
                <w:szCs w:val="18"/>
              </w:rPr>
              <w:t>. Расходы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6FC9" w:rsidRPr="007508DB" w:rsidRDefault="00FD6FC9" w:rsidP="00A90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D6FC9" w:rsidRPr="007508DB" w:rsidRDefault="00FD6FC9" w:rsidP="00A90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FD6FC9" w:rsidRPr="007508DB" w:rsidRDefault="00FD6FC9" w:rsidP="00A900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i/>
                <w:szCs w:val="18"/>
              </w:rPr>
            </w:pPr>
            <w:r w:rsidRPr="007508DB">
              <w:rPr>
                <w:i/>
                <w:szCs w:val="18"/>
              </w:rPr>
              <w:t>Долл. США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3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Предметы снабжения и материалы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0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3"/>
            <w:tcBorders>
              <w:top w:val="nil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Гранты, взносы и семинары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259 973,05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  <w:gridSpan w:val="3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Расходы на поддержку программ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18"/>
              </w:rPr>
            </w:pPr>
            <w:r w:rsidRPr="007508DB">
              <w:rPr>
                <w:szCs w:val="18"/>
              </w:rPr>
              <w:t>91 566,01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Общая сумма расходов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795 919,84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B777D">
            <w:pPr>
              <w:ind w:left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Чистое превышение (недостача) поступлений над расходами за весь период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FD6FC9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>
              <w:rPr>
                <w:b/>
                <w:szCs w:val="18"/>
              </w:rPr>
              <w:t>−</w:t>
            </w:r>
            <w:r w:rsidR="00615D8A" w:rsidRPr="007508DB">
              <w:rPr>
                <w:b/>
                <w:szCs w:val="18"/>
              </w:rPr>
              <w:t>289 159,21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Начальный баланс средств по состоянию на 1 января 2014 года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1 813 869,00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Различные коррективы/накопления/возврат средств донорам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327 962,72</w:t>
            </w:r>
          </w:p>
        </w:tc>
      </w:tr>
      <w:tr w:rsidR="00615D8A" w:rsidRPr="007508DB" w:rsidTr="002B77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3" w:type="dxa"/>
            <w:gridSpan w:val="4"/>
            <w:tcBorders>
              <w:top w:val="single" w:sz="4" w:space="0" w:color="auto"/>
            </w:tcBorders>
          </w:tcPr>
          <w:p w:rsidR="00615D8A" w:rsidRPr="007508DB" w:rsidRDefault="00615D8A" w:rsidP="00E7615C">
            <w:pPr>
              <w:ind w:firstLine="284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Общий баланс средств по состоянию на 31 декабря 2014 года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12" w:space="0" w:color="auto"/>
            </w:tcBorders>
          </w:tcPr>
          <w:p w:rsidR="00615D8A" w:rsidRPr="007508DB" w:rsidRDefault="00615D8A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szCs w:val="18"/>
              </w:rPr>
            </w:pPr>
            <w:r w:rsidRPr="007508DB">
              <w:rPr>
                <w:b/>
                <w:szCs w:val="18"/>
              </w:rPr>
              <w:t>1 852 672,51</w:t>
            </w:r>
          </w:p>
        </w:tc>
      </w:tr>
    </w:tbl>
    <w:p w:rsidR="002C7198" w:rsidRPr="00140DEA" w:rsidRDefault="002C7198" w:rsidP="009C44DD">
      <w:pPr>
        <w:pStyle w:val="1"/>
        <w:suppressAutoHyphens/>
        <w:spacing w:before="120" w:after="120"/>
        <w:ind w:left="1134" w:right="1134"/>
        <w:jc w:val="left"/>
      </w:pPr>
      <w:r w:rsidRPr="009C44DD">
        <w:rPr>
          <w:b w:val="0"/>
        </w:rPr>
        <w:t xml:space="preserve">Таблица 2 </w:t>
      </w:r>
      <w:r w:rsidRPr="009C44DD">
        <w:rPr>
          <w:b w:val="0"/>
        </w:rPr>
        <w:br/>
      </w:r>
      <w:r w:rsidRPr="00140DEA">
        <w:t xml:space="preserve">Добровольный фонд </w:t>
      </w:r>
      <w:r>
        <w:t>для</w:t>
      </w:r>
      <w:r w:rsidRPr="00140DEA">
        <w:t xml:space="preserve"> финансовой и технической помощи в</w:t>
      </w:r>
      <w:r>
        <w:rPr>
          <w:lang w:val="en-US"/>
        </w:rPr>
        <w:t> </w:t>
      </w:r>
      <w:r w:rsidRPr="00140DEA">
        <w:t>осуществлении универсального периодического обзора</w:t>
      </w:r>
      <w:r>
        <w:t>:</w:t>
      </w:r>
      <w:r w:rsidRPr="00140DEA">
        <w:t xml:space="preserve"> </w:t>
      </w:r>
      <w:r w:rsidR="00FD6FC9">
        <w:br/>
      </w:r>
      <w:r w:rsidRPr="00140DEA">
        <w:t>добровольные взносы со времени создания Фонда по 31 декабря 2014 года</w:t>
      </w:r>
    </w:p>
    <w:tbl>
      <w:tblPr>
        <w:tblStyle w:val="TabNum"/>
        <w:tblW w:w="7370" w:type="dxa"/>
        <w:tblInd w:w="1134" w:type="dxa"/>
        <w:tblLayout w:type="fixed"/>
        <w:tblLook w:val="05E0" w:firstRow="1" w:lastRow="1" w:firstColumn="1" w:lastColumn="1" w:noHBand="0" w:noVBand="1"/>
      </w:tblPr>
      <w:tblGrid>
        <w:gridCol w:w="5613"/>
        <w:gridCol w:w="1757"/>
      </w:tblGrid>
      <w:tr w:rsidR="002C7198" w:rsidRPr="00140DEA" w:rsidTr="0056034F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tcBorders>
              <w:bottom w:val="single" w:sz="12" w:space="0" w:color="auto"/>
            </w:tcBorders>
            <w:shd w:val="clear" w:color="auto" w:fill="auto"/>
          </w:tcPr>
          <w:p w:rsidR="002C7198" w:rsidRPr="00140DEA" w:rsidRDefault="002C7198" w:rsidP="002C7198">
            <w:pPr>
              <w:spacing w:before="80" w:after="80" w:line="200" w:lineRule="exact"/>
              <w:rPr>
                <w:i/>
                <w:sz w:val="16"/>
              </w:rPr>
            </w:pPr>
            <w:r w:rsidRPr="00140DEA">
              <w:rPr>
                <w:i/>
                <w:sz w:val="16"/>
              </w:rPr>
              <w:t>Доноры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C7198" w:rsidRPr="00140DEA" w:rsidRDefault="002C7198" w:rsidP="002C7198">
            <w:pPr>
              <w:spacing w:before="80" w:after="80"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</w:rPr>
            </w:pPr>
            <w:r w:rsidRPr="00140DEA">
              <w:rPr>
                <w:i/>
                <w:sz w:val="16"/>
              </w:rPr>
              <w:t>Долл. США</w:t>
            </w:r>
          </w:p>
        </w:tc>
      </w:tr>
      <w:tr w:rsidR="002C7198" w:rsidRPr="00997EEC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tcBorders>
              <w:top w:val="single" w:sz="12" w:space="0" w:color="auto"/>
            </w:tcBorders>
          </w:tcPr>
          <w:p w:rsidR="002C7198" w:rsidRPr="00997EEC" w:rsidRDefault="002C7198" w:rsidP="002C7198">
            <w:pPr>
              <w:rPr>
                <w:b/>
              </w:rPr>
            </w:pPr>
            <w:r w:rsidRPr="00997EEC">
              <w:rPr>
                <w:b/>
              </w:rPr>
              <w:t>2008/2009 год</w:t>
            </w:r>
          </w:p>
        </w:tc>
        <w:tc>
          <w:tcPr>
            <w:tcW w:w="1757" w:type="dxa"/>
            <w:tcBorders>
              <w:top w:val="single" w:sz="12" w:space="0" w:color="auto"/>
            </w:tcBorders>
          </w:tcPr>
          <w:p w:rsidR="002C7198" w:rsidRPr="00997EEC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Колумбия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40 000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Российская Федерация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450 000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Соединенное Королевство Великобритании и С</w:t>
            </w:r>
            <w:r w:rsidRPr="00140DEA">
              <w:t>е</w:t>
            </w:r>
            <w:r w:rsidRPr="00140DEA">
              <w:t>верной Ирландии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45 326</w:t>
            </w:r>
          </w:p>
        </w:tc>
      </w:tr>
      <w:tr w:rsidR="002C7198" w:rsidRPr="0015308E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5308E" w:rsidRDefault="002C7198" w:rsidP="002C7198">
            <w:pPr>
              <w:rPr>
                <w:b/>
              </w:rPr>
            </w:pPr>
            <w:r w:rsidRPr="0015308E">
              <w:rPr>
                <w:b/>
              </w:rPr>
              <w:t>Двухгодичный период 2010–2011 годов</w:t>
            </w:r>
          </w:p>
        </w:tc>
        <w:tc>
          <w:tcPr>
            <w:tcW w:w="1757" w:type="dxa"/>
          </w:tcPr>
          <w:p w:rsidR="002C7198" w:rsidRPr="0015308E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Германия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148 148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Марокко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500 000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Российская Федерация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200 000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Соединенное Королевство Великобритании и С</w:t>
            </w:r>
            <w:r w:rsidRPr="00140DEA">
              <w:t>е</w:t>
            </w:r>
            <w:r w:rsidRPr="00140DEA">
              <w:t>верной Ирландии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133 707</w:t>
            </w:r>
          </w:p>
        </w:tc>
      </w:tr>
      <w:tr w:rsidR="002C7198" w:rsidRPr="0015308E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5308E" w:rsidRDefault="002C7198" w:rsidP="002C7198">
            <w:pPr>
              <w:rPr>
                <w:b/>
              </w:rPr>
            </w:pPr>
            <w:r w:rsidRPr="0015308E">
              <w:rPr>
                <w:b/>
              </w:rPr>
              <w:t>Двухгодичный период 2012–2013 годов</w:t>
            </w:r>
          </w:p>
        </w:tc>
        <w:tc>
          <w:tcPr>
            <w:tcW w:w="1757" w:type="dxa"/>
          </w:tcPr>
          <w:p w:rsidR="002C7198" w:rsidRPr="0015308E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Австралия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387 580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Германия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475 664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Казахстан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9 975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Норвегия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849 114</w:t>
            </w:r>
          </w:p>
        </w:tc>
      </w:tr>
      <w:tr w:rsidR="002C7198" w:rsidRPr="0015308E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5308E" w:rsidRDefault="002C7198" w:rsidP="002C7198">
            <w:pPr>
              <w:rPr>
                <w:b/>
              </w:rPr>
            </w:pPr>
            <w:r w:rsidRPr="0015308E">
              <w:rPr>
                <w:b/>
              </w:rPr>
              <w:t>Двухгодичный период 2014–2015</w:t>
            </w:r>
            <w:r w:rsidR="00225686">
              <w:rPr>
                <w:b/>
              </w:rPr>
              <w:t xml:space="preserve"> годов</w:t>
            </w:r>
          </w:p>
        </w:tc>
        <w:tc>
          <w:tcPr>
            <w:tcW w:w="1757" w:type="dxa"/>
          </w:tcPr>
          <w:p w:rsidR="002C7198" w:rsidRPr="0015308E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Германия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136 779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</w:tcPr>
          <w:p w:rsidR="002C7198" w:rsidRPr="00140DEA" w:rsidRDefault="002C7198" w:rsidP="002C7198">
            <w:r w:rsidRPr="00140DEA">
              <w:t>Норвегия</w:t>
            </w:r>
          </w:p>
        </w:tc>
        <w:tc>
          <w:tcPr>
            <w:tcW w:w="1757" w:type="dxa"/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333 667</w:t>
            </w:r>
          </w:p>
        </w:tc>
      </w:tr>
      <w:tr w:rsidR="002C7198" w:rsidRPr="00140DEA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tcBorders>
              <w:bottom w:val="single" w:sz="4" w:space="0" w:color="auto"/>
            </w:tcBorders>
          </w:tcPr>
          <w:p w:rsidR="002C7198" w:rsidRPr="00140DEA" w:rsidRDefault="002C7198" w:rsidP="002C7198">
            <w:r w:rsidRPr="00140DEA">
              <w:t>Казахстан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2C7198" w:rsidRPr="00140DEA" w:rsidRDefault="002C7198" w:rsidP="002C7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0DEA">
              <w:t>19 975</w:t>
            </w:r>
          </w:p>
        </w:tc>
      </w:tr>
      <w:tr w:rsidR="002C7198" w:rsidRPr="0015308E" w:rsidTr="00560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3" w:type="dxa"/>
            <w:tcBorders>
              <w:top w:val="single" w:sz="4" w:space="0" w:color="auto"/>
            </w:tcBorders>
          </w:tcPr>
          <w:p w:rsidR="002C7198" w:rsidRPr="0015308E" w:rsidRDefault="002C7198" w:rsidP="009C44DD">
            <w:pPr>
              <w:ind w:firstLine="284"/>
              <w:rPr>
                <w:b/>
              </w:rPr>
            </w:pPr>
            <w:r w:rsidRPr="0015308E">
              <w:rPr>
                <w:b/>
              </w:rPr>
              <w:t>Общий объем взносов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12" w:space="0" w:color="auto"/>
            </w:tcBorders>
          </w:tcPr>
          <w:p w:rsidR="002C7198" w:rsidRPr="0015308E" w:rsidRDefault="002C7198" w:rsidP="009C44DD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5308E">
              <w:rPr>
                <w:b/>
              </w:rPr>
              <w:t>3 729 955</w:t>
            </w:r>
          </w:p>
        </w:tc>
      </w:tr>
    </w:tbl>
    <w:p w:rsidR="002C7198" w:rsidRPr="00140DEA" w:rsidRDefault="002C7198" w:rsidP="002C7198">
      <w:pPr>
        <w:pStyle w:val="SingleTxtGR"/>
        <w:spacing w:before="120"/>
      </w:pPr>
      <w:r>
        <w:rPr>
          <w:bCs/>
        </w:rPr>
        <w:t>39</w:t>
      </w:r>
      <w:r w:rsidRPr="00140DEA">
        <w:rPr>
          <w:bCs/>
        </w:rPr>
        <w:t>.</w:t>
      </w:r>
      <w:r w:rsidRPr="00140DEA">
        <w:rPr>
          <w:bCs/>
        </w:rPr>
        <w:tab/>
      </w:r>
      <w:r w:rsidRPr="00140DEA">
        <w:t>В таблице 1 подробно показано финансовое положение Фонда по состо</w:t>
      </w:r>
      <w:r w:rsidRPr="00140DEA">
        <w:t>я</w:t>
      </w:r>
      <w:r w:rsidRPr="00140DEA">
        <w:t>нию на 31 декабря 2014 года (ведомость поступлений и расходов).</w:t>
      </w:r>
    </w:p>
    <w:p w:rsidR="002C7198" w:rsidRPr="00140DEA" w:rsidRDefault="002C7198" w:rsidP="002C7198">
      <w:pPr>
        <w:pStyle w:val="SingleTxtGR"/>
        <w:rPr>
          <w:b/>
        </w:rPr>
      </w:pPr>
      <w:r>
        <w:rPr>
          <w:bCs/>
        </w:rPr>
        <w:t>40</w:t>
      </w:r>
      <w:r w:rsidRPr="00140DEA">
        <w:rPr>
          <w:bCs/>
        </w:rPr>
        <w:t>.</w:t>
      </w:r>
      <w:r w:rsidRPr="00140DEA">
        <w:rPr>
          <w:bCs/>
        </w:rPr>
        <w:tab/>
      </w:r>
      <w:r w:rsidRPr="00140DEA">
        <w:t>С момента создания Добровольного фонда в 2009 году финансовые взн</w:t>
      </w:r>
      <w:r w:rsidRPr="00140DEA">
        <w:t>о</w:t>
      </w:r>
      <w:r w:rsidRPr="00140DEA">
        <w:t>сы в него внесли восемь стран: Австралия, Германия, Казахстан, Колумбия,</w:t>
      </w:r>
      <w:r>
        <w:t xml:space="preserve"> </w:t>
      </w:r>
      <w:r w:rsidRPr="00140DEA">
        <w:t>Марокко, Норвегия, Российская Федерация и Соединенное Королевство Вел</w:t>
      </w:r>
      <w:r w:rsidRPr="00140DEA">
        <w:t>и</w:t>
      </w:r>
      <w:r w:rsidRPr="00140DEA">
        <w:t>кобритании и Северной Ирландии. В таблице 2 приводится общ</w:t>
      </w:r>
      <w:r>
        <w:t>ая сводка</w:t>
      </w:r>
      <w:r w:rsidRPr="00140DEA">
        <w:t xml:space="preserve"> всех взносов, поступивших за отчетный период, т.е. с момента создания Фонда до </w:t>
      </w:r>
      <w:r w:rsidRPr="00140DEA">
        <w:lastRenderedPageBreak/>
        <w:t>31</w:t>
      </w:r>
      <w:r>
        <w:t> </w:t>
      </w:r>
      <w:r w:rsidRPr="00140DEA">
        <w:t>декабря 2014 года. За период с января по март 2015 года были получены д</w:t>
      </w:r>
      <w:r w:rsidRPr="00140DEA">
        <w:t>о</w:t>
      </w:r>
      <w:r w:rsidRPr="00140DEA">
        <w:t>полнительные финансовые взносы от Германии.</w:t>
      </w:r>
    </w:p>
    <w:p w:rsidR="002C7198" w:rsidRPr="00140DEA" w:rsidRDefault="002C7198" w:rsidP="002C7198">
      <w:pPr>
        <w:pStyle w:val="SingleTxtGR"/>
      </w:pPr>
      <w:r>
        <w:rPr>
          <w:bCs/>
        </w:rPr>
        <w:t>41</w:t>
      </w:r>
      <w:r w:rsidRPr="00140DEA">
        <w:rPr>
          <w:bCs/>
        </w:rPr>
        <w:t>.</w:t>
      </w:r>
      <w:r w:rsidRPr="00140DEA">
        <w:rPr>
          <w:bCs/>
        </w:rPr>
        <w:tab/>
      </w:r>
      <w:r w:rsidRPr="00140DEA">
        <w:t xml:space="preserve">Благодаря обновленному стратегическому видению </w:t>
      </w:r>
      <w:proofErr w:type="spellStart"/>
      <w:r w:rsidRPr="00140DEA">
        <w:t>УВКПЧ</w:t>
      </w:r>
      <w:proofErr w:type="spellEnd"/>
      <w:r w:rsidRPr="00140DEA">
        <w:t xml:space="preserve"> в отношении последующей деятельности по итогам </w:t>
      </w:r>
      <w:r>
        <w:t>универсального периодического обзора</w:t>
      </w:r>
      <w:r w:rsidRPr="00140DEA">
        <w:t xml:space="preserve">, которое позволяет </w:t>
      </w:r>
      <w:proofErr w:type="spellStart"/>
      <w:r w:rsidRPr="00140DEA">
        <w:t>УВКПЧ</w:t>
      </w:r>
      <w:proofErr w:type="spellEnd"/>
      <w:r w:rsidRPr="00140DEA">
        <w:t xml:space="preserve"> обеспечивать систематическую поддержку гос</w:t>
      </w:r>
      <w:r w:rsidRPr="00140DEA">
        <w:t>у</w:t>
      </w:r>
      <w:r w:rsidRPr="00140DEA">
        <w:t>дарств с упором на национальные процессы последующей деятельности, и в соответствии с указанными выше проектами на 2015 год объем ассигнований существенно увеличился. Из баланса, составлявшего на 31 декабря 2014 года 1</w:t>
      </w:r>
      <w:r>
        <w:t> </w:t>
      </w:r>
      <w:r w:rsidRPr="00140DEA">
        <w:t>852</w:t>
      </w:r>
      <w:r>
        <w:t> </w:t>
      </w:r>
      <w:r w:rsidRPr="00140DEA">
        <w:t>673долл. США, в 2015 году было выделено 1</w:t>
      </w:r>
      <w:r>
        <w:t> </w:t>
      </w:r>
      <w:r w:rsidRPr="00140DEA">
        <w:t>653</w:t>
      </w:r>
      <w:r>
        <w:t> </w:t>
      </w:r>
      <w:r w:rsidRPr="00140DEA">
        <w:t xml:space="preserve">923 долл. США. Таким образом, </w:t>
      </w:r>
      <w:r>
        <w:t xml:space="preserve">крайне </w:t>
      </w:r>
      <w:r w:rsidRPr="00140DEA">
        <w:t>важно расширить донорскую базу Фонда и обеспечить получ</w:t>
      </w:r>
      <w:r w:rsidRPr="00140DEA">
        <w:t>е</w:t>
      </w:r>
      <w:r w:rsidRPr="00140DEA">
        <w:t>ние дополнительного финансирования</w:t>
      </w:r>
      <w:r>
        <w:t>,</w:t>
      </w:r>
      <w:r w:rsidRPr="00140DEA">
        <w:t xml:space="preserve"> для того чтобы поддерживать и обесп</w:t>
      </w:r>
      <w:r w:rsidRPr="00140DEA">
        <w:t>е</w:t>
      </w:r>
      <w:r w:rsidRPr="00140DEA">
        <w:t>чивать универсальное применение новой стратегической концепции последу</w:t>
      </w:r>
      <w:r w:rsidRPr="00140DEA">
        <w:t>ю</w:t>
      </w:r>
      <w:r w:rsidRPr="00140DEA">
        <w:t>щих мер ко всем государствам-членам в соответствии с принципом униве</w:t>
      </w:r>
      <w:r w:rsidRPr="00140DEA">
        <w:t>р</w:t>
      </w:r>
      <w:r w:rsidRPr="00140DEA">
        <w:t>сальности механизма универсального периодического обзора.</w:t>
      </w:r>
    </w:p>
    <w:p w:rsidR="002C7198" w:rsidRPr="00140DEA" w:rsidRDefault="002C7198" w:rsidP="002C7198">
      <w:pPr>
        <w:pStyle w:val="HChGR"/>
      </w:pPr>
      <w:r w:rsidRPr="00140DEA">
        <w:tab/>
        <w:t xml:space="preserve">V. </w:t>
      </w:r>
      <w:r w:rsidRPr="002C7198">
        <w:tab/>
      </w:r>
      <w:r w:rsidRPr="00140DEA">
        <w:t>Выводы</w:t>
      </w:r>
    </w:p>
    <w:p w:rsidR="002C7198" w:rsidRPr="00140DEA" w:rsidRDefault="002C7198" w:rsidP="002C7198">
      <w:pPr>
        <w:pStyle w:val="SingleTxtGR"/>
        <w:rPr>
          <w:b/>
        </w:rPr>
      </w:pPr>
      <w:r w:rsidRPr="00140DEA">
        <w:rPr>
          <w:bCs/>
        </w:rPr>
        <w:t>4</w:t>
      </w:r>
      <w:r>
        <w:rPr>
          <w:bCs/>
        </w:rPr>
        <w:t>2</w:t>
      </w:r>
      <w:r w:rsidRPr="00140DEA">
        <w:rPr>
          <w:bCs/>
        </w:rPr>
        <w:t>.</w:t>
      </w:r>
      <w:r w:rsidRPr="00140DEA">
        <w:rPr>
          <w:bCs/>
        </w:rPr>
        <w:tab/>
      </w:r>
      <w:r w:rsidRPr="00997EEC">
        <w:rPr>
          <w:b/>
        </w:rPr>
        <w:t>Мобилизация политической воли и расширение возможностей гос</w:t>
      </w:r>
      <w:r w:rsidRPr="00997EEC">
        <w:rPr>
          <w:b/>
        </w:rPr>
        <w:t>у</w:t>
      </w:r>
      <w:r w:rsidRPr="00997EEC">
        <w:rPr>
          <w:b/>
        </w:rPr>
        <w:t>дарств достигать ощутимых результатов в целях улучшения положения в области прав человека являются ключевыми целями технической помощи и финансовой поддержки. Для достижения этих целей Добровольный фонд для финансовой и технической помощи в осуществлении универсального периодического обзора по-прежнему служит ценным источником поддер</w:t>
      </w:r>
      <w:r w:rsidRPr="00997EEC">
        <w:rPr>
          <w:b/>
        </w:rPr>
        <w:t>ж</w:t>
      </w:r>
      <w:r w:rsidRPr="00997EEC">
        <w:rPr>
          <w:b/>
        </w:rPr>
        <w:t xml:space="preserve">ки </w:t>
      </w:r>
      <w:r>
        <w:rPr>
          <w:b/>
        </w:rPr>
        <w:t>стран</w:t>
      </w:r>
      <w:r w:rsidRPr="00997EEC">
        <w:rPr>
          <w:b/>
        </w:rPr>
        <w:t xml:space="preserve"> в деле выполнения рекомендаций, вынесенных в рамках униве</w:t>
      </w:r>
      <w:r w:rsidRPr="00997EEC">
        <w:rPr>
          <w:b/>
        </w:rPr>
        <w:t>р</w:t>
      </w:r>
      <w:r w:rsidRPr="00997EEC">
        <w:rPr>
          <w:b/>
        </w:rPr>
        <w:t>сального периодического обзора.</w:t>
      </w:r>
    </w:p>
    <w:p w:rsidR="002C7198" w:rsidRPr="00140DEA" w:rsidRDefault="002C7198" w:rsidP="002C7198">
      <w:pPr>
        <w:pStyle w:val="SingleTxtGR"/>
        <w:rPr>
          <w:b/>
        </w:rPr>
      </w:pPr>
      <w:r>
        <w:rPr>
          <w:bCs/>
        </w:rPr>
        <w:t>43</w:t>
      </w:r>
      <w:r w:rsidRPr="00140DEA">
        <w:rPr>
          <w:bCs/>
        </w:rPr>
        <w:t>.</w:t>
      </w:r>
      <w:r w:rsidRPr="00140DEA">
        <w:rPr>
          <w:bCs/>
        </w:rPr>
        <w:tab/>
      </w:r>
      <w:r w:rsidRPr="00997EEC">
        <w:rPr>
          <w:b/>
        </w:rPr>
        <w:t xml:space="preserve">Как было продемонстрировано, обновленное стратегическое видение </w:t>
      </w:r>
      <w:proofErr w:type="spellStart"/>
      <w:r w:rsidRPr="00997EEC">
        <w:rPr>
          <w:b/>
        </w:rPr>
        <w:t>УВКПЧ</w:t>
      </w:r>
      <w:proofErr w:type="spellEnd"/>
      <w:r w:rsidRPr="00997EEC">
        <w:rPr>
          <w:b/>
        </w:rPr>
        <w:t xml:space="preserve"> в отношении последующей деятельности по итогам универсальн</w:t>
      </w:r>
      <w:r w:rsidRPr="00997EEC">
        <w:rPr>
          <w:b/>
        </w:rPr>
        <w:t>о</w:t>
      </w:r>
      <w:r w:rsidRPr="00997EEC">
        <w:rPr>
          <w:b/>
        </w:rPr>
        <w:t>го периодического обзора, которое является более дальновидным, систем</w:t>
      </w:r>
      <w:r w:rsidRPr="00997EEC">
        <w:rPr>
          <w:b/>
        </w:rPr>
        <w:t>а</w:t>
      </w:r>
      <w:r w:rsidRPr="00997EEC">
        <w:rPr>
          <w:b/>
        </w:rPr>
        <w:t xml:space="preserve">тическим и ориентированным на конкретные результаты, позволяет </w:t>
      </w:r>
      <w:proofErr w:type="spellStart"/>
      <w:r w:rsidRPr="00997EEC">
        <w:rPr>
          <w:b/>
        </w:rPr>
        <w:t>УВКПЧ</w:t>
      </w:r>
      <w:proofErr w:type="spellEnd"/>
      <w:r w:rsidRPr="00997EEC">
        <w:rPr>
          <w:b/>
        </w:rPr>
        <w:t xml:space="preserve"> оказывать систематическую поддержку государствам в выполн</w:t>
      </w:r>
      <w:r w:rsidRPr="00997EEC">
        <w:rPr>
          <w:b/>
        </w:rPr>
        <w:t>е</w:t>
      </w:r>
      <w:r w:rsidRPr="00997EEC">
        <w:rPr>
          <w:b/>
        </w:rPr>
        <w:t>нии их первостепенной обязанности осуществлять рекомендации, вын</w:t>
      </w:r>
      <w:r w:rsidRPr="00997EEC">
        <w:rPr>
          <w:b/>
        </w:rPr>
        <w:t>е</w:t>
      </w:r>
      <w:r w:rsidRPr="00997EEC">
        <w:rPr>
          <w:b/>
        </w:rPr>
        <w:t>сенные по итогам универсального периодического обзора. Особый акцент был сделан на важно</w:t>
      </w:r>
      <w:r>
        <w:rPr>
          <w:b/>
        </w:rPr>
        <w:t>м значении</w:t>
      </w:r>
      <w:r w:rsidRPr="00997EEC">
        <w:rPr>
          <w:b/>
        </w:rPr>
        <w:t xml:space="preserve"> создания и/или укрепления национальных процессов последующей деятельности, включая поддержку в деле создания </w:t>
      </w:r>
      <w:proofErr w:type="spellStart"/>
      <w:r w:rsidRPr="00997EEC">
        <w:rPr>
          <w:b/>
        </w:rPr>
        <w:t>межучрежденческого</w:t>
      </w:r>
      <w:proofErr w:type="spellEnd"/>
      <w:r w:rsidRPr="00997EEC">
        <w:rPr>
          <w:b/>
        </w:rPr>
        <w:t xml:space="preserve"> органа, разработки реального плана действий по осуществлению и поддержку в осуществлении </w:t>
      </w:r>
      <w:r>
        <w:rPr>
          <w:b/>
        </w:rPr>
        <w:t xml:space="preserve">мер по </w:t>
      </w:r>
      <w:r w:rsidRPr="00997EEC">
        <w:rPr>
          <w:b/>
        </w:rPr>
        <w:t>приоритетны</w:t>
      </w:r>
      <w:r>
        <w:rPr>
          <w:b/>
        </w:rPr>
        <w:t>м</w:t>
      </w:r>
      <w:r w:rsidRPr="00997EEC">
        <w:rPr>
          <w:b/>
        </w:rPr>
        <w:t xml:space="preserve"> тем</w:t>
      </w:r>
      <w:r w:rsidRPr="00997EEC">
        <w:rPr>
          <w:b/>
        </w:rPr>
        <w:t>а</w:t>
      </w:r>
      <w:r w:rsidRPr="00997EEC">
        <w:rPr>
          <w:b/>
        </w:rPr>
        <w:t>тически</w:t>
      </w:r>
      <w:r>
        <w:rPr>
          <w:b/>
        </w:rPr>
        <w:t>м</w:t>
      </w:r>
      <w:r w:rsidRPr="00997EEC">
        <w:rPr>
          <w:b/>
        </w:rPr>
        <w:t xml:space="preserve"> вопрос</w:t>
      </w:r>
      <w:r>
        <w:rPr>
          <w:b/>
        </w:rPr>
        <w:t>ам</w:t>
      </w:r>
      <w:r w:rsidRPr="00997EEC">
        <w:rPr>
          <w:b/>
        </w:rPr>
        <w:t>, определенных в таком плане действий.</w:t>
      </w:r>
    </w:p>
    <w:p w:rsidR="002C7198" w:rsidRPr="00140DEA" w:rsidRDefault="002C7198" w:rsidP="002C7198">
      <w:pPr>
        <w:pStyle w:val="SingleTxtGR"/>
        <w:rPr>
          <w:b/>
        </w:rPr>
      </w:pPr>
      <w:r>
        <w:rPr>
          <w:bCs/>
        </w:rPr>
        <w:t>44</w:t>
      </w:r>
      <w:r w:rsidRPr="00140DEA">
        <w:rPr>
          <w:bCs/>
        </w:rPr>
        <w:t>.</w:t>
      </w:r>
      <w:r w:rsidRPr="00140DEA">
        <w:rPr>
          <w:bCs/>
        </w:rPr>
        <w:tab/>
      </w:r>
      <w:r w:rsidRPr="00997EEC">
        <w:rPr>
          <w:b/>
        </w:rPr>
        <w:t xml:space="preserve">Кроме того, </w:t>
      </w:r>
      <w:r>
        <w:rPr>
          <w:b/>
        </w:rPr>
        <w:t>следует</w:t>
      </w:r>
      <w:r w:rsidRPr="00997EEC">
        <w:rPr>
          <w:b/>
        </w:rPr>
        <w:t xml:space="preserve"> надеяться на то, что комплексный подход к п</w:t>
      </w:r>
      <w:r w:rsidRPr="00997EEC">
        <w:rPr>
          <w:b/>
        </w:rPr>
        <w:t>о</w:t>
      </w:r>
      <w:r w:rsidRPr="00997EEC">
        <w:rPr>
          <w:b/>
        </w:rPr>
        <w:t>следующей деятельности по выполнению рекомендаций международных правозащитных механизмов, включая договорные органы, специальные процедуры и универсальный периодический обзор, по-прежнему буд</w:t>
      </w:r>
      <w:r>
        <w:rPr>
          <w:b/>
        </w:rPr>
        <w:t>е</w:t>
      </w:r>
      <w:r w:rsidRPr="00997EEC">
        <w:rPr>
          <w:b/>
        </w:rPr>
        <w:t>т применяться на как можно более широкой и систематической основе, что поможет государствам добиться конкретных результатов в деле поощрения и защиты прав человека на местах.</w:t>
      </w:r>
    </w:p>
    <w:p w:rsidR="002C7198" w:rsidRPr="00140DEA" w:rsidRDefault="002C7198" w:rsidP="002C7198">
      <w:pPr>
        <w:pStyle w:val="SingleTxtGR"/>
        <w:rPr>
          <w:b/>
        </w:rPr>
      </w:pPr>
      <w:r>
        <w:rPr>
          <w:bCs/>
        </w:rPr>
        <w:t>45</w:t>
      </w:r>
      <w:r w:rsidRPr="00140DEA">
        <w:rPr>
          <w:bCs/>
        </w:rPr>
        <w:t>.</w:t>
      </w:r>
      <w:r w:rsidRPr="00140DEA">
        <w:rPr>
          <w:bCs/>
        </w:rPr>
        <w:tab/>
      </w:r>
      <w:r w:rsidRPr="00997EEC">
        <w:rPr>
          <w:b/>
        </w:rPr>
        <w:t xml:space="preserve">Фиксируется все больше примеров </w:t>
      </w:r>
      <w:r>
        <w:rPr>
          <w:b/>
        </w:rPr>
        <w:t>передовой</w:t>
      </w:r>
      <w:r w:rsidRPr="00997EEC">
        <w:rPr>
          <w:b/>
        </w:rPr>
        <w:t xml:space="preserve"> практики в </w:t>
      </w:r>
      <w:r>
        <w:rPr>
          <w:b/>
        </w:rPr>
        <w:t>области</w:t>
      </w:r>
      <w:r w:rsidRPr="00997EEC">
        <w:rPr>
          <w:b/>
        </w:rPr>
        <w:t xml:space="preserve"> п</w:t>
      </w:r>
      <w:r w:rsidRPr="00997EEC">
        <w:rPr>
          <w:b/>
        </w:rPr>
        <w:t>о</w:t>
      </w:r>
      <w:r w:rsidRPr="00997EEC">
        <w:rPr>
          <w:b/>
        </w:rPr>
        <w:t>следующей деятельности по итогам универсального периодического обз</w:t>
      </w:r>
      <w:r w:rsidRPr="00997EEC">
        <w:rPr>
          <w:b/>
        </w:rPr>
        <w:t>о</w:t>
      </w:r>
      <w:r w:rsidRPr="00997EEC">
        <w:rPr>
          <w:b/>
        </w:rPr>
        <w:t xml:space="preserve">ра, которые закрепляются в соответствующих документах различными субъектами, включая организации гражданского общества. </w:t>
      </w:r>
      <w:proofErr w:type="spellStart"/>
      <w:r w:rsidRPr="00997EEC">
        <w:rPr>
          <w:b/>
        </w:rPr>
        <w:t>УВКПЧ</w:t>
      </w:r>
      <w:proofErr w:type="spellEnd"/>
      <w:r w:rsidRPr="00997EEC">
        <w:rPr>
          <w:b/>
        </w:rPr>
        <w:t xml:space="preserve"> пр</w:t>
      </w:r>
      <w:r w:rsidRPr="00997EEC">
        <w:rPr>
          <w:b/>
        </w:rPr>
        <w:t>о</w:t>
      </w:r>
      <w:r w:rsidRPr="00997EEC">
        <w:rPr>
          <w:b/>
        </w:rPr>
        <w:t>должает уделять внимание необходимости документальной фиксации т</w:t>
      </w:r>
      <w:r w:rsidRPr="00997EEC">
        <w:rPr>
          <w:b/>
        </w:rPr>
        <w:t>а</w:t>
      </w:r>
      <w:r w:rsidRPr="00997EEC">
        <w:rPr>
          <w:b/>
        </w:rPr>
        <w:t>ких примеров передового опыта на более систематической основе в кач</w:t>
      </w:r>
      <w:r w:rsidRPr="00997EEC">
        <w:rPr>
          <w:b/>
        </w:rPr>
        <w:t>е</w:t>
      </w:r>
      <w:r w:rsidRPr="00997EEC">
        <w:rPr>
          <w:b/>
        </w:rPr>
        <w:lastRenderedPageBreak/>
        <w:t xml:space="preserve">стве одной из приоритетных задач и будет прилагать всяческие усилия для обеспечения того, чтобы оптимальные виды практики в </w:t>
      </w:r>
      <w:r>
        <w:rPr>
          <w:b/>
        </w:rPr>
        <w:t xml:space="preserve">связи с </w:t>
      </w:r>
      <w:r w:rsidRPr="00997EEC">
        <w:rPr>
          <w:b/>
        </w:rPr>
        <w:t>наци</w:t>
      </w:r>
      <w:r w:rsidRPr="00997EEC">
        <w:rPr>
          <w:b/>
        </w:rPr>
        <w:t>о</w:t>
      </w:r>
      <w:r w:rsidRPr="00997EEC">
        <w:rPr>
          <w:b/>
        </w:rPr>
        <w:t>нальны</w:t>
      </w:r>
      <w:r>
        <w:rPr>
          <w:b/>
        </w:rPr>
        <w:t>ми</w:t>
      </w:r>
      <w:r w:rsidRPr="00997EEC">
        <w:rPr>
          <w:b/>
        </w:rPr>
        <w:t xml:space="preserve"> процесс</w:t>
      </w:r>
      <w:r>
        <w:rPr>
          <w:b/>
        </w:rPr>
        <w:t>ами</w:t>
      </w:r>
      <w:r w:rsidRPr="00997EEC">
        <w:rPr>
          <w:b/>
        </w:rPr>
        <w:t xml:space="preserve"> последующей деятельности, </w:t>
      </w:r>
      <w:r>
        <w:rPr>
          <w:b/>
        </w:rPr>
        <w:t>включая</w:t>
      </w:r>
      <w:r w:rsidRPr="00997EEC">
        <w:rPr>
          <w:b/>
        </w:rPr>
        <w:t xml:space="preserve"> способ</w:t>
      </w:r>
      <w:r>
        <w:rPr>
          <w:b/>
        </w:rPr>
        <w:t>ы</w:t>
      </w:r>
      <w:r w:rsidRPr="00997EEC">
        <w:rPr>
          <w:b/>
        </w:rPr>
        <w:t xml:space="preserve"> со</w:t>
      </w:r>
      <w:r w:rsidRPr="00997EEC">
        <w:rPr>
          <w:b/>
        </w:rPr>
        <w:t>в</w:t>
      </w:r>
      <w:r w:rsidRPr="00997EEC">
        <w:rPr>
          <w:b/>
        </w:rPr>
        <w:t xml:space="preserve">местной работы учреждений Организации Объединенных Наций на </w:t>
      </w:r>
      <w:proofErr w:type="spellStart"/>
      <w:r w:rsidRPr="00997EEC">
        <w:rPr>
          <w:b/>
        </w:rPr>
        <w:t>стр</w:t>
      </w:r>
      <w:r w:rsidRPr="00997EEC">
        <w:rPr>
          <w:b/>
        </w:rPr>
        <w:t>а</w:t>
      </w:r>
      <w:r w:rsidRPr="00997EEC">
        <w:rPr>
          <w:b/>
        </w:rPr>
        <w:t>новом</w:t>
      </w:r>
      <w:proofErr w:type="spellEnd"/>
      <w:r w:rsidRPr="00997EEC">
        <w:rPr>
          <w:b/>
        </w:rPr>
        <w:t xml:space="preserve"> уровне в целях поощрения концепции "Права человека прежде вс</w:t>
      </w:r>
      <w:r w:rsidRPr="00997EEC">
        <w:rPr>
          <w:b/>
        </w:rPr>
        <w:t>е</w:t>
      </w:r>
      <w:r w:rsidRPr="00997EEC">
        <w:rPr>
          <w:b/>
        </w:rPr>
        <w:t>го" и последующ</w:t>
      </w:r>
      <w:r>
        <w:rPr>
          <w:b/>
        </w:rPr>
        <w:t>ую</w:t>
      </w:r>
      <w:r w:rsidRPr="00997EEC">
        <w:rPr>
          <w:b/>
        </w:rPr>
        <w:t xml:space="preserve"> деятельност</w:t>
      </w:r>
      <w:r>
        <w:rPr>
          <w:b/>
        </w:rPr>
        <w:t>ь</w:t>
      </w:r>
      <w:r w:rsidRPr="00997EEC">
        <w:rPr>
          <w:b/>
        </w:rPr>
        <w:t xml:space="preserve"> в связи с общими глобальными темат</w:t>
      </w:r>
      <w:r w:rsidRPr="00997EEC">
        <w:rPr>
          <w:b/>
        </w:rPr>
        <w:t>и</w:t>
      </w:r>
      <w:r w:rsidRPr="00997EEC">
        <w:rPr>
          <w:b/>
        </w:rPr>
        <w:t>ческими вопросами прав человека, таки</w:t>
      </w:r>
      <w:r>
        <w:rPr>
          <w:b/>
        </w:rPr>
        <w:t>ми</w:t>
      </w:r>
      <w:r w:rsidRPr="00997EEC">
        <w:rPr>
          <w:b/>
        </w:rPr>
        <w:t xml:space="preserve"> как предотвращение насилия в отношении женщин и предупреждение пыток, документировались и ра</w:t>
      </w:r>
      <w:r w:rsidRPr="00997EEC">
        <w:rPr>
          <w:b/>
        </w:rPr>
        <w:t>с</w:t>
      </w:r>
      <w:r w:rsidRPr="00997EEC">
        <w:rPr>
          <w:b/>
        </w:rPr>
        <w:t xml:space="preserve">пространялись, </w:t>
      </w:r>
      <w:r>
        <w:rPr>
          <w:b/>
        </w:rPr>
        <w:t xml:space="preserve">с тем </w:t>
      </w:r>
      <w:r w:rsidRPr="00997EEC">
        <w:rPr>
          <w:b/>
        </w:rPr>
        <w:t xml:space="preserve">чтобы другие государства могли их </w:t>
      </w:r>
      <w:r>
        <w:rPr>
          <w:b/>
        </w:rPr>
        <w:t>взять на воор</w:t>
      </w:r>
      <w:r>
        <w:rPr>
          <w:b/>
        </w:rPr>
        <w:t>у</w:t>
      </w:r>
      <w:r>
        <w:rPr>
          <w:b/>
        </w:rPr>
        <w:t>жение</w:t>
      </w:r>
      <w:r w:rsidRPr="00997EEC">
        <w:rPr>
          <w:b/>
        </w:rPr>
        <w:t>, адаптировав к своим конкретным потребностям.</w:t>
      </w:r>
    </w:p>
    <w:p w:rsidR="002C7198" w:rsidRPr="00140DEA" w:rsidRDefault="002C7198" w:rsidP="002C7198">
      <w:pPr>
        <w:pStyle w:val="SingleTxtGR"/>
        <w:rPr>
          <w:b/>
        </w:rPr>
      </w:pPr>
      <w:r>
        <w:rPr>
          <w:bCs/>
        </w:rPr>
        <w:t>46</w:t>
      </w:r>
      <w:r w:rsidRPr="00140DEA">
        <w:rPr>
          <w:bCs/>
        </w:rPr>
        <w:t>.</w:t>
      </w:r>
      <w:r w:rsidRPr="00140DEA">
        <w:rPr>
          <w:bCs/>
        </w:rPr>
        <w:tab/>
      </w:r>
      <w:r w:rsidRPr="00997EEC">
        <w:rPr>
          <w:b/>
        </w:rPr>
        <w:t>Следует еще раз подчеркнуть, что главная ответственность за в</w:t>
      </w:r>
      <w:r w:rsidRPr="00997EEC">
        <w:rPr>
          <w:b/>
        </w:rPr>
        <w:t>ы</w:t>
      </w:r>
      <w:r w:rsidRPr="00997EEC">
        <w:rPr>
          <w:b/>
        </w:rPr>
        <w:t>полнение рекомендаций, сформулированных в процессе универсального периодического обзора, лежит на самих государствах и, в соответствующих случаях, на других заинтересованных субъектах. Таким образом, обеспеч</w:t>
      </w:r>
      <w:r w:rsidRPr="00997EEC">
        <w:rPr>
          <w:b/>
        </w:rPr>
        <w:t>е</w:t>
      </w:r>
      <w:r w:rsidRPr="00997EEC">
        <w:rPr>
          <w:b/>
        </w:rPr>
        <w:t>ние и поощрение активного участия других заинтересованных субъектов в процессе принятия последующих мер имеет чрезвычайно важное значение.</w:t>
      </w:r>
    </w:p>
    <w:p w:rsidR="002C7198" w:rsidRDefault="002C7198" w:rsidP="002C7198">
      <w:pPr>
        <w:pStyle w:val="SingleTxtGR"/>
        <w:rPr>
          <w:b/>
        </w:rPr>
      </w:pPr>
      <w:r>
        <w:t>47.</w:t>
      </w:r>
      <w:r>
        <w:tab/>
      </w:r>
      <w:r w:rsidRPr="00997EEC">
        <w:rPr>
          <w:b/>
        </w:rPr>
        <w:t>Следует также подчеркнуть, что жизненно важное значение имеют дополнительные взносы в Добровольный фонд, с тем чтобы обеспечить устойчивость поддержки, оказываемой государствам в осуществлении р</w:t>
      </w:r>
      <w:r w:rsidRPr="00997EEC">
        <w:rPr>
          <w:b/>
        </w:rPr>
        <w:t>е</w:t>
      </w:r>
      <w:r w:rsidRPr="00997EEC">
        <w:rPr>
          <w:b/>
        </w:rPr>
        <w:t>комендаций международных механизмов по правам человека на более с</w:t>
      </w:r>
      <w:r w:rsidRPr="00997EEC">
        <w:rPr>
          <w:b/>
        </w:rPr>
        <w:t>и</w:t>
      </w:r>
      <w:r w:rsidRPr="00997EEC">
        <w:rPr>
          <w:b/>
        </w:rPr>
        <w:t>стематической и комплексной основе.</w:t>
      </w:r>
    </w:p>
    <w:p w:rsidR="00E11B8F" w:rsidRPr="002C7198" w:rsidRDefault="002C7198" w:rsidP="002C7198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1B8F" w:rsidRPr="002C7198" w:rsidSect="00267F7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701" w:right="1134" w:bottom="2268" w:left="1134" w:header="113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98" w:rsidRDefault="002C7198">
      <w:r>
        <w:rPr>
          <w:lang w:val="en-US"/>
        </w:rPr>
        <w:tab/>
      </w:r>
      <w:r>
        <w:separator/>
      </w:r>
    </w:p>
  </w:endnote>
  <w:endnote w:type="continuationSeparator" w:id="0">
    <w:p w:rsidR="002C7198" w:rsidRDefault="002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39T30Lf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98" w:rsidRPr="009A6F4A" w:rsidRDefault="002C7198" w:rsidP="00E147C1">
    <w:pPr>
      <w:pStyle w:val="ac"/>
      <w:rPr>
        <w:lang w:val="en-US"/>
      </w:rPr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856FA">
      <w:rPr>
        <w:rStyle w:val="ad"/>
        <w:noProof/>
      </w:rPr>
      <w:t>14</w:t>
    </w:r>
    <w:r>
      <w:rPr>
        <w:rStyle w:val="ad"/>
      </w:rPr>
      <w:fldChar w:fldCharType="end"/>
    </w:r>
    <w:r>
      <w:rPr>
        <w:lang w:val="en-US"/>
      </w:rPr>
      <w:tab/>
      <w:t>GE.15-06972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98" w:rsidRPr="009A6F4A" w:rsidRDefault="002C7198" w:rsidP="00E147C1">
    <w:pPr>
      <w:pStyle w:val="ac"/>
      <w:rPr>
        <w:lang w:val="en-US"/>
      </w:rPr>
    </w:pPr>
    <w:r>
      <w:rPr>
        <w:lang w:val="en-US"/>
      </w:rPr>
      <w:t>GE.15-06972</w:t>
    </w:r>
    <w:r>
      <w:rPr>
        <w:lang w:val="en-US"/>
      </w:rPr>
      <w:tab/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9856FA">
      <w:rPr>
        <w:rStyle w:val="ad"/>
        <w:noProof/>
      </w:rPr>
      <w:t>15</w:t>
    </w:r>
    <w:r>
      <w:rPr>
        <w:rStyle w:val="a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634"/>
      <w:gridCol w:w="4625"/>
      <w:gridCol w:w="1596"/>
    </w:tblGrid>
    <w:tr w:rsidR="002C7198" w:rsidTr="00036FE6">
      <w:trPr>
        <w:trHeight w:val="438"/>
      </w:trPr>
      <w:tc>
        <w:tcPr>
          <w:tcW w:w="4068" w:type="dxa"/>
          <w:vAlign w:val="bottom"/>
        </w:tcPr>
        <w:p w:rsidR="002C7198" w:rsidRPr="006D4931" w:rsidRDefault="002C7198" w:rsidP="000C17AA">
          <w:r>
            <w:rPr>
              <w:lang w:val="en-US"/>
            </w:rPr>
            <w:t>GE.15</w:t>
          </w:r>
          <w:r w:rsidRPr="006D4931">
            <w:rPr>
              <w:lang w:val="en-US"/>
            </w:rPr>
            <w:t>-</w:t>
          </w:r>
          <w:r>
            <w:rPr>
              <w:lang w:val="en-US"/>
            </w:rPr>
            <w:t>06972</w:t>
          </w:r>
          <w:r w:rsidRPr="006D4931">
            <w:rPr>
              <w:lang w:val="en-US"/>
            </w:rPr>
            <w:t xml:space="preserve">  (R)</w:t>
          </w:r>
          <w:r>
            <w:rPr>
              <w:lang w:val="en-US"/>
            </w:rPr>
            <w:t xml:space="preserve">  230415  240415</w:t>
          </w:r>
        </w:p>
      </w:tc>
      <w:tc>
        <w:tcPr>
          <w:tcW w:w="4663" w:type="dxa"/>
          <w:vMerge w:val="restart"/>
          <w:vAlign w:val="bottom"/>
        </w:tcPr>
        <w:p w:rsidR="002C7198" w:rsidRDefault="002C7198" w:rsidP="00036FE6">
          <w:pPr>
            <w:spacing w:after="120"/>
            <w:jc w:val="right"/>
          </w:pPr>
          <w:r>
            <w:rPr>
              <w:b/>
              <w:noProof/>
              <w:lang w:eastAsia="ru-RU"/>
            </w:rPr>
            <w:drawing>
              <wp:inline distT="0" distB="0" distL="0" distR="0" wp14:anchorId="2FD434C3" wp14:editId="7AF8DE19">
                <wp:extent cx="2704465" cy="230505"/>
                <wp:effectExtent l="0" t="0" r="635" b="0"/>
                <wp:docPr id="2" name="Рисунок 2" descr="recycle_Russi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cycle_Russi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446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4" w:type="dxa"/>
          <w:vMerge w:val="restart"/>
          <w:vAlign w:val="bottom"/>
        </w:tcPr>
        <w:p w:rsidR="002C7198" w:rsidRDefault="002C7198" w:rsidP="00036FE6">
          <w:pPr>
            <w:jc w:val="right"/>
          </w:pPr>
          <w:r>
            <w:rPr>
              <w:noProof/>
              <w:lang w:eastAsia="ru-RU"/>
            </w:rPr>
            <w:drawing>
              <wp:inline distT="0" distB="0" distL="0" distR="0">
                <wp:extent cx="869315" cy="869315"/>
                <wp:effectExtent l="0" t="0" r="6985" b="6985"/>
                <wp:docPr id="4" name="Рисунок 4" descr="http://undocs.org/m2/QRCode2.ashx?DS=A/HRC/29/22&amp;Size=2&amp;Lang=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29/22&amp;Size=2&amp;Lang=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198" w:rsidRPr="00797A78" w:rsidTr="00036FE6">
      <w:tc>
        <w:tcPr>
          <w:tcW w:w="4068" w:type="dxa"/>
          <w:vAlign w:val="bottom"/>
        </w:tcPr>
        <w:p w:rsidR="002C7198" w:rsidRPr="00E11B8F" w:rsidRDefault="002C7198" w:rsidP="00036FE6">
          <w:pPr>
            <w:spacing w:after="40"/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</w:pP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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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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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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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</w:t>
          </w:r>
          <w:r w:rsidRPr="00E11B8F">
            <w:rPr>
              <w:rFonts w:ascii="C39T30Lfz" w:hAnsi="C39T30Lfz"/>
              <w:spacing w:val="0"/>
              <w:w w:val="100"/>
              <w:kern w:val="0"/>
              <w:sz w:val="56"/>
              <w:szCs w:val="56"/>
              <w:lang w:val="en-US" w:eastAsia="ru-RU"/>
            </w:rPr>
            <w:t></w:t>
          </w:r>
        </w:p>
      </w:tc>
      <w:tc>
        <w:tcPr>
          <w:tcW w:w="4663" w:type="dxa"/>
          <w:vMerge/>
        </w:tcPr>
        <w:p w:rsidR="002C7198" w:rsidRDefault="002C7198" w:rsidP="00036FE6"/>
      </w:tc>
      <w:tc>
        <w:tcPr>
          <w:tcW w:w="1124" w:type="dxa"/>
          <w:vMerge/>
        </w:tcPr>
        <w:p w:rsidR="002C7198" w:rsidRDefault="002C7198" w:rsidP="00036FE6"/>
      </w:tc>
    </w:tr>
  </w:tbl>
  <w:p w:rsidR="002C7198" w:rsidRDefault="002C7198" w:rsidP="006D4931">
    <w:pPr>
      <w:spacing w:line="240" w:lineRule="auto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98" w:rsidRPr="00F71F63" w:rsidRDefault="002C7198" w:rsidP="00457634">
      <w:pPr>
        <w:tabs>
          <w:tab w:val="right" w:pos="2155"/>
        </w:tabs>
        <w:spacing w:after="80" w:line="240" w:lineRule="auto"/>
        <w:ind w:left="680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</w:footnote>
  <w:footnote w:type="continuationSeparator" w:id="0">
    <w:p w:rsidR="002C7198" w:rsidRPr="00F71F63" w:rsidRDefault="002C7198" w:rsidP="00635E86">
      <w:pPr>
        <w:tabs>
          <w:tab w:val="right" w:pos="2155"/>
        </w:tabs>
        <w:spacing w:after="80" w:line="240" w:lineRule="auto"/>
        <w:rPr>
          <w:u w:val="single"/>
          <w:lang w:val="en-US"/>
        </w:rPr>
      </w:pPr>
      <w:r w:rsidRPr="00F71F63">
        <w:rPr>
          <w:u w:val="single"/>
          <w:lang w:val="en-US"/>
        </w:rPr>
        <w:tab/>
      </w:r>
    </w:p>
    <w:p w:rsidR="002C7198" w:rsidRPr="00635E86" w:rsidRDefault="002C7198" w:rsidP="00635E86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98" w:rsidRPr="004D6DD6" w:rsidRDefault="002C7198">
    <w:pPr>
      <w:pStyle w:val="a9"/>
      <w:rPr>
        <w:lang w:val="en-US"/>
      </w:rPr>
    </w:pPr>
    <w:r w:rsidRPr="00E11B8F">
      <w:rPr>
        <w:lang w:val="en-US"/>
      </w:rPr>
      <w:t>A/</w:t>
    </w:r>
    <w:proofErr w:type="spellStart"/>
    <w:r w:rsidRPr="00E11B8F">
      <w:rPr>
        <w:lang w:val="en-US"/>
      </w:rPr>
      <w:t>HRC</w:t>
    </w:r>
    <w:proofErr w:type="spellEnd"/>
    <w:r w:rsidRPr="00E11B8F">
      <w:rPr>
        <w:lang w:val="en-US"/>
      </w:rPr>
      <w:t>/29/22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98" w:rsidRPr="009A6F4A" w:rsidRDefault="002C7198" w:rsidP="00E11B8F">
    <w:pPr>
      <w:pStyle w:val="a9"/>
      <w:rPr>
        <w:lang w:val="en-US"/>
      </w:rPr>
    </w:pPr>
    <w:r>
      <w:rPr>
        <w:lang w:val="en-US"/>
      </w:rPr>
      <w:tab/>
    </w:r>
    <w:r w:rsidRPr="00E11B8F">
      <w:rPr>
        <w:lang w:val="en-US"/>
      </w:rPr>
      <w:t>A/</w:t>
    </w:r>
    <w:proofErr w:type="spellStart"/>
    <w:r w:rsidRPr="00E11B8F">
      <w:rPr>
        <w:lang w:val="en-US"/>
      </w:rPr>
      <w:t>HRC</w:t>
    </w:r>
    <w:proofErr w:type="spellEnd"/>
    <w:r w:rsidRPr="00E11B8F">
      <w:rPr>
        <w:lang w:val="en-US"/>
      </w:rPr>
      <w:t>/29/22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A2F24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36686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E73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ACCA3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2A49F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62B70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5EA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82C5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0CBD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6A47F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61C2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B8C6CF5"/>
    <w:multiLevelType w:val="hybridMultilevel"/>
    <w:tmpl w:val="93FCAD22"/>
    <w:lvl w:ilvl="0" w:tplc="F73C6636">
      <w:start w:val="1"/>
      <w:numFmt w:val="bullet"/>
      <w:pStyle w:val="Bullet2GR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76EF3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BC90228"/>
    <w:multiLevelType w:val="hybridMultilevel"/>
    <w:tmpl w:val="E5464F8E"/>
    <w:lvl w:ilvl="0" w:tplc="FD0C5992">
      <w:start w:val="1"/>
      <w:numFmt w:val="decimal"/>
      <w:pStyle w:val="ParaNoGR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8310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  <w:num w:numId="18">
    <w:abstractNumId w:val="11"/>
  </w:num>
  <w:num w:numId="19">
    <w:abstractNumId w:val="11"/>
  </w:num>
  <w:num w:numId="20">
    <w:abstractNumId w:val="14"/>
  </w:num>
  <w:num w:numId="21">
    <w:abstractNumId w:val="11"/>
  </w:num>
  <w:num w:numId="22">
    <w:abstractNumId w:val="13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567"/>
  <w:autoHyphenation/>
  <w:hyphenationZone w:val="357"/>
  <w:doNotHyphenateCaps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8F"/>
    <w:rsid w:val="000033D8"/>
    <w:rsid w:val="000054E3"/>
    <w:rsid w:val="00005C1C"/>
    <w:rsid w:val="00016553"/>
    <w:rsid w:val="000233B3"/>
    <w:rsid w:val="00023E9E"/>
    <w:rsid w:val="00026B0C"/>
    <w:rsid w:val="0003638E"/>
    <w:rsid w:val="00036FE6"/>
    <w:rsid w:val="00036FF2"/>
    <w:rsid w:val="0004010A"/>
    <w:rsid w:val="00043D88"/>
    <w:rsid w:val="00046E4D"/>
    <w:rsid w:val="0006401A"/>
    <w:rsid w:val="00072C27"/>
    <w:rsid w:val="00086182"/>
    <w:rsid w:val="00090891"/>
    <w:rsid w:val="00092E62"/>
    <w:rsid w:val="00097227"/>
    <w:rsid w:val="00097975"/>
    <w:rsid w:val="000A0FCA"/>
    <w:rsid w:val="000A3DDF"/>
    <w:rsid w:val="000A60A0"/>
    <w:rsid w:val="000C17AA"/>
    <w:rsid w:val="000C3688"/>
    <w:rsid w:val="000D66FF"/>
    <w:rsid w:val="000D6863"/>
    <w:rsid w:val="00117AEE"/>
    <w:rsid w:val="001463F7"/>
    <w:rsid w:val="00156C82"/>
    <w:rsid w:val="0015769C"/>
    <w:rsid w:val="00180752"/>
    <w:rsid w:val="00185076"/>
    <w:rsid w:val="0018543C"/>
    <w:rsid w:val="00190231"/>
    <w:rsid w:val="00192ABD"/>
    <w:rsid w:val="001A75D5"/>
    <w:rsid w:val="001A7D40"/>
    <w:rsid w:val="001D07F7"/>
    <w:rsid w:val="001D3017"/>
    <w:rsid w:val="001D7B8F"/>
    <w:rsid w:val="001E48EE"/>
    <w:rsid w:val="001F2D04"/>
    <w:rsid w:val="0020059C"/>
    <w:rsid w:val="002019BD"/>
    <w:rsid w:val="00225686"/>
    <w:rsid w:val="00232D42"/>
    <w:rsid w:val="00237334"/>
    <w:rsid w:val="002444F4"/>
    <w:rsid w:val="002629A0"/>
    <w:rsid w:val="00267F74"/>
    <w:rsid w:val="0028492B"/>
    <w:rsid w:val="00291C8F"/>
    <w:rsid w:val="002B777D"/>
    <w:rsid w:val="002C5036"/>
    <w:rsid w:val="002C6A71"/>
    <w:rsid w:val="002C6D5F"/>
    <w:rsid w:val="002C7198"/>
    <w:rsid w:val="002D15EA"/>
    <w:rsid w:val="002D414F"/>
    <w:rsid w:val="002D6C07"/>
    <w:rsid w:val="002E0CE6"/>
    <w:rsid w:val="002E1163"/>
    <w:rsid w:val="002E43F3"/>
    <w:rsid w:val="003215F5"/>
    <w:rsid w:val="00332891"/>
    <w:rsid w:val="00353C58"/>
    <w:rsid w:val="00356BB2"/>
    <w:rsid w:val="00360477"/>
    <w:rsid w:val="00367FC9"/>
    <w:rsid w:val="003711A1"/>
    <w:rsid w:val="00372123"/>
    <w:rsid w:val="00382B38"/>
    <w:rsid w:val="00386581"/>
    <w:rsid w:val="00387100"/>
    <w:rsid w:val="003951D3"/>
    <w:rsid w:val="003978C6"/>
    <w:rsid w:val="003A0687"/>
    <w:rsid w:val="003A3F16"/>
    <w:rsid w:val="003B40A9"/>
    <w:rsid w:val="003C016E"/>
    <w:rsid w:val="003D5EBD"/>
    <w:rsid w:val="00401CE0"/>
    <w:rsid w:val="00403234"/>
    <w:rsid w:val="00407AC3"/>
    <w:rsid w:val="00414586"/>
    <w:rsid w:val="00415059"/>
    <w:rsid w:val="00424FDD"/>
    <w:rsid w:val="0043033D"/>
    <w:rsid w:val="00435FE4"/>
    <w:rsid w:val="00455AAF"/>
    <w:rsid w:val="00457634"/>
    <w:rsid w:val="00474F42"/>
    <w:rsid w:val="0048244D"/>
    <w:rsid w:val="004A0DE8"/>
    <w:rsid w:val="004A4CB7"/>
    <w:rsid w:val="004A57B5"/>
    <w:rsid w:val="004B19DA"/>
    <w:rsid w:val="004C2A53"/>
    <w:rsid w:val="004C3B35"/>
    <w:rsid w:val="004C43EC"/>
    <w:rsid w:val="004D261D"/>
    <w:rsid w:val="004E6729"/>
    <w:rsid w:val="004F0E47"/>
    <w:rsid w:val="0051339C"/>
    <w:rsid w:val="0051412F"/>
    <w:rsid w:val="00522B6F"/>
    <w:rsid w:val="0052430E"/>
    <w:rsid w:val="005276AD"/>
    <w:rsid w:val="00540A9A"/>
    <w:rsid w:val="00543522"/>
    <w:rsid w:val="00545680"/>
    <w:rsid w:val="0056034F"/>
    <w:rsid w:val="0056618E"/>
    <w:rsid w:val="00576F59"/>
    <w:rsid w:val="00577A34"/>
    <w:rsid w:val="00580AAD"/>
    <w:rsid w:val="00593A04"/>
    <w:rsid w:val="005A6D5A"/>
    <w:rsid w:val="005B1B28"/>
    <w:rsid w:val="005B7D51"/>
    <w:rsid w:val="005B7F35"/>
    <w:rsid w:val="005C2081"/>
    <w:rsid w:val="005C678A"/>
    <w:rsid w:val="005D346D"/>
    <w:rsid w:val="005E5E39"/>
    <w:rsid w:val="005E74AB"/>
    <w:rsid w:val="00606A3E"/>
    <w:rsid w:val="006115AA"/>
    <w:rsid w:val="006120AE"/>
    <w:rsid w:val="00615D8A"/>
    <w:rsid w:val="006342D2"/>
    <w:rsid w:val="00635E86"/>
    <w:rsid w:val="00636A37"/>
    <w:rsid w:val="006501A5"/>
    <w:rsid w:val="006567B2"/>
    <w:rsid w:val="00662ADE"/>
    <w:rsid w:val="00664106"/>
    <w:rsid w:val="006730C4"/>
    <w:rsid w:val="006756F1"/>
    <w:rsid w:val="00677773"/>
    <w:rsid w:val="006805FC"/>
    <w:rsid w:val="006926C7"/>
    <w:rsid w:val="00694C37"/>
    <w:rsid w:val="006A1BEB"/>
    <w:rsid w:val="006A401C"/>
    <w:rsid w:val="006A7C6E"/>
    <w:rsid w:val="006B23D9"/>
    <w:rsid w:val="006C1814"/>
    <w:rsid w:val="006C2F45"/>
    <w:rsid w:val="006C361A"/>
    <w:rsid w:val="006C5657"/>
    <w:rsid w:val="006D4931"/>
    <w:rsid w:val="006D5E4E"/>
    <w:rsid w:val="006E6860"/>
    <w:rsid w:val="006E7183"/>
    <w:rsid w:val="006F5FBF"/>
    <w:rsid w:val="0070327E"/>
    <w:rsid w:val="00707B5F"/>
    <w:rsid w:val="00735602"/>
    <w:rsid w:val="0075279B"/>
    <w:rsid w:val="00753748"/>
    <w:rsid w:val="00762446"/>
    <w:rsid w:val="00781ACB"/>
    <w:rsid w:val="007A79EB"/>
    <w:rsid w:val="007D4CA0"/>
    <w:rsid w:val="007D7A23"/>
    <w:rsid w:val="007E38C3"/>
    <w:rsid w:val="007E549E"/>
    <w:rsid w:val="007E71C9"/>
    <w:rsid w:val="007F4651"/>
    <w:rsid w:val="007F7553"/>
    <w:rsid w:val="0080755E"/>
    <w:rsid w:val="008120D4"/>
    <w:rsid w:val="008139A5"/>
    <w:rsid w:val="00817F73"/>
    <w:rsid w:val="0082228E"/>
    <w:rsid w:val="00830402"/>
    <w:rsid w:val="008305D7"/>
    <w:rsid w:val="00834887"/>
    <w:rsid w:val="00842FED"/>
    <w:rsid w:val="008455CF"/>
    <w:rsid w:val="00847689"/>
    <w:rsid w:val="00861C52"/>
    <w:rsid w:val="008727A1"/>
    <w:rsid w:val="00886B0F"/>
    <w:rsid w:val="00891C08"/>
    <w:rsid w:val="008A2C8F"/>
    <w:rsid w:val="008A3879"/>
    <w:rsid w:val="008A5FA8"/>
    <w:rsid w:val="008A7575"/>
    <w:rsid w:val="008B5F47"/>
    <w:rsid w:val="008C7B87"/>
    <w:rsid w:val="008D6A7A"/>
    <w:rsid w:val="008E3E87"/>
    <w:rsid w:val="008E7F13"/>
    <w:rsid w:val="008F3185"/>
    <w:rsid w:val="00912657"/>
    <w:rsid w:val="00915B0A"/>
    <w:rsid w:val="00926904"/>
    <w:rsid w:val="009372F0"/>
    <w:rsid w:val="00955022"/>
    <w:rsid w:val="00957B4D"/>
    <w:rsid w:val="00964EEA"/>
    <w:rsid w:val="00972A8F"/>
    <w:rsid w:val="00980C86"/>
    <w:rsid w:val="009856FA"/>
    <w:rsid w:val="00993721"/>
    <w:rsid w:val="009B1D9B"/>
    <w:rsid w:val="009B4074"/>
    <w:rsid w:val="009C30BB"/>
    <w:rsid w:val="009C44DD"/>
    <w:rsid w:val="009C60BE"/>
    <w:rsid w:val="009E6279"/>
    <w:rsid w:val="009F00A6"/>
    <w:rsid w:val="009F56A7"/>
    <w:rsid w:val="009F5B05"/>
    <w:rsid w:val="00A02669"/>
    <w:rsid w:val="00A026CA"/>
    <w:rsid w:val="00A07232"/>
    <w:rsid w:val="00A14800"/>
    <w:rsid w:val="00A156DE"/>
    <w:rsid w:val="00A157ED"/>
    <w:rsid w:val="00A2446A"/>
    <w:rsid w:val="00A4025D"/>
    <w:rsid w:val="00A678A4"/>
    <w:rsid w:val="00A800D1"/>
    <w:rsid w:val="00A820C3"/>
    <w:rsid w:val="00A92699"/>
    <w:rsid w:val="00AA73BE"/>
    <w:rsid w:val="00AB5BF0"/>
    <w:rsid w:val="00AC1C95"/>
    <w:rsid w:val="00AC2CCB"/>
    <w:rsid w:val="00AC443A"/>
    <w:rsid w:val="00AE60E2"/>
    <w:rsid w:val="00B0169F"/>
    <w:rsid w:val="00B05F21"/>
    <w:rsid w:val="00B14EA9"/>
    <w:rsid w:val="00B30A3C"/>
    <w:rsid w:val="00B31D1B"/>
    <w:rsid w:val="00B4717A"/>
    <w:rsid w:val="00B5096B"/>
    <w:rsid w:val="00B731EC"/>
    <w:rsid w:val="00B81305"/>
    <w:rsid w:val="00BB17DC"/>
    <w:rsid w:val="00BB1AF9"/>
    <w:rsid w:val="00BB4C4A"/>
    <w:rsid w:val="00BD3CAE"/>
    <w:rsid w:val="00BD5F3C"/>
    <w:rsid w:val="00C07C0F"/>
    <w:rsid w:val="00C145C4"/>
    <w:rsid w:val="00C20D2F"/>
    <w:rsid w:val="00C2131B"/>
    <w:rsid w:val="00C37AF8"/>
    <w:rsid w:val="00C37C79"/>
    <w:rsid w:val="00C41BBC"/>
    <w:rsid w:val="00C4598C"/>
    <w:rsid w:val="00C51419"/>
    <w:rsid w:val="00C54056"/>
    <w:rsid w:val="00C663A3"/>
    <w:rsid w:val="00C75CB2"/>
    <w:rsid w:val="00C90723"/>
    <w:rsid w:val="00C90D5C"/>
    <w:rsid w:val="00CA609E"/>
    <w:rsid w:val="00CA7DA4"/>
    <w:rsid w:val="00CB31FB"/>
    <w:rsid w:val="00CE3D6F"/>
    <w:rsid w:val="00CE79A5"/>
    <w:rsid w:val="00CF0042"/>
    <w:rsid w:val="00CF262F"/>
    <w:rsid w:val="00D025D5"/>
    <w:rsid w:val="00D26B13"/>
    <w:rsid w:val="00D26CC1"/>
    <w:rsid w:val="00D30662"/>
    <w:rsid w:val="00D32A0B"/>
    <w:rsid w:val="00D444E5"/>
    <w:rsid w:val="00D6236B"/>
    <w:rsid w:val="00D809D1"/>
    <w:rsid w:val="00D84ECF"/>
    <w:rsid w:val="00DA2851"/>
    <w:rsid w:val="00DA2B7C"/>
    <w:rsid w:val="00DA5686"/>
    <w:rsid w:val="00DB2FC0"/>
    <w:rsid w:val="00DF18FA"/>
    <w:rsid w:val="00DF49CA"/>
    <w:rsid w:val="00DF775B"/>
    <w:rsid w:val="00E007F3"/>
    <w:rsid w:val="00E00DEA"/>
    <w:rsid w:val="00E06EF0"/>
    <w:rsid w:val="00E11679"/>
    <w:rsid w:val="00E11B8F"/>
    <w:rsid w:val="00E147C1"/>
    <w:rsid w:val="00E307D1"/>
    <w:rsid w:val="00E46A04"/>
    <w:rsid w:val="00E717F3"/>
    <w:rsid w:val="00E72C5E"/>
    <w:rsid w:val="00E73451"/>
    <w:rsid w:val="00E7489F"/>
    <w:rsid w:val="00E75147"/>
    <w:rsid w:val="00E7615C"/>
    <w:rsid w:val="00E8167D"/>
    <w:rsid w:val="00E907E9"/>
    <w:rsid w:val="00E96BE7"/>
    <w:rsid w:val="00EA2CD0"/>
    <w:rsid w:val="00EC0044"/>
    <w:rsid w:val="00EC3A35"/>
    <w:rsid w:val="00EC6B9F"/>
    <w:rsid w:val="00EE516D"/>
    <w:rsid w:val="00EF4D1B"/>
    <w:rsid w:val="00EF7295"/>
    <w:rsid w:val="00F069D1"/>
    <w:rsid w:val="00F1223D"/>
    <w:rsid w:val="00F1503D"/>
    <w:rsid w:val="00F22712"/>
    <w:rsid w:val="00F275F5"/>
    <w:rsid w:val="00F33188"/>
    <w:rsid w:val="00F35BDE"/>
    <w:rsid w:val="00F411D5"/>
    <w:rsid w:val="00F43E5E"/>
    <w:rsid w:val="00F52A0E"/>
    <w:rsid w:val="00F71F63"/>
    <w:rsid w:val="00F87506"/>
    <w:rsid w:val="00F92C41"/>
    <w:rsid w:val="00FA5522"/>
    <w:rsid w:val="00FA6E4A"/>
    <w:rsid w:val="00FB2B35"/>
    <w:rsid w:val="00FC4AE1"/>
    <w:rsid w:val="00FD09F4"/>
    <w:rsid w:val="00FD6FC9"/>
    <w:rsid w:val="00FD78A3"/>
    <w:rsid w:val="00FF6C8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677773"/>
    <w:pPr>
      <w:spacing w:line="240" w:lineRule="atLeast"/>
    </w:pPr>
    <w:rPr>
      <w:spacing w:val="4"/>
      <w:w w:val="103"/>
      <w:kern w:val="14"/>
      <w:lang w:eastAsia="en-US"/>
    </w:rPr>
  </w:style>
  <w:style w:type="paragraph" w:styleId="1">
    <w:name w:val="heading 1"/>
    <w:aliases w:val="Table_GR"/>
    <w:basedOn w:val="a2"/>
    <w:next w:val="a2"/>
    <w:qFormat/>
    <w:rsid w:val="007E71C9"/>
    <w:pPr>
      <w:keepNext/>
      <w:tabs>
        <w:tab w:val="left" w:pos="567"/>
      </w:tabs>
      <w:spacing w:line="240" w:lineRule="auto"/>
      <w:jc w:val="both"/>
      <w:outlineLvl w:val="0"/>
    </w:pPr>
    <w:rPr>
      <w:rFonts w:cs="Arial"/>
      <w:b/>
      <w:bCs/>
      <w:szCs w:val="32"/>
      <w:lang w:eastAsia="ru-RU"/>
    </w:rPr>
  </w:style>
  <w:style w:type="paragraph" w:styleId="21">
    <w:name w:val="heading 2"/>
    <w:basedOn w:val="a2"/>
    <w:next w:val="a2"/>
    <w:qFormat/>
    <w:rsid w:val="007E71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7E71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7E71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7E71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E71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7E71C9"/>
    <w:pPr>
      <w:spacing w:before="240" w:after="60"/>
      <w:outlineLvl w:val="6"/>
    </w:pPr>
    <w:rPr>
      <w:sz w:val="24"/>
    </w:rPr>
  </w:style>
  <w:style w:type="paragraph" w:styleId="8">
    <w:name w:val="heading 8"/>
    <w:basedOn w:val="a2"/>
    <w:next w:val="a2"/>
    <w:qFormat/>
    <w:rsid w:val="007E71C9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2"/>
    <w:next w:val="a2"/>
    <w:qFormat/>
    <w:rsid w:val="007E71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LGR">
    <w:name w:val="__S_L_GR"/>
    <w:basedOn w:val="a2"/>
    <w:next w:val="a2"/>
    <w:rsid w:val="00E73451"/>
    <w:pPr>
      <w:keepNext/>
      <w:keepLines/>
      <w:suppressAutoHyphens/>
      <w:spacing w:before="240" w:after="240" w:line="580" w:lineRule="exact"/>
      <w:ind w:left="1134" w:right="1134"/>
    </w:pPr>
    <w:rPr>
      <w:b/>
      <w:sz w:val="56"/>
      <w:lang w:eastAsia="ru-RU"/>
    </w:rPr>
  </w:style>
  <w:style w:type="paragraph" w:customStyle="1" w:styleId="SMGR">
    <w:name w:val="__S_M_GR"/>
    <w:basedOn w:val="a2"/>
    <w:next w:val="a2"/>
    <w:rsid w:val="00E73451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SSGR">
    <w:name w:val="__S_S_GR"/>
    <w:basedOn w:val="a2"/>
    <w:next w:val="a2"/>
    <w:rsid w:val="00E73451"/>
    <w:pPr>
      <w:keepNext/>
      <w:keepLines/>
      <w:suppressAutoHyphens/>
      <w:spacing w:before="240" w:after="240" w:line="300" w:lineRule="exact"/>
      <w:ind w:left="1134" w:right="1134"/>
    </w:pPr>
    <w:rPr>
      <w:b/>
      <w:sz w:val="28"/>
      <w:lang w:eastAsia="ru-RU"/>
    </w:rPr>
  </w:style>
  <w:style w:type="paragraph" w:customStyle="1" w:styleId="XLargeGR">
    <w:name w:val="__XLarge_GR"/>
    <w:basedOn w:val="a2"/>
    <w:next w:val="a2"/>
    <w:rsid w:val="00BB4C4A"/>
    <w:pPr>
      <w:keepNext/>
      <w:keepLines/>
      <w:suppressAutoHyphens/>
      <w:spacing w:before="240" w:after="240" w:line="420" w:lineRule="exact"/>
      <w:ind w:left="1134" w:right="1134"/>
    </w:pPr>
    <w:rPr>
      <w:b/>
      <w:sz w:val="40"/>
      <w:lang w:eastAsia="ru-RU"/>
    </w:rPr>
  </w:style>
  <w:style w:type="paragraph" w:customStyle="1" w:styleId="Bullet1GR">
    <w:name w:val="_Bullet 1_GR"/>
    <w:basedOn w:val="a2"/>
    <w:rsid w:val="00BB4C4A"/>
    <w:pPr>
      <w:numPr>
        <w:numId w:val="20"/>
      </w:numPr>
      <w:spacing w:after="120"/>
      <w:ind w:right="1134"/>
      <w:jc w:val="both"/>
    </w:pPr>
    <w:rPr>
      <w:lang w:eastAsia="ru-RU"/>
    </w:rPr>
  </w:style>
  <w:style w:type="paragraph" w:customStyle="1" w:styleId="Bullet2GR">
    <w:name w:val="_Bullet 2_GR"/>
    <w:basedOn w:val="a2"/>
    <w:rsid w:val="00BB4C4A"/>
    <w:pPr>
      <w:numPr>
        <w:numId w:val="21"/>
      </w:numPr>
      <w:spacing w:after="120"/>
      <w:ind w:right="1134"/>
      <w:jc w:val="both"/>
    </w:pPr>
    <w:rPr>
      <w:lang w:eastAsia="ru-RU"/>
    </w:rPr>
  </w:style>
  <w:style w:type="numbering" w:styleId="111111">
    <w:name w:val="Outline List 2"/>
    <w:basedOn w:val="a5"/>
    <w:semiHidden/>
    <w:rsid w:val="007E71C9"/>
    <w:pPr>
      <w:numPr>
        <w:numId w:val="4"/>
      </w:numPr>
    </w:pPr>
  </w:style>
  <w:style w:type="numbering" w:styleId="1ai">
    <w:name w:val="Outline List 1"/>
    <w:basedOn w:val="a5"/>
    <w:semiHidden/>
    <w:rsid w:val="007E71C9"/>
    <w:pPr>
      <w:numPr>
        <w:numId w:val="5"/>
      </w:numPr>
    </w:pPr>
  </w:style>
  <w:style w:type="paragraph" w:styleId="HTML">
    <w:name w:val="HTML Address"/>
    <w:basedOn w:val="a2"/>
    <w:semiHidden/>
    <w:rsid w:val="007E71C9"/>
    <w:rPr>
      <w:i/>
      <w:iCs/>
    </w:rPr>
  </w:style>
  <w:style w:type="paragraph" w:styleId="a6">
    <w:name w:val="envelope address"/>
    <w:basedOn w:val="a2"/>
    <w:semiHidden/>
    <w:rsid w:val="007E7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7">
    <w:name w:val="Date"/>
    <w:basedOn w:val="a2"/>
    <w:next w:val="a2"/>
    <w:semiHidden/>
    <w:rsid w:val="007E71C9"/>
  </w:style>
  <w:style w:type="paragraph" w:styleId="50">
    <w:name w:val="List Bullet 5"/>
    <w:basedOn w:val="a2"/>
    <w:semiHidden/>
    <w:rsid w:val="007E71C9"/>
    <w:pPr>
      <w:numPr>
        <w:numId w:val="10"/>
      </w:numPr>
    </w:pPr>
  </w:style>
  <w:style w:type="table" w:styleId="a8">
    <w:name w:val="Table Grid"/>
    <w:basedOn w:val="a4"/>
    <w:rsid w:val="003A068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4"/>
    <w:semiHidden/>
    <w:rsid w:val="007E71C9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aliases w:val="6_GR"/>
    <w:basedOn w:val="a2"/>
    <w:next w:val="a2"/>
    <w:rsid w:val="00C145C4"/>
    <w:pPr>
      <w:pBdr>
        <w:bottom w:val="single" w:sz="4" w:space="4" w:color="auto"/>
      </w:pBdr>
      <w:tabs>
        <w:tab w:val="right" w:pos="9639"/>
      </w:tabs>
      <w:suppressAutoHyphens/>
      <w:spacing w:line="240" w:lineRule="auto"/>
    </w:pPr>
    <w:rPr>
      <w:b/>
      <w:spacing w:val="0"/>
      <w:w w:val="100"/>
      <w:kern w:val="0"/>
      <w:sz w:val="18"/>
      <w:lang w:val="en-GB" w:eastAsia="ru-RU"/>
    </w:rPr>
  </w:style>
  <w:style w:type="character" w:styleId="aa">
    <w:name w:val="endnote reference"/>
    <w:aliases w:val="1_GR"/>
    <w:basedOn w:val="ab"/>
    <w:rsid w:val="008120D4"/>
    <w:rPr>
      <w:rFonts w:ascii="Times New Roman" w:hAnsi="Times New Roman"/>
      <w:dstrike w:val="0"/>
      <w:sz w:val="18"/>
      <w:vertAlign w:val="superscript"/>
    </w:rPr>
  </w:style>
  <w:style w:type="paragraph" w:styleId="ac">
    <w:name w:val="footer"/>
    <w:aliases w:val="3_GR"/>
    <w:basedOn w:val="a2"/>
    <w:rsid w:val="00E8167D"/>
    <w:pPr>
      <w:tabs>
        <w:tab w:val="right" w:pos="9639"/>
      </w:tabs>
      <w:suppressAutoHyphens/>
      <w:spacing w:line="240" w:lineRule="auto"/>
    </w:pPr>
    <w:rPr>
      <w:spacing w:val="0"/>
      <w:w w:val="100"/>
      <w:kern w:val="0"/>
      <w:sz w:val="16"/>
      <w:lang w:val="en-GB" w:eastAsia="ru-RU"/>
    </w:rPr>
  </w:style>
  <w:style w:type="character" w:styleId="ad">
    <w:name w:val="page number"/>
    <w:aliases w:val="7_GR"/>
    <w:basedOn w:val="a3"/>
    <w:rsid w:val="00E72C5E"/>
    <w:rPr>
      <w:rFonts w:ascii="Times New Roman" w:hAnsi="Times New Roman"/>
      <w:b/>
      <w:sz w:val="18"/>
    </w:rPr>
  </w:style>
  <w:style w:type="paragraph" w:styleId="ae">
    <w:name w:val="endnote text"/>
    <w:aliases w:val="2_GR"/>
    <w:basedOn w:val="af"/>
    <w:rsid w:val="00D84ECF"/>
  </w:style>
  <w:style w:type="paragraph" w:styleId="af">
    <w:name w:val="footnote text"/>
    <w:aliases w:val="5_GR"/>
    <w:basedOn w:val="a2"/>
    <w:rsid w:val="00D84ECF"/>
    <w:pPr>
      <w:tabs>
        <w:tab w:val="right" w:pos="1021"/>
      </w:tabs>
      <w:suppressAutoHyphens/>
      <w:spacing w:line="220" w:lineRule="exact"/>
      <w:ind w:left="1134" w:right="1134" w:hanging="1134"/>
    </w:pPr>
    <w:rPr>
      <w:spacing w:val="5"/>
      <w:w w:val="104"/>
      <w:sz w:val="18"/>
      <w:lang w:val="en-GB" w:eastAsia="ru-RU"/>
    </w:rPr>
  </w:style>
  <w:style w:type="paragraph" w:customStyle="1" w:styleId="ParaNoGR">
    <w:name w:val="_ParaNo._GR"/>
    <w:basedOn w:val="a2"/>
    <w:next w:val="a2"/>
    <w:rsid w:val="00E72C5E"/>
    <w:pPr>
      <w:numPr>
        <w:numId w:val="23"/>
      </w:numPr>
      <w:tabs>
        <w:tab w:val="left" w:pos="567"/>
      </w:tabs>
      <w:spacing w:after="120"/>
      <w:ind w:right="1134"/>
      <w:jc w:val="both"/>
      <w:outlineLvl w:val="0"/>
    </w:pPr>
    <w:rPr>
      <w:lang w:eastAsia="ru-RU"/>
    </w:rPr>
  </w:style>
  <w:style w:type="character" w:styleId="ab">
    <w:name w:val="footnote reference"/>
    <w:aliases w:val="4_GR"/>
    <w:basedOn w:val="a3"/>
    <w:rsid w:val="00BB17DC"/>
    <w:rPr>
      <w:rFonts w:ascii="Times New Roman" w:hAnsi="Times New Roman"/>
      <w:dstrike w:val="0"/>
      <w:sz w:val="18"/>
      <w:vertAlign w:val="superscript"/>
    </w:rPr>
  </w:style>
  <w:style w:type="character" w:styleId="HTML0">
    <w:name w:val="HTML Acronym"/>
    <w:basedOn w:val="a3"/>
    <w:semiHidden/>
    <w:rsid w:val="007E71C9"/>
  </w:style>
  <w:style w:type="table" w:styleId="-1">
    <w:name w:val="Table Web 1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7E71C9"/>
    <w:pPr>
      <w:spacing w:after="120" w:line="2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basedOn w:val="a3"/>
    <w:qFormat/>
    <w:rsid w:val="007E71C9"/>
    <w:rPr>
      <w:i/>
      <w:iCs/>
    </w:rPr>
  </w:style>
  <w:style w:type="paragraph" w:styleId="af1">
    <w:name w:val="Note Heading"/>
    <w:basedOn w:val="a2"/>
    <w:next w:val="a2"/>
    <w:semiHidden/>
    <w:rsid w:val="007E71C9"/>
  </w:style>
  <w:style w:type="table" w:styleId="af2">
    <w:name w:val="Table Elegant"/>
    <w:basedOn w:val="a4"/>
    <w:semiHidden/>
    <w:rsid w:val="007E71C9"/>
    <w:pPr>
      <w:spacing w:after="120" w:line="2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7E71C9"/>
    <w:pPr>
      <w:spacing w:after="120" w:line="2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4"/>
    <w:semiHidden/>
    <w:rsid w:val="007E71C9"/>
    <w:pPr>
      <w:spacing w:after="120" w:line="2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basedOn w:val="a3"/>
    <w:semiHidden/>
    <w:rsid w:val="007E71C9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7E71C9"/>
    <w:pPr>
      <w:spacing w:after="120" w:line="2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3">
    <w:name w:val="Body Text"/>
    <w:basedOn w:val="a2"/>
    <w:semiHidden/>
    <w:rsid w:val="007E71C9"/>
  </w:style>
  <w:style w:type="paragraph" w:styleId="af4">
    <w:name w:val="Body Text First Indent"/>
    <w:basedOn w:val="af3"/>
    <w:semiHidden/>
    <w:rsid w:val="007E71C9"/>
    <w:pPr>
      <w:ind w:firstLine="210"/>
    </w:pPr>
  </w:style>
  <w:style w:type="paragraph" w:styleId="af5">
    <w:name w:val="Body Text Indent"/>
    <w:basedOn w:val="a2"/>
    <w:semiHidden/>
    <w:rsid w:val="007E71C9"/>
    <w:pPr>
      <w:ind w:left="283"/>
    </w:pPr>
  </w:style>
  <w:style w:type="paragraph" w:styleId="24">
    <w:name w:val="Body Text First Indent 2"/>
    <w:basedOn w:val="af5"/>
    <w:semiHidden/>
    <w:rsid w:val="007E71C9"/>
    <w:pPr>
      <w:ind w:firstLine="210"/>
    </w:pPr>
  </w:style>
  <w:style w:type="paragraph" w:styleId="a0">
    <w:name w:val="List Bullet"/>
    <w:basedOn w:val="a2"/>
    <w:semiHidden/>
    <w:rsid w:val="007E71C9"/>
    <w:pPr>
      <w:numPr>
        <w:numId w:val="6"/>
      </w:numPr>
    </w:pPr>
  </w:style>
  <w:style w:type="paragraph" w:styleId="20">
    <w:name w:val="List Bullet 2"/>
    <w:basedOn w:val="a2"/>
    <w:semiHidden/>
    <w:rsid w:val="007E71C9"/>
    <w:pPr>
      <w:numPr>
        <w:numId w:val="7"/>
      </w:numPr>
    </w:pPr>
  </w:style>
  <w:style w:type="paragraph" w:styleId="30">
    <w:name w:val="List Bullet 3"/>
    <w:basedOn w:val="a2"/>
    <w:semiHidden/>
    <w:rsid w:val="007E71C9"/>
    <w:pPr>
      <w:numPr>
        <w:numId w:val="8"/>
      </w:numPr>
    </w:pPr>
  </w:style>
  <w:style w:type="paragraph" w:styleId="40">
    <w:name w:val="List Bullet 4"/>
    <w:basedOn w:val="a2"/>
    <w:semiHidden/>
    <w:rsid w:val="007E71C9"/>
    <w:pPr>
      <w:numPr>
        <w:numId w:val="9"/>
      </w:numPr>
    </w:pPr>
  </w:style>
  <w:style w:type="paragraph" w:styleId="af6">
    <w:name w:val="Title"/>
    <w:basedOn w:val="a2"/>
    <w:qFormat/>
    <w:rsid w:val="007E71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7">
    <w:name w:val="line number"/>
    <w:basedOn w:val="a3"/>
    <w:semiHidden/>
    <w:rsid w:val="007E71C9"/>
  </w:style>
  <w:style w:type="paragraph" w:styleId="a">
    <w:name w:val="List Number"/>
    <w:basedOn w:val="a2"/>
    <w:semiHidden/>
    <w:rsid w:val="007E71C9"/>
    <w:pPr>
      <w:numPr>
        <w:numId w:val="11"/>
      </w:numPr>
    </w:pPr>
  </w:style>
  <w:style w:type="paragraph" w:styleId="2">
    <w:name w:val="List Number 2"/>
    <w:basedOn w:val="a2"/>
    <w:semiHidden/>
    <w:rsid w:val="007E71C9"/>
    <w:pPr>
      <w:numPr>
        <w:numId w:val="12"/>
      </w:numPr>
    </w:pPr>
  </w:style>
  <w:style w:type="paragraph" w:styleId="3">
    <w:name w:val="List Number 3"/>
    <w:basedOn w:val="a2"/>
    <w:semiHidden/>
    <w:rsid w:val="007E71C9"/>
    <w:pPr>
      <w:numPr>
        <w:numId w:val="13"/>
      </w:numPr>
    </w:pPr>
  </w:style>
  <w:style w:type="paragraph" w:styleId="4">
    <w:name w:val="List Number 4"/>
    <w:basedOn w:val="a2"/>
    <w:semiHidden/>
    <w:rsid w:val="007E71C9"/>
    <w:pPr>
      <w:numPr>
        <w:numId w:val="14"/>
      </w:numPr>
    </w:pPr>
  </w:style>
  <w:style w:type="paragraph" w:styleId="5">
    <w:name w:val="List Number 5"/>
    <w:basedOn w:val="a2"/>
    <w:semiHidden/>
    <w:rsid w:val="007E71C9"/>
    <w:pPr>
      <w:numPr>
        <w:numId w:val="15"/>
      </w:numPr>
    </w:pPr>
  </w:style>
  <w:style w:type="character" w:styleId="HTML3">
    <w:name w:val="HTML Sample"/>
    <w:basedOn w:val="a3"/>
    <w:semiHidden/>
    <w:rsid w:val="007E71C9"/>
    <w:rPr>
      <w:rFonts w:ascii="Courier New" w:hAnsi="Courier New" w:cs="Courier New"/>
    </w:rPr>
  </w:style>
  <w:style w:type="paragraph" w:styleId="25">
    <w:name w:val="envelope return"/>
    <w:basedOn w:val="a2"/>
    <w:semiHidden/>
    <w:rsid w:val="007E71C9"/>
    <w:rPr>
      <w:rFonts w:ascii="Arial" w:hAnsi="Arial" w:cs="Arial"/>
    </w:rPr>
  </w:style>
  <w:style w:type="table" w:styleId="13">
    <w:name w:val="Table 3D effects 1"/>
    <w:basedOn w:val="a4"/>
    <w:semiHidden/>
    <w:rsid w:val="007E71C9"/>
    <w:pPr>
      <w:spacing w:after="120" w:line="2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3D effects 2"/>
    <w:basedOn w:val="a4"/>
    <w:semiHidden/>
    <w:rsid w:val="007E71C9"/>
    <w:pPr>
      <w:spacing w:after="120" w:line="2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7E71C9"/>
    <w:pPr>
      <w:spacing w:after="120" w:line="2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Normal (Web)"/>
    <w:basedOn w:val="a2"/>
    <w:semiHidden/>
    <w:rsid w:val="007E71C9"/>
    <w:rPr>
      <w:sz w:val="24"/>
    </w:rPr>
  </w:style>
  <w:style w:type="paragraph" w:styleId="af9">
    <w:name w:val="Normal Indent"/>
    <w:basedOn w:val="a2"/>
    <w:semiHidden/>
    <w:rsid w:val="007E71C9"/>
    <w:pPr>
      <w:ind w:left="567"/>
    </w:pPr>
  </w:style>
  <w:style w:type="character" w:styleId="HTML4">
    <w:name w:val="HTML Definition"/>
    <w:basedOn w:val="a3"/>
    <w:semiHidden/>
    <w:rsid w:val="007E71C9"/>
    <w:rPr>
      <w:i/>
      <w:iCs/>
    </w:rPr>
  </w:style>
  <w:style w:type="paragraph" w:styleId="27">
    <w:name w:val="Body Text 2"/>
    <w:basedOn w:val="a2"/>
    <w:semiHidden/>
    <w:rsid w:val="007E71C9"/>
    <w:pPr>
      <w:spacing w:line="480" w:lineRule="auto"/>
    </w:pPr>
  </w:style>
  <w:style w:type="paragraph" w:styleId="34">
    <w:name w:val="Body Text 3"/>
    <w:basedOn w:val="a2"/>
    <w:semiHidden/>
    <w:rsid w:val="007E71C9"/>
    <w:rPr>
      <w:sz w:val="16"/>
      <w:szCs w:val="16"/>
    </w:rPr>
  </w:style>
  <w:style w:type="paragraph" w:styleId="28">
    <w:name w:val="Body Text Indent 2"/>
    <w:basedOn w:val="a2"/>
    <w:semiHidden/>
    <w:rsid w:val="007E71C9"/>
    <w:pPr>
      <w:spacing w:line="480" w:lineRule="auto"/>
      <w:ind w:left="283"/>
    </w:pPr>
  </w:style>
  <w:style w:type="paragraph" w:styleId="35">
    <w:name w:val="Body Text Indent 3"/>
    <w:basedOn w:val="a2"/>
    <w:semiHidden/>
    <w:rsid w:val="007E71C9"/>
    <w:pPr>
      <w:ind w:left="283"/>
    </w:pPr>
    <w:rPr>
      <w:sz w:val="16"/>
      <w:szCs w:val="16"/>
    </w:rPr>
  </w:style>
  <w:style w:type="character" w:styleId="HTML5">
    <w:name w:val="HTML Variable"/>
    <w:basedOn w:val="a3"/>
    <w:semiHidden/>
    <w:rsid w:val="007E71C9"/>
    <w:rPr>
      <w:i/>
      <w:iCs/>
    </w:rPr>
  </w:style>
  <w:style w:type="character" w:styleId="HTML6">
    <w:name w:val="HTML Typewriter"/>
    <w:basedOn w:val="a3"/>
    <w:semiHidden/>
    <w:rsid w:val="007E71C9"/>
    <w:rPr>
      <w:rFonts w:ascii="Courier New" w:hAnsi="Courier New" w:cs="Courier New"/>
      <w:sz w:val="20"/>
      <w:szCs w:val="20"/>
    </w:rPr>
  </w:style>
  <w:style w:type="paragraph" w:styleId="afa">
    <w:name w:val="Subtitle"/>
    <w:basedOn w:val="a2"/>
    <w:qFormat/>
    <w:rsid w:val="007E71C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b">
    <w:name w:val="Signature"/>
    <w:basedOn w:val="a2"/>
    <w:semiHidden/>
    <w:rsid w:val="007E71C9"/>
    <w:pPr>
      <w:ind w:left="4252"/>
    </w:pPr>
  </w:style>
  <w:style w:type="paragraph" w:styleId="afc">
    <w:name w:val="Salutation"/>
    <w:basedOn w:val="a2"/>
    <w:next w:val="a2"/>
    <w:semiHidden/>
    <w:rsid w:val="007E71C9"/>
  </w:style>
  <w:style w:type="paragraph" w:styleId="afd">
    <w:name w:val="List Continue"/>
    <w:basedOn w:val="a2"/>
    <w:semiHidden/>
    <w:rsid w:val="007E71C9"/>
    <w:pPr>
      <w:ind w:left="283"/>
    </w:pPr>
  </w:style>
  <w:style w:type="paragraph" w:styleId="29">
    <w:name w:val="List Continue 2"/>
    <w:basedOn w:val="a2"/>
    <w:semiHidden/>
    <w:rsid w:val="007E71C9"/>
    <w:pPr>
      <w:ind w:left="566"/>
    </w:pPr>
  </w:style>
  <w:style w:type="paragraph" w:styleId="36">
    <w:name w:val="List Continue 3"/>
    <w:basedOn w:val="a2"/>
    <w:semiHidden/>
    <w:rsid w:val="007E71C9"/>
    <w:pPr>
      <w:ind w:left="849"/>
    </w:pPr>
  </w:style>
  <w:style w:type="paragraph" w:styleId="43">
    <w:name w:val="List Continue 4"/>
    <w:basedOn w:val="a2"/>
    <w:semiHidden/>
    <w:rsid w:val="007E71C9"/>
    <w:pPr>
      <w:ind w:left="1132"/>
    </w:pPr>
  </w:style>
  <w:style w:type="paragraph" w:styleId="52">
    <w:name w:val="List Continue 5"/>
    <w:basedOn w:val="a2"/>
    <w:semiHidden/>
    <w:rsid w:val="007E71C9"/>
    <w:pPr>
      <w:ind w:left="1415"/>
    </w:pPr>
  </w:style>
  <w:style w:type="character" w:styleId="afe">
    <w:name w:val="FollowedHyperlink"/>
    <w:basedOn w:val="a3"/>
    <w:semiHidden/>
    <w:rsid w:val="007E71C9"/>
    <w:rPr>
      <w:color w:val="800080"/>
      <w:u w:val="single"/>
    </w:rPr>
  </w:style>
  <w:style w:type="table" w:styleId="2a">
    <w:name w:val="Table Simple 2"/>
    <w:basedOn w:val="a4"/>
    <w:semiHidden/>
    <w:rsid w:val="007E71C9"/>
    <w:pPr>
      <w:spacing w:after="120" w:line="2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">
    <w:name w:val="Closing"/>
    <w:basedOn w:val="a2"/>
    <w:semiHidden/>
    <w:rsid w:val="007E71C9"/>
    <w:pPr>
      <w:ind w:left="4252"/>
    </w:pPr>
  </w:style>
  <w:style w:type="table" w:styleId="14">
    <w:name w:val="Table Grid 1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7E71C9"/>
    <w:pPr>
      <w:spacing w:after="120" w:line="2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7E71C9"/>
    <w:pPr>
      <w:spacing w:after="120" w:line="2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7E71C9"/>
    <w:pPr>
      <w:spacing w:after="120" w:line="2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7E71C9"/>
    <w:pPr>
      <w:spacing w:after="120" w:line="2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7E71C9"/>
    <w:pPr>
      <w:spacing w:after="120" w:line="2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7E71C9"/>
    <w:pPr>
      <w:ind w:left="283" w:hanging="283"/>
    </w:pPr>
  </w:style>
  <w:style w:type="paragraph" w:styleId="2c">
    <w:name w:val="List 2"/>
    <w:basedOn w:val="a2"/>
    <w:semiHidden/>
    <w:rsid w:val="007E71C9"/>
    <w:pPr>
      <w:ind w:left="566" w:hanging="283"/>
    </w:pPr>
  </w:style>
  <w:style w:type="paragraph" w:styleId="39">
    <w:name w:val="List 3"/>
    <w:basedOn w:val="a2"/>
    <w:semiHidden/>
    <w:rsid w:val="007E71C9"/>
    <w:pPr>
      <w:ind w:left="849" w:hanging="283"/>
    </w:pPr>
  </w:style>
  <w:style w:type="paragraph" w:styleId="45">
    <w:name w:val="List 4"/>
    <w:basedOn w:val="a2"/>
    <w:semiHidden/>
    <w:rsid w:val="007E71C9"/>
    <w:pPr>
      <w:ind w:left="1132" w:hanging="283"/>
    </w:pPr>
  </w:style>
  <w:style w:type="paragraph" w:styleId="54">
    <w:name w:val="List 5"/>
    <w:basedOn w:val="a2"/>
    <w:semiHidden/>
    <w:rsid w:val="007E71C9"/>
    <w:pPr>
      <w:ind w:left="1415" w:hanging="283"/>
    </w:pPr>
  </w:style>
  <w:style w:type="paragraph" w:styleId="HTML7">
    <w:name w:val="HTML Preformatted"/>
    <w:basedOn w:val="a2"/>
    <w:semiHidden/>
    <w:rsid w:val="007E71C9"/>
    <w:rPr>
      <w:rFonts w:ascii="Courier New" w:hAnsi="Courier New" w:cs="Courier New"/>
    </w:rPr>
  </w:style>
  <w:style w:type="numbering" w:styleId="a1">
    <w:name w:val="Outline List 3"/>
    <w:basedOn w:val="a5"/>
    <w:semiHidden/>
    <w:rsid w:val="007E71C9"/>
    <w:pPr>
      <w:numPr>
        <w:numId w:val="16"/>
      </w:numPr>
    </w:pPr>
  </w:style>
  <w:style w:type="table" w:styleId="15">
    <w:name w:val="Table Columns 1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7E71C9"/>
    <w:pPr>
      <w:spacing w:after="120" w:line="2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7E71C9"/>
    <w:pPr>
      <w:spacing w:after="120" w:line="2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7E71C9"/>
    <w:pPr>
      <w:spacing w:after="120" w:line="2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2">
    <w:name w:val="Strong"/>
    <w:basedOn w:val="a3"/>
    <w:qFormat/>
    <w:rsid w:val="007E71C9"/>
    <w:rPr>
      <w:b/>
      <w:bCs/>
    </w:rPr>
  </w:style>
  <w:style w:type="table" w:styleId="-10">
    <w:name w:val="Table List 1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7E71C9"/>
    <w:pPr>
      <w:spacing w:after="120" w:line="2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7E71C9"/>
    <w:pPr>
      <w:spacing w:after="120" w:line="2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7E71C9"/>
    <w:pPr>
      <w:spacing w:after="120" w:line="2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7E71C9"/>
    <w:pPr>
      <w:spacing w:after="120" w:line="2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3">
    <w:name w:val="Table Theme"/>
    <w:basedOn w:val="a4"/>
    <w:semiHidden/>
    <w:rsid w:val="007E71C9"/>
    <w:pPr>
      <w:spacing w:after="120" w:line="2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7E71C9"/>
    <w:pPr>
      <w:spacing w:after="120" w:line="2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semiHidden/>
    <w:rsid w:val="007E71C9"/>
    <w:pPr>
      <w:spacing w:after="120" w:line="2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7E71C9"/>
    <w:pPr>
      <w:spacing w:after="120" w:line="2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4">
    <w:name w:val="Block Text"/>
    <w:basedOn w:val="a2"/>
    <w:semiHidden/>
    <w:rsid w:val="007E71C9"/>
    <w:pPr>
      <w:ind w:left="1440" w:right="1440"/>
    </w:pPr>
  </w:style>
  <w:style w:type="character" w:styleId="HTML8">
    <w:name w:val="HTML Cite"/>
    <w:basedOn w:val="a3"/>
    <w:semiHidden/>
    <w:rsid w:val="007E71C9"/>
    <w:rPr>
      <w:i/>
      <w:iCs/>
    </w:rPr>
  </w:style>
  <w:style w:type="paragraph" w:styleId="aff5">
    <w:name w:val="E-mail Signature"/>
    <w:basedOn w:val="a2"/>
    <w:semiHidden/>
    <w:rsid w:val="007E71C9"/>
  </w:style>
  <w:style w:type="character" w:styleId="aff6">
    <w:name w:val="Hyperlink"/>
    <w:basedOn w:val="a3"/>
    <w:semiHidden/>
    <w:rsid w:val="007E71C9"/>
    <w:rPr>
      <w:color w:val="000000"/>
      <w:u w:val="single"/>
    </w:rPr>
  </w:style>
  <w:style w:type="paragraph" w:customStyle="1" w:styleId="H1GR">
    <w:name w:val="_ H_1_GR"/>
    <w:basedOn w:val="a2"/>
    <w:next w:val="a2"/>
    <w:qFormat/>
    <w:rsid w:val="00762446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ru-RU"/>
    </w:rPr>
  </w:style>
  <w:style w:type="paragraph" w:customStyle="1" w:styleId="H23GR">
    <w:name w:val="_ H_2/3_GR"/>
    <w:basedOn w:val="a2"/>
    <w:next w:val="a2"/>
    <w:rsid w:val="00D809D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b/>
      <w:lang w:eastAsia="ru-RU"/>
    </w:rPr>
  </w:style>
  <w:style w:type="paragraph" w:customStyle="1" w:styleId="H4GR">
    <w:name w:val="_ H_4_GR"/>
    <w:basedOn w:val="a2"/>
    <w:next w:val="a2"/>
    <w:rsid w:val="006120AE"/>
    <w:pPr>
      <w:keepNext/>
      <w:keepLines/>
      <w:tabs>
        <w:tab w:val="right" w:pos="851"/>
      </w:tabs>
      <w:suppressAutoHyphens/>
      <w:spacing w:before="40" w:after="120" w:line="240" w:lineRule="auto"/>
      <w:outlineLvl w:val="3"/>
    </w:pPr>
    <w:rPr>
      <w:i/>
      <w:spacing w:val="3"/>
      <w:lang w:eastAsia="ru-RU"/>
    </w:rPr>
  </w:style>
  <w:style w:type="paragraph" w:customStyle="1" w:styleId="H56GR">
    <w:name w:val="_ H_5/6_GR"/>
    <w:basedOn w:val="a2"/>
    <w:next w:val="a2"/>
    <w:rsid w:val="00E73451"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lang w:eastAsia="ru-RU"/>
    </w:rPr>
  </w:style>
  <w:style w:type="table" w:styleId="aff7">
    <w:name w:val="Table Professional"/>
    <w:basedOn w:val="a4"/>
    <w:semiHidden/>
    <w:rsid w:val="007E71C9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ChGR">
    <w:name w:val="_ H _Ch_GR"/>
    <w:basedOn w:val="a2"/>
    <w:next w:val="a2"/>
    <w:qFormat/>
    <w:rsid w:val="00A026CA"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b/>
      <w:sz w:val="28"/>
      <w:lang w:eastAsia="ru-RU"/>
    </w:rPr>
  </w:style>
  <w:style w:type="paragraph" w:customStyle="1" w:styleId="HMGR">
    <w:name w:val="_ H __M_GR"/>
    <w:basedOn w:val="a2"/>
    <w:next w:val="a2"/>
    <w:rsid w:val="00F275F5"/>
    <w:pPr>
      <w:keepNext/>
      <w:keepLines/>
      <w:tabs>
        <w:tab w:val="right" w:pos="851"/>
      </w:tabs>
      <w:suppressAutoHyphens/>
      <w:spacing w:before="240" w:after="240" w:line="360" w:lineRule="exact"/>
      <w:ind w:left="1134" w:right="1134" w:hanging="1134"/>
    </w:pPr>
    <w:rPr>
      <w:b/>
      <w:sz w:val="34"/>
      <w:lang w:eastAsia="ru-RU"/>
    </w:rPr>
  </w:style>
  <w:style w:type="paragraph" w:styleId="aff8">
    <w:name w:val="toa heading"/>
    <w:basedOn w:val="a2"/>
    <w:next w:val="a2"/>
    <w:semiHidden/>
    <w:rsid w:val="007E71C9"/>
    <w:pPr>
      <w:spacing w:before="120"/>
    </w:pPr>
    <w:rPr>
      <w:rFonts w:ascii="Arial" w:hAnsi="Arial" w:cs="Arial"/>
      <w:b/>
      <w:bCs/>
      <w:sz w:val="24"/>
    </w:rPr>
  </w:style>
  <w:style w:type="paragraph" w:customStyle="1" w:styleId="SingleTxtGR">
    <w:name w:val="_ Single Txt_GR"/>
    <w:basedOn w:val="a2"/>
    <w:qFormat/>
    <w:rsid w:val="00677773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/>
      <w:ind w:left="1134" w:right="1134"/>
      <w:jc w:val="both"/>
    </w:pPr>
  </w:style>
  <w:style w:type="paragraph" w:styleId="aff9">
    <w:name w:val="Plain Text"/>
    <w:basedOn w:val="a2"/>
    <w:semiHidden/>
    <w:rsid w:val="007E71C9"/>
    <w:rPr>
      <w:rFonts w:ascii="Courier New" w:hAnsi="Courier New" w:cs="Courier New"/>
    </w:rPr>
  </w:style>
  <w:style w:type="paragraph" w:styleId="affa">
    <w:name w:val="Message Header"/>
    <w:basedOn w:val="a2"/>
    <w:semiHidden/>
    <w:rsid w:val="007E7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styleId="affb">
    <w:name w:val="annotation reference"/>
    <w:basedOn w:val="a3"/>
    <w:semiHidden/>
    <w:rsid w:val="007E71C9"/>
    <w:rPr>
      <w:sz w:val="16"/>
      <w:szCs w:val="16"/>
    </w:rPr>
  </w:style>
  <w:style w:type="table" w:customStyle="1" w:styleId="TabNum">
    <w:name w:val="_TabNum"/>
    <w:basedOn w:val="a4"/>
    <w:rsid w:val="00086182"/>
    <w:pPr>
      <w:spacing w:before="40" w:after="40" w:line="220" w:lineRule="exact"/>
      <w:jc w:val="right"/>
    </w:pPr>
    <w:rPr>
      <w:sz w:val="18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4"/>
    <w:rsid w:val="00086182"/>
    <w:pPr>
      <w:spacing w:before="40" w:after="120" w:line="240" w:lineRule="atLeast"/>
    </w:p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c">
    <w:name w:val="Balloon Text"/>
    <w:basedOn w:val="a2"/>
    <w:link w:val="affd"/>
    <w:rsid w:val="00E147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E147C1"/>
    <w:rPr>
      <w:rFonts w:ascii="Tahoma" w:hAnsi="Tahoma" w:cs="Tahoma"/>
      <w:spacing w:val="4"/>
      <w:w w:val="103"/>
      <w:kern w:val="14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TEMPLATES\A%20HRC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30CDFAE2A6A4FA3E24F2239EB631E" ma:contentTypeVersion="2" ma:contentTypeDescription="Create a new document." ma:contentTypeScope="" ma:versionID="f252fc60af87667d461607fc27a2e9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D5F79-B68D-44A2-9D27-5923C25E86D0}"/>
</file>

<file path=customXml/itemProps2.xml><?xml version="1.0" encoding="utf-8"?>
<ds:datastoreItem xmlns:ds="http://schemas.openxmlformats.org/officeDocument/2006/customXml" ds:itemID="{4BD1427D-CB6A-4D32-A9B4-860723E2A374}"/>
</file>

<file path=customXml/itemProps3.xml><?xml version="1.0" encoding="utf-8"?>
<ds:datastoreItem xmlns:ds="http://schemas.openxmlformats.org/officeDocument/2006/customXml" ds:itemID="{EB854C21-919C-48D9-B9F2-5CBAE6DD8270}"/>
</file>

<file path=customXml/itemProps4.xml><?xml version="1.0" encoding="utf-8"?>
<ds:datastoreItem xmlns:ds="http://schemas.openxmlformats.org/officeDocument/2006/customXml" ds:itemID="{60F7C181-9B6B-4ACD-8B5F-CFCCD6B5465E}"/>
</file>

<file path=docProps/app.xml><?xml version="1.0" encoding="utf-8"?>
<Properties xmlns="http://schemas.openxmlformats.org/officeDocument/2006/extended-properties" xmlns:vt="http://schemas.openxmlformats.org/officeDocument/2006/docPropsVTypes">
  <Template>A HRC.dotm</Template>
  <TotalTime>2</TotalTime>
  <Pages>15</Pages>
  <Words>4853</Words>
  <Characters>34874</Characters>
  <Application>Microsoft Office Word</Application>
  <DocSecurity>0</DocSecurity>
  <Lines>696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CSD</Company>
  <LinksUpToDate>false</LinksUpToDate>
  <CharactersWithSpaces>39643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Fund for Financial and Technical Assistance n the Implementation of the Universal Periodic Review in Russian</dc:title>
  <dc:creator>Maykov</dc:creator>
  <cp:lastModifiedBy>Chouvalova Natalia</cp:lastModifiedBy>
  <cp:revision>3</cp:revision>
  <cp:lastPrinted>2015-04-24T10:10:00Z</cp:lastPrinted>
  <dcterms:created xsi:type="dcterms:W3CDTF">2015-04-24T10:09:00Z</dcterms:created>
  <dcterms:modified xsi:type="dcterms:W3CDTF">2015-04-24T10:11:00Z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0x010100C6130CDFAE2A6A4FA3E24F2239EB631E</vt:lpwstr>
  </property>
  <property fmtid="{D5CDD505-2E9C-101B-9397-08002B2CF9AE}" pid="3" name="Order">
    <vt:r8>6500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