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E8797" w14:textId="77777777" w:rsidR="00093626" w:rsidRDefault="00093626" w:rsidP="00321EB6">
      <w:pPr>
        <w:pBdr>
          <w:bottom w:val="single" w:sz="4" w:space="1" w:color="auto"/>
        </w:pBdr>
        <w:spacing w:after="120"/>
        <w:rPr>
          <w:b/>
          <w:bCs/>
          <w:sz w:val="22"/>
          <w:szCs w:val="22"/>
        </w:rPr>
      </w:pPr>
      <w:r>
        <w:rPr>
          <w:noProof/>
          <w:lang w:val="en-GB" w:eastAsia="en-GB"/>
        </w:rPr>
        <w:drawing>
          <wp:inline distT="0" distB="0" distL="0" distR="0" wp14:anchorId="511E87AF" wp14:editId="511E87B0">
            <wp:extent cx="2849245" cy="797560"/>
            <wp:effectExtent l="0" t="0" r="8255" b="2540"/>
            <wp:docPr id="1" name="Imatge 1" descr="LogoSAUT2Esqu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AUT2Esquer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245" cy="797560"/>
                    </a:xfrm>
                    <a:prstGeom prst="rect">
                      <a:avLst/>
                    </a:prstGeom>
                    <a:noFill/>
                    <a:ln>
                      <a:noFill/>
                    </a:ln>
                  </pic:spPr>
                </pic:pic>
              </a:graphicData>
            </a:graphic>
          </wp:inline>
        </w:drawing>
      </w:r>
    </w:p>
    <w:p w14:paraId="511E8798" w14:textId="77777777" w:rsidR="00093626" w:rsidRDefault="00093626" w:rsidP="00321EB6">
      <w:pPr>
        <w:pBdr>
          <w:bottom w:val="single" w:sz="4" w:space="1" w:color="auto"/>
        </w:pBdr>
        <w:spacing w:after="120"/>
        <w:rPr>
          <w:b/>
          <w:bCs/>
          <w:sz w:val="22"/>
          <w:szCs w:val="22"/>
        </w:rPr>
      </w:pPr>
    </w:p>
    <w:p w14:paraId="511E8799" w14:textId="77777777" w:rsidR="00CE3F57" w:rsidRPr="009D2870" w:rsidRDefault="009D2870" w:rsidP="00321EB6">
      <w:pPr>
        <w:pBdr>
          <w:bottom w:val="single" w:sz="4" w:space="1" w:color="auto"/>
        </w:pBdr>
        <w:spacing w:after="120"/>
        <w:rPr>
          <w:b/>
          <w:bCs/>
          <w:sz w:val="22"/>
          <w:szCs w:val="22"/>
        </w:rPr>
      </w:pPr>
      <w:r w:rsidRPr="009D2870">
        <w:rPr>
          <w:b/>
          <w:bCs/>
          <w:sz w:val="22"/>
          <w:szCs w:val="22"/>
        </w:rPr>
        <w:t>Input for report on COVID-19 and right to housing</w:t>
      </w:r>
      <w:r w:rsidR="00321EB6">
        <w:rPr>
          <w:b/>
          <w:bCs/>
          <w:sz w:val="22"/>
          <w:szCs w:val="22"/>
        </w:rPr>
        <w:t xml:space="preserve">. </w:t>
      </w:r>
      <w:r w:rsidR="006F0AC0" w:rsidRPr="006F0AC0">
        <w:rPr>
          <w:b/>
          <w:bCs/>
          <w:sz w:val="22"/>
          <w:szCs w:val="22"/>
          <w:lang w:val="es-ES"/>
        </w:rPr>
        <w:t>Gobierno de Cataluñ</w:t>
      </w:r>
      <w:r w:rsidR="00321EB6" w:rsidRPr="006F0AC0">
        <w:rPr>
          <w:b/>
          <w:bCs/>
          <w:sz w:val="22"/>
          <w:szCs w:val="22"/>
          <w:lang w:val="es-ES"/>
        </w:rPr>
        <w:t>a</w:t>
      </w:r>
    </w:p>
    <w:p w14:paraId="511E879A" w14:textId="77777777" w:rsidR="004A2F3E" w:rsidRPr="00946BA2" w:rsidRDefault="004A2F3E" w:rsidP="009D2870">
      <w:pPr>
        <w:spacing w:after="120"/>
        <w:rPr>
          <w:sz w:val="22"/>
          <w:szCs w:val="22"/>
          <w:lang w:val="es-ES"/>
        </w:rPr>
      </w:pPr>
      <w:r w:rsidRPr="00946BA2">
        <w:rPr>
          <w:sz w:val="22"/>
          <w:szCs w:val="22"/>
          <w:lang w:val="es-ES"/>
        </w:rPr>
        <w:t>El impacto Económico y Social de la pandemia del COVID19 ha sido muy significativo en el ámbito de la vivienda. Se ha realizado un trabajo destinado a contener el impacto provocado por el necesario confinamiento y las c</w:t>
      </w:r>
      <w:r w:rsidR="00A6718C">
        <w:rPr>
          <w:sz w:val="22"/>
          <w:szCs w:val="22"/>
          <w:lang w:val="es-ES"/>
        </w:rPr>
        <w:t>onsecue</w:t>
      </w:r>
      <w:bookmarkStart w:id="0" w:name="_GoBack"/>
      <w:bookmarkEnd w:id="0"/>
      <w:r w:rsidR="00A6718C">
        <w:rPr>
          <w:sz w:val="22"/>
          <w:szCs w:val="22"/>
          <w:lang w:val="es-ES"/>
        </w:rPr>
        <w:t>ncias que ha tenido en la</w:t>
      </w:r>
      <w:r w:rsidRPr="00946BA2">
        <w:rPr>
          <w:sz w:val="22"/>
          <w:szCs w:val="22"/>
          <w:lang w:val="es-ES"/>
        </w:rPr>
        <w:t>s posibilidades de las familias para continuar pagando el alquiler o la hipoteca.</w:t>
      </w:r>
    </w:p>
    <w:p w14:paraId="511E879B" w14:textId="77777777" w:rsidR="004A2F3E" w:rsidRPr="00946BA2" w:rsidRDefault="004A2F3E" w:rsidP="009D2870">
      <w:pPr>
        <w:spacing w:after="120"/>
        <w:rPr>
          <w:sz w:val="22"/>
          <w:szCs w:val="22"/>
          <w:lang w:val="es-ES"/>
        </w:rPr>
      </w:pPr>
      <w:r w:rsidRPr="00946BA2">
        <w:rPr>
          <w:b/>
          <w:sz w:val="22"/>
          <w:szCs w:val="22"/>
          <w:lang w:val="es-ES"/>
        </w:rPr>
        <w:t>La primera cuestión a poner de relieve tiene que ver con el problema de los desahucios.</w:t>
      </w:r>
      <w:r w:rsidRPr="00946BA2">
        <w:rPr>
          <w:sz w:val="22"/>
          <w:szCs w:val="22"/>
          <w:lang w:val="es-ES"/>
        </w:rPr>
        <w:t xml:space="preserve"> En Cat</w:t>
      </w:r>
      <w:r w:rsidR="006F0AC0">
        <w:rPr>
          <w:sz w:val="22"/>
          <w:szCs w:val="22"/>
          <w:lang w:val="es-ES"/>
        </w:rPr>
        <w:t>aluñ</w:t>
      </w:r>
      <w:r w:rsidRPr="00946BA2">
        <w:rPr>
          <w:sz w:val="22"/>
          <w:szCs w:val="22"/>
          <w:lang w:val="es-ES"/>
        </w:rPr>
        <w:t>a, venimos de unos años en los que la media de desahucios no ha bajado de los 13.000.</w:t>
      </w:r>
    </w:p>
    <w:p w14:paraId="511E879C" w14:textId="77777777" w:rsidR="004A2F3E" w:rsidRPr="00946BA2" w:rsidRDefault="004A2F3E" w:rsidP="009D2870">
      <w:pPr>
        <w:spacing w:after="120"/>
        <w:rPr>
          <w:sz w:val="22"/>
          <w:szCs w:val="22"/>
          <w:lang w:val="es-ES"/>
        </w:rPr>
      </w:pPr>
      <w:r w:rsidRPr="00946BA2">
        <w:rPr>
          <w:sz w:val="22"/>
          <w:szCs w:val="22"/>
          <w:lang w:val="es-ES"/>
        </w:rPr>
        <w:t xml:space="preserve">Por ello, </w:t>
      </w:r>
      <w:r w:rsidRPr="00946BA2">
        <w:rPr>
          <w:b/>
          <w:sz w:val="22"/>
          <w:szCs w:val="22"/>
          <w:lang w:val="es-ES"/>
        </w:rPr>
        <w:t xml:space="preserve">la primera actuación </w:t>
      </w:r>
      <w:r w:rsidR="006F0AC0">
        <w:rPr>
          <w:b/>
          <w:sz w:val="22"/>
          <w:szCs w:val="22"/>
          <w:lang w:val="es-ES"/>
        </w:rPr>
        <w:t>del Gobierno</w:t>
      </w:r>
      <w:r w:rsidRPr="00946BA2">
        <w:rPr>
          <w:b/>
          <w:sz w:val="22"/>
          <w:szCs w:val="22"/>
          <w:lang w:val="es-ES"/>
        </w:rPr>
        <w:t xml:space="preserve"> de Catalunya fue, el 13 de marzo, el envío de una carta al presidente del Tribunal Superior de Justicia de Cataluña pidiendo la suspensión de todos los procedimientos judiciales que implicaran desahucios y lanzamientos señalados por los días posteriores</w:t>
      </w:r>
      <w:r w:rsidRPr="00946BA2">
        <w:rPr>
          <w:sz w:val="22"/>
          <w:szCs w:val="22"/>
          <w:lang w:val="es-ES"/>
        </w:rPr>
        <w:t>. Este era un asunto urgente, y había que evitar que se produjera un solo desahucio en Cataluña. Así lo acordó el propio tribunal el mismo día, y así se incorporó por parte del Gobierno del Estado el Real Decreto 11/2020, de 31 de marzo, que se definió en el mismo sentido cuando en el artículo 1 establecía la suspensión de los desahucios y lanzamientos.</w:t>
      </w:r>
    </w:p>
    <w:p w14:paraId="511E879D" w14:textId="77777777" w:rsidR="009D2870" w:rsidRPr="00946BA2" w:rsidRDefault="004A2F3E" w:rsidP="009D2870">
      <w:pPr>
        <w:spacing w:after="120"/>
        <w:rPr>
          <w:b/>
          <w:sz w:val="22"/>
          <w:szCs w:val="22"/>
          <w:lang w:val="es-ES"/>
        </w:rPr>
      </w:pPr>
      <w:r w:rsidRPr="00946BA2">
        <w:rPr>
          <w:sz w:val="22"/>
          <w:szCs w:val="22"/>
          <w:lang w:val="es-ES"/>
        </w:rPr>
        <w:t xml:space="preserve">Una vez cubierto este aspecto, se abordó otra cuestión, que tenía que ver con el parque público de </w:t>
      </w:r>
      <w:r w:rsidR="00946BA2">
        <w:rPr>
          <w:sz w:val="22"/>
          <w:szCs w:val="22"/>
          <w:lang w:val="es-ES"/>
        </w:rPr>
        <w:t xml:space="preserve">vivienda </w:t>
      </w:r>
      <w:r w:rsidR="006F0AC0">
        <w:rPr>
          <w:sz w:val="22"/>
          <w:szCs w:val="22"/>
          <w:lang w:val="es-ES"/>
        </w:rPr>
        <w:t>del Gobierno Cataluñ</w:t>
      </w:r>
      <w:r w:rsidRPr="00946BA2">
        <w:rPr>
          <w:sz w:val="22"/>
          <w:szCs w:val="22"/>
          <w:lang w:val="es-ES"/>
        </w:rPr>
        <w:t>a</w:t>
      </w:r>
      <w:r w:rsidRPr="00946BA2">
        <w:rPr>
          <w:b/>
          <w:sz w:val="22"/>
          <w:szCs w:val="22"/>
          <w:lang w:val="es-ES"/>
        </w:rPr>
        <w:t xml:space="preserve">. Por ello, el 26 de marzo se publicaba la </w:t>
      </w:r>
      <w:hyperlink r:id="rId11" w:history="1">
        <w:r w:rsidRPr="00A6718C">
          <w:rPr>
            <w:rStyle w:val="Hyperlink"/>
            <w:b/>
            <w:color w:val="0070C0"/>
            <w:sz w:val="22"/>
            <w:szCs w:val="22"/>
            <w:lang w:val="es-ES"/>
          </w:rPr>
          <w:t>Resolución 783/2020</w:t>
        </w:r>
      </w:hyperlink>
      <w:r w:rsidRPr="00946BA2">
        <w:rPr>
          <w:b/>
          <w:sz w:val="22"/>
          <w:szCs w:val="22"/>
          <w:lang w:val="es-ES"/>
        </w:rPr>
        <w:t xml:space="preserve"> por la que se establecía una moratoria en el pago del alquiler y cuotas de amortización de viviendas y locales gestionados por la Agencia de la Vivienda de Cataluña.</w:t>
      </w:r>
    </w:p>
    <w:p w14:paraId="511E879E" w14:textId="77777777" w:rsidR="009D2870" w:rsidRPr="00946BA2" w:rsidRDefault="004A2F3E" w:rsidP="009D2870">
      <w:pPr>
        <w:spacing w:after="120"/>
        <w:rPr>
          <w:sz w:val="22"/>
          <w:szCs w:val="22"/>
          <w:lang w:val="es-ES"/>
        </w:rPr>
      </w:pPr>
      <w:r w:rsidRPr="00946BA2">
        <w:rPr>
          <w:sz w:val="22"/>
          <w:szCs w:val="22"/>
          <w:lang w:val="es-ES"/>
        </w:rPr>
        <w:t xml:space="preserve">Esta moratoria afectaba </w:t>
      </w:r>
      <w:r w:rsidRPr="00946BA2">
        <w:rPr>
          <w:b/>
          <w:sz w:val="22"/>
          <w:szCs w:val="22"/>
          <w:lang w:val="es-ES"/>
        </w:rPr>
        <w:t>más de 20.000 viviendas sociales</w:t>
      </w:r>
      <w:r w:rsidRPr="00946BA2">
        <w:rPr>
          <w:sz w:val="22"/>
          <w:szCs w:val="22"/>
          <w:lang w:val="es-ES"/>
        </w:rPr>
        <w:t xml:space="preserve"> </w:t>
      </w:r>
      <w:r w:rsidR="006F0AC0">
        <w:rPr>
          <w:sz w:val="22"/>
          <w:szCs w:val="22"/>
          <w:lang w:val="es-ES"/>
        </w:rPr>
        <w:t>del Gobierno de Cataluña</w:t>
      </w:r>
      <w:r w:rsidRPr="00946BA2">
        <w:rPr>
          <w:sz w:val="22"/>
          <w:szCs w:val="22"/>
          <w:lang w:val="es-ES"/>
        </w:rPr>
        <w:t xml:space="preserve"> y tenía un </w:t>
      </w:r>
      <w:r w:rsidRPr="00946BA2">
        <w:rPr>
          <w:b/>
          <w:sz w:val="22"/>
          <w:szCs w:val="22"/>
          <w:lang w:val="es-ES"/>
        </w:rPr>
        <w:t>impacto económico estimado de 3 millones de euros mensuales en una ayuda a devolver fraccionadamente</w:t>
      </w:r>
      <w:r w:rsidRPr="00946BA2">
        <w:rPr>
          <w:sz w:val="22"/>
          <w:szCs w:val="22"/>
          <w:lang w:val="es-ES"/>
        </w:rPr>
        <w:t>.</w:t>
      </w:r>
    </w:p>
    <w:p w14:paraId="511E879F" w14:textId="77777777" w:rsidR="009D2870" w:rsidRPr="00946BA2" w:rsidRDefault="004A2F3E" w:rsidP="009D2870">
      <w:pPr>
        <w:spacing w:after="120"/>
        <w:rPr>
          <w:sz w:val="22"/>
          <w:szCs w:val="22"/>
          <w:lang w:val="es-ES"/>
        </w:rPr>
      </w:pPr>
      <w:r w:rsidRPr="00946BA2">
        <w:rPr>
          <w:sz w:val="22"/>
          <w:szCs w:val="22"/>
          <w:lang w:val="es-ES"/>
        </w:rPr>
        <w:t>Con esta medida, las familias que residen en las viviendas del parque público veían reducido de forma universal su gasto destinado al pago del alquiler desde el mes de abril y hasta el mes de junio. Se trataba, de este modo, de una moratoria que permitía aplazar el pago de las cuotas y, además, hacer el retorno de las tres mensualidades de forma fraccionada durante un año.</w:t>
      </w:r>
    </w:p>
    <w:p w14:paraId="511E87A0" w14:textId="77777777" w:rsidR="009D2870" w:rsidRPr="00946BA2" w:rsidRDefault="004A2F3E" w:rsidP="009D2870">
      <w:pPr>
        <w:spacing w:after="120"/>
        <w:rPr>
          <w:sz w:val="22"/>
          <w:szCs w:val="22"/>
          <w:lang w:val="es-ES"/>
        </w:rPr>
      </w:pPr>
      <w:r w:rsidRPr="00946BA2">
        <w:rPr>
          <w:sz w:val="22"/>
          <w:szCs w:val="22"/>
          <w:lang w:val="es-ES"/>
        </w:rPr>
        <w:t>Hay que destacar que, dada la prolongación del estado de alarma y la evidente gravedad de la situación económica y social provocada por la p</w:t>
      </w:r>
      <w:r w:rsidR="006F0AC0">
        <w:rPr>
          <w:sz w:val="22"/>
          <w:szCs w:val="22"/>
          <w:lang w:val="es-ES"/>
        </w:rPr>
        <w:t>andemia, el Gobierno de Cataluñ</w:t>
      </w:r>
      <w:r w:rsidRPr="00946BA2">
        <w:rPr>
          <w:sz w:val="22"/>
          <w:szCs w:val="22"/>
          <w:lang w:val="es-ES"/>
        </w:rPr>
        <w:t xml:space="preserve">a </w:t>
      </w:r>
      <w:r w:rsidRPr="00946BA2">
        <w:rPr>
          <w:b/>
          <w:sz w:val="22"/>
          <w:szCs w:val="22"/>
          <w:lang w:val="es-ES"/>
        </w:rPr>
        <w:t>decidió ampliar la moratoria, y sigue vigente al</w:t>
      </w:r>
      <w:r w:rsidR="00A6718C">
        <w:rPr>
          <w:b/>
          <w:sz w:val="22"/>
          <w:szCs w:val="22"/>
          <w:lang w:val="es-ES"/>
        </w:rPr>
        <w:t xml:space="preserve"> </w:t>
      </w:r>
      <w:r w:rsidRPr="00946BA2">
        <w:rPr>
          <w:b/>
          <w:sz w:val="22"/>
          <w:szCs w:val="22"/>
          <w:lang w:val="es-ES"/>
        </w:rPr>
        <w:t>menos de julio a septiembre para los casos de personas y unidades familiares que cumplan con los requisitos de vulnerabilidad sobrevenida por el impacto de la Covid-19</w:t>
      </w:r>
      <w:r w:rsidRPr="00946BA2">
        <w:rPr>
          <w:sz w:val="22"/>
          <w:szCs w:val="22"/>
          <w:lang w:val="es-ES"/>
        </w:rPr>
        <w:t xml:space="preserve">, que podrán seguir acogiéndose al aplazamiento del alquiler social. Sin olvidar que </w:t>
      </w:r>
      <w:r w:rsidRPr="00946BA2">
        <w:rPr>
          <w:b/>
          <w:sz w:val="22"/>
          <w:szCs w:val="22"/>
          <w:lang w:val="es-ES"/>
        </w:rPr>
        <w:t>para los que no cumplan los requisitos de vulnerabilidad por el impacto de la Covid-19, recientemente se ha decidido ampliar el prorrateo de 1 a 2 años.</w:t>
      </w:r>
    </w:p>
    <w:p w14:paraId="511E87A1" w14:textId="77777777" w:rsidR="009D2870" w:rsidRPr="00946BA2" w:rsidRDefault="004A2F3E" w:rsidP="009D2870">
      <w:pPr>
        <w:spacing w:after="120"/>
        <w:rPr>
          <w:sz w:val="22"/>
          <w:szCs w:val="22"/>
          <w:lang w:val="es-ES"/>
        </w:rPr>
      </w:pPr>
      <w:r w:rsidRPr="00946BA2">
        <w:rPr>
          <w:sz w:val="22"/>
          <w:szCs w:val="22"/>
          <w:lang w:val="es-ES"/>
        </w:rPr>
        <w:lastRenderedPageBreak/>
        <w:t>El 20 de marzo, previamente a la activación de la moratoria del parque público, dada la situación de excepcionalida</w:t>
      </w:r>
      <w:r w:rsidR="003D1E45">
        <w:rPr>
          <w:sz w:val="22"/>
          <w:szCs w:val="22"/>
          <w:lang w:val="es-ES"/>
        </w:rPr>
        <w:t>d, el Gobierno de Cataluña</w:t>
      </w:r>
      <w:r w:rsidRPr="00946BA2">
        <w:rPr>
          <w:sz w:val="22"/>
          <w:szCs w:val="22"/>
          <w:lang w:val="es-ES"/>
        </w:rPr>
        <w:t xml:space="preserve"> decidió </w:t>
      </w:r>
      <w:hyperlink r:id="rId12" w:history="1">
        <w:r w:rsidRPr="00A6718C">
          <w:rPr>
            <w:rStyle w:val="Hyperlink"/>
            <w:b/>
            <w:color w:val="0070C0"/>
            <w:sz w:val="22"/>
            <w:szCs w:val="22"/>
            <w:lang w:val="es-ES"/>
          </w:rPr>
          <w:t>adelantar el pago de la ayuda ordinaria el alquiler a personas mayores</w:t>
        </w:r>
      </w:hyperlink>
      <w:r w:rsidRPr="00946BA2">
        <w:rPr>
          <w:sz w:val="22"/>
          <w:szCs w:val="22"/>
          <w:lang w:val="es-ES"/>
        </w:rPr>
        <w:t>. Esto suponía que las personas mayores de 65 años podrán presentar la documentación justificativa de dicha ayuda con posterioridad a su abono.</w:t>
      </w:r>
    </w:p>
    <w:p w14:paraId="511E87A2" w14:textId="77777777" w:rsidR="009D2870" w:rsidRPr="00946BA2" w:rsidRDefault="009D2870" w:rsidP="009D2870">
      <w:pPr>
        <w:spacing w:after="120"/>
        <w:rPr>
          <w:sz w:val="22"/>
          <w:szCs w:val="22"/>
          <w:lang w:val="es-ES"/>
        </w:rPr>
      </w:pPr>
    </w:p>
    <w:p w14:paraId="511E87A3" w14:textId="77777777" w:rsidR="009D2870" w:rsidRPr="00946BA2" w:rsidRDefault="004A2F3E" w:rsidP="009D2870">
      <w:pPr>
        <w:spacing w:after="120"/>
        <w:rPr>
          <w:sz w:val="22"/>
          <w:szCs w:val="22"/>
          <w:lang w:val="es-ES"/>
        </w:rPr>
      </w:pPr>
      <w:r w:rsidRPr="00946BA2">
        <w:rPr>
          <w:sz w:val="22"/>
          <w:szCs w:val="22"/>
          <w:lang w:val="es-ES"/>
        </w:rPr>
        <w:t xml:space="preserve">Los beneficiarios de las ayudas, que </w:t>
      </w:r>
      <w:r w:rsidRPr="00946BA2">
        <w:rPr>
          <w:b/>
          <w:sz w:val="22"/>
          <w:szCs w:val="22"/>
          <w:lang w:val="es-ES"/>
        </w:rPr>
        <w:t>ya se han empezado a abonar</w:t>
      </w:r>
      <w:r w:rsidRPr="00946BA2">
        <w:rPr>
          <w:sz w:val="22"/>
          <w:szCs w:val="22"/>
          <w:lang w:val="es-ES"/>
        </w:rPr>
        <w:t xml:space="preserve">, son, por un lado, las personas que obtuvieron ayuda en el año 2019, y por otro, también las que quedaron excluidas. Se trata de </w:t>
      </w:r>
      <w:r w:rsidRPr="00946BA2">
        <w:rPr>
          <w:b/>
          <w:sz w:val="22"/>
          <w:szCs w:val="22"/>
          <w:lang w:val="es-ES"/>
        </w:rPr>
        <w:t>10.000 beneficiarios</w:t>
      </w:r>
      <w:r w:rsidRPr="00946BA2">
        <w:rPr>
          <w:sz w:val="22"/>
          <w:szCs w:val="22"/>
          <w:lang w:val="es-ES"/>
        </w:rPr>
        <w:t xml:space="preserve">, lo que supone un impacto económico de </w:t>
      </w:r>
      <w:r w:rsidRPr="00946BA2">
        <w:rPr>
          <w:b/>
          <w:sz w:val="22"/>
          <w:szCs w:val="22"/>
          <w:lang w:val="es-ES"/>
        </w:rPr>
        <w:t>14 millones de euros</w:t>
      </w:r>
      <w:r w:rsidRPr="00946BA2">
        <w:rPr>
          <w:sz w:val="22"/>
          <w:szCs w:val="22"/>
          <w:lang w:val="es-ES"/>
        </w:rPr>
        <w:t>.</w:t>
      </w:r>
    </w:p>
    <w:p w14:paraId="511E87A4" w14:textId="77777777" w:rsidR="009D2870" w:rsidRPr="00946BA2" w:rsidRDefault="00393622" w:rsidP="009D2870">
      <w:pPr>
        <w:spacing w:after="120"/>
        <w:rPr>
          <w:sz w:val="22"/>
          <w:szCs w:val="22"/>
          <w:lang w:val="es-ES"/>
        </w:rPr>
      </w:pPr>
      <w:r w:rsidRPr="00946BA2">
        <w:rPr>
          <w:sz w:val="22"/>
          <w:szCs w:val="22"/>
          <w:lang w:val="es-ES"/>
        </w:rPr>
        <w:t xml:space="preserve">Asimismo se ha realizado un gran esfuerzo para explicar las medidas –las propias y las </w:t>
      </w:r>
      <w:proofErr w:type="spellStart"/>
      <w:r w:rsidRPr="00946BA2">
        <w:rPr>
          <w:sz w:val="22"/>
          <w:szCs w:val="22"/>
          <w:lang w:val="es-ES"/>
        </w:rPr>
        <w:t>impulsades</w:t>
      </w:r>
      <w:proofErr w:type="spellEnd"/>
      <w:r w:rsidRPr="00946BA2">
        <w:rPr>
          <w:sz w:val="22"/>
          <w:szCs w:val="22"/>
          <w:lang w:val="es-ES"/>
        </w:rPr>
        <w:t xml:space="preserve"> desde el Estado- y </w:t>
      </w:r>
      <w:r w:rsidRPr="00946BA2">
        <w:rPr>
          <w:b/>
          <w:sz w:val="22"/>
          <w:szCs w:val="22"/>
          <w:lang w:val="es-ES"/>
        </w:rPr>
        <w:t>poner al alcance toda la información a los ciudadanos</w:t>
      </w:r>
      <w:r w:rsidRPr="00946BA2">
        <w:rPr>
          <w:sz w:val="22"/>
          <w:szCs w:val="22"/>
          <w:lang w:val="es-ES"/>
        </w:rPr>
        <w:t xml:space="preserve"> a través de la </w:t>
      </w:r>
      <w:hyperlink r:id="rId13" w:history="1">
        <w:r w:rsidR="006F0AC0">
          <w:rPr>
            <w:rStyle w:val="Hyperlink"/>
            <w:b/>
            <w:color w:val="0070C0"/>
            <w:sz w:val="22"/>
            <w:szCs w:val="22"/>
            <w:lang w:val="es-ES"/>
          </w:rPr>
          <w:t>web del Gobierno de Cataluñ</w:t>
        </w:r>
        <w:r w:rsidRPr="00A6718C">
          <w:rPr>
            <w:rStyle w:val="Hyperlink"/>
            <w:b/>
            <w:color w:val="0070C0"/>
            <w:sz w:val="22"/>
            <w:szCs w:val="22"/>
            <w:lang w:val="es-ES"/>
          </w:rPr>
          <w:t>a</w:t>
        </w:r>
      </w:hyperlink>
      <w:r w:rsidRPr="00946BA2">
        <w:rPr>
          <w:sz w:val="22"/>
          <w:szCs w:val="22"/>
          <w:lang w:val="es-ES"/>
        </w:rPr>
        <w:t>.</w:t>
      </w:r>
    </w:p>
    <w:p w14:paraId="511E87A5" w14:textId="77777777" w:rsidR="009D2870" w:rsidRPr="00946BA2" w:rsidRDefault="006F0AC0" w:rsidP="009D2870">
      <w:pPr>
        <w:spacing w:after="120"/>
        <w:rPr>
          <w:sz w:val="22"/>
          <w:szCs w:val="22"/>
          <w:lang w:val="es-ES"/>
        </w:rPr>
      </w:pPr>
      <w:r>
        <w:rPr>
          <w:b/>
          <w:sz w:val="22"/>
          <w:szCs w:val="22"/>
          <w:lang w:val="es-ES"/>
        </w:rPr>
        <w:t>El Gobierno de Cataluñ</w:t>
      </w:r>
      <w:r w:rsidR="00946BA2" w:rsidRPr="00946BA2">
        <w:rPr>
          <w:b/>
          <w:sz w:val="22"/>
          <w:szCs w:val="22"/>
          <w:lang w:val="es-ES"/>
        </w:rPr>
        <w:t>a activaba el 18 de mayo</w:t>
      </w:r>
      <w:r w:rsidR="00946BA2" w:rsidRPr="00946BA2">
        <w:rPr>
          <w:sz w:val="22"/>
          <w:szCs w:val="22"/>
          <w:lang w:val="es-ES"/>
        </w:rPr>
        <w:t xml:space="preserve">, mediante la </w:t>
      </w:r>
      <w:hyperlink r:id="rId14" w:history="1">
        <w:r w:rsidR="00946BA2" w:rsidRPr="00A6718C">
          <w:rPr>
            <w:rStyle w:val="Hyperlink"/>
            <w:b/>
            <w:color w:val="0070C0"/>
            <w:sz w:val="22"/>
            <w:szCs w:val="22"/>
            <w:lang w:val="es-ES"/>
          </w:rPr>
          <w:t>Resolución TES 1047/20</w:t>
        </w:r>
      </w:hyperlink>
      <w:r w:rsidR="00946BA2" w:rsidRPr="00A6718C">
        <w:rPr>
          <w:rStyle w:val="Hyperlink"/>
          <w:b/>
          <w:color w:val="0070C0"/>
          <w:sz w:val="22"/>
          <w:szCs w:val="22"/>
          <w:lang w:val="es-ES"/>
        </w:rPr>
        <w:t>20</w:t>
      </w:r>
      <w:r w:rsidR="00946BA2" w:rsidRPr="00946BA2">
        <w:rPr>
          <w:sz w:val="22"/>
          <w:szCs w:val="22"/>
          <w:lang w:val="es-ES"/>
        </w:rPr>
        <w:t xml:space="preserve"> la presentación de solicitudes de </w:t>
      </w:r>
      <w:r w:rsidR="00946BA2" w:rsidRPr="00946BA2">
        <w:rPr>
          <w:b/>
          <w:sz w:val="22"/>
          <w:szCs w:val="22"/>
          <w:lang w:val="es-ES"/>
        </w:rPr>
        <w:t>ayuda al pago del alquiler de la vivienda habitual para minimizar el impacto económico y social de la Covid-19</w:t>
      </w:r>
      <w:r w:rsidR="00946BA2" w:rsidRPr="00946BA2">
        <w:rPr>
          <w:sz w:val="22"/>
          <w:szCs w:val="22"/>
          <w:lang w:val="es-ES"/>
        </w:rPr>
        <w:t>. Se trataba de una medida que partía de una modificación del Plan Estatal</w:t>
      </w:r>
      <w:r>
        <w:rPr>
          <w:sz w:val="22"/>
          <w:szCs w:val="22"/>
          <w:lang w:val="es-ES"/>
        </w:rPr>
        <w:t xml:space="preserve"> Español</w:t>
      </w:r>
      <w:r w:rsidR="00946BA2" w:rsidRPr="00946BA2">
        <w:rPr>
          <w:sz w:val="22"/>
          <w:szCs w:val="22"/>
          <w:lang w:val="es-ES"/>
        </w:rPr>
        <w:t xml:space="preserve"> de Vivienda (</w:t>
      </w:r>
      <w:hyperlink r:id="rId15" w:history="1">
        <w:r w:rsidR="00946BA2" w:rsidRPr="00A6718C">
          <w:rPr>
            <w:rStyle w:val="Hyperlink"/>
            <w:b/>
            <w:color w:val="0070C0"/>
            <w:sz w:val="22"/>
            <w:szCs w:val="22"/>
            <w:lang w:val="es-ES"/>
          </w:rPr>
          <w:t>Real Decreto-ley 11/2020</w:t>
        </w:r>
      </w:hyperlink>
      <w:r w:rsidR="00946BA2" w:rsidRPr="00946BA2">
        <w:rPr>
          <w:sz w:val="22"/>
          <w:szCs w:val="22"/>
          <w:lang w:val="es-ES"/>
        </w:rPr>
        <w:t xml:space="preserve"> de 31 de marzo).</w:t>
      </w:r>
    </w:p>
    <w:p w14:paraId="511E87A6" w14:textId="77777777" w:rsidR="009D2870" w:rsidRPr="00946BA2" w:rsidRDefault="00946BA2" w:rsidP="009D2870">
      <w:pPr>
        <w:spacing w:after="120"/>
        <w:rPr>
          <w:sz w:val="22"/>
          <w:szCs w:val="22"/>
          <w:lang w:val="es-ES"/>
        </w:rPr>
      </w:pPr>
      <w:r w:rsidRPr="00946BA2">
        <w:rPr>
          <w:sz w:val="22"/>
          <w:szCs w:val="22"/>
          <w:lang w:val="es-ES"/>
        </w:rPr>
        <w:t xml:space="preserve">Se trataba de una </w:t>
      </w:r>
      <w:r w:rsidRPr="00946BA2">
        <w:rPr>
          <w:b/>
          <w:sz w:val="22"/>
          <w:szCs w:val="22"/>
          <w:lang w:val="es-ES"/>
        </w:rPr>
        <w:t>convocatoria por el sistema de subvención sin concurrencia competitiva</w:t>
      </w:r>
      <w:r w:rsidRPr="00946BA2">
        <w:rPr>
          <w:sz w:val="22"/>
          <w:szCs w:val="22"/>
          <w:lang w:val="es-ES"/>
        </w:rPr>
        <w:t>, resolviendo por orden de presentación con la documentación completa y correcta y hasta agotamiento de la dotación presupuestaria (14,5 millones de euros).</w:t>
      </w:r>
    </w:p>
    <w:p w14:paraId="511E87A7" w14:textId="77777777" w:rsidR="009D2870" w:rsidRPr="00946BA2" w:rsidRDefault="00946BA2" w:rsidP="009D2870">
      <w:pPr>
        <w:spacing w:after="120"/>
        <w:rPr>
          <w:sz w:val="22"/>
          <w:szCs w:val="22"/>
          <w:lang w:val="es-ES"/>
        </w:rPr>
      </w:pPr>
      <w:r w:rsidRPr="00946BA2">
        <w:rPr>
          <w:sz w:val="22"/>
          <w:szCs w:val="22"/>
          <w:lang w:val="es-ES"/>
        </w:rPr>
        <w:t xml:space="preserve">La ayuda se diseñaba otorgando cantidades diferentes en función del territorio, </w:t>
      </w:r>
      <w:r w:rsidRPr="00946BA2">
        <w:rPr>
          <w:b/>
          <w:sz w:val="22"/>
          <w:szCs w:val="22"/>
          <w:lang w:val="es-ES"/>
        </w:rPr>
        <w:t>hasta 750 euros al mes</w:t>
      </w:r>
      <w:r w:rsidRPr="00946BA2">
        <w:rPr>
          <w:sz w:val="22"/>
          <w:szCs w:val="22"/>
          <w:lang w:val="es-ES"/>
        </w:rPr>
        <w:t>, estableciendo el mismo sistema que con el otorgamiento de otras ayudas al pago del alquiler.</w:t>
      </w:r>
    </w:p>
    <w:p w14:paraId="511E87A8" w14:textId="77777777" w:rsidR="009D2870" w:rsidRPr="00946BA2" w:rsidRDefault="00946BA2" w:rsidP="009D2870">
      <w:pPr>
        <w:spacing w:after="120"/>
        <w:rPr>
          <w:sz w:val="22"/>
          <w:szCs w:val="22"/>
          <w:lang w:val="es-ES"/>
        </w:rPr>
      </w:pPr>
      <w:r w:rsidRPr="00946BA2">
        <w:rPr>
          <w:sz w:val="22"/>
          <w:szCs w:val="22"/>
          <w:lang w:val="es-ES"/>
        </w:rPr>
        <w:t>La línea preveía que la ayuda se otorgaría para cubrir los recibos de 6 meses, entre abril y septiembre de 2020, de personas o unidades familiares que acrediten una situación de vulnerabilidad económica vinculada con la Covid-19, y se puede destinar al pago total o parcial de la renta o a la cancelación total o parcial del microcrédito ICO.</w:t>
      </w:r>
    </w:p>
    <w:p w14:paraId="511E87A9" w14:textId="77777777" w:rsidR="009D2870" w:rsidRPr="006D77D0" w:rsidRDefault="00946BA2" w:rsidP="009D2870">
      <w:pPr>
        <w:spacing w:after="120"/>
        <w:rPr>
          <w:sz w:val="22"/>
          <w:szCs w:val="22"/>
          <w:lang w:val="es-ES"/>
        </w:rPr>
      </w:pPr>
      <w:r w:rsidRPr="00946BA2">
        <w:rPr>
          <w:sz w:val="22"/>
          <w:szCs w:val="22"/>
          <w:lang w:val="es-ES"/>
        </w:rPr>
        <w:t xml:space="preserve">La convocatoria se abrió el 19 de mayo, y </w:t>
      </w:r>
      <w:r w:rsidR="00661437" w:rsidRPr="00946BA2">
        <w:rPr>
          <w:sz w:val="22"/>
          <w:szCs w:val="22"/>
          <w:lang w:val="es-ES"/>
        </w:rPr>
        <w:t>actualmente</w:t>
      </w:r>
      <w:r w:rsidR="006F0AC0">
        <w:rPr>
          <w:sz w:val="22"/>
          <w:szCs w:val="22"/>
          <w:lang w:val="es-ES"/>
        </w:rPr>
        <w:t xml:space="preserve"> el Gobierno de Cataluñ</w:t>
      </w:r>
      <w:r w:rsidRPr="00946BA2">
        <w:rPr>
          <w:sz w:val="22"/>
          <w:szCs w:val="22"/>
          <w:lang w:val="es-ES"/>
        </w:rPr>
        <w:t>a está</w:t>
      </w:r>
      <w:r w:rsidR="009D2870" w:rsidRPr="00946BA2">
        <w:rPr>
          <w:sz w:val="22"/>
          <w:szCs w:val="22"/>
          <w:lang w:val="es-ES"/>
        </w:rPr>
        <w:t xml:space="preserve"> estudian</w:t>
      </w:r>
      <w:r w:rsidRPr="00946BA2">
        <w:rPr>
          <w:sz w:val="22"/>
          <w:szCs w:val="22"/>
          <w:lang w:val="es-ES"/>
        </w:rPr>
        <w:t xml:space="preserve">do qué </w:t>
      </w:r>
      <w:r w:rsidR="009D2870" w:rsidRPr="00946BA2">
        <w:rPr>
          <w:sz w:val="22"/>
          <w:szCs w:val="22"/>
          <w:lang w:val="es-ES"/>
        </w:rPr>
        <w:t>posibili</w:t>
      </w:r>
      <w:r w:rsidRPr="00946BA2">
        <w:rPr>
          <w:sz w:val="22"/>
          <w:szCs w:val="22"/>
          <w:lang w:val="es-ES"/>
        </w:rPr>
        <w:t>dades</w:t>
      </w:r>
      <w:r w:rsidR="009D2870" w:rsidRPr="00946BA2">
        <w:rPr>
          <w:sz w:val="22"/>
          <w:szCs w:val="22"/>
          <w:lang w:val="es-ES"/>
        </w:rPr>
        <w:t xml:space="preserve"> </w:t>
      </w:r>
      <w:r w:rsidRPr="00946BA2">
        <w:rPr>
          <w:sz w:val="22"/>
          <w:szCs w:val="22"/>
          <w:lang w:val="es-ES"/>
        </w:rPr>
        <w:t xml:space="preserve">hay </w:t>
      </w:r>
      <w:r w:rsidR="006F0AC0">
        <w:rPr>
          <w:sz w:val="22"/>
          <w:szCs w:val="22"/>
          <w:lang w:val="es-ES"/>
        </w:rPr>
        <w:t xml:space="preserve">para </w:t>
      </w:r>
      <w:r w:rsidR="009D2870" w:rsidRPr="00946BA2">
        <w:rPr>
          <w:sz w:val="22"/>
          <w:szCs w:val="22"/>
          <w:lang w:val="es-ES"/>
        </w:rPr>
        <w:t xml:space="preserve">complementar, </w:t>
      </w:r>
      <w:r w:rsidRPr="00946BA2">
        <w:rPr>
          <w:sz w:val="22"/>
          <w:szCs w:val="22"/>
          <w:lang w:val="es-ES"/>
        </w:rPr>
        <w:t>con cargo a fondos</w:t>
      </w:r>
      <w:r w:rsidR="009D2870" w:rsidRPr="00946BA2">
        <w:rPr>
          <w:sz w:val="22"/>
          <w:szCs w:val="22"/>
          <w:lang w:val="es-ES"/>
        </w:rPr>
        <w:t xml:space="preserve"> de contin</w:t>
      </w:r>
      <w:r w:rsidRPr="00946BA2">
        <w:rPr>
          <w:sz w:val="22"/>
          <w:szCs w:val="22"/>
          <w:lang w:val="es-ES"/>
        </w:rPr>
        <w:t xml:space="preserve">gencia, la </w:t>
      </w:r>
      <w:r w:rsidRPr="006D77D0">
        <w:rPr>
          <w:sz w:val="22"/>
          <w:szCs w:val="22"/>
          <w:lang w:val="es-ES"/>
        </w:rPr>
        <w:t>aportación del Estado.</w:t>
      </w:r>
    </w:p>
    <w:p w14:paraId="511E87AA" w14:textId="77777777" w:rsidR="006D77D0" w:rsidRPr="006D77D0" w:rsidRDefault="006F0AC0" w:rsidP="006D77D0">
      <w:pPr>
        <w:spacing w:after="120"/>
        <w:rPr>
          <w:sz w:val="22"/>
          <w:szCs w:val="22"/>
          <w:lang w:val="es-ES"/>
        </w:rPr>
      </w:pPr>
      <w:r>
        <w:rPr>
          <w:sz w:val="22"/>
          <w:szCs w:val="22"/>
          <w:lang w:val="es-ES"/>
        </w:rPr>
        <w:t>El Gobierno de Cataluñ</w:t>
      </w:r>
      <w:r w:rsidR="006D77D0" w:rsidRPr="006D77D0">
        <w:rPr>
          <w:sz w:val="22"/>
          <w:szCs w:val="22"/>
          <w:lang w:val="es-ES"/>
        </w:rPr>
        <w:t xml:space="preserve">a también ha aprobado la </w:t>
      </w:r>
      <w:hyperlink r:id="rId16" w:history="1">
        <w:r w:rsidR="006D77D0" w:rsidRPr="006D77D0">
          <w:rPr>
            <w:rStyle w:val="Hyperlink"/>
            <w:sz w:val="22"/>
            <w:szCs w:val="22"/>
            <w:lang w:val="es-ES"/>
          </w:rPr>
          <w:t>modificación de la Ley de fianzas</w:t>
        </w:r>
      </w:hyperlink>
      <w:r w:rsidR="006D77D0" w:rsidRPr="006D77D0">
        <w:rPr>
          <w:sz w:val="22"/>
          <w:szCs w:val="22"/>
          <w:lang w:val="es-ES"/>
        </w:rPr>
        <w:t xml:space="preserve"> para </w:t>
      </w:r>
      <w:r w:rsidR="006D77D0" w:rsidRPr="006D77D0">
        <w:rPr>
          <w:b/>
          <w:sz w:val="22"/>
          <w:szCs w:val="22"/>
          <w:lang w:val="es-ES"/>
        </w:rPr>
        <w:t>ayudar a reducir los costes operativos de las pequeñas y median</w:t>
      </w:r>
      <w:r w:rsidR="006D77D0">
        <w:rPr>
          <w:b/>
          <w:sz w:val="22"/>
          <w:szCs w:val="22"/>
          <w:lang w:val="es-ES"/>
        </w:rPr>
        <w:t>a</w:t>
      </w:r>
      <w:r w:rsidR="006D77D0" w:rsidRPr="006D77D0">
        <w:rPr>
          <w:b/>
          <w:sz w:val="22"/>
          <w:szCs w:val="22"/>
          <w:lang w:val="es-ES"/>
        </w:rPr>
        <w:t>s empresas y los trabajadores autónomos</w:t>
      </w:r>
      <w:r w:rsidR="006D77D0" w:rsidRPr="006D77D0">
        <w:rPr>
          <w:sz w:val="22"/>
          <w:szCs w:val="22"/>
          <w:lang w:val="es-ES"/>
        </w:rPr>
        <w:t>. El objetivo es facilitar que el Instituto Catalán del Suelo,</w:t>
      </w:r>
      <w:r>
        <w:rPr>
          <w:sz w:val="22"/>
          <w:szCs w:val="22"/>
          <w:lang w:val="es-ES"/>
        </w:rPr>
        <w:t xml:space="preserve"> organismo que gestiona las finanzas,</w:t>
      </w:r>
      <w:r w:rsidR="006D77D0" w:rsidRPr="006D77D0">
        <w:rPr>
          <w:sz w:val="22"/>
          <w:szCs w:val="22"/>
          <w:lang w:val="es-ES"/>
        </w:rPr>
        <w:t xml:space="preserve"> pueda </w:t>
      </w:r>
      <w:r w:rsidR="006D77D0" w:rsidRPr="006D77D0">
        <w:rPr>
          <w:b/>
          <w:sz w:val="22"/>
          <w:szCs w:val="22"/>
          <w:lang w:val="es-ES"/>
        </w:rPr>
        <w:t>devolver los depósitos de las fianzas constituidas en los contratos de arrendamiento de uso distinto de vivienda</w:t>
      </w:r>
      <w:r w:rsidR="006D77D0" w:rsidRPr="006D77D0">
        <w:rPr>
          <w:sz w:val="22"/>
          <w:szCs w:val="22"/>
          <w:lang w:val="es-ES"/>
        </w:rPr>
        <w:t xml:space="preserve"> que se acojan a la medida establecida en el Real Decreto-ley 15/2020, de 21 de abril, de medidas urgentes complementarias para apoyar la economía y el empleo.</w:t>
      </w:r>
    </w:p>
    <w:p w14:paraId="511E87AB" w14:textId="77777777" w:rsidR="006D77D0" w:rsidRPr="006D77D0" w:rsidRDefault="006D77D0" w:rsidP="006D77D0">
      <w:pPr>
        <w:spacing w:after="120"/>
        <w:rPr>
          <w:sz w:val="22"/>
          <w:szCs w:val="22"/>
          <w:lang w:val="es-ES"/>
        </w:rPr>
      </w:pPr>
      <w:r w:rsidRPr="006D77D0">
        <w:rPr>
          <w:sz w:val="22"/>
          <w:szCs w:val="22"/>
          <w:lang w:val="es-ES"/>
        </w:rPr>
        <w:t>De acuerdo con el decreto, el arrendador y arrendatario podrán acordar disponer de la fianza obligatoria en metálico depositada para pagar total o parcialmente algunas de las mensualidades de la renta y devolver este importe en un plazo máximo de un año.</w:t>
      </w:r>
    </w:p>
    <w:p w14:paraId="511E87AC" w14:textId="77777777" w:rsidR="006D77D0" w:rsidRPr="006D77D0" w:rsidRDefault="006D77D0" w:rsidP="006D77D0">
      <w:pPr>
        <w:spacing w:after="120"/>
        <w:rPr>
          <w:sz w:val="22"/>
          <w:szCs w:val="22"/>
          <w:lang w:val="es-ES"/>
        </w:rPr>
      </w:pPr>
      <w:r w:rsidRPr="006D77D0">
        <w:rPr>
          <w:sz w:val="22"/>
          <w:szCs w:val="22"/>
          <w:lang w:val="es-ES"/>
        </w:rPr>
        <w:t xml:space="preserve">La modificación temporal que ahora se propone permitirá </w:t>
      </w:r>
      <w:r w:rsidRPr="006D77D0">
        <w:rPr>
          <w:b/>
          <w:sz w:val="22"/>
          <w:szCs w:val="22"/>
          <w:lang w:val="es-ES"/>
        </w:rPr>
        <w:t>asegurar que los trámites ordinarios de las devoluciones no se verán perjudicados por la eventual disminución de la reserva de caja</w:t>
      </w:r>
      <w:r w:rsidRPr="006D77D0">
        <w:rPr>
          <w:sz w:val="22"/>
          <w:szCs w:val="22"/>
          <w:lang w:val="es-ES"/>
        </w:rPr>
        <w:t xml:space="preserve"> del Instituto Catalán del Suelo</w:t>
      </w:r>
      <w:r w:rsidR="006F0AC0">
        <w:rPr>
          <w:sz w:val="22"/>
          <w:szCs w:val="22"/>
          <w:lang w:val="es-ES"/>
        </w:rPr>
        <w:t xml:space="preserve"> (INCASÒL)</w:t>
      </w:r>
      <w:r w:rsidRPr="006D77D0">
        <w:rPr>
          <w:sz w:val="22"/>
          <w:szCs w:val="22"/>
          <w:lang w:val="es-ES"/>
        </w:rPr>
        <w:t>.</w:t>
      </w:r>
    </w:p>
    <w:p w14:paraId="511E87AD" w14:textId="77777777" w:rsidR="006D77D0" w:rsidRPr="006D77D0" w:rsidRDefault="006D77D0" w:rsidP="006D77D0">
      <w:pPr>
        <w:spacing w:after="120"/>
        <w:rPr>
          <w:sz w:val="22"/>
          <w:szCs w:val="22"/>
          <w:lang w:val="es-ES"/>
        </w:rPr>
      </w:pPr>
      <w:r w:rsidRPr="006D77D0">
        <w:rPr>
          <w:sz w:val="22"/>
          <w:szCs w:val="22"/>
          <w:lang w:val="es-ES"/>
        </w:rPr>
        <w:t>Así, el Instituto Catalán del Suelo podrá destinar el importe a atender las peticiones de devoluciones temporales y excepcionales de Pymes y Autónomos que se soliciten, siempre que acrediten cumplir los requisitos establecidos por el Real Decreto del estado para acogerse a esta medida.</w:t>
      </w:r>
    </w:p>
    <w:p w14:paraId="511E87AE" w14:textId="77777777" w:rsidR="009D2870" w:rsidRPr="006D77D0" w:rsidRDefault="006D77D0" w:rsidP="006D77D0">
      <w:pPr>
        <w:spacing w:after="120"/>
        <w:rPr>
          <w:sz w:val="22"/>
          <w:szCs w:val="22"/>
          <w:lang w:val="es-ES"/>
        </w:rPr>
      </w:pPr>
      <w:r w:rsidRPr="006D77D0">
        <w:rPr>
          <w:sz w:val="22"/>
          <w:szCs w:val="22"/>
          <w:lang w:val="es-ES"/>
        </w:rPr>
        <w:t xml:space="preserve">En su página web </w:t>
      </w:r>
      <w:hyperlink r:id="rId17" w:history="1">
        <w:r w:rsidRPr="006D77D0">
          <w:rPr>
            <w:rStyle w:val="Hyperlink"/>
            <w:sz w:val="22"/>
            <w:szCs w:val="22"/>
            <w:lang w:val="es-ES"/>
          </w:rPr>
          <w:t>incasòl.gencat.cat</w:t>
        </w:r>
      </w:hyperlink>
      <w:r w:rsidRPr="006D77D0">
        <w:rPr>
          <w:sz w:val="22"/>
          <w:szCs w:val="22"/>
          <w:lang w:val="es-ES"/>
        </w:rPr>
        <w:t xml:space="preserve">, el Instituto Catalán del Suelo ha creado el espacio </w:t>
      </w:r>
      <w:hyperlink r:id="rId18" w:history="1">
        <w:r w:rsidRPr="006D77D0">
          <w:rPr>
            <w:rStyle w:val="Hyperlink"/>
            <w:sz w:val="22"/>
            <w:szCs w:val="22"/>
            <w:lang w:val="es-ES"/>
          </w:rPr>
          <w:t>Medidas urgentes para Pymes y autónomos</w:t>
        </w:r>
      </w:hyperlink>
      <w:r w:rsidRPr="006D77D0">
        <w:rPr>
          <w:sz w:val="22"/>
          <w:szCs w:val="22"/>
          <w:lang w:val="es-ES"/>
        </w:rPr>
        <w:t xml:space="preserve"> donde se detalla cuáles son los requisitos necesarios establecidos por el Real Decreto y se pueden hacer todos los trámites para la solicitud de devolución.</w:t>
      </w:r>
    </w:p>
    <w:sectPr w:rsidR="009D2870" w:rsidRPr="006D77D0">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E87B3" w14:textId="77777777" w:rsidR="006E2EC4" w:rsidRDefault="006E2EC4" w:rsidP="00093626">
      <w:pPr>
        <w:spacing w:after="0" w:line="240" w:lineRule="auto"/>
      </w:pPr>
      <w:r>
        <w:separator/>
      </w:r>
    </w:p>
  </w:endnote>
  <w:endnote w:type="continuationSeparator" w:id="0">
    <w:p w14:paraId="511E87B4" w14:textId="77777777" w:rsidR="006E2EC4" w:rsidRDefault="006E2EC4" w:rsidP="0009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igh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573"/>
      <w:gridCol w:w="1274"/>
      <w:gridCol w:w="2873"/>
    </w:tblGrid>
    <w:tr w:rsidR="00093626" w:rsidRPr="00D11B5C" w14:paraId="511E87BF" w14:textId="77777777" w:rsidTr="009A779B">
      <w:trPr>
        <w:trHeight w:val="598"/>
      </w:trPr>
      <w:tc>
        <w:tcPr>
          <w:tcW w:w="4788" w:type="dxa"/>
          <w:shd w:val="clear" w:color="auto" w:fill="auto"/>
        </w:tcPr>
        <w:p w14:paraId="511E87B5" w14:textId="77777777" w:rsidR="00093626" w:rsidRPr="00D11B5C" w:rsidRDefault="00093626" w:rsidP="00093626">
          <w:pPr>
            <w:spacing w:after="0" w:line="140" w:lineRule="exact"/>
            <w:rPr>
              <w:rFonts w:ascii="Helvetica Light*" w:hAnsi="Helvetica Light*"/>
              <w:sz w:val="14"/>
            </w:rPr>
          </w:pPr>
          <w:r w:rsidRPr="00D11B5C">
            <w:rPr>
              <w:rFonts w:ascii="Helvetica Light*" w:hAnsi="Helvetica Light*"/>
              <w:sz w:val="14"/>
            </w:rPr>
            <w:t>Av. de Josep Tarradellas, 2-6</w:t>
          </w:r>
        </w:p>
        <w:p w14:paraId="511E87B6" w14:textId="77777777" w:rsidR="00093626" w:rsidRPr="00D11B5C" w:rsidRDefault="00093626" w:rsidP="00093626">
          <w:pPr>
            <w:spacing w:after="0" w:line="140" w:lineRule="exact"/>
            <w:rPr>
              <w:rFonts w:ascii="Helvetica Light*" w:hAnsi="Helvetica Light*"/>
              <w:sz w:val="14"/>
              <w:szCs w:val="14"/>
              <w:lang w:eastAsia="es-ES"/>
            </w:rPr>
          </w:pPr>
          <w:r w:rsidRPr="00D11B5C">
            <w:rPr>
              <w:rFonts w:ascii="Helvetica Light*" w:hAnsi="Helvetica Light*"/>
              <w:sz w:val="14"/>
              <w:szCs w:val="14"/>
              <w:lang w:eastAsia="es-ES"/>
            </w:rPr>
            <w:t>08029 Barcelona</w:t>
          </w:r>
        </w:p>
        <w:p w14:paraId="511E87B7" w14:textId="77777777" w:rsidR="00093626" w:rsidRPr="00D11B5C" w:rsidRDefault="00093626" w:rsidP="00093626">
          <w:pPr>
            <w:spacing w:after="0" w:line="140" w:lineRule="exact"/>
            <w:rPr>
              <w:rFonts w:ascii="Helvetica Light*" w:hAnsi="Helvetica Light*"/>
              <w:sz w:val="14"/>
            </w:rPr>
          </w:pPr>
          <w:r w:rsidRPr="00D11B5C">
            <w:rPr>
              <w:rFonts w:ascii="Helvetica Light*" w:hAnsi="Helvetica Light*"/>
              <w:sz w:val="14"/>
            </w:rPr>
            <w:t>Tel. 93 495 80 00</w:t>
          </w:r>
        </w:p>
        <w:p w14:paraId="511E87B8" w14:textId="77777777" w:rsidR="00093626" w:rsidRPr="00D11B5C" w:rsidRDefault="00093626" w:rsidP="00093626">
          <w:pPr>
            <w:spacing w:after="0" w:line="140" w:lineRule="exact"/>
            <w:rPr>
              <w:rFonts w:ascii="Helvetica Light*" w:hAnsi="Helvetica Light*"/>
              <w:sz w:val="14"/>
            </w:rPr>
          </w:pPr>
          <w:r w:rsidRPr="00D11B5C">
            <w:rPr>
              <w:rFonts w:ascii="Helvetica Light*" w:hAnsi="Helvetica Light*"/>
              <w:sz w:val="14"/>
            </w:rPr>
            <w:t>Fax 93 495 80 01</w:t>
          </w:r>
        </w:p>
        <w:p w14:paraId="511E87B9" w14:textId="77777777" w:rsidR="00093626" w:rsidRPr="00D11B5C" w:rsidRDefault="00093626" w:rsidP="00093626">
          <w:pPr>
            <w:pStyle w:val="Footer"/>
            <w:spacing w:line="140" w:lineRule="exact"/>
            <w:rPr>
              <w:rFonts w:ascii="Helvetica Light*" w:hAnsi="Helvetica Light*"/>
              <w:sz w:val="14"/>
              <w:szCs w:val="14"/>
              <w:lang w:eastAsia="es-ES"/>
            </w:rPr>
          </w:pPr>
          <w:r w:rsidRPr="00D11B5C">
            <w:rPr>
              <w:rFonts w:ascii="Helvetica Light*" w:hAnsi="Helvetica Light*"/>
              <w:sz w:val="14"/>
              <w:szCs w:val="14"/>
              <w:lang w:eastAsia="es-ES"/>
            </w:rPr>
            <w:t>http://territori.gencat.cat</w:t>
          </w:r>
        </w:p>
      </w:tc>
      <w:tc>
        <w:tcPr>
          <w:tcW w:w="1352" w:type="dxa"/>
          <w:shd w:val="clear" w:color="auto" w:fill="auto"/>
        </w:tcPr>
        <w:p w14:paraId="511E87BA" w14:textId="77777777" w:rsidR="00093626" w:rsidRPr="00D11B5C" w:rsidRDefault="00093626" w:rsidP="009A779B">
          <w:pPr>
            <w:pStyle w:val="Footer"/>
            <w:rPr>
              <w:szCs w:val="14"/>
            </w:rPr>
          </w:pPr>
        </w:p>
      </w:tc>
      <w:tc>
        <w:tcPr>
          <w:tcW w:w="3071" w:type="dxa"/>
          <w:shd w:val="clear" w:color="auto" w:fill="auto"/>
          <w:vAlign w:val="bottom"/>
        </w:tcPr>
        <w:p w14:paraId="511E87BB" w14:textId="77777777" w:rsidR="00093626" w:rsidRPr="00D11B5C" w:rsidRDefault="00093626" w:rsidP="009A779B">
          <w:pPr>
            <w:pStyle w:val="Footer"/>
            <w:jc w:val="right"/>
            <w:rPr>
              <w:rFonts w:ascii="Helvetica Light*" w:hAnsi="Helvetica Light*"/>
              <w:sz w:val="14"/>
              <w:szCs w:val="14"/>
              <w:lang w:eastAsia="es-ES"/>
            </w:rPr>
          </w:pPr>
        </w:p>
        <w:p w14:paraId="511E87BC" w14:textId="77777777" w:rsidR="00093626" w:rsidRPr="00D11B5C" w:rsidRDefault="00093626" w:rsidP="009A779B">
          <w:pPr>
            <w:pStyle w:val="Footer"/>
            <w:jc w:val="right"/>
            <w:rPr>
              <w:rFonts w:ascii="Helvetica Light*" w:hAnsi="Helvetica Light*"/>
              <w:sz w:val="14"/>
              <w:szCs w:val="14"/>
              <w:lang w:eastAsia="es-ES"/>
            </w:rPr>
          </w:pPr>
        </w:p>
        <w:p w14:paraId="511E87BD" w14:textId="77777777" w:rsidR="00093626" w:rsidRPr="00D11B5C" w:rsidRDefault="00093626" w:rsidP="009A779B">
          <w:pPr>
            <w:pStyle w:val="Footer"/>
            <w:jc w:val="right"/>
            <w:rPr>
              <w:rFonts w:ascii="Helvetica Light*" w:hAnsi="Helvetica Light*"/>
              <w:sz w:val="14"/>
              <w:szCs w:val="14"/>
              <w:lang w:eastAsia="es-ES"/>
            </w:rPr>
          </w:pPr>
        </w:p>
        <w:p w14:paraId="511E87BE" w14:textId="77777777" w:rsidR="00093626" w:rsidRPr="00D11B5C" w:rsidRDefault="00093626" w:rsidP="009A779B">
          <w:pPr>
            <w:pStyle w:val="Footer"/>
            <w:spacing w:line="140" w:lineRule="exact"/>
            <w:ind w:right="-5"/>
            <w:jc w:val="right"/>
            <w:rPr>
              <w:rFonts w:ascii="Arial" w:hAnsi="Arial" w:cs="Arial"/>
              <w:sz w:val="10"/>
              <w:szCs w:val="10"/>
            </w:rPr>
          </w:pPr>
        </w:p>
      </w:tc>
    </w:tr>
  </w:tbl>
  <w:p w14:paraId="511E87C0" w14:textId="77777777" w:rsidR="00093626" w:rsidRDefault="000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87B1" w14:textId="77777777" w:rsidR="006E2EC4" w:rsidRDefault="006E2EC4" w:rsidP="00093626">
      <w:pPr>
        <w:spacing w:after="0" w:line="240" w:lineRule="auto"/>
      </w:pPr>
      <w:r>
        <w:separator/>
      </w:r>
    </w:p>
  </w:footnote>
  <w:footnote w:type="continuationSeparator" w:id="0">
    <w:p w14:paraId="511E87B2" w14:textId="77777777" w:rsidR="006E2EC4" w:rsidRDefault="006E2EC4" w:rsidP="00093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53B57"/>
    <w:multiLevelType w:val="hybridMultilevel"/>
    <w:tmpl w:val="898AD98A"/>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56D60C82"/>
    <w:multiLevelType w:val="hybridMultilevel"/>
    <w:tmpl w:val="181C6DF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70"/>
    <w:rsid w:val="00047E39"/>
    <w:rsid w:val="00093626"/>
    <w:rsid w:val="0024549C"/>
    <w:rsid w:val="00321EB6"/>
    <w:rsid w:val="00393622"/>
    <w:rsid w:val="003D1E45"/>
    <w:rsid w:val="003D65EA"/>
    <w:rsid w:val="004A2F3E"/>
    <w:rsid w:val="0055661C"/>
    <w:rsid w:val="005D46B8"/>
    <w:rsid w:val="00661437"/>
    <w:rsid w:val="006D77D0"/>
    <w:rsid w:val="006E2EC4"/>
    <w:rsid w:val="006F0AC0"/>
    <w:rsid w:val="007C663E"/>
    <w:rsid w:val="00946BA2"/>
    <w:rsid w:val="009D2870"/>
    <w:rsid w:val="00A6718C"/>
    <w:rsid w:val="00AC3140"/>
    <w:rsid w:val="00B57679"/>
    <w:rsid w:val="00C668DA"/>
    <w:rsid w:val="00D500E7"/>
    <w:rsid w:val="00D93985"/>
    <w:rsid w:val="00E346A9"/>
    <w:rsid w:val="00E75A9D"/>
    <w:rsid w:val="00E84EBC"/>
    <w:rsid w:val="00F91BB3"/>
    <w:rsid w:val="00FA763E"/>
    <w:rsid w:val="00FB25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8797"/>
  <w15:docId w15:val="{A5A4D65E-9192-4EB0-9EF4-D250392F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a-E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985"/>
  </w:style>
  <w:style w:type="paragraph" w:styleId="Heading1">
    <w:name w:val="heading 1"/>
    <w:basedOn w:val="Normal"/>
    <w:next w:val="Normal"/>
    <w:link w:val="Heading1Char"/>
    <w:uiPriority w:val="9"/>
    <w:qFormat/>
    <w:rsid w:val="00D9398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9398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9398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9398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93985"/>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93985"/>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93985"/>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93985"/>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93985"/>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985"/>
    <w:pPr>
      <w:ind w:left="720"/>
      <w:contextualSpacing/>
    </w:pPr>
  </w:style>
  <w:style w:type="character" w:customStyle="1" w:styleId="Heading1Char">
    <w:name w:val="Heading 1 Char"/>
    <w:basedOn w:val="DefaultParagraphFont"/>
    <w:link w:val="Heading1"/>
    <w:uiPriority w:val="9"/>
    <w:rsid w:val="00D93985"/>
    <w:rPr>
      <w:smallCaps/>
      <w:spacing w:val="5"/>
      <w:sz w:val="32"/>
      <w:szCs w:val="32"/>
    </w:rPr>
  </w:style>
  <w:style w:type="character" w:customStyle="1" w:styleId="Heading2Char">
    <w:name w:val="Heading 2 Char"/>
    <w:basedOn w:val="DefaultParagraphFont"/>
    <w:link w:val="Heading2"/>
    <w:uiPriority w:val="9"/>
    <w:semiHidden/>
    <w:rsid w:val="00D93985"/>
    <w:rPr>
      <w:smallCaps/>
      <w:spacing w:val="5"/>
      <w:sz w:val="28"/>
      <w:szCs w:val="28"/>
    </w:rPr>
  </w:style>
  <w:style w:type="character" w:customStyle="1" w:styleId="Heading3Char">
    <w:name w:val="Heading 3 Char"/>
    <w:basedOn w:val="DefaultParagraphFont"/>
    <w:link w:val="Heading3"/>
    <w:uiPriority w:val="9"/>
    <w:semiHidden/>
    <w:rsid w:val="00D93985"/>
    <w:rPr>
      <w:smallCaps/>
      <w:spacing w:val="5"/>
      <w:sz w:val="24"/>
      <w:szCs w:val="24"/>
    </w:rPr>
  </w:style>
  <w:style w:type="character" w:customStyle="1" w:styleId="Heading4Char">
    <w:name w:val="Heading 4 Char"/>
    <w:basedOn w:val="DefaultParagraphFont"/>
    <w:link w:val="Heading4"/>
    <w:uiPriority w:val="9"/>
    <w:semiHidden/>
    <w:rsid w:val="00D93985"/>
    <w:rPr>
      <w:smallCaps/>
      <w:spacing w:val="10"/>
      <w:sz w:val="22"/>
      <w:szCs w:val="22"/>
    </w:rPr>
  </w:style>
  <w:style w:type="character" w:customStyle="1" w:styleId="Heading5Char">
    <w:name w:val="Heading 5 Char"/>
    <w:basedOn w:val="DefaultParagraphFont"/>
    <w:link w:val="Heading5"/>
    <w:uiPriority w:val="9"/>
    <w:semiHidden/>
    <w:rsid w:val="00D9398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93985"/>
    <w:rPr>
      <w:smallCaps/>
      <w:color w:val="C0504D" w:themeColor="accent2"/>
      <w:spacing w:val="5"/>
      <w:sz w:val="22"/>
    </w:rPr>
  </w:style>
  <w:style w:type="character" w:customStyle="1" w:styleId="Heading7Char">
    <w:name w:val="Heading 7 Char"/>
    <w:basedOn w:val="DefaultParagraphFont"/>
    <w:link w:val="Heading7"/>
    <w:uiPriority w:val="9"/>
    <w:semiHidden/>
    <w:rsid w:val="00D93985"/>
    <w:rPr>
      <w:b/>
      <w:smallCaps/>
      <w:color w:val="C0504D" w:themeColor="accent2"/>
      <w:spacing w:val="10"/>
    </w:rPr>
  </w:style>
  <w:style w:type="character" w:customStyle="1" w:styleId="Heading8Char">
    <w:name w:val="Heading 8 Char"/>
    <w:basedOn w:val="DefaultParagraphFont"/>
    <w:link w:val="Heading8"/>
    <w:uiPriority w:val="9"/>
    <w:semiHidden/>
    <w:rsid w:val="00D93985"/>
    <w:rPr>
      <w:b/>
      <w:i/>
      <w:smallCaps/>
      <w:color w:val="943634" w:themeColor="accent2" w:themeShade="BF"/>
    </w:rPr>
  </w:style>
  <w:style w:type="character" w:customStyle="1" w:styleId="Heading9Char">
    <w:name w:val="Heading 9 Char"/>
    <w:basedOn w:val="DefaultParagraphFont"/>
    <w:link w:val="Heading9"/>
    <w:uiPriority w:val="9"/>
    <w:semiHidden/>
    <w:rsid w:val="00D93985"/>
    <w:rPr>
      <w:b/>
      <w:i/>
      <w:smallCaps/>
      <w:color w:val="622423" w:themeColor="accent2" w:themeShade="7F"/>
    </w:rPr>
  </w:style>
  <w:style w:type="paragraph" w:styleId="Caption">
    <w:name w:val="caption"/>
    <w:basedOn w:val="Normal"/>
    <w:next w:val="Normal"/>
    <w:uiPriority w:val="35"/>
    <w:semiHidden/>
    <w:unhideWhenUsed/>
    <w:qFormat/>
    <w:rsid w:val="00D93985"/>
    <w:rPr>
      <w:b/>
      <w:bCs/>
      <w:caps/>
      <w:sz w:val="16"/>
      <w:szCs w:val="18"/>
    </w:rPr>
  </w:style>
  <w:style w:type="paragraph" w:styleId="Title">
    <w:name w:val="Title"/>
    <w:basedOn w:val="Normal"/>
    <w:next w:val="Normal"/>
    <w:link w:val="TitleChar"/>
    <w:uiPriority w:val="10"/>
    <w:qFormat/>
    <w:rsid w:val="00D93985"/>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93985"/>
    <w:rPr>
      <w:smallCaps/>
      <w:sz w:val="48"/>
      <w:szCs w:val="48"/>
    </w:rPr>
  </w:style>
  <w:style w:type="paragraph" w:styleId="Subtitle">
    <w:name w:val="Subtitle"/>
    <w:basedOn w:val="Normal"/>
    <w:next w:val="Normal"/>
    <w:link w:val="SubtitleChar"/>
    <w:uiPriority w:val="11"/>
    <w:qFormat/>
    <w:rsid w:val="00D9398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93985"/>
    <w:rPr>
      <w:rFonts w:asciiTheme="majorHAnsi" w:eastAsiaTheme="majorEastAsia" w:hAnsiTheme="majorHAnsi" w:cstheme="majorBidi"/>
      <w:szCs w:val="22"/>
    </w:rPr>
  </w:style>
  <w:style w:type="character" w:styleId="Strong">
    <w:name w:val="Strong"/>
    <w:uiPriority w:val="22"/>
    <w:qFormat/>
    <w:rsid w:val="00D93985"/>
    <w:rPr>
      <w:b/>
      <w:color w:val="C0504D" w:themeColor="accent2"/>
    </w:rPr>
  </w:style>
  <w:style w:type="character" w:styleId="Emphasis">
    <w:name w:val="Emphasis"/>
    <w:uiPriority w:val="20"/>
    <w:qFormat/>
    <w:rsid w:val="00D93985"/>
    <w:rPr>
      <w:b/>
      <w:i/>
      <w:spacing w:val="10"/>
    </w:rPr>
  </w:style>
  <w:style w:type="paragraph" w:styleId="NoSpacing">
    <w:name w:val="No Spacing"/>
    <w:basedOn w:val="Normal"/>
    <w:link w:val="NoSpacingChar"/>
    <w:uiPriority w:val="1"/>
    <w:qFormat/>
    <w:rsid w:val="00D93985"/>
    <w:pPr>
      <w:spacing w:after="0" w:line="240" w:lineRule="auto"/>
    </w:pPr>
  </w:style>
  <w:style w:type="character" w:customStyle="1" w:styleId="NoSpacingChar">
    <w:name w:val="No Spacing Char"/>
    <w:basedOn w:val="DefaultParagraphFont"/>
    <w:link w:val="NoSpacing"/>
    <w:uiPriority w:val="1"/>
    <w:rsid w:val="00D93985"/>
  </w:style>
  <w:style w:type="paragraph" w:styleId="Quote">
    <w:name w:val="Quote"/>
    <w:basedOn w:val="Normal"/>
    <w:next w:val="Normal"/>
    <w:link w:val="QuoteChar"/>
    <w:uiPriority w:val="29"/>
    <w:qFormat/>
    <w:rsid w:val="00D93985"/>
    <w:rPr>
      <w:i/>
    </w:rPr>
  </w:style>
  <w:style w:type="character" w:customStyle="1" w:styleId="QuoteChar">
    <w:name w:val="Quote Char"/>
    <w:basedOn w:val="DefaultParagraphFont"/>
    <w:link w:val="Quote"/>
    <w:uiPriority w:val="29"/>
    <w:rsid w:val="00D93985"/>
    <w:rPr>
      <w:i/>
    </w:rPr>
  </w:style>
  <w:style w:type="paragraph" w:styleId="IntenseQuote">
    <w:name w:val="Intense Quote"/>
    <w:basedOn w:val="Normal"/>
    <w:next w:val="Normal"/>
    <w:link w:val="IntenseQuoteChar"/>
    <w:uiPriority w:val="30"/>
    <w:qFormat/>
    <w:rsid w:val="00D9398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93985"/>
    <w:rPr>
      <w:b/>
      <w:i/>
      <w:color w:val="FFFFFF" w:themeColor="background1"/>
      <w:shd w:val="clear" w:color="auto" w:fill="C0504D" w:themeFill="accent2"/>
    </w:rPr>
  </w:style>
  <w:style w:type="character" w:styleId="SubtleEmphasis">
    <w:name w:val="Subtle Emphasis"/>
    <w:uiPriority w:val="19"/>
    <w:qFormat/>
    <w:rsid w:val="00D93985"/>
    <w:rPr>
      <w:i/>
    </w:rPr>
  </w:style>
  <w:style w:type="character" w:styleId="IntenseEmphasis">
    <w:name w:val="Intense Emphasis"/>
    <w:uiPriority w:val="21"/>
    <w:qFormat/>
    <w:rsid w:val="00D93985"/>
    <w:rPr>
      <w:b/>
      <w:i/>
      <w:color w:val="C0504D" w:themeColor="accent2"/>
      <w:spacing w:val="10"/>
    </w:rPr>
  </w:style>
  <w:style w:type="character" w:styleId="SubtleReference">
    <w:name w:val="Subtle Reference"/>
    <w:uiPriority w:val="31"/>
    <w:qFormat/>
    <w:rsid w:val="00D93985"/>
    <w:rPr>
      <w:b/>
    </w:rPr>
  </w:style>
  <w:style w:type="character" w:styleId="IntenseReference">
    <w:name w:val="Intense Reference"/>
    <w:uiPriority w:val="32"/>
    <w:qFormat/>
    <w:rsid w:val="00D93985"/>
    <w:rPr>
      <w:b/>
      <w:bCs/>
      <w:smallCaps/>
      <w:spacing w:val="5"/>
      <w:sz w:val="22"/>
      <w:szCs w:val="22"/>
      <w:u w:val="single"/>
    </w:rPr>
  </w:style>
  <w:style w:type="character" w:styleId="BookTitle">
    <w:name w:val="Book Title"/>
    <w:uiPriority w:val="33"/>
    <w:qFormat/>
    <w:rsid w:val="00D9398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93985"/>
    <w:pPr>
      <w:outlineLvl w:val="9"/>
    </w:pPr>
    <w:rPr>
      <w:lang w:bidi="en-US"/>
    </w:rPr>
  </w:style>
  <w:style w:type="character" w:styleId="Hyperlink">
    <w:name w:val="Hyperlink"/>
    <w:basedOn w:val="DefaultParagraphFont"/>
    <w:uiPriority w:val="99"/>
    <w:unhideWhenUsed/>
    <w:rsid w:val="009D2870"/>
    <w:rPr>
      <w:color w:val="0000FF" w:themeColor="hyperlink"/>
      <w:u w:val="single"/>
    </w:rPr>
  </w:style>
  <w:style w:type="paragraph" w:styleId="BalloonText">
    <w:name w:val="Balloon Text"/>
    <w:basedOn w:val="Normal"/>
    <w:link w:val="BalloonTextChar"/>
    <w:uiPriority w:val="99"/>
    <w:semiHidden/>
    <w:unhideWhenUsed/>
    <w:rsid w:val="00093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626"/>
    <w:rPr>
      <w:rFonts w:ascii="Tahoma" w:hAnsi="Tahoma" w:cs="Tahoma"/>
      <w:sz w:val="16"/>
      <w:szCs w:val="16"/>
    </w:rPr>
  </w:style>
  <w:style w:type="paragraph" w:styleId="Header">
    <w:name w:val="header"/>
    <w:basedOn w:val="Normal"/>
    <w:link w:val="HeaderChar"/>
    <w:uiPriority w:val="99"/>
    <w:unhideWhenUsed/>
    <w:rsid w:val="00093626"/>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3626"/>
  </w:style>
  <w:style w:type="paragraph" w:styleId="Footer">
    <w:name w:val="footer"/>
    <w:basedOn w:val="Normal"/>
    <w:link w:val="FooterChar"/>
    <w:unhideWhenUsed/>
    <w:rsid w:val="00093626"/>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695698">
      <w:bodyDiv w:val="1"/>
      <w:marLeft w:val="0"/>
      <w:marRight w:val="0"/>
      <w:marTop w:val="0"/>
      <w:marBottom w:val="0"/>
      <w:divBdr>
        <w:top w:val="none" w:sz="0" w:space="0" w:color="auto"/>
        <w:left w:val="none" w:sz="0" w:space="0" w:color="auto"/>
        <w:bottom w:val="none" w:sz="0" w:space="0" w:color="auto"/>
        <w:right w:val="none" w:sz="0" w:space="0" w:color="auto"/>
      </w:divBdr>
      <w:divsChild>
        <w:div w:id="1588368">
          <w:marLeft w:val="0"/>
          <w:marRight w:val="0"/>
          <w:marTop w:val="0"/>
          <w:marBottom w:val="0"/>
          <w:divBdr>
            <w:top w:val="none" w:sz="0" w:space="0" w:color="auto"/>
            <w:left w:val="none" w:sz="0" w:space="0" w:color="auto"/>
            <w:bottom w:val="none" w:sz="0" w:space="0" w:color="auto"/>
            <w:right w:val="none" w:sz="0" w:space="0" w:color="auto"/>
          </w:divBdr>
          <w:divsChild>
            <w:div w:id="12465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gencat.cat/es/activem/ajuts-per-palliar-la-crisi/index.html" TargetMode="External"/><Relationship Id="rId18" Type="http://schemas.openxmlformats.org/officeDocument/2006/relationships/hyperlink" Target="http://incasol.gencat.cat/ca/2-serveis_i_tramits/Fiances/autonoms-i-pime-mesures-urg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overn.cat/salapremsa/notes-premsa/383529/generalitat-avancara-pagaments-dels-ajuts-al-lloguer-persones-majors-65-anys-dones-victimes-violencia-genere" TargetMode="External"/><Relationship Id="rId17" Type="http://schemas.openxmlformats.org/officeDocument/2006/relationships/hyperlink" Target="http://incasol.gencat.cat/ca/inici/" TargetMode="External"/><Relationship Id="rId2" Type="http://schemas.openxmlformats.org/officeDocument/2006/relationships/customXml" Target="../customXml/item2.xml"/><Relationship Id="rId16" Type="http://schemas.openxmlformats.org/officeDocument/2006/relationships/hyperlink" Target="http://incasol.gencat.cat/es/actualitat/noticies/Noticia/not_200513_fian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gc.gencat.cat/es/pdogc_canals_interns/pdogc_resultats_fitxa/index.html?action=fitxa&amp;documentId=871633&amp;language=ca_ES&amp;newLang=es_ES" TargetMode="External"/><Relationship Id="rId5" Type="http://schemas.openxmlformats.org/officeDocument/2006/relationships/styles" Target="styles.xml"/><Relationship Id="rId15" Type="http://schemas.openxmlformats.org/officeDocument/2006/relationships/hyperlink" Target="https://www.boe.es/buscar/act.php?id=BOE-A-2020-4208&amp;p=20200404&amp;tn=2"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gc.gencat.cat/es/pdogc_canals_interns/pdogc_resultats_fitxa/index.html?action=fitxa&amp;documentId=873413&amp;newLang=es_E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C350C-9D98-4896-B1BA-986A633EB5C4}">
  <ds:schemaRefs>
    <ds:schemaRef ds:uri="http://schemas.microsoft.com/sharepoint/v3/contenttype/forms"/>
  </ds:schemaRefs>
</ds:datastoreItem>
</file>

<file path=customXml/itemProps2.xml><?xml version="1.0" encoding="utf-8"?>
<ds:datastoreItem xmlns:ds="http://schemas.openxmlformats.org/officeDocument/2006/customXml" ds:itemID="{A6AE9FF0-9D49-4124-BFCA-27738C5845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7959B67-BF1A-4BEC-9066-E964348A6639}"/>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6407</Characters>
  <Application>Microsoft Office Word</Application>
  <DocSecurity>0</DocSecurity>
  <Lines>53</Lines>
  <Paragraphs>15</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Generalitat de Catalunya</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Valls Feliu, Carles</dc:creator>
  <cp:lastModifiedBy>IZAGIRRE GARCIA Jon</cp:lastModifiedBy>
  <cp:revision>2</cp:revision>
  <dcterms:created xsi:type="dcterms:W3CDTF">2020-06-26T15:02:00Z</dcterms:created>
  <dcterms:modified xsi:type="dcterms:W3CDTF">2020-06-26T15:02:00Z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