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556" w:rsidRPr="00741D34" w:rsidRDefault="00F03798" w:rsidP="00A32591">
      <w:pPr>
        <w:shd w:val="clear" w:color="auto" w:fill="FFFFFF"/>
        <w:spacing w:before="240" w:line="36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419" w:eastAsia="es-HN"/>
        </w:rPr>
      </w:pPr>
      <w:r w:rsidRPr="00741D34">
        <w:rPr>
          <w:rFonts w:ascii="Book Antiqua" w:eastAsia="Times New Roman" w:hAnsi="Book Antiqua" w:cs="Times New Roman"/>
          <w:b/>
          <w:sz w:val="24"/>
          <w:szCs w:val="24"/>
          <w:lang w:val="es-419" w:eastAsia="es-HN"/>
        </w:rPr>
        <w:t xml:space="preserve">CONTRIBUCIONES SOBRE </w:t>
      </w:r>
      <w:r w:rsidRPr="00741D34">
        <w:rPr>
          <w:rFonts w:ascii="Book Antiqua" w:eastAsia="Times New Roman" w:hAnsi="Book Antiqua" w:cs="Times New Roman"/>
          <w:b/>
          <w:sz w:val="24"/>
          <w:szCs w:val="24"/>
          <w:lang w:eastAsia="es-HN"/>
        </w:rPr>
        <w:t>LA PROMOCIÓN Y PROTECCIÓN DE LOS DERECHOS HUMANOS DE LAS MUJERES Y LAS NIÑAS EN SITUACIONES DE CONFLICTO Y POSCONFLICTO</w:t>
      </w:r>
      <w:r w:rsidRPr="00741D34">
        <w:rPr>
          <w:rFonts w:ascii="Book Antiqua" w:eastAsia="Times New Roman" w:hAnsi="Book Antiqua" w:cs="Times New Roman"/>
          <w:b/>
          <w:sz w:val="24"/>
          <w:szCs w:val="24"/>
          <w:lang w:val="es-419" w:eastAsia="es-HN"/>
        </w:rPr>
        <w:t>.</w:t>
      </w:r>
    </w:p>
    <w:p w:rsidR="00321C48" w:rsidRPr="00741D34" w:rsidRDefault="00321C48" w:rsidP="00321C48">
      <w:p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</w:pPr>
      <w:r w:rsidRPr="00741D34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>1.</w:t>
      </w:r>
      <w:r w:rsidRPr="00741D34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ab/>
        <w:t>¿De qué manera el trabajo del Consejo de Derechos Humanos y sus mecanismos incorporan la igualdad de género y los derechos humanos de las mujeres y las niñas en situaciones de desplazamiento, conflicto y posconflicto?</w:t>
      </w:r>
    </w:p>
    <w:p w:rsidR="00321C48" w:rsidRPr="00741D34" w:rsidRDefault="00471F8D" w:rsidP="006A5284">
      <w:pPr>
        <w:pStyle w:val="Prrafodelista"/>
        <w:numPr>
          <w:ilvl w:val="0"/>
          <w:numId w:val="12"/>
        </w:numPr>
        <w:shd w:val="clear" w:color="auto" w:fill="FFFFFF"/>
        <w:spacing w:line="360" w:lineRule="auto"/>
        <w:ind w:left="426" w:hanging="426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</w:pPr>
      <w:r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>M</w:t>
      </w:r>
      <w:r w:rsidR="00321C48" w:rsidRPr="00741D34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>arcos jurídicos y normativos, políticas y programas para garantizar el respeto de los derechos humanos de las mujeres en la prevención de conflictos, conflicto y posconflicto, incluyendo la participación en la toma de decisiones, educación, salud y a vivir sin violencia ni discriminación.</w:t>
      </w:r>
    </w:p>
    <w:p w:rsidR="007A10D6" w:rsidRPr="007A10D6" w:rsidRDefault="007A10D6" w:rsidP="007A10D6">
      <w:p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</w:pPr>
      <w:r w:rsidRPr="007A10D6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En Honduras no existen conflictos armados, no obstante, </w:t>
      </w:r>
      <w:r w:rsidR="004B60C9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reconoce la</w:t>
      </w:r>
      <w:r w:rsidRPr="007A10D6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 importan</w:t>
      </w:r>
      <w:r w:rsidR="004B60C9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cia de</w:t>
      </w:r>
      <w:r w:rsidRPr="007A10D6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 la inclusión de la perspectiva de género</w:t>
      </w:r>
      <w:r w:rsidR="004B60C9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 en</w:t>
      </w:r>
      <w:r w:rsidR="004B60C9" w:rsidRPr="004B60C9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 </w:t>
      </w:r>
      <w:r w:rsidR="004B60C9" w:rsidRPr="007A10D6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el mantenimiento y la consolidación de la paz</w:t>
      </w:r>
      <w:r w:rsidRPr="007A10D6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, la planificación humanitaria, la democracia</w:t>
      </w:r>
      <w:r w:rsidR="00C814DB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, </w:t>
      </w:r>
      <w:r w:rsidRPr="007A10D6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la gobernanza</w:t>
      </w:r>
      <w:r w:rsidR="00C814DB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 y el desarrollo</w:t>
      </w:r>
      <w:r w:rsidRPr="007A10D6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.</w:t>
      </w:r>
    </w:p>
    <w:p w:rsidR="00A105FF" w:rsidRPr="00741D34" w:rsidRDefault="00A105FF" w:rsidP="00A105FF">
      <w:p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s-419" w:eastAsia="es-HN"/>
        </w:rPr>
      </w:pPr>
      <w:r w:rsidRPr="00741D34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Honduras ha adoptado </w:t>
      </w:r>
      <w:r w:rsidR="007F320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las siguientes medidas legislativas</w:t>
      </w:r>
      <w:r w:rsidRPr="00741D34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:</w:t>
      </w:r>
    </w:p>
    <w:p w:rsidR="006D5EAA" w:rsidRPr="00741D34" w:rsidRDefault="00A105FF" w:rsidP="001C6CFE">
      <w:pPr>
        <w:pStyle w:val="Prrafodelista"/>
        <w:numPr>
          <w:ilvl w:val="0"/>
          <w:numId w:val="17"/>
        </w:numPr>
        <w:shd w:val="clear" w:color="auto" w:fill="FFFFFF"/>
        <w:spacing w:line="360" w:lineRule="auto"/>
        <w:ind w:left="567" w:hanging="283"/>
        <w:jc w:val="both"/>
        <w:rPr>
          <w:rFonts w:ascii="Book Antiqua" w:eastAsia="Times New Roman" w:hAnsi="Book Antiqua" w:cs="Times New Roman"/>
          <w:sz w:val="24"/>
          <w:szCs w:val="24"/>
          <w:lang w:val="es-419" w:eastAsia="es-HN"/>
        </w:rPr>
      </w:pPr>
      <w:r w:rsidRPr="00741D34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La Constitución de la República, </w:t>
      </w:r>
      <w:r w:rsidR="00741D34" w:rsidRPr="00741D34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reconoce la inviolabilidad de la dignidad humana, </w:t>
      </w:r>
      <w:r w:rsidRPr="00741D34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garantiza la igualdad de derechos entre hombres y mujeres</w:t>
      </w:r>
      <w:r w:rsidR="006D5EAA" w:rsidRPr="00741D34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 y declara punible toda discriminación</w:t>
      </w:r>
      <w:r w:rsidR="00741D34" w:rsidRPr="00741D34">
        <w:rPr>
          <w:rStyle w:val="Refdenotaalpie"/>
          <w:rFonts w:ascii="Book Antiqua" w:eastAsia="Times New Roman" w:hAnsi="Book Antiqua" w:cs="Times New Roman"/>
          <w:sz w:val="24"/>
          <w:szCs w:val="24"/>
          <w:lang w:val="es-419" w:eastAsia="es-HN"/>
        </w:rPr>
        <w:footnoteReference w:id="1"/>
      </w:r>
      <w:r w:rsidR="00D51684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;</w:t>
      </w:r>
    </w:p>
    <w:p w:rsidR="00A105FF" w:rsidRPr="00741D34" w:rsidRDefault="009545E1" w:rsidP="001C6CFE">
      <w:pPr>
        <w:pStyle w:val="Prrafodelista"/>
        <w:numPr>
          <w:ilvl w:val="0"/>
          <w:numId w:val="17"/>
        </w:numPr>
        <w:shd w:val="clear" w:color="auto" w:fill="FFFFFF"/>
        <w:spacing w:line="360" w:lineRule="auto"/>
        <w:ind w:left="567" w:hanging="283"/>
        <w:jc w:val="both"/>
        <w:rPr>
          <w:rFonts w:ascii="Book Antiqua" w:eastAsia="Times New Roman" w:hAnsi="Book Antiqua" w:cs="Times New Roman"/>
          <w:sz w:val="24"/>
          <w:szCs w:val="24"/>
          <w:lang w:val="es-419" w:eastAsia="es-HN"/>
        </w:rPr>
      </w:pPr>
      <w:r w:rsidRPr="00741D34">
        <w:rPr>
          <w:rFonts w:ascii="Book Antiqua" w:eastAsia="Times New Roman" w:hAnsi="Book Antiqua" w:cs="Times New Roman"/>
          <w:sz w:val="24"/>
          <w:szCs w:val="24"/>
          <w:lang w:eastAsia="es-HN"/>
        </w:rPr>
        <w:t>Ley de Igualdad de Oportunidades para la Mujer</w:t>
      </w:r>
      <w:r w:rsidRPr="00741D34">
        <w:rPr>
          <w:rStyle w:val="Refdenotaalpie"/>
          <w:rFonts w:ascii="Book Antiqua" w:eastAsia="Times New Roman" w:hAnsi="Book Antiqua" w:cs="Times New Roman"/>
          <w:sz w:val="24"/>
          <w:szCs w:val="24"/>
          <w:lang w:eastAsia="es-HN"/>
        </w:rPr>
        <w:footnoteReference w:id="2"/>
      </w:r>
      <w:r w:rsidRPr="00741D34">
        <w:rPr>
          <w:rFonts w:ascii="Book Antiqua" w:eastAsia="Times New Roman" w:hAnsi="Book Antiqua" w:cs="Times New Roman"/>
          <w:sz w:val="24"/>
          <w:szCs w:val="24"/>
          <w:lang w:eastAsia="es-HN"/>
        </w:rPr>
        <w:t>,</w:t>
      </w:r>
      <w:r w:rsidR="006D5EAA" w:rsidRPr="00741D34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 </w:t>
      </w:r>
      <w:r w:rsidR="006D5EAA" w:rsidRPr="00741D34">
        <w:rPr>
          <w:rFonts w:ascii="Book Antiqua" w:eastAsia="Times New Roman" w:hAnsi="Book Antiqua" w:cs="Times New Roman"/>
          <w:sz w:val="24"/>
          <w:szCs w:val="24"/>
          <w:lang w:eastAsia="es-HN"/>
        </w:rPr>
        <w:t>prev</w:t>
      </w:r>
      <w:r w:rsidR="003069F5">
        <w:rPr>
          <w:rFonts w:ascii="Book Antiqua" w:eastAsia="Times New Roman" w:hAnsi="Book Antiqua" w:cs="Times New Roman"/>
          <w:sz w:val="24"/>
          <w:szCs w:val="24"/>
          <w:lang w:eastAsia="es-HN"/>
        </w:rPr>
        <w:t>iene</w:t>
      </w:r>
      <w:r w:rsidR="006D5EAA" w:rsidRPr="00741D34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y elimina la discriminación por razones de género, instando la adopción de medidas de política pública para la promoción de la igualdad de oportunidades</w:t>
      </w:r>
      <w:r w:rsidR="00D51684">
        <w:rPr>
          <w:rFonts w:ascii="Book Antiqua" w:eastAsia="Times New Roman" w:hAnsi="Book Antiqua" w:cs="Times New Roman"/>
          <w:sz w:val="24"/>
          <w:szCs w:val="24"/>
          <w:lang w:eastAsia="es-HN"/>
        </w:rPr>
        <w:t>;</w:t>
      </w:r>
    </w:p>
    <w:p w:rsidR="00A61E5C" w:rsidRPr="00214014" w:rsidRDefault="00A61E5C" w:rsidP="001C6CFE">
      <w:pPr>
        <w:pStyle w:val="Prrafodelista"/>
        <w:numPr>
          <w:ilvl w:val="0"/>
          <w:numId w:val="17"/>
        </w:numPr>
        <w:shd w:val="clear" w:color="auto" w:fill="FFFFFF"/>
        <w:spacing w:line="360" w:lineRule="auto"/>
        <w:ind w:left="567" w:hanging="283"/>
        <w:jc w:val="both"/>
        <w:rPr>
          <w:rFonts w:ascii="Book Antiqua" w:eastAsia="Times New Roman" w:hAnsi="Book Antiqua" w:cs="Times New Roman"/>
          <w:sz w:val="24"/>
          <w:szCs w:val="24"/>
          <w:lang w:val="es-419" w:eastAsia="es-HN"/>
        </w:rPr>
      </w:pPr>
      <w:r w:rsidRPr="00214014">
        <w:rPr>
          <w:rFonts w:ascii="Book Antiqua" w:eastAsia="Times New Roman" w:hAnsi="Book Antiqua" w:cs="Times New Roman"/>
          <w:sz w:val="24"/>
          <w:szCs w:val="24"/>
          <w:lang w:eastAsia="es-HN"/>
        </w:rPr>
        <w:t>Ley Contra la Violencia Doméstica</w:t>
      </w:r>
      <w:r w:rsidRPr="00214014">
        <w:rPr>
          <w:rStyle w:val="Refdenotaalpie"/>
          <w:rFonts w:ascii="Book Antiqua" w:eastAsia="Times New Roman" w:hAnsi="Book Antiqua" w:cs="Times New Roman"/>
          <w:sz w:val="24"/>
          <w:szCs w:val="24"/>
          <w:lang w:eastAsia="es-HN"/>
        </w:rPr>
        <w:footnoteReference w:id="3"/>
      </w:r>
      <w:r w:rsidR="00D51684" w:rsidRPr="00214014">
        <w:rPr>
          <w:rFonts w:ascii="Book Antiqua" w:eastAsia="Times New Roman" w:hAnsi="Book Antiqua" w:cs="Times New Roman"/>
          <w:sz w:val="24"/>
          <w:szCs w:val="24"/>
          <w:lang w:eastAsia="es-HN"/>
        </w:rPr>
        <w:t>;</w:t>
      </w:r>
    </w:p>
    <w:p w:rsidR="00A61E5C" w:rsidRPr="00214014" w:rsidRDefault="00A61E5C" w:rsidP="001C6CFE">
      <w:pPr>
        <w:pStyle w:val="Prrafodelista"/>
        <w:numPr>
          <w:ilvl w:val="0"/>
          <w:numId w:val="17"/>
        </w:numPr>
        <w:shd w:val="clear" w:color="auto" w:fill="FFFFFF"/>
        <w:spacing w:line="360" w:lineRule="auto"/>
        <w:ind w:left="567" w:hanging="283"/>
        <w:jc w:val="both"/>
        <w:rPr>
          <w:rFonts w:ascii="Book Antiqua" w:eastAsia="Times New Roman" w:hAnsi="Book Antiqua" w:cs="Times New Roman"/>
          <w:sz w:val="24"/>
          <w:szCs w:val="24"/>
          <w:lang w:eastAsia="es-HN"/>
        </w:rPr>
      </w:pPr>
      <w:r w:rsidRPr="00214014">
        <w:rPr>
          <w:rFonts w:ascii="Book Antiqua" w:eastAsia="Times New Roman" w:hAnsi="Book Antiqua" w:cs="Times New Roman"/>
          <w:sz w:val="24"/>
          <w:szCs w:val="24"/>
          <w:lang w:eastAsia="es-HN"/>
        </w:rPr>
        <w:t>Ley de creación del Instituto Nacional de la Mujer</w:t>
      </w:r>
      <w:r w:rsidRPr="007B463F">
        <w:rPr>
          <w:rFonts w:ascii="Book Antiqua" w:hAnsi="Book Antiqua"/>
          <w:sz w:val="24"/>
          <w:szCs w:val="24"/>
          <w:vertAlign w:val="superscript"/>
        </w:rPr>
        <w:footnoteReference w:id="4"/>
      </w:r>
      <w:r w:rsidR="00D51684" w:rsidRPr="00214014">
        <w:rPr>
          <w:rFonts w:ascii="Book Antiqua" w:eastAsia="Times New Roman" w:hAnsi="Book Antiqua" w:cs="Times New Roman"/>
          <w:sz w:val="24"/>
          <w:szCs w:val="24"/>
          <w:lang w:eastAsia="es-HN"/>
        </w:rPr>
        <w:t>;</w:t>
      </w:r>
    </w:p>
    <w:p w:rsidR="00820863" w:rsidRDefault="00820863" w:rsidP="001C6CFE">
      <w:pPr>
        <w:pStyle w:val="Prrafodelista"/>
        <w:numPr>
          <w:ilvl w:val="0"/>
          <w:numId w:val="17"/>
        </w:numPr>
        <w:shd w:val="clear" w:color="auto" w:fill="FFFFFF"/>
        <w:spacing w:before="240" w:line="360" w:lineRule="auto"/>
        <w:ind w:left="567" w:hanging="283"/>
        <w:jc w:val="both"/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</w:pPr>
      <w:r w:rsidRPr="00214014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lastRenderedPageBreak/>
        <w:t>El nuevo Código Penal</w:t>
      </w:r>
      <w:r w:rsidRPr="00214014">
        <w:rPr>
          <w:rStyle w:val="Refdenotaalpie"/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footnoteReference w:id="5"/>
      </w:r>
      <w:r w:rsidRPr="00214014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, contiene un capítulo sobre crímenes de guerra. </w:t>
      </w:r>
      <w:r w:rsidR="003069F5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D</w:t>
      </w:r>
      <w:r w:rsidRPr="00214014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urante el proceso de </w:t>
      </w:r>
      <w:r w:rsidR="003069F5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su </w:t>
      </w:r>
      <w:r w:rsidRPr="00214014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elaboración</w:t>
      </w:r>
      <w:r w:rsidR="00C814DB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,</w:t>
      </w:r>
      <w:r w:rsidRPr="00214014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 el Comité de la Cruz Roja Internacional (CICR) aportó modificaciones o adiciones a algunos artículos del </w:t>
      </w:r>
      <w:r w:rsidR="00402127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mismo</w:t>
      </w:r>
      <w:r w:rsidRPr="00214014">
        <w:rPr>
          <w:rStyle w:val="Refdenotaalpie"/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footnoteReference w:id="6"/>
      </w:r>
      <w:r w:rsidRPr="00214014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.</w:t>
      </w:r>
    </w:p>
    <w:p w:rsidR="00A27D67" w:rsidRDefault="00A27D67" w:rsidP="001C6CFE">
      <w:pPr>
        <w:pStyle w:val="Prrafodelista"/>
        <w:numPr>
          <w:ilvl w:val="0"/>
          <w:numId w:val="17"/>
        </w:numPr>
        <w:shd w:val="clear" w:color="auto" w:fill="FFFFFF"/>
        <w:spacing w:line="360" w:lineRule="auto"/>
        <w:ind w:left="567" w:hanging="283"/>
        <w:jc w:val="both"/>
        <w:rPr>
          <w:rFonts w:ascii="Book Antiqua" w:eastAsia="Times New Roman" w:hAnsi="Book Antiqua" w:cs="Times New Roman"/>
          <w:sz w:val="24"/>
          <w:szCs w:val="24"/>
          <w:lang w:eastAsia="es-HN"/>
        </w:rPr>
      </w:pPr>
      <w:r w:rsidRPr="004524D5">
        <w:rPr>
          <w:rFonts w:ascii="Book Antiqua" w:eastAsia="Times New Roman" w:hAnsi="Book Antiqua" w:cs="Times New Roman"/>
          <w:sz w:val="24"/>
          <w:szCs w:val="24"/>
          <w:lang w:eastAsia="es-HN"/>
        </w:rPr>
        <w:t>El Código de la Niñez y la Adolescenci</w:t>
      </w:r>
      <w:r w:rsidR="004524D5">
        <w:rPr>
          <w:rFonts w:ascii="Book Antiqua" w:eastAsia="Times New Roman" w:hAnsi="Book Antiqua" w:cs="Times New Roman"/>
          <w:sz w:val="24"/>
          <w:szCs w:val="24"/>
          <w:lang w:eastAsia="es-HN"/>
        </w:rPr>
        <w:t>a</w:t>
      </w:r>
      <w:r w:rsidRPr="004524D5">
        <w:rPr>
          <w:rFonts w:ascii="Book Antiqua" w:hAnsi="Book Antiqua"/>
          <w:sz w:val="24"/>
          <w:szCs w:val="24"/>
          <w:vertAlign w:val="superscript"/>
        </w:rPr>
        <w:footnoteReference w:id="7"/>
      </w:r>
      <w:r w:rsidR="00D51684" w:rsidRPr="004524D5">
        <w:rPr>
          <w:rFonts w:ascii="Book Antiqua" w:eastAsia="Times New Roman" w:hAnsi="Book Antiqua" w:cs="Times New Roman"/>
          <w:sz w:val="24"/>
          <w:szCs w:val="24"/>
          <w:lang w:eastAsia="es-HN"/>
        </w:rPr>
        <w:t>;</w:t>
      </w:r>
    </w:p>
    <w:p w:rsidR="001C6CFE" w:rsidRPr="00741D34" w:rsidRDefault="001C6CFE" w:rsidP="001C6CFE">
      <w:pPr>
        <w:pStyle w:val="Prrafodelista"/>
        <w:numPr>
          <w:ilvl w:val="0"/>
          <w:numId w:val="17"/>
        </w:numPr>
        <w:shd w:val="clear" w:color="auto" w:fill="FFFFFF"/>
        <w:spacing w:line="360" w:lineRule="auto"/>
        <w:ind w:left="567" w:hanging="283"/>
        <w:jc w:val="both"/>
        <w:rPr>
          <w:rFonts w:ascii="Book Antiqua" w:eastAsia="Times New Roman" w:hAnsi="Book Antiqua" w:cs="Times New Roman"/>
          <w:sz w:val="24"/>
          <w:szCs w:val="24"/>
          <w:lang w:val="es-419" w:eastAsia="es-HN"/>
        </w:rPr>
      </w:pPr>
      <w:r>
        <w:rPr>
          <w:rFonts w:ascii="Book Antiqua" w:eastAsia="Times New Roman" w:hAnsi="Book Antiqua" w:cs="Times New Roman"/>
          <w:sz w:val="24"/>
          <w:szCs w:val="24"/>
          <w:lang w:eastAsia="es-HN"/>
        </w:rPr>
        <w:t>Ley Contra la Trata de Personas en Honduras</w:t>
      </w:r>
      <w:r>
        <w:rPr>
          <w:rStyle w:val="Refdenotaalpie"/>
          <w:rFonts w:ascii="Book Antiqua" w:eastAsia="Times New Roman" w:hAnsi="Book Antiqua" w:cs="Times New Roman"/>
          <w:sz w:val="24"/>
          <w:szCs w:val="24"/>
          <w:lang w:eastAsia="es-HN"/>
        </w:rPr>
        <w:footnoteReference w:id="8"/>
      </w:r>
      <w:r>
        <w:rPr>
          <w:rFonts w:ascii="Book Antiqua" w:eastAsia="Times New Roman" w:hAnsi="Book Antiqua" w:cs="Times New Roman"/>
          <w:sz w:val="24"/>
          <w:szCs w:val="24"/>
          <w:lang w:eastAsia="es-HN"/>
        </w:rPr>
        <w:t>;</w:t>
      </w:r>
    </w:p>
    <w:p w:rsidR="00214014" w:rsidRPr="009C1679" w:rsidRDefault="00214014" w:rsidP="001C6CFE">
      <w:pPr>
        <w:pStyle w:val="Prrafodelista"/>
        <w:numPr>
          <w:ilvl w:val="0"/>
          <w:numId w:val="17"/>
        </w:numPr>
        <w:shd w:val="clear" w:color="auto" w:fill="FFFFFF"/>
        <w:spacing w:line="360" w:lineRule="auto"/>
        <w:ind w:left="567" w:hanging="283"/>
        <w:jc w:val="both"/>
        <w:rPr>
          <w:rFonts w:ascii="Book Antiqua" w:eastAsia="Times New Roman" w:hAnsi="Book Antiqua" w:cs="Times New Roman"/>
          <w:sz w:val="24"/>
          <w:szCs w:val="24"/>
          <w:lang w:eastAsia="es-HN"/>
        </w:rPr>
      </w:pPr>
      <w:r w:rsidRPr="00214014">
        <w:rPr>
          <w:rFonts w:ascii="Book Antiqua" w:eastAsia="Times New Roman" w:hAnsi="Book Antiqua" w:cs="Times New Roman"/>
          <w:sz w:val="24"/>
          <w:szCs w:val="24"/>
          <w:lang w:eastAsia="es-HN"/>
        </w:rPr>
        <w:t>Ley de Protección para las y los Defensores de Derechos Humanos, Periodistas, Comunicadores Sociales y Operadores de Justicia</w:t>
      </w:r>
      <w:r w:rsidR="00C814DB">
        <w:rPr>
          <w:rStyle w:val="Refdenotaalpie"/>
          <w:rFonts w:ascii="Book Antiqua" w:eastAsia="Times New Roman" w:hAnsi="Book Antiqua" w:cs="Times New Roman"/>
          <w:sz w:val="24"/>
          <w:szCs w:val="24"/>
          <w:lang w:eastAsia="es-HN"/>
        </w:rPr>
        <w:footnoteReference w:id="9"/>
      </w:r>
      <w:r w:rsidRPr="00214014">
        <w:t xml:space="preserve"> </w:t>
      </w:r>
      <w:r w:rsidRPr="00214014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y </w:t>
      </w:r>
      <w:r>
        <w:rPr>
          <w:rFonts w:ascii="Book Antiqua" w:eastAsia="Times New Roman" w:hAnsi="Book Antiqua" w:cs="Times New Roman"/>
          <w:sz w:val="24"/>
          <w:szCs w:val="24"/>
          <w:lang w:eastAsia="es-HN"/>
        </w:rPr>
        <w:t>su</w:t>
      </w:r>
      <w:r w:rsidRPr="00214014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Reglamento</w:t>
      </w:r>
      <w:r>
        <w:rPr>
          <w:rStyle w:val="Refdenotaalpie"/>
          <w:rFonts w:ascii="Book Antiqua" w:eastAsia="Times New Roman" w:hAnsi="Book Antiqua" w:cs="Times New Roman"/>
          <w:sz w:val="24"/>
          <w:szCs w:val="24"/>
          <w:lang w:eastAsia="es-HN"/>
        </w:rPr>
        <w:footnoteReference w:id="10"/>
      </w:r>
      <w:r>
        <w:rPr>
          <w:rFonts w:ascii="Book Antiqua" w:eastAsia="Times New Roman" w:hAnsi="Book Antiqua" w:cs="Times New Roman"/>
          <w:sz w:val="24"/>
          <w:szCs w:val="24"/>
          <w:lang w:eastAsia="es-HN"/>
        </w:rPr>
        <w:t>;</w:t>
      </w:r>
    </w:p>
    <w:p w:rsidR="00214014" w:rsidRDefault="00214014" w:rsidP="001C6CFE">
      <w:pPr>
        <w:pStyle w:val="Prrafodelista"/>
        <w:numPr>
          <w:ilvl w:val="0"/>
          <w:numId w:val="17"/>
        </w:numPr>
        <w:shd w:val="clear" w:color="auto" w:fill="FFFFFF"/>
        <w:spacing w:line="360" w:lineRule="auto"/>
        <w:ind w:left="567" w:hanging="283"/>
        <w:jc w:val="both"/>
        <w:rPr>
          <w:rFonts w:ascii="Book Antiqua" w:eastAsia="Times New Roman" w:hAnsi="Book Antiqua" w:cs="Times New Roman"/>
          <w:sz w:val="24"/>
          <w:szCs w:val="24"/>
          <w:lang w:eastAsia="es-HN"/>
        </w:rPr>
      </w:pPr>
      <w:r w:rsidRPr="00214014">
        <w:rPr>
          <w:rFonts w:ascii="Book Antiqua" w:eastAsia="Times New Roman" w:hAnsi="Book Antiqua" w:cs="Times New Roman"/>
          <w:sz w:val="24"/>
          <w:szCs w:val="24"/>
          <w:lang w:eastAsia="es-HN"/>
        </w:rPr>
        <w:t>Programa Presidencial Ciudad Mujer</w:t>
      </w:r>
      <w:r w:rsidRPr="00214014">
        <w:rPr>
          <w:rFonts w:ascii="Book Antiqua" w:hAnsi="Book Antiqua"/>
          <w:sz w:val="24"/>
          <w:szCs w:val="24"/>
          <w:vertAlign w:val="superscript"/>
        </w:rPr>
        <w:footnoteReference w:id="11"/>
      </w:r>
      <w:r w:rsidR="003069F5">
        <w:rPr>
          <w:rFonts w:ascii="Book Antiqua" w:eastAsia="Times New Roman" w:hAnsi="Book Antiqua" w:cs="Times New Roman"/>
          <w:sz w:val="24"/>
          <w:szCs w:val="24"/>
          <w:vertAlign w:val="superscript"/>
          <w:lang w:eastAsia="es-HN"/>
        </w:rPr>
        <w:t>,</w:t>
      </w:r>
      <w:r w:rsidR="00B62967" w:rsidRPr="00B62967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elevado a Política Nacional</w:t>
      </w:r>
      <w:r w:rsidR="00B62967">
        <w:rPr>
          <w:rStyle w:val="Refdenotaalpie"/>
          <w:rFonts w:ascii="Book Antiqua" w:eastAsia="Times New Roman" w:hAnsi="Book Antiqua" w:cs="Times New Roman"/>
          <w:sz w:val="24"/>
          <w:szCs w:val="24"/>
          <w:lang w:eastAsia="es-HN"/>
        </w:rPr>
        <w:footnoteReference w:id="12"/>
      </w:r>
      <w:r w:rsidR="00B62967" w:rsidRPr="00B62967">
        <w:rPr>
          <w:rFonts w:ascii="Book Antiqua" w:eastAsia="Times New Roman" w:hAnsi="Book Antiqua" w:cs="Times New Roman"/>
          <w:sz w:val="24"/>
          <w:szCs w:val="24"/>
          <w:lang w:eastAsia="es-HN"/>
        </w:rPr>
        <w:t>;</w:t>
      </w:r>
      <w:r w:rsidRPr="009C1679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</w:t>
      </w:r>
    </w:p>
    <w:p w:rsidR="00747756" w:rsidRPr="00747756" w:rsidRDefault="00402127" w:rsidP="001C6CFE">
      <w:pPr>
        <w:pStyle w:val="Prrafodelista"/>
        <w:numPr>
          <w:ilvl w:val="0"/>
          <w:numId w:val="17"/>
        </w:numPr>
        <w:shd w:val="clear" w:color="auto" w:fill="FFFFFF"/>
        <w:spacing w:line="360" w:lineRule="auto"/>
        <w:ind w:left="567" w:hanging="283"/>
        <w:jc w:val="both"/>
        <w:rPr>
          <w:rFonts w:ascii="Book Antiqua" w:eastAsia="Times New Roman" w:hAnsi="Book Antiqua" w:cs="Times New Roman"/>
          <w:sz w:val="24"/>
          <w:szCs w:val="24"/>
          <w:lang w:val="es-419" w:eastAsia="es-HN"/>
        </w:rPr>
      </w:pPr>
      <w:r w:rsidRPr="00402127">
        <w:rPr>
          <w:rFonts w:ascii="Book Antiqua" w:eastAsia="Times New Roman" w:hAnsi="Book Antiqua" w:cs="Times New Roman"/>
          <w:sz w:val="24"/>
          <w:szCs w:val="24"/>
          <w:lang w:eastAsia="es-HN"/>
        </w:rPr>
        <w:t>Ley para el Establecimiento de una Visión de País y la Adopción de un Plan de Nación para Honduras</w:t>
      </w:r>
      <w:r>
        <w:rPr>
          <w:rStyle w:val="Refdenotaalpie"/>
          <w:rFonts w:ascii="Book Antiqua" w:eastAsia="Times New Roman" w:hAnsi="Book Antiqua" w:cs="Times New Roman"/>
          <w:sz w:val="24"/>
          <w:szCs w:val="24"/>
          <w:lang w:eastAsia="es-HN"/>
        </w:rPr>
        <w:footnoteReference w:id="13"/>
      </w:r>
      <w:r w:rsidR="00747756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, </w:t>
      </w:r>
      <w:r w:rsidR="003069F5">
        <w:rPr>
          <w:rFonts w:ascii="Book Antiqua" w:eastAsia="Times New Roman" w:hAnsi="Book Antiqua" w:cs="Times New Roman"/>
          <w:sz w:val="24"/>
          <w:szCs w:val="24"/>
          <w:lang w:eastAsia="es-HN"/>
        </w:rPr>
        <w:t>que en</w:t>
      </w:r>
      <w:r w:rsidR="00747756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su </w:t>
      </w:r>
      <w:r w:rsidR="00747756" w:rsidRPr="00747756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Objetivo 2: </w:t>
      </w:r>
      <w:r w:rsidR="00747756" w:rsidRPr="00747756">
        <w:rPr>
          <w:rFonts w:ascii="Book Antiqua" w:eastAsia="Times New Roman" w:hAnsi="Book Antiqua" w:cs="Times New Roman"/>
          <w:i/>
          <w:iCs/>
          <w:sz w:val="24"/>
          <w:szCs w:val="24"/>
          <w:lang w:eastAsia="es-HN"/>
        </w:rPr>
        <w:t>Una Honduras que se desarrolle en democracia, con Seguridad y sin Violencia</w:t>
      </w:r>
      <w:r w:rsidR="00747756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, y reconoce a la </w:t>
      </w:r>
      <w:r w:rsidR="00747756" w:rsidRPr="00747756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Seguridad como requisito </w:t>
      </w:r>
      <w:r w:rsidR="00747756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para el </w:t>
      </w:r>
      <w:r w:rsidR="00747756" w:rsidRPr="00747756">
        <w:rPr>
          <w:rFonts w:ascii="Book Antiqua" w:eastAsia="Times New Roman" w:hAnsi="Book Antiqua" w:cs="Times New Roman"/>
          <w:sz w:val="24"/>
          <w:szCs w:val="24"/>
          <w:lang w:eastAsia="es-HN"/>
        </w:rPr>
        <w:t>desarrollo</w:t>
      </w:r>
      <w:r w:rsidR="00747756">
        <w:rPr>
          <w:rFonts w:ascii="Book Antiqua" w:eastAsia="Times New Roman" w:hAnsi="Book Antiqua" w:cs="Times New Roman"/>
          <w:sz w:val="24"/>
          <w:szCs w:val="24"/>
          <w:lang w:eastAsia="es-HN"/>
        </w:rPr>
        <w:t>.</w:t>
      </w:r>
    </w:p>
    <w:p w:rsidR="004C5A2C" w:rsidRPr="00747756" w:rsidRDefault="004C5A2C" w:rsidP="001C6CFE">
      <w:pPr>
        <w:pStyle w:val="Prrafodelista"/>
        <w:numPr>
          <w:ilvl w:val="0"/>
          <w:numId w:val="17"/>
        </w:numPr>
        <w:shd w:val="clear" w:color="auto" w:fill="FFFFFF"/>
        <w:spacing w:line="360" w:lineRule="auto"/>
        <w:ind w:left="567" w:hanging="283"/>
        <w:jc w:val="both"/>
        <w:rPr>
          <w:rFonts w:ascii="Book Antiqua" w:eastAsia="Times New Roman" w:hAnsi="Book Antiqua" w:cs="Times New Roman"/>
          <w:sz w:val="24"/>
          <w:szCs w:val="24"/>
          <w:lang w:val="es-419" w:eastAsia="es-HN"/>
        </w:rPr>
      </w:pPr>
      <w:r w:rsidRPr="005C45A9">
        <w:rPr>
          <w:rFonts w:ascii="Book Antiqua" w:eastAsia="Times New Roman" w:hAnsi="Book Antiqua" w:cs="Times New Roman"/>
          <w:sz w:val="24"/>
          <w:szCs w:val="24"/>
          <w:lang w:eastAsia="es-HN"/>
        </w:rPr>
        <w:t>Política Pública y Plan Nacional de Acción en Derechos Humanos 2013-2022</w:t>
      </w:r>
      <w:r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, incorpora en </w:t>
      </w:r>
      <w:r w:rsidRPr="004C5A2C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la estructura y gestión del Estado, </w:t>
      </w:r>
      <w:r>
        <w:rPr>
          <w:rFonts w:ascii="Book Antiqua" w:eastAsia="Times New Roman" w:hAnsi="Book Antiqua" w:cs="Times New Roman"/>
          <w:sz w:val="24"/>
          <w:szCs w:val="24"/>
          <w:lang w:eastAsia="es-HN"/>
        </w:rPr>
        <w:t>el</w:t>
      </w:r>
      <w:r w:rsidRPr="004C5A2C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enfoque de derechos humanos</w:t>
      </w:r>
      <w:r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e incluye en el eje de poblaciones</w:t>
      </w:r>
      <w:r w:rsidR="00B21BFB">
        <w:rPr>
          <w:rFonts w:ascii="Book Antiqua" w:eastAsia="Times New Roman" w:hAnsi="Book Antiqua" w:cs="Times New Roman"/>
          <w:sz w:val="24"/>
          <w:szCs w:val="24"/>
          <w:lang w:eastAsia="es-HN"/>
        </w:rPr>
        <w:t>,</w:t>
      </w:r>
      <w:r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acciones en favor de grupos en situación de vulnerabilidad</w:t>
      </w:r>
      <w:r w:rsidR="00751470">
        <w:rPr>
          <w:rFonts w:ascii="Book Antiqua" w:eastAsia="Times New Roman" w:hAnsi="Book Antiqua" w:cs="Times New Roman"/>
          <w:sz w:val="24"/>
          <w:szCs w:val="24"/>
          <w:lang w:eastAsia="es-HN"/>
        </w:rPr>
        <w:t>.</w:t>
      </w:r>
    </w:p>
    <w:p w:rsidR="00A61E5C" w:rsidRPr="00747756" w:rsidRDefault="00A61E5C" w:rsidP="001C6CFE">
      <w:pPr>
        <w:pStyle w:val="Prrafodelista"/>
        <w:numPr>
          <w:ilvl w:val="0"/>
          <w:numId w:val="17"/>
        </w:numPr>
        <w:shd w:val="clear" w:color="auto" w:fill="FFFFFF"/>
        <w:spacing w:line="360" w:lineRule="auto"/>
        <w:ind w:left="567" w:hanging="283"/>
        <w:jc w:val="both"/>
        <w:rPr>
          <w:rFonts w:ascii="Book Antiqua" w:eastAsia="Times New Roman" w:hAnsi="Book Antiqua" w:cs="Times New Roman"/>
          <w:sz w:val="24"/>
          <w:szCs w:val="24"/>
          <w:lang w:val="es-419" w:eastAsia="es-HN"/>
        </w:rPr>
      </w:pPr>
      <w:r w:rsidRPr="00741D34">
        <w:rPr>
          <w:rFonts w:ascii="Book Antiqua" w:eastAsia="Times New Roman" w:hAnsi="Book Antiqua" w:cs="Times New Roman"/>
          <w:sz w:val="24"/>
          <w:szCs w:val="24"/>
          <w:lang w:eastAsia="es-HN"/>
        </w:rPr>
        <w:t>Política Nacional de la Mujer II Plan de Igualdad y Equidad de Género de Honduras 2010-2022 (II PIEGH)</w:t>
      </w:r>
      <w:r w:rsidRPr="00741D34">
        <w:rPr>
          <w:rStyle w:val="Refdenotaalpie"/>
          <w:rFonts w:ascii="Book Antiqua" w:eastAsia="Times New Roman" w:hAnsi="Book Antiqua" w:cs="Times New Roman"/>
          <w:sz w:val="24"/>
          <w:szCs w:val="24"/>
          <w:lang w:eastAsia="es-HN"/>
        </w:rPr>
        <w:footnoteReference w:id="14"/>
      </w:r>
      <w:r w:rsidR="00CF5366" w:rsidRPr="00741D34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, </w:t>
      </w:r>
      <w:r w:rsidR="00AE7023" w:rsidRPr="00AE7023">
        <w:rPr>
          <w:rFonts w:ascii="Book Antiqua" w:eastAsia="Times New Roman" w:hAnsi="Book Antiqua" w:cs="Times New Roman"/>
          <w:sz w:val="24"/>
          <w:szCs w:val="24"/>
          <w:lang w:eastAsia="es-HN"/>
        </w:rPr>
        <w:t>permite incorporar objetivos y metas para el logro de la igualdad y equidad de género en la Visión de País, Plan de Nación, en la agenda pública</w:t>
      </w:r>
      <w:r w:rsidR="00AE7023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, y en la </w:t>
      </w:r>
      <w:r w:rsidR="00AE7023" w:rsidRPr="00AE7023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planificación y </w:t>
      </w:r>
      <w:proofErr w:type="spellStart"/>
      <w:r w:rsidR="00AE7023" w:rsidRPr="00AE7023">
        <w:rPr>
          <w:rFonts w:ascii="Book Antiqua" w:eastAsia="Times New Roman" w:hAnsi="Book Antiqua" w:cs="Times New Roman"/>
          <w:sz w:val="24"/>
          <w:szCs w:val="24"/>
          <w:lang w:eastAsia="es-HN"/>
        </w:rPr>
        <w:t>presupuestación</w:t>
      </w:r>
      <w:proofErr w:type="spellEnd"/>
      <w:r w:rsidR="00AE7023" w:rsidRPr="00AE7023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del Estado</w:t>
      </w:r>
      <w:r w:rsidR="00D51684">
        <w:rPr>
          <w:rFonts w:ascii="Book Antiqua" w:eastAsia="Times New Roman" w:hAnsi="Book Antiqua" w:cs="Times New Roman"/>
          <w:sz w:val="24"/>
          <w:szCs w:val="24"/>
          <w:lang w:eastAsia="es-HN"/>
        </w:rPr>
        <w:t>;</w:t>
      </w:r>
    </w:p>
    <w:p w:rsidR="004524D5" w:rsidRPr="00747756" w:rsidRDefault="004524D5" w:rsidP="001C6CFE">
      <w:pPr>
        <w:pStyle w:val="Prrafodelista"/>
        <w:numPr>
          <w:ilvl w:val="0"/>
          <w:numId w:val="17"/>
        </w:numPr>
        <w:shd w:val="clear" w:color="auto" w:fill="FFFFFF"/>
        <w:spacing w:line="360" w:lineRule="auto"/>
        <w:ind w:left="567" w:hanging="283"/>
        <w:jc w:val="both"/>
        <w:rPr>
          <w:rFonts w:ascii="Book Antiqua" w:eastAsia="Times New Roman" w:hAnsi="Book Antiqua" w:cs="Times New Roman"/>
          <w:sz w:val="24"/>
          <w:szCs w:val="24"/>
          <w:lang w:val="es-419" w:eastAsia="es-HN"/>
        </w:rPr>
      </w:pPr>
      <w:r w:rsidRPr="00747756">
        <w:rPr>
          <w:rFonts w:ascii="Book Antiqua" w:eastAsia="Times New Roman" w:hAnsi="Book Antiqua" w:cs="Times New Roman"/>
          <w:sz w:val="24"/>
          <w:szCs w:val="24"/>
          <w:lang w:eastAsia="es-HN"/>
        </w:rPr>
        <w:lastRenderedPageBreak/>
        <w:t>Política Integral de Convivencia y Seguridad Ciudadana para Honduras</w:t>
      </w:r>
      <w:r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2011-2022;</w:t>
      </w:r>
    </w:p>
    <w:p w:rsidR="004524D5" w:rsidRPr="004524D5" w:rsidRDefault="004524D5" w:rsidP="001C6CFE">
      <w:pPr>
        <w:pStyle w:val="Prrafodelista"/>
        <w:numPr>
          <w:ilvl w:val="0"/>
          <w:numId w:val="17"/>
        </w:numPr>
        <w:shd w:val="clear" w:color="auto" w:fill="FFFFFF"/>
        <w:spacing w:line="360" w:lineRule="auto"/>
        <w:ind w:left="567" w:hanging="283"/>
        <w:jc w:val="both"/>
        <w:rPr>
          <w:rFonts w:ascii="Book Antiqua" w:eastAsia="Times New Roman" w:hAnsi="Book Antiqua" w:cs="Times New Roman"/>
          <w:sz w:val="24"/>
          <w:szCs w:val="24"/>
          <w:lang w:val="es-419" w:eastAsia="es-HN"/>
        </w:rPr>
      </w:pPr>
      <w:r w:rsidRPr="00747756">
        <w:rPr>
          <w:rFonts w:ascii="Book Antiqua" w:eastAsia="Times New Roman" w:hAnsi="Book Antiqua" w:cs="Times New Roman"/>
          <w:sz w:val="24"/>
          <w:szCs w:val="24"/>
          <w:lang w:eastAsia="es-HN"/>
        </w:rPr>
        <w:t>Política Nacional de Prevención de Violencia hacia la Niñez y Juventud</w:t>
      </w:r>
      <w:r>
        <w:rPr>
          <w:rFonts w:ascii="Book Antiqua" w:eastAsia="Times New Roman" w:hAnsi="Book Antiqua" w:cs="Times New Roman"/>
          <w:sz w:val="24"/>
          <w:szCs w:val="24"/>
          <w:lang w:eastAsia="es-HN"/>
        </w:rPr>
        <w:t>;</w:t>
      </w:r>
    </w:p>
    <w:p w:rsidR="004C5A2C" w:rsidRPr="004C5A2C" w:rsidRDefault="00D356C9" w:rsidP="001C6CFE">
      <w:pPr>
        <w:pStyle w:val="Prrafodelista"/>
        <w:numPr>
          <w:ilvl w:val="0"/>
          <w:numId w:val="17"/>
        </w:numPr>
        <w:shd w:val="clear" w:color="auto" w:fill="FFFFFF"/>
        <w:spacing w:line="360" w:lineRule="auto"/>
        <w:ind w:left="567" w:hanging="283"/>
        <w:jc w:val="both"/>
        <w:rPr>
          <w:rFonts w:ascii="Book Antiqua" w:eastAsia="Times New Roman" w:hAnsi="Book Antiqua" w:cs="Times New Roman"/>
          <w:sz w:val="24"/>
          <w:szCs w:val="24"/>
          <w:lang w:val="es-419" w:eastAsia="es-HN"/>
        </w:rPr>
      </w:pPr>
      <w:r w:rsidRPr="00741D34">
        <w:rPr>
          <w:rFonts w:ascii="Book Antiqua" w:eastAsia="Times New Roman" w:hAnsi="Book Antiqua" w:cs="Times New Roman"/>
          <w:sz w:val="24"/>
          <w:szCs w:val="24"/>
          <w:lang w:eastAsia="es-HN"/>
        </w:rPr>
        <w:t>Plan Nacional Contra la Violencia Hacia las Mujeres 2014-2022</w:t>
      </w:r>
      <w:r w:rsidRPr="00741D34">
        <w:rPr>
          <w:rStyle w:val="Refdenotaalpie"/>
          <w:rFonts w:ascii="Book Antiqua" w:eastAsia="Times New Roman" w:hAnsi="Book Antiqua" w:cs="Times New Roman"/>
          <w:sz w:val="24"/>
          <w:szCs w:val="24"/>
          <w:lang w:eastAsia="es-HN"/>
        </w:rPr>
        <w:footnoteReference w:id="15"/>
      </w:r>
      <w:r w:rsidR="00D51684">
        <w:rPr>
          <w:rFonts w:ascii="Book Antiqua" w:eastAsia="Times New Roman" w:hAnsi="Book Antiqua" w:cs="Times New Roman"/>
          <w:sz w:val="24"/>
          <w:szCs w:val="24"/>
          <w:lang w:eastAsia="es-HN"/>
        </w:rPr>
        <w:t>;</w:t>
      </w:r>
    </w:p>
    <w:p w:rsidR="00D356C9" w:rsidRPr="00741D34" w:rsidRDefault="004C5A2C" w:rsidP="001C6CFE">
      <w:pPr>
        <w:pStyle w:val="Prrafodelista"/>
        <w:numPr>
          <w:ilvl w:val="0"/>
          <w:numId w:val="17"/>
        </w:numPr>
        <w:shd w:val="clear" w:color="auto" w:fill="FFFFFF"/>
        <w:spacing w:line="360" w:lineRule="auto"/>
        <w:ind w:left="567" w:hanging="283"/>
        <w:jc w:val="both"/>
        <w:rPr>
          <w:rFonts w:ascii="Book Antiqua" w:eastAsia="Times New Roman" w:hAnsi="Book Antiqua" w:cs="Times New Roman"/>
          <w:sz w:val="24"/>
          <w:szCs w:val="24"/>
          <w:lang w:val="es-419" w:eastAsia="es-HN"/>
        </w:rPr>
      </w:pPr>
      <w:r w:rsidRPr="004C5A2C">
        <w:rPr>
          <w:rFonts w:ascii="Book Antiqua" w:eastAsia="Times New Roman" w:hAnsi="Book Antiqua" w:cs="Times New Roman"/>
          <w:sz w:val="24"/>
          <w:szCs w:val="24"/>
          <w:lang w:eastAsia="es-HN"/>
        </w:rPr>
        <w:t>Plan Estratégico Contra la Explotación Sexual Comercial y Trata de Personas (2016-2022)</w:t>
      </w:r>
      <w:r>
        <w:rPr>
          <w:rStyle w:val="Refdenotaalpie"/>
          <w:rFonts w:ascii="Book Antiqua" w:eastAsia="Times New Roman" w:hAnsi="Book Antiqua" w:cs="Times New Roman"/>
          <w:sz w:val="24"/>
          <w:szCs w:val="24"/>
          <w:lang w:eastAsia="es-HN"/>
        </w:rPr>
        <w:footnoteReference w:id="16"/>
      </w:r>
      <w:r w:rsidRPr="004C5A2C">
        <w:rPr>
          <w:rFonts w:ascii="Book Antiqua" w:eastAsia="Times New Roman" w:hAnsi="Book Antiqua" w:cs="Times New Roman"/>
          <w:sz w:val="24"/>
          <w:szCs w:val="24"/>
          <w:lang w:eastAsia="es-HN"/>
        </w:rPr>
        <w:t>;</w:t>
      </w:r>
      <w:r w:rsidR="00D356C9" w:rsidRPr="00741D34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</w:t>
      </w:r>
    </w:p>
    <w:p w:rsidR="007F3207" w:rsidRPr="007F3207" w:rsidRDefault="005C45A9" w:rsidP="001C6CFE">
      <w:pPr>
        <w:pStyle w:val="Prrafodelista"/>
        <w:numPr>
          <w:ilvl w:val="0"/>
          <w:numId w:val="17"/>
        </w:numPr>
        <w:shd w:val="clear" w:color="auto" w:fill="FFFFFF"/>
        <w:spacing w:line="360" w:lineRule="auto"/>
        <w:ind w:left="567" w:hanging="283"/>
        <w:jc w:val="both"/>
        <w:rPr>
          <w:rFonts w:ascii="Book Antiqua" w:eastAsia="Times New Roman" w:hAnsi="Book Antiqua" w:cs="Times New Roman"/>
          <w:sz w:val="24"/>
          <w:szCs w:val="24"/>
          <w:lang w:val="es-419" w:eastAsia="es-HN"/>
        </w:rPr>
      </w:pPr>
      <w:r>
        <w:rPr>
          <w:rFonts w:ascii="Book Antiqua" w:eastAsia="Times New Roman" w:hAnsi="Book Antiqua" w:cs="Times New Roman"/>
          <w:sz w:val="24"/>
          <w:szCs w:val="24"/>
          <w:lang w:eastAsia="es-HN"/>
        </w:rPr>
        <w:t>Creación de la Secretaría de Derechos Humanos</w:t>
      </w:r>
      <w:r>
        <w:rPr>
          <w:rStyle w:val="Refdenotaalpie"/>
          <w:rFonts w:ascii="Book Antiqua" w:eastAsia="Times New Roman" w:hAnsi="Book Antiqua" w:cs="Times New Roman"/>
          <w:sz w:val="24"/>
          <w:szCs w:val="24"/>
          <w:lang w:eastAsia="es-HN"/>
        </w:rPr>
        <w:footnoteReference w:id="17"/>
      </w:r>
      <w:r w:rsidR="00820863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(SEDH)</w:t>
      </w:r>
      <w:r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, </w:t>
      </w:r>
      <w:r w:rsidR="00820863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que tiene </w:t>
      </w:r>
      <w:r w:rsidR="00820863" w:rsidRPr="00820863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adscritas</w:t>
      </w:r>
      <w:r w:rsidR="009474A0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 </w:t>
      </w:r>
      <w:r w:rsidR="00820863" w:rsidRPr="00820863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la Dirección de Gestión Preventiva de Riesgo de Violaciones a los Derechos Humanos y de la Conflictividad Social, </w:t>
      </w:r>
      <w:r w:rsidR="00820863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la </w:t>
      </w:r>
      <w:r w:rsidR="00820863" w:rsidRPr="00820863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Dirección </w:t>
      </w:r>
      <w:r w:rsidR="00820863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General </w:t>
      </w:r>
      <w:r w:rsidR="00820863" w:rsidRPr="00820863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del Sistema de Protección</w:t>
      </w:r>
      <w:r w:rsidR="00820863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 de </w:t>
      </w:r>
      <w:r w:rsidR="007F07E5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D</w:t>
      </w:r>
      <w:r w:rsidR="00820863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efensores de Derechos Humanos,</w:t>
      </w:r>
      <w:r w:rsidR="00820863" w:rsidRPr="00820863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 </w:t>
      </w:r>
      <w:r w:rsidR="00820863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Periodistas y Comunicadores Sociales</w:t>
      </w:r>
      <w:r w:rsidR="00820863" w:rsidRPr="00820863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 </w:t>
      </w:r>
      <w:r w:rsidR="007F07E5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(DGSP) </w:t>
      </w:r>
      <w:r w:rsidR="00820863" w:rsidRPr="00820863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y la Dirección para la Protección de Personas Desplazadas Internamente</w:t>
      </w:r>
      <w:r w:rsidR="00820863" w:rsidRPr="00820863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</w:t>
      </w:r>
      <w:r w:rsidR="00820863">
        <w:rPr>
          <w:rFonts w:ascii="Book Antiqua" w:eastAsia="Times New Roman" w:hAnsi="Book Antiqua" w:cs="Times New Roman"/>
          <w:sz w:val="24"/>
          <w:szCs w:val="24"/>
          <w:lang w:eastAsia="es-HN"/>
        </w:rPr>
        <w:t>por Violencia</w:t>
      </w:r>
      <w:r w:rsidR="00820863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. </w:t>
      </w:r>
    </w:p>
    <w:p w:rsidR="00E9279B" w:rsidRPr="001C6CFE" w:rsidRDefault="00487EEF" w:rsidP="001C6CFE">
      <w:pPr>
        <w:pStyle w:val="Prrafodelista"/>
        <w:numPr>
          <w:ilvl w:val="0"/>
          <w:numId w:val="20"/>
        </w:numPr>
        <w:shd w:val="clear" w:color="auto" w:fill="FFFFFF"/>
        <w:spacing w:line="360" w:lineRule="auto"/>
        <w:ind w:left="567" w:hanging="283"/>
        <w:jc w:val="both"/>
        <w:rPr>
          <w:rFonts w:ascii="Book Antiqua" w:eastAsia="Times New Roman" w:hAnsi="Book Antiqua" w:cs="Times New Roman"/>
          <w:sz w:val="24"/>
          <w:szCs w:val="24"/>
          <w:lang w:eastAsia="es-HN"/>
        </w:rPr>
      </w:pPr>
      <w:r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Además, l</w:t>
      </w:r>
      <w:r w:rsidR="00820863" w:rsidRPr="001C6CFE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a SEDH </w:t>
      </w:r>
      <w:r w:rsidR="007F3207" w:rsidRPr="001C6CFE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elaboró </w:t>
      </w:r>
      <w:r w:rsidR="00D51684" w:rsidRPr="001C6CFE">
        <w:rPr>
          <w:rFonts w:ascii="Book Antiqua" w:eastAsia="Times New Roman" w:hAnsi="Book Antiqua" w:cs="Times New Roman"/>
          <w:sz w:val="24"/>
          <w:szCs w:val="24"/>
          <w:lang w:eastAsia="es-HN"/>
        </w:rPr>
        <w:t>el II Estudio de Caracterización del Desplazamiento Interno por Violencia en Honduras 2004-201</w:t>
      </w:r>
      <w:r w:rsidR="009474A0" w:rsidRPr="001C6CFE">
        <w:rPr>
          <w:rFonts w:ascii="Book Antiqua" w:eastAsia="Times New Roman" w:hAnsi="Book Antiqua" w:cs="Times New Roman"/>
          <w:sz w:val="24"/>
          <w:szCs w:val="24"/>
          <w:lang w:eastAsia="es-HN"/>
        </w:rPr>
        <w:t>8</w:t>
      </w:r>
      <w:r w:rsidR="00D51684">
        <w:rPr>
          <w:rStyle w:val="Refdenotaalpie"/>
          <w:rFonts w:ascii="Book Antiqua" w:eastAsia="Times New Roman" w:hAnsi="Book Antiqua" w:cs="Times New Roman"/>
          <w:sz w:val="24"/>
          <w:szCs w:val="24"/>
          <w:lang w:eastAsia="es-HN"/>
        </w:rPr>
        <w:footnoteReference w:id="18"/>
      </w:r>
      <w:r w:rsidR="007F3207" w:rsidRPr="001C6CFE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, </w:t>
      </w:r>
      <w:r w:rsidR="00D51684" w:rsidRPr="001C6CFE">
        <w:rPr>
          <w:rFonts w:ascii="Book Antiqua" w:eastAsia="Times New Roman" w:hAnsi="Book Antiqua" w:cs="Times New Roman"/>
          <w:sz w:val="24"/>
          <w:szCs w:val="24"/>
          <w:lang w:eastAsia="es-HN"/>
        </w:rPr>
        <w:t>la Guía Práctica para la Aplicación de Criterios de Atención Diferenciada con Enfoque Psicosocial para las Personas Desplazadas Internamente por Violencia</w:t>
      </w:r>
      <w:r w:rsidR="007F3207" w:rsidRPr="001C6CFE">
        <w:rPr>
          <w:rFonts w:ascii="Book Antiqua" w:eastAsia="Times New Roman" w:hAnsi="Book Antiqua" w:cs="Times New Roman"/>
          <w:sz w:val="24"/>
          <w:szCs w:val="24"/>
          <w:lang w:eastAsia="es-HN"/>
        </w:rPr>
        <w:t>, y</w:t>
      </w:r>
      <w:r w:rsidR="007F07E5" w:rsidRPr="001C6CFE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</w:t>
      </w:r>
      <w:r w:rsidR="007F07E5" w:rsidRPr="001C6CFE">
        <w:rPr>
          <w:rFonts w:ascii="Book Antiqua" w:eastAsia="Times New Roman" w:hAnsi="Book Antiqua" w:cs="Times New Roman"/>
          <w:sz w:val="24"/>
          <w:szCs w:val="24"/>
          <w:lang w:val="es-ES_tradnl" w:eastAsia="es-HN"/>
        </w:rPr>
        <w:t xml:space="preserve">el </w:t>
      </w:r>
      <w:r w:rsidR="007F07E5" w:rsidRPr="001C6CFE">
        <w:rPr>
          <w:rFonts w:ascii="Book Antiqua" w:eastAsia="Times New Roman" w:hAnsi="Book Antiqua" w:cs="Times New Roman"/>
          <w:bCs/>
          <w:sz w:val="24"/>
          <w:szCs w:val="24"/>
          <w:lang w:val="es-ES_tradnl" w:eastAsia="es-HN"/>
        </w:rPr>
        <w:t>Sistema de Alertas Tempranas de Prevención de Conflictos Sociales</w:t>
      </w:r>
      <w:r w:rsidR="003069F5">
        <w:rPr>
          <w:rFonts w:ascii="Book Antiqua" w:eastAsia="Times New Roman" w:hAnsi="Book Antiqua" w:cs="Times New Roman"/>
          <w:bCs/>
          <w:sz w:val="24"/>
          <w:szCs w:val="24"/>
          <w:lang w:val="es-ES_tradnl" w:eastAsia="es-HN"/>
        </w:rPr>
        <w:t>.</w:t>
      </w:r>
    </w:p>
    <w:p w:rsidR="001410D3" w:rsidRPr="001410D3" w:rsidRDefault="00321C48" w:rsidP="001410D3">
      <w:pPr>
        <w:pStyle w:val="Prrafodelista"/>
        <w:numPr>
          <w:ilvl w:val="0"/>
          <w:numId w:val="12"/>
        </w:numPr>
        <w:shd w:val="clear" w:color="auto" w:fill="FFFFFF"/>
        <w:spacing w:line="360" w:lineRule="auto"/>
        <w:ind w:left="426" w:hanging="426"/>
        <w:jc w:val="both"/>
        <w:rPr>
          <w:rFonts w:ascii="Book Antiqua" w:eastAsia="Times New Roman" w:hAnsi="Book Antiqua" w:cs="Times New Roman"/>
          <w:sz w:val="24"/>
          <w:szCs w:val="24"/>
          <w:lang w:val="es-419" w:eastAsia="es-HN"/>
        </w:rPr>
      </w:pPr>
      <w:r w:rsidRPr="00E9279B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 xml:space="preserve">El papel de los grupos de mujeres defensoras de los derechos humanos, que trabajan en el ámbito humanitario, constructoras de la paz y las niñas, así como su participación en la prevención y resolución </w:t>
      </w:r>
      <w:r w:rsidR="00643D97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 xml:space="preserve">de </w:t>
      </w:r>
      <w:r w:rsidRPr="00E9279B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 xml:space="preserve">conflictos y la construcción de la paz, el fomento de la confianza y la recuperación económica. </w:t>
      </w:r>
    </w:p>
    <w:p w:rsidR="00AE7023" w:rsidRDefault="004B2CC7" w:rsidP="001410D3">
      <w:p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HN"/>
        </w:rPr>
      </w:pPr>
      <w:r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El </w:t>
      </w:r>
      <w:r w:rsidRPr="00AE7023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II Plan de Igualdad y Equidad de Género </w:t>
      </w:r>
      <w:r w:rsidR="00AE7023">
        <w:rPr>
          <w:rFonts w:ascii="Book Antiqua" w:eastAsia="Times New Roman" w:hAnsi="Book Antiqua" w:cs="Times New Roman"/>
          <w:sz w:val="24"/>
          <w:szCs w:val="24"/>
          <w:lang w:eastAsia="es-HN"/>
        </w:rPr>
        <w:t>incorpora en el</w:t>
      </w:r>
      <w:r w:rsidR="00AE7023" w:rsidRPr="00AE7023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Eje 1</w:t>
      </w:r>
      <w:r w:rsidR="00A739BB">
        <w:rPr>
          <w:rFonts w:ascii="Book Antiqua" w:eastAsia="Times New Roman" w:hAnsi="Book Antiqua" w:cs="Times New Roman"/>
          <w:sz w:val="24"/>
          <w:szCs w:val="24"/>
          <w:lang w:eastAsia="es-HN"/>
        </w:rPr>
        <w:t>:</w:t>
      </w:r>
      <w:r w:rsidR="00A739BB" w:rsidRPr="00A739BB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</w:t>
      </w:r>
      <w:r w:rsidR="00AE7023" w:rsidRPr="00A739BB">
        <w:rPr>
          <w:rFonts w:ascii="Book Antiqua" w:eastAsia="Times New Roman" w:hAnsi="Book Antiqua" w:cs="Times New Roman"/>
          <w:sz w:val="24"/>
          <w:szCs w:val="24"/>
          <w:lang w:eastAsia="es-HN"/>
        </w:rPr>
        <w:t>la</w:t>
      </w:r>
      <w:r w:rsidR="00AE7023" w:rsidRPr="00AE7023">
        <w:rPr>
          <w:rFonts w:ascii="Book Antiqua" w:eastAsia="Times New Roman" w:hAnsi="Book Antiqua" w:cs="Times New Roman"/>
          <w:i/>
          <w:iCs/>
          <w:sz w:val="24"/>
          <w:szCs w:val="24"/>
          <w:lang w:eastAsia="es-HN"/>
        </w:rPr>
        <w:t xml:space="preserve"> Promoción, protección y garantía a la participación social y política, y el ejercicio de la ciudadanía de </w:t>
      </w:r>
      <w:r w:rsidR="00AE7023" w:rsidRPr="00AE7023">
        <w:rPr>
          <w:rFonts w:ascii="Book Antiqua" w:eastAsia="Times New Roman" w:hAnsi="Book Antiqua" w:cs="Times New Roman"/>
          <w:i/>
          <w:iCs/>
          <w:sz w:val="24"/>
          <w:szCs w:val="24"/>
          <w:lang w:eastAsia="es-HN"/>
        </w:rPr>
        <w:lastRenderedPageBreak/>
        <w:t>las mujeres</w:t>
      </w:r>
      <w:r w:rsidR="00AE7023" w:rsidRPr="00AE7023">
        <w:rPr>
          <w:rFonts w:ascii="Book Antiqua" w:eastAsia="Times New Roman" w:hAnsi="Book Antiqua" w:cs="Times New Roman"/>
          <w:b/>
          <w:bCs/>
          <w:sz w:val="24"/>
          <w:szCs w:val="24"/>
          <w:lang w:eastAsia="es-HN"/>
        </w:rPr>
        <w:t>.</w:t>
      </w:r>
      <w:r w:rsidR="00AE7023" w:rsidRPr="00AE7023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</w:t>
      </w:r>
      <w:r w:rsidR="00A739BB">
        <w:rPr>
          <w:rFonts w:ascii="Book Antiqua" w:eastAsia="Times New Roman" w:hAnsi="Book Antiqua" w:cs="Times New Roman"/>
          <w:sz w:val="24"/>
          <w:szCs w:val="24"/>
          <w:lang w:eastAsia="es-HN"/>
        </w:rPr>
        <w:t>Y e</w:t>
      </w:r>
      <w:r w:rsidR="00AE7023" w:rsidRPr="00741D34">
        <w:rPr>
          <w:rFonts w:ascii="Book Antiqua" w:eastAsia="Times New Roman" w:hAnsi="Book Antiqua" w:cs="Times New Roman"/>
          <w:sz w:val="24"/>
          <w:szCs w:val="24"/>
          <w:lang w:eastAsia="es-HN"/>
        </w:rPr>
        <w:t>n su Eje</w:t>
      </w:r>
      <w:r w:rsidR="00AE7023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2:</w:t>
      </w:r>
      <w:r w:rsidR="00AE7023" w:rsidRPr="00741D34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la </w:t>
      </w:r>
      <w:r w:rsidR="00AE7023" w:rsidRPr="00741D34">
        <w:rPr>
          <w:rFonts w:ascii="Book Antiqua" w:eastAsia="Times New Roman" w:hAnsi="Book Antiqua" w:cs="Times New Roman"/>
          <w:i/>
          <w:iCs/>
          <w:sz w:val="24"/>
          <w:szCs w:val="24"/>
          <w:lang w:eastAsia="es-HN"/>
        </w:rPr>
        <w:t>Promoción, protección y garantía del derecho de las mujeres, niñas y adolescentes a la paz y a una vida libre de violencia</w:t>
      </w:r>
      <w:r w:rsidR="00AE7023">
        <w:rPr>
          <w:rFonts w:ascii="Book Antiqua" w:eastAsia="Times New Roman" w:hAnsi="Book Antiqua" w:cs="Times New Roman"/>
          <w:sz w:val="24"/>
          <w:szCs w:val="24"/>
          <w:lang w:eastAsia="es-HN"/>
        </w:rPr>
        <w:t>.</w:t>
      </w:r>
    </w:p>
    <w:p w:rsidR="00C42777" w:rsidRDefault="003069F5" w:rsidP="00A739BB">
      <w:p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HN"/>
        </w:rPr>
      </w:pPr>
      <w:r>
        <w:rPr>
          <w:rFonts w:ascii="Book Antiqua" w:eastAsia="Times New Roman" w:hAnsi="Book Antiqua" w:cs="Times New Roman"/>
          <w:sz w:val="24"/>
          <w:szCs w:val="24"/>
          <w:lang w:eastAsia="es-HN"/>
        </w:rPr>
        <w:t>L</w:t>
      </w:r>
      <w:r w:rsidR="00A739BB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a Ley </w:t>
      </w:r>
      <w:r w:rsidR="001C6CFE">
        <w:rPr>
          <w:rFonts w:ascii="Book Antiqua" w:eastAsia="Times New Roman" w:hAnsi="Book Antiqua" w:cs="Times New Roman"/>
          <w:sz w:val="24"/>
          <w:szCs w:val="24"/>
          <w:lang w:eastAsia="es-HN"/>
        </w:rPr>
        <w:t>garantiza</w:t>
      </w:r>
      <w:r w:rsidR="00A739BB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el derecho </w:t>
      </w:r>
      <w:r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a las defensoras </w:t>
      </w:r>
      <w:r w:rsidR="001C6CFE">
        <w:rPr>
          <w:rFonts w:ascii="Book Antiqua" w:eastAsia="Times New Roman" w:hAnsi="Book Antiqua" w:cs="Times New Roman"/>
          <w:sz w:val="24"/>
          <w:szCs w:val="24"/>
          <w:lang w:eastAsia="es-HN"/>
        </w:rPr>
        <w:t>a p</w:t>
      </w:r>
      <w:r w:rsidR="001C6CFE" w:rsidRPr="00A739BB">
        <w:rPr>
          <w:rFonts w:ascii="Book Antiqua" w:eastAsia="Times New Roman" w:hAnsi="Book Antiqua" w:cs="Times New Roman"/>
          <w:sz w:val="24"/>
          <w:szCs w:val="24"/>
          <w:lang w:eastAsia="es-HN"/>
        </w:rPr>
        <w:t>articipar individual o colectivamente</w:t>
      </w:r>
      <w:r w:rsidR="001C6CFE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, en la </w:t>
      </w:r>
      <w:r w:rsidR="001C6CFE" w:rsidRPr="001C6CFE">
        <w:rPr>
          <w:rFonts w:ascii="Book Antiqua" w:eastAsia="Times New Roman" w:hAnsi="Book Antiqua" w:cs="Times New Roman"/>
          <w:sz w:val="24"/>
          <w:szCs w:val="24"/>
          <w:lang w:eastAsia="es-HN"/>
        </w:rPr>
        <w:t>promo</w:t>
      </w:r>
      <w:r w:rsidR="001C6CFE">
        <w:rPr>
          <w:rFonts w:ascii="Book Antiqua" w:eastAsia="Times New Roman" w:hAnsi="Book Antiqua" w:cs="Times New Roman"/>
          <w:sz w:val="24"/>
          <w:szCs w:val="24"/>
          <w:lang w:eastAsia="es-HN"/>
        </w:rPr>
        <w:t>ción</w:t>
      </w:r>
      <w:r w:rsidR="001C6CFE" w:rsidRPr="001C6CFE">
        <w:rPr>
          <w:rFonts w:ascii="Book Antiqua" w:eastAsia="Times New Roman" w:hAnsi="Book Antiqua" w:cs="Times New Roman"/>
          <w:sz w:val="24"/>
          <w:szCs w:val="24"/>
          <w:lang w:eastAsia="es-HN"/>
        </w:rPr>
        <w:t>, prot</w:t>
      </w:r>
      <w:r w:rsidR="001C6CFE">
        <w:rPr>
          <w:rFonts w:ascii="Book Antiqua" w:eastAsia="Times New Roman" w:hAnsi="Book Antiqua" w:cs="Times New Roman"/>
          <w:sz w:val="24"/>
          <w:szCs w:val="24"/>
          <w:lang w:eastAsia="es-HN"/>
        </w:rPr>
        <w:t>ección</w:t>
      </w:r>
      <w:r w:rsidR="001C6CFE" w:rsidRPr="001C6CFE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y realiza</w:t>
      </w:r>
      <w:r w:rsidR="001C6CFE">
        <w:rPr>
          <w:rFonts w:ascii="Book Antiqua" w:eastAsia="Times New Roman" w:hAnsi="Book Antiqua" w:cs="Times New Roman"/>
          <w:sz w:val="24"/>
          <w:szCs w:val="24"/>
          <w:lang w:eastAsia="es-HN"/>
        </w:rPr>
        <w:t>ción de</w:t>
      </w:r>
      <w:r w:rsidR="001C6CFE" w:rsidRPr="001C6CFE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los derechos humanos y las libertades fundamentale</w:t>
      </w:r>
      <w:r w:rsidR="001C6CFE">
        <w:rPr>
          <w:rFonts w:ascii="Book Antiqua" w:eastAsia="Times New Roman" w:hAnsi="Book Antiqua" w:cs="Times New Roman"/>
          <w:sz w:val="24"/>
          <w:szCs w:val="24"/>
          <w:lang w:eastAsia="es-HN"/>
        </w:rPr>
        <w:t>s</w:t>
      </w:r>
      <w:r w:rsidR="00A739BB">
        <w:rPr>
          <w:rStyle w:val="Refdenotaalpie"/>
          <w:rFonts w:ascii="Book Antiqua" w:eastAsia="Times New Roman" w:hAnsi="Book Antiqua" w:cs="Times New Roman"/>
          <w:sz w:val="24"/>
          <w:szCs w:val="24"/>
          <w:lang w:eastAsia="es-HN"/>
        </w:rPr>
        <w:footnoteReference w:id="19"/>
      </w:r>
      <w:r>
        <w:rPr>
          <w:rFonts w:ascii="Book Antiqua" w:eastAsia="Times New Roman" w:hAnsi="Book Antiqua" w:cs="Times New Roman"/>
          <w:sz w:val="24"/>
          <w:szCs w:val="24"/>
          <w:lang w:eastAsia="es-HN"/>
        </w:rPr>
        <w:t>. L</w:t>
      </w:r>
      <w:r w:rsidR="003A1D9A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a </w:t>
      </w:r>
      <w:r w:rsidR="003A1D9A" w:rsidRPr="00E9279B">
        <w:rPr>
          <w:rFonts w:ascii="Book Antiqua" w:eastAsia="Times New Roman" w:hAnsi="Book Antiqua" w:cs="Times New Roman"/>
          <w:sz w:val="24"/>
          <w:szCs w:val="24"/>
          <w:lang w:eastAsia="es-HN"/>
        </w:rPr>
        <w:t>DGSP</w:t>
      </w:r>
      <w:r w:rsidR="003A1D9A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, </w:t>
      </w:r>
      <w:r w:rsidR="00C42777">
        <w:rPr>
          <w:rFonts w:ascii="Book Antiqua" w:eastAsia="Times New Roman" w:hAnsi="Book Antiqua" w:cs="Times New Roman"/>
          <w:sz w:val="24"/>
          <w:szCs w:val="24"/>
          <w:lang w:eastAsia="es-HN"/>
        </w:rPr>
        <w:t>aplica</w:t>
      </w:r>
      <w:r w:rsidR="003A1D9A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</w:t>
      </w:r>
      <w:r w:rsidR="00C42777">
        <w:rPr>
          <w:rFonts w:ascii="Book Antiqua" w:eastAsia="Times New Roman" w:hAnsi="Book Antiqua" w:cs="Times New Roman"/>
          <w:sz w:val="24"/>
          <w:szCs w:val="24"/>
          <w:lang w:eastAsia="es-HN"/>
        </w:rPr>
        <w:t>el</w:t>
      </w:r>
      <w:r w:rsidR="00C42777" w:rsidRPr="00E9279B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Formato de Estudio de Evaluación para la Acción Inmediata; Instrumentos Técnicos de Valoración del Riesgo, para casos colectivos e individuales </w:t>
      </w:r>
      <w:r w:rsidR="00C42777">
        <w:rPr>
          <w:rFonts w:ascii="Book Antiqua" w:eastAsia="Times New Roman" w:hAnsi="Book Antiqua" w:cs="Times New Roman"/>
          <w:sz w:val="24"/>
          <w:szCs w:val="24"/>
          <w:lang w:eastAsia="es-HN"/>
        </w:rPr>
        <w:t>que</w:t>
      </w:r>
      <w:r w:rsidR="00C42777" w:rsidRPr="00E9279B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aplica</w:t>
      </w:r>
      <w:r w:rsidR="00C42777">
        <w:rPr>
          <w:rFonts w:ascii="Book Antiqua" w:eastAsia="Times New Roman" w:hAnsi="Book Antiqua" w:cs="Times New Roman"/>
          <w:sz w:val="24"/>
          <w:szCs w:val="24"/>
          <w:lang w:eastAsia="es-HN"/>
        </w:rPr>
        <w:t>n</w:t>
      </w:r>
      <w:r w:rsidR="00C42777" w:rsidRPr="00E9279B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el análisis </w:t>
      </w:r>
      <w:proofErr w:type="spellStart"/>
      <w:r w:rsidR="00C42777" w:rsidRPr="00E9279B">
        <w:rPr>
          <w:rFonts w:ascii="Book Antiqua" w:eastAsia="Times New Roman" w:hAnsi="Book Antiqua" w:cs="Times New Roman"/>
          <w:sz w:val="24"/>
          <w:szCs w:val="24"/>
          <w:lang w:eastAsia="es-HN"/>
        </w:rPr>
        <w:t>interseccional</w:t>
      </w:r>
      <w:proofErr w:type="spellEnd"/>
      <w:r w:rsidR="00C42777" w:rsidRPr="00E9279B">
        <w:rPr>
          <w:rFonts w:ascii="Book Antiqua" w:eastAsia="Times New Roman" w:hAnsi="Book Antiqua" w:cs="Times New Roman"/>
          <w:sz w:val="24"/>
          <w:szCs w:val="24"/>
          <w:lang w:eastAsia="es-HN"/>
        </w:rPr>
        <w:t>, y en los casos de análisis individual, se aplican los enfoques diferenciados de género y personas LGBTI</w:t>
      </w:r>
      <w:r w:rsidR="00C42777">
        <w:rPr>
          <w:rFonts w:ascii="Book Antiqua" w:eastAsia="Times New Roman" w:hAnsi="Book Antiqua" w:cs="Times New Roman"/>
          <w:sz w:val="24"/>
          <w:szCs w:val="24"/>
          <w:lang w:eastAsia="es-HN"/>
        </w:rPr>
        <w:t>,</w:t>
      </w:r>
      <w:r w:rsidR="00C42777" w:rsidRPr="00C42777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</w:t>
      </w:r>
      <w:r w:rsidR="00C42777">
        <w:rPr>
          <w:rFonts w:ascii="Book Antiqua" w:eastAsia="Times New Roman" w:hAnsi="Book Antiqua" w:cs="Times New Roman"/>
          <w:sz w:val="24"/>
          <w:szCs w:val="24"/>
          <w:lang w:eastAsia="es-HN"/>
        </w:rPr>
        <w:t>para</w:t>
      </w:r>
      <w:r w:rsidR="00C42777" w:rsidRPr="003A1D9A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</w:t>
      </w:r>
      <w:r w:rsidR="00C42777">
        <w:rPr>
          <w:rFonts w:ascii="Book Antiqua" w:eastAsia="Times New Roman" w:hAnsi="Book Antiqua" w:cs="Times New Roman"/>
          <w:sz w:val="24"/>
          <w:szCs w:val="24"/>
          <w:lang w:eastAsia="es-HN"/>
        </w:rPr>
        <w:t>otorgar medidas de protección a defensoras ante amenazas.</w:t>
      </w:r>
    </w:p>
    <w:p w:rsidR="00321C48" w:rsidRPr="00741D34" w:rsidRDefault="00DB5CC3" w:rsidP="006A5284">
      <w:pPr>
        <w:pStyle w:val="Prrafodelista"/>
        <w:numPr>
          <w:ilvl w:val="0"/>
          <w:numId w:val="12"/>
        </w:numPr>
        <w:shd w:val="clear" w:color="auto" w:fill="FFFFFF"/>
        <w:spacing w:line="360" w:lineRule="auto"/>
        <w:ind w:left="426" w:hanging="426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</w:pPr>
      <w:r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>M</w:t>
      </w:r>
      <w:r w:rsidR="00321C48" w:rsidRPr="00741D34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 xml:space="preserve">edidas de prevención puestas en práctica, guiadas por las lecciones aprendidas para alertar sobre situaciones de crisis que podrían impactar negativamente en los derechos de las mujeres y </w:t>
      </w:r>
      <w:r w:rsidR="0095413C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>n</w:t>
      </w:r>
      <w:r w:rsidR="00321C48" w:rsidRPr="00741D34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>iñas.</w:t>
      </w:r>
    </w:p>
    <w:p w:rsidR="00DB5CC3" w:rsidRDefault="00CB31B7" w:rsidP="00AF4F7C">
      <w:p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s-HN" w:eastAsia="es-HN"/>
        </w:rPr>
      </w:pPr>
      <w:r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D</w:t>
      </w:r>
      <w:r w:rsidR="00DB5CC3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ebido a la pandemia de COVID-19</w:t>
      </w:r>
      <w:r w:rsidR="000A10AA" w:rsidRPr="00575903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, se increment</w:t>
      </w:r>
      <w:r w:rsidR="0095413C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ó en un</w:t>
      </w:r>
      <w:r w:rsidR="00AF4F7C" w:rsidRP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20%</w:t>
      </w:r>
      <w:r w:rsidR="000A10AA" w:rsidRPr="00575903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 las denuncias de los casos de VCM </w:t>
      </w:r>
      <w:r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en el</w:t>
      </w:r>
      <w:r w:rsidR="000A10AA" w:rsidRPr="00575903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 hogar</w:t>
      </w:r>
      <w:r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 </w:t>
      </w:r>
      <w:r w:rsidR="00575903" w:rsidRPr="00575903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durante</w:t>
      </w:r>
      <w:r w:rsidR="000A10AA" w:rsidRPr="00575903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 el periodo de confinamiento ordenado como medida para reducción del contagio</w:t>
      </w:r>
      <w:r w:rsidR="00575903" w:rsidRPr="00575903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;</w:t>
      </w:r>
      <w:r w:rsidR="000A10AA" w:rsidRPr="00575903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 </w:t>
      </w:r>
      <w:r w:rsidR="00E9279B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en </w:t>
      </w:r>
      <w:r w:rsidR="00DB5CC3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tal</w:t>
      </w:r>
      <w:r w:rsidR="00E9279B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 sentido, </w:t>
      </w:r>
      <w:r w:rsid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el Congreso Nacional, a través de la</w:t>
      </w:r>
      <w:r w:rsidR="00AF4F7C" w:rsidRP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Comisión de Equidad de Género, </w:t>
      </w:r>
      <w:r w:rsidR="00DB5CC3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en coordinación</w:t>
      </w:r>
      <w:r w:rsidR="00AF4F7C" w:rsidRP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con</w:t>
      </w:r>
      <w:r w:rsid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instituciones</w:t>
      </w:r>
      <w:r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estatales</w:t>
      </w:r>
      <w:r w:rsid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y </w:t>
      </w:r>
      <w:r w:rsidR="00DB5CC3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o</w:t>
      </w:r>
      <w:r w:rsidR="00AF4F7C" w:rsidRP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rganizaciones de </w:t>
      </w:r>
      <w:r w:rsidR="00DB5CC3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m</w:t>
      </w:r>
      <w:r w:rsidR="00AF4F7C" w:rsidRP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ujeres</w:t>
      </w:r>
      <w:r w:rsid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, </w:t>
      </w:r>
      <w:r w:rsidR="00DB5CC3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aprobó</w:t>
      </w:r>
      <w:r w:rsidR="00AF4F7C" w:rsidRP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</w:t>
      </w:r>
      <w:r w:rsidR="00DB5CC3" w:rsidRPr="00575903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las </w:t>
      </w:r>
      <w:r w:rsidR="00DB5CC3" w:rsidRPr="00575903">
        <w:rPr>
          <w:rFonts w:ascii="Book Antiqua" w:eastAsia="Times New Roman" w:hAnsi="Book Antiqua" w:cs="Times New Roman"/>
          <w:i/>
          <w:iCs/>
          <w:sz w:val="24"/>
          <w:szCs w:val="24"/>
          <w:lang w:eastAsia="es-HN"/>
        </w:rPr>
        <w:t>Medidas Especiales de Difusión, Prevención, y Atención de la Violencia Contra la Mujer y Acciones para Garantizar la Igualdad de Género, durante la Vigencia de la Emergencia Nacional Declarada a raíz de la Pandemia COVID-19</w:t>
      </w:r>
      <w:r w:rsidR="00DB5CC3" w:rsidRPr="000A10AA">
        <w:rPr>
          <w:rFonts w:eastAsia="Times New Roman"/>
          <w:vertAlign w:val="superscript"/>
          <w:lang w:eastAsia="es-HN"/>
        </w:rPr>
        <w:footnoteReference w:id="20"/>
      </w:r>
      <w:r w:rsidR="00AF4F7C" w:rsidRP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.</w:t>
      </w:r>
      <w:r w:rsid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</w:t>
      </w:r>
    </w:p>
    <w:p w:rsidR="005D3895" w:rsidRPr="00CB31B7" w:rsidRDefault="00CB31B7" w:rsidP="005D3895">
      <w:p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s-HN" w:eastAsia="es-HN"/>
        </w:rPr>
      </w:pPr>
      <w:r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Las</w:t>
      </w:r>
      <w:r w:rsidR="0055162B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campañas</w:t>
      </w:r>
      <w:r w:rsid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: </w:t>
      </w:r>
      <w:r w:rsidR="00AF4F7C" w:rsidRPr="00AF4F7C">
        <w:rPr>
          <w:rFonts w:ascii="Book Antiqua" w:eastAsia="Times New Roman" w:hAnsi="Book Antiqua" w:cs="Times New Roman"/>
          <w:sz w:val="24"/>
          <w:szCs w:val="24"/>
          <w:lang w:eastAsia="es-HN"/>
        </w:rPr>
        <w:t>“</w:t>
      </w:r>
      <w:r w:rsidR="00AF4F7C" w:rsidRP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Convivencia Sin Violencia”</w:t>
      </w:r>
      <w:r w:rsid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; “</w:t>
      </w:r>
      <w:r w:rsidR="00AF4F7C" w:rsidRP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Mujer, estar en Casa sin Violencia y sin Miedo es tu Derecho</w:t>
      </w:r>
      <w:r w:rsid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”; </w:t>
      </w:r>
      <w:r w:rsidR="008B7D93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y “</w:t>
      </w:r>
      <w:r w:rsidR="00AF4F7C" w:rsidRP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+Unión-Discriminación y Estigmatización</w:t>
      </w:r>
      <w:r w:rsidR="008B7D93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”</w:t>
      </w:r>
      <w:r w:rsidR="00AF4F7C" w:rsidRP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, </w:t>
      </w:r>
      <w:r w:rsidR="0030206E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se</w:t>
      </w:r>
      <w:r w:rsidR="00AF4F7C" w:rsidRP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prom</w:t>
      </w:r>
      <w:r w:rsidR="00667C71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ueve</w:t>
      </w:r>
      <w:r w:rsidR="00AF4F7C" w:rsidRP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una convivencia</w:t>
      </w:r>
      <w:r w:rsidR="008B7D93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</w:t>
      </w:r>
      <w:r w:rsidR="00AF4F7C" w:rsidRP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sana en el confinamiento y </w:t>
      </w:r>
      <w:r w:rsidR="00667C71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establecen </w:t>
      </w:r>
      <w:r w:rsidR="00AF4F7C" w:rsidRP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redes institucionales </w:t>
      </w:r>
      <w:r w:rsidR="00667C71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de</w:t>
      </w:r>
      <w:r w:rsidR="00AF4F7C" w:rsidRP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apoy</w:t>
      </w:r>
      <w:r w:rsidR="00667C71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o</w:t>
      </w:r>
      <w:r w:rsidR="00AF4F7C" w:rsidRP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</w:t>
      </w:r>
      <w:r w:rsidR="00667C71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a</w:t>
      </w:r>
      <w:r w:rsidR="00AF4F7C" w:rsidRP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mujeres contra la violencia</w:t>
      </w:r>
      <w:r w:rsidR="008B7D93">
        <w:rPr>
          <w:rStyle w:val="Refdenotaalpie"/>
          <w:rFonts w:ascii="Book Antiqua" w:eastAsia="Times New Roman" w:hAnsi="Book Antiqua" w:cs="Times New Roman"/>
          <w:sz w:val="24"/>
          <w:szCs w:val="24"/>
          <w:lang w:val="es-HN" w:eastAsia="es-HN"/>
        </w:rPr>
        <w:footnoteReference w:id="21"/>
      </w:r>
      <w:r w:rsidR="00AF4F7C" w:rsidRPr="00AF4F7C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.</w:t>
      </w:r>
      <w:r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</w:t>
      </w:r>
      <w:r>
        <w:rPr>
          <w:rFonts w:ascii="Book Antiqua" w:hAnsi="Book Antiqua"/>
          <w:sz w:val="24"/>
          <w:szCs w:val="24"/>
        </w:rPr>
        <w:t>E</w:t>
      </w:r>
      <w:r w:rsidR="00575903">
        <w:rPr>
          <w:rFonts w:ascii="Book Antiqua" w:hAnsi="Book Antiqua"/>
          <w:sz w:val="24"/>
          <w:szCs w:val="24"/>
        </w:rPr>
        <w:t xml:space="preserve">l </w:t>
      </w:r>
      <w:r w:rsidR="00575903" w:rsidRPr="004B60C9">
        <w:rPr>
          <w:rFonts w:ascii="Book Antiqua" w:hAnsi="Book Antiqua"/>
          <w:sz w:val="24"/>
          <w:szCs w:val="24"/>
        </w:rPr>
        <w:t>INAM</w:t>
      </w:r>
      <w:r w:rsidR="00575903">
        <w:rPr>
          <w:rFonts w:ascii="Book Antiqua" w:hAnsi="Book Antiqua"/>
          <w:sz w:val="24"/>
          <w:szCs w:val="24"/>
        </w:rPr>
        <w:t xml:space="preserve"> y</w:t>
      </w:r>
      <w:r w:rsidR="00575903" w:rsidRPr="004B60C9">
        <w:rPr>
          <w:rFonts w:ascii="Book Antiqua" w:hAnsi="Book Antiqua"/>
          <w:sz w:val="24"/>
          <w:szCs w:val="24"/>
        </w:rPr>
        <w:t xml:space="preserve"> Ciudad Mujer </w:t>
      </w:r>
      <w:r w:rsidR="00575903" w:rsidRPr="004B60C9">
        <w:rPr>
          <w:rFonts w:ascii="Book Antiqua" w:hAnsi="Book Antiqua"/>
          <w:sz w:val="24"/>
          <w:szCs w:val="24"/>
        </w:rPr>
        <w:lastRenderedPageBreak/>
        <w:t xml:space="preserve">implementaron la “Plataforma Conecta” </w:t>
      </w:r>
      <w:r w:rsidR="00575903">
        <w:rPr>
          <w:rFonts w:ascii="Book Antiqua" w:hAnsi="Book Antiqua"/>
          <w:sz w:val="24"/>
          <w:szCs w:val="24"/>
        </w:rPr>
        <w:t>para</w:t>
      </w:r>
      <w:r w:rsidR="00575903" w:rsidRPr="004B60C9">
        <w:rPr>
          <w:rFonts w:ascii="Book Antiqua" w:hAnsi="Book Antiqua"/>
          <w:sz w:val="24"/>
          <w:szCs w:val="24"/>
        </w:rPr>
        <w:t xml:space="preserve"> brinda</w:t>
      </w:r>
      <w:r w:rsidR="00575903">
        <w:rPr>
          <w:rFonts w:ascii="Book Antiqua" w:hAnsi="Book Antiqua"/>
          <w:sz w:val="24"/>
          <w:szCs w:val="24"/>
        </w:rPr>
        <w:t>r</w:t>
      </w:r>
      <w:r w:rsidR="00575903" w:rsidRPr="004B60C9">
        <w:rPr>
          <w:rFonts w:ascii="Book Antiqua" w:hAnsi="Book Antiqua"/>
          <w:sz w:val="24"/>
          <w:szCs w:val="24"/>
        </w:rPr>
        <w:t xml:space="preserve"> </w:t>
      </w:r>
      <w:r w:rsidR="001E59F4">
        <w:rPr>
          <w:rFonts w:ascii="Book Antiqua" w:hAnsi="Book Antiqua"/>
          <w:sz w:val="24"/>
          <w:szCs w:val="24"/>
        </w:rPr>
        <w:t xml:space="preserve">en línea, </w:t>
      </w:r>
      <w:r w:rsidR="00575903" w:rsidRPr="004B60C9">
        <w:rPr>
          <w:rFonts w:ascii="Book Antiqua" w:hAnsi="Book Antiqua"/>
          <w:sz w:val="24"/>
          <w:szCs w:val="24"/>
        </w:rPr>
        <w:t>apoyo y asistencia</w:t>
      </w:r>
      <w:r w:rsidR="001E59F4">
        <w:rPr>
          <w:rFonts w:ascii="Book Antiqua" w:hAnsi="Book Antiqua"/>
          <w:sz w:val="24"/>
          <w:szCs w:val="24"/>
        </w:rPr>
        <w:t xml:space="preserve"> </w:t>
      </w:r>
      <w:r w:rsidR="00575903" w:rsidRPr="004B60C9">
        <w:rPr>
          <w:rFonts w:ascii="Book Antiqua" w:hAnsi="Book Antiqua"/>
          <w:sz w:val="24"/>
          <w:szCs w:val="24"/>
        </w:rPr>
        <w:t>psicosocial y legal a mujeres víctimas de violencia</w:t>
      </w:r>
      <w:r w:rsidR="00575903" w:rsidRPr="004B60C9">
        <w:rPr>
          <w:rStyle w:val="Refdenotaalpie"/>
          <w:rFonts w:ascii="Book Antiqua" w:hAnsi="Book Antiqua"/>
          <w:sz w:val="24"/>
          <w:szCs w:val="24"/>
        </w:rPr>
        <w:footnoteReference w:id="22"/>
      </w:r>
      <w:r w:rsidR="00575903" w:rsidRPr="004B60C9">
        <w:rPr>
          <w:rFonts w:ascii="Book Antiqua" w:hAnsi="Book Antiqua"/>
          <w:sz w:val="24"/>
          <w:szCs w:val="24"/>
        </w:rPr>
        <w:t>.</w:t>
      </w:r>
    </w:p>
    <w:p w:rsidR="00E9279B" w:rsidRDefault="001E59F4" w:rsidP="006A5284">
      <w:pPr>
        <w:pStyle w:val="Prrafodelista"/>
        <w:numPr>
          <w:ilvl w:val="0"/>
          <w:numId w:val="12"/>
        </w:numPr>
        <w:shd w:val="clear" w:color="auto" w:fill="FFFFFF"/>
        <w:spacing w:line="360" w:lineRule="auto"/>
        <w:ind w:left="426" w:hanging="426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</w:pPr>
      <w:r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>M</w:t>
      </w:r>
      <w:r w:rsidR="00321C48" w:rsidRPr="00741D34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>edidas de rendición de cuentas para proteger y proporcionar justicia y reparación a las mujeres y niñas víctimas y sobrevivientes de violaciones de los derechos humanos, la violencia de género, con especial atención a los abusos sexuales, durante y después de los conflictos.</w:t>
      </w:r>
    </w:p>
    <w:p w:rsidR="00CB31B7" w:rsidRDefault="00CB31B7" w:rsidP="00CB31B7">
      <w:p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s-419" w:eastAsia="es-HN"/>
        </w:rPr>
      </w:pPr>
      <w:r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Entre las medidas s</w:t>
      </w:r>
      <w:r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e</w:t>
      </w:r>
      <w:r w:rsidR="00F84424"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 </w:t>
      </w:r>
      <w:r w:rsidR="00155B2F"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cuenta con</w:t>
      </w:r>
      <w:r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:</w:t>
      </w:r>
    </w:p>
    <w:p w:rsidR="00CB31B7" w:rsidRPr="00CB31B7" w:rsidRDefault="00F84424" w:rsidP="00CB31B7">
      <w:pPr>
        <w:pStyle w:val="Prrafodelista"/>
        <w:numPr>
          <w:ilvl w:val="0"/>
          <w:numId w:val="24"/>
        </w:num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HN"/>
        </w:rPr>
      </w:pPr>
      <w:r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Fiscalía Especial de la Mujer</w:t>
      </w:r>
      <w:r w:rsid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;</w:t>
      </w:r>
      <w:r w:rsidR="00155B2F"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 </w:t>
      </w:r>
    </w:p>
    <w:p w:rsidR="00CB31B7" w:rsidRPr="00CB31B7" w:rsidRDefault="00CB31B7" w:rsidP="00CB31B7">
      <w:pPr>
        <w:pStyle w:val="Prrafodelista"/>
        <w:numPr>
          <w:ilvl w:val="0"/>
          <w:numId w:val="24"/>
        </w:num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HN"/>
        </w:rPr>
      </w:pPr>
      <w:r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L</w:t>
      </w:r>
      <w:r w:rsidR="006B7133" w:rsidRPr="00CB31B7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a Unidad de Investigación de Muertes Violentas de Mujeres y </w:t>
      </w:r>
      <w:proofErr w:type="spellStart"/>
      <w:r w:rsidR="006B7133" w:rsidRPr="00CB31B7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Femicidios</w:t>
      </w:r>
      <w:proofErr w:type="spellEnd"/>
      <w:r w:rsidR="006B7133" w:rsidRPr="00CB31B7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, adscrita a la Agencia Técnica de Investigación Criminal; </w:t>
      </w:r>
    </w:p>
    <w:p w:rsidR="00CB31B7" w:rsidRDefault="00CB31B7" w:rsidP="004B2BD8">
      <w:pPr>
        <w:pStyle w:val="Prrafodelista"/>
        <w:numPr>
          <w:ilvl w:val="0"/>
          <w:numId w:val="24"/>
        </w:num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HN"/>
        </w:rPr>
      </w:pPr>
      <w:r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L</w:t>
      </w:r>
      <w:r w:rsidR="006B7133" w:rsidRPr="00CB31B7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a Comisión Interinstitucional de Seguimiento a las Investigaciones de las Muertes Violentas de Mujeres y </w:t>
      </w:r>
      <w:proofErr w:type="spellStart"/>
      <w:r w:rsidR="006B7133" w:rsidRPr="00CB31B7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Femicidios</w:t>
      </w:r>
      <w:proofErr w:type="spellEnd"/>
      <w:r w:rsidR="001E59F4" w:rsidRPr="00CB31B7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;</w:t>
      </w:r>
      <w:r w:rsidR="006B7133" w:rsidRPr="00CB31B7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</w:t>
      </w:r>
      <w:r w:rsidR="001E59F4" w:rsidRPr="00CB31B7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la </w:t>
      </w:r>
      <w:r w:rsidR="00F84424" w:rsidRPr="00CB31B7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misma cuenta con </w:t>
      </w:r>
      <w:r w:rsidR="006B7133" w:rsidRPr="00CB31B7">
        <w:rPr>
          <w:rFonts w:ascii="Book Antiqua" w:eastAsia="Times New Roman" w:hAnsi="Book Antiqua" w:cs="Times New Roman"/>
          <w:sz w:val="24"/>
          <w:szCs w:val="24"/>
          <w:lang w:eastAsia="es-HN"/>
        </w:rPr>
        <w:t>su Reglamento</w:t>
      </w:r>
      <w:r w:rsidR="006B7133">
        <w:rPr>
          <w:rStyle w:val="Refdenotaalpie"/>
          <w:rFonts w:ascii="Book Antiqua" w:eastAsia="Times New Roman" w:hAnsi="Book Antiqua" w:cs="Times New Roman"/>
          <w:sz w:val="24"/>
          <w:szCs w:val="24"/>
          <w:lang w:eastAsia="es-HN"/>
        </w:rPr>
        <w:footnoteReference w:id="23"/>
      </w:r>
      <w:r w:rsidR="00F84424" w:rsidRPr="00CB31B7">
        <w:rPr>
          <w:rFonts w:ascii="Book Antiqua" w:eastAsia="Times New Roman" w:hAnsi="Book Antiqua" w:cs="Times New Roman"/>
          <w:sz w:val="24"/>
          <w:szCs w:val="24"/>
          <w:lang w:eastAsia="es-HN"/>
        </w:rPr>
        <w:t>.</w:t>
      </w:r>
    </w:p>
    <w:p w:rsidR="00CB31B7" w:rsidRPr="00CB31B7" w:rsidRDefault="00CB31B7" w:rsidP="001E59F4">
      <w:pPr>
        <w:pStyle w:val="Prrafodelista"/>
        <w:numPr>
          <w:ilvl w:val="0"/>
          <w:numId w:val="24"/>
        </w:num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HN"/>
        </w:rPr>
      </w:pPr>
      <w:r>
        <w:rPr>
          <w:rFonts w:ascii="Book Antiqua" w:eastAsia="Times New Roman" w:hAnsi="Book Antiqua" w:cs="Times New Roman"/>
          <w:sz w:val="24"/>
          <w:szCs w:val="24"/>
          <w:lang w:eastAsia="es-HN"/>
        </w:rPr>
        <w:t>Los</w:t>
      </w:r>
      <w:r w:rsidR="00F84424"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 Módulo</w:t>
      </w:r>
      <w:r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s</w:t>
      </w:r>
      <w:r w:rsidR="00F84424"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 de Atención Integral Especializada (MAIE), </w:t>
      </w:r>
      <w:r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actualmente se cuenta con </w:t>
      </w:r>
      <w:r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23 MAIE a nivel nacional </w:t>
      </w:r>
      <w:r w:rsidR="00F84424"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para brindar atención integral a mujeres y niñas víctimas</w:t>
      </w:r>
      <w:r w:rsidR="001E59F4"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 de las distintas formas de violencia, </w:t>
      </w:r>
      <w:r w:rsidR="004B2BD8"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bajo principios</w:t>
      </w:r>
      <w:r w:rsidR="00F84424"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 </w:t>
      </w:r>
      <w:r w:rsidR="001E59F4"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de</w:t>
      </w:r>
      <w:r w:rsidR="00653B86"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 respeto a</w:t>
      </w:r>
      <w:r w:rsidR="004B2BD8"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 la dignidad humana, no </w:t>
      </w:r>
      <w:proofErr w:type="spellStart"/>
      <w:r w:rsidR="004B2BD8"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revictimización</w:t>
      </w:r>
      <w:proofErr w:type="spellEnd"/>
      <w:r w:rsidR="004B2BD8"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, debida diligencia, interés superior del niño y perspectiva de género,</w:t>
      </w:r>
      <w:r w:rsidR="00F84424"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 </w:t>
      </w:r>
      <w:r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y</w:t>
      </w:r>
      <w:r w:rsidR="004B2BD8"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 garantizar el acceso a la justicia</w:t>
      </w:r>
      <w:r w:rsidR="00653B86"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;</w:t>
      </w:r>
    </w:p>
    <w:p w:rsidR="002A627F" w:rsidRDefault="00CB31B7" w:rsidP="004B2BD8">
      <w:pPr>
        <w:pStyle w:val="Prrafodelista"/>
        <w:numPr>
          <w:ilvl w:val="0"/>
          <w:numId w:val="24"/>
        </w:num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HN"/>
        </w:rPr>
      </w:pPr>
      <w:r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E</w:t>
      </w:r>
      <w:r w:rsidR="001E59F4"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l </w:t>
      </w:r>
      <w:r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P</w:t>
      </w:r>
      <w:r w:rsidR="001E59F4" w:rsidRPr="00CB31B7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oder Judicial </w:t>
      </w:r>
      <w:r w:rsidR="001E59F4" w:rsidRPr="00CB31B7">
        <w:rPr>
          <w:rFonts w:ascii="Book Antiqua" w:eastAsia="Times New Roman" w:hAnsi="Book Antiqua" w:cs="Times New Roman"/>
          <w:sz w:val="24"/>
          <w:szCs w:val="24"/>
          <w:lang w:eastAsia="es-HN"/>
        </w:rPr>
        <w:t>ratificó el documento "100 Reglas de Brasilia"</w:t>
      </w:r>
      <w:r w:rsidR="001E59F4" w:rsidRPr="001E59F4">
        <w:rPr>
          <w:rFonts w:eastAsia="Times New Roman"/>
          <w:vertAlign w:val="superscript"/>
          <w:lang w:eastAsia="es-HN"/>
        </w:rPr>
        <w:footnoteReference w:id="24"/>
      </w:r>
      <w:r w:rsidR="002A627F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, e implemento la </w:t>
      </w:r>
      <w:r w:rsidR="001E59F4" w:rsidRPr="00CB31B7">
        <w:rPr>
          <w:rFonts w:ascii="Book Antiqua" w:eastAsia="Times New Roman" w:hAnsi="Book Antiqua" w:cs="Times New Roman"/>
          <w:sz w:val="24"/>
          <w:szCs w:val="24"/>
          <w:lang w:eastAsia="es-HN"/>
        </w:rPr>
        <w:t>Comisión Judicial de Acceso a la Justicia del Poder Judicial, trabaja en su Reglamento.</w:t>
      </w:r>
    </w:p>
    <w:p w:rsidR="004B2BD8" w:rsidRPr="002A627F" w:rsidRDefault="004B2BD8" w:rsidP="004B2BD8">
      <w:pPr>
        <w:pStyle w:val="Prrafodelista"/>
        <w:numPr>
          <w:ilvl w:val="0"/>
          <w:numId w:val="24"/>
        </w:num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HN"/>
        </w:rPr>
      </w:pPr>
      <w:r w:rsidRPr="002A627F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Para </w:t>
      </w:r>
      <w:r w:rsidR="00653B86" w:rsidRPr="002A627F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i</w:t>
      </w:r>
      <w:r w:rsidRPr="002A627F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nforma</w:t>
      </w:r>
      <w:r w:rsidR="00653B86" w:rsidRPr="002A627F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r a las mujeres víctimas </w:t>
      </w:r>
      <w:r w:rsidRPr="002A627F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sobre los recursos jurídicos disponibles y los </w:t>
      </w:r>
      <w:r w:rsidR="00653B86" w:rsidRPr="002A627F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mecanismos de</w:t>
      </w:r>
      <w:r w:rsidRPr="002A627F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 denuncias, el Poder Judicial reformó el Prontuario de la Ley Contra la Violencia Doméstica</w:t>
      </w:r>
      <w:r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.</w:t>
      </w:r>
    </w:p>
    <w:p w:rsidR="00965D9E" w:rsidRDefault="00321C48" w:rsidP="00965D9E">
      <w:pPr>
        <w:pStyle w:val="Prrafodelista"/>
        <w:numPr>
          <w:ilvl w:val="0"/>
          <w:numId w:val="12"/>
        </w:numPr>
        <w:shd w:val="clear" w:color="auto" w:fill="FFFFFF"/>
        <w:spacing w:line="360" w:lineRule="auto"/>
        <w:ind w:left="426" w:hanging="426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</w:pPr>
      <w:r w:rsidRPr="00741D34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lastRenderedPageBreak/>
        <w:t>Recursos y servicios vitales</w:t>
      </w:r>
      <w:r w:rsidR="00155B2F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 xml:space="preserve">, </w:t>
      </w:r>
      <w:r w:rsidRPr="00741D34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>para las víctimas de la violencia relacionada con los conflictos, medidas adoptadas para garantizar la accesibilidad a estas medidas y servicios por parte de todas las mujeres y niñas.</w:t>
      </w:r>
    </w:p>
    <w:p w:rsidR="00965D9E" w:rsidRPr="00965D9E" w:rsidRDefault="002A627F" w:rsidP="00FA77C3">
      <w:p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</w:pPr>
      <w:r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El</w:t>
      </w:r>
      <w:r w:rsidR="00965D9E" w:rsidRPr="00965D9E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 Programa Ciudad Mujer </w:t>
      </w:r>
      <w:r w:rsidR="00965D9E" w:rsidRPr="00965D9E">
        <w:rPr>
          <w:rFonts w:ascii="Book Antiqua" w:eastAsia="Times New Roman" w:hAnsi="Book Antiqua" w:cs="Times New Roman"/>
          <w:sz w:val="24"/>
          <w:szCs w:val="24"/>
          <w:lang w:eastAsia="es-HN"/>
        </w:rPr>
        <w:t>contribu</w:t>
      </w:r>
      <w:r w:rsidR="00FA77C3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ye </w:t>
      </w:r>
      <w:r w:rsidR="00965D9E" w:rsidRPr="00965D9E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a mejorar </w:t>
      </w:r>
      <w:r>
        <w:rPr>
          <w:rFonts w:ascii="Book Antiqua" w:eastAsia="Times New Roman" w:hAnsi="Book Antiqua" w:cs="Times New Roman"/>
          <w:sz w:val="24"/>
          <w:szCs w:val="24"/>
          <w:lang w:eastAsia="es-HN"/>
        </w:rPr>
        <w:t>la</w:t>
      </w:r>
      <w:r w:rsidR="00965D9E" w:rsidRPr="00965D9E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vida en áreas de autonomía económica, atención a la VCM, prevención y atención de embarazos en adolescentes, salud sexual y reproductiva, educación, a través de una red de servicios integrales y gratuitos</w:t>
      </w:r>
      <w:r w:rsidR="00965D9E" w:rsidRPr="00965D9E">
        <w:rPr>
          <w:rFonts w:ascii="Book Antiqua" w:eastAsia="Times New Roman" w:hAnsi="Book Antiqua" w:cs="Times New Roman"/>
          <w:bCs/>
          <w:sz w:val="24"/>
          <w:szCs w:val="24"/>
          <w:vertAlign w:val="superscript"/>
          <w:lang w:val="es-419" w:eastAsia="es-HN"/>
        </w:rPr>
        <w:footnoteReference w:id="25"/>
      </w:r>
      <w:r w:rsidR="00965D9E" w:rsidRPr="00965D9E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.</w:t>
      </w:r>
    </w:p>
    <w:p w:rsidR="00965D9E" w:rsidRPr="00965D9E" w:rsidRDefault="00965D9E" w:rsidP="00965D9E">
      <w:p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</w:pPr>
      <w:r w:rsidRPr="00965D9E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Los Centros Ciudad Mujer </w:t>
      </w:r>
      <w:r w:rsidR="00824C87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aplican los </w:t>
      </w:r>
      <w:r w:rsidR="00824C87" w:rsidRPr="00965D9E">
        <w:rPr>
          <w:rFonts w:ascii="Book Antiqua" w:eastAsia="Times New Roman" w:hAnsi="Book Antiqua" w:cs="Times New Roman"/>
          <w:bCs/>
          <w:i/>
          <w:iCs/>
          <w:sz w:val="24"/>
          <w:szCs w:val="24"/>
          <w:lang w:eastAsia="es-HN"/>
        </w:rPr>
        <w:t>Lineamientos generales para la detección de casos de violencia contra mujeres adultas, adolescentes, niños y niñas (VCM-NNA) del Centro Ciudad Mujer</w:t>
      </w:r>
      <w:r w:rsidR="00824C87" w:rsidRPr="00965D9E">
        <w:rPr>
          <w:rFonts w:ascii="Book Antiqua" w:eastAsia="Times New Roman" w:hAnsi="Book Antiqua" w:cs="Times New Roman"/>
          <w:bCs/>
          <w:sz w:val="24"/>
          <w:szCs w:val="24"/>
          <w:vertAlign w:val="superscript"/>
          <w:lang w:eastAsia="es-HN"/>
        </w:rPr>
        <w:footnoteReference w:id="26"/>
      </w:r>
      <w:r w:rsidR="00E55618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 </w:t>
      </w:r>
      <w:r w:rsidR="002A627F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para </w:t>
      </w:r>
      <w:r w:rsidR="002A627F" w:rsidRPr="00965D9E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dete</w:t>
      </w:r>
      <w:r w:rsidR="002A627F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ctan ca</w:t>
      </w:r>
      <w:r w:rsidR="002A627F" w:rsidRPr="00965D9E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sos de VCM</w:t>
      </w:r>
      <w:r w:rsidRPr="00965D9E">
        <w:rPr>
          <w:rFonts w:ascii="Book Antiqua" w:eastAsia="Times New Roman" w:hAnsi="Book Antiqua" w:cs="Times New Roman"/>
          <w:bCs/>
          <w:sz w:val="24"/>
          <w:szCs w:val="24"/>
          <w:vertAlign w:val="superscript"/>
          <w:lang w:eastAsia="es-HN"/>
        </w:rPr>
        <w:footnoteReference w:id="27"/>
      </w:r>
      <w:r w:rsidRPr="00965D9E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 </w:t>
      </w:r>
      <w:r w:rsidR="002A627F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y</w:t>
      </w:r>
      <w:r w:rsidR="00824C87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 referi</w:t>
      </w:r>
      <w:r w:rsidR="002A627F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rlas</w:t>
      </w:r>
      <w:r w:rsidR="00824C87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 a</w:t>
      </w:r>
      <w:r w:rsidR="002A627F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 xml:space="preserve"> los </w:t>
      </w:r>
      <w:r w:rsidRPr="00965D9E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Módulo de Atención y Protección a los Derechos de la Mujer</w:t>
      </w:r>
      <w:r w:rsidRPr="00965D9E">
        <w:rPr>
          <w:rFonts w:ascii="Book Antiqua" w:eastAsia="Times New Roman" w:hAnsi="Book Antiqua" w:cs="Times New Roman"/>
          <w:bCs/>
          <w:sz w:val="24"/>
          <w:szCs w:val="24"/>
          <w:vertAlign w:val="superscript"/>
          <w:lang w:val="es-419" w:eastAsia="es-HN"/>
        </w:rPr>
        <w:footnoteReference w:id="28"/>
      </w:r>
      <w:r w:rsidRPr="00965D9E"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  <w:t>.</w:t>
      </w:r>
    </w:p>
    <w:p w:rsidR="00965D9E" w:rsidRPr="00965D9E" w:rsidRDefault="00965D9E" w:rsidP="00965D9E">
      <w:p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bCs/>
          <w:sz w:val="24"/>
          <w:szCs w:val="24"/>
          <w:lang w:val="es-419" w:eastAsia="es-HN"/>
        </w:rPr>
      </w:pPr>
      <w:r w:rsidRPr="00965D9E">
        <w:rPr>
          <w:rFonts w:ascii="Book Antiqua" w:eastAsia="Times New Roman" w:hAnsi="Book Antiqua" w:cs="Times New Roman"/>
          <w:bCs/>
          <w:sz w:val="24"/>
          <w:szCs w:val="24"/>
          <w:lang w:eastAsia="es-HN"/>
        </w:rPr>
        <w:t>En 20</w:t>
      </w:r>
      <w:r w:rsidR="004B51A6">
        <w:rPr>
          <w:rFonts w:ascii="Book Antiqua" w:eastAsia="Times New Roman" w:hAnsi="Book Antiqua" w:cs="Times New Roman"/>
          <w:bCs/>
          <w:sz w:val="24"/>
          <w:szCs w:val="24"/>
          <w:lang w:eastAsia="es-HN"/>
        </w:rPr>
        <w:t>20</w:t>
      </w:r>
      <w:r w:rsidRPr="00965D9E">
        <w:rPr>
          <w:rFonts w:ascii="Book Antiqua" w:eastAsia="Times New Roman" w:hAnsi="Book Antiqua" w:cs="Times New Roman"/>
          <w:bCs/>
          <w:sz w:val="24"/>
          <w:szCs w:val="24"/>
          <w:lang w:eastAsia="es-HN"/>
        </w:rPr>
        <w:t xml:space="preserve">, los cinco Centros Ciudad Mujer ubicados a nivel nacional y </w:t>
      </w:r>
      <w:r w:rsidR="004B51A6">
        <w:rPr>
          <w:rFonts w:ascii="Book Antiqua" w:eastAsia="Times New Roman" w:hAnsi="Book Antiqua" w:cs="Times New Roman"/>
          <w:bCs/>
          <w:sz w:val="24"/>
          <w:szCs w:val="24"/>
          <w:lang w:eastAsia="es-HN"/>
        </w:rPr>
        <w:t>el</w:t>
      </w:r>
      <w:r w:rsidRPr="00965D9E">
        <w:rPr>
          <w:rFonts w:ascii="Book Antiqua" w:eastAsia="Times New Roman" w:hAnsi="Book Antiqua" w:cs="Times New Roman"/>
          <w:bCs/>
          <w:sz w:val="24"/>
          <w:szCs w:val="24"/>
          <w:lang w:eastAsia="es-HN"/>
        </w:rPr>
        <w:t xml:space="preserve"> centro móvil. </w:t>
      </w:r>
      <w:proofErr w:type="gramStart"/>
      <w:r w:rsidRPr="00965D9E">
        <w:rPr>
          <w:rFonts w:ascii="Book Antiqua" w:eastAsia="Times New Roman" w:hAnsi="Book Antiqua" w:cs="Times New Roman"/>
          <w:bCs/>
          <w:sz w:val="24"/>
          <w:szCs w:val="24"/>
          <w:lang w:eastAsia="es-HN"/>
        </w:rPr>
        <w:t>atendieron</w:t>
      </w:r>
      <w:proofErr w:type="gramEnd"/>
      <w:r w:rsidRPr="00965D9E">
        <w:rPr>
          <w:rFonts w:ascii="Book Antiqua" w:eastAsia="Times New Roman" w:hAnsi="Book Antiqua" w:cs="Times New Roman"/>
          <w:bCs/>
          <w:sz w:val="24"/>
          <w:szCs w:val="24"/>
          <w:lang w:eastAsia="es-HN"/>
        </w:rPr>
        <w:t xml:space="preserve"> a 194,554 mujeres de las cuales, 47,339 (24.3% del total) fueron nuevos ingresos y 147,215 (75.7%) visitas subsecuentes; resultando en un promedio diario de 258 visitas y ascendieron a 391,562 los servicios brindados por los diferentes módulos</w:t>
      </w:r>
      <w:r w:rsidRPr="00965D9E">
        <w:rPr>
          <w:rFonts w:ascii="Book Antiqua" w:eastAsia="Times New Roman" w:hAnsi="Book Antiqua" w:cs="Times New Roman"/>
          <w:bCs/>
          <w:sz w:val="24"/>
          <w:szCs w:val="24"/>
          <w:vertAlign w:val="superscript"/>
          <w:lang w:eastAsia="es-HN"/>
        </w:rPr>
        <w:footnoteReference w:id="29"/>
      </w:r>
      <w:r w:rsidRPr="00965D9E">
        <w:rPr>
          <w:rFonts w:ascii="Book Antiqua" w:eastAsia="Times New Roman" w:hAnsi="Book Antiqua" w:cs="Times New Roman"/>
          <w:bCs/>
          <w:sz w:val="24"/>
          <w:szCs w:val="24"/>
          <w:lang w:eastAsia="es-HN"/>
        </w:rPr>
        <w:t>. </w:t>
      </w:r>
    </w:p>
    <w:p w:rsidR="006A5284" w:rsidRDefault="00321C48" w:rsidP="00321C48">
      <w:p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</w:pPr>
      <w:r w:rsidRPr="00741D34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>2.</w:t>
      </w:r>
      <w:r w:rsidRPr="00741D34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ab/>
      </w:r>
      <w:r w:rsidR="00155B2F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>R</w:t>
      </w:r>
      <w:r w:rsidRPr="00741D34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>etos para garantizar la promoción y la protección de las mujeres y niñas en situaciones de conflicto y posconflicto que se hayan resaltado en la labor del Consejo de Derechos Humanos y sus mecanismos</w:t>
      </w:r>
      <w:r w:rsidR="00155B2F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>.</w:t>
      </w:r>
    </w:p>
    <w:p w:rsidR="002A627F" w:rsidRDefault="00554B3A" w:rsidP="00D431A3">
      <w:p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s-HN" w:eastAsia="es-HN"/>
        </w:rPr>
      </w:pPr>
      <w:r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El Estado realiza</w:t>
      </w:r>
      <w:r w:rsidR="006A5284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esfuerzos para garantizar los derechos de las mujeres y las niñas, </w:t>
      </w:r>
      <w:r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sin embargo, </w:t>
      </w:r>
      <w:r w:rsidR="00133465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existen retos </w:t>
      </w:r>
      <w:r w:rsidR="00D431A3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y</w:t>
      </w:r>
      <w:r w:rsidR="00133465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limit</w:t>
      </w:r>
      <w:r w:rsidR="00D431A3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antes</w:t>
      </w:r>
      <w:r w:rsidR="00133465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, </w:t>
      </w:r>
      <w:r w:rsid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como ser</w:t>
      </w:r>
      <w:r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: </w:t>
      </w:r>
    </w:p>
    <w:p w:rsidR="002A627F" w:rsidRDefault="002A627F" w:rsidP="002A627F">
      <w:pPr>
        <w:pStyle w:val="Prrafodelista"/>
        <w:numPr>
          <w:ilvl w:val="0"/>
          <w:numId w:val="25"/>
        </w:num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s-HN" w:eastAsia="es-HN"/>
        </w:rPr>
      </w:pPr>
      <w:r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F</w:t>
      </w:r>
      <w:r w:rsidR="006A5284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alta de armonización de la normativa vigente</w:t>
      </w:r>
      <w:r w:rsidR="00AA0D33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; </w:t>
      </w:r>
    </w:p>
    <w:p w:rsidR="002A627F" w:rsidRDefault="002A627F" w:rsidP="002A627F">
      <w:pPr>
        <w:pStyle w:val="Prrafodelista"/>
        <w:numPr>
          <w:ilvl w:val="0"/>
          <w:numId w:val="25"/>
        </w:num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s-HN" w:eastAsia="es-HN"/>
        </w:rPr>
      </w:pPr>
      <w:r>
        <w:rPr>
          <w:rFonts w:ascii="Book Antiqua" w:eastAsia="Times New Roman" w:hAnsi="Book Antiqua" w:cs="Times New Roman"/>
          <w:sz w:val="24"/>
          <w:szCs w:val="24"/>
          <w:lang w:val="es-HN" w:eastAsia="es-HN"/>
        </w:rPr>
        <w:lastRenderedPageBreak/>
        <w:t>I</w:t>
      </w:r>
      <w:r w:rsidR="00133465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ncorpora</w:t>
      </w:r>
      <w:r w:rsidR="00554B3A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ción d</w:t>
      </w:r>
      <w:r w:rsidR="00133465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el enfoque de género</w:t>
      </w:r>
      <w:r w:rsidR="00554B3A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en las leyes, planes</w:t>
      </w:r>
      <w:r w:rsidR="004E6752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,</w:t>
      </w:r>
      <w:r w:rsidR="00554B3A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políticas de Estado</w:t>
      </w:r>
      <w:r w:rsidR="004E6752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y</w:t>
      </w:r>
      <w:r w:rsidR="00133465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los presupuesto</w:t>
      </w:r>
      <w:r w:rsidR="004E6752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s</w:t>
      </w:r>
      <w:r w:rsidR="00133465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</w:t>
      </w:r>
      <w:r w:rsidR="004E6752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par</w:t>
      </w:r>
      <w:r w:rsidR="00133465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a atender los problemas de las mujeres</w:t>
      </w:r>
      <w:r w:rsidR="00560D95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;</w:t>
      </w:r>
    </w:p>
    <w:p w:rsidR="00D431A3" w:rsidRPr="002A627F" w:rsidRDefault="002A627F" w:rsidP="002A627F">
      <w:pPr>
        <w:pStyle w:val="Prrafodelista"/>
        <w:numPr>
          <w:ilvl w:val="0"/>
          <w:numId w:val="25"/>
        </w:num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s-HN" w:eastAsia="es-HN"/>
        </w:rPr>
      </w:pPr>
      <w:r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F</w:t>
      </w:r>
      <w:r w:rsidR="00560D95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ortalecimiento institucional en la temática.</w:t>
      </w:r>
    </w:p>
    <w:p w:rsidR="006A5284" w:rsidRPr="002A627F" w:rsidRDefault="002A627F" w:rsidP="002A627F">
      <w:pPr>
        <w:pStyle w:val="Prrafodelista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s-HN" w:eastAsia="es-HN"/>
        </w:rPr>
      </w:pPr>
      <w:r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La</w:t>
      </w:r>
      <w:r w:rsidR="00236C45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discriminación y la pobreza, </w:t>
      </w:r>
      <w:r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que limitan </w:t>
      </w:r>
      <w:r w:rsidR="005B568C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la accesibilidad </w:t>
      </w:r>
      <w:r w:rsidR="006A5284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a </w:t>
      </w:r>
      <w:hyperlink r:id="rId8" w:history="1">
        <w:r w:rsidR="006A5284" w:rsidRPr="002A627F">
          <w:rPr>
            <w:rStyle w:val="Hipervnculo"/>
            <w:rFonts w:ascii="Book Antiqua" w:eastAsia="Times New Roman" w:hAnsi="Book Antiqua" w:cs="Times New Roman"/>
            <w:color w:val="auto"/>
            <w:sz w:val="24"/>
            <w:szCs w:val="24"/>
            <w:u w:val="none"/>
            <w:lang w:val="es-HN" w:eastAsia="es-HN"/>
          </w:rPr>
          <w:t>la tierra</w:t>
        </w:r>
        <w:r>
          <w:rPr>
            <w:rStyle w:val="Hipervnculo"/>
            <w:rFonts w:ascii="Book Antiqua" w:eastAsia="Times New Roman" w:hAnsi="Book Antiqua" w:cs="Times New Roman"/>
            <w:color w:val="auto"/>
            <w:sz w:val="24"/>
            <w:szCs w:val="24"/>
            <w:u w:val="none"/>
            <w:lang w:val="es-HN" w:eastAsia="es-HN"/>
          </w:rPr>
          <w:t>,</w:t>
        </w:r>
        <w:r w:rsidR="006A5284" w:rsidRPr="002A627F">
          <w:rPr>
            <w:rStyle w:val="Hipervnculo"/>
            <w:rFonts w:ascii="Book Antiqua" w:eastAsia="Times New Roman" w:hAnsi="Book Antiqua" w:cs="Times New Roman"/>
            <w:color w:val="auto"/>
            <w:sz w:val="24"/>
            <w:szCs w:val="24"/>
            <w:u w:val="none"/>
            <w:lang w:val="es-HN" w:eastAsia="es-HN"/>
          </w:rPr>
          <w:t xml:space="preserve"> la vivienda</w:t>
        </w:r>
      </w:hyperlink>
      <w:r>
        <w:rPr>
          <w:rStyle w:val="Hipervnculo"/>
          <w:rFonts w:ascii="Book Antiqua" w:eastAsia="Times New Roman" w:hAnsi="Book Antiqua" w:cs="Times New Roman"/>
          <w:color w:val="auto"/>
          <w:sz w:val="24"/>
          <w:szCs w:val="24"/>
          <w:u w:val="none"/>
          <w:lang w:val="es-HN" w:eastAsia="es-HN"/>
        </w:rPr>
        <w:t xml:space="preserve"> y recursos de subsistencia</w:t>
      </w:r>
      <w:r w:rsidR="006A5284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en términos de igualdad</w:t>
      </w:r>
      <w:r w:rsidR="005B568C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, </w:t>
      </w:r>
      <w:r w:rsidR="00C77726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por ello, </w:t>
      </w:r>
      <w:r w:rsidR="005B568C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la Secretaría de Desarrollo e Inclusión implementa el Programa Vida Mejor,</w:t>
      </w:r>
      <w:r w:rsidR="0028090D"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</w:t>
      </w:r>
      <w:r w:rsidR="0028090D" w:rsidRPr="002A627F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que promueve el mejoramiento de las condiciones de vida de la población, </w:t>
      </w:r>
      <w:r w:rsidR="00236C45" w:rsidRPr="002A627F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beneficiando a </w:t>
      </w:r>
      <w:r w:rsidR="0028090D" w:rsidRPr="002A627F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familias en extrema pobreza </w:t>
      </w:r>
      <w:r w:rsidR="00236C45" w:rsidRPr="002A627F">
        <w:rPr>
          <w:rFonts w:ascii="Book Antiqua" w:eastAsia="Times New Roman" w:hAnsi="Book Antiqua" w:cs="Times New Roman"/>
          <w:sz w:val="24"/>
          <w:szCs w:val="24"/>
          <w:lang w:eastAsia="es-HN"/>
        </w:rPr>
        <w:t>con</w:t>
      </w:r>
      <w:r w:rsidR="0028090D" w:rsidRPr="002A627F">
        <w:rPr>
          <w:rFonts w:ascii="Book Antiqua" w:eastAsia="Times New Roman" w:hAnsi="Book Antiqua" w:cs="Times New Roman"/>
          <w:sz w:val="24"/>
          <w:szCs w:val="24"/>
          <w:lang w:eastAsia="es-HN"/>
        </w:rPr>
        <w:t xml:space="preserve"> viviendas, bonos monetarios, alimento, etc.</w:t>
      </w:r>
    </w:p>
    <w:p w:rsidR="002A627F" w:rsidRPr="002A627F" w:rsidRDefault="002A627F" w:rsidP="002A627F">
      <w:p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s-HN" w:eastAsia="es-HN"/>
        </w:rPr>
      </w:pPr>
      <w:r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Desde 2015 incorporó en las Disposiciones Generales del Presupuesto, la perspectiva de género y asigna recursos para la realización de los derechos de las mujeres y las niñas. Para medir e informar a la aplicación del índice de inversión en género, la Secretaría de Coordinación General de Gobierno (SCGG) y el INAM han instalado la Mesa Temática </w:t>
      </w:r>
      <w:r w:rsidRPr="002A627F">
        <w:rPr>
          <w:rFonts w:ascii="Book Antiqua" w:eastAsia="Times New Roman" w:hAnsi="Book Antiqua" w:cs="Times New Roman"/>
          <w:i/>
          <w:iCs/>
          <w:sz w:val="24"/>
          <w:szCs w:val="24"/>
          <w:lang w:val="es-HN" w:eastAsia="es-HN"/>
        </w:rPr>
        <w:t>Diálogos de Gestión</w:t>
      </w:r>
      <w:r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como mecanismo de monitoreo y evaluación de la gestión pública, se elaboró una  estrategia estructurada y sostenible dirigida a incorporar el enfoque de género en el Sistema Nacional de Planificación del Desarrollo; el Plan de Acción para implementar la Estrategia; y los Lineamientos metodológicos para </w:t>
      </w:r>
      <w:proofErr w:type="spellStart"/>
      <w:r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transversalizar</w:t>
      </w:r>
      <w:proofErr w:type="spellEnd"/>
      <w:r w:rsidRPr="002A627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la perspectiva de género. </w:t>
      </w:r>
    </w:p>
    <w:p w:rsidR="002A627F" w:rsidRPr="002A627F" w:rsidRDefault="00321C48" w:rsidP="002A627F">
      <w:p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</w:pPr>
      <w:r w:rsidRPr="00741D34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>3.</w:t>
      </w:r>
      <w:r w:rsidRPr="00741D34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ab/>
      </w:r>
      <w:r w:rsidR="003F4964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>M</w:t>
      </w:r>
      <w:r w:rsidRPr="00741D34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>edidas recomenda</w:t>
      </w:r>
      <w:r w:rsidR="003F4964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>das</w:t>
      </w:r>
      <w:r w:rsidRPr="00741D34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 xml:space="preserve"> para contribuir a garantizar una atención sostenida, omnicomprensiva, exhaustiva y coherente con la igualdad de género y a los derechos humanos</w:t>
      </w:r>
      <w:r w:rsidR="003F4964">
        <w:rPr>
          <w:rFonts w:ascii="Book Antiqua" w:eastAsia="Times New Roman" w:hAnsi="Book Antiqua" w:cs="Times New Roman"/>
          <w:b/>
          <w:bCs/>
          <w:sz w:val="24"/>
          <w:szCs w:val="24"/>
          <w:lang w:val="es-419" w:eastAsia="es-HN"/>
        </w:rPr>
        <w:t>.</w:t>
      </w:r>
    </w:p>
    <w:p w:rsidR="002A627F" w:rsidRPr="002A627F" w:rsidRDefault="002A627F" w:rsidP="002A627F">
      <w:p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s-419" w:eastAsia="es-HN"/>
        </w:rPr>
      </w:pPr>
      <w:r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Entre las medidas destaca:</w:t>
      </w:r>
    </w:p>
    <w:p w:rsidR="00B62967" w:rsidRPr="003F4964" w:rsidRDefault="00965D9E" w:rsidP="00155B2F">
      <w:pPr>
        <w:pStyle w:val="Prrafodelista"/>
        <w:numPr>
          <w:ilvl w:val="0"/>
          <w:numId w:val="21"/>
        </w:numPr>
        <w:shd w:val="clear" w:color="auto" w:fill="FFFFFF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s-419" w:eastAsia="es-HN"/>
        </w:rPr>
      </w:pPr>
      <w:r w:rsidRPr="003F4964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Programa Ciudad Mujer.</w:t>
      </w:r>
    </w:p>
    <w:p w:rsidR="001C6CFE" w:rsidRPr="00155B2F" w:rsidRDefault="00155B2F" w:rsidP="008800A9">
      <w:pPr>
        <w:numPr>
          <w:ilvl w:val="0"/>
          <w:numId w:val="20"/>
        </w:num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155B2F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Desarrollo de </w:t>
      </w:r>
      <w:r w:rsidR="003F4964" w:rsidRPr="00155B2F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capacitaci</w:t>
      </w:r>
      <w:r w:rsidRPr="00155B2F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>ones</w:t>
      </w:r>
      <w:r w:rsidR="003F4964" w:rsidRPr="00155B2F">
        <w:rPr>
          <w:rFonts w:ascii="Book Antiqua" w:eastAsia="Times New Roman" w:hAnsi="Book Antiqua" w:cs="Times New Roman"/>
          <w:sz w:val="24"/>
          <w:szCs w:val="24"/>
          <w:lang w:val="es-419" w:eastAsia="es-HN"/>
        </w:rPr>
        <w:t xml:space="preserve"> a</w:t>
      </w:r>
      <w:r w:rsidR="001C6CFE" w:rsidRPr="00155B2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 servidores públicos y </w:t>
      </w:r>
      <w:r w:rsidR="003F4964" w:rsidRPr="00155B2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organizaciones </w:t>
      </w:r>
      <w:r w:rsidR="001C6CFE" w:rsidRPr="00155B2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>en prevención y resolución alterna de conflictos sociales con enfoque en derechos humanos</w:t>
      </w:r>
      <w:r w:rsidRPr="00155B2F">
        <w:rPr>
          <w:rFonts w:ascii="Book Antiqua" w:eastAsia="Times New Roman" w:hAnsi="Book Antiqua" w:cs="Times New Roman"/>
          <w:sz w:val="24"/>
          <w:szCs w:val="24"/>
          <w:lang w:val="es-HN" w:eastAsia="es-HN"/>
        </w:rPr>
        <w:t xml:space="preserve">, como ser </w:t>
      </w:r>
      <w:r w:rsidR="001C6CFE" w:rsidRPr="00155B2F">
        <w:rPr>
          <w:rFonts w:ascii="Book Antiqua" w:eastAsia="Times New Roman" w:hAnsi="Book Antiqua" w:cs="Times New Roman"/>
          <w:sz w:val="24"/>
          <w:szCs w:val="24"/>
        </w:rPr>
        <w:t xml:space="preserve">el Diplomado Universitario en Resolución de Conflictos, Paz y Desarrollo. </w:t>
      </w:r>
    </w:p>
    <w:p w:rsidR="001C6CFE" w:rsidRPr="001C6CFE" w:rsidRDefault="00155B2F" w:rsidP="00155B2F">
      <w:pPr>
        <w:numPr>
          <w:ilvl w:val="0"/>
          <w:numId w:val="20"/>
        </w:num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lastRenderedPageBreak/>
        <w:t xml:space="preserve">La formación por </w:t>
      </w:r>
      <w:r w:rsidR="003F4964">
        <w:rPr>
          <w:rFonts w:ascii="Book Antiqua" w:eastAsia="Times New Roman" w:hAnsi="Book Antiqua" w:cs="Times New Roman"/>
          <w:sz w:val="24"/>
          <w:szCs w:val="24"/>
        </w:rPr>
        <w:t>CICR y</w:t>
      </w:r>
      <w:r w:rsidR="003F4964" w:rsidRPr="003F4964">
        <w:rPr>
          <w:rFonts w:ascii="Book Antiqua" w:eastAsia="Times New Roman" w:hAnsi="Book Antiqua" w:cs="Times New Roman"/>
          <w:sz w:val="24"/>
          <w:szCs w:val="24"/>
        </w:rPr>
        <w:t xml:space="preserve">   la   Secretaría   de   Defensa   Nacional   </w:t>
      </w:r>
      <w:r>
        <w:rPr>
          <w:rFonts w:ascii="Book Antiqua" w:eastAsia="Times New Roman" w:hAnsi="Book Antiqua" w:cs="Times New Roman"/>
          <w:sz w:val="24"/>
          <w:szCs w:val="24"/>
        </w:rPr>
        <w:t xml:space="preserve">de </w:t>
      </w:r>
      <w:r w:rsidR="003F4964" w:rsidRPr="003F4964">
        <w:rPr>
          <w:rFonts w:ascii="Book Antiqua" w:eastAsia="Times New Roman" w:hAnsi="Book Antiqua" w:cs="Times New Roman"/>
          <w:sz w:val="24"/>
          <w:szCs w:val="24"/>
        </w:rPr>
        <w:t xml:space="preserve">27 instructores </w:t>
      </w:r>
      <w:r>
        <w:rPr>
          <w:rFonts w:ascii="Book Antiqua" w:eastAsia="Times New Roman" w:hAnsi="Book Antiqua" w:cs="Times New Roman"/>
          <w:sz w:val="24"/>
          <w:szCs w:val="24"/>
        </w:rPr>
        <w:t xml:space="preserve">de las Fuerzas Armadas, </w:t>
      </w:r>
      <w:r w:rsidR="003F4964" w:rsidRPr="003F4964">
        <w:rPr>
          <w:rFonts w:ascii="Book Antiqua" w:eastAsia="Times New Roman" w:hAnsi="Book Antiqua" w:cs="Times New Roman"/>
          <w:sz w:val="24"/>
          <w:szCs w:val="24"/>
        </w:rPr>
        <w:t>en uso de la fuerza a través del taller de formación de formadores,</w:t>
      </w:r>
      <w:r w:rsidR="003F496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AB6792">
        <w:rPr>
          <w:rFonts w:ascii="Book Antiqua" w:eastAsia="Times New Roman" w:hAnsi="Book Antiqua" w:cs="Times New Roman"/>
          <w:sz w:val="24"/>
          <w:szCs w:val="24"/>
        </w:rPr>
        <w:t>los cuales forma</w:t>
      </w:r>
      <w:r>
        <w:rPr>
          <w:rFonts w:ascii="Book Antiqua" w:eastAsia="Times New Roman" w:hAnsi="Book Antiqua" w:cs="Times New Roman"/>
          <w:sz w:val="24"/>
          <w:szCs w:val="24"/>
        </w:rPr>
        <w:t>n</w:t>
      </w:r>
      <w:r w:rsidR="00AB679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>
        <w:rPr>
          <w:rFonts w:ascii="Book Antiqua" w:eastAsia="Times New Roman" w:hAnsi="Book Antiqua" w:cs="Times New Roman"/>
          <w:sz w:val="24"/>
          <w:szCs w:val="24"/>
        </w:rPr>
        <w:t xml:space="preserve">a </w:t>
      </w:r>
      <w:r w:rsidR="003F4964" w:rsidRPr="003F4964">
        <w:rPr>
          <w:rFonts w:ascii="Book Antiqua" w:eastAsia="Times New Roman" w:hAnsi="Book Antiqua" w:cs="Times New Roman"/>
          <w:sz w:val="24"/>
          <w:szCs w:val="24"/>
        </w:rPr>
        <w:t>Oficiales de la Policía Militar de Orden Público</w:t>
      </w:r>
      <w:r w:rsidR="00AB679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>
        <w:rPr>
          <w:rFonts w:ascii="Book Antiqua" w:eastAsia="Times New Roman" w:hAnsi="Book Antiqua" w:cs="Times New Roman"/>
          <w:sz w:val="24"/>
          <w:szCs w:val="24"/>
        </w:rPr>
        <w:t xml:space="preserve">y miembros </w:t>
      </w:r>
      <w:r w:rsidRPr="00AB6792">
        <w:rPr>
          <w:rFonts w:ascii="Book Antiqua" w:eastAsia="Times New Roman" w:hAnsi="Book Antiqua" w:cs="Times New Roman"/>
          <w:sz w:val="24"/>
          <w:szCs w:val="24"/>
        </w:rPr>
        <w:t>del Escudo Terrestre</w:t>
      </w:r>
      <w:r w:rsidRPr="003F496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3F4964" w:rsidRPr="003F4964">
        <w:rPr>
          <w:rFonts w:ascii="Book Antiqua" w:eastAsia="Times New Roman" w:hAnsi="Book Antiqua" w:cs="Times New Roman"/>
          <w:sz w:val="24"/>
          <w:szCs w:val="24"/>
        </w:rPr>
        <w:t>en estándares internacionales relativos a</w:t>
      </w:r>
      <w:r w:rsidR="00AB6792">
        <w:rPr>
          <w:rFonts w:ascii="Book Antiqua" w:eastAsia="Times New Roman" w:hAnsi="Book Antiqua" w:cs="Times New Roman"/>
          <w:sz w:val="24"/>
          <w:szCs w:val="24"/>
        </w:rPr>
        <w:t>l</w:t>
      </w:r>
      <w:r w:rsidR="00AB6792" w:rsidRPr="00AB6792">
        <w:t xml:space="preserve"> </w:t>
      </w:r>
      <w:r w:rsidR="00AB6792" w:rsidRPr="00AB6792">
        <w:rPr>
          <w:rFonts w:ascii="Book Antiqua" w:eastAsia="Times New Roman" w:hAnsi="Book Antiqua" w:cs="Times New Roman"/>
          <w:sz w:val="24"/>
          <w:szCs w:val="24"/>
        </w:rPr>
        <w:t>uso</w:t>
      </w:r>
      <w:r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AB6792" w:rsidRPr="00AB6792">
        <w:rPr>
          <w:rFonts w:ascii="Book Antiqua" w:eastAsia="Times New Roman" w:hAnsi="Book Antiqua" w:cs="Times New Roman"/>
          <w:sz w:val="24"/>
          <w:szCs w:val="24"/>
        </w:rPr>
        <w:t>de la fuerza</w:t>
      </w:r>
      <w:r w:rsidR="00AB6792">
        <w:rPr>
          <w:rStyle w:val="Refdenotaalpie"/>
          <w:rFonts w:ascii="Book Antiqua" w:eastAsia="Times New Roman" w:hAnsi="Book Antiqua" w:cs="Times New Roman"/>
          <w:sz w:val="24"/>
          <w:szCs w:val="24"/>
        </w:rPr>
        <w:footnoteReference w:id="30"/>
      </w:r>
      <w:r w:rsidR="00AB6792">
        <w:rPr>
          <w:rFonts w:ascii="Book Antiqua" w:eastAsia="Times New Roman" w:hAnsi="Book Antiqua" w:cs="Times New Roman"/>
          <w:sz w:val="24"/>
          <w:szCs w:val="24"/>
        </w:rPr>
        <w:t>.</w:t>
      </w:r>
    </w:p>
    <w:p w:rsidR="00256363" w:rsidRPr="001C6CFE" w:rsidRDefault="00256363" w:rsidP="007F3207">
      <w:pPr>
        <w:shd w:val="clear" w:color="auto" w:fill="FFFFFF"/>
        <w:spacing w:before="240"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s-HN" w:eastAsia="es-HN"/>
        </w:rPr>
      </w:pPr>
    </w:p>
    <w:sectPr w:rsidR="00256363" w:rsidRPr="001C6CFE" w:rsidSect="002A061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219" w:right="1701" w:bottom="1559" w:left="1701" w:header="720" w:footer="10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F9C" w:rsidRDefault="004C3F9C" w:rsidP="00077556">
      <w:pPr>
        <w:spacing w:after="0" w:line="240" w:lineRule="auto"/>
      </w:pPr>
      <w:r>
        <w:separator/>
      </w:r>
    </w:p>
  </w:endnote>
  <w:endnote w:type="continuationSeparator" w:id="0">
    <w:p w:rsidR="004C3F9C" w:rsidRDefault="004C3F9C" w:rsidP="00077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6DA" w:rsidRDefault="008456D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406" w:rsidRDefault="00257D4B" w:rsidP="000A5406">
    <w:pPr>
      <w:pStyle w:val="Piedepgina"/>
      <w:jc w:val="right"/>
      <w:rPr>
        <w:rFonts w:ascii="Bookman Old Style" w:hAnsi="Bookman Old Style" w:cs="Times New Roman"/>
        <w:sz w:val="16"/>
        <w:szCs w:val="16"/>
      </w:rPr>
    </w:pPr>
    <w:r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  <w:t>Oficio No. SEDH-</w:t>
    </w:r>
    <w:r w:rsidR="009062CA" w:rsidRPr="009062CA"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  <w:t>150</w:t>
    </w:r>
    <w:r w:rsidRPr="009062CA"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  <w:t>-</w:t>
    </w:r>
    <w:r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  <w:t>2021</w:t>
    </w:r>
    <w:r w:rsidRPr="001F6325"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  <w:t xml:space="preserve"> pág. </w:t>
    </w:r>
    <w:sdt>
      <w:sdtPr>
        <w:rPr>
          <w:rFonts w:ascii="Bookman Old Style" w:hAnsi="Bookman Old Style" w:cs="Times New Roman"/>
          <w:sz w:val="16"/>
          <w:szCs w:val="16"/>
        </w:rPr>
        <w:id w:val="1138230839"/>
        <w:docPartObj>
          <w:docPartGallery w:val="Page Numbers (Bottom of Page)"/>
          <w:docPartUnique/>
        </w:docPartObj>
      </w:sdtPr>
      <w:sdtEndPr/>
      <w:sdtContent>
        <w:r w:rsidRPr="001F6325">
          <w:rPr>
            <w:rFonts w:ascii="Bookman Old Style" w:hAnsi="Bookman Old Style" w:cs="Times New Roman"/>
            <w:sz w:val="16"/>
            <w:szCs w:val="16"/>
          </w:rPr>
          <w:fldChar w:fldCharType="begin"/>
        </w:r>
        <w:r w:rsidRPr="001F6325">
          <w:rPr>
            <w:rFonts w:ascii="Bookman Old Style" w:hAnsi="Bookman Old Style" w:cs="Times New Roman"/>
            <w:sz w:val="16"/>
            <w:szCs w:val="16"/>
          </w:rPr>
          <w:instrText>PAGE   \* MERGEFORMAT</w:instrText>
        </w:r>
        <w:r w:rsidRPr="001F6325">
          <w:rPr>
            <w:rFonts w:ascii="Bookman Old Style" w:hAnsi="Bookman Old Style" w:cs="Times New Roman"/>
            <w:sz w:val="16"/>
            <w:szCs w:val="16"/>
          </w:rPr>
          <w:fldChar w:fldCharType="separate"/>
        </w:r>
        <w:r w:rsidR="008456DA">
          <w:rPr>
            <w:rFonts w:ascii="Bookman Old Style" w:hAnsi="Bookman Old Style" w:cs="Times New Roman"/>
            <w:noProof/>
            <w:sz w:val="16"/>
            <w:szCs w:val="16"/>
          </w:rPr>
          <w:t>8</w:t>
        </w:r>
        <w:r w:rsidRPr="001F6325">
          <w:rPr>
            <w:rFonts w:ascii="Bookman Old Style" w:hAnsi="Bookman Old Style" w:cs="Times New Roman"/>
            <w:sz w:val="16"/>
            <w:szCs w:val="16"/>
          </w:rPr>
          <w:fldChar w:fldCharType="end"/>
        </w:r>
        <w:r>
          <w:rPr>
            <w:rFonts w:ascii="Bookman Old Style" w:hAnsi="Bookman Old Style" w:cs="Times New Roman"/>
            <w:sz w:val="16"/>
            <w:szCs w:val="16"/>
          </w:rPr>
          <w:t>/</w:t>
        </w:r>
        <w:r w:rsidR="002A627F">
          <w:rPr>
            <w:rFonts w:ascii="Bookman Old Style" w:hAnsi="Bookman Old Style" w:cs="Times New Roman"/>
            <w:sz w:val="16"/>
            <w:szCs w:val="16"/>
          </w:rPr>
          <w:t>8</w:t>
        </w:r>
      </w:sdtContent>
    </w:sdt>
  </w:p>
  <w:p w:rsidR="000A5406" w:rsidRPr="001F6325" w:rsidRDefault="00BA6D31" w:rsidP="000A5406">
    <w:pPr>
      <w:pStyle w:val="Piedepgina"/>
      <w:jc w:val="right"/>
      <w:rPr>
        <w:rFonts w:ascii="Bookman Old Style" w:hAnsi="Bookman Old Style" w:cs="Times New Roman"/>
        <w:sz w:val="16"/>
        <w:szCs w:val="16"/>
      </w:rPr>
    </w:pPr>
    <w:r>
      <w:rPr>
        <w:rFonts w:ascii="Bookman Old Style" w:hAnsi="Bookman Old Style" w:cs="Times New Roman"/>
        <w:sz w:val="16"/>
        <w:szCs w:val="16"/>
      </w:rPr>
      <w:t>CM</w:t>
    </w:r>
    <w:r w:rsidR="00257D4B">
      <w:rPr>
        <w:rFonts w:ascii="Bookman Old Style" w:hAnsi="Bookman Old Style" w:cs="Times New Roman"/>
        <w:sz w:val="16"/>
        <w:szCs w:val="16"/>
      </w:rPr>
      <w:t>-N</w:t>
    </w:r>
    <w:r>
      <w:rPr>
        <w:rFonts w:ascii="Bookman Old Style" w:hAnsi="Bookman Old Style" w:cs="Times New Roman"/>
        <w:sz w:val="16"/>
        <w:szCs w:val="16"/>
      </w:rPr>
      <w:t>D</w:t>
    </w:r>
    <w:r w:rsidR="002A627F">
      <w:rPr>
        <w:rFonts w:ascii="Bookman Old Style" w:hAnsi="Bookman Old Style" w:cs="Times New Roman"/>
        <w:sz w:val="16"/>
        <w:szCs w:val="16"/>
      </w:rPr>
      <w:t>-JN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6DC" w:rsidRPr="00F476DC" w:rsidRDefault="008456DA" w:rsidP="00F476DC">
    <w:pPr>
      <w:pStyle w:val="Piedepgina"/>
      <w:jc w:val="right"/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</w:pPr>
    <w:bookmarkStart w:id="0" w:name="_Hlk17107122"/>
    <w:r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  <w:t xml:space="preserve">Oficio No. </w:t>
    </w:r>
    <w:r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  <w:t>SEDH-150</w:t>
    </w:r>
    <w:bookmarkStart w:id="1" w:name="_GoBack"/>
    <w:bookmarkEnd w:id="1"/>
    <w:r w:rsidR="00F476DC" w:rsidRPr="00F476DC"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  <w:t xml:space="preserve">-2021 pág. </w:t>
    </w:r>
    <w:sdt>
      <w:sdtPr>
        <w:rPr>
          <w:rFonts w:ascii="Bookman Old Style" w:eastAsia="Times New Roman" w:hAnsi="Bookman Old Style" w:cs="Times New Roman"/>
          <w:color w:val="000000"/>
          <w:sz w:val="16"/>
          <w:szCs w:val="16"/>
          <w:lang w:eastAsia="es-ES"/>
        </w:rPr>
        <w:id w:val="-268856722"/>
        <w:docPartObj>
          <w:docPartGallery w:val="Page Numbers (Bottom of Page)"/>
          <w:docPartUnique/>
        </w:docPartObj>
      </w:sdtPr>
      <w:sdtEndPr/>
      <w:sdtContent>
        <w:r w:rsidR="00F476DC" w:rsidRPr="00F476DC">
          <w:rPr>
            <w:rFonts w:ascii="Bookman Old Style" w:eastAsia="Times New Roman" w:hAnsi="Bookman Old Style" w:cs="Times New Roman"/>
            <w:color w:val="000000"/>
            <w:sz w:val="16"/>
            <w:szCs w:val="16"/>
            <w:lang w:eastAsia="es-ES"/>
          </w:rPr>
          <w:fldChar w:fldCharType="begin"/>
        </w:r>
        <w:r w:rsidR="00F476DC" w:rsidRPr="00F476DC">
          <w:rPr>
            <w:rFonts w:ascii="Bookman Old Style" w:eastAsia="Times New Roman" w:hAnsi="Bookman Old Style" w:cs="Times New Roman"/>
            <w:color w:val="000000"/>
            <w:sz w:val="16"/>
            <w:szCs w:val="16"/>
            <w:lang w:eastAsia="es-ES"/>
          </w:rPr>
          <w:instrText>PAGE   \* MERGEFORMAT</w:instrText>
        </w:r>
        <w:r w:rsidR="00F476DC" w:rsidRPr="00F476DC">
          <w:rPr>
            <w:rFonts w:ascii="Bookman Old Style" w:eastAsia="Times New Roman" w:hAnsi="Bookman Old Style" w:cs="Times New Roman"/>
            <w:color w:val="000000"/>
            <w:sz w:val="16"/>
            <w:szCs w:val="16"/>
            <w:lang w:eastAsia="es-ES"/>
          </w:rPr>
          <w:fldChar w:fldCharType="separate"/>
        </w:r>
        <w:r>
          <w:rPr>
            <w:rFonts w:ascii="Bookman Old Style" w:eastAsia="Times New Roman" w:hAnsi="Bookman Old Style" w:cs="Times New Roman"/>
            <w:noProof/>
            <w:color w:val="000000"/>
            <w:sz w:val="16"/>
            <w:szCs w:val="16"/>
            <w:lang w:eastAsia="es-ES"/>
          </w:rPr>
          <w:t>1</w:t>
        </w:r>
        <w:r w:rsidR="00F476DC" w:rsidRPr="00F476DC">
          <w:rPr>
            <w:rFonts w:ascii="Bookman Old Style" w:eastAsia="Times New Roman" w:hAnsi="Bookman Old Style" w:cs="Times New Roman"/>
            <w:color w:val="000000"/>
            <w:sz w:val="16"/>
            <w:szCs w:val="16"/>
            <w:lang w:eastAsia="es-ES"/>
          </w:rPr>
          <w:fldChar w:fldCharType="end"/>
        </w:r>
        <w:r w:rsidR="00F476DC" w:rsidRPr="00F476DC">
          <w:rPr>
            <w:rFonts w:ascii="Bookman Old Style" w:eastAsia="Times New Roman" w:hAnsi="Bookman Old Style" w:cs="Times New Roman"/>
            <w:color w:val="000000"/>
            <w:sz w:val="16"/>
            <w:szCs w:val="16"/>
            <w:lang w:eastAsia="es-ES"/>
          </w:rPr>
          <w:t>/</w:t>
        </w:r>
        <w:r w:rsidR="002A627F">
          <w:rPr>
            <w:rFonts w:ascii="Bookman Old Style" w:eastAsia="Times New Roman" w:hAnsi="Bookman Old Style" w:cs="Times New Roman"/>
            <w:color w:val="000000"/>
            <w:sz w:val="16"/>
            <w:szCs w:val="16"/>
            <w:lang w:eastAsia="es-ES"/>
          </w:rPr>
          <w:t>8</w:t>
        </w:r>
      </w:sdtContent>
    </w:sdt>
  </w:p>
  <w:p w:rsidR="00F476DC" w:rsidRPr="00F476DC" w:rsidRDefault="00F476DC" w:rsidP="00F476DC">
    <w:pPr>
      <w:pStyle w:val="Piedepgina"/>
      <w:jc w:val="right"/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</w:pPr>
    <w:r w:rsidRPr="00F476DC"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  <w:t>CM-ND</w:t>
    </w:r>
    <w:r w:rsidR="002A627F"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  <w:t>-JN</w:t>
    </w:r>
  </w:p>
  <w:bookmarkEnd w:id="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F9C" w:rsidRDefault="004C3F9C" w:rsidP="00077556">
      <w:pPr>
        <w:spacing w:after="0" w:line="240" w:lineRule="auto"/>
      </w:pPr>
      <w:r>
        <w:separator/>
      </w:r>
    </w:p>
  </w:footnote>
  <w:footnote w:type="continuationSeparator" w:id="0">
    <w:p w:rsidR="004C3F9C" w:rsidRDefault="004C3F9C" w:rsidP="00077556">
      <w:pPr>
        <w:spacing w:after="0" w:line="240" w:lineRule="auto"/>
      </w:pPr>
      <w:r>
        <w:continuationSeparator/>
      </w:r>
    </w:p>
  </w:footnote>
  <w:footnote w:id="1">
    <w:p w:rsidR="00741D34" w:rsidRPr="00402127" w:rsidRDefault="00741D34" w:rsidP="00402127">
      <w:pPr>
        <w:pStyle w:val="Textonotapie"/>
        <w:jc w:val="both"/>
        <w:rPr>
          <w:rFonts w:ascii="Book Antiqua" w:hAnsi="Book Antiqua"/>
        </w:rPr>
      </w:pPr>
      <w:r w:rsidRPr="00402127">
        <w:rPr>
          <w:rStyle w:val="Refdenotaalpie"/>
          <w:rFonts w:ascii="Book Antiqua" w:hAnsi="Book Antiqua"/>
        </w:rPr>
        <w:footnoteRef/>
      </w:r>
      <w:r w:rsidRPr="00402127">
        <w:rPr>
          <w:rFonts w:ascii="Book Antiqua" w:hAnsi="Book Antiqua"/>
        </w:rPr>
        <w:t xml:space="preserve"> Artículo 59 y 60</w:t>
      </w:r>
      <w:r w:rsidR="0095413C" w:rsidRPr="00402127">
        <w:rPr>
          <w:rFonts w:ascii="Book Antiqua" w:hAnsi="Book Antiqua"/>
        </w:rPr>
        <w:t xml:space="preserve">. Decreto </w:t>
      </w:r>
      <w:r w:rsidR="005B568C" w:rsidRPr="00402127">
        <w:rPr>
          <w:rFonts w:ascii="Book Antiqua" w:hAnsi="Book Antiqua"/>
        </w:rPr>
        <w:t>N</w:t>
      </w:r>
      <w:r w:rsidR="00402127" w:rsidRPr="00402127">
        <w:rPr>
          <w:rFonts w:ascii="Book Antiqua" w:hAnsi="Book Antiqua"/>
        </w:rPr>
        <w:t xml:space="preserve">o. </w:t>
      </w:r>
      <w:r w:rsidR="005B568C" w:rsidRPr="00402127">
        <w:rPr>
          <w:rFonts w:ascii="Book Antiqua" w:hAnsi="Book Antiqua"/>
        </w:rPr>
        <w:t>131</w:t>
      </w:r>
      <w:r w:rsidR="007F3207">
        <w:rPr>
          <w:rFonts w:ascii="Book Antiqua" w:hAnsi="Book Antiqua"/>
        </w:rPr>
        <w:t xml:space="preserve"> </w:t>
      </w:r>
      <w:r w:rsidR="00402127" w:rsidRPr="00402127">
        <w:rPr>
          <w:rFonts w:ascii="Book Antiqua" w:hAnsi="Book Antiqua"/>
        </w:rPr>
        <w:t>de 1982.</w:t>
      </w:r>
      <w:r w:rsidR="005B568C" w:rsidRPr="00402127">
        <w:rPr>
          <w:rFonts w:ascii="Book Antiqua" w:hAnsi="Book Antiqua"/>
        </w:rPr>
        <w:t xml:space="preserve"> </w:t>
      </w:r>
    </w:p>
  </w:footnote>
  <w:footnote w:id="2">
    <w:p w:rsidR="009545E1" w:rsidRPr="00402127" w:rsidRDefault="009545E1" w:rsidP="00402127">
      <w:pPr>
        <w:pStyle w:val="Textonotapie"/>
        <w:jc w:val="both"/>
        <w:rPr>
          <w:rFonts w:ascii="Book Antiqua" w:hAnsi="Book Antiqua"/>
        </w:rPr>
      </w:pPr>
      <w:r w:rsidRPr="00402127">
        <w:rPr>
          <w:rStyle w:val="Refdenotaalpie"/>
          <w:rFonts w:ascii="Book Antiqua" w:hAnsi="Book Antiqua"/>
        </w:rPr>
        <w:footnoteRef/>
      </w:r>
      <w:r w:rsidRPr="00402127">
        <w:rPr>
          <w:rFonts w:ascii="Book Antiqua" w:hAnsi="Book Antiqua"/>
        </w:rPr>
        <w:t xml:space="preserve"> Decreto Legislativo No. 34-2000</w:t>
      </w:r>
      <w:r w:rsidR="00214014" w:rsidRPr="00402127">
        <w:rPr>
          <w:rFonts w:ascii="Book Antiqua" w:hAnsi="Book Antiqua"/>
        </w:rPr>
        <w:t>.</w:t>
      </w:r>
    </w:p>
  </w:footnote>
  <w:footnote w:id="3">
    <w:p w:rsidR="00A61E5C" w:rsidRPr="00402127" w:rsidRDefault="00A61E5C" w:rsidP="00402127">
      <w:pPr>
        <w:pStyle w:val="Textonotapie"/>
        <w:jc w:val="both"/>
        <w:rPr>
          <w:rFonts w:ascii="Book Antiqua" w:hAnsi="Book Antiqua"/>
        </w:rPr>
      </w:pPr>
      <w:r w:rsidRPr="00402127">
        <w:rPr>
          <w:rStyle w:val="Refdenotaalpie"/>
          <w:rFonts w:ascii="Book Antiqua" w:hAnsi="Book Antiqua"/>
        </w:rPr>
        <w:footnoteRef/>
      </w:r>
      <w:r w:rsidRPr="00402127">
        <w:rPr>
          <w:rFonts w:ascii="Book Antiqua" w:hAnsi="Book Antiqua"/>
        </w:rPr>
        <w:t xml:space="preserve"> Decreto No. 132-97</w:t>
      </w:r>
      <w:r w:rsidR="00214014" w:rsidRPr="00402127">
        <w:rPr>
          <w:rFonts w:ascii="Book Antiqua" w:hAnsi="Book Antiqua"/>
        </w:rPr>
        <w:t>.</w:t>
      </w:r>
    </w:p>
  </w:footnote>
  <w:footnote w:id="4">
    <w:p w:rsidR="00A61E5C" w:rsidRPr="00402127" w:rsidRDefault="00A61E5C" w:rsidP="00402127">
      <w:pPr>
        <w:pStyle w:val="Textonotapie"/>
        <w:jc w:val="both"/>
        <w:rPr>
          <w:rFonts w:ascii="Book Antiqua" w:hAnsi="Book Antiqua"/>
        </w:rPr>
      </w:pPr>
      <w:r w:rsidRPr="00402127">
        <w:rPr>
          <w:rStyle w:val="Refdenotaalpie"/>
          <w:rFonts w:ascii="Book Antiqua" w:hAnsi="Book Antiqua"/>
        </w:rPr>
        <w:footnoteRef/>
      </w:r>
      <w:r w:rsidRPr="00402127">
        <w:rPr>
          <w:rFonts w:ascii="Book Antiqua" w:hAnsi="Book Antiqua"/>
        </w:rPr>
        <w:t xml:space="preserve"> Decreto Legislativo No. 232-98</w:t>
      </w:r>
      <w:r w:rsidR="00214014" w:rsidRPr="00402127">
        <w:rPr>
          <w:rFonts w:ascii="Book Antiqua" w:hAnsi="Book Antiqua"/>
        </w:rPr>
        <w:t>.</w:t>
      </w:r>
    </w:p>
  </w:footnote>
  <w:footnote w:id="5">
    <w:p w:rsidR="00820863" w:rsidRPr="00402127" w:rsidRDefault="00820863" w:rsidP="00402127">
      <w:pPr>
        <w:pStyle w:val="Textonotapie"/>
        <w:jc w:val="both"/>
        <w:rPr>
          <w:rFonts w:ascii="Book Antiqua" w:hAnsi="Book Antiqua"/>
          <w:lang w:val="es-HN"/>
        </w:rPr>
      </w:pPr>
      <w:r w:rsidRPr="00402127">
        <w:rPr>
          <w:rStyle w:val="Refdenotaalpie"/>
          <w:rFonts w:ascii="Book Antiqua" w:hAnsi="Book Antiqua"/>
        </w:rPr>
        <w:footnoteRef/>
      </w:r>
      <w:r w:rsidRPr="00402127">
        <w:rPr>
          <w:rFonts w:ascii="Book Antiqua" w:hAnsi="Book Antiqua"/>
        </w:rPr>
        <w:t xml:space="preserve"> </w:t>
      </w:r>
      <w:r w:rsidR="00402127" w:rsidRPr="00402127">
        <w:rPr>
          <w:rFonts w:ascii="Book Antiqua" w:hAnsi="Book Antiqua"/>
          <w:lang w:val="es-HN"/>
        </w:rPr>
        <w:t xml:space="preserve">Decreto Legislativo No. 130-2017. </w:t>
      </w:r>
      <w:r w:rsidRPr="00402127">
        <w:rPr>
          <w:rFonts w:ascii="Book Antiqua" w:hAnsi="Book Antiqua"/>
        </w:rPr>
        <w:t>Capítulo III Crímenes de Guerra, artículos del 144 al 151; Capítulo IV Crimen de Agresión, artículo 152; Capítulo Disposiciones Comunes a los Crímenes de Lesa Humanidad Genocidio y de Guerra, artículos 153 al 157</w:t>
      </w:r>
      <w:r w:rsidR="00402127" w:rsidRPr="00402127">
        <w:rPr>
          <w:rFonts w:ascii="Book Antiqua" w:hAnsi="Book Antiqua"/>
        </w:rPr>
        <w:t>.</w:t>
      </w:r>
    </w:p>
  </w:footnote>
  <w:footnote w:id="6">
    <w:p w:rsidR="00820863" w:rsidRPr="00402127" w:rsidRDefault="00820863" w:rsidP="00402127">
      <w:pPr>
        <w:pStyle w:val="Textonotapie"/>
        <w:jc w:val="both"/>
        <w:rPr>
          <w:rFonts w:ascii="Book Antiqua" w:hAnsi="Book Antiqua"/>
          <w:lang w:val="es-HN"/>
        </w:rPr>
      </w:pPr>
      <w:r w:rsidRPr="00402127">
        <w:rPr>
          <w:rStyle w:val="Refdenotaalpie"/>
          <w:rFonts w:ascii="Book Antiqua" w:hAnsi="Book Antiqua"/>
        </w:rPr>
        <w:footnoteRef/>
      </w:r>
      <w:r w:rsidRPr="00402127">
        <w:rPr>
          <w:rFonts w:ascii="Book Antiqua" w:hAnsi="Book Antiqua"/>
        </w:rPr>
        <w:t xml:space="preserve"> </w:t>
      </w:r>
      <w:r w:rsidRPr="00402127">
        <w:rPr>
          <w:rFonts w:ascii="Book Antiqua" w:hAnsi="Book Antiqua"/>
          <w:lang w:val="es-HN"/>
        </w:rPr>
        <w:t xml:space="preserve">Consultado el 22 de </w:t>
      </w:r>
      <w:r w:rsidR="00465BDA">
        <w:rPr>
          <w:rFonts w:ascii="Book Antiqua" w:hAnsi="Book Antiqua"/>
          <w:lang w:val="es-HN"/>
        </w:rPr>
        <w:t>m</w:t>
      </w:r>
      <w:r w:rsidRPr="00402127">
        <w:rPr>
          <w:rFonts w:ascii="Book Antiqua" w:hAnsi="Book Antiqua"/>
          <w:lang w:val="es-HN"/>
        </w:rPr>
        <w:t xml:space="preserve">arzo de 2021, en: </w:t>
      </w:r>
      <w:hyperlink r:id="rId1" w:history="1">
        <w:r w:rsidRPr="00402127">
          <w:rPr>
            <w:rStyle w:val="Hipervnculo"/>
            <w:rFonts w:ascii="Book Antiqua" w:hAnsi="Book Antiqua"/>
            <w:lang w:val="es-HN"/>
          </w:rPr>
          <w:t>https://www.icrc.org/es/document/honduras-acciones-para-promover-un-entorno-mas-respetuoso-de-la-vida-y-la-dignidad-humana</w:t>
        </w:r>
      </w:hyperlink>
      <w:r w:rsidRPr="00402127">
        <w:rPr>
          <w:rFonts w:ascii="Book Antiqua" w:hAnsi="Book Antiqua"/>
          <w:lang w:val="es-HN"/>
        </w:rPr>
        <w:t xml:space="preserve"> </w:t>
      </w:r>
    </w:p>
  </w:footnote>
  <w:footnote w:id="7">
    <w:p w:rsidR="00A27D67" w:rsidRPr="00402127" w:rsidRDefault="00A27D67" w:rsidP="00402127">
      <w:pPr>
        <w:pStyle w:val="Textonotapie"/>
        <w:jc w:val="both"/>
        <w:rPr>
          <w:rFonts w:ascii="Book Antiqua" w:hAnsi="Book Antiqua"/>
        </w:rPr>
      </w:pPr>
      <w:r w:rsidRPr="00402127">
        <w:rPr>
          <w:rStyle w:val="Refdenotaalpie"/>
          <w:rFonts w:ascii="Book Antiqua" w:hAnsi="Book Antiqua"/>
        </w:rPr>
        <w:footnoteRef/>
      </w:r>
      <w:r w:rsidRPr="00402127">
        <w:rPr>
          <w:rFonts w:ascii="Book Antiqua" w:hAnsi="Book Antiqua"/>
        </w:rPr>
        <w:t xml:space="preserve"> </w:t>
      </w:r>
      <w:r w:rsidR="00B21BFB" w:rsidRPr="00B21BFB">
        <w:rPr>
          <w:rFonts w:ascii="Book Antiqua" w:hAnsi="Book Antiqua"/>
        </w:rPr>
        <w:t>D</w:t>
      </w:r>
      <w:r w:rsidR="00B21BFB">
        <w:rPr>
          <w:rFonts w:ascii="Book Antiqua" w:hAnsi="Book Antiqua"/>
        </w:rPr>
        <w:t>ecreto</w:t>
      </w:r>
      <w:r w:rsidR="00B21BFB" w:rsidRPr="00B21BFB">
        <w:rPr>
          <w:rFonts w:ascii="Book Antiqua" w:hAnsi="Book Antiqua"/>
        </w:rPr>
        <w:t xml:space="preserve"> N</w:t>
      </w:r>
      <w:r w:rsidR="00B21BFB">
        <w:rPr>
          <w:rFonts w:ascii="Book Antiqua" w:hAnsi="Book Antiqua"/>
        </w:rPr>
        <w:t>o</w:t>
      </w:r>
      <w:r w:rsidR="00B21BFB" w:rsidRPr="00B21BFB">
        <w:rPr>
          <w:rFonts w:ascii="Book Antiqua" w:hAnsi="Book Antiqua"/>
        </w:rPr>
        <w:t>.73-</w:t>
      </w:r>
      <w:r w:rsidR="00B21BFB" w:rsidRPr="00B21BFB">
        <w:rPr>
          <w:rFonts w:ascii="Times New Roman" w:hAnsi="Times New Roman" w:cs="Times New Roman"/>
        </w:rPr>
        <w:t>​</w:t>
      </w:r>
      <w:r w:rsidR="00B21BFB" w:rsidRPr="00B21BFB">
        <w:rPr>
          <w:rFonts w:ascii="Book Antiqua" w:hAnsi="Book Antiqua"/>
        </w:rPr>
        <w:t>96</w:t>
      </w:r>
      <w:r w:rsidR="00B21BFB">
        <w:rPr>
          <w:rFonts w:ascii="Book Antiqua" w:hAnsi="Book Antiqua"/>
        </w:rPr>
        <w:t>.</w:t>
      </w:r>
    </w:p>
  </w:footnote>
  <w:footnote w:id="8">
    <w:p w:rsidR="001C6CFE" w:rsidRPr="00402127" w:rsidRDefault="001C6CFE" w:rsidP="001C6CFE">
      <w:pPr>
        <w:pStyle w:val="Textonotapie"/>
        <w:jc w:val="both"/>
        <w:rPr>
          <w:rFonts w:ascii="Book Antiqua" w:hAnsi="Book Antiqua"/>
        </w:rPr>
      </w:pPr>
      <w:r w:rsidRPr="00402127">
        <w:rPr>
          <w:rStyle w:val="Refdenotaalpie"/>
          <w:rFonts w:ascii="Book Antiqua" w:hAnsi="Book Antiqua"/>
        </w:rPr>
        <w:footnoteRef/>
      </w:r>
      <w:r w:rsidRPr="00402127">
        <w:rPr>
          <w:rFonts w:ascii="Book Antiqua" w:hAnsi="Book Antiqua"/>
        </w:rPr>
        <w:t xml:space="preserve"> Decreto Legislativo 59-2012.</w:t>
      </w:r>
    </w:p>
  </w:footnote>
  <w:footnote w:id="9">
    <w:p w:rsidR="00C814DB" w:rsidRPr="00402127" w:rsidRDefault="00C814DB" w:rsidP="00402127">
      <w:pPr>
        <w:pStyle w:val="Textonotapie"/>
        <w:jc w:val="both"/>
        <w:rPr>
          <w:rFonts w:ascii="Book Antiqua" w:hAnsi="Book Antiqua"/>
        </w:rPr>
      </w:pPr>
      <w:r w:rsidRPr="00402127">
        <w:rPr>
          <w:rStyle w:val="Refdenotaalpie"/>
          <w:rFonts w:ascii="Book Antiqua" w:hAnsi="Book Antiqua"/>
        </w:rPr>
        <w:footnoteRef/>
      </w:r>
      <w:r w:rsidRPr="00402127">
        <w:rPr>
          <w:rFonts w:ascii="Book Antiqua" w:hAnsi="Book Antiqua"/>
        </w:rPr>
        <w:t xml:space="preserve"> </w:t>
      </w:r>
      <w:r w:rsidR="00B21BFB">
        <w:rPr>
          <w:rFonts w:ascii="Book Antiqua" w:hAnsi="Book Antiqua"/>
        </w:rPr>
        <w:t xml:space="preserve">Decreto </w:t>
      </w:r>
      <w:r w:rsidR="00B21BFB" w:rsidRPr="00B21BFB">
        <w:rPr>
          <w:rFonts w:ascii="Book Antiqua" w:hAnsi="Book Antiqua"/>
        </w:rPr>
        <w:t>Legislativo</w:t>
      </w:r>
      <w:r w:rsidR="00B21BFB">
        <w:rPr>
          <w:rFonts w:ascii="Book Antiqua" w:hAnsi="Book Antiqua"/>
        </w:rPr>
        <w:t xml:space="preserve"> </w:t>
      </w:r>
      <w:r w:rsidR="00B21BFB" w:rsidRPr="00B21BFB">
        <w:rPr>
          <w:rFonts w:ascii="Book Antiqua" w:hAnsi="Book Antiqua"/>
        </w:rPr>
        <w:t>No. 34-2015</w:t>
      </w:r>
      <w:r w:rsidR="00465BDA">
        <w:rPr>
          <w:rFonts w:ascii="Book Antiqua" w:hAnsi="Book Antiqua"/>
        </w:rPr>
        <w:t>.</w:t>
      </w:r>
    </w:p>
  </w:footnote>
  <w:footnote w:id="10">
    <w:p w:rsidR="00214014" w:rsidRPr="00402127" w:rsidRDefault="00214014" w:rsidP="00402127">
      <w:pPr>
        <w:pStyle w:val="Textonotapie"/>
        <w:jc w:val="both"/>
        <w:rPr>
          <w:rFonts w:ascii="Book Antiqua" w:hAnsi="Book Antiqua"/>
        </w:rPr>
      </w:pPr>
      <w:r w:rsidRPr="00402127">
        <w:rPr>
          <w:rStyle w:val="Refdenotaalpie"/>
          <w:rFonts w:ascii="Book Antiqua" w:hAnsi="Book Antiqua"/>
        </w:rPr>
        <w:footnoteRef/>
      </w:r>
      <w:r w:rsidRPr="00402127">
        <w:rPr>
          <w:rFonts w:ascii="Book Antiqua" w:hAnsi="Book Antiqua"/>
        </w:rPr>
        <w:t xml:space="preserve"> Acuerdo Ejecutivo 59-2016.</w:t>
      </w:r>
    </w:p>
  </w:footnote>
  <w:footnote w:id="11">
    <w:p w:rsidR="00214014" w:rsidRPr="00402127" w:rsidRDefault="00214014" w:rsidP="00402127">
      <w:pPr>
        <w:pStyle w:val="Textonotapie"/>
        <w:jc w:val="both"/>
        <w:rPr>
          <w:rFonts w:ascii="Book Antiqua" w:hAnsi="Book Antiqua"/>
          <w:lang w:val="es-HN"/>
        </w:rPr>
      </w:pPr>
      <w:r w:rsidRPr="00402127">
        <w:rPr>
          <w:rStyle w:val="Refdenotaalpie"/>
          <w:rFonts w:ascii="Book Antiqua" w:hAnsi="Book Antiqua"/>
        </w:rPr>
        <w:footnoteRef/>
      </w:r>
      <w:r w:rsidRPr="00402127">
        <w:rPr>
          <w:rFonts w:ascii="Book Antiqua" w:hAnsi="Book Antiqua"/>
        </w:rPr>
        <w:t xml:space="preserve"> </w:t>
      </w:r>
      <w:r w:rsidRPr="00402127">
        <w:rPr>
          <w:rFonts w:ascii="Book Antiqua" w:hAnsi="Book Antiqua"/>
          <w:lang w:val="es-HN"/>
        </w:rPr>
        <w:t xml:space="preserve">Decreto PCM-031-2016. </w:t>
      </w:r>
    </w:p>
  </w:footnote>
  <w:footnote w:id="12">
    <w:p w:rsidR="00B62967" w:rsidRPr="00402127" w:rsidRDefault="00B62967" w:rsidP="00402127">
      <w:pPr>
        <w:pStyle w:val="Textonotapie"/>
        <w:jc w:val="both"/>
        <w:rPr>
          <w:rFonts w:ascii="Book Antiqua" w:hAnsi="Book Antiqua"/>
        </w:rPr>
      </w:pPr>
      <w:r w:rsidRPr="00402127">
        <w:rPr>
          <w:rStyle w:val="Refdenotaalpie"/>
          <w:rFonts w:ascii="Book Antiqua" w:hAnsi="Book Antiqua"/>
        </w:rPr>
        <w:footnoteRef/>
      </w:r>
      <w:r w:rsidRPr="00402127">
        <w:rPr>
          <w:rFonts w:ascii="Book Antiqua" w:hAnsi="Book Antiqua"/>
        </w:rPr>
        <w:t xml:space="preserve"> Decreto Legislativo 159-2016, y desconcentra</w:t>
      </w:r>
      <w:r w:rsidR="00402127">
        <w:rPr>
          <w:rFonts w:ascii="Book Antiqua" w:hAnsi="Book Antiqua"/>
        </w:rPr>
        <w:t>da</w:t>
      </w:r>
      <w:r w:rsidRPr="00402127">
        <w:rPr>
          <w:rFonts w:ascii="Book Antiqua" w:hAnsi="Book Antiqua"/>
        </w:rPr>
        <w:t xml:space="preserve"> mediante Decreto Ejecutivo PCM-023-2018.</w:t>
      </w:r>
    </w:p>
  </w:footnote>
  <w:footnote w:id="13">
    <w:p w:rsidR="00402127" w:rsidRPr="00402127" w:rsidRDefault="00402127" w:rsidP="00402127">
      <w:pPr>
        <w:pStyle w:val="Textonotapie"/>
        <w:jc w:val="both"/>
        <w:rPr>
          <w:rFonts w:ascii="Book Antiqua" w:hAnsi="Book Antiqua"/>
        </w:rPr>
      </w:pPr>
      <w:r w:rsidRPr="00402127">
        <w:rPr>
          <w:rStyle w:val="Refdenotaalpie"/>
          <w:rFonts w:ascii="Book Antiqua" w:hAnsi="Book Antiqua"/>
        </w:rPr>
        <w:footnoteRef/>
      </w:r>
      <w:r w:rsidRPr="00402127">
        <w:rPr>
          <w:rFonts w:ascii="Book Antiqua" w:hAnsi="Book Antiqua"/>
        </w:rPr>
        <w:t xml:space="preserve"> Decreto Legislativo No. 286-2009</w:t>
      </w:r>
    </w:p>
  </w:footnote>
  <w:footnote w:id="14">
    <w:p w:rsidR="00A61E5C" w:rsidRPr="00402127" w:rsidRDefault="00A61E5C" w:rsidP="00402127">
      <w:pPr>
        <w:pStyle w:val="Textonotapie"/>
        <w:jc w:val="both"/>
        <w:rPr>
          <w:rFonts w:ascii="Book Antiqua" w:hAnsi="Book Antiqua"/>
        </w:rPr>
      </w:pPr>
      <w:r w:rsidRPr="00402127">
        <w:rPr>
          <w:rStyle w:val="Refdenotaalpie"/>
          <w:rFonts w:ascii="Book Antiqua" w:hAnsi="Book Antiqua"/>
        </w:rPr>
        <w:footnoteRef/>
      </w:r>
      <w:r w:rsidRPr="00402127">
        <w:rPr>
          <w:rFonts w:ascii="Book Antiqua" w:hAnsi="Book Antiqua"/>
        </w:rPr>
        <w:t xml:space="preserve"> Decreto </w:t>
      </w:r>
      <w:r w:rsidR="00B50B3C">
        <w:rPr>
          <w:rFonts w:ascii="Book Antiqua" w:hAnsi="Book Antiqua"/>
        </w:rPr>
        <w:t>PCM-028-2010.</w:t>
      </w:r>
    </w:p>
  </w:footnote>
  <w:footnote w:id="15">
    <w:p w:rsidR="00D356C9" w:rsidRPr="00214014" w:rsidRDefault="00D356C9" w:rsidP="005C45A9">
      <w:pPr>
        <w:pStyle w:val="Textonotapie"/>
        <w:jc w:val="both"/>
        <w:rPr>
          <w:rFonts w:ascii="Book Antiqua" w:hAnsi="Book Antiqua"/>
        </w:rPr>
      </w:pPr>
      <w:r w:rsidRPr="00214014">
        <w:rPr>
          <w:rStyle w:val="Refdenotaalpie"/>
          <w:rFonts w:ascii="Book Antiqua" w:hAnsi="Book Antiqua"/>
        </w:rPr>
        <w:footnoteRef/>
      </w:r>
      <w:r w:rsidR="00741D34" w:rsidRPr="00214014">
        <w:rPr>
          <w:rFonts w:ascii="Book Antiqua" w:hAnsi="Book Antiqua"/>
        </w:rPr>
        <w:t xml:space="preserve"> Decreto PCM 012-2014.</w:t>
      </w:r>
    </w:p>
  </w:footnote>
  <w:footnote w:id="16">
    <w:p w:rsidR="004C5A2C" w:rsidRPr="004C5A2C" w:rsidRDefault="004C5A2C">
      <w:pPr>
        <w:pStyle w:val="Textonotapie"/>
        <w:rPr>
          <w:rFonts w:ascii="Book Antiqua" w:hAnsi="Book Antiqua"/>
        </w:rPr>
      </w:pPr>
      <w:r w:rsidRPr="004C5A2C">
        <w:rPr>
          <w:rStyle w:val="Refdenotaalpie"/>
          <w:rFonts w:ascii="Book Antiqua" w:hAnsi="Book Antiqua"/>
        </w:rPr>
        <w:footnoteRef/>
      </w:r>
      <w:r w:rsidRPr="004C5A2C">
        <w:rPr>
          <w:rFonts w:ascii="Book Antiqua" w:hAnsi="Book Antiqua"/>
        </w:rPr>
        <w:t xml:space="preserve"> Acuerdo Ejecutivo 487-2016.</w:t>
      </w:r>
    </w:p>
  </w:footnote>
  <w:footnote w:id="17">
    <w:p w:rsidR="005C45A9" w:rsidRPr="004C5A2C" w:rsidRDefault="005C45A9" w:rsidP="005C45A9">
      <w:pPr>
        <w:pStyle w:val="Textonotapie"/>
        <w:jc w:val="both"/>
        <w:rPr>
          <w:rFonts w:ascii="Book Antiqua" w:hAnsi="Book Antiqua"/>
        </w:rPr>
      </w:pPr>
      <w:r w:rsidRPr="004C5A2C">
        <w:rPr>
          <w:rStyle w:val="Refdenotaalpie"/>
          <w:rFonts w:ascii="Book Antiqua" w:hAnsi="Book Antiqua"/>
        </w:rPr>
        <w:footnoteRef/>
      </w:r>
      <w:r w:rsidRPr="004C5A2C">
        <w:rPr>
          <w:rFonts w:ascii="Book Antiqua" w:hAnsi="Book Antiqua"/>
        </w:rPr>
        <w:t xml:space="preserve"> Decreto Ejecutivo PCM-055-2017.</w:t>
      </w:r>
    </w:p>
  </w:footnote>
  <w:footnote w:id="18">
    <w:p w:rsidR="00D51684" w:rsidRPr="004B2CC7" w:rsidRDefault="00D51684" w:rsidP="004B2CC7">
      <w:pPr>
        <w:pStyle w:val="Textonotapie"/>
        <w:jc w:val="both"/>
        <w:rPr>
          <w:rFonts w:ascii="Book Antiqua" w:hAnsi="Book Antiqua"/>
        </w:rPr>
      </w:pPr>
      <w:r w:rsidRPr="004B2CC7">
        <w:rPr>
          <w:rStyle w:val="Refdenotaalpie"/>
          <w:rFonts w:ascii="Book Antiqua" w:hAnsi="Book Antiqua"/>
        </w:rPr>
        <w:footnoteRef/>
      </w:r>
      <w:r w:rsidRPr="004B2CC7">
        <w:rPr>
          <w:rFonts w:ascii="Book Antiqua" w:hAnsi="Book Antiqua"/>
        </w:rPr>
        <w:t xml:space="preserve"> Consultado el 24 de marzo de 2021 en: </w:t>
      </w:r>
      <w:hyperlink r:id="rId2" w:history="1">
        <w:r w:rsidRPr="004B2CC7">
          <w:rPr>
            <w:rStyle w:val="Hipervnculo"/>
            <w:rFonts w:ascii="Book Antiqua" w:hAnsi="Book Antiqua"/>
          </w:rPr>
          <w:t>https://tbinternet.ohchr.org/Treaties/CMW/Shared%20Documents/HND/INT_CMW_ADR_HND_23859_S.pdf</w:t>
        </w:r>
      </w:hyperlink>
    </w:p>
  </w:footnote>
  <w:footnote w:id="19">
    <w:p w:rsidR="00A739BB" w:rsidRPr="004B2CC7" w:rsidRDefault="00A739BB" w:rsidP="004B2CC7">
      <w:pPr>
        <w:pStyle w:val="Textonotapie"/>
        <w:jc w:val="both"/>
        <w:rPr>
          <w:rFonts w:ascii="Book Antiqua" w:hAnsi="Book Antiqua"/>
        </w:rPr>
      </w:pPr>
      <w:r w:rsidRPr="004B2CC7">
        <w:rPr>
          <w:rStyle w:val="Refdenotaalpie"/>
          <w:rFonts w:ascii="Book Antiqua" w:hAnsi="Book Antiqua"/>
        </w:rPr>
        <w:footnoteRef/>
      </w:r>
      <w:r w:rsidRPr="004B2CC7">
        <w:rPr>
          <w:rFonts w:ascii="Book Antiqua" w:hAnsi="Book Antiqua"/>
        </w:rPr>
        <w:t xml:space="preserve"> Artículo</w:t>
      </w:r>
      <w:r w:rsidR="001C6CFE" w:rsidRPr="004B2CC7">
        <w:rPr>
          <w:rFonts w:ascii="Book Antiqua" w:hAnsi="Book Antiqua"/>
        </w:rPr>
        <w:t xml:space="preserve"> 1 y</w:t>
      </w:r>
      <w:r w:rsidRPr="004B2CC7">
        <w:rPr>
          <w:rFonts w:ascii="Book Antiqua" w:hAnsi="Book Antiqua"/>
        </w:rPr>
        <w:t xml:space="preserve"> 4, inciso 1. Decreto No. 34-2015. </w:t>
      </w:r>
    </w:p>
  </w:footnote>
  <w:footnote w:id="20">
    <w:p w:rsidR="00DB5CC3" w:rsidRPr="008B7D93" w:rsidRDefault="00DB5CC3" w:rsidP="00DB5CC3">
      <w:pPr>
        <w:pStyle w:val="Textonotapie"/>
        <w:jc w:val="both"/>
        <w:rPr>
          <w:rFonts w:ascii="Book Antiqua" w:hAnsi="Book Antiqua"/>
        </w:rPr>
      </w:pPr>
      <w:r w:rsidRPr="008B7D93">
        <w:rPr>
          <w:rStyle w:val="Refdenotaalpie"/>
          <w:rFonts w:ascii="Book Antiqua" w:hAnsi="Book Antiqua"/>
        </w:rPr>
        <w:footnoteRef/>
      </w:r>
      <w:r w:rsidRPr="008B7D93">
        <w:rPr>
          <w:rFonts w:ascii="Book Antiqua" w:hAnsi="Book Antiqua"/>
        </w:rPr>
        <w:t xml:space="preserve"> Decreto Legislativo 99-20, Gaceta No. 35,353.</w:t>
      </w:r>
    </w:p>
  </w:footnote>
  <w:footnote w:id="21">
    <w:p w:rsidR="008B7D93" w:rsidRPr="00405429" w:rsidRDefault="008B7D93" w:rsidP="00F84424">
      <w:pPr>
        <w:pStyle w:val="Textonotapie"/>
        <w:jc w:val="both"/>
        <w:rPr>
          <w:rFonts w:ascii="Book Antiqua" w:hAnsi="Book Antiqua"/>
          <w:lang w:val="es-HN"/>
        </w:rPr>
      </w:pPr>
      <w:r w:rsidRPr="00405429">
        <w:rPr>
          <w:rStyle w:val="Refdenotaalpie"/>
          <w:rFonts w:ascii="Book Antiqua" w:hAnsi="Book Antiqua"/>
        </w:rPr>
        <w:footnoteRef/>
      </w:r>
      <w:r w:rsidRPr="00405429">
        <w:rPr>
          <w:rFonts w:ascii="Book Antiqua" w:hAnsi="Book Antiqua"/>
        </w:rPr>
        <w:t xml:space="preserve"> </w:t>
      </w:r>
      <w:r w:rsidRPr="00405429">
        <w:rPr>
          <w:rFonts w:ascii="Book Antiqua" w:hAnsi="Book Antiqua"/>
          <w:lang w:val="es-HN"/>
        </w:rPr>
        <w:t>Noveno Informe Periódico del Estado de Honduras Relativo a la Convención sobre la Eliminación de Todas las Formas de Discriminación Contra la Mujer. (2020) pág. 10.</w:t>
      </w:r>
    </w:p>
  </w:footnote>
  <w:footnote w:id="22">
    <w:p w:rsidR="00575903" w:rsidRPr="00405429" w:rsidRDefault="00575903" w:rsidP="00F84424">
      <w:pPr>
        <w:pStyle w:val="Textonotapie"/>
        <w:jc w:val="both"/>
        <w:rPr>
          <w:rFonts w:ascii="Book Antiqua" w:hAnsi="Book Antiqua"/>
        </w:rPr>
      </w:pPr>
      <w:r w:rsidRPr="00405429">
        <w:rPr>
          <w:rStyle w:val="Refdenotaalpie"/>
          <w:rFonts w:ascii="Book Antiqua" w:hAnsi="Book Antiqua"/>
        </w:rPr>
        <w:footnoteRef/>
      </w:r>
      <w:r w:rsidRPr="00405429">
        <w:rPr>
          <w:rFonts w:ascii="Book Antiqua" w:hAnsi="Book Antiqua"/>
        </w:rPr>
        <w:t xml:space="preserve"> Consultado el 10 de diciembre, en: </w:t>
      </w:r>
      <w:hyperlink r:id="rId3" w:history="1">
        <w:r w:rsidRPr="00405429">
          <w:rPr>
            <w:rStyle w:val="Hipervnculo"/>
            <w:rFonts w:ascii="Book Antiqua" w:hAnsi="Book Antiqua"/>
          </w:rPr>
          <w:t>https://conecta.gob.hn/welcome/</w:t>
        </w:r>
      </w:hyperlink>
    </w:p>
  </w:footnote>
  <w:footnote w:id="23">
    <w:p w:rsidR="006B7133" w:rsidRPr="00405429" w:rsidRDefault="006B7133" w:rsidP="00F84424">
      <w:pPr>
        <w:pStyle w:val="Textonotapie"/>
        <w:jc w:val="both"/>
        <w:rPr>
          <w:rFonts w:ascii="Book Antiqua" w:hAnsi="Book Antiqua"/>
        </w:rPr>
      </w:pPr>
      <w:r w:rsidRPr="00405429">
        <w:rPr>
          <w:rStyle w:val="Refdenotaalpie"/>
          <w:rFonts w:ascii="Book Antiqua" w:hAnsi="Book Antiqua"/>
        </w:rPr>
        <w:footnoteRef/>
      </w:r>
      <w:r w:rsidRPr="00405429">
        <w:rPr>
          <w:rFonts w:ascii="Book Antiqua" w:hAnsi="Book Antiqua"/>
        </w:rPr>
        <w:t xml:space="preserve"> Acuerdo 001-CISMWMF-2019.</w:t>
      </w:r>
    </w:p>
  </w:footnote>
  <w:footnote w:id="24">
    <w:p w:rsidR="001E59F4" w:rsidRPr="00405429" w:rsidRDefault="001E59F4" w:rsidP="001E59F4">
      <w:pPr>
        <w:pStyle w:val="Textonotapie"/>
        <w:rPr>
          <w:rFonts w:ascii="Book Antiqua" w:hAnsi="Book Antiqua"/>
        </w:rPr>
      </w:pPr>
      <w:r w:rsidRPr="00405429">
        <w:rPr>
          <w:rStyle w:val="Refdenotaalpie"/>
          <w:rFonts w:ascii="Book Antiqua" w:hAnsi="Book Antiqua"/>
        </w:rPr>
        <w:footnoteRef/>
      </w:r>
      <w:r w:rsidRPr="00405429">
        <w:rPr>
          <w:rFonts w:ascii="Book Antiqua" w:hAnsi="Book Antiqua"/>
        </w:rPr>
        <w:t xml:space="preserve"> Acuerdo No. 05-2015</w:t>
      </w:r>
      <w:r>
        <w:rPr>
          <w:rFonts w:ascii="Book Antiqua" w:hAnsi="Book Antiqua"/>
        </w:rPr>
        <w:t xml:space="preserve"> de la CSJ</w:t>
      </w:r>
      <w:r w:rsidRPr="00405429">
        <w:rPr>
          <w:rFonts w:ascii="Book Antiqua" w:hAnsi="Book Antiqua"/>
        </w:rPr>
        <w:t>.</w:t>
      </w:r>
    </w:p>
  </w:footnote>
  <w:footnote w:id="25">
    <w:p w:rsidR="00965D9E" w:rsidRPr="002E7C89" w:rsidRDefault="00965D9E" w:rsidP="00965D9E">
      <w:pPr>
        <w:pStyle w:val="Textonotapie"/>
        <w:jc w:val="both"/>
        <w:rPr>
          <w:rFonts w:ascii="Book Antiqua" w:hAnsi="Book Antiqua"/>
          <w:lang w:val="es-HN"/>
        </w:rPr>
      </w:pPr>
      <w:r w:rsidRPr="002E7C89">
        <w:rPr>
          <w:rStyle w:val="Refdenotaalpie"/>
          <w:rFonts w:ascii="Book Antiqua" w:hAnsi="Book Antiqua"/>
        </w:rPr>
        <w:footnoteRef/>
      </w:r>
      <w:r w:rsidRPr="002E7C89">
        <w:rPr>
          <w:rFonts w:ascii="Book Antiqua" w:hAnsi="Book Antiqua"/>
        </w:rPr>
        <w:t xml:space="preserve"> </w:t>
      </w:r>
      <w:r w:rsidRPr="002E7C89">
        <w:rPr>
          <w:rFonts w:ascii="Book Antiqua" w:hAnsi="Book Antiqua"/>
          <w:lang w:val="es-HN"/>
        </w:rPr>
        <w:t xml:space="preserve">Consultado el 23 de marzo de 2021, en: </w:t>
      </w:r>
      <w:hyperlink r:id="rId4" w:history="1">
        <w:r w:rsidRPr="002E7C89">
          <w:rPr>
            <w:rStyle w:val="Hipervnculo"/>
            <w:rFonts w:ascii="Book Antiqua" w:hAnsi="Book Antiqua"/>
            <w:lang w:val="es-HN"/>
          </w:rPr>
          <w:t>https://www.ciudadmujer.gob.hn/servicios/</w:t>
        </w:r>
      </w:hyperlink>
      <w:r w:rsidRPr="002E7C89">
        <w:rPr>
          <w:rFonts w:ascii="Book Antiqua" w:hAnsi="Book Antiqua"/>
          <w:lang w:val="es-HN"/>
        </w:rPr>
        <w:t xml:space="preserve"> </w:t>
      </w:r>
    </w:p>
  </w:footnote>
  <w:footnote w:id="26">
    <w:p w:rsidR="00824C87" w:rsidRPr="002E7C89" w:rsidRDefault="00824C87" w:rsidP="00824C87">
      <w:pPr>
        <w:pStyle w:val="Textonotapie"/>
        <w:jc w:val="both"/>
        <w:rPr>
          <w:rFonts w:ascii="Book Antiqua" w:hAnsi="Book Antiqua"/>
        </w:rPr>
      </w:pPr>
      <w:r w:rsidRPr="002E7C89">
        <w:rPr>
          <w:rStyle w:val="Refdenotaalpie"/>
          <w:rFonts w:ascii="Book Antiqua" w:hAnsi="Book Antiqua"/>
        </w:rPr>
        <w:footnoteRef/>
      </w:r>
      <w:r w:rsidRPr="002E7C89">
        <w:rPr>
          <w:rFonts w:ascii="Book Antiqua" w:hAnsi="Book Antiqua"/>
        </w:rPr>
        <w:t xml:space="preserve"> </w:t>
      </w:r>
      <w:r w:rsidRPr="002E7C89">
        <w:rPr>
          <w:rFonts w:ascii="Book Antiqua" w:hAnsi="Book Antiqua"/>
          <w:bCs/>
        </w:rPr>
        <w:t>Consultado el 24 de marzo de 2021, en: </w:t>
      </w:r>
      <w:hyperlink r:id="rId5" w:tgtFrame="_blank" w:history="1">
        <w:r w:rsidRPr="002E7C89">
          <w:rPr>
            <w:rStyle w:val="Hipervnculo"/>
            <w:rFonts w:ascii="Book Antiqua" w:hAnsi="Book Antiqua"/>
            <w:bCs/>
          </w:rPr>
          <w:t>https://drive.google.com/drive/folders/1JU7EESXDy-IN6D7ICTIYF9vrmUV-MIQq</w:t>
        </w:r>
      </w:hyperlink>
    </w:p>
  </w:footnote>
  <w:footnote w:id="27">
    <w:p w:rsidR="00965D9E" w:rsidRPr="002E7C89" w:rsidRDefault="00965D9E" w:rsidP="00965D9E">
      <w:pPr>
        <w:pStyle w:val="Textonotapie"/>
        <w:jc w:val="both"/>
        <w:rPr>
          <w:rFonts w:ascii="Book Antiqua" w:hAnsi="Book Antiqua"/>
        </w:rPr>
      </w:pPr>
      <w:r w:rsidRPr="002E7C89">
        <w:rPr>
          <w:rStyle w:val="Refdenotaalpie"/>
          <w:rFonts w:ascii="Book Antiqua" w:hAnsi="Book Antiqua"/>
        </w:rPr>
        <w:footnoteRef/>
      </w:r>
      <w:r w:rsidRPr="002E7C8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Pr="002E7C89">
        <w:rPr>
          <w:rFonts w:ascii="Book Antiqua" w:hAnsi="Book Antiqua"/>
        </w:rPr>
        <w:t xml:space="preserve">tiende casos de violencia domestica e intrafamiliar, violencia sexual, laboral, contra niñas, niños y adolescentes y violencia comunitaria. </w:t>
      </w:r>
    </w:p>
  </w:footnote>
  <w:footnote w:id="28">
    <w:p w:rsidR="00965D9E" w:rsidRPr="00496331" w:rsidRDefault="00965D9E" w:rsidP="00965D9E">
      <w:pPr>
        <w:pStyle w:val="Textonotapie"/>
        <w:jc w:val="both"/>
        <w:rPr>
          <w:rFonts w:ascii="Book Antiqua" w:hAnsi="Book Antiqua"/>
          <w:lang w:val="es-HN"/>
        </w:rPr>
      </w:pPr>
      <w:r w:rsidRPr="00496331">
        <w:rPr>
          <w:rStyle w:val="Refdenotaalpie"/>
          <w:rFonts w:ascii="Book Antiqua" w:hAnsi="Book Antiqua"/>
        </w:rPr>
        <w:footnoteRef/>
      </w:r>
      <w:r w:rsidRPr="00496331">
        <w:rPr>
          <w:rFonts w:ascii="Book Antiqua" w:hAnsi="Book Antiqua"/>
        </w:rPr>
        <w:t xml:space="preserve"> </w:t>
      </w:r>
      <w:r w:rsidRPr="00496331">
        <w:rPr>
          <w:rFonts w:ascii="Book Antiqua" w:hAnsi="Book Antiqua"/>
          <w:lang w:val="es-HN"/>
        </w:rPr>
        <w:t xml:space="preserve">Consultado el 23 de marzo de 2021, en: </w:t>
      </w:r>
      <w:hyperlink r:id="rId6" w:history="1">
        <w:r w:rsidRPr="00496331">
          <w:rPr>
            <w:rStyle w:val="Hipervnculo"/>
            <w:rFonts w:ascii="Book Antiqua" w:hAnsi="Book Antiqua"/>
            <w:lang w:val="es-HN"/>
          </w:rPr>
          <w:t>https://www.ciudadmujer.gob.hn/servicios/maprodem/</w:t>
        </w:r>
      </w:hyperlink>
      <w:r w:rsidRPr="00496331">
        <w:rPr>
          <w:rFonts w:ascii="Book Antiqua" w:hAnsi="Book Antiqua"/>
          <w:lang w:val="es-HN"/>
        </w:rPr>
        <w:t xml:space="preserve"> </w:t>
      </w:r>
    </w:p>
  </w:footnote>
  <w:footnote w:id="29">
    <w:p w:rsidR="00965D9E" w:rsidRPr="00496331" w:rsidRDefault="00965D9E" w:rsidP="00965D9E">
      <w:pPr>
        <w:pStyle w:val="Textonotapie"/>
        <w:jc w:val="both"/>
        <w:rPr>
          <w:rFonts w:ascii="Book Antiqua" w:hAnsi="Book Antiqua"/>
          <w:lang w:val="es-419"/>
        </w:rPr>
      </w:pPr>
      <w:r w:rsidRPr="00496331">
        <w:rPr>
          <w:rStyle w:val="Refdenotaalpie"/>
          <w:rFonts w:ascii="Book Antiqua" w:hAnsi="Book Antiqua"/>
        </w:rPr>
        <w:footnoteRef/>
      </w:r>
      <w:r w:rsidRPr="00496331">
        <w:rPr>
          <w:rFonts w:ascii="Book Antiqua" w:hAnsi="Book Antiqua"/>
        </w:rPr>
        <w:t xml:space="preserve"> Ciudad Mujer. </w:t>
      </w:r>
      <w:r w:rsidRPr="00496331">
        <w:rPr>
          <w:rFonts w:ascii="Book Antiqua" w:hAnsi="Book Antiqua"/>
          <w:bCs/>
        </w:rPr>
        <w:t xml:space="preserve">Informe Anual 2020, consultado el 24 de marzo de 2021, en: </w:t>
      </w:r>
      <w:hyperlink r:id="rId7" w:tgtFrame="_blank" w:history="1">
        <w:r w:rsidRPr="00496331">
          <w:rPr>
            <w:rStyle w:val="Hipervnculo"/>
            <w:rFonts w:ascii="Book Antiqua" w:hAnsi="Book Antiqua"/>
            <w:bCs/>
          </w:rPr>
          <w:t>https://portalunico.iaip.gob.hn/portal/ver_documento.php?uid=OTczMDUyODkzNDc2MzQ4NzEyNDYxOTg3MjM0Mg==</w:t>
        </w:r>
      </w:hyperlink>
      <w:r w:rsidRPr="00496331">
        <w:rPr>
          <w:rFonts w:ascii="Book Antiqua" w:hAnsi="Book Antiqua"/>
          <w:bCs/>
        </w:rPr>
        <w:t> </w:t>
      </w:r>
    </w:p>
  </w:footnote>
  <w:footnote w:id="30">
    <w:p w:rsidR="00AB6792" w:rsidRPr="00162267" w:rsidRDefault="00AB6792" w:rsidP="00162267">
      <w:pPr>
        <w:pStyle w:val="Textonotapie"/>
        <w:jc w:val="both"/>
        <w:rPr>
          <w:rFonts w:ascii="Book Antiqua" w:hAnsi="Book Antiqua"/>
        </w:rPr>
      </w:pPr>
      <w:r w:rsidRPr="00162267">
        <w:rPr>
          <w:rStyle w:val="Refdenotaalpie"/>
          <w:rFonts w:ascii="Book Antiqua" w:hAnsi="Book Antiqua"/>
        </w:rPr>
        <w:footnoteRef/>
      </w:r>
      <w:r w:rsidRPr="00162267">
        <w:rPr>
          <w:rFonts w:ascii="Book Antiqua" w:hAnsi="Book Antiqua"/>
        </w:rPr>
        <w:t xml:space="preserve"> </w:t>
      </w:r>
      <w:r w:rsidR="00162267" w:rsidRPr="00162267">
        <w:rPr>
          <w:rFonts w:ascii="Book Antiqua" w:hAnsi="Book Antiqua"/>
        </w:rPr>
        <w:t xml:space="preserve">Consultado   el   22   de   Marzo   de   2021, en: </w:t>
      </w:r>
      <w:hyperlink r:id="rId8" w:history="1">
        <w:r w:rsidR="00162267" w:rsidRPr="00162267">
          <w:rPr>
            <w:rStyle w:val="Hipervnculo"/>
            <w:rFonts w:ascii="Book Antiqua" w:hAnsi="Book Antiqua"/>
          </w:rPr>
          <w:t>https://www.icrc.org/es/document/honduras-acciones-para-promover-un-entorno-mas-respetuoso-de-la-vida-y-la-dignidad-humana</w:t>
        </w:r>
      </w:hyperlink>
      <w:r w:rsidR="00162267" w:rsidRPr="00162267">
        <w:rPr>
          <w:rFonts w:ascii="Book Antiqua" w:hAnsi="Book Antiqua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6DA" w:rsidRDefault="008456D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6DA" w:rsidRDefault="008456D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6C0" w:rsidRDefault="008446C0">
    <w:pPr>
      <w:pStyle w:val="Encabezado"/>
    </w:pPr>
    <w:r>
      <w:rPr>
        <w:noProof/>
        <w:lang w:val="es-HN" w:eastAsia="es-HN"/>
      </w:rPr>
      <w:drawing>
        <wp:anchor distT="0" distB="0" distL="114300" distR="114300" simplePos="0" relativeHeight="251659264" behindDoc="1" locked="0" layoutInCell="1" allowOverlap="1" wp14:anchorId="6F3F4F2B" wp14:editId="6ACD0A12">
          <wp:simplePos x="0" y="0"/>
          <wp:positionH relativeFrom="page">
            <wp:posOffset>-209550</wp:posOffset>
          </wp:positionH>
          <wp:positionV relativeFrom="paragraph">
            <wp:posOffset>-476250</wp:posOffset>
          </wp:positionV>
          <wp:extent cx="7764780" cy="10734675"/>
          <wp:effectExtent l="0" t="0" r="7620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Papel Membretado Tamaño Carta-SEDH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780" cy="10734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A5406" w:rsidRDefault="00257D4B">
    <w:pPr>
      <w:pStyle w:val="Encabezado"/>
    </w:pPr>
    <w:r>
      <w:t xml:space="preserve"> </w:t>
    </w:r>
  </w:p>
  <w:p w:rsidR="000A5406" w:rsidRDefault="004C3F9C">
    <w:pPr>
      <w:pStyle w:val="Encabezado"/>
    </w:pPr>
  </w:p>
  <w:p w:rsidR="000A5406" w:rsidRDefault="004C3F9C">
    <w:pPr>
      <w:pStyle w:val="Encabezado"/>
    </w:pPr>
  </w:p>
  <w:p w:rsidR="000A5406" w:rsidRDefault="004C3F9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613995"/>
    <w:multiLevelType w:val="hybridMultilevel"/>
    <w:tmpl w:val="BEA44500"/>
    <w:lvl w:ilvl="0" w:tplc="480A0017">
      <w:start w:val="1"/>
      <w:numFmt w:val="lowerLetter"/>
      <w:lvlText w:val="%1)"/>
      <w:lvlJc w:val="left"/>
      <w:pPr>
        <w:ind w:left="720" w:hanging="360"/>
      </w:pPr>
    </w:lvl>
    <w:lvl w:ilvl="1" w:tplc="83143ED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10C53"/>
    <w:multiLevelType w:val="hybridMultilevel"/>
    <w:tmpl w:val="B924484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A55EB"/>
    <w:multiLevelType w:val="hybridMultilevel"/>
    <w:tmpl w:val="D4F205B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B6822"/>
    <w:multiLevelType w:val="hybridMultilevel"/>
    <w:tmpl w:val="7FD8FAC6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D07D3"/>
    <w:multiLevelType w:val="multilevel"/>
    <w:tmpl w:val="C8005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3B3E35"/>
    <w:multiLevelType w:val="hybridMultilevel"/>
    <w:tmpl w:val="8D8CAC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D96DFB"/>
    <w:multiLevelType w:val="hybridMultilevel"/>
    <w:tmpl w:val="19F07304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2970DA"/>
    <w:multiLevelType w:val="hybridMultilevel"/>
    <w:tmpl w:val="C4464E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674CF"/>
    <w:multiLevelType w:val="hybridMultilevel"/>
    <w:tmpl w:val="D798660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53006"/>
    <w:multiLevelType w:val="hybridMultilevel"/>
    <w:tmpl w:val="1FD6C2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84F76"/>
    <w:multiLevelType w:val="hybridMultilevel"/>
    <w:tmpl w:val="44307C30"/>
    <w:lvl w:ilvl="0" w:tplc="9264738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B20614"/>
    <w:multiLevelType w:val="hybridMultilevel"/>
    <w:tmpl w:val="9E906E6A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E64EF0"/>
    <w:multiLevelType w:val="hybridMultilevel"/>
    <w:tmpl w:val="23B2A4AA"/>
    <w:lvl w:ilvl="0" w:tplc="480A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4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C6D2D8B"/>
    <w:multiLevelType w:val="hybridMultilevel"/>
    <w:tmpl w:val="D196E4F8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EB5476"/>
    <w:multiLevelType w:val="hybridMultilevel"/>
    <w:tmpl w:val="E6A841C0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1B057F3"/>
    <w:multiLevelType w:val="hybridMultilevel"/>
    <w:tmpl w:val="BEE25982"/>
    <w:lvl w:ilvl="0" w:tplc="2AD6DA8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05672A"/>
    <w:multiLevelType w:val="hybridMultilevel"/>
    <w:tmpl w:val="F4A6482C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74CAE"/>
    <w:multiLevelType w:val="hybridMultilevel"/>
    <w:tmpl w:val="EAB6FB48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D53647"/>
    <w:multiLevelType w:val="hybridMultilevel"/>
    <w:tmpl w:val="F110A474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F15C61"/>
    <w:multiLevelType w:val="hybridMultilevel"/>
    <w:tmpl w:val="5E90366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1F2375"/>
    <w:multiLevelType w:val="hybridMultilevel"/>
    <w:tmpl w:val="FF168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976D18"/>
    <w:multiLevelType w:val="hybridMultilevel"/>
    <w:tmpl w:val="FC62EF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E85659"/>
    <w:multiLevelType w:val="hybridMultilevel"/>
    <w:tmpl w:val="A644FD4A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88598A"/>
    <w:multiLevelType w:val="hybridMultilevel"/>
    <w:tmpl w:val="1A6CEA9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1320A8"/>
    <w:multiLevelType w:val="hybridMultilevel"/>
    <w:tmpl w:val="C338E4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E00C0C"/>
    <w:multiLevelType w:val="hybridMultilevel"/>
    <w:tmpl w:val="1C4628FE"/>
    <w:lvl w:ilvl="0" w:tplc="8C901918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50" w:hanging="360"/>
      </w:pPr>
    </w:lvl>
    <w:lvl w:ilvl="2" w:tplc="080A001B" w:tentative="1">
      <w:start w:val="1"/>
      <w:numFmt w:val="lowerRoman"/>
      <w:lvlText w:val="%3."/>
      <w:lvlJc w:val="right"/>
      <w:pPr>
        <w:ind w:left="2870" w:hanging="180"/>
      </w:pPr>
    </w:lvl>
    <w:lvl w:ilvl="3" w:tplc="080A000F" w:tentative="1">
      <w:start w:val="1"/>
      <w:numFmt w:val="decimal"/>
      <w:lvlText w:val="%4."/>
      <w:lvlJc w:val="left"/>
      <w:pPr>
        <w:ind w:left="3590" w:hanging="360"/>
      </w:pPr>
    </w:lvl>
    <w:lvl w:ilvl="4" w:tplc="080A0019" w:tentative="1">
      <w:start w:val="1"/>
      <w:numFmt w:val="lowerLetter"/>
      <w:lvlText w:val="%5."/>
      <w:lvlJc w:val="left"/>
      <w:pPr>
        <w:ind w:left="4310" w:hanging="360"/>
      </w:pPr>
    </w:lvl>
    <w:lvl w:ilvl="5" w:tplc="080A001B" w:tentative="1">
      <w:start w:val="1"/>
      <w:numFmt w:val="lowerRoman"/>
      <w:lvlText w:val="%6."/>
      <w:lvlJc w:val="right"/>
      <w:pPr>
        <w:ind w:left="5030" w:hanging="180"/>
      </w:pPr>
    </w:lvl>
    <w:lvl w:ilvl="6" w:tplc="080A000F" w:tentative="1">
      <w:start w:val="1"/>
      <w:numFmt w:val="decimal"/>
      <w:lvlText w:val="%7."/>
      <w:lvlJc w:val="left"/>
      <w:pPr>
        <w:ind w:left="5750" w:hanging="360"/>
      </w:pPr>
    </w:lvl>
    <w:lvl w:ilvl="7" w:tplc="080A0019" w:tentative="1">
      <w:start w:val="1"/>
      <w:numFmt w:val="lowerLetter"/>
      <w:lvlText w:val="%8."/>
      <w:lvlJc w:val="left"/>
      <w:pPr>
        <w:ind w:left="6470" w:hanging="360"/>
      </w:pPr>
    </w:lvl>
    <w:lvl w:ilvl="8" w:tplc="080A001B" w:tentative="1">
      <w:start w:val="1"/>
      <w:numFmt w:val="lowerRoman"/>
      <w:lvlText w:val="%9."/>
      <w:lvlJc w:val="right"/>
      <w:pPr>
        <w:ind w:left="7190" w:hanging="180"/>
      </w:pPr>
    </w:lvl>
  </w:abstractNum>
  <w:num w:numId="1">
    <w:abstractNumId w:val="7"/>
  </w:num>
  <w:num w:numId="2">
    <w:abstractNumId w:val="21"/>
  </w:num>
  <w:num w:numId="3">
    <w:abstractNumId w:val="25"/>
  </w:num>
  <w:num w:numId="4">
    <w:abstractNumId w:val="9"/>
  </w:num>
  <w:num w:numId="5">
    <w:abstractNumId w:val="5"/>
  </w:num>
  <w:num w:numId="6">
    <w:abstractNumId w:val="20"/>
  </w:num>
  <w:num w:numId="7">
    <w:abstractNumId w:val="24"/>
  </w:num>
  <w:num w:numId="8">
    <w:abstractNumId w:val="0"/>
  </w:num>
  <w:num w:numId="9">
    <w:abstractNumId w:val="23"/>
  </w:num>
  <w:num w:numId="10">
    <w:abstractNumId w:val="17"/>
  </w:num>
  <w:num w:numId="11">
    <w:abstractNumId w:val="16"/>
  </w:num>
  <w:num w:numId="12">
    <w:abstractNumId w:val="15"/>
  </w:num>
  <w:num w:numId="13">
    <w:abstractNumId w:val="10"/>
  </w:num>
  <w:num w:numId="14">
    <w:abstractNumId w:val="4"/>
  </w:num>
  <w:num w:numId="15">
    <w:abstractNumId w:val="11"/>
  </w:num>
  <w:num w:numId="16">
    <w:abstractNumId w:val="3"/>
  </w:num>
  <w:num w:numId="17">
    <w:abstractNumId w:val="6"/>
  </w:num>
  <w:num w:numId="18">
    <w:abstractNumId w:val="14"/>
  </w:num>
  <w:num w:numId="19">
    <w:abstractNumId w:val="12"/>
  </w:num>
  <w:num w:numId="20">
    <w:abstractNumId w:val="1"/>
  </w:num>
  <w:num w:numId="21">
    <w:abstractNumId w:val="8"/>
  </w:num>
  <w:num w:numId="22">
    <w:abstractNumId w:val="19"/>
  </w:num>
  <w:num w:numId="23">
    <w:abstractNumId w:val="18"/>
  </w:num>
  <w:num w:numId="24">
    <w:abstractNumId w:val="2"/>
  </w:num>
  <w:num w:numId="25">
    <w:abstractNumId w:val="13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556"/>
    <w:rsid w:val="00022F75"/>
    <w:rsid w:val="00044068"/>
    <w:rsid w:val="000522A5"/>
    <w:rsid w:val="00057F78"/>
    <w:rsid w:val="00077556"/>
    <w:rsid w:val="0007793D"/>
    <w:rsid w:val="00097429"/>
    <w:rsid w:val="000A10AA"/>
    <w:rsid w:val="000B43B2"/>
    <w:rsid w:val="000B45BE"/>
    <w:rsid w:val="000C32FD"/>
    <w:rsid w:val="0010516E"/>
    <w:rsid w:val="00107089"/>
    <w:rsid w:val="00110249"/>
    <w:rsid w:val="001135A0"/>
    <w:rsid w:val="00127522"/>
    <w:rsid w:val="00131958"/>
    <w:rsid w:val="00133465"/>
    <w:rsid w:val="00137202"/>
    <w:rsid w:val="001410D3"/>
    <w:rsid w:val="00146A17"/>
    <w:rsid w:val="00155B2F"/>
    <w:rsid w:val="00160892"/>
    <w:rsid w:val="00162267"/>
    <w:rsid w:val="0016657D"/>
    <w:rsid w:val="0019200D"/>
    <w:rsid w:val="00194DB7"/>
    <w:rsid w:val="001A58E5"/>
    <w:rsid w:val="001C6CFE"/>
    <w:rsid w:val="001E04DD"/>
    <w:rsid w:val="001E59F4"/>
    <w:rsid w:val="001F01B7"/>
    <w:rsid w:val="001F0F74"/>
    <w:rsid w:val="0020280C"/>
    <w:rsid w:val="0020314E"/>
    <w:rsid w:val="00207182"/>
    <w:rsid w:val="002079EE"/>
    <w:rsid w:val="00211D23"/>
    <w:rsid w:val="002130EF"/>
    <w:rsid w:val="00214014"/>
    <w:rsid w:val="00236C45"/>
    <w:rsid w:val="00256363"/>
    <w:rsid w:val="00257D4B"/>
    <w:rsid w:val="00263E26"/>
    <w:rsid w:val="00271CE7"/>
    <w:rsid w:val="0027590E"/>
    <w:rsid w:val="0028090D"/>
    <w:rsid w:val="0028099E"/>
    <w:rsid w:val="00296BBE"/>
    <w:rsid w:val="002A2A9E"/>
    <w:rsid w:val="002A627F"/>
    <w:rsid w:val="002B2F75"/>
    <w:rsid w:val="002C70D9"/>
    <w:rsid w:val="002C7DC6"/>
    <w:rsid w:val="002D0680"/>
    <w:rsid w:val="002D0C0D"/>
    <w:rsid w:val="002E7C89"/>
    <w:rsid w:val="0030206E"/>
    <w:rsid w:val="003069F5"/>
    <w:rsid w:val="00315F5F"/>
    <w:rsid w:val="00321C48"/>
    <w:rsid w:val="003504C3"/>
    <w:rsid w:val="00353939"/>
    <w:rsid w:val="00361081"/>
    <w:rsid w:val="00366B39"/>
    <w:rsid w:val="003730B2"/>
    <w:rsid w:val="00373F94"/>
    <w:rsid w:val="0038313F"/>
    <w:rsid w:val="003A0EA8"/>
    <w:rsid w:val="003A1D9A"/>
    <w:rsid w:val="003A500E"/>
    <w:rsid w:val="003C6679"/>
    <w:rsid w:val="003E3291"/>
    <w:rsid w:val="003F4964"/>
    <w:rsid w:val="00402127"/>
    <w:rsid w:val="00405429"/>
    <w:rsid w:val="00412066"/>
    <w:rsid w:val="00424416"/>
    <w:rsid w:val="00430372"/>
    <w:rsid w:val="004319B4"/>
    <w:rsid w:val="004433D5"/>
    <w:rsid w:val="00443B77"/>
    <w:rsid w:val="0044724F"/>
    <w:rsid w:val="004524D5"/>
    <w:rsid w:val="004630BD"/>
    <w:rsid w:val="00465BDA"/>
    <w:rsid w:val="00471F8D"/>
    <w:rsid w:val="00487EEF"/>
    <w:rsid w:val="004913BE"/>
    <w:rsid w:val="00496331"/>
    <w:rsid w:val="0049790F"/>
    <w:rsid w:val="004B2BD8"/>
    <w:rsid w:val="004B2CC7"/>
    <w:rsid w:val="004B4D51"/>
    <w:rsid w:val="004B51A6"/>
    <w:rsid w:val="004B55E4"/>
    <w:rsid w:val="004B60C9"/>
    <w:rsid w:val="004C3F9C"/>
    <w:rsid w:val="004C5A2C"/>
    <w:rsid w:val="004E3889"/>
    <w:rsid w:val="004E6752"/>
    <w:rsid w:val="004F0FDF"/>
    <w:rsid w:val="005101F4"/>
    <w:rsid w:val="00532ED1"/>
    <w:rsid w:val="0053563E"/>
    <w:rsid w:val="0053634E"/>
    <w:rsid w:val="0055162B"/>
    <w:rsid w:val="00553EAF"/>
    <w:rsid w:val="00554B3A"/>
    <w:rsid w:val="00560D95"/>
    <w:rsid w:val="00570556"/>
    <w:rsid w:val="005742E2"/>
    <w:rsid w:val="00575903"/>
    <w:rsid w:val="0058319D"/>
    <w:rsid w:val="005872AD"/>
    <w:rsid w:val="00591786"/>
    <w:rsid w:val="005B568C"/>
    <w:rsid w:val="005C45A9"/>
    <w:rsid w:val="005C630A"/>
    <w:rsid w:val="005D2329"/>
    <w:rsid w:val="005D3895"/>
    <w:rsid w:val="005D44C7"/>
    <w:rsid w:val="0060733C"/>
    <w:rsid w:val="00617B14"/>
    <w:rsid w:val="006232FE"/>
    <w:rsid w:val="00643D97"/>
    <w:rsid w:val="00653B86"/>
    <w:rsid w:val="00654EE7"/>
    <w:rsid w:val="00667C71"/>
    <w:rsid w:val="006724C9"/>
    <w:rsid w:val="006751BD"/>
    <w:rsid w:val="006A5284"/>
    <w:rsid w:val="006B187F"/>
    <w:rsid w:val="006B18EB"/>
    <w:rsid w:val="006B7133"/>
    <w:rsid w:val="006C1780"/>
    <w:rsid w:val="006D5EAA"/>
    <w:rsid w:val="006E2732"/>
    <w:rsid w:val="006F275A"/>
    <w:rsid w:val="00725938"/>
    <w:rsid w:val="00732C8A"/>
    <w:rsid w:val="00741D34"/>
    <w:rsid w:val="007425CF"/>
    <w:rsid w:val="007444E0"/>
    <w:rsid w:val="00747756"/>
    <w:rsid w:val="00751470"/>
    <w:rsid w:val="007672FF"/>
    <w:rsid w:val="00791418"/>
    <w:rsid w:val="0079150B"/>
    <w:rsid w:val="007953F3"/>
    <w:rsid w:val="0079636B"/>
    <w:rsid w:val="007A10D6"/>
    <w:rsid w:val="007B0BEC"/>
    <w:rsid w:val="007B463F"/>
    <w:rsid w:val="007B7305"/>
    <w:rsid w:val="007C18A8"/>
    <w:rsid w:val="007D242A"/>
    <w:rsid w:val="007F07E5"/>
    <w:rsid w:val="007F3207"/>
    <w:rsid w:val="00820863"/>
    <w:rsid w:val="0082489A"/>
    <w:rsid w:val="00824C87"/>
    <w:rsid w:val="00840BC2"/>
    <w:rsid w:val="00842BAA"/>
    <w:rsid w:val="008446C0"/>
    <w:rsid w:val="008456DA"/>
    <w:rsid w:val="0085679D"/>
    <w:rsid w:val="00857EEF"/>
    <w:rsid w:val="008620C6"/>
    <w:rsid w:val="00876CD5"/>
    <w:rsid w:val="008B7D93"/>
    <w:rsid w:val="008D0E14"/>
    <w:rsid w:val="008D5FDB"/>
    <w:rsid w:val="008F72A4"/>
    <w:rsid w:val="008F7D1B"/>
    <w:rsid w:val="009028F3"/>
    <w:rsid w:val="009062CA"/>
    <w:rsid w:val="0091402D"/>
    <w:rsid w:val="00915BF7"/>
    <w:rsid w:val="00943845"/>
    <w:rsid w:val="009438E4"/>
    <w:rsid w:val="00946887"/>
    <w:rsid w:val="009474A0"/>
    <w:rsid w:val="0095413C"/>
    <w:rsid w:val="009545E1"/>
    <w:rsid w:val="00965D9E"/>
    <w:rsid w:val="00972EC4"/>
    <w:rsid w:val="009878F7"/>
    <w:rsid w:val="0099024E"/>
    <w:rsid w:val="009C1679"/>
    <w:rsid w:val="009D79A8"/>
    <w:rsid w:val="009E455A"/>
    <w:rsid w:val="00A03E33"/>
    <w:rsid w:val="00A073D6"/>
    <w:rsid w:val="00A105FF"/>
    <w:rsid w:val="00A11A74"/>
    <w:rsid w:val="00A16846"/>
    <w:rsid w:val="00A27D67"/>
    <w:rsid w:val="00A32591"/>
    <w:rsid w:val="00A40A89"/>
    <w:rsid w:val="00A424DC"/>
    <w:rsid w:val="00A55B6F"/>
    <w:rsid w:val="00A5617B"/>
    <w:rsid w:val="00A56D81"/>
    <w:rsid w:val="00A61E5C"/>
    <w:rsid w:val="00A739BB"/>
    <w:rsid w:val="00A819A8"/>
    <w:rsid w:val="00A92DAE"/>
    <w:rsid w:val="00A966F7"/>
    <w:rsid w:val="00AA0D33"/>
    <w:rsid w:val="00AA4E2A"/>
    <w:rsid w:val="00AA7F6F"/>
    <w:rsid w:val="00AB6792"/>
    <w:rsid w:val="00AC7335"/>
    <w:rsid w:val="00AD7343"/>
    <w:rsid w:val="00AD7D31"/>
    <w:rsid w:val="00AE7023"/>
    <w:rsid w:val="00AF4F7C"/>
    <w:rsid w:val="00B11270"/>
    <w:rsid w:val="00B11E39"/>
    <w:rsid w:val="00B158C1"/>
    <w:rsid w:val="00B21BFB"/>
    <w:rsid w:val="00B21C53"/>
    <w:rsid w:val="00B22821"/>
    <w:rsid w:val="00B370FC"/>
    <w:rsid w:val="00B50B3C"/>
    <w:rsid w:val="00B6001F"/>
    <w:rsid w:val="00B62967"/>
    <w:rsid w:val="00B754B7"/>
    <w:rsid w:val="00B84F63"/>
    <w:rsid w:val="00B8743C"/>
    <w:rsid w:val="00B95909"/>
    <w:rsid w:val="00BA6D31"/>
    <w:rsid w:val="00BD3A76"/>
    <w:rsid w:val="00BD7D29"/>
    <w:rsid w:val="00BF0AC8"/>
    <w:rsid w:val="00BF32E5"/>
    <w:rsid w:val="00C12B9F"/>
    <w:rsid w:val="00C31B52"/>
    <w:rsid w:val="00C4168A"/>
    <w:rsid w:val="00C42777"/>
    <w:rsid w:val="00C57E42"/>
    <w:rsid w:val="00C62879"/>
    <w:rsid w:val="00C70DD8"/>
    <w:rsid w:val="00C71954"/>
    <w:rsid w:val="00C749EA"/>
    <w:rsid w:val="00C77726"/>
    <w:rsid w:val="00C80A2F"/>
    <w:rsid w:val="00C814DB"/>
    <w:rsid w:val="00CA53EC"/>
    <w:rsid w:val="00CA7B7D"/>
    <w:rsid w:val="00CB31B7"/>
    <w:rsid w:val="00CB5C56"/>
    <w:rsid w:val="00CC0F98"/>
    <w:rsid w:val="00CC3DD8"/>
    <w:rsid w:val="00CF5366"/>
    <w:rsid w:val="00D20E52"/>
    <w:rsid w:val="00D31EAB"/>
    <w:rsid w:val="00D333EB"/>
    <w:rsid w:val="00D356C9"/>
    <w:rsid w:val="00D431A3"/>
    <w:rsid w:val="00D471FD"/>
    <w:rsid w:val="00D51684"/>
    <w:rsid w:val="00D642D1"/>
    <w:rsid w:val="00D67AF8"/>
    <w:rsid w:val="00D73456"/>
    <w:rsid w:val="00D76B8E"/>
    <w:rsid w:val="00D97F27"/>
    <w:rsid w:val="00DB5CC3"/>
    <w:rsid w:val="00DC1F65"/>
    <w:rsid w:val="00DF7EEF"/>
    <w:rsid w:val="00E11606"/>
    <w:rsid w:val="00E22BA6"/>
    <w:rsid w:val="00E22BB2"/>
    <w:rsid w:val="00E442FB"/>
    <w:rsid w:val="00E55618"/>
    <w:rsid w:val="00E73257"/>
    <w:rsid w:val="00E910C5"/>
    <w:rsid w:val="00E9279B"/>
    <w:rsid w:val="00EB75CA"/>
    <w:rsid w:val="00ED1094"/>
    <w:rsid w:val="00EE03D7"/>
    <w:rsid w:val="00F03798"/>
    <w:rsid w:val="00F07A09"/>
    <w:rsid w:val="00F10EFC"/>
    <w:rsid w:val="00F20B08"/>
    <w:rsid w:val="00F234DD"/>
    <w:rsid w:val="00F476DC"/>
    <w:rsid w:val="00F578C5"/>
    <w:rsid w:val="00F84424"/>
    <w:rsid w:val="00FA77C3"/>
    <w:rsid w:val="00FC6B75"/>
    <w:rsid w:val="00FF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65D6BFC-85A9-4F4D-A7F6-E7301052F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BF7"/>
  </w:style>
  <w:style w:type="paragraph" w:styleId="Ttulo1">
    <w:name w:val="heading 1"/>
    <w:basedOn w:val="Normal"/>
    <w:next w:val="Normal"/>
    <w:link w:val="Ttulo1Car"/>
    <w:uiPriority w:val="9"/>
    <w:qFormat/>
    <w:rsid w:val="00915B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15B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15B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15BF7"/>
    <w:pPr>
      <w:keepNext/>
      <w:keepLines/>
      <w:spacing w:before="40" w:after="0"/>
      <w:outlineLvl w:val="3"/>
    </w:pPr>
    <w:rPr>
      <w:i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15BF7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15BF7"/>
    <w:pPr>
      <w:keepNext/>
      <w:keepLines/>
      <w:spacing w:before="40" w:after="0"/>
      <w:outlineLvl w:val="5"/>
    </w:p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15BF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15BF7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15BF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75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7556"/>
    <w:rPr>
      <w:lang w:val="es-HN"/>
    </w:rPr>
  </w:style>
  <w:style w:type="paragraph" w:styleId="Piedepgina">
    <w:name w:val="footer"/>
    <w:basedOn w:val="Normal"/>
    <w:link w:val="PiedepginaCar"/>
    <w:uiPriority w:val="99"/>
    <w:unhideWhenUsed/>
    <w:rsid w:val="000775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7556"/>
    <w:rPr>
      <w:lang w:val="es-HN"/>
    </w:rPr>
  </w:style>
  <w:style w:type="paragraph" w:styleId="Textonotapie">
    <w:name w:val="footnote text"/>
    <w:basedOn w:val="Normal"/>
    <w:link w:val="TextonotapieCar"/>
    <w:uiPriority w:val="99"/>
    <w:unhideWhenUsed/>
    <w:rsid w:val="0007755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77556"/>
    <w:rPr>
      <w:sz w:val="20"/>
      <w:szCs w:val="20"/>
      <w:lang w:val="es-HN"/>
    </w:rPr>
  </w:style>
  <w:style w:type="character" w:styleId="Refdenotaalpie">
    <w:name w:val="footnote reference"/>
    <w:basedOn w:val="Fuentedeprrafopredeter"/>
    <w:uiPriority w:val="99"/>
    <w:unhideWhenUsed/>
    <w:rsid w:val="00077556"/>
    <w:rPr>
      <w:vertAlign w:val="superscript"/>
    </w:rPr>
  </w:style>
  <w:style w:type="paragraph" w:styleId="Prrafodelista">
    <w:name w:val="List Paragraph"/>
    <w:basedOn w:val="Normal"/>
    <w:uiPriority w:val="34"/>
    <w:qFormat/>
    <w:rsid w:val="0007755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7755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910C5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915BF7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15BF7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15BF7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15BF7"/>
    <w:rPr>
      <w:i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15BF7"/>
    <w:rPr>
      <w:color w:val="404040" w:themeColor="text1" w:themeTint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15BF7"/>
  </w:style>
  <w:style w:type="character" w:customStyle="1" w:styleId="Ttulo7Car">
    <w:name w:val="Título 7 Car"/>
    <w:basedOn w:val="Fuentedeprrafopredeter"/>
    <w:link w:val="Ttulo7"/>
    <w:uiPriority w:val="9"/>
    <w:semiHidden/>
    <w:rsid w:val="00915BF7"/>
    <w:rPr>
      <w:rFonts w:asciiTheme="majorHAnsi" w:eastAsiaTheme="majorEastAsia" w:hAnsiTheme="majorHAnsi" w:cstheme="majorBidi"/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15BF7"/>
    <w:rPr>
      <w:color w:val="262626" w:themeColor="text1" w:themeTint="D9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15BF7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15BF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915B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915BF7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15BF7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15BF7"/>
    <w:rPr>
      <w:color w:val="5A5A5A" w:themeColor="text1" w:themeTint="A5"/>
      <w:spacing w:val="15"/>
    </w:rPr>
  </w:style>
  <w:style w:type="character" w:styleId="Textoennegrita">
    <w:name w:val="Strong"/>
    <w:basedOn w:val="Fuentedeprrafopredeter"/>
    <w:uiPriority w:val="22"/>
    <w:qFormat/>
    <w:rsid w:val="00915BF7"/>
    <w:rPr>
      <w:b/>
      <w:bCs/>
      <w:color w:val="auto"/>
    </w:rPr>
  </w:style>
  <w:style w:type="character" w:styleId="nfasis">
    <w:name w:val="Emphasis"/>
    <w:basedOn w:val="Fuentedeprrafopredeter"/>
    <w:uiPriority w:val="20"/>
    <w:qFormat/>
    <w:rsid w:val="00915BF7"/>
    <w:rPr>
      <w:i/>
      <w:iCs/>
      <w:color w:val="auto"/>
    </w:rPr>
  </w:style>
  <w:style w:type="paragraph" w:styleId="Sinespaciado">
    <w:name w:val="No Spacing"/>
    <w:uiPriority w:val="1"/>
    <w:qFormat/>
    <w:rsid w:val="00915BF7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915BF7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15BF7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5BF7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5BF7"/>
    <w:rPr>
      <w:i/>
      <w:iCs/>
      <w:color w:val="404040" w:themeColor="text1" w:themeTint="BF"/>
    </w:rPr>
  </w:style>
  <w:style w:type="character" w:styleId="nfasissutil">
    <w:name w:val="Subtle Emphasis"/>
    <w:basedOn w:val="Fuentedeprrafopredeter"/>
    <w:uiPriority w:val="19"/>
    <w:qFormat/>
    <w:rsid w:val="00915BF7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915BF7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915BF7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915BF7"/>
    <w:rPr>
      <w:b/>
      <w:bCs/>
      <w:smallCaps/>
      <w:color w:val="404040" w:themeColor="text1" w:themeTint="BF"/>
      <w:spacing w:val="5"/>
    </w:rPr>
  </w:style>
  <w:style w:type="character" w:styleId="Ttulodellibro">
    <w:name w:val="Book Title"/>
    <w:basedOn w:val="Fuentedeprrafopredeter"/>
    <w:uiPriority w:val="33"/>
    <w:qFormat/>
    <w:rsid w:val="00915BF7"/>
    <w:rPr>
      <w:b/>
      <w:bCs/>
      <w:i/>
      <w:iC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15BF7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600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00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1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hchr.org/EN/Issues/Women/WRGS/Pages/Land.aspx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rc.org/es/document/honduras-acciones-para-promover-un-entorno-mas-respetuoso-de-la-vida-y-la-dignidad-humana" TargetMode="External"/><Relationship Id="rId3" Type="http://schemas.openxmlformats.org/officeDocument/2006/relationships/hyperlink" Target="https://conecta.gob.hn/welcome/" TargetMode="External"/><Relationship Id="rId7" Type="http://schemas.openxmlformats.org/officeDocument/2006/relationships/hyperlink" Target="https://portalunico.iaip.gob.hn/portal/ver_documento.php?uid=OTczMDUyODkzNDc2MzQ4NzEyNDYxOTg3MjM0Mg==" TargetMode="External"/><Relationship Id="rId2" Type="http://schemas.openxmlformats.org/officeDocument/2006/relationships/hyperlink" Target="https://tbinternet.ohchr.org/Treaties/CMW/Shared%20Documents/HND/INT_CMW_ADR_HND_23859_S.pdf" TargetMode="External"/><Relationship Id="rId1" Type="http://schemas.openxmlformats.org/officeDocument/2006/relationships/hyperlink" Target="https://www.icrc.org/es/document/honduras-acciones-para-promover-un-entorno-mas-respetuoso-de-la-vida-y-la-dignidad-humana" TargetMode="External"/><Relationship Id="rId6" Type="http://schemas.openxmlformats.org/officeDocument/2006/relationships/hyperlink" Target="https://www.ciudadmujer.gob.hn/servicios/maprodem/" TargetMode="External"/><Relationship Id="rId5" Type="http://schemas.openxmlformats.org/officeDocument/2006/relationships/hyperlink" Target="https://drive.google.com/drive/folders/1JU7EESXDy-IN6D7ICTIYF9vrmUV-MIQq" TargetMode="External"/><Relationship Id="rId4" Type="http://schemas.openxmlformats.org/officeDocument/2006/relationships/hyperlink" Target="https://www.ciudadmujer.gob.hn/servicios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BB0CBBE-15EB-442A-AF6C-26418F8EFF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1ED84-A844-45F0-A0AC-463A3133021D}"/>
</file>

<file path=customXml/itemProps3.xml><?xml version="1.0" encoding="utf-8"?>
<ds:datastoreItem xmlns:ds="http://schemas.openxmlformats.org/officeDocument/2006/customXml" ds:itemID="{4117E949-7077-401C-BCDD-50494FC53C2F}"/>
</file>

<file path=customXml/itemProps4.xml><?xml version="1.0" encoding="utf-8"?>
<ds:datastoreItem xmlns:ds="http://schemas.openxmlformats.org/officeDocument/2006/customXml" ds:itemID="{4D39D9A9-50F3-4F74-A6E6-C0A95688BC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1735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Nelly Gabriela Duron Elvir</dc:creator>
  <cp:keywords/>
  <dc:description/>
  <cp:lastModifiedBy>PADH</cp:lastModifiedBy>
  <cp:revision>4</cp:revision>
  <dcterms:created xsi:type="dcterms:W3CDTF">2021-04-01T01:24:00Z</dcterms:created>
  <dcterms:modified xsi:type="dcterms:W3CDTF">2021-04-01T01:26:00Z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