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AC71A" w14:textId="7E1610F5" w:rsidR="00A10765" w:rsidRPr="001B4C1A" w:rsidRDefault="001B4C1A" w:rsidP="001B4C1A">
      <w:pPr>
        <w:jc w:val="center"/>
        <w:rPr>
          <w:b/>
          <w:bCs/>
          <w:lang w:val="en-GB"/>
        </w:rPr>
      </w:pPr>
      <w:r w:rsidRPr="001B4C1A">
        <w:rPr>
          <w:b/>
          <w:bCs/>
          <w:lang w:val="en-GB"/>
        </w:rPr>
        <w:t>Child, early and forced marriage questionnaire (WHRGS/OWC/RES/73/153)</w:t>
      </w:r>
    </w:p>
    <w:p w14:paraId="4FD0C25C" w14:textId="5407D8DE" w:rsidR="00EB45EF" w:rsidRPr="00EB45EF" w:rsidRDefault="001B4C1A" w:rsidP="00EB45EF">
      <w:pPr>
        <w:spacing w:line="360" w:lineRule="auto"/>
        <w:jc w:val="center"/>
        <w:rPr>
          <w:b/>
          <w:lang w:val="en-GB"/>
        </w:rPr>
      </w:pPr>
      <w:r>
        <w:rPr>
          <w:b/>
          <w:lang w:val="en-GB"/>
        </w:rPr>
        <w:t>Feedback</w:t>
      </w:r>
      <w:r w:rsidR="00EB45EF" w:rsidRPr="00EB45EF">
        <w:rPr>
          <w:b/>
          <w:lang w:val="en-GB"/>
        </w:rPr>
        <w:t xml:space="preserve"> by the </w:t>
      </w:r>
      <w:r>
        <w:rPr>
          <w:b/>
          <w:lang w:val="en-GB"/>
        </w:rPr>
        <w:t>Government of Malta</w:t>
      </w:r>
    </w:p>
    <w:p w14:paraId="16BD2FC6" w14:textId="77777777" w:rsidR="00EB45EF" w:rsidRPr="00EB45EF" w:rsidRDefault="00EB45EF" w:rsidP="00EB45EF">
      <w:pPr>
        <w:spacing w:line="360" w:lineRule="auto"/>
        <w:jc w:val="both"/>
        <w:rPr>
          <w:b/>
          <w:lang w:val="en-GB"/>
        </w:rPr>
      </w:pPr>
    </w:p>
    <w:p w14:paraId="72DE7088" w14:textId="77777777" w:rsidR="00EB45EF" w:rsidRPr="00EB45EF" w:rsidRDefault="00EB45EF" w:rsidP="00EB45EF">
      <w:pPr>
        <w:spacing w:line="360" w:lineRule="auto"/>
        <w:jc w:val="both"/>
        <w:rPr>
          <w:b/>
          <w:lang w:val="en-GB"/>
        </w:rPr>
      </w:pPr>
    </w:p>
    <w:p w14:paraId="5A8FF4AF" w14:textId="77777777" w:rsidR="00EB45EF" w:rsidRPr="00EB45EF" w:rsidRDefault="00EB45EF" w:rsidP="00EB45EF">
      <w:pPr>
        <w:spacing w:line="360" w:lineRule="auto"/>
        <w:jc w:val="both"/>
        <w:rPr>
          <w:b/>
          <w:lang w:val="en-GB"/>
        </w:rPr>
      </w:pPr>
      <w:r w:rsidRPr="00EB45EF">
        <w:rPr>
          <w:b/>
          <w:lang w:val="en-GB"/>
        </w:rPr>
        <w:t>Question 3</w:t>
      </w:r>
    </w:p>
    <w:p w14:paraId="5FAAD156" w14:textId="77777777" w:rsidR="00EB45EF" w:rsidRPr="00EB45EF" w:rsidRDefault="00EB45EF" w:rsidP="00EB45EF">
      <w:pPr>
        <w:spacing w:line="360" w:lineRule="auto"/>
        <w:jc w:val="both"/>
        <w:rPr>
          <w:lang w:val="en-GB"/>
        </w:rPr>
      </w:pPr>
      <w:r w:rsidRPr="00EB45EF">
        <w:rPr>
          <w:iCs/>
          <w:lang w:val="en-GB"/>
        </w:rPr>
        <w:t>Children</w:t>
      </w:r>
      <w:r w:rsidRPr="00EB45EF">
        <w:rPr>
          <w:i/>
          <w:iCs/>
          <w:lang w:val="en-GB"/>
        </w:rPr>
        <w:t xml:space="preserve"> </w:t>
      </w:r>
      <w:r w:rsidRPr="00EB45EF">
        <w:rPr>
          <w:lang w:val="en-GB"/>
        </w:rPr>
        <w:t xml:space="preserve">are all those under 18 years of age. The age at which children can </w:t>
      </w:r>
      <w:proofErr w:type="gramStart"/>
      <w:r w:rsidRPr="00EB45EF">
        <w:rPr>
          <w:lang w:val="en-GB"/>
        </w:rPr>
        <w:t>marry with</w:t>
      </w:r>
      <w:proofErr w:type="gramEnd"/>
      <w:r w:rsidRPr="00EB45EF">
        <w:rPr>
          <w:lang w:val="en-GB"/>
        </w:rPr>
        <w:t xml:space="preserve"> consent of a public authority is 16 years.  In this case, Article 3 of the Marriage Act refers also to the required consent of parents/tutor.</w:t>
      </w:r>
    </w:p>
    <w:p w14:paraId="372DC26F" w14:textId="77777777" w:rsidR="00EB45EF" w:rsidRPr="00EB45EF" w:rsidRDefault="00EB45EF" w:rsidP="00EB45EF">
      <w:pPr>
        <w:spacing w:line="360" w:lineRule="auto"/>
        <w:jc w:val="both"/>
        <w:rPr>
          <w:lang w:val="en-GB"/>
        </w:rPr>
      </w:pPr>
    </w:p>
    <w:p w14:paraId="7188EF44" w14:textId="77777777" w:rsidR="00EB45EF" w:rsidRPr="00EB45EF" w:rsidRDefault="00EB45EF" w:rsidP="00EB45EF">
      <w:pPr>
        <w:spacing w:line="360" w:lineRule="auto"/>
        <w:jc w:val="both"/>
        <w:rPr>
          <w:lang w:val="en-GB"/>
        </w:rPr>
      </w:pPr>
      <w:r w:rsidRPr="00EB45EF">
        <w:rPr>
          <w:lang w:val="en-GB"/>
        </w:rPr>
        <w:t>The National Children’s Policy (NCP), published in November 2017, contributes towards the development and implementation of holistic, comprehensive and coordinated responses and strategies to prevent and eliminate child, early and forced marriage. The NCP promotes the holistic development and wellbeing of children by focusing on the physical, psychological and socio-economic aspects in the life of the child and puts forward 110 actions.</w:t>
      </w:r>
    </w:p>
    <w:p w14:paraId="2D5006D4" w14:textId="77777777" w:rsidR="00EB45EF" w:rsidRPr="00EB45EF" w:rsidRDefault="00EB45EF" w:rsidP="00EB45EF">
      <w:pPr>
        <w:spacing w:line="360" w:lineRule="auto"/>
        <w:jc w:val="both"/>
        <w:rPr>
          <w:color w:val="FF0000"/>
          <w:lang w:val="en-GB"/>
        </w:rPr>
      </w:pPr>
    </w:p>
    <w:p w14:paraId="7222C80E" w14:textId="77777777" w:rsidR="00EB45EF" w:rsidRPr="00EB45EF" w:rsidRDefault="00EB45EF" w:rsidP="00EB45EF">
      <w:pPr>
        <w:spacing w:line="360" w:lineRule="auto"/>
        <w:jc w:val="both"/>
        <w:rPr>
          <w:b/>
          <w:lang w:val="en-GB"/>
        </w:rPr>
      </w:pPr>
      <w:r w:rsidRPr="00EB45EF">
        <w:rPr>
          <w:b/>
          <w:lang w:val="en-GB"/>
        </w:rPr>
        <w:t>Question 5</w:t>
      </w:r>
    </w:p>
    <w:p w14:paraId="3B61C782" w14:textId="77777777" w:rsidR="00EB45EF" w:rsidRPr="00EB45EF" w:rsidRDefault="00EB45EF" w:rsidP="00EB45EF">
      <w:pPr>
        <w:pStyle w:val="Default"/>
        <w:spacing w:line="360" w:lineRule="auto"/>
        <w:jc w:val="both"/>
        <w:rPr>
          <w:color w:val="FF0000"/>
        </w:rPr>
      </w:pPr>
      <w:r w:rsidRPr="00EB45EF">
        <w:t>The following are practices that promote the meaningful participation of and active consultation with all children and adolescents.</w:t>
      </w:r>
    </w:p>
    <w:p w14:paraId="312F9AF9" w14:textId="77777777" w:rsidR="00EB45EF" w:rsidRPr="00EB45EF" w:rsidRDefault="00EB45EF" w:rsidP="00EB45EF">
      <w:pPr>
        <w:pStyle w:val="Default"/>
        <w:spacing w:line="360" w:lineRule="auto"/>
        <w:jc w:val="both"/>
        <w:rPr>
          <w:color w:val="auto"/>
        </w:rPr>
      </w:pPr>
    </w:p>
    <w:p w14:paraId="0A5906A5" w14:textId="77777777" w:rsidR="00EB45EF" w:rsidRPr="00EB45EF" w:rsidRDefault="00EB45EF" w:rsidP="00EB45EF">
      <w:pPr>
        <w:pStyle w:val="Default"/>
        <w:spacing w:line="360" w:lineRule="auto"/>
      </w:pPr>
      <w:r w:rsidRPr="00EB45EF">
        <w:rPr>
          <w:u w:val="single"/>
        </w:rPr>
        <w:t>The drafting of the National Children’s Policy (NCP)</w:t>
      </w:r>
    </w:p>
    <w:p w14:paraId="1460A6A9" w14:textId="77777777" w:rsidR="00EB45EF" w:rsidRPr="00EB45EF" w:rsidRDefault="00EB45EF" w:rsidP="00EB45EF">
      <w:pPr>
        <w:pStyle w:val="ListParagraph"/>
        <w:numPr>
          <w:ilvl w:val="0"/>
          <w:numId w:val="13"/>
        </w:numPr>
        <w:autoSpaceDE w:val="0"/>
        <w:autoSpaceDN w:val="0"/>
        <w:adjustRightInd w:val="0"/>
        <w:spacing w:line="360" w:lineRule="auto"/>
        <w:jc w:val="both"/>
        <w:rPr>
          <w:lang w:val="en-GB"/>
        </w:rPr>
      </w:pPr>
      <w:r w:rsidRPr="00EB45EF">
        <w:rPr>
          <w:color w:val="000000"/>
          <w:lang w:val="en-GB"/>
        </w:rPr>
        <w:t xml:space="preserve">Drafted in close collaboration with children by taking on board the views of a wide stratum of children between the ages of 4 and 17 years. </w:t>
      </w:r>
    </w:p>
    <w:p w14:paraId="5AE65625" w14:textId="77777777" w:rsidR="00EB45EF" w:rsidRPr="00EB45EF" w:rsidRDefault="00EB45EF" w:rsidP="00EB45EF">
      <w:pPr>
        <w:pStyle w:val="ListParagraph"/>
        <w:numPr>
          <w:ilvl w:val="0"/>
          <w:numId w:val="13"/>
        </w:numPr>
        <w:autoSpaceDE w:val="0"/>
        <w:autoSpaceDN w:val="0"/>
        <w:adjustRightInd w:val="0"/>
        <w:spacing w:line="360" w:lineRule="auto"/>
        <w:jc w:val="both"/>
        <w:rPr>
          <w:lang w:val="en-GB"/>
        </w:rPr>
      </w:pPr>
      <w:r w:rsidRPr="00EB45EF">
        <w:rPr>
          <w:lang w:val="en-GB"/>
        </w:rPr>
        <w:t xml:space="preserve">An age-sensitive, bilingual tool in the form of a simple questionnaire addressing the five key dimensions was distributed to a total of 311 students from schools in Malta and </w:t>
      </w:r>
      <w:proofErr w:type="spellStart"/>
      <w:r w:rsidRPr="00EB45EF">
        <w:rPr>
          <w:lang w:val="en-GB"/>
        </w:rPr>
        <w:t>Gozo</w:t>
      </w:r>
      <w:proofErr w:type="spellEnd"/>
      <w:r w:rsidRPr="00EB45EF">
        <w:rPr>
          <w:lang w:val="en-GB"/>
        </w:rPr>
        <w:t xml:space="preserve">. </w:t>
      </w:r>
    </w:p>
    <w:p w14:paraId="51839E7C" w14:textId="77777777" w:rsidR="00EB45EF" w:rsidRPr="00EB45EF" w:rsidRDefault="00EB45EF" w:rsidP="00EB45EF">
      <w:pPr>
        <w:pStyle w:val="ListParagraph"/>
        <w:numPr>
          <w:ilvl w:val="0"/>
          <w:numId w:val="13"/>
        </w:numPr>
        <w:autoSpaceDE w:val="0"/>
        <w:autoSpaceDN w:val="0"/>
        <w:adjustRightInd w:val="0"/>
        <w:spacing w:line="360" w:lineRule="auto"/>
        <w:jc w:val="both"/>
        <w:rPr>
          <w:lang w:val="en-GB"/>
        </w:rPr>
      </w:pPr>
      <w:r w:rsidRPr="00EB45EF">
        <w:rPr>
          <w:lang w:val="en-GB"/>
        </w:rPr>
        <w:t xml:space="preserve">Findings from these consultation exercises were then translated into realistic policy actions. </w:t>
      </w:r>
    </w:p>
    <w:p w14:paraId="4163DB1B" w14:textId="77777777" w:rsidR="00EB45EF" w:rsidRPr="00EB45EF" w:rsidRDefault="00EB45EF" w:rsidP="00EB45EF">
      <w:pPr>
        <w:pStyle w:val="ListParagraph"/>
        <w:numPr>
          <w:ilvl w:val="0"/>
          <w:numId w:val="13"/>
        </w:numPr>
        <w:autoSpaceDE w:val="0"/>
        <w:autoSpaceDN w:val="0"/>
        <w:adjustRightInd w:val="0"/>
        <w:spacing w:line="360" w:lineRule="auto"/>
        <w:jc w:val="both"/>
        <w:rPr>
          <w:lang w:val="en-GB"/>
        </w:rPr>
      </w:pPr>
      <w:r w:rsidRPr="00EB45EF">
        <w:rPr>
          <w:lang w:val="en-GB"/>
        </w:rPr>
        <w:t>Builds upon and complements various previous consultation exercises aimed at eliciting and airing the views of children and empowering them to become active partners in the development, implementation and evaluation of policies and measures which concern them.</w:t>
      </w:r>
    </w:p>
    <w:p w14:paraId="2ED96F67" w14:textId="3F5EECE2" w:rsidR="00EB45EF" w:rsidRPr="00EB45EF" w:rsidRDefault="00EB45EF" w:rsidP="00EB45EF">
      <w:pPr>
        <w:pStyle w:val="ListParagraph"/>
        <w:autoSpaceDE w:val="0"/>
        <w:autoSpaceDN w:val="0"/>
        <w:adjustRightInd w:val="0"/>
        <w:spacing w:line="360" w:lineRule="auto"/>
        <w:jc w:val="both"/>
        <w:rPr>
          <w:lang w:val="en-GB"/>
        </w:rPr>
      </w:pPr>
      <w:r w:rsidRPr="00EB45EF">
        <w:rPr>
          <w:lang w:val="en-GB"/>
        </w:rPr>
        <w:lastRenderedPageBreak/>
        <w:t xml:space="preserve">Puts forward various policy actions aimed at enhancing the meaningful participation of children and adolescents in society. Some of these policy actions include </w:t>
      </w:r>
      <w:r w:rsidRPr="00EB45EF">
        <w:rPr>
          <w:bCs/>
          <w:color w:val="000000"/>
          <w:lang w:val="en-GB"/>
        </w:rPr>
        <w:t xml:space="preserve">monitoring, awareness raising and sensitisation of information regarding issues that directly or indirectly concern children; children’s empowerment, inclusion and active involvement; children’s access to remedial action in the case of </w:t>
      </w:r>
      <w:r w:rsidRPr="00EB45EF">
        <w:rPr>
          <w:lang w:val="en-GB"/>
        </w:rPr>
        <w:t xml:space="preserve">a breach of their rights; and the promotion of </w:t>
      </w:r>
      <w:proofErr w:type="spellStart"/>
      <w:r w:rsidRPr="00EB45EF">
        <w:rPr>
          <w:lang w:val="en-GB"/>
        </w:rPr>
        <w:t>CfC’s</w:t>
      </w:r>
      <w:proofErr w:type="spellEnd"/>
      <w:r w:rsidRPr="00EB45EF">
        <w:rPr>
          <w:lang w:val="en-GB"/>
        </w:rPr>
        <w:t xml:space="preserve"> functions. </w:t>
      </w:r>
    </w:p>
    <w:p w14:paraId="66939F07" w14:textId="77777777" w:rsidR="00EB45EF" w:rsidRPr="00EB45EF" w:rsidRDefault="00EB45EF" w:rsidP="00EB45EF">
      <w:pPr>
        <w:pStyle w:val="Default"/>
        <w:spacing w:line="360" w:lineRule="auto"/>
        <w:jc w:val="both"/>
        <w:rPr>
          <w:color w:val="auto"/>
        </w:rPr>
      </w:pPr>
    </w:p>
    <w:p w14:paraId="4848BCDD" w14:textId="77777777" w:rsidR="00EB45EF" w:rsidRPr="00EB45EF" w:rsidRDefault="00EB45EF" w:rsidP="00EB45EF">
      <w:pPr>
        <w:pStyle w:val="Default"/>
        <w:spacing w:line="360" w:lineRule="auto"/>
        <w:jc w:val="both"/>
        <w:rPr>
          <w:color w:val="auto"/>
          <w:u w:val="single"/>
        </w:rPr>
      </w:pPr>
      <w:r w:rsidRPr="00EB45EF">
        <w:rPr>
          <w:color w:val="auto"/>
          <w:u w:val="single"/>
        </w:rPr>
        <w:t>The functions of the Office of the Commissioner for Children (</w:t>
      </w:r>
      <w:proofErr w:type="spellStart"/>
      <w:r w:rsidRPr="00EB45EF">
        <w:rPr>
          <w:color w:val="auto"/>
          <w:u w:val="single"/>
        </w:rPr>
        <w:t>CfC</w:t>
      </w:r>
      <w:proofErr w:type="spellEnd"/>
      <w:r w:rsidRPr="00EB45EF">
        <w:rPr>
          <w:color w:val="auto"/>
          <w:u w:val="single"/>
        </w:rPr>
        <w:t>)</w:t>
      </w:r>
    </w:p>
    <w:p w14:paraId="298244A6" w14:textId="77777777" w:rsidR="00EB45EF" w:rsidRPr="00EB45EF" w:rsidRDefault="00EB45EF" w:rsidP="00EB45EF">
      <w:pPr>
        <w:pStyle w:val="Default"/>
        <w:spacing w:line="360" w:lineRule="auto"/>
        <w:jc w:val="both"/>
        <w:rPr>
          <w:color w:val="auto"/>
        </w:rPr>
      </w:pPr>
      <w:proofErr w:type="spellStart"/>
      <w:r w:rsidRPr="00EB45EF">
        <w:rPr>
          <w:bCs/>
          <w:color w:val="auto"/>
        </w:rPr>
        <w:t>CfC</w:t>
      </w:r>
      <w:proofErr w:type="spellEnd"/>
      <w:r w:rsidRPr="00EB45EF">
        <w:rPr>
          <w:color w:val="auto"/>
        </w:rPr>
        <w:t>, which constitutes the main national entity dealing with children’s rights issues, was set up in terms of the Commissioner for Children Act of 2003, to promote the welfare of childr</w:t>
      </w:r>
      <w:bookmarkStart w:id="0" w:name="_GoBack"/>
      <w:bookmarkEnd w:id="0"/>
      <w:r w:rsidRPr="00EB45EF">
        <w:rPr>
          <w:color w:val="auto"/>
        </w:rPr>
        <w:t xml:space="preserve">en and ensure compliance with the rights enshrined in the UNCRC. </w:t>
      </w:r>
    </w:p>
    <w:p w14:paraId="05907065" w14:textId="77777777" w:rsidR="00EB45EF" w:rsidRPr="00EB45EF" w:rsidRDefault="00EB45EF" w:rsidP="00EB45EF">
      <w:pPr>
        <w:pStyle w:val="Default"/>
        <w:spacing w:line="360" w:lineRule="auto"/>
        <w:jc w:val="both"/>
        <w:rPr>
          <w:color w:val="auto"/>
        </w:rPr>
      </w:pPr>
    </w:p>
    <w:p w14:paraId="11348F3D" w14:textId="77777777" w:rsidR="00EB45EF" w:rsidRPr="00EB45EF" w:rsidRDefault="00EB45EF" w:rsidP="00EB45EF">
      <w:pPr>
        <w:pStyle w:val="Default"/>
        <w:spacing w:line="360" w:lineRule="auto"/>
        <w:jc w:val="both"/>
        <w:rPr>
          <w:color w:val="auto"/>
        </w:rPr>
      </w:pPr>
      <w:r w:rsidRPr="00EB45EF">
        <w:rPr>
          <w:color w:val="auto"/>
        </w:rPr>
        <w:t xml:space="preserve">Among other responsibilities, </w:t>
      </w:r>
      <w:proofErr w:type="spellStart"/>
      <w:r w:rsidRPr="00EB45EF">
        <w:rPr>
          <w:color w:val="auto"/>
        </w:rPr>
        <w:t>CfC</w:t>
      </w:r>
      <w:proofErr w:type="spellEnd"/>
      <w:r w:rsidRPr="00EB45EF">
        <w:rPr>
          <w:color w:val="auto"/>
        </w:rPr>
        <w:t xml:space="preserve"> (which is advised and assisted by the </w:t>
      </w:r>
      <w:r w:rsidRPr="00EB45EF">
        <w:rPr>
          <w:bCs/>
          <w:color w:val="auto"/>
        </w:rPr>
        <w:t>Council for Children)</w:t>
      </w:r>
      <w:r w:rsidRPr="00EB45EF">
        <w:rPr>
          <w:color w:val="auto"/>
        </w:rPr>
        <w:t xml:space="preserve">: </w:t>
      </w:r>
    </w:p>
    <w:p w14:paraId="2867C1A5" w14:textId="77777777" w:rsidR="00EB45EF" w:rsidRPr="00EB45EF" w:rsidRDefault="00EB45EF" w:rsidP="00EB45EF">
      <w:pPr>
        <w:pStyle w:val="Default"/>
        <w:numPr>
          <w:ilvl w:val="0"/>
          <w:numId w:val="15"/>
        </w:numPr>
        <w:spacing w:line="360" w:lineRule="auto"/>
        <w:jc w:val="both"/>
        <w:rPr>
          <w:color w:val="auto"/>
        </w:rPr>
      </w:pPr>
      <w:r w:rsidRPr="00EB45EF">
        <w:rPr>
          <w:color w:val="auto"/>
        </w:rPr>
        <w:t xml:space="preserve">is responsible to promote the rights and interests of children, and ensure that they </w:t>
      </w:r>
      <w:proofErr w:type="gramStart"/>
      <w:r w:rsidRPr="00EB45EF">
        <w:rPr>
          <w:color w:val="auto"/>
        </w:rPr>
        <w:t>are able to</w:t>
      </w:r>
      <w:proofErr w:type="gramEnd"/>
      <w:r w:rsidRPr="00EB45EF">
        <w:rPr>
          <w:color w:val="auto"/>
        </w:rPr>
        <w:t xml:space="preserve"> express their views and participate fully in society;</w:t>
      </w:r>
    </w:p>
    <w:p w14:paraId="2F7CB068" w14:textId="77777777" w:rsidR="00EB45EF" w:rsidRPr="00EB45EF" w:rsidRDefault="00EB45EF" w:rsidP="00EB45EF">
      <w:pPr>
        <w:pStyle w:val="Default"/>
        <w:numPr>
          <w:ilvl w:val="0"/>
          <w:numId w:val="14"/>
        </w:numPr>
        <w:spacing w:line="360" w:lineRule="auto"/>
        <w:jc w:val="both"/>
        <w:rPr>
          <w:color w:val="auto"/>
        </w:rPr>
      </w:pPr>
      <w:r w:rsidRPr="00EB45EF">
        <w:rPr>
          <w:color w:val="auto"/>
        </w:rPr>
        <w:t>is entrusted to voice the rights, needs and interests of children, and ensure quality, accessible, responsive and tailored child-related services;</w:t>
      </w:r>
    </w:p>
    <w:p w14:paraId="5D885AF9" w14:textId="77777777" w:rsidR="00EB45EF" w:rsidRPr="00EB45EF" w:rsidRDefault="00EB45EF" w:rsidP="00EB45EF">
      <w:pPr>
        <w:pStyle w:val="Default"/>
        <w:numPr>
          <w:ilvl w:val="0"/>
          <w:numId w:val="14"/>
        </w:numPr>
        <w:spacing w:line="360" w:lineRule="auto"/>
        <w:jc w:val="both"/>
        <w:rPr>
          <w:color w:val="auto"/>
        </w:rPr>
      </w:pPr>
      <w:r w:rsidRPr="00EB45EF">
        <w:t>undertakes regular initiatives to encourage children’s participation in policy development and delivery;</w:t>
      </w:r>
    </w:p>
    <w:p w14:paraId="5316F073" w14:textId="77777777" w:rsidR="00EB45EF" w:rsidRPr="00EB45EF" w:rsidRDefault="00EB45EF" w:rsidP="00EB45EF">
      <w:pPr>
        <w:pStyle w:val="Default"/>
        <w:numPr>
          <w:ilvl w:val="0"/>
          <w:numId w:val="14"/>
        </w:numPr>
        <w:spacing w:line="360" w:lineRule="auto"/>
        <w:jc w:val="both"/>
      </w:pPr>
      <w:r w:rsidRPr="00EB45EF">
        <w:t xml:space="preserve">carried out a series of workshops in over 25 schools to familiarize children with a child-friendly version of the NCP, and to involve them in its monitoring and implementation; </w:t>
      </w:r>
    </w:p>
    <w:p w14:paraId="32135E7E" w14:textId="77777777" w:rsidR="00EB45EF" w:rsidRPr="00EB45EF" w:rsidRDefault="00EB45EF" w:rsidP="00EB45EF">
      <w:pPr>
        <w:pStyle w:val="Default"/>
        <w:numPr>
          <w:ilvl w:val="0"/>
          <w:numId w:val="14"/>
        </w:numPr>
        <w:spacing w:line="360" w:lineRule="auto"/>
        <w:jc w:val="both"/>
      </w:pPr>
      <w:r w:rsidRPr="00EB45EF">
        <w:t xml:space="preserve">throughout 2019, worked together with students to create videos and other material which will be used to promote the UNCRC. </w:t>
      </w:r>
    </w:p>
    <w:p w14:paraId="2C1CE523" w14:textId="77777777" w:rsidR="00EB45EF" w:rsidRPr="00EB45EF" w:rsidRDefault="00EB45EF" w:rsidP="00EB45EF">
      <w:pPr>
        <w:pStyle w:val="Default"/>
        <w:spacing w:line="360" w:lineRule="auto"/>
        <w:jc w:val="both"/>
      </w:pPr>
    </w:p>
    <w:p w14:paraId="6B8F2FA0" w14:textId="77777777" w:rsidR="00EB45EF" w:rsidRPr="00EB45EF" w:rsidRDefault="00EB45EF" w:rsidP="00EB45EF">
      <w:pPr>
        <w:pStyle w:val="Default"/>
        <w:spacing w:line="360" w:lineRule="auto"/>
        <w:jc w:val="both"/>
        <w:rPr>
          <w:color w:val="auto"/>
          <w:u w:val="single"/>
        </w:rPr>
      </w:pPr>
      <w:r w:rsidRPr="00EB45EF">
        <w:rPr>
          <w:color w:val="auto"/>
          <w:u w:val="single"/>
        </w:rPr>
        <w:t>The Child Participation Assessment Tool (CPAT)</w:t>
      </w:r>
    </w:p>
    <w:p w14:paraId="6F230B01" w14:textId="77777777" w:rsidR="00EB45EF" w:rsidRPr="00EB45EF" w:rsidRDefault="00EB45EF" w:rsidP="00EB45EF">
      <w:pPr>
        <w:spacing w:line="360" w:lineRule="auto"/>
        <w:jc w:val="both"/>
        <w:rPr>
          <w:lang w:val="en-GB"/>
        </w:rPr>
      </w:pPr>
      <w:r w:rsidRPr="00EB45EF">
        <w:rPr>
          <w:lang w:val="en-GB"/>
        </w:rPr>
        <w:t xml:space="preserve">Since November 2018 till present, the Ministry for the Family, Children’s Rights and Social Solidarity (MFCS), in collaboration with the Malta Foundation for the Wellbeing of Society (MFWS), has been working on the implementation of the Council of Europe </w:t>
      </w:r>
      <w:r w:rsidRPr="00EB45EF">
        <w:rPr>
          <w:lang w:val="en-GB"/>
        </w:rPr>
        <w:lastRenderedPageBreak/>
        <w:t xml:space="preserve">Child Participation Assessment Tool (CPAT). The said joint project will end soon in </w:t>
      </w:r>
      <w:proofErr w:type="gramStart"/>
      <w:r w:rsidRPr="00EB45EF">
        <w:rPr>
          <w:lang w:val="en-GB"/>
        </w:rPr>
        <w:t>November 2019, and</w:t>
      </w:r>
      <w:proofErr w:type="gramEnd"/>
      <w:r w:rsidRPr="00EB45EF">
        <w:rPr>
          <w:lang w:val="en-GB"/>
        </w:rPr>
        <w:t xml:space="preserve"> shall capture the reality of child participation in different sectors and at various levels in Malta, with a view to improving this access to participation. A wide range of stakeholders, including Government, NGOs and children themselves, were asked to provide their feedback on the 10 indicators of the CPAT. This project will lead Malta to:</w:t>
      </w:r>
    </w:p>
    <w:p w14:paraId="2E6A0533" w14:textId="77777777" w:rsidR="00EB45EF" w:rsidRPr="00EB45EF" w:rsidRDefault="00EB45EF" w:rsidP="00EB45EF">
      <w:pPr>
        <w:spacing w:line="360" w:lineRule="auto"/>
        <w:ind w:left="720"/>
        <w:jc w:val="both"/>
        <w:rPr>
          <w:lang w:val="en-GB"/>
        </w:rPr>
      </w:pPr>
      <w:r w:rsidRPr="00EB45EF">
        <w:rPr>
          <w:lang w:val="en-GB"/>
        </w:rPr>
        <w:t>- undertake a baseline assessment of current implementation of child participation;</w:t>
      </w:r>
    </w:p>
    <w:p w14:paraId="3456354B" w14:textId="77777777" w:rsidR="00EB45EF" w:rsidRPr="00EB45EF" w:rsidRDefault="00EB45EF" w:rsidP="00EB45EF">
      <w:pPr>
        <w:spacing w:line="360" w:lineRule="auto"/>
        <w:ind w:left="720"/>
        <w:jc w:val="both"/>
        <w:rPr>
          <w:lang w:val="en-GB"/>
        </w:rPr>
      </w:pPr>
      <w:r w:rsidRPr="00EB45EF">
        <w:rPr>
          <w:lang w:val="en-GB"/>
        </w:rPr>
        <w:t>- help identify measures needed to achieve further compliance;</w:t>
      </w:r>
    </w:p>
    <w:p w14:paraId="6A4747D3" w14:textId="77777777" w:rsidR="00EB45EF" w:rsidRPr="00EB45EF" w:rsidRDefault="00EB45EF" w:rsidP="00EB45EF">
      <w:pPr>
        <w:spacing w:line="360" w:lineRule="auto"/>
        <w:ind w:left="720"/>
        <w:jc w:val="both"/>
        <w:rPr>
          <w:lang w:val="en-GB"/>
        </w:rPr>
      </w:pPr>
      <w:r w:rsidRPr="00EB45EF">
        <w:rPr>
          <w:lang w:val="en-GB"/>
        </w:rPr>
        <w:t>- provide benchmarks to measure progress over time; as well as</w:t>
      </w:r>
    </w:p>
    <w:p w14:paraId="4B9B51BA" w14:textId="77777777" w:rsidR="00EB45EF" w:rsidRPr="00EB45EF" w:rsidRDefault="00EB45EF" w:rsidP="00EB45EF">
      <w:pPr>
        <w:spacing w:line="360" w:lineRule="auto"/>
        <w:ind w:left="720"/>
        <w:jc w:val="both"/>
        <w:rPr>
          <w:lang w:val="en-GB"/>
        </w:rPr>
      </w:pPr>
      <w:r w:rsidRPr="00EB45EF">
        <w:rPr>
          <w:lang w:val="en-GB"/>
        </w:rPr>
        <w:t>- strengthen monitoring and accountability.</w:t>
      </w:r>
    </w:p>
    <w:p w14:paraId="209B31E0" w14:textId="77777777" w:rsidR="00EB45EF" w:rsidRPr="00EB45EF" w:rsidRDefault="00EB45EF" w:rsidP="00EB45EF">
      <w:pPr>
        <w:pStyle w:val="Default"/>
        <w:spacing w:line="360" w:lineRule="auto"/>
        <w:jc w:val="both"/>
        <w:rPr>
          <w:color w:val="auto"/>
          <w:u w:val="single"/>
        </w:rPr>
      </w:pPr>
    </w:p>
    <w:p w14:paraId="7CD52807" w14:textId="77777777" w:rsidR="00EB45EF" w:rsidRPr="00EB45EF" w:rsidRDefault="00EB45EF" w:rsidP="00EB45EF">
      <w:pPr>
        <w:pStyle w:val="Default"/>
        <w:spacing w:line="360" w:lineRule="auto"/>
        <w:jc w:val="both"/>
        <w:rPr>
          <w:color w:val="auto"/>
          <w:u w:val="single"/>
        </w:rPr>
      </w:pPr>
      <w:r w:rsidRPr="00EB45EF">
        <w:rPr>
          <w:color w:val="auto"/>
          <w:u w:val="single"/>
        </w:rPr>
        <w:t>The National Strategic Policy for Poverty Reduction and for Social Inclusion 2014-2024</w:t>
      </w:r>
    </w:p>
    <w:p w14:paraId="186D8397" w14:textId="77777777" w:rsidR="00EB45EF" w:rsidRPr="00EB45EF" w:rsidRDefault="00EB45EF" w:rsidP="00EB45EF">
      <w:pPr>
        <w:spacing w:line="360" w:lineRule="auto"/>
        <w:jc w:val="both"/>
        <w:rPr>
          <w:lang w:val="en-GB"/>
        </w:rPr>
      </w:pPr>
      <w:r w:rsidRPr="00EB45EF">
        <w:rPr>
          <w:lang w:val="en-GB"/>
        </w:rPr>
        <w:t>During the drafting of the National Strategic Policy for Poverty Reduction and for Social Inclusion 2014-2024, consultative outreach was carried out, consisting of eight public meetings (involving local organisations) and a week of artistic and cultural activities with a focus on Children and Poverty.</w:t>
      </w:r>
    </w:p>
    <w:p w14:paraId="3C5DF2D3" w14:textId="77777777" w:rsidR="00EB45EF" w:rsidRPr="00EB45EF" w:rsidRDefault="00EB45EF" w:rsidP="00EB45EF">
      <w:pPr>
        <w:spacing w:line="360" w:lineRule="auto"/>
        <w:jc w:val="both"/>
        <w:rPr>
          <w:lang w:val="en-GB"/>
        </w:rPr>
      </w:pPr>
    </w:p>
    <w:p w14:paraId="7B39609D" w14:textId="77777777" w:rsidR="00EB45EF" w:rsidRPr="00EB45EF" w:rsidRDefault="00EB45EF" w:rsidP="00EB45EF">
      <w:pPr>
        <w:autoSpaceDE w:val="0"/>
        <w:autoSpaceDN w:val="0"/>
        <w:adjustRightInd w:val="0"/>
        <w:spacing w:line="360" w:lineRule="auto"/>
        <w:jc w:val="both"/>
        <w:rPr>
          <w:lang w:val="en-GB"/>
        </w:rPr>
      </w:pPr>
      <w:r w:rsidRPr="00EB45EF">
        <w:rPr>
          <w:lang w:val="en-GB"/>
        </w:rPr>
        <w:t xml:space="preserve">This Policy: </w:t>
      </w:r>
    </w:p>
    <w:p w14:paraId="633C70AD" w14:textId="77777777" w:rsidR="00EB45EF" w:rsidRPr="00EB45EF" w:rsidRDefault="00EB45EF" w:rsidP="00EB45EF">
      <w:pPr>
        <w:pStyle w:val="ListParagraph"/>
        <w:numPr>
          <w:ilvl w:val="0"/>
          <w:numId w:val="16"/>
        </w:numPr>
        <w:autoSpaceDE w:val="0"/>
        <w:autoSpaceDN w:val="0"/>
        <w:adjustRightInd w:val="0"/>
        <w:spacing w:line="360" w:lineRule="auto"/>
        <w:jc w:val="both"/>
        <w:rPr>
          <w:rFonts w:eastAsia="Nexa-Light"/>
          <w:lang w:val="en-GB"/>
        </w:rPr>
      </w:pPr>
      <w:r w:rsidRPr="00EB45EF">
        <w:rPr>
          <w:lang w:val="en-GB"/>
        </w:rPr>
        <w:t>identifies and targets four key population groups, amongst which are children and young people;</w:t>
      </w:r>
    </w:p>
    <w:p w14:paraId="20BB909D" w14:textId="77777777" w:rsidR="00EB45EF" w:rsidRPr="00EB45EF" w:rsidRDefault="00EB45EF" w:rsidP="00EB45EF">
      <w:pPr>
        <w:pStyle w:val="ListParagraph"/>
        <w:numPr>
          <w:ilvl w:val="0"/>
          <w:numId w:val="16"/>
        </w:numPr>
        <w:autoSpaceDE w:val="0"/>
        <w:autoSpaceDN w:val="0"/>
        <w:adjustRightInd w:val="0"/>
        <w:spacing w:line="360" w:lineRule="auto"/>
        <w:jc w:val="both"/>
        <w:rPr>
          <w:rFonts w:eastAsia="Nexa-Light"/>
          <w:lang w:val="en-GB"/>
        </w:rPr>
      </w:pPr>
      <w:r w:rsidRPr="00EB45EF">
        <w:rPr>
          <w:lang w:val="en-GB"/>
        </w:rPr>
        <w:t xml:space="preserve">amongst others, puts forward the promotion of children’s and young people’s social participation, as well as the </w:t>
      </w:r>
      <w:r w:rsidRPr="00EB45EF">
        <w:rPr>
          <w:rFonts w:eastAsia="Nexa-Light"/>
          <w:lang w:val="en-GB"/>
        </w:rPr>
        <w:t>consolidation of outreach and preventative services to enable early identification and intervention of high-risk children and youth.</w:t>
      </w:r>
    </w:p>
    <w:p w14:paraId="56A7A2DD" w14:textId="77777777" w:rsidR="00EB45EF" w:rsidRPr="00EB45EF" w:rsidRDefault="00EB45EF" w:rsidP="00EB45EF">
      <w:pPr>
        <w:pStyle w:val="Default"/>
        <w:spacing w:line="360" w:lineRule="auto"/>
        <w:jc w:val="both"/>
        <w:rPr>
          <w:color w:val="auto"/>
          <w:u w:val="single"/>
        </w:rPr>
      </w:pPr>
    </w:p>
    <w:p w14:paraId="781FCB3A" w14:textId="77777777" w:rsidR="00EB45EF" w:rsidRPr="00EB45EF" w:rsidRDefault="00EB45EF" w:rsidP="00EB45EF">
      <w:pPr>
        <w:pStyle w:val="Default"/>
        <w:spacing w:line="360" w:lineRule="auto"/>
        <w:jc w:val="both"/>
        <w:rPr>
          <w:b/>
          <w:color w:val="auto"/>
        </w:rPr>
      </w:pPr>
      <w:r w:rsidRPr="00EB45EF">
        <w:rPr>
          <w:b/>
          <w:color w:val="auto"/>
        </w:rPr>
        <w:t>Question 6</w:t>
      </w:r>
    </w:p>
    <w:p w14:paraId="76C47331" w14:textId="77777777" w:rsidR="00EB45EF" w:rsidRPr="00EB45EF" w:rsidRDefault="00EB45EF" w:rsidP="00EB45EF">
      <w:pPr>
        <w:pStyle w:val="Default"/>
        <w:spacing w:line="360" w:lineRule="auto"/>
        <w:jc w:val="both"/>
        <w:rPr>
          <w:color w:val="auto"/>
        </w:rPr>
      </w:pPr>
      <w:r w:rsidRPr="00EB45EF">
        <w:rPr>
          <w:color w:val="auto"/>
        </w:rPr>
        <w:t>Free and quality education is provided to both boys and girls up to Tertiary level of education. Education is compulsory for all children up to the age of 16 years.</w:t>
      </w:r>
    </w:p>
    <w:p w14:paraId="69841A35" w14:textId="77777777" w:rsidR="00EB45EF" w:rsidRPr="00EB45EF" w:rsidRDefault="00EB45EF" w:rsidP="00EB45EF">
      <w:pPr>
        <w:pStyle w:val="Default"/>
        <w:spacing w:line="360" w:lineRule="auto"/>
        <w:jc w:val="both"/>
        <w:rPr>
          <w:color w:val="auto"/>
          <w:u w:val="single"/>
        </w:rPr>
      </w:pPr>
    </w:p>
    <w:p w14:paraId="0BEE4364" w14:textId="77777777" w:rsidR="00EB45EF" w:rsidRPr="00EB45EF" w:rsidRDefault="00EB45EF" w:rsidP="00EB45EF">
      <w:pPr>
        <w:pStyle w:val="Default"/>
        <w:spacing w:line="360" w:lineRule="auto"/>
        <w:jc w:val="both"/>
        <w:rPr>
          <w:color w:val="auto"/>
        </w:rPr>
      </w:pPr>
      <w:r w:rsidRPr="00EB45EF">
        <w:rPr>
          <w:color w:val="auto"/>
        </w:rPr>
        <w:lastRenderedPageBreak/>
        <w:t xml:space="preserve">The NCP provides 32 policy actions to improve the education prospects of all children. All 32 policy actions are aimed at enhancing empowerment, remove barriers to education and promote equal access to free and quality education, and promote technical and vocational training and skills development for all children (including girls). </w:t>
      </w:r>
    </w:p>
    <w:p w14:paraId="4E9C0887" w14:textId="77777777" w:rsidR="00EB45EF" w:rsidRPr="00EB45EF" w:rsidRDefault="00EB45EF" w:rsidP="00EB45EF">
      <w:pPr>
        <w:pStyle w:val="Default"/>
        <w:spacing w:line="360" w:lineRule="auto"/>
        <w:jc w:val="both"/>
        <w:rPr>
          <w:color w:val="auto"/>
        </w:rPr>
      </w:pPr>
    </w:p>
    <w:p w14:paraId="52FFFB88" w14:textId="77777777" w:rsidR="00EB45EF" w:rsidRPr="00EB45EF" w:rsidRDefault="00EB45EF" w:rsidP="00EB45EF">
      <w:pPr>
        <w:pStyle w:val="Default"/>
        <w:spacing w:line="360" w:lineRule="auto"/>
        <w:jc w:val="both"/>
        <w:rPr>
          <w:b/>
          <w:color w:val="auto"/>
        </w:rPr>
      </w:pPr>
      <w:r w:rsidRPr="00EB45EF">
        <w:rPr>
          <w:b/>
          <w:color w:val="auto"/>
        </w:rPr>
        <w:t>Question 7</w:t>
      </w:r>
    </w:p>
    <w:p w14:paraId="41617E1A" w14:textId="77777777" w:rsidR="00EB45EF" w:rsidRPr="00EB45EF" w:rsidRDefault="00EB45EF" w:rsidP="00EB45EF">
      <w:pPr>
        <w:autoSpaceDE w:val="0"/>
        <w:autoSpaceDN w:val="0"/>
        <w:adjustRightInd w:val="0"/>
        <w:spacing w:line="360" w:lineRule="auto"/>
        <w:jc w:val="both"/>
        <w:rPr>
          <w:bCs/>
          <w:color w:val="000000"/>
          <w:lang w:val="en-GB"/>
        </w:rPr>
      </w:pPr>
      <w:r w:rsidRPr="00EB45EF">
        <w:rPr>
          <w:bCs/>
          <w:color w:val="000000"/>
          <w:lang w:val="en-GB"/>
        </w:rPr>
        <w:t xml:space="preserve">Access to healthcare and social welfare services are free for all (including women and girls). </w:t>
      </w:r>
    </w:p>
    <w:p w14:paraId="542F8249" w14:textId="77777777" w:rsidR="00EB45EF" w:rsidRPr="00EB45EF" w:rsidRDefault="00EB45EF" w:rsidP="00EB45EF">
      <w:pPr>
        <w:autoSpaceDE w:val="0"/>
        <w:autoSpaceDN w:val="0"/>
        <w:adjustRightInd w:val="0"/>
        <w:spacing w:line="360" w:lineRule="auto"/>
        <w:jc w:val="both"/>
        <w:rPr>
          <w:bCs/>
          <w:color w:val="000000"/>
          <w:lang w:val="en-GB"/>
        </w:rPr>
      </w:pPr>
    </w:p>
    <w:p w14:paraId="3DA6185D" w14:textId="77777777" w:rsidR="00EB45EF" w:rsidRPr="00EB45EF" w:rsidRDefault="00EB45EF" w:rsidP="00EB45EF">
      <w:pPr>
        <w:autoSpaceDE w:val="0"/>
        <w:autoSpaceDN w:val="0"/>
        <w:adjustRightInd w:val="0"/>
        <w:spacing w:line="360" w:lineRule="auto"/>
        <w:jc w:val="both"/>
        <w:rPr>
          <w:lang w:val="en-GB"/>
        </w:rPr>
      </w:pPr>
      <w:proofErr w:type="gramStart"/>
      <w:r w:rsidRPr="00EB45EF">
        <w:rPr>
          <w:lang w:val="en-GB"/>
        </w:rPr>
        <w:t>A number of</w:t>
      </w:r>
      <w:proofErr w:type="gramEnd"/>
      <w:r w:rsidRPr="00EB45EF">
        <w:rPr>
          <w:lang w:val="en-GB"/>
        </w:rPr>
        <w:t xml:space="preserve"> universal and targeted measures are in place to enhance the income of families and individuals with parental responsibilities. MFCS provides social benefits as well as measures aimed at improving their employability and inclusion prospects through activation and social welfare services. These social benefits and welfare services not only provide social protection, but also act as activation measures to encourage the entry, re-entry and retainment of parents in the labour market, particularly single parents.</w:t>
      </w:r>
    </w:p>
    <w:p w14:paraId="28018C91" w14:textId="77777777" w:rsidR="00EB45EF" w:rsidRPr="00EB45EF" w:rsidRDefault="00EB45EF" w:rsidP="00EB45EF">
      <w:pPr>
        <w:spacing w:line="360" w:lineRule="auto"/>
        <w:jc w:val="both"/>
        <w:rPr>
          <w:lang w:val="en-GB"/>
        </w:rPr>
      </w:pPr>
    </w:p>
    <w:p w14:paraId="5E7A55EA" w14:textId="77777777" w:rsidR="00EB45EF" w:rsidRPr="00EB45EF" w:rsidRDefault="00EB45EF" w:rsidP="00EB45EF">
      <w:pPr>
        <w:spacing w:line="360" w:lineRule="auto"/>
        <w:jc w:val="both"/>
        <w:rPr>
          <w:lang w:val="en-GB"/>
        </w:rPr>
      </w:pPr>
      <w:r w:rsidRPr="00EB45EF">
        <w:rPr>
          <w:lang w:val="en-GB"/>
        </w:rPr>
        <w:t>Some of these main initiatives/measures include:</w:t>
      </w:r>
    </w:p>
    <w:p w14:paraId="163ED78A" w14:textId="77777777" w:rsidR="00EB45EF" w:rsidRPr="00EB45EF" w:rsidRDefault="00EB45EF" w:rsidP="00EB45EF">
      <w:pPr>
        <w:pStyle w:val="ListParagraph"/>
        <w:numPr>
          <w:ilvl w:val="0"/>
          <w:numId w:val="17"/>
        </w:numPr>
        <w:spacing w:line="360" w:lineRule="auto"/>
        <w:jc w:val="both"/>
        <w:rPr>
          <w:lang w:val="en-GB"/>
        </w:rPr>
      </w:pPr>
      <w:r w:rsidRPr="00EB45EF">
        <w:rPr>
          <w:lang w:val="en-GB"/>
        </w:rPr>
        <w:t>universal benefits and services such as children’s allowance, maternity benefit, free childcare, free breakfast clubs and subsidised after-school services for all children aged 3-16 years and subsidised</w:t>
      </w:r>
      <w:r w:rsidRPr="00EB45EF" w:rsidDel="00D701B3">
        <w:rPr>
          <w:lang w:val="en-GB"/>
        </w:rPr>
        <w:t xml:space="preserve"> </w:t>
      </w:r>
      <w:r w:rsidRPr="00EB45EF">
        <w:rPr>
          <w:lang w:val="en-GB"/>
        </w:rPr>
        <w:t xml:space="preserve">adult learning; and </w:t>
      </w:r>
    </w:p>
    <w:p w14:paraId="03DF8155" w14:textId="77777777" w:rsidR="00EB45EF" w:rsidRPr="00EB45EF" w:rsidRDefault="00EB45EF" w:rsidP="00EB45EF">
      <w:pPr>
        <w:pStyle w:val="ListParagraph"/>
        <w:numPr>
          <w:ilvl w:val="0"/>
          <w:numId w:val="17"/>
        </w:numPr>
        <w:spacing w:line="360" w:lineRule="auto"/>
        <w:jc w:val="both"/>
        <w:rPr>
          <w:lang w:val="en-GB"/>
        </w:rPr>
      </w:pPr>
      <w:r w:rsidRPr="00EB45EF">
        <w:rPr>
          <w:lang w:val="en-GB"/>
        </w:rPr>
        <w:t xml:space="preserve">targeted benefits and services such as the Youth Guarantee Scheme, the tapering of benefits, the in-work benefit, the Fund for European Aid to the Most Deprived (FEAD) and the </w:t>
      </w:r>
      <w:r w:rsidRPr="00EB45EF">
        <w:rPr>
          <w:rFonts w:eastAsia="Calibri"/>
          <w:lang w:val="en-GB" w:eastAsia="en-GB"/>
        </w:rPr>
        <w:t>State Funded Food Distribution project</w:t>
      </w:r>
      <w:r w:rsidRPr="00EB45EF">
        <w:rPr>
          <w:lang w:val="en-GB"/>
        </w:rPr>
        <w:t xml:space="preserve"> (SFFD), </w:t>
      </w:r>
      <w:proofErr w:type="spellStart"/>
      <w:r w:rsidRPr="00EB45EF">
        <w:rPr>
          <w:bCs/>
          <w:i/>
          <w:iCs/>
          <w:lang w:val="en-GB"/>
        </w:rPr>
        <w:t>Servizz</w:t>
      </w:r>
      <w:proofErr w:type="spellEnd"/>
      <w:r w:rsidRPr="00EB45EF">
        <w:rPr>
          <w:bCs/>
          <w:i/>
          <w:iCs/>
          <w:lang w:val="en-GB"/>
        </w:rPr>
        <w:t xml:space="preserve"> </w:t>
      </w:r>
      <w:proofErr w:type="spellStart"/>
      <w:r w:rsidRPr="00EB45EF">
        <w:rPr>
          <w:bCs/>
          <w:i/>
          <w:iCs/>
          <w:lang w:val="en-GB"/>
        </w:rPr>
        <w:t>Għożża</w:t>
      </w:r>
      <w:proofErr w:type="spellEnd"/>
      <w:r w:rsidRPr="00EB45EF">
        <w:rPr>
          <w:rStyle w:val="FootnoteReference"/>
          <w:bCs/>
          <w:iCs/>
          <w:lang w:val="en-GB"/>
        </w:rPr>
        <w:footnoteReference w:id="1"/>
      </w:r>
      <w:r w:rsidRPr="00EB45EF">
        <w:rPr>
          <w:bCs/>
          <w:iCs/>
          <w:lang w:val="en-GB"/>
        </w:rPr>
        <w:t>,</w:t>
      </w:r>
      <w:r w:rsidRPr="00EB45EF">
        <w:rPr>
          <w:lang w:val="en-GB"/>
        </w:rPr>
        <w:t xml:space="preserve"> </w:t>
      </w:r>
      <w:r w:rsidRPr="00EB45EF">
        <w:rPr>
          <w:bCs/>
          <w:lang w:val="en-GB"/>
        </w:rPr>
        <w:t>guidance and empowerment programmes</w:t>
      </w:r>
      <w:r w:rsidRPr="00EB45EF">
        <w:rPr>
          <w:rStyle w:val="FootnoteReference"/>
          <w:bCs/>
          <w:lang w:val="en-GB"/>
        </w:rPr>
        <w:footnoteReference w:id="2"/>
      </w:r>
      <w:r w:rsidRPr="00EB45EF">
        <w:rPr>
          <w:bCs/>
          <w:lang w:val="en-GB"/>
        </w:rPr>
        <w:t>,</w:t>
      </w:r>
      <w:r w:rsidRPr="00EB45EF">
        <w:rPr>
          <w:lang w:val="en-GB"/>
        </w:rPr>
        <w:t xml:space="preserve"> as well as projects by the community-based LEAP Centres.  </w:t>
      </w:r>
    </w:p>
    <w:p w14:paraId="30715633" w14:textId="77777777" w:rsidR="00EB45EF" w:rsidRPr="00EB45EF" w:rsidRDefault="00EB45EF" w:rsidP="00EB45EF">
      <w:pPr>
        <w:autoSpaceDE w:val="0"/>
        <w:autoSpaceDN w:val="0"/>
        <w:adjustRightInd w:val="0"/>
        <w:spacing w:line="360" w:lineRule="auto"/>
        <w:jc w:val="both"/>
        <w:rPr>
          <w:bCs/>
          <w:lang w:val="en-GB"/>
        </w:rPr>
      </w:pPr>
    </w:p>
    <w:p w14:paraId="07049E79" w14:textId="77777777" w:rsidR="00EB45EF" w:rsidRPr="00EB45EF" w:rsidRDefault="00EB45EF" w:rsidP="00EB45EF">
      <w:pPr>
        <w:spacing w:line="360" w:lineRule="auto"/>
        <w:jc w:val="both"/>
        <w:rPr>
          <w:i/>
          <w:lang w:val="en-GB"/>
        </w:rPr>
      </w:pPr>
      <w:r w:rsidRPr="00EB45EF">
        <w:rPr>
          <w:bCs/>
          <w:iCs/>
          <w:lang w:val="en-GB"/>
        </w:rPr>
        <w:t>Projects by LEAP Community Centres</w:t>
      </w:r>
      <w:r w:rsidRPr="00EB45EF">
        <w:rPr>
          <w:bCs/>
          <w:i/>
          <w:iCs/>
          <w:lang w:val="en-GB"/>
        </w:rPr>
        <w:t xml:space="preserve"> </w:t>
      </w:r>
      <w:r w:rsidRPr="00EB45EF">
        <w:rPr>
          <w:bCs/>
          <w:iCs/>
          <w:lang w:val="en-GB"/>
        </w:rPr>
        <w:t>consist of</w:t>
      </w:r>
      <w:r w:rsidRPr="00EB45EF">
        <w:rPr>
          <w:bCs/>
          <w:i/>
          <w:iCs/>
          <w:lang w:val="en-GB"/>
        </w:rPr>
        <w:t xml:space="preserve">: </w:t>
      </w:r>
      <w:r w:rsidRPr="00EB45EF">
        <w:rPr>
          <w:bCs/>
          <w:iCs/>
          <w:lang w:val="en-GB"/>
        </w:rPr>
        <w:t>a)</w:t>
      </w:r>
      <w:r w:rsidRPr="00EB45EF">
        <w:rPr>
          <w:bCs/>
          <w:i/>
          <w:iCs/>
          <w:lang w:val="en-GB"/>
        </w:rPr>
        <w:t xml:space="preserve"> Wonder Women</w:t>
      </w:r>
      <w:r w:rsidRPr="00EB45EF">
        <w:rPr>
          <w:b/>
          <w:bCs/>
          <w:i/>
          <w:iCs/>
          <w:lang w:val="en-GB"/>
        </w:rPr>
        <w:t xml:space="preserve"> </w:t>
      </w:r>
      <w:r w:rsidRPr="00EB45EF">
        <w:rPr>
          <w:bCs/>
          <w:lang w:val="en-GB"/>
        </w:rPr>
        <w:t xml:space="preserve">- to empower all women in </w:t>
      </w:r>
      <w:proofErr w:type="spellStart"/>
      <w:r w:rsidRPr="00EB45EF">
        <w:rPr>
          <w:bCs/>
          <w:lang w:val="en-GB"/>
        </w:rPr>
        <w:t>Cottonera</w:t>
      </w:r>
      <w:proofErr w:type="spellEnd"/>
      <w:r w:rsidRPr="00EB45EF">
        <w:rPr>
          <w:bCs/>
          <w:lang w:val="en-GB"/>
        </w:rPr>
        <w:t xml:space="preserve"> aged 18 years and over by providing them with knowledge and skills to have a better quality of life; b)</w:t>
      </w:r>
      <w:r w:rsidRPr="00EB45EF">
        <w:rPr>
          <w:bCs/>
          <w:i/>
          <w:lang w:val="en-GB"/>
        </w:rPr>
        <w:t xml:space="preserve"> </w:t>
      </w:r>
      <w:proofErr w:type="spellStart"/>
      <w:r w:rsidRPr="00EB45EF">
        <w:rPr>
          <w:bCs/>
          <w:i/>
          <w:lang w:val="en-GB"/>
        </w:rPr>
        <w:t>Qawsalla</w:t>
      </w:r>
      <w:proofErr w:type="spellEnd"/>
      <w:r w:rsidRPr="00EB45EF">
        <w:rPr>
          <w:bCs/>
          <w:lang w:val="en-GB"/>
        </w:rPr>
        <w:t xml:space="preserve"> - </w:t>
      </w:r>
      <w:r w:rsidRPr="00EB45EF">
        <w:rPr>
          <w:lang w:val="en-GB"/>
        </w:rPr>
        <w:t xml:space="preserve">a support group for women in Qawra; c) </w:t>
      </w:r>
      <w:proofErr w:type="spellStart"/>
      <w:r w:rsidRPr="00EB45EF">
        <w:rPr>
          <w:i/>
          <w:lang w:val="en-GB"/>
        </w:rPr>
        <w:t>Primi</w:t>
      </w:r>
      <w:proofErr w:type="spellEnd"/>
      <w:r w:rsidRPr="00EB45EF">
        <w:rPr>
          <w:i/>
          <w:lang w:val="en-GB"/>
        </w:rPr>
        <w:t xml:space="preserve"> </w:t>
      </w:r>
      <w:proofErr w:type="spellStart"/>
      <w:r w:rsidRPr="00EB45EF">
        <w:rPr>
          <w:i/>
          <w:lang w:val="en-GB"/>
        </w:rPr>
        <w:t>Passi</w:t>
      </w:r>
      <w:proofErr w:type="spellEnd"/>
      <w:r w:rsidRPr="00EB45EF">
        <w:rPr>
          <w:i/>
          <w:lang w:val="en-GB"/>
        </w:rPr>
        <w:t xml:space="preserve"> -</w:t>
      </w:r>
      <w:r w:rsidRPr="00EB45EF">
        <w:rPr>
          <w:lang w:val="en-GB"/>
        </w:rPr>
        <w:t xml:space="preserve"> a form of ‘mother and baby club’ in </w:t>
      </w:r>
      <w:proofErr w:type="spellStart"/>
      <w:r w:rsidRPr="00EB45EF">
        <w:rPr>
          <w:lang w:val="en-GB"/>
        </w:rPr>
        <w:t>Bormla</w:t>
      </w:r>
      <w:proofErr w:type="spellEnd"/>
      <w:r w:rsidRPr="00EB45EF">
        <w:rPr>
          <w:lang w:val="en-GB"/>
        </w:rPr>
        <w:t xml:space="preserve"> that also provides a space to stimulate babies and tips on parenting and child care.</w:t>
      </w:r>
      <w:r w:rsidRPr="00EB45EF">
        <w:rPr>
          <w:rFonts w:eastAsia="Calibri"/>
          <w:lang w:val="en-GB"/>
        </w:rPr>
        <w:t xml:space="preserve"> The women targeted are mostly those needing extra support to care for their young children, and who are at high risk of poverty</w:t>
      </w:r>
      <w:r w:rsidRPr="00EB45EF">
        <w:rPr>
          <w:lang w:val="en-GB"/>
        </w:rPr>
        <w:t xml:space="preserve">; d) </w:t>
      </w:r>
      <w:r w:rsidRPr="00EB45EF">
        <w:rPr>
          <w:i/>
          <w:lang w:val="en-GB"/>
        </w:rPr>
        <w:t>Befriending the Community</w:t>
      </w:r>
      <w:r w:rsidRPr="00EB45EF">
        <w:rPr>
          <w:lang w:val="en-GB"/>
        </w:rPr>
        <w:t xml:space="preserve"> - a women’s support group in Birkirkara; e) </w:t>
      </w:r>
      <w:r w:rsidRPr="00EB45EF">
        <w:rPr>
          <w:bCs/>
          <w:i/>
          <w:lang w:val="en-GB"/>
        </w:rPr>
        <w:t>Tuesday Morning group</w:t>
      </w:r>
      <w:r w:rsidRPr="00EB45EF">
        <w:rPr>
          <w:bCs/>
          <w:lang w:val="en-GB"/>
        </w:rPr>
        <w:t xml:space="preserve"> - a women’s group</w:t>
      </w:r>
      <w:r w:rsidRPr="00EB45EF">
        <w:rPr>
          <w:b/>
          <w:bCs/>
          <w:lang w:val="en-GB"/>
        </w:rPr>
        <w:t xml:space="preserve"> </w:t>
      </w:r>
      <w:r w:rsidRPr="00EB45EF">
        <w:rPr>
          <w:lang w:val="en-GB"/>
        </w:rPr>
        <w:t xml:space="preserve">in Birkirkara to increase the participants’ level of self-awareness by providing them with tools to realise their potential and self-worth; and f) </w:t>
      </w:r>
      <w:proofErr w:type="spellStart"/>
      <w:r w:rsidRPr="00EB45EF">
        <w:rPr>
          <w:i/>
          <w:lang w:val="en-GB"/>
        </w:rPr>
        <w:t>Ftit</w:t>
      </w:r>
      <w:proofErr w:type="spellEnd"/>
      <w:r w:rsidRPr="00EB45EF">
        <w:rPr>
          <w:i/>
          <w:lang w:val="en-GB"/>
        </w:rPr>
        <w:t xml:space="preserve"> </w:t>
      </w:r>
      <w:proofErr w:type="spellStart"/>
      <w:r w:rsidRPr="00EB45EF">
        <w:rPr>
          <w:i/>
          <w:lang w:val="en-GB"/>
        </w:rPr>
        <w:t>Ħin</w:t>
      </w:r>
      <w:proofErr w:type="spellEnd"/>
      <w:r w:rsidRPr="00EB45EF">
        <w:rPr>
          <w:i/>
          <w:lang w:val="en-GB"/>
        </w:rPr>
        <w:t xml:space="preserve"> </w:t>
      </w:r>
      <w:proofErr w:type="spellStart"/>
      <w:r w:rsidRPr="00EB45EF">
        <w:rPr>
          <w:i/>
          <w:lang w:val="en-GB"/>
        </w:rPr>
        <w:t>Għalijja</w:t>
      </w:r>
      <w:proofErr w:type="spellEnd"/>
      <w:r w:rsidRPr="00EB45EF">
        <w:rPr>
          <w:i/>
          <w:lang w:val="en-GB"/>
        </w:rPr>
        <w:t xml:space="preserve"> – </w:t>
      </w:r>
      <w:r w:rsidRPr="00EB45EF">
        <w:rPr>
          <w:lang w:val="en-GB"/>
        </w:rPr>
        <w:t xml:space="preserve">a project targeting women living in Valletta. This group serves as a self-help group and the participants seek ways of becoming more active in their community (such as through exhibitions of their handmade objects).  </w:t>
      </w:r>
    </w:p>
    <w:p w14:paraId="5740476C" w14:textId="77777777" w:rsidR="00EB45EF" w:rsidRPr="00EB45EF" w:rsidRDefault="00EB45EF" w:rsidP="00EB45EF">
      <w:pPr>
        <w:autoSpaceDE w:val="0"/>
        <w:autoSpaceDN w:val="0"/>
        <w:adjustRightInd w:val="0"/>
        <w:spacing w:line="360" w:lineRule="auto"/>
        <w:jc w:val="both"/>
        <w:rPr>
          <w:bCs/>
          <w:lang w:val="en-GB"/>
        </w:rPr>
      </w:pPr>
    </w:p>
    <w:p w14:paraId="5800CE4E" w14:textId="77777777" w:rsidR="00EB45EF" w:rsidRPr="00EB45EF" w:rsidRDefault="00EB45EF" w:rsidP="00EB45EF">
      <w:pPr>
        <w:autoSpaceDE w:val="0"/>
        <w:autoSpaceDN w:val="0"/>
        <w:adjustRightInd w:val="0"/>
        <w:spacing w:line="360" w:lineRule="auto"/>
        <w:jc w:val="both"/>
        <w:rPr>
          <w:bCs/>
          <w:color w:val="000000"/>
          <w:lang w:val="en-GB"/>
        </w:rPr>
      </w:pPr>
      <w:r w:rsidRPr="00EB45EF">
        <w:rPr>
          <w:bCs/>
          <w:color w:val="000000"/>
          <w:lang w:val="en-GB"/>
        </w:rPr>
        <w:t>In addition to these measures and initiatives, Malta commits to certain national policies which promote access to healthcare, social services and childcare.  Various policy actions are viewed as increasingly targeting women and girls. The main national policies in this regard include the:</w:t>
      </w:r>
    </w:p>
    <w:p w14:paraId="31F75889" w14:textId="77777777" w:rsidR="00EB45EF" w:rsidRPr="00EB45EF" w:rsidRDefault="00EB45EF" w:rsidP="00EB45EF">
      <w:pPr>
        <w:numPr>
          <w:ilvl w:val="0"/>
          <w:numId w:val="12"/>
        </w:numPr>
        <w:autoSpaceDE w:val="0"/>
        <w:autoSpaceDN w:val="0"/>
        <w:adjustRightInd w:val="0"/>
        <w:spacing w:line="360" w:lineRule="auto"/>
        <w:jc w:val="both"/>
        <w:rPr>
          <w:bCs/>
          <w:color w:val="000000"/>
          <w:lang w:val="en-GB"/>
        </w:rPr>
      </w:pPr>
      <w:r w:rsidRPr="00EB45EF">
        <w:rPr>
          <w:bCs/>
          <w:i/>
          <w:color w:val="000000"/>
          <w:lang w:val="en-GB"/>
        </w:rPr>
        <w:t>National Strategic Policy for Poverty Reduction and for Social Inclusion (2014-2024):</w:t>
      </w:r>
      <w:r w:rsidRPr="00EB45EF">
        <w:rPr>
          <w:bCs/>
          <w:color w:val="000000"/>
          <w:lang w:val="en-GB"/>
        </w:rPr>
        <w:t xml:space="preserve"> Several strategic policy actions within this policy highlight Malta’s commitment to reduce poverty and social exclusion through the promotion of well-being and improving the quality of life for all, whilst specifically targeting four population groups: (a) children and young people, (b) elderly, (c) unemployed, and (d) working poor.</w:t>
      </w:r>
    </w:p>
    <w:p w14:paraId="790C3D35" w14:textId="77777777" w:rsidR="00EB45EF" w:rsidRPr="00EB45EF" w:rsidRDefault="00EB45EF" w:rsidP="00EB45EF">
      <w:pPr>
        <w:pStyle w:val="ListParagraph"/>
        <w:numPr>
          <w:ilvl w:val="0"/>
          <w:numId w:val="11"/>
        </w:numPr>
        <w:autoSpaceDE w:val="0"/>
        <w:autoSpaceDN w:val="0"/>
        <w:adjustRightInd w:val="0"/>
        <w:spacing w:line="360" w:lineRule="auto"/>
        <w:jc w:val="both"/>
        <w:rPr>
          <w:bCs/>
          <w:lang w:val="en-GB"/>
        </w:rPr>
      </w:pPr>
      <w:r w:rsidRPr="00EB45EF">
        <w:rPr>
          <w:bCs/>
          <w:i/>
          <w:color w:val="000000"/>
          <w:lang w:val="en-GB"/>
        </w:rPr>
        <w:t xml:space="preserve">National Strategic Policy for Positive Parenting (2016-2024): </w:t>
      </w:r>
      <w:r w:rsidRPr="00EB45EF">
        <w:rPr>
          <w:bCs/>
          <w:color w:val="000000"/>
          <w:lang w:val="en-GB"/>
        </w:rPr>
        <w:t>This policy aims to build and sustain a positive culture and infrastructure for parents as well as their children.</w:t>
      </w:r>
    </w:p>
    <w:p w14:paraId="6595185B" w14:textId="77777777" w:rsidR="00EB45EF" w:rsidRPr="00EB45EF" w:rsidRDefault="00EB45EF" w:rsidP="00EB45EF">
      <w:pPr>
        <w:pStyle w:val="ListParagraph"/>
        <w:numPr>
          <w:ilvl w:val="0"/>
          <w:numId w:val="11"/>
        </w:numPr>
        <w:spacing w:line="360" w:lineRule="auto"/>
        <w:jc w:val="both"/>
        <w:rPr>
          <w:i/>
          <w:lang w:val="en-GB"/>
        </w:rPr>
      </w:pPr>
      <w:r w:rsidRPr="00EB45EF">
        <w:rPr>
          <w:i/>
          <w:lang w:val="en-GB"/>
        </w:rPr>
        <w:t xml:space="preserve">The Strategy for Retirement and Financial Capability (2017-2019): </w:t>
      </w:r>
      <w:r w:rsidRPr="00EB45EF">
        <w:rPr>
          <w:lang w:val="en-GB"/>
        </w:rPr>
        <w:t xml:space="preserve">This strategy focuses on long term planning giving importance to the saving aspect with the aim of having a decent living during the retirement phase. </w:t>
      </w:r>
    </w:p>
    <w:p w14:paraId="23D44FE0" w14:textId="37AA6AC0" w:rsidR="00EB45EF" w:rsidRPr="00EB45EF" w:rsidRDefault="00EB45EF" w:rsidP="00EB45EF">
      <w:pPr>
        <w:pStyle w:val="ListParagraph"/>
        <w:numPr>
          <w:ilvl w:val="0"/>
          <w:numId w:val="11"/>
        </w:numPr>
        <w:spacing w:line="360" w:lineRule="auto"/>
        <w:jc w:val="both"/>
        <w:rPr>
          <w:bCs/>
          <w:color w:val="000000"/>
          <w:lang w:val="en-GB"/>
        </w:rPr>
      </w:pPr>
      <w:r w:rsidRPr="00EB45EF">
        <w:rPr>
          <w:i/>
          <w:lang w:val="en-GB"/>
        </w:rPr>
        <w:lastRenderedPageBreak/>
        <w:t>National Children’s Policy:</w:t>
      </w:r>
      <w:r w:rsidRPr="00EB45EF">
        <w:rPr>
          <w:lang w:val="en-GB"/>
        </w:rPr>
        <w:t xml:space="preserve"> This Policy supports and engages children’s’ families/parents/guardians in the protection, provision and participation of children, with </w:t>
      </w:r>
      <w:proofErr w:type="gramStart"/>
      <w:r w:rsidRPr="00EB45EF">
        <w:rPr>
          <w:lang w:val="en-GB"/>
        </w:rPr>
        <w:t>particular reference</w:t>
      </w:r>
      <w:proofErr w:type="gramEnd"/>
      <w:r w:rsidRPr="00EB45EF">
        <w:rPr>
          <w:lang w:val="en-GB"/>
        </w:rPr>
        <w:t xml:space="preserve"> to mothers in certain areas. This policy puts forward 110 actions, for which the </w:t>
      </w:r>
      <w:proofErr w:type="spellStart"/>
      <w:r w:rsidRPr="00EB45EF">
        <w:rPr>
          <w:lang w:val="en-GB"/>
        </w:rPr>
        <w:t>CfC</w:t>
      </w:r>
      <w:proofErr w:type="spellEnd"/>
      <w:r w:rsidRPr="00EB45EF">
        <w:rPr>
          <w:lang w:val="en-GB"/>
        </w:rPr>
        <w:t xml:space="preserve"> is responsible for its implementation monitoring and evaluation.  </w:t>
      </w:r>
      <w:r w:rsidRPr="00EB45EF">
        <w:rPr>
          <w:bCs/>
          <w:color w:val="000000"/>
          <w:lang w:val="en-GB"/>
        </w:rPr>
        <w:t>The following policy actions are seen to especially promote women’s and girls’ access to healthcare and social services:</w:t>
      </w:r>
    </w:p>
    <w:p w14:paraId="2308FEAC" w14:textId="77777777" w:rsidR="00EB45EF" w:rsidRPr="00EB45EF" w:rsidRDefault="00EB45EF" w:rsidP="00EB45EF">
      <w:pPr>
        <w:pStyle w:val="ListParagraph"/>
        <w:numPr>
          <w:ilvl w:val="0"/>
          <w:numId w:val="7"/>
        </w:numPr>
        <w:autoSpaceDE w:val="0"/>
        <w:autoSpaceDN w:val="0"/>
        <w:adjustRightInd w:val="0"/>
        <w:spacing w:line="360" w:lineRule="auto"/>
        <w:ind w:left="1440"/>
        <w:jc w:val="both"/>
        <w:rPr>
          <w:color w:val="000000"/>
          <w:lang w:val="en-GB"/>
        </w:rPr>
      </w:pPr>
      <w:r w:rsidRPr="00EB45EF">
        <w:rPr>
          <w:bCs/>
          <w:color w:val="000000"/>
          <w:lang w:val="en-GB"/>
        </w:rPr>
        <w:t xml:space="preserve">Enhance pre-natal and post-natal support to parents, primarily mothers. </w:t>
      </w:r>
    </w:p>
    <w:p w14:paraId="2B1ECC1A" w14:textId="77777777" w:rsidR="00EB45EF" w:rsidRPr="00EB45EF" w:rsidRDefault="00EB45EF" w:rsidP="00EB45EF">
      <w:pPr>
        <w:pStyle w:val="ListParagraph"/>
        <w:numPr>
          <w:ilvl w:val="0"/>
          <w:numId w:val="7"/>
        </w:numPr>
        <w:autoSpaceDE w:val="0"/>
        <w:autoSpaceDN w:val="0"/>
        <w:adjustRightInd w:val="0"/>
        <w:spacing w:line="360" w:lineRule="auto"/>
        <w:ind w:left="1440"/>
        <w:jc w:val="both"/>
        <w:rPr>
          <w:color w:val="000000"/>
          <w:lang w:val="en-GB"/>
        </w:rPr>
      </w:pPr>
      <w:r w:rsidRPr="00EB45EF">
        <w:rPr>
          <w:bCs/>
          <w:color w:val="000000"/>
          <w:lang w:val="en-GB"/>
        </w:rPr>
        <w:t xml:space="preserve">Promote and support the benefits of breastfeeding and facilitate other effective alternatives when necessary. </w:t>
      </w:r>
    </w:p>
    <w:p w14:paraId="5788BD16" w14:textId="77777777" w:rsidR="00EB45EF" w:rsidRPr="00EB45EF" w:rsidRDefault="00EB45EF" w:rsidP="00EB45EF">
      <w:pPr>
        <w:pStyle w:val="ListParagraph"/>
        <w:numPr>
          <w:ilvl w:val="0"/>
          <w:numId w:val="8"/>
        </w:numPr>
        <w:autoSpaceDE w:val="0"/>
        <w:autoSpaceDN w:val="0"/>
        <w:adjustRightInd w:val="0"/>
        <w:spacing w:line="360" w:lineRule="auto"/>
        <w:ind w:left="1440"/>
        <w:jc w:val="both"/>
        <w:rPr>
          <w:color w:val="000000"/>
          <w:lang w:val="en-GB"/>
        </w:rPr>
      </w:pPr>
      <w:r w:rsidRPr="00EB45EF">
        <w:rPr>
          <w:bCs/>
          <w:color w:val="000000"/>
          <w:lang w:val="en-GB"/>
        </w:rPr>
        <w:t xml:space="preserve">Strengthen the provision of support to families whose children require special attention due to certain conditions (e.g. mental health, addiction, disability, etc.) and/or situations (e.g. poverty, teenage pregnancy, etc.). </w:t>
      </w:r>
    </w:p>
    <w:p w14:paraId="33CAE550" w14:textId="77777777" w:rsidR="00EB45EF" w:rsidRPr="00EB45EF" w:rsidRDefault="00EB45EF" w:rsidP="00EB45EF">
      <w:pPr>
        <w:autoSpaceDE w:val="0"/>
        <w:autoSpaceDN w:val="0"/>
        <w:adjustRightInd w:val="0"/>
        <w:spacing w:line="360" w:lineRule="auto"/>
        <w:jc w:val="both"/>
        <w:rPr>
          <w:color w:val="000000"/>
          <w:lang w:val="en-GB"/>
        </w:rPr>
      </w:pPr>
    </w:p>
    <w:p w14:paraId="09CBEC42" w14:textId="77777777" w:rsidR="00EB45EF" w:rsidRPr="00EB45EF" w:rsidRDefault="00EB45EF" w:rsidP="00EB45EF">
      <w:pPr>
        <w:autoSpaceDE w:val="0"/>
        <w:autoSpaceDN w:val="0"/>
        <w:adjustRightInd w:val="0"/>
        <w:spacing w:line="360" w:lineRule="auto"/>
        <w:jc w:val="both"/>
        <w:rPr>
          <w:b/>
          <w:color w:val="000000"/>
          <w:lang w:val="en-GB"/>
        </w:rPr>
      </w:pPr>
      <w:r w:rsidRPr="00EB45EF">
        <w:rPr>
          <w:b/>
          <w:color w:val="000000"/>
          <w:lang w:val="en-GB"/>
        </w:rPr>
        <w:t>Question 8</w:t>
      </w:r>
    </w:p>
    <w:p w14:paraId="6F334A4F" w14:textId="77777777" w:rsidR="00EB45EF" w:rsidRPr="00EB45EF" w:rsidRDefault="00EB45EF" w:rsidP="00EB45EF">
      <w:pPr>
        <w:spacing w:line="360" w:lineRule="auto"/>
        <w:jc w:val="both"/>
        <w:rPr>
          <w:lang w:val="en-GB"/>
        </w:rPr>
      </w:pPr>
      <w:r w:rsidRPr="00EB45EF">
        <w:rPr>
          <w:lang w:val="en-GB"/>
        </w:rPr>
        <w:t>With a view to strengthen child protection systems and eliminate any forms of discrimination among children, the National Children’s Policy sets out various policy actions including:</w:t>
      </w:r>
    </w:p>
    <w:p w14:paraId="1DB6AA98" w14:textId="77777777" w:rsidR="00EB45EF" w:rsidRPr="00EB45EF" w:rsidRDefault="00EB45EF" w:rsidP="00EB45EF">
      <w:pPr>
        <w:autoSpaceDE w:val="0"/>
        <w:autoSpaceDN w:val="0"/>
        <w:adjustRightInd w:val="0"/>
        <w:spacing w:line="360" w:lineRule="auto"/>
        <w:jc w:val="both"/>
        <w:rPr>
          <w:color w:val="000000"/>
          <w:lang w:val="en-GB"/>
        </w:rPr>
      </w:pPr>
    </w:p>
    <w:p w14:paraId="03BB404C" w14:textId="77777777" w:rsidR="00EB45EF" w:rsidRPr="00EB45EF" w:rsidRDefault="00EB45EF" w:rsidP="00EB45EF">
      <w:pPr>
        <w:pStyle w:val="ListParagraph"/>
        <w:numPr>
          <w:ilvl w:val="0"/>
          <w:numId w:val="9"/>
        </w:numPr>
        <w:autoSpaceDE w:val="0"/>
        <w:autoSpaceDN w:val="0"/>
        <w:adjustRightInd w:val="0"/>
        <w:spacing w:line="360" w:lineRule="auto"/>
        <w:jc w:val="both"/>
        <w:rPr>
          <w:color w:val="000000"/>
          <w:lang w:val="en-GB"/>
        </w:rPr>
      </w:pPr>
      <w:r w:rsidRPr="00EB45EF">
        <w:rPr>
          <w:bCs/>
          <w:color w:val="000000"/>
          <w:lang w:val="en-GB"/>
        </w:rPr>
        <w:t xml:space="preserve">Ensure that legislation, policies and services that affect children are systematically reviewed to better safeguard the protection, participation and provision in the best interest of children. </w:t>
      </w:r>
    </w:p>
    <w:p w14:paraId="419E4421" w14:textId="77777777" w:rsidR="00EB45EF" w:rsidRPr="00EB45EF" w:rsidRDefault="00EB45EF" w:rsidP="00EB45EF">
      <w:pPr>
        <w:autoSpaceDE w:val="0"/>
        <w:autoSpaceDN w:val="0"/>
        <w:adjustRightInd w:val="0"/>
        <w:spacing w:line="360" w:lineRule="auto"/>
        <w:jc w:val="both"/>
        <w:rPr>
          <w:color w:val="000000"/>
          <w:lang w:val="en-GB"/>
        </w:rPr>
      </w:pPr>
    </w:p>
    <w:p w14:paraId="6FA87962" w14:textId="77777777" w:rsidR="00EB45EF" w:rsidRPr="00EB45EF" w:rsidRDefault="00EB45EF" w:rsidP="00EB45EF">
      <w:pPr>
        <w:pStyle w:val="ListParagraph"/>
        <w:numPr>
          <w:ilvl w:val="0"/>
          <w:numId w:val="9"/>
        </w:numPr>
        <w:autoSpaceDE w:val="0"/>
        <w:autoSpaceDN w:val="0"/>
        <w:adjustRightInd w:val="0"/>
        <w:spacing w:line="360" w:lineRule="auto"/>
        <w:jc w:val="both"/>
        <w:rPr>
          <w:color w:val="000000"/>
          <w:lang w:val="en-GB"/>
        </w:rPr>
      </w:pPr>
      <w:r w:rsidRPr="00EB45EF">
        <w:rPr>
          <w:color w:val="000000"/>
          <w:lang w:val="en-GB"/>
        </w:rPr>
        <w:t xml:space="preserve">Revise the system and mechanism by which a child is deemed “at risk” </w:t>
      </w:r>
      <w:r w:rsidRPr="00EB45EF">
        <w:rPr>
          <w:bCs/>
          <w:color w:val="000000"/>
          <w:lang w:val="en-GB"/>
        </w:rPr>
        <w:t xml:space="preserve">so that these, effectively and in a timely manner, capture various situations that can expose a child to significant harm. </w:t>
      </w:r>
    </w:p>
    <w:p w14:paraId="2D4584D0" w14:textId="77777777" w:rsidR="00EB45EF" w:rsidRPr="00EB45EF" w:rsidRDefault="00EB45EF" w:rsidP="00EB45EF">
      <w:pPr>
        <w:autoSpaceDE w:val="0"/>
        <w:autoSpaceDN w:val="0"/>
        <w:adjustRightInd w:val="0"/>
        <w:spacing w:line="360" w:lineRule="auto"/>
        <w:jc w:val="both"/>
        <w:rPr>
          <w:bCs/>
          <w:color w:val="000000"/>
          <w:lang w:val="en-GB"/>
        </w:rPr>
      </w:pPr>
    </w:p>
    <w:p w14:paraId="5F04DBBA" w14:textId="77777777" w:rsidR="00EB45EF" w:rsidRPr="00EB45EF" w:rsidRDefault="00EB45EF" w:rsidP="00EB45EF">
      <w:pPr>
        <w:pStyle w:val="ListParagraph"/>
        <w:numPr>
          <w:ilvl w:val="0"/>
          <w:numId w:val="9"/>
        </w:numPr>
        <w:autoSpaceDE w:val="0"/>
        <w:autoSpaceDN w:val="0"/>
        <w:adjustRightInd w:val="0"/>
        <w:spacing w:line="360" w:lineRule="auto"/>
        <w:jc w:val="both"/>
        <w:rPr>
          <w:color w:val="000000"/>
          <w:lang w:val="en-GB"/>
        </w:rPr>
      </w:pPr>
      <w:r w:rsidRPr="00EB45EF">
        <w:rPr>
          <w:bCs/>
          <w:color w:val="000000"/>
          <w:lang w:val="en-GB"/>
        </w:rPr>
        <w:t xml:space="preserve">Strengthen initiatives that address the unique protection risks and needs of migrant children, particularly those who are unaccompanied. </w:t>
      </w:r>
    </w:p>
    <w:p w14:paraId="586E694D" w14:textId="77777777" w:rsidR="00EB45EF" w:rsidRPr="00EB45EF" w:rsidRDefault="00EB45EF" w:rsidP="00EB45EF">
      <w:pPr>
        <w:autoSpaceDE w:val="0"/>
        <w:autoSpaceDN w:val="0"/>
        <w:adjustRightInd w:val="0"/>
        <w:spacing w:line="360" w:lineRule="auto"/>
        <w:jc w:val="both"/>
        <w:rPr>
          <w:bCs/>
          <w:color w:val="000000"/>
          <w:lang w:val="en-GB"/>
        </w:rPr>
      </w:pPr>
    </w:p>
    <w:p w14:paraId="1ECA9D0B" w14:textId="77777777" w:rsidR="00EB45EF" w:rsidRPr="00EB45EF" w:rsidRDefault="00EB45EF" w:rsidP="00EB45EF">
      <w:pPr>
        <w:pStyle w:val="ListParagraph"/>
        <w:numPr>
          <w:ilvl w:val="0"/>
          <w:numId w:val="9"/>
        </w:numPr>
        <w:autoSpaceDE w:val="0"/>
        <w:autoSpaceDN w:val="0"/>
        <w:adjustRightInd w:val="0"/>
        <w:spacing w:line="360" w:lineRule="auto"/>
        <w:jc w:val="both"/>
        <w:rPr>
          <w:color w:val="000000"/>
          <w:lang w:val="en-GB"/>
        </w:rPr>
      </w:pPr>
      <w:r w:rsidRPr="00EB45EF">
        <w:rPr>
          <w:bCs/>
          <w:color w:val="000000"/>
          <w:lang w:val="en-GB"/>
        </w:rPr>
        <w:t xml:space="preserve">Encourage training and strengthen enforcement mechanisms to render child protection more effective and efficient </w:t>
      </w:r>
      <w:proofErr w:type="gramStart"/>
      <w:r w:rsidRPr="00EB45EF">
        <w:rPr>
          <w:bCs/>
          <w:color w:val="000000"/>
          <w:lang w:val="en-GB"/>
        </w:rPr>
        <w:t>so as to</w:t>
      </w:r>
      <w:proofErr w:type="gramEnd"/>
      <w:r w:rsidRPr="00EB45EF">
        <w:rPr>
          <w:bCs/>
          <w:color w:val="000000"/>
          <w:lang w:val="en-GB"/>
        </w:rPr>
        <w:t xml:space="preserve"> curb all forms of abuse. </w:t>
      </w:r>
    </w:p>
    <w:p w14:paraId="5DF78251" w14:textId="77777777" w:rsidR="00EB45EF" w:rsidRPr="00EB45EF" w:rsidRDefault="00EB45EF" w:rsidP="00EB45EF">
      <w:pPr>
        <w:autoSpaceDE w:val="0"/>
        <w:autoSpaceDN w:val="0"/>
        <w:adjustRightInd w:val="0"/>
        <w:spacing w:line="360" w:lineRule="auto"/>
        <w:jc w:val="both"/>
        <w:rPr>
          <w:bCs/>
          <w:color w:val="000000"/>
          <w:lang w:val="en-GB"/>
        </w:rPr>
      </w:pPr>
    </w:p>
    <w:p w14:paraId="7B4F36A9" w14:textId="77777777" w:rsidR="00EB45EF" w:rsidRPr="00EB45EF" w:rsidRDefault="00EB45EF" w:rsidP="00EB45EF">
      <w:pPr>
        <w:pStyle w:val="ListParagraph"/>
        <w:numPr>
          <w:ilvl w:val="0"/>
          <w:numId w:val="9"/>
        </w:numPr>
        <w:autoSpaceDE w:val="0"/>
        <w:autoSpaceDN w:val="0"/>
        <w:adjustRightInd w:val="0"/>
        <w:spacing w:line="360" w:lineRule="auto"/>
        <w:jc w:val="both"/>
        <w:rPr>
          <w:color w:val="000000"/>
          <w:lang w:val="en-GB"/>
        </w:rPr>
      </w:pPr>
      <w:r w:rsidRPr="00EB45EF">
        <w:rPr>
          <w:bCs/>
          <w:color w:val="000000"/>
          <w:lang w:val="en-GB"/>
        </w:rPr>
        <w:t xml:space="preserve">Promote best practice among retailers, media and the entertainment industry with the aim to eliminate sexualisation and commercialisation of childhood. </w:t>
      </w:r>
    </w:p>
    <w:p w14:paraId="28F0FE69" w14:textId="77777777" w:rsidR="00EB45EF" w:rsidRPr="00EB45EF" w:rsidRDefault="00EB45EF" w:rsidP="00EB45EF">
      <w:pPr>
        <w:autoSpaceDE w:val="0"/>
        <w:autoSpaceDN w:val="0"/>
        <w:adjustRightInd w:val="0"/>
        <w:spacing w:line="360" w:lineRule="auto"/>
        <w:jc w:val="both"/>
        <w:rPr>
          <w:color w:val="000000"/>
          <w:lang w:val="en-GB"/>
        </w:rPr>
      </w:pPr>
    </w:p>
    <w:p w14:paraId="405CD64A" w14:textId="77777777" w:rsidR="00EB45EF" w:rsidRPr="00EB45EF" w:rsidRDefault="00EB45EF" w:rsidP="00EB45EF">
      <w:pPr>
        <w:pStyle w:val="ListParagraph"/>
        <w:numPr>
          <w:ilvl w:val="0"/>
          <w:numId w:val="9"/>
        </w:numPr>
        <w:autoSpaceDE w:val="0"/>
        <w:autoSpaceDN w:val="0"/>
        <w:adjustRightInd w:val="0"/>
        <w:spacing w:line="360" w:lineRule="auto"/>
        <w:jc w:val="both"/>
        <w:rPr>
          <w:color w:val="000000"/>
          <w:lang w:val="en-GB"/>
        </w:rPr>
      </w:pPr>
      <w:r w:rsidRPr="00EB45EF">
        <w:rPr>
          <w:color w:val="000000"/>
          <w:lang w:val="en-GB"/>
        </w:rPr>
        <w:t xml:space="preserve">Combat all forms of discrimination and intolerance </w:t>
      </w:r>
      <w:r w:rsidRPr="00EB45EF">
        <w:rPr>
          <w:bCs/>
          <w:color w:val="000000"/>
          <w:lang w:val="en-GB"/>
        </w:rPr>
        <w:t xml:space="preserve">primarily among groups that are at greater risk of marginalisation (e.g. children with mental health challenges and addictive behaviour or children living with persons experiencing such challenges or behaviour, children of imprisoned parents or children having imprisoned siblings, migrant children, children with a disability, children in care, LGBTIQ+ children and children from ethnic and religious minorities). </w:t>
      </w:r>
    </w:p>
    <w:p w14:paraId="4495AE0C" w14:textId="77777777" w:rsidR="00EB45EF" w:rsidRPr="00EB45EF" w:rsidRDefault="00EB45EF" w:rsidP="00EB45EF">
      <w:pPr>
        <w:autoSpaceDE w:val="0"/>
        <w:autoSpaceDN w:val="0"/>
        <w:adjustRightInd w:val="0"/>
        <w:spacing w:line="360" w:lineRule="auto"/>
        <w:jc w:val="both"/>
        <w:rPr>
          <w:color w:val="000000"/>
          <w:lang w:val="en-GB"/>
        </w:rPr>
      </w:pPr>
    </w:p>
    <w:p w14:paraId="3D42E20B" w14:textId="77777777" w:rsidR="00EB45EF" w:rsidRPr="00EB45EF" w:rsidRDefault="00EB45EF" w:rsidP="00EB45EF">
      <w:pPr>
        <w:pStyle w:val="ListParagraph"/>
        <w:numPr>
          <w:ilvl w:val="0"/>
          <w:numId w:val="9"/>
        </w:numPr>
        <w:autoSpaceDE w:val="0"/>
        <w:autoSpaceDN w:val="0"/>
        <w:adjustRightInd w:val="0"/>
        <w:spacing w:line="360" w:lineRule="auto"/>
        <w:jc w:val="both"/>
        <w:rPr>
          <w:color w:val="000000"/>
          <w:lang w:val="en-GB"/>
        </w:rPr>
      </w:pPr>
      <w:r w:rsidRPr="00EB45EF">
        <w:rPr>
          <w:bCs/>
          <w:color w:val="000000"/>
          <w:lang w:val="en-GB"/>
        </w:rPr>
        <w:t>Provide children with access to remedy if there has been a breach of their rights as provided by the UN Convention on the Rights of the Child</w:t>
      </w:r>
    </w:p>
    <w:p w14:paraId="49E6981D" w14:textId="77777777" w:rsidR="00EB45EF" w:rsidRPr="00EB45EF" w:rsidRDefault="00EB45EF" w:rsidP="00EB45EF">
      <w:pPr>
        <w:pStyle w:val="ListParagraph"/>
        <w:spacing w:line="360" w:lineRule="auto"/>
        <w:rPr>
          <w:bCs/>
          <w:color w:val="000000"/>
          <w:lang w:val="en-GB"/>
        </w:rPr>
      </w:pPr>
    </w:p>
    <w:p w14:paraId="2E665B64" w14:textId="77777777" w:rsidR="00EB45EF" w:rsidRPr="00EB45EF" w:rsidRDefault="00EB45EF" w:rsidP="00EB45EF">
      <w:pPr>
        <w:pStyle w:val="ListParagraph"/>
        <w:numPr>
          <w:ilvl w:val="0"/>
          <w:numId w:val="9"/>
        </w:numPr>
        <w:autoSpaceDE w:val="0"/>
        <w:autoSpaceDN w:val="0"/>
        <w:adjustRightInd w:val="0"/>
        <w:spacing w:line="360" w:lineRule="auto"/>
        <w:jc w:val="both"/>
        <w:rPr>
          <w:color w:val="000000"/>
          <w:lang w:val="en-GB"/>
        </w:rPr>
      </w:pPr>
      <w:r w:rsidRPr="00EB45EF">
        <w:rPr>
          <w:bCs/>
          <w:color w:val="000000"/>
          <w:lang w:val="en-GB"/>
        </w:rPr>
        <w:t xml:space="preserve">Promote the functions of the Office of the Commissioner for Children. </w:t>
      </w:r>
    </w:p>
    <w:p w14:paraId="27CCD06A" w14:textId="77777777" w:rsidR="00EB45EF" w:rsidRPr="00EB45EF" w:rsidRDefault="00EB45EF" w:rsidP="00EB45EF">
      <w:pPr>
        <w:autoSpaceDE w:val="0"/>
        <w:autoSpaceDN w:val="0"/>
        <w:adjustRightInd w:val="0"/>
        <w:spacing w:line="360" w:lineRule="auto"/>
        <w:jc w:val="both"/>
        <w:rPr>
          <w:color w:val="000000"/>
          <w:lang w:val="en-GB"/>
        </w:rPr>
      </w:pPr>
    </w:p>
    <w:p w14:paraId="7764381D" w14:textId="77777777" w:rsidR="00EB45EF" w:rsidRPr="00EB45EF" w:rsidRDefault="00EB45EF" w:rsidP="00EB45EF">
      <w:pPr>
        <w:pStyle w:val="ListParagraph"/>
        <w:numPr>
          <w:ilvl w:val="0"/>
          <w:numId w:val="9"/>
        </w:numPr>
        <w:autoSpaceDE w:val="0"/>
        <w:autoSpaceDN w:val="0"/>
        <w:adjustRightInd w:val="0"/>
        <w:spacing w:line="360" w:lineRule="auto"/>
        <w:jc w:val="both"/>
        <w:rPr>
          <w:color w:val="000000"/>
          <w:lang w:val="en-GB"/>
        </w:rPr>
      </w:pPr>
      <w:r w:rsidRPr="00EB45EF">
        <w:rPr>
          <w:bCs/>
          <w:color w:val="000000"/>
          <w:lang w:val="en-GB"/>
        </w:rPr>
        <w:t xml:space="preserve">Intensify outreach and community-based initiatives to provide greater support to vulnerable families with children. </w:t>
      </w:r>
    </w:p>
    <w:p w14:paraId="5AC9A6EC" w14:textId="77777777" w:rsidR="00EB45EF" w:rsidRPr="00EB45EF" w:rsidRDefault="00EB45EF" w:rsidP="00EB45EF">
      <w:pPr>
        <w:autoSpaceDE w:val="0"/>
        <w:autoSpaceDN w:val="0"/>
        <w:adjustRightInd w:val="0"/>
        <w:spacing w:line="360" w:lineRule="auto"/>
        <w:jc w:val="both"/>
        <w:rPr>
          <w:color w:val="000000"/>
          <w:lang w:val="en-GB"/>
        </w:rPr>
      </w:pPr>
    </w:p>
    <w:p w14:paraId="05158547" w14:textId="77777777" w:rsidR="00EB45EF" w:rsidRPr="00EB45EF" w:rsidRDefault="00EB45EF" w:rsidP="00EB45EF">
      <w:pPr>
        <w:pStyle w:val="ListParagraph"/>
        <w:numPr>
          <w:ilvl w:val="0"/>
          <w:numId w:val="9"/>
        </w:numPr>
        <w:autoSpaceDE w:val="0"/>
        <w:autoSpaceDN w:val="0"/>
        <w:adjustRightInd w:val="0"/>
        <w:spacing w:line="360" w:lineRule="auto"/>
        <w:jc w:val="both"/>
        <w:rPr>
          <w:color w:val="000000"/>
          <w:lang w:val="en-GB"/>
        </w:rPr>
      </w:pPr>
      <w:r w:rsidRPr="00EB45EF">
        <w:rPr>
          <w:bCs/>
          <w:color w:val="000000"/>
          <w:lang w:val="en-GB"/>
        </w:rPr>
        <w:t>Ensure that all child victims and perpetrators are given support.</w:t>
      </w:r>
    </w:p>
    <w:p w14:paraId="25A6AA98" w14:textId="77777777" w:rsidR="00EB45EF" w:rsidRPr="00EB45EF" w:rsidRDefault="00EB45EF" w:rsidP="00EB45EF">
      <w:pPr>
        <w:pStyle w:val="Default"/>
        <w:spacing w:line="360" w:lineRule="auto"/>
        <w:jc w:val="both"/>
      </w:pPr>
    </w:p>
    <w:p w14:paraId="05EB4CBC" w14:textId="77777777" w:rsidR="00EB45EF" w:rsidRPr="00EB45EF" w:rsidRDefault="00EB45EF" w:rsidP="00EB45EF">
      <w:pPr>
        <w:pStyle w:val="Default"/>
        <w:numPr>
          <w:ilvl w:val="0"/>
          <w:numId w:val="9"/>
        </w:numPr>
        <w:spacing w:line="360" w:lineRule="auto"/>
        <w:jc w:val="both"/>
      </w:pPr>
      <w:r w:rsidRPr="00EB45EF">
        <w:rPr>
          <w:bCs/>
        </w:rPr>
        <w:t xml:space="preserve">Strengthen awareness and education on the pros and cons of social media, more specifically, the risks of bullying, sexting, grooming, abuse, privacy, etc. </w:t>
      </w:r>
    </w:p>
    <w:p w14:paraId="2EEB6EA9" w14:textId="77777777" w:rsidR="00EB45EF" w:rsidRPr="00EB45EF" w:rsidRDefault="00EB45EF" w:rsidP="00EB45EF">
      <w:pPr>
        <w:pStyle w:val="Default"/>
        <w:spacing w:line="360" w:lineRule="auto"/>
        <w:ind w:left="720"/>
        <w:jc w:val="both"/>
      </w:pPr>
    </w:p>
    <w:p w14:paraId="1901233C" w14:textId="77777777" w:rsidR="00EB45EF" w:rsidRPr="00EB45EF" w:rsidRDefault="00EB45EF" w:rsidP="00EB45EF">
      <w:pPr>
        <w:spacing w:line="360" w:lineRule="auto"/>
        <w:jc w:val="both"/>
        <w:rPr>
          <w:b/>
          <w:lang w:val="en-GB"/>
        </w:rPr>
      </w:pPr>
      <w:r w:rsidRPr="00EB45EF">
        <w:rPr>
          <w:b/>
          <w:lang w:val="en-GB"/>
        </w:rPr>
        <w:t>Question 9</w:t>
      </w:r>
    </w:p>
    <w:p w14:paraId="5BB18678" w14:textId="77777777" w:rsidR="00EB45EF" w:rsidRPr="00EB45EF" w:rsidRDefault="00EB45EF" w:rsidP="00EB45EF">
      <w:pPr>
        <w:spacing w:line="360" w:lineRule="auto"/>
        <w:jc w:val="both"/>
        <w:rPr>
          <w:lang w:val="en-GB"/>
        </w:rPr>
      </w:pPr>
      <w:r w:rsidRPr="00EB45EF">
        <w:rPr>
          <w:lang w:val="en-GB"/>
        </w:rPr>
        <w:t>The reply to question 8 also applies to this question.</w:t>
      </w:r>
    </w:p>
    <w:p w14:paraId="448082FC" w14:textId="77777777" w:rsidR="00EB45EF" w:rsidRPr="00EB45EF" w:rsidRDefault="00EB45EF" w:rsidP="00EB45EF">
      <w:pPr>
        <w:spacing w:line="360" w:lineRule="auto"/>
        <w:jc w:val="both"/>
        <w:rPr>
          <w:lang w:val="en-GB"/>
        </w:rPr>
      </w:pPr>
    </w:p>
    <w:p w14:paraId="112DCBC6" w14:textId="77777777" w:rsidR="00EB45EF" w:rsidRPr="00EB45EF" w:rsidRDefault="00EB45EF" w:rsidP="00EB45EF">
      <w:pPr>
        <w:spacing w:line="360" w:lineRule="auto"/>
        <w:jc w:val="both"/>
        <w:rPr>
          <w:b/>
          <w:lang w:val="en-GB"/>
        </w:rPr>
      </w:pPr>
      <w:r w:rsidRPr="00EB45EF">
        <w:rPr>
          <w:b/>
          <w:lang w:val="en-GB"/>
        </w:rPr>
        <w:t>Question 10</w:t>
      </w:r>
    </w:p>
    <w:p w14:paraId="24EF36AF" w14:textId="77777777" w:rsidR="00EB45EF" w:rsidRPr="00EB45EF" w:rsidRDefault="00EB45EF" w:rsidP="00EB45EF">
      <w:pPr>
        <w:spacing w:line="360" w:lineRule="auto"/>
        <w:jc w:val="both"/>
        <w:rPr>
          <w:lang w:val="en-GB"/>
        </w:rPr>
      </w:pPr>
      <w:r w:rsidRPr="00EB45EF">
        <w:rPr>
          <w:lang w:val="en-GB"/>
        </w:rPr>
        <w:t xml:space="preserve">On the collection and use of data on violence against women and girls, Malta is bound to collect data as per the standards set by Eurostat. These can take the form of both ad </w:t>
      </w:r>
      <w:r w:rsidRPr="00EB45EF">
        <w:rPr>
          <w:lang w:val="en-GB"/>
        </w:rPr>
        <w:lastRenderedPageBreak/>
        <w:t>hoc and regularly collected data. At a national level, data is kept by the Police and the Courts of Justice.</w:t>
      </w:r>
    </w:p>
    <w:p w14:paraId="0811A38E" w14:textId="77777777" w:rsidR="00EB45EF" w:rsidRPr="00EB45EF" w:rsidRDefault="00EB45EF" w:rsidP="00EB45EF">
      <w:pPr>
        <w:spacing w:line="360" w:lineRule="auto"/>
        <w:jc w:val="both"/>
        <w:rPr>
          <w:lang w:val="en-GB"/>
        </w:rPr>
      </w:pPr>
    </w:p>
    <w:p w14:paraId="27BC391B" w14:textId="77777777" w:rsidR="00EB45EF" w:rsidRPr="00EB45EF" w:rsidRDefault="00EB45EF" w:rsidP="00EB45EF">
      <w:pPr>
        <w:spacing w:line="360" w:lineRule="auto"/>
        <w:jc w:val="both"/>
        <w:rPr>
          <w:lang w:val="en-GB"/>
        </w:rPr>
      </w:pPr>
      <w:r w:rsidRPr="00EB45EF">
        <w:rPr>
          <w:lang w:val="en-GB"/>
        </w:rPr>
        <w:t>In addition, the NCP puts forward the following policy actions regarding the collection and use of data concerning children (including girls):</w:t>
      </w:r>
    </w:p>
    <w:p w14:paraId="7AE79553" w14:textId="77777777" w:rsidR="00EB45EF" w:rsidRPr="00EB45EF" w:rsidRDefault="00EB45EF" w:rsidP="00EB45EF">
      <w:pPr>
        <w:pStyle w:val="ListParagraph"/>
        <w:numPr>
          <w:ilvl w:val="0"/>
          <w:numId w:val="10"/>
        </w:numPr>
        <w:autoSpaceDE w:val="0"/>
        <w:autoSpaceDN w:val="0"/>
        <w:adjustRightInd w:val="0"/>
        <w:spacing w:line="360" w:lineRule="auto"/>
        <w:jc w:val="both"/>
        <w:rPr>
          <w:color w:val="000000"/>
          <w:lang w:val="en-GB"/>
        </w:rPr>
      </w:pPr>
      <w:r w:rsidRPr="00EB45EF">
        <w:rPr>
          <w:bCs/>
          <w:color w:val="000000"/>
          <w:lang w:val="en-GB"/>
        </w:rPr>
        <w:t xml:space="preserve">Promote and support research to understand and better address current and emerging needs of children. </w:t>
      </w:r>
    </w:p>
    <w:p w14:paraId="21588D29" w14:textId="77777777" w:rsidR="00EB45EF" w:rsidRPr="00EB45EF" w:rsidRDefault="00EB45EF" w:rsidP="00EB45EF">
      <w:pPr>
        <w:autoSpaceDE w:val="0"/>
        <w:autoSpaceDN w:val="0"/>
        <w:adjustRightInd w:val="0"/>
        <w:spacing w:line="360" w:lineRule="auto"/>
        <w:jc w:val="both"/>
        <w:rPr>
          <w:color w:val="000000"/>
          <w:lang w:val="en-GB"/>
        </w:rPr>
      </w:pPr>
    </w:p>
    <w:p w14:paraId="5D2C290C" w14:textId="77777777" w:rsidR="00EB45EF" w:rsidRPr="00EB45EF" w:rsidRDefault="00EB45EF" w:rsidP="00EB45EF">
      <w:pPr>
        <w:pStyle w:val="ListParagraph"/>
        <w:numPr>
          <w:ilvl w:val="0"/>
          <w:numId w:val="10"/>
        </w:numPr>
        <w:autoSpaceDE w:val="0"/>
        <w:autoSpaceDN w:val="0"/>
        <w:adjustRightInd w:val="0"/>
        <w:spacing w:line="360" w:lineRule="auto"/>
        <w:jc w:val="both"/>
        <w:rPr>
          <w:b/>
          <w:lang w:val="en-GB"/>
        </w:rPr>
      </w:pPr>
      <w:r w:rsidRPr="00EB45EF">
        <w:rPr>
          <w:color w:val="000000"/>
          <w:lang w:val="en-GB"/>
        </w:rPr>
        <w:t xml:space="preserve">Facilitate the </w:t>
      </w:r>
      <w:r w:rsidRPr="00EB45EF">
        <w:rPr>
          <w:bCs/>
          <w:color w:val="000000"/>
          <w:lang w:val="en-GB"/>
        </w:rPr>
        <w:t xml:space="preserve">sharing of general observations and/or statistical information concerning children whilst ensuring that children are not identifiable to unauthorised persons, with a view to recognise trends and thus be in a better position to enhance the development of services that address actual priority needs. </w:t>
      </w:r>
    </w:p>
    <w:p w14:paraId="022F9252" w14:textId="77777777" w:rsidR="00EB45EF" w:rsidRPr="00EB45EF" w:rsidRDefault="00EB45EF" w:rsidP="00EB45EF">
      <w:pPr>
        <w:spacing w:line="360" w:lineRule="auto"/>
        <w:jc w:val="both"/>
        <w:rPr>
          <w:b/>
          <w:lang w:val="en-GB"/>
        </w:rPr>
      </w:pPr>
    </w:p>
    <w:p w14:paraId="67DB8D32" w14:textId="77777777" w:rsidR="00B1341C" w:rsidRPr="00EB45EF" w:rsidRDefault="00B1341C" w:rsidP="00EB45EF">
      <w:pPr>
        <w:pStyle w:val="Body"/>
        <w:spacing w:after="0" w:line="240" w:lineRule="auto"/>
        <w:rPr>
          <w:bCs/>
          <w:sz w:val="24"/>
          <w:szCs w:val="24"/>
        </w:rPr>
      </w:pPr>
    </w:p>
    <w:sectPr w:rsidR="00B1341C" w:rsidRPr="00EB45EF" w:rsidSect="00472BC9">
      <w:headerReference w:type="default" r:id="rId8"/>
      <w:footerReference w:type="default" r:id="rId9"/>
      <w:pgSz w:w="11906" w:h="16838" w:code="9"/>
      <w:pgMar w:top="425" w:right="1797" w:bottom="1134" w:left="1797"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2F3D6" w14:textId="77777777" w:rsidR="008F3908" w:rsidRDefault="008F3908">
      <w:r>
        <w:separator/>
      </w:r>
    </w:p>
  </w:endnote>
  <w:endnote w:type="continuationSeparator" w:id="0">
    <w:p w14:paraId="4646FFF7" w14:textId="77777777" w:rsidR="008F3908" w:rsidRDefault="008F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xa-Ligh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739974"/>
      <w:docPartObj>
        <w:docPartGallery w:val="Page Numbers (Bottom of Page)"/>
        <w:docPartUnique/>
      </w:docPartObj>
    </w:sdtPr>
    <w:sdtEndPr>
      <w:rPr>
        <w:noProof/>
      </w:rPr>
    </w:sdtEndPr>
    <w:sdtContent>
      <w:p w14:paraId="07FD672C" w14:textId="040C4DFF" w:rsidR="00E738DA" w:rsidRDefault="00E738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AD9C7F" w14:textId="77777777" w:rsidR="002C56C1" w:rsidRDefault="008F3908" w:rsidP="004815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51237" w14:textId="77777777" w:rsidR="008F3908" w:rsidRDefault="008F3908">
      <w:r>
        <w:separator/>
      </w:r>
    </w:p>
  </w:footnote>
  <w:footnote w:type="continuationSeparator" w:id="0">
    <w:p w14:paraId="15200622" w14:textId="77777777" w:rsidR="008F3908" w:rsidRDefault="008F3908">
      <w:r>
        <w:continuationSeparator/>
      </w:r>
    </w:p>
  </w:footnote>
  <w:footnote w:id="1">
    <w:p w14:paraId="760D08E9" w14:textId="77777777" w:rsidR="00EB45EF" w:rsidRPr="009207FD" w:rsidRDefault="00EB45EF" w:rsidP="00EB45EF">
      <w:pPr>
        <w:autoSpaceDE w:val="0"/>
        <w:autoSpaceDN w:val="0"/>
        <w:adjustRightInd w:val="0"/>
        <w:spacing w:line="360" w:lineRule="auto"/>
        <w:jc w:val="both"/>
        <w:rPr>
          <w:rFonts w:cstheme="minorHAnsi"/>
          <w:bCs/>
        </w:rPr>
      </w:pPr>
      <w:r w:rsidRPr="00501577">
        <w:rPr>
          <w:rStyle w:val="FootnoteReference"/>
        </w:rPr>
        <w:footnoteRef/>
      </w:r>
      <w:r w:rsidRPr="00501577">
        <w:rPr>
          <w:sz w:val="20"/>
          <w:szCs w:val="20"/>
        </w:rPr>
        <w:t xml:space="preserve"> </w:t>
      </w:r>
      <w:r w:rsidRPr="009207FD">
        <w:rPr>
          <w:rFonts w:cstheme="minorHAnsi"/>
          <w:bCs/>
          <w:sz w:val="20"/>
          <w:szCs w:val="20"/>
        </w:rPr>
        <w:t xml:space="preserve">provides services and educational </w:t>
      </w:r>
      <w:proofErr w:type="spellStart"/>
      <w:r w:rsidRPr="009207FD">
        <w:rPr>
          <w:rFonts w:cstheme="minorHAnsi"/>
          <w:bCs/>
          <w:sz w:val="20"/>
          <w:szCs w:val="20"/>
        </w:rPr>
        <w:t>programmes</w:t>
      </w:r>
      <w:proofErr w:type="spellEnd"/>
      <w:r w:rsidRPr="009207FD">
        <w:rPr>
          <w:rFonts w:cstheme="minorHAnsi"/>
          <w:bCs/>
          <w:sz w:val="20"/>
          <w:szCs w:val="20"/>
        </w:rPr>
        <w:t xml:space="preserve"> to pregnant minors, with the aim of adopting a positive attitude towards motherhood. </w:t>
      </w:r>
    </w:p>
  </w:footnote>
  <w:footnote w:id="2">
    <w:p w14:paraId="6D1BCA88" w14:textId="77777777" w:rsidR="00EB45EF" w:rsidRPr="009207FD" w:rsidRDefault="00EB45EF" w:rsidP="00EB45EF">
      <w:pPr>
        <w:autoSpaceDE w:val="0"/>
        <w:autoSpaceDN w:val="0"/>
        <w:adjustRightInd w:val="0"/>
        <w:spacing w:line="360" w:lineRule="auto"/>
        <w:jc w:val="both"/>
        <w:rPr>
          <w:rFonts w:cstheme="minorHAnsi"/>
          <w:bCs/>
        </w:rPr>
      </w:pPr>
      <w:r w:rsidRPr="00501577">
        <w:rPr>
          <w:rStyle w:val="FootnoteReference"/>
        </w:rPr>
        <w:footnoteRef/>
      </w:r>
      <w:r w:rsidRPr="00501577">
        <w:rPr>
          <w:sz w:val="20"/>
          <w:szCs w:val="20"/>
        </w:rPr>
        <w:t xml:space="preserve"> </w:t>
      </w:r>
      <w:r w:rsidRPr="009207FD">
        <w:rPr>
          <w:rFonts w:cstheme="minorHAnsi"/>
          <w:bCs/>
          <w:sz w:val="20"/>
          <w:szCs w:val="20"/>
        </w:rPr>
        <w:t xml:space="preserve">such as parental skills </w:t>
      </w:r>
      <w:proofErr w:type="spellStart"/>
      <w:r w:rsidRPr="009207FD">
        <w:rPr>
          <w:rFonts w:cstheme="minorHAnsi"/>
          <w:bCs/>
          <w:sz w:val="20"/>
          <w:szCs w:val="20"/>
        </w:rPr>
        <w:t>programmes</w:t>
      </w:r>
      <w:proofErr w:type="spellEnd"/>
      <w:r w:rsidRPr="009207FD">
        <w:rPr>
          <w:rFonts w:cstheme="minorHAnsi"/>
          <w:bCs/>
          <w:sz w:val="20"/>
          <w:szCs w:val="20"/>
        </w:rPr>
        <w:t>, social work service and educational support to children coming from different social backgrounds.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71" w:type="dxa"/>
      <w:tblInd w:w="-432" w:type="dxa"/>
      <w:tblLayout w:type="fixed"/>
      <w:tblLook w:val="0000" w:firstRow="0" w:lastRow="0" w:firstColumn="0" w:lastColumn="0" w:noHBand="0" w:noVBand="0"/>
    </w:tblPr>
    <w:tblGrid>
      <w:gridCol w:w="3927"/>
      <w:gridCol w:w="1773"/>
      <w:gridCol w:w="3671"/>
    </w:tblGrid>
    <w:tr w:rsidR="002C56C1" w:rsidRPr="00B01582" w14:paraId="3FB3DCE6" w14:textId="77777777">
      <w:trPr>
        <w:trHeight w:val="1895"/>
      </w:trPr>
      <w:tc>
        <w:tcPr>
          <w:tcW w:w="3927" w:type="dxa"/>
        </w:tcPr>
        <w:p w14:paraId="67146050" w14:textId="77777777" w:rsidR="002C56C1" w:rsidRPr="0065420F" w:rsidRDefault="00B932DE" w:rsidP="00472BC9">
          <w:pPr>
            <w:pStyle w:val="Header"/>
            <w:rPr>
              <w:sz w:val="18"/>
              <w:szCs w:val="18"/>
              <w:lang w:val="fr-FR"/>
            </w:rPr>
          </w:pPr>
          <w:r w:rsidRPr="0065420F">
            <w:rPr>
              <w:sz w:val="18"/>
              <w:szCs w:val="18"/>
              <w:lang w:val="fr-FR"/>
            </w:rPr>
            <w:t xml:space="preserve">  </w:t>
          </w:r>
        </w:p>
        <w:p w14:paraId="13BFBDA7" w14:textId="77777777" w:rsidR="002C56C1" w:rsidRPr="0065420F" w:rsidRDefault="008F3908" w:rsidP="00472BC9">
          <w:pPr>
            <w:pStyle w:val="Header"/>
            <w:rPr>
              <w:sz w:val="18"/>
              <w:szCs w:val="18"/>
              <w:lang w:val="fr-FR"/>
            </w:rPr>
          </w:pPr>
        </w:p>
        <w:p w14:paraId="3DDB58F4" w14:textId="77777777" w:rsidR="002C56C1" w:rsidRPr="0065420F" w:rsidRDefault="008F3908" w:rsidP="00472BC9">
          <w:pPr>
            <w:pStyle w:val="Header"/>
            <w:rPr>
              <w:sz w:val="18"/>
              <w:szCs w:val="18"/>
              <w:lang w:val="fr-FR"/>
            </w:rPr>
          </w:pPr>
        </w:p>
        <w:p w14:paraId="22F065B4" w14:textId="77777777" w:rsidR="002C56C1" w:rsidRPr="0065420F" w:rsidRDefault="00B932DE" w:rsidP="00732FF5">
          <w:pPr>
            <w:pStyle w:val="Header"/>
            <w:jc w:val="center"/>
            <w:rPr>
              <w:lang w:val="fr-FR"/>
            </w:rPr>
          </w:pPr>
          <w:r w:rsidRPr="0065420F">
            <w:rPr>
              <w:lang w:val="fr-FR"/>
            </w:rPr>
            <w:t>MISSJONI PERMANENTI TAR-REPU</w:t>
          </w:r>
          <w:r>
            <w:rPr>
              <w:lang w:val="fr-FR"/>
            </w:rPr>
            <w:t>B</w:t>
          </w:r>
          <w:r w:rsidRPr="0065420F">
            <w:rPr>
              <w:lang w:val="fr-FR"/>
            </w:rPr>
            <w:t>BLIKA TA’ MALTA</w:t>
          </w:r>
        </w:p>
      </w:tc>
      <w:tc>
        <w:tcPr>
          <w:tcW w:w="1773" w:type="dxa"/>
        </w:tcPr>
        <w:p w14:paraId="7B7A74CB" w14:textId="77777777" w:rsidR="002C56C1" w:rsidRPr="0038492A" w:rsidRDefault="00B932DE" w:rsidP="00472BC9">
          <w:pPr>
            <w:pStyle w:val="Header"/>
            <w:rPr>
              <w:sz w:val="18"/>
              <w:szCs w:val="18"/>
            </w:rPr>
          </w:pPr>
          <w:r>
            <w:rPr>
              <w:noProof/>
              <w:sz w:val="18"/>
              <w:szCs w:val="18"/>
              <w:lang w:val="en-GB" w:eastAsia="en-GB"/>
            </w:rPr>
            <w:drawing>
              <wp:inline distT="0" distB="0" distL="0" distR="0" wp14:anchorId="09B689D4" wp14:editId="3AD24A3B">
                <wp:extent cx="942975"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171575"/>
                        </a:xfrm>
                        <a:prstGeom prst="rect">
                          <a:avLst/>
                        </a:prstGeom>
                        <a:noFill/>
                        <a:ln>
                          <a:noFill/>
                        </a:ln>
                      </pic:spPr>
                    </pic:pic>
                  </a:graphicData>
                </a:graphic>
              </wp:inline>
            </w:drawing>
          </w:r>
        </w:p>
      </w:tc>
      <w:tc>
        <w:tcPr>
          <w:tcW w:w="3671" w:type="dxa"/>
        </w:tcPr>
        <w:p w14:paraId="23DF77C0" w14:textId="77777777" w:rsidR="002C56C1" w:rsidRPr="0038492A" w:rsidRDefault="008F3908" w:rsidP="00472BC9">
          <w:pPr>
            <w:pStyle w:val="Header"/>
            <w:rPr>
              <w:sz w:val="18"/>
              <w:szCs w:val="18"/>
            </w:rPr>
          </w:pPr>
        </w:p>
        <w:p w14:paraId="4F01B8B9" w14:textId="77777777" w:rsidR="002C56C1" w:rsidRPr="0038492A" w:rsidRDefault="008F3908" w:rsidP="00472BC9">
          <w:pPr>
            <w:pStyle w:val="Header"/>
            <w:rPr>
              <w:sz w:val="18"/>
              <w:szCs w:val="18"/>
            </w:rPr>
          </w:pPr>
        </w:p>
        <w:p w14:paraId="10185EFC" w14:textId="77777777" w:rsidR="002C56C1" w:rsidRDefault="008F3908" w:rsidP="00472BC9">
          <w:pPr>
            <w:pStyle w:val="Header"/>
            <w:rPr>
              <w:sz w:val="18"/>
              <w:szCs w:val="18"/>
            </w:rPr>
          </w:pPr>
        </w:p>
        <w:p w14:paraId="1200B1DB" w14:textId="77777777" w:rsidR="002C56C1" w:rsidRPr="0038492A" w:rsidRDefault="00B932DE" w:rsidP="00732FF5">
          <w:pPr>
            <w:pStyle w:val="Header"/>
            <w:jc w:val="center"/>
          </w:pPr>
          <w:r w:rsidRPr="0038492A">
            <w:t>PERMANENT MISSION OF</w:t>
          </w:r>
          <w:r>
            <w:t xml:space="preserve"> THE   REPUBLIC OF</w:t>
          </w:r>
          <w:r w:rsidRPr="0038492A">
            <w:t xml:space="preserve"> MALTA</w:t>
          </w:r>
        </w:p>
      </w:tc>
    </w:tr>
  </w:tbl>
  <w:p w14:paraId="722E4230" w14:textId="77777777" w:rsidR="002C56C1" w:rsidRDefault="008F3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EB1"/>
    <w:multiLevelType w:val="hybridMultilevel"/>
    <w:tmpl w:val="087CB7B0"/>
    <w:lvl w:ilvl="0" w:tplc="3D5C743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30CB5"/>
    <w:multiLevelType w:val="hybridMultilevel"/>
    <w:tmpl w:val="B48E5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71B10"/>
    <w:multiLevelType w:val="hybridMultilevel"/>
    <w:tmpl w:val="B5BA2516"/>
    <w:lvl w:ilvl="0" w:tplc="3D5C743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02188"/>
    <w:multiLevelType w:val="hybridMultilevel"/>
    <w:tmpl w:val="11F41C70"/>
    <w:lvl w:ilvl="0" w:tplc="73201770">
      <w:start w:val="1"/>
      <w:numFmt w:val="bullet"/>
      <w:lvlText w:val=""/>
      <w:lvlJc w:val="left"/>
      <w:pPr>
        <w:tabs>
          <w:tab w:val="num" w:pos="720"/>
        </w:tabs>
        <w:ind w:left="720" w:hanging="360"/>
      </w:pPr>
      <w:rPr>
        <w:rFonts w:ascii="Wingdings 2" w:hAnsi="Wingdings 2" w:hint="default"/>
      </w:rPr>
    </w:lvl>
    <w:lvl w:ilvl="1" w:tplc="6B2AC58E" w:tentative="1">
      <w:start w:val="1"/>
      <w:numFmt w:val="bullet"/>
      <w:lvlText w:val=""/>
      <w:lvlJc w:val="left"/>
      <w:pPr>
        <w:tabs>
          <w:tab w:val="num" w:pos="1440"/>
        </w:tabs>
        <w:ind w:left="1440" w:hanging="360"/>
      </w:pPr>
      <w:rPr>
        <w:rFonts w:ascii="Wingdings 2" w:hAnsi="Wingdings 2" w:hint="default"/>
      </w:rPr>
    </w:lvl>
    <w:lvl w:ilvl="2" w:tplc="4FBAF558" w:tentative="1">
      <w:start w:val="1"/>
      <w:numFmt w:val="bullet"/>
      <w:lvlText w:val=""/>
      <w:lvlJc w:val="left"/>
      <w:pPr>
        <w:tabs>
          <w:tab w:val="num" w:pos="2160"/>
        </w:tabs>
        <w:ind w:left="2160" w:hanging="360"/>
      </w:pPr>
      <w:rPr>
        <w:rFonts w:ascii="Wingdings 2" w:hAnsi="Wingdings 2" w:hint="default"/>
      </w:rPr>
    </w:lvl>
    <w:lvl w:ilvl="3" w:tplc="DFA698AE" w:tentative="1">
      <w:start w:val="1"/>
      <w:numFmt w:val="bullet"/>
      <w:lvlText w:val=""/>
      <w:lvlJc w:val="left"/>
      <w:pPr>
        <w:tabs>
          <w:tab w:val="num" w:pos="2880"/>
        </w:tabs>
        <w:ind w:left="2880" w:hanging="360"/>
      </w:pPr>
      <w:rPr>
        <w:rFonts w:ascii="Wingdings 2" w:hAnsi="Wingdings 2" w:hint="default"/>
      </w:rPr>
    </w:lvl>
    <w:lvl w:ilvl="4" w:tplc="E9EA6494" w:tentative="1">
      <w:start w:val="1"/>
      <w:numFmt w:val="bullet"/>
      <w:lvlText w:val=""/>
      <w:lvlJc w:val="left"/>
      <w:pPr>
        <w:tabs>
          <w:tab w:val="num" w:pos="3600"/>
        </w:tabs>
        <w:ind w:left="3600" w:hanging="360"/>
      </w:pPr>
      <w:rPr>
        <w:rFonts w:ascii="Wingdings 2" w:hAnsi="Wingdings 2" w:hint="default"/>
      </w:rPr>
    </w:lvl>
    <w:lvl w:ilvl="5" w:tplc="E22C567A" w:tentative="1">
      <w:start w:val="1"/>
      <w:numFmt w:val="bullet"/>
      <w:lvlText w:val=""/>
      <w:lvlJc w:val="left"/>
      <w:pPr>
        <w:tabs>
          <w:tab w:val="num" w:pos="4320"/>
        </w:tabs>
        <w:ind w:left="4320" w:hanging="360"/>
      </w:pPr>
      <w:rPr>
        <w:rFonts w:ascii="Wingdings 2" w:hAnsi="Wingdings 2" w:hint="default"/>
      </w:rPr>
    </w:lvl>
    <w:lvl w:ilvl="6" w:tplc="D868CD96" w:tentative="1">
      <w:start w:val="1"/>
      <w:numFmt w:val="bullet"/>
      <w:lvlText w:val=""/>
      <w:lvlJc w:val="left"/>
      <w:pPr>
        <w:tabs>
          <w:tab w:val="num" w:pos="5040"/>
        </w:tabs>
        <w:ind w:left="5040" w:hanging="360"/>
      </w:pPr>
      <w:rPr>
        <w:rFonts w:ascii="Wingdings 2" w:hAnsi="Wingdings 2" w:hint="default"/>
      </w:rPr>
    </w:lvl>
    <w:lvl w:ilvl="7" w:tplc="764CCD96" w:tentative="1">
      <w:start w:val="1"/>
      <w:numFmt w:val="bullet"/>
      <w:lvlText w:val=""/>
      <w:lvlJc w:val="left"/>
      <w:pPr>
        <w:tabs>
          <w:tab w:val="num" w:pos="5760"/>
        </w:tabs>
        <w:ind w:left="5760" w:hanging="360"/>
      </w:pPr>
      <w:rPr>
        <w:rFonts w:ascii="Wingdings 2" w:hAnsi="Wingdings 2" w:hint="default"/>
      </w:rPr>
    </w:lvl>
    <w:lvl w:ilvl="8" w:tplc="91D8A1A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D23019A"/>
    <w:multiLevelType w:val="multilevel"/>
    <w:tmpl w:val="1D1E71D2"/>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03C5CF7"/>
    <w:multiLevelType w:val="hybridMultilevel"/>
    <w:tmpl w:val="6C3CC514"/>
    <w:lvl w:ilvl="0" w:tplc="7320177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A0C7C"/>
    <w:multiLevelType w:val="hybridMultilevel"/>
    <w:tmpl w:val="0D20C6D4"/>
    <w:lvl w:ilvl="0" w:tplc="F9F4B9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A757A2"/>
    <w:multiLevelType w:val="hybridMultilevel"/>
    <w:tmpl w:val="4B52F618"/>
    <w:lvl w:ilvl="0" w:tplc="2000000F">
      <w:start w:val="2"/>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A28454E"/>
    <w:multiLevelType w:val="hybridMultilevel"/>
    <w:tmpl w:val="05DAD7B2"/>
    <w:lvl w:ilvl="0" w:tplc="79A07A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8076DD"/>
    <w:multiLevelType w:val="hybridMultilevel"/>
    <w:tmpl w:val="B36E1766"/>
    <w:lvl w:ilvl="0" w:tplc="3D5C743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23469A"/>
    <w:multiLevelType w:val="hybridMultilevel"/>
    <w:tmpl w:val="5074005C"/>
    <w:lvl w:ilvl="0" w:tplc="2228B1BC">
      <w:start w:val="1"/>
      <w:numFmt w:val="decimal"/>
      <w:lvlText w:val="%1."/>
      <w:lvlJc w:val="left"/>
      <w:pPr>
        <w:ind w:left="720" w:hanging="360"/>
      </w:pPr>
      <w:rPr>
        <w:rFonts w:hint="default"/>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EE5318C"/>
    <w:multiLevelType w:val="hybridMultilevel"/>
    <w:tmpl w:val="009A5CB8"/>
    <w:lvl w:ilvl="0" w:tplc="7320177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837293"/>
    <w:multiLevelType w:val="hybridMultilevel"/>
    <w:tmpl w:val="7F96FD34"/>
    <w:lvl w:ilvl="0" w:tplc="7320177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3E6A51"/>
    <w:multiLevelType w:val="hybridMultilevel"/>
    <w:tmpl w:val="F29CE74C"/>
    <w:lvl w:ilvl="0" w:tplc="3D5C743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8C6212"/>
    <w:multiLevelType w:val="hybridMultilevel"/>
    <w:tmpl w:val="14463A70"/>
    <w:lvl w:ilvl="0" w:tplc="7320177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9D32F4"/>
    <w:multiLevelType w:val="hybridMultilevel"/>
    <w:tmpl w:val="DC80CF68"/>
    <w:lvl w:ilvl="0" w:tplc="CD64205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D5505C4"/>
    <w:multiLevelType w:val="hybridMultilevel"/>
    <w:tmpl w:val="1E5C1880"/>
    <w:lvl w:ilvl="0" w:tplc="A2B6926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16"/>
  </w:num>
  <w:num w:numId="5">
    <w:abstractNumId w:val="15"/>
  </w:num>
  <w:num w:numId="6">
    <w:abstractNumId w:val="7"/>
  </w:num>
  <w:num w:numId="7">
    <w:abstractNumId w:val="2"/>
  </w:num>
  <w:num w:numId="8">
    <w:abstractNumId w:val="13"/>
  </w:num>
  <w:num w:numId="9">
    <w:abstractNumId w:val="0"/>
  </w:num>
  <w:num w:numId="10">
    <w:abstractNumId w:val="9"/>
  </w:num>
  <w:num w:numId="11">
    <w:abstractNumId w:val="1"/>
  </w:num>
  <w:num w:numId="12">
    <w:abstractNumId w:val="3"/>
  </w:num>
  <w:num w:numId="13">
    <w:abstractNumId w:val="11"/>
  </w:num>
  <w:num w:numId="14">
    <w:abstractNumId w:val="14"/>
  </w:num>
  <w:num w:numId="15">
    <w:abstractNumId w:val="12"/>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65"/>
    <w:rsid w:val="00004838"/>
    <w:rsid w:val="00006C5A"/>
    <w:rsid w:val="000120A9"/>
    <w:rsid w:val="00014DA1"/>
    <w:rsid w:val="00014E96"/>
    <w:rsid w:val="0003020A"/>
    <w:rsid w:val="0003508B"/>
    <w:rsid w:val="00036CBB"/>
    <w:rsid w:val="0004072C"/>
    <w:rsid w:val="000451BC"/>
    <w:rsid w:val="00047754"/>
    <w:rsid w:val="00052F25"/>
    <w:rsid w:val="00055336"/>
    <w:rsid w:val="00055999"/>
    <w:rsid w:val="0005710E"/>
    <w:rsid w:val="00074379"/>
    <w:rsid w:val="00090412"/>
    <w:rsid w:val="000904AF"/>
    <w:rsid w:val="00094E4D"/>
    <w:rsid w:val="00097AD0"/>
    <w:rsid w:val="000A28CC"/>
    <w:rsid w:val="000A2EBB"/>
    <w:rsid w:val="000A395C"/>
    <w:rsid w:val="000A6BFB"/>
    <w:rsid w:val="000B3616"/>
    <w:rsid w:val="000E0753"/>
    <w:rsid w:val="000E3C45"/>
    <w:rsid w:val="000E555D"/>
    <w:rsid w:val="000E55C9"/>
    <w:rsid w:val="000E60E6"/>
    <w:rsid w:val="000E7A9E"/>
    <w:rsid w:val="000F162D"/>
    <w:rsid w:val="000F21B5"/>
    <w:rsid w:val="000F68F0"/>
    <w:rsid w:val="000F7AB0"/>
    <w:rsid w:val="00103A4B"/>
    <w:rsid w:val="00122CE2"/>
    <w:rsid w:val="00125FF8"/>
    <w:rsid w:val="00134A1B"/>
    <w:rsid w:val="0013613D"/>
    <w:rsid w:val="001410C1"/>
    <w:rsid w:val="00151DB6"/>
    <w:rsid w:val="00155C07"/>
    <w:rsid w:val="001565CF"/>
    <w:rsid w:val="001618ED"/>
    <w:rsid w:val="00161E87"/>
    <w:rsid w:val="00162194"/>
    <w:rsid w:val="001653DA"/>
    <w:rsid w:val="00166591"/>
    <w:rsid w:val="001A4FAD"/>
    <w:rsid w:val="001B4C1A"/>
    <w:rsid w:val="001C214B"/>
    <w:rsid w:val="001C3DE8"/>
    <w:rsid w:val="001F31F0"/>
    <w:rsid w:val="0020181E"/>
    <w:rsid w:val="00205150"/>
    <w:rsid w:val="00205CC8"/>
    <w:rsid w:val="002209F2"/>
    <w:rsid w:val="00232DCA"/>
    <w:rsid w:val="00235ABB"/>
    <w:rsid w:val="002541A2"/>
    <w:rsid w:val="00264E94"/>
    <w:rsid w:val="00267567"/>
    <w:rsid w:val="00283A6B"/>
    <w:rsid w:val="00283E42"/>
    <w:rsid w:val="00293E35"/>
    <w:rsid w:val="002A1484"/>
    <w:rsid w:val="002A37E7"/>
    <w:rsid w:val="002B44E2"/>
    <w:rsid w:val="002C46C4"/>
    <w:rsid w:val="002D59DB"/>
    <w:rsid w:val="002E3491"/>
    <w:rsid w:val="002F4F43"/>
    <w:rsid w:val="002F59B1"/>
    <w:rsid w:val="002F68C0"/>
    <w:rsid w:val="00312CF5"/>
    <w:rsid w:val="003132C4"/>
    <w:rsid w:val="003239FD"/>
    <w:rsid w:val="003353D1"/>
    <w:rsid w:val="00335F98"/>
    <w:rsid w:val="00340639"/>
    <w:rsid w:val="003600EF"/>
    <w:rsid w:val="003661C2"/>
    <w:rsid w:val="00367BF4"/>
    <w:rsid w:val="00371B13"/>
    <w:rsid w:val="003737D7"/>
    <w:rsid w:val="0038145C"/>
    <w:rsid w:val="0038364D"/>
    <w:rsid w:val="0038701B"/>
    <w:rsid w:val="0039345C"/>
    <w:rsid w:val="00397987"/>
    <w:rsid w:val="003A17FE"/>
    <w:rsid w:val="003D0C70"/>
    <w:rsid w:val="003E22DA"/>
    <w:rsid w:val="003E2FB5"/>
    <w:rsid w:val="003F4216"/>
    <w:rsid w:val="003F7C4C"/>
    <w:rsid w:val="00406727"/>
    <w:rsid w:val="0042546D"/>
    <w:rsid w:val="00426CA6"/>
    <w:rsid w:val="00434B39"/>
    <w:rsid w:val="00435EFD"/>
    <w:rsid w:val="00436A2D"/>
    <w:rsid w:val="00441FED"/>
    <w:rsid w:val="00442C79"/>
    <w:rsid w:val="004471AA"/>
    <w:rsid w:val="00464925"/>
    <w:rsid w:val="00466883"/>
    <w:rsid w:val="00481C57"/>
    <w:rsid w:val="004907AC"/>
    <w:rsid w:val="004A5FEE"/>
    <w:rsid w:val="004B3FF6"/>
    <w:rsid w:val="004B4C67"/>
    <w:rsid w:val="004C0D6C"/>
    <w:rsid w:val="004C13ED"/>
    <w:rsid w:val="004C60E0"/>
    <w:rsid w:val="004E4C83"/>
    <w:rsid w:val="004E6E02"/>
    <w:rsid w:val="00503C8B"/>
    <w:rsid w:val="0051392F"/>
    <w:rsid w:val="00515F9F"/>
    <w:rsid w:val="005164CE"/>
    <w:rsid w:val="00523780"/>
    <w:rsid w:val="00523A96"/>
    <w:rsid w:val="00524405"/>
    <w:rsid w:val="00526D3C"/>
    <w:rsid w:val="005361A7"/>
    <w:rsid w:val="00543538"/>
    <w:rsid w:val="0055516D"/>
    <w:rsid w:val="005553E2"/>
    <w:rsid w:val="005566DA"/>
    <w:rsid w:val="00561C78"/>
    <w:rsid w:val="0058766D"/>
    <w:rsid w:val="005B0620"/>
    <w:rsid w:val="005B2701"/>
    <w:rsid w:val="005B2FD7"/>
    <w:rsid w:val="005C1958"/>
    <w:rsid w:val="005D386B"/>
    <w:rsid w:val="005F5C56"/>
    <w:rsid w:val="00601E6C"/>
    <w:rsid w:val="00603072"/>
    <w:rsid w:val="006034E1"/>
    <w:rsid w:val="0060449E"/>
    <w:rsid w:val="00613DB4"/>
    <w:rsid w:val="00616E05"/>
    <w:rsid w:val="00617F46"/>
    <w:rsid w:val="0062136D"/>
    <w:rsid w:val="00622448"/>
    <w:rsid w:val="00622741"/>
    <w:rsid w:val="00623796"/>
    <w:rsid w:val="006320EB"/>
    <w:rsid w:val="00632612"/>
    <w:rsid w:val="00637BEB"/>
    <w:rsid w:val="00643F4E"/>
    <w:rsid w:val="00647F01"/>
    <w:rsid w:val="006746FC"/>
    <w:rsid w:val="0068416F"/>
    <w:rsid w:val="006854B5"/>
    <w:rsid w:val="00690E56"/>
    <w:rsid w:val="00697F24"/>
    <w:rsid w:val="006A5E01"/>
    <w:rsid w:val="006B7C73"/>
    <w:rsid w:val="006C7D24"/>
    <w:rsid w:val="006D4B42"/>
    <w:rsid w:val="006E083F"/>
    <w:rsid w:val="006E6266"/>
    <w:rsid w:val="006E6F0A"/>
    <w:rsid w:val="006E6F46"/>
    <w:rsid w:val="006F2FBE"/>
    <w:rsid w:val="006F7175"/>
    <w:rsid w:val="00700521"/>
    <w:rsid w:val="00702B1E"/>
    <w:rsid w:val="00702C06"/>
    <w:rsid w:val="0070336C"/>
    <w:rsid w:val="007119C2"/>
    <w:rsid w:val="00722499"/>
    <w:rsid w:val="00722672"/>
    <w:rsid w:val="0072303F"/>
    <w:rsid w:val="00724093"/>
    <w:rsid w:val="007479B5"/>
    <w:rsid w:val="00750578"/>
    <w:rsid w:val="007741F1"/>
    <w:rsid w:val="0079400A"/>
    <w:rsid w:val="00796E57"/>
    <w:rsid w:val="007A78FA"/>
    <w:rsid w:val="007B77A6"/>
    <w:rsid w:val="007C2DF6"/>
    <w:rsid w:val="007C64F4"/>
    <w:rsid w:val="007D3DE2"/>
    <w:rsid w:val="007D42BD"/>
    <w:rsid w:val="007D4B2D"/>
    <w:rsid w:val="007E18F6"/>
    <w:rsid w:val="007E2478"/>
    <w:rsid w:val="007F26D4"/>
    <w:rsid w:val="00801117"/>
    <w:rsid w:val="0080248C"/>
    <w:rsid w:val="0080797F"/>
    <w:rsid w:val="00820195"/>
    <w:rsid w:val="008257B7"/>
    <w:rsid w:val="00826E35"/>
    <w:rsid w:val="00827666"/>
    <w:rsid w:val="00831A9A"/>
    <w:rsid w:val="00831C51"/>
    <w:rsid w:val="00836C95"/>
    <w:rsid w:val="0084289E"/>
    <w:rsid w:val="00852A7D"/>
    <w:rsid w:val="008612D9"/>
    <w:rsid w:val="00864017"/>
    <w:rsid w:val="008673DF"/>
    <w:rsid w:val="00872985"/>
    <w:rsid w:val="00880971"/>
    <w:rsid w:val="00883DE0"/>
    <w:rsid w:val="00885CC8"/>
    <w:rsid w:val="008A2A4D"/>
    <w:rsid w:val="008A6F95"/>
    <w:rsid w:val="008B783A"/>
    <w:rsid w:val="008C330E"/>
    <w:rsid w:val="008D3846"/>
    <w:rsid w:val="008E26DD"/>
    <w:rsid w:val="008E35D8"/>
    <w:rsid w:val="008E6185"/>
    <w:rsid w:val="008F3908"/>
    <w:rsid w:val="009009B3"/>
    <w:rsid w:val="00900E18"/>
    <w:rsid w:val="009045AB"/>
    <w:rsid w:val="009265EA"/>
    <w:rsid w:val="00926FB1"/>
    <w:rsid w:val="00932200"/>
    <w:rsid w:val="009329A6"/>
    <w:rsid w:val="009347CF"/>
    <w:rsid w:val="00934C1F"/>
    <w:rsid w:val="009411A1"/>
    <w:rsid w:val="00946ADA"/>
    <w:rsid w:val="00950782"/>
    <w:rsid w:val="009633D4"/>
    <w:rsid w:val="00963F9F"/>
    <w:rsid w:val="00966E7D"/>
    <w:rsid w:val="0097360D"/>
    <w:rsid w:val="009773E2"/>
    <w:rsid w:val="00981D37"/>
    <w:rsid w:val="00991926"/>
    <w:rsid w:val="00993464"/>
    <w:rsid w:val="009B3AB1"/>
    <w:rsid w:val="009C09DA"/>
    <w:rsid w:val="009C0C15"/>
    <w:rsid w:val="009C11F1"/>
    <w:rsid w:val="009C6C88"/>
    <w:rsid w:val="00A0008F"/>
    <w:rsid w:val="00A01332"/>
    <w:rsid w:val="00A10765"/>
    <w:rsid w:val="00A155CA"/>
    <w:rsid w:val="00A20F69"/>
    <w:rsid w:val="00A21F77"/>
    <w:rsid w:val="00A422F0"/>
    <w:rsid w:val="00A50E0F"/>
    <w:rsid w:val="00A51957"/>
    <w:rsid w:val="00A56317"/>
    <w:rsid w:val="00A62CBF"/>
    <w:rsid w:val="00A63318"/>
    <w:rsid w:val="00A76106"/>
    <w:rsid w:val="00A855FC"/>
    <w:rsid w:val="00A85EC8"/>
    <w:rsid w:val="00A92263"/>
    <w:rsid w:val="00A9364E"/>
    <w:rsid w:val="00A93E76"/>
    <w:rsid w:val="00A946B3"/>
    <w:rsid w:val="00A97EE4"/>
    <w:rsid w:val="00AA11F9"/>
    <w:rsid w:val="00AA38EF"/>
    <w:rsid w:val="00AA6B3C"/>
    <w:rsid w:val="00AA6C9E"/>
    <w:rsid w:val="00AB67C1"/>
    <w:rsid w:val="00AB6DBA"/>
    <w:rsid w:val="00AD34FF"/>
    <w:rsid w:val="00AD4927"/>
    <w:rsid w:val="00AD50C1"/>
    <w:rsid w:val="00AE5F5F"/>
    <w:rsid w:val="00AE63C2"/>
    <w:rsid w:val="00AF170E"/>
    <w:rsid w:val="00AF24D3"/>
    <w:rsid w:val="00AF2A5D"/>
    <w:rsid w:val="00AF7E83"/>
    <w:rsid w:val="00B00E1B"/>
    <w:rsid w:val="00B10DC2"/>
    <w:rsid w:val="00B1341C"/>
    <w:rsid w:val="00B22727"/>
    <w:rsid w:val="00B25952"/>
    <w:rsid w:val="00B35687"/>
    <w:rsid w:val="00B6360E"/>
    <w:rsid w:val="00B8524D"/>
    <w:rsid w:val="00B85B19"/>
    <w:rsid w:val="00B8689A"/>
    <w:rsid w:val="00B932DE"/>
    <w:rsid w:val="00BA260B"/>
    <w:rsid w:val="00BC0252"/>
    <w:rsid w:val="00BC3F9E"/>
    <w:rsid w:val="00BD3A08"/>
    <w:rsid w:val="00BD5372"/>
    <w:rsid w:val="00BE5E62"/>
    <w:rsid w:val="00BE6FA6"/>
    <w:rsid w:val="00C20802"/>
    <w:rsid w:val="00C22B87"/>
    <w:rsid w:val="00C3076D"/>
    <w:rsid w:val="00C339A9"/>
    <w:rsid w:val="00C357D9"/>
    <w:rsid w:val="00C40842"/>
    <w:rsid w:val="00C43F6D"/>
    <w:rsid w:val="00C56111"/>
    <w:rsid w:val="00C74447"/>
    <w:rsid w:val="00C744DD"/>
    <w:rsid w:val="00C75B93"/>
    <w:rsid w:val="00C863AC"/>
    <w:rsid w:val="00C9672F"/>
    <w:rsid w:val="00CA7A79"/>
    <w:rsid w:val="00CB349F"/>
    <w:rsid w:val="00CC7EE2"/>
    <w:rsid w:val="00CE040B"/>
    <w:rsid w:val="00CE11E0"/>
    <w:rsid w:val="00CE380A"/>
    <w:rsid w:val="00CE43DD"/>
    <w:rsid w:val="00CF42E0"/>
    <w:rsid w:val="00D0192F"/>
    <w:rsid w:val="00D02DEC"/>
    <w:rsid w:val="00D10712"/>
    <w:rsid w:val="00D15A08"/>
    <w:rsid w:val="00D366C1"/>
    <w:rsid w:val="00D36EAA"/>
    <w:rsid w:val="00D42CF9"/>
    <w:rsid w:val="00D44FB4"/>
    <w:rsid w:val="00D5740C"/>
    <w:rsid w:val="00D606D9"/>
    <w:rsid w:val="00D711A6"/>
    <w:rsid w:val="00D74D2E"/>
    <w:rsid w:val="00D74DD9"/>
    <w:rsid w:val="00D94478"/>
    <w:rsid w:val="00D964AC"/>
    <w:rsid w:val="00DA713C"/>
    <w:rsid w:val="00DB1A0D"/>
    <w:rsid w:val="00DB2AF6"/>
    <w:rsid w:val="00DB7875"/>
    <w:rsid w:val="00DB7D2C"/>
    <w:rsid w:val="00DC6906"/>
    <w:rsid w:val="00DD2EB2"/>
    <w:rsid w:val="00DE3741"/>
    <w:rsid w:val="00DE4372"/>
    <w:rsid w:val="00DE474B"/>
    <w:rsid w:val="00DE68C6"/>
    <w:rsid w:val="00E127BB"/>
    <w:rsid w:val="00E15A2B"/>
    <w:rsid w:val="00E21B69"/>
    <w:rsid w:val="00E231CD"/>
    <w:rsid w:val="00E246F2"/>
    <w:rsid w:val="00E25FCC"/>
    <w:rsid w:val="00E321F6"/>
    <w:rsid w:val="00E4112C"/>
    <w:rsid w:val="00E41A2D"/>
    <w:rsid w:val="00E46869"/>
    <w:rsid w:val="00E738DA"/>
    <w:rsid w:val="00E75B2B"/>
    <w:rsid w:val="00E82364"/>
    <w:rsid w:val="00E8257E"/>
    <w:rsid w:val="00EA478B"/>
    <w:rsid w:val="00EA54E0"/>
    <w:rsid w:val="00EB45EF"/>
    <w:rsid w:val="00EC47AA"/>
    <w:rsid w:val="00EC7C57"/>
    <w:rsid w:val="00EE3960"/>
    <w:rsid w:val="00EE5345"/>
    <w:rsid w:val="00EE53D9"/>
    <w:rsid w:val="00F02CF3"/>
    <w:rsid w:val="00F10B95"/>
    <w:rsid w:val="00F13471"/>
    <w:rsid w:val="00F1440A"/>
    <w:rsid w:val="00F23897"/>
    <w:rsid w:val="00F24100"/>
    <w:rsid w:val="00F26EE1"/>
    <w:rsid w:val="00F2783B"/>
    <w:rsid w:val="00F30193"/>
    <w:rsid w:val="00F34375"/>
    <w:rsid w:val="00F35CF2"/>
    <w:rsid w:val="00F409C4"/>
    <w:rsid w:val="00F41F7F"/>
    <w:rsid w:val="00F4569E"/>
    <w:rsid w:val="00F5049B"/>
    <w:rsid w:val="00F63C3D"/>
    <w:rsid w:val="00F77D38"/>
    <w:rsid w:val="00F84928"/>
    <w:rsid w:val="00F86ADF"/>
    <w:rsid w:val="00F877BB"/>
    <w:rsid w:val="00F930D2"/>
    <w:rsid w:val="00FA7030"/>
    <w:rsid w:val="00FC296A"/>
    <w:rsid w:val="00FC4ABA"/>
    <w:rsid w:val="00FD0BF0"/>
    <w:rsid w:val="00FD3E6A"/>
    <w:rsid w:val="00FE6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F175"/>
  <w15:chartTrackingRefBased/>
  <w15:docId w15:val="{3BE4D401-3AB7-A144-98BB-03B34D8F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765"/>
    <w:rPr>
      <w:rFonts w:ascii="Times New Roman" w:eastAsia="Times New Roman" w:hAnsi="Times New Roman" w:cs="Times New Roman"/>
      <w:lang w:val="en-US"/>
    </w:rPr>
  </w:style>
  <w:style w:type="paragraph" w:styleId="Heading1">
    <w:name w:val="heading 1"/>
    <w:basedOn w:val="Normal"/>
    <w:next w:val="Normal"/>
    <w:link w:val="Heading1Char"/>
    <w:qFormat/>
    <w:rsid w:val="00A10765"/>
    <w:pPr>
      <w:keepNext/>
      <w:spacing w:before="120"/>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765"/>
    <w:rPr>
      <w:rFonts w:ascii="Times New Roman" w:eastAsia="Times New Roman" w:hAnsi="Times New Roman" w:cs="Times New Roman"/>
      <w:b/>
      <w:sz w:val="20"/>
      <w:szCs w:val="20"/>
      <w:lang w:val="en-US"/>
    </w:rPr>
  </w:style>
  <w:style w:type="paragraph" w:styleId="Header">
    <w:name w:val="header"/>
    <w:basedOn w:val="Normal"/>
    <w:link w:val="HeaderChar"/>
    <w:rsid w:val="00A10765"/>
    <w:pPr>
      <w:tabs>
        <w:tab w:val="center" w:pos="4320"/>
        <w:tab w:val="right" w:pos="8640"/>
      </w:tabs>
    </w:pPr>
    <w:rPr>
      <w:sz w:val="20"/>
      <w:szCs w:val="20"/>
    </w:rPr>
  </w:style>
  <w:style w:type="character" w:customStyle="1" w:styleId="HeaderChar">
    <w:name w:val="Header Char"/>
    <w:basedOn w:val="DefaultParagraphFont"/>
    <w:link w:val="Header"/>
    <w:rsid w:val="00A10765"/>
    <w:rPr>
      <w:rFonts w:ascii="Times New Roman" w:eastAsia="Times New Roman" w:hAnsi="Times New Roman" w:cs="Times New Roman"/>
      <w:sz w:val="20"/>
      <w:szCs w:val="20"/>
      <w:lang w:val="en-US"/>
    </w:rPr>
  </w:style>
  <w:style w:type="paragraph" w:styleId="Footer">
    <w:name w:val="footer"/>
    <w:basedOn w:val="Normal"/>
    <w:link w:val="FooterChar"/>
    <w:uiPriority w:val="99"/>
    <w:rsid w:val="00A10765"/>
    <w:pPr>
      <w:tabs>
        <w:tab w:val="center" w:pos="4320"/>
        <w:tab w:val="right" w:pos="8640"/>
      </w:tabs>
    </w:pPr>
  </w:style>
  <w:style w:type="character" w:customStyle="1" w:styleId="FooterChar">
    <w:name w:val="Footer Char"/>
    <w:basedOn w:val="DefaultParagraphFont"/>
    <w:link w:val="Footer"/>
    <w:uiPriority w:val="99"/>
    <w:rsid w:val="00A10765"/>
    <w:rPr>
      <w:rFonts w:ascii="Times New Roman" w:eastAsia="Times New Roman" w:hAnsi="Times New Roman" w:cs="Times New Roman"/>
      <w:lang w:val="en-US"/>
    </w:rPr>
  </w:style>
  <w:style w:type="paragraph" w:customStyle="1" w:styleId="Body">
    <w:name w:val="Body"/>
    <w:basedOn w:val="Normal"/>
    <w:rsid w:val="00A10765"/>
    <w:pPr>
      <w:overflowPunct w:val="0"/>
      <w:autoSpaceDE w:val="0"/>
      <w:autoSpaceDN w:val="0"/>
      <w:adjustRightInd w:val="0"/>
      <w:spacing w:after="130" w:line="260" w:lineRule="exact"/>
      <w:jc w:val="both"/>
    </w:pPr>
    <w:rPr>
      <w:color w:val="000000"/>
      <w:sz w:val="22"/>
      <w:szCs w:val="20"/>
      <w:lang w:val="en-GB"/>
    </w:rPr>
  </w:style>
  <w:style w:type="paragraph" w:styleId="BalloonText">
    <w:name w:val="Balloon Text"/>
    <w:basedOn w:val="Normal"/>
    <w:link w:val="BalloonTextChar"/>
    <w:uiPriority w:val="99"/>
    <w:semiHidden/>
    <w:unhideWhenUsed/>
    <w:rsid w:val="002675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567"/>
    <w:rPr>
      <w:rFonts w:ascii="Segoe UI" w:eastAsia="Times New Roman" w:hAnsi="Segoe UI" w:cs="Segoe UI"/>
      <w:sz w:val="18"/>
      <w:szCs w:val="18"/>
      <w:lang w:val="en-US"/>
    </w:rPr>
  </w:style>
  <w:style w:type="paragraph" w:styleId="ListParagraph">
    <w:name w:val="List Paragraph"/>
    <w:aliases w:val="-header,List Paragraph1"/>
    <w:basedOn w:val="Normal"/>
    <w:link w:val="ListParagraphChar"/>
    <w:uiPriority w:val="34"/>
    <w:qFormat/>
    <w:rsid w:val="00442C79"/>
    <w:pPr>
      <w:ind w:left="720"/>
      <w:contextualSpacing/>
    </w:pPr>
  </w:style>
  <w:style w:type="paragraph" w:styleId="FootnoteText">
    <w:name w:val="footnote text"/>
    <w:basedOn w:val="Normal"/>
    <w:link w:val="FootnoteTextChar"/>
    <w:uiPriority w:val="99"/>
    <w:semiHidden/>
    <w:unhideWhenUsed/>
    <w:rsid w:val="002F68C0"/>
    <w:rPr>
      <w:sz w:val="20"/>
      <w:szCs w:val="20"/>
    </w:rPr>
  </w:style>
  <w:style w:type="character" w:customStyle="1" w:styleId="FootnoteTextChar">
    <w:name w:val="Footnote Text Char"/>
    <w:basedOn w:val="DefaultParagraphFont"/>
    <w:link w:val="FootnoteText"/>
    <w:uiPriority w:val="99"/>
    <w:semiHidden/>
    <w:rsid w:val="002F68C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2F68C0"/>
    <w:rPr>
      <w:vertAlign w:val="superscript"/>
    </w:rPr>
  </w:style>
  <w:style w:type="paragraph" w:customStyle="1" w:styleId="Default">
    <w:name w:val="Default"/>
    <w:rsid w:val="00EB45EF"/>
    <w:pPr>
      <w:autoSpaceDE w:val="0"/>
      <w:autoSpaceDN w:val="0"/>
      <w:adjustRightInd w:val="0"/>
    </w:pPr>
    <w:rPr>
      <w:rFonts w:ascii="Times New Roman" w:eastAsia="Times New Roman" w:hAnsi="Times New Roman" w:cs="Times New Roman"/>
      <w:color w:val="000000"/>
    </w:rPr>
  </w:style>
  <w:style w:type="character" w:customStyle="1" w:styleId="ListParagraphChar">
    <w:name w:val="List Paragraph Char"/>
    <w:aliases w:val="-header Char,List Paragraph1 Char"/>
    <w:link w:val="ListParagraph"/>
    <w:uiPriority w:val="34"/>
    <w:locked/>
    <w:rsid w:val="00EB45EF"/>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0900">
      <w:bodyDiv w:val="1"/>
      <w:marLeft w:val="0"/>
      <w:marRight w:val="0"/>
      <w:marTop w:val="0"/>
      <w:marBottom w:val="0"/>
      <w:divBdr>
        <w:top w:val="none" w:sz="0" w:space="0" w:color="auto"/>
        <w:left w:val="none" w:sz="0" w:space="0" w:color="auto"/>
        <w:bottom w:val="none" w:sz="0" w:space="0" w:color="auto"/>
        <w:right w:val="none" w:sz="0" w:space="0" w:color="auto"/>
      </w:divBdr>
    </w:div>
    <w:div w:id="302664296">
      <w:bodyDiv w:val="1"/>
      <w:marLeft w:val="0"/>
      <w:marRight w:val="0"/>
      <w:marTop w:val="0"/>
      <w:marBottom w:val="0"/>
      <w:divBdr>
        <w:top w:val="none" w:sz="0" w:space="0" w:color="auto"/>
        <w:left w:val="none" w:sz="0" w:space="0" w:color="auto"/>
        <w:bottom w:val="none" w:sz="0" w:space="0" w:color="auto"/>
        <w:right w:val="none" w:sz="0" w:space="0" w:color="auto"/>
      </w:divBdr>
    </w:div>
    <w:div w:id="354229941">
      <w:bodyDiv w:val="1"/>
      <w:marLeft w:val="0"/>
      <w:marRight w:val="0"/>
      <w:marTop w:val="0"/>
      <w:marBottom w:val="0"/>
      <w:divBdr>
        <w:top w:val="none" w:sz="0" w:space="0" w:color="auto"/>
        <w:left w:val="none" w:sz="0" w:space="0" w:color="auto"/>
        <w:bottom w:val="none" w:sz="0" w:space="0" w:color="auto"/>
        <w:right w:val="none" w:sz="0" w:space="0" w:color="auto"/>
      </w:divBdr>
    </w:div>
    <w:div w:id="1104154686">
      <w:bodyDiv w:val="1"/>
      <w:marLeft w:val="0"/>
      <w:marRight w:val="0"/>
      <w:marTop w:val="0"/>
      <w:marBottom w:val="0"/>
      <w:divBdr>
        <w:top w:val="none" w:sz="0" w:space="0" w:color="auto"/>
        <w:left w:val="none" w:sz="0" w:space="0" w:color="auto"/>
        <w:bottom w:val="none" w:sz="0" w:space="0" w:color="auto"/>
        <w:right w:val="none" w:sz="0" w:space="0" w:color="auto"/>
      </w:divBdr>
    </w:div>
    <w:div w:id="199919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5ED6F0-7DA9-4D8A-90F1-9A88E3F1CD2B}">
  <ds:schemaRefs>
    <ds:schemaRef ds:uri="http://schemas.openxmlformats.org/officeDocument/2006/bibliography"/>
  </ds:schemaRefs>
</ds:datastoreItem>
</file>

<file path=customXml/itemProps2.xml><?xml version="1.0" encoding="utf-8"?>
<ds:datastoreItem xmlns:ds="http://schemas.openxmlformats.org/officeDocument/2006/customXml" ds:itemID="{2ABE8F5A-BCF6-4141-A1AE-4C71F03356D1}"/>
</file>

<file path=customXml/itemProps3.xml><?xml version="1.0" encoding="utf-8"?>
<ds:datastoreItem xmlns:ds="http://schemas.openxmlformats.org/officeDocument/2006/customXml" ds:itemID="{42958406-9556-4E52-BCE1-9895E6FA19F8}"/>
</file>

<file path=customXml/itemProps4.xml><?xml version="1.0" encoding="utf-8"?>
<ds:datastoreItem xmlns:ds="http://schemas.openxmlformats.org/officeDocument/2006/customXml" ds:itemID="{702EF778-0612-47A0-B1F9-FEBCA4848733}"/>
</file>

<file path=docProps/app.xml><?xml version="1.0" encoding="utf-8"?>
<Properties xmlns="http://schemas.openxmlformats.org/officeDocument/2006/extended-properties" xmlns:vt="http://schemas.openxmlformats.org/officeDocument/2006/docPropsVTypes">
  <Template>Normal.dotm</Template>
  <TotalTime>6</TotalTime>
  <Pages>8</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Micallef</dc:creator>
  <cp:keywords/>
  <dc:description/>
  <cp:lastModifiedBy>Roberto Pace</cp:lastModifiedBy>
  <cp:revision>5</cp:revision>
  <dcterms:created xsi:type="dcterms:W3CDTF">2019-11-28T08:04:00Z</dcterms:created>
  <dcterms:modified xsi:type="dcterms:W3CDTF">2019-11-29T14:28:00Z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