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23E529D"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262E7222"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AB4172">
        <w:t xml:space="preserve"> in situations of crisi</w:t>
      </w:r>
      <w:r w:rsidR="0053326A">
        <w:t>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45A580F8"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A31315">
        <w:t xml:space="preserve"> The Working </w:t>
      </w:r>
      <w:proofErr w:type="spellStart"/>
      <w:r w:rsidR="00A31315">
        <w:t>Groupd</w:t>
      </w:r>
      <w:proofErr w:type="spellEnd"/>
      <w:r w:rsidR="00A31315">
        <w:t xml:space="preserve"> is particularly interested in receiving information about challenges faced in ensuring that women’s and girls</w:t>
      </w:r>
      <w:proofErr w:type="gramStart"/>
      <w:r w:rsidR="00A31315">
        <w:t>’  sexual</w:t>
      </w:r>
      <w:proofErr w:type="gramEnd"/>
      <w:r w:rsidR="00A31315">
        <w:t xml:space="preserve"> and reproductive rights are respected, protected and fulfilled in times of </w:t>
      </w:r>
      <w:proofErr w:type="spellStart"/>
      <w:r w:rsidR="00A31315">
        <w:t>cris</w:t>
      </w:r>
      <w:r w:rsidR="00031377">
        <w:t>I</w:t>
      </w:r>
      <w:r w:rsidR="00A31315">
        <w:t>s</w:t>
      </w:r>
      <w:proofErr w:type="spellEnd"/>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660F095B"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69E6CA4A" w14:textId="7FD66140" w:rsidR="008C68A3" w:rsidRDefault="008C68A3" w:rsidP="008C68A3">
      <w:pPr>
        <w:pStyle w:val="ListParagraph"/>
        <w:numPr>
          <w:ilvl w:val="0"/>
          <w:numId w:val="11"/>
        </w:numPr>
        <w:jc w:val="both"/>
      </w:pPr>
      <w:r w:rsidRPr="008C68A3">
        <w:lastRenderedPageBreak/>
        <w:t xml:space="preserve">Montenegrin laws </w:t>
      </w:r>
      <w:r>
        <w:t>do</w:t>
      </w:r>
      <w:r w:rsidR="00F774C3">
        <w:t>es</w:t>
      </w:r>
      <w:r>
        <w:t xml:space="preserve">n’t </w:t>
      </w:r>
      <w:r w:rsidRPr="008C68A3">
        <w:t>define the concept of crisis</w:t>
      </w:r>
      <w:r>
        <w:t xml:space="preserve">, but </w:t>
      </w:r>
      <w:r w:rsidRPr="008C68A3">
        <w:t>however, a large number of them mention crisis situations</w:t>
      </w:r>
      <w:r>
        <w:t xml:space="preserve">. For example, crisis situation is </w:t>
      </w:r>
      <w:proofErr w:type="spellStart"/>
      <w:r>
        <w:t>mentinioned</w:t>
      </w:r>
      <w:proofErr w:type="spellEnd"/>
      <w:r>
        <w:t xml:space="preserve"> in Veterinary Law, Energy L</w:t>
      </w:r>
      <w:r w:rsidRPr="008C68A3">
        <w:t>aw</w:t>
      </w:r>
      <w:r>
        <w:t>, Law on Social and Child P</w:t>
      </w:r>
      <w:r w:rsidRPr="008C68A3">
        <w:t>rotection</w:t>
      </w:r>
      <w:r>
        <w:t xml:space="preserve"> etc.</w:t>
      </w:r>
    </w:p>
    <w:p w14:paraId="1DA720F0" w14:textId="77777777" w:rsidR="008C68A3" w:rsidRDefault="008C68A3" w:rsidP="008C68A3">
      <w:pPr>
        <w:pStyle w:val="ListParagraph"/>
        <w:ind w:left="1429"/>
        <w:jc w:val="both"/>
      </w:pPr>
    </w:p>
    <w:p w14:paraId="4EF21DAF" w14:textId="0FD64433" w:rsidR="00F54EE6"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2A0323C2" w14:textId="0BE3BEAB" w:rsidR="00985FD7" w:rsidRDefault="00985FD7" w:rsidP="00985FD7">
      <w:pPr>
        <w:pStyle w:val="ListParagraph"/>
        <w:numPr>
          <w:ilvl w:val="0"/>
          <w:numId w:val="11"/>
        </w:numPr>
        <w:jc w:val="both"/>
      </w:pPr>
      <w:r>
        <w:t>Law on Social and Child P</w:t>
      </w:r>
      <w:r w:rsidRPr="008C68A3">
        <w:t>rotection</w:t>
      </w:r>
      <w:r>
        <w:t xml:space="preserve"> of Montenegro in article 63 </w:t>
      </w:r>
      <w:proofErr w:type="gramStart"/>
      <w:r>
        <w:t>prescribes ”</w:t>
      </w:r>
      <w:proofErr w:type="gramEnd"/>
      <w:r>
        <w:t xml:space="preserve"> </w:t>
      </w:r>
      <w:r w:rsidRPr="00985FD7">
        <w:t>Counselling-therapy and social-educational services include: counselling, therapy, mediation, SOS telephone and other services with the objective of overcoming situations of crisis and improving family relations</w:t>
      </w:r>
      <w:r>
        <w:t>”  but doesn’t prescribe concrete situation of crisis.</w:t>
      </w:r>
    </w:p>
    <w:p w14:paraId="223B5483" w14:textId="77777777" w:rsidR="00985FD7" w:rsidRDefault="00985FD7" w:rsidP="00985FD7">
      <w:pPr>
        <w:pStyle w:val="ListParagraph"/>
        <w:ind w:left="1429"/>
        <w:jc w:val="both"/>
      </w:pPr>
    </w:p>
    <w:p w14:paraId="3969A15C" w14:textId="77777777" w:rsidR="00F61A39" w:rsidRPr="00597229" w:rsidRDefault="00F61A39" w:rsidP="008274A6">
      <w:pPr>
        <w:jc w:val="both"/>
      </w:pPr>
      <w:r>
        <w:t>What institutional mechanisms are in place for managing a crisis and how are priorities determined?</w:t>
      </w: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proofErr w:type="spellStart"/>
      <w:r w:rsidR="004921A9" w:rsidRPr="00824E56">
        <w:t>the</w:t>
      </w:r>
      <w:proofErr w:type="spellEnd"/>
      <w:r w:rsidR="004921A9" w:rsidRPr="00824E56">
        <w:t xml:space="preserv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0A3C2214" w:rsidR="00B20A8E" w:rsidRDefault="00B20A8E" w:rsidP="00B20A8E">
      <w:pPr>
        <w:pStyle w:val="ListParagraph"/>
        <w:numPr>
          <w:ilvl w:val="0"/>
          <w:numId w:val="3"/>
        </w:numPr>
        <w:jc w:val="both"/>
      </w:pPr>
      <w:r w:rsidRPr="00824E56">
        <w:t>Access to non-biased and scientifically accurate information about sexual and reproductive health matters and services;</w:t>
      </w:r>
    </w:p>
    <w:p w14:paraId="3FF40327" w14:textId="521EB85B" w:rsidR="00552A38" w:rsidRDefault="008274A6" w:rsidP="00552A38">
      <w:pPr>
        <w:pStyle w:val="ListParagraph"/>
        <w:numPr>
          <w:ilvl w:val="0"/>
          <w:numId w:val="11"/>
        </w:numPr>
        <w:jc w:val="both"/>
      </w:pPr>
      <w:r>
        <w:t>When we talking about</w:t>
      </w:r>
      <w:r w:rsidR="00552A38">
        <w:t xml:space="preserve"> teaching material for students, the curricular subject programme “Civil Education” which is taught both at primary school level (grade 1-9) and </w:t>
      </w:r>
      <w:proofErr w:type="spellStart"/>
      <w:r w:rsidR="00552A38">
        <w:t>highschool</w:t>
      </w:r>
      <w:proofErr w:type="spellEnd"/>
      <w:r w:rsidR="00552A38">
        <w:t xml:space="preserve"> level (grade 1-3 or 1-4) contains modules, among others, on gender equality, domestic violence, sexual and reproductive health and the prevention of sexual violence, but it is currently an elective subject.</w:t>
      </w:r>
    </w:p>
    <w:p w14:paraId="57FAE54E" w14:textId="77777777" w:rsidR="00552A38" w:rsidRPr="00824E56" w:rsidRDefault="00552A38" w:rsidP="00552A38">
      <w:pPr>
        <w:pStyle w:val="ListParagraph"/>
        <w:ind w:left="1429"/>
        <w:jc w:val="both"/>
      </w:pPr>
    </w:p>
    <w:p w14:paraId="2AAF58F8" w14:textId="5909CABD" w:rsidR="00B20A8E" w:rsidRDefault="00B20A8E" w:rsidP="00B20A8E">
      <w:pPr>
        <w:pStyle w:val="ListParagraph"/>
        <w:numPr>
          <w:ilvl w:val="0"/>
          <w:numId w:val="3"/>
        </w:numPr>
        <w:jc w:val="both"/>
      </w:pPr>
      <w:r w:rsidRPr="00824E56">
        <w:t xml:space="preserve">Access to medical professionals </w:t>
      </w:r>
      <w:proofErr w:type="gramStart"/>
      <w:r w:rsidRPr="00824E56">
        <w:t>and  health</w:t>
      </w:r>
      <w:proofErr w:type="gramEnd"/>
      <w:r w:rsidRPr="00824E56">
        <w:t xml:space="preserve"> service providers, including traditional birth attendants, with adequate provision for their training and safety including personal protective equipment; </w:t>
      </w:r>
    </w:p>
    <w:p w14:paraId="67B3A8A6" w14:textId="14E8B65A" w:rsidR="007B257A" w:rsidRDefault="007B257A" w:rsidP="006B2BB9">
      <w:pPr>
        <w:pStyle w:val="ListParagraph"/>
        <w:numPr>
          <w:ilvl w:val="0"/>
          <w:numId w:val="11"/>
        </w:numPr>
        <w:jc w:val="both"/>
      </w:pPr>
      <w:r>
        <w:t>Medical staff are trained to identify victims of</w:t>
      </w:r>
      <w:r w:rsidR="006B2BB9">
        <w:t xml:space="preserve"> </w:t>
      </w:r>
      <w:r>
        <w:t>domestic violence, including victims of psychological violence, and have the duty to report any</w:t>
      </w:r>
      <w:r w:rsidR="006B2BB9">
        <w:t xml:space="preserve"> </w:t>
      </w:r>
      <w:r>
        <w:t>suspicion of a crime to the law enforcement agencies.</w:t>
      </w:r>
    </w:p>
    <w:p w14:paraId="5038F812" w14:textId="77777777" w:rsidR="006B2BB9" w:rsidRPr="00824E56" w:rsidRDefault="006B2BB9" w:rsidP="006B2BB9">
      <w:pPr>
        <w:pStyle w:val="ListParagraph"/>
        <w:ind w:left="1429"/>
        <w:jc w:val="both"/>
      </w:pPr>
    </w:p>
    <w:p w14:paraId="23F4FB7C" w14:textId="0EA9B1C3" w:rsidR="00B20A8E" w:rsidRDefault="00B20A8E" w:rsidP="006B2BB9">
      <w:pPr>
        <w:pStyle w:val="ListParagraph"/>
        <w:numPr>
          <w:ilvl w:val="0"/>
          <w:numId w:val="3"/>
        </w:numPr>
        <w:jc w:val="both"/>
      </w:pPr>
      <w:r w:rsidRPr="00824E56">
        <w:t xml:space="preserve">Access to essential </w:t>
      </w:r>
      <w:proofErr w:type="gramStart"/>
      <w:r w:rsidRPr="00824E56">
        <w:t>medicines  as</w:t>
      </w:r>
      <w:proofErr w:type="gramEnd"/>
      <w:r w:rsidRPr="00824E56">
        <w:t xml:space="preserve"> prescribed by the WHO, equipment and technologies essential for the quality provision of sexual and reproductive health services;</w:t>
      </w:r>
    </w:p>
    <w:p w14:paraId="1F153918" w14:textId="65BC1BF1" w:rsidR="006B2BB9" w:rsidRDefault="00A3129E" w:rsidP="00A3129E">
      <w:pPr>
        <w:pStyle w:val="ListParagraph"/>
        <w:numPr>
          <w:ilvl w:val="0"/>
          <w:numId w:val="11"/>
        </w:numPr>
        <w:jc w:val="both"/>
      </w:pPr>
      <w:r>
        <w:t>There are no rape crisis or sexual violence referral centres in Montenegro. Upon reporting a rape or any other act of sexual violence to the law enforcement agencies, women are taken to hospital (a general hospital or the Clinical Centre of Montenegro) for a medical and forensic examination. Standard procedure requires a thorough general examination to document injuries and secure forensic evidence for storage until the victim has taken a decision on whether or not to report the incident. Instances of rape seem to be significantly underreported due to the cultural stigma that attaches to victims.</w:t>
      </w:r>
    </w:p>
    <w:p w14:paraId="7C88D932" w14:textId="77777777" w:rsidR="00A3129E" w:rsidRPr="00824E56" w:rsidRDefault="00A3129E" w:rsidP="00A3129E">
      <w:pPr>
        <w:pStyle w:val="ListParagraph"/>
        <w:ind w:left="1429"/>
        <w:jc w:val="both"/>
      </w:pPr>
    </w:p>
    <w:p w14:paraId="5FF2FBD6" w14:textId="501BC36B" w:rsidR="00B20A8E"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w:t>
      </w:r>
      <w:proofErr w:type="gramStart"/>
      <w:r w:rsidRPr="00824E56">
        <w:t>AIDS  as</w:t>
      </w:r>
      <w:proofErr w:type="gramEnd"/>
      <w:r w:rsidRPr="00824E56">
        <w:t xml:space="preserve"> well as the prevention and treatment of sexually transmissible infections;</w:t>
      </w:r>
    </w:p>
    <w:p w14:paraId="5424BB82" w14:textId="1253D766" w:rsidR="009E0664" w:rsidRPr="00824E56" w:rsidRDefault="009E0664" w:rsidP="009E0664">
      <w:pPr>
        <w:pStyle w:val="ListParagraph"/>
        <w:numPr>
          <w:ilvl w:val="0"/>
          <w:numId w:val="11"/>
        </w:numPr>
        <w:jc w:val="both"/>
      </w:pPr>
      <w:r w:rsidRPr="009E0664">
        <w:t xml:space="preserve">The national response to HIV is </w:t>
      </w:r>
      <w:proofErr w:type="spellStart"/>
      <w:r w:rsidRPr="009E0664">
        <w:t>multisectoral</w:t>
      </w:r>
      <w:proofErr w:type="spellEnd"/>
      <w:r w:rsidRPr="009E0664">
        <w:t xml:space="preserve">, multidisciplinary and includes a large number of activities that include education, </w:t>
      </w:r>
      <w:proofErr w:type="spellStart"/>
      <w:r w:rsidRPr="009E0664">
        <w:t>counseling</w:t>
      </w:r>
      <w:proofErr w:type="spellEnd"/>
      <w:r w:rsidRPr="009E0664">
        <w:t xml:space="preserve"> and testing for HIV, </w:t>
      </w:r>
      <w:proofErr w:type="spellStart"/>
      <w:r w:rsidRPr="009E0664">
        <w:t>counseling</w:t>
      </w:r>
      <w:proofErr w:type="spellEnd"/>
      <w:r w:rsidRPr="009E0664">
        <w:t xml:space="preserve"> and testing of pregnant women, providing safe blood, prevention in health facilities, proper disposal of medical waste, therapy, providing post-exposure prophylaxis, </w:t>
      </w:r>
      <w:r w:rsidRPr="009E0664">
        <w:lastRenderedPageBreak/>
        <w:t>enabling pre-exposure prophylaxis, implementation of harm reduction programs, reduction of stigma and discrimination, creation of a supportive environment, promotion of condom use, etc.</w:t>
      </w:r>
      <w:r>
        <w:t xml:space="preserve"> </w:t>
      </w:r>
      <w:r w:rsidRPr="009E0664">
        <w:t xml:space="preserve">According to the Institute of Public Health </w:t>
      </w:r>
      <w:r>
        <w:t>t</w:t>
      </w:r>
      <w:r w:rsidRPr="009E0664">
        <w:t>he first case of AIDS in Montenegro was registered in 1989 and from then until the end of 2018, a total of 277 people infected with HIV were registered.</w:t>
      </w:r>
      <w:r>
        <w:t xml:space="preserve"> </w:t>
      </w:r>
      <w:r w:rsidRPr="009E0664">
        <w:t>However, using the methodology recommended by UNAIDS, it is estimated that in our country about 400 people live with HIV, so the prevalence of HIV infection in the adult population (population aged 15-49 years) is about 0.1%</w:t>
      </w:r>
      <w:r>
        <w:t>.</w:t>
      </w:r>
    </w:p>
    <w:p w14:paraId="0CA4F8CB" w14:textId="2D8802A8" w:rsidR="0092510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w:t>
      </w:r>
      <w:proofErr w:type="gramStart"/>
      <w:r w:rsidR="007D03B6" w:rsidRPr="00824E56">
        <w:t>care</w:t>
      </w:r>
      <w:r w:rsidRPr="00824E56">
        <w:t xml:space="preserve">, </w:t>
      </w:r>
      <w:r w:rsidR="007B699E" w:rsidRPr="00824E56">
        <w:t xml:space="preserve"> assistance</w:t>
      </w:r>
      <w:proofErr w:type="gramEnd"/>
      <w:r w:rsidR="007B699E" w:rsidRPr="00824E56">
        <w:t xml:space="preserve"> during child-birth</w:t>
      </w:r>
      <w:r w:rsidR="00766B8A" w:rsidRPr="00824E56">
        <w:t>,</w:t>
      </w:r>
      <w:r w:rsidRPr="00824E56">
        <w:t xml:space="preserve"> and emergency obstetric care;</w:t>
      </w:r>
    </w:p>
    <w:p w14:paraId="55DAC272" w14:textId="3BB7486E" w:rsidR="004D5BA6" w:rsidRPr="00824E56" w:rsidRDefault="004D5BA6" w:rsidP="004D5BA6">
      <w:pPr>
        <w:pStyle w:val="ListParagraph"/>
        <w:numPr>
          <w:ilvl w:val="0"/>
          <w:numId w:val="11"/>
        </w:numPr>
        <w:jc w:val="both"/>
      </w:pPr>
      <w:proofErr w:type="spellStart"/>
      <w:r w:rsidRPr="004D5BA6">
        <w:t>Gynecological</w:t>
      </w:r>
      <w:proofErr w:type="spellEnd"/>
      <w:r w:rsidRPr="004D5BA6">
        <w:t xml:space="preserve"> teams of the Health </w:t>
      </w:r>
      <w:proofErr w:type="spellStart"/>
      <w:r w:rsidRPr="004D5BA6">
        <w:t>Center</w:t>
      </w:r>
      <w:proofErr w:type="spellEnd"/>
      <w:r w:rsidRPr="004D5BA6">
        <w:t xml:space="preserve"> Podgorica perform regular examinations of pregnant women, including high-risk pregnancies, and ultrasound examinations are routinely performed, so that only in exceptional cases are patients referred to the secondary and tertiary level.</w:t>
      </w:r>
      <w:r>
        <w:t xml:space="preserve"> </w:t>
      </w:r>
      <w:r w:rsidRPr="004D5BA6">
        <w:t xml:space="preserve">School for pregnant women each month receives new pregnant women </w:t>
      </w:r>
      <w:r w:rsidR="0046277A">
        <w:t>who are educated by professional team (</w:t>
      </w:r>
      <w:proofErr w:type="spellStart"/>
      <w:r w:rsidR="0046277A">
        <w:t>gynecologists</w:t>
      </w:r>
      <w:proofErr w:type="spellEnd"/>
      <w:r w:rsidR="0046277A">
        <w:t xml:space="preserve"> and nurses). They </w:t>
      </w:r>
      <w:r w:rsidRPr="004D5BA6">
        <w:t xml:space="preserve">educate and inform </w:t>
      </w:r>
      <w:r w:rsidR="0046277A">
        <w:t xml:space="preserve">them </w:t>
      </w:r>
      <w:r w:rsidRPr="004D5BA6">
        <w:t>about p</w:t>
      </w:r>
      <w:r w:rsidR="0046277A">
        <w:t xml:space="preserve">regnancy, childbirth, </w:t>
      </w:r>
      <w:proofErr w:type="spellStart"/>
      <w:r w:rsidR="0046277A">
        <w:t>post natal</w:t>
      </w:r>
      <w:proofErr w:type="spellEnd"/>
      <w:r w:rsidRPr="004D5BA6">
        <w:t xml:space="preserve"> period, breastfeeding, baby care and development.</w:t>
      </w:r>
      <w:r>
        <w:t xml:space="preserve"> </w:t>
      </w:r>
    </w:p>
    <w:p w14:paraId="2FE94D1A" w14:textId="47EDC56C" w:rsidR="00945886" w:rsidRDefault="00B20A8E" w:rsidP="00C92E09">
      <w:pPr>
        <w:pStyle w:val="ListParagraph"/>
        <w:numPr>
          <w:ilvl w:val="0"/>
          <w:numId w:val="3"/>
        </w:numPr>
        <w:jc w:val="both"/>
      </w:pPr>
      <w:r w:rsidRPr="00824E56">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treatments</w:t>
      </w:r>
      <w:r w:rsidR="00C92E09" w:rsidRPr="00824E56">
        <w:t>;</w:t>
      </w:r>
    </w:p>
    <w:p w14:paraId="07BB8EC3" w14:textId="03AF3C50" w:rsidR="0046277A" w:rsidRPr="00824E56" w:rsidRDefault="000D4036" w:rsidP="000D4036">
      <w:pPr>
        <w:pStyle w:val="ListParagraph"/>
        <w:numPr>
          <w:ilvl w:val="0"/>
          <w:numId w:val="11"/>
        </w:numPr>
        <w:jc w:val="both"/>
      </w:pPr>
      <w:r>
        <w:t>I</w:t>
      </w:r>
      <w:r w:rsidRPr="000D4036">
        <w:t>t is evident that the implementation of projects to raise awareness of the NGO sector on the topic of contraception</w:t>
      </w:r>
      <w:r>
        <w:t>, but</w:t>
      </w:r>
      <w:r w:rsidRPr="000D4036">
        <w:t xml:space="preserve"> it is necessary to mention</w:t>
      </w:r>
      <w:r>
        <w:t xml:space="preserve"> that CEDAW report for Montenegro states that it must be ensured that information on contraception must be more accessible. </w:t>
      </w:r>
    </w:p>
    <w:p w14:paraId="243FB19E" w14:textId="57CB1D82" w:rsidR="00945886" w:rsidRDefault="00995296" w:rsidP="00CB0784">
      <w:pPr>
        <w:pStyle w:val="ListParagraph"/>
        <w:numPr>
          <w:ilvl w:val="0"/>
          <w:numId w:val="3"/>
        </w:numPr>
        <w:jc w:val="both"/>
      </w:pPr>
      <w:r w:rsidRPr="00824E56">
        <w:t xml:space="preserve">Safe abortion services including surgical and non-surgical methods of termination of </w:t>
      </w:r>
      <w:proofErr w:type="gramStart"/>
      <w:r w:rsidRPr="00824E56">
        <w:t xml:space="preserve">pregnancy </w:t>
      </w:r>
      <w:r w:rsidR="00945886" w:rsidRPr="00824E56">
        <w:t xml:space="preserve"> and</w:t>
      </w:r>
      <w:proofErr w:type="gramEnd"/>
      <w:r w:rsidR="00945886" w:rsidRPr="00824E56">
        <w:t xml:space="preserve">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2637FA64" w14:textId="39C67814" w:rsidR="000443FF" w:rsidRPr="00824E56" w:rsidRDefault="000D4036" w:rsidP="000D4036">
      <w:pPr>
        <w:pStyle w:val="ListParagraph"/>
        <w:numPr>
          <w:ilvl w:val="0"/>
          <w:numId w:val="11"/>
        </w:numPr>
        <w:jc w:val="both"/>
      </w:pPr>
      <w:proofErr w:type="spellStart"/>
      <w:r w:rsidRPr="000D4036">
        <w:t>Acording</w:t>
      </w:r>
      <w:proofErr w:type="spellEnd"/>
      <w:r w:rsidRPr="000D4036">
        <w:t xml:space="preserve"> Montenegrin Law on conditions and procedure for termination of pregnancy abortion can be performed up to 10 weeks from the day of conception, based on the written request of the pregnant woman. Abortion can be done after the end of 10 weeks from the date of conception, but not after 32 weeks. Abortion can be performed exclusively in health care institutions of the secondary and tertiary level of health care, which meet the requirements in terms of space, staff and equipment for performing this activity.</w:t>
      </w:r>
    </w:p>
    <w:p w14:paraId="6BE652EB" w14:textId="40D044FE" w:rsidR="004E3BDD"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others</w:t>
      </w:r>
      <w:r w:rsidR="00FA31A9">
        <w:t>;</w:t>
      </w:r>
    </w:p>
    <w:p w14:paraId="10F3889C" w14:textId="6DB3A008" w:rsidR="00006145" w:rsidRPr="00824E56" w:rsidRDefault="00006145" w:rsidP="00006145">
      <w:pPr>
        <w:pStyle w:val="ListParagraph"/>
        <w:numPr>
          <w:ilvl w:val="0"/>
          <w:numId w:val="11"/>
        </w:numPr>
        <w:jc w:val="both"/>
      </w:pPr>
      <w:r>
        <w:t>%</w:t>
      </w:r>
    </w:p>
    <w:p w14:paraId="7E07FAFA" w14:textId="06A2C228" w:rsidR="00B838AA" w:rsidRDefault="00B838AA" w:rsidP="00CB0784">
      <w:pPr>
        <w:pStyle w:val="ListParagraph"/>
        <w:numPr>
          <w:ilvl w:val="0"/>
          <w:numId w:val="3"/>
        </w:numPr>
        <w:jc w:val="both"/>
      </w:pPr>
      <w:r w:rsidRPr="00824E56">
        <w:t>Screenings and treatment for reproductive cancers</w:t>
      </w:r>
      <w:r w:rsidR="00FA31A9">
        <w:t>;</w:t>
      </w:r>
    </w:p>
    <w:p w14:paraId="2CFF3EBE" w14:textId="0D855D48" w:rsidR="00006145" w:rsidRPr="00824E56" w:rsidRDefault="00A44923" w:rsidP="00A44923">
      <w:pPr>
        <w:pStyle w:val="ListParagraph"/>
        <w:numPr>
          <w:ilvl w:val="0"/>
          <w:numId w:val="11"/>
        </w:numPr>
        <w:jc w:val="both"/>
      </w:pPr>
      <w:r w:rsidRPr="00A44923">
        <w:t xml:space="preserve">From 01 February 2018, the screening is carried out at the national level and from 01 February 2019. The target group consists of women who made the selection and registration at the chosen </w:t>
      </w:r>
      <w:proofErr w:type="spellStart"/>
      <w:r w:rsidRPr="00A44923">
        <w:t>gynecologist</w:t>
      </w:r>
      <w:proofErr w:type="spellEnd"/>
      <w:r w:rsidRPr="00A44923">
        <w:t xml:space="preserve"> and have between 30 and 42 years </w:t>
      </w:r>
      <w:r>
        <w:t>old</w:t>
      </w:r>
      <w:r w:rsidRPr="00A44923">
        <w:t>.</w:t>
      </w:r>
      <w:r>
        <w:t xml:space="preserve"> </w:t>
      </w:r>
      <w:r w:rsidRPr="00A44923">
        <w:t xml:space="preserve">If they have not registered yet, women of this age group have the opportunity to join the program on their own initiative by contacting the team of the chosen </w:t>
      </w:r>
      <w:proofErr w:type="spellStart"/>
      <w:r w:rsidRPr="00A44923">
        <w:t>gynecologist</w:t>
      </w:r>
      <w:proofErr w:type="spellEnd"/>
      <w:r w:rsidRPr="00A44923">
        <w:t>.</w:t>
      </w:r>
    </w:p>
    <w:p w14:paraId="13344188" w14:textId="4CDF6BF6" w:rsidR="00995296" w:rsidRPr="00824E56" w:rsidRDefault="00995296" w:rsidP="000D4036">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p>
    <w:p w14:paraId="56C2C9DC" w14:textId="1981876C" w:rsidR="00F54EE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survivors</w:t>
      </w:r>
      <w:r w:rsidRPr="00824E56">
        <w:t>;</w:t>
      </w:r>
    </w:p>
    <w:p w14:paraId="1934F475" w14:textId="2DE91620" w:rsidR="00B5253A" w:rsidRPr="00824E56" w:rsidRDefault="00BA299E" w:rsidP="00AC4A99">
      <w:pPr>
        <w:pStyle w:val="ListParagraph"/>
        <w:numPr>
          <w:ilvl w:val="0"/>
          <w:numId w:val="11"/>
        </w:numPr>
        <w:jc w:val="both"/>
      </w:pPr>
      <w:r>
        <w:t>D</w:t>
      </w:r>
      <w:r w:rsidR="00B5253A">
        <w:t>uty to provide victims of domestic</w:t>
      </w:r>
      <w:r>
        <w:t xml:space="preserve"> </w:t>
      </w:r>
      <w:r w:rsidR="00B5253A">
        <w:t>violence with full and co-ordinated protection extends to many governmental institutions, including police, misdemeanour courts, prosecutors, Centres for Social Work, health care institutions,</w:t>
      </w:r>
      <w:r>
        <w:t xml:space="preserve"> </w:t>
      </w:r>
      <w:r w:rsidR="00B5253A">
        <w:t>and other institutions that act as care providers.</w:t>
      </w:r>
      <w:r w:rsidR="00AC4A99">
        <w:t xml:space="preserve"> In Montenegro, NGOs play an important role in operating counselling and specialist support services for women victims of violence. These range </w:t>
      </w:r>
      <w:r w:rsidR="00AC4A99">
        <w:lastRenderedPageBreak/>
        <w:t>from helplines and the running of women’s shelters to counselling services for domestic violence and forced marriage as well as the provision of legal aid.</w:t>
      </w:r>
    </w:p>
    <w:p w14:paraId="7126AC48" w14:textId="67691238" w:rsidR="004E3BDD"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p>
    <w:p w14:paraId="53BA94DC" w14:textId="1D0E98E6" w:rsidR="00023E21" w:rsidRDefault="00E531F8" w:rsidP="00196F45">
      <w:pPr>
        <w:pStyle w:val="ListParagraph"/>
        <w:numPr>
          <w:ilvl w:val="0"/>
          <w:numId w:val="11"/>
        </w:numPr>
        <w:jc w:val="both"/>
      </w:pPr>
      <w:r>
        <w:t xml:space="preserve">Recent amendments to the Criminal Code ensure the criminalisation of other forms of violence against women as required by the </w:t>
      </w:r>
      <w:r w:rsidR="00023E21">
        <w:t xml:space="preserve">Istanbul </w:t>
      </w:r>
      <w:r>
        <w:t xml:space="preserve">Convention, namely stalking, female genital mutilation and forced sterilisation. </w:t>
      </w:r>
      <w:r w:rsidR="005B569A" w:rsidRPr="005B569A">
        <w:t>In cases of exposure of children to child marriages, all competent authorities shall act urgently</w:t>
      </w:r>
      <w:r w:rsidR="005B569A">
        <w:t>.</w:t>
      </w:r>
      <w:r w:rsidR="00B66D31">
        <w:t xml:space="preserve"> </w:t>
      </w:r>
      <w:r w:rsidR="00196F45">
        <w:t xml:space="preserve">It is difficult to establish the prevalence of forced marriage in Montenegro, it appears that the practice of arranging early marriages that border on forced marriage is frequent among the Roma and Egyptian communities. </w:t>
      </w:r>
      <w:r w:rsidR="00B66D31">
        <w:t>The early and forced marriages among Roma and Egyptians in Montenegro are usually perpetrated by parents and the wider family.</w:t>
      </w:r>
      <w:r w:rsidR="005B569A">
        <w:t xml:space="preserve"> During 2017, the Ministry of Human and Minority Rights published Guidelines for the proceedings of </w:t>
      </w:r>
      <w:proofErr w:type="spellStart"/>
      <w:r w:rsidR="005B569A">
        <w:t>competenties</w:t>
      </w:r>
      <w:proofErr w:type="spellEnd"/>
      <w:r w:rsidR="005B569A">
        <w:t xml:space="preserve"> institutions in cases of recognition and processing children's marriages and counter-married communities in which the competencies of all bodies are specified.</w:t>
      </w:r>
    </w:p>
    <w:p w14:paraId="73AC3D5D" w14:textId="451F1021" w:rsidR="007D03B6" w:rsidRPr="00824E56" w:rsidRDefault="007D03B6" w:rsidP="00FC434F">
      <w:pPr>
        <w:pStyle w:val="ListParagraph"/>
        <w:numPr>
          <w:ilvl w:val="0"/>
          <w:numId w:val="3"/>
        </w:numPr>
        <w:jc w:val="both"/>
      </w:pPr>
      <w:bookmarkStart w:id="3" w:name="_GoBack"/>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conscientious objection, and third party consent requirements</w:t>
      </w:r>
      <w:r w:rsidR="00FA31A9">
        <w:t>;</w:t>
      </w:r>
    </w:p>
    <w:bookmarkEnd w:id="3"/>
    <w:p w14:paraId="31BB18B0" w14:textId="4DA53287" w:rsidR="0091248A"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xml:space="preserve">; </w:t>
      </w:r>
    </w:p>
    <w:p w14:paraId="37B3447F" w14:textId="4FBEA6F9" w:rsidR="00AC2280" w:rsidRDefault="00AC2280" w:rsidP="00AC2280">
      <w:pPr>
        <w:pStyle w:val="ListParagraph"/>
        <w:numPr>
          <w:ilvl w:val="0"/>
          <w:numId w:val="11"/>
        </w:numPr>
        <w:jc w:val="both"/>
      </w:pPr>
      <w:r>
        <w:t>It is</w:t>
      </w:r>
      <w:r w:rsidRPr="00AC2280">
        <w:t xml:space="preserve"> necessary improvement in the area of crisis </w:t>
      </w:r>
      <w:proofErr w:type="spellStart"/>
      <w:r w:rsidRPr="00AC2280">
        <w:t>centers</w:t>
      </w:r>
      <w:proofErr w:type="spellEnd"/>
      <w:r>
        <w:t xml:space="preserve"> in Montenegro. Even GREVIO </w:t>
      </w:r>
      <w:proofErr w:type="spellStart"/>
      <w:r>
        <w:t>Comitee</w:t>
      </w:r>
      <w:proofErr w:type="spellEnd"/>
      <w:r>
        <w:t xml:space="preserve"> urges the Montenegrin authorities need to set up rape crisis and/or sexual violence referral centres, ensuring a sensitive response by trained and specialised staff, in sufficient numbers, recalling that one such centre should be available per every 200 000 inhabitants and that their geographic spread should make them accessible to victims in rural areas as much as in cities.</w:t>
      </w:r>
    </w:p>
    <w:p w14:paraId="71AEF42C" w14:textId="681F24CB" w:rsidR="00B838AA" w:rsidRDefault="00B838AA" w:rsidP="00CB0784">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w:t>
      </w:r>
      <w:proofErr w:type="gramStart"/>
      <w:r w:rsidR="00CA68D2" w:rsidRPr="00824E56">
        <w:t>of  SRH</w:t>
      </w:r>
      <w:proofErr w:type="gramEnd"/>
      <w:r w:rsidR="00CA68D2" w:rsidRPr="00824E56">
        <w:t xml:space="preserve"> services</w:t>
      </w:r>
      <w:r w:rsidR="00031377">
        <w:t xml:space="preserve"> and information</w:t>
      </w:r>
      <w:r w:rsidRPr="00824E56">
        <w:t>.</w:t>
      </w:r>
    </w:p>
    <w:p w14:paraId="679DB78F" w14:textId="3C8666C2" w:rsidR="00084261" w:rsidRDefault="00084261" w:rsidP="00084261">
      <w:pPr>
        <w:pStyle w:val="ListParagraph"/>
        <w:numPr>
          <w:ilvl w:val="0"/>
          <w:numId w:val="11"/>
        </w:numPr>
        <w:jc w:val="both"/>
      </w:pPr>
      <w:r>
        <w:t xml:space="preserve">Leaflets explaining the availability of free legal aid have been made available by the Association of Judges and are displayed at the information counters of all municipalities. Available data indicate, however, that very few women benefit from free legal assistance in practice, owing primarily to their lack of knowledge about </w:t>
      </w:r>
      <w:proofErr w:type="gramStart"/>
      <w:r>
        <w:t>their</w:t>
      </w:r>
      <w:proofErr w:type="gramEnd"/>
    </w:p>
    <w:p w14:paraId="0DD35E4F" w14:textId="4193B12D" w:rsidR="00084261" w:rsidRPr="00824E56" w:rsidRDefault="00084261" w:rsidP="00084261">
      <w:pPr>
        <w:pStyle w:val="ListParagraph"/>
        <w:ind w:left="1429"/>
        <w:jc w:val="both"/>
      </w:pPr>
      <w:r>
        <w:t>entitlement to such aid.</w:t>
      </w:r>
    </w:p>
    <w:p w14:paraId="5FDA2CD3" w14:textId="77777777" w:rsidR="00D25A4C" w:rsidRDefault="00D25A4C" w:rsidP="00D25A4C">
      <w:pPr>
        <w:pStyle w:val="ListParagraph"/>
        <w:ind w:left="1440"/>
        <w:jc w:val="both"/>
      </w:pP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3F9A2A8D" w:rsidR="00F54EE6" w:rsidRDefault="00F54EE6" w:rsidP="00441CEC">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0582EBA7" w14:textId="69ED78F8" w:rsidR="00732CD8" w:rsidRPr="0049442F" w:rsidRDefault="00441CEC" w:rsidP="00441CEC">
      <w:pPr>
        <w:pStyle w:val="ListParagraph"/>
        <w:numPr>
          <w:ilvl w:val="0"/>
          <w:numId w:val="11"/>
        </w:numPr>
        <w:jc w:val="both"/>
      </w:pPr>
      <w:r>
        <w:t>C</w:t>
      </w:r>
      <w:r w:rsidRPr="00441CEC">
        <w:t xml:space="preserve">risis caused by the pandemic virus </w:t>
      </w:r>
      <w:proofErr w:type="spellStart"/>
      <w:r w:rsidRPr="00441CEC">
        <w:t>Covide</w:t>
      </w:r>
      <w:proofErr w:type="spellEnd"/>
      <w:r w:rsidRPr="00441CEC">
        <w:t xml:space="preserve"> 19</w:t>
      </w:r>
      <w:r>
        <w:t>:</w:t>
      </w: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49A377B1"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1F33B00C" w14:textId="6D93C2BF" w:rsidR="00455294" w:rsidRDefault="00455294" w:rsidP="00455294">
      <w:pPr>
        <w:pStyle w:val="ListParagraph"/>
        <w:numPr>
          <w:ilvl w:val="0"/>
          <w:numId w:val="11"/>
        </w:numPr>
        <w:jc w:val="both"/>
      </w:pPr>
      <w:r w:rsidRPr="00455294">
        <w:t>The key measures to halt the spread of Coronavirus – such as lockdown, restriction of movement and social isolation - have left many women more vulnerable to violence. Distressed from the abuse itself, confined and discouraged by the lack of support, many women feel helpless and at the mercy of their oppressor.</w:t>
      </w:r>
    </w:p>
    <w:p w14:paraId="3205F46B" w14:textId="0858F453" w:rsidR="0034184A" w:rsidRDefault="00882FAB" w:rsidP="0087156B">
      <w:pPr>
        <w:pStyle w:val="ListParagraph"/>
        <w:numPr>
          <w:ilvl w:val="0"/>
          <w:numId w:val="6"/>
        </w:numPr>
        <w:jc w:val="both"/>
      </w:pPr>
      <w:r>
        <w:lastRenderedPageBreak/>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57A1C5E7" w14:textId="553C6C2D" w:rsidR="00DA43E2" w:rsidRDefault="00DA43E2" w:rsidP="00DA43E2">
      <w:pPr>
        <w:pStyle w:val="ListParagraph"/>
        <w:numPr>
          <w:ilvl w:val="0"/>
          <w:numId w:val="11"/>
        </w:numPr>
        <w:jc w:val="both"/>
      </w:pPr>
      <w:r>
        <w:t>A</w:t>
      </w:r>
      <w:r w:rsidRPr="00DA43E2">
        <w:t xml:space="preserve">ccording to the non-governmental sector during the June, 27% was an increase in applications of gender-based violence during the pandemic </w:t>
      </w:r>
      <w:proofErr w:type="spellStart"/>
      <w:r w:rsidRPr="00DA43E2">
        <w:t>Covide</w:t>
      </w:r>
      <w:proofErr w:type="spellEnd"/>
      <w:r w:rsidRPr="00DA43E2">
        <w:t xml:space="preserve"> 19</w:t>
      </w:r>
      <w:r>
        <w:t>.</w:t>
      </w: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7331463F" w14:textId="4135800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3C7DF306" w14:textId="2558FBE6" w:rsidR="00DA43E2" w:rsidRPr="00D71F39" w:rsidRDefault="00125CE7" w:rsidP="00663478">
      <w:pPr>
        <w:pStyle w:val="ListParagraph"/>
        <w:numPr>
          <w:ilvl w:val="0"/>
          <w:numId w:val="11"/>
        </w:numPr>
        <w:jc w:val="both"/>
      </w:pPr>
      <w:r>
        <w:t xml:space="preserve">During May </w:t>
      </w:r>
      <w:proofErr w:type="spellStart"/>
      <w:r w:rsidR="00D71F39">
        <w:t>Goverment</w:t>
      </w:r>
      <w:proofErr w:type="spellEnd"/>
      <w:r w:rsidR="00D71F39">
        <w:t xml:space="preserve"> of Montenegro- </w:t>
      </w:r>
      <w:r w:rsidR="00D71F39" w:rsidRPr="00D71F39">
        <w:t>Ministry of Internal Affairs</w:t>
      </w:r>
      <w:r w:rsidR="00D71F39">
        <w:t xml:space="preserve"> and </w:t>
      </w:r>
      <w:r>
        <w:t xml:space="preserve">UNDP </w:t>
      </w:r>
      <w:proofErr w:type="gramStart"/>
      <w:r>
        <w:t>Monte</w:t>
      </w:r>
      <w:r w:rsidR="00D71F39">
        <w:t>negro  create</w:t>
      </w:r>
      <w:proofErr w:type="gramEnd"/>
      <w:r w:rsidR="00663478">
        <w:t xml:space="preserve"> for</w:t>
      </w:r>
      <w:r w:rsidR="00D71F39">
        <w:t xml:space="preserve"> </w:t>
      </w:r>
      <w:r w:rsidR="00663478">
        <w:t xml:space="preserve">free </w:t>
      </w:r>
      <w:r w:rsidRPr="00125CE7">
        <w:t>Be Safe mobile app</w:t>
      </w:r>
      <w:r w:rsidR="00D71F39">
        <w:t>. This app</w:t>
      </w:r>
      <w:r w:rsidRPr="00125CE7">
        <w:t xml:space="preserve"> was launched and is available for android and iPhone users in Montenegro.</w:t>
      </w:r>
      <w:r w:rsidR="00D71F39">
        <w:t xml:space="preserve"> It is safe, </w:t>
      </w:r>
      <w:r w:rsidR="00D71F39" w:rsidRPr="00D71F39">
        <w:t>quick, reliable, confidential and discreet channel of communicatio</w:t>
      </w:r>
      <w:r w:rsidR="00D71F39">
        <w:t xml:space="preserve">n. </w:t>
      </w:r>
      <w:r w:rsidR="00663478" w:rsidRPr="00663478">
        <w:t>Professional staff, educated and trained to support victims, will immediately reach out and assess what kind of support is need</w:t>
      </w:r>
      <w:r w:rsidR="00663478">
        <w:t>ed given the specific situation.</w:t>
      </w:r>
    </w:p>
    <w:p w14:paraId="4460DD37" w14:textId="54D30C7E"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3F932C25" w14:textId="7425B463" w:rsidR="003B33D1" w:rsidRDefault="00C67101" w:rsidP="005F1B26">
      <w:pPr>
        <w:pStyle w:val="ListParagraph"/>
        <w:numPr>
          <w:ilvl w:val="0"/>
          <w:numId w:val="11"/>
        </w:numPr>
        <w:jc w:val="both"/>
      </w:pPr>
      <w:r w:rsidRPr="00C67101">
        <w:t>The Protocol on the Treatment, Prevention and Protection against Violence against Women and Domestic Violence has been in force in Montenegro since 2018.</w:t>
      </w:r>
      <w:r>
        <w:t xml:space="preserve"> </w:t>
      </w:r>
      <w:r w:rsidRPr="00C67101">
        <w:t xml:space="preserve">During April and May 2020, at the initiative of UNDP Montenegro, all representatives of the institutions met to consider whether some of the necessary provisions should be amended in the context of the emerging crisis caused by </w:t>
      </w:r>
      <w:r>
        <w:t>C</w:t>
      </w:r>
      <w:r w:rsidRPr="00C67101">
        <w:t>OVID 19</w:t>
      </w:r>
      <w:r>
        <w:t xml:space="preserve">. </w:t>
      </w:r>
      <w:r w:rsidR="005F1B26" w:rsidRPr="005F1B26">
        <w:t>Although the Law on Protection from Domestic Violen</w:t>
      </w:r>
      <w:r w:rsidR="005F1B26">
        <w:t xml:space="preserve">ce has achieved certain effects, </w:t>
      </w:r>
      <w:r w:rsidR="005F1B26" w:rsidRPr="005F1B26">
        <w:t>this negative social phenomenon is still worry</w:t>
      </w:r>
      <w:r w:rsidR="005F1B26">
        <w:t>ing in Montenegrin society, so</w:t>
      </w:r>
      <w:r w:rsidR="005F1B26" w:rsidRPr="005F1B26">
        <w:t xml:space="preserve"> Institution</w:t>
      </w:r>
      <w:r w:rsidR="005F1B26">
        <w:t xml:space="preserve"> Ombudsman</w:t>
      </w:r>
      <w:r w:rsidR="005F1B26" w:rsidRPr="005F1B26">
        <w:t xml:space="preserve"> pays special attention to it.</w:t>
      </w:r>
      <w:r w:rsidR="005F1B26">
        <w:t xml:space="preserve"> Ombudsman initiated amendments to this Law, so during 2019 </w:t>
      </w:r>
      <w:r w:rsidR="009413FB">
        <w:t xml:space="preserve">Ministry of justice </w:t>
      </w:r>
      <w:r w:rsidR="005F1B26">
        <w:t>formed a working group to amend the Law on pro</w:t>
      </w:r>
      <w:r w:rsidR="009413FB">
        <w:t xml:space="preserve">tection from domestic violence. </w:t>
      </w:r>
    </w:p>
    <w:p w14:paraId="17F5947C" w14:textId="77777777" w:rsidR="00922A23"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If not, please indicate why.</w:t>
      </w:r>
    </w:p>
    <w:p w14:paraId="53136A69" w14:textId="08AAEC41" w:rsidR="00D07300" w:rsidRDefault="00922A23" w:rsidP="00922A23">
      <w:pPr>
        <w:pStyle w:val="ListParagraph"/>
        <w:numPr>
          <w:ilvl w:val="0"/>
          <w:numId w:val="11"/>
        </w:numPr>
        <w:jc w:val="both"/>
      </w:pPr>
      <w:r>
        <w:t>The Government of Montenegro clearly recognises the expertise of NGOs generally and seeks to officially involve women’s NGOs that run specialist services in multi-agency co-operation (for example Multi-Disciplinary Teams). Policy documents such as the Protocol on Action, Prevention and Protection from Domestic Violence and the Law on Gender Equality envisage co-operation of state actors with NGOs working in this field.</w:t>
      </w:r>
    </w:p>
    <w:p w14:paraId="2AE61969" w14:textId="1663D1D9"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0E761EB8" w14:textId="07845439" w:rsidR="00922A23" w:rsidRDefault="00B574CF" w:rsidP="00B574CF">
      <w:pPr>
        <w:pStyle w:val="ListParagraph"/>
        <w:numPr>
          <w:ilvl w:val="0"/>
          <w:numId w:val="11"/>
        </w:numPr>
        <w:jc w:val="both"/>
      </w:pPr>
      <w:r w:rsidRPr="00B574CF">
        <w:t>All stakeholders in charge of combating violence against women and domestic violence are obliged to act in accordance with the principle of urgency.</w:t>
      </w:r>
      <w:r>
        <w:t xml:space="preserve"> Also, there are</w:t>
      </w:r>
      <w:r w:rsidR="00922A23">
        <w:t xml:space="preserve"> three domestic violence shelters exist (Podgorica, </w:t>
      </w:r>
      <w:proofErr w:type="spellStart"/>
      <w:r w:rsidR="00922A23">
        <w:t>Nikšić</w:t>
      </w:r>
      <w:proofErr w:type="spellEnd"/>
      <w:r w:rsidR="00922A23">
        <w:t xml:space="preserve"> and </w:t>
      </w:r>
      <w:proofErr w:type="spellStart"/>
      <w:r w:rsidR="00922A23">
        <w:t>Berane</w:t>
      </w:r>
      <w:proofErr w:type="spellEnd"/>
      <w:r w:rsidR="00922A23">
        <w:t xml:space="preserve">) with. They provide emergency and longer-term accommodation for women and children fleeing from domestic violence. </w:t>
      </w:r>
    </w:p>
    <w:p w14:paraId="58698DC3" w14:textId="77777777" w:rsidR="00F54EE6" w:rsidRDefault="00D25A4C" w:rsidP="00CB0784">
      <w:pPr>
        <w:pStyle w:val="ListParagraph"/>
        <w:numPr>
          <w:ilvl w:val="0"/>
          <w:numId w:val="6"/>
        </w:numPr>
        <w:jc w:val="both"/>
      </w:pPr>
      <w:r>
        <w:lastRenderedPageBreak/>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647049A7" w14:textId="5AE66D86"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5504A198" w14:textId="735F17FA" w:rsidR="001E2B13" w:rsidRDefault="001E2B13" w:rsidP="00BB0637">
      <w:pPr>
        <w:pStyle w:val="ListParagraph"/>
        <w:numPr>
          <w:ilvl w:val="0"/>
          <w:numId w:val="11"/>
        </w:numPr>
        <w:jc w:val="both"/>
      </w:pPr>
      <w:r w:rsidRPr="001E2B13">
        <w:t>The non-governmental sector pointed out that the very low awareness of the recognition of sexual violence among the general population.</w:t>
      </w:r>
      <w:r w:rsidR="00BB0637">
        <w:t xml:space="preserve"> They add that it is worrying that most people stereotypically believe that teenage girls and young women from sexual violence and harassment materially endangered categories, who "dress provocatively and go out to nightclubs"</w:t>
      </w:r>
    </w:p>
    <w:p w14:paraId="42C68760" w14:textId="77777777" w:rsidR="00D25A4C" w:rsidRDefault="00D25A4C" w:rsidP="00D25A4C">
      <w:pPr>
        <w:pStyle w:val="ListParagraph"/>
        <w:ind w:left="1540"/>
        <w:jc w:val="both"/>
      </w:pPr>
    </w:p>
    <w:p w14:paraId="55444371" w14:textId="36C6AE96"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36DC3086" w14:textId="77777777" w:rsidR="0005664F" w:rsidRDefault="0005664F" w:rsidP="0005664F">
      <w:pPr>
        <w:pStyle w:val="ListParagraph"/>
        <w:ind w:left="1080"/>
        <w:jc w:val="both"/>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5BCFA538" w14:textId="0E573D90" w:rsidR="00002C0C" w:rsidRPr="00002C0C" w:rsidRDefault="00002C0C" w:rsidP="00002C0C">
      <w:pPr>
        <w:pStyle w:val="ListParagraph"/>
        <w:numPr>
          <w:ilvl w:val="0"/>
          <w:numId w:val="11"/>
        </w:numPr>
      </w:pPr>
      <w:r w:rsidRPr="00002C0C">
        <w:t xml:space="preserve">During COVID 19 crisis the Red Cross of Montenegro is intensively distributing aid to socially endangered families and individuals throughout Montenegro. </w:t>
      </w:r>
      <w:proofErr w:type="gramStart"/>
      <w:r w:rsidRPr="00002C0C">
        <w:t>However</w:t>
      </w:r>
      <w:proofErr w:type="gramEnd"/>
      <w:r w:rsidRPr="00002C0C">
        <w:t xml:space="preserve"> it is not registered special assistance </w:t>
      </w:r>
      <w:r>
        <w:t>for SRHR</w:t>
      </w:r>
    </w:p>
    <w:p w14:paraId="4C60BE9E" w14:textId="77777777" w:rsidR="007C7CD7" w:rsidRDefault="007C7CD7" w:rsidP="00002C0C">
      <w:pPr>
        <w:pStyle w:val="ListParagraph"/>
        <w:ind w:left="1429"/>
        <w:jc w:val="both"/>
      </w:pPr>
    </w:p>
    <w:p w14:paraId="367D8811" w14:textId="36E85A66" w:rsidR="007C7CD7"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0AE0C756" w14:textId="26A442A2" w:rsidR="00A1480C" w:rsidRPr="00EA3408" w:rsidRDefault="00A1480C" w:rsidP="005A4962">
      <w:pPr>
        <w:pStyle w:val="ListParagraph"/>
        <w:numPr>
          <w:ilvl w:val="0"/>
          <w:numId w:val="11"/>
        </w:numPr>
        <w:jc w:val="both"/>
      </w:pPr>
      <w:r w:rsidRPr="00A1480C">
        <w:t>Montenegro has ratified the European Convention on the Compensation of Victims of Violence. However, in Montenegro there is no special fund for compensation to victims of crimes with elements of violence, nor a fund for compensation to victims of violence against women.</w:t>
      </w:r>
      <w:r w:rsidR="005A4962">
        <w:t xml:space="preserve"> </w:t>
      </w:r>
      <w:r w:rsidR="005A4962" w:rsidRPr="005A4962">
        <w:t>The Law on Compensation to Victims of Crimes of Violence was adopted, according to which the victim of a crime of intentional violence has the right to compensation on three grounds: compensation for lost earnings, compensation for treatment and hospital stay and compensation for funeral expenses.</w:t>
      </w:r>
    </w:p>
    <w:p w14:paraId="08D9D7C2" w14:textId="77777777" w:rsidR="00F54EE6" w:rsidRDefault="00F54EE6" w:rsidP="00CB0784">
      <w:pPr>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46FB6B46" w:rsidR="0034184A" w:rsidRDefault="00F54EE6" w:rsidP="00CB0784">
      <w:pPr>
        <w:pStyle w:val="ListParagraph"/>
        <w:numPr>
          <w:ilvl w:val="0"/>
          <w:numId w:val="7"/>
        </w:numPr>
        <w:jc w:val="both"/>
      </w:pPr>
      <w:r>
        <w:t xml:space="preserve">To what crisis does it apply? What situations are excluded? </w:t>
      </w:r>
    </w:p>
    <w:p w14:paraId="364F39B7" w14:textId="6873ADC9" w:rsidR="00907CF4" w:rsidRDefault="00907CF4" w:rsidP="00907CF4">
      <w:pPr>
        <w:pStyle w:val="ListParagraph"/>
        <w:numPr>
          <w:ilvl w:val="0"/>
          <w:numId w:val="11"/>
        </w:numPr>
        <w:jc w:val="both"/>
      </w:pPr>
      <w:r w:rsidRPr="00907CF4">
        <w:t xml:space="preserve">During the COVID 19 crisis in Montenegro, no special strategy </w:t>
      </w:r>
      <w:r>
        <w:t>has not</w:t>
      </w:r>
      <w:r w:rsidRPr="00907CF4">
        <w:t xml:space="preserve"> adopted, but the national coordinating body for infectious diseases is an expert of various kinds who considers the adopted recommendations from all aspects.</w:t>
      </w:r>
    </w:p>
    <w:p w14:paraId="7C3679EE" w14:textId="4DDA490D"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4A314E31" w14:textId="1161407A" w:rsidR="00907CF4" w:rsidRDefault="00907CF4" w:rsidP="00907CF4">
      <w:pPr>
        <w:pStyle w:val="ListParagraph"/>
        <w:numPr>
          <w:ilvl w:val="0"/>
          <w:numId w:val="11"/>
        </w:numPr>
        <w:jc w:val="both"/>
      </w:pPr>
      <w:r>
        <w:t>%</w:t>
      </w:r>
    </w:p>
    <w:p w14:paraId="50F0988B" w14:textId="14A84B8B"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proofErr w:type="spellStart"/>
      <w:r w:rsidR="00EC187B">
        <w:t>preparadeness</w:t>
      </w:r>
      <w:proofErr w:type="spellEnd"/>
      <w:r w:rsidR="00EC187B">
        <w:t xml:space="preserve"> and recovery</w:t>
      </w:r>
      <w:r>
        <w:t>.</w:t>
      </w:r>
    </w:p>
    <w:p w14:paraId="1766DD72" w14:textId="2176E5FE" w:rsidR="00907CF4" w:rsidRDefault="00907CF4" w:rsidP="00907CF4">
      <w:pPr>
        <w:pStyle w:val="ListParagraph"/>
        <w:numPr>
          <w:ilvl w:val="0"/>
          <w:numId w:val="11"/>
        </w:numPr>
        <w:jc w:val="both"/>
      </w:pPr>
      <w:r>
        <w:t>%</w:t>
      </w:r>
    </w:p>
    <w:p w14:paraId="3918FAB7" w14:textId="0553FA1D" w:rsidR="0034184A" w:rsidRDefault="0034184A" w:rsidP="00CB0784">
      <w:pPr>
        <w:pStyle w:val="ListParagraph"/>
        <w:numPr>
          <w:ilvl w:val="0"/>
          <w:numId w:val="7"/>
        </w:numPr>
        <w:jc w:val="both"/>
      </w:pPr>
      <w:r>
        <w:lastRenderedPageBreak/>
        <w:t>How were the risks related to women and girls’ sexual and reproductive health and rights, in urban and rural areas, identified and assessed?</w:t>
      </w:r>
    </w:p>
    <w:p w14:paraId="01AEDCAB" w14:textId="03F93522" w:rsidR="00557B63" w:rsidRDefault="00557B63" w:rsidP="00557B63">
      <w:pPr>
        <w:pStyle w:val="ListParagraph"/>
        <w:numPr>
          <w:ilvl w:val="0"/>
          <w:numId w:val="11"/>
        </w:numPr>
      </w:pPr>
      <w:r>
        <w:t>T</w:t>
      </w:r>
      <w:r w:rsidRPr="00557B63">
        <w:t>he risk assessment in relation to women in urban and rural areas has not been clearly established.</w:t>
      </w:r>
    </w:p>
    <w:p w14:paraId="0E571FBE" w14:textId="15CEFCBD"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proofErr w:type="spellStart"/>
      <w:r>
        <w:t>i</w:t>
      </w:r>
      <w:proofErr w:type="spellEnd"/>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40C29B0D" w14:textId="131D04E4" w:rsidR="007A63E2" w:rsidRDefault="007A63E2" w:rsidP="007A63E2">
      <w:pPr>
        <w:pStyle w:val="ListParagraph"/>
        <w:numPr>
          <w:ilvl w:val="0"/>
          <w:numId w:val="11"/>
        </w:numPr>
        <w:jc w:val="both"/>
      </w:pPr>
      <w:r>
        <w:t>%</w:t>
      </w:r>
    </w:p>
    <w:p w14:paraId="3F6966A8" w14:textId="2C776A18" w:rsidR="00F54EE6" w:rsidRDefault="00F54EE6" w:rsidP="00EC187B">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7C2DEBB6" w14:textId="7F549FED" w:rsidR="007A63E2" w:rsidRDefault="007A63E2" w:rsidP="007A63E2">
      <w:pPr>
        <w:pStyle w:val="ListParagraph"/>
        <w:numPr>
          <w:ilvl w:val="0"/>
          <w:numId w:val="11"/>
        </w:numPr>
        <w:jc w:val="both"/>
      </w:pPr>
      <w:r>
        <w:t>%</w:t>
      </w:r>
    </w:p>
    <w:p w14:paraId="4994226F" w14:textId="77777777" w:rsidR="000B2982" w:rsidRDefault="000B2982" w:rsidP="000B2982">
      <w:pPr>
        <w:pStyle w:val="ListParagraph"/>
        <w:ind w:left="1080"/>
        <w:jc w:val="both"/>
      </w:pPr>
    </w:p>
    <w:p w14:paraId="52F9C946" w14:textId="7BB41A25"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475C06C9" w14:textId="13B93616" w:rsidR="00D019A8" w:rsidRDefault="00D019A8" w:rsidP="00D019A8">
      <w:pPr>
        <w:pStyle w:val="ListParagraph"/>
        <w:numPr>
          <w:ilvl w:val="0"/>
          <w:numId w:val="11"/>
        </w:numPr>
        <w:jc w:val="both"/>
      </w:pPr>
      <w:r>
        <w:t>I</w:t>
      </w:r>
      <w:r w:rsidRPr="00D019A8">
        <w:t>t is very difficult to answer this question every assumption would be speculation.</w:t>
      </w:r>
    </w:p>
    <w:p w14:paraId="53AB712C" w14:textId="14552C9C" w:rsidR="007F12F3" w:rsidRPr="00EC187B" w:rsidRDefault="007F12F3" w:rsidP="00D019A8"/>
    <w:p w14:paraId="5908BEC8" w14:textId="2B2F5532" w:rsidR="00ED593A" w:rsidRPr="00EC187B" w:rsidRDefault="007F12F3" w:rsidP="00ED593A">
      <w:pPr>
        <w:pStyle w:val="ListParagraph"/>
        <w:numPr>
          <w:ilvl w:val="0"/>
          <w:numId w:val="9"/>
        </w:numPr>
        <w:jc w:val="both"/>
      </w:pPr>
      <w:bookmarkStart w:id="4" w:name="_Hlk46138180"/>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bookmarkEnd w:id="4"/>
    <w:p w14:paraId="69B7578B" w14:textId="7549185C" w:rsidR="000B2982" w:rsidRDefault="003E6BEF" w:rsidP="00ED593A">
      <w:pPr>
        <w:pStyle w:val="ListParagraph"/>
        <w:numPr>
          <w:ilvl w:val="0"/>
          <w:numId w:val="11"/>
        </w:numPr>
        <w:jc w:val="both"/>
      </w:pPr>
      <w:r w:rsidRPr="003E6BEF">
        <w:t>During the coronavirus epidemic, the regular work of many state and public bodies, including the judiciary, has become quite difficult.</w:t>
      </w:r>
      <w:r>
        <w:t xml:space="preserve"> </w:t>
      </w:r>
      <w:r w:rsidRPr="003E6BEF">
        <w:t>As an efficient judiciary is one of the fundamental mechanisms for ensuring the rule of law, and thus respect for all guaranteed human rights and freedoms, it is extremely important to ensure its best functioning in the new circumstances.</w:t>
      </w:r>
      <w:r w:rsidR="00110AFF">
        <w:t xml:space="preserve"> </w:t>
      </w:r>
      <w:r w:rsidR="00110AFF" w:rsidRPr="00110AFF">
        <w:t>It is important to ensure the functioning of free legal aid during the epidem</w:t>
      </w:r>
      <w:r w:rsidR="00A95639">
        <w:t xml:space="preserve">ic, so it will be </w:t>
      </w:r>
      <w:proofErr w:type="spellStart"/>
      <w:r w:rsidR="00A95639">
        <w:t>usefull</w:t>
      </w:r>
      <w:proofErr w:type="spellEnd"/>
      <w:r w:rsidR="00A95639">
        <w:t xml:space="preserve"> to </w:t>
      </w:r>
      <w:r w:rsidR="00A95639" w:rsidRPr="00A95639">
        <w:t>internatio</w:t>
      </w:r>
      <w:r w:rsidR="00A95639">
        <w:t xml:space="preserve">nal human rights mechanisms </w:t>
      </w:r>
      <w:r w:rsidR="00A95639" w:rsidRPr="00A95639">
        <w:t>support</w:t>
      </w:r>
      <w:r w:rsidR="00A95639">
        <w:t xml:space="preserve"> Montenegro in </w:t>
      </w:r>
      <w:r w:rsidR="00A95639" w:rsidRPr="00A95639">
        <w:t>strengthening of the judiciary and thus the rule of law</w:t>
      </w:r>
      <w:r w:rsidR="00A95639">
        <w:t>.</w:t>
      </w: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26A0" w14:textId="77777777" w:rsidR="00542979" w:rsidRDefault="00542979">
      <w:pPr>
        <w:spacing w:after="0" w:line="240" w:lineRule="auto"/>
      </w:pPr>
      <w:r>
        <w:separator/>
      </w:r>
    </w:p>
  </w:endnote>
  <w:endnote w:type="continuationSeparator" w:id="0">
    <w:p w14:paraId="684FCAB2" w14:textId="77777777" w:rsidR="00542979" w:rsidRDefault="005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83174"/>
      <w:docPartObj>
        <w:docPartGallery w:val="Page Numbers (Bottom of Page)"/>
        <w:docPartUnique/>
      </w:docPartObj>
    </w:sdtPr>
    <w:sdtEndPr>
      <w:rPr>
        <w:noProof/>
      </w:rPr>
    </w:sdtEndPr>
    <w:sdtContent>
      <w:p w14:paraId="251CD578" w14:textId="527D272D" w:rsidR="009A36A5" w:rsidRDefault="009A36A5">
        <w:pPr>
          <w:pStyle w:val="Footer"/>
          <w:jc w:val="right"/>
        </w:pPr>
        <w:r>
          <w:fldChar w:fldCharType="begin"/>
        </w:r>
        <w:r>
          <w:instrText xml:space="preserve"> PAGE   \* MERGEFORMAT </w:instrText>
        </w:r>
        <w:r>
          <w:fldChar w:fldCharType="separate"/>
        </w:r>
        <w:r w:rsidR="00CE6E13">
          <w:rPr>
            <w:noProof/>
          </w:rPr>
          <w:t>7</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8162" w14:textId="77777777" w:rsidR="00542979" w:rsidRDefault="00542979">
      <w:pPr>
        <w:spacing w:after="0" w:line="240" w:lineRule="auto"/>
      </w:pPr>
      <w:r>
        <w:separator/>
      </w:r>
    </w:p>
  </w:footnote>
  <w:footnote w:type="continuationSeparator" w:id="0">
    <w:p w14:paraId="54BEF721" w14:textId="77777777" w:rsidR="00542979" w:rsidRDefault="00542979">
      <w:pPr>
        <w:spacing w:after="0" w:line="240" w:lineRule="auto"/>
      </w:pPr>
      <w:r>
        <w:continuationSeparator/>
      </w:r>
    </w:p>
  </w:footnote>
  <w:footnote w:id="1">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14810"/>
    <w:multiLevelType w:val="hybridMultilevel"/>
    <w:tmpl w:val="117E7F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1" w15:restartNumberingAfterBreak="0">
    <w:nsid w:val="797C696F"/>
    <w:multiLevelType w:val="hybridMultilevel"/>
    <w:tmpl w:val="256AE162"/>
    <w:lvl w:ilvl="0" w:tplc="0A8AAB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6"/>
  </w:num>
  <w:num w:numId="3">
    <w:abstractNumId w:val="2"/>
  </w:num>
  <w:num w:numId="4">
    <w:abstractNumId w:val="4"/>
  </w:num>
  <w:num w:numId="5">
    <w:abstractNumId w:val="5"/>
  </w:num>
  <w:num w:numId="6">
    <w:abstractNumId w:val="10"/>
  </w:num>
  <w:num w:numId="7">
    <w:abstractNumId w:val="0"/>
  </w:num>
  <w:num w:numId="8">
    <w:abstractNumId w:val="1"/>
  </w:num>
  <w:num w:numId="9">
    <w:abstractNumId w:val="8"/>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02C0C"/>
    <w:rsid w:val="00006145"/>
    <w:rsid w:val="00023E21"/>
    <w:rsid w:val="0002644E"/>
    <w:rsid w:val="000308E4"/>
    <w:rsid w:val="00031377"/>
    <w:rsid w:val="0003542E"/>
    <w:rsid w:val="00041634"/>
    <w:rsid w:val="000443FF"/>
    <w:rsid w:val="00046A4E"/>
    <w:rsid w:val="0004706D"/>
    <w:rsid w:val="0005664F"/>
    <w:rsid w:val="00081561"/>
    <w:rsid w:val="00081A02"/>
    <w:rsid w:val="000826A5"/>
    <w:rsid w:val="00084261"/>
    <w:rsid w:val="00094218"/>
    <w:rsid w:val="000A4396"/>
    <w:rsid w:val="000B2982"/>
    <w:rsid w:val="000C4974"/>
    <w:rsid w:val="000C70B6"/>
    <w:rsid w:val="000D4036"/>
    <w:rsid w:val="000E244C"/>
    <w:rsid w:val="000F5AC2"/>
    <w:rsid w:val="00101E47"/>
    <w:rsid w:val="0010334F"/>
    <w:rsid w:val="00107026"/>
    <w:rsid w:val="00110AFF"/>
    <w:rsid w:val="00122894"/>
    <w:rsid w:val="00125CE7"/>
    <w:rsid w:val="00137528"/>
    <w:rsid w:val="00145F76"/>
    <w:rsid w:val="00153D85"/>
    <w:rsid w:val="001629AD"/>
    <w:rsid w:val="00175814"/>
    <w:rsid w:val="00181931"/>
    <w:rsid w:val="00196F45"/>
    <w:rsid w:val="001C33DA"/>
    <w:rsid w:val="001D484F"/>
    <w:rsid w:val="001E2B13"/>
    <w:rsid w:val="001F4B98"/>
    <w:rsid w:val="00210E37"/>
    <w:rsid w:val="00245FC1"/>
    <w:rsid w:val="00251D04"/>
    <w:rsid w:val="002523DA"/>
    <w:rsid w:val="0028204B"/>
    <w:rsid w:val="002855F5"/>
    <w:rsid w:val="002A41B7"/>
    <w:rsid w:val="002B3E73"/>
    <w:rsid w:val="002C101E"/>
    <w:rsid w:val="002F0F88"/>
    <w:rsid w:val="003112E9"/>
    <w:rsid w:val="00340213"/>
    <w:rsid w:val="0034184A"/>
    <w:rsid w:val="00350D4D"/>
    <w:rsid w:val="00353D40"/>
    <w:rsid w:val="003B33D1"/>
    <w:rsid w:val="003B3FB5"/>
    <w:rsid w:val="003C40E8"/>
    <w:rsid w:val="003E6366"/>
    <w:rsid w:val="003E6BEF"/>
    <w:rsid w:val="003F12E7"/>
    <w:rsid w:val="003F409E"/>
    <w:rsid w:val="003F64E4"/>
    <w:rsid w:val="004013EC"/>
    <w:rsid w:val="00404E5B"/>
    <w:rsid w:val="0041677D"/>
    <w:rsid w:val="00416BDA"/>
    <w:rsid w:val="00421AFF"/>
    <w:rsid w:val="00423920"/>
    <w:rsid w:val="004334BE"/>
    <w:rsid w:val="0043638F"/>
    <w:rsid w:val="00441CEC"/>
    <w:rsid w:val="00455294"/>
    <w:rsid w:val="0046277A"/>
    <w:rsid w:val="004650EF"/>
    <w:rsid w:val="0047406D"/>
    <w:rsid w:val="00484E03"/>
    <w:rsid w:val="004921A9"/>
    <w:rsid w:val="004D5BA6"/>
    <w:rsid w:val="004E3BDD"/>
    <w:rsid w:val="0050264F"/>
    <w:rsid w:val="00503959"/>
    <w:rsid w:val="0053326A"/>
    <w:rsid w:val="00542979"/>
    <w:rsid w:val="00552A38"/>
    <w:rsid w:val="0055566D"/>
    <w:rsid w:val="00557B63"/>
    <w:rsid w:val="00564595"/>
    <w:rsid w:val="00576B1F"/>
    <w:rsid w:val="00582FAD"/>
    <w:rsid w:val="005940E8"/>
    <w:rsid w:val="005A44A9"/>
    <w:rsid w:val="005A4962"/>
    <w:rsid w:val="005B569A"/>
    <w:rsid w:val="005C1759"/>
    <w:rsid w:val="005F14EC"/>
    <w:rsid w:val="005F1B26"/>
    <w:rsid w:val="00616B37"/>
    <w:rsid w:val="00632712"/>
    <w:rsid w:val="00643635"/>
    <w:rsid w:val="006517FA"/>
    <w:rsid w:val="00663478"/>
    <w:rsid w:val="00667AA7"/>
    <w:rsid w:val="00667CA8"/>
    <w:rsid w:val="0067286E"/>
    <w:rsid w:val="00676581"/>
    <w:rsid w:val="00687CF1"/>
    <w:rsid w:val="006A083D"/>
    <w:rsid w:val="006B2BB9"/>
    <w:rsid w:val="00717B78"/>
    <w:rsid w:val="00724EB7"/>
    <w:rsid w:val="007329EF"/>
    <w:rsid w:val="00732CD8"/>
    <w:rsid w:val="007353C7"/>
    <w:rsid w:val="00735D47"/>
    <w:rsid w:val="00740190"/>
    <w:rsid w:val="007468CE"/>
    <w:rsid w:val="00760372"/>
    <w:rsid w:val="00766B8A"/>
    <w:rsid w:val="007708C1"/>
    <w:rsid w:val="007A4850"/>
    <w:rsid w:val="007A63E2"/>
    <w:rsid w:val="007B257A"/>
    <w:rsid w:val="007B299E"/>
    <w:rsid w:val="007B2CC7"/>
    <w:rsid w:val="007B5CE4"/>
    <w:rsid w:val="007B699E"/>
    <w:rsid w:val="007C4AF4"/>
    <w:rsid w:val="007C7CD7"/>
    <w:rsid w:val="007D03B6"/>
    <w:rsid w:val="007F12F3"/>
    <w:rsid w:val="00804CEC"/>
    <w:rsid w:val="00812D62"/>
    <w:rsid w:val="00824E56"/>
    <w:rsid w:val="008274A6"/>
    <w:rsid w:val="00836A1D"/>
    <w:rsid w:val="0084776C"/>
    <w:rsid w:val="0087156B"/>
    <w:rsid w:val="00872078"/>
    <w:rsid w:val="00882FAB"/>
    <w:rsid w:val="00891716"/>
    <w:rsid w:val="008C68A3"/>
    <w:rsid w:val="008E0B3B"/>
    <w:rsid w:val="008E6C7C"/>
    <w:rsid w:val="008F2AEC"/>
    <w:rsid w:val="008F553C"/>
    <w:rsid w:val="00907CF4"/>
    <w:rsid w:val="00910A19"/>
    <w:rsid w:val="00911D11"/>
    <w:rsid w:val="0091248A"/>
    <w:rsid w:val="00922A23"/>
    <w:rsid w:val="00925106"/>
    <w:rsid w:val="00936CDB"/>
    <w:rsid w:val="009413FB"/>
    <w:rsid w:val="00945886"/>
    <w:rsid w:val="00960985"/>
    <w:rsid w:val="00971376"/>
    <w:rsid w:val="00985FD7"/>
    <w:rsid w:val="00995296"/>
    <w:rsid w:val="009A1C62"/>
    <w:rsid w:val="009A36A5"/>
    <w:rsid w:val="009B7042"/>
    <w:rsid w:val="009C0C14"/>
    <w:rsid w:val="009D5791"/>
    <w:rsid w:val="009E0664"/>
    <w:rsid w:val="00A1480C"/>
    <w:rsid w:val="00A16432"/>
    <w:rsid w:val="00A3129E"/>
    <w:rsid w:val="00A31315"/>
    <w:rsid w:val="00A318CC"/>
    <w:rsid w:val="00A44923"/>
    <w:rsid w:val="00A44B5B"/>
    <w:rsid w:val="00A8562E"/>
    <w:rsid w:val="00A95639"/>
    <w:rsid w:val="00AB4172"/>
    <w:rsid w:val="00AB746C"/>
    <w:rsid w:val="00AB7675"/>
    <w:rsid w:val="00AC1EE9"/>
    <w:rsid w:val="00AC2280"/>
    <w:rsid w:val="00AC4A99"/>
    <w:rsid w:val="00AF68BA"/>
    <w:rsid w:val="00AF7A8D"/>
    <w:rsid w:val="00B205CE"/>
    <w:rsid w:val="00B20A8E"/>
    <w:rsid w:val="00B41868"/>
    <w:rsid w:val="00B4497B"/>
    <w:rsid w:val="00B46AB8"/>
    <w:rsid w:val="00B46C03"/>
    <w:rsid w:val="00B5253A"/>
    <w:rsid w:val="00B574CF"/>
    <w:rsid w:val="00B63554"/>
    <w:rsid w:val="00B66D31"/>
    <w:rsid w:val="00B72D6F"/>
    <w:rsid w:val="00B743A7"/>
    <w:rsid w:val="00B76516"/>
    <w:rsid w:val="00B838AA"/>
    <w:rsid w:val="00B908EC"/>
    <w:rsid w:val="00B95225"/>
    <w:rsid w:val="00B95896"/>
    <w:rsid w:val="00BA299E"/>
    <w:rsid w:val="00BB0637"/>
    <w:rsid w:val="00BC5A20"/>
    <w:rsid w:val="00BD179B"/>
    <w:rsid w:val="00BD2154"/>
    <w:rsid w:val="00C05FFB"/>
    <w:rsid w:val="00C1267A"/>
    <w:rsid w:val="00C2397D"/>
    <w:rsid w:val="00C27B89"/>
    <w:rsid w:val="00C60BCC"/>
    <w:rsid w:val="00C61598"/>
    <w:rsid w:val="00C67101"/>
    <w:rsid w:val="00C709C6"/>
    <w:rsid w:val="00C75626"/>
    <w:rsid w:val="00C85677"/>
    <w:rsid w:val="00C92E09"/>
    <w:rsid w:val="00C96C6D"/>
    <w:rsid w:val="00CA1169"/>
    <w:rsid w:val="00CA4FAE"/>
    <w:rsid w:val="00CA68D2"/>
    <w:rsid w:val="00CB0784"/>
    <w:rsid w:val="00CB2253"/>
    <w:rsid w:val="00CD0EC9"/>
    <w:rsid w:val="00CE260C"/>
    <w:rsid w:val="00CE6E13"/>
    <w:rsid w:val="00CF5041"/>
    <w:rsid w:val="00CF5C6D"/>
    <w:rsid w:val="00D019A8"/>
    <w:rsid w:val="00D03C0E"/>
    <w:rsid w:val="00D07300"/>
    <w:rsid w:val="00D1414D"/>
    <w:rsid w:val="00D240DB"/>
    <w:rsid w:val="00D25A4C"/>
    <w:rsid w:val="00D51B3F"/>
    <w:rsid w:val="00D71F39"/>
    <w:rsid w:val="00D72EA5"/>
    <w:rsid w:val="00D75091"/>
    <w:rsid w:val="00D944F1"/>
    <w:rsid w:val="00DA05FD"/>
    <w:rsid w:val="00DA43E2"/>
    <w:rsid w:val="00DC1186"/>
    <w:rsid w:val="00DD4D6C"/>
    <w:rsid w:val="00E531F8"/>
    <w:rsid w:val="00E53EFD"/>
    <w:rsid w:val="00E548B9"/>
    <w:rsid w:val="00E609D6"/>
    <w:rsid w:val="00E65F54"/>
    <w:rsid w:val="00E824B6"/>
    <w:rsid w:val="00E84C01"/>
    <w:rsid w:val="00E970DA"/>
    <w:rsid w:val="00EA2ACF"/>
    <w:rsid w:val="00EA3408"/>
    <w:rsid w:val="00EC187B"/>
    <w:rsid w:val="00EC3471"/>
    <w:rsid w:val="00ED593A"/>
    <w:rsid w:val="00EE775C"/>
    <w:rsid w:val="00EF0CAF"/>
    <w:rsid w:val="00F1328E"/>
    <w:rsid w:val="00F3259B"/>
    <w:rsid w:val="00F3585F"/>
    <w:rsid w:val="00F47C29"/>
    <w:rsid w:val="00F54EE6"/>
    <w:rsid w:val="00F61A39"/>
    <w:rsid w:val="00F762E4"/>
    <w:rsid w:val="00F76550"/>
    <w:rsid w:val="00F774C3"/>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BB87770E-97E4-4F42-AACE-517F386F21EC}"/>
</file>

<file path=customXml/itemProps3.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4"/>
    <ds:schemaRef ds:uri="565721b6-94e1-453f-b282-d0853890bbb4"/>
  </ds:schemaRefs>
</ds:datastoreItem>
</file>

<file path=customXml/itemProps4.xml><?xml version="1.0" encoding="utf-8"?>
<ds:datastoreItem xmlns:ds="http://schemas.openxmlformats.org/officeDocument/2006/customXml" ds:itemID="{7EB9D9CA-6FFF-4A23-974E-3A7FE0C1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5613</TotalTime>
  <Pages>7</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Ombudsman 21</cp:lastModifiedBy>
  <cp:revision>25</cp:revision>
  <dcterms:created xsi:type="dcterms:W3CDTF">2020-07-27T11:41:00Z</dcterms:created>
  <dcterms:modified xsi:type="dcterms:W3CDTF">2020-08-31T10:23:00Z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