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374FF" w14:textId="286C0F2A" w:rsidR="00224F5F" w:rsidRDefault="00224F5F" w:rsidP="001D484F">
      <w:pPr>
        <w:jc w:val="center"/>
        <w:rPr>
          <w:rFonts w:ascii="Sylfaen" w:hAnsi="Sylfaen"/>
          <w:b/>
          <w:bCs/>
        </w:rPr>
      </w:pPr>
      <w:r w:rsidRPr="00DE2A0E">
        <w:rPr>
          <w:rFonts w:ascii="Times New Roman" w:hAnsi="Times New Roman" w:cs="Times New Roman"/>
          <w:b/>
          <w:bCs/>
          <w:noProof/>
          <w:lang w:val="en-US" w:eastAsia="en-US"/>
        </w:rPr>
        <w:drawing>
          <wp:inline distT="0" distB="0" distL="0" distR="0" wp14:anchorId="548E7E65" wp14:editId="7993D51C">
            <wp:extent cx="1572442" cy="10191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გდი ლოგო.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4026" cy="1020202"/>
                    </a:xfrm>
                    <a:prstGeom prst="rect">
                      <a:avLst/>
                    </a:prstGeom>
                  </pic:spPr>
                </pic:pic>
              </a:graphicData>
            </a:graphic>
          </wp:inline>
        </w:drawing>
      </w:r>
    </w:p>
    <w:p w14:paraId="165D1315" w14:textId="77777777" w:rsidR="00C6235B" w:rsidRDefault="00C6235B" w:rsidP="001D484F">
      <w:pPr>
        <w:jc w:val="center"/>
        <w:rPr>
          <w:rFonts w:ascii="Sylfaen" w:hAnsi="Sylfaen"/>
          <w:b/>
          <w:bCs/>
        </w:rPr>
      </w:pPr>
    </w:p>
    <w:p w14:paraId="7871EF35" w14:textId="5360909B" w:rsidR="00157297" w:rsidRPr="00157297" w:rsidRDefault="0047406D" w:rsidP="00157297">
      <w:pPr>
        <w:jc w:val="center"/>
        <w:rPr>
          <w:rFonts w:ascii="Sylfaen" w:hAnsi="Sylfaen"/>
          <w:b/>
          <w:bCs/>
          <w:i/>
          <w:iCs/>
        </w:rPr>
      </w:pPr>
      <w:r w:rsidRPr="000E36C4">
        <w:rPr>
          <w:rFonts w:ascii="Sylfaen" w:hAnsi="Sylfaen"/>
          <w:b/>
          <w:bCs/>
          <w:i/>
          <w:iCs/>
        </w:rPr>
        <w:t>W</w:t>
      </w:r>
      <w:r w:rsidR="001D484F" w:rsidRPr="000E36C4">
        <w:rPr>
          <w:rFonts w:ascii="Sylfaen" w:hAnsi="Sylfaen"/>
          <w:b/>
          <w:bCs/>
          <w:i/>
          <w:iCs/>
        </w:rPr>
        <w:t>omen</w:t>
      </w:r>
      <w:r w:rsidR="00FA41F4" w:rsidRPr="000E36C4">
        <w:rPr>
          <w:rFonts w:ascii="Sylfaen" w:hAnsi="Sylfaen"/>
          <w:b/>
          <w:bCs/>
          <w:i/>
          <w:iCs/>
        </w:rPr>
        <w:t>’s</w:t>
      </w:r>
      <w:r w:rsidRPr="000E36C4">
        <w:rPr>
          <w:rFonts w:ascii="Sylfaen" w:hAnsi="Sylfaen"/>
          <w:b/>
          <w:bCs/>
          <w:i/>
          <w:iCs/>
        </w:rPr>
        <w:t xml:space="preserve"> and girls’</w:t>
      </w:r>
      <w:r w:rsidR="001D484F" w:rsidRPr="000E36C4">
        <w:rPr>
          <w:rFonts w:ascii="Sylfaen" w:hAnsi="Sylfaen"/>
          <w:b/>
          <w:bCs/>
          <w:i/>
          <w:iCs/>
        </w:rPr>
        <w:t xml:space="preserve"> sexual and reproductive health and rights in </w:t>
      </w:r>
      <w:r w:rsidR="007353C7" w:rsidRPr="000E36C4">
        <w:rPr>
          <w:rFonts w:ascii="Sylfaen" w:hAnsi="Sylfaen"/>
          <w:b/>
          <w:bCs/>
          <w:i/>
          <w:iCs/>
        </w:rPr>
        <w:t>situations</w:t>
      </w:r>
      <w:r w:rsidR="001D484F" w:rsidRPr="000E36C4">
        <w:rPr>
          <w:rFonts w:ascii="Sylfaen" w:hAnsi="Sylfaen"/>
          <w:b/>
          <w:bCs/>
          <w:i/>
          <w:iCs/>
        </w:rPr>
        <w:t xml:space="preserve"> of crisis</w:t>
      </w:r>
    </w:p>
    <w:p w14:paraId="0BB41382" w14:textId="77777777" w:rsidR="00C6235B" w:rsidRPr="00DF3C70" w:rsidRDefault="00C6235B" w:rsidP="00157297">
      <w:pPr>
        <w:jc w:val="both"/>
        <w:rPr>
          <w:rFonts w:ascii="Sylfaen" w:hAnsi="Sylfaen"/>
          <w:bCs/>
        </w:rPr>
      </w:pPr>
    </w:p>
    <w:p w14:paraId="0A5408D5" w14:textId="5AFA677A" w:rsidR="00157297" w:rsidRPr="00157297" w:rsidRDefault="00157297" w:rsidP="00157297">
      <w:pPr>
        <w:jc w:val="both"/>
        <w:rPr>
          <w:rFonts w:ascii="Sylfaen" w:hAnsi="Sylfaen"/>
          <w:bCs/>
          <w:lang w:val="en-AU"/>
        </w:rPr>
      </w:pPr>
      <w:r>
        <w:rPr>
          <w:rFonts w:ascii="Sylfaen" w:hAnsi="Sylfaen"/>
          <w:bCs/>
          <w:lang w:val="en-AU"/>
        </w:rPr>
        <w:t>In this document the Georgian Democracy Initiative</w:t>
      </w:r>
      <w:r w:rsidRPr="000E36C4">
        <w:rPr>
          <w:rFonts w:ascii="Sylfaen" w:hAnsi="Sylfaen"/>
          <w:bCs/>
          <w:lang w:val="en-AU"/>
        </w:rPr>
        <w:t xml:space="preserve"> has provided answers to the questions given in the questionnaire. The document does not address every matter in which the Working Group is interested but only provides information t</w:t>
      </w:r>
      <w:r>
        <w:rPr>
          <w:rFonts w:ascii="Sylfaen" w:hAnsi="Sylfaen"/>
          <w:bCs/>
          <w:lang w:val="en-AU"/>
        </w:rPr>
        <w:t>hat the organization has</w:t>
      </w:r>
      <w:r w:rsidRPr="000E36C4">
        <w:rPr>
          <w:rFonts w:ascii="Sylfaen" w:hAnsi="Sylfaen"/>
          <w:bCs/>
          <w:lang w:val="en-AU"/>
        </w:rPr>
        <w:t xml:space="preserve"> at this moment. We hope that this document will assist you in assessing and analysing the present situation in Georgia.</w:t>
      </w:r>
    </w:p>
    <w:p w14:paraId="381C01F5" w14:textId="77777777" w:rsidR="00157297" w:rsidRPr="00DE2A0E" w:rsidRDefault="00157297" w:rsidP="00157297">
      <w:pPr>
        <w:spacing w:line="276" w:lineRule="auto"/>
        <w:jc w:val="both"/>
        <w:rPr>
          <w:rFonts w:ascii="Times New Roman" w:hAnsi="Times New Roman" w:cs="Times New Roman"/>
          <w:b/>
          <w:i/>
        </w:rPr>
      </w:pPr>
      <w:r w:rsidRPr="00DE2A0E">
        <w:rPr>
          <w:rFonts w:ascii="Times New Roman" w:hAnsi="Times New Roman" w:cs="Times New Roman"/>
          <w:b/>
          <w:i/>
        </w:rPr>
        <w:t>About the organization</w:t>
      </w:r>
    </w:p>
    <w:p w14:paraId="2583E634" w14:textId="77777777" w:rsidR="00157297" w:rsidRPr="00DE2A0E" w:rsidRDefault="00157297" w:rsidP="00157297">
      <w:pPr>
        <w:spacing w:line="276" w:lineRule="auto"/>
        <w:jc w:val="both"/>
        <w:rPr>
          <w:rFonts w:ascii="Times New Roman" w:hAnsi="Times New Roman" w:cs="Times New Roman"/>
          <w:i/>
          <w:lang w:val="ka-GE"/>
        </w:rPr>
      </w:pPr>
      <w:hyperlink r:id="rId13" w:history="1">
        <w:r w:rsidRPr="00DE2A0E">
          <w:rPr>
            <w:rStyle w:val="Hyperlink"/>
            <w:rFonts w:ascii="Times New Roman" w:hAnsi="Times New Roman" w:cs="Times New Roman"/>
            <w:i/>
          </w:rPr>
          <w:t>Georgian Democracy Initiative</w:t>
        </w:r>
      </w:hyperlink>
      <w:r w:rsidRPr="00DE2A0E">
        <w:rPr>
          <w:rFonts w:ascii="Times New Roman" w:hAnsi="Times New Roman" w:cs="Times New Roman"/>
          <w:i/>
        </w:rPr>
        <w:t xml:space="preserve"> (hereinafter – GDI) is an independent, non-governmental, non-profit-making organization dedicated to research, analysis, and education to advance the country’s democratic development and Euro-Atlantic integration. The organization was founded in 2012 with the mission of defending human rights, developing an inclusive society, promoting tolerance, strengthening democratic reforms, advancing the rule of law and enhancing transparency and accountability of public institutions throughout Georgia.  </w:t>
      </w:r>
    </w:p>
    <w:p w14:paraId="50231655" w14:textId="77777777" w:rsidR="00157297" w:rsidRPr="00DE2A0E" w:rsidRDefault="00157297" w:rsidP="00157297">
      <w:pPr>
        <w:spacing w:line="276" w:lineRule="auto"/>
        <w:jc w:val="both"/>
        <w:rPr>
          <w:rFonts w:ascii="Times New Roman" w:hAnsi="Times New Roman" w:cs="Times New Roman"/>
          <w:i/>
        </w:rPr>
      </w:pPr>
      <w:r w:rsidRPr="00DE2A0E">
        <w:rPr>
          <w:rFonts w:ascii="Times New Roman" w:hAnsi="Times New Roman" w:cs="Times New Roman"/>
          <w:i/>
        </w:rPr>
        <w:t>GDI is committed to democratic development and actively pursues these ideals through monitoring, open debate, fact-based research and analysis of policy options to address the challenges facing Georgia</w:t>
      </w:r>
      <w:r w:rsidRPr="00DE2A0E">
        <w:rPr>
          <w:rFonts w:ascii="Times New Roman" w:hAnsi="Times New Roman" w:cs="Times New Roman"/>
          <w:i/>
          <w:lang w:val="ka-GE"/>
        </w:rPr>
        <w:t xml:space="preserve">. </w:t>
      </w:r>
      <w:r w:rsidRPr="00DE2A0E">
        <w:rPr>
          <w:rFonts w:ascii="Times New Roman" w:hAnsi="Times New Roman" w:cs="Times New Roman"/>
          <w:i/>
        </w:rPr>
        <w:t>Its activities also include free legal aid in various areas and advancing the improvement of existing legislation through strategic litigation. The organization brings together high-level professionals with an extensive record of research, advocacy and monitoring work in the key areas of GDI operation.</w:t>
      </w:r>
      <w:r w:rsidRPr="00DE2A0E">
        <w:rPr>
          <w:rFonts w:ascii="Times New Roman" w:hAnsi="Times New Roman" w:cs="Times New Roman"/>
          <w:i/>
          <w:lang w:val="ka-GE"/>
        </w:rPr>
        <w:t xml:space="preserve"> </w:t>
      </w:r>
      <w:r w:rsidRPr="00DE2A0E">
        <w:rPr>
          <w:rFonts w:ascii="Times New Roman" w:hAnsi="Times New Roman" w:cs="Times New Roman"/>
          <w:i/>
        </w:rPr>
        <w:t xml:space="preserve">GDI’s expertise, experience, impartiality and credibility </w:t>
      </w:r>
      <w:proofErr w:type="gramStart"/>
      <w:r w:rsidRPr="00DE2A0E">
        <w:rPr>
          <w:rFonts w:ascii="Times New Roman" w:hAnsi="Times New Roman" w:cs="Times New Roman"/>
          <w:i/>
        </w:rPr>
        <w:t>positions</w:t>
      </w:r>
      <w:proofErr w:type="gramEnd"/>
      <w:r w:rsidRPr="00DE2A0E">
        <w:rPr>
          <w:rFonts w:ascii="Times New Roman" w:hAnsi="Times New Roman" w:cs="Times New Roman"/>
          <w:i/>
        </w:rPr>
        <w:t xml:space="preserve"> the organization to be on the frontlines of Georgia’s most critical policy debates on human rights and democratic development.  </w:t>
      </w:r>
    </w:p>
    <w:p w14:paraId="6D1C929E" w14:textId="77777777" w:rsidR="00157297" w:rsidRPr="00DE2A0E" w:rsidRDefault="00157297" w:rsidP="00157297">
      <w:pPr>
        <w:spacing w:line="276" w:lineRule="auto"/>
        <w:jc w:val="both"/>
        <w:rPr>
          <w:rFonts w:ascii="Times New Roman" w:hAnsi="Times New Roman" w:cs="Times New Roman"/>
          <w:i/>
        </w:rPr>
      </w:pPr>
      <w:r w:rsidRPr="00DE2A0E">
        <w:rPr>
          <w:rFonts w:ascii="Times New Roman" w:hAnsi="Times New Roman" w:cs="Times New Roman"/>
          <w:b/>
          <w:i/>
        </w:rPr>
        <w:t>Address:</w:t>
      </w:r>
      <w:r w:rsidRPr="00DE2A0E">
        <w:rPr>
          <w:rFonts w:ascii="Times New Roman" w:hAnsi="Times New Roman" w:cs="Times New Roman"/>
          <w:i/>
        </w:rPr>
        <w:t xml:space="preserve"> </w:t>
      </w:r>
      <w:proofErr w:type="spellStart"/>
      <w:r w:rsidRPr="00DE2A0E">
        <w:rPr>
          <w:rFonts w:ascii="Times New Roman" w:hAnsi="Times New Roman" w:cs="Times New Roman"/>
          <w:i/>
        </w:rPr>
        <w:t>Chavchavadze</w:t>
      </w:r>
      <w:proofErr w:type="spellEnd"/>
      <w:r w:rsidRPr="00DE2A0E">
        <w:rPr>
          <w:rFonts w:ascii="Times New Roman" w:hAnsi="Times New Roman" w:cs="Times New Roman"/>
          <w:i/>
        </w:rPr>
        <w:t xml:space="preserve"> Avenue, 2nd Blind Alley, N4-8, 2nd floor, Apt 6, Tbilisi Georgia</w:t>
      </w:r>
    </w:p>
    <w:p w14:paraId="7C31AC22" w14:textId="77777777" w:rsidR="00157297" w:rsidRPr="00157297" w:rsidRDefault="00157297" w:rsidP="00157297">
      <w:pPr>
        <w:spacing w:line="276" w:lineRule="auto"/>
        <w:jc w:val="both"/>
        <w:rPr>
          <w:rFonts w:ascii="Times New Roman" w:hAnsi="Times New Roman" w:cs="Times New Roman"/>
          <w:i/>
          <w:lang w:val="de-DE"/>
        </w:rPr>
      </w:pPr>
      <w:r w:rsidRPr="00157297">
        <w:rPr>
          <w:rFonts w:ascii="Times New Roman" w:hAnsi="Times New Roman" w:cs="Times New Roman"/>
          <w:b/>
          <w:i/>
          <w:lang w:val="de-DE"/>
        </w:rPr>
        <w:t>Tel:</w:t>
      </w:r>
      <w:r w:rsidRPr="00157297">
        <w:rPr>
          <w:rFonts w:ascii="Times New Roman" w:hAnsi="Times New Roman" w:cs="Times New Roman"/>
          <w:i/>
          <w:lang w:val="de-DE"/>
        </w:rPr>
        <w:t xml:space="preserve"> (+995 32) 272 8008;</w:t>
      </w:r>
    </w:p>
    <w:p w14:paraId="18A5948E" w14:textId="77777777" w:rsidR="00157297" w:rsidRPr="00DE2A0E" w:rsidRDefault="00157297" w:rsidP="00157297">
      <w:pPr>
        <w:spacing w:line="276" w:lineRule="auto"/>
        <w:jc w:val="both"/>
        <w:rPr>
          <w:rFonts w:ascii="Times New Roman" w:hAnsi="Times New Roman" w:cs="Times New Roman"/>
          <w:i/>
          <w:lang w:val="de-DE"/>
        </w:rPr>
      </w:pPr>
      <w:r w:rsidRPr="00DE2A0E">
        <w:rPr>
          <w:rFonts w:ascii="Times New Roman" w:hAnsi="Times New Roman" w:cs="Times New Roman"/>
          <w:b/>
          <w:i/>
          <w:lang w:val="de-DE"/>
        </w:rPr>
        <w:t>E-mail</w:t>
      </w:r>
      <w:r w:rsidRPr="00DE2A0E">
        <w:rPr>
          <w:rFonts w:ascii="Times New Roman" w:hAnsi="Times New Roman" w:cs="Times New Roman"/>
          <w:i/>
          <w:lang w:val="de-DE"/>
        </w:rPr>
        <w:t>: info@gdi.ge</w:t>
      </w:r>
    </w:p>
    <w:p w14:paraId="55C1F655" w14:textId="77777777" w:rsidR="00C84B92" w:rsidRPr="00157297" w:rsidRDefault="00C84B92" w:rsidP="0074248F">
      <w:pPr>
        <w:jc w:val="both"/>
        <w:rPr>
          <w:rFonts w:ascii="Sylfaen" w:hAnsi="Sylfaen"/>
          <w:lang w:val="de-DE"/>
        </w:rPr>
      </w:pPr>
    </w:p>
    <w:p w14:paraId="0D13F313" w14:textId="77777777" w:rsidR="00C84B92" w:rsidRPr="00157297" w:rsidRDefault="00C84B92" w:rsidP="0074248F">
      <w:pPr>
        <w:jc w:val="both"/>
        <w:rPr>
          <w:rFonts w:ascii="Sylfaen" w:hAnsi="Sylfaen"/>
          <w:lang w:val="de-DE"/>
        </w:rPr>
      </w:pPr>
    </w:p>
    <w:p w14:paraId="5160CB5C" w14:textId="77777777" w:rsidR="00C84B92" w:rsidRPr="00157297" w:rsidRDefault="00C84B92" w:rsidP="0074248F">
      <w:pPr>
        <w:jc w:val="both"/>
        <w:rPr>
          <w:rFonts w:ascii="Sylfaen" w:hAnsi="Sylfaen"/>
          <w:lang w:val="de-DE"/>
        </w:rPr>
      </w:pPr>
    </w:p>
    <w:p w14:paraId="7FACF182" w14:textId="77777777" w:rsidR="00C61598" w:rsidRPr="00157297" w:rsidRDefault="00C61598" w:rsidP="00AB746C">
      <w:pPr>
        <w:rPr>
          <w:rFonts w:ascii="Sylfaen" w:hAnsi="Sylfaen"/>
          <w:lang w:val="de-DE"/>
        </w:rPr>
      </w:pPr>
    </w:p>
    <w:p w14:paraId="41D96EBA" w14:textId="77777777" w:rsidR="00157297" w:rsidRDefault="00157297" w:rsidP="00157297">
      <w:pPr>
        <w:jc w:val="center"/>
        <w:rPr>
          <w:rFonts w:ascii="Sylfaen" w:hAnsi="Sylfaen"/>
          <w:b/>
          <w:bCs/>
          <w:u w:val="single"/>
          <w:lang w:val="en-AU"/>
        </w:rPr>
      </w:pPr>
    </w:p>
    <w:p w14:paraId="4D79BF25" w14:textId="77777777" w:rsidR="00157297" w:rsidRDefault="00157297" w:rsidP="00157297">
      <w:pPr>
        <w:jc w:val="center"/>
        <w:rPr>
          <w:rFonts w:ascii="Sylfaen" w:hAnsi="Sylfaen"/>
          <w:b/>
          <w:bCs/>
          <w:u w:val="single"/>
          <w:lang w:val="en-AU"/>
        </w:rPr>
      </w:pPr>
    </w:p>
    <w:p w14:paraId="53BD465A" w14:textId="77777777" w:rsidR="00DF3C70" w:rsidRDefault="00DF3C70" w:rsidP="00157297">
      <w:pPr>
        <w:jc w:val="center"/>
        <w:rPr>
          <w:rFonts w:ascii="Sylfaen" w:hAnsi="Sylfaen"/>
          <w:b/>
          <w:bCs/>
          <w:u w:val="single"/>
          <w:lang w:val="en-AU"/>
        </w:rPr>
      </w:pPr>
    </w:p>
    <w:p w14:paraId="4AAEF70B" w14:textId="0A77E63E" w:rsidR="00B10761" w:rsidRPr="000E36C4" w:rsidRDefault="00353D40" w:rsidP="00157297">
      <w:pPr>
        <w:jc w:val="center"/>
        <w:rPr>
          <w:rFonts w:ascii="Sylfaen" w:hAnsi="Sylfaen"/>
          <w:b/>
          <w:bCs/>
          <w:u w:val="single"/>
          <w:lang w:val="en-AU"/>
        </w:rPr>
      </w:pPr>
      <w:bookmarkStart w:id="0" w:name="_GoBack"/>
      <w:bookmarkEnd w:id="0"/>
      <w:r w:rsidRPr="000E36C4">
        <w:rPr>
          <w:rFonts w:ascii="Sylfaen" w:hAnsi="Sylfaen"/>
          <w:b/>
          <w:bCs/>
          <w:u w:val="single"/>
          <w:lang w:val="en-AU"/>
        </w:rPr>
        <w:t>Questionnaire</w:t>
      </w:r>
    </w:p>
    <w:p w14:paraId="2C6F64E9" w14:textId="77777777" w:rsidR="0047406D" w:rsidRPr="000E36C4" w:rsidRDefault="00F54EE6" w:rsidP="0047406D">
      <w:pPr>
        <w:jc w:val="both"/>
        <w:rPr>
          <w:rFonts w:ascii="Sylfaen" w:hAnsi="Sylfaen"/>
          <w:u w:val="single"/>
        </w:rPr>
      </w:pPr>
      <w:r w:rsidRPr="000E36C4">
        <w:rPr>
          <w:rFonts w:ascii="Sylfaen" w:hAnsi="Sylfaen"/>
          <w:u w:val="single"/>
        </w:rPr>
        <w:t>Concept/definition of crisis</w:t>
      </w:r>
    </w:p>
    <w:p w14:paraId="52A6C5A8" w14:textId="19E2B429" w:rsidR="00157297" w:rsidRPr="00157297" w:rsidRDefault="00F61A39" w:rsidP="00157297">
      <w:pPr>
        <w:pStyle w:val="ListParagraph"/>
        <w:numPr>
          <w:ilvl w:val="0"/>
          <w:numId w:val="9"/>
        </w:numPr>
        <w:spacing w:before="120" w:after="120" w:line="276" w:lineRule="auto"/>
        <w:jc w:val="both"/>
        <w:rPr>
          <w:rFonts w:ascii="Sylfaen" w:hAnsi="Sylfaen"/>
          <w:lang w:val="ka-GE"/>
        </w:rPr>
      </w:pPr>
      <w:r w:rsidRPr="000E36C4">
        <w:rPr>
          <w:rFonts w:ascii="Sylfaen" w:hAnsi="Sylfaen"/>
          <w:b/>
        </w:rPr>
        <w:t>Pl</w:t>
      </w:r>
      <w:r w:rsidR="007B299E" w:rsidRPr="000E36C4">
        <w:rPr>
          <w:rFonts w:ascii="Sylfaen" w:hAnsi="Sylfaen"/>
          <w:b/>
        </w:rPr>
        <w:t>ease provide information on</w:t>
      </w:r>
      <w:r w:rsidR="0047406D" w:rsidRPr="000E36C4">
        <w:rPr>
          <w:rFonts w:ascii="Sylfaen" w:hAnsi="Sylfaen"/>
          <w:b/>
        </w:rPr>
        <w:t xml:space="preserve"> the legal and policy framework used by your State to manage situations of crisis and on</w:t>
      </w:r>
      <w:r w:rsidR="007B299E" w:rsidRPr="000E36C4">
        <w:rPr>
          <w:rFonts w:ascii="Sylfaen" w:hAnsi="Sylfaen"/>
          <w:b/>
        </w:rPr>
        <w:t xml:space="preserve"> how the concept of “crisis” has been </w:t>
      </w:r>
      <w:r w:rsidR="00FA41F4" w:rsidRPr="000E36C4">
        <w:rPr>
          <w:rFonts w:ascii="Sylfaen" w:hAnsi="Sylfaen"/>
          <w:b/>
        </w:rPr>
        <w:t xml:space="preserve">defined or </w:t>
      </w:r>
      <w:r w:rsidR="007B299E" w:rsidRPr="000E36C4">
        <w:rPr>
          <w:rFonts w:ascii="Sylfaen" w:hAnsi="Sylfaen"/>
          <w:b/>
        </w:rPr>
        <w:t>framed</w:t>
      </w:r>
      <w:r w:rsidR="00404E5B" w:rsidRPr="000E36C4">
        <w:rPr>
          <w:rFonts w:ascii="Sylfaen" w:hAnsi="Sylfaen"/>
        </w:rPr>
        <w:t>.</w:t>
      </w:r>
      <w:r w:rsidR="007B299E" w:rsidRPr="000E36C4">
        <w:rPr>
          <w:rFonts w:ascii="Sylfaen" w:hAnsi="Sylfaen"/>
        </w:rPr>
        <w:t xml:space="preserve"> </w:t>
      </w:r>
    </w:p>
    <w:p w14:paraId="602E12A2" w14:textId="61FD14D6" w:rsidR="00C84B92" w:rsidRPr="00157297" w:rsidRDefault="00C84B92" w:rsidP="00157297">
      <w:pPr>
        <w:spacing w:before="120" w:after="120" w:line="276" w:lineRule="auto"/>
        <w:jc w:val="both"/>
        <w:rPr>
          <w:rFonts w:ascii="Sylfaen" w:hAnsi="Sylfaen"/>
          <w:lang w:val="en-US"/>
        </w:rPr>
      </w:pPr>
      <w:r w:rsidRPr="000E36C4">
        <w:rPr>
          <w:rFonts w:ascii="Sylfaen" w:hAnsi="Sylfaen"/>
          <w:lang w:val="en-US"/>
        </w:rPr>
        <w:t>The legal framework for</w:t>
      </w:r>
      <w:r w:rsidR="00A7781D" w:rsidRPr="000E36C4">
        <w:rPr>
          <w:rFonts w:ascii="Sylfaen" w:hAnsi="Sylfaen"/>
          <w:lang w:val="en-US"/>
        </w:rPr>
        <w:t xml:space="preserve"> managing s</w:t>
      </w:r>
      <w:r w:rsidR="00A602DB" w:rsidRPr="000E36C4">
        <w:rPr>
          <w:rFonts w:ascii="Sylfaen" w:hAnsi="Sylfaen"/>
          <w:lang w:val="en-US"/>
        </w:rPr>
        <w:t>ituations of crisis is formed by</w:t>
      </w:r>
      <w:r w:rsidR="00A7781D" w:rsidRPr="000E36C4">
        <w:rPr>
          <w:rFonts w:ascii="Sylfaen" w:hAnsi="Sylfaen"/>
          <w:lang w:val="en-US"/>
        </w:rPr>
        <w:t xml:space="preserve"> the Constitution of Georgia, the Law</w:t>
      </w:r>
      <w:r w:rsidR="000B46B6" w:rsidRPr="000E36C4">
        <w:rPr>
          <w:rFonts w:ascii="Sylfaen" w:hAnsi="Sylfaen"/>
          <w:lang w:val="en-US"/>
        </w:rPr>
        <w:t xml:space="preserve"> of Georgia on Public Safety, </w:t>
      </w:r>
      <w:r w:rsidR="00A7781D" w:rsidRPr="000E36C4">
        <w:rPr>
          <w:rFonts w:ascii="Sylfaen" w:hAnsi="Sylfaen"/>
          <w:lang w:val="en-US"/>
        </w:rPr>
        <w:t>the Law of Georgia on State of Emergency</w:t>
      </w:r>
      <w:r w:rsidR="00BF6F39" w:rsidRPr="000E36C4">
        <w:rPr>
          <w:rFonts w:ascii="Sylfaen" w:hAnsi="Sylfaen"/>
          <w:lang w:val="en-US"/>
        </w:rPr>
        <w:t>,</w:t>
      </w:r>
      <w:r w:rsidR="000B46B6" w:rsidRPr="000E36C4">
        <w:rPr>
          <w:rFonts w:ascii="Sylfaen" w:hAnsi="Sylfaen"/>
          <w:lang w:val="en-US"/>
        </w:rPr>
        <w:t xml:space="preserve"> the Law of Georgia on Martial Law</w:t>
      </w:r>
      <w:r w:rsidR="00224ADA" w:rsidRPr="000E36C4">
        <w:rPr>
          <w:rFonts w:ascii="Sylfaen" w:hAnsi="Sylfaen"/>
          <w:lang w:val="en-US"/>
        </w:rPr>
        <w:t>,</w:t>
      </w:r>
      <w:r w:rsidR="00BF6F39" w:rsidRPr="000E36C4">
        <w:rPr>
          <w:rFonts w:ascii="Sylfaen" w:hAnsi="Sylfaen"/>
          <w:lang w:val="en-US"/>
        </w:rPr>
        <w:t xml:space="preserve"> the Law of Georgia on National Security Policy Planning and Coordination</w:t>
      </w:r>
      <w:r w:rsidR="00224ADA" w:rsidRPr="000E36C4">
        <w:rPr>
          <w:rFonts w:ascii="Sylfaen" w:hAnsi="Sylfaen"/>
          <w:lang w:val="en-US"/>
        </w:rPr>
        <w:t xml:space="preserve"> and other </w:t>
      </w:r>
      <w:r w:rsidR="000F3115">
        <w:rPr>
          <w:rFonts w:ascii="Sylfaen" w:hAnsi="Sylfaen"/>
          <w:lang w:val="en-US"/>
        </w:rPr>
        <w:t xml:space="preserve">more </w:t>
      </w:r>
      <w:r w:rsidR="00224ADA" w:rsidRPr="000E36C4">
        <w:rPr>
          <w:rFonts w:ascii="Sylfaen" w:hAnsi="Sylfaen"/>
          <w:lang w:val="en-US"/>
        </w:rPr>
        <w:t>specific legal acts, such as the National Public Safety Plan</w:t>
      </w:r>
      <w:r w:rsidR="00A7781D" w:rsidRPr="000E36C4">
        <w:rPr>
          <w:rFonts w:ascii="Sylfaen" w:hAnsi="Sylfaen"/>
          <w:lang w:val="en-US"/>
        </w:rPr>
        <w:t xml:space="preserve">. </w:t>
      </w:r>
      <w:r w:rsidR="00224ADA" w:rsidRPr="000E36C4">
        <w:rPr>
          <w:rFonts w:ascii="Sylfaen" w:hAnsi="Sylfaen"/>
          <w:lang w:val="en-US"/>
        </w:rPr>
        <w:t xml:space="preserve">These legal </w:t>
      </w:r>
      <w:r w:rsidR="00A602DB" w:rsidRPr="000E36C4">
        <w:rPr>
          <w:rFonts w:ascii="Sylfaen" w:hAnsi="Sylfaen"/>
          <w:lang w:val="en-US"/>
        </w:rPr>
        <w:t>acts do not directly define the meaning of crisis. However, they provide different situations that represent the concept of “crisis”. Firstly, article 71 of the Constitution</w:t>
      </w:r>
      <w:r w:rsidR="006037F9" w:rsidRPr="000E36C4">
        <w:rPr>
          <w:rFonts w:ascii="Sylfaen" w:hAnsi="Sylfaen"/>
          <w:lang w:val="en-US"/>
        </w:rPr>
        <w:t xml:space="preserve"> (titled “State of emergency and martial law”)</w:t>
      </w:r>
      <w:r w:rsidR="00A602DB" w:rsidRPr="000E36C4">
        <w:rPr>
          <w:rFonts w:ascii="Sylfaen" w:hAnsi="Sylfaen"/>
          <w:lang w:val="en-US"/>
        </w:rPr>
        <w:t xml:space="preserve"> establishes the legal framework for</w:t>
      </w:r>
      <w:r w:rsidR="000F3115">
        <w:rPr>
          <w:rFonts w:ascii="Sylfaen" w:hAnsi="Sylfaen"/>
          <w:lang w:val="en-US"/>
        </w:rPr>
        <w:t xml:space="preserve"> state of emergency and w</w:t>
      </w:r>
      <w:r w:rsidR="006037F9" w:rsidRPr="000E36C4">
        <w:rPr>
          <w:rFonts w:ascii="Sylfaen" w:hAnsi="Sylfaen"/>
          <w:lang w:val="en-US"/>
        </w:rPr>
        <w:t>ar</w:t>
      </w:r>
      <w:r w:rsidR="000F3115">
        <w:rPr>
          <w:rFonts w:ascii="Sylfaen" w:hAnsi="Sylfaen"/>
          <w:lang w:val="en-US"/>
        </w:rPr>
        <w:t>/martial law</w:t>
      </w:r>
      <w:r w:rsidR="006037F9" w:rsidRPr="000E36C4">
        <w:rPr>
          <w:rFonts w:ascii="Sylfaen" w:hAnsi="Sylfaen"/>
          <w:lang w:val="en-US"/>
        </w:rPr>
        <w:t>.</w:t>
      </w:r>
      <w:r w:rsidR="006374FF" w:rsidRPr="000E36C4">
        <w:rPr>
          <w:rFonts w:ascii="Sylfaen" w:hAnsi="Sylfaen"/>
          <w:lang w:val="en-US"/>
        </w:rPr>
        <w:t xml:space="preserve"> According to paragraph 1 of article 71, “in cases of armed attack, or a direct threat of armed attack on Georgia, the President of Georgia shall, upon recommendation by the Prime Minister, declare martial law, sign a truce (provided that the appropriate conditions are in place), and shall immediately present these decisions to Parliament for approval. The decision to declare martial law shall enter into force upon its announcement. Parliament approves the decision upon its assembly. If Parliament does not approve the decision following a vote, it shall become null and void”</w:t>
      </w:r>
      <w:r w:rsidR="006374FF" w:rsidRPr="000E36C4">
        <w:rPr>
          <w:rStyle w:val="FootnoteReference"/>
          <w:rFonts w:ascii="Sylfaen" w:hAnsi="Sylfaen"/>
          <w:lang w:val="en-US"/>
        </w:rPr>
        <w:footnoteReference w:id="1"/>
      </w:r>
      <w:r w:rsidR="000B46B6" w:rsidRPr="000E36C4">
        <w:rPr>
          <w:rFonts w:ascii="Sylfaen" w:hAnsi="Sylfaen"/>
          <w:lang w:val="en-US"/>
        </w:rPr>
        <w:t xml:space="preserve">. Paragraph 2 of article 71 stipulates that “in cases of mass unrest, the violation of the country’s territorial integrity, a military coup d’état, armed insurrection, a terrorist act, natural or </w:t>
      </w:r>
      <w:proofErr w:type="spellStart"/>
      <w:r w:rsidR="000B46B6" w:rsidRPr="000E36C4">
        <w:rPr>
          <w:rFonts w:ascii="Sylfaen" w:hAnsi="Sylfaen"/>
          <w:lang w:val="en-US"/>
        </w:rPr>
        <w:t>technogenic</w:t>
      </w:r>
      <w:proofErr w:type="spellEnd"/>
      <w:r w:rsidR="000B46B6" w:rsidRPr="000E36C4">
        <w:rPr>
          <w:rFonts w:ascii="Sylfaen" w:hAnsi="Sylfaen"/>
          <w:lang w:val="en-US"/>
        </w:rPr>
        <w:t xml:space="preserve"> disasters or epidemics, or any other situation in which state bodies lack the capacity to fulfil their constitutional duties normally, the President of Georgia shall, upon recommendation by the Prime Minister, declare a state of emergency across the entire territory of the country or in any part of it, and shall immediately present this decision to Parliament for approval. The decision shall enter into force upon the announcement of the state of emergency. Parliament approves the decision upon its assembly. If Parliament does not approve the decision following a vote, it shall become null and void. Emergency powers shall only apply to the </w:t>
      </w:r>
      <w:r w:rsidR="000B46B6" w:rsidRPr="000E36C4">
        <w:rPr>
          <w:rFonts w:ascii="Sylfaen" w:hAnsi="Sylfaen"/>
          <w:lang w:val="en-US"/>
        </w:rPr>
        <w:lastRenderedPageBreak/>
        <w:t>territory for which the state of emergency is declared”</w:t>
      </w:r>
      <w:r w:rsidR="000B46B6" w:rsidRPr="000E36C4">
        <w:rPr>
          <w:rStyle w:val="FootnoteReference"/>
          <w:rFonts w:ascii="Sylfaen" w:hAnsi="Sylfaen"/>
          <w:lang w:val="en-US"/>
        </w:rPr>
        <w:footnoteReference w:id="2"/>
      </w:r>
      <w:r w:rsidR="000B46B6" w:rsidRPr="000E36C4">
        <w:rPr>
          <w:rFonts w:ascii="Sylfaen" w:hAnsi="Sylfaen"/>
          <w:lang w:val="en-US"/>
        </w:rPr>
        <w:t>.</w:t>
      </w:r>
      <w:r w:rsidR="00C936A6" w:rsidRPr="000E36C4">
        <w:rPr>
          <w:rFonts w:ascii="Sylfaen" w:hAnsi="Sylfaen"/>
          <w:lang w:val="en-US"/>
        </w:rPr>
        <w:t xml:space="preserve"> Furthermore, the meanings of state of emergency and the martial law are found in specific legislative acts. </w:t>
      </w:r>
      <w:r w:rsidR="000A7050" w:rsidRPr="000E36C4">
        <w:rPr>
          <w:rFonts w:ascii="Sylfaen" w:hAnsi="Sylfaen"/>
          <w:lang w:val="en-US"/>
        </w:rPr>
        <w:t xml:space="preserve"> According to article 1 of the Law of Georgia on Martial Law, martial law means </w:t>
      </w:r>
      <w:r w:rsidR="000F3115">
        <w:rPr>
          <w:rFonts w:ascii="Sylfaen" w:hAnsi="Sylfaen"/>
          <w:lang w:val="en-US"/>
        </w:rPr>
        <w:t>“</w:t>
      </w:r>
      <w:r w:rsidR="000A7050" w:rsidRPr="000E36C4">
        <w:rPr>
          <w:rFonts w:ascii="Sylfaen" w:hAnsi="Sylfaen"/>
          <w:lang w:val="en-US"/>
        </w:rPr>
        <w:t xml:space="preserve">the declaration of special rules throughout the territory of Georgia in the case of armed attacks against Georgia, which shall be consistent with the </w:t>
      </w:r>
      <w:proofErr w:type="spellStart"/>
      <w:r w:rsidR="000A7050" w:rsidRPr="000E36C4">
        <w:rPr>
          <w:rFonts w:ascii="Sylfaen" w:hAnsi="Sylfaen"/>
          <w:lang w:val="en-US"/>
        </w:rPr>
        <w:t>defence</w:t>
      </w:r>
      <w:proofErr w:type="spellEnd"/>
      <w:r w:rsidR="000A7050" w:rsidRPr="000E36C4">
        <w:rPr>
          <w:rFonts w:ascii="Sylfaen" w:hAnsi="Sylfaen"/>
          <w:lang w:val="en-US"/>
        </w:rPr>
        <w:t xml:space="preserve"> interests of the country. Martial law shall be declared according to the Constitution of Georgia and this Law and shall aim to ensure the territorial integrity of the country, state security and the protection of public order”</w:t>
      </w:r>
      <w:r w:rsidR="000A7050" w:rsidRPr="000E36C4">
        <w:rPr>
          <w:rStyle w:val="FootnoteReference"/>
          <w:rFonts w:ascii="Sylfaen" w:hAnsi="Sylfaen"/>
          <w:lang w:val="en-US"/>
        </w:rPr>
        <w:footnoteReference w:id="3"/>
      </w:r>
      <w:r w:rsidR="000A7050" w:rsidRPr="000E36C4">
        <w:rPr>
          <w:rFonts w:ascii="Sylfaen" w:hAnsi="Sylfaen"/>
          <w:lang w:val="en-US"/>
        </w:rPr>
        <w:t xml:space="preserve">. </w:t>
      </w:r>
      <w:r w:rsidR="00C936A6" w:rsidRPr="000E36C4">
        <w:rPr>
          <w:rFonts w:ascii="Sylfaen" w:hAnsi="Sylfaen"/>
          <w:lang w:val="en-US"/>
        </w:rPr>
        <w:t>Paragraph 1 of article 1 of the Law of Georgia on State of Emergency defines the state of emergency as  “a temporary measure that shall be declared in accordance with the legislation of Georgia in the interests of ensuring the security of the citizens of Georgia during mass disorder, encroachment upon the territorial integrity of the country, military coups, armed insurrections, terrorist acts, natural disasters or man-made catastrophe or outbreaks of epidemic, or in other cases when the state authorities are unable to exercise their constitutional powers in a normal manner”</w:t>
      </w:r>
      <w:r w:rsidR="000A7050" w:rsidRPr="000E36C4">
        <w:rPr>
          <w:rStyle w:val="FootnoteReference"/>
          <w:rFonts w:ascii="Sylfaen" w:hAnsi="Sylfaen"/>
          <w:lang w:val="en-US"/>
        </w:rPr>
        <w:footnoteReference w:id="4"/>
      </w:r>
      <w:r w:rsidR="00C936A6" w:rsidRPr="000E36C4">
        <w:rPr>
          <w:rFonts w:ascii="Sylfaen" w:hAnsi="Sylfaen"/>
          <w:lang w:val="en-US"/>
        </w:rPr>
        <w:t>.</w:t>
      </w:r>
      <w:r w:rsidR="007C379E" w:rsidRPr="000E36C4">
        <w:rPr>
          <w:rFonts w:ascii="Sylfaen" w:hAnsi="Sylfaen"/>
          <w:lang w:val="en-US"/>
        </w:rPr>
        <w:t xml:space="preserve"> Moreover, it should be noted that the state of emergency is different from an emergency situation</w:t>
      </w:r>
      <w:r w:rsidR="00BF6F39" w:rsidRPr="000E36C4">
        <w:rPr>
          <w:rFonts w:ascii="Sylfaen" w:hAnsi="Sylfaen"/>
          <w:lang w:val="en-US"/>
        </w:rPr>
        <w:t xml:space="preserve"> which </w:t>
      </w:r>
      <w:proofErr w:type="gramStart"/>
      <w:r w:rsidR="00BF6F39" w:rsidRPr="000E36C4">
        <w:rPr>
          <w:rFonts w:ascii="Sylfaen" w:hAnsi="Sylfaen"/>
          <w:lang w:val="en-US"/>
        </w:rPr>
        <w:t>mean</w:t>
      </w:r>
      <w:r w:rsidR="007C379E" w:rsidRPr="000E36C4">
        <w:rPr>
          <w:rFonts w:ascii="Sylfaen" w:hAnsi="Sylfaen"/>
          <w:lang w:val="en-US"/>
        </w:rPr>
        <w:t xml:space="preserve">s </w:t>
      </w:r>
      <w:r w:rsidR="007C379E" w:rsidRPr="000E36C4">
        <w:rPr>
          <w:rFonts w:ascii="Sylfaen" w:hAnsi="Sylfaen"/>
          <w:lang w:val="ka-GE"/>
        </w:rPr>
        <w:t xml:space="preserve"> </w:t>
      </w:r>
      <w:r w:rsidR="007C379E" w:rsidRPr="000E36C4">
        <w:rPr>
          <w:rFonts w:ascii="Sylfaen" w:hAnsi="Sylfaen"/>
          <w:lang w:val="en-US"/>
        </w:rPr>
        <w:t>“</w:t>
      </w:r>
      <w:proofErr w:type="gramEnd"/>
      <w:r w:rsidR="007C379E" w:rsidRPr="000E36C4">
        <w:rPr>
          <w:rFonts w:ascii="Sylfaen" w:hAnsi="Sylfaen"/>
          <w:lang w:val="ka-GE"/>
        </w:rPr>
        <w:t>a situation/combination of situations created on a certain territory/territories or a facility/facilities, during which the normal living conditions of people are disrupted and which poses, or may pose clear threat to human life and/or health, and/or which may cause significant damage to the environment, the property of natural/legal persons, the State and/or a municipality“</w:t>
      </w:r>
      <w:r w:rsidR="00BF6F39" w:rsidRPr="000E36C4">
        <w:rPr>
          <w:rStyle w:val="FootnoteReference"/>
          <w:rFonts w:ascii="Sylfaen" w:hAnsi="Sylfaen"/>
          <w:lang w:val="ka-GE"/>
        </w:rPr>
        <w:footnoteReference w:id="5"/>
      </w:r>
      <w:r w:rsidR="00BF6F39" w:rsidRPr="000E36C4">
        <w:rPr>
          <w:rFonts w:ascii="Sylfaen" w:hAnsi="Sylfaen"/>
          <w:lang w:val="en-US"/>
        </w:rPr>
        <w:t xml:space="preserve">. Finally, </w:t>
      </w:r>
      <w:r w:rsidR="009A0D76" w:rsidRPr="000E36C4">
        <w:rPr>
          <w:rFonts w:ascii="Sylfaen" w:hAnsi="Sylfaen"/>
          <w:lang w:val="en-US"/>
        </w:rPr>
        <w:t>the concept of “crisis” also includes an incident that is a “happening that does not pose a clear threat to human life and/or health, and which may cause damage to the environment, the property of natural/legal persons, the State and/or a municipality”</w:t>
      </w:r>
      <w:r w:rsidR="009A0D76" w:rsidRPr="000E36C4">
        <w:rPr>
          <w:rStyle w:val="FootnoteReference"/>
          <w:rFonts w:ascii="Sylfaen" w:hAnsi="Sylfaen"/>
          <w:lang w:val="en-US"/>
        </w:rPr>
        <w:footnoteReference w:id="6"/>
      </w:r>
      <w:r w:rsidR="00DC60E2" w:rsidRPr="000E36C4">
        <w:rPr>
          <w:rFonts w:ascii="Sylfaen" w:hAnsi="Sylfaen"/>
          <w:lang w:val="en-US"/>
        </w:rPr>
        <w:t xml:space="preserve">. </w:t>
      </w:r>
    </w:p>
    <w:p w14:paraId="07B56A19" w14:textId="6B4717A6" w:rsidR="00D97465" w:rsidRPr="0035324F" w:rsidRDefault="00910A19" w:rsidP="0035324F">
      <w:pPr>
        <w:pStyle w:val="ListParagraph"/>
        <w:numPr>
          <w:ilvl w:val="0"/>
          <w:numId w:val="9"/>
        </w:numPr>
        <w:spacing w:before="120" w:after="120" w:line="276" w:lineRule="auto"/>
        <w:ind w:left="709"/>
        <w:jc w:val="both"/>
        <w:rPr>
          <w:rFonts w:ascii="Sylfaen" w:hAnsi="Sylfaen"/>
        </w:rPr>
      </w:pPr>
      <w:r w:rsidRPr="000E36C4">
        <w:rPr>
          <w:rFonts w:ascii="Sylfaen" w:hAnsi="Sylfaen"/>
          <w:b/>
        </w:rPr>
        <w:t>Please list the</w:t>
      </w:r>
      <w:r w:rsidR="0047406D" w:rsidRPr="000E36C4">
        <w:rPr>
          <w:rFonts w:ascii="Sylfaen" w:hAnsi="Sylfaen"/>
          <w:b/>
        </w:rPr>
        <w:t xml:space="preserve"> </w:t>
      </w:r>
      <w:r w:rsidR="00F54EE6" w:rsidRPr="000E36C4">
        <w:rPr>
          <w:rFonts w:ascii="Sylfaen" w:hAnsi="Sylfaen"/>
          <w:b/>
        </w:rPr>
        <w:t xml:space="preserve">type of situations </w:t>
      </w:r>
      <w:r w:rsidRPr="000E36C4">
        <w:rPr>
          <w:rFonts w:ascii="Sylfaen" w:hAnsi="Sylfaen"/>
          <w:b/>
        </w:rPr>
        <w:t xml:space="preserve">that </w:t>
      </w:r>
      <w:r w:rsidR="0002644E" w:rsidRPr="000E36C4">
        <w:rPr>
          <w:rFonts w:ascii="Sylfaen" w:hAnsi="Sylfaen"/>
          <w:b/>
        </w:rPr>
        <w:t>would fit the concept of</w:t>
      </w:r>
      <w:r w:rsidR="00F54EE6" w:rsidRPr="000E36C4">
        <w:rPr>
          <w:rFonts w:ascii="Sylfaen" w:hAnsi="Sylfaen"/>
          <w:b/>
        </w:rPr>
        <w:t xml:space="preserve"> “crisis” in your State</w:t>
      </w:r>
      <w:r w:rsidR="0047406D" w:rsidRPr="000E36C4">
        <w:rPr>
          <w:rFonts w:ascii="Sylfaen" w:hAnsi="Sylfaen"/>
          <w:b/>
        </w:rPr>
        <w:t xml:space="preserve"> and indicate</w:t>
      </w:r>
      <w:r w:rsidR="00F54EE6" w:rsidRPr="000E36C4">
        <w:rPr>
          <w:rFonts w:ascii="Sylfaen" w:hAnsi="Sylfaen"/>
          <w:b/>
        </w:rPr>
        <w:t xml:space="preserve"> </w:t>
      </w:r>
      <w:r w:rsidR="0047406D" w:rsidRPr="000E36C4">
        <w:rPr>
          <w:rFonts w:ascii="Sylfaen" w:hAnsi="Sylfaen"/>
          <w:b/>
        </w:rPr>
        <w:t>w</w:t>
      </w:r>
      <w:r w:rsidR="00F54EE6" w:rsidRPr="000E36C4">
        <w:rPr>
          <w:rFonts w:ascii="Sylfaen" w:hAnsi="Sylfaen"/>
          <w:b/>
        </w:rPr>
        <w:t>hat situations are excluded</w:t>
      </w:r>
      <w:r w:rsidR="0047406D" w:rsidRPr="000E36C4">
        <w:rPr>
          <w:rFonts w:ascii="Sylfaen" w:hAnsi="Sylfaen"/>
          <w:b/>
        </w:rPr>
        <w:t>.</w:t>
      </w:r>
      <w:r w:rsidR="007B299E" w:rsidRPr="000E36C4">
        <w:rPr>
          <w:rFonts w:ascii="Sylfaen" w:hAnsi="Sylfaen"/>
          <w:b/>
        </w:rPr>
        <w:t xml:space="preserve"> </w:t>
      </w:r>
    </w:p>
    <w:p w14:paraId="05CAB742" w14:textId="12ABB377" w:rsidR="001F29DF" w:rsidRPr="0035324F" w:rsidRDefault="001F29DF" w:rsidP="0035324F">
      <w:pPr>
        <w:spacing w:before="120" w:after="120" w:line="276" w:lineRule="auto"/>
        <w:jc w:val="both"/>
        <w:rPr>
          <w:rFonts w:ascii="Sylfaen" w:hAnsi="Sylfaen"/>
        </w:rPr>
      </w:pPr>
      <w:r w:rsidRPr="00157297">
        <w:rPr>
          <w:rFonts w:ascii="Sylfaen" w:hAnsi="Sylfaen"/>
        </w:rPr>
        <w:t>Please see the answer to the first question above.</w:t>
      </w:r>
    </w:p>
    <w:p w14:paraId="3A11722D" w14:textId="5AC67202" w:rsidR="00224ADA" w:rsidRPr="0035324F" w:rsidRDefault="00F61A39" w:rsidP="0035324F">
      <w:pPr>
        <w:pStyle w:val="ListParagraph"/>
        <w:numPr>
          <w:ilvl w:val="0"/>
          <w:numId w:val="9"/>
        </w:numPr>
        <w:spacing w:before="120" w:after="120" w:line="276" w:lineRule="auto"/>
        <w:jc w:val="both"/>
        <w:rPr>
          <w:rFonts w:ascii="Sylfaen" w:hAnsi="Sylfaen"/>
          <w:b/>
        </w:rPr>
      </w:pPr>
      <w:r w:rsidRPr="000E36C4">
        <w:rPr>
          <w:rFonts w:ascii="Sylfaen" w:hAnsi="Sylfaen"/>
          <w:b/>
        </w:rPr>
        <w:t>What institutional mechanisms are in place for managing a crisis and how are priorities determined?</w:t>
      </w:r>
    </w:p>
    <w:p w14:paraId="38F7812B" w14:textId="0CCD3189" w:rsidR="00C746DB" w:rsidRPr="000E36C4" w:rsidRDefault="00591AD6" w:rsidP="00157297">
      <w:pPr>
        <w:spacing w:before="120" w:after="120" w:line="276" w:lineRule="auto"/>
        <w:jc w:val="both"/>
        <w:rPr>
          <w:rFonts w:ascii="Sylfaen" w:hAnsi="Sylfaen"/>
          <w:lang w:val="en-US"/>
        </w:rPr>
      </w:pPr>
      <w:r w:rsidRPr="00157297">
        <w:rPr>
          <w:rFonts w:ascii="Sylfaen" w:hAnsi="Sylfaen"/>
          <w:lang w:val="en-US"/>
        </w:rPr>
        <w:t>There are different institutional mechanisms in place for managing a crisis. Paragraph 1 of article 4 of the Law of Georgia on Public Safety list</w:t>
      </w:r>
      <w:r w:rsidR="000F3115" w:rsidRPr="00157297">
        <w:rPr>
          <w:rFonts w:ascii="Sylfaen" w:hAnsi="Sylfaen"/>
          <w:lang w:val="en-US"/>
        </w:rPr>
        <w:t>s</w:t>
      </w:r>
      <w:r w:rsidRPr="00157297">
        <w:rPr>
          <w:rFonts w:ascii="Sylfaen" w:hAnsi="Sylfaen"/>
          <w:lang w:val="en-US"/>
        </w:rPr>
        <w:t xml:space="preserve"> the subjects of the National Public Safety System “which shall carry out appropriate complex measures, at the strategic (political), operational and tactical levels, using relevant resources and instruments, for protecting human life and health, environment and/or property from incidents/emergency situations caused by martial law, natural and/or man-made factors”</w:t>
      </w:r>
      <w:r w:rsidRPr="000E36C4">
        <w:rPr>
          <w:rStyle w:val="FootnoteReference"/>
          <w:rFonts w:ascii="Sylfaen" w:hAnsi="Sylfaen"/>
          <w:lang w:val="en-US"/>
        </w:rPr>
        <w:footnoteReference w:id="7"/>
      </w:r>
      <w:r w:rsidRPr="00157297">
        <w:rPr>
          <w:rFonts w:ascii="Sylfaen" w:hAnsi="Sylfaen"/>
          <w:lang w:val="en-US"/>
        </w:rPr>
        <w:t xml:space="preserve">. These subjects </w:t>
      </w:r>
      <w:r w:rsidR="00721941" w:rsidRPr="00157297">
        <w:rPr>
          <w:rFonts w:ascii="Sylfaen" w:hAnsi="Sylfaen"/>
          <w:lang w:val="en-US"/>
        </w:rPr>
        <w:t>include</w:t>
      </w:r>
      <w:r w:rsidR="00E73B85" w:rsidRPr="00157297">
        <w:rPr>
          <w:rFonts w:ascii="Sylfaen" w:hAnsi="Sylfaen"/>
          <w:lang w:val="en-US"/>
        </w:rPr>
        <w:t>, inter alia</w:t>
      </w:r>
      <w:proofErr w:type="gramStart"/>
      <w:r w:rsidR="00E73B85" w:rsidRPr="00157297">
        <w:rPr>
          <w:rFonts w:ascii="Sylfaen" w:hAnsi="Sylfaen"/>
          <w:lang w:val="en-US"/>
        </w:rPr>
        <w:t xml:space="preserve">, </w:t>
      </w:r>
      <w:r w:rsidR="00721941" w:rsidRPr="00157297">
        <w:rPr>
          <w:rFonts w:ascii="Sylfaen" w:hAnsi="Sylfaen"/>
          <w:lang w:val="en-US"/>
        </w:rPr>
        <w:t xml:space="preserve"> </w:t>
      </w:r>
      <w:r w:rsidRPr="00157297">
        <w:rPr>
          <w:rFonts w:ascii="Sylfaen" w:hAnsi="Sylfaen"/>
          <w:lang w:val="en-US"/>
        </w:rPr>
        <w:t>institutions</w:t>
      </w:r>
      <w:proofErr w:type="gramEnd"/>
      <w:r w:rsidRPr="00157297">
        <w:rPr>
          <w:rFonts w:ascii="Sylfaen" w:hAnsi="Sylfaen"/>
          <w:lang w:val="en-US"/>
        </w:rPr>
        <w:t xml:space="preserve"> of the executive authorities of Georgia, legal entities under public law and state sub-agencies, authorities of the Autonomous Republics, bodies of municipalities and the state representatives</w:t>
      </w:r>
      <w:r w:rsidRPr="000E36C4">
        <w:rPr>
          <w:rStyle w:val="FootnoteReference"/>
          <w:rFonts w:ascii="Sylfaen" w:hAnsi="Sylfaen"/>
          <w:lang w:val="en-US"/>
        </w:rPr>
        <w:footnoteReference w:id="8"/>
      </w:r>
      <w:r w:rsidRPr="00157297">
        <w:rPr>
          <w:rFonts w:ascii="Sylfaen" w:hAnsi="Sylfaen"/>
          <w:lang w:val="en-US"/>
        </w:rPr>
        <w:t xml:space="preserve">. </w:t>
      </w:r>
      <w:r w:rsidR="00F023B1" w:rsidRPr="00157297">
        <w:rPr>
          <w:rFonts w:ascii="Sylfaen" w:hAnsi="Sylfaen"/>
          <w:lang w:val="en-US"/>
        </w:rPr>
        <w:t xml:space="preserve">A more detailed </w:t>
      </w:r>
      <w:r w:rsidR="00E969B7" w:rsidRPr="00157297">
        <w:rPr>
          <w:rFonts w:ascii="Sylfaen" w:hAnsi="Sylfaen"/>
          <w:lang w:val="en-US"/>
        </w:rPr>
        <w:t xml:space="preserve">regulation concerning the </w:t>
      </w:r>
      <w:r w:rsidR="005A5451" w:rsidRPr="00157297">
        <w:rPr>
          <w:rFonts w:ascii="Sylfaen" w:hAnsi="Sylfaen"/>
          <w:lang w:val="en-US"/>
        </w:rPr>
        <w:t xml:space="preserve">(list of) </w:t>
      </w:r>
      <w:r w:rsidR="00E969B7" w:rsidRPr="00157297">
        <w:rPr>
          <w:rFonts w:ascii="Sylfaen" w:hAnsi="Sylfaen"/>
          <w:lang w:val="en-US"/>
        </w:rPr>
        <w:t>subjects and their competences is provided in the Ordinance of the Government of Georgia on</w:t>
      </w:r>
      <w:r w:rsidR="00533136" w:rsidRPr="00157297">
        <w:rPr>
          <w:rFonts w:ascii="Sylfaen" w:hAnsi="Sylfaen"/>
          <w:lang w:val="ka-GE"/>
        </w:rPr>
        <w:t xml:space="preserve"> </w:t>
      </w:r>
      <w:r w:rsidR="00533136" w:rsidRPr="00157297">
        <w:rPr>
          <w:rFonts w:ascii="Sylfaen" w:hAnsi="Sylfaen"/>
          <w:lang w:val="en-US"/>
        </w:rPr>
        <w:t>Approval of National Plan of Public Safety</w:t>
      </w:r>
      <w:r w:rsidR="00533136" w:rsidRPr="000E36C4">
        <w:rPr>
          <w:rStyle w:val="FootnoteReference"/>
          <w:rFonts w:ascii="Sylfaen" w:hAnsi="Sylfaen"/>
          <w:lang w:val="en-US"/>
        </w:rPr>
        <w:footnoteReference w:id="9"/>
      </w:r>
      <w:r w:rsidR="00533136" w:rsidRPr="00157297">
        <w:rPr>
          <w:rFonts w:ascii="Sylfaen" w:hAnsi="Sylfaen"/>
          <w:lang w:val="en-US"/>
        </w:rPr>
        <w:t xml:space="preserve">. </w:t>
      </w:r>
      <w:r w:rsidR="00E73B85" w:rsidRPr="00157297">
        <w:rPr>
          <w:rFonts w:ascii="Sylfaen" w:hAnsi="Sylfaen"/>
          <w:lang w:val="en-US"/>
        </w:rPr>
        <w:t xml:space="preserve"> T</w:t>
      </w:r>
      <w:r w:rsidRPr="00157297">
        <w:rPr>
          <w:rFonts w:ascii="Sylfaen" w:hAnsi="Sylfaen"/>
          <w:lang w:val="en-US"/>
        </w:rPr>
        <w:t>he main subject of the National Public Safety System during peaceful periods</w:t>
      </w:r>
      <w:r w:rsidR="00E73B85" w:rsidRPr="00157297">
        <w:rPr>
          <w:rFonts w:ascii="Sylfaen" w:hAnsi="Sylfaen"/>
          <w:lang w:val="en-US"/>
        </w:rPr>
        <w:t xml:space="preserve"> is t</w:t>
      </w:r>
      <w:r w:rsidR="002F1DE1" w:rsidRPr="00157297">
        <w:rPr>
          <w:rFonts w:ascii="Sylfaen" w:hAnsi="Sylfaen"/>
          <w:lang w:val="en-US"/>
        </w:rPr>
        <w:t>he Emergency Management Service</w:t>
      </w:r>
      <w:r w:rsidRPr="000E36C4">
        <w:rPr>
          <w:rStyle w:val="FootnoteReference"/>
          <w:rFonts w:ascii="Sylfaen" w:hAnsi="Sylfaen"/>
          <w:lang w:val="en-US"/>
        </w:rPr>
        <w:footnoteReference w:id="10"/>
      </w:r>
      <w:r w:rsidRPr="00157297">
        <w:rPr>
          <w:rFonts w:ascii="Sylfaen" w:hAnsi="Sylfaen"/>
          <w:lang w:val="en-US"/>
        </w:rPr>
        <w:t>.</w:t>
      </w:r>
      <w:r w:rsidR="00B05525" w:rsidRPr="00157297">
        <w:rPr>
          <w:rFonts w:ascii="Sylfaen" w:hAnsi="Sylfaen"/>
          <w:lang w:val="en-US"/>
        </w:rPr>
        <w:t xml:space="preserve"> The Emergency Management Service coordinates the operation of the National System and is responsible for planning and implementing the policy in the field of public safety</w:t>
      </w:r>
      <w:r w:rsidR="00B05525" w:rsidRPr="000E36C4">
        <w:rPr>
          <w:rStyle w:val="FootnoteReference"/>
          <w:rFonts w:ascii="Sylfaen" w:hAnsi="Sylfaen"/>
          <w:lang w:val="en-US"/>
        </w:rPr>
        <w:footnoteReference w:id="11"/>
      </w:r>
      <w:r w:rsidR="00B05525" w:rsidRPr="00157297">
        <w:rPr>
          <w:rFonts w:ascii="Sylfaen" w:hAnsi="Sylfaen"/>
          <w:lang w:val="en-US"/>
        </w:rPr>
        <w:t xml:space="preserve">. It carries outs its functions and activities based on the principles of  the rule of law, the protection of and respect for fundamental human rights and freedoms,  the protection of the </w:t>
      </w:r>
      <w:proofErr w:type="spellStart"/>
      <w:r w:rsidR="00B05525" w:rsidRPr="00157297">
        <w:rPr>
          <w:rFonts w:ascii="Sylfaen" w:hAnsi="Sylfaen"/>
          <w:lang w:val="en-US"/>
        </w:rPr>
        <w:t>honour</w:t>
      </w:r>
      <w:proofErr w:type="spellEnd"/>
      <w:r w:rsidR="00B05525" w:rsidRPr="00157297">
        <w:rPr>
          <w:rFonts w:ascii="Sylfaen" w:hAnsi="Sylfaen"/>
          <w:lang w:val="en-US"/>
        </w:rPr>
        <w:t xml:space="preserve"> and dignity of a person, the proportionality </w:t>
      </w:r>
      <w:proofErr w:type="spellStart"/>
      <w:r w:rsidR="00B05525" w:rsidRPr="00157297">
        <w:rPr>
          <w:rFonts w:ascii="Sylfaen" w:hAnsi="Sylfaen"/>
          <w:lang w:val="en-US"/>
        </w:rPr>
        <w:t>etc</w:t>
      </w:r>
      <w:proofErr w:type="spellEnd"/>
      <w:r w:rsidR="00B05525" w:rsidRPr="000E36C4">
        <w:rPr>
          <w:rStyle w:val="FootnoteReference"/>
          <w:rFonts w:ascii="Sylfaen" w:hAnsi="Sylfaen"/>
          <w:lang w:val="en-US"/>
        </w:rPr>
        <w:footnoteReference w:id="12"/>
      </w:r>
      <w:r w:rsidR="00B05525" w:rsidRPr="00157297">
        <w:rPr>
          <w:rFonts w:ascii="Sylfaen" w:hAnsi="Sylfaen"/>
          <w:lang w:val="en-US"/>
        </w:rPr>
        <w:t>.</w:t>
      </w:r>
      <w:r w:rsidR="00C746DB" w:rsidRPr="00157297">
        <w:rPr>
          <w:rFonts w:ascii="Sylfaen" w:hAnsi="Sylfaen"/>
          <w:lang w:val="en-US"/>
        </w:rPr>
        <w:t xml:space="preserve"> The functions of the Emergency Management Service are to:</w:t>
      </w:r>
    </w:p>
    <w:p w14:paraId="465A006E" w14:textId="331AEDDF" w:rsidR="00C746DB" w:rsidRPr="00157297" w:rsidRDefault="00C746DB" w:rsidP="00157297">
      <w:pPr>
        <w:pStyle w:val="ListParagraph"/>
        <w:numPr>
          <w:ilvl w:val="0"/>
          <w:numId w:val="11"/>
        </w:numPr>
        <w:spacing w:before="120" w:after="120" w:line="276" w:lineRule="auto"/>
        <w:jc w:val="both"/>
        <w:rPr>
          <w:rFonts w:ascii="Sylfaen" w:hAnsi="Sylfaen"/>
          <w:lang w:val="en-US"/>
        </w:rPr>
      </w:pPr>
      <w:r w:rsidRPr="000E36C4">
        <w:rPr>
          <w:rFonts w:ascii="Sylfaen" w:hAnsi="Sylfaen"/>
          <w:lang w:val="en-US"/>
        </w:rPr>
        <w:t>develop state policy in the field of public safety in coordination with the subjects of the National System; for this purpose, draw up draft legal acts and draft documents of national importance and submit them to the Minister</w:t>
      </w:r>
    </w:p>
    <w:p w14:paraId="7C9FFC36" w14:textId="3E8A80AF" w:rsidR="00C746DB" w:rsidRPr="00157297" w:rsidRDefault="00C746DB" w:rsidP="00157297">
      <w:pPr>
        <w:pStyle w:val="ListParagraph"/>
        <w:numPr>
          <w:ilvl w:val="0"/>
          <w:numId w:val="11"/>
        </w:numPr>
        <w:spacing w:before="120" w:after="120" w:line="276" w:lineRule="auto"/>
        <w:jc w:val="both"/>
        <w:rPr>
          <w:rFonts w:ascii="Sylfaen" w:hAnsi="Sylfaen"/>
          <w:lang w:val="en-US"/>
        </w:rPr>
      </w:pPr>
      <w:r w:rsidRPr="000E36C4">
        <w:rPr>
          <w:rFonts w:ascii="Sylfaen" w:hAnsi="Sylfaen"/>
          <w:lang w:val="en-US"/>
        </w:rPr>
        <w:t>draw up proposals for the purpose of improving state policy in the field of public safety and submit them to other subjects of the National System and the Minister;</w:t>
      </w:r>
    </w:p>
    <w:p w14:paraId="54057693" w14:textId="5F3A216B" w:rsidR="00C746DB" w:rsidRPr="00157297" w:rsidRDefault="00C746DB" w:rsidP="00157297">
      <w:pPr>
        <w:pStyle w:val="ListParagraph"/>
        <w:numPr>
          <w:ilvl w:val="0"/>
          <w:numId w:val="11"/>
        </w:numPr>
        <w:spacing w:before="120" w:after="120" w:line="276" w:lineRule="auto"/>
        <w:jc w:val="both"/>
        <w:rPr>
          <w:rFonts w:ascii="Sylfaen" w:hAnsi="Sylfaen"/>
          <w:lang w:val="en-US"/>
        </w:rPr>
      </w:pPr>
      <w:r w:rsidRPr="000E36C4">
        <w:rPr>
          <w:rFonts w:ascii="Sylfaen" w:hAnsi="Sylfaen"/>
          <w:lang w:val="en-US"/>
        </w:rPr>
        <w:t>coordinate and monitor the implementation of state policy in the field of public safety; directly, within its competence, carry out the National Public Safety Plan</w:t>
      </w:r>
      <w:r w:rsidR="00DF5E90">
        <w:rPr>
          <w:rFonts w:ascii="Sylfaen" w:hAnsi="Sylfaen"/>
          <w:lang w:val="en-US"/>
        </w:rPr>
        <w:t>;</w:t>
      </w:r>
    </w:p>
    <w:p w14:paraId="7C61FEC7" w14:textId="5420DD03" w:rsidR="00C746DB" w:rsidRPr="00157297" w:rsidRDefault="00C746DB" w:rsidP="00157297">
      <w:pPr>
        <w:pStyle w:val="ListParagraph"/>
        <w:numPr>
          <w:ilvl w:val="0"/>
          <w:numId w:val="11"/>
        </w:numPr>
        <w:spacing w:before="120" w:after="120" w:line="276" w:lineRule="auto"/>
        <w:jc w:val="both"/>
        <w:rPr>
          <w:rFonts w:ascii="Sylfaen" w:hAnsi="Sylfaen"/>
          <w:lang w:val="en-US"/>
        </w:rPr>
      </w:pPr>
      <w:r w:rsidRPr="000E36C4">
        <w:rPr>
          <w:rFonts w:ascii="Sylfaen" w:hAnsi="Sylfaen"/>
          <w:lang w:val="en-US"/>
        </w:rPr>
        <w:t xml:space="preserve">identify, </w:t>
      </w:r>
      <w:proofErr w:type="spellStart"/>
      <w:r w:rsidRPr="000E36C4">
        <w:rPr>
          <w:rFonts w:ascii="Sylfaen" w:hAnsi="Sylfaen"/>
          <w:lang w:val="en-US"/>
        </w:rPr>
        <w:t>analyse</w:t>
      </w:r>
      <w:proofErr w:type="spellEnd"/>
      <w:r w:rsidRPr="000E36C4">
        <w:rPr>
          <w:rFonts w:ascii="Sylfaen" w:hAnsi="Sylfaen"/>
          <w:lang w:val="en-US"/>
        </w:rPr>
        <w:t xml:space="preserve"> and assess risks on the permanent basis, plan and implement preventive measures and projects in cooperation with bodies of the public authorities, Autonomous Republics, municipalities and legal entities under public and private law, in order to </w:t>
      </w:r>
      <w:proofErr w:type="spellStart"/>
      <w:r w:rsidRPr="000E36C4">
        <w:rPr>
          <w:rFonts w:ascii="Sylfaen" w:hAnsi="Sylfaen"/>
          <w:lang w:val="en-US"/>
        </w:rPr>
        <w:t>minimise</w:t>
      </w:r>
      <w:proofErr w:type="spellEnd"/>
      <w:r w:rsidRPr="000E36C4">
        <w:rPr>
          <w:rFonts w:ascii="Sylfaen" w:hAnsi="Sylfaen"/>
          <w:lang w:val="en-US"/>
        </w:rPr>
        <w:t xml:space="preserve"> the emergency risks</w:t>
      </w:r>
      <w:r w:rsidR="00DF5E90">
        <w:rPr>
          <w:rFonts w:ascii="Sylfaen" w:hAnsi="Sylfaen"/>
          <w:lang w:val="en-US"/>
        </w:rPr>
        <w:t>;</w:t>
      </w:r>
    </w:p>
    <w:p w14:paraId="63FB1C63" w14:textId="767027A6" w:rsidR="00C746DB" w:rsidRPr="00157297" w:rsidRDefault="00C746DB" w:rsidP="00157297">
      <w:pPr>
        <w:pStyle w:val="ListParagraph"/>
        <w:numPr>
          <w:ilvl w:val="0"/>
          <w:numId w:val="11"/>
        </w:numPr>
        <w:spacing w:before="120" w:after="120" w:line="276" w:lineRule="auto"/>
        <w:jc w:val="both"/>
        <w:rPr>
          <w:rFonts w:ascii="Sylfaen" w:hAnsi="Sylfaen"/>
          <w:lang w:val="en-US"/>
        </w:rPr>
      </w:pPr>
      <w:r w:rsidRPr="000E36C4">
        <w:rPr>
          <w:rFonts w:ascii="Sylfaen" w:hAnsi="Sylfaen"/>
          <w:lang w:val="en-US"/>
        </w:rPr>
        <w:t xml:space="preserve">manage the state material reserves, monitor and </w:t>
      </w:r>
      <w:proofErr w:type="spellStart"/>
      <w:r w:rsidRPr="000E36C4">
        <w:rPr>
          <w:rFonts w:ascii="Sylfaen" w:hAnsi="Sylfaen"/>
          <w:lang w:val="en-US"/>
        </w:rPr>
        <w:t>analyse</w:t>
      </w:r>
      <w:proofErr w:type="spellEnd"/>
      <w:r w:rsidRPr="000E36C4">
        <w:rPr>
          <w:rFonts w:ascii="Sylfaen" w:hAnsi="Sylfaen"/>
          <w:lang w:val="en-US"/>
        </w:rPr>
        <w:t xml:space="preserve"> the current situation in relation with the products of strategic purpose in the country, develop a policy in the field of state material reserves and submit appropriate proposals and draft legal acts to Minister;</w:t>
      </w:r>
    </w:p>
    <w:p w14:paraId="42210E2B" w14:textId="11794342" w:rsidR="00C746DB" w:rsidRPr="00157297" w:rsidRDefault="00C746DB" w:rsidP="00157297">
      <w:pPr>
        <w:pStyle w:val="ListParagraph"/>
        <w:numPr>
          <w:ilvl w:val="0"/>
          <w:numId w:val="11"/>
        </w:numPr>
        <w:spacing w:before="120" w:after="120" w:line="276" w:lineRule="auto"/>
        <w:jc w:val="both"/>
        <w:rPr>
          <w:rFonts w:ascii="Sylfaen" w:hAnsi="Sylfaen"/>
          <w:lang w:val="en-US"/>
        </w:rPr>
      </w:pPr>
      <w:r w:rsidRPr="000E36C4">
        <w:rPr>
          <w:rFonts w:ascii="Sylfaen" w:hAnsi="Sylfaen"/>
          <w:lang w:val="en-US"/>
        </w:rPr>
        <w:t xml:space="preserve"> conduct constant analysis of the current situation in the field of public safety and gradually inform the Minister regarding the situation, and provide relevant analytical information to the Ministry of </w:t>
      </w:r>
      <w:proofErr w:type="spellStart"/>
      <w:r w:rsidRPr="000E36C4">
        <w:rPr>
          <w:rFonts w:ascii="Sylfaen" w:hAnsi="Sylfaen"/>
          <w:lang w:val="en-US"/>
        </w:rPr>
        <w:t>Defence</w:t>
      </w:r>
      <w:proofErr w:type="spellEnd"/>
      <w:r w:rsidRPr="000E36C4">
        <w:rPr>
          <w:rFonts w:ascii="Sylfaen" w:hAnsi="Sylfaen"/>
          <w:lang w:val="en-US"/>
        </w:rPr>
        <w:t xml:space="preserve"> of Georgia and the State Security Service of Georgia;</w:t>
      </w:r>
    </w:p>
    <w:p w14:paraId="084550C1" w14:textId="439EC86E" w:rsidR="00E73B85" w:rsidRPr="0035324F" w:rsidRDefault="00C746DB" w:rsidP="0035324F">
      <w:pPr>
        <w:pStyle w:val="ListParagraph"/>
        <w:numPr>
          <w:ilvl w:val="0"/>
          <w:numId w:val="11"/>
        </w:numPr>
        <w:spacing w:before="120" w:after="120" w:line="276" w:lineRule="auto"/>
        <w:jc w:val="both"/>
        <w:rPr>
          <w:rFonts w:ascii="Sylfaen" w:hAnsi="Sylfaen"/>
          <w:lang w:val="en-US"/>
        </w:rPr>
      </w:pPr>
      <w:r w:rsidRPr="000E36C4">
        <w:rPr>
          <w:rFonts w:ascii="Sylfaen" w:hAnsi="Sylfaen"/>
          <w:lang w:val="ka-GE"/>
        </w:rPr>
        <w:t xml:space="preserve"> exercise other rights and perform other duties determined by the legislation of Georgia</w:t>
      </w:r>
      <w:r w:rsidRPr="000E36C4">
        <w:rPr>
          <w:rStyle w:val="FootnoteReference"/>
          <w:rFonts w:ascii="Sylfaen" w:hAnsi="Sylfaen"/>
          <w:lang w:val="ka-GE"/>
        </w:rPr>
        <w:footnoteReference w:id="13"/>
      </w:r>
      <w:r w:rsidRPr="000E36C4">
        <w:rPr>
          <w:rFonts w:ascii="Sylfaen" w:hAnsi="Sylfaen"/>
          <w:lang w:val="en-US"/>
        </w:rPr>
        <w:t>.</w:t>
      </w:r>
    </w:p>
    <w:p w14:paraId="700CC09B" w14:textId="0F27BEA7" w:rsidR="00C746DB" w:rsidRPr="000E36C4" w:rsidRDefault="00C746DB" w:rsidP="00157297">
      <w:pPr>
        <w:spacing w:before="120" w:after="120" w:line="276" w:lineRule="auto"/>
        <w:jc w:val="both"/>
        <w:rPr>
          <w:rFonts w:ascii="Sylfaen" w:hAnsi="Sylfaen"/>
          <w:lang w:val="en-US"/>
        </w:rPr>
      </w:pPr>
      <w:r w:rsidRPr="000E36C4">
        <w:rPr>
          <w:rFonts w:ascii="Sylfaen" w:hAnsi="Sylfaen"/>
          <w:lang w:val="en-US"/>
        </w:rPr>
        <w:t>The Emergency Management Service is authorized to:</w:t>
      </w:r>
    </w:p>
    <w:p w14:paraId="2C1B8F23" w14:textId="3F4D50B3" w:rsidR="00C746DB" w:rsidRPr="00157297" w:rsidRDefault="00C746DB" w:rsidP="00157297">
      <w:pPr>
        <w:pStyle w:val="ListParagraph"/>
        <w:numPr>
          <w:ilvl w:val="0"/>
          <w:numId w:val="12"/>
        </w:numPr>
        <w:spacing w:before="120" w:after="120" w:line="276" w:lineRule="auto"/>
        <w:jc w:val="both"/>
        <w:rPr>
          <w:rFonts w:ascii="Sylfaen" w:hAnsi="Sylfaen"/>
          <w:lang w:val="en-US"/>
        </w:rPr>
      </w:pPr>
      <w:r w:rsidRPr="000E36C4">
        <w:rPr>
          <w:rFonts w:ascii="Sylfaen" w:hAnsi="Sylfaen"/>
          <w:lang w:val="en-US"/>
        </w:rPr>
        <w:t>request from the subjects of the National System and other administrative bodies information available in the agency for drawing up relevant draft legal acts and draft documents of national importance for the purpose of developing state policy in the field of public safety, and establish working groups with the participation of their representatives and invited experts;</w:t>
      </w:r>
    </w:p>
    <w:p w14:paraId="79B0BA49" w14:textId="06CE8390" w:rsidR="00721941" w:rsidRPr="00157297" w:rsidRDefault="00C746DB" w:rsidP="00157297">
      <w:pPr>
        <w:pStyle w:val="ListParagraph"/>
        <w:numPr>
          <w:ilvl w:val="0"/>
          <w:numId w:val="12"/>
        </w:numPr>
        <w:spacing w:before="120" w:after="120" w:line="276" w:lineRule="auto"/>
        <w:jc w:val="both"/>
        <w:rPr>
          <w:rFonts w:ascii="Sylfaen" w:hAnsi="Sylfaen"/>
          <w:lang w:val="en-US"/>
        </w:rPr>
      </w:pPr>
      <w:r w:rsidRPr="000E36C4">
        <w:rPr>
          <w:rFonts w:ascii="Sylfaen" w:hAnsi="Sylfaen"/>
          <w:lang w:val="en-US"/>
        </w:rPr>
        <w:t>make up official statistical recordings and carry out state statistical reporting of emergency situations and their effects, and request available information from the subjects of the National System and other administrative bodies in order to determine the cause of emergency situations;</w:t>
      </w:r>
    </w:p>
    <w:p w14:paraId="7DF285D2" w14:textId="08528155" w:rsidR="00721941" w:rsidRPr="00157297" w:rsidRDefault="00721941" w:rsidP="00157297">
      <w:pPr>
        <w:pStyle w:val="ListParagraph"/>
        <w:numPr>
          <w:ilvl w:val="0"/>
          <w:numId w:val="12"/>
        </w:numPr>
        <w:spacing w:before="120" w:after="120" w:line="276" w:lineRule="auto"/>
        <w:jc w:val="both"/>
        <w:rPr>
          <w:rFonts w:ascii="Sylfaen" w:hAnsi="Sylfaen"/>
          <w:lang w:val="en-US"/>
        </w:rPr>
      </w:pPr>
      <w:r w:rsidRPr="000E36C4">
        <w:rPr>
          <w:rFonts w:ascii="Sylfaen" w:hAnsi="Sylfaen"/>
          <w:lang w:val="en-US"/>
        </w:rPr>
        <w:t>submit proposals to the Minister on creating, managing, storing and using the stocks of the state material reserve;</w:t>
      </w:r>
    </w:p>
    <w:p w14:paraId="0F9FBBC1" w14:textId="1690BE43" w:rsidR="00721941" w:rsidRPr="000E36C4" w:rsidRDefault="00721941" w:rsidP="00157297">
      <w:pPr>
        <w:pStyle w:val="ListParagraph"/>
        <w:numPr>
          <w:ilvl w:val="0"/>
          <w:numId w:val="12"/>
        </w:numPr>
        <w:spacing w:before="120" w:after="120" w:line="276" w:lineRule="auto"/>
        <w:jc w:val="both"/>
        <w:rPr>
          <w:rFonts w:ascii="Sylfaen" w:hAnsi="Sylfaen"/>
          <w:lang w:val="en-US"/>
        </w:rPr>
      </w:pPr>
      <w:proofErr w:type="gramStart"/>
      <w:r w:rsidRPr="000E36C4">
        <w:rPr>
          <w:rFonts w:ascii="Sylfaen" w:hAnsi="Sylfaen"/>
          <w:lang w:val="en-US"/>
        </w:rPr>
        <w:t>exercise</w:t>
      </w:r>
      <w:proofErr w:type="gramEnd"/>
      <w:r w:rsidRPr="000E36C4">
        <w:rPr>
          <w:rFonts w:ascii="Sylfaen" w:hAnsi="Sylfaen"/>
          <w:lang w:val="en-US"/>
        </w:rPr>
        <w:t xml:space="preserve"> other powers provided for by the legislation of Georgia</w:t>
      </w:r>
      <w:r w:rsidRPr="000E36C4">
        <w:rPr>
          <w:rStyle w:val="FootnoteReference"/>
          <w:rFonts w:ascii="Sylfaen" w:hAnsi="Sylfaen"/>
          <w:lang w:val="en-US"/>
        </w:rPr>
        <w:footnoteReference w:id="14"/>
      </w:r>
      <w:r w:rsidRPr="000E36C4">
        <w:rPr>
          <w:rFonts w:ascii="Sylfaen" w:hAnsi="Sylfaen"/>
          <w:lang w:val="en-US"/>
        </w:rPr>
        <w:t>.</w:t>
      </w:r>
    </w:p>
    <w:p w14:paraId="02BC757F" w14:textId="77777777" w:rsidR="00E73B85" w:rsidRPr="000E36C4" w:rsidRDefault="00E73B85" w:rsidP="00157297">
      <w:pPr>
        <w:pStyle w:val="ListParagraph"/>
        <w:spacing w:before="120" w:after="120" w:line="276" w:lineRule="auto"/>
        <w:rPr>
          <w:rFonts w:ascii="Sylfaen" w:hAnsi="Sylfaen"/>
          <w:lang w:val="en-US"/>
        </w:rPr>
      </w:pPr>
    </w:p>
    <w:p w14:paraId="6637B8E1" w14:textId="763C26CC" w:rsidR="00E73B85" w:rsidRPr="000E36C4" w:rsidRDefault="00EB4E4A" w:rsidP="00157297">
      <w:pPr>
        <w:spacing w:before="120" w:after="120" w:line="276" w:lineRule="auto"/>
        <w:jc w:val="both"/>
        <w:rPr>
          <w:rFonts w:ascii="Sylfaen" w:hAnsi="Sylfaen"/>
          <w:lang w:val="en-US"/>
        </w:rPr>
      </w:pPr>
      <w:r w:rsidRPr="000E36C4">
        <w:rPr>
          <w:rFonts w:ascii="Sylfaen" w:hAnsi="Sylfaen"/>
          <w:lang w:val="en-US"/>
        </w:rPr>
        <w:t xml:space="preserve">Another institutional mechanism for crisis management is the National Security Council which is established in order to inform the Prime Minister of Georgia about national security and matters threatening national interests, to prepare political decisions to be made by the </w:t>
      </w:r>
      <w:proofErr w:type="spellStart"/>
      <w:r w:rsidRPr="000E36C4">
        <w:rPr>
          <w:rFonts w:ascii="Sylfaen" w:hAnsi="Sylfaen"/>
          <w:lang w:val="en-US"/>
        </w:rPr>
        <w:t>the</w:t>
      </w:r>
      <w:proofErr w:type="spellEnd"/>
      <w:r w:rsidRPr="000E36C4">
        <w:rPr>
          <w:rFonts w:ascii="Sylfaen" w:hAnsi="Sylfaen"/>
          <w:lang w:val="en-US"/>
        </w:rPr>
        <w:t xml:space="preserve"> Prime Minister and to plan and coordinate the national security policy on strategic level</w:t>
      </w:r>
      <w:r w:rsidR="00A95956" w:rsidRPr="000E36C4">
        <w:rPr>
          <w:rStyle w:val="FootnoteReference"/>
          <w:rFonts w:ascii="Sylfaen" w:hAnsi="Sylfaen"/>
          <w:lang w:val="en-US"/>
        </w:rPr>
        <w:footnoteReference w:id="15"/>
      </w:r>
      <w:r w:rsidRPr="000E36C4">
        <w:rPr>
          <w:rFonts w:ascii="Sylfaen" w:hAnsi="Sylfaen"/>
          <w:lang w:val="en-US"/>
        </w:rPr>
        <w:t xml:space="preserve">. </w:t>
      </w:r>
      <w:r w:rsidR="005523FE" w:rsidRPr="000E36C4">
        <w:rPr>
          <w:rFonts w:ascii="Sylfaen" w:hAnsi="Sylfaen"/>
          <w:lang w:val="en-US"/>
        </w:rPr>
        <w:t>The National Security Council is authorized to:</w:t>
      </w:r>
    </w:p>
    <w:p w14:paraId="3665FED6" w14:textId="5A90686E" w:rsidR="005523FE" w:rsidRPr="00157297" w:rsidRDefault="005523FE" w:rsidP="00157297">
      <w:pPr>
        <w:pStyle w:val="ListParagraph"/>
        <w:numPr>
          <w:ilvl w:val="0"/>
          <w:numId w:val="13"/>
        </w:numPr>
        <w:spacing w:before="120" w:after="120" w:line="276" w:lineRule="auto"/>
        <w:jc w:val="both"/>
        <w:rPr>
          <w:rFonts w:ascii="Sylfaen" w:hAnsi="Sylfaen"/>
          <w:lang w:val="en-US"/>
        </w:rPr>
      </w:pPr>
      <w:proofErr w:type="spellStart"/>
      <w:r w:rsidRPr="000E36C4">
        <w:rPr>
          <w:rFonts w:ascii="Sylfaen" w:hAnsi="Sylfaen"/>
          <w:lang w:val="en-US"/>
        </w:rPr>
        <w:t>analyse</w:t>
      </w:r>
      <w:proofErr w:type="spellEnd"/>
      <w:r w:rsidRPr="000E36C4">
        <w:rPr>
          <w:rFonts w:ascii="Sylfaen" w:hAnsi="Sylfaen"/>
          <w:lang w:val="en-US"/>
        </w:rPr>
        <w:t xml:space="preserve"> domestic and foreign policy issues that are directly related to the national security;</w:t>
      </w:r>
    </w:p>
    <w:p w14:paraId="61ADB5F1" w14:textId="1505DC49" w:rsidR="005523FE" w:rsidRPr="00157297" w:rsidRDefault="005523FE" w:rsidP="00157297">
      <w:pPr>
        <w:pStyle w:val="ListParagraph"/>
        <w:numPr>
          <w:ilvl w:val="0"/>
          <w:numId w:val="13"/>
        </w:numPr>
        <w:spacing w:before="120" w:after="120" w:line="276" w:lineRule="auto"/>
        <w:jc w:val="both"/>
        <w:rPr>
          <w:rFonts w:ascii="Sylfaen" w:hAnsi="Sylfaen"/>
          <w:lang w:val="en-US"/>
        </w:rPr>
      </w:pPr>
      <w:proofErr w:type="spellStart"/>
      <w:r w:rsidRPr="000E36C4">
        <w:rPr>
          <w:rFonts w:ascii="Sylfaen" w:hAnsi="Sylfaen"/>
          <w:lang w:val="en-US"/>
        </w:rPr>
        <w:t>familiarise</w:t>
      </w:r>
      <w:proofErr w:type="spellEnd"/>
      <w:r w:rsidRPr="000E36C4">
        <w:rPr>
          <w:rFonts w:ascii="Sylfaen" w:hAnsi="Sylfaen"/>
          <w:lang w:val="en-US"/>
        </w:rPr>
        <w:t xml:space="preserve"> itself with and examine information on the situation in the area of national security, identify and assess threats and develop appropriate  recommendations about prevention of these threats and necessary preventive measures;</w:t>
      </w:r>
    </w:p>
    <w:p w14:paraId="09FCA2D2" w14:textId="736EA2CD" w:rsidR="005523FE" w:rsidRPr="00157297" w:rsidRDefault="005523FE" w:rsidP="00157297">
      <w:pPr>
        <w:pStyle w:val="ListParagraph"/>
        <w:numPr>
          <w:ilvl w:val="0"/>
          <w:numId w:val="13"/>
        </w:numPr>
        <w:spacing w:before="120" w:after="120" w:line="276" w:lineRule="auto"/>
        <w:jc w:val="both"/>
        <w:rPr>
          <w:rFonts w:ascii="Sylfaen" w:hAnsi="Sylfaen"/>
          <w:lang w:val="en-US"/>
        </w:rPr>
      </w:pPr>
      <w:r w:rsidRPr="000E36C4">
        <w:rPr>
          <w:rFonts w:ascii="Sylfaen" w:hAnsi="Sylfaen"/>
          <w:lang w:val="en-US"/>
        </w:rPr>
        <w:t>develop proposals to prevent and eliminate the outcomes of the events containing political, military, social, economic, ecological and other threats;</w:t>
      </w:r>
    </w:p>
    <w:p w14:paraId="6A7C3D8B" w14:textId="74B54073" w:rsidR="00C76B42" w:rsidRPr="00157297" w:rsidRDefault="005523FE" w:rsidP="00157297">
      <w:pPr>
        <w:pStyle w:val="ListParagraph"/>
        <w:numPr>
          <w:ilvl w:val="0"/>
          <w:numId w:val="13"/>
        </w:numPr>
        <w:spacing w:before="120" w:after="120" w:line="276" w:lineRule="auto"/>
        <w:jc w:val="both"/>
        <w:rPr>
          <w:rFonts w:ascii="Sylfaen" w:hAnsi="Sylfaen"/>
          <w:lang w:val="en-US"/>
        </w:rPr>
      </w:pPr>
      <w:proofErr w:type="gramStart"/>
      <w:r w:rsidRPr="000E36C4">
        <w:rPr>
          <w:rFonts w:ascii="Sylfaen" w:hAnsi="Sylfaen"/>
          <w:lang w:val="en-US"/>
        </w:rPr>
        <w:t>exercise</w:t>
      </w:r>
      <w:proofErr w:type="gramEnd"/>
      <w:r w:rsidRPr="000E36C4">
        <w:rPr>
          <w:rFonts w:ascii="Sylfaen" w:hAnsi="Sylfaen"/>
          <w:lang w:val="en-US"/>
        </w:rPr>
        <w:t xml:space="preserve"> other powers granted under the legislation of Georgia</w:t>
      </w:r>
      <w:r w:rsidRPr="000E36C4">
        <w:rPr>
          <w:rStyle w:val="FootnoteReference"/>
          <w:rFonts w:ascii="Sylfaen" w:hAnsi="Sylfaen"/>
          <w:lang w:val="en-US"/>
        </w:rPr>
        <w:footnoteReference w:id="16"/>
      </w:r>
      <w:r w:rsidRPr="000E36C4">
        <w:rPr>
          <w:rFonts w:ascii="Sylfaen" w:hAnsi="Sylfaen"/>
          <w:lang w:val="en-US"/>
        </w:rPr>
        <w:t>.</w:t>
      </w:r>
    </w:p>
    <w:p w14:paraId="4FF689C5" w14:textId="3D7C05AB" w:rsidR="00EC3471" w:rsidRPr="000E36C4" w:rsidRDefault="00E35DE6" w:rsidP="0035324F">
      <w:pPr>
        <w:spacing w:before="120" w:after="120" w:line="276" w:lineRule="auto"/>
        <w:jc w:val="both"/>
        <w:rPr>
          <w:rFonts w:ascii="Sylfaen" w:hAnsi="Sylfaen"/>
          <w:lang w:val="en-US"/>
        </w:rPr>
      </w:pPr>
      <w:r w:rsidRPr="00157297">
        <w:rPr>
          <w:rFonts w:ascii="Sylfaen" w:hAnsi="Sylfaen"/>
          <w:lang w:val="en-US"/>
        </w:rPr>
        <w:t xml:space="preserve">Another institutional </w:t>
      </w:r>
      <w:proofErr w:type="spellStart"/>
      <w:r w:rsidRPr="00157297">
        <w:rPr>
          <w:rFonts w:ascii="Sylfaen" w:hAnsi="Sylfaen"/>
          <w:lang w:val="en-US"/>
        </w:rPr>
        <w:t>mechanim</w:t>
      </w:r>
      <w:proofErr w:type="spellEnd"/>
      <w:r w:rsidRPr="00157297">
        <w:rPr>
          <w:rFonts w:ascii="Sylfaen" w:hAnsi="Sylfaen"/>
          <w:lang w:val="en-US"/>
        </w:rPr>
        <w:t xml:space="preserve"> is the National </w:t>
      </w:r>
      <w:proofErr w:type="spellStart"/>
      <w:r w:rsidRPr="00157297">
        <w:rPr>
          <w:rFonts w:ascii="Sylfaen" w:hAnsi="Sylfaen"/>
          <w:lang w:val="en-US"/>
        </w:rPr>
        <w:t>Defence</w:t>
      </w:r>
      <w:proofErr w:type="spellEnd"/>
      <w:r w:rsidRPr="00157297">
        <w:rPr>
          <w:rFonts w:ascii="Sylfaen" w:hAnsi="Sylfaen"/>
          <w:lang w:val="en-US"/>
        </w:rPr>
        <w:t xml:space="preserve"> Council which may be established </w:t>
      </w:r>
      <w:r w:rsidR="00226A0A" w:rsidRPr="00157297">
        <w:rPr>
          <w:rFonts w:ascii="Sylfaen" w:hAnsi="Sylfaen"/>
          <w:lang w:val="en-US"/>
        </w:rPr>
        <w:t xml:space="preserve">and operates </w:t>
      </w:r>
      <w:r w:rsidRPr="00157297">
        <w:rPr>
          <w:rFonts w:ascii="Sylfaen" w:hAnsi="Sylfaen"/>
          <w:lang w:val="en-US"/>
        </w:rPr>
        <w:t>during the martial law</w:t>
      </w:r>
      <w:r w:rsidRPr="000E36C4">
        <w:rPr>
          <w:rStyle w:val="FootnoteReference"/>
          <w:rFonts w:ascii="Sylfaen" w:hAnsi="Sylfaen"/>
          <w:lang w:val="en-US"/>
        </w:rPr>
        <w:footnoteReference w:id="17"/>
      </w:r>
      <w:r w:rsidR="00FE5056" w:rsidRPr="00157297">
        <w:rPr>
          <w:rFonts w:ascii="Sylfaen" w:hAnsi="Sylfaen"/>
          <w:lang w:val="en-US"/>
        </w:rPr>
        <w:t xml:space="preserve">. </w:t>
      </w:r>
      <w:r w:rsidR="00037F2A" w:rsidRPr="00157297">
        <w:rPr>
          <w:rFonts w:ascii="Sylfaen" w:hAnsi="Sylfaen"/>
          <w:lang w:val="en-US"/>
        </w:rPr>
        <w:t xml:space="preserve">The National </w:t>
      </w:r>
      <w:proofErr w:type="spellStart"/>
      <w:r w:rsidR="00037F2A" w:rsidRPr="00157297">
        <w:rPr>
          <w:rFonts w:ascii="Sylfaen" w:hAnsi="Sylfaen"/>
          <w:lang w:val="en-US"/>
        </w:rPr>
        <w:t>Defence</w:t>
      </w:r>
      <w:proofErr w:type="spellEnd"/>
      <w:r w:rsidR="00037F2A" w:rsidRPr="00157297">
        <w:rPr>
          <w:rFonts w:ascii="Sylfaen" w:hAnsi="Sylfaen"/>
          <w:lang w:val="en-US"/>
        </w:rPr>
        <w:t xml:space="preserve"> Council is authorized, within its constitutional competences, to review issues </w:t>
      </w:r>
      <w:r w:rsidR="00226A0A" w:rsidRPr="00157297">
        <w:rPr>
          <w:rFonts w:ascii="Sylfaen" w:hAnsi="Sylfaen"/>
          <w:lang w:val="en-US"/>
        </w:rPr>
        <w:t xml:space="preserve">arisen </w:t>
      </w:r>
      <w:r w:rsidR="006745E4" w:rsidRPr="00157297">
        <w:rPr>
          <w:rFonts w:ascii="Sylfaen" w:hAnsi="Sylfaen"/>
          <w:lang w:val="en-US"/>
        </w:rPr>
        <w:t>during the martial law and to prepare reco</w:t>
      </w:r>
      <w:r w:rsidR="00226A0A" w:rsidRPr="00157297">
        <w:rPr>
          <w:rFonts w:ascii="Sylfaen" w:hAnsi="Sylfaen"/>
          <w:lang w:val="en-US"/>
        </w:rPr>
        <w:t>mmendations and proposals regard</w:t>
      </w:r>
      <w:r w:rsidR="006745E4" w:rsidRPr="00157297">
        <w:rPr>
          <w:rFonts w:ascii="Sylfaen" w:hAnsi="Sylfaen"/>
          <w:lang w:val="en-US"/>
        </w:rPr>
        <w:t xml:space="preserve">ing </w:t>
      </w:r>
      <w:r w:rsidR="00226A0A" w:rsidRPr="00157297">
        <w:rPr>
          <w:rFonts w:ascii="Sylfaen" w:hAnsi="Sylfaen"/>
          <w:lang w:val="en-US"/>
        </w:rPr>
        <w:t xml:space="preserve">the organization of state </w:t>
      </w:r>
      <w:proofErr w:type="spellStart"/>
      <w:r w:rsidR="00226A0A" w:rsidRPr="00157297">
        <w:rPr>
          <w:rFonts w:ascii="Sylfaen" w:hAnsi="Sylfaen"/>
          <w:lang w:val="en-US"/>
        </w:rPr>
        <w:t>defence</w:t>
      </w:r>
      <w:proofErr w:type="spellEnd"/>
      <w:r w:rsidR="00226A0A" w:rsidRPr="00157297">
        <w:rPr>
          <w:rFonts w:ascii="Sylfaen" w:hAnsi="Sylfaen"/>
          <w:lang w:val="en-US"/>
        </w:rPr>
        <w:t xml:space="preserve"> and other necessities connected to the martial law</w:t>
      </w:r>
      <w:r w:rsidR="00226A0A" w:rsidRPr="000E36C4">
        <w:rPr>
          <w:rStyle w:val="FootnoteReference"/>
          <w:rFonts w:ascii="Sylfaen" w:hAnsi="Sylfaen"/>
          <w:lang w:val="en-US"/>
        </w:rPr>
        <w:footnoteReference w:id="18"/>
      </w:r>
      <w:r w:rsidR="005C7DDE" w:rsidRPr="00157297">
        <w:rPr>
          <w:rFonts w:ascii="Sylfaen" w:hAnsi="Sylfaen"/>
          <w:lang w:val="en-US"/>
        </w:rPr>
        <w:t>.</w:t>
      </w:r>
    </w:p>
    <w:p w14:paraId="401032B8" w14:textId="77777777" w:rsidR="00F54EE6" w:rsidRPr="000E36C4" w:rsidRDefault="00F54EE6" w:rsidP="00CB0784">
      <w:pPr>
        <w:jc w:val="both"/>
        <w:rPr>
          <w:rFonts w:ascii="Sylfaen" w:hAnsi="Sylfaen"/>
          <w:u w:val="single"/>
        </w:rPr>
      </w:pPr>
      <w:r w:rsidRPr="000E36C4">
        <w:rPr>
          <w:rFonts w:ascii="Sylfaen" w:hAnsi="Sylfaen"/>
          <w:u w:val="single"/>
        </w:rPr>
        <w:t>Experience</w:t>
      </w:r>
      <w:r w:rsidR="00CB0784" w:rsidRPr="000E36C4">
        <w:rPr>
          <w:rFonts w:ascii="Sylfaen" w:hAnsi="Sylfaen"/>
          <w:u w:val="single"/>
        </w:rPr>
        <w:t>s</w:t>
      </w:r>
      <w:r w:rsidRPr="000E36C4">
        <w:rPr>
          <w:rFonts w:ascii="Sylfaen" w:hAnsi="Sylfaen"/>
          <w:u w:val="single"/>
        </w:rPr>
        <w:t xml:space="preserve"> of crisis</w:t>
      </w:r>
    </w:p>
    <w:p w14:paraId="487682C0" w14:textId="77777777" w:rsidR="00F54EE6" w:rsidRPr="000E36C4" w:rsidRDefault="00F54EE6" w:rsidP="000C70B6">
      <w:pPr>
        <w:pStyle w:val="ListParagraph"/>
        <w:numPr>
          <w:ilvl w:val="0"/>
          <w:numId w:val="9"/>
        </w:numPr>
        <w:ind w:left="709"/>
        <w:jc w:val="both"/>
        <w:rPr>
          <w:rFonts w:ascii="Sylfaen" w:hAnsi="Sylfaen"/>
          <w:b/>
        </w:rPr>
      </w:pPr>
      <w:r w:rsidRPr="000E36C4">
        <w:rPr>
          <w:rFonts w:ascii="Sylfaen" w:hAnsi="Sylfaen"/>
          <w:b/>
        </w:rPr>
        <w:t xml:space="preserve">Please list the situations of crisis experienced by your State in the last five years. </w:t>
      </w:r>
    </w:p>
    <w:p w14:paraId="0797430A" w14:textId="77777777" w:rsidR="00A56C1B" w:rsidRPr="000E36C4" w:rsidRDefault="00A56C1B" w:rsidP="00A56C1B">
      <w:pPr>
        <w:pStyle w:val="ListParagraph"/>
        <w:ind w:left="709"/>
        <w:jc w:val="both"/>
        <w:rPr>
          <w:rFonts w:ascii="Sylfaen" w:hAnsi="Sylfaen"/>
          <w:lang w:val="ka-GE"/>
        </w:rPr>
      </w:pPr>
    </w:p>
    <w:p w14:paraId="08D9D7C2" w14:textId="59F24590" w:rsidR="00F54EE6" w:rsidRPr="0035324F" w:rsidRDefault="006B725D" w:rsidP="00CB0784">
      <w:pPr>
        <w:jc w:val="both"/>
        <w:rPr>
          <w:rFonts w:ascii="Sylfaen" w:hAnsi="Sylfaen"/>
          <w:lang w:val="en-US"/>
        </w:rPr>
      </w:pPr>
      <w:r w:rsidRPr="00157297">
        <w:rPr>
          <w:rFonts w:ascii="Sylfaen" w:hAnsi="Sylfaen"/>
          <w:lang w:val="en-US"/>
        </w:rPr>
        <w:t>Like the rest of the world, Georgia has been facing the crisis caused by Covid-19</w:t>
      </w:r>
      <w:r w:rsidR="00360F9D" w:rsidRPr="00157297">
        <w:rPr>
          <w:rFonts w:ascii="Sylfaen" w:hAnsi="Sylfaen"/>
          <w:lang w:val="en-US"/>
        </w:rPr>
        <w:t xml:space="preserve"> in 2020</w:t>
      </w:r>
      <w:r w:rsidRPr="00157297">
        <w:rPr>
          <w:rFonts w:ascii="Sylfaen" w:hAnsi="Sylfaen"/>
          <w:lang w:val="en-US"/>
        </w:rPr>
        <w:t>.  In response to the pandemic</w:t>
      </w:r>
      <w:proofErr w:type="gramStart"/>
      <w:r w:rsidRPr="00157297">
        <w:rPr>
          <w:rFonts w:ascii="Sylfaen" w:hAnsi="Sylfaen"/>
          <w:lang w:val="en-US"/>
        </w:rPr>
        <w:t>,  o</w:t>
      </w:r>
      <w:r w:rsidR="00DA13E8" w:rsidRPr="00157297">
        <w:rPr>
          <w:rFonts w:ascii="Sylfaen" w:hAnsi="Sylfaen"/>
          <w:lang w:val="en-US"/>
        </w:rPr>
        <w:t>n</w:t>
      </w:r>
      <w:proofErr w:type="gramEnd"/>
      <w:r w:rsidR="00DA13E8" w:rsidRPr="00157297">
        <w:rPr>
          <w:rFonts w:ascii="Sylfaen" w:hAnsi="Sylfaen"/>
          <w:lang w:val="en-US"/>
        </w:rPr>
        <w:t xml:space="preserve"> March 21</w:t>
      </w:r>
      <w:r w:rsidR="00DA13E8" w:rsidRPr="00157297">
        <w:rPr>
          <w:rFonts w:ascii="Sylfaen" w:hAnsi="Sylfaen"/>
          <w:vertAlign w:val="superscript"/>
          <w:lang w:val="en-US"/>
        </w:rPr>
        <w:t>st</w:t>
      </w:r>
      <w:r w:rsidR="00DA13E8" w:rsidRPr="00157297">
        <w:rPr>
          <w:rFonts w:ascii="Sylfaen" w:hAnsi="Sylfaen"/>
          <w:lang w:val="en-US"/>
        </w:rPr>
        <w:t xml:space="preserve"> in 2020</w:t>
      </w:r>
      <w:r w:rsidRPr="00157297">
        <w:rPr>
          <w:rFonts w:ascii="Sylfaen" w:hAnsi="Sylfaen"/>
          <w:lang w:val="en-US"/>
        </w:rPr>
        <w:t>,</w:t>
      </w:r>
      <w:r w:rsidR="00DA13E8" w:rsidRPr="00157297">
        <w:rPr>
          <w:rFonts w:ascii="Sylfaen" w:hAnsi="Sylfaen"/>
          <w:lang w:val="en-US"/>
        </w:rPr>
        <w:t xml:space="preserve"> the President of Georgia issued Decree No 1 on Measures to be Implemented in connection with the Declaration of a State of Emergency throughout the Whole Territory of Georgia</w:t>
      </w:r>
      <w:r w:rsidR="00DA13E8" w:rsidRPr="000E36C4">
        <w:rPr>
          <w:rStyle w:val="FootnoteReference"/>
          <w:rFonts w:ascii="Sylfaen" w:hAnsi="Sylfaen"/>
          <w:lang w:val="en-US"/>
        </w:rPr>
        <w:footnoteReference w:id="19"/>
      </w:r>
      <w:r w:rsidRPr="00157297">
        <w:rPr>
          <w:rFonts w:ascii="Sylfaen" w:hAnsi="Sylfaen"/>
          <w:lang w:val="en-US"/>
        </w:rPr>
        <w:t>.</w:t>
      </w:r>
      <w:r w:rsidR="00F17BA3" w:rsidRPr="00157297">
        <w:rPr>
          <w:rFonts w:ascii="Sylfaen" w:hAnsi="Sylfaen"/>
          <w:lang w:val="en-US"/>
        </w:rPr>
        <w:t xml:space="preserve"> The </w:t>
      </w:r>
      <w:r w:rsidR="00664BCE" w:rsidRPr="00157297">
        <w:rPr>
          <w:rFonts w:ascii="Sylfaen" w:hAnsi="Sylfaen"/>
          <w:lang w:val="en-US"/>
        </w:rPr>
        <w:t xml:space="preserve">Decree introduced restrictions </w:t>
      </w:r>
      <w:proofErr w:type="gramStart"/>
      <w:r w:rsidR="00664BCE" w:rsidRPr="00157297">
        <w:rPr>
          <w:rFonts w:ascii="Sylfaen" w:hAnsi="Sylfaen"/>
          <w:lang w:val="en-US"/>
        </w:rPr>
        <w:t xml:space="preserve">of  </w:t>
      </w:r>
      <w:r w:rsidR="00F17BA3" w:rsidRPr="00157297">
        <w:rPr>
          <w:rFonts w:ascii="Sylfaen" w:hAnsi="Sylfaen"/>
          <w:lang w:val="en-US"/>
        </w:rPr>
        <w:t>rights</w:t>
      </w:r>
      <w:proofErr w:type="gramEnd"/>
      <w:r w:rsidR="00F17BA3" w:rsidRPr="00157297">
        <w:rPr>
          <w:rFonts w:ascii="Sylfaen" w:hAnsi="Sylfaen"/>
          <w:lang w:val="en-US"/>
        </w:rPr>
        <w:t xml:space="preserve"> referred to in Articles 13, 14, 15, 18, 19, 21 and 26 of the Constitution of Georgia and liability for the breach of the regime of </w:t>
      </w:r>
      <w:r w:rsidR="00D737F3" w:rsidRPr="00157297">
        <w:rPr>
          <w:rFonts w:ascii="Sylfaen" w:hAnsi="Sylfaen"/>
          <w:lang w:val="en-US"/>
        </w:rPr>
        <w:t>state of emergency</w:t>
      </w:r>
      <w:r w:rsidR="00664BCE" w:rsidRPr="000E36C4">
        <w:rPr>
          <w:rStyle w:val="FootnoteReference"/>
          <w:rFonts w:ascii="Sylfaen" w:hAnsi="Sylfaen"/>
          <w:lang w:val="en-US"/>
        </w:rPr>
        <w:footnoteReference w:id="20"/>
      </w:r>
      <w:r w:rsidR="00D737F3" w:rsidRPr="00157297">
        <w:rPr>
          <w:rFonts w:ascii="Sylfaen" w:hAnsi="Sylfaen"/>
          <w:lang w:val="en-US"/>
        </w:rPr>
        <w:t>.</w:t>
      </w:r>
      <w:r w:rsidR="00664BCE" w:rsidRPr="00157297">
        <w:rPr>
          <w:rFonts w:ascii="Sylfaen" w:hAnsi="Sylfaen"/>
          <w:lang w:val="en-US"/>
        </w:rPr>
        <w:t xml:space="preserve"> More detailed regulations and restrictions were later established by legal acts that were based on the Decree No 1. </w:t>
      </w:r>
      <w:r w:rsidR="00360F9D" w:rsidRPr="00157297">
        <w:rPr>
          <w:rFonts w:ascii="Sylfaen" w:hAnsi="Sylfaen"/>
          <w:lang w:val="en-US"/>
        </w:rPr>
        <w:t>The</w:t>
      </w:r>
      <w:r w:rsidR="000C6581" w:rsidRPr="00157297">
        <w:rPr>
          <w:rFonts w:ascii="Sylfaen" w:hAnsi="Sylfaen"/>
          <w:lang w:val="en-US"/>
        </w:rPr>
        <w:t xml:space="preserve"> lockdown</w:t>
      </w:r>
      <w:r w:rsidR="009331E2" w:rsidRPr="00157297">
        <w:rPr>
          <w:rFonts w:ascii="Sylfaen" w:hAnsi="Sylfaen"/>
          <w:lang w:val="en-US"/>
        </w:rPr>
        <w:t xml:space="preserve"> during the state of emergency</w:t>
      </w:r>
      <w:r w:rsidR="00360F9D" w:rsidRPr="00157297">
        <w:rPr>
          <w:rFonts w:ascii="Sylfaen" w:hAnsi="Sylfaen"/>
          <w:lang w:val="en-US"/>
        </w:rPr>
        <w:t xml:space="preserve"> caused serious economic, social and human </w:t>
      </w:r>
      <w:proofErr w:type="spellStart"/>
      <w:r w:rsidR="00360F9D" w:rsidRPr="00157297">
        <w:rPr>
          <w:rFonts w:ascii="Sylfaen" w:hAnsi="Sylfaen"/>
          <w:lang w:val="en-US"/>
        </w:rPr>
        <w:t>righs</w:t>
      </w:r>
      <w:proofErr w:type="spellEnd"/>
      <w:r w:rsidR="00360F9D" w:rsidRPr="00157297">
        <w:rPr>
          <w:rFonts w:ascii="Sylfaen" w:hAnsi="Sylfaen"/>
          <w:lang w:val="en-US"/>
        </w:rPr>
        <w:t xml:space="preserve"> challenges. </w:t>
      </w:r>
    </w:p>
    <w:p w14:paraId="2836F050" w14:textId="77777777" w:rsidR="00F54EE6" w:rsidRPr="000E36C4" w:rsidRDefault="00F54EE6" w:rsidP="00CB0784">
      <w:pPr>
        <w:jc w:val="both"/>
        <w:rPr>
          <w:rFonts w:ascii="Sylfaen" w:hAnsi="Sylfaen"/>
          <w:u w:val="single"/>
        </w:rPr>
      </w:pPr>
      <w:r w:rsidRPr="000E36C4">
        <w:rPr>
          <w:rFonts w:ascii="Sylfaen" w:hAnsi="Sylfaen"/>
          <w:u w:val="single"/>
        </w:rPr>
        <w:t>Preparedness</w:t>
      </w:r>
      <w:r w:rsidR="00960985" w:rsidRPr="000E36C4">
        <w:rPr>
          <w:rFonts w:ascii="Sylfaen" w:hAnsi="Sylfaen"/>
          <w:u w:val="single"/>
        </w:rPr>
        <w:t>,</w:t>
      </w:r>
      <w:r w:rsidRPr="000E36C4">
        <w:rPr>
          <w:rFonts w:ascii="Sylfaen" w:hAnsi="Sylfaen"/>
          <w:u w:val="single"/>
        </w:rPr>
        <w:t xml:space="preserve"> </w:t>
      </w:r>
      <w:r w:rsidR="000C4974" w:rsidRPr="000E36C4">
        <w:rPr>
          <w:rFonts w:ascii="Sylfaen" w:hAnsi="Sylfaen"/>
          <w:u w:val="single"/>
        </w:rPr>
        <w:t xml:space="preserve">recovery </w:t>
      </w:r>
      <w:r w:rsidRPr="000E36C4">
        <w:rPr>
          <w:rFonts w:ascii="Sylfaen" w:hAnsi="Sylfaen"/>
          <w:u w:val="single"/>
        </w:rPr>
        <w:t>and resilience</w:t>
      </w:r>
    </w:p>
    <w:p w14:paraId="4BC10411" w14:textId="46FBB1A7" w:rsidR="00224ADA" w:rsidRDefault="00F54EE6" w:rsidP="005F335A">
      <w:pPr>
        <w:pStyle w:val="ListParagraph"/>
        <w:numPr>
          <w:ilvl w:val="0"/>
          <w:numId w:val="9"/>
        </w:numPr>
        <w:jc w:val="both"/>
        <w:rPr>
          <w:rFonts w:ascii="Sylfaen" w:hAnsi="Sylfaen"/>
          <w:b/>
        </w:rPr>
      </w:pPr>
      <w:r w:rsidRPr="0069280F">
        <w:rPr>
          <w:rFonts w:ascii="Sylfaen" w:hAnsi="Sylfaen"/>
          <w:b/>
        </w:rPr>
        <w:t xml:space="preserve">Is there any preparedness or risk management strategy/plan/policy in your State? </w:t>
      </w:r>
    </w:p>
    <w:p w14:paraId="40DB3513" w14:textId="77777777" w:rsidR="0069280F" w:rsidRPr="0069280F" w:rsidRDefault="0069280F" w:rsidP="0069280F">
      <w:pPr>
        <w:pStyle w:val="ListParagraph"/>
        <w:ind w:left="1070"/>
        <w:jc w:val="both"/>
        <w:rPr>
          <w:rFonts w:ascii="Sylfaen" w:hAnsi="Sylfaen"/>
          <w:b/>
        </w:rPr>
      </w:pPr>
    </w:p>
    <w:p w14:paraId="76F46044" w14:textId="752F26D5" w:rsidR="00151CB2" w:rsidRPr="0035324F" w:rsidRDefault="00151CB2" w:rsidP="0035324F">
      <w:pPr>
        <w:jc w:val="both"/>
        <w:rPr>
          <w:rFonts w:ascii="Sylfaen" w:hAnsi="Sylfaen"/>
          <w:lang w:val="en-US"/>
        </w:rPr>
      </w:pPr>
      <w:r w:rsidRPr="0035324F">
        <w:rPr>
          <w:rFonts w:ascii="Sylfaen" w:hAnsi="Sylfaen"/>
          <w:lang w:val="en-US"/>
        </w:rPr>
        <w:t>There are several preparedness/risk management strategies/plans/policies, including the National Public Safety Plan</w:t>
      </w:r>
      <w:r w:rsidR="009C4BD0" w:rsidRPr="000E36C4">
        <w:rPr>
          <w:rStyle w:val="FootnoteReference"/>
          <w:rFonts w:ascii="Sylfaen" w:hAnsi="Sylfaen"/>
          <w:lang w:val="en-US"/>
        </w:rPr>
        <w:footnoteReference w:id="21"/>
      </w:r>
      <w:r w:rsidR="00983D34" w:rsidRPr="0035324F">
        <w:rPr>
          <w:rFonts w:ascii="Sylfaen" w:hAnsi="Sylfaen"/>
          <w:lang w:val="en-US"/>
        </w:rPr>
        <w:t xml:space="preserve">. Moreover, </w:t>
      </w:r>
      <w:r w:rsidR="00120D36" w:rsidRPr="0035324F">
        <w:rPr>
          <w:rFonts w:ascii="Sylfaen" w:hAnsi="Sylfaen"/>
          <w:lang w:val="en-US"/>
        </w:rPr>
        <w:t>the Law of Ge</w:t>
      </w:r>
      <w:r w:rsidR="00E24A24">
        <w:rPr>
          <w:rFonts w:ascii="Sylfaen" w:hAnsi="Sylfaen"/>
          <w:lang w:val="en-US"/>
        </w:rPr>
        <w:t xml:space="preserve">orgia on Public Safety envisages </w:t>
      </w:r>
      <w:proofErr w:type="gramStart"/>
      <w:r w:rsidR="00E24A24">
        <w:rPr>
          <w:rFonts w:ascii="Sylfaen" w:hAnsi="Sylfaen"/>
          <w:lang w:val="en-US"/>
        </w:rPr>
        <w:t>to adopt</w:t>
      </w:r>
      <w:proofErr w:type="gramEnd"/>
      <w:r w:rsidR="00120D36" w:rsidRPr="0035324F">
        <w:rPr>
          <w:rFonts w:ascii="Sylfaen" w:hAnsi="Sylfaen"/>
          <w:lang w:val="en-US"/>
        </w:rPr>
        <w:t xml:space="preserve"> </w:t>
      </w:r>
      <w:r w:rsidRPr="0035324F">
        <w:rPr>
          <w:rFonts w:ascii="Sylfaen" w:hAnsi="Sylfaen"/>
          <w:lang w:val="en-US"/>
        </w:rPr>
        <w:t xml:space="preserve">the National </w:t>
      </w:r>
      <w:proofErr w:type="spellStart"/>
      <w:r w:rsidRPr="0035324F">
        <w:rPr>
          <w:rFonts w:ascii="Sylfaen" w:hAnsi="Sylfaen"/>
          <w:lang w:val="en-US"/>
        </w:rPr>
        <w:t>Defence</w:t>
      </w:r>
      <w:proofErr w:type="spellEnd"/>
      <w:r w:rsidRPr="0035324F">
        <w:rPr>
          <w:rFonts w:ascii="Sylfaen" w:hAnsi="Sylfaen"/>
          <w:lang w:val="en-US"/>
        </w:rPr>
        <w:t xml:space="preserve"> Plan</w:t>
      </w:r>
      <w:r w:rsidR="00550F84" w:rsidRPr="000E36C4">
        <w:rPr>
          <w:rStyle w:val="FootnoteReference"/>
          <w:rFonts w:ascii="Sylfaen" w:hAnsi="Sylfaen"/>
          <w:lang w:val="en-US"/>
        </w:rPr>
        <w:footnoteReference w:id="22"/>
      </w:r>
      <w:r w:rsidRPr="0035324F">
        <w:rPr>
          <w:rFonts w:ascii="Sylfaen" w:hAnsi="Sylfaen"/>
          <w:lang w:val="en-US"/>
        </w:rPr>
        <w:t>, the Civil and Military Cooperation Plan</w:t>
      </w:r>
      <w:r w:rsidR="00550F84" w:rsidRPr="000E36C4">
        <w:rPr>
          <w:rStyle w:val="FootnoteReference"/>
          <w:rFonts w:ascii="Sylfaen" w:hAnsi="Sylfaen"/>
          <w:lang w:val="en-US"/>
        </w:rPr>
        <w:footnoteReference w:id="23"/>
      </w:r>
      <w:r w:rsidR="00E24A24">
        <w:rPr>
          <w:rFonts w:ascii="Sylfaen" w:hAnsi="Sylfaen"/>
          <w:lang w:val="en-US"/>
        </w:rPr>
        <w:t xml:space="preserve">. Moreover, </w:t>
      </w:r>
      <w:r w:rsidR="007E5712" w:rsidRPr="0035324F">
        <w:rPr>
          <w:rFonts w:ascii="Sylfaen" w:hAnsi="Sylfaen"/>
          <w:lang w:val="en-US"/>
        </w:rPr>
        <w:t xml:space="preserve">the </w:t>
      </w:r>
      <w:proofErr w:type="spellStart"/>
      <w:r w:rsidR="007E5712" w:rsidRPr="0035324F">
        <w:rPr>
          <w:rFonts w:ascii="Sylfaen" w:hAnsi="Sylfaen"/>
          <w:lang w:val="en-US"/>
        </w:rPr>
        <w:t>the</w:t>
      </w:r>
      <w:proofErr w:type="spellEnd"/>
      <w:r w:rsidR="007E5712" w:rsidRPr="0035324F">
        <w:rPr>
          <w:rFonts w:ascii="Sylfaen" w:hAnsi="Sylfaen"/>
          <w:lang w:val="en-US"/>
        </w:rPr>
        <w:t xml:space="preserve"> Law of Georgia on National Security Policy Planning and Coordination envisages </w:t>
      </w:r>
      <w:r w:rsidR="00E24A24">
        <w:rPr>
          <w:rFonts w:ascii="Sylfaen" w:hAnsi="Sylfaen"/>
          <w:lang w:val="en-US"/>
        </w:rPr>
        <w:t xml:space="preserve"> </w:t>
      </w:r>
      <w:r w:rsidRPr="0035324F">
        <w:rPr>
          <w:rFonts w:ascii="Sylfaen" w:hAnsi="Sylfaen"/>
          <w:lang w:val="en-US"/>
        </w:rPr>
        <w:t>the national-level conceptual documents (the National Security Concept of Georgia, the Threat Assessment Document of Georgia, national security strategies)</w:t>
      </w:r>
      <w:r w:rsidR="00550F84" w:rsidRPr="000E36C4">
        <w:rPr>
          <w:rStyle w:val="FootnoteReference"/>
          <w:rFonts w:ascii="Sylfaen" w:hAnsi="Sylfaen"/>
          <w:lang w:val="en-US"/>
        </w:rPr>
        <w:footnoteReference w:id="24"/>
      </w:r>
      <w:r w:rsidRPr="0035324F">
        <w:rPr>
          <w:rFonts w:ascii="Sylfaen" w:hAnsi="Sylfaen"/>
          <w:lang w:val="en-US"/>
        </w:rPr>
        <w:t xml:space="preserve"> and  agency level conceptual</w:t>
      </w:r>
      <w:r w:rsidR="00E24A24">
        <w:rPr>
          <w:rFonts w:ascii="Sylfaen" w:hAnsi="Sylfaen"/>
          <w:lang w:val="en-US"/>
        </w:rPr>
        <w:t xml:space="preserve"> (</w:t>
      </w:r>
      <w:r w:rsidR="00245008" w:rsidRPr="0035324F">
        <w:rPr>
          <w:rFonts w:ascii="Sylfaen" w:hAnsi="Sylfaen"/>
          <w:lang w:val="en-US"/>
        </w:rPr>
        <w:t xml:space="preserve">an agency-level concept,  an agency-level strategy,  a doctrine, a </w:t>
      </w:r>
      <w:proofErr w:type="spellStart"/>
      <w:r w:rsidR="00245008" w:rsidRPr="0035324F">
        <w:rPr>
          <w:rFonts w:ascii="Sylfaen" w:hAnsi="Sylfaen"/>
          <w:lang w:val="en-US"/>
        </w:rPr>
        <w:t>programme</w:t>
      </w:r>
      <w:proofErr w:type="spellEnd"/>
      <w:r w:rsidR="00245008" w:rsidRPr="0035324F">
        <w:rPr>
          <w:rFonts w:ascii="Sylfaen" w:hAnsi="Sylfaen"/>
          <w:lang w:val="en-US"/>
        </w:rPr>
        <w:t>)</w:t>
      </w:r>
      <w:r w:rsidRPr="0035324F">
        <w:rPr>
          <w:rFonts w:ascii="Sylfaen" w:hAnsi="Sylfaen"/>
          <w:lang w:val="en-US"/>
        </w:rPr>
        <w:t xml:space="preserve"> and </w:t>
      </w:r>
      <w:proofErr w:type="spellStart"/>
      <w:r w:rsidRPr="0035324F">
        <w:rPr>
          <w:rFonts w:ascii="Sylfaen" w:hAnsi="Sylfaen"/>
          <w:lang w:val="en-US"/>
        </w:rPr>
        <w:t>organisational</w:t>
      </w:r>
      <w:proofErr w:type="spellEnd"/>
      <w:r w:rsidRPr="0035324F">
        <w:rPr>
          <w:rFonts w:ascii="Sylfaen" w:hAnsi="Sylfaen"/>
          <w:lang w:val="en-US"/>
        </w:rPr>
        <w:t xml:space="preserve"> documents</w:t>
      </w:r>
      <w:r w:rsidR="00550F84" w:rsidRPr="000E36C4">
        <w:rPr>
          <w:rStyle w:val="FootnoteReference"/>
          <w:rFonts w:ascii="Sylfaen" w:hAnsi="Sylfaen"/>
          <w:lang w:val="en-US"/>
        </w:rPr>
        <w:footnoteReference w:id="25"/>
      </w:r>
      <w:r w:rsidR="00E24A24">
        <w:rPr>
          <w:rFonts w:ascii="Sylfaen" w:hAnsi="Sylfaen"/>
          <w:lang w:val="en-US"/>
        </w:rPr>
        <w:t xml:space="preserve"> to be adopted</w:t>
      </w:r>
      <w:r w:rsidRPr="0035324F">
        <w:rPr>
          <w:rFonts w:ascii="Sylfaen" w:hAnsi="Sylfaen"/>
          <w:lang w:val="en-US"/>
        </w:rPr>
        <w:t>.</w:t>
      </w:r>
      <w:r w:rsidR="00824F0A" w:rsidRPr="0035324F">
        <w:rPr>
          <w:rFonts w:ascii="Sylfaen" w:hAnsi="Sylfaen"/>
          <w:lang w:val="ka-GE"/>
        </w:rPr>
        <w:t xml:space="preserve"> </w:t>
      </w:r>
      <w:r w:rsidR="007E5712" w:rsidRPr="0035324F">
        <w:rPr>
          <w:rFonts w:ascii="Sylfaen" w:hAnsi="Sylfaen"/>
          <w:lang w:val="en-US"/>
        </w:rPr>
        <w:t xml:space="preserve">However, only the National </w:t>
      </w:r>
      <w:proofErr w:type="spellStart"/>
      <w:r w:rsidR="007E5712" w:rsidRPr="0035324F">
        <w:rPr>
          <w:rFonts w:ascii="Sylfaen" w:hAnsi="Sylfaen"/>
          <w:lang w:val="en-US"/>
        </w:rPr>
        <w:t>Defence</w:t>
      </w:r>
      <w:proofErr w:type="spellEnd"/>
      <w:r w:rsidR="007E5712" w:rsidRPr="0035324F">
        <w:rPr>
          <w:rFonts w:ascii="Sylfaen" w:hAnsi="Sylfaen"/>
          <w:lang w:val="en-US"/>
        </w:rPr>
        <w:t xml:space="preserve"> Plan and the National </w:t>
      </w:r>
      <w:r w:rsidR="00E24A24">
        <w:rPr>
          <w:rFonts w:ascii="Sylfaen" w:hAnsi="Sylfaen"/>
          <w:lang w:val="en-US"/>
        </w:rPr>
        <w:t>Security Concept of Georgia are</w:t>
      </w:r>
      <w:r w:rsidR="007E5712" w:rsidRPr="0035324F">
        <w:rPr>
          <w:rFonts w:ascii="Sylfaen" w:hAnsi="Sylfaen"/>
          <w:lang w:val="en-US"/>
        </w:rPr>
        <w:t xml:space="preserve"> available online</w:t>
      </w:r>
      <w:r w:rsidR="007E5712" w:rsidRPr="000E36C4">
        <w:rPr>
          <w:rStyle w:val="FootnoteReference"/>
          <w:rFonts w:ascii="Sylfaen" w:hAnsi="Sylfaen"/>
          <w:lang w:val="en-US"/>
        </w:rPr>
        <w:footnoteReference w:id="26"/>
      </w:r>
      <w:r w:rsidR="007E5712" w:rsidRPr="0035324F">
        <w:rPr>
          <w:rFonts w:ascii="Sylfaen" w:hAnsi="Sylfaen"/>
          <w:lang w:val="en-US"/>
        </w:rPr>
        <w:t xml:space="preserve">.  </w:t>
      </w:r>
      <w:r w:rsidR="00824F0A" w:rsidRPr="0035324F">
        <w:rPr>
          <w:rFonts w:ascii="Sylfaen" w:hAnsi="Sylfaen"/>
          <w:lang w:val="en-US"/>
        </w:rPr>
        <w:t xml:space="preserve">There is also </w:t>
      </w:r>
      <w:r w:rsidR="00C85561" w:rsidRPr="0035324F">
        <w:rPr>
          <w:rFonts w:ascii="Sylfaen" w:hAnsi="Sylfaen"/>
          <w:lang w:val="en-US"/>
        </w:rPr>
        <w:t>the 2018-2020</w:t>
      </w:r>
      <w:r w:rsidR="00BA1E82" w:rsidRPr="0035324F">
        <w:rPr>
          <w:rFonts w:ascii="Sylfaen" w:hAnsi="Sylfaen"/>
          <w:lang w:val="ka-GE"/>
        </w:rPr>
        <w:t xml:space="preserve"> N</w:t>
      </w:r>
      <w:proofErr w:type="spellStart"/>
      <w:r w:rsidR="00BA1E82" w:rsidRPr="0035324F">
        <w:rPr>
          <w:rFonts w:ascii="Sylfaen" w:hAnsi="Sylfaen"/>
          <w:lang w:val="en-US"/>
        </w:rPr>
        <w:t>ational</w:t>
      </w:r>
      <w:proofErr w:type="spellEnd"/>
      <w:r w:rsidR="00BA1E82" w:rsidRPr="0035324F">
        <w:rPr>
          <w:rFonts w:ascii="Sylfaen" w:hAnsi="Sylfaen"/>
          <w:lang w:val="en-US"/>
        </w:rPr>
        <w:t xml:space="preserve"> </w:t>
      </w:r>
      <w:r w:rsidR="000D613F" w:rsidRPr="0035324F">
        <w:rPr>
          <w:rFonts w:ascii="Sylfaen" w:hAnsi="Sylfaen"/>
          <w:lang w:val="en-US"/>
        </w:rPr>
        <w:t xml:space="preserve">Action </w:t>
      </w:r>
      <w:r w:rsidR="00BA1E82" w:rsidRPr="0035324F">
        <w:rPr>
          <w:rFonts w:ascii="Sylfaen" w:hAnsi="Sylfaen"/>
          <w:lang w:val="en-US"/>
        </w:rPr>
        <w:t>Plan for the implementation of the UN Security Council Resolutions</w:t>
      </w:r>
      <w:r w:rsidR="00F64555" w:rsidRPr="0035324F">
        <w:rPr>
          <w:rFonts w:ascii="Sylfaen" w:hAnsi="Sylfaen"/>
          <w:lang w:val="en-US"/>
        </w:rPr>
        <w:t xml:space="preserve"> on Women, Peace and Security</w:t>
      </w:r>
      <w:r w:rsidR="00F64555" w:rsidRPr="000E36C4">
        <w:rPr>
          <w:rStyle w:val="FootnoteReference"/>
          <w:rFonts w:ascii="Sylfaen" w:hAnsi="Sylfaen"/>
          <w:lang w:val="en-US"/>
        </w:rPr>
        <w:footnoteReference w:id="27"/>
      </w:r>
      <w:r w:rsidR="00F64555" w:rsidRPr="0035324F">
        <w:rPr>
          <w:rFonts w:ascii="Sylfaen" w:hAnsi="Sylfaen"/>
          <w:lang w:val="en-US"/>
        </w:rPr>
        <w:t xml:space="preserve">. </w:t>
      </w:r>
    </w:p>
    <w:p w14:paraId="2C15D555" w14:textId="77777777" w:rsidR="00022F6A" w:rsidRPr="0093507C" w:rsidRDefault="00F54EE6" w:rsidP="00CB0784">
      <w:pPr>
        <w:pStyle w:val="ListParagraph"/>
        <w:numPr>
          <w:ilvl w:val="0"/>
          <w:numId w:val="7"/>
        </w:numPr>
        <w:jc w:val="both"/>
        <w:rPr>
          <w:rFonts w:ascii="Sylfaen" w:hAnsi="Sylfaen"/>
          <w:b/>
        </w:rPr>
      </w:pPr>
      <w:r w:rsidRPr="0093507C">
        <w:rPr>
          <w:rFonts w:ascii="Sylfaen" w:hAnsi="Sylfaen"/>
          <w:b/>
        </w:rPr>
        <w:t>To what crisis does it apply? What situations are excluded?</w:t>
      </w:r>
      <w:r w:rsidR="007E3F5F" w:rsidRPr="0093507C">
        <w:rPr>
          <w:rFonts w:ascii="Sylfaen" w:hAnsi="Sylfaen"/>
          <w:b/>
          <w:lang w:val="ka-GE"/>
        </w:rPr>
        <w:t xml:space="preserve"> </w:t>
      </w:r>
    </w:p>
    <w:p w14:paraId="649BF0D8" w14:textId="77777777" w:rsidR="00022F6A" w:rsidRPr="000E36C4" w:rsidRDefault="00022F6A" w:rsidP="00022F6A">
      <w:pPr>
        <w:pStyle w:val="ListParagraph"/>
        <w:ind w:left="1440"/>
        <w:jc w:val="both"/>
        <w:rPr>
          <w:rFonts w:ascii="Sylfaen" w:hAnsi="Sylfaen"/>
          <w:lang w:val="ka-GE"/>
        </w:rPr>
      </w:pPr>
    </w:p>
    <w:p w14:paraId="4D7376FE" w14:textId="61EDE98A" w:rsidR="00022F6A" w:rsidRPr="0069280F" w:rsidRDefault="007E3F5F" w:rsidP="0069280F">
      <w:pPr>
        <w:jc w:val="both"/>
        <w:rPr>
          <w:rFonts w:ascii="Sylfaen" w:hAnsi="Sylfaen"/>
          <w:lang w:val="en-US"/>
        </w:rPr>
      </w:pPr>
      <w:r w:rsidRPr="0035324F">
        <w:rPr>
          <w:rFonts w:ascii="Sylfaen" w:hAnsi="Sylfaen"/>
          <w:lang w:val="en-US"/>
        </w:rPr>
        <w:t>The</w:t>
      </w:r>
      <w:r w:rsidR="00F54EE6" w:rsidRPr="0035324F">
        <w:rPr>
          <w:rFonts w:ascii="Sylfaen" w:hAnsi="Sylfaen"/>
        </w:rPr>
        <w:t xml:space="preserve"> </w:t>
      </w:r>
      <w:r w:rsidRPr="0035324F">
        <w:rPr>
          <w:rFonts w:ascii="Sylfaen" w:hAnsi="Sylfaen"/>
          <w:lang w:val="en-US"/>
        </w:rPr>
        <w:t>National Public Safety Plan</w:t>
      </w:r>
      <w:r w:rsidR="005B7F97" w:rsidRPr="0035324F">
        <w:rPr>
          <w:rFonts w:ascii="Sylfaen" w:hAnsi="Sylfaen"/>
          <w:lang w:val="en-US"/>
        </w:rPr>
        <w:t xml:space="preserve"> applies to emergency situations</w:t>
      </w:r>
      <w:r w:rsidR="00824F0A" w:rsidRPr="000E36C4">
        <w:rPr>
          <w:rStyle w:val="FootnoteReference"/>
          <w:rFonts w:ascii="Sylfaen" w:hAnsi="Sylfaen"/>
          <w:lang w:val="en-US"/>
        </w:rPr>
        <w:footnoteReference w:id="28"/>
      </w:r>
      <w:r w:rsidR="005B7F97" w:rsidRPr="0035324F">
        <w:rPr>
          <w:rFonts w:ascii="Sylfaen" w:hAnsi="Sylfaen"/>
          <w:lang w:val="en-US"/>
        </w:rPr>
        <w:t xml:space="preserve">. </w:t>
      </w:r>
      <w:r w:rsidR="00824F0A" w:rsidRPr="0035324F">
        <w:rPr>
          <w:rFonts w:ascii="Sylfaen" w:hAnsi="Sylfaen"/>
          <w:lang w:val="en-US"/>
        </w:rPr>
        <w:t xml:space="preserve"> The National </w:t>
      </w:r>
      <w:proofErr w:type="spellStart"/>
      <w:r w:rsidR="00824F0A" w:rsidRPr="0035324F">
        <w:rPr>
          <w:rFonts w:ascii="Sylfaen" w:hAnsi="Sylfaen"/>
          <w:lang w:val="en-US"/>
        </w:rPr>
        <w:t>Defence</w:t>
      </w:r>
      <w:proofErr w:type="spellEnd"/>
      <w:r w:rsidR="00824F0A" w:rsidRPr="0035324F">
        <w:rPr>
          <w:rFonts w:ascii="Sylfaen" w:hAnsi="Sylfaen"/>
          <w:lang w:val="en-US"/>
        </w:rPr>
        <w:t xml:space="preserve"> Plan applies </w:t>
      </w:r>
      <w:proofErr w:type="gramStart"/>
      <w:r w:rsidR="00824F0A" w:rsidRPr="0035324F">
        <w:rPr>
          <w:rFonts w:ascii="Sylfaen" w:hAnsi="Sylfaen"/>
          <w:lang w:val="en-US"/>
        </w:rPr>
        <w:t>to,</w:t>
      </w:r>
      <w:proofErr w:type="gramEnd"/>
      <w:r w:rsidR="00824F0A" w:rsidRPr="0035324F">
        <w:rPr>
          <w:rFonts w:ascii="Sylfaen" w:hAnsi="Sylfaen"/>
          <w:lang w:val="en-US"/>
        </w:rPr>
        <w:t xml:space="preserve"> inter alia, emergency situations and incidents</w:t>
      </w:r>
      <w:r w:rsidR="00824F0A" w:rsidRPr="000E36C4">
        <w:rPr>
          <w:rStyle w:val="FootnoteReference"/>
          <w:rFonts w:ascii="Sylfaen" w:hAnsi="Sylfaen"/>
          <w:lang w:val="en-US"/>
        </w:rPr>
        <w:footnoteReference w:id="29"/>
      </w:r>
      <w:r w:rsidR="00824F0A" w:rsidRPr="0035324F">
        <w:rPr>
          <w:rFonts w:ascii="Sylfaen" w:hAnsi="Sylfaen"/>
          <w:lang w:val="en-US"/>
        </w:rPr>
        <w:t>.</w:t>
      </w:r>
    </w:p>
    <w:p w14:paraId="61A8D705" w14:textId="77777777" w:rsidR="00022F6A" w:rsidRPr="0093507C" w:rsidRDefault="00F54EE6" w:rsidP="00CB0784">
      <w:pPr>
        <w:pStyle w:val="ListParagraph"/>
        <w:numPr>
          <w:ilvl w:val="0"/>
          <w:numId w:val="7"/>
        </w:numPr>
        <w:jc w:val="both"/>
        <w:rPr>
          <w:rFonts w:ascii="Sylfaen" w:hAnsi="Sylfaen"/>
          <w:b/>
        </w:rPr>
      </w:pPr>
      <w:r w:rsidRPr="0093507C">
        <w:rPr>
          <w:rFonts w:ascii="Sylfaen" w:hAnsi="Sylfaen"/>
          <w:b/>
        </w:rPr>
        <w:t xml:space="preserve">Does it contain a definition of crisis? If so, please </w:t>
      </w:r>
      <w:r w:rsidR="000C70B6" w:rsidRPr="0093507C">
        <w:rPr>
          <w:rFonts w:ascii="Sylfaen" w:hAnsi="Sylfaen"/>
          <w:b/>
        </w:rPr>
        <w:t>indicate the definition used.</w:t>
      </w:r>
      <w:r w:rsidR="00824F0A" w:rsidRPr="0093507C">
        <w:rPr>
          <w:rFonts w:ascii="Sylfaen" w:hAnsi="Sylfaen"/>
          <w:b/>
          <w:lang w:val="ka-GE"/>
        </w:rPr>
        <w:t xml:space="preserve"> </w:t>
      </w:r>
      <w:r w:rsidR="00824F0A" w:rsidRPr="0093507C">
        <w:rPr>
          <w:rFonts w:ascii="Sylfaen" w:hAnsi="Sylfaen"/>
          <w:b/>
          <w:lang w:val="ka-GE"/>
        </w:rPr>
        <w:br/>
      </w:r>
    </w:p>
    <w:p w14:paraId="7C3679EE" w14:textId="254DD879" w:rsidR="00F54EE6" w:rsidRPr="0035324F" w:rsidRDefault="00824F0A" w:rsidP="0035324F">
      <w:pPr>
        <w:jc w:val="both"/>
        <w:rPr>
          <w:rFonts w:ascii="Sylfaen" w:hAnsi="Sylfaen"/>
        </w:rPr>
      </w:pPr>
      <w:r w:rsidRPr="0035324F">
        <w:rPr>
          <w:rFonts w:ascii="Sylfaen" w:hAnsi="Sylfaen"/>
          <w:lang w:val="en-US"/>
        </w:rPr>
        <w:t>A definition of a crisis is not provided.</w:t>
      </w:r>
    </w:p>
    <w:p w14:paraId="367664E3" w14:textId="77777777" w:rsidR="00022F6A" w:rsidRPr="000E36C4" w:rsidRDefault="00022F6A" w:rsidP="00022F6A">
      <w:pPr>
        <w:pStyle w:val="ListParagraph"/>
        <w:ind w:left="1440"/>
        <w:jc w:val="both"/>
        <w:rPr>
          <w:rFonts w:ascii="Sylfaen" w:hAnsi="Sylfaen"/>
        </w:rPr>
      </w:pPr>
    </w:p>
    <w:p w14:paraId="77092484" w14:textId="77777777" w:rsidR="00022F6A" w:rsidRPr="0093507C" w:rsidRDefault="0034184A" w:rsidP="00CB0784">
      <w:pPr>
        <w:pStyle w:val="ListParagraph"/>
        <w:numPr>
          <w:ilvl w:val="0"/>
          <w:numId w:val="7"/>
        </w:numPr>
        <w:jc w:val="both"/>
        <w:rPr>
          <w:rFonts w:ascii="Sylfaen" w:hAnsi="Sylfaen"/>
          <w:b/>
        </w:rPr>
      </w:pPr>
      <w:r w:rsidRPr="0093507C">
        <w:rPr>
          <w:rFonts w:ascii="Sylfaen" w:hAnsi="Sylfaen"/>
          <w:b/>
        </w:rPr>
        <w:t xml:space="preserve">Does </w:t>
      </w:r>
      <w:r w:rsidR="00576B1F" w:rsidRPr="0093507C">
        <w:rPr>
          <w:rFonts w:ascii="Sylfaen" w:hAnsi="Sylfaen"/>
          <w:b/>
        </w:rPr>
        <w:t>it</w:t>
      </w:r>
      <w:r w:rsidRPr="0093507C">
        <w:rPr>
          <w:rFonts w:ascii="Sylfaen" w:hAnsi="Sylfaen"/>
          <w:b/>
        </w:rPr>
        <w:t xml:space="preserve"> include measures concerning women</w:t>
      </w:r>
      <w:r w:rsidR="000C70B6" w:rsidRPr="0093507C">
        <w:rPr>
          <w:rFonts w:ascii="Sylfaen" w:hAnsi="Sylfaen"/>
          <w:b/>
        </w:rPr>
        <w:t xml:space="preserve"> </w:t>
      </w:r>
      <w:r w:rsidRPr="0093507C">
        <w:rPr>
          <w:rFonts w:ascii="Sylfaen" w:hAnsi="Sylfaen"/>
          <w:b/>
        </w:rPr>
        <w:t xml:space="preserve">and girls’ </w:t>
      </w:r>
      <w:r w:rsidR="00FA31A9" w:rsidRPr="0093507C">
        <w:rPr>
          <w:rFonts w:ascii="Sylfaen" w:hAnsi="Sylfaen"/>
          <w:b/>
        </w:rPr>
        <w:t>SRHR</w:t>
      </w:r>
      <w:r w:rsidRPr="0093507C">
        <w:rPr>
          <w:rFonts w:ascii="Sylfaen" w:hAnsi="Sylfaen"/>
          <w:b/>
        </w:rPr>
        <w:t>? If so, please describe the measures included</w:t>
      </w:r>
      <w:r w:rsidR="000F5AC2" w:rsidRPr="0093507C">
        <w:rPr>
          <w:rFonts w:ascii="Sylfaen" w:hAnsi="Sylfaen"/>
          <w:b/>
        </w:rPr>
        <w:t xml:space="preserve"> and</w:t>
      </w:r>
      <w:r w:rsidR="00B95896" w:rsidRPr="0093507C">
        <w:rPr>
          <w:rFonts w:ascii="Sylfaen" w:hAnsi="Sylfaen"/>
          <w:b/>
        </w:rPr>
        <w:t xml:space="preserve"> any </w:t>
      </w:r>
      <w:r w:rsidRPr="0093507C">
        <w:rPr>
          <w:rFonts w:ascii="Sylfaen" w:hAnsi="Sylfaen"/>
          <w:b/>
        </w:rPr>
        <w:t>special measures envisaged and/or adopted for specific groups of women and girls</w:t>
      </w:r>
      <w:r w:rsidR="00EC187B" w:rsidRPr="0093507C">
        <w:rPr>
          <w:rFonts w:ascii="Sylfaen" w:hAnsi="Sylfaen"/>
          <w:b/>
        </w:rPr>
        <w:t xml:space="preserve"> concerning both </w:t>
      </w:r>
      <w:proofErr w:type="spellStart"/>
      <w:r w:rsidR="00EC187B" w:rsidRPr="0093507C">
        <w:rPr>
          <w:rFonts w:ascii="Sylfaen" w:hAnsi="Sylfaen"/>
          <w:b/>
        </w:rPr>
        <w:t>preparadeness</w:t>
      </w:r>
      <w:proofErr w:type="spellEnd"/>
      <w:r w:rsidR="00EC187B" w:rsidRPr="0093507C">
        <w:rPr>
          <w:rFonts w:ascii="Sylfaen" w:hAnsi="Sylfaen"/>
          <w:b/>
        </w:rPr>
        <w:t xml:space="preserve"> and recovery</w:t>
      </w:r>
      <w:r w:rsidRPr="0093507C">
        <w:rPr>
          <w:rFonts w:ascii="Sylfaen" w:hAnsi="Sylfaen"/>
          <w:b/>
        </w:rPr>
        <w:t>.</w:t>
      </w:r>
      <w:r w:rsidR="00022F6A" w:rsidRPr="0093507C">
        <w:rPr>
          <w:rFonts w:ascii="Sylfaen" w:hAnsi="Sylfaen"/>
          <w:b/>
        </w:rPr>
        <w:t xml:space="preserve"> </w:t>
      </w:r>
      <w:r w:rsidR="00022F6A" w:rsidRPr="0093507C">
        <w:rPr>
          <w:rFonts w:ascii="Sylfaen" w:hAnsi="Sylfaen"/>
          <w:b/>
        </w:rPr>
        <w:br/>
      </w:r>
    </w:p>
    <w:p w14:paraId="50F0988B" w14:textId="6A092325" w:rsidR="0034184A" w:rsidRPr="0035324F" w:rsidRDefault="00022F6A" w:rsidP="0035324F">
      <w:pPr>
        <w:jc w:val="both"/>
        <w:rPr>
          <w:rFonts w:ascii="Sylfaen" w:hAnsi="Sylfaen"/>
          <w:lang w:val="en-US"/>
        </w:rPr>
      </w:pPr>
      <w:r w:rsidRPr="0035324F">
        <w:rPr>
          <w:rFonts w:ascii="Sylfaen" w:hAnsi="Sylfaen"/>
          <w:lang w:val="en-US"/>
        </w:rPr>
        <w:t xml:space="preserve">Measures concerning women and girls’ SRHR are not included in the National Public Safety Plan and the National Security Concept of Georgia. </w:t>
      </w:r>
      <w:r w:rsidRPr="0035324F">
        <w:rPr>
          <w:rFonts w:ascii="Sylfaen" w:hAnsi="Sylfaen"/>
          <w:lang w:val="ka-GE"/>
        </w:rPr>
        <w:t xml:space="preserve"> </w:t>
      </w:r>
      <w:r w:rsidRPr="0035324F">
        <w:rPr>
          <w:rFonts w:ascii="Sylfaen" w:hAnsi="Sylfaen"/>
          <w:lang w:val="en-US"/>
        </w:rPr>
        <w:t>However, the 2018-2020</w:t>
      </w:r>
      <w:r w:rsidRPr="0035324F">
        <w:rPr>
          <w:rFonts w:ascii="Sylfaen" w:hAnsi="Sylfaen"/>
          <w:lang w:val="ka-GE"/>
        </w:rPr>
        <w:t xml:space="preserve"> N</w:t>
      </w:r>
      <w:proofErr w:type="spellStart"/>
      <w:r w:rsidRPr="0035324F">
        <w:rPr>
          <w:rFonts w:ascii="Sylfaen" w:hAnsi="Sylfaen"/>
          <w:lang w:val="en-US"/>
        </w:rPr>
        <w:t>ational</w:t>
      </w:r>
      <w:proofErr w:type="spellEnd"/>
      <w:r w:rsidRPr="0035324F">
        <w:rPr>
          <w:rFonts w:ascii="Sylfaen" w:hAnsi="Sylfaen"/>
          <w:lang w:val="en-US"/>
        </w:rPr>
        <w:t xml:space="preserve"> </w:t>
      </w:r>
      <w:r w:rsidR="000D613F" w:rsidRPr="0035324F">
        <w:rPr>
          <w:rFonts w:ascii="Sylfaen" w:hAnsi="Sylfaen"/>
          <w:lang w:val="en-US"/>
        </w:rPr>
        <w:t xml:space="preserve">Action </w:t>
      </w:r>
      <w:r w:rsidRPr="0035324F">
        <w:rPr>
          <w:rFonts w:ascii="Sylfaen" w:hAnsi="Sylfaen"/>
          <w:lang w:val="en-US"/>
        </w:rPr>
        <w:t xml:space="preserve">Plan for the implementation of the UN Security Council Resolutions on Women, Peace and Security establishes </w:t>
      </w:r>
      <w:r w:rsidRPr="0035324F">
        <w:rPr>
          <w:rFonts w:ascii="Sylfaen" w:hAnsi="Sylfaen"/>
          <w:lang w:val="ka-GE"/>
        </w:rPr>
        <w:t>ensuring</w:t>
      </w:r>
      <w:r w:rsidR="000F3115" w:rsidRPr="0035324F">
        <w:rPr>
          <w:rFonts w:ascii="Sylfaen" w:hAnsi="Sylfaen"/>
          <w:lang w:val="ka-GE"/>
        </w:rPr>
        <w:t xml:space="preserve"> </w:t>
      </w:r>
      <w:r w:rsidR="000F3115" w:rsidRPr="0035324F">
        <w:rPr>
          <w:rFonts w:ascii="Sylfaen" w:hAnsi="Sylfaen"/>
          <w:lang w:val="en-US"/>
        </w:rPr>
        <w:t xml:space="preserve">women and girls’ </w:t>
      </w:r>
      <w:r w:rsidRPr="0035324F">
        <w:rPr>
          <w:rFonts w:ascii="Sylfaen" w:hAnsi="Sylfaen"/>
          <w:lang w:val="en-US"/>
        </w:rPr>
        <w:t xml:space="preserve">physical and psychological </w:t>
      </w:r>
      <w:proofErr w:type="gramStart"/>
      <w:r w:rsidR="000F3115" w:rsidRPr="0035324F">
        <w:rPr>
          <w:rFonts w:ascii="Sylfaen" w:hAnsi="Sylfaen"/>
          <w:lang w:val="en-US"/>
        </w:rPr>
        <w:t xml:space="preserve">health </w:t>
      </w:r>
      <w:r w:rsidRPr="0035324F">
        <w:rPr>
          <w:rFonts w:ascii="Sylfaen" w:hAnsi="Sylfaen"/>
          <w:lang w:val="en-US"/>
        </w:rPr>
        <w:t xml:space="preserve"> </w:t>
      </w:r>
      <w:r w:rsidR="000F3115" w:rsidRPr="0035324F">
        <w:rPr>
          <w:rFonts w:ascii="Sylfaen" w:hAnsi="Sylfaen"/>
          <w:lang w:val="en-US"/>
        </w:rPr>
        <w:t>as</w:t>
      </w:r>
      <w:proofErr w:type="gramEnd"/>
      <w:r w:rsidR="000F3115" w:rsidRPr="0035324F">
        <w:rPr>
          <w:rFonts w:ascii="Sylfaen" w:hAnsi="Sylfaen"/>
          <w:lang w:val="en-US"/>
        </w:rPr>
        <w:t xml:space="preserve"> </w:t>
      </w:r>
      <w:r w:rsidRPr="0035324F">
        <w:rPr>
          <w:rFonts w:ascii="Sylfaen" w:hAnsi="Sylfaen"/>
          <w:lang w:val="en-US"/>
        </w:rPr>
        <w:t>one of its objectives</w:t>
      </w:r>
      <w:r w:rsidR="00213E86" w:rsidRPr="000E36C4">
        <w:rPr>
          <w:rStyle w:val="FootnoteReference"/>
          <w:rFonts w:ascii="Sylfaen" w:hAnsi="Sylfaen"/>
          <w:lang w:val="en-US"/>
        </w:rPr>
        <w:footnoteReference w:id="30"/>
      </w:r>
      <w:r w:rsidRPr="0035324F">
        <w:rPr>
          <w:rFonts w:ascii="Sylfaen" w:hAnsi="Sylfaen"/>
          <w:lang w:val="en-US"/>
        </w:rPr>
        <w:t xml:space="preserve">. </w:t>
      </w:r>
      <w:r w:rsidR="00C34A22" w:rsidRPr="0035324F">
        <w:rPr>
          <w:rFonts w:ascii="Sylfaen" w:hAnsi="Sylfaen"/>
          <w:lang w:val="en-US"/>
        </w:rPr>
        <w:t>To achieve this objective, the National</w:t>
      </w:r>
      <w:r w:rsidR="000D613F" w:rsidRPr="0035324F">
        <w:rPr>
          <w:rFonts w:ascii="Sylfaen" w:hAnsi="Sylfaen"/>
          <w:lang w:val="en-US"/>
        </w:rPr>
        <w:t xml:space="preserve"> Action</w:t>
      </w:r>
      <w:r w:rsidR="00C34A22" w:rsidRPr="0035324F">
        <w:rPr>
          <w:rFonts w:ascii="Sylfaen" w:hAnsi="Sylfaen"/>
          <w:lang w:val="en-US"/>
        </w:rPr>
        <w:t xml:space="preserve"> Plan</w:t>
      </w:r>
      <w:r w:rsidR="00F30694" w:rsidRPr="0035324F">
        <w:rPr>
          <w:rFonts w:ascii="Sylfaen" w:hAnsi="Sylfaen"/>
          <w:lang w:val="en-US"/>
        </w:rPr>
        <w:t xml:space="preserve"> envisages the followi</w:t>
      </w:r>
      <w:r w:rsidR="0093507C">
        <w:rPr>
          <w:rFonts w:ascii="Sylfaen" w:hAnsi="Sylfaen"/>
          <w:lang w:val="en-US"/>
        </w:rPr>
        <w:t>ng activities</w:t>
      </w:r>
      <w:r w:rsidR="00F30694" w:rsidRPr="0035324F">
        <w:rPr>
          <w:rFonts w:ascii="Sylfaen" w:hAnsi="Sylfaen"/>
          <w:lang w:val="en-US"/>
        </w:rPr>
        <w:t>:</w:t>
      </w:r>
    </w:p>
    <w:p w14:paraId="78FEB9CE" w14:textId="7649CF37" w:rsidR="00FB293E" w:rsidRPr="000E36C4" w:rsidRDefault="00FB293E" w:rsidP="00FB293E">
      <w:pPr>
        <w:pStyle w:val="ListParagraph"/>
        <w:numPr>
          <w:ilvl w:val="0"/>
          <w:numId w:val="14"/>
        </w:numPr>
        <w:jc w:val="both"/>
        <w:rPr>
          <w:rFonts w:ascii="Sylfaen" w:hAnsi="Sylfaen"/>
          <w:lang w:val="en-US"/>
        </w:rPr>
      </w:pPr>
      <w:proofErr w:type="gramStart"/>
      <w:r w:rsidRPr="000E36C4">
        <w:rPr>
          <w:rFonts w:ascii="Sylfaen" w:hAnsi="Sylfaen"/>
          <w:lang w:val="en-US"/>
        </w:rPr>
        <w:t>organizing</w:t>
      </w:r>
      <w:proofErr w:type="gramEnd"/>
      <w:r w:rsidRPr="000E36C4">
        <w:rPr>
          <w:rFonts w:ascii="Sylfaen" w:hAnsi="Sylfaen"/>
          <w:lang w:val="en-US"/>
        </w:rPr>
        <w:t xml:space="preserve"> meetings (at least 3 times a year) </w:t>
      </w:r>
      <w:r w:rsidRPr="0093507C">
        <w:rPr>
          <w:rFonts w:ascii="Sylfaen" w:hAnsi="Sylfaen"/>
          <w:lang w:val="en-US"/>
        </w:rPr>
        <w:t>based on the single window system</w:t>
      </w:r>
      <w:r w:rsidRPr="000E36C4">
        <w:rPr>
          <w:rFonts w:ascii="Sylfaen" w:hAnsi="Sylfaen"/>
          <w:lang w:val="en-US"/>
        </w:rPr>
        <w:t xml:space="preserve"> in </w:t>
      </w:r>
      <w:proofErr w:type="spellStart"/>
      <w:r w:rsidRPr="000E36C4">
        <w:rPr>
          <w:rFonts w:ascii="Sylfaen" w:hAnsi="Sylfaen"/>
          <w:lang w:val="en-US"/>
        </w:rPr>
        <w:t>Samegrelo</w:t>
      </w:r>
      <w:proofErr w:type="spellEnd"/>
      <w:r w:rsidRPr="000E36C4">
        <w:rPr>
          <w:rFonts w:ascii="Sylfaen" w:hAnsi="Sylfaen"/>
          <w:lang w:val="en-US"/>
        </w:rPr>
        <w:t xml:space="preserve">, </w:t>
      </w:r>
      <w:proofErr w:type="spellStart"/>
      <w:r w:rsidRPr="000E36C4">
        <w:rPr>
          <w:rFonts w:ascii="Sylfaen" w:hAnsi="Sylfaen"/>
          <w:lang w:val="en-US"/>
        </w:rPr>
        <w:t>Imereti</w:t>
      </w:r>
      <w:proofErr w:type="spellEnd"/>
      <w:r w:rsidRPr="000E36C4">
        <w:rPr>
          <w:rFonts w:ascii="Sylfaen" w:hAnsi="Sylfaen"/>
          <w:lang w:val="en-US"/>
        </w:rPr>
        <w:t xml:space="preserve"> and </w:t>
      </w:r>
      <w:proofErr w:type="spellStart"/>
      <w:r w:rsidRPr="000E36C4">
        <w:rPr>
          <w:rFonts w:ascii="Sylfaen" w:hAnsi="Sylfaen"/>
          <w:lang w:val="en-US"/>
        </w:rPr>
        <w:t>Shida</w:t>
      </w:r>
      <w:proofErr w:type="spellEnd"/>
      <w:r w:rsidRPr="000E36C4">
        <w:rPr>
          <w:rFonts w:ascii="Sylfaen" w:hAnsi="Sylfaen"/>
          <w:lang w:val="en-US"/>
        </w:rPr>
        <w:t xml:space="preserve"> </w:t>
      </w:r>
      <w:proofErr w:type="spellStart"/>
      <w:r w:rsidRPr="000E36C4">
        <w:rPr>
          <w:rFonts w:ascii="Sylfaen" w:hAnsi="Sylfaen"/>
          <w:lang w:val="en-US"/>
        </w:rPr>
        <w:t>Kartli</w:t>
      </w:r>
      <w:proofErr w:type="spellEnd"/>
      <w:r w:rsidRPr="000E36C4">
        <w:rPr>
          <w:rFonts w:ascii="Sylfaen" w:hAnsi="Sylfaen"/>
          <w:lang w:val="en-US"/>
        </w:rPr>
        <w:t xml:space="preserve"> in order to discuss women and girls’ necessities</w:t>
      </w:r>
      <w:r w:rsidR="00BE35C3" w:rsidRPr="000E36C4">
        <w:rPr>
          <w:rFonts w:ascii="Sylfaen" w:hAnsi="Sylfaen"/>
          <w:lang w:val="en-US"/>
        </w:rPr>
        <w:t>/needs</w:t>
      </w:r>
      <w:r w:rsidRPr="000E36C4">
        <w:rPr>
          <w:rFonts w:ascii="Sylfaen" w:hAnsi="Sylfaen"/>
          <w:lang w:val="en-US"/>
        </w:rPr>
        <w:t xml:space="preserve">. </w:t>
      </w:r>
    </w:p>
    <w:p w14:paraId="7451664E" w14:textId="5FE56756" w:rsidR="00FB293E" w:rsidRPr="000E36C4" w:rsidRDefault="00FB293E" w:rsidP="00FB293E">
      <w:pPr>
        <w:pStyle w:val="ListParagraph"/>
        <w:numPr>
          <w:ilvl w:val="0"/>
          <w:numId w:val="14"/>
        </w:numPr>
        <w:jc w:val="both"/>
        <w:rPr>
          <w:rFonts w:ascii="Sylfaen" w:hAnsi="Sylfaen"/>
          <w:lang w:val="en-US"/>
        </w:rPr>
      </w:pPr>
      <w:r w:rsidRPr="000E36C4">
        <w:rPr>
          <w:rFonts w:ascii="Sylfaen" w:hAnsi="Sylfaen"/>
          <w:lang w:val="en-US"/>
        </w:rPr>
        <w:t xml:space="preserve">Increasing the awareness of population on occupied territories about </w:t>
      </w:r>
      <w:r w:rsidR="00821481" w:rsidRPr="000E36C4">
        <w:rPr>
          <w:rFonts w:ascii="Sylfaen" w:hAnsi="Sylfaen"/>
          <w:lang w:val="en-US"/>
        </w:rPr>
        <w:t xml:space="preserve">the availability of medical services. </w:t>
      </w:r>
    </w:p>
    <w:p w14:paraId="0E91638E" w14:textId="74D634AC" w:rsidR="00022F6A" w:rsidRPr="000E36C4" w:rsidRDefault="00222037" w:rsidP="00D81A5C">
      <w:pPr>
        <w:pStyle w:val="ListParagraph"/>
        <w:numPr>
          <w:ilvl w:val="0"/>
          <w:numId w:val="14"/>
        </w:numPr>
        <w:jc w:val="both"/>
        <w:rPr>
          <w:rFonts w:ascii="Sylfaen" w:hAnsi="Sylfaen"/>
          <w:lang w:val="en-US"/>
        </w:rPr>
      </w:pPr>
      <w:r w:rsidRPr="000E36C4">
        <w:rPr>
          <w:rFonts w:ascii="Sylfaen" w:hAnsi="Sylfaen"/>
          <w:lang w:val="en-US"/>
        </w:rPr>
        <w:t>Revising and renewing</w:t>
      </w:r>
      <w:r w:rsidR="00BE35C3" w:rsidRPr="000E36C4">
        <w:rPr>
          <w:rFonts w:ascii="Sylfaen" w:hAnsi="Sylfaen"/>
          <w:lang w:val="en-US"/>
        </w:rPr>
        <w:t xml:space="preserve"> the </w:t>
      </w:r>
      <w:r w:rsidRPr="000E36C4">
        <w:rPr>
          <w:rFonts w:ascii="Sylfaen" w:hAnsi="Sylfaen"/>
          <w:lang w:val="en-US"/>
        </w:rPr>
        <w:t>national concept and action plan of psychological health by taking into account the needs of</w:t>
      </w:r>
      <w:r w:rsidR="00AA14F2" w:rsidRPr="000E36C4">
        <w:rPr>
          <w:rFonts w:ascii="Sylfaen" w:hAnsi="Sylfaen"/>
          <w:lang w:val="en-US"/>
        </w:rPr>
        <w:t xml:space="preserve"> those</w:t>
      </w:r>
      <w:r w:rsidRPr="000E36C4">
        <w:rPr>
          <w:rFonts w:ascii="Sylfaen" w:hAnsi="Sylfaen"/>
          <w:lang w:val="en-US"/>
        </w:rPr>
        <w:t xml:space="preserve"> </w:t>
      </w:r>
      <w:r w:rsidR="009F23A0" w:rsidRPr="000E36C4">
        <w:rPr>
          <w:rFonts w:ascii="Sylfaen" w:hAnsi="Sylfaen"/>
          <w:lang w:val="en-US"/>
        </w:rPr>
        <w:t xml:space="preserve">internally displaced and </w:t>
      </w:r>
      <w:r w:rsidR="00AA14F2" w:rsidRPr="000E36C4">
        <w:rPr>
          <w:rFonts w:ascii="Sylfaen" w:hAnsi="Sylfaen"/>
          <w:lang w:val="en-US"/>
        </w:rPr>
        <w:t xml:space="preserve">affected by conflict, especially women and girls’ needs. </w:t>
      </w:r>
    </w:p>
    <w:p w14:paraId="3F785B59" w14:textId="6767B06B" w:rsidR="00D81A5C" w:rsidRPr="000E36C4" w:rsidRDefault="00D81A5C" w:rsidP="00D81A5C">
      <w:pPr>
        <w:pStyle w:val="ListParagraph"/>
        <w:numPr>
          <w:ilvl w:val="0"/>
          <w:numId w:val="14"/>
        </w:numPr>
        <w:jc w:val="both"/>
        <w:rPr>
          <w:rFonts w:ascii="Sylfaen" w:hAnsi="Sylfaen"/>
          <w:lang w:val="en-US"/>
        </w:rPr>
      </w:pPr>
      <w:r w:rsidRPr="000E36C4">
        <w:rPr>
          <w:rFonts w:ascii="Sylfaen" w:hAnsi="Sylfaen"/>
          <w:lang w:val="en-US"/>
        </w:rPr>
        <w:t xml:space="preserve">Creating a base for women non-governmental </w:t>
      </w:r>
      <w:r w:rsidR="00D72233" w:rsidRPr="000E36C4">
        <w:rPr>
          <w:rFonts w:ascii="Sylfaen" w:hAnsi="Sylfaen"/>
          <w:lang w:val="en-US"/>
        </w:rPr>
        <w:t xml:space="preserve">and community </w:t>
      </w:r>
      <w:proofErr w:type="spellStart"/>
      <w:r w:rsidR="00D72233" w:rsidRPr="000E36C4">
        <w:rPr>
          <w:rFonts w:ascii="Sylfaen" w:hAnsi="Sylfaen"/>
          <w:lang w:val="en-US"/>
        </w:rPr>
        <w:t>organisations</w:t>
      </w:r>
      <w:proofErr w:type="spellEnd"/>
      <w:r w:rsidR="00D72233" w:rsidRPr="000E36C4">
        <w:rPr>
          <w:rFonts w:ascii="Sylfaen" w:hAnsi="Sylfaen"/>
          <w:lang w:val="en-US"/>
        </w:rPr>
        <w:t xml:space="preserve">; periodically meeting with the representatives of </w:t>
      </w:r>
      <w:r w:rsidR="003E2434" w:rsidRPr="000E36C4">
        <w:rPr>
          <w:rFonts w:ascii="Sylfaen" w:hAnsi="Sylfaen"/>
          <w:lang w:val="en-US"/>
        </w:rPr>
        <w:t>organizations in or</w:t>
      </w:r>
      <w:r w:rsidR="000F3115">
        <w:rPr>
          <w:rFonts w:ascii="Sylfaen" w:hAnsi="Sylfaen"/>
          <w:lang w:val="en-US"/>
        </w:rPr>
        <w:t>d</w:t>
      </w:r>
      <w:r w:rsidR="003E2434" w:rsidRPr="000E36C4">
        <w:rPr>
          <w:rFonts w:ascii="Sylfaen" w:hAnsi="Sylfaen"/>
          <w:lang w:val="en-US"/>
        </w:rPr>
        <w:t>er to determine medical and social needs.</w:t>
      </w:r>
    </w:p>
    <w:p w14:paraId="61C68662" w14:textId="354D136A" w:rsidR="00022F6A" w:rsidRPr="0069280F" w:rsidRDefault="008A7EEC" w:rsidP="00022F6A">
      <w:pPr>
        <w:pStyle w:val="ListParagraph"/>
        <w:numPr>
          <w:ilvl w:val="0"/>
          <w:numId w:val="14"/>
        </w:numPr>
        <w:jc w:val="both"/>
        <w:rPr>
          <w:rFonts w:ascii="Sylfaen" w:hAnsi="Sylfaen"/>
          <w:lang w:val="en-US"/>
        </w:rPr>
      </w:pPr>
      <w:r w:rsidRPr="000E36C4">
        <w:rPr>
          <w:rFonts w:ascii="Sylfaen" w:hAnsi="Sylfaen"/>
          <w:lang w:val="en-US"/>
        </w:rPr>
        <w:t xml:space="preserve">Obtaining </w:t>
      </w:r>
      <w:r w:rsidR="00213E86" w:rsidRPr="000E36C4">
        <w:rPr>
          <w:rFonts w:ascii="Sylfaen" w:hAnsi="Sylfaen"/>
          <w:lang w:val="en-US"/>
        </w:rPr>
        <w:t xml:space="preserve">sex-wise </w:t>
      </w:r>
      <w:r w:rsidR="000F3115">
        <w:rPr>
          <w:rFonts w:ascii="Sylfaen" w:hAnsi="Sylfaen"/>
          <w:lang w:val="en-US"/>
        </w:rPr>
        <w:t>and age-wise differentiated data</w:t>
      </w:r>
      <w:r w:rsidR="00213E86" w:rsidRPr="000E36C4">
        <w:rPr>
          <w:rFonts w:ascii="Sylfaen" w:hAnsi="Sylfaen"/>
          <w:lang w:val="en-US"/>
        </w:rPr>
        <w:t xml:space="preserve"> about the education, social and economic situation of population living in the village</w:t>
      </w:r>
      <w:r w:rsidR="000F3115">
        <w:rPr>
          <w:rFonts w:ascii="Sylfaen" w:hAnsi="Sylfaen"/>
          <w:lang w:val="en-US"/>
        </w:rPr>
        <w:t>s located</w:t>
      </w:r>
      <w:r w:rsidR="00213E86" w:rsidRPr="000E36C4">
        <w:rPr>
          <w:rFonts w:ascii="Sylfaen" w:hAnsi="Sylfaen"/>
          <w:lang w:val="en-US"/>
        </w:rPr>
        <w:t xml:space="preserve"> near the separating line</w:t>
      </w:r>
      <w:r w:rsidR="00213E86" w:rsidRPr="000E36C4">
        <w:rPr>
          <w:rStyle w:val="FootnoteReference"/>
          <w:rFonts w:ascii="Sylfaen" w:hAnsi="Sylfaen"/>
          <w:lang w:val="en-US"/>
        </w:rPr>
        <w:footnoteReference w:id="31"/>
      </w:r>
      <w:r w:rsidR="00213E86" w:rsidRPr="000E36C4">
        <w:rPr>
          <w:rFonts w:ascii="Sylfaen" w:hAnsi="Sylfaen"/>
          <w:lang w:val="en-US"/>
        </w:rPr>
        <w:t xml:space="preserve">. </w:t>
      </w:r>
    </w:p>
    <w:p w14:paraId="79539392" w14:textId="77777777" w:rsidR="007E5712" w:rsidRPr="000E36C4" w:rsidRDefault="007E5712" w:rsidP="007E5712">
      <w:pPr>
        <w:pStyle w:val="ListParagraph"/>
        <w:ind w:left="1440"/>
        <w:jc w:val="both"/>
        <w:rPr>
          <w:rFonts w:ascii="Sylfaen" w:hAnsi="Sylfaen"/>
        </w:rPr>
      </w:pPr>
    </w:p>
    <w:p w14:paraId="3F6966A8" w14:textId="67640F6A" w:rsidR="00F54EE6" w:rsidRPr="0093507C" w:rsidRDefault="00F54EE6" w:rsidP="00EC187B">
      <w:pPr>
        <w:pStyle w:val="ListParagraph"/>
        <w:numPr>
          <w:ilvl w:val="0"/>
          <w:numId w:val="7"/>
        </w:numPr>
        <w:jc w:val="both"/>
        <w:rPr>
          <w:rFonts w:ascii="Sylfaen" w:hAnsi="Sylfaen"/>
          <w:b/>
        </w:rPr>
      </w:pPr>
      <w:r w:rsidRPr="0093507C">
        <w:rPr>
          <w:rFonts w:ascii="Sylfaen" w:hAnsi="Sylfaen"/>
          <w:b/>
        </w:rPr>
        <w:t xml:space="preserve">Please indicate if the strategy/plan/policy has undergone any assessments to date. If so, </w:t>
      </w:r>
      <w:r w:rsidR="002F0F88" w:rsidRPr="0093507C">
        <w:rPr>
          <w:rFonts w:ascii="Sylfaen" w:hAnsi="Sylfaen"/>
          <w:b/>
        </w:rPr>
        <w:t xml:space="preserve">what </w:t>
      </w:r>
      <w:r w:rsidRPr="0093507C">
        <w:rPr>
          <w:rFonts w:ascii="Sylfaen" w:hAnsi="Sylfaen"/>
          <w:b/>
        </w:rPr>
        <w:t>were the main findings and recommendations concerning women</w:t>
      </w:r>
      <w:r w:rsidR="00031377" w:rsidRPr="0093507C">
        <w:rPr>
          <w:rFonts w:ascii="Sylfaen" w:hAnsi="Sylfaen"/>
          <w:b/>
        </w:rPr>
        <w:t>’s</w:t>
      </w:r>
      <w:r w:rsidRPr="0093507C">
        <w:rPr>
          <w:rFonts w:ascii="Sylfaen" w:hAnsi="Sylfaen"/>
          <w:b/>
        </w:rPr>
        <w:t xml:space="preserve"> and girls’ </w:t>
      </w:r>
      <w:r w:rsidR="00EC187B" w:rsidRPr="0093507C">
        <w:rPr>
          <w:rFonts w:ascii="Sylfaen" w:hAnsi="Sylfaen"/>
          <w:b/>
        </w:rPr>
        <w:t>SRHR</w:t>
      </w:r>
      <w:r w:rsidRPr="0093507C">
        <w:rPr>
          <w:rFonts w:ascii="Sylfaen" w:hAnsi="Sylfaen"/>
          <w:b/>
        </w:rPr>
        <w:t>?</w:t>
      </w:r>
    </w:p>
    <w:p w14:paraId="189C7D62" w14:textId="77777777" w:rsidR="00176972" w:rsidRPr="000E36C4" w:rsidRDefault="00176972" w:rsidP="00176972">
      <w:pPr>
        <w:pStyle w:val="ListParagraph"/>
        <w:ind w:left="1440"/>
        <w:jc w:val="both"/>
        <w:rPr>
          <w:rFonts w:ascii="Sylfaen" w:hAnsi="Sylfaen"/>
          <w:lang w:val="ka-GE"/>
        </w:rPr>
      </w:pPr>
    </w:p>
    <w:p w14:paraId="4994226F" w14:textId="4F74D441" w:rsidR="000B2982" w:rsidRPr="0035324F" w:rsidRDefault="00176972" w:rsidP="0035324F">
      <w:pPr>
        <w:jc w:val="both"/>
        <w:rPr>
          <w:rFonts w:ascii="Sylfaen" w:hAnsi="Sylfaen"/>
          <w:lang w:val="en-US"/>
        </w:rPr>
      </w:pPr>
      <w:r w:rsidRPr="0035324F">
        <w:rPr>
          <w:rFonts w:ascii="Sylfaen" w:hAnsi="Sylfaen"/>
          <w:lang w:val="en-US"/>
        </w:rPr>
        <w:t xml:space="preserve">The Public Defender of Georgia has written a report about </w:t>
      </w:r>
      <w:r w:rsidR="00E67026" w:rsidRPr="0035324F">
        <w:rPr>
          <w:rFonts w:ascii="Sylfaen" w:hAnsi="Sylfaen"/>
          <w:lang w:val="en-US"/>
        </w:rPr>
        <w:t>the 2018-2020</w:t>
      </w:r>
      <w:r w:rsidR="00E67026" w:rsidRPr="0035324F">
        <w:rPr>
          <w:rFonts w:ascii="Sylfaen" w:hAnsi="Sylfaen"/>
          <w:lang w:val="ka-GE"/>
        </w:rPr>
        <w:t xml:space="preserve"> N</w:t>
      </w:r>
      <w:proofErr w:type="spellStart"/>
      <w:r w:rsidR="00E67026" w:rsidRPr="0035324F">
        <w:rPr>
          <w:rFonts w:ascii="Sylfaen" w:hAnsi="Sylfaen"/>
          <w:lang w:val="en-US"/>
        </w:rPr>
        <w:t>ational</w:t>
      </w:r>
      <w:proofErr w:type="spellEnd"/>
      <w:r w:rsidR="000D613F" w:rsidRPr="0035324F">
        <w:rPr>
          <w:rFonts w:ascii="Sylfaen" w:hAnsi="Sylfaen"/>
          <w:lang w:val="en-US"/>
        </w:rPr>
        <w:t xml:space="preserve"> Action</w:t>
      </w:r>
      <w:r w:rsidR="00E67026" w:rsidRPr="0035324F">
        <w:rPr>
          <w:rFonts w:ascii="Sylfaen" w:hAnsi="Sylfaen"/>
          <w:lang w:val="en-US"/>
        </w:rPr>
        <w:t xml:space="preserve"> Plan for the implementation of the UN Security Council Resolutions on Women, Peace and Security</w:t>
      </w:r>
      <w:r w:rsidR="00323D44" w:rsidRPr="000E36C4">
        <w:rPr>
          <w:rStyle w:val="FootnoteReference"/>
          <w:rFonts w:ascii="Sylfaen" w:hAnsi="Sylfaen"/>
          <w:lang w:val="en-US"/>
        </w:rPr>
        <w:footnoteReference w:id="32"/>
      </w:r>
      <w:r w:rsidR="00E67026" w:rsidRPr="0035324F">
        <w:rPr>
          <w:rFonts w:ascii="Sylfaen" w:hAnsi="Sylfaen"/>
          <w:lang w:val="en-US"/>
        </w:rPr>
        <w:t>. According to the report</w:t>
      </w:r>
      <w:proofErr w:type="gramStart"/>
      <w:r w:rsidR="00BA26FF" w:rsidRPr="0035324F">
        <w:rPr>
          <w:rFonts w:ascii="Sylfaen" w:hAnsi="Sylfaen"/>
          <w:lang w:val="en-US"/>
        </w:rPr>
        <w:t>,  “</w:t>
      </w:r>
      <w:proofErr w:type="gramEnd"/>
      <w:r w:rsidR="00BA26FF" w:rsidRPr="0035324F">
        <w:rPr>
          <w:rFonts w:ascii="Sylfaen" w:hAnsi="Sylfaen"/>
          <w:lang w:val="en-US"/>
        </w:rPr>
        <w:t>p</w:t>
      </w:r>
      <w:r w:rsidR="00BA26FF" w:rsidRPr="0035324F">
        <w:rPr>
          <w:rFonts w:ascii="Sylfaen" w:hAnsi="Sylfaen"/>
          <w:lang w:val="ka-GE"/>
        </w:rPr>
        <w:t>rovision of age-appropriate information on gender</w:t>
      </w:r>
      <w:r w:rsidR="00BA26FF" w:rsidRPr="0035324F">
        <w:rPr>
          <w:rFonts w:ascii="Sylfaen" w:hAnsi="Sylfaen"/>
          <w:lang w:val="en-US"/>
        </w:rPr>
        <w:t xml:space="preserve"> </w:t>
      </w:r>
      <w:r w:rsidR="00BA26FF" w:rsidRPr="0035324F">
        <w:rPr>
          <w:rFonts w:ascii="Sylfaen" w:hAnsi="Sylfaen"/>
          <w:lang w:val="ka-GE"/>
        </w:rPr>
        <w:t>equality, including sexual and reproductive health</w:t>
      </w:r>
      <w:r w:rsidR="00BA26FF" w:rsidRPr="0035324F">
        <w:rPr>
          <w:rFonts w:ascii="Sylfaen" w:hAnsi="Sylfaen"/>
          <w:lang w:val="en-US"/>
        </w:rPr>
        <w:t xml:space="preserve"> </w:t>
      </w:r>
      <w:r w:rsidR="00BA26FF" w:rsidRPr="0035324F">
        <w:rPr>
          <w:rFonts w:ascii="Sylfaen" w:hAnsi="Sylfaen"/>
          <w:lang w:val="ka-GE"/>
        </w:rPr>
        <w:t>and rights are still problemati</w:t>
      </w:r>
      <w:r w:rsidR="00BA26FF" w:rsidRPr="0035324F">
        <w:rPr>
          <w:rFonts w:ascii="Sylfaen" w:hAnsi="Sylfaen"/>
          <w:lang w:val="en-US"/>
        </w:rPr>
        <w:t>c</w:t>
      </w:r>
      <w:r w:rsidR="00BA26FF" w:rsidRPr="0035324F">
        <w:rPr>
          <w:rFonts w:ascii="Sylfaen" w:hAnsi="Sylfaen"/>
          <w:lang w:val="ka-GE"/>
        </w:rPr>
        <w:t>“</w:t>
      </w:r>
      <w:r w:rsidR="00BA26FF" w:rsidRPr="000E36C4">
        <w:rPr>
          <w:rStyle w:val="FootnoteReference"/>
          <w:rFonts w:ascii="Sylfaen" w:hAnsi="Sylfaen"/>
          <w:lang w:val="ka-GE"/>
        </w:rPr>
        <w:footnoteReference w:id="33"/>
      </w:r>
      <w:r w:rsidR="00BA26FF" w:rsidRPr="0035324F">
        <w:rPr>
          <w:rFonts w:ascii="Sylfaen" w:hAnsi="Sylfaen"/>
          <w:lang w:val="ka-GE"/>
        </w:rPr>
        <w:t>.</w:t>
      </w:r>
      <w:r w:rsidR="00BA26FF" w:rsidRPr="0035324F">
        <w:rPr>
          <w:rFonts w:ascii="Sylfaen" w:hAnsi="Sylfaen"/>
          <w:lang w:val="en-US"/>
        </w:rPr>
        <w:t xml:space="preserve"> Moreover, the report states that “there is no service in the country that provides psychological support to IDP or conflict-affected women and girls and, where necessary, the needed medication, as outlined in a number of action plans. Access to maternity services is problematic, which is one of the rights of a woman’s sexual and reproductive health. Conflict-affected women also have difficulty accessing the information on family planning services and methods of contraception”</w:t>
      </w:r>
      <w:r w:rsidR="00BA26FF" w:rsidRPr="000E36C4">
        <w:rPr>
          <w:rStyle w:val="FootnoteReference"/>
          <w:rFonts w:ascii="Sylfaen" w:hAnsi="Sylfaen"/>
          <w:lang w:val="en-US"/>
        </w:rPr>
        <w:footnoteReference w:id="34"/>
      </w:r>
      <w:r w:rsidR="0035324F">
        <w:rPr>
          <w:rFonts w:ascii="Sylfaen" w:hAnsi="Sylfaen"/>
          <w:lang w:val="en-US"/>
        </w:rPr>
        <w:t>.</w:t>
      </w:r>
    </w:p>
    <w:p w14:paraId="172EFC6C" w14:textId="3A155791" w:rsidR="00E814DD" w:rsidRPr="00157297" w:rsidRDefault="00C57EF8" w:rsidP="00157297">
      <w:pPr>
        <w:jc w:val="center"/>
        <w:rPr>
          <w:rFonts w:ascii="Sylfaen" w:hAnsi="Sylfaen"/>
          <w:sz w:val="28"/>
        </w:rPr>
      </w:pPr>
      <w:r w:rsidRPr="000E36C4">
        <w:rPr>
          <w:rFonts w:ascii="Sylfaen" w:hAnsi="Sylfaen"/>
          <w:sz w:val="28"/>
        </w:rPr>
        <w:t>Sexual and reproductive health and rights in Georgia</w:t>
      </w:r>
    </w:p>
    <w:p w14:paraId="009679E1" w14:textId="5319AE85" w:rsidR="00E814DD" w:rsidRPr="001B49FD" w:rsidRDefault="00E814DD" w:rsidP="00AB295C">
      <w:pPr>
        <w:jc w:val="both"/>
        <w:rPr>
          <w:rFonts w:ascii="Sylfaen" w:hAnsi="Sylfaen"/>
          <w:lang w:val="en-US"/>
        </w:rPr>
      </w:pPr>
      <w:r w:rsidRPr="000E36C4">
        <w:rPr>
          <w:rFonts w:ascii="Sylfaen" w:hAnsi="Sylfaen"/>
        </w:rPr>
        <w:t xml:space="preserve">Article 28 of the Constitution of Georgia establishes the </w:t>
      </w:r>
      <w:r w:rsidR="000F3115">
        <w:rPr>
          <w:rFonts w:ascii="Sylfaen" w:hAnsi="Sylfaen"/>
        </w:rPr>
        <w:t>r</w:t>
      </w:r>
      <w:r w:rsidRPr="000E36C4">
        <w:rPr>
          <w:rFonts w:ascii="Sylfaen" w:hAnsi="Sylfaen"/>
        </w:rPr>
        <w:t>ight to the protection of health, namely, it stipulates that the right of a citizen to affordable and quality health care services shall be guaranteed by law</w:t>
      </w:r>
      <w:r w:rsidRPr="000E36C4">
        <w:rPr>
          <w:rStyle w:val="FootnoteReference"/>
          <w:rFonts w:ascii="Sylfaen" w:hAnsi="Sylfaen"/>
        </w:rPr>
        <w:footnoteReference w:id="35"/>
      </w:r>
      <w:r w:rsidRPr="000E36C4">
        <w:rPr>
          <w:rFonts w:ascii="Sylfaen" w:hAnsi="Sylfaen"/>
        </w:rPr>
        <w:t xml:space="preserve">. However, the protection of sexual and reproductive health and </w:t>
      </w:r>
      <w:r w:rsidR="00A12191" w:rsidRPr="000E36C4">
        <w:rPr>
          <w:rFonts w:ascii="Sylfaen" w:hAnsi="Sylfaen"/>
        </w:rPr>
        <w:t xml:space="preserve">human </w:t>
      </w:r>
      <w:r w:rsidRPr="000E36C4">
        <w:rPr>
          <w:rFonts w:ascii="Sylfaen" w:hAnsi="Sylfaen"/>
        </w:rPr>
        <w:t>rights remains</w:t>
      </w:r>
      <w:r w:rsidR="00A66141" w:rsidRPr="000E36C4">
        <w:rPr>
          <w:rFonts w:ascii="Sylfaen" w:hAnsi="Sylfaen"/>
        </w:rPr>
        <w:t xml:space="preserve"> a serious challenge in Georgia. According to the National Assessment of Sexual and Reproductive Health </w:t>
      </w:r>
      <w:proofErr w:type="gramStart"/>
      <w:r w:rsidR="00A66141" w:rsidRPr="000E36C4">
        <w:rPr>
          <w:rFonts w:ascii="Sylfaen" w:hAnsi="Sylfaen"/>
        </w:rPr>
        <w:t>and  Human</w:t>
      </w:r>
      <w:proofErr w:type="gramEnd"/>
      <w:r w:rsidR="00A66141" w:rsidRPr="000E36C4">
        <w:rPr>
          <w:rFonts w:ascii="Sylfaen" w:hAnsi="Sylfaen"/>
        </w:rPr>
        <w:t xml:space="preserve"> Rights carried out by the Public Defender of Georgia, the country faces significant problems in the fields of maternal health, family planning services and contraceptives and comprehensive education on human sexuality</w:t>
      </w:r>
      <w:r w:rsidR="00A66141" w:rsidRPr="000E36C4">
        <w:rPr>
          <w:rStyle w:val="FootnoteReference"/>
          <w:rFonts w:ascii="Sylfaen" w:hAnsi="Sylfaen"/>
        </w:rPr>
        <w:footnoteReference w:id="36"/>
      </w:r>
      <w:r w:rsidR="00A66141" w:rsidRPr="000E36C4">
        <w:rPr>
          <w:rFonts w:ascii="Sylfaen" w:hAnsi="Sylfaen"/>
        </w:rPr>
        <w:t>.</w:t>
      </w:r>
      <w:r w:rsidR="00A12191" w:rsidRPr="000E36C4">
        <w:rPr>
          <w:rFonts w:ascii="Sylfaen" w:hAnsi="Sylfaen"/>
        </w:rPr>
        <w:t xml:space="preserve"> With respect to maternal health, several problems have been identified, such as: high rate of maternal mortality and morbidity, absence of psychological services in antenatal and postnatal service packages, the absence of a systemic vision for postnatal services, the language barrier for women of ethnic minorities</w:t>
      </w:r>
      <w:r w:rsidR="000F3115">
        <w:rPr>
          <w:rFonts w:ascii="Sylfaen" w:hAnsi="Sylfaen"/>
        </w:rPr>
        <w:t>,</w:t>
      </w:r>
      <w:r w:rsidR="00A12191" w:rsidRPr="000E36C4">
        <w:rPr>
          <w:rFonts w:ascii="Sylfaen" w:hAnsi="Sylfaen"/>
        </w:rPr>
        <w:t xml:space="preserve"> </w:t>
      </w:r>
      <w:proofErr w:type="spellStart"/>
      <w:r w:rsidR="00A12191" w:rsidRPr="000E36C4">
        <w:rPr>
          <w:rFonts w:ascii="Sylfaen" w:hAnsi="Sylfaen"/>
        </w:rPr>
        <w:t>etc</w:t>
      </w:r>
      <w:proofErr w:type="spellEnd"/>
      <w:r w:rsidR="00A12191" w:rsidRPr="000E36C4">
        <w:rPr>
          <w:rStyle w:val="FootnoteReference"/>
          <w:rFonts w:ascii="Sylfaen" w:hAnsi="Sylfaen"/>
        </w:rPr>
        <w:footnoteReference w:id="37"/>
      </w:r>
      <w:r w:rsidR="00A12191" w:rsidRPr="000E36C4">
        <w:rPr>
          <w:rFonts w:ascii="Sylfaen" w:hAnsi="Sylfaen"/>
        </w:rPr>
        <w:t>. Furthermore, the State actions and policy regarding family planning services and contraception remain insufficient and thus undermine the protection of sexual and reproductive health and human rights. The following problems have been</w:t>
      </w:r>
      <w:r w:rsidR="00642052" w:rsidRPr="000E36C4">
        <w:rPr>
          <w:rFonts w:ascii="Sylfaen" w:hAnsi="Sylfaen"/>
        </w:rPr>
        <w:t xml:space="preserve"> mentioned in the National Assessment: </w:t>
      </w:r>
      <w:r w:rsidR="000F3115">
        <w:rPr>
          <w:rFonts w:ascii="Sylfaen" w:hAnsi="Sylfaen"/>
        </w:rPr>
        <w:t xml:space="preserve">a </w:t>
      </w:r>
      <w:r w:rsidR="00642052" w:rsidRPr="000E36C4">
        <w:rPr>
          <w:rFonts w:ascii="Sylfaen" w:hAnsi="Sylfaen"/>
        </w:rPr>
        <w:t xml:space="preserve">lack of access to comprehensive information regarding both traditional and modern methods of contraception, gender roles and stigmas generated by society, financial barriers, violation of patient confidentiality, lack of friendly and confidential services for teenagers and adolescent girls, </w:t>
      </w:r>
      <w:proofErr w:type="spellStart"/>
      <w:r w:rsidR="00642052" w:rsidRPr="000E36C4">
        <w:rPr>
          <w:rFonts w:ascii="Sylfaen" w:hAnsi="Sylfaen"/>
        </w:rPr>
        <w:t>etc</w:t>
      </w:r>
      <w:proofErr w:type="spellEnd"/>
      <w:r w:rsidR="00642052" w:rsidRPr="000E36C4">
        <w:rPr>
          <w:rStyle w:val="FootnoteReference"/>
          <w:rFonts w:ascii="Sylfaen" w:hAnsi="Sylfaen"/>
        </w:rPr>
        <w:footnoteReference w:id="38"/>
      </w:r>
      <w:r w:rsidR="00642052" w:rsidRPr="000E36C4">
        <w:rPr>
          <w:rFonts w:ascii="Sylfaen" w:hAnsi="Sylfaen"/>
        </w:rPr>
        <w:t>. With respect to sex education, Georgia’s educational system does not have comprehensive education on human sexuality</w:t>
      </w:r>
      <w:r w:rsidR="00642052" w:rsidRPr="000E36C4">
        <w:rPr>
          <w:rStyle w:val="FootnoteReference"/>
          <w:rFonts w:ascii="Sylfaen" w:hAnsi="Sylfaen"/>
        </w:rPr>
        <w:footnoteReference w:id="39"/>
      </w:r>
      <w:r w:rsidR="00642052" w:rsidRPr="000E36C4">
        <w:rPr>
          <w:rFonts w:ascii="Sylfaen" w:hAnsi="Sylfaen"/>
        </w:rPr>
        <w:t>. The following issues have been identified in this field:</w:t>
      </w:r>
      <w:r w:rsidR="00AB295C" w:rsidRPr="000E36C4">
        <w:rPr>
          <w:rFonts w:ascii="Sylfaen" w:hAnsi="Sylfaen"/>
        </w:rPr>
        <w:t xml:space="preserve"> a moral panic created by formal or informal groups/institutions in society, teachers’ low competency, limitations in the content of textbooks and the non-permanent nature of delivering knowledge within the curricula, stigma and associated taboos affecting the teaching process for human sexuality, etc.</w:t>
      </w:r>
      <w:r w:rsidR="00AB295C" w:rsidRPr="000E36C4">
        <w:rPr>
          <w:rStyle w:val="FootnoteReference"/>
          <w:rFonts w:ascii="Sylfaen" w:hAnsi="Sylfaen"/>
        </w:rPr>
        <w:footnoteReference w:id="40"/>
      </w:r>
      <w:r w:rsidR="003043D1" w:rsidRPr="000E36C4">
        <w:rPr>
          <w:rFonts w:ascii="Sylfaen" w:hAnsi="Sylfaen"/>
        </w:rPr>
        <w:t xml:space="preserve"> To summarize, systemic problems remain and hinder the </w:t>
      </w:r>
      <w:proofErr w:type="spellStart"/>
      <w:r w:rsidR="003043D1" w:rsidRPr="000E36C4">
        <w:rPr>
          <w:rFonts w:ascii="Sylfaen" w:hAnsi="Sylfaen"/>
        </w:rPr>
        <w:t>the</w:t>
      </w:r>
      <w:proofErr w:type="spellEnd"/>
      <w:r w:rsidR="003043D1" w:rsidRPr="000E36C4">
        <w:rPr>
          <w:rFonts w:ascii="Sylfaen" w:hAnsi="Sylfaen"/>
        </w:rPr>
        <w:t xml:space="preserve"> protection of sexual and reproductive health and human rights.</w:t>
      </w:r>
      <w:r w:rsidR="003043D1" w:rsidRPr="001B49FD">
        <w:rPr>
          <w:rFonts w:ascii="Sylfaen" w:hAnsi="Sylfaen"/>
        </w:rPr>
        <w:t xml:space="preserve"> </w:t>
      </w:r>
    </w:p>
    <w:p w14:paraId="7CCCBDD7" w14:textId="77777777" w:rsidR="00A66141" w:rsidRPr="001B49FD" w:rsidRDefault="00A66141" w:rsidP="00E814DD">
      <w:pPr>
        <w:jc w:val="both"/>
        <w:rPr>
          <w:rFonts w:ascii="Sylfaen" w:hAnsi="Sylfaen"/>
        </w:rPr>
      </w:pPr>
    </w:p>
    <w:sectPr w:rsidR="00A66141" w:rsidRPr="001B49FD">
      <w:footerReference w:type="defaul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E01DF9" w15:done="0"/>
  <w15:commentEx w15:paraId="5EB0E524" w15:done="0"/>
  <w15:commentEx w15:paraId="5E863A67" w15:done="0"/>
  <w15:commentEx w15:paraId="42683DEF" w15:done="0"/>
  <w15:commentEx w15:paraId="5C83150E" w15:done="0"/>
  <w15:commentEx w15:paraId="53327B0D" w15:done="0"/>
  <w15:commentEx w15:paraId="795A30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99B29" w14:textId="77777777" w:rsidR="00427636" w:rsidRDefault="00427636">
      <w:pPr>
        <w:spacing w:after="0" w:line="240" w:lineRule="auto"/>
      </w:pPr>
      <w:r>
        <w:separator/>
      </w:r>
    </w:p>
  </w:endnote>
  <w:endnote w:type="continuationSeparator" w:id="0">
    <w:p w14:paraId="1DFB5653" w14:textId="77777777" w:rsidR="00427636" w:rsidRDefault="0042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MS PMincho"/>
    <w:panose1 w:val="00000000000000000000"/>
    <w:charset w:val="80"/>
    <w:family w:val="roman"/>
    <w:notTrueType/>
    <w:pitch w:val="default"/>
  </w:font>
  <w:font w:name="Segoe UI">
    <w:altName w:val="Arial"/>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083174"/>
      <w:docPartObj>
        <w:docPartGallery w:val="Page Numbers (Bottom of Page)"/>
        <w:docPartUnique/>
      </w:docPartObj>
    </w:sdtPr>
    <w:sdtEndPr>
      <w:rPr>
        <w:noProof/>
      </w:rPr>
    </w:sdtEndPr>
    <w:sdtContent>
      <w:p w14:paraId="251CD578" w14:textId="5CEBFF63" w:rsidR="009A36A5" w:rsidRDefault="009A36A5">
        <w:pPr>
          <w:pStyle w:val="Footer"/>
          <w:jc w:val="right"/>
        </w:pPr>
        <w:r>
          <w:fldChar w:fldCharType="begin"/>
        </w:r>
        <w:r>
          <w:instrText xml:space="preserve"> PAGE   \* MERGEFORMAT </w:instrText>
        </w:r>
        <w:r>
          <w:fldChar w:fldCharType="separate"/>
        </w:r>
        <w:r w:rsidR="00DF3C70">
          <w:rPr>
            <w:noProof/>
          </w:rPr>
          <w:t>2</w:t>
        </w:r>
        <w:r>
          <w:rPr>
            <w:noProof/>
          </w:rPr>
          <w:fldChar w:fldCharType="end"/>
        </w:r>
      </w:p>
    </w:sdtContent>
  </w:sdt>
  <w:p w14:paraId="5E3613D0" w14:textId="77777777" w:rsidR="009A36A5" w:rsidRDefault="009A3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58C68" w14:textId="77777777" w:rsidR="00427636" w:rsidRDefault="00427636">
      <w:pPr>
        <w:spacing w:after="0" w:line="240" w:lineRule="auto"/>
      </w:pPr>
      <w:r>
        <w:separator/>
      </w:r>
    </w:p>
  </w:footnote>
  <w:footnote w:type="continuationSeparator" w:id="0">
    <w:p w14:paraId="69007792" w14:textId="77777777" w:rsidR="00427636" w:rsidRDefault="00427636">
      <w:pPr>
        <w:spacing w:after="0" w:line="240" w:lineRule="auto"/>
      </w:pPr>
      <w:r>
        <w:continuationSeparator/>
      </w:r>
    </w:p>
  </w:footnote>
  <w:footnote w:id="1">
    <w:p w14:paraId="1EA971B6" w14:textId="7E6ED89F" w:rsidR="006374FF" w:rsidRPr="000E36C4" w:rsidRDefault="006374FF" w:rsidP="000E36C4">
      <w:pPr>
        <w:pStyle w:val="FootnoteText"/>
        <w:jc w:val="both"/>
        <w:rPr>
          <w:rFonts w:ascii="Sylfaen" w:hAnsi="Sylfaen"/>
          <w:lang w:val="en-US"/>
        </w:rPr>
      </w:pPr>
      <w:r w:rsidRPr="000E36C4">
        <w:rPr>
          <w:rStyle w:val="FootnoteReference"/>
          <w:rFonts w:ascii="Sylfaen" w:hAnsi="Sylfaen"/>
        </w:rPr>
        <w:footnoteRef/>
      </w:r>
      <w:r w:rsidRPr="000E36C4">
        <w:rPr>
          <w:rFonts w:ascii="Sylfaen" w:hAnsi="Sylfaen"/>
        </w:rPr>
        <w:t xml:space="preserve"> </w:t>
      </w:r>
      <w:proofErr w:type="gramStart"/>
      <w:r w:rsidRPr="000E36C4">
        <w:rPr>
          <w:rFonts w:ascii="Sylfaen" w:hAnsi="Sylfaen"/>
          <w:lang w:val="en-US"/>
        </w:rPr>
        <w:t>Paragraph 1 of article 71 of the Constitution of Georgia.</w:t>
      </w:r>
      <w:proofErr w:type="gramEnd"/>
    </w:p>
  </w:footnote>
  <w:footnote w:id="2">
    <w:p w14:paraId="52B208C7" w14:textId="374D76A9" w:rsidR="000B46B6" w:rsidRPr="000E36C4" w:rsidRDefault="000B46B6" w:rsidP="000E36C4">
      <w:pPr>
        <w:pStyle w:val="FootnoteText"/>
        <w:jc w:val="both"/>
        <w:rPr>
          <w:rFonts w:ascii="Sylfaen" w:hAnsi="Sylfaen"/>
          <w:lang w:val="en-US"/>
        </w:rPr>
      </w:pPr>
      <w:r w:rsidRPr="000E36C4">
        <w:rPr>
          <w:rStyle w:val="FootnoteReference"/>
          <w:rFonts w:ascii="Sylfaen" w:hAnsi="Sylfaen"/>
        </w:rPr>
        <w:footnoteRef/>
      </w:r>
      <w:r w:rsidRPr="000E36C4">
        <w:rPr>
          <w:rFonts w:ascii="Sylfaen" w:hAnsi="Sylfaen"/>
        </w:rPr>
        <w:t xml:space="preserve"> </w:t>
      </w:r>
      <w:r w:rsidRPr="000E36C4">
        <w:rPr>
          <w:rFonts w:ascii="Sylfaen" w:hAnsi="Sylfaen"/>
          <w:lang w:val="en-US"/>
        </w:rPr>
        <w:t>ibid, paragraph 2.</w:t>
      </w:r>
    </w:p>
  </w:footnote>
  <w:footnote w:id="3">
    <w:p w14:paraId="49A89A11" w14:textId="35A2070E" w:rsidR="000A7050" w:rsidRPr="000E36C4" w:rsidRDefault="000A7050" w:rsidP="000E36C4">
      <w:pPr>
        <w:pStyle w:val="FootnoteText"/>
        <w:jc w:val="both"/>
        <w:rPr>
          <w:rFonts w:ascii="Sylfaen" w:hAnsi="Sylfaen"/>
        </w:rPr>
      </w:pPr>
      <w:r w:rsidRPr="000E36C4">
        <w:rPr>
          <w:rStyle w:val="FootnoteReference"/>
          <w:rFonts w:ascii="Sylfaen" w:hAnsi="Sylfaen"/>
        </w:rPr>
        <w:footnoteRef/>
      </w:r>
      <w:r w:rsidRPr="000E36C4">
        <w:rPr>
          <w:rFonts w:ascii="Sylfaen" w:hAnsi="Sylfaen"/>
        </w:rPr>
        <w:t xml:space="preserve"> Article 1 </w:t>
      </w:r>
      <w:r w:rsidRPr="000E36C4">
        <w:rPr>
          <w:rFonts w:ascii="Sylfaen" w:hAnsi="Sylfaen"/>
          <w:lang w:val="en-US"/>
        </w:rPr>
        <w:t>of the Law of Georgia on Martial Law,</w:t>
      </w:r>
    </w:p>
  </w:footnote>
  <w:footnote w:id="4">
    <w:p w14:paraId="7641CE90" w14:textId="550D6559" w:rsidR="000A7050" w:rsidRPr="000E36C4" w:rsidRDefault="000A7050" w:rsidP="000E36C4">
      <w:pPr>
        <w:pStyle w:val="FootnoteText"/>
        <w:jc w:val="both"/>
        <w:rPr>
          <w:rFonts w:ascii="Sylfaen" w:hAnsi="Sylfaen"/>
          <w:lang w:val="en-US"/>
        </w:rPr>
      </w:pPr>
      <w:r w:rsidRPr="000E36C4">
        <w:rPr>
          <w:rStyle w:val="FootnoteReference"/>
          <w:rFonts w:ascii="Sylfaen" w:hAnsi="Sylfaen"/>
        </w:rPr>
        <w:footnoteRef/>
      </w:r>
      <w:r w:rsidRPr="000E36C4">
        <w:rPr>
          <w:rFonts w:ascii="Sylfaen" w:hAnsi="Sylfaen"/>
        </w:rPr>
        <w:t xml:space="preserve"> </w:t>
      </w:r>
      <w:r w:rsidRPr="000E36C4">
        <w:rPr>
          <w:rFonts w:ascii="Sylfaen" w:hAnsi="Sylfaen"/>
          <w:lang w:val="en-US"/>
        </w:rPr>
        <w:t>Paragraph 1 of article 1 of the Law of Georgia on State of Emergency.</w:t>
      </w:r>
    </w:p>
  </w:footnote>
  <w:footnote w:id="5">
    <w:p w14:paraId="04C08C9D" w14:textId="627B2396" w:rsidR="00BF6F39" w:rsidRPr="000E36C4" w:rsidRDefault="00BF6F39" w:rsidP="000E36C4">
      <w:pPr>
        <w:pStyle w:val="FootnoteText"/>
        <w:jc w:val="both"/>
        <w:rPr>
          <w:rFonts w:ascii="Sylfaen" w:hAnsi="Sylfaen"/>
          <w:lang w:val="en-US"/>
        </w:rPr>
      </w:pPr>
      <w:r w:rsidRPr="000E36C4">
        <w:rPr>
          <w:rStyle w:val="FootnoteReference"/>
          <w:rFonts w:ascii="Sylfaen" w:hAnsi="Sylfaen"/>
        </w:rPr>
        <w:footnoteRef/>
      </w:r>
      <w:r w:rsidRPr="000E36C4">
        <w:rPr>
          <w:rFonts w:ascii="Sylfaen" w:hAnsi="Sylfaen"/>
        </w:rPr>
        <w:t xml:space="preserve"> </w:t>
      </w:r>
      <w:r w:rsidRPr="000E36C4">
        <w:rPr>
          <w:rFonts w:ascii="Sylfaen" w:hAnsi="Sylfaen"/>
          <w:lang w:val="en-US"/>
        </w:rPr>
        <w:t>Paragraph b of article 3 of the Law of Georgia on Public Safety.</w:t>
      </w:r>
    </w:p>
  </w:footnote>
  <w:footnote w:id="6">
    <w:p w14:paraId="554E176E" w14:textId="1E539FC6" w:rsidR="009A0D76" w:rsidRPr="000E36C4" w:rsidRDefault="009A0D76" w:rsidP="000E36C4">
      <w:pPr>
        <w:pStyle w:val="FootnoteText"/>
        <w:jc w:val="both"/>
        <w:rPr>
          <w:rFonts w:ascii="Sylfaen" w:hAnsi="Sylfaen"/>
          <w:lang w:val="en-US"/>
        </w:rPr>
      </w:pPr>
      <w:r w:rsidRPr="000E36C4">
        <w:rPr>
          <w:rStyle w:val="FootnoteReference"/>
          <w:rFonts w:ascii="Sylfaen" w:hAnsi="Sylfaen"/>
        </w:rPr>
        <w:footnoteRef/>
      </w:r>
      <w:r w:rsidRPr="000E36C4">
        <w:rPr>
          <w:rFonts w:ascii="Sylfaen" w:hAnsi="Sylfaen"/>
        </w:rPr>
        <w:t xml:space="preserve"> </w:t>
      </w:r>
      <w:r w:rsidRPr="000E36C4">
        <w:rPr>
          <w:rFonts w:ascii="Sylfaen" w:hAnsi="Sylfaen"/>
          <w:lang w:val="en-US"/>
        </w:rPr>
        <w:t xml:space="preserve">ibid, paragraph c. </w:t>
      </w:r>
    </w:p>
  </w:footnote>
  <w:footnote w:id="7">
    <w:p w14:paraId="5C08C098" w14:textId="126731CE" w:rsidR="00591AD6" w:rsidRPr="000E36C4" w:rsidRDefault="00591AD6" w:rsidP="000E36C4">
      <w:pPr>
        <w:pStyle w:val="FootnoteText"/>
        <w:jc w:val="both"/>
        <w:rPr>
          <w:rFonts w:ascii="Sylfaen" w:hAnsi="Sylfaen"/>
          <w:lang w:val="en-US"/>
        </w:rPr>
      </w:pPr>
      <w:r w:rsidRPr="000E36C4">
        <w:rPr>
          <w:rStyle w:val="FootnoteReference"/>
          <w:rFonts w:ascii="Sylfaen" w:hAnsi="Sylfaen"/>
        </w:rPr>
        <w:footnoteRef/>
      </w:r>
      <w:r w:rsidRPr="000E36C4">
        <w:rPr>
          <w:rFonts w:ascii="Sylfaen" w:hAnsi="Sylfaen"/>
        </w:rPr>
        <w:t xml:space="preserve"> </w:t>
      </w:r>
      <w:proofErr w:type="gramStart"/>
      <w:r w:rsidR="002F1DE1" w:rsidRPr="000E36C4">
        <w:rPr>
          <w:rFonts w:ascii="Sylfaen" w:hAnsi="Sylfaen"/>
        </w:rPr>
        <w:t>supra</w:t>
      </w:r>
      <w:proofErr w:type="gramEnd"/>
      <w:r w:rsidR="002F1DE1" w:rsidRPr="000E36C4">
        <w:rPr>
          <w:rFonts w:ascii="Sylfaen" w:hAnsi="Sylfaen"/>
        </w:rPr>
        <w:t xml:space="preserve"> 6, </w:t>
      </w:r>
      <w:r w:rsidR="002F1DE1" w:rsidRPr="000E36C4">
        <w:rPr>
          <w:rFonts w:ascii="Sylfaen" w:hAnsi="Sylfaen"/>
          <w:lang w:val="en-US"/>
        </w:rPr>
        <w:t>paragraph 1 of article 4.</w:t>
      </w:r>
    </w:p>
  </w:footnote>
  <w:footnote w:id="8">
    <w:p w14:paraId="4B1DC236" w14:textId="646931EA" w:rsidR="00591AD6" w:rsidRPr="000E36C4" w:rsidRDefault="00591AD6" w:rsidP="000E36C4">
      <w:pPr>
        <w:pStyle w:val="FootnoteText"/>
        <w:jc w:val="both"/>
        <w:rPr>
          <w:rFonts w:ascii="Sylfaen" w:hAnsi="Sylfaen"/>
          <w:lang w:val="en-US"/>
        </w:rPr>
      </w:pPr>
      <w:r w:rsidRPr="000E36C4">
        <w:rPr>
          <w:rStyle w:val="FootnoteReference"/>
          <w:rFonts w:ascii="Sylfaen" w:hAnsi="Sylfaen"/>
        </w:rPr>
        <w:footnoteRef/>
      </w:r>
      <w:r w:rsidRPr="000E36C4">
        <w:rPr>
          <w:rFonts w:ascii="Sylfaen" w:hAnsi="Sylfaen"/>
        </w:rPr>
        <w:t xml:space="preserve"> </w:t>
      </w:r>
      <w:r w:rsidRPr="000E36C4">
        <w:rPr>
          <w:rFonts w:ascii="Sylfaen" w:hAnsi="Sylfaen"/>
          <w:lang w:val="en-US"/>
        </w:rPr>
        <w:t>ibid.</w:t>
      </w:r>
    </w:p>
  </w:footnote>
  <w:footnote w:id="9">
    <w:p w14:paraId="76C0DBED" w14:textId="0FEDAEC6" w:rsidR="00533136" w:rsidRPr="000E36C4" w:rsidRDefault="00533136" w:rsidP="000E36C4">
      <w:pPr>
        <w:pStyle w:val="FootnoteText"/>
        <w:jc w:val="both"/>
        <w:rPr>
          <w:rFonts w:ascii="Sylfaen" w:hAnsi="Sylfaen"/>
          <w:lang w:val="en-US"/>
        </w:rPr>
      </w:pPr>
      <w:r w:rsidRPr="000E36C4">
        <w:rPr>
          <w:rStyle w:val="FootnoteReference"/>
          <w:rFonts w:ascii="Sylfaen" w:hAnsi="Sylfaen"/>
        </w:rPr>
        <w:footnoteRef/>
      </w:r>
      <w:r w:rsidRPr="000E36C4">
        <w:rPr>
          <w:rFonts w:ascii="Sylfaen" w:hAnsi="Sylfaen"/>
        </w:rPr>
        <w:t xml:space="preserve"> </w:t>
      </w:r>
      <w:r w:rsidRPr="000E36C4">
        <w:rPr>
          <w:rFonts w:ascii="Sylfaen" w:hAnsi="Sylfaen"/>
          <w:lang w:val="en-US"/>
        </w:rPr>
        <w:t xml:space="preserve">Please view: </w:t>
      </w:r>
      <w:hyperlink r:id="rId1" w:history="1">
        <w:r w:rsidRPr="000E36C4">
          <w:rPr>
            <w:rStyle w:val="Hyperlink"/>
            <w:rFonts w:ascii="Sylfaen" w:hAnsi="Sylfaen"/>
          </w:rPr>
          <w:t>https://matsne.gov.ge/ka/document/view/2993918?publication=1</w:t>
        </w:r>
      </w:hyperlink>
      <w:r w:rsidRPr="000E36C4">
        <w:rPr>
          <w:rFonts w:ascii="Sylfaen" w:hAnsi="Sylfaen"/>
        </w:rPr>
        <w:t xml:space="preserve"> [last seen 31.08.2020]</w:t>
      </w:r>
    </w:p>
  </w:footnote>
  <w:footnote w:id="10">
    <w:p w14:paraId="668C5D94" w14:textId="1AE3FB38" w:rsidR="00591AD6" w:rsidRPr="000E36C4" w:rsidRDefault="00591AD6" w:rsidP="000E36C4">
      <w:pPr>
        <w:pStyle w:val="FootnoteText"/>
        <w:jc w:val="both"/>
        <w:rPr>
          <w:rFonts w:ascii="Sylfaen" w:hAnsi="Sylfaen"/>
          <w:lang w:val="en-US"/>
        </w:rPr>
      </w:pPr>
      <w:r w:rsidRPr="000E36C4">
        <w:rPr>
          <w:rStyle w:val="FootnoteReference"/>
          <w:rFonts w:ascii="Sylfaen" w:hAnsi="Sylfaen"/>
        </w:rPr>
        <w:footnoteRef/>
      </w:r>
      <w:r w:rsidRPr="000E36C4">
        <w:rPr>
          <w:rFonts w:ascii="Sylfaen" w:hAnsi="Sylfaen"/>
        </w:rPr>
        <w:t xml:space="preserve"> </w:t>
      </w:r>
      <w:proofErr w:type="gramStart"/>
      <w:r w:rsidR="002F1DE1" w:rsidRPr="000E36C4">
        <w:rPr>
          <w:rFonts w:ascii="Sylfaen" w:hAnsi="Sylfaen"/>
          <w:lang w:val="en-US"/>
        </w:rPr>
        <w:t>supra</w:t>
      </w:r>
      <w:proofErr w:type="gramEnd"/>
      <w:r w:rsidR="002F1DE1" w:rsidRPr="000E36C4">
        <w:rPr>
          <w:rFonts w:ascii="Sylfaen" w:hAnsi="Sylfaen"/>
          <w:lang w:val="en-US"/>
        </w:rPr>
        <w:t xml:space="preserve"> 6, paragraph 3 of article 4.</w:t>
      </w:r>
    </w:p>
  </w:footnote>
  <w:footnote w:id="11">
    <w:p w14:paraId="7823B64C" w14:textId="6E3DACE4" w:rsidR="00B05525" w:rsidRPr="000E36C4" w:rsidRDefault="00B05525" w:rsidP="000E36C4">
      <w:pPr>
        <w:pStyle w:val="FootnoteText"/>
        <w:jc w:val="both"/>
        <w:rPr>
          <w:rFonts w:ascii="Sylfaen" w:hAnsi="Sylfaen"/>
          <w:lang w:val="en-US"/>
        </w:rPr>
      </w:pPr>
      <w:r w:rsidRPr="000E36C4">
        <w:rPr>
          <w:rStyle w:val="FootnoteReference"/>
          <w:rFonts w:ascii="Sylfaen" w:hAnsi="Sylfaen"/>
        </w:rPr>
        <w:footnoteRef/>
      </w:r>
      <w:r w:rsidRPr="000E36C4">
        <w:rPr>
          <w:rFonts w:ascii="Sylfaen" w:hAnsi="Sylfaen"/>
        </w:rPr>
        <w:t xml:space="preserve"> </w:t>
      </w:r>
      <w:r w:rsidRPr="000E36C4">
        <w:rPr>
          <w:rFonts w:ascii="Sylfaen" w:hAnsi="Sylfaen"/>
          <w:lang w:val="en-US"/>
        </w:rPr>
        <w:t>ibid, paragraph 1 of article 36.</w:t>
      </w:r>
    </w:p>
  </w:footnote>
  <w:footnote w:id="12">
    <w:p w14:paraId="64F319CF" w14:textId="4837F94F" w:rsidR="00B05525" w:rsidRPr="000E36C4" w:rsidRDefault="00B05525" w:rsidP="000E36C4">
      <w:pPr>
        <w:pStyle w:val="FootnoteText"/>
        <w:jc w:val="both"/>
        <w:rPr>
          <w:rFonts w:ascii="Sylfaen" w:hAnsi="Sylfaen"/>
          <w:lang w:val="en-US"/>
        </w:rPr>
      </w:pPr>
      <w:r w:rsidRPr="000E36C4">
        <w:rPr>
          <w:rStyle w:val="FootnoteReference"/>
          <w:rFonts w:ascii="Sylfaen" w:hAnsi="Sylfaen"/>
        </w:rPr>
        <w:footnoteRef/>
      </w:r>
      <w:r w:rsidRPr="000E36C4">
        <w:rPr>
          <w:rFonts w:ascii="Sylfaen" w:hAnsi="Sylfaen"/>
        </w:rPr>
        <w:t xml:space="preserve"> </w:t>
      </w:r>
      <w:r w:rsidR="002F1DE1" w:rsidRPr="000E36C4">
        <w:rPr>
          <w:rFonts w:ascii="Sylfaen" w:hAnsi="Sylfaen"/>
          <w:lang w:val="en-US"/>
        </w:rPr>
        <w:t>ibid, article 38.</w:t>
      </w:r>
    </w:p>
  </w:footnote>
  <w:footnote w:id="13">
    <w:p w14:paraId="540362EE" w14:textId="7C7CC0C7" w:rsidR="00C746DB" w:rsidRPr="000E36C4" w:rsidRDefault="00C746DB" w:rsidP="000E36C4">
      <w:pPr>
        <w:pStyle w:val="FootnoteText"/>
        <w:jc w:val="both"/>
        <w:rPr>
          <w:rFonts w:ascii="Sylfaen" w:hAnsi="Sylfaen"/>
          <w:lang w:val="en-US"/>
        </w:rPr>
      </w:pPr>
      <w:r w:rsidRPr="000E36C4">
        <w:rPr>
          <w:rStyle w:val="FootnoteReference"/>
          <w:rFonts w:ascii="Sylfaen" w:hAnsi="Sylfaen"/>
        </w:rPr>
        <w:footnoteRef/>
      </w:r>
      <w:r w:rsidRPr="000E36C4">
        <w:rPr>
          <w:rFonts w:ascii="Sylfaen" w:hAnsi="Sylfaen"/>
          <w:lang w:val="en-US"/>
        </w:rPr>
        <w:t>ibid, article 39.</w:t>
      </w:r>
    </w:p>
  </w:footnote>
  <w:footnote w:id="14">
    <w:p w14:paraId="49DFD68C" w14:textId="6B7E9593" w:rsidR="00721941" w:rsidRPr="000E36C4" w:rsidRDefault="00721941" w:rsidP="000E36C4">
      <w:pPr>
        <w:pStyle w:val="FootnoteText"/>
        <w:jc w:val="both"/>
        <w:rPr>
          <w:rFonts w:ascii="Sylfaen" w:hAnsi="Sylfaen"/>
          <w:lang w:val="en-US"/>
        </w:rPr>
      </w:pPr>
      <w:r w:rsidRPr="000E36C4">
        <w:rPr>
          <w:rStyle w:val="FootnoteReference"/>
          <w:rFonts w:ascii="Sylfaen" w:hAnsi="Sylfaen"/>
        </w:rPr>
        <w:footnoteRef/>
      </w:r>
      <w:r w:rsidRPr="000E36C4">
        <w:rPr>
          <w:rFonts w:ascii="Sylfaen" w:hAnsi="Sylfaen"/>
        </w:rPr>
        <w:t xml:space="preserve"> </w:t>
      </w:r>
      <w:r w:rsidRPr="000E36C4">
        <w:rPr>
          <w:rFonts w:ascii="Sylfaen" w:hAnsi="Sylfaen"/>
          <w:lang w:val="en-US"/>
        </w:rPr>
        <w:t>ibid, article 40</w:t>
      </w:r>
    </w:p>
  </w:footnote>
  <w:footnote w:id="15">
    <w:p w14:paraId="53DE82CA" w14:textId="385FF78B" w:rsidR="00A95956" w:rsidRPr="000E36C4" w:rsidRDefault="00A95956" w:rsidP="000E36C4">
      <w:pPr>
        <w:pStyle w:val="FootnoteText"/>
        <w:jc w:val="both"/>
        <w:rPr>
          <w:rFonts w:ascii="Sylfaen" w:hAnsi="Sylfaen"/>
          <w:lang w:val="en-US"/>
        </w:rPr>
      </w:pPr>
      <w:r w:rsidRPr="000E36C4">
        <w:rPr>
          <w:rStyle w:val="FootnoteReference"/>
          <w:rFonts w:ascii="Sylfaen" w:hAnsi="Sylfaen"/>
        </w:rPr>
        <w:footnoteRef/>
      </w:r>
      <w:r w:rsidRPr="000E36C4">
        <w:rPr>
          <w:rFonts w:ascii="Sylfaen" w:hAnsi="Sylfaen"/>
        </w:rPr>
        <w:t xml:space="preserve"> Paragraph 1 of article 19</w:t>
      </w:r>
      <w:r w:rsidRPr="000E36C4">
        <w:rPr>
          <w:rFonts w:ascii="Sylfaen" w:hAnsi="Sylfaen"/>
          <w:vertAlign w:val="superscript"/>
        </w:rPr>
        <w:t>1</w:t>
      </w:r>
      <w:r w:rsidRPr="000E36C4">
        <w:rPr>
          <w:rFonts w:ascii="Sylfaen" w:hAnsi="Sylfaen"/>
        </w:rPr>
        <w:t xml:space="preserve"> of </w:t>
      </w:r>
      <w:r w:rsidRPr="000E36C4">
        <w:rPr>
          <w:rFonts w:ascii="Sylfaen" w:hAnsi="Sylfaen"/>
          <w:lang w:val="en-US"/>
        </w:rPr>
        <w:t>the Law of Georgia on National Security Policy Planning and Coordination.</w:t>
      </w:r>
    </w:p>
  </w:footnote>
  <w:footnote w:id="16">
    <w:p w14:paraId="4D4F9EEF" w14:textId="1270F94F" w:rsidR="005523FE" w:rsidRPr="000E36C4" w:rsidRDefault="005523FE" w:rsidP="000E36C4">
      <w:pPr>
        <w:pStyle w:val="FootnoteText"/>
        <w:jc w:val="both"/>
        <w:rPr>
          <w:rFonts w:ascii="Sylfaen" w:hAnsi="Sylfaen"/>
          <w:lang w:val="en-US"/>
        </w:rPr>
      </w:pPr>
      <w:r w:rsidRPr="000E36C4">
        <w:rPr>
          <w:rStyle w:val="FootnoteReference"/>
          <w:rFonts w:ascii="Sylfaen" w:hAnsi="Sylfaen"/>
        </w:rPr>
        <w:footnoteRef/>
      </w:r>
      <w:r w:rsidRPr="000E36C4">
        <w:rPr>
          <w:rFonts w:ascii="Sylfaen" w:hAnsi="Sylfaen"/>
        </w:rPr>
        <w:t xml:space="preserve"> </w:t>
      </w:r>
      <w:r w:rsidRPr="000E36C4">
        <w:rPr>
          <w:rFonts w:ascii="Sylfaen" w:hAnsi="Sylfaen"/>
          <w:lang w:val="en-US"/>
        </w:rPr>
        <w:t>ibid, article 19</w:t>
      </w:r>
      <w:r w:rsidRPr="000E36C4">
        <w:rPr>
          <w:rFonts w:ascii="Sylfaen" w:hAnsi="Sylfaen"/>
          <w:vertAlign w:val="superscript"/>
          <w:lang w:val="en-US"/>
        </w:rPr>
        <w:t>2</w:t>
      </w:r>
    </w:p>
  </w:footnote>
  <w:footnote w:id="17">
    <w:p w14:paraId="02495540" w14:textId="608FE3C4" w:rsidR="00E35DE6" w:rsidRPr="000E36C4" w:rsidRDefault="00E35DE6" w:rsidP="000E36C4">
      <w:pPr>
        <w:pStyle w:val="FootnoteText"/>
        <w:jc w:val="both"/>
        <w:rPr>
          <w:rFonts w:ascii="Sylfaen" w:hAnsi="Sylfaen"/>
          <w:lang w:val="ka-GE"/>
        </w:rPr>
      </w:pPr>
      <w:r w:rsidRPr="000E36C4">
        <w:rPr>
          <w:rStyle w:val="FootnoteReference"/>
          <w:rFonts w:ascii="Sylfaen" w:hAnsi="Sylfaen"/>
        </w:rPr>
        <w:footnoteRef/>
      </w:r>
      <w:r w:rsidR="0093507C">
        <w:rPr>
          <w:rFonts w:ascii="Times New Roman" w:hAnsi="Times New Roman" w:cs="Times New Roman"/>
        </w:rPr>
        <w:t xml:space="preserve"> </w:t>
      </w:r>
      <w:proofErr w:type="gramStart"/>
      <w:r w:rsidR="00E24A24" w:rsidRPr="003831F2">
        <w:rPr>
          <w:rFonts w:ascii="Times New Roman" w:hAnsi="Times New Roman" w:cs="Times New Roman"/>
        </w:rPr>
        <w:t>Article 73 of the Constitution of Georgi</w:t>
      </w:r>
      <w:r w:rsidR="00E24A24">
        <w:rPr>
          <w:rFonts w:ascii="Times New Roman" w:hAnsi="Times New Roman" w:cs="Times New Roman"/>
        </w:rPr>
        <w:t>a;</w:t>
      </w:r>
      <w:r w:rsidRPr="000E36C4">
        <w:rPr>
          <w:rFonts w:ascii="Sylfaen" w:hAnsi="Sylfaen"/>
        </w:rPr>
        <w:t xml:space="preserve"> </w:t>
      </w:r>
      <w:r w:rsidR="002F1DE1" w:rsidRPr="000E36C4">
        <w:rPr>
          <w:rFonts w:ascii="Sylfaen" w:hAnsi="Sylfaen"/>
        </w:rPr>
        <w:t xml:space="preserve">Supra 4, </w:t>
      </w:r>
      <w:r w:rsidRPr="000E36C4">
        <w:rPr>
          <w:rFonts w:ascii="Sylfaen" w:hAnsi="Sylfaen"/>
        </w:rPr>
        <w:t>Paragraph 1 of article 4</w:t>
      </w:r>
      <w:r w:rsidRPr="000E36C4">
        <w:rPr>
          <w:rFonts w:ascii="Sylfaen" w:hAnsi="Sylfaen"/>
          <w:vertAlign w:val="superscript"/>
        </w:rPr>
        <w:t>1</w:t>
      </w:r>
      <w:r w:rsidR="002F1DE1" w:rsidRPr="000E36C4">
        <w:rPr>
          <w:rFonts w:ascii="Sylfaen" w:hAnsi="Sylfaen"/>
        </w:rPr>
        <w:t>.</w:t>
      </w:r>
      <w:proofErr w:type="gramEnd"/>
    </w:p>
  </w:footnote>
  <w:footnote w:id="18">
    <w:p w14:paraId="52841A2A" w14:textId="7AA3CC17" w:rsidR="00226A0A" w:rsidRPr="000E36C4" w:rsidRDefault="00226A0A" w:rsidP="000E36C4">
      <w:pPr>
        <w:pStyle w:val="FootnoteText"/>
        <w:jc w:val="both"/>
        <w:rPr>
          <w:rFonts w:ascii="Sylfaen" w:hAnsi="Sylfaen"/>
          <w:lang w:val="en-US"/>
        </w:rPr>
      </w:pPr>
      <w:r w:rsidRPr="000E36C4">
        <w:rPr>
          <w:rStyle w:val="FootnoteReference"/>
          <w:rFonts w:ascii="Sylfaen" w:hAnsi="Sylfaen"/>
        </w:rPr>
        <w:footnoteRef/>
      </w:r>
      <w:r w:rsidRPr="000E36C4">
        <w:rPr>
          <w:rFonts w:ascii="Sylfaen" w:hAnsi="Sylfaen"/>
        </w:rPr>
        <w:t xml:space="preserve"> </w:t>
      </w:r>
      <w:r w:rsidRPr="000E36C4">
        <w:rPr>
          <w:rFonts w:ascii="Sylfaen" w:hAnsi="Sylfaen"/>
          <w:lang w:val="en-US"/>
        </w:rPr>
        <w:t>ibid, paragraph 3.</w:t>
      </w:r>
    </w:p>
  </w:footnote>
  <w:footnote w:id="19">
    <w:p w14:paraId="58F08BF5" w14:textId="236A46B8" w:rsidR="00DA13E8" w:rsidRPr="000E36C4" w:rsidRDefault="00DA13E8" w:rsidP="000E36C4">
      <w:pPr>
        <w:pStyle w:val="FootnoteText"/>
        <w:jc w:val="both"/>
        <w:rPr>
          <w:rFonts w:ascii="Sylfaen" w:hAnsi="Sylfaen"/>
          <w:lang w:val="en-US"/>
        </w:rPr>
      </w:pPr>
      <w:r w:rsidRPr="000E36C4">
        <w:rPr>
          <w:rStyle w:val="FootnoteReference"/>
          <w:rFonts w:ascii="Sylfaen" w:hAnsi="Sylfaen"/>
        </w:rPr>
        <w:footnoteRef/>
      </w:r>
      <w:r w:rsidRPr="000E36C4">
        <w:rPr>
          <w:rFonts w:ascii="Sylfaen" w:hAnsi="Sylfaen"/>
        </w:rPr>
        <w:t xml:space="preserve"> </w:t>
      </w:r>
      <w:r w:rsidRPr="000E36C4">
        <w:rPr>
          <w:rFonts w:ascii="Sylfaen" w:hAnsi="Sylfaen"/>
          <w:lang w:val="en-US"/>
        </w:rPr>
        <w:t xml:space="preserve">Please view: </w:t>
      </w:r>
      <w:hyperlink r:id="rId2" w:history="1">
        <w:r w:rsidRPr="000E36C4">
          <w:rPr>
            <w:rStyle w:val="Hyperlink"/>
            <w:rFonts w:ascii="Sylfaen" w:hAnsi="Sylfaen"/>
          </w:rPr>
          <w:t>https://matsne.gov.ge/en/document/view/4830372?publication=0</w:t>
        </w:r>
      </w:hyperlink>
      <w:r w:rsidRPr="000E36C4">
        <w:rPr>
          <w:rFonts w:ascii="Sylfaen" w:hAnsi="Sylfaen"/>
        </w:rPr>
        <w:t xml:space="preserve"> [last seen 31.08.2020].</w:t>
      </w:r>
    </w:p>
  </w:footnote>
  <w:footnote w:id="20">
    <w:p w14:paraId="3B5FE334" w14:textId="2DEBF9EF" w:rsidR="00664BCE" w:rsidRPr="000E36C4" w:rsidRDefault="00664BCE" w:rsidP="000E36C4">
      <w:pPr>
        <w:pStyle w:val="FootnoteText"/>
        <w:jc w:val="both"/>
        <w:rPr>
          <w:rFonts w:ascii="Sylfaen" w:hAnsi="Sylfaen"/>
          <w:lang w:val="en-US"/>
        </w:rPr>
      </w:pPr>
      <w:r w:rsidRPr="000E36C4">
        <w:rPr>
          <w:rStyle w:val="FootnoteReference"/>
          <w:rFonts w:ascii="Sylfaen" w:hAnsi="Sylfaen"/>
        </w:rPr>
        <w:footnoteRef/>
      </w:r>
      <w:r w:rsidRPr="000E36C4">
        <w:rPr>
          <w:rFonts w:ascii="Sylfaen" w:hAnsi="Sylfaen"/>
        </w:rPr>
        <w:t xml:space="preserve"> </w:t>
      </w:r>
      <w:r w:rsidRPr="000E36C4">
        <w:rPr>
          <w:rFonts w:ascii="Sylfaen" w:hAnsi="Sylfaen"/>
          <w:lang w:val="en-US"/>
        </w:rPr>
        <w:t>ibid, articles 1 and 8.</w:t>
      </w:r>
    </w:p>
  </w:footnote>
  <w:footnote w:id="21">
    <w:p w14:paraId="5B5BCAA9" w14:textId="13BB56E2" w:rsidR="009C4BD0" w:rsidRPr="000E36C4" w:rsidRDefault="009C4BD0" w:rsidP="000E36C4">
      <w:pPr>
        <w:pStyle w:val="FootnoteText"/>
        <w:jc w:val="both"/>
        <w:rPr>
          <w:rFonts w:ascii="Sylfaen" w:hAnsi="Sylfaen"/>
          <w:lang w:val="en-US"/>
        </w:rPr>
      </w:pPr>
      <w:r w:rsidRPr="000E36C4">
        <w:rPr>
          <w:rStyle w:val="FootnoteReference"/>
          <w:rFonts w:ascii="Sylfaen" w:hAnsi="Sylfaen"/>
        </w:rPr>
        <w:footnoteRef/>
      </w:r>
      <w:r w:rsidRPr="000E36C4">
        <w:rPr>
          <w:rFonts w:ascii="Sylfaen" w:hAnsi="Sylfaen"/>
        </w:rPr>
        <w:t xml:space="preserve"> </w:t>
      </w:r>
      <w:r w:rsidRPr="000E36C4">
        <w:rPr>
          <w:rFonts w:ascii="Sylfaen" w:hAnsi="Sylfaen"/>
          <w:lang w:val="en-US"/>
        </w:rPr>
        <w:t xml:space="preserve">Please view: </w:t>
      </w:r>
      <w:hyperlink r:id="rId3" w:history="1">
        <w:r w:rsidRPr="000E36C4">
          <w:rPr>
            <w:rStyle w:val="Hyperlink"/>
            <w:rFonts w:ascii="Sylfaen" w:hAnsi="Sylfaen"/>
          </w:rPr>
          <w:t>https://matsne.gov.ge/ka/document/view/2993918?publication=1</w:t>
        </w:r>
      </w:hyperlink>
      <w:r w:rsidRPr="000E36C4">
        <w:rPr>
          <w:rFonts w:ascii="Sylfaen" w:hAnsi="Sylfaen"/>
        </w:rPr>
        <w:t xml:space="preserve"> [last seen 31.08.2020]</w:t>
      </w:r>
    </w:p>
  </w:footnote>
  <w:footnote w:id="22">
    <w:p w14:paraId="3F836364" w14:textId="4D08EE47" w:rsidR="00550F84" w:rsidRPr="000E36C4" w:rsidRDefault="00550F84" w:rsidP="000E36C4">
      <w:pPr>
        <w:pStyle w:val="FootnoteText"/>
        <w:jc w:val="both"/>
        <w:rPr>
          <w:rFonts w:ascii="Sylfaen" w:hAnsi="Sylfaen"/>
          <w:lang w:val="en-US"/>
        </w:rPr>
      </w:pPr>
      <w:r w:rsidRPr="000E36C4">
        <w:rPr>
          <w:rStyle w:val="FootnoteReference"/>
          <w:rFonts w:ascii="Sylfaen" w:hAnsi="Sylfaen"/>
        </w:rPr>
        <w:footnoteRef/>
      </w:r>
      <w:r w:rsidRPr="000E36C4">
        <w:rPr>
          <w:rFonts w:ascii="Sylfaen" w:hAnsi="Sylfaen"/>
        </w:rPr>
        <w:t xml:space="preserve"> </w:t>
      </w:r>
      <w:r w:rsidR="005F335A" w:rsidRPr="000E36C4">
        <w:rPr>
          <w:rFonts w:ascii="Sylfaen" w:hAnsi="Sylfaen"/>
        </w:rPr>
        <w:t xml:space="preserve">Supra 6, </w:t>
      </w:r>
      <w:r w:rsidR="005F335A" w:rsidRPr="000E36C4">
        <w:rPr>
          <w:rFonts w:ascii="Sylfaen" w:hAnsi="Sylfaen"/>
          <w:lang w:val="en-US"/>
        </w:rPr>
        <w:t>p</w:t>
      </w:r>
      <w:r w:rsidRPr="000E36C4">
        <w:rPr>
          <w:rFonts w:ascii="Sylfaen" w:hAnsi="Sylfaen"/>
          <w:lang w:val="en-US"/>
        </w:rPr>
        <w:t xml:space="preserve">aragraph 1 of article </w:t>
      </w:r>
      <w:r w:rsidR="005F335A" w:rsidRPr="000E36C4">
        <w:rPr>
          <w:rFonts w:ascii="Sylfaen" w:hAnsi="Sylfaen"/>
          <w:lang w:val="en-US"/>
        </w:rPr>
        <w:t>18.</w:t>
      </w:r>
    </w:p>
  </w:footnote>
  <w:footnote w:id="23">
    <w:p w14:paraId="4035DA68" w14:textId="5FA7B4F3" w:rsidR="00550F84" w:rsidRPr="000E36C4" w:rsidRDefault="00550F84" w:rsidP="000E36C4">
      <w:pPr>
        <w:pStyle w:val="FootnoteText"/>
        <w:jc w:val="both"/>
        <w:rPr>
          <w:rFonts w:ascii="Sylfaen" w:hAnsi="Sylfaen"/>
          <w:lang w:val="en-US"/>
        </w:rPr>
      </w:pPr>
      <w:r w:rsidRPr="000E36C4">
        <w:rPr>
          <w:rStyle w:val="FootnoteReference"/>
          <w:rFonts w:ascii="Sylfaen" w:hAnsi="Sylfaen"/>
        </w:rPr>
        <w:footnoteRef/>
      </w:r>
      <w:r w:rsidRPr="000E36C4">
        <w:rPr>
          <w:rFonts w:ascii="Sylfaen" w:hAnsi="Sylfaen"/>
        </w:rPr>
        <w:t xml:space="preserve"> </w:t>
      </w:r>
      <w:r w:rsidRPr="000E36C4">
        <w:rPr>
          <w:rFonts w:ascii="Sylfaen" w:hAnsi="Sylfaen"/>
          <w:lang w:val="en-US"/>
        </w:rPr>
        <w:t>ibid, paragraph 2</w:t>
      </w:r>
    </w:p>
  </w:footnote>
  <w:footnote w:id="24">
    <w:p w14:paraId="0698EACB" w14:textId="6D0E07AA" w:rsidR="00550F84" w:rsidRPr="000E36C4" w:rsidRDefault="00550F84" w:rsidP="000E36C4">
      <w:pPr>
        <w:pStyle w:val="FootnoteText"/>
        <w:jc w:val="both"/>
        <w:rPr>
          <w:rFonts w:ascii="Sylfaen" w:hAnsi="Sylfaen"/>
          <w:lang w:val="en-US"/>
        </w:rPr>
      </w:pPr>
      <w:r w:rsidRPr="000E36C4">
        <w:rPr>
          <w:rStyle w:val="FootnoteReference"/>
          <w:rFonts w:ascii="Sylfaen" w:hAnsi="Sylfaen"/>
        </w:rPr>
        <w:footnoteRef/>
      </w:r>
      <w:r w:rsidRPr="000E36C4">
        <w:rPr>
          <w:rFonts w:ascii="Sylfaen" w:hAnsi="Sylfaen"/>
        </w:rPr>
        <w:t xml:space="preserve"> Article 15 of </w:t>
      </w:r>
      <w:r w:rsidRPr="000E36C4">
        <w:rPr>
          <w:rFonts w:ascii="Sylfaen" w:hAnsi="Sylfaen"/>
          <w:lang w:val="en-US"/>
        </w:rPr>
        <w:t>the Law of Georgia on National Security Policy Planning and Coordination.</w:t>
      </w:r>
    </w:p>
  </w:footnote>
  <w:footnote w:id="25">
    <w:p w14:paraId="607018A3" w14:textId="11188F60" w:rsidR="00550F84" w:rsidRPr="000E36C4" w:rsidRDefault="00550F84" w:rsidP="000E36C4">
      <w:pPr>
        <w:pStyle w:val="FootnoteText"/>
        <w:jc w:val="both"/>
        <w:rPr>
          <w:rFonts w:ascii="Sylfaen" w:hAnsi="Sylfaen"/>
          <w:lang w:val="en-US"/>
        </w:rPr>
      </w:pPr>
      <w:r w:rsidRPr="000E36C4">
        <w:rPr>
          <w:rStyle w:val="FootnoteReference"/>
          <w:rFonts w:ascii="Sylfaen" w:hAnsi="Sylfaen"/>
        </w:rPr>
        <w:footnoteRef/>
      </w:r>
      <w:r w:rsidRPr="000E36C4">
        <w:rPr>
          <w:rFonts w:ascii="Sylfaen" w:hAnsi="Sylfaen"/>
        </w:rPr>
        <w:t xml:space="preserve"> </w:t>
      </w:r>
      <w:r w:rsidRPr="000E36C4">
        <w:rPr>
          <w:rFonts w:ascii="Sylfaen" w:hAnsi="Sylfaen"/>
          <w:lang w:val="en-US"/>
        </w:rPr>
        <w:t xml:space="preserve">ibid, articles 16, 17, </w:t>
      </w:r>
      <w:proofErr w:type="gramStart"/>
      <w:r w:rsidRPr="000E36C4">
        <w:rPr>
          <w:rFonts w:ascii="Sylfaen" w:hAnsi="Sylfaen"/>
          <w:lang w:val="en-US"/>
        </w:rPr>
        <w:t>18</w:t>
      </w:r>
      <w:proofErr w:type="gramEnd"/>
      <w:r w:rsidRPr="000E36C4">
        <w:rPr>
          <w:rFonts w:ascii="Sylfaen" w:hAnsi="Sylfaen"/>
          <w:lang w:val="en-US"/>
        </w:rPr>
        <w:t>.</w:t>
      </w:r>
    </w:p>
  </w:footnote>
  <w:footnote w:id="26">
    <w:p w14:paraId="2662097B" w14:textId="3137FF07" w:rsidR="007E5712" w:rsidRPr="000E36C4" w:rsidRDefault="007E5712" w:rsidP="000E36C4">
      <w:pPr>
        <w:pStyle w:val="FootnoteText"/>
        <w:jc w:val="both"/>
        <w:rPr>
          <w:rFonts w:ascii="Sylfaen" w:hAnsi="Sylfaen"/>
        </w:rPr>
      </w:pPr>
      <w:r w:rsidRPr="000E36C4">
        <w:rPr>
          <w:rStyle w:val="FootnoteReference"/>
          <w:rFonts w:ascii="Sylfaen" w:hAnsi="Sylfaen"/>
        </w:rPr>
        <w:footnoteRef/>
      </w:r>
      <w:r w:rsidRPr="000E36C4">
        <w:rPr>
          <w:rFonts w:ascii="Sylfaen" w:hAnsi="Sylfaen"/>
        </w:rPr>
        <w:t xml:space="preserve"> supra 22; please view: </w:t>
      </w:r>
      <w:hyperlink r:id="rId4" w:history="1">
        <w:r w:rsidRPr="000E36C4">
          <w:rPr>
            <w:rStyle w:val="Hyperlink"/>
            <w:rFonts w:ascii="Sylfaen" w:hAnsi="Sylfaen"/>
          </w:rPr>
          <w:t>https://www.matsne.gov.ge/ka/document/view/43156?publication=1</w:t>
        </w:r>
      </w:hyperlink>
      <w:r w:rsidRPr="000E36C4">
        <w:rPr>
          <w:rFonts w:ascii="Sylfaen" w:hAnsi="Sylfaen"/>
        </w:rPr>
        <w:t xml:space="preserve"> [last seen 31.08.2020]</w:t>
      </w:r>
    </w:p>
  </w:footnote>
  <w:footnote w:id="27">
    <w:p w14:paraId="7F716FE2" w14:textId="36E67ABA" w:rsidR="00F64555" w:rsidRPr="000E36C4" w:rsidRDefault="00F64555" w:rsidP="000E36C4">
      <w:pPr>
        <w:pStyle w:val="FootnoteText"/>
        <w:jc w:val="both"/>
        <w:rPr>
          <w:rFonts w:ascii="Sylfaen" w:hAnsi="Sylfaen"/>
          <w:lang w:val="en-US"/>
        </w:rPr>
      </w:pPr>
      <w:r w:rsidRPr="000E36C4">
        <w:rPr>
          <w:rStyle w:val="FootnoteReference"/>
          <w:rFonts w:ascii="Sylfaen" w:hAnsi="Sylfaen"/>
        </w:rPr>
        <w:footnoteRef/>
      </w:r>
      <w:r w:rsidRPr="000E36C4">
        <w:rPr>
          <w:rFonts w:ascii="Sylfaen" w:hAnsi="Sylfaen"/>
        </w:rPr>
        <w:t xml:space="preserve"> </w:t>
      </w:r>
      <w:r w:rsidRPr="000E36C4">
        <w:rPr>
          <w:rFonts w:ascii="Sylfaen" w:hAnsi="Sylfaen"/>
          <w:lang w:val="en-US"/>
        </w:rPr>
        <w:t xml:space="preserve">Please view: </w:t>
      </w:r>
      <w:hyperlink r:id="rId5" w:history="1">
        <w:r w:rsidRPr="000E36C4">
          <w:rPr>
            <w:rStyle w:val="Hyperlink"/>
            <w:rFonts w:ascii="Sylfaen" w:hAnsi="Sylfaen"/>
          </w:rPr>
          <w:t>https://matsne.gov.ge</w:t>
        </w:r>
        <w:r w:rsidRPr="000E36C4">
          <w:rPr>
            <w:rStyle w:val="Hyperlink"/>
            <w:rFonts w:ascii="Sylfaen" w:hAnsi="Sylfaen"/>
          </w:rPr>
          <w:t>/</w:t>
        </w:r>
        <w:r w:rsidRPr="000E36C4">
          <w:rPr>
            <w:rStyle w:val="Hyperlink"/>
            <w:rFonts w:ascii="Sylfaen" w:hAnsi="Sylfaen"/>
          </w:rPr>
          <w:t>ka/document/view/4140938?publication=1</w:t>
        </w:r>
      </w:hyperlink>
      <w:r w:rsidRPr="000E36C4">
        <w:rPr>
          <w:rFonts w:ascii="Sylfaen" w:hAnsi="Sylfaen"/>
        </w:rPr>
        <w:t xml:space="preserve"> [last seen 31.08.2020]</w:t>
      </w:r>
    </w:p>
  </w:footnote>
  <w:footnote w:id="28">
    <w:p w14:paraId="1C379DDB" w14:textId="5EBD1402" w:rsidR="00824F0A" w:rsidRPr="000E36C4" w:rsidRDefault="00824F0A" w:rsidP="000E36C4">
      <w:pPr>
        <w:pStyle w:val="FootnoteText"/>
        <w:jc w:val="both"/>
        <w:rPr>
          <w:rFonts w:ascii="Sylfaen" w:hAnsi="Sylfaen"/>
          <w:lang w:val="en-US"/>
        </w:rPr>
      </w:pPr>
      <w:r w:rsidRPr="000E36C4">
        <w:rPr>
          <w:rStyle w:val="FootnoteReference"/>
          <w:rFonts w:ascii="Sylfaen" w:hAnsi="Sylfaen"/>
        </w:rPr>
        <w:footnoteRef/>
      </w:r>
      <w:r w:rsidRPr="000E36C4">
        <w:rPr>
          <w:rFonts w:ascii="Sylfaen" w:hAnsi="Sylfaen"/>
        </w:rPr>
        <w:t xml:space="preserve"> </w:t>
      </w:r>
      <w:r w:rsidR="005F335A" w:rsidRPr="000E36C4">
        <w:rPr>
          <w:rFonts w:ascii="Sylfaen" w:hAnsi="Sylfaen"/>
        </w:rPr>
        <w:t>S</w:t>
      </w:r>
      <w:r w:rsidRPr="000E36C4">
        <w:rPr>
          <w:rFonts w:ascii="Sylfaen" w:hAnsi="Sylfaen"/>
        </w:rPr>
        <w:t>upra 22, articles 1 and 2.</w:t>
      </w:r>
    </w:p>
  </w:footnote>
  <w:footnote w:id="29">
    <w:p w14:paraId="3C142958" w14:textId="7F254BC4" w:rsidR="00824F0A" w:rsidRPr="000E36C4" w:rsidRDefault="00824F0A" w:rsidP="000E36C4">
      <w:pPr>
        <w:pStyle w:val="FootnoteText"/>
        <w:jc w:val="both"/>
        <w:rPr>
          <w:rFonts w:ascii="Sylfaen" w:hAnsi="Sylfaen"/>
          <w:lang w:val="en-US"/>
        </w:rPr>
      </w:pPr>
      <w:r w:rsidRPr="000E36C4">
        <w:rPr>
          <w:rStyle w:val="FootnoteReference"/>
          <w:rFonts w:ascii="Sylfaen" w:hAnsi="Sylfaen"/>
        </w:rPr>
        <w:footnoteRef/>
      </w:r>
      <w:r w:rsidRPr="000E36C4">
        <w:rPr>
          <w:rFonts w:ascii="Sylfaen" w:hAnsi="Sylfaen"/>
        </w:rPr>
        <w:t xml:space="preserve"> </w:t>
      </w:r>
      <w:r w:rsidR="005F335A" w:rsidRPr="000E36C4">
        <w:rPr>
          <w:rFonts w:ascii="Sylfaen" w:hAnsi="Sylfaen"/>
        </w:rPr>
        <w:t xml:space="preserve">Supra 6, </w:t>
      </w:r>
      <w:r w:rsidR="005F335A" w:rsidRPr="000E36C4">
        <w:rPr>
          <w:rFonts w:ascii="Sylfaen" w:hAnsi="Sylfaen"/>
          <w:lang w:val="en-US"/>
        </w:rPr>
        <w:t>p</w:t>
      </w:r>
      <w:r w:rsidRPr="000E36C4">
        <w:rPr>
          <w:rFonts w:ascii="Sylfaen" w:hAnsi="Sylfaen"/>
          <w:lang w:val="en-US"/>
        </w:rPr>
        <w:t xml:space="preserve">aragraph 1 of article </w:t>
      </w:r>
      <w:r w:rsidR="005F335A" w:rsidRPr="000E36C4">
        <w:rPr>
          <w:rFonts w:ascii="Sylfaen" w:hAnsi="Sylfaen"/>
          <w:lang w:val="en-US"/>
        </w:rPr>
        <w:t xml:space="preserve">18. </w:t>
      </w:r>
    </w:p>
  </w:footnote>
  <w:footnote w:id="30">
    <w:p w14:paraId="7AFDE196" w14:textId="6C0C890D" w:rsidR="00213E86" w:rsidRPr="000E36C4" w:rsidRDefault="00213E86" w:rsidP="000E36C4">
      <w:pPr>
        <w:pStyle w:val="FootnoteText"/>
        <w:jc w:val="both"/>
        <w:rPr>
          <w:rFonts w:ascii="Sylfaen" w:hAnsi="Sylfaen"/>
          <w:lang w:val="en-US"/>
        </w:rPr>
      </w:pPr>
      <w:r w:rsidRPr="000E36C4">
        <w:rPr>
          <w:rStyle w:val="FootnoteReference"/>
          <w:rFonts w:ascii="Sylfaen" w:hAnsi="Sylfaen"/>
        </w:rPr>
        <w:footnoteRef/>
      </w:r>
      <w:r w:rsidRPr="000E36C4">
        <w:rPr>
          <w:rFonts w:ascii="Sylfaen" w:hAnsi="Sylfaen"/>
        </w:rPr>
        <w:t xml:space="preserve"> </w:t>
      </w:r>
      <w:r w:rsidR="005F335A" w:rsidRPr="000E36C4">
        <w:rPr>
          <w:rFonts w:ascii="Sylfaen" w:hAnsi="Sylfaen"/>
          <w:lang w:val="en-US"/>
        </w:rPr>
        <w:t>Supra 28</w:t>
      </w:r>
      <w:r w:rsidRPr="000E36C4">
        <w:rPr>
          <w:rFonts w:ascii="Sylfaen" w:hAnsi="Sylfaen"/>
          <w:lang w:val="en-US"/>
        </w:rPr>
        <w:t>, please view the attachment of the ordinance.</w:t>
      </w:r>
    </w:p>
  </w:footnote>
  <w:footnote w:id="31">
    <w:p w14:paraId="5E0988CD" w14:textId="3D27C611" w:rsidR="00213E86" w:rsidRPr="000E36C4" w:rsidRDefault="00213E86" w:rsidP="000E36C4">
      <w:pPr>
        <w:pStyle w:val="FootnoteText"/>
        <w:jc w:val="both"/>
        <w:rPr>
          <w:rFonts w:ascii="Sylfaen" w:hAnsi="Sylfaen"/>
          <w:lang w:val="en-US"/>
        </w:rPr>
      </w:pPr>
      <w:r w:rsidRPr="000E36C4">
        <w:rPr>
          <w:rStyle w:val="FootnoteReference"/>
          <w:rFonts w:ascii="Sylfaen" w:hAnsi="Sylfaen"/>
        </w:rPr>
        <w:footnoteRef/>
      </w:r>
      <w:r w:rsidRPr="000E36C4">
        <w:rPr>
          <w:rFonts w:ascii="Sylfaen" w:hAnsi="Sylfaen"/>
        </w:rPr>
        <w:t xml:space="preserve"> ibid.</w:t>
      </w:r>
    </w:p>
  </w:footnote>
  <w:footnote w:id="32">
    <w:p w14:paraId="317DF795" w14:textId="0F7C11FC" w:rsidR="00323D44" w:rsidRPr="000E36C4" w:rsidRDefault="00323D44" w:rsidP="000E36C4">
      <w:pPr>
        <w:pStyle w:val="FootnoteText"/>
        <w:jc w:val="both"/>
        <w:rPr>
          <w:rFonts w:ascii="Sylfaen" w:hAnsi="Sylfaen"/>
          <w:lang w:val="en-US"/>
        </w:rPr>
      </w:pPr>
      <w:r w:rsidRPr="000E36C4">
        <w:rPr>
          <w:rStyle w:val="FootnoteReference"/>
          <w:rFonts w:ascii="Sylfaen" w:hAnsi="Sylfaen"/>
        </w:rPr>
        <w:footnoteRef/>
      </w:r>
      <w:r w:rsidRPr="000E36C4">
        <w:rPr>
          <w:rFonts w:ascii="Sylfaen" w:hAnsi="Sylfaen"/>
        </w:rPr>
        <w:t xml:space="preserve"> </w:t>
      </w:r>
      <w:r w:rsidRPr="000E36C4">
        <w:rPr>
          <w:rFonts w:ascii="Sylfaen" w:hAnsi="Sylfaen"/>
          <w:lang w:val="en-US"/>
        </w:rPr>
        <w:t xml:space="preserve">Please view: </w:t>
      </w:r>
      <w:hyperlink r:id="rId6" w:history="1">
        <w:r w:rsidRPr="000E36C4">
          <w:rPr>
            <w:rStyle w:val="Hyperlink"/>
            <w:rFonts w:ascii="Sylfaen" w:hAnsi="Sylfaen"/>
          </w:rPr>
          <w:t>http://www.ombudsman.ge/res/docs/2020052917375148888.pdf</w:t>
        </w:r>
      </w:hyperlink>
      <w:r w:rsidRPr="000E36C4">
        <w:rPr>
          <w:rFonts w:ascii="Sylfaen" w:hAnsi="Sylfaen"/>
        </w:rPr>
        <w:t xml:space="preserve"> [last seen 31.08.2020]</w:t>
      </w:r>
    </w:p>
  </w:footnote>
  <w:footnote w:id="33">
    <w:p w14:paraId="632EE88A" w14:textId="2A28105D" w:rsidR="00BA26FF" w:rsidRPr="000E36C4" w:rsidRDefault="00BA26FF" w:rsidP="000E36C4">
      <w:pPr>
        <w:pStyle w:val="FootnoteText"/>
        <w:jc w:val="both"/>
        <w:rPr>
          <w:rFonts w:ascii="Sylfaen" w:hAnsi="Sylfaen"/>
          <w:lang w:val="en-US"/>
        </w:rPr>
      </w:pPr>
      <w:r w:rsidRPr="000E36C4">
        <w:rPr>
          <w:rStyle w:val="FootnoteReference"/>
          <w:rFonts w:ascii="Sylfaen" w:hAnsi="Sylfaen"/>
        </w:rPr>
        <w:footnoteRef/>
      </w:r>
      <w:r w:rsidRPr="000E36C4">
        <w:rPr>
          <w:rFonts w:ascii="Sylfaen" w:hAnsi="Sylfaen"/>
        </w:rPr>
        <w:t xml:space="preserve"> </w:t>
      </w:r>
      <w:r w:rsidRPr="000E36C4">
        <w:rPr>
          <w:rFonts w:ascii="Sylfaen" w:hAnsi="Sylfaen"/>
          <w:lang w:val="en-US"/>
        </w:rPr>
        <w:t xml:space="preserve">ibid, page 5. </w:t>
      </w:r>
    </w:p>
  </w:footnote>
  <w:footnote w:id="34">
    <w:p w14:paraId="7733C8DB" w14:textId="3DDFEE5B" w:rsidR="00BA26FF" w:rsidRPr="000E36C4" w:rsidRDefault="00BA26FF" w:rsidP="000E36C4">
      <w:pPr>
        <w:pStyle w:val="FootnoteText"/>
        <w:jc w:val="both"/>
        <w:rPr>
          <w:rFonts w:ascii="Sylfaen" w:hAnsi="Sylfaen"/>
          <w:lang w:val="en-US"/>
        </w:rPr>
      </w:pPr>
      <w:r w:rsidRPr="000E36C4">
        <w:rPr>
          <w:rStyle w:val="FootnoteReference"/>
          <w:rFonts w:ascii="Sylfaen" w:hAnsi="Sylfaen"/>
        </w:rPr>
        <w:footnoteRef/>
      </w:r>
      <w:r w:rsidRPr="000E36C4">
        <w:rPr>
          <w:rFonts w:ascii="Sylfaen" w:hAnsi="Sylfaen"/>
        </w:rPr>
        <w:t xml:space="preserve"> </w:t>
      </w:r>
      <w:r w:rsidRPr="000E36C4">
        <w:rPr>
          <w:rFonts w:ascii="Sylfaen" w:hAnsi="Sylfaen"/>
          <w:lang w:val="en-US"/>
        </w:rPr>
        <w:t>ibid, page 6.</w:t>
      </w:r>
    </w:p>
  </w:footnote>
  <w:footnote w:id="35">
    <w:p w14:paraId="686CCB8F" w14:textId="6B6F0F13" w:rsidR="00E814DD" w:rsidRPr="000E36C4" w:rsidRDefault="00E814DD" w:rsidP="000E36C4">
      <w:pPr>
        <w:pStyle w:val="FootnoteText"/>
        <w:jc w:val="both"/>
        <w:rPr>
          <w:rFonts w:ascii="Sylfaen" w:hAnsi="Sylfaen"/>
          <w:lang w:val="en-US"/>
        </w:rPr>
      </w:pPr>
      <w:r w:rsidRPr="000E36C4">
        <w:rPr>
          <w:rStyle w:val="FootnoteReference"/>
          <w:rFonts w:ascii="Sylfaen" w:hAnsi="Sylfaen"/>
        </w:rPr>
        <w:footnoteRef/>
      </w:r>
      <w:r w:rsidRPr="000E36C4">
        <w:rPr>
          <w:rFonts w:ascii="Sylfaen" w:hAnsi="Sylfaen"/>
        </w:rPr>
        <w:t xml:space="preserve"> </w:t>
      </w:r>
      <w:r w:rsidRPr="000E36C4">
        <w:rPr>
          <w:rFonts w:ascii="Sylfaen" w:hAnsi="Sylfaen"/>
          <w:lang w:val="en-US"/>
        </w:rPr>
        <w:t>Paragraph 1 of article 28 of the Constitution of Georgia.</w:t>
      </w:r>
    </w:p>
  </w:footnote>
  <w:footnote w:id="36">
    <w:p w14:paraId="00A17C72" w14:textId="01823F8D" w:rsidR="00A66141" w:rsidRPr="000E36C4" w:rsidRDefault="00A66141" w:rsidP="000E36C4">
      <w:pPr>
        <w:pStyle w:val="FootnoteText"/>
        <w:jc w:val="both"/>
        <w:rPr>
          <w:rFonts w:ascii="Sylfaen" w:hAnsi="Sylfaen"/>
          <w:lang w:val="en-US"/>
        </w:rPr>
      </w:pPr>
      <w:r w:rsidRPr="000E36C4">
        <w:rPr>
          <w:rStyle w:val="FootnoteReference"/>
          <w:rFonts w:ascii="Sylfaen" w:hAnsi="Sylfaen"/>
        </w:rPr>
        <w:footnoteRef/>
      </w:r>
      <w:r w:rsidRPr="000E36C4">
        <w:rPr>
          <w:rFonts w:ascii="Sylfaen" w:hAnsi="Sylfaen"/>
        </w:rPr>
        <w:t xml:space="preserve"> </w:t>
      </w:r>
      <w:r w:rsidRPr="000E36C4">
        <w:rPr>
          <w:rFonts w:ascii="Sylfaen" w:hAnsi="Sylfaen"/>
          <w:lang w:val="en-US"/>
        </w:rPr>
        <w:t xml:space="preserve">Please view: </w:t>
      </w:r>
      <w:hyperlink r:id="rId7" w:history="1">
        <w:r w:rsidRPr="000E36C4">
          <w:rPr>
            <w:rStyle w:val="Hyperlink"/>
            <w:rFonts w:ascii="Sylfaen" w:hAnsi="Sylfaen"/>
          </w:rPr>
          <w:t>http://ombudsman.ge/res/docs/2019072913501234745.pdf</w:t>
        </w:r>
      </w:hyperlink>
      <w:r w:rsidRPr="000E36C4">
        <w:rPr>
          <w:rFonts w:ascii="Sylfaen" w:hAnsi="Sylfaen"/>
        </w:rPr>
        <w:t xml:space="preserve"> [last seen 31.08.2020]</w:t>
      </w:r>
    </w:p>
  </w:footnote>
  <w:footnote w:id="37">
    <w:p w14:paraId="44900711" w14:textId="17EF8AF2" w:rsidR="00A12191" w:rsidRPr="000E36C4" w:rsidRDefault="00A12191" w:rsidP="000E36C4">
      <w:pPr>
        <w:pStyle w:val="FootnoteText"/>
        <w:jc w:val="both"/>
        <w:rPr>
          <w:rFonts w:ascii="Sylfaen" w:hAnsi="Sylfaen"/>
          <w:lang w:val="en-US"/>
        </w:rPr>
      </w:pPr>
      <w:r w:rsidRPr="000E36C4">
        <w:rPr>
          <w:rStyle w:val="FootnoteReference"/>
          <w:rFonts w:ascii="Sylfaen" w:hAnsi="Sylfaen"/>
        </w:rPr>
        <w:footnoteRef/>
      </w:r>
      <w:r w:rsidRPr="000E36C4">
        <w:rPr>
          <w:rFonts w:ascii="Sylfaen" w:hAnsi="Sylfaen"/>
        </w:rPr>
        <w:t xml:space="preserve"> </w:t>
      </w:r>
      <w:r w:rsidRPr="000E36C4">
        <w:rPr>
          <w:rFonts w:ascii="Sylfaen" w:hAnsi="Sylfaen"/>
          <w:lang w:val="en-US"/>
        </w:rPr>
        <w:t>ibid, pages 3, 4.</w:t>
      </w:r>
    </w:p>
  </w:footnote>
  <w:footnote w:id="38">
    <w:p w14:paraId="7004BE2C" w14:textId="3742E82A" w:rsidR="00642052" w:rsidRPr="000E36C4" w:rsidRDefault="00642052" w:rsidP="000E36C4">
      <w:pPr>
        <w:pStyle w:val="FootnoteText"/>
        <w:jc w:val="both"/>
        <w:rPr>
          <w:rFonts w:ascii="Sylfaen" w:hAnsi="Sylfaen"/>
          <w:lang w:val="en-US"/>
        </w:rPr>
      </w:pPr>
      <w:r w:rsidRPr="000E36C4">
        <w:rPr>
          <w:rStyle w:val="FootnoteReference"/>
          <w:rFonts w:ascii="Sylfaen" w:hAnsi="Sylfaen"/>
        </w:rPr>
        <w:footnoteRef/>
      </w:r>
      <w:r w:rsidRPr="000E36C4">
        <w:rPr>
          <w:rFonts w:ascii="Sylfaen" w:hAnsi="Sylfaen"/>
        </w:rPr>
        <w:t xml:space="preserve"> </w:t>
      </w:r>
      <w:r w:rsidRPr="000E36C4">
        <w:rPr>
          <w:rFonts w:ascii="Sylfaen" w:hAnsi="Sylfaen"/>
          <w:lang w:val="en-US"/>
        </w:rPr>
        <w:t>ibid, pages 6, 7.</w:t>
      </w:r>
    </w:p>
  </w:footnote>
  <w:footnote w:id="39">
    <w:p w14:paraId="7AF084B2" w14:textId="5C349E1A" w:rsidR="00642052" w:rsidRPr="000E36C4" w:rsidRDefault="00642052" w:rsidP="000E36C4">
      <w:pPr>
        <w:pStyle w:val="FootnoteText"/>
        <w:jc w:val="both"/>
        <w:rPr>
          <w:rFonts w:ascii="Sylfaen" w:hAnsi="Sylfaen"/>
          <w:lang w:val="en-US"/>
        </w:rPr>
      </w:pPr>
      <w:r w:rsidRPr="000E36C4">
        <w:rPr>
          <w:rStyle w:val="FootnoteReference"/>
          <w:rFonts w:ascii="Sylfaen" w:hAnsi="Sylfaen"/>
        </w:rPr>
        <w:footnoteRef/>
      </w:r>
      <w:r w:rsidRPr="000E36C4">
        <w:rPr>
          <w:rFonts w:ascii="Sylfaen" w:hAnsi="Sylfaen"/>
        </w:rPr>
        <w:t xml:space="preserve"> </w:t>
      </w:r>
      <w:r w:rsidRPr="000E36C4">
        <w:rPr>
          <w:rFonts w:ascii="Sylfaen" w:hAnsi="Sylfaen"/>
          <w:lang w:val="en-US"/>
        </w:rPr>
        <w:t>ibid, page 9.</w:t>
      </w:r>
    </w:p>
  </w:footnote>
  <w:footnote w:id="40">
    <w:p w14:paraId="6C68F584" w14:textId="208A8375" w:rsidR="00AB295C" w:rsidRPr="000E36C4" w:rsidRDefault="00AB295C" w:rsidP="000E36C4">
      <w:pPr>
        <w:pStyle w:val="FootnoteText"/>
        <w:jc w:val="both"/>
        <w:rPr>
          <w:rFonts w:ascii="Sylfaen" w:hAnsi="Sylfaen"/>
          <w:lang w:val="en-US"/>
        </w:rPr>
      </w:pPr>
      <w:r w:rsidRPr="000E36C4">
        <w:rPr>
          <w:rStyle w:val="FootnoteReference"/>
          <w:rFonts w:ascii="Sylfaen" w:hAnsi="Sylfaen"/>
        </w:rPr>
        <w:footnoteRef/>
      </w:r>
      <w:r w:rsidRPr="000E36C4">
        <w:rPr>
          <w:rFonts w:ascii="Sylfaen" w:hAnsi="Sylfaen"/>
        </w:rPr>
        <w:t xml:space="preserve"> </w:t>
      </w:r>
      <w:r w:rsidRPr="000E36C4">
        <w:rPr>
          <w:rFonts w:ascii="Sylfaen" w:hAnsi="Sylfaen"/>
          <w:lang w:val="en-US"/>
        </w:rPr>
        <w:t>ibid, pages 11,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3209"/>
    <w:multiLevelType w:val="hybridMultilevel"/>
    <w:tmpl w:val="6EE6F5BE"/>
    <w:lvl w:ilvl="0" w:tplc="08090019">
      <w:start w:val="1"/>
      <w:numFmt w:val="lowerLetter"/>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nsid w:val="0C443D47"/>
    <w:multiLevelType w:val="hybridMultilevel"/>
    <w:tmpl w:val="34EA4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860326"/>
    <w:multiLevelType w:val="hybridMultilevel"/>
    <w:tmpl w:val="D0E459D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7EE4149"/>
    <w:multiLevelType w:val="hybridMultilevel"/>
    <w:tmpl w:val="7D802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383A4B"/>
    <w:multiLevelType w:val="hybridMultilevel"/>
    <w:tmpl w:val="244A7DAA"/>
    <w:lvl w:ilvl="0" w:tplc="296456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91518D"/>
    <w:multiLevelType w:val="hybridMultilevel"/>
    <w:tmpl w:val="C410517C"/>
    <w:lvl w:ilvl="0" w:tplc="296456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066471"/>
    <w:multiLevelType w:val="hybridMultilevel"/>
    <w:tmpl w:val="FFFC2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950906"/>
    <w:multiLevelType w:val="hybridMultilevel"/>
    <w:tmpl w:val="603C30FA"/>
    <w:lvl w:ilvl="0" w:tplc="0809000F">
      <w:start w:val="1"/>
      <w:numFmt w:val="decimal"/>
      <w:lvlText w:val="%1."/>
      <w:lvlJc w:val="left"/>
      <w:pPr>
        <w:ind w:left="107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22E4B72"/>
    <w:multiLevelType w:val="hybridMultilevel"/>
    <w:tmpl w:val="05A60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C668A2"/>
    <w:multiLevelType w:val="hybridMultilevel"/>
    <w:tmpl w:val="03DC515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nsid w:val="5B0802E8"/>
    <w:multiLevelType w:val="hybridMultilevel"/>
    <w:tmpl w:val="811A358C"/>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1">
    <w:nsid w:val="6A1C73FE"/>
    <w:multiLevelType w:val="hybridMultilevel"/>
    <w:tmpl w:val="814A9AB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nsid w:val="6DB21925"/>
    <w:multiLevelType w:val="hybridMultilevel"/>
    <w:tmpl w:val="841836C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nsid w:val="78BA486F"/>
    <w:multiLevelType w:val="hybridMultilevel"/>
    <w:tmpl w:val="2180AC6E"/>
    <w:lvl w:ilvl="0" w:tplc="08090019">
      <w:start w:val="1"/>
      <w:numFmt w:val="lowerLetter"/>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num w:numId="1">
    <w:abstractNumId w:val="8"/>
  </w:num>
  <w:num w:numId="2">
    <w:abstractNumId w:val="6"/>
  </w:num>
  <w:num w:numId="3">
    <w:abstractNumId w:val="2"/>
  </w:num>
  <w:num w:numId="4">
    <w:abstractNumId w:val="4"/>
  </w:num>
  <w:num w:numId="5">
    <w:abstractNumId w:val="5"/>
  </w:num>
  <w:num w:numId="6">
    <w:abstractNumId w:val="13"/>
  </w:num>
  <w:num w:numId="7">
    <w:abstractNumId w:val="0"/>
  </w:num>
  <w:num w:numId="8">
    <w:abstractNumId w:val="1"/>
  </w:num>
  <w:num w:numId="9">
    <w:abstractNumId w:val="7"/>
  </w:num>
  <w:num w:numId="10">
    <w:abstractNumId w:val="3"/>
  </w:num>
  <w:num w:numId="11">
    <w:abstractNumId w:val="12"/>
  </w:num>
  <w:num w:numId="12">
    <w:abstractNumId w:val="11"/>
  </w:num>
  <w:num w:numId="13">
    <w:abstractNumId w:val="9"/>
  </w:num>
  <w:num w:numId="1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EE6"/>
    <w:rsid w:val="0000258A"/>
    <w:rsid w:val="00022F6A"/>
    <w:rsid w:val="0002644E"/>
    <w:rsid w:val="000308E4"/>
    <w:rsid w:val="00031377"/>
    <w:rsid w:val="0003542E"/>
    <w:rsid w:val="00037F2A"/>
    <w:rsid w:val="00041634"/>
    <w:rsid w:val="0004706D"/>
    <w:rsid w:val="0005664F"/>
    <w:rsid w:val="00081561"/>
    <w:rsid w:val="00081A02"/>
    <w:rsid w:val="000826A5"/>
    <w:rsid w:val="00094218"/>
    <w:rsid w:val="000A4396"/>
    <w:rsid w:val="000A7050"/>
    <w:rsid w:val="000B2982"/>
    <w:rsid w:val="000B46B6"/>
    <w:rsid w:val="000C438F"/>
    <w:rsid w:val="000C4974"/>
    <w:rsid w:val="000C6581"/>
    <w:rsid w:val="000C6D01"/>
    <w:rsid w:val="000C70B6"/>
    <w:rsid w:val="000D3FD5"/>
    <w:rsid w:val="000D613F"/>
    <w:rsid w:val="000E20AB"/>
    <w:rsid w:val="000E244C"/>
    <w:rsid w:val="000E36C4"/>
    <w:rsid w:val="000F3115"/>
    <w:rsid w:val="000F5AC2"/>
    <w:rsid w:val="0010334F"/>
    <w:rsid w:val="00107026"/>
    <w:rsid w:val="00120D36"/>
    <w:rsid w:val="00122894"/>
    <w:rsid w:val="00124212"/>
    <w:rsid w:val="00137528"/>
    <w:rsid w:val="00145F76"/>
    <w:rsid w:val="00151CB2"/>
    <w:rsid w:val="00153D85"/>
    <w:rsid w:val="00155953"/>
    <w:rsid w:val="00157297"/>
    <w:rsid w:val="001629AD"/>
    <w:rsid w:val="00175814"/>
    <w:rsid w:val="00176972"/>
    <w:rsid w:val="00181931"/>
    <w:rsid w:val="001B49FD"/>
    <w:rsid w:val="001D484F"/>
    <w:rsid w:val="001F29DF"/>
    <w:rsid w:val="001F4B98"/>
    <w:rsid w:val="00210E37"/>
    <w:rsid w:val="00213E86"/>
    <w:rsid w:val="00222037"/>
    <w:rsid w:val="00224ADA"/>
    <w:rsid w:val="00224F5F"/>
    <w:rsid w:val="00226A0A"/>
    <w:rsid w:val="00245008"/>
    <w:rsid w:val="00245FC1"/>
    <w:rsid w:val="00251D04"/>
    <w:rsid w:val="002523DA"/>
    <w:rsid w:val="002763FF"/>
    <w:rsid w:val="0028204B"/>
    <w:rsid w:val="002855F5"/>
    <w:rsid w:val="002A6F52"/>
    <w:rsid w:val="002C101E"/>
    <w:rsid w:val="002E21E4"/>
    <w:rsid w:val="002F0F88"/>
    <w:rsid w:val="002F1DE1"/>
    <w:rsid w:val="003043D1"/>
    <w:rsid w:val="0030705D"/>
    <w:rsid w:val="00323D44"/>
    <w:rsid w:val="00340213"/>
    <w:rsid w:val="0034184A"/>
    <w:rsid w:val="00350D4D"/>
    <w:rsid w:val="0035324F"/>
    <w:rsid w:val="00353D40"/>
    <w:rsid w:val="00360F9D"/>
    <w:rsid w:val="003B3FB5"/>
    <w:rsid w:val="003C40E8"/>
    <w:rsid w:val="003E2434"/>
    <w:rsid w:val="003E6366"/>
    <w:rsid w:val="003F12E7"/>
    <w:rsid w:val="003F409E"/>
    <w:rsid w:val="003F64E4"/>
    <w:rsid w:val="003F6D48"/>
    <w:rsid w:val="004013EC"/>
    <w:rsid w:val="00404E5B"/>
    <w:rsid w:val="0041677D"/>
    <w:rsid w:val="00416BDA"/>
    <w:rsid w:val="004174CF"/>
    <w:rsid w:val="00421AFF"/>
    <w:rsid w:val="00423920"/>
    <w:rsid w:val="00427636"/>
    <w:rsid w:val="004334BE"/>
    <w:rsid w:val="0043638F"/>
    <w:rsid w:val="0047406D"/>
    <w:rsid w:val="00484E03"/>
    <w:rsid w:val="004921A9"/>
    <w:rsid w:val="004A76CA"/>
    <w:rsid w:val="004E3BDD"/>
    <w:rsid w:val="0050264F"/>
    <w:rsid w:val="00503959"/>
    <w:rsid w:val="00533136"/>
    <w:rsid w:val="0053326A"/>
    <w:rsid w:val="00550F84"/>
    <w:rsid w:val="005523FE"/>
    <w:rsid w:val="0055566D"/>
    <w:rsid w:val="00564595"/>
    <w:rsid w:val="00576B1F"/>
    <w:rsid w:val="00582FAD"/>
    <w:rsid w:val="00591AD6"/>
    <w:rsid w:val="005940E8"/>
    <w:rsid w:val="005A5451"/>
    <w:rsid w:val="005B7F97"/>
    <w:rsid w:val="005C0737"/>
    <w:rsid w:val="005C1759"/>
    <w:rsid w:val="005C7DDE"/>
    <w:rsid w:val="005F14EC"/>
    <w:rsid w:val="005F335A"/>
    <w:rsid w:val="006037F9"/>
    <w:rsid w:val="00616B37"/>
    <w:rsid w:val="00632712"/>
    <w:rsid w:val="006374FF"/>
    <w:rsid w:val="00642052"/>
    <w:rsid w:val="00643635"/>
    <w:rsid w:val="006517FA"/>
    <w:rsid w:val="00664BCE"/>
    <w:rsid w:val="00667AA7"/>
    <w:rsid w:val="00667CA8"/>
    <w:rsid w:val="0067286E"/>
    <w:rsid w:val="006745E4"/>
    <w:rsid w:val="00676581"/>
    <w:rsid w:val="0069280F"/>
    <w:rsid w:val="006A083D"/>
    <w:rsid w:val="006A759C"/>
    <w:rsid w:val="006A75F5"/>
    <w:rsid w:val="006B725D"/>
    <w:rsid w:val="00721941"/>
    <w:rsid w:val="007249C9"/>
    <w:rsid w:val="00724EB7"/>
    <w:rsid w:val="007329EF"/>
    <w:rsid w:val="00732CD8"/>
    <w:rsid w:val="007353C7"/>
    <w:rsid w:val="00735D47"/>
    <w:rsid w:val="00740190"/>
    <w:rsid w:val="0074248F"/>
    <w:rsid w:val="007468CE"/>
    <w:rsid w:val="00760372"/>
    <w:rsid w:val="00766B8A"/>
    <w:rsid w:val="007708C1"/>
    <w:rsid w:val="007A2BD1"/>
    <w:rsid w:val="007A4850"/>
    <w:rsid w:val="007A7ADD"/>
    <w:rsid w:val="007B299E"/>
    <w:rsid w:val="007B2CC7"/>
    <w:rsid w:val="007B5CE4"/>
    <w:rsid w:val="007B699E"/>
    <w:rsid w:val="007C379E"/>
    <w:rsid w:val="007C4AF4"/>
    <w:rsid w:val="007C7CD7"/>
    <w:rsid w:val="007D03B6"/>
    <w:rsid w:val="007E3F5F"/>
    <w:rsid w:val="007E5712"/>
    <w:rsid w:val="007F12F3"/>
    <w:rsid w:val="00804CEC"/>
    <w:rsid w:val="00812D62"/>
    <w:rsid w:val="00821481"/>
    <w:rsid w:val="00824E56"/>
    <w:rsid w:val="00824F0A"/>
    <w:rsid w:val="00836A1D"/>
    <w:rsid w:val="0084776C"/>
    <w:rsid w:val="0087156B"/>
    <w:rsid w:val="00882FAB"/>
    <w:rsid w:val="008A7EEC"/>
    <w:rsid w:val="008E0B3B"/>
    <w:rsid w:val="008E6C7C"/>
    <w:rsid w:val="008F2AEC"/>
    <w:rsid w:val="008F553C"/>
    <w:rsid w:val="00910A19"/>
    <w:rsid w:val="00911D11"/>
    <w:rsid w:val="0091248A"/>
    <w:rsid w:val="009201DF"/>
    <w:rsid w:val="00925106"/>
    <w:rsid w:val="009331E2"/>
    <w:rsid w:val="0093507C"/>
    <w:rsid w:val="00936CDB"/>
    <w:rsid w:val="00945886"/>
    <w:rsid w:val="00960985"/>
    <w:rsid w:val="00966890"/>
    <w:rsid w:val="00971376"/>
    <w:rsid w:val="00983D34"/>
    <w:rsid w:val="00995296"/>
    <w:rsid w:val="009A0D76"/>
    <w:rsid w:val="009A1C62"/>
    <w:rsid w:val="009A36A5"/>
    <w:rsid w:val="009A4F7D"/>
    <w:rsid w:val="009B7042"/>
    <w:rsid w:val="009C4BD0"/>
    <w:rsid w:val="009D5791"/>
    <w:rsid w:val="009F23A0"/>
    <w:rsid w:val="00A12191"/>
    <w:rsid w:val="00A131E6"/>
    <w:rsid w:val="00A16432"/>
    <w:rsid w:val="00A31315"/>
    <w:rsid w:val="00A31465"/>
    <w:rsid w:val="00A318CC"/>
    <w:rsid w:val="00A44B5B"/>
    <w:rsid w:val="00A56C1B"/>
    <w:rsid w:val="00A602DB"/>
    <w:rsid w:val="00A66141"/>
    <w:rsid w:val="00A70933"/>
    <w:rsid w:val="00A7781D"/>
    <w:rsid w:val="00A95956"/>
    <w:rsid w:val="00AA14F2"/>
    <w:rsid w:val="00AB295C"/>
    <w:rsid w:val="00AB746C"/>
    <w:rsid w:val="00AB7675"/>
    <w:rsid w:val="00AC1EE9"/>
    <w:rsid w:val="00AF7A8D"/>
    <w:rsid w:val="00B05525"/>
    <w:rsid w:val="00B10761"/>
    <w:rsid w:val="00B205CE"/>
    <w:rsid w:val="00B20A8E"/>
    <w:rsid w:val="00B41868"/>
    <w:rsid w:val="00B46AB8"/>
    <w:rsid w:val="00B46C03"/>
    <w:rsid w:val="00B63554"/>
    <w:rsid w:val="00B72D6F"/>
    <w:rsid w:val="00B743A7"/>
    <w:rsid w:val="00B76516"/>
    <w:rsid w:val="00B838AA"/>
    <w:rsid w:val="00B908EC"/>
    <w:rsid w:val="00B95225"/>
    <w:rsid w:val="00B95896"/>
    <w:rsid w:val="00BA1E82"/>
    <w:rsid w:val="00BA26FF"/>
    <w:rsid w:val="00BB018C"/>
    <w:rsid w:val="00BC5A20"/>
    <w:rsid w:val="00BD2154"/>
    <w:rsid w:val="00BE1F85"/>
    <w:rsid w:val="00BE35C3"/>
    <w:rsid w:val="00BF6F39"/>
    <w:rsid w:val="00C01A5C"/>
    <w:rsid w:val="00C01CDB"/>
    <w:rsid w:val="00C05FFB"/>
    <w:rsid w:val="00C1267A"/>
    <w:rsid w:val="00C2397D"/>
    <w:rsid w:val="00C27B89"/>
    <w:rsid w:val="00C34A22"/>
    <w:rsid w:val="00C55B61"/>
    <w:rsid w:val="00C57EF8"/>
    <w:rsid w:val="00C60BCC"/>
    <w:rsid w:val="00C61598"/>
    <w:rsid w:val="00C6235B"/>
    <w:rsid w:val="00C709C6"/>
    <w:rsid w:val="00C746DB"/>
    <w:rsid w:val="00C76B42"/>
    <w:rsid w:val="00C84B92"/>
    <w:rsid w:val="00C85561"/>
    <w:rsid w:val="00C85677"/>
    <w:rsid w:val="00C86D17"/>
    <w:rsid w:val="00C92E09"/>
    <w:rsid w:val="00C936A6"/>
    <w:rsid w:val="00C940F4"/>
    <w:rsid w:val="00C96C6D"/>
    <w:rsid w:val="00CA1169"/>
    <w:rsid w:val="00CA4FAE"/>
    <w:rsid w:val="00CA68D2"/>
    <w:rsid w:val="00CB0784"/>
    <w:rsid w:val="00CB2253"/>
    <w:rsid w:val="00CD0EC9"/>
    <w:rsid w:val="00CE260C"/>
    <w:rsid w:val="00CF5C6D"/>
    <w:rsid w:val="00D03C0E"/>
    <w:rsid w:val="00D07300"/>
    <w:rsid w:val="00D1414D"/>
    <w:rsid w:val="00D228CB"/>
    <w:rsid w:val="00D240DB"/>
    <w:rsid w:val="00D25A4C"/>
    <w:rsid w:val="00D51B3F"/>
    <w:rsid w:val="00D72233"/>
    <w:rsid w:val="00D72EA5"/>
    <w:rsid w:val="00D737F3"/>
    <w:rsid w:val="00D75091"/>
    <w:rsid w:val="00D81A5C"/>
    <w:rsid w:val="00D944F1"/>
    <w:rsid w:val="00D97465"/>
    <w:rsid w:val="00DA05FD"/>
    <w:rsid w:val="00DA13E8"/>
    <w:rsid w:val="00DB5351"/>
    <w:rsid w:val="00DC1186"/>
    <w:rsid w:val="00DC60E2"/>
    <w:rsid w:val="00DD4D6C"/>
    <w:rsid w:val="00DF3C70"/>
    <w:rsid w:val="00DF5E90"/>
    <w:rsid w:val="00E20B04"/>
    <w:rsid w:val="00E24A24"/>
    <w:rsid w:val="00E35DE6"/>
    <w:rsid w:val="00E53EFD"/>
    <w:rsid w:val="00E548B9"/>
    <w:rsid w:val="00E609D6"/>
    <w:rsid w:val="00E65F54"/>
    <w:rsid w:val="00E67026"/>
    <w:rsid w:val="00E73B85"/>
    <w:rsid w:val="00E814DD"/>
    <w:rsid w:val="00E824B6"/>
    <w:rsid w:val="00E84C01"/>
    <w:rsid w:val="00E969B7"/>
    <w:rsid w:val="00EA2ACF"/>
    <w:rsid w:val="00EA3408"/>
    <w:rsid w:val="00EB4E4A"/>
    <w:rsid w:val="00EC187B"/>
    <w:rsid w:val="00EC3471"/>
    <w:rsid w:val="00EE67BB"/>
    <w:rsid w:val="00EE775C"/>
    <w:rsid w:val="00EF0CAF"/>
    <w:rsid w:val="00F023B1"/>
    <w:rsid w:val="00F1328E"/>
    <w:rsid w:val="00F17BA3"/>
    <w:rsid w:val="00F30694"/>
    <w:rsid w:val="00F3259B"/>
    <w:rsid w:val="00F3585F"/>
    <w:rsid w:val="00F47C29"/>
    <w:rsid w:val="00F54EE6"/>
    <w:rsid w:val="00F61A39"/>
    <w:rsid w:val="00F64555"/>
    <w:rsid w:val="00F762E4"/>
    <w:rsid w:val="00FA1FC9"/>
    <w:rsid w:val="00FA2CBB"/>
    <w:rsid w:val="00FA31A9"/>
    <w:rsid w:val="00FA41F4"/>
    <w:rsid w:val="00FB293E"/>
    <w:rsid w:val="00FE5056"/>
    <w:rsid w:val="00FE74D9"/>
    <w:rsid w:val="00FF1D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64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Dot pt,F5 List Paragraph,List Paragraph Char Char Char,Indicator Text,Numbered Para 1,Bullet 1,Bullet Points,List Paragraph2,MAIN CONTENT,Normal numbered,List Paragraph1,Colorful List - Accent 11,Issue Action POC,3,Bullet Style"/>
    <w:basedOn w:val="Normal"/>
    <w:link w:val="ListParagraphChar"/>
    <w:uiPriority w:val="34"/>
    <w:qFormat/>
    <w:rsid w:val="00F54EE6"/>
    <w:pPr>
      <w:spacing w:after="0" w:line="240" w:lineRule="auto"/>
      <w:ind w:left="720"/>
    </w:pPr>
    <w:rPr>
      <w:rFonts w:ascii="Calibri" w:eastAsiaTheme="minorHAnsi" w:hAnsi="Calibri" w:cs="Calibri"/>
      <w:lang w:eastAsia="en-US"/>
    </w:rPr>
  </w:style>
  <w:style w:type="character" w:customStyle="1" w:styleId="ListParagraphChar">
    <w:name w:val="List Paragraph Char"/>
    <w:aliases w:val="References Char,Dot pt Char,F5 List Paragraph Char,List Paragraph Char Char Char Char,Indicator Text Char,Numbered Para 1 Char,Bullet 1 Char,Bullet Points Char,List Paragraph2 Char,MAIN CONTENT Char,Normal numbered Char,3 Char"/>
    <w:basedOn w:val="DefaultParagraphFont"/>
    <w:link w:val="ListParagraph"/>
    <w:uiPriority w:val="34"/>
    <w:locked/>
    <w:rsid w:val="00F54EE6"/>
    <w:rPr>
      <w:rFonts w:ascii="Calibri" w:eastAsiaTheme="minorHAnsi" w:hAnsi="Calibri" w:cs="Calibri"/>
      <w:lang w:eastAsia="en-US"/>
    </w:rPr>
  </w:style>
  <w:style w:type="paragraph" w:styleId="Footer">
    <w:name w:val="footer"/>
    <w:basedOn w:val="Normal"/>
    <w:link w:val="FooterChar"/>
    <w:uiPriority w:val="99"/>
    <w:unhideWhenUsed/>
    <w:rsid w:val="00F54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EE6"/>
  </w:style>
  <w:style w:type="paragraph" w:styleId="BalloonText">
    <w:name w:val="Balloon Text"/>
    <w:basedOn w:val="Normal"/>
    <w:link w:val="BalloonTextChar"/>
    <w:uiPriority w:val="99"/>
    <w:semiHidden/>
    <w:unhideWhenUsed/>
    <w:rsid w:val="007B2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99E"/>
    <w:rPr>
      <w:rFonts w:ascii="Segoe UI" w:hAnsi="Segoe UI" w:cs="Segoe UI"/>
      <w:sz w:val="18"/>
      <w:szCs w:val="18"/>
    </w:rPr>
  </w:style>
  <w:style w:type="character" w:styleId="CommentReference">
    <w:name w:val="annotation reference"/>
    <w:basedOn w:val="DefaultParagraphFont"/>
    <w:uiPriority w:val="99"/>
    <w:semiHidden/>
    <w:unhideWhenUsed/>
    <w:rsid w:val="007B299E"/>
    <w:rPr>
      <w:sz w:val="16"/>
      <w:szCs w:val="16"/>
    </w:rPr>
  </w:style>
  <w:style w:type="paragraph" w:styleId="CommentText">
    <w:name w:val="annotation text"/>
    <w:basedOn w:val="Normal"/>
    <w:link w:val="CommentTextChar"/>
    <w:uiPriority w:val="99"/>
    <w:unhideWhenUsed/>
    <w:rsid w:val="007B299E"/>
    <w:pPr>
      <w:spacing w:line="240" w:lineRule="auto"/>
    </w:pPr>
    <w:rPr>
      <w:sz w:val="20"/>
      <w:szCs w:val="20"/>
    </w:rPr>
  </w:style>
  <w:style w:type="character" w:customStyle="1" w:styleId="CommentTextChar">
    <w:name w:val="Comment Text Char"/>
    <w:basedOn w:val="DefaultParagraphFont"/>
    <w:link w:val="CommentText"/>
    <w:uiPriority w:val="99"/>
    <w:rsid w:val="007B299E"/>
    <w:rPr>
      <w:sz w:val="20"/>
      <w:szCs w:val="20"/>
    </w:rPr>
  </w:style>
  <w:style w:type="paragraph" w:styleId="CommentSubject">
    <w:name w:val="annotation subject"/>
    <w:basedOn w:val="CommentText"/>
    <w:next w:val="CommentText"/>
    <w:link w:val="CommentSubjectChar"/>
    <w:uiPriority w:val="99"/>
    <w:semiHidden/>
    <w:unhideWhenUsed/>
    <w:rsid w:val="007B299E"/>
    <w:rPr>
      <w:b/>
      <w:bCs/>
    </w:rPr>
  </w:style>
  <w:style w:type="character" w:customStyle="1" w:styleId="CommentSubjectChar">
    <w:name w:val="Comment Subject Char"/>
    <w:basedOn w:val="CommentTextChar"/>
    <w:link w:val="CommentSubject"/>
    <w:uiPriority w:val="99"/>
    <w:semiHidden/>
    <w:rsid w:val="007B299E"/>
    <w:rPr>
      <w:b/>
      <w:bCs/>
      <w:sz w:val="20"/>
      <w:szCs w:val="20"/>
    </w:rPr>
  </w:style>
  <w:style w:type="paragraph" w:styleId="Header">
    <w:name w:val="header"/>
    <w:basedOn w:val="Normal"/>
    <w:link w:val="HeaderChar"/>
    <w:uiPriority w:val="99"/>
    <w:unhideWhenUsed/>
    <w:rsid w:val="00484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E03"/>
  </w:style>
  <w:style w:type="character" w:styleId="Hyperlink">
    <w:name w:val="Hyperlink"/>
    <w:basedOn w:val="DefaultParagraphFont"/>
    <w:uiPriority w:val="99"/>
    <w:unhideWhenUsed/>
    <w:rsid w:val="007A4850"/>
    <w:rPr>
      <w:color w:val="0563C1" w:themeColor="hyperlink"/>
      <w:u w:val="single"/>
    </w:rPr>
  </w:style>
  <w:style w:type="character" w:customStyle="1" w:styleId="UnresolvedMention1">
    <w:name w:val="Unresolved Mention1"/>
    <w:basedOn w:val="DefaultParagraphFont"/>
    <w:uiPriority w:val="99"/>
    <w:semiHidden/>
    <w:unhideWhenUsed/>
    <w:rsid w:val="00E53EFD"/>
    <w:rPr>
      <w:color w:val="605E5C"/>
      <w:shd w:val="clear" w:color="auto" w:fill="E1DFDD"/>
    </w:rPr>
  </w:style>
  <w:style w:type="paragraph" w:styleId="FootnoteText">
    <w:name w:val="footnote text"/>
    <w:basedOn w:val="Normal"/>
    <w:link w:val="FootnoteTextChar"/>
    <w:uiPriority w:val="99"/>
    <w:semiHidden/>
    <w:unhideWhenUsed/>
    <w:rsid w:val="00D9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44F1"/>
    <w:rPr>
      <w:sz w:val="20"/>
      <w:szCs w:val="20"/>
    </w:rPr>
  </w:style>
  <w:style w:type="character" w:styleId="FootnoteReference">
    <w:name w:val="footnote reference"/>
    <w:basedOn w:val="DefaultParagraphFont"/>
    <w:uiPriority w:val="99"/>
    <w:semiHidden/>
    <w:unhideWhenUsed/>
    <w:rsid w:val="00D944F1"/>
    <w:rPr>
      <w:vertAlign w:val="superscript"/>
    </w:rPr>
  </w:style>
  <w:style w:type="paragraph" w:styleId="NormalWeb">
    <w:name w:val="Normal (Web)"/>
    <w:basedOn w:val="Normal"/>
    <w:uiPriority w:val="99"/>
    <w:semiHidden/>
    <w:unhideWhenUsed/>
    <w:rsid w:val="00995296"/>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UnresolvedMention2">
    <w:name w:val="Unresolved Mention2"/>
    <w:basedOn w:val="DefaultParagraphFont"/>
    <w:uiPriority w:val="99"/>
    <w:semiHidden/>
    <w:unhideWhenUsed/>
    <w:rsid w:val="0004706D"/>
    <w:rPr>
      <w:color w:val="605E5C"/>
      <w:shd w:val="clear" w:color="auto" w:fill="E1DFDD"/>
    </w:rPr>
  </w:style>
  <w:style w:type="paragraph" w:styleId="Revision">
    <w:name w:val="Revision"/>
    <w:hidden/>
    <w:uiPriority w:val="99"/>
    <w:semiHidden/>
    <w:rsid w:val="00824E56"/>
    <w:pPr>
      <w:spacing w:after="0" w:line="240" w:lineRule="auto"/>
    </w:pPr>
  </w:style>
  <w:style w:type="paragraph" w:customStyle="1" w:styleId="muxlixml">
    <w:name w:val="muxlixml"/>
    <w:basedOn w:val="Normal"/>
    <w:rsid w:val="00C76B42"/>
    <w:pPr>
      <w:keepNext/>
      <w:spacing w:before="240" w:after="0" w:line="240" w:lineRule="atLeast"/>
      <w:ind w:left="850" w:hanging="850"/>
    </w:pPr>
    <w:rPr>
      <w:rFonts w:ascii="Times New Roman" w:hAnsi="Times New Roman" w:cs="Times New Roman"/>
      <w:b/>
      <w:bCs/>
      <w:lang w:val="en-US" w:eastAsia="en-US"/>
    </w:rPr>
  </w:style>
  <w:style w:type="paragraph" w:customStyle="1" w:styleId="abzacixml">
    <w:name w:val="abzacixml"/>
    <w:basedOn w:val="Normal"/>
    <w:rsid w:val="00C76B42"/>
    <w:pPr>
      <w:spacing w:after="0" w:line="240" w:lineRule="auto"/>
      <w:ind w:firstLine="283"/>
      <w:jc w:val="both"/>
    </w:pPr>
    <w:rPr>
      <w:rFonts w:ascii="Times New Roman" w:hAnsi="Times New Roman" w:cs="Times New Roman"/>
      <w:lang w:val="en-US" w:eastAsia="en-US"/>
    </w:rPr>
  </w:style>
  <w:style w:type="character" w:styleId="FollowedHyperlink">
    <w:name w:val="FollowedHyperlink"/>
    <w:basedOn w:val="DefaultParagraphFont"/>
    <w:uiPriority w:val="99"/>
    <w:semiHidden/>
    <w:unhideWhenUsed/>
    <w:rsid w:val="00824F0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Dot pt,F5 List Paragraph,List Paragraph Char Char Char,Indicator Text,Numbered Para 1,Bullet 1,Bullet Points,List Paragraph2,MAIN CONTENT,Normal numbered,List Paragraph1,Colorful List - Accent 11,Issue Action POC,3,Bullet Style"/>
    <w:basedOn w:val="Normal"/>
    <w:link w:val="ListParagraphChar"/>
    <w:uiPriority w:val="34"/>
    <w:qFormat/>
    <w:rsid w:val="00F54EE6"/>
    <w:pPr>
      <w:spacing w:after="0" w:line="240" w:lineRule="auto"/>
      <w:ind w:left="720"/>
    </w:pPr>
    <w:rPr>
      <w:rFonts w:ascii="Calibri" w:eastAsiaTheme="minorHAnsi" w:hAnsi="Calibri" w:cs="Calibri"/>
      <w:lang w:eastAsia="en-US"/>
    </w:rPr>
  </w:style>
  <w:style w:type="character" w:customStyle="1" w:styleId="ListParagraphChar">
    <w:name w:val="List Paragraph Char"/>
    <w:aliases w:val="References Char,Dot pt Char,F5 List Paragraph Char,List Paragraph Char Char Char Char,Indicator Text Char,Numbered Para 1 Char,Bullet 1 Char,Bullet Points Char,List Paragraph2 Char,MAIN CONTENT Char,Normal numbered Char,3 Char"/>
    <w:basedOn w:val="DefaultParagraphFont"/>
    <w:link w:val="ListParagraph"/>
    <w:uiPriority w:val="34"/>
    <w:locked/>
    <w:rsid w:val="00F54EE6"/>
    <w:rPr>
      <w:rFonts w:ascii="Calibri" w:eastAsiaTheme="minorHAnsi" w:hAnsi="Calibri" w:cs="Calibri"/>
      <w:lang w:eastAsia="en-US"/>
    </w:rPr>
  </w:style>
  <w:style w:type="paragraph" w:styleId="Footer">
    <w:name w:val="footer"/>
    <w:basedOn w:val="Normal"/>
    <w:link w:val="FooterChar"/>
    <w:uiPriority w:val="99"/>
    <w:unhideWhenUsed/>
    <w:rsid w:val="00F54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EE6"/>
  </w:style>
  <w:style w:type="paragraph" w:styleId="BalloonText">
    <w:name w:val="Balloon Text"/>
    <w:basedOn w:val="Normal"/>
    <w:link w:val="BalloonTextChar"/>
    <w:uiPriority w:val="99"/>
    <w:semiHidden/>
    <w:unhideWhenUsed/>
    <w:rsid w:val="007B2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99E"/>
    <w:rPr>
      <w:rFonts w:ascii="Segoe UI" w:hAnsi="Segoe UI" w:cs="Segoe UI"/>
      <w:sz w:val="18"/>
      <w:szCs w:val="18"/>
    </w:rPr>
  </w:style>
  <w:style w:type="character" w:styleId="CommentReference">
    <w:name w:val="annotation reference"/>
    <w:basedOn w:val="DefaultParagraphFont"/>
    <w:uiPriority w:val="99"/>
    <w:semiHidden/>
    <w:unhideWhenUsed/>
    <w:rsid w:val="007B299E"/>
    <w:rPr>
      <w:sz w:val="16"/>
      <w:szCs w:val="16"/>
    </w:rPr>
  </w:style>
  <w:style w:type="paragraph" w:styleId="CommentText">
    <w:name w:val="annotation text"/>
    <w:basedOn w:val="Normal"/>
    <w:link w:val="CommentTextChar"/>
    <w:uiPriority w:val="99"/>
    <w:unhideWhenUsed/>
    <w:rsid w:val="007B299E"/>
    <w:pPr>
      <w:spacing w:line="240" w:lineRule="auto"/>
    </w:pPr>
    <w:rPr>
      <w:sz w:val="20"/>
      <w:szCs w:val="20"/>
    </w:rPr>
  </w:style>
  <w:style w:type="character" w:customStyle="1" w:styleId="CommentTextChar">
    <w:name w:val="Comment Text Char"/>
    <w:basedOn w:val="DefaultParagraphFont"/>
    <w:link w:val="CommentText"/>
    <w:uiPriority w:val="99"/>
    <w:rsid w:val="007B299E"/>
    <w:rPr>
      <w:sz w:val="20"/>
      <w:szCs w:val="20"/>
    </w:rPr>
  </w:style>
  <w:style w:type="paragraph" w:styleId="CommentSubject">
    <w:name w:val="annotation subject"/>
    <w:basedOn w:val="CommentText"/>
    <w:next w:val="CommentText"/>
    <w:link w:val="CommentSubjectChar"/>
    <w:uiPriority w:val="99"/>
    <w:semiHidden/>
    <w:unhideWhenUsed/>
    <w:rsid w:val="007B299E"/>
    <w:rPr>
      <w:b/>
      <w:bCs/>
    </w:rPr>
  </w:style>
  <w:style w:type="character" w:customStyle="1" w:styleId="CommentSubjectChar">
    <w:name w:val="Comment Subject Char"/>
    <w:basedOn w:val="CommentTextChar"/>
    <w:link w:val="CommentSubject"/>
    <w:uiPriority w:val="99"/>
    <w:semiHidden/>
    <w:rsid w:val="007B299E"/>
    <w:rPr>
      <w:b/>
      <w:bCs/>
      <w:sz w:val="20"/>
      <w:szCs w:val="20"/>
    </w:rPr>
  </w:style>
  <w:style w:type="paragraph" w:styleId="Header">
    <w:name w:val="header"/>
    <w:basedOn w:val="Normal"/>
    <w:link w:val="HeaderChar"/>
    <w:uiPriority w:val="99"/>
    <w:unhideWhenUsed/>
    <w:rsid w:val="00484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E03"/>
  </w:style>
  <w:style w:type="character" w:styleId="Hyperlink">
    <w:name w:val="Hyperlink"/>
    <w:basedOn w:val="DefaultParagraphFont"/>
    <w:uiPriority w:val="99"/>
    <w:unhideWhenUsed/>
    <w:rsid w:val="007A4850"/>
    <w:rPr>
      <w:color w:val="0563C1" w:themeColor="hyperlink"/>
      <w:u w:val="single"/>
    </w:rPr>
  </w:style>
  <w:style w:type="character" w:customStyle="1" w:styleId="UnresolvedMention1">
    <w:name w:val="Unresolved Mention1"/>
    <w:basedOn w:val="DefaultParagraphFont"/>
    <w:uiPriority w:val="99"/>
    <w:semiHidden/>
    <w:unhideWhenUsed/>
    <w:rsid w:val="00E53EFD"/>
    <w:rPr>
      <w:color w:val="605E5C"/>
      <w:shd w:val="clear" w:color="auto" w:fill="E1DFDD"/>
    </w:rPr>
  </w:style>
  <w:style w:type="paragraph" w:styleId="FootnoteText">
    <w:name w:val="footnote text"/>
    <w:basedOn w:val="Normal"/>
    <w:link w:val="FootnoteTextChar"/>
    <w:uiPriority w:val="99"/>
    <w:semiHidden/>
    <w:unhideWhenUsed/>
    <w:rsid w:val="00D9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44F1"/>
    <w:rPr>
      <w:sz w:val="20"/>
      <w:szCs w:val="20"/>
    </w:rPr>
  </w:style>
  <w:style w:type="character" w:styleId="FootnoteReference">
    <w:name w:val="footnote reference"/>
    <w:basedOn w:val="DefaultParagraphFont"/>
    <w:uiPriority w:val="99"/>
    <w:semiHidden/>
    <w:unhideWhenUsed/>
    <w:rsid w:val="00D944F1"/>
    <w:rPr>
      <w:vertAlign w:val="superscript"/>
    </w:rPr>
  </w:style>
  <w:style w:type="paragraph" w:styleId="NormalWeb">
    <w:name w:val="Normal (Web)"/>
    <w:basedOn w:val="Normal"/>
    <w:uiPriority w:val="99"/>
    <w:semiHidden/>
    <w:unhideWhenUsed/>
    <w:rsid w:val="00995296"/>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UnresolvedMention2">
    <w:name w:val="Unresolved Mention2"/>
    <w:basedOn w:val="DefaultParagraphFont"/>
    <w:uiPriority w:val="99"/>
    <w:semiHidden/>
    <w:unhideWhenUsed/>
    <w:rsid w:val="0004706D"/>
    <w:rPr>
      <w:color w:val="605E5C"/>
      <w:shd w:val="clear" w:color="auto" w:fill="E1DFDD"/>
    </w:rPr>
  </w:style>
  <w:style w:type="paragraph" w:styleId="Revision">
    <w:name w:val="Revision"/>
    <w:hidden/>
    <w:uiPriority w:val="99"/>
    <w:semiHidden/>
    <w:rsid w:val="00824E56"/>
    <w:pPr>
      <w:spacing w:after="0" w:line="240" w:lineRule="auto"/>
    </w:pPr>
  </w:style>
  <w:style w:type="paragraph" w:customStyle="1" w:styleId="muxlixml">
    <w:name w:val="muxlixml"/>
    <w:basedOn w:val="Normal"/>
    <w:rsid w:val="00C76B42"/>
    <w:pPr>
      <w:keepNext/>
      <w:spacing w:before="240" w:after="0" w:line="240" w:lineRule="atLeast"/>
      <w:ind w:left="850" w:hanging="850"/>
    </w:pPr>
    <w:rPr>
      <w:rFonts w:ascii="Times New Roman" w:hAnsi="Times New Roman" w:cs="Times New Roman"/>
      <w:b/>
      <w:bCs/>
      <w:lang w:val="en-US" w:eastAsia="en-US"/>
    </w:rPr>
  </w:style>
  <w:style w:type="paragraph" w:customStyle="1" w:styleId="abzacixml">
    <w:name w:val="abzacixml"/>
    <w:basedOn w:val="Normal"/>
    <w:rsid w:val="00C76B42"/>
    <w:pPr>
      <w:spacing w:after="0" w:line="240" w:lineRule="auto"/>
      <w:ind w:firstLine="283"/>
      <w:jc w:val="both"/>
    </w:pPr>
    <w:rPr>
      <w:rFonts w:ascii="Times New Roman" w:hAnsi="Times New Roman" w:cs="Times New Roman"/>
      <w:lang w:val="en-US" w:eastAsia="en-US"/>
    </w:rPr>
  </w:style>
  <w:style w:type="character" w:styleId="FollowedHyperlink">
    <w:name w:val="FollowedHyperlink"/>
    <w:basedOn w:val="DefaultParagraphFont"/>
    <w:uiPriority w:val="99"/>
    <w:semiHidden/>
    <w:unhideWhenUsed/>
    <w:rsid w:val="00824F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96833">
      <w:bodyDiv w:val="1"/>
      <w:marLeft w:val="0"/>
      <w:marRight w:val="0"/>
      <w:marTop w:val="0"/>
      <w:marBottom w:val="0"/>
      <w:divBdr>
        <w:top w:val="none" w:sz="0" w:space="0" w:color="auto"/>
        <w:left w:val="none" w:sz="0" w:space="0" w:color="auto"/>
        <w:bottom w:val="none" w:sz="0" w:space="0" w:color="auto"/>
        <w:right w:val="none" w:sz="0" w:space="0" w:color="auto"/>
      </w:divBdr>
    </w:div>
    <w:div w:id="617839546">
      <w:bodyDiv w:val="1"/>
      <w:marLeft w:val="0"/>
      <w:marRight w:val="0"/>
      <w:marTop w:val="0"/>
      <w:marBottom w:val="0"/>
      <w:divBdr>
        <w:top w:val="none" w:sz="0" w:space="0" w:color="auto"/>
        <w:left w:val="none" w:sz="0" w:space="0" w:color="auto"/>
        <w:bottom w:val="none" w:sz="0" w:space="0" w:color="auto"/>
        <w:right w:val="none" w:sz="0" w:space="0" w:color="auto"/>
      </w:divBdr>
    </w:div>
    <w:div w:id="1138260909">
      <w:bodyDiv w:val="1"/>
      <w:marLeft w:val="0"/>
      <w:marRight w:val="0"/>
      <w:marTop w:val="0"/>
      <w:marBottom w:val="0"/>
      <w:divBdr>
        <w:top w:val="none" w:sz="0" w:space="0" w:color="auto"/>
        <w:left w:val="none" w:sz="0" w:space="0" w:color="auto"/>
        <w:bottom w:val="none" w:sz="0" w:space="0" w:color="auto"/>
        <w:right w:val="none" w:sz="0" w:space="0" w:color="auto"/>
      </w:divBdr>
    </w:div>
    <w:div w:id="1245452931">
      <w:bodyDiv w:val="1"/>
      <w:marLeft w:val="0"/>
      <w:marRight w:val="0"/>
      <w:marTop w:val="0"/>
      <w:marBottom w:val="0"/>
      <w:divBdr>
        <w:top w:val="none" w:sz="0" w:space="0" w:color="auto"/>
        <w:left w:val="none" w:sz="0" w:space="0" w:color="auto"/>
        <w:bottom w:val="none" w:sz="0" w:space="0" w:color="auto"/>
        <w:right w:val="none" w:sz="0" w:space="0" w:color="auto"/>
      </w:divBdr>
    </w:div>
    <w:div w:id="1646545086">
      <w:bodyDiv w:val="1"/>
      <w:marLeft w:val="0"/>
      <w:marRight w:val="0"/>
      <w:marTop w:val="0"/>
      <w:marBottom w:val="0"/>
      <w:divBdr>
        <w:top w:val="none" w:sz="0" w:space="0" w:color="auto"/>
        <w:left w:val="none" w:sz="0" w:space="0" w:color="auto"/>
        <w:bottom w:val="none" w:sz="0" w:space="0" w:color="auto"/>
        <w:right w:val="none" w:sz="0" w:space="0" w:color="auto"/>
      </w:divBdr>
    </w:div>
    <w:div w:id="191712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di.ge/en/" TargetMode="Externa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matsne.gov.ge/ka/document/view/2993918?publication=1" TargetMode="External"/><Relationship Id="rId7" Type="http://schemas.openxmlformats.org/officeDocument/2006/relationships/hyperlink" Target="http://ombudsman.ge/res/docs/2019072913501234745.pdf" TargetMode="External"/><Relationship Id="rId2" Type="http://schemas.openxmlformats.org/officeDocument/2006/relationships/hyperlink" Target="https://matsne.gov.ge/en/document/view/4830372?publication=0" TargetMode="External"/><Relationship Id="rId1" Type="http://schemas.openxmlformats.org/officeDocument/2006/relationships/hyperlink" Target="https://matsne.gov.ge/ka/document/view/2993918?publication=1" TargetMode="External"/><Relationship Id="rId6" Type="http://schemas.openxmlformats.org/officeDocument/2006/relationships/hyperlink" Target="http://www.ombudsman.ge/res/docs/2020052917375148888.pdf" TargetMode="External"/><Relationship Id="rId5" Type="http://schemas.openxmlformats.org/officeDocument/2006/relationships/hyperlink" Target="https://matsne.gov.ge/ka/document/view/4140938?publication=1" TargetMode="External"/><Relationship Id="rId4" Type="http://schemas.openxmlformats.org/officeDocument/2006/relationships/hyperlink" Target="https://www.matsne.gov.ge/ka/document/view/43156?publicat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18C65-AB53-4597-A3D6-93993EA6B130}">
  <ds:schemaRefs>
    <ds:schemaRef ds:uri="http://schemas.microsoft.com/sharepoint/v3/contenttype/forms"/>
  </ds:schemaRefs>
</ds:datastoreItem>
</file>

<file path=customXml/itemProps2.xml><?xml version="1.0" encoding="utf-8"?>
<ds:datastoreItem xmlns:ds="http://schemas.openxmlformats.org/officeDocument/2006/customXml" ds:itemID="{8244689A-E97A-4EF7-B952-8C4238B626D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6986C2A-32A1-488B-B621-F259CFE56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825B28-6D42-490A-86A8-0637ED4B3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8</Pages>
  <Words>2796</Words>
  <Characters>15940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cp:keywords/>
  <dc:description/>
  <cp:lastModifiedBy>Mari</cp:lastModifiedBy>
  <cp:revision>119</cp:revision>
  <dcterms:created xsi:type="dcterms:W3CDTF">2020-07-23T15:38:00Z</dcterms:created>
  <dcterms:modified xsi:type="dcterms:W3CDTF">2020-08-31T19:38:00Z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