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F0" w:rsidRPr="00176C8E" w:rsidRDefault="00D606F0" w:rsidP="00B76E0C">
      <w:pPr>
        <w:pStyle w:val="NormalWeb"/>
        <w:spacing w:line="360" w:lineRule="auto"/>
        <w:jc w:val="both"/>
        <w:rPr>
          <w:rFonts w:ascii="Cambria" w:hAnsi="Cambria"/>
          <w:b/>
        </w:rPr>
      </w:pPr>
      <w:r w:rsidRPr="00176C8E">
        <w:rPr>
          <w:rFonts w:ascii="Cambria" w:hAnsi="Cambria"/>
          <w:b/>
        </w:rPr>
        <w:t>SUBMISSION</w:t>
      </w:r>
      <w:r w:rsidR="00DF59C3">
        <w:rPr>
          <w:rFonts w:ascii="Cambria" w:hAnsi="Cambria"/>
          <w:b/>
        </w:rPr>
        <w:t>S</w:t>
      </w:r>
      <w:r w:rsidRPr="00176C8E">
        <w:rPr>
          <w:rFonts w:ascii="Cambria" w:hAnsi="Cambria"/>
          <w:b/>
        </w:rPr>
        <w:t xml:space="preserve"> TO THE TO THE UN WORKING GROUP ON THE ISSUE OF DISCRIMINATION AGAINST WOMEN</w:t>
      </w:r>
    </w:p>
    <w:p w:rsidR="002D426F" w:rsidRPr="00176C8E" w:rsidRDefault="002D426F" w:rsidP="004D4325">
      <w:pPr>
        <w:pStyle w:val="NormalWeb"/>
        <w:spacing w:line="360" w:lineRule="auto"/>
        <w:jc w:val="both"/>
        <w:rPr>
          <w:rFonts w:ascii="Cambria" w:hAnsi="Cambria"/>
        </w:rPr>
      </w:pPr>
      <w:r w:rsidRPr="00176C8E">
        <w:rPr>
          <w:rFonts w:ascii="Cambria" w:hAnsi="Cambria"/>
        </w:rPr>
        <w:t>KAIH (Kenya Association of the Intellectually Handicapped)</w:t>
      </w:r>
      <w:r w:rsidRPr="00176C8E">
        <w:rPr>
          <w:rStyle w:val="FootnoteReference"/>
          <w:rFonts w:ascii="Cambria" w:hAnsi="Cambria"/>
        </w:rPr>
        <w:footnoteReference w:id="1"/>
      </w:r>
      <w:r w:rsidR="00DF59C3">
        <w:rPr>
          <w:rFonts w:ascii="Cambria" w:hAnsi="Cambria"/>
        </w:rPr>
        <w:t xml:space="preserve"> is </w:t>
      </w:r>
      <w:r w:rsidR="00572A86" w:rsidRPr="00176C8E">
        <w:rPr>
          <w:rFonts w:ascii="Cambria" w:hAnsi="Cambria"/>
        </w:rPr>
        <w:t xml:space="preserve">a </w:t>
      </w:r>
      <w:r w:rsidR="00274752" w:rsidRPr="00176C8E">
        <w:rPr>
          <w:rFonts w:ascii="Cambria" w:hAnsi="Cambria"/>
        </w:rPr>
        <w:t>membership-based</w:t>
      </w:r>
      <w:r w:rsidR="00572A86" w:rsidRPr="00176C8E">
        <w:rPr>
          <w:rFonts w:ascii="Cambria" w:hAnsi="Cambria"/>
        </w:rPr>
        <w:t xml:space="preserve"> organization focusing on programs and initiatives that recognize the rights, meaningful </w:t>
      </w:r>
      <w:r w:rsidR="00274752" w:rsidRPr="00176C8E">
        <w:rPr>
          <w:rFonts w:ascii="Cambria" w:hAnsi="Cambria"/>
        </w:rPr>
        <w:t>participation,</w:t>
      </w:r>
      <w:r w:rsidR="00572A86" w:rsidRPr="00176C8E">
        <w:rPr>
          <w:rFonts w:ascii="Cambria" w:hAnsi="Cambria"/>
        </w:rPr>
        <w:t xml:space="preserve"> and full inclusion o</w:t>
      </w:r>
      <w:bookmarkStart w:id="0" w:name="_GoBack"/>
      <w:bookmarkEnd w:id="0"/>
      <w:r w:rsidR="00572A86" w:rsidRPr="00176C8E">
        <w:rPr>
          <w:rFonts w:ascii="Cambria" w:hAnsi="Cambria"/>
        </w:rPr>
        <w:t>f Persons with Intellectual Disability (PWIDs) and their families in all aspects of life.</w:t>
      </w:r>
      <w:r w:rsidR="00C91664" w:rsidRPr="00176C8E">
        <w:rPr>
          <w:rFonts w:ascii="Cambria" w:hAnsi="Cambria"/>
        </w:rPr>
        <w:t xml:space="preserve"> </w:t>
      </w:r>
      <w:r w:rsidRPr="00176C8E">
        <w:rPr>
          <w:rFonts w:ascii="Cambria" w:hAnsi="Cambria"/>
        </w:rPr>
        <w:t>USP-K (Users and Survivors of Psychiatry in Kenya)</w:t>
      </w:r>
      <w:r w:rsidRPr="00176C8E">
        <w:rPr>
          <w:rStyle w:val="FootnoteReference"/>
          <w:rFonts w:ascii="Cambria" w:hAnsi="Cambria"/>
        </w:rPr>
        <w:footnoteReference w:id="2"/>
      </w:r>
      <w:r w:rsidRPr="00176C8E">
        <w:rPr>
          <w:rFonts w:ascii="Cambria" w:hAnsi="Cambria"/>
        </w:rPr>
        <w:t xml:space="preserve"> </w:t>
      </w:r>
      <w:r w:rsidR="00572A86" w:rsidRPr="00176C8E">
        <w:rPr>
          <w:rFonts w:ascii="Cambria" w:hAnsi="Cambria"/>
        </w:rPr>
        <w:t>is a membership organization whose major objective is to promote and advocate for the rights of persons with psychosocial disability.</w:t>
      </w:r>
      <w:r w:rsidR="00D606F0" w:rsidRPr="00176C8E">
        <w:rPr>
          <w:rFonts w:ascii="Cambria" w:hAnsi="Cambria"/>
        </w:rPr>
        <w:t xml:space="preserve"> </w:t>
      </w:r>
      <w:r w:rsidR="004D4325">
        <w:rPr>
          <w:rFonts w:ascii="Cambria" w:hAnsi="Cambria"/>
        </w:rPr>
        <w:t>KAIH</w:t>
      </w:r>
      <w:r w:rsidR="005E0E5A">
        <w:rPr>
          <w:rFonts w:ascii="Cambria" w:hAnsi="Cambria"/>
        </w:rPr>
        <w:t xml:space="preserve"> and</w:t>
      </w:r>
      <w:r w:rsidR="004D4325">
        <w:rPr>
          <w:rFonts w:ascii="Cambria" w:hAnsi="Cambria"/>
        </w:rPr>
        <w:t xml:space="preserve"> </w:t>
      </w:r>
      <w:r w:rsidR="005E0E5A" w:rsidRPr="00176C8E">
        <w:rPr>
          <w:rFonts w:ascii="Cambria" w:hAnsi="Cambria"/>
        </w:rPr>
        <w:t>USP-K</w:t>
      </w:r>
      <w:r w:rsidR="005E0E5A">
        <w:rPr>
          <w:rFonts w:ascii="Cambria" w:hAnsi="Cambria"/>
        </w:rPr>
        <w:t xml:space="preserve"> </w:t>
      </w:r>
      <w:r w:rsidRPr="00176C8E">
        <w:rPr>
          <w:rFonts w:ascii="Cambria" w:hAnsi="Cambria"/>
        </w:rPr>
        <w:t>hereby make their submissions to the UN Working Group</w:t>
      </w:r>
      <w:r w:rsidR="00DB1AB8" w:rsidRPr="00176C8E">
        <w:rPr>
          <w:rFonts w:ascii="Cambria" w:hAnsi="Cambria"/>
        </w:rPr>
        <w:t xml:space="preserve"> on the issue of discrimination against</w:t>
      </w:r>
      <w:r w:rsidR="00DB1AB8" w:rsidRPr="00176C8E">
        <w:rPr>
          <w:rFonts w:ascii="Cambria" w:hAnsi="Cambria"/>
          <w:b/>
        </w:rPr>
        <w:t xml:space="preserve"> </w:t>
      </w:r>
      <w:r w:rsidR="00DB1AB8" w:rsidRPr="00DD6F2C">
        <w:rPr>
          <w:rFonts w:ascii="Cambria" w:hAnsi="Cambria"/>
        </w:rPr>
        <w:t>women in law and in practice</w:t>
      </w:r>
      <w:r w:rsidR="00F22154" w:rsidRPr="00DD6F2C">
        <w:rPr>
          <w:rFonts w:ascii="Cambria" w:hAnsi="Cambria"/>
        </w:rPr>
        <w:t xml:space="preserve">. </w:t>
      </w:r>
    </w:p>
    <w:p w:rsidR="00D606F0" w:rsidRPr="00176C8E" w:rsidRDefault="00D606F0" w:rsidP="00B76E0C">
      <w:pPr>
        <w:spacing w:line="360" w:lineRule="auto"/>
        <w:jc w:val="both"/>
        <w:rPr>
          <w:rFonts w:ascii="Cambria" w:hAnsi="Cambria" w:cstheme="majorHAnsi"/>
          <w:b/>
          <w:sz w:val="24"/>
          <w:szCs w:val="24"/>
        </w:rPr>
      </w:pPr>
      <w:r w:rsidRPr="00176C8E">
        <w:rPr>
          <w:rFonts w:ascii="Cambria" w:hAnsi="Cambria" w:cstheme="majorHAnsi"/>
          <w:b/>
          <w:sz w:val="24"/>
          <w:szCs w:val="24"/>
        </w:rPr>
        <w:t>Deprivation of Liberty in Law</w:t>
      </w:r>
    </w:p>
    <w:p w:rsidR="002D426F" w:rsidRPr="00176C8E" w:rsidRDefault="002D426F" w:rsidP="00B76E0C">
      <w:pPr>
        <w:spacing w:line="360" w:lineRule="auto"/>
        <w:jc w:val="both"/>
        <w:rPr>
          <w:rFonts w:ascii="Cambria" w:hAnsi="Cambria" w:cstheme="majorHAnsi"/>
          <w:sz w:val="24"/>
          <w:szCs w:val="24"/>
        </w:rPr>
      </w:pPr>
      <w:r w:rsidRPr="00176C8E">
        <w:rPr>
          <w:rFonts w:ascii="Cambria" w:hAnsi="Cambria" w:cstheme="majorHAnsi"/>
          <w:sz w:val="24"/>
          <w:szCs w:val="24"/>
        </w:rPr>
        <w:t>There are various laws that deprive</w:t>
      </w:r>
      <w:r w:rsidR="00F22154" w:rsidRPr="00176C8E">
        <w:rPr>
          <w:rFonts w:ascii="Cambria" w:hAnsi="Cambria" w:cstheme="majorHAnsi"/>
          <w:sz w:val="24"/>
          <w:szCs w:val="24"/>
        </w:rPr>
        <w:t xml:space="preserve"> women of their liberty in Kenya. The said laws are </w:t>
      </w:r>
      <w:proofErr w:type="gramStart"/>
      <w:r w:rsidR="00F22154" w:rsidRPr="00176C8E">
        <w:rPr>
          <w:rFonts w:ascii="Cambria" w:hAnsi="Cambria" w:cstheme="majorHAnsi"/>
          <w:sz w:val="24"/>
          <w:szCs w:val="24"/>
        </w:rPr>
        <w:t>illustrated</w:t>
      </w:r>
      <w:proofErr w:type="gramEnd"/>
      <w:r w:rsidR="00F22154" w:rsidRPr="00176C8E">
        <w:rPr>
          <w:rFonts w:ascii="Cambria" w:hAnsi="Cambria" w:cstheme="majorHAnsi"/>
          <w:sz w:val="24"/>
          <w:szCs w:val="24"/>
        </w:rPr>
        <w:t xml:space="preserve"> below: </w:t>
      </w:r>
    </w:p>
    <w:p w:rsidR="00CE3E41" w:rsidRPr="00176C8E" w:rsidRDefault="00CE3E41" w:rsidP="00B76E0C">
      <w:pPr>
        <w:pStyle w:val="ListParagraph"/>
        <w:numPr>
          <w:ilvl w:val="0"/>
          <w:numId w:val="7"/>
        </w:numPr>
        <w:spacing w:line="360" w:lineRule="auto"/>
        <w:jc w:val="both"/>
        <w:rPr>
          <w:rFonts w:ascii="Cambria" w:hAnsi="Cambria" w:cstheme="majorHAnsi"/>
          <w:b/>
          <w:sz w:val="24"/>
          <w:szCs w:val="24"/>
        </w:rPr>
      </w:pPr>
      <w:r w:rsidRPr="00176C8E">
        <w:rPr>
          <w:rFonts w:ascii="Cambria" w:hAnsi="Cambria" w:cstheme="majorHAnsi"/>
          <w:b/>
          <w:sz w:val="24"/>
          <w:szCs w:val="24"/>
        </w:rPr>
        <w:t xml:space="preserve">Constitution of Kenya </w:t>
      </w:r>
    </w:p>
    <w:p w:rsidR="00EE2871" w:rsidRPr="00176C8E" w:rsidRDefault="004D01A6" w:rsidP="00B76E0C">
      <w:pPr>
        <w:spacing w:line="360" w:lineRule="auto"/>
        <w:jc w:val="both"/>
        <w:rPr>
          <w:rFonts w:ascii="Cambria" w:hAnsi="Cambria"/>
          <w:sz w:val="24"/>
          <w:szCs w:val="24"/>
        </w:rPr>
      </w:pPr>
      <w:r w:rsidRPr="00176C8E">
        <w:rPr>
          <w:rFonts w:ascii="Cambria" w:hAnsi="Cambria"/>
          <w:sz w:val="24"/>
          <w:szCs w:val="24"/>
        </w:rPr>
        <w:t xml:space="preserve">The Constitution of Kenya is the supreme </w:t>
      </w:r>
      <w:r w:rsidR="00274752" w:rsidRPr="00176C8E">
        <w:rPr>
          <w:rFonts w:ascii="Cambria" w:hAnsi="Cambria"/>
          <w:sz w:val="24"/>
          <w:szCs w:val="24"/>
        </w:rPr>
        <w:t>of law</w:t>
      </w:r>
      <w:r w:rsidRPr="00176C8E">
        <w:rPr>
          <w:rFonts w:ascii="Cambria" w:hAnsi="Cambria"/>
          <w:sz w:val="24"/>
          <w:szCs w:val="24"/>
        </w:rPr>
        <w:t xml:space="preserve"> of the land of Kenya.</w:t>
      </w:r>
      <w:r w:rsidR="00660283" w:rsidRPr="00176C8E">
        <w:rPr>
          <w:rFonts w:ascii="Cambria" w:hAnsi="Cambria"/>
          <w:sz w:val="24"/>
          <w:szCs w:val="24"/>
        </w:rPr>
        <w:t xml:space="preserve"> </w:t>
      </w:r>
      <w:r w:rsidR="00660283" w:rsidRPr="00176C8E">
        <w:rPr>
          <w:rStyle w:val="FootnoteReference"/>
          <w:rFonts w:ascii="Cambria" w:hAnsi="Cambria"/>
          <w:sz w:val="24"/>
          <w:szCs w:val="24"/>
        </w:rPr>
        <w:footnoteReference w:id="3"/>
      </w:r>
      <w:r w:rsidR="00E102E5" w:rsidRPr="00176C8E">
        <w:rPr>
          <w:rFonts w:ascii="Cambria" w:hAnsi="Cambria"/>
          <w:sz w:val="24"/>
          <w:szCs w:val="24"/>
        </w:rPr>
        <w:t xml:space="preserve"> The </w:t>
      </w:r>
      <w:r w:rsidR="00274752" w:rsidRPr="00176C8E">
        <w:rPr>
          <w:rFonts w:ascii="Cambria" w:hAnsi="Cambria"/>
          <w:sz w:val="24"/>
          <w:szCs w:val="24"/>
        </w:rPr>
        <w:t>Constitution lays</w:t>
      </w:r>
      <w:r w:rsidR="00E102E5" w:rsidRPr="00176C8E">
        <w:rPr>
          <w:rFonts w:ascii="Cambria" w:hAnsi="Cambria"/>
          <w:sz w:val="24"/>
          <w:szCs w:val="24"/>
        </w:rPr>
        <w:t xml:space="preserve"> the foundation on the right to liberty. </w:t>
      </w:r>
      <w:r w:rsidR="00CE3E41" w:rsidRPr="00176C8E">
        <w:rPr>
          <w:rFonts w:ascii="Cambria" w:hAnsi="Cambria"/>
          <w:sz w:val="24"/>
          <w:szCs w:val="24"/>
        </w:rPr>
        <w:t>Article 29 of the Constitution states that every person has the right to freedom and securit</w:t>
      </w:r>
      <w:r w:rsidR="00AA122F" w:rsidRPr="00176C8E">
        <w:rPr>
          <w:rFonts w:ascii="Cambria" w:hAnsi="Cambria"/>
          <w:sz w:val="24"/>
          <w:szCs w:val="24"/>
        </w:rPr>
        <w:t xml:space="preserve">y of the person, which includes </w:t>
      </w:r>
      <w:r w:rsidR="00AA122F" w:rsidRPr="00176C8E">
        <w:rPr>
          <w:rFonts w:ascii="Cambria" w:hAnsi="Cambria" w:cs="Times-Roman"/>
          <w:sz w:val="24"/>
          <w:szCs w:val="24"/>
        </w:rPr>
        <w:t>the right not to be—</w:t>
      </w:r>
    </w:p>
    <w:p w:rsidR="00AA122F" w:rsidRPr="00176C8E" w:rsidRDefault="00AA122F" w:rsidP="00B76E0C">
      <w:pPr>
        <w:spacing w:after="0" w:line="360" w:lineRule="auto"/>
        <w:jc w:val="both"/>
        <w:rPr>
          <w:rFonts w:ascii="Cambria" w:hAnsi="Cambria"/>
          <w:sz w:val="24"/>
          <w:szCs w:val="24"/>
        </w:rPr>
      </w:pPr>
      <w:r w:rsidRPr="00176C8E">
        <w:rPr>
          <w:rFonts w:ascii="Cambria" w:hAnsi="Cambria" w:cs="Times-Roman"/>
          <w:sz w:val="24"/>
          <w:szCs w:val="24"/>
        </w:rPr>
        <w:t>(</w:t>
      </w:r>
      <w:proofErr w:type="gramStart"/>
      <w:r w:rsidRPr="00176C8E">
        <w:rPr>
          <w:rFonts w:ascii="Cambria" w:hAnsi="Cambria" w:cs="Times-Italic"/>
          <w:i/>
          <w:iCs/>
          <w:sz w:val="24"/>
          <w:szCs w:val="24"/>
        </w:rPr>
        <w:t>a</w:t>
      </w:r>
      <w:proofErr w:type="gramEnd"/>
      <w:r w:rsidRPr="00176C8E">
        <w:rPr>
          <w:rFonts w:ascii="Cambria" w:hAnsi="Cambria" w:cs="Times-Roman"/>
          <w:sz w:val="24"/>
          <w:szCs w:val="24"/>
        </w:rPr>
        <w:t>) deprived of freedom arbitrarily or without just cause;</w:t>
      </w:r>
    </w:p>
    <w:p w:rsidR="00AA122F" w:rsidRPr="00176C8E" w:rsidRDefault="00AA122F" w:rsidP="00B76E0C">
      <w:pPr>
        <w:autoSpaceDE w:val="0"/>
        <w:autoSpaceDN w:val="0"/>
        <w:adjustRightInd w:val="0"/>
        <w:spacing w:after="0" w:line="360" w:lineRule="auto"/>
        <w:jc w:val="both"/>
        <w:rPr>
          <w:rFonts w:ascii="Cambria" w:hAnsi="Cambria" w:cs="Times-Roman"/>
          <w:sz w:val="24"/>
          <w:szCs w:val="24"/>
        </w:rPr>
      </w:pPr>
      <w:r w:rsidRPr="00176C8E">
        <w:rPr>
          <w:rFonts w:ascii="Cambria" w:hAnsi="Cambria" w:cs="Times-Roman"/>
          <w:sz w:val="24"/>
          <w:szCs w:val="24"/>
        </w:rPr>
        <w:t>(</w:t>
      </w:r>
      <w:r w:rsidRPr="00176C8E">
        <w:rPr>
          <w:rFonts w:ascii="Cambria" w:hAnsi="Cambria" w:cs="Times-Italic"/>
          <w:i/>
          <w:iCs/>
          <w:sz w:val="24"/>
          <w:szCs w:val="24"/>
        </w:rPr>
        <w:t>b</w:t>
      </w:r>
      <w:r w:rsidRPr="00176C8E">
        <w:rPr>
          <w:rFonts w:ascii="Cambria" w:hAnsi="Cambria" w:cs="Times-Roman"/>
          <w:sz w:val="24"/>
          <w:szCs w:val="24"/>
        </w:rPr>
        <w:t xml:space="preserve">) </w:t>
      </w:r>
      <w:proofErr w:type="gramStart"/>
      <w:r w:rsidRPr="00176C8E">
        <w:rPr>
          <w:rFonts w:ascii="Cambria" w:hAnsi="Cambria" w:cs="Times-Roman"/>
          <w:sz w:val="24"/>
          <w:szCs w:val="24"/>
        </w:rPr>
        <w:t>detained</w:t>
      </w:r>
      <w:proofErr w:type="gramEnd"/>
      <w:r w:rsidRPr="00176C8E">
        <w:rPr>
          <w:rFonts w:ascii="Cambria" w:hAnsi="Cambria" w:cs="Times-Roman"/>
          <w:sz w:val="24"/>
          <w:szCs w:val="24"/>
        </w:rPr>
        <w:t xml:space="preserve"> without trial, except during a state of emergency, </w:t>
      </w:r>
      <w:r w:rsidR="00EE2871" w:rsidRPr="00176C8E">
        <w:rPr>
          <w:rFonts w:ascii="Cambria" w:hAnsi="Cambria" w:cs="Times-Roman"/>
          <w:sz w:val="24"/>
          <w:szCs w:val="24"/>
        </w:rPr>
        <w:t xml:space="preserve">in which case the detention is </w:t>
      </w:r>
      <w:r w:rsidRPr="00176C8E">
        <w:rPr>
          <w:rFonts w:ascii="Cambria" w:hAnsi="Cambria" w:cs="Times-Roman"/>
          <w:sz w:val="24"/>
          <w:szCs w:val="24"/>
        </w:rPr>
        <w:t>subject to Article 58;</w:t>
      </w:r>
    </w:p>
    <w:p w:rsidR="00AA122F" w:rsidRPr="00176C8E" w:rsidRDefault="00AA122F" w:rsidP="00B76E0C">
      <w:pPr>
        <w:autoSpaceDE w:val="0"/>
        <w:autoSpaceDN w:val="0"/>
        <w:adjustRightInd w:val="0"/>
        <w:spacing w:after="0" w:line="360" w:lineRule="auto"/>
        <w:jc w:val="both"/>
        <w:rPr>
          <w:rFonts w:ascii="Cambria" w:hAnsi="Cambria" w:cs="Times-Roman"/>
          <w:sz w:val="24"/>
          <w:szCs w:val="24"/>
        </w:rPr>
      </w:pPr>
      <w:r w:rsidRPr="00176C8E">
        <w:rPr>
          <w:rFonts w:ascii="Cambria" w:hAnsi="Cambria" w:cs="Times-Roman"/>
          <w:sz w:val="24"/>
          <w:szCs w:val="24"/>
        </w:rPr>
        <w:t>(</w:t>
      </w:r>
      <w:r w:rsidRPr="00176C8E">
        <w:rPr>
          <w:rFonts w:ascii="Cambria" w:hAnsi="Cambria" w:cs="Times-Italic"/>
          <w:i/>
          <w:iCs/>
          <w:sz w:val="24"/>
          <w:szCs w:val="24"/>
        </w:rPr>
        <w:t>c</w:t>
      </w:r>
      <w:r w:rsidRPr="00176C8E">
        <w:rPr>
          <w:rFonts w:ascii="Cambria" w:hAnsi="Cambria" w:cs="Times-Roman"/>
          <w:sz w:val="24"/>
          <w:szCs w:val="24"/>
        </w:rPr>
        <w:t xml:space="preserve">) </w:t>
      </w:r>
      <w:proofErr w:type="gramStart"/>
      <w:r w:rsidRPr="00176C8E">
        <w:rPr>
          <w:rFonts w:ascii="Cambria" w:hAnsi="Cambria" w:cs="Times-Roman"/>
          <w:sz w:val="24"/>
          <w:szCs w:val="24"/>
        </w:rPr>
        <w:t>subjected</w:t>
      </w:r>
      <w:proofErr w:type="gramEnd"/>
      <w:r w:rsidRPr="00176C8E">
        <w:rPr>
          <w:rFonts w:ascii="Cambria" w:hAnsi="Cambria" w:cs="Times-Roman"/>
          <w:sz w:val="24"/>
          <w:szCs w:val="24"/>
        </w:rPr>
        <w:t xml:space="preserve"> to any form of violence from either public or private sources;</w:t>
      </w:r>
    </w:p>
    <w:p w:rsidR="00AA122F" w:rsidRPr="00176C8E" w:rsidRDefault="00AA122F" w:rsidP="00B76E0C">
      <w:pPr>
        <w:autoSpaceDE w:val="0"/>
        <w:autoSpaceDN w:val="0"/>
        <w:adjustRightInd w:val="0"/>
        <w:spacing w:after="0" w:line="360" w:lineRule="auto"/>
        <w:jc w:val="both"/>
        <w:rPr>
          <w:rFonts w:ascii="Cambria" w:hAnsi="Cambria" w:cs="Times-Roman"/>
          <w:sz w:val="24"/>
          <w:szCs w:val="24"/>
        </w:rPr>
      </w:pPr>
      <w:r w:rsidRPr="00176C8E">
        <w:rPr>
          <w:rFonts w:ascii="Cambria" w:hAnsi="Cambria" w:cs="Times-Roman"/>
          <w:sz w:val="24"/>
          <w:szCs w:val="24"/>
        </w:rPr>
        <w:t>(</w:t>
      </w:r>
      <w:proofErr w:type="gramStart"/>
      <w:r w:rsidRPr="00176C8E">
        <w:rPr>
          <w:rFonts w:ascii="Cambria" w:hAnsi="Cambria" w:cs="Times-Italic"/>
          <w:i/>
          <w:iCs/>
          <w:sz w:val="24"/>
          <w:szCs w:val="24"/>
        </w:rPr>
        <w:t>d</w:t>
      </w:r>
      <w:proofErr w:type="gramEnd"/>
      <w:r w:rsidRPr="00176C8E">
        <w:rPr>
          <w:rFonts w:ascii="Cambria" w:hAnsi="Cambria" w:cs="Times-Roman"/>
          <w:sz w:val="24"/>
          <w:szCs w:val="24"/>
        </w:rPr>
        <w:t>) subjected to torture in any manner, whether physical or psychological;</w:t>
      </w:r>
    </w:p>
    <w:p w:rsidR="00AA122F" w:rsidRPr="00176C8E" w:rsidRDefault="00AA122F" w:rsidP="00B76E0C">
      <w:pPr>
        <w:autoSpaceDE w:val="0"/>
        <w:autoSpaceDN w:val="0"/>
        <w:adjustRightInd w:val="0"/>
        <w:spacing w:after="0" w:line="360" w:lineRule="auto"/>
        <w:jc w:val="both"/>
        <w:rPr>
          <w:rFonts w:ascii="Cambria" w:hAnsi="Cambria" w:cs="Times-Roman"/>
          <w:sz w:val="24"/>
          <w:szCs w:val="24"/>
        </w:rPr>
      </w:pPr>
      <w:r w:rsidRPr="00176C8E">
        <w:rPr>
          <w:rFonts w:ascii="Cambria" w:hAnsi="Cambria" w:cs="Times-Roman"/>
          <w:sz w:val="24"/>
          <w:szCs w:val="24"/>
        </w:rPr>
        <w:t>(</w:t>
      </w:r>
      <w:r w:rsidRPr="00176C8E">
        <w:rPr>
          <w:rFonts w:ascii="Cambria" w:hAnsi="Cambria" w:cs="Times-Italic"/>
          <w:i/>
          <w:iCs/>
          <w:sz w:val="24"/>
          <w:szCs w:val="24"/>
        </w:rPr>
        <w:t>e</w:t>
      </w:r>
      <w:r w:rsidRPr="00176C8E">
        <w:rPr>
          <w:rFonts w:ascii="Cambria" w:hAnsi="Cambria" w:cs="Times-Roman"/>
          <w:sz w:val="24"/>
          <w:szCs w:val="24"/>
        </w:rPr>
        <w:t xml:space="preserve">) </w:t>
      </w:r>
      <w:proofErr w:type="gramStart"/>
      <w:r w:rsidRPr="00176C8E">
        <w:rPr>
          <w:rFonts w:ascii="Cambria" w:hAnsi="Cambria" w:cs="Times-Roman"/>
          <w:sz w:val="24"/>
          <w:szCs w:val="24"/>
        </w:rPr>
        <w:t>subjected</w:t>
      </w:r>
      <w:proofErr w:type="gramEnd"/>
      <w:r w:rsidRPr="00176C8E">
        <w:rPr>
          <w:rFonts w:ascii="Cambria" w:hAnsi="Cambria" w:cs="Times-Roman"/>
          <w:sz w:val="24"/>
          <w:szCs w:val="24"/>
        </w:rPr>
        <w:t xml:space="preserve"> to corporal punishment; or</w:t>
      </w:r>
    </w:p>
    <w:p w:rsidR="00AA122F" w:rsidRPr="00176C8E" w:rsidRDefault="00AA122F" w:rsidP="00B76E0C">
      <w:pPr>
        <w:autoSpaceDE w:val="0"/>
        <w:autoSpaceDN w:val="0"/>
        <w:adjustRightInd w:val="0"/>
        <w:spacing w:after="0" w:line="360" w:lineRule="auto"/>
        <w:jc w:val="both"/>
        <w:rPr>
          <w:rFonts w:ascii="Cambria" w:hAnsi="Cambria" w:cs="Times-Roman"/>
          <w:sz w:val="24"/>
          <w:szCs w:val="24"/>
        </w:rPr>
      </w:pPr>
      <w:r w:rsidRPr="00176C8E">
        <w:rPr>
          <w:rFonts w:ascii="Cambria" w:hAnsi="Cambria" w:cs="Times-Roman"/>
          <w:sz w:val="24"/>
          <w:szCs w:val="24"/>
        </w:rPr>
        <w:lastRenderedPageBreak/>
        <w:t>(</w:t>
      </w:r>
      <w:r w:rsidRPr="00176C8E">
        <w:rPr>
          <w:rFonts w:ascii="Cambria" w:hAnsi="Cambria" w:cs="Times-Italic"/>
          <w:i/>
          <w:iCs/>
          <w:sz w:val="24"/>
          <w:szCs w:val="24"/>
        </w:rPr>
        <w:t>f</w:t>
      </w:r>
      <w:r w:rsidRPr="00176C8E">
        <w:rPr>
          <w:rFonts w:ascii="Cambria" w:hAnsi="Cambria" w:cs="Times-Roman"/>
          <w:sz w:val="24"/>
          <w:szCs w:val="24"/>
        </w:rPr>
        <w:t xml:space="preserve">) </w:t>
      </w:r>
      <w:proofErr w:type="gramStart"/>
      <w:r w:rsidRPr="00176C8E">
        <w:rPr>
          <w:rFonts w:ascii="Cambria" w:hAnsi="Cambria" w:cs="Times-Roman"/>
          <w:sz w:val="24"/>
          <w:szCs w:val="24"/>
        </w:rPr>
        <w:t>treated</w:t>
      </w:r>
      <w:proofErr w:type="gramEnd"/>
      <w:r w:rsidRPr="00176C8E">
        <w:rPr>
          <w:rFonts w:ascii="Cambria" w:hAnsi="Cambria" w:cs="Times-Roman"/>
          <w:sz w:val="24"/>
          <w:szCs w:val="24"/>
        </w:rPr>
        <w:t xml:space="preserve"> or punished in a cruel, inhuman or degrading manner.</w:t>
      </w:r>
    </w:p>
    <w:p w:rsidR="002402FC" w:rsidRPr="00176C8E" w:rsidRDefault="002402FC" w:rsidP="00B76E0C">
      <w:pPr>
        <w:spacing w:line="360" w:lineRule="auto"/>
        <w:jc w:val="both"/>
        <w:rPr>
          <w:rFonts w:ascii="Cambria" w:hAnsi="Cambria"/>
          <w:sz w:val="24"/>
          <w:szCs w:val="24"/>
        </w:rPr>
      </w:pPr>
    </w:p>
    <w:p w:rsidR="00CE3E41" w:rsidRPr="00176C8E" w:rsidRDefault="00AA122F" w:rsidP="00B76E0C">
      <w:pPr>
        <w:spacing w:line="360" w:lineRule="auto"/>
        <w:jc w:val="both"/>
        <w:rPr>
          <w:rFonts w:ascii="Cambria" w:hAnsi="Cambria"/>
          <w:sz w:val="24"/>
          <w:szCs w:val="24"/>
          <w:lang w:val="en-GB"/>
        </w:rPr>
      </w:pPr>
      <w:r w:rsidRPr="00176C8E">
        <w:rPr>
          <w:rFonts w:ascii="Cambria" w:hAnsi="Cambria"/>
          <w:sz w:val="24"/>
          <w:szCs w:val="24"/>
        </w:rPr>
        <w:t xml:space="preserve">Every person includes both women and </w:t>
      </w:r>
      <w:r w:rsidR="00274752" w:rsidRPr="00176C8E">
        <w:rPr>
          <w:rFonts w:ascii="Cambria" w:hAnsi="Cambria"/>
          <w:sz w:val="24"/>
          <w:szCs w:val="24"/>
        </w:rPr>
        <w:t>men;</w:t>
      </w:r>
      <w:r w:rsidRPr="00176C8E">
        <w:rPr>
          <w:rFonts w:ascii="Cambria" w:hAnsi="Cambria"/>
          <w:sz w:val="24"/>
          <w:szCs w:val="24"/>
        </w:rPr>
        <w:t xml:space="preserve"> as a </w:t>
      </w:r>
      <w:r w:rsidR="00274752" w:rsidRPr="00176C8E">
        <w:rPr>
          <w:rFonts w:ascii="Cambria" w:hAnsi="Cambria"/>
          <w:sz w:val="24"/>
          <w:szCs w:val="24"/>
        </w:rPr>
        <w:t>result,</w:t>
      </w:r>
      <w:r w:rsidRPr="00176C8E">
        <w:rPr>
          <w:rFonts w:ascii="Cambria" w:hAnsi="Cambria"/>
          <w:sz w:val="24"/>
          <w:szCs w:val="24"/>
        </w:rPr>
        <w:t xml:space="preserve"> any other law that goes against Article 29 of the Constitution is unconstitutional to the extent of </w:t>
      </w:r>
      <w:r w:rsidR="002402FC" w:rsidRPr="00176C8E">
        <w:rPr>
          <w:rFonts w:ascii="Cambria" w:hAnsi="Cambria"/>
          <w:sz w:val="24"/>
          <w:szCs w:val="24"/>
        </w:rPr>
        <w:t>its</w:t>
      </w:r>
      <w:r w:rsidRPr="00176C8E">
        <w:rPr>
          <w:rFonts w:ascii="Cambria" w:hAnsi="Cambria"/>
          <w:sz w:val="24"/>
          <w:szCs w:val="24"/>
        </w:rPr>
        <w:t xml:space="preserve"> inconsistency</w:t>
      </w:r>
      <w:r w:rsidR="002402FC" w:rsidRPr="00176C8E">
        <w:rPr>
          <w:rFonts w:ascii="Cambria" w:hAnsi="Cambria"/>
          <w:sz w:val="24"/>
          <w:szCs w:val="24"/>
        </w:rPr>
        <w:t>.</w:t>
      </w:r>
      <w:r w:rsidR="002402FC" w:rsidRPr="00176C8E">
        <w:rPr>
          <w:rStyle w:val="FootnoteReference"/>
          <w:rFonts w:ascii="Cambria" w:hAnsi="Cambria"/>
          <w:sz w:val="24"/>
          <w:szCs w:val="24"/>
        </w:rPr>
        <w:footnoteReference w:id="4"/>
      </w:r>
      <w:r w:rsidR="001E1292" w:rsidRPr="00176C8E">
        <w:rPr>
          <w:rFonts w:ascii="Cambria" w:hAnsi="Cambria"/>
          <w:sz w:val="24"/>
          <w:szCs w:val="24"/>
        </w:rPr>
        <w:t xml:space="preserve"> The section below goes on to delve on laws that restrict or interfere with liberty of persons. </w:t>
      </w:r>
    </w:p>
    <w:p w:rsidR="001611AB" w:rsidRPr="00176C8E" w:rsidRDefault="00315309" w:rsidP="00B76E0C">
      <w:pPr>
        <w:pStyle w:val="ListParagraph"/>
        <w:numPr>
          <w:ilvl w:val="0"/>
          <w:numId w:val="7"/>
        </w:numPr>
        <w:spacing w:line="360" w:lineRule="auto"/>
        <w:jc w:val="both"/>
        <w:rPr>
          <w:rFonts w:ascii="Cambria" w:hAnsi="Cambria" w:cstheme="majorHAnsi"/>
          <w:b/>
          <w:sz w:val="24"/>
          <w:szCs w:val="24"/>
        </w:rPr>
      </w:pPr>
      <w:r w:rsidRPr="00176C8E">
        <w:rPr>
          <w:rFonts w:ascii="Cambria" w:hAnsi="Cambria" w:cstheme="majorHAnsi"/>
          <w:b/>
          <w:sz w:val="24"/>
          <w:szCs w:val="24"/>
        </w:rPr>
        <w:t>The Criminal Procedure Code</w:t>
      </w:r>
    </w:p>
    <w:p w:rsidR="001611AB" w:rsidRPr="00176C8E" w:rsidRDefault="004D01A6" w:rsidP="00B76E0C">
      <w:pPr>
        <w:spacing w:line="360" w:lineRule="auto"/>
        <w:jc w:val="both"/>
        <w:rPr>
          <w:rFonts w:ascii="Cambria" w:hAnsi="Cambria" w:cstheme="majorHAnsi"/>
          <w:sz w:val="24"/>
          <w:szCs w:val="24"/>
        </w:rPr>
      </w:pPr>
      <w:r w:rsidRPr="00176C8E">
        <w:rPr>
          <w:rFonts w:ascii="Cambria" w:hAnsi="Cambria" w:cstheme="majorHAnsi"/>
          <w:sz w:val="24"/>
          <w:szCs w:val="24"/>
        </w:rPr>
        <w:t>The Criminal Procedure Code</w:t>
      </w:r>
      <w:r w:rsidR="00D6451C" w:rsidRPr="00176C8E">
        <w:rPr>
          <w:rFonts w:ascii="Cambria" w:hAnsi="Cambria" w:cstheme="majorHAnsi"/>
          <w:sz w:val="24"/>
          <w:szCs w:val="24"/>
        </w:rPr>
        <w:t xml:space="preserve"> </w:t>
      </w:r>
      <w:r w:rsidR="00334243" w:rsidRPr="00176C8E">
        <w:rPr>
          <w:rFonts w:ascii="Cambria" w:hAnsi="Cambria" w:cstheme="majorHAnsi"/>
          <w:sz w:val="24"/>
          <w:szCs w:val="24"/>
        </w:rPr>
        <w:t>(</w:t>
      </w:r>
      <w:r w:rsidR="006478E1" w:rsidRPr="00176C8E">
        <w:rPr>
          <w:rFonts w:ascii="Cambria" w:hAnsi="Cambria" w:cstheme="majorHAnsi"/>
          <w:sz w:val="24"/>
          <w:szCs w:val="24"/>
        </w:rPr>
        <w:t>CPC)</w:t>
      </w:r>
      <w:r w:rsidRPr="00176C8E">
        <w:rPr>
          <w:rFonts w:ascii="Cambria" w:hAnsi="Cambria" w:cstheme="majorHAnsi"/>
          <w:sz w:val="24"/>
          <w:szCs w:val="24"/>
        </w:rPr>
        <w:t xml:space="preserve"> is </w:t>
      </w:r>
      <w:r w:rsidR="00DD40E6" w:rsidRPr="00176C8E">
        <w:rPr>
          <w:rFonts w:ascii="Cambria" w:hAnsi="Cambria"/>
          <w:bCs/>
          <w:color w:val="000000"/>
          <w:sz w:val="24"/>
          <w:szCs w:val="24"/>
        </w:rPr>
        <w:t>an Act of Parliament to make provision for the procedure t</w:t>
      </w:r>
      <w:r w:rsidR="00F62807" w:rsidRPr="00176C8E">
        <w:rPr>
          <w:rFonts w:ascii="Cambria" w:hAnsi="Cambria"/>
          <w:bCs/>
          <w:color w:val="000000"/>
          <w:sz w:val="24"/>
          <w:szCs w:val="24"/>
        </w:rPr>
        <w:t>o be followed in criminal cases.</w:t>
      </w:r>
      <w:r w:rsidR="00F62807" w:rsidRPr="00176C8E">
        <w:rPr>
          <w:rStyle w:val="FootnoteReference"/>
          <w:rFonts w:ascii="Cambria" w:hAnsi="Cambria" w:cstheme="majorHAnsi"/>
          <w:sz w:val="24"/>
          <w:szCs w:val="24"/>
        </w:rPr>
        <w:t xml:space="preserve"> </w:t>
      </w:r>
      <w:r w:rsidR="00F62807" w:rsidRPr="00176C8E">
        <w:rPr>
          <w:rStyle w:val="FootnoteReference"/>
          <w:rFonts w:ascii="Cambria" w:hAnsi="Cambria" w:cstheme="majorHAnsi"/>
          <w:sz w:val="24"/>
          <w:szCs w:val="24"/>
        </w:rPr>
        <w:footnoteReference w:id="5"/>
      </w:r>
      <w:r w:rsidR="00F62807" w:rsidRPr="00176C8E">
        <w:rPr>
          <w:rFonts w:ascii="Cambria" w:hAnsi="Cambria" w:cstheme="majorHAnsi"/>
          <w:sz w:val="24"/>
          <w:szCs w:val="24"/>
        </w:rPr>
        <w:t xml:space="preserve"> </w:t>
      </w:r>
      <w:r w:rsidR="0010583E" w:rsidRPr="00176C8E">
        <w:rPr>
          <w:rFonts w:ascii="Cambria" w:hAnsi="Cambria"/>
          <w:bCs/>
          <w:color w:val="000000"/>
          <w:sz w:val="24"/>
          <w:szCs w:val="24"/>
        </w:rPr>
        <w:t xml:space="preserve"> </w:t>
      </w:r>
      <w:r w:rsidR="001611AB" w:rsidRPr="00176C8E">
        <w:rPr>
          <w:rFonts w:ascii="Cambria" w:hAnsi="Cambria" w:cstheme="majorHAnsi"/>
          <w:sz w:val="24"/>
          <w:szCs w:val="24"/>
        </w:rPr>
        <w:t xml:space="preserve">Sections 162 to 167 </w:t>
      </w:r>
      <w:r w:rsidR="00334243" w:rsidRPr="00176C8E">
        <w:rPr>
          <w:rFonts w:ascii="Cambria" w:hAnsi="Cambria" w:cstheme="majorHAnsi"/>
          <w:sz w:val="24"/>
          <w:szCs w:val="24"/>
        </w:rPr>
        <w:t xml:space="preserve">of the </w:t>
      </w:r>
      <w:proofErr w:type="gramStart"/>
      <w:r w:rsidR="00334243" w:rsidRPr="00176C8E">
        <w:rPr>
          <w:rFonts w:ascii="Cambria" w:hAnsi="Cambria" w:cstheme="majorHAnsi"/>
          <w:sz w:val="24"/>
          <w:szCs w:val="24"/>
        </w:rPr>
        <w:t xml:space="preserve">CPC </w:t>
      </w:r>
      <w:r w:rsidR="001611AB" w:rsidRPr="00176C8E">
        <w:rPr>
          <w:rFonts w:ascii="Cambria" w:hAnsi="Cambria" w:cstheme="majorHAnsi"/>
          <w:sz w:val="24"/>
          <w:szCs w:val="24"/>
        </w:rPr>
        <w:t xml:space="preserve"> deal</w:t>
      </w:r>
      <w:proofErr w:type="gramEnd"/>
      <w:r w:rsidR="001611AB" w:rsidRPr="00176C8E">
        <w:rPr>
          <w:rFonts w:ascii="Cambria" w:hAnsi="Cambria" w:cstheme="majorHAnsi"/>
          <w:sz w:val="24"/>
          <w:szCs w:val="24"/>
        </w:rPr>
        <w:t xml:space="preserve"> with the procedure in case on ‘lunacy’ (as referred to in the legislation) or other incapacity of accused persons. Sections 162 to 167 of the CPC reveal the three different procedures that are applied when the question of incapacity arises at trial, as discussed below. </w:t>
      </w:r>
    </w:p>
    <w:p w:rsidR="001611AB" w:rsidRPr="00176C8E" w:rsidRDefault="001611AB" w:rsidP="00B76E0C">
      <w:pPr>
        <w:spacing w:line="360" w:lineRule="auto"/>
        <w:jc w:val="both"/>
        <w:rPr>
          <w:rFonts w:ascii="Cambria" w:hAnsi="Cambria" w:cstheme="majorHAnsi"/>
          <w:sz w:val="24"/>
          <w:szCs w:val="24"/>
        </w:rPr>
      </w:pPr>
      <w:r w:rsidRPr="00176C8E">
        <w:rPr>
          <w:rFonts w:ascii="Cambria" w:hAnsi="Cambria" w:cstheme="majorHAnsi"/>
          <w:sz w:val="24"/>
          <w:szCs w:val="24"/>
        </w:rPr>
        <w:t xml:space="preserve">The first procedure is found in section 162-164 of the CPC and it applies where the accused person, though legally ‘sane’ when committing the offence, is ‘insane’ at the time of his trial and incapable of making his </w:t>
      </w:r>
      <w:proofErr w:type="spellStart"/>
      <w:r w:rsidRPr="00176C8E">
        <w:rPr>
          <w:rFonts w:ascii="Cambria" w:hAnsi="Cambria" w:cstheme="majorHAnsi"/>
          <w:sz w:val="24"/>
          <w:szCs w:val="24"/>
        </w:rPr>
        <w:t>defence</w:t>
      </w:r>
      <w:proofErr w:type="spellEnd"/>
      <w:r w:rsidRPr="00176C8E">
        <w:rPr>
          <w:rFonts w:ascii="Cambria" w:hAnsi="Cambria" w:cstheme="majorHAnsi"/>
          <w:sz w:val="24"/>
          <w:szCs w:val="24"/>
        </w:rPr>
        <w:t xml:space="preserve">. If the court is of the opinion that the accused is of ‘unsound mind’ and consequently incapable of making his </w:t>
      </w:r>
      <w:proofErr w:type="spellStart"/>
      <w:r w:rsidRPr="00176C8E">
        <w:rPr>
          <w:rFonts w:ascii="Cambria" w:hAnsi="Cambria" w:cstheme="majorHAnsi"/>
          <w:sz w:val="24"/>
          <w:szCs w:val="24"/>
        </w:rPr>
        <w:t>defence</w:t>
      </w:r>
      <w:proofErr w:type="spellEnd"/>
      <w:r w:rsidRPr="00176C8E">
        <w:rPr>
          <w:rFonts w:ascii="Cambria" w:hAnsi="Cambria" w:cstheme="majorHAnsi"/>
          <w:sz w:val="24"/>
          <w:szCs w:val="24"/>
        </w:rPr>
        <w:t>, it shall postpone further proceedings in the case’.</w:t>
      </w:r>
      <w:r w:rsidRPr="00176C8E">
        <w:rPr>
          <w:rStyle w:val="FootnoteReference"/>
          <w:rFonts w:ascii="Cambria" w:hAnsi="Cambria" w:cstheme="majorHAnsi"/>
          <w:sz w:val="24"/>
          <w:szCs w:val="24"/>
        </w:rPr>
        <w:footnoteReference w:id="6"/>
      </w:r>
      <w:r w:rsidRPr="00176C8E">
        <w:rPr>
          <w:rFonts w:ascii="Cambria" w:hAnsi="Cambria" w:cstheme="majorHAnsi"/>
          <w:sz w:val="24"/>
          <w:szCs w:val="24"/>
        </w:rPr>
        <w:t xml:space="preserve"> The court will order for the detention of the accused person in safe custody in such a place as it may think fit (if accused is not let out on bail) and afterwards transmit the certified copy of the court proceedings to the Cabinet Secretary responsible for Kenya Prisons Service, who shall, in turn transmit it for the president’s consideration.</w:t>
      </w:r>
      <w:r w:rsidRPr="00176C8E">
        <w:rPr>
          <w:rStyle w:val="FootnoteReference"/>
          <w:rFonts w:ascii="Cambria" w:hAnsi="Cambria" w:cstheme="majorHAnsi"/>
          <w:sz w:val="24"/>
          <w:szCs w:val="24"/>
        </w:rPr>
        <w:footnoteReference w:id="7"/>
      </w:r>
    </w:p>
    <w:p w:rsidR="001611AB" w:rsidRPr="00176C8E" w:rsidRDefault="001611AB" w:rsidP="00B76E0C">
      <w:pPr>
        <w:spacing w:line="360" w:lineRule="auto"/>
        <w:jc w:val="both"/>
        <w:rPr>
          <w:rFonts w:ascii="Cambria" w:hAnsi="Cambria" w:cstheme="majorHAnsi"/>
          <w:sz w:val="24"/>
          <w:szCs w:val="24"/>
        </w:rPr>
      </w:pPr>
      <w:r w:rsidRPr="00176C8E">
        <w:rPr>
          <w:rFonts w:ascii="Cambria" w:hAnsi="Cambria" w:cstheme="majorHAnsi"/>
          <w:sz w:val="24"/>
          <w:szCs w:val="24"/>
        </w:rPr>
        <w:t xml:space="preserve">The second procedure is found in section 166 of the CPC. It applies when the accused was legally ‘insane’ at the time of the offence. A special finding is reached to the effect that the accused is guilty but was ‘insane’ when he committed the crime. The trial court is then </w:t>
      </w:r>
      <w:r w:rsidRPr="00176C8E">
        <w:rPr>
          <w:rFonts w:ascii="Cambria" w:hAnsi="Cambria" w:cstheme="majorHAnsi"/>
          <w:sz w:val="24"/>
          <w:szCs w:val="24"/>
        </w:rPr>
        <w:lastRenderedPageBreak/>
        <w:t>mandated to report the case for the direction of the president, and the accused is kept under custody in a place that the court directs.</w:t>
      </w:r>
      <w:r w:rsidRPr="00176C8E">
        <w:rPr>
          <w:rStyle w:val="FootnoteReference"/>
          <w:rFonts w:ascii="Cambria" w:hAnsi="Cambria" w:cstheme="majorHAnsi"/>
          <w:sz w:val="24"/>
          <w:szCs w:val="24"/>
        </w:rPr>
        <w:footnoteReference w:id="8"/>
      </w:r>
    </w:p>
    <w:p w:rsidR="001611AB" w:rsidRPr="00176C8E" w:rsidRDefault="001611AB" w:rsidP="00B76E0C">
      <w:pPr>
        <w:spacing w:line="360" w:lineRule="auto"/>
        <w:jc w:val="both"/>
        <w:rPr>
          <w:rFonts w:ascii="Cambria" w:hAnsi="Cambria" w:cstheme="majorHAnsi"/>
          <w:sz w:val="24"/>
          <w:szCs w:val="24"/>
        </w:rPr>
      </w:pPr>
      <w:r w:rsidRPr="00176C8E">
        <w:rPr>
          <w:rFonts w:ascii="Cambria" w:hAnsi="Cambria" w:cstheme="majorHAnsi"/>
          <w:sz w:val="24"/>
          <w:szCs w:val="24"/>
        </w:rPr>
        <w:t>The last procedure is laid down in section 167 of the CPC. It applies if the accused, ‘though not insane, cannot be made to understand the proceedings’. The court proceeds in hearing the evidence and if afterwards, if it is of the opinion that the evidence adduced cannot justify a conviction, it shall acquit and discharge the accused, but if the court is of the opinion that the evidence heard would justify a conviction, it shall order the accused to be detained during the president’s pleasure.</w:t>
      </w:r>
      <w:r w:rsidRPr="00176C8E">
        <w:rPr>
          <w:rStyle w:val="FootnoteReference"/>
          <w:rFonts w:ascii="Cambria" w:hAnsi="Cambria" w:cstheme="majorHAnsi"/>
          <w:sz w:val="24"/>
          <w:szCs w:val="24"/>
        </w:rPr>
        <w:footnoteReference w:id="9"/>
      </w:r>
    </w:p>
    <w:p w:rsidR="00315309" w:rsidRPr="00176C8E" w:rsidRDefault="001611AB" w:rsidP="00B76E0C">
      <w:pPr>
        <w:spacing w:line="360" w:lineRule="auto"/>
        <w:jc w:val="both"/>
        <w:rPr>
          <w:rFonts w:ascii="Cambria" w:hAnsi="Cambria" w:cstheme="majorHAnsi"/>
          <w:sz w:val="24"/>
          <w:szCs w:val="24"/>
        </w:rPr>
      </w:pPr>
      <w:r w:rsidRPr="00176C8E">
        <w:rPr>
          <w:rFonts w:ascii="Cambria" w:hAnsi="Cambria" w:cstheme="majorHAnsi"/>
          <w:sz w:val="24"/>
          <w:szCs w:val="24"/>
        </w:rPr>
        <w:t xml:space="preserve">The provisions in sections 162 to 167 of the Criminal Procedure Code allowing for detention at ‘the President’s pleasure’ of persons who due to disability are found either criminally not responsible or unable to participate in their </w:t>
      </w:r>
      <w:proofErr w:type="spellStart"/>
      <w:r w:rsidRPr="00176C8E">
        <w:rPr>
          <w:rFonts w:ascii="Cambria" w:hAnsi="Cambria" w:cstheme="majorHAnsi"/>
          <w:sz w:val="24"/>
          <w:szCs w:val="24"/>
        </w:rPr>
        <w:t>defence</w:t>
      </w:r>
      <w:proofErr w:type="spellEnd"/>
      <w:r w:rsidRPr="00176C8E">
        <w:rPr>
          <w:rFonts w:ascii="Cambria" w:hAnsi="Cambria" w:cstheme="majorHAnsi"/>
          <w:sz w:val="24"/>
          <w:szCs w:val="24"/>
        </w:rPr>
        <w:t xml:space="preserve"> violate fundamental tenets of criminal justice, constitutional rights and the rights of persons with disabilities. Being held not criminally responsible or unable to participate in one’s </w:t>
      </w:r>
      <w:proofErr w:type="spellStart"/>
      <w:r w:rsidRPr="00176C8E">
        <w:rPr>
          <w:rFonts w:ascii="Cambria" w:hAnsi="Cambria" w:cstheme="majorHAnsi"/>
          <w:sz w:val="24"/>
          <w:szCs w:val="24"/>
        </w:rPr>
        <w:t>defence</w:t>
      </w:r>
      <w:proofErr w:type="spellEnd"/>
      <w:r w:rsidRPr="00176C8E">
        <w:rPr>
          <w:rFonts w:ascii="Cambria" w:hAnsi="Cambria" w:cstheme="majorHAnsi"/>
          <w:sz w:val="24"/>
          <w:szCs w:val="24"/>
        </w:rPr>
        <w:t xml:space="preserve"> usually worsens the situation for the person; it brings about</w:t>
      </w:r>
      <w:r w:rsidRPr="00176C8E">
        <w:rPr>
          <w:rFonts w:ascii="Cambria" w:hAnsi="Cambria" w:cstheme="majorHAnsi"/>
          <w:i/>
          <w:iCs/>
          <w:sz w:val="24"/>
          <w:szCs w:val="24"/>
        </w:rPr>
        <w:t> </w:t>
      </w:r>
      <w:r w:rsidRPr="00176C8E">
        <w:rPr>
          <w:rFonts w:ascii="Cambria" w:hAnsi="Cambria" w:cstheme="majorHAnsi"/>
          <w:sz w:val="24"/>
          <w:szCs w:val="24"/>
        </w:rPr>
        <w:t xml:space="preserve">detention at ‘the President’s pleasure’ with no predetermined end, in an environment where abuse often flourishes and rehabilitation is rarely possible. Often the detention/deprivation of liberty is longer (and sometimes with no set end) than what a person would have received as a sentence had the person been tried and convicted. </w:t>
      </w:r>
    </w:p>
    <w:p w:rsidR="002C2CEE" w:rsidRPr="00176C8E" w:rsidRDefault="002C2CEE" w:rsidP="00B76E0C">
      <w:pPr>
        <w:spacing w:line="360" w:lineRule="auto"/>
        <w:jc w:val="both"/>
        <w:rPr>
          <w:rFonts w:ascii="Cambria" w:hAnsi="Cambria" w:cstheme="majorHAnsi"/>
          <w:sz w:val="24"/>
          <w:szCs w:val="24"/>
        </w:rPr>
      </w:pPr>
    </w:p>
    <w:p w:rsidR="00315309" w:rsidRPr="00176C8E" w:rsidRDefault="00315309" w:rsidP="00B76E0C">
      <w:pPr>
        <w:pStyle w:val="ListParagraph"/>
        <w:numPr>
          <w:ilvl w:val="0"/>
          <w:numId w:val="7"/>
        </w:numPr>
        <w:spacing w:line="360" w:lineRule="auto"/>
        <w:jc w:val="both"/>
        <w:rPr>
          <w:rFonts w:ascii="Cambria" w:hAnsi="Cambria" w:cstheme="majorHAnsi"/>
          <w:sz w:val="24"/>
          <w:szCs w:val="24"/>
        </w:rPr>
      </w:pPr>
      <w:r w:rsidRPr="00176C8E">
        <w:rPr>
          <w:rFonts w:ascii="Cambria" w:hAnsi="Cambria" w:cstheme="majorHAnsi"/>
          <w:sz w:val="24"/>
          <w:szCs w:val="24"/>
        </w:rPr>
        <w:t>Persons Deprived of Liberty Act</w:t>
      </w:r>
    </w:p>
    <w:p w:rsidR="006478E1" w:rsidRPr="00176C8E" w:rsidRDefault="00ED0842" w:rsidP="00B76E0C">
      <w:pPr>
        <w:autoSpaceDE w:val="0"/>
        <w:autoSpaceDN w:val="0"/>
        <w:adjustRightInd w:val="0"/>
        <w:spacing w:after="0" w:line="360" w:lineRule="auto"/>
        <w:jc w:val="both"/>
        <w:rPr>
          <w:rFonts w:ascii="Cambria" w:hAnsi="Cambria" w:cs="Arial"/>
          <w:b/>
          <w:sz w:val="24"/>
          <w:szCs w:val="24"/>
        </w:rPr>
      </w:pPr>
      <w:r w:rsidRPr="00176C8E">
        <w:rPr>
          <w:rFonts w:ascii="Cambria" w:hAnsi="Cambria" w:cs="Arial"/>
          <w:sz w:val="24"/>
          <w:szCs w:val="24"/>
        </w:rPr>
        <w:t>An Act of Parliament to give effect to Articles 29 (f) and 51 of the Constitution and for connected purposes.</w:t>
      </w:r>
      <w:r w:rsidRPr="00176C8E">
        <w:rPr>
          <w:rStyle w:val="FootnoteReference"/>
          <w:rFonts w:ascii="Cambria" w:hAnsi="Cambria" w:cs="Arial"/>
          <w:sz w:val="24"/>
          <w:szCs w:val="24"/>
        </w:rPr>
        <w:footnoteReference w:id="10"/>
      </w:r>
      <w:r w:rsidR="00DC0B82" w:rsidRPr="00176C8E">
        <w:rPr>
          <w:rFonts w:ascii="Cambria" w:hAnsi="Cambria" w:cs="Arial"/>
          <w:sz w:val="24"/>
          <w:szCs w:val="24"/>
        </w:rPr>
        <w:t xml:space="preserve"> </w:t>
      </w:r>
      <w:r w:rsidR="00661B4C" w:rsidRPr="00176C8E">
        <w:rPr>
          <w:rFonts w:ascii="Cambria" w:hAnsi="Cambria" w:cstheme="majorHAnsi"/>
          <w:iCs/>
          <w:color w:val="000000"/>
          <w:sz w:val="24"/>
          <w:szCs w:val="24"/>
        </w:rPr>
        <w:t xml:space="preserve"> According to </w:t>
      </w:r>
      <w:r w:rsidR="006478E1" w:rsidRPr="00176C8E">
        <w:rPr>
          <w:rFonts w:ascii="Cambria" w:hAnsi="Cambria" w:cs="Arial"/>
          <w:sz w:val="24"/>
          <w:szCs w:val="24"/>
        </w:rPr>
        <w:t>Section 4 (e</w:t>
      </w:r>
      <w:r w:rsidR="00661B4C" w:rsidRPr="00176C8E">
        <w:rPr>
          <w:rFonts w:ascii="Cambria" w:hAnsi="Cambria" w:cs="Arial"/>
          <w:sz w:val="24"/>
          <w:szCs w:val="24"/>
        </w:rPr>
        <w:t>) and (f) of the Act</w:t>
      </w:r>
      <w:proofErr w:type="gramStart"/>
      <w:r w:rsidR="00661B4C" w:rsidRPr="00176C8E">
        <w:rPr>
          <w:rFonts w:ascii="Cambria" w:hAnsi="Cambria" w:cs="Arial"/>
          <w:sz w:val="24"/>
          <w:szCs w:val="24"/>
        </w:rPr>
        <w:t xml:space="preserve">, </w:t>
      </w:r>
      <w:r w:rsidR="009C26CC" w:rsidRPr="00176C8E">
        <w:rPr>
          <w:rFonts w:ascii="Cambria" w:hAnsi="Cambria" w:cs="Arial"/>
          <w:sz w:val="24"/>
          <w:szCs w:val="24"/>
        </w:rPr>
        <w:t xml:space="preserve"> </w:t>
      </w:r>
      <w:r w:rsidR="006478E1" w:rsidRPr="00176C8E">
        <w:rPr>
          <w:rFonts w:ascii="Cambria" w:hAnsi="Cambria" w:cs="Arial"/>
          <w:sz w:val="24"/>
          <w:szCs w:val="24"/>
        </w:rPr>
        <w:t>the</w:t>
      </w:r>
      <w:proofErr w:type="gramEnd"/>
      <w:r w:rsidR="006478E1" w:rsidRPr="00176C8E">
        <w:rPr>
          <w:rFonts w:ascii="Cambria" w:hAnsi="Cambria" w:cs="Arial"/>
          <w:sz w:val="24"/>
          <w:szCs w:val="24"/>
        </w:rPr>
        <w:t xml:space="preserve"> right to privacy</w:t>
      </w:r>
      <w:r w:rsidR="009C26CC" w:rsidRPr="00176C8E">
        <w:rPr>
          <w:rFonts w:ascii="Cambria" w:hAnsi="Cambria" w:cs="Arial"/>
          <w:sz w:val="24"/>
          <w:szCs w:val="24"/>
        </w:rPr>
        <w:t xml:space="preserve"> as</w:t>
      </w:r>
      <w:r w:rsidR="006478E1" w:rsidRPr="00176C8E">
        <w:rPr>
          <w:rFonts w:ascii="Cambria" w:hAnsi="Cambria" w:cs="Arial"/>
          <w:sz w:val="24"/>
          <w:szCs w:val="24"/>
        </w:rPr>
        <w:t xml:space="preserve"> set out in Article 31 of the Constitution</w:t>
      </w:r>
      <w:r w:rsidR="009C26CC" w:rsidRPr="00176C8E">
        <w:rPr>
          <w:rFonts w:ascii="Cambria" w:hAnsi="Cambria" w:cs="Arial"/>
          <w:sz w:val="24"/>
          <w:szCs w:val="24"/>
        </w:rPr>
        <w:t>,</w:t>
      </w:r>
      <w:r w:rsidR="006478E1" w:rsidRPr="00176C8E">
        <w:rPr>
          <w:rStyle w:val="FootnoteReference"/>
          <w:rFonts w:ascii="Cambria" w:hAnsi="Cambria" w:cs="Arial"/>
          <w:sz w:val="24"/>
          <w:szCs w:val="24"/>
        </w:rPr>
        <w:footnoteReference w:id="11"/>
      </w:r>
      <w:r w:rsidR="006478E1" w:rsidRPr="00176C8E">
        <w:rPr>
          <w:rFonts w:ascii="Cambria" w:hAnsi="Cambria" w:cs="Arial"/>
          <w:sz w:val="24"/>
          <w:szCs w:val="24"/>
        </w:rPr>
        <w:t xml:space="preserve"> </w:t>
      </w:r>
      <w:r w:rsidR="0054016D">
        <w:rPr>
          <w:rFonts w:ascii="Cambria" w:hAnsi="Cambria" w:cs="Arial"/>
          <w:sz w:val="24"/>
          <w:szCs w:val="24"/>
        </w:rPr>
        <w:t xml:space="preserve"> </w:t>
      </w:r>
      <w:r w:rsidR="00554E56">
        <w:rPr>
          <w:rFonts w:ascii="Cambria" w:hAnsi="Cambria" w:cs="Arial"/>
          <w:sz w:val="24"/>
          <w:szCs w:val="24"/>
        </w:rPr>
        <w:t xml:space="preserve"> </w:t>
      </w:r>
      <w:r w:rsidR="006478E1" w:rsidRPr="00DD6F2C">
        <w:rPr>
          <w:rFonts w:ascii="Cambria" w:hAnsi="Cambria" w:cs="Arial"/>
          <w:sz w:val="24"/>
          <w:szCs w:val="24"/>
        </w:rPr>
        <w:t xml:space="preserve">may be limited in respect of a person deprived of </w:t>
      </w:r>
      <w:r w:rsidR="006478E1" w:rsidRPr="00DD6F2C">
        <w:rPr>
          <w:rFonts w:ascii="Cambria" w:hAnsi="Cambria" w:cs="Arial"/>
          <w:sz w:val="24"/>
          <w:szCs w:val="24"/>
        </w:rPr>
        <w:lastRenderedPageBreak/>
        <w:t>liberty where there is need for psychiatric treatment of persons with mental, or sensory disabilities; or if the limitation of the right is for the purposes of the security and safety of children, elderly persons and persons with disability.</w:t>
      </w:r>
      <w:r w:rsidR="006D128C" w:rsidRPr="00176C8E">
        <w:rPr>
          <w:rFonts w:ascii="Cambria" w:hAnsi="Cambria" w:cs="Arial"/>
          <w:b/>
          <w:sz w:val="24"/>
          <w:szCs w:val="24"/>
        </w:rPr>
        <w:t xml:space="preserve"> </w:t>
      </w:r>
      <w:r w:rsidR="00A65E22" w:rsidRPr="00176C8E">
        <w:rPr>
          <w:rFonts w:ascii="Cambria" w:hAnsi="Cambria" w:cs="Arial"/>
          <w:b/>
          <w:sz w:val="24"/>
          <w:szCs w:val="24"/>
        </w:rPr>
        <w:t xml:space="preserve"> </w:t>
      </w:r>
    </w:p>
    <w:p w:rsidR="00960FFF" w:rsidRPr="00176C8E" w:rsidRDefault="00960FFF" w:rsidP="00B76E0C">
      <w:pPr>
        <w:autoSpaceDE w:val="0"/>
        <w:autoSpaceDN w:val="0"/>
        <w:adjustRightInd w:val="0"/>
        <w:spacing w:after="0" w:line="360" w:lineRule="auto"/>
        <w:jc w:val="both"/>
        <w:rPr>
          <w:rFonts w:ascii="Cambria" w:hAnsi="Cambria" w:cs="Arial"/>
          <w:b/>
          <w:sz w:val="24"/>
          <w:szCs w:val="24"/>
        </w:rPr>
      </w:pPr>
    </w:p>
    <w:p w:rsidR="00960FFF" w:rsidRPr="00176C8E" w:rsidRDefault="004A1B8E" w:rsidP="00B76E0C">
      <w:p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 xml:space="preserve"> According to </w:t>
      </w:r>
      <w:r w:rsidR="00274752">
        <w:rPr>
          <w:rFonts w:ascii="Cambria" w:hAnsi="Cambria" w:cs="Arial"/>
          <w:sz w:val="24"/>
          <w:szCs w:val="24"/>
        </w:rPr>
        <w:t>section,</w:t>
      </w:r>
      <w:r>
        <w:rPr>
          <w:rFonts w:ascii="Cambria" w:hAnsi="Cambria" w:cs="Arial"/>
          <w:sz w:val="24"/>
          <w:szCs w:val="24"/>
        </w:rPr>
        <w:t xml:space="preserve"> 20 of </w:t>
      </w:r>
      <w:r w:rsidR="00274752">
        <w:rPr>
          <w:rFonts w:ascii="Cambria" w:hAnsi="Cambria" w:cs="Arial"/>
          <w:sz w:val="24"/>
          <w:szCs w:val="24"/>
        </w:rPr>
        <w:t>the Act the</w:t>
      </w:r>
      <w:r w:rsidR="00960FFF" w:rsidRPr="00176C8E">
        <w:rPr>
          <w:rFonts w:ascii="Cambria" w:hAnsi="Cambria" w:cs="Arial"/>
          <w:sz w:val="24"/>
          <w:szCs w:val="24"/>
        </w:rPr>
        <w:t xml:space="preserve"> Cabinet Secretary</w:t>
      </w:r>
      <w:r w:rsidR="00960FFF" w:rsidRPr="00176C8E">
        <w:rPr>
          <w:rStyle w:val="FootnoteReference"/>
          <w:rFonts w:ascii="Cambria" w:hAnsi="Cambria" w:cs="Arial"/>
          <w:sz w:val="24"/>
          <w:szCs w:val="24"/>
        </w:rPr>
        <w:footnoteReference w:id="12"/>
      </w:r>
      <w:r w:rsidR="00960FFF" w:rsidRPr="00176C8E">
        <w:rPr>
          <w:rFonts w:ascii="Cambria" w:hAnsi="Cambria" w:cs="Arial"/>
          <w:sz w:val="24"/>
          <w:szCs w:val="24"/>
        </w:rPr>
        <w:t xml:space="preserve"> should take such reasonable and practical measures to ensure the establishment of recreational and cultural facilities in all institutions in which persons deprived of liberty are held for the benefit of their mental and physical health.</w:t>
      </w:r>
    </w:p>
    <w:p w:rsidR="00960FFF" w:rsidRPr="00176C8E" w:rsidRDefault="00960FFF" w:rsidP="00B76E0C">
      <w:pPr>
        <w:autoSpaceDE w:val="0"/>
        <w:autoSpaceDN w:val="0"/>
        <w:adjustRightInd w:val="0"/>
        <w:spacing w:after="0" w:line="360" w:lineRule="auto"/>
        <w:jc w:val="both"/>
        <w:rPr>
          <w:rFonts w:ascii="Cambria" w:hAnsi="Cambria" w:cs="Arial"/>
          <w:sz w:val="24"/>
          <w:szCs w:val="24"/>
        </w:rPr>
      </w:pPr>
    </w:p>
    <w:p w:rsidR="00960FFF" w:rsidRPr="00DD6F2C" w:rsidRDefault="00960FFF" w:rsidP="00B76E0C">
      <w:pPr>
        <w:autoSpaceDE w:val="0"/>
        <w:autoSpaceDN w:val="0"/>
        <w:adjustRightInd w:val="0"/>
        <w:spacing w:after="0" w:line="360" w:lineRule="auto"/>
        <w:jc w:val="both"/>
        <w:rPr>
          <w:rFonts w:ascii="Cambria" w:hAnsi="Cambria" w:cs="Arial"/>
          <w:sz w:val="24"/>
          <w:szCs w:val="24"/>
        </w:rPr>
      </w:pPr>
      <w:r w:rsidRPr="00DD6F2C">
        <w:rPr>
          <w:rFonts w:ascii="Cambria" w:hAnsi="Cambria" w:cs="Arial"/>
          <w:sz w:val="24"/>
          <w:szCs w:val="24"/>
        </w:rPr>
        <w:t>Section 23 (I)</w:t>
      </w:r>
      <w:r w:rsidR="004A1B8E">
        <w:rPr>
          <w:rFonts w:ascii="Cambria" w:hAnsi="Cambria" w:cs="Arial"/>
          <w:sz w:val="24"/>
          <w:szCs w:val="24"/>
        </w:rPr>
        <w:t xml:space="preserve"> goes on to state</w:t>
      </w:r>
      <w:r w:rsidRPr="00DD6F2C">
        <w:rPr>
          <w:rFonts w:ascii="Cambria" w:hAnsi="Cambria" w:cs="Arial"/>
          <w:sz w:val="24"/>
          <w:szCs w:val="24"/>
        </w:rPr>
        <w:t xml:space="preserve"> that  where persons with disabilities are deprived of liberty under any legal process, they shall be treated on an equal basis with others and shall be entitled to such guarantees as are in accordance with the Constitution and the law relating to the protection of the rights of persons with disabilities.</w:t>
      </w:r>
    </w:p>
    <w:p w:rsidR="00960FFF" w:rsidRPr="00DD6F2C" w:rsidRDefault="00960FFF" w:rsidP="00B76E0C">
      <w:pPr>
        <w:autoSpaceDE w:val="0"/>
        <w:autoSpaceDN w:val="0"/>
        <w:adjustRightInd w:val="0"/>
        <w:spacing w:after="0" w:line="360" w:lineRule="auto"/>
        <w:jc w:val="both"/>
        <w:rPr>
          <w:rFonts w:ascii="Cambria" w:hAnsi="Cambria" w:cs="Arial"/>
          <w:sz w:val="24"/>
          <w:szCs w:val="24"/>
        </w:rPr>
      </w:pPr>
      <w:r w:rsidRPr="00DD6F2C">
        <w:rPr>
          <w:rFonts w:ascii="Cambria" w:hAnsi="Cambria" w:cs="Arial"/>
          <w:sz w:val="24"/>
          <w:szCs w:val="24"/>
        </w:rPr>
        <w:t>(2) Persons with disabilities deprived of liberty shall be accommodated in facilities that adequately meet their personal needs, taking into account the condition and nature of their disability.</w:t>
      </w:r>
    </w:p>
    <w:p w:rsidR="00960FFF" w:rsidRPr="00DD6F2C" w:rsidRDefault="00960FFF" w:rsidP="00B76E0C">
      <w:pPr>
        <w:autoSpaceDE w:val="0"/>
        <w:autoSpaceDN w:val="0"/>
        <w:adjustRightInd w:val="0"/>
        <w:spacing w:after="0" w:line="360" w:lineRule="auto"/>
        <w:jc w:val="both"/>
        <w:rPr>
          <w:rFonts w:ascii="Cambria" w:hAnsi="Cambria" w:cs="Arial"/>
          <w:sz w:val="24"/>
          <w:szCs w:val="24"/>
        </w:rPr>
      </w:pPr>
      <w:r w:rsidRPr="00DD6F2C">
        <w:rPr>
          <w:rFonts w:ascii="Cambria" w:hAnsi="Cambria" w:cs="Arial"/>
          <w:sz w:val="24"/>
          <w:szCs w:val="24"/>
        </w:rPr>
        <w:t>(3) The Competent Authorities</w:t>
      </w:r>
      <w:r w:rsidRPr="00DD6F2C">
        <w:rPr>
          <w:rStyle w:val="FootnoteReference"/>
          <w:rFonts w:ascii="Cambria" w:hAnsi="Cambria" w:cs="Arial"/>
          <w:sz w:val="24"/>
          <w:szCs w:val="24"/>
        </w:rPr>
        <w:footnoteReference w:id="13"/>
      </w:r>
      <w:r w:rsidRPr="00DD6F2C">
        <w:rPr>
          <w:rFonts w:ascii="Cambria" w:hAnsi="Cambria" w:cs="Arial"/>
          <w:sz w:val="24"/>
          <w:szCs w:val="24"/>
        </w:rPr>
        <w:t xml:space="preserve"> shall take appropriate measures to facilitate humane treatment and respect for the privacy, legal capacity and inherent human dignity of persons with disabilities deprived of liberty.</w:t>
      </w:r>
    </w:p>
    <w:p w:rsidR="00960FFF" w:rsidRPr="00DD6F2C" w:rsidRDefault="00960FFF" w:rsidP="00B76E0C">
      <w:pPr>
        <w:autoSpaceDE w:val="0"/>
        <w:autoSpaceDN w:val="0"/>
        <w:adjustRightInd w:val="0"/>
        <w:spacing w:after="0" w:line="360" w:lineRule="auto"/>
        <w:jc w:val="both"/>
        <w:rPr>
          <w:rFonts w:ascii="Cambria" w:hAnsi="Cambria" w:cstheme="majorHAnsi"/>
          <w:iCs/>
          <w:color w:val="000000"/>
          <w:sz w:val="24"/>
          <w:szCs w:val="24"/>
        </w:rPr>
      </w:pPr>
    </w:p>
    <w:p w:rsidR="00025555" w:rsidRDefault="00A65E22" w:rsidP="00B76E0C">
      <w:pPr>
        <w:spacing w:line="360" w:lineRule="auto"/>
        <w:jc w:val="both"/>
        <w:rPr>
          <w:rFonts w:ascii="Cambria" w:hAnsi="Cambria"/>
          <w:sz w:val="24"/>
          <w:szCs w:val="24"/>
        </w:rPr>
      </w:pPr>
      <w:r w:rsidRPr="00DD6F2C">
        <w:rPr>
          <w:rFonts w:ascii="Cambria" w:hAnsi="Cambria"/>
          <w:sz w:val="24"/>
          <w:szCs w:val="24"/>
        </w:rPr>
        <w:t xml:space="preserve">In short the sections above are saying, yes we know you have been detained. What we will </w:t>
      </w:r>
      <w:r w:rsidR="00274752" w:rsidRPr="00DD6F2C">
        <w:rPr>
          <w:rFonts w:ascii="Cambria" w:hAnsi="Cambria"/>
          <w:sz w:val="24"/>
          <w:szCs w:val="24"/>
        </w:rPr>
        <w:t>do</w:t>
      </w:r>
      <w:r w:rsidRPr="00DD6F2C">
        <w:rPr>
          <w:rFonts w:ascii="Cambria" w:hAnsi="Cambria"/>
          <w:sz w:val="24"/>
          <w:szCs w:val="24"/>
        </w:rPr>
        <w:t xml:space="preserve"> is ensure that the living conditions and the manner in which you are treated </w:t>
      </w:r>
      <w:r w:rsidR="00274752" w:rsidRPr="00DD6F2C">
        <w:rPr>
          <w:rFonts w:ascii="Cambria" w:hAnsi="Cambria"/>
          <w:sz w:val="24"/>
          <w:szCs w:val="24"/>
        </w:rPr>
        <w:t>are</w:t>
      </w:r>
      <w:r w:rsidRPr="00DD6F2C">
        <w:rPr>
          <w:rFonts w:ascii="Cambria" w:hAnsi="Cambria"/>
          <w:sz w:val="24"/>
          <w:szCs w:val="24"/>
        </w:rPr>
        <w:t xml:space="preserve"> humane.</w:t>
      </w:r>
      <w:r w:rsidR="00025555" w:rsidRPr="00DD6F2C">
        <w:rPr>
          <w:rFonts w:ascii="Cambria" w:hAnsi="Cambria"/>
          <w:sz w:val="24"/>
          <w:szCs w:val="24"/>
        </w:rPr>
        <w:t xml:space="preserve"> </w:t>
      </w:r>
      <w:r w:rsidRPr="00176C8E">
        <w:rPr>
          <w:rFonts w:ascii="Cambria" w:hAnsi="Cambria"/>
          <w:sz w:val="24"/>
          <w:szCs w:val="24"/>
        </w:rPr>
        <w:t>We shall also ensure that you can exercise you right to legal capacity and consider your nature of disability. Further, if you are a threat to your family/community or you are in need of psychiatric treatment we shall</w:t>
      </w:r>
      <w:r w:rsidR="0013223A">
        <w:rPr>
          <w:rFonts w:ascii="Cambria" w:hAnsi="Cambria"/>
          <w:sz w:val="24"/>
          <w:szCs w:val="24"/>
        </w:rPr>
        <w:t xml:space="preserve"> infringe your right to privacy.</w:t>
      </w:r>
      <w:r w:rsidR="00A464A6">
        <w:rPr>
          <w:rFonts w:ascii="Cambria" w:hAnsi="Cambria"/>
          <w:sz w:val="24"/>
          <w:szCs w:val="24"/>
        </w:rPr>
        <w:t xml:space="preserve"> </w:t>
      </w:r>
      <w:r w:rsidR="00A464A6" w:rsidRPr="00176C8E">
        <w:rPr>
          <w:rFonts w:ascii="Cambria" w:hAnsi="Cambria"/>
          <w:sz w:val="24"/>
          <w:szCs w:val="24"/>
          <w:lang w:val="en-GB"/>
        </w:rPr>
        <w:t xml:space="preserve">Our laws permit deprivation of liberty on the basis of a perceived </w:t>
      </w:r>
      <w:r w:rsidR="00A464A6">
        <w:rPr>
          <w:rFonts w:ascii="Cambria" w:hAnsi="Cambria"/>
          <w:sz w:val="24"/>
          <w:szCs w:val="24"/>
          <w:lang w:val="en-GB"/>
        </w:rPr>
        <w:t xml:space="preserve">danger </w:t>
      </w:r>
      <w:r w:rsidR="00A464A6" w:rsidRPr="00176C8E">
        <w:rPr>
          <w:rFonts w:ascii="Cambria" w:hAnsi="Cambria"/>
          <w:sz w:val="24"/>
          <w:szCs w:val="24"/>
          <w:lang w:val="en-GB"/>
        </w:rPr>
        <w:t>or presence of a psychosocial</w:t>
      </w:r>
      <w:r w:rsidR="00A464A6">
        <w:rPr>
          <w:rFonts w:ascii="Cambria" w:hAnsi="Cambria"/>
          <w:sz w:val="24"/>
          <w:szCs w:val="24"/>
          <w:lang w:val="en-GB"/>
        </w:rPr>
        <w:t xml:space="preserve"> or intellectual</w:t>
      </w:r>
      <w:r w:rsidR="00A464A6" w:rsidRPr="00176C8E">
        <w:rPr>
          <w:rFonts w:ascii="Cambria" w:hAnsi="Cambria"/>
          <w:sz w:val="24"/>
          <w:szCs w:val="24"/>
          <w:lang w:val="en-GB"/>
        </w:rPr>
        <w:t xml:space="preserve"> disability.</w:t>
      </w:r>
    </w:p>
    <w:p w:rsidR="003B0CCC" w:rsidRDefault="003B0CCC" w:rsidP="00B76E0C">
      <w:pPr>
        <w:spacing w:line="360" w:lineRule="auto"/>
        <w:jc w:val="both"/>
        <w:rPr>
          <w:rFonts w:ascii="Cambria" w:hAnsi="Cambria"/>
          <w:sz w:val="24"/>
          <w:szCs w:val="24"/>
        </w:rPr>
      </w:pPr>
    </w:p>
    <w:p w:rsidR="003B0CCC" w:rsidRDefault="003B0CCC" w:rsidP="00B76E0C">
      <w:pPr>
        <w:spacing w:line="360" w:lineRule="auto"/>
        <w:jc w:val="both"/>
        <w:rPr>
          <w:rFonts w:ascii="Cambria" w:hAnsi="Cambria"/>
          <w:sz w:val="24"/>
          <w:szCs w:val="24"/>
        </w:rPr>
      </w:pPr>
    </w:p>
    <w:p w:rsidR="003B0CCC" w:rsidRDefault="003B0CCC" w:rsidP="00B76E0C">
      <w:pPr>
        <w:spacing w:line="360" w:lineRule="auto"/>
        <w:jc w:val="both"/>
        <w:rPr>
          <w:rFonts w:ascii="Cambria" w:hAnsi="Cambria"/>
          <w:sz w:val="24"/>
          <w:szCs w:val="24"/>
        </w:rPr>
      </w:pPr>
    </w:p>
    <w:p w:rsidR="003B0CCC" w:rsidRPr="00176C8E" w:rsidRDefault="003B0CCC" w:rsidP="00B76E0C">
      <w:pPr>
        <w:spacing w:line="360" w:lineRule="auto"/>
        <w:jc w:val="both"/>
        <w:rPr>
          <w:rFonts w:ascii="Cambria" w:hAnsi="Cambria" w:cstheme="majorHAnsi"/>
          <w:sz w:val="24"/>
          <w:szCs w:val="24"/>
        </w:rPr>
      </w:pPr>
    </w:p>
    <w:p w:rsidR="00A965A9" w:rsidRPr="00176C8E" w:rsidRDefault="00315309" w:rsidP="00B76E0C">
      <w:pPr>
        <w:pStyle w:val="ListParagraph"/>
        <w:numPr>
          <w:ilvl w:val="0"/>
          <w:numId w:val="7"/>
        </w:numPr>
        <w:spacing w:line="360" w:lineRule="auto"/>
        <w:jc w:val="both"/>
        <w:rPr>
          <w:rFonts w:ascii="Cambria" w:hAnsi="Cambria" w:cstheme="majorHAnsi"/>
          <w:sz w:val="24"/>
          <w:szCs w:val="24"/>
        </w:rPr>
      </w:pPr>
      <w:r w:rsidRPr="00176C8E">
        <w:rPr>
          <w:rFonts w:ascii="Cambria" w:hAnsi="Cambria" w:cstheme="majorHAnsi"/>
          <w:sz w:val="24"/>
          <w:szCs w:val="24"/>
        </w:rPr>
        <w:t>Power of Mercy Act</w:t>
      </w:r>
    </w:p>
    <w:p w:rsidR="0025004F" w:rsidRPr="00DD6F2C" w:rsidRDefault="008A2C4D" w:rsidP="00B76E0C">
      <w:pPr>
        <w:spacing w:line="360" w:lineRule="auto"/>
        <w:ind w:left="270"/>
        <w:jc w:val="both"/>
        <w:rPr>
          <w:rFonts w:ascii="Cambria" w:hAnsi="Cambria" w:cs="Arial"/>
          <w:sz w:val="24"/>
          <w:szCs w:val="24"/>
        </w:rPr>
      </w:pPr>
      <w:r w:rsidRPr="00176C8E">
        <w:rPr>
          <w:rFonts w:ascii="Cambria" w:hAnsi="Cambria" w:cs="Arial,Bold"/>
          <w:bCs/>
          <w:sz w:val="24"/>
          <w:szCs w:val="24"/>
        </w:rPr>
        <w:t>An Act of Parliament to make further provision with respect to the power of mercy pursuant to Article 133 of the Constitution; to provide for the appointment, tenure of office of the members and the powers and functions of the Advisory Committee on the Power of Mercy, and for connected purposes.</w:t>
      </w:r>
      <w:r w:rsidRPr="00176C8E">
        <w:rPr>
          <w:rStyle w:val="FootnoteReference"/>
          <w:rFonts w:ascii="Cambria" w:hAnsi="Cambria" w:cs="Arial,Bold"/>
          <w:bCs/>
          <w:sz w:val="24"/>
          <w:szCs w:val="24"/>
        </w:rPr>
        <w:footnoteReference w:id="14"/>
      </w:r>
      <w:r w:rsidR="009E2BE9" w:rsidRPr="00176C8E">
        <w:rPr>
          <w:rFonts w:ascii="Cambria" w:hAnsi="Cambria" w:cstheme="majorHAnsi"/>
          <w:iCs/>
          <w:color w:val="000000"/>
          <w:sz w:val="24"/>
          <w:szCs w:val="24"/>
        </w:rPr>
        <w:t xml:space="preserve"> </w:t>
      </w:r>
      <w:r w:rsidR="004D7AFC" w:rsidRPr="00176C8E">
        <w:rPr>
          <w:rFonts w:ascii="Cambria" w:hAnsi="Cambria" w:cstheme="majorHAnsi"/>
          <w:iCs/>
          <w:color w:val="000000"/>
          <w:sz w:val="24"/>
          <w:szCs w:val="24"/>
        </w:rPr>
        <w:t xml:space="preserve"> </w:t>
      </w:r>
      <w:r w:rsidR="004D7AFC" w:rsidRPr="00176C8E">
        <w:rPr>
          <w:rFonts w:ascii="Cambria" w:hAnsi="Cambria" w:cs="Arial"/>
          <w:sz w:val="24"/>
          <w:szCs w:val="24"/>
        </w:rPr>
        <w:t xml:space="preserve">The provisions of this </w:t>
      </w:r>
      <w:r w:rsidR="00274752" w:rsidRPr="00176C8E">
        <w:rPr>
          <w:rFonts w:ascii="Cambria" w:hAnsi="Cambria" w:cs="Arial"/>
          <w:sz w:val="24"/>
          <w:szCs w:val="24"/>
        </w:rPr>
        <w:t>Act govern</w:t>
      </w:r>
      <w:r w:rsidR="004D7AFC" w:rsidRPr="00176C8E">
        <w:rPr>
          <w:rFonts w:ascii="Cambria" w:hAnsi="Cambria" w:cs="Arial"/>
          <w:sz w:val="24"/>
          <w:szCs w:val="24"/>
        </w:rPr>
        <w:t xml:space="preserve"> all matters relating to a petition for the exercise of power of mercy by the President pursuant to Article 133 of the Constitution. </w:t>
      </w:r>
      <w:r w:rsidR="00977221" w:rsidRPr="00176C8E">
        <w:rPr>
          <w:rStyle w:val="FootnoteReference"/>
          <w:rFonts w:ascii="Cambria" w:hAnsi="Cambria" w:cs="Arial"/>
          <w:sz w:val="24"/>
          <w:szCs w:val="24"/>
        </w:rPr>
        <w:footnoteReference w:id="15"/>
      </w:r>
      <w:r w:rsidR="00DD6F2C">
        <w:rPr>
          <w:rFonts w:ascii="Cambria" w:hAnsi="Cambria" w:cs="Arial"/>
          <w:sz w:val="24"/>
          <w:szCs w:val="24"/>
        </w:rPr>
        <w:t xml:space="preserve"> </w:t>
      </w:r>
      <w:r w:rsidR="00977221" w:rsidRPr="00DD6F2C">
        <w:rPr>
          <w:rFonts w:ascii="Cambria" w:hAnsi="Cambria" w:cs="Arial,Bold"/>
          <w:bCs/>
          <w:sz w:val="24"/>
          <w:szCs w:val="24"/>
        </w:rPr>
        <w:t>The A</w:t>
      </w:r>
      <w:r w:rsidR="004D7AFC" w:rsidRPr="00DD6F2C">
        <w:rPr>
          <w:rFonts w:ascii="Cambria" w:hAnsi="Cambria" w:cs="Arial,Bold"/>
          <w:bCs/>
          <w:sz w:val="24"/>
          <w:szCs w:val="24"/>
        </w:rPr>
        <w:t xml:space="preserve">ct  goes on to define a “convicted criminal prisoner” </w:t>
      </w:r>
      <w:r w:rsidR="004D7AFC" w:rsidRPr="00DD6F2C">
        <w:rPr>
          <w:rFonts w:ascii="Cambria" w:hAnsi="Cambria" w:cs="Arial"/>
          <w:sz w:val="24"/>
          <w:szCs w:val="24"/>
        </w:rPr>
        <w:t>as any criminal prisoner under sentence of a court or a court martial, and includes a person detained in prison under sections 162 to 167 of the Criminal Procedure Code (Cap. 75)</w:t>
      </w:r>
      <w:r w:rsidR="00274752" w:rsidRPr="00DD6F2C">
        <w:rPr>
          <w:rFonts w:ascii="Cambria" w:hAnsi="Cambria" w:cs="Arial"/>
          <w:sz w:val="24"/>
          <w:szCs w:val="24"/>
        </w:rPr>
        <w:t xml:space="preserve">. </w:t>
      </w:r>
      <w:r w:rsidR="004D7AFC" w:rsidRPr="00DD6F2C">
        <w:rPr>
          <w:rFonts w:ascii="Cambria" w:hAnsi="Cambria" w:cs="Arial"/>
          <w:sz w:val="24"/>
          <w:szCs w:val="24"/>
        </w:rPr>
        <w:t xml:space="preserve">This therefore means that the power of mercy is applicable to persons who are </w:t>
      </w:r>
      <w:r w:rsidR="00274752" w:rsidRPr="00DD6F2C">
        <w:rPr>
          <w:rFonts w:ascii="Cambria" w:hAnsi="Cambria" w:cs="Arial"/>
          <w:sz w:val="24"/>
          <w:szCs w:val="24"/>
        </w:rPr>
        <w:t>found to</w:t>
      </w:r>
      <w:r w:rsidR="004D7AFC" w:rsidRPr="00DD6F2C">
        <w:rPr>
          <w:rFonts w:ascii="Cambria" w:hAnsi="Cambria" w:cs="Arial"/>
          <w:sz w:val="24"/>
          <w:szCs w:val="24"/>
        </w:rPr>
        <w:t xml:space="preserve"> have mental disabilities at the time of committing the offence or during trial. </w:t>
      </w:r>
    </w:p>
    <w:p w:rsidR="006B2C85" w:rsidRPr="00176C8E" w:rsidRDefault="0025004F" w:rsidP="00B76E0C">
      <w:pPr>
        <w:spacing w:line="360" w:lineRule="auto"/>
        <w:ind w:left="270"/>
        <w:jc w:val="both"/>
        <w:rPr>
          <w:rFonts w:ascii="Cambria" w:hAnsi="Cambria" w:cs="Arial"/>
          <w:sz w:val="24"/>
          <w:szCs w:val="24"/>
        </w:rPr>
      </w:pPr>
      <w:r w:rsidRPr="00DD6F2C">
        <w:rPr>
          <w:rFonts w:ascii="Cambria" w:hAnsi="Cambria" w:cs="Arial"/>
          <w:sz w:val="24"/>
          <w:szCs w:val="24"/>
        </w:rPr>
        <w:t xml:space="preserve">In </w:t>
      </w:r>
      <w:r w:rsidR="00274752" w:rsidRPr="00DD6F2C">
        <w:rPr>
          <w:rFonts w:ascii="Cambria" w:hAnsi="Cambria" w:cs="Arial"/>
          <w:sz w:val="24"/>
          <w:szCs w:val="24"/>
        </w:rPr>
        <w:t>short,</w:t>
      </w:r>
      <w:r w:rsidRPr="00DD6F2C">
        <w:rPr>
          <w:rFonts w:ascii="Cambria" w:hAnsi="Cambria" w:cs="Arial"/>
          <w:sz w:val="24"/>
          <w:szCs w:val="24"/>
        </w:rPr>
        <w:t xml:space="preserve"> the Act is saying</w:t>
      </w:r>
      <w:r w:rsidR="00274752" w:rsidRPr="00DD6F2C">
        <w:rPr>
          <w:rFonts w:ascii="Cambria" w:hAnsi="Cambria" w:cs="Arial"/>
          <w:sz w:val="24"/>
          <w:szCs w:val="24"/>
        </w:rPr>
        <w:t xml:space="preserve">, </w:t>
      </w:r>
      <w:r w:rsidR="00274752" w:rsidRPr="00DD6F2C">
        <w:rPr>
          <w:rFonts w:ascii="Cambria" w:hAnsi="Cambria" w:cstheme="majorHAnsi"/>
          <w:iCs/>
          <w:color w:val="000000"/>
          <w:sz w:val="24"/>
          <w:szCs w:val="24"/>
        </w:rPr>
        <w:t>yes</w:t>
      </w:r>
      <w:r w:rsidR="006B2C85" w:rsidRPr="00DD6F2C">
        <w:rPr>
          <w:rFonts w:ascii="Cambria" w:hAnsi="Cambria" w:cstheme="majorHAnsi"/>
          <w:iCs/>
          <w:color w:val="000000"/>
          <w:sz w:val="24"/>
          <w:szCs w:val="24"/>
        </w:rPr>
        <w:t xml:space="preserve"> we k</w:t>
      </w:r>
      <w:r w:rsidR="006B2C85" w:rsidRPr="00176C8E">
        <w:rPr>
          <w:rFonts w:ascii="Cambria" w:hAnsi="Cambria" w:cstheme="majorHAnsi"/>
          <w:iCs/>
          <w:color w:val="000000"/>
          <w:sz w:val="24"/>
          <w:szCs w:val="24"/>
        </w:rPr>
        <w:t>now you have be</w:t>
      </w:r>
      <w:r w:rsidR="00362656" w:rsidRPr="00176C8E">
        <w:rPr>
          <w:rFonts w:ascii="Cambria" w:hAnsi="Cambria" w:cstheme="majorHAnsi"/>
          <w:iCs/>
          <w:color w:val="000000"/>
          <w:sz w:val="24"/>
          <w:szCs w:val="24"/>
        </w:rPr>
        <w:t xml:space="preserve">en detained but you can make an </w:t>
      </w:r>
      <w:r w:rsidR="006B2C85" w:rsidRPr="00176C8E">
        <w:rPr>
          <w:rFonts w:ascii="Cambria" w:hAnsi="Cambria" w:cstheme="majorHAnsi"/>
          <w:iCs/>
          <w:color w:val="000000"/>
          <w:sz w:val="24"/>
          <w:szCs w:val="24"/>
        </w:rPr>
        <w:t xml:space="preserve"> </w:t>
      </w:r>
      <w:r w:rsidR="007B6D96" w:rsidRPr="00176C8E">
        <w:rPr>
          <w:rFonts w:ascii="Cambria" w:hAnsi="Cambria" w:cstheme="majorHAnsi"/>
          <w:iCs/>
          <w:color w:val="000000"/>
          <w:sz w:val="24"/>
          <w:szCs w:val="24"/>
        </w:rPr>
        <w:t xml:space="preserve">  </w:t>
      </w:r>
      <w:r w:rsidR="00362656" w:rsidRPr="00176C8E">
        <w:rPr>
          <w:rFonts w:ascii="Cambria" w:hAnsi="Cambria" w:cstheme="majorHAnsi"/>
          <w:iCs/>
          <w:color w:val="000000"/>
          <w:sz w:val="24"/>
          <w:szCs w:val="24"/>
        </w:rPr>
        <w:t xml:space="preserve">application to us, </w:t>
      </w:r>
      <w:r w:rsidR="007377F3" w:rsidRPr="00176C8E">
        <w:rPr>
          <w:rFonts w:ascii="Cambria" w:hAnsi="Cambria" w:cstheme="majorHAnsi"/>
          <w:iCs/>
          <w:color w:val="000000"/>
          <w:sz w:val="24"/>
          <w:szCs w:val="24"/>
        </w:rPr>
        <w:t xml:space="preserve">the </w:t>
      </w:r>
      <w:r w:rsidR="007377F3" w:rsidRPr="00176C8E">
        <w:rPr>
          <w:rFonts w:ascii="Cambria" w:hAnsi="Cambria" w:cs="Arial,Bold"/>
          <w:bCs/>
          <w:sz w:val="24"/>
          <w:szCs w:val="24"/>
        </w:rPr>
        <w:t>Advisory Committee on the Power of Mercy.</w:t>
      </w:r>
      <w:r w:rsidR="007377F3" w:rsidRPr="00176C8E">
        <w:rPr>
          <w:rFonts w:ascii="Cambria" w:hAnsi="Cambria" w:cstheme="majorHAnsi"/>
          <w:iCs/>
          <w:color w:val="000000"/>
          <w:sz w:val="24"/>
          <w:szCs w:val="24"/>
        </w:rPr>
        <w:t xml:space="preserve"> </w:t>
      </w:r>
      <w:r w:rsidR="009C79A3" w:rsidRPr="00176C8E">
        <w:rPr>
          <w:rFonts w:ascii="Cambria" w:hAnsi="Cambria" w:cstheme="majorHAnsi"/>
          <w:iCs/>
          <w:color w:val="000000"/>
          <w:sz w:val="24"/>
          <w:szCs w:val="24"/>
        </w:rPr>
        <w:t>The committee then</w:t>
      </w:r>
      <w:r w:rsidRPr="00176C8E">
        <w:rPr>
          <w:rFonts w:ascii="Cambria" w:hAnsi="Cambria" w:cstheme="majorHAnsi"/>
          <w:iCs/>
          <w:color w:val="000000"/>
          <w:sz w:val="24"/>
          <w:szCs w:val="24"/>
        </w:rPr>
        <w:t xml:space="preserve"> recommends to the President a list of people </w:t>
      </w:r>
      <w:r w:rsidR="00B76E0C" w:rsidRPr="00176C8E">
        <w:rPr>
          <w:rFonts w:ascii="Cambria" w:hAnsi="Cambria" w:cstheme="majorHAnsi"/>
          <w:iCs/>
          <w:color w:val="000000"/>
          <w:sz w:val="24"/>
          <w:szCs w:val="24"/>
        </w:rPr>
        <w:t xml:space="preserve"> </w:t>
      </w:r>
      <w:r w:rsidR="00191976" w:rsidRPr="00176C8E">
        <w:rPr>
          <w:rFonts w:ascii="Cambria" w:hAnsi="Cambria" w:cstheme="majorHAnsi"/>
          <w:iCs/>
          <w:color w:val="000000"/>
          <w:sz w:val="24"/>
          <w:szCs w:val="24"/>
        </w:rPr>
        <w:t xml:space="preserve"> who should be pardoned.</w:t>
      </w:r>
      <w:r w:rsidR="009C79A3" w:rsidRPr="00176C8E">
        <w:rPr>
          <w:rFonts w:ascii="Cambria" w:hAnsi="Cambria" w:cstheme="majorHAnsi"/>
          <w:iCs/>
          <w:color w:val="000000"/>
          <w:sz w:val="24"/>
          <w:szCs w:val="24"/>
        </w:rPr>
        <w:t xml:space="preserve"> </w:t>
      </w:r>
      <w:r w:rsidR="006B2C85" w:rsidRPr="00176C8E">
        <w:rPr>
          <w:rFonts w:ascii="Cambria" w:hAnsi="Cambria" w:cstheme="majorHAnsi"/>
          <w:iCs/>
          <w:color w:val="000000"/>
          <w:sz w:val="24"/>
          <w:szCs w:val="24"/>
        </w:rPr>
        <w:t>However, the Act makes it clear that being pardoned is not being acquitted.</w:t>
      </w:r>
      <w:r w:rsidR="00A427D4" w:rsidRPr="00176C8E">
        <w:rPr>
          <w:rFonts w:ascii="Cambria" w:hAnsi="Cambria" w:cstheme="majorHAnsi"/>
          <w:iCs/>
          <w:color w:val="000000"/>
          <w:sz w:val="24"/>
          <w:szCs w:val="24"/>
        </w:rPr>
        <w:t xml:space="preserve"> </w:t>
      </w:r>
      <w:r w:rsidR="00A427D4" w:rsidRPr="00176C8E">
        <w:rPr>
          <w:rStyle w:val="FootnoteReference"/>
          <w:rFonts w:ascii="Cambria" w:hAnsi="Cambria" w:cstheme="majorHAnsi"/>
          <w:iCs/>
          <w:color w:val="000000"/>
          <w:sz w:val="24"/>
          <w:szCs w:val="24"/>
        </w:rPr>
        <w:footnoteReference w:id="16"/>
      </w:r>
    </w:p>
    <w:p w:rsidR="002B7731" w:rsidRDefault="002B7731" w:rsidP="00B76E0C">
      <w:pPr>
        <w:spacing w:line="360" w:lineRule="auto"/>
        <w:jc w:val="both"/>
        <w:rPr>
          <w:rFonts w:ascii="Cambria" w:hAnsi="Cambria" w:cstheme="majorHAnsi"/>
          <w:sz w:val="24"/>
          <w:szCs w:val="24"/>
        </w:rPr>
      </w:pPr>
    </w:p>
    <w:p w:rsidR="003B0CCC" w:rsidRDefault="003B0CCC" w:rsidP="00B76E0C">
      <w:pPr>
        <w:spacing w:line="360" w:lineRule="auto"/>
        <w:jc w:val="both"/>
        <w:rPr>
          <w:rFonts w:ascii="Cambria" w:hAnsi="Cambria" w:cstheme="majorHAnsi"/>
          <w:sz w:val="24"/>
          <w:szCs w:val="24"/>
        </w:rPr>
      </w:pPr>
    </w:p>
    <w:p w:rsidR="003B0CCC" w:rsidRDefault="003B0CCC" w:rsidP="00B76E0C">
      <w:pPr>
        <w:spacing w:line="360" w:lineRule="auto"/>
        <w:jc w:val="both"/>
        <w:rPr>
          <w:rFonts w:ascii="Cambria" w:hAnsi="Cambria" w:cstheme="majorHAnsi"/>
          <w:sz w:val="24"/>
          <w:szCs w:val="24"/>
        </w:rPr>
      </w:pPr>
    </w:p>
    <w:p w:rsidR="003B0CCC" w:rsidRPr="00176C8E" w:rsidRDefault="003B0CCC" w:rsidP="00B76E0C">
      <w:pPr>
        <w:spacing w:line="360" w:lineRule="auto"/>
        <w:jc w:val="both"/>
        <w:rPr>
          <w:rFonts w:ascii="Cambria" w:hAnsi="Cambria" w:cstheme="majorHAnsi"/>
          <w:sz w:val="24"/>
          <w:szCs w:val="24"/>
        </w:rPr>
      </w:pPr>
    </w:p>
    <w:p w:rsidR="002B7731" w:rsidRPr="00176C8E" w:rsidRDefault="002B7731" w:rsidP="00B76E0C">
      <w:pPr>
        <w:pStyle w:val="ListParagraph"/>
        <w:numPr>
          <w:ilvl w:val="0"/>
          <w:numId w:val="7"/>
        </w:numPr>
        <w:spacing w:line="360" w:lineRule="auto"/>
        <w:jc w:val="both"/>
        <w:rPr>
          <w:rFonts w:ascii="Cambria" w:hAnsi="Cambria" w:cstheme="majorHAnsi"/>
          <w:sz w:val="24"/>
          <w:szCs w:val="24"/>
        </w:rPr>
      </w:pPr>
      <w:r w:rsidRPr="00176C8E">
        <w:rPr>
          <w:rFonts w:ascii="Cambria" w:hAnsi="Cambria" w:cstheme="majorHAnsi"/>
          <w:sz w:val="24"/>
          <w:szCs w:val="24"/>
        </w:rPr>
        <w:t>Penal Code</w:t>
      </w:r>
    </w:p>
    <w:p w:rsidR="00D26C5E" w:rsidRPr="00176C8E" w:rsidRDefault="002B7731" w:rsidP="00B76E0C">
      <w:pPr>
        <w:spacing w:line="360" w:lineRule="auto"/>
        <w:jc w:val="both"/>
        <w:rPr>
          <w:rFonts w:ascii="Cambria" w:hAnsi="Cambria" w:cstheme="majorHAnsi"/>
          <w:bCs/>
          <w:color w:val="000000"/>
          <w:sz w:val="24"/>
          <w:szCs w:val="24"/>
        </w:rPr>
      </w:pPr>
      <w:r w:rsidRPr="00176C8E">
        <w:rPr>
          <w:rFonts w:ascii="Cambria" w:hAnsi="Cambria" w:cstheme="majorHAnsi"/>
          <w:bCs/>
          <w:color w:val="000000"/>
          <w:sz w:val="24"/>
          <w:szCs w:val="24"/>
        </w:rPr>
        <w:t>The Penal Code is an Act of Parliament to establish a code of criminal law in Kenya.</w:t>
      </w:r>
      <w:r w:rsidR="00D26C5E" w:rsidRPr="00176C8E">
        <w:rPr>
          <w:rStyle w:val="FootnoteReference"/>
          <w:rFonts w:ascii="Cambria" w:hAnsi="Cambria" w:cstheme="majorHAnsi"/>
          <w:bCs/>
          <w:color w:val="000000"/>
          <w:sz w:val="24"/>
          <w:szCs w:val="24"/>
        </w:rPr>
        <w:footnoteReference w:id="17"/>
      </w:r>
    </w:p>
    <w:p w:rsidR="004548D9" w:rsidRPr="00176C8E" w:rsidRDefault="002B7731" w:rsidP="00B76E0C">
      <w:pPr>
        <w:spacing w:line="360" w:lineRule="auto"/>
        <w:jc w:val="both"/>
        <w:rPr>
          <w:rFonts w:ascii="Cambria" w:hAnsi="Cambria" w:cstheme="majorHAnsi"/>
          <w:color w:val="000000"/>
          <w:sz w:val="24"/>
          <w:szCs w:val="24"/>
        </w:rPr>
      </w:pPr>
      <w:r w:rsidRPr="00176C8E">
        <w:rPr>
          <w:rFonts w:ascii="Cambria" w:hAnsi="Cambria" w:cstheme="majorHAnsi"/>
          <w:color w:val="000000"/>
          <w:sz w:val="24"/>
          <w:szCs w:val="24"/>
        </w:rPr>
        <w:t>Section 12</w:t>
      </w:r>
      <w:r w:rsidR="00D52359" w:rsidRPr="00176C8E">
        <w:rPr>
          <w:rFonts w:ascii="Cambria" w:hAnsi="Cambria" w:cstheme="majorHAnsi"/>
          <w:color w:val="000000"/>
          <w:sz w:val="24"/>
          <w:szCs w:val="24"/>
        </w:rPr>
        <w:t xml:space="preserve">  </w:t>
      </w:r>
      <w:r w:rsidRPr="00176C8E">
        <w:rPr>
          <w:rFonts w:ascii="Cambria" w:hAnsi="Cambria" w:cstheme="majorHAnsi"/>
          <w:color w:val="000000"/>
          <w:sz w:val="24"/>
          <w:szCs w:val="24"/>
        </w:rPr>
        <w:t xml:space="preserve">of the Penal Code states that, </w:t>
      </w:r>
      <w:r w:rsidR="00AE3DF7">
        <w:rPr>
          <w:rFonts w:ascii="Cambria" w:hAnsi="Cambria" w:cstheme="majorHAnsi"/>
          <w:color w:val="000000"/>
          <w:sz w:val="24"/>
          <w:szCs w:val="24"/>
        </w:rPr>
        <w:t xml:space="preserve"> </w:t>
      </w:r>
      <w:r w:rsidR="00ED3DF7">
        <w:rPr>
          <w:rFonts w:ascii="Cambria" w:hAnsi="Cambria" w:cstheme="majorHAnsi"/>
          <w:color w:val="000000"/>
          <w:sz w:val="24"/>
          <w:szCs w:val="24"/>
        </w:rPr>
        <w:t xml:space="preserve"> </w:t>
      </w:r>
      <w:r w:rsidR="004548D9" w:rsidRPr="00176C8E">
        <w:rPr>
          <w:rFonts w:ascii="Cambria" w:hAnsi="Cambria"/>
          <w:color w:val="000000"/>
          <w:sz w:val="24"/>
          <w:szCs w:val="24"/>
        </w:rPr>
        <w:t>a person is not criminally responsible for an act or omission if at the time of doing the act or making the omission he is through any disease affecting his mind incapable of understanding what he is doing, or of knowing that he ought not to do the act or make the omission; but a person may be criminally responsible for an act or omission, although his mind is affected by disease, if such disease does not in fact produce upon his mind one or other of the effects above mentioned in reference to that act or omission.</w:t>
      </w:r>
    </w:p>
    <w:p w:rsidR="00457351" w:rsidRPr="00457351" w:rsidRDefault="002B7731" w:rsidP="00457351">
      <w:pPr>
        <w:spacing w:line="360" w:lineRule="auto"/>
        <w:jc w:val="both"/>
        <w:rPr>
          <w:rFonts w:ascii="Cambria" w:hAnsi="Cambria" w:cstheme="majorHAnsi"/>
          <w:sz w:val="24"/>
          <w:szCs w:val="24"/>
        </w:rPr>
      </w:pPr>
      <w:r w:rsidRPr="00176C8E">
        <w:rPr>
          <w:rFonts w:ascii="Cambria" w:hAnsi="Cambria" w:cstheme="majorHAnsi"/>
          <w:sz w:val="24"/>
          <w:szCs w:val="24"/>
        </w:rPr>
        <w:t>Once a person is found not guilty by reason of insanity or guilty but insane, the person is detained in a mental hos</w:t>
      </w:r>
      <w:r w:rsidR="004548D9" w:rsidRPr="00176C8E">
        <w:rPr>
          <w:rFonts w:ascii="Cambria" w:hAnsi="Cambria" w:cstheme="majorHAnsi"/>
          <w:sz w:val="24"/>
          <w:szCs w:val="24"/>
        </w:rPr>
        <w:t>pital.</w:t>
      </w:r>
      <w:r w:rsidRPr="00176C8E">
        <w:rPr>
          <w:rFonts w:ascii="Cambria" w:hAnsi="Cambria" w:cstheme="majorHAnsi"/>
          <w:sz w:val="24"/>
          <w:szCs w:val="24"/>
        </w:rPr>
        <w:t xml:space="preserve"> Concerns have been raised that once this finding is made, detention is indefinite. One </w:t>
      </w:r>
      <w:proofErr w:type="gramStart"/>
      <w:r w:rsidRPr="00176C8E">
        <w:rPr>
          <w:rFonts w:ascii="Cambria" w:hAnsi="Cambria" w:cstheme="majorHAnsi"/>
          <w:sz w:val="24"/>
          <w:szCs w:val="24"/>
        </w:rPr>
        <w:t xml:space="preserve">is </w:t>
      </w:r>
      <w:r w:rsidR="004548D9" w:rsidRPr="00176C8E">
        <w:rPr>
          <w:rFonts w:ascii="Cambria" w:hAnsi="Cambria" w:cstheme="majorHAnsi"/>
          <w:sz w:val="24"/>
          <w:szCs w:val="24"/>
        </w:rPr>
        <w:t xml:space="preserve"> </w:t>
      </w:r>
      <w:r w:rsidRPr="00176C8E">
        <w:rPr>
          <w:rFonts w:ascii="Cambria" w:hAnsi="Cambria" w:cstheme="majorHAnsi"/>
          <w:sz w:val="24"/>
          <w:szCs w:val="24"/>
        </w:rPr>
        <w:t>released</w:t>
      </w:r>
      <w:proofErr w:type="gramEnd"/>
      <w:r w:rsidRPr="00176C8E">
        <w:rPr>
          <w:rFonts w:ascii="Cambria" w:hAnsi="Cambria" w:cstheme="majorHAnsi"/>
          <w:sz w:val="24"/>
          <w:szCs w:val="24"/>
        </w:rPr>
        <w:t xml:space="preserve"> only ‘at the discretion of the president.</w:t>
      </w:r>
      <w:r w:rsidR="004548D9" w:rsidRPr="00176C8E">
        <w:rPr>
          <w:rFonts w:ascii="Cambria" w:hAnsi="Cambria" w:cstheme="majorHAnsi"/>
          <w:sz w:val="24"/>
          <w:szCs w:val="24"/>
        </w:rPr>
        <w:t>’</w:t>
      </w:r>
      <w:r w:rsidRPr="00176C8E">
        <w:rPr>
          <w:rFonts w:ascii="Cambria" w:hAnsi="Cambria" w:cstheme="majorHAnsi"/>
          <w:sz w:val="24"/>
          <w:szCs w:val="24"/>
        </w:rPr>
        <w:t xml:space="preserve"> It also brings about questions of the extent to which the executive should interfere with matters concerning the judiciary.  </w:t>
      </w:r>
    </w:p>
    <w:p w:rsidR="00605ACF" w:rsidRDefault="00A4651E" w:rsidP="00605ACF">
      <w:pPr>
        <w:spacing w:line="360" w:lineRule="auto"/>
        <w:jc w:val="both"/>
        <w:rPr>
          <w:rFonts w:ascii="Cambria" w:hAnsi="Cambria"/>
          <w:sz w:val="24"/>
          <w:szCs w:val="24"/>
          <w:lang w:val="en-GB"/>
        </w:rPr>
      </w:pPr>
      <w:r w:rsidRPr="00176C8E">
        <w:rPr>
          <w:rFonts w:ascii="Cambria" w:hAnsi="Cambria"/>
          <w:sz w:val="24"/>
          <w:szCs w:val="24"/>
          <w:lang w:val="en-GB"/>
        </w:rPr>
        <w:t>USP-K and KAIH</w:t>
      </w:r>
      <w:r w:rsidR="00735393" w:rsidRPr="00176C8E">
        <w:rPr>
          <w:rFonts w:ascii="Cambria" w:hAnsi="Cambria"/>
          <w:sz w:val="24"/>
          <w:szCs w:val="24"/>
          <w:lang w:val="en-GB"/>
        </w:rPr>
        <w:t xml:space="preserve"> are </w:t>
      </w:r>
      <w:r w:rsidRPr="00176C8E">
        <w:rPr>
          <w:rFonts w:ascii="Cambria" w:hAnsi="Cambria"/>
          <w:sz w:val="24"/>
          <w:szCs w:val="24"/>
          <w:lang w:val="en-GB"/>
        </w:rPr>
        <w:t xml:space="preserve">concerned that the </w:t>
      </w:r>
      <w:r w:rsidR="00E44B70">
        <w:rPr>
          <w:rFonts w:ascii="Cambria" w:hAnsi="Cambria"/>
          <w:sz w:val="24"/>
          <w:szCs w:val="24"/>
          <w:lang w:val="en-GB"/>
        </w:rPr>
        <w:t xml:space="preserve">current </w:t>
      </w:r>
      <w:r w:rsidR="00EE1F69">
        <w:rPr>
          <w:rFonts w:ascii="Cambria" w:hAnsi="Cambria"/>
          <w:sz w:val="24"/>
          <w:szCs w:val="24"/>
          <w:lang w:val="en-GB"/>
        </w:rPr>
        <w:t xml:space="preserve">legislative framework is </w:t>
      </w:r>
      <w:r w:rsidRPr="00176C8E">
        <w:rPr>
          <w:rFonts w:ascii="Cambria" w:hAnsi="Cambria"/>
          <w:sz w:val="24"/>
          <w:szCs w:val="24"/>
          <w:lang w:val="en-GB"/>
        </w:rPr>
        <w:t>inadequate and fails to meet universal standards on the right to liberty and security o</w:t>
      </w:r>
      <w:r w:rsidR="00BB3D54">
        <w:rPr>
          <w:rFonts w:ascii="Cambria" w:hAnsi="Cambria"/>
          <w:sz w:val="24"/>
          <w:szCs w:val="24"/>
          <w:lang w:val="en-GB"/>
        </w:rPr>
        <w:t>f a person</w:t>
      </w:r>
      <w:r w:rsidR="00274752">
        <w:rPr>
          <w:rFonts w:ascii="Cambria" w:hAnsi="Cambria"/>
          <w:sz w:val="24"/>
          <w:szCs w:val="24"/>
          <w:lang w:val="en-GB"/>
        </w:rPr>
        <w:t>s. As seen</w:t>
      </w:r>
      <w:r w:rsidR="003E43E0">
        <w:rPr>
          <w:rFonts w:ascii="Cambria" w:hAnsi="Cambria"/>
          <w:sz w:val="24"/>
          <w:szCs w:val="24"/>
          <w:lang w:val="en-GB"/>
        </w:rPr>
        <w:t xml:space="preserve"> </w:t>
      </w:r>
      <w:r w:rsidR="00274752">
        <w:rPr>
          <w:rFonts w:ascii="Cambria" w:hAnsi="Cambria"/>
          <w:sz w:val="24"/>
          <w:szCs w:val="24"/>
          <w:lang w:val="en-GB"/>
        </w:rPr>
        <w:t xml:space="preserve">in </w:t>
      </w:r>
      <w:r w:rsidR="00114DAC">
        <w:rPr>
          <w:rFonts w:ascii="Cambria" w:hAnsi="Cambria"/>
          <w:sz w:val="24"/>
          <w:szCs w:val="24"/>
          <w:lang w:val="en-GB"/>
        </w:rPr>
        <w:t xml:space="preserve">Article 14 of </w:t>
      </w:r>
      <w:r w:rsidR="00CA78B5">
        <w:rPr>
          <w:rFonts w:ascii="Cambria" w:hAnsi="Cambria"/>
          <w:sz w:val="24"/>
          <w:szCs w:val="24"/>
          <w:lang w:val="en-GB"/>
        </w:rPr>
        <w:t>the Convention on the Rights of Persons with Disabilities</w:t>
      </w:r>
      <w:r w:rsidR="00605ACF">
        <w:rPr>
          <w:rFonts w:ascii="Cambria" w:hAnsi="Cambria"/>
          <w:sz w:val="24"/>
          <w:szCs w:val="24"/>
          <w:lang w:val="en-GB"/>
        </w:rPr>
        <w:t xml:space="preserve"> (CRPD)</w:t>
      </w:r>
      <w:r w:rsidR="00274752">
        <w:rPr>
          <w:rFonts w:ascii="Cambria" w:hAnsi="Cambria"/>
          <w:sz w:val="24"/>
          <w:szCs w:val="24"/>
          <w:lang w:val="en-GB"/>
        </w:rPr>
        <w:t>,</w:t>
      </w:r>
      <w:r w:rsidR="00605ACF">
        <w:rPr>
          <w:rStyle w:val="FootnoteReference"/>
          <w:rFonts w:ascii="Cambria" w:hAnsi="Cambria"/>
          <w:sz w:val="24"/>
          <w:szCs w:val="24"/>
          <w:lang w:val="en-GB"/>
        </w:rPr>
        <w:footnoteReference w:id="18"/>
      </w:r>
      <w:r w:rsidR="00605ACF">
        <w:rPr>
          <w:rFonts w:ascii="Cambria" w:hAnsi="Cambria"/>
          <w:sz w:val="24"/>
          <w:szCs w:val="24"/>
          <w:lang w:val="en-GB"/>
        </w:rPr>
        <w:t xml:space="preserve"> </w:t>
      </w:r>
      <w:proofErr w:type="gramStart"/>
      <w:r w:rsidR="00605ACF">
        <w:rPr>
          <w:rFonts w:ascii="Cambria" w:hAnsi="Cambria"/>
          <w:sz w:val="24"/>
          <w:szCs w:val="24"/>
          <w:lang w:val="en-GB"/>
        </w:rPr>
        <w:t xml:space="preserve">which forms part of the laws of Kenya by </w:t>
      </w:r>
      <w:r w:rsidR="00274752">
        <w:rPr>
          <w:rFonts w:ascii="Cambria" w:hAnsi="Cambria"/>
          <w:sz w:val="24"/>
          <w:szCs w:val="24"/>
          <w:lang w:val="en-GB"/>
        </w:rPr>
        <w:t>virtue of Article</w:t>
      </w:r>
      <w:r w:rsidR="00605ACF">
        <w:rPr>
          <w:rFonts w:ascii="Cambria" w:hAnsi="Cambria"/>
          <w:sz w:val="24"/>
          <w:szCs w:val="24"/>
          <w:lang w:val="en-GB"/>
        </w:rPr>
        <w:t xml:space="preserve"> 2(6) of the Constitution of K</w:t>
      </w:r>
      <w:r w:rsidR="00BB3D54">
        <w:rPr>
          <w:rFonts w:ascii="Cambria" w:hAnsi="Cambria"/>
          <w:sz w:val="24"/>
          <w:szCs w:val="24"/>
          <w:lang w:val="en-GB"/>
        </w:rPr>
        <w:t>enya.</w:t>
      </w:r>
      <w:proofErr w:type="gramEnd"/>
      <w:r w:rsidR="00BB3D54">
        <w:rPr>
          <w:rStyle w:val="FootnoteReference"/>
          <w:rFonts w:ascii="Cambria" w:hAnsi="Cambria"/>
          <w:sz w:val="24"/>
          <w:szCs w:val="24"/>
          <w:lang w:val="en-GB"/>
        </w:rPr>
        <w:footnoteReference w:id="19"/>
      </w:r>
    </w:p>
    <w:p w:rsidR="00E6443D" w:rsidRDefault="00E6443D" w:rsidP="00605ACF">
      <w:pPr>
        <w:spacing w:line="360" w:lineRule="auto"/>
        <w:jc w:val="both"/>
        <w:rPr>
          <w:rFonts w:ascii="Cambria" w:hAnsi="Cambria"/>
          <w:sz w:val="24"/>
          <w:szCs w:val="24"/>
          <w:lang w:val="en-GB"/>
        </w:rPr>
      </w:pPr>
    </w:p>
    <w:p w:rsidR="00E6443D" w:rsidRPr="00176C8E" w:rsidRDefault="00E6443D" w:rsidP="00605ACF">
      <w:pPr>
        <w:spacing w:line="360" w:lineRule="auto"/>
        <w:jc w:val="both"/>
        <w:rPr>
          <w:rFonts w:ascii="Cambria" w:hAnsi="Cambria" w:cstheme="majorHAnsi"/>
          <w:b/>
          <w:sz w:val="24"/>
          <w:szCs w:val="24"/>
        </w:rPr>
      </w:pPr>
    </w:p>
    <w:p w:rsidR="00396C19" w:rsidRDefault="00396C19" w:rsidP="00B76E0C">
      <w:pPr>
        <w:spacing w:line="360" w:lineRule="auto"/>
        <w:jc w:val="both"/>
        <w:rPr>
          <w:rFonts w:ascii="Cambria" w:hAnsi="Cambria" w:cstheme="majorHAnsi"/>
          <w:b/>
          <w:sz w:val="24"/>
          <w:szCs w:val="24"/>
        </w:rPr>
      </w:pPr>
      <w:r>
        <w:rPr>
          <w:rFonts w:ascii="Cambria" w:hAnsi="Cambria" w:cstheme="majorHAnsi"/>
          <w:b/>
          <w:sz w:val="24"/>
          <w:szCs w:val="24"/>
        </w:rPr>
        <w:lastRenderedPageBreak/>
        <w:br w:type="page"/>
      </w:r>
    </w:p>
    <w:p w:rsidR="001611AB" w:rsidRPr="00176C8E" w:rsidRDefault="001611AB" w:rsidP="00B76E0C">
      <w:pPr>
        <w:spacing w:line="360" w:lineRule="auto"/>
        <w:jc w:val="both"/>
        <w:rPr>
          <w:rFonts w:ascii="Cambria" w:hAnsi="Cambria" w:cstheme="majorHAnsi"/>
          <w:b/>
          <w:sz w:val="24"/>
          <w:szCs w:val="24"/>
        </w:rPr>
      </w:pPr>
      <w:r w:rsidRPr="00176C8E">
        <w:rPr>
          <w:rFonts w:ascii="Cambria" w:hAnsi="Cambria" w:cstheme="majorHAnsi"/>
          <w:b/>
          <w:sz w:val="24"/>
          <w:szCs w:val="24"/>
        </w:rPr>
        <w:lastRenderedPageBreak/>
        <w:t>Recommendations</w:t>
      </w:r>
      <w:r w:rsidR="00396C19">
        <w:rPr>
          <w:rFonts w:ascii="Cambria" w:hAnsi="Cambria" w:cstheme="majorHAnsi"/>
          <w:b/>
          <w:sz w:val="24"/>
          <w:szCs w:val="24"/>
        </w:rPr>
        <w:t xml:space="preserve"> on the law</w:t>
      </w:r>
    </w:p>
    <w:p w:rsidR="001611AB" w:rsidRPr="00176C8E" w:rsidRDefault="001611AB" w:rsidP="00B76E0C">
      <w:pPr>
        <w:pStyle w:val="ListParagraph"/>
        <w:numPr>
          <w:ilvl w:val="0"/>
          <w:numId w:val="4"/>
        </w:numPr>
        <w:spacing w:line="360" w:lineRule="auto"/>
        <w:jc w:val="both"/>
        <w:rPr>
          <w:rFonts w:ascii="Cambria" w:hAnsi="Cambria" w:cstheme="majorHAnsi"/>
          <w:sz w:val="24"/>
          <w:szCs w:val="24"/>
        </w:rPr>
      </w:pPr>
      <w:r w:rsidRPr="00176C8E">
        <w:rPr>
          <w:rFonts w:ascii="Cambria" w:hAnsi="Cambria" w:cstheme="majorHAnsi"/>
          <w:sz w:val="24"/>
          <w:szCs w:val="24"/>
        </w:rPr>
        <w:t xml:space="preserve">The whole set of provisions on ‘unsoundness of mind’ require re-examination and revision, in accordance </w:t>
      </w:r>
      <w:r w:rsidR="00BC370C" w:rsidRPr="00176C8E">
        <w:rPr>
          <w:rFonts w:ascii="Cambria" w:hAnsi="Cambria" w:cstheme="majorHAnsi"/>
          <w:sz w:val="24"/>
          <w:szCs w:val="24"/>
        </w:rPr>
        <w:t>w</w:t>
      </w:r>
      <w:r w:rsidR="00BC370C">
        <w:rPr>
          <w:rFonts w:ascii="Cambria" w:hAnsi="Cambria" w:cstheme="majorHAnsi"/>
          <w:sz w:val="24"/>
          <w:szCs w:val="24"/>
        </w:rPr>
        <w:t>ith CRPD,</w:t>
      </w:r>
      <w:r w:rsidRPr="00176C8E">
        <w:rPr>
          <w:rFonts w:ascii="Cambria" w:hAnsi="Cambria" w:cstheme="majorHAnsi"/>
          <w:sz w:val="24"/>
          <w:szCs w:val="24"/>
        </w:rPr>
        <w:t xml:space="preserve"> in particular, articles 12 and 14 of the Convention. It is our submission that a person may not be held criminally responsible if found of ‘unsound mind’ when committing the crime, or not able to make a </w:t>
      </w:r>
      <w:proofErr w:type="spellStart"/>
      <w:r w:rsidRPr="00176C8E">
        <w:rPr>
          <w:rFonts w:ascii="Cambria" w:hAnsi="Cambria" w:cstheme="majorHAnsi"/>
          <w:sz w:val="24"/>
          <w:szCs w:val="24"/>
        </w:rPr>
        <w:t>defence</w:t>
      </w:r>
      <w:proofErr w:type="spellEnd"/>
      <w:r w:rsidRPr="00176C8E">
        <w:rPr>
          <w:rFonts w:ascii="Cambria" w:hAnsi="Cambria" w:cstheme="majorHAnsi"/>
          <w:sz w:val="24"/>
          <w:szCs w:val="24"/>
        </w:rPr>
        <w:t xml:space="preserve"> on account of being of ‘unsound mind’ at the time of the trial. However, use of these “</w:t>
      </w:r>
      <w:proofErr w:type="spellStart"/>
      <w:r w:rsidRPr="00176C8E">
        <w:rPr>
          <w:rFonts w:ascii="Cambria" w:hAnsi="Cambria" w:cstheme="majorHAnsi"/>
          <w:sz w:val="24"/>
          <w:szCs w:val="24"/>
        </w:rPr>
        <w:t>defences</w:t>
      </w:r>
      <w:proofErr w:type="spellEnd"/>
      <w:r w:rsidRPr="00176C8E">
        <w:rPr>
          <w:rFonts w:ascii="Cambria" w:hAnsi="Cambria" w:cstheme="majorHAnsi"/>
          <w:sz w:val="24"/>
          <w:szCs w:val="24"/>
        </w:rPr>
        <w:t xml:space="preserve">” which are exceptions to basic tents of criminal justice process should be minimized, at the same time as accommodations (such as intermediaries and other accommodations) are provided to ensure a fair process. In most cases, providing accommodations would enable an individual to participate in his/her </w:t>
      </w:r>
      <w:proofErr w:type="spellStart"/>
      <w:r w:rsidRPr="00176C8E">
        <w:rPr>
          <w:rFonts w:ascii="Cambria" w:hAnsi="Cambria" w:cstheme="majorHAnsi"/>
          <w:sz w:val="24"/>
          <w:szCs w:val="24"/>
        </w:rPr>
        <w:t>defence</w:t>
      </w:r>
      <w:proofErr w:type="spellEnd"/>
      <w:r w:rsidRPr="00176C8E">
        <w:rPr>
          <w:rFonts w:ascii="Cambria" w:hAnsi="Cambria" w:cstheme="majorHAnsi"/>
          <w:sz w:val="24"/>
          <w:szCs w:val="24"/>
        </w:rPr>
        <w:t>. It would also mean that in the absence of culpability (if one were to follow the insanity defense), and if the mental state that dominated one’s action without possibility of choice is no longer present, ‘dangerousness’ can no longer serve as grounds for deprivation of liberty. But community supports must be put in place to support such individuals so that protecting the public does not come at the expense of the individuals’ most fundamental rights.</w:t>
      </w:r>
    </w:p>
    <w:p w:rsidR="00025555" w:rsidRPr="00176C8E" w:rsidRDefault="00025555" w:rsidP="00B76E0C">
      <w:pPr>
        <w:pStyle w:val="ListParagraph"/>
        <w:spacing w:line="360" w:lineRule="auto"/>
        <w:jc w:val="both"/>
        <w:rPr>
          <w:rFonts w:ascii="Cambria" w:hAnsi="Cambria" w:cstheme="majorHAnsi"/>
          <w:sz w:val="24"/>
          <w:szCs w:val="24"/>
        </w:rPr>
      </w:pPr>
    </w:p>
    <w:p w:rsidR="00F35812" w:rsidRPr="00176C8E" w:rsidRDefault="00F35812" w:rsidP="00B76E0C">
      <w:pPr>
        <w:pStyle w:val="ListParagraph"/>
        <w:numPr>
          <w:ilvl w:val="0"/>
          <w:numId w:val="4"/>
        </w:numPr>
        <w:spacing w:line="360" w:lineRule="auto"/>
        <w:jc w:val="both"/>
        <w:rPr>
          <w:rFonts w:ascii="Cambria" w:hAnsi="Cambria" w:cstheme="majorHAnsi"/>
          <w:sz w:val="24"/>
          <w:szCs w:val="24"/>
        </w:rPr>
      </w:pPr>
      <w:r w:rsidRPr="00176C8E">
        <w:rPr>
          <w:rFonts w:ascii="Cambria" w:hAnsi="Cambria" w:cstheme="majorHAnsi"/>
          <w:sz w:val="24"/>
          <w:szCs w:val="24"/>
        </w:rPr>
        <w:t>R</w:t>
      </w:r>
      <w:r w:rsidR="00F9010A" w:rsidRPr="00176C8E">
        <w:rPr>
          <w:rFonts w:ascii="Cambria" w:hAnsi="Cambria" w:cstheme="majorHAnsi"/>
          <w:sz w:val="24"/>
          <w:szCs w:val="24"/>
        </w:rPr>
        <w:t>ecommendation on the Persons Deprived of Liberty  A</w:t>
      </w:r>
      <w:r w:rsidRPr="00176C8E">
        <w:rPr>
          <w:rFonts w:ascii="Cambria" w:hAnsi="Cambria" w:cstheme="majorHAnsi"/>
          <w:sz w:val="24"/>
          <w:szCs w:val="24"/>
        </w:rPr>
        <w:t>ct</w:t>
      </w:r>
      <w:r w:rsidR="00F9010A" w:rsidRPr="00176C8E">
        <w:rPr>
          <w:rFonts w:ascii="Cambria" w:hAnsi="Cambria" w:cstheme="majorHAnsi"/>
          <w:sz w:val="24"/>
          <w:szCs w:val="24"/>
        </w:rPr>
        <w:t>, 2014</w:t>
      </w:r>
    </w:p>
    <w:p w:rsidR="005258BB" w:rsidRPr="00176C8E" w:rsidRDefault="00B319C4" w:rsidP="00B76E0C">
      <w:pPr>
        <w:pStyle w:val="ListParagraph"/>
        <w:numPr>
          <w:ilvl w:val="0"/>
          <w:numId w:val="11"/>
        </w:numPr>
        <w:spacing w:line="360" w:lineRule="auto"/>
        <w:jc w:val="both"/>
        <w:rPr>
          <w:rFonts w:ascii="Cambria" w:hAnsi="Cambria"/>
          <w:sz w:val="24"/>
          <w:szCs w:val="24"/>
          <w:lang w:val="en-GB"/>
        </w:rPr>
      </w:pPr>
      <w:r w:rsidRPr="00176C8E">
        <w:rPr>
          <w:rFonts w:ascii="Cambria" w:hAnsi="Cambria"/>
          <w:sz w:val="24"/>
          <w:szCs w:val="24"/>
          <w:lang w:val="en-GB"/>
        </w:rPr>
        <w:t>R</w:t>
      </w:r>
      <w:r w:rsidR="001F6D8B" w:rsidRPr="00176C8E">
        <w:rPr>
          <w:rFonts w:ascii="Cambria" w:hAnsi="Cambria"/>
          <w:sz w:val="24"/>
          <w:szCs w:val="24"/>
          <w:lang w:val="en-GB"/>
        </w:rPr>
        <w:t>epeal the provisio</w:t>
      </w:r>
      <w:r w:rsidR="00524A21">
        <w:rPr>
          <w:rFonts w:ascii="Cambria" w:hAnsi="Cambria"/>
          <w:sz w:val="24"/>
          <w:szCs w:val="24"/>
          <w:lang w:val="en-GB"/>
        </w:rPr>
        <w:t>ns of section 4 (e) of the Act</w:t>
      </w:r>
      <w:r w:rsidR="00D24678" w:rsidRPr="00176C8E">
        <w:rPr>
          <w:rFonts w:ascii="Cambria" w:hAnsi="Cambria"/>
          <w:sz w:val="24"/>
          <w:szCs w:val="24"/>
          <w:lang w:val="en-GB"/>
        </w:rPr>
        <w:t xml:space="preserve"> to reflect the role of supports and accommodations as envisa</w:t>
      </w:r>
      <w:r w:rsidR="00A824AA">
        <w:rPr>
          <w:rFonts w:ascii="Cambria" w:hAnsi="Cambria"/>
          <w:sz w:val="24"/>
          <w:szCs w:val="24"/>
          <w:lang w:val="en-GB"/>
        </w:rPr>
        <w:t>ged in the CRPD</w:t>
      </w:r>
      <w:r w:rsidR="00D24678" w:rsidRPr="00176C8E">
        <w:rPr>
          <w:rFonts w:ascii="Cambria" w:hAnsi="Cambria"/>
          <w:sz w:val="24"/>
          <w:szCs w:val="24"/>
          <w:lang w:val="en-GB"/>
        </w:rPr>
        <w:t xml:space="preserve">. </w:t>
      </w:r>
    </w:p>
    <w:p w:rsidR="00002E39" w:rsidRPr="00176C8E" w:rsidRDefault="00567D85" w:rsidP="00B76E0C">
      <w:pPr>
        <w:pStyle w:val="ListParagraph"/>
        <w:numPr>
          <w:ilvl w:val="0"/>
          <w:numId w:val="11"/>
        </w:numPr>
        <w:spacing w:line="360" w:lineRule="auto"/>
        <w:jc w:val="both"/>
        <w:rPr>
          <w:rFonts w:ascii="Cambria" w:hAnsi="Cambria"/>
          <w:sz w:val="24"/>
          <w:szCs w:val="24"/>
          <w:lang w:val="en-GB"/>
        </w:rPr>
      </w:pPr>
      <w:r w:rsidRPr="00176C8E">
        <w:rPr>
          <w:rFonts w:ascii="Cambria" w:hAnsi="Cambria" w:cs="Arial"/>
          <w:sz w:val="24"/>
          <w:szCs w:val="24"/>
        </w:rPr>
        <w:t xml:space="preserve"> Implementation of </w:t>
      </w:r>
      <w:r w:rsidR="00310F30" w:rsidRPr="00176C8E">
        <w:rPr>
          <w:rFonts w:ascii="Cambria" w:hAnsi="Cambria" w:cs="Arial"/>
          <w:sz w:val="24"/>
          <w:szCs w:val="24"/>
        </w:rPr>
        <w:t xml:space="preserve">Section 20 </w:t>
      </w:r>
      <w:r w:rsidRPr="00176C8E">
        <w:rPr>
          <w:rFonts w:ascii="Cambria" w:hAnsi="Cambria" w:cs="Arial"/>
          <w:sz w:val="24"/>
          <w:szCs w:val="24"/>
        </w:rPr>
        <w:t xml:space="preserve">and 23 </w:t>
      </w:r>
      <w:r w:rsidR="00310F30" w:rsidRPr="00176C8E">
        <w:rPr>
          <w:rFonts w:ascii="Cambria" w:hAnsi="Cambria" w:cs="Arial"/>
          <w:sz w:val="24"/>
          <w:szCs w:val="24"/>
        </w:rPr>
        <w:t xml:space="preserve">of </w:t>
      </w:r>
      <w:proofErr w:type="gramStart"/>
      <w:r w:rsidR="00310F30" w:rsidRPr="00176C8E">
        <w:rPr>
          <w:rFonts w:ascii="Cambria" w:hAnsi="Cambria" w:cs="Arial"/>
          <w:sz w:val="24"/>
          <w:szCs w:val="24"/>
        </w:rPr>
        <w:t xml:space="preserve">the </w:t>
      </w:r>
      <w:r w:rsidR="00524A21">
        <w:rPr>
          <w:rFonts w:ascii="Cambria" w:hAnsi="Cambria"/>
          <w:sz w:val="24"/>
          <w:szCs w:val="24"/>
          <w:lang w:val="en-GB"/>
        </w:rPr>
        <w:t xml:space="preserve"> Act</w:t>
      </w:r>
      <w:proofErr w:type="gramEnd"/>
      <w:r w:rsidRPr="00176C8E">
        <w:rPr>
          <w:rFonts w:ascii="Cambria" w:hAnsi="Cambria"/>
          <w:sz w:val="24"/>
          <w:szCs w:val="24"/>
          <w:lang w:val="en-GB"/>
        </w:rPr>
        <w:t>.</w:t>
      </w:r>
    </w:p>
    <w:p w:rsidR="0071402E" w:rsidRPr="001B0B4F" w:rsidRDefault="00B86C48" w:rsidP="001B0B4F">
      <w:pPr>
        <w:pStyle w:val="ListParagraph"/>
        <w:numPr>
          <w:ilvl w:val="0"/>
          <w:numId w:val="11"/>
        </w:numPr>
        <w:spacing w:line="360" w:lineRule="auto"/>
        <w:jc w:val="both"/>
        <w:rPr>
          <w:rFonts w:ascii="Cambria" w:hAnsi="Cambria"/>
          <w:sz w:val="24"/>
          <w:szCs w:val="24"/>
          <w:lang w:val="en-GB"/>
        </w:rPr>
      </w:pPr>
      <w:r>
        <w:rPr>
          <w:rFonts w:ascii="Cambria" w:hAnsi="Cambria"/>
          <w:sz w:val="24"/>
          <w:szCs w:val="24"/>
          <w:lang w:val="en-GB"/>
        </w:rPr>
        <w:t xml:space="preserve">Operationalize section 29 of the </w:t>
      </w:r>
      <w:r w:rsidR="00BC370C">
        <w:rPr>
          <w:rFonts w:ascii="Cambria" w:hAnsi="Cambria"/>
          <w:sz w:val="24"/>
          <w:szCs w:val="24"/>
          <w:lang w:val="en-GB"/>
        </w:rPr>
        <w:t>Act, which</w:t>
      </w:r>
      <w:r>
        <w:rPr>
          <w:rFonts w:ascii="Cambria" w:hAnsi="Cambria"/>
          <w:sz w:val="24"/>
          <w:szCs w:val="24"/>
          <w:lang w:val="en-GB"/>
        </w:rPr>
        <w:t xml:space="preserve"> provides for</w:t>
      </w:r>
      <w:r w:rsidR="0015154D">
        <w:rPr>
          <w:rFonts w:ascii="Cambria" w:hAnsi="Cambria"/>
          <w:sz w:val="24"/>
          <w:szCs w:val="24"/>
          <w:lang w:val="en-GB"/>
        </w:rPr>
        <w:t xml:space="preserve"> the</w:t>
      </w:r>
      <w:r>
        <w:rPr>
          <w:rFonts w:ascii="Cambria" w:hAnsi="Cambria"/>
          <w:sz w:val="24"/>
          <w:szCs w:val="24"/>
          <w:lang w:val="en-GB"/>
        </w:rPr>
        <w:t xml:space="preserve"> establishment of </w:t>
      </w:r>
      <w:r w:rsidR="0030313F">
        <w:rPr>
          <w:rFonts w:ascii="Cambria" w:hAnsi="Cambria"/>
          <w:sz w:val="24"/>
          <w:szCs w:val="24"/>
          <w:lang w:val="en-GB"/>
        </w:rPr>
        <w:t xml:space="preserve">a </w:t>
      </w:r>
      <w:r w:rsidR="0030313F" w:rsidRPr="00176C8E">
        <w:rPr>
          <w:rFonts w:ascii="Cambria" w:hAnsi="Cambria"/>
          <w:sz w:val="24"/>
          <w:szCs w:val="24"/>
          <w:lang w:val="en-GB"/>
        </w:rPr>
        <w:t>Consultative</w:t>
      </w:r>
      <w:r w:rsidR="001844ED" w:rsidRPr="00176C8E">
        <w:rPr>
          <w:rFonts w:ascii="Cambria" w:hAnsi="Cambria"/>
          <w:sz w:val="24"/>
          <w:szCs w:val="24"/>
          <w:lang w:val="en-GB"/>
        </w:rPr>
        <w:t xml:space="preserve"> Committee on Persons deprived</w:t>
      </w:r>
      <w:r>
        <w:rPr>
          <w:rFonts w:ascii="Cambria" w:hAnsi="Cambria"/>
          <w:sz w:val="24"/>
          <w:szCs w:val="24"/>
          <w:lang w:val="en-GB"/>
        </w:rPr>
        <w:t xml:space="preserve"> of liberty. T</w:t>
      </w:r>
      <w:r w:rsidR="001844ED" w:rsidRPr="00176C8E">
        <w:rPr>
          <w:rFonts w:ascii="Cambria" w:hAnsi="Cambria"/>
          <w:sz w:val="24"/>
          <w:szCs w:val="24"/>
          <w:lang w:val="en-GB"/>
        </w:rPr>
        <w:t>his will provide a platform to address issues affecting persons with psychosocial disability in detention.</w:t>
      </w:r>
      <w:r w:rsidR="001B0B4F">
        <w:rPr>
          <w:rFonts w:ascii="Cambria" w:hAnsi="Cambria"/>
          <w:sz w:val="24"/>
          <w:szCs w:val="24"/>
          <w:lang w:val="en-GB"/>
        </w:rPr>
        <w:t xml:space="preserve"> </w:t>
      </w:r>
    </w:p>
    <w:p w:rsidR="003768C7" w:rsidRDefault="003768C7" w:rsidP="0071402E">
      <w:pPr>
        <w:pStyle w:val="NormalWeb"/>
        <w:spacing w:line="360" w:lineRule="auto"/>
        <w:jc w:val="both"/>
        <w:rPr>
          <w:rFonts w:ascii="Cambria" w:hAnsi="Cambria" w:cstheme="majorHAnsi"/>
          <w:b/>
        </w:rPr>
      </w:pPr>
    </w:p>
    <w:p w:rsidR="00E01147" w:rsidRDefault="00E01147" w:rsidP="0071402E">
      <w:pPr>
        <w:pStyle w:val="NormalWeb"/>
        <w:spacing w:line="360" w:lineRule="auto"/>
        <w:jc w:val="both"/>
        <w:rPr>
          <w:rFonts w:ascii="Cambria" w:hAnsi="Cambria" w:cstheme="majorHAnsi"/>
          <w:b/>
        </w:rPr>
      </w:pPr>
    </w:p>
    <w:p w:rsidR="00395B2B" w:rsidRDefault="00395B2B" w:rsidP="0071402E">
      <w:pPr>
        <w:pStyle w:val="NormalWeb"/>
        <w:spacing w:line="360" w:lineRule="auto"/>
        <w:jc w:val="both"/>
        <w:rPr>
          <w:rFonts w:ascii="Cambria" w:hAnsi="Cambria" w:cstheme="majorHAnsi"/>
          <w:b/>
        </w:rPr>
      </w:pPr>
    </w:p>
    <w:p w:rsidR="00C01DC3" w:rsidRDefault="00C01DC3" w:rsidP="00396C19">
      <w:pPr>
        <w:pStyle w:val="NormalWeb"/>
        <w:spacing w:line="360" w:lineRule="auto"/>
        <w:jc w:val="both"/>
        <w:rPr>
          <w:rFonts w:ascii="Cambria" w:hAnsi="Cambria" w:cstheme="majorHAnsi"/>
          <w:b/>
        </w:rPr>
      </w:pPr>
    </w:p>
    <w:p w:rsidR="00D03A8F" w:rsidRPr="00176C8E" w:rsidRDefault="00685FE6" w:rsidP="00C01DC3">
      <w:pPr>
        <w:pStyle w:val="NormalWeb"/>
        <w:spacing w:line="360" w:lineRule="auto"/>
        <w:jc w:val="both"/>
        <w:rPr>
          <w:rFonts w:ascii="Cambria" w:hAnsi="Cambria" w:cstheme="majorHAnsi"/>
          <w:b/>
        </w:rPr>
      </w:pPr>
      <w:r w:rsidRPr="00176C8E">
        <w:rPr>
          <w:rFonts w:ascii="Cambria" w:hAnsi="Cambria" w:cstheme="majorHAnsi"/>
          <w:b/>
        </w:rPr>
        <w:t>Deprivation of Liberty in Practice</w:t>
      </w:r>
    </w:p>
    <w:p w:rsidR="00D03A8F" w:rsidRPr="00176C8E" w:rsidRDefault="00E95E9B" w:rsidP="00B76E0C">
      <w:pPr>
        <w:pStyle w:val="NormalWeb"/>
        <w:spacing w:line="360" w:lineRule="auto"/>
        <w:jc w:val="both"/>
        <w:rPr>
          <w:rFonts w:ascii="Cambria" w:hAnsi="Cambria" w:cstheme="majorHAnsi"/>
        </w:rPr>
      </w:pPr>
      <w:r w:rsidRPr="00176C8E">
        <w:rPr>
          <w:rFonts w:ascii="Cambria" w:hAnsi="Cambria" w:cstheme="majorHAnsi"/>
        </w:rPr>
        <w:t xml:space="preserve"> Below </w:t>
      </w:r>
      <w:r w:rsidR="00BC370C" w:rsidRPr="00176C8E">
        <w:rPr>
          <w:rFonts w:ascii="Cambria" w:hAnsi="Cambria" w:cstheme="majorHAnsi"/>
        </w:rPr>
        <w:t>are highlights of deprivation</w:t>
      </w:r>
      <w:r w:rsidR="00C17EC0" w:rsidRPr="00176C8E">
        <w:rPr>
          <w:rFonts w:ascii="Cambria" w:hAnsi="Cambria" w:cstheme="majorHAnsi"/>
        </w:rPr>
        <w:t xml:space="preserve"> of liberty </w:t>
      </w:r>
      <w:r w:rsidR="007969DF">
        <w:rPr>
          <w:rFonts w:ascii="Cambria" w:hAnsi="Cambria" w:cstheme="majorHAnsi"/>
        </w:rPr>
        <w:t xml:space="preserve">in practice in </w:t>
      </w:r>
      <w:r w:rsidR="00376D33" w:rsidRPr="00176C8E">
        <w:rPr>
          <w:rFonts w:ascii="Cambria" w:hAnsi="Cambria" w:cstheme="majorHAnsi"/>
        </w:rPr>
        <w:t xml:space="preserve">the Kenyan context. </w:t>
      </w:r>
    </w:p>
    <w:p w:rsidR="00B81871" w:rsidRPr="00176C8E" w:rsidRDefault="00BC370C" w:rsidP="00B76E0C">
      <w:pPr>
        <w:pStyle w:val="ListParagraph"/>
        <w:numPr>
          <w:ilvl w:val="0"/>
          <w:numId w:val="5"/>
        </w:numPr>
        <w:spacing w:line="360" w:lineRule="auto"/>
        <w:jc w:val="both"/>
        <w:rPr>
          <w:rFonts w:ascii="Cambria" w:hAnsi="Cambria"/>
          <w:sz w:val="24"/>
          <w:szCs w:val="24"/>
          <w:lang w:val="en-GB"/>
        </w:rPr>
      </w:pPr>
      <w:r>
        <w:rPr>
          <w:rFonts w:ascii="Cambria" w:hAnsi="Cambria"/>
          <w:sz w:val="24"/>
          <w:szCs w:val="24"/>
          <w:lang w:val="en-GB"/>
        </w:rPr>
        <w:t>Prevalence of</w:t>
      </w:r>
      <w:r w:rsidR="00D851B6">
        <w:rPr>
          <w:rFonts w:ascii="Cambria" w:hAnsi="Cambria"/>
          <w:sz w:val="24"/>
          <w:szCs w:val="24"/>
          <w:lang w:val="en-GB"/>
        </w:rPr>
        <w:t xml:space="preserve"> </w:t>
      </w:r>
      <w:r>
        <w:rPr>
          <w:rFonts w:ascii="Cambria" w:hAnsi="Cambria"/>
          <w:sz w:val="24"/>
          <w:szCs w:val="24"/>
          <w:lang w:val="en-GB"/>
        </w:rPr>
        <w:t>violence and</w:t>
      </w:r>
      <w:r w:rsidR="00B81871" w:rsidRPr="00176C8E">
        <w:rPr>
          <w:rFonts w:ascii="Cambria" w:hAnsi="Cambria"/>
          <w:sz w:val="24"/>
          <w:szCs w:val="24"/>
          <w:lang w:val="en-GB"/>
        </w:rPr>
        <w:t xml:space="preserve"> abuse of persons with psychosocial</w:t>
      </w:r>
      <w:r w:rsidR="003768C7">
        <w:rPr>
          <w:rFonts w:ascii="Cambria" w:hAnsi="Cambria"/>
          <w:sz w:val="24"/>
          <w:szCs w:val="24"/>
          <w:lang w:val="en-GB"/>
        </w:rPr>
        <w:t xml:space="preserve"> and intellectual</w:t>
      </w:r>
      <w:r w:rsidR="00B81871" w:rsidRPr="00176C8E">
        <w:rPr>
          <w:rFonts w:ascii="Cambria" w:hAnsi="Cambria"/>
          <w:sz w:val="24"/>
          <w:szCs w:val="24"/>
          <w:lang w:val="en-GB"/>
        </w:rPr>
        <w:t xml:space="preserve"> disability detained either in mental hospital</w:t>
      </w:r>
      <w:r w:rsidR="000733B7">
        <w:rPr>
          <w:rFonts w:ascii="Cambria" w:hAnsi="Cambria"/>
          <w:sz w:val="24"/>
          <w:szCs w:val="24"/>
          <w:lang w:val="en-GB"/>
        </w:rPr>
        <w:t>s or other places of detention. More so, adequate</w:t>
      </w:r>
      <w:r w:rsidR="00B81871" w:rsidRPr="00176C8E">
        <w:rPr>
          <w:rFonts w:ascii="Cambria" w:hAnsi="Cambria"/>
          <w:sz w:val="24"/>
          <w:szCs w:val="24"/>
          <w:lang w:val="en-GB"/>
        </w:rPr>
        <w:t xml:space="preserve"> and effective monitoring mechanisms are not in place.</w:t>
      </w:r>
    </w:p>
    <w:p w:rsidR="005F5F9A" w:rsidRPr="00176C8E" w:rsidRDefault="005F5F9A" w:rsidP="00B76E0C">
      <w:pPr>
        <w:pStyle w:val="ListParagraph"/>
        <w:spacing w:line="360" w:lineRule="auto"/>
        <w:jc w:val="both"/>
        <w:rPr>
          <w:rFonts w:ascii="Cambria" w:hAnsi="Cambria"/>
          <w:sz w:val="24"/>
          <w:szCs w:val="24"/>
          <w:lang w:val="en-GB"/>
        </w:rPr>
      </w:pPr>
    </w:p>
    <w:p w:rsidR="00B378C3" w:rsidRDefault="0045250C" w:rsidP="00B76E0C">
      <w:pPr>
        <w:pStyle w:val="ListParagraph"/>
        <w:numPr>
          <w:ilvl w:val="0"/>
          <w:numId w:val="5"/>
        </w:numPr>
        <w:spacing w:line="360" w:lineRule="auto"/>
        <w:jc w:val="both"/>
        <w:rPr>
          <w:rFonts w:ascii="Cambria" w:hAnsi="Cambria"/>
          <w:sz w:val="24"/>
          <w:szCs w:val="24"/>
          <w:lang w:val="en-GB"/>
        </w:rPr>
      </w:pPr>
      <w:r>
        <w:rPr>
          <w:rFonts w:ascii="Cambria" w:hAnsi="Cambria"/>
          <w:sz w:val="24"/>
          <w:szCs w:val="24"/>
          <w:lang w:val="en-GB"/>
        </w:rPr>
        <w:t>Prevalence of</w:t>
      </w:r>
      <w:r w:rsidR="00B378C3">
        <w:rPr>
          <w:rFonts w:ascii="Cambria" w:hAnsi="Cambria"/>
          <w:sz w:val="24"/>
          <w:szCs w:val="24"/>
          <w:lang w:val="en-GB"/>
        </w:rPr>
        <w:t xml:space="preserve"> forced and </w:t>
      </w:r>
      <w:r w:rsidR="000733B7">
        <w:rPr>
          <w:rFonts w:ascii="Cambria" w:hAnsi="Cambria"/>
          <w:sz w:val="24"/>
          <w:szCs w:val="24"/>
          <w:lang w:val="en-GB"/>
        </w:rPr>
        <w:t>non-consensual</w:t>
      </w:r>
      <w:r w:rsidR="00B378C3">
        <w:rPr>
          <w:rFonts w:ascii="Cambria" w:hAnsi="Cambria"/>
          <w:sz w:val="24"/>
          <w:szCs w:val="24"/>
          <w:lang w:val="en-GB"/>
        </w:rPr>
        <w:t xml:space="preserve"> medical health interventions against women wit</w:t>
      </w:r>
      <w:r w:rsidR="002E1F4F">
        <w:rPr>
          <w:rFonts w:ascii="Cambria" w:hAnsi="Cambria"/>
          <w:sz w:val="24"/>
          <w:szCs w:val="24"/>
          <w:lang w:val="en-GB"/>
        </w:rPr>
        <w:t>h</w:t>
      </w:r>
      <w:r w:rsidR="00B378C3">
        <w:rPr>
          <w:rFonts w:ascii="Cambria" w:hAnsi="Cambria"/>
          <w:sz w:val="24"/>
          <w:szCs w:val="24"/>
          <w:lang w:val="en-GB"/>
        </w:rPr>
        <w:t xml:space="preserve"> intellectual</w:t>
      </w:r>
      <w:r w:rsidR="002E1F4F">
        <w:rPr>
          <w:rFonts w:ascii="Cambria" w:hAnsi="Cambria"/>
          <w:sz w:val="24"/>
          <w:szCs w:val="24"/>
          <w:lang w:val="en-GB"/>
        </w:rPr>
        <w:t xml:space="preserve"> and psychosocial</w:t>
      </w:r>
      <w:r w:rsidR="00B378C3">
        <w:rPr>
          <w:rFonts w:ascii="Cambria" w:hAnsi="Cambria"/>
          <w:sz w:val="24"/>
          <w:szCs w:val="24"/>
          <w:lang w:val="en-GB"/>
        </w:rPr>
        <w:t xml:space="preserve"> disabilities in psychiatric medication, sterilization</w:t>
      </w:r>
      <w:r w:rsidR="00746F88">
        <w:rPr>
          <w:rFonts w:ascii="Cambria" w:hAnsi="Cambria"/>
          <w:sz w:val="24"/>
          <w:szCs w:val="24"/>
          <w:lang w:val="en-GB"/>
        </w:rPr>
        <w:t xml:space="preserve">, </w:t>
      </w:r>
      <w:r w:rsidR="00B378C3">
        <w:rPr>
          <w:rFonts w:ascii="Cambria" w:hAnsi="Cambria"/>
          <w:sz w:val="24"/>
          <w:szCs w:val="24"/>
          <w:lang w:val="en-GB"/>
        </w:rPr>
        <w:t xml:space="preserve"> forced abortion and contraception which most of them happen in psychiatric facilities, care institutions and residential facilities i.e. boarding schools both public and private. </w:t>
      </w:r>
    </w:p>
    <w:p w:rsidR="00B378C3" w:rsidRPr="00B378C3" w:rsidRDefault="00B378C3" w:rsidP="00B378C3">
      <w:pPr>
        <w:pStyle w:val="ListParagraph"/>
        <w:rPr>
          <w:rFonts w:ascii="Cambria" w:hAnsi="Cambria"/>
          <w:sz w:val="24"/>
          <w:szCs w:val="24"/>
          <w:lang w:val="en-GB"/>
        </w:rPr>
      </w:pPr>
    </w:p>
    <w:p w:rsidR="00B81871" w:rsidRPr="00D960ED" w:rsidRDefault="00ED5920" w:rsidP="00D960ED">
      <w:pPr>
        <w:pStyle w:val="ListParagraph"/>
        <w:numPr>
          <w:ilvl w:val="0"/>
          <w:numId w:val="5"/>
        </w:numPr>
        <w:spacing w:line="360" w:lineRule="auto"/>
        <w:jc w:val="both"/>
        <w:rPr>
          <w:rFonts w:ascii="Cambria" w:hAnsi="Cambria"/>
          <w:sz w:val="24"/>
          <w:szCs w:val="24"/>
          <w:lang w:val="en-GB"/>
        </w:rPr>
      </w:pPr>
      <w:r w:rsidRPr="00176C8E">
        <w:rPr>
          <w:rFonts w:ascii="Cambria" w:hAnsi="Cambria"/>
          <w:sz w:val="24"/>
          <w:szCs w:val="24"/>
          <w:lang w:val="en-GB"/>
        </w:rPr>
        <w:t xml:space="preserve"> I</w:t>
      </w:r>
      <w:r w:rsidR="00B81871" w:rsidRPr="00176C8E">
        <w:rPr>
          <w:rFonts w:ascii="Cambria" w:hAnsi="Cambria"/>
          <w:sz w:val="24"/>
          <w:szCs w:val="24"/>
          <w:lang w:val="en-GB"/>
        </w:rPr>
        <w:t>n addition to deprivation of liberty in mental health facilities and within criminal settings, deprivation of liberty within civil settings also persists.  Amid prevalent stereotypes and seclusion of famili</w:t>
      </w:r>
      <w:r w:rsidR="0049273B">
        <w:rPr>
          <w:rFonts w:ascii="Cambria" w:hAnsi="Cambria"/>
          <w:sz w:val="24"/>
          <w:szCs w:val="24"/>
          <w:lang w:val="en-GB"/>
        </w:rPr>
        <w:t xml:space="preserve">es of persons with psychosocial and intellectual </w:t>
      </w:r>
      <w:r w:rsidR="00B81871" w:rsidRPr="00176C8E">
        <w:rPr>
          <w:rFonts w:ascii="Cambria" w:hAnsi="Cambria"/>
          <w:sz w:val="24"/>
          <w:szCs w:val="24"/>
          <w:lang w:val="en-GB"/>
        </w:rPr>
        <w:t>disability by the community; some families in ‘goodwill’ have been forced to lock family members with psychosocial</w:t>
      </w:r>
      <w:r w:rsidR="00C51B85">
        <w:rPr>
          <w:rFonts w:ascii="Cambria" w:hAnsi="Cambria"/>
          <w:sz w:val="24"/>
          <w:szCs w:val="24"/>
          <w:lang w:val="en-GB"/>
        </w:rPr>
        <w:t xml:space="preserve"> and intellectual</w:t>
      </w:r>
      <w:r w:rsidR="00B81871" w:rsidRPr="00176C8E">
        <w:rPr>
          <w:rFonts w:ascii="Cambria" w:hAnsi="Cambria"/>
          <w:sz w:val="24"/>
          <w:szCs w:val="24"/>
          <w:lang w:val="en-GB"/>
        </w:rPr>
        <w:t xml:space="preserve"> disability for the fear that they may be abused or for economic reasons since they need to go and earn a living for their families. USP-K</w:t>
      </w:r>
      <w:r w:rsidR="004D4325">
        <w:rPr>
          <w:rFonts w:ascii="Cambria" w:hAnsi="Cambria"/>
          <w:sz w:val="24"/>
          <w:szCs w:val="24"/>
          <w:lang w:val="en-GB"/>
        </w:rPr>
        <w:t xml:space="preserve"> </w:t>
      </w:r>
      <w:r w:rsidR="004D4325" w:rsidRPr="00176C8E">
        <w:rPr>
          <w:rFonts w:ascii="Cambria" w:hAnsi="Cambria"/>
          <w:sz w:val="24"/>
          <w:szCs w:val="24"/>
          <w:lang w:val="en-GB"/>
        </w:rPr>
        <w:t>and</w:t>
      </w:r>
      <w:r w:rsidR="004D4325">
        <w:rPr>
          <w:rFonts w:ascii="Cambria" w:hAnsi="Cambria"/>
          <w:sz w:val="24"/>
          <w:szCs w:val="24"/>
          <w:lang w:val="en-GB"/>
        </w:rPr>
        <w:t xml:space="preserve"> </w:t>
      </w:r>
      <w:r w:rsidR="004D4325" w:rsidRPr="00176C8E">
        <w:rPr>
          <w:rFonts w:ascii="Cambria" w:hAnsi="Cambria"/>
          <w:sz w:val="24"/>
          <w:szCs w:val="24"/>
          <w:lang w:val="en-GB"/>
        </w:rPr>
        <w:t xml:space="preserve">KAIH </w:t>
      </w:r>
      <w:r w:rsidR="00B81871" w:rsidRPr="00176C8E">
        <w:rPr>
          <w:rFonts w:ascii="Cambria" w:hAnsi="Cambria"/>
          <w:sz w:val="24"/>
          <w:szCs w:val="24"/>
          <w:lang w:val="en-GB"/>
        </w:rPr>
        <w:t xml:space="preserve">does not dispute that indeed this is deprivation of liberty </w:t>
      </w:r>
      <w:r w:rsidR="004D4325">
        <w:rPr>
          <w:rFonts w:ascii="Cambria" w:hAnsi="Cambria"/>
          <w:sz w:val="24"/>
          <w:szCs w:val="24"/>
          <w:lang w:val="en-GB"/>
        </w:rPr>
        <w:t>within civil settings,  however we</w:t>
      </w:r>
      <w:r w:rsidR="00B81871" w:rsidRPr="00176C8E">
        <w:rPr>
          <w:rFonts w:ascii="Cambria" w:hAnsi="Cambria"/>
          <w:sz w:val="24"/>
          <w:szCs w:val="24"/>
          <w:lang w:val="en-GB"/>
        </w:rPr>
        <w:t xml:space="preserve"> would like to clarify that limited support to families has forced them to overri</w:t>
      </w:r>
      <w:r w:rsidR="00C414D3">
        <w:rPr>
          <w:rFonts w:ascii="Cambria" w:hAnsi="Cambria"/>
          <w:sz w:val="24"/>
          <w:szCs w:val="24"/>
          <w:lang w:val="en-GB"/>
        </w:rPr>
        <w:t xml:space="preserve">de rights with ‘duty to care’. </w:t>
      </w:r>
      <w:r w:rsidR="00B81871" w:rsidRPr="00176C8E">
        <w:rPr>
          <w:rFonts w:ascii="Cambria" w:hAnsi="Cambria"/>
          <w:sz w:val="24"/>
          <w:szCs w:val="24"/>
          <w:lang w:val="en-GB"/>
        </w:rPr>
        <w:t>Our limited respite care which is determined by severity of disability supports only a limited number of persons with disabilities. Currently our social protection system (the Cash transfer programme) caters for 70 households per constituency targeting specifically people with high support needs.</w:t>
      </w:r>
      <w:r w:rsidR="00B81871" w:rsidRPr="00176C8E">
        <w:rPr>
          <w:rStyle w:val="FootnoteReference"/>
          <w:rFonts w:ascii="Cambria" w:eastAsia="Calibri" w:hAnsi="Cambria"/>
          <w:sz w:val="24"/>
          <w:szCs w:val="24"/>
          <w:lang w:val="en-GB"/>
        </w:rPr>
        <w:footnoteReference w:id="20"/>
      </w:r>
      <w:r w:rsidR="00D960ED">
        <w:rPr>
          <w:rFonts w:ascii="Cambria" w:hAnsi="Cambria"/>
          <w:sz w:val="24"/>
          <w:szCs w:val="24"/>
          <w:lang w:val="en-GB"/>
        </w:rPr>
        <w:t xml:space="preserve"> </w:t>
      </w:r>
      <w:r w:rsidR="00B81871" w:rsidRPr="00D960ED">
        <w:rPr>
          <w:rFonts w:ascii="Cambria" w:hAnsi="Cambria"/>
          <w:sz w:val="24"/>
          <w:szCs w:val="24"/>
          <w:lang w:val="en-GB"/>
        </w:rPr>
        <w:t xml:space="preserve"> It is also to be noted that the primary objective of the </w:t>
      </w:r>
      <w:r w:rsidR="00B81871" w:rsidRPr="00D960ED">
        <w:rPr>
          <w:rFonts w:ascii="Cambria" w:hAnsi="Cambria"/>
          <w:sz w:val="24"/>
          <w:szCs w:val="24"/>
          <w:lang w:val="en-GB"/>
        </w:rPr>
        <w:lastRenderedPageBreak/>
        <w:t>current cash transfer programme is to empower caregivers in order to improve the lives and livelihoods of persons with severe disabilities within their household. The challenge in such a system is power relations and how this can impact on choice and control especially if the person is an indirect beneficiary.</w:t>
      </w:r>
    </w:p>
    <w:p w:rsidR="00226E2F" w:rsidRPr="00176C8E" w:rsidRDefault="00226E2F" w:rsidP="00B76E0C">
      <w:pPr>
        <w:pStyle w:val="ListParagraph"/>
        <w:spacing w:line="360" w:lineRule="auto"/>
        <w:jc w:val="both"/>
        <w:rPr>
          <w:rFonts w:ascii="Cambria" w:hAnsi="Cambria"/>
          <w:sz w:val="24"/>
          <w:szCs w:val="24"/>
          <w:lang w:val="en-GB"/>
        </w:rPr>
      </w:pPr>
    </w:p>
    <w:p w:rsidR="00B81871" w:rsidRPr="00176C8E" w:rsidRDefault="00B81871" w:rsidP="00B76E0C">
      <w:pPr>
        <w:pStyle w:val="ListParagraph"/>
        <w:numPr>
          <w:ilvl w:val="0"/>
          <w:numId w:val="5"/>
        </w:numPr>
        <w:spacing w:line="360" w:lineRule="auto"/>
        <w:jc w:val="both"/>
        <w:rPr>
          <w:rFonts w:ascii="Cambria" w:hAnsi="Cambria"/>
          <w:sz w:val="24"/>
          <w:szCs w:val="24"/>
          <w:lang w:val="en-GB"/>
        </w:rPr>
      </w:pPr>
      <w:r w:rsidRPr="00176C8E">
        <w:rPr>
          <w:rFonts w:ascii="Cambria" w:hAnsi="Cambria"/>
          <w:sz w:val="24"/>
          <w:szCs w:val="24"/>
          <w:lang w:val="en-GB"/>
        </w:rPr>
        <w:t xml:space="preserve"> USP-K </w:t>
      </w:r>
      <w:r w:rsidR="007D3D32">
        <w:rPr>
          <w:rFonts w:ascii="Cambria" w:hAnsi="Cambria"/>
          <w:sz w:val="24"/>
          <w:szCs w:val="24"/>
          <w:lang w:val="en-GB"/>
        </w:rPr>
        <w:t>and KAIH</w:t>
      </w:r>
      <w:r w:rsidR="007D3D32" w:rsidRPr="00176C8E">
        <w:rPr>
          <w:rFonts w:ascii="Cambria" w:hAnsi="Cambria"/>
          <w:sz w:val="24"/>
          <w:szCs w:val="24"/>
          <w:lang w:val="en-GB"/>
        </w:rPr>
        <w:t xml:space="preserve"> </w:t>
      </w:r>
      <w:r w:rsidRPr="00176C8E">
        <w:rPr>
          <w:rFonts w:ascii="Cambria" w:hAnsi="Cambria"/>
          <w:sz w:val="24"/>
          <w:szCs w:val="24"/>
          <w:lang w:val="en-GB"/>
        </w:rPr>
        <w:t>commends the State for continuous efforts to expand the programme, however the targeting approach</w:t>
      </w:r>
      <w:r w:rsidRPr="00176C8E">
        <w:rPr>
          <w:rStyle w:val="FootnoteReference"/>
          <w:rFonts w:ascii="Cambria" w:eastAsia="Calibri" w:hAnsi="Cambria"/>
          <w:sz w:val="24"/>
          <w:szCs w:val="24"/>
          <w:lang w:val="en-GB"/>
        </w:rPr>
        <w:footnoteReference w:id="21"/>
      </w:r>
      <w:r w:rsidRPr="00176C8E">
        <w:rPr>
          <w:rFonts w:ascii="Cambria" w:hAnsi="Cambria"/>
          <w:sz w:val="24"/>
          <w:szCs w:val="24"/>
          <w:lang w:val="en-GB"/>
        </w:rPr>
        <w:t xml:space="preserve"> and the objective of the cash transfer programme may require review to ensure that support directly benefits both persons with disabilities thereby enhancing their choice and control; and families of persons with disabilities thereby enhancing their income security.</w:t>
      </w:r>
    </w:p>
    <w:p w:rsidR="009819A9" w:rsidRPr="00176C8E" w:rsidRDefault="009819A9" w:rsidP="00B76E0C">
      <w:pPr>
        <w:pStyle w:val="ListParagraph"/>
        <w:spacing w:line="360" w:lineRule="auto"/>
        <w:jc w:val="both"/>
        <w:rPr>
          <w:rFonts w:ascii="Cambria" w:hAnsi="Cambria"/>
          <w:sz w:val="24"/>
          <w:szCs w:val="24"/>
          <w:lang w:val="en-GB"/>
        </w:rPr>
      </w:pPr>
    </w:p>
    <w:p w:rsidR="00B81871" w:rsidRDefault="00B81871" w:rsidP="00B76E0C">
      <w:pPr>
        <w:pStyle w:val="ListParagraph"/>
        <w:numPr>
          <w:ilvl w:val="0"/>
          <w:numId w:val="5"/>
        </w:numPr>
        <w:spacing w:line="360" w:lineRule="auto"/>
        <w:jc w:val="both"/>
        <w:rPr>
          <w:rFonts w:ascii="Cambria" w:hAnsi="Cambria"/>
          <w:sz w:val="24"/>
          <w:szCs w:val="24"/>
          <w:lang w:val="en-GB"/>
        </w:rPr>
      </w:pPr>
      <w:r w:rsidRPr="00176C8E">
        <w:rPr>
          <w:rFonts w:ascii="Cambria" w:hAnsi="Cambria"/>
          <w:sz w:val="24"/>
          <w:szCs w:val="24"/>
          <w:lang w:val="en-GB"/>
        </w:rPr>
        <w:t xml:space="preserve">In light of this, </w:t>
      </w:r>
      <w:r w:rsidR="007D3D32">
        <w:rPr>
          <w:rFonts w:ascii="Cambria" w:hAnsi="Cambria"/>
          <w:sz w:val="24"/>
          <w:szCs w:val="24"/>
          <w:lang w:val="en-GB"/>
        </w:rPr>
        <w:t xml:space="preserve">USP-K and KAIH </w:t>
      </w:r>
      <w:r w:rsidRPr="00176C8E">
        <w:rPr>
          <w:rFonts w:ascii="Cambria" w:hAnsi="Cambria"/>
          <w:sz w:val="24"/>
          <w:szCs w:val="24"/>
          <w:lang w:val="en-GB"/>
        </w:rPr>
        <w:t>in its position reiterates the CRPD Committee guidelines on implementation of the right to liberty and security of person;</w:t>
      </w:r>
      <w:r w:rsidRPr="00176C8E">
        <w:rPr>
          <w:rStyle w:val="FootnoteReference"/>
          <w:rFonts w:ascii="Cambria" w:eastAsia="Calibri" w:hAnsi="Cambria"/>
          <w:sz w:val="24"/>
          <w:szCs w:val="24"/>
          <w:lang w:val="en-GB"/>
        </w:rPr>
        <w:footnoteReference w:id="22"/>
      </w:r>
      <w:r w:rsidRPr="00176C8E">
        <w:rPr>
          <w:rFonts w:ascii="Cambria" w:hAnsi="Cambria"/>
          <w:sz w:val="24"/>
          <w:szCs w:val="24"/>
          <w:lang w:val="en-GB"/>
        </w:rPr>
        <w:t xml:space="preserve"> and basic principles and the guidelines on remedies and procedure on the right of anyone deprived of their liberty to bring proceedings before the Court  by the working group on arbitrary detention </w:t>
      </w:r>
      <w:r w:rsidRPr="00176C8E">
        <w:rPr>
          <w:rStyle w:val="FootnoteReference"/>
          <w:rFonts w:ascii="Cambria" w:eastAsia="Calibri" w:hAnsi="Cambria"/>
          <w:sz w:val="24"/>
          <w:szCs w:val="24"/>
          <w:lang w:val="en-GB"/>
        </w:rPr>
        <w:footnoteReference w:id="23"/>
      </w:r>
      <w:r w:rsidRPr="00176C8E">
        <w:rPr>
          <w:rFonts w:ascii="Cambria" w:hAnsi="Cambria"/>
          <w:sz w:val="24"/>
          <w:szCs w:val="24"/>
          <w:lang w:val="en-GB"/>
        </w:rPr>
        <w:t xml:space="preserve"> and makes the following recommendations:</w:t>
      </w:r>
    </w:p>
    <w:p w:rsidR="002C0178" w:rsidRPr="002C0178" w:rsidRDefault="002C0178" w:rsidP="002C0178">
      <w:pPr>
        <w:pStyle w:val="ListParagraph"/>
        <w:rPr>
          <w:rFonts w:ascii="Cambria" w:hAnsi="Cambria"/>
          <w:sz w:val="24"/>
          <w:szCs w:val="24"/>
          <w:lang w:val="en-GB"/>
        </w:rPr>
      </w:pPr>
    </w:p>
    <w:p w:rsidR="002C0178" w:rsidRPr="00176C8E" w:rsidRDefault="002C0178" w:rsidP="002C0178">
      <w:pPr>
        <w:pStyle w:val="ListParagraph"/>
        <w:spacing w:line="360" w:lineRule="auto"/>
        <w:jc w:val="both"/>
        <w:rPr>
          <w:rFonts w:ascii="Cambria" w:hAnsi="Cambria"/>
          <w:sz w:val="24"/>
          <w:szCs w:val="24"/>
          <w:lang w:val="en-GB"/>
        </w:rPr>
      </w:pPr>
    </w:p>
    <w:p w:rsidR="00B81871" w:rsidRPr="00176C8E" w:rsidRDefault="00B81871" w:rsidP="00B76E0C">
      <w:pPr>
        <w:pStyle w:val="ListParagraph"/>
        <w:numPr>
          <w:ilvl w:val="0"/>
          <w:numId w:val="5"/>
        </w:numPr>
        <w:spacing w:line="360" w:lineRule="auto"/>
        <w:jc w:val="both"/>
        <w:rPr>
          <w:rFonts w:ascii="Cambria" w:hAnsi="Cambria"/>
          <w:sz w:val="24"/>
          <w:szCs w:val="24"/>
          <w:lang w:val="en-GB"/>
        </w:rPr>
      </w:pPr>
      <w:r w:rsidRPr="00176C8E">
        <w:rPr>
          <w:rFonts w:ascii="Cambria" w:hAnsi="Cambria"/>
          <w:sz w:val="24"/>
          <w:szCs w:val="24"/>
          <w:lang w:val="en-GB"/>
        </w:rPr>
        <w:t>The State:</w:t>
      </w:r>
    </w:p>
    <w:p w:rsidR="00B81871" w:rsidRDefault="00B81871" w:rsidP="00B76E0C">
      <w:pPr>
        <w:pStyle w:val="ListParagraph"/>
        <w:numPr>
          <w:ilvl w:val="0"/>
          <w:numId w:val="8"/>
        </w:numPr>
        <w:spacing w:line="360" w:lineRule="auto"/>
        <w:jc w:val="both"/>
        <w:rPr>
          <w:rFonts w:ascii="Cambria" w:hAnsi="Cambria"/>
          <w:sz w:val="24"/>
          <w:szCs w:val="24"/>
          <w:lang w:val="en-GB"/>
        </w:rPr>
      </w:pPr>
      <w:r w:rsidRPr="00176C8E">
        <w:rPr>
          <w:rFonts w:ascii="Cambria" w:hAnsi="Cambria"/>
          <w:sz w:val="24"/>
          <w:szCs w:val="24"/>
          <w:lang w:val="en-GB"/>
        </w:rPr>
        <w:t>Should refrain from security measures and diversion programmes which include mental health commitment unless it’s based on free and informed consent. USP-</w:t>
      </w:r>
      <w:proofErr w:type="gramStart"/>
      <w:r w:rsidRPr="00176C8E">
        <w:rPr>
          <w:rFonts w:ascii="Cambria" w:hAnsi="Cambria"/>
          <w:sz w:val="24"/>
          <w:szCs w:val="24"/>
          <w:lang w:val="en-GB"/>
        </w:rPr>
        <w:t xml:space="preserve">K </w:t>
      </w:r>
      <w:r w:rsidR="007D3D32">
        <w:rPr>
          <w:rFonts w:ascii="Cambria" w:hAnsi="Cambria"/>
          <w:sz w:val="24"/>
          <w:szCs w:val="24"/>
          <w:lang w:val="en-GB"/>
        </w:rPr>
        <w:t xml:space="preserve"> and</w:t>
      </w:r>
      <w:proofErr w:type="gramEnd"/>
      <w:r w:rsidR="007D3D32">
        <w:rPr>
          <w:rFonts w:ascii="Cambria" w:hAnsi="Cambria"/>
          <w:sz w:val="24"/>
          <w:szCs w:val="24"/>
          <w:lang w:val="en-GB"/>
        </w:rPr>
        <w:t xml:space="preserve"> KAIH </w:t>
      </w:r>
      <w:r w:rsidRPr="00176C8E">
        <w:rPr>
          <w:rFonts w:ascii="Cambria" w:hAnsi="Cambria"/>
          <w:sz w:val="24"/>
          <w:szCs w:val="24"/>
          <w:lang w:val="en-GB"/>
        </w:rPr>
        <w:t xml:space="preserve">firmly observes that individuals should be liable for their actions and </w:t>
      </w:r>
      <w:r w:rsidRPr="00176C8E">
        <w:rPr>
          <w:rFonts w:ascii="Cambria" w:hAnsi="Cambria"/>
          <w:sz w:val="24"/>
          <w:szCs w:val="24"/>
          <w:lang w:val="en-GB"/>
        </w:rPr>
        <w:lastRenderedPageBreak/>
        <w:t>therefore ought to fulfil th</w:t>
      </w:r>
      <w:r w:rsidR="00F7679E">
        <w:rPr>
          <w:rFonts w:ascii="Cambria" w:hAnsi="Cambria"/>
          <w:sz w:val="24"/>
          <w:szCs w:val="24"/>
          <w:lang w:val="en-GB"/>
        </w:rPr>
        <w:t>eir duty to obey the law. T</w:t>
      </w:r>
      <w:r w:rsidRPr="00176C8E">
        <w:rPr>
          <w:rFonts w:ascii="Cambria" w:hAnsi="Cambria"/>
          <w:sz w:val="24"/>
          <w:szCs w:val="24"/>
          <w:lang w:val="en-GB"/>
        </w:rPr>
        <w:t>herefore recommends that the State explores alternative diversion programmes such as community service sentence for petty offenders with</w:t>
      </w:r>
      <w:r w:rsidR="005F483B">
        <w:rPr>
          <w:rFonts w:ascii="Cambria" w:hAnsi="Cambria"/>
          <w:sz w:val="24"/>
          <w:szCs w:val="24"/>
          <w:lang w:val="en-GB"/>
        </w:rPr>
        <w:t xml:space="preserve"> intellectual and</w:t>
      </w:r>
      <w:r w:rsidRPr="00176C8E">
        <w:rPr>
          <w:rFonts w:ascii="Cambria" w:hAnsi="Cambria"/>
          <w:sz w:val="24"/>
          <w:szCs w:val="24"/>
          <w:lang w:val="en-GB"/>
        </w:rPr>
        <w:t xml:space="preserve"> psychosocial disability.</w:t>
      </w:r>
    </w:p>
    <w:p w:rsidR="00FF4088" w:rsidRPr="00176C8E" w:rsidRDefault="00FF4088" w:rsidP="00FF4088">
      <w:pPr>
        <w:pStyle w:val="ListParagraph"/>
        <w:spacing w:line="360" w:lineRule="auto"/>
        <w:jc w:val="both"/>
        <w:rPr>
          <w:rFonts w:ascii="Cambria" w:hAnsi="Cambria"/>
          <w:sz w:val="24"/>
          <w:szCs w:val="24"/>
          <w:lang w:val="en-GB"/>
        </w:rPr>
      </w:pPr>
    </w:p>
    <w:p w:rsidR="00B81871" w:rsidRDefault="00B81871" w:rsidP="00B76E0C">
      <w:pPr>
        <w:pStyle w:val="ListParagraph"/>
        <w:numPr>
          <w:ilvl w:val="0"/>
          <w:numId w:val="9"/>
        </w:numPr>
        <w:spacing w:line="360" w:lineRule="auto"/>
        <w:jc w:val="both"/>
        <w:rPr>
          <w:rFonts w:ascii="Cambria" w:hAnsi="Cambria"/>
          <w:sz w:val="24"/>
          <w:szCs w:val="24"/>
          <w:lang w:val="en-GB"/>
        </w:rPr>
      </w:pPr>
      <w:r w:rsidRPr="00176C8E">
        <w:rPr>
          <w:rFonts w:ascii="Cambria" w:hAnsi="Cambria"/>
          <w:sz w:val="24"/>
          <w:szCs w:val="24"/>
          <w:lang w:val="en-GB"/>
        </w:rPr>
        <w:t>Facilitate the independ</w:t>
      </w:r>
      <w:r w:rsidR="00A1014E">
        <w:rPr>
          <w:rFonts w:ascii="Cambria" w:hAnsi="Cambria"/>
          <w:sz w:val="24"/>
          <w:szCs w:val="24"/>
          <w:lang w:val="en-GB"/>
        </w:rPr>
        <w:t>ent monitoring framework under A</w:t>
      </w:r>
      <w:r w:rsidRPr="00176C8E">
        <w:rPr>
          <w:rFonts w:ascii="Cambria" w:hAnsi="Cambria"/>
          <w:sz w:val="24"/>
          <w:szCs w:val="24"/>
          <w:lang w:val="en-GB"/>
        </w:rPr>
        <w:t xml:space="preserve">rticle 33 (2) of the CRPD which include the Kenya National Commission on Human Rights and the National Gender and Equality Commission to monitor mental health facilities and other places of detention. This should </w:t>
      </w:r>
      <w:proofErr w:type="gramStart"/>
      <w:r w:rsidRPr="00176C8E">
        <w:rPr>
          <w:rFonts w:ascii="Cambria" w:hAnsi="Cambria"/>
          <w:sz w:val="24"/>
          <w:szCs w:val="24"/>
          <w:lang w:val="en-GB"/>
        </w:rPr>
        <w:t xml:space="preserve">be </w:t>
      </w:r>
      <w:r w:rsidR="00F5199C">
        <w:rPr>
          <w:rFonts w:ascii="Cambria" w:hAnsi="Cambria"/>
          <w:sz w:val="24"/>
          <w:szCs w:val="24"/>
          <w:lang w:val="en-GB"/>
        </w:rPr>
        <w:t xml:space="preserve"> </w:t>
      </w:r>
      <w:r w:rsidRPr="00176C8E">
        <w:rPr>
          <w:rFonts w:ascii="Cambria" w:hAnsi="Cambria"/>
          <w:sz w:val="24"/>
          <w:szCs w:val="24"/>
          <w:lang w:val="en-GB"/>
        </w:rPr>
        <w:t>done</w:t>
      </w:r>
      <w:proofErr w:type="gramEnd"/>
      <w:r w:rsidRPr="00176C8E">
        <w:rPr>
          <w:rFonts w:ascii="Cambria" w:hAnsi="Cambria"/>
          <w:sz w:val="24"/>
          <w:szCs w:val="24"/>
          <w:lang w:val="en-GB"/>
        </w:rPr>
        <w:t xml:space="preserve"> in consultation with representative organizations of persons with </w:t>
      </w:r>
      <w:r w:rsidR="009D2791">
        <w:rPr>
          <w:rFonts w:ascii="Cambria" w:hAnsi="Cambria"/>
          <w:sz w:val="24"/>
          <w:szCs w:val="24"/>
          <w:lang w:val="en-GB"/>
        </w:rPr>
        <w:t xml:space="preserve"> intellectual and </w:t>
      </w:r>
      <w:r w:rsidRPr="00176C8E">
        <w:rPr>
          <w:rFonts w:ascii="Cambria" w:hAnsi="Cambria"/>
          <w:sz w:val="24"/>
          <w:szCs w:val="24"/>
          <w:lang w:val="en-GB"/>
        </w:rPr>
        <w:t>psychosocial disability.</w:t>
      </w:r>
    </w:p>
    <w:p w:rsidR="00FF4088" w:rsidRPr="00176C8E" w:rsidRDefault="00FF4088" w:rsidP="00FF4088">
      <w:pPr>
        <w:pStyle w:val="ListParagraph"/>
        <w:spacing w:line="360" w:lineRule="auto"/>
        <w:jc w:val="both"/>
        <w:rPr>
          <w:rFonts w:ascii="Cambria" w:hAnsi="Cambria"/>
          <w:sz w:val="24"/>
          <w:szCs w:val="24"/>
          <w:lang w:val="en-GB"/>
        </w:rPr>
      </w:pPr>
    </w:p>
    <w:p w:rsidR="00685FE6" w:rsidRDefault="00B81871" w:rsidP="00B76E0C">
      <w:pPr>
        <w:pStyle w:val="ListParagraph"/>
        <w:numPr>
          <w:ilvl w:val="0"/>
          <w:numId w:val="9"/>
        </w:numPr>
        <w:spacing w:line="360" w:lineRule="auto"/>
        <w:jc w:val="both"/>
        <w:rPr>
          <w:rFonts w:ascii="Cambria" w:hAnsi="Cambria"/>
          <w:sz w:val="24"/>
          <w:szCs w:val="24"/>
          <w:lang w:val="en-GB"/>
        </w:rPr>
      </w:pPr>
      <w:r w:rsidRPr="00176C8E">
        <w:rPr>
          <w:rFonts w:ascii="Cambria" w:hAnsi="Cambria"/>
          <w:sz w:val="24"/>
          <w:szCs w:val="24"/>
          <w:lang w:val="en-GB"/>
        </w:rPr>
        <w:t>Expand the social protection system to be more inclusive and avail economic empowerment programmes for persons with</w:t>
      </w:r>
      <w:r w:rsidR="007C044A">
        <w:rPr>
          <w:rFonts w:ascii="Cambria" w:hAnsi="Cambria"/>
          <w:sz w:val="24"/>
          <w:szCs w:val="24"/>
          <w:lang w:val="en-GB"/>
        </w:rPr>
        <w:t xml:space="preserve"> intellectual and</w:t>
      </w:r>
      <w:r w:rsidRPr="00176C8E">
        <w:rPr>
          <w:rFonts w:ascii="Cambria" w:hAnsi="Cambria"/>
          <w:sz w:val="24"/>
          <w:szCs w:val="24"/>
          <w:lang w:val="en-GB"/>
        </w:rPr>
        <w:t xml:space="preserve"> psychosocial disability.</w:t>
      </w:r>
    </w:p>
    <w:p w:rsidR="00BB3C7A" w:rsidRPr="00BB3C7A" w:rsidRDefault="00BB3C7A" w:rsidP="00BB3C7A">
      <w:pPr>
        <w:pStyle w:val="ListParagraph"/>
        <w:rPr>
          <w:rFonts w:ascii="Cambria" w:hAnsi="Cambria"/>
          <w:sz w:val="24"/>
          <w:szCs w:val="24"/>
          <w:lang w:val="en-GB"/>
        </w:rPr>
      </w:pPr>
    </w:p>
    <w:p w:rsidR="00BB3C7A" w:rsidRPr="007D2219" w:rsidRDefault="00BB3C7A" w:rsidP="00BB3C7A">
      <w:pPr>
        <w:pStyle w:val="ListParagraph"/>
        <w:spacing w:line="360" w:lineRule="auto"/>
        <w:jc w:val="both"/>
        <w:rPr>
          <w:rFonts w:ascii="Cambria" w:hAnsi="Cambria"/>
          <w:sz w:val="24"/>
          <w:szCs w:val="24"/>
          <w:lang w:val="en-GB"/>
        </w:rPr>
      </w:pPr>
    </w:p>
    <w:p w:rsidR="007E0756" w:rsidRPr="007D2219" w:rsidRDefault="007E0756" w:rsidP="007D2219">
      <w:pPr>
        <w:spacing w:line="360" w:lineRule="auto"/>
        <w:jc w:val="both"/>
        <w:rPr>
          <w:rFonts w:ascii="Cambria" w:hAnsi="Cambria"/>
          <w:sz w:val="24"/>
          <w:szCs w:val="24"/>
        </w:rPr>
      </w:pPr>
      <w:r w:rsidRPr="007D2219">
        <w:rPr>
          <w:rFonts w:ascii="Cambria" w:hAnsi="Cambria"/>
          <w:sz w:val="24"/>
          <w:szCs w:val="24"/>
        </w:rPr>
        <w:t xml:space="preserve">In conclusion, KAIH (Kenya Association of the Intellectually Handicapped) </w:t>
      </w:r>
      <w:r w:rsidR="000733B7" w:rsidRPr="007D2219">
        <w:rPr>
          <w:rFonts w:ascii="Cambria" w:hAnsi="Cambria"/>
          <w:sz w:val="24"/>
          <w:szCs w:val="24"/>
        </w:rPr>
        <w:t>and USP</w:t>
      </w:r>
      <w:r w:rsidRPr="007D2219">
        <w:rPr>
          <w:rFonts w:ascii="Cambria" w:hAnsi="Cambria"/>
          <w:sz w:val="24"/>
          <w:szCs w:val="24"/>
        </w:rPr>
        <w:t>-K (Users and Survivors of Psychiatry in Kenya) would like to thank the UN Working Group for th</w:t>
      </w:r>
      <w:r w:rsidR="00984EEA">
        <w:rPr>
          <w:rFonts w:ascii="Cambria" w:hAnsi="Cambria"/>
          <w:sz w:val="24"/>
          <w:szCs w:val="24"/>
        </w:rPr>
        <w:t xml:space="preserve">e opportunity to </w:t>
      </w:r>
      <w:r w:rsidR="000733B7">
        <w:rPr>
          <w:rFonts w:ascii="Cambria" w:hAnsi="Cambria"/>
          <w:sz w:val="24"/>
          <w:szCs w:val="24"/>
        </w:rPr>
        <w:t>make submissions</w:t>
      </w:r>
      <w:r w:rsidR="00984EEA">
        <w:rPr>
          <w:rFonts w:ascii="Cambria" w:hAnsi="Cambria"/>
          <w:sz w:val="24"/>
          <w:szCs w:val="24"/>
        </w:rPr>
        <w:t xml:space="preserve"> </w:t>
      </w:r>
      <w:r w:rsidRPr="007D2219">
        <w:rPr>
          <w:rFonts w:ascii="Cambria" w:hAnsi="Cambria"/>
          <w:sz w:val="24"/>
          <w:szCs w:val="24"/>
        </w:rPr>
        <w:t xml:space="preserve">in this regard. </w:t>
      </w:r>
    </w:p>
    <w:p w:rsidR="007E0756" w:rsidRPr="007D2219" w:rsidRDefault="007E0756" w:rsidP="007D2219">
      <w:pPr>
        <w:pStyle w:val="NormalWeb"/>
        <w:spacing w:line="360" w:lineRule="auto"/>
        <w:jc w:val="both"/>
        <w:rPr>
          <w:rFonts w:ascii="Cambria" w:hAnsi="Cambria"/>
        </w:rPr>
      </w:pPr>
    </w:p>
    <w:p w:rsidR="007E0756" w:rsidRPr="00176C8E" w:rsidRDefault="007E0756" w:rsidP="00B76E0C">
      <w:pPr>
        <w:pStyle w:val="NormalWeb"/>
        <w:spacing w:line="360" w:lineRule="auto"/>
        <w:jc w:val="both"/>
        <w:rPr>
          <w:rFonts w:ascii="Cambria" w:hAnsi="Cambria" w:cstheme="majorHAnsi"/>
        </w:rPr>
      </w:pPr>
    </w:p>
    <w:sectPr w:rsidR="007E0756" w:rsidRPr="00176C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F0" w:rsidRDefault="00B40CF0" w:rsidP="001611AB">
      <w:pPr>
        <w:spacing w:after="0" w:line="240" w:lineRule="auto"/>
      </w:pPr>
      <w:r>
        <w:separator/>
      </w:r>
    </w:p>
  </w:endnote>
  <w:endnote w:type="continuationSeparator" w:id="0">
    <w:p w:rsidR="00B40CF0" w:rsidRDefault="00B40CF0" w:rsidP="0016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187581"/>
      <w:docPartObj>
        <w:docPartGallery w:val="Page Numbers (Bottom of Page)"/>
        <w:docPartUnique/>
      </w:docPartObj>
    </w:sdtPr>
    <w:sdtEndPr>
      <w:rPr>
        <w:noProof/>
      </w:rPr>
    </w:sdtEndPr>
    <w:sdtContent>
      <w:p w:rsidR="00F40482" w:rsidRDefault="00F40482">
        <w:pPr>
          <w:pStyle w:val="Footer"/>
          <w:jc w:val="right"/>
        </w:pPr>
        <w:r>
          <w:fldChar w:fldCharType="begin"/>
        </w:r>
        <w:r>
          <w:instrText xml:space="preserve"> PAGE   \* MERGEFORMAT </w:instrText>
        </w:r>
        <w:r>
          <w:fldChar w:fldCharType="separate"/>
        </w:r>
        <w:r w:rsidR="001328C2">
          <w:rPr>
            <w:noProof/>
          </w:rPr>
          <w:t>1</w:t>
        </w:r>
        <w:r>
          <w:rPr>
            <w:noProof/>
          </w:rPr>
          <w:fldChar w:fldCharType="end"/>
        </w:r>
      </w:p>
    </w:sdtContent>
  </w:sdt>
  <w:p w:rsidR="00F40482" w:rsidRDefault="00F40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F0" w:rsidRDefault="00B40CF0" w:rsidP="001611AB">
      <w:pPr>
        <w:spacing w:after="0" w:line="240" w:lineRule="auto"/>
      </w:pPr>
      <w:r>
        <w:separator/>
      </w:r>
    </w:p>
  </w:footnote>
  <w:footnote w:type="continuationSeparator" w:id="0">
    <w:p w:rsidR="00B40CF0" w:rsidRDefault="00B40CF0" w:rsidP="001611AB">
      <w:pPr>
        <w:spacing w:after="0" w:line="240" w:lineRule="auto"/>
      </w:pPr>
      <w:r>
        <w:continuationSeparator/>
      </w:r>
    </w:p>
  </w:footnote>
  <w:footnote w:id="1">
    <w:p w:rsidR="002D426F" w:rsidRPr="00B35E1C" w:rsidRDefault="002D426F" w:rsidP="00B35E1C">
      <w:pPr>
        <w:pStyle w:val="FootnoteText"/>
        <w:rPr>
          <w:rFonts w:ascii="Cambria" w:hAnsi="Cambria"/>
          <w:sz w:val="20"/>
          <w:szCs w:val="20"/>
        </w:rPr>
      </w:pPr>
      <w:r w:rsidRPr="00704C49">
        <w:rPr>
          <w:rStyle w:val="FootnoteReference"/>
          <w:rFonts w:ascii="Cambria" w:hAnsi="Cambria"/>
          <w:sz w:val="20"/>
          <w:szCs w:val="20"/>
        </w:rPr>
        <w:footnoteRef/>
      </w:r>
      <w:r w:rsidRPr="00704C49">
        <w:rPr>
          <w:rFonts w:ascii="Cambria" w:hAnsi="Cambria"/>
          <w:sz w:val="20"/>
          <w:szCs w:val="20"/>
        </w:rPr>
        <w:t xml:space="preserve"> </w:t>
      </w:r>
      <w:r w:rsidRPr="00B35E1C">
        <w:rPr>
          <w:rFonts w:ascii="Cambria" w:hAnsi="Cambria"/>
          <w:sz w:val="20"/>
          <w:szCs w:val="20"/>
        </w:rPr>
        <w:t>Kenya Association for the Intellectually Handicapped, retrieved from</w:t>
      </w:r>
      <w:r w:rsidR="00D11535">
        <w:rPr>
          <w:rFonts w:ascii="Cambria" w:hAnsi="Cambria"/>
          <w:sz w:val="20"/>
          <w:szCs w:val="20"/>
        </w:rPr>
        <w:t>&lt;</w:t>
      </w:r>
      <w:r w:rsidRPr="00B35E1C">
        <w:rPr>
          <w:rFonts w:ascii="Cambria" w:hAnsi="Cambria"/>
          <w:sz w:val="20"/>
          <w:szCs w:val="20"/>
        </w:rPr>
        <w:t xml:space="preserve"> </w:t>
      </w:r>
      <w:hyperlink r:id="rId1" w:history="1">
        <w:r w:rsidRPr="00B35E1C">
          <w:rPr>
            <w:rStyle w:val="Hyperlink"/>
            <w:rFonts w:ascii="Cambria" w:hAnsi="Cambria"/>
            <w:sz w:val="20"/>
            <w:szCs w:val="20"/>
          </w:rPr>
          <w:t>https://www.kaihid.org/</w:t>
        </w:r>
      </w:hyperlink>
      <w:r w:rsidR="00D11535">
        <w:rPr>
          <w:rStyle w:val="Hyperlink"/>
          <w:rFonts w:ascii="Cambria" w:hAnsi="Cambria"/>
          <w:sz w:val="20"/>
          <w:szCs w:val="20"/>
        </w:rPr>
        <w:t>&gt;</w:t>
      </w:r>
      <w:r w:rsidR="00DA53D8">
        <w:rPr>
          <w:rFonts w:ascii="Cambria" w:hAnsi="Cambria"/>
          <w:sz w:val="20"/>
          <w:szCs w:val="20"/>
        </w:rPr>
        <w:t xml:space="preserve"> accessed on 10 September </w:t>
      </w:r>
      <w:r w:rsidRPr="00B35E1C">
        <w:rPr>
          <w:rFonts w:ascii="Cambria" w:hAnsi="Cambria"/>
          <w:sz w:val="20"/>
          <w:szCs w:val="20"/>
        </w:rPr>
        <w:t xml:space="preserve">2018. </w:t>
      </w:r>
    </w:p>
  </w:footnote>
  <w:footnote w:id="2">
    <w:p w:rsidR="002D426F" w:rsidRPr="00B35E1C" w:rsidRDefault="002D426F" w:rsidP="00B35E1C">
      <w:pPr>
        <w:pStyle w:val="FootnoteText"/>
        <w:rPr>
          <w:rFonts w:ascii="Cambria" w:hAnsi="Cambria"/>
          <w:sz w:val="20"/>
          <w:szCs w:val="20"/>
        </w:rPr>
      </w:pPr>
      <w:r w:rsidRPr="00B35E1C">
        <w:rPr>
          <w:rStyle w:val="FootnoteReference"/>
          <w:rFonts w:ascii="Cambria" w:hAnsi="Cambria"/>
          <w:sz w:val="20"/>
          <w:szCs w:val="20"/>
        </w:rPr>
        <w:footnoteRef/>
      </w:r>
      <w:r w:rsidRPr="00B35E1C">
        <w:rPr>
          <w:rFonts w:ascii="Cambria" w:hAnsi="Cambria"/>
          <w:sz w:val="20"/>
          <w:szCs w:val="20"/>
        </w:rPr>
        <w:t xml:space="preserve">  Users and Survivors of Psychiatry in Kenya retrieved from </w:t>
      </w:r>
      <w:r w:rsidR="00D11535">
        <w:rPr>
          <w:rFonts w:ascii="Cambria" w:hAnsi="Cambria"/>
          <w:sz w:val="20"/>
          <w:szCs w:val="20"/>
        </w:rPr>
        <w:t>&lt;</w:t>
      </w:r>
      <w:hyperlink r:id="rId2" w:history="1">
        <w:r w:rsidRPr="00B35E1C">
          <w:rPr>
            <w:rStyle w:val="Hyperlink"/>
            <w:rFonts w:ascii="Cambria" w:hAnsi="Cambria"/>
            <w:sz w:val="20"/>
            <w:szCs w:val="20"/>
          </w:rPr>
          <w:t>http://www.uspkenya.org/</w:t>
        </w:r>
      </w:hyperlink>
      <w:r w:rsidR="00D11535">
        <w:rPr>
          <w:rStyle w:val="Hyperlink"/>
          <w:rFonts w:ascii="Cambria" w:hAnsi="Cambria"/>
          <w:sz w:val="20"/>
          <w:szCs w:val="20"/>
        </w:rPr>
        <w:t>&gt;</w:t>
      </w:r>
      <w:r w:rsidR="00DA53D8">
        <w:rPr>
          <w:rFonts w:ascii="Cambria" w:hAnsi="Cambria"/>
          <w:sz w:val="20"/>
          <w:szCs w:val="20"/>
        </w:rPr>
        <w:t xml:space="preserve"> accessed on 10 September </w:t>
      </w:r>
      <w:r w:rsidRPr="00B35E1C">
        <w:rPr>
          <w:rFonts w:ascii="Cambria" w:hAnsi="Cambria"/>
          <w:sz w:val="20"/>
          <w:szCs w:val="20"/>
        </w:rPr>
        <w:t xml:space="preserve">2018. </w:t>
      </w:r>
    </w:p>
  </w:footnote>
  <w:footnote w:id="3">
    <w:p w:rsidR="00660283" w:rsidRPr="00B35E1C" w:rsidRDefault="00660283" w:rsidP="00B35E1C">
      <w:pPr>
        <w:spacing w:line="240" w:lineRule="auto"/>
        <w:rPr>
          <w:rFonts w:ascii="Cambria" w:eastAsia="Times New Roman" w:hAnsi="Cambria" w:cs="Times New Roman"/>
          <w:sz w:val="20"/>
          <w:szCs w:val="20"/>
        </w:rPr>
      </w:pPr>
      <w:r w:rsidRPr="00B35E1C">
        <w:rPr>
          <w:rStyle w:val="FootnoteReference"/>
          <w:rFonts w:ascii="Cambria" w:hAnsi="Cambria"/>
          <w:sz w:val="20"/>
          <w:szCs w:val="20"/>
        </w:rPr>
        <w:footnoteRef/>
      </w:r>
      <w:r w:rsidRPr="00B35E1C">
        <w:rPr>
          <w:rFonts w:ascii="Cambria" w:hAnsi="Cambria"/>
          <w:sz w:val="20"/>
          <w:szCs w:val="20"/>
        </w:rPr>
        <w:t xml:space="preserve"> </w:t>
      </w:r>
      <w:proofErr w:type="gramStart"/>
      <w:r w:rsidRPr="00B35E1C">
        <w:rPr>
          <w:rFonts w:ascii="Cambria" w:hAnsi="Cambria"/>
          <w:sz w:val="20"/>
          <w:szCs w:val="20"/>
        </w:rPr>
        <w:t>Constitution of Kenya, 2010</w:t>
      </w:r>
      <w:r w:rsidR="00E3205F" w:rsidRPr="00B35E1C">
        <w:rPr>
          <w:rFonts w:ascii="Cambria" w:hAnsi="Cambria"/>
          <w:sz w:val="20"/>
          <w:szCs w:val="20"/>
        </w:rPr>
        <w:t xml:space="preserve"> </w:t>
      </w:r>
      <w:r w:rsidR="00D11535">
        <w:rPr>
          <w:rFonts w:ascii="Cambria" w:hAnsi="Cambria"/>
          <w:sz w:val="20"/>
          <w:szCs w:val="20"/>
        </w:rPr>
        <w:t>&lt;</w:t>
      </w:r>
      <w:r w:rsidRPr="00B35E1C">
        <w:rPr>
          <w:rFonts w:ascii="Cambria" w:hAnsi="Cambria"/>
          <w:sz w:val="20"/>
          <w:szCs w:val="20"/>
        </w:rPr>
        <w:t xml:space="preserve"> </w:t>
      </w:r>
      <w:hyperlink r:id="rId3" w:history="1">
        <w:r w:rsidRPr="00B35E1C">
          <w:rPr>
            <w:rStyle w:val="Hyperlink"/>
            <w:rFonts w:ascii="Cambria" w:eastAsia="Times New Roman" w:hAnsi="Cambria" w:cs="Times New Roman"/>
            <w:iCs/>
            <w:sz w:val="20"/>
            <w:szCs w:val="20"/>
          </w:rPr>
          <w:t>www.kenyalaw.org/lex/actview.xql</w:t>
        </w:r>
      </w:hyperlink>
      <w:r w:rsidR="00D11535">
        <w:rPr>
          <w:rFonts w:ascii="Cambria" w:eastAsia="Times New Roman" w:hAnsi="Cambria" w:cs="Times New Roman"/>
          <w:iCs/>
          <w:sz w:val="20"/>
          <w:szCs w:val="20"/>
        </w:rPr>
        <w:t>&gt;</w:t>
      </w:r>
      <w:r w:rsidRPr="00B35E1C">
        <w:rPr>
          <w:rFonts w:ascii="Cambria" w:eastAsia="Times New Roman" w:hAnsi="Cambria" w:cs="Times New Roman"/>
          <w:iCs/>
          <w:sz w:val="20"/>
          <w:szCs w:val="20"/>
        </w:rPr>
        <w:t xml:space="preserve"> </w:t>
      </w:r>
      <w:r w:rsidR="00E3205F" w:rsidRPr="00B35E1C">
        <w:rPr>
          <w:rFonts w:ascii="Cambria" w:eastAsia="Times New Roman" w:hAnsi="Cambria" w:cs="Times New Roman"/>
          <w:iCs/>
          <w:sz w:val="20"/>
          <w:szCs w:val="20"/>
        </w:rPr>
        <w:t>accessed on 15 September 2018.</w:t>
      </w:r>
      <w:proofErr w:type="gramEnd"/>
      <w:r w:rsidR="00E3205F" w:rsidRPr="00B35E1C">
        <w:rPr>
          <w:rFonts w:ascii="Cambria" w:eastAsia="Times New Roman" w:hAnsi="Cambria" w:cs="Times New Roman"/>
          <w:iCs/>
          <w:sz w:val="20"/>
          <w:szCs w:val="20"/>
        </w:rPr>
        <w:t xml:space="preserve"> </w:t>
      </w:r>
    </w:p>
    <w:p w:rsidR="00660283" w:rsidRPr="00B35E1C" w:rsidRDefault="00660283" w:rsidP="00B35E1C">
      <w:pPr>
        <w:pStyle w:val="FootnoteText"/>
        <w:rPr>
          <w:rFonts w:ascii="Cambria" w:hAnsi="Cambria"/>
          <w:sz w:val="20"/>
          <w:szCs w:val="20"/>
        </w:rPr>
      </w:pPr>
      <w:r w:rsidRPr="00B35E1C">
        <w:rPr>
          <w:rFonts w:ascii="Cambria" w:hAnsi="Cambria"/>
          <w:sz w:val="20"/>
          <w:szCs w:val="20"/>
        </w:rPr>
        <w:t xml:space="preserve"> </w:t>
      </w:r>
    </w:p>
  </w:footnote>
  <w:footnote w:id="4">
    <w:p w:rsidR="002402FC" w:rsidRPr="00B35E1C" w:rsidRDefault="002402FC" w:rsidP="00B35E1C">
      <w:pPr>
        <w:autoSpaceDE w:val="0"/>
        <w:autoSpaceDN w:val="0"/>
        <w:adjustRightInd w:val="0"/>
        <w:spacing w:after="0" w:line="240" w:lineRule="auto"/>
        <w:rPr>
          <w:rFonts w:ascii="Cambria" w:hAnsi="Cambria" w:cs="Times-Roman"/>
          <w:sz w:val="20"/>
          <w:szCs w:val="20"/>
        </w:rPr>
      </w:pPr>
      <w:r w:rsidRPr="00B35E1C">
        <w:rPr>
          <w:rStyle w:val="FootnoteReference"/>
          <w:rFonts w:ascii="Cambria" w:hAnsi="Cambria"/>
          <w:sz w:val="20"/>
          <w:szCs w:val="20"/>
        </w:rPr>
        <w:footnoteRef/>
      </w:r>
      <w:r w:rsidRPr="00B35E1C">
        <w:rPr>
          <w:rFonts w:ascii="Cambria" w:hAnsi="Cambria"/>
          <w:sz w:val="20"/>
          <w:szCs w:val="20"/>
        </w:rPr>
        <w:t xml:space="preserve"> Art.2 </w:t>
      </w:r>
      <w:r w:rsidRPr="00B35E1C">
        <w:rPr>
          <w:rFonts w:ascii="Cambria" w:hAnsi="Cambria" w:cs="Times-Roman"/>
          <w:sz w:val="20"/>
          <w:szCs w:val="20"/>
        </w:rPr>
        <w:t>(4)  of the Constitution of Kenya states that any law, including customary law, that is inconsistent with</w:t>
      </w:r>
    </w:p>
    <w:p w:rsidR="002402FC" w:rsidRPr="0013223A" w:rsidRDefault="002402FC" w:rsidP="0013223A">
      <w:pPr>
        <w:autoSpaceDE w:val="0"/>
        <w:autoSpaceDN w:val="0"/>
        <w:adjustRightInd w:val="0"/>
        <w:spacing w:after="0" w:line="240" w:lineRule="auto"/>
        <w:rPr>
          <w:rFonts w:ascii="Cambria" w:hAnsi="Cambria" w:cs="Times-Roman"/>
          <w:sz w:val="20"/>
          <w:szCs w:val="20"/>
        </w:rPr>
      </w:pPr>
      <w:proofErr w:type="gramStart"/>
      <w:r w:rsidRPr="00B35E1C">
        <w:rPr>
          <w:rFonts w:ascii="Cambria" w:hAnsi="Cambria" w:cs="Times-Roman"/>
          <w:sz w:val="20"/>
          <w:szCs w:val="20"/>
        </w:rPr>
        <w:t>this</w:t>
      </w:r>
      <w:proofErr w:type="gramEnd"/>
      <w:r w:rsidRPr="00B35E1C">
        <w:rPr>
          <w:rFonts w:ascii="Cambria" w:hAnsi="Cambria" w:cs="Times-Roman"/>
          <w:sz w:val="20"/>
          <w:szCs w:val="20"/>
        </w:rPr>
        <w:t xml:space="preserve"> Constitution is void to the extent of</w:t>
      </w:r>
      <w:r w:rsidR="0013223A">
        <w:rPr>
          <w:rFonts w:ascii="Cambria" w:hAnsi="Cambria" w:cs="Times-Roman"/>
          <w:sz w:val="20"/>
          <w:szCs w:val="20"/>
        </w:rPr>
        <w:t xml:space="preserve"> the inconsistency, and any act </w:t>
      </w:r>
      <w:r w:rsidRPr="00B35E1C">
        <w:rPr>
          <w:rFonts w:ascii="Cambria" w:hAnsi="Cambria" w:cs="Times-Roman"/>
          <w:sz w:val="20"/>
          <w:szCs w:val="20"/>
        </w:rPr>
        <w:t>or omission in contravention of this Constitution is invalid.</w:t>
      </w:r>
    </w:p>
  </w:footnote>
  <w:footnote w:id="5">
    <w:p w:rsidR="00F62807" w:rsidRPr="00B35E1C" w:rsidRDefault="00F62807" w:rsidP="00B87763">
      <w:pPr>
        <w:spacing w:after="0" w:line="240" w:lineRule="auto"/>
        <w:rPr>
          <w:rFonts w:ascii="Cambria" w:eastAsia="Times New Roman" w:hAnsi="Cambria" w:cs="Times New Roman"/>
          <w:sz w:val="20"/>
          <w:szCs w:val="20"/>
        </w:rPr>
      </w:pPr>
      <w:r w:rsidRPr="00B35E1C">
        <w:rPr>
          <w:rStyle w:val="FootnoteReference"/>
          <w:rFonts w:ascii="Cambria" w:hAnsi="Cambria"/>
          <w:sz w:val="20"/>
          <w:szCs w:val="20"/>
        </w:rPr>
        <w:footnoteRef/>
      </w:r>
      <w:r w:rsidRPr="00B35E1C">
        <w:rPr>
          <w:rFonts w:ascii="Cambria" w:hAnsi="Cambria"/>
          <w:sz w:val="20"/>
          <w:szCs w:val="20"/>
        </w:rPr>
        <w:t xml:space="preserve">  Criminal Procedure Code, Cap </w:t>
      </w:r>
      <w:proofErr w:type="gramStart"/>
      <w:r w:rsidRPr="00B35E1C">
        <w:rPr>
          <w:rFonts w:ascii="Cambria" w:hAnsi="Cambria"/>
          <w:sz w:val="20"/>
          <w:szCs w:val="20"/>
        </w:rPr>
        <w:t xml:space="preserve">75 </w:t>
      </w:r>
      <w:r w:rsidR="00B87763">
        <w:rPr>
          <w:rFonts w:ascii="Cambria" w:hAnsi="Cambria"/>
          <w:sz w:val="20"/>
          <w:szCs w:val="20"/>
        </w:rPr>
        <w:t xml:space="preserve"> &lt;</w:t>
      </w:r>
      <w:proofErr w:type="gramEnd"/>
      <w:r w:rsidR="001328C2">
        <w:fldChar w:fldCharType="begin"/>
      </w:r>
      <w:r w:rsidR="001328C2">
        <w:instrText xml:space="preserve"> HYPERLINK "http://www.kenyalaw.org/lex/actview.xql?ac" </w:instrText>
      </w:r>
      <w:r w:rsidR="001328C2">
        <w:fldChar w:fldCharType="separate"/>
      </w:r>
      <w:r w:rsidRPr="00B35E1C">
        <w:rPr>
          <w:rStyle w:val="Hyperlink"/>
          <w:rFonts w:ascii="Cambria" w:eastAsia="Times New Roman" w:hAnsi="Cambria" w:cs="Times New Roman"/>
          <w:iCs/>
          <w:sz w:val="20"/>
          <w:szCs w:val="20"/>
        </w:rPr>
        <w:t>www.kenyalaw.org/lex/actview.xql?ac</w:t>
      </w:r>
      <w:r w:rsidR="001328C2">
        <w:rPr>
          <w:rStyle w:val="Hyperlink"/>
          <w:rFonts w:ascii="Cambria" w:eastAsia="Times New Roman" w:hAnsi="Cambria" w:cs="Times New Roman"/>
          <w:iCs/>
          <w:sz w:val="20"/>
          <w:szCs w:val="20"/>
        </w:rPr>
        <w:fldChar w:fldCharType="end"/>
      </w:r>
      <w:r w:rsidR="00B87763">
        <w:rPr>
          <w:rFonts w:ascii="Cambria" w:eastAsia="Times New Roman" w:hAnsi="Cambria" w:cs="Times New Roman"/>
          <w:iCs/>
          <w:sz w:val="20"/>
          <w:szCs w:val="20"/>
        </w:rPr>
        <w:t>&gt;</w:t>
      </w:r>
      <w:r w:rsidRPr="00B35E1C">
        <w:rPr>
          <w:rFonts w:ascii="Cambria" w:eastAsia="Times New Roman" w:hAnsi="Cambria" w:cs="Times New Roman"/>
          <w:iCs/>
          <w:sz w:val="20"/>
          <w:szCs w:val="20"/>
        </w:rPr>
        <w:t xml:space="preserve"> accessed on 10 September 2018. </w:t>
      </w:r>
    </w:p>
  </w:footnote>
  <w:footnote w:id="6">
    <w:p w:rsidR="001611AB" w:rsidRPr="001328C2" w:rsidRDefault="001611AB" w:rsidP="00B35E1C">
      <w:pPr>
        <w:pStyle w:val="FootnoteText"/>
        <w:rPr>
          <w:rFonts w:ascii="Cambria" w:hAnsi="Cambria"/>
          <w:sz w:val="20"/>
          <w:szCs w:val="20"/>
          <w:lang w:val="it-IT"/>
        </w:rPr>
      </w:pPr>
      <w:r w:rsidRPr="00B35E1C">
        <w:rPr>
          <w:rStyle w:val="FootnoteReference"/>
          <w:rFonts w:ascii="Cambria" w:hAnsi="Cambria"/>
          <w:sz w:val="20"/>
          <w:szCs w:val="20"/>
        </w:rPr>
        <w:footnoteRef/>
      </w:r>
      <w:r w:rsidRPr="001328C2">
        <w:rPr>
          <w:rFonts w:ascii="Cambria" w:hAnsi="Cambria"/>
          <w:sz w:val="20"/>
          <w:szCs w:val="20"/>
          <w:lang w:val="it-IT"/>
        </w:rPr>
        <w:t xml:space="preserve"> </w:t>
      </w:r>
      <w:r w:rsidRPr="001328C2">
        <w:rPr>
          <w:rFonts w:ascii="Cambria" w:hAnsi="Cambria"/>
          <w:sz w:val="20"/>
          <w:szCs w:val="20"/>
          <w:lang w:val="it-IT"/>
        </w:rPr>
        <w:t>Sec 162 (1) (2) Criminal Procedure Code.</w:t>
      </w:r>
    </w:p>
  </w:footnote>
  <w:footnote w:id="7">
    <w:p w:rsidR="001611AB" w:rsidRPr="001328C2" w:rsidRDefault="001611AB" w:rsidP="00B35E1C">
      <w:pPr>
        <w:pStyle w:val="FootnoteText"/>
        <w:rPr>
          <w:rFonts w:ascii="Cambria" w:hAnsi="Cambria"/>
          <w:sz w:val="20"/>
          <w:szCs w:val="20"/>
          <w:lang w:val="it-IT"/>
        </w:rPr>
      </w:pPr>
      <w:r w:rsidRPr="00B35E1C">
        <w:rPr>
          <w:rStyle w:val="FootnoteReference"/>
          <w:rFonts w:ascii="Cambria" w:hAnsi="Cambria"/>
          <w:sz w:val="20"/>
          <w:szCs w:val="20"/>
        </w:rPr>
        <w:footnoteRef/>
      </w:r>
      <w:r w:rsidRPr="001328C2">
        <w:rPr>
          <w:rFonts w:ascii="Cambria" w:hAnsi="Cambria"/>
          <w:sz w:val="20"/>
          <w:szCs w:val="20"/>
          <w:lang w:val="it-IT"/>
        </w:rPr>
        <w:t xml:space="preserve"> Sec 162 (4) Criminal Procedure Code.</w:t>
      </w:r>
    </w:p>
  </w:footnote>
  <w:footnote w:id="8">
    <w:p w:rsidR="001611AB" w:rsidRPr="001328C2" w:rsidRDefault="001611AB" w:rsidP="00B35E1C">
      <w:pPr>
        <w:pStyle w:val="FootnoteText"/>
        <w:rPr>
          <w:rFonts w:ascii="Cambria" w:hAnsi="Cambria"/>
          <w:sz w:val="20"/>
          <w:szCs w:val="20"/>
          <w:lang w:val="it-IT"/>
        </w:rPr>
      </w:pPr>
      <w:r w:rsidRPr="00B35E1C">
        <w:rPr>
          <w:rStyle w:val="FootnoteReference"/>
          <w:rFonts w:ascii="Cambria" w:hAnsi="Cambria"/>
          <w:sz w:val="20"/>
          <w:szCs w:val="20"/>
        </w:rPr>
        <w:footnoteRef/>
      </w:r>
      <w:r w:rsidRPr="001328C2">
        <w:rPr>
          <w:rFonts w:ascii="Cambria" w:hAnsi="Cambria"/>
          <w:sz w:val="20"/>
          <w:szCs w:val="20"/>
          <w:lang w:val="it-IT"/>
        </w:rPr>
        <w:t xml:space="preserve"> Sec 166 Criminal Procedure Code.</w:t>
      </w:r>
    </w:p>
  </w:footnote>
  <w:footnote w:id="9">
    <w:p w:rsidR="001611AB" w:rsidRPr="001328C2" w:rsidRDefault="001611AB" w:rsidP="00B35E1C">
      <w:pPr>
        <w:pStyle w:val="FootnoteText"/>
        <w:rPr>
          <w:rFonts w:ascii="Cambria" w:hAnsi="Cambria"/>
          <w:sz w:val="20"/>
          <w:szCs w:val="20"/>
          <w:lang w:val="it-IT"/>
        </w:rPr>
      </w:pPr>
      <w:r w:rsidRPr="00B35E1C">
        <w:rPr>
          <w:rStyle w:val="FootnoteReference"/>
          <w:rFonts w:ascii="Cambria" w:hAnsi="Cambria"/>
          <w:sz w:val="20"/>
          <w:szCs w:val="20"/>
        </w:rPr>
        <w:footnoteRef/>
      </w:r>
      <w:r w:rsidRPr="001328C2">
        <w:rPr>
          <w:rFonts w:ascii="Cambria" w:hAnsi="Cambria"/>
          <w:sz w:val="20"/>
          <w:szCs w:val="20"/>
          <w:lang w:val="it-IT"/>
        </w:rPr>
        <w:t xml:space="preserve"> Sec 167 (1) Criminal Procedure Code.</w:t>
      </w:r>
    </w:p>
  </w:footnote>
  <w:footnote w:id="10">
    <w:p w:rsidR="00ED0842" w:rsidRPr="00B35E1C" w:rsidRDefault="00ED0842" w:rsidP="00B35E1C">
      <w:pPr>
        <w:spacing w:after="0" w:line="240" w:lineRule="auto"/>
        <w:rPr>
          <w:rFonts w:ascii="Cambria" w:eastAsia="Times New Roman" w:hAnsi="Cambria" w:cs="Times New Roman"/>
          <w:sz w:val="20"/>
          <w:szCs w:val="20"/>
        </w:rPr>
      </w:pPr>
      <w:r w:rsidRPr="00B35E1C">
        <w:rPr>
          <w:rStyle w:val="FootnoteReference"/>
          <w:rFonts w:ascii="Cambria" w:hAnsi="Cambria"/>
          <w:sz w:val="20"/>
          <w:szCs w:val="20"/>
        </w:rPr>
        <w:footnoteRef/>
      </w:r>
      <w:r w:rsidRPr="00B35E1C">
        <w:rPr>
          <w:rFonts w:ascii="Cambria" w:hAnsi="Cambria"/>
          <w:sz w:val="20"/>
          <w:szCs w:val="20"/>
        </w:rPr>
        <w:t xml:space="preserve"> </w:t>
      </w:r>
      <w:proofErr w:type="gramStart"/>
      <w:r w:rsidRPr="00B35E1C">
        <w:rPr>
          <w:rFonts w:ascii="Cambria" w:hAnsi="Cambria"/>
          <w:sz w:val="20"/>
          <w:szCs w:val="20"/>
        </w:rPr>
        <w:t>Persons Deprived of Liberty Ac</w:t>
      </w:r>
      <w:r w:rsidR="0042799A" w:rsidRPr="00B35E1C">
        <w:rPr>
          <w:rFonts w:ascii="Cambria" w:hAnsi="Cambria"/>
          <w:sz w:val="20"/>
          <w:szCs w:val="20"/>
        </w:rPr>
        <w:t>t,</w:t>
      </w:r>
      <w:r w:rsidR="004248B7" w:rsidRPr="00B35E1C">
        <w:rPr>
          <w:rFonts w:ascii="Cambria" w:hAnsi="Cambria"/>
          <w:sz w:val="20"/>
          <w:szCs w:val="20"/>
        </w:rPr>
        <w:t xml:space="preserve"> 2014 </w:t>
      </w:r>
      <w:r w:rsidR="0013223A">
        <w:rPr>
          <w:rFonts w:ascii="Cambria" w:hAnsi="Cambria"/>
          <w:sz w:val="20"/>
          <w:szCs w:val="20"/>
        </w:rPr>
        <w:t>&lt;</w:t>
      </w:r>
      <w:hyperlink r:id="rId4" w:history="1">
        <w:r w:rsidRPr="00B35E1C">
          <w:rPr>
            <w:rStyle w:val="Hyperlink"/>
            <w:rFonts w:ascii="Cambria" w:eastAsia="Times New Roman" w:hAnsi="Cambria" w:cs="Times New Roman"/>
            <w:iCs/>
            <w:sz w:val="20"/>
            <w:szCs w:val="20"/>
          </w:rPr>
          <w:t>www.ilo.org/dyn/natlex/natlex4.detail?p_lang=en&amp;p_isn=101067&amp;p</w:t>
        </w:r>
      </w:hyperlink>
      <w:r w:rsidR="0013223A">
        <w:rPr>
          <w:rFonts w:ascii="Cambria" w:eastAsia="Times New Roman" w:hAnsi="Cambria" w:cs="Times New Roman"/>
          <w:iCs/>
          <w:sz w:val="20"/>
          <w:szCs w:val="20"/>
        </w:rPr>
        <w:t>&gt;</w:t>
      </w:r>
      <w:r w:rsidRPr="00B35E1C">
        <w:rPr>
          <w:rFonts w:ascii="Cambria" w:eastAsia="Times New Roman" w:hAnsi="Cambria" w:cs="Times New Roman"/>
          <w:iCs/>
          <w:sz w:val="20"/>
          <w:szCs w:val="20"/>
        </w:rPr>
        <w:t xml:space="preserve"> accessed on 18 S</w:t>
      </w:r>
      <w:r w:rsidR="007376D6" w:rsidRPr="00B35E1C">
        <w:rPr>
          <w:rFonts w:ascii="Cambria" w:eastAsia="Times New Roman" w:hAnsi="Cambria" w:cs="Times New Roman"/>
          <w:iCs/>
          <w:sz w:val="20"/>
          <w:szCs w:val="20"/>
        </w:rPr>
        <w:t>eptember 2018.</w:t>
      </w:r>
      <w:proofErr w:type="gramEnd"/>
    </w:p>
  </w:footnote>
  <w:footnote w:id="11">
    <w:p w:rsidR="006478E1" w:rsidRPr="00B35E1C" w:rsidRDefault="006478E1" w:rsidP="00B35E1C">
      <w:pPr>
        <w:autoSpaceDE w:val="0"/>
        <w:autoSpaceDN w:val="0"/>
        <w:adjustRightInd w:val="0"/>
        <w:spacing w:after="0" w:line="240" w:lineRule="auto"/>
        <w:rPr>
          <w:rFonts w:ascii="Cambria" w:hAnsi="Cambria" w:cs="Times-Roman"/>
          <w:sz w:val="20"/>
          <w:szCs w:val="20"/>
        </w:rPr>
      </w:pPr>
      <w:r w:rsidRPr="00B35E1C">
        <w:rPr>
          <w:rStyle w:val="FootnoteReference"/>
          <w:rFonts w:ascii="Cambria" w:hAnsi="Cambria"/>
          <w:sz w:val="20"/>
          <w:szCs w:val="20"/>
        </w:rPr>
        <w:footnoteRef/>
      </w:r>
      <w:r w:rsidRPr="00B35E1C">
        <w:rPr>
          <w:rFonts w:ascii="Cambria" w:hAnsi="Cambria"/>
          <w:sz w:val="20"/>
          <w:szCs w:val="20"/>
        </w:rPr>
        <w:t xml:space="preserve"> </w:t>
      </w:r>
      <w:r w:rsidRPr="00B35E1C">
        <w:rPr>
          <w:rFonts w:ascii="Cambria" w:hAnsi="Cambria" w:cs="Times-Bold"/>
          <w:bCs/>
          <w:sz w:val="20"/>
          <w:szCs w:val="20"/>
        </w:rPr>
        <w:t xml:space="preserve">Article 31 states that </w:t>
      </w:r>
      <w:r w:rsidRPr="00B35E1C">
        <w:rPr>
          <w:rFonts w:ascii="Cambria" w:hAnsi="Cambria" w:cs="Times-Roman"/>
          <w:sz w:val="20"/>
          <w:szCs w:val="20"/>
        </w:rPr>
        <w:t>every person has the right to privacy, which includes the right not to have—</w:t>
      </w:r>
    </w:p>
    <w:p w:rsidR="006478E1" w:rsidRPr="00B35E1C" w:rsidRDefault="006478E1" w:rsidP="00B35E1C">
      <w:pPr>
        <w:autoSpaceDE w:val="0"/>
        <w:autoSpaceDN w:val="0"/>
        <w:adjustRightInd w:val="0"/>
        <w:spacing w:after="0" w:line="240" w:lineRule="auto"/>
        <w:rPr>
          <w:rFonts w:ascii="Cambria" w:hAnsi="Cambria" w:cs="Times-Roman"/>
          <w:sz w:val="20"/>
          <w:szCs w:val="20"/>
        </w:rPr>
      </w:pPr>
      <w:r w:rsidRPr="00B35E1C">
        <w:rPr>
          <w:rFonts w:ascii="Cambria" w:hAnsi="Cambria" w:cs="Times-Roman"/>
          <w:sz w:val="20"/>
          <w:szCs w:val="20"/>
        </w:rPr>
        <w:t>(</w:t>
      </w:r>
      <w:r w:rsidRPr="00B35E1C">
        <w:rPr>
          <w:rFonts w:ascii="Cambria" w:hAnsi="Cambria" w:cs="Times-Italic"/>
          <w:iCs/>
          <w:sz w:val="20"/>
          <w:szCs w:val="20"/>
        </w:rPr>
        <w:t>a</w:t>
      </w:r>
      <w:r w:rsidRPr="00B35E1C">
        <w:rPr>
          <w:rFonts w:ascii="Cambria" w:hAnsi="Cambria" w:cs="Times-Roman"/>
          <w:sz w:val="20"/>
          <w:szCs w:val="20"/>
        </w:rPr>
        <w:t>) their person, home or property searched;</w:t>
      </w:r>
    </w:p>
    <w:p w:rsidR="006478E1" w:rsidRPr="00B35E1C" w:rsidRDefault="006478E1" w:rsidP="00B35E1C">
      <w:pPr>
        <w:autoSpaceDE w:val="0"/>
        <w:autoSpaceDN w:val="0"/>
        <w:adjustRightInd w:val="0"/>
        <w:spacing w:after="0" w:line="240" w:lineRule="auto"/>
        <w:rPr>
          <w:rFonts w:ascii="Cambria" w:hAnsi="Cambria" w:cs="Times-Roman"/>
          <w:sz w:val="20"/>
          <w:szCs w:val="20"/>
        </w:rPr>
      </w:pPr>
      <w:r w:rsidRPr="00B35E1C">
        <w:rPr>
          <w:rFonts w:ascii="Cambria" w:hAnsi="Cambria" w:cs="Times-Roman"/>
          <w:sz w:val="20"/>
          <w:szCs w:val="20"/>
        </w:rPr>
        <w:t>(</w:t>
      </w:r>
      <w:r w:rsidRPr="00B35E1C">
        <w:rPr>
          <w:rFonts w:ascii="Cambria" w:hAnsi="Cambria" w:cs="Times-Italic"/>
          <w:iCs/>
          <w:sz w:val="20"/>
          <w:szCs w:val="20"/>
        </w:rPr>
        <w:t>b</w:t>
      </w:r>
      <w:r w:rsidRPr="00B35E1C">
        <w:rPr>
          <w:rFonts w:ascii="Cambria" w:hAnsi="Cambria" w:cs="Times-Roman"/>
          <w:sz w:val="20"/>
          <w:szCs w:val="20"/>
        </w:rPr>
        <w:t>) their possessions seized;</w:t>
      </w:r>
    </w:p>
    <w:p w:rsidR="006478E1" w:rsidRPr="00B35E1C" w:rsidRDefault="006478E1" w:rsidP="00B35E1C">
      <w:pPr>
        <w:autoSpaceDE w:val="0"/>
        <w:autoSpaceDN w:val="0"/>
        <w:adjustRightInd w:val="0"/>
        <w:spacing w:after="0" w:line="240" w:lineRule="auto"/>
        <w:rPr>
          <w:rFonts w:ascii="Cambria" w:hAnsi="Cambria" w:cs="Times-Roman"/>
          <w:sz w:val="20"/>
          <w:szCs w:val="20"/>
        </w:rPr>
      </w:pPr>
      <w:r w:rsidRPr="00B35E1C">
        <w:rPr>
          <w:rFonts w:ascii="Cambria" w:hAnsi="Cambria" w:cs="Times-Roman"/>
          <w:sz w:val="20"/>
          <w:szCs w:val="20"/>
        </w:rPr>
        <w:t>(</w:t>
      </w:r>
      <w:r w:rsidRPr="00B35E1C">
        <w:rPr>
          <w:rFonts w:ascii="Cambria" w:hAnsi="Cambria" w:cs="Times-Italic"/>
          <w:iCs/>
          <w:sz w:val="20"/>
          <w:szCs w:val="20"/>
        </w:rPr>
        <w:t>c</w:t>
      </w:r>
      <w:r w:rsidRPr="00B35E1C">
        <w:rPr>
          <w:rFonts w:ascii="Cambria" w:hAnsi="Cambria" w:cs="Times-Roman"/>
          <w:sz w:val="20"/>
          <w:szCs w:val="20"/>
        </w:rPr>
        <w:t>) information relating to their family or private affair unnecessarily required or revealed; or</w:t>
      </w:r>
    </w:p>
    <w:p w:rsidR="006478E1" w:rsidRPr="00B35E1C" w:rsidRDefault="006478E1" w:rsidP="00B35E1C">
      <w:pPr>
        <w:pStyle w:val="FootnoteText"/>
        <w:rPr>
          <w:rFonts w:ascii="Cambria" w:hAnsi="Cambria"/>
          <w:sz w:val="20"/>
          <w:szCs w:val="20"/>
        </w:rPr>
      </w:pPr>
      <w:r w:rsidRPr="00B35E1C">
        <w:rPr>
          <w:rFonts w:ascii="Cambria" w:hAnsi="Cambria" w:cs="Times-Roman"/>
          <w:sz w:val="20"/>
          <w:szCs w:val="20"/>
        </w:rPr>
        <w:t>(</w:t>
      </w:r>
      <w:r w:rsidRPr="00B35E1C">
        <w:rPr>
          <w:rFonts w:ascii="Cambria" w:hAnsi="Cambria" w:cs="Times-Italic"/>
          <w:iCs/>
          <w:sz w:val="20"/>
          <w:szCs w:val="20"/>
        </w:rPr>
        <w:t>d</w:t>
      </w:r>
      <w:r w:rsidRPr="00B35E1C">
        <w:rPr>
          <w:rFonts w:ascii="Cambria" w:hAnsi="Cambria" w:cs="Times-Roman"/>
          <w:sz w:val="20"/>
          <w:szCs w:val="20"/>
        </w:rPr>
        <w:t xml:space="preserve">) </w:t>
      </w:r>
      <w:proofErr w:type="gramStart"/>
      <w:r w:rsidRPr="00B35E1C">
        <w:rPr>
          <w:rFonts w:ascii="Cambria" w:hAnsi="Cambria" w:cs="Times-Roman"/>
          <w:sz w:val="20"/>
          <w:szCs w:val="20"/>
        </w:rPr>
        <w:t>the</w:t>
      </w:r>
      <w:proofErr w:type="gramEnd"/>
      <w:r w:rsidRPr="00B35E1C">
        <w:rPr>
          <w:rFonts w:ascii="Cambria" w:hAnsi="Cambria" w:cs="Times-Roman"/>
          <w:sz w:val="20"/>
          <w:szCs w:val="20"/>
        </w:rPr>
        <w:t xml:space="preserve"> privacy of their communications infringed.</w:t>
      </w:r>
    </w:p>
  </w:footnote>
  <w:footnote w:id="12">
    <w:p w:rsidR="00960FFF" w:rsidRPr="00B35E1C" w:rsidRDefault="00960FFF" w:rsidP="00B35E1C">
      <w:pPr>
        <w:autoSpaceDE w:val="0"/>
        <w:autoSpaceDN w:val="0"/>
        <w:adjustRightInd w:val="0"/>
        <w:spacing w:after="0" w:line="240" w:lineRule="auto"/>
        <w:rPr>
          <w:rFonts w:ascii="Cambria" w:hAnsi="Cambria" w:cs="Arial"/>
          <w:sz w:val="20"/>
          <w:szCs w:val="20"/>
        </w:rPr>
      </w:pPr>
      <w:r w:rsidRPr="00B35E1C">
        <w:rPr>
          <w:rStyle w:val="FootnoteReference"/>
          <w:rFonts w:ascii="Cambria" w:hAnsi="Cambria"/>
          <w:sz w:val="20"/>
          <w:szCs w:val="20"/>
        </w:rPr>
        <w:footnoteRef/>
      </w:r>
      <w:r w:rsidRPr="00B35E1C">
        <w:rPr>
          <w:rFonts w:ascii="Cambria" w:hAnsi="Cambria"/>
          <w:sz w:val="20"/>
          <w:szCs w:val="20"/>
        </w:rPr>
        <w:t xml:space="preserve"> </w:t>
      </w:r>
      <w:r w:rsidR="00310F30" w:rsidRPr="00B35E1C">
        <w:rPr>
          <w:rFonts w:ascii="Cambria" w:hAnsi="Cambria"/>
          <w:sz w:val="20"/>
          <w:szCs w:val="20"/>
        </w:rPr>
        <w:t xml:space="preserve"> According to the Persons Deprived of Liberty Act, 2014, </w:t>
      </w:r>
      <w:r w:rsidRPr="00B35E1C">
        <w:rPr>
          <w:rFonts w:ascii="Cambria" w:hAnsi="Cambria" w:cs="Arial"/>
          <w:sz w:val="20"/>
          <w:szCs w:val="20"/>
        </w:rPr>
        <w:t>Cabinet Secretary means the Cabinet Secretary responsible for matters relating to the administration of justice.</w:t>
      </w:r>
    </w:p>
  </w:footnote>
  <w:footnote w:id="13">
    <w:p w:rsidR="00960FFF" w:rsidRPr="00B35E1C" w:rsidRDefault="00960FFF" w:rsidP="00B35E1C">
      <w:pPr>
        <w:autoSpaceDE w:val="0"/>
        <w:autoSpaceDN w:val="0"/>
        <w:adjustRightInd w:val="0"/>
        <w:spacing w:after="0" w:line="240" w:lineRule="auto"/>
        <w:rPr>
          <w:rFonts w:ascii="Cambria" w:hAnsi="Cambria" w:cs="Arial"/>
          <w:sz w:val="20"/>
          <w:szCs w:val="20"/>
        </w:rPr>
      </w:pPr>
      <w:r w:rsidRPr="00B35E1C">
        <w:rPr>
          <w:rStyle w:val="FootnoteReference"/>
          <w:rFonts w:ascii="Cambria" w:hAnsi="Cambria"/>
          <w:sz w:val="20"/>
          <w:szCs w:val="20"/>
        </w:rPr>
        <w:footnoteRef/>
      </w:r>
      <w:r w:rsidRPr="00B35E1C">
        <w:rPr>
          <w:rFonts w:ascii="Cambria" w:hAnsi="Cambria"/>
          <w:sz w:val="20"/>
          <w:szCs w:val="20"/>
        </w:rPr>
        <w:t xml:space="preserve"> </w:t>
      </w:r>
      <w:r w:rsidR="00310F30" w:rsidRPr="00B35E1C">
        <w:rPr>
          <w:rFonts w:ascii="Cambria" w:hAnsi="Cambria"/>
          <w:sz w:val="20"/>
          <w:szCs w:val="20"/>
        </w:rPr>
        <w:t xml:space="preserve">According to the Persons Deprived of Liberty Act, 2014, </w:t>
      </w:r>
      <w:r w:rsidRPr="00B35E1C">
        <w:rPr>
          <w:rFonts w:ascii="Cambria" w:hAnsi="Cambria" w:cs="Arial"/>
          <w:sz w:val="20"/>
          <w:szCs w:val="20"/>
        </w:rPr>
        <w:t>Competent Authority means any person, officer or body responsible for or dealing with matters relating to persons deprived of liberty.</w:t>
      </w:r>
    </w:p>
  </w:footnote>
  <w:footnote w:id="14">
    <w:p w:rsidR="008A2C4D" w:rsidRPr="00B35E1C" w:rsidRDefault="008A2C4D" w:rsidP="0013223A">
      <w:pPr>
        <w:spacing w:after="0" w:line="240" w:lineRule="auto"/>
        <w:rPr>
          <w:rFonts w:ascii="Cambria" w:eastAsia="Times New Roman" w:hAnsi="Cambria" w:cs="Times New Roman"/>
          <w:sz w:val="20"/>
          <w:szCs w:val="20"/>
        </w:rPr>
      </w:pPr>
      <w:r w:rsidRPr="00B35E1C">
        <w:rPr>
          <w:rStyle w:val="FootnoteReference"/>
          <w:rFonts w:ascii="Cambria" w:hAnsi="Cambria"/>
          <w:sz w:val="20"/>
          <w:szCs w:val="20"/>
        </w:rPr>
        <w:footnoteRef/>
      </w:r>
      <w:r w:rsidRPr="00B35E1C">
        <w:rPr>
          <w:rFonts w:ascii="Cambria" w:hAnsi="Cambria"/>
          <w:sz w:val="20"/>
          <w:szCs w:val="20"/>
        </w:rPr>
        <w:t xml:space="preserve"> </w:t>
      </w:r>
      <w:r w:rsidR="00E96BD7" w:rsidRPr="00B35E1C">
        <w:rPr>
          <w:rFonts w:ascii="Cambria" w:hAnsi="Cambria"/>
          <w:sz w:val="20"/>
          <w:szCs w:val="20"/>
        </w:rPr>
        <w:t xml:space="preserve"> </w:t>
      </w:r>
      <w:proofErr w:type="gramStart"/>
      <w:r w:rsidR="00E96BD7" w:rsidRPr="00B35E1C">
        <w:rPr>
          <w:rFonts w:ascii="Cambria" w:hAnsi="Cambria"/>
          <w:sz w:val="20"/>
          <w:szCs w:val="20"/>
        </w:rPr>
        <w:t>Power of Mercy Act, 2011 &lt;</w:t>
      </w:r>
      <w:hyperlink r:id="rId5" w:history="1">
        <w:r w:rsidR="00E96BD7" w:rsidRPr="00B35E1C">
          <w:rPr>
            <w:rStyle w:val="Hyperlink"/>
            <w:rFonts w:ascii="Cambria" w:hAnsi="Cambria"/>
            <w:sz w:val="20"/>
            <w:szCs w:val="20"/>
          </w:rPr>
          <w:t>http://www.constitutionnet.org/sites/default/files/the_power_of_mercy_act_2011_0.pdf</w:t>
        </w:r>
      </w:hyperlink>
      <w:r w:rsidR="00E96BD7" w:rsidRPr="00B35E1C">
        <w:rPr>
          <w:rFonts w:ascii="Cambria" w:hAnsi="Cambria"/>
          <w:sz w:val="20"/>
          <w:szCs w:val="20"/>
        </w:rPr>
        <w:t xml:space="preserve"> &gt; accessed 18 S</w:t>
      </w:r>
      <w:r w:rsidR="00977221" w:rsidRPr="00B35E1C">
        <w:rPr>
          <w:rFonts w:ascii="Cambria" w:hAnsi="Cambria"/>
          <w:sz w:val="20"/>
          <w:szCs w:val="20"/>
        </w:rPr>
        <w:t>eptember 2018</w:t>
      </w:r>
      <w:r w:rsidR="000A2CC0" w:rsidRPr="00B35E1C">
        <w:rPr>
          <w:rFonts w:ascii="Cambria" w:hAnsi="Cambria"/>
          <w:sz w:val="20"/>
          <w:szCs w:val="20"/>
        </w:rPr>
        <w:t>.</w:t>
      </w:r>
      <w:proofErr w:type="gramEnd"/>
      <w:r w:rsidR="000A2CC0" w:rsidRPr="00B35E1C">
        <w:rPr>
          <w:rFonts w:ascii="Cambria" w:hAnsi="Cambria"/>
          <w:sz w:val="20"/>
          <w:szCs w:val="20"/>
        </w:rPr>
        <w:t xml:space="preserve"> </w:t>
      </w:r>
    </w:p>
  </w:footnote>
  <w:footnote w:id="15">
    <w:p w:rsidR="00977221" w:rsidRPr="00B35E1C" w:rsidRDefault="00977221" w:rsidP="00B35E1C">
      <w:pPr>
        <w:autoSpaceDE w:val="0"/>
        <w:autoSpaceDN w:val="0"/>
        <w:adjustRightInd w:val="0"/>
        <w:spacing w:after="0" w:line="240" w:lineRule="auto"/>
        <w:jc w:val="both"/>
        <w:rPr>
          <w:rFonts w:ascii="Cambria" w:hAnsi="Cambria" w:cs="Times-Roman"/>
          <w:sz w:val="20"/>
          <w:szCs w:val="20"/>
        </w:rPr>
      </w:pPr>
      <w:r w:rsidRPr="00B35E1C">
        <w:rPr>
          <w:rStyle w:val="FootnoteReference"/>
          <w:rFonts w:ascii="Cambria" w:hAnsi="Cambria"/>
          <w:sz w:val="20"/>
          <w:szCs w:val="20"/>
        </w:rPr>
        <w:footnoteRef/>
      </w:r>
      <w:r w:rsidRPr="00B35E1C">
        <w:rPr>
          <w:rFonts w:ascii="Cambria" w:hAnsi="Cambria"/>
          <w:sz w:val="20"/>
          <w:szCs w:val="20"/>
        </w:rPr>
        <w:t xml:space="preserve"> </w:t>
      </w:r>
      <w:r w:rsidRPr="00B35E1C">
        <w:rPr>
          <w:rFonts w:ascii="Cambria" w:hAnsi="Cambria" w:cs="Arial,Bold"/>
          <w:bCs/>
          <w:sz w:val="20"/>
          <w:szCs w:val="20"/>
        </w:rPr>
        <w:t xml:space="preserve">Article </w:t>
      </w:r>
      <w:r w:rsidRPr="00B35E1C">
        <w:rPr>
          <w:rFonts w:ascii="Cambria" w:hAnsi="Cambria" w:cs="Times-Bold"/>
          <w:bCs/>
          <w:sz w:val="20"/>
          <w:szCs w:val="20"/>
        </w:rPr>
        <w:t xml:space="preserve">133 </w:t>
      </w:r>
      <w:r w:rsidRPr="00B35E1C">
        <w:rPr>
          <w:rFonts w:ascii="Cambria" w:hAnsi="Cambria" w:cs="Times-Roman"/>
          <w:sz w:val="20"/>
          <w:szCs w:val="20"/>
        </w:rPr>
        <w:t>(1)  of the  Constitution of Kenya states that:-</w:t>
      </w:r>
    </w:p>
    <w:p w:rsidR="00977221" w:rsidRPr="00B35E1C" w:rsidRDefault="00977221" w:rsidP="00B35E1C">
      <w:pPr>
        <w:autoSpaceDE w:val="0"/>
        <w:autoSpaceDN w:val="0"/>
        <w:adjustRightInd w:val="0"/>
        <w:spacing w:after="0" w:line="240" w:lineRule="auto"/>
        <w:jc w:val="both"/>
        <w:rPr>
          <w:rFonts w:ascii="Cambria" w:hAnsi="Cambria" w:cs="Times-Roman"/>
          <w:sz w:val="20"/>
          <w:szCs w:val="20"/>
        </w:rPr>
      </w:pPr>
      <w:r w:rsidRPr="00B35E1C">
        <w:rPr>
          <w:rFonts w:ascii="Cambria" w:hAnsi="Cambria" w:cs="Times-Roman"/>
          <w:sz w:val="20"/>
          <w:szCs w:val="20"/>
        </w:rPr>
        <w:t>On the petition of any person, the President may exercise a power of mercy in accordance with the advice of the Advisory Committee established under clause (2), by—</w:t>
      </w:r>
    </w:p>
    <w:p w:rsidR="00977221" w:rsidRPr="00B35E1C" w:rsidRDefault="00977221" w:rsidP="00B35E1C">
      <w:pPr>
        <w:autoSpaceDE w:val="0"/>
        <w:autoSpaceDN w:val="0"/>
        <w:adjustRightInd w:val="0"/>
        <w:spacing w:after="0" w:line="240" w:lineRule="auto"/>
        <w:jc w:val="both"/>
        <w:rPr>
          <w:rFonts w:ascii="Cambria" w:hAnsi="Cambria" w:cs="Times-Roman"/>
          <w:sz w:val="20"/>
          <w:szCs w:val="20"/>
        </w:rPr>
      </w:pPr>
      <w:r w:rsidRPr="00B35E1C">
        <w:rPr>
          <w:rFonts w:ascii="Cambria" w:hAnsi="Cambria" w:cs="Times-Roman"/>
          <w:sz w:val="20"/>
          <w:szCs w:val="20"/>
        </w:rPr>
        <w:t>(</w:t>
      </w:r>
      <w:r w:rsidRPr="00B35E1C">
        <w:rPr>
          <w:rFonts w:ascii="Cambria" w:hAnsi="Cambria" w:cs="Times-Italic"/>
          <w:iCs/>
          <w:sz w:val="20"/>
          <w:szCs w:val="20"/>
        </w:rPr>
        <w:t>a</w:t>
      </w:r>
      <w:r w:rsidRPr="00B35E1C">
        <w:rPr>
          <w:rFonts w:ascii="Cambria" w:hAnsi="Cambria" w:cs="Times-Roman"/>
          <w:sz w:val="20"/>
          <w:szCs w:val="20"/>
        </w:rPr>
        <w:t>) granting a free or conditional pardon to a person convicted of an offence;</w:t>
      </w:r>
    </w:p>
    <w:p w:rsidR="00977221" w:rsidRPr="00B35E1C" w:rsidRDefault="00977221" w:rsidP="00B35E1C">
      <w:pPr>
        <w:autoSpaceDE w:val="0"/>
        <w:autoSpaceDN w:val="0"/>
        <w:adjustRightInd w:val="0"/>
        <w:spacing w:after="0" w:line="240" w:lineRule="auto"/>
        <w:jc w:val="both"/>
        <w:rPr>
          <w:rFonts w:ascii="Cambria" w:hAnsi="Cambria" w:cs="Times-Roman"/>
          <w:sz w:val="20"/>
          <w:szCs w:val="20"/>
        </w:rPr>
      </w:pPr>
      <w:r w:rsidRPr="00B35E1C">
        <w:rPr>
          <w:rFonts w:ascii="Cambria" w:hAnsi="Cambria" w:cs="Times-Roman"/>
          <w:sz w:val="20"/>
          <w:szCs w:val="20"/>
        </w:rPr>
        <w:t>(</w:t>
      </w:r>
      <w:r w:rsidRPr="00B35E1C">
        <w:rPr>
          <w:rFonts w:ascii="Cambria" w:hAnsi="Cambria" w:cs="Times-Italic"/>
          <w:iCs/>
          <w:sz w:val="20"/>
          <w:szCs w:val="20"/>
        </w:rPr>
        <w:t>b</w:t>
      </w:r>
      <w:r w:rsidRPr="00B35E1C">
        <w:rPr>
          <w:rFonts w:ascii="Cambria" w:hAnsi="Cambria" w:cs="Times-Roman"/>
          <w:sz w:val="20"/>
          <w:szCs w:val="20"/>
        </w:rPr>
        <w:t>) postponing the carrying out of a punishment, either for a specified or indefinite period;</w:t>
      </w:r>
    </w:p>
    <w:p w:rsidR="00977221" w:rsidRPr="00B35E1C" w:rsidRDefault="00977221" w:rsidP="00B35E1C">
      <w:pPr>
        <w:autoSpaceDE w:val="0"/>
        <w:autoSpaceDN w:val="0"/>
        <w:adjustRightInd w:val="0"/>
        <w:spacing w:after="0" w:line="240" w:lineRule="auto"/>
        <w:jc w:val="both"/>
        <w:rPr>
          <w:rFonts w:ascii="Cambria" w:hAnsi="Cambria" w:cs="Times-Roman"/>
          <w:sz w:val="20"/>
          <w:szCs w:val="20"/>
        </w:rPr>
      </w:pPr>
      <w:r w:rsidRPr="00B35E1C">
        <w:rPr>
          <w:rFonts w:ascii="Cambria" w:hAnsi="Cambria" w:cs="Times-Roman"/>
          <w:sz w:val="20"/>
          <w:szCs w:val="20"/>
        </w:rPr>
        <w:t>(</w:t>
      </w:r>
      <w:r w:rsidRPr="00B35E1C">
        <w:rPr>
          <w:rFonts w:ascii="Cambria" w:hAnsi="Cambria" w:cs="Times-Italic"/>
          <w:iCs/>
          <w:sz w:val="20"/>
          <w:szCs w:val="20"/>
        </w:rPr>
        <w:t>c</w:t>
      </w:r>
      <w:r w:rsidRPr="00B35E1C">
        <w:rPr>
          <w:rFonts w:ascii="Cambria" w:hAnsi="Cambria" w:cs="Times-Roman"/>
          <w:sz w:val="20"/>
          <w:szCs w:val="20"/>
        </w:rPr>
        <w:t>) substituting a less severe form of punishment; or</w:t>
      </w:r>
    </w:p>
    <w:p w:rsidR="00977221" w:rsidRPr="00B35E1C" w:rsidRDefault="00977221" w:rsidP="00B35E1C">
      <w:pPr>
        <w:autoSpaceDE w:val="0"/>
        <w:autoSpaceDN w:val="0"/>
        <w:adjustRightInd w:val="0"/>
        <w:spacing w:after="0" w:line="240" w:lineRule="auto"/>
        <w:jc w:val="both"/>
        <w:rPr>
          <w:rFonts w:ascii="Cambria" w:hAnsi="Cambria" w:cs="Times-Roman"/>
          <w:sz w:val="20"/>
          <w:szCs w:val="20"/>
        </w:rPr>
      </w:pPr>
      <w:r w:rsidRPr="00B35E1C">
        <w:rPr>
          <w:rFonts w:ascii="Cambria" w:hAnsi="Cambria" w:cs="Times-Roman"/>
          <w:sz w:val="20"/>
          <w:szCs w:val="20"/>
        </w:rPr>
        <w:t>(</w:t>
      </w:r>
      <w:r w:rsidRPr="00B35E1C">
        <w:rPr>
          <w:rFonts w:ascii="Cambria" w:hAnsi="Cambria" w:cs="Times-Italic"/>
          <w:iCs/>
          <w:sz w:val="20"/>
          <w:szCs w:val="20"/>
        </w:rPr>
        <w:t>d</w:t>
      </w:r>
      <w:r w:rsidRPr="00B35E1C">
        <w:rPr>
          <w:rFonts w:ascii="Cambria" w:hAnsi="Cambria" w:cs="Times-Roman"/>
          <w:sz w:val="20"/>
          <w:szCs w:val="20"/>
        </w:rPr>
        <w:t xml:space="preserve">) </w:t>
      </w:r>
      <w:proofErr w:type="gramStart"/>
      <w:r w:rsidRPr="00B35E1C">
        <w:rPr>
          <w:rFonts w:ascii="Cambria" w:hAnsi="Cambria" w:cs="Times-Roman"/>
          <w:sz w:val="20"/>
          <w:szCs w:val="20"/>
        </w:rPr>
        <w:t>remitting</w:t>
      </w:r>
      <w:proofErr w:type="gramEnd"/>
      <w:r w:rsidRPr="00B35E1C">
        <w:rPr>
          <w:rFonts w:ascii="Cambria" w:hAnsi="Cambria" w:cs="Times-Roman"/>
          <w:sz w:val="20"/>
          <w:szCs w:val="20"/>
        </w:rPr>
        <w:t xml:space="preserve"> all or part of a punishment.</w:t>
      </w:r>
    </w:p>
  </w:footnote>
  <w:footnote w:id="16">
    <w:p w:rsidR="00A427D4" w:rsidRPr="00B35E1C" w:rsidRDefault="00A427D4" w:rsidP="00B35E1C">
      <w:pPr>
        <w:pStyle w:val="FootnoteText"/>
        <w:rPr>
          <w:rFonts w:ascii="Cambria" w:hAnsi="Cambria"/>
          <w:sz w:val="20"/>
          <w:szCs w:val="20"/>
        </w:rPr>
      </w:pPr>
      <w:r w:rsidRPr="00B35E1C">
        <w:rPr>
          <w:rStyle w:val="FootnoteReference"/>
          <w:rFonts w:ascii="Cambria" w:hAnsi="Cambria"/>
          <w:sz w:val="20"/>
          <w:szCs w:val="20"/>
        </w:rPr>
        <w:footnoteRef/>
      </w:r>
      <w:r w:rsidRPr="00B35E1C">
        <w:rPr>
          <w:rFonts w:ascii="Cambria" w:hAnsi="Cambria"/>
          <w:sz w:val="20"/>
          <w:szCs w:val="20"/>
        </w:rPr>
        <w:t xml:space="preserve"> Section 25 (1) (b) </w:t>
      </w:r>
    </w:p>
  </w:footnote>
  <w:footnote w:id="17">
    <w:p w:rsidR="00D26C5E" w:rsidRPr="00881E20" w:rsidRDefault="00D26C5E" w:rsidP="003C521A">
      <w:pPr>
        <w:spacing w:after="0" w:line="240" w:lineRule="auto"/>
        <w:rPr>
          <w:rFonts w:ascii="Cambria" w:eastAsia="Times New Roman" w:hAnsi="Cambria" w:cs="Times New Roman"/>
          <w:sz w:val="20"/>
          <w:szCs w:val="20"/>
        </w:rPr>
      </w:pPr>
      <w:r w:rsidRPr="00B35E1C">
        <w:rPr>
          <w:rStyle w:val="FootnoteReference"/>
          <w:rFonts w:ascii="Cambria" w:hAnsi="Cambria"/>
          <w:sz w:val="20"/>
          <w:szCs w:val="20"/>
        </w:rPr>
        <w:footnoteRef/>
      </w:r>
      <w:r w:rsidR="00E96BD7" w:rsidRPr="00B35E1C">
        <w:rPr>
          <w:rFonts w:ascii="Cambria" w:hAnsi="Cambria"/>
          <w:sz w:val="20"/>
          <w:szCs w:val="20"/>
        </w:rPr>
        <w:t xml:space="preserve"> Penal Code, Cap 63 &lt;</w:t>
      </w:r>
      <w:hyperlink r:id="rId6" w:history="1">
        <w:r w:rsidRPr="00B35E1C">
          <w:rPr>
            <w:rStyle w:val="Hyperlink"/>
            <w:rFonts w:ascii="Cambria" w:eastAsia="Times New Roman" w:hAnsi="Cambria" w:cs="Times New Roman"/>
            <w:iCs/>
            <w:sz w:val="20"/>
            <w:szCs w:val="20"/>
          </w:rPr>
          <w:t>www.kenyalaw.org/lex/actview.xql?actid=CAP.%2063</w:t>
        </w:r>
      </w:hyperlink>
      <w:r w:rsidRPr="00B35E1C">
        <w:rPr>
          <w:rFonts w:ascii="Cambria" w:eastAsia="Times New Roman" w:hAnsi="Cambria" w:cs="Times New Roman"/>
          <w:iCs/>
          <w:sz w:val="20"/>
          <w:szCs w:val="20"/>
        </w:rPr>
        <w:t xml:space="preserve"> </w:t>
      </w:r>
      <w:r w:rsidR="00E96BD7" w:rsidRPr="00B35E1C">
        <w:rPr>
          <w:rFonts w:ascii="Cambria" w:eastAsia="Times New Roman" w:hAnsi="Cambria" w:cs="Times New Roman"/>
          <w:iCs/>
          <w:sz w:val="20"/>
          <w:szCs w:val="20"/>
        </w:rPr>
        <w:t xml:space="preserve">&gt; accessed 10 September 2018. </w:t>
      </w:r>
    </w:p>
  </w:footnote>
  <w:footnote w:id="18">
    <w:p w:rsidR="00605ACF" w:rsidRPr="003C521A" w:rsidRDefault="00605ACF" w:rsidP="00605ACF">
      <w:pPr>
        <w:pStyle w:val="FootnoteText"/>
        <w:rPr>
          <w:rFonts w:ascii="Cambria" w:hAnsi="Cambria"/>
          <w:sz w:val="20"/>
          <w:szCs w:val="20"/>
        </w:rPr>
      </w:pPr>
      <w:r w:rsidRPr="00056930">
        <w:rPr>
          <w:rStyle w:val="FootnoteReference"/>
          <w:rFonts w:ascii="Cambria" w:hAnsi="Cambria"/>
          <w:sz w:val="20"/>
          <w:szCs w:val="20"/>
        </w:rPr>
        <w:footnoteRef/>
      </w:r>
      <w:r w:rsidRPr="00056930">
        <w:rPr>
          <w:rFonts w:ascii="Cambria" w:hAnsi="Cambria"/>
          <w:sz w:val="20"/>
          <w:szCs w:val="20"/>
        </w:rPr>
        <w:t xml:space="preserve">  United Nations Convention on the Rights of Persons with Disabilities &lt; </w:t>
      </w:r>
      <w:hyperlink r:id="rId7" w:history="1">
        <w:r w:rsidRPr="003C521A">
          <w:rPr>
            <w:rStyle w:val="Hyperlink"/>
            <w:rFonts w:ascii="Cambria" w:hAnsi="Cambria"/>
            <w:sz w:val="20"/>
            <w:szCs w:val="20"/>
          </w:rPr>
          <w:t>http://www.un.org/disabilities/documents/convention/convoptprot-e.pdf</w:t>
        </w:r>
      </w:hyperlink>
      <w:r w:rsidRPr="003C521A">
        <w:rPr>
          <w:rFonts w:ascii="Cambria" w:hAnsi="Cambria"/>
          <w:sz w:val="20"/>
          <w:szCs w:val="20"/>
        </w:rPr>
        <w:t xml:space="preserve"> &gt; accessed 12 September 2018. </w:t>
      </w:r>
    </w:p>
  </w:footnote>
  <w:footnote w:id="19">
    <w:p w:rsidR="00BB3D54" w:rsidRDefault="00BB3D54">
      <w:pPr>
        <w:pStyle w:val="FootnoteText"/>
      </w:pPr>
      <w:r w:rsidRPr="003C521A">
        <w:rPr>
          <w:rStyle w:val="FootnoteReference"/>
          <w:rFonts w:ascii="Cambria" w:hAnsi="Cambria"/>
          <w:sz w:val="20"/>
          <w:szCs w:val="20"/>
        </w:rPr>
        <w:footnoteRef/>
      </w:r>
      <w:r w:rsidRPr="003C521A">
        <w:rPr>
          <w:rFonts w:ascii="Cambria" w:hAnsi="Cambria"/>
          <w:sz w:val="20"/>
          <w:szCs w:val="20"/>
        </w:rPr>
        <w:t xml:space="preserve"> </w:t>
      </w:r>
      <w:proofErr w:type="gramStart"/>
      <w:r w:rsidRPr="003C521A">
        <w:rPr>
          <w:rFonts w:ascii="Cambria" w:hAnsi="Cambria"/>
          <w:sz w:val="20"/>
          <w:szCs w:val="20"/>
          <w:lang w:val="en-GB"/>
        </w:rPr>
        <w:t>Kenya  ratified</w:t>
      </w:r>
      <w:proofErr w:type="gramEnd"/>
      <w:r w:rsidRPr="003C521A">
        <w:rPr>
          <w:rFonts w:ascii="Cambria" w:hAnsi="Cambria"/>
          <w:sz w:val="20"/>
          <w:szCs w:val="20"/>
          <w:lang w:val="en-GB"/>
        </w:rPr>
        <w:t xml:space="preserve"> the CRPD in 2008 see </w:t>
      </w:r>
      <w:r w:rsidR="003C521A" w:rsidRPr="003C521A">
        <w:rPr>
          <w:rFonts w:ascii="Cambria" w:hAnsi="Cambria"/>
          <w:sz w:val="20"/>
          <w:szCs w:val="20"/>
          <w:lang w:val="en-GB"/>
        </w:rPr>
        <w:t>&lt;</w:t>
      </w:r>
      <w:hyperlink r:id="rId8" w:history="1">
        <w:r w:rsidR="003C521A" w:rsidRPr="003C521A">
          <w:rPr>
            <w:rStyle w:val="HTMLCite"/>
            <w:rFonts w:ascii="Cambria" w:hAnsi="Cambria"/>
            <w:color w:val="0000FF"/>
            <w:sz w:val="20"/>
            <w:szCs w:val="20"/>
            <w:u w:val="single"/>
          </w:rPr>
          <w:t>https://tbinternet.ohchr.org/Treaties/CRPD/.../INT_CRPD_NHS_KEN_21336_E.doc</w:t>
        </w:r>
      </w:hyperlink>
      <w:r w:rsidR="003C521A" w:rsidRPr="003C521A">
        <w:rPr>
          <w:rFonts w:ascii="Cambria" w:hAnsi="Cambria"/>
          <w:sz w:val="20"/>
          <w:szCs w:val="20"/>
        </w:rPr>
        <w:t>&gt; accessed 20 September 2018.</w:t>
      </w:r>
    </w:p>
  </w:footnote>
  <w:footnote w:id="20">
    <w:p w:rsidR="00B81871" w:rsidRPr="00704C49" w:rsidRDefault="00B81871" w:rsidP="00095F8E">
      <w:pPr>
        <w:pStyle w:val="FootnoteText"/>
        <w:rPr>
          <w:rFonts w:ascii="Cambria" w:hAnsi="Cambria"/>
          <w:sz w:val="20"/>
          <w:szCs w:val="20"/>
        </w:rPr>
      </w:pPr>
      <w:r w:rsidRPr="00704C49">
        <w:rPr>
          <w:rStyle w:val="FootnoteReference"/>
          <w:rFonts w:ascii="Cambria" w:eastAsia="Calibri" w:hAnsi="Cambria"/>
          <w:sz w:val="20"/>
          <w:szCs w:val="20"/>
        </w:rPr>
        <w:footnoteRef/>
      </w:r>
      <w:r w:rsidRPr="00704C49">
        <w:rPr>
          <w:rFonts w:ascii="Cambria" w:hAnsi="Cambria"/>
          <w:sz w:val="20"/>
          <w:szCs w:val="20"/>
        </w:rPr>
        <w:t xml:space="preserve"> According to </w:t>
      </w:r>
      <w:r w:rsidRPr="00704C49">
        <w:rPr>
          <w:rFonts w:ascii="Cambria" w:hAnsi="Cambria"/>
          <w:i/>
          <w:sz w:val="20"/>
          <w:szCs w:val="20"/>
        </w:rPr>
        <w:t>‘Guidelines for identifying people with disabilities for cash transfer 2011’</w:t>
      </w:r>
      <w:r w:rsidRPr="00704C49">
        <w:rPr>
          <w:rFonts w:ascii="Cambria" w:hAnsi="Cambria"/>
          <w:sz w:val="20"/>
          <w:szCs w:val="20"/>
        </w:rPr>
        <w:t xml:space="preserve">, the eligibility criteria include: </w:t>
      </w:r>
    </w:p>
    <w:p w:rsidR="00B81871" w:rsidRPr="00704C49" w:rsidRDefault="00B81871" w:rsidP="00095F8E">
      <w:pPr>
        <w:pStyle w:val="FootnoteText"/>
        <w:numPr>
          <w:ilvl w:val="0"/>
          <w:numId w:val="10"/>
        </w:numPr>
        <w:rPr>
          <w:rFonts w:ascii="Cambria" w:hAnsi="Cambria"/>
          <w:sz w:val="20"/>
          <w:szCs w:val="20"/>
          <w:lang w:val="en-GB"/>
        </w:rPr>
      </w:pPr>
      <w:r w:rsidRPr="00704C49">
        <w:rPr>
          <w:rFonts w:ascii="Cambria" w:hAnsi="Cambria"/>
          <w:sz w:val="20"/>
          <w:szCs w:val="20"/>
        </w:rPr>
        <w:t>poverty level of a household</w:t>
      </w:r>
    </w:p>
    <w:p w:rsidR="00B81871" w:rsidRPr="00704C49" w:rsidRDefault="00B81871" w:rsidP="00095F8E">
      <w:pPr>
        <w:pStyle w:val="FootnoteText"/>
        <w:numPr>
          <w:ilvl w:val="0"/>
          <w:numId w:val="10"/>
        </w:numPr>
        <w:rPr>
          <w:rFonts w:ascii="Cambria" w:hAnsi="Cambria"/>
          <w:sz w:val="20"/>
          <w:szCs w:val="20"/>
          <w:lang w:val="en-GB"/>
        </w:rPr>
      </w:pPr>
      <w:r w:rsidRPr="00704C49">
        <w:rPr>
          <w:rFonts w:ascii="Cambria" w:hAnsi="Cambria"/>
          <w:sz w:val="20"/>
          <w:szCs w:val="20"/>
        </w:rPr>
        <w:t xml:space="preserve">number of persons with severe disabilities in a household </w:t>
      </w:r>
    </w:p>
    <w:p w:rsidR="00B81871" w:rsidRPr="00704C49" w:rsidRDefault="00B81871" w:rsidP="00095F8E">
      <w:pPr>
        <w:pStyle w:val="FootnoteText"/>
        <w:numPr>
          <w:ilvl w:val="0"/>
          <w:numId w:val="10"/>
        </w:numPr>
        <w:rPr>
          <w:rFonts w:ascii="Cambria" w:hAnsi="Cambria"/>
          <w:sz w:val="20"/>
          <w:szCs w:val="20"/>
          <w:lang w:val="en-GB"/>
        </w:rPr>
      </w:pPr>
      <w:r w:rsidRPr="00704C49">
        <w:rPr>
          <w:rFonts w:ascii="Cambria" w:hAnsi="Cambria"/>
          <w:sz w:val="20"/>
          <w:szCs w:val="20"/>
        </w:rPr>
        <w:t xml:space="preserve">number of chronically ill persons in a household with a person with severe disability </w:t>
      </w:r>
    </w:p>
    <w:p w:rsidR="00B81871" w:rsidRPr="00704C49" w:rsidRDefault="00B81871" w:rsidP="00095F8E">
      <w:pPr>
        <w:pStyle w:val="FootnoteText"/>
        <w:numPr>
          <w:ilvl w:val="0"/>
          <w:numId w:val="10"/>
        </w:numPr>
        <w:rPr>
          <w:rFonts w:ascii="Cambria" w:hAnsi="Cambria"/>
          <w:sz w:val="20"/>
          <w:szCs w:val="20"/>
          <w:lang w:val="en-GB"/>
        </w:rPr>
      </w:pPr>
      <w:r w:rsidRPr="00704C49">
        <w:rPr>
          <w:rFonts w:ascii="Cambria" w:hAnsi="Cambria"/>
          <w:sz w:val="20"/>
          <w:szCs w:val="20"/>
        </w:rPr>
        <w:t>number of persons in a household with other forms of disabilities other than the severe disability</w:t>
      </w:r>
    </w:p>
    <w:p w:rsidR="00B81871" w:rsidRPr="00704C49" w:rsidRDefault="00B81871" w:rsidP="00095F8E">
      <w:pPr>
        <w:pStyle w:val="FootnoteText"/>
        <w:numPr>
          <w:ilvl w:val="0"/>
          <w:numId w:val="10"/>
        </w:numPr>
        <w:rPr>
          <w:rFonts w:ascii="Cambria" w:hAnsi="Cambria"/>
          <w:sz w:val="20"/>
          <w:szCs w:val="20"/>
          <w:lang w:val="en-GB"/>
        </w:rPr>
      </w:pPr>
      <w:r w:rsidRPr="00704C49">
        <w:rPr>
          <w:rFonts w:ascii="Cambria" w:hAnsi="Cambria"/>
          <w:sz w:val="20"/>
          <w:szCs w:val="20"/>
        </w:rPr>
        <w:t xml:space="preserve">must not be enrolled in any other cash transfer </w:t>
      </w:r>
      <w:proofErr w:type="spellStart"/>
      <w:r w:rsidRPr="00704C49">
        <w:rPr>
          <w:rFonts w:ascii="Cambria" w:hAnsi="Cambria"/>
          <w:sz w:val="20"/>
          <w:szCs w:val="20"/>
        </w:rPr>
        <w:t>programme</w:t>
      </w:r>
      <w:proofErr w:type="spellEnd"/>
    </w:p>
  </w:footnote>
  <w:footnote w:id="21">
    <w:p w:rsidR="00B81871" w:rsidRPr="00704C49" w:rsidRDefault="00B81871" w:rsidP="00095F8E">
      <w:pPr>
        <w:pStyle w:val="FootnoteText"/>
        <w:rPr>
          <w:rFonts w:ascii="Cambria" w:hAnsi="Cambria"/>
          <w:sz w:val="20"/>
          <w:szCs w:val="20"/>
          <w:lang w:val="en-GB"/>
        </w:rPr>
      </w:pPr>
      <w:r w:rsidRPr="00704C49">
        <w:rPr>
          <w:rStyle w:val="FootnoteReference"/>
          <w:rFonts w:ascii="Cambria" w:eastAsia="Calibri" w:hAnsi="Cambria"/>
          <w:sz w:val="20"/>
          <w:szCs w:val="20"/>
        </w:rPr>
        <w:footnoteRef/>
      </w:r>
      <w:r w:rsidRPr="00704C49">
        <w:rPr>
          <w:rFonts w:ascii="Cambria" w:hAnsi="Cambria"/>
          <w:sz w:val="20"/>
          <w:szCs w:val="20"/>
        </w:rPr>
        <w:t xml:space="preserve"> </w:t>
      </w:r>
      <w:r w:rsidRPr="00704C49">
        <w:rPr>
          <w:rFonts w:ascii="Cambria" w:hAnsi="Cambria"/>
          <w:sz w:val="20"/>
          <w:szCs w:val="20"/>
          <w:lang w:val="en-GB"/>
        </w:rPr>
        <w:t xml:space="preserve"> For details on targeting and eligibility see the UN Special Rapporteur on the Rights of Persons with Disabilities on Social Protection A/70/297 available at &lt;</w:t>
      </w:r>
      <w:hyperlink r:id="rId9" w:history="1">
        <w:r w:rsidR="00511105" w:rsidRPr="00204B1C">
          <w:rPr>
            <w:rStyle w:val="Hyperlink"/>
            <w:rFonts w:ascii="Cambria" w:hAnsi="Cambria"/>
            <w:sz w:val="20"/>
            <w:szCs w:val="20"/>
            <w:lang w:val="en-GB"/>
          </w:rPr>
          <w:t>http://www.un.org/en/ga/search/view_doc.asp?symbol=A/70/297</w:t>
        </w:r>
      </w:hyperlink>
      <w:r w:rsidR="00511105">
        <w:rPr>
          <w:rFonts w:ascii="Cambria" w:hAnsi="Cambria"/>
          <w:sz w:val="20"/>
          <w:szCs w:val="20"/>
          <w:lang w:val="en-GB"/>
        </w:rPr>
        <w:t xml:space="preserve"> &gt; accessed on 25 September 2018</w:t>
      </w:r>
      <w:r w:rsidR="00511105" w:rsidRPr="00704C49">
        <w:rPr>
          <w:rFonts w:ascii="Cambria" w:hAnsi="Cambria"/>
          <w:sz w:val="20"/>
          <w:szCs w:val="20"/>
          <w:lang w:val="en-GB"/>
        </w:rPr>
        <w:t>.</w:t>
      </w:r>
    </w:p>
  </w:footnote>
  <w:footnote w:id="22">
    <w:p w:rsidR="00B81871" w:rsidRPr="00704C49" w:rsidRDefault="00B81871" w:rsidP="00095F8E">
      <w:pPr>
        <w:pStyle w:val="FootnoteText"/>
        <w:rPr>
          <w:rFonts w:ascii="Cambria" w:hAnsi="Cambria"/>
          <w:sz w:val="20"/>
          <w:szCs w:val="20"/>
          <w:lang w:val="en-GB"/>
        </w:rPr>
      </w:pPr>
      <w:r w:rsidRPr="00704C49">
        <w:rPr>
          <w:rStyle w:val="FootnoteReference"/>
          <w:rFonts w:ascii="Cambria" w:eastAsia="Calibri" w:hAnsi="Cambria"/>
          <w:sz w:val="20"/>
          <w:szCs w:val="20"/>
        </w:rPr>
        <w:footnoteRef/>
      </w:r>
      <w:r w:rsidRPr="00704C49">
        <w:rPr>
          <w:rFonts w:ascii="Cambria" w:hAnsi="Cambria"/>
          <w:sz w:val="20"/>
          <w:szCs w:val="20"/>
        </w:rPr>
        <w:t xml:space="preserve"> </w:t>
      </w:r>
      <w:r w:rsidRPr="00704C49">
        <w:rPr>
          <w:rFonts w:ascii="Cambria" w:hAnsi="Cambria"/>
          <w:sz w:val="20"/>
          <w:szCs w:val="20"/>
          <w:lang w:val="en-GB"/>
        </w:rPr>
        <w:t>Committee on the Rights of Persons with Disabilities, ‘Guidelines on Article 14 of the Convention on the Rights of persons with Disabilities- the right to liberty and security of persons with disabilities’ (adopted at the CRPD 14</w:t>
      </w:r>
      <w:r w:rsidRPr="00704C49">
        <w:rPr>
          <w:rFonts w:ascii="Cambria" w:hAnsi="Cambria"/>
          <w:sz w:val="20"/>
          <w:szCs w:val="20"/>
          <w:vertAlign w:val="superscript"/>
          <w:lang w:val="en-GB"/>
        </w:rPr>
        <w:t>th</w:t>
      </w:r>
      <w:r w:rsidRPr="00704C49">
        <w:rPr>
          <w:rFonts w:ascii="Cambria" w:hAnsi="Cambria"/>
          <w:sz w:val="20"/>
          <w:szCs w:val="20"/>
          <w:lang w:val="en-GB"/>
        </w:rPr>
        <w:t xml:space="preserve"> Session (17 August- 4 September 2015) available at &lt;</w:t>
      </w:r>
      <w:hyperlink r:id="rId10" w:history="1">
        <w:r w:rsidRPr="00704C49">
          <w:rPr>
            <w:rStyle w:val="Hyperlink"/>
            <w:rFonts w:ascii="Cambria" w:hAnsi="Cambria"/>
            <w:sz w:val="20"/>
            <w:szCs w:val="20"/>
            <w:lang w:val="en-GB"/>
          </w:rPr>
          <w:t>http://ohchr.org/EN/HRBodies/CRPD/Pages/CRPDIndex.aspx</w:t>
        </w:r>
      </w:hyperlink>
      <w:r w:rsidR="0087406D">
        <w:rPr>
          <w:rFonts w:ascii="Cambria" w:hAnsi="Cambria"/>
          <w:sz w:val="20"/>
          <w:szCs w:val="20"/>
          <w:lang w:val="en-GB"/>
        </w:rPr>
        <w:t>&gt; accessed on 25 September 2018</w:t>
      </w:r>
      <w:r w:rsidRPr="00704C49">
        <w:rPr>
          <w:rFonts w:ascii="Cambria" w:hAnsi="Cambria"/>
          <w:sz w:val="20"/>
          <w:szCs w:val="20"/>
          <w:lang w:val="en-GB"/>
        </w:rPr>
        <w:t xml:space="preserve">. </w:t>
      </w:r>
    </w:p>
  </w:footnote>
  <w:footnote w:id="23">
    <w:p w:rsidR="00B81871" w:rsidRPr="00704C49" w:rsidRDefault="00B81871" w:rsidP="00095F8E">
      <w:pPr>
        <w:pStyle w:val="FootnoteText"/>
        <w:rPr>
          <w:rFonts w:ascii="Cambria" w:hAnsi="Cambria"/>
          <w:sz w:val="20"/>
          <w:szCs w:val="20"/>
          <w:lang w:val="en-GB"/>
        </w:rPr>
      </w:pPr>
      <w:r w:rsidRPr="00704C49">
        <w:rPr>
          <w:rStyle w:val="FootnoteReference"/>
          <w:rFonts w:ascii="Cambria" w:eastAsia="Calibri" w:hAnsi="Cambria"/>
          <w:sz w:val="20"/>
          <w:szCs w:val="20"/>
        </w:rPr>
        <w:footnoteRef/>
      </w:r>
      <w:r w:rsidRPr="00704C49">
        <w:rPr>
          <w:rFonts w:ascii="Cambria" w:hAnsi="Cambria"/>
          <w:sz w:val="20"/>
          <w:szCs w:val="20"/>
        </w:rPr>
        <w:t xml:space="preserve"> The Working Group on Arbitrary detention, ‘The basic principles and the guidelines on remedies and procedure on the right of anyone deprived of their liberty to bring proceedings before court’, available at &lt;</w:t>
      </w:r>
      <w:hyperlink r:id="rId11" w:history="1">
        <w:r w:rsidRPr="00704C49">
          <w:rPr>
            <w:rStyle w:val="Hyperlink"/>
            <w:rFonts w:ascii="Cambria" w:hAnsi="Cambria"/>
            <w:sz w:val="20"/>
            <w:szCs w:val="20"/>
          </w:rPr>
          <w:t>http://www.ohchr.org/EN/Issues/Detention/Pages/DraftBasicPrinciples.aspx</w:t>
        </w:r>
      </w:hyperlink>
      <w:r w:rsidR="0087406D">
        <w:rPr>
          <w:rFonts w:ascii="Cambria" w:hAnsi="Cambria"/>
          <w:sz w:val="20"/>
          <w:szCs w:val="20"/>
        </w:rPr>
        <w:t>&gt; accessed on 25 September 2018</w:t>
      </w:r>
      <w:r w:rsidRPr="00704C49">
        <w:rPr>
          <w:rFonts w:ascii="Cambria" w:hAnsi="Cambria"/>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4F20"/>
    <w:multiLevelType w:val="hybridMultilevel"/>
    <w:tmpl w:val="739A7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1C28FD"/>
    <w:multiLevelType w:val="hybridMultilevel"/>
    <w:tmpl w:val="A246E8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E487E6D"/>
    <w:multiLevelType w:val="hybridMultilevel"/>
    <w:tmpl w:val="05922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2475D11"/>
    <w:multiLevelType w:val="hybridMultilevel"/>
    <w:tmpl w:val="3EBC3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A070C6"/>
    <w:multiLevelType w:val="hybridMultilevel"/>
    <w:tmpl w:val="1BA4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D60F9"/>
    <w:multiLevelType w:val="hybridMultilevel"/>
    <w:tmpl w:val="86F6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F05C4"/>
    <w:multiLevelType w:val="hybridMultilevel"/>
    <w:tmpl w:val="5BCE5080"/>
    <w:lvl w:ilvl="0" w:tplc="4942E67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66595"/>
    <w:multiLevelType w:val="hybridMultilevel"/>
    <w:tmpl w:val="A3D01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B5B4206"/>
    <w:multiLevelType w:val="hybridMultilevel"/>
    <w:tmpl w:val="A0FE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94D51"/>
    <w:multiLevelType w:val="hybridMultilevel"/>
    <w:tmpl w:val="A798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56696"/>
    <w:multiLevelType w:val="hybridMultilevel"/>
    <w:tmpl w:val="A8EA9236"/>
    <w:lvl w:ilvl="0" w:tplc="6DA01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5"/>
  </w:num>
  <w:num w:numId="4">
    <w:abstractNumId w:val="9"/>
  </w:num>
  <w:num w:numId="5">
    <w:abstractNumId w:val="1"/>
  </w:num>
  <w:num w:numId="6">
    <w:abstractNumId w:val="8"/>
  </w:num>
  <w:num w:numId="7">
    <w:abstractNumId w:val="6"/>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FC"/>
    <w:rsid w:val="00002E39"/>
    <w:rsid w:val="0000339A"/>
    <w:rsid w:val="00005935"/>
    <w:rsid w:val="00025555"/>
    <w:rsid w:val="00052EFC"/>
    <w:rsid w:val="00056930"/>
    <w:rsid w:val="000733B7"/>
    <w:rsid w:val="000876B4"/>
    <w:rsid w:val="00093D78"/>
    <w:rsid w:val="00095F8E"/>
    <w:rsid w:val="000A2CC0"/>
    <w:rsid w:val="000D4636"/>
    <w:rsid w:val="0010583E"/>
    <w:rsid w:val="00114DAC"/>
    <w:rsid w:val="0013223A"/>
    <w:rsid w:val="001328C2"/>
    <w:rsid w:val="0013700D"/>
    <w:rsid w:val="00137A7D"/>
    <w:rsid w:val="0015154D"/>
    <w:rsid w:val="001611AB"/>
    <w:rsid w:val="00164DB0"/>
    <w:rsid w:val="00176C8E"/>
    <w:rsid w:val="001844ED"/>
    <w:rsid w:val="00191976"/>
    <w:rsid w:val="00191D8E"/>
    <w:rsid w:val="001A647D"/>
    <w:rsid w:val="001B0B4F"/>
    <w:rsid w:val="001E1292"/>
    <w:rsid w:val="001F6D8B"/>
    <w:rsid w:val="002113BB"/>
    <w:rsid w:val="00226E2F"/>
    <w:rsid w:val="00240115"/>
    <w:rsid w:val="002402FC"/>
    <w:rsid w:val="00243328"/>
    <w:rsid w:val="0025004F"/>
    <w:rsid w:val="00274752"/>
    <w:rsid w:val="002B1F2A"/>
    <w:rsid w:val="002B7731"/>
    <w:rsid w:val="002C0178"/>
    <w:rsid w:val="002C28AD"/>
    <w:rsid w:val="002C2CEE"/>
    <w:rsid w:val="002D426F"/>
    <w:rsid w:val="002E1F4F"/>
    <w:rsid w:val="002E63D6"/>
    <w:rsid w:val="0030313F"/>
    <w:rsid w:val="00310F30"/>
    <w:rsid w:val="00314A9E"/>
    <w:rsid w:val="00315309"/>
    <w:rsid w:val="00334243"/>
    <w:rsid w:val="00337CD8"/>
    <w:rsid w:val="00343C4A"/>
    <w:rsid w:val="00356A48"/>
    <w:rsid w:val="00362656"/>
    <w:rsid w:val="003768C7"/>
    <w:rsid w:val="00376D33"/>
    <w:rsid w:val="00395B2B"/>
    <w:rsid w:val="00396C19"/>
    <w:rsid w:val="003A073A"/>
    <w:rsid w:val="003A42FC"/>
    <w:rsid w:val="003B0CCC"/>
    <w:rsid w:val="003B2D04"/>
    <w:rsid w:val="003B6146"/>
    <w:rsid w:val="003B757F"/>
    <w:rsid w:val="003C521A"/>
    <w:rsid w:val="003E43E0"/>
    <w:rsid w:val="004248B7"/>
    <w:rsid w:val="0042799A"/>
    <w:rsid w:val="0045250C"/>
    <w:rsid w:val="004548D9"/>
    <w:rsid w:val="00457351"/>
    <w:rsid w:val="0049273B"/>
    <w:rsid w:val="004A1B8E"/>
    <w:rsid w:val="004A2C38"/>
    <w:rsid w:val="004D01A6"/>
    <w:rsid w:val="004D212D"/>
    <w:rsid w:val="004D4325"/>
    <w:rsid w:val="004D7AFC"/>
    <w:rsid w:val="004F1371"/>
    <w:rsid w:val="00511105"/>
    <w:rsid w:val="00517A6F"/>
    <w:rsid w:val="00524A21"/>
    <w:rsid w:val="005258BB"/>
    <w:rsid w:val="0054016D"/>
    <w:rsid w:val="00554E56"/>
    <w:rsid w:val="00567D85"/>
    <w:rsid w:val="00572A86"/>
    <w:rsid w:val="005E0E5A"/>
    <w:rsid w:val="005F483B"/>
    <w:rsid w:val="005F5F9A"/>
    <w:rsid w:val="00605ACF"/>
    <w:rsid w:val="006478E1"/>
    <w:rsid w:val="00660283"/>
    <w:rsid w:val="00661B4C"/>
    <w:rsid w:val="00663FB4"/>
    <w:rsid w:val="00685FE6"/>
    <w:rsid w:val="0069168F"/>
    <w:rsid w:val="00697983"/>
    <w:rsid w:val="006A7382"/>
    <w:rsid w:val="006B2C85"/>
    <w:rsid w:val="006B735D"/>
    <w:rsid w:val="006D128C"/>
    <w:rsid w:val="00704C49"/>
    <w:rsid w:val="0071402E"/>
    <w:rsid w:val="00735393"/>
    <w:rsid w:val="007376D6"/>
    <w:rsid w:val="007377F3"/>
    <w:rsid w:val="007416DD"/>
    <w:rsid w:val="00746F88"/>
    <w:rsid w:val="007577C2"/>
    <w:rsid w:val="0077737B"/>
    <w:rsid w:val="0078797C"/>
    <w:rsid w:val="007969DF"/>
    <w:rsid w:val="007B6437"/>
    <w:rsid w:val="007B6D96"/>
    <w:rsid w:val="007C044A"/>
    <w:rsid w:val="007C0AAA"/>
    <w:rsid w:val="007C1419"/>
    <w:rsid w:val="007C1D68"/>
    <w:rsid w:val="007D2219"/>
    <w:rsid w:val="007D3D32"/>
    <w:rsid w:val="007E0756"/>
    <w:rsid w:val="007E37E6"/>
    <w:rsid w:val="00853259"/>
    <w:rsid w:val="0087406D"/>
    <w:rsid w:val="00881E20"/>
    <w:rsid w:val="00882412"/>
    <w:rsid w:val="008904B7"/>
    <w:rsid w:val="008945B6"/>
    <w:rsid w:val="008A2C4D"/>
    <w:rsid w:val="008B2A97"/>
    <w:rsid w:val="008B5DCD"/>
    <w:rsid w:val="00943B67"/>
    <w:rsid w:val="00960FFF"/>
    <w:rsid w:val="009623C3"/>
    <w:rsid w:val="00965702"/>
    <w:rsid w:val="00977221"/>
    <w:rsid w:val="009819A9"/>
    <w:rsid w:val="00984EEA"/>
    <w:rsid w:val="009A0B4F"/>
    <w:rsid w:val="009C26CC"/>
    <w:rsid w:val="009C79A3"/>
    <w:rsid w:val="009D2791"/>
    <w:rsid w:val="009E2BE9"/>
    <w:rsid w:val="00A1014E"/>
    <w:rsid w:val="00A427D4"/>
    <w:rsid w:val="00A43338"/>
    <w:rsid w:val="00A464A6"/>
    <w:rsid w:val="00A4651E"/>
    <w:rsid w:val="00A63D05"/>
    <w:rsid w:val="00A65E22"/>
    <w:rsid w:val="00A824AA"/>
    <w:rsid w:val="00A85FFE"/>
    <w:rsid w:val="00A965A9"/>
    <w:rsid w:val="00A97841"/>
    <w:rsid w:val="00AA122F"/>
    <w:rsid w:val="00AE3DF7"/>
    <w:rsid w:val="00AF7A04"/>
    <w:rsid w:val="00B13305"/>
    <w:rsid w:val="00B319C4"/>
    <w:rsid w:val="00B35E1C"/>
    <w:rsid w:val="00B378C3"/>
    <w:rsid w:val="00B40CF0"/>
    <w:rsid w:val="00B41801"/>
    <w:rsid w:val="00B76E0C"/>
    <w:rsid w:val="00B80CE1"/>
    <w:rsid w:val="00B81871"/>
    <w:rsid w:val="00B86C48"/>
    <w:rsid w:val="00B87763"/>
    <w:rsid w:val="00BB3C7A"/>
    <w:rsid w:val="00BB3D54"/>
    <w:rsid w:val="00BB4E75"/>
    <w:rsid w:val="00BC370C"/>
    <w:rsid w:val="00BD2349"/>
    <w:rsid w:val="00BD63EC"/>
    <w:rsid w:val="00C01DC3"/>
    <w:rsid w:val="00C17EC0"/>
    <w:rsid w:val="00C352F3"/>
    <w:rsid w:val="00C414D3"/>
    <w:rsid w:val="00C51B85"/>
    <w:rsid w:val="00C6607E"/>
    <w:rsid w:val="00C70AAA"/>
    <w:rsid w:val="00C91664"/>
    <w:rsid w:val="00CA78B5"/>
    <w:rsid w:val="00CD1F92"/>
    <w:rsid w:val="00CE3E41"/>
    <w:rsid w:val="00D019C9"/>
    <w:rsid w:val="00D03A8F"/>
    <w:rsid w:val="00D11535"/>
    <w:rsid w:val="00D24678"/>
    <w:rsid w:val="00D26C5E"/>
    <w:rsid w:val="00D52359"/>
    <w:rsid w:val="00D57CCB"/>
    <w:rsid w:val="00D606F0"/>
    <w:rsid w:val="00D6451C"/>
    <w:rsid w:val="00D72069"/>
    <w:rsid w:val="00D8196A"/>
    <w:rsid w:val="00D851B6"/>
    <w:rsid w:val="00D92025"/>
    <w:rsid w:val="00D960ED"/>
    <w:rsid w:val="00DA53D8"/>
    <w:rsid w:val="00DB1AB8"/>
    <w:rsid w:val="00DC0B82"/>
    <w:rsid w:val="00DD221A"/>
    <w:rsid w:val="00DD40E6"/>
    <w:rsid w:val="00DD6E2E"/>
    <w:rsid w:val="00DD6F2C"/>
    <w:rsid w:val="00DF57C7"/>
    <w:rsid w:val="00DF59C3"/>
    <w:rsid w:val="00E01147"/>
    <w:rsid w:val="00E102E5"/>
    <w:rsid w:val="00E3205F"/>
    <w:rsid w:val="00E44B70"/>
    <w:rsid w:val="00E60F6F"/>
    <w:rsid w:val="00E6443D"/>
    <w:rsid w:val="00E70F27"/>
    <w:rsid w:val="00E75A59"/>
    <w:rsid w:val="00E95E9B"/>
    <w:rsid w:val="00E96BD7"/>
    <w:rsid w:val="00ED0842"/>
    <w:rsid w:val="00ED3DF7"/>
    <w:rsid w:val="00ED5920"/>
    <w:rsid w:val="00EE1F69"/>
    <w:rsid w:val="00EE2871"/>
    <w:rsid w:val="00EE3C44"/>
    <w:rsid w:val="00F21BFC"/>
    <w:rsid w:val="00F22154"/>
    <w:rsid w:val="00F35812"/>
    <w:rsid w:val="00F40482"/>
    <w:rsid w:val="00F5199C"/>
    <w:rsid w:val="00F62807"/>
    <w:rsid w:val="00F7679E"/>
    <w:rsid w:val="00F84341"/>
    <w:rsid w:val="00F9010A"/>
    <w:rsid w:val="00FC4BB3"/>
    <w:rsid w:val="00FF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E6"/>
    <w:pPr>
      <w:ind w:left="720"/>
      <w:contextualSpacing/>
    </w:pPr>
  </w:style>
  <w:style w:type="paragraph" w:styleId="NormalWeb">
    <w:name w:val="Normal (Web)"/>
    <w:basedOn w:val="Normal"/>
    <w:uiPriority w:val="99"/>
    <w:unhideWhenUsed/>
    <w:rsid w:val="007E3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B2C85"/>
  </w:style>
  <w:style w:type="paragraph" w:styleId="FootnoteText">
    <w:name w:val="footnote text"/>
    <w:aliases w:val=" Char, Char Char Char, Char Char Char Char Char Char, Char Char Char Char Char,Char Char Char,Char Char,Footnote Quote,Footnote Quote1,Footnote Quote2,Footnote Quote3,Footnote Quote4,Footnote Quote5,Footnote Quote6,Footnote Quote7,Footnote"/>
    <w:basedOn w:val="Normal"/>
    <w:link w:val="FootnoteTextChar"/>
    <w:uiPriority w:val="99"/>
    <w:unhideWhenUsed/>
    <w:rsid w:val="001611AB"/>
    <w:pPr>
      <w:spacing w:after="0" w:line="240" w:lineRule="auto"/>
    </w:pPr>
    <w:rPr>
      <w:rFonts w:eastAsiaTheme="minorEastAsia"/>
      <w:sz w:val="24"/>
      <w:szCs w:val="24"/>
    </w:rPr>
  </w:style>
  <w:style w:type="character" w:customStyle="1" w:styleId="FootnoteTextChar">
    <w:name w:val="Footnote Text Char"/>
    <w:aliases w:val=" Char Char, Char Char Char Char, Char Char Char Char Char Char Char, Char Char Char Char Char Char1,Char Char Char Char,Char Char Char1,Footnote Quote Char,Footnote Quote1 Char,Footnote Quote2 Char,Footnote Quote3 Char,Footnote Char"/>
    <w:basedOn w:val="DefaultParagraphFont"/>
    <w:link w:val="FootnoteText"/>
    <w:uiPriority w:val="99"/>
    <w:rsid w:val="001611AB"/>
    <w:rPr>
      <w:rFonts w:eastAsiaTheme="minorEastAsia"/>
      <w:sz w:val="24"/>
      <w:szCs w:val="24"/>
    </w:rPr>
  </w:style>
  <w:style w:type="character" w:styleId="FootnoteReference">
    <w:name w:val="footnote reference"/>
    <w:aliases w:val="4_G,Standard + Block,Erste Zeile:  1 cm,Footnotes refss,Footnote number"/>
    <w:basedOn w:val="DefaultParagraphFont"/>
    <w:uiPriority w:val="99"/>
    <w:unhideWhenUsed/>
    <w:rsid w:val="001611AB"/>
    <w:rPr>
      <w:vertAlign w:val="superscript"/>
    </w:rPr>
  </w:style>
  <w:style w:type="character" w:styleId="Hyperlink">
    <w:name w:val="Hyperlink"/>
    <w:uiPriority w:val="99"/>
    <w:unhideWhenUsed/>
    <w:rsid w:val="00B81871"/>
    <w:rPr>
      <w:color w:val="0000FF"/>
      <w:u w:val="single"/>
    </w:rPr>
  </w:style>
  <w:style w:type="character" w:styleId="HTMLCite">
    <w:name w:val="HTML Cite"/>
    <w:basedOn w:val="DefaultParagraphFont"/>
    <w:uiPriority w:val="99"/>
    <w:semiHidden/>
    <w:unhideWhenUsed/>
    <w:rsid w:val="00D26C5E"/>
    <w:rPr>
      <w:i/>
      <w:iCs/>
    </w:rPr>
  </w:style>
  <w:style w:type="paragraph" w:styleId="Header">
    <w:name w:val="header"/>
    <w:basedOn w:val="Normal"/>
    <w:link w:val="HeaderChar"/>
    <w:uiPriority w:val="99"/>
    <w:unhideWhenUsed/>
    <w:rsid w:val="00F4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482"/>
  </w:style>
  <w:style w:type="paragraph" w:styleId="Footer">
    <w:name w:val="footer"/>
    <w:basedOn w:val="Normal"/>
    <w:link w:val="FooterChar"/>
    <w:uiPriority w:val="99"/>
    <w:unhideWhenUsed/>
    <w:rsid w:val="00F4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E6"/>
    <w:pPr>
      <w:ind w:left="720"/>
      <w:contextualSpacing/>
    </w:pPr>
  </w:style>
  <w:style w:type="paragraph" w:styleId="NormalWeb">
    <w:name w:val="Normal (Web)"/>
    <w:basedOn w:val="Normal"/>
    <w:uiPriority w:val="99"/>
    <w:unhideWhenUsed/>
    <w:rsid w:val="007E3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B2C85"/>
  </w:style>
  <w:style w:type="paragraph" w:styleId="FootnoteText">
    <w:name w:val="footnote text"/>
    <w:aliases w:val=" Char, Char Char Char, Char Char Char Char Char Char, Char Char Char Char Char,Char Char Char,Char Char,Footnote Quote,Footnote Quote1,Footnote Quote2,Footnote Quote3,Footnote Quote4,Footnote Quote5,Footnote Quote6,Footnote Quote7,Footnote"/>
    <w:basedOn w:val="Normal"/>
    <w:link w:val="FootnoteTextChar"/>
    <w:uiPriority w:val="99"/>
    <w:unhideWhenUsed/>
    <w:rsid w:val="001611AB"/>
    <w:pPr>
      <w:spacing w:after="0" w:line="240" w:lineRule="auto"/>
    </w:pPr>
    <w:rPr>
      <w:rFonts w:eastAsiaTheme="minorEastAsia"/>
      <w:sz w:val="24"/>
      <w:szCs w:val="24"/>
    </w:rPr>
  </w:style>
  <w:style w:type="character" w:customStyle="1" w:styleId="FootnoteTextChar">
    <w:name w:val="Footnote Text Char"/>
    <w:aliases w:val=" Char Char, Char Char Char Char, Char Char Char Char Char Char Char, Char Char Char Char Char Char1,Char Char Char Char,Char Char Char1,Footnote Quote Char,Footnote Quote1 Char,Footnote Quote2 Char,Footnote Quote3 Char,Footnote Char"/>
    <w:basedOn w:val="DefaultParagraphFont"/>
    <w:link w:val="FootnoteText"/>
    <w:uiPriority w:val="99"/>
    <w:rsid w:val="001611AB"/>
    <w:rPr>
      <w:rFonts w:eastAsiaTheme="minorEastAsia"/>
      <w:sz w:val="24"/>
      <w:szCs w:val="24"/>
    </w:rPr>
  </w:style>
  <w:style w:type="character" w:styleId="FootnoteReference">
    <w:name w:val="footnote reference"/>
    <w:aliases w:val="4_G,Standard + Block,Erste Zeile:  1 cm,Footnotes refss,Footnote number"/>
    <w:basedOn w:val="DefaultParagraphFont"/>
    <w:uiPriority w:val="99"/>
    <w:unhideWhenUsed/>
    <w:rsid w:val="001611AB"/>
    <w:rPr>
      <w:vertAlign w:val="superscript"/>
    </w:rPr>
  </w:style>
  <w:style w:type="character" w:styleId="Hyperlink">
    <w:name w:val="Hyperlink"/>
    <w:uiPriority w:val="99"/>
    <w:unhideWhenUsed/>
    <w:rsid w:val="00B81871"/>
    <w:rPr>
      <w:color w:val="0000FF"/>
      <w:u w:val="single"/>
    </w:rPr>
  </w:style>
  <w:style w:type="character" w:styleId="HTMLCite">
    <w:name w:val="HTML Cite"/>
    <w:basedOn w:val="DefaultParagraphFont"/>
    <w:uiPriority w:val="99"/>
    <w:semiHidden/>
    <w:unhideWhenUsed/>
    <w:rsid w:val="00D26C5E"/>
    <w:rPr>
      <w:i/>
      <w:iCs/>
    </w:rPr>
  </w:style>
  <w:style w:type="paragraph" w:styleId="Header">
    <w:name w:val="header"/>
    <w:basedOn w:val="Normal"/>
    <w:link w:val="HeaderChar"/>
    <w:uiPriority w:val="99"/>
    <w:unhideWhenUsed/>
    <w:rsid w:val="00F4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482"/>
  </w:style>
  <w:style w:type="paragraph" w:styleId="Footer">
    <w:name w:val="footer"/>
    <w:basedOn w:val="Normal"/>
    <w:link w:val="FooterChar"/>
    <w:uiPriority w:val="99"/>
    <w:unhideWhenUsed/>
    <w:rsid w:val="00F4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620">
      <w:bodyDiv w:val="1"/>
      <w:marLeft w:val="0"/>
      <w:marRight w:val="0"/>
      <w:marTop w:val="0"/>
      <w:marBottom w:val="0"/>
      <w:divBdr>
        <w:top w:val="none" w:sz="0" w:space="0" w:color="auto"/>
        <w:left w:val="none" w:sz="0" w:space="0" w:color="auto"/>
        <w:bottom w:val="none" w:sz="0" w:space="0" w:color="auto"/>
        <w:right w:val="none" w:sz="0" w:space="0" w:color="auto"/>
      </w:divBdr>
    </w:div>
    <w:div w:id="341704725">
      <w:bodyDiv w:val="1"/>
      <w:marLeft w:val="0"/>
      <w:marRight w:val="0"/>
      <w:marTop w:val="0"/>
      <w:marBottom w:val="0"/>
      <w:divBdr>
        <w:top w:val="none" w:sz="0" w:space="0" w:color="auto"/>
        <w:left w:val="none" w:sz="0" w:space="0" w:color="auto"/>
        <w:bottom w:val="none" w:sz="0" w:space="0" w:color="auto"/>
        <w:right w:val="none" w:sz="0" w:space="0" w:color="auto"/>
      </w:divBdr>
    </w:div>
    <w:div w:id="514728427">
      <w:bodyDiv w:val="1"/>
      <w:marLeft w:val="0"/>
      <w:marRight w:val="0"/>
      <w:marTop w:val="0"/>
      <w:marBottom w:val="0"/>
      <w:divBdr>
        <w:top w:val="none" w:sz="0" w:space="0" w:color="auto"/>
        <w:left w:val="none" w:sz="0" w:space="0" w:color="auto"/>
        <w:bottom w:val="none" w:sz="0" w:space="0" w:color="auto"/>
        <w:right w:val="none" w:sz="0" w:space="0" w:color="auto"/>
      </w:divBdr>
    </w:div>
    <w:div w:id="561335299">
      <w:bodyDiv w:val="1"/>
      <w:marLeft w:val="0"/>
      <w:marRight w:val="0"/>
      <w:marTop w:val="0"/>
      <w:marBottom w:val="0"/>
      <w:divBdr>
        <w:top w:val="none" w:sz="0" w:space="0" w:color="auto"/>
        <w:left w:val="none" w:sz="0" w:space="0" w:color="auto"/>
        <w:bottom w:val="none" w:sz="0" w:space="0" w:color="auto"/>
        <w:right w:val="none" w:sz="0" w:space="0" w:color="auto"/>
      </w:divBdr>
    </w:div>
    <w:div w:id="652638544">
      <w:bodyDiv w:val="1"/>
      <w:marLeft w:val="0"/>
      <w:marRight w:val="0"/>
      <w:marTop w:val="0"/>
      <w:marBottom w:val="0"/>
      <w:divBdr>
        <w:top w:val="none" w:sz="0" w:space="0" w:color="auto"/>
        <w:left w:val="none" w:sz="0" w:space="0" w:color="auto"/>
        <w:bottom w:val="none" w:sz="0" w:space="0" w:color="auto"/>
        <w:right w:val="none" w:sz="0" w:space="0" w:color="auto"/>
      </w:divBdr>
    </w:div>
    <w:div w:id="837380885">
      <w:bodyDiv w:val="1"/>
      <w:marLeft w:val="0"/>
      <w:marRight w:val="0"/>
      <w:marTop w:val="0"/>
      <w:marBottom w:val="0"/>
      <w:divBdr>
        <w:top w:val="none" w:sz="0" w:space="0" w:color="auto"/>
        <w:left w:val="none" w:sz="0" w:space="0" w:color="auto"/>
        <w:bottom w:val="none" w:sz="0" w:space="0" w:color="auto"/>
        <w:right w:val="none" w:sz="0" w:space="0" w:color="auto"/>
      </w:divBdr>
    </w:div>
    <w:div w:id="897253528">
      <w:bodyDiv w:val="1"/>
      <w:marLeft w:val="0"/>
      <w:marRight w:val="0"/>
      <w:marTop w:val="0"/>
      <w:marBottom w:val="0"/>
      <w:divBdr>
        <w:top w:val="none" w:sz="0" w:space="0" w:color="auto"/>
        <w:left w:val="none" w:sz="0" w:space="0" w:color="auto"/>
        <w:bottom w:val="none" w:sz="0" w:space="0" w:color="auto"/>
        <w:right w:val="none" w:sz="0" w:space="0" w:color="auto"/>
      </w:divBdr>
    </w:div>
    <w:div w:id="12148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com/url?sa=t&amp;rct=j&amp;q=&amp;esrc=s&amp;source=web&amp;cd=6&amp;cad=rja&amp;uact=8&amp;ved=2ahUKEwi4nvb2_-TdAhWJPI8KHSfmDJAQFjAFegQIARAC&amp;url=https%3A%2F%2Ftbinternet.ohchr.org%2FTreaties%2FCRPD%2FShared%2520Documents%2FKEN%2FINT_CRPD_NHS_KEN_21336_E.doc&amp;usg=AOvVaw1cOlqknHScgawyxb_zqP4M" TargetMode="External"/><Relationship Id="rId3" Type="http://schemas.openxmlformats.org/officeDocument/2006/relationships/hyperlink" Target="http://www.kenyalaw.org/lex/actview.xql" TargetMode="External"/><Relationship Id="rId7" Type="http://schemas.openxmlformats.org/officeDocument/2006/relationships/hyperlink" Target="http://www.un.org/disabilities/documents/convention/convoptprot-e.pdf" TargetMode="External"/><Relationship Id="rId2" Type="http://schemas.openxmlformats.org/officeDocument/2006/relationships/hyperlink" Target="http://www.uspkenya.org/" TargetMode="External"/><Relationship Id="rId1" Type="http://schemas.openxmlformats.org/officeDocument/2006/relationships/hyperlink" Target="https://www.kaihid.org/" TargetMode="External"/><Relationship Id="rId6" Type="http://schemas.openxmlformats.org/officeDocument/2006/relationships/hyperlink" Target="http://www.kenyalaw.org/lex/actview.xql?actid=CAP.%2063" TargetMode="External"/><Relationship Id="rId11" Type="http://schemas.openxmlformats.org/officeDocument/2006/relationships/hyperlink" Target="http://www.ohchr.org/EN/Issues/Detention/Pages/DraftBasicPrinciples.aspx" TargetMode="External"/><Relationship Id="rId5" Type="http://schemas.openxmlformats.org/officeDocument/2006/relationships/hyperlink" Target="http://www.constitutionnet.org/sites/default/files/the_power_of_mercy_act_2011_0.pdf" TargetMode="External"/><Relationship Id="rId10" Type="http://schemas.openxmlformats.org/officeDocument/2006/relationships/hyperlink" Target="http://ohchr.org/EN/HRBodies/CRPD/Pages/CRPDIndex.aspx" TargetMode="External"/><Relationship Id="rId4" Type="http://schemas.openxmlformats.org/officeDocument/2006/relationships/hyperlink" Target="http://www.ilo.org/dyn/natlex/natlex4.detail?p_lang=en&amp;p_isn=101067&amp;p" TargetMode="External"/><Relationship Id="rId9" Type="http://schemas.openxmlformats.org/officeDocument/2006/relationships/hyperlink" Target="http://www.un.org/en/ga/search/view_doc.asp?symbol=A/70/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621506-FCEC-46D5-908F-1245903B23FF}">
  <ds:schemaRefs>
    <ds:schemaRef ds:uri="http://schemas.openxmlformats.org/officeDocument/2006/bibliography"/>
  </ds:schemaRefs>
</ds:datastoreItem>
</file>

<file path=customXml/itemProps2.xml><?xml version="1.0" encoding="utf-8"?>
<ds:datastoreItem xmlns:ds="http://schemas.openxmlformats.org/officeDocument/2006/customXml" ds:itemID="{E82AB268-D305-4D6F-BBF1-2A2554899C93}"/>
</file>

<file path=customXml/itemProps3.xml><?xml version="1.0" encoding="utf-8"?>
<ds:datastoreItem xmlns:ds="http://schemas.openxmlformats.org/officeDocument/2006/customXml" ds:itemID="{3BA1BAB7-9782-43A3-9192-315AB4820927}"/>
</file>

<file path=customXml/itemProps4.xml><?xml version="1.0" encoding="utf-8"?>
<ds:datastoreItem xmlns:ds="http://schemas.openxmlformats.org/officeDocument/2006/customXml" ds:itemID="{FF25250C-A4A3-462D-9C01-A5A9349C2246}"/>
</file>

<file path=docProps/app.xml><?xml version="1.0" encoding="utf-8"?>
<Properties xmlns="http://schemas.openxmlformats.org/officeDocument/2006/extended-properties" xmlns:vt="http://schemas.openxmlformats.org/officeDocument/2006/docPropsVTypes">
  <Template>Normal.dotm</Template>
  <TotalTime>0</TotalTime>
  <Pages>11</Pages>
  <Words>2310</Words>
  <Characters>13168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Wachira</dc:creator>
  <cp:lastModifiedBy>Monica Iyer</cp:lastModifiedBy>
  <cp:revision>2</cp:revision>
  <dcterms:created xsi:type="dcterms:W3CDTF">2018-10-01T16:45:00Z</dcterms:created>
  <dcterms:modified xsi:type="dcterms:W3CDTF">2018-10-01T16:45:00Z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